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theme/themeOverride1.xml" ContentType="application/vnd.openxmlformats-officedocument.themeOverride+xml"/>
  <Override PartName="/word/charts/chart4.xml" ContentType="application/vnd.openxmlformats-officedocument.drawingml.chart+xml"/>
  <Override PartName="/word/theme/themeOverride2.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22C2B" w:rsidRDefault="00022C2B" w:rsidP="0094016E">
      <w:pPr>
        <w:pStyle w:val="Title"/>
      </w:pPr>
      <w:r>
        <w:t>Te Pūrongo ā-Tau 2018/19</w:t>
      </w:r>
    </w:p>
    <w:p w:rsidR="0052672E" w:rsidRPr="00D5126A" w:rsidRDefault="0052672E" w:rsidP="0094016E">
      <w:pPr>
        <w:pStyle w:val="Title"/>
      </w:pPr>
      <w:r w:rsidRPr="00D5126A">
        <w:t>Annual Report</w:t>
      </w:r>
    </w:p>
    <w:p w:rsidR="00B27C37" w:rsidRPr="00D5126A" w:rsidRDefault="0052672E" w:rsidP="0094016E">
      <w:pPr>
        <w:pStyle w:val="Title"/>
      </w:pPr>
      <w:r w:rsidRPr="00D5126A">
        <w:t>2018/19</w:t>
      </w:r>
    </w:p>
    <w:p w:rsidR="003C07B0" w:rsidRPr="00D5126A" w:rsidRDefault="003C07B0">
      <w:pPr>
        <w:rPr>
          <w:caps/>
          <w:color w:val="4F81BD" w:themeColor="accent1"/>
          <w:spacing w:val="10"/>
          <w:kern w:val="28"/>
          <w:sz w:val="52"/>
          <w:szCs w:val="52"/>
        </w:rPr>
      </w:pPr>
      <w:bookmarkStart w:id="0" w:name="_Toc528234276"/>
      <w:r w:rsidRPr="00D5126A">
        <w:br w:type="page"/>
      </w:r>
    </w:p>
    <w:p w:rsidR="00B55ACC" w:rsidRPr="00D5126A" w:rsidRDefault="00B55ACC" w:rsidP="0094016E">
      <w:pPr>
        <w:pStyle w:val="Title"/>
        <w:sectPr w:rsidR="00B55ACC" w:rsidRPr="00D5126A" w:rsidSect="009C620A">
          <w:footerReference w:type="default" r:id="rId9"/>
          <w:pgSz w:w="11905" w:h="16837"/>
          <w:pgMar w:top="1440" w:right="1440" w:bottom="1440" w:left="1440" w:header="720" w:footer="720" w:gutter="0"/>
          <w:cols w:space="720"/>
          <w:titlePg/>
          <w:docGrid w:linePitch="360"/>
        </w:sectPr>
      </w:pPr>
    </w:p>
    <w:p w:rsidR="00B27C37" w:rsidRPr="00D5126A" w:rsidRDefault="00022C2B" w:rsidP="00556359">
      <w:pPr>
        <w:pStyle w:val="Heading1"/>
      </w:pPr>
      <w:bookmarkStart w:id="1" w:name="_Toc14178491"/>
      <w:bookmarkStart w:id="2" w:name="_Toc19085770"/>
      <w:bookmarkStart w:id="3" w:name="_Toc23758583"/>
      <w:bookmarkEnd w:id="0"/>
      <w:r>
        <w:lastRenderedPageBreak/>
        <w:t xml:space="preserve">Nau mai - </w:t>
      </w:r>
      <w:r w:rsidR="0052672E" w:rsidRPr="00D5126A">
        <w:t>Welcome</w:t>
      </w:r>
      <w:bookmarkEnd w:id="1"/>
      <w:bookmarkEnd w:id="2"/>
      <w:bookmarkEnd w:id="3"/>
    </w:p>
    <w:p w:rsidR="00716CCA" w:rsidRPr="003E2037" w:rsidRDefault="00022C2B" w:rsidP="00885405">
      <w:pPr>
        <w:spacing w:before="240"/>
        <w:rPr>
          <w:rStyle w:val="Strong"/>
        </w:rPr>
      </w:pPr>
      <w:bookmarkStart w:id="4" w:name="Mayor_s_introduction"/>
      <w:bookmarkStart w:id="5" w:name="_Toc528234278"/>
      <w:r w:rsidRPr="003E2037">
        <w:rPr>
          <w:rStyle w:val="Strong"/>
        </w:rPr>
        <w:t xml:space="preserve">Nau mai ki tā mātou tirohanga rāpopoto o </w:t>
      </w:r>
      <w:proofErr w:type="gramStart"/>
      <w:r w:rsidRPr="003E2037">
        <w:rPr>
          <w:rStyle w:val="Strong"/>
        </w:rPr>
        <w:t>te</w:t>
      </w:r>
      <w:proofErr w:type="gramEnd"/>
      <w:r w:rsidRPr="003E2037">
        <w:rPr>
          <w:rStyle w:val="Strong"/>
        </w:rPr>
        <w:t xml:space="preserve"> tau 2018/19. </w:t>
      </w:r>
      <w:r w:rsidR="00716CCA" w:rsidRPr="003E2037">
        <w:rPr>
          <w:rStyle w:val="Strong"/>
        </w:rPr>
        <w:t>Welcome to our snapshot of the 2018/19 year.</w:t>
      </w:r>
    </w:p>
    <w:p w:rsidR="00252877" w:rsidRPr="00D5126A" w:rsidRDefault="00252877" w:rsidP="00252877">
      <w:pPr>
        <w:jc w:val="both"/>
      </w:pPr>
      <w:r w:rsidRPr="00D5126A">
        <w:t xml:space="preserve">This report was adopted by Council on </w:t>
      </w:r>
      <w:r w:rsidR="001D24CF">
        <w:t>25 September 2019</w:t>
      </w:r>
      <w:r w:rsidRPr="00D5126A">
        <w:t xml:space="preserve"> and includes the audited financial performance of the Council as at 30 June 2019.</w:t>
      </w:r>
    </w:p>
    <w:p w:rsidR="00252877" w:rsidRPr="00D5126A" w:rsidRDefault="00761FFC" w:rsidP="00252877">
      <w:r w:rsidRPr="00D5126A">
        <w:t>It</w:t>
      </w:r>
      <w:r w:rsidR="00716CCA" w:rsidRPr="00D5126A">
        <w:t xml:space="preserve"> provides an overview of Wellington City Council’s activi</w:t>
      </w:r>
      <w:r w:rsidR="00F76799" w:rsidRPr="00D5126A">
        <w:t xml:space="preserve">ties, </w:t>
      </w:r>
      <w:r w:rsidR="00252877" w:rsidRPr="00D5126A">
        <w:t xml:space="preserve">our </w:t>
      </w:r>
      <w:r w:rsidR="00F76799" w:rsidRPr="00D5126A">
        <w:t>spending</w:t>
      </w:r>
      <w:r w:rsidR="0007427F" w:rsidRPr="00D5126A">
        <w:t xml:space="preserve"> during the financial year, our progress towards becoming a </w:t>
      </w:r>
      <w:r w:rsidR="00252877" w:rsidRPr="00D5126A">
        <w:t>S</w:t>
      </w:r>
      <w:r w:rsidR="0007427F" w:rsidRPr="00D5126A">
        <w:t>mart Capital</w:t>
      </w:r>
      <w:r w:rsidR="00EB1FC0">
        <w:t>,</w:t>
      </w:r>
      <w:r w:rsidR="0007427F" w:rsidRPr="00D5126A">
        <w:t xml:space="preserve"> and </w:t>
      </w:r>
      <w:r w:rsidR="00252877" w:rsidRPr="00D5126A">
        <w:t xml:space="preserve">how we have </w:t>
      </w:r>
      <w:r w:rsidR="00022C2B" w:rsidRPr="00D5126A">
        <w:t>been working</w:t>
      </w:r>
      <w:r w:rsidR="00EB1FC0">
        <w:t xml:space="preserve"> </w:t>
      </w:r>
      <w:r w:rsidR="00252877" w:rsidRPr="00D5126A">
        <w:t>on our goal to keep rates low while delivering core and value-added projects and services that will help grow and strengthen our city.</w:t>
      </w:r>
    </w:p>
    <w:p w:rsidR="00252877" w:rsidRPr="00D5126A" w:rsidRDefault="00252877" w:rsidP="00252877">
      <w:r w:rsidRPr="00D5126A">
        <w:t xml:space="preserve">The theme for this year’s report is Adaptability: </w:t>
      </w:r>
      <w:r w:rsidR="00EB1FC0">
        <w:t>e</w:t>
      </w:r>
      <w:r w:rsidR="00EB1FC0" w:rsidRPr="00D5126A">
        <w:t xml:space="preserve">nsuring </w:t>
      </w:r>
      <w:r w:rsidRPr="00D5126A">
        <w:t>our people and places remain strong</w:t>
      </w:r>
      <w:r w:rsidR="0043433A" w:rsidRPr="00D5126A">
        <w:t xml:space="preserve"> and resilient</w:t>
      </w:r>
      <w:r w:rsidRPr="00D5126A">
        <w:t xml:space="preserve">. </w:t>
      </w:r>
      <w:r w:rsidR="00F11B9D" w:rsidRPr="00D5126A">
        <w:t>This report</w:t>
      </w:r>
      <w:r w:rsidRPr="00D5126A">
        <w:t xml:space="preserve"> celebrate</w:t>
      </w:r>
      <w:r w:rsidR="00F11B9D" w:rsidRPr="00D5126A">
        <w:t>s</w:t>
      </w:r>
      <w:r w:rsidRPr="00D5126A">
        <w:t xml:space="preserve"> the way our people and communities come together, recognise</w:t>
      </w:r>
      <w:r w:rsidR="00F11B9D" w:rsidRPr="00D5126A">
        <w:t>s</w:t>
      </w:r>
      <w:r w:rsidRPr="00D5126A">
        <w:t xml:space="preserve"> our natural environment and the work done to restore and protect it, and look</w:t>
      </w:r>
      <w:r w:rsidR="00F11B9D" w:rsidRPr="00D5126A">
        <w:t>s</w:t>
      </w:r>
      <w:r w:rsidRPr="00D5126A">
        <w:t xml:space="preserve"> at the challenges faced this year in our urban areas because of our location in an earthquake-prone landscape. </w:t>
      </w:r>
    </w:p>
    <w:p w:rsidR="00252877" w:rsidRPr="00D5126A" w:rsidRDefault="00252877" w:rsidP="00252877">
      <w:pPr>
        <w:jc w:val="both"/>
      </w:pPr>
      <w:r w:rsidRPr="00D5126A">
        <w:t xml:space="preserve">During the year, we made progress on improving the city’s resilience, continued to deliver the essential services well, and advanced several high-profile citywide initiatives. </w:t>
      </w:r>
    </w:p>
    <w:p w:rsidR="00A03EAD" w:rsidRPr="00D5126A" w:rsidRDefault="00A03EAD" w:rsidP="00A03EAD">
      <w:pPr>
        <w:jc w:val="both"/>
      </w:pPr>
      <w:r w:rsidRPr="00D5126A">
        <w:rPr>
          <w:rFonts w:ascii="Arial" w:hAnsi="Arial" w:cs="Arial"/>
        </w:rPr>
        <w:t>The Council performed strongly financially over the past year</w:t>
      </w:r>
      <w:r w:rsidR="00C076E3">
        <w:rPr>
          <w:rFonts w:ascii="Arial" w:hAnsi="Arial" w:cs="Arial"/>
        </w:rPr>
        <w:t xml:space="preserve">. It has achieved an underlying </w:t>
      </w:r>
      <w:r w:rsidRPr="00D5126A">
        <w:rPr>
          <w:rFonts w:ascii="Arial" w:hAnsi="Arial" w:cs="Arial"/>
        </w:rPr>
        <w:t>surplus</w:t>
      </w:r>
      <w:r w:rsidR="00C076E3">
        <w:rPr>
          <w:rFonts w:ascii="Arial" w:hAnsi="Arial" w:cs="Arial"/>
        </w:rPr>
        <w:t xml:space="preserve"> of $1.5 million</w:t>
      </w:r>
      <w:r w:rsidRPr="00D5126A">
        <w:rPr>
          <w:rFonts w:ascii="Arial" w:hAnsi="Arial" w:cs="Arial"/>
        </w:rPr>
        <w:t>, within 0.3</w:t>
      </w:r>
      <w:r w:rsidR="00CE02B9">
        <w:rPr>
          <w:rFonts w:ascii="Arial" w:hAnsi="Arial" w:cs="Arial"/>
        </w:rPr>
        <w:t xml:space="preserve"> percent</w:t>
      </w:r>
      <w:r w:rsidR="00CE02B9" w:rsidRPr="00D5126A">
        <w:rPr>
          <w:rFonts w:ascii="Arial" w:hAnsi="Arial" w:cs="Arial"/>
        </w:rPr>
        <w:t xml:space="preserve"> </w:t>
      </w:r>
      <w:r w:rsidRPr="00D5126A">
        <w:rPr>
          <w:rFonts w:ascii="Arial" w:hAnsi="Arial" w:cs="Arial"/>
        </w:rPr>
        <w:t xml:space="preserve">of budgeted operating expenditure. </w:t>
      </w:r>
      <w:r w:rsidR="00C076E3" w:rsidRPr="00C076E3">
        <w:rPr>
          <w:rFonts w:ascii="Arial" w:hAnsi="Arial" w:cs="Arial"/>
        </w:rPr>
        <w:t>The operating surplus of $26.6</w:t>
      </w:r>
      <w:r w:rsidR="00CE02B9">
        <w:rPr>
          <w:rFonts w:ascii="Arial" w:hAnsi="Arial" w:cs="Arial"/>
        </w:rPr>
        <w:t xml:space="preserve"> million</w:t>
      </w:r>
      <w:r w:rsidR="00C076E3" w:rsidRPr="00C076E3">
        <w:rPr>
          <w:rFonts w:ascii="Arial" w:hAnsi="Arial" w:cs="Arial"/>
        </w:rPr>
        <w:t xml:space="preserve"> is impacted by the $50.5</w:t>
      </w:r>
      <w:r w:rsidR="00CE02B9">
        <w:rPr>
          <w:rFonts w:ascii="Arial" w:hAnsi="Arial" w:cs="Arial"/>
        </w:rPr>
        <w:t xml:space="preserve"> million</w:t>
      </w:r>
      <w:r w:rsidR="00C076E3" w:rsidRPr="00C076E3">
        <w:rPr>
          <w:rFonts w:ascii="Arial" w:hAnsi="Arial" w:cs="Arial"/>
        </w:rPr>
        <w:t xml:space="preserve"> impairment to the value of the Civic Precinct buildings</w:t>
      </w:r>
      <w:r w:rsidR="00C076E3">
        <w:rPr>
          <w:rFonts w:ascii="Arial" w:hAnsi="Arial" w:cs="Arial"/>
        </w:rPr>
        <w:t>,</w:t>
      </w:r>
      <w:r w:rsidR="00C076E3" w:rsidRPr="00C076E3">
        <w:rPr>
          <w:rFonts w:ascii="Arial" w:hAnsi="Arial" w:cs="Arial"/>
        </w:rPr>
        <w:t xml:space="preserve"> resulting in a net deficit of $23.9</w:t>
      </w:r>
      <w:r w:rsidR="00CE02B9">
        <w:rPr>
          <w:rFonts w:ascii="Arial" w:hAnsi="Arial" w:cs="Arial"/>
        </w:rPr>
        <w:t xml:space="preserve"> million</w:t>
      </w:r>
      <w:r w:rsidR="00C076E3" w:rsidRPr="00C076E3">
        <w:rPr>
          <w:rFonts w:ascii="Arial" w:hAnsi="Arial" w:cs="Arial"/>
        </w:rPr>
        <w:t xml:space="preserve">. </w:t>
      </w:r>
      <w:r w:rsidRPr="00D5126A">
        <w:t>Our financial position remains healthy.</w:t>
      </w:r>
    </w:p>
    <w:p w:rsidR="00556359" w:rsidRPr="00D5126A" w:rsidRDefault="003E2037" w:rsidP="00AA2122">
      <w:pPr>
        <w:pStyle w:val="Heading3"/>
      </w:pPr>
      <w:bookmarkStart w:id="6" w:name="_Toc19085771"/>
      <w:r>
        <w:t xml:space="preserve">Ā mātou mahi - </w:t>
      </w:r>
      <w:r w:rsidR="00556359" w:rsidRPr="00D5126A">
        <w:t xml:space="preserve">Our </w:t>
      </w:r>
      <w:bookmarkEnd w:id="6"/>
      <w:r w:rsidR="00EB1FC0">
        <w:t>r</w:t>
      </w:r>
      <w:r w:rsidR="00EB1FC0" w:rsidRPr="00D5126A">
        <w:t xml:space="preserve">ole </w:t>
      </w:r>
    </w:p>
    <w:p w:rsidR="00556359" w:rsidRPr="003E2037" w:rsidRDefault="00556359" w:rsidP="003E2037">
      <w:pPr>
        <w:rPr>
          <w:rStyle w:val="Strong"/>
          <w:b w:val="0"/>
          <w:sz w:val="22"/>
        </w:rPr>
      </w:pPr>
      <w:r w:rsidRPr="003E2037">
        <w:rPr>
          <w:rStyle w:val="Strong"/>
          <w:b w:val="0"/>
          <w:sz w:val="22"/>
        </w:rPr>
        <w:t xml:space="preserve">The role of Wellington City Council is to deliver services that support a well-functioning city, develop our infrastructure and invest in key projects that address the current and future needs and advance the aspirations of our communities, the city and the region. </w:t>
      </w:r>
    </w:p>
    <w:p w:rsidR="00556359" w:rsidRPr="00D5126A" w:rsidRDefault="00556359" w:rsidP="00556359">
      <w:r w:rsidRPr="00D5126A">
        <w:t>The Council manages a significant number of assets and delivers an extensive range of services – from parks and cemeteries to parking and pools, from water supply and waste management to cycleways and animal control. We also have projects and initiatives that actively support the city’s economic growth and cultural development.</w:t>
      </w:r>
    </w:p>
    <w:p w:rsidR="00556359" w:rsidRPr="00D5126A" w:rsidRDefault="00556359" w:rsidP="00556359">
      <w:r w:rsidRPr="00D5126A">
        <w:t>We are also responsible for controlling and regulating activities such as building, land use, noise, food preparation, liquor sales, and ownership of dogs and other animals.</w:t>
      </w:r>
    </w:p>
    <w:p w:rsidR="00556359" w:rsidRPr="00D5126A" w:rsidRDefault="00556359" w:rsidP="00556359">
      <w:pPr>
        <w:autoSpaceDE w:val="0"/>
        <w:autoSpaceDN w:val="0"/>
        <w:adjustRightInd w:val="0"/>
        <w:spacing w:after="0" w:line="240" w:lineRule="auto"/>
        <w:rPr>
          <w:rFonts w:cstheme="minorHAnsi"/>
          <w:szCs w:val="24"/>
        </w:rPr>
      </w:pPr>
      <w:r w:rsidRPr="00D5126A">
        <w:rPr>
          <w:rFonts w:cstheme="minorHAnsi"/>
          <w:szCs w:val="24"/>
        </w:rPr>
        <w:t xml:space="preserve">The Local Government Act </w:t>
      </w:r>
      <w:r w:rsidR="00D5126A" w:rsidRPr="00D5126A">
        <w:rPr>
          <w:rFonts w:cstheme="minorHAnsi"/>
          <w:szCs w:val="24"/>
        </w:rPr>
        <w:t>2002</w:t>
      </w:r>
      <w:r w:rsidRPr="00D5126A">
        <w:rPr>
          <w:rFonts w:cstheme="minorHAnsi"/>
          <w:szCs w:val="24"/>
        </w:rPr>
        <w:t xml:space="preserve"> sets our statutory role as being:</w:t>
      </w:r>
    </w:p>
    <w:p w:rsidR="00556359" w:rsidRPr="00D5126A" w:rsidRDefault="00556359" w:rsidP="006837C4">
      <w:pPr>
        <w:pStyle w:val="ListParagraph"/>
        <w:numPr>
          <w:ilvl w:val="0"/>
          <w:numId w:val="4"/>
        </w:numPr>
        <w:autoSpaceDE w:val="0"/>
        <w:autoSpaceDN w:val="0"/>
        <w:adjustRightInd w:val="0"/>
        <w:spacing w:after="0" w:line="240" w:lineRule="auto"/>
        <w:rPr>
          <w:rFonts w:cstheme="minorHAnsi"/>
          <w:szCs w:val="24"/>
        </w:rPr>
      </w:pPr>
      <w:r w:rsidRPr="00D5126A">
        <w:rPr>
          <w:rFonts w:cstheme="minorHAnsi"/>
          <w:szCs w:val="24"/>
        </w:rPr>
        <w:t>to enable democratic local decision-making and action by, and on behalf of, the people of Wellington</w:t>
      </w:r>
    </w:p>
    <w:p w:rsidR="0045391F" w:rsidRPr="00D5126A" w:rsidRDefault="00556359" w:rsidP="006837C4">
      <w:pPr>
        <w:pStyle w:val="ListParagraph"/>
        <w:numPr>
          <w:ilvl w:val="0"/>
          <w:numId w:val="4"/>
        </w:numPr>
        <w:autoSpaceDE w:val="0"/>
        <w:autoSpaceDN w:val="0"/>
        <w:adjustRightInd w:val="0"/>
        <w:spacing w:after="0" w:line="240" w:lineRule="auto"/>
      </w:pPr>
      <w:proofErr w:type="gramStart"/>
      <w:r w:rsidRPr="00D5126A">
        <w:rPr>
          <w:rFonts w:cstheme="minorHAnsi"/>
          <w:szCs w:val="24"/>
        </w:rPr>
        <w:t>to</w:t>
      </w:r>
      <w:proofErr w:type="gramEnd"/>
      <w:r w:rsidRPr="00D5126A">
        <w:rPr>
          <w:rFonts w:cstheme="minorHAnsi"/>
          <w:szCs w:val="24"/>
        </w:rPr>
        <w:t xml:space="preserve"> promote the social, economic, environmental, and cultural wellbeing of the people of Wellington, in the present and for the future.</w:t>
      </w:r>
      <w:r w:rsidR="0045391F" w:rsidRPr="00D5126A">
        <w:br w:type="page"/>
      </w:r>
    </w:p>
    <w:p w:rsidR="00F62BB4" w:rsidRPr="00D5126A" w:rsidRDefault="00917D61" w:rsidP="00556359">
      <w:pPr>
        <w:pStyle w:val="Heading1"/>
      </w:pPr>
      <w:bookmarkStart w:id="7" w:name="_Toc19085772"/>
      <w:bookmarkStart w:id="8" w:name="_Toc23758584"/>
      <w:r w:rsidRPr="00D5126A">
        <w:lastRenderedPageBreak/>
        <w:t xml:space="preserve">Ihirangi | </w:t>
      </w:r>
      <w:r w:rsidR="00F62BB4" w:rsidRPr="00D5126A">
        <w:t>Contents</w:t>
      </w:r>
      <w:bookmarkEnd w:id="7"/>
      <w:bookmarkEnd w:id="8"/>
    </w:p>
    <w:p w:rsidR="009E0808" w:rsidRPr="00D5126A" w:rsidRDefault="009E0808">
      <w:pPr>
        <w:pStyle w:val="TOC1"/>
        <w:rPr>
          <w:noProof w:val="0"/>
          <w:highlight w:val="green"/>
        </w:rPr>
      </w:pPr>
    </w:p>
    <w:p w:rsidR="00B768DD" w:rsidRDefault="000B1EE6">
      <w:pPr>
        <w:pStyle w:val="TOC1"/>
        <w:rPr>
          <w:rFonts w:cstheme="minorBidi"/>
          <w:b w:val="0"/>
          <w:lang w:eastAsia="en-NZ"/>
        </w:rPr>
      </w:pPr>
      <w:r w:rsidRPr="00D5126A">
        <w:rPr>
          <w:noProof w:val="0"/>
          <w:highlight w:val="green"/>
        </w:rPr>
        <w:fldChar w:fldCharType="begin"/>
      </w:r>
      <w:r w:rsidRPr="00D5126A">
        <w:rPr>
          <w:noProof w:val="0"/>
          <w:highlight w:val="green"/>
        </w:rPr>
        <w:instrText xml:space="preserve"> TOC \o "1-2" \h \z \u </w:instrText>
      </w:r>
      <w:r w:rsidRPr="00D5126A">
        <w:rPr>
          <w:noProof w:val="0"/>
          <w:highlight w:val="green"/>
        </w:rPr>
        <w:fldChar w:fldCharType="separate"/>
      </w:r>
      <w:hyperlink w:anchor="_Toc23758583" w:history="1">
        <w:r w:rsidR="00B768DD" w:rsidRPr="007D765C">
          <w:rPr>
            <w:rStyle w:val="Hyperlink"/>
          </w:rPr>
          <w:t>Nau mai - Welcome</w:t>
        </w:r>
        <w:r w:rsidR="00B768DD">
          <w:rPr>
            <w:webHidden/>
          </w:rPr>
          <w:tab/>
        </w:r>
        <w:r w:rsidR="00B768DD">
          <w:rPr>
            <w:webHidden/>
          </w:rPr>
          <w:fldChar w:fldCharType="begin"/>
        </w:r>
        <w:r w:rsidR="00B768DD">
          <w:rPr>
            <w:webHidden/>
          </w:rPr>
          <w:instrText xml:space="preserve"> PAGEREF _Toc23758583 \h </w:instrText>
        </w:r>
        <w:r w:rsidR="00B768DD">
          <w:rPr>
            <w:webHidden/>
          </w:rPr>
        </w:r>
        <w:r w:rsidR="00B768DD">
          <w:rPr>
            <w:webHidden/>
          </w:rPr>
          <w:fldChar w:fldCharType="separate"/>
        </w:r>
        <w:r w:rsidR="00B768DD">
          <w:rPr>
            <w:webHidden/>
          </w:rPr>
          <w:t>2</w:t>
        </w:r>
        <w:r w:rsidR="00B768DD">
          <w:rPr>
            <w:webHidden/>
          </w:rPr>
          <w:fldChar w:fldCharType="end"/>
        </w:r>
      </w:hyperlink>
    </w:p>
    <w:p w:rsidR="00B768DD" w:rsidRDefault="005D6D1F">
      <w:pPr>
        <w:pStyle w:val="TOC1"/>
        <w:rPr>
          <w:rFonts w:cstheme="minorBidi"/>
          <w:b w:val="0"/>
          <w:lang w:eastAsia="en-NZ"/>
        </w:rPr>
      </w:pPr>
      <w:hyperlink w:anchor="_Toc23758584" w:history="1">
        <w:r w:rsidR="00B768DD" w:rsidRPr="007D765C">
          <w:rPr>
            <w:rStyle w:val="Hyperlink"/>
          </w:rPr>
          <w:t>Ihirangi | Contents</w:t>
        </w:r>
        <w:r w:rsidR="00B768DD">
          <w:rPr>
            <w:webHidden/>
          </w:rPr>
          <w:tab/>
        </w:r>
        <w:r w:rsidR="00B768DD">
          <w:rPr>
            <w:webHidden/>
          </w:rPr>
          <w:fldChar w:fldCharType="begin"/>
        </w:r>
        <w:r w:rsidR="00B768DD">
          <w:rPr>
            <w:webHidden/>
          </w:rPr>
          <w:instrText xml:space="preserve"> PAGEREF _Toc23758584 \h </w:instrText>
        </w:r>
        <w:r w:rsidR="00B768DD">
          <w:rPr>
            <w:webHidden/>
          </w:rPr>
        </w:r>
        <w:r w:rsidR="00B768DD">
          <w:rPr>
            <w:webHidden/>
          </w:rPr>
          <w:fldChar w:fldCharType="separate"/>
        </w:r>
        <w:r w:rsidR="00B768DD">
          <w:rPr>
            <w:webHidden/>
          </w:rPr>
          <w:t>3</w:t>
        </w:r>
        <w:r w:rsidR="00B768DD">
          <w:rPr>
            <w:webHidden/>
          </w:rPr>
          <w:fldChar w:fldCharType="end"/>
        </w:r>
      </w:hyperlink>
    </w:p>
    <w:p w:rsidR="00B768DD" w:rsidRDefault="005D6D1F">
      <w:pPr>
        <w:pStyle w:val="TOC1"/>
        <w:rPr>
          <w:rFonts w:cstheme="minorBidi"/>
          <w:b w:val="0"/>
          <w:lang w:eastAsia="en-NZ"/>
        </w:rPr>
      </w:pPr>
      <w:hyperlink w:anchor="_Toc23758585" w:history="1">
        <w:r w:rsidR="00B768DD" w:rsidRPr="007D765C">
          <w:rPr>
            <w:rStyle w:val="Hyperlink"/>
          </w:rPr>
          <w:t>Section 1: Our city</w:t>
        </w:r>
        <w:r w:rsidR="00B768DD">
          <w:rPr>
            <w:webHidden/>
          </w:rPr>
          <w:tab/>
        </w:r>
        <w:r w:rsidR="00B768DD">
          <w:rPr>
            <w:webHidden/>
          </w:rPr>
          <w:fldChar w:fldCharType="begin"/>
        </w:r>
        <w:r w:rsidR="00B768DD">
          <w:rPr>
            <w:webHidden/>
          </w:rPr>
          <w:instrText xml:space="preserve"> PAGEREF _Toc23758585 \h </w:instrText>
        </w:r>
        <w:r w:rsidR="00B768DD">
          <w:rPr>
            <w:webHidden/>
          </w:rPr>
        </w:r>
        <w:r w:rsidR="00B768DD">
          <w:rPr>
            <w:webHidden/>
          </w:rPr>
          <w:fldChar w:fldCharType="separate"/>
        </w:r>
        <w:r w:rsidR="00B768DD">
          <w:rPr>
            <w:webHidden/>
          </w:rPr>
          <w:t>5</w:t>
        </w:r>
        <w:r w:rsidR="00B768DD">
          <w:rPr>
            <w:webHidden/>
          </w:rPr>
          <w:fldChar w:fldCharType="end"/>
        </w:r>
      </w:hyperlink>
    </w:p>
    <w:p w:rsidR="00B768DD" w:rsidRDefault="005D6D1F" w:rsidP="0035019C">
      <w:pPr>
        <w:pStyle w:val="TOC2"/>
        <w:rPr>
          <w:rFonts w:cstheme="minorBidi"/>
          <w:noProof/>
          <w:lang w:eastAsia="en-NZ"/>
        </w:rPr>
      </w:pPr>
      <w:hyperlink w:anchor="_Toc23758586" w:history="1">
        <w:r w:rsidR="00B768DD" w:rsidRPr="007D765C">
          <w:rPr>
            <w:rStyle w:val="Hyperlink"/>
            <w:noProof/>
          </w:rPr>
          <w:t>City profile</w:t>
        </w:r>
        <w:r w:rsidR="00B768DD">
          <w:rPr>
            <w:noProof/>
            <w:webHidden/>
          </w:rPr>
          <w:tab/>
        </w:r>
        <w:r w:rsidR="00B768DD">
          <w:rPr>
            <w:noProof/>
            <w:webHidden/>
          </w:rPr>
          <w:fldChar w:fldCharType="begin"/>
        </w:r>
        <w:r w:rsidR="00B768DD">
          <w:rPr>
            <w:noProof/>
            <w:webHidden/>
          </w:rPr>
          <w:instrText xml:space="preserve"> PAGEREF _Toc23758586 \h </w:instrText>
        </w:r>
        <w:r w:rsidR="00B768DD">
          <w:rPr>
            <w:noProof/>
            <w:webHidden/>
          </w:rPr>
        </w:r>
        <w:r w:rsidR="00B768DD">
          <w:rPr>
            <w:noProof/>
            <w:webHidden/>
          </w:rPr>
          <w:fldChar w:fldCharType="separate"/>
        </w:r>
        <w:r w:rsidR="00B768DD">
          <w:rPr>
            <w:noProof/>
            <w:webHidden/>
          </w:rPr>
          <w:t>5</w:t>
        </w:r>
        <w:r w:rsidR="00B768DD">
          <w:rPr>
            <w:noProof/>
            <w:webHidden/>
          </w:rPr>
          <w:fldChar w:fldCharType="end"/>
        </w:r>
      </w:hyperlink>
    </w:p>
    <w:p w:rsidR="00B768DD" w:rsidRDefault="005D6D1F" w:rsidP="0035019C">
      <w:pPr>
        <w:pStyle w:val="TOC2"/>
        <w:rPr>
          <w:rFonts w:cstheme="minorBidi"/>
          <w:noProof/>
          <w:lang w:eastAsia="en-NZ"/>
        </w:rPr>
      </w:pPr>
      <w:hyperlink w:anchor="_Toc23758587" w:history="1">
        <w:r w:rsidR="00B768DD" w:rsidRPr="007D765C">
          <w:rPr>
            <w:rStyle w:val="Hyperlink"/>
            <w:noProof/>
          </w:rPr>
          <w:t>Wellington today</w:t>
        </w:r>
        <w:r w:rsidR="00B768DD">
          <w:rPr>
            <w:noProof/>
            <w:webHidden/>
          </w:rPr>
          <w:tab/>
        </w:r>
        <w:r w:rsidR="00B768DD">
          <w:rPr>
            <w:noProof/>
            <w:webHidden/>
          </w:rPr>
          <w:fldChar w:fldCharType="begin"/>
        </w:r>
        <w:r w:rsidR="00B768DD">
          <w:rPr>
            <w:noProof/>
            <w:webHidden/>
          </w:rPr>
          <w:instrText xml:space="preserve"> PAGEREF _Toc23758587 \h </w:instrText>
        </w:r>
        <w:r w:rsidR="00B768DD">
          <w:rPr>
            <w:noProof/>
            <w:webHidden/>
          </w:rPr>
        </w:r>
        <w:r w:rsidR="00B768DD">
          <w:rPr>
            <w:noProof/>
            <w:webHidden/>
          </w:rPr>
          <w:fldChar w:fldCharType="separate"/>
        </w:r>
        <w:r w:rsidR="00B768DD">
          <w:rPr>
            <w:noProof/>
            <w:webHidden/>
          </w:rPr>
          <w:t>7</w:t>
        </w:r>
        <w:r w:rsidR="00B768DD">
          <w:rPr>
            <w:noProof/>
            <w:webHidden/>
          </w:rPr>
          <w:fldChar w:fldCharType="end"/>
        </w:r>
      </w:hyperlink>
    </w:p>
    <w:p w:rsidR="00B768DD" w:rsidRDefault="005D6D1F" w:rsidP="0035019C">
      <w:pPr>
        <w:pStyle w:val="TOC2"/>
        <w:rPr>
          <w:rFonts w:cstheme="minorBidi"/>
          <w:noProof/>
          <w:lang w:eastAsia="en-NZ"/>
        </w:rPr>
      </w:pPr>
      <w:hyperlink w:anchor="_Toc23758588" w:history="1">
        <w:r w:rsidR="00B768DD" w:rsidRPr="007D765C">
          <w:rPr>
            <w:rStyle w:val="Hyperlink"/>
            <w:noProof/>
          </w:rPr>
          <w:t>A snapshot of the city</w:t>
        </w:r>
        <w:r w:rsidR="00B768DD">
          <w:rPr>
            <w:noProof/>
            <w:webHidden/>
          </w:rPr>
          <w:tab/>
        </w:r>
        <w:r w:rsidR="00B768DD">
          <w:rPr>
            <w:noProof/>
            <w:webHidden/>
          </w:rPr>
          <w:fldChar w:fldCharType="begin"/>
        </w:r>
        <w:r w:rsidR="00B768DD">
          <w:rPr>
            <w:noProof/>
            <w:webHidden/>
          </w:rPr>
          <w:instrText xml:space="preserve"> PAGEREF _Toc23758588 \h </w:instrText>
        </w:r>
        <w:r w:rsidR="00B768DD">
          <w:rPr>
            <w:noProof/>
            <w:webHidden/>
          </w:rPr>
        </w:r>
        <w:r w:rsidR="00B768DD">
          <w:rPr>
            <w:noProof/>
            <w:webHidden/>
          </w:rPr>
          <w:fldChar w:fldCharType="separate"/>
        </w:r>
        <w:r w:rsidR="00B768DD">
          <w:rPr>
            <w:noProof/>
            <w:webHidden/>
          </w:rPr>
          <w:t>8</w:t>
        </w:r>
        <w:r w:rsidR="00B768DD">
          <w:rPr>
            <w:noProof/>
            <w:webHidden/>
          </w:rPr>
          <w:fldChar w:fldCharType="end"/>
        </w:r>
      </w:hyperlink>
    </w:p>
    <w:p w:rsidR="00B768DD" w:rsidRDefault="005D6D1F" w:rsidP="0035019C">
      <w:pPr>
        <w:pStyle w:val="TOC2"/>
        <w:rPr>
          <w:rFonts w:cstheme="minorBidi"/>
          <w:noProof/>
          <w:lang w:eastAsia="en-NZ"/>
        </w:rPr>
      </w:pPr>
      <w:hyperlink w:anchor="_Toc23758589" w:history="1">
        <w:r w:rsidR="00B768DD" w:rsidRPr="007D765C">
          <w:rPr>
            <w:rStyle w:val="Hyperlink"/>
            <w:noProof/>
          </w:rPr>
          <w:t>Challenges our city faces</w:t>
        </w:r>
        <w:r w:rsidR="00B768DD">
          <w:rPr>
            <w:noProof/>
            <w:webHidden/>
          </w:rPr>
          <w:tab/>
        </w:r>
        <w:r w:rsidR="00B768DD">
          <w:rPr>
            <w:noProof/>
            <w:webHidden/>
          </w:rPr>
          <w:fldChar w:fldCharType="begin"/>
        </w:r>
        <w:r w:rsidR="00B768DD">
          <w:rPr>
            <w:noProof/>
            <w:webHidden/>
          </w:rPr>
          <w:instrText xml:space="preserve"> PAGEREF _Toc23758589 \h </w:instrText>
        </w:r>
        <w:r w:rsidR="00B768DD">
          <w:rPr>
            <w:noProof/>
            <w:webHidden/>
          </w:rPr>
        </w:r>
        <w:r w:rsidR="00B768DD">
          <w:rPr>
            <w:noProof/>
            <w:webHidden/>
          </w:rPr>
          <w:fldChar w:fldCharType="separate"/>
        </w:r>
        <w:r w:rsidR="00B768DD">
          <w:rPr>
            <w:noProof/>
            <w:webHidden/>
          </w:rPr>
          <w:t>10</w:t>
        </w:r>
        <w:r w:rsidR="00B768DD">
          <w:rPr>
            <w:noProof/>
            <w:webHidden/>
          </w:rPr>
          <w:fldChar w:fldCharType="end"/>
        </w:r>
      </w:hyperlink>
    </w:p>
    <w:p w:rsidR="00B768DD" w:rsidRDefault="005D6D1F" w:rsidP="0035019C">
      <w:pPr>
        <w:pStyle w:val="TOC2"/>
        <w:rPr>
          <w:rFonts w:cstheme="minorBidi"/>
          <w:noProof/>
          <w:lang w:eastAsia="en-NZ"/>
        </w:rPr>
      </w:pPr>
      <w:hyperlink w:anchor="_Toc23758590" w:history="1">
        <w:r w:rsidR="00B768DD" w:rsidRPr="007D765C">
          <w:rPr>
            <w:rStyle w:val="Hyperlink"/>
            <w:noProof/>
          </w:rPr>
          <w:t>On the horizon</w:t>
        </w:r>
        <w:r w:rsidR="00B768DD">
          <w:rPr>
            <w:noProof/>
            <w:webHidden/>
          </w:rPr>
          <w:tab/>
        </w:r>
        <w:r w:rsidR="00B768DD">
          <w:rPr>
            <w:noProof/>
            <w:webHidden/>
          </w:rPr>
          <w:fldChar w:fldCharType="begin"/>
        </w:r>
        <w:r w:rsidR="00B768DD">
          <w:rPr>
            <w:noProof/>
            <w:webHidden/>
          </w:rPr>
          <w:instrText xml:space="preserve"> PAGEREF _Toc23758590 \h </w:instrText>
        </w:r>
        <w:r w:rsidR="00B768DD">
          <w:rPr>
            <w:noProof/>
            <w:webHidden/>
          </w:rPr>
        </w:r>
        <w:r w:rsidR="00B768DD">
          <w:rPr>
            <w:noProof/>
            <w:webHidden/>
          </w:rPr>
          <w:fldChar w:fldCharType="separate"/>
        </w:r>
        <w:r w:rsidR="00B768DD">
          <w:rPr>
            <w:noProof/>
            <w:webHidden/>
          </w:rPr>
          <w:t>12</w:t>
        </w:r>
        <w:r w:rsidR="00B768DD">
          <w:rPr>
            <w:noProof/>
            <w:webHidden/>
          </w:rPr>
          <w:fldChar w:fldCharType="end"/>
        </w:r>
      </w:hyperlink>
    </w:p>
    <w:p w:rsidR="00B768DD" w:rsidRDefault="005D6D1F" w:rsidP="0035019C">
      <w:pPr>
        <w:pStyle w:val="TOC2"/>
        <w:rPr>
          <w:rFonts w:cstheme="minorBidi"/>
          <w:noProof/>
          <w:lang w:eastAsia="en-NZ"/>
        </w:rPr>
      </w:pPr>
      <w:hyperlink w:anchor="_Toc23758591" w:history="1">
        <w:r w:rsidR="00B768DD" w:rsidRPr="007D765C">
          <w:rPr>
            <w:rStyle w:val="Hyperlink"/>
            <w:noProof/>
          </w:rPr>
          <w:t>The City’s Strategic Direction</w:t>
        </w:r>
        <w:r w:rsidR="00B768DD">
          <w:rPr>
            <w:noProof/>
            <w:webHidden/>
          </w:rPr>
          <w:tab/>
        </w:r>
        <w:r w:rsidR="00B768DD">
          <w:rPr>
            <w:noProof/>
            <w:webHidden/>
          </w:rPr>
          <w:fldChar w:fldCharType="begin"/>
        </w:r>
        <w:r w:rsidR="00B768DD">
          <w:rPr>
            <w:noProof/>
            <w:webHidden/>
          </w:rPr>
          <w:instrText xml:space="preserve"> PAGEREF _Toc23758591 \h </w:instrText>
        </w:r>
        <w:r w:rsidR="00B768DD">
          <w:rPr>
            <w:noProof/>
            <w:webHidden/>
          </w:rPr>
        </w:r>
        <w:r w:rsidR="00B768DD">
          <w:rPr>
            <w:noProof/>
            <w:webHidden/>
          </w:rPr>
          <w:fldChar w:fldCharType="separate"/>
        </w:r>
        <w:r w:rsidR="00B768DD">
          <w:rPr>
            <w:noProof/>
            <w:webHidden/>
          </w:rPr>
          <w:t>13</w:t>
        </w:r>
        <w:r w:rsidR="00B768DD">
          <w:rPr>
            <w:noProof/>
            <w:webHidden/>
          </w:rPr>
          <w:fldChar w:fldCharType="end"/>
        </w:r>
      </w:hyperlink>
    </w:p>
    <w:p w:rsidR="00B768DD" w:rsidRDefault="005D6D1F" w:rsidP="0035019C">
      <w:pPr>
        <w:pStyle w:val="TOC2"/>
        <w:rPr>
          <w:rFonts w:cstheme="minorBidi"/>
          <w:noProof/>
          <w:lang w:eastAsia="en-NZ"/>
        </w:rPr>
      </w:pPr>
      <w:hyperlink w:anchor="_Toc23758592" w:history="1">
        <w:r w:rsidR="00B768DD" w:rsidRPr="007D765C">
          <w:rPr>
            <w:rStyle w:val="Hyperlink"/>
            <w:noProof/>
          </w:rPr>
          <w:t>Our organisation’s Vision and Values</w:t>
        </w:r>
        <w:r w:rsidR="00B768DD">
          <w:rPr>
            <w:noProof/>
            <w:webHidden/>
          </w:rPr>
          <w:tab/>
        </w:r>
        <w:r w:rsidR="00B768DD">
          <w:rPr>
            <w:noProof/>
            <w:webHidden/>
          </w:rPr>
          <w:fldChar w:fldCharType="begin"/>
        </w:r>
        <w:r w:rsidR="00B768DD">
          <w:rPr>
            <w:noProof/>
            <w:webHidden/>
          </w:rPr>
          <w:instrText xml:space="preserve"> PAGEREF _Toc23758592 \h </w:instrText>
        </w:r>
        <w:r w:rsidR="00B768DD">
          <w:rPr>
            <w:noProof/>
            <w:webHidden/>
          </w:rPr>
        </w:r>
        <w:r w:rsidR="00B768DD">
          <w:rPr>
            <w:noProof/>
            <w:webHidden/>
          </w:rPr>
          <w:fldChar w:fldCharType="separate"/>
        </w:r>
        <w:r w:rsidR="00B768DD">
          <w:rPr>
            <w:noProof/>
            <w:webHidden/>
          </w:rPr>
          <w:t>14</w:t>
        </w:r>
        <w:r w:rsidR="00B768DD">
          <w:rPr>
            <w:noProof/>
            <w:webHidden/>
          </w:rPr>
          <w:fldChar w:fldCharType="end"/>
        </w:r>
      </w:hyperlink>
    </w:p>
    <w:p w:rsidR="00B768DD" w:rsidRDefault="005D6D1F" w:rsidP="0035019C">
      <w:pPr>
        <w:pStyle w:val="TOC2"/>
        <w:rPr>
          <w:rFonts w:cstheme="minorBidi"/>
          <w:noProof/>
          <w:lang w:eastAsia="en-NZ"/>
        </w:rPr>
      </w:pPr>
      <w:hyperlink w:anchor="_Toc23758593" w:history="1">
        <w:r w:rsidR="00B768DD" w:rsidRPr="007D765C">
          <w:rPr>
            <w:rStyle w:val="Hyperlink"/>
            <w:noProof/>
          </w:rPr>
          <w:t>Your representatives</w:t>
        </w:r>
        <w:r w:rsidR="00B768DD">
          <w:rPr>
            <w:noProof/>
            <w:webHidden/>
          </w:rPr>
          <w:tab/>
        </w:r>
        <w:r w:rsidR="00B768DD">
          <w:rPr>
            <w:noProof/>
            <w:webHidden/>
          </w:rPr>
          <w:fldChar w:fldCharType="begin"/>
        </w:r>
        <w:r w:rsidR="00B768DD">
          <w:rPr>
            <w:noProof/>
            <w:webHidden/>
          </w:rPr>
          <w:instrText xml:space="preserve"> PAGEREF _Toc23758593 \h </w:instrText>
        </w:r>
        <w:r w:rsidR="00B768DD">
          <w:rPr>
            <w:noProof/>
            <w:webHidden/>
          </w:rPr>
        </w:r>
        <w:r w:rsidR="00B768DD">
          <w:rPr>
            <w:noProof/>
            <w:webHidden/>
          </w:rPr>
          <w:fldChar w:fldCharType="separate"/>
        </w:r>
        <w:r w:rsidR="00B768DD">
          <w:rPr>
            <w:noProof/>
            <w:webHidden/>
          </w:rPr>
          <w:t>15</w:t>
        </w:r>
        <w:r w:rsidR="00B768DD">
          <w:rPr>
            <w:noProof/>
            <w:webHidden/>
          </w:rPr>
          <w:fldChar w:fldCharType="end"/>
        </w:r>
      </w:hyperlink>
    </w:p>
    <w:p w:rsidR="00B768DD" w:rsidRDefault="005D6D1F">
      <w:pPr>
        <w:pStyle w:val="TOC1"/>
        <w:rPr>
          <w:rFonts w:cstheme="minorBidi"/>
          <w:b w:val="0"/>
          <w:lang w:eastAsia="en-NZ"/>
        </w:rPr>
      </w:pPr>
      <w:hyperlink w:anchor="_Toc23758594" w:history="1">
        <w:r w:rsidR="00B768DD" w:rsidRPr="007D765C">
          <w:rPr>
            <w:rStyle w:val="Hyperlink"/>
          </w:rPr>
          <w:t>Section 2: Summary of our year</w:t>
        </w:r>
        <w:r w:rsidR="00B768DD">
          <w:rPr>
            <w:webHidden/>
          </w:rPr>
          <w:tab/>
        </w:r>
        <w:r w:rsidR="00B768DD">
          <w:rPr>
            <w:webHidden/>
          </w:rPr>
          <w:fldChar w:fldCharType="begin"/>
        </w:r>
        <w:r w:rsidR="00B768DD">
          <w:rPr>
            <w:webHidden/>
          </w:rPr>
          <w:instrText xml:space="preserve"> PAGEREF _Toc23758594 \h </w:instrText>
        </w:r>
        <w:r w:rsidR="00B768DD">
          <w:rPr>
            <w:webHidden/>
          </w:rPr>
        </w:r>
        <w:r w:rsidR="00B768DD">
          <w:rPr>
            <w:webHidden/>
          </w:rPr>
          <w:fldChar w:fldCharType="separate"/>
        </w:r>
        <w:r w:rsidR="00B768DD">
          <w:rPr>
            <w:webHidden/>
          </w:rPr>
          <w:t>16</w:t>
        </w:r>
        <w:r w:rsidR="00B768DD">
          <w:rPr>
            <w:webHidden/>
          </w:rPr>
          <w:fldChar w:fldCharType="end"/>
        </w:r>
      </w:hyperlink>
    </w:p>
    <w:p w:rsidR="00B768DD" w:rsidRDefault="005D6D1F" w:rsidP="0035019C">
      <w:pPr>
        <w:pStyle w:val="TOC2"/>
        <w:rPr>
          <w:rFonts w:cstheme="minorBidi"/>
          <w:noProof/>
          <w:lang w:eastAsia="en-NZ"/>
        </w:rPr>
      </w:pPr>
      <w:hyperlink w:anchor="_Toc23758595" w:history="1">
        <w:r w:rsidR="00B768DD" w:rsidRPr="007D765C">
          <w:rPr>
            <w:rStyle w:val="Hyperlink"/>
            <w:noProof/>
          </w:rPr>
          <w:t>Mayor’s introduction</w:t>
        </w:r>
        <w:r w:rsidR="00B768DD">
          <w:rPr>
            <w:noProof/>
            <w:webHidden/>
          </w:rPr>
          <w:tab/>
        </w:r>
        <w:r w:rsidR="00B768DD">
          <w:rPr>
            <w:noProof/>
            <w:webHidden/>
          </w:rPr>
          <w:fldChar w:fldCharType="begin"/>
        </w:r>
        <w:r w:rsidR="00B768DD">
          <w:rPr>
            <w:noProof/>
            <w:webHidden/>
          </w:rPr>
          <w:instrText xml:space="preserve"> PAGEREF _Toc23758595 \h </w:instrText>
        </w:r>
        <w:r w:rsidR="00B768DD">
          <w:rPr>
            <w:noProof/>
            <w:webHidden/>
          </w:rPr>
        </w:r>
        <w:r w:rsidR="00B768DD">
          <w:rPr>
            <w:noProof/>
            <w:webHidden/>
          </w:rPr>
          <w:fldChar w:fldCharType="separate"/>
        </w:r>
        <w:r w:rsidR="00B768DD">
          <w:rPr>
            <w:noProof/>
            <w:webHidden/>
          </w:rPr>
          <w:t>16</w:t>
        </w:r>
        <w:r w:rsidR="00B768DD">
          <w:rPr>
            <w:noProof/>
            <w:webHidden/>
          </w:rPr>
          <w:fldChar w:fldCharType="end"/>
        </w:r>
      </w:hyperlink>
    </w:p>
    <w:p w:rsidR="00B768DD" w:rsidRDefault="005D6D1F" w:rsidP="0035019C">
      <w:pPr>
        <w:pStyle w:val="TOC2"/>
        <w:rPr>
          <w:rFonts w:cstheme="minorBidi"/>
          <w:noProof/>
          <w:lang w:eastAsia="en-NZ"/>
        </w:rPr>
      </w:pPr>
      <w:hyperlink w:anchor="_Toc23758596" w:history="1">
        <w:r w:rsidR="00B768DD" w:rsidRPr="007D765C">
          <w:rPr>
            <w:rStyle w:val="Hyperlink"/>
            <w:noProof/>
          </w:rPr>
          <w:t>Chief Executive’s introduction</w:t>
        </w:r>
        <w:r w:rsidR="00B768DD">
          <w:rPr>
            <w:noProof/>
            <w:webHidden/>
          </w:rPr>
          <w:tab/>
        </w:r>
        <w:r w:rsidR="00B768DD">
          <w:rPr>
            <w:noProof/>
            <w:webHidden/>
          </w:rPr>
          <w:fldChar w:fldCharType="begin"/>
        </w:r>
        <w:r w:rsidR="00B768DD">
          <w:rPr>
            <w:noProof/>
            <w:webHidden/>
          </w:rPr>
          <w:instrText xml:space="preserve"> PAGEREF _Toc23758596 \h </w:instrText>
        </w:r>
        <w:r w:rsidR="00B768DD">
          <w:rPr>
            <w:noProof/>
            <w:webHidden/>
          </w:rPr>
        </w:r>
        <w:r w:rsidR="00B768DD">
          <w:rPr>
            <w:noProof/>
            <w:webHidden/>
          </w:rPr>
          <w:fldChar w:fldCharType="separate"/>
        </w:r>
        <w:r w:rsidR="00B768DD">
          <w:rPr>
            <w:noProof/>
            <w:webHidden/>
          </w:rPr>
          <w:t>19</w:t>
        </w:r>
        <w:r w:rsidR="00B768DD">
          <w:rPr>
            <w:noProof/>
            <w:webHidden/>
          </w:rPr>
          <w:fldChar w:fldCharType="end"/>
        </w:r>
      </w:hyperlink>
    </w:p>
    <w:p w:rsidR="00B768DD" w:rsidRDefault="005D6D1F" w:rsidP="0035019C">
      <w:pPr>
        <w:pStyle w:val="TOC2"/>
        <w:rPr>
          <w:rFonts w:cstheme="minorBidi"/>
          <w:noProof/>
          <w:lang w:eastAsia="en-NZ"/>
        </w:rPr>
      </w:pPr>
      <w:hyperlink w:anchor="_Toc23758597" w:history="1">
        <w:r w:rsidR="00B768DD" w:rsidRPr="007D765C">
          <w:rPr>
            <w:rStyle w:val="Hyperlink"/>
            <w:noProof/>
          </w:rPr>
          <w:t>Highlights of the year</w:t>
        </w:r>
        <w:r w:rsidR="00B768DD">
          <w:rPr>
            <w:noProof/>
            <w:webHidden/>
          </w:rPr>
          <w:tab/>
        </w:r>
        <w:r w:rsidR="00B768DD">
          <w:rPr>
            <w:noProof/>
            <w:webHidden/>
          </w:rPr>
          <w:fldChar w:fldCharType="begin"/>
        </w:r>
        <w:r w:rsidR="00B768DD">
          <w:rPr>
            <w:noProof/>
            <w:webHidden/>
          </w:rPr>
          <w:instrText xml:space="preserve"> PAGEREF _Toc23758597 \h </w:instrText>
        </w:r>
        <w:r w:rsidR="00B768DD">
          <w:rPr>
            <w:noProof/>
            <w:webHidden/>
          </w:rPr>
        </w:r>
        <w:r w:rsidR="00B768DD">
          <w:rPr>
            <w:noProof/>
            <w:webHidden/>
          </w:rPr>
          <w:fldChar w:fldCharType="separate"/>
        </w:r>
        <w:r w:rsidR="00B768DD">
          <w:rPr>
            <w:noProof/>
            <w:webHidden/>
          </w:rPr>
          <w:t>22</w:t>
        </w:r>
        <w:r w:rsidR="00B768DD">
          <w:rPr>
            <w:noProof/>
            <w:webHidden/>
          </w:rPr>
          <w:fldChar w:fldCharType="end"/>
        </w:r>
      </w:hyperlink>
    </w:p>
    <w:p w:rsidR="00B768DD" w:rsidRDefault="005D6D1F" w:rsidP="0035019C">
      <w:pPr>
        <w:pStyle w:val="TOC2"/>
        <w:rPr>
          <w:rFonts w:cstheme="minorBidi"/>
          <w:noProof/>
          <w:lang w:eastAsia="en-NZ"/>
        </w:rPr>
      </w:pPr>
      <w:hyperlink w:anchor="_Toc23758598" w:history="1">
        <w:r w:rsidR="00B768DD" w:rsidRPr="007D765C">
          <w:rPr>
            <w:rStyle w:val="Hyperlink"/>
            <w:noProof/>
          </w:rPr>
          <w:t>Summary of what we do</w:t>
        </w:r>
        <w:r w:rsidR="00B768DD">
          <w:rPr>
            <w:noProof/>
            <w:webHidden/>
          </w:rPr>
          <w:tab/>
        </w:r>
        <w:r w:rsidR="00B768DD">
          <w:rPr>
            <w:noProof/>
            <w:webHidden/>
          </w:rPr>
          <w:fldChar w:fldCharType="begin"/>
        </w:r>
        <w:r w:rsidR="00B768DD">
          <w:rPr>
            <w:noProof/>
            <w:webHidden/>
          </w:rPr>
          <w:instrText xml:space="preserve"> PAGEREF _Toc23758598 \h </w:instrText>
        </w:r>
        <w:r w:rsidR="00B768DD">
          <w:rPr>
            <w:noProof/>
            <w:webHidden/>
          </w:rPr>
        </w:r>
        <w:r w:rsidR="00B768DD">
          <w:rPr>
            <w:noProof/>
            <w:webHidden/>
          </w:rPr>
          <w:fldChar w:fldCharType="separate"/>
        </w:r>
        <w:r w:rsidR="00B768DD">
          <w:rPr>
            <w:noProof/>
            <w:webHidden/>
          </w:rPr>
          <w:t>22</w:t>
        </w:r>
        <w:r w:rsidR="00B768DD">
          <w:rPr>
            <w:noProof/>
            <w:webHidden/>
          </w:rPr>
          <w:fldChar w:fldCharType="end"/>
        </w:r>
      </w:hyperlink>
    </w:p>
    <w:p w:rsidR="00B768DD" w:rsidRDefault="005D6D1F" w:rsidP="0035019C">
      <w:pPr>
        <w:pStyle w:val="TOC2"/>
        <w:rPr>
          <w:rFonts w:cstheme="minorBidi"/>
          <w:noProof/>
          <w:lang w:eastAsia="en-NZ"/>
        </w:rPr>
      </w:pPr>
      <w:hyperlink w:anchor="_Toc23758599" w:history="1">
        <w:r w:rsidR="00B768DD" w:rsidRPr="007D765C">
          <w:rPr>
            <w:rStyle w:val="Hyperlink"/>
            <w:noProof/>
          </w:rPr>
          <w:t>Summary of our performance</w:t>
        </w:r>
        <w:r w:rsidR="00B768DD">
          <w:rPr>
            <w:noProof/>
            <w:webHidden/>
          </w:rPr>
          <w:tab/>
        </w:r>
        <w:r w:rsidR="00B768DD">
          <w:rPr>
            <w:noProof/>
            <w:webHidden/>
          </w:rPr>
          <w:fldChar w:fldCharType="begin"/>
        </w:r>
        <w:r w:rsidR="00B768DD">
          <w:rPr>
            <w:noProof/>
            <w:webHidden/>
          </w:rPr>
          <w:instrText xml:space="preserve"> PAGEREF _Toc23758599 \h </w:instrText>
        </w:r>
        <w:r w:rsidR="00B768DD">
          <w:rPr>
            <w:noProof/>
            <w:webHidden/>
          </w:rPr>
        </w:r>
        <w:r w:rsidR="00B768DD">
          <w:rPr>
            <w:noProof/>
            <w:webHidden/>
          </w:rPr>
          <w:fldChar w:fldCharType="separate"/>
        </w:r>
        <w:r w:rsidR="00B768DD">
          <w:rPr>
            <w:noProof/>
            <w:webHidden/>
          </w:rPr>
          <w:t>23</w:t>
        </w:r>
        <w:r w:rsidR="00B768DD">
          <w:rPr>
            <w:noProof/>
            <w:webHidden/>
          </w:rPr>
          <w:fldChar w:fldCharType="end"/>
        </w:r>
      </w:hyperlink>
    </w:p>
    <w:p w:rsidR="00B768DD" w:rsidRDefault="005D6D1F" w:rsidP="0035019C">
      <w:pPr>
        <w:pStyle w:val="TOC2"/>
        <w:rPr>
          <w:rFonts w:cstheme="minorBidi"/>
          <w:noProof/>
          <w:lang w:eastAsia="en-NZ"/>
        </w:rPr>
      </w:pPr>
      <w:hyperlink w:anchor="_Toc23758600" w:history="1">
        <w:r w:rsidR="00B768DD" w:rsidRPr="007D765C">
          <w:rPr>
            <w:rStyle w:val="Hyperlink"/>
            <w:noProof/>
          </w:rPr>
          <w:t>Where do my rates go?</w:t>
        </w:r>
        <w:r w:rsidR="00B768DD">
          <w:rPr>
            <w:noProof/>
            <w:webHidden/>
          </w:rPr>
          <w:tab/>
        </w:r>
        <w:r w:rsidR="00B768DD">
          <w:rPr>
            <w:noProof/>
            <w:webHidden/>
          </w:rPr>
          <w:fldChar w:fldCharType="begin"/>
        </w:r>
        <w:r w:rsidR="00B768DD">
          <w:rPr>
            <w:noProof/>
            <w:webHidden/>
          </w:rPr>
          <w:instrText xml:space="preserve"> PAGEREF _Toc23758600 \h </w:instrText>
        </w:r>
        <w:r w:rsidR="00B768DD">
          <w:rPr>
            <w:noProof/>
            <w:webHidden/>
          </w:rPr>
        </w:r>
        <w:r w:rsidR="00B768DD">
          <w:rPr>
            <w:noProof/>
            <w:webHidden/>
          </w:rPr>
          <w:fldChar w:fldCharType="separate"/>
        </w:r>
        <w:r w:rsidR="00B768DD">
          <w:rPr>
            <w:noProof/>
            <w:webHidden/>
          </w:rPr>
          <w:t>34</w:t>
        </w:r>
        <w:r w:rsidR="00B768DD">
          <w:rPr>
            <w:noProof/>
            <w:webHidden/>
          </w:rPr>
          <w:fldChar w:fldCharType="end"/>
        </w:r>
      </w:hyperlink>
    </w:p>
    <w:p w:rsidR="00B768DD" w:rsidRDefault="005D6D1F" w:rsidP="0035019C">
      <w:pPr>
        <w:pStyle w:val="TOC2"/>
        <w:rPr>
          <w:rFonts w:cstheme="minorBidi"/>
          <w:noProof/>
          <w:lang w:eastAsia="en-NZ"/>
        </w:rPr>
      </w:pPr>
      <w:hyperlink w:anchor="_Toc23758601" w:history="1">
        <w:r w:rsidR="00B768DD" w:rsidRPr="007D765C">
          <w:rPr>
            <w:rStyle w:val="Hyperlink"/>
            <w:noProof/>
          </w:rPr>
          <w:t>Capital of Culture</w:t>
        </w:r>
        <w:r w:rsidR="00B768DD">
          <w:rPr>
            <w:noProof/>
            <w:webHidden/>
          </w:rPr>
          <w:tab/>
        </w:r>
        <w:r w:rsidR="00B768DD">
          <w:rPr>
            <w:noProof/>
            <w:webHidden/>
          </w:rPr>
          <w:fldChar w:fldCharType="begin"/>
        </w:r>
        <w:r w:rsidR="00B768DD">
          <w:rPr>
            <w:noProof/>
            <w:webHidden/>
          </w:rPr>
          <w:instrText xml:space="preserve"> PAGEREF _Toc23758601 \h </w:instrText>
        </w:r>
        <w:r w:rsidR="00B768DD">
          <w:rPr>
            <w:noProof/>
            <w:webHidden/>
          </w:rPr>
        </w:r>
        <w:r w:rsidR="00B768DD">
          <w:rPr>
            <w:noProof/>
            <w:webHidden/>
          </w:rPr>
          <w:fldChar w:fldCharType="separate"/>
        </w:r>
        <w:r w:rsidR="00B768DD">
          <w:rPr>
            <w:noProof/>
            <w:webHidden/>
          </w:rPr>
          <w:t>35</w:t>
        </w:r>
        <w:r w:rsidR="00B768DD">
          <w:rPr>
            <w:noProof/>
            <w:webHidden/>
          </w:rPr>
          <w:fldChar w:fldCharType="end"/>
        </w:r>
      </w:hyperlink>
    </w:p>
    <w:p w:rsidR="00B768DD" w:rsidRDefault="005D6D1F">
      <w:pPr>
        <w:pStyle w:val="TOC1"/>
        <w:rPr>
          <w:rFonts w:cstheme="minorBidi"/>
          <w:b w:val="0"/>
          <w:lang w:eastAsia="en-NZ"/>
        </w:rPr>
      </w:pPr>
      <w:hyperlink w:anchor="_Toc23758602" w:history="1">
        <w:r w:rsidR="00B768DD" w:rsidRPr="007D765C">
          <w:rPr>
            <w:rStyle w:val="Hyperlink"/>
          </w:rPr>
          <w:t>Section 3: Our performance in detail</w:t>
        </w:r>
        <w:r w:rsidR="00B768DD">
          <w:rPr>
            <w:webHidden/>
          </w:rPr>
          <w:tab/>
        </w:r>
        <w:r w:rsidR="00B768DD">
          <w:rPr>
            <w:webHidden/>
          </w:rPr>
          <w:fldChar w:fldCharType="begin"/>
        </w:r>
        <w:r w:rsidR="00B768DD">
          <w:rPr>
            <w:webHidden/>
          </w:rPr>
          <w:instrText xml:space="preserve"> PAGEREF _Toc23758602 \h </w:instrText>
        </w:r>
        <w:r w:rsidR="00B768DD">
          <w:rPr>
            <w:webHidden/>
          </w:rPr>
        </w:r>
        <w:r w:rsidR="00B768DD">
          <w:rPr>
            <w:webHidden/>
          </w:rPr>
          <w:fldChar w:fldCharType="separate"/>
        </w:r>
        <w:r w:rsidR="00B768DD">
          <w:rPr>
            <w:webHidden/>
          </w:rPr>
          <w:t>37</w:t>
        </w:r>
        <w:r w:rsidR="00B768DD">
          <w:rPr>
            <w:webHidden/>
          </w:rPr>
          <w:fldChar w:fldCharType="end"/>
        </w:r>
      </w:hyperlink>
    </w:p>
    <w:p w:rsidR="00B768DD" w:rsidRDefault="005D6D1F" w:rsidP="0035019C">
      <w:pPr>
        <w:pStyle w:val="TOC2"/>
        <w:rPr>
          <w:rFonts w:cstheme="minorBidi"/>
          <w:noProof/>
          <w:lang w:eastAsia="en-NZ"/>
        </w:rPr>
      </w:pPr>
      <w:hyperlink w:anchor="_Toc23758603" w:history="1">
        <w:r w:rsidR="00B768DD" w:rsidRPr="007D765C">
          <w:rPr>
            <w:rStyle w:val="Hyperlink"/>
            <w:noProof/>
          </w:rPr>
          <w:t>1 Pārongo ā-tāone - Governance</w:t>
        </w:r>
        <w:r w:rsidR="00B768DD">
          <w:rPr>
            <w:noProof/>
            <w:webHidden/>
          </w:rPr>
          <w:tab/>
        </w:r>
        <w:r w:rsidR="00B768DD">
          <w:rPr>
            <w:noProof/>
            <w:webHidden/>
          </w:rPr>
          <w:fldChar w:fldCharType="begin"/>
        </w:r>
        <w:r w:rsidR="00B768DD">
          <w:rPr>
            <w:noProof/>
            <w:webHidden/>
          </w:rPr>
          <w:instrText xml:space="preserve"> PAGEREF _Toc23758603 \h </w:instrText>
        </w:r>
        <w:r w:rsidR="00B768DD">
          <w:rPr>
            <w:noProof/>
            <w:webHidden/>
          </w:rPr>
        </w:r>
        <w:r w:rsidR="00B768DD">
          <w:rPr>
            <w:noProof/>
            <w:webHidden/>
          </w:rPr>
          <w:fldChar w:fldCharType="separate"/>
        </w:r>
        <w:r w:rsidR="00B768DD">
          <w:rPr>
            <w:noProof/>
            <w:webHidden/>
          </w:rPr>
          <w:t>37</w:t>
        </w:r>
        <w:r w:rsidR="00B768DD">
          <w:rPr>
            <w:noProof/>
            <w:webHidden/>
          </w:rPr>
          <w:fldChar w:fldCharType="end"/>
        </w:r>
      </w:hyperlink>
    </w:p>
    <w:p w:rsidR="00B768DD" w:rsidRDefault="005D6D1F" w:rsidP="0035019C">
      <w:pPr>
        <w:pStyle w:val="TOC2"/>
        <w:rPr>
          <w:rFonts w:cstheme="minorBidi"/>
          <w:noProof/>
          <w:lang w:eastAsia="en-NZ"/>
        </w:rPr>
      </w:pPr>
      <w:hyperlink w:anchor="_Toc23758604" w:history="1">
        <w:r w:rsidR="00B768DD" w:rsidRPr="007D765C">
          <w:rPr>
            <w:rStyle w:val="Hyperlink"/>
            <w:noProof/>
          </w:rPr>
          <w:t>2 Taiao  - Environment</w:t>
        </w:r>
        <w:r w:rsidR="00B768DD">
          <w:rPr>
            <w:noProof/>
            <w:webHidden/>
          </w:rPr>
          <w:tab/>
        </w:r>
        <w:r w:rsidR="00B768DD">
          <w:rPr>
            <w:noProof/>
            <w:webHidden/>
          </w:rPr>
          <w:fldChar w:fldCharType="begin"/>
        </w:r>
        <w:r w:rsidR="00B768DD">
          <w:rPr>
            <w:noProof/>
            <w:webHidden/>
          </w:rPr>
          <w:instrText xml:space="preserve"> PAGEREF _Toc23758604 \h </w:instrText>
        </w:r>
        <w:r w:rsidR="00B768DD">
          <w:rPr>
            <w:noProof/>
            <w:webHidden/>
          </w:rPr>
        </w:r>
        <w:r w:rsidR="00B768DD">
          <w:rPr>
            <w:noProof/>
            <w:webHidden/>
          </w:rPr>
          <w:fldChar w:fldCharType="separate"/>
        </w:r>
        <w:r w:rsidR="00B768DD">
          <w:rPr>
            <w:noProof/>
            <w:webHidden/>
          </w:rPr>
          <w:t>50</w:t>
        </w:r>
        <w:r w:rsidR="00B768DD">
          <w:rPr>
            <w:noProof/>
            <w:webHidden/>
          </w:rPr>
          <w:fldChar w:fldCharType="end"/>
        </w:r>
      </w:hyperlink>
    </w:p>
    <w:p w:rsidR="00B768DD" w:rsidRDefault="005D6D1F" w:rsidP="0035019C">
      <w:pPr>
        <w:pStyle w:val="TOC2"/>
        <w:rPr>
          <w:rFonts w:cstheme="minorBidi"/>
          <w:noProof/>
          <w:lang w:eastAsia="en-NZ"/>
        </w:rPr>
      </w:pPr>
      <w:hyperlink w:anchor="_Toc23758605" w:history="1">
        <w:r w:rsidR="00B768DD" w:rsidRPr="007D765C">
          <w:rPr>
            <w:rStyle w:val="Hyperlink"/>
            <w:noProof/>
          </w:rPr>
          <w:t>3 Whanaketanga ōhanga - Economic development</w:t>
        </w:r>
        <w:r w:rsidR="00B768DD">
          <w:rPr>
            <w:noProof/>
            <w:webHidden/>
          </w:rPr>
          <w:tab/>
        </w:r>
        <w:r w:rsidR="00B768DD">
          <w:rPr>
            <w:noProof/>
            <w:webHidden/>
          </w:rPr>
          <w:fldChar w:fldCharType="begin"/>
        </w:r>
        <w:r w:rsidR="00B768DD">
          <w:rPr>
            <w:noProof/>
            <w:webHidden/>
          </w:rPr>
          <w:instrText xml:space="preserve"> PAGEREF _Toc23758605 \h </w:instrText>
        </w:r>
        <w:r w:rsidR="00B768DD">
          <w:rPr>
            <w:noProof/>
            <w:webHidden/>
          </w:rPr>
        </w:r>
        <w:r w:rsidR="00B768DD">
          <w:rPr>
            <w:noProof/>
            <w:webHidden/>
          </w:rPr>
          <w:fldChar w:fldCharType="separate"/>
        </w:r>
        <w:r w:rsidR="00B768DD">
          <w:rPr>
            <w:noProof/>
            <w:webHidden/>
          </w:rPr>
          <w:t>82</w:t>
        </w:r>
        <w:r w:rsidR="00B768DD">
          <w:rPr>
            <w:noProof/>
            <w:webHidden/>
          </w:rPr>
          <w:fldChar w:fldCharType="end"/>
        </w:r>
      </w:hyperlink>
    </w:p>
    <w:p w:rsidR="00B768DD" w:rsidRDefault="005D6D1F" w:rsidP="0035019C">
      <w:pPr>
        <w:pStyle w:val="TOC2"/>
        <w:rPr>
          <w:rFonts w:cstheme="minorBidi"/>
          <w:noProof/>
          <w:lang w:eastAsia="en-NZ"/>
        </w:rPr>
      </w:pPr>
      <w:hyperlink w:anchor="_Toc23758606" w:history="1">
        <w:r w:rsidR="00B768DD" w:rsidRPr="007D765C">
          <w:rPr>
            <w:rStyle w:val="Hyperlink"/>
            <w:noProof/>
          </w:rPr>
          <w:t>4 Oranga ahurea - Cultural wellbeing</w:t>
        </w:r>
        <w:r w:rsidR="00B768DD">
          <w:rPr>
            <w:noProof/>
            <w:webHidden/>
          </w:rPr>
          <w:tab/>
        </w:r>
        <w:r w:rsidR="00B768DD">
          <w:rPr>
            <w:noProof/>
            <w:webHidden/>
          </w:rPr>
          <w:fldChar w:fldCharType="begin"/>
        </w:r>
        <w:r w:rsidR="00B768DD">
          <w:rPr>
            <w:noProof/>
            <w:webHidden/>
          </w:rPr>
          <w:instrText xml:space="preserve"> PAGEREF _Toc23758606 \h </w:instrText>
        </w:r>
        <w:r w:rsidR="00B768DD">
          <w:rPr>
            <w:noProof/>
            <w:webHidden/>
          </w:rPr>
        </w:r>
        <w:r w:rsidR="00B768DD">
          <w:rPr>
            <w:noProof/>
            <w:webHidden/>
          </w:rPr>
          <w:fldChar w:fldCharType="separate"/>
        </w:r>
        <w:r w:rsidR="00B768DD">
          <w:rPr>
            <w:noProof/>
            <w:webHidden/>
          </w:rPr>
          <w:t>94</w:t>
        </w:r>
        <w:r w:rsidR="00B768DD">
          <w:rPr>
            <w:noProof/>
            <w:webHidden/>
          </w:rPr>
          <w:fldChar w:fldCharType="end"/>
        </w:r>
      </w:hyperlink>
    </w:p>
    <w:p w:rsidR="00B768DD" w:rsidRDefault="005D6D1F" w:rsidP="0035019C">
      <w:pPr>
        <w:pStyle w:val="TOC2"/>
        <w:rPr>
          <w:rFonts w:cstheme="minorBidi"/>
          <w:noProof/>
          <w:lang w:eastAsia="en-NZ"/>
        </w:rPr>
      </w:pPr>
      <w:hyperlink w:anchor="_Toc23758607" w:history="1">
        <w:r w:rsidR="00B768DD" w:rsidRPr="007D765C">
          <w:rPr>
            <w:rStyle w:val="Hyperlink"/>
            <w:noProof/>
          </w:rPr>
          <w:t>5 Kaupapa Pāpori me ngā Mahi a Rēhia - Social and Recreation</w:t>
        </w:r>
        <w:r w:rsidR="00B768DD">
          <w:rPr>
            <w:noProof/>
            <w:webHidden/>
          </w:rPr>
          <w:tab/>
        </w:r>
        <w:r w:rsidR="00B768DD">
          <w:rPr>
            <w:noProof/>
            <w:webHidden/>
          </w:rPr>
          <w:fldChar w:fldCharType="begin"/>
        </w:r>
        <w:r w:rsidR="00B768DD">
          <w:rPr>
            <w:noProof/>
            <w:webHidden/>
          </w:rPr>
          <w:instrText xml:space="preserve"> PAGEREF _Toc23758607 \h </w:instrText>
        </w:r>
        <w:r w:rsidR="00B768DD">
          <w:rPr>
            <w:noProof/>
            <w:webHidden/>
          </w:rPr>
        </w:r>
        <w:r w:rsidR="00B768DD">
          <w:rPr>
            <w:noProof/>
            <w:webHidden/>
          </w:rPr>
          <w:fldChar w:fldCharType="separate"/>
        </w:r>
        <w:r w:rsidR="00B768DD">
          <w:rPr>
            <w:noProof/>
            <w:webHidden/>
          </w:rPr>
          <w:t>104</w:t>
        </w:r>
        <w:r w:rsidR="00B768DD">
          <w:rPr>
            <w:noProof/>
            <w:webHidden/>
          </w:rPr>
          <w:fldChar w:fldCharType="end"/>
        </w:r>
      </w:hyperlink>
    </w:p>
    <w:p w:rsidR="00B768DD" w:rsidRDefault="005D6D1F" w:rsidP="0035019C">
      <w:pPr>
        <w:pStyle w:val="TOC2"/>
        <w:rPr>
          <w:rFonts w:cstheme="minorBidi"/>
          <w:noProof/>
          <w:lang w:eastAsia="en-NZ"/>
        </w:rPr>
      </w:pPr>
      <w:hyperlink w:anchor="_Toc23758608" w:history="1">
        <w:r w:rsidR="00B768DD" w:rsidRPr="007D765C">
          <w:rPr>
            <w:rStyle w:val="Hyperlink"/>
            <w:noProof/>
          </w:rPr>
          <w:t>6 Tāone tupu ora - Urban development</w:t>
        </w:r>
        <w:r w:rsidR="00B768DD">
          <w:rPr>
            <w:noProof/>
            <w:webHidden/>
          </w:rPr>
          <w:tab/>
        </w:r>
        <w:r w:rsidR="00B768DD">
          <w:rPr>
            <w:noProof/>
            <w:webHidden/>
          </w:rPr>
          <w:fldChar w:fldCharType="begin"/>
        </w:r>
        <w:r w:rsidR="00B768DD">
          <w:rPr>
            <w:noProof/>
            <w:webHidden/>
          </w:rPr>
          <w:instrText xml:space="preserve"> PAGEREF _Toc23758608 \h </w:instrText>
        </w:r>
        <w:r w:rsidR="00B768DD">
          <w:rPr>
            <w:noProof/>
            <w:webHidden/>
          </w:rPr>
        </w:r>
        <w:r w:rsidR="00B768DD">
          <w:rPr>
            <w:noProof/>
            <w:webHidden/>
          </w:rPr>
          <w:fldChar w:fldCharType="separate"/>
        </w:r>
        <w:r w:rsidR="00B768DD">
          <w:rPr>
            <w:noProof/>
            <w:webHidden/>
          </w:rPr>
          <w:t>130</w:t>
        </w:r>
        <w:r w:rsidR="00B768DD">
          <w:rPr>
            <w:noProof/>
            <w:webHidden/>
          </w:rPr>
          <w:fldChar w:fldCharType="end"/>
        </w:r>
      </w:hyperlink>
    </w:p>
    <w:p w:rsidR="00B768DD" w:rsidRDefault="005D6D1F" w:rsidP="0035019C">
      <w:pPr>
        <w:pStyle w:val="TOC2"/>
        <w:rPr>
          <w:rFonts w:cstheme="minorBidi"/>
          <w:noProof/>
          <w:lang w:eastAsia="en-NZ"/>
        </w:rPr>
      </w:pPr>
      <w:hyperlink w:anchor="_Toc23758609" w:history="1">
        <w:r w:rsidR="00B768DD" w:rsidRPr="007D765C">
          <w:rPr>
            <w:rStyle w:val="Hyperlink"/>
            <w:noProof/>
          </w:rPr>
          <w:t>7 Waka - Transport</w:t>
        </w:r>
        <w:r w:rsidR="00B768DD">
          <w:rPr>
            <w:noProof/>
            <w:webHidden/>
          </w:rPr>
          <w:tab/>
        </w:r>
        <w:r w:rsidR="00B768DD">
          <w:rPr>
            <w:noProof/>
            <w:webHidden/>
          </w:rPr>
          <w:fldChar w:fldCharType="begin"/>
        </w:r>
        <w:r w:rsidR="00B768DD">
          <w:rPr>
            <w:noProof/>
            <w:webHidden/>
          </w:rPr>
          <w:instrText xml:space="preserve"> PAGEREF _Toc23758609 \h </w:instrText>
        </w:r>
        <w:r w:rsidR="00B768DD">
          <w:rPr>
            <w:noProof/>
            <w:webHidden/>
          </w:rPr>
        </w:r>
        <w:r w:rsidR="00B768DD">
          <w:rPr>
            <w:noProof/>
            <w:webHidden/>
          </w:rPr>
          <w:fldChar w:fldCharType="separate"/>
        </w:r>
        <w:r w:rsidR="00B768DD">
          <w:rPr>
            <w:noProof/>
            <w:webHidden/>
          </w:rPr>
          <w:t>152</w:t>
        </w:r>
        <w:r w:rsidR="00B768DD">
          <w:rPr>
            <w:noProof/>
            <w:webHidden/>
          </w:rPr>
          <w:fldChar w:fldCharType="end"/>
        </w:r>
      </w:hyperlink>
    </w:p>
    <w:p w:rsidR="00B768DD" w:rsidRDefault="005D6D1F" w:rsidP="0035019C">
      <w:pPr>
        <w:pStyle w:val="TOC2"/>
        <w:rPr>
          <w:rFonts w:cstheme="minorBidi"/>
          <w:noProof/>
          <w:lang w:eastAsia="en-NZ"/>
        </w:rPr>
      </w:pPr>
      <w:hyperlink w:anchor="_Toc23758610" w:history="1">
        <w:r w:rsidR="00B768DD" w:rsidRPr="007D765C">
          <w:rPr>
            <w:rStyle w:val="Hyperlink"/>
            <w:noProof/>
          </w:rPr>
          <w:t>8 Ngā rōpū e here ana ki te Kaunihera - Council-Controlled Organisations</w:t>
        </w:r>
        <w:r w:rsidR="00B768DD">
          <w:rPr>
            <w:noProof/>
            <w:webHidden/>
          </w:rPr>
          <w:tab/>
        </w:r>
        <w:r w:rsidR="00B768DD">
          <w:rPr>
            <w:noProof/>
            <w:webHidden/>
          </w:rPr>
          <w:fldChar w:fldCharType="begin"/>
        </w:r>
        <w:r w:rsidR="00B768DD">
          <w:rPr>
            <w:noProof/>
            <w:webHidden/>
          </w:rPr>
          <w:instrText xml:space="preserve"> PAGEREF _Toc23758610 \h </w:instrText>
        </w:r>
        <w:r w:rsidR="00B768DD">
          <w:rPr>
            <w:noProof/>
            <w:webHidden/>
          </w:rPr>
        </w:r>
        <w:r w:rsidR="00B768DD">
          <w:rPr>
            <w:noProof/>
            <w:webHidden/>
          </w:rPr>
          <w:fldChar w:fldCharType="separate"/>
        </w:r>
        <w:r w:rsidR="00B768DD">
          <w:rPr>
            <w:noProof/>
            <w:webHidden/>
          </w:rPr>
          <w:t>175</w:t>
        </w:r>
        <w:r w:rsidR="00B768DD">
          <w:rPr>
            <w:noProof/>
            <w:webHidden/>
          </w:rPr>
          <w:fldChar w:fldCharType="end"/>
        </w:r>
      </w:hyperlink>
    </w:p>
    <w:p w:rsidR="00B768DD" w:rsidRDefault="005D6D1F">
      <w:pPr>
        <w:pStyle w:val="TOC1"/>
        <w:rPr>
          <w:rFonts w:cstheme="minorBidi"/>
          <w:b w:val="0"/>
          <w:lang w:eastAsia="en-NZ"/>
        </w:rPr>
      </w:pPr>
      <w:hyperlink w:anchor="_Toc23758611" w:history="1">
        <w:r w:rsidR="00B768DD" w:rsidRPr="007D765C">
          <w:rPr>
            <w:rStyle w:val="Hyperlink"/>
          </w:rPr>
          <w:t>Section 4: Governance and Management</w:t>
        </w:r>
        <w:r w:rsidR="00B768DD">
          <w:rPr>
            <w:webHidden/>
          </w:rPr>
          <w:tab/>
        </w:r>
        <w:r w:rsidR="00B768DD">
          <w:rPr>
            <w:webHidden/>
          </w:rPr>
          <w:fldChar w:fldCharType="begin"/>
        </w:r>
        <w:r w:rsidR="00B768DD">
          <w:rPr>
            <w:webHidden/>
          </w:rPr>
          <w:instrText xml:space="preserve"> PAGEREF _Toc23758611 \h </w:instrText>
        </w:r>
        <w:r w:rsidR="00B768DD">
          <w:rPr>
            <w:webHidden/>
          </w:rPr>
        </w:r>
        <w:r w:rsidR="00B768DD">
          <w:rPr>
            <w:webHidden/>
          </w:rPr>
          <w:fldChar w:fldCharType="separate"/>
        </w:r>
        <w:r w:rsidR="00B768DD">
          <w:rPr>
            <w:webHidden/>
          </w:rPr>
          <w:t>184</w:t>
        </w:r>
        <w:r w:rsidR="00B768DD">
          <w:rPr>
            <w:webHidden/>
          </w:rPr>
          <w:fldChar w:fldCharType="end"/>
        </w:r>
      </w:hyperlink>
    </w:p>
    <w:p w:rsidR="00B768DD" w:rsidRDefault="005D6D1F" w:rsidP="0035019C">
      <w:pPr>
        <w:pStyle w:val="TOC2"/>
        <w:rPr>
          <w:rFonts w:cstheme="minorBidi"/>
          <w:noProof/>
          <w:lang w:eastAsia="en-NZ"/>
        </w:rPr>
      </w:pPr>
      <w:hyperlink w:anchor="_Toc23758612" w:history="1">
        <w:r w:rsidR="00B768DD" w:rsidRPr="007D765C">
          <w:rPr>
            <w:rStyle w:val="Hyperlink"/>
            <w:noProof/>
          </w:rPr>
          <w:t>Our Council</w:t>
        </w:r>
        <w:r w:rsidR="00B768DD">
          <w:rPr>
            <w:noProof/>
            <w:webHidden/>
          </w:rPr>
          <w:tab/>
        </w:r>
        <w:r w:rsidR="00B768DD">
          <w:rPr>
            <w:noProof/>
            <w:webHidden/>
          </w:rPr>
          <w:fldChar w:fldCharType="begin"/>
        </w:r>
        <w:r w:rsidR="00B768DD">
          <w:rPr>
            <w:noProof/>
            <w:webHidden/>
          </w:rPr>
          <w:instrText xml:space="preserve"> PAGEREF _Toc23758612 \h </w:instrText>
        </w:r>
        <w:r w:rsidR="00B768DD">
          <w:rPr>
            <w:noProof/>
            <w:webHidden/>
          </w:rPr>
        </w:r>
        <w:r w:rsidR="00B768DD">
          <w:rPr>
            <w:noProof/>
            <w:webHidden/>
          </w:rPr>
          <w:fldChar w:fldCharType="separate"/>
        </w:r>
        <w:r w:rsidR="00B768DD">
          <w:rPr>
            <w:noProof/>
            <w:webHidden/>
          </w:rPr>
          <w:t>184</w:t>
        </w:r>
        <w:r w:rsidR="00B768DD">
          <w:rPr>
            <w:noProof/>
            <w:webHidden/>
          </w:rPr>
          <w:fldChar w:fldCharType="end"/>
        </w:r>
      </w:hyperlink>
    </w:p>
    <w:p w:rsidR="00B768DD" w:rsidRDefault="005D6D1F" w:rsidP="0035019C">
      <w:pPr>
        <w:pStyle w:val="TOC2"/>
        <w:rPr>
          <w:rFonts w:cstheme="minorBidi"/>
          <w:noProof/>
          <w:lang w:eastAsia="en-NZ"/>
        </w:rPr>
      </w:pPr>
      <w:hyperlink w:anchor="_Toc23758613" w:history="1">
        <w:r w:rsidR="00B768DD" w:rsidRPr="007D765C">
          <w:rPr>
            <w:rStyle w:val="Hyperlink"/>
            <w:noProof/>
          </w:rPr>
          <w:t>Working with our Community</w:t>
        </w:r>
        <w:r w:rsidR="00B768DD">
          <w:rPr>
            <w:noProof/>
            <w:webHidden/>
          </w:rPr>
          <w:tab/>
        </w:r>
        <w:r w:rsidR="00B768DD">
          <w:rPr>
            <w:noProof/>
            <w:webHidden/>
          </w:rPr>
          <w:fldChar w:fldCharType="begin"/>
        </w:r>
        <w:r w:rsidR="00B768DD">
          <w:rPr>
            <w:noProof/>
            <w:webHidden/>
          </w:rPr>
          <w:instrText xml:space="preserve"> PAGEREF _Toc23758613 \h </w:instrText>
        </w:r>
        <w:r w:rsidR="00B768DD">
          <w:rPr>
            <w:noProof/>
            <w:webHidden/>
          </w:rPr>
        </w:r>
        <w:r w:rsidR="00B768DD">
          <w:rPr>
            <w:noProof/>
            <w:webHidden/>
          </w:rPr>
          <w:fldChar w:fldCharType="separate"/>
        </w:r>
        <w:r w:rsidR="00B768DD">
          <w:rPr>
            <w:noProof/>
            <w:webHidden/>
          </w:rPr>
          <w:t>194</w:t>
        </w:r>
        <w:r w:rsidR="00B768DD">
          <w:rPr>
            <w:noProof/>
            <w:webHidden/>
          </w:rPr>
          <w:fldChar w:fldCharType="end"/>
        </w:r>
      </w:hyperlink>
    </w:p>
    <w:p w:rsidR="00B768DD" w:rsidRDefault="005D6D1F" w:rsidP="0035019C">
      <w:pPr>
        <w:pStyle w:val="TOC2"/>
        <w:rPr>
          <w:rFonts w:cstheme="minorBidi"/>
          <w:noProof/>
          <w:lang w:eastAsia="en-NZ"/>
        </w:rPr>
      </w:pPr>
      <w:hyperlink w:anchor="_Toc23758614" w:history="1">
        <w:r w:rsidR="00B768DD" w:rsidRPr="007D765C">
          <w:rPr>
            <w:rStyle w:val="Hyperlink"/>
            <w:noProof/>
          </w:rPr>
          <w:t>Making Ourselves Accountable</w:t>
        </w:r>
        <w:r w:rsidR="00B768DD">
          <w:rPr>
            <w:noProof/>
            <w:webHidden/>
          </w:rPr>
          <w:tab/>
        </w:r>
        <w:r w:rsidR="00B768DD">
          <w:rPr>
            <w:noProof/>
            <w:webHidden/>
          </w:rPr>
          <w:fldChar w:fldCharType="begin"/>
        </w:r>
        <w:r w:rsidR="00B768DD">
          <w:rPr>
            <w:noProof/>
            <w:webHidden/>
          </w:rPr>
          <w:instrText xml:space="preserve"> PAGEREF _Toc23758614 \h </w:instrText>
        </w:r>
        <w:r w:rsidR="00B768DD">
          <w:rPr>
            <w:noProof/>
            <w:webHidden/>
          </w:rPr>
        </w:r>
        <w:r w:rsidR="00B768DD">
          <w:rPr>
            <w:noProof/>
            <w:webHidden/>
          </w:rPr>
          <w:fldChar w:fldCharType="separate"/>
        </w:r>
        <w:r w:rsidR="00B768DD">
          <w:rPr>
            <w:noProof/>
            <w:webHidden/>
          </w:rPr>
          <w:t>199</w:t>
        </w:r>
        <w:r w:rsidR="00B768DD">
          <w:rPr>
            <w:noProof/>
            <w:webHidden/>
          </w:rPr>
          <w:fldChar w:fldCharType="end"/>
        </w:r>
      </w:hyperlink>
    </w:p>
    <w:p w:rsidR="00B768DD" w:rsidRDefault="005D6D1F" w:rsidP="0035019C">
      <w:pPr>
        <w:pStyle w:val="TOC2"/>
        <w:rPr>
          <w:rFonts w:cstheme="minorBidi"/>
          <w:noProof/>
          <w:lang w:eastAsia="en-NZ"/>
        </w:rPr>
      </w:pPr>
      <w:hyperlink w:anchor="_Toc23758615" w:history="1">
        <w:r w:rsidR="00B768DD" w:rsidRPr="007D765C">
          <w:rPr>
            <w:rStyle w:val="Hyperlink"/>
            <w:noProof/>
          </w:rPr>
          <w:t>Our Organisation</w:t>
        </w:r>
        <w:r w:rsidR="00B768DD">
          <w:rPr>
            <w:noProof/>
            <w:webHidden/>
          </w:rPr>
          <w:tab/>
        </w:r>
        <w:r w:rsidR="00B768DD">
          <w:rPr>
            <w:noProof/>
            <w:webHidden/>
          </w:rPr>
          <w:fldChar w:fldCharType="begin"/>
        </w:r>
        <w:r w:rsidR="00B768DD">
          <w:rPr>
            <w:noProof/>
            <w:webHidden/>
          </w:rPr>
          <w:instrText xml:space="preserve"> PAGEREF _Toc23758615 \h </w:instrText>
        </w:r>
        <w:r w:rsidR="00B768DD">
          <w:rPr>
            <w:noProof/>
            <w:webHidden/>
          </w:rPr>
        </w:r>
        <w:r w:rsidR="00B768DD">
          <w:rPr>
            <w:noProof/>
            <w:webHidden/>
          </w:rPr>
          <w:fldChar w:fldCharType="separate"/>
        </w:r>
        <w:r w:rsidR="00B768DD">
          <w:rPr>
            <w:noProof/>
            <w:webHidden/>
          </w:rPr>
          <w:t>201</w:t>
        </w:r>
        <w:r w:rsidR="00B768DD">
          <w:rPr>
            <w:noProof/>
            <w:webHidden/>
          </w:rPr>
          <w:fldChar w:fldCharType="end"/>
        </w:r>
      </w:hyperlink>
    </w:p>
    <w:p w:rsidR="00B768DD" w:rsidRDefault="005D6D1F" w:rsidP="0035019C">
      <w:pPr>
        <w:pStyle w:val="TOC2"/>
        <w:rPr>
          <w:rFonts w:cstheme="minorBidi"/>
          <w:noProof/>
          <w:lang w:eastAsia="en-NZ"/>
        </w:rPr>
      </w:pPr>
      <w:hyperlink w:anchor="_Toc23758616" w:history="1">
        <w:r w:rsidR="00B768DD" w:rsidRPr="007D765C">
          <w:rPr>
            <w:rStyle w:val="Hyperlink"/>
            <w:rFonts w:eastAsia="Times New Roman"/>
            <w:noProof/>
          </w:rPr>
          <w:t>Our Staff</w:t>
        </w:r>
        <w:r w:rsidR="00B768DD">
          <w:rPr>
            <w:noProof/>
            <w:webHidden/>
          </w:rPr>
          <w:tab/>
        </w:r>
        <w:r w:rsidR="00B768DD">
          <w:rPr>
            <w:noProof/>
            <w:webHidden/>
          </w:rPr>
          <w:fldChar w:fldCharType="begin"/>
        </w:r>
        <w:r w:rsidR="00B768DD">
          <w:rPr>
            <w:noProof/>
            <w:webHidden/>
          </w:rPr>
          <w:instrText xml:space="preserve"> PAGEREF _Toc23758616 \h </w:instrText>
        </w:r>
        <w:r w:rsidR="00B768DD">
          <w:rPr>
            <w:noProof/>
            <w:webHidden/>
          </w:rPr>
        </w:r>
        <w:r w:rsidR="00B768DD">
          <w:rPr>
            <w:noProof/>
            <w:webHidden/>
          </w:rPr>
          <w:fldChar w:fldCharType="separate"/>
        </w:r>
        <w:r w:rsidR="00B768DD">
          <w:rPr>
            <w:noProof/>
            <w:webHidden/>
          </w:rPr>
          <w:t>206</w:t>
        </w:r>
        <w:r w:rsidR="00B768DD">
          <w:rPr>
            <w:noProof/>
            <w:webHidden/>
          </w:rPr>
          <w:fldChar w:fldCharType="end"/>
        </w:r>
      </w:hyperlink>
    </w:p>
    <w:p w:rsidR="00B768DD" w:rsidRDefault="005D6D1F" w:rsidP="0035019C">
      <w:pPr>
        <w:pStyle w:val="TOC2"/>
        <w:rPr>
          <w:rFonts w:cstheme="minorBidi"/>
          <w:noProof/>
          <w:lang w:eastAsia="en-NZ"/>
        </w:rPr>
      </w:pPr>
      <w:hyperlink w:anchor="_Toc23758617" w:history="1">
        <w:r w:rsidR="00B768DD" w:rsidRPr="007D765C">
          <w:rPr>
            <w:rStyle w:val="Hyperlink"/>
            <w:rFonts w:eastAsia="Times New Roman"/>
            <w:noProof/>
          </w:rPr>
          <w:t>Homai te pakipaki – A round of applause</w:t>
        </w:r>
        <w:r w:rsidR="00B768DD">
          <w:rPr>
            <w:noProof/>
            <w:webHidden/>
          </w:rPr>
          <w:tab/>
        </w:r>
        <w:r w:rsidR="00B768DD">
          <w:rPr>
            <w:noProof/>
            <w:webHidden/>
          </w:rPr>
          <w:fldChar w:fldCharType="begin"/>
        </w:r>
        <w:r w:rsidR="00B768DD">
          <w:rPr>
            <w:noProof/>
            <w:webHidden/>
          </w:rPr>
          <w:instrText xml:space="preserve"> PAGEREF _Toc23758617 \h </w:instrText>
        </w:r>
        <w:r w:rsidR="00B768DD">
          <w:rPr>
            <w:noProof/>
            <w:webHidden/>
          </w:rPr>
        </w:r>
        <w:r w:rsidR="00B768DD">
          <w:rPr>
            <w:noProof/>
            <w:webHidden/>
          </w:rPr>
          <w:fldChar w:fldCharType="separate"/>
        </w:r>
        <w:r w:rsidR="00B768DD">
          <w:rPr>
            <w:noProof/>
            <w:webHidden/>
          </w:rPr>
          <w:t>214</w:t>
        </w:r>
        <w:r w:rsidR="00B768DD">
          <w:rPr>
            <w:noProof/>
            <w:webHidden/>
          </w:rPr>
          <w:fldChar w:fldCharType="end"/>
        </w:r>
      </w:hyperlink>
    </w:p>
    <w:p w:rsidR="00B768DD" w:rsidRDefault="005D6D1F">
      <w:pPr>
        <w:pStyle w:val="TOC1"/>
        <w:rPr>
          <w:rFonts w:cstheme="minorBidi"/>
          <w:b w:val="0"/>
          <w:lang w:eastAsia="en-NZ"/>
        </w:rPr>
      </w:pPr>
      <w:hyperlink w:anchor="_Toc23758618" w:history="1">
        <w:r w:rsidR="00B768DD" w:rsidRPr="007D765C">
          <w:rPr>
            <w:rStyle w:val="Hyperlink"/>
          </w:rPr>
          <w:t>Section 5: Financial Statements</w:t>
        </w:r>
        <w:r w:rsidR="00B768DD">
          <w:rPr>
            <w:webHidden/>
          </w:rPr>
          <w:tab/>
        </w:r>
        <w:r w:rsidR="00B768DD">
          <w:rPr>
            <w:webHidden/>
          </w:rPr>
          <w:fldChar w:fldCharType="begin"/>
        </w:r>
        <w:r w:rsidR="00B768DD">
          <w:rPr>
            <w:webHidden/>
          </w:rPr>
          <w:instrText xml:space="preserve"> PAGEREF _Toc23758618 \h </w:instrText>
        </w:r>
        <w:r w:rsidR="00B768DD">
          <w:rPr>
            <w:webHidden/>
          </w:rPr>
        </w:r>
        <w:r w:rsidR="00B768DD">
          <w:rPr>
            <w:webHidden/>
          </w:rPr>
          <w:fldChar w:fldCharType="separate"/>
        </w:r>
        <w:r w:rsidR="00B768DD">
          <w:rPr>
            <w:webHidden/>
          </w:rPr>
          <w:t>217</w:t>
        </w:r>
        <w:r w:rsidR="00B768DD">
          <w:rPr>
            <w:webHidden/>
          </w:rPr>
          <w:fldChar w:fldCharType="end"/>
        </w:r>
      </w:hyperlink>
    </w:p>
    <w:p w:rsidR="00B768DD" w:rsidRDefault="005D6D1F" w:rsidP="0035019C">
      <w:pPr>
        <w:pStyle w:val="TOC2"/>
        <w:rPr>
          <w:rFonts w:cstheme="minorBidi"/>
          <w:noProof/>
          <w:lang w:eastAsia="en-NZ"/>
        </w:rPr>
      </w:pPr>
      <w:hyperlink w:anchor="_Toc23758619" w:history="1">
        <w:r w:rsidR="00B768DD" w:rsidRPr="007D765C">
          <w:rPr>
            <w:rStyle w:val="Hyperlink"/>
            <w:noProof/>
          </w:rPr>
          <w:t>Statement of Compliance and Responsibility</w:t>
        </w:r>
        <w:r w:rsidR="00B768DD">
          <w:rPr>
            <w:noProof/>
            <w:webHidden/>
          </w:rPr>
          <w:tab/>
        </w:r>
        <w:r w:rsidR="00B768DD">
          <w:rPr>
            <w:noProof/>
            <w:webHidden/>
          </w:rPr>
          <w:fldChar w:fldCharType="begin"/>
        </w:r>
        <w:r w:rsidR="00B768DD">
          <w:rPr>
            <w:noProof/>
            <w:webHidden/>
          </w:rPr>
          <w:instrText xml:space="preserve"> PAGEREF _Toc23758619 \h </w:instrText>
        </w:r>
        <w:r w:rsidR="00B768DD">
          <w:rPr>
            <w:noProof/>
            <w:webHidden/>
          </w:rPr>
        </w:r>
        <w:r w:rsidR="00B768DD">
          <w:rPr>
            <w:noProof/>
            <w:webHidden/>
          </w:rPr>
          <w:fldChar w:fldCharType="separate"/>
        </w:r>
        <w:r w:rsidR="00B768DD">
          <w:rPr>
            <w:noProof/>
            <w:webHidden/>
          </w:rPr>
          <w:t>219</w:t>
        </w:r>
        <w:r w:rsidR="00B768DD">
          <w:rPr>
            <w:noProof/>
            <w:webHidden/>
          </w:rPr>
          <w:fldChar w:fldCharType="end"/>
        </w:r>
      </w:hyperlink>
    </w:p>
    <w:p w:rsidR="00B768DD" w:rsidRDefault="005D6D1F" w:rsidP="0035019C">
      <w:pPr>
        <w:pStyle w:val="TOC2"/>
        <w:rPr>
          <w:rFonts w:cstheme="minorBidi"/>
          <w:noProof/>
          <w:lang w:eastAsia="en-NZ"/>
        </w:rPr>
      </w:pPr>
      <w:hyperlink w:anchor="_Toc23758620" w:history="1">
        <w:r w:rsidR="00B768DD" w:rsidRPr="007D765C">
          <w:rPr>
            <w:rStyle w:val="Hyperlink"/>
            <w:noProof/>
          </w:rPr>
          <w:t>Council and Group Structure</w:t>
        </w:r>
        <w:r w:rsidR="00B768DD">
          <w:rPr>
            <w:noProof/>
            <w:webHidden/>
          </w:rPr>
          <w:tab/>
        </w:r>
        <w:r w:rsidR="00B768DD">
          <w:rPr>
            <w:noProof/>
            <w:webHidden/>
          </w:rPr>
          <w:fldChar w:fldCharType="begin"/>
        </w:r>
        <w:r w:rsidR="00B768DD">
          <w:rPr>
            <w:noProof/>
            <w:webHidden/>
          </w:rPr>
          <w:instrText xml:space="preserve"> PAGEREF _Toc23758620 \h </w:instrText>
        </w:r>
        <w:r w:rsidR="00B768DD">
          <w:rPr>
            <w:noProof/>
            <w:webHidden/>
          </w:rPr>
        </w:r>
        <w:r w:rsidR="00B768DD">
          <w:rPr>
            <w:noProof/>
            <w:webHidden/>
          </w:rPr>
          <w:fldChar w:fldCharType="separate"/>
        </w:r>
        <w:r w:rsidR="00B768DD">
          <w:rPr>
            <w:noProof/>
            <w:webHidden/>
          </w:rPr>
          <w:t>220</w:t>
        </w:r>
        <w:r w:rsidR="00B768DD">
          <w:rPr>
            <w:noProof/>
            <w:webHidden/>
          </w:rPr>
          <w:fldChar w:fldCharType="end"/>
        </w:r>
      </w:hyperlink>
    </w:p>
    <w:p w:rsidR="00B768DD" w:rsidRDefault="005D6D1F" w:rsidP="0035019C">
      <w:pPr>
        <w:pStyle w:val="TOC2"/>
        <w:rPr>
          <w:rFonts w:cstheme="minorBidi"/>
          <w:noProof/>
          <w:lang w:eastAsia="en-NZ"/>
        </w:rPr>
      </w:pPr>
      <w:hyperlink w:anchor="_Toc23758621" w:history="1">
        <w:r w:rsidR="00B768DD" w:rsidRPr="007D765C">
          <w:rPr>
            <w:rStyle w:val="Hyperlink"/>
            <w:noProof/>
          </w:rPr>
          <w:t>Basis of Consolidation</w:t>
        </w:r>
        <w:r w:rsidR="00B768DD">
          <w:rPr>
            <w:noProof/>
            <w:webHidden/>
          </w:rPr>
          <w:tab/>
        </w:r>
        <w:r w:rsidR="00B768DD">
          <w:rPr>
            <w:noProof/>
            <w:webHidden/>
          </w:rPr>
          <w:fldChar w:fldCharType="begin"/>
        </w:r>
        <w:r w:rsidR="00B768DD">
          <w:rPr>
            <w:noProof/>
            <w:webHidden/>
          </w:rPr>
          <w:instrText xml:space="preserve"> PAGEREF _Toc23758621 \h </w:instrText>
        </w:r>
        <w:r w:rsidR="00B768DD">
          <w:rPr>
            <w:noProof/>
            <w:webHidden/>
          </w:rPr>
        </w:r>
        <w:r w:rsidR="00B768DD">
          <w:rPr>
            <w:noProof/>
            <w:webHidden/>
          </w:rPr>
          <w:fldChar w:fldCharType="separate"/>
        </w:r>
        <w:r w:rsidR="00B768DD">
          <w:rPr>
            <w:noProof/>
            <w:webHidden/>
          </w:rPr>
          <w:t>221</w:t>
        </w:r>
        <w:r w:rsidR="00B768DD">
          <w:rPr>
            <w:noProof/>
            <w:webHidden/>
          </w:rPr>
          <w:fldChar w:fldCharType="end"/>
        </w:r>
      </w:hyperlink>
    </w:p>
    <w:p w:rsidR="00B768DD" w:rsidRDefault="005D6D1F" w:rsidP="0035019C">
      <w:pPr>
        <w:pStyle w:val="TOC2"/>
        <w:rPr>
          <w:rFonts w:cstheme="minorBidi"/>
          <w:noProof/>
          <w:lang w:eastAsia="en-NZ"/>
        </w:rPr>
      </w:pPr>
      <w:hyperlink w:anchor="_Toc23758622" w:history="1">
        <w:r w:rsidR="00B768DD" w:rsidRPr="007D765C">
          <w:rPr>
            <w:rStyle w:val="Hyperlink"/>
            <w:noProof/>
          </w:rPr>
          <w:t>Statement of Comprehensive Revenue and Expense</w:t>
        </w:r>
        <w:r w:rsidR="00B768DD">
          <w:rPr>
            <w:noProof/>
            <w:webHidden/>
          </w:rPr>
          <w:tab/>
        </w:r>
        <w:r w:rsidR="00B768DD">
          <w:rPr>
            <w:noProof/>
            <w:webHidden/>
          </w:rPr>
          <w:fldChar w:fldCharType="begin"/>
        </w:r>
        <w:r w:rsidR="00B768DD">
          <w:rPr>
            <w:noProof/>
            <w:webHidden/>
          </w:rPr>
          <w:instrText xml:space="preserve"> PAGEREF _Toc23758622 \h </w:instrText>
        </w:r>
        <w:r w:rsidR="00B768DD">
          <w:rPr>
            <w:noProof/>
            <w:webHidden/>
          </w:rPr>
        </w:r>
        <w:r w:rsidR="00B768DD">
          <w:rPr>
            <w:noProof/>
            <w:webHidden/>
          </w:rPr>
          <w:fldChar w:fldCharType="separate"/>
        </w:r>
        <w:r w:rsidR="00B768DD">
          <w:rPr>
            <w:noProof/>
            <w:webHidden/>
          </w:rPr>
          <w:t>222</w:t>
        </w:r>
        <w:r w:rsidR="00B768DD">
          <w:rPr>
            <w:noProof/>
            <w:webHidden/>
          </w:rPr>
          <w:fldChar w:fldCharType="end"/>
        </w:r>
      </w:hyperlink>
    </w:p>
    <w:p w:rsidR="00B768DD" w:rsidRDefault="005D6D1F" w:rsidP="0035019C">
      <w:pPr>
        <w:pStyle w:val="TOC2"/>
        <w:rPr>
          <w:rFonts w:cstheme="minorBidi"/>
          <w:noProof/>
          <w:lang w:eastAsia="en-NZ"/>
        </w:rPr>
      </w:pPr>
      <w:hyperlink w:anchor="_Toc23758623" w:history="1">
        <w:r w:rsidR="00B768DD" w:rsidRPr="007D765C">
          <w:rPr>
            <w:rStyle w:val="Hyperlink"/>
            <w:noProof/>
          </w:rPr>
          <w:t>Statement of Financial Position</w:t>
        </w:r>
        <w:r w:rsidR="00B768DD">
          <w:rPr>
            <w:noProof/>
            <w:webHidden/>
          </w:rPr>
          <w:tab/>
        </w:r>
        <w:r w:rsidR="00B768DD">
          <w:rPr>
            <w:noProof/>
            <w:webHidden/>
          </w:rPr>
          <w:fldChar w:fldCharType="begin"/>
        </w:r>
        <w:r w:rsidR="00B768DD">
          <w:rPr>
            <w:noProof/>
            <w:webHidden/>
          </w:rPr>
          <w:instrText xml:space="preserve"> PAGEREF _Toc23758623 \h </w:instrText>
        </w:r>
        <w:r w:rsidR="00B768DD">
          <w:rPr>
            <w:noProof/>
            <w:webHidden/>
          </w:rPr>
        </w:r>
        <w:r w:rsidR="00B768DD">
          <w:rPr>
            <w:noProof/>
            <w:webHidden/>
          </w:rPr>
          <w:fldChar w:fldCharType="separate"/>
        </w:r>
        <w:r w:rsidR="00B768DD">
          <w:rPr>
            <w:noProof/>
            <w:webHidden/>
          </w:rPr>
          <w:t>239</w:t>
        </w:r>
        <w:r w:rsidR="00B768DD">
          <w:rPr>
            <w:noProof/>
            <w:webHidden/>
          </w:rPr>
          <w:fldChar w:fldCharType="end"/>
        </w:r>
      </w:hyperlink>
    </w:p>
    <w:p w:rsidR="00B768DD" w:rsidRDefault="005D6D1F" w:rsidP="0035019C">
      <w:pPr>
        <w:pStyle w:val="TOC2"/>
        <w:rPr>
          <w:rFonts w:cstheme="minorBidi"/>
          <w:noProof/>
          <w:lang w:eastAsia="en-NZ"/>
        </w:rPr>
      </w:pPr>
      <w:hyperlink w:anchor="_Toc23758624" w:history="1">
        <w:r w:rsidR="00B768DD" w:rsidRPr="007D765C">
          <w:rPr>
            <w:rStyle w:val="Hyperlink"/>
            <w:noProof/>
          </w:rPr>
          <w:t>Statement of Changes in Equity</w:t>
        </w:r>
        <w:r w:rsidR="00B768DD">
          <w:rPr>
            <w:noProof/>
            <w:webHidden/>
          </w:rPr>
          <w:tab/>
        </w:r>
        <w:r w:rsidR="00B768DD">
          <w:rPr>
            <w:noProof/>
            <w:webHidden/>
          </w:rPr>
          <w:fldChar w:fldCharType="begin"/>
        </w:r>
        <w:r w:rsidR="00B768DD">
          <w:rPr>
            <w:noProof/>
            <w:webHidden/>
          </w:rPr>
          <w:instrText xml:space="preserve"> PAGEREF _Toc23758624 \h </w:instrText>
        </w:r>
        <w:r w:rsidR="00B768DD">
          <w:rPr>
            <w:noProof/>
            <w:webHidden/>
          </w:rPr>
        </w:r>
        <w:r w:rsidR="00B768DD">
          <w:rPr>
            <w:noProof/>
            <w:webHidden/>
          </w:rPr>
          <w:fldChar w:fldCharType="separate"/>
        </w:r>
        <w:r w:rsidR="00B768DD">
          <w:rPr>
            <w:noProof/>
            <w:webHidden/>
          </w:rPr>
          <w:t>279</w:t>
        </w:r>
        <w:r w:rsidR="00B768DD">
          <w:rPr>
            <w:noProof/>
            <w:webHidden/>
          </w:rPr>
          <w:fldChar w:fldCharType="end"/>
        </w:r>
      </w:hyperlink>
    </w:p>
    <w:p w:rsidR="00B768DD" w:rsidRDefault="005D6D1F" w:rsidP="0035019C">
      <w:pPr>
        <w:pStyle w:val="TOC2"/>
        <w:rPr>
          <w:rFonts w:cstheme="minorBidi"/>
          <w:noProof/>
          <w:lang w:eastAsia="en-NZ"/>
        </w:rPr>
      </w:pPr>
      <w:hyperlink w:anchor="_Toc23758625" w:history="1">
        <w:r w:rsidR="00B768DD" w:rsidRPr="007D765C">
          <w:rPr>
            <w:rStyle w:val="Hyperlink"/>
            <w:noProof/>
          </w:rPr>
          <w:t>Statement of Cash Flows</w:t>
        </w:r>
        <w:r w:rsidR="00B768DD">
          <w:rPr>
            <w:noProof/>
            <w:webHidden/>
          </w:rPr>
          <w:tab/>
        </w:r>
        <w:r w:rsidR="00B768DD">
          <w:rPr>
            <w:noProof/>
            <w:webHidden/>
          </w:rPr>
          <w:fldChar w:fldCharType="begin"/>
        </w:r>
        <w:r w:rsidR="00B768DD">
          <w:rPr>
            <w:noProof/>
            <w:webHidden/>
          </w:rPr>
          <w:instrText xml:space="preserve"> PAGEREF _Toc23758625 \h </w:instrText>
        </w:r>
        <w:r w:rsidR="00B768DD">
          <w:rPr>
            <w:noProof/>
            <w:webHidden/>
          </w:rPr>
        </w:r>
        <w:r w:rsidR="00B768DD">
          <w:rPr>
            <w:noProof/>
            <w:webHidden/>
          </w:rPr>
          <w:fldChar w:fldCharType="separate"/>
        </w:r>
        <w:r w:rsidR="00B768DD">
          <w:rPr>
            <w:noProof/>
            <w:webHidden/>
          </w:rPr>
          <w:t>287</w:t>
        </w:r>
        <w:r w:rsidR="00B768DD">
          <w:rPr>
            <w:noProof/>
            <w:webHidden/>
          </w:rPr>
          <w:fldChar w:fldCharType="end"/>
        </w:r>
      </w:hyperlink>
    </w:p>
    <w:p w:rsidR="00B768DD" w:rsidRDefault="005D6D1F" w:rsidP="0035019C">
      <w:pPr>
        <w:pStyle w:val="TOC2"/>
        <w:rPr>
          <w:rFonts w:cstheme="minorBidi"/>
          <w:noProof/>
          <w:lang w:eastAsia="en-NZ"/>
        </w:rPr>
      </w:pPr>
      <w:hyperlink w:anchor="_Toc23758626" w:history="1">
        <w:r w:rsidR="00B768DD" w:rsidRPr="007D765C">
          <w:rPr>
            <w:rStyle w:val="Hyperlink"/>
            <w:noProof/>
          </w:rPr>
          <w:t>Other disclosures</w:t>
        </w:r>
        <w:r w:rsidR="00B768DD">
          <w:rPr>
            <w:noProof/>
            <w:webHidden/>
          </w:rPr>
          <w:tab/>
        </w:r>
        <w:r w:rsidR="00B768DD">
          <w:rPr>
            <w:noProof/>
            <w:webHidden/>
          </w:rPr>
          <w:fldChar w:fldCharType="begin"/>
        </w:r>
        <w:r w:rsidR="00B768DD">
          <w:rPr>
            <w:noProof/>
            <w:webHidden/>
          </w:rPr>
          <w:instrText xml:space="preserve"> PAGEREF _Toc23758626 \h </w:instrText>
        </w:r>
        <w:r w:rsidR="00B768DD">
          <w:rPr>
            <w:noProof/>
            <w:webHidden/>
          </w:rPr>
        </w:r>
        <w:r w:rsidR="00B768DD">
          <w:rPr>
            <w:noProof/>
            <w:webHidden/>
          </w:rPr>
          <w:fldChar w:fldCharType="separate"/>
        </w:r>
        <w:r w:rsidR="00B768DD">
          <w:rPr>
            <w:noProof/>
            <w:webHidden/>
          </w:rPr>
          <w:t>290</w:t>
        </w:r>
        <w:r w:rsidR="00B768DD">
          <w:rPr>
            <w:noProof/>
            <w:webHidden/>
          </w:rPr>
          <w:fldChar w:fldCharType="end"/>
        </w:r>
      </w:hyperlink>
    </w:p>
    <w:p w:rsidR="00B768DD" w:rsidRDefault="005D6D1F" w:rsidP="0035019C">
      <w:pPr>
        <w:pStyle w:val="TOC2"/>
        <w:rPr>
          <w:rFonts w:cstheme="minorBidi"/>
          <w:noProof/>
          <w:lang w:eastAsia="en-NZ"/>
        </w:rPr>
      </w:pPr>
      <w:hyperlink w:anchor="_Toc23758627" w:history="1">
        <w:r w:rsidR="00B768DD" w:rsidRPr="007D765C">
          <w:rPr>
            <w:rStyle w:val="Hyperlink"/>
            <w:noProof/>
            <w:lang w:eastAsia="en-GB"/>
          </w:rPr>
          <w:t>Other Significant Accounting Policies</w:t>
        </w:r>
        <w:r w:rsidR="00B768DD">
          <w:rPr>
            <w:noProof/>
            <w:webHidden/>
          </w:rPr>
          <w:tab/>
        </w:r>
        <w:r w:rsidR="00B768DD">
          <w:rPr>
            <w:noProof/>
            <w:webHidden/>
          </w:rPr>
          <w:fldChar w:fldCharType="begin"/>
        </w:r>
        <w:r w:rsidR="00B768DD">
          <w:rPr>
            <w:noProof/>
            <w:webHidden/>
          </w:rPr>
          <w:instrText xml:space="preserve"> PAGEREF _Toc23758627 \h </w:instrText>
        </w:r>
        <w:r w:rsidR="00B768DD">
          <w:rPr>
            <w:noProof/>
            <w:webHidden/>
          </w:rPr>
        </w:r>
        <w:r w:rsidR="00B768DD">
          <w:rPr>
            <w:noProof/>
            <w:webHidden/>
          </w:rPr>
          <w:fldChar w:fldCharType="separate"/>
        </w:r>
        <w:r w:rsidR="00B768DD">
          <w:rPr>
            <w:noProof/>
            <w:webHidden/>
          </w:rPr>
          <w:t>313</w:t>
        </w:r>
        <w:r w:rsidR="00B768DD">
          <w:rPr>
            <w:noProof/>
            <w:webHidden/>
          </w:rPr>
          <w:fldChar w:fldCharType="end"/>
        </w:r>
      </w:hyperlink>
    </w:p>
    <w:p w:rsidR="00B768DD" w:rsidRDefault="005D6D1F" w:rsidP="0035019C">
      <w:pPr>
        <w:pStyle w:val="TOC2"/>
        <w:rPr>
          <w:rFonts w:cstheme="minorBidi"/>
          <w:noProof/>
          <w:lang w:eastAsia="en-NZ"/>
        </w:rPr>
      </w:pPr>
      <w:hyperlink w:anchor="_Toc23758628" w:history="1">
        <w:r w:rsidR="00B768DD" w:rsidRPr="007D765C">
          <w:rPr>
            <w:rStyle w:val="Hyperlink"/>
            <w:noProof/>
          </w:rPr>
          <w:t>Financial Prudence</w:t>
        </w:r>
        <w:r w:rsidR="00B768DD">
          <w:rPr>
            <w:noProof/>
            <w:webHidden/>
          </w:rPr>
          <w:tab/>
        </w:r>
        <w:r w:rsidR="00B768DD">
          <w:rPr>
            <w:noProof/>
            <w:webHidden/>
          </w:rPr>
          <w:fldChar w:fldCharType="begin"/>
        </w:r>
        <w:r w:rsidR="00B768DD">
          <w:rPr>
            <w:noProof/>
            <w:webHidden/>
          </w:rPr>
          <w:instrText xml:space="preserve"> PAGEREF _Toc23758628 \h </w:instrText>
        </w:r>
        <w:r w:rsidR="00B768DD">
          <w:rPr>
            <w:noProof/>
            <w:webHidden/>
          </w:rPr>
        </w:r>
        <w:r w:rsidR="00B768DD">
          <w:rPr>
            <w:noProof/>
            <w:webHidden/>
          </w:rPr>
          <w:fldChar w:fldCharType="separate"/>
        </w:r>
        <w:r w:rsidR="00B768DD">
          <w:rPr>
            <w:noProof/>
            <w:webHidden/>
          </w:rPr>
          <w:t>316</w:t>
        </w:r>
        <w:r w:rsidR="00B768DD">
          <w:rPr>
            <w:noProof/>
            <w:webHidden/>
          </w:rPr>
          <w:fldChar w:fldCharType="end"/>
        </w:r>
      </w:hyperlink>
    </w:p>
    <w:p w:rsidR="00B768DD" w:rsidRDefault="005D6D1F" w:rsidP="0035019C">
      <w:pPr>
        <w:pStyle w:val="TOC2"/>
        <w:rPr>
          <w:rFonts w:cstheme="minorBidi"/>
          <w:noProof/>
          <w:lang w:eastAsia="en-NZ"/>
        </w:rPr>
      </w:pPr>
      <w:hyperlink w:anchor="_Toc23758629" w:history="1">
        <w:r w:rsidR="00B768DD" w:rsidRPr="007D765C">
          <w:rPr>
            <w:rStyle w:val="Hyperlink"/>
            <w:noProof/>
            <w:lang w:eastAsia="en-GB"/>
          </w:rPr>
          <w:t>Funding Impact Statements</w:t>
        </w:r>
        <w:r w:rsidR="00B768DD">
          <w:rPr>
            <w:noProof/>
            <w:webHidden/>
          </w:rPr>
          <w:tab/>
        </w:r>
        <w:r w:rsidR="00B768DD">
          <w:rPr>
            <w:noProof/>
            <w:webHidden/>
          </w:rPr>
          <w:fldChar w:fldCharType="begin"/>
        </w:r>
        <w:r w:rsidR="00B768DD">
          <w:rPr>
            <w:noProof/>
            <w:webHidden/>
          </w:rPr>
          <w:instrText xml:space="preserve"> PAGEREF _Toc23758629 \h </w:instrText>
        </w:r>
        <w:r w:rsidR="00B768DD">
          <w:rPr>
            <w:noProof/>
            <w:webHidden/>
          </w:rPr>
        </w:r>
        <w:r w:rsidR="00B768DD">
          <w:rPr>
            <w:noProof/>
            <w:webHidden/>
          </w:rPr>
          <w:fldChar w:fldCharType="separate"/>
        </w:r>
        <w:r w:rsidR="00B768DD">
          <w:rPr>
            <w:noProof/>
            <w:webHidden/>
          </w:rPr>
          <w:t>328</w:t>
        </w:r>
        <w:r w:rsidR="00B768DD">
          <w:rPr>
            <w:noProof/>
            <w:webHidden/>
          </w:rPr>
          <w:fldChar w:fldCharType="end"/>
        </w:r>
      </w:hyperlink>
    </w:p>
    <w:p w:rsidR="00B768DD" w:rsidRDefault="005D6D1F">
      <w:pPr>
        <w:pStyle w:val="TOC1"/>
        <w:rPr>
          <w:rFonts w:cstheme="minorBidi"/>
          <w:b w:val="0"/>
          <w:lang w:eastAsia="en-NZ"/>
        </w:rPr>
      </w:pPr>
      <w:hyperlink w:anchor="_Toc23758630" w:history="1">
        <w:r w:rsidR="00B768DD" w:rsidRPr="007D765C">
          <w:rPr>
            <w:rStyle w:val="Hyperlink"/>
          </w:rPr>
          <w:t>Appendices</w:t>
        </w:r>
        <w:r w:rsidR="00B768DD">
          <w:rPr>
            <w:webHidden/>
          </w:rPr>
          <w:tab/>
        </w:r>
        <w:r w:rsidR="00B768DD">
          <w:rPr>
            <w:webHidden/>
          </w:rPr>
          <w:fldChar w:fldCharType="begin"/>
        </w:r>
        <w:r w:rsidR="00B768DD">
          <w:rPr>
            <w:webHidden/>
          </w:rPr>
          <w:instrText xml:space="preserve"> PAGEREF _Toc23758630 \h </w:instrText>
        </w:r>
        <w:r w:rsidR="00B768DD">
          <w:rPr>
            <w:webHidden/>
          </w:rPr>
        </w:r>
        <w:r w:rsidR="00B768DD">
          <w:rPr>
            <w:webHidden/>
          </w:rPr>
          <w:fldChar w:fldCharType="separate"/>
        </w:r>
        <w:r w:rsidR="00B768DD">
          <w:rPr>
            <w:webHidden/>
          </w:rPr>
          <w:t>347</w:t>
        </w:r>
        <w:r w:rsidR="00B768DD">
          <w:rPr>
            <w:webHidden/>
          </w:rPr>
          <w:fldChar w:fldCharType="end"/>
        </w:r>
      </w:hyperlink>
    </w:p>
    <w:p w:rsidR="00B768DD" w:rsidRDefault="005D6D1F" w:rsidP="0035019C">
      <w:pPr>
        <w:pStyle w:val="TOC2"/>
        <w:rPr>
          <w:rFonts w:cstheme="minorBidi"/>
          <w:noProof/>
          <w:lang w:eastAsia="en-NZ"/>
        </w:rPr>
      </w:pPr>
      <w:hyperlink w:anchor="_Toc23758631" w:history="1">
        <w:r w:rsidR="00B768DD" w:rsidRPr="007D765C">
          <w:rPr>
            <w:rStyle w:val="Hyperlink"/>
            <w:rFonts w:ascii="Arial" w:hAnsi="Arial" w:cs="Arial"/>
            <w:noProof/>
          </w:rPr>
          <w:t>Independent Auditor’s Report</w:t>
        </w:r>
        <w:r w:rsidR="00B768DD">
          <w:rPr>
            <w:noProof/>
            <w:webHidden/>
          </w:rPr>
          <w:tab/>
        </w:r>
        <w:r w:rsidR="00B768DD">
          <w:rPr>
            <w:noProof/>
            <w:webHidden/>
          </w:rPr>
          <w:fldChar w:fldCharType="begin"/>
        </w:r>
        <w:r w:rsidR="00B768DD">
          <w:rPr>
            <w:noProof/>
            <w:webHidden/>
          </w:rPr>
          <w:instrText xml:space="preserve"> PAGEREF _Toc23758631 \h </w:instrText>
        </w:r>
        <w:r w:rsidR="00B768DD">
          <w:rPr>
            <w:noProof/>
            <w:webHidden/>
          </w:rPr>
        </w:r>
        <w:r w:rsidR="00B768DD">
          <w:rPr>
            <w:noProof/>
            <w:webHidden/>
          </w:rPr>
          <w:fldChar w:fldCharType="separate"/>
        </w:r>
        <w:r w:rsidR="00B768DD">
          <w:rPr>
            <w:noProof/>
            <w:webHidden/>
          </w:rPr>
          <w:t>347</w:t>
        </w:r>
        <w:r w:rsidR="00B768DD">
          <w:rPr>
            <w:noProof/>
            <w:webHidden/>
          </w:rPr>
          <w:fldChar w:fldCharType="end"/>
        </w:r>
      </w:hyperlink>
    </w:p>
    <w:p w:rsidR="00B768DD" w:rsidRDefault="005D6D1F" w:rsidP="0035019C">
      <w:pPr>
        <w:pStyle w:val="TOC2"/>
        <w:rPr>
          <w:rFonts w:cstheme="minorBidi"/>
          <w:noProof/>
          <w:lang w:eastAsia="en-NZ"/>
        </w:rPr>
      </w:pPr>
      <w:hyperlink w:anchor="_Toc23758632" w:history="1">
        <w:r w:rsidR="00B768DD" w:rsidRPr="007D765C">
          <w:rPr>
            <w:rStyle w:val="Hyperlink"/>
            <w:noProof/>
          </w:rPr>
          <w:t>Glossary</w:t>
        </w:r>
        <w:r w:rsidR="00B768DD">
          <w:rPr>
            <w:noProof/>
            <w:webHidden/>
          </w:rPr>
          <w:tab/>
        </w:r>
        <w:r w:rsidR="00B768DD">
          <w:rPr>
            <w:noProof/>
            <w:webHidden/>
          </w:rPr>
          <w:fldChar w:fldCharType="begin"/>
        </w:r>
        <w:r w:rsidR="00B768DD">
          <w:rPr>
            <w:noProof/>
            <w:webHidden/>
          </w:rPr>
          <w:instrText xml:space="preserve"> PAGEREF _Toc23758632 \h </w:instrText>
        </w:r>
        <w:r w:rsidR="00B768DD">
          <w:rPr>
            <w:noProof/>
            <w:webHidden/>
          </w:rPr>
        </w:r>
        <w:r w:rsidR="00B768DD">
          <w:rPr>
            <w:noProof/>
            <w:webHidden/>
          </w:rPr>
          <w:fldChar w:fldCharType="separate"/>
        </w:r>
        <w:r w:rsidR="00B768DD">
          <w:rPr>
            <w:noProof/>
            <w:webHidden/>
          </w:rPr>
          <w:t>352</w:t>
        </w:r>
        <w:r w:rsidR="00B768DD">
          <w:rPr>
            <w:noProof/>
            <w:webHidden/>
          </w:rPr>
          <w:fldChar w:fldCharType="end"/>
        </w:r>
      </w:hyperlink>
    </w:p>
    <w:p w:rsidR="000A56DC" w:rsidRPr="00D5126A" w:rsidRDefault="000B1EE6" w:rsidP="00AE23BF">
      <w:pPr>
        <w:spacing w:line="240" w:lineRule="auto"/>
      </w:pPr>
      <w:r w:rsidRPr="00D5126A">
        <w:rPr>
          <w:highlight w:val="green"/>
        </w:rPr>
        <w:fldChar w:fldCharType="end"/>
      </w:r>
    </w:p>
    <w:p w:rsidR="0052672E" w:rsidRPr="00D5126A" w:rsidRDefault="0052672E" w:rsidP="00295C18">
      <w:pPr>
        <w:spacing w:line="240" w:lineRule="auto"/>
        <w:rPr>
          <w:spacing w:val="15"/>
        </w:rPr>
      </w:pPr>
      <w:r w:rsidRPr="00D5126A">
        <w:br w:type="page"/>
      </w:r>
    </w:p>
    <w:p w:rsidR="0052672E" w:rsidRPr="00D5126A" w:rsidRDefault="00932A5E" w:rsidP="00556359">
      <w:pPr>
        <w:pStyle w:val="Heading1"/>
      </w:pPr>
      <w:bookmarkStart w:id="9" w:name="_Toc14178492"/>
      <w:bookmarkStart w:id="10" w:name="_Toc19085773"/>
      <w:bookmarkStart w:id="11" w:name="_Toc23758585"/>
      <w:r w:rsidRPr="00D5126A">
        <w:lastRenderedPageBreak/>
        <w:t xml:space="preserve">Section 1: </w:t>
      </w:r>
      <w:r w:rsidR="006833D7" w:rsidRPr="00D5126A">
        <w:t xml:space="preserve">Our </w:t>
      </w:r>
      <w:bookmarkEnd w:id="9"/>
      <w:bookmarkEnd w:id="10"/>
      <w:r w:rsidR="00EB1FC0">
        <w:t>c</w:t>
      </w:r>
      <w:r w:rsidR="00EB1FC0" w:rsidRPr="00D5126A">
        <w:t>ity</w:t>
      </w:r>
      <w:bookmarkEnd w:id="11"/>
    </w:p>
    <w:p w:rsidR="003E2037" w:rsidRDefault="003E2037" w:rsidP="003E2037">
      <w:pPr>
        <w:pStyle w:val="Heading4"/>
      </w:pPr>
      <w:r>
        <w:t xml:space="preserve">I tēnei wāhanga  </w:t>
      </w:r>
    </w:p>
    <w:p w:rsidR="003E2037" w:rsidRDefault="003E2037" w:rsidP="003E2037">
      <w:r>
        <w:t xml:space="preserve">Kei tēnei wāhanga he tirohanga whānui o </w:t>
      </w:r>
      <w:proofErr w:type="gramStart"/>
      <w:r>
        <w:t>te</w:t>
      </w:r>
      <w:proofErr w:type="gramEnd"/>
      <w:r>
        <w:t xml:space="preserve"> tāone nui o Pōneke, ngā wero kei mua i te aroaro, tā tātou rautaki ahu whakamua, te tirohanga anamata, ngā uarā hoki ō tō tātou kaunihera.</w:t>
      </w:r>
    </w:p>
    <w:p w:rsidR="0052672E" w:rsidRPr="00D5126A" w:rsidRDefault="00E93D78" w:rsidP="00846C1B">
      <w:pPr>
        <w:pStyle w:val="Heading4"/>
      </w:pPr>
      <w:r w:rsidRPr="00D5126A">
        <w:t>In this section</w:t>
      </w:r>
    </w:p>
    <w:p w:rsidR="00E93D78" w:rsidRPr="00D5126A" w:rsidRDefault="00E93D78" w:rsidP="00E93D78">
      <w:pPr>
        <w:spacing w:line="240" w:lineRule="auto"/>
      </w:pPr>
      <w:r w:rsidRPr="00D5126A">
        <w:t xml:space="preserve">This section includes an overview of Wellington </w:t>
      </w:r>
      <w:r w:rsidR="00EB1FC0">
        <w:t>c</w:t>
      </w:r>
      <w:r w:rsidR="00EB1FC0" w:rsidRPr="00D5126A">
        <w:t>ity</w:t>
      </w:r>
      <w:r w:rsidR="002D6323" w:rsidRPr="00D5126A">
        <w:t xml:space="preserve">, </w:t>
      </w:r>
      <w:r w:rsidRPr="00D5126A">
        <w:t xml:space="preserve">the challenges we </w:t>
      </w:r>
      <w:proofErr w:type="gramStart"/>
      <w:r w:rsidRPr="00D5126A">
        <w:t>face,</w:t>
      </w:r>
      <w:proofErr w:type="gramEnd"/>
      <w:r w:rsidR="002D6323" w:rsidRPr="00D5126A">
        <w:t xml:space="preserve"> </w:t>
      </w:r>
      <w:r w:rsidRPr="00D5126A">
        <w:t>our</w:t>
      </w:r>
      <w:r w:rsidR="002D6323" w:rsidRPr="00D5126A">
        <w:t xml:space="preserve"> </w:t>
      </w:r>
      <w:r w:rsidR="004146BD">
        <w:t>c</w:t>
      </w:r>
      <w:r w:rsidR="004146BD" w:rsidRPr="00D5126A">
        <w:t xml:space="preserve">ity’s </w:t>
      </w:r>
      <w:r w:rsidRPr="00D5126A">
        <w:t xml:space="preserve">strategic direction, </w:t>
      </w:r>
      <w:r w:rsidR="002D6323" w:rsidRPr="00D5126A">
        <w:t xml:space="preserve">and our organisation’s </w:t>
      </w:r>
      <w:r w:rsidRPr="00D5126A">
        <w:t xml:space="preserve">vision and values. </w:t>
      </w:r>
    </w:p>
    <w:p w:rsidR="005C42CB" w:rsidRPr="00D5126A" w:rsidRDefault="005C42CB" w:rsidP="00810293">
      <w:pPr>
        <w:pStyle w:val="Heading2"/>
      </w:pPr>
      <w:bookmarkStart w:id="12" w:name="_Toc14178495"/>
      <w:bookmarkStart w:id="13" w:name="_Toc19085774"/>
      <w:bookmarkStart w:id="14" w:name="_Toc23758586"/>
      <w:bookmarkStart w:id="15" w:name="Our_city"/>
      <w:bookmarkStart w:id="16" w:name="_Toc528234284"/>
      <w:bookmarkEnd w:id="4"/>
      <w:bookmarkEnd w:id="5"/>
      <w:r w:rsidRPr="00D5126A">
        <w:t xml:space="preserve">City </w:t>
      </w:r>
      <w:bookmarkEnd w:id="12"/>
      <w:bookmarkEnd w:id="13"/>
      <w:r w:rsidR="00EB1FC0">
        <w:t>p</w:t>
      </w:r>
      <w:r w:rsidR="00EB1FC0" w:rsidRPr="00D5126A">
        <w:t>rofile</w:t>
      </w:r>
      <w:bookmarkEnd w:id="14"/>
    </w:p>
    <w:p w:rsidR="00764BEB" w:rsidRPr="00D5126A" w:rsidRDefault="00764BEB" w:rsidP="00AA2122">
      <w:pPr>
        <w:pStyle w:val="Heading3"/>
      </w:pPr>
      <w:bookmarkStart w:id="17" w:name="_Toc19085775"/>
      <w:r w:rsidRPr="00D5126A">
        <w:t xml:space="preserve">Our </w:t>
      </w:r>
      <w:r w:rsidR="00932A5E" w:rsidRPr="00D5126A">
        <w:t>early city</w:t>
      </w:r>
      <w:bookmarkEnd w:id="17"/>
    </w:p>
    <w:p w:rsidR="00FB6523" w:rsidRPr="00D5126A" w:rsidRDefault="000C0E47" w:rsidP="001F74A5">
      <w:pPr>
        <w:spacing w:before="120" w:after="120" w:line="240" w:lineRule="auto"/>
        <w:rPr>
          <w:rFonts w:ascii="Arial" w:eastAsia="Times New Roman" w:hAnsi="Arial" w:cs="Arial"/>
          <w:color w:val="222222"/>
          <w:szCs w:val="24"/>
          <w:lang w:eastAsia="en-NZ"/>
        </w:rPr>
      </w:pPr>
      <w:r w:rsidRPr="00D5126A">
        <w:rPr>
          <w:rFonts w:ascii="Arial" w:eastAsia="Times New Roman" w:hAnsi="Arial" w:cs="Arial"/>
          <w:color w:val="222222"/>
          <w:szCs w:val="24"/>
          <w:lang w:eastAsia="en-NZ"/>
        </w:rPr>
        <w:t>Wellington</w:t>
      </w:r>
      <w:r w:rsidR="00FE2F21" w:rsidRPr="00D5126A">
        <w:rPr>
          <w:rFonts w:ascii="Arial" w:eastAsia="Times New Roman" w:hAnsi="Arial" w:cs="Arial"/>
          <w:color w:val="222222"/>
          <w:szCs w:val="24"/>
          <w:lang w:eastAsia="en-NZ"/>
        </w:rPr>
        <w:t xml:space="preserve"> has always been at the heart o</w:t>
      </w:r>
      <w:r w:rsidR="00FB6523" w:rsidRPr="00D5126A">
        <w:rPr>
          <w:rFonts w:ascii="Arial" w:eastAsia="Times New Roman" w:hAnsi="Arial" w:cs="Arial"/>
          <w:color w:val="222222"/>
          <w:szCs w:val="24"/>
          <w:lang w:eastAsia="en-NZ"/>
        </w:rPr>
        <w:t xml:space="preserve">f New Zealand. Before </w:t>
      </w:r>
      <w:r w:rsidR="0043433A" w:rsidRPr="00D5126A">
        <w:rPr>
          <w:rFonts w:ascii="Arial" w:eastAsia="Times New Roman" w:hAnsi="Arial" w:cs="Arial"/>
          <w:color w:val="222222"/>
          <w:szCs w:val="24"/>
          <w:lang w:eastAsia="en-NZ"/>
        </w:rPr>
        <w:t>people</w:t>
      </w:r>
      <w:r w:rsidR="00FB6523" w:rsidRPr="00D5126A">
        <w:rPr>
          <w:rFonts w:ascii="Arial" w:eastAsia="Times New Roman" w:hAnsi="Arial" w:cs="Arial"/>
          <w:color w:val="222222"/>
          <w:szCs w:val="24"/>
          <w:lang w:eastAsia="en-NZ"/>
        </w:rPr>
        <w:t xml:space="preserve"> arrived it was an area of bush covered hills, rivers</w:t>
      </w:r>
      <w:r w:rsidR="002C3FF4" w:rsidRPr="00D5126A">
        <w:rPr>
          <w:rFonts w:ascii="Arial" w:eastAsia="Times New Roman" w:hAnsi="Arial" w:cs="Arial"/>
          <w:color w:val="222222"/>
          <w:szCs w:val="24"/>
          <w:lang w:eastAsia="en-NZ"/>
        </w:rPr>
        <w:t xml:space="preserve"> and streams</w:t>
      </w:r>
      <w:r w:rsidR="00FB6523" w:rsidRPr="00D5126A">
        <w:rPr>
          <w:rFonts w:ascii="Arial" w:eastAsia="Times New Roman" w:hAnsi="Arial" w:cs="Arial"/>
          <w:color w:val="222222"/>
          <w:szCs w:val="24"/>
          <w:lang w:eastAsia="en-NZ"/>
        </w:rPr>
        <w:t>, a large natural harbour, rocky and sandy coastline and abundant wildlife.</w:t>
      </w:r>
    </w:p>
    <w:p w:rsidR="00FB6523" w:rsidRPr="00D5126A" w:rsidRDefault="00FB6523" w:rsidP="001F74A5">
      <w:pPr>
        <w:spacing w:before="120" w:after="120" w:line="240" w:lineRule="auto"/>
        <w:rPr>
          <w:rFonts w:ascii="Arial" w:eastAsia="Times New Roman" w:hAnsi="Arial" w:cs="Arial"/>
          <w:color w:val="222222"/>
          <w:szCs w:val="24"/>
          <w:lang w:eastAsia="en-NZ"/>
        </w:rPr>
      </w:pPr>
      <w:r w:rsidRPr="00D5126A">
        <w:rPr>
          <w:rFonts w:ascii="Arial" w:eastAsia="Times New Roman" w:hAnsi="Arial" w:cs="Arial"/>
          <w:color w:val="222222"/>
          <w:szCs w:val="24"/>
          <w:lang w:eastAsia="en-NZ"/>
        </w:rPr>
        <w:t xml:space="preserve">Te Whanganui-a-Tara is one Māori name for the area and derives from Tara, who was sent down from Hawkes Bay by his father to explore and settle the land in the </w:t>
      </w:r>
      <w:r w:rsidR="00EB1FC0" w:rsidRPr="00D5126A">
        <w:rPr>
          <w:rFonts w:ascii="Arial" w:eastAsia="Times New Roman" w:hAnsi="Arial" w:cs="Arial"/>
          <w:color w:val="222222"/>
          <w:szCs w:val="24"/>
          <w:lang w:eastAsia="en-NZ"/>
        </w:rPr>
        <w:t>12</w:t>
      </w:r>
      <w:r w:rsidR="00EB1FC0">
        <w:rPr>
          <w:rFonts w:ascii="Arial" w:eastAsia="Times New Roman" w:hAnsi="Arial" w:cs="Arial"/>
          <w:color w:val="222222"/>
          <w:szCs w:val="24"/>
          <w:lang w:eastAsia="en-NZ"/>
        </w:rPr>
        <w:t>th</w:t>
      </w:r>
      <w:r w:rsidR="00EB1FC0" w:rsidRPr="00D5126A">
        <w:rPr>
          <w:rFonts w:ascii="Arial" w:eastAsia="Times New Roman" w:hAnsi="Arial" w:cs="Arial"/>
          <w:color w:val="222222"/>
          <w:szCs w:val="24"/>
          <w:lang w:eastAsia="en-NZ"/>
        </w:rPr>
        <w:t xml:space="preserve"> </w:t>
      </w:r>
      <w:r w:rsidRPr="00D5126A">
        <w:rPr>
          <w:rFonts w:ascii="Arial" w:eastAsia="Times New Roman" w:hAnsi="Arial" w:cs="Arial"/>
          <w:color w:val="222222"/>
          <w:szCs w:val="24"/>
          <w:lang w:eastAsia="en-NZ"/>
        </w:rPr>
        <w:t xml:space="preserve">century.  </w:t>
      </w:r>
    </w:p>
    <w:p w:rsidR="00FB6523" w:rsidRPr="00D5126A" w:rsidRDefault="00FB6523" w:rsidP="001F74A5">
      <w:pPr>
        <w:spacing w:before="120" w:after="120" w:line="240" w:lineRule="auto"/>
        <w:rPr>
          <w:rFonts w:ascii="Arial" w:eastAsia="Times New Roman" w:hAnsi="Arial" w:cs="Arial"/>
          <w:color w:val="222222"/>
          <w:szCs w:val="24"/>
          <w:lang w:eastAsia="en-NZ"/>
        </w:rPr>
      </w:pPr>
      <w:r w:rsidRPr="00D5126A">
        <w:rPr>
          <w:rFonts w:ascii="Arial" w:eastAsia="Times New Roman" w:hAnsi="Arial" w:cs="Arial"/>
          <w:color w:val="222222"/>
          <w:szCs w:val="24"/>
          <w:lang w:eastAsia="en-NZ"/>
        </w:rPr>
        <w:t xml:space="preserve">By the 1800s, Ngāi Tara (the people of Tara) </w:t>
      </w:r>
      <w:r w:rsidR="00D5126A" w:rsidRPr="00D5126A">
        <w:rPr>
          <w:rFonts w:ascii="Arial" w:eastAsia="Times New Roman" w:hAnsi="Arial" w:cs="Arial"/>
          <w:color w:val="222222"/>
          <w:szCs w:val="24"/>
          <w:lang w:eastAsia="en-NZ"/>
        </w:rPr>
        <w:t>was</w:t>
      </w:r>
      <w:r w:rsidR="00B935B0" w:rsidRPr="00D5126A">
        <w:rPr>
          <w:rFonts w:ascii="Arial" w:eastAsia="Times New Roman" w:hAnsi="Arial" w:cs="Arial"/>
          <w:color w:val="222222"/>
          <w:szCs w:val="24"/>
          <w:lang w:eastAsia="en-NZ"/>
        </w:rPr>
        <w:t xml:space="preserve"> </w:t>
      </w:r>
      <w:r w:rsidRPr="00D5126A">
        <w:rPr>
          <w:rFonts w:ascii="Arial" w:eastAsia="Times New Roman" w:hAnsi="Arial" w:cs="Arial"/>
          <w:color w:val="222222"/>
          <w:szCs w:val="24"/>
          <w:lang w:eastAsia="en-NZ"/>
        </w:rPr>
        <w:t xml:space="preserve">sharing their traditional lands around Te Whanganui-a-Tara with later arrivals – Ngāti </w:t>
      </w:r>
      <w:proofErr w:type="gramStart"/>
      <w:r w:rsidRPr="00D5126A">
        <w:rPr>
          <w:rFonts w:ascii="Arial" w:eastAsia="Times New Roman" w:hAnsi="Arial" w:cs="Arial"/>
          <w:color w:val="222222"/>
          <w:szCs w:val="24"/>
          <w:lang w:eastAsia="en-NZ"/>
        </w:rPr>
        <w:t>Apa</w:t>
      </w:r>
      <w:proofErr w:type="gramEnd"/>
      <w:r w:rsidRPr="00D5126A">
        <w:rPr>
          <w:rFonts w:ascii="Arial" w:eastAsia="Times New Roman" w:hAnsi="Arial" w:cs="Arial"/>
          <w:color w:val="222222"/>
          <w:szCs w:val="24"/>
          <w:lang w:eastAsia="en-NZ"/>
        </w:rPr>
        <w:t>, Rangitāne, Ngāti Kahungunu, Ngāti Hāmua and Ngāti Ira. Iwi from Taranaki and Kawhia also m</w:t>
      </w:r>
      <w:r w:rsidR="00FE70F2" w:rsidRPr="00D5126A">
        <w:rPr>
          <w:rFonts w:ascii="Arial" w:eastAsia="Times New Roman" w:hAnsi="Arial" w:cs="Arial"/>
          <w:color w:val="222222"/>
          <w:szCs w:val="24"/>
          <w:lang w:eastAsia="en-NZ"/>
        </w:rPr>
        <w:t xml:space="preserve">igrated from their homelands to </w:t>
      </w:r>
      <w:r w:rsidRPr="00D5126A">
        <w:rPr>
          <w:rFonts w:ascii="Arial" w:eastAsia="Times New Roman" w:hAnsi="Arial" w:cs="Arial"/>
          <w:color w:val="222222"/>
          <w:szCs w:val="24"/>
          <w:lang w:eastAsia="en-NZ"/>
        </w:rPr>
        <w:t>Te Whanganui a Tara. These included Ng</w:t>
      </w:r>
      <w:r w:rsidR="00B47289" w:rsidRPr="00D5126A">
        <w:rPr>
          <w:rFonts w:ascii="Arial" w:eastAsia="Times New Roman" w:hAnsi="Arial" w:cs="Arial"/>
          <w:color w:val="222222"/>
          <w:szCs w:val="24"/>
          <w:lang w:eastAsia="en-NZ"/>
        </w:rPr>
        <w:t>ā</w:t>
      </w:r>
      <w:r w:rsidRPr="00D5126A">
        <w:rPr>
          <w:rFonts w:ascii="Arial" w:eastAsia="Times New Roman" w:hAnsi="Arial" w:cs="Arial"/>
          <w:color w:val="222222"/>
          <w:szCs w:val="24"/>
          <w:lang w:eastAsia="en-NZ"/>
        </w:rPr>
        <w:t xml:space="preserve">ti Toa, </w:t>
      </w:r>
      <w:r w:rsidR="002C3FF4" w:rsidRPr="00D5126A">
        <w:rPr>
          <w:rFonts w:ascii="Arial" w:eastAsia="Times New Roman" w:hAnsi="Arial" w:cs="Arial"/>
          <w:color w:val="222222"/>
          <w:szCs w:val="24"/>
          <w:lang w:eastAsia="en-NZ"/>
        </w:rPr>
        <w:t xml:space="preserve">Ngāti Mutunga, </w:t>
      </w:r>
      <w:r w:rsidRPr="00D5126A">
        <w:rPr>
          <w:rFonts w:ascii="Arial" w:eastAsia="Times New Roman" w:hAnsi="Arial" w:cs="Arial"/>
          <w:color w:val="222222"/>
          <w:szCs w:val="24"/>
          <w:lang w:eastAsia="en-NZ"/>
        </w:rPr>
        <w:t>Ng</w:t>
      </w:r>
      <w:r w:rsidR="00B47289" w:rsidRPr="00D5126A">
        <w:rPr>
          <w:rFonts w:ascii="Arial" w:eastAsia="Times New Roman" w:hAnsi="Arial" w:cs="Arial"/>
          <w:color w:val="222222"/>
          <w:szCs w:val="24"/>
          <w:lang w:eastAsia="en-NZ"/>
        </w:rPr>
        <w:t>ā</w:t>
      </w:r>
      <w:r w:rsidRPr="00D5126A">
        <w:rPr>
          <w:rFonts w:ascii="Arial" w:eastAsia="Times New Roman" w:hAnsi="Arial" w:cs="Arial"/>
          <w:color w:val="222222"/>
          <w:szCs w:val="24"/>
          <w:lang w:eastAsia="en-NZ"/>
        </w:rPr>
        <w:t>ti Ruanui, Taranaki, Ng</w:t>
      </w:r>
      <w:r w:rsidR="00B47289" w:rsidRPr="00D5126A">
        <w:rPr>
          <w:rFonts w:ascii="Arial" w:eastAsia="Times New Roman" w:hAnsi="Arial" w:cs="Arial"/>
          <w:color w:val="222222"/>
          <w:szCs w:val="24"/>
          <w:lang w:eastAsia="en-NZ"/>
        </w:rPr>
        <w:t>ā</w:t>
      </w:r>
      <w:r w:rsidRPr="00D5126A">
        <w:rPr>
          <w:rFonts w:ascii="Arial" w:eastAsia="Times New Roman" w:hAnsi="Arial" w:cs="Arial"/>
          <w:color w:val="222222"/>
          <w:szCs w:val="24"/>
          <w:lang w:eastAsia="en-NZ"/>
        </w:rPr>
        <w:t xml:space="preserve">ti Tama and Te Atiawa. </w:t>
      </w:r>
      <w:r w:rsidR="002C3FF4" w:rsidRPr="00D5126A">
        <w:rPr>
          <w:rFonts w:ascii="Arial" w:eastAsia="Times New Roman" w:hAnsi="Arial" w:cs="Arial"/>
          <w:color w:val="222222"/>
          <w:szCs w:val="24"/>
          <w:lang w:eastAsia="en-NZ"/>
        </w:rPr>
        <w:t xml:space="preserve">Some </w:t>
      </w:r>
      <w:r w:rsidR="00B935B0" w:rsidRPr="00D5126A">
        <w:rPr>
          <w:rFonts w:ascii="Arial" w:eastAsia="Times New Roman" w:hAnsi="Arial" w:cs="Arial"/>
          <w:color w:val="222222"/>
          <w:szCs w:val="24"/>
          <w:lang w:eastAsia="en-NZ"/>
        </w:rPr>
        <w:t xml:space="preserve">tribes continued their migrations </w:t>
      </w:r>
      <w:r w:rsidR="002C3FF4" w:rsidRPr="00D5126A">
        <w:rPr>
          <w:rFonts w:ascii="Arial" w:eastAsia="Times New Roman" w:hAnsi="Arial" w:cs="Arial"/>
          <w:color w:val="222222"/>
          <w:szCs w:val="24"/>
          <w:lang w:eastAsia="en-NZ"/>
        </w:rPr>
        <w:t>elsewhere</w:t>
      </w:r>
      <w:r w:rsidR="00B935B0" w:rsidRPr="00D5126A">
        <w:rPr>
          <w:rFonts w:ascii="Arial" w:eastAsia="Times New Roman" w:hAnsi="Arial" w:cs="Arial"/>
          <w:color w:val="222222"/>
          <w:szCs w:val="24"/>
          <w:lang w:eastAsia="en-NZ"/>
        </w:rPr>
        <w:t>, while some stayed and settled around the harbour.</w:t>
      </w:r>
    </w:p>
    <w:p w:rsidR="00FB6523" w:rsidRPr="00D5126A" w:rsidRDefault="002C3FF4" w:rsidP="002C3FF4">
      <w:pPr>
        <w:spacing w:before="120" w:after="120" w:line="240" w:lineRule="auto"/>
        <w:rPr>
          <w:rFonts w:ascii="Arial" w:eastAsia="Times New Roman" w:hAnsi="Arial" w:cs="Arial"/>
          <w:color w:val="222222"/>
          <w:szCs w:val="24"/>
          <w:lang w:eastAsia="en-NZ"/>
        </w:rPr>
      </w:pPr>
      <w:r w:rsidRPr="00D5126A">
        <w:rPr>
          <w:rFonts w:ascii="Arial" w:eastAsia="Times New Roman" w:hAnsi="Arial" w:cs="Arial"/>
          <w:color w:val="222222"/>
          <w:szCs w:val="24"/>
          <w:lang w:eastAsia="en-NZ"/>
        </w:rPr>
        <w:t xml:space="preserve">The </w:t>
      </w:r>
      <w:r w:rsidR="00FE2F21" w:rsidRPr="00D5126A">
        <w:rPr>
          <w:rFonts w:ascii="Arial" w:eastAsia="Times New Roman" w:hAnsi="Arial" w:cs="Arial"/>
          <w:color w:val="222222"/>
          <w:szCs w:val="24"/>
          <w:lang w:eastAsia="en-NZ"/>
        </w:rPr>
        <w:t>New Zealand Company chose to locate its first settlement</w:t>
      </w:r>
      <w:r w:rsidR="00FB6523" w:rsidRPr="00D5126A">
        <w:rPr>
          <w:rFonts w:ascii="Arial" w:eastAsia="Times New Roman" w:hAnsi="Arial" w:cs="Arial"/>
          <w:color w:val="222222"/>
          <w:szCs w:val="24"/>
          <w:lang w:eastAsia="en-NZ"/>
        </w:rPr>
        <w:t xml:space="preserve"> in Wellington</w:t>
      </w:r>
      <w:r w:rsidR="00FE2F21" w:rsidRPr="00D5126A">
        <w:rPr>
          <w:rFonts w:ascii="Arial" w:eastAsia="Times New Roman" w:hAnsi="Arial" w:cs="Arial"/>
          <w:color w:val="222222"/>
          <w:szCs w:val="24"/>
          <w:lang w:eastAsia="en-NZ"/>
        </w:rPr>
        <w:t xml:space="preserve"> in 1839</w:t>
      </w:r>
      <w:r w:rsidR="00FB6523" w:rsidRPr="00D5126A">
        <w:rPr>
          <w:rFonts w:ascii="Arial" w:eastAsia="Times New Roman" w:hAnsi="Arial" w:cs="Arial"/>
          <w:color w:val="222222"/>
          <w:szCs w:val="24"/>
          <w:lang w:eastAsia="en-NZ"/>
        </w:rPr>
        <w:t xml:space="preserve"> and European settlers arrived on 22 January 1840.</w:t>
      </w:r>
      <w:r w:rsidR="00B935B0" w:rsidRPr="00D5126A">
        <w:t xml:space="preserve"> </w:t>
      </w:r>
    </w:p>
    <w:p w:rsidR="0097374D" w:rsidRPr="00D5126A" w:rsidRDefault="0097374D" w:rsidP="001F74A5">
      <w:pPr>
        <w:spacing w:before="120" w:after="120" w:line="240" w:lineRule="auto"/>
        <w:rPr>
          <w:rFonts w:ascii="Arial" w:eastAsia="Times New Roman" w:hAnsi="Arial" w:cs="Arial"/>
          <w:color w:val="222222"/>
          <w:szCs w:val="24"/>
          <w:lang w:eastAsia="en-NZ"/>
        </w:rPr>
      </w:pPr>
      <w:r w:rsidRPr="00D5126A">
        <w:rPr>
          <w:rFonts w:ascii="Arial" w:eastAsia="Times New Roman" w:hAnsi="Arial" w:cs="Arial"/>
          <w:color w:val="222222"/>
          <w:szCs w:val="24"/>
          <w:lang w:eastAsia="en-NZ"/>
        </w:rPr>
        <w:t xml:space="preserve">The Europeans found that not only were the Māori settlements </w:t>
      </w:r>
      <w:r w:rsidR="006E08EE" w:rsidRPr="00D5126A">
        <w:rPr>
          <w:rFonts w:ascii="Arial" w:eastAsia="Times New Roman" w:hAnsi="Arial" w:cs="Arial"/>
          <w:color w:val="222222"/>
          <w:szCs w:val="24"/>
          <w:lang w:eastAsia="en-NZ"/>
        </w:rPr>
        <w:t>thriving;</w:t>
      </w:r>
      <w:r w:rsidRPr="00D5126A">
        <w:rPr>
          <w:rFonts w:ascii="Arial" w:eastAsia="Times New Roman" w:hAnsi="Arial" w:cs="Arial"/>
          <w:color w:val="222222"/>
          <w:szCs w:val="24"/>
          <w:lang w:eastAsia="en-NZ"/>
        </w:rPr>
        <w:t xml:space="preserve"> there was healthy water-based trade and a communication</w:t>
      </w:r>
      <w:r w:rsidR="00EB1FC0">
        <w:rPr>
          <w:rFonts w:ascii="Arial" w:eastAsia="Times New Roman" w:hAnsi="Arial" w:cs="Arial"/>
          <w:color w:val="222222"/>
          <w:szCs w:val="24"/>
          <w:lang w:eastAsia="en-NZ"/>
        </w:rPr>
        <w:t>s</w:t>
      </w:r>
      <w:r w:rsidRPr="00D5126A">
        <w:rPr>
          <w:rFonts w:ascii="Arial" w:eastAsia="Times New Roman" w:hAnsi="Arial" w:cs="Arial"/>
          <w:color w:val="222222"/>
          <w:szCs w:val="24"/>
          <w:lang w:eastAsia="en-NZ"/>
        </w:rPr>
        <w:t xml:space="preserve"> system.</w:t>
      </w:r>
    </w:p>
    <w:p w:rsidR="0097374D" w:rsidRPr="00D5126A" w:rsidRDefault="0097374D" w:rsidP="001F74A5">
      <w:pPr>
        <w:spacing w:before="120" w:after="120" w:line="240" w:lineRule="auto"/>
        <w:rPr>
          <w:rFonts w:ascii="Arial" w:eastAsia="Times New Roman" w:hAnsi="Arial" w:cs="Arial"/>
          <w:color w:val="222222"/>
          <w:szCs w:val="24"/>
          <w:lang w:eastAsia="en-NZ"/>
        </w:rPr>
      </w:pPr>
      <w:r w:rsidRPr="00D5126A">
        <w:rPr>
          <w:rFonts w:ascii="Arial" w:eastAsia="Times New Roman" w:hAnsi="Arial" w:cs="Arial"/>
          <w:color w:val="222222"/>
          <w:szCs w:val="24"/>
          <w:lang w:eastAsia="en-NZ"/>
        </w:rPr>
        <w:t>The area south of Te Aro P</w:t>
      </w:r>
      <w:r w:rsidR="005B27AA" w:rsidRPr="00D5126A">
        <w:rPr>
          <w:rFonts w:ascii="Arial" w:eastAsia="Times New Roman" w:hAnsi="Arial" w:cs="Arial"/>
          <w:color w:val="222222"/>
          <w:szCs w:val="24"/>
          <w:lang w:eastAsia="en-NZ"/>
        </w:rPr>
        <w:t>ā</w:t>
      </w:r>
      <w:r w:rsidRPr="00D5126A">
        <w:rPr>
          <w:rFonts w:ascii="Arial" w:eastAsia="Times New Roman" w:hAnsi="Arial" w:cs="Arial"/>
          <w:color w:val="222222"/>
          <w:szCs w:val="24"/>
          <w:lang w:eastAsia="en-NZ"/>
        </w:rPr>
        <w:t xml:space="preserve"> was well-cultivated. Gardens extended to where the old Museum at Buckle Street now stands and on some of the hilly areas up to Brooklyn and Vogeltown.</w:t>
      </w:r>
    </w:p>
    <w:p w:rsidR="002C3FF4" w:rsidRPr="00D5126A" w:rsidRDefault="002C3FF4" w:rsidP="002C3FF4">
      <w:pPr>
        <w:spacing w:before="120" w:after="120" w:line="240" w:lineRule="auto"/>
        <w:rPr>
          <w:rFonts w:ascii="Arial" w:eastAsia="Times New Roman" w:hAnsi="Arial" w:cs="Arial"/>
          <w:color w:val="222222"/>
          <w:szCs w:val="24"/>
          <w:lang w:eastAsia="en-NZ"/>
        </w:rPr>
      </w:pPr>
      <w:r w:rsidRPr="00D5126A">
        <w:rPr>
          <w:rFonts w:ascii="Arial" w:eastAsia="Times New Roman" w:hAnsi="Arial" w:cs="Arial"/>
          <w:color w:val="222222"/>
          <w:szCs w:val="24"/>
          <w:lang w:eastAsia="en-NZ"/>
        </w:rPr>
        <w:t xml:space="preserve">The Waitangi Tribunal found that at 1840 the iwi groups that had </w:t>
      </w:r>
      <w:r w:rsidR="00EB1FC0">
        <w:rPr>
          <w:rFonts w:ascii="Arial" w:eastAsia="Times New Roman" w:hAnsi="Arial" w:cs="Arial"/>
          <w:color w:val="222222"/>
          <w:szCs w:val="24"/>
          <w:lang w:eastAsia="en-NZ"/>
        </w:rPr>
        <w:t>“</w:t>
      </w:r>
      <w:r w:rsidRPr="00D5126A">
        <w:rPr>
          <w:rFonts w:ascii="Arial" w:eastAsia="Times New Roman" w:hAnsi="Arial" w:cs="Arial"/>
          <w:color w:val="222222"/>
          <w:szCs w:val="24"/>
          <w:lang w:eastAsia="en-NZ"/>
        </w:rPr>
        <w:t>taken raupatu</w:t>
      </w:r>
      <w:r w:rsidR="00EB1FC0">
        <w:rPr>
          <w:rFonts w:ascii="Arial" w:eastAsia="Times New Roman" w:hAnsi="Arial" w:cs="Arial"/>
          <w:color w:val="222222"/>
          <w:szCs w:val="24"/>
          <w:lang w:eastAsia="en-NZ"/>
        </w:rPr>
        <w:t>”</w:t>
      </w:r>
      <w:r w:rsidRPr="00D5126A">
        <w:rPr>
          <w:rFonts w:ascii="Arial" w:eastAsia="Times New Roman" w:hAnsi="Arial" w:cs="Arial"/>
          <w:color w:val="222222"/>
          <w:szCs w:val="24"/>
          <w:lang w:eastAsia="en-NZ"/>
        </w:rPr>
        <w:t xml:space="preserve"> (right of conquest) over the wider area were: Te </w:t>
      </w:r>
      <w:r w:rsidR="00D5126A" w:rsidRPr="00D5126A">
        <w:rPr>
          <w:rFonts w:ascii="Arial" w:eastAsia="Times New Roman" w:hAnsi="Arial" w:cs="Arial"/>
          <w:color w:val="222222"/>
          <w:szCs w:val="24"/>
          <w:lang w:eastAsia="en-NZ"/>
        </w:rPr>
        <w:t>Atiawa</w:t>
      </w:r>
      <w:r w:rsidRPr="00D5126A">
        <w:rPr>
          <w:rFonts w:ascii="Arial" w:eastAsia="Times New Roman" w:hAnsi="Arial" w:cs="Arial"/>
          <w:color w:val="222222"/>
          <w:szCs w:val="24"/>
          <w:lang w:eastAsia="en-NZ"/>
        </w:rPr>
        <w:t>, Ngāti Ruanui, Taranaki, Ngāti Tama and Ngāti Toa. The Tribunal also found that these iwi each had their own ahi kā (rights over particular areas):</w:t>
      </w:r>
    </w:p>
    <w:p w:rsidR="002C3FF4" w:rsidRPr="00D5126A" w:rsidRDefault="002C3FF4" w:rsidP="002C7BF8">
      <w:pPr>
        <w:pStyle w:val="ListParagraph"/>
        <w:numPr>
          <w:ilvl w:val="0"/>
          <w:numId w:val="15"/>
        </w:numPr>
        <w:spacing w:before="120" w:after="120" w:line="240" w:lineRule="auto"/>
        <w:rPr>
          <w:rFonts w:ascii="Arial" w:eastAsia="Times New Roman" w:hAnsi="Arial" w:cs="Arial"/>
          <w:color w:val="222222"/>
          <w:szCs w:val="24"/>
          <w:lang w:eastAsia="en-NZ"/>
        </w:rPr>
      </w:pPr>
      <w:r w:rsidRPr="00D5126A">
        <w:rPr>
          <w:rFonts w:ascii="Arial" w:eastAsia="Times New Roman" w:hAnsi="Arial" w:cs="Arial"/>
          <w:color w:val="222222"/>
          <w:szCs w:val="24"/>
          <w:lang w:eastAsia="en-NZ"/>
        </w:rPr>
        <w:t xml:space="preserve">Te </w:t>
      </w:r>
      <w:r w:rsidR="00D5126A" w:rsidRPr="00D5126A">
        <w:rPr>
          <w:rFonts w:ascii="Arial" w:eastAsia="Times New Roman" w:hAnsi="Arial" w:cs="Arial"/>
          <w:color w:val="222222"/>
          <w:szCs w:val="24"/>
          <w:lang w:eastAsia="en-NZ"/>
        </w:rPr>
        <w:t>Atiawa</w:t>
      </w:r>
      <w:r w:rsidRPr="00D5126A">
        <w:rPr>
          <w:rFonts w:ascii="Arial" w:eastAsia="Times New Roman" w:hAnsi="Arial" w:cs="Arial"/>
          <w:color w:val="222222"/>
          <w:szCs w:val="24"/>
          <w:lang w:eastAsia="en-NZ"/>
        </w:rPr>
        <w:t xml:space="preserve"> at Te Whanganui-a-Tara and parts of the south-west coast</w:t>
      </w:r>
    </w:p>
    <w:p w:rsidR="002C3FF4" w:rsidRPr="00D5126A" w:rsidRDefault="002C3FF4" w:rsidP="002C7BF8">
      <w:pPr>
        <w:pStyle w:val="ListParagraph"/>
        <w:numPr>
          <w:ilvl w:val="0"/>
          <w:numId w:val="15"/>
        </w:numPr>
        <w:spacing w:before="120" w:after="120" w:line="240" w:lineRule="auto"/>
        <w:rPr>
          <w:rFonts w:ascii="Arial" w:eastAsia="Times New Roman" w:hAnsi="Arial" w:cs="Arial"/>
          <w:color w:val="222222"/>
          <w:szCs w:val="24"/>
          <w:lang w:eastAsia="en-NZ"/>
        </w:rPr>
      </w:pPr>
      <w:r w:rsidRPr="00D5126A">
        <w:rPr>
          <w:rFonts w:ascii="Arial" w:eastAsia="Times New Roman" w:hAnsi="Arial" w:cs="Arial"/>
          <w:color w:val="222222"/>
          <w:szCs w:val="24"/>
          <w:lang w:eastAsia="en-NZ"/>
        </w:rPr>
        <w:t>Taranaki and Ngāti Ruanui at Te Aro</w:t>
      </w:r>
    </w:p>
    <w:p w:rsidR="002C3FF4" w:rsidRPr="00D5126A" w:rsidRDefault="002C3FF4" w:rsidP="002C7BF8">
      <w:pPr>
        <w:pStyle w:val="ListParagraph"/>
        <w:numPr>
          <w:ilvl w:val="0"/>
          <w:numId w:val="15"/>
        </w:numPr>
        <w:spacing w:before="120" w:after="120" w:line="240" w:lineRule="auto"/>
        <w:rPr>
          <w:rFonts w:ascii="Arial" w:eastAsia="Times New Roman" w:hAnsi="Arial" w:cs="Arial"/>
          <w:color w:val="222222"/>
          <w:szCs w:val="24"/>
          <w:lang w:eastAsia="en-NZ"/>
        </w:rPr>
      </w:pPr>
      <w:r w:rsidRPr="00D5126A">
        <w:rPr>
          <w:rFonts w:ascii="Arial" w:eastAsia="Times New Roman" w:hAnsi="Arial" w:cs="Arial"/>
          <w:color w:val="222222"/>
          <w:szCs w:val="24"/>
          <w:lang w:eastAsia="en-NZ"/>
        </w:rPr>
        <w:t>Ngāti Tama at Kaiwharawhara and environs, and parts of the south-west coast</w:t>
      </w:r>
    </w:p>
    <w:p w:rsidR="002C3FF4" w:rsidRPr="00D5126A" w:rsidRDefault="002C3FF4" w:rsidP="002C7BF8">
      <w:pPr>
        <w:pStyle w:val="ListParagraph"/>
        <w:numPr>
          <w:ilvl w:val="0"/>
          <w:numId w:val="15"/>
        </w:numPr>
        <w:spacing w:before="120" w:after="120" w:line="240" w:lineRule="auto"/>
        <w:rPr>
          <w:rFonts w:ascii="Arial" w:eastAsia="Times New Roman" w:hAnsi="Arial" w:cs="Arial"/>
          <w:color w:val="222222"/>
          <w:szCs w:val="24"/>
          <w:lang w:eastAsia="en-NZ"/>
        </w:rPr>
      </w:pPr>
      <w:r w:rsidRPr="00D5126A">
        <w:rPr>
          <w:rFonts w:ascii="Arial" w:eastAsia="Times New Roman" w:hAnsi="Arial" w:cs="Arial"/>
          <w:color w:val="222222"/>
          <w:szCs w:val="24"/>
          <w:lang w:eastAsia="en-NZ"/>
        </w:rPr>
        <w:t>Ngāti Toa at parts of the south-west coast</w:t>
      </w:r>
    </w:p>
    <w:p w:rsidR="002C3FF4" w:rsidRPr="00D5126A" w:rsidRDefault="002C3FF4" w:rsidP="002C3FF4">
      <w:pPr>
        <w:spacing w:before="120" w:after="120" w:line="240" w:lineRule="auto"/>
        <w:rPr>
          <w:rFonts w:ascii="Arial" w:eastAsia="Times New Roman" w:hAnsi="Arial" w:cs="Arial"/>
          <w:color w:val="222222"/>
          <w:szCs w:val="24"/>
          <w:lang w:eastAsia="en-NZ"/>
        </w:rPr>
      </w:pPr>
      <w:r w:rsidRPr="00D5126A">
        <w:rPr>
          <w:rFonts w:ascii="Arial" w:eastAsia="Times New Roman" w:hAnsi="Arial" w:cs="Arial"/>
          <w:color w:val="222222"/>
          <w:szCs w:val="24"/>
          <w:lang w:eastAsia="en-NZ"/>
        </w:rPr>
        <w:t>These tribes are Wellington’s iwi mana whenua and are represented by mandated iwi entities.</w:t>
      </w:r>
    </w:p>
    <w:p w:rsidR="00A01AE1" w:rsidRPr="00D5126A" w:rsidRDefault="00B47289" w:rsidP="00AA2122">
      <w:pPr>
        <w:pStyle w:val="Heading3"/>
      </w:pPr>
      <w:bookmarkStart w:id="18" w:name="_Toc19085776"/>
      <w:r w:rsidRPr="00D5126A">
        <w:t>177 years of local government</w:t>
      </w:r>
      <w:bookmarkEnd w:id="18"/>
    </w:p>
    <w:p w:rsidR="00A03EAD" w:rsidRPr="00D5126A" w:rsidRDefault="00A03EAD" w:rsidP="00A03EAD">
      <w:pPr>
        <w:pStyle w:val="NormalWeb"/>
        <w:spacing w:before="120" w:beforeAutospacing="0" w:after="120" w:afterAutospacing="0"/>
        <w:rPr>
          <w:rFonts w:ascii="Arial" w:hAnsi="Arial" w:cs="Arial"/>
          <w:color w:val="222222"/>
        </w:rPr>
      </w:pPr>
      <w:r w:rsidRPr="00D5126A">
        <w:rPr>
          <w:rFonts w:ascii="Arial" w:hAnsi="Arial" w:cs="Arial"/>
          <w:color w:val="222222"/>
        </w:rPr>
        <w:t xml:space="preserve">By the turn of the </w:t>
      </w:r>
      <w:r w:rsidR="00EB1FC0">
        <w:rPr>
          <w:rFonts w:ascii="Arial" w:hAnsi="Arial" w:cs="Arial"/>
          <w:color w:val="222222"/>
        </w:rPr>
        <w:t>20</w:t>
      </w:r>
      <w:r w:rsidR="00EB1FC0" w:rsidRPr="00EB1FC0">
        <w:rPr>
          <w:rFonts w:ascii="Arial" w:hAnsi="Arial" w:cs="Arial"/>
          <w:color w:val="222222"/>
        </w:rPr>
        <w:t>th</w:t>
      </w:r>
      <w:r w:rsidR="00EB1FC0">
        <w:rPr>
          <w:rFonts w:ascii="Arial" w:hAnsi="Arial" w:cs="Arial"/>
          <w:color w:val="222222"/>
        </w:rPr>
        <w:t xml:space="preserve"> </w:t>
      </w:r>
      <w:r w:rsidRPr="00D5126A">
        <w:rPr>
          <w:rFonts w:ascii="Arial" w:hAnsi="Arial" w:cs="Arial"/>
          <w:color w:val="222222"/>
        </w:rPr>
        <w:t xml:space="preserve">century, Wellington was an advanced and growing city for a European settlement that was barely 60 years old. </w:t>
      </w:r>
    </w:p>
    <w:p w:rsidR="00A03EAD" w:rsidRPr="00D5126A" w:rsidRDefault="00A03EAD" w:rsidP="00A03EAD">
      <w:pPr>
        <w:spacing w:before="120" w:after="120" w:line="240" w:lineRule="auto"/>
        <w:rPr>
          <w:rFonts w:ascii="Arial" w:eastAsia="Times New Roman" w:hAnsi="Arial" w:cs="Arial"/>
          <w:color w:val="222222"/>
          <w:szCs w:val="24"/>
          <w:lang w:eastAsia="en-NZ"/>
        </w:rPr>
      </w:pPr>
      <w:r w:rsidRPr="00D5126A">
        <w:rPr>
          <w:rFonts w:ascii="Arial" w:eastAsia="Times New Roman" w:hAnsi="Arial" w:cs="Arial"/>
          <w:color w:val="222222"/>
          <w:szCs w:val="24"/>
          <w:lang w:eastAsia="en-NZ"/>
        </w:rPr>
        <w:lastRenderedPageBreak/>
        <w:t xml:space="preserve">Wellington became the centre of </w:t>
      </w:r>
      <w:r w:rsidR="004146BD">
        <w:rPr>
          <w:rFonts w:ascii="Arial" w:eastAsia="Times New Roman" w:hAnsi="Arial" w:cs="Arial"/>
          <w:color w:val="222222"/>
          <w:szCs w:val="24"/>
          <w:lang w:eastAsia="en-NZ"/>
        </w:rPr>
        <w:t>g</w:t>
      </w:r>
      <w:r w:rsidR="004146BD" w:rsidRPr="00D5126A">
        <w:rPr>
          <w:rFonts w:ascii="Arial" w:eastAsia="Times New Roman" w:hAnsi="Arial" w:cs="Arial"/>
          <w:color w:val="222222"/>
          <w:szCs w:val="24"/>
          <w:lang w:eastAsia="en-NZ"/>
        </w:rPr>
        <w:t xml:space="preserve">overnment </w:t>
      </w:r>
      <w:r w:rsidRPr="00D5126A">
        <w:rPr>
          <w:rFonts w:ascii="Arial" w:eastAsia="Times New Roman" w:hAnsi="Arial" w:cs="Arial"/>
          <w:color w:val="222222"/>
          <w:szCs w:val="24"/>
          <w:lang w:eastAsia="en-NZ"/>
        </w:rPr>
        <w:t>as the capital city in 1865, and is still the southern-most capital city in the world.</w:t>
      </w:r>
    </w:p>
    <w:p w:rsidR="00A03EAD" w:rsidRPr="00D5126A" w:rsidRDefault="00A03EAD" w:rsidP="00A03EAD">
      <w:pPr>
        <w:pStyle w:val="NormalWeb"/>
        <w:spacing w:before="120" w:beforeAutospacing="0" w:after="120" w:afterAutospacing="0"/>
        <w:rPr>
          <w:rFonts w:ascii="Arial" w:hAnsi="Arial" w:cs="Arial"/>
          <w:color w:val="222222"/>
        </w:rPr>
      </w:pPr>
      <w:r w:rsidRPr="00D5126A">
        <w:rPr>
          <w:rFonts w:ascii="Arial" w:hAnsi="Arial" w:cs="Arial"/>
          <w:color w:val="222222"/>
        </w:rPr>
        <w:t xml:space="preserve">Fresh water was available on tap for most residents, a sewerage scheme was operating and a new cemetery had been established. City streets had already been lit by electricity for more than a decade and the expansion of the public transport system was bringing growth and development to the outlying suburbs. </w:t>
      </w:r>
    </w:p>
    <w:p w:rsidR="00A03EAD" w:rsidRPr="00D5126A" w:rsidRDefault="00A03EAD" w:rsidP="00A03EAD">
      <w:pPr>
        <w:pStyle w:val="NormalWeb"/>
        <w:spacing w:before="120" w:beforeAutospacing="0" w:after="120" w:afterAutospacing="0"/>
        <w:rPr>
          <w:rFonts w:ascii="Arial" w:hAnsi="Arial" w:cs="Arial"/>
          <w:color w:val="222222"/>
        </w:rPr>
      </w:pPr>
      <w:r w:rsidRPr="00D5126A">
        <w:rPr>
          <w:rFonts w:ascii="Arial" w:hAnsi="Arial" w:cs="Arial"/>
          <w:color w:val="222222"/>
        </w:rPr>
        <w:t>These developments were driven and carried out by Wellington’s early local governments</w:t>
      </w:r>
      <w:r w:rsidR="00EB1FC0">
        <w:rPr>
          <w:rFonts w:ascii="Arial" w:hAnsi="Arial" w:cs="Arial"/>
          <w:color w:val="222222"/>
        </w:rPr>
        <w:t>,</w:t>
      </w:r>
      <w:r w:rsidRPr="00D5126A">
        <w:rPr>
          <w:rFonts w:ascii="Arial" w:hAnsi="Arial" w:cs="Arial"/>
          <w:color w:val="222222"/>
        </w:rPr>
        <w:t xml:space="preserve"> including the various borough councils and the Board of Works, which became Wellington City Council in 1869. </w:t>
      </w:r>
    </w:p>
    <w:p w:rsidR="00A03EAD" w:rsidRPr="00D5126A" w:rsidRDefault="00A03EAD" w:rsidP="00A03EAD">
      <w:pPr>
        <w:pStyle w:val="NormalWeb"/>
        <w:spacing w:before="120" w:beforeAutospacing="0" w:after="120" w:afterAutospacing="0"/>
        <w:rPr>
          <w:rFonts w:ascii="Arial" w:hAnsi="Arial" w:cs="Arial"/>
          <w:color w:val="222222"/>
        </w:rPr>
      </w:pPr>
      <w:r w:rsidRPr="00D5126A">
        <w:rPr>
          <w:rFonts w:ascii="Arial" w:hAnsi="Arial" w:cs="Arial"/>
          <w:color w:val="222222"/>
        </w:rPr>
        <w:t xml:space="preserve">In the decades since Wellington City Council has been at the heart of the city’s growth and development. </w:t>
      </w:r>
    </w:p>
    <w:p w:rsidR="00A03EAD" w:rsidRPr="00D5126A" w:rsidRDefault="00A03EAD" w:rsidP="00A03EAD">
      <w:r w:rsidRPr="00D5126A">
        <w:rPr>
          <w:rFonts w:ascii="Arial" w:hAnsi="Arial" w:cs="Arial"/>
          <w:color w:val="222222"/>
        </w:rPr>
        <w:t xml:space="preserve">There have been political changes, programmes and initiatives undertaken, and vital infrastructure established and maintained. </w:t>
      </w:r>
      <w:r w:rsidRPr="00D5126A">
        <w:t xml:space="preserve">The city evolved from a pioneer settlement to a government and industry city. However, it wasn’t known as a destination for international or domestic tourism. That all changed in the late 1980s. </w:t>
      </w:r>
    </w:p>
    <w:p w:rsidR="00A03EAD" w:rsidRPr="00D5126A" w:rsidRDefault="00A03EAD" w:rsidP="00A03EAD">
      <w:r w:rsidRPr="00D5126A">
        <w:t>A concerted effort by Wellington City Council and key visionary Wellingtonians has created a modern creative city.</w:t>
      </w:r>
    </w:p>
    <w:p w:rsidR="00A03EAD" w:rsidRPr="00D5126A" w:rsidRDefault="00A03EAD" w:rsidP="00A03EAD">
      <w:pPr>
        <w:pStyle w:val="NormalWeb"/>
        <w:spacing w:before="120" w:beforeAutospacing="0" w:after="120" w:afterAutospacing="0"/>
        <w:rPr>
          <w:rFonts w:ascii="Arial" w:hAnsi="Arial" w:cs="Arial"/>
          <w:color w:val="222222"/>
        </w:rPr>
      </w:pPr>
      <w:r w:rsidRPr="00D5126A">
        <w:rPr>
          <w:rFonts w:ascii="Arial" w:hAnsi="Arial" w:cs="Arial"/>
          <w:color w:val="222222"/>
        </w:rPr>
        <w:t>Key milestones in our history include:</w:t>
      </w:r>
    </w:p>
    <w:p w:rsidR="00A03EAD" w:rsidRPr="00D5126A" w:rsidRDefault="00A03EAD" w:rsidP="002C7BF8">
      <w:pPr>
        <w:pStyle w:val="NormalWeb"/>
        <w:numPr>
          <w:ilvl w:val="0"/>
          <w:numId w:val="75"/>
        </w:numPr>
        <w:spacing w:before="120" w:beforeAutospacing="0" w:after="120" w:afterAutospacing="0"/>
        <w:rPr>
          <w:rFonts w:ascii="Arial" w:hAnsi="Arial" w:cs="Arial"/>
          <w:color w:val="222222"/>
        </w:rPr>
      </w:pPr>
      <w:r w:rsidRPr="00D5126A">
        <w:rPr>
          <w:rFonts w:ascii="Arial" w:hAnsi="Arial" w:cs="Arial"/>
          <w:color w:val="222222"/>
        </w:rPr>
        <w:t xml:space="preserve">Opening the Mt Victoria, The Terrace, </w:t>
      </w:r>
      <w:proofErr w:type="gramStart"/>
      <w:r w:rsidRPr="00D5126A">
        <w:rPr>
          <w:rFonts w:ascii="Arial" w:hAnsi="Arial" w:cs="Arial"/>
          <w:color w:val="222222"/>
        </w:rPr>
        <w:t>Karori</w:t>
      </w:r>
      <w:proofErr w:type="gramEnd"/>
      <w:r w:rsidRPr="00D5126A">
        <w:rPr>
          <w:rFonts w:ascii="Arial" w:hAnsi="Arial" w:cs="Arial"/>
          <w:color w:val="222222"/>
        </w:rPr>
        <w:t>, Northland and Seatoun tunnels and</w:t>
      </w:r>
      <w:r w:rsidR="00EB1FC0">
        <w:rPr>
          <w:rFonts w:ascii="Arial" w:hAnsi="Arial" w:cs="Arial"/>
          <w:color w:val="222222"/>
        </w:rPr>
        <w:t>,</w:t>
      </w:r>
      <w:r w:rsidRPr="00D5126A">
        <w:rPr>
          <w:rFonts w:ascii="Arial" w:hAnsi="Arial" w:cs="Arial"/>
          <w:color w:val="222222"/>
        </w:rPr>
        <w:t xml:space="preserve"> more recently</w:t>
      </w:r>
      <w:r w:rsidR="00EB1FC0">
        <w:rPr>
          <w:rFonts w:ascii="Arial" w:hAnsi="Arial" w:cs="Arial"/>
          <w:color w:val="222222"/>
        </w:rPr>
        <w:t>,</w:t>
      </w:r>
      <w:r w:rsidRPr="00D5126A">
        <w:rPr>
          <w:rFonts w:ascii="Arial" w:hAnsi="Arial" w:cs="Arial"/>
          <w:color w:val="222222"/>
        </w:rPr>
        <w:t xml:space="preserve"> the Arras Tunnel.</w:t>
      </w:r>
    </w:p>
    <w:p w:rsidR="00A03EAD" w:rsidRPr="00D5126A" w:rsidRDefault="00EB1FC0" w:rsidP="002C7BF8">
      <w:pPr>
        <w:pStyle w:val="NormalWeb"/>
        <w:numPr>
          <w:ilvl w:val="0"/>
          <w:numId w:val="75"/>
        </w:numPr>
        <w:spacing w:before="120" w:beforeAutospacing="0" w:after="120" w:afterAutospacing="0"/>
        <w:rPr>
          <w:rFonts w:ascii="Arial" w:hAnsi="Arial" w:cs="Arial"/>
          <w:color w:val="222222"/>
        </w:rPr>
      </w:pPr>
      <w:r w:rsidRPr="00D5126A">
        <w:rPr>
          <w:rFonts w:ascii="Arial" w:hAnsi="Arial" w:cs="Arial"/>
          <w:color w:val="222222"/>
        </w:rPr>
        <w:t>Help</w:t>
      </w:r>
      <w:r>
        <w:rPr>
          <w:rFonts w:ascii="Arial" w:hAnsi="Arial" w:cs="Arial"/>
          <w:color w:val="222222"/>
        </w:rPr>
        <w:t>ing</w:t>
      </w:r>
      <w:r w:rsidRPr="00D5126A">
        <w:rPr>
          <w:rFonts w:ascii="Arial" w:hAnsi="Arial" w:cs="Arial"/>
          <w:color w:val="222222"/>
        </w:rPr>
        <w:t xml:space="preserve"> </w:t>
      </w:r>
      <w:r w:rsidR="00A03EAD" w:rsidRPr="00D5126A">
        <w:rPr>
          <w:rFonts w:ascii="Arial" w:hAnsi="Arial" w:cs="Arial"/>
          <w:color w:val="222222"/>
        </w:rPr>
        <w:t>establish and champion popular Wellington attractions, including the Botanic Gardens, Otari-Wilton’s Bush, City Gallery, Museum of Wellington, Capital E, Carter Observatory (now Space Place), Te Papa, Orchestra Wellington, Opera House, St James Theatre, as well as festivals, markets, pools, recreation centres, sportsfields and playgrounds.</w:t>
      </w:r>
    </w:p>
    <w:p w:rsidR="00A03EAD" w:rsidRPr="00D5126A" w:rsidRDefault="00EB1FC0" w:rsidP="002C7BF8">
      <w:pPr>
        <w:pStyle w:val="NormalWeb"/>
        <w:numPr>
          <w:ilvl w:val="0"/>
          <w:numId w:val="75"/>
        </w:numPr>
        <w:spacing w:before="120" w:beforeAutospacing="0" w:after="120" w:afterAutospacing="0"/>
        <w:rPr>
          <w:rFonts w:ascii="Arial" w:hAnsi="Arial" w:cs="Arial"/>
          <w:color w:val="222222"/>
        </w:rPr>
      </w:pPr>
      <w:r w:rsidRPr="00D5126A">
        <w:rPr>
          <w:rFonts w:ascii="Arial" w:hAnsi="Arial" w:cs="Arial"/>
          <w:color w:val="222222"/>
        </w:rPr>
        <w:t>Open</w:t>
      </w:r>
      <w:r>
        <w:rPr>
          <w:rFonts w:ascii="Arial" w:hAnsi="Arial" w:cs="Arial"/>
          <w:color w:val="222222"/>
        </w:rPr>
        <w:t>ing</w:t>
      </w:r>
      <w:r w:rsidRPr="00D5126A">
        <w:rPr>
          <w:rFonts w:ascii="Arial" w:hAnsi="Arial" w:cs="Arial"/>
          <w:color w:val="222222"/>
        </w:rPr>
        <w:t xml:space="preserve"> </w:t>
      </w:r>
      <w:r w:rsidR="00A03EAD" w:rsidRPr="00D5126A">
        <w:rPr>
          <w:rFonts w:ascii="Arial" w:hAnsi="Arial" w:cs="Arial"/>
          <w:color w:val="222222"/>
        </w:rPr>
        <w:t xml:space="preserve">the city and New Zealand’s first branch library in Newtown in 1902. We now have 12 </w:t>
      </w:r>
      <w:r>
        <w:rPr>
          <w:rFonts w:ascii="Arial" w:hAnsi="Arial" w:cs="Arial"/>
          <w:color w:val="222222"/>
        </w:rPr>
        <w:t xml:space="preserve">libraries </w:t>
      </w:r>
      <w:r w:rsidR="00A03EAD" w:rsidRPr="00D5126A">
        <w:rPr>
          <w:rFonts w:ascii="Arial" w:hAnsi="Arial" w:cs="Arial"/>
          <w:color w:val="222222"/>
        </w:rPr>
        <w:t>across the city.</w:t>
      </w:r>
    </w:p>
    <w:p w:rsidR="00A03EAD" w:rsidRPr="00D5126A" w:rsidRDefault="00EB1FC0" w:rsidP="002C7BF8">
      <w:pPr>
        <w:pStyle w:val="NormalWeb"/>
        <w:numPr>
          <w:ilvl w:val="0"/>
          <w:numId w:val="75"/>
        </w:numPr>
        <w:spacing w:before="120" w:beforeAutospacing="0" w:after="120" w:afterAutospacing="0"/>
        <w:rPr>
          <w:rFonts w:ascii="Arial" w:hAnsi="Arial" w:cs="Arial"/>
          <w:color w:val="222222"/>
        </w:rPr>
      </w:pPr>
      <w:r w:rsidRPr="00D5126A">
        <w:rPr>
          <w:rFonts w:ascii="Arial" w:hAnsi="Arial" w:cs="Arial"/>
          <w:color w:val="222222"/>
        </w:rPr>
        <w:t>Support</w:t>
      </w:r>
      <w:r>
        <w:rPr>
          <w:rFonts w:ascii="Arial" w:hAnsi="Arial" w:cs="Arial"/>
          <w:color w:val="222222"/>
        </w:rPr>
        <w:t>ing</w:t>
      </w:r>
      <w:r w:rsidRPr="00D5126A">
        <w:rPr>
          <w:rFonts w:ascii="Arial" w:hAnsi="Arial" w:cs="Arial"/>
          <w:color w:val="222222"/>
        </w:rPr>
        <w:t xml:space="preserve"> </w:t>
      </w:r>
      <w:r w:rsidR="00A03EAD" w:rsidRPr="00D5126A">
        <w:rPr>
          <w:rFonts w:ascii="Arial" w:hAnsi="Arial" w:cs="Arial"/>
          <w:color w:val="222222"/>
        </w:rPr>
        <w:t>the arts, film and food industries to help them thrive in the city, creating the unique culture we have today.</w:t>
      </w:r>
    </w:p>
    <w:p w:rsidR="00A03EAD" w:rsidRPr="00D5126A" w:rsidRDefault="00A03EAD" w:rsidP="00A03EAD">
      <w:pPr>
        <w:pStyle w:val="NormalWeb"/>
        <w:spacing w:before="120" w:beforeAutospacing="0" w:after="120" w:afterAutospacing="0"/>
        <w:rPr>
          <w:rFonts w:ascii="Arial" w:hAnsi="Arial" w:cs="Arial"/>
          <w:color w:val="222222"/>
        </w:rPr>
      </w:pPr>
      <w:r w:rsidRPr="00D5126A">
        <w:rPr>
          <w:rFonts w:ascii="Arial" w:hAnsi="Arial" w:cs="Arial"/>
          <w:color w:val="222222"/>
        </w:rPr>
        <w:t xml:space="preserve">Wellington City Council grew through the years and subsumed independent </w:t>
      </w:r>
      <w:r w:rsidRPr="00D5126A">
        <w:rPr>
          <w:rFonts w:ascii="Arial" w:hAnsi="Arial" w:cs="Arial"/>
        </w:rPr>
        <w:t>boroughs</w:t>
      </w:r>
      <w:r w:rsidRPr="00D5126A">
        <w:rPr>
          <w:rFonts w:ascii="Arial" w:hAnsi="Arial" w:cs="Arial"/>
          <w:color w:val="222222"/>
        </w:rPr>
        <w:t xml:space="preserve"> including:</w:t>
      </w:r>
    </w:p>
    <w:p w:rsidR="00A03EAD" w:rsidRPr="00D5126A" w:rsidRDefault="00A03EAD" w:rsidP="002C7BF8">
      <w:pPr>
        <w:pStyle w:val="ListParagraph"/>
        <w:numPr>
          <w:ilvl w:val="0"/>
          <w:numId w:val="76"/>
        </w:numPr>
        <w:spacing w:before="100" w:beforeAutospacing="1" w:after="24" w:line="240" w:lineRule="auto"/>
        <w:rPr>
          <w:rFonts w:ascii="Arial" w:hAnsi="Arial" w:cs="Arial"/>
          <w:color w:val="222222"/>
          <w:szCs w:val="24"/>
        </w:rPr>
      </w:pPr>
      <w:r w:rsidRPr="00D5126A">
        <w:rPr>
          <w:rFonts w:ascii="Arial" w:hAnsi="Arial" w:cs="Arial"/>
          <w:color w:val="222222"/>
        </w:rPr>
        <w:t>The Borough Council: established in 1842 and was the first in New Zealand</w:t>
      </w:r>
    </w:p>
    <w:p w:rsidR="00A03EAD" w:rsidRPr="00D5126A" w:rsidRDefault="00A03EAD" w:rsidP="002C7BF8">
      <w:pPr>
        <w:pStyle w:val="ListParagraph"/>
        <w:numPr>
          <w:ilvl w:val="0"/>
          <w:numId w:val="76"/>
        </w:numPr>
        <w:spacing w:before="100" w:beforeAutospacing="1" w:after="24" w:line="240" w:lineRule="auto"/>
        <w:rPr>
          <w:rFonts w:ascii="Arial" w:hAnsi="Arial" w:cs="Arial"/>
          <w:color w:val="222222"/>
          <w:szCs w:val="24"/>
        </w:rPr>
      </w:pPr>
      <w:r w:rsidRPr="00D5126A">
        <w:t>Melrose: established in 1888 and merged in 1903</w:t>
      </w:r>
    </w:p>
    <w:p w:rsidR="00A03EAD" w:rsidRPr="00D5126A" w:rsidRDefault="00A03EAD" w:rsidP="002C7BF8">
      <w:pPr>
        <w:pStyle w:val="ListParagraph"/>
        <w:numPr>
          <w:ilvl w:val="0"/>
          <w:numId w:val="76"/>
        </w:numPr>
        <w:spacing w:before="100" w:beforeAutospacing="1" w:after="24" w:line="240" w:lineRule="auto"/>
        <w:rPr>
          <w:rFonts w:ascii="Arial" w:hAnsi="Arial" w:cs="Arial"/>
          <w:color w:val="222222"/>
          <w:szCs w:val="24"/>
        </w:rPr>
      </w:pPr>
      <w:r w:rsidRPr="00D5126A">
        <w:t xml:space="preserve">Onslow (Khandallah and Ngaio): established in 1890 </w:t>
      </w:r>
      <w:r w:rsidR="00EB1FC0">
        <w:t xml:space="preserve">and </w:t>
      </w:r>
      <w:r w:rsidRPr="00D5126A">
        <w:t>merged in 1919</w:t>
      </w:r>
    </w:p>
    <w:p w:rsidR="00A03EAD" w:rsidRPr="00D5126A" w:rsidRDefault="00A03EAD" w:rsidP="002C7BF8">
      <w:pPr>
        <w:pStyle w:val="ListParagraph"/>
        <w:numPr>
          <w:ilvl w:val="0"/>
          <w:numId w:val="76"/>
        </w:numPr>
        <w:spacing w:before="100" w:beforeAutospacing="1" w:after="24" w:line="240" w:lineRule="auto"/>
        <w:rPr>
          <w:rFonts w:ascii="Arial" w:hAnsi="Arial" w:cs="Arial"/>
          <w:color w:val="222222"/>
          <w:szCs w:val="24"/>
        </w:rPr>
      </w:pPr>
      <w:r w:rsidRPr="00D5126A">
        <w:t>Wadestown: separated from Onslow borough and merged in 1906</w:t>
      </w:r>
    </w:p>
    <w:p w:rsidR="00A03EAD" w:rsidRPr="00D5126A" w:rsidRDefault="00A03EAD" w:rsidP="002C7BF8">
      <w:pPr>
        <w:pStyle w:val="ListParagraph"/>
        <w:numPr>
          <w:ilvl w:val="0"/>
          <w:numId w:val="76"/>
        </w:numPr>
        <w:spacing w:before="100" w:beforeAutospacing="1" w:after="24" w:line="240" w:lineRule="auto"/>
        <w:rPr>
          <w:rFonts w:ascii="Arial" w:hAnsi="Arial" w:cs="Arial"/>
          <w:color w:val="222222"/>
          <w:szCs w:val="24"/>
        </w:rPr>
      </w:pPr>
      <w:r w:rsidRPr="00D5126A">
        <w:t>Karori: established in 1891 and merged in 1920</w:t>
      </w:r>
    </w:p>
    <w:p w:rsidR="00A03EAD" w:rsidRPr="00D5126A" w:rsidRDefault="00A03EAD" w:rsidP="002C7BF8">
      <w:pPr>
        <w:pStyle w:val="ListParagraph"/>
        <w:numPr>
          <w:ilvl w:val="0"/>
          <w:numId w:val="76"/>
        </w:numPr>
        <w:spacing w:before="100" w:beforeAutospacing="1" w:after="24" w:line="240" w:lineRule="auto"/>
        <w:rPr>
          <w:rFonts w:ascii="Arial" w:hAnsi="Arial" w:cs="Arial"/>
          <w:color w:val="222222"/>
          <w:szCs w:val="24"/>
        </w:rPr>
      </w:pPr>
      <w:r w:rsidRPr="00D5126A">
        <w:t>Miramar: established in 1904 and merged in 1921</w:t>
      </w:r>
    </w:p>
    <w:p w:rsidR="00A03EAD" w:rsidRPr="00D5126A" w:rsidRDefault="00A03EAD" w:rsidP="002C7BF8">
      <w:pPr>
        <w:pStyle w:val="ListParagraph"/>
        <w:numPr>
          <w:ilvl w:val="0"/>
          <w:numId w:val="76"/>
        </w:numPr>
        <w:spacing w:before="100" w:beforeAutospacing="1" w:after="24" w:line="240" w:lineRule="auto"/>
        <w:rPr>
          <w:rFonts w:ascii="Arial" w:hAnsi="Arial" w:cs="Arial"/>
          <w:color w:val="222222"/>
          <w:szCs w:val="24"/>
        </w:rPr>
      </w:pPr>
      <w:r w:rsidRPr="00D5126A">
        <w:t>Johnsonville: a town board from 1908 and merged in 1953</w:t>
      </w:r>
    </w:p>
    <w:p w:rsidR="00A03EAD" w:rsidRPr="00D5126A" w:rsidRDefault="00A03EAD" w:rsidP="002C7BF8">
      <w:pPr>
        <w:pStyle w:val="ListParagraph"/>
        <w:numPr>
          <w:ilvl w:val="0"/>
          <w:numId w:val="76"/>
        </w:numPr>
        <w:spacing w:before="100" w:beforeAutospacing="1" w:after="24" w:line="240" w:lineRule="auto"/>
      </w:pPr>
      <w:r w:rsidRPr="00D5126A">
        <w:rPr>
          <w:rFonts w:ascii="Arial" w:hAnsi="Arial" w:cs="Arial"/>
          <w:color w:val="222222"/>
          <w:szCs w:val="24"/>
        </w:rPr>
        <w:t xml:space="preserve">Tawa: A town district from 1951, </w:t>
      </w:r>
      <w:r w:rsidRPr="00D5126A">
        <w:t>then the Tawa Flat Borough Council from 1953, part of Wellington in 1989</w:t>
      </w:r>
    </w:p>
    <w:p w:rsidR="001855ED" w:rsidRPr="00D5126A" w:rsidRDefault="00B935B0" w:rsidP="001F74A5">
      <w:pPr>
        <w:spacing w:before="100" w:beforeAutospacing="1" w:after="24" w:line="240" w:lineRule="auto"/>
        <w:rPr>
          <w:b/>
          <w:i/>
          <w:sz w:val="16"/>
        </w:rPr>
      </w:pPr>
      <w:r w:rsidRPr="00D5126A">
        <w:rPr>
          <w:b/>
          <w:i/>
          <w:sz w:val="16"/>
        </w:rPr>
        <w:t xml:space="preserve">Sources: Wellington City Council, Wellington City Libraries and Te Ara </w:t>
      </w:r>
      <w:r w:rsidR="001F74A5" w:rsidRPr="00D5126A">
        <w:rPr>
          <w:b/>
          <w:i/>
          <w:sz w:val="16"/>
        </w:rPr>
        <w:t>Encyclopaedia.</w:t>
      </w:r>
    </w:p>
    <w:p w:rsidR="001855ED" w:rsidRPr="00D5126A" w:rsidRDefault="001855ED" w:rsidP="001F74A5">
      <w:r w:rsidRPr="00D5126A">
        <w:br w:type="page"/>
      </w:r>
    </w:p>
    <w:p w:rsidR="00B27C37" w:rsidRPr="00D5126A" w:rsidRDefault="007B473D" w:rsidP="00810293">
      <w:pPr>
        <w:pStyle w:val="Heading2"/>
      </w:pPr>
      <w:bookmarkStart w:id="19" w:name="_Toc13211793"/>
      <w:bookmarkStart w:id="20" w:name="_Toc14178496"/>
      <w:bookmarkStart w:id="21" w:name="_Toc19085777"/>
      <w:bookmarkStart w:id="22" w:name="_Toc23758587"/>
      <w:bookmarkEnd w:id="15"/>
      <w:bookmarkEnd w:id="16"/>
      <w:r>
        <w:rPr>
          <w:noProof/>
          <w:lang w:eastAsia="en-NZ"/>
        </w:rPr>
        <w:lastRenderedPageBreak/>
        <w:drawing>
          <wp:anchor distT="0" distB="0" distL="114300" distR="114300" simplePos="0" relativeHeight="251752448" behindDoc="0" locked="0" layoutInCell="1" allowOverlap="1" wp14:anchorId="4A62DC66" wp14:editId="4DAE1B7B">
            <wp:simplePos x="0" y="0"/>
            <wp:positionH relativeFrom="margin">
              <wp:posOffset>-1609725</wp:posOffset>
            </wp:positionH>
            <wp:positionV relativeFrom="margin">
              <wp:posOffset>1960880</wp:posOffset>
            </wp:positionV>
            <wp:extent cx="8528685" cy="5662930"/>
            <wp:effectExtent l="4128" t="0" r="0" b="0"/>
            <wp:wrapSquare wrapText="bothSides"/>
            <wp:docPr id="45" name="Picture 45" descr="Map show Wellington landscape, including regional parks, Council parks, and tags for locations mentioned in the Annual Report case studies.&#10;Includes the following key facts:&#10;216,300 - Wellington population&#10;59.6% under 40&#10;10.4% over 65&#10;9.1% Māori&#10;30.7% born overseas&#10;2000 sunshine hours&#10;98.9km of coastline&#10;355km of walking and biking tracks&#10;887 places to eat&#10;4073 hectares of open space&#10;102 playgrounds. &#10;&#10;The page also includes the story of Ngake and Whataitai&#10;$54,860 median income" title="Map of Wellington and Key fa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rot="16200000">
                      <a:off x="0" y="0"/>
                      <a:ext cx="8528685" cy="5662930"/>
                    </a:xfrm>
                    <a:prstGeom prst="rect">
                      <a:avLst/>
                    </a:prstGeom>
                  </pic:spPr>
                </pic:pic>
              </a:graphicData>
            </a:graphic>
            <wp14:sizeRelV relativeFrom="margin">
              <wp14:pctHeight>0</wp14:pctHeight>
            </wp14:sizeRelV>
          </wp:anchor>
        </w:drawing>
      </w:r>
      <w:r w:rsidR="005C42CB" w:rsidRPr="00D5126A">
        <w:t xml:space="preserve">Wellington </w:t>
      </w:r>
      <w:bookmarkEnd w:id="19"/>
      <w:bookmarkEnd w:id="20"/>
      <w:r w:rsidR="00EB1FC0">
        <w:t>t</w:t>
      </w:r>
      <w:r w:rsidR="00052904" w:rsidRPr="00D5126A">
        <w:t>oday</w:t>
      </w:r>
      <w:bookmarkEnd w:id="21"/>
      <w:bookmarkEnd w:id="22"/>
    </w:p>
    <w:p w:rsidR="00B27C37" w:rsidRPr="00D5126A" w:rsidRDefault="00B27C37" w:rsidP="007B473D">
      <w:pPr>
        <w:pStyle w:val="Para003"/>
        <w:pBdr>
          <w:top w:val="none" w:sz="8" w:space="2" w:color="auto"/>
        </w:pBdr>
        <w:spacing w:before="240" w:line="240" w:lineRule="auto"/>
      </w:pPr>
    </w:p>
    <w:p w:rsidR="00FC2FF1" w:rsidRPr="00D5126A" w:rsidRDefault="00052904" w:rsidP="00810293">
      <w:pPr>
        <w:pStyle w:val="Heading2"/>
      </w:pPr>
      <w:bookmarkStart w:id="23" w:name="_Toc19085778"/>
      <w:bookmarkStart w:id="24" w:name="_Toc23758588"/>
      <w:r w:rsidRPr="00D5126A">
        <w:t xml:space="preserve">A </w:t>
      </w:r>
      <w:r w:rsidR="0006339B" w:rsidRPr="00D5126A">
        <w:t>s</w:t>
      </w:r>
      <w:r w:rsidR="00FC2FF1" w:rsidRPr="00D5126A">
        <w:t xml:space="preserve">napshot of the </w:t>
      </w:r>
      <w:r w:rsidR="0006339B" w:rsidRPr="00D5126A">
        <w:t>c</w:t>
      </w:r>
      <w:r w:rsidR="00FC2FF1" w:rsidRPr="00D5126A">
        <w:t>ity</w:t>
      </w:r>
      <w:bookmarkEnd w:id="23"/>
      <w:bookmarkEnd w:id="24"/>
    </w:p>
    <w:p w:rsidR="00A03EAD" w:rsidRPr="00D5126A" w:rsidRDefault="00A03EAD" w:rsidP="00A03EAD">
      <w:r w:rsidRPr="00D5126A">
        <w:t xml:space="preserve">These snapshots compare Wellington with other main cities in New Zealand. They show how the city is doing based on the most recent data available. Many of these are also Council performance measures, and more information on trends over time can be found in Section 3: Our </w:t>
      </w:r>
      <w:r w:rsidR="00EB1FC0">
        <w:t>p</w:t>
      </w:r>
      <w:r w:rsidRPr="00D5126A">
        <w:t xml:space="preserve">erformance in </w:t>
      </w:r>
      <w:r w:rsidR="00EB1FC0">
        <w:t>d</w:t>
      </w:r>
      <w:r w:rsidRPr="00D5126A">
        <w:t>etail.</w:t>
      </w:r>
    </w:p>
    <w:p w:rsidR="0006339B" w:rsidRPr="00D5126A" w:rsidRDefault="0006339B" w:rsidP="00846C1B">
      <w:pPr>
        <w:pStyle w:val="Heading4"/>
        <w:rPr>
          <w:rFonts w:eastAsiaTheme="minorHAnsi"/>
        </w:rPr>
      </w:pPr>
      <w:bookmarkStart w:id="25" w:name="_Toc12530252"/>
      <w:bookmarkStart w:id="26" w:name="_Toc12439345"/>
      <w:r w:rsidRPr="00D5126A">
        <w:rPr>
          <w:rFonts w:eastAsiaTheme="minorHAnsi"/>
        </w:rPr>
        <w:t>Quality of life</w:t>
      </w:r>
      <w:bookmarkEnd w:id="25"/>
      <w:bookmarkEnd w:id="26"/>
    </w:p>
    <w:p w:rsidR="0006339B" w:rsidRPr="00D5126A" w:rsidRDefault="0006339B" w:rsidP="0006339B">
      <w:pPr>
        <w:rPr>
          <w:rFonts w:eastAsiaTheme="minorHAnsi"/>
          <w:sz w:val="20"/>
        </w:rPr>
      </w:pPr>
      <w:r w:rsidRPr="00D5126A">
        <w:rPr>
          <w:sz w:val="20"/>
        </w:rPr>
        <w:t>Wellingtonians love where they live. We found 88 percent of Wellingtonians say they have a good, very good or extremely good quality of life. We can’t rest on our laurels – we need to ensure our city remains the place of choice for our residents and remains attractive to those who are moving here.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2"/>
        <w:gridCol w:w="1257"/>
        <w:gridCol w:w="1163"/>
        <w:gridCol w:w="1159"/>
        <w:gridCol w:w="1157"/>
        <w:gridCol w:w="1337"/>
      </w:tblGrid>
      <w:tr w:rsidR="0006339B" w:rsidRPr="00D5126A" w:rsidTr="0006339B">
        <w:tc>
          <w:tcPr>
            <w:tcW w:w="1002" w:type="dxa"/>
          </w:tcPr>
          <w:p w:rsidR="0006339B" w:rsidRPr="00D5126A" w:rsidRDefault="0006339B" w:rsidP="00A03EAD">
            <w:pPr>
              <w:spacing w:before="240"/>
              <w:rPr>
                <w:rFonts w:ascii="Calibri" w:hAnsi="Calibri"/>
                <w:sz w:val="18"/>
              </w:rPr>
            </w:pPr>
          </w:p>
        </w:tc>
        <w:tc>
          <w:tcPr>
            <w:tcW w:w="1257" w:type="dxa"/>
            <w:hideMark/>
          </w:tcPr>
          <w:p w:rsidR="0006339B" w:rsidRPr="00D5126A" w:rsidRDefault="0006339B" w:rsidP="00A03EAD">
            <w:pPr>
              <w:spacing w:before="240"/>
              <w:jc w:val="center"/>
              <w:rPr>
                <w:rFonts w:ascii="Calibri" w:hAnsi="Calibri"/>
                <w:b/>
                <w:color w:val="548DD4" w:themeColor="text2" w:themeTint="99"/>
                <w:sz w:val="18"/>
              </w:rPr>
            </w:pPr>
            <w:r w:rsidRPr="00D5126A">
              <w:rPr>
                <w:b/>
                <w:color w:val="548DD4" w:themeColor="text2" w:themeTint="99"/>
                <w:sz w:val="18"/>
              </w:rPr>
              <w:t>Wellington</w:t>
            </w:r>
          </w:p>
        </w:tc>
        <w:tc>
          <w:tcPr>
            <w:tcW w:w="1163" w:type="dxa"/>
            <w:hideMark/>
          </w:tcPr>
          <w:p w:rsidR="0006339B" w:rsidRPr="00D5126A" w:rsidRDefault="0006339B" w:rsidP="00A03EAD">
            <w:pPr>
              <w:spacing w:before="240"/>
              <w:jc w:val="center"/>
              <w:rPr>
                <w:rFonts w:ascii="Calibri" w:hAnsi="Calibri"/>
                <w:b/>
                <w:color w:val="548DD4" w:themeColor="text2" w:themeTint="99"/>
                <w:sz w:val="18"/>
              </w:rPr>
            </w:pPr>
            <w:r w:rsidRPr="00D5126A">
              <w:rPr>
                <w:b/>
                <w:color w:val="548DD4" w:themeColor="text2" w:themeTint="99"/>
                <w:sz w:val="18"/>
              </w:rPr>
              <w:t>Tauranga</w:t>
            </w:r>
          </w:p>
        </w:tc>
        <w:tc>
          <w:tcPr>
            <w:tcW w:w="1159" w:type="dxa"/>
            <w:hideMark/>
          </w:tcPr>
          <w:p w:rsidR="0006339B" w:rsidRPr="00D5126A" w:rsidRDefault="0006339B" w:rsidP="00A03EAD">
            <w:pPr>
              <w:spacing w:before="240"/>
              <w:jc w:val="center"/>
              <w:rPr>
                <w:rFonts w:ascii="Calibri" w:hAnsi="Calibri"/>
                <w:b/>
                <w:color w:val="548DD4" w:themeColor="text2" w:themeTint="99"/>
                <w:sz w:val="18"/>
              </w:rPr>
            </w:pPr>
            <w:r w:rsidRPr="00D5126A">
              <w:rPr>
                <w:b/>
                <w:color w:val="548DD4" w:themeColor="text2" w:themeTint="99"/>
                <w:sz w:val="18"/>
              </w:rPr>
              <w:t>Hamilton</w:t>
            </w:r>
          </w:p>
        </w:tc>
        <w:tc>
          <w:tcPr>
            <w:tcW w:w="1157" w:type="dxa"/>
            <w:hideMark/>
          </w:tcPr>
          <w:p w:rsidR="0006339B" w:rsidRPr="00D5126A" w:rsidRDefault="0006339B" w:rsidP="00A03EAD">
            <w:pPr>
              <w:spacing w:before="240"/>
              <w:jc w:val="center"/>
              <w:rPr>
                <w:rFonts w:ascii="Calibri" w:hAnsi="Calibri"/>
                <w:b/>
                <w:color w:val="548DD4" w:themeColor="text2" w:themeTint="99"/>
                <w:sz w:val="18"/>
              </w:rPr>
            </w:pPr>
            <w:r w:rsidRPr="00D5126A">
              <w:rPr>
                <w:b/>
                <w:color w:val="548DD4" w:themeColor="text2" w:themeTint="99"/>
                <w:sz w:val="18"/>
              </w:rPr>
              <w:t>Auckland</w:t>
            </w:r>
          </w:p>
        </w:tc>
        <w:tc>
          <w:tcPr>
            <w:tcW w:w="1228" w:type="dxa"/>
            <w:hideMark/>
          </w:tcPr>
          <w:p w:rsidR="0006339B" w:rsidRPr="00D5126A" w:rsidRDefault="0006339B" w:rsidP="00A03EAD">
            <w:pPr>
              <w:spacing w:before="240"/>
              <w:jc w:val="center"/>
              <w:rPr>
                <w:rFonts w:ascii="Calibri" w:hAnsi="Calibri"/>
                <w:b/>
                <w:color w:val="548DD4" w:themeColor="text2" w:themeTint="99"/>
                <w:sz w:val="18"/>
              </w:rPr>
            </w:pPr>
            <w:r w:rsidRPr="00D5126A">
              <w:rPr>
                <w:b/>
                <w:color w:val="548DD4" w:themeColor="text2" w:themeTint="99"/>
                <w:sz w:val="18"/>
              </w:rPr>
              <w:t>Christchurch</w:t>
            </w:r>
          </w:p>
        </w:tc>
      </w:tr>
      <w:tr w:rsidR="0006339B" w:rsidRPr="00D5126A" w:rsidTr="0006339B">
        <w:tc>
          <w:tcPr>
            <w:tcW w:w="1002" w:type="dxa"/>
            <w:hideMark/>
          </w:tcPr>
          <w:p w:rsidR="0006339B" w:rsidRPr="00D5126A" w:rsidRDefault="0006339B" w:rsidP="00A03EAD">
            <w:pPr>
              <w:spacing w:before="240"/>
              <w:jc w:val="center"/>
              <w:rPr>
                <w:rFonts w:ascii="Calibri" w:hAnsi="Calibri"/>
                <w:b/>
                <w:sz w:val="18"/>
              </w:rPr>
            </w:pPr>
            <w:r w:rsidRPr="00D5126A">
              <w:rPr>
                <w:b/>
                <w:sz w:val="18"/>
              </w:rPr>
              <w:t>2018</w:t>
            </w:r>
          </w:p>
        </w:tc>
        <w:tc>
          <w:tcPr>
            <w:tcW w:w="1257" w:type="dxa"/>
            <w:hideMark/>
          </w:tcPr>
          <w:p w:rsidR="0006339B" w:rsidRPr="00D5126A" w:rsidRDefault="00C53DF2" w:rsidP="00A03EAD">
            <w:pPr>
              <w:spacing w:before="240"/>
              <w:jc w:val="center"/>
              <w:rPr>
                <w:rFonts w:ascii="Calibri" w:hAnsi="Calibri"/>
                <w:sz w:val="18"/>
              </w:rPr>
            </w:pPr>
            <w:r>
              <w:rPr>
                <w:sz w:val="18"/>
              </w:rPr>
              <w:t>89</w:t>
            </w:r>
            <w:r w:rsidR="0006339B" w:rsidRPr="00D5126A">
              <w:rPr>
                <w:sz w:val="18"/>
              </w:rPr>
              <w:t>%</w:t>
            </w:r>
          </w:p>
        </w:tc>
        <w:tc>
          <w:tcPr>
            <w:tcW w:w="1163" w:type="dxa"/>
            <w:hideMark/>
          </w:tcPr>
          <w:p w:rsidR="0006339B" w:rsidRPr="00D5126A" w:rsidRDefault="0006339B" w:rsidP="00A03EAD">
            <w:pPr>
              <w:spacing w:before="240"/>
              <w:jc w:val="center"/>
              <w:rPr>
                <w:rFonts w:ascii="Calibri" w:hAnsi="Calibri"/>
                <w:sz w:val="18"/>
              </w:rPr>
            </w:pPr>
            <w:r w:rsidRPr="00D5126A">
              <w:rPr>
                <w:sz w:val="18"/>
              </w:rPr>
              <w:t>90%</w:t>
            </w:r>
          </w:p>
        </w:tc>
        <w:tc>
          <w:tcPr>
            <w:tcW w:w="1159" w:type="dxa"/>
            <w:hideMark/>
          </w:tcPr>
          <w:p w:rsidR="0006339B" w:rsidRPr="00D5126A" w:rsidRDefault="00C53DF2" w:rsidP="00A03EAD">
            <w:pPr>
              <w:spacing w:before="240"/>
              <w:jc w:val="center"/>
              <w:rPr>
                <w:rFonts w:ascii="Calibri" w:hAnsi="Calibri"/>
                <w:sz w:val="18"/>
              </w:rPr>
            </w:pPr>
            <w:r>
              <w:rPr>
                <w:sz w:val="18"/>
              </w:rPr>
              <w:t>86</w:t>
            </w:r>
            <w:r w:rsidR="0006339B" w:rsidRPr="00D5126A">
              <w:rPr>
                <w:sz w:val="18"/>
              </w:rPr>
              <w:t>%</w:t>
            </w:r>
          </w:p>
        </w:tc>
        <w:tc>
          <w:tcPr>
            <w:tcW w:w="1157" w:type="dxa"/>
            <w:hideMark/>
          </w:tcPr>
          <w:p w:rsidR="0006339B" w:rsidRPr="00D5126A" w:rsidRDefault="0006339B" w:rsidP="00A03EAD">
            <w:pPr>
              <w:spacing w:before="240"/>
              <w:jc w:val="center"/>
              <w:rPr>
                <w:rFonts w:ascii="Calibri" w:hAnsi="Calibri"/>
                <w:sz w:val="18"/>
              </w:rPr>
            </w:pPr>
            <w:r w:rsidRPr="00D5126A">
              <w:rPr>
                <w:sz w:val="18"/>
              </w:rPr>
              <w:t>82%</w:t>
            </w:r>
          </w:p>
        </w:tc>
        <w:tc>
          <w:tcPr>
            <w:tcW w:w="1228" w:type="dxa"/>
            <w:hideMark/>
          </w:tcPr>
          <w:p w:rsidR="0006339B" w:rsidRPr="00D5126A" w:rsidRDefault="0006339B" w:rsidP="00A03EAD">
            <w:pPr>
              <w:spacing w:before="240"/>
              <w:jc w:val="center"/>
              <w:rPr>
                <w:rFonts w:ascii="Calibri" w:hAnsi="Calibri"/>
                <w:sz w:val="18"/>
              </w:rPr>
            </w:pPr>
            <w:r w:rsidRPr="00D5126A">
              <w:rPr>
                <w:sz w:val="18"/>
              </w:rPr>
              <w:t>83%</w:t>
            </w:r>
          </w:p>
        </w:tc>
      </w:tr>
    </w:tbl>
    <w:p w:rsidR="0006339B" w:rsidRPr="00D5126A" w:rsidRDefault="0006339B" w:rsidP="0006339B">
      <w:pPr>
        <w:spacing w:after="0" w:line="240" w:lineRule="auto"/>
        <w:jc w:val="right"/>
        <w:rPr>
          <w:rFonts w:ascii="Calibri" w:hAnsi="Calibri"/>
          <w:i/>
          <w:sz w:val="18"/>
        </w:rPr>
      </w:pPr>
      <w:r w:rsidRPr="00D5126A">
        <w:rPr>
          <w:i/>
          <w:sz w:val="18"/>
        </w:rPr>
        <w:t>Source: Quality of life survey 2018</w:t>
      </w:r>
    </w:p>
    <w:p w:rsidR="0006339B" w:rsidRPr="00D5126A" w:rsidRDefault="0006339B" w:rsidP="00846C1B">
      <w:pPr>
        <w:pStyle w:val="Heading4"/>
        <w:rPr>
          <w:rFonts w:eastAsiaTheme="minorHAnsi"/>
        </w:rPr>
      </w:pPr>
      <w:bookmarkStart w:id="27" w:name="_Toc12530253"/>
      <w:bookmarkStart w:id="28" w:name="_Toc12439346"/>
      <w:r w:rsidRPr="00D5126A">
        <w:rPr>
          <w:rFonts w:eastAsiaTheme="minorHAnsi"/>
        </w:rPr>
        <w:t xml:space="preserve">Unemployment </w:t>
      </w:r>
      <w:bookmarkEnd w:id="27"/>
      <w:bookmarkEnd w:id="28"/>
    </w:p>
    <w:p w:rsidR="0006339B" w:rsidRPr="00D5126A" w:rsidRDefault="0006339B" w:rsidP="0006339B">
      <w:pPr>
        <w:spacing w:after="0" w:line="240" w:lineRule="auto"/>
        <w:rPr>
          <w:rFonts w:eastAsiaTheme="minorHAnsi"/>
          <w:sz w:val="20"/>
        </w:rPr>
      </w:pPr>
      <w:r w:rsidRPr="00D5126A">
        <w:rPr>
          <w:sz w:val="20"/>
        </w:rPr>
        <w:t>Wellington’s unemployment rate has fallen from 5.1</w:t>
      </w:r>
      <w:r w:rsidR="00EB1FC0">
        <w:rPr>
          <w:sz w:val="20"/>
        </w:rPr>
        <w:t xml:space="preserve"> percent</w:t>
      </w:r>
      <w:r w:rsidRPr="00D5126A">
        <w:rPr>
          <w:sz w:val="20"/>
        </w:rPr>
        <w:t xml:space="preserve"> in 2016 to 4.2</w:t>
      </w:r>
      <w:r w:rsidR="00EB1FC0">
        <w:rPr>
          <w:sz w:val="20"/>
        </w:rPr>
        <w:t xml:space="preserve"> percent</w:t>
      </w:r>
      <w:r w:rsidRPr="00D5126A">
        <w:rPr>
          <w:sz w:val="20"/>
        </w:rPr>
        <w:t xml:space="preserve"> now. This is good news for our </w:t>
      </w:r>
      <w:r w:rsidR="00D5126A" w:rsidRPr="00D5126A">
        <w:rPr>
          <w:sz w:val="20"/>
        </w:rPr>
        <w:t>workers;</w:t>
      </w:r>
      <w:r w:rsidRPr="00D5126A">
        <w:rPr>
          <w:sz w:val="20"/>
        </w:rPr>
        <w:t xml:space="preserve"> we have a very competitive job market. On the other hand, we also have shortages in industries such as construction.</w:t>
      </w:r>
    </w:p>
    <w:p w:rsidR="0006339B" w:rsidRPr="00D5126A" w:rsidRDefault="0006339B" w:rsidP="0006339B">
      <w:pPr>
        <w:spacing w:after="0" w:line="240" w:lineRule="auto"/>
      </w:pPr>
    </w:p>
    <w:tbl>
      <w:tblPr>
        <w:tblStyle w:val="TableGrid"/>
        <w:tblW w:w="71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9"/>
        <w:gridCol w:w="1136"/>
        <w:gridCol w:w="1108"/>
        <w:gridCol w:w="1279"/>
        <w:gridCol w:w="1284"/>
        <w:gridCol w:w="1337"/>
      </w:tblGrid>
      <w:tr w:rsidR="0006339B" w:rsidRPr="00D5126A" w:rsidTr="0006339B">
        <w:tc>
          <w:tcPr>
            <w:tcW w:w="1080" w:type="dxa"/>
          </w:tcPr>
          <w:p w:rsidR="0006339B" w:rsidRPr="00D5126A" w:rsidRDefault="0006339B" w:rsidP="00A03EAD">
            <w:pPr>
              <w:spacing w:before="240"/>
              <w:ind w:left="90" w:hanging="90"/>
              <w:rPr>
                <w:rFonts w:ascii="Calibri" w:hAnsi="Calibri"/>
                <w:sz w:val="18"/>
              </w:rPr>
            </w:pPr>
          </w:p>
        </w:tc>
        <w:tc>
          <w:tcPr>
            <w:tcW w:w="1041" w:type="dxa"/>
            <w:hideMark/>
          </w:tcPr>
          <w:p w:rsidR="0006339B" w:rsidRPr="00D5126A" w:rsidRDefault="0006339B" w:rsidP="00A03EAD">
            <w:pPr>
              <w:spacing w:before="240"/>
              <w:ind w:left="90" w:hanging="90"/>
              <w:jc w:val="center"/>
              <w:rPr>
                <w:rFonts w:ascii="Calibri" w:hAnsi="Calibri"/>
                <w:b/>
                <w:color w:val="548DD4" w:themeColor="text2" w:themeTint="99"/>
                <w:sz w:val="18"/>
              </w:rPr>
            </w:pPr>
            <w:r w:rsidRPr="00D5126A">
              <w:rPr>
                <w:b/>
                <w:color w:val="548DD4" w:themeColor="text2" w:themeTint="99"/>
                <w:sz w:val="18"/>
              </w:rPr>
              <w:t>Wellington</w:t>
            </w:r>
          </w:p>
        </w:tc>
        <w:tc>
          <w:tcPr>
            <w:tcW w:w="1128" w:type="dxa"/>
            <w:hideMark/>
          </w:tcPr>
          <w:p w:rsidR="0006339B" w:rsidRPr="00D5126A" w:rsidRDefault="0006339B" w:rsidP="00A03EAD">
            <w:pPr>
              <w:spacing w:before="240"/>
              <w:ind w:left="90" w:hanging="90"/>
              <w:jc w:val="center"/>
              <w:rPr>
                <w:rFonts w:ascii="Calibri" w:hAnsi="Calibri"/>
                <w:b/>
                <w:color w:val="548DD4" w:themeColor="text2" w:themeTint="99"/>
                <w:sz w:val="18"/>
              </w:rPr>
            </w:pPr>
            <w:r w:rsidRPr="00D5126A">
              <w:rPr>
                <w:b/>
                <w:color w:val="548DD4" w:themeColor="text2" w:themeTint="99"/>
                <w:sz w:val="18"/>
              </w:rPr>
              <w:t>Tauranga</w:t>
            </w:r>
          </w:p>
        </w:tc>
        <w:tc>
          <w:tcPr>
            <w:tcW w:w="1350" w:type="dxa"/>
            <w:hideMark/>
          </w:tcPr>
          <w:p w:rsidR="0006339B" w:rsidRPr="00D5126A" w:rsidRDefault="0006339B" w:rsidP="00A03EAD">
            <w:pPr>
              <w:spacing w:before="240"/>
              <w:ind w:left="90" w:hanging="90"/>
              <w:jc w:val="center"/>
              <w:rPr>
                <w:rFonts w:ascii="Calibri" w:hAnsi="Calibri"/>
                <w:b/>
                <w:color w:val="548DD4" w:themeColor="text2" w:themeTint="99"/>
                <w:sz w:val="18"/>
              </w:rPr>
            </w:pPr>
            <w:r w:rsidRPr="00D5126A">
              <w:rPr>
                <w:b/>
                <w:color w:val="548DD4" w:themeColor="text2" w:themeTint="99"/>
                <w:sz w:val="18"/>
              </w:rPr>
              <w:t>Hamilton</w:t>
            </w:r>
          </w:p>
        </w:tc>
        <w:tc>
          <w:tcPr>
            <w:tcW w:w="1346" w:type="dxa"/>
            <w:hideMark/>
          </w:tcPr>
          <w:p w:rsidR="0006339B" w:rsidRPr="00D5126A" w:rsidRDefault="0006339B" w:rsidP="00A03EAD">
            <w:pPr>
              <w:spacing w:before="240"/>
              <w:ind w:left="90" w:hanging="90"/>
              <w:jc w:val="center"/>
              <w:rPr>
                <w:rFonts w:ascii="Calibri" w:hAnsi="Calibri"/>
                <w:b/>
                <w:color w:val="548DD4" w:themeColor="text2" w:themeTint="99"/>
                <w:sz w:val="18"/>
              </w:rPr>
            </w:pPr>
            <w:r w:rsidRPr="00D5126A">
              <w:rPr>
                <w:b/>
                <w:color w:val="548DD4" w:themeColor="text2" w:themeTint="99"/>
                <w:sz w:val="18"/>
              </w:rPr>
              <w:t>Auckland</w:t>
            </w:r>
          </w:p>
        </w:tc>
        <w:tc>
          <w:tcPr>
            <w:tcW w:w="1188" w:type="dxa"/>
            <w:hideMark/>
          </w:tcPr>
          <w:p w:rsidR="0006339B" w:rsidRPr="00D5126A" w:rsidRDefault="0006339B" w:rsidP="00A03EAD">
            <w:pPr>
              <w:spacing w:before="240"/>
              <w:ind w:left="90" w:hanging="90"/>
              <w:jc w:val="center"/>
              <w:rPr>
                <w:rFonts w:ascii="Calibri" w:hAnsi="Calibri"/>
                <w:b/>
                <w:color w:val="548DD4" w:themeColor="text2" w:themeTint="99"/>
                <w:sz w:val="18"/>
              </w:rPr>
            </w:pPr>
            <w:r w:rsidRPr="00D5126A">
              <w:rPr>
                <w:b/>
                <w:color w:val="548DD4" w:themeColor="text2" w:themeTint="99"/>
                <w:sz w:val="18"/>
              </w:rPr>
              <w:t>Christchurch</w:t>
            </w:r>
          </w:p>
        </w:tc>
      </w:tr>
      <w:tr w:rsidR="0006339B" w:rsidRPr="00D5126A" w:rsidTr="0006339B">
        <w:tc>
          <w:tcPr>
            <w:tcW w:w="1080" w:type="dxa"/>
            <w:hideMark/>
          </w:tcPr>
          <w:p w:rsidR="0006339B" w:rsidRPr="00D5126A" w:rsidRDefault="0006339B" w:rsidP="00A03EAD">
            <w:pPr>
              <w:spacing w:before="240"/>
              <w:ind w:left="90" w:hanging="90"/>
              <w:jc w:val="center"/>
              <w:rPr>
                <w:rFonts w:ascii="Calibri" w:hAnsi="Calibri"/>
                <w:b/>
                <w:sz w:val="18"/>
              </w:rPr>
            </w:pPr>
            <w:r w:rsidRPr="00D5126A">
              <w:rPr>
                <w:b/>
                <w:sz w:val="18"/>
              </w:rPr>
              <w:t>2018</w:t>
            </w:r>
          </w:p>
        </w:tc>
        <w:tc>
          <w:tcPr>
            <w:tcW w:w="1041" w:type="dxa"/>
            <w:hideMark/>
          </w:tcPr>
          <w:p w:rsidR="0006339B" w:rsidRPr="00D5126A" w:rsidRDefault="0006339B" w:rsidP="00A03EAD">
            <w:pPr>
              <w:tabs>
                <w:tab w:val="center" w:pos="412"/>
              </w:tabs>
              <w:spacing w:before="240"/>
              <w:ind w:left="90" w:hanging="90"/>
              <w:rPr>
                <w:rFonts w:ascii="Calibri" w:hAnsi="Calibri"/>
                <w:sz w:val="18"/>
              </w:rPr>
            </w:pPr>
            <w:r w:rsidRPr="00D5126A">
              <w:rPr>
                <w:sz w:val="18"/>
              </w:rPr>
              <w:tab/>
              <w:t>4.2%</w:t>
            </w:r>
          </w:p>
        </w:tc>
        <w:tc>
          <w:tcPr>
            <w:tcW w:w="1128" w:type="dxa"/>
            <w:hideMark/>
          </w:tcPr>
          <w:p w:rsidR="0006339B" w:rsidRPr="00D5126A" w:rsidRDefault="0006339B" w:rsidP="00A03EAD">
            <w:pPr>
              <w:spacing w:before="240"/>
              <w:ind w:left="90" w:hanging="90"/>
              <w:jc w:val="center"/>
              <w:rPr>
                <w:rFonts w:ascii="Calibri" w:hAnsi="Calibri"/>
                <w:sz w:val="18"/>
              </w:rPr>
            </w:pPr>
            <w:r w:rsidRPr="00D5126A">
              <w:rPr>
                <w:sz w:val="18"/>
              </w:rPr>
              <w:t>4.4%</w:t>
            </w:r>
          </w:p>
        </w:tc>
        <w:tc>
          <w:tcPr>
            <w:tcW w:w="1350" w:type="dxa"/>
            <w:hideMark/>
          </w:tcPr>
          <w:p w:rsidR="0006339B" w:rsidRPr="00D5126A" w:rsidRDefault="0006339B" w:rsidP="00A03EAD">
            <w:pPr>
              <w:spacing w:before="240"/>
              <w:ind w:left="90" w:hanging="90"/>
              <w:jc w:val="center"/>
              <w:rPr>
                <w:rFonts w:ascii="Calibri" w:hAnsi="Calibri"/>
                <w:sz w:val="18"/>
              </w:rPr>
            </w:pPr>
            <w:r w:rsidRPr="00D5126A">
              <w:rPr>
                <w:sz w:val="18"/>
              </w:rPr>
              <w:t>5.4%</w:t>
            </w:r>
          </w:p>
        </w:tc>
        <w:tc>
          <w:tcPr>
            <w:tcW w:w="1346" w:type="dxa"/>
            <w:hideMark/>
          </w:tcPr>
          <w:p w:rsidR="0006339B" w:rsidRPr="00D5126A" w:rsidRDefault="0006339B" w:rsidP="00A03EAD">
            <w:pPr>
              <w:spacing w:before="240"/>
              <w:ind w:left="90" w:hanging="90"/>
              <w:jc w:val="center"/>
              <w:rPr>
                <w:rFonts w:ascii="Calibri" w:hAnsi="Calibri"/>
                <w:sz w:val="18"/>
              </w:rPr>
            </w:pPr>
            <w:r w:rsidRPr="00D5126A">
              <w:rPr>
                <w:sz w:val="18"/>
              </w:rPr>
              <w:t>4.4%</w:t>
            </w:r>
          </w:p>
        </w:tc>
        <w:tc>
          <w:tcPr>
            <w:tcW w:w="1188" w:type="dxa"/>
            <w:hideMark/>
          </w:tcPr>
          <w:p w:rsidR="0006339B" w:rsidRPr="00D5126A" w:rsidRDefault="0006339B" w:rsidP="00A03EAD">
            <w:pPr>
              <w:spacing w:before="240"/>
              <w:ind w:left="90" w:hanging="90"/>
              <w:jc w:val="center"/>
              <w:rPr>
                <w:rFonts w:ascii="Calibri" w:hAnsi="Calibri"/>
                <w:sz w:val="18"/>
              </w:rPr>
            </w:pPr>
            <w:r w:rsidRPr="00D5126A">
              <w:rPr>
                <w:sz w:val="18"/>
              </w:rPr>
              <w:t>4.5%</w:t>
            </w:r>
          </w:p>
        </w:tc>
      </w:tr>
    </w:tbl>
    <w:p w:rsidR="0006339B" w:rsidRPr="00D5126A" w:rsidRDefault="0006339B" w:rsidP="0006339B">
      <w:pPr>
        <w:spacing w:before="120" w:after="0" w:line="240" w:lineRule="auto"/>
        <w:jc w:val="right"/>
        <w:rPr>
          <w:i/>
          <w:sz w:val="18"/>
        </w:rPr>
      </w:pPr>
      <w:r w:rsidRPr="00D5126A">
        <w:rPr>
          <w:i/>
          <w:sz w:val="18"/>
        </w:rPr>
        <w:t>Source: Infometrics</w:t>
      </w:r>
    </w:p>
    <w:p w:rsidR="0006339B" w:rsidRPr="00D5126A" w:rsidRDefault="0006339B" w:rsidP="00846C1B">
      <w:pPr>
        <w:pStyle w:val="Heading4"/>
        <w:rPr>
          <w:rFonts w:eastAsiaTheme="minorHAnsi"/>
        </w:rPr>
      </w:pPr>
      <w:bookmarkStart w:id="29" w:name="_Toc12439347"/>
      <w:bookmarkStart w:id="30" w:name="_Toc12530254"/>
      <w:r w:rsidRPr="00D5126A">
        <w:rPr>
          <w:rFonts w:eastAsiaTheme="minorHAnsi"/>
        </w:rPr>
        <w:t>Household income</w:t>
      </w:r>
      <w:bookmarkEnd w:id="29"/>
      <w:bookmarkEnd w:id="30"/>
    </w:p>
    <w:p w:rsidR="0006339B" w:rsidRPr="00D5126A" w:rsidRDefault="0006339B" w:rsidP="0006339B">
      <w:pPr>
        <w:spacing w:after="0" w:line="240" w:lineRule="auto"/>
        <w:rPr>
          <w:rFonts w:eastAsiaTheme="minorHAnsi"/>
          <w:sz w:val="20"/>
        </w:rPr>
      </w:pPr>
      <w:r w:rsidRPr="00D5126A">
        <w:rPr>
          <w:sz w:val="20"/>
        </w:rPr>
        <w:t>Wellington has the highest mean household income of the major cities in New Zealand. Combined with low unemployment, this contributes to our high quality of life.</w:t>
      </w:r>
    </w:p>
    <w:p w:rsidR="0006339B" w:rsidRPr="00D5126A" w:rsidRDefault="0006339B" w:rsidP="0006339B">
      <w:pPr>
        <w:spacing w:before="120" w:after="0" w:line="240" w:lineRule="auto"/>
        <w:jc w:val="right"/>
        <w:rPr>
          <w:rFonts w:ascii="Calibri" w:hAnsi="Calibri"/>
          <w:i/>
          <w:sz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6"/>
        <w:gridCol w:w="1290"/>
        <w:gridCol w:w="1201"/>
        <w:gridCol w:w="1196"/>
        <w:gridCol w:w="1194"/>
        <w:gridCol w:w="1337"/>
      </w:tblGrid>
      <w:tr w:rsidR="0006339B" w:rsidRPr="00D5126A" w:rsidTr="0006339B">
        <w:tc>
          <w:tcPr>
            <w:tcW w:w="1026" w:type="dxa"/>
          </w:tcPr>
          <w:p w:rsidR="0006339B" w:rsidRPr="00D5126A" w:rsidRDefault="0006339B" w:rsidP="00A03EAD">
            <w:pPr>
              <w:spacing w:before="240"/>
              <w:rPr>
                <w:rFonts w:cstheme="minorHAnsi"/>
                <w:sz w:val="18"/>
              </w:rPr>
            </w:pPr>
          </w:p>
        </w:tc>
        <w:tc>
          <w:tcPr>
            <w:tcW w:w="1290" w:type="dxa"/>
            <w:hideMark/>
          </w:tcPr>
          <w:p w:rsidR="0006339B" w:rsidRPr="00D5126A" w:rsidRDefault="0006339B" w:rsidP="00A03EAD">
            <w:pPr>
              <w:spacing w:before="240"/>
              <w:jc w:val="center"/>
              <w:rPr>
                <w:rFonts w:cstheme="minorHAnsi"/>
                <w:b/>
                <w:color w:val="548DD4" w:themeColor="text2" w:themeTint="99"/>
                <w:sz w:val="18"/>
              </w:rPr>
            </w:pPr>
            <w:r w:rsidRPr="00D5126A">
              <w:rPr>
                <w:rFonts w:cstheme="minorHAnsi"/>
                <w:b/>
                <w:color w:val="548DD4" w:themeColor="text2" w:themeTint="99"/>
                <w:sz w:val="18"/>
              </w:rPr>
              <w:t>Wellington</w:t>
            </w:r>
          </w:p>
        </w:tc>
        <w:tc>
          <w:tcPr>
            <w:tcW w:w="1201" w:type="dxa"/>
            <w:hideMark/>
          </w:tcPr>
          <w:p w:rsidR="0006339B" w:rsidRPr="00D5126A" w:rsidRDefault="0006339B" w:rsidP="00A03EAD">
            <w:pPr>
              <w:spacing w:before="240"/>
              <w:jc w:val="center"/>
              <w:rPr>
                <w:rFonts w:cstheme="minorHAnsi"/>
                <w:b/>
                <w:color w:val="548DD4" w:themeColor="text2" w:themeTint="99"/>
                <w:sz w:val="18"/>
              </w:rPr>
            </w:pPr>
            <w:r w:rsidRPr="00D5126A">
              <w:rPr>
                <w:rFonts w:cstheme="minorHAnsi"/>
                <w:b/>
                <w:color w:val="548DD4" w:themeColor="text2" w:themeTint="99"/>
                <w:sz w:val="18"/>
              </w:rPr>
              <w:t>Tauranga</w:t>
            </w:r>
          </w:p>
        </w:tc>
        <w:tc>
          <w:tcPr>
            <w:tcW w:w="1196" w:type="dxa"/>
            <w:hideMark/>
          </w:tcPr>
          <w:p w:rsidR="0006339B" w:rsidRPr="00D5126A" w:rsidRDefault="0006339B" w:rsidP="00A03EAD">
            <w:pPr>
              <w:spacing w:before="240"/>
              <w:jc w:val="center"/>
              <w:rPr>
                <w:rFonts w:cstheme="minorHAnsi"/>
                <w:b/>
                <w:color w:val="548DD4" w:themeColor="text2" w:themeTint="99"/>
                <w:sz w:val="18"/>
              </w:rPr>
            </w:pPr>
            <w:r w:rsidRPr="00D5126A">
              <w:rPr>
                <w:rFonts w:cstheme="minorHAnsi"/>
                <w:b/>
                <w:color w:val="548DD4" w:themeColor="text2" w:themeTint="99"/>
                <w:sz w:val="18"/>
              </w:rPr>
              <w:t>Hamilton</w:t>
            </w:r>
          </w:p>
        </w:tc>
        <w:tc>
          <w:tcPr>
            <w:tcW w:w="1194" w:type="dxa"/>
            <w:hideMark/>
          </w:tcPr>
          <w:p w:rsidR="0006339B" w:rsidRPr="00D5126A" w:rsidRDefault="0006339B" w:rsidP="00A03EAD">
            <w:pPr>
              <w:spacing w:before="240"/>
              <w:jc w:val="center"/>
              <w:rPr>
                <w:rFonts w:cstheme="minorHAnsi"/>
                <w:b/>
                <w:color w:val="548DD4" w:themeColor="text2" w:themeTint="99"/>
                <w:sz w:val="18"/>
              </w:rPr>
            </w:pPr>
            <w:r w:rsidRPr="00D5126A">
              <w:rPr>
                <w:rFonts w:cstheme="minorHAnsi"/>
                <w:b/>
                <w:color w:val="548DD4" w:themeColor="text2" w:themeTint="99"/>
                <w:sz w:val="18"/>
              </w:rPr>
              <w:t>Auckland</w:t>
            </w:r>
          </w:p>
        </w:tc>
        <w:tc>
          <w:tcPr>
            <w:tcW w:w="1337" w:type="dxa"/>
            <w:hideMark/>
          </w:tcPr>
          <w:p w:rsidR="0006339B" w:rsidRPr="00D5126A" w:rsidRDefault="0006339B" w:rsidP="00A03EAD">
            <w:pPr>
              <w:spacing w:before="240"/>
              <w:jc w:val="center"/>
              <w:rPr>
                <w:rFonts w:cstheme="minorHAnsi"/>
                <w:b/>
                <w:color w:val="548DD4" w:themeColor="text2" w:themeTint="99"/>
                <w:sz w:val="18"/>
              </w:rPr>
            </w:pPr>
            <w:r w:rsidRPr="00D5126A">
              <w:rPr>
                <w:rFonts w:cstheme="minorHAnsi"/>
                <w:b/>
                <w:color w:val="548DD4" w:themeColor="text2" w:themeTint="99"/>
                <w:sz w:val="18"/>
              </w:rPr>
              <w:t>Christchurch</w:t>
            </w:r>
          </w:p>
        </w:tc>
      </w:tr>
      <w:tr w:rsidR="0006339B" w:rsidRPr="00D5126A" w:rsidTr="00EB1FC0">
        <w:tc>
          <w:tcPr>
            <w:tcW w:w="1026" w:type="dxa"/>
            <w:vAlign w:val="center"/>
            <w:hideMark/>
          </w:tcPr>
          <w:p w:rsidR="0006339B" w:rsidRPr="00D5126A" w:rsidRDefault="0006339B" w:rsidP="00EB1FC0">
            <w:pPr>
              <w:spacing w:before="240"/>
              <w:jc w:val="center"/>
              <w:rPr>
                <w:rFonts w:cstheme="minorHAnsi"/>
                <w:b/>
                <w:sz w:val="18"/>
              </w:rPr>
            </w:pPr>
            <w:r w:rsidRPr="00D5126A">
              <w:rPr>
                <w:rFonts w:cstheme="minorHAnsi"/>
                <w:b/>
                <w:sz w:val="18"/>
              </w:rPr>
              <w:t>2018</w:t>
            </w:r>
          </w:p>
        </w:tc>
        <w:tc>
          <w:tcPr>
            <w:tcW w:w="1290" w:type="dxa"/>
            <w:vAlign w:val="center"/>
            <w:hideMark/>
          </w:tcPr>
          <w:p w:rsidR="0006339B" w:rsidRPr="00D5126A" w:rsidRDefault="0006339B" w:rsidP="00EB1FC0">
            <w:pPr>
              <w:spacing w:before="240"/>
              <w:jc w:val="center"/>
              <w:rPr>
                <w:rFonts w:cstheme="minorHAnsi"/>
                <w:sz w:val="18"/>
              </w:rPr>
            </w:pPr>
            <w:r w:rsidRPr="00D5126A">
              <w:rPr>
                <w:rFonts w:cstheme="minorHAnsi"/>
                <w:color w:val="000000"/>
                <w:sz w:val="18"/>
              </w:rPr>
              <w:t>$143,577</w:t>
            </w:r>
          </w:p>
        </w:tc>
        <w:tc>
          <w:tcPr>
            <w:tcW w:w="1201" w:type="dxa"/>
            <w:vAlign w:val="center"/>
            <w:hideMark/>
          </w:tcPr>
          <w:p w:rsidR="0006339B" w:rsidRPr="00D5126A" w:rsidRDefault="0006339B" w:rsidP="00EB1FC0">
            <w:pPr>
              <w:spacing w:before="240"/>
              <w:jc w:val="center"/>
              <w:rPr>
                <w:rFonts w:cstheme="minorHAnsi"/>
                <w:sz w:val="18"/>
              </w:rPr>
            </w:pPr>
            <w:r w:rsidRPr="00D5126A">
              <w:rPr>
                <w:rFonts w:cstheme="minorHAnsi"/>
                <w:color w:val="000000"/>
                <w:sz w:val="18"/>
              </w:rPr>
              <w:t>$104,635</w:t>
            </w:r>
          </w:p>
        </w:tc>
        <w:tc>
          <w:tcPr>
            <w:tcW w:w="1196" w:type="dxa"/>
            <w:vAlign w:val="center"/>
            <w:hideMark/>
          </w:tcPr>
          <w:p w:rsidR="0006339B" w:rsidRPr="00D5126A" w:rsidRDefault="0006339B" w:rsidP="00EB1FC0">
            <w:pPr>
              <w:spacing w:before="240"/>
              <w:jc w:val="center"/>
              <w:rPr>
                <w:rFonts w:cstheme="minorHAnsi"/>
                <w:sz w:val="18"/>
              </w:rPr>
            </w:pPr>
            <w:r w:rsidRPr="00D5126A">
              <w:rPr>
                <w:rFonts w:cstheme="minorHAnsi"/>
                <w:color w:val="000000"/>
                <w:sz w:val="18"/>
              </w:rPr>
              <w:t>$100,529</w:t>
            </w:r>
          </w:p>
        </w:tc>
        <w:tc>
          <w:tcPr>
            <w:tcW w:w="1194" w:type="dxa"/>
            <w:vAlign w:val="center"/>
            <w:hideMark/>
          </w:tcPr>
          <w:p w:rsidR="0006339B" w:rsidRPr="00D5126A" w:rsidRDefault="0006339B" w:rsidP="00EB1FC0">
            <w:pPr>
              <w:spacing w:before="240"/>
              <w:jc w:val="center"/>
              <w:rPr>
                <w:rFonts w:cstheme="minorHAnsi"/>
                <w:sz w:val="18"/>
              </w:rPr>
            </w:pPr>
            <w:r w:rsidRPr="00D5126A">
              <w:rPr>
                <w:rFonts w:cstheme="minorHAnsi"/>
                <w:color w:val="000000"/>
                <w:sz w:val="18"/>
              </w:rPr>
              <w:t>$127,066</w:t>
            </w:r>
          </w:p>
        </w:tc>
        <w:tc>
          <w:tcPr>
            <w:tcW w:w="1337" w:type="dxa"/>
            <w:vAlign w:val="center"/>
            <w:hideMark/>
          </w:tcPr>
          <w:p w:rsidR="0006339B" w:rsidRPr="00D5126A" w:rsidRDefault="0006339B" w:rsidP="00EB1FC0">
            <w:pPr>
              <w:spacing w:before="240"/>
              <w:jc w:val="center"/>
              <w:rPr>
                <w:rFonts w:cstheme="minorHAnsi"/>
                <w:sz w:val="18"/>
              </w:rPr>
            </w:pPr>
            <w:r w:rsidRPr="00D5126A">
              <w:rPr>
                <w:rFonts w:cstheme="minorHAnsi"/>
                <w:color w:val="000000"/>
                <w:sz w:val="18"/>
              </w:rPr>
              <w:t>$110,241</w:t>
            </w:r>
          </w:p>
        </w:tc>
      </w:tr>
    </w:tbl>
    <w:p w:rsidR="0006339B" w:rsidRPr="00D5126A" w:rsidRDefault="0006339B" w:rsidP="0006339B">
      <w:pPr>
        <w:spacing w:after="0" w:line="240" w:lineRule="auto"/>
        <w:jc w:val="right"/>
        <w:rPr>
          <w:rFonts w:ascii="Calibri" w:hAnsi="Calibri"/>
          <w:i/>
          <w:sz w:val="18"/>
        </w:rPr>
      </w:pPr>
      <w:r w:rsidRPr="00D5126A">
        <w:rPr>
          <w:i/>
          <w:sz w:val="18"/>
        </w:rPr>
        <w:t>Source: HES 2018 Mean Household Income</w:t>
      </w:r>
    </w:p>
    <w:p w:rsidR="0006339B" w:rsidRPr="00D5126A" w:rsidRDefault="0006339B" w:rsidP="0006339B">
      <w:pPr>
        <w:rPr>
          <w:b/>
          <w:color w:val="808080" w:themeColor="background1" w:themeShade="80"/>
          <w:sz w:val="24"/>
        </w:rPr>
      </w:pPr>
    </w:p>
    <w:p w:rsidR="0006339B" w:rsidRPr="00D5126A" w:rsidRDefault="0006339B" w:rsidP="00846C1B">
      <w:pPr>
        <w:pStyle w:val="Heading4"/>
        <w:rPr>
          <w:rFonts w:eastAsiaTheme="minorHAnsi"/>
        </w:rPr>
      </w:pPr>
      <w:bookmarkStart w:id="31" w:name="_Toc12530255"/>
      <w:bookmarkStart w:id="32" w:name="_Toc12439348"/>
      <w:r w:rsidRPr="00D5126A">
        <w:rPr>
          <w:rFonts w:eastAsiaTheme="minorHAnsi"/>
        </w:rPr>
        <w:t>Ability to cover costs of everyday needs</w:t>
      </w:r>
      <w:bookmarkEnd w:id="31"/>
      <w:bookmarkEnd w:id="32"/>
    </w:p>
    <w:p w:rsidR="0006339B" w:rsidRPr="00D5126A" w:rsidRDefault="0006339B" w:rsidP="0006339B">
      <w:pPr>
        <w:rPr>
          <w:rFonts w:eastAsiaTheme="minorHAnsi"/>
          <w:sz w:val="20"/>
        </w:rPr>
      </w:pPr>
      <w:r w:rsidRPr="00D5126A">
        <w:rPr>
          <w:sz w:val="20"/>
        </w:rPr>
        <w:t>Higher mean household incomes mean a higher percentage of people are able to cover the costs of their everyday needs than elsewhere. But we still have 11</w:t>
      </w:r>
      <w:r w:rsidR="00EB1FC0">
        <w:rPr>
          <w:sz w:val="20"/>
        </w:rPr>
        <w:t xml:space="preserve"> percent</w:t>
      </w:r>
      <w:r w:rsidRPr="00D5126A">
        <w:rPr>
          <w:sz w:val="20"/>
        </w:rPr>
        <w:t xml:space="preserve"> who say they can</w:t>
      </w:r>
      <w:r w:rsidR="00A03EAD" w:rsidRPr="00D5126A">
        <w:rPr>
          <w:sz w:val="20"/>
        </w:rPr>
        <w:t>not</w:t>
      </w:r>
      <w:r w:rsidRPr="00D5126A">
        <w:rPr>
          <w:sz w:val="20"/>
        </w:rPr>
        <w:t xml:space="preserve"> meet those costs</w:t>
      </w:r>
      <w:r w:rsidR="00EB1FC0">
        <w:rPr>
          <w:sz w:val="20"/>
        </w:rPr>
        <w:t>. T</w:t>
      </w:r>
      <w:r w:rsidRPr="00D5126A">
        <w:rPr>
          <w:sz w:val="20"/>
        </w:rPr>
        <w:t>hat’s a concern and a motivation to keep doing our part to help improve our employment rate further, our income levels, economic performance and all the other factors that contribute.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0"/>
        <w:gridCol w:w="1284"/>
        <w:gridCol w:w="1159"/>
        <w:gridCol w:w="1150"/>
        <w:gridCol w:w="1147"/>
        <w:gridCol w:w="1346"/>
      </w:tblGrid>
      <w:tr w:rsidR="0006339B" w:rsidRPr="00D5126A" w:rsidTr="0006339B">
        <w:tc>
          <w:tcPr>
            <w:tcW w:w="1060" w:type="dxa"/>
          </w:tcPr>
          <w:p w:rsidR="0006339B" w:rsidRPr="00D5126A" w:rsidRDefault="0006339B" w:rsidP="00A03EAD">
            <w:pPr>
              <w:spacing w:before="240"/>
              <w:ind w:left="-8"/>
              <w:rPr>
                <w:rFonts w:ascii="Calibri" w:hAnsi="Calibri"/>
                <w:sz w:val="18"/>
              </w:rPr>
            </w:pPr>
          </w:p>
        </w:tc>
        <w:tc>
          <w:tcPr>
            <w:tcW w:w="1284" w:type="dxa"/>
            <w:hideMark/>
          </w:tcPr>
          <w:p w:rsidR="0006339B" w:rsidRPr="00D5126A" w:rsidRDefault="0006339B" w:rsidP="00A03EAD">
            <w:pPr>
              <w:spacing w:before="240"/>
              <w:ind w:left="-8"/>
              <w:jc w:val="center"/>
              <w:rPr>
                <w:rFonts w:ascii="Calibri" w:hAnsi="Calibri"/>
                <w:b/>
                <w:color w:val="548DD4" w:themeColor="text2" w:themeTint="99"/>
                <w:sz w:val="18"/>
              </w:rPr>
            </w:pPr>
            <w:r w:rsidRPr="00D5126A">
              <w:rPr>
                <w:b/>
                <w:color w:val="548DD4" w:themeColor="text2" w:themeTint="99"/>
                <w:sz w:val="18"/>
              </w:rPr>
              <w:t>Wellington</w:t>
            </w:r>
          </w:p>
        </w:tc>
        <w:tc>
          <w:tcPr>
            <w:tcW w:w="1159" w:type="dxa"/>
            <w:hideMark/>
          </w:tcPr>
          <w:p w:rsidR="0006339B" w:rsidRPr="00D5126A" w:rsidRDefault="0006339B" w:rsidP="00A03EAD">
            <w:pPr>
              <w:spacing w:before="240"/>
              <w:ind w:left="-8"/>
              <w:jc w:val="center"/>
              <w:rPr>
                <w:rFonts w:ascii="Calibri" w:hAnsi="Calibri"/>
                <w:b/>
                <w:color w:val="548DD4" w:themeColor="text2" w:themeTint="99"/>
                <w:sz w:val="18"/>
              </w:rPr>
            </w:pPr>
            <w:r w:rsidRPr="00D5126A">
              <w:rPr>
                <w:b/>
                <w:color w:val="548DD4" w:themeColor="text2" w:themeTint="99"/>
                <w:sz w:val="18"/>
              </w:rPr>
              <w:t>Tauranga</w:t>
            </w:r>
          </w:p>
        </w:tc>
        <w:tc>
          <w:tcPr>
            <w:tcW w:w="1150" w:type="dxa"/>
            <w:hideMark/>
          </w:tcPr>
          <w:p w:rsidR="0006339B" w:rsidRPr="00D5126A" w:rsidRDefault="0006339B" w:rsidP="00A03EAD">
            <w:pPr>
              <w:spacing w:before="240"/>
              <w:ind w:left="-8"/>
              <w:jc w:val="center"/>
              <w:rPr>
                <w:rFonts w:ascii="Calibri" w:hAnsi="Calibri"/>
                <w:b/>
                <w:color w:val="548DD4" w:themeColor="text2" w:themeTint="99"/>
                <w:sz w:val="18"/>
              </w:rPr>
            </w:pPr>
            <w:r w:rsidRPr="00D5126A">
              <w:rPr>
                <w:b/>
                <w:color w:val="548DD4" w:themeColor="text2" w:themeTint="99"/>
                <w:sz w:val="18"/>
              </w:rPr>
              <w:t>Hamilton</w:t>
            </w:r>
          </w:p>
        </w:tc>
        <w:tc>
          <w:tcPr>
            <w:tcW w:w="1147" w:type="dxa"/>
            <w:hideMark/>
          </w:tcPr>
          <w:p w:rsidR="0006339B" w:rsidRPr="00D5126A" w:rsidRDefault="0006339B" w:rsidP="00A03EAD">
            <w:pPr>
              <w:spacing w:before="240"/>
              <w:ind w:left="-8"/>
              <w:jc w:val="center"/>
              <w:rPr>
                <w:rFonts w:ascii="Calibri" w:hAnsi="Calibri"/>
                <w:b/>
                <w:color w:val="548DD4" w:themeColor="text2" w:themeTint="99"/>
                <w:sz w:val="18"/>
              </w:rPr>
            </w:pPr>
            <w:r w:rsidRPr="00D5126A">
              <w:rPr>
                <w:b/>
                <w:color w:val="548DD4" w:themeColor="text2" w:themeTint="99"/>
                <w:sz w:val="18"/>
              </w:rPr>
              <w:t>Auckland</w:t>
            </w:r>
          </w:p>
        </w:tc>
        <w:tc>
          <w:tcPr>
            <w:tcW w:w="1346" w:type="dxa"/>
            <w:hideMark/>
          </w:tcPr>
          <w:p w:rsidR="0006339B" w:rsidRPr="00D5126A" w:rsidRDefault="0006339B" w:rsidP="00A03EAD">
            <w:pPr>
              <w:spacing w:before="240"/>
              <w:ind w:left="-8"/>
              <w:jc w:val="center"/>
              <w:rPr>
                <w:rFonts w:ascii="Calibri" w:hAnsi="Calibri"/>
                <w:b/>
                <w:color w:val="548DD4" w:themeColor="text2" w:themeTint="99"/>
                <w:sz w:val="18"/>
              </w:rPr>
            </w:pPr>
            <w:r w:rsidRPr="00D5126A">
              <w:rPr>
                <w:b/>
                <w:color w:val="548DD4" w:themeColor="text2" w:themeTint="99"/>
                <w:sz w:val="18"/>
              </w:rPr>
              <w:t>Christchurch</w:t>
            </w:r>
          </w:p>
        </w:tc>
      </w:tr>
      <w:tr w:rsidR="0006339B" w:rsidRPr="00D5126A" w:rsidTr="0006339B">
        <w:tc>
          <w:tcPr>
            <w:tcW w:w="1060" w:type="dxa"/>
            <w:hideMark/>
          </w:tcPr>
          <w:p w:rsidR="0006339B" w:rsidRPr="00D5126A" w:rsidRDefault="0006339B" w:rsidP="00A03EAD">
            <w:pPr>
              <w:spacing w:before="240"/>
              <w:ind w:left="-8"/>
              <w:jc w:val="center"/>
              <w:rPr>
                <w:rFonts w:ascii="Calibri" w:hAnsi="Calibri"/>
                <w:b/>
                <w:sz w:val="18"/>
              </w:rPr>
            </w:pPr>
            <w:r w:rsidRPr="00D5126A">
              <w:rPr>
                <w:b/>
                <w:sz w:val="18"/>
              </w:rPr>
              <w:t>Enough money</w:t>
            </w:r>
          </w:p>
        </w:tc>
        <w:tc>
          <w:tcPr>
            <w:tcW w:w="1284" w:type="dxa"/>
            <w:hideMark/>
          </w:tcPr>
          <w:p w:rsidR="0006339B" w:rsidRPr="00D5126A" w:rsidRDefault="0006339B" w:rsidP="00A03EAD">
            <w:pPr>
              <w:spacing w:before="240"/>
              <w:ind w:left="-8"/>
              <w:jc w:val="center"/>
              <w:rPr>
                <w:rFonts w:ascii="Calibri" w:hAnsi="Calibri"/>
                <w:sz w:val="18"/>
              </w:rPr>
            </w:pPr>
            <w:r w:rsidRPr="00D5126A">
              <w:rPr>
                <w:sz w:val="18"/>
              </w:rPr>
              <w:t>58%</w:t>
            </w:r>
          </w:p>
        </w:tc>
        <w:tc>
          <w:tcPr>
            <w:tcW w:w="1159" w:type="dxa"/>
            <w:hideMark/>
          </w:tcPr>
          <w:p w:rsidR="0006339B" w:rsidRPr="00D5126A" w:rsidRDefault="0006339B" w:rsidP="00A03EAD">
            <w:pPr>
              <w:spacing w:before="240"/>
              <w:ind w:left="-8"/>
              <w:jc w:val="center"/>
              <w:rPr>
                <w:rFonts w:ascii="Calibri" w:hAnsi="Calibri"/>
                <w:sz w:val="18"/>
              </w:rPr>
            </w:pPr>
            <w:r w:rsidRPr="00D5126A">
              <w:rPr>
                <w:sz w:val="18"/>
              </w:rPr>
              <w:t>50%</w:t>
            </w:r>
          </w:p>
        </w:tc>
        <w:tc>
          <w:tcPr>
            <w:tcW w:w="1150" w:type="dxa"/>
            <w:hideMark/>
          </w:tcPr>
          <w:p w:rsidR="0006339B" w:rsidRPr="00D5126A" w:rsidRDefault="0006339B" w:rsidP="00A03EAD">
            <w:pPr>
              <w:spacing w:before="240"/>
              <w:ind w:left="-8"/>
              <w:jc w:val="center"/>
              <w:rPr>
                <w:rFonts w:ascii="Calibri" w:hAnsi="Calibri"/>
                <w:sz w:val="18"/>
              </w:rPr>
            </w:pPr>
            <w:r w:rsidRPr="00D5126A">
              <w:rPr>
                <w:sz w:val="18"/>
              </w:rPr>
              <w:t>38%</w:t>
            </w:r>
          </w:p>
        </w:tc>
        <w:tc>
          <w:tcPr>
            <w:tcW w:w="1147" w:type="dxa"/>
            <w:hideMark/>
          </w:tcPr>
          <w:p w:rsidR="0006339B" w:rsidRPr="00D5126A" w:rsidRDefault="0006339B" w:rsidP="00A03EAD">
            <w:pPr>
              <w:spacing w:before="240"/>
              <w:ind w:left="-8"/>
              <w:jc w:val="center"/>
              <w:rPr>
                <w:rFonts w:ascii="Calibri" w:hAnsi="Calibri"/>
                <w:sz w:val="18"/>
              </w:rPr>
            </w:pPr>
            <w:r w:rsidRPr="00D5126A">
              <w:rPr>
                <w:sz w:val="18"/>
              </w:rPr>
              <w:t>41%</w:t>
            </w:r>
          </w:p>
        </w:tc>
        <w:tc>
          <w:tcPr>
            <w:tcW w:w="1346" w:type="dxa"/>
            <w:hideMark/>
          </w:tcPr>
          <w:p w:rsidR="0006339B" w:rsidRPr="00D5126A" w:rsidRDefault="0006339B" w:rsidP="00A03EAD">
            <w:pPr>
              <w:spacing w:before="240"/>
              <w:ind w:left="-8"/>
              <w:jc w:val="center"/>
              <w:rPr>
                <w:rFonts w:ascii="Calibri" w:hAnsi="Calibri"/>
                <w:sz w:val="18"/>
              </w:rPr>
            </w:pPr>
            <w:r w:rsidRPr="00D5126A">
              <w:rPr>
                <w:sz w:val="18"/>
              </w:rPr>
              <w:t>52%</w:t>
            </w:r>
          </w:p>
        </w:tc>
      </w:tr>
      <w:tr w:rsidR="0006339B" w:rsidRPr="00D5126A" w:rsidTr="0006339B">
        <w:tc>
          <w:tcPr>
            <w:tcW w:w="1060" w:type="dxa"/>
            <w:hideMark/>
          </w:tcPr>
          <w:p w:rsidR="0006339B" w:rsidRPr="00D5126A" w:rsidRDefault="0006339B" w:rsidP="00A03EAD">
            <w:pPr>
              <w:spacing w:before="240"/>
              <w:ind w:left="-8"/>
              <w:jc w:val="center"/>
              <w:rPr>
                <w:rFonts w:ascii="Calibri" w:hAnsi="Calibri"/>
                <w:b/>
                <w:sz w:val="18"/>
              </w:rPr>
            </w:pPr>
            <w:r w:rsidRPr="00D5126A">
              <w:rPr>
                <w:b/>
                <w:sz w:val="18"/>
              </w:rPr>
              <w:t>Not enough</w:t>
            </w:r>
          </w:p>
        </w:tc>
        <w:tc>
          <w:tcPr>
            <w:tcW w:w="1284" w:type="dxa"/>
            <w:hideMark/>
          </w:tcPr>
          <w:p w:rsidR="0006339B" w:rsidRPr="00D5126A" w:rsidRDefault="0006339B" w:rsidP="00A03EAD">
            <w:pPr>
              <w:spacing w:before="240"/>
              <w:ind w:left="-8"/>
              <w:jc w:val="center"/>
              <w:rPr>
                <w:rFonts w:ascii="Calibri" w:hAnsi="Calibri"/>
                <w:sz w:val="18"/>
              </w:rPr>
            </w:pPr>
            <w:r w:rsidRPr="00D5126A">
              <w:rPr>
                <w:sz w:val="18"/>
              </w:rPr>
              <w:t>11%</w:t>
            </w:r>
          </w:p>
        </w:tc>
        <w:tc>
          <w:tcPr>
            <w:tcW w:w="1159" w:type="dxa"/>
            <w:hideMark/>
          </w:tcPr>
          <w:p w:rsidR="0006339B" w:rsidRPr="00D5126A" w:rsidRDefault="0006339B" w:rsidP="00A03EAD">
            <w:pPr>
              <w:spacing w:before="240"/>
              <w:ind w:left="-8"/>
              <w:jc w:val="center"/>
              <w:rPr>
                <w:rFonts w:ascii="Calibri" w:hAnsi="Calibri"/>
                <w:sz w:val="18"/>
              </w:rPr>
            </w:pPr>
            <w:r w:rsidRPr="00D5126A">
              <w:rPr>
                <w:sz w:val="18"/>
              </w:rPr>
              <w:t>12%</w:t>
            </w:r>
          </w:p>
        </w:tc>
        <w:tc>
          <w:tcPr>
            <w:tcW w:w="1150" w:type="dxa"/>
            <w:hideMark/>
          </w:tcPr>
          <w:p w:rsidR="0006339B" w:rsidRPr="00D5126A" w:rsidRDefault="0006339B" w:rsidP="00A03EAD">
            <w:pPr>
              <w:spacing w:before="240"/>
              <w:ind w:left="-8"/>
              <w:jc w:val="center"/>
              <w:rPr>
                <w:rFonts w:ascii="Calibri" w:hAnsi="Calibri"/>
                <w:sz w:val="18"/>
              </w:rPr>
            </w:pPr>
            <w:r w:rsidRPr="00D5126A">
              <w:rPr>
                <w:sz w:val="18"/>
              </w:rPr>
              <w:t>16%</w:t>
            </w:r>
          </w:p>
        </w:tc>
        <w:tc>
          <w:tcPr>
            <w:tcW w:w="1147" w:type="dxa"/>
            <w:hideMark/>
          </w:tcPr>
          <w:p w:rsidR="0006339B" w:rsidRPr="00D5126A" w:rsidRDefault="0006339B" w:rsidP="00A03EAD">
            <w:pPr>
              <w:spacing w:before="240"/>
              <w:ind w:left="-8"/>
              <w:jc w:val="center"/>
              <w:rPr>
                <w:rFonts w:ascii="Calibri" w:hAnsi="Calibri"/>
                <w:sz w:val="18"/>
              </w:rPr>
            </w:pPr>
            <w:r w:rsidRPr="00D5126A">
              <w:rPr>
                <w:sz w:val="18"/>
              </w:rPr>
              <w:t>19%</w:t>
            </w:r>
          </w:p>
        </w:tc>
        <w:tc>
          <w:tcPr>
            <w:tcW w:w="1346" w:type="dxa"/>
            <w:hideMark/>
          </w:tcPr>
          <w:p w:rsidR="0006339B" w:rsidRPr="00D5126A" w:rsidRDefault="0006339B" w:rsidP="00A03EAD">
            <w:pPr>
              <w:spacing w:before="240"/>
              <w:ind w:left="-8"/>
              <w:jc w:val="center"/>
              <w:rPr>
                <w:rFonts w:ascii="Calibri" w:hAnsi="Calibri"/>
                <w:sz w:val="18"/>
              </w:rPr>
            </w:pPr>
            <w:r w:rsidRPr="00D5126A">
              <w:rPr>
                <w:sz w:val="18"/>
              </w:rPr>
              <w:t>13%</w:t>
            </w:r>
          </w:p>
        </w:tc>
      </w:tr>
    </w:tbl>
    <w:p w:rsidR="0006339B" w:rsidRPr="00D5126A" w:rsidRDefault="0006339B" w:rsidP="0006339B">
      <w:pPr>
        <w:jc w:val="right"/>
        <w:rPr>
          <w:rFonts w:ascii="Calibri" w:hAnsi="Calibri"/>
          <w:i/>
          <w:sz w:val="18"/>
          <w:szCs w:val="18"/>
        </w:rPr>
      </w:pPr>
      <w:r w:rsidRPr="00D5126A">
        <w:rPr>
          <w:i/>
          <w:sz w:val="18"/>
          <w:szCs w:val="18"/>
        </w:rPr>
        <w:lastRenderedPageBreak/>
        <w:t>Source: Quality of Life Survey 2018</w:t>
      </w:r>
    </w:p>
    <w:p w:rsidR="0006339B" w:rsidRPr="00D5126A" w:rsidRDefault="0006339B" w:rsidP="00846C1B">
      <w:pPr>
        <w:pStyle w:val="Heading4"/>
        <w:rPr>
          <w:rFonts w:eastAsiaTheme="minorHAnsi"/>
        </w:rPr>
      </w:pPr>
      <w:bookmarkStart w:id="33" w:name="_Toc12439349"/>
      <w:bookmarkStart w:id="34" w:name="_Toc12530256"/>
      <w:r w:rsidRPr="00D5126A">
        <w:rPr>
          <w:rFonts w:eastAsiaTheme="minorHAnsi"/>
        </w:rPr>
        <w:t>Population growth</w:t>
      </w:r>
      <w:bookmarkEnd w:id="33"/>
      <w:bookmarkEnd w:id="34"/>
    </w:p>
    <w:p w:rsidR="0006339B" w:rsidRPr="00D5126A" w:rsidRDefault="0006339B" w:rsidP="0006339B">
      <w:pPr>
        <w:rPr>
          <w:rFonts w:eastAsiaTheme="minorHAnsi"/>
          <w:color w:val="1F497D"/>
        </w:rPr>
      </w:pPr>
      <w:r w:rsidRPr="00D5126A">
        <w:rPr>
          <w:sz w:val="20"/>
        </w:rPr>
        <w:t>Wellington’s population is growing at near the rate of other large cities.  In absolute numbers, the size of that growth is the same as Hamilton’s but a tenth of Auckland’s size.</w:t>
      </w:r>
    </w:p>
    <w:tbl>
      <w:tblPr>
        <w:tblW w:w="7479" w:type="dxa"/>
        <w:tblLayout w:type="fixed"/>
        <w:tblCellMar>
          <w:left w:w="0" w:type="dxa"/>
          <w:right w:w="0" w:type="dxa"/>
        </w:tblCellMar>
        <w:tblLook w:val="04A0" w:firstRow="1" w:lastRow="0" w:firstColumn="1" w:lastColumn="0" w:noHBand="0" w:noVBand="1"/>
      </w:tblPr>
      <w:tblGrid>
        <w:gridCol w:w="1456"/>
        <w:gridCol w:w="1143"/>
        <w:gridCol w:w="1169"/>
        <w:gridCol w:w="1169"/>
        <w:gridCol w:w="1125"/>
        <w:gridCol w:w="1417"/>
      </w:tblGrid>
      <w:tr w:rsidR="00A03EAD" w:rsidRPr="00D5126A" w:rsidTr="00A03EAD">
        <w:tc>
          <w:tcPr>
            <w:tcW w:w="1456" w:type="dxa"/>
            <w:tcMar>
              <w:top w:w="0" w:type="dxa"/>
              <w:left w:w="108" w:type="dxa"/>
              <w:bottom w:w="0" w:type="dxa"/>
              <w:right w:w="108" w:type="dxa"/>
            </w:tcMar>
          </w:tcPr>
          <w:p w:rsidR="00A03EAD" w:rsidRPr="00D5126A" w:rsidRDefault="00A03EAD" w:rsidP="00A03EAD">
            <w:pPr>
              <w:spacing w:before="240" w:after="0"/>
              <w:rPr>
                <w:rFonts w:ascii="Calibri" w:hAnsi="Calibri" w:cs="Calibri"/>
                <w:b/>
                <w:color w:val="548DD4" w:themeColor="text2" w:themeTint="99"/>
                <w:sz w:val="18"/>
              </w:rPr>
            </w:pPr>
          </w:p>
        </w:tc>
        <w:tc>
          <w:tcPr>
            <w:tcW w:w="1143" w:type="dxa"/>
            <w:tcMar>
              <w:top w:w="0" w:type="dxa"/>
              <w:left w:w="108" w:type="dxa"/>
              <w:bottom w:w="0" w:type="dxa"/>
              <w:right w:w="108" w:type="dxa"/>
            </w:tcMar>
            <w:hideMark/>
          </w:tcPr>
          <w:p w:rsidR="00A03EAD" w:rsidRPr="00D5126A" w:rsidRDefault="00A03EAD" w:rsidP="00A03EAD">
            <w:pPr>
              <w:spacing w:before="240" w:after="0"/>
              <w:jc w:val="center"/>
              <w:rPr>
                <w:rFonts w:ascii="Calibri" w:hAnsi="Calibri" w:cs="Calibri"/>
                <w:b/>
                <w:color w:val="548DD4" w:themeColor="text2" w:themeTint="99"/>
                <w:sz w:val="18"/>
              </w:rPr>
            </w:pPr>
            <w:r w:rsidRPr="00D5126A">
              <w:rPr>
                <w:b/>
                <w:color w:val="548DD4" w:themeColor="text2" w:themeTint="99"/>
                <w:sz w:val="18"/>
              </w:rPr>
              <w:t>Wellington</w:t>
            </w:r>
          </w:p>
        </w:tc>
        <w:tc>
          <w:tcPr>
            <w:tcW w:w="1169" w:type="dxa"/>
            <w:tcMar>
              <w:top w:w="0" w:type="dxa"/>
              <w:left w:w="108" w:type="dxa"/>
              <w:bottom w:w="0" w:type="dxa"/>
              <w:right w:w="108" w:type="dxa"/>
            </w:tcMar>
            <w:hideMark/>
          </w:tcPr>
          <w:p w:rsidR="00A03EAD" w:rsidRPr="00D5126A" w:rsidRDefault="00A03EAD" w:rsidP="00A03EAD">
            <w:pPr>
              <w:spacing w:before="240" w:after="0"/>
              <w:jc w:val="center"/>
              <w:rPr>
                <w:rFonts w:ascii="Calibri" w:hAnsi="Calibri" w:cs="Calibri"/>
                <w:b/>
                <w:color w:val="548DD4" w:themeColor="text2" w:themeTint="99"/>
                <w:sz w:val="18"/>
              </w:rPr>
            </w:pPr>
            <w:r w:rsidRPr="00D5126A">
              <w:rPr>
                <w:b/>
                <w:color w:val="548DD4" w:themeColor="text2" w:themeTint="99"/>
                <w:sz w:val="18"/>
              </w:rPr>
              <w:t>Tauranga</w:t>
            </w:r>
          </w:p>
        </w:tc>
        <w:tc>
          <w:tcPr>
            <w:tcW w:w="1169" w:type="dxa"/>
            <w:tcMar>
              <w:top w:w="0" w:type="dxa"/>
              <w:left w:w="108" w:type="dxa"/>
              <w:bottom w:w="0" w:type="dxa"/>
              <w:right w:w="108" w:type="dxa"/>
            </w:tcMar>
            <w:hideMark/>
          </w:tcPr>
          <w:p w:rsidR="00A03EAD" w:rsidRPr="00D5126A" w:rsidRDefault="00A03EAD" w:rsidP="00A03EAD">
            <w:pPr>
              <w:spacing w:before="240" w:after="0"/>
              <w:jc w:val="center"/>
              <w:rPr>
                <w:rFonts w:ascii="Calibri" w:hAnsi="Calibri" w:cs="Calibri"/>
                <w:b/>
                <w:color w:val="548DD4" w:themeColor="text2" w:themeTint="99"/>
                <w:sz w:val="18"/>
              </w:rPr>
            </w:pPr>
            <w:r w:rsidRPr="00D5126A">
              <w:rPr>
                <w:b/>
                <w:color w:val="548DD4" w:themeColor="text2" w:themeTint="99"/>
                <w:sz w:val="18"/>
              </w:rPr>
              <w:t>Hamilton</w:t>
            </w:r>
          </w:p>
        </w:tc>
        <w:tc>
          <w:tcPr>
            <w:tcW w:w="1125" w:type="dxa"/>
            <w:tcMar>
              <w:top w:w="0" w:type="dxa"/>
              <w:left w:w="108" w:type="dxa"/>
              <w:bottom w:w="0" w:type="dxa"/>
              <w:right w:w="108" w:type="dxa"/>
            </w:tcMar>
            <w:hideMark/>
          </w:tcPr>
          <w:p w:rsidR="00A03EAD" w:rsidRPr="00D5126A" w:rsidRDefault="00A03EAD" w:rsidP="00A03EAD">
            <w:pPr>
              <w:spacing w:before="240" w:after="0"/>
              <w:jc w:val="center"/>
              <w:rPr>
                <w:rFonts w:ascii="Calibri" w:hAnsi="Calibri" w:cs="Calibri"/>
                <w:b/>
                <w:color w:val="548DD4" w:themeColor="text2" w:themeTint="99"/>
                <w:sz w:val="18"/>
              </w:rPr>
            </w:pPr>
            <w:r w:rsidRPr="00D5126A">
              <w:rPr>
                <w:b/>
                <w:color w:val="548DD4" w:themeColor="text2" w:themeTint="99"/>
                <w:sz w:val="18"/>
              </w:rPr>
              <w:t>Auckland</w:t>
            </w:r>
          </w:p>
        </w:tc>
        <w:tc>
          <w:tcPr>
            <w:tcW w:w="1417" w:type="dxa"/>
            <w:tcMar>
              <w:top w:w="0" w:type="dxa"/>
              <w:left w:w="108" w:type="dxa"/>
              <w:bottom w:w="0" w:type="dxa"/>
              <w:right w:w="108" w:type="dxa"/>
            </w:tcMar>
            <w:hideMark/>
          </w:tcPr>
          <w:p w:rsidR="00A03EAD" w:rsidRPr="00D5126A" w:rsidRDefault="00A03EAD" w:rsidP="00A03EAD">
            <w:pPr>
              <w:spacing w:before="240" w:after="0"/>
              <w:jc w:val="center"/>
              <w:rPr>
                <w:rFonts w:ascii="Calibri" w:hAnsi="Calibri" w:cs="Calibri"/>
                <w:b/>
                <w:color w:val="548DD4" w:themeColor="text2" w:themeTint="99"/>
                <w:sz w:val="18"/>
              </w:rPr>
            </w:pPr>
            <w:r w:rsidRPr="00D5126A">
              <w:rPr>
                <w:b/>
                <w:color w:val="548DD4" w:themeColor="text2" w:themeTint="99"/>
                <w:sz w:val="18"/>
              </w:rPr>
              <w:t>Christchurch</w:t>
            </w:r>
          </w:p>
        </w:tc>
      </w:tr>
      <w:tr w:rsidR="00A03EAD" w:rsidRPr="00D5126A" w:rsidTr="00A03EAD">
        <w:trPr>
          <w:trHeight w:val="866"/>
        </w:trPr>
        <w:tc>
          <w:tcPr>
            <w:tcW w:w="1456" w:type="dxa"/>
            <w:tcMar>
              <w:top w:w="0" w:type="dxa"/>
              <w:left w:w="108" w:type="dxa"/>
              <w:bottom w:w="0" w:type="dxa"/>
              <w:right w:w="108" w:type="dxa"/>
            </w:tcMar>
            <w:hideMark/>
          </w:tcPr>
          <w:p w:rsidR="00A03EAD" w:rsidRPr="00D5126A" w:rsidRDefault="00A03EAD" w:rsidP="00C54A41">
            <w:pPr>
              <w:jc w:val="center"/>
              <w:rPr>
                <w:rFonts w:ascii="Calibri" w:hAnsi="Calibri" w:cs="Calibri"/>
                <w:b/>
                <w:sz w:val="18"/>
              </w:rPr>
            </w:pPr>
            <w:r w:rsidRPr="00D5126A">
              <w:rPr>
                <w:b/>
                <w:sz w:val="18"/>
              </w:rPr>
              <w:t>Average growth rate per annum 2016</w:t>
            </w:r>
            <w:r w:rsidR="00C54A41">
              <w:rPr>
                <w:b/>
                <w:sz w:val="18"/>
              </w:rPr>
              <w:t>-</w:t>
            </w:r>
            <w:r w:rsidRPr="00D5126A">
              <w:rPr>
                <w:b/>
                <w:sz w:val="18"/>
              </w:rPr>
              <w:t>2018</w:t>
            </w:r>
          </w:p>
        </w:tc>
        <w:tc>
          <w:tcPr>
            <w:tcW w:w="1143" w:type="dxa"/>
            <w:tcMar>
              <w:top w:w="0" w:type="dxa"/>
              <w:left w:w="108" w:type="dxa"/>
              <w:bottom w:w="0" w:type="dxa"/>
              <w:right w:w="108" w:type="dxa"/>
            </w:tcMar>
            <w:vAlign w:val="center"/>
            <w:hideMark/>
          </w:tcPr>
          <w:p w:rsidR="00A03EAD" w:rsidRPr="00D5126A" w:rsidRDefault="00A03EAD" w:rsidP="00A03EAD">
            <w:pPr>
              <w:jc w:val="center"/>
              <w:rPr>
                <w:rFonts w:ascii="Calibri" w:hAnsi="Calibri"/>
                <w:sz w:val="18"/>
              </w:rPr>
            </w:pPr>
            <w:r w:rsidRPr="00D5126A">
              <w:rPr>
                <w:sz w:val="18"/>
              </w:rPr>
              <w:t>2.0%</w:t>
            </w:r>
          </w:p>
        </w:tc>
        <w:tc>
          <w:tcPr>
            <w:tcW w:w="1169" w:type="dxa"/>
            <w:tcMar>
              <w:top w:w="0" w:type="dxa"/>
              <w:left w:w="108" w:type="dxa"/>
              <w:bottom w:w="0" w:type="dxa"/>
              <w:right w:w="108" w:type="dxa"/>
            </w:tcMar>
            <w:vAlign w:val="center"/>
            <w:hideMark/>
          </w:tcPr>
          <w:p w:rsidR="00A03EAD" w:rsidRPr="00D5126A" w:rsidRDefault="00C53DF2" w:rsidP="00A03EAD">
            <w:pPr>
              <w:jc w:val="center"/>
              <w:rPr>
                <w:rFonts w:ascii="Calibri" w:hAnsi="Calibri" w:cs="Calibri"/>
                <w:i/>
                <w:sz w:val="18"/>
              </w:rPr>
            </w:pPr>
            <w:r>
              <w:rPr>
                <w:sz w:val="18"/>
              </w:rPr>
              <w:t>2.6</w:t>
            </w:r>
            <w:r w:rsidR="00A03EAD" w:rsidRPr="00D5126A">
              <w:rPr>
                <w:sz w:val="18"/>
              </w:rPr>
              <w:t>%</w:t>
            </w:r>
          </w:p>
        </w:tc>
        <w:tc>
          <w:tcPr>
            <w:tcW w:w="1169" w:type="dxa"/>
            <w:tcMar>
              <w:top w:w="0" w:type="dxa"/>
              <w:left w:w="108" w:type="dxa"/>
              <w:bottom w:w="0" w:type="dxa"/>
              <w:right w:w="108" w:type="dxa"/>
            </w:tcMar>
            <w:vAlign w:val="center"/>
            <w:hideMark/>
          </w:tcPr>
          <w:p w:rsidR="00A03EAD" w:rsidRPr="00D5126A" w:rsidRDefault="00C53DF2" w:rsidP="00A03EAD">
            <w:pPr>
              <w:jc w:val="center"/>
              <w:rPr>
                <w:rFonts w:ascii="Calibri" w:hAnsi="Calibri" w:cs="Calibri"/>
                <w:sz w:val="18"/>
              </w:rPr>
            </w:pPr>
            <w:r>
              <w:rPr>
                <w:sz w:val="18"/>
              </w:rPr>
              <w:t>2.5</w:t>
            </w:r>
            <w:r w:rsidR="00A03EAD" w:rsidRPr="00D5126A">
              <w:rPr>
                <w:sz w:val="18"/>
              </w:rPr>
              <w:t>%</w:t>
            </w:r>
          </w:p>
        </w:tc>
        <w:tc>
          <w:tcPr>
            <w:tcW w:w="1125" w:type="dxa"/>
            <w:tcMar>
              <w:top w:w="0" w:type="dxa"/>
              <w:left w:w="108" w:type="dxa"/>
              <w:bottom w:w="0" w:type="dxa"/>
              <w:right w:w="108" w:type="dxa"/>
            </w:tcMar>
            <w:vAlign w:val="center"/>
            <w:hideMark/>
          </w:tcPr>
          <w:p w:rsidR="00A03EAD" w:rsidRPr="00D5126A" w:rsidRDefault="00C53DF2" w:rsidP="00A03EAD">
            <w:pPr>
              <w:jc w:val="center"/>
              <w:rPr>
                <w:rFonts w:ascii="Calibri" w:hAnsi="Calibri"/>
                <w:sz w:val="18"/>
              </w:rPr>
            </w:pPr>
            <w:r>
              <w:rPr>
                <w:sz w:val="18"/>
              </w:rPr>
              <w:t>2.5</w:t>
            </w:r>
            <w:r w:rsidR="00A03EAD" w:rsidRPr="00D5126A">
              <w:rPr>
                <w:sz w:val="18"/>
              </w:rPr>
              <w:t>%</w:t>
            </w:r>
          </w:p>
        </w:tc>
        <w:tc>
          <w:tcPr>
            <w:tcW w:w="1417" w:type="dxa"/>
            <w:tcMar>
              <w:top w:w="0" w:type="dxa"/>
              <w:left w:w="108" w:type="dxa"/>
              <w:bottom w:w="0" w:type="dxa"/>
              <w:right w:w="108" w:type="dxa"/>
            </w:tcMar>
            <w:vAlign w:val="center"/>
            <w:hideMark/>
          </w:tcPr>
          <w:p w:rsidR="00A03EAD" w:rsidRPr="00D5126A" w:rsidRDefault="00A03EAD" w:rsidP="00A03EAD">
            <w:pPr>
              <w:jc w:val="center"/>
              <w:rPr>
                <w:rFonts w:ascii="Calibri" w:hAnsi="Calibri"/>
                <w:sz w:val="18"/>
              </w:rPr>
            </w:pPr>
            <w:r w:rsidRPr="00D5126A">
              <w:rPr>
                <w:sz w:val="18"/>
              </w:rPr>
              <w:t>1.8%</w:t>
            </w:r>
          </w:p>
        </w:tc>
      </w:tr>
      <w:tr w:rsidR="00A03EAD" w:rsidRPr="00D5126A" w:rsidTr="00A03EAD">
        <w:trPr>
          <w:trHeight w:val="866"/>
        </w:trPr>
        <w:tc>
          <w:tcPr>
            <w:tcW w:w="1456" w:type="dxa"/>
            <w:tcMar>
              <w:top w:w="0" w:type="dxa"/>
              <w:left w:w="108" w:type="dxa"/>
              <w:bottom w:w="0" w:type="dxa"/>
              <w:right w:w="108" w:type="dxa"/>
            </w:tcMar>
            <w:vAlign w:val="center"/>
          </w:tcPr>
          <w:p w:rsidR="00A03EAD" w:rsidRPr="00D5126A" w:rsidRDefault="00A03EAD" w:rsidP="00A03EAD">
            <w:pPr>
              <w:jc w:val="center"/>
              <w:rPr>
                <w:b/>
                <w:sz w:val="18"/>
              </w:rPr>
            </w:pPr>
            <w:r w:rsidRPr="00D5126A">
              <w:rPr>
                <w:b/>
                <w:sz w:val="18"/>
              </w:rPr>
              <w:t>Increase in population 2016-2018</w:t>
            </w:r>
          </w:p>
        </w:tc>
        <w:tc>
          <w:tcPr>
            <w:tcW w:w="1143" w:type="dxa"/>
            <w:tcMar>
              <w:top w:w="0" w:type="dxa"/>
              <w:left w:w="108" w:type="dxa"/>
              <w:bottom w:w="0" w:type="dxa"/>
              <w:right w:w="108" w:type="dxa"/>
            </w:tcMar>
            <w:vAlign w:val="center"/>
          </w:tcPr>
          <w:p w:rsidR="00A03EAD" w:rsidRPr="00D5126A" w:rsidRDefault="00A03EAD" w:rsidP="00A03EAD">
            <w:pPr>
              <w:jc w:val="center"/>
              <w:rPr>
                <w:sz w:val="18"/>
              </w:rPr>
            </w:pPr>
            <w:r w:rsidRPr="00D5126A">
              <w:rPr>
                <w:i/>
                <w:sz w:val="18"/>
              </w:rPr>
              <w:t>12,500 people</w:t>
            </w:r>
          </w:p>
        </w:tc>
        <w:tc>
          <w:tcPr>
            <w:tcW w:w="1169" w:type="dxa"/>
            <w:tcMar>
              <w:top w:w="0" w:type="dxa"/>
              <w:left w:w="108" w:type="dxa"/>
              <w:bottom w:w="0" w:type="dxa"/>
              <w:right w:w="108" w:type="dxa"/>
            </w:tcMar>
            <w:vAlign w:val="center"/>
          </w:tcPr>
          <w:p w:rsidR="00A03EAD" w:rsidRPr="00D5126A" w:rsidRDefault="00A03EAD" w:rsidP="00A03EAD">
            <w:pPr>
              <w:jc w:val="center"/>
              <w:rPr>
                <w:sz w:val="18"/>
              </w:rPr>
            </w:pPr>
            <w:r w:rsidRPr="00D5126A">
              <w:rPr>
                <w:i/>
                <w:sz w:val="18"/>
              </w:rPr>
              <w:t>10,400 people</w:t>
            </w:r>
          </w:p>
        </w:tc>
        <w:tc>
          <w:tcPr>
            <w:tcW w:w="1169" w:type="dxa"/>
            <w:tcMar>
              <w:top w:w="0" w:type="dxa"/>
              <w:left w:w="108" w:type="dxa"/>
              <w:bottom w:w="0" w:type="dxa"/>
              <w:right w:w="108" w:type="dxa"/>
            </w:tcMar>
            <w:vAlign w:val="center"/>
          </w:tcPr>
          <w:p w:rsidR="00A03EAD" w:rsidRPr="00D5126A" w:rsidRDefault="00A03EAD" w:rsidP="00A03EAD">
            <w:pPr>
              <w:jc w:val="center"/>
              <w:rPr>
                <w:sz w:val="18"/>
              </w:rPr>
            </w:pPr>
            <w:r w:rsidRPr="00D5126A">
              <w:rPr>
                <w:i/>
                <w:sz w:val="18"/>
              </w:rPr>
              <w:t>12,500 people</w:t>
            </w:r>
          </w:p>
        </w:tc>
        <w:tc>
          <w:tcPr>
            <w:tcW w:w="1125" w:type="dxa"/>
            <w:tcMar>
              <w:top w:w="0" w:type="dxa"/>
              <w:left w:w="108" w:type="dxa"/>
              <w:bottom w:w="0" w:type="dxa"/>
              <w:right w:w="108" w:type="dxa"/>
            </w:tcMar>
            <w:vAlign w:val="center"/>
          </w:tcPr>
          <w:p w:rsidR="00A03EAD" w:rsidRPr="00D5126A" w:rsidRDefault="00A03EAD" w:rsidP="00A03EAD">
            <w:pPr>
              <w:jc w:val="center"/>
              <w:rPr>
                <w:sz w:val="18"/>
              </w:rPr>
            </w:pPr>
            <w:r w:rsidRPr="00D5126A">
              <w:rPr>
                <w:i/>
                <w:sz w:val="18"/>
              </w:rPr>
              <w:t>126,000 people</w:t>
            </w:r>
          </w:p>
        </w:tc>
        <w:tc>
          <w:tcPr>
            <w:tcW w:w="1417" w:type="dxa"/>
            <w:tcMar>
              <w:top w:w="0" w:type="dxa"/>
              <w:left w:w="108" w:type="dxa"/>
              <w:bottom w:w="0" w:type="dxa"/>
              <w:right w:w="108" w:type="dxa"/>
            </w:tcMar>
            <w:vAlign w:val="center"/>
          </w:tcPr>
          <w:p w:rsidR="00A03EAD" w:rsidRPr="00D5126A" w:rsidRDefault="00A03EAD" w:rsidP="00A03EAD">
            <w:pPr>
              <w:jc w:val="center"/>
              <w:rPr>
                <w:i/>
                <w:sz w:val="18"/>
              </w:rPr>
            </w:pPr>
            <w:r w:rsidRPr="00D5126A">
              <w:rPr>
                <w:i/>
                <w:sz w:val="18"/>
              </w:rPr>
              <w:t xml:space="preserve">20,700 </w:t>
            </w:r>
            <w:r w:rsidRPr="00D5126A">
              <w:rPr>
                <w:i/>
                <w:sz w:val="18"/>
              </w:rPr>
              <w:br/>
              <w:t>people</w:t>
            </w:r>
          </w:p>
        </w:tc>
      </w:tr>
    </w:tbl>
    <w:p w:rsidR="0006339B" w:rsidRPr="00D5126A" w:rsidRDefault="0006339B" w:rsidP="0006339B">
      <w:pPr>
        <w:jc w:val="right"/>
        <w:rPr>
          <w:rFonts w:ascii="Calibri" w:hAnsi="Calibri"/>
          <w:i/>
          <w:sz w:val="18"/>
        </w:rPr>
      </w:pPr>
      <w:r w:rsidRPr="00D5126A">
        <w:rPr>
          <w:i/>
          <w:sz w:val="18"/>
        </w:rPr>
        <w:t>Source: Infometrics</w:t>
      </w:r>
    </w:p>
    <w:p w:rsidR="0006339B" w:rsidRPr="00D5126A" w:rsidRDefault="0006339B" w:rsidP="00846C1B">
      <w:pPr>
        <w:pStyle w:val="Heading4"/>
        <w:rPr>
          <w:rFonts w:eastAsiaTheme="minorHAnsi"/>
        </w:rPr>
      </w:pPr>
      <w:bookmarkStart w:id="35" w:name="_Toc12530257"/>
      <w:bookmarkStart w:id="36" w:name="_Toc12439352"/>
      <w:r w:rsidRPr="00D5126A">
        <w:rPr>
          <w:rFonts w:eastAsiaTheme="minorHAnsi"/>
        </w:rPr>
        <w:t>House price growth</w:t>
      </w:r>
      <w:bookmarkEnd w:id="35"/>
      <w:bookmarkEnd w:id="36"/>
    </w:p>
    <w:p w:rsidR="0006339B" w:rsidRPr="00D5126A" w:rsidRDefault="0006339B" w:rsidP="0006339B">
      <w:pPr>
        <w:rPr>
          <w:rFonts w:eastAsiaTheme="minorHAnsi"/>
          <w:sz w:val="20"/>
        </w:rPr>
      </w:pPr>
      <w:r w:rsidRPr="00D5126A">
        <w:rPr>
          <w:sz w:val="20"/>
        </w:rPr>
        <w:t>Wellington’s house price growth is now higher tha</w:t>
      </w:r>
      <w:r w:rsidR="00A03EAD" w:rsidRPr="00D5126A">
        <w:rPr>
          <w:sz w:val="20"/>
        </w:rPr>
        <w:t>n</w:t>
      </w:r>
      <w:r w:rsidRPr="00D5126A">
        <w:rPr>
          <w:sz w:val="20"/>
        </w:rPr>
        <w:t xml:space="preserve"> other major large cities in New Zealand</w:t>
      </w:r>
      <w:r w:rsidR="00A03EAD" w:rsidRPr="00D5126A">
        <w:rPr>
          <w:sz w:val="20"/>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91"/>
        <w:gridCol w:w="1404"/>
        <w:gridCol w:w="1330"/>
        <w:gridCol w:w="1326"/>
        <w:gridCol w:w="1325"/>
        <w:gridCol w:w="1337"/>
      </w:tblGrid>
      <w:tr w:rsidR="0006339B" w:rsidRPr="00D5126A" w:rsidTr="0006339B">
        <w:tc>
          <w:tcPr>
            <w:tcW w:w="1291" w:type="dxa"/>
          </w:tcPr>
          <w:p w:rsidR="0006339B" w:rsidRPr="00D5126A" w:rsidRDefault="0006339B" w:rsidP="00A03EAD">
            <w:pPr>
              <w:spacing w:before="240"/>
              <w:rPr>
                <w:rFonts w:ascii="Calibri" w:hAnsi="Calibri"/>
                <w:b/>
                <w:color w:val="548DD4" w:themeColor="text2" w:themeTint="99"/>
                <w:sz w:val="18"/>
              </w:rPr>
            </w:pPr>
          </w:p>
        </w:tc>
        <w:tc>
          <w:tcPr>
            <w:tcW w:w="1404" w:type="dxa"/>
            <w:hideMark/>
          </w:tcPr>
          <w:p w:rsidR="0006339B" w:rsidRPr="00D5126A" w:rsidRDefault="0006339B" w:rsidP="00A03EAD">
            <w:pPr>
              <w:spacing w:before="240"/>
              <w:jc w:val="center"/>
              <w:rPr>
                <w:rFonts w:ascii="Calibri" w:hAnsi="Calibri"/>
                <w:b/>
                <w:color w:val="548DD4" w:themeColor="text2" w:themeTint="99"/>
                <w:sz w:val="18"/>
              </w:rPr>
            </w:pPr>
            <w:r w:rsidRPr="00D5126A">
              <w:rPr>
                <w:b/>
                <w:color w:val="548DD4" w:themeColor="text2" w:themeTint="99"/>
                <w:sz w:val="18"/>
              </w:rPr>
              <w:t>Wellington</w:t>
            </w:r>
          </w:p>
        </w:tc>
        <w:tc>
          <w:tcPr>
            <w:tcW w:w="1330" w:type="dxa"/>
            <w:hideMark/>
          </w:tcPr>
          <w:p w:rsidR="0006339B" w:rsidRPr="00D5126A" w:rsidRDefault="0006339B" w:rsidP="00A03EAD">
            <w:pPr>
              <w:spacing w:before="240"/>
              <w:jc w:val="center"/>
              <w:rPr>
                <w:rFonts w:ascii="Calibri" w:hAnsi="Calibri"/>
                <w:b/>
                <w:color w:val="548DD4" w:themeColor="text2" w:themeTint="99"/>
                <w:sz w:val="18"/>
              </w:rPr>
            </w:pPr>
            <w:r w:rsidRPr="00D5126A">
              <w:rPr>
                <w:b/>
                <w:color w:val="548DD4" w:themeColor="text2" w:themeTint="99"/>
                <w:sz w:val="18"/>
              </w:rPr>
              <w:t>Tauranga</w:t>
            </w:r>
          </w:p>
        </w:tc>
        <w:tc>
          <w:tcPr>
            <w:tcW w:w="1326" w:type="dxa"/>
            <w:hideMark/>
          </w:tcPr>
          <w:p w:rsidR="0006339B" w:rsidRPr="00D5126A" w:rsidRDefault="0006339B" w:rsidP="00A03EAD">
            <w:pPr>
              <w:spacing w:before="240"/>
              <w:jc w:val="center"/>
              <w:rPr>
                <w:rFonts w:ascii="Calibri" w:hAnsi="Calibri"/>
                <w:b/>
                <w:color w:val="548DD4" w:themeColor="text2" w:themeTint="99"/>
                <w:sz w:val="18"/>
              </w:rPr>
            </w:pPr>
            <w:r w:rsidRPr="00D5126A">
              <w:rPr>
                <w:b/>
                <w:color w:val="548DD4" w:themeColor="text2" w:themeTint="99"/>
                <w:sz w:val="18"/>
              </w:rPr>
              <w:t>Hamilton</w:t>
            </w:r>
          </w:p>
        </w:tc>
        <w:tc>
          <w:tcPr>
            <w:tcW w:w="1325" w:type="dxa"/>
            <w:hideMark/>
          </w:tcPr>
          <w:p w:rsidR="0006339B" w:rsidRPr="00D5126A" w:rsidRDefault="0006339B" w:rsidP="00A03EAD">
            <w:pPr>
              <w:spacing w:before="240"/>
              <w:jc w:val="center"/>
              <w:rPr>
                <w:rFonts w:ascii="Calibri" w:hAnsi="Calibri"/>
                <w:b/>
                <w:color w:val="548DD4" w:themeColor="text2" w:themeTint="99"/>
                <w:sz w:val="18"/>
              </w:rPr>
            </w:pPr>
            <w:r w:rsidRPr="00D5126A">
              <w:rPr>
                <w:b/>
                <w:color w:val="548DD4" w:themeColor="text2" w:themeTint="99"/>
                <w:sz w:val="18"/>
              </w:rPr>
              <w:t>Auckland</w:t>
            </w:r>
          </w:p>
        </w:tc>
        <w:tc>
          <w:tcPr>
            <w:tcW w:w="1280" w:type="dxa"/>
            <w:hideMark/>
          </w:tcPr>
          <w:p w:rsidR="0006339B" w:rsidRPr="00D5126A" w:rsidRDefault="0006339B" w:rsidP="00A03EAD">
            <w:pPr>
              <w:spacing w:before="240"/>
              <w:jc w:val="center"/>
              <w:rPr>
                <w:rFonts w:ascii="Calibri" w:hAnsi="Calibri"/>
                <w:b/>
                <w:color w:val="548DD4" w:themeColor="text2" w:themeTint="99"/>
                <w:sz w:val="18"/>
              </w:rPr>
            </w:pPr>
            <w:r w:rsidRPr="00D5126A">
              <w:rPr>
                <w:b/>
                <w:color w:val="548DD4" w:themeColor="text2" w:themeTint="99"/>
                <w:sz w:val="18"/>
              </w:rPr>
              <w:t>Christchurch</w:t>
            </w:r>
          </w:p>
        </w:tc>
      </w:tr>
      <w:tr w:rsidR="0006339B" w:rsidRPr="00D5126A" w:rsidTr="0006339B">
        <w:tc>
          <w:tcPr>
            <w:tcW w:w="1291" w:type="dxa"/>
            <w:hideMark/>
          </w:tcPr>
          <w:p w:rsidR="0006339B" w:rsidRPr="00D5126A" w:rsidRDefault="0006339B" w:rsidP="00A03EAD">
            <w:pPr>
              <w:spacing w:before="240"/>
              <w:jc w:val="center"/>
              <w:rPr>
                <w:rFonts w:ascii="Calibri" w:hAnsi="Calibri"/>
                <w:b/>
                <w:sz w:val="18"/>
              </w:rPr>
            </w:pPr>
            <w:r w:rsidRPr="00D5126A">
              <w:rPr>
                <w:b/>
                <w:sz w:val="18"/>
              </w:rPr>
              <w:t>2018</w:t>
            </w:r>
          </w:p>
        </w:tc>
        <w:tc>
          <w:tcPr>
            <w:tcW w:w="1404" w:type="dxa"/>
            <w:hideMark/>
          </w:tcPr>
          <w:p w:rsidR="0006339B" w:rsidRPr="00D5126A" w:rsidRDefault="0006339B" w:rsidP="00A03EAD">
            <w:pPr>
              <w:spacing w:before="240"/>
              <w:jc w:val="center"/>
              <w:rPr>
                <w:rFonts w:ascii="Calibri" w:hAnsi="Calibri"/>
                <w:sz w:val="18"/>
              </w:rPr>
            </w:pPr>
            <w:r w:rsidRPr="00D5126A">
              <w:rPr>
                <w:sz w:val="18"/>
              </w:rPr>
              <w:t>8.4%</w:t>
            </w:r>
          </w:p>
        </w:tc>
        <w:tc>
          <w:tcPr>
            <w:tcW w:w="1330" w:type="dxa"/>
            <w:hideMark/>
          </w:tcPr>
          <w:p w:rsidR="0006339B" w:rsidRPr="00D5126A" w:rsidRDefault="00C53DF2" w:rsidP="00A03EAD">
            <w:pPr>
              <w:spacing w:before="240"/>
              <w:jc w:val="center"/>
              <w:rPr>
                <w:rFonts w:ascii="Calibri" w:hAnsi="Calibri"/>
                <w:sz w:val="18"/>
              </w:rPr>
            </w:pPr>
            <w:r>
              <w:rPr>
                <w:sz w:val="18"/>
              </w:rPr>
              <w:t>4</w:t>
            </w:r>
            <w:r w:rsidR="0006339B" w:rsidRPr="00D5126A">
              <w:rPr>
                <w:sz w:val="18"/>
              </w:rPr>
              <w:t>.8%</w:t>
            </w:r>
          </w:p>
        </w:tc>
        <w:tc>
          <w:tcPr>
            <w:tcW w:w="1326" w:type="dxa"/>
            <w:hideMark/>
          </w:tcPr>
          <w:p w:rsidR="0006339B" w:rsidRPr="00D5126A" w:rsidRDefault="0006339B" w:rsidP="00A03EAD">
            <w:pPr>
              <w:spacing w:before="240"/>
              <w:jc w:val="center"/>
              <w:rPr>
                <w:rFonts w:ascii="Calibri" w:hAnsi="Calibri"/>
                <w:sz w:val="18"/>
              </w:rPr>
            </w:pPr>
            <w:r w:rsidRPr="00D5126A">
              <w:rPr>
                <w:sz w:val="18"/>
              </w:rPr>
              <w:t>3.3%</w:t>
            </w:r>
          </w:p>
        </w:tc>
        <w:tc>
          <w:tcPr>
            <w:tcW w:w="1325" w:type="dxa"/>
            <w:hideMark/>
          </w:tcPr>
          <w:p w:rsidR="0006339B" w:rsidRPr="00D5126A" w:rsidRDefault="0006339B" w:rsidP="00A03EAD">
            <w:pPr>
              <w:spacing w:before="240"/>
              <w:jc w:val="center"/>
              <w:rPr>
                <w:rFonts w:ascii="Calibri" w:hAnsi="Calibri"/>
                <w:sz w:val="18"/>
              </w:rPr>
            </w:pPr>
            <w:r w:rsidRPr="00D5126A">
              <w:rPr>
                <w:sz w:val="18"/>
              </w:rPr>
              <w:t>1.3%</w:t>
            </w:r>
          </w:p>
        </w:tc>
        <w:tc>
          <w:tcPr>
            <w:tcW w:w="1280" w:type="dxa"/>
            <w:hideMark/>
          </w:tcPr>
          <w:p w:rsidR="0006339B" w:rsidRPr="00D5126A" w:rsidRDefault="0006339B" w:rsidP="00A03EAD">
            <w:pPr>
              <w:spacing w:before="240"/>
              <w:jc w:val="center"/>
              <w:rPr>
                <w:rFonts w:ascii="Calibri" w:hAnsi="Calibri"/>
                <w:sz w:val="18"/>
              </w:rPr>
            </w:pPr>
            <w:r w:rsidRPr="00D5126A">
              <w:rPr>
                <w:sz w:val="18"/>
              </w:rPr>
              <w:t>-1.3%</w:t>
            </w:r>
          </w:p>
        </w:tc>
      </w:tr>
    </w:tbl>
    <w:p w:rsidR="0006339B" w:rsidRPr="00D5126A" w:rsidRDefault="0006339B" w:rsidP="0006339B">
      <w:pPr>
        <w:spacing w:before="120" w:after="0"/>
        <w:jc w:val="right"/>
        <w:rPr>
          <w:i/>
          <w:sz w:val="18"/>
        </w:rPr>
      </w:pPr>
      <w:r w:rsidRPr="00D5126A">
        <w:rPr>
          <w:i/>
          <w:sz w:val="18"/>
        </w:rPr>
        <w:t>Source: Infometrics</w:t>
      </w:r>
    </w:p>
    <w:p w:rsidR="0006339B" w:rsidRPr="00D5126A" w:rsidRDefault="0006339B" w:rsidP="00846C1B">
      <w:pPr>
        <w:pStyle w:val="Heading4"/>
        <w:rPr>
          <w:rFonts w:eastAsiaTheme="minorHAnsi"/>
        </w:rPr>
      </w:pPr>
      <w:bookmarkStart w:id="37" w:name="_Toc12439350"/>
      <w:bookmarkStart w:id="38" w:name="_Toc12530258"/>
      <w:r w:rsidRPr="00D5126A">
        <w:rPr>
          <w:rFonts w:eastAsiaTheme="minorHAnsi"/>
        </w:rPr>
        <w:t>GDP growth</w:t>
      </w:r>
      <w:bookmarkEnd w:id="37"/>
      <w:bookmarkEnd w:id="38"/>
    </w:p>
    <w:p w:rsidR="0006339B" w:rsidRPr="00D5126A" w:rsidRDefault="0006339B" w:rsidP="0006339B">
      <w:pPr>
        <w:spacing w:after="0" w:line="240" w:lineRule="auto"/>
      </w:pPr>
      <w:r w:rsidRPr="00D5126A">
        <w:rPr>
          <w:sz w:val="20"/>
        </w:rPr>
        <w:t>Our GDP growth over the last 3 years sits at a healthy 3.5</w:t>
      </w:r>
      <w:r w:rsidR="00C54A41">
        <w:rPr>
          <w:sz w:val="20"/>
        </w:rPr>
        <w:t xml:space="preserve"> percent</w:t>
      </w:r>
      <w:r w:rsidRPr="00D5126A">
        <w:rPr>
          <w:sz w:val="20"/>
        </w:rPr>
        <w:t>, about mid-pack compared to other large cities.</w:t>
      </w:r>
    </w:p>
    <w:tbl>
      <w:tblPr>
        <w:tblStyle w:val="TableGrid"/>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93"/>
        <w:gridCol w:w="1289"/>
        <w:gridCol w:w="1027"/>
        <w:gridCol w:w="1043"/>
        <w:gridCol w:w="1129"/>
        <w:gridCol w:w="1337"/>
      </w:tblGrid>
      <w:tr w:rsidR="0006339B" w:rsidRPr="00D5126A" w:rsidTr="0006339B">
        <w:tc>
          <w:tcPr>
            <w:tcW w:w="1293" w:type="dxa"/>
          </w:tcPr>
          <w:p w:rsidR="0006339B" w:rsidRPr="00D5126A" w:rsidRDefault="0006339B" w:rsidP="00A03EAD">
            <w:pPr>
              <w:spacing w:before="240"/>
              <w:rPr>
                <w:rFonts w:ascii="Calibri" w:hAnsi="Calibri"/>
                <w:sz w:val="18"/>
              </w:rPr>
            </w:pPr>
          </w:p>
        </w:tc>
        <w:tc>
          <w:tcPr>
            <w:tcW w:w="1289" w:type="dxa"/>
            <w:hideMark/>
          </w:tcPr>
          <w:p w:rsidR="0006339B" w:rsidRPr="00D5126A" w:rsidRDefault="0006339B" w:rsidP="00A03EAD">
            <w:pPr>
              <w:spacing w:before="240"/>
              <w:jc w:val="center"/>
              <w:rPr>
                <w:rFonts w:ascii="Calibri" w:hAnsi="Calibri"/>
                <w:b/>
                <w:color w:val="548DD4" w:themeColor="text2" w:themeTint="99"/>
                <w:sz w:val="18"/>
              </w:rPr>
            </w:pPr>
            <w:r w:rsidRPr="00D5126A">
              <w:rPr>
                <w:b/>
                <w:color w:val="548DD4" w:themeColor="text2" w:themeTint="99"/>
                <w:sz w:val="18"/>
              </w:rPr>
              <w:t>Wellington</w:t>
            </w:r>
          </w:p>
        </w:tc>
        <w:tc>
          <w:tcPr>
            <w:tcW w:w="1027" w:type="dxa"/>
            <w:hideMark/>
          </w:tcPr>
          <w:p w:rsidR="0006339B" w:rsidRPr="00D5126A" w:rsidRDefault="0006339B" w:rsidP="00A03EAD">
            <w:pPr>
              <w:spacing w:before="240"/>
              <w:jc w:val="center"/>
              <w:rPr>
                <w:rFonts w:ascii="Calibri" w:hAnsi="Calibri"/>
                <w:b/>
                <w:color w:val="548DD4" w:themeColor="text2" w:themeTint="99"/>
                <w:sz w:val="18"/>
              </w:rPr>
            </w:pPr>
            <w:r w:rsidRPr="00D5126A">
              <w:rPr>
                <w:b/>
                <w:color w:val="548DD4" w:themeColor="text2" w:themeTint="99"/>
                <w:sz w:val="18"/>
              </w:rPr>
              <w:t>Tauranga</w:t>
            </w:r>
          </w:p>
        </w:tc>
        <w:tc>
          <w:tcPr>
            <w:tcW w:w="1043" w:type="dxa"/>
            <w:hideMark/>
          </w:tcPr>
          <w:p w:rsidR="0006339B" w:rsidRPr="00D5126A" w:rsidRDefault="0006339B" w:rsidP="00A03EAD">
            <w:pPr>
              <w:spacing w:before="240"/>
              <w:jc w:val="center"/>
              <w:rPr>
                <w:rFonts w:ascii="Calibri" w:hAnsi="Calibri"/>
                <w:b/>
                <w:color w:val="548DD4" w:themeColor="text2" w:themeTint="99"/>
                <w:sz w:val="18"/>
              </w:rPr>
            </w:pPr>
            <w:r w:rsidRPr="00D5126A">
              <w:rPr>
                <w:b/>
                <w:color w:val="548DD4" w:themeColor="text2" w:themeTint="99"/>
                <w:sz w:val="18"/>
              </w:rPr>
              <w:t>Hamilton</w:t>
            </w:r>
          </w:p>
        </w:tc>
        <w:tc>
          <w:tcPr>
            <w:tcW w:w="1129" w:type="dxa"/>
            <w:hideMark/>
          </w:tcPr>
          <w:p w:rsidR="0006339B" w:rsidRPr="00D5126A" w:rsidRDefault="0006339B" w:rsidP="00A03EAD">
            <w:pPr>
              <w:spacing w:before="240"/>
              <w:jc w:val="center"/>
              <w:rPr>
                <w:rFonts w:ascii="Calibri" w:hAnsi="Calibri"/>
                <w:b/>
                <w:color w:val="548DD4" w:themeColor="text2" w:themeTint="99"/>
                <w:sz w:val="18"/>
              </w:rPr>
            </w:pPr>
            <w:r w:rsidRPr="00D5126A">
              <w:rPr>
                <w:b/>
                <w:color w:val="548DD4" w:themeColor="text2" w:themeTint="99"/>
                <w:sz w:val="18"/>
              </w:rPr>
              <w:t>Auckland</w:t>
            </w:r>
          </w:p>
        </w:tc>
        <w:tc>
          <w:tcPr>
            <w:tcW w:w="1337" w:type="dxa"/>
            <w:hideMark/>
          </w:tcPr>
          <w:p w:rsidR="0006339B" w:rsidRPr="00D5126A" w:rsidRDefault="0006339B" w:rsidP="00A03EAD">
            <w:pPr>
              <w:spacing w:before="240"/>
              <w:jc w:val="center"/>
              <w:rPr>
                <w:rFonts w:ascii="Calibri" w:hAnsi="Calibri"/>
                <w:b/>
                <w:color w:val="548DD4" w:themeColor="text2" w:themeTint="99"/>
                <w:sz w:val="18"/>
              </w:rPr>
            </w:pPr>
            <w:r w:rsidRPr="00D5126A">
              <w:rPr>
                <w:b/>
                <w:color w:val="548DD4" w:themeColor="text2" w:themeTint="99"/>
                <w:sz w:val="18"/>
              </w:rPr>
              <w:t>Christchurch</w:t>
            </w:r>
          </w:p>
        </w:tc>
      </w:tr>
      <w:tr w:rsidR="0006339B" w:rsidRPr="00D5126A" w:rsidTr="0006339B">
        <w:tc>
          <w:tcPr>
            <w:tcW w:w="1293" w:type="dxa"/>
            <w:hideMark/>
          </w:tcPr>
          <w:p w:rsidR="0006339B" w:rsidRPr="00D5126A" w:rsidRDefault="0006339B" w:rsidP="00A03EAD">
            <w:pPr>
              <w:spacing w:before="240"/>
              <w:jc w:val="center"/>
              <w:rPr>
                <w:b/>
                <w:sz w:val="18"/>
              </w:rPr>
            </w:pPr>
            <w:r w:rsidRPr="00D5126A">
              <w:rPr>
                <w:b/>
                <w:sz w:val="18"/>
              </w:rPr>
              <w:t>Average growth rate per annum</w:t>
            </w:r>
          </w:p>
          <w:p w:rsidR="0006339B" w:rsidRPr="00D5126A" w:rsidRDefault="0006339B" w:rsidP="00A03EAD">
            <w:pPr>
              <w:spacing w:before="240"/>
              <w:jc w:val="center"/>
              <w:rPr>
                <w:rFonts w:ascii="Calibri" w:hAnsi="Calibri"/>
                <w:b/>
                <w:sz w:val="18"/>
              </w:rPr>
            </w:pPr>
            <w:r w:rsidRPr="00D5126A">
              <w:rPr>
                <w:b/>
                <w:sz w:val="18"/>
              </w:rPr>
              <w:t>2016-2018</w:t>
            </w:r>
          </w:p>
        </w:tc>
        <w:tc>
          <w:tcPr>
            <w:tcW w:w="1289" w:type="dxa"/>
            <w:vAlign w:val="center"/>
          </w:tcPr>
          <w:p w:rsidR="0006339B" w:rsidRPr="00D5126A" w:rsidRDefault="0006339B" w:rsidP="00A03EAD">
            <w:pPr>
              <w:spacing w:before="240"/>
              <w:jc w:val="center"/>
              <w:rPr>
                <w:sz w:val="18"/>
              </w:rPr>
            </w:pPr>
          </w:p>
          <w:p w:rsidR="0006339B" w:rsidRPr="00D5126A" w:rsidRDefault="00C53DF2" w:rsidP="00A03EAD">
            <w:pPr>
              <w:spacing w:before="240"/>
              <w:jc w:val="center"/>
              <w:rPr>
                <w:sz w:val="18"/>
              </w:rPr>
            </w:pPr>
            <w:r>
              <w:rPr>
                <w:sz w:val="18"/>
              </w:rPr>
              <w:t>3.2</w:t>
            </w:r>
            <w:r w:rsidR="0006339B" w:rsidRPr="00D5126A">
              <w:rPr>
                <w:sz w:val="18"/>
              </w:rPr>
              <w:t>%</w:t>
            </w:r>
          </w:p>
          <w:p w:rsidR="0006339B" w:rsidRPr="00D5126A" w:rsidRDefault="0006339B" w:rsidP="00A03EAD">
            <w:pPr>
              <w:spacing w:before="240"/>
              <w:jc w:val="center"/>
              <w:rPr>
                <w:rFonts w:ascii="Calibri" w:hAnsi="Calibri"/>
                <w:sz w:val="18"/>
              </w:rPr>
            </w:pPr>
          </w:p>
        </w:tc>
        <w:tc>
          <w:tcPr>
            <w:tcW w:w="1027" w:type="dxa"/>
            <w:vAlign w:val="center"/>
          </w:tcPr>
          <w:p w:rsidR="0006339B" w:rsidRPr="00D5126A" w:rsidRDefault="0006339B" w:rsidP="00A03EAD">
            <w:pPr>
              <w:spacing w:before="240"/>
              <w:jc w:val="center"/>
              <w:rPr>
                <w:sz w:val="18"/>
              </w:rPr>
            </w:pPr>
          </w:p>
          <w:p w:rsidR="0006339B" w:rsidRPr="00D5126A" w:rsidRDefault="0006339B" w:rsidP="00A03EAD">
            <w:pPr>
              <w:spacing w:before="240"/>
              <w:jc w:val="center"/>
              <w:rPr>
                <w:sz w:val="18"/>
              </w:rPr>
            </w:pPr>
            <w:r w:rsidRPr="00D5126A">
              <w:rPr>
                <w:sz w:val="18"/>
              </w:rPr>
              <w:t>6.0%</w:t>
            </w:r>
          </w:p>
          <w:p w:rsidR="0006339B" w:rsidRPr="00D5126A" w:rsidRDefault="0006339B" w:rsidP="00A03EAD">
            <w:pPr>
              <w:spacing w:before="240"/>
              <w:jc w:val="center"/>
              <w:rPr>
                <w:rFonts w:ascii="Calibri" w:hAnsi="Calibri"/>
                <w:sz w:val="18"/>
              </w:rPr>
            </w:pPr>
          </w:p>
        </w:tc>
        <w:tc>
          <w:tcPr>
            <w:tcW w:w="1043" w:type="dxa"/>
            <w:vAlign w:val="center"/>
            <w:hideMark/>
          </w:tcPr>
          <w:p w:rsidR="0006339B" w:rsidRPr="00D5126A" w:rsidRDefault="00C53DF2" w:rsidP="00A03EAD">
            <w:pPr>
              <w:spacing w:before="240"/>
              <w:jc w:val="center"/>
              <w:rPr>
                <w:rFonts w:ascii="Calibri" w:hAnsi="Calibri"/>
                <w:sz w:val="18"/>
              </w:rPr>
            </w:pPr>
            <w:r>
              <w:rPr>
                <w:sz w:val="18"/>
              </w:rPr>
              <w:t>2.9</w:t>
            </w:r>
            <w:r w:rsidR="0006339B" w:rsidRPr="00D5126A">
              <w:rPr>
                <w:sz w:val="18"/>
              </w:rPr>
              <w:t>%</w:t>
            </w:r>
          </w:p>
        </w:tc>
        <w:tc>
          <w:tcPr>
            <w:tcW w:w="1129" w:type="dxa"/>
            <w:vAlign w:val="center"/>
          </w:tcPr>
          <w:p w:rsidR="0006339B" w:rsidRPr="00D5126A" w:rsidRDefault="0006339B" w:rsidP="00A03EAD">
            <w:pPr>
              <w:spacing w:before="240"/>
              <w:jc w:val="center"/>
              <w:rPr>
                <w:sz w:val="18"/>
              </w:rPr>
            </w:pPr>
          </w:p>
          <w:p w:rsidR="0006339B" w:rsidRPr="00D5126A" w:rsidRDefault="00C53DF2" w:rsidP="00A03EAD">
            <w:pPr>
              <w:spacing w:before="240"/>
              <w:jc w:val="center"/>
              <w:rPr>
                <w:sz w:val="18"/>
              </w:rPr>
            </w:pPr>
            <w:r>
              <w:rPr>
                <w:sz w:val="18"/>
              </w:rPr>
              <w:t>4.4</w:t>
            </w:r>
            <w:r w:rsidR="0006339B" w:rsidRPr="00D5126A">
              <w:rPr>
                <w:sz w:val="18"/>
              </w:rPr>
              <w:t>%</w:t>
            </w:r>
          </w:p>
          <w:p w:rsidR="0006339B" w:rsidRPr="00D5126A" w:rsidRDefault="0006339B" w:rsidP="00A03EAD">
            <w:pPr>
              <w:spacing w:before="240"/>
              <w:jc w:val="center"/>
              <w:rPr>
                <w:rFonts w:ascii="Calibri" w:hAnsi="Calibri"/>
                <w:sz w:val="18"/>
              </w:rPr>
            </w:pPr>
          </w:p>
        </w:tc>
        <w:tc>
          <w:tcPr>
            <w:tcW w:w="1337" w:type="dxa"/>
            <w:vAlign w:val="center"/>
            <w:hideMark/>
          </w:tcPr>
          <w:p w:rsidR="0006339B" w:rsidRPr="00D5126A" w:rsidRDefault="00C53DF2" w:rsidP="00A03EAD">
            <w:pPr>
              <w:spacing w:before="240"/>
              <w:jc w:val="center"/>
              <w:rPr>
                <w:rFonts w:ascii="Calibri" w:hAnsi="Calibri"/>
                <w:sz w:val="18"/>
              </w:rPr>
            </w:pPr>
            <w:r>
              <w:rPr>
                <w:sz w:val="18"/>
              </w:rPr>
              <w:t>2.8</w:t>
            </w:r>
            <w:r w:rsidR="0006339B" w:rsidRPr="00D5126A">
              <w:rPr>
                <w:sz w:val="18"/>
              </w:rPr>
              <w:t>%</w:t>
            </w:r>
          </w:p>
        </w:tc>
      </w:tr>
    </w:tbl>
    <w:p w:rsidR="0006339B" w:rsidRPr="00D5126A" w:rsidRDefault="0006339B" w:rsidP="0006339B">
      <w:pPr>
        <w:spacing w:after="0" w:line="240" w:lineRule="auto"/>
        <w:jc w:val="right"/>
        <w:rPr>
          <w:rFonts w:ascii="Calibri" w:hAnsi="Calibri"/>
          <w:i/>
          <w:sz w:val="18"/>
        </w:rPr>
      </w:pPr>
      <w:r w:rsidRPr="00D5126A">
        <w:rPr>
          <w:i/>
          <w:sz w:val="18"/>
        </w:rPr>
        <w:t>Source: Infometrics</w:t>
      </w:r>
    </w:p>
    <w:p w:rsidR="0006339B" w:rsidRPr="00D5126A" w:rsidRDefault="0006339B" w:rsidP="00846C1B">
      <w:pPr>
        <w:pStyle w:val="Heading4"/>
        <w:rPr>
          <w:rFonts w:eastAsiaTheme="minorHAnsi"/>
        </w:rPr>
      </w:pPr>
      <w:bookmarkStart w:id="39" w:name="_Toc12439351"/>
      <w:bookmarkStart w:id="40" w:name="_Toc12530259"/>
      <w:r w:rsidRPr="00D5126A">
        <w:rPr>
          <w:rFonts w:eastAsiaTheme="minorHAnsi"/>
        </w:rPr>
        <w:t xml:space="preserve">Carbon </w:t>
      </w:r>
      <w:bookmarkEnd w:id="39"/>
      <w:r w:rsidRPr="00D5126A">
        <w:rPr>
          <w:rFonts w:eastAsiaTheme="minorHAnsi"/>
        </w:rPr>
        <w:t>emissions</w:t>
      </w:r>
      <w:bookmarkEnd w:id="40"/>
    </w:p>
    <w:p w:rsidR="0006339B" w:rsidRPr="00D5126A" w:rsidRDefault="0006339B" w:rsidP="0006339B">
      <w:pPr>
        <w:shd w:val="clear" w:color="auto" w:fill="FFFFFF"/>
        <w:spacing w:after="0" w:line="240" w:lineRule="auto"/>
        <w:rPr>
          <w:rFonts w:eastAsiaTheme="minorHAnsi" w:cstheme="minorHAnsi"/>
          <w:bCs/>
          <w:sz w:val="20"/>
          <w:szCs w:val="20"/>
        </w:rPr>
      </w:pPr>
      <w:r w:rsidRPr="00D5126A">
        <w:rPr>
          <w:sz w:val="20"/>
        </w:rPr>
        <w:t>Wellington’s c</w:t>
      </w:r>
      <w:r w:rsidRPr="00D5126A">
        <w:rPr>
          <w:rFonts w:cstheme="minorHAnsi"/>
          <w:bCs/>
          <w:sz w:val="20"/>
          <w:szCs w:val="20"/>
        </w:rPr>
        <w:t xml:space="preserve">arbon emissions peaked in 2007/2008 </w:t>
      </w:r>
      <w:r w:rsidRPr="00D5126A">
        <w:rPr>
          <w:rFonts w:cstheme="minorHAnsi"/>
          <w:sz w:val="20"/>
          <w:szCs w:val="20"/>
        </w:rPr>
        <w:t>(total net emissions</w:t>
      </w:r>
      <w:r w:rsidR="005657E5">
        <w:rPr>
          <w:rFonts w:cstheme="minorHAnsi"/>
          <w:sz w:val="20"/>
          <w:szCs w:val="20"/>
        </w:rPr>
        <w:t>:</w:t>
      </w:r>
      <w:r w:rsidR="005657E5" w:rsidRPr="00D5126A">
        <w:rPr>
          <w:rFonts w:cstheme="minorHAnsi"/>
          <w:sz w:val="20"/>
          <w:szCs w:val="20"/>
        </w:rPr>
        <w:t xml:space="preserve"> 1,271,911</w:t>
      </w:r>
      <w:r w:rsidRPr="00D5126A">
        <w:rPr>
          <w:rFonts w:cstheme="minorHAnsi"/>
          <w:sz w:val="20"/>
          <w:szCs w:val="20"/>
        </w:rPr>
        <w:t>) and have decreased substantially since then to 1,084,979 net emissions</w:t>
      </w:r>
      <w:r w:rsidR="004146BD">
        <w:rPr>
          <w:rFonts w:cstheme="minorHAnsi"/>
          <w:sz w:val="20"/>
          <w:szCs w:val="20"/>
        </w:rPr>
        <w:t xml:space="preserve"> in </w:t>
      </w:r>
      <w:r w:rsidR="004146BD" w:rsidRPr="00D5126A">
        <w:rPr>
          <w:rFonts w:cstheme="minorHAnsi"/>
          <w:sz w:val="20"/>
          <w:szCs w:val="20"/>
        </w:rPr>
        <w:t>2014/15</w:t>
      </w:r>
      <w:r w:rsidR="004146BD">
        <w:rPr>
          <w:rFonts w:cstheme="minorHAnsi"/>
          <w:sz w:val="20"/>
          <w:szCs w:val="20"/>
        </w:rPr>
        <w:t>. This is a 15</w:t>
      </w:r>
      <w:r w:rsidR="00C54A41">
        <w:rPr>
          <w:rFonts w:cstheme="minorHAnsi"/>
          <w:sz w:val="20"/>
          <w:szCs w:val="20"/>
        </w:rPr>
        <w:t xml:space="preserve"> percent</w:t>
      </w:r>
      <w:r w:rsidR="004146BD">
        <w:rPr>
          <w:rFonts w:cstheme="minorHAnsi"/>
          <w:sz w:val="20"/>
          <w:szCs w:val="20"/>
        </w:rPr>
        <w:t xml:space="preserve"> decrease.</w:t>
      </w:r>
    </w:p>
    <w:p w:rsidR="0006339B" w:rsidRPr="00D5126A" w:rsidRDefault="0006339B" w:rsidP="0006339B">
      <w:pPr>
        <w:shd w:val="clear" w:color="auto" w:fill="FFFFFF"/>
        <w:spacing w:after="0" w:line="240" w:lineRule="auto"/>
        <w:rPr>
          <w:rStyle w:val="Hyperlink"/>
          <w:rFonts w:eastAsia="Times New Roman"/>
          <w:szCs w:val="26"/>
          <w:lang w:eastAsia="en-NZ"/>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96"/>
        <w:gridCol w:w="1274"/>
        <w:gridCol w:w="1172"/>
        <w:gridCol w:w="1167"/>
        <w:gridCol w:w="1165"/>
        <w:gridCol w:w="1388"/>
      </w:tblGrid>
      <w:tr w:rsidR="0006339B" w:rsidRPr="00D5126A" w:rsidTr="00C53DF2">
        <w:trPr>
          <w:trHeight w:val="162"/>
        </w:trPr>
        <w:tc>
          <w:tcPr>
            <w:tcW w:w="1196" w:type="dxa"/>
          </w:tcPr>
          <w:p w:rsidR="0006339B" w:rsidRPr="00D5126A" w:rsidRDefault="0006339B" w:rsidP="00A03EAD">
            <w:pPr>
              <w:spacing w:before="240"/>
              <w:rPr>
                <w:rFonts w:ascii="Calibri" w:hAnsi="Calibri"/>
                <w:sz w:val="18"/>
              </w:rPr>
            </w:pPr>
          </w:p>
        </w:tc>
        <w:tc>
          <w:tcPr>
            <w:tcW w:w="1274" w:type="dxa"/>
            <w:hideMark/>
          </w:tcPr>
          <w:p w:rsidR="0006339B" w:rsidRPr="00D5126A" w:rsidRDefault="0006339B" w:rsidP="00A03EAD">
            <w:pPr>
              <w:spacing w:before="240"/>
              <w:jc w:val="center"/>
              <w:rPr>
                <w:rFonts w:ascii="Calibri" w:hAnsi="Calibri"/>
                <w:b/>
                <w:color w:val="548DD4" w:themeColor="text2" w:themeTint="99"/>
                <w:sz w:val="18"/>
              </w:rPr>
            </w:pPr>
            <w:r w:rsidRPr="00D5126A">
              <w:rPr>
                <w:b/>
                <w:color w:val="548DD4" w:themeColor="text2" w:themeTint="99"/>
                <w:sz w:val="18"/>
              </w:rPr>
              <w:t>Wellington</w:t>
            </w:r>
          </w:p>
        </w:tc>
        <w:tc>
          <w:tcPr>
            <w:tcW w:w="1172" w:type="dxa"/>
            <w:hideMark/>
          </w:tcPr>
          <w:p w:rsidR="0006339B" w:rsidRPr="00D5126A" w:rsidRDefault="0006339B" w:rsidP="00A03EAD">
            <w:pPr>
              <w:spacing w:before="240"/>
              <w:jc w:val="center"/>
              <w:rPr>
                <w:rFonts w:ascii="Calibri" w:hAnsi="Calibri"/>
                <w:b/>
                <w:color w:val="548DD4" w:themeColor="text2" w:themeTint="99"/>
                <w:sz w:val="18"/>
              </w:rPr>
            </w:pPr>
            <w:r w:rsidRPr="00D5126A">
              <w:rPr>
                <w:b/>
                <w:color w:val="548DD4" w:themeColor="text2" w:themeTint="99"/>
                <w:sz w:val="18"/>
              </w:rPr>
              <w:t>Tauranga</w:t>
            </w:r>
          </w:p>
        </w:tc>
        <w:tc>
          <w:tcPr>
            <w:tcW w:w="1167" w:type="dxa"/>
            <w:hideMark/>
          </w:tcPr>
          <w:p w:rsidR="0006339B" w:rsidRPr="00D5126A" w:rsidRDefault="0006339B" w:rsidP="00A03EAD">
            <w:pPr>
              <w:spacing w:before="240"/>
              <w:jc w:val="center"/>
              <w:rPr>
                <w:rFonts w:ascii="Calibri" w:hAnsi="Calibri"/>
                <w:b/>
                <w:color w:val="548DD4" w:themeColor="text2" w:themeTint="99"/>
                <w:sz w:val="18"/>
              </w:rPr>
            </w:pPr>
            <w:r w:rsidRPr="00D5126A">
              <w:rPr>
                <w:b/>
                <w:color w:val="548DD4" w:themeColor="text2" w:themeTint="99"/>
                <w:sz w:val="18"/>
              </w:rPr>
              <w:t>Dunedin</w:t>
            </w:r>
          </w:p>
        </w:tc>
        <w:tc>
          <w:tcPr>
            <w:tcW w:w="1165" w:type="dxa"/>
            <w:hideMark/>
          </w:tcPr>
          <w:p w:rsidR="0006339B" w:rsidRPr="00D5126A" w:rsidRDefault="0006339B" w:rsidP="00A03EAD">
            <w:pPr>
              <w:spacing w:before="240"/>
              <w:jc w:val="center"/>
              <w:rPr>
                <w:rFonts w:ascii="Calibri" w:hAnsi="Calibri"/>
                <w:b/>
                <w:color w:val="548DD4" w:themeColor="text2" w:themeTint="99"/>
                <w:sz w:val="18"/>
              </w:rPr>
            </w:pPr>
            <w:r w:rsidRPr="00D5126A">
              <w:rPr>
                <w:b/>
                <w:color w:val="548DD4" w:themeColor="text2" w:themeTint="99"/>
                <w:sz w:val="18"/>
              </w:rPr>
              <w:t>Auckland</w:t>
            </w:r>
          </w:p>
        </w:tc>
        <w:tc>
          <w:tcPr>
            <w:tcW w:w="1388" w:type="dxa"/>
            <w:hideMark/>
          </w:tcPr>
          <w:p w:rsidR="0006339B" w:rsidRPr="00D5126A" w:rsidRDefault="0006339B" w:rsidP="00A03EAD">
            <w:pPr>
              <w:spacing w:before="240"/>
              <w:jc w:val="center"/>
              <w:rPr>
                <w:rFonts w:ascii="Calibri" w:hAnsi="Calibri"/>
                <w:b/>
                <w:color w:val="548DD4" w:themeColor="text2" w:themeTint="99"/>
                <w:sz w:val="18"/>
              </w:rPr>
            </w:pPr>
            <w:r w:rsidRPr="00D5126A">
              <w:rPr>
                <w:b/>
                <w:color w:val="548DD4" w:themeColor="text2" w:themeTint="99"/>
                <w:sz w:val="18"/>
              </w:rPr>
              <w:t>Christchurch</w:t>
            </w:r>
          </w:p>
        </w:tc>
      </w:tr>
      <w:tr w:rsidR="0006339B" w:rsidRPr="00D5126A" w:rsidTr="00C53DF2">
        <w:trPr>
          <w:trHeight w:val="1053"/>
        </w:trPr>
        <w:tc>
          <w:tcPr>
            <w:tcW w:w="1196" w:type="dxa"/>
          </w:tcPr>
          <w:p w:rsidR="0006339B" w:rsidRPr="00D5126A" w:rsidRDefault="0006339B" w:rsidP="00A03EAD">
            <w:pPr>
              <w:spacing w:before="240"/>
              <w:jc w:val="center"/>
              <w:rPr>
                <w:b/>
                <w:sz w:val="18"/>
              </w:rPr>
            </w:pPr>
            <w:r w:rsidRPr="00D5126A">
              <w:rPr>
                <w:b/>
                <w:sz w:val="18"/>
              </w:rPr>
              <w:t>Carbon emissions per capita</w:t>
            </w:r>
          </w:p>
          <w:p w:rsidR="0006339B" w:rsidRPr="00D5126A" w:rsidRDefault="0006339B" w:rsidP="00A03EAD">
            <w:pPr>
              <w:spacing w:before="240"/>
              <w:rPr>
                <w:rFonts w:ascii="Calibri" w:hAnsi="Calibri"/>
                <w:b/>
                <w:sz w:val="18"/>
              </w:rPr>
            </w:pPr>
            <w:r w:rsidRPr="00D5126A">
              <w:rPr>
                <w:b/>
                <w:sz w:val="18"/>
              </w:rPr>
              <w:t>2016/17</w:t>
            </w:r>
          </w:p>
        </w:tc>
        <w:tc>
          <w:tcPr>
            <w:tcW w:w="1274" w:type="dxa"/>
            <w:hideMark/>
          </w:tcPr>
          <w:p w:rsidR="0006339B" w:rsidRPr="00C53DF2" w:rsidRDefault="0006339B" w:rsidP="00C53DF2">
            <w:pPr>
              <w:spacing w:before="240"/>
              <w:jc w:val="center"/>
              <w:rPr>
                <w:b/>
                <w:sz w:val="14"/>
              </w:rPr>
            </w:pPr>
            <w:r w:rsidRPr="00D5126A">
              <w:rPr>
                <w:rFonts w:cstheme="minorHAnsi"/>
                <w:sz w:val="20"/>
                <w:szCs w:val="20"/>
              </w:rPr>
              <w:t>5.7</w:t>
            </w:r>
            <w:r w:rsidR="000674DC" w:rsidRPr="00457727">
              <w:rPr>
                <w:rFonts w:cstheme="minorHAnsi"/>
                <w:sz w:val="28"/>
                <w:szCs w:val="20"/>
              </w:rPr>
              <w:t xml:space="preserve"> </w:t>
            </w:r>
            <w:r w:rsidR="00C53DF2" w:rsidRPr="00457727">
              <w:rPr>
                <w:sz w:val="20"/>
              </w:rPr>
              <w:t>t</w:t>
            </w:r>
            <w:r w:rsidR="000674DC" w:rsidRPr="00457727">
              <w:rPr>
                <w:sz w:val="20"/>
              </w:rPr>
              <w:t>onnes</w:t>
            </w:r>
            <w:r w:rsidR="00C53DF2">
              <w:rPr>
                <w:b/>
                <w:sz w:val="14"/>
              </w:rPr>
              <w:br/>
              <w:t>CO</w:t>
            </w:r>
            <w:r w:rsidR="00C53DF2" w:rsidRPr="00457727">
              <w:rPr>
                <w:b/>
                <w:color w:val="FF0000"/>
                <w:sz w:val="14"/>
                <w:vertAlign w:val="superscript"/>
              </w:rPr>
              <w:t>2</w:t>
            </w:r>
            <w:r w:rsidR="00C53DF2">
              <w:rPr>
                <w:b/>
                <w:sz w:val="14"/>
              </w:rPr>
              <w:t xml:space="preserve"> per </w:t>
            </w:r>
            <w:r w:rsidRPr="00D5126A">
              <w:rPr>
                <w:b/>
                <w:sz w:val="14"/>
              </w:rPr>
              <w:t>person</w:t>
            </w:r>
            <w:r w:rsidR="00C53DF2">
              <w:rPr>
                <w:b/>
                <w:sz w:val="14"/>
              </w:rPr>
              <w:t xml:space="preserve"> per </w:t>
            </w:r>
            <w:r w:rsidRPr="00D5126A">
              <w:rPr>
                <w:b/>
                <w:sz w:val="14"/>
              </w:rPr>
              <w:t>year</w:t>
            </w:r>
          </w:p>
        </w:tc>
        <w:tc>
          <w:tcPr>
            <w:tcW w:w="1172" w:type="dxa"/>
            <w:hideMark/>
          </w:tcPr>
          <w:p w:rsidR="0006339B" w:rsidRPr="00D5126A" w:rsidRDefault="0006339B" w:rsidP="00A03EAD">
            <w:pPr>
              <w:spacing w:before="240"/>
              <w:jc w:val="center"/>
              <w:rPr>
                <w:rFonts w:ascii="Calibri" w:hAnsi="Calibri"/>
                <w:sz w:val="18"/>
              </w:rPr>
            </w:pPr>
            <w:r w:rsidRPr="00D5126A">
              <w:rPr>
                <w:sz w:val="18"/>
              </w:rPr>
              <w:t>5.9</w:t>
            </w:r>
            <w:r w:rsidR="000674DC">
              <w:rPr>
                <w:sz w:val="18"/>
              </w:rPr>
              <w:t xml:space="preserve"> </w:t>
            </w:r>
            <w:r w:rsidR="00C53DF2">
              <w:rPr>
                <w:sz w:val="18"/>
              </w:rPr>
              <w:t>t</w:t>
            </w:r>
            <w:r w:rsidR="000674DC">
              <w:rPr>
                <w:sz w:val="18"/>
              </w:rPr>
              <w:t>onnes</w:t>
            </w:r>
          </w:p>
        </w:tc>
        <w:tc>
          <w:tcPr>
            <w:tcW w:w="1167" w:type="dxa"/>
            <w:hideMark/>
          </w:tcPr>
          <w:p w:rsidR="0006339B" w:rsidRPr="00D5126A" w:rsidRDefault="0006339B" w:rsidP="00A03EAD">
            <w:pPr>
              <w:spacing w:before="240"/>
              <w:jc w:val="center"/>
              <w:rPr>
                <w:rFonts w:ascii="Calibri" w:hAnsi="Calibri"/>
                <w:sz w:val="18"/>
              </w:rPr>
            </w:pPr>
            <w:r w:rsidRPr="00D5126A">
              <w:rPr>
                <w:sz w:val="18"/>
              </w:rPr>
              <w:t>11.4</w:t>
            </w:r>
            <w:r w:rsidR="000674DC">
              <w:rPr>
                <w:sz w:val="18"/>
              </w:rPr>
              <w:t xml:space="preserve"> </w:t>
            </w:r>
            <w:r w:rsidR="00C53DF2">
              <w:rPr>
                <w:sz w:val="18"/>
              </w:rPr>
              <w:t>t</w:t>
            </w:r>
            <w:r w:rsidR="000674DC">
              <w:rPr>
                <w:sz w:val="18"/>
              </w:rPr>
              <w:t>onnes</w:t>
            </w:r>
          </w:p>
        </w:tc>
        <w:tc>
          <w:tcPr>
            <w:tcW w:w="1165" w:type="dxa"/>
            <w:hideMark/>
          </w:tcPr>
          <w:p w:rsidR="0006339B" w:rsidRPr="00D5126A" w:rsidRDefault="0006339B" w:rsidP="00A03EAD">
            <w:pPr>
              <w:spacing w:before="240"/>
              <w:jc w:val="center"/>
              <w:rPr>
                <w:rFonts w:ascii="Calibri" w:hAnsi="Calibri"/>
                <w:sz w:val="18"/>
              </w:rPr>
            </w:pPr>
            <w:r w:rsidRPr="00D5126A">
              <w:rPr>
                <w:sz w:val="18"/>
              </w:rPr>
              <w:t>7.9</w:t>
            </w:r>
            <w:r w:rsidR="000674DC">
              <w:rPr>
                <w:sz w:val="18"/>
              </w:rPr>
              <w:t xml:space="preserve"> </w:t>
            </w:r>
            <w:r w:rsidR="00C53DF2">
              <w:rPr>
                <w:sz w:val="18"/>
              </w:rPr>
              <w:t>t</w:t>
            </w:r>
            <w:r w:rsidR="000674DC">
              <w:rPr>
                <w:sz w:val="18"/>
              </w:rPr>
              <w:t>onnes</w:t>
            </w:r>
          </w:p>
        </w:tc>
        <w:tc>
          <w:tcPr>
            <w:tcW w:w="1388" w:type="dxa"/>
            <w:hideMark/>
          </w:tcPr>
          <w:p w:rsidR="0006339B" w:rsidRPr="00D5126A" w:rsidRDefault="0006339B" w:rsidP="00A03EAD">
            <w:pPr>
              <w:spacing w:before="240"/>
              <w:jc w:val="center"/>
              <w:rPr>
                <w:rFonts w:ascii="Calibri" w:hAnsi="Calibri"/>
                <w:sz w:val="18"/>
              </w:rPr>
            </w:pPr>
            <w:r w:rsidRPr="00D5126A">
              <w:rPr>
                <w:sz w:val="18"/>
              </w:rPr>
              <w:t>6.6</w:t>
            </w:r>
            <w:r w:rsidR="000674DC">
              <w:rPr>
                <w:sz w:val="18"/>
              </w:rPr>
              <w:t xml:space="preserve"> </w:t>
            </w:r>
            <w:r w:rsidR="00C53DF2">
              <w:rPr>
                <w:sz w:val="18"/>
              </w:rPr>
              <w:t>t</w:t>
            </w:r>
            <w:r w:rsidR="000674DC">
              <w:rPr>
                <w:sz w:val="18"/>
              </w:rPr>
              <w:t>onnes</w:t>
            </w:r>
          </w:p>
        </w:tc>
      </w:tr>
    </w:tbl>
    <w:p w:rsidR="0006339B" w:rsidRPr="00D5126A" w:rsidRDefault="0006339B" w:rsidP="0006339B">
      <w:pPr>
        <w:spacing w:after="0" w:line="240" w:lineRule="auto"/>
        <w:jc w:val="right"/>
        <w:rPr>
          <w:rFonts w:ascii="Calibri" w:eastAsiaTheme="minorHAnsi" w:hAnsi="Calibri"/>
          <w:i/>
          <w:sz w:val="18"/>
        </w:rPr>
      </w:pPr>
      <w:r w:rsidRPr="00D5126A">
        <w:rPr>
          <w:i/>
          <w:sz w:val="18"/>
        </w:rPr>
        <w:t>Source:  Christchurch Community Carbon Footprint 2016/17</w:t>
      </w:r>
    </w:p>
    <w:p w:rsidR="001855ED" w:rsidRPr="00D5126A" w:rsidRDefault="001855ED" w:rsidP="001855ED">
      <w:r w:rsidRPr="00D5126A">
        <w:br w:type="page"/>
      </w:r>
    </w:p>
    <w:p w:rsidR="001855ED" w:rsidRPr="00D5126A" w:rsidRDefault="001855ED" w:rsidP="00810293">
      <w:pPr>
        <w:pStyle w:val="Heading2"/>
      </w:pPr>
      <w:bookmarkStart w:id="41" w:name="_Toc19085779"/>
      <w:bookmarkStart w:id="42" w:name="_Toc23758589"/>
      <w:r w:rsidRPr="00D5126A">
        <w:lastRenderedPageBreak/>
        <w:t>Challenges our city faces</w:t>
      </w:r>
      <w:bookmarkEnd w:id="41"/>
      <w:bookmarkEnd w:id="42"/>
    </w:p>
    <w:p w:rsidR="001855ED" w:rsidRPr="00D5126A" w:rsidRDefault="001855ED" w:rsidP="008229C4">
      <w:pPr>
        <w:spacing w:line="240" w:lineRule="auto"/>
      </w:pPr>
      <w:r w:rsidRPr="00D5126A">
        <w:t xml:space="preserve">Wellington offers a very high quality of life, provides a good range of quality services and facilities, and looks after its people and the environment, but there are always challenges to be addressed. </w:t>
      </w:r>
      <w:r w:rsidR="00F11B9D" w:rsidRPr="00D5126A">
        <w:t>Adaptability is the theme of this year’s r</w:t>
      </w:r>
      <w:r w:rsidR="008229C4" w:rsidRPr="00D5126A">
        <w:t xml:space="preserve">eport, because how we respond to </w:t>
      </w:r>
      <w:r w:rsidRPr="00D5126A">
        <w:t>challenges</w:t>
      </w:r>
      <w:r w:rsidR="008229C4" w:rsidRPr="00D5126A">
        <w:t xml:space="preserve"> is what</w:t>
      </w:r>
      <w:r w:rsidRPr="00D5126A">
        <w:t xml:space="preserve"> will impact the liveability of our city. Many of these are challenges we share with other cities in New Zealand, and indeed globally</w:t>
      </w:r>
      <w:r w:rsidR="009749D7" w:rsidRPr="00D5126A">
        <w:t>.</w:t>
      </w:r>
      <w:r w:rsidRPr="00D5126A">
        <w:t xml:space="preserve"> </w:t>
      </w:r>
    </w:p>
    <w:p w:rsidR="001855ED" w:rsidRPr="00D5126A" w:rsidRDefault="001855ED" w:rsidP="00AA2122">
      <w:pPr>
        <w:pStyle w:val="Heading3"/>
      </w:pPr>
      <w:bookmarkStart w:id="43" w:name="_Toc19085780"/>
      <w:r w:rsidRPr="00D5126A">
        <w:t xml:space="preserve">Operating in a </w:t>
      </w:r>
      <w:r w:rsidR="00457727">
        <w:t>g</w:t>
      </w:r>
      <w:r w:rsidRPr="00D5126A">
        <w:t xml:space="preserve">rowth </w:t>
      </w:r>
      <w:bookmarkEnd w:id="43"/>
      <w:r w:rsidR="00457727">
        <w:t>e</w:t>
      </w:r>
      <w:r w:rsidR="00457727" w:rsidRPr="00D5126A">
        <w:t>nvironment</w:t>
      </w:r>
    </w:p>
    <w:p w:rsidR="008229C4" w:rsidRPr="00D5126A" w:rsidRDefault="001855ED" w:rsidP="001855ED">
      <w:r w:rsidRPr="00D5126A">
        <w:t xml:space="preserve">A stronger economy and strong population growth has come with challenges. </w:t>
      </w:r>
      <w:r w:rsidR="008229C4" w:rsidRPr="00D5126A">
        <w:t>About 50,000 to 80,000 more people are expected to call Wellington home over the next 30 years. This will put pressure on transport, infrastructure, and housing affordability and supply</w:t>
      </w:r>
      <w:r w:rsidR="00457727">
        <w:t>,</w:t>
      </w:r>
      <w:r w:rsidR="008229C4" w:rsidRPr="00D5126A">
        <w:t xml:space="preserve"> particularly in the inner city.</w:t>
      </w:r>
    </w:p>
    <w:p w:rsidR="001855ED" w:rsidRPr="00D5126A" w:rsidRDefault="001855ED" w:rsidP="001855ED">
      <w:r w:rsidRPr="00D5126A">
        <w:t xml:space="preserve">The economic growth we’ve been working towards is occurring; GDP has been </w:t>
      </w:r>
      <w:r w:rsidR="009749D7" w:rsidRPr="00D5126A">
        <w:t>strong for</w:t>
      </w:r>
      <w:r w:rsidRPr="00D5126A">
        <w:t xml:space="preserve"> the past three years, unemployment is low, and house prices have significantly increased. </w:t>
      </w:r>
      <w:r w:rsidR="008229C4" w:rsidRPr="00D5126A">
        <w:t xml:space="preserve">However, </w:t>
      </w:r>
      <w:r w:rsidRPr="00D5126A">
        <w:t>there are significant labour and skills shortages in key industry sectors. This is particularly felt at all levels of the construction sector – everyone from skilled trade workers and construction managers through to engineers are in high demand.</w:t>
      </w:r>
    </w:p>
    <w:p w:rsidR="008229C4" w:rsidRPr="00D5126A" w:rsidRDefault="008229C4" w:rsidP="001855ED">
      <w:r w:rsidRPr="00D5126A">
        <w:t>A focus for the past year has been starting conversations about how we should respond to the forecast growth</w:t>
      </w:r>
      <w:r w:rsidR="00A03EAD" w:rsidRPr="00D5126A">
        <w:t xml:space="preserve">. </w:t>
      </w:r>
      <w:r w:rsidR="00457727">
        <w:t xml:space="preserve">The </w:t>
      </w:r>
      <w:r w:rsidR="00A03EAD" w:rsidRPr="00D5126A">
        <w:t xml:space="preserve">Let’s Get Wellington </w:t>
      </w:r>
      <w:r w:rsidR="00A03EAD" w:rsidRPr="00E27622">
        <w:t xml:space="preserve">Moving (pg </w:t>
      </w:r>
      <w:r w:rsidR="00E27622">
        <w:t>153</w:t>
      </w:r>
      <w:r w:rsidR="00A03EAD" w:rsidRPr="00E27622">
        <w:t>)</w:t>
      </w:r>
      <w:r w:rsidR="00A03EAD" w:rsidRPr="00D5126A">
        <w:t xml:space="preserve"> and Planning for Growth </w:t>
      </w:r>
      <w:r w:rsidR="00A03EAD" w:rsidRPr="00E27622">
        <w:t xml:space="preserve">(pg </w:t>
      </w:r>
      <w:r w:rsidR="00E27622" w:rsidRPr="00E27622">
        <w:t>132</w:t>
      </w:r>
      <w:r w:rsidRPr="00E27622">
        <w:t>)</w:t>
      </w:r>
      <w:r w:rsidRPr="00D5126A">
        <w:t xml:space="preserve"> projects have been at the heart of that. </w:t>
      </w:r>
    </w:p>
    <w:p w:rsidR="001855ED" w:rsidRDefault="001855ED" w:rsidP="00AA2122">
      <w:pPr>
        <w:pStyle w:val="Heading3"/>
      </w:pPr>
      <w:bookmarkStart w:id="44" w:name="_Toc19085781"/>
      <w:r w:rsidRPr="00D5126A">
        <w:t>Resilience</w:t>
      </w:r>
      <w:r w:rsidR="00567666" w:rsidRPr="00D5126A">
        <w:t xml:space="preserve"> </w:t>
      </w:r>
      <w:r w:rsidR="0006147B" w:rsidRPr="00D5126A">
        <w:t>and</w:t>
      </w:r>
      <w:r w:rsidRPr="00D5126A">
        <w:t xml:space="preserve"> </w:t>
      </w:r>
      <w:r w:rsidR="00457727">
        <w:t>c</w:t>
      </w:r>
      <w:r w:rsidR="00457727" w:rsidRPr="00D5126A">
        <w:t xml:space="preserve">limate </w:t>
      </w:r>
      <w:bookmarkEnd w:id="44"/>
      <w:r w:rsidR="00457727">
        <w:t>c</w:t>
      </w:r>
      <w:r w:rsidR="00457727" w:rsidRPr="00D5126A">
        <w:t>hange</w:t>
      </w:r>
    </w:p>
    <w:p w:rsidR="008229C4" w:rsidRPr="00D5126A" w:rsidRDefault="008229C4" w:rsidP="00CE40EC">
      <w:pPr>
        <w:rPr>
          <w:rFonts w:ascii="Arial" w:hAnsi="Arial" w:cs="Arial"/>
          <w:szCs w:val="24"/>
        </w:rPr>
      </w:pPr>
      <w:r w:rsidRPr="00D5126A">
        <w:t>The Council has been proactively developing the city’s resilience for decades</w:t>
      </w:r>
      <w:r w:rsidRPr="00D5126A">
        <w:rPr>
          <w:rFonts w:ascii="Arial" w:hAnsi="Arial" w:cs="Arial"/>
          <w:szCs w:val="24"/>
        </w:rPr>
        <w:t xml:space="preserve">. </w:t>
      </w:r>
      <w:r w:rsidR="00CE40EC" w:rsidRPr="00D5126A">
        <w:rPr>
          <w:rFonts w:ascii="Arial" w:hAnsi="Arial" w:cs="Arial"/>
          <w:szCs w:val="24"/>
        </w:rPr>
        <w:t>The impact earthquakes</w:t>
      </w:r>
      <w:r w:rsidRPr="00D5126A">
        <w:rPr>
          <w:rFonts w:ascii="Arial" w:hAnsi="Arial" w:cs="Arial"/>
          <w:szCs w:val="24"/>
        </w:rPr>
        <w:t xml:space="preserve"> and climate change</w:t>
      </w:r>
      <w:r w:rsidR="00CE40EC" w:rsidRPr="00D5126A">
        <w:rPr>
          <w:rFonts w:ascii="Arial" w:hAnsi="Arial" w:cs="Arial"/>
          <w:szCs w:val="24"/>
        </w:rPr>
        <w:t xml:space="preserve"> can have on Wellington, its communities and </w:t>
      </w:r>
      <w:proofErr w:type="gramStart"/>
      <w:r w:rsidRPr="00D5126A">
        <w:rPr>
          <w:rFonts w:ascii="Arial" w:hAnsi="Arial" w:cs="Arial"/>
          <w:szCs w:val="24"/>
        </w:rPr>
        <w:t>buildings is</w:t>
      </w:r>
      <w:proofErr w:type="gramEnd"/>
      <w:r w:rsidR="00CE40EC" w:rsidRPr="00D5126A">
        <w:rPr>
          <w:rFonts w:ascii="Arial" w:hAnsi="Arial" w:cs="Arial"/>
          <w:szCs w:val="24"/>
        </w:rPr>
        <w:t xml:space="preserve"> not a new phenomenon. However, with every shake </w:t>
      </w:r>
      <w:r w:rsidRPr="00D5126A">
        <w:rPr>
          <w:rFonts w:ascii="Arial" w:hAnsi="Arial" w:cs="Arial"/>
          <w:szCs w:val="24"/>
        </w:rPr>
        <w:t xml:space="preserve">or storm </w:t>
      </w:r>
      <w:r w:rsidR="00CE40EC" w:rsidRPr="00D5126A">
        <w:rPr>
          <w:rFonts w:ascii="Arial" w:hAnsi="Arial" w:cs="Arial"/>
          <w:szCs w:val="24"/>
        </w:rPr>
        <w:t>we are learning more about our infrastructure, ou</w:t>
      </w:r>
      <w:r w:rsidRPr="00D5126A">
        <w:rPr>
          <w:rFonts w:ascii="Arial" w:hAnsi="Arial" w:cs="Arial"/>
          <w:szCs w:val="24"/>
        </w:rPr>
        <w:t xml:space="preserve">r land, our coast and its vulnerabilities. </w:t>
      </w:r>
    </w:p>
    <w:p w:rsidR="001855ED" w:rsidRPr="00D5126A" w:rsidRDefault="008229C4" w:rsidP="001855ED">
      <w:r w:rsidRPr="00D5126A">
        <w:t>In 2018/19</w:t>
      </w:r>
      <w:r w:rsidR="00594426" w:rsidRPr="00D5126A">
        <w:t>,</w:t>
      </w:r>
      <w:r w:rsidRPr="00D5126A">
        <w:t xml:space="preserve"> the legacy of the </w:t>
      </w:r>
      <w:r w:rsidR="00594426" w:rsidRPr="00D5126A">
        <w:t xml:space="preserve">2016 </w:t>
      </w:r>
      <w:r w:rsidRPr="00D5126A">
        <w:t xml:space="preserve">Kaikoura earthquake is still being addressed. </w:t>
      </w:r>
      <w:r w:rsidR="00594426" w:rsidRPr="00D5126A">
        <w:rPr>
          <w:rFonts w:ascii="Arial" w:hAnsi="Arial" w:cs="Arial"/>
          <w:szCs w:val="24"/>
        </w:rPr>
        <w:t>E</w:t>
      </w:r>
      <w:r w:rsidR="00CE40EC" w:rsidRPr="00D5126A">
        <w:rPr>
          <w:rFonts w:ascii="Arial" w:hAnsi="Arial" w:cs="Arial"/>
          <w:szCs w:val="24"/>
        </w:rPr>
        <w:t xml:space="preserve">ngineers have put in place more stringent guidelines, insurance costs have increased and earthquake </w:t>
      </w:r>
      <w:r w:rsidR="00CE40EC" w:rsidRPr="00E27622">
        <w:rPr>
          <w:rFonts w:ascii="Arial" w:hAnsi="Arial" w:cs="Arial"/>
          <w:szCs w:val="24"/>
        </w:rPr>
        <w:t xml:space="preserve">strengthening timeframes have been decreased. </w:t>
      </w:r>
      <w:r w:rsidR="0043433A" w:rsidRPr="00E27622">
        <w:t>Our Town Hall</w:t>
      </w:r>
      <w:r w:rsidR="00594426" w:rsidRPr="00E27622">
        <w:t xml:space="preserve"> and St James Theatre are </w:t>
      </w:r>
      <w:r w:rsidR="0043433A" w:rsidRPr="00E27622">
        <w:t>being strengthened</w:t>
      </w:r>
      <w:r w:rsidR="00A03EAD" w:rsidRPr="00E27622">
        <w:t xml:space="preserve"> (pg </w:t>
      </w:r>
      <w:r w:rsidR="00E27622" w:rsidRPr="00E27622">
        <w:t>133</w:t>
      </w:r>
      <w:r w:rsidR="00650F57" w:rsidRPr="00E27622">
        <w:t>)</w:t>
      </w:r>
      <w:r w:rsidR="00594426" w:rsidRPr="00E27622">
        <w:t xml:space="preserve">. We also closed the </w:t>
      </w:r>
      <w:r w:rsidR="0043433A" w:rsidRPr="00E27622">
        <w:t>Central Library in the interests of public safety while we</w:t>
      </w:r>
      <w:r w:rsidR="008B1100" w:rsidRPr="00E27622">
        <w:t>,</w:t>
      </w:r>
      <w:r w:rsidR="0043433A" w:rsidRPr="00E27622">
        <w:t xml:space="preserve"> with our community</w:t>
      </w:r>
      <w:r w:rsidR="008B1100" w:rsidRPr="00E27622">
        <w:t>,</w:t>
      </w:r>
      <w:r w:rsidR="0043433A" w:rsidRPr="00E27622">
        <w:t xml:space="preserve"> consider the options for the future</w:t>
      </w:r>
      <w:r w:rsidR="00A03EAD" w:rsidRPr="00E27622">
        <w:t xml:space="preserve"> (pg </w:t>
      </w:r>
      <w:r w:rsidR="00E27622" w:rsidRPr="00E27622">
        <w:t>107</w:t>
      </w:r>
      <w:r w:rsidR="00650F57" w:rsidRPr="00E27622">
        <w:t>)</w:t>
      </w:r>
      <w:r w:rsidR="0043433A" w:rsidRPr="00E27622">
        <w:t>.</w:t>
      </w:r>
    </w:p>
    <w:p w:rsidR="001855ED" w:rsidRPr="00D5126A" w:rsidRDefault="00A03EAD" w:rsidP="001855ED">
      <w:r w:rsidRPr="00D5126A">
        <w:t xml:space="preserve">We are also working to protect and enhance our natural environment to ensure we meet our obligations as kaitiaki (guardians) of the city’s environment. </w:t>
      </w:r>
      <w:r w:rsidR="008B1100" w:rsidRPr="00D5126A">
        <w:t>We have</w:t>
      </w:r>
      <w:r w:rsidR="00594426" w:rsidRPr="00D5126A">
        <w:t xml:space="preserve"> also</w:t>
      </w:r>
      <w:r w:rsidR="008B1100" w:rsidRPr="00D5126A">
        <w:t xml:space="preserve"> declared a Climate and Ecological Emergency</w:t>
      </w:r>
      <w:r w:rsidR="00457727">
        <w:t>,</w:t>
      </w:r>
      <w:r w:rsidR="008B1100" w:rsidRPr="00D5126A">
        <w:t xml:space="preserve"> recognising that the city is </w:t>
      </w:r>
      <w:r w:rsidR="001855ED" w:rsidRPr="00D5126A">
        <w:t xml:space="preserve">already </w:t>
      </w:r>
      <w:r w:rsidR="008B1100" w:rsidRPr="00D5126A">
        <w:t>seeing</w:t>
      </w:r>
      <w:r w:rsidR="001855ED" w:rsidRPr="00D5126A">
        <w:t xml:space="preserve"> the effects of more water in and around the city.</w:t>
      </w:r>
      <w:r w:rsidR="00650F57" w:rsidRPr="00D5126A">
        <w:t xml:space="preserve"> This</w:t>
      </w:r>
      <w:r w:rsidR="00457727">
        <w:t xml:space="preserve"> declaration</w:t>
      </w:r>
      <w:r w:rsidR="00650F57" w:rsidRPr="00D5126A">
        <w:t>, along with the adoption of Te Atakura – First to Zero, will shape our decisions in the future.</w:t>
      </w:r>
    </w:p>
    <w:p w:rsidR="001855ED" w:rsidRPr="00D5126A" w:rsidRDefault="001855ED" w:rsidP="00AA2122">
      <w:pPr>
        <w:pStyle w:val="Heading3"/>
      </w:pPr>
      <w:bookmarkStart w:id="45" w:name="_Toc19085782"/>
      <w:r w:rsidRPr="00D5126A">
        <w:t>Transport</w:t>
      </w:r>
      <w:bookmarkEnd w:id="45"/>
    </w:p>
    <w:p w:rsidR="001855ED" w:rsidRPr="00D5126A" w:rsidRDefault="001855ED" w:rsidP="001855ED">
      <w:r w:rsidRPr="00D5126A">
        <w:t xml:space="preserve">A good transport system should benefit people's overall quality of life, support economic productivity, help create healthy urban neighbourhoods that are </w:t>
      </w:r>
      <w:r w:rsidR="004146BD" w:rsidRPr="00D5126A">
        <w:t>people</w:t>
      </w:r>
      <w:r w:rsidR="004146BD">
        <w:t>-</w:t>
      </w:r>
      <w:r w:rsidRPr="00D5126A">
        <w:t>focused</w:t>
      </w:r>
      <w:r w:rsidR="00FC0C3C" w:rsidRPr="00D5126A">
        <w:t>,</w:t>
      </w:r>
      <w:r w:rsidRPr="00D5126A">
        <w:t xml:space="preserve"> and reduce the city's carbon emissions.</w:t>
      </w:r>
      <w:r w:rsidR="00FC0C3C" w:rsidRPr="00D5126A">
        <w:t xml:space="preserve"> </w:t>
      </w:r>
    </w:p>
    <w:p w:rsidR="001855ED" w:rsidRDefault="004146BD" w:rsidP="001855ED">
      <w:r>
        <w:t>We are a</w:t>
      </w:r>
      <w:r w:rsidR="00A46D38" w:rsidRPr="00D5126A">
        <w:t xml:space="preserve"> small city </w:t>
      </w:r>
      <w:r>
        <w:t>and have</w:t>
      </w:r>
      <w:r w:rsidRPr="00D5126A">
        <w:t xml:space="preserve"> </w:t>
      </w:r>
      <w:r w:rsidR="00A46D38" w:rsidRPr="00D5126A">
        <w:t xml:space="preserve">congestion challenges. </w:t>
      </w:r>
      <w:r w:rsidR="001855ED" w:rsidRPr="00D5126A">
        <w:t xml:space="preserve">Data shows that travel time reliability continues to be an issue for car </w:t>
      </w:r>
      <w:r>
        <w:t>and commercial</w:t>
      </w:r>
      <w:r w:rsidRPr="00D5126A">
        <w:t xml:space="preserve"> </w:t>
      </w:r>
      <w:r w:rsidR="001855ED" w:rsidRPr="00D5126A">
        <w:t>journeys at peak times</w:t>
      </w:r>
      <w:r w:rsidR="00650F57" w:rsidRPr="00D5126A">
        <w:t>.  Nevertheless,</w:t>
      </w:r>
      <w:r>
        <w:t xml:space="preserve"> </w:t>
      </w:r>
      <w:r>
        <w:lastRenderedPageBreak/>
        <w:t>private</w:t>
      </w:r>
      <w:r w:rsidR="00650F57" w:rsidRPr="00D5126A">
        <w:t xml:space="preserve"> travel is often still </w:t>
      </w:r>
      <w:r w:rsidR="001855ED" w:rsidRPr="00D5126A">
        <w:t xml:space="preserve">much faster than public transport, with bus journeys taking about twice as long on average. </w:t>
      </w:r>
    </w:p>
    <w:p w:rsidR="004146BD" w:rsidRDefault="004146BD" w:rsidP="004146BD">
      <w:r>
        <w:t>In May 2019, there was the joint announcement of Let’s Get Wellington Moving, a partnership between Central Government</w:t>
      </w:r>
      <w:r w:rsidR="00457727">
        <w:t xml:space="preserve"> (through NZTA)</w:t>
      </w:r>
      <w:r>
        <w:t xml:space="preserve">, the Greater Wellington Regional Council and </w:t>
      </w:r>
      <w:proofErr w:type="gramStart"/>
      <w:r>
        <w:t>ourselves</w:t>
      </w:r>
      <w:proofErr w:type="gramEnd"/>
      <w:r>
        <w:t>. The $3</w:t>
      </w:r>
      <w:r w:rsidR="005A5930">
        <w:t xml:space="preserve"> </w:t>
      </w:r>
      <w:r>
        <w:t>b</w:t>
      </w:r>
      <w:r w:rsidR="005A5930">
        <w:t>illio</w:t>
      </w:r>
      <w:r>
        <w:t>n uninfla</w:t>
      </w:r>
      <w:r w:rsidR="005A5930">
        <w:t xml:space="preserve">ted capital programme is </w:t>
      </w:r>
      <w:proofErr w:type="gramStart"/>
      <w:r w:rsidR="005A5930">
        <w:t>a</w:t>
      </w:r>
      <w:proofErr w:type="gramEnd"/>
      <w:r w:rsidR="005A5930">
        <w:t xml:space="preserve"> once-in-a-</w:t>
      </w:r>
      <w:r>
        <w:t>lifetime opportunity that is not just about moving more people with fewer vehicles but also a city-shaping opportunity aimed at improving the liveability of Wellington and the Wellington region.</w:t>
      </w:r>
    </w:p>
    <w:p w:rsidR="000C55F4" w:rsidRPr="00D5126A" w:rsidRDefault="000C55F4" w:rsidP="000C55F4">
      <w:r w:rsidRPr="00D5126A">
        <w:t xml:space="preserve">This year </w:t>
      </w:r>
      <w:r w:rsidR="004D1D3D" w:rsidRPr="00D5126A">
        <w:t xml:space="preserve">also </w:t>
      </w:r>
      <w:r w:rsidRPr="00D5126A">
        <w:t>hasn’t been without its challenges when it comes to public transport. Significant feedback and media coverage has highligh</w:t>
      </w:r>
      <w:r w:rsidR="004D1D3D" w:rsidRPr="00D5126A">
        <w:t xml:space="preserve">ted the community impact of </w:t>
      </w:r>
      <w:r w:rsidRPr="00D5126A">
        <w:t xml:space="preserve">the changes to the bus network. The changes were implemented by GWRC, </w:t>
      </w:r>
      <w:r w:rsidR="005A5930">
        <w:t>which</w:t>
      </w:r>
      <w:r w:rsidRPr="00D5126A">
        <w:t xml:space="preserve"> own</w:t>
      </w:r>
      <w:r w:rsidR="005A5930">
        <w:t>s</w:t>
      </w:r>
      <w:r w:rsidRPr="00D5126A">
        <w:t xml:space="preserve"> and manage</w:t>
      </w:r>
      <w:r w:rsidR="005A5930">
        <w:t>s</w:t>
      </w:r>
      <w:r w:rsidRPr="00D5126A">
        <w:t xml:space="preserve"> the bus and train network. Wellington City Council is currently working with GWRC to improve bus priority and reliability across the city.</w:t>
      </w:r>
    </w:p>
    <w:p w:rsidR="001855ED" w:rsidRPr="00D5126A" w:rsidRDefault="001855ED" w:rsidP="00AA2122">
      <w:pPr>
        <w:pStyle w:val="Heading3"/>
      </w:pPr>
      <w:bookmarkStart w:id="46" w:name="_Toc19085783"/>
      <w:r w:rsidRPr="00D5126A">
        <w:t xml:space="preserve">Housing </w:t>
      </w:r>
      <w:r w:rsidR="00457727">
        <w:t>o</w:t>
      </w:r>
      <w:r w:rsidR="00457727" w:rsidRPr="00D5126A">
        <w:t xml:space="preserve">ur </w:t>
      </w:r>
      <w:bookmarkEnd w:id="46"/>
      <w:r w:rsidR="00457727">
        <w:t>p</w:t>
      </w:r>
      <w:r w:rsidR="00457727" w:rsidRPr="00D5126A">
        <w:t>eople</w:t>
      </w:r>
    </w:p>
    <w:p w:rsidR="00053E71" w:rsidRPr="00D5126A" w:rsidRDefault="001855ED" w:rsidP="000C55F4">
      <w:r w:rsidRPr="00D5126A">
        <w:t>Housing is expected to remain a key issue for many years in Wellington. For many it is significantly unaffordable and not everyone is well housed in the city.</w:t>
      </w:r>
      <w:r w:rsidR="00053E71" w:rsidRPr="00D5126A">
        <w:t xml:space="preserve"> </w:t>
      </w:r>
      <w:r w:rsidR="000C55F4" w:rsidRPr="00D5126A">
        <w:t xml:space="preserve">The issues are complex and the range and scale of work planned will take some time. </w:t>
      </w:r>
      <w:r w:rsidR="009749D7" w:rsidRPr="00D5126A">
        <w:t xml:space="preserve">Addressing the housing challenge remains a top priority for the Council. It led to the </w:t>
      </w:r>
      <w:r w:rsidR="009749D7" w:rsidRPr="00D5126A">
        <w:rPr>
          <w:rFonts w:cs="Calibri"/>
          <w:bCs/>
          <w:szCs w:val="16"/>
        </w:rPr>
        <w:t>Council’s 10</w:t>
      </w:r>
      <w:r w:rsidR="00457727">
        <w:rPr>
          <w:rFonts w:cs="Calibri"/>
          <w:bCs/>
          <w:szCs w:val="16"/>
        </w:rPr>
        <w:t>-</w:t>
      </w:r>
      <w:r w:rsidR="009749D7" w:rsidRPr="00D5126A">
        <w:rPr>
          <w:rFonts w:cs="Calibri"/>
          <w:bCs/>
          <w:szCs w:val="16"/>
        </w:rPr>
        <w:t xml:space="preserve">year Housing Strategy, which focuses on people right across the housing continuum and sets the vision of </w:t>
      </w:r>
      <w:r w:rsidR="00457727">
        <w:rPr>
          <w:rFonts w:cs="Calibri"/>
          <w:bCs/>
          <w:szCs w:val="16"/>
        </w:rPr>
        <w:t>“</w:t>
      </w:r>
      <w:r w:rsidR="009749D7" w:rsidRPr="00D5126A">
        <w:rPr>
          <w:rFonts w:cs="Calibri"/>
          <w:bCs/>
          <w:szCs w:val="16"/>
        </w:rPr>
        <w:t>all Wellingtonians well housed</w:t>
      </w:r>
      <w:r w:rsidR="00457727">
        <w:rPr>
          <w:rFonts w:cs="Calibri"/>
          <w:bCs/>
          <w:szCs w:val="16"/>
        </w:rPr>
        <w:t>”</w:t>
      </w:r>
      <w:r w:rsidR="009749D7" w:rsidRPr="00D5126A">
        <w:rPr>
          <w:rFonts w:cs="Calibri"/>
          <w:bCs/>
          <w:szCs w:val="16"/>
        </w:rPr>
        <w:t>.</w:t>
      </w:r>
    </w:p>
    <w:p w:rsidR="000C55F4" w:rsidRPr="00D5126A" w:rsidRDefault="000C55F4" w:rsidP="000C55F4">
      <w:r w:rsidRPr="00D5126A">
        <w:t>In Our 10-Year Plan 2018-28</w:t>
      </w:r>
      <w:r w:rsidR="00457727">
        <w:t>,</w:t>
      </w:r>
      <w:r w:rsidRPr="00D5126A">
        <w:t xml:space="preserve"> which has housing as a key priority</w:t>
      </w:r>
      <w:r w:rsidR="00457727">
        <w:t>,</w:t>
      </w:r>
      <w:r w:rsidRPr="00D5126A">
        <w:t xml:space="preserve"> we have included several long</w:t>
      </w:r>
      <w:r w:rsidR="00457727">
        <w:t>-</w:t>
      </w:r>
      <w:r w:rsidRPr="00D5126A">
        <w:t xml:space="preserve">term strategies and on the ground projects in direct response to the </w:t>
      </w:r>
      <w:r w:rsidR="00457727">
        <w:t>c</w:t>
      </w:r>
      <w:r w:rsidR="00457727" w:rsidRPr="00D5126A">
        <w:t xml:space="preserve">ity’s </w:t>
      </w:r>
      <w:r w:rsidRPr="00D5126A">
        <w:t>housing challenges. These include partnering with government and the private industry on initiatives to improve and increase housing availability and quality. Our work towards the</w:t>
      </w:r>
      <w:r w:rsidR="00A03EAD" w:rsidRPr="00D5126A">
        <w:t xml:space="preserve">se this year is detailed </w:t>
      </w:r>
      <w:r w:rsidR="00A03EAD" w:rsidRPr="00E27622">
        <w:t xml:space="preserve">on pg </w:t>
      </w:r>
      <w:r w:rsidR="00E27622" w:rsidRPr="00E27622">
        <w:t>108</w:t>
      </w:r>
      <w:r w:rsidRPr="00D5126A">
        <w:t xml:space="preserve"> of this report.</w:t>
      </w:r>
      <w:r w:rsidR="009749D7" w:rsidRPr="00D5126A">
        <w:t xml:space="preserve"> This includes entering </w:t>
      </w:r>
      <w:r w:rsidR="009749D7" w:rsidRPr="00D5126A">
        <w:rPr>
          <w:lang w:eastAsia="en-NZ"/>
        </w:rPr>
        <w:t>into an agreement with H</w:t>
      </w:r>
      <w:r w:rsidR="00457727">
        <w:rPr>
          <w:lang w:eastAsia="en-NZ"/>
        </w:rPr>
        <w:t xml:space="preserve">ousing </w:t>
      </w:r>
      <w:r w:rsidR="009749D7" w:rsidRPr="00D5126A">
        <w:rPr>
          <w:lang w:eastAsia="en-NZ"/>
        </w:rPr>
        <w:t xml:space="preserve">NZ for the development of Arlington sites 1 and 3. </w:t>
      </w:r>
    </w:p>
    <w:p w:rsidR="001855ED" w:rsidRPr="00D5126A" w:rsidRDefault="001855ED" w:rsidP="00AA2122">
      <w:pPr>
        <w:pStyle w:val="Heading3"/>
      </w:pPr>
      <w:bookmarkStart w:id="47" w:name="_Toc19085784"/>
      <w:r w:rsidRPr="00D5126A">
        <w:t xml:space="preserve">Our </w:t>
      </w:r>
      <w:r w:rsidR="00457727">
        <w:t>c</w:t>
      </w:r>
      <w:r w:rsidR="00457727" w:rsidRPr="00D5126A">
        <w:t xml:space="preserve">reative </w:t>
      </w:r>
      <w:bookmarkEnd w:id="47"/>
      <w:r w:rsidR="00457727">
        <w:t>c</w:t>
      </w:r>
      <w:r w:rsidR="00457727" w:rsidRPr="00D5126A">
        <w:t>ity</w:t>
      </w:r>
    </w:p>
    <w:p w:rsidR="001855ED" w:rsidRPr="00D5126A" w:rsidRDefault="001855ED" w:rsidP="001855ED">
      <w:r w:rsidRPr="00D5126A">
        <w:t xml:space="preserve">We’ve invested extensively in the arts over many decades and our city has an enviable reputation as a centre of culture. That didn’t happen by accident: we, along with the government and others, have been supporting and investing in the sector for years. But other cities are also investing in these areas, and we need to make sure investment levels are high enough to support a thriving arts and culture sector in the city. </w:t>
      </w:r>
      <w:r w:rsidR="00A24922" w:rsidRPr="00D5126A">
        <w:t xml:space="preserve">We are working on Aho Tini – a new strategy that aims is to bring together the different sectors and encourage greater collaboration, so creativity is woven through the fabric of our city and the way we do business at </w:t>
      </w:r>
      <w:r w:rsidR="005A5930">
        <w:t xml:space="preserve">the </w:t>
      </w:r>
      <w:r w:rsidR="00A24922" w:rsidRPr="00D5126A">
        <w:t>Council.</w:t>
      </w:r>
    </w:p>
    <w:p w:rsidR="00B01F6C" w:rsidRPr="00D5126A" w:rsidRDefault="00B01F6C" w:rsidP="00B01F6C">
      <w:r w:rsidRPr="00D5126A">
        <w:t>The arts and culture sector relies heavily on Council support and Council-owned facilities. Many of our much-loved buildings used to showcase this talent – like the Town Hall and the St James Theatre – are ag</w:t>
      </w:r>
      <w:r w:rsidR="00457727">
        <w:t>e</w:t>
      </w:r>
      <w:r w:rsidRPr="00D5126A">
        <w:t xml:space="preserve">ing, </w:t>
      </w:r>
      <w:r w:rsidR="00457727" w:rsidRPr="00D5126A">
        <w:t>earthquake</w:t>
      </w:r>
      <w:r w:rsidR="00457727">
        <w:t>-</w:t>
      </w:r>
      <w:r w:rsidRPr="00D5126A">
        <w:t>prone and heritage listed, which creates its own challenges. However</w:t>
      </w:r>
      <w:r w:rsidR="00DA4F8E" w:rsidRPr="00D5126A">
        <w:t>,</w:t>
      </w:r>
      <w:r w:rsidRPr="00D5126A">
        <w:t xml:space="preserve"> work to strengthen the Town Hall and St James Theatre is under</w:t>
      </w:r>
      <w:r w:rsidR="00457727">
        <w:t xml:space="preserve"> </w:t>
      </w:r>
      <w:r w:rsidRPr="00D5126A">
        <w:t>way.</w:t>
      </w:r>
      <w:r w:rsidR="00A24922" w:rsidRPr="00D5126A">
        <w:t xml:space="preserve"> </w:t>
      </w:r>
    </w:p>
    <w:p w:rsidR="00CE6D37" w:rsidRPr="00D5126A" w:rsidRDefault="00CE6D37"/>
    <w:p w:rsidR="00CE6D37" w:rsidRPr="00D5126A" w:rsidRDefault="00CE6D37">
      <w:r w:rsidRPr="00D5126A">
        <w:br w:type="page"/>
      </w:r>
    </w:p>
    <w:p w:rsidR="00CE6D37" w:rsidRPr="00D5126A" w:rsidRDefault="00E4386B" w:rsidP="00810293">
      <w:pPr>
        <w:pStyle w:val="Heading2"/>
      </w:pPr>
      <w:bookmarkStart w:id="48" w:name="_Toc19085785"/>
      <w:bookmarkStart w:id="49" w:name="_Toc23758590"/>
      <w:r w:rsidRPr="00D5126A">
        <w:lastRenderedPageBreak/>
        <w:t>On the horizon</w:t>
      </w:r>
      <w:bookmarkEnd w:id="48"/>
      <w:bookmarkEnd w:id="49"/>
    </w:p>
    <w:p w:rsidR="0006147B" w:rsidRPr="00D5126A" w:rsidRDefault="00CE6D37">
      <w:r w:rsidRPr="00D5126A">
        <w:t xml:space="preserve">The following reviews are part of the </w:t>
      </w:r>
      <w:r w:rsidR="0006147B" w:rsidRPr="00D5126A">
        <w:t xml:space="preserve">Central </w:t>
      </w:r>
      <w:r w:rsidRPr="00D5126A">
        <w:t xml:space="preserve">Government agenda and will impact the Council in the upcoming financial years. </w:t>
      </w:r>
    </w:p>
    <w:p w:rsidR="0006147B" w:rsidRPr="00D5126A" w:rsidRDefault="0006147B" w:rsidP="00AA2122">
      <w:pPr>
        <w:pStyle w:val="Heading3"/>
      </w:pPr>
      <w:bookmarkStart w:id="50" w:name="_Toc19085786"/>
      <w:r w:rsidRPr="00D5126A">
        <w:t xml:space="preserve">Three </w:t>
      </w:r>
      <w:r w:rsidR="00465F3A">
        <w:t>w</w:t>
      </w:r>
      <w:r w:rsidR="00465F3A" w:rsidRPr="00D5126A">
        <w:t xml:space="preserve">aters </w:t>
      </w:r>
      <w:bookmarkEnd w:id="50"/>
      <w:r w:rsidR="00465F3A">
        <w:t>r</w:t>
      </w:r>
      <w:r w:rsidR="00465F3A" w:rsidRPr="00D5126A">
        <w:t>eview</w:t>
      </w:r>
    </w:p>
    <w:p w:rsidR="00B01F6C" w:rsidRPr="00D5126A" w:rsidRDefault="00B01F6C" w:rsidP="005A5930">
      <w:r w:rsidRPr="00D5126A">
        <w:t>The Government is reviewing how to improve the regulation and supply arrangements of drinking water, wastewater and stormwater (three waters). Most three waters assets and services are owned by local government authorities, with aging and at-capacity infrastructure a common issue across the country. Initial findings asked questions about the effectiveness of the regulatory regime for the three waters and the capability and sustainability of water service providers. While clarity on water quality standards is welcomed, the question of funding remains unanswered.</w:t>
      </w:r>
      <w:r w:rsidR="00A03EAD" w:rsidRPr="00D5126A">
        <w:t xml:space="preserve"> </w:t>
      </w:r>
      <w:r w:rsidR="005A5930">
        <w:t xml:space="preserve">The </w:t>
      </w:r>
      <w:r w:rsidR="00A03EAD" w:rsidRPr="00D5126A">
        <w:t xml:space="preserve">Council is also a member of the Te Whanganui-a-Tara Whaitua </w:t>
      </w:r>
      <w:r w:rsidR="005A5930">
        <w:t xml:space="preserve">and </w:t>
      </w:r>
      <w:r w:rsidR="005A5930" w:rsidRPr="005A5930">
        <w:t xml:space="preserve">Te Awarua-o-Porirua Whaitua </w:t>
      </w:r>
      <w:r w:rsidR="005A5930">
        <w:t>c</w:t>
      </w:r>
      <w:r w:rsidR="005A5930" w:rsidRPr="005A5930">
        <w:t>ommittee</w:t>
      </w:r>
      <w:r w:rsidR="005A5930">
        <w:t>s</w:t>
      </w:r>
      <w:r w:rsidR="00A03EAD" w:rsidRPr="00D5126A">
        <w:t xml:space="preserve">, which </w:t>
      </w:r>
      <w:r w:rsidR="005A5930">
        <w:t>are</w:t>
      </w:r>
      <w:r w:rsidR="005A5930" w:rsidRPr="00D5126A">
        <w:t xml:space="preserve"> </w:t>
      </w:r>
      <w:r w:rsidR="00A03EAD" w:rsidRPr="00D5126A">
        <w:t>tasked with developing a programme to improve the quality of our region’s streams, rivers and harbour. The recommendations of this</w:t>
      </w:r>
      <w:r w:rsidR="00A03EAD" w:rsidRPr="00D5126A">
        <w:rPr>
          <w:rFonts w:ascii="Arial" w:hAnsi="Arial" w:cs="Arial"/>
          <w:color w:val="484848"/>
          <w:sz w:val="21"/>
          <w:szCs w:val="21"/>
          <w:shd w:val="clear" w:color="auto" w:fill="FFFFFF"/>
        </w:rPr>
        <w:t xml:space="preserve"> </w:t>
      </w:r>
      <w:r w:rsidR="00A03EAD" w:rsidRPr="005A5930">
        <w:rPr>
          <w:rFonts w:ascii="Arial" w:hAnsi="Arial" w:cs="Arial"/>
          <w:sz w:val="21"/>
          <w:szCs w:val="21"/>
          <w:shd w:val="clear" w:color="auto" w:fill="FFFFFF"/>
        </w:rPr>
        <w:t xml:space="preserve">community-led </w:t>
      </w:r>
      <w:r w:rsidR="00A03EAD" w:rsidRPr="00D5126A">
        <w:rPr>
          <w:rFonts w:ascii="Arial" w:hAnsi="Arial" w:cs="Arial"/>
          <w:color w:val="484848"/>
          <w:sz w:val="21"/>
          <w:szCs w:val="21"/>
          <w:shd w:val="clear" w:color="auto" w:fill="FFFFFF"/>
        </w:rPr>
        <w:t>process</w:t>
      </w:r>
      <w:r w:rsidR="00A03EAD" w:rsidRPr="00D5126A">
        <w:t xml:space="preserve"> will impact water management in the near future.</w:t>
      </w:r>
    </w:p>
    <w:p w:rsidR="00E4386B" w:rsidRPr="00D5126A" w:rsidRDefault="00E4386B" w:rsidP="00AA2122">
      <w:pPr>
        <w:pStyle w:val="Heading3"/>
      </w:pPr>
      <w:bookmarkStart w:id="51" w:name="_Toc19085787"/>
      <w:r w:rsidRPr="00D5126A">
        <w:t>Resource Management Act review</w:t>
      </w:r>
      <w:bookmarkEnd w:id="51"/>
    </w:p>
    <w:p w:rsidR="00B01F6C" w:rsidRPr="00D5126A" w:rsidRDefault="00B01F6C" w:rsidP="00B01F6C">
      <w:r w:rsidRPr="00D5126A">
        <w:t>The Government is conducting a two-stage review of the Resource Management Act 1991</w:t>
      </w:r>
      <w:r w:rsidR="00465F3A">
        <w:t xml:space="preserve"> (RMA)</w:t>
      </w:r>
      <w:r w:rsidRPr="00D5126A">
        <w:t xml:space="preserve">. </w:t>
      </w:r>
      <w:r w:rsidR="00A46D38" w:rsidRPr="00D5126A">
        <w:t xml:space="preserve">In late 2019, stage one will be a Bill to make the RMA less complex, give people more certainty on RMA issues and increase public participation. Stage two will be a more comprehensive review of the resource management system in 2020. </w:t>
      </w:r>
      <w:r w:rsidRPr="00D5126A">
        <w:t>The timing of this review coincides with Council’s Planning for Growth programme</w:t>
      </w:r>
      <w:r w:rsidR="00465F3A">
        <w:t>,</w:t>
      </w:r>
      <w:r w:rsidRPr="00D5126A">
        <w:t xml:space="preserve"> which includes a new spatial plan and a review of the District Plan.</w:t>
      </w:r>
    </w:p>
    <w:p w:rsidR="00E4386B" w:rsidRPr="00D5126A" w:rsidRDefault="00E4386B" w:rsidP="00AA2122">
      <w:pPr>
        <w:pStyle w:val="Heading3"/>
      </w:pPr>
      <w:bookmarkStart w:id="52" w:name="_Toc19085788"/>
      <w:r w:rsidRPr="00D5126A">
        <w:t>Urban Development Authority legislation</w:t>
      </w:r>
      <w:bookmarkEnd w:id="52"/>
    </w:p>
    <w:p w:rsidR="00B01F6C" w:rsidRPr="00D5126A" w:rsidRDefault="00B01F6C" w:rsidP="00B01F6C">
      <w:r w:rsidRPr="00D5126A">
        <w:t>The Government is in the process of developing legislation to enable urban development at an increased pace and scale to respond to the challenges of population growth. The legislation will establish Kāinga Ora – Homes and Communities, the Central Government Urban Development Authority. This Crown entity will manage the delivery of urban development projects of all sizes. A second Bill (due mid 2020) will confirm the powers available to the UDA. Council has led the w</w:t>
      </w:r>
      <w:r w:rsidR="001D24CF">
        <w:t>ay in seeking tools such as UDA</w:t>
      </w:r>
      <w:r w:rsidRPr="00D5126A">
        <w:t xml:space="preserve">s to deliver better urban development outcomes and is actively interested in how these powers will be able to be applied at a local level. </w:t>
      </w:r>
    </w:p>
    <w:p w:rsidR="00E4386B" w:rsidRPr="00D5126A" w:rsidRDefault="00E4386B" w:rsidP="00AA2122">
      <w:pPr>
        <w:pStyle w:val="Heading3"/>
      </w:pPr>
      <w:bookmarkStart w:id="53" w:name="_Toc19085789"/>
      <w:r w:rsidRPr="00D5126A">
        <w:t xml:space="preserve">Building </w:t>
      </w:r>
      <w:r w:rsidR="00465F3A">
        <w:t>s</w:t>
      </w:r>
      <w:r w:rsidR="00465F3A" w:rsidRPr="00D5126A">
        <w:t xml:space="preserve">ystem </w:t>
      </w:r>
      <w:r w:rsidRPr="00D5126A">
        <w:t>legislative reform</w:t>
      </w:r>
      <w:bookmarkEnd w:id="53"/>
    </w:p>
    <w:p w:rsidR="00E4386B" w:rsidRPr="00D5126A" w:rsidRDefault="00E4386B" w:rsidP="00E4386B">
      <w:pPr>
        <w:rPr>
          <w:lang w:eastAsia="en-NZ"/>
        </w:rPr>
      </w:pPr>
      <w:r w:rsidRPr="00D5126A">
        <w:rPr>
          <w:lang w:eastAsia="en-NZ"/>
        </w:rPr>
        <w:t>Earlier this year the Government consulted on proposed reforms to New Zealand’s building laws. These are the most significant reforms since the current Building Act was introduced in 2004</w:t>
      </w:r>
      <w:r w:rsidR="00A46D38" w:rsidRPr="00D5126A">
        <w:rPr>
          <w:lang w:eastAsia="en-NZ"/>
        </w:rPr>
        <w:t>, and focus on building products, regulation, risk and liability.</w:t>
      </w:r>
      <w:r w:rsidRPr="00D5126A">
        <w:rPr>
          <w:lang w:eastAsia="en-NZ"/>
        </w:rPr>
        <w:t xml:space="preserve"> Council is of the view that the proposal does not go far enough, but supports the general direction of the proposed reforms. In the coming months, Council will continue to liaise with Central Government and advocate for changes that will make a meaningful difference to the building sector.</w:t>
      </w:r>
    </w:p>
    <w:p w:rsidR="008B1100" w:rsidRPr="00D5126A" w:rsidRDefault="002F108A">
      <w:r w:rsidRPr="00D5126A">
        <w:t xml:space="preserve"> </w:t>
      </w:r>
      <w:r w:rsidR="008B1100" w:rsidRPr="00D5126A">
        <w:br w:type="page"/>
      </w:r>
    </w:p>
    <w:p w:rsidR="00D7674C" w:rsidRPr="00D5126A" w:rsidRDefault="00780745" w:rsidP="00810293">
      <w:pPr>
        <w:pStyle w:val="Heading2"/>
      </w:pPr>
      <w:bookmarkStart w:id="54" w:name="Strategic_direction"/>
      <w:bookmarkStart w:id="55" w:name="Strategic_directionIn_2012__we_adopted_o"/>
      <w:bookmarkStart w:id="56" w:name="_Toc528234286"/>
      <w:bookmarkStart w:id="57" w:name="_Toc13211795"/>
      <w:bookmarkStart w:id="58" w:name="_Toc14178499"/>
      <w:bookmarkStart w:id="59" w:name="_Toc19085790"/>
      <w:bookmarkStart w:id="60" w:name="_Toc23758591"/>
      <w:r w:rsidRPr="00D5126A">
        <w:lastRenderedPageBreak/>
        <w:t xml:space="preserve">The City’s </w:t>
      </w:r>
      <w:r w:rsidR="00D7674C" w:rsidRPr="00D5126A">
        <w:t xml:space="preserve">Strategic </w:t>
      </w:r>
      <w:r w:rsidRPr="00D5126A">
        <w:t>D</w:t>
      </w:r>
      <w:r w:rsidR="00D7674C" w:rsidRPr="00D5126A">
        <w:t>irection</w:t>
      </w:r>
      <w:bookmarkEnd w:id="54"/>
      <w:bookmarkEnd w:id="55"/>
      <w:bookmarkEnd w:id="56"/>
      <w:bookmarkEnd w:id="57"/>
      <w:bookmarkEnd w:id="58"/>
      <w:bookmarkEnd w:id="59"/>
      <w:bookmarkEnd w:id="60"/>
    </w:p>
    <w:p w:rsidR="00D7674C" w:rsidRPr="00D5126A" w:rsidRDefault="00D7674C" w:rsidP="005F3580">
      <w:pPr>
        <w:pStyle w:val="Para003"/>
        <w:spacing w:before="240" w:line="240" w:lineRule="auto"/>
      </w:pPr>
      <w:r w:rsidRPr="00D5126A">
        <w:t xml:space="preserve">In 2012, </w:t>
      </w:r>
      <w:r w:rsidR="005A5930">
        <w:t xml:space="preserve">the </w:t>
      </w:r>
      <w:r w:rsidRPr="00D5126A">
        <w:t>Council adopted our ‘Smart City’ vision. This vision is the Council’s long-term aspiration for the city</w:t>
      </w:r>
      <w:r w:rsidR="00465F3A">
        <w:t xml:space="preserve"> is </w:t>
      </w:r>
      <w:r w:rsidR="00465F3A" w:rsidRPr="00D5126A">
        <w:t>supported by four pillar</w:t>
      </w:r>
      <w:r w:rsidR="00465F3A">
        <w:t>s:</w:t>
      </w:r>
    </w:p>
    <w:p w:rsidR="00D7674C" w:rsidRPr="00D5126A" w:rsidRDefault="00D7674C" w:rsidP="00D7674C">
      <w:pPr>
        <w:pStyle w:val="Para010"/>
        <w:spacing w:line="240" w:lineRule="auto"/>
      </w:pPr>
      <w:r w:rsidRPr="00D5126A">
        <w:rPr>
          <w:rStyle w:val="00Text"/>
          <w:rFonts w:ascii="Arial" w:hAnsi="Arial" w:cs="Arial"/>
        </w:rPr>
        <w:t>People-centred</w:t>
      </w:r>
      <w:r w:rsidRPr="00D5126A">
        <w:t xml:space="preserve"> </w:t>
      </w:r>
      <w:r w:rsidR="00465F3A" w:rsidRPr="00D5126A">
        <w:t>–</w:t>
      </w:r>
      <w:r w:rsidRPr="00D5126A">
        <w:t xml:space="preserve"> a city that is healthy, vibrant, affordable, accessible and resilient, with a strong sense of identity and place</w:t>
      </w:r>
    </w:p>
    <w:p w:rsidR="00D7674C" w:rsidRPr="00D5126A" w:rsidRDefault="00D7674C" w:rsidP="00D7674C">
      <w:pPr>
        <w:pStyle w:val="Para010"/>
        <w:spacing w:line="240" w:lineRule="auto"/>
      </w:pPr>
      <w:r w:rsidRPr="00D5126A">
        <w:rPr>
          <w:rStyle w:val="00Text"/>
          <w:rFonts w:ascii="Arial" w:hAnsi="Arial" w:cs="Arial"/>
        </w:rPr>
        <w:t>An eco-city</w:t>
      </w:r>
      <w:r w:rsidRPr="00D5126A">
        <w:t xml:space="preserve"> – a city where natural resources are proactively protected, where environmental challenges are addressed and the transition to becoming a low-carbon city is managed</w:t>
      </w:r>
    </w:p>
    <w:p w:rsidR="00D7674C" w:rsidRPr="00D5126A" w:rsidRDefault="00D7674C" w:rsidP="00D7674C">
      <w:pPr>
        <w:pStyle w:val="Para010"/>
        <w:spacing w:line="240" w:lineRule="auto"/>
      </w:pPr>
      <w:r w:rsidRPr="00D5126A">
        <w:rPr>
          <w:rStyle w:val="00Text"/>
          <w:rFonts w:ascii="Arial" w:hAnsi="Arial" w:cs="Arial"/>
        </w:rPr>
        <w:t>Connected</w:t>
      </w:r>
      <w:r w:rsidRPr="00D5126A">
        <w:t xml:space="preserve"> – a city with easy access to regional, national and global networks that allows people and goods to move freely</w:t>
      </w:r>
      <w:r w:rsidR="000F5630">
        <w:t xml:space="preserve">, </w:t>
      </w:r>
      <w:r w:rsidR="00465F3A">
        <w:t xml:space="preserve">and </w:t>
      </w:r>
      <w:r w:rsidRPr="00D5126A">
        <w:t>world-class infrastructure that enables people to connect with each other and their communities</w:t>
      </w:r>
    </w:p>
    <w:p w:rsidR="00D7674C" w:rsidRPr="00D5126A" w:rsidRDefault="00D7674C" w:rsidP="00D7674C">
      <w:pPr>
        <w:pStyle w:val="Para010"/>
        <w:spacing w:line="240" w:lineRule="auto"/>
      </w:pPr>
      <w:r w:rsidRPr="00D5126A">
        <w:rPr>
          <w:rStyle w:val="00Text"/>
          <w:rFonts w:ascii="Arial" w:hAnsi="Arial" w:cs="Arial"/>
        </w:rPr>
        <w:t>Dynamic central city</w:t>
      </w:r>
      <w:r w:rsidRPr="00D5126A">
        <w:t xml:space="preserve"> – a place of creativity, exploration and innovation that offers the lifestyle, entertainment options and amenities of a much bigger city and where the city centre drives the regional economy.</w:t>
      </w:r>
    </w:p>
    <w:p w:rsidR="008B1100" w:rsidRPr="00D5126A" w:rsidRDefault="008B1100" w:rsidP="008B1100">
      <w:pPr>
        <w:pStyle w:val="Para003"/>
        <w:spacing w:before="240" w:line="240" w:lineRule="auto"/>
      </w:pPr>
      <w:bookmarkStart w:id="61" w:name="Triennium_work_programme"/>
      <w:bookmarkStart w:id="62" w:name="_Toc13211796"/>
      <w:bookmarkStart w:id="63" w:name="_Toc14178500"/>
      <w:r w:rsidRPr="00D5126A">
        <w:t>By many measures Wellington is already a very successful city and is often recognised internationally for its outstanding quality of life. It is regarded as a city where people like to live, work and play. Over the past couple of years Wellington has topped the Deutsche Bank’s list of 50 most liveable cities.</w:t>
      </w:r>
    </w:p>
    <w:p w:rsidR="008B1100" w:rsidRPr="00D5126A" w:rsidRDefault="008B1100" w:rsidP="008B1100">
      <w:pPr>
        <w:pStyle w:val="Para003"/>
        <w:spacing w:before="240" w:line="240" w:lineRule="auto"/>
      </w:pPr>
      <w:r w:rsidRPr="00D5126A">
        <w:t xml:space="preserve">Wellington also has the foundations needed for achieving these Smart City aspirations – an educated population, quality education institutions, knowledge-based industries that are growing, a compact urban environment with high use of public and active transport modes, </w:t>
      </w:r>
      <w:r w:rsidR="00465F3A" w:rsidRPr="00D5126A">
        <w:t>low</w:t>
      </w:r>
      <w:r w:rsidR="00465F3A">
        <w:t>-</w:t>
      </w:r>
      <w:r w:rsidRPr="00D5126A">
        <w:t>carbon emissions per person, good job opportunities</w:t>
      </w:r>
      <w:r w:rsidR="00465F3A">
        <w:t>,</w:t>
      </w:r>
      <w:r w:rsidRPr="00D5126A">
        <w:t xml:space="preserve"> and the ability to live a very high quality of life.</w:t>
      </w:r>
    </w:p>
    <w:p w:rsidR="008B1100" w:rsidRPr="00D5126A" w:rsidRDefault="008B1100" w:rsidP="008B1100">
      <w:pPr>
        <w:pStyle w:val="Para003"/>
        <w:spacing w:before="240" w:line="240" w:lineRule="auto"/>
      </w:pPr>
      <w:r w:rsidRPr="00D5126A">
        <w:t>We actively monitor several indicator trends that help us understand how the city is changing. This information, along with our service performance measures, allows us to assess progress towards these long-term aspirations and respond to challenges.</w:t>
      </w:r>
    </w:p>
    <w:p w:rsidR="008B1100" w:rsidRPr="00D5126A" w:rsidRDefault="008B1100" w:rsidP="008B1100">
      <w:pPr>
        <w:pStyle w:val="Para003"/>
        <w:spacing w:before="240" w:line="240" w:lineRule="auto"/>
      </w:pPr>
      <w:r w:rsidRPr="00D5126A">
        <w:t xml:space="preserve">In Our 10-Year Plan 2018-28 we continued the focus on the Smart City vision and aspirations. This plan centres on five strategic priorities with supporting work in transport, housing, arts, culture, resilience, environment and, sustainable growth programmes to strengthen the </w:t>
      </w:r>
      <w:r w:rsidR="005A5930">
        <w:t>c</w:t>
      </w:r>
      <w:r w:rsidR="005A5930" w:rsidRPr="00D5126A">
        <w:t xml:space="preserve">ity’s </w:t>
      </w:r>
      <w:r w:rsidRPr="00D5126A">
        <w:t>existing assets and services</w:t>
      </w:r>
      <w:r w:rsidR="00465F3A">
        <w:t>,</w:t>
      </w:r>
      <w:r w:rsidRPr="00D5126A">
        <w:t xml:space="preserve"> as well as building for the future. The clear focus for these programmes is: </w:t>
      </w:r>
    </w:p>
    <w:p w:rsidR="008B1100" w:rsidRPr="00D5126A" w:rsidRDefault="008B1100" w:rsidP="002C7BF8">
      <w:pPr>
        <w:pStyle w:val="Para003"/>
        <w:numPr>
          <w:ilvl w:val="0"/>
          <w:numId w:val="8"/>
        </w:numPr>
        <w:spacing w:beforeLines="0" w:after="0" w:line="240" w:lineRule="auto"/>
        <w:ind w:left="788" w:hanging="357"/>
      </w:pPr>
      <w:r w:rsidRPr="00D5126A">
        <w:t>Building on the city’s strengths</w:t>
      </w:r>
    </w:p>
    <w:p w:rsidR="008B1100" w:rsidRPr="00D5126A" w:rsidRDefault="008B1100" w:rsidP="002C7BF8">
      <w:pPr>
        <w:pStyle w:val="Para003"/>
        <w:numPr>
          <w:ilvl w:val="0"/>
          <w:numId w:val="8"/>
        </w:numPr>
        <w:spacing w:beforeLines="0" w:after="0" w:line="240" w:lineRule="auto"/>
        <w:ind w:left="788" w:hanging="357"/>
      </w:pPr>
      <w:r w:rsidRPr="00D5126A">
        <w:t>Improving the quality of life of all residents</w:t>
      </w:r>
    </w:p>
    <w:p w:rsidR="008B1100" w:rsidRPr="00D5126A" w:rsidRDefault="008B1100" w:rsidP="002C7BF8">
      <w:pPr>
        <w:pStyle w:val="Para003"/>
        <w:numPr>
          <w:ilvl w:val="0"/>
          <w:numId w:val="8"/>
        </w:numPr>
        <w:spacing w:beforeLines="0" w:after="0" w:line="240" w:lineRule="auto"/>
        <w:ind w:left="788" w:hanging="357"/>
      </w:pPr>
      <w:r w:rsidRPr="00D5126A">
        <w:t xml:space="preserve">Responding to the challenges and risks facing the city </w:t>
      </w:r>
    </w:p>
    <w:p w:rsidR="008B1100" w:rsidRPr="00D5126A" w:rsidRDefault="008B1100" w:rsidP="008B1100">
      <w:pPr>
        <w:pStyle w:val="Para003"/>
        <w:spacing w:before="240" w:line="240" w:lineRule="auto"/>
      </w:pPr>
      <w:r w:rsidRPr="00D5126A">
        <w:t xml:space="preserve">This Annual Report sets out what the Council has delivered and progressed in the 2018-19 year – year one of </w:t>
      </w:r>
      <w:proofErr w:type="gramStart"/>
      <w:r w:rsidRPr="00D5126A">
        <w:t>Our</w:t>
      </w:r>
      <w:proofErr w:type="gramEnd"/>
      <w:r w:rsidRPr="00D5126A">
        <w:t xml:space="preserve"> 10-Year Plan.</w:t>
      </w:r>
    </w:p>
    <w:bookmarkEnd w:id="61"/>
    <w:bookmarkEnd w:id="62"/>
    <w:bookmarkEnd w:id="63"/>
    <w:p w:rsidR="00472BD4" w:rsidRPr="00D5126A" w:rsidRDefault="00472BD4">
      <w:r w:rsidRPr="00D5126A">
        <w:br w:type="page"/>
      </w:r>
    </w:p>
    <w:p w:rsidR="00D7674C" w:rsidRPr="00D5126A" w:rsidRDefault="00780745" w:rsidP="00810293">
      <w:pPr>
        <w:pStyle w:val="Heading2"/>
      </w:pPr>
      <w:bookmarkStart w:id="64" w:name="_Toc14178501"/>
      <w:bookmarkStart w:id="65" w:name="_Toc19085791"/>
      <w:bookmarkStart w:id="66" w:name="_Toc23758592"/>
      <w:r w:rsidRPr="00D5126A">
        <w:lastRenderedPageBreak/>
        <w:t xml:space="preserve">Our </w:t>
      </w:r>
      <w:r w:rsidR="00465F3A">
        <w:t>o</w:t>
      </w:r>
      <w:r w:rsidR="00465F3A" w:rsidRPr="00D5126A">
        <w:t xml:space="preserve">rganisation’s </w:t>
      </w:r>
      <w:r w:rsidR="00D7674C" w:rsidRPr="00D5126A">
        <w:t>Vision and Values</w:t>
      </w:r>
      <w:bookmarkEnd w:id="64"/>
      <w:bookmarkEnd w:id="65"/>
      <w:bookmarkEnd w:id="66"/>
    </w:p>
    <w:p w:rsidR="008B1100" w:rsidRPr="00D5126A" w:rsidRDefault="008B1100" w:rsidP="008B1100">
      <w:pPr>
        <w:spacing w:line="240" w:lineRule="auto"/>
      </w:pPr>
      <w:r w:rsidRPr="00D5126A">
        <w:t xml:space="preserve">Supporting the strategic direction </w:t>
      </w:r>
      <w:r w:rsidR="005A5930">
        <w:t>are</w:t>
      </w:r>
      <w:r w:rsidR="005A5930" w:rsidRPr="00D5126A">
        <w:t xml:space="preserve"> </w:t>
      </w:r>
      <w:r w:rsidRPr="00D5126A">
        <w:t xml:space="preserve">the Council’s </w:t>
      </w:r>
      <w:r w:rsidR="003E6C07" w:rsidRPr="00D5126A">
        <w:t xml:space="preserve">staff </w:t>
      </w:r>
      <w:r w:rsidRPr="00D5126A">
        <w:t xml:space="preserve">organisational vision and values that focus on what we want to achieve as an organisation and how we will work together to deliver on Wellington’s ambitions for the future. </w:t>
      </w:r>
    </w:p>
    <w:p w:rsidR="00D7674C" w:rsidRPr="00D5126A" w:rsidRDefault="008B1100" w:rsidP="00D7674C">
      <w:pPr>
        <w:spacing w:line="240" w:lineRule="auto"/>
      </w:pPr>
      <w:r w:rsidRPr="00D5126A">
        <w:t xml:space="preserve">The Council’s organisational vision and values were reviewed and updated in July 2019, with extensive input from staff. </w:t>
      </w:r>
    </w:p>
    <w:p w:rsidR="00D7674C" w:rsidRPr="00D5126A" w:rsidRDefault="00D7674C" w:rsidP="00D7674C">
      <w:pPr>
        <w:spacing w:line="240" w:lineRule="auto"/>
      </w:pPr>
      <w:r w:rsidRPr="00D5126A">
        <w:t>Our Council vision is:</w:t>
      </w:r>
    </w:p>
    <w:p w:rsidR="00D7674C" w:rsidRPr="00D5126A" w:rsidRDefault="00D7674C" w:rsidP="00D7674C">
      <w:pPr>
        <w:spacing w:line="240" w:lineRule="auto"/>
        <w:rPr>
          <w:b/>
        </w:rPr>
      </w:pPr>
      <w:r w:rsidRPr="00D5126A">
        <w:rPr>
          <w:b/>
        </w:rPr>
        <w:t>Kia mahi ngātahi mō Pōneke mō tōna ā āpōpō: Working together for Wellington's future.</w:t>
      </w:r>
    </w:p>
    <w:p w:rsidR="00D7674C" w:rsidRPr="00D5126A" w:rsidRDefault="00D7674C" w:rsidP="00D7674C">
      <w:pPr>
        <w:spacing w:line="240" w:lineRule="auto"/>
      </w:pPr>
      <w:r w:rsidRPr="00D5126A">
        <w:t>Our Council values are:</w:t>
      </w:r>
    </w:p>
    <w:p w:rsidR="00D7674C" w:rsidRPr="00D5126A" w:rsidRDefault="00D7674C" w:rsidP="00732E71">
      <w:pPr>
        <w:pStyle w:val="ListParagraph"/>
        <w:numPr>
          <w:ilvl w:val="0"/>
          <w:numId w:val="3"/>
        </w:numPr>
        <w:spacing w:line="240" w:lineRule="auto"/>
        <w:rPr>
          <w:b/>
        </w:rPr>
      </w:pPr>
      <w:r w:rsidRPr="00D5126A">
        <w:rPr>
          <w:b/>
        </w:rPr>
        <w:t>He tangata, he tangata, he tangata: We put people at the heart of what we do</w:t>
      </w:r>
    </w:p>
    <w:p w:rsidR="00D7674C" w:rsidRPr="00D5126A" w:rsidRDefault="00D7674C" w:rsidP="00732E71">
      <w:pPr>
        <w:pStyle w:val="ListParagraph"/>
        <w:numPr>
          <w:ilvl w:val="1"/>
          <w:numId w:val="3"/>
        </w:numPr>
        <w:spacing w:line="240" w:lineRule="auto"/>
      </w:pPr>
      <w:r w:rsidRPr="00D5126A">
        <w:t>We anticipate our customers' needs</w:t>
      </w:r>
    </w:p>
    <w:p w:rsidR="00D7674C" w:rsidRPr="00D5126A" w:rsidRDefault="00D7674C" w:rsidP="00732E71">
      <w:pPr>
        <w:pStyle w:val="ListParagraph"/>
        <w:numPr>
          <w:ilvl w:val="1"/>
          <w:numId w:val="3"/>
        </w:numPr>
        <w:spacing w:line="240" w:lineRule="auto"/>
      </w:pPr>
      <w:r w:rsidRPr="00D5126A">
        <w:t>We support our colleagues</w:t>
      </w:r>
    </w:p>
    <w:p w:rsidR="00D7674C" w:rsidRPr="00D5126A" w:rsidRDefault="00D7674C" w:rsidP="00732E71">
      <w:pPr>
        <w:pStyle w:val="ListParagraph"/>
        <w:numPr>
          <w:ilvl w:val="1"/>
          <w:numId w:val="3"/>
        </w:numPr>
        <w:spacing w:line="240" w:lineRule="auto"/>
      </w:pPr>
      <w:r w:rsidRPr="00D5126A">
        <w:t>We listen to our customers and each other</w:t>
      </w:r>
    </w:p>
    <w:p w:rsidR="00D7674C" w:rsidRPr="00D5126A" w:rsidRDefault="00D7674C" w:rsidP="00732E71">
      <w:pPr>
        <w:pStyle w:val="ListParagraph"/>
        <w:numPr>
          <w:ilvl w:val="1"/>
          <w:numId w:val="3"/>
        </w:numPr>
        <w:spacing w:line="240" w:lineRule="auto"/>
      </w:pPr>
      <w:r w:rsidRPr="00D5126A">
        <w:t>We act with integrity and respect</w:t>
      </w:r>
    </w:p>
    <w:p w:rsidR="00D7674C" w:rsidRPr="00D5126A" w:rsidRDefault="00D7674C" w:rsidP="00732E71">
      <w:pPr>
        <w:pStyle w:val="ListParagraph"/>
        <w:numPr>
          <w:ilvl w:val="0"/>
          <w:numId w:val="3"/>
        </w:numPr>
        <w:spacing w:line="240" w:lineRule="auto"/>
        <w:rPr>
          <w:b/>
        </w:rPr>
      </w:pPr>
      <w:r w:rsidRPr="00D5126A">
        <w:rPr>
          <w:b/>
        </w:rPr>
        <w:t>Whakapai ake: We're always improving</w:t>
      </w:r>
    </w:p>
    <w:p w:rsidR="00D7674C" w:rsidRPr="00D5126A" w:rsidRDefault="00D7674C" w:rsidP="00732E71">
      <w:pPr>
        <w:pStyle w:val="ListParagraph"/>
        <w:numPr>
          <w:ilvl w:val="1"/>
          <w:numId w:val="3"/>
        </w:numPr>
        <w:spacing w:line="240" w:lineRule="auto"/>
      </w:pPr>
      <w:r w:rsidRPr="00D5126A">
        <w:t>We are open to new ideas and innovation</w:t>
      </w:r>
    </w:p>
    <w:p w:rsidR="00D7674C" w:rsidRPr="00D5126A" w:rsidRDefault="00D7674C" w:rsidP="00732E71">
      <w:pPr>
        <w:pStyle w:val="ListParagraph"/>
        <w:numPr>
          <w:ilvl w:val="1"/>
          <w:numId w:val="3"/>
        </w:numPr>
        <w:spacing w:line="240" w:lineRule="auto"/>
      </w:pPr>
      <w:r w:rsidRPr="00D5126A">
        <w:t>We encourage creativity</w:t>
      </w:r>
    </w:p>
    <w:p w:rsidR="00D7674C" w:rsidRPr="00D5126A" w:rsidRDefault="00D7674C" w:rsidP="00732E71">
      <w:pPr>
        <w:pStyle w:val="ListParagraph"/>
        <w:numPr>
          <w:ilvl w:val="1"/>
          <w:numId w:val="3"/>
        </w:numPr>
        <w:spacing w:line="240" w:lineRule="auto"/>
      </w:pPr>
      <w:r w:rsidRPr="00D5126A">
        <w:t>We learn from our mistakes</w:t>
      </w:r>
    </w:p>
    <w:p w:rsidR="00D7674C" w:rsidRPr="00D5126A" w:rsidRDefault="00D7674C" w:rsidP="00732E71">
      <w:pPr>
        <w:pStyle w:val="ListParagraph"/>
        <w:numPr>
          <w:ilvl w:val="1"/>
          <w:numId w:val="3"/>
        </w:numPr>
        <w:spacing w:line="240" w:lineRule="auto"/>
      </w:pPr>
      <w:r w:rsidRPr="00D5126A">
        <w:t>We give constructive feedback, compliment good work and reward success</w:t>
      </w:r>
    </w:p>
    <w:p w:rsidR="00D7674C" w:rsidRPr="00D5126A" w:rsidRDefault="00D7674C" w:rsidP="00732E71">
      <w:pPr>
        <w:pStyle w:val="ListParagraph"/>
        <w:numPr>
          <w:ilvl w:val="0"/>
          <w:numId w:val="3"/>
        </w:numPr>
        <w:spacing w:line="240" w:lineRule="auto"/>
        <w:rPr>
          <w:b/>
        </w:rPr>
      </w:pPr>
      <w:r w:rsidRPr="00D5126A">
        <w:rPr>
          <w:b/>
        </w:rPr>
        <w:t>Mahi ngātahi: We collaborate</w:t>
      </w:r>
    </w:p>
    <w:p w:rsidR="00D7674C" w:rsidRPr="00D5126A" w:rsidRDefault="00D7674C" w:rsidP="00732E71">
      <w:pPr>
        <w:pStyle w:val="ListParagraph"/>
        <w:numPr>
          <w:ilvl w:val="1"/>
          <w:numId w:val="3"/>
        </w:numPr>
        <w:spacing w:line="240" w:lineRule="auto"/>
      </w:pPr>
      <w:r w:rsidRPr="00D5126A">
        <w:t>We share our skills and knowledge</w:t>
      </w:r>
    </w:p>
    <w:p w:rsidR="00D7674C" w:rsidRPr="00D5126A" w:rsidRDefault="00D7674C" w:rsidP="00732E71">
      <w:pPr>
        <w:pStyle w:val="ListParagraph"/>
        <w:numPr>
          <w:ilvl w:val="1"/>
          <w:numId w:val="3"/>
        </w:numPr>
        <w:spacing w:line="240" w:lineRule="auto"/>
      </w:pPr>
      <w:r w:rsidRPr="00D5126A">
        <w:t>We have confidence in our colleagues</w:t>
      </w:r>
    </w:p>
    <w:p w:rsidR="00D7674C" w:rsidRPr="00D5126A" w:rsidRDefault="00D7674C" w:rsidP="00732E71">
      <w:pPr>
        <w:pStyle w:val="ListParagraph"/>
        <w:numPr>
          <w:ilvl w:val="1"/>
          <w:numId w:val="3"/>
        </w:numPr>
        <w:spacing w:line="240" w:lineRule="auto"/>
      </w:pPr>
      <w:r w:rsidRPr="00D5126A">
        <w:t>We work together to get the best results</w:t>
      </w:r>
    </w:p>
    <w:p w:rsidR="00D7674C" w:rsidRPr="00D5126A" w:rsidRDefault="00D7674C" w:rsidP="00732E71">
      <w:pPr>
        <w:pStyle w:val="ListParagraph"/>
        <w:numPr>
          <w:ilvl w:val="1"/>
          <w:numId w:val="3"/>
        </w:numPr>
        <w:spacing w:line="240" w:lineRule="auto"/>
      </w:pPr>
      <w:r w:rsidRPr="00D5126A">
        <w:t>We are accountable for our actions and decisions</w:t>
      </w:r>
    </w:p>
    <w:p w:rsidR="00D7674C" w:rsidRPr="00D5126A" w:rsidRDefault="00D7674C" w:rsidP="00732E71">
      <w:pPr>
        <w:pStyle w:val="ListParagraph"/>
        <w:numPr>
          <w:ilvl w:val="0"/>
          <w:numId w:val="3"/>
        </w:numPr>
        <w:spacing w:line="240" w:lineRule="auto"/>
        <w:rPr>
          <w:b/>
        </w:rPr>
      </w:pPr>
      <w:r w:rsidRPr="00D5126A">
        <w:rPr>
          <w:b/>
        </w:rPr>
        <w:t>Mana tiaki: We care for our places</w:t>
      </w:r>
    </w:p>
    <w:p w:rsidR="00D7674C" w:rsidRPr="00D5126A" w:rsidRDefault="00D7674C" w:rsidP="00732E71">
      <w:pPr>
        <w:pStyle w:val="ListParagraph"/>
        <w:numPr>
          <w:ilvl w:val="1"/>
          <w:numId w:val="3"/>
        </w:numPr>
        <w:spacing w:line="240" w:lineRule="auto"/>
      </w:pPr>
      <w:r w:rsidRPr="00D5126A">
        <w:t>We protect our environment for future generations</w:t>
      </w:r>
    </w:p>
    <w:p w:rsidR="00D7674C" w:rsidRPr="00D5126A" w:rsidRDefault="00D7674C" w:rsidP="00732E71">
      <w:pPr>
        <w:pStyle w:val="ListParagraph"/>
        <w:numPr>
          <w:ilvl w:val="1"/>
          <w:numId w:val="3"/>
        </w:numPr>
        <w:spacing w:line="240" w:lineRule="auto"/>
      </w:pPr>
      <w:r w:rsidRPr="00D5126A">
        <w:t>We are guardians of ou</w:t>
      </w:r>
      <w:r w:rsidR="00D604E7" w:rsidRPr="00D5126A">
        <w:t>r</w:t>
      </w:r>
      <w:r w:rsidRPr="00D5126A">
        <w:t xml:space="preserve"> city's assets</w:t>
      </w:r>
    </w:p>
    <w:p w:rsidR="009C6A70" w:rsidRPr="00D5126A" w:rsidRDefault="00D7674C" w:rsidP="00732E71">
      <w:pPr>
        <w:pStyle w:val="ListParagraph"/>
        <w:numPr>
          <w:ilvl w:val="1"/>
          <w:numId w:val="3"/>
        </w:numPr>
        <w:spacing w:before="240" w:line="240" w:lineRule="auto"/>
      </w:pPr>
      <w:r w:rsidRPr="00D5126A">
        <w:t>We nurture our communities</w:t>
      </w:r>
    </w:p>
    <w:p w:rsidR="007D22C2" w:rsidRPr="00D5126A" w:rsidRDefault="00D7674C" w:rsidP="00732E71">
      <w:pPr>
        <w:pStyle w:val="ListParagraph"/>
        <w:numPr>
          <w:ilvl w:val="1"/>
          <w:numId w:val="3"/>
        </w:numPr>
        <w:spacing w:before="240" w:line="240" w:lineRule="auto"/>
      </w:pPr>
      <w:r w:rsidRPr="00D5126A">
        <w:t>We consider the impact of what we do</w:t>
      </w:r>
    </w:p>
    <w:p w:rsidR="008C5BCB" w:rsidRPr="00D5126A" w:rsidRDefault="007D22C2">
      <w:r w:rsidRPr="00D5126A">
        <w:br w:type="page"/>
      </w:r>
    </w:p>
    <w:p w:rsidR="00A31E3B" w:rsidRPr="00D5126A" w:rsidRDefault="00A31E3B" w:rsidP="00A31E3B">
      <w:pPr>
        <w:pStyle w:val="Heading2"/>
      </w:pPr>
      <w:bookmarkStart w:id="67" w:name="_Toc19085792"/>
      <w:bookmarkStart w:id="68" w:name="_Toc23758593"/>
      <w:r w:rsidRPr="00D5126A">
        <w:lastRenderedPageBreak/>
        <w:t xml:space="preserve">Your </w:t>
      </w:r>
      <w:bookmarkEnd w:id="67"/>
      <w:r w:rsidR="00465F3A">
        <w:t>r</w:t>
      </w:r>
      <w:r w:rsidR="00465F3A" w:rsidRPr="00D5126A">
        <w:t>epresentatives</w:t>
      </w:r>
      <w:bookmarkEnd w:id="68"/>
    </w:p>
    <w:p w:rsidR="00A31E3B" w:rsidRPr="00D5126A" w:rsidRDefault="00A31E3B" w:rsidP="004732EA">
      <w:r w:rsidRPr="00D5126A">
        <w:t xml:space="preserve">The wards </w:t>
      </w:r>
      <w:r w:rsidR="00022C2B">
        <w:t>and</w:t>
      </w:r>
      <w:r w:rsidRPr="00D5126A">
        <w:t xml:space="preserve"> elected Councillors for each are:</w:t>
      </w:r>
    </w:p>
    <w:p w:rsidR="00A31E3B" w:rsidRPr="00D5126A" w:rsidRDefault="00A31E3B" w:rsidP="004732EA">
      <w:pPr>
        <w:rPr>
          <w:rStyle w:val="00Text"/>
          <w:rFonts w:ascii="Arial" w:hAnsi="Arial" w:cs="Arial"/>
        </w:rPr>
        <w:sectPr w:rsidR="00A31E3B" w:rsidRPr="00D5126A" w:rsidSect="00A31E3B">
          <w:type w:val="continuous"/>
          <w:pgSz w:w="11905" w:h="16837"/>
          <w:pgMar w:top="993" w:right="1440" w:bottom="1440" w:left="1440" w:header="720" w:footer="562" w:gutter="0"/>
          <w:cols w:space="720"/>
          <w:docGrid w:linePitch="360"/>
        </w:sectPr>
      </w:pPr>
    </w:p>
    <w:p w:rsidR="00A31E3B" w:rsidRPr="00D5126A" w:rsidRDefault="00A31E3B" w:rsidP="004732EA">
      <w:pPr>
        <w:rPr>
          <w:rStyle w:val="00Text"/>
          <w:rFonts w:ascii="Arial" w:hAnsi="Arial" w:cs="Arial"/>
          <w:b w:val="0"/>
        </w:rPr>
      </w:pPr>
      <w:r w:rsidRPr="00D5126A">
        <w:rPr>
          <w:rStyle w:val="00Text"/>
          <w:rFonts w:ascii="Arial" w:hAnsi="Arial" w:cs="Arial"/>
        </w:rPr>
        <w:lastRenderedPageBreak/>
        <w:t>Citywide</w:t>
      </w:r>
      <w:r w:rsidR="00A46D38" w:rsidRPr="00D5126A">
        <w:rPr>
          <w:rStyle w:val="00Text"/>
          <w:rFonts w:ascii="Arial" w:hAnsi="Arial" w:cs="Arial"/>
        </w:rPr>
        <w:t xml:space="preserve"> </w:t>
      </w:r>
      <w:r w:rsidR="00A46D38" w:rsidRPr="00D5126A">
        <w:rPr>
          <w:rStyle w:val="00Text"/>
          <w:rFonts w:ascii="Arial" w:hAnsi="Arial" w:cs="Arial"/>
          <w:b w:val="0"/>
        </w:rPr>
        <w:t>(216,300</w:t>
      </w:r>
      <w:r w:rsidR="00151368" w:rsidRPr="00D5126A">
        <w:rPr>
          <w:rStyle w:val="00Text"/>
          <w:rFonts w:ascii="Arial" w:hAnsi="Arial" w:cs="Arial"/>
          <w:b w:val="0"/>
        </w:rPr>
        <w:t xml:space="preserve">) </w:t>
      </w:r>
      <w:r w:rsidRPr="00D5126A">
        <w:rPr>
          <w:rStyle w:val="00Text"/>
          <w:rFonts w:ascii="Arial" w:hAnsi="Arial" w:cs="Arial"/>
        </w:rPr>
        <w:br/>
      </w:r>
      <w:r w:rsidRPr="00D5126A">
        <w:rPr>
          <w:rStyle w:val="00Text"/>
          <w:rFonts w:ascii="Arial" w:hAnsi="Arial" w:cs="Arial"/>
          <w:b w:val="0"/>
        </w:rPr>
        <w:t>Mayor Justin Lester</w:t>
      </w:r>
    </w:p>
    <w:p w:rsidR="00A31E3B" w:rsidRPr="00D5126A" w:rsidRDefault="00A31E3B" w:rsidP="004732EA">
      <w:r w:rsidRPr="00D5126A">
        <w:rPr>
          <w:rStyle w:val="00Text"/>
          <w:rFonts w:ascii="Arial" w:hAnsi="Arial" w:cs="Arial"/>
        </w:rPr>
        <w:t>Takapū Northern Ward</w:t>
      </w:r>
      <w:r w:rsidRPr="00D5126A">
        <w:t xml:space="preserve"> (</w:t>
      </w:r>
      <w:r w:rsidR="00A46D38" w:rsidRPr="00D5126A">
        <w:t>48,700</w:t>
      </w:r>
      <w:r w:rsidR="00151368" w:rsidRPr="00D5126A">
        <w:t xml:space="preserve">) </w:t>
      </w:r>
      <w:r w:rsidRPr="00D5126A">
        <w:br/>
        <w:t>Jill Day (Deputy Mayor</w:t>
      </w:r>
      <w:proofErr w:type="gramStart"/>
      <w:r w:rsidRPr="00D5126A">
        <w:t>)</w:t>
      </w:r>
      <w:proofErr w:type="gramEnd"/>
      <w:r w:rsidRPr="00D5126A">
        <w:br/>
        <w:t>Peter Gilberd</w:t>
      </w:r>
      <w:r w:rsidRPr="00D5126A">
        <w:br/>
        <w:t>Malcolm Sparrow</w:t>
      </w:r>
    </w:p>
    <w:p w:rsidR="00A31E3B" w:rsidRPr="00D5126A" w:rsidRDefault="00A31E3B" w:rsidP="004732EA">
      <w:r w:rsidRPr="00D5126A">
        <w:rPr>
          <w:rStyle w:val="00Text"/>
          <w:rFonts w:ascii="Arial" w:hAnsi="Arial" w:cs="Arial"/>
        </w:rPr>
        <w:t>Wharangi Onslow-Western Ward</w:t>
      </w:r>
      <w:r w:rsidRPr="00D5126A">
        <w:t xml:space="preserve"> (</w:t>
      </w:r>
      <w:r w:rsidR="00A46D38" w:rsidRPr="00D5126A">
        <w:t>45,000</w:t>
      </w:r>
      <w:r w:rsidR="00151368" w:rsidRPr="00D5126A">
        <w:t xml:space="preserve">) </w:t>
      </w:r>
      <w:r w:rsidRPr="00D5126A">
        <w:br/>
        <w:t>Diane Calvert</w:t>
      </w:r>
      <w:r w:rsidRPr="00D5126A">
        <w:br/>
        <w:t>Andy Foster</w:t>
      </w:r>
      <w:r w:rsidRPr="00D5126A">
        <w:br/>
        <w:t>Simon Woolf</w:t>
      </w:r>
    </w:p>
    <w:p w:rsidR="00A31E3B" w:rsidRPr="00D5126A" w:rsidRDefault="00A31E3B" w:rsidP="004732EA">
      <w:r w:rsidRPr="00D5126A">
        <w:rPr>
          <w:rStyle w:val="00Text"/>
          <w:rFonts w:ascii="Arial" w:hAnsi="Arial" w:cs="Arial"/>
        </w:rPr>
        <w:br w:type="column"/>
      </w:r>
      <w:r w:rsidRPr="00D5126A">
        <w:rPr>
          <w:rStyle w:val="00Text"/>
          <w:rFonts w:ascii="Arial" w:hAnsi="Arial" w:cs="Arial"/>
        </w:rPr>
        <w:lastRenderedPageBreak/>
        <w:t>Pukehīnau Lambton Ward</w:t>
      </w:r>
      <w:r w:rsidRPr="00D5126A">
        <w:t xml:space="preserve"> (</w:t>
      </w:r>
      <w:r w:rsidR="00A46D38" w:rsidRPr="00D5126A">
        <w:t>53,500</w:t>
      </w:r>
      <w:r w:rsidR="00151368" w:rsidRPr="00D5126A">
        <w:t xml:space="preserve">) </w:t>
      </w:r>
      <w:r w:rsidRPr="00D5126A">
        <w:br/>
        <w:t>Brian Dawson</w:t>
      </w:r>
      <w:r w:rsidR="00A46D38" w:rsidRPr="00D5126A">
        <w:br/>
      </w:r>
      <w:r w:rsidRPr="00D5126A">
        <w:t>Iona Pannett</w:t>
      </w:r>
      <w:r w:rsidRPr="00D5126A">
        <w:br/>
        <w:t>Nicola Young</w:t>
      </w:r>
    </w:p>
    <w:p w:rsidR="00A31E3B" w:rsidRPr="00D5126A" w:rsidRDefault="00A31E3B" w:rsidP="004732EA">
      <w:r w:rsidRPr="00D5126A">
        <w:rPr>
          <w:rStyle w:val="00Text"/>
          <w:rFonts w:ascii="Arial" w:hAnsi="Arial" w:cs="Arial"/>
        </w:rPr>
        <w:t>Motukairangi Eastern Ward</w:t>
      </w:r>
      <w:r w:rsidRPr="00D5126A">
        <w:t xml:space="preserve"> (</w:t>
      </w:r>
      <w:r w:rsidR="00A46D38" w:rsidRPr="00D5126A">
        <w:t>39,700</w:t>
      </w:r>
      <w:r w:rsidR="00151368" w:rsidRPr="00D5126A">
        <w:t xml:space="preserve">) </w:t>
      </w:r>
      <w:r w:rsidRPr="00D5126A">
        <w:br/>
        <w:t>Chris Calvi-Freeman</w:t>
      </w:r>
      <w:r w:rsidRPr="00D5126A">
        <w:br/>
        <w:t>Sarah Free</w:t>
      </w:r>
      <w:r w:rsidRPr="00D5126A">
        <w:br/>
        <w:t>Simon Marsh</w:t>
      </w:r>
    </w:p>
    <w:p w:rsidR="00A31E3B" w:rsidRPr="00D5126A" w:rsidRDefault="00A31E3B" w:rsidP="004732EA">
      <w:r w:rsidRPr="00D5126A">
        <w:rPr>
          <w:rStyle w:val="00Text"/>
          <w:rFonts w:ascii="Arial" w:hAnsi="Arial" w:cs="Arial"/>
        </w:rPr>
        <w:t>Paekawakawa Southern Ward</w:t>
      </w:r>
      <w:r w:rsidRPr="00D5126A">
        <w:t xml:space="preserve"> (</w:t>
      </w:r>
      <w:r w:rsidR="00A46D38" w:rsidRPr="00D5126A">
        <w:t>29,400</w:t>
      </w:r>
      <w:r w:rsidR="00151368" w:rsidRPr="00D5126A">
        <w:t xml:space="preserve">) </w:t>
      </w:r>
      <w:r w:rsidRPr="00D5126A">
        <w:br/>
        <w:t>Fleur Fitzsimons</w:t>
      </w:r>
      <w:r w:rsidRPr="00D5126A">
        <w:br/>
        <w:t>David Lee</w:t>
      </w:r>
    </w:p>
    <w:p w:rsidR="00A31E3B" w:rsidRPr="00D5126A" w:rsidRDefault="00A31E3B" w:rsidP="004732EA">
      <w:pPr>
        <w:rPr>
          <w:highlight w:val="cyan"/>
        </w:rPr>
      </w:pPr>
      <w:r w:rsidRPr="00D5126A">
        <w:t xml:space="preserve">* </w:t>
      </w:r>
      <w:r w:rsidR="00A46D38" w:rsidRPr="00D5126A">
        <w:t xml:space="preserve">Population numbers are </w:t>
      </w:r>
      <w:r w:rsidR="00465F3A">
        <w:t xml:space="preserve">Statistics NZ </w:t>
      </w:r>
      <w:r w:rsidR="00A46D38" w:rsidRPr="00D5126A">
        <w:t>estimate</w:t>
      </w:r>
      <w:r w:rsidR="00465F3A">
        <w:t>s</w:t>
      </w:r>
      <w:r w:rsidR="00A46D38" w:rsidRPr="00D5126A">
        <w:t xml:space="preserve"> as of 30 June 2018. </w:t>
      </w:r>
    </w:p>
    <w:p w:rsidR="00A31E3B" w:rsidRPr="00D5126A" w:rsidRDefault="00A31E3B" w:rsidP="004732EA">
      <w:pPr>
        <w:rPr>
          <w:highlight w:val="cyan"/>
          <w:lang w:eastAsia="en-NZ"/>
        </w:rPr>
        <w:sectPr w:rsidR="00A31E3B" w:rsidRPr="00D5126A" w:rsidSect="009C620A">
          <w:type w:val="continuous"/>
          <w:pgSz w:w="11905" w:h="16837"/>
          <w:pgMar w:top="1276" w:right="1440" w:bottom="1440" w:left="1440" w:header="720" w:footer="562" w:gutter="0"/>
          <w:cols w:num="2" w:space="720"/>
          <w:docGrid w:linePitch="360"/>
        </w:sectPr>
      </w:pPr>
    </w:p>
    <w:p w:rsidR="00A31E3B" w:rsidRPr="00D5126A" w:rsidRDefault="00FD4C7C" w:rsidP="004732EA">
      <w:r w:rsidRPr="00D5126A">
        <w:lastRenderedPageBreak/>
        <w:t>M</w:t>
      </w:r>
      <w:r w:rsidR="00792F62" w:rsidRPr="00D5126A">
        <w:t xml:space="preserve">ore information on the role of </w:t>
      </w:r>
      <w:r w:rsidRPr="00D5126A">
        <w:t xml:space="preserve">our </w:t>
      </w:r>
      <w:r w:rsidR="00354EDF" w:rsidRPr="00D5126A">
        <w:t>democratic</w:t>
      </w:r>
      <w:r w:rsidRPr="00D5126A">
        <w:t xml:space="preserve"> governance</w:t>
      </w:r>
      <w:r w:rsidR="00792F62" w:rsidRPr="00D5126A">
        <w:t xml:space="preserve">, profiles of Councillors, </w:t>
      </w:r>
      <w:r w:rsidRPr="00D5126A">
        <w:t xml:space="preserve">our </w:t>
      </w:r>
      <w:r w:rsidR="00792F62" w:rsidRPr="00D5126A">
        <w:t>committee st</w:t>
      </w:r>
      <w:r w:rsidRPr="00D5126A">
        <w:t xml:space="preserve">ructure, advisory groups and community boards </w:t>
      </w:r>
      <w:r w:rsidR="00EE17C8">
        <w:t xml:space="preserve">can be found </w:t>
      </w:r>
      <w:r w:rsidRPr="00D5126A">
        <w:t xml:space="preserve">in Section 4: Governance and Management. </w:t>
      </w:r>
    </w:p>
    <w:p w:rsidR="004732EA" w:rsidRPr="00D5126A" w:rsidRDefault="004732EA">
      <w:pPr>
        <w:rPr>
          <w:rFonts w:asciiTheme="majorHAnsi" w:eastAsiaTheme="majorEastAsia" w:hAnsiTheme="majorHAnsi"/>
          <w:b/>
          <w:bCs/>
          <w:color w:val="002060"/>
          <w:sz w:val="52"/>
          <w:szCs w:val="28"/>
        </w:rPr>
      </w:pPr>
      <w:bookmarkStart w:id="69" w:name="Summary_of_our_year"/>
      <w:bookmarkStart w:id="70" w:name="PPSid1714"/>
      <w:bookmarkStart w:id="71" w:name="_Toc528234292"/>
      <w:bookmarkStart w:id="72" w:name="_Toc14178502"/>
      <w:r w:rsidRPr="00D5126A">
        <w:br w:type="page"/>
      </w:r>
    </w:p>
    <w:p w:rsidR="005C42CB" w:rsidRPr="00D5126A" w:rsidRDefault="00B265E5" w:rsidP="00556359">
      <w:pPr>
        <w:pStyle w:val="Heading1"/>
      </w:pPr>
      <w:bookmarkStart w:id="73" w:name="_Toc19085793"/>
      <w:bookmarkStart w:id="74" w:name="_Toc23758594"/>
      <w:r w:rsidRPr="00D5126A">
        <w:lastRenderedPageBreak/>
        <w:t xml:space="preserve">Section 2: </w:t>
      </w:r>
      <w:r w:rsidR="005C42CB" w:rsidRPr="00D5126A">
        <w:t>Summary of our year</w:t>
      </w:r>
      <w:bookmarkEnd w:id="69"/>
      <w:bookmarkEnd w:id="70"/>
      <w:bookmarkEnd w:id="71"/>
      <w:bookmarkEnd w:id="72"/>
      <w:bookmarkEnd w:id="73"/>
      <w:bookmarkEnd w:id="74"/>
    </w:p>
    <w:p w:rsidR="003E2037" w:rsidRDefault="003E2037" w:rsidP="003E2037">
      <w:pPr>
        <w:pStyle w:val="Heading4"/>
      </w:pPr>
      <w:r>
        <w:t xml:space="preserve">I tēnei wāhanga  </w:t>
      </w:r>
    </w:p>
    <w:p w:rsidR="003E2037" w:rsidRDefault="003E2037" w:rsidP="003E2037">
      <w:r>
        <w:t xml:space="preserve">Kei tēnei wāhanga he tirohanga </w:t>
      </w:r>
      <w:proofErr w:type="gramStart"/>
      <w:r>
        <w:t xml:space="preserve">whānui  </w:t>
      </w:r>
      <w:r w:rsidRPr="003E2037">
        <w:t>te</w:t>
      </w:r>
      <w:proofErr w:type="gramEnd"/>
      <w:r w:rsidRPr="003E2037">
        <w:t xml:space="preserve"> tau nā te Koromatua me te Tumu</w:t>
      </w:r>
      <w:r>
        <w:t xml:space="preserve"> </w:t>
      </w:r>
      <w:r w:rsidRPr="003E2037">
        <w:t>Whakarae, te tirohanga whānui ki tō mātou pakihi matua, he whakarāpopoto hoki i ā mātou whakatutukinga i tēnei tau.</w:t>
      </w:r>
    </w:p>
    <w:p w:rsidR="00AD0CD3" w:rsidRPr="00D5126A" w:rsidRDefault="00AD0CD3" w:rsidP="00846C1B">
      <w:pPr>
        <w:pStyle w:val="Heading4"/>
      </w:pPr>
      <w:r w:rsidRPr="00D5126A">
        <w:t>In this section</w:t>
      </w:r>
    </w:p>
    <w:p w:rsidR="00AD0CD3" w:rsidRPr="00D5126A" w:rsidRDefault="00AD0CD3" w:rsidP="00AD0CD3">
      <w:pPr>
        <w:spacing w:line="240" w:lineRule="auto"/>
      </w:pPr>
      <w:r w:rsidRPr="00D5126A">
        <w:t xml:space="preserve">This section includes an overview of the year from the Mayor and Chief Executive, the overview of our core business, and summaries of our performance this year. </w:t>
      </w:r>
    </w:p>
    <w:p w:rsidR="008C7927" w:rsidRPr="00D5126A" w:rsidRDefault="008C7927" w:rsidP="00810293">
      <w:pPr>
        <w:pStyle w:val="Heading2"/>
      </w:pPr>
      <w:bookmarkStart w:id="75" w:name="_Toc14178493"/>
      <w:bookmarkStart w:id="76" w:name="_Toc19085794"/>
      <w:bookmarkStart w:id="77" w:name="_Toc23758595"/>
      <w:r w:rsidRPr="00D5126A">
        <w:t>Mayor’s introduction</w:t>
      </w:r>
      <w:bookmarkEnd w:id="75"/>
      <w:bookmarkEnd w:id="76"/>
      <w:bookmarkEnd w:id="77"/>
    </w:p>
    <w:p w:rsidR="00151368" w:rsidRPr="004C3891" w:rsidRDefault="00151368" w:rsidP="00151368">
      <w:pPr>
        <w:pStyle w:val="Heading3"/>
      </w:pPr>
      <w:bookmarkStart w:id="78" w:name="_Toc19085795"/>
      <w:r w:rsidRPr="004C3891">
        <w:t xml:space="preserve">Te whakarite i a Pōneke </w:t>
      </w:r>
      <w:proofErr w:type="gramStart"/>
      <w:r w:rsidRPr="004C3891">
        <w:t>kia</w:t>
      </w:r>
      <w:proofErr w:type="gramEnd"/>
      <w:r w:rsidRPr="004C3891">
        <w:t xml:space="preserve"> pakari ai te anamata</w:t>
      </w:r>
    </w:p>
    <w:p w:rsidR="00151368" w:rsidRPr="004C3891" w:rsidRDefault="00151368" w:rsidP="00151368">
      <w:pPr>
        <w:rPr>
          <w:rFonts w:ascii="Arial" w:hAnsi="Arial"/>
          <w:lang w:eastAsia="en-NZ"/>
        </w:rPr>
      </w:pPr>
      <w:r w:rsidRPr="004C3891">
        <w:rPr>
          <w:rFonts w:ascii="Arial" w:hAnsi="Arial"/>
          <w:lang w:eastAsia="en-NZ"/>
        </w:rPr>
        <w:t xml:space="preserve">Kei </w:t>
      </w:r>
      <w:proofErr w:type="gramStart"/>
      <w:r w:rsidRPr="004C3891">
        <w:rPr>
          <w:rFonts w:ascii="Arial" w:hAnsi="Arial"/>
          <w:lang w:eastAsia="en-NZ"/>
        </w:rPr>
        <w:t>te</w:t>
      </w:r>
      <w:proofErr w:type="gramEnd"/>
      <w:r w:rsidRPr="004C3891">
        <w:rPr>
          <w:rFonts w:ascii="Arial" w:hAnsi="Arial"/>
          <w:lang w:eastAsia="en-NZ"/>
        </w:rPr>
        <w:t xml:space="preserve"> paripari o panoni a Pōneke. I tēnei tau kua hori kua whai whakataunga uaua mātou hei whakarite tūāpapa </w:t>
      </w:r>
      <w:proofErr w:type="gramStart"/>
      <w:r w:rsidRPr="004C3891">
        <w:rPr>
          <w:rFonts w:ascii="Arial" w:hAnsi="Arial"/>
          <w:lang w:eastAsia="en-NZ"/>
        </w:rPr>
        <w:t>kia</w:t>
      </w:r>
      <w:proofErr w:type="gramEnd"/>
      <w:r w:rsidRPr="004C3891">
        <w:rPr>
          <w:rFonts w:ascii="Arial" w:hAnsi="Arial"/>
          <w:lang w:eastAsia="en-NZ"/>
        </w:rPr>
        <w:t xml:space="preserve"> pai ake ai, kia pakari ake ai tō tātou tāone nui. </w:t>
      </w:r>
      <w:proofErr w:type="gramStart"/>
      <w:r w:rsidRPr="004C3891">
        <w:rPr>
          <w:rFonts w:ascii="Arial" w:hAnsi="Arial"/>
          <w:lang w:eastAsia="en-NZ"/>
        </w:rPr>
        <w:t>Ka maha ake ēnei whakataunga nui hei ngā tau e heke mai nei.</w:t>
      </w:r>
      <w:proofErr w:type="gramEnd"/>
      <w:r w:rsidRPr="004C3891">
        <w:rPr>
          <w:rFonts w:ascii="Arial" w:hAnsi="Arial"/>
          <w:lang w:eastAsia="en-NZ"/>
        </w:rPr>
        <w:t xml:space="preserve"> </w:t>
      </w:r>
    </w:p>
    <w:p w:rsidR="00151368" w:rsidRPr="004C3891" w:rsidRDefault="00151368" w:rsidP="00151368">
      <w:pPr>
        <w:rPr>
          <w:rFonts w:ascii="Arial" w:hAnsi="Arial"/>
          <w:lang w:eastAsia="en-NZ"/>
        </w:rPr>
      </w:pPr>
      <w:r w:rsidRPr="004C3891">
        <w:rPr>
          <w:rFonts w:ascii="Arial" w:hAnsi="Arial"/>
          <w:lang w:eastAsia="en-NZ"/>
        </w:rPr>
        <w:t xml:space="preserve">Mā ā mātou mahi o nāianei e taea ai </w:t>
      </w:r>
      <w:proofErr w:type="gramStart"/>
      <w:r w:rsidRPr="004C3891">
        <w:rPr>
          <w:rFonts w:ascii="Arial" w:hAnsi="Arial"/>
          <w:lang w:eastAsia="en-NZ"/>
        </w:rPr>
        <w:t>te</w:t>
      </w:r>
      <w:proofErr w:type="gramEnd"/>
      <w:r w:rsidRPr="004C3891">
        <w:rPr>
          <w:rFonts w:ascii="Arial" w:hAnsi="Arial"/>
          <w:lang w:eastAsia="en-NZ"/>
        </w:rPr>
        <w:t xml:space="preserve"> pupuri tō tātou tupuranga, tō tātou maneatanga, tō tātou nōhanga pai hoki, i a tātou e aro ana ki ngā wero kei tua. Me takatū tātou mō </w:t>
      </w:r>
      <w:proofErr w:type="gramStart"/>
      <w:r w:rsidRPr="004C3891">
        <w:rPr>
          <w:rFonts w:ascii="Arial" w:hAnsi="Arial"/>
          <w:lang w:eastAsia="en-NZ"/>
        </w:rPr>
        <w:t>te</w:t>
      </w:r>
      <w:proofErr w:type="gramEnd"/>
      <w:r w:rsidRPr="004C3891">
        <w:rPr>
          <w:rFonts w:ascii="Arial" w:hAnsi="Arial"/>
          <w:lang w:eastAsia="en-NZ"/>
        </w:rPr>
        <w:t xml:space="preserve"> tupuranga taupori, mō ngā huarere matewhawhati nā te hurihanga āhuarangi me te tūponotanga o tētahi anō rū whenua.</w:t>
      </w:r>
    </w:p>
    <w:p w:rsidR="00151368" w:rsidRPr="004C3891" w:rsidRDefault="00151368" w:rsidP="00151368">
      <w:pPr>
        <w:rPr>
          <w:rFonts w:ascii="Arial" w:hAnsi="Arial"/>
          <w:lang w:eastAsia="en-NZ"/>
        </w:rPr>
      </w:pPr>
      <w:r w:rsidRPr="004C3891">
        <w:rPr>
          <w:rFonts w:ascii="Arial" w:hAnsi="Arial"/>
          <w:lang w:eastAsia="en-NZ"/>
        </w:rPr>
        <w:t xml:space="preserve">Me tiaki hoki tātou i </w:t>
      </w:r>
      <w:proofErr w:type="gramStart"/>
      <w:r w:rsidRPr="004C3891">
        <w:rPr>
          <w:rFonts w:ascii="Arial" w:hAnsi="Arial"/>
          <w:lang w:eastAsia="en-NZ"/>
        </w:rPr>
        <w:t>te</w:t>
      </w:r>
      <w:proofErr w:type="gramEnd"/>
      <w:r w:rsidRPr="004C3891">
        <w:rPr>
          <w:rFonts w:ascii="Arial" w:hAnsi="Arial"/>
          <w:lang w:eastAsia="en-NZ"/>
        </w:rPr>
        <w:t xml:space="preserve"> āhuatanga motuhake o tō tātou tāone nui. I tēnei tau i koke tātou i te whakaurunga o te reo Māori ki roto i ā tātou mahi o ia rā mā te waihanga i tētahi mahere whakahohe mō Te Tauihu, arā ko tā tātou kaupapa here reo Māori. I manaakitia hoki e tātou Te Matatini ki </w:t>
      </w:r>
      <w:proofErr w:type="gramStart"/>
      <w:r w:rsidRPr="004C3891">
        <w:rPr>
          <w:rFonts w:ascii="Arial" w:hAnsi="Arial"/>
          <w:lang w:eastAsia="en-NZ"/>
        </w:rPr>
        <w:t>te</w:t>
      </w:r>
      <w:proofErr w:type="gramEnd"/>
      <w:r w:rsidRPr="004C3891">
        <w:rPr>
          <w:rFonts w:ascii="Arial" w:hAnsi="Arial"/>
          <w:lang w:eastAsia="en-NZ"/>
        </w:rPr>
        <w:t xml:space="preserve"> Ao, te ahurei kapa haka ā-motu, te ahurei i tauawhitia e ngā tāngata 40,000 o Pōneke, o waho atu hoki.  </w:t>
      </w:r>
    </w:p>
    <w:p w:rsidR="00151368" w:rsidRPr="004C3891" w:rsidRDefault="00151368" w:rsidP="00151368">
      <w:pPr>
        <w:rPr>
          <w:rFonts w:ascii="Arial" w:hAnsi="Arial"/>
          <w:lang w:eastAsia="en-NZ"/>
        </w:rPr>
      </w:pPr>
      <w:r w:rsidRPr="004C3891">
        <w:rPr>
          <w:rFonts w:ascii="Arial" w:hAnsi="Arial"/>
          <w:lang w:eastAsia="en-NZ"/>
        </w:rPr>
        <w:t xml:space="preserve">He rā pōuri i te marama o Poutūterangi i te wā i katia Te Whare Pukapuka Matua, ā, i tauākītia ka raru ina tūpono ai he rū whenua. Heoi anō, he hōnore mōku te whakatuwhera i te Pokapū Ratonga Arapaki me Te Whare Pukapuka nō muri tata mai, ā, e manawanui ana te Kaunihera kia pupuri tonu i ngā ratonga whare pukapuka i tō tātou Pokapū Tāone Nui, te wāhi i whakaratohia ai aua ratonga mai i te tau 1893.  </w:t>
      </w:r>
    </w:p>
    <w:p w:rsidR="00151368" w:rsidRPr="004C3891" w:rsidRDefault="00151368" w:rsidP="00151368">
      <w:pPr>
        <w:rPr>
          <w:rFonts w:ascii="Arial" w:hAnsi="Arial"/>
          <w:lang w:eastAsia="en-NZ"/>
        </w:rPr>
      </w:pPr>
      <w:r w:rsidRPr="004C3891">
        <w:rPr>
          <w:rFonts w:ascii="Arial" w:hAnsi="Arial"/>
          <w:lang w:eastAsia="en-NZ"/>
        </w:rPr>
        <w:t xml:space="preserve">Kua tīmata </w:t>
      </w:r>
      <w:proofErr w:type="gramStart"/>
      <w:r w:rsidRPr="004C3891">
        <w:rPr>
          <w:rFonts w:ascii="Arial" w:hAnsi="Arial"/>
          <w:lang w:eastAsia="en-NZ"/>
        </w:rPr>
        <w:t>te</w:t>
      </w:r>
      <w:proofErr w:type="gramEnd"/>
      <w:r w:rsidRPr="004C3891">
        <w:rPr>
          <w:rFonts w:ascii="Arial" w:hAnsi="Arial"/>
          <w:lang w:eastAsia="en-NZ"/>
        </w:rPr>
        <w:t xml:space="preserve"> whakapakari i te Whare Tapere o Hato Hēmi, ā, he kāinga hou tō te Royal NZ Ballet kei tētahi whare taupua, kei te tūnga waka o Michael Fowler. I tēnei tau kua tīmata hoki </w:t>
      </w:r>
      <w:proofErr w:type="gramStart"/>
      <w:r w:rsidRPr="004C3891">
        <w:rPr>
          <w:rFonts w:ascii="Arial" w:hAnsi="Arial"/>
          <w:lang w:eastAsia="en-NZ"/>
        </w:rPr>
        <w:t>te</w:t>
      </w:r>
      <w:proofErr w:type="gramEnd"/>
      <w:r w:rsidRPr="004C3891">
        <w:rPr>
          <w:rFonts w:ascii="Arial" w:hAnsi="Arial"/>
          <w:lang w:eastAsia="en-NZ"/>
        </w:rPr>
        <w:t xml:space="preserve"> mahi ki tō tātou tino Hōro Tāone, me te aha, ka hangaia houtia kia hoki anō ki tōna hanga o mua me te whakapūmau i tōna haumarutanga mō ngā tau 100 kei tua.  </w:t>
      </w:r>
    </w:p>
    <w:p w:rsidR="00151368" w:rsidRPr="004C3891" w:rsidRDefault="00151368" w:rsidP="00151368">
      <w:pPr>
        <w:rPr>
          <w:rFonts w:ascii="Arial" w:hAnsi="Arial"/>
          <w:lang w:eastAsia="en-NZ"/>
        </w:rPr>
      </w:pPr>
      <w:r w:rsidRPr="004C3891">
        <w:rPr>
          <w:rFonts w:ascii="Arial" w:hAnsi="Arial"/>
          <w:lang w:eastAsia="en-NZ"/>
        </w:rPr>
        <w:t xml:space="preserve">He wāhanga nui tō </w:t>
      </w:r>
      <w:proofErr w:type="gramStart"/>
      <w:r w:rsidRPr="004C3891">
        <w:rPr>
          <w:rFonts w:ascii="Arial" w:hAnsi="Arial"/>
          <w:lang w:eastAsia="en-NZ"/>
        </w:rPr>
        <w:t>te</w:t>
      </w:r>
      <w:proofErr w:type="gramEnd"/>
      <w:r w:rsidRPr="004C3891">
        <w:rPr>
          <w:rFonts w:ascii="Arial" w:hAnsi="Arial"/>
          <w:lang w:eastAsia="en-NZ"/>
        </w:rPr>
        <w:t xml:space="preserve"> taiao māori e motuhake ai a Pōneke. I tēnei tau i whakaae ngā Kaikaunihera ki tā tātou mahere Tuatahi ki </w:t>
      </w:r>
      <w:proofErr w:type="gramStart"/>
      <w:r w:rsidRPr="004C3891">
        <w:rPr>
          <w:rFonts w:ascii="Arial" w:hAnsi="Arial"/>
          <w:lang w:eastAsia="en-NZ"/>
        </w:rPr>
        <w:t>te</w:t>
      </w:r>
      <w:proofErr w:type="gramEnd"/>
      <w:r w:rsidRPr="004C3891">
        <w:rPr>
          <w:rFonts w:ascii="Arial" w:hAnsi="Arial"/>
          <w:lang w:eastAsia="en-NZ"/>
        </w:rPr>
        <w:t xml:space="preserve"> Kore (Te Atakura) mō te whakaheke i ā tātou whakaputanga haukino, i tīmata tā tātou mahi tuatahi ki te Tāpui Wai 35-miriona-rita o Omāroro/Wheao o Wērā ki Pukeahu, ā, kua whakatere ake i ā mātou mahi kia noho konihi-kore a Pōneke. </w:t>
      </w:r>
    </w:p>
    <w:p w:rsidR="00151368" w:rsidRPr="004C3891" w:rsidRDefault="00151368" w:rsidP="00151368">
      <w:pPr>
        <w:rPr>
          <w:rFonts w:ascii="Arial" w:hAnsi="Arial"/>
          <w:lang w:eastAsia="en-NZ"/>
        </w:rPr>
      </w:pPr>
      <w:r w:rsidRPr="004C3891">
        <w:rPr>
          <w:rFonts w:ascii="Arial" w:hAnsi="Arial"/>
          <w:lang w:eastAsia="en-NZ"/>
        </w:rPr>
        <w:t xml:space="preserve">He mea nui </w:t>
      </w:r>
      <w:proofErr w:type="gramStart"/>
      <w:r w:rsidRPr="004C3891">
        <w:rPr>
          <w:rFonts w:ascii="Arial" w:hAnsi="Arial"/>
          <w:lang w:eastAsia="en-NZ"/>
        </w:rPr>
        <w:t>kia</w:t>
      </w:r>
      <w:proofErr w:type="gramEnd"/>
      <w:r w:rsidRPr="004C3891">
        <w:rPr>
          <w:rFonts w:ascii="Arial" w:hAnsi="Arial"/>
          <w:lang w:eastAsia="en-NZ"/>
        </w:rPr>
        <w:t xml:space="preserve"> whakahihiko tonu tātou i tō tātou ōhanga me te whakarauora i tō tātou taiao māori. I whakaaetia </w:t>
      </w:r>
      <w:proofErr w:type="gramStart"/>
      <w:r w:rsidRPr="004C3891">
        <w:rPr>
          <w:rFonts w:ascii="Arial" w:hAnsi="Arial"/>
          <w:lang w:eastAsia="en-NZ"/>
        </w:rPr>
        <w:t>te</w:t>
      </w:r>
      <w:proofErr w:type="gramEnd"/>
      <w:r w:rsidRPr="004C3891">
        <w:rPr>
          <w:rFonts w:ascii="Arial" w:hAnsi="Arial"/>
          <w:lang w:eastAsia="en-NZ"/>
        </w:rPr>
        <w:t xml:space="preserve"> whakaaetanga rawa taiao mō te Whare Hui, Whare Whakaaturanga o Pōneke i te Hōngongoi, ā, ka tīmata te hanga hei te mutunga o 2019. Mā </w:t>
      </w:r>
      <w:proofErr w:type="gramStart"/>
      <w:r w:rsidRPr="004C3891">
        <w:rPr>
          <w:rFonts w:ascii="Arial" w:hAnsi="Arial"/>
          <w:lang w:eastAsia="en-NZ"/>
        </w:rPr>
        <w:t>te</w:t>
      </w:r>
      <w:proofErr w:type="gramEnd"/>
      <w:r w:rsidRPr="004C3891">
        <w:rPr>
          <w:rFonts w:ascii="Arial" w:hAnsi="Arial"/>
          <w:lang w:eastAsia="en-NZ"/>
        </w:rPr>
        <w:t xml:space="preserve"> whare e tahuri i </w:t>
      </w:r>
      <w:r w:rsidRPr="004C3891">
        <w:rPr>
          <w:rFonts w:ascii="Arial" w:hAnsi="Arial"/>
          <w:lang w:eastAsia="en-NZ"/>
        </w:rPr>
        <w:lastRenderedPageBreak/>
        <w:t xml:space="preserve">te wāhi e karapoti ana i a ia, ā, e hiamo ana ahau ki te maeatanga ake o tētahi wāhi hou, ngangahau hoki o te tāone nui.  </w:t>
      </w:r>
    </w:p>
    <w:p w:rsidR="00151368" w:rsidRPr="004C3891" w:rsidRDefault="00151368" w:rsidP="00151368">
      <w:pPr>
        <w:rPr>
          <w:rFonts w:ascii="Arial" w:hAnsi="Arial"/>
          <w:lang w:eastAsia="en-NZ"/>
        </w:rPr>
      </w:pPr>
      <w:r w:rsidRPr="004C3891">
        <w:rPr>
          <w:rFonts w:ascii="Arial" w:hAnsi="Arial"/>
          <w:lang w:eastAsia="en-NZ"/>
        </w:rPr>
        <w:t xml:space="preserve">Nā ngā whakaritenga huhua i tēnei tau i whiwhi tonu ai mātou i te tautoko nui mō ā mātou whakapaunga moni whakaarotau: te manawaroatanga me te taiao, te hanga whare, te kawe tāngata, te tupuranga toitū, te mahi toi me te ahurea. Ka kitea i tēnei pūrongo i kaha whakatutuki mātou i ēnei whakaarotau i tēnei tau, ā, ka pērā tonu i a mātou ka whakarite i a Pōneke mō </w:t>
      </w:r>
      <w:proofErr w:type="gramStart"/>
      <w:r w:rsidRPr="004C3891">
        <w:rPr>
          <w:rFonts w:ascii="Arial" w:hAnsi="Arial"/>
          <w:lang w:eastAsia="en-NZ"/>
        </w:rPr>
        <w:t>te</w:t>
      </w:r>
      <w:proofErr w:type="gramEnd"/>
      <w:r w:rsidRPr="004C3891">
        <w:rPr>
          <w:rFonts w:ascii="Arial" w:hAnsi="Arial"/>
          <w:lang w:eastAsia="en-NZ"/>
        </w:rPr>
        <w:t xml:space="preserve"> anamata whakaihiihi. </w:t>
      </w:r>
    </w:p>
    <w:p w:rsidR="00151368" w:rsidRPr="004C3891" w:rsidRDefault="00151368" w:rsidP="00151368">
      <w:pPr>
        <w:rPr>
          <w:rFonts w:ascii="Arial" w:hAnsi="Arial"/>
          <w:lang w:eastAsia="en-NZ"/>
        </w:rPr>
      </w:pPr>
      <w:r w:rsidRPr="004C3891">
        <w:rPr>
          <w:rFonts w:ascii="Arial" w:hAnsi="Arial"/>
          <w:lang w:eastAsia="en-NZ"/>
        </w:rPr>
        <w:t xml:space="preserve">I haere tonu te whakapakari i te āheinga ki te tō mai i ngā manuhiri ki te tāone matua mō te mahi pakihi, mō te ahurea hoki, koia i tū ai ngā takunetanga ā-motu āhua maha mō te hākinakina, mō te ōhanga, mō te ahurea hoki. I piki </w:t>
      </w:r>
      <w:proofErr w:type="gramStart"/>
      <w:r w:rsidRPr="004C3891">
        <w:rPr>
          <w:rFonts w:ascii="Arial" w:hAnsi="Arial"/>
          <w:lang w:eastAsia="en-NZ"/>
        </w:rPr>
        <w:t>te</w:t>
      </w:r>
      <w:proofErr w:type="gramEnd"/>
      <w:r w:rsidRPr="004C3891">
        <w:rPr>
          <w:rFonts w:ascii="Arial" w:hAnsi="Arial"/>
          <w:lang w:eastAsia="en-NZ"/>
        </w:rPr>
        <w:t xml:space="preserve"> tokomaha o ngā manuhiri nō whenua kē, ā, mō te tau tuarua piritata neke atu i te $2.5 piriona i whakapaua e ngā manuhiri i Pōneke. Kua haere tonu hoki tā mātou tautoko i </w:t>
      </w:r>
      <w:proofErr w:type="gramStart"/>
      <w:r w:rsidRPr="004C3891">
        <w:rPr>
          <w:rFonts w:ascii="Arial" w:hAnsi="Arial"/>
          <w:lang w:eastAsia="en-NZ"/>
        </w:rPr>
        <w:t>te</w:t>
      </w:r>
      <w:proofErr w:type="gramEnd"/>
      <w:r w:rsidRPr="004C3891">
        <w:rPr>
          <w:rFonts w:ascii="Arial" w:hAnsi="Arial"/>
          <w:lang w:eastAsia="en-NZ"/>
        </w:rPr>
        <w:t xml:space="preserve"> hunga e matea nuitia ana mā ngā kaupapa hapori, hei āwhina hoki ki te hono i ngā hapori, tae rawa tonu ki te tāone nui.  </w:t>
      </w:r>
    </w:p>
    <w:p w:rsidR="00151368" w:rsidRPr="004C3891" w:rsidRDefault="00151368" w:rsidP="00151368">
      <w:pPr>
        <w:rPr>
          <w:rFonts w:ascii="Arial" w:hAnsi="Arial"/>
          <w:lang w:eastAsia="en-NZ"/>
        </w:rPr>
      </w:pPr>
      <w:r w:rsidRPr="004C3891">
        <w:rPr>
          <w:rFonts w:ascii="Arial" w:hAnsi="Arial"/>
          <w:lang w:eastAsia="en-NZ"/>
        </w:rPr>
        <w:t xml:space="preserve">He </w:t>
      </w:r>
      <w:proofErr w:type="gramStart"/>
      <w:r w:rsidRPr="004C3891">
        <w:rPr>
          <w:rFonts w:ascii="Arial" w:hAnsi="Arial"/>
          <w:lang w:eastAsia="en-NZ"/>
        </w:rPr>
        <w:t>wā</w:t>
      </w:r>
      <w:proofErr w:type="gramEnd"/>
      <w:r w:rsidRPr="004C3891">
        <w:rPr>
          <w:rFonts w:ascii="Arial" w:hAnsi="Arial"/>
          <w:lang w:eastAsia="en-NZ"/>
        </w:rPr>
        <w:t xml:space="preserve"> panoni tēnei mō Pōneke, me te aha, me rite ngā tāngata o Pōneke mō ētahi tauwhatinga. E tonoa ana </w:t>
      </w:r>
      <w:proofErr w:type="gramStart"/>
      <w:r w:rsidRPr="004C3891">
        <w:rPr>
          <w:rFonts w:ascii="Arial" w:hAnsi="Arial"/>
          <w:lang w:eastAsia="en-NZ"/>
        </w:rPr>
        <w:t>kia</w:t>
      </w:r>
      <w:proofErr w:type="gramEnd"/>
      <w:r w:rsidRPr="004C3891">
        <w:rPr>
          <w:rFonts w:ascii="Arial" w:hAnsi="Arial"/>
          <w:lang w:eastAsia="en-NZ"/>
        </w:rPr>
        <w:t xml:space="preserve"> manawanui mai.  </w:t>
      </w:r>
    </w:p>
    <w:p w:rsidR="00151368" w:rsidRPr="004C3891" w:rsidRDefault="00151368" w:rsidP="00151368">
      <w:pPr>
        <w:rPr>
          <w:rFonts w:ascii="Arial" w:hAnsi="Arial"/>
          <w:lang w:eastAsia="en-NZ"/>
        </w:rPr>
      </w:pPr>
      <w:r w:rsidRPr="004C3891">
        <w:rPr>
          <w:rFonts w:ascii="Arial" w:hAnsi="Arial"/>
          <w:lang w:eastAsia="en-NZ"/>
        </w:rPr>
        <w:t xml:space="preserve">Kua whakapau kaha mātou </w:t>
      </w:r>
      <w:proofErr w:type="gramStart"/>
      <w:r w:rsidRPr="004C3891">
        <w:rPr>
          <w:rFonts w:ascii="Arial" w:hAnsi="Arial"/>
          <w:lang w:eastAsia="en-NZ"/>
        </w:rPr>
        <w:t>kia</w:t>
      </w:r>
      <w:proofErr w:type="gramEnd"/>
      <w:r w:rsidRPr="004C3891">
        <w:rPr>
          <w:rFonts w:ascii="Arial" w:hAnsi="Arial"/>
          <w:lang w:eastAsia="en-NZ"/>
        </w:rPr>
        <w:t xml:space="preserve"> ngāwari ai te utu o ngā rēti. </w:t>
      </w:r>
      <w:proofErr w:type="gramStart"/>
      <w:r w:rsidRPr="004C3891">
        <w:rPr>
          <w:rFonts w:ascii="Arial" w:hAnsi="Arial"/>
          <w:lang w:eastAsia="en-NZ"/>
        </w:rPr>
        <w:t>He Kaunihera ahumoni pakari mātou, e whai ana i tētahi hōtaka mahi whai wawata.</w:t>
      </w:r>
      <w:proofErr w:type="gramEnd"/>
      <w:r w:rsidRPr="004C3891">
        <w:rPr>
          <w:rFonts w:ascii="Arial" w:hAnsi="Arial"/>
          <w:lang w:eastAsia="en-NZ"/>
        </w:rPr>
        <w:t xml:space="preserve"> E pai ana ā mātou pukapuka, ā, </w:t>
      </w:r>
      <w:proofErr w:type="gramStart"/>
      <w:r w:rsidRPr="004C3891">
        <w:rPr>
          <w:rFonts w:ascii="Arial" w:hAnsi="Arial"/>
          <w:lang w:eastAsia="en-NZ"/>
        </w:rPr>
        <w:t>ina</w:t>
      </w:r>
      <w:proofErr w:type="gramEnd"/>
      <w:r w:rsidRPr="004C3891">
        <w:rPr>
          <w:rFonts w:ascii="Arial" w:hAnsi="Arial"/>
          <w:lang w:eastAsia="en-NZ"/>
        </w:rPr>
        <w:t xml:space="preserve"> tautoko mai koutou, e taea ai e mātou te whakatutuki.</w:t>
      </w:r>
    </w:p>
    <w:p w:rsidR="00151368" w:rsidRPr="004C3891" w:rsidRDefault="00151368" w:rsidP="00151368">
      <w:pPr>
        <w:rPr>
          <w:rFonts w:ascii="Arial" w:hAnsi="Arial"/>
          <w:lang w:eastAsia="en-NZ"/>
        </w:rPr>
      </w:pPr>
      <w:r w:rsidRPr="004C3891">
        <w:rPr>
          <w:rFonts w:ascii="Arial" w:hAnsi="Arial"/>
          <w:lang w:eastAsia="en-NZ"/>
        </w:rPr>
        <w:t>Koromatua Justin Lester</w:t>
      </w:r>
    </w:p>
    <w:p w:rsidR="008C7927" w:rsidRPr="00D5126A" w:rsidRDefault="0025226F" w:rsidP="00AA2122">
      <w:pPr>
        <w:pStyle w:val="Heading3"/>
      </w:pPr>
      <w:r w:rsidRPr="00D5126A">
        <w:t>Preparing Wellington for a strong future</w:t>
      </w:r>
      <w:bookmarkEnd w:id="78"/>
    </w:p>
    <w:p w:rsidR="008C7927" w:rsidRPr="00D5126A" w:rsidRDefault="0025226F" w:rsidP="008C7927">
      <w:pPr>
        <w:pStyle w:val="Para042"/>
        <w:spacing w:before="240" w:line="240" w:lineRule="auto"/>
      </w:pPr>
      <w:r w:rsidRPr="00D5126A">
        <w:t>Mayor Justin Lester</w:t>
      </w:r>
    </w:p>
    <w:p w:rsidR="007C49D9" w:rsidRPr="00D5126A" w:rsidRDefault="007C49D9" w:rsidP="007C49D9">
      <w:pPr>
        <w:pStyle w:val="Para003"/>
        <w:spacing w:before="240" w:line="240" w:lineRule="auto"/>
      </w:pPr>
      <w:r w:rsidRPr="00D5126A">
        <w:t>Wellington is on the precipice of change.</w:t>
      </w:r>
      <w:r w:rsidR="008C7927" w:rsidRPr="00D5126A">
        <w:t xml:space="preserve"> We’ve spent the past year</w:t>
      </w:r>
      <w:r w:rsidRPr="00D5126A">
        <w:t xml:space="preserve"> making some hard calls to ensure we are</w:t>
      </w:r>
      <w:r w:rsidR="008C7927" w:rsidRPr="00D5126A">
        <w:t xml:space="preserve"> laying down the foundations for a better, stronger version of our city. </w:t>
      </w:r>
      <w:r w:rsidR="009C6A70" w:rsidRPr="00D5126A">
        <w:t>There will be more of these big decisions in the years to come.</w:t>
      </w:r>
    </w:p>
    <w:p w:rsidR="008C7927" w:rsidRPr="00D5126A" w:rsidRDefault="008C7927" w:rsidP="007C49D9">
      <w:pPr>
        <w:pStyle w:val="Para003"/>
        <w:spacing w:before="240" w:line="240" w:lineRule="auto"/>
      </w:pPr>
      <w:r w:rsidRPr="00D5126A">
        <w:t>The work we’re doing now means we can maintain our growth, attractiveness and liveability, while facing the challenges ahead. We need to be prepared for population growth, more erratic weather patterns due to climate change, and the likelihood of another earthquake.</w:t>
      </w:r>
    </w:p>
    <w:p w:rsidR="008C7927" w:rsidRPr="00D5126A" w:rsidRDefault="008C7927" w:rsidP="008C7927">
      <w:pPr>
        <w:pStyle w:val="Para003"/>
        <w:spacing w:before="240" w:line="240" w:lineRule="auto"/>
      </w:pPr>
      <w:r w:rsidRPr="00D5126A">
        <w:t xml:space="preserve">We also need to preserve our city’s unique character. </w:t>
      </w:r>
      <w:r w:rsidR="007C49D9" w:rsidRPr="00D5126A">
        <w:t xml:space="preserve">This year, </w:t>
      </w:r>
      <w:r w:rsidRPr="00D5126A">
        <w:t>we took an</w:t>
      </w:r>
      <w:r w:rsidR="007C49D9" w:rsidRPr="00D5126A">
        <w:t>other</w:t>
      </w:r>
      <w:r w:rsidRPr="00D5126A">
        <w:t xml:space="preserve"> important step towards making </w:t>
      </w:r>
      <w:proofErr w:type="gramStart"/>
      <w:r w:rsidRPr="00D5126A">
        <w:t>te</w:t>
      </w:r>
      <w:proofErr w:type="gramEnd"/>
      <w:r w:rsidRPr="00D5126A">
        <w:t xml:space="preserve"> reo Māori a part of our everyday lives by </w:t>
      </w:r>
      <w:r w:rsidR="007C49D9" w:rsidRPr="00D5126A">
        <w:t>creating an action plan for Te Tauihu, our</w:t>
      </w:r>
      <w:r w:rsidRPr="00D5126A">
        <w:t xml:space="preserve"> te reo Māori policy. </w:t>
      </w:r>
      <w:r w:rsidR="007C49D9" w:rsidRPr="00D5126A">
        <w:t>We also</w:t>
      </w:r>
      <w:r w:rsidRPr="00D5126A">
        <w:t xml:space="preserve"> host</w:t>
      </w:r>
      <w:r w:rsidR="007C49D9" w:rsidRPr="00D5126A">
        <w:t>ed</w:t>
      </w:r>
      <w:r w:rsidRPr="00D5126A">
        <w:t xml:space="preserve"> Te Matatini ki </w:t>
      </w:r>
      <w:proofErr w:type="gramStart"/>
      <w:r w:rsidRPr="00D5126A">
        <w:t>te</w:t>
      </w:r>
      <w:proofErr w:type="gramEnd"/>
      <w:r w:rsidRPr="00D5126A">
        <w:t xml:space="preserve"> Ao, </w:t>
      </w:r>
      <w:r w:rsidR="007C49D9" w:rsidRPr="00D5126A">
        <w:t>the national kapa haka festival, which was embraced by about 40,000 Wellingtonians and visitors</w:t>
      </w:r>
      <w:r w:rsidRPr="00D5126A">
        <w:t>.</w:t>
      </w:r>
    </w:p>
    <w:p w:rsidR="007C49D9" w:rsidRPr="00D5126A" w:rsidRDefault="007C49D9" w:rsidP="008C7927">
      <w:pPr>
        <w:pStyle w:val="Para003"/>
        <w:spacing w:before="240" w:line="240" w:lineRule="auto"/>
      </w:pPr>
      <w:r w:rsidRPr="00D5126A">
        <w:t>It was a sad day in March when we closed our Central Library and declare</w:t>
      </w:r>
      <w:r w:rsidR="009C6A70" w:rsidRPr="00D5126A">
        <w:t>d</w:t>
      </w:r>
      <w:r w:rsidRPr="00D5126A">
        <w:t xml:space="preserve"> it earthquake prone. However, I was honoured to open the Arapaki Service Centre and Library soon afterwards and Council is committed to keeping library services in our </w:t>
      </w:r>
      <w:r w:rsidR="00EE17C8">
        <w:t>city centre</w:t>
      </w:r>
      <w:r w:rsidRPr="00D5126A">
        <w:t>, where they have been since 1893.</w:t>
      </w:r>
    </w:p>
    <w:p w:rsidR="005C21DB" w:rsidRPr="00D5126A" w:rsidRDefault="005C21DB" w:rsidP="005C21DB">
      <w:pPr>
        <w:pStyle w:val="Para003"/>
        <w:spacing w:before="240" w:line="240" w:lineRule="auto"/>
        <w:rPr>
          <w:rFonts w:ascii="Arial" w:hAnsi="Arial" w:cs="Arial"/>
        </w:rPr>
      </w:pPr>
      <w:r w:rsidRPr="00D5126A">
        <w:rPr>
          <w:rFonts w:ascii="Arial" w:hAnsi="Arial" w:cs="Arial"/>
        </w:rPr>
        <w:t>Strengthening work is now well under</w:t>
      </w:r>
      <w:r w:rsidR="00EE17C8">
        <w:rPr>
          <w:rFonts w:ascii="Arial" w:hAnsi="Arial" w:cs="Arial"/>
        </w:rPr>
        <w:t xml:space="preserve"> </w:t>
      </w:r>
      <w:r w:rsidRPr="00D5126A">
        <w:rPr>
          <w:rFonts w:ascii="Arial" w:hAnsi="Arial" w:cs="Arial"/>
        </w:rPr>
        <w:t>way on the St James Theatre and the Royal New Zealand Ballet is now homed in a new</w:t>
      </w:r>
      <w:r w:rsidR="00A46D38" w:rsidRPr="00D5126A">
        <w:rPr>
          <w:rFonts w:ascii="Arial" w:hAnsi="Arial" w:cs="Arial"/>
        </w:rPr>
        <w:t xml:space="preserve"> temporary</w:t>
      </w:r>
      <w:r w:rsidRPr="00D5126A">
        <w:rPr>
          <w:rFonts w:ascii="Arial" w:hAnsi="Arial" w:cs="Arial"/>
        </w:rPr>
        <w:t xml:space="preserve"> facility on the Michael Fowler carpark. This year work has also started on our much</w:t>
      </w:r>
      <w:r w:rsidR="00EE17C8">
        <w:rPr>
          <w:rFonts w:ascii="Arial" w:hAnsi="Arial" w:cs="Arial"/>
        </w:rPr>
        <w:t>-</w:t>
      </w:r>
      <w:r w:rsidRPr="00D5126A">
        <w:rPr>
          <w:rFonts w:ascii="Arial" w:hAnsi="Arial" w:cs="Arial"/>
        </w:rPr>
        <w:t xml:space="preserve">loved and iconic Town Hall, meaning it will be rebuilt to its former glory, while ensuring it is safe for the next 100 years. </w:t>
      </w:r>
    </w:p>
    <w:p w:rsidR="008C7927" w:rsidRPr="00D5126A" w:rsidRDefault="008C7927" w:rsidP="008C7927">
      <w:pPr>
        <w:pStyle w:val="Para003"/>
        <w:spacing w:before="240" w:line="240" w:lineRule="auto"/>
      </w:pPr>
      <w:r w:rsidRPr="00D5126A">
        <w:t xml:space="preserve">Our natural environment is a big part of what makes Wellington special. </w:t>
      </w:r>
      <w:r w:rsidR="009C6A70" w:rsidRPr="00D5126A">
        <w:t xml:space="preserve">This year, Councillors agreed to our Te Atakura – First to Zero blueprint for reducing our carbon emissions, we started the preliminary work </w:t>
      </w:r>
      <w:r w:rsidR="00CC79DB" w:rsidRPr="00D5126A">
        <w:t>on the 35</w:t>
      </w:r>
      <w:r w:rsidR="00EE17C8">
        <w:t xml:space="preserve"> </w:t>
      </w:r>
      <w:r w:rsidR="00CC79DB" w:rsidRPr="00D5126A">
        <w:t>million</w:t>
      </w:r>
      <w:r w:rsidR="00EE17C8">
        <w:t xml:space="preserve"> </w:t>
      </w:r>
      <w:r w:rsidR="00CC79DB" w:rsidRPr="00D5126A">
        <w:t>litre Omāroro/</w:t>
      </w:r>
      <w:r w:rsidR="009C6A70" w:rsidRPr="00D5126A">
        <w:t xml:space="preserve">Prince of Wales </w:t>
      </w:r>
      <w:r w:rsidR="0003070A" w:rsidRPr="00D5126A">
        <w:t>Reservoir</w:t>
      </w:r>
      <w:r w:rsidR="009C6A70" w:rsidRPr="00D5126A">
        <w:t xml:space="preserve"> in Mt Cook, </w:t>
      </w:r>
      <w:r w:rsidRPr="00D5126A">
        <w:t xml:space="preserve">and </w:t>
      </w:r>
      <w:r w:rsidR="009C6A70" w:rsidRPr="00D5126A">
        <w:t xml:space="preserve">we </w:t>
      </w:r>
      <w:r w:rsidRPr="00D5126A">
        <w:t xml:space="preserve">have </w:t>
      </w:r>
      <w:r w:rsidR="009C6A70" w:rsidRPr="00D5126A">
        <w:t xml:space="preserve">accelerated </w:t>
      </w:r>
      <w:r w:rsidRPr="00D5126A">
        <w:t>our efforts to make Wellington predator-free.</w:t>
      </w:r>
    </w:p>
    <w:p w:rsidR="009C6A70" w:rsidRPr="00D5126A" w:rsidRDefault="009C6A70" w:rsidP="008C7927">
      <w:pPr>
        <w:pStyle w:val="Para003"/>
        <w:spacing w:before="240" w:line="240" w:lineRule="auto"/>
      </w:pPr>
      <w:r w:rsidRPr="00D5126A">
        <w:lastRenderedPageBreak/>
        <w:t xml:space="preserve">It is important we keep stimulating our economy alongside revitalising our natural environment. The resource consent for the long-awaited </w:t>
      </w:r>
      <w:r w:rsidRPr="00D5126A">
        <w:rPr>
          <w:rStyle w:val="00Text"/>
          <w:rFonts w:ascii="Arial" w:hAnsi="Arial" w:cs="Arial"/>
          <w:b w:val="0"/>
        </w:rPr>
        <w:t xml:space="preserve">Wellington Convention and Exhibition Centre was approved in July and construction will begin towards the end of 2019. The centre will transform the surrounding area and I look forward to a new and vibrant quarter emerging. </w:t>
      </w:r>
    </w:p>
    <w:p w:rsidR="00CC79DB" w:rsidRPr="00D5126A" w:rsidRDefault="00CC79DB" w:rsidP="008C7927">
      <w:pPr>
        <w:pStyle w:val="Para003"/>
        <w:spacing w:before="240" w:line="240" w:lineRule="auto"/>
      </w:pPr>
      <w:r w:rsidRPr="00D5126A">
        <w:t>Through multiple engagements this year we have continued to receive strong backing for our spending priorities: resilience and the environment, housing, transport, sustainable growth</w:t>
      </w:r>
      <w:r w:rsidR="008E3375">
        <w:t>,</w:t>
      </w:r>
      <w:r w:rsidRPr="00D5126A">
        <w:t xml:space="preserve"> and arts and culture. As this report shows, we delivered strongly against these priorities this year and we will continue to do so as we prepare Wellington for an exciting future. </w:t>
      </w:r>
    </w:p>
    <w:p w:rsidR="008C7927" w:rsidRPr="00D5126A" w:rsidRDefault="008C7927" w:rsidP="008C7927">
      <w:pPr>
        <w:pStyle w:val="Para003"/>
        <w:spacing w:before="240" w:line="240" w:lineRule="auto"/>
      </w:pPr>
      <w:r w:rsidRPr="00D5126A">
        <w:t xml:space="preserve">We continued to improve our capacity to draw visitors to the capital for business and culture, with </w:t>
      </w:r>
      <w:r w:rsidR="00CC79DB" w:rsidRPr="00D5126A">
        <w:t>several national</w:t>
      </w:r>
      <w:r w:rsidRPr="00D5126A">
        <w:t xml:space="preserve"> sports, economic and cultural events taking place. Domestic and international visitor numbers grew and, for the </w:t>
      </w:r>
      <w:r w:rsidR="00CC79DB" w:rsidRPr="00D5126A">
        <w:t>second year in a row</w:t>
      </w:r>
      <w:r w:rsidR="008E3375">
        <w:t>,</w:t>
      </w:r>
      <w:r w:rsidR="00CC79DB" w:rsidRPr="00D5126A">
        <w:t xml:space="preserve"> </w:t>
      </w:r>
      <w:r w:rsidRPr="00D5126A">
        <w:t>visitor spending in Wellington exceeded $2.5 billion. We’ve also continued to support those who need it most through social initiatives, and to help communities connect, particularly in the inner city.</w:t>
      </w:r>
    </w:p>
    <w:p w:rsidR="008C7927" w:rsidRPr="00D5126A" w:rsidRDefault="008C7927" w:rsidP="008C7927">
      <w:pPr>
        <w:pStyle w:val="Para003"/>
        <w:spacing w:before="240" w:line="240" w:lineRule="auto"/>
      </w:pPr>
      <w:r w:rsidRPr="00D5126A">
        <w:t>It’s a period of change for Wellington and what that means is Wellingtonians can expect a degree of disruption. We ask for your patience.</w:t>
      </w:r>
    </w:p>
    <w:p w:rsidR="008C7927" w:rsidRPr="00D5126A" w:rsidRDefault="008C7927" w:rsidP="008C7927">
      <w:pPr>
        <w:pStyle w:val="Para003"/>
        <w:spacing w:before="240" w:line="240" w:lineRule="auto"/>
      </w:pPr>
      <w:r w:rsidRPr="00D5126A">
        <w:t>We’ve done our utmost to keep rates affordable. We’re a financially sound Council, undertaking an ambitious programme of work. But our books are in good order and with your support, we can deliver.</w:t>
      </w:r>
    </w:p>
    <w:p w:rsidR="008C7927" w:rsidRPr="00D5126A" w:rsidRDefault="008C7927" w:rsidP="008C7927">
      <w:pPr>
        <w:pStyle w:val="Para003"/>
        <w:spacing w:before="240" w:line="240" w:lineRule="auto"/>
      </w:pPr>
      <w:r w:rsidRPr="00D5126A">
        <w:rPr>
          <w:noProof/>
          <w:lang w:eastAsia="en-NZ"/>
        </w:rPr>
        <w:drawing>
          <wp:inline distT="0" distB="0" distL="0" distR="0" wp14:anchorId="2B612323" wp14:editId="488DCD4E">
            <wp:extent cx="609600" cy="533400"/>
            <wp:effectExtent l="0" t="0" r="0" b="0"/>
            <wp:docPr id="3" name="justin-signature-RGB.jpg" descr="Mayor Justin Lester signature." title="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ustin-signature-RGB.jpg" descr="Mayor Justin Lester signature."/>
                    <pic:cNvPicPr/>
                  </pic:nvPicPr>
                  <pic:blipFill>
                    <a:blip r:embed="rId11"/>
                    <a:stretch>
                      <a:fillRect/>
                    </a:stretch>
                  </pic:blipFill>
                  <pic:spPr>
                    <a:xfrm>
                      <a:off x="0" y="0"/>
                      <a:ext cx="609600" cy="533400"/>
                    </a:xfrm>
                    <a:prstGeom prst="rect">
                      <a:avLst/>
                    </a:prstGeom>
                  </pic:spPr>
                </pic:pic>
              </a:graphicData>
            </a:graphic>
          </wp:inline>
        </w:drawing>
      </w:r>
    </w:p>
    <w:p w:rsidR="00CF6843" w:rsidRPr="00D5126A" w:rsidRDefault="008C7927" w:rsidP="008C7927">
      <w:pPr>
        <w:pStyle w:val="Para003"/>
        <w:spacing w:before="240" w:line="240" w:lineRule="auto"/>
      </w:pPr>
      <w:r w:rsidRPr="00D5126A">
        <w:t>Justin Lester</w:t>
      </w:r>
    </w:p>
    <w:p w:rsidR="007C49D9" w:rsidRPr="00D5126A" w:rsidRDefault="007C49D9" w:rsidP="007C49D9">
      <w:pPr>
        <w:pStyle w:val="Para003"/>
        <w:spacing w:before="240" w:line="240" w:lineRule="auto"/>
      </w:pPr>
    </w:p>
    <w:p w:rsidR="007C49D9" w:rsidRPr="00D5126A" w:rsidRDefault="007C49D9" w:rsidP="00CF6843">
      <w:pPr>
        <w:pStyle w:val="Para003"/>
        <w:spacing w:before="240" w:line="240" w:lineRule="auto"/>
      </w:pPr>
    </w:p>
    <w:p w:rsidR="008C7927" w:rsidRPr="00D5126A" w:rsidRDefault="008C7927" w:rsidP="008C7927">
      <w:pPr>
        <w:pStyle w:val="Para003"/>
        <w:spacing w:before="240" w:line="240" w:lineRule="auto"/>
      </w:pPr>
      <w:r w:rsidRPr="00D5126A">
        <w:br w:type="page"/>
      </w:r>
    </w:p>
    <w:p w:rsidR="008C7927" w:rsidRPr="00D5126A" w:rsidRDefault="008C7927" w:rsidP="00810293">
      <w:pPr>
        <w:pStyle w:val="Heading2"/>
      </w:pPr>
      <w:bookmarkStart w:id="79" w:name="Chief_Executive_s_introduction"/>
      <w:bookmarkStart w:id="80" w:name="_Toc528234281"/>
      <w:bookmarkStart w:id="81" w:name="_Toc14178494"/>
      <w:bookmarkStart w:id="82" w:name="_Toc19085796"/>
      <w:bookmarkStart w:id="83" w:name="_Toc23758596"/>
      <w:r w:rsidRPr="00D5126A">
        <w:lastRenderedPageBreak/>
        <w:t>Chief Executive’s introduction</w:t>
      </w:r>
      <w:bookmarkEnd w:id="79"/>
      <w:bookmarkEnd w:id="80"/>
      <w:bookmarkEnd w:id="81"/>
      <w:bookmarkEnd w:id="82"/>
      <w:bookmarkEnd w:id="83"/>
    </w:p>
    <w:p w:rsidR="00151368" w:rsidRPr="004C3891" w:rsidRDefault="00151368" w:rsidP="00151368">
      <w:pPr>
        <w:pStyle w:val="Heading3"/>
      </w:pPr>
      <w:bookmarkStart w:id="84" w:name="_Toc19085797"/>
      <w:r w:rsidRPr="004C3891">
        <w:t xml:space="preserve">Mā </w:t>
      </w:r>
      <w:proofErr w:type="gramStart"/>
      <w:r w:rsidRPr="004C3891">
        <w:t>te</w:t>
      </w:r>
      <w:proofErr w:type="gramEnd"/>
      <w:r w:rsidRPr="004C3891">
        <w:t xml:space="preserve"> wero e puta ai he auahatanga, he whai wāhitanga hoki</w:t>
      </w:r>
    </w:p>
    <w:p w:rsidR="00151368" w:rsidRPr="004C3891" w:rsidRDefault="00151368" w:rsidP="00151368">
      <w:pPr>
        <w:rPr>
          <w:rFonts w:ascii="Arial" w:hAnsi="Arial"/>
        </w:rPr>
      </w:pPr>
      <w:r w:rsidRPr="004C3891">
        <w:rPr>
          <w:rFonts w:ascii="Arial" w:hAnsi="Arial"/>
        </w:rPr>
        <w:t xml:space="preserve">Kātahi </w:t>
      </w:r>
      <w:proofErr w:type="gramStart"/>
      <w:r w:rsidRPr="004C3891">
        <w:rPr>
          <w:rFonts w:ascii="Arial" w:hAnsi="Arial"/>
        </w:rPr>
        <w:t>te</w:t>
      </w:r>
      <w:proofErr w:type="gramEnd"/>
      <w:r w:rsidRPr="004C3891">
        <w:rPr>
          <w:rFonts w:ascii="Arial" w:hAnsi="Arial"/>
        </w:rPr>
        <w:t xml:space="preserve"> tau nui, ko tēnei. Kei </w:t>
      </w:r>
      <w:proofErr w:type="gramStart"/>
      <w:r w:rsidRPr="004C3891">
        <w:rPr>
          <w:rFonts w:ascii="Arial" w:hAnsi="Arial"/>
        </w:rPr>
        <w:t>te</w:t>
      </w:r>
      <w:proofErr w:type="gramEnd"/>
      <w:r w:rsidRPr="004C3891">
        <w:rPr>
          <w:rFonts w:ascii="Arial" w:hAnsi="Arial"/>
        </w:rPr>
        <w:t xml:space="preserve"> ora rawa atu, kei te tupu hoki a Pōneke, e tīmata ana mātou ki te whakatutuki i ētahi hinonga nui, ā, he tokomaha ake ngā tāngata e haramai ana kia rongo ai i ngā painga maha e tāpaetia ana. Inā </w:t>
      </w:r>
      <w:proofErr w:type="gramStart"/>
      <w:r w:rsidRPr="004C3891">
        <w:rPr>
          <w:rFonts w:ascii="Arial" w:hAnsi="Arial"/>
        </w:rPr>
        <w:t>te</w:t>
      </w:r>
      <w:proofErr w:type="gramEnd"/>
      <w:r w:rsidRPr="004C3891">
        <w:rPr>
          <w:rFonts w:ascii="Arial" w:hAnsi="Arial"/>
        </w:rPr>
        <w:t xml:space="preserve"> nui o ō tātou wawata mō te anamata o tēnei tāone nui, heoi, e whakahīhī ana mātou kia tika ai ngā mahi māori noa.  </w:t>
      </w:r>
    </w:p>
    <w:p w:rsidR="00151368" w:rsidRPr="004C3891" w:rsidRDefault="00151368" w:rsidP="00151368">
      <w:pPr>
        <w:rPr>
          <w:rFonts w:ascii="Arial" w:hAnsi="Arial"/>
        </w:rPr>
      </w:pPr>
      <w:r w:rsidRPr="004C3891">
        <w:rPr>
          <w:rFonts w:ascii="Arial" w:hAnsi="Arial"/>
        </w:rPr>
        <w:t xml:space="preserve">E tū pakari ana tātou ā-ōhanga nei </w:t>
      </w:r>
      <w:proofErr w:type="gramStart"/>
      <w:r w:rsidRPr="004C3891">
        <w:rPr>
          <w:rFonts w:ascii="Arial" w:hAnsi="Arial"/>
        </w:rPr>
        <w:t>nā</w:t>
      </w:r>
      <w:proofErr w:type="gramEnd"/>
      <w:r w:rsidRPr="004C3891">
        <w:rPr>
          <w:rFonts w:ascii="Arial" w:hAnsi="Arial"/>
        </w:rPr>
        <w:t xml:space="preserve"> te whakarīrā. Ka kitea i tēnei pūrongo, e pakari ana </w:t>
      </w:r>
      <w:proofErr w:type="gramStart"/>
      <w:r w:rsidRPr="004C3891">
        <w:rPr>
          <w:rFonts w:ascii="Arial" w:hAnsi="Arial"/>
        </w:rPr>
        <w:t>te</w:t>
      </w:r>
      <w:proofErr w:type="gramEnd"/>
      <w:r w:rsidRPr="004C3891">
        <w:rPr>
          <w:rFonts w:ascii="Arial" w:hAnsi="Arial"/>
        </w:rPr>
        <w:t xml:space="preserve"> taha ahumoni, he tūnga taurewa AA tā tātou.   </w:t>
      </w:r>
    </w:p>
    <w:p w:rsidR="00151368" w:rsidRPr="004C3891" w:rsidRDefault="00151368" w:rsidP="00151368">
      <w:pPr>
        <w:rPr>
          <w:rFonts w:ascii="Arial" w:hAnsi="Arial"/>
        </w:rPr>
      </w:pPr>
      <w:r w:rsidRPr="004C3891">
        <w:rPr>
          <w:rFonts w:ascii="Arial" w:hAnsi="Arial"/>
        </w:rPr>
        <w:t xml:space="preserve">Kua āhei mātou </w:t>
      </w:r>
      <w:proofErr w:type="gramStart"/>
      <w:r w:rsidRPr="004C3891">
        <w:rPr>
          <w:rFonts w:ascii="Arial" w:hAnsi="Arial"/>
        </w:rPr>
        <w:t>te</w:t>
      </w:r>
      <w:proofErr w:type="gramEnd"/>
      <w:r w:rsidRPr="004C3891">
        <w:rPr>
          <w:rFonts w:ascii="Arial" w:hAnsi="Arial"/>
        </w:rPr>
        <w:t xml:space="preserve"> nuku mai i te whakaihiihi tupuranga ā-ōhanga ki te whakahaere atamai i te tupuranga. Heoi anō, e maea ake ana ētahi tino wero, ā, kua noho ērā ki </w:t>
      </w:r>
      <w:proofErr w:type="gramStart"/>
      <w:r w:rsidRPr="004C3891">
        <w:rPr>
          <w:rFonts w:ascii="Arial" w:hAnsi="Arial"/>
        </w:rPr>
        <w:t>te</w:t>
      </w:r>
      <w:proofErr w:type="gramEnd"/>
      <w:r w:rsidRPr="004C3891">
        <w:rPr>
          <w:rFonts w:ascii="Arial" w:hAnsi="Arial"/>
        </w:rPr>
        <w:t xml:space="preserve"> pūtake o ngā whakawhitinga kōrero maha i tēnei tau i te tēpu Kaunihera rānei, i ngā tēpu rānei o tētahi o ngā toa inu kawhe maha.</w:t>
      </w:r>
    </w:p>
    <w:p w:rsidR="00151368" w:rsidRPr="004C3891" w:rsidRDefault="00151368" w:rsidP="00151368">
      <w:pPr>
        <w:rPr>
          <w:rFonts w:ascii="Arial" w:hAnsi="Arial"/>
        </w:rPr>
      </w:pPr>
      <w:r w:rsidRPr="004C3891">
        <w:rPr>
          <w:rFonts w:ascii="Arial" w:hAnsi="Arial"/>
        </w:rPr>
        <w:t xml:space="preserve">I tēnei tau kua tere urutau ngā tāngata o Pōneke me Te Kaunihera o Pōneke ki </w:t>
      </w:r>
      <w:proofErr w:type="gramStart"/>
      <w:r w:rsidRPr="004C3891">
        <w:rPr>
          <w:rFonts w:ascii="Arial" w:hAnsi="Arial"/>
        </w:rPr>
        <w:t>te</w:t>
      </w:r>
      <w:proofErr w:type="gramEnd"/>
      <w:r w:rsidRPr="004C3891">
        <w:rPr>
          <w:rFonts w:ascii="Arial" w:hAnsi="Arial"/>
        </w:rPr>
        <w:t xml:space="preserve"> whakatau i ngā whiringa uaua mō ngā wāhi o te tāone nui e ngākaunuitia ana. He wero nui tā tātou i a Te Ngākau, </w:t>
      </w:r>
      <w:proofErr w:type="gramStart"/>
      <w:r w:rsidRPr="004C3891">
        <w:rPr>
          <w:rFonts w:ascii="Arial" w:hAnsi="Arial"/>
        </w:rPr>
        <w:t>te</w:t>
      </w:r>
      <w:proofErr w:type="gramEnd"/>
      <w:r w:rsidRPr="004C3891">
        <w:rPr>
          <w:rFonts w:ascii="Arial" w:hAnsi="Arial"/>
        </w:rPr>
        <w:t xml:space="preserve"> Wāhi Tūmatawhānui. E noho ana ki runga whenua tāmata, e tuwhera ana ki </w:t>
      </w:r>
      <w:proofErr w:type="gramStart"/>
      <w:r w:rsidRPr="004C3891">
        <w:rPr>
          <w:rFonts w:ascii="Arial" w:hAnsi="Arial"/>
        </w:rPr>
        <w:t>te</w:t>
      </w:r>
      <w:proofErr w:type="gramEnd"/>
      <w:r w:rsidRPr="004C3891">
        <w:rPr>
          <w:rFonts w:ascii="Arial" w:hAnsi="Arial"/>
        </w:rPr>
        <w:t xml:space="preserve"> pikinga taumata moana, ā, kāore e pakari ngā whare ina tūpono ai he rū. </w:t>
      </w:r>
      <w:proofErr w:type="gramStart"/>
      <w:r w:rsidRPr="004C3891">
        <w:rPr>
          <w:rFonts w:ascii="Arial" w:hAnsi="Arial"/>
        </w:rPr>
        <w:t>I tēnei tau i whakarērea e ngā kaimahi Kaunihera tētahi o ō mātou whare mahi, ā, i katia hoki Te Whare Pukapuka Matua.</w:t>
      </w:r>
      <w:proofErr w:type="gramEnd"/>
      <w:r w:rsidRPr="004C3891">
        <w:rPr>
          <w:rFonts w:ascii="Arial" w:hAnsi="Arial"/>
        </w:rPr>
        <w:t xml:space="preserve"> Engari e kore mātou e mate wheke.  </w:t>
      </w:r>
    </w:p>
    <w:p w:rsidR="00151368" w:rsidRPr="004C3891" w:rsidRDefault="00151368" w:rsidP="00151368">
      <w:pPr>
        <w:rPr>
          <w:rFonts w:ascii="Arial" w:hAnsi="Arial"/>
        </w:rPr>
      </w:pPr>
      <w:r w:rsidRPr="004C3891">
        <w:rPr>
          <w:rFonts w:ascii="Arial" w:hAnsi="Arial"/>
        </w:rPr>
        <w:t xml:space="preserve">E tautokohia ana Te Kaunihera o Pōneke e ngā kaimahi 1800 whakahohe, auaha hoki e ngākau whiwhita ana ki te mahi mō tō rātou tāone nui. E poho kererū ana ahau i </w:t>
      </w:r>
      <w:proofErr w:type="gramStart"/>
      <w:r w:rsidRPr="004C3891">
        <w:rPr>
          <w:rFonts w:ascii="Arial" w:hAnsi="Arial"/>
        </w:rPr>
        <w:t>te</w:t>
      </w:r>
      <w:proofErr w:type="gramEnd"/>
      <w:r w:rsidRPr="004C3891">
        <w:rPr>
          <w:rFonts w:ascii="Arial" w:hAnsi="Arial"/>
        </w:rPr>
        <w:t xml:space="preserve"> āhua o tā rātou urupare ki ngā wero o tēnei tau. Hei tauira, i mua tonu i te paunga o te 10 wiki whai muri i te katinga o te whare pukapuka, i whakamahere, i whakatinana, ā, i whakatuwhera ā mātou kaimahi i tētahi whare pukapuka taupua i te Pokapū Tāone ki te tiriti o Manners.     </w:t>
      </w:r>
    </w:p>
    <w:p w:rsidR="00151368" w:rsidRPr="004C3891" w:rsidRDefault="00151368" w:rsidP="00151368">
      <w:pPr>
        <w:rPr>
          <w:rFonts w:ascii="Arial" w:hAnsi="Arial"/>
        </w:rPr>
      </w:pPr>
      <w:r w:rsidRPr="004C3891">
        <w:rPr>
          <w:rFonts w:ascii="Arial" w:hAnsi="Arial"/>
        </w:rPr>
        <w:t xml:space="preserve">Ka whakarato hoki ā mātou kaimahi i ngā ratonga 400 neke atu ki ō tātou kainoho i </w:t>
      </w:r>
      <w:proofErr w:type="gramStart"/>
      <w:r w:rsidRPr="004C3891">
        <w:rPr>
          <w:rFonts w:ascii="Arial" w:hAnsi="Arial"/>
        </w:rPr>
        <w:t>ia</w:t>
      </w:r>
      <w:proofErr w:type="gramEnd"/>
      <w:r w:rsidRPr="004C3891">
        <w:rPr>
          <w:rFonts w:ascii="Arial" w:hAnsi="Arial"/>
        </w:rPr>
        <w:t xml:space="preserve"> rā. </w:t>
      </w:r>
      <w:proofErr w:type="gramStart"/>
      <w:r w:rsidRPr="004C3891">
        <w:rPr>
          <w:rFonts w:ascii="Arial" w:hAnsi="Arial"/>
        </w:rPr>
        <w:t>Ko</w:t>
      </w:r>
      <w:proofErr w:type="gramEnd"/>
      <w:r w:rsidRPr="004C3891">
        <w:rPr>
          <w:rFonts w:ascii="Arial" w:hAnsi="Arial"/>
        </w:rPr>
        <w:t xml:space="preserve"> te kohi rāpihi, ko te whakapai tiriti, ko te tiaki papa tākaro, ko ngā ratonga ruapara me te maha noa atu e tumanakohia ana ka whakaratohia, heoi, e kore e kaha kōrerotia.  </w:t>
      </w:r>
    </w:p>
    <w:p w:rsidR="00151368" w:rsidRPr="004C3891" w:rsidRDefault="00151368" w:rsidP="00151368">
      <w:pPr>
        <w:rPr>
          <w:rFonts w:ascii="Arial" w:hAnsi="Arial"/>
        </w:rPr>
      </w:pPr>
      <w:r w:rsidRPr="004C3891">
        <w:rPr>
          <w:rFonts w:ascii="Arial" w:hAnsi="Arial"/>
        </w:rPr>
        <w:t xml:space="preserve">I tēnei tau i riro i a mātou he tautoko nui mai i te Kāwanatanga hei whakapai ake i te pūnaha kawe tāngata mā te kaupapa Let’s Get Wellington Moving. Mā tēnei hōtaka $6.4 piriona e tahuri tō tātou kawenga tāngata, </w:t>
      </w:r>
      <w:proofErr w:type="gramStart"/>
      <w:r w:rsidRPr="004C3891">
        <w:rPr>
          <w:rFonts w:ascii="Arial" w:hAnsi="Arial"/>
        </w:rPr>
        <w:t>te</w:t>
      </w:r>
      <w:proofErr w:type="gramEnd"/>
      <w:r w:rsidRPr="004C3891">
        <w:rPr>
          <w:rFonts w:ascii="Arial" w:hAnsi="Arial"/>
        </w:rPr>
        <w:t xml:space="preserve"> hanga whare, te tupuranga me te tōnuitanga anamata o tō tātou tāone nui. Kīhai i </w:t>
      </w:r>
      <w:proofErr w:type="gramStart"/>
      <w:r w:rsidRPr="004C3891">
        <w:rPr>
          <w:rFonts w:ascii="Arial" w:hAnsi="Arial"/>
        </w:rPr>
        <w:t>te</w:t>
      </w:r>
      <w:proofErr w:type="gramEnd"/>
      <w:r w:rsidRPr="004C3891">
        <w:rPr>
          <w:rFonts w:ascii="Arial" w:hAnsi="Arial"/>
        </w:rPr>
        <w:t xml:space="preserve"> hītori o tō tātou tāone nui he whai wāhitanga kia pēnei ai te nui o te hurihanga. Me haere tonu tā tātou mahi auaha, whakaaro rerekē hoki </w:t>
      </w:r>
      <w:proofErr w:type="gramStart"/>
      <w:r w:rsidRPr="004C3891">
        <w:rPr>
          <w:rFonts w:ascii="Arial" w:hAnsi="Arial"/>
        </w:rPr>
        <w:t>kia</w:t>
      </w:r>
      <w:proofErr w:type="gramEnd"/>
      <w:r w:rsidRPr="004C3891">
        <w:rPr>
          <w:rFonts w:ascii="Arial" w:hAnsi="Arial"/>
        </w:rPr>
        <w:t xml:space="preserve"> pūmau ai tā tātou whakatinana i tō tātou pito mata.   </w:t>
      </w:r>
    </w:p>
    <w:p w:rsidR="00151368" w:rsidRPr="004C3891" w:rsidRDefault="00151368" w:rsidP="00151368">
      <w:pPr>
        <w:rPr>
          <w:rFonts w:ascii="Arial" w:hAnsi="Arial"/>
        </w:rPr>
      </w:pPr>
      <w:r w:rsidRPr="004C3891">
        <w:rPr>
          <w:rFonts w:ascii="Arial" w:hAnsi="Arial"/>
        </w:rPr>
        <w:t>I ōna wā ko tātou kē te ika ka haongia e tō tātou ake kupenga: kāore e rahi ngā kaimahi, ā, he hirahira te whakapikinga utu mākete hanga whare i te wā e haere tonu ana ngā mahi whakapakari whare mō te rū whenua, ā, e whanaketia ana, e hanga houtia ana rānei ngā whenua noho.</w:t>
      </w:r>
    </w:p>
    <w:p w:rsidR="00151368" w:rsidRPr="004C3891" w:rsidRDefault="00151368" w:rsidP="00151368">
      <w:pPr>
        <w:rPr>
          <w:rFonts w:ascii="Arial" w:hAnsi="Arial"/>
        </w:rPr>
      </w:pPr>
      <w:r w:rsidRPr="004C3891">
        <w:rPr>
          <w:rFonts w:ascii="Arial" w:hAnsi="Arial"/>
        </w:rPr>
        <w:t xml:space="preserve">He raru tūturu kei reira mehemea e kore tātou e whakaaro atamai </w:t>
      </w:r>
      <w:proofErr w:type="gramStart"/>
      <w:r w:rsidRPr="004C3891">
        <w:rPr>
          <w:rFonts w:ascii="Arial" w:hAnsi="Arial"/>
        </w:rPr>
        <w:t>ina</w:t>
      </w:r>
      <w:proofErr w:type="gramEnd"/>
      <w:r w:rsidRPr="004C3891">
        <w:rPr>
          <w:rFonts w:ascii="Arial" w:hAnsi="Arial"/>
        </w:rPr>
        <w:t xml:space="preserve"> tāpirihia ai ngā taumahatanga ahumoni, rawa hoki o te Let’s Get Moving Wellington, te whakapakari i tō te tāone nui manawaroatanga, ā, ki hea, pēhea ai hoki te whakanoho i tō tātou taupori e tupu haere nei kia haumaru ai. </w:t>
      </w:r>
    </w:p>
    <w:p w:rsidR="00151368" w:rsidRPr="004C3891" w:rsidRDefault="00151368" w:rsidP="00151368">
      <w:pPr>
        <w:rPr>
          <w:rFonts w:ascii="Arial" w:hAnsi="Arial"/>
        </w:rPr>
      </w:pPr>
      <w:proofErr w:type="gramStart"/>
      <w:r w:rsidRPr="004C3891">
        <w:rPr>
          <w:rFonts w:ascii="Arial" w:hAnsi="Arial"/>
        </w:rPr>
        <w:lastRenderedPageBreak/>
        <w:t>I tēnei tau i whakarato hoki mātou i tētahi hōtaka moni tōpū nui $170 miriona – tae atu ki ngā papa tākaro hou, ngā wharenoho hapori, ngā pūnaha tuku para, ngā whakahoutanga hoki ki ngā wāhi me ngā whakaurunga tūmatawhānui.</w:t>
      </w:r>
      <w:proofErr w:type="gramEnd"/>
    </w:p>
    <w:p w:rsidR="00151368" w:rsidRPr="004C3891" w:rsidRDefault="00151368" w:rsidP="00151368">
      <w:pPr>
        <w:rPr>
          <w:rFonts w:ascii="Arial" w:hAnsi="Arial"/>
        </w:rPr>
      </w:pPr>
      <w:r w:rsidRPr="004C3891">
        <w:rPr>
          <w:rFonts w:ascii="Arial" w:hAnsi="Arial"/>
        </w:rPr>
        <w:t xml:space="preserve">E whakaatu ana tēnei pūrongo e pakari tonu ana ngā whakatutukinga mō tēnā, mō tēnā mahi i ngā marama 12 kua hori, otirā e urupare pai ana ki ngā wero o </w:t>
      </w:r>
      <w:proofErr w:type="gramStart"/>
      <w:r w:rsidRPr="004C3891">
        <w:rPr>
          <w:rFonts w:ascii="Arial" w:hAnsi="Arial"/>
        </w:rPr>
        <w:t>ia</w:t>
      </w:r>
      <w:proofErr w:type="gramEnd"/>
      <w:r w:rsidRPr="004C3891">
        <w:rPr>
          <w:rFonts w:ascii="Arial" w:hAnsi="Arial"/>
        </w:rPr>
        <w:t xml:space="preserve"> rā, o ia rā.</w:t>
      </w:r>
    </w:p>
    <w:p w:rsidR="00151368" w:rsidRPr="004C3891" w:rsidRDefault="00151368" w:rsidP="00151368">
      <w:pPr>
        <w:rPr>
          <w:rFonts w:ascii="Arial" w:hAnsi="Arial"/>
        </w:rPr>
      </w:pPr>
      <w:r w:rsidRPr="004C3891">
        <w:rPr>
          <w:rFonts w:ascii="Arial" w:hAnsi="Arial"/>
        </w:rPr>
        <w:t xml:space="preserve">Ka whakaratohia e mātou ngā ratonga 400 neke atu ki tōna 212,700 tāngata mō </w:t>
      </w:r>
      <w:proofErr w:type="gramStart"/>
      <w:r w:rsidRPr="004C3891">
        <w:rPr>
          <w:rFonts w:ascii="Arial" w:hAnsi="Arial"/>
        </w:rPr>
        <w:t>te</w:t>
      </w:r>
      <w:proofErr w:type="gramEnd"/>
      <w:r w:rsidRPr="004C3891">
        <w:rPr>
          <w:rFonts w:ascii="Arial" w:hAnsi="Arial"/>
        </w:rPr>
        <w:t xml:space="preserve"> $7 iti iho rānei i ia rā, mō ia tangata. E manawanui ana mātou </w:t>
      </w:r>
      <w:proofErr w:type="gramStart"/>
      <w:r w:rsidRPr="004C3891">
        <w:rPr>
          <w:rFonts w:ascii="Arial" w:hAnsi="Arial"/>
        </w:rPr>
        <w:t>kia</w:t>
      </w:r>
      <w:proofErr w:type="gramEnd"/>
      <w:r w:rsidRPr="004C3891">
        <w:rPr>
          <w:rFonts w:ascii="Arial" w:hAnsi="Arial"/>
        </w:rPr>
        <w:t xml:space="preserve"> noho ngāwari tonu ngā rēti.</w:t>
      </w:r>
    </w:p>
    <w:p w:rsidR="00151368" w:rsidRPr="004C3891" w:rsidRDefault="00151368" w:rsidP="00151368">
      <w:pPr>
        <w:rPr>
          <w:rFonts w:ascii="Arial" w:hAnsi="Arial"/>
        </w:rPr>
      </w:pPr>
      <w:r w:rsidRPr="004C3891">
        <w:rPr>
          <w:rFonts w:ascii="Arial" w:hAnsi="Arial"/>
        </w:rPr>
        <w:t xml:space="preserve">He whāinga waewae kaikapua ā mātou mahere engari e pakari ana </w:t>
      </w:r>
      <w:proofErr w:type="gramStart"/>
      <w:r w:rsidRPr="004C3891">
        <w:rPr>
          <w:rFonts w:ascii="Arial" w:hAnsi="Arial"/>
        </w:rPr>
        <w:t>te</w:t>
      </w:r>
      <w:proofErr w:type="gramEnd"/>
      <w:r w:rsidRPr="004C3891">
        <w:rPr>
          <w:rFonts w:ascii="Arial" w:hAnsi="Arial"/>
        </w:rPr>
        <w:t xml:space="preserve"> taha ahumoni. I </w:t>
      </w:r>
      <w:proofErr w:type="gramStart"/>
      <w:r w:rsidRPr="004C3891">
        <w:rPr>
          <w:rFonts w:ascii="Arial" w:hAnsi="Arial"/>
        </w:rPr>
        <w:t>te</w:t>
      </w:r>
      <w:proofErr w:type="gramEnd"/>
      <w:r w:rsidRPr="004C3891">
        <w:rPr>
          <w:rFonts w:ascii="Arial" w:hAnsi="Arial"/>
        </w:rPr>
        <w:t xml:space="preserve"> tau kua hori e kitea ana kei runga tātou i te ara tika. </w:t>
      </w:r>
      <w:proofErr w:type="gramStart"/>
      <w:r w:rsidRPr="004C3891">
        <w:rPr>
          <w:rFonts w:ascii="Arial" w:hAnsi="Arial"/>
        </w:rPr>
        <w:t>Me koke tonu.</w:t>
      </w:r>
      <w:proofErr w:type="gramEnd"/>
    </w:p>
    <w:p w:rsidR="00151368" w:rsidRDefault="00151368" w:rsidP="00151368">
      <w:r w:rsidRPr="004C3891">
        <w:t>Tumu Whakarae Kevin Lavery</w:t>
      </w:r>
    </w:p>
    <w:p w:rsidR="008C7927" w:rsidRPr="00D5126A" w:rsidRDefault="009C52A1" w:rsidP="00151368">
      <w:pPr>
        <w:pStyle w:val="Heading3"/>
      </w:pPr>
      <w:r w:rsidRPr="00D5126A">
        <w:t>Through challenge comes innovation and opportunity</w:t>
      </w:r>
      <w:bookmarkEnd w:id="84"/>
    </w:p>
    <w:p w:rsidR="008C7927" w:rsidRPr="00D5126A" w:rsidRDefault="008C7927" w:rsidP="008C7927">
      <w:pPr>
        <w:pStyle w:val="Para042"/>
        <w:spacing w:before="240" w:line="240" w:lineRule="auto"/>
      </w:pPr>
      <w:r w:rsidRPr="00D5126A">
        <w:t>Chief Executive Kevin Lavery</w:t>
      </w:r>
    </w:p>
    <w:p w:rsidR="00225439" w:rsidRPr="00D5126A" w:rsidRDefault="008C7927" w:rsidP="008C7927">
      <w:pPr>
        <w:pStyle w:val="Para003"/>
        <w:spacing w:before="240" w:line="240" w:lineRule="auto"/>
      </w:pPr>
      <w:r w:rsidRPr="00D5126A">
        <w:t xml:space="preserve">It’s been a big year. </w:t>
      </w:r>
      <w:r w:rsidR="00FD6701" w:rsidRPr="00D5126A">
        <w:t xml:space="preserve">Wellington is thriving and growing, we are starting to deliver on some big projects and more people are coming to enjoy the many attractions we have to offer. </w:t>
      </w:r>
      <w:r w:rsidR="00225439" w:rsidRPr="00D5126A">
        <w:t xml:space="preserve">We have big plans for the future of the city, but pride ourselves on doing the basics well. </w:t>
      </w:r>
    </w:p>
    <w:p w:rsidR="009C52A1" w:rsidRPr="00D5126A" w:rsidRDefault="00D12365" w:rsidP="009C52A1">
      <w:pPr>
        <w:pStyle w:val="Para003"/>
        <w:spacing w:before="240" w:line="240" w:lineRule="auto"/>
      </w:pPr>
      <w:r w:rsidRPr="00D5126A">
        <w:t>We are in a</w:t>
      </w:r>
      <w:r w:rsidR="009C52A1" w:rsidRPr="00D5126A">
        <w:t xml:space="preserve"> strong position </w:t>
      </w:r>
      <w:r w:rsidRPr="00D5126A">
        <w:t xml:space="preserve">economically </w:t>
      </w:r>
      <w:r w:rsidR="009C52A1" w:rsidRPr="00D5126A">
        <w:t xml:space="preserve">because of hard work. As you will read in this report, we are a tight ship and financially sound, with an AA credit rating. </w:t>
      </w:r>
    </w:p>
    <w:p w:rsidR="009C52A1" w:rsidRPr="00D5126A" w:rsidRDefault="009C52A1" w:rsidP="009C52A1">
      <w:pPr>
        <w:pStyle w:val="Para003"/>
        <w:spacing w:before="240" w:line="240" w:lineRule="auto"/>
      </w:pPr>
      <w:r w:rsidRPr="00D5126A">
        <w:t xml:space="preserve">We have been able to shift from stimulating economic growth to the smart management of growth. However, there are some real challenges emerging and they have been the centre of many discussions this year, both around the Council table or tables in one of our many cafes. </w:t>
      </w:r>
    </w:p>
    <w:p w:rsidR="005F725E" w:rsidRPr="00D5126A" w:rsidRDefault="00FD6701" w:rsidP="008C7927">
      <w:pPr>
        <w:pStyle w:val="Para003"/>
        <w:spacing w:before="240" w:line="240" w:lineRule="auto"/>
      </w:pPr>
      <w:r w:rsidRPr="00D5126A">
        <w:t xml:space="preserve">This year Wellingtonians and </w:t>
      </w:r>
      <w:r w:rsidR="005F725E" w:rsidRPr="00D5126A">
        <w:t xml:space="preserve">the </w:t>
      </w:r>
      <w:r w:rsidRPr="00D5126A">
        <w:t>Wellington City Council ha</w:t>
      </w:r>
      <w:r w:rsidR="005F725E" w:rsidRPr="00D5126A">
        <w:t>ve</w:t>
      </w:r>
      <w:r w:rsidRPr="00D5126A">
        <w:t xml:space="preserve"> had to adapt quickly and make some hard calls about beloved parts of the city. </w:t>
      </w:r>
      <w:r w:rsidR="005F725E" w:rsidRPr="00D5126A">
        <w:t xml:space="preserve">We have a huge challenge in Te Ngākau, our Civic Precinct.  It sits on reclaimed land, is vulnerable to </w:t>
      </w:r>
      <w:r w:rsidR="008E3375" w:rsidRPr="00D5126A">
        <w:t>sea</w:t>
      </w:r>
      <w:r w:rsidR="008E3375">
        <w:t>-</w:t>
      </w:r>
      <w:r w:rsidR="005F725E" w:rsidRPr="00D5126A">
        <w:t>level rise</w:t>
      </w:r>
      <w:r w:rsidR="008E3375">
        <w:t>,</w:t>
      </w:r>
      <w:r w:rsidR="005F725E" w:rsidRPr="00D5126A">
        <w:t xml:space="preserve"> and many of the structures are not strong seismically.  This year, Council </w:t>
      </w:r>
      <w:proofErr w:type="gramStart"/>
      <w:r w:rsidR="005F725E" w:rsidRPr="00D5126A">
        <w:t>staff have</w:t>
      </w:r>
      <w:proofErr w:type="gramEnd"/>
      <w:r w:rsidR="005F725E" w:rsidRPr="00D5126A">
        <w:t xml:space="preserve"> temporarily left one of our major office buildings on the site and we had to close our Central Library. But we are not surrendering.</w:t>
      </w:r>
    </w:p>
    <w:p w:rsidR="005F725E" w:rsidRPr="00D5126A" w:rsidRDefault="005F725E" w:rsidP="008C7927">
      <w:pPr>
        <w:pStyle w:val="Para003"/>
        <w:spacing w:before="240" w:line="240" w:lineRule="auto"/>
      </w:pPr>
      <w:r w:rsidRPr="00D5126A">
        <w:t>Wellington City Counc</w:t>
      </w:r>
      <w:r w:rsidR="007C49D9" w:rsidRPr="00D5126A">
        <w:t xml:space="preserve">il is supported by an energised and </w:t>
      </w:r>
      <w:r w:rsidRPr="00D5126A">
        <w:t>inno</w:t>
      </w:r>
      <w:r w:rsidR="007C49D9" w:rsidRPr="00D5126A">
        <w:t>v</w:t>
      </w:r>
      <w:r w:rsidRPr="00D5126A">
        <w:t>ative</w:t>
      </w:r>
      <w:r w:rsidR="007C49D9" w:rsidRPr="00D5126A">
        <w:t>,</w:t>
      </w:r>
      <w:r w:rsidRPr="00D5126A">
        <w:t xml:space="preserve"> </w:t>
      </w:r>
      <w:r w:rsidR="007C49D9" w:rsidRPr="00D5126A">
        <w:t>1</w:t>
      </w:r>
      <w:r w:rsidR="00867060" w:rsidRPr="00D5126A">
        <w:t>8</w:t>
      </w:r>
      <w:r w:rsidR="007C49D9" w:rsidRPr="00D5126A">
        <w:t xml:space="preserve">00-strong </w:t>
      </w:r>
      <w:r w:rsidRPr="00D5126A">
        <w:t xml:space="preserve">workforce who are passionate about working for their city. I am proud of the way they have </w:t>
      </w:r>
      <w:proofErr w:type="gramStart"/>
      <w:r w:rsidRPr="00D5126A">
        <w:t>risen</w:t>
      </w:r>
      <w:proofErr w:type="gramEnd"/>
      <w:r w:rsidRPr="00D5126A">
        <w:t xml:space="preserve"> to the challenges of this year. For example</w:t>
      </w:r>
      <w:r w:rsidR="008E3375">
        <w:t>,</w:t>
      </w:r>
      <w:r w:rsidRPr="00D5126A">
        <w:t xml:space="preserve"> </w:t>
      </w:r>
      <w:r w:rsidR="00463520" w:rsidRPr="00D5126A">
        <w:t>within</w:t>
      </w:r>
      <w:r w:rsidR="009C52A1" w:rsidRPr="00D5126A">
        <w:t xml:space="preserve"> 10</w:t>
      </w:r>
      <w:r w:rsidR="00463520" w:rsidRPr="00D5126A">
        <w:t xml:space="preserve"> weeks </w:t>
      </w:r>
      <w:r w:rsidRPr="00D5126A">
        <w:t xml:space="preserve">of the library closure, </w:t>
      </w:r>
      <w:r w:rsidR="00463520" w:rsidRPr="00D5126A">
        <w:t xml:space="preserve">our staff had planned, implemented and opened a new pop-up library in the </w:t>
      </w:r>
      <w:r w:rsidR="008E3375">
        <w:t>city centre</w:t>
      </w:r>
      <w:r w:rsidR="008E3375" w:rsidRPr="00D5126A">
        <w:t xml:space="preserve"> </w:t>
      </w:r>
      <w:r w:rsidR="00463520" w:rsidRPr="00D5126A">
        <w:t>on Manners St</w:t>
      </w:r>
      <w:r w:rsidR="008E3375">
        <w:t>reet</w:t>
      </w:r>
      <w:r w:rsidR="00463520" w:rsidRPr="00D5126A">
        <w:t>.</w:t>
      </w:r>
      <w:r w:rsidRPr="00D5126A">
        <w:t xml:space="preserve"> </w:t>
      </w:r>
    </w:p>
    <w:p w:rsidR="005F725E" w:rsidRPr="00D5126A" w:rsidRDefault="005F725E" w:rsidP="008C7927">
      <w:pPr>
        <w:pStyle w:val="Para003"/>
        <w:spacing w:before="240" w:line="240" w:lineRule="auto"/>
      </w:pPr>
      <w:r w:rsidRPr="00D5126A">
        <w:t xml:space="preserve">Our </w:t>
      </w:r>
      <w:proofErr w:type="gramStart"/>
      <w:r w:rsidRPr="00D5126A">
        <w:t>staff also deliver</w:t>
      </w:r>
      <w:proofErr w:type="gramEnd"/>
      <w:r w:rsidRPr="00D5126A">
        <w:t xml:space="preserve"> more than 400 services </w:t>
      </w:r>
      <w:r w:rsidR="009C52A1" w:rsidRPr="00D5126A">
        <w:t xml:space="preserve">to our residents each day. </w:t>
      </w:r>
      <w:r w:rsidRPr="00D5126A">
        <w:t xml:space="preserve">The rubbish collection, street maintenance, recreation ground management, landfill services and many others that you expect to be delivered and we don’t often talk about. </w:t>
      </w:r>
    </w:p>
    <w:p w:rsidR="009C52A1" w:rsidRPr="00D5126A" w:rsidRDefault="007C49D9" w:rsidP="008C7927">
      <w:pPr>
        <w:pStyle w:val="Para003"/>
        <w:spacing w:before="240" w:line="240" w:lineRule="auto"/>
      </w:pPr>
      <w:r w:rsidRPr="00D5126A">
        <w:t xml:space="preserve">This year we secured </w:t>
      </w:r>
      <w:r w:rsidR="009C52A1" w:rsidRPr="00D5126A">
        <w:t xml:space="preserve">significant </w:t>
      </w:r>
      <w:r w:rsidR="008E3375">
        <w:t>g</w:t>
      </w:r>
      <w:r w:rsidR="009C52A1" w:rsidRPr="00D5126A">
        <w:t>overnment backing to improve our transport network</w:t>
      </w:r>
      <w:r w:rsidRPr="00D5126A">
        <w:t xml:space="preserve"> through</w:t>
      </w:r>
      <w:r w:rsidR="009C52A1" w:rsidRPr="00D5126A">
        <w:t xml:space="preserve"> the Let’</w:t>
      </w:r>
      <w:r w:rsidRPr="00D5126A">
        <w:t>s Get Wellin</w:t>
      </w:r>
      <w:r w:rsidR="00D12365" w:rsidRPr="00D5126A">
        <w:t>gton Moving package. This $6.4</w:t>
      </w:r>
      <w:r w:rsidRPr="00D5126A">
        <w:t xml:space="preserve"> billion programme</w:t>
      </w:r>
      <w:r w:rsidR="009C52A1" w:rsidRPr="00D5126A">
        <w:t xml:space="preserve"> will transform our transport, housing and the future growth and prosperity of our city. Never before in the history of our city have we been presented an opportunity for transformational change on this scale</w:t>
      </w:r>
      <w:r w:rsidR="00CF6843" w:rsidRPr="00D5126A">
        <w:t>. We will need to continue to innovate and think differently to ensure we can realise our potential.</w:t>
      </w:r>
    </w:p>
    <w:p w:rsidR="00FD6701" w:rsidRPr="00D5126A" w:rsidRDefault="00FD6701" w:rsidP="008C7927">
      <w:pPr>
        <w:pStyle w:val="Para003"/>
        <w:spacing w:before="240" w:line="240" w:lineRule="auto"/>
      </w:pPr>
      <w:r w:rsidRPr="00D5126A">
        <w:t xml:space="preserve">To some extent we are the </w:t>
      </w:r>
      <w:r w:rsidR="00463520" w:rsidRPr="00D5126A">
        <w:t>victims</w:t>
      </w:r>
      <w:r w:rsidRPr="00D5126A">
        <w:t xml:space="preserve"> of our own success: we have labour shortages, and construction market inflation is significant as earthquake strengthening work continues and properties are developed or redeveloped.</w:t>
      </w:r>
    </w:p>
    <w:p w:rsidR="00FD6701" w:rsidRPr="00D5126A" w:rsidRDefault="00FD6701" w:rsidP="008C7927">
      <w:pPr>
        <w:pStyle w:val="Para003"/>
        <w:spacing w:before="240" w:line="240" w:lineRule="auto"/>
      </w:pPr>
      <w:r w:rsidRPr="00D5126A">
        <w:lastRenderedPageBreak/>
        <w:t>They could be real problems if we don’t think smartly when adding in the financial and resource demands of Let’s Get Wellington Moving, increasing the city’s resilience</w:t>
      </w:r>
      <w:r w:rsidR="008E3375">
        <w:t>,</w:t>
      </w:r>
      <w:r w:rsidRPr="00D5126A">
        <w:t xml:space="preserve"> and </w:t>
      </w:r>
      <w:r w:rsidR="009C52A1" w:rsidRPr="00D5126A">
        <w:t>where</w:t>
      </w:r>
      <w:r w:rsidRPr="00D5126A">
        <w:t xml:space="preserve"> and how to safely accommodate our growing population. </w:t>
      </w:r>
    </w:p>
    <w:p w:rsidR="00BC21C9" w:rsidRPr="00D5126A" w:rsidRDefault="008C7927" w:rsidP="00BC21C9">
      <w:pPr>
        <w:pStyle w:val="Para042"/>
        <w:spacing w:before="240" w:line="240" w:lineRule="auto"/>
        <w:rPr>
          <w:color w:val="808080" w:themeColor="background1" w:themeShade="80"/>
        </w:rPr>
      </w:pPr>
      <w:r w:rsidRPr="00D5126A">
        <w:rPr>
          <w:b w:val="0"/>
        </w:rPr>
        <w:t xml:space="preserve">This year we also delivered a substantial </w:t>
      </w:r>
      <w:r w:rsidR="0067332A" w:rsidRPr="00D5126A">
        <w:rPr>
          <w:b w:val="0"/>
        </w:rPr>
        <w:t xml:space="preserve">$170 million </w:t>
      </w:r>
      <w:r w:rsidRPr="00D5126A">
        <w:rPr>
          <w:b w:val="0"/>
        </w:rPr>
        <w:t xml:space="preserve">capital programme </w:t>
      </w:r>
      <w:r w:rsidR="0067332A" w:rsidRPr="00D5126A">
        <w:rPr>
          <w:b w:val="0"/>
        </w:rPr>
        <w:t>– this includes new playgrounds, social housing apartments, sewage systems, and upgrades to public spaces and facilities.</w:t>
      </w:r>
    </w:p>
    <w:p w:rsidR="008C7927" w:rsidRPr="00D5126A" w:rsidRDefault="008C7927" w:rsidP="008C7927">
      <w:pPr>
        <w:pStyle w:val="Para003"/>
        <w:spacing w:before="240" w:line="240" w:lineRule="auto"/>
      </w:pPr>
    </w:p>
    <w:p w:rsidR="008C7927" w:rsidRPr="00D5126A" w:rsidRDefault="008C7927" w:rsidP="008C7927">
      <w:pPr>
        <w:pStyle w:val="Para003"/>
        <w:spacing w:before="240" w:line="240" w:lineRule="auto"/>
      </w:pPr>
      <w:r w:rsidRPr="00D5126A">
        <w:t>This report shows that in the last 12 months our performance in each of the activity areas remains strong while at the same time responding constructively to day-to-day challenges.</w:t>
      </w:r>
    </w:p>
    <w:p w:rsidR="008C7927" w:rsidRPr="00D5126A" w:rsidRDefault="008C7927" w:rsidP="008C7927">
      <w:pPr>
        <w:pStyle w:val="Para003"/>
        <w:spacing w:before="240" w:line="240" w:lineRule="auto"/>
      </w:pPr>
      <w:r w:rsidRPr="00D5126A">
        <w:t>We deliver more than 400 services to a</w:t>
      </w:r>
      <w:r w:rsidR="00FD6701" w:rsidRPr="00D5126A">
        <w:t>bout</w:t>
      </w:r>
      <w:r w:rsidRPr="00D5126A">
        <w:t xml:space="preserve"> </w:t>
      </w:r>
      <w:r w:rsidR="00984555">
        <w:t>216,300</w:t>
      </w:r>
      <w:r w:rsidRPr="00D5126A">
        <w:t xml:space="preserve"> people for less than </w:t>
      </w:r>
      <w:r w:rsidR="00FD6701" w:rsidRPr="00D5126A">
        <w:t>$7</w:t>
      </w:r>
      <w:r w:rsidRPr="00D5126A">
        <w:t xml:space="preserve"> per day per person. We’re committed to keeping rates manageable.</w:t>
      </w:r>
    </w:p>
    <w:p w:rsidR="008C7927" w:rsidRPr="00D5126A" w:rsidRDefault="008C7927" w:rsidP="008C7927">
      <w:pPr>
        <w:pStyle w:val="Para003"/>
        <w:spacing w:before="240" w:line="240" w:lineRule="auto"/>
      </w:pPr>
      <w:r w:rsidRPr="00D5126A">
        <w:t>Our plans are ambitious but our finances are in good order. The past year has shown we’re on the right track. Let’s keep building on the good work.</w:t>
      </w:r>
    </w:p>
    <w:p w:rsidR="008C7927" w:rsidRPr="00D5126A" w:rsidRDefault="008C7927" w:rsidP="008C7927">
      <w:pPr>
        <w:pStyle w:val="Para003"/>
        <w:spacing w:before="240" w:line="240" w:lineRule="auto"/>
      </w:pPr>
      <w:r w:rsidRPr="00D5126A">
        <w:rPr>
          <w:noProof/>
          <w:lang w:eastAsia="en-NZ"/>
        </w:rPr>
        <w:drawing>
          <wp:inline distT="0" distB="0" distL="0" distR="0" wp14:anchorId="030A1024" wp14:editId="3419F0A6">
            <wp:extent cx="1777734" cy="491490"/>
            <wp:effectExtent l="0" t="0" r="0" b="3810"/>
            <wp:docPr id="6" name="kevin-signature-RGB.png" descr="Chief Executive Kevin Lavery signature" title="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vin-signature-RGB.png" descr="Chief Executive Kevin Lavery signature"/>
                    <pic:cNvPicPr/>
                  </pic:nvPicPr>
                  <pic:blipFill>
                    <a:blip r:embed="rId12"/>
                    <a:stretch>
                      <a:fillRect/>
                    </a:stretch>
                  </pic:blipFill>
                  <pic:spPr>
                    <a:xfrm>
                      <a:off x="0" y="0"/>
                      <a:ext cx="1808513" cy="499999"/>
                    </a:xfrm>
                    <a:prstGeom prst="rect">
                      <a:avLst/>
                    </a:prstGeom>
                  </pic:spPr>
                </pic:pic>
              </a:graphicData>
            </a:graphic>
          </wp:inline>
        </w:drawing>
      </w:r>
    </w:p>
    <w:p w:rsidR="008C7927" w:rsidRPr="00D5126A" w:rsidRDefault="008C7927" w:rsidP="008C7927">
      <w:pPr>
        <w:pStyle w:val="Para003"/>
        <w:spacing w:before="240" w:line="240" w:lineRule="auto"/>
      </w:pPr>
      <w:r w:rsidRPr="00D5126A">
        <w:t>Kevin Lavery</w:t>
      </w:r>
    </w:p>
    <w:p w:rsidR="00CA6674" w:rsidRPr="00D5126A" w:rsidRDefault="00CA6674">
      <w:pPr>
        <w:rPr>
          <w:highlight w:val="magenta"/>
        </w:rPr>
      </w:pPr>
      <w:r w:rsidRPr="00D5126A">
        <w:rPr>
          <w:highlight w:val="magenta"/>
        </w:rPr>
        <w:br w:type="page"/>
      </w:r>
    </w:p>
    <w:p w:rsidR="006812DA" w:rsidRPr="00D5126A" w:rsidRDefault="008C7927" w:rsidP="0088674C">
      <w:pPr>
        <w:pStyle w:val="Heading2"/>
        <w:spacing w:before="0"/>
      </w:pPr>
      <w:bookmarkStart w:id="85" w:name="_Toc14178503"/>
      <w:bookmarkStart w:id="86" w:name="_Toc19085798"/>
      <w:bookmarkStart w:id="87" w:name="_Toc23758597"/>
      <w:bookmarkStart w:id="88" w:name="_Toc14178497"/>
      <w:r w:rsidRPr="00D5126A">
        <w:lastRenderedPageBreak/>
        <w:t xml:space="preserve">Highlights </w:t>
      </w:r>
      <w:bookmarkEnd w:id="85"/>
      <w:r w:rsidR="006812DA" w:rsidRPr="00D5126A">
        <w:t>of the year</w:t>
      </w:r>
      <w:bookmarkEnd w:id="86"/>
      <w:bookmarkEnd w:id="87"/>
    </w:p>
    <w:p w:rsidR="003E2037" w:rsidRDefault="003E2037" w:rsidP="002C7BF8">
      <w:pPr>
        <w:pStyle w:val="ListParagraph"/>
        <w:numPr>
          <w:ilvl w:val="0"/>
          <w:numId w:val="30"/>
        </w:numPr>
        <w:sectPr w:rsidR="003E2037" w:rsidSect="0088674C">
          <w:type w:val="continuous"/>
          <w:pgSz w:w="11905" w:h="16837"/>
          <w:pgMar w:top="993" w:right="1418" w:bottom="1134" w:left="1418" w:header="720" w:footer="0" w:gutter="0"/>
          <w:cols w:space="720"/>
          <w:docGrid w:linePitch="360"/>
        </w:sectPr>
      </w:pPr>
    </w:p>
    <w:p w:rsidR="00BF2126" w:rsidRPr="00D5126A" w:rsidRDefault="00A72B09" w:rsidP="002C7BF8">
      <w:pPr>
        <w:pStyle w:val="ListParagraph"/>
        <w:numPr>
          <w:ilvl w:val="0"/>
          <w:numId w:val="77"/>
        </w:numPr>
        <w:ind w:left="426"/>
      </w:pPr>
      <w:r w:rsidRPr="00D5126A">
        <w:lastRenderedPageBreak/>
        <w:t xml:space="preserve">70,230 </w:t>
      </w:r>
      <w:r w:rsidR="004146BD">
        <w:t>environment</w:t>
      </w:r>
      <w:r w:rsidR="004146BD" w:rsidRPr="00D5126A">
        <w:t xml:space="preserve"> </w:t>
      </w:r>
      <w:r w:rsidRPr="00D5126A">
        <w:t>v</w:t>
      </w:r>
      <w:r w:rsidR="00BF2126" w:rsidRPr="00D5126A">
        <w:t xml:space="preserve">olunteer </w:t>
      </w:r>
      <w:r w:rsidRPr="00D5126A">
        <w:t>h</w:t>
      </w:r>
      <w:r w:rsidR="00BF2126" w:rsidRPr="00D5126A">
        <w:t xml:space="preserve">ours </w:t>
      </w:r>
    </w:p>
    <w:p w:rsidR="00BF2126" w:rsidRPr="00D5126A" w:rsidRDefault="00BF2126" w:rsidP="002C7BF8">
      <w:pPr>
        <w:pStyle w:val="ListParagraph"/>
        <w:numPr>
          <w:ilvl w:val="0"/>
          <w:numId w:val="77"/>
        </w:numPr>
        <w:ind w:left="426"/>
      </w:pPr>
      <w:r w:rsidRPr="00D5126A">
        <w:t>Te Atakura - First to Zero policy passed</w:t>
      </w:r>
    </w:p>
    <w:p w:rsidR="00BF2126" w:rsidRPr="00D5126A" w:rsidRDefault="00BF2126" w:rsidP="002C7BF8">
      <w:pPr>
        <w:pStyle w:val="ListParagraph"/>
        <w:numPr>
          <w:ilvl w:val="0"/>
          <w:numId w:val="77"/>
        </w:numPr>
        <w:ind w:left="426"/>
      </w:pPr>
      <w:r w:rsidRPr="00D5126A">
        <w:t xml:space="preserve">5 millionth customer </w:t>
      </w:r>
      <w:r w:rsidR="006D6061">
        <w:t>at ASB Sports Centre</w:t>
      </w:r>
    </w:p>
    <w:p w:rsidR="00BF2126" w:rsidRPr="00D5126A" w:rsidRDefault="00BF2126" w:rsidP="002C7BF8">
      <w:pPr>
        <w:pStyle w:val="ListParagraph"/>
        <w:numPr>
          <w:ilvl w:val="0"/>
          <w:numId w:val="77"/>
        </w:numPr>
        <w:ind w:left="426"/>
      </w:pPr>
      <w:r w:rsidRPr="00D5126A">
        <w:t>150</w:t>
      </w:r>
      <w:r w:rsidRPr="00D5126A">
        <w:rPr>
          <w:vertAlign w:val="superscript"/>
        </w:rPr>
        <w:t>th</w:t>
      </w:r>
      <w:r w:rsidRPr="00D5126A">
        <w:t xml:space="preserve"> </w:t>
      </w:r>
      <w:r w:rsidR="003E2037">
        <w:t>a</w:t>
      </w:r>
      <w:r w:rsidRPr="00D5126A">
        <w:t xml:space="preserve">nniversary of </w:t>
      </w:r>
      <w:r w:rsidR="003E2037">
        <w:t xml:space="preserve">the </w:t>
      </w:r>
      <w:r w:rsidRPr="00D5126A">
        <w:t>Botanic Garden</w:t>
      </w:r>
    </w:p>
    <w:p w:rsidR="00BF2126" w:rsidRPr="00D5126A" w:rsidRDefault="000F32E7" w:rsidP="002C7BF8">
      <w:pPr>
        <w:pStyle w:val="ListParagraph"/>
        <w:numPr>
          <w:ilvl w:val="0"/>
          <w:numId w:val="77"/>
        </w:numPr>
        <w:ind w:left="426"/>
      </w:pPr>
      <w:r w:rsidRPr="00D5126A">
        <w:t>270,675 c</w:t>
      </w:r>
      <w:r w:rsidR="00BF2126" w:rsidRPr="00D5126A">
        <w:t xml:space="preserve">alls to </w:t>
      </w:r>
      <w:r w:rsidR="003E2037">
        <w:t xml:space="preserve">the </w:t>
      </w:r>
      <w:r w:rsidR="00BF2126" w:rsidRPr="00D5126A">
        <w:t>call centre</w:t>
      </w:r>
    </w:p>
    <w:p w:rsidR="00BF2126" w:rsidRPr="00D5126A" w:rsidRDefault="00BF2126" w:rsidP="002C7BF8">
      <w:pPr>
        <w:pStyle w:val="ListParagraph"/>
        <w:numPr>
          <w:ilvl w:val="0"/>
          <w:numId w:val="77"/>
        </w:numPr>
        <w:ind w:left="426"/>
      </w:pPr>
      <w:r w:rsidRPr="00D5126A">
        <w:t xml:space="preserve">40,000 </w:t>
      </w:r>
      <w:r w:rsidR="00CD7C14">
        <w:t xml:space="preserve">recycling </w:t>
      </w:r>
      <w:r w:rsidRPr="00D5126A">
        <w:t>wheelie bin clips</w:t>
      </w:r>
    </w:p>
    <w:p w:rsidR="00BF2126" w:rsidRPr="00D5126A" w:rsidRDefault="000229B4" w:rsidP="002C7BF8">
      <w:pPr>
        <w:pStyle w:val="ListParagraph"/>
        <w:numPr>
          <w:ilvl w:val="0"/>
          <w:numId w:val="77"/>
        </w:numPr>
        <w:ind w:left="426"/>
      </w:pPr>
      <w:r w:rsidRPr="00D5126A">
        <w:t xml:space="preserve">770,320 </w:t>
      </w:r>
      <w:r w:rsidR="00A72B09" w:rsidRPr="00D5126A">
        <w:t>gallery and m</w:t>
      </w:r>
      <w:r w:rsidR="00BF2126" w:rsidRPr="00D5126A">
        <w:t>useum visits</w:t>
      </w:r>
    </w:p>
    <w:p w:rsidR="00BF2126" w:rsidRPr="00D5126A" w:rsidRDefault="000F32E7" w:rsidP="002C7BF8">
      <w:pPr>
        <w:pStyle w:val="ListParagraph"/>
        <w:numPr>
          <w:ilvl w:val="0"/>
          <w:numId w:val="77"/>
        </w:numPr>
        <w:ind w:left="426"/>
      </w:pPr>
      <w:r w:rsidRPr="00D5126A">
        <w:lastRenderedPageBreak/>
        <w:t xml:space="preserve">$34m strengthening of </w:t>
      </w:r>
      <w:r w:rsidR="00BF2126" w:rsidRPr="00D5126A">
        <w:t xml:space="preserve">St James Theatre </w:t>
      </w:r>
      <w:r w:rsidRPr="00D5126A">
        <w:t>underway</w:t>
      </w:r>
    </w:p>
    <w:p w:rsidR="00BF2126" w:rsidRPr="00D5126A" w:rsidRDefault="000F32E7" w:rsidP="002C7BF8">
      <w:pPr>
        <w:pStyle w:val="ListParagraph"/>
        <w:numPr>
          <w:ilvl w:val="0"/>
          <w:numId w:val="77"/>
        </w:numPr>
        <w:ind w:left="426"/>
      </w:pPr>
      <w:r w:rsidRPr="00D5126A">
        <w:t xml:space="preserve">$1m upgrade of </w:t>
      </w:r>
      <w:r w:rsidR="00BF2126" w:rsidRPr="00D5126A">
        <w:t xml:space="preserve">Tawa </w:t>
      </w:r>
      <w:r w:rsidRPr="00D5126A">
        <w:t>Town Centre and Plaza</w:t>
      </w:r>
    </w:p>
    <w:p w:rsidR="00BF2126" w:rsidRPr="00D5126A" w:rsidRDefault="00BF2126" w:rsidP="002C7BF8">
      <w:pPr>
        <w:pStyle w:val="ListParagraph"/>
        <w:numPr>
          <w:ilvl w:val="0"/>
          <w:numId w:val="77"/>
        </w:numPr>
        <w:ind w:left="426"/>
      </w:pPr>
      <w:r w:rsidRPr="00D5126A">
        <w:t>400,000m</w:t>
      </w:r>
      <w:r w:rsidRPr="00D5126A">
        <w:rPr>
          <w:vertAlign w:val="superscript"/>
        </w:rPr>
        <w:t xml:space="preserve">2 </w:t>
      </w:r>
      <w:r w:rsidRPr="00D5126A">
        <w:t>of road resurfaced</w:t>
      </w:r>
    </w:p>
    <w:p w:rsidR="00BF2126" w:rsidRPr="00D5126A" w:rsidRDefault="000F32E7" w:rsidP="002C7BF8">
      <w:pPr>
        <w:pStyle w:val="ListParagraph"/>
        <w:numPr>
          <w:ilvl w:val="0"/>
          <w:numId w:val="77"/>
        </w:numPr>
        <w:ind w:left="426"/>
      </w:pPr>
      <w:r w:rsidRPr="00D5126A">
        <w:t>20 h</w:t>
      </w:r>
      <w:r w:rsidR="00BF2126" w:rsidRPr="00D5126A">
        <w:t xml:space="preserve">aka </w:t>
      </w:r>
      <w:r w:rsidR="00196C00" w:rsidRPr="00D5126A">
        <w:t xml:space="preserve">pedestrian </w:t>
      </w:r>
      <w:r w:rsidR="00BF2126" w:rsidRPr="00D5126A">
        <w:t>lanterns installed</w:t>
      </w:r>
    </w:p>
    <w:p w:rsidR="003E2037" w:rsidRDefault="00BF2126" w:rsidP="002C7BF8">
      <w:pPr>
        <w:pStyle w:val="ListParagraph"/>
        <w:numPr>
          <w:ilvl w:val="0"/>
          <w:numId w:val="77"/>
        </w:numPr>
        <w:ind w:left="426"/>
        <w:sectPr w:rsidR="003E2037" w:rsidSect="003E2037">
          <w:type w:val="continuous"/>
          <w:pgSz w:w="11905" w:h="16837"/>
          <w:pgMar w:top="1134" w:right="1273" w:bottom="1134" w:left="1276" w:header="720" w:footer="0" w:gutter="0"/>
          <w:cols w:num="2" w:space="565"/>
          <w:docGrid w:linePitch="360"/>
        </w:sectPr>
      </w:pPr>
      <w:r w:rsidRPr="00D5126A">
        <w:t>33 Retaining and sea walls built or renewed</w:t>
      </w:r>
    </w:p>
    <w:p w:rsidR="00BF2126" w:rsidRPr="00D5126A" w:rsidRDefault="00BF2126" w:rsidP="0088674C">
      <w:pPr>
        <w:pStyle w:val="ListParagraph"/>
        <w:spacing w:after="0"/>
      </w:pPr>
    </w:p>
    <w:p w:rsidR="00D7674C" w:rsidRPr="00D5126A" w:rsidRDefault="007002BD" w:rsidP="0088674C">
      <w:pPr>
        <w:pStyle w:val="Heading2"/>
        <w:spacing w:before="0"/>
      </w:pPr>
      <w:bookmarkStart w:id="89" w:name="_Toc14178498"/>
      <w:bookmarkStart w:id="90" w:name="_Toc19085799"/>
      <w:bookmarkStart w:id="91" w:name="_Toc23758598"/>
      <w:bookmarkEnd w:id="88"/>
      <w:r w:rsidRPr="00D5126A">
        <w:t>Summary</w:t>
      </w:r>
      <w:r w:rsidR="007356AC" w:rsidRPr="00D5126A">
        <w:t xml:space="preserve"> of </w:t>
      </w:r>
      <w:bookmarkEnd w:id="89"/>
      <w:r w:rsidRPr="00D5126A">
        <w:t>what we do</w:t>
      </w:r>
      <w:bookmarkEnd w:id="90"/>
      <w:bookmarkEnd w:id="91"/>
    </w:p>
    <w:p w:rsidR="00C33FA7" w:rsidRPr="00D5126A" w:rsidRDefault="00C33FA7" w:rsidP="00C33FA7">
      <w:r w:rsidRPr="00D5126A">
        <w:t xml:space="preserve">Most of the work we do and the services we provide are in seven activity areas. While the five priority areas of </w:t>
      </w:r>
      <w:proofErr w:type="gramStart"/>
      <w:r w:rsidRPr="00D5126A">
        <w:t>Our</w:t>
      </w:r>
      <w:proofErr w:type="gramEnd"/>
      <w:r w:rsidRPr="00D5126A">
        <w:t xml:space="preserve"> 10-Year Plan 2018-28 drive a structured effort in areas that need work, the seven strategic areas represent how we work.</w:t>
      </w:r>
    </w:p>
    <w:p w:rsidR="00C33FA7" w:rsidRPr="00D5126A" w:rsidRDefault="00C33FA7" w:rsidP="00C33FA7">
      <w:r w:rsidRPr="00D5126A">
        <w:t xml:space="preserve">In the Our Performance </w:t>
      </w:r>
      <w:proofErr w:type="gramStart"/>
      <w:r w:rsidRPr="00D5126A">
        <w:t>In</w:t>
      </w:r>
      <w:proofErr w:type="gramEnd"/>
      <w:r w:rsidRPr="00D5126A">
        <w:t xml:space="preserve"> Detail section we outline each activity area, including an overview of the groups of activities, highlights, challenges, performance information and what it costs. This 2018/19 Annual Report is a report against year one of </w:t>
      </w:r>
      <w:proofErr w:type="gramStart"/>
      <w:r w:rsidRPr="00D5126A">
        <w:t>Our</w:t>
      </w:r>
      <w:proofErr w:type="gramEnd"/>
      <w:r w:rsidRPr="00D5126A">
        <w:t xml:space="preserve"> 10-Year Plan. </w:t>
      </w:r>
    </w:p>
    <w:p w:rsidR="00D7674C" w:rsidRPr="00D5126A" w:rsidRDefault="007356AC" w:rsidP="00C33FA7">
      <w:r w:rsidRPr="00D5126A">
        <w:t>Our</w:t>
      </w:r>
      <w:r w:rsidR="00D7674C" w:rsidRPr="00D5126A">
        <w:t xml:space="preserve"> seven activity areas</w:t>
      </w:r>
      <w:r w:rsidRPr="00D5126A">
        <w:t xml:space="preserve"> are</w:t>
      </w:r>
      <w:r w:rsidR="00D7674C" w:rsidRPr="00D5126A">
        <w:t>:</w:t>
      </w:r>
    </w:p>
    <w:p w:rsidR="00D7674C" w:rsidRPr="00D5126A" w:rsidRDefault="00D7674C" w:rsidP="00C33FA7">
      <w:r w:rsidRPr="00D5126A">
        <w:rPr>
          <w:rStyle w:val="00Text"/>
          <w:rFonts w:ascii="Arial" w:hAnsi="Arial" w:cs="Arial"/>
        </w:rPr>
        <w:t>Governance</w:t>
      </w:r>
      <w:r w:rsidRPr="00D5126A">
        <w:rPr>
          <w:color w:val="FFFFFF" w:themeColor="background1"/>
        </w:rPr>
        <w:t xml:space="preserve"> </w:t>
      </w:r>
      <w:r w:rsidRPr="00D5126A">
        <w:t xml:space="preserve">– We inform residents, and engage with them about the city and the issues it faces, </w:t>
      </w:r>
      <w:r w:rsidR="00B03442" w:rsidRPr="00D5126A">
        <w:t xml:space="preserve">manage local elections, </w:t>
      </w:r>
      <w:r w:rsidRPr="00D5126A">
        <w:t>and work with mana whenua to make decisions in the best interests of the city and its people.</w:t>
      </w:r>
    </w:p>
    <w:p w:rsidR="00D7674C" w:rsidRPr="00D5126A" w:rsidRDefault="00D7674C" w:rsidP="00C33FA7">
      <w:r w:rsidRPr="00D5126A">
        <w:rPr>
          <w:rStyle w:val="00Text"/>
          <w:rFonts w:ascii="Arial" w:hAnsi="Arial" w:cs="Arial"/>
        </w:rPr>
        <w:t>Environment</w:t>
      </w:r>
      <w:r w:rsidRPr="00D5126A">
        <w:rPr>
          <w:color w:val="FFFFFF" w:themeColor="background1"/>
        </w:rPr>
        <w:t xml:space="preserve"> </w:t>
      </w:r>
      <w:r w:rsidRPr="00D5126A">
        <w:t xml:space="preserve">– We provide water, stormwater and wastewater services and look after waste reduction and disposal. We fund conservation attractions, </w:t>
      </w:r>
      <w:r w:rsidR="0045068E">
        <w:t xml:space="preserve">and </w:t>
      </w:r>
      <w:r w:rsidRPr="00D5126A">
        <w:t>look after parks, reserves, tracks and walkways.</w:t>
      </w:r>
      <w:r w:rsidR="008742EF" w:rsidRPr="00D5126A">
        <w:rPr>
          <w:lang w:eastAsia="en-NZ"/>
        </w:rPr>
        <w:t xml:space="preserve"> </w:t>
      </w:r>
    </w:p>
    <w:p w:rsidR="00D7674C" w:rsidRPr="00D5126A" w:rsidRDefault="00D7674C" w:rsidP="00C33FA7">
      <w:r w:rsidRPr="00D5126A">
        <w:rPr>
          <w:rStyle w:val="00Text"/>
          <w:rFonts w:ascii="Arial" w:hAnsi="Arial" w:cs="Arial"/>
        </w:rPr>
        <w:t>Economic development</w:t>
      </w:r>
      <w:r w:rsidRPr="00D5126A">
        <w:t xml:space="preserve"> – We attract and support business activity, market Wellington to tourists from New Zealand and overseas, and own and operate performance venues and conference facilities. We also help promote links with sister cities such as Sakai in Japan and Sydney in Australia.</w:t>
      </w:r>
    </w:p>
    <w:p w:rsidR="00D7674C" w:rsidRPr="00D5126A" w:rsidRDefault="00D7674C" w:rsidP="00C33FA7">
      <w:r w:rsidRPr="00D5126A">
        <w:rPr>
          <w:rStyle w:val="00Text"/>
          <w:rFonts w:ascii="Arial" w:hAnsi="Arial" w:cs="Arial"/>
        </w:rPr>
        <w:t>Cultural wellbeing</w:t>
      </w:r>
      <w:r w:rsidRPr="00D5126A">
        <w:t xml:space="preserve"> – We fund city events and festivals such as the New Zealand Festival and CubaDupa. We also support attractions, galleries and museums, as well as community art and cultural activities.</w:t>
      </w:r>
    </w:p>
    <w:p w:rsidR="00D7674C" w:rsidRPr="00D5126A" w:rsidRDefault="00D7674C" w:rsidP="00C33FA7">
      <w:r w:rsidRPr="00D5126A">
        <w:rPr>
          <w:rStyle w:val="00Text"/>
          <w:rFonts w:ascii="Arial" w:hAnsi="Arial" w:cs="Arial"/>
        </w:rPr>
        <w:t>Social and recreation</w:t>
      </w:r>
      <w:r w:rsidRPr="00D5126A">
        <w:rPr>
          <w:color w:val="FFFFFF" w:themeColor="background1"/>
        </w:rPr>
        <w:t xml:space="preserve"> </w:t>
      </w:r>
      <w:r w:rsidRPr="00D5126A">
        <w:t xml:space="preserve">– </w:t>
      </w:r>
      <w:r w:rsidR="00DF255E" w:rsidRPr="00DF255E">
        <w:t>We provide community and social facilities throughout the city. This includes libraries, community centres, swimming pools, sportsfields and playgrounds. We also work to reduce homelessness and begging, and improve city safety.</w:t>
      </w:r>
    </w:p>
    <w:p w:rsidR="00D7674C" w:rsidRPr="00D5126A" w:rsidRDefault="00D7674C" w:rsidP="00C33FA7">
      <w:r w:rsidRPr="00D5126A">
        <w:rPr>
          <w:rStyle w:val="00Text"/>
          <w:rFonts w:ascii="Arial" w:hAnsi="Arial" w:cs="Arial"/>
        </w:rPr>
        <w:t>Urban development</w:t>
      </w:r>
      <w:r w:rsidRPr="00D5126A">
        <w:t xml:space="preserve"> – We manage urban planning and design, control building activity and land use, and assess risks from earthquake-prone buildings. We also develop and enhance public spaces.</w:t>
      </w:r>
    </w:p>
    <w:p w:rsidR="009C620A" w:rsidRPr="00D5126A" w:rsidRDefault="00D7674C">
      <w:pPr>
        <w:rPr>
          <w:rFonts w:asciiTheme="majorHAnsi" w:eastAsiaTheme="majorEastAsia" w:hAnsiTheme="majorHAnsi"/>
          <w:b/>
          <w:bCs/>
          <w:color w:val="1F497D" w:themeColor="text2"/>
          <w:sz w:val="40"/>
          <w:szCs w:val="40"/>
        </w:rPr>
      </w:pPr>
      <w:r w:rsidRPr="00D5126A">
        <w:rPr>
          <w:rStyle w:val="00Text"/>
          <w:rFonts w:ascii="Arial" w:hAnsi="Arial" w:cs="Arial"/>
        </w:rPr>
        <w:t>Transport</w:t>
      </w:r>
      <w:r w:rsidRPr="00D5126A">
        <w:t xml:space="preserve"> – We provide and maintain roads, bridges, tunnels, walls, cycleways, and pedestrian paths. We also provide bus shelters, bus stops and bus lanes, and signs and </w:t>
      </w:r>
      <w:r w:rsidR="0088674C">
        <w:t>t</w:t>
      </w:r>
      <w:r w:rsidRPr="00D5126A">
        <w:t>raffic signals.</w:t>
      </w:r>
      <w:r w:rsidR="009C620A" w:rsidRPr="00D5126A">
        <w:br w:type="page"/>
      </w:r>
    </w:p>
    <w:p w:rsidR="00B27C37" w:rsidRPr="00D5126A" w:rsidRDefault="00C334AC" w:rsidP="00810293">
      <w:pPr>
        <w:pStyle w:val="Heading2"/>
      </w:pPr>
      <w:bookmarkStart w:id="92" w:name="_Toc19085800"/>
      <w:bookmarkStart w:id="93" w:name="_Toc23758599"/>
      <w:r w:rsidRPr="00D5126A">
        <w:lastRenderedPageBreak/>
        <w:t>Summary</w:t>
      </w:r>
      <w:r w:rsidR="007002BD" w:rsidRPr="00D5126A">
        <w:t xml:space="preserve"> of </w:t>
      </w:r>
      <w:r w:rsidR="00B64875">
        <w:t>o</w:t>
      </w:r>
      <w:r w:rsidR="00B64875" w:rsidRPr="00D5126A">
        <w:t xml:space="preserve">ur </w:t>
      </w:r>
      <w:bookmarkEnd w:id="92"/>
      <w:r w:rsidR="00B64875">
        <w:t>p</w:t>
      </w:r>
      <w:r w:rsidR="00B64875" w:rsidRPr="00D5126A">
        <w:t>erformance</w:t>
      </w:r>
      <w:bookmarkEnd w:id="93"/>
    </w:p>
    <w:p w:rsidR="00B03442" w:rsidRPr="00D5126A" w:rsidRDefault="00B03442" w:rsidP="008E18E2">
      <w:bookmarkStart w:id="94" w:name="Our_activity_areas___summary_of_what_we_"/>
      <w:bookmarkStart w:id="95" w:name="_Toc528234296"/>
      <w:bookmarkStart w:id="96" w:name="_Toc14178525"/>
      <w:r w:rsidRPr="00D5126A">
        <w:t xml:space="preserve">During the year, we continued to deliver our services well while adapting to an increasingly challenging operational environment </w:t>
      </w:r>
      <w:r w:rsidRPr="00E27622">
        <w:t xml:space="preserve">(see pg </w:t>
      </w:r>
      <w:r w:rsidR="00E27622" w:rsidRPr="00E27622">
        <w:t>10</w:t>
      </w:r>
      <w:r w:rsidRPr="00E27622">
        <w:t>).</w:t>
      </w:r>
      <w:r w:rsidRPr="00D5126A">
        <w:t xml:space="preserve"> In addition, we have a substantial capital works programme under</w:t>
      </w:r>
      <w:r w:rsidR="00B64875">
        <w:t xml:space="preserve"> </w:t>
      </w:r>
      <w:r w:rsidRPr="00D5126A">
        <w:t>way that spans several years. While we progressed several citywide capital works initiatives during the year, sustained delivery of the capital works programme has been challenging.  At end of the year</w:t>
      </w:r>
      <w:r w:rsidR="00B64875">
        <w:t>,</w:t>
      </w:r>
      <w:r w:rsidRPr="00D5126A">
        <w:t xml:space="preserve"> we had a 29</w:t>
      </w:r>
      <w:r w:rsidR="00B64875">
        <w:t xml:space="preserve"> percent</w:t>
      </w:r>
      <w:r w:rsidRPr="00D5126A">
        <w:t xml:space="preserve"> under delivery on our Council capital programme covering several activity areas. </w:t>
      </w:r>
    </w:p>
    <w:p w:rsidR="00B1134C" w:rsidRPr="00D5126A" w:rsidRDefault="00B1134C" w:rsidP="00566E35">
      <w:pPr>
        <w:pStyle w:val="Heading4"/>
      </w:pPr>
      <w:r w:rsidRPr="00D5126A">
        <w:t>Outcome indicators</w:t>
      </w:r>
    </w:p>
    <w:p w:rsidR="00B1134C" w:rsidRPr="00D5126A" w:rsidRDefault="00B1134C" w:rsidP="00B1134C">
      <w:r w:rsidRPr="00D5126A">
        <w:t xml:space="preserve">Progress towards our aspirations for Wellington is monitored by following the trends in 115 high-level outcome indicators for our activity areas and in aggregate. By the end of the year, 21 percent (24 out of 115) of our outcome indicators were trending in the desired direction. A further </w:t>
      </w:r>
      <w:r w:rsidR="00C62D64">
        <w:t>63</w:t>
      </w:r>
      <w:r w:rsidR="00C62D64" w:rsidRPr="00D5126A">
        <w:t xml:space="preserve"> </w:t>
      </w:r>
      <w:r w:rsidRPr="00D5126A">
        <w:t>percent (</w:t>
      </w:r>
      <w:r w:rsidR="00C62D64">
        <w:t>73</w:t>
      </w:r>
      <w:r w:rsidR="00C62D64" w:rsidRPr="00D5126A">
        <w:t xml:space="preserve"> </w:t>
      </w:r>
      <w:r w:rsidRPr="00D5126A">
        <w:t xml:space="preserve">out of 115) </w:t>
      </w:r>
      <w:r w:rsidR="00A33E24" w:rsidRPr="00D5126A">
        <w:t xml:space="preserve">had no trend </w:t>
      </w:r>
      <w:r w:rsidRPr="00D5126A">
        <w:t>from the previous year</w:t>
      </w:r>
      <w:r w:rsidR="00C62D64">
        <w:t>; of these 73</w:t>
      </w:r>
      <w:r w:rsidR="00C62D64" w:rsidRPr="00D5126A">
        <w:t>, 25 indicators were new and therefore not comparable to previous years</w:t>
      </w:r>
      <w:r w:rsidRPr="00D5126A">
        <w:t>. This suggests that overall the city is making progress towards our aspirations – but not on all fronts.</w:t>
      </w:r>
    </w:p>
    <w:p w:rsidR="00B1134C" w:rsidRPr="00D5126A" w:rsidRDefault="00B1134C" w:rsidP="00B1134C">
      <w:r w:rsidRPr="00D5126A">
        <w:t xml:space="preserve">The 18 indicators that are not trending in the desired direction – notably some indicators in economic development, urban development and transport – are subject to ongoing monitoring. In addition, </w:t>
      </w:r>
      <w:proofErr w:type="gramStart"/>
      <w:r w:rsidRPr="00D5126A">
        <w:t>Our</w:t>
      </w:r>
      <w:proofErr w:type="gramEnd"/>
      <w:r w:rsidRPr="00D5126A">
        <w:t xml:space="preserve"> 10-Year Plan signals investment that is likely to enable improved outcome trends over time, for example</w:t>
      </w:r>
      <w:r w:rsidR="004C5071">
        <w:t>,</w:t>
      </w:r>
      <w:r w:rsidRPr="00D5126A">
        <w:t xml:space="preserve"> our continued investment in transport.</w:t>
      </w:r>
    </w:p>
    <w:p w:rsidR="00B1134C" w:rsidRPr="00D5126A" w:rsidRDefault="00B1134C" w:rsidP="00B1134C">
      <w:r w:rsidRPr="00D5126A">
        <w:t xml:space="preserve">Section 3: Our </w:t>
      </w:r>
      <w:r w:rsidR="004C5071">
        <w:t>p</w:t>
      </w:r>
      <w:r w:rsidR="004C5071" w:rsidRPr="00D5126A">
        <w:t xml:space="preserve">erformance </w:t>
      </w:r>
      <w:r w:rsidRPr="00D5126A">
        <w:t xml:space="preserve">in </w:t>
      </w:r>
      <w:r w:rsidR="004C5071">
        <w:t>d</w:t>
      </w:r>
      <w:r w:rsidR="004C5071" w:rsidRPr="00D5126A">
        <w:t xml:space="preserve">etail </w:t>
      </w:r>
      <w:r w:rsidRPr="00D5126A">
        <w:t>provides information on outcome indicator trends over the past 3 years.</w:t>
      </w:r>
    </w:p>
    <w:p w:rsidR="007568AD" w:rsidRPr="00D5126A" w:rsidRDefault="009608BE" w:rsidP="009608BE">
      <w:pPr>
        <w:pStyle w:val="Caption"/>
      </w:pPr>
      <w:r w:rsidRPr="00D5126A">
        <w:t xml:space="preserve">Table </w:t>
      </w:r>
      <w:fldSimple w:instr=" SEQ Table \* ARABIC ">
        <w:r w:rsidR="00B22256">
          <w:rPr>
            <w:noProof/>
          </w:rPr>
          <w:t>1</w:t>
        </w:r>
      </w:fldSimple>
      <w:r w:rsidRPr="00D5126A">
        <w:t xml:space="preserve">: Overview of </w:t>
      </w:r>
      <w:r w:rsidR="004C5071">
        <w:t>o</w:t>
      </w:r>
      <w:r w:rsidR="004C5071" w:rsidRPr="00D5126A">
        <w:t xml:space="preserve">utcome </w:t>
      </w:r>
      <w:r w:rsidR="004C5071">
        <w:t>i</w:t>
      </w:r>
      <w:r w:rsidR="004C5071" w:rsidRPr="00D5126A">
        <w:t xml:space="preserve">ndicators </w:t>
      </w:r>
      <w:r w:rsidRPr="00D5126A">
        <w:t>against desired trend</w:t>
      </w:r>
    </w:p>
    <w:tbl>
      <w:tblPr>
        <w:tblStyle w:val="TableGrid"/>
        <w:tblW w:w="0" w:type="auto"/>
        <w:tblLook w:val="04A0" w:firstRow="1" w:lastRow="0" w:firstColumn="1" w:lastColumn="0" w:noHBand="0" w:noVBand="1"/>
        <w:tblCaption w:val="Table 1: Overview of Outcome Indicators against desired trend"/>
      </w:tblPr>
      <w:tblGrid>
        <w:gridCol w:w="4311"/>
        <w:gridCol w:w="1134"/>
        <w:gridCol w:w="766"/>
        <w:gridCol w:w="1060"/>
        <w:gridCol w:w="1125"/>
      </w:tblGrid>
      <w:tr w:rsidR="00BA44E1" w:rsidRPr="00D5126A" w:rsidTr="00DF255E">
        <w:trPr>
          <w:trHeight w:val="528"/>
        </w:trPr>
        <w:tc>
          <w:tcPr>
            <w:tcW w:w="4311" w:type="dxa"/>
            <w:noWrap/>
            <w:hideMark/>
          </w:tcPr>
          <w:p w:rsidR="00BA44E1" w:rsidRPr="00D5126A" w:rsidRDefault="00BA44E1" w:rsidP="00D9040A">
            <w:pPr>
              <w:rPr>
                <w:b/>
                <w:bCs/>
              </w:rPr>
            </w:pPr>
          </w:p>
        </w:tc>
        <w:tc>
          <w:tcPr>
            <w:tcW w:w="1134" w:type="dxa"/>
            <w:hideMark/>
          </w:tcPr>
          <w:p w:rsidR="00BA44E1" w:rsidRPr="00D5126A" w:rsidRDefault="00BA44E1" w:rsidP="00D9040A">
            <w:pPr>
              <w:rPr>
                <w:b/>
                <w:bCs/>
              </w:rPr>
            </w:pPr>
            <w:r w:rsidRPr="00D5126A">
              <w:rPr>
                <w:b/>
                <w:bCs/>
              </w:rPr>
              <w:t>Negative trend</w:t>
            </w:r>
          </w:p>
        </w:tc>
        <w:tc>
          <w:tcPr>
            <w:tcW w:w="766" w:type="dxa"/>
            <w:hideMark/>
          </w:tcPr>
          <w:p w:rsidR="00C62D64" w:rsidRPr="00D5126A" w:rsidRDefault="00BA44E1" w:rsidP="00D9040A">
            <w:pPr>
              <w:rPr>
                <w:b/>
                <w:bCs/>
              </w:rPr>
            </w:pPr>
            <w:r w:rsidRPr="00D5126A">
              <w:rPr>
                <w:b/>
                <w:bCs/>
              </w:rPr>
              <w:t>No trend</w:t>
            </w:r>
          </w:p>
        </w:tc>
        <w:tc>
          <w:tcPr>
            <w:tcW w:w="1060" w:type="dxa"/>
            <w:hideMark/>
          </w:tcPr>
          <w:p w:rsidR="00BA44E1" w:rsidRPr="00D5126A" w:rsidRDefault="00BA44E1" w:rsidP="00D9040A">
            <w:pPr>
              <w:rPr>
                <w:b/>
                <w:bCs/>
              </w:rPr>
            </w:pPr>
            <w:r w:rsidRPr="00D5126A">
              <w:rPr>
                <w:b/>
                <w:bCs/>
              </w:rPr>
              <w:t>Positive trend</w:t>
            </w:r>
          </w:p>
        </w:tc>
        <w:tc>
          <w:tcPr>
            <w:tcW w:w="1125" w:type="dxa"/>
            <w:hideMark/>
          </w:tcPr>
          <w:p w:rsidR="00BA44E1" w:rsidRPr="00D5126A" w:rsidRDefault="00BA44E1" w:rsidP="00D9040A">
            <w:pPr>
              <w:rPr>
                <w:b/>
                <w:bCs/>
              </w:rPr>
            </w:pPr>
            <w:r w:rsidRPr="00D5126A">
              <w:rPr>
                <w:b/>
                <w:bCs/>
              </w:rPr>
              <w:t>Grand Total</w:t>
            </w:r>
          </w:p>
        </w:tc>
      </w:tr>
      <w:tr w:rsidR="00BA44E1" w:rsidRPr="00D5126A" w:rsidTr="00DF255E">
        <w:trPr>
          <w:trHeight w:val="264"/>
        </w:trPr>
        <w:tc>
          <w:tcPr>
            <w:tcW w:w="4311" w:type="dxa"/>
            <w:noWrap/>
            <w:hideMark/>
          </w:tcPr>
          <w:p w:rsidR="00BA44E1" w:rsidRPr="00D5126A" w:rsidRDefault="00BA44E1" w:rsidP="00D9040A">
            <w:pPr>
              <w:rPr>
                <w:b/>
                <w:bCs/>
              </w:rPr>
            </w:pPr>
            <w:r w:rsidRPr="00D5126A">
              <w:rPr>
                <w:b/>
                <w:bCs/>
              </w:rPr>
              <w:t>Governance</w:t>
            </w:r>
          </w:p>
        </w:tc>
        <w:tc>
          <w:tcPr>
            <w:tcW w:w="1134" w:type="dxa"/>
            <w:noWrap/>
            <w:hideMark/>
          </w:tcPr>
          <w:p w:rsidR="00BA44E1" w:rsidRPr="00D5126A" w:rsidRDefault="00BA44E1" w:rsidP="00D9040A">
            <w:pPr>
              <w:rPr>
                <w:b/>
                <w:bCs/>
              </w:rPr>
            </w:pPr>
          </w:p>
        </w:tc>
        <w:tc>
          <w:tcPr>
            <w:tcW w:w="766" w:type="dxa"/>
            <w:noWrap/>
            <w:hideMark/>
          </w:tcPr>
          <w:p w:rsidR="00BA44E1" w:rsidRPr="00D5126A" w:rsidRDefault="00BA44E1" w:rsidP="00D9040A">
            <w:pPr>
              <w:rPr>
                <w:b/>
                <w:bCs/>
              </w:rPr>
            </w:pPr>
            <w:r>
              <w:rPr>
                <w:b/>
                <w:bCs/>
              </w:rPr>
              <w:t>6</w:t>
            </w:r>
          </w:p>
        </w:tc>
        <w:tc>
          <w:tcPr>
            <w:tcW w:w="1060" w:type="dxa"/>
            <w:noWrap/>
            <w:hideMark/>
          </w:tcPr>
          <w:p w:rsidR="00BA44E1" w:rsidRPr="00D5126A" w:rsidRDefault="00BA44E1" w:rsidP="00D9040A">
            <w:pPr>
              <w:rPr>
                <w:b/>
                <w:bCs/>
              </w:rPr>
            </w:pPr>
            <w:r w:rsidRPr="00D5126A">
              <w:rPr>
                <w:b/>
                <w:bCs/>
              </w:rPr>
              <w:t>2</w:t>
            </w:r>
          </w:p>
        </w:tc>
        <w:tc>
          <w:tcPr>
            <w:tcW w:w="1125" w:type="dxa"/>
            <w:noWrap/>
            <w:hideMark/>
          </w:tcPr>
          <w:p w:rsidR="00BA44E1" w:rsidRPr="00D5126A" w:rsidRDefault="00BA44E1" w:rsidP="00D9040A">
            <w:pPr>
              <w:rPr>
                <w:b/>
                <w:bCs/>
              </w:rPr>
            </w:pPr>
            <w:r w:rsidRPr="00D5126A">
              <w:rPr>
                <w:b/>
                <w:bCs/>
              </w:rPr>
              <w:t>8</w:t>
            </w:r>
          </w:p>
        </w:tc>
      </w:tr>
      <w:tr w:rsidR="00BA44E1" w:rsidRPr="00D5126A" w:rsidTr="00DF255E">
        <w:trPr>
          <w:trHeight w:val="264"/>
        </w:trPr>
        <w:tc>
          <w:tcPr>
            <w:tcW w:w="4311" w:type="dxa"/>
            <w:noWrap/>
            <w:hideMark/>
          </w:tcPr>
          <w:p w:rsidR="00BA44E1" w:rsidRPr="00D5126A" w:rsidRDefault="00BA44E1" w:rsidP="00D9040A">
            <w:pPr>
              <w:rPr>
                <w:b/>
                <w:bCs/>
              </w:rPr>
            </w:pPr>
            <w:r w:rsidRPr="00D5126A">
              <w:rPr>
                <w:b/>
                <w:bCs/>
              </w:rPr>
              <w:t>Environment</w:t>
            </w:r>
          </w:p>
        </w:tc>
        <w:tc>
          <w:tcPr>
            <w:tcW w:w="1134" w:type="dxa"/>
            <w:noWrap/>
            <w:hideMark/>
          </w:tcPr>
          <w:p w:rsidR="00BA44E1" w:rsidRPr="00D5126A" w:rsidRDefault="00BA44E1" w:rsidP="00D9040A">
            <w:pPr>
              <w:rPr>
                <w:b/>
                <w:bCs/>
              </w:rPr>
            </w:pPr>
          </w:p>
        </w:tc>
        <w:tc>
          <w:tcPr>
            <w:tcW w:w="766" w:type="dxa"/>
            <w:noWrap/>
            <w:hideMark/>
          </w:tcPr>
          <w:p w:rsidR="00BA44E1" w:rsidRPr="00D5126A" w:rsidRDefault="00BA44E1" w:rsidP="00D9040A">
            <w:pPr>
              <w:rPr>
                <w:b/>
                <w:bCs/>
              </w:rPr>
            </w:pPr>
            <w:r>
              <w:rPr>
                <w:b/>
                <w:bCs/>
              </w:rPr>
              <w:t>14</w:t>
            </w:r>
          </w:p>
        </w:tc>
        <w:tc>
          <w:tcPr>
            <w:tcW w:w="1060" w:type="dxa"/>
            <w:noWrap/>
            <w:hideMark/>
          </w:tcPr>
          <w:p w:rsidR="00BA44E1" w:rsidRPr="00D5126A" w:rsidRDefault="00BA44E1" w:rsidP="00D9040A">
            <w:pPr>
              <w:rPr>
                <w:b/>
                <w:bCs/>
              </w:rPr>
            </w:pPr>
            <w:r w:rsidRPr="00D5126A">
              <w:rPr>
                <w:b/>
                <w:bCs/>
              </w:rPr>
              <w:t>4</w:t>
            </w:r>
          </w:p>
        </w:tc>
        <w:tc>
          <w:tcPr>
            <w:tcW w:w="1125" w:type="dxa"/>
            <w:noWrap/>
            <w:hideMark/>
          </w:tcPr>
          <w:p w:rsidR="00BA44E1" w:rsidRPr="00D5126A" w:rsidRDefault="00BA44E1" w:rsidP="00D9040A">
            <w:pPr>
              <w:rPr>
                <w:b/>
                <w:bCs/>
              </w:rPr>
            </w:pPr>
            <w:r w:rsidRPr="00D5126A">
              <w:rPr>
                <w:b/>
                <w:bCs/>
              </w:rPr>
              <w:t>18</w:t>
            </w:r>
          </w:p>
        </w:tc>
      </w:tr>
      <w:tr w:rsidR="00BA44E1" w:rsidRPr="00D5126A" w:rsidTr="00DF255E">
        <w:trPr>
          <w:trHeight w:val="264"/>
        </w:trPr>
        <w:tc>
          <w:tcPr>
            <w:tcW w:w="4311" w:type="dxa"/>
            <w:noWrap/>
            <w:hideMark/>
          </w:tcPr>
          <w:p w:rsidR="00BA44E1" w:rsidRPr="00D5126A" w:rsidRDefault="00BA44E1" w:rsidP="00D9040A">
            <w:pPr>
              <w:rPr>
                <w:b/>
                <w:bCs/>
              </w:rPr>
            </w:pPr>
            <w:r w:rsidRPr="00D5126A">
              <w:rPr>
                <w:b/>
                <w:bCs/>
              </w:rPr>
              <w:t>Economic development</w:t>
            </w:r>
          </w:p>
        </w:tc>
        <w:tc>
          <w:tcPr>
            <w:tcW w:w="1134" w:type="dxa"/>
            <w:noWrap/>
            <w:hideMark/>
          </w:tcPr>
          <w:p w:rsidR="00BA44E1" w:rsidRPr="00D5126A" w:rsidRDefault="00BA44E1" w:rsidP="00D9040A">
            <w:pPr>
              <w:rPr>
                <w:b/>
                <w:bCs/>
              </w:rPr>
            </w:pPr>
            <w:r w:rsidRPr="00D5126A">
              <w:rPr>
                <w:b/>
                <w:bCs/>
              </w:rPr>
              <w:t>5</w:t>
            </w:r>
          </w:p>
        </w:tc>
        <w:tc>
          <w:tcPr>
            <w:tcW w:w="766" w:type="dxa"/>
            <w:noWrap/>
            <w:hideMark/>
          </w:tcPr>
          <w:p w:rsidR="00BA44E1" w:rsidRPr="00D5126A" w:rsidRDefault="00BA44E1" w:rsidP="00D9040A">
            <w:pPr>
              <w:rPr>
                <w:b/>
                <w:bCs/>
              </w:rPr>
            </w:pPr>
            <w:r>
              <w:rPr>
                <w:b/>
                <w:bCs/>
              </w:rPr>
              <w:t>9</w:t>
            </w:r>
          </w:p>
        </w:tc>
        <w:tc>
          <w:tcPr>
            <w:tcW w:w="1060" w:type="dxa"/>
            <w:noWrap/>
            <w:hideMark/>
          </w:tcPr>
          <w:p w:rsidR="00BA44E1" w:rsidRPr="00D5126A" w:rsidRDefault="00BA44E1" w:rsidP="00D9040A">
            <w:pPr>
              <w:rPr>
                <w:b/>
                <w:bCs/>
              </w:rPr>
            </w:pPr>
            <w:r w:rsidRPr="00D5126A">
              <w:rPr>
                <w:b/>
                <w:bCs/>
              </w:rPr>
              <w:t>11</w:t>
            </w:r>
          </w:p>
        </w:tc>
        <w:tc>
          <w:tcPr>
            <w:tcW w:w="1125" w:type="dxa"/>
            <w:noWrap/>
            <w:hideMark/>
          </w:tcPr>
          <w:p w:rsidR="00BA44E1" w:rsidRPr="00D5126A" w:rsidRDefault="00BA44E1" w:rsidP="00D9040A">
            <w:pPr>
              <w:rPr>
                <w:b/>
                <w:bCs/>
              </w:rPr>
            </w:pPr>
            <w:r w:rsidRPr="00D5126A">
              <w:rPr>
                <w:b/>
                <w:bCs/>
              </w:rPr>
              <w:t>25</w:t>
            </w:r>
          </w:p>
        </w:tc>
      </w:tr>
      <w:tr w:rsidR="00BA44E1" w:rsidRPr="00D5126A" w:rsidTr="00DF255E">
        <w:trPr>
          <w:trHeight w:val="264"/>
        </w:trPr>
        <w:tc>
          <w:tcPr>
            <w:tcW w:w="4311" w:type="dxa"/>
            <w:noWrap/>
            <w:hideMark/>
          </w:tcPr>
          <w:p w:rsidR="00BA44E1" w:rsidRPr="00D5126A" w:rsidRDefault="00BA44E1" w:rsidP="00D9040A">
            <w:pPr>
              <w:rPr>
                <w:b/>
                <w:bCs/>
              </w:rPr>
            </w:pPr>
            <w:r w:rsidRPr="00D5126A">
              <w:rPr>
                <w:b/>
                <w:bCs/>
              </w:rPr>
              <w:t>Cultural wellbeing</w:t>
            </w:r>
          </w:p>
        </w:tc>
        <w:tc>
          <w:tcPr>
            <w:tcW w:w="1134" w:type="dxa"/>
            <w:noWrap/>
            <w:hideMark/>
          </w:tcPr>
          <w:p w:rsidR="00BA44E1" w:rsidRPr="00D5126A" w:rsidRDefault="00BA44E1" w:rsidP="00D9040A">
            <w:pPr>
              <w:rPr>
                <w:b/>
                <w:bCs/>
              </w:rPr>
            </w:pPr>
            <w:r w:rsidRPr="00D5126A">
              <w:rPr>
                <w:b/>
                <w:bCs/>
              </w:rPr>
              <w:t>1</w:t>
            </w:r>
          </w:p>
        </w:tc>
        <w:tc>
          <w:tcPr>
            <w:tcW w:w="766" w:type="dxa"/>
            <w:noWrap/>
            <w:hideMark/>
          </w:tcPr>
          <w:p w:rsidR="00BA44E1" w:rsidRPr="00D5126A" w:rsidRDefault="00BA44E1" w:rsidP="00D9040A">
            <w:pPr>
              <w:rPr>
                <w:b/>
                <w:bCs/>
              </w:rPr>
            </w:pPr>
            <w:r w:rsidRPr="00D5126A">
              <w:rPr>
                <w:b/>
                <w:bCs/>
              </w:rPr>
              <w:t>11</w:t>
            </w:r>
          </w:p>
        </w:tc>
        <w:tc>
          <w:tcPr>
            <w:tcW w:w="1060" w:type="dxa"/>
            <w:noWrap/>
            <w:hideMark/>
          </w:tcPr>
          <w:p w:rsidR="00BA44E1" w:rsidRPr="00D5126A" w:rsidRDefault="00BA44E1" w:rsidP="00D9040A">
            <w:pPr>
              <w:rPr>
                <w:b/>
                <w:bCs/>
              </w:rPr>
            </w:pPr>
          </w:p>
        </w:tc>
        <w:tc>
          <w:tcPr>
            <w:tcW w:w="1125" w:type="dxa"/>
            <w:noWrap/>
            <w:hideMark/>
          </w:tcPr>
          <w:p w:rsidR="00BA44E1" w:rsidRPr="00D5126A" w:rsidRDefault="00BA44E1" w:rsidP="00D9040A">
            <w:pPr>
              <w:rPr>
                <w:b/>
                <w:bCs/>
              </w:rPr>
            </w:pPr>
            <w:r w:rsidRPr="00D5126A">
              <w:rPr>
                <w:b/>
                <w:bCs/>
              </w:rPr>
              <w:t>12</w:t>
            </w:r>
          </w:p>
        </w:tc>
      </w:tr>
      <w:tr w:rsidR="00BA44E1" w:rsidRPr="00D5126A" w:rsidTr="00DF255E">
        <w:trPr>
          <w:trHeight w:val="264"/>
        </w:trPr>
        <w:tc>
          <w:tcPr>
            <w:tcW w:w="4311" w:type="dxa"/>
            <w:noWrap/>
            <w:hideMark/>
          </w:tcPr>
          <w:p w:rsidR="00BA44E1" w:rsidRPr="00D5126A" w:rsidRDefault="00BA44E1" w:rsidP="00D9040A">
            <w:pPr>
              <w:rPr>
                <w:b/>
                <w:bCs/>
              </w:rPr>
            </w:pPr>
            <w:r w:rsidRPr="00D5126A">
              <w:rPr>
                <w:b/>
                <w:bCs/>
              </w:rPr>
              <w:t>Social and recreation</w:t>
            </w:r>
          </w:p>
        </w:tc>
        <w:tc>
          <w:tcPr>
            <w:tcW w:w="1134" w:type="dxa"/>
            <w:noWrap/>
            <w:hideMark/>
          </w:tcPr>
          <w:p w:rsidR="00BA44E1" w:rsidRPr="00D5126A" w:rsidRDefault="00BA44E1" w:rsidP="00D9040A">
            <w:pPr>
              <w:rPr>
                <w:b/>
                <w:bCs/>
              </w:rPr>
            </w:pPr>
            <w:r w:rsidRPr="00D5126A">
              <w:rPr>
                <w:b/>
                <w:bCs/>
              </w:rPr>
              <w:t>1</w:t>
            </w:r>
          </w:p>
        </w:tc>
        <w:tc>
          <w:tcPr>
            <w:tcW w:w="766" w:type="dxa"/>
            <w:noWrap/>
            <w:hideMark/>
          </w:tcPr>
          <w:p w:rsidR="00BA44E1" w:rsidRPr="00D5126A" w:rsidRDefault="00BA44E1" w:rsidP="00D9040A">
            <w:pPr>
              <w:rPr>
                <w:b/>
                <w:bCs/>
              </w:rPr>
            </w:pPr>
            <w:r>
              <w:rPr>
                <w:b/>
                <w:bCs/>
              </w:rPr>
              <w:t>11</w:t>
            </w:r>
          </w:p>
        </w:tc>
        <w:tc>
          <w:tcPr>
            <w:tcW w:w="1060" w:type="dxa"/>
            <w:noWrap/>
            <w:hideMark/>
          </w:tcPr>
          <w:p w:rsidR="00BA44E1" w:rsidRPr="00D5126A" w:rsidRDefault="00BA44E1" w:rsidP="00D9040A">
            <w:pPr>
              <w:rPr>
                <w:b/>
                <w:bCs/>
              </w:rPr>
            </w:pPr>
            <w:r w:rsidRPr="00D5126A">
              <w:rPr>
                <w:b/>
                <w:bCs/>
              </w:rPr>
              <w:t>2</w:t>
            </w:r>
          </w:p>
        </w:tc>
        <w:tc>
          <w:tcPr>
            <w:tcW w:w="1125" w:type="dxa"/>
            <w:noWrap/>
            <w:hideMark/>
          </w:tcPr>
          <w:p w:rsidR="00BA44E1" w:rsidRPr="00D5126A" w:rsidRDefault="00BA44E1" w:rsidP="00D9040A">
            <w:pPr>
              <w:rPr>
                <w:b/>
                <w:bCs/>
              </w:rPr>
            </w:pPr>
            <w:r w:rsidRPr="00D5126A">
              <w:rPr>
                <w:b/>
                <w:bCs/>
              </w:rPr>
              <w:t>14</w:t>
            </w:r>
          </w:p>
        </w:tc>
      </w:tr>
      <w:tr w:rsidR="00BA44E1" w:rsidRPr="00D5126A" w:rsidTr="00DF255E">
        <w:trPr>
          <w:trHeight w:val="264"/>
        </w:trPr>
        <w:tc>
          <w:tcPr>
            <w:tcW w:w="4311" w:type="dxa"/>
            <w:noWrap/>
            <w:hideMark/>
          </w:tcPr>
          <w:p w:rsidR="00BA44E1" w:rsidRPr="00D5126A" w:rsidRDefault="00BA44E1" w:rsidP="00D9040A">
            <w:pPr>
              <w:rPr>
                <w:b/>
                <w:bCs/>
              </w:rPr>
            </w:pPr>
            <w:r w:rsidRPr="00D5126A">
              <w:rPr>
                <w:b/>
                <w:bCs/>
              </w:rPr>
              <w:t>Urban development</w:t>
            </w:r>
          </w:p>
        </w:tc>
        <w:tc>
          <w:tcPr>
            <w:tcW w:w="1134" w:type="dxa"/>
            <w:noWrap/>
            <w:hideMark/>
          </w:tcPr>
          <w:p w:rsidR="00BA44E1" w:rsidRPr="00D5126A" w:rsidRDefault="00BA44E1" w:rsidP="00D9040A">
            <w:pPr>
              <w:rPr>
                <w:b/>
                <w:bCs/>
              </w:rPr>
            </w:pPr>
            <w:r w:rsidRPr="00D5126A">
              <w:rPr>
                <w:b/>
                <w:bCs/>
              </w:rPr>
              <w:t>5</w:t>
            </w:r>
          </w:p>
        </w:tc>
        <w:tc>
          <w:tcPr>
            <w:tcW w:w="766" w:type="dxa"/>
            <w:noWrap/>
            <w:hideMark/>
          </w:tcPr>
          <w:p w:rsidR="00BA44E1" w:rsidRPr="00D5126A" w:rsidRDefault="00BA44E1" w:rsidP="00D9040A">
            <w:pPr>
              <w:rPr>
                <w:b/>
                <w:bCs/>
              </w:rPr>
            </w:pPr>
            <w:r>
              <w:rPr>
                <w:b/>
                <w:bCs/>
              </w:rPr>
              <w:t>17</w:t>
            </w:r>
          </w:p>
        </w:tc>
        <w:tc>
          <w:tcPr>
            <w:tcW w:w="1060" w:type="dxa"/>
            <w:noWrap/>
            <w:hideMark/>
          </w:tcPr>
          <w:p w:rsidR="00BA44E1" w:rsidRPr="00D5126A" w:rsidRDefault="00BA44E1" w:rsidP="00D9040A">
            <w:pPr>
              <w:rPr>
                <w:b/>
                <w:bCs/>
              </w:rPr>
            </w:pPr>
            <w:r w:rsidRPr="00D5126A">
              <w:rPr>
                <w:b/>
                <w:bCs/>
              </w:rPr>
              <w:t>4</w:t>
            </w:r>
          </w:p>
        </w:tc>
        <w:tc>
          <w:tcPr>
            <w:tcW w:w="1125" w:type="dxa"/>
            <w:noWrap/>
            <w:hideMark/>
          </w:tcPr>
          <w:p w:rsidR="00BA44E1" w:rsidRPr="00D5126A" w:rsidRDefault="00BA44E1" w:rsidP="00D9040A">
            <w:pPr>
              <w:rPr>
                <w:b/>
                <w:bCs/>
              </w:rPr>
            </w:pPr>
            <w:r w:rsidRPr="00D5126A">
              <w:rPr>
                <w:b/>
                <w:bCs/>
              </w:rPr>
              <w:t>26</w:t>
            </w:r>
          </w:p>
        </w:tc>
      </w:tr>
      <w:tr w:rsidR="00BA44E1" w:rsidRPr="00D5126A" w:rsidTr="00DF255E">
        <w:trPr>
          <w:trHeight w:val="264"/>
        </w:trPr>
        <w:tc>
          <w:tcPr>
            <w:tcW w:w="4311" w:type="dxa"/>
            <w:noWrap/>
            <w:hideMark/>
          </w:tcPr>
          <w:p w:rsidR="00BA44E1" w:rsidRPr="00D5126A" w:rsidRDefault="00BA44E1" w:rsidP="00D9040A">
            <w:pPr>
              <w:rPr>
                <w:b/>
                <w:bCs/>
              </w:rPr>
            </w:pPr>
            <w:r w:rsidRPr="00D5126A">
              <w:rPr>
                <w:b/>
                <w:bCs/>
              </w:rPr>
              <w:t>Transport</w:t>
            </w:r>
          </w:p>
        </w:tc>
        <w:tc>
          <w:tcPr>
            <w:tcW w:w="1134" w:type="dxa"/>
            <w:noWrap/>
            <w:hideMark/>
          </w:tcPr>
          <w:p w:rsidR="00BA44E1" w:rsidRPr="00D5126A" w:rsidRDefault="00BA44E1" w:rsidP="00D9040A">
            <w:pPr>
              <w:rPr>
                <w:b/>
                <w:bCs/>
              </w:rPr>
            </w:pPr>
            <w:r w:rsidRPr="00D5126A">
              <w:rPr>
                <w:b/>
                <w:bCs/>
              </w:rPr>
              <w:t>6</w:t>
            </w:r>
          </w:p>
        </w:tc>
        <w:tc>
          <w:tcPr>
            <w:tcW w:w="766" w:type="dxa"/>
            <w:noWrap/>
            <w:hideMark/>
          </w:tcPr>
          <w:p w:rsidR="00BA44E1" w:rsidRPr="00D5126A" w:rsidRDefault="00BA44E1" w:rsidP="00D9040A">
            <w:pPr>
              <w:rPr>
                <w:b/>
                <w:bCs/>
              </w:rPr>
            </w:pPr>
            <w:r>
              <w:rPr>
                <w:b/>
                <w:bCs/>
              </w:rPr>
              <w:t>5</w:t>
            </w:r>
          </w:p>
        </w:tc>
        <w:tc>
          <w:tcPr>
            <w:tcW w:w="1060" w:type="dxa"/>
            <w:noWrap/>
            <w:hideMark/>
          </w:tcPr>
          <w:p w:rsidR="00BA44E1" w:rsidRPr="00D5126A" w:rsidRDefault="00BA44E1" w:rsidP="00D9040A">
            <w:pPr>
              <w:rPr>
                <w:b/>
                <w:bCs/>
              </w:rPr>
            </w:pPr>
            <w:r w:rsidRPr="00D5126A">
              <w:rPr>
                <w:b/>
                <w:bCs/>
              </w:rPr>
              <w:t>1</w:t>
            </w:r>
          </w:p>
        </w:tc>
        <w:tc>
          <w:tcPr>
            <w:tcW w:w="1125" w:type="dxa"/>
            <w:noWrap/>
            <w:hideMark/>
          </w:tcPr>
          <w:p w:rsidR="00BA44E1" w:rsidRPr="00D5126A" w:rsidRDefault="00BA44E1" w:rsidP="00D9040A">
            <w:pPr>
              <w:rPr>
                <w:b/>
                <w:bCs/>
              </w:rPr>
            </w:pPr>
            <w:r w:rsidRPr="00D5126A">
              <w:rPr>
                <w:b/>
                <w:bCs/>
              </w:rPr>
              <w:t>12</w:t>
            </w:r>
          </w:p>
        </w:tc>
      </w:tr>
      <w:tr w:rsidR="00BA44E1" w:rsidRPr="00D5126A" w:rsidTr="00DF255E">
        <w:trPr>
          <w:trHeight w:val="264"/>
        </w:trPr>
        <w:tc>
          <w:tcPr>
            <w:tcW w:w="4311" w:type="dxa"/>
            <w:noWrap/>
            <w:hideMark/>
          </w:tcPr>
          <w:p w:rsidR="00BA44E1" w:rsidRPr="00D5126A" w:rsidRDefault="00BA44E1" w:rsidP="00D9040A">
            <w:pPr>
              <w:rPr>
                <w:b/>
                <w:bCs/>
              </w:rPr>
            </w:pPr>
          </w:p>
        </w:tc>
        <w:tc>
          <w:tcPr>
            <w:tcW w:w="1134" w:type="dxa"/>
            <w:noWrap/>
            <w:hideMark/>
          </w:tcPr>
          <w:p w:rsidR="00BA44E1" w:rsidRPr="00D5126A" w:rsidRDefault="00BA44E1" w:rsidP="00D9040A">
            <w:pPr>
              <w:rPr>
                <w:b/>
                <w:bCs/>
              </w:rPr>
            </w:pPr>
            <w:r w:rsidRPr="00D5126A">
              <w:rPr>
                <w:b/>
                <w:bCs/>
              </w:rPr>
              <w:t>18</w:t>
            </w:r>
          </w:p>
        </w:tc>
        <w:tc>
          <w:tcPr>
            <w:tcW w:w="766" w:type="dxa"/>
            <w:noWrap/>
            <w:hideMark/>
          </w:tcPr>
          <w:p w:rsidR="00BA44E1" w:rsidRPr="00D5126A" w:rsidRDefault="00C62D64" w:rsidP="00D9040A">
            <w:pPr>
              <w:rPr>
                <w:b/>
                <w:bCs/>
              </w:rPr>
            </w:pPr>
            <w:r>
              <w:rPr>
                <w:b/>
                <w:bCs/>
              </w:rPr>
              <w:t>73</w:t>
            </w:r>
          </w:p>
        </w:tc>
        <w:tc>
          <w:tcPr>
            <w:tcW w:w="1060" w:type="dxa"/>
            <w:noWrap/>
            <w:hideMark/>
          </w:tcPr>
          <w:p w:rsidR="00BA44E1" w:rsidRPr="00D5126A" w:rsidRDefault="00BA44E1" w:rsidP="00D9040A">
            <w:pPr>
              <w:rPr>
                <w:b/>
                <w:bCs/>
              </w:rPr>
            </w:pPr>
            <w:r w:rsidRPr="00D5126A">
              <w:rPr>
                <w:b/>
                <w:bCs/>
              </w:rPr>
              <w:t>24</w:t>
            </w:r>
          </w:p>
        </w:tc>
        <w:tc>
          <w:tcPr>
            <w:tcW w:w="1125" w:type="dxa"/>
            <w:noWrap/>
            <w:hideMark/>
          </w:tcPr>
          <w:p w:rsidR="00BA44E1" w:rsidRPr="00D5126A" w:rsidRDefault="00BA44E1" w:rsidP="00D9040A">
            <w:pPr>
              <w:rPr>
                <w:b/>
                <w:bCs/>
              </w:rPr>
            </w:pPr>
            <w:r w:rsidRPr="00D5126A">
              <w:rPr>
                <w:b/>
                <w:bCs/>
              </w:rPr>
              <w:t>115</w:t>
            </w:r>
          </w:p>
        </w:tc>
      </w:tr>
    </w:tbl>
    <w:p w:rsidR="00B1134C" w:rsidRPr="00D5126A" w:rsidRDefault="00B1134C" w:rsidP="008E18E2">
      <w:pPr>
        <w:rPr>
          <w:b/>
          <w:bCs/>
        </w:rPr>
      </w:pPr>
    </w:p>
    <w:p w:rsidR="00B03442" w:rsidRPr="00D5126A" w:rsidRDefault="00B03442" w:rsidP="00566E35">
      <w:pPr>
        <w:pStyle w:val="Heading4"/>
        <w:rPr>
          <w:rFonts w:eastAsiaTheme="minorEastAsia"/>
        </w:rPr>
      </w:pPr>
      <w:r w:rsidRPr="00D5126A">
        <w:rPr>
          <w:rFonts w:eastAsiaTheme="minorEastAsia"/>
        </w:rPr>
        <w:t>Performance measures</w:t>
      </w:r>
    </w:p>
    <w:p w:rsidR="00B03442" w:rsidRPr="00D5126A" w:rsidRDefault="00B03442" w:rsidP="00DE11BC">
      <w:r w:rsidRPr="00D5126A">
        <w:t xml:space="preserve">Our key performance measures and their targets are how we track and assess the delivery of Council services. Our 10-Year Plan 2018-2028 included a comprehensive update of the Council and Council-Controlled Organisation’s suite of performance indicators and measures. These </w:t>
      </w:r>
      <w:r w:rsidR="004C5071">
        <w:t>measures</w:t>
      </w:r>
      <w:r w:rsidR="004C5071" w:rsidRPr="00D5126A">
        <w:t xml:space="preserve"> </w:t>
      </w:r>
      <w:r w:rsidRPr="00D5126A">
        <w:t xml:space="preserve">were implemented during 2018/19 and are reported for the first time in this Annual Report.  </w:t>
      </w:r>
    </w:p>
    <w:p w:rsidR="006D6061" w:rsidRDefault="00B03442" w:rsidP="00FC2D9F">
      <w:r w:rsidRPr="00D5126A">
        <w:t xml:space="preserve">Some of the updated measures are new or changed and are not comparable to previous results. The 2018/19 year has been used to gather sufficient information on the operation of these </w:t>
      </w:r>
      <w:r w:rsidR="004C5071">
        <w:t>performance measures</w:t>
      </w:r>
      <w:r w:rsidR="004C5071" w:rsidRPr="00D5126A">
        <w:t xml:space="preserve"> </w:t>
      </w:r>
      <w:r w:rsidRPr="00D5126A">
        <w:t xml:space="preserve">to set sound targets for subsequent years. </w:t>
      </w:r>
      <w:r w:rsidR="00FC2D9F" w:rsidRPr="00D5126A">
        <w:t>In some case</w:t>
      </w:r>
      <w:r w:rsidR="004C5071">
        <w:t>s</w:t>
      </w:r>
      <w:r w:rsidR="00FC2D9F" w:rsidRPr="00D5126A">
        <w:t xml:space="preserve"> these measures have a target of “Baseline” which means the first year’s data will be used to set subsequent years’ targets. </w:t>
      </w:r>
    </w:p>
    <w:p w:rsidR="00FC2D9F" w:rsidRPr="00D5126A" w:rsidRDefault="00FC2D9F" w:rsidP="00FC2D9F">
      <w:r w:rsidRPr="00D5126A">
        <w:lastRenderedPageBreak/>
        <w:t xml:space="preserve">The Council undertakes the Residents’ Monitoring Survey (RMS) on an annual basis. The survey has a margin of error of </w:t>
      </w:r>
      <w:r w:rsidR="001D2EAA" w:rsidRPr="001D2EAA">
        <w:t>+/- 4.4% percent.</w:t>
      </w:r>
    </w:p>
    <w:p w:rsidR="00FC2D9F" w:rsidRPr="00D5126A" w:rsidRDefault="00FC2D9F" w:rsidP="00FC2D9F">
      <w:r w:rsidRPr="00D5126A">
        <w:t xml:space="preserve">Overall, in 2018/19 we have achieved a positive </w:t>
      </w:r>
      <w:r w:rsidR="004C5071">
        <w:t xml:space="preserve">key </w:t>
      </w:r>
      <w:r w:rsidRPr="00D5126A">
        <w:t>performance result. Of the 22</w:t>
      </w:r>
      <w:r w:rsidR="001E3FE2">
        <w:t>2</w:t>
      </w:r>
      <w:r w:rsidRPr="00D5126A">
        <w:t xml:space="preserve"> activity area </w:t>
      </w:r>
      <w:r w:rsidR="004C5071">
        <w:t>performance measure</w:t>
      </w:r>
      <w:r w:rsidR="004C5071" w:rsidRPr="00D5126A">
        <w:t xml:space="preserve">s </w:t>
      </w:r>
      <w:r w:rsidRPr="00D5126A">
        <w:t xml:space="preserve">with targets: </w:t>
      </w:r>
    </w:p>
    <w:p w:rsidR="00FC2D9F" w:rsidRPr="00D5126A" w:rsidRDefault="001E3FE2" w:rsidP="002C7BF8">
      <w:pPr>
        <w:pStyle w:val="ListParagraph"/>
        <w:numPr>
          <w:ilvl w:val="0"/>
          <w:numId w:val="31"/>
        </w:numPr>
      </w:pPr>
      <w:r>
        <w:t>143</w:t>
      </w:r>
      <w:r w:rsidR="001C0A52">
        <w:t xml:space="preserve"> (</w:t>
      </w:r>
      <w:r>
        <w:t>64</w:t>
      </w:r>
      <w:r w:rsidR="00FC2D9F" w:rsidRPr="00D5126A">
        <w:t>%</w:t>
      </w:r>
      <w:r w:rsidR="001C0A52">
        <w:t>)</w:t>
      </w:r>
      <w:r w:rsidR="00FC2D9F" w:rsidRPr="00D5126A">
        <w:t xml:space="preserve"> were within 10% of target</w:t>
      </w:r>
    </w:p>
    <w:p w:rsidR="001E3FE2" w:rsidRPr="00D5126A" w:rsidRDefault="001E3FE2" w:rsidP="002C7BF8">
      <w:pPr>
        <w:pStyle w:val="ListParagraph"/>
        <w:numPr>
          <w:ilvl w:val="0"/>
          <w:numId w:val="31"/>
        </w:numPr>
      </w:pPr>
      <w:r>
        <w:t>40</w:t>
      </w:r>
      <w:r w:rsidRPr="00D5126A">
        <w:t xml:space="preserve"> (</w:t>
      </w:r>
      <w:r>
        <w:t>18</w:t>
      </w:r>
      <w:r w:rsidRPr="00D5126A">
        <w:t>%) exceeded those targets</w:t>
      </w:r>
      <w:r w:rsidR="006D6061">
        <w:t xml:space="preserve"> by greater than 10%</w:t>
      </w:r>
      <w:r>
        <w:t>; and</w:t>
      </w:r>
    </w:p>
    <w:p w:rsidR="00FC2D9F" w:rsidRPr="00D5126A" w:rsidRDefault="00FC2D9F" w:rsidP="002C7BF8">
      <w:pPr>
        <w:pStyle w:val="ListParagraph"/>
        <w:numPr>
          <w:ilvl w:val="0"/>
          <w:numId w:val="31"/>
        </w:numPr>
      </w:pPr>
      <w:r w:rsidRPr="00D5126A">
        <w:t>3</w:t>
      </w:r>
      <w:r w:rsidR="001C0A52">
        <w:t>9</w:t>
      </w:r>
      <w:r w:rsidRPr="00D5126A">
        <w:t xml:space="preserve"> (</w:t>
      </w:r>
      <w:r w:rsidR="001C0A52" w:rsidRPr="00D5126A">
        <w:t>1</w:t>
      </w:r>
      <w:r w:rsidR="001C0A52">
        <w:t>8</w:t>
      </w:r>
      <w:r w:rsidRPr="00D5126A">
        <w:t>%) did not meet target by greater than 10%.</w:t>
      </w:r>
    </w:p>
    <w:p w:rsidR="009608BE" w:rsidRPr="00D5126A" w:rsidRDefault="009608BE" w:rsidP="009608BE">
      <w:pPr>
        <w:pStyle w:val="Caption"/>
      </w:pPr>
      <w:r w:rsidRPr="00D5126A">
        <w:t xml:space="preserve">Table </w:t>
      </w:r>
      <w:fldSimple w:instr=" SEQ Table \* ARABIC ">
        <w:r w:rsidR="00B22256">
          <w:rPr>
            <w:noProof/>
          </w:rPr>
          <w:t>2</w:t>
        </w:r>
      </w:fldSimple>
      <w:r w:rsidRPr="00D5126A">
        <w:t xml:space="preserve">: Overview of </w:t>
      </w:r>
      <w:r w:rsidR="004C5071">
        <w:t>k</w:t>
      </w:r>
      <w:r w:rsidR="004C5071" w:rsidRPr="00D5126A">
        <w:t xml:space="preserve">ey </w:t>
      </w:r>
      <w:r w:rsidR="004C5071">
        <w:t>p</w:t>
      </w:r>
      <w:r w:rsidR="004C5071" w:rsidRPr="00D5126A">
        <w:t xml:space="preserve">erformance </w:t>
      </w:r>
      <w:r w:rsidR="004C5071">
        <w:t>m</w:t>
      </w:r>
      <w:r w:rsidR="004C5071" w:rsidRPr="00D5126A">
        <w:t xml:space="preserve">easures </w:t>
      </w:r>
      <w:r w:rsidRPr="00D5126A">
        <w:t>against 2018/19 targets</w:t>
      </w:r>
    </w:p>
    <w:tbl>
      <w:tblPr>
        <w:tblStyle w:val="TableGrid"/>
        <w:tblW w:w="0" w:type="auto"/>
        <w:tblLook w:val="04A0" w:firstRow="1" w:lastRow="0" w:firstColumn="1" w:lastColumn="0" w:noHBand="0" w:noVBand="1"/>
      </w:tblPr>
      <w:tblGrid>
        <w:gridCol w:w="1080"/>
        <w:gridCol w:w="1080"/>
        <w:gridCol w:w="1360"/>
        <w:gridCol w:w="1121"/>
        <w:gridCol w:w="1080"/>
      </w:tblGrid>
      <w:tr w:rsidR="001E3FE2" w:rsidRPr="00D5126A" w:rsidTr="00D9040A">
        <w:trPr>
          <w:trHeight w:val="528"/>
        </w:trPr>
        <w:tc>
          <w:tcPr>
            <w:tcW w:w="1080" w:type="dxa"/>
            <w:hideMark/>
          </w:tcPr>
          <w:p w:rsidR="000463B4" w:rsidRPr="00843CEB" w:rsidRDefault="001E3FE2" w:rsidP="00D9040A">
            <w:pPr>
              <w:rPr>
                <w:b/>
                <w:bCs/>
              </w:rPr>
            </w:pPr>
            <w:r w:rsidRPr="00D5126A">
              <w:rPr>
                <w:b/>
                <w:bCs/>
              </w:rPr>
              <w:t>Not met</w:t>
            </w:r>
          </w:p>
        </w:tc>
        <w:tc>
          <w:tcPr>
            <w:tcW w:w="1080" w:type="dxa"/>
            <w:hideMark/>
          </w:tcPr>
          <w:p w:rsidR="00C62D64" w:rsidRPr="00D5126A" w:rsidRDefault="00843CEB" w:rsidP="00D9040A">
            <w:pPr>
              <w:rPr>
                <w:b/>
                <w:bCs/>
              </w:rPr>
            </w:pPr>
            <w:r>
              <w:rPr>
                <w:b/>
                <w:bCs/>
              </w:rPr>
              <w:t>Within 10%</w:t>
            </w:r>
          </w:p>
        </w:tc>
        <w:tc>
          <w:tcPr>
            <w:tcW w:w="1360" w:type="dxa"/>
            <w:hideMark/>
          </w:tcPr>
          <w:p w:rsidR="000463B4" w:rsidRPr="00843CEB" w:rsidRDefault="001E3FE2" w:rsidP="00D9040A">
            <w:pPr>
              <w:rPr>
                <w:b/>
                <w:bCs/>
              </w:rPr>
            </w:pPr>
            <w:r w:rsidRPr="00D5126A">
              <w:rPr>
                <w:b/>
                <w:bCs/>
              </w:rPr>
              <w:t>Exceeded</w:t>
            </w:r>
          </w:p>
        </w:tc>
        <w:tc>
          <w:tcPr>
            <w:tcW w:w="1121" w:type="dxa"/>
            <w:hideMark/>
          </w:tcPr>
          <w:p w:rsidR="001E3FE2" w:rsidRDefault="001E3FE2" w:rsidP="00D9040A">
            <w:pPr>
              <w:rPr>
                <w:b/>
                <w:bCs/>
              </w:rPr>
            </w:pPr>
            <w:r w:rsidRPr="00D5126A">
              <w:rPr>
                <w:b/>
                <w:bCs/>
              </w:rPr>
              <w:t>Baseline</w:t>
            </w:r>
          </w:p>
          <w:p w:rsidR="000463B4" w:rsidRPr="00D5126A" w:rsidRDefault="000463B4" w:rsidP="00D9040A">
            <w:pPr>
              <w:rPr>
                <w:b/>
                <w:bCs/>
              </w:rPr>
            </w:pPr>
          </w:p>
        </w:tc>
        <w:tc>
          <w:tcPr>
            <w:tcW w:w="1080" w:type="dxa"/>
            <w:hideMark/>
          </w:tcPr>
          <w:p w:rsidR="001E3FE2" w:rsidRPr="00D5126A" w:rsidRDefault="001E3FE2" w:rsidP="00D9040A">
            <w:pPr>
              <w:rPr>
                <w:b/>
                <w:bCs/>
              </w:rPr>
            </w:pPr>
            <w:r w:rsidRPr="00D5126A">
              <w:rPr>
                <w:b/>
                <w:bCs/>
              </w:rPr>
              <w:t xml:space="preserve">Grand </w:t>
            </w:r>
            <w:r>
              <w:rPr>
                <w:b/>
                <w:bCs/>
              </w:rPr>
              <w:t>t</w:t>
            </w:r>
            <w:r w:rsidRPr="00D5126A">
              <w:rPr>
                <w:b/>
                <w:bCs/>
              </w:rPr>
              <w:t>otal</w:t>
            </w:r>
          </w:p>
        </w:tc>
      </w:tr>
      <w:tr w:rsidR="001E3FE2" w:rsidRPr="00D5126A" w:rsidTr="00D9040A">
        <w:trPr>
          <w:trHeight w:val="264"/>
        </w:trPr>
        <w:tc>
          <w:tcPr>
            <w:tcW w:w="1080" w:type="dxa"/>
            <w:noWrap/>
            <w:hideMark/>
          </w:tcPr>
          <w:p w:rsidR="001E3FE2" w:rsidRPr="00D5126A" w:rsidRDefault="001E3FE2" w:rsidP="00D9040A">
            <w:pPr>
              <w:rPr>
                <w:b/>
                <w:bCs/>
              </w:rPr>
            </w:pPr>
            <w:r w:rsidRPr="00D5126A">
              <w:rPr>
                <w:b/>
                <w:bCs/>
              </w:rPr>
              <w:t>3</w:t>
            </w:r>
            <w:r>
              <w:rPr>
                <w:b/>
                <w:bCs/>
              </w:rPr>
              <w:t>9</w:t>
            </w:r>
          </w:p>
        </w:tc>
        <w:tc>
          <w:tcPr>
            <w:tcW w:w="1080" w:type="dxa"/>
            <w:noWrap/>
            <w:hideMark/>
          </w:tcPr>
          <w:p w:rsidR="001E3FE2" w:rsidRPr="00D5126A" w:rsidRDefault="001E3FE2" w:rsidP="001C0A52">
            <w:pPr>
              <w:rPr>
                <w:b/>
                <w:bCs/>
              </w:rPr>
            </w:pPr>
            <w:r>
              <w:rPr>
                <w:b/>
                <w:bCs/>
              </w:rPr>
              <w:t>143</w:t>
            </w:r>
          </w:p>
        </w:tc>
        <w:tc>
          <w:tcPr>
            <w:tcW w:w="1360" w:type="dxa"/>
            <w:noWrap/>
            <w:hideMark/>
          </w:tcPr>
          <w:p w:rsidR="001E3FE2" w:rsidRPr="00D5126A" w:rsidRDefault="001E3FE2" w:rsidP="00D9040A">
            <w:pPr>
              <w:rPr>
                <w:b/>
                <w:bCs/>
              </w:rPr>
            </w:pPr>
            <w:r>
              <w:rPr>
                <w:b/>
                <w:bCs/>
              </w:rPr>
              <w:t>40</w:t>
            </w:r>
          </w:p>
        </w:tc>
        <w:tc>
          <w:tcPr>
            <w:tcW w:w="1121" w:type="dxa"/>
            <w:noWrap/>
            <w:hideMark/>
          </w:tcPr>
          <w:p w:rsidR="001E3FE2" w:rsidRPr="00D5126A" w:rsidRDefault="001E3FE2" w:rsidP="00D9040A">
            <w:pPr>
              <w:rPr>
                <w:b/>
                <w:bCs/>
              </w:rPr>
            </w:pPr>
            <w:r w:rsidRPr="00D5126A">
              <w:rPr>
                <w:b/>
                <w:bCs/>
              </w:rPr>
              <w:t>30</w:t>
            </w:r>
          </w:p>
        </w:tc>
        <w:tc>
          <w:tcPr>
            <w:tcW w:w="1080" w:type="dxa"/>
            <w:noWrap/>
            <w:hideMark/>
          </w:tcPr>
          <w:p w:rsidR="001E3FE2" w:rsidRPr="00D5126A" w:rsidRDefault="001E3FE2" w:rsidP="00D9040A">
            <w:pPr>
              <w:rPr>
                <w:b/>
                <w:bCs/>
              </w:rPr>
            </w:pPr>
            <w:r w:rsidRPr="00D5126A">
              <w:rPr>
                <w:b/>
                <w:bCs/>
              </w:rPr>
              <w:t>25</w:t>
            </w:r>
            <w:r>
              <w:rPr>
                <w:b/>
                <w:bCs/>
              </w:rPr>
              <w:t>2</w:t>
            </w:r>
          </w:p>
        </w:tc>
      </w:tr>
    </w:tbl>
    <w:p w:rsidR="00B03442" w:rsidRPr="00D5126A" w:rsidRDefault="00B03442" w:rsidP="00FC2D9F">
      <w:pPr>
        <w:spacing w:before="240" w:after="0"/>
        <w:jc w:val="both"/>
      </w:pPr>
      <w:r w:rsidRPr="00D5126A">
        <w:t xml:space="preserve">Further details of our 2018/19 performance measure results for each activity area are in Section 3: Our </w:t>
      </w:r>
      <w:r w:rsidR="004C5071">
        <w:t>p</w:t>
      </w:r>
      <w:r w:rsidR="004C5071" w:rsidRPr="00D5126A">
        <w:t xml:space="preserve">erformance </w:t>
      </w:r>
      <w:r w:rsidRPr="00D5126A">
        <w:t xml:space="preserve">in </w:t>
      </w:r>
      <w:r w:rsidR="004C5071">
        <w:t>d</w:t>
      </w:r>
      <w:r w:rsidR="004C5071" w:rsidRPr="00D5126A">
        <w:t xml:space="preserve">etail </w:t>
      </w:r>
      <w:r w:rsidRPr="00D5126A">
        <w:t xml:space="preserve">on pages </w:t>
      </w:r>
      <w:r w:rsidR="00B768DD" w:rsidRPr="00B768DD">
        <w:t>37 to 18</w:t>
      </w:r>
      <w:r w:rsidR="00FC04C4">
        <w:t>3</w:t>
      </w:r>
      <w:r w:rsidRPr="00B768DD">
        <w:t>.</w:t>
      </w:r>
    </w:p>
    <w:p w:rsidR="00B27C37" w:rsidRPr="00D5126A" w:rsidRDefault="00C334AC" w:rsidP="00B03442">
      <w:pPr>
        <w:pStyle w:val="Heading3"/>
      </w:pPr>
      <w:bookmarkStart w:id="97" w:name="_Toc19085801"/>
      <w:r w:rsidRPr="00D5126A">
        <w:t xml:space="preserve">Our </w:t>
      </w:r>
      <w:r w:rsidR="004C5071">
        <w:t>a</w:t>
      </w:r>
      <w:r w:rsidR="004C5071" w:rsidRPr="00D5126A">
        <w:t xml:space="preserve">ctivity </w:t>
      </w:r>
      <w:bookmarkEnd w:id="94"/>
      <w:bookmarkEnd w:id="95"/>
      <w:bookmarkEnd w:id="96"/>
      <w:bookmarkEnd w:id="97"/>
      <w:r w:rsidR="004C5071">
        <w:t>a</w:t>
      </w:r>
      <w:r w:rsidR="004C5071" w:rsidRPr="00D5126A">
        <w:t xml:space="preserve">reas </w:t>
      </w:r>
    </w:p>
    <w:p w:rsidR="00B03442" w:rsidRPr="00D5126A" w:rsidRDefault="00831F77" w:rsidP="00B03442">
      <w:pPr>
        <w:pStyle w:val="Heading4"/>
        <w:rPr>
          <w:color w:val="0070C0"/>
        </w:rPr>
      </w:pPr>
      <w:bookmarkStart w:id="98" w:name="_Toc14178526"/>
      <w:r>
        <w:rPr>
          <w:color w:val="0070C0"/>
        </w:rPr>
        <w:t>Pārongo ā-tāone</w:t>
      </w:r>
      <w:r w:rsidR="00B03442" w:rsidRPr="00D5126A">
        <w:rPr>
          <w:color w:val="0070C0"/>
        </w:rPr>
        <w:t xml:space="preserve"> - Governance</w:t>
      </w:r>
      <w:bookmarkEnd w:id="98"/>
    </w:p>
    <w:p w:rsidR="00B03442" w:rsidRPr="00D5126A" w:rsidRDefault="00B03442" w:rsidP="00B03442">
      <w:r w:rsidRPr="00D5126A">
        <w:t>This year’s highlights included the successful engagements on Planning for Growth, Te Atakura</w:t>
      </w:r>
      <w:r w:rsidR="004C5071">
        <w:t xml:space="preserve"> </w:t>
      </w:r>
      <w:r w:rsidR="004C5071" w:rsidRPr="00D5126A">
        <w:t>–</w:t>
      </w:r>
      <w:r w:rsidRPr="00D5126A">
        <w:t xml:space="preserve"> First to Zero and the Outer Green Belt Management Plan. We have also placed the 125,000 records from City Archive online, commenced planning for the local elections in October 2019 and signed a Memorandum of Understanding with Te Taura Whiri i te reo Māori to work together on the revitalisation of te reo Māori. </w:t>
      </w:r>
    </w:p>
    <w:p w:rsidR="00B03442" w:rsidRPr="00D5126A" w:rsidRDefault="00B03442" w:rsidP="00B03442">
      <w:r w:rsidRPr="00D5126A">
        <w:t>We continued to improve our engagement with the public and to strengthen our partnership with mana whenua</w:t>
      </w:r>
      <w:r w:rsidR="004C5071">
        <w:t>. However</w:t>
      </w:r>
      <w:r w:rsidRPr="00D5126A">
        <w:t xml:space="preserve"> more work is needed to ensure the public understand how we make decisions, that our information is clear and accessible and to revitalise </w:t>
      </w:r>
      <w:proofErr w:type="gramStart"/>
      <w:r w:rsidRPr="00D5126A">
        <w:t>te</w:t>
      </w:r>
      <w:proofErr w:type="gramEnd"/>
      <w:r w:rsidRPr="00D5126A">
        <w:t xml:space="preserve"> reo Māori and Māori culture in the city.</w:t>
      </w:r>
    </w:p>
    <w:p w:rsidR="00B03442" w:rsidRPr="00D5126A" w:rsidRDefault="00B03442" w:rsidP="00B03442">
      <w:pPr>
        <w:pStyle w:val="Heading5"/>
      </w:pPr>
      <w:r w:rsidRPr="00D5126A">
        <w:t>Performance summary</w:t>
      </w:r>
    </w:p>
    <w:tbl>
      <w:tblPr>
        <w:tblW w:w="8959" w:type="dxa"/>
        <w:tblInd w:w="108" w:type="dxa"/>
        <w:tblLayout w:type="fixed"/>
        <w:tblLook w:val="04A0" w:firstRow="1" w:lastRow="0" w:firstColumn="1" w:lastColumn="0" w:noHBand="0" w:noVBand="1"/>
      </w:tblPr>
      <w:tblGrid>
        <w:gridCol w:w="2835"/>
        <w:gridCol w:w="1247"/>
        <w:gridCol w:w="1248"/>
        <w:gridCol w:w="1247"/>
        <w:gridCol w:w="1248"/>
        <w:gridCol w:w="1134"/>
      </w:tblGrid>
      <w:tr w:rsidR="001E3FE2" w:rsidRPr="00D5126A" w:rsidTr="00C97EB6">
        <w:trPr>
          <w:trHeight w:val="386"/>
        </w:trPr>
        <w:tc>
          <w:tcPr>
            <w:tcW w:w="2835" w:type="dxa"/>
            <w:tcBorders>
              <w:top w:val="nil"/>
              <w:left w:val="nil"/>
              <w:bottom w:val="nil"/>
              <w:right w:val="nil"/>
            </w:tcBorders>
            <w:shd w:val="clear" w:color="auto" w:fill="auto"/>
            <w:noWrap/>
            <w:vAlign w:val="center"/>
            <w:hideMark/>
          </w:tcPr>
          <w:p w:rsidR="001E3FE2" w:rsidRPr="00D5126A" w:rsidRDefault="001E3FE2" w:rsidP="00C95EFC">
            <w:pPr>
              <w:spacing w:after="0" w:line="240" w:lineRule="auto"/>
              <w:jc w:val="center"/>
              <w:rPr>
                <w:rFonts w:ascii="Arial" w:eastAsia="Times New Roman" w:hAnsi="Arial" w:cs="Arial"/>
                <w:color w:val="000000"/>
                <w:sz w:val="20"/>
                <w:szCs w:val="20"/>
                <w:lang w:eastAsia="en-NZ"/>
              </w:rPr>
            </w:pPr>
          </w:p>
        </w:tc>
        <w:tc>
          <w:tcPr>
            <w:tcW w:w="1247" w:type="dxa"/>
            <w:tcBorders>
              <w:top w:val="nil"/>
              <w:left w:val="nil"/>
              <w:bottom w:val="nil"/>
              <w:right w:val="nil"/>
            </w:tcBorders>
            <w:shd w:val="clear" w:color="auto" w:fill="auto"/>
            <w:noWrap/>
            <w:vAlign w:val="center"/>
            <w:hideMark/>
          </w:tcPr>
          <w:p w:rsidR="001E3FE2" w:rsidRPr="00D5126A" w:rsidRDefault="001E3FE2" w:rsidP="00C95EFC">
            <w:pPr>
              <w:spacing w:after="0" w:line="240" w:lineRule="auto"/>
              <w:jc w:val="center"/>
              <w:rPr>
                <w:rFonts w:ascii="Arial" w:eastAsia="Times New Roman" w:hAnsi="Arial" w:cs="Arial"/>
                <w:i/>
                <w:color w:val="000000"/>
                <w:szCs w:val="20"/>
                <w:lang w:eastAsia="en-NZ"/>
              </w:rPr>
            </w:pPr>
            <w:r w:rsidRPr="00D5126A">
              <w:rPr>
                <w:rFonts w:ascii="Arial" w:eastAsia="Times New Roman" w:hAnsi="Arial" w:cs="Arial"/>
                <w:i/>
                <w:iCs/>
                <w:color w:val="000000"/>
                <w:szCs w:val="20"/>
                <w:lang w:eastAsia="en-NZ"/>
              </w:rPr>
              <w:t>Not met</w:t>
            </w:r>
          </w:p>
        </w:tc>
        <w:tc>
          <w:tcPr>
            <w:tcW w:w="1248" w:type="dxa"/>
            <w:tcBorders>
              <w:top w:val="nil"/>
              <w:left w:val="nil"/>
              <w:bottom w:val="nil"/>
              <w:right w:val="nil"/>
            </w:tcBorders>
            <w:shd w:val="clear" w:color="auto" w:fill="auto"/>
            <w:noWrap/>
            <w:vAlign w:val="center"/>
            <w:hideMark/>
          </w:tcPr>
          <w:p w:rsidR="001E3FE2" w:rsidRPr="00D5126A" w:rsidRDefault="001E3FE2" w:rsidP="00C95EFC">
            <w:pPr>
              <w:spacing w:after="0" w:line="240" w:lineRule="auto"/>
              <w:jc w:val="center"/>
              <w:rPr>
                <w:rFonts w:ascii="Arial" w:eastAsia="Times New Roman" w:hAnsi="Arial" w:cs="Arial"/>
                <w:i/>
                <w:color w:val="000000"/>
                <w:szCs w:val="20"/>
                <w:lang w:eastAsia="en-NZ"/>
              </w:rPr>
            </w:pPr>
            <w:r>
              <w:rPr>
                <w:rFonts w:ascii="Arial" w:eastAsia="Times New Roman" w:hAnsi="Arial" w:cs="Arial"/>
                <w:i/>
                <w:color w:val="000000"/>
                <w:szCs w:val="20"/>
                <w:lang w:eastAsia="en-NZ"/>
              </w:rPr>
              <w:t>Within 10%</w:t>
            </w:r>
          </w:p>
        </w:tc>
        <w:tc>
          <w:tcPr>
            <w:tcW w:w="1247" w:type="dxa"/>
            <w:tcBorders>
              <w:top w:val="nil"/>
              <w:left w:val="nil"/>
              <w:bottom w:val="nil"/>
              <w:right w:val="nil"/>
            </w:tcBorders>
            <w:shd w:val="clear" w:color="auto" w:fill="auto"/>
            <w:noWrap/>
            <w:vAlign w:val="center"/>
            <w:hideMark/>
          </w:tcPr>
          <w:p w:rsidR="001E3FE2" w:rsidRPr="00D5126A" w:rsidRDefault="001E3FE2" w:rsidP="00C95EFC">
            <w:pPr>
              <w:spacing w:after="0" w:line="240" w:lineRule="auto"/>
              <w:jc w:val="center"/>
              <w:rPr>
                <w:rFonts w:ascii="Arial" w:eastAsia="Times New Roman" w:hAnsi="Arial" w:cs="Arial"/>
                <w:i/>
                <w:color w:val="000000"/>
                <w:szCs w:val="20"/>
                <w:lang w:eastAsia="en-NZ"/>
              </w:rPr>
            </w:pPr>
            <w:r w:rsidRPr="00D5126A">
              <w:rPr>
                <w:rFonts w:ascii="Arial" w:eastAsia="Times New Roman" w:hAnsi="Arial" w:cs="Arial"/>
                <w:i/>
                <w:iCs/>
                <w:color w:val="000000"/>
                <w:szCs w:val="20"/>
                <w:lang w:eastAsia="en-NZ"/>
              </w:rPr>
              <w:t>Exceeded</w:t>
            </w:r>
          </w:p>
        </w:tc>
        <w:tc>
          <w:tcPr>
            <w:tcW w:w="1248" w:type="dxa"/>
            <w:tcBorders>
              <w:top w:val="nil"/>
              <w:left w:val="nil"/>
              <w:bottom w:val="nil"/>
              <w:right w:val="nil"/>
            </w:tcBorders>
            <w:vAlign w:val="center"/>
          </w:tcPr>
          <w:p w:rsidR="001E3FE2" w:rsidRPr="00D5126A" w:rsidRDefault="001E3FE2" w:rsidP="00C95EFC">
            <w:pPr>
              <w:spacing w:after="0" w:line="240" w:lineRule="auto"/>
              <w:jc w:val="center"/>
              <w:rPr>
                <w:rFonts w:ascii="Arial" w:eastAsia="Times New Roman" w:hAnsi="Arial" w:cs="Arial"/>
                <w:i/>
                <w:color w:val="000000"/>
                <w:szCs w:val="20"/>
                <w:lang w:eastAsia="en-NZ"/>
              </w:rPr>
            </w:pPr>
            <w:r w:rsidRPr="00D5126A">
              <w:rPr>
                <w:rFonts w:ascii="Arial" w:eastAsia="Times New Roman" w:hAnsi="Arial" w:cs="Arial"/>
                <w:i/>
                <w:color w:val="000000"/>
                <w:szCs w:val="20"/>
                <w:lang w:eastAsia="en-NZ"/>
              </w:rPr>
              <w:t>Baseline</w:t>
            </w:r>
          </w:p>
        </w:tc>
        <w:tc>
          <w:tcPr>
            <w:tcW w:w="1134" w:type="dxa"/>
            <w:tcBorders>
              <w:top w:val="nil"/>
              <w:left w:val="nil"/>
              <w:bottom w:val="nil"/>
              <w:right w:val="nil"/>
            </w:tcBorders>
            <w:shd w:val="clear" w:color="auto" w:fill="auto"/>
            <w:vAlign w:val="center"/>
            <w:hideMark/>
          </w:tcPr>
          <w:p w:rsidR="001E3FE2" w:rsidRPr="00D5126A" w:rsidRDefault="001E3FE2" w:rsidP="00C95EFC">
            <w:pPr>
              <w:spacing w:after="0" w:line="240" w:lineRule="auto"/>
              <w:jc w:val="center"/>
              <w:rPr>
                <w:rFonts w:ascii="Arial" w:eastAsia="Times New Roman" w:hAnsi="Arial" w:cs="Arial"/>
                <w:color w:val="000000"/>
                <w:sz w:val="20"/>
                <w:szCs w:val="20"/>
                <w:lang w:eastAsia="en-NZ"/>
              </w:rPr>
            </w:pPr>
            <w:r w:rsidRPr="00D5126A">
              <w:rPr>
                <w:rFonts w:ascii="Arial" w:eastAsia="Times New Roman" w:hAnsi="Arial" w:cs="Arial"/>
                <w:color w:val="000000"/>
                <w:sz w:val="20"/>
                <w:szCs w:val="20"/>
                <w:lang w:eastAsia="en-NZ"/>
              </w:rPr>
              <w:t>Total Measures</w:t>
            </w:r>
          </w:p>
        </w:tc>
      </w:tr>
      <w:tr w:rsidR="00C97EB6" w:rsidRPr="00C97EB6" w:rsidTr="00C97EB6">
        <w:trPr>
          <w:trHeight w:val="507"/>
        </w:trPr>
        <w:tc>
          <w:tcPr>
            <w:tcW w:w="2835" w:type="dxa"/>
            <w:tcBorders>
              <w:top w:val="nil"/>
              <w:left w:val="nil"/>
              <w:bottom w:val="nil"/>
              <w:right w:val="nil"/>
            </w:tcBorders>
            <w:shd w:val="clear" w:color="auto" w:fill="0070C0"/>
            <w:noWrap/>
            <w:vAlign w:val="center"/>
            <w:hideMark/>
          </w:tcPr>
          <w:p w:rsidR="001E3FE2" w:rsidRPr="00C97EB6" w:rsidRDefault="001E3FE2" w:rsidP="00591A53">
            <w:pPr>
              <w:spacing w:after="0" w:line="240" w:lineRule="auto"/>
              <w:rPr>
                <w:rFonts w:ascii="Arial" w:eastAsia="Times New Roman" w:hAnsi="Arial" w:cs="Arial"/>
                <w:b/>
                <w:bCs/>
                <w:color w:val="FFFFFF" w:themeColor="background1"/>
                <w:szCs w:val="20"/>
                <w:lang w:eastAsia="en-NZ"/>
              </w:rPr>
            </w:pPr>
            <w:r w:rsidRPr="00C97EB6">
              <w:rPr>
                <w:b/>
                <w:color w:val="FFFFFF" w:themeColor="background1"/>
              </w:rPr>
              <w:t xml:space="preserve">Pārongo ā-tāone </w:t>
            </w:r>
            <w:r w:rsidRPr="00C97EB6">
              <w:rPr>
                <w:rFonts w:ascii="Arial" w:eastAsia="Times New Roman" w:hAnsi="Arial" w:cs="Arial"/>
                <w:b/>
                <w:bCs/>
                <w:color w:val="FFFFFF" w:themeColor="background1"/>
                <w:szCs w:val="20"/>
                <w:lang w:eastAsia="en-NZ"/>
              </w:rPr>
              <w:t>| Governance</w:t>
            </w:r>
          </w:p>
        </w:tc>
        <w:tc>
          <w:tcPr>
            <w:tcW w:w="1247" w:type="dxa"/>
            <w:tcBorders>
              <w:top w:val="nil"/>
              <w:left w:val="nil"/>
              <w:bottom w:val="nil"/>
              <w:right w:val="nil"/>
            </w:tcBorders>
            <w:shd w:val="clear" w:color="auto" w:fill="0070C0"/>
            <w:noWrap/>
            <w:vAlign w:val="center"/>
            <w:hideMark/>
          </w:tcPr>
          <w:p w:rsidR="001E3FE2" w:rsidRPr="00C97EB6" w:rsidRDefault="001E3FE2" w:rsidP="00591A53">
            <w:pPr>
              <w:spacing w:after="0" w:line="240" w:lineRule="auto"/>
              <w:jc w:val="center"/>
              <w:rPr>
                <w:rFonts w:ascii="Arial" w:eastAsia="Times New Roman" w:hAnsi="Arial" w:cs="Arial"/>
                <w:b/>
                <w:color w:val="FFFFFF" w:themeColor="background1"/>
                <w:sz w:val="24"/>
                <w:szCs w:val="20"/>
                <w:lang w:eastAsia="en-NZ"/>
              </w:rPr>
            </w:pPr>
            <w:r w:rsidRPr="00C97EB6">
              <w:rPr>
                <w:rFonts w:ascii="Arial" w:eastAsia="Times New Roman" w:hAnsi="Arial" w:cs="Arial"/>
                <w:b/>
                <w:color w:val="FFFFFF" w:themeColor="background1"/>
                <w:sz w:val="24"/>
                <w:szCs w:val="20"/>
                <w:lang w:eastAsia="en-NZ"/>
              </w:rPr>
              <w:t>4</w:t>
            </w:r>
          </w:p>
        </w:tc>
        <w:tc>
          <w:tcPr>
            <w:tcW w:w="1248" w:type="dxa"/>
            <w:tcBorders>
              <w:top w:val="nil"/>
              <w:left w:val="nil"/>
              <w:bottom w:val="nil"/>
              <w:right w:val="nil"/>
            </w:tcBorders>
            <w:shd w:val="clear" w:color="auto" w:fill="0070C0"/>
            <w:noWrap/>
            <w:vAlign w:val="center"/>
            <w:hideMark/>
          </w:tcPr>
          <w:p w:rsidR="001E3FE2" w:rsidRPr="00C97EB6" w:rsidRDefault="001E3FE2" w:rsidP="00591A53">
            <w:pPr>
              <w:spacing w:after="0" w:line="240" w:lineRule="auto"/>
              <w:jc w:val="center"/>
              <w:rPr>
                <w:rFonts w:ascii="Arial" w:eastAsia="Times New Roman" w:hAnsi="Arial" w:cs="Arial"/>
                <w:b/>
                <w:color w:val="FFFFFF" w:themeColor="background1"/>
                <w:sz w:val="24"/>
                <w:szCs w:val="20"/>
                <w:lang w:eastAsia="en-NZ"/>
              </w:rPr>
            </w:pPr>
            <w:r w:rsidRPr="00C97EB6">
              <w:rPr>
                <w:rFonts w:ascii="Arial" w:eastAsia="Times New Roman" w:hAnsi="Arial" w:cs="Arial"/>
                <w:b/>
                <w:color w:val="FFFFFF" w:themeColor="background1"/>
                <w:sz w:val="24"/>
                <w:szCs w:val="20"/>
                <w:lang w:eastAsia="en-NZ"/>
              </w:rPr>
              <w:t>9</w:t>
            </w:r>
          </w:p>
        </w:tc>
        <w:tc>
          <w:tcPr>
            <w:tcW w:w="1247" w:type="dxa"/>
            <w:tcBorders>
              <w:top w:val="nil"/>
              <w:left w:val="nil"/>
              <w:bottom w:val="nil"/>
              <w:right w:val="nil"/>
            </w:tcBorders>
            <w:shd w:val="clear" w:color="auto" w:fill="0070C0"/>
            <w:noWrap/>
            <w:vAlign w:val="center"/>
            <w:hideMark/>
          </w:tcPr>
          <w:p w:rsidR="001E3FE2" w:rsidRPr="00C97EB6" w:rsidRDefault="001E3FE2" w:rsidP="00591A53">
            <w:pPr>
              <w:spacing w:after="0" w:line="240" w:lineRule="auto"/>
              <w:jc w:val="center"/>
              <w:rPr>
                <w:rFonts w:ascii="Arial" w:eastAsia="Times New Roman" w:hAnsi="Arial" w:cs="Arial"/>
                <w:b/>
                <w:color w:val="FFFFFF" w:themeColor="background1"/>
                <w:sz w:val="24"/>
                <w:szCs w:val="20"/>
                <w:lang w:eastAsia="en-NZ"/>
              </w:rPr>
            </w:pPr>
            <w:r w:rsidRPr="00C97EB6">
              <w:rPr>
                <w:rFonts w:ascii="Arial" w:eastAsia="Times New Roman" w:hAnsi="Arial" w:cs="Arial"/>
                <w:b/>
                <w:color w:val="FFFFFF" w:themeColor="background1"/>
                <w:sz w:val="24"/>
                <w:szCs w:val="20"/>
                <w:lang w:eastAsia="en-NZ"/>
              </w:rPr>
              <w:t>1</w:t>
            </w:r>
          </w:p>
        </w:tc>
        <w:tc>
          <w:tcPr>
            <w:tcW w:w="1248" w:type="dxa"/>
            <w:tcBorders>
              <w:top w:val="nil"/>
              <w:left w:val="nil"/>
              <w:bottom w:val="nil"/>
              <w:right w:val="nil"/>
            </w:tcBorders>
            <w:shd w:val="clear" w:color="auto" w:fill="0070C0"/>
            <w:vAlign w:val="center"/>
          </w:tcPr>
          <w:p w:rsidR="001E3FE2" w:rsidRPr="00C97EB6" w:rsidRDefault="001E3FE2" w:rsidP="00591A53">
            <w:pPr>
              <w:spacing w:after="0" w:line="240" w:lineRule="auto"/>
              <w:jc w:val="center"/>
              <w:rPr>
                <w:rFonts w:ascii="Arial" w:eastAsia="Times New Roman" w:hAnsi="Arial" w:cs="Arial"/>
                <w:b/>
                <w:color w:val="FFFFFF" w:themeColor="background1"/>
                <w:sz w:val="24"/>
                <w:szCs w:val="20"/>
                <w:lang w:eastAsia="en-NZ"/>
              </w:rPr>
            </w:pPr>
            <w:r w:rsidRPr="00C97EB6">
              <w:rPr>
                <w:rFonts w:ascii="Arial" w:eastAsia="Times New Roman" w:hAnsi="Arial" w:cs="Arial"/>
                <w:b/>
                <w:color w:val="FFFFFF" w:themeColor="background1"/>
                <w:sz w:val="24"/>
                <w:szCs w:val="20"/>
                <w:lang w:eastAsia="en-NZ"/>
              </w:rPr>
              <w:t>1</w:t>
            </w:r>
          </w:p>
        </w:tc>
        <w:tc>
          <w:tcPr>
            <w:tcW w:w="1134" w:type="dxa"/>
            <w:tcBorders>
              <w:top w:val="nil"/>
              <w:left w:val="nil"/>
              <w:bottom w:val="nil"/>
              <w:right w:val="nil"/>
            </w:tcBorders>
            <w:shd w:val="clear" w:color="auto" w:fill="0070C0"/>
            <w:noWrap/>
            <w:vAlign w:val="center"/>
            <w:hideMark/>
          </w:tcPr>
          <w:p w:rsidR="001E3FE2" w:rsidRPr="00C97EB6" w:rsidRDefault="001E3FE2" w:rsidP="00591A53">
            <w:pPr>
              <w:spacing w:after="0" w:line="240" w:lineRule="auto"/>
              <w:jc w:val="center"/>
              <w:rPr>
                <w:rFonts w:ascii="Arial" w:eastAsia="Times New Roman" w:hAnsi="Arial" w:cs="Arial"/>
                <w:b/>
                <w:color w:val="FFFFFF" w:themeColor="background1"/>
                <w:sz w:val="24"/>
                <w:szCs w:val="20"/>
                <w:lang w:eastAsia="en-NZ"/>
              </w:rPr>
            </w:pPr>
            <w:r w:rsidRPr="00C97EB6">
              <w:rPr>
                <w:rFonts w:ascii="Arial" w:eastAsia="Times New Roman" w:hAnsi="Arial" w:cs="Arial"/>
                <w:b/>
                <w:color w:val="FFFFFF" w:themeColor="background1"/>
                <w:sz w:val="24"/>
                <w:szCs w:val="20"/>
                <w:lang w:eastAsia="en-NZ"/>
              </w:rPr>
              <w:t>15</w:t>
            </w:r>
          </w:p>
        </w:tc>
      </w:tr>
    </w:tbl>
    <w:p w:rsidR="00B03442" w:rsidRPr="00D5126A" w:rsidRDefault="00B03442" w:rsidP="00B03442">
      <w:pPr>
        <w:pStyle w:val="Heading5"/>
        <w:rPr>
          <w:color w:val="0070C0"/>
        </w:rPr>
      </w:pPr>
      <w:bookmarkStart w:id="99" w:name="_Toc11828910"/>
      <w:r w:rsidRPr="00D5126A">
        <w:rPr>
          <w:color w:val="0070C0"/>
        </w:rPr>
        <w:t>Financial summary</w:t>
      </w:r>
      <w:bookmarkEnd w:id="99"/>
    </w:p>
    <w:tbl>
      <w:tblPr>
        <w:tblW w:w="5000" w:type="pct"/>
        <w:tblInd w:w="40" w:type="dxa"/>
        <w:tblCellMar>
          <w:left w:w="10" w:type="dxa"/>
          <w:right w:w="10" w:type="dxa"/>
        </w:tblCellMar>
        <w:tblLook w:val="0000" w:firstRow="0" w:lastRow="0" w:firstColumn="0" w:lastColumn="0" w:noHBand="0" w:noVBand="0"/>
      </w:tblPr>
      <w:tblGrid>
        <w:gridCol w:w="4574"/>
        <w:gridCol w:w="4575"/>
      </w:tblGrid>
      <w:tr w:rsidR="00B03442" w:rsidRPr="00D5126A" w:rsidTr="00576698">
        <w:tc>
          <w:tcPr>
            <w:tcW w:w="4574" w:type="dxa"/>
            <w:tcMar>
              <w:top w:w="40" w:type="dxa"/>
              <w:left w:w="40" w:type="dxa"/>
              <w:bottom w:w="40" w:type="dxa"/>
              <w:right w:w="40" w:type="dxa"/>
            </w:tcMar>
          </w:tcPr>
          <w:p w:rsidR="00B03442" w:rsidRPr="00D5126A" w:rsidRDefault="00B03442" w:rsidP="001244BB">
            <w:pPr>
              <w:pStyle w:val="Para001"/>
              <w:spacing w:after="0" w:line="240" w:lineRule="auto"/>
              <w:rPr>
                <w:b/>
                <w:color w:val="0070C0"/>
                <w:u w:val="single"/>
              </w:rPr>
            </w:pPr>
            <w:r w:rsidRPr="00D5126A">
              <w:rPr>
                <w:b/>
                <w:color w:val="0070C0"/>
                <w:u w:val="single"/>
              </w:rPr>
              <w:t>Net operating expenditure $000</w:t>
            </w:r>
          </w:p>
          <w:p w:rsidR="00B03442" w:rsidRPr="00D5126A" w:rsidRDefault="00B03442" w:rsidP="001244BB">
            <w:pPr>
              <w:pStyle w:val="Para001"/>
              <w:spacing w:after="0" w:line="240" w:lineRule="auto"/>
              <w:rPr>
                <w:color w:val="0070C0"/>
              </w:rPr>
            </w:pPr>
            <w:r w:rsidRPr="00D5126A">
              <w:rPr>
                <w:b/>
                <w:color w:val="0070C0"/>
              </w:rPr>
              <w:t>Actual:</w:t>
            </w:r>
            <w:r w:rsidRPr="00D5126A">
              <w:rPr>
                <w:color w:val="0070C0"/>
              </w:rPr>
              <w:t xml:space="preserve"> 17,426</w:t>
            </w:r>
          </w:p>
          <w:p w:rsidR="00B03442" w:rsidRPr="00D5126A" w:rsidRDefault="00B03442" w:rsidP="001244BB">
            <w:pPr>
              <w:pStyle w:val="Para001"/>
              <w:spacing w:after="0" w:line="240" w:lineRule="auto"/>
              <w:rPr>
                <w:b/>
                <w:color w:val="0070C0"/>
                <w:u w:val="single"/>
              </w:rPr>
            </w:pPr>
            <w:r w:rsidRPr="00D5126A">
              <w:rPr>
                <w:b/>
                <w:color w:val="0070C0"/>
              </w:rPr>
              <w:t>Budget:</w:t>
            </w:r>
            <w:r w:rsidRPr="00D5126A">
              <w:rPr>
                <w:color w:val="0070C0"/>
              </w:rPr>
              <w:t xml:space="preserve"> 17,515</w:t>
            </w:r>
          </w:p>
        </w:tc>
        <w:tc>
          <w:tcPr>
            <w:tcW w:w="4575" w:type="dxa"/>
            <w:tcMar>
              <w:top w:w="40" w:type="dxa"/>
              <w:left w:w="40" w:type="dxa"/>
              <w:bottom w:w="40" w:type="dxa"/>
              <w:right w:w="40" w:type="dxa"/>
            </w:tcMar>
          </w:tcPr>
          <w:p w:rsidR="00B03442" w:rsidRPr="00D5126A" w:rsidRDefault="00B03442" w:rsidP="001244BB">
            <w:pPr>
              <w:pStyle w:val="Para001"/>
              <w:spacing w:after="0" w:line="240" w:lineRule="auto"/>
              <w:rPr>
                <w:b/>
                <w:color w:val="0070C0"/>
                <w:u w:val="single"/>
              </w:rPr>
            </w:pPr>
            <w:r w:rsidRPr="00D5126A">
              <w:rPr>
                <w:b/>
                <w:color w:val="0070C0"/>
                <w:u w:val="single"/>
              </w:rPr>
              <w:t>Capital expenditure $000</w:t>
            </w:r>
          </w:p>
          <w:p w:rsidR="00B03442" w:rsidRPr="00D5126A" w:rsidRDefault="00B03442" w:rsidP="001244BB">
            <w:pPr>
              <w:pStyle w:val="Para001"/>
              <w:spacing w:after="0" w:line="240" w:lineRule="auto"/>
              <w:rPr>
                <w:color w:val="0070C0"/>
              </w:rPr>
            </w:pPr>
            <w:r w:rsidRPr="00D5126A">
              <w:rPr>
                <w:b/>
                <w:color w:val="0070C0"/>
              </w:rPr>
              <w:t>Actual:</w:t>
            </w:r>
            <w:r w:rsidRPr="00D5126A">
              <w:rPr>
                <w:color w:val="0070C0"/>
              </w:rPr>
              <w:t xml:space="preserve"> 0</w:t>
            </w:r>
          </w:p>
          <w:p w:rsidR="00B03442" w:rsidRDefault="00B03442" w:rsidP="001244BB">
            <w:pPr>
              <w:pStyle w:val="Para001"/>
              <w:spacing w:after="0" w:line="240" w:lineRule="auto"/>
              <w:rPr>
                <w:color w:val="0070C0"/>
              </w:rPr>
            </w:pPr>
            <w:r w:rsidRPr="00D5126A">
              <w:rPr>
                <w:b/>
                <w:color w:val="0070C0"/>
              </w:rPr>
              <w:t>Budget:</w:t>
            </w:r>
            <w:r w:rsidRPr="00D5126A">
              <w:rPr>
                <w:color w:val="0070C0"/>
              </w:rPr>
              <w:t xml:space="preserve"> 51</w:t>
            </w:r>
          </w:p>
          <w:p w:rsidR="006D6061" w:rsidRPr="00D5126A" w:rsidRDefault="006D6061" w:rsidP="001244BB">
            <w:pPr>
              <w:pStyle w:val="Para001"/>
              <w:spacing w:after="0" w:line="240" w:lineRule="auto"/>
              <w:rPr>
                <w:color w:val="0070C0"/>
              </w:rPr>
            </w:pPr>
            <w:r w:rsidRPr="00C97EB6">
              <w:rPr>
                <w:b/>
                <w:color w:val="0070C0"/>
              </w:rPr>
              <w:t xml:space="preserve">Revised budget: </w:t>
            </w:r>
            <w:r>
              <w:rPr>
                <w:color w:val="0070C0"/>
              </w:rPr>
              <w:t>22</w:t>
            </w:r>
          </w:p>
        </w:tc>
      </w:tr>
    </w:tbl>
    <w:p w:rsidR="00B03442" w:rsidRPr="00D5126A" w:rsidRDefault="00B03442" w:rsidP="00B03442">
      <w:pPr>
        <w:pStyle w:val="Heading4"/>
        <w:rPr>
          <w:color w:val="009900"/>
        </w:rPr>
      </w:pPr>
      <w:bookmarkStart w:id="100" w:name="_Toc14178527"/>
      <w:r w:rsidRPr="00D5126A">
        <w:rPr>
          <w:color w:val="00B050"/>
        </w:rPr>
        <w:t>Taiao - Environment</w:t>
      </w:r>
      <w:bookmarkEnd w:id="100"/>
    </w:p>
    <w:p w:rsidR="00B03442" w:rsidRPr="00D5126A" w:rsidRDefault="00B03442" w:rsidP="00B03442">
      <w:bookmarkStart w:id="101" w:name="_Toc11828912"/>
      <w:r w:rsidRPr="00D5126A">
        <w:t>A significant highlight</w:t>
      </w:r>
      <w:r w:rsidRPr="00D5126A">
        <w:rPr>
          <w:rStyle w:val="00Text"/>
          <w:rFonts w:ascii="Arial" w:hAnsi="Arial" w:cs="Arial"/>
        </w:rPr>
        <w:t xml:space="preserve"> </w:t>
      </w:r>
      <w:r w:rsidRPr="00D5126A">
        <w:t>for this activity area is our commitment to working in partnership with government and the private sector on initiatives to reduce the impact of carbon. As part of this, we passed our Te Atakura – First to Zero policy in June 2019. Our work over the past 12 months has also included strengthening infrastructure such as pipes and reservoirs, addressing issues like coastal erosion</w:t>
      </w:r>
      <w:r w:rsidR="004C5071">
        <w:t>,</w:t>
      </w:r>
      <w:r w:rsidRPr="00D5126A">
        <w:t xml:space="preserve"> and looking at ways to save energy and reduce waste.</w:t>
      </w:r>
    </w:p>
    <w:p w:rsidR="00B03442" w:rsidRPr="00D5126A" w:rsidRDefault="00B03442" w:rsidP="00B03442">
      <w:pPr>
        <w:rPr>
          <w:rFonts w:ascii="Arial" w:hAnsi="Arial" w:cs="Arial"/>
        </w:rPr>
      </w:pPr>
      <w:r w:rsidRPr="00D5126A">
        <w:lastRenderedPageBreak/>
        <w:t>In our key performance measures Zealandia and Wellington Zoo had an increase visitor numbers for the third year, including an increase in education visitors. However, o</w:t>
      </w:r>
      <w:r w:rsidRPr="00D5126A">
        <w:rPr>
          <w:rFonts w:ascii="Arial" w:hAnsi="Arial" w:cs="Arial"/>
        </w:rPr>
        <w:t>ver the past three years, satisfaction in the recycling and rubbish services has decreased.</w:t>
      </w:r>
    </w:p>
    <w:p w:rsidR="00B03442" w:rsidRPr="00D5126A" w:rsidRDefault="00B03442" w:rsidP="00B03442">
      <w:pPr>
        <w:pStyle w:val="Heading5"/>
      </w:pPr>
      <w:r w:rsidRPr="00D5126A">
        <w:t>Performance summary</w:t>
      </w:r>
    </w:p>
    <w:tbl>
      <w:tblPr>
        <w:tblW w:w="8931" w:type="dxa"/>
        <w:tblInd w:w="108" w:type="dxa"/>
        <w:tblLayout w:type="fixed"/>
        <w:tblLook w:val="04A0" w:firstRow="1" w:lastRow="0" w:firstColumn="1" w:lastColumn="0" w:noHBand="0" w:noVBand="1"/>
      </w:tblPr>
      <w:tblGrid>
        <w:gridCol w:w="2694"/>
        <w:gridCol w:w="1275"/>
        <w:gridCol w:w="1276"/>
        <w:gridCol w:w="1276"/>
        <w:gridCol w:w="1134"/>
        <w:gridCol w:w="1276"/>
      </w:tblGrid>
      <w:tr w:rsidR="001E3FE2" w:rsidRPr="00D5126A" w:rsidTr="00906B94">
        <w:trPr>
          <w:trHeight w:val="573"/>
        </w:trPr>
        <w:tc>
          <w:tcPr>
            <w:tcW w:w="2694" w:type="dxa"/>
            <w:tcBorders>
              <w:top w:val="nil"/>
              <w:left w:val="nil"/>
              <w:bottom w:val="nil"/>
              <w:right w:val="nil"/>
            </w:tcBorders>
            <w:shd w:val="clear" w:color="auto" w:fill="auto"/>
            <w:noWrap/>
            <w:vAlign w:val="center"/>
            <w:hideMark/>
          </w:tcPr>
          <w:p w:rsidR="001E3FE2" w:rsidRPr="00D5126A" w:rsidRDefault="001E3FE2" w:rsidP="001244BB">
            <w:pPr>
              <w:spacing w:after="0" w:line="240" w:lineRule="auto"/>
              <w:jc w:val="center"/>
              <w:rPr>
                <w:rFonts w:eastAsia="Times New Roman" w:cstheme="minorHAnsi"/>
                <w:color w:val="000000"/>
                <w:lang w:eastAsia="en-NZ"/>
              </w:rPr>
            </w:pPr>
          </w:p>
        </w:tc>
        <w:tc>
          <w:tcPr>
            <w:tcW w:w="1275" w:type="dxa"/>
            <w:tcBorders>
              <w:top w:val="nil"/>
              <w:left w:val="nil"/>
              <w:bottom w:val="nil"/>
              <w:right w:val="nil"/>
            </w:tcBorders>
            <w:shd w:val="clear" w:color="auto" w:fill="auto"/>
            <w:noWrap/>
            <w:vAlign w:val="center"/>
            <w:hideMark/>
          </w:tcPr>
          <w:p w:rsidR="001E3FE2" w:rsidRPr="00D5126A" w:rsidRDefault="001E3FE2" w:rsidP="0035318B">
            <w:pPr>
              <w:spacing w:after="0" w:line="240" w:lineRule="auto"/>
              <w:jc w:val="center"/>
              <w:rPr>
                <w:rFonts w:ascii="Arial" w:eastAsia="Times New Roman" w:hAnsi="Arial" w:cs="Arial"/>
                <w:i/>
                <w:color w:val="000000"/>
                <w:szCs w:val="20"/>
                <w:lang w:eastAsia="en-NZ"/>
              </w:rPr>
            </w:pPr>
            <w:r w:rsidRPr="00D5126A">
              <w:rPr>
                <w:rFonts w:ascii="Arial" w:eastAsia="Times New Roman" w:hAnsi="Arial" w:cs="Arial"/>
                <w:i/>
                <w:iCs/>
                <w:color w:val="000000"/>
                <w:szCs w:val="20"/>
                <w:lang w:eastAsia="en-NZ"/>
              </w:rPr>
              <w:t>Not met</w:t>
            </w:r>
          </w:p>
        </w:tc>
        <w:tc>
          <w:tcPr>
            <w:tcW w:w="1276" w:type="dxa"/>
            <w:tcBorders>
              <w:top w:val="nil"/>
              <w:left w:val="nil"/>
              <w:bottom w:val="nil"/>
              <w:right w:val="nil"/>
            </w:tcBorders>
            <w:shd w:val="clear" w:color="auto" w:fill="auto"/>
            <w:noWrap/>
            <w:vAlign w:val="center"/>
            <w:hideMark/>
          </w:tcPr>
          <w:p w:rsidR="001E3FE2" w:rsidRPr="00D5126A" w:rsidRDefault="001E3FE2" w:rsidP="0035318B">
            <w:pPr>
              <w:spacing w:after="0" w:line="240" w:lineRule="auto"/>
              <w:jc w:val="center"/>
              <w:rPr>
                <w:rFonts w:ascii="Arial" w:eastAsia="Times New Roman" w:hAnsi="Arial" w:cs="Arial"/>
                <w:i/>
                <w:color w:val="000000"/>
                <w:szCs w:val="20"/>
                <w:lang w:eastAsia="en-NZ"/>
              </w:rPr>
            </w:pPr>
            <w:r>
              <w:rPr>
                <w:rFonts w:ascii="Arial" w:eastAsia="Times New Roman" w:hAnsi="Arial" w:cs="Arial"/>
                <w:i/>
                <w:color w:val="000000"/>
                <w:szCs w:val="20"/>
                <w:lang w:eastAsia="en-NZ"/>
              </w:rPr>
              <w:t>Within 10%</w:t>
            </w:r>
          </w:p>
        </w:tc>
        <w:tc>
          <w:tcPr>
            <w:tcW w:w="1276" w:type="dxa"/>
            <w:tcBorders>
              <w:top w:val="nil"/>
              <w:left w:val="nil"/>
              <w:bottom w:val="nil"/>
              <w:right w:val="nil"/>
            </w:tcBorders>
            <w:shd w:val="clear" w:color="auto" w:fill="auto"/>
            <w:noWrap/>
            <w:vAlign w:val="center"/>
            <w:hideMark/>
          </w:tcPr>
          <w:p w:rsidR="001E3FE2" w:rsidRPr="00D5126A" w:rsidRDefault="001E3FE2" w:rsidP="0035318B">
            <w:pPr>
              <w:spacing w:after="0" w:line="240" w:lineRule="auto"/>
              <w:jc w:val="center"/>
              <w:rPr>
                <w:rFonts w:ascii="Arial" w:eastAsia="Times New Roman" w:hAnsi="Arial" w:cs="Arial"/>
                <w:i/>
                <w:color w:val="000000"/>
                <w:szCs w:val="20"/>
                <w:lang w:eastAsia="en-NZ"/>
              </w:rPr>
            </w:pPr>
            <w:r w:rsidRPr="00D5126A">
              <w:rPr>
                <w:rFonts w:ascii="Arial" w:eastAsia="Times New Roman" w:hAnsi="Arial" w:cs="Arial"/>
                <w:i/>
                <w:iCs/>
                <w:color w:val="000000"/>
                <w:szCs w:val="20"/>
                <w:lang w:eastAsia="en-NZ"/>
              </w:rPr>
              <w:t>Exceeded</w:t>
            </w:r>
          </w:p>
        </w:tc>
        <w:tc>
          <w:tcPr>
            <w:tcW w:w="1134" w:type="dxa"/>
            <w:tcBorders>
              <w:top w:val="nil"/>
              <w:left w:val="nil"/>
              <w:bottom w:val="nil"/>
              <w:right w:val="nil"/>
            </w:tcBorders>
            <w:shd w:val="clear" w:color="auto" w:fill="auto"/>
            <w:vAlign w:val="center"/>
            <w:hideMark/>
          </w:tcPr>
          <w:p w:rsidR="001E3FE2" w:rsidRPr="00D5126A" w:rsidRDefault="001E3FE2" w:rsidP="0035318B">
            <w:pPr>
              <w:spacing w:after="0" w:line="240" w:lineRule="auto"/>
              <w:jc w:val="center"/>
              <w:rPr>
                <w:rFonts w:ascii="Arial" w:eastAsia="Times New Roman" w:hAnsi="Arial" w:cs="Arial"/>
                <w:i/>
                <w:color w:val="000000"/>
                <w:szCs w:val="20"/>
                <w:lang w:eastAsia="en-NZ"/>
              </w:rPr>
            </w:pPr>
            <w:r w:rsidRPr="00D5126A">
              <w:rPr>
                <w:rFonts w:ascii="Arial" w:eastAsia="Times New Roman" w:hAnsi="Arial" w:cs="Arial"/>
                <w:i/>
                <w:color w:val="000000"/>
                <w:szCs w:val="20"/>
                <w:lang w:eastAsia="en-NZ"/>
              </w:rPr>
              <w:t>Baseline</w:t>
            </w:r>
          </w:p>
        </w:tc>
        <w:tc>
          <w:tcPr>
            <w:tcW w:w="1276" w:type="dxa"/>
            <w:tcBorders>
              <w:top w:val="nil"/>
              <w:left w:val="nil"/>
              <w:bottom w:val="nil"/>
              <w:right w:val="nil"/>
            </w:tcBorders>
            <w:shd w:val="clear" w:color="auto" w:fill="auto"/>
            <w:vAlign w:val="center"/>
          </w:tcPr>
          <w:p w:rsidR="001E3FE2" w:rsidRPr="00D5126A" w:rsidRDefault="001E3FE2" w:rsidP="001244BB">
            <w:pPr>
              <w:spacing w:after="0" w:line="240" w:lineRule="auto"/>
              <w:jc w:val="center"/>
              <w:rPr>
                <w:rFonts w:eastAsia="Times New Roman" w:cstheme="minorHAnsi"/>
                <w:color w:val="000000"/>
                <w:lang w:eastAsia="en-NZ"/>
              </w:rPr>
            </w:pPr>
            <w:r w:rsidRPr="00D5126A">
              <w:rPr>
                <w:rFonts w:eastAsia="Times New Roman" w:cstheme="minorHAnsi"/>
                <w:color w:val="000000"/>
                <w:lang w:eastAsia="en-NZ"/>
              </w:rPr>
              <w:t>Total Measures</w:t>
            </w:r>
          </w:p>
        </w:tc>
      </w:tr>
      <w:tr w:rsidR="001E3FE2" w:rsidRPr="00D5126A" w:rsidTr="00906B94">
        <w:trPr>
          <w:trHeight w:val="255"/>
        </w:trPr>
        <w:tc>
          <w:tcPr>
            <w:tcW w:w="2694" w:type="dxa"/>
            <w:tcBorders>
              <w:top w:val="nil"/>
              <w:left w:val="nil"/>
              <w:bottom w:val="nil"/>
              <w:right w:val="nil"/>
            </w:tcBorders>
            <w:shd w:val="clear" w:color="auto" w:fill="00B050"/>
            <w:noWrap/>
            <w:vAlign w:val="bottom"/>
            <w:hideMark/>
          </w:tcPr>
          <w:p w:rsidR="001E3FE2" w:rsidRPr="00D5126A" w:rsidRDefault="001E3FE2" w:rsidP="00B03442">
            <w:pPr>
              <w:spacing w:before="240" w:after="0"/>
              <w:rPr>
                <w:rFonts w:cstheme="minorHAnsi"/>
                <w:b/>
                <w:bCs/>
                <w:color w:val="FFFFFF" w:themeColor="background1"/>
              </w:rPr>
            </w:pPr>
            <w:r w:rsidRPr="00D5126A">
              <w:rPr>
                <w:rFonts w:cstheme="minorHAnsi"/>
                <w:b/>
                <w:bCs/>
                <w:color w:val="FFFFFF" w:themeColor="background1"/>
              </w:rPr>
              <w:t>Taiao | Environment</w:t>
            </w:r>
          </w:p>
        </w:tc>
        <w:tc>
          <w:tcPr>
            <w:tcW w:w="1275" w:type="dxa"/>
            <w:tcBorders>
              <w:top w:val="nil"/>
              <w:left w:val="nil"/>
              <w:bottom w:val="nil"/>
              <w:right w:val="nil"/>
            </w:tcBorders>
            <w:shd w:val="clear" w:color="auto" w:fill="00B050"/>
            <w:noWrap/>
            <w:vAlign w:val="bottom"/>
            <w:hideMark/>
          </w:tcPr>
          <w:p w:rsidR="001E3FE2" w:rsidRPr="00D5126A" w:rsidRDefault="001E3FE2" w:rsidP="00B03442">
            <w:pPr>
              <w:spacing w:before="240" w:after="0"/>
              <w:jc w:val="center"/>
              <w:rPr>
                <w:rFonts w:cstheme="minorHAnsi"/>
                <w:b/>
                <w:color w:val="FFFFFF" w:themeColor="background1"/>
                <w:sz w:val="24"/>
              </w:rPr>
            </w:pPr>
            <w:r>
              <w:rPr>
                <w:rFonts w:cstheme="minorHAnsi"/>
                <w:b/>
                <w:color w:val="FFFFFF" w:themeColor="background1"/>
                <w:sz w:val="24"/>
              </w:rPr>
              <w:t>8</w:t>
            </w:r>
          </w:p>
        </w:tc>
        <w:tc>
          <w:tcPr>
            <w:tcW w:w="1276" w:type="dxa"/>
            <w:tcBorders>
              <w:top w:val="nil"/>
              <w:left w:val="nil"/>
              <w:bottom w:val="nil"/>
              <w:right w:val="nil"/>
            </w:tcBorders>
            <w:shd w:val="clear" w:color="auto" w:fill="00B050"/>
            <w:noWrap/>
            <w:vAlign w:val="bottom"/>
            <w:hideMark/>
          </w:tcPr>
          <w:p w:rsidR="001E3FE2" w:rsidRPr="00D5126A" w:rsidRDefault="001E3FE2" w:rsidP="001C0A52">
            <w:pPr>
              <w:spacing w:before="240" w:after="0"/>
              <w:jc w:val="center"/>
              <w:rPr>
                <w:rFonts w:cstheme="minorHAnsi"/>
                <w:b/>
                <w:color w:val="FFFFFF" w:themeColor="background1"/>
                <w:sz w:val="24"/>
              </w:rPr>
            </w:pPr>
            <w:r>
              <w:rPr>
                <w:rFonts w:cstheme="minorHAnsi"/>
                <w:b/>
                <w:color w:val="FFFFFF" w:themeColor="background1"/>
                <w:sz w:val="24"/>
              </w:rPr>
              <w:t>36</w:t>
            </w:r>
          </w:p>
        </w:tc>
        <w:tc>
          <w:tcPr>
            <w:tcW w:w="1276" w:type="dxa"/>
            <w:tcBorders>
              <w:top w:val="nil"/>
              <w:left w:val="nil"/>
              <w:bottom w:val="nil"/>
              <w:right w:val="nil"/>
            </w:tcBorders>
            <w:shd w:val="clear" w:color="auto" w:fill="00B050"/>
            <w:noWrap/>
            <w:vAlign w:val="bottom"/>
            <w:hideMark/>
          </w:tcPr>
          <w:p w:rsidR="001E3FE2" w:rsidRPr="00D5126A" w:rsidRDefault="001E3FE2" w:rsidP="00B03442">
            <w:pPr>
              <w:spacing w:before="240" w:after="0"/>
              <w:jc w:val="center"/>
              <w:rPr>
                <w:rFonts w:cstheme="minorHAnsi"/>
                <w:b/>
                <w:color w:val="FFFFFF" w:themeColor="background1"/>
                <w:sz w:val="24"/>
              </w:rPr>
            </w:pPr>
            <w:r w:rsidRPr="00D5126A">
              <w:rPr>
                <w:rFonts w:cstheme="minorHAnsi"/>
                <w:b/>
                <w:color w:val="FFFFFF" w:themeColor="background1"/>
                <w:sz w:val="24"/>
              </w:rPr>
              <w:t>20</w:t>
            </w:r>
          </w:p>
        </w:tc>
        <w:tc>
          <w:tcPr>
            <w:tcW w:w="1134" w:type="dxa"/>
            <w:tcBorders>
              <w:top w:val="nil"/>
              <w:left w:val="nil"/>
              <w:bottom w:val="nil"/>
              <w:right w:val="nil"/>
            </w:tcBorders>
            <w:shd w:val="clear" w:color="auto" w:fill="00B050"/>
            <w:noWrap/>
            <w:vAlign w:val="bottom"/>
            <w:hideMark/>
          </w:tcPr>
          <w:p w:rsidR="001E3FE2" w:rsidRPr="00D5126A" w:rsidRDefault="001E3FE2" w:rsidP="00B03442">
            <w:pPr>
              <w:spacing w:before="240" w:after="0"/>
              <w:jc w:val="center"/>
              <w:rPr>
                <w:rFonts w:cstheme="minorHAnsi"/>
                <w:b/>
                <w:color w:val="FFFFFF" w:themeColor="background1"/>
                <w:sz w:val="24"/>
              </w:rPr>
            </w:pPr>
            <w:r>
              <w:rPr>
                <w:rFonts w:cstheme="minorHAnsi"/>
                <w:b/>
                <w:color w:val="FFFFFF" w:themeColor="background1"/>
                <w:sz w:val="24"/>
              </w:rPr>
              <w:t>8</w:t>
            </w:r>
          </w:p>
        </w:tc>
        <w:tc>
          <w:tcPr>
            <w:tcW w:w="1276" w:type="dxa"/>
            <w:tcBorders>
              <w:top w:val="nil"/>
              <w:left w:val="nil"/>
              <w:bottom w:val="nil"/>
              <w:right w:val="nil"/>
            </w:tcBorders>
            <w:shd w:val="clear" w:color="auto" w:fill="00B050"/>
            <w:noWrap/>
            <w:vAlign w:val="bottom"/>
            <w:hideMark/>
          </w:tcPr>
          <w:p w:rsidR="001E3FE2" w:rsidRPr="00D5126A" w:rsidRDefault="001E3FE2" w:rsidP="00B03442">
            <w:pPr>
              <w:spacing w:before="240" w:after="0"/>
              <w:jc w:val="center"/>
              <w:rPr>
                <w:rFonts w:cstheme="minorHAnsi"/>
                <w:b/>
                <w:color w:val="FFFFFF" w:themeColor="background1"/>
                <w:sz w:val="24"/>
              </w:rPr>
            </w:pPr>
            <w:r w:rsidRPr="00D5126A">
              <w:rPr>
                <w:rFonts w:cstheme="minorHAnsi"/>
                <w:b/>
                <w:color w:val="FFFFFF" w:themeColor="background1"/>
                <w:sz w:val="24"/>
              </w:rPr>
              <w:t>72</w:t>
            </w:r>
          </w:p>
        </w:tc>
      </w:tr>
    </w:tbl>
    <w:p w:rsidR="00B03442" w:rsidRPr="00D5126A" w:rsidRDefault="00B03442" w:rsidP="00B03442">
      <w:pPr>
        <w:pStyle w:val="Heading5"/>
        <w:rPr>
          <w:color w:val="00B050"/>
        </w:rPr>
      </w:pPr>
      <w:r w:rsidRPr="00D5126A">
        <w:rPr>
          <w:color w:val="00B050"/>
        </w:rPr>
        <w:t>Financial summary</w:t>
      </w:r>
      <w:bookmarkEnd w:id="101"/>
    </w:p>
    <w:tbl>
      <w:tblPr>
        <w:tblW w:w="5000" w:type="pct"/>
        <w:tblInd w:w="40" w:type="dxa"/>
        <w:tblCellMar>
          <w:left w:w="10" w:type="dxa"/>
          <w:right w:w="10" w:type="dxa"/>
        </w:tblCellMar>
        <w:tblLook w:val="0000" w:firstRow="0" w:lastRow="0" w:firstColumn="0" w:lastColumn="0" w:noHBand="0" w:noVBand="0"/>
      </w:tblPr>
      <w:tblGrid>
        <w:gridCol w:w="4574"/>
        <w:gridCol w:w="4575"/>
      </w:tblGrid>
      <w:tr w:rsidR="00B03442" w:rsidRPr="00D5126A" w:rsidTr="00576698">
        <w:tc>
          <w:tcPr>
            <w:tcW w:w="4574" w:type="dxa"/>
            <w:tcMar>
              <w:top w:w="40" w:type="dxa"/>
              <w:left w:w="40" w:type="dxa"/>
              <w:bottom w:w="40" w:type="dxa"/>
              <w:right w:w="40" w:type="dxa"/>
            </w:tcMar>
          </w:tcPr>
          <w:p w:rsidR="00B03442" w:rsidRPr="00D5126A" w:rsidRDefault="00B03442" w:rsidP="001244BB">
            <w:pPr>
              <w:pStyle w:val="Para001"/>
              <w:spacing w:after="0" w:line="240" w:lineRule="auto"/>
              <w:rPr>
                <w:b/>
                <w:color w:val="00B050"/>
                <w:u w:val="single"/>
              </w:rPr>
            </w:pPr>
            <w:r w:rsidRPr="00D5126A">
              <w:rPr>
                <w:b/>
                <w:color w:val="00B050"/>
                <w:u w:val="single"/>
              </w:rPr>
              <w:t>Net operating expenditure $000</w:t>
            </w:r>
          </w:p>
          <w:p w:rsidR="00B03442" w:rsidRPr="00D5126A" w:rsidRDefault="00B03442" w:rsidP="001244BB">
            <w:pPr>
              <w:pStyle w:val="Para001"/>
              <w:spacing w:after="0" w:line="240" w:lineRule="auto"/>
              <w:rPr>
                <w:color w:val="00B050"/>
              </w:rPr>
            </w:pPr>
            <w:r w:rsidRPr="00D5126A">
              <w:rPr>
                <w:b/>
                <w:color w:val="00B050"/>
              </w:rPr>
              <w:t>Actual:</w:t>
            </w:r>
            <w:r w:rsidRPr="00D5126A">
              <w:rPr>
                <w:color w:val="00B050"/>
              </w:rPr>
              <w:t xml:space="preserve"> 148,686</w:t>
            </w:r>
          </w:p>
          <w:p w:rsidR="00B03442" w:rsidRPr="00D5126A" w:rsidRDefault="00B03442" w:rsidP="001244BB">
            <w:pPr>
              <w:pStyle w:val="Para001"/>
              <w:spacing w:after="0" w:line="240" w:lineRule="auto"/>
              <w:rPr>
                <w:b/>
                <w:color w:val="00B050"/>
                <w:u w:val="single"/>
              </w:rPr>
            </w:pPr>
            <w:r w:rsidRPr="00D5126A">
              <w:rPr>
                <w:b/>
                <w:color w:val="00B050"/>
              </w:rPr>
              <w:t>Budget:</w:t>
            </w:r>
            <w:r w:rsidRPr="00D5126A">
              <w:rPr>
                <w:color w:val="00B050"/>
              </w:rPr>
              <w:t xml:space="preserve"> 155,085</w:t>
            </w:r>
          </w:p>
        </w:tc>
        <w:tc>
          <w:tcPr>
            <w:tcW w:w="4575" w:type="dxa"/>
            <w:tcMar>
              <w:top w:w="40" w:type="dxa"/>
              <w:left w:w="40" w:type="dxa"/>
              <w:bottom w:w="40" w:type="dxa"/>
              <w:right w:w="40" w:type="dxa"/>
            </w:tcMar>
          </w:tcPr>
          <w:p w:rsidR="00B03442" w:rsidRPr="00D5126A" w:rsidRDefault="00B03442" w:rsidP="001244BB">
            <w:pPr>
              <w:pStyle w:val="Para001"/>
              <w:spacing w:after="0" w:line="240" w:lineRule="auto"/>
              <w:rPr>
                <w:b/>
                <w:color w:val="00B050"/>
                <w:u w:val="single"/>
              </w:rPr>
            </w:pPr>
            <w:r w:rsidRPr="00D5126A">
              <w:rPr>
                <w:b/>
                <w:color w:val="00B050"/>
                <w:u w:val="single"/>
              </w:rPr>
              <w:t>Capital expenditure $000</w:t>
            </w:r>
          </w:p>
          <w:p w:rsidR="00B03442" w:rsidRPr="00D5126A" w:rsidRDefault="00B03442" w:rsidP="001244BB">
            <w:pPr>
              <w:pStyle w:val="Para001"/>
              <w:spacing w:after="0" w:line="240" w:lineRule="auto"/>
              <w:rPr>
                <w:color w:val="00B050"/>
              </w:rPr>
            </w:pPr>
            <w:r w:rsidRPr="00D5126A">
              <w:rPr>
                <w:b/>
                <w:color w:val="00B050"/>
              </w:rPr>
              <w:t>Actual:</w:t>
            </w:r>
            <w:r w:rsidRPr="00D5126A">
              <w:rPr>
                <w:color w:val="00B050"/>
              </w:rPr>
              <w:t xml:space="preserve"> 40,471</w:t>
            </w:r>
          </w:p>
          <w:p w:rsidR="00B03442" w:rsidRDefault="00B03442" w:rsidP="001244BB">
            <w:pPr>
              <w:pStyle w:val="NoSpacing"/>
              <w:rPr>
                <w:rFonts w:ascii="Arial" w:hAnsi="Arial" w:cs="Arial"/>
                <w:bCs/>
                <w:color w:val="00B050"/>
                <w:szCs w:val="20"/>
              </w:rPr>
            </w:pPr>
            <w:r w:rsidRPr="00D5126A">
              <w:rPr>
                <w:b/>
                <w:color w:val="00B050"/>
              </w:rPr>
              <w:t>Budget:</w:t>
            </w:r>
            <w:r w:rsidRPr="00D5126A">
              <w:rPr>
                <w:color w:val="00B050"/>
              </w:rPr>
              <w:t xml:space="preserve"> </w:t>
            </w:r>
            <w:r w:rsidRPr="00D5126A">
              <w:rPr>
                <w:rFonts w:ascii="Arial" w:hAnsi="Arial" w:cs="Arial"/>
                <w:bCs/>
                <w:color w:val="00B050"/>
                <w:szCs w:val="20"/>
              </w:rPr>
              <w:t>52,030</w:t>
            </w:r>
          </w:p>
          <w:p w:rsidR="006D6061" w:rsidRPr="00D5126A" w:rsidRDefault="006D6061" w:rsidP="001244BB">
            <w:pPr>
              <w:pStyle w:val="NoSpacing"/>
              <w:rPr>
                <w:rFonts w:ascii="Arial" w:hAnsi="Arial" w:cs="Arial"/>
                <w:bCs/>
                <w:color w:val="00B050"/>
                <w:szCs w:val="20"/>
              </w:rPr>
            </w:pPr>
            <w:r w:rsidRPr="00C97EB6">
              <w:rPr>
                <w:rFonts w:ascii="Arial" w:hAnsi="Arial" w:cs="Arial"/>
                <w:b/>
                <w:bCs/>
                <w:color w:val="00B050"/>
                <w:szCs w:val="20"/>
              </w:rPr>
              <w:t xml:space="preserve">Revised budget: </w:t>
            </w:r>
            <w:r>
              <w:rPr>
                <w:rFonts w:ascii="Arial" w:hAnsi="Arial" w:cs="Arial"/>
                <w:bCs/>
                <w:color w:val="00B050"/>
                <w:szCs w:val="20"/>
              </w:rPr>
              <w:t>49,885</w:t>
            </w:r>
          </w:p>
        </w:tc>
      </w:tr>
    </w:tbl>
    <w:p w:rsidR="00B03442" w:rsidRPr="00D5126A" w:rsidRDefault="00B03442" w:rsidP="00B03442">
      <w:pPr>
        <w:pStyle w:val="Heading4"/>
        <w:rPr>
          <w:color w:val="FF9900"/>
        </w:rPr>
      </w:pPr>
      <w:bookmarkStart w:id="102" w:name="_Toc14178528"/>
      <w:r w:rsidRPr="00D5126A">
        <w:rPr>
          <w:color w:val="FF9900"/>
        </w:rPr>
        <w:t xml:space="preserve">Whanaketanga ōhanga - Economic </w:t>
      </w:r>
      <w:bookmarkEnd w:id="102"/>
      <w:r w:rsidR="004C5071">
        <w:rPr>
          <w:color w:val="FF9900"/>
        </w:rPr>
        <w:t>d</w:t>
      </w:r>
      <w:r w:rsidR="004C5071" w:rsidRPr="00D5126A">
        <w:rPr>
          <w:color w:val="FF9900"/>
        </w:rPr>
        <w:t>evelopment</w:t>
      </w:r>
    </w:p>
    <w:p w:rsidR="00B03442" w:rsidRPr="00D5126A" w:rsidRDefault="00B03442" w:rsidP="00B03442">
      <w:bookmarkStart w:id="103" w:name="_Toc11828914"/>
      <w:r w:rsidRPr="00D5126A">
        <w:t>In the past 12 months, through the support of Council, the city hosted several cultural and sports events and attracted growing numbers of visitors, particularly from overseas. A list of many of these events is at the end of this section. Of particular note was the Eminem ‘Rapture’ concert held at Westpac Stadium, which broke attendance records with 46,474 fans and 56</w:t>
      </w:r>
      <w:r w:rsidR="004C5071">
        <w:t xml:space="preserve"> percent</w:t>
      </w:r>
      <w:r w:rsidR="004C5071" w:rsidRPr="00D5126A">
        <w:t xml:space="preserve"> </w:t>
      </w:r>
      <w:r w:rsidR="004C5071">
        <w:t xml:space="preserve">of </w:t>
      </w:r>
      <w:r w:rsidRPr="00D5126A">
        <w:t>tickets sold to out-of-region purchasers.</w:t>
      </w:r>
    </w:p>
    <w:p w:rsidR="00B03442" w:rsidRPr="00D5126A" w:rsidRDefault="00B03442" w:rsidP="00B03442">
      <w:r w:rsidRPr="00D5126A">
        <w:t xml:space="preserve">Other highlights included visitor spending exceeding $2.7 billion for the first time, lodging of the resource consent for the Convention and Exhibition Centre and nearly $2 million allocated from the City Growth Fund. However, the number of events in Wellington and our share of multi-day conferences </w:t>
      </w:r>
      <w:proofErr w:type="gramStart"/>
      <w:r w:rsidRPr="00D5126A">
        <w:t>was</w:t>
      </w:r>
      <w:proofErr w:type="gramEnd"/>
      <w:r w:rsidRPr="00D5126A">
        <w:t xml:space="preserve"> down because of the closure of several venues for earthquake strengthening.</w:t>
      </w:r>
    </w:p>
    <w:p w:rsidR="00B03442" w:rsidRPr="00D5126A" w:rsidRDefault="00B03442" w:rsidP="00B03442">
      <w:pPr>
        <w:pStyle w:val="Heading5"/>
      </w:pPr>
      <w:r w:rsidRPr="00D5126A">
        <w:t>Performance summary</w:t>
      </w:r>
    </w:p>
    <w:tbl>
      <w:tblPr>
        <w:tblW w:w="8175" w:type="dxa"/>
        <w:tblInd w:w="108" w:type="dxa"/>
        <w:tblLayout w:type="fixed"/>
        <w:tblLook w:val="04A0" w:firstRow="1" w:lastRow="0" w:firstColumn="1" w:lastColumn="0" w:noHBand="0" w:noVBand="1"/>
      </w:tblPr>
      <w:tblGrid>
        <w:gridCol w:w="3261"/>
        <w:gridCol w:w="1181"/>
        <w:gridCol w:w="1181"/>
        <w:gridCol w:w="1276"/>
        <w:gridCol w:w="1276"/>
      </w:tblGrid>
      <w:tr w:rsidR="001E3FE2" w:rsidRPr="00D5126A" w:rsidTr="00906B94">
        <w:trPr>
          <w:trHeight w:val="535"/>
        </w:trPr>
        <w:tc>
          <w:tcPr>
            <w:tcW w:w="3261" w:type="dxa"/>
            <w:tcBorders>
              <w:top w:val="nil"/>
              <w:left w:val="nil"/>
              <w:bottom w:val="nil"/>
              <w:right w:val="nil"/>
            </w:tcBorders>
            <w:shd w:val="clear" w:color="auto" w:fill="auto"/>
            <w:noWrap/>
            <w:vAlign w:val="center"/>
            <w:hideMark/>
          </w:tcPr>
          <w:p w:rsidR="001E3FE2" w:rsidRPr="00D5126A" w:rsidRDefault="001E3FE2" w:rsidP="00FF0568">
            <w:pPr>
              <w:spacing w:after="0" w:line="240" w:lineRule="auto"/>
              <w:jc w:val="center"/>
              <w:rPr>
                <w:rFonts w:eastAsia="Times New Roman" w:cstheme="minorHAnsi"/>
                <w:color w:val="000000"/>
                <w:szCs w:val="20"/>
                <w:lang w:eastAsia="en-NZ"/>
              </w:rPr>
            </w:pPr>
          </w:p>
        </w:tc>
        <w:tc>
          <w:tcPr>
            <w:tcW w:w="1181" w:type="dxa"/>
            <w:tcBorders>
              <w:top w:val="nil"/>
              <w:left w:val="nil"/>
              <w:bottom w:val="nil"/>
              <w:right w:val="nil"/>
            </w:tcBorders>
            <w:shd w:val="clear" w:color="auto" w:fill="auto"/>
            <w:noWrap/>
            <w:vAlign w:val="center"/>
            <w:hideMark/>
          </w:tcPr>
          <w:p w:rsidR="001E3FE2" w:rsidRPr="00D5126A" w:rsidRDefault="001E3FE2" w:rsidP="0035318B">
            <w:pPr>
              <w:spacing w:after="0" w:line="240" w:lineRule="auto"/>
              <w:jc w:val="center"/>
              <w:rPr>
                <w:rFonts w:ascii="Arial" w:eastAsia="Times New Roman" w:hAnsi="Arial" w:cs="Arial"/>
                <w:i/>
                <w:color w:val="000000"/>
                <w:szCs w:val="20"/>
                <w:lang w:eastAsia="en-NZ"/>
              </w:rPr>
            </w:pPr>
            <w:r w:rsidRPr="00D5126A">
              <w:rPr>
                <w:rFonts w:ascii="Arial" w:eastAsia="Times New Roman" w:hAnsi="Arial" w:cs="Arial"/>
                <w:i/>
                <w:iCs/>
                <w:color w:val="000000"/>
                <w:szCs w:val="20"/>
                <w:lang w:eastAsia="en-NZ"/>
              </w:rPr>
              <w:t>Not met</w:t>
            </w:r>
          </w:p>
        </w:tc>
        <w:tc>
          <w:tcPr>
            <w:tcW w:w="1181" w:type="dxa"/>
            <w:tcBorders>
              <w:top w:val="nil"/>
              <w:left w:val="nil"/>
              <w:bottom w:val="nil"/>
              <w:right w:val="nil"/>
            </w:tcBorders>
            <w:shd w:val="clear" w:color="auto" w:fill="auto"/>
            <w:noWrap/>
            <w:vAlign w:val="center"/>
            <w:hideMark/>
          </w:tcPr>
          <w:p w:rsidR="001E3FE2" w:rsidRPr="00D5126A" w:rsidRDefault="001E3FE2" w:rsidP="0035318B">
            <w:pPr>
              <w:spacing w:after="0" w:line="240" w:lineRule="auto"/>
              <w:jc w:val="center"/>
              <w:rPr>
                <w:rFonts w:ascii="Arial" w:eastAsia="Times New Roman" w:hAnsi="Arial" w:cs="Arial"/>
                <w:i/>
                <w:color w:val="000000"/>
                <w:szCs w:val="20"/>
                <w:lang w:eastAsia="en-NZ"/>
              </w:rPr>
            </w:pPr>
            <w:r>
              <w:rPr>
                <w:rFonts w:ascii="Arial" w:eastAsia="Times New Roman" w:hAnsi="Arial" w:cs="Arial"/>
                <w:i/>
                <w:color w:val="000000"/>
                <w:szCs w:val="20"/>
                <w:lang w:eastAsia="en-NZ"/>
              </w:rPr>
              <w:t>Within 10%</w:t>
            </w:r>
          </w:p>
        </w:tc>
        <w:tc>
          <w:tcPr>
            <w:tcW w:w="1276" w:type="dxa"/>
            <w:tcBorders>
              <w:top w:val="nil"/>
              <w:left w:val="nil"/>
              <w:bottom w:val="nil"/>
              <w:right w:val="nil"/>
            </w:tcBorders>
            <w:shd w:val="clear" w:color="auto" w:fill="auto"/>
            <w:noWrap/>
            <w:vAlign w:val="center"/>
            <w:hideMark/>
          </w:tcPr>
          <w:p w:rsidR="001E3FE2" w:rsidRPr="00D5126A" w:rsidRDefault="001E3FE2" w:rsidP="0035318B">
            <w:pPr>
              <w:spacing w:after="0" w:line="240" w:lineRule="auto"/>
              <w:jc w:val="center"/>
              <w:rPr>
                <w:rFonts w:ascii="Arial" w:eastAsia="Times New Roman" w:hAnsi="Arial" w:cs="Arial"/>
                <w:i/>
                <w:color w:val="000000"/>
                <w:szCs w:val="20"/>
                <w:lang w:eastAsia="en-NZ"/>
              </w:rPr>
            </w:pPr>
            <w:r w:rsidRPr="00D5126A">
              <w:rPr>
                <w:rFonts w:ascii="Arial" w:eastAsia="Times New Roman" w:hAnsi="Arial" w:cs="Arial"/>
                <w:i/>
                <w:iCs/>
                <w:color w:val="000000"/>
                <w:szCs w:val="20"/>
                <w:lang w:eastAsia="en-NZ"/>
              </w:rPr>
              <w:t>Exceeded</w:t>
            </w:r>
          </w:p>
        </w:tc>
        <w:tc>
          <w:tcPr>
            <w:tcW w:w="1276" w:type="dxa"/>
            <w:tcBorders>
              <w:top w:val="nil"/>
              <w:left w:val="nil"/>
              <w:bottom w:val="nil"/>
              <w:right w:val="nil"/>
            </w:tcBorders>
            <w:shd w:val="clear" w:color="auto" w:fill="auto"/>
            <w:vAlign w:val="center"/>
          </w:tcPr>
          <w:p w:rsidR="001E3FE2" w:rsidRPr="00D5126A" w:rsidRDefault="001E3FE2" w:rsidP="001244BB">
            <w:pPr>
              <w:spacing w:after="0" w:line="240" w:lineRule="auto"/>
              <w:jc w:val="center"/>
              <w:rPr>
                <w:rFonts w:eastAsia="Times New Roman" w:cstheme="minorHAnsi"/>
                <w:color w:val="000000"/>
                <w:szCs w:val="20"/>
                <w:lang w:eastAsia="en-NZ"/>
              </w:rPr>
            </w:pPr>
            <w:r w:rsidRPr="00D5126A">
              <w:rPr>
                <w:rFonts w:eastAsia="Times New Roman" w:cstheme="minorHAnsi"/>
                <w:color w:val="000000"/>
                <w:szCs w:val="20"/>
                <w:lang w:eastAsia="en-NZ"/>
              </w:rPr>
              <w:t>Total measures</w:t>
            </w:r>
          </w:p>
        </w:tc>
      </w:tr>
      <w:tr w:rsidR="001E3FE2" w:rsidRPr="00576698" w:rsidTr="00906B94">
        <w:trPr>
          <w:trHeight w:val="255"/>
        </w:trPr>
        <w:tc>
          <w:tcPr>
            <w:tcW w:w="3261" w:type="dxa"/>
            <w:tcBorders>
              <w:top w:val="nil"/>
              <w:left w:val="nil"/>
              <w:bottom w:val="nil"/>
              <w:right w:val="nil"/>
            </w:tcBorders>
            <w:shd w:val="clear" w:color="auto" w:fill="FF9900"/>
            <w:noWrap/>
            <w:vAlign w:val="bottom"/>
            <w:hideMark/>
          </w:tcPr>
          <w:p w:rsidR="001E3FE2" w:rsidRPr="00576698" w:rsidRDefault="001E3FE2" w:rsidP="001244BB">
            <w:pPr>
              <w:spacing w:after="0"/>
              <w:rPr>
                <w:rFonts w:cstheme="minorHAnsi"/>
                <w:b/>
                <w:bCs/>
                <w:color w:val="FFFFFF" w:themeColor="background1"/>
                <w:szCs w:val="20"/>
              </w:rPr>
            </w:pPr>
            <w:r w:rsidRPr="00576698">
              <w:rPr>
                <w:rFonts w:cstheme="minorHAnsi"/>
                <w:b/>
                <w:bCs/>
                <w:color w:val="FFFFFF" w:themeColor="background1"/>
                <w:szCs w:val="20"/>
              </w:rPr>
              <w:t>Whanaketanga ōhanga | Economic development</w:t>
            </w:r>
          </w:p>
        </w:tc>
        <w:tc>
          <w:tcPr>
            <w:tcW w:w="1181" w:type="dxa"/>
            <w:tcBorders>
              <w:top w:val="nil"/>
              <w:left w:val="nil"/>
              <w:bottom w:val="nil"/>
              <w:right w:val="nil"/>
            </w:tcBorders>
            <w:shd w:val="clear" w:color="auto" w:fill="FF9900"/>
            <w:noWrap/>
            <w:vAlign w:val="bottom"/>
            <w:hideMark/>
          </w:tcPr>
          <w:p w:rsidR="001E3FE2" w:rsidRPr="00576698" w:rsidRDefault="001E3FE2" w:rsidP="001244BB">
            <w:pPr>
              <w:spacing w:after="0"/>
              <w:jc w:val="center"/>
              <w:rPr>
                <w:rFonts w:cstheme="minorHAnsi"/>
                <w:b/>
                <w:color w:val="FFFFFF" w:themeColor="background1"/>
                <w:sz w:val="24"/>
                <w:szCs w:val="20"/>
              </w:rPr>
            </w:pPr>
            <w:r w:rsidRPr="00576698">
              <w:rPr>
                <w:rFonts w:cstheme="minorHAnsi"/>
                <w:b/>
                <w:color w:val="FFFFFF" w:themeColor="background1"/>
                <w:sz w:val="24"/>
                <w:szCs w:val="20"/>
              </w:rPr>
              <w:t>2</w:t>
            </w:r>
          </w:p>
        </w:tc>
        <w:tc>
          <w:tcPr>
            <w:tcW w:w="1181" w:type="dxa"/>
            <w:tcBorders>
              <w:top w:val="nil"/>
              <w:left w:val="nil"/>
              <w:bottom w:val="nil"/>
              <w:right w:val="nil"/>
            </w:tcBorders>
            <w:shd w:val="clear" w:color="auto" w:fill="FF9900"/>
            <w:noWrap/>
            <w:vAlign w:val="bottom"/>
            <w:hideMark/>
          </w:tcPr>
          <w:p w:rsidR="001E3FE2" w:rsidRPr="00576698" w:rsidRDefault="001E3FE2" w:rsidP="001244BB">
            <w:pPr>
              <w:spacing w:after="0"/>
              <w:jc w:val="center"/>
              <w:rPr>
                <w:rFonts w:cstheme="minorHAnsi"/>
                <w:b/>
                <w:color w:val="FFFFFF" w:themeColor="background1"/>
                <w:sz w:val="24"/>
                <w:szCs w:val="20"/>
              </w:rPr>
            </w:pPr>
            <w:r w:rsidRPr="00576698">
              <w:rPr>
                <w:rFonts w:cstheme="minorHAnsi"/>
                <w:b/>
                <w:color w:val="FFFFFF" w:themeColor="background1"/>
                <w:sz w:val="24"/>
                <w:szCs w:val="20"/>
              </w:rPr>
              <w:t>14</w:t>
            </w:r>
          </w:p>
        </w:tc>
        <w:tc>
          <w:tcPr>
            <w:tcW w:w="1276" w:type="dxa"/>
            <w:tcBorders>
              <w:top w:val="nil"/>
              <w:left w:val="nil"/>
              <w:bottom w:val="nil"/>
              <w:right w:val="nil"/>
            </w:tcBorders>
            <w:shd w:val="clear" w:color="auto" w:fill="FF9900"/>
            <w:noWrap/>
            <w:vAlign w:val="bottom"/>
            <w:hideMark/>
          </w:tcPr>
          <w:p w:rsidR="001E3FE2" w:rsidRPr="00576698" w:rsidRDefault="001E3FE2" w:rsidP="001244BB">
            <w:pPr>
              <w:spacing w:after="0"/>
              <w:jc w:val="center"/>
              <w:rPr>
                <w:rFonts w:cstheme="minorHAnsi"/>
                <w:b/>
                <w:color w:val="FFFFFF" w:themeColor="background1"/>
                <w:sz w:val="24"/>
                <w:szCs w:val="20"/>
              </w:rPr>
            </w:pPr>
            <w:r w:rsidRPr="00576698">
              <w:rPr>
                <w:rFonts w:cstheme="minorHAnsi"/>
                <w:b/>
                <w:color w:val="FFFFFF" w:themeColor="background1"/>
                <w:sz w:val="24"/>
                <w:szCs w:val="20"/>
              </w:rPr>
              <w:t>1</w:t>
            </w:r>
          </w:p>
        </w:tc>
        <w:tc>
          <w:tcPr>
            <w:tcW w:w="1276" w:type="dxa"/>
            <w:tcBorders>
              <w:top w:val="nil"/>
              <w:left w:val="nil"/>
              <w:bottom w:val="nil"/>
              <w:right w:val="nil"/>
            </w:tcBorders>
            <w:shd w:val="clear" w:color="auto" w:fill="FF9900"/>
            <w:noWrap/>
            <w:vAlign w:val="bottom"/>
            <w:hideMark/>
          </w:tcPr>
          <w:p w:rsidR="001E3FE2" w:rsidRPr="00576698" w:rsidRDefault="001E3FE2" w:rsidP="001244BB">
            <w:pPr>
              <w:spacing w:after="0"/>
              <w:jc w:val="center"/>
              <w:rPr>
                <w:rFonts w:cstheme="minorHAnsi"/>
                <w:b/>
                <w:color w:val="FFFFFF" w:themeColor="background1"/>
                <w:sz w:val="24"/>
                <w:szCs w:val="20"/>
              </w:rPr>
            </w:pPr>
            <w:r w:rsidRPr="00576698">
              <w:rPr>
                <w:rFonts w:cstheme="minorHAnsi"/>
                <w:b/>
                <w:color w:val="FFFFFF" w:themeColor="background1"/>
                <w:sz w:val="24"/>
                <w:szCs w:val="20"/>
              </w:rPr>
              <w:t>17</w:t>
            </w:r>
          </w:p>
        </w:tc>
      </w:tr>
    </w:tbl>
    <w:p w:rsidR="00B03442" w:rsidRPr="00D5126A" w:rsidRDefault="00B03442" w:rsidP="00B03442">
      <w:pPr>
        <w:pStyle w:val="Heading5"/>
        <w:rPr>
          <w:color w:val="FF9900"/>
        </w:rPr>
      </w:pPr>
      <w:r w:rsidRPr="00D5126A">
        <w:rPr>
          <w:color w:val="FF9900"/>
        </w:rPr>
        <w:t>Financial summary</w:t>
      </w:r>
      <w:bookmarkEnd w:id="103"/>
    </w:p>
    <w:tbl>
      <w:tblPr>
        <w:tblW w:w="5000" w:type="pct"/>
        <w:tblInd w:w="40" w:type="dxa"/>
        <w:tblCellMar>
          <w:left w:w="10" w:type="dxa"/>
          <w:right w:w="10" w:type="dxa"/>
        </w:tblCellMar>
        <w:tblLook w:val="0000" w:firstRow="0" w:lastRow="0" w:firstColumn="0" w:lastColumn="0" w:noHBand="0" w:noVBand="0"/>
      </w:tblPr>
      <w:tblGrid>
        <w:gridCol w:w="4574"/>
        <w:gridCol w:w="4575"/>
      </w:tblGrid>
      <w:tr w:rsidR="00B03442" w:rsidRPr="00D5126A" w:rsidTr="00576698">
        <w:tc>
          <w:tcPr>
            <w:tcW w:w="4574" w:type="dxa"/>
            <w:tcMar>
              <w:top w:w="40" w:type="dxa"/>
              <w:left w:w="40" w:type="dxa"/>
              <w:bottom w:w="40" w:type="dxa"/>
              <w:right w:w="40" w:type="dxa"/>
            </w:tcMar>
          </w:tcPr>
          <w:p w:rsidR="00B03442" w:rsidRPr="00D5126A" w:rsidRDefault="00B03442" w:rsidP="001244BB">
            <w:pPr>
              <w:pStyle w:val="Para001"/>
              <w:spacing w:after="0" w:line="240" w:lineRule="auto"/>
              <w:rPr>
                <w:b/>
                <w:color w:val="FF9900"/>
                <w:u w:val="single"/>
              </w:rPr>
            </w:pPr>
            <w:r w:rsidRPr="00D5126A">
              <w:rPr>
                <w:b/>
                <w:color w:val="FF9900"/>
                <w:u w:val="single"/>
              </w:rPr>
              <w:t>Net operating expenditure $000</w:t>
            </w:r>
          </w:p>
          <w:p w:rsidR="00B03442" w:rsidRPr="00D5126A" w:rsidRDefault="00B03442" w:rsidP="001244BB">
            <w:pPr>
              <w:pStyle w:val="Para001"/>
              <w:spacing w:after="0" w:line="240" w:lineRule="auto"/>
              <w:rPr>
                <w:color w:val="FF9900"/>
              </w:rPr>
            </w:pPr>
            <w:r w:rsidRPr="00D5126A">
              <w:rPr>
                <w:b/>
                <w:color w:val="FF9900"/>
              </w:rPr>
              <w:t>Actual:</w:t>
            </w:r>
            <w:r w:rsidRPr="00D5126A">
              <w:rPr>
                <w:color w:val="FF9900"/>
              </w:rPr>
              <w:t xml:space="preserve"> 20,</w:t>
            </w:r>
            <w:r w:rsidR="001E281A">
              <w:rPr>
                <w:color w:val="FF9900"/>
              </w:rPr>
              <w:t>763</w:t>
            </w:r>
          </w:p>
          <w:p w:rsidR="00B03442" w:rsidRPr="00D5126A" w:rsidRDefault="00B03442" w:rsidP="001244BB">
            <w:pPr>
              <w:pStyle w:val="Para001"/>
              <w:spacing w:after="0" w:line="240" w:lineRule="auto"/>
              <w:rPr>
                <w:b/>
                <w:color w:val="FF9900"/>
                <w:u w:val="single"/>
              </w:rPr>
            </w:pPr>
            <w:r w:rsidRPr="00D5126A">
              <w:rPr>
                <w:b/>
                <w:color w:val="FF9900"/>
              </w:rPr>
              <w:t>Budget:</w:t>
            </w:r>
            <w:r w:rsidRPr="00D5126A">
              <w:rPr>
                <w:color w:val="FF9900"/>
              </w:rPr>
              <w:t xml:space="preserve"> 21,723</w:t>
            </w:r>
          </w:p>
        </w:tc>
        <w:tc>
          <w:tcPr>
            <w:tcW w:w="4575" w:type="dxa"/>
            <w:tcMar>
              <w:top w:w="40" w:type="dxa"/>
              <w:left w:w="40" w:type="dxa"/>
              <w:bottom w:w="40" w:type="dxa"/>
              <w:right w:w="40" w:type="dxa"/>
            </w:tcMar>
          </w:tcPr>
          <w:p w:rsidR="00B03442" w:rsidRPr="00D5126A" w:rsidRDefault="00B03442" w:rsidP="001244BB">
            <w:pPr>
              <w:pStyle w:val="Para001"/>
              <w:spacing w:after="0" w:line="240" w:lineRule="auto"/>
              <w:rPr>
                <w:b/>
                <w:color w:val="FF9900"/>
                <w:u w:val="single"/>
              </w:rPr>
            </w:pPr>
            <w:r w:rsidRPr="00D5126A">
              <w:rPr>
                <w:b/>
                <w:color w:val="FF9900"/>
                <w:u w:val="single"/>
              </w:rPr>
              <w:t>Capital expenditure $000</w:t>
            </w:r>
          </w:p>
          <w:p w:rsidR="00B03442" w:rsidRPr="00D5126A" w:rsidRDefault="00B03442" w:rsidP="001244BB">
            <w:pPr>
              <w:pStyle w:val="Para001"/>
              <w:spacing w:after="0" w:line="240" w:lineRule="auto"/>
              <w:rPr>
                <w:color w:val="FF9900"/>
              </w:rPr>
            </w:pPr>
            <w:r w:rsidRPr="00D5126A">
              <w:rPr>
                <w:b/>
                <w:color w:val="FF9900"/>
              </w:rPr>
              <w:t>Actual:</w:t>
            </w:r>
            <w:r w:rsidRPr="00D5126A">
              <w:rPr>
                <w:color w:val="FF9900"/>
              </w:rPr>
              <w:t xml:space="preserve"> 738</w:t>
            </w:r>
          </w:p>
          <w:p w:rsidR="00B03442" w:rsidRDefault="00B03442" w:rsidP="001244BB">
            <w:pPr>
              <w:pStyle w:val="NoSpacing"/>
              <w:rPr>
                <w:rFonts w:ascii="Arial" w:hAnsi="Arial" w:cs="Arial"/>
                <w:bCs/>
                <w:color w:val="FF9900"/>
                <w:szCs w:val="20"/>
              </w:rPr>
            </w:pPr>
            <w:r w:rsidRPr="00D5126A">
              <w:rPr>
                <w:b/>
                <w:color w:val="FF9900"/>
              </w:rPr>
              <w:t>Budget:</w:t>
            </w:r>
            <w:r w:rsidRPr="00D5126A">
              <w:rPr>
                <w:color w:val="FF9900"/>
              </w:rPr>
              <w:t xml:space="preserve"> </w:t>
            </w:r>
            <w:r w:rsidRPr="00D5126A">
              <w:rPr>
                <w:rFonts w:ascii="Arial" w:hAnsi="Arial" w:cs="Arial"/>
                <w:bCs/>
                <w:color w:val="FF9900"/>
                <w:szCs w:val="20"/>
              </w:rPr>
              <w:t>3,357</w:t>
            </w:r>
          </w:p>
          <w:p w:rsidR="006D6061" w:rsidRPr="00D5126A" w:rsidRDefault="006D6061" w:rsidP="001244BB">
            <w:pPr>
              <w:pStyle w:val="NoSpacing"/>
              <w:rPr>
                <w:rFonts w:ascii="Arial" w:hAnsi="Arial" w:cs="Arial"/>
                <w:bCs/>
                <w:color w:val="FF9900"/>
                <w:szCs w:val="20"/>
              </w:rPr>
            </w:pPr>
            <w:r w:rsidRPr="00576698">
              <w:rPr>
                <w:rFonts w:ascii="Arial" w:hAnsi="Arial" w:cs="Arial"/>
                <w:b/>
                <w:bCs/>
                <w:color w:val="FF9900"/>
                <w:szCs w:val="20"/>
              </w:rPr>
              <w:t>Revised budget:</w:t>
            </w:r>
            <w:r>
              <w:rPr>
                <w:rFonts w:ascii="Arial" w:hAnsi="Arial" w:cs="Arial"/>
                <w:bCs/>
                <w:color w:val="FF9900"/>
                <w:szCs w:val="20"/>
              </w:rPr>
              <w:t xml:space="preserve"> 3,650</w:t>
            </w:r>
          </w:p>
        </w:tc>
      </w:tr>
    </w:tbl>
    <w:p w:rsidR="00B03442" w:rsidRPr="00D5126A" w:rsidRDefault="00B03442" w:rsidP="00B03442">
      <w:pPr>
        <w:pStyle w:val="Heading4"/>
        <w:rPr>
          <w:color w:val="FF3399"/>
        </w:rPr>
      </w:pPr>
      <w:bookmarkStart w:id="104" w:name="_Toc14178529"/>
      <w:r w:rsidRPr="00D5126A">
        <w:rPr>
          <w:color w:val="FF3399"/>
        </w:rPr>
        <w:t xml:space="preserve">Oranga ahurea - Cultural </w:t>
      </w:r>
      <w:bookmarkEnd w:id="104"/>
      <w:r w:rsidR="004C5071">
        <w:rPr>
          <w:color w:val="FF3399"/>
        </w:rPr>
        <w:t>w</w:t>
      </w:r>
      <w:r w:rsidR="004C5071" w:rsidRPr="00D5126A">
        <w:rPr>
          <w:color w:val="FF3399"/>
        </w:rPr>
        <w:t>ellbeing</w:t>
      </w:r>
    </w:p>
    <w:p w:rsidR="00B03442" w:rsidRPr="00D5126A" w:rsidRDefault="00B03442" w:rsidP="00B03442">
      <w:bookmarkStart w:id="105" w:name="_Toc11828916"/>
      <w:r w:rsidRPr="00D5126A">
        <w:t>Over the past year, we focused on strengthening our buildings and our cultural programme. Strengthening of the St James Theatre and Town Hall is under</w:t>
      </w:r>
      <w:r w:rsidR="004C5071">
        <w:t xml:space="preserve"> </w:t>
      </w:r>
      <w:r w:rsidRPr="00D5126A">
        <w:t xml:space="preserve">way, and despite these closures we had an increase in performers and attendees at Council supported events in Venues Wellington locations. </w:t>
      </w:r>
    </w:p>
    <w:p w:rsidR="00B03442" w:rsidRPr="00D5126A" w:rsidRDefault="00B03442" w:rsidP="00B03442">
      <w:r w:rsidRPr="00D5126A">
        <w:t xml:space="preserve">We developed and delivered city events and festivals such as A Very Welly Christmas Festival, Ahi Kā, Sky Show, Gardens’ Magic, Te Rā o Waitangi, Pasifika Festival and Re-Cut. We also commissioned nine new murals in the city as part of the PakiTara-toi Art on Walls initiative. </w:t>
      </w:r>
    </w:p>
    <w:p w:rsidR="00B03442" w:rsidRPr="00D5126A" w:rsidRDefault="00B03442" w:rsidP="00B03442">
      <w:pPr>
        <w:rPr>
          <w:rFonts w:eastAsia="Times New Roman"/>
        </w:rPr>
      </w:pPr>
      <w:r w:rsidRPr="00D5126A">
        <w:rPr>
          <w:rFonts w:eastAsia="Times New Roman"/>
        </w:rPr>
        <w:lastRenderedPageBreak/>
        <w:t>The Wellington Museums Trust (Experience Wellington) delivered 564 experiences including 25 exhibitions, and 17 theatre shows, four of which went on national tours.</w:t>
      </w:r>
    </w:p>
    <w:p w:rsidR="00B03442" w:rsidRPr="00D5126A" w:rsidRDefault="00B03442" w:rsidP="00B03442">
      <w:pPr>
        <w:pStyle w:val="Heading5"/>
      </w:pPr>
      <w:r w:rsidRPr="00D5126A">
        <w:t>Performance summary</w:t>
      </w:r>
    </w:p>
    <w:tbl>
      <w:tblPr>
        <w:tblW w:w="8175" w:type="dxa"/>
        <w:tblInd w:w="108" w:type="dxa"/>
        <w:tblLayout w:type="fixed"/>
        <w:tblLook w:val="04A0" w:firstRow="1" w:lastRow="0" w:firstColumn="1" w:lastColumn="0" w:noHBand="0" w:noVBand="1"/>
      </w:tblPr>
      <w:tblGrid>
        <w:gridCol w:w="3261"/>
        <w:gridCol w:w="1181"/>
        <w:gridCol w:w="1181"/>
        <w:gridCol w:w="1276"/>
        <w:gridCol w:w="1276"/>
      </w:tblGrid>
      <w:tr w:rsidR="001E3FE2" w:rsidRPr="00D5126A" w:rsidTr="00E741D5">
        <w:trPr>
          <w:trHeight w:val="573"/>
        </w:trPr>
        <w:tc>
          <w:tcPr>
            <w:tcW w:w="3261" w:type="dxa"/>
            <w:tcBorders>
              <w:top w:val="nil"/>
              <w:left w:val="nil"/>
              <w:bottom w:val="nil"/>
              <w:right w:val="nil"/>
            </w:tcBorders>
            <w:shd w:val="clear" w:color="auto" w:fill="auto"/>
            <w:noWrap/>
            <w:vAlign w:val="center"/>
            <w:hideMark/>
          </w:tcPr>
          <w:p w:rsidR="001E3FE2" w:rsidRPr="00D5126A" w:rsidRDefault="001E3FE2" w:rsidP="001244BB">
            <w:pPr>
              <w:spacing w:after="0" w:line="240" w:lineRule="auto"/>
              <w:jc w:val="center"/>
              <w:rPr>
                <w:rFonts w:eastAsia="Times New Roman" w:cstheme="minorHAnsi"/>
                <w:color w:val="000000"/>
                <w:sz w:val="20"/>
                <w:szCs w:val="20"/>
                <w:lang w:eastAsia="en-NZ"/>
              </w:rPr>
            </w:pPr>
          </w:p>
        </w:tc>
        <w:tc>
          <w:tcPr>
            <w:tcW w:w="1181" w:type="dxa"/>
            <w:tcBorders>
              <w:top w:val="nil"/>
              <w:left w:val="nil"/>
              <w:bottom w:val="nil"/>
              <w:right w:val="nil"/>
            </w:tcBorders>
            <w:shd w:val="clear" w:color="auto" w:fill="auto"/>
            <w:noWrap/>
            <w:vAlign w:val="center"/>
            <w:hideMark/>
          </w:tcPr>
          <w:p w:rsidR="001E3FE2" w:rsidRPr="00D5126A" w:rsidRDefault="001E3FE2" w:rsidP="0035318B">
            <w:pPr>
              <w:spacing w:after="0" w:line="240" w:lineRule="auto"/>
              <w:jc w:val="center"/>
              <w:rPr>
                <w:rFonts w:ascii="Arial" w:eastAsia="Times New Roman" w:hAnsi="Arial" w:cs="Arial"/>
                <w:i/>
                <w:color w:val="000000"/>
                <w:szCs w:val="20"/>
                <w:lang w:eastAsia="en-NZ"/>
              </w:rPr>
            </w:pPr>
            <w:r w:rsidRPr="00D5126A">
              <w:rPr>
                <w:rFonts w:ascii="Arial" w:eastAsia="Times New Roman" w:hAnsi="Arial" w:cs="Arial"/>
                <w:i/>
                <w:iCs/>
                <w:color w:val="000000"/>
                <w:szCs w:val="20"/>
                <w:lang w:eastAsia="en-NZ"/>
              </w:rPr>
              <w:t>Not met</w:t>
            </w:r>
          </w:p>
        </w:tc>
        <w:tc>
          <w:tcPr>
            <w:tcW w:w="1181" w:type="dxa"/>
            <w:tcBorders>
              <w:top w:val="nil"/>
              <w:left w:val="nil"/>
              <w:bottom w:val="nil"/>
              <w:right w:val="nil"/>
            </w:tcBorders>
            <w:shd w:val="clear" w:color="auto" w:fill="auto"/>
            <w:noWrap/>
            <w:vAlign w:val="center"/>
            <w:hideMark/>
          </w:tcPr>
          <w:p w:rsidR="001E3FE2" w:rsidRPr="00D5126A" w:rsidRDefault="001E3FE2" w:rsidP="0035318B">
            <w:pPr>
              <w:spacing w:after="0" w:line="240" w:lineRule="auto"/>
              <w:jc w:val="center"/>
              <w:rPr>
                <w:rFonts w:ascii="Arial" w:eastAsia="Times New Roman" w:hAnsi="Arial" w:cs="Arial"/>
                <w:i/>
                <w:color w:val="000000"/>
                <w:szCs w:val="20"/>
                <w:lang w:eastAsia="en-NZ"/>
              </w:rPr>
            </w:pPr>
            <w:r>
              <w:rPr>
                <w:rFonts w:ascii="Arial" w:eastAsia="Times New Roman" w:hAnsi="Arial" w:cs="Arial"/>
                <w:i/>
                <w:color w:val="000000"/>
                <w:szCs w:val="20"/>
                <w:lang w:eastAsia="en-NZ"/>
              </w:rPr>
              <w:t>Within 10%</w:t>
            </w:r>
          </w:p>
        </w:tc>
        <w:tc>
          <w:tcPr>
            <w:tcW w:w="1276" w:type="dxa"/>
            <w:tcBorders>
              <w:top w:val="nil"/>
              <w:left w:val="nil"/>
              <w:bottom w:val="nil"/>
              <w:right w:val="nil"/>
            </w:tcBorders>
            <w:shd w:val="clear" w:color="auto" w:fill="auto"/>
            <w:noWrap/>
            <w:vAlign w:val="center"/>
            <w:hideMark/>
          </w:tcPr>
          <w:p w:rsidR="001E3FE2" w:rsidRPr="00D5126A" w:rsidRDefault="001E3FE2" w:rsidP="0035318B">
            <w:pPr>
              <w:spacing w:after="0" w:line="240" w:lineRule="auto"/>
              <w:jc w:val="center"/>
              <w:rPr>
                <w:rFonts w:ascii="Arial" w:eastAsia="Times New Roman" w:hAnsi="Arial" w:cs="Arial"/>
                <w:i/>
                <w:color w:val="000000"/>
                <w:szCs w:val="20"/>
                <w:lang w:eastAsia="en-NZ"/>
              </w:rPr>
            </w:pPr>
            <w:r w:rsidRPr="00D5126A">
              <w:rPr>
                <w:rFonts w:ascii="Arial" w:eastAsia="Times New Roman" w:hAnsi="Arial" w:cs="Arial"/>
                <w:i/>
                <w:iCs/>
                <w:color w:val="000000"/>
                <w:szCs w:val="20"/>
                <w:lang w:eastAsia="en-NZ"/>
              </w:rPr>
              <w:t>Exceeded</w:t>
            </w:r>
          </w:p>
        </w:tc>
        <w:tc>
          <w:tcPr>
            <w:tcW w:w="1276" w:type="dxa"/>
            <w:tcBorders>
              <w:top w:val="nil"/>
              <w:left w:val="nil"/>
              <w:bottom w:val="nil"/>
              <w:right w:val="nil"/>
            </w:tcBorders>
            <w:shd w:val="clear" w:color="auto" w:fill="auto"/>
            <w:vAlign w:val="center"/>
          </w:tcPr>
          <w:p w:rsidR="001E3FE2" w:rsidRPr="00D5126A" w:rsidRDefault="001E3FE2" w:rsidP="001244BB">
            <w:pPr>
              <w:spacing w:after="0" w:line="240" w:lineRule="auto"/>
              <w:jc w:val="center"/>
              <w:rPr>
                <w:rFonts w:eastAsia="Times New Roman" w:cstheme="minorHAnsi"/>
                <w:color w:val="000000"/>
                <w:szCs w:val="20"/>
                <w:lang w:eastAsia="en-NZ"/>
              </w:rPr>
            </w:pPr>
            <w:r w:rsidRPr="00D5126A">
              <w:rPr>
                <w:rFonts w:eastAsia="Times New Roman" w:cstheme="minorHAnsi"/>
                <w:color w:val="000000"/>
                <w:szCs w:val="20"/>
                <w:lang w:eastAsia="en-NZ"/>
              </w:rPr>
              <w:t>Total measures</w:t>
            </w:r>
          </w:p>
        </w:tc>
      </w:tr>
      <w:tr w:rsidR="001E3FE2" w:rsidRPr="00D5126A" w:rsidTr="00E741D5">
        <w:trPr>
          <w:trHeight w:val="255"/>
        </w:trPr>
        <w:tc>
          <w:tcPr>
            <w:tcW w:w="3261" w:type="dxa"/>
            <w:tcBorders>
              <w:top w:val="nil"/>
              <w:left w:val="nil"/>
              <w:bottom w:val="nil"/>
              <w:right w:val="nil"/>
            </w:tcBorders>
            <w:shd w:val="clear" w:color="auto" w:fill="FF3399"/>
            <w:noWrap/>
            <w:vAlign w:val="bottom"/>
            <w:hideMark/>
          </w:tcPr>
          <w:p w:rsidR="001E3FE2" w:rsidRPr="00D5126A" w:rsidRDefault="001E3FE2" w:rsidP="001244BB">
            <w:pPr>
              <w:spacing w:after="0"/>
              <w:rPr>
                <w:rFonts w:cstheme="minorHAnsi"/>
                <w:b/>
                <w:bCs/>
                <w:color w:val="FFFFFF" w:themeColor="background1"/>
                <w:szCs w:val="20"/>
              </w:rPr>
            </w:pPr>
            <w:r w:rsidRPr="00D5126A">
              <w:rPr>
                <w:rFonts w:cstheme="minorHAnsi"/>
                <w:b/>
                <w:bCs/>
                <w:color w:val="FFFFFF" w:themeColor="background1"/>
                <w:szCs w:val="20"/>
              </w:rPr>
              <w:t>Oranga ahurea – Cultural wellbeing</w:t>
            </w:r>
          </w:p>
        </w:tc>
        <w:tc>
          <w:tcPr>
            <w:tcW w:w="1181" w:type="dxa"/>
            <w:tcBorders>
              <w:top w:val="nil"/>
              <w:left w:val="nil"/>
              <w:bottom w:val="nil"/>
              <w:right w:val="nil"/>
            </w:tcBorders>
            <w:shd w:val="clear" w:color="auto" w:fill="FF3399"/>
            <w:noWrap/>
            <w:vAlign w:val="center"/>
          </w:tcPr>
          <w:p w:rsidR="001E3FE2" w:rsidRPr="00D5126A" w:rsidRDefault="001E3FE2" w:rsidP="001244BB">
            <w:pPr>
              <w:spacing w:after="0"/>
              <w:jc w:val="center"/>
              <w:rPr>
                <w:rFonts w:cstheme="minorHAnsi"/>
                <w:b/>
                <w:color w:val="FFFFFF" w:themeColor="background1"/>
                <w:sz w:val="24"/>
                <w:szCs w:val="20"/>
              </w:rPr>
            </w:pPr>
            <w:r w:rsidRPr="00D5126A">
              <w:rPr>
                <w:rFonts w:cstheme="minorHAnsi"/>
                <w:b/>
                <w:color w:val="FFFFFF" w:themeColor="background1"/>
                <w:sz w:val="24"/>
                <w:szCs w:val="20"/>
              </w:rPr>
              <w:t>1</w:t>
            </w:r>
          </w:p>
        </w:tc>
        <w:tc>
          <w:tcPr>
            <w:tcW w:w="1181" w:type="dxa"/>
            <w:tcBorders>
              <w:top w:val="nil"/>
              <w:left w:val="nil"/>
              <w:bottom w:val="nil"/>
              <w:right w:val="nil"/>
            </w:tcBorders>
            <w:shd w:val="clear" w:color="auto" w:fill="FF3399"/>
            <w:noWrap/>
            <w:vAlign w:val="center"/>
          </w:tcPr>
          <w:p w:rsidR="001E3FE2" w:rsidRPr="00D5126A" w:rsidRDefault="001E3FE2" w:rsidP="001244BB">
            <w:pPr>
              <w:spacing w:after="0"/>
              <w:jc w:val="center"/>
              <w:rPr>
                <w:rFonts w:cstheme="minorHAnsi"/>
                <w:b/>
                <w:color w:val="FFFFFF" w:themeColor="background1"/>
                <w:sz w:val="24"/>
                <w:szCs w:val="20"/>
              </w:rPr>
            </w:pPr>
            <w:r>
              <w:rPr>
                <w:rFonts w:cstheme="minorHAnsi"/>
                <w:b/>
                <w:color w:val="FFFFFF" w:themeColor="background1"/>
                <w:sz w:val="24"/>
                <w:szCs w:val="20"/>
              </w:rPr>
              <w:t>13</w:t>
            </w:r>
          </w:p>
        </w:tc>
        <w:tc>
          <w:tcPr>
            <w:tcW w:w="1276" w:type="dxa"/>
            <w:tcBorders>
              <w:top w:val="nil"/>
              <w:left w:val="nil"/>
              <w:bottom w:val="nil"/>
              <w:right w:val="nil"/>
            </w:tcBorders>
            <w:shd w:val="clear" w:color="auto" w:fill="FF3399"/>
            <w:noWrap/>
            <w:vAlign w:val="center"/>
          </w:tcPr>
          <w:p w:rsidR="001E3FE2" w:rsidRPr="00D5126A" w:rsidRDefault="001E3FE2" w:rsidP="001244BB">
            <w:pPr>
              <w:spacing w:after="0"/>
              <w:jc w:val="center"/>
              <w:rPr>
                <w:rFonts w:cstheme="minorHAnsi"/>
                <w:b/>
                <w:color w:val="FFFFFF" w:themeColor="background1"/>
                <w:sz w:val="24"/>
                <w:szCs w:val="20"/>
              </w:rPr>
            </w:pPr>
            <w:r w:rsidRPr="00D5126A">
              <w:rPr>
                <w:rFonts w:cstheme="minorHAnsi"/>
                <w:b/>
                <w:color w:val="FFFFFF" w:themeColor="background1"/>
                <w:sz w:val="24"/>
                <w:szCs w:val="20"/>
              </w:rPr>
              <w:t>2</w:t>
            </w:r>
          </w:p>
        </w:tc>
        <w:tc>
          <w:tcPr>
            <w:tcW w:w="1276" w:type="dxa"/>
            <w:tcBorders>
              <w:top w:val="nil"/>
              <w:left w:val="nil"/>
              <w:bottom w:val="nil"/>
              <w:right w:val="nil"/>
            </w:tcBorders>
            <w:shd w:val="clear" w:color="auto" w:fill="FF3399"/>
            <w:noWrap/>
            <w:vAlign w:val="center"/>
          </w:tcPr>
          <w:p w:rsidR="001E3FE2" w:rsidRPr="00D5126A" w:rsidRDefault="001E3FE2" w:rsidP="001244BB">
            <w:pPr>
              <w:spacing w:after="0"/>
              <w:jc w:val="center"/>
              <w:rPr>
                <w:rFonts w:cstheme="minorHAnsi"/>
                <w:b/>
                <w:color w:val="FFFFFF" w:themeColor="background1"/>
                <w:sz w:val="24"/>
                <w:szCs w:val="20"/>
              </w:rPr>
            </w:pPr>
            <w:r w:rsidRPr="00D5126A">
              <w:rPr>
                <w:rFonts w:cstheme="minorHAnsi"/>
                <w:b/>
                <w:color w:val="FFFFFF" w:themeColor="background1"/>
                <w:sz w:val="24"/>
                <w:szCs w:val="20"/>
              </w:rPr>
              <w:t>16</w:t>
            </w:r>
          </w:p>
        </w:tc>
      </w:tr>
    </w:tbl>
    <w:p w:rsidR="00B03442" w:rsidRPr="00D5126A" w:rsidRDefault="00B03442" w:rsidP="00B03442">
      <w:pPr>
        <w:pStyle w:val="Heading5"/>
        <w:rPr>
          <w:color w:val="FF3399"/>
        </w:rPr>
      </w:pPr>
      <w:r w:rsidRPr="00D5126A">
        <w:rPr>
          <w:color w:val="FF3399"/>
        </w:rPr>
        <w:t>Financial summary</w:t>
      </w:r>
      <w:bookmarkEnd w:id="105"/>
    </w:p>
    <w:tbl>
      <w:tblPr>
        <w:tblW w:w="5000" w:type="pct"/>
        <w:tblInd w:w="40" w:type="dxa"/>
        <w:tblCellMar>
          <w:left w:w="10" w:type="dxa"/>
          <w:right w:w="10" w:type="dxa"/>
        </w:tblCellMar>
        <w:tblLook w:val="0000" w:firstRow="0" w:lastRow="0" w:firstColumn="0" w:lastColumn="0" w:noHBand="0" w:noVBand="0"/>
      </w:tblPr>
      <w:tblGrid>
        <w:gridCol w:w="5093"/>
        <w:gridCol w:w="4056"/>
      </w:tblGrid>
      <w:tr w:rsidR="00B03442" w:rsidRPr="00D5126A" w:rsidTr="001244BB">
        <w:tc>
          <w:tcPr>
            <w:tcW w:w="0" w:type="auto"/>
            <w:tcMar>
              <w:top w:w="40" w:type="dxa"/>
              <w:left w:w="40" w:type="dxa"/>
              <w:bottom w:w="40" w:type="dxa"/>
              <w:right w:w="40" w:type="dxa"/>
            </w:tcMar>
          </w:tcPr>
          <w:p w:rsidR="00B03442" w:rsidRPr="00D5126A" w:rsidRDefault="00B03442" w:rsidP="001244BB">
            <w:pPr>
              <w:pStyle w:val="Para001"/>
              <w:spacing w:after="0" w:line="240" w:lineRule="auto"/>
              <w:rPr>
                <w:b/>
                <w:color w:val="FF3399"/>
                <w:u w:val="single"/>
              </w:rPr>
            </w:pPr>
            <w:r w:rsidRPr="00D5126A">
              <w:rPr>
                <w:b/>
                <w:color w:val="FF3399"/>
                <w:u w:val="single"/>
              </w:rPr>
              <w:t>Net operating expenditure $000</w:t>
            </w:r>
          </w:p>
          <w:p w:rsidR="00B03442" w:rsidRPr="00D5126A" w:rsidRDefault="00B03442" w:rsidP="001244BB">
            <w:pPr>
              <w:pStyle w:val="Para001"/>
              <w:spacing w:after="0" w:line="240" w:lineRule="auto"/>
              <w:rPr>
                <w:color w:val="FF3399"/>
              </w:rPr>
            </w:pPr>
            <w:r w:rsidRPr="00D5126A">
              <w:rPr>
                <w:b/>
                <w:color w:val="FF3399"/>
              </w:rPr>
              <w:t>Actual:</w:t>
            </w:r>
            <w:r w:rsidRPr="00D5126A">
              <w:rPr>
                <w:color w:val="FF3399"/>
              </w:rPr>
              <w:t xml:space="preserve"> 22,457</w:t>
            </w:r>
          </w:p>
          <w:p w:rsidR="00B03442" w:rsidRPr="00D5126A" w:rsidRDefault="00B03442" w:rsidP="001244BB">
            <w:pPr>
              <w:pStyle w:val="Para001"/>
              <w:spacing w:after="0" w:line="240" w:lineRule="auto"/>
              <w:rPr>
                <w:b/>
                <w:color w:val="FF3399"/>
                <w:u w:val="single"/>
              </w:rPr>
            </w:pPr>
            <w:r w:rsidRPr="00D5126A">
              <w:rPr>
                <w:b/>
                <w:color w:val="FF3399"/>
              </w:rPr>
              <w:t>Budget:</w:t>
            </w:r>
            <w:r w:rsidRPr="00D5126A">
              <w:rPr>
                <w:color w:val="FF3399"/>
              </w:rPr>
              <w:t xml:space="preserve"> 21,740</w:t>
            </w:r>
          </w:p>
        </w:tc>
        <w:tc>
          <w:tcPr>
            <w:tcW w:w="0" w:type="auto"/>
            <w:tcMar>
              <w:top w:w="40" w:type="dxa"/>
              <w:left w:w="40" w:type="dxa"/>
              <w:bottom w:w="40" w:type="dxa"/>
              <w:right w:w="40" w:type="dxa"/>
            </w:tcMar>
          </w:tcPr>
          <w:p w:rsidR="00B03442" w:rsidRPr="00D5126A" w:rsidRDefault="00B03442" w:rsidP="001244BB">
            <w:pPr>
              <w:pStyle w:val="Para001"/>
              <w:spacing w:after="0" w:line="240" w:lineRule="auto"/>
              <w:rPr>
                <w:b/>
                <w:color w:val="FF3399"/>
                <w:u w:val="single"/>
              </w:rPr>
            </w:pPr>
            <w:r w:rsidRPr="00D5126A">
              <w:rPr>
                <w:b/>
                <w:color w:val="FF3399"/>
                <w:u w:val="single"/>
              </w:rPr>
              <w:t>Capital expenditure $000</w:t>
            </w:r>
          </w:p>
          <w:p w:rsidR="00B03442" w:rsidRPr="00D5126A" w:rsidRDefault="00B03442" w:rsidP="001244BB">
            <w:pPr>
              <w:pStyle w:val="Para001"/>
              <w:spacing w:after="0" w:line="240" w:lineRule="auto"/>
              <w:rPr>
                <w:color w:val="FF3399"/>
              </w:rPr>
            </w:pPr>
            <w:r w:rsidRPr="00D5126A">
              <w:rPr>
                <w:b/>
                <w:color w:val="FF3399"/>
              </w:rPr>
              <w:t>Actual:</w:t>
            </w:r>
            <w:r w:rsidRPr="00D5126A">
              <w:rPr>
                <w:color w:val="FF3399"/>
              </w:rPr>
              <w:t xml:space="preserve"> </w:t>
            </w:r>
            <w:r w:rsidRPr="00D5126A">
              <w:rPr>
                <w:rFonts w:ascii="Arial" w:hAnsi="Arial" w:cs="Arial"/>
                <w:bCs/>
                <w:color w:val="FF3399"/>
                <w:szCs w:val="20"/>
              </w:rPr>
              <w:t>4,145</w:t>
            </w:r>
          </w:p>
          <w:p w:rsidR="00B03442" w:rsidRDefault="00B03442" w:rsidP="001244BB">
            <w:pPr>
              <w:pStyle w:val="NoSpacing"/>
              <w:rPr>
                <w:color w:val="FF3399"/>
              </w:rPr>
            </w:pPr>
            <w:r w:rsidRPr="00D5126A">
              <w:rPr>
                <w:b/>
                <w:color w:val="FF3399"/>
              </w:rPr>
              <w:t>Budget:</w:t>
            </w:r>
            <w:r w:rsidRPr="00D5126A">
              <w:rPr>
                <w:color w:val="FF3399"/>
              </w:rPr>
              <w:t xml:space="preserve"> 906</w:t>
            </w:r>
          </w:p>
          <w:p w:rsidR="006D6061" w:rsidRPr="00D5126A" w:rsidRDefault="006D6061" w:rsidP="001244BB">
            <w:pPr>
              <w:pStyle w:val="NoSpacing"/>
              <w:rPr>
                <w:rFonts w:ascii="Arial" w:hAnsi="Arial" w:cs="Arial"/>
                <w:bCs/>
                <w:color w:val="FF3399"/>
                <w:szCs w:val="20"/>
              </w:rPr>
            </w:pPr>
            <w:r w:rsidRPr="00576698">
              <w:rPr>
                <w:b/>
                <w:color w:val="FF3399"/>
              </w:rPr>
              <w:t xml:space="preserve">Revised budget: </w:t>
            </w:r>
            <w:r>
              <w:rPr>
                <w:color w:val="FF3399"/>
              </w:rPr>
              <w:t>1,801</w:t>
            </w:r>
          </w:p>
        </w:tc>
      </w:tr>
    </w:tbl>
    <w:p w:rsidR="00B03442" w:rsidRPr="00D5126A" w:rsidRDefault="00B03442" w:rsidP="00B03442">
      <w:pPr>
        <w:pStyle w:val="Heading4"/>
        <w:rPr>
          <w:color w:val="009999"/>
        </w:rPr>
      </w:pPr>
      <w:bookmarkStart w:id="106" w:name="_Toc14178530"/>
      <w:r w:rsidRPr="00D5126A">
        <w:rPr>
          <w:color w:val="009999"/>
        </w:rPr>
        <w:t xml:space="preserve">Kaupapa Pāpori me ngā Mahi a Rēhia - Social and </w:t>
      </w:r>
      <w:bookmarkEnd w:id="106"/>
      <w:r w:rsidR="004C5071">
        <w:rPr>
          <w:color w:val="009999"/>
        </w:rPr>
        <w:t>r</w:t>
      </w:r>
      <w:r w:rsidR="004C5071" w:rsidRPr="00D5126A">
        <w:rPr>
          <w:color w:val="009999"/>
        </w:rPr>
        <w:t>ecreation</w:t>
      </w:r>
    </w:p>
    <w:p w:rsidR="00B03442" w:rsidRPr="00D5126A" w:rsidRDefault="00B03442" w:rsidP="00B03442">
      <w:bookmarkStart w:id="107" w:name="_Toc11828918"/>
      <w:r w:rsidRPr="00D5126A">
        <w:t>The number of visits to Council swimming pools and recreation centres increased this year</w:t>
      </w:r>
      <w:r w:rsidR="00D57A17">
        <w:t>,</w:t>
      </w:r>
      <w:r w:rsidRPr="00D5126A">
        <w:t xml:space="preserve"> with the ASB Sports Centre welcoming its five millionth </w:t>
      </w:r>
      <w:proofErr w:type="gramStart"/>
      <w:r w:rsidRPr="00D5126A">
        <w:t>visitor</w:t>
      </w:r>
      <w:proofErr w:type="gramEnd"/>
      <w:r w:rsidRPr="00D5126A">
        <w:t xml:space="preserve"> since opening in 2011. Work started on the Renouf Tennis Centre and Basin Reserve Museum Stand redevelopments, Tawa Pool was upgraded and we demolished the old Lyall Bay Surf Club building. </w:t>
      </w:r>
    </w:p>
    <w:p w:rsidR="00B03442" w:rsidRPr="00D5126A" w:rsidRDefault="00B03442" w:rsidP="00B03442">
      <w:pPr>
        <w:rPr>
          <w:rFonts w:eastAsia="Times New Roman"/>
        </w:rPr>
      </w:pPr>
      <w:r w:rsidRPr="00D5126A">
        <w:rPr>
          <w:rFonts w:eastAsia="Times New Roman"/>
        </w:rPr>
        <w:t>However, this year the Central Library was closed on 19 March because of engineering advice about how the building would perform in the event of a significant earthquake. This meant a decrease in the physical visits to our libraries, but an increase in online visits.</w:t>
      </w:r>
    </w:p>
    <w:p w:rsidR="00B03442" w:rsidRPr="00D5126A" w:rsidRDefault="00B03442" w:rsidP="00B03442">
      <w:r w:rsidRPr="00D5126A">
        <w:rPr>
          <w:rFonts w:eastAsia="Times New Roman"/>
        </w:rPr>
        <w:t>We have also continued to advance the Te Mahana strategy to end homelessness by supporting a range of services and responses, including the Housing First programmes now active in Wellington.</w:t>
      </w:r>
    </w:p>
    <w:p w:rsidR="00B03442" w:rsidRPr="00D5126A" w:rsidRDefault="00B03442" w:rsidP="00B03442">
      <w:pPr>
        <w:pStyle w:val="Heading5"/>
      </w:pPr>
      <w:r w:rsidRPr="00D5126A">
        <w:t>Performance summary</w:t>
      </w:r>
    </w:p>
    <w:tbl>
      <w:tblPr>
        <w:tblW w:w="9073" w:type="dxa"/>
        <w:tblInd w:w="108" w:type="dxa"/>
        <w:tblLayout w:type="fixed"/>
        <w:tblLook w:val="04A0" w:firstRow="1" w:lastRow="0" w:firstColumn="1" w:lastColumn="0" w:noHBand="0" w:noVBand="1"/>
      </w:tblPr>
      <w:tblGrid>
        <w:gridCol w:w="3544"/>
        <w:gridCol w:w="992"/>
        <w:gridCol w:w="851"/>
        <w:gridCol w:w="1276"/>
        <w:gridCol w:w="1134"/>
        <w:gridCol w:w="1276"/>
      </w:tblGrid>
      <w:tr w:rsidR="001E3FE2" w:rsidRPr="00D5126A" w:rsidTr="00906B94">
        <w:trPr>
          <w:trHeight w:val="609"/>
        </w:trPr>
        <w:tc>
          <w:tcPr>
            <w:tcW w:w="3544" w:type="dxa"/>
            <w:tcBorders>
              <w:top w:val="nil"/>
              <w:left w:val="nil"/>
              <w:bottom w:val="nil"/>
              <w:right w:val="nil"/>
            </w:tcBorders>
            <w:shd w:val="clear" w:color="auto" w:fill="auto"/>
            <w:noWrap/>
            <w:vAlign w:val="center"/>
            <w:hideMark/>
          </w:tcPr>
          <w:p w:rsidR="001E3FE2" w:rsidRPr="00D5126A" w:rsidRDefault="001E3FE2" w:rsidP="001244BB">
            <w:pPr>
              <w:spacing w:after="0" w:line="240" w:lineRule="auto"/>
              <w:ind w:left="33" w:hanging="33"/>
              <w:jc w:val="center"/>
              <w:rPr>
                <w:rFonts w:eastAsia="Times New Roman" w:cstheme="minorHAnsi"/>
                <w:color w:val="000000"/>
                <w:sz w:val="20"/>
                <w:szCs w:val="20"/>
                <w:lang w:eastAsia="en-NZ"/>
              </w:rPr>
            </w:pPr>
          </w:p>
        </w:tc>
        <w:tc>
          <w:tcPr>
            <w:tcW w:w="992" w:type="dxa"/>
            <w:tcBorders>
              <w:top w:val="nil"/>
              <w:left w:val="nil"/>
              <w:bottom w:val="nil"/>
              <w:right w:val="nil"/>
            </w:tcBorders>
            <w:shd w:val="clear" w:color="auto" w:fill="auto"/>
            <w:noWrap/>
            <w:vAlign w:val="center"/>
            <w:hideMark/>
          </w:tcPr>
          <w:p w:rsidR="001E3FE2" w:rsidRPr="00D5126A" w:rsidRDefault="001E3FE2" w:rsidP="0035318B">
            <w:pPr>
              <w:spacing w:after="0" w:line="240" w:lineRule="auto"/>
              <w:jc w:val="center"/>
              <w:rPr>
                <w:rFonts w:ascii="Arial" w:eastAsia="Times New Roman" w:hAnsi="Arial" w:cs="Arial"/>
                <w:i/>
                <w:color w:val="000000"/>
                <w:lang w:eastAsia="en-NZ"/>
              </w:rPr>
            </w:pPr>
            <w:r w:rsidRPr="00D5126A">
              <w:rPr>
                <w:rFonts w:ascii="Arial" w:eastAsia="Times New Roman" w:hAnsi="Arial" w:cs="Arial"/>
                <w:i/>
                <w:iCs/>
                <w:color w:val="000000"/>
                <w:lang w:eastAsia="en-NZ"/>
              </w:rPr>
              <w:t>Not met</w:t>
            </w:r>
          </w:p>
        </w:tc>
        <w:tc>
          <w:tcPr>
            <w:tcW w:w="851" w:type="dxa"/>
            <w:tcBorders>
              <w:top w:val="nil"/>
              <w:left w:val="nil"/>
              <w:bottom w:val="nil"/>
              <w:right w:val="nil"/>
            </w:tcBorders>
            <w:shd w:val="clear" w:color="auto" w:fill="auto"/>
            <w:noWrap/>
            <w:vAlign w:val="center"/>
            <w:hideMark/>
          </w:tcPr>
          <w:p w:rsidR="001E3FE2" w:rsidRPr="00D5126A" w:rsidRDefault="001E3FE2" w:rsidP="0035318B">
            <w:pPr>
              <w:spacing w:after="0" w:line="240" w:lineRule="auto"/>
              <w:jc w:val="center"/>
              <w:rPr>
                <w:rFonts w:ascii="Arial" w:eastAsia="Times New Roman" w:hAnsi="Arial" w:cs="Arial"/>
                <w:i/>
                <w:color w:val="000000"/>
                <w:lang w:eastAsia="en-NZ"/>
              </w:rPr>
            </w:pPr>
            <w:r>
              <w:rPr>
                <w:rFonts w:ascii="Arial" w:eastAsia="Times New Roman" w:hAnsi="Arial" w:cs="Arial"/>
                <w:i/>
                <w:color w:val="000000"/>
                <w:lang w:eastAsia="en-NZ"/>
              </w:rPr>
              <w:t>Within 10%</w:t>
            </w:r>
          </w:p>
        </w:tc>
        <w:tc>
          <w:tcPr>
            <w:tcW w:w="1276" w:type="dxa"/>
            <w:tcBorders>
              <w:top w:val="nil"/>
              <w:left w:val="nil"/>
              <w:bottom w:val="nil"/>
              <w:right w:val="nil"/>
            </w:tcBorders>
            <w:shd w:val="clear" w:color="auto" w:fill="auto"/>
            <w:noWrap/>
            <w:vAlign w:val="center"/>
            <w:hideMark/>
          </w:tcPr>
          <w:p w:rsidR="001E3FE2" w:rsidRPr="00D5126A" w:rsidRDefault="001E3FE2" w:rsidP="0035318B">
            <w:pPr>
              <w:spacing w:after="0" w:line="240" w:lineRule="auto"/>
              <w:jc w:val="center"/>
              <w:rPr>
                <w:rFonts w:ascii="Arial" w:eastAsia="Times New Roman" w:hAnsi="Arial" w:cs="Arial"/>
                <w:i/>
                <w:color w:val="000000"/>
                <w:lang w:eastAsia="en-NZ"/>
              </w:rPr>
            </w:pPr>
            <w:r w:rsidRPr="00D5126A">
              <w:rPr>
                <w:rFonts w:ascii="Arial" w:eastAsia="Times New Roman" w:hAnsi="Arial" w:cs="Arial"/>
                <w:i/>
                <w:iCs/>
                <w:color w:val="000000"/>
                <w:lang w:eastAsia="en-NZ"/>
              </w:rPr>
              <w:t>Exceeded</w:t>
            </w:r>
          </w:p>
        </w:tc>
        <w:tc>
          <w:tcPr>
            <w:tcW w:w="1134" w:type="dxa"/>
            <w:tcBorders>
              <w:top w:val="nil"/>
              <w:left w:val="nil"/>
              <w:bottom w:val="nil"/>
              <w:right w:val="nil"/>
            </w:tcBorders>
            <w:shd w:val="clear" w:color="auto" w:fill="auto"/>
            <w:vAlign w:val="center"/>
            <w:hideMark/>
          </w:tcPr>
          <w:p w:rsidR="001E3FE2" w:rsidRPr="00D5126A" w:rsidRDefault="001E3FE2" w:rsidP="0035318B">
            <w:pPr>
              <w:spacing w:after="0" w:line="240" w:lineRule="auto"/>
              <w:jc w:val="center"/>
              <w:rPr>
                <w:rFonts w:ascii="Arial" w:eastAsia="Times New Roman" w:hAnsi="Arial" w:cs="Arial"/>
                <w:i/>
                <w:color w:val="000000"/>
                <w:lang w:eastAsia="en-NZ"/>
              </w:rPr>
            </w:pPr>
            <w:r w:rsidRPr="00D5126A">
              <w:rPr>
                <w:rFonts w:ascii="Arial" w:eastAsia="Times New Roman" w:hAnsi="Arial" w:cs="Arial"/>
                <w:i/>
                <w:color w:val="000000"/>
                <w:lang w:eastAsia="en-NZ"/>
              </w:rPr>
              <w:t>Baseline</w:t>
            </w:r>
          </w:p>
        </w:tc>
        <w:tc>
          <w:tcPr>
            <w:tcW w:w="1276" w:type="dxa"/>
            <w:tcBorders>
              <w:top w:val="nil"/>
              <w:left w:val="nil"/>
              <w:bottom w:val="nil"/>
              <w:right w:val="nil"/>
            </w:tcBorders>
            <w:shd w:val="clear" w:color="auto" w:fill="auto"/>
            <w:vAlign w:val="center"/>
          </w:tcPr>
          <w:p w:rsidR="001E3FE2" w:rsidRPr="00D5126A" w:rsidRDefault="001E3FE2" w:rsidP="001244BB">
            <w:pPr>
              <w:spacing w:after="0" w:line="240" w:lineRule="auto"/>
              <w:jc w:val="center"/>
              <w:rPr>
                <w:rFonts w:eastAsia="Times New Roman" w:cstheme="minorHAnsi"/>
                <w:color w:val="000000"/>
                <w:lang w:eastAsia="en-NZ"/>
              </w:rPr>
            </w:pPr>
            <w:r w:rsidRPr="00D5126A">
              <w:rPr>
                <w:rFonts w:eastAsia="Times New Roman" w:cstheme="minorHAnsi"/>
                <w:color w:val="000000"/>
                <w:lang w:eastAsia="en-NZ"/>
              </w:rPr>
              <w:t>Total Measures</w:t>
            </w:r>
          </w:p>
        </w:tc>
      </w:tr>
      <w:tr w:rsidR="001E3FE2" w:rsidRPr="00D5126A" w:rsidTr="00906B94">
        <w:trPr>
          <w:trHeight w:val="255"/>
        </w:trPr>
        <w:tc>
          <w:tcPr>
            <w:tcW w:w="3544" w:type="dxa"/>
            <w:tcBorders>
              <w:top w:val="nil"/>
              <w:left w:val="nil"/>
              <w:bottom w:val="nil"/>
              <w:right w:val="nil"/>
            </w:tcBorders>
            <w:shd w:val="clear" w:color="auto" w:fill="009999"/>
            <w:noWrap/>
            <w:vAlign w:val="bottom"/>
          </w:tcPr>
          <w:p w:rsidR="001E3FE2" w:rsidRPr="00D5126A" w:rsidRDefault="001E3FE2" w:rsidP="001244BB">
            <w:pPr>
              <w:spacing w:after="0"/>
              <w:rPr>
                <w:rFonts w:cstheme="minorHAnsi"/>
                <w:b/>
                <w:bCs/>
                <w:color w:val="FFFFFF" w:themeColor="background1"/>
                <w:szCs w:val="20"/>
              </w:rPr>
            </w:pPr>
            <w:r w:rsidRPr="00D5126A">
              <w:rPr>
                <w:rFonts w:cstheme="minorHAnsi"/>
                <w:b/>
                <w:bCs/>
                <w:color w:val="FFFFFF" w:themeColor="background1"/>
                <w:szCs w:val="20"/>
              </w:rPr>
              <w:t>Kaupapa Pāpori me ngā Mahi a Rēhia | Social and recreation</w:t>
            </w:r>
          </w:p>
        </w:tc>
        <w:tc>
          <w:tcPr>
            <w:tcW w:w="992" w:type="dxa"/>
            <w:tcBorders>
              <w:top w:val="nil"/>
              <w:left w:val="nil"/>
              <w:bottom w:val="nil"/>
              <w:right w:val="nil"/>
            </w:tcBorders>
            <w:shd w:val="clear" w:color="auto" w:fill="009999"/>
            <w:noWrap/>
            <w:vAlign w:val="center"/>
          </w:tcPr>
          <w:p w:rsidR="001E3FE2" w:rsidRPr="00D5126A" w:rsidRDefault="001E3FE2" w:rsidP="001244BB">
            <w:pPr>
              <w:spacing w:after="0"/>
              <w:jc w:val="center"/>
              <w:rPr>
                <w:rFonts w:cstheme="minorHAnsi"/>
                <w:b/>
                <w:color w:val="FFFFFF" w:themeColor="background1"/>
                <w:sz w:val="24"/>
                <w:szCs w:val="20"/>
              </w:rPr>
            </w:pPr>
            <w:r w:rsidRPr="00D5126A">
              <w:rPr>
                <w:rFonts w:cstheme="minorHAnsi"/>
                <w:b/>
                <w:color w:val="FFFFFF" w:themeColor="background1"/>
                <w:sz w:val="24"/>
                <w:szCs w:val="20"/>
              </w:rPr>
              <w:t>9</w:t>
            </w:r>
          </w:p>
        </w:tc>
        <w:tc>
          <w:tcPr>
            <w:tcW w:w="851" w:type="dxa"/>
            <w:tcBorders>
              <w:top w:val="nil"/>
              <w:left w:val="nil"/>
              <w:bottom w:val="nil"/>
              <w:right w:val="nil"/>
            </w:tcBorders>
            <w:shd w:val="clear" w:color="auto" w:fill="009999"/>
            <w:noWrap/>
            <w:vAlign w:val="center"/>
          </w:tcPr>
          <w:p w:rsidR="001E3FE2" w:rsidRPr="00D5126A" w:rsidRDefault="001E3FE2" w:rsidP="001244BB">
            <w:pPr>
              <w:spacing w:after="0"/>
              <w:jc w:val="center"/>
              <w:rPr>
                <w:rFonts w:cstheme="minorHAnsi"/>
                <w:b/>
                <w:color w:val="FFFFFF" w:themeColor="background1"/>
                <w:sz w:val="24"/>
                <w:szCs w:val="20"/>
              </w:rPr>
            </w:pPr>
            <w:r>
              <w:rPr>
                <w:rFonts w:cstheme="minorHAnsi"/>
                <w:b/>
                <w:color w:val="FFFFFF" w:themeColor="background1"/>
                <w:sz w:val="24"/>
                <w:szCs w:val="20"/>
              </w:rPr>
              <w:t>40</w:t>
            </w:r>
          </w:p>
        </w:tc>
        <w:tc>
          <w:tcPr>
            <w:tcW w:w="1276" w:type="dxa"/>
            <w:tcBorders>
              <w:top w:val="nil"/>
              <w:left w:val="nil"/>
              <w:bottom w:val="nil"/>
              <w:right w:val="nil"/>
            </w:tcBorders>
            <w:shd w:val="clear" w:color="auto" w:fill="009999"/>
            <w:noWrap/>
            <w:vAlign w:val="center"/>
          </w:tcPr>
          <w:p w:rsidR="001E3FE2" w:rsidRPr="00D5126A" w:rsidRDefault="001E3FE2" w:rsidP="001244BB">
            <w:pPr>
              <w:spacing w:after="0"/>
              <w:jc w:val="center"/>
              <w:rPr>
                <w:rFonts w:cstheme="minorHAnsi"/>
                <w:b/>
                <w:color w:val="FFFFFF" w:themeColor="background1"/>
                <w:sz w:val="24"/>
                <w:szCs w:val="20"/>
              </w:rPr>
            </w:pPr>
            <w:r w:rsidRPr="00D5126A">
              <w:rPr>
                <w:rFonts w:cstheme="minorHAnsi"/>
                <w:b/>
                <w:color w:val="FFFFFF" w:themeColor="background1"/>
                <w:sz w:val="24"/>
                <w:szCs w:val="20"/>
              </w:rPr>
              <w:t>14</w:t>
            </w:r>
          </w:p>
        </w:tc>
        <w:tc>
          <w:tcPr>
            <w:tcW w:w="1134" w:type="dxa"/>
            <w:tcBorders>
              <w:top w:val="nil"/>
              <w:left w:val="nil"/>
              <w:bottom w:val="nil"/>
              <w:right w:val="nil"/>
            </w:tcBorders>
            <w:shd w:val="clear" w:color="auto" w:fill="009999"/>
            <w:noWrap/>
            <w:vAlign w:val="center"/>
          </w:tcPr>
          <w:p w:rsidR="001E3FE2" w:rsidRPr="00D5126A" w:rsidRDefault="001E3FE2" w:rsidP="001244BB">
            <w:pPr>
              <w:spacing w:after="0"/>
              <w:jc w:val="center"/>
              <w:rPr>
                <w:rFonts w:cstheme="minorHAnsi"/>
                <w:b/>
                <w:color w:val="FFFFFF" w:themeColor="background1"/>
                <w:sz w:val="24"/>
                <w:szCs w:val="20"/>
              </w:rPr>
            </w:pPr>
            <w:r w:rsidRPr="00D5126A">
              <w:rPr>
                <w:rFonts w:cstheme="minorHAnsi"/>
                <w:b/>
                <w:color w:val="FFFFFF" w:themeColor="background1"/>
                <w:sz w:val="24"/>
                <w:szCs w:val="20"/>
              </w:rPr>
              <w:t>13</w:t>
            </w:r>
          </w:p>
        </w:tc>
        <w:tc>
          <w:tcPr>
            <w:tcW w:w="1276" w:type="dxa"/>
            <w:tcBorders>
              <w:top w:val="nil"/>
              <w:left w:val="nil"/>
              <w:bottom w:val="nil"/>
              <w:right w:val="nil"/>
            </w:tcBorders>
            <w:shd w:val="clear" w:color="auto" w:fill="009999"/>
            <w:noWrap/>
            <w:vAlign w:val="center"/>
          </w:tcPr>
          <w:p w:rsidR="001E3FE2" w:rsidRPr="00D5126A" w:rsidRDefault="001E3FE2" w:rsidP="001244BB">
            <w:pPr>
              <w:spacing w:after="0"/>
              <w:jc w:val="center"/>
              <w:rPr>
                <w:rFonts w:cstheme="minorHAnsi"/>
                <w:b/>
                <w:color w:val="FFFFFF" w:themeColor="background1"/>
                <w:sz w:val="24"/>
                <w:szCs w:val="20"/>
              </w:rPr>
            </w:pPr>
            <w:r w:rsidRPr="00D5126A">
              <w:rPr>
                <w:rFonts w:cstheme="minorHAnsi"/>
                <w:b/>
                <w:color w:val="FFFFFF" w:themeColor="background1"/>
                <w:sz w:val="24"/>
                <w:szCs w:val="20"/>
              </w:rPr>
              <w:t>76</w:t>
            </w:r>
          </w:p>
        </w:tc>
      </w:tr>
    </w:tbl>
    <w:p w:rsidR="00B03442" w:rsidRPr="00D5126A" w:rsidRDefault="00B03442" w:rsidP="00B03442">
      <w:pPr>
        <w:pStyle w:val="Heading5"/>
        <w:rPr>
          <w:color w:val="009999"/>
        </w:rPr>
      </w:pPr>
      <w:r w:rsidRPr="00D5126A">
        <w:rPr>
          <w:color w:val="009999"/>
        </w:rPr>
        <w:t>Financial summary</w:t>
      </w:r>
      <w:bookmarkEnd w:id="107"/>
    </w:p>
    <w:tbl>
      <w:tblPr>
        <w:tblW w:w="5000" w:type="pct"/>
        <w:tblInd w:w="40" w:type="dxa"/>
        <w:tblCellMar>
          <w:left w:w="10" w:type="dxa"/>
          <w:right w:w="10" w:type="dxa"/>
        </w:tblCellMar>
        <w:tblLook w:val="0000" w:firstRow="0" w:lastRow="0" w:firstColumn="0" w:lastColumn="0" w:noHBand="0" w:noVBand="0"/>
      </w:tblPr>
      <w:tblGrid>
        <w:gridCol w:w="5093"/>
        <w:gridCol w:w="4056"/>
      </w:tblGrid>
      <w:tr w:rsidR="00B03442" w:rsidRPr="00D5126A" w:rsidTr="001244BB">
        <w:tc>
          <w:tcPr>
            <w:tcW w:w="0" w:type="auto"/>
            <w:tcMar>
              <w:top w:w="40" w:type="dxa"/>
              <w:left w:w="40" w:type="dxa"/>
              <w:bottom w:w="40" w:type="dxa"/>
              <w:right w:w="40" w:type="dxa"/>
            </w:tcMar>
          </w:tcPr>
          <w:p w:rsidR="00B03442" w:rsidRPr="00D5126A" w:rsidRDefault="00B03442" w:rsidP="001244BB">
            <w:pPr>
              <w:pStyle w:val="Para001"/>
              <w:spacing w:after="0" w:line="240" w:lineRule="auto"/>
              <w:rPr>
                <w:b/>
                <w:color w:val="009999"/>
                <w:u w:val="single"/>
              </w:rPr>
            </w:pPr>
            <w:r w:rsidRPr="00D5126A">
              <w:rPr>
                <w:b/>
                <w:color w:val="009999"/>
                <w:u w:val="single"/>
              </w:rPr>
              <w:t>Net operating expenditure $000</w:t>
            </w:r>
          </w:p>
          <w:p w:rsidR="00B03442" w:rsidRPr="00D5126A" w:rsidRDefault="00B03442" w:rsidP="001244BB">
            <w:pPr>
              <w:pStyle w:val="Para001"/>
              <w:spacing w:after="0" w:line="240" w:lineRule="auto"/>
              <w:rPr>
                <w:color w:val="009999"/>
              </w:rPr>
            </w:pPr>
            <w:r w:rsidRPr="00D5126A">
              <w:rPr>
                <w:b/>
                <w:color w:val="009999"/>
              </w:rPr>
              <w:t>Actual:</w:t>
            </w:r>
            <w:r w:rsidRPr="00D5126A">
              <w:rPr>
                <w:color w:val="009999"/>
              </w:rPr>
              <w:t xml:space="preserve"> 93,919</w:t>
            </w:r>
          </w:p>
          <w:p w:rsidR="00B03442" w:rsidRPr="00D5126A" w:rsidRDefault="00B03442" w:rsidP="001244BB">
            <w:pPr>
              <w:pStyle w:val="Para001"/>
              <w:spacing w:after="0" w:line="240" w:lineRule="auto"/>
              <w:rPr>
                <w:b/>
                <w:color w:val="009999"/>
                <w:u w:val="single"/>
              </w:rPr>
            </w:pPr>
            <w:r w:rsidRPr="00D5126A">
              <w:rPr>
                <w:b/>
                <w:color w:val="009999"/>
              </w:rPr>
              <w:t>Budget:</w:t>
            </w:r>
            <w:r w:rsidRPr="00D5126A">
              <w:rPr>
                <w:color w:val="009999"/>
              </w:rPr>
              <w:t xml:space="preserve"> 80,438</w:t>
            </w:r>
          </w:p>
        </w:tc>
        <w:tc>
          <w:tcPr>
            <w:tcW w:w="0" w:type="auto"/>
            <w:tcMar>
              <w:top w:w="40" w:type="dxa"/>
              <w:left w:w="40" w:type="dxa"/>
              <w:bottom w:w="40" w:type="dxa"/>
              <w:right w:w="40" w:type="dxa"/>
            </w:tcMar>
          </w:tcPr>
          <w:p w:rsidR="00B03442" w:rsidRPr="00D5126A" w:rsidRDefault="00B03442" w:rsidP="001244BB">
            <w:pPr>
              <w:pStyle w:val="Para001"/>
              <w:spacing w:after="0" w:line="240" w:lineRule="auto"/>
              <w:rPr>
                <w:b/>
                <w:color w:val="009999"/>
                <w:u w:val="single"/>
              </w:rPr>
            </w:pPr>
            <w:r w:rsidRPr="00D5126A">
              <w:rPr>
                <w:b/>
                <w:color w:val="009999"/>
                <w:u w:val="single"/>
              </w:rPr>
              <w:t>Capital expenditure $000</w:t>
            </w:r>
          </w:p>
          <w:p w:rsidR="00B03442" w:rsidRPr="00D5126A" w:rsidRDefault="00B03442" w:rsidP="001244BB">
            <w:pPr>
              <w:pStyle w:val="Para001"/>
              <w:spacing w:after="0" w:line="240" w:lineRule="auto"/>
              <w:rPr>
                <w:color w:val="009999"/>
              </w:rPr>
            </w:pPr>
            <w:r w:rsidRPr="00D5126A">
              <w:rPr>
                <w:b/>
                <w:color w:val="009999"/>
              </w:rPr>
              <w:t>Actual:</w:t>
            </w:r>
            <w:r w:rsidRPr="00D5126A">
              <w:rPr>
                <w:color w:val="009999"/>
              </w:rPr>
              <w:t xml:space="preserve"> 30,025</w:t>
            </w:r>
          </w:p>
          <w:p w:rsidR="00B03442" w:rsidRDefault="00B03442" w:rsidP="001244BB">
            <w:pPr>
              <w:pStyle w:val="NoSpacing"/>
              <w:rPr>
                <w:color w:val="009999"/>
              </w:rPr>
            </w:pPr>
            <w:r w:rsidRPr="00D5126A">
              <w:rPr>
                <w:b/>
                <w:color w:val="009999"/>
              </w:rPr>
              <w:t>Budget:</w:t>
            </w:r>
            <w:r w:rsidRPr="00D5126A">
              <w:rPr>
                <w:color w:val="009999"/>
              </w:rPr>
              <w:t xml:space="preserve"> 39,693</w:t>
            </w:r>
          </w:p>
          <w:p w:rsidR="006D6061" w:rsidRPr="00D5126A" w:rsidRDefault="006D6061" w:rsidP="001244BB">
            <w:pPr>
              <w:pStyle w:val="NoSpacing"/>
              <w:rPr>
                <w:rFonts w:ascii="Arial" w:hAnsi="Arial" w:cs="Arial"/>
                <w:bCs/>
                <w:color w:val="009999"/>
                <w:szCs w:val="20"/>
              </w:rPr>
            </w:pPr>
            <w:r w:rsidRPr="00576698">
              <w:rPr>
                <w:b/>
                <w:color w:val="009999"/>
              </w:rPr>
              <w:t>Revised budget:</w:t>
            </w:r>
            <w:r>
              <w:rPr>
                <w:color w:val="009999"/>
              </w:rPr>
              <w:t xml:space="preserve"> 41,149</w:t>
            </w:r>
          </w:p>
        </w:tc>
      </w:tr>
    </w:tbl>
    <w:p w:rsidR="00B03442" w:rsidRPr="00D5126A" w:rsidRDefault="00B03442" w:rsidP="00B03442">
      <w:pPr>
        <w:pStyle w:val="Heading4"/>
        <w:rPr>
          <w:color w:val="00B0F0"/>
        </w:rPr>
      </w:pPr>
      <w:bookmarkStart w:id="108" w:name="_Toc14178531"/>
      <w:r w:rsidRPr="00D5126A">
        <w:rPr>
          <w:color w:val="00B0F0"/>
        </w:rPr>
        <w:t>Tāone tupu ora - Urban development</w:t>
      </w:r>
      <w:bookmarkEnd w:id="108"/>
    </w:p>
    <w:p w:rsidR="00B03442" w:rsidRPr="00D5126A" w:rsidRDefault="00B03442" w:rsidP="00B03442">
      <w:pPr>
        <w:rPr>
          <w:rFonts w:ascii="Arial" w:hAnsi="Arial" w:cs="Arial"/>
        </w:rPr>
      </w:pPr>
      <w:bookmarkStart w:id="109" w:name="_Toc11828920"/>
      <w:r w:rsidRPr="00D5126A">
        <w:t xml:space="preserve">Significant highlights this year included entering into a partnership with Housing NZ for the redevelopment of </w:t>
      </w:r>
      <w:r w:rsidR="005A5930">
        <w:t xml:space="preserve">the </w:t>
      </w:r>
      <w:r w:rsidRPr="00D5126A">
        <w:t>Arlington 1 and 3</w:t>
      </w:r>
      <w:r w:rsidR="005A5930">
        <w:t xml:space="preserve"> sites in Mount Cook</w:t>
      </w:r>
      <w:r w:rsidRPr="00D5126A">
        <w:t>. We also upgraded Lombard Lane and Bond St</w:t>
      </w:r>
      <w:r w:rsidR="00CE02B9">
        <w:t>reet</w:t>
      </w:r>
      <w:r w:rsidRPr="00D5126A">
        <w:t>, which has created a vibrant precinct out of a service laneway and under</w:t>
      </w:r>
      <w:r w:rsidR="00CE02B9">
        <w:t>-</w:t>
      </w:r>
      <w:r w:rsidRPr="00D5126A">
        <w:t xml:space="preserve">used green space, and Tawa Town Centre and Forrester’s Lane. </w:t>
      </w:r>
      <w:r w:rsidRPr="00D5126A">
        <w:rPr>
          <w:rFonts w:ascii="Arial" w:hAnsi="Arial" w:cs="Arial"/>
        </w:rPr>
        <w:t xml:space="preserve">Build Wellington has also undertaken to work with private developers to secure long-term building leases as part of the </w:t>
      </w:r>
      <w:r w:rsidR="00CE02B9">
        <w:rPr>
          <w:rFonts w:ascii="Arial" w:hAnsi="Arial" w:cs="Arial"/>
        </w:rPr>
        <w:t>central city</w:t>
      </w:r>
      <w:r w:rsidR="00CE02B9" w:rsidRPr="00D5126A">
        <w:rPr>
          <w:rFonts w:ascii="Arial" w:hAnsi="Arial" w:cs="Arial"/>
        </w:rPr>
        <w:t xml:space="preserve"> </w:t>
      </w:r>
      <w:r w:rsidRPr="00D5126A">
        <w:rPr>
          <w:rFonts w:ascii="Arial" w:hAnsi="Arial" w:cs="Arial"/>
        </w:rPr>
        <w:t>apartment conversions programme.</w:t>
      </w:r>
    </w:p>
    <w:p w:rsidR="00B03442" w:rsidRPr="00D5126A" w:rsidRDefault="00B03442" w:rsidP="00B03442">
      <w:pPr>
        <w:rPr>
          <w:rFonts w:ascii="Arial" w:hAnsi="Arial" w:cs="Arial"/>
        </w:rPr>
      </w:pPr>
      <w:r w:rsidRPr="00D5126A">
        <w:rPr>
          <w:rFonts w:ascii="Arial" w:hAnsi="Arial" w:cs="Arial"/>
        </w:rPr>
        <w:t>Altogether, 2883 building consents were issued by the Council in the 2018/19 financial year</w:t>
      </w:r>
      <w:r w:rsidR="00CE02B9">
        <w:rPr>
          <w:rFonts w:ascii="Arial" w:hAnsi="Arial" w:cs="Arial"/>
        </w:rPr>
        <w:t>,</w:t>
      </w:r>
      <w:r w:rsidRPr="00D5126A">
        <w:rPr>
          <w:rFonts w:ascii="Arial" w:hAnsi="Arial" w:cs="Arial"/>
        </w:rPr>
        <w:t xml:space="preserve"> a slight increase from 2605 last year. However, we failed to meet our performance measures </w:t>
      </w:r>
      <w:r w:rsidRPr="00D5126A">
        <w:rPr>
          <w:rFonts w:ascii="Arial" w:hAnsi="Arial" w:cs="Arial"/>
        </w:rPr>
        <w:lastRenderedPageBreak/>
        <w:t>for issuing building consents or code of compliance certificates within 20 working days, or LIMs within 10 working days.</w:t>
      </w:r>
    </w:p>
    <w:p w:rsidR="00B03442" w:rsidRPr="00D5126A" w:rsidRDefault="00B03442" w:rsidP="00B03442">
      <w:pPr>
        <w:pStyle w:val="Heading5"/>
      </w:pPr>
      <w:r w:rsidRPr="00D5126A">
        <w:t>Performance summary</w:t>
      </w:r>
    </w:p>
    <w:tbl>
      <w:tblPr>
        <w:tblW w:w="8951" w:type="dxa"/>
        <w:tblInd w:w="108" w:type="dxa"/>
        <w:tblLayout w:type="fixed"/>
        <w:tblLook w:val="04A0" w:firstRow="1" w:lastRow="0" w:firstColumn="1" w:lastColumn="0" w:noHBand="0" w:noVBand="1"/>
      </w:tblPr>
      <w:tblGrid>
        <w:gridCol w:w="3261"/>
        <w:gridCol w:w="1134"/>
        <w:gridCol w:w="851"/>
        <w:gridCol w:w="1276"/>
        <w:gridCol w:w="1134"/>
        <w:gridCol w:w="1295"/>
      </w:tblGrid>
      <w:tr w:rsidR="001E3FE2" w:rsidRPr="00D5126A" w:rsidTr="00576698">
        <w:trPr>
          <w:trHeight w:val="576"/>
        </w:trPr>
        <w:tc>
          <w:tcPr>
            <w:tcW w:w="3261" w:type="dxa"/>
            <w:tcBorders>
              <w:top w:val="nil"/>
              <w:left w:val="nil"/>
              <w:bottom w:val="nil"/>
              <w:right w:val="nil"/>
            </w:tcBorders>
            <w:shd w:val="clear" w:color="auto" w:fill="auto"/>
            <w:noWrap/>
            <w:vAlign w:val="center"/>
            <w:hideMark/>
          </w:tcPr>
          <w:p w:rsidR="001E3FE2" w:rsidRPr="00D5126A" w:rsidRDefault="001E3FE2" w:rsidP="001244BB">
            <w:pPr>
              <w:spacing w:after="0" w:line="240" w:lineRule="auto"/>
              <w:jc w:val="center"/>
              <w:rPr>
                <w:rFonts w:ascii="Arial" w:eastAsia="Times New Roman" w:hAnsi="Arial" w:cs="Arial"/>
                <w:color w:val="000000"/>
                <w:sz w:val="20"/>
                <w:szCs w:val="20"/>
                <w:lang w:eastAsia="en-NZ"/>
              </w:rPr>
            </w:pPr>
          </w:p>
        </w:tc>
        <w:tc>
          <w:tcPr>
            <w:tcW w:w="1134" w:type="dxa"/>
            <w:tcBorders>
              <w:top w:val="nil"/>
              <w:left w:val="nil"/>
              <w:bottom w:val="nil"/>
              <w:right w:val="nil"/>
            </w:tcBorders>
            <w:shd w:val="clear" w:color="auto" w:fill="auto"/>
            <w:noWrap/>
            <w:vAlign w:val="center"/>
            <w:hideMark/>
          </w:tcPr>
          <w:p w:rsidR="001E3FE2" w:rsidRPr="00D5126A" w:rsidRDefault="001E3FE2" w:rsidP="0035318B">
            <w:pPr>
              <w:spacing w:after="0" w:line="240" w:lineRule="auto"/>
              <w:jc w:val="center"/>
              <w:rPr>
                <w:rFonts w:ascii="Arial" w:eastAsia="Times New Roman" w:hAnsi="Arial" w:cs="Arial"/>
                <w:i/>
                <w:color w:val="000000"/>
                <w:szCs w:val="20"/>
                <w:lang w:eastAsia="en-NZ"/>
              </w:rPr>
            </w:pPr>
            <w:r w:rsidRPr="00D5126A">
              <w:rPr>
                <w:rFonts w:ascii="Arial" w:eastAsia="Times New Roman" w:hAnsi="Arial" w:cs="Arial"/>
                <w:i/>
                <w:iCs/>
                <w:color w:val="000000"/>
                <w:szCs w:val="20"/>
                <w:lang w:eastAsia="en-NZ"/>
              </w:rPr>
              <w:t>Not met</w:t>
            </w:r>
          </w:p>
        </w:tc>
        <w:tc>
          <w:tcPr>
            <w:tcW w:w="851" w:type="dxa"/>
            <w:tcBorders>
              <w:top w:val="nil"/>
              <w:left w:val="nil"/>
              <w:bottom w:val="nil"/>
              <w:right w:val="nil"/>
            </w:tcBorders>
            <w:shd w:val="clear" w:color="auto" w:fill="auto"/>
            <w:noWrap/>
            <w:vAlign w:val="center"/>
            <w:hideMark/>
          </w:tcPr>
          <w:p w:rsidR="001E3FE2" w:rsidRPr="00D5126A" w:rsidRDefault="001E3FE2" w:rsidP="0035318B">
            <w:pPr>
              <w:spacing w:after="0" w:line="240" w:lineRule="auto"/>
              <w:jc w:val="center"/>
              <w:rPr>
                <w:rFonts w:ascii="Arial" w:eastAsia="Times New Roman" w:hAnsi="Arial" w:cs="Arial"/>
                <w:i/>
                <w:color w:val="000000"/>
                <w:szCs w:val="20"/>
                <w:lang w:eastAsia="en-NZ"/>
              </w:rPr>
            </w:pPr>
            <w:r>
              <w:rPr>
                <w:rFonts w:ascii="Arial" w:eastAsia="Times New Roman" w:hAnsi="Arial" w:cs="Arial"/>
                <w:i/>
                <w:color w:val="000000"/>
                <w:szCs w:val="20"/>
                <w:lang w:eastAsia="en-NZ"/>
              </w:rPr>
              <w:t>Within 10%</w:t>
            </w:r>
          </w:p>
        </w:tc>
        <w:tc>
          <w:tcPr>
            <w:tcW w:w="1276" w:type="dxa"/>
            <w:tcBorders>
              <w:top w:val="nil"/>
              <w:left w:val="nil"/>
              <w:bottom w:val="nil"/>
              <w:right w:val="nil"/>
            </w:tcBorders>
            <w:shd w:val="clear" w:color="auto" w:fill="auto"/>
            <w:noWrap/>
            <w:vAlign w:val="center"/>
            <w:hideMark/>
          </w:tcPr>
          <w:p w:rsidR="001E3FE2" w:rsidRPr="00D5126A" w:rsidRDefault="001E3FE2" w:rsidP="0035318B">
            <w:pPr>
              <w:spacing w:after="0" w:line="240" w:lineRule="auto"/>
              <w:jc w:val="center"/>
              <w:rPr>
                <w:rFonts w:ascii="Arial" w:eastAsia="Times New Roman" w:hAnsi="Arial" w:cs="Arial"/>
                <w:i/>
                <w:color w:val="000000"/>
                <w:szCs w:val="20"/>
                <w:lang w:eastAsia="en-NZ"/>
              </w:rPr>
            </w:pPr>
            <w:r w:rsidRPr="00D5126A">
              <w:rPr>
                <w:rFonts w:ascii="Arial" w:eastAsia="Times New Roman" w:hAnsi="Arial" w:cs="Arial"/>
                <w:i/>
                <w:iCs/>
                <w:color w:val="000000"/>
                <w:szCs w:val="20"/>
                <w:lang w:eastAsia="en-NZ"/>
              </w:rPr>
              <w:t>Exceeded</w:t>
            </w:r>
          </w:p>
        </w:tc>
        <w:tc>
          <w:tcPr>
            <w:tcW w:w="1134" w:type="dxa"/>
            <w:tcBorders>
              <w:top w:val="nil"/>
              <w:left w:val="nil"/>
              <w:bottom w:val="nil"/>
              <w:right w:val="nil"/>
            </w:tcBorders>
            <w:vAlign w:val="center"/>
          </w:tcPr>
          <w:p w:rsidR="001E3FE2" w:rsidRPr="00D5126A" w:rsidRDefault="001E3FE2" w:rsidP="0035318B">
            <w:pPr>
              <w:spacing w:after="0" w:line="240" w:lineRule="auto"/>
              <w:jc w:val="center"/>
              <w:rPr>
                <w:rFonts w:ascii="Arial" w:eastAsia="Times New Roman" w:hAnsi="Arial" w:cs="Arial"/>
                <w:i/>
                <w:color w:val="000000"/>
                <w:szCs w:val="20"/>
                <w:lang w:eastAsia="en-NZ"/>
              </w:rPr>
            </w:pPr>
            <w:r w:rsidRPr="00D5126A">
              <w:rPr>
                <w:rFonts w:ascii="Arial" w:eastAsia="Times New Roman" w:hAnsi="Arial" w:cs="Arial"/>
                <w:i/>
                <w:color w:val="000000"/>
                <w:szCs w:val="20"/>
                <w:lang w:eastAsia="en-NZ"/>
              </w:rPr>
              <w:t>Baseline</w:t>
            </w:r>
          </w:p>
        </w:tc>
        <w:tc>
          <w:tcPr>
            <w:tcW w:w="1295" w:type="dxa"/>
            <w:tcBorders>
              <w:top w:val="nil"/>
              <w:left w:val="nil"/>
              <w:bottom w:val="nil"/>
              <w:right w:val="nil"/>
            </w:tcBorders>
            <w:shd w:val="clear" w:color="auto" w:fill="auto"/>
            <w:vAlign w:val="center"/>
            <w:hideMark/>
          </w:tcPr>
          <w:p w:rsidR="001E3FE2" w:rsidRPr="00D5126A" w:rsidRDefault="001E3FE2" w:rsidP="001244BB">
            <w:pPr>
              <w:spacing w:after="0" w:line="240" w:lineRule="auto"/>
              <w:jc w:val="center"/>
              <w:rPr>
                <w:rFonts w:ascii="Arial" w:eastAsia="Times New Roman" w:hAnsi="Arial" w:cs="Arial"/>
                <w:color w:val="000000"/>
                <w:szCs w:val="20"/>
                <w:lang w:eastAsia="en-NZ"/>
              </w:rPr>
            </w:pPr>
            <w:r w:rsidRPr="00D5126A">
              <w:rPr>
                <w:rFonts w:ascii="Arial" w:eastAsia="Times New Roman" w:hAnsi="Arial" w:cs="Arial"/>
                <w:color w:val="000000"/>
                <w:szCs w:val="20"/>
                <w:lang w:eastAsia="en-NZ"/>
              </w:rPr>
              <w:t>Total Measures</w:t>
            </w:r>
          </w:p>
        </w:tc>
      </w:tr>
      <w:tr w:rsidR="001E3FE2" w:rsidRPr="00D5126A" w:rsidTr="00576698">
        <w:trPr>
          <w:trHeight w:val="255"/>
        </w:trPr>
        <w:tc>
          <w:tcPr>
            <w:tcW w:w="3261" w:type="dxa"/>
            <w:tcBorders>
              <w:top w:val="nil"/>
              <w:left w:val="nil"/>
              <w:bottom w:val="nil"/>
              <w:right w:val="nil"/>
            </w:tcBorders>
            <w:shd w:val="clear" w:color="auto" w:fill="00B0F0"/>
            <w:noWrap/>
            <w:vAlign w:val="center"/>
            <w:hideMark/>
          </w:tcPr>
          <w:p w:rsidR="001E3FE2" w:rsidRPr="00D5126A" w:rsidRDefault="001E3FE2" w:rsidP="00CE02B9">
            <w:pPr>
              <w:spacing w:after="0" w:line="240" w:lineRule="auto"/>
              <w:rPr>
                <w:rFonts w:ascii="Arial" w:eastAsia="Times New Roman" w:hAnsi="Arial" w:cs="Arial"/>
                <w:b/>
                <w:bCs/>
                <w:color w:val="FFFFFF" w:themeColor="background1"/>
                <w:szCs w:val="20"/>
                <w:lang w:eastAsia="en-NZ"/>
              </w:rPr>
            </w:pPr>
            <w:r w:rsidRPr="00D5126A">
              <w:rPr>
                <w:rFonts w:ascii="Arial" w:eastAsia="Times New Roman" w:hAnsi="Arial" w:cs="Arial"/>
                <w:b/>
                <w:bCs/>
                <w:color w:val="FFFFFF" w:themeColor="background1"/>
                <w:szCs w:val="20"/>
                <w:lang w:eastAsia="en-NZ"/>
              </w:rPr>
              <w:t xml:space="preserve">Tāone tupu ora – Urban </w:t>
            </w:r>
            <w:r>
              <w:rPr>
                <w:rFonts w:ascii="Arial" w:eastAsia="Times New Roman" w:hAnsi="Arial" w:cs="Arial"/>
                <w:b/>
                <w:bCs/>
                <w:color w:val="FFFFFF" w:themeColor="background1"/>
                <w:szCs w:val="20"/>
                <w:lang w:eastAsia="en-NZ"/>
              </w:rPr>
              <w:t>d</w:t>
            </w:r>
            <w:r w:rsidRPr="00D5126A">
              <w:rPr>
                <w:rFonts w:ascii="Arial" w:eastAsia="Times New Roman" w:hAnsi="Arial" w:cs="Arial"/>
                <w:b/>
                <w:bCs/>
                <w:color w:val="FFFFFF" w:themeColor="background1"/>
                <w:szCs w:val="20"/>
                <w:lang w:eastAsia="en-NZ"/>
              </w:rPr>
              <w:t>evelopment</w:t>
            </w:r>
          </w:p>
        </w:tc>
        <w:tc>
          <w:tcPr>
            <w:tcW w:w="1134" w:type="dxa"/>
            <w:tcBorders>
              <w:top w:val="nil"/>
              <w:left w:val="nil"/>
              <w:bottom w:val="nil"/>
              <w:right w:val="nil"/>
            </w:tcBorders>
            <w:shd w:val="clear" w:color="auto" w:fill="00B0F0"/>
            <w:noWrap/>
            <w:vAlign w:val="center"/>
            <w:hideMark/>
          </w:tcPr>
          <w:p w:rsidR="001E3FE2" w:rsidRPr="00D5126A" w:rsidRDefault="001E3FE2" w:rsidP="00FF0568">
            <w:pPr>
              <w:spacing w:after="0" w:line="240" w:lineRule="auto"/>
              <w:jc w:val="center"/>
              <w:rPr>
                <w:rFonts w:ascii="Arial" w:eastAsia="Times New Roman" w:hAnsi="Arial" w:cs="Arial"/>
                <w:b/>
                <w:color w:val="FFFFFF" w:themeColor="background1"/>
                <w:sz w:val="24"/>
                <w:szCs w:val="20"/>
                <w:lang w:eastAsia="en-NZ"/>
              </w:rPr>
            </w:pPr>
            <w:r w:rsidRPr="00D5126A">
              <w:rPr>
                <w:rFonts w:ascii="Arial" w:eastAsia="Times New Roman" w:hAnsi="Arial" w:cs="Arial"/>
                <w:b/>
                <w:color w:val="FFFFFF" w:themeColor="background1"/>
                <w:sz w:val="24"/>
                <w:szCs w:val="20"/>
                <w:lang w:eastAsia="en-NZ"/>
              </w:rPr>
              <w:t>3</w:t>
            </w:r>
          </w:p>
        </w:tc>
        <w:tc>
          <w:tcPr>
            <w:tcW w:w="851" w:type="dxa"/>
            <w:tcBorders>
              <w:top w:val="nil"/>
              <w:left w:val="nil"/>
              <w:bottom w:val="nil"/>
              <w:right w:val="nil"/>
            </w:tcBorders>
            <w:shd w:val="clear" w:color="auto" w:fill="00B0F0"/>
            <w:noWrap/>
            <w:vAlign w:val="center"/>
            <w:hideMark/>
          </w:tcPr>
          <w:p w:rsidR="001E3FE2" w:rsidRPr="00D5126A" w:rsidRDefault="001E3FE2" w:rsidP="00FF0568">
            <w:pPr>
              <w:spacing w:after="0" w:line="240" w:lineRule="auto"/>
              <w:jc w:val="center"/>
              <w:rPr>
                <w:rFonts w:ascii="Arial" w:eastAsia="Times New Roman" w:hAnsi="Arial" w:cs="Arial"/>
                <w:b/>
                <w:color w:val="FFFFFF" w:themeColor="background1"/>
                <w:sz w:val="24"/>
                <w:szCs w:val="20"/>
                <w:lang w:eastAsia="en-NZ"/>
              </w:rPr>
            </w:pPr>
            <w:r>
              <w:rPr>
                <w:rFonts w:ascii="Arial" w:eastAsia="Times New Roman" w:hAnsi="Arial" w:cs="Arial"/>
                <w:b/>
                <w:color w:val="FFFFFF" w:themeColor="background1"/>
                <w:sz w:val="24"/>
                <w:szCs w:val="20"/>
                <w:lang w:eastAsia="en-NZ"/>
              </w:rPr>
              <w:t>8</w:t>
            </w:r>
          </w:p>
        </w:tc>
        <w:tc>
          <w:tcPr>
            <w:tcW w:w="1276" w:type="dxa"/>
            <w:tcBorders>
              <w:top w:val="nil"/>
              <w:left w:val="nil"/>
              <w:bottom w:val="nil"/>
              <w:right w:val="nil"/>
            </w:tcBorders>
            <w:shd w:val="clear" w:color="auto" w:fill="00B0F0"/>
            <w:noWrap/>
            <w:vAlign w:val="center"/>
            <w:hideMark/>
          </w:tcPr>
          <w:p w:rsidR="001E3FE2" w:rsidRPr="00D5126A" w:rsidRDefault="001E3FE2" w:rsidP="00FF0568">
            <w:pPr>
              <w:spacing w:after="0" w:line="240" w:lineRule="auto"/>
              <w:jc w:val="center"/>
              <w:rPr>
                <w:rFonts w:ascii="Arial" w:eastAsia="Times New Roman" w:hAnsi="Arial" w:cs="Arial"/>
                <w:b/>
                <w:color w:val="FFFFFF" w:themeColor="background1"/>
                <w:sz w:val="24"/>
                <w:szCs w:val="20"/>
                <w:lang w:eastAsia="en-NZ"/>
              </w:rPr>
            </w:pPr>
            <w:r w:rsidRPr="00D5126A">
              <w:rPr>
                <w:rFonts w:ascii="Arial" w:eastAsia="Times New Roman" w:hAnsi="Arial" w:cs="Arial"/>
                <w:b/>
                <w:color w:val="FFFFFF" w:themeColor="background1"/>
                <w:sz w:val="24"/>
                <w:szCs w:val="20"/>
                <w:lang w:eastAsia="en-NZ"/>
              </w:rPr>
              <w:t>0</w:t>
            </w:r>
          </w:p>
        </w:tc>
        <w:tc>
          <w:tcPr>
            <w:tcW w:w="1134" w:type="dxa"/>
            <w:tcBorders>
              <w:top w:val="nil"/>
              <w:left w:val="nil"/>
              <w:bottom w:val="nil"/>
              <w:right w:val="nil"/>
            </w:tcBorders>
            <w:shd w:val="clear" w:color="auto" w:fill="00B0F0"/>
            <w:vAlign w:val="center"/>
          </w:tcPr>
          <w:p w:rsidR="001E3FE2" w:rsidRPr="00D5126A" w:rsidRDefault="001E3FE2" w:rsidP="00FF0568">
            <w:pPr>
              <w:spacing w:after="0" w:line="240" w:lineRule="auto"/>
              <w:jc w:val="center"/>
              <w:rPr>
                <w:rFonts w:ascii="Arial" w:eastAsia="Times New Roman" w:hAnsi="Arial" w:cs="Arial"/>
                <w:b/>
                <w:color w:val="FFFFFF" w:themeColor="background1"/>
                <w:sz w:val="24"/>
                <w:szCs w:val="20"/>
                <w:lang w:eastAsia="en-NZ"/>
              </w:rPr>
            </w:pPr>
            <w:r>
              <w:rPr>
                <w:rFonts w:ascii="Arial" w:eastAsia="Times New Roman" w:hAnsi="Arial" w:cs="Arial"/>
                <w:b/>
                <w:color w:val="FFFFFF" w:themeColor="background1"/>
                <w:sz w:val="24"/>
                <w:szCs w:val="20"/>
                <w:lang w:eastAsia="en-NZ"/>
              </w:rPr>
              <w:t>7</w:t>
            </w:r>
          </w:p>
        </w:tc>
        <w:tc>
          <w:tcPr>
            <w:tcW w:w="1295" w:type="dxa"/>
            <w:tcBorders>
              <w:top w:val="nil"/>
              <w:left w:val="nil"/>
              <w:bottom w:val="nil"/>
              <w:right w:val="nil"/>
            </w:tcBorders>
            <w:shd w:val="clear" w:color="auto" w:fill="00B0F0"/>
            <w:noWrap/>
            <w:vAlign w:val="center"/>
            <w:hideMark/>
          </w:tcPr>
          <w:p w:rsidR="001E3FE2" w:rsidRPr="00D5126A" w:rsidRDefault="001E3FE2" w:rsidP="001C0A52">
            <w:pPr>
              <w:spacing w:after="0" w:line="240" w:lineRule="auto"/>
              <w:jc w:val="center"/>
              <w:rPr>
                <w:rFonts w:ascii="Arial" w:eastAsia="Times New Roman" w:hAnsi="Arial" w:cs="Arial"/>
                <w:b/>
                <w:color w:val="FFFFFF" w:themeColor="background1"/>
                <w:sz w:val="24"/>
                <w:szCs w:val="20"/>
                <w:lang w:eastAsia="en-NZ"/>
              </w:rPr>
            </w:pPr>
            <w:r w:rsidRPr="00D5126A">
              <w:rPr>
                <w:rFonts w:ascii="Arial" w:eastAsia="Times New Roman" w:hAnsi="Arial" w:cs="Arial"/>
                <w:b/>
                <w:color w:val="FFFFFF" w:themeColor="background1"/>
                <w:sz w:val="24"/>
                <w:szCs w:val="20"/>
                <w:lang w:eastAsia="en-NZ"/>
              </w:rPr>
              <w:t>1</w:t>
            </w:r>
            <w:r>
              <w:rPr>
                <w:rFonts w:ascii="Arial" w:eastAsia="Times New Roman" w:hAnsi="Arial" w:cs="Arial"/>
                <w:b/>
                <w:color w:val="FFFFFF" w:themeColor="background1"/>
                <w:sz w:val="24"/>
                <w:szCs w:val="20"/>
                <w:lang w:eastAsia="en-NZ"/>
              </w:rPr>
              <w:t>8</w:t>
            </w:r>
          </w:p>
        </w:tc>
      </w:tr>
    </w:tbl>
    <w:p w:rsidR="00B03442" w:rsidRPr="00D5126A" w:rsidRDefault="00B03442" w:rsidP="00B03442">
      <w:pPr>
        <w:pStyle w:val="Heading5"/>
        <w:rPr>
          <w:color w:val="00B0F0"/>
        </w:rPr>
      </w:pPr>
      <w:r w:rsidRPr="00D5126A">
        <w:rPr>
          <w:color w:val="00B0F0"/>
        </w:rPr>
        <w:t>Financial summary</w:t>
      </w:r>
      <w:bookmarkEnd w:id="109"/>
    </w:p>
    <w:tbl>
      <w:tblPr>
        <w:tblW w:w="5000" w:type="pct"/>
        <w:tblInd w:w="40" w:type="dxa"/>
        <w:tblCellMar>
          <w:left w:w="10" w:type="dxa"/>
          <w:right w:w="10" w:type="dxa"/>
        </w:tblCellMar>
        <w:tblLook w:val="0000" w:firstRow="0" w:lastRow="0" w:firstColumn="0" w:lastColumn="0" w:noHBand="0" w:noVBand="0"/>
      </w:tblPr>
      <w:tblGrid>
        <w:gridCol w:w="4574"/>
        <w:gridCol w:w="4575"/>
      </w:tblGrid>
      <w:tr w:rsidR="00B03442" w:rsidRPr="00D5126A" w:rsidTr="00576698">
        <w:tc>
          <w:tcPr>
            <w:tcW w:w="4574" w:type="dxa"/>
            <w:tcMar>
              <w:top w:w="40" w:type="dxa"/>
              <w:left w:w="40" w:type="dxa"/>
              <w:bottom w:w="40" w:type="dxa"/>
              <w:right w:w="40" w:type="dxa"/>
            </w:tcMar>
          </w:tcPr>
          <w:p w:rsidR="00B03442" w:rsidRPr="00D5126A" w:rsidRDefault="00B03442" w:rsidP="001244BB">
            <w:pPr>
              <w:pStyle w:val="Para001"/>
              <w:spacing w:after="0" w:line="240" w:lineRule="auto"/>
              <w:rPr>
                <w:b/>
                <w:color w:val="00B0F0"/>
                <w:u w:val="single"/>
              </w:rPr>
            </w:pPr>
            <w:r w:rsidRPr="00D5126A">
              <w:rPr>
                <w:b/>
                <w:color w:val="00B0F0"/>
                <w:u w:val="single"/>
              </w:rPr>
              <w:t>Net operating expenditure $000</w:t>
            </w:r>
          </w:p>
          <w:p w:rsidR="00B03442" w:rsidRPr="00D5126A" w:rsidRDefault="00B03442" w:rsidP="001244BB">
            <w:pPr>
              <w:pStyle w:val="Para001"/>
              <w:spacing w:after="0" w:line="240" w:lineRule="auto"/>
              <w:rPr>
                <w:color w:val="00B0F0"/>
              </w:rPr>
            </w:pPr>
            <w:r w:rsidRPr="00D5126A">
              <w:rPr>
                <w:b/>
                <w:color w:val="00B0F0"/>
              </w:rPr>
              <w:t>Actual:</w:t>
            </w:r>
            <w:r w:rsidRPr="00D5126A">
              <w:rPr>
                <w:color w:val="00B0F0"/>
              </w:rPr>
              <w:t xml:space="preserve"> 16,826</w:t>
            </w:r>
          </w:p>
          <w:p w:rsidR="00B03442" w:rsidRPr="00D5126A" w:rsidRDefault="00B03442" w:rsidP="001244BB">
            <w:pPr>
              <w:pStyle w:val="Para001"/>
              <w:spacing w:after="0" w:line="240" w:lineRule="auto"/>
              <w:rPr>
                <w:b/>
                <w:color w:val="00B0F0"/>
                <w:u w:val="single"/>
              </w:rPr>
            </w:pPr>
            <w:r w:rsidRPr="00D5126A">
              <w:rPr>
                <w:b/>
                <w:color w:val="00B0F0"/>
              </w:rPr>
              <w:t>Budget:</w:t>
            </w:r>
            <w:r w:rsidRPr="00D5126A">
              <w:rPr>
                <w:color w:val="00B0F0"/>
              </w:rPr>
              <w:t xml:space="preserve"> 18,511</w:t>
            </w:r>
          </w:p>
        </w:tc>
        <w:tc>
          <w:tcPr>
            <w:tcW w:w="4575" w:type="dxa"/>
            <w:tcMar>
              <w:top w:w="40" w:type="dxa"/>
              <w:left w:w="40" w:type="dxa"/>
              <w:bottom w:w="40" w:type="dxa"/>
              <w:right w:w="40" w:type="dxa"/>
            </w:tcMar>
          </w:tcPr>
          <w:p w:rsidR="00B03442" w:rsidRPr="00D5126A" w:rsidRDefault="00B03442" w:rsidP="001244BB">
            <w:pPr>
              <w:pStyle w:val="Para001"/>
              <w:spacing w:after="0" w:line="240" w:lineRule="auto"/>
              <w:rPr>
                <w:b/>
                <w:color w:val="00B0F0"/>
                <w:u w:val="single"/>
              </w:rPr>
            </w:pPr>
            <w:r w:rsidRPr="00D5126A">
              <w:rPr>
                <w:b/>
                <w:color w:val="00B0F0"/>
                <w:u w:val="single"/>
              </w:rPr>
              <w:t>Capital expenditure $000</w:t>
            </w:r>
          </w:p>
          <w:p w:rsidR="00B03442" w:rsidRPr="00D5126A" w:rsidRDefault="00B03442" w:rsidP="001244BB">
            <w:pPr>
              <w:pStyle w:val="Para001"/>
              <w:spacing w:after="0" w:line="240" w:lineRule="auto"/>
              <w:rPr>
                <w:color w:val="00B0F0"/>
              </w:rPr>
            </w:pPr>
            <w:r w:rsidRPr="00D5126A">
              <w:rPr>
                <w:b/>
                <w:color w:val="00B0F0"/>
              </w:rPr>
              <w:t>Actual:</w:t>
            </w:r>
            <w:r w:rsidRPr="00D5126A">
              <w:rPr>
                <w:color w:val="00B0F0"/>
              </w:rPr>
              <w:t xml:space="preserve"> </w:t>
            </w:r>
            <w:r w:rsidRPr="00D5126A">
              <w:rPr>
                <w:rFonts w:ascii="Arial" w:hAnsi="Arial" w:cs="Arial"/>
                <w:bCs/>
                <w:color w:val="00B0F0"/>
                <w:szCs w:val="20"/>
              </w:rPr>
              <w:t>14,610</w:t>
            </w:r>
          </w:p>
          <w:p w:rsidR="00B03442" w:rsidRDefault="00B03442" w:rsidP="001244BB">
            <w:pPr>
              <w:pStyle w:val="NoSpacing"/>
              <w:rPr>
                <w:color w:val="00B0F0"/>
              </w:rPr>
            </w:pPr>
            <w:r w:rsidRPr="00D5126A">
              <w:rPr>
                <w:b/>
                <w:color w:val="00B0F0"/>
              </w:rPr>
              <w:t>Budget:</w:t>
            </w:r>
            <w:r w:rsidRPr="00D5126A">
              <w:rPr>
                <w:color w:val="00B0F0"/>
              </w:rPr>
              <w:t xml:space="preserve"> 44,270</w:t>
            </w:r>
          </w:p>
          <w:p w:rsidR="006D6061" w:rsidRPr="00D5126A" w:rsidRDefault="006D6061" w:rsidP="001244BB">
            <w:pPr>
              <w:pStyle w:val="NoSpacing"/>
              <w:rPr>
                <w:rFonts w:ascii="Arial" w:hAnsi="Arial" w:cs="Arial"/>
                <w:bCs/>
                <w:color w:val="00B0F0"/>
                <w:szCs w:val="20"/>
              </w:rPr>
            </w:pPr>
            <w:r w:rsidRPr="00576698">
              <w:rPr>
                <w:b/>
                <w:color w:val="00B0F0"/>
              </w:rPr>
              <w:t>Revised budget:</w:t>
            </w:r>
            <w:r>
              <w:rPr>
                <w:color w:val="00B0F0"/>
              </w:rPr>
              <w:t xml:space="preserve"> 48,483</w:t>
            </w:r>
          </w:p>
        </w:tc>
      </w:tr>
    </w:tbl>
    <w:p w:rsidR="00B03442" w:rsidRPr="00D5126A" w:rsidRDefault="00B03442" w:rsidP="00B03442">
      <w:pPr>
        <w:pStyle w:val="Heading4"/>
        <w:rPr>
          <w:color w:val="FF0000"/>
        </w:rPr>
      </w:pPr>
      <w:bookmarkStart w:id="110" w:name="_Toc14178532"/>
      <w:r w:rsidRPr="00D5126A">
        <w:rPr>
          <w:color w:val="FF0000"/>
        </w:rPr>
        <w:t>Waka - Transport</w:t>
      </w:r>
      <w:bookmarkEnd w:id="110"/>
    </w:p>
    <w:p w:rsidR="00B03442" w:rsidRPr="00D5126A" w:rsidRDefault="00B03442" w:rsidP="00B03442">
      <w:bookmarkStart w:id="111" w:name="_Toc11828922"/>
      <w:r w:rsidRPr="00D5126A">
        <w:t xml:space="preserve">Highlights for the year included the </w:t>
      </w:r>
      <w:r w:rsidR="004A5F78" w:rsidRPr="00D5126A">
        <w:rPr>
          <w:rFonts w:ascii="Arial" w:hAnsi="Arial" w:cs="Arial"/>
        </w:rPr>
        <w:t>consenting of seven new bus passenger interchange stations</w:t>
      </w:r>
      <w:r w:rsidRPr="00D5126A">
        <w:t>, the completed strengthening of the Northland Tunnel and 1648</w:t>
      </w:r>
      <w:r w:rsidR="00CE02B9">
        <w:t>sqm</w:t>
      </w:r>
      <w:r w:rsidRPr="00D5126A">
        <w:t xml:space="preserve"> of new retaining walls that were built to ensure our roading network remains resilient.  Progress was also made on the new bike paths and routes programme with the completion of the Oriental Bay and Kilbirnie routes. We also introduced weekend parking charges in September 2018. </w:t>
      </w:r>
    </w:p>
    <w:p w:rsidR="00B03442" w:rsidRPr="00D5126A" w:rsidRDefault="00B03442" w:rsidP="00B03442">
      <w:r w:rsidRPr="00D5126A">
        <w:t xml:space="preserve">Central government announced a $6.4 billion indicative package for Wellington’s transport future, which includes a walkable central city, a connected cycleway network, and public transport improvements such as mass transit between the central city and the airport. </w:t>
      </w:r>
    </w:p>
    <w:p w:rsidR="00B03442" w:rsidRPr="00D5126A" w:rsidRDefault="00B03442" w:rsidP="00B03442">
      <w:pPr>
        <w:pStyle w:val="Heading5"/>
      </w:pPr>
      <w:r w:rsidRPr="00D5126A">
        <w:t>Performance summary</w:t>
      </w:r>
    </w:p>
    <w:tbl>
      <w:tblPr>
        <w:tblW w:w="9045" w:type="dxa"/>
        <w:tblInd w:w="108" w:type="dxa"/>
        <w:tblLayout w:type="fixed"/>
        <w:tblLook w:val="04A0" w:firstRow="1" w:lastRow="0" w:firstColumn="1" w:lastColumn="0" w:noHBand="0" w:noVBand="1"/>
      </w:tblPr>
      <w:tblGrid>
        <w:gridCol w:w="2977"/>
        <w:gridCol w:w="1162"/>
        <w:gridCol w:w="936"/>
        <w:gridCol w:w="1389"/>
        <w:gridCol w:w="1163"/>
        <w:gridCol w:w="1418"/>
      </w:tblGrid>
      <w:tr w:rsidR="001E3FE2" w:rsidRPr="00D5126A" w:rsidTr="00576698">
        <w:trPr>
          <w:trHeight w:val="929"/>
        </w:trPr>
        <w:tc>
          <w:tcPr>
            <w:tcW w:w="2977" w:type="dxa"/>
            <w:tcBorders>
              <w:top w:val="nil"/>
              <w:left w:val="nil"/>
              <w:bottom w:val="nil"/>
              <w:right w:val="nil"/>
            </w:tcBorders>
            <w:shd w:val="clear" w:color="auto" w:fill="auto"/>
            <w:noWrap/>
            <w:vAlign w:val="center"/>
            <w:hideMark/>
          </w:tcPr>
          <w:p w:rsidR="001E3FE2" w:rsidRPr="00D5126A" w:rsidRDefault="001E3FE2" w:rsidP="001244BB">
            <w:pPr>
              <w:spacing w:after="0" w:line="240" w:lineRule="auto"/>
              <w:ind w:left="33" w:hanging="33"/>
              <w:jc w:val="center"/>
              <w:rPr>
                <w:rFonts w:ascii="Arial" w:eastAsia="Times New Roman" w:hAnsi="Arial" w:cs="Arial"/>
                <w:color w:val="000000"/>
                <w:sz w:val="20"/>
                <w:szCs w:val="20"/>
                <w:lang w:eastAsia="en-NZ"/>
              </w:rPr>
            </w:pPr>
          </w:p>
        </w:tc>
        <w:tc>
          <w:tcPr>
            <w:tcW w:w="1162" w:type="dxa"/>
            <w:tcBorders>
              <w:top w:val="nil"/>
              <w:left w:val="nil"/>
              <w:bottom w:val="nil"/>
              <w:right w:val="nil"/>
            </w:tcBorders>
            <w:shd w:val="clear" w:color="auto" w:fill="auto"/>
            <w:noWrap/>
            <w:vAlign w:val="center"/>
            <w:hideMark/>
          </w:tcPr>
          <w:p w:rsidR="001E3FE2" w:rsidRPr="00D5126A" w:rsidRDefault="001E3FE2" w:rsidP="0035318B">
            <w:pPr>
              <w:spacing w:after="0" w:line="240" w:lineRule="auto"/>
              <w:jc w:val="center"/>
              <w:rPr>
                <w:rFonts w:ascii="Arial" w:eastAsia="Times New Roman" w:hAnsi="Arial" w:cs="Arial"/>
                <w:i/>
                <w:color w:val="000000"/>
                <w:szCs w:val="20"/>
                <w:lang w:eastAsia="en-NZ"/>
              </w:rPr>
            </w:pPr>
            <w:r w:rsidRPr="00D5126A">
              <w:rPr>
                <w:rFonts w:ascii="Arial" w:eastAsia="Times New Roman" w:hAnsi="Arial" w:cs="Arial"/>
                <w:i/>
                <w:iCs/>
                <w:color w:val="000000"/>
                <w:szCs w:val="20"/>
                <w:lang w:eastAsia="en-NZ"/>
              </w:rPr>
              <w:t>Not met</w:t>
            </w:r>
          </w:p>
        </w:tc>
        <w:tc>
          <w:tcPr>
            <w:tcW w:w="936" w:type="dxa"/>
            <w:tcBorders>
              <w:top w:val="nil"/>
              <w:left w:val="nil"/>
              <w:bottom w:val="nil"/>
              <w:right w:val="nil"/>
            </w:tcBorders>
            <w:shd w:val="clear" w:color="auto" w:fill="auto"/>
            <w:noWrap/>
            <w:vAlign w:val="center"/>
            <w:hideMark/>
          </w:tcPr>
          <w:p w:rsidR="001E3FE2" w:rsidRPr="00D5126A" w:rsidRDefault="001E3FE2" w:rsidP="0035318B">
            <w:pPr>
              <w:spacing w:after="0" w:line="240" w:lineRule="auto"/>
              <w:jc w:val="center"/>
              <w:rPr>
                <w:rFonts w:ascii="Arial" w:eastAsia="Times New Roman" w:hAnsi="Arial" w:cs="Arial"/>
                <w:i/>
                <w:color w:val="000000"/>
                <w:szCs w:val="20"/>
                <w:lang w:eastAsia="en-NZ"/>
              </w:rPr>
            </w:pPr>
            <w:r>
              <w:rPr>
                <w:rFonts w:ascii="Arial" w:eastAsia="Times New Roman" w:hAnsi="Arial" w:cs="Arial"/>
                <w:i/>
                <w:color w:val="000000"/>
                <w:szCs w:val="20"/>
                <w:lang w:eastAsia="en-NZ"/>
              </w:rPr>
              <w:t>Within 10%</w:t>
            </w:r>
          </w:p>
        </w:tc>
        <w:tc>
          <w:tcPr>
            <w:tcW w:w="1389" w:type="dxa"/>
            <w:tcBorders>
              <w:top w:val="nil"/>
              <w:left w:val="nil"/>
              <w:bottom w:val="nil"/>
              <w:right w:val="nil"/>
            </w:tcBorders>
            <w:shd w:val="clear" w:color="auto" w:fill="auto"/>
            <w:noWrap/>
            <w:vAlign w:val="center"/>
            <w:hideMark/>
          </w:tcPr>
          <w:p w:rsidR="001E3FE2" w:rsidRPr="00D5126A" w:rsidRDefault="001E3FE2" w:rsidP="0035318B">
            <w:pPr>
              <w:spacing w:after="0" w:line="240" w:lineRule="auto"/>
              <w:jc w:val="center"/>
              <w:rPr>
                <w:rFonts w:ascii="Arial" w:eastAsia="Times New Roman" w:hAnsi="Arial" w:cs="Arial"/>
                <w:i/>
                <w:color w:val="000000"/>
                <w:szCs w:val="20"/>
                <w:lang w:eastAsia="en-NZ"/>
              </w:rPr>
            </w:pPr>
            <w:r w:rsidRPr="00D5126A">
              <w:rPr>
                <w:rFonts w:ascii="Arial" w:eastAsia="Times New Roman" w:hAnsi="Arial" w:cs="Arial"/>
                <w:i/>
                <w:iCs/>
                <w:color w:val="000000"/>
                <w:szCs w:val="20"/>
                <w:lang w:eastAsia="en-NZ"/>
              </w:rPr>
              <w:t>Exceeded</w:t>
            </w:r>
          </w:p>
        </w:tc>
        <w:tc>
          <w:tcPr>
            <w:tcW w:w="1163" w:type="dxa"/>
            <w:tcBorders>
              <w:top w:val="nil"/>
              <w:left w:val="nil"/>
              <w:bottom w:val="nil"/>
              <w:right w:val="nil"/>
            </w:tcBorders>
            <w:shd w:val="clear" w:color="auto" w:fill="auto"/>
            <w:vAlign w:val="center"/>
            <w:hideMark/>
          </w:tcPr>
          <w:p w:rsidR="001E3FE2" w:rsidRPr="00D5126A" w:rsidRDefault="001E3FE2" w:rsidP="0035318B">
            <w:pPr>
              <w:spacing w:after="0" w:line="240" w:lineRule="auto"/>
              <w:jc w:val="center"/>
              <w:rPr>
                <w:rFonts w:ascii="Arial" w:eastAsia="Times New Roman" w:hAnsi="Arial" w:cs="Arial"/>
                <w:i/>
                <w:color w:val="000000"/>
                <w:szCs w:val="20"/>
                <w:lang w:eastAsia="en-NZ"/>
              </w:rPr>
            </w:pPr>
            <w:r w:rsidRPr="00D5126A">
              <w:rPr>
                <w:rFonts w:ascii="Arial" w:eastAsia="Times New Roman" w:hAnsi="Arial" w:cs="Arial"/>
                <w:i/>
                <w:color w:val="000000"/>
                <w:szCs w:val="20"/>
                <w:lang w:eastAsia="en-NZ"/>
              </w:rPr>
              <w:t>Baseline</w:t>
            </w:r>
          </w:p>
        </w:tc>
        <w:tc>
          <w:tcPr>
            <w:tcW w:w="1418" w:type="dxa"/>
            <w:tcBorders>
              <w:top w:val="nil"/>
              <w:left w:val="nil"/>
              <w:bottom w:val="nil"/>
              <w:right w:val="nil"/>
            </w:tcBorders>
            <w:shd w:val="clear" w:color="auto" w:fill="auto"/>
            <w:vAlign w:val="center"/>
          </w:tcPr>
          <w:p w:rsidR="001E3FE2" w:rsidRPr="00D5126A" w:rsidRDefault="001E3FE2" w:rsidP="0035318B">
            <w:pPr>
              <w:spacing w:after="0" w:line="240" w:lineRule="auto"/>
              <w:jc w:val="center"/>
              <w:rPr>
                <w:rFonts w:ascii="Arial" w:eastAsia="Times New Roman" w:hAnsi="Arial" w:cs="Arial"/>
                <w:color w:val="000000"/>
                <w:szCs w:val="20"/>
                <w:lang w:eastAsia="en-NZ"/>
              </w:rPr>
            </w:pPr>
            <w:r w:rsidRPr="00D5126A">
              <w:rPr>
                <w:rFonts w:ascii="Arial" w:eastAsia="Times New Roman" w:hAnsi="Arial" w:cs="Arial"/>
                <w:color w:val="000000"/>
                <w:szCs w:val="20"/>
                <w:lang w:eastAsia="en-NZ"/>
              </w:rPr>
              <w:t>Total Measures</w:t>
            </w:r>
          </w:p>
        </w:tc>
      </w:tr>
      <w:tr w:rsidR="001E3FE2" w:rsidRPr="00D5126A" w:rsidTr="00576698">
        <w:trPr>
          <w:trHeight w:val="255"/>
        </w:trPr>
        <w:tc>
          <w:tcPr>
            <w:tcW w:w="2977" w:type="dxa"/>
            <w:tcBorders>
              <w:top w:val="nil"/>
              <w:left w:val="nil"/>
              <w:bottom w:val="nil"/>
              <w:right w:val="nil"/>
            </w:tcBorders>
            <w:shd w:val="clear" w:color="auto" w:fill="FF0000"/>
            <w:noWrap/>
            <w:vAlign w:val="bottom"/>
          </w:tcPr>
          <w:p w:rsidR="001E3FE2" w:rsidRPr="00D5126A" w:rsidRDefault="001E3FE2" w:rsidP="00FB7144">
            <w:pPr>
              <w:spacing w:after="0"/>
              <w:rPr>
                <w:rFonts w:cstheme="minorHAnsi"/>
                <w:b/>
                <w:bCs/>
                <w:color w:val="FFFFFF" w:themeColor="background1"/>
                <w:szCs w:val="20"/>
              </w:rPr>
            </w:pPr>
            <w:r w:rsidRPr="00D5126A">
              <w:rPr>
                <w:rFonts w:cstheme="minorHAnsi"/>
                <w:b/>
                <w:bCs/>
                <w:color w:val="FFFFFF" w:themeColor="background1"/>
                <w:szCs w:val="20"/>
              </w:rPr>
              <w:t>Waka - Transport</w:t>
            </w:r>
          </w:p>
        </w:tc>
        <w:tc>
          <w:tcPr>
            <w:tcW w:w="1162" w:type="dxa"/>
            <w:tcBorders>
              <w:top w:val="nil"/>
              <w:left w:val="nil"/>
              <w:bottom w:val="nil"/>
              <w:right w:val="nil"/>
            </w:tcBorders>
            <w:shd w:val="clear" w:color="auto" w:fill="FF0000"/>
            <w:noWrap/>
            <w:vAlign w:val="center"/>
          </w:tcPr>
          <w:p w:rsidR="001E3FE2" w:rsidRPr="00D5126A" w:rsidRDefault="001E3FE2" w:rsidP="00FB7144">
            <w:pPr>
              <w:spacing w:after="0"/>
              <w:jc w:val="center"/>
              <w:rPr>
                <w:rFonts w:cstheme="minorHAnsi"/>
                <w:b/>
                <w:color w:val="FFFFFF" w:themeColor="background1"/>
                <w:sz w:val="24"/>
                <w:szCs w:val="20"/>
              </w:rPr>
            </w:pPr>
            <w:r w:rsidRPr="00D5126A">
              <w:rPr>
                <w:rFonts w:cstheme="minorHAnsi"/>
                <w:b/>
                <w:color w:val="FFFFFF" w:themeColor="background1"/>
                <w:sz w:val="24"/>
                <w:szCs w:val="20"/>
              </w:rPr>
              <w:t>12</w:t>
            </w:r>
          </w:p>
        </w:tc>
        <w:tc>
          <w:tcPr>
            <w:tcW w:w="936" w:type="dxa"/>
            <w:tcBorders>
              <w:top w:val="nil"/>
              <w:left w:val="nil"/>
              <w:bottom w:val="nil"/>
              <w:right w:val="nil"/>
            </w:tcBorders>
            <w:shd w:val="clear" w:color="auto" w:fill="FF0000"/>
            <w:noWrap/>
            <w:vAlign w:val="center"/>
          </w:tcPr>
          <w:p w:rsidR="001E3FE2" w:rsidRPr="00D5126A" w:rsidRDefault="001E3FE2" w:rsidP="00FB7144">
            <w:pPr>
              <w:spacing w:after="0"/>
              <w:jc w:val="center"/>
              <w:rPr>
                <w:rFonts w:cstheme="minorHAnsi"/>
                <w:b/>
                <w:color w:val="FFFFFF" w:themeColor="background1"/>
                <w:sz w:val="24"/>
                <w:szCs w:val="20"/>
              </w:rPr>
            </w:pPr>
            <w:r>
              <w:rPr>
                <w:rFonts w:cstheme="minorHAnsi"/>
                <w:b/>
                <w:color w:val="FFFFFF" w:themeColor="background1"/>
                <w:sz w:val="24"/>
                <w:szCs w:val="20"/>
              </w:rPr>
              <w:t>23</w:t>
            </w:r>
          </w:p>
        </w:tc>
        <w:tc>
          <w:tcPr>
            <w:tcW w:w="1389" w:type="dxa"/>
            <w:tcBorders>
              <w:top w:val="nil"/>
              <w:left w:val="nil"/>
              <w:bottom w:val="nil"/>
              <w:right w:val="nil"/>
            </w:tcBorders>
            <w:shd w:val="clear" w:color="auto" w:fill="FF0000"/>
            <w:noWrap/>
            <w:vAlign w:val="center"/>
          </w:tcPr>
          <w:p w:rsidR="001E3FE2" w:rsidRPr="00D5126A" w:rsidRDefault="001E3FE2" w:rsidP="00FB7144">
            <w:pPr>
              <w:spacing w:after="0"/>
              <w:jc w:val="center"/>
              <w:rPr>
                <w:rFonts w:cstheme="minorHAnsi"/>
                <w:b/>
                <w:color w:val="FFFFFF" w:themeColor="background1"/>
                <w:sz w:val="24"/>
                <w:szCs w:val="20"/>
              </w:rPr>
            </w:pPr>
            <w:r>
              <w:rPr>
                <w:rFonts w:cstheme="minorHAnsi"/>
                <w:b/>
                <w:color w:val="FFFFFF" w:themeColor="background1"/>
                <w:sz w:val="24"/>
                <w:szCs w:val="20"/>
              </w:rPr>
              <w:t>2</w:t>
            </w:r>
          </w:p>
        </w:tc>
        <w:tc>
          <w:tcPr>
            <w:tcW w:w="1163" w:type="dxa"/>
            <w:tcBorders>
              <w:top w:val="nil"/>
              <w:left w:val="nil"/>
              <w:bottom w:val="nil"/>
              <w:right w:val="nil"/>
            </w:tcBorders>
            <w:shd w:val="clear" w:color="auto" w:fill="FF0000"/>
            <w:noWrap/>
            <w:vAlign w:val="center"/>
          </w:tcPr>
          <w:p w:rsidR="001E3FE2" w:rsidRPr="00D5126A" w:rsidRDefault="001E3FE2" w:rsidP="00FB7144">
            <w:pPr>
              <w:spacing w:after="0"/>
              <w:jc w:val="center"/>
              <w:rPr>
                <w:rFonts w:cstheme="minorHAnsi"/>
                <w:b/>
                <w:color w:val="FFFFFF" w:themeColor="background1"/>
                <w:sz w:val="24"/>
                <w:szCs w:val="20"/>
              </w:rPr>
            </w:pPr>
            <w:r w:rsidRPr="00D5126A">
              <w:rPr>
                <w:rFonts w:cstheme="minorHAnsi"/>
                <w:b/>
                <w:color w:val="FFFFFF" w:themeColor="background1"/>
                <w:sz w:val="24"/>
                <w:szCs w:val="20"/>
              </w:rPr>
              <w:t>1</w:t>
            </w:r>
          </w:p>
        </w:tc>
        <w:tc>
          <w:tcPr>
            <w:tcW w:w="1418" w:type="dxa"/>
            <w:tcBorders>
              <w:top w:val="nil"/>
              <w:left w:val="nil"/>
              <w:bottom w:val="nil"/>
              <w:right w:val="nil"/>
            </w:tcBorders>
            <w:shd w:val="clear" w:color="auto" w:fill="FF0000"/>
            <w:noWrap/>
            <w:vAlign w:val="center"/>
          </w:tcPr>
          <w:p w:rsidR="001E3FE2" w:rsidRPr="00D5126A" w:rsidRDefault="001E3FE2" w:rsidP="00FB7144">
            <w:pPr>
              <w:spacing w:after="0"/>
              <w:jc w:val="center"/>
              <w:rPr>
                <w:rFonts w:cstheme="minorHAnsi"/>
                <w:b/>
                <w:color w:val="FFFFFF" w:themeColor="background1"/>
                <w:sz w:val="24"/>
                <w:szCs w:val="20"/>
              </w:rPr>
            </w:pPr>
            <w:r w:rsidRPr="00D5126A">
              <w:rPr>
                <w:rFonts w:cstheme="minorHAnsi"/>
                <w:b/>
                <w:color w:val="FFFFFF" w:themeColor="background1"/>
                <w:sz w:val="24"/>
                <w:szCs w:val="20"/>
              </w:rPr>
              <w:t>38</w:t>
            </w:r>
          </w:p>
        </w:tc>
      </w:tr>
    </w:tbl>
    <w:p w:rsidR="00B03442" w:rsidRPr="00D5126A" w:rsidRDefault="00B03442" w:rsidP="00B03442">
      <w:pPr>
        <w:pStyle w:val="Heading5"/>
        <w:rPr>
          <w:color w:val="FF0000"/>
        </w:rPr>
      </w:pPr>
      <w:r w:rsidRPr="00D5126A">
        <w:rPr>
          <w:color w:val="FF0000"/>
        </w:rPr>
        <w:t>Financial summary</w:t>
      </w:r>
      <w:bookmarkEnd w:id="111"/>
    </w:p>
    <w:tbl>
      <w:tblPr>
        <w:tblW w:w="5000" w:type="pct"/>
        <w:tblInd w:w="40" w:type="dxa"/>
        <w:tblCellMar>
          <w:left w:w="10" w:type="dxa"/>
          <w:right w:w="10" w:type="dxa"/>
        </w:tblCellMar>
        <w:tblLook w:val="0000" w:firstRow="0" w:lastRow="0" w:firstColumn="0" w:lastColumn="0" w:noHBand="0" w:noVBand="0"/>
      </w:tblPr>
      <w:tblGrid>
        <w:gridCol w:w="5093"/>
        <w:gridCol w:w="4056"/>
      </w:tblGrid>
      <w:tr w:rsidR="00B03442" w:rsidRPr="00D5126A" w:rsidTr="001244BB">
        <w:tc>
          <w:tcPr>
            <w:tcW w:w="0" w:type="auto"/>
            <w:tcMar>
              <w:top w:w="40" w:type="dxa"/>
              <w:left w:w="40" w:type="dxa"/>
              <w:bottom w:w="40" w:type="dxa"/>
              <w:right w:w="40" w:type="dxa"/>
            </w:tcMar>
          </w:tcPr>
          <w:p w:rsidR="00B03442" w:rsidRPr="00D5126A" w:rsidRDefault="00B03442" w:rsidP="001244BB">
            <w:pPr>
              <w:pStyle w:val="Para001"/>
              <w:spacing w:after="0" w:line="240" w:lineRule="auto"/>
              <w:rPr>
                <w:b/>
                <w:color w:val="FF0000"/>
                <w:u w:val="single"/>
              </w:rPr>
            </w:pPr>
            <w:r w:rsidRPr="00D5126A">
              <w:rPr>
                <w:b/>
                <w:color w:val="FF0000"/>
                <w:u w:val="single"/>
              </w:rPr>
              <w:t>Net operating expenditure $000</w:t>
            </w:r>
          </w:p>
          <w:p w:rsidR="00B03442" w:rsidRPr="00D5126A" w:rsidRDefault="00B03442" w:rsidP="001244BB">
            <w:pPr>
              <w:pStyle w:val="Para001"/>
              <w:spacing w:after="0" w:line="240" w:lineRule="auto"/>
              <w:rPr>
                <w:color w:val="FF0000"/>
              </w:rPr>
            </w:pPr>
            <w:r w:rsidRPr="00D5126A">
              <w:rPr>
                <w:b/>
                <w:color w:val="FF0000"/>
              </w:rPr>
              <w:t>Actual:</w:t>
            </w:r>
            <w:r w:rsidRPr="00D5126A">
              <w:rPr>
                <w:color w:val="FF0000"/>
              </w:rPr>
              <w:t xml:space="preserve"> 31,014</w:t>
            </w:r>
          </w:p>
          <w:p w:rsidR="00B03442" w:rsidRPr="00D5126A" w:rsidRDefault="00B03442" w:rsidP="001244BB">
            <w:pPr>
              <w:pStyle w:val="Para001"/>
              <w:spacing w:after="0" w:line="240" w:lineRule="auto"/>
              <w:rPr>
                <w:b/>
                <w:color w:val="FF0000"/>
                <w:u w:val="single"/>
              </w:rPr>
            </w:pPr>
            <w:r w:rsidRPr="00D5126A">
              <w:rPr>
                <w:b/>
                <w:color w:val="FF0000"/>
              </w:rPr>
              <w:t>Budget:</w:t>
            </w:r>
            <w:r w:rsidRPr="00D5126A">
              <w:rPr>
                <w:color w:val="FF0000"/>
              </w:rPr>
              <w:t xml:space="preserve"> 40,223</w:t>
            </w:r>
          </w:p>
        </w:tc>
        <w:tc>
          <w:tcPr>
            <w:tcW w:w="0" w:type="auto"/>
            <w:tcMar>
              <w:top w:w="40" w:type="dxa"/>
              <w:left w:w="40" w:type="dxa"/>
              <w:bottom w:w="40" w:type="dxa"/>
              <w:right w:w="40" w:type="dxa"/>
            </w:tcMar>
          </w:tcPr>
          <w:p w:rsidR="00B03442" w:rsidRPr="00D5126A" w:rsidRDefault="00B03442" w:rsidP="001244BB">
            <w:pPr>
              <w:pStyle w:val="Para001"/>
              <w:spacing w:after="0" w:line="240" w:lineRule="auto"/>
              <w:rPr>
                <w:b/>
                <w:color w:val="FF0000"/>
                <w:u w:val="single"/>
              </w:rPr>
            </w:pPr>
            <w:r w:rsidRPr="00D5126A">
              <w:rPr>
                <w:b/>
                <w:color w:val="FF0000"/>
                <w:u w:val="single"/>
              </w:rPr>
              <w:t>Capital expenditure $000</w:t>
            </w:r>
          </w:p>
          <w:p w:rsidR="00B03442" w:rsidRPr="00D5126A" w:rsidRDefault="00B03442" w:rsidP="001244BB">
            <w:pPr>
              <w:pStyle w:val="Para001"/>
              <w:spacing w:after="0" w:line="240" w:lineRule="auto"/>
              <w:rPr>
                <w:color w:val="FF0000"/>
              </w:rPr>
            </w:pPr>
            <w:r w:rsidRPr="00D5126A">
              <w:rPr>
                <w:b/>
                <w:color w:val="FF0000"/>
              </w:rPr>
              <w:t>Actual:</w:t>
            </w:r>
            <w:r w:rsidRPr="00D5126A">
              <w:rPr>
                <w:color w:val="FF0000"/>
              </w:rPr>
              <w:t xml:space="preserve"> </w:t>
            </w:r>
            <w:r w:rsidRPr="00D5126A">
              <w:rPr>
                <w:rFonts w:ascii="Arial" w:hAnsi="Arial" w:cs="Arial"/>
                <w:bCs/>
                <w:color w:val="FF0000"/>
                <w:szCs w:val="20"/>
              </w:rPr>
              <w:t>54,313</w:t>
            </w:r>
          </w:p>
          <w:p w:rsidR="00B03442" w:rsidRDefault="00B03442" w:rsidP="001244BB">
            <w:pPr>
              <w:pStyle w:val="NoSpacing"/>
              <w:rPr>
                <w:color w:val="FF0000"/>
              </w:rPr>
            </w:pPr>
            <w:r w:rsidRPr="00D5126A">
              <w:rPr>
                <w:b/>
                <w:color w:val="FF0000"/>
              </w:rPr>
              <w:t>Budget:</w:t>
            </w:r>
            <w:r w:rsidRPr="00D5126A">
              <w:rPr>
                <w:color w:val="FF0000"/>
              </w:rPr>
              <w:t xml:space="preserve"> 74,324</w:t>
            </w:r>
          </w:p>
          <w:p w:rsidR="006D6061" w:rsidRPr="00D5126A" w:rsidRDefault="006D6061" w:rsidP="001244BB">
            <w:pPr>
              <w:pStyle w:val="NoSpacing"/>
              <w:rPr>
                <w:rFonts w:ascii="Arial" w:hAnsi="Arial" w:cs="Arial"/>
                <w:bCs/>
                <w:color w:val="FF0000"/>
                <w:szCs w:val="20"/>
              </w:rPr>
            </w:pPr>
            <w:r w:rsidRPr="00576698">
              <w:rPr>
                <w:b/>
                <w:color w:val="FF0000"/>
              </w:rPr>
              <w:t>Revised budget:</w:t>
            </w:r>
            <w:r>
              <w:rPr>
                <w:color w:val="FF0000"/>
              </w:rPr>
              <w:t xml:space="preserve"> 75,454</w:t>
            </w:r>
          </w:p>
        </w:tc>
      </w:tr>
    </w:tbl>
    <w:p w:rsidR="0067332A" w:rsidRPr="00D5126A" w:rsidRDefault="0067332A">
      <w:pPr>
        <w:rPr>
          <w:rFonts w:eastAsia="Times New Roman" w:cstheme="minorHAnsi"/>
          <w:b/>
          <w:bCs/>
          <w:color w:val="FF0000"/>
          <w:sz w:val="34"/>
          <w:szCs w:val="34"/>
          <w:lang w:eastAsia="en-NZ"/>
        </w:rPr>
      </w:pPr>
      <w:r w:rsidRPr="00D5126A">
        <w:rPr>
          <w:color w:val="FF0000"/>
        </w:rPr>
        <w:br w:type="page"/>
      </w:r>
    </w:p>
    <w:p w:rsidR="0025226F" w:rsidRPr="00D5126A" w:rsidRDefault="00C334AC" w:rsidP="00511602">
      <w:pPr>
        <w:pStyle w:val="Heading3"/>
      </w:pPr>
      <w:bookmarkStart w:id="112" w:name="_Toc19085802"/>
      <w:r w:rsidRPr="00D5126A">
        <w:lastRenderedPageBreak/>
        <w:t>Our Finances</w:t>
      </w:r>
      <w:bookmarkEnd w:id="112"/>
    </w:p>
    <w:p w:rsidR="0083026E" w:rsidRPr="00D5126A" w:rsidRDefault="0083026E" w:rsidP="0083026E">
      <w:pPr>
        <w:rPr>
          <w:rFonts w:ascii="Arial" w:hAnsi="Arial" w:cs="Arial"/>
        </w:rPr>
      </w:pPr>
      <w:r w:rsidRPr="00D5126A">
        <w:rPr>
          <w:rFonts w:ascii="Arial" w:hAnsi="Arial" w:cs="Arial"/>
        </w:rPr>
        <w:t>For the financial year Council has achieved an underlying surplus of $1.5</w:t>
      </w:r>
      <w:r w:rsidR="00CE02B9">
        <w:rPr>
          <w:rFonts w:ascii="Arial" w:hAnsi="Arial" w:cs="Arial"/>
        </w:rPr>
        <w:t xml:space="preserve"> million</w:t>
      </w:r>
      <w:r w:rsidRPr="00D5126A">
        <w:rPr>
          <w:rFonts w:ascii="Arial" w:hAnsi="Arial" w:cs="Arial"/>
        </w:rPr>
        <w:t>, a result within 0.3% of budgeted operating expenditure. The operating surplus of $26.6</w:t>
      </w:r>
      <w:r w:rsidR="00CE02B9">
        <w:rPr>
          <w:rFonts w:ascii="Arial" w:hAnsi="Arial" w:cs="Arial"/>
        </w:rPr>
        <w:t xml:space="preserve"> million</w:t>
      </w:r>
      <w:r w:rsidRPr="00D5126A">
        <w:rPr>
          <w:rFonts w:ascii="Arial" w:hAnsi="Arial" w:cs="Arial"/>
        </w:rPr>
        <w:t xml:space="preserve"> is impacted by the $50.5</w:t>
      </w:r>
      <w:r w:rsidR="00CE02B9">
        <w:rPr>
          <w:rFonts w:ascii="Arial" w:hAnsi="Arial" w:cs="Arial"/>
        </w:rPr>
        <w:t xml:space="preserve"> million</w:t>
      </w:r>
      <w:r w:rsidRPr="00D5126A">
        <w:rPr>
          <w:rFonts w:ascii="Arial" w:hAnsi="Arial" w:cs="Arial"/>
        </w:rPr>
        <w:t xml:space="preserve"> impairment to the value of the Civic Precinct </w:t>
      </w:r>
      <w:proofErr w:type="gramStart"/>
      <w:r w:rsidRPr="00D5126A">
        <w:rPr>
          <w:rFonts w:ascii="Arial" w:hAnsi="Arial" w:cs="Arial"/>
        </w:rPr>
        <w:t>buildings</w:t>
      </w:r>
      <w:r w:rsidR="00CE02B9">
        <w:rPr>
          <w:rFonts w:ascii="Arial" w:hAnsi="Arial" w:cs="Arial"/>
        </w:rPr>
        <w:t>,</w:t>
      </w:r>
      <w:proofErr w:type="gramEnd"/>
      <w:r w:rsidRPr="00D5126A">
        <w:rPr>
          <w:rFonts w:ascii="Arial" w:hAnsi="Arial" w:cs="Arial"/>
        </w:rPr>
        <w:t xml:space="preserve"> resulting in a net deficit of $23.9</w:t>
      </w:r>
      <w:r w:rsidR="00CE02B9">
        <w:rPr>
          <w:rFonts w:ascii="Arial" w:hAnsi="Arial" w:cs="Arial"/>
        </w:rPr>
        <w:t xml:space="preserve"> million</w:t>
      </w:r>
      <w:r w:rsidRPr="00D5126A">
        <w:rPr>
          <w:rFonts w:ascii="Arial" w:hAnsi="Arial" w:cs="Arial"/>
        </w:rPr>
        <w:t xml:space="preserve"> Our financial position remains healthy. Council debt is within Council’s borrowing policy and we have investments that provide returns exceeding debt servicing costs. Accordingly, we have maintained our AA credit rating with Standard &amp; Poor’s, the highest for a public sector entity.</w:t>
      </w:r>
    </w:p>
    <w:tbl>
      <w:tblPr>
        <w:tblStyle w:val="TableGrid"/>
        <w:tblW w:w="0" w:type="auto"/>
        <w:tblLook w:val="04A0" w:firstRow="1" w:lastRow="0" w:firstColumn="1" w:lastColumn="0" w:noHBand="0" w:noVBand="1"/>
      </w:tblPr>
      <w:tblGrid>
        <w:gridCol w:w="4620"/>
        <w:gridCol w:w="4621"/>
      </w:tblGrid>
      <w:tr w:rsidR="0025226F" w:rsidRPr="00D5126A" w:rsidTr="0025226F">
        <w:tc>
          <w:tcPr>
            <w:tcW w:w="4620" w:type="dxa"/>
          </w:tcPr>
          <w:p w:rsidR="0025226F" w:rsidRPr="00D5126A" w:rsidRDefault="0025226F" w:rsidP="002627DD">
            <w:pPr>
              <w:pStyle w:val="Para065"/>
              <w:spacing w:before="0" w:after="0" w:line="240" w:lineRule="auto"/>
              <w:rPr>
                <w:rFonts w:ascii="Arial" w:hAnsi="Arial" w:cs="Arial"/>
                <w:b/>
              </w:rPr>
            </w:pPr>
            <w:r w:rsidRPr="00D5126A">
              <w:rPr>
                <w:rFonts w:ascii="Arial" w:hAnsi="Arial" w:cs="Arial"/>
                <w:b/>
                <w:sz w:val="48"/>
              </w:rPr>
              <w:t>$</w:t>
            </w:r>
            <w:r w:rsidR="00511602" w:rsidRPr="00D5126A">
              <w:rPr>
                <w:rFonts w:ascii="Arial" w:hAnsi="Arial" w:cs="Arial"/>
                <w:b/>
                <w:sz w:val="48"/>
              </w:rPr>
              <w:t>1.</w:t>
            </w:r>
            <w:r w:rsidR="00EA417D" w:rsidRPr="00D5126A">
              <w:rPr>
                <w:rFonts w:ascii="Arial" w:hAnsi="Arial" w:cs="Arial"/>
                <w:b/>
                <w:sz w:val="48"/>
              </w:rPr>
              <w:t>5</w:t>
            </w:r>
            <w:r w:rsidR="00511602" w:rsidRPr="00D5126A">
              <w:rPr>
                <w:rFonts w:ascii="Arial" w:hAnsi="Arial" w:cs="Arial"/>
                <w:b/>
                <w:sz w:val="48"/>
              </w:rPr>
              <w:t>m</w:t>
            </w:r>
          </w:p>
          <w:p w:rsidR="0025226F" w:rsidRPr="00576698" w:rsidRDefault="0025226F" w:rsidP="00BD4F4B">
            <w:pPr>
              <w:pStyle w:val="Para065"/>
              <w:spacing w:before="0" w:line="240" w:lineRule="auto"/>
              <w:ind w:left="0" w:right="9"/>
              <w:rPr>
                <w:rFonts w:ascii="Arial" w:hAnsi="Arial" w:cs="Arial"/>
                <w:sz w:val="32"/>
                <w:szCs w:val="32"/>
              </w:rPr>
            </w:pPr>
            <w:r w:rsidRPr="00576698">
              <w:rPr>
                <w:rFonts w:ascii="Arial" w:hAnsi="Arial" w:cs="Arial"/>
                <w:sz w:val="32"/>
                <w:szCs w:val="32"/>
              </w:rPr>
              <w:t>Underlying result for 2018/19, 0.</w:t>
            </w:r>
            <w:r w:rsidR="00511602" w:rsidRPr="00576698">
              <w:rPr>
                <w:rFonts w:ascii="Arial" w:hAnsi="Arial" w:cs="Arial"/>
                <w:sz w:val="32"/>
                <w:szCs w:val="32"/>
              </w:rPr>
              <w:t>3</w:t>
            </w:r>
            <w:r w:rsidRPr="00576698">
              <w:rPr>
                <w:rFonts w:ascii="Arial" w:hAnsi="Arial" w:cs="Arial"/>
                <w:sz w:val="32"/>
                <w:szCs w:val="32"/>
              </w:rPr>
              <w:t>% of operating expenditure</w:t>
            </w:r>
          </w:p>
          <w:p w:rsidR="0025226F" w:rsidRPr="00D5126A" w:rsidRDefault="0083026E" w:rsidP="006D6061">
            <w:pPr>
              <w:spacing w:after="170"/>
              <w:rPr>
                <w:color w:val="808080" w:themeColor="background1" w:themeShade="80"/>
              </w:rPr>
            </w:pPr>
            <w:r w:rsidRPr="00D5126A">
              <w:rPr>
                <w:rFonts w:ascii="Arial" w:hAnsi="Arial" w:cs="Arial"/>
                <w:sz w:val="20"/>
              </w:rPr>
              <w:t>The underlying surplus is the reported net deficit ($23.9m,) excluding non-funded / separately funded items ($36.1m</w:t>
            </w:r>
            <w:r w:rsidR="002E2131" w:rsidRPr="00D5126A">
              <w:rPr>
                <w:rFonts w:ascii="Arial" w:hAnsi="Arial" w:cs="Arial"/>
                <w:sz w:val="20"/>
              </w:rPr>
              <w:t>), capital funding ($34.3</w:t>
            </w:r>
            <w:r w:rsidRPr="00D5126A">
              <w:rPr>
                <w:rFonts w:ascii="Arial" w:hAnsi="Arial" w:cs="Arial"/>
                <w:sz w:val="20"/>
              </w:rPr>
              <w:t>m)</w:t>
            </w:r>
            <w:r w:rsidR="002E2131" w:rsidRPr="00D5126A">
              <w:rPr>
                <w:rFonts w:ascii="Arial" w:hAnsi="Arial" w:cs="Arial"/>
                <w:sz w:val="20"/>
              </w:rPr>
              <w:t>, ring-fenced activities ($22.1</w:t>
            </w:r>
            <w:r w:rsidRPr="00D5126A">
              <w:rPr>
                <w:rFonts w:ascii="Arial" w:hAnsi="Arial" w:cs="Arial"/>
                <w:sz w:val="20"/>
              </w:rPr>
              <w:t>m) and other adjustments ($1.5m) that do not affect the Council’s rating requirements. (Council budgets are set to have a nil underlying net result).</w:t>
            </w:r>
          </w:p>
        </w:tc>
        <w:tc>
          <w:tcPr>
            <w:tcW w:w="4621" w:type="dxa"/>
          </w:tcPr>
          <w:p w:rsidR="0025226F" w:rsidRPr="00D5126A" w:rsidRDefault="0025226F" w:rsidP="002627DD">
            <w:pPr>
              <w:pStyle w:val="Para065"/>
              <w:spacing w:before="0" w:after="0" w:line="240" w:lineRule="auto"/>
              <w:rPr>
                <w:rFonts w:ascii="Arial" w:hAnsi="Arial" w:cs="Arial"/>
                <w:b/>
                <w:sz w:val="48"/>
              </w:rPr>
            </w:pPr>
            <w:r w:rsidRPr="00D5126A">
              <w:rPr>
                <w:rFonts w:ascii="Arial" w:hAnsi="Arial" w:cs="Arial"/>
                <w:b/>
                <w:sz w:val="48"/>
              </w:rPr>
              <w:t>$</w:t>
            </w:r>
            <w:r w:rsidR="002E2131" w:rsidRPr="00D5126A">
              <w:rPr>
                <w:rFonts w:ascii="Arial" w:hAnsi="Arial" w:cs="Arial"/>
                <w:b/>
                <w:sz w:val="48"/>
              </w:rPr>
              <w:t>6.</w:t>
            </w:r>
            <w:r w:rsidR="000B6831">
              <w:rPr>
                <w:rFonts w:ascii="Arial" w:hAnsi="Arial" w:cs="Arial"/>
                <w:b/>
                <w:sz w:val="48"/>
              </w:rPr>
              <w:t>7</w:t>
            </w:r>
            <w:r w:rsidR="00683839">
              <w:rPr>
                <w:rFonts w:ascii="Arial" w:hAnsi="Arial" w:cs="Arial"/>
                <w:b/>
                <w:sz w:val="48"/>
              </w:rPr>
              <w:t>5</w:t>
            </w:r>
          </w:p>
          <w:p w:rsidR="0025226F" w:rsidRPr="00576698" w:rsidRDefault="00576698" w:rsidP="00BD4F4B">
            <w:pPr>
              <w:pStyle w:val="Para065"/>
              <w:spacing w:before="0" w:line="240" w:lineRule="auto"/>
              <w:ind w:left="58" w:right="0"/>
              <w:rPr>
                <w:rFonts w:ascii="Arial" w:hAnsi="Arial" w:cs="Arial"/>
                <w:color w:val="808080" w:themeColor="background1" w:themeShade="80"/>
                <w:sz w:val="32"/>
                <w:szCs w:val="32"/>
              </w:rPr>
            </w:pPr>
            <w:r w:rsidRPr="00576698">
              <w:rPr>
                <w:rFonts w:ascii="Arial" w:hAnsi="Arial" w:cs="Arial"/>
                <w:sz w:val="32"/>
                <w:szCs w:val="32"/>
              </w:rPr>
              <w:t xml:space="preserve">Operational cost of </w:t>
            </w:r>
            <w:r w:rsidR="0025226F" w:rsidRPr="00576698">
              <w:rPr>
                <w:rFonts w:ascii="Arial" w:hAnsi="Arial" w:cs="Arial"/>
                <w:sz w:val="32"/>
                <w:szCs w:val="32"/>
              </w:rPr>
              <w:t>Council services per resident per day</w:t>
            </w:r>
          </w:p>
          <w:p w:rsidR="0025226F" w:rsidRPr="00D5126A" w:rsidRDefault="002E2131" w:rsidP="009A6429">
            <w:pPr>
              <w:spacing w:after="170"/>
              <w:rPr>
                <w:color w:val="808080" w:themeColor="background1" w:themeShade="80"/>
              </w:rPr>
            </w:pPr>
            <w:r w:rsidRPr="00D5126A">
              <w:rPr>
                <w:rFonts w:ascii="Arial" w:hAnsi="Arial" w:cs="Arial"/>
                <w:sz w:val="20"/>
              </w:rPr>
              <w:t xml:space="preserve">Our services include managing and maintaining facilities like libraries, swimming pools, sportsfields, community centres and parks, keeping our roads and footpaths at a high standard, making sure we have safe drinking water, and supporting arts, cultural and sporting events. </w:t>
            </w:r>
            <w:r w:rsidR="002E438F">
              <w:rPr>
                <w:rFonts w:ascii="Arial" w:hAnsi="Arial" w:cs="Arial"/>
                <w:sz w:val="20"/>
              </w:rPr>
              <w:t>T</w:t>
            </w:r>
            <w:r w:rsidR="002E438F" w:rsidRPr="00D5126A">
              <w:rPr>
                <w:rFonts w:ascii="Arial" w:hAnsi="Arial" w:cs="Arial"/>
                <w:sz w:val="20"/>
              </w:rPr>
              <w:t>o arrive at the cost of Council services per resident per day</w:t>
            </w:r>
            <w:r w:rsidR="002E438F">
              <w:rPr>
                <w:rFonts w:ascii="Arial" w:hAnsi="Arial" w:cs="Arial"/>
                <w:sz w:val="20"/>
              </w:rPr>
              <w:t>,</w:t>
            </w:r>
            <w:r w:rsidR="002E438F" w:rsidRPr="00D5126A">
              <w:rPr>
                <w:rFonts w:ascii="Arial" w:hAnsi="Arial" w:cs="Arial"/>
                <w:sz w:val="20"/>
              </w:rPr>
              <w:t xml:space="preserve"> </w:t>
            </w:r>
            <w:r w:rsidR="002E438F">
              <w:rPr>
                <w:rFonts w:ascii="Arial" w:hAnsi="Arial" w:cs="Arial"/>
                <w:sz w:val="20"/>
              </w:rPr>
              <w:t xml:space="preserve">we have excluded </w:t>
            </w:r>
            <w:r w:rsidR="002E438F" w:rsidRPr="00D5126A">
              <w:rPr>
                <w:rFonts w:ascii="Arial" w:hAnsi="Arial" w:cs="Arial"/>
                <w:sz w:val="20"/>
              </w:rPr>
              <w:t>Civic Precinct impairment costs</w:t>
            </w:r>
            <w:r w:rsidR="002E438F">
              <w:rPr>
                <w:rFonts w:ascii="Arial" w:hAnsi="Arial" w:cs="Arial"/>
                <w:sz w:val="20"/>
              </w:rPr>
              <w:t xml:space="preserve"> from total </w:t>
            </w:r>
            <w:r w:rsidR="00CE02B9">
              <w:rPr>
                <w:rFonts w:ascii="Arial" w:hAnsi="Arial" w:cs="Arial"/>
                <w:sz w:val="20"/>
              </w:rPr>
              <w:t>o</w:t>
            </w:r>
            <w:r w:rsidR="00CE02B9" w:rsidRPr="00D5126A">
              <w:rPr>
                <w:rFonts w:ascii="Arial" w:hAnsi="Arial" w:cs="Arial"/>
                <w:sz w:val="20"/>
              </w:rPr>
              <w:t xml:space="preserve">perational </w:t>
            </w:r>
            <w:r w:rsidRPr="00D5126A">
              <w:rPr>
                <w:rFonts w:ascii="Arial" w:hAnsi="Arial" w:cs="Arial"/>
                <w:sz w:val="20"/>
              </w:rPr>
              <w:t>costs</w:t>
            </w:r>
            <w:r w:rsidR="002E438F">
              <w:rPr>
                <w:rFonts w:ascii="Arial" w:hAnsi="Arial" w:cs="Arial"/>
                <w:sz w:val="20"/>
              </w:rPr>
              <w:t>.</w:t>
            </w:r>
            <w:r w:rsidRPr="00D5126A">
              <w:rPr>
                <w:rFonts w:ascii="Arial" w:hAnsi="Arial" w:cs="Arial"/>
                <w:sz w:val="20"/>
              </w:rPr>
              <w:t xml:space="preserve"> </w:t>
            </w:r>
          </w:p>
        </w:tc>
      </w:tr>
      <w:tr w:rsidR="0025226F" w:rsidRPr="00D5126A" w:rsidTr="0025226F">
        <w:tc>
          <w:tcPr>
            <w:tcW w:w="4620" w:type="dxa"/>
          </w:tcPr>
          <w:p w:rsidR="0025226F" w:rsidRPr="00D5126A" w:rsidRDefault="0025226F" w:rsidP="002627DD">
            <w:pPr>
              <w:pStyle w:val="Para065"/>
              <w:spacing w:before="0" w:after="0" w:line="240" w:lineRule="auto"/>
              <w:rPr>
                <w:rFonts w:ascii="Arial" w:hAnsi="Arial" w:cs="Arial"/>
                <w:b/>
                <w:sz w:val="48"/>
              </w:rPr>
            </w:pPr>
            <w:r w:rsidRPr="00D5126A">
              <w:rPr>
                <w:rFonts w:ascii="Arial" w:hAnsi="Arial" w:cs="Arial"/>
                <w:b/>
                <w:sz w:val="48"/>
              </w:rPr>
              <w:t>$</w:t>
            </w:r>
            <w:r w:rsidR="002E2131" w:rsidRPr="00D5126A">
              <w:rPr>
                <w:rFonts w:ascii="Arial" w:hAnsi="Arial" w:cs="Arial"/>
                <w:b/>
                <w:sz w:val="48"/>
              </w:rPr>
              <w:t>533.2m</w:t>
            </w:r>
          </w:p>
          <w:p w:rsidR="0025226F" w:rsidRPr="00002769" w:rsidRDefault="0025226F" w:rsidP="002627DD">
            <w:pPr>
              <w:pStyle w:val="Para065"/>
              <w:spacing w:before="0" w:line="240" w:lineRule="auto"/>
              <w:rPr>
                <w:rFonts w:ascii="Arial" w:hAnsi="Arial" w:cs="Arial"/>
                <w:sz w:val="32"/>
                <w:szCs w:val="32"/>
              </w:rPr>
            </w:pPr>
            <w:r w:rsidRPr="00002769">
              <w:rPr>
                <w:rFonts w:ascii="Arial" w:hAnsi="Arial" w:cs="Arial"/>
                <w:sz w:val="32"/>
                <w:szCs w:val="32"/>
              </w:rPr>
              <w:t xml:space="preserve">Cost of running the city </w:t>
            </w:r>
          </w:p>
          <w:p w:rsidR="0025226F" w:rsidRPr="00D5126A" w:rsidRDefault="002E2131" w:rsidP="00CE02B9">
            <w:pPr>
              <w:spacing w:after="170"/>
            </w:pPr>
            <w:r w:rsidRPr="00D5126A">
              <w:rPr>
                <w:rFonts w:ascii="Arial" w:hAnsi="Arial" w:cs="Arial"/>
                <w:sz w:val="20"/>
              </w:rPr>
              <w:t>Our total operating expenses for the year were $533.2m (compared to $503.2m in 2017/18), which represents the cost of running the city during the year. This figure excludes $50.5m related to Civic Precinct impairments</w:t>
            </w:r>
            <w:r w:rsidR="00683839">
              <w:rPr>
                <w:rFonts w:ascii="Arial" w:hAnsi="Arial" w:cs="Arial"/>
                <w:sz w:val="20"/>
              </w:rPr>
              <w:t>.</w:t>
            </w:r>
          </w:p>
        </w:tc>
        <w:tc>
          <w:tcPr>
            <w:tcW w:w="4621" w:type="dxa"/>
          </w:tcPr>
          <w:p w:rsidR="0025226F" w:rsidRPr="00D5126A" w:rsidRDefault="0025226F" w:rsidP="002627DD">
            <w:pPr>
              <w:pStyle w:val="Para065"/>
              <w:spacing w:before="0" w:after="0" w:line="240" w:lineRule="auto"/>
              <w:rPr>
                <w:rFonts w:ascii="Arial" w:hAnsi="Arial" w:cs="Arial"/>
                <w:b/>
                <w:sz w:val="48"/>
              </w:rPr>
            </w:pPr>
            <w:r w:rsidRPr="00D5126A">
              <w:rPr>
                <w:rFonts w:ascii="Arial" w:hAnsi="Arial" w:cs="Arial"/>
                <w:b/>
                <w:sz w:val="48"/>
              </w:rPr>
              <w:t>$</w:t>
            </w:r>
            <w:r w:rsidR="00511602" w:rsidRPr="00D5126A">
              <w:rPr>
                <w:rFonts w:ascii="Arial" w:hAnsi="Arial" w:cs="Arial"/>
                <w:b/>
                <w:sz w:val="48"/>
              </w:rPr>
              <w:t>171.7m</w:t>
            </w:r>
          </w:p>
          <w:p w:rsidR="0025226F" w:rsidRPr="00002769" w:rsidRDefault="0025226F" w:rsidP="002627DD">
            <w:pPr>
              <w:pStyle w:val="Para065"/>
              <w:spacing w:before="0" w:line="240" w:lineRule="auto"/>
              <w:rPr>
                <w:rFonts w:ascii="Arial" w:hAnsi="Arial" w:cs="Arial"/>
                <w:sz w:val="32"/>
                <w:szCs w:val="32"/>
              </w:rPr>
            </w:pPr>
            <w:r w:rsidRPr="00002769">
              <w:rPr>
                <w:rFonts w:ascii="Arial" w:hAnsi="Arial" w:cs="Arial"/>
                <w:sz w:val="32"/>
                <w:szCs w:val="32"/>
              </w:rPr>
              <w:t>Capital spend</w:t>
            </w:r>
          </w:p>
          <w:p w:rsidR="0025226F" w:rsidRPr="00D5126A" w:rsidRDefault="00511602" w:rsidP="00CE02B9">
            <w:pPr>
              <w:spacing w:after="170"/>
            </w:pPr>
            <w:r w:rsidRPr="00D5126A">
              <w:rPr>
                <w:rFonts w:ascii="Arial" w:hAnsi="Arial" w:cs="Arial"/>
                <w:sz w:val="20"/>
              </w:rPr>
              <w:t>We spent $171.7</w:t>
            </w:r>
            <w:r w:rsidR="00CE02B9">
              <w:rPr>
                <w:rFonts w:ascii="Arial" w:hAnsi="Arial" w:cs="Arial"/>
                <w:sz w:val="20"/>
              </w:rPr>
              <w:t xml:space="preserve">m </w:t>
            </w:r>
            <w:r w:rsidRPr="00D5126A">
              <w:rPr>
                <w:rFonts w:ascii="Arial" w:hAnsi="Arial" w:cs="Arial"/>
                <w:sz w:val="20"/>
              </w:rPr>
              <w:t>on building new assets for the city. This was lower than our planned $243.3m. This was as a result of the re-phasing of some projects over a longer period of time.</w:t>
            </w:r>
          </w:p>
        </w:tc>
      </w:tr>
      <w:tr w:rsidR="0025226F" w:rsidRPr="00D5126A" w:rsidTr="00002769">
        <w:trPr>
          <w:trHeight w:val="2711"/>
        </w:trPr>
        <w:tc>
          <w:tcPr>
            <w:tcW w:w="4620" w:type="dxa"/>
          </w:tcPr>
          <w:p w:rsidR="0025226F" w:rsidRPr="00D5126A" w:rsidRDefault="00476AE8" w:rsidP="002627DD">
            <w:pPr>
              <w:pStyle w:val="Para065"/>
              <w:spacing w:before="0" w:after="0" w:line="240" w:lineRule="auto"/>
              <w:rPr>
                <w:rFonts w:ascii="Arial" w:hAnsi="Arial" w:cs="Arial"/>
                <w:b/>
                <w:sz w:val="48"/>
              </w:rPr>
            </w:pPr>
            <w:r w:rsidRPr="00D5126A">
              <w:rPr>
                <w:rFonts w:ascii="Arial" w:hAnsi="Arial" w:cs="Arial"/>
                <w:b/>
                <w:sz w:val="48"/>
              </w:rPr>
              <w:t>$</w:t>
            </w:r>
            <w:r w:rsidR="00511602" w:rsidRPr="00D5126A">
              <w:rPr>
                <w:rFonts w:ascii="Arial" w:hAnsi="Arial" w:cs="Arial"/>
                <w:b/>
                <w:sz w:val="48"/>
              </w:rPr>
              <w:t>544.7m</w:t>
            </w:r>
          </w:p>
          <w:p w:rsidR="0025226F" w:rsidRPr="00002769" w:rsidRDefault="001C0A52" w:rsidP="002627DD">
            <w:pPr>
              <w:pStyle w:val="Para065"/>
              <w:spacing w:before="0" w:line="240" w:lineRule="auto"/>
              <w:rPr>
                <w:rFonts w:ascii="Arial" w:hAnsi="Arial" w:cs="Arial"/>
                <w:sz w:val="32"/>
                <w:szCs w:val="32"/>
              </w:rPr>
            </w:pPr>
            <w:r w:rsidRPr="00002769">
              <w:rPr>
                <w:rFonts w:ascii="Arial" w:hAnsi="Arial" w:cs="Arial"/>
                <w:sz w:val="32"/>
                <w:szCs w:val="32"/>
              </w:rPr>
              <w:t>Net b</w:t>
            </w:r>
            <w:r w:rsidR="0025226F" w:rsidRPr="00002769">
              <w:rPr>
                <w:rFonts w:ascii="Arial" w:hAnsi="Arial" w:cs="Arial"/>
                <w:sz w:val="32"/>
                <w:szCs w:val="32"/>
              </w:rPr>
              <w:t xml:space="preserve">orrowing position </w:t>
            </w:r>
          </w:p>
          <w:p w:rsidR="0025226F" w:rsidRPr="00D5126A" w:rsidRDefault="00511602" w:rsidP="00CE02B9">
            <w:pPr>
              <w:spacing w:after="170"/>
            </w:pPr>
            <w:r w:rsidRPr="00D5126A">
              <w:rPr>
                <w:rFonts w:ascii="Arial" w:hAnsi="Arial" w:cs="Arial"/>
                <w:sz w:val="20"/>
              </w:rPr>
              <w:t>This is an increase of $68.5m from last year, which equates to $2,561 per person in the city. We use borrowing to spread the cost of new facilities or infrastructure over the multiple generations that will benefit from that facility or infrastructure. We believe this is the fairest way to do things.</w:t>
            </w:r>
          </w:p>
        </w:tc>
        <w:tc>
          <w:tcPr>
            <w:tcW w:w="4621" w:type="dxa"/>
          </w:tcPr>
          <w:p w:rsidR="0025226F" w:rsidRPr="00D5126A" w:rsidRDefault="0025226F" w:rsidP="002627DD">
            <w:pPr>
              <w:pStyle w:val="Para076"/>
              <w:spacing w:before="0" w:line="240" w:lineRule="auto"/>
              <w:rPr>
                <w:rFonts w:ascii="Arial" w:hAnsi="Arial" w:cs="Arial"/>
              </w:rPr>
            </w:pPr>
            <w:r w:rsidRPr="00D5126A">
              <w:rPr>
                <w:rFonts w:ascii="Arial" w:hAnsi="Arial" w:cs="Arial"/>
              </w:rPr>
              <w:t>$7.</w:t>
            </w:r>
            <w:r w:rsidR="002E2131" w:rsidRPr="00D5126A">
              <w:rPr>
                <w:rFonts w:ascii="Arial" w:hAnsi="Arial" w:cs="Arial"/>
              </w:rPr>
              <w:t>2</w:t>
            </w:r>
            <w:r w:rsidRPr="00D5126A">
              <w:rPr>
                <w:rFonts w:ascii="Arial" w:hAnsi="Arial" w:cs="Arial"/>
              </w:rPr>
              <w:t xml:space="preserve"> billion</w:t>
            </w:r>
          </w:p>
          <w:p w:rsidR="0025226F" w:rsidRPr="00002769" w:rsidRDefault="0025226F" w:rsidP="002627DD">
            <w:pPr>
              <w:pStyle w:val="Para065"/>
              <w:spacing w:before="0" w:line="240" w:lineRule="auto"/>
              <w:rPr>
                <w:rFonts w:ascii="Arial" w:hAnsi="Arial" w:cs="Arial"/>
                <w:sz w:val="32"/>
                <w:szCs w:val="32"/>
              </w:rPr>
            </w:pPr>
            <w:r w:rsidRPr="00002769">
              <w:rPr>
                <w:rFonts w:ascii="Arial" w:hAnsi="Arial" w:cs="Arial"/>
                <w:sz w:val="32"/>
                <w:szCs w:val="32"/>
              </w:rPr>
              <w:t>Assets</w:t>
            </w:r>
          </w:p>
          <w:p w:rsidR="0025226F" w:rsidRPr="00D5126A" w:rsidRDefault="00511602" w:rsidP="006D6061">
            <w:pPr>
              <w:spacing w:after="170"/>
            </w:pPr>
            <w:r w:rsidRPr="00D5126A">
              <w:rPr>
                <w:rFonts w:ascii="Arial" w:hAnsi="Arial" w:cs="Arial"/>
                <w:sz w:val="20"/>
              </w:rPr>
              <w:t>The Council provides several services to the city through infrastructure networks and facilities (Council assets). These have been built up over many generations and equate to around $34,000 net worth of value for every person in the city</w:t>
            </w:r>
            <w:r w:rsidRPr="00D5126A">
              <w:rPr>
                <w:rFonts w:ascii="Arial" w:hAnsi="Arial" w:cs="Arial"/>
              </w:rPr>
              <w:t>.</w:t>
            </w:r>
          </w:p>
        </w:tc>
      </w:tr>
      <w:tr w:rsidR="0025226F" w:rsidRPr="00D5126A" w:rsidTr="0025226F">
        <w:tc>
          <w:tcPr>
            <w:tcW w:w="4620" w:type="dxa"/>
          </w:tcPr>
          <w:p w:rsidR="00476AE8" w:rsidRPr="00D5126A" w:rsidRDefault="00476AE8" w:rsidP="002627DD">
            <w:pPr>
              <w:pStyle w:val="Para065"/>
              <w:spacing w:before="0" w:after="0" w:line="240" w:lineRule="auto"/>
              <w:rPr>
                <w:rFonts w:ascii="Arial" w:hAnsi="Arial" w:cs="Arial"/>
                <w:b/>
                <w:sz w:val="48"/>
              </w:rPr>
            </w:pPr>
            <w:r w:rsidRPr="00D5126A">
              <w:rPr>
                <w:rFonts w:ascii="Arial" w:hAnsi="Arial" w:cs="Arial"/>
                <w:b/>
                <w:sz w:val="48"/>
              </w:rPr>
              <w:t>$1:</w:t>
            </w:r>
            <w:r w:rsidR="001C5D19" w:rsidRPr="00D5126A">
              <w:rPr>
                <w:rFonts w:ascii="Arial" w:hAnsi="Arial" w:cs="Arial"/>
                <w:b/>
                <w:sz w:val="48"/>
              </w:rPr>
              <w:t>$1.17</w:t>
            </w:r>
          </w:p>
          <w:p w:rsidR="0025226F" w:rsidRPr="00002769" w:rsidRDefault="0025226F" w:rsidP="00BD4F4B">
            <w:pPr>
              <w:pStyle w:val="Para065"/>
              <w:spacing w:before="0" w:line="240" w:lineRule="auto"/>
              <w:ind w:left="0" w:right="9"/>
              <w:rPr>
                <w:rFonts w:ascii="Arial" w:hAnsi="Arial" w:cs="Arial"/>
                <w:sz w:val="32"/>
                <w:szCs w:val="32"/>
              </w:rPr>
            </w:pPr>
            <w:r w:rsidRPr="00002769">
              <w:rPr>
                <w:rFonts w:ascii="Arial" w:hAnsi="Arial" w:cs="Arial"/>
                <w:sz w:val="32"/>
                <w:szCs w:val="32"/>
              </w:rPr>
              <w:t>Debt servicing costs to investment returns</w:t>
            </w:r>
          </w:p>
          <w:p w:rsidR="002E2131" w:rsidRPr="00D5126A" w:rsidRDefault="0025226F" w:rsidP="002627DD">
            <w:pPr>
              <w:spacing w:after="170"/>
              <w:rPr>
                <w:rFonts w:ascii="Arial" w:hAnsi="Arial" w:cs="Arial"/>
                <w:sz w:val="20"/>
              </w:rPr>
            </w:pPr>
            <w:r w:rsidRPr="00D5126A">
              <w:rPr>
                <w:rFonts w:ascii="Arial" w:hAnsi="Arial" w:cs="Arial"/>
                <w:sz w:val="20"/>
              </w:rPr>
              <w:t>For every $1 the Council incurs on paying interest</w:t>
            </w:r>
            <w:r w:rsidR="005E3DD2" w:rsidRPr="00D5126A">
              <w:rPr>
                <w:rFonts w:ascii="Arial" w:hAnsi="Arial" w:cs="Arial"/>
                <w:sz w:val="20"/>
              </w:rPr>
              <w:t xml:space="preserve"> </w:t>
            </w:r>
            <w:r w:rsidRPr="00D5126A">
              <w:rPr>
                <w:rFonts w:ascii="Arial" w:hAnsi="Arial" w:cs="Arial"/>
                <w:sz w:val="20"/>
              </w:rPr>
              <w:t>on debt, it receives $</w:t>
            </w:r>
            <w:r w:rsidR="005E3DD2" w:rsidRPr="00D5126A">
              <w:rPr>
                <w:rFonts w:ascii="Arial" w:hAnsi="Arial" w:cs="Arial"/>
                <w:sz w:val="20"/>
              </w:rPr>
              <w:t>1.17</w:t>
            </w:r>
            <w:r w:rsidR="00F31403" w:rsidRPr="00D5126A">
              <w:rPr>
                <w:rFonts w:ascii="Arial" w:hAnsi="Arial" w:cs="Arial"/>
                <w:sz w:val="20"/>
              </w:rPr>
              <w:t xml:space="preserve"> </w:t>
            </w:r>
            <w:r w:rsidRPr="00D5126A">
              <w:rPr>
                <w:rFonts w:ascii="Arial" w:hAnsi="Arial" w:cs="Arial"/>
                <w:sz w:val="20"/>
              </w:rPr>
              <w:t>from its investments.</w:t>
            </w:r>
            <w:r w:rsidR="002E2131" w:rsidRPr="00D5126A">
              <w:rPr>
                <w:rFonts w:ascii="Arial" w:hAnsi="Arial" w:cs="Arial"/>
                <w:sz w:val="20"/>
              </w:rPr>
              <w:t xml:space="preserve"> Council received $25.9m from investments and paid $22.2m in net interest.</w:t>
            </w:r>
          </w:p>
        </w:tc>
        <w:tc>
          <w:tcPr>
            <w:tcW w:w="4621" w:type="dxa"/>
          </w:tcPr>
          <w:p w:rsidR="0025226F" w:rsidRPr="00D5126A" w:rsidRDefault="0025226F" w:rsidP="002627DD">
            <w:pPr>
              <w:pStyle w:val="Para106"/>
              <w:spacing w:before="0" w:line="240" w:lineRule="auto"/>
              <w:rPr>
                <w:rFonts w:ascii="Arial" w:hAnsi="Arial" w:cs="Arial"/>
              </w:rPr>
            </w:pPr>
            <w:bookmarkStart w:id="113" w:name="AA"/>
            <w:r w:rsidRPr="00D5126A">
              <w:rPr>
                <w:rFonts w:ascii="Arial" w:hAnsi="Arial" w:cs="Arial"/>
              </w:rPr>
              <w:t>AA</w:t>
            </w:r>
            <w:bookmarkEnd w:id="113"/>
          </w:p>
          <w:p w:rsidR="0025226F" w:rsidRPr="00002769" w:rsidRDefault="0025226F" w:rsidP="002627DD">
            <w:pPr>
              <w:pStyle w:val="Para065"/>
              <w:spacing w:before="0" w:line="240" w:lineRule="auto"/>
              <w:rPr>
                <w:rFonts w:ascii="Arial" w:hAnsi="Arial" w:cs="Arial"/>
                <w:sz w:val="32"/>
                <w:szCs w:val="32"/>
              </w:rPr>
            </w:pPr>
            <w:r w:rsidRPr="00002769">
              <w:rPr>
                <w:rFonts w:ascii="Arial" w:hAnsi="Arial" w:cs="Arial"/>
                <w:sz w:val="32"/>
                <w:szCs w:val="32"/>
              </w:rPr>
              <w:t>Credit rating</w:t>
            </w:r>
          </w:p>
          <w:p w:rsidR="00256067" w:rsidRPr="00D5126A" w:rsidRDefault="00256067" w:rsidP="002627DD">
            <w:pPr>
              <w:spacing w:after="170"/>
              <w:rPr>
                <w:rFonts w:ascii="Arial" w:hAnsi="Arial" w:cs="Arial"/>
                <w:sz w:val="20"/>
              </w:rPr>
            </w:pPr>
          </w:p>
          <w:p w:rsidR="0025226F" w:rsidRPr="00D5126A" w:rsidRDefault="0025226F" w:rsidP="002627DD">
            <w:pPr>
              <w:spacing w:after="170"/>
            </w:pPr>
            <w:r w:rsidRPr="00D5126A">
              <w:rPr>
                <w:rFonts w:ascii="Arial" w:hAnsi="Arial" w:cs="Arial"/>
                <w:sz w:val="20"/>
              </w:rPr>
              <w:t>The Council is in good financial health – it has an</w:t>
            </w:r>
            <w:r w:rsidR="005E3DD2" w:rsidRPr="00D5126A">
              <w:rPr>
                <w:rFonts w:ascii="Arial" w:hAnsi="Arial" w:cs="Arial"/>
                <w:sz w:val="20"/>
              </w:rPr>
              <w:t xml:space="preserve"> AA credit rating with </w:t>
            </w:r>
            <w:r w:rsidRPr="00D5126A">
              <w:rPr>
                <w:rFonts w:ascii="Arial" w:hAnsi="Arial" w:cs="Arial"/>
                <w:sz w:val="20"/>
              </w:rPr>
              <w:t>Standard &amp; Poor’s.</w:t>
            </w:r>
          </w:p>
        </w:tc>
      </w:tr>
    </w:tbl>
    <w:p w:rsidR="00476AE8" w:rsidRPr="00D5126A" w:rsidRDefault="00476AE8" w:rsidP="00C334AC">
      <w:pPr>
        <w:pStyle w:val="Para003"/>
        <w:spacing w:before="240" w:line="240" w:lineRule="auto"/>
        <w:rPr>
          <w:rFonts w:ascii="Arial" w:hAnsi="Arial" w:cs="Arial"/>
        </w:rPr>
      </w:pPr>
      <w:r w:rsidRPr="00D5126A">
        <w:rPr>
          <w:rFonts w:ascii="Arial" w:hAnsi="Arial" w:cs="Arial"/>
        </w:rPr>
        <w:lastRenderedPageBreak/>
        <w:t>Key influences on our overall financial performance and position were:</w:t>
      </w:r>
    </w:p>
    <w:p w:rsidR="00256067" w:rsidRPr="00D5126A" w:rsidRDefault="00256067" w:rsidP="002C7BF8">
      <w:pPr>
        <w:pStyle w:val="Heading4"/>
        <w:numPr>
          <w:ilvl w:val="0"/>
          <w:numId w:val="16"/>
        </w:numPr>
        <w:rPr>
          <w:rFonts w:asciiTheme="minorHAnsi" w:eastAsiaTheme="minorEastAsia" w:hAnsiTheme="minorHAnsi" w:cs="Times New Roman"/>
          <w:b w:val="0"/>
          <w:bCs w:val="0"/>
          <w:i w:val="0"/>
          <w:iCs w:val="0"/>
          <w:color w:val="auto"/>
          <w:sz w:val="22"/>
        </w:rPr>
      </w:pPr>
      <w:bookmarkStart w:id="114" w:name="_Toc14178534"/>
      <w:proofErr w:type="gramStart"/>
      <w:r w:rsidRPr="00D5126A">
        <w:rPr>
          <w:rFonts w:asciiTheme="minorHAnsi" w:eastAsiaTheme="minorEastAsia" w:hAnsiTheme="minorHAnsi" w:cs="Times New Roman"/>
          <w:b w:val="0"/>
          <w:bCs w:val="0"/>
          <w:i w:val="0"/>
          <w:iCs w:val="0"/>
          <w:color w:val="auto"/>
          <w:sz w:val="22"/>
        </w:rPr>
        <w:t>the</w:t>
      </w:r>
      <w:proofErr w:type="gramEnd"/>
      <w:r w:rsidRPr="00D5126A">
        <w:rPr>
          <w:rFonts w:asciiTheme="minorHAnsi" w:eastAsiaTheme="minorEastAsia" w:hAnsiTheme="minorHAnsi" w:cs="Times New Roman"/>
          <w:b w:val="0"/>
          <w:bCs w:val="0"/>
          <w:i w:val="0"/>
          <w:iCs w:val="0"/>
          <w:color w:val="auto"/>
          <w:sz w:val="22"/>
        </w:rPr>
        <w:t xml:space="preserve"> revaluation of investment properties, which increased the value of our assets by $18.5 million</w:t>
      </w:r>
    </w:p>
    <w:p w:rsidR="00256067" w:rsidRPr="00D5126A" w:rsidRDefault="002E2131" w:rsidP="002C7BF8">
      <w:pPr>
        <w:pStyle w:val="ListParagraph"/>
        <w:numPr>
          <w:ilvl w:val="0"/>
          <w:numId w:val="16"/>
        </w:numPr>
      </w:pPr>
      <w:r w:rsidRPr="00D5126A">
        <w:t>impairments of Civic Precinct buildings, totalling $50.5 million</w:t>
      </w:r>
    </w:p>
    <w:p w:rsidR="00256067" w:rsidRPr="00D5126A" w:rsidRDefault="00256067" w:rsidP="002C7BF8">
      <w:pPr>
        <w:pStyle w:val="ListParagraph"/>
        <w:numPr>
          <w:ilvl w:val="0"/>
          <w:numId w:val="16"/>
        </w:numPr>
      </w:pPr>
      <w:proofErr w:type="gramStart"/>
      <w:r w:rsidRPr="00D5126A">
        <w:t>effects</w:t>
      </w:r>
      <w:proofErr w:type="gramEnd"/>
      <w:r w:rsidRPr="00D5126A">
        <w:t xml:space="preserve"> of the Housing New Zealand lease for Arlington sites 1 and 3</w:t>
      </w:r>
      <w:r w:rsidR="002E2131" w:rsidRPr="00D5126A">
        <w:t>,</w:t>
      </w:r>
      <w:r w:rsidRPr="00D5126A">
        <w:t xml:space="preserve"> including $13 million for the release from </w:t>
      </w:r>
      <w:r w:rsidR="006D6061">
        <w:t>the D</w:t>
      </w:r>
      <w:r w:rsidRPr="00D5126A">
        <w:t xml:space="preserve">eed of </w:t>
      </w:r>
      <w:r w:rsidR="006D6061">
        <w:t>G</w:t>
      </w:r>
      <w:r w:rsidRPr="00D5126A">
        <w:t>rant.</w:t>
      </w:r>
    </w:p>
    <w:p w:rsidR="00476AE8" w:rsidRPr="00D5126A" w:rsidRDefault="00476AE8" w:rsidP="00846C1B">
      <w:pPr>
        <w:pStyle w:val="Heading4"/>
      </w:pPr>
      <w:r w:rsidRPr="00D5126A">
        <w:t>Our underlying operating result</w:t>
      </w:r>
      <w:bookmarkEnd w:id="114"/>
    </w:p>
    <w:p w:rsidR="00256067" w:rsidRPr="00D5126A" w:rsidRDefault="00256067" w:rsidP="00C334AC">
      <w:pPr>
        <w:rPr>
          <w:rFonts w:ascii="Arial" w:hAnsi="Arial" w:cs="Arial"/>
        </w:rPr>
      </w:pPr>
      <w:r w:rsidRPr="00D5126A">
        <w:rPr>
          <w:rFonts w:ascii="Arial" w:hAnsi="Arial" w:cs="Arial"/>
        </w:rPr>
        <w:t>The underlying operating result provides a comparison with the rates requirement we budgeted for in our Annual Plan to achieve a balanced budget. It shows how closely our annual revenue matches how much we spend in any given year. A balanced budget helps ensure that we are not passing the costs of running the city today onto future generations and imposing future costs on current generations. On the other hand, we also need to ensure that the current generation pay their fair share and to not pass on current costs to future generations. Our goal is therefore to have an underlying surplus or deficit close to zero.</w:t>
      </w:r>
    </w:p>
    <w:p w:rsidR="00256067" w:rsidRPr="00D5126A" w:rsidRDefault="00256067" w:rsidP="00256067">
      <w:pPr>
        <w:spacing w:after="0" w:line="240" w:lineRule="auto"/>
        <w:rPr>
          <w:rFonts w:ascii="Arial" w:eastAsia="Times New Roman" w:hAnsi="Arial" w:cs="Arial"/>
          <w:lang w:eastAsia="en-NZ"/>
        </w:rPr>
      </w:pPr>
      <w:bookmarkStart w:id="115" w:name="Where_our_money_comes_from"/>
      <w:bookmarkStart w:id="116" w:name="_Toc14178535"/>
      <w:r w:rsidRPr="00D5126A">
        <w:rPr>
          <w:rFonts w:ascii="Arial" w:eastAsia="Times New Roman" w:hAnsi="Arial" w:cs="Arial"/>
          <w:lang w:eastAsia="en-NZ"/>
        </w:rPr>
        <w:t>This year we got very close to a breakeven result, with an underlying surplus of $1.</w:t>
      </w:r>
      <w:r w:rsidR="00EA417D" w:rsidRPr="00D5126A">
        <w:rPr>
          <w:rFonts w:ascii="Arial" w:eastAsia="Times New Roman" w:hAnsi="Arial" w:cs="Arial"/>
          <w:lang w:eastAsia="en-NZ"/>
        </w:rPr>
        <w:t>5</w:t>
      </w:r>
      <w:r w:rsidRPr="00D5126A">
        <w:rPr>
          <w:rFonts w:ascii="Arial" w:eastAsia="Times New Roman" w:hAnsi="Arial" w:cs="Arial"/>
          <w:lang w:eastAsia="en-NZ"/>
        </w:rPr>
        <w:t xml:space="preserve"> million, within 0.3</w:t>
      </w:r>
      <w:r w:rsidR="00CE02B9">
        <w:rPr>
          <w:rFonts w:ascii="Arial" w:eastAsia="Times New Roman" w:hAnsi="Arial" w:cs="Arial"/>
          <w:lang w:eastAsia="en-NZ"/>
        </w:rPr>
        <w:t xml:space="preserve"> percent</w:t>
      </w:r>
      <w:r w:rsidR="00CE02B9" w:rsidRPr="00D5126A">
        <w:rPr>
          <w:rFonts w:ascii="Arial" w:eastAsia="Times New Roman" w:hAnsi="Arial" w:cs="Arial"/>
          <w:lang w:eastAsia="en-NZ"/>
        </w:rPr>
        <w:t xml:space="preserve"> </w:t>
      </w:r>
      <w:r w:rsidRPr="00D5126A">
        <w:rPr>
          <w:rFonts w:ascii="Arial" w:eastAsia="Times New Roman" w:hAnsi="Arial" w:cs="Arial"/>
          <w:lang w:eastAsia="en-NZ"/>
        </w:rPr>
        <w:t>of our planned balanced budget.</w:t>
      </w:r>
    </w:p>
    <w:p w:rsidR="00256067" w:rsidRPr="00D5126A" w:rsidRDefault="00256067" w:rsidP="00BD4F4B">
      <w:pPr>
        <w:spacing w:before="240" w:after="0" w:line="240" w:lineRule="auto"/>
        <w:rPr>
          <w:rFonts w:ascii="Arial" w:eastAsia="Times New Roman" w:hAnsi="Arial" w:cs="Arial"/>
          <w:lang w:eastAsia="en-NZ"/>
        </w:rPr>
      </w:pPr>
      <w:r w:rsidRPr="00D5126A">
        <w:rPr>
          <w:rFonts w:ascii="Arial" w:eastAsia="Times New Roman" w:hAnsi="Arial" w:cs="Arial"/>
          <w:lang w:eastAsia="en-NZ"/>
        </w:rPr>
        <w:t>To get from net surplus</w:t>
      </w:r>
      <w:proofErr w:type="gramStart"/>
      <w:r w:rsidR="00C076E3">
        <w:rPr>
          <w:rFonts w:ascii="Arial" w:eastAsia="Times New Roman" w:hAnsi="Arial" w:cs="Arial"/>
          <w:lang w:eastAsia="en-NZ"/>
        </w:rPr>
        <w:t>/(</w:t>
      </w:r>
      <w:proofErr w:type="gramEnd"/>
      <w:r w:rsidR="00C076E3">
        <w:rPr>
          <w:rFonts w:ascii="Arial" w:eastAsia="Times New Roman" w:hAnsi="Arial" w:cs="Arial"/>
          <w:lang w:eastAsia="en-NZ"/>
        </w:rPr>
        <w:t>deficit)</w:t>
      </w:r>
      <w:r w:rsidRPr="00D5126A">
        <w:rPr>
          <w:rFonts w:ascii="Arial" w:eastAsia="Times New Roman" w:hAnsi="Arial" w:cs="Arial"/>
          <w:lang w:eastAsia="en-NZ"/>
        </w:rPr>
        <w:t xml:space="preserve"> to underlying result, the following is excluded:</w:t>
      </w:r>
    </w:p>
    <w:p w:rsidR="00256067" w:rsidRPr="00D5126A" w:rsidRDefault="00CE02B9" w:rsidP="002C7BF8">
      <w:pPr>
        <w:pStyle w:val="ListParagraph"/>
        <w:numPr>
          <w:ilvl w:val="0"/>
          <w:numId w:val="17"/>
        </w:numPr>
        <w:spacing w:after="0" w:line="240" w:lineRule="auto"/>
        <w:rPr>
          <w:rFonts w:ascii="Arial" w:eastAsia="Times New Roman" w:hAnsi="Arial" w:cs="Arial"/>
          <w:lang w:eastAsia="en-NZ"/>
        </w:rPr>
      </w:pPr>
      <w:r>
        <w:rPr>
          <w:rFonts w:ascii="Arial" w:eastAsia="Times New Roman" w:hAnsi="Arial" w:cs="Arial"/>
          <w:lang w:eastAsia="en-NZ"/>
        </w:rPr>
        <w:t>r</w:t>
      </w:r>
      <w:r w:rsidRPr="00D5126A">
        <w:rPr>
          <w:rFonts w:ascii="Arial" w:eastAsia="Times New Roman" w:hAnsi="Arial" w:cs="Arial"/>
          <w:lang w:eastAsia="en-NZ"/>
        </w:rPr>
        <w:t xml:space="preserve">evenue </w:t>
      </w:r>
      <w:r w:rsidR="00256067" w:rsidRPr="00D5126A">
        <w:rPr>
          <w:rFonts w:ascii="Arial" w:eastAsia="Times New Roman" w:hAnsi="Arial" w:cs="Arial"/>
          <w:lang w:eastAsia="en-NZ"/>
        </w:rPr>
        <w:t>received for capital items</w:t>
      </w:r>
      <w:r>
        <w:rPr>
          <w:rFonts w:ascii="Arial" w:eastAsia="Times New Roman" w:hAnsi="Arial" w:cs="Arial"/>
          <w:lang w:eastAsia="en-NZ"/>
        </w:rPr>
        <w:t>,</w:t>
      </w:r>
      <w:r w:rsidR="00256067" w:rsidRPr="00D5126A">
        <w:rPr>
          <w:rFonts w:ascii="Arial" w:eastAsia="Times New Roman" w:hAnsi="Arial" w:cs="Arial"/>
          <w:lang w:eastAsia="en-NZ"/>
        </w:rPr>
        <w:t xml:space="preserve"> for example, the funding we receive from NZTA for roading</w:t>
      </w:r>
    </w:p>
    <w:p w:rsidR="00256067" w:rsidRPr="00D5126A" w:rsidRDefault="00CE02B9" w:rsidP="002C7BF8">
      <w:pPr>
        <w:pStyle w:val="ListParagraph"/>
        <w:numPr>
          <w:ilvl w:val="0"/>
          <w:numId w:val="17"/>
        </w:numPr>
        <w:spacing w:after="0" w:line="240" w:lineRule="auto"/>
        <w:rPr>
          <w:rFonts w:ascii="Arial" w:eastAsia="Times New Roman" w:hAnsi="Arial" w:cs="Arial"/>
          <w:lang w:eastAsia="en-NZ"/>
        </w:rPr>
      </w:pPr>
      <w:r>
        <w:rPr>
          <w:rFonts w:ascii="Arial" w:eastAsia="Times New Roman" w:hAnsi="Arial" w:cs="Arial"/>
          <w:lang w:eastAsia="en-NZ"/>
        </w:rPr>
        <w:t>n</w:t>
      </w:r>
      <w:r w:rsidRPr="00D5126A">
        <w:rPr>
          <w:rFonts w:ascii="Arial" w:eastAsia="Times New Roman" w:hAnsi="Arial" w:cs="Arial"/>
          <w:lang w:eastAsia="en-NZ"/>
        </w:rPr>
        <w:t>on</w:t>
      </w:r>
      <w:r w:rsidR="00256067" w:rsidRPr="00D5126A">
        <w:rPr>
          <w:rFonts w:ascii="Arial" w:eastAsia="Times New Roman" w:hAnsi="Arial" w:cs="Arial"/>
          <w:lang w:eastAsia="en-NZ"/>
        </w:rPr>
        <w:t>-funded transactions – either where, through the Annual Plan, it is deemed appropriate that future ratepayers share the costs incurred in a particular year, or where another organisation is liable for the funding</w:t>
      </w:r>
    </w:p>
    <w:p w:rsidR="00256067" w:rsidRPr="00D5126A" w:rsidRDefault="00CE02B9" w:rsidP="002C7BF8">
      <w:pPr>
        <w:pStyle w:val="ListParagraph"/>
        <w:numPr>
          <w:ilvl w:val="0"/>
          <w:numId w:val="17"/>
        </w:numPr>
        <w:spacing w:after="0" w:line="240" w:lineRule="auto"/>
        <w:rPr>
          <w:rFonts w:ascii="Arial" w:eastAsia="Times New Roman" w:hAnsi="Arial" w:cs="Arial"/>
          <w:lang w:eastAsia="en-NZ"/>
        </w:rPr>
      </w:pPr>
      <w:r>
        <w:rPr>
          <w:rFonts w:ascii="Arial" w:eastAsia="Times New Roman" w:hAnsi="Arial" w:cs="Arial"/>
          <w:lang w:eastAsia="en-NZ"/>
        </w:rPr>
        <w:t>s</w:t>
      </w:r>
      <w:r w:rsidRPr="00D5126A">
        <w:rPr>
          <w:rFonts w:ascii="Arial" w:eastAsia="Times New Roman" w:hAnsi="Arial" w:cs="Arial"/>
          <w:lang w:eastAsia="en-NZ"/>
        </w:rPr>
        <w:t xml:space="preserve">eparately </w:t>
      </w:r>
      <w:r w:rsidR="00256067" w:rsidRPr="00D5126A">
        <w:rPr>
          <w:rFonts w:ascii="Arial" w:eastAsia="Times New Roman" w:hAnsi="Arial" w:cs="Arial"/>
          <w:lang w:eastAsia="en-NZ"/>
        </w:rPr>
        <w:t>funded items where funding has been funded through other mechanisms</w:t>
      </w:r>
    </w:p>
    <w:p w:rsidR="00256067" w:rsidRPr="00D5126A" w:rsidRDefault="00CE02B9" w:rsidP="002C7BF8">
      <w:pPr>
        <w:pStyle w:val="ListParagraph"/>
        <w:numPr>
          <w:ilvl w:val="0"/>
          <w:numId w:val="17"/>
        </w:numPr>
        <w:spacing w:after="0" w:line="240" w:lineRule="auto"/>
        <w:rPr>
          <w:rFonts w:ascii="Arial" w:eastAsia="Times New Roman" w:hAnsi="Arial" w:cs="Arial"/>
          <w:lang w:eastAsia="en-NZ"/>
        </w:rPr>
      </w:pPr>
      <w:r>
        <w:rPr>
          <w:rFonts w:ascii="Arial" w:eastAsia="Times New Roman" w:hAnsi="Arial" w:cs="Arial"/>
          <w:lang w:eastAsia="en-NZ"/>
        </w:rPr>
        <w:t>r</w:t>
      </w:r>
      <w:r w:rsidRPr="00D5126A">
        <w:rPr>
          <w:rFonts w:ascii="Arial" w:eastAsia="Times New Roman" w:hAnsi="Arial" w:cs="Arial"/>
          <w:lang w:eastAsia="en-NZ"/>
        </w:rPr>
        <w:t>ing</w:t>
      </w:r>
      <w:r w:rsidR="00C16634" w:rsidRPr="00D5126A">
        <w:rPr>
          <w:rFonts w:ascii="Arial" w:eastAsia="Times New Roman" w:hAnsi="Arial" w:cs="Arial"/>
          <w:lang w:eastAsia="en-NZ"/>
        </w:rPr>
        <w:t>-</w:t>
      </w:r>
      <w:r w:rsidR="00256067" w:rsidRPr="00D5126A">
        <w:rPr>
          <w:rFonts w:ascii="Arial" w:eastAsia="Times New Roman" w:hAnsi="Arial" w:cs="Arial"/>
          <w:lang w:eastAsia="en-NZ"/>
        </w:rPr>
        <w:t>fenced activities for housing and waste minimisation</w:t>
      </w:r>
    </w:p>
    <w:p w:rsidR="00256067" w:rsidRPr="00D5126A" w:rsidRDefault="00CE02B9" w:rsidP="002C7BF8">
      <w:pPr>
        <w:pStyle w:val="ListParagraph"/>
        <w:numPr>
          <w:ilvl w:val="0"/>
          <w:numId w:val="17"/>
        </w:numPr>
        <w:spacing w:after="0" w:line="240" w:lineRule="auto"/>
        <w:rPr>
          <w:rFonts w:ascii="Arial" w:eastAsia="Times New Roman" w:hAnsi="Arial" w:cs="Arial"/>
          <w:lang w:eastAsia="en-NZ"/>
        </w:rPr>
      </w:pPr>
      <w:r>
        <w:rPr>
          <w:rFonts w:ascii="Arial" w:eastAsia="Times New Roman" w:hAnsi="Arial" w:cs="Arial"/>
          <w:lang w:eastAsia="en-NZ"/>
        </w:rPr>
        <w:t>o</w:t>
      </w:r>
      <w:r w:rsidRPr="00D5126A">
        <w:rPr>
          <w:rFonts w:ascii="Arial" w:eastAsia="Times New Roman" w:hAnsi="Arial" w:cs="Arial"/>
          <w:lang w:eastAsia="en-NZ"/>
        </w:rPr>
        <w:t xml:space="preserve">ther </w:t>
      </w:r>
      <w:r w:rsidR="00256067" w:rsidRPr="00D5126A">
        <w:rPr>
          <w:rFonts w:ascii="Arial" w:eastAsia="Times New Roman" w:hAnsi="Arial" w:cs="Arial"/>
          <w:lang w:eastAsia="en-NZ"/>
        </w:rPr>
        <w:t>minor adjustments</w:t>
      </w:r>
    </w:p>
    <w:p w:rsidR="00256067" w:rsidRPr="00D5126A" w:rsidRDefault="00256067" w:rsidP="00256067">
      <w:pPr>
        <w:spacing w:after="0" w:line="240" w:lineRule="auto"/>
        <w:rPr>
          <w:rFonts w:ascii="Symbol" w:eastAsia="Times New Roman" w:hAnsi="Symbol" w:cs="Arial"/>
          <w:color w:val="333333"/>
          <w:lang w:eastAsia="en-NZ"/>
        </w:rPr>
      </w:pPr>
    </w:p>
    <w:p w:rsidR="00C16634" w:rsidRPr="00D5126A" w:rsidRDefault="00C16634" w:rsidP="00C16634">
      <w:pPr>
        <w:spacing w:after="0" w:line="240" w:lineRule="auto"/>
        <w:rPr>
          <w:rFonts w:ascii="Arial" w:eastAsia="Times New Roman" w:hAnsi="Arial" w:cs="Arial"/>
          <w:szCs w:val="24"/>
          <w:lang w:eastAsia="en-NZ"/>
        </w:rPr>
      </w:pPr>
      <w:r w:rsidRPr="00D5126A">
        <w:rPr>
          <w:rFonts w:ascii="Arial" w:eastAsia="Times New Roman" w:hAnsi="Arial" w:cs="Arial"/>
          <w:szCs w:val="24"/>
          <w:lang w:eastAsia="en-NZ"/>
        </w:rPr>
        <w:t xml:space="preserve">These items are excluded because they generally don’t affect rates and were excluded from our Annual Plan balanced budget calculation. Table </w:t>
      </w:r>
      <w:r w:rsidR="00D768BD">
        <w:rPr>
          <w:rFonts w:ascii="Arial" w:eastAsia="Times New Roman" w:hAnsi="Arial" w:cs="Arial"/>
          <w:szCs w:val="24"/>
          <w:lang w:eastAsia="en-NZ"/>
        </w:rPr>
        <w:t>3</w:t>
      </w:r>
      <w:r w:rsidRPr="00D5126A">
        <w:rPr>
          <w:rFonts w:ascii="Arial" w:eastAsia="Times New Roman" w:hAnsi="Arial" w:cs="Arial"/>
          <w:szCs w:val="24"/>
          <w:lang w:eastAsia="en-NZ"/>
        </w:rPr>
        <w:t xml:space="preserve"> summarises the capital and non-funded adjustments made to the net surplus</w:t>
      </w:r>
      <w:proofErr w:type="gramStart"/>
      <w:r w:rsidR="00C076E3">
        <w:rPr>
          <w:rFonts w:ascii="Arial" w:eastAsia="Times New Roman" w:hAnsi="Arial" w:cs="Arial"/>
          <w:lang w:eastAsia="en-NZ"/>
        </w:rPr>
        <w:t>/(</w:t>
      </w:r>
      <w:proofErr w:type="gramEnd"/>
      <w:r w:rsidR="00C076E3">
        <w:rPr>
          <w:rFonts w:ascii="Arial" w:eastAsia="Times New Roman" w:hAnsi="Arial" w:cs="Arial"/>
          <w:lang w:eastAsia="en-NZ"/>
        </w:rPr>
        <w:t>deficit)</w:t>
      </w:r>
      <w:r w:rsidRPr="00D5126A">
        <w:rPr>
          <w:rFonts w:ascii="Arial" w:eastAsia="Times New Roman" w:hAnsi="Arial" w:cs="Arial"/>
          <w:szCs w:val="24"/>
          <w:lang w:eastAsia="en-NZ"/>
        </w:rPr>
        <w:t xml:space="preserve"> to arrive at the underlying result.</w:t>
      </w:r>
    </w:p>
    <w:p w:rsidR="002E2131" w:rsidRPr="00D5126A" w:rsidRDefault="002E2131" w:rsidP="002E2131">
      <w:pPr>
        <w:spacing w:after="0" w:line="240" w:lineRule="auto"/>
        <w:rPr>
          <w:rFonts w:ascii="Arial" w:eastAsia="Times New Roman" w:hAnsi="Arial" w:cs="Arial"/>
          <w:szCs w:val="24"/>
          <w:lang w:eastAsia="en-NZ"/>
        </w:rPr>
      </w:pPr>
    </w:p>
    <w:p w:rsidR="00D768BD" w:rsidRDefault="00D768BD" w:rsidP="00D768BD">
      <w:pPr>
        <w:pStyle w:val="Caption"/>
      </w:pPr>
      <w:r>
        <w:t xml:space="preserve">Table </w:t>
      </w:r>
      <w:fldSimple w:instr=" SEQ Table \* ARABIC ">
        <w:r w:rsidR="00B22256">
          <w:rPr>
            <w:noProof/>
          </w:rPr>
          <w:t>3</w:t>
        </w:r>
      </w:fldSimple>
      <w:r>
        <w:t xml:space="preserve">: </w:t>
      </w:r>
      <w:r w:rsidRPr="00615183">
        <w:t>Summary of the underlying result</w:t>
      </w:r>
    </w:p>
    <w:tbl>
      <w:tblPr>
        <w:tblW w:w="9087" w:type="dxa"/>
        <w:tblInd w:w="93" w:type="dxa"/>
        <w:tblLook w:val="04A0" w:firstRow="1" w:lastRow="0" w:firstColumn="1" w:lastColumn="0" w:noHBand="0" w:noVBand="1"/>
      </w:tblPr>
      <w:tblGrid>
        <w:gridCol w:w="5260"/>
        <w:gridCol w:w="1275"/>
        <w:gridCol w:w="1276"/>
        <w:gridCol w:w="1276"/>
      </w:tblGrid>
      <w:tr w:rsidR="002E2131" w:rsidRPr="00D5126A" w:rsidTr="001244BB">
        <w:trPr>
          <w:trHeight w:val="750"/>
        </w:trPr>
        <w:tc>
          <w:tcPr>
            <w:tcW w:w="5260" w:type="dxa"/>
            <w:tcBorders>
              <w:top w:val="nil"/>
              <w:left w:val="nil"/>
              <w:bottom w:val="nil"/>
              <w:right w:val="nil"/>
            </w:tcBorders>
            <w:shd w:val="clear" w:color="000000" w:fill="FFCC00"/>
            <w:vAlign w:val="center"/>
            <w:hideMark/>
          </w:tcPr>
          <w:p w:rsidR="002E2131" w:rsidRPr="00D5126A" w:rsidRDefault="002E2131" w:rsidP="001244BB">
            <w:pPr>
              <w:spacing w:after="0" w:line="240" w:lineRule="auto"/>
              <w:rPr>
                <w:rFonts w:eastAsia="Times New Roman" w:cstheme="minorHAnsi"/>
                <w:b/>
                <w:bCs/>
                <w:color w:val="333333"/>
                <w:sz w:val="24"/>
                <w:szCs w:val="24"/>
                <w:lang w:eastAsia="en-NZ"/>
              </w:rPr>
            </w:pPr>
            <w:r w:rsidRPr="00D5126A">
              <w:rPr>
                <w:rFonts w:eastAsia="Times New Roman" w:cstheme="minorHAnsi"/>
                <w:b/>
                <w:bCs/>
                <w:color w:val="333333"/>
                <w:sz w:val="24"/>
                <w:szCs w:val="24"/>
                <w:vertAlign w:val="superscript"/>
                <w:lang w:eastAsia="en-NZ"/>
              </w:rPr>
              <w:t>Underlying result</w:t>
            </w:r>
          </w:p>
        </w:tc>
        <w:tc>
          <w:tcPr>
            <w:tcW w:w="1275" w:type="dxa"/>
            <w:tcBorders>
              <w:top w:val="nil"/>
              <w:left w:val="nil"/>
              <w:right w:val="nil"/>
            </w:tcBorders>
            <w:shd w:val="clear" w:color="000000" w:fill="FFCC00"/>
            <w:vAlign w:val="center"/>
            <w:hideMark/>
          </w:tcPr>
          <w:p w:rsidR="002E2131" w:rsidRPr="00D5126A" w:rsidRDefault="002E2131" w:rsidP="001244BB">
            <w:pPr>
              <w:spacing w:after="0" w:line="240" w:lineRule="auto"/>
              <w:jc w:val="right"/>
              <w:rPr>
                <w:rFonts w:eastAsia="Times New Roman" w:cstheme="minorHAnsi"/>
                <w:b/>
                <w:bCs/>
                <w:color w:val="333333"/>
                <w:sz w:val="24"/>
                <w:szCs w:val="24"/>
                <w:lang w:eastAsia="en-NZ"/>
              </w:rPr>
            </w:pPr>
            <w:r w:rsidRPr="00D5126A">
              <w:rPr>
                <w:rFonts w:eastAsia="Times New Roman" w:cstheme="minorHAnsi"/>
                <w:b/>
                <w:bCs/>
                <w:color w:val="333333"/>
                <w:sz w:val="24"/>
                <w:szCs w:val="24"/>
                <w:vertAlign w:val="superscript"/>
                <w:lang w:eastAsia="en-NZ"/>
              </w:rPr>
              <w:t>Actual</w:t>
            </w:r>
          </w:p>
          <w:p w:rsidR="002E2131" w:rsidRPr="00D5126A" w:rsidRDefault="002E2131" w:rsidP="001244BB">
            <w:pPr>
              <w:spacing w:after="0" w:line="240" w:lineRule="auto"/>
              <w:jc w:val="right"/>
              <w:rPr>
                <w:rFonts w:eastAsia="Times New Roman" w:cstheme="minorHAnsi"/>
                <w:b/>
                <w:bCs/>
                <w:color w:val="333333"/>
                <w:sz w:val="24"/>
                <w:szCs w:val="24"/>
                <w:lang w:eastAsia="en-NZ"/>
              </w:rPr>
            </w:pPr>
            <w:r w:rsidRPr="00D5126A">
              <w:rPr>
                <w:rFonts w:eastAsia="Times New Roman" w:cstheme="minorHAnsi"/>
                <w:b/>
                <w:bCs/>
                <w:color w:val="333333"/>
                <w:sz w:val="24"/>
                <w:szCs w:val="24"/>
                <w:vertAlign w:val="superscript"/>
                <w:lang w:eastAsia="en-NZ"/>
              </w:rPr>
              <w:t xml:space="preserve"> $m</w:t>
            </w:r>
          </w:p>
        </w:tc>
        <w:tc>
          <w:tcPr>
            <w:tcW w:w="1276" w:type="dxa"/>
            <w:tcBorders>
              <w:top w:val="nil"/>
              <w:left w:val="nil"/>
              <w:right w:val="nil"/>
            </w:tcBorders>
            <w:shd w:val="clear" w:color="000000" w:fill="FFCC00"/>
            <w:vAlign w:val="center"/>
            <w:hideMark/>
          </w:tcPr>
          <w:p w:rsidR="002E2131" w:rsidRPr="00D5126A" w:rsidRDefault="002E2131" w:rsidP="001244BB">
            <w:pPr>
              <w:spacing w:after="0" w:line="240" w:lineRule="auto"/>
              <w:jc w:val="right"/>
              <w:rPr>
                <w:rFonts w:eastAsia="Times New Roman" w:cstheme="minorHAnsi"/>
                <w:b/>
                <w:bCs/>
                <w:color w:val="333333"/>
                <w:sz w:val="24"/>
                <w:szCs w:val="24"/>
                <w:lang w:eastAsia="en-NZ"/>
              </w:rPr>
            </w:pPr>
            <w:r w:rsidRPr="00D5126A">
              <w:rPr>
                <w:rFonts w:eastAsia="Times New Roman" w:cstheme="minorHAnsi"/>
                <w:b/>
                <w:bCs/>
                <w:color w:val="333333"/>
                <w:sz w:val="24"/>
                <w:szCs w:val="24"/>
                <w:vertAlign w:val="superscript"/>
                <w:lang w:eastAsia="en-NZ"/>
              </w:rPr>
              <w:t>Budget</w:t>
            </w:r>
          </w:p>
          <w:p w:rsidR="002E2131" w:rsidRPr="00D5126A" w:rsidRDefault="002E2131" w:rsidP="001244BB">
            <w:pPr>
              <w:spacing w:after="0" w:line="240" w:lineRule="auto"/>
              <w:jc w:val="right"/>
              <w:rPr>
                <w:rFonts w:eastAsia="Times New Roman" w:cstheme="minorHAnsi"/>
                <w:b/>
                <w:bCs/>
                <w:color w:val="333333"/>
                <w:sz w:val="24"/>
                <w:szCs w:val="24"/>
                <w:lang w:eastAsia="en-NZ"/>
              </w:rPr>
            </w:pPr>
            <w:r w:rsidRPr="00D5126A">
              <w:rPr>
                <w:rFonts w:eastAsia="Times New Roman" w:cstheme="minorHAnsi"/>
                <w:b/>
                <w:bCs/>
                <w:color w:val="333333"/>
                <w:sz w:val="24"/>
                <w:szCs w:val="24"/>
                <w:vertAlign w:val="superscript"/>
                <w:lang w:eastAsia="en-NZ"/>
              </w:rPr>
              <w:t xml:space="preserve"> $m</w:t>
            </w:r>
          </w:p>
        </w:tc>
        <w:tc>
          <w:tcPr>
            <w:tcW w:w="1276" w:type="dxa"/>
            <w:tcBorders>
              <w:top w:val="nil"/>
              <w:left w:val="nil"/>
              <w:right w:val="nil"/>
            </w:tcBorders>
            <w:shd w:val="clear" w:color="000000" w:fill="FFCC00"/>
            <w:vAlign w:val="center"/>
            <w:hideMark/>
          </w:tcPr>
          <w:p w:rsidR="002E2131" w:rsidRPr="00D5126A" w:rsidRDefault="002E2131" w:rsidP="001244BB">
            <w:pPr>
              <w:spacing w:after="0" w:line="240" w:lineRule="auto"/>
              <w:jc w:val="right"/>
              <w:rPr>
                <w:rFonts w:eastAsia="Times New Roman" w:cstheme="minorHAnsi"/>
                <w:b/>
                <w:bCs/>
                <w:color w:val="333333"/>
                <w:sz w:val="24"/>
                <w:szCs w:val="24"/>
                <w:lang w:eastAsia="en-NZ"/>
              </w:rPr>
            </w:pPr>
            <w:r w:rsidRPr="00D5126A">
              <w:rPr>
                <w:rFonts w:eastAsia="Times New Roman" w:cstheme="minorHAnsi"/>
                <w:b/>
                <w:bCs/>
                <w:color w:val="333333"/>
                <w:sz w:val="24"/>
                <w:szCs w:val="24"/>
                <w:vertAlign w:val="superscript"/>
                <w:lang w:eastAsia="en-NZ"/>
              </w:rPr>
              <w:t>Variance</w:t>
            </w:r>
          </w:p>
          <w:p w:rsidR="002E2131" w:rsidRPr="00D5126A" w:rsidRDefault="002E2131" w:rsidP="001244BB">
            <w:pPr>
              <w:spacing w:after="0" w:line="240" w:lineRule="auto"/>
              <w:jc w:val="right"/>
              <w:rPr>
                <w:rFonts w:eastAsia="Times New Roman" w:cstheme="minorHAnsi"/>
                <w:b/>
                <w:bCs/>
                <w:color w:val="333333"/>
                <w:sz w:val="24"/>
                <w:szCs w:val="24"/>
                <w:lang w:eastAsia="en-NZ"/>
              </w:rPr>
            </w:pPr>
            <w:r w:rsidRPr="00D5126A">
              <w:rPr>
                <w:rFonts w:eastAsia="Times New Roman" w:cstheme="minorHAnsi"/>
                <w:b/>
                <w:bCs/>
                <w:color w:val="333333"/>
                <w:sz w:val="24"/>
                <w:szCs w:val="24"/>
                <w:vertAlign w:val="superscript"/>
                <w:lang w:eastAsia="en-NZ"/>
              </w:rPr>
              <w:t xml:space="preserve"> $m</w:t>
            </w:r>
          </w:p>
        </w:tc>
      </w:tr>
      <w:tr w:rsidR="002E2131" w:rsidRPr="00D5126A" w:rsidTr="001244BB">
        <w:trPr>
          <w:trHeight w:val="375"/>
        </w:trPr>
        <w:tc>
          <w:tcPr>
            <w:tcW w:w="5260" w:type="dxa"/>
            <w:tcBorders>
              <w:top w:val="nil"/>
              <w:left w:val="nil"/>
              <w:bottom w:val="nil"/>
              <w:right w:val="nil"/>
            </w:tcBorders>
            <w:shd w:val="clear" w:color="auto" w:fill="auto"/>
            <w:vAlign w:val="center"/>
            <w:hideMark/>
          </w:tcPr>
          <w:p w:rsidR="002E2131" w:rsidRPr="00D5126A" w:rsidRDefault="002E2131" w:rsidP="001244BB">
            <w:pPr>
              <w:spacing w:after="0" w:line="240" w:lineRule="auto"/>
              <w:rPr>
                <w:rFonts w:eastAsia="Times New Roman" w:cstheme="minorHAnsi"/>
                <w:color w:val="333333"/>
                <w:sz w:val="24"/>
                <w:szCs w:val="24"/>
                <w:lang w:eastAsia="en-NZ"/>
              </w:rPr>
            </w:pPr>
            <w:r w:rsidRPr="00D5126A">
              <w:rPr>
                <w:rFonts w:eastAsia="Times New Roman" w:cstheme="minorHAnsi"/>
                <w:color w:val="333333"/>
                <w:sz w:val="24"/>
                <w:szCs w:val="24"/>
                <w:vertAlign w:val="superscript"/>
                <w:lang w:eastAsia="en-NZ"/>
              </w:rPr>
              <w:t>Reported net surplus/(deficit)</w:t>
            </w:r>
          </w:p>
        </w:tc>
        <w:tc>
          <w:tcPr>
            <w:tcW w:w="1275" w:type="dxa"/>
            <w:tcBorders>
              <w:top w:val="nil"/>
              <w:left w:val="nil"/>
              <w:bottom w:val="single" w:sz="12" w:space="0" w:color="auto"/>
              <w:right w:val="nil"/>
            </w:tcBorders>
            <w:shd w:val="clear" w:color="auto" w:fill="auto"/>
            <w:vAlign w:val="center"/>
            <w:hideMark/>
          </w:tcPr>
          <w:p w:rsidR="002E2131" w:rsidRPr="00D5126A" w:rsidRDefault="002E2131" w:rsidP="001244BB">
            <w:pPr>
              <w:spacing w:after="0" w:line="240" w:lineRule="auto"/>
              <w:jc w:val="right"/>
              <w:rPr>
                <w:rFonts w:eastAsia="Times New Roman" w:cstheme="minorHAnsi"/>
                <w:color w:val="333333"/>
                <w:sz w:val="24"/>
                <w:szCs w:val="24"/>
                <w:lang w:eastAsia="en-NZ"/>
              </w:rPr>
            </w:pPr>
            <w:r w:rsidRPr="00D5126A">
              <w:rPr>
                <w:rFonts w:eastAsia="Times New Roman" w:cstheme="minorHAnsi"/>
                <w:color w:val="333333"/>
                <w:sz w:val="24"/>
                <w:szCs w:val="24"/>
                <w:vertAlign w:val="superscript"/>
                <w:lang w:eastAsia="en-NZ"/>
              </w:rPr>
              <w:t>(23.9)</w:t>
            </w:r>
          </w:p>
        </w:tc>
        <w:tc>
          <w:tcPr>
            <w:tcW w:w="1276" w:type="dxa"/>
            <w:tcBorders>
              <w:top w:val="nil"/>
              <w:left w:val="nil"/>
              <w:bottom w:val="single" w:sz="12" w:space="0" w:color="auto"/>
              <w:right w:val="nil"/>
            </w:tcBorders>
            <w:shd w:val="clear" w:color="auto" w:fill="auto"/>
            <w:vAlign w:val="center"/>
            <w:hideMark/>
          </w:tcPr>
          <w:p w:rsidR="002E2131" w:rsidRPr="00D5126A" w:rsidRDefault="002E2131" w:rsidP="001244BB">
            <w:pPr>
              <w:spacing w:after="0" w:line="240" w:lineRule="auto"/>
              <w:jc w:val="right"/>
              <w:rPr>
                <w:rFonts w:eastAsia="Times New Roman" w:cstheme="minorHAnsi"/>
                <w:color w:val="333333"/>
                <w:sz w:val="24"/>
                <w:szCs w:val="24"/>
                <w:lang w:eastAsia="en-NZ"/>
              </w:rPr>
            </w:pPr>
            <w:r w:rsidRPr="00D5126A">
              <w:rPr>
                <w:rFonts w:eastAsia="Times New Roman" w:cstheme="minorHAnsi"/>
                <w:color w:val="333333"/>
                <w:sz w:val="24"/>
                <w:szCs w:val="24"/>
                <w:vertAlign w:val="superscript"/>
                <w:lang w:eastAsia="en-NZ"/>
              </w:rPr>
              <w:t>17.8</w:t>
            </w:r>
          </w:p>
        </w:tc>
        <w:tc>
          <w:tcPr>
            <w:tcW w:w="1276" w:type="dxa"/>
            <w:tcBorders>
              <w:top w:val="nil"/>
              <w:left w:val="nil"/>
              <w:bottom w:val="single" w:sz="12" w:space="0" w:color="auto"/>
              <w:right w:val="nil"/>
            </w:tcBorders>
            <w:shd w:val="clear" w:color="auto" w:fill="auto"/>
            <w:vAlign w:val="center"/>
            <w:hideMark/>
          </w:tcPr>
          <w:p w:rsidR="002E2131" w:rsidRPr="00D5126A" w:rsidRDefault="002E2131" w:rsidP="001244BB">
            <w:pPr>
              <w:spacing w:after="0" w:line="240" w:lineRule="auto"/>
              <w:jc w:val="right"/>
              <w:rPr>
                <w:rFonts w:eastAsia="Times New Roman" w:cstheme="minorHAnsi"/>
                <w:color w:val="333333"/>
                <w:sz w:val="24"/>
                <w:szCs w:val="24"/>
                <w:lang w:eastAsia="en-NZ"/>
              </w:rPr>
            </w:pPr>
            <w:r w:rsidRPr="00D5126A">
              <w:rPr>
                <w:rFonts w:eastAsia="Times New Roman" w:cstheme="minorHAnsi"/>
                <w:color w:val="333333"/>
                <w:sz w:val="24"/>
                <w:szCs w:val="24"/>
                <w:vertAlign w:val="superscript"/>
                <w:lang w:eastAsia="en-NZ"/>
              </w:rPr>
              <w:t>(41.7)</w:t>
            </w:r>
          </w:p>
        </w:tc>
      </w:tr>
      <w:tr w:rsidR="002E2131" w:rsidRPr="00D5126A" w:rsidTr="001244BB">
        <w:trPr>
          <w:trHeight w:val="360"/>
        </w:trPr>
        <w:tc>
          <w:tcPr>
            <w:tcW w:w="5260" w:type="dxa"/>
            <w:tcBorders>
              <w:top w:val="nil"/>
              <w:left w:val="nil"/>
              <w:bottom w:val="nil"/>
              <w:right w:val="nil"/>
            </w:tcBorders>
            <w:shd w:val="clear" w:color="auto" w:fill="auto"/>
            <w:vAlign w:val="center"/>
            <w:hideMark/>
          </w:tcPr>
          <w:p w:rsidR="002E2131" w:rsidRPr="00D5126A" w:rsidRDefault="002E2131" w:rsidP="001244BB">
            <w:pPr>
              <w:spacing w:after="0" w:line="240" w:lineRule="auto"/>
              <w:rPr>
                <w:rFonts w:eastAsia="Times New Roman" w:cstheme="minorHAnsi"/>
                <w:color w:val="333333"/>
                <w:sz w:val="24"/>
                <w:szCs w:val="24"/>
                <w:lang w:eastAsia="en-NZ"/>
              </w:rPr>
            </w:pPr>
            <w:r w:rsidRPr="00D5126A">
              <w:rPr>
                <w:rFonts w:eastAsia="Times New Roman" w:cstheme="minorHAnsi"/>
                <w:color w:val="333333"/>
                <w:sz w:val="24"/>
                <w:szCs w:val="24"/>
                <w:vertAlign w:val="superscript"/>
                <w:lang w:eastAsia="en-NZ"/>
              </w:rPr>
              <w:t>Add items or budgeted differences not required to be rates funded</w:t>
            </w:r>
          </w:p>
        </w:tc>
        <w:tc>
          <w:tcPr>
            <w:tcW w:w="1275" w:type="dxa"/>
            <w:tcBorders>
              <w:top w:val="single" w:sz="12" w:space="0" w:color="auto"/>
              <w:left w:val="nil"/>
              <w:bottom w:val="nil"/>
              <w:right w:val="nil"/>
            </w:tcBorders>
            <w:shd w:val="clear" w:color="auto" w:fill="auto"/>
            <w:vAlign w:val="center"/>
            <w:hideMark/>
          </w:tcPr>
          <w:p w:rsidR="002E2131" w:rsidRPr="00D5126A" w:rsidRDefault="002E2131" w:rsidP="001244BB">
            <w:pPr>
              <w:spacing w:after="0" w:line="240" w:lineRule="auto"/>
              <w:jc w:val="right"/>
              <w:rPr>
                <w:rFonts w:eastAsia="Times New Roman" w:cstheme="minorHAnsi"/>
                <w:color w:val="333333"/>
                <w:sz w:val="24"/>
                <w:szCs w:val="24"/>
                <w:lang w:eastAsia="en-NZ"/>
              </w:rPr>
            </w:pPr>
            <w:r w:rsidRPr="00D5126A">
              <w:rPr>
                <w:rFonts w:eastAsia="Times New Roman" w:cstheme="minorHAnsi"/>
                <w:color w:val="333333"/>
                <w:sz w:val="24"/>
                <w:szCs w:val="24"/>
                <w:vertAlign w:val="superscript"/>
                <w:lang w:eastAsia="en-NZ"/>
              </w:rPr>
              <w:t>45.0</w:t>
            </w:r>
          </w:p>
        </w:tc>
        <w:tc>
          <w:tcPr>
            <w:tcW w:w="1276" w:type="dxa"/>
            <w:tcBorders>
              <w:top w:val="single" w:sz="12" w:space="0" w:color="auto"/>
              <w:left w:val="nil"/>
              <w:bottom w:val="nil"/>
              <w:right w:val="nil"/>
            </w:tcBorders>
            <w:shd w:val="clear" w:color="auto" w:fill="auto"/>
            <w:vAlign w:val="center"/>
            <w:hideMark/>
          </w:tcPr>
          <w:p w:rsidR="002E2131" w:rsidRPr="00D5126A" w:rsidRDefault="002E2131" w:rsidP="001244BB">
            <w:pPr>
              <w:spacing w:after="0" w:line="240" w:lineRule="auto"/>
              <w:jc w:val="right"/>
              <w:rPr>
                <w:rFonts w:eastAsia="Times New Roman" w:cstheme="minorHAnsi"/>
                <w:color w:val="333333"/>
                <w:sz w:val="24"/>
                <w:szCs w:val="24"/>
                <w:lang w:eastAsia="en-NZ"/>
              </w:rPr>
            </w:pPr>
            <w:r w:rsidRPr="00D5126A">
              <w:rPr>
                <w:rFonts w:eastAsia="Times New Roman" w:cstheme="minorHAnsi"/>
                <w:color w:val="333333"/>
                <w:sz w:val="24"/>
                <w:szCs w:val="24"/>
                <w:vertAlign w:val="superscript"/>
                <w:lang w:eastAsia="en-NZ"/>
              </w:rPr>
              <w:t>18.4</w:t>
            </w:r>
          </w:p>
        </w:tc>
        <w:tc>
          <w:tcPr>
            <w:tcW w:w="1276" w:type="dxa"/>
            <w:tcBorders>
              <w:top w:val="single" w:sz="12" w:space="0" w:color="auto"/>
              <w:left w:val="nil"/>
              <w:bottom w:val="nil"/>
              <w:right w:val="nil"/>
            </w:tcBorders>
            <w:shd w:val="clear" w:color="auto" w:fill="auto"/>
            <w:vAlign w:val="center"/>
            <w:hideMark/>
          </w:tcPr>
          <w:p w:rsidR="002E2131" w:rsidRPr="00D5126A" w:rsidRDefault="002E2131" w:rsidP="001244BB">
            <w:pPr>
              <w:spacing w:after="0" w:line="240" w:lineRule="auto"/>
              <w:jc w:val="right"/>
              <w:rPr>
                <w:rFonts w:eastAsia="Times New Roman" w:cstheme="minorHAnsi"/>
                <w:color w:val="333333"/>
                <w:sz w:val="24"/>
                <w:szCs w:val="24"/>
                <w:lang w:eastAsia="en-NZ"/>
              </w:rPr>
            </w:pPr>
            <w:r w:rsidRPr="00D5126A">
              <w:rPr>
                <w:rFonts w:eastAsia="Times New Roman" w:cstheme="minorHAnsi"/>
                <w:color w:val="333333"/>
                <w:sz w:val="24"/>
                <w:szCs w:val="24"/>
                <w:vertAlign w:val="superscript"/>
                <w:lang w:eastAsia="en-NZ"/>
              </w:rPr>
              <w:t>26.6</w:t>
            </w:r>
          </w:p>
        </w:tc>
      </w:tr>
      <w:tr w:rsidR="002E2131" w:rsidRPr="00D5126A" w:rsidTr="001244BB">
        <w:trPr>
          <w:trHeight w:val="360"/>
        </w:trPr>
        <w:tc>
          <w:tcPr>
            <w:tcW w:w="5260" w:type="dxa"/>
            <w:tcBorders>
              <w:top w:val="nil"/>
              <w:left w:val="nil"/>
              <w:bottom w:val="nil"/>
              <w:right w:val="nil"/>
            </w:tcBorders>
            <w:shd w:val="clear" w:color="auto" w:fill="auto"/>
            <w:vAlign w:val="center"/>
            <w:hideMark/>
          </w:tcPr>
          <w:p w:rsidR="002E2131" w:rsidRPr="00D5126A" w:rsidRDefault="002E2131" w:rsidP="001244BB">
            <w:pPr>
              <w:spacing w:after="0" w:line="240" w:lineRule="auto"/>
              <w:rPr>
                <w:rFonts w:eastAsia="Times New Roman" w:cstheme="minorHAnsi"/>
                <w:color w:val="333333"/>
                <w:sz w:val="24"/>
                <w:szCs w:val="24"/>
                <w:lang w:eastAsia="en-NZ"/>
              </w:rPr>
            </w:pPr>
            <w:r w:rsidRPr="00D5126A">
              <w:rPr>
                <w:rFonts w:eastAsia="Times New Roman" w:cstheme="minorHAnsi"/>
                <w:color w:val="333333"/>
                <w:sz w:val="24"/>
                <w:szCs w:val="24"/>
                <w:vertAlign w:val="superscript"/>
                <w:lang w:eastAsia="en-NZ"/>
              </w:rPr>
              <w:t>Exclude government funding for capital projects</w:t>
            </w:r>
          </w:p>
        </w:tc>
        <w:tc>
          <w:tcPr>
            <w:tcW w:w="1275" w:type="dxa"/>
            <w:tcBorders>
              <w:top w:val="nil"/>
              <w:left w:val="nil"/>
              <w:bottom w:val="nil"/>
              <w:right w:val="nil"/>
            </w:tcBorders>
            <w:shd w:val="clear" w:color="auto" w:fill="auto"/>
            <w:vAlign w:val="center"/>
            <w:hideMark/>
          </w:tcPr>
          <w:p w:rsidR="002E2131" w:rsidRPr="00D5126A" w:rsidRDefault="002E2131" w:rsidP="001244BB">
            <w:pPr>
              <w:spacing w:after="0" w:line="240" w:lineRule="auto"/>
              <w:jc w:val="right"/>
              <w:rPr>
                <w:rFonts w:eastAsia="Times New Roman" w:cstheme="minorHAnsi"/>
                <w:color w:val="333333"/>
                <w:sz w:val="24"/>
                <w:szCs w:val="24"/>
                <w:lang w:eastAsia="en-NZ"/>
              </w:rPr>
            </w:pPr>
            <w:r w:rsidRPr="00D5126A">
              <w:rPr>
                <w:rFonts w:eastAsia="Times New Roman" w:cstheme="minorHAnsi"/>
                <w:color w:val="333333"/>
                <w:sz w:val="24"/>
                <w:szCs w:val="24"/>
                <w:vertAlign w:val="superscript"/>
                <w:lang w:eastAsia="en-NZ"/>
              </w:rPr>
              <w:t>(34.3)</w:t>
            </w:r>
          </w:p>
        </w:tc>
        <w:tc>
          <w:tcPr>
            <w:tcW w:w="1276" w:type="dxa"/>
            <w:tcBorders>
              <w:top w:val="nil"/>
              <w:left w:val="nil"/>
              <w:bottom w:val="nil"/>
              <w:right w:val="nil"/>
            </w:tcBorders>
            <w:shd w:val="clear" w:color="auto" w:fill="auto"/>
            <w:vAlign w:val="center"/>
            <w:hideMark/>
          </w:tcPr>
          <w:p w:rsidR="002E2131" w:rsidRPr="00D5126A" w:rsidRDefault="002E2131" w:rsidP="001244BB">
            <w:pPr>
              <w:spacing w:after="0" w:line="240" w:lineRule="auto"/>
              <w:jc w:val="right"/>
              <w:rPr>
                <w:rFonts w:eastAsia="Times New Roman" w:cstheme="minorHAnsi"/>
                <w:color w:val="333333"/>
                <w:sz w:val="24"/>
                <w:szCs w:val="24"/>
                <w:lang w:eastAsia="en-NZ"/>
              </w:rPr>
            </w:pPr>
            <w:r w:rsidRPr="00D5126A">
              <w:rPr>
                <w:rFonts w:eastAsia="Times New Roman" w:cstheme="minorHAnsi"/>
                <w:color w:val="333333"/>
                <w:sz w:val="24"/>
                <w:szCs w:val="24"/>
                <w:vertAlign w:val="superscript"/>
                <w:lang w:eastAsia="en-NZ"/>
              </w:rPr>
              <w:t>(36.0)</w:t>
            </w:r>
          </w:p>
        </w:tc>
        <w:tc>
          <w:tcPr>
            <w:tcW w:w="1276" w:type="dxa"/>
            <w:tcBorders>
              <w:top w:val="nil"/>
              <w:left w:val="nil"/>
              <w:bottom w:val="nil"/>
              <w:right w:val="nil"/>
            </w:tcBorders>
            <w:shd w:val="clear" w:color="auto" w:fill="auto"/>
            <w:vAlign w:val="center"/>
            <w:hideMark/>
          </w:tcPr>
          <w:p w:rsidR="002E2131" w:rsidRPr="00D5126A" w:rsidRDefault="002E2131" w:rsidP="001244BB">
            <w:pPr>
              <w:spacing w:after="0" w:line="240" w:lineRule="auto"/>
              <w:jc w:val="right"/>
              <w:rPr>
                <w:rFonts w:eastAsia="Times New Roman" w:cstheme="minorHAnsi"/>
                <w:color w:val="333333"/>
                <w:sz w:val="24"/>
                <w:szCs w:val="24"/>
                <w:lang w:eastAsia="en-NZ"/>
              </w:rPr>
            </w:pPr>
            <w:r w:rsidRPr="00D5126A">
              <w:rPr>
                <w:rFonts w:eastAsia="Times New Roman" w:cstheme="minorHAnsi"/>
                <w:color w:val="333333"/>
                <w:sz w:val="24"/>
                <w:szCs w:val="24"/>
                <w:vertAlign w:val="superscript"/>
                <w:lang w:eastAsia="en-NZ"/>
              </w:rPr>
              <w:t>1.7</w:t>
            </w:r>
          </w:p>
        </w:tc>
      </w:tr>
      <w:tr w:rsidR="002E2131" w:rsidRPr="00D5126A" w:rsidTr="001244BB">
        <w:trPr>
          <w:trHeight w:val="360"/>
        </w:trPr>
        <w:tc>
          <w:tcPr>
            <w:tcW w:w="5260" w:type="dxa"/>
            <w:tcBorders>
              <w:top w:val="nil"/>
              <w:left w:val="nil"/>
              <w:bottom w:val="nil"/>
              <w:right w:val="nil"/>
            </w:tcBorders>
            <w:shd w:val="clear" w:color="auto" w:fill="auto"/>
            <w:vAlign w:val="center"/>
            <w:hideMark/>
          </w:tcPr>
          <w:p w:rsidR="002E2131" w:rsidRPr="00D5126A" w:rsidRDefault="002E2131" w:rsidP="001244BB">
            <w:pPr>
              <w:spacing w:after="0" w:line="240" w:lineRule="auto"/>
              <w:rPr>
                <w:rFonts w:eastAsia="Times New Roman" w:cstheme="minorHAnsi"/>
                <w:color w:val="333333"/>
                <w:sz w:val="24"/>
                <w:szCs w:val="24"/>
                <w:lang w:eastAsia="en-NZ"/>
              </w:rPr>
            </w:pPr>
            <w:r w:rsidRPr="00D5126A">
              <w:rPr>
                <w:rFonts w:eastAsia="Times New Roman" w:cstheme="minorHAnsi"/>
                <w:color w:val="333333"/>
                <w:sz w:val="24"/>
                <w:szCs w:val="24"/>
                <w:vertAlign w:val="superscript"/>
                <w:lang w:eastAsia="en-NZ"/>
              </w:rPr>
              <w:t>Items separately funded</w:t>
            </w:r>
          </w:p>
        </w:tc>
        <w:tc>
          <w:tcPr>
            <w:tcW w:w="1275" w:type="dxa"/>
            <w:tcBorders>
              <w:top w:val="nil"/>
              <w:left w:val="nil"/>
              <w:bottom w:val="nil"/>
              <w:right w:val="nil"/>
            </w:tcBorders>
            <w:shd w:val="clear" w:color="auto" w:fill="auto"/>
            <w:vAlign w:val="center"/>
            <w:hideMark/>
          </w:tcPr>
          <w:p w:rsidR="002E2131" w:rsidRPr="00D5126A" w:rsidRDefault="002E2131" w:rsidP="001244BB">
            <w:pPr>
              <w:spacing w:after="0" w:line="240" w:lineRule="auto"/>
              <w:jc w:val="right"/>
              <w:rPr>
                <w:rFonts w:eastAsia="Times New Roman" w:cstheme="minorHAnsi"/>
                <w:color w:val="333333"/>
                <w:sz w:val="24"/>
                <w:szCs w:val="24"/>
                <w:lang w:eastAsia="en-NZ"/>
              </w:rPr>
            </w:pPr>
            <w:r w:rsidRPr="00D5126A">
              <w:rPr>
                <w:rFonts w:eastAsia="Times New Roman" w:cstheme="minorHAnsi"/>
                <w:color w:val="333333"/>
                <w:sz w:val="24"/>
                <w:szCs w:val="24"/>
                <w:vertAlign w:val="superscript"/>
                <w:lang w:eastAsia="en-NZ"/>
              </w:rPr>
              <w:t>(8.9)</w:t>
            </w:r>
          </w:p>
        </w:tc>
        <w:tc>
          <w:tcPr>
            <w:tcW w:w="1276" w:type="dxa"/>
            <w:tcBorders>
              <w:top w:val="nil"/>
              <w:left w:val="nil"/>
              <w:bottom w:val="nil"/>
              <w:right w:val="nil"/>
            </w:tcBorders>
            <w:shd w:val="clear" w:color="auto" w:fill="auto"/>
            <w:vAlign w:val="center"/>
            <w:hideMark/>
          </w:tcPr>
          <w:p w:rsidR="002E2131" w:rsidRPr="00D5126A" w:rsidRDefault="002E2131" w:rsidP="001244BB">
            <w:pPr>
              <w:spacing w:after="0" w:line="240" w:lineRule="auto"/>
              <w:jc w:val="right"/>
              <w:rPr>
                <w:rFonts w:eastAsia="Times New Roman" w:cstheme="minorHAnsi"/>
                <w:color w:val="333333"/>
                <w:sz w:val="24"/>
                <w:szCs w:val="24"/>
                <w:lang w:eastAsia="en-NZ"/>
              </w:rPr>
            </w:pPr>
            <w:r w:rsidRPr="00D5126A">
              <w:rPr>
                <w:rFonts w:eastAsia="Times New Roman" w:cstheme="minorHAnsi"/>
                <w:color w:val="333333"/>
                <w:sz w:val="24"/>
                <w:szCs w:val="24"/>
                <w:vertAlign w:val="superscript"/>
                <w:lang w:eastAsia="en-NZ"/>
              </w:rPr>
              <w:t>(8.9)</w:t>
            </w:r>
          </w:p>
        </w:tc>
        <w:tc>
          <w:tcPr>
            <w:tcW w:w="1276" w:type="dxa"/>
            <w:tcBorders>
              <w:top w:val="nil"/>
              <w:left w:val="nil"/>
              <w:bottom w:val="nil"/>
              <w:right w:val="nil"/>
            </w:tcBorders>
            <w:shd w:val="clear" w:color="auto" w:fill="auto"/>
            <w:vAlign w:val="center"/>
            <w:hideMark/>
          </w:tcPr>
          <w:p w:rsidR="002E2131" w:rsidRPr="00D5126A" w:rsidRDefault="002E2131" w:rsidP="001244BB">
            <w:pPr>
              <w:spacing w:after="0" w:line="240" w:lineRule="auto"/>
              <w:jc w:val="right"/>
              <w:rPr>
                <w:rFonts w:eastAsia="Times New Roman" w:cstheme="minorHAnsi"/>
                <w:color w:val="333333"/>
                <w:sz w:val="24"/>
                <w:szCs w:val="24"/>
                <w:lang w:eastAsia="en-NZ"/>
              </w:rPr>
            </w:pPr>
            <w:r w:rsidRPr="00D5126A">
              <w:rPr>
                <w:rFonts w:eastAsia="Times New Roman" w:cstheme="minorHAnsi"/>
                <w:color w:val="333333"/>
                <w:sz w:val="24"/>
                <w:szCs w:val="24"/>
                <w:vertAlign w:val="superscript"/>
                <w:lang w:eastAsia="en-NZ"/>
              </w:rPr>
              <w:t>0.0</w:t>
            </w:r>
          </w:p>
        </w:tc>
      </w:tr>
      <w:tr w:rsidR="002E2131" w:rsidRPr="00D5126A" w:rsidTr="001244BB">
        <w:trPr>
          <w:trHeight w:val="360"/>
        </w:trPr>
        <w:tc>
          <w:tcPr>
            <w:tcW w:w="5260" w:type="dxa"/>
            <w:tcBorders>
              <w:top w:val="nil"/>
              <w:left w:val="nil"/>
              <w:bottom w:val="nil"/>
              <w:right w:val="nil"/>
            </w:tcBorders>
            <w:shd w:val="clear" w:color="auto" w:fill="auto"/>
            <w:vAlign w:val="center"/>
            <w:hideMark/>
          </w:tcPr>
          <w:p w:rsidR="002E2131" w:rsidRPr="00D5126A" w:rsidRDefault="002E2131" w:rsidP="001244BB">
            <w:pPr>
              <w:spacing w:after="0" w:line="240" w:lineRule="auto"/>
              <w:rPr>
                <w:rFonts w:eastAsia="Times New Roman" w:cstheme="minorHAnsi"/>
                <w:color w:val="333333"/>
                <w:sz w:val="24"/>
                <w:szCs w:val="24"/>
                <w:lang w:eastAsia="en-NZ"/>
              </w:rPr>
            </w:pPr>
            <w:r w:rsidRPr="00D5126A">
              <w:rPr>
                <w:rFonts w:eastAsia="Times New Roman" w:cstheme="minorHAnsi"/>
                <w:color w:val="333333"/>
                <w:sz w:val="24"/>
                <w:szCs w:val="24"/>
                <w:vertAlign w:val="superscript"/>
                <w:lang w:eastAsia="en-NZ"/>
              </w:rPr>
              <w:t>Ring-fenced activities</w:t>
            </w:r>
          </w:p>
        </w:tc>
        <w:tc>
          <w:tcPr>
            <w:tcW w:w="1275" w:type="dxa"/>
            <w:tcBorders>
              <w:top w:val="nil"/>
              <w:left w:val="nil"/>
              <w:bottom w:val="nil"/>
              <w:right w:val="nil"/>
            </w:tcBorders>
            <w:shd w:val="clear" w:color="auto" w:fill="auto"/>
            <w:vAlign w:val="center"/>
            <w:hideMark/>
          </w:tcPr>
          <w:p w:rsidR="002E2131" w:rsidRPr="00D5126A" w:rsidRDefault="002E2131" w:rsidP="001244BB">
            <w:pPr>
              <w:spacing w:after="0" w:line="240" w:lineRule="auto"/>
              <w:jc w:val="right"/>
              <w:rPr>
                <w:rFonts w:eastAsia="Times New Roman" w:cstheme="minorHAnsi"/>
                <w:color w:val="333333"/>
                <w:sz w:val="24"/>
                <w:szCs w:val="24"/>
                <w:lang w:eastAsia="en-NZ"/>
              </w:rPr>
            </w:pPr>
            <w:r w:rsidRPr="00D5126A">
              <w:rPr>
                <w:rFonts w:eastAsia="Times New Roman" w:cstheme="minorHAnsi"/>
                <w:color w:val="333333"/>
                <w:sz w:val="24"/>
                <w:szCs w:val="24"/>
                <w:vertAlign w:val="superscript"/>
                <w:lang w:eastAsia="en-NZ"/>
              </w:rPr>
              <w:t>22.1</w:t>
            </w:r>
          </w:p>
        </w:tc>
        <w:tc>
          <w:tcPr>
            <w:tcW w:w="1276" w:type="dxa"/>
            <w:tcBorders>
              <w:top w:val="nil"/>
              <w:left w:val="nil"/>
              <w:bottom w:val="nil"/>
              <w:right w:val="nil"/>
            </w:tcBorders>
            <w:shd w:val="clear" w:color="auto" w:fill="auto"/>
            <w:vAlign w:val="center"/>
            <w:hideMark/>
          </w:tcPr>
          <w:p w:rsidR="002E2131" w:rsidRPr="00D5126A" w:rsidRDefault="002E2131" w:rsidP="001244BB">
            <w:pPr>
              <w:spacing w:after="0" w:line="240" w:lineRule="auto"/>
              <w:jc w:val="right"/>
              <w:rPr>
                <w:rFonts w:eastAsia="Times New Roman" w:cstheme="minorHAnsi"/>
                <w:color w:val="333333"/>
                <w:sz w:val="24"/>
                <w:szCs w:val="24"/>
                <w:lang w:eastAsia="en-NZ"/>
              </w:rPr>
            </w:pPr>
            <w:r w:rsidRPr="00D5126A">
              <w:rPr>
                <w:rFonts w:eastAsia="Times New Roman" w:cstheme="minorHAnsi"/>
                <w:color w:val="333333"/>
                <w:sz w:val="24"/>
                <w:szCs w:val="24"/>
                <w:vertAlign w:val="superscript"/>
                <w:lang w:eastAsia="en-NZ"/>
              </w:rPr>
              <w:t>6.4</w:t>
            </w:r>
          </w:p>
        </w:tc>
        <w:tc>
          <w:tcPr>
            <w:tcW w:w="1276" w:type="dxa"/>
            <w:tcBorders>
              <w:top w:val="nil"/>
              <w:left w:val="nil"/>
              <w:bottom w:val="nil"/>
              <w:right w:val="nil"/>
            </w:tcBorders>
            <w:shd w:val="clear" w:color="auto" w:fill="auto"/>
            <w:vAlign w:val="center"/>
            <w:hideMark/>
          </w:tcPr>
          <w:p w:rsidR="002E2131" w:rsidRPr="00D5126A" w:rsidRDefault="002E2131" w:rsidP="001244BB">
            <w:pPr>
              <w:spacing w:after="0" w:line="240" w:lineRule="auto"/>
              <w:jc w:val="right"/>
              <w:rPr>
                <w:rFonts w:eastAsia="Times New Roman" w:cstheme="minorHAnsi"/>
                <w:color w:val="333333"/>
                <w:sz w:val="24"/>
                <w:szCs w:val="24"/>
                <w:lang w:eastAsia="en-NZ"/>
              </w:rPr>
            </w:pPr>
            <w:r w:rsidRPr="00D5126A">
              <w:rPr>
                <w:rFonts w:eastAsia="Times New Roman" w:cstheme="minorHAnsi"/>
                <w:color w:val="333333"/>
                <w:sz w:val="24"/>
                <w:szCs w:val="24"/>
                <w:vertAlign w:val="superscript"/>
                <w:lang w:eastAsia="en-NZ"/>
              </w:rPr>
              <w:t>15.7</w:t>
            </w:r>
          </w:p>
        </w:tc>
      </w:tr>
      <w:tr w:rsidR="002E2131" w:rsidRPr="00D5126A" w:rsidTr="001244BB">
        <w:trPr>
          <w:trHeight w:val="375"/>
        </w:trPr>
        <w:tc>
          <w:tcPr>
            <w:tcW w:w="5260" w:type="dxa"/>
            <w:tcBorders>
              <w:top w:val="nil"/>
              <w:left w:val="nil"/>
              <w:bottom w:val="nil"/>
              <w:right w:val="nil"/>
            </w:tcBorders>
            <w:shd w:val="clear" w:color="auto" w:fill="auto"/>
            <w:vAlign w:val="center"/>
            <w:hideMark/>
          </w:tcPr>
          <w:p w:rsidR="002E2131" w:rsidRPr="00D5126A" w:rsidRDefault="002E2131" w:rsidP="001244BB">
            <w:pPr>
              <w:spacing w:after="0" w:line="240" w:lineRule="auto"/>
              <w:rPr>
                <w:rFonts w:eastAsia="Times New Roman" w:cstheme="minorHAnsi"/>
                <w:color w:val="333333"/>
                <w:sz w:val="24"/>
                <w:szCs w:val="24"/>
                <w:lang w:eastAsia="en-NZ"/>
              </w:rPr>
            </w:pPr>
            <w:r w:rsidRPr="00D5126A">
              <w:rPr>
                <w:rFonts w:eastAsia="Times New Roman" w:cstheme="minorHAnsi"/>
                <w:color w:val="333333"/>
                <w:sz w:val="24"/>
                <w:szCs w:val="24"/>
                <w:vertAlign w:val="superscript"/>
                <w:lang w:eastAsia="en-NZ"/>
              </w:rPr>
              <w:t>Other adjustments</w:t>
            </w:r>
          </w:p>
        </w:tc>
        <w:tc>
          <w:tcPr>
            <w:tcW w:w="1275" w:type="dxa"/>
            <w:tcBorders>
              <w:top w:val="nil"/>
              <w:left w:val="nil"/>
              <w:bottom w:val="single" w:sz="12" w:space="0" w:color="auto"/>
              <w:right w:val="nil"/>
            </w:tcBorders>
            <w:shd w:val="clear" w:color="auto" w:fill="auto"/>
            <w:vAlign w:val="center"/>
            <w:hideMark/>
          </w:tcPr>
          <w:p w:rsidR="002E2131" w:rsidRPr="00D5126A" w:rsidRDefault="002E2131" w:rsidP="001244BB">
            <w:pPr>
              <w:spacing w:after="0" w:line="240" w:lineRule="auto"/>
              <w:jc w:val="right"/>
              <w:rPr>
                <w:rFonts w:eastAsia="Times New Roman" w:cstheme="minorHAnsi"/>
                <w:color w:val="333333"/>
                <w:sz w:val="24"/>
                <w:szCs w:val="24"/>
                <w:lang w:eastAsia="en-NZ"/>
              </w:rPr>
            </w:pPr>
            <w:r w:rsidRPr="00D5126A">
              <w:rPr>
                <w:rFonts w:eastAsia="Times New Roman" w:cstheme="minorHAnsi"/>
                <w:color w:val="333333"/>
                <w:sz w:val="24"/>
                <w:szCs w:val="24"/>
                <w:vertAlign w:val="superscript"/>
                <w:lang w:eastAsia="en-NZ"/>
              </w:rPr>
              <w:t>1.5</w:t>
            </w:r>
          </w:p>
        </w:tc>
        <w:tc>
          <w:tcPr>
            <w:tcW w:w="1276" w:type="dxa"/>
            <w:tcBorders>
              <w:top w:val="nil"/>
              <w:left w:val="nil"/>
              <w:bottom w:val="single" w:sz="12" w:space="0" w:color="auto"/>
              <w:right w:val="nil"/>
            </w:tcBorders>
            <w:shd w:val="clear" w:color="auto" w:fill="auto"/>
            <w:vAlign w:val="center"/>
            <w:hideMark/>
          </w:tcPr>
          <w:p w:rsidR="002E2131" w:rsidRPr="00D5126A" w:rsidRDefault="002E2131" w:rsidP="001244BB">
            <w:pPr>
              <w:spacing w:after="0" w:line="240" w:lineRule="auto"/>
              <w:jc w:val="right"/>
              <w:rPr>
                <w:rFonts w:eastAsia="Times New Roman" w:cstheme="minorHAnsi"/>
                <w:color w:val="333333"/>
                <w:sz w:val="24"/>
                <w:szCs w:val="24"/>
                <w:lang w:eastAsia="en-NZ"/>
              </w:rPr>
            </w:pPr>
            <w:r w:rsidRPr="00D5126A">
              <w:rPr>
                <w:rFonts w:eastAsia="Times New Roman" w:cstheme="minorHAnsi"/>
                <w:color w:val="333333"/>
                <w:sz w:val="24"/>
                <w:szCs w:val="24"/>
                <w:vertAlign w:val="superscript"/>
                <w:lang w:eastAsia="en-NZ"/>
              </w:rPr>
              <w:t>2.3</w:t>
            </w:r>
          </w:p>
        </w:tc>
        <w:tc>
          <w:tcPr>
            <w:tcW w:w="1276" w:type="dxa"/>
            <w:tcBorders>
              <w:top w:val="nil"/>
              <w:left w:val="nil"/>
              <w:bottom w:val="single" w:sz="12" w:space="0" w:color="auto"/>
              <w:right w:val="nil"/>
            </w:tcBorders>
            <w:shd w:val="clear" w:color="auto" w:fill="auto"/>
            <w:vAlign w:val="center"/>
            <w:hideMark/>
          </w:tcPr>
          <w:p w:rsidR="002E2131" w:rsidRPr="00D5126A" w:rsidRDefault="002E2131" w:rsidP="001244BB">
            <w:pPr>
              <w:spacing w:after="0" w:line="240" w:lineRule="auto"/>
              <w:jc w:val="right"/>
              <w:rPr>
                <w:rFonts w:eastAsia="Times New Roman" w:cstheme="minorHAnsi"/>
                <w:color w:val="333333"/>
                <w:sz w:val="24"/>
                <w:szCs w:val="24"/>
                <w:lang w:eastAsia="en-NZ"/>
              </w:rPr>
            </w:pPr>
            <w:r w:rsidRPr="00D5126A">
              <w:rPr>
                <w:rFonts w:eastAsia="Times New Roman" w:cstheme="minorHAnsi"/>
                <w:color w:val="333333"/>
                <w:sz w:val="24"/>
                <w:szCs w:val="24"/>
                <w:vertAlign w:val="superscript"/>
                <w:lang w:eastAsia="en-NZ"/>
              </w:rPr>
              <w:t>(0.8)</w:t>
            </w:r>
          </w:p>
        </w:tc>
      </w:tr>
      <w:tr w:rsidR="002E2131" w:rsidRPr="00D5126A" w:rsidTr="001244BB">
        <w:trPr>
          <w:trHeight w:val="360"/>
        </w:trPr>
        <w:tc>
          <w:tcPr>
            <w:tcW w:w="5260" w:type="dxa"/>
            <w:tcBorders>
              <w:top w:val="nil"/>
              <w:left w:val="nil"/>
              <w:bottom w:val="nil"/>
              <w:right w:val="nil"/>
            </w:tcBorders>
            <w:shd w:val="clear" w:color="auto" w:fill="auto"/>
            <w:vAlign w:val="center"/>
            <w:hideMark/>
          </w:tcPr>
          <w:p w:rsidR="002E2131" w:rsidRPr="00D5126A" w:rsidRDefault="002E2131" w:rsidP="001244BB">
            <w:pPr>
              <w:spacing w:after="0" w:line="240" w:lineRule="auto"/>
              <w:rPr>
                <w:rFonts w:eastAsia="Times New Roman" w:cstheme="minorHAnsi"/>
                <w:color w:val="333333"/>
                <w:sz w:val="24"/>
                <w:szCs w:val="24"/>
                <w:lang w:eastAsia="en-NZ"/>
              </w:rPr>
            </w:pPr>
            <w:r w:rsidRPr="00D5126A">
              <w:rPr>
                <w:rFonts w:eastAsia="Times New Roman" w:cstheme="minorHAnsi"/>
                <w:color w:val="333333"/>
                <w:sz w:val="24"/>
                <w:szCs w:val="24"/>
                <w:vertAlign w:val="superscript"/>
                <w:lang w:eastAsia="en-NZ"/>
              </w:rPr>
              <w:t>Underlying surplus</w:t>
            </w:r>
          </w:p>
        </w:tc>
        <w:tc>
          <w:tcPr>
            <w:tcW w:w="1275" w:type="dxa"/>
            <w:tcBorders>
              <w:top w:val="single" w:sz="12" w:space="0" w:color="auto"/>
              <w:left w:val="nil"/>
              <w:bottom w:val="nil"/>
              <w:right w:val="nil"/>
            </w:tcBorders>
            <w:shd w:val="clear" w:color="auto" w:fill="auto"/>
            <w:vAlign w:val="center"/>
            <w:hideMark/>
          </w:tcPr>
          <w:p w:rsidR="002E2131" w:rsidRPr="00D5126A" w:rsidRDefault="002E2131" w:rsidP="001244BB">
            <w:pPr>
              <w:spacing w:after="0" w:line="240" w:lineRule="auto"/>
              <w:jc w:val="right"/>
              <w:rPr>
                <w:rFonts w:eastAsia="Times New Roman" w:cstheme="minorHAnsi"/>
                <w:color w:val="333333"/>
                <w:sz w:val="24"/>
                <w:szCs w:val="24"/>
                <w:lang w:eastAsia="en-NZ"/>
              </w:rPr>
            </w:pPr>
            <w:r w:rsidRPr="00D5126A">
              <w:rPr>
                <w:rFonts w:eastAsia="Times New Roman" w:cstheme="minorHAnsi"/>
                <w:color w:val="333333"/>
                <w:sz w:val="24"/>
                <w:szCs w:val="24"/>
                <w:vertAlign w:val="superscript"/>
                <w:lang w:eastAsia="en-NZ"/>
              </w:rPr>
              <w:t>1.5</w:t>
            </w:r>
          </w:p>
        </w:tc>
        <w:tc>
          <w:tcPr>
            <w:tcW w:w="1276" w:type="dxa"/>
            <w:tcBorders>
              <w:top w:val="single" w:sz="12" w:space="0" w:color="auto"/>
              <w:left w:val="nil"/>
              <w:bottom w:val="nil"/>
              <w:right w:val="nil"/>
            </w:tcBorders>
            <w:shd w:val="clear" w:color="auto" w:fill="auto"/>
            <w:vAlign w:val="center"/>
            <w:hideMark/>
          </w:tcPr>
          <w:p w:rsidR="002E2131" w:rsidRPr="00D5126A" w:rsidRDefault="002E2131" w:rsidP="001244BB">
            <w:pPr>
              <w:spacing w:after="0" w:line="240" w:lineRule="auto"/>
              <w:jc w:val="right"/>
              <w:rPr>
                <w:rFonts w:eastAsia="Times New Roman" w:cstheme="minorHAnsi"/>
                <w:color w:val="333333"/>
                <w:sz w:val="24"/>
                <w:szCs w:val="24"/>
                <w:lang w:eastAsia="en-NZ"/>
              </w:rPr>
            </w:pPr>
            <w:r w:rsidRPr="00D5126A">
              <w:rPr>
                <w:rFonts w:eastAsia="Times New Roman" w:cstheme="minorHAnsi"/>
                <w:color w:val="333333"/>
                <w:sz w:val="24"/>
                <w:szCs w:val="24"/>
                <w:vertAlign w:val="superscript"/>
                <w:lang w:eastAsia="en-NZ"/>
              </w:rPr>
              <w:t>0.0</w:t>
            </w:r>
          </w:p>
        </w:tc>
        <w:tc>
          <w:tcPr>
            <w:tcW w:w="1276" w:type="dxa"/>
            <w:tcBorders>
              <w:top w:val="single" w:sz="12" w:space="0" w:color="auto"/>
              <w:left w:val="nil"/>
              <w:bottom w:val="nil"/>
              <w:right w:val="nil"/>
            </w:tcBorders>
            <w:shd w:val="clear" w:color="auto" w:fill="auto"/>
            <w:vAlign w:val="center"/>
            <w:hideMark/>
          </w:tcPr>
          <w:p w:rsidR="002E2131" w:rsidRPr="00D5126A" w:rsidRDefault="002E2131" w:rsidP="001244BB">
            <w:pPr>
              <w:spacing w:after="0" w:line="240" w:lineRule="auto"/>
              <w:jc w:val="right"/>
              <w:rPr>
                <w:rFonts w:eastAsia="Times New Roman" w:cstheme="minorHAnsi"/>
                <w:color w:val="333333"/>
                <w:sz w:val="24"/>
                <w:szCs w:val="24"/>
                <w:lang w:eastAsia="en-NZ"/>
              </w:rPr>
            </w:pPr>
            <w:r w:rsidRPr="00D5126A">
              <w:rPr>
                <w:rFonts w:eastAsia="Times New Roman" w:cstheme="minorHAnsi"/>
                <w:color w:val="333333"/>
                <w:sz w:val="24"/>
                <w:szCs w:val="24"/>
                <w:vertAlign w:val="superscript"/>
                <w:lang w:eastAsia="en-NZ"/>
              </w:rPr>
              <w:t>1.5</w:t>
            </w:r>
          </w:p>
        </w:tc>
      </w:tr>
    </w:tbl>
    <w:p w:rsidR="00D768BD" w:rsidRDefault="00D768BD" w:rsidP="00D768BD">
      <w:pPr>
        <w:pStyle w:val="Caption"/>
      </w:pPr>
      <w:r>
        <w:lastRenderedPageBreak/>
        <w:t xml:space="preserve">Figure </w:t>
      </w:r>
      <w:fldSimple w:instr=" SEQ Figure \* ARABIC ">
        <w:r w:rsidR="00793649">
          <w:rPr>
            <w:noProof/>
          </w:rPr>
          <w:t>1</w:t>
        </w:r>
      </w:fldSimple>
      <w:r>
        <w:t xml:space="preserve">: </w:t>
      </w:r>
      <w:r w:rsidRPr="000C6B6A">
        <w:t xml:space="preserve">Net </w:t>
      </w:r>
      <w:r w:rsidR="00CE02B9">
        <w:t>s</w:t>
      </w:r>
      <w:r w:rsidR="00CE02B9" w:rsidRPr="000C6B6A">
        <w:t>urplus</w:t>
      </w:r>
      <w:proofErr w:type="gramStart"/>
      <w:r w:rsidR="00612BE4">
        <w:rPr>
          <w:rFonts w:ascii="Arial" w:eastAsia="Times New Roman" w:hAnsi="Arial" w:cs="Arial"/>
          <w:lang w:eastAsia="en-NZ"/>
        </w:rPr>
        <w:t>/(</w:t>
      </w:r>
      <w:proofErr w:type="gramEnd"/>
      <w:r w:rsidR="00612BE4">
        <w:rPr>
          <w:rFonts w:ascii="Arial" w:eastAsia="Times New Roman" w:hAnsi="Arial" w:cs="Arial"/>
          <w:lang w:eastAsia="en-NZ"/>
        </w:rPr>
        <w:t>deficit)</w:t>
      </w:r>
      <w:r w:rsidRPr="000C6B6A">
        <w:t xml:space="preserve"> vs </w:t>
      </w:r>
      <w:r w:rsidR="00CE02B9">
        <w:t>u</w:t>
      </w:r>
      <w:r w:rsidR="00CE02B9" w:rsidRPr="000C6B6A">
        <w:t xml:space="preserve">nderlying </w:t>
      </w:r>
      <w:r w:rsidR="00CE02B9">
        <w:t>r</w:t>
      </w:r>
      <w:r w:rsidR="00CE02B9" w:rsidRPr="000C6B6A">
        <w:t xml:space="preserve">esult </w:t>
      </w:r>
      <w:r w:rsidRPr="000C6B6A">
        <w:t>over the past 5 years</w:t>
      </w:r>
      <w:r w:rsidR="006D6061">
        <w:t xml:space="preserve"> ($m)</w:t>
      </w:r>
    </w:p>
    <w:p w:rsidR="002E2131" w:rsidRPr="00D5126A" w:rsidRDefault="005B71DE" w:rsidP="002E2131">
      <w:pPr>
        <w:pStyle w:val="Heading4"/>
      </w:pPr>
      <w:r>
        <w:rPr>
          <w:noProof/>
          <w:lang w:eastAsia="en-NZ"/>
        </w:rPr>
        <w:drawing>
          <wp:inline distT="0" distB="0" distL="0" distR="0" wp14:anchorId="6231D34B" wp14:editId="2C83BD90">
            <wp:extent cx="3348111" cy="3670388"/>
            <wp:effectExtent l="0" t="0" r="5080" b="6350"/>
            <wp:docPr id="47" name="Picture 47" descr="Graph displaying the net surplus/(deficit) compared to the underlying result. Five years are included. &#10;2014/15: 35.5 net suplus vs 2.8 underlying surplus. &#10;2015/16: 34.1 net surplus vs 6.1 underlying surplus&#10;2016/17: 31.7 net surplus vs 10.6 underlying surplus&#10;2017/18: 32.2 net surplus vs 0.6 underlying deficit&#10;2018/19: 23.9 net deficit vs 1.5 underlying surplus" title="Figure 1: Net surplus/(deficit) vs underlying result over the past 5 years ($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349489" cy="3671899"/>
                    </a:xfrm>
                    <a:prstGeom prst="rect">
                      <a:avLst/>
                    </a:prstGeom>
                  </pic:spPr>
                </pic:pic>
              </a:graphicData>
            </a:graphic>
          </wp:inline>
        </w:drawing>
      </w:r>
    </w:p>
    <w:p w:rsidR="002E2131" w:rsidRPr="00D5126A" w:rsidRDefault="002E2131" w:rsidP="002E2131">
      <w:pPr>
        <w:spacing w:after="0" w:line="240" w:lineRule="auto"/>
        <w:rPr>
          <w:rFonts w:ascii="Arial" w:eastAsia="Times New Roman" w:hAnsi="Arial" w:cs="Arial"/>
          <w:color w:val="333333"/>
          <w:sz w:val="18"/>
          <w:szCs w:val="18"/>
          <w:lang w:eastAsia="en-NZ"/>
        </w:rPr>
      </w:pPr>
      <w:r w:rsidRPr="00D5126A">
        <w:rPr>
          <w:rFonts w:ascii="Arial" w:eastAsia="Times New Roman" w:hAnsi="Arial" w:cs="Arial"/>
          <w:color w:val="333333"/>
          <w:sz w:val="18"/>
          <w:szCs w:val="18"/>
          <w:lang w:eastAsia="en-NZ"/>
        </w:rPr>
        <w:t xml:space="preserve">*Refer to Table </w:t>
      </w:r>
      <w:r w:rsidR="00D768BD">
        <w:rPr>
          <w:rFonts w:ascii="Arial" w:eastAsia="Times New Roman" w:hAnsi="Arial" w:cs="Arial"/>
          <w:color w:val="333333"/>
          <w:sz w:val="18"/>
          <w:szCs w:val="18"/>
          <w:lang w:eastAsia="en-NZ"/>
        </w:rPr>
        <w:t>3</w:t>
      </w:r>
      <w:r w:rsidRPr="00D5126A">
        <w:rPr>
          <w:rFonts w:ascii="Arial" w:eastAsia="Times New Roman" w:hAnsi="Arial" w:cs="Arial"/>
          <w:color w:val="333333"/>
          <w:sz w:val="18"/>
          <w:szCs w:val="18"/>
          <w:lang w:eastAsia="en-NZ"/>
        </w:rPr>
        <w:t xml:space="preserve"> for explanation of movement from reported net surplus</w:t>
      </w:r>
      <w:proofErr w:type="gramStart"/>
      <w:r w:rsidR="00612BE4" w:rsidRPr="00612BE4">
        <w:rPr>
          <w:rFonts w:ascii="Arial" w:eastAsia="Times New Roman" w:hAnsi="Arial" w:cs="Arial"/>
          <w:color w:val="333333"/>
          <w:sz w:val="18"/>
          <w:szCs w:val="18"/>
          <w:lang w:eastAsia="en-NZ"/>
        </w:rPr>
        <w:t>/(</w:t>
      </w:r>
      <w:proofErr w:type="gramEnd"/>
      <w:r w:rsidR="00612BE4" w:rsidRPr="00612BE4">
        <w:rPr>
          <w:rFonts w:ascii="Arial" w:eastAsia="Times New Roman" w:hAnsi="Arial" w:cs="Arial"/>
          <w:color w:val="333333"/>
          <w:sz w:val="18"/>
          <w:szCs w:val="18"/>
          <w:lang w:eastAsia="en-NZ"/>
        </w:rPr>
        <w:t>deficit)</w:t>
      </w:r>
      <w:r w:rsidRPr="00D5126A">
        <w:rPr>
          <w:rFonts w:ascii="Arial" w:eastAsia="Times New Roman" w:hAnsi="Arial" w:cs="Arial"/>
          <w:color w:val="333333"/>
          <w:sz w:val="18"/>
          <w:szCs w:val="18"/>
          <w:lang w:eastAsia="en-NZ"/>
        </w:rPr>
        <w:t xml:space="preserve"> to underlying surplus.</w:t>
      </w:r>
    </w:p>
    <w:p w:rsidR="00AE0484" w:rsidRPr="00D5126A" w:rsidRDefault="00AE0484" w:rsidP="00AE0484">
      <w:pPr>
        <w:spacing w:before="240" w:after="0" w:line="240" w:lineRule="auto"/>
        <w:rPr>
          <w:rFonts w:ascii="Arial" w:eastAsia="Times New Roman" w:hAnsi="Arial" w:cs="Arial"/>
          <w:color w:val="333333"/>
          <w:sz w:val="18"/>
          <w:szCs w:val="18"/>
          <w:lang w:eastAsia="en-NZ"/>
        </w:rPr>
      </w:pPr>
      <w:r w:rsidRPr="00D5126A">
        <w:rPr>
          <w:rFonts w:eastAsia="Times New Roman"/>
          <w:lang w:eastAsia="en-NZ"/>
        </w:rPr>
        <w:t>Zero on the graph represents a balanced budget. For 2018/19 we achieved an underlying surplus of $1.</w:t>
      </w:r>
      <w:r w:rsidR="00EA417D" w:rsidRPr="00D5126A">
        <w:rPr>
          <w:rFonts w:eastAsia="Times New Roman"/>
          <w:lang w:eastAsia="en-NZ"/>
        </w:rPr>
        <w:t>5</w:t>
      </w:r>
      <w:r w:rsidRPr="00D5126A">
        <w:rPr>
          <w:rFonts w:eastAsia="Times New Roman"/>
          <w:lang w:eastAsia="en-NZ"/>
        </w:rPr>
        <w:t xml:space="preserve"> million which is less than 0.3</w:t>
      </w:r>
      <w:r w:rsidR="00CE02B9">
        <w:rPr>
          <w:rFonts w:eastAsia="Times New Roman"/>
          <w:lang w:eastAsia="en-NZ"/>
        </w:rPr>
        <w:t xml:space="preserve"> percent</w:t>
      </w:r>
      <w:r w:rsidR="00CE02B9" w:rsidRPr="00D5126A">
        <w:rPr>
          <w:rFonts w:eastAsia="Times New Roman"/>
          <w:lang w:eastAsia="en-NZ"/>
        </w:rPr>
        <w:t xml:space="preserve"> </w:t>
      </w:r>
      <w:r w:rsidRPr="00D5126A">
        <w:rPr>
          <w:rFonts w:eastAsia="Times New Roman"/>
          <w:lang w:eastAsia="en-NZ"/>
        </w:rPr>
        <w:t>of operating expenditure and reflects the careful stewardship of revenue and expenditure against budget.</w:t>
      </w:r>
    </w:p>
    <w:p w:rsidR="00476AE8" w:rsidRPr="00D5126A" w:rsidRDefault="00476AE8" w:rsidP="00846C1B">
      <w:pPr>
        <w:pStyle w:val="Heading4"/>
      </w:pPr>
      <w:r w:rsidRPr="00D5126A">
        <w:t>Where our money comes from</w:t>
      </w:r>
      <w:bookmarkEnd w:id="115"/>
      <w:bookmarkEnd w:id="116"/>
    </w:p>
    <w:p w:rsidR="00BB15FB" w:rsidRPr="00D5126A" w:rsidRDefault="00BB15FB" w:rsidP="00BB15FB">
      <w:pPr>
        <w:rPr>
          <w:rFonts w:eastAsia="Times New Roman"/>
          <w:lang w:eastAsia="en-NZ"/>
        </w:rPr>
      </w:pPr>
      <w:r w:rsidRPr="00D5126A">
        <w:rPr>
          <w:rFonts w:eastAsia="Times New Roman"/>
          <w:lang w:eastAsia="en-NZ"/>
        </w:rPr>
        <w:t>Rates are our main source of funding (55</w:t>
      </w:r>
      <w:r w:rsidR="00CE02B9">
        <w:rPr>
          <w:rFonts w:eastAsia="Times New Roman"/>
          <w:lang w:eastAsia="en-NZ"/>
        </w:rPr>
        <w:t xml:space="preserve"> percent</w:t>
      </w:r>
      <w:r w:rsidR="00CE02B9" w:rsidRPr="00D5126A">
        <w:rPr>
          <w:rFonts w:eastAsia="Times New Roman"/>
          <w:lang w:eastAsia="en-NZ"/>
        </w:rPr>
        <w:t xml:space="preserve"> </w:t>
      </w:r>
      <w:r w:rsidRPr="00D5126A">
        <w:rPr>
          <w:rFonts w:eastAsia="Times New Roman"/>
          <w:lang w:eastAsia="en-NZ"/>
        </w:rPr>
        <w:t xml:space="preserve">of $560 million) with revenue from operating activities (including user fees) the next largest source (28%). We also receive revenue from other external sources (mainly government) to fund capital expenditure, revenue from interest and dividends. </w:t>
      </w:r>
    </w:p>
    <w:p w:rsidR="00D768BD" w:rsidRDefault="00D768BD" w:rsidP="00D768BD">
      <w:pPr>
        <w:pStyle w:val="Caption"/>
      </w:pPr>
      <w:r>
        <w:lastRenderedPageBreak/>
        <w:t xml:space="preserve">Figure </w:t>
      </w:r>
      <w:fldSimple w:instr=" SEQ Figure \* ARABIC ">
        <w:r w:rsidR="00793649">
          <w:rPr>
            <w:noProof/>
          </w:rPr>
          <w:t>2</w:t>
        </w:r>
      </w:fldSimple>
      <w:r>
        <w:t xml:space="preserve">: </w:t>
      </w:r>
      <w:r w:rsidRPr="00A90F04">
        <w:t>Overall sources of revenue for the past 3 years</w:t>
      </w:r>
      <w:r w:rsidR="006D6061">
        <w:t xml:space="preserve"> ($m)</w:t>
      </w:r>
    </w:p>
    <w:p w:rsidR="00B6073A" w:rsidRPr="00D5126A" w:rsidRDefault="003B0FCE" w:rsidP="00BB15FB">
      <w:pPr>
        <w:spacing w:before="240"/>
        <w:rPr>
          <w:rFonts w:eastAsia="Times New Roman"/>
          <w:lang w:eastAsia="en-NZ"/>
        </w:rPr>
      </w:pPr>
      <w:r>
        <w:rPr>
          <w:rFonts w:eastAsia="Times New Roman"/>
          <w:noProof/>
          <w:lang w:eastAsia="en-NZ"/>
        </w:rPr>
        <w:drawing>
          <wp:inline distT="0" distB="0" distL="0" distR="0" wp14:anchorId="550C0491" wp14:editId="491824EA">
            <wp:extent cx="3317359" cy="3413003"/>
            <wp:effectExtent l="0" t="0" r="0" b="0"/>
            <wp:docPr id="36" name="Picture 36" descr="Graph showing our main sources of revenue. &#10;Rates are our main source of funding (55 percent of $560 million) with revenue from operating activities (including user fees) the next largest source (28%). We also receive revenue from other external sources (mainly government) to fund capital expenditure, revenue from interest and dividends. " title="Figure 2: Overall sources of revenue for the past 3 years ($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23042" cy="3418850"/>
                    </a:xfrm>
                    <a:prstGeom prst="rect">
                      <a:avLst/>
                    </a:prstGeom>
                    <a:noFill/>
                    <a:ln>
                      <a:noFill/>
                    </a:ln>
                  </pic:spPr>
                </pic:pic>
              </a:graphicData>
            </a:graphic>
          </wp:inline>
        </w:drawing>
      </w:r>
    </w:p>
    <w:p w:rsidR="00BB15FB" w:rsidRPr="00D5126A" w:rsidRDefault="00BB15FB" w:rsidP="00BB15FB">
      <w:pPr>
        <w:rPr>
          <w:rFonts w:eastAsia="Times New Roman"/>
          <w:lang w:eastAsia="en-NZ"/>
        </w:rPr>
      </w:pPr>
      <w:r w:rsidRPr="00D5126A">
        <w:rPr>
          <w:rFonts w:eastAsia="Times New Roman"/>
          <w:lang w:eastAsia="en-NZ"/>
        </w:rPr>
        <w:t xml:space="preserve">Figure </w:t>
      </w:r>
      <w:r w:rsidR="00CE02B9">
        <w:rPr>
          <w:rFonts w:eastAsia="Times New Roman"/>
          <w:lang w:eastAsia="en-NZ"/>
        </w:rPr>
        <w:t>3</w:t>
      </w:r>
      <w:r w:rsidR="00CE02B9" w:rsidRPr="00D5126A">
        <w:rPr>
          <w:rFonts w:eastAsia="Times New Roman"/>
          <w:lang w:eastAsia="en-NZ"/>
        </w:rPr>
        <w:t xml:space="preserve"> </w:t>
      </w:r>
      <w:r w:rsidRPr="00D5126A">
        <w:rPr>
          <w:rFonts w:eastAsia="Times New Roman"/>
          <w:lang w:eastAsia="en-NZ"/>
        </w:rPr>
        <w:t>shows the sources of the Council’s revenue for the year. The majority of the Council’s $310 million of rates revenue received during the year was from general rates. Other sources were sewerage and stormwater targeted rates, with the fresh water provision making up most of the balance.</w:t>
      </w:r>
    </w:p>
    <w:p w:rsidR="00D768BD" w:rsidRDefault="00D768BD" w:rsidP="00D768BD">
      <w:pPr>
        <w:pStyle w:val="Caption"/>
      </w:pPr>
      <w:r>
        <w:t xml:space="preserve">Figure </w:t>
      </w:r>
      <w:fldSimple w:instr=" SEQ Figure \* ARABIC ">
        <w:r w:rsidR="00793649">
          <w:rPr>
            <w:noProof/>
          </w:rPr>
          <w:t>3</w:t>
        </w:r>
      </w:fldSimple>
      <w:r>
        <w:t xml:space="preserve">: </w:t>
      </w:r>
      <w:r w:rsidRPr="00A51693">
        <w:t xml:space="preserve">Sources of Council’s </w:t>
      </w:r>
      <w:r w:rsidR="006D6061">
        <w:t xml:space="preserve">rates </w:t>
      </w:r>
      <w:r w:rsidRPr="00A51693">
        <w:t>revenue for the year</w:t>
      </w:r>
      <w:r w:rsidR="006D6061">
        <w:t xml:space="preserve"> ($m, %)</w:t>
      </w:r>
    </w:p>
    <w:p w:rsidR="00BB15FB" w:rsidRPr="00D5126A" w:rsidRDefault="003B0FCE" w:rsidP="00B6073A">
      <w:pPr>
        <w:spacing w:before="240"/>
        <w:rPr>
          <w:rFonts w:eastAsia="Times New Roman"/>
          <w:lang w:eastAsia="en-NZ"/>
        </w:rPr>
      </w:pPr>
      <w:r>
        <w:rPr>
          <w:rFonts w:eastAsia="Times New Roman"/>
          <w:noProof/>
          <w:lang w:eastAsia="en-NZ"/>
        </w:rPr>
        <w:drawing>
          <wp:inline distT="0" distB="0" distL="0" distR="0" wp14:anchorId="3E4CF09C" wp14:editId="28B77514">
            <wp:extent cx="4391247" cy="2987242"/>
            <wp:effectExtent l="0" t="0" r="0" b="3810"/>
            <wp:docPr id="38" name="Picture 38" descr="General and targeted rates - Base: $107,589 (35%)&#10;General and targeted rates - Commervial, industrial and business: $81,612 (26%)&#10;Sewerage and stormwater: $62,735 (20%)&#10;Water: $44, 549 (15%)&#10;Downtown and other targeted rates $13, 412 (4%)" title="Figure 3: Sources of Council’s rates revenue for the year ($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397930" cy="2991788"/>
                    </a:xfrm>
                    <a:prstGeom prst="rect">
                      <a:avLst/>
                    </a:prstGeom>
                    <a:noFill/>
                    <a:ln>
                      <a:noFill/>
                    </a:ln>
                  </pic:spPr>
                </pic:pic>
              </a:graphicData>
            </a:graphic>
          </wp:inline>
        </w:drawing>
      </w:r>
    </w:p>
    <w:p w:rsidR="00BB15FB" w:rsidRPr="00D5126A" w:rsidRDefault="00BB15FB" w:rsidP="00BB15FB">
      <w:pPr>
        <w:rPr>
          <w:rFonts w:eastAsia="Times New Roman"/>
          <w:lang w:eastAsia="en-NZ"/>
        </w:rPr>
      </w:pPr>
      <w:r w:rsidRPr="00D5126A">
        <w:rPr>
          <w:rFonts w:eastAsia="Times New Roman"/>
          <w:lang w:eastAsia="en-NZ"/>
        </w:rPr>
        <w:t>In 2018/19, the Council received higher cash revenues than budgeted from:</w:t>
      </w:r>
    </w:p>
    <w:p w:rsidR="00BB15FB" w:rsidRPr="00D5126A" w:rsidRDefault="00BB15FB" w:rsidP="002C7BF8">
      <w:pPr>
        <w:pStyle w:val="ListParagraph"/>
        <w:numPr>
          <w:ilvl w:val="0"/>
          <w:numId w:val="18"/>
        </w:numPr>
        <w:rPr>
          <w:rFonts w:ascii="Symbol" w:eastAsia="Times New Roman" w:hAnsi="Symbol"/>
          <w:lang w:eastAsia="en-NZ"/>
        </w:rPr>
      </w:pPr>
      <w:r w:rsidRPr="00D5126A">
        <w:rPr>
          <w:rFonts w:eastAsia="Times New Roman"/>
          <w:lang w:eastAsia="en-NZ"/>
        </w:rPr>
        <w:t>higher-than-anticipated dividends from our investment in Wellington International Airport Ltd ($1.0 million)</w:t>
      </w:r>
    </w:p>
    <w:p w:rsidR="00BB15FB" w:rsidRPr="00D5126A" w:rsidRDefault="00BB15FB" w:rsidP="002C7BF8">
      <w:pPr>
        <w:pStyle w:val="ListParagraph"/>
        <w:numPr>
          <w:ilvl w:val="0"/>
          <w:numId w:val="18"/>
        </w:numPr>
        <w:rPr>
          <w:rFonts w:ascii="Symbol" w:eastAsia="Times New Roman" w:hAnsi="Symbol"/>
          <w:lang w:eastAsia="en-NZ"/>
        </w:rPr>
      </w:pPr>
      <w:proofErr w:type="gramStart"/>
      <w:r w:rsidRPr="00D5126A">
        <w:rPr>
          <w:rFonts w:eastAsia="Times New Roman"/>
          <w:lang w:eastAsia="en-NZ"/>
        </w:rPr>
        <w:t>an</w:t>
      </w:r>
      <w:proofErr w:type="gramEnd"/>
      <w:r w:rsidRPr="00D5126A">
        <w:rPr>
          <w:rFonts w:eastAsia="Times New Roman"/>
          <w:lang w:eastAsia="en-NZ"/>
        </w:rPr>
        <w:t xml:space="preserve"> increase in central government operating subsidies for transport ($2.0 million).</w:t>
      </w:r>
    </w:p>
    <w:p w:rsidR="00BB15FB" w:rsidRPr="00D5126A" w:rsidRDefault="00BB15FB" w:rsidP="00BB15FB">
      <w:pPr>
        <w:rPr>
          <w:rFonts w:eastAsia="Times New Roman"/>
          <w:lang w:eastAsia="en-NZ"/>
        </w:rPr>
      </w:pPr>
      <w:r w:rsidRPr="00D5126A">
        <w:rPr>
          <w:rFonts w:eastAsia="Times New Roman"/>
          <w:lang w:eastAsia="en-NZ"/>
        </w:rPr>
        <w:lastRenderedPageBreak/>
        <w:t>The Council also received higher non-cash revenues than budgeted for vested assets ($13.4 million) and an increase in investment property valuations, which is recognised as revenue ($18.5 million).</w:t>
      </w:r>
    </w:p>
    <w:p w:rsidR="00476AE8" w:rsidRPr="00D5126A" w:rsidRDefault="004533EA" w:rsidP="00846C1B">
      <w:pPr>
        <w:pStyle w:val="Heading4"/>
      </w:pPr>
      <w:r w:rsidRPr="00D5126A">
        <w:t>Wh</w:t>
      </w:r>
      <w:r w:rsidR="00443E57" w:rsidRPr="00D5126A">
        <w:t>ere the money goes</w:t>
      </w:r>
    </w:p>
    <w:p w:rsidR="004533EA" w:rsidRPr="00D5126A" w:rsidRDefault="004533EA" w:rsidP="004533EA">
      <w:pPr>
        <w:pStyle w:val="Heading5"/>
      </w:pPr>
      <w:r w:rsidRPr="00D5126A">
        <w:t>Summary of operating expenditure</w:t>
      </w:r>
    </w:p>
    <w:p w:rsidR="00443E57" w:rsidRPr="00D5126A" w:rsidRDefault="00CE02B9" w:rsidP="00443E57">
      <w:pPr>
        <w:rPr>
          <w:rFonts w:eastAsia="Times New Roman"/>
          <w:lang w:eastAsia="en-NZ"/>
        </w:rPr>
      </w:pPr>
      <w:r>
        <w:rPr>
          <w:rFonts w:eastAsia="Times New Roman"/>
          <w:lang w:eastAsia="en-NZ"/>
        </w:rPr>
        <w:t xml:space="preserve">Figure 4 </w:t>
      </w:r>
      <w:r w:rsidR="00443E57" w:rsidRPr="00D5126A">
        <w:rPr>
          <w:rFonts w:eastAsia="Times New Roman"/>
          <w:lang w:eastAsia="en-NZ"/>
        </w:rPr>
        <w:t xml:space="preserve">summarises the difference between the actual and budgeted net expenditure for each strategy area. </w:t>
      </w:r>
      <w:r>
        <w:rPr>
          <w:rFonts w:eastAsia="Times New Roman"/>
          <w:lang w:eastAsia="en-NZ"/>
        </w:rPr>
        <w:t xml:space="preserve"> It shows</w:t>
      </w:r>
      <w:r w:rsidR="00443E57" w:rsidRPr="00D5126A">
        <w:rPr>
          <w:rFonts w:eastAsia="Times New Roman"/>
          <w:lang w:eastAsia="en-NZ"/>
        </w:rPr>
        <w:t xml:space="preserve"> how the Council has prioritised its spending to support the operational and strategic direction that has been set during the Annual Plan process. Net expenditure is calculated by offsetting activity expenditure with user charges and other direct activity income. This is the amount that is funded by rates and other corporate revenue such as dividends and rental income.</w:t>
      </w:r>
    </w:p>
    <w:p w:rsidR="00476AE8" w:rsidRPr="00D5126A" w:rsidRDefault="00476AE8" w:rsidP="00443E57">
      <w:r w:rsidRPr="00D5126A">
        <w:t xml:space="preserve">Details of the financial performance against budget for each activity can be found in the “Our performance in detail” section on </w:t>
      </w:r>
      <w:r w:rsidRPr="00FC04C4">
        <w:t xml:space="preserve">pages </w:t>
      </w:r>
      <w:r w:rsidR="00FC04C4" w:rsidRPr="00FC04C4">
        <w:rPr>
          <w:rStyle w:val="04Text"/>
          <w:rFonts w:ascii="Arial" w:hAnsi="Arial" w:cs="Arial"/>
          <w:color w:val="auto"/>
          <w:u w:val="none"/>
        </w:rPr>
        <w:t>37 to</w:t>
      </w:r>
      <w:r w:rsidR="00FC04C4">
        <w:rPr>
          <w:rStyle w:val="04Text"/>
          <w:rFonts w:ascii="Arial" w:hAnsi="Arial" w:cs="Arial"/>
          <w:color w:val="auto"/>
          <w:u w:val="none"/>
        </w:rPr>
        <w:t xml:space="preserve"> 183</w:t>
      </w:r>
      <w:r w:rsidRPr="00D5126A">
        <w:t>.</w:t>
      </w:r>
    </w:p>
    <w:p w:rsidR="00D768BD" w:rsidRDefault="00D768BD" w:rsidP="00D768BD">
      <w:pPr>
        <w:pStyle w:val="Caption"/>
      </w:pPr>
      <w:bookmarkStart w:id="117" w:name="Summary_of_capital_expenditure"/>
      <w:bookmarkStart w:id="118" w:name="_Toc14178537"/>
      <w:r>
        <w:t xml:space="preserve">Figure </w:t>
      </w:r>
      <w:fldSimple w:instr=" SEQ Figure \* ARABIC ">
        <w:r w:rsidR="00793649">
          <w:rPr>
            <w:noProof/>
          </w:rPr>
          <w:t>4</w:t>
        </w:r>
      </w:fldSimple>
      <w:r>
        <w:t xml:space="preserve">: </w:t>
      </w:r>
      <w:r w:rsidRPr="0046114D">
        <w:t xml:space="preserve">Difference between actual and budgeted </w:t>
      </w:r>
      <w:r w:rsidR="00DE4A8E">
        <w:t xml:space="preserve">net </w:t>
      </w:r>
      <w:r w:rsidRPr="0046114D">
        <w:t>expenditure ($m)</w:t>
      </w:r>
    </w:p>
    <w:p w:rsidR="006805D7" w:rsidRPr="00D5126A" w:rsidRDefault="00541DFC" w:rsidP="004533EA">
      <w:pPr>
        <w:pStyle w:val="Heading5"/>
      </w:pPr>
      <w:r w:rsidRPr="00D5126A">
        <w:rPr>
          <w:noProof/>
          <w:lang w:eastAsia="en-NZ"/>
        </w:rPr>
        <w:drawing>
          <wp:inline distT="0" distB="0" distL="0" distR="0" wp14:anchorId="21134307" wp14:editId="7AFF374F">
            <wp:extent cx="5758815" cy="2325060"/>
            <wp:effectExtent l="0" t="0" r="13335" b="18415"/>
            <wp:docPr id="1285" name="Chart 128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D768BD" w:rsidRDefault="00D768BD" w:rsidP="00D768BD">
      <w:pPr>
        <w:pStyle w:val="Caption"/>
      </w:pPr>
      <w:r>
        <w:t xml:space="preserve">Table </w:t>
      </w:r>
      <w:fldSimple w:instr=" SEQ Table \* ARABIC ">
        <w:r w:rsidR="00B22256">
          <w:rPr>
            <w:noProof/>
          </w:rPr>
          <w:t>4</w:t>
        </w:r>
      </w:fldSimple>
      <w:r>
        <w:t xml:space="preserve">: </w:t>
      </w:r>
      <w:r w:rsidRPr="00AA2968">
        <w:t xml:space="preserve">Gross </w:t>
      </w:r>
      <w:r w:rsidR="00CE02B9">
        <w:t>o</w:t>
      </w:r>
      <w:r w:rsidR="00CE02B9" w:rsidRPr="00AA2968">
        <w:t xml:space="preserve">perational </w:t>
      </w:r>
      <w:r w:rsidRPr="00AA2968">
        <w:t>expenditure by activity area ($000)</w:t>
      </w:r>
    </w:p>
    <w:tbl>
      <w:tblPr>
        <w:tblW w:w="0" w:type="auto"/>
        <w:tblCellMar>
          <w:left w:w="0" w:type="dxa"/>
          <w:right w:w="0" w:type="dxa"/>
        </w:tblCellMar>
        <w:tblLook w:val="04A0" w:firstRow="1" w:lastRow="0" w:firstColumn="1" w:lastColumn="0" w:noHBand="0" w:noVBand="1"/>
      </w:tblPr>
      <w:tblGrid>
        <w:gridCol w:w="3903"/>
        <w:gridCol w:w="1054"/>
        <w:gridCol w:w="1166"/>
        <w:gridCol w:w="1054"/>
        <w:gridCol w:w="1054"/>
        <w:gridCol w:w="1054"/>
      </w:tblGrid>
      <w:tr w:rsidR="002E2131" w:rsidRPr="007D6892" w:rsidTr="00830D83">
        <w:trPr>
          <w:trHeight w:val="300"/>
        </w:trPr>
        <w:tc>
          <w:tcPr>
            <w:tcW w:w="3897" w:type="dxa"/>
            <w:tcBorders>
              <w:bottom w:val="single" w:sz="4" w:space="0" w:color="auto"/>
            </w:tcBorders>
            <w:shd w:val="clear" w:color="auto" w:fill="FFC000"/>
            <w:noWrap/>
            <w:tcMar>
              <w:top w:w="0" w:type="dxa"/>
              <w:left w:w="108" w:type="dxa"/>
              <w:bottom w:w="0" w:type="dxa"/>
              <w:right w:w="108" w:type="dxa"/>
            </w:tcMar>
            <w:vAlign w:val="center"/>
            <w:hideMark/>
          </w:tcPr>
          <w:p w:rsidR="002E2131" w:rsidRPr="00D5126A" w:rsidRDefault="002E2131" w:rsidP="001244BB">
            <w:pPr>
              <w:spacing w:after="0" w:line="240" w:lineRule="auto"/>
              <w:rPr>
                <w:rFonts w:ascii="Arial" w:eastAsia="Calibri" w:hAnsi="Arial" w:cs="Arial"/>
                <w:b/>
                <w:sz w:val="24"/>
                <w:szCs w:val="24"/>
                <w:vertAlign w:val="superscript"/>
              </w:rPr>
            </w:pPr>
          </w:p>
        </w:tc>
        <w:tc>
          <w:tcPr>
            <w:tcW w:w="1053" w:type="dxa"/>
            <w:tcBorders>
              <w:bottom w:val="single" w:sz="4" w:space="0" w:color="auto"/>
            </w:tcBorders>
            <w:shd w:val="clear" w:color="auto" w:fill="FFC000"/>
            <w:noWrap/>
            <w:tcMar>
              <w:top w:w="0" w:type="dxa"/>
              <w:left w:w="108" w:type="dxa"/>
              <w:bottom w:w="0" w:type="dxa"/>
              <w:right w:w="108" w:type="dxa"/>
            </w:tcMar>
            <w:vAlign w:val="center"/>
            <w:hideMark/>
          </w:tcPr>
          <w:p w:rsidR="002E2131" w:rsidRPr="007D6892" w:rsidRDefault="002E2131" w:rsidP="001244BB">
            <w:pPr>
              <w:spacing w:after="0" w:line="240" w:lineRule="auto"/>
              <w:jc w:val="right"/>
              <w:rPr>
                <w:rFonts w:ascii="Arial" w:eastAsia="Calibri" w:hAnsi="Arial" w:cs="Arial"/>
                <w:b/>
                <w:bCs/>
                <w:sz w:val="24"/>
                <w:szCs w:val="24"/>
                <w:vertAlign w:val="superscript"/>
              </w:rPr>
            </w:pPr>
            <w:r w:rsidRPr="007D6892">
              <w:rPr>
                <w:rFonts w:ascii="Arial" w:eastAsia="Calibri" w:hAnsi="Arial" w:cs="Arial"/>
                <w:b/>
                <w:bCs/>
                <w:sz w:val="24"/>
                <w:szCs w:val="24"/>
                <w:vertAlign w:val="superscript"/>
              </w:rPr>
              <w:t>2016/17</w:t>
            </w:r>
          </w:p>
          <w:p w:rsidR="002E2131" w:rsidRPr="007D6892" w:rsidRDefault="002E2131" w:rsidP="001244BB">
            <w:pPr>
              <w:spacing w:after="0" w:line="240" w:lineRule="auto"/>
              <w:jc w:val="right"/>
              <w:rPr>
                <w:rFonts w:ascii="Arial" w:eastAsia="Calibri" w:hAnsi="Arial" w:cs="Arial"/>
                <w:b/>
                <w:bCs/>
                <w:sz w:val="24"/>
                <w:szCs w:val="24"/>
                <w:vertAlign w:val="superscript"/>
              </w:rPr>
            </w:pPr>
            <w:r w:rsidRPr="007D6892">
              <w:rPr>
                <w:rFonts w:ascii="Arial" w:eastAsia="Calibri" w:hAnsi="Arial" w:cs="Arial"/>
                <w:b/>
                <w:bCs/>
                <w:sz w:val="24"/>
                <w:szCs w:val="24"/>
                <w:vertAlign w:val="superscript"/>
              </w:rPr>
              <w:t>Actual</w:t>
            </w:r>
          </w:p>
        </w:tc>
        <w:tc>
          <w:tcPr>
            <w:tcW w:w="1179" w:type="dxa"/>
            <w:tcBorders>
              <w:bottom w:val="single" w:sz="4" w:space="0" w:color="auto"/>
            </w:tcBorders>
            <w:shd w:val="clear" w:color="auto" w:fill="FFC000"/>
            <w:noWrap/>
            <w:tcMar>
              <w:top w:w="0" w:type="dxa"/>
              <w:left w:w="108" w:type="dxa"/>
              <w:bottom w:w="0" w:type="dxa"/>
              <w:right w:w="108" w:type="dxa"/>
            </w:tcMar>
            <w:vAlign w:val="center"/>
            <w:hideMark/>
          </w:tcPr>
          <w:p w:rsidR="002E2131" w:rsidRPr="007D6892" w:rsidRDefault="002E2131" w:rsidP="001244BB">
            <w:pPr>
              <w:spacing w:after="0" w:line="240" w:lineRule="auto"/>
              <w:jc w:val="right"/>
              <w:rPr>
                <w:rFonts w:ascii="Arial" w:eastAsia="Calibri" w:hAnsi="Arial" w:cs="Arial"/>
                <w:b/>
                <w:bCs/>
                <w:sz w:val="24"/>
                <w:szCs w:val="24"/>
                <w:vertAlign w:val="superscript"/>
              </w:rPr>
            </w:pPr>
            <w:r w:rsidRPr="007D6892">
              <w:rPr>
                <w:rFonts w:ascii="Arial" w:eastAsia="Calibri" w:hAnsi="Arial" w:cs="Arial"/>
                <w:b/>
                <w:bCs/>
                <w:sz w:val="24"/>
                <w:szCs w:val="24"/>
                <w:vertAlign w:val="superscript"/>
              </w:rPr>
              <w:t>2017/18</w:t>
            </w:r>
          </w:p>
          <w:p w:rsidR="002E2131" w:rsidRPr="007D6892" w:rsidRDefault="002E2131" w:rsidP="001244BB">
            <w:pPr>
              <w:spacing w:after="0" w:line="240" w:lineRule="auto"/>
              <w:jc w:val="right"/>
              <w:rPr>
                <w:rFonts w:ascii="Arial" w:eastAsia="Calibri" w:hAnsi="Arial" w:cs="Arial"/>
                <w:b/>
                <w:bCs/>
                <w:sz w:val="24"/>
                <w:szCs w:val="24"/>
                <w:vertAlign w:val="superscript"/>
              </w:rPr>
            </w:pPr>
            <w:r w:rsidRPr="007D6892">
              <w:rPr>
                <w:rFonts w:ascii="Arial" w:eastAsia="Calibri" w:hAnsi="Arial" w:cs="Arial"/>
                <w:b/>
                <w:bCs/>
                <w:sz w:val="24"/>
                <w:szCs w:val="24"/>
                <w:vertAlign w:val="superscript"/>
              </w:rPr>
              <w:t>Actual</w:t>
            </w:r>
          </w:p>
        </w:tc>
        <w:tc>
          <w:tcPr>
            <w:tcW w:w="1052" w:type="dxa"/>
            <w:tcBorders>
              <w:bottom w:val="single" w:sz="4" w:space="0" w:color="auto"/>
            </w:tcBorders>
            <w:shd w:val="clear" w:color="auto" w:fill="FFC000"/>
            <w:noWrap/>
            <w:tcMar>
              <w:top w:w="0" w:type="dxa"/>
              <w:left w:w="108" w:type="dxa"/>
              <w:bottom w:w="0" w:type="dxa"/>
              <w:right w:w="108" w:type="dxa"/>
            </w:tcMar>
            <w:vAlign w:val="center"/>
            <w:hideMark/>
          </w:tcPr>
          <w:p w:rsidR="002E2131" w:rsidRPr="007D6892" w:rsidRDefault="002E2131" w:rsidP="001244BB">
            <w:pPr>
              <w:spacing w:after="0" w:line="240" w:lineRule="auto"/>
              <w:jc w:val="right"/>
              <w:rPr>
                <w:rFonts w:ascii="Arial" w:eastAsia="Calibri" w:hAnsi="Arial" w:cs="Arial"/>
                <w:b/>
                <w:bCs/>
                <w:sz w:val="24"/>
                <w:szCs w:val="24"/>
                <w:vertAlign w:val="superscript"/>
              </w:rPr>
            </w:pPr>
            <w:r w:rsidRPr="007D6892">
              <w:rPr>
                <w:rFonts w:ascii="Arial" w:eastAsia="Calibri" w:hAnsi="Arial" w:cs="Arial"/>
                <w:b/>
                <w:bCs/>
                <w:sz w:val="24"/>
                <w:szCs w:val="24"/>
                <w:vertAlign w:val="superscript"/>
              </w:rPr>
              <w:t>2018/19 Actual</w:t>
            </w:r>
          </w:p>
        </w:tc>
        <w:tc>
          <w:tcPr>
            <w:tcW w:w="1052" w:type="dxa"/>
            <w:tcBorders>
              <w:bottom w:val="single" w:sz="4" w:space="0" w:color="auto"/>
            </w:tcBorders>
            <w:shd w:val="clear" w:color="auto" w:fill="FFC000"/>
            <w:noWrap/>
            <w:tcMar>
              <w:top w:w="0" w:type="dxa"/>
              <w:left w:w="108" w:type="dxa"/>
              <w:bottom w:w="0" w:type="dxa"/>
              <w:right w:w="108" w:type="dxa"/>
            </w:tcMar>
            <w:vAlign w:val="center"/>
            <w:hideMark/>
          </w:tcPr>
          <w:p w:rsidR="002E2131" w:rsidRPr="007D6892" w:rsidRDefault="002E2131" w:rsidP="001244BB">
            <w:pPr>
              <w:spacing w:after="0" w:line="240" w:lineRule="auto"/>
              <w:jc w:val="right"/>
              <w:rPr>
                <w:rFonts w:ascii="Arial" w:eastAsia="Calibri" w:hAnsi="Arial" w:cs="Arial"/>
                <w:b/>
                <w:bCs/>
                <w:sz w:val="24"/>
                <w:szCs w:val="24"/>
                <w:vertAlign w:val="superscript"/>
              </w:rPr>
            </w:pPr>
            <w:r w:rsidRPr="007D6892">
              <w:rPr>
                <w:rFonts w:ascii="Arial" w:eastAsia="Calibri" w:hAnsi="Arial" w:cs="Arial"/>
                <w:b/>
                <w:bCs/>
                <w:sz w:val="24"/>
                <w:szCs w:val="24"/>
                <w:vertAlign w:val="superscript"/>
              </w:rPr>
              <w:t>2018/19 Budget</w:t>
            </w:r>
          </w:p>
        </w:tc>
        <w:tc>
          <w:tcPr>
            <w:tcW w:w="1052" w:type="dxa"/>
            <w:tcBorders>
              <w:bottom w:val="single" w:sz="4" w:space="0" w:color="auto"/>
            </w:tcBorders>
            <w:shd w:val="clear" w:color="auto" w:fill="FFC000"/>
            <w:noWrap/>
            <w:tcMar>
              <w:top w:w="0" w:type="dxa"/>
              <w:left w:w="108" w:type="dxa"/>
              <w:bottom w:w="0" w:type="dxa"/>
              <w:right w:w="108" w:type="dxa"/>
            </w:tcMar>
            <w:vAlign w:val="center"/>
            <w:hideMark/>
          </w:tcPr>
          <w:p w:rsidR="002E2131" w:rsidRPr="007D6892" w:rsidRDefault="002E2131" w:rsidP="001244BB">
            <w:pPr>
              <w:spacing w:after="0" w:line="240" w:lineRule="auto"/>
              <w:jc w:val="right"/>
              <w:rPr>
                <w:rFonts w:ascii="Arial" w:eastAsia="Calibri" w:hAnsi="Arial" w:cs="Arial"/>
                <w:b/>
                <w:bCs/>
                <w:sz w:val="24"/>
                <w:szCs w:val="24"/>
                <w:vertAlign w:val="superscript"/>
              </w:rPr>
            </w:pPr>
            <w:r w:rsidRPr="007D6892">
              <w:rPr>
                <w:rFonts w:ascii="Arial" w:eastAsia="Calibri" w:hAnsi="Arial" w:cs="Arial"/>
                <w:b/>
                <w:bCs/>
                <w:sz w:val="24"/>
                <w:szCs w:val="24"/>
                <w:vertAlign w:val="superscript"/>
              </w:rPr>
              <w:t>Variance</w:t>
            </w:r>
          </w:p>
        </w:tc>
      </w:tr>
      <w:tr w:rsidR="002E2131" w:rsidRPr="007D6892" w:rsidTr="001244BB">
        <w:trPr>
          <w:trHeight w:val="312"/>
        </w:trPr>
        <w:tc>
          <w:tcPr>
            <w:tcW w:w="3955" w:type="dxa"/>
            <w:tcBorders>
              <w:top w:val="single" w:sz="4" w:space="0" w:color="auto"/>
              <w:bottom w:val="single" w:sz="4" w:space="0" w:color="auto"/>
            </w:tcBorders>
            <w:noWrap/>
            <w:tcMar>
              <w:top w:w="0" w:type="dxa"/>
              <w:left w:w="108" w:type="dxa"/>
              <w:bottom w:w="0" w:type="dxa"/>
              <w:right w:w="108" w:type="dxa"/>
            </w:tcMar>
            <w:vAlign w:val="center"/>
            <w:hideMark/>
          </w:tcPr>
          <w:p w:rsidR="002E2131" w:rsidRPr="007D6892" w:rsidRDefault="002E2131" w:rsidP="00CE02B9">
            <w:pPr>
              <w:spacing w:after="0" w:line="240" w:lineRule="auto"/>
              <w:rPr>
                <w:rFonts w:ascii="Arial" w:eastAsia="Calibri" w:hAnsi="Arial" w:cs="Arial"/>
                <w:bCs/>
                <w:sz w:val="24"/>
                <w:szCs w:val="24"/>
                <w:vertAlign w:val="superscript"/>
              </w:rPr>
            </w:pPr>
            <w:r w:rsidRPr="007D6892">
              <w:rPr>
                <w:rFonts w:ascii="Arial" w:eastAsia="Calibri" w:hAnsi="Arial" w:cs="Arial"/>
                <w:bCs/>
                <w:sz w:val="24"/>
                <w:szCs w:val="24"/>
                <w:vertAlign w:val="superscript"/>
              </w:rPr>
              <w:t xml:space="preserve">Governance </w:t>
            </w:r>
            <w:r w:rsidR="00CE02B9" w:rsidRPr="007D6892">
              <w:rPr>
                <w:rFonts w:ascii="Arial" w:eastAsia="Calibri" w:hAnsi="Arial" w:cs="Arial"/>
                <w:bCs/>
                <w:sz w:val="24"/>
                <w:szCs w:val="24"/>
                <w:vertAlign w:val="superscript"/>
              </w:rPr>
              <w:t>total</w:t>
            </w:r>
          </w:p>
        </w:tc>
        <w:tc>
          <w:tcPr>
            <w:tcW w:w="1066" w:type="dxa"/>
            <w:tcBorders>
              <w:top w:val="single" w:sz="4" w:space="0" w:color="auto"/>
              <w:bottom w:val="single" w:sz="4" w:space="0" w:color="auto"/>
            </w:tcBorders>
            <w:noWrap/>
            <w:tcMar>
              <w:top w:w="0" w:type="dxa"/>
              <w:left w:w="108" w:type="dxa"/>
              <w:bottom w:w="0" w:type="dxa"/>
              <w:right w:w="108" w:type="dxa"/>
            </w:tcMar>
            <w:vAlign w:val="center"/>
            <w:hideMark/>
          </w:tcPr>
          <w:p w:rsidR="002E2131" w:rsidRPr="007D6892" w:rsidRDefault="002E2131" w:rsidP="001244BB">
            <w:pPr>
              <w:spacing w:after="0" w:line="240" w:lineRule="auto"/>
              <w:jc w:val="right"/>
              <w:rPr>
                <w:rFonts w:ascii="Arial" w:eastAsia="Calibri" w:hAnsi="Arial" w:cs="Arial"/>
                <w:bCs/>
                <w:sz w:val="24"/>
                <w:szCs w:val="24"/>
                <w:vertAlign w:val="superscript"/>
              </w:rPr>
            </w:pPr>
            <w:r w:rsidRPr="007D6892">
              <w:rPr>
                <w:rFonts w:ascii="Arial" w:eastAsia="Calibri" w:hAnsi="Arial" w:cs="Arial"/>
                <w:bCs/>
                <w:sz w:val="24"/>
                <w:szCs w:val="24"/>
                <w:vertAlign w:val="superscript"/>
              </w:rPr>
              <w:t>17,157</w:t>
            </w:r>
          </w:p>
        </w:tc>
        <w:tc>
          <w:tcPr>
            <w:tcW w:w="1066" w:type="dxa"/>
            <w:tcBorders>
              <w:top w:val="single" w:sz="4" w:space="0" w:color="auto"/>
              <w:bottom w:val="single" w:sz="4" w:space="0" w:color="auto"/>
            </w:tcBorders>
            <w:noWrap/>
            <w:tcMar>
              <w:top w:w="0" w:type="dxa"/>
              <w:left w:w="108" w:type="dxa"/>
              <w:bottom w:w="0" w:type="dxa"/>
              <w:right w:w="108" w:type="dxa"/>
            </w:tcMar>
            <w:vAlign w:val="center"/>
            <w:hideMark/>
          </w:tcPr>
          <w:p w:rsidR="002E2131" w:rsidRPr="007D6892" w:rsidRDefault="002E2131" w:rsidP="00C30FFB">
            <w:pPr>
              <w:spacing w:after="0" w:line="240" w:lineRule="auto"/>
              <w:jc w:val="right"/>
              <w:rPr>
                <w:rFonts w:ascii="Arial" w:eastAsia="Calibri" w:hAnsi="Arial" w:cs="Arial"/>
                <w:bCs/>
                <w:sz w:val="24"/>
                <w:szCs w:val="24"/>
                <w:vertAlign w:val="superscript"/>
              </w:rPr>
            </w:pPr>
            <w:r w:rsidRPr="007D6892">
              <w:rPr>
                <w:rFonts w:ascii="Arial" w:eastAsia="Calibri" w:hAnsi="Arial" w:cs="Arial"/>
                <w:bCs/>
                <w:sz w:val="24"/>
                <w:szCs w:val="24"/>
                <w:vertAlign w:val="superscript"/>
              </w:rPr>
              <w:t>17,</w:t>
            </w:r>
            <w:r w:rsidR="00C30FFB" w:rsidRPr="007D6892">
              <w:rPr>
                <w:rFonts w:ascii="Arial" w:eastAsia="Calibri" w:hAnsi="Arial" w:cs="Arial"/>
                <w:bCs/>
                <w:sz w:val="24"/>
                <w:szCs w:val="24"/>
                <w:vertAlign w:val="superscript"/>
              </w:rPr>
              <w:t>519</w:t>
            </w:r>
          </w:p>
        </w:tc>
        <w:tc>
          <w:tcPr>
            <w:tcW w:w="1066" w:type="dxa"/>
            <w:tcBorders>
              <w:top w:val="single" w:sz="4" w:space="0" w:color="auto"/>
              <w:bottom w:val="single" w:sz="4" w:space="0" w:color="auto"/>
            </w:tcBorders>
            <w:noWrap/>
            <w:tcMar>
              <w:top w:w="0" w:type="dxa"/>
              <w:left w:w="108" w:type="dxa"/>
              <w:bottom w:w="0" w:type="dxa"/>
              <w:right w:w="108" w:type="dxa"/>
            </w:tcMar>
            <w:vAlign w:val="center"/>
            <w:hideMark/>
          </w:tcPr>
          <w:p w:rsidR="002E2131" w:rsidRPr="007D6892" w:rsidRDefault="002E2131" w:rsidP="001244BB">
            <w:pPr>
              <w:spacing w:after="0" w:line="240" w:lineRule="auto"/>
              <w:jc w:val="right"/>
              <w:rPr>
                <w:rFonts w:ascii="Arial" w:eastAsia="Calibri" w:hAnsi="Arial" w:cs="Arial"/>
                <w:bCs/>
                <w:sz w:val="24"/>
                <w:szCs w:val="24"/>
                <w:vertAlign w:val="superscript"/>
              </w:rPr>
            </w:pPr>
            <w:r w:rsidRPr="007D6892">
              <w:rPr>
                <w:rFonts w:ascii="Arial" w:eastAsia="Calibri" w:hAnsi="Arial" w:cs="Arial"/>
                <w:bCs/>
                <w:sz w:val="24"/>
                <w:szCs w:val="24"/>
                <w:vertAlign w:val="superscript"/>
              </w:rPr>
              <w:t>17,982</w:t>
            </w:r>
          </w:p>
        </w:tc>
        <w:tc>
          <w:tcPr>
            <w:tcW w:w="1066" w:type="dxa"/>
            <w:tcBorders>
              <w:top w:val="single" w:sz="4" w:space="0" w:color="auto"/>
              <w:bottom w:val="single" w:sz="4" w:space="0" w:color="auto"/>
            </w:tcBorders>
            <w:noWrap/>
            <w:tcMar>
              <w:top w:w="0" w:type="dxa"/>
              <w:left w:w="108" w:type="dxa"/>
              <w:bottom w:w="0" w:type="dxa"/>
              <w:right w:w="108" w:type="dxa"/>
            </w:tcMar>
            <w:vAlign w:val="center"/>
            <w:hideMark/>
          </w:tcPr>
          <w:p w:rsidR="002E2131" w:rsidRPr="007D6892" w:rsidRDefault="002E2131" w:rsidP="001244BB">
            <w:pPr>
              <w:spacing w:after="0" w:line="240" w:lineRule="auto"/>
              <w:jc w:val="right"/>
              <w:rPr>
                <w:rFonts w:ascii="Arial" w:eastAsia="Calibri" w:hAnsi="Arial" w:cs="Arial"/>
                <w:bCs/>
                <w:sz w:val="24"/>
                <w:szCs w:val="24"/>
                <w:vertAlign w:val="superscript"/>
              </w:rPr>
            </w:pPr>
            <w:r w:rsidRPr="007D6892">
              <w:rPr>
                <w:rFonts w:ascii="Arial" w:eastAsia="Calibri" w:hAnsi="Arial" w:cs="Arial"/>
                <w:bCs/>
                <w:sz w:val="24"/>
                <w:szCs w:val="24"/>
                <w:vertAlign w:val="superscript"/>
              </w:rPr>
              <w:t>18,050</w:t>
            </w:r>
          </w:p>
        </w:tc>
        <w:tc>
          <w:tcPr>
            <w:tcW w:w="1066" w:type="dxa"/>
            <w:tcBorders>
              <w:top w:val="single" w:sz="4" w:space="0" w:color="auto"/>
              <w:bottom w:val="single" w:sz="4" w:space="0" w:color="auto"/>
            </w:tcBorders>
            <w:noWrap/>
            <w:tcMar>
              <w:top w:w="0" w:type="dxa"/>
              <w:left w:w="108" w:type="dxa"/>
              <w:bottom w:w="0" w:type="dxa"/>
              <w:right w:w="108" w:type="dxa"/>
            </w:tcMar>
            <w:vAlign w:val="center"/>
            <w:hideMark/>
          </w:tcPr>
          <w:p w:rsidR="002E2131" w:rsidRPr="007D6892" w:rsidRDefault="002E2131" w:rsidP="00830D83">
            <w:pPr>
              <w:spacing w:after="0" w:line="240" w:lineRule="auto"/>
              <w:jc w:val="right"/>
              <w:rPr>
                <w:rFonts w:ascii="Arial" w:eastAsia="Calibri" w:hAnsi="Arial" w:cs="Arial"/>
                <w:bCs/>
                <w:sz w:val="24"/>
                <w:szCs w:val="24"/>
                <w:vertAlign w:val="superscript"/>
              </w:rPr>
            </w:pPr>
            <w:r w:rsidRPr="007D6892">
              <w:rPr>
                <w:rFonts w:ascii="Arial" w:eastAsia="Calibri" w:hAnsi="Arial" w:cs="Arial"/>
                <w:bCs/>
                <w:sz w:val="24"/>
                <w:szCs w:val="24"/>
                <w:vertAlign w:val="superscript"/>
              </w:rPr>
              <w:t>68</w:t>
            </w:r>
          </w:p>
        </w:tc>
      </w:tr>
      <w:tr w:rsidR="002E2131" w:rsidRPr="007D6892" w:rsidTr="001244BB">
        <w:trPr>
          <w:trHeight w:val="312"/>
        </w:trPr>
        <w:tc>
          <w:tcPr>
            <w:tcW w:w="3955" w:type="dxa"/>
            <w:tcBorders>
              <w:top w:val="single" w:sz="4" w:space="0" w:color="auto"/>
              <w:bottom w:val="single" w:sz="4" w:space="0" w:color="auto"/>
            </w:tcBorders>
            <w:noWrap/>
            <w:tcMar>
              <w:top w:w="0" w:type="dxa"/>
              <w:left w:w="108" w:type="dxa"/>
              <w:bottom w:w="0" w:type="dxa"/>
              <w:right w:w="108" w:type="dxa"/>
            </w:tcMar>
            <w:vAlign w:val="center"/>
            <w:hideMark/>
          </w:tcPr>
          <w:p w:rsidR="002E2131" w:rsidRPr="007D6892" w:rsidRDefault="002E2131" w:rsidP="00CE02B9">
            <w:pPr>
              <w:spacing w:after="0" w:line="240" w:lineRule="auto"/>
              <w:rPr>
                <w:rFonts w:ascii="Arial" w:eastAsia="Calibri" w:hAnsi="Arial" w:cs="Arial"/>
                <w:bCs/>
                <w:sz w:val="24"/>
                <w:szCs w:val="24"/>
                <w:vertAlign w:val="superscript"/>
              </w:rPr>
            </w:pPr>
            <w:r w:rsidRPr="007D6892">
              <w:rPr>
                <w:rFonts w:ascii="Arial" w:eastAsia="Calibri" w:hAnsi="Arial" w:cs="Arial"/>
                <w:bCs/>
                <w:sz w:val="24"/>
                <w:szCs w:val="24"/>
                <w:vertAlign w:val="superscript"/>
              </w:rPr>
              <w:t xml:space="preserve">Environment </w:t>
            </w:r>
            <w:r w:rsidR="00CE02B9" w:rsidRPr="007D6892">
              <w:rPr>
                <w:rFonts w:ascii="Arial" w:eastAsia="Calibri" w:hAnsi="Arial" w:cs="Arial"/>
                <w:bCs/>
                <w:sz w:val="24"/>
                <w:szCs w:val="24"/>
                <w:vertAlign w:val="superscript"/>
              </w:rPr>
              <w:t>total</w:t>
            </w:r>
          </w:p>
        </w:tc>
        <w:tc>
          <w:tcPr>
            <w:tcW w:w="1066" w:type="dxa"/>
            <w:tcBorders>
              <w:top w:val="single" w:sz="4" w:space="0" w:color="auto"/>
              <w:bottom w:val="single" w:sz="4" w:space="0" w:color="auto"/>
            </w:tcBorders>
            <w:noWrap/>
            <w:tcMar>
              <w:top w:w="0" w:type="dxa"/>
              <w:left w:w="108" w:type="dxa"/>
              <w:bottom w:w="0" w:type="dxa"/>
              <w:right w:w="108" w:type="dxa"/>
            </w:tcMar>
            <w:vAlign w:val="center"/>
            <w:hideMark/>
          </w:tcPr>
          <w:p w:rsidR="002E2131" w:rsidRPr="007D6892" w:rsidRDefault="002E2131" w:rsidP="001244BB">
            <w:pPr>
              <w:spacing w:after="0" w:line="240" w:lineRule="auto"/>
              <w:jc w:val="right"/>
              <w:rPr>
                <w:rFonts w:ascii="Arial" w:eastAsia="Calibri" w:hAnsi="Arial" w:cs="Arial"/>
                <w:bCs/>
                <w:sz w:val="24"/>
                <w:szCs w:val="24"/>
                <w:vertAlign w:val="superscript"/>
              </w:rPr>
            </w:pPr>
            <w:r w:rsidRPr="007D6892">
              <w:rPr>
                <w:rFonts w:ascii="Arial" w:eastAsia="Calibri" w:hAnsi="Arial" w:cs="Arial"/>
                <w:bCs/>
                <w:sz w:val="24"/>
                <w:szCs w:val="24"/>
                <w:vertAlign w:val="superscript"/>
              </w:rPr>
              <w:t>160,277</w:t>
            </w:r>
          </w:p>
        </w:tc>
        <w:tc>
          <w:tcPr>
            <w:tcW w:w="1066" w:type="dxa"/>
            <w:tcBorders>
              <w:top w:val="single" w:sz="4" w:space="0" w:color="auto"/>
              <w:bottom w:val="single" w:sz="4" w:space="0" w:color="auto"/>
            </w:tcBorders>
            <w:noWrap/>
            <w:tcMar>
              <w:top w:w="0" w:type="dxa"/>
              <w:left w:w="108" w:type="dxa"/>
              <w:bottom w:w="0" w:type="dxa"/>
              <w:right w:w="108" w:type="dxa"/>
            </w:tcMar>
            <w:vAlign w:val="center"/>
            <w:hideMark/>
          </w:tcPr>
          <w:p w:rsidR="002E2131" w:rsidRPr="007D6892" w:rsidRDefault="002E2131" w:rsidP="006D6061">
            <w:pPr>
              <w:spacing w:after="0" w:line="240" w:lineRule="auto"/>
              <w:jc w:val="right"/>
              <w:rPr>
                <w:rFonts w:ascii="Arial" w:eastAsia="Calibri" w:hAnsi="Arial" w:cs="Arial"/>
                <w:bCs/>
                <w:sz w:val="24"/>
                <w:szCs w:val="24"/>
                <w:vertAlign w:val="superscript"/>
              </w:rPr>
            </w:pPr>
            <w:r w:rsidRPr="007D6892">
              <w:rPr>
                <w:rFonts w:ascii="Arial" w:eastAsia="Calibri" w:hAnsi="Arial" w:cs="Arial"/>
                <w:bCs/>
                <w:sz w:val="24"/>
                <w:szCs w:val="24"/>
                <w:vertAlign w:val="superscript"/>
              </w:rPr>
              <w:t>169,</w:t>
            </w:r>
            <w:r w:rsidR="006D6061" w:rsidRPr="007D6892">
              <w:rPr>
                <w:rFonts w:ascii="Arial" w:eastAsia="Calibri" w:hAnsi="Arial" w:cs="Arial"/>
                <w:bCs/>
                <w:sz w:val="24"/>
                <w:szCs w:val="24"/>
                <w:vertAlign w:val="superscript"/>
              </w:rPr>
              <w:t>254</w:t>
            </w:r>
          </w:p>
        </w:tc>
        <w:tc>
          <w:tcPr>
            <w:tcW w:w="1066" w:type="dxa"/>
            <w:tcBorders>
              <w:top w:val="single" w:sz="4" w:space="0" w:color="auto"/>
              <w:bottom w:val="single" w:sz="4" w:space="0" w:color="auto"/>
            </w:tcBorders>
            <w:noWrap/>
            <w:tcMar>
              <w:top w:w="0" w:type="dxa"/>
              <w:left w:w="108" w:type="dxa"/>
              <w:bottom w:w="0" w:type="dxa"/>
              <w:right w:w="108" w:type="dxa"/>
            </w:tcMar>
            <w:vAlign w:val="center"/>
            <w:hideMark/>
          </w:tcPr>
          <w:p w:rsidR="002E2131" w:rsidRPr="007D6892" w:rsidRDefault="002E2131" w:rsidP="001244BB">
            <w:pPr>
              <w:spacing w:after="0" w:line="240" w:lineRule="auto"/>
              <w:jc w:val="right"/>
              <w:rPr>
                <w:rFonts w:ascii="Arial" w:eastAsia="Calibri" w:hAnsi="Arial" w:cs="Arial"/>
                <w:bCs/>
                <w:sz w:val="24"/>
                <w:szCs w:val="24"/>
                <w:vertAlign w:val="superscript"/>
              </w:rPr>
            </w:pPr>
            <w:r w:rsidRPr="007D6892">
              <w:rPr>
                <w:rFonts w:ascii="Arial" w:eastAsia="Calibri" w:hAnsi="Arial" w:cs="Arial"/>
                <w:bCs/>
                <w:sz w:val="24"/>
                <w:szCs w:val="24"/>
                <w:vertAlign w:val="superscript"/>
              </w:rPr>
              <w:t>180,748</w:t>
            </w:r>
          </w:p>
        </w:tc>
        <w:tc>
          <w:tcPr>
            <w:tcW w:w="1066" w:type="dxa"/>
            <w:tcBorders>
              <w:top w:val="single" w:sz="4" w:space="0" w:color="auto"/>
              <w:bottom w:val="single" w:sz="4" w:space="0" w:color="auto"/>
            </w:tcBorders>
            <w:noWrap/>
            <w:tcMar>
              <w:top w:w="0" w:type="dxa"/>
              <w:left w:w="108" w:type="dxa"/>
              <w:bottom w:w="0" w:type="dxa"/>
              <w:right w:w="108" w:type="dxa"/>
            </w:tcMar>
            <w:vAlign w:val="center"/>
            <w:hideMark/>
          </w:tcPr>
          <w:p w:rsidR="002E2131" w:rsidRPr="007D6892" w:rsidRDefault="002E2131" w:rsidP="001244BB">
            <w:pPr>
              <w:spacing w:after="0" w:line="240" w:lineRule="auto"/>
              <w:jc w:val="right"/>
              <w:rPr>
                <w:rFonts w:ascii="Arial" w:eastAsia="Calibri" w:hAnsi="Arial" w:cs="Arial"/>
                <w:bCs/>
                <w:sz w:val="24"/>
                <w:szCs w:val="24"/>
                <w:vertAlign w:val="superscript"/>
              </w:rPr>
            </w:pPr>
            <w:r w:rsidRPr="007D6892">
              <w:rPr>
                <w:rFonts w:ascii="Arial" w:eastAsia="Calibri" w:hAnsi="Arial" w:cs="Arial"/>
                <w:bCs/>
                <w:sz w:val="24"/>
                <w:szCs w:val="24"/>
                <w:vertAlign w:val="superscript"/>
              </w:rPr>
              <w:t>175,418</w:t>
            </w:r>
          </w:p>
        </w:tc>
        <w:tc>
          <w:tcPr>
            <w:tcW w:w="1066" w:type="dxa"/>
            <w:tcBorders>
              <w:top w:val="single" w:sz="4" w:space="0" w:color="auto"/>
              <w:bottom w:val="single" w:sz="4" w:space="0" w:color="auto"/>
            </w:tcBorders>
            <w:noWrap/>
            <w:tcMar>
              <w:top w:w="0" w:type="dxa"/>
              <w:left w:w="108" w:type="dxa"/>
              <w:bottom w:w="0" w:type="dxa"/>
              <w:right w:w="108" w:type="dxa"/>
            </w:tcMar>
            <w:vAlign w:val="center"/>
            <w:hideMark/>
          </w:tcPr>
          <w:p w:rsidR="002E2131" w:rsidRPr="007D6892" w:rsidRDefault="00830D83" w:rsidP="001244BB">
            <w:pPr>
              <w:spacing w:after="0" w:line="240" w:lineRule="auto"/>
              <w:jc w:val="right"/>
              <w:rPr>
                <w:rFonts w:ascii="Arial" w:eastAsia="Calibri" w:hAnsi="Arial" w:cs="Arial"/>
                <w:bCs/>
                <w:sz w:val="24"/>
                <w:szCs w:val="24"/>
                <w:vertAlign w:val="superscript"/>
              </w:rPr>
            </w:pPr>
            <w:r w:rsidRPr="007D6892">
              <w:rPr>
                <w:rFonts w:ascii="Arial" w:eastAsia="Calibri" w:hAnsi="Arial" w:cs="Arial"/>
                <w:bCs/>
                <w:sz w:val="24"/>
                <w:szCs w:val="24"/>
                <w:vertAlign w:val="superscript"/>
              </w:rPr>
              <w:t>(</w:t>
            </w:r>
            <w:r w:rsidR="002E2131" w:rsidRPr="007D6892">
              <w:rPr>
                <w:rFonts w:ascii="Arial" w:eastAsia="Calibri" w:hAnsi="Arial" w:cs="Arial"/>
                <w:bCs/>
                <w:sz w:val="24"/>
                <w:szCs w:val="24"/>
                <w:vertAlign w:val="superscript"/>
              </w:rPr>
              <w:t>5,330</w:t>
            </w:r>
            <w:r w:rsidRPr="007D6892">
              <w:rPr>
                <w:rFonts w:ascii="Arial" w:eastAsia="Calibri" w:hAnsi="Arial" w:cs="Arial"/>
                <w:bCs/>
                <w:sz w:val="24"/>
                <w:szCs w:val="24"/>
                <w:vertAlign w:val="superscript"/>
              </w:rPr>
              <w:t>)</w:t>
            </w:r>
          </w:p>
        </w:tc>
      </w:tr>
      <w:tr w:rsidR="002E2131" w:rsidRPr="007D6892" w:rsidTr="001244BB">
        <w:trPr>
          <w:trHeight w:val="312"/>
        </w:trPr>
        <w:tc>
          <w:tcPr>
            <w:tcW w:w="3955" w:type="dxa"/>
            <w:tcBorders>
              <w:top w:val="single" w:sz="4" w:space="0" w:color="auto"/>
              <w:bottom w:val="single" w:sz="4" w:space="0" w:color="auto"/>
            </w:tcBorders>
            <w:noWrap/>
            <w:tcMar>
              <w:top w:w="0" w:type="dxa"/>
              <w:left w:w="108" w:type="dxa"/>
              <w:bottom w:w="0" w:type="dxa"/>
              <w:right w:w="108" w:type="dxa"/>
            </w:tcMar>
            <w:vAlign w:val="center"/>
            <w:hideMark/>
          </w:tcPr>
          <w:p w:rsidR="002E2131" w:rsidRPr="007D6892" w:rsidRDefault="002E2131" w:rsidP="00CE02B9">
            <w:pPr>
              <w:spacing w:after="0" w:line="240" w:lineRule="auto"/>
              <w:rPr>
                <w:rFonts w:ascii="Arial" w:eastAsia="Calibri" w:hAnsi="Arial" w:cs="Arial"/>
                <w:bCs/>
                <w:sz w:val="24"/>
                <w:szCs w:val="24"/>
                <w:vertAlign w:val="superscript"/>
              </w:rPr>
            </w:pPr>
            <w:r w:rsidRPr="007D6892">
              <w:rPr>
                <w:rFonts w:ascii="Arial" w:eastAsia="Calibri" w:hAnsi="Arial" w:cs="Arial"/>
                <w:bCs/>
                <w:sz w:val="24"/>
                <w:szCs w:val="24"/>
                <w:vertAlign w:val="superscript"/>
              </w:rPr>
              <w:t xml:space="preserve">Economic </w:t>
            </w:r>
            <w:r w:rsidR="00CE02B9" w:rsidRPr="007D6892">
              <w:rPr>
                <w:rFonts w:ascii="Arial" w:eastAsia="Calibri" w:hAnsi="Arial" w:cs="Arial"/>
                <w:bCs/>
                <w:sz w:val="24"/>
                <w:szCs w:val="24"/>
                <w:vertAlign w:val="superscript"/>
              </w:rPr>
              <w:t>development total</w:t>
            </w:r>
          </w:p>
        </w:tc>
        <w:tc>
          <w:tcPr>
            <w:tcW w:w="1066" w:type="dxa"/>
            <w:tcBorders>
              <w:top w:val="single" w:sz="4" w:space="0" w:color="auto"/>
              <w:bottom w:val="single" w:sz="4" w:space="0" w:color="auto"/>
            </w:tcBorders>
            <w:noWrap/>
            <w:tcMar>
              <w:top w:w="0" w:type="dxa"/>
              <w:left w:w="108" w:type="dxa"/>
              <w:bottom w:w="0" w:type="dxa"/>
              <w:right w:w="108" w:type="dxa"/>
            </w:tcMar>
            <w:vAlign w:val="center"/>
            <w:hideMark/>
          </w:tcPr>
          <w:p w:rsidR="002E2131" w:rsidRPr="007D6892" w:rsidRDefault="002E2131" w:rsidP="001244BB">
            <w:pPr>
              <w:spacing w:after="0" w:line="240" w:lineRule="auto"/>
              <w:jc w:val="right"/>
              <w:rPr>
                <w:rFonts w:ascii="Arial" w:eastAsia="Calibri" w:hAnsi="Arial" w:cs="Arial"/>
                <w:bCs/>
                <w:sz w:val="24"/>
                <w:szCs w:val="24"/>
                <w:vertAlign w:val="superscript"/>
              </w:rPr>
            </w:pPr>
            <w:r w:rsidRPr="007D6892">
              <w:rPr>
                <w:rFonts w:ascii="Arial" w:eastAsia="Calibri" w:hAnsi="Arial" w:cs="Arial"/>
                <w:bCs/>
                <w:sz w:val="24"/>
                <w:szCs w:val="24"/>
                <w:vertAlign w:val="superscript"/>
              </w:rPr>
              <w:t>42,434</w:t>
            </w:r>
          </w:p>
        </w:tc>
        <w:tc>
          <w:tcPr>
            <w:tcW w:w="1066" w:type="dxa"/>
            <w:tcBorders>
              <w:top w:val="single" w:sz="4" w:space="0" w:color="auto"/>
              <w:bottom w:val="single" w:sz="4" w:space="0" w:color="auto"/>
            </w:tcBorders>
            <w:noWrap/>
            <w:tcMar>
              <w:top w:w="0" w:type="dxa"/>
              <w:left w:w="108" w:type="dxa"/>
              <w:bottom w:w="0" w:type="dxa"/>
              <w:right w:w="108" w:type="dxa"/>
            </w:tcMar>
            <w:vAlign w:val="center"/>
            <w:hideMark/>
          </w:tcPr>
          <w:p w:rsidR="002E2131" w:rsidRPr="007D6892" w:rsidRDefault="00C30FFB" w:rsidP="001244BB">
            <w:pPr>
              <w:spacing w:after="0" w:line="240" w:lineRule="auto"/>
              <w:jc w:val="right"/>
              <w:rPr>
                <w:rFonts w:ascii="Arial" w:eastAsia="Calibri" w:hAnsi="Arial" w:cs="Arial"/>
                <w:bCs/>
                <w:sz w:val="24"/>
                <w:szCs w:val="24"/>
                <w:vertAlign w:val="superscript"/>
              </w:rPr>
            </w:pPr>
            <w:r w:rsidRPr="007D6892">
              <w:rPr>
                <w:rFonts w:ascii="Arial" w:eastAsia="Calibri" w:hAnsi="Arial" w:cs="Arial"/>
                <w:bCs/>
                <w:sz w:val="24"/>
                <w:szCs w:val="24"/>
                <w:vertAlign w:val="superscript"/>
              </w:rPr>
              <w:t>37,051</w:t>
            </w:r>
          </w:p>
        </w:tc>
        <w:tc>
          <w:tcPr>
            <w:tcW w:w="1066" w:type="dxa"/>
            <w:tcBorders>
              <w:top w:val="single" w:sz="4" w:space="0" w:color="auto"/>
              <w:bottom w:val="single" w:sz="4" w:space="0" w:color="auto"/>
            </w:tcBorders>
            <w:noWrap/>
            <w:tcMar>
              <w:top w:w="0" w:type="dxa"/>
              <w:left w:w="108" w:type="dxa"/>
              <w:bottom w:w="0" w:type="dxa"/>
              <w:right w:w="108" w:type="dxa"/>
            </w:tcMar>
            <w:vAlign w:val="center"/>
            <w:hideMark/>
          </w:tcPr>
          <w:p w:rsidR="002E2131" w:rsidRPr="007D6892" w:rsidRDefault="002E2131" w:rsidP="001244BB">
            <w:pPr>
              <w:spacing w:after="0" w:line="240" w:lineRule="auto"/>
              <w:jc w:val="right"/>
              <w:rPr>
                <w:rFonts w:ascii="Arial" w:eastAsia="Calibri" w:hAnsi="Arial" w:cs="Arial"/>
                <w:bCs/>
                <w:sz w:val="24"/>
                <w:szCs w:val="24"/>
                <w:vertAlign w:val="superscript"/>
              </w:rPr>
            </w:pPr>
            <w:r w:rsidRPr="007D6892">
              <w:rPr>
                <w:rFonts w:ascii="Arial" w:eastAsia="Calibri" w:hAnsi="Arial" w:cs="Arial"/>
                <w:bCs/>
                <w:sz w:val="24"/>
                <w:szCs w:val="24"/>
                <w:vertAlign w:val="superscript"/>
              </w:rPr>
              <w:t>34,954</w:t>
            </w:r>
          </w:p>
        </w:tc>
        <w:tc>
          <w:tcPr>
            <w:tcW w:w="1066" w:type="dxa"/>
            <w:tcBorders>
              <w:top w:val="single" w:sz="4" w:space="0" w:color="auto"/>
              <w:bottom w:val="single" w:sz="4" w:space="0" w:color="auto"/>
            </w:tcBorders>
            <w:noWrap/>
            <w:tcMar>
              <w:top w:w="0" w:type="dxa"/>
              <w:left w:w="108" w:type="dxa"/>
              <w:bottom w:w="0" w:type="dxa"/>
              <w:right w:w="108" w:type="dxa"/>
            </w:tcMar>
            <w:vAlign w:val="center"/>
            <w:hideMark/>
          </w:tcPr>
          <w:p w:rsidR="002E2131" w:rsidRPr="007D6892" w:rsidRDefault="002E2131" w:rsidP="001244BB">
            <w:pPr>
              <w:spacing w:after="0" w:line="240" w:lineRule="auto"/>
              <w:jc w:val="right"/>
              <w:rPr>
                <w:rFonts w:ascii="Arial" w:eastAsia="Calibri" w:hAnsi="Arial" w:cs="Arial"/>
                <w:bCs/>
                <w:sz w:val="24"/>
                <w:szCs w:val="24"/>
                <w:vertAlign w:val="superscript"/>
              </w:rPr>
            </w:pPr>
            <w:r w:rsidRPr="007D6892">
              <w:rPr>
                <w:rFonts w:ascii="Arial" w:eastAsia="Calibri" w:hAnsi="Arial" w:cs="Arial"/>
                <w:bCs/>
                <w:sz w:val="24"/>
                <w:szCs w:val="24"/>
                <w:vertAlign w:val="superscript"/>
              </w:rPr>
              <w:t>36,366</w:t>
            </w:r>
          </w:p>
        </w:tc>
        <w:tc>
          <w:tcPr>
            <w:tcW w:w="1066" w:type="dxa"/>
            <w:tcBorders>
              <w:top w:val="single" w:sz="4" w:space="0" w:color="auto"/>
              <w:bottom w:val="single" w:sz="4" w:space="0" w:color="auto"/>
            </w:tcBorders>
            <w:noWrap/>
            <w:tcMar>
              <w:top w:w="0" w:type="dxa"/>
              <w:left w:w="108" w:type="dxa"/>
              <w:bottom w:w="0" w:type="dxa"/>
              <w:right w:w="108" w:type="dxa"/>
            </w:tcMar>
            <w:vAlign w:val="center"/>
            <w:hideMark/>
          </w:tcPr>
          <w:p w:rsidR="002E2131" w:rsidRPr="007D6892" w:rsidRDefault="002E2131" w:rsidP="001244BB">
            <w:pPr>
              <w:spacing w:after="0" w:line="240" w:lineRule="auto"/>
              <w:jc w:val="right"/>
              <w:rPr>
                <w:rFonts w:ascii="Arial" w:eastAsia="Calibri" w:hAnsi="Arial" w:cs="Arial"/>
                <w:bCs/>
                <w:sz w:val="24"/>
                <w:szCs w:val="24"/>
                <w:vertAlign w:val="superscript"/>
              </w:rPr>
            </w:pPr>
            <w:r w:rsidRPr="007D6892">
              <w:rPr>
                <w:rFonts w:ascii="Arial" w:eastAsia="Calibri" w:hAnsi="Arial" w:cs="Arial"/>
                <w:bCs/>
                <w:sz w:val="24"/>
                <w:szCs w:val="24"/>
                <w:vertAlign w:val="superscript"/>
              </w:rPr>
              <w:t>1,412</w:t>
            </w:r>
          </w:p>
        </w:tc>
      </w:tr>
      <w:tr w:rsidR="002E2131" w:rsidRPr="007D6892" w:rsidTr="001244BB">
        <w:trPr>
          <w:trHeight w:val="312"/>
        </w:trPr>
        <w:tc>
          <w:tcPr>
            <w:tcW w:w="3955" w:type="dxa"/>
            <w:tcBorders>
              <w:top w:val="single" w:sz="4" w:space="0" w:color="auto"/>
              <w:bottom w:val="single" w:sz="4" w:space="0" w:color="auto"/>
            </w:tcBorders>
            <w:noWrap/>
            <w:tcMar>
              <w:top w:w="0" w:type="dxa"/>
              <w:left w:w="108" w:type="dxa"/>
              <w:bottom w:w="0" w:type="dxa"/>
              <w:right w:w="108" w:type="dxa"/>
            </w:tcMar>
            <w:vAlign w:val="center"/>
            <w:hideMark/>
          </w:tcPr>
          <w:p w:rsidR="002E2131" w:rsidRPr="007D6892" w:rsidRDefault="002E2131" w:rsidP="00CE02B9">
            <w:pPr>
              <w:spacing w:after="0" w:line="240" w:lineRule="auto"/>
              <w:rPr>
                <w:rFonts w:ascii="Arial" w:eastAsia="Calibri" w:hAnsi="Arial" w:cs="Arial"/>
                <w:bCs/>
                <w:sz w:val="24"/>
                <w:szCs w:val="24"/>
                <w:vertAlign w:val="superscript"/>
              </w:rPr>
            </w:pPr>
            <w:r w:rsidRPr="007D6892">
              <w:rPr>
                <w:rFonts w:ascii="Arial" w:eastAsia="Calibri" w:hAnsi="Arial" w:cs="Arial"/>
                <w:bCs/>
                <w:sz w:val="24"/>
                <w:szCs w:val="24"/>
                <w:vertAlign w:val="superscript"/>
              </w:rPr>
              <w:t xml:space="preserve">Cultural </w:t>
            </w:r>
            <w:r w:rsidR="00CE02B9" w:rsidRPr="007D6892">
              <w:rPr>
                <w:rFonts w:ascii="Arial" w:eastAsia="Calibri" w:hAnsi="Arial" w:cs="Arial"/>
                <w:bCs/>
                <w:sz w:val="24"/>
                <w:szCs w:val="24"/>
                <w:vertAlign w:val="superscript"/>
              </w:rPr>
              <w:t>wellbeing total</w:t>
            </w:r>
          </w:p>
        </w:tc>
        <w:tc>
          <w:tcPr>
            <w:tcW w:w="1066" w:type="dxa"/>
            <w:tcBorders>
              <w:top w:val="single" w:sz="4" w:space="0" w:color="auto"/>
              <w:bottom w:val="single" w:sz="4" w:space="0" w:color="auto"/>
            </w:tcBorders>
            <w:noWrap/>
            <w:tcMar>
              <w:top w:w="0" w:type="dxa"/>
              <w:left w:w="108" w:type="dxa"/>
              <w:bottom w:w="0" w:type="dxa"/>
              <w:right w:w="108" w:type="dxa"/>
            </w:tcMar>
            <w:vAlign w:val="center"/>
            <w:hideMark/>
          </w:tcPr>
          <w:p w:rsidR="002E2131" w:rsidRPr="007D6892" w:rsidRDefault="002E2131" w:rsidP="001244BB">
            <w:pPr>
              <w:spacing w:after="0" w:line="240" w:lineRule="auto"/>
              <w:jc w:val="right"/>
              <w:rPr>
                <w:rFonts w:ascii="Arial" w:eastAsia="Calibri" w:hAnsi="Arial" w:cs="Arial"/>
                <w:bCs/>
                <w:sz w:val="24"/>
                <w:szCs w:val="24"/>
                <w:vertAlign w:val="superscript"/>
              </w:rPr>
            </w:pPr>
            <w:r w:rsidRPr="007D6892">
              <w:rPr>
                <w:rFonts w:ascii="Arial" w:eastAsia="Calibri" w:hAnsi="Arial" w:cs="Arial"/>
                <w:bCs/>
                <w:sz w:val="24"/>
                <w:szCs w:val="24"/>
                <w:vertAlign w:val="superscript"/>
              </w:rPr>
              <w:t>20,625</w:t>
            </w:r>
          </w:p>
        </w:tc>
        <w:tc>
          <w:tcPr>
            <w:tcW w:w="1066" w:type="dxa"/>
            <w:tcBorders>
              <w:top w:val="single" w:sz="4" w:space="0" w:color="auto"/>
              <w:bottom w:val="single" w:sz="4" w:space="0" w:color="auto"/>
            </w:tcBorders>
            <w:noWrap/>
            <w:tcMar>
              <w:top w:w="0" w:type="dxa"/>
              <w:left w:w="108" w:type="dxa"/>
              <w:bottom w:w="0" w:type="dxa"/>
              <w:right w:w="108" w:type="dxa"/>
            </w:tcMar>
            <w:vAlign w:val="center"/>
            <w:hideMark/>
          </w:tcPr>
          <w:p w:rsidR="002E2131" w:rsidRPr="007D6892" w:rsidRDefault="002E2131" w:rsidP="001244BB">
            <w:pPr>
              <w:spacing w:after="0" w:line="240" w:lineRule="auto"/>
              <w:jc w:val="right"/>
              <w:rPr>
                <w:rFonts w:ascii="Arial" w:eastAsia="Calibri" w:hAnsi="Arial" w:cs="Arial"/>
                <w:bCs/>
                <w:sz w:val="24"/>
                <w:szCs w:val="24"/>
                <w:vertAlign w:val="superscript"/>
              </w:rPr>
            </w:pPr>
            <w:r w:rsidRPr="007D6892">
              <w:rPr>
                <w:rFonts w:ascii="Arial" w:eastAsia="Calibri" w:hAnsi="Arial" w:cs="Arial"/>
                <w:bCs/>
                <w:sz w:val="24"/>
                <w:szCs w:val="24"/>
                <w:vertAlign w:val="superscript"/>
              </w:rPr>
              <w:t>21,256</w:t>
            </w:r>
          </w:p>
        </w:tc>
        <w:tc>
          <w:tcPr>
            <w:tcW w:w="1066" w:type="dxa"/>
            <w:tcBorders>
              <w:top w:val="single" w:sz="4" w:space="0" w:color="auto"/>
              <w:bottom w:val="single" w:sz="4" w:space="0" w:color="auto"/>
            </w:tcBorders>
            <w:noWrap/>
            <w:tcMar>
              <w:top w:w="0" w:type="dxa"/>
              <w:left w:w="108" w:type="dxa"/>
              <w:bottom w:w="0" w:type="dxa"/>
              <w:right w:w="108" w:type="dxa"/>
            </w:tcMar>
            <w:vAlign w:val="center"/>
            <w:hideMark/>
          </w:tcPr>
          <w:p w:rsidR="002E2131" w:rsidRPr="007D6892" w:rsidRDefault="002E2131" w:rsidP="001244BB">
            <w:pPr>
              <w:spacing w:after="0" w:line="240" w:lineRule="auto"/>
              <w:jc w:val="right"/>
              <w:rPr>
                <w:rFonts w:ascii="Arial" w:eastAsia="Calibri" w:hAnsi="Arial" w:cs="Arial"/>
                <w:bCs/>
                <w:sz w:val="24"/>
                <w:szCs w:val="24"/>
                <w:vertAlign w:val="superscript"/>
              </w:rPr>
            </w:pPr>
            <w:r w:rsidRPr="007D6892">
              <w:rPr>
                <w:rFonts w:ascii="Arial" w:eastAsia="Calibri" w:hAnsi="Arial" w:cs="Arial"/>
                <w:bCs/>
                <w:sz w:val="24"/>
                <w:szCs w:val="24"/>
                <w:vertAlign w:val="superscript"/>
              </w:rPr>
              <w:t>23,268</w:t>
            </w:r>
          </w:p>
        </w:tc>
        <w:tc>
          <w:tcPr>
            <w:tcW w:w="1066" w:type="dxa"/>
            <w:tcBorders>
              <w:top w:val="single" w:sz="4" w:space="0" w:color="auto"/>
              <w:bottom w:val="single" w:sz="4" w:space="0" w:color="auto"/>
            </w:tcBorders>
            <w:noWrap/>
            <w:tcMar>
              <w:top w:w="0" w:type="dxa"/>
              <w:left w:w="108" w:type="dxa"/>
              <w:bottom w:w="0" w:type="dxa"/>
              <w:right w:w="108" w:type="dxa"/>
            </w:tcMar>
            <w:vAlign w:val="center"/>
            <w:hideMark/>
          </w:tcPr>
          <w:p w:rsidR="002E2131" w:rsidRPr="007D6892" w:rsidRDefault="002E2131" w:rsidP="001244BB">
            <w:pPr>
              <w:spacing w:after="0" w:line="240" w:lineRule="auto"/>
              <w:jc w:val="right"/>
              <w:rPr>
                <w:rFonts w:ascii="Arial" w:eastAsia="Calibri" w:hAnsi="Arial" w:cs="Arial"/>
                <w:bCs/>
                <w:sz w:val="24"/>
                <w:szCs w:val="24"/>
                <w:vertAlign w:val="superscript"/>
              </w:rPr>
            </w:pPr>
            <w:r w:rsidRPr="007D6892">
              <w:rPr>
                <w:rFonts w:ascii="Arial" w:eastAsia="Calibri" w:hAnsi="Arial" w:cs="Arial"/>
                <w:bCs/>
                <w:sz w:val="24"/>
                <w:szCs w:val="24"/>
                <w:vertAlign w:val="superscript"/>
              </w:rPr>
              <w:t>22,766</w:t>
            </w:r>
          </w:p>
        </w:tc>
        <w:tc>
          <w:tcPr>
            <w:tcW w:w="1066" w:type="dxa"/>
            <w:tcBorders>
              <w:top w:val="single" w:sz="4" w:space="0" w:color="auto"/>
              <w:bottom w:val="single" w:sz="4" w:space="0" w:color="auto"/>
            </w:tcBorders>
            <w:noWrap/>
            <w:tcMar>
              <w:top w:w="0" w:type="dxa"/>
              <w:left w:w="108" w:type="dxa"/>
              <w:bottom w:w="0" w:type="dxa"/>
              <w:right w:w="108" w:type="dxa"/>
            </w:tcMar>
            <w:vAlign w:val="center"/>
            <w:hideMark/>
          </w:tcPr>
          <w:p w:rsidR="002E2131" w:rsidRPr="007D6892" w:rsidRDefault="00830D83" w:rsidP="001244BB">
            <w:pPr>
              <w:spacing w:after="0" w:line="240" w:lineRule="auto"/>
              <w:jc w:val="right"/>
              <w:rPr>
                <w:rFonts w:ascii="Arial" w:eastAsia="Calibri" w:hAnsi="Arial" w:cs="Arial"/>
                <w:bCs/>
                <w:sz w:val="24"/>
                <w:szCs w:val="24"/>
                <w:vertAlign w:val="superscript"/>
              </w:rPr>
            </w:pPr>
            <w:r w:rsidRPr="007D6892">
              <w:rPr>
                <w:rFonts w:ascii="Arial" w:eastAsia="Calibri" w:hAnsi="Arial" w:cs="Arial"/>
                <w:bCs/>
                <w:sz w:val="24"/>
                <w:szCs w:val="24"/>
                <w:vertAlign w:val="superscript"/>
              </w:rPr>
              <w:t>(</w:t>
            </w:r>
            <w:r w:rsidR="002E2131" w:rsidRPr="007D6892">
              <w:rPr>
                <w:rFonts w:ascii="Arial" w:eastAsia="Calibri" w:hAnsi="Arial" w:cs="Arial"/>
                <w:bCs/>
                <w:sz w:val="24"/>
                <w:szCs w:val="24"/>
                <w:vertAlign w:val="superscript"/>
              </w:rPr>
              <w:t>502</w:t>
            </w:r>
            <w:r w:rsidRPr="007D6892">
              <w:rPr>
                <w:rFonts w:ascii="Arial" w:eastAsia="Calibri" w:hAnsi="Arial" w:cs="Arial"/>
                <w:bCs/>
                <w:sz w:val="24"/>
                <w:szCs w:val="24"/>
                <w:vertAlign w:val="superscript"/>
              </w:rPr>
              <w:t>)</w:t>
            </w:r>
          </w:p>
        </w:tc>
      </w:tr>
      <w:tr w:rsidR="002E2131" w:rsidRPr="007D6892" w:rsidTr="001244BB">
        <w:trPr>
          <w:trHeight w:val="312"/>
        </w:trPr>
        <w:tc>
          <w:tcPr>
            <w:tcW w:w="3955" w:type="dxa"/>
            <w:tcBorders>
              <w:top w:val="single" w:sz="4" w:space="0" w:color="auto"/>
              <w:bottom w:val="single" w:sz="4" w:space="0" w:color="auto"/>
            </w:tcBorders>
            <w:noWrap/>
            <w:tcMar>
              <w:top w:w="0" w:type="dxa"/>
              <w:left w:w="108" w:type="dxa"/>
              <w:bottom w:w="0" w:type="dxa"/>
              <w:right w:w="108" w:type="dxa"/>
            </w:tcMar>
            <w:vAlign w:val="center"/>
            <w:hideMark/>
          </w:tcPr>
          <w:p w:rsidR="002E2131" w:rsidRPr="007D6892" w:rsidRDefault="002E2131" w:rsidP="00CE02B9">
            <w:pPr>
              <w:spacing w:after="0" w:line="240" w:lineRule="auto"/>
              <w:rPr>
                <w:rFonts w:ascii="Arial" w:eastAsia="Calibri" w:hAnsi="Arial" w:cs="Arial"/>
                <w:bCs/>
                <w:sz w:val="24"/>
                <w:szCs w:val="24"/>
                <w:vertAlign w:val="superscript"/>
              </w:rPr>
            </w:pPr>
            <w:r w:rsidRPr="007D6892">
              <w:rPr>
                <w:rFonts w:ascii="Arial" w:eastAsia="Calibri" w:hAnsi="Arial" w:cs="Arial"/>
                <w:bCs/>
                <w:sz w:val="24"/>
                <w:szCs w:val="24"/>
                <w:vertAlign w:val="superscript"/>
              </w:rPr>
              <w:t xml:space="preserve">Social </w:t>
            </w:r>
            <w:r w:rsidR="00CE02B9" w:rsidRPr="007D6892">
              <w:rPr>
                <w:rFonts w:ascii="Arial" w:eastAsia="Calibri" w:hAnsi="Arial" w:cs="Arial"/>
                <w:bCs/>
                <w:sz w:val="24"/>
                <w:szCs w:val="24"/>
                <w:vertAlign w:val="superscript"/>
              </w:rPr>
              <w:t>and recreation total</w:t>
            </w:r>
          </w:p>
        </w:tc>
        <w:tc>
          <w:tcPr>
            <w:tcW w:w="1066" w:type="dxa"/>
            <w:tcBorders>
              <w:top w:val="single" w:sz="4" w:space="0" w:color="auto"/>
              <w:bottom w:val="single" w:sz="4" w:space="0" w:color="auto"/>
            </w:tcBorders>
            <w:noWrap/>
            <w:tcMar>
              <w:top w:w="0" w:type="dxa"/>
              <w:left w:w="108" w:type="dxa"/>
              <w:bottom w:w="0" w:type="dxa"/>
              <w:right w:w="108" w:type="dxa"/>
            </w:tcMar>
            <w:vAlign w:val="center"/>
            <w:hideMark/>
          </w:tcPr>
          <w:p w:rsidR="002E2131" w:rsidRPr="007D6892" w:rsidRDefault="002E2131" w:rsidP="001244BB">
            <w:pPr>
              <w:spacing w:after="0" w:line="240" w:lineRule="auto"/>
              <w:jc w:val="right"/>
              <w:rPr>
                <w:rFonts w:ascii="Arial" w:eastAsia="Calibri" w:hAnsi="Arial" w:cs="Arial"/>
                <w:bCs/>
                <w:sz w:val="24"/>
                <w:szCs w:val="24"/>
                <w:vertAlign w:val="superscript"/>
              </w:rPr>
            </w:pPr>
            <w:r w:rsidRPr="007D6892">
              <w:rPr>
                <w:rFonts w:ascii="Arial" w:eastAsia="Calibri" w:hAnsi="Arial" w:cs="Arial"/>
                <w:bCs/>
                <w:sz w:val="24"/>
                <w:szCs w:val="24"/>
                <w:vertAlign w:val="superscript"/>
              </w:rPr>
              <w:t>112,657</w:t>
            </w:r>
          </w:p>
        </w:tc>
        <w:tc>
          <w:tcPr>
            <w:tcW w:w="1066" w:type="dxa"/>
            <w:tcBorders>
              <w:top w:val="single" w:sz="4" w:space="0" w:color="auto"/>
              <w:bottom w:val="single" w:sz="4" w:space="0" w:color="auto"/>
            </w:tcBorders>
            <w:noWrap/>
            <w:tcMar>
              <w:top w:w="0" w:type="dxa"/>
              <w:left w:w="108" w:type="dxa"/>
              <w:bottom w:w="0" w:type="dxa"/>
              <w:right w:w="108" w:type="dxa"/>
            </w:tcMar>
            <w:vAlign w:val="center"/>
            <w:hideMark/>
          </w:tcPr>
          <w:p w:rsidR="002E2131" w:rsidRPr="007D6892" w:rsidRDefault="002E2131" w:rsidP="00C30FFB">
            <w:pPr>
              <w:spacing w:after="0" w:line="240" w:lineRule="auto"/>
              <w:jc w:val="right"/>
              <w:rPr>
                <w:rFonts w:ascii="Arial" w:eastAsia="Calibri" w:hAnsi="Arial" w:cs="Arial"/>
                <w:bCs/>
                <w:sz w:val="24"/>
                <w:szCs w:val="24"/>
                <w:vertAlign w:val="superscript"/>
              </w:rPr>
            </w:pPr>
            <w:r w:rsidRPr="007D6892">
              <w:rPr>
                <w:rFonts w:ascii="Arial" w:eastAsia="Calibri" w:hAnsi="Arial" w:cs="Arial"/>
                <w:bCs/>
                <w:sz w:val="24"/>
                <w:szCs w:val="24"/>
                <w:vertAlign w:val="superscript"/>
              </w:rPr>
              <w:t>115,</w:t>
            </w:r>
            <w:r w:rsidR="00C30FFB" w:rsidRPr="007D6892">
              <w:rPr>
                <w:rFonts w:ascii="Arial" w:eastAsia="Calibri" w:hAnsi="Arial" w:cs="Arial"/>
                <w:bCs/>
                <w:sz w:val="24"/>
                <w:szCs w:val="24"/>
                <w:vertAlign w:val="superscript"/>
              </w:rPr>
              <w:t>358</w:t>
            </w:r>
          </w:p>
        </w:tc>
        <w:tc>
          <w:tcPr>
            <w:tcW w:w="1066" w:type="dxa"/>
            <w:tcBorders>
              <w:top w:val="single" w:sz="4" w:space="0" w:color="auto"/>
              <w:bottom w:val="single" w:sz="4" w:space="0" w:color="auto"/>
            </w:tcBorders>
            <w:noWrap/>
            <w:tcMar>
              <w:top w:w="0" w:type="dxa"/>
              <w:left w:w="108" w:type="dxa"/>
              <w:bottom w:w="0" w:type="dxa"/>
              <w:right w:w="108" w:type="dxa"/>
            </w:tcMar>
            <w:vAlign w:val="center"/>
            <w:hideMark/>
          </w:tcPr>
          <w:p w:rsidR="002E2131" w:rsidRPr="007D6892" w:rsidRDefault="002E2131" w:rsidP="001244BB">
            <w:pPr>
              <w:spacing w:after="0" w:line="240" w:lineRule="auto"/>
              <w:jc w:val="right"/>
              <w:rPr>
                <w:rFonts w:ascii="Arial" w:eastAsia="Calibri" w:hAnsi="Arial" w:cs="Arial"/>
                <w:bCs/>
                <w:sz w:val="24"/>
                <w:szCs w:val="24"/>
                <w:vertAlign w:val="superscript"/>
              </w:rPr>
            </w:pPr>
            <w:r w:rsidRPr="007D6892">
              <w:rPr>
                <w:rFonts w:ascii="Arial" w:eastAsia="Calibri" w:hAnsi="Arial" w:cs="Arial"/>
                <w:bCs/>
                <w:sz w:val="24"/>
                <w:szCs w:val="24"/>
                <w:vertAlign w:val="superscript"/>
              </w:rPr>
              <w:t>134,717</w:t>
            </w:r>
          </w:p>
        </w:tc>
        <w:tc>
          <w:tcPr>
            <w:tcW w:w="1066" w:type="dxa"/>
            <w:tcBorders>
              <w:top w:val="single" w:sz="4" w:space="0" w:color="auto"/>
              <w:bottom w:val="single" w:sz="4" w:space="0" w:color="auto"/>
            </w:tcBorders>
            <w:noWrap/>
            <w:tcMar>
              <w:top w:w="0" w:type="dxa"/>
              <w:left w:w="108" w:type="dxa"/>
              <w:bottom w:w="0" w:type="dxa"/>
              <w:right w:w="108" w:type="dxa"/>
            </w:tcMar>
            <w:vAlign w:val="center"/>
            <w:hideMark/>
          </w:tcPr>
          <w:p w:rsidR="002E2131" w:rsidRPr="007D6892" w:rsidRDefault="002E2131" w:rsidP="001244BB">
            <w:pPr>
              <w:spacing w:after="0" w:line="240" w:lineRule="auto"/>
              <w:jc w:val="right"/>
              <w:rPr>
                <w:rFonts w:ascii="Arial" w:eastAsia="Calibri" w:hAnsi="Arial" w:cs="Arial"/>
                <w:bCs/>
                <w:sz w:val="24"/>
                <w:szCs w:val="24"/>
                <w:vertAlign w:val="superscript"/>
              </w:rPr>
            </w:pPr>
            <w:r w:rsidRPr="007D6892">
              <w:rPr>
                <w:rFonts w:ascii="Arial" w:eastAsia="Calibri" w:hAnsi="Arial" w:cs="Arial"/>
                <w:bCs/>
                <w:sz w:val="24"/>
                <w:szCs w:val="24"/>
                <w:vertAlign w:val="superscript"/>
              </w:rPr>
              <w:t>121,004</w:t>
            </w:r>
          </w:p>
        </w:tc>
        <w:tc>
          <w:tcPr>
            <w:tcW w:w="1066" w:type="dxa"/>
            <w:tcBorders>
              <w:top w:val="single" w:sz="4" w:space="0" w:color="auto"/>
              <w:bottom w:val="single" w:sz="4" w:space="0" w:color="auto"/>
            </w:tcBorders>
            <w:noWrap/>
            <w:tcMar>
              <w:top w:w="0" w:type="dxa"/>
              <w:left w:w="108" w:type="dxa"/>
              <w:bottom w:w="0" w:type="dxa"/>
              <w:right w:w="108" w:type="dxa"/>
            </w:tcMar>
            <w:vAlign w:val="center"/>
            <w:hideMark/>
          </w:tcPr>
          <w:p w:rsidR="002E2131" w:rsidRPr="007D6892" w:rsidRDefault="00830D83" w:rsidP="001244BB">
            <w:pPr>
              <w:spacing w:after="0" w:line="240" w:lineRule="auto"/>
              <w:jc w:val="right"/>
              <w:rPr>
                <w:rFonts w:ascii="Arial" w:eastAsia="Calibri" w:hAnsi="Arial" w:cs="Arial"/>
                <w:bCs/>
                <w:sz w:val="24"/>
                <w:szCs w:val="24"/>
                <w:vertAlign w:val="superscript"/>
              </w:rPr>
            </w:pPr>
            <w:r w:rsidRPr="007D6892">
              <w:rPr>
                <w:rFonts w:ascii="Arial" w:eastAsia="Calibri" w:hAnsi="Arial" w:cs="Arial"/>
                <w:bCs/>
                <w:sz w:val="24"/>
                <w:szCs w:val="24"/>
                <w:vertAlign w:val="superscript"/>
              </w:rPr>
              <w:t>(</w:t>
            </w:r>
            <w:r w:rsidR="002E2131" w:rsidRPr="007D6892">
              <w:rPr>
                <w:rFonts w:ascii="Arial" w:eastAsia="Calibri" w:hAnsi="Arial" w:cs="Arial"/>
                <w:bCs/>
                <w:sz w:val="24"/>
                <w:szCs w:val="24"/>
                <w:vertAlign w:val="superscript"/>
              </w:rPr>
              <w:t>13,713</w:t>
            </w:r>
            <w:r w:rsidRPr="007D6892">
              <w:rPr>
                <w:rFonts w:ascii="Arial" w:eastAsia="Calibri" w:hAnsi="Arial" w:cs="Arial"/>
                <w:bCs/>
                <w:sz w:val="24"/>
                <w:szCs w:val="24"/>
                <w:vertAlign w:val="superscript"/>
              </w:rPr>
              <w:t>)</w:t>
            </w:r>
          </w:p>
        </w:tc>
      </w:tr>
      <w:tr w:rsidR="002E2131" w:rsidRPr="007D6892" w:rsidTr="001244BB">
        <w:trPr>
          <w:trHeight w:val="312"/>
        </w:trPr>
        <w:tc>
          <w:tcPr>
            <w:tcW w:w="3955" w:type="dxa"/>
            <w:tcBorders>
              <w:top w:val="single" w:sz="4" w:space="0" w:color="auto"/>
              <w:bottom w:val="single" w:sz="4" w:space="0" w:color="auto"/>
            </w:tcBorders>
            <w:noWrap/>
            <w:tcMar>
              <w:top w:w="0" w:type="dxa"/>
              <w:left w:w="108" w:type="dxa"/>
              <w:bottom w:w="0" w:type="dxa"/>
              <w:right w:w="108" w:type="dxa"/>
            </w:tcMar>
            <w:vAlign w:val="center"/>
            <w:hideMark/>
          </w:tcPr>
          <w:p w:rsidR="002E2131" w:rsidRPr="007D6892" w:rsidRDefault="002E2131" w:rsidP="00CE02B9">
            <w:pPr>
              <w:spacing w:after="0" w:line="240" w:lineRule="auto"/>
              <w:rPr>
                <w:rFonts w:ascii="Arial" w:eastAsia="Calibri" w:hAnsi="Arial" w:cs="Arial"/>
                <w:bCs/>
                <w:sz w:val="24"/>
                <w:szCs w:val="24"/>
                <w:vertAlign w:val="superscript"/>
              </w:rPr>
            </w:pPr>
            <w:r w:rsidRPr="007D6892">
              <w:rPr>
                <w:rFonts w:ascii="Arial" w:eastAsia="Calibri" w:hAnsi="Arial" w:cs="Arial"/>
                <w:bCs/>
                <w:sz w:val="24"/>
                <w:szCs w:val="24"/>
                <w:vertAlign w:val="superscript"/>
              </w:rPr>
              <w:t xml:space="preserve">Urban </w:t>
            </w:r>
            <w:r w:rsidR="00CE02B9" w:rsidRPr="007D6892">
              <w:rPr>
                <w:rFonts w:ascii="Arial" w:eastAsia="Calibri" w:hAnsi="Arial" w:cs="Arial"/>
                <w:bCs/>
                <w:sz w:val="24"/>
                <w:szCs w:val="24"/>
                <w:vertAlign w:val="superscript"/>
              </w:rPr>
              <w:t>development total</w:t>
            </w:r>
          </w:p>
        </w:tc>
        <w:tc>
          <w:tcPr>
            <w:tcW w:w="1066" w:type="dxa"/>
            <w:tcBorders>
              <w:top w:val="single" w:sz="4" w:space="0" w:color="auto"/>
              <w:bottom w:val="single" w:sz="4" w:space="0" w:color="auto"/>
            </w:tcBorders>
            <w:noWrap/>
            <w:tcMar>
              <w:top w:w="0" w:type="dxa"/>
              <w:left w:w="108" w:type="dxa"/>
              <w:bottom w:w="0" w:type="dxa"/>
              <w:right w:w="108" w:type="dxa"/>
            </w:tcMar>
            <w:vAlign w:val="center"/>
            <w:hideMark/>
          </w:tcPr>
          <w:p w:rsidR="002E2131" w:rsidRPr="007D6892" w:rsidRDefault="002E2131" w:rsidP="001244BB">
            <w:pPr>
              <w:spacing w:after="0" w:line="240" w:lineRule="auto"/>
              <w:jc w:val="right"/>
              <w:rPr>
                <w:rFonts w:ascii="Arial" w:eastAsia="Calibri" w:hAnsi="Arial" w:cs="Arial"/>
                <w:bCs/>
                <w:sz w:val="24"/>
                <w:szCs w:val="24"/>
                <w:vertAlign w:val="superscript"/>
              </w:rPr>
            </w:pPr>
            <w:r w:rsidRPr="007D6892">
              <w:rPr>
                <w:rFonts w:ascii="Arial" w:eastAsia="Calibri" w:hAnsi="Arial" w:cs="Arial"/>
                <w:bCs/>
                <w:sz w:val="24"/>
                <w:szCs w:val="24"/>
                <w:vertAlign w:val="superscript"/>
              </w:rPr>
              <w:t>29,507</w:t>
            </w:r>
          </w:p>
        </w:tc>
        <w:tc>
          <w:tcPr>
            <w:tcW w:w="1066" w:type="dxa"/>
            <w:tcBorders>
              <w:top w:val="single" w:sz="4" w:space="0" w:color="auto"/>
              <w:bottom w:val="single" w:sz="4" w:space="0" w:color="auto"/>
            </w:tcBorders>
            <w:noWrap/>
            <w:tcMar>
              <w:top w:w="0" w:type="dxa"/>
              <w:left w:w="108" w:type="dxa"/>
              <w:bottom w:w="0" w:type="dxa"/>
              <w:right w:w="108" w:type="dxa"/>
            </w:tcMar>
            <w:vAlign w:val="center"/>
            <w:hideMark/>
          </w:tcPr>
          <w:p w:rsidR="002E2131" w:rsidRPr="007D6892" w:rsidRDefault="002E2131" w:rsidP="00C30FFB">
            <w:pPr>
              <w:spacing w:after="0" w:line="240" w:lineRule="auto"/>
              <w:jc w:val="right"/>
              <w:rPr>
                <w:rFonts w:ascii="Arial" w:eastAsia="Calibri" w:hAnsi="Arial" w:cs="Arial"/>
                <w:bCs/>
                <w:sz w:val="24"/>
                <w:szCs w:val="24"/>
                <w:vertAlign w:val="superscript"/>
              </w:rPr>
            </w:pPr>
            <w:r w:rsidRPr="007D6892">
              <w:rPr>
                <w:rFonts w:ascii="Arial" w:eastAsia="Calibri" w:hAnsi="Arial" w:cs="Arial"/>
                <w:bCs/>
                <w:sz w:val="24"/>
                <w:szCs w:val="24"/>
                <w:vertAlign w:val="superscript"/>
              </w:rPr>
              <w:t>29,403</w:t>
            </w:r>
          </w:p>
        </w:tc>
        <w:tc>
          <w:tcPr>
            <w:tcW w:w="1066" w:type="dxa"/>
            <w:tcBorders>
              <w:top w:val="single" w:sz="4" w:space="0" w:color="auto"/>
              <w:bottom w:val="single" w:sz="4" w:space="0" w:color="auto"/>
            </w:tcBorders>
            <w:noWrap/>
            <w:tcMar>
              <w:top w:w="0" w:type="dxa"/>
              <w:left w:w="108" w:type="dxa"/>
              <w:bottom w:w="0" w:type="dxa"/>
              <w:right w:w="108" w:type="dxa"/>
            </w:tcMar>
            <w:vAlign w:val="center"/>
            <w:hideMark/>
          </w:tcPr>
          <w:p w:rsidR="002E2131" w:rsidRPr="007D6892" w:rsidRDefault="002E2131" w:rsidP="001244BB">
            <w:pPr>
              <w:spacing w:after="0" w:line="240" w:lineRule="auto"/>
              <w:jc w:val="right"/>
              <w:rPr>
                <w:rFonts w:ascii="Arial" w:eastAsia="Calibri" w:hAnsi="Arial" w:cs="Arial"/>
                <w:bCs/>
                <w:sz w:val="24"/>
                <w:szCs w:val="24"/>
                <w:vertAlign w:val="superscript"/>
              </w:rPr>
            </w:pPr>
            <w:r w:rsidRPr="007D6892">
              <w:rPr>
                <w:rFonts w:ascii="Arial" w:eastAsia="Calibri" w:hAnsi="Arial" w:cs="Arial"/>
                <w:bCs/>
                <w:sz w:val="24"/>
                <w:szCs w:val="24"/>
                <w:vertAlign w:val="superscript"/>
              </w:rPr>
              <w:t>30,709</w:t>
            </w:r>
          </w:p>
        </w:tc>
        <w:tc>
          <w:tcPr>
            <w:tcW w:w="1066" w:type="dxa"/>
            <w:tcBorders>
              <w:top w:val="single" w:sz="4" w:space="0" w:color="auto"/>
              <w:bottom w:val="single" w:sz="4" w:space="0" w:color="auto"/>
            </w:tcBorders>
            <w:noWrap/>
            <w:tcMar>
              <w:top w:w="0" w:type="dxa"/>
              <w:left w:w="108" w:type="dxa"/>
              <w:bottom w:w="0" w:type="dxa"/>
              <w:right w:w="108" w:type="dxa"/>
            </w:tcMar>
            <w:vAlign w:val="center"/>
            <w:hideMark/>
          </w:tcPr>
          <w:p w:rsidR="002E2131" w:rsidRPr="007D6892" w:rsidRDefault="002E2131" w:rsidP="001244BB">
            <w:pPr>
              <w:spacing w:after="0" w:line="240" w:lineRule="auto"/>
              <w:jc w:val="right"/>
              <w:rPr>
                <w:rFonts w:ascii="Arial" w:eastAsia="Calibri" w:hAnsi="Arial" w:cs="Arial"/>
                <w:bCs/>
                <w:sz w:val="24"/>
                <w:szCs w:val="24"/>
                <w:vertAlign w:val="superscript"/>
              </w:rPr>
            </w:pPr>
            <w:r w:rsidRPr="007D6892">
              <w:rPr>
                <w:rFonts w:ascii="Arial" w:eastAsia="Calibri" w:hAnsi="Arial" w:cs="Arial"/>
                <w:bCs/>
                <w:sz w:val="24"/>
                <w:szCs w:val="24"/>
                <w:vertAlign w:val="superscript"/>
              </w:rPr>
              <w:t>31,767</w:t>
            </w:r>
          </w:p>
        </w:tc>
        <w:tc>
          <w:tcPr>
            <w:tcW w:w="1066" w:type="dxa"/>
            <w:tcBorders>
              <w:top w:val="single" w:sz="4" w:space="0" w:color="auto"/>
              <w:bottom w:val="single" w:sz="4" w:space="0" w:color="auto"/>
            </w:tcBorders>
            <w:noWrap/>
            <w:tcMar>
              <w:top w:w="0" w:type="dxa"/>
              <w:left w:w="108" w:type="dxa"/>
              <w:bottom w:w="0" w:type="dxa"/>
              <w:right w:w="108" w:type="dxa"/>
            </w:tcMar>
            <w:vAlign w:val="center"/>
            <w:hideMark/>
          </w:tcPr>
          <w:p w:rsidR="002E2131" w:rsidRPr="007D6892" w:rsidRDefault="002E2131" w:rsidP="001244BB">
            <w:pPr>
              <w:spacing w:after="0" w:line="240" w:lineRule="auto"/>
              <w:jc w:val="right"/>
              <w:rPr>
                <w:rFonts w:ascii="Arial" w:eastAsia="Calibri" w:hAnsi="Arial" w:cs="Arial"/>
                <w:bCs/>
                <w:sz w:val="24"/>
                <w:szCs w:val="24"/>
                <w:vertAlign w:val="superscript"/>
              </w:rPr>
            </w:pPr>
            <w:r w:rsidRPr="007D6892">
              <w:rPr>
                <w:rFonts w:ascii="Arial" w:eastAsia="Calibri" w:hAnsi="Arial" w:cs="Arial"/>
                <w:bCs/>
                <w:sz w:val="24"/>
                <w:szCs w:val="24"/>
                <w:vertAlign w:val="superscript"/>
              </w:rPr>
              <w:t>1,058</w:t>
            </w:r>
          </w:p>
        </w:tc>
      </w:tr>
      <w:tr w:rsidR="002E2131" w:rsidRPr="007D6892" w:rsidTr="001244BB">
        <w:trPr>
          <w:trHeight w:val="312"/>
        </w:trPr>
        <w:tc>
          <w:tcPr>
            <w:tcW w:w="3955" w:type="dxa"/>
            <w:tcBorders>
              <w:top w:val="single" w:sz="4" w:space="0" w:color="auto"/>
              <w:bottom w:val="single" w:sz="4" w:space="0" w:color="auto"/>
            </w:tcBorders>
            <w:noWrap/>
            <w:tcMar>
              <w:top w:w="0" w:type="dxa"/>
              <w:left w:w="108" w:type="dxa"/>
              <w:bottom w:w="0" w:type="dxa"/>
              <w:right w:w="108" w:type="dxa"/>
            </w:tcMar>
            <w:vAlign w:val="center"/>
            <w:hideMark/>
          </w:tcPr>
          <w:p w:rsidR="002E2131" w:rsidRPr="007D6892" w:rsidRDefault="002E2131" w:rsidP="00CE02B9">
            <w:pPr>
              <w:spacing w:after="0" w:line="240" w:lineRule="auto"/>
              <w:rPr>
                <w:rFonts w:ascii="Arial" w:eastAsia="Calibri" w:hAnsi="Arial" w:cs="Arial"/>
                <w:bCs/>
                <w:sz w:val="24"/>
                <w:szCs w:val="24"/>
                <w:vertAlign w:val="superscript"/>
              </w:rPr>
            </w:pPr>
            <w:r w:rsidRPr="007D6892">
              <w:rPr>
                <w:rFonts w:ascii="Arial" w:eastAsia="Calibri" w:hAnsi="Arial" w:cs="Arial"/>
                <w:bCs/>
                <w:sz w:val="24"/>
                <w:szCs w:val="24"/>
                <w:vertAlign w:val="superscript"/>
              </w:rPr>
              <w:t xml:space="preserve">Transport </w:t>
            </w:r>
            <w:r w:rsidR="00CE02B9" w:rsidRPr="007D6892">
              <w:rPr>
                <w:rFonts w:ascii="Arial" w:eastAsia="Calibri" w:hAnsi="Arial" w:cs="Arial"/>
                <w:bCs/>
                <w:sz w:val="24"/>
                <w:szCs w:val="24"/>
                <w:vertAlign w:val="superscript"/>
              </w:rPr>
              <w:t>total</w:t>
            </w:r>
          </w:p>
        </w:tc>
        <w:tc>
          <w:tcPr>
            <w:tcW w:w="1066" w:type="dxa"/>
            <w:tcBorders>
              <w:top w:val="single" w:sz="4" w:space="0" w:color="auto"/>
              <w:bottom w:val="single" w:sz="4" w:space="0" w:color="auto"/>
            </w:tcBorders>
            <w:noWrap/>
            <w:tcMar>
              <w:top w:w="0" w:type="dxa"/>
              <w:left w:w="108" w:type="dxa"/>
              <w:bottom w:w="0" w:type="dxa"/>
              <w:right w:w="108" w:type="dxa"/>
            </w:tcMar>
            <w:vAlign w:val="center"/>
            <w:hideMark/>
          </w:tcPr>
          <w:p w:rsidR="002E2131" w:rsidRPr="007D6892" w:rsidRDefault="002E2131" w:rsidP="001244BB">
            <w:pPr>
              <w:spacing w:after="0" w:line="240" w:lineRule="auto"/>
              <w:jc w:val="right"/>
              <w:rPr>
                <w:rFonts w:ascii="Arial" w:eastAsia="Calibri" w:hAnsi="Arial" w:cs="Arial"/>
                <w:bCs/>
                <w:sz w:val="24"/>
                <w:szCs w:val="24"/>
                <w:vertAlign w:val="superscript"/>
              </w:rPr>
            </w:pPr>
            <w:r w:rsidRPr="007D6892">
              <w:rPr>
                <w:rFonts w:ascii="Arial" w:eastAsia="Calibri" w:hAnsi="Arial" w:cs="Arial"/>
                <w:bCs/>
                <w:sz w:val="24"/>
                <w:szCs w:val="24"/>
                <w:vertAlign w:val="superscript"/>
              </w:rPr>
              <w:t>62,401</w:t>
            </w:r>
          </w:p>
        </w:tc>
        <w:tc>
          <w:tcPr>
            <w:tcW w:w="1066" w:type="dxa"/>
            <w:tcBorders>
              <w:top w:val="single" w:sz="4" w:space="0" w:color="auto"/>
              <w:bottom w:val="single" w:sz="4" w:space="0" w:color="auto"/>
            </w:tcBorders>
            <w:noWrap/>
            <w:tcMar>
              <w:top w:w="0" w:type="dxa"/>
              <w:left w:w="108" w:type="dxa"/>
              <w:bottom w:w="0" w:type="dxa"/>
              <w:right w:w="108" w:type="dxa"/>
            </w:tcMar>
            <w:vAlign w:val="center"/>
            <w:hideMark/>
          </w:tcPr>
          <w:p w:rsidR="002E2131" w:rsidRPr="007D6892" w:rsidRDefault="002E2131" w:rsidP="001244BB">
            <w:pPr>
              <w:spacing w:after="0" w:line="240" w:lineRule="auto"/>
              <w:jc w:val="right"/>
              <w:rPr>
                <w:rFonts w:ascii="Arial" w:eastAsia="Calibri" w:hAnsi="Arial" w:cs="Arial"/>
                <w:bCs/>
                <w:sz w:val="24"/>
                <w:szCs w:val="24"/>
                <w:vertAlign w:val="superscript"/>
              </w:rPr>
            </w:pPr>
            <w:r w:rsidRPr="007D6892">
              <w:rPr>
                <w:rFonts w:ascii="Arial" w:eastAsia="Calibri" w:hAnsi="Arial" w:cs="Arial"/>
                <w:bCs/>
                <w:sz w:val="24"/>
                <w:szCs w:val="24"/>
                <w:vertAlign w:val="superscript"/>
              </w:rPr>
              <w:t>69,480</w:t>
            </w:r>
          </w:p>
        </w:tc>
        <w:tc>
          <w:tcPr>
            <w:tcW w:w="1066" w:type="dxa"/>
            <w:tcBorders>
              <w:top w:val="single" w:sz="4" w:space="0" w:color="auto"/>
              <w:bottom w:val="single" w:sz="4" w:space="0" w:color="auto"/>
            </w:tcBorders>
            <w:noWrap/>
            <w:tcMar>
              <w:top w:w="0" w:type="dxa"/>
              <w:left w:w="108" w:type="dxa"/>
              <w:bottom w:w="0" w:type="dxa"/>
              <w:right w:w="108" w:type="dxa"/>
            </w:tcMar>
            <w:vAlign w:val="center"/>
            <w:hideMark/>
          </w:tcPr>
          <w:p w:rsidR="002E2131" w:rsidRPr="007D6892" w:rsidRDefault="002E2131" w:rsidP="001244BB">
            <w:pPr>
              <w:spacing w:after="0" w:line="240" w:lineRule="auto"/>
              <w:jc w:val="right"/>
              <w:rPr>
                <w:rFonts w:ascii="Arial" w:eastAsia="Calibri" w:hAnsi="Arial" w:cs="Arial"/>
                <w:bCs/>
                <w:sz w:val="24"/>
                <w:szCs w:val="24"/>
                <w:vertAlign w:val="superscript"/>
              </w:rPr>
            </w:pPr>
            <w:r w:rsidRPr="007D6892">
              <w:rPr>
                <w:rFonts w:ascii="Arial" w:eastAsia="Calibri" w:hAnsi="Arial" w:cs="Arial"/>
                <w:bCs/>
                <w:sz w:val="24"/>
                <w:szCs w:val="24"/>
                <w:vertAlign w:val="superscript"/>
              </w:rPr>
              <w:t>74,559</w:t>
            </w:r>
          </w:p>
        </w:tc>
        <w:tc>
          <w:tcPr>
            <w:tcW w:w="1066" w:type="dxa"/>
            <w:tcBorders>
              <w:top w:val="single" w:sz="4" w:space="0" w:color="auto"/>
              <w:bottom w:val="single" w:sz="4" w:space="0" w:color="auto"/>
            </w:tcBorders>
            <w:noWrap/>
            <w:tcMar>
              <w:top w:w="0" w:type="dxa"/>
              <w:left w:w="108" w:type="dxa"/>
              <w:bottom w:w="0" w:type="dxa"/>
              <w:right w:w="108" w:type="dxa"/>
            </w:tcMar>
            <w:vAlign w:val="center"/>
            <w:hideMark/>
          </w:tcPr>
          <w:p w:rsidR="002E2131" w:rsidRPr="007D6892" w:rsidRDefault="002E2131" w:rsidP="001244BB">
            <w:pPr>
              <w:spacing w:after="0" w:line="240" w:lineRule="auto"/>
              <w:jc w:val="right"/>
              <w:rPr>
                <w:rFonts w:ascii="Arial" w:eastAsia="Calibri" w:hAnsi="Arial" w:cs="Arial"/>
                <w:bCs/>
                <w:sz w:val="24"/>
                <w:szCs w:val="24"/>
                <w:vertAlign w:val="superscript"/>
              </w:rPr>
            </w:pPr>
            <w:r w:rsidRPr="007D6892">
              <w:rPr>
                <w:rFonts w:ascii="Arial" w:eastAsia="Calibri" w:hAnsi="Arial" w:cs="Arial"/>
                <w:bCs/>
                <w:sz w:val="24"/>
                <w:szCs w:val="24"/>
                <w:vertAlign w:val="superscript"/>
              </w:rPr>
              <w:t>78,308</w:t>
            </w:r>
          </w:p>
        </w:tc>
        <w:tc>
          <w:tcPr>
            <w:tcW w:w="1066" w:type="dxa"/>
            <w:tcBorders>
              <w:top w:val="single" w:sz="4" w:space="0" w:color="auto"/>
              <w:bottom w:val="single" w:sz="4" w:space="0" w:color="auto"/>
            </w:tcBorders>
            <w:noWrap/>
            <w:tcMar>
              <w:top w:w="0" w:type="dxa"/>
              <w:left w:w="108" w:type="dxa"/>
              <w:bottom w:w="0" w:type="dxa"/>
              <w:right w:w="108" w:type="dxa"/>
            </w:tcMar>
            <w:vAlign w:val="center"/>
            <w:hideMark/>
          </w:tcPr>
          <w:p w:rsidR="002E2131" w:rsidRPr="007D6892" w:rsidRDefault="002E2131" w:rsidP="001244BB">
            <w:pPr>
              <w:spacing w:after="0" w:line="240" w:lineRule="auto"/>
              <w:jc w:val="right"/>
              <w:rPr>
                <w:rFonts w:ascii="Arial" w:eastAsia="Calibri" w:hAnsi="Arial" w:cs="Arial"/>
                <w:bCs/>
                <w:sz w:val="24"/>
                <w:szCs w:val="24"/>
                <w:vertAlign w:val="superscript"/>
              </w:rPr>
            </w:pPr>
            <w:r w:rsidRPr="007D6892">
              <w:rPr>
                <w:rFonts w:ascii="Arial" w:eastAsia="Calibri" w:hAnsi="Arial" w:cs="Arial"/>
                <w:bCs/>
                <w:sz w:val="24"/>
                <w:szCs w:val="24"/>
                <w:vertAlign w:val="superscript"/>
              </w:rPr>
              <w:t>3,749</w:t>
            </w:r>
          </w:p>
        </w:tc>
      </w:tr>
      <w:tr w:rsidR="002E2131" w:rsidRPr="007D6892" w:rsidTr="001244BB">
        <w:trPr>
          <w:trHeight w:val="312"/>
        </w:trPr>
        <w:tc>
          <w:tcPr>
            <w:tcW w:w="3955" w:type="dxa"/>
            <w:tcBorders>
              <w:top w:val="single" w:sz="12" w:space="0" w:color="auto"/>
              <w:bottom w:val="single" w:sz="4" w:space="0" w:color="auto"/>
            </w:tcBorders>
            <w:noWrap/>
            <w:tcMar>
              <w:top w:w="0" w:type="dxa"/>
              <w:left w:w="108" w:type="dxa"/>
              <w:bottom w:w="0" w:type="dxa"/>
              <w:right w:w="108" w:type="dxa"/>
            </w:tcMar>
            <w:vAlign w:val="center"/>
            <w:hideMark/>
          </w:tcPr>
          <w:p w:rsidR="002E2131" w:rsidRPr="007D6892" w:rsidRDefault="002E2131" w:rsidP="00CE02B9">
            <w:pPr>
              <w:spacing w:after="0" w:line="240" w:lineRule="auto"/>
              <w:rPr>
                <w:rFonts w:ascii="Arial" w:eastAsia="Calibri" w:hAnsi="Arial" w:cs="Arial"/>
                <w:b/>
                <w:bCs/>
                <w:sz w:val="24"/>
                <w:szCs w:val="24"/>
                <w:vertAlign w:val="superscript"/>
              </w:rPr>
            </w:pPr>
            <w:r w:rsidRPr="007D6892">
              <w:rPr>
                <w:rFonts w:ascii="Arial" w:eastAsia="Calibri" w:hAnsi="Arial" w:cs="Arial"/>
                <w:b/>
                <w:bCs/>
                <w:sz w:val="24"/>
                <w:szCs w:val="24"/>
                <w:vertAlign w:val="superscript"/>
              </w:rPr>
              <w:t xml:space="preserve">Total </w:t>
            </w:r>
            <w:r w:rsidR="00CE02B9" w:rsidRPr="007D6892">
              <w:rPr>
                <w:rFonts w:ascii="Arial" w:eastAsia="Calibri" w:hAnsi="Arial" w:cs="Arial"/>
                <w:b/>
                <w:bCs/>
                <w:sz w:val="24"/>
                <w:szCs w:val="24"/>
                <w:vertAlign w:val="superscript"/>
              </w:rPr>
              <w:t>strategic areas</w:t>
            </w:r>
          </w:p>
        </w:tc>
        <w:tc>
          <w:tcPr>
            <w:tcW w:w="1066" w:type="dxa"/>
            <w:tcBorders>
              <w:top w:val="single" w:sz="12" w:space="0" w:color="auto"/>
              <w:bottom w:val="single" w:sz="4" w:space="0" w:color="auto"/>
            </w:tcBorders>
            <w:noWrap/>
            <w:tcMar>
              <w:top w:w="0" w:type="dxa"/>
              <w:left w:w="108" w:type="dxa"/>
              <w:bottom w:w="0" w:type="dxa"/>
              <w:right w:w="108" w:type="dxa"/>
            </w:tcMar>
            <w:vAlign w:val="center"/>
            <w:hideMark/>
          </w:tcPr>
          <w:p w:rsidR="002E2131" w:rsidRPr="007D6892" w:rsidRDefault="002E2131" w:rsidP="001244BB">
            <w:pPr>
              <w:spacing w:after="0" w:line="240" w:lineRule="auto"/>
              <w:jc w:val="right"/>
              <w:rPr>
                <w:rFonts w:ascii="Arial" w:eastAsia="Calibri" w:hAnsi="Arial" w:cs="Arial"/>
                <w:b/>
                <w:bCs/>
                <w:sz w:val="24"/>
                <w:szCs w:val="24"/>
                <w:vertAlign w:val="superscript"/>
              </w:rPr>
            </w:pPr>
            <w:r w:rsidRPr="007D6892">
              <w:rPr>
                <w:rFonts w:ascii="Arial" w:eastAsia="Calibri" w:hAnsi="Arial" w:cs="Arial"/>
                <w:b/>
                <w:bCs/>
                <w:sz w:val="24"/>
                <w:szCs w:val="24"/>
                <w:vertAlign w:val="superscript"/>
              </w:rPr>
              <w:t>445,058</w:t>
            </w:r>
          </w:p>
        </w:tc>
        <w:tc>
          <w:tcPr>
            <w:tcW w:w="1066" w:type="dxa"/>
            <w:tcBorders>
              <w:top w:val="single" w:sz="12" w:space="0" w:color="auto"/>
              <w:bottom w:val="single" w:sz="4" w:space="0" w:color="auto"/>
            </w:tcBorders>
            <w:noWrap/>
            <w:tcMar>
              <w:top w:w="0" w:type="dxa"/>
              <w:left w:w="108" w:type="dxa"/>
              <w:bottom w:w="0" w:type="dxa"/>
              <w:right w:w="108" w:type="dxa"/>
            </w:tcMar>
            <w:vAlign w:val="center"/>
            <w:hideMark/>
          </w:tcPr>
          <w:p w:rsidR="002E2131" w:rsidRPr="007D6892" w:rsidRDefault="002E2131" w:rsidP="001E462A">
            <w:pPr>
              <w:spacing w:after="0" w:line="240" w:lineRule="auto"/>
              <w:jc w:val="right"/>
              <w:rPr>
                <w:rFonts w:ascii="Arial" w:eastAsia="Calibri" w:hAnsi="Arial" w:cs="Arial"/>
                <w:b/>
                <w:bCs/>
                <w:sz w:val="24"/>
                <w:szCs w:val="24"/>
                <w:vertAlign w:val="superscript"/>
              </w:rPr>
            </w:pPr>
            <w:r w:rsidRPr="007D6892">
              <w:rPr>
                <w:rFonts w:ascii="Arial" w:eastAsia="Calibri" w:hAnsi="Arial" w:cs="Arial"/>
                <w:b/>
                <w:bCs/>
                <w:sz w:val="24"/>
                <w:szCs w:val="24"/>
                <w:vertAlign w:val="superscript"/>
              </w:rPr>
              <w:t>459,</w:t>
            </w:r>
            <w:r w:rsidR="001E462A" w:rsidRPr="007D6892">
              <w:rPr>
                <w:rFonts w:ascii="Arial" w:eastAsia="Calibri" w:hAnsi="Arial" w:cs="Arial"/>
                <w:b/>
                <w:bCs/>
                <w:sz w:val="24"/>
                <w:szCs w:val="24"/>
                <w:vertAlign w:val="superscript"/>
              </w:rPr>
              <w:t>321</w:t>
            </w:r>
          </w:p>
        </w:tc>
        <w:tc>
          <w:tcPr>
            <w:tcW w:w="1066" w:type="dxa"/>
            <w:tcBorders>
              <w:top w:val="single" w:sz="12" w:space="0" w:color="auto"/>
              <w:bottom w:val="single" w:sz="4" w:space="0" w:color="auto"/>
            </w:tcBorders>
            <w:noWrap/>
            <w:tcMar>
              <w:top w:w="0" w:type="dxa"/>
              <w:left w:w="108" w:type="dxa"/>
              <w:bottom w:w="0" w:type="dxa"/>
              <w:right w:w="108" w:type="dxa"/>
            </w:tcMar>
            <w:vAlign w:val="center"/>
            <w:hideMark/>
          </w:tcPr>
          <w:p w:rsidR="002E2131" w:rsidRPr="007D6892" w:rsidRDefault="002E2131" w:rsidP="001244BB">
            <w:pPr>
              <w:spacing w:after="0" w:line="240" w:lineRule="auto"/>
              <w:jc w:val="right"/>
              <w:rPr>
                <w:rFonts w:ascii="Arial" w:eastAsia="Calibri" w:hAnsi="Arial" w:cs="Arial"/>
                <w:b/>
                <w:bCs/>
                <w:sz w:val="24"/>
                <w:szCs w:val="24"/>
                <w:vertAlign w:val="superscript"/>
              </w:rPr>
            </w:pPr>
            <w:r w:rsidRPr="007D6892">
              <w:rPr>
                <w:rFonts w:ascii="Arial" w:eastAsia="Calibri" w:hAnsi="Arial" w:cs="Arial"/>
                <w:b/>
                <w:bCs/>
                <w:sz w:val="24"/>
                <w:szCs w:val="24"/>
                <w:vertAlign w:val="superscript"/>
              </w:rPr>
              <w:t>496,937</w:t>
            </w:r>
          </w:p>
        </w:tc>
        <w:tc>
          <w:tcPr>
            <w:tcW w:w="1066" w:type="dxa"/>
            <w:tcBorders>
              <w:top w:val="single" w:sz="12" w:space="0" w:color="auto"/>
              <w:bottom w:val="single" w:sz="4" w:space="0" w:color="auto"/>
            </w:tcBorders>
            <w:noWrap/>
            <w:tcMar>
              <w:top w:w="0" w:type="dxa"/>
              <w:left w:w="108" w:type="dxa"/>
              <w:bottom w:w="0" w:type="dxa"/>
              <w:right w:w="108" w:type="dxa"/>
            </w:tcMar>
            <w:vAlign w:val="center"/>
            <w:hideMark/>
          </w:tcPr>
          <w:p w:rsidR="002E2131" w:rsidRPr="007D6892" w:rsidRDefault="002E2131" w:rsidP="006D6061">
            <w:pPr>
              <w:spacing w:after="0" w:line="240" w:lineRule="auto"/>
              <w:jc w:val="right"/>
              <w:rPr>
                <w:rFonts w:ascii="Arial" w:eastAsia="Calibri" w:hAnsi="Arial" w:cs="Arial"/>
                <w:b/>
                <w:bCs/>
                <w:sz w:val="24"/>
                <w:szCs w:val="24"/>
                <w:vertAlign w:val="superscript"/>
              </w:rPr>
            </w:pPr>
            <w:r w:rsidRPr="007D6892">
              <w:rPr>
                <w:rFonts w:ascii="Arial" w:eastAsia="Calibri" w:hAnsi="Arial" w:cs="Arial"/>
                <w:b/>
                <w:bCs/>
                <w:sz w:val="24"/>
                <w:szCs w:val="24"/>
                <w:vertAlign w:val="superscript"/>
              </w:rPr>
              <w:t>483,</w:t>
            </w:r>
            <w:r w:rsidR="006D6061" w:rsidRPr="007D6892">
              <w:rPr>
                <w:rFonts w:ascii="Arial" w:eastAsia="Calibri" w:hAnsi="Arial" w:cs="Arial"/>
                <w:b/>
                <w:bCs/>
                <w:sz w:val="24"/>
                <w:szCs w:val="24"/>
                <w:vertAlign w:val="superscript"/>
              </w:rPr>
              <w:t>678</w:t>
            </w:r>
          </w:p>
        </w:tc>
        <w:tc>
          <w:tcPr>
            <w:tcW w:w="1066" w:type="dxa"/>
            <w:tcBorders>
              <w:top w:val="single" w:sz="12" w:space="0" w:color="auto"/>
              <w:bottom w:val="single" w:sz="4" w:space="0" w:color="auto"/>
            </w:tcBorders>
            <w:noWrap/>
            <w:tcMar>
              <w:top w:w="0" w:type="dxa"/>
              <w:left w:w="108" w:type="dxa"/>
              <w:bottom w:w="0" w:type="dxa"/>
              <w:right w:w="108" w:type="dxa"/>
            </w:tcMar>
            <w:vAlign w:val="center"/>
            <w:hideMark/>
          </w:tcPr>
          <w:p w:rsidR="002E2131" w:rsidRPr="007D6892" w:rsidRDefault="00830D83" w:rsidP="001244BB">
            <w:pPr>
              <w:spacing w:after="0" w:line="240" w:lineRule="auto"/>
              <w:jc w:val="right"/>
              <w:rPr>
                <w:rFonts w:ascii="Arial" w:eastAsia="Calibri" w:hAnsi="Arial" w:cs="Arial"/>
                <w:b/>
                <w:bCs/>
                <w:sz w:val="24"/>
                <w:szCs w:val="24"/>
                <w:vertAlign w:val="superscript"/>
              </w:rPr>
            </w:pPr>
            <w:r w:rsidRPr="007D6892">
              <w:rPr>
                <w:rFonts w:ascii="Arial" w:eastAsia="Calibri" w:hAnsi="Arial" w:cs="Arial"/>
                <w:b/>
                <w:bCs/>
                <w:sz w:val="24"/>
                <w:szCs w:val="24"/>
                <w:vertAlign w:val="superscript"/>
              </w:rPr>
              <w:t>(</w:t>
            </w:r>
            <w:r w:rsidR="002E2131" w:rsidRPr="007D6892">
              <w:rPr>
                <w:rFonts w:ascii="Arial" w:eastAsia="Calibri" w:hAnsi="Arial" w:cs="Arial"/>
                <w:b/>
                <w:bCs/>
                <w:sz w:val="24"/>
                <w:szCs w:val="24"/>
                <w:vertAlign w:val="superscript"/>
              </w:rPr>
              <w:t>13,258</w:t>
            </w:r>
            <w:r w:rsidRPr="007D6892">
              <w:rPr>
                <w:rFonts w:ascii="Arial" w:eastAsia="Calibri" w:hAnsi="Arial" w:cs="Arial"/>
                <w:b/>
                <w:bCs/>
                <w:sz w:val="24"/>
                <w:szCs w:val="24"/>
                <w:vertAlign w:val="superscript"/>
              </w:rPr>
              <w:t>)</w:t>
            </w:r>
          </w:p>
        </w:tc>
      </w:tr>
      <w:tr w:rsidR="002E2131" w:rsidRPr="007D6892" w:rsidTr="001244BB">
        <w:trPr>
          <w:trHeight w:val="312"/>
        </w:trPr>
        <w:tc>
          <w:tcPr>
            <w:tcW w:w="3955" w:type="dxa"/>
            <w:tcBorders>
              <w:top w:val="single" w:sz="4" w:space="0" w:color="auto"/>
              <w:bottom w:val="single" w:sz="4" w:space="0" w:color="auto"/>
            </w:tcBorders>
            <w:noWrap/>
            <w:tcMar>
              <w:top w:w="0" w:type="dxa"/>
              <w:left w:w="108" w:type="dxa"/>
              <w:bottom w:w="0" w:type="dxa"/>
              <w:right w:w="108" w:type="dxa"/>
            </w:tcMar>
            <w:vAlign w:val="center"/>
            <w:hideMark/>
          </w:tcPr>
          <w:p w:rsidR="002E2131" w:rsidRPr="007D6892" w:rsidRDefault="002E2131" w:rsidP="00CE02B9">
            <w:pPr>
              <w:spacing w:after="0" w:line="240" w:lineRule="auto"/>
              <w:rPr>
                <w:rFonts w:ascii="Arial" w:eastAsia="Calibri" w:hAnsi="Arial" w:cs="Arial"/>
                <w:sz w:val="24"/>
                <w:szCs w:val="24"/>
                <w:vertAlign w:val="superscript"/>
              </w:rPr>
            </w:pPr>
            <w:r w:rsidRPr="007D6892">
              <w:rPr>
                <w:rFonts w:ascii="Arial" w:eastAsia="Calibri" w:hAnsi="Arial" w:cs="Arial"/>
                <w:sz w:val="24"/>
                <w:szCs w:val="24"/>
                <w:vertAlign w:val="superscript"/>
              </w:rPr>
              <w:t xml:space="preserve">Other </w:t>
            </w:r>
            <w:r w:rsidR="00CE02B9" w:rsidRPr="007D6892">
              <w:rPr>
                <w:rFonts w:ascii="Arial" w:eastAsia="Calibri" w:hAnsi="Arial" w:cs="Arial"/>
                <w:sz w:val="24"/>
                <w:szCs w:val="24"/>
                <w:vertAlign w:val="superscript"/>
              </w:rPr>
              <w:t xml:space="preserve">council </w:t>
            </w:r>
            <w:r w:rsidRPr="007D6892">
              <w:rPr>
                <w:rFonts w:ascii="Arial" w:eastAsia="Calibri" w:hAnsi="Arial" w:cs="Arial"/>
                <w:sz w:val="24"/>
                <w:szCs w:val="24"/>
                <w:vertAlign w:val="superscript"/>
              </w:rPr>
              <w:t>activities</w:t>
            </w:r>
          </w:p>
        </w:tc>
        <w:tc>
          <w:tcPr>
            <w:tcW w:w="1066" w:type="dxa"/>
            <w:tcBorders>
              <w:top w:val="single" w:sz="4" w:space="0" w:color="auto"/>
              <w:bottom w:val="single" w:sz="4" w:space="0" w:color="auto"/>
            </w:tcBorders>
            <w:noWrap/>
            <w:tcMar>
              <w:top w:w="0" w:type="dxa"/>
              <w:left w:w="108" w:type="dxa"/>
              <w:bottom w:w="0" w:type="dxa"/>
              <w:right w:w="108" w:type="dxa"/>
            </w:tcMar>
            <w:vAlign w:val="center"/>
            <w:hideMark/>
          </w:tcPr>
          <w:p w:rsidR="002E2131" w:rsidRPr="007D6892" w:rsidRDefault="002E2131" w:rsidP="001244BB">
            <w:pPr>
              <w:spacing w:after="0" w:line="240" w:lineRule="auto"/>
              <w:jc w:val="right"/>
              <w:rPr>
                <w:rFonts w:ascii="Arial" w:eastAsia="Calibri" w:hAnsi="Arial" w:cs="Arial"/>
                <w:sz w:val="24"/>
                <w:szCs w:val="24"/>
                <w:vertAlign w:val="superscript"/>
              </w:rPr>
            </w:pPr>
            <w:r w:rsidRPr="007D6892">
              <w:rPr>
                <w:rFonts w:ascii="Arial" w:eastAsia="Calibri" w:hAnsi="Arial" w:cs="Arial"/>
                <w:sz w:val="24"/>
                <w:szCs w:val="24"/>
                <w:vertAlign w:val="superscript"/>
              </w:rPr>
              <w:t>49,417</w:t>
            </w:r>
          </w:p>
        </w:tc>
        <w:tc>
          <w:tcPr>
            <w:tcW w:w="1066" w:type="dxa"/>
            <w:tcBorders>
              <w:top w:val="single" w:sz="4" w:space="0" w:color="auto"/>
              <w:bottom w:val="single" w:sz="4" w:space="0" w:color="auto"/>
            </w:tcBorders>
            <w:noWrap/>
            <w:tcMar>
              <w:top w:w="0" w:type="dxa"/>
              <w:left w:w="108" w:type="dxa"/>
              <w:bottom w:w="0" w:type="dxa"/>
              <w:right w:w="108" w:type="dxa"/>
            </w:tcMar>
            <w:vAlign w:val="center"/>
            <w:hideMark/>
          </w:tcPr>
          <w:p w:rsidR="002E2131" w:rsidRPr="007D6892" w:rsidRDefault="006D6061" w:rsidP="001244BB">
            <w:pPr>
              <w:spacing w:after="0" w:line="240" w:lineRule="auto"/>
              <w:jc w:val="right"/>
              <w:rPr>
                <w:rFonts w:ascii="Arial" w:eastAsia="Calibri" w:hAnsi="Arial" w:cs="Arial"/>
                <w:sz w:val="24"/>
                <w:szCs w:val="24"/>
                <w:vertAlign w:val="superscript"/>
              </w:rPr>
            </w:pPr>
            <w:r w:rsidRPr="007D6892">
              <w:rPr>
                <w:rFonts w:ascii="Arial" w:eastAsia="Calibri" w:hAnsi="Arial" w:cs="Arial"/>
                <w:sz w:val="24"/>
                <w:szCs w:val="24"/>
                <w:vertAlign w:val="superscript"/>
              </w:rPr>
              <w:t>43,925</w:t>
            </w:r>
          </w:p>
        </w:tc>
        <w:tc>
          <w:tcPr>
            <w:tcW w:w="1066" w:type="dxa"/>
            <w:tcBorders>
              <w:top w:val="single" w:sz="4" w:space="0" w:color="auto"/>
              <w:bottom w:val="single" w:sz="4" w:space="0" w:color="auto"/>
            </w:tcBorders>
            <w:noWrap/>
            <w:tcMar>
              <w:top w:w="0" w:type="dxa"/>
              <w:left w:w="108" w:type="dxa"/>
              <w:bottom w:w="0" w:type="dxa"/>
              <w:right w:w="108" w:type="dxa"/>
            </w:tcMar>
            <w:vAlign w:val="center"/>
            <w:hideMark/>
          </w:tcPr>
          <w:p w:rsidR="002E2131" w:rsidRPr="007D6892" w:rsidRDefault="002E2131" w:rsidP="001244BB">
            <w:pPr>
              <w:spacing w:after="0" w:line="240" w:lineRule="auto"/>
              <w:jc w:val="right"/>
              <w:rPr>
                <w:rFonts w:ascii="Arial" w:eastAsia="Calibri" w:hAnsi="Arial" w:cs="Arial"/>
                <w:bCs/>
                <w:sz w:val="24"/>
                <w:szCs w:val="24"/>
                <w:vertAlign w:val="superscript"/>
              </w:rPr>
            </w:pPr>
            <w:r w:rsidRPr="007D6892">
              <w:rPr>
                <w:rFonts w:ascii="Arial" w:eastAsia="Calibri" w:hAnsi="Arial" w:cs="Arial"/>
                <w:bCs/>
                <w:sz w:val="24"/>
                <w:szCs w:val="24"/>
                <w:vertAlign w:val="superscript"/>
              </w:rPr>
              <w:t>86,831</w:t>
            </w:r>
          </w:p>
        </w:tc>
        <w:tc>
          <w:tcPr>
            <w:tcW w:w="1066" w:type="dxa"/>
            <w:tcBorders>
              <w:top w:val="single" w:sz="4" w:space="0" w:color="auto"/>
              <w:bottom w:val="single" w:sz="4" w:space="0" w:color="auto"/>
            </w:tcBorders>
            <w:noWrap/>
            <w:tcMar>
              <w:top w:w="0" w:type="dxa"/>
              <w:left w:w="108" w:type="dxa"/>
              <w:bottom w:w="0" w:type="dxa"/>
              <w:right w:w="108" w:type="dxa"/>
            </w:tcMar>
            <w:vAlign w:val="center"/>
            <w:hideMark/>
          </w:tcPr>
          <w:p w:rsidR="002E2131" w:rsidRPr="007D6892" w:rsidRDefault="002E2131" w:rsidP="001244BB">
            <w:pPr>
              <w:spacing w:after="0" w:line="240" w:lineRule="auto"/>
              <w:jc w:val="right"/>
              <w:rPr>
                <w:rFonts w:ascii="Arial" w:eastAsia="Calibri" w:hAnsi="Arial" w:cs="Arial"/>
                <w:bCs/>
                <w:sz w:val="24"/>
                <w:szCs w:val="24"/>
                <w:vertAlign w:val="superscript"/>
              </w:rPr>
            </w:pPr>
            <w:r w:rsidRPr="007D6892">
              <w:rPr>
                <w:rFonts w:ascii="Arial" w:eastAsia="Calibri" w:hAnsi="Arial" w:cs="Arial"/>
                <w:bCs/>
                <w:sz w:val="24"/>
                <w:szCs w:val="24"/>
                <w:vertAlign w:val="superscript"/>
              </w:rPr>
              <w:t>24,513</w:t>
            </w:r>
          </w:p>
        </w:tc>
        <w:tc>
          <w:tcPr>
            <w:tcW w:w="1066" w:type="dxa"/>
            <w:tcBorders>
              <w:top w:val="single" w:sz="4" w:space="0" w:color="auto"/>
              <w:bottom w:val="single" w:sz="4" w:space="0" w:color="auto"/>
            </w:tcBorders>
            <w:noWrap/>
            <w:tcMar>
              <w:top w:w="0" w:type="dxa"/>
              <w:left w:w="108" w:type="dxa"/>
              <w:bottom w:w="0" w:type="dxa"/>
              <w:right w:w="108" w:type="dxa"/>
            </w:tcMar>
            <w:vAlign w:val="center"/>
            <w:hideMark/>
          </w:tcPr>
          <w:p w:rsidR="002E2131" w:rsidRPr="007D6892" w:rsidRDefault="00830D83" w:rsidP="001244BB">
            <w:pPr>
              <w:spacing w:after="0" w:line="240" w:lineRule="auto"/>
              <w:jc w:val="right"/>
              <w:rPr>
                <w:rFonts w:ascii="Arial" w:eastAsia="Calibri" w:hAnsi="Arial" w:cs="Arial"/>
                <w:bCs/>
                <w:sz w:val="24"/>
                <w:szCs w:val="24"/>
                <w:vertAlign w:val="superscript"/>
              </w:rPr>
            </w:pPr>
            <w:r w:rsidRPr="007D6892">
              <w:rPr>
                <w:rFonts w:ascii="Arial" w:eastAsia="Calibri" w:hAnsi="Arial" w:cs="Arial"/>
                <w:bCs/>
                <w:sz w:val="24"/>
                <w:szCs w:val="24"/>
                <w:vertAlign w:val="superscript"/>
              </w:rPr>
              <w:t>(</w:t>
            </w:r>
            <w:r w:rsidR="002E2131" w:rsidRPr="007D6892">
              <w:rPr>
                <w:rFonts w:ascii="Arial" w:eastAsia="Calibri" w:hAnsi="Arial" w:cs="Arial"/>
                <w:bCs/>
                <w:sz w:val="24"/>
                <w:szCs w:val="24"/>
                <w:vertAlign w:val="superscript"/>
              </w:rPr>
              <w:t>62,318</w:t>
            </w:r>
            <w:r w:rsidRPr="007D6892">
              <w:rPr>
                <w:rFonts w:ascii="Arial" w:eastAsia="Calibri" w:hAnsi="Arial" w:cs="Arial"/>
                <w:bCs/>
                <w:sz w:val="24"/>
                <w:szCs w:val="24"/>
                <w:vertAlign w:val="superscript"/>
              </w:rPr>
              <w:t>)</w:t>
            </w:r>
          </w:p>
        </w:tc>
      </w:tr>
      <w:tr w:rsidR="002E2131" w:rsidRPr="007D6892" w:rsidTr="009B3319">
        <w:trPr>
          <w:trHeight w:val="312"/>
        </w:trPr>
        <w:tc>
          <w:tcPr>
            <w:tcW w:w="3955" w:type="dxa"/>
            <w:tcBorders>
              <w:top w:val="single" w:sz="4" w:space="0" w:color="auto"/>
              <w:bottom w:val="single" w:sz="4" w:space="0" w:color="auto"/>
            </w:tcBorders>
            <w:shd w:val="clear" w:color="auto" w:fill="FDE9D9" w:themeFill="accent6" w:themeFillTint="33"/>
            <w:noWrap/>
            <w:tcMar>
              <w:top w:w="0" w:type="dxa"/>
              <w:left w:w="108" w:type="dxa"/>
              <w:bottom w:w="0" w:type="dxa"/>
              <w:right w:w="108" w:type="dxa"/>
            </w:tcMar>
            <w:vAlign w:val="center"/>
            <w:hideMark/>
          </w:tcPr>
          <w:p w:rsidR="002E2131" w:rsidRPr="007D6892" w:rsidRDefault="002E2131" w:rsidP="00CE02B9">
            <w:pPr>
              <w:spacing w:after="0" w:line="240" w:lineRule="auto"/>
              <w:rPr>
                <w:rFonts w:ascii="Arial" w:eastAsia="Calibri" w:hAnsi="Arial" w:cs="Arial"/>
                <w:b/>
                <w:bCs/>
                <w:sz w:val="24"/>
                <w:szCs w:val="24"/>
                <w:vertAlign w:val="superscript"/>
              </w:rPr>
            </w:pPr>
            <w:r w:rsidRPr="007D6892">
              <w:rPr>
                <w:rFonts w:ascii="Arial" w:eastAsia="Calibri" w:hAnsi="Arial" w:cs="Arial"/>
                <w:b/>
                <w:bCs/>
                <w:sz w:val="24"/>
                <w:szCs w:val="24"/>
                <w:vertAlign w:val="superscript"/>
              </w:rPr>
              <w:t xml:space="preserve">Grand </w:t>
            </w:r>
            <w:r w:rsidR="00CE02B9" w:rsidRPr="007D6892">
              <w:rPr>
                <w:rFonts w:ascii="Arial" w:eastAsia="Calibri" w:hAnsi="Arial" w:cs="Arial"/>
                <w:b/>
                <w:bCs/>
                <w:sz w:val="24"/>
                <w:szCs w:val="24"/>
                <w:vertAlign w:val="superscript"/>
              </w:rPr>
              <w:t xml:space="preserve">total full </w:t>
            </w:r>
            <w:r w:rsidRPr="007D6892">
              <w:rPr>
                <w:rFonts w:ascii="Arial" w:eastAsia="Calibri" w:hAnsi="Arial" w:cs="Arial"/>
                <w:b/>
                <w:bCs/>
                <w:sz w:val="24"/>
                <w:szCs w:val="24"/>
                <w:vertAlign w:val="superscript"/>
              </w:rPr>
              <w:t>Council</w:t>
            </w:r>
          </w:p>
        </w:tc>
        <w:tc>
          <w:tcPr>
            <w:tcW w:w="1066" w:type="dxa"/>
            <w:tcBorders>
              <w:top w:val="single" w:sz="4" w:space="0" w:color="auto"/>
              <w:bottom w:val="single" w:sz="4" w:space="0" w:color="auto"/>
            </w:tcBorders>
            <w:shd w:val="clear" w:color="auto" w:fill="FDE9D9" w:themeFill="accent6" w:themeFillTint="33"/>
            <w:noWrap/>
            <w:tcMar>
              <w:top w:w="0" w:type="dxa"/>
              <w:left w:w="108" w:type="dxa"/>
              <w:bottom w:w="0" w:type="dxa"/>
              <w:right w:w="108" w:type="dxa"/>
            </w:tcMar>
            <w:vAlign w:val="center"/>
            <w:hideMark/>
          </w:tcPr>
          <w:p w:rsidR="002E2131" w:rsidRPr="007D6892" w:rsidRDefault="002E2131" w:rsidP="001244BB">
            <w:pPr>
              <w:spacing w:after="0" w:line="240" w:lineRule="auto"/>
              <w:jc w:val="right"/>
              <w:rPr>
                <w:rFonts w:ascii="Arial" w:eastAsia="Calibri" w:hAnsi="Arial" w:cs="Arial"/>
                <w:b/>
                <w:bCs/>
                <w:sz w:val="24"/>
                <w:szCs w:val="24"/>
                <w:vertAlign w:val="superscript"/>
              </w:rPr>
            </w:pPr>
            <w:r w:rsidRPr="007D6892">
              <w:rPr>
                <w:rFonts w:ascii="Arial" w:eastAsia="Calibri" w:hAnsi="Arial" w:cs="Arial"/>
                <w:b/>
                <w:bCs/>
                <w:sz w:val="24"/>
                <w:szCs w:val="24"/>
                <w:vertAlign w:val="superscript"/>
              </w:rPr>
              <w:t>494,475</w:t>
            </w:r>
          </w:p>
        </w:tc>
        <w:tc>
          <w:tcPr>
            <w:tcW w:w="1066" w:type="dxa"/>
            <w:tcBorders>
              <w:top w:val="single" w:sz="4" w:space="0" w:color="auto"/>
              <w:bottom w:val="single" w:sz="4" w:space="0" w:color="auto"/>
            </w:tcBorders>
            <w:shd w:val="clear" w:color="auto" w:fill="FDE9D9" w:themeFill="accent6" w:themeFillTint="33"/>
            <w:noWrap/>
            <w:tcMar>
              <w:top w:w="0" w:type="dxa"/>
              <w:left w:w="108" w:type="dxa"/>
              <w:bottom w:w="0" w:type="dxa"/>
              <w:right w:w="108" w:type="dxa"/>
            </w:tcMar>
            <w:vAlign w:val="center"/>
            <w:hideMark/>
          </w:tcPr>
          <w:p w:rsidR="002E2131" w:rsidRPr="007D6892" w:rsidRDefault="006D6061" w:rsidP="001244BB">
            <w:pPr>
              <w:spacing w:after="0" w:line="240" w:lineRule="auto"/>
              <w:jc w:val="right"/>
              <w:rPr>
                <w:rFonts w:ascii="Arial" w:eastAsia="Calibri" w:hAnsi="Arial" w:cs="Arial"/>
                <w:b/>
                <w:bCs/>
                <w:sz w:val="24"/>
                <w:szCs w:val="24"/>
                <w:vertAlign w:val="superscript"/>
              </w:rPr>
            </w:pPr>
            <w:r w:rsidRPr="007D6892">
              <w:rPr>
                <w:rFonts w:ascii="Arial" w:eastAsia="Calibri" w:hAnsi="Arial" w:cs="Arial"/>
                <w:b/>
                <w:bCs/>
                <w:sz w:val="24"/>
                <w:szCs w:val="24"/>
                <w:vertAlign w:val="superscript"/>
              </w:rPr>
              <w:t>503,246</w:t>
            </w:r>
          </w:p>
        </w:tc>
        <w:tc>
          <w:tcPr>
            <w:tcW w:w="1066" w:type="dxa"/>
            <w:tcBorders>
              <w:top w:val="single" w:sz="4" w:space="0" w:color="auto"/>
              <w:bottom w:val="single" w:sz="4" w:space="0" w:color="auto"/>
            </w:tcBorders>
            <w:shd w:val="clear" w:color="auto" w:fill="FDE9D9" w:themeFill="accent6" w:themeFillTint="33"/>
            <w:noWrap/>
            <w:tcMar>
              <w:top w:w="0" w:type="dxa"/>
              <w:left w:w="108" w:type="dxa"/>
              <w:bottom w:w="0" w:type="dxa"/>
              <w:right w:w="108" w:type="dxa"/>
            </w:tcMar>
            <w:vAlign w:val="center"/>
            <w:hideMark/>
          </w:tcPr>
          <w:p w:rsidR="002E2131" w:rsidRPr="007D6892" w:rsidRDefault="002E2131" w:rsidP="001244BB">
            <w:pPr>
              <w:spacing w:after="0" w:line="240" w:lineRule="auto"/>
              <w:jc w:val="right"/>
              <w:rPr>
                <w:rFonts w:ascii="Arial" w:eastAsia="Calibri" w:hAnsi="Arial" w:cs="Arial"/>
                <w:b/>
                <w:bCs/>
                <w:sz w:val="24"/>
                <w:szCs w:val="24"/>
                <w:vertAlign w:val="superscript"/>
              </w:rPr>
            </w:pPr>
            <w:r w:rsidRPr="007D6892">
              <w:rPr>
                <w:rFonts w:ascii="Arial" w:eastAsia="Calibri" w:hAnsi="Arial" w:cs="Arial"/>
                <w:b/>
                <w:bCs/>
                <w:sz w:val="24"/>
                <w:szCs w:val="24"/>
                <w:vertAlign w:val="superscript"/>
              </w:rPr>
              <w:t>583,768</w:t>
            </w:r>
          </w:p>
        </w:tc>
        <w:tc>
          <w:tcPr>
            <w:tcW w:w="1066" w:type="dxa"/>
            <w:tcBorders>
              <w:top w:val="single" w:sz="4" w:space="0" w:color="auto"/>
              <w:bottom w:val="single" w:sz="4" w:space="0" w:color="auto"/>
            </w:tcBorders>
            <w:shd w:val="clear" w:color="auto" w:fill="FDE9D9" w:themeFill="accent6" w:themeFillTint="33"/>
            <w:noWrap/>
            <w:tcMar>
              <w:top w:w="0" w:type="dxa"/>
              <w:left w:w="108" w:type="dxa"/>
              <w:bottom w:w="0" w:type="dxa"/>
              <w:right w:w="108" w:type="dxa"/>
            </w:tcMar>
            <w:vAlign w:val="center"/>
            <w:hideMark/>
          </w:tcPr>
          <w:p w:rsidR="002E2131" w:rsidRPr="007D6892" w:rsidRDefault="002E2131" w:rsidP="001244BB">
            <w:pPr>
              <w:spacing w:after="0" w:line="240" w:lineRule="auto"/>
              <w:jc w:val="right"/>
              <w:rPr>
                <w:rFonts w:ascii="Arial" w:eastAsia="Calibri" w:hAnsi="Arial" w:cs="Arial"/>
                <w:b/>
                <w:bCs/>
                <w:sz w:val="24"/>
                <w:szCs w:val="24"/>
                <w:vertAlign w:val="superscript"/>
              </w:rPr>
            </w:pPr>
            <w:r w:rsidRPr="007D6892">
              <w:rPr>
                <w:rFonts w:ascii="Arial" w:eastAsia="Calibri" w:hAnsi="Arial" w:cs="Arial"/>
                <w:b/>
                <w:bCs/>
                <w:sz w:val="24"/>
                <w:szCs w:val="24"/>
                <w:vertAlign w:val="superscript"/>
              </w:rPr>
              <w:t>508,192</w:t>
            </w:r>
          </w:p>
        </w:tc>
        <w:tc>
          <w:tcPr>
            <w:tcW w:w="1066" w:type="dxa"/>
            <w:tcBorders>
              <w:top w:val="single" w:sz="4" w:space="0" w:color="auto"/>
              <w:bottom w:val="single" w:sz="4" w:space="0" w:color="auto"/>
            </w:tcBorders>
            <w:shd w:val="clear" w:color="auto" w:fill="FDE9D9" w:themeFill="accent6" w:themeFillTint="33"/>
            <w:noWrap/>
            <w:tcMar>
              <w:top w:w="0" w:type="dxa"/>
              <w:left w:w="108" w:type="dxa"/>
              <w:bottom w:w="0" w:type="dxa"/>
              <w:right w:w="108" w:type="dxa"/>
            </w:tcMar>
            <w:vAlign w:val="center"/>
            <w:hideMark/>
          </w:tcPr>
          <w:p w:rsidR="002E2131" w:rsidRPr="007D6892" w:rsidRDefault="00830D83" w:rsidP="001244BB">
            <w:pPr>
              <w:spacing w:after="0" w:line="240" w:lineRule="auto"/>
              <w:jc w:val="right"/>
              <w:rPr>
                <w:rFonts w:ascii="Arial" w:eastAsia="Calibri" w:hAnsi="Arial" w:cs="Arial"/>
                <w:b/>
                <w:bCs/>
                <w:sz w:val="24"/>
                <w:szCs w:val="24"/>
                <w:vertAlign w:val="superscript"/>
              </w:rPr>
            </w:pPr>
            <w:r w:rsidRPr="007D6892">
              <w:rPr>
                <w:rFonts w:ascii="Arial" w:eastAsia="Calibri" w:hAnsi="Arial" w:cs="Arial"/>
                <w:b/>
                <w:bCs/>
                <w:sz w:val="24"/>
                <w:szCs w:val="24"/>
                <w:vertAlign w:val="superscript"/>
              </w:rPr>
              <w:t>(</w:t>
            </w:r>
            <w:r w:rsidR="002E2131" w:rsidRPr="007D6892">
              <w:rPr>
                <w:rFonts w:ascii="Arial" w:eastAsia="Calibri" w:hAnsi="Arial" w:cs="Arial"/>
                <w:b/>
                <w:bCs/>
                <w:sz w:val="24"/>
                <w:szCs w:val="24"/>
                <w:vertAlign w:val="superscript"/>
              </w:rPr>
              <w:t>75,576</w:t>
            </w:r>
            <w:r w:rsidRPr="007D6892">
              <w:rPr>
                <w:rFonts w:ascii="Arial" w:eastAsia="Calibri" w:hAnsi="Arial" w:cs="Arial"/>
                <w:b/>
                <w:bCs/>
                <w:sz w:val="24"/>
                <w:szCs w:val="24"/>
                <w:vertAlign w:val="superscript"/>
              </w:rPr>
              <w:t>)</w:t>
            </w:r>
          </w:p>
        </w:tc>
      </w:tr>
      <w:tr w:rsidR="00830D83" w:rsidRPr="00D5126A" w:rsidTr="009B3319">
        <w:trPr>
          <w:trHeight w:val="312"/>
        </w:trPr>
        <w:tc>
          <w:tcPr>
            <w:tcW w:w="9285" w:type="dxa"/>
            <w:gridSpan w:val="6"/>
            <w:tcBorders>
              <w:top w:val="single" w:sz="4" w:space="0" w:color="auto"/>
            </w:tcBorders>
            <w:shd w:val="clear" w:color="auto" w:fill="FDE9D9" w:themeFill="accent6" w:themeFillTint="33"/>
            <w:noWrap/>
            <w:tcMar>
              <w:top w:w="0" w:type="dxa"/>
              <w:left w:w="108" w:type="dxa"/>
              <w:bottom w:w="0" w:type="dxa"/>
              <w:right w:w="108" w:type="dxa"/>
            </w:tcMar>
            <w:vAlign w:val="center"/>
          </w:tcPr>
          <w:p w:rsidR="00830D83" w:rsidRPr="009B3319" w:rsidRDefault="00830D83" w:rsidP="009B3319">
            <w:pPr>
              <w:spacing w:after="0" w:line="240" w:lineRule="auto"/>
              <w:rPr>
                <w:rFonts w:ascii="Arial" w:eastAsia="Calibri" w:hAnsi="Arial" w:cs="Arial"/>
                <w:bCs/>
                <w:sz w:val="24"/>
                <w:szCs w:val="24"/>
                <w:vertAlign w:val="superscript"/>
              </w:rPr>
            </w:pPr>
            <w:r w:rsidRPr="007D6892">
              <w:rPr>
                <w:rFonts w:ascii="Arial" w:eastAsia="Calibri" w:hAnsi="Arial" w:cs="Arial"/>
                <w:bCs/>
                <w:sz w:val="24"/>
                <w:szCs w:val="24"/>
                <w:vertAlign w:val="superscript"/>
              </w:rPr>
              <w:t>Figures in brackets (</w:t>
            </w:r>
            <w:r w:rsidR="007D6892">
              <w:rPr>
                <w:rFonts w:ascii="Arial" w:eastAsia="Calibri" w:hAnsi="Arial" w:cs="Arial"/>
                <w:bCs/>
                <w:sz w:val="24"/>
                <w:szCs w:val="24"/>
                <w:vertAlign w:val="superscript"/>
              </w:rPr>
              <w:t xml:space="preserve"> </w:t>
            </w:r>
            <w:r w:rsidRPr="007D6892">
              <w:rPr>
                <w:rFonts w:ascii="Arial" w:eastAsia="Calibri" w:hAnsi="Arial" w:cs="Arial"/>
                <w:bCs/>
                <w:sz w:val="24"/>
                <w:szCs w:val="24"/>
                <w:vertAlign w:val="superscript"/>
              </w:rPr>
              <w:t>) equals negative variance to budget or overspend</w:t>
            </w:r>
          </w:p>
        </w:tc>
      </w:tr>
    </w:tbl>
    <w:p w:rsidR="00476AE8" w:rsidRPr="00D5126A" w:rsidRDefault="00476AE8" w:rsidP="004533EA">
      <w:pPr>
        <w:pStyle w:val="Heading5"/>
      </w:pPr>
      <w:r w:rsidRPr="00D5126A">
        <w:lastRenderedPageBreak/>
        <w:t>Summary of capital expenditure</w:t>
      </w:r>
      <w:bookmarkEnd w:id="117"/>
      <w:bookmarkEnd w:id="118"/>
    </w:p>
    <w:p w:rsidR="006805D7" w:rsidRPr="00D5126A" w:rsidRDefault="006805D7" w:rsidP="006805D7">
      <w:pPr>
        <w:rPr>
          <w:rFonts w:eastAsia="Times New Roman"/>
          <w:lang w:eastAsia="en-NZ"/>
        </w:rPr>
      </w:pPr>
      <w:r w:rsidRPr="00D5126A">
        <w:rPr>
          <w:rFonts w:eastAsia="Times New Roman"/>
          <w:lang w:eastAsia="en-NZ"/>
        </w:rPr>
        <w:t>We have a comprehensive renewal and upgrade programme for our assets and have completed $171.7 million of capital expenditure during the 2018/19 year. This equates to 71</w:t>
      </w:r>
      <w:r w:rsidR="00720986">
        <w:rPr>
          <w:rFonts w:eastAsia="Times New Roman"/>
          <w:lang w:eastAsia="en-NZ"/>
        </w:rPr>
        <w:t xml:space="preserve"> percent </w:t>
      </w:r>
      <w:r w:rsidRPr="00D5126A">
        <w:rPr>
          <w:rFonts w:eastAsia="Times New Roman"/>
          <w:lang w:eastAsia="en-NZ"/>
        </w:rPr>
        <w:t>of the annual budget or 68</w:t>
      </w:r>
      <w:r w:rsidR="00831F77">
        <w:rPr>
          <w:rFonts w:eastAsia="Times New Roman"/>
          <w:lang w:eastAsia="en-NZ"/>
        </w:rPr>
        <w:t xml:space="preserve"> pe</w:t>
      </w:r>
      <w:r w:rsidR="00B26D3B">
        <w:rPr>
          <w:rFonts w:eastAsia="Times New Roman"/>
          <w:lang w:eastAsia="en-NZ"/>
        </w:rPr>
        <w:t>r</w:t>
      </w:r>
      <w:r w:rsidR="00831F77">
        <w:rPr>
          <w:rFonts w:eastAsia="Times New Roman"/>
          <w:lang w:eastAsia="en-NZ"/>
        </w:rPr>
        <w:t>cent</w:t>
      </w:r>
      <w:r w:rsidR="00831F77" w:rsidRPr="00D5126A">
        <w:rPr>
          <w:rFonts w:eastAsia="Times New Roman"/>
          <w:lang w:eastAsia="en-NZ"/>
        </w:rPr>
        <w:t xml:space="preserve"> </w:t>
      </w:r>
      <w:r w:rsidRPr="00D5126A">
        <w:rPr>
          <w:rFonts w:eastAsia="Times New Roman"/>
          <w:lang w:eastAsia="en-NZ"/>
        </w:rPr>
        <w:t>once budgets brought forward from prior years and other adjustments are included. Delays in a number of projects occurred during the year due to changes in design, negotiations or consultation</w:t>
      </w:r>
      <w:r w:rsidR="00831F77">
        <w:rPr>
          <w:rFonts w:eastAsia="Times New Roman"/>
          <w:lang w:eastAsia="en-NZ"/>
        </w:rPr>
        <w:t>,</w:t>
      </w:r>
      <w:r w:rsidRPr="00D5126A">
        <w:rPr>
          <w:rFonts w:eastAsia="Times New Roman"/>
          <w:lang w:eastAsia="en-NZ"/>
        </w:rPr>
        <w:t xml:space="preserve"> and consents requirements. Budgets to complete these projects have been included in our Annual Plan for 2019/20.</w:t>
      </w:r>
    </w:p>
    <w:p w:rsidR="00D768BD" w:rsidRDefault="00D768BD" w:rsidP="00D768BD">
      <w:pPr>
        <w:pStyle w:val="Caption"/>
      </w:pPr>
      <w:r>
        <w:t xml:space="preserve">Figure </w:t>
      </w:r>
      <w:fldSimple w:instr=" SEQ Figure \* ARABIC ">
        <w:r w:rsidR="00793649">
          <w:rPr>
            <w:noProof/>
          </w:rPr>
          <w:t>5</w:t>
        </w:r>
      </w:fldSimple>
      <w:r>
        <w:t xml:space="preserve">: </w:t>
      </w:r>
      <w:r w:rsidRPr="00A351DE">
        <w:t>Budget vs actual capital expenditure for each activity area</w:t>
      </w:r>
      <w:r w:rsidR="00E46729">
        <w:t xml:space="preserve"> </w:t>
      </w:r>
      <w:r w:rsidR="00E46729" w:rsidRPr="007D6892">
        <w:t>($m)</w:t>
      </w:r>
    </w:p>
    <w:p w:rsidR="006805D7" w:rsidRPr="00D5126A" w:rsidRDefault="00541DFC" w:rsidP="00541DFC">
      <w:pPr>
        <w:pStyle w:val="Para003"/>
        <w:spacing w:before="240" w:line="240" w:lineRule="auto"/>
        <w:rPr>
          <w:lang w:eastAsia="en-NZ"/>
        </w:rPr>
      </w:pPr>
      <w:r w:rsidRPr="00D5126A">
        <w:rPr>
          <w:noProof/>
          <w:lang w:eastAsia="en-NZ"/>
        </w:rPr>
        <w:drawing>
          <wp:inline distT="0" distB="0" distL="0" distR="0" wp14:anchorId="2BF9D4C0" wp14:editId="2A6397C1">
            <wp:extent cx="5295900" cy="1842862"/>
            <wp:effectExtent l="0" t="0" r="19050" b="24130"/>
            <wp:docPr id="1286" name="Chart 1286"/>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D768BD" w:rsidRDefault="00D768BD" w:rsidP="00D768BD">
      <w:pPr>
        <w:pStyle w:val="Caption"/>
      </w:pPr>
      <w:r>
        <w:t xml:space="preserve">Table </w:t>
      </w:r>
      <w:fldSimple w:instr=" SEQ Table \* ARABIC ">
        <w:r w:rsidR="00B22256">
          <w:rPr>
            <w:noProof/>
          </w:rPr>
          <w:t>5</w:t>
        </w:r>
      </w:fldSimple>
      <w:r>
        <w:t xml:space="preserve">: </w:t>
      </w:r>
      <w:r w:rsidRPr="00DB1DF1">
        <w:t>Capital expenditure by activity area ($000)</w:t>
      </w:r>
    </w:p>
    <w:tbl>
      <w:tblPr>
        <w:tblW w:w="9356" w:type="dxa"/>
        <w:tblInd w:w="-34" w:type="dxa"/>
        <w:tblLayout w:type="fixed"/>
        <w:tblLook w:val="04A0" w:firstRow="1" w:lastRow="0" w:firstColumn="1" w:lastColumn="0" w:noHBand="0" w:noVBand="1"/>
      </w:tblPr>
      <w:tblGrid>
        <w:gridCol w:w="2552"/>
        <w:gridCol w:w="972"/>
        <w:gridCol w:w="972"/>
        <w:gridCol w:w="972"/>
        <w:gridCol w:w="972"/>
        <w:gridCol w:w="972"/>
        <w:gridCol w:w="972"/>
        <w:gridCol w:w="972"/>
      </w:tblGrid>
      <w:tr w:rsidR="00C21F85" w:rsidRPr="00D5126A" w:rsidTr="00C21F85">
        <w:trPr>
          <w:trHeight w:val="1125"/>
        </w:trPr>
        <w:tc>
          <w:tcPr>
            <w:tcW w:w="2552" w:type="dxa"/>
            <w:tcBorders>
              <w:top w:val="nil"/>
              <w:left w:val="nil"/>
              <w:bottom w:val="single" w:sz="4" w:space="0" w:color="auto"/>
              <w:right w:val="nil"/>
            </w:tcBorders>
            <w:shd w:val="clear" w:color="000000" w:fill="FFCC00"/>
            <w:vAlign w:val="center"/>
            <w:hideMark/>
          </w:tcPr>
          <w:p w:rsidR="00C21F85" w:rsidRPr="00D5126A" w:rsidRDefault="00C21F85" w:rsidP="00534FC7">
            <w:pPr>
              <w:spacing w:after="0" w:line="240" w:lineRule="auto"/>
              <w:jc w:val="right"/>
              <w:rPr>
                <w:rFonts w:ascii="Arial" w:eastAsia="Times New Roman" w:hAnsi="Arial" w:cs="Arial"/>
                <w:b/>
                <w:bCs/>
                <w:color w:val="333333"/>
                <w:sz w:val="24"/>
                <w:szCs w:val="24"/>
                <w:lang w:eastAsia="en-NZ"/>
              </w:rPr>
            </w:pPr>
            <w:r w:rsidRPr="00D5126A">
              <w:rPr>
                <w:rFonts w:ascii="Arial" w:eastAsia="Times New Roman" w:hAnsi="Arial" w:cs="Arial"/>
                <w:b/>
                <w:bCs/>
                <w:color w:val="333333"/>
                <w:sz w:val="24"/>
                <w:szCs w:val="24"/>
                <w:vertAlign w:val="superscript"/>
                <w:lang w:eastAsia="en-NZ"/>
              </w:rPr>
              <w:t> </w:t>
            </w:r>
          </w:p>
        </w:tc>
        <w:tc>
          <w:tcPr>
            <w:tcW w:w="972" w:type="dxa"/>
            <w:tcBorders>
              <w:top w:val="nil"/>
              <w:left w:val="nil"/>
              <w:bottom w:val="single" w:sz="4" w:space="0" w:color="auto"/>
              <w:right w:val="nil"/>
            </w:tcBorders>
            <w:shd w:val="clear" w:color="000000" w:fill="FFCC00"/>
            <w:vAlign w:val="center"/>
            <w:hideMark/>
          </w:tcPr>
          <w:p w:rsidR="00C21F85" w:rsidRPr="00D5126A" w:rsidRDefault="00C21F85" w:rsidP="00534FC7">
            <w:pPr>
              <w:spacing w:after="0" w:line="240" w:lineRule="auto"/>
              <w:jc w:val="right"/>
              <w:rPr>
                <w:rFonts w:ascii="Arial" w:eastAsia="Times New Roman" w:hAnsi="Arial" w:cs="Arial"/>
                <w:b/>
                <w:bCs/>
                <w:color w:val="333333"/>
                <w:sz w:val="24"/>
                <w:szCs w:val="24"/>
                <w:lang w:eastAsia="en-NZ"/>
              </w:rPr>
            </w:pPr>
            <w:r w:rsidRPr="00D5126A">
              <w:rPr>
                <w:rFonts w:ascii="Arial" w:eastAsia="Times New Roman" w:hAnsi="Arial" w:cs="Arial"/>
                <w:b/>
                <w:bCs/>
                <w:color w:val="333333"/>
                <w:sz w:val="24"/>
                <w:szCs w:val="24"/>
                <w:vertAlign w:val="superscript"/>
                <w:lang w:eastAsia="en-NZ"/>
              </w:rPr>
              <w:t>2016/17</w:t>
            </w:r>
            <w:r w:rsidRPr="00D5126A">
              <w:rPr>
                <w:rFonts w:ascii="Arial" w:eastAsia="Times New Roman" w:hAnsi="Arial" w:cs="Arial"/>
                <w:b/>
                <w:bCs/>
                <w:color w:val="333333"/>
                <w:sz w:val="24"/>
                <w:szCs w:val="24"/>
                <w:vertAlign w:val="superscript"/>
                <w:lang w:eastAsia="en-NZ"/>
              </w:rPr>
              <w:br/>
              <w:t>Actual</w:t>
            </w:r>
          </w:p>
        </w:tc>
        <w:tc>
          <w:tcPr>
            <w:tcW w:w="972" w:type="dxa"/>
            <w:tcBorders>
              <w:top w:val="nil"/>
              <w:left w:val="nil"/>
              <w:bottom w:val="single" w:sz="4" w:space="0" w:color="auto"/>
              <w:right w:val="nil"/>
            </w:tcBorders>
            <w:shd w:val="clear" w:color="000000" w:fill="FFCC00"/>
            <w:vAlign w:val="center"/>
            <w:hideMark/>
          </w:tcPr>
          <w:p w:rsidR="00C21F85" w:rsidRPr="00D5126A" w:rsidRDefault="00C21F85" w:rsidP="00534FC7">
            <w:pPr>
              <w:spacing w:after="0" w:line="240" w:lineRule="auto"/>
              <w:jc w:val="right"/>
              <w:rPr>
                <w:rFonts w:ascii="Arial" w:eastAsia="Times New Roman" w:hAnsi="Arial" w:cs="Arial"/>
                <w:b/>
                <w:bCs/>
                <w:color w:val="333333"/>
                <w:sz w:val="24"/>
                <w:szCs w:val="24"/>
                <w:lang w:eastAsia="en-NZ"/>
              </w:rPr>
            </w:pPr>
            <w:r w:rsidRPr="00D5126A">
              <w:rPr>
                <w:rFonts w:ascii="Arial" w:eastAsia="Times New Roman" w:hAnsi="Arial" w:cs="Arial"/>
                <w:b/>
                <w:bCs/>
                <w:color w:val="333333"/>
                <w:sz w:val="24"/>
                <w:szCs w:val="24"/>
                <w:vertAlign w:val="superscript"/>
                <w:lang w:eastAsia="en-NZ"/>
              </w:rPr>
              <w:t>2017/18 Actual</w:t>
            </w:r>
          </w:p>
        </w:tc>
        <w:tc>
          <w:tcPr>
            <w:tcW w:w="972" w:type="dxa"/>
            <w:tcBorders>
              <w:top w:val="nil"/>
              <w:left w:val="nil"/>
              <w:bottom w:val="single" w:sz="4" w:space="0" w:color="auto"/>
              <w:right w:val="nil"/>
            </w:tcBorders>
            <w:shd w:val="clear" w:color="000000" w:fill="FFCC00"/>
            <w:vAlign w:val="center"/>
          </w:tcPr>
          <w:p w:rsidR="00C21F85" w:rsidRPr="00D5126A" w:rsidRDefault="00C21F85" w:rsidP="003722A5">
            <w:pPr>
              <w:spacing w:after="0" w:line="240" w:lineRule="auto"/>
              <w:jc w:val="right"/>
              <w:rPr>
                <w:rFonts w:ascii="Arial" w:eastAsia="Times New Roman" w:hAnsi="Arial" w:cs="Arial"/>
                <w:b/>
                <w:bCs/>
                <w:color w:val="333333"/>
                <w:sz w:val="24"/>
                <w:szCs w:val="24"/>
                <w:lang w:eastAsia="en-NZ"/>
              </w:rPr>
            </w:pPr>
            <w:r w:rsidRPr="00D5126A">
              <w:rPr>
                <w:rFonts w:ascii="Arial" w:eastAsia="Times New Roman" w:hAnsi="Arial" w:cs="Arial"/>
                <w:b/>
                <w:bCs/>
                <w:color w:val="333333"/>
                <w:sz w:val="24"/>
                <w:szCs w:val="24"/>
                <w:vertAlign w:val="superscript"/>
                <w:lang w:eastAsia="en-NZ"/>
              </w:rPr>
              <w:t>2018/19</w:t>
            </w:r>
            <w:r w:rsidRPr="00D5126A">
              <w:rPr>
                <w:rFonts w:ascii="Arial" w:eastAsia="Times New Roman" w:hAnsi="Arial" w:cs="Arial"/>
                <w:b/>
                <w:bCs/>
                <w:color w:val="333333"/>
                <w:sz w:val="24"/>
                <w:szCs w:val="24"/>
                <w:vertAlign w:val="superscript"/>
                <w:lang w:eastAsia="en-NZ"/>
              </w:rPr>
              <w:br/>
              <w:t>Budget</w:t>
            </w:r>
            <w:r w:rsidRPr="00D5126A">
              <w:rPr>
                <w:rFonts w:ascii="Arial" w:eastAsia="Times New Roman" w:hAnsi="Arial" w:cs="Arial"/>
                <w:b/>
                <w:bCs/>
                <w:color w:val="333333"/>
                <w:sz w:val="24"/>
                <w:szCs w:val="24"/>
                <w:vertAlign w:val="superscript"/>
                <w:lang w:eastAsia="en-NZ"/>
              </w:rPr>
              <w:br/>
            </w:r>
          </w:p>
        </w:tc>
        <w:tc>
          <w:tcPr>
            <w:tcW w:w="972" w:type="dxa"/>
            <w:tcBorders>
              <w:top w:val="nil"/>
              <w:left w:val="nil"/>
              <w:bottom w:val="single" w:sz="4" w:space="0" w:color="auto"/>
              <w:right w:val="nil"/>
            </w:tcBorders>
            <w:shd w:val="clear" w:color="000000" w:fill="FFCC00"/>
            <w:vAlign w:val="center"/>
          </w:tcPr>
          <w:p w:rsidR="00C21F85" w:rsidRPr="00D5126A" w:rsidRDefault="00DA0A94" w:rsidP="00FA7D80">
            <w:pPr>
              <w:spacing w:after="0" w:line="240" w:lineRule="auto"/>
              <w:jc w:val="right"/>
              <w:rPr>
                <w:rFonts w:ascii="Arial" w:eastAsia="Times New Roman" w:hAnsi="Arial" w:cs="Arial"/>
                <w:b/>
                <w:bCs/>
                <w:color w:val="333333"/>
                <w:sz w:val="24"/>
                <w:szCs w:val="24"/>
                <w:lang w:eastAsia="en-NZ"/>
              </w:rPr>
            </w:pPr>
            <w:r w:rsidRPr="00D5126A">
              <w:rPr>
                <w:rFonts w:ascii="Arial" w:eastAsia="Times New Roman" w:hAnsi="Arial" w:cs="Arial"/>
                <w:b/>
                <w:bCs/>
                <w:color w:val="333333"/>
                <w:sz w:val="24"/>
                <w:szCs w:val="24"/>
                <w:vertAlign w:val="superscript"/>
                <w:lang w:eastAsia="en-NZ"/>
              </w:rPr>
              <w:t>2018/19 Revisions</w:t>
            </w:r>
          </w:p>
        </w:tc>
        <w:tc>
          <w:tcPr>
            <w:tcW w:w="972" w:type="dxa"/>
            <w:tcBorders>
              <w:top w:val="nil"/>
              <w:left w:val="nil"/>
              <w:bottom w:val="single" w:sz="4" w:space="0" w:color="auto"/>
              <w:right w:val="nil"/>
            </w:tcBorders>
            <w:shd w:val="clear" w:color="000000" w:fill="FFCC00"/>
            <w:vAlign w:val="center"/>
          </w:tcPr>
          <w:p w:rsidR="00C21F85" w:rsidRPr="00D5126A" w:rsidRDefault="00C21F85" w:rsidP="00FA7D80">
            <w:pPr>
              <w:spacing w:after="0" w:line="240" w:lineRule="auto"/>
              <w:jc w:val="right"/>
              <w:rPr>
                <w:rFonts w:ascii="Arial" w:eastAsia="Times New Roman" w:hAnsi="Arial" w:cs="Arial"/>
                <w:b/>
                <w:bCs/>
                <w:color w:val="333333"/>
                <w:sz w:val="24"/>
                <w:szCs w:val="24"/>
                <w:lang w:eastAsia="en-NZ"/>
              </w:rPr>
            </w:pPr>
            <w:r w:rsidRPr="00D5126A">
              <w:rPr>
                <w:rFonts w:ascii="Arial" w:eastAsia="Times New Roman" w:hAnsi="Arial" w:cs="Arial"/>
                <w:b/>
                <w:bCs/>
                <w:color w:val="333333"/>
                <w:sz w:val="24"/>
                <w:szCs w:val="24"/>
                <w:vertAlign w:val="superscript"/>
                <w:lang w:eastAsia="en-NZ"/>
              </w:rPr>
              <w:t>2018/19 Actual </w:t>
            </w:r>
          </w:p>
        </w:tc>
        <w:tc>
          <w:tcPr>
            <w:tcW w:w="972" w:type="dxa"/>
            <w:tcBorders>
              <w:top w:val="nil"/>
              <w:left w:val="nil"/>
              <w:bottom w:val="single" w:sz="4" w:space="0" w:color="auto"/>
              <w:right w:val="nil"/>
            </w:tcBorders>
            <w:shd w:val="clear" w:color="000000" w:fill="FFCC00"/>
            <w:vAlign w:val="center"/>
          </w:tcPr>
          <w:p w:rsidR="00DA0A94" w:rsidRPr="00D5126A" w:rsidRDefault="00C21F85" w:rsidP="00C21F85">
            <w:pPr>
              <w:spacing w:after="0" w:line="240" w:lineRule="auto"/>
              <w:jc w:val="right"/>
              <w:rPr>
                <w:rFonts w:ascii="Arial" w:eastAsia="Times New Roman" w:hAnsi="Arial" w:cs="Arial"/>
                <w:b/>
                <w:bCs/>
                <w:color w:val="333333"/>
                <w:sz w:val="24"/>
                <w:szCs w:val="24"/>
                <w:vertAlign w:val="superscript"/>
                <w:lang w:eastAsia="en-NZ"/>
              </w:rPr>
            </w:pPr>
            <w:r w:rsidRPr="00D5126A">
              <w:rPr>
                <w:rFonts w:ascii="Arial" w:eastAsia="Times New Roman" w:hAnsi="Arial" w:cs="Arial"/>
                <w:b/>
                <w:bCs/>
                <w:color w:val="333333"/>
                <w:sz w:val="24"/>
                <w:szCs w:val="24"/>
                <w:vertAlign w:val="superscript"/>
                <w:lang w:eastAsia="en-NZ"/>
              </w:rPr>
              <w:t xml:space="preserve">2018/19 </w:t>
            </w:r>
          </w:p>
          <w:p w:rsidR="00C21F85" w:rsidRPr="00D5126A" w:rsidRDefault="00DA0A94" w:rsidP="00C21F85">
            <w:pPr>
              <w:spacing w:after="0" w:line="240" w:lineRule="auto"/>
              <w:jc w:val="right"/>
              <w:rPr>
                <w:rFonts w:ascii="Arial" w:eastAsia="Times New Roman" w:hAnsi="Arial" w:cs="Arial"/>
                <w:b/>
                <w:bCs/>
                <w:color w:val="333333"/>
                <w:sz w:val="24"/>
                <w:szCs w:val="24"/>
                <w:lang w:eastAsia="en-NZ"/>
              </w:rPr>
            </w:pPr>
            <w:r w:rsidRPr="00D5126A">
              <w:rPr>
                <w:rFonts w:ascii="Arial" w:eastAsia="Times New Roman" w:hAnsi="Arial" w:cs="Arial"/>
                <w:b/>
                <w:bCs/>
                <w:color w:val="333333"/>
                <w:sz w:val="24"/>
                <w:szCs w:val="24"/>
                <w:vertAlign w:val="superscript"/>
                <w:lang w:eastAsia="en-NZ"/>
              </w:rPr>
              <w:t xml:space="preserve">Revised </w:t>
            </w:r>
            <w:r w:rsidR="00C21F85" w:rsidRPr="00D5126A">
              <w:rPr>
                <w:rFonts w:ascii="Arial" w:eastAsia="Times New Roman" w:hAnsi="Arial" w:cs="Arial"/>
                <w:b/>
                <w:bCs/>
                <w:color w:val="333333"/>
                <w:sz w:val="24"/>
                <w:szCs w:val="24"/>
                <w:vertAlign w:val="superscript"/>
                <w:lang w:eastAsia="en-NZ"/>
              </w:rPr>
              <w:t>Budget</w:t>
            </w:r>
          </w:p>
        </w:tc>
        <w:tc>
          <w:tcPr>
            <w:tcW w:w="972" w:type="dxa"/>
            <w:tcBorders>
              <w:top w:val="nil"/>
              <w:left w:val="nil"/>
              <w:bottom w:val="single" w:sz="4" w:space="0" w:color="auto"/>
              <w:right w:val="nil"/>
            </w:tcBorders>
            <w:shd w:val="clear" w:color="000000" w:fill="FFCC00"/>
            <w:vAlign w:val="center"/>
            <w:hideMark/>
          </w:tcPr>
          <w:p w:rsidR="00C21F85" w:rsidRPr="00D5126A" w:rsidRDefault="00C21F85" w:rsidP="00534FC7">
            <w:pPr>
              <w:spacing w:after="0" w:line="240" w:lineRule="auto"/>
              <w:jc w:val="right"/>
              <w:rPr>
                <w:rFonts w:ascii="Arial" w:eastAsia="Times New Roman" w:hAnsi="Arial" w:cs="Arial"/>
                <w:b/>
                <w:bCs/>
                <w:color w:val="333333"/>
                <w:sz w:val="24"/>
                <w:szCs w:val="24"/>
                <w:lang w:eastAsia="en-NZ"/>
              </w:rPr>
            </w:pPr>
            <w:r w:rsidRPr="00D5126A">
              <w:rPr>
                <w:rFonts w:ascii="Arial" w:eastAsia="Times New Roman" w:hAnsi="Arial" w:cs="Arial"/>
                <w:b/>
                <w:bCs/>
                <w:color w:val="333333"/>
                <w:sz w:val="24"/>
                <w:szCs w:val="24"/>
                <w:vertAlign w:val="superscript"/>
                <w:lang w:eastAsia="en-NZ"/>
              </w:rPr>
              <w:t>Variance</w:t>
            </w:r>
            <w:r w:rsidR="00DA0A94" w:rsidRPr="00D5126A">
              <w:rPr>
                <w:rFonts w:ascii="Arial" w:eastAsia="Times New Roman" w:hAnsi="Arial" w:cs="Arial"/>
                <w:b/>
                <w:bCs/>
                <w:color w:val="333333"/>
                <w:sz w:val="24"/>
                <w:szCs w:val="24"/>
                <w:vertAlign w:val="superscript"/>
                <w:lang w:eastAsia="en-NZ"/>
              </w:rPr>
              <w:t xml:space="preserve"> to revised budget</w:t>
            </w:r>
          </w:p>
        </w:tc>
      </w:tr>
      <w:tr w:rsidR="00C21F85" w:rsidRPr="00D5126A" w:rsidTr="00C21F85">
        <w:trPr>
          <w:trHeight w:val="375"/>
        </w:trPr>
        <w:tc>
          <w:tcPr>
            <w:tcW w:w="2552" w:type="dxa"/>
            <w:tcBorders>
              <w:top w:val="single" w:sz="4" w:space="0" w:color="auto"/>
              <w:left w:val="nil"/>
              <w:bottom w:val="single" w:sz="8" w:space="0" w:color="000000"/>
              <w:right w:val="nil"/>
            </w:tcBorders>
            <w:shd w:val="clear" w:color="auto" w:fill="auto"/>
            <w:vAlign w:val="center"/>
            <w:hideMark/>
          </w:tcPr>
          <w:p w:rsidR="00C21F85" w:rsidRPr="00D5126A" w:rsidRDefault="00C21F85" w:rsidP="00E46729">
            <w:pPr>
              <w:spacing w:after="0" w:line="240" w:lineRule="auto"/>
              <w:rPr>
                <w:rFonts w:ascii="Arial" w:eastAsia="Times New Roman" w:hAnsi="Arial" w:cs="Arial"/>
                <w:color w:val="333333"/>
                <w:sz w:val="24"/>
                <w:szCs w:val="24"/>
                <w:lang w:eastAsia="en-NZ"/>
              </w:rPr>
            </w:pPr>
            <w:r w:rsidRPr="00D5126A">
              <w:rPr>
                <w:rFonts w:ascii="Arial" w:eastAsia="Times New Roman" w:hAnsi="Arial" w:cs="Arial"/>
                <w:color w:val="333333"/>
                <w:sz w:val="24"/>
                <w:szCs w:val="24"/>
                <w:vertAlign w:val="superscript"/>
                <w:lang w:eastAsia="en-NZ"/>
              </w:rPr>
              <w:t>Governance</w:t>
            </w:r>
          </w:p>
        </w:tc>
        <w:tc>
          <w:tcPr>
            <w:tcW w:w="972" w:type="dxa"/>
            <w:tcBorders>
              <w:top w:val="single" w:sz="4" w:space="0" w:color="auto"/>
              <w:left w:val="nil"/>
              <w:bottom w:val="single" w:sz="8" w:space="0" w:color="000000"/>
              <w:right w:val="nil"/>
            </w:tcBorders>
            <w:shd w:val="clear" w:color="auto" w:fill="auto"/>
            <w:vAlign w:val="center"/>
            <w:hideMark/>
          </w:tcPr>
          <w:p w:rsidR="00C21F85" w:rsidRPr="00D5126A" w:rsidRDefault="00C21F85" w:rsidP="00534FC7">
            <w:pPr>
              <w:spacing w:after="0" w:line="240" w:lineRule="auto"/>
              <w:jc w:val="right"/>
              <w:rPr>
                <w:rFonts w:ascii="Arial" w:eastAsia="Times New Roman" w:hAnsi="Arial" w:cs="Arial"/>
                <w:color w:val="333333"/>
                <w:sz w:val="24"/>
                <w:szCs w:val="24"/>
                <w:lang w:eastAsia="en-NZ"/>
              </w:rPr>
            </w:pPr>
            <w:r w:rsidRPr="00D5126A">
              <w:rPr>
                <w:rFonts w:ascii="Arial" w:eastAsia="Times New Roman" w:hAnsi="Arial" w:cs="Arial"/>
                <w:color w:val="333333"/>
                <w:sz w:val="24"/>
                <w:szCs w:val="24"/>
                <w:vertAlign w:val="superscript"/>
                <w:lang w:eastAsia="en-NZ"/>
              </w:rPr>
              <w:t>-</w:t>
            </w:r>
          </w:p>
        </w:tc>
        <w:tc>
          <w:tcPr>
            <w:tcW w:w="972" w:type="dxa"/>
            <w:tcBorders>
              <w:top w:val="single" w:sz="4" w:space="0" w:color="auto"/>
              <w:left w:val="nil"/>
              <w:bottom w:val="single" w:sz="8" w:space="0" w:color="000000"/>
              <w:right w:val="nil"/>
            </w:tcBorders>
            <w:shd w:val="clear" w:color="auto" w:fill="auto"/>
            <w:vAlign w:val="center"/>
            <w:hideMark/>
          </w:tcPr>
          <w:p w:rsidR="00C21F85" w:rsidRPr="00D5126A" w:rsidRDefault="00C21F85" w:rsidP="00534FC7">
            <w:pPr>
              <w:spacing w:after="0" w:line="240" w:lineRule="auto"/>
              <w:jc w:val="right"/>
              <w:rPr>
                <w:rFonts w:ascii="Arial" w:eastAsia="Times New Roman" w:hAnsi="Arial" w:cs="Arial"/>
                <w:color w:val="333333"/>
                <w:sz w:val="24"/>
                <w:szCs w:val="24"/>
                <w:lang w:eastAsia="en-NZ"/>
              </w:rPr>
            </w:pPr>
            <w:r w:rsidRPr="00D5126A">
              <w:rPr>
                <w:rFonts w:ascii="Arial" w:eastAsia="Times New Roman" w:hAnsi="Arial" w:cs="Arial"/>
                <w:color w:val="333333"/>
                <w:sz w:val="24"/>
                <w:szCs w:val="24"/>
                <w:vertAlign w:val="superscript"/>
                <w:lang w:eastAsia="en-NZ"/>
              </w:rPr>
              <w:t>8</w:t>
            </w:r>
          </w:p>
        </w:tc>
        <w:tc>
          <w:tcPr>
            <w:tcW w:w="972" w:type="dxa"/>
            <w:tcBorders>
              <w:top w:val="single" w:sz="4" w:space="0" w:color="auto"/>
              <w:left w:val="nil"/>
              <w:bottom w:val="single" w:sz="8" w:space="0" w:color="000000"/>
              <w:right w:val="nil"/>
            </w:tcBorders>
            <w:vAlign w:val="center"/>
          </w:tcPr>
          <w:p w:rsidR="00C21F85" w:rsidRPr="00D5126A" w:rsidRDefault="00C21F85" w:rsidP="00FA7D80">
            <w:pPr>
              <w:spacing w:after="0" w:line="240" w:lineRule="auto"/>
              <w:jc w:val="right"/>
              <w:rPr>
                <w:rFonts w:ascii="Arial" w:eastAsia="Times New Roman" w:hAnsi="Arial" w:cs="Arial"/>
                <w:color w:val="333333"/>
                <w:sz w:val="24"/>
                <w:szCs w:val="24"/>
                <w:lang w:eastAsia="en-NZ"/>
              </w:rPr>
            </w:pPr>
            <w:r w:rsidRPr="00D5126A">
              <w:rPr>
                <w:rFonts w:ascii="Arial" w:eastAsia="Times New Roman" w:hAnsi="Arial" w:cs="Arial"/>
                <w:color w:val="333333"/>
                <w:sz w:val="24"/>
                <w:szCs w:val="24"/>
                <w:vertAlign w:val="superscript"/>
                <w:lang w:eastAsia="en-NZ"/>
              </w:rPr>
              <w:t>51</w:t>
            </w:r>
          </w:p>
        </w:tc>
        <w:tc>
          <w:tcPr>
            <w:tcW w:w="972" w:type="dxa"/>
            <w:tcBorders>
              <w:top w:val="single" w:sz="4" w:space="0" w:color="auto"/>
              <w:left w:val="nil"/>
              <w:bottom w:val="single" w:sz="8" w:space="0" w:color="000000"/>
              <w:right w:val="nil"/>
            </w:tcBorders>
            <w:vAlign w:val="center"/>
          </w:tcPr>
          <w:p w:rsidR="00C21F85" w:rsidRPr="00D5126A" w:rsidRDefault="00C21F85" w:rsidP="00FA7D80">
            <w:pPr>
              <w:spacing w:after="0" w:line="240" w:lineRule="auto"/>
              <w:jc w:val="right"/>
              <w:rPr>
                <w:rFonts w:ascii="Arial" w:eastAsia="Times New Roman" w:hAnsi="Arial" w:cs="Arial"/>
                <w:color w:val="333333"/>
                <w:sz w:val="24"/>
                <w:szCs w:val="24"/>
                <w:lang w:eastAsia="en-NZ"/>
              </w:rPr>
            </w:pPr>
            <w:r w:rsidRPr="00D5126A">
              <w:rPr>
                <w:rFonts w:ascii="Arial" w:eastAsia="Times New Roman" w:hAnsi="Arial" w:cs="Arial"/>
                <w:color w:val="333333"/>
                <w:sz w:val="24"/>
                <w:szCs w:val="24"/>
                <w:vertAlign w:val="superscript"/>
                <w:lang w:eastAsia="en-NZ"/>
              </w:rPr>
              <w:t>(29)</w:t>
            </w:r>
          </w:p>
        </w:tc>
        <w:tc>
          <w:tcPr>
            <w:tcW w:w="972" w:type="dxa"/>
            <w:tcBorders>
              <w:top w:val="single" w:sz="4" w:space="0" w:color="auto"/>
              <w:left w:val="nil"/>
              <w:bottom w:val="single" w:sz="8" w:space="0" w:color="000000"/>
              <w:right w:val="nil"/>
            </w:tcBorders>
            <w:vAlign w:val="center"/>
          </w:tcPr>
          <w:p w:rsidR="00C21F85" w:rsidRPr="00D5126A" w:rsidRDefault="00C21F85" w:rsidP="00FA7D80">
            <w:pPr>
              <w:spacing w:after="0" w:line="240" w:lineRule="auto"/>
              <w:jc w:val="right"/>
              <w:rPr>
                <w:rFonts w:ascii="Arial" w:eastAsia="Times New Roman" w:hAnsi="Arial" w:cs="Arial"/>
                <w:color w:val="333333"/>
                <w:sz w:val="24"/>
                <w:szCs w:val="24"/>
                <w:lang w:eastAsia="en-NZ"/>
              </w:rPr>
            </w:pPr>
            <w:r w:rsidRPr="00D5126A">
              <w:rPr>
                <w:rFonts w:ascii="Arial" w:eastAsia="Times New Roman" w:hAnsi="Arial" w:cs="Arial"/>
                <w:color w:val="333333"/>
                <w:sz w:val="24"/>
                <w:szCs w:val="24"/>
                <w:vertAlign w:val="superscript"/>
                <w:lang w:eastAsia="en-NZ"/>
              </w:rPr>
              <w:t>0</w:t>
            </w:r>
          </w:p>
        </w:tc>
        <w:tc>
          <w:tcPr>
            <w:tcW w:w="972" w:type="dxa"/>
            <w:tcBorders>
              <w:top w:val="single" w:sz="4" w:space="0" w:color="auto"/>
              <w:left w:val="nil"/>
              <w:bottom w:val="single" w:sz="8" w:space="0" w:color="000000"/>
              <w:right w:val="nil"/>
            </w:tcBorders>
            <w:vAlign w:val="center"/>
          </w:tcPr>
          <w:p w:rsidR="00C21F85" w:rsidRPr="00D5126A" w:rsidRDefault="00C21F85" w:rsidP="00FA7D80">
            <w:pPr>
              <w:spacing w:after="0" w:line="240" w:lineRule="auto"/>
              <w:jc w:val="right"/>
              <w:rPr>
                <w:rFonts w:ascii="Arial" w:eastAsia="Times New Roman" w:hAnsi="Arial" w:cs="Arial"/>
                <w:color w:val="333333"/>
                <w:sz w:val="24"/>
                <w:szCs w:val="24"/>
                <w:lang w:eastAsia="en-NZ"/>
              </w:rPr>
            </w:pPr>
            <w:r w:rsidRPr="00D5126A">
              <w:rPr>
                <w:rFonts w:ascii="Arial" w:eastAsia="Times New Roman" w:hAnsi="Arial" w:cs="Arial"/>
                <w:color w:val="333333"/>
                <w:sz w:val="24"/>
                <w:szCs w:val="24"/>
                <w:vertAlign w:val="superscript"/>
                <w:lang w:eastAsia="en-NZ"/>
              </w:rPr>
              <w:t>22</w:t>
            </w:r>
          </w:p>
        </w:tc>
        <w:tc>
          <w:tcPr>
            <w:tcW w:w="972" w:type="dxa"/>
            <w:tcBorders>
              <w:top w:val="single" w:sz="4" w:space="0" w:color="auto"/>
              <w:left w:val="nil"/>
              <w:bottom w:val="single" w:sz="8" w:space="0" w:color="000000"/>
              <w:right w:val="nil"/>
            </w:tcBorders>
            <w:shd w:val="clear" w:color="auto" w:fill="auto"/>
            <w:vAlign w:val="center"/>
            <w:hideMark/>
          </w:tcPr>
          <w:p w:rsidR="00C21F85" w:rsidRPr="00D5126A" w:rsidRDefault="00C21F85" w:rsidP="00534FC7">
            <w:pPr>
              <w:spacing w:after="0" w:line="240" w:lineRule="auto"/>
              <w:jc w:val="right"/>
              <w:rPr>
                <w:rFonts w:ascii="Arial" w:eastAsia="Times New Roman" w:hAnsi="Arial" w:cs="Arial"/>
                <w:color w:val="333333"/>
                <w:sz w:val="24"/>
                <w:szCs w:val="24"/>
                <w:lang w:eastAsia="en-NZ"/>
              </w:rPr>
            </w:pPr>
            <w:r w:rsidRPr="00D5126A">
              <w:rPr>
                <w:rFonts w:ascii="Arial" w:eastAsia="Times New Roman" w:hAnsi="Arial" w:cs="Arial"/>
                <w:color w:val="333333"/>
                <w:sz w:val="24"/>
                <w:szCs w:val="24"/>
                <w:vertAlign w:val="superscript"/>
                <w:lang w:eastAsia="en-NZ"/>
              </w:rPr>
              <w:t>22</w:t>
            </w:r>
          </w:p>
        </w:tc>
      </w:tr>
      <w:tr w:rsidR="00C21F85" w:rsidRPr="00D5126A" w:rsidTr="00C21F85">
        <w:trPr>
          <w:trHeight w:val="375"/>
        </w:trPr>
        <w:tc>
          <w:tcPr>
            <w:tcW w:w="2552" w:type="dxa"/>
            <w:tcBorders>
              <w:top w:val="nil"/>
              <w:left w:val="nil"/>
              <w:bottom w:val="single" w:sz="8" w:space="0" w:color="000000"/>
              <w:right w:val="nil"/>
            </w:tcBorders>
            <w:shd w:val="clear" w:color="auto" w:fill="auto"/>
            <w:vAlign w:val="center"/>
            <w:hideMark/>
          </w:tcPr>
          <w:p w:rsidR="00C21F85" w:rsidRPr="00D5126A" w:rsidRDefault="00C21F85" w:rsidP="00E46729">
            <w:pPr>
              <w:spacing w:after="0" w:line="240" w:lineRule="auto"/>
              <w:rPr>
                <w:rFonts w:ascii="Arial" w:eastAsia="Times New Roman" w:hAnsi="Arial" w:cs="Arial"/>
                <w:color w:val="333333"/>
                <w:sz w:val="24"/>
                <w:szCs w:val="24"/>
                <w:lang w:eastAsia="en-NZ"/>
              </w:rPr>
            </w:pPr>
            <w:r w:rsidRPr="00D5126A">
              <w:rPr>
                <w:rFonts w:ascii="Arial" w:eastAsia="Times New Roman" w:hAnsi="Arial" w:cs="Arial"/>
                <w:color w:val="333333"/>
                <w:sz w:val="24"/>
                <w:szCs w:val="24"/>
                <w:vertAlign w:val="superscript"/>
                <w:lang w:eastAsia="en-NZ"/>
              </w:rPr>
              <w:t>Environment</w:t>
            </w:r>
          </w:p>
        </w:tc>
        <w:tc>
          <w:tcPr>
            <w:tcW w:w="972" w:type="dxa"/>
            <w:tcBorders>
              <w:top w:val="nil"/>
              <w:left w:val="nil"/>
              <w:bottom w:val="single" w:sz="8" w:space="0" w:color="000000"/>
              <w:right w:val="nil"/>
            </w:tcBorders>
            <w:shd w:val="clear" w:color="auto" w:fill="auto"/>
            <w:vAlign w:val="center"/>
            <w:hideMark/>
          </w:tcPr>
          <w:p w:rsidR="00C21F85" w:rsidRPr="00D5126A" w:rsidRDefault="00C21F85" w:rsidP="00534FC7">
            <w:pPr>
              <w:spacing w:after="0" w:line="240" w:lineRule="auto"/>
              <w:jc w:val="right"/>
              <w:rPr>
                <w:rFonts w:ascii="Arial" w:eastAsia="Times New Roman" w:hAnsi="Arial" w:cs="Arial"/>
                <w:color w:val="333333"/>
                <w:sz w:val="24"/>
                <w:szCs w:val="24"/>
                <w:lang w:eastAsia="en-NZ"/>
              </w:rPr>
            </w:pPr>
            <w:r w:rsidRPr="00D5126A">
              <w:rPr>
                <w:rFonts w:ascii="Arial" w:eastAsia="Times New Roman" w:hAnsi="Arial" w:cs="Arial"/>
                <w:color w:val="333333"/>
                <w:sz w:val="24"/>
                <w:szCs w:val="24"/>
                <w:vertAlign w:val="superscript"/>
                <w:lang w:eastAsia="en-NZ"/>
              </w:rPr>
              <w:t>40,982</w:t>
            </w:r>
          </w:p>
        </w:tc>
        <w:tc>
          <w:tcPr>
            <w:tcW w:w="972" w:type="dxa"/>
            <w:tcBorders>
              <w:top w:val="nil"/>
              <w:left w:val="nil"/>
              <w:bottom w:val="single" w:sz="8" w:space="0" w:color="000000"/>
              <w:right w:val="nil"/>
            </w:tcBorders>
            <w:shd w:val="clear" w:color="auto" w:fill="auto"/>
            <w:vAlign w:val="center"/>
            <w:hideMark/>
          </w:tcPr>
          <w:p w:rsidR="00C21F85" w:rsidRPr="00D5126A" w:rsidRDefault="00C21F85" w:rsidP="00534FC7">
            <w:pPr>
              <w:spacing w:after="0" w:line="240" w:lineRule="auto"/>
              <w:jc w:val="right"/>
              <w:rPr>
                <w:rFonts w:ascii="Arial" w:eastAsia="Times New Roman" w:hAnsi="Arial" w:cs="Arial"/>
                <w:color w:val="333333"/>
                <w:sz w:val="24"/>
                <w:szCs w:val="24"/>
                <w:lang w:eastAsia="en-NZ"/>
              </w:rPr>
            </w:pPr>
            <w:r w:rsidRPr="00D5126A">
              <w:rPr>
                <w:rFonts w:ascii="Arial" w:eastAsia="Times New Roman" w:hAnsi="Arial" w:cs="Arial"/>
                <w:color w:val="333333"/>
                <w:sz w:val="24"/>
                <w:szCs w:val="24"/>
                <w:vertAlign w:val="superscript"/>
                <w:lang w:eastAsia="en-NZ"/>
              </w:rPr>
              <w:t>45,428</w:t>
            </w:r>
          </w:p>
        </w:tc>
        <w:tc>
          <w:tcPr>
            <w:tcW w:w="972" w:type="dxa"/>
            <w:tcBorders>
              <w:top w:val="nil"/>
              <w:left w:val="nil"/>
              <w:bottom w:val="single" w:sz="8" w:space="0" w:color="000000"/>
              <w:right w:val="nil"/>
            </w:tcBorders>
            <w:vAlign w:val="center"/>
          </w:tcPr>
          <w:p w:rsidR="00C21F85" w:rsidRPr="00D5126A" w:rsidRDefault="00C21F85" w:rsidP="00FA7D80">
            <w:pPr>
              <w:spacing w:after="0" w:line="240" w:lineRule="auto"/>
              <w:jc w:val="right"/>
              <w:rPr>
                <w:rFonts w:ascii="Arial" w:eastAsia="Times New Roman" w:hAnsi="Arial" w:cs="Arial"/>
                <w:color w:val="333333"/>
                <w:sz w:val="24"/>
                <w:szCs w:val="24"/>
                <w:lang w:eastAsia="en-NZ"/>
              </w:rPr>
            </w:pPr>
            <w:r w:rsidRPr="00D5126A">
              <w:rPr>
                <w:rFonts w:ascii="Arial" w:eastAsia="Times New Roman" w:hAnsi="Arial" w:cs="Arial"/>
                <w:color w:val="333333"/>
                <w:sz w:val="24"/>
                <w:szCs w:val="24"/>
                <w:vertAlign w:val="superscript"/>
                <w:lang w:eastAsia="en-NZ"/>
              </w:rPr>
              <w:t>52,030</w:t>
            </w:r>
          </w:p>
        </w:tc>
        <w:tc>
          <w:tcPr>
            <w:tcW w:w="972" w:type="dxa"/>
            <w:tcBorders>
              <w:top w:val="nil"/>
              <w:left w:val="nil"/>
              <w:bottom w:val="single" w:sz="8" w:space="0" w:color="000000"/>
              <w:right w:val="nil"/>
            </w:tcBorders>
            <w:vAlign w:val="center"/>
          </w:tcPr>
          <w:p w:rsidR="00C21F85" w:rsidRPr="00D5126A" w:rsidRDefault="00C21F85" w:rsidP="00FA7D80">
            <w:pPr>
              <w:spacing w:after="0" w:line="240" w:lineRule="auto"/>
              <w:jc w:val="right"/>
              <w:rPr>
                <w:rFonts w:ascii="Arial" w:eastAsia="Times New Roman" w:hAnsi="Arial" w:cs="Arial"/>
                <w:color w:val="333333"/>
                <w:sz w:val="24"/>
                <w:szCs w:val="24"/>
                <w:lang w:eastAsia="en-NZ"/>
              </w:rPr>
            </w:pPr>
            <w:r w:rsidRPr="00D5126A">
              <w:rPr>
                <w:rFonts w:ascii="Arial" w:eastAsia="Times New Roman" w:hAnsi="Arial" w:cs="Arial"/>
                <w:color w:val="333333"/>
                <w:sz w:val="24"/>
                <w:szCs w:val="24"/>
                <w:vertAlign w:val="superscript"/>
                <w:lang w:eastAsia="en-NZ"/>
              </w:rPr>
              <w:t>(2,145)</w:t>
            </w:r>
          </w:p>
        </w:tc>
        <w:tc>
          <w:tcPr>
            <w:tcW w:w="972" w:type="dxa"/>
            <w:tcBorders>
              <w:top w:val="nil"/>
              <w:left w:val="nil"/>
              <w:bottom w:val="single" w:sz="8" w:space="0" w:color="000000"/>
              <w:right w:val="nil"/>
            </w:tcBorders>
            <w:vAlign w:val="center"/>
          </w:tcPr>
          <w:p w:rsidR="00C21F85" w:rsidRPr="00D5126A" w:rsidRDefault="00C21F85" w:rsidP="00FA7D80">
            <w:pPr>
              <w:spacing w:after="0" w:line="240" w:lineRule="auto"/>
              <w:jc w:val="right"/>
              <w:rPr>
                <w:rFonts w:ascii="Arial" w:eastAsia="Times New Roman" w:hAnsi="Arial" w:cs="Arial"/>
                <w:color w:val="333333"/>
                <w:sz w:val="24"/>
                <w:szCs w:val="24"/>
                <w:lang w:eastAsia="en-NZ"/>
              </w:rPr>
            </w:pPr>
            <w:r w:rsidRPr="00D5126A">
              <w:rPr>
                <w:rFonts w:ascii="Arial" w:eastAsia="Times New Roman" w:hAnsi="Arial" w:cs="Arial"/>
                <w:color w:val="333333"/>
                <w:sz w:val="24"/>
                <w:szCs w:val="24"/>
                <w:vertAlign w:val="superscript"/>
                <w:lang w:eastAsia="en-NZ"/>
              </w:rPr>
              <w:t>40,471</w:t>
            </w:r>
          </w:p>
        </w:tc>
        <w:tc>
          <w:tcPr>
            <w:tcW w:w="972" w:type="dxa"/>
            <w:tcBorders>
              <w:top w:val="nil"/>
              <w:left w:val="nil"/>
              <w:bottom w:val="single" w:sz="8" w:space="0" w:color="000000"/>
              <w:right w:val="nil"/>
            </w:tcBorders>
            <w:vAlign w:val="center"/>
          </w:tcPr>
          <w:p w:rsidR="00C21F85" w:rsidRPr="00D5126A" w:rsidRDefault="00C21F85" w:rsidP="00FA7D80">
            <w:pPr>
              <w:spacing w:after="0" w:line="240" w:lineRule="auto"/>
              <w:jc w:val="right"/>
              <w:rPr>
                <w:rFonts w:ascii="Arial" w:eastAsia="Times New Roman" w:hAnsi="Arial" w:cs="Arial"/>
                <w:color w:val="333333"/>
                <w:sz w:val="24"/>
                <w:szCs w:val="24"/>
                <w:lang w:eastAsia="en-NZ"/>
              </w:rPr>
            </w:pPr>
            <w:r w:rsidRPr="00D5126A">
              <w:rPr>
                <w:rFonts w:ascii="Arial" w:eastAsia="Times New Roman" w:hAnsi="Arial" w:cs="Arial"/>
                <w:color w:val="333333"/>
                <w:sz w:val="24"/>
                <w:szCs w:val="24"/>
                <w:vertAlign w:val="superscript"/>
                <w:lang w:eastAsia="en-NZ"/>
              </w:rPr>
              <w:t>49,885</w:t>
            </w:r>
          </w:p>
        </w:tc>
        <w:tc>
          <w:tcPr>
            <w:tcW w:w="972" w:type="dxa"/>
            <w:tcBorders>
              <w:top w:val="nil"/>
              <w:left w:val="nil"/>
              <w:bottom w:val="single" w:sz="8" w:space="0" w:color="000000"/>
              <w:right w:val="nil"/>
            </w:tcBorders>
            <w:shd w:val="clear" w:color="auto" w:fill="auto"/>
            <w:vAlign w:val="center"/>
            <w:hideMark/>
          </w:tcPr>
          <w:p w:rsidR="00C21F85" w:rsidRPr="00D5126A" w:rsidRDefault="00C21F85" w:rsidP="00534FC7">
            <w:pPr>
              <w:spacing w:after="0" w:line="240" w:lineRule="auto"/>
              <w:jc w:val="right"/>
              <w:rPr>
                <w:rFonts w:ascii="Arial" w:eastAsia="Times New Roman" w:hAnsi="Arial" w:cs="Arial"/>
                <w:color w:val="333333"/>
                <w:sz w:val="24"/>
                <w:szCs w:val="24"/>
                <w:lang w:eastAsia="en-NZ"/>
              </w:rPr>
            </w:pPr>
            <w:r w:rsidRPr="00D5126A">
              <w:rPr>
                <w:rFonts w:ascii="Arial" w:eastAsia="Times New Roman" w:hAnsi="Arial" w:cs="Arial"/>
                <w:color w:val="333333"/>
                <w:sz w:val="24"/>
                <w:szCs w:val="24"/>
                <w:vertAlign w:val="superscript"/>
                <w:lang w:eastAsia="en-NZ"/>
              </w:rPr>
              <w:t>9,414</w:t>
            </w:r>
          </w:p>
        </w:tc>
      </w:tr>
      <w:tr w:rsidR="00C21F85" w:rsidRPr="00D5126A" w:rsidTr="00C21F85">
        <w:trPr>
          <w:trHeight w:val="375"/>
        </w:trPr>
        <w:tc>
          <w:tcPr>
            <w:tcW w:w="2552" w:type="dxa"/>
            <w:tcBorders>
              <w:top w:val="nil"/>
              <w:left w:val="nil"/>
              <w:bottom w:val="single" w:sz="8" w:space="0" w:color="000000"/>
              <w:right w:val="nil"/>
            </w:tcBorders>
            <w:shd w:val="clear" w:color="auto" w:fill="auto"/>
            <w:vAlign w:val="center"/>
            <w:hideMark/>
          </w:tcPr>
          <w:p w:rsidR="00C21F85" w:rsidRPr="00D5126A" w:rsidRDefault="00C21F85" w:rsidP="00E46729">
            <w:pPr>
              <w:spacing w:after="0" w:line="240" w:lineRule="auto"/>
              <w:rPr>
                <w:rFonts w:ascii="Arial" w:eastAsia="Times New Roman" w:hAnsi="Arial" w:cs="Arial"/>
                <w:color w:val="333333"/>
                <w:sz w:val="24"/>
                <w:szCs w:val="24"/>
                <w:lang w:eastAsia="en-NZ"/>
              </w:rPr>
            </w:pPr>
            <w:r w:rsidRPr="00D5126A">
              <w:rPr>
                <w:rFonts w:ascii="Arial" w:eastAsia="Times New Roman" w:hAnsi="Arial" w:cs="Arial"/>
                <w:color w:val="333333"/>
                <w:sz w:val="24"/>
                <w:szCs w:val="24"/>
                <w:vertAlign w:val="superscript"/>
                <w:lang w:eastAsia="en-NZ"/>
              </w:rPr>
              <w:t>Economic development</w:t>
            </w:r>
          </w:p>
        </w:tc>
        <w:tc>
          <w:tcPr>
            <w:tcW w:w="972" w:type="dxa"/>
            <w:tcBorders>
              <w:top w:val="nil"/>
              <w:left w:val="nil"/>
              <w:bottom w:val="single" w:sz="8" w:space="0" w:color="000000"/>
              <w:right w:val="nil"/>
            </w:tcBorders>
            <w:shd w:val="clear" w:color="auto" w:fill="auto"/>
            <w:vAlign w:val="center"/>
            <w:hideMark/>
          </w:tcPr>
          <w:p w:rsidR="00C21F85" w:rsidRPr="00D5126A" w:rsidRDefault="00C21F85" w:rsidP="00534FC7">
            <w:pPr>
              <w:spacing w:after="0" w:line="240" w:lineRule="auto"/>
              <w:jc w:val="right"/>
              <w:rPr>
                <w:rFonts w:ascii="Arial" w:eastAsia="Times New Roman" w:hAnsi="Arial" w:cs="Arial"/>
                <w:color w:val="333333"/>
                <w:sz w:val="24"/>
                <w:szCs w:val="24"/>
                <w:lang w:eastAsia="en-NZ"/>
              </w:rPr>
            </w:pPr>
            <w:r w:rsidRPr="00D5126A">
              <w:rPr>
                <w:rFonts w:ascii="Arial" w:eastAsia="Times New Roman" w:hAnsi="Arial" w:cs="Arial"/>
                <w:color w:val="333333"/>
                <w:sz w:val="24"/>
                <w:szCs w:val="24"/>
                <w:vertAlign w:val="superscript"/>
                <w:lang w:eastAsia="en-NZ"/>
              </w:rPr>
              <w:t>886</w:t>
            </w:r>
          </w:p>
        </w:tc>
        <w:tc>
          <w:tcPr>
            <w:tcW w:w="972" w:type="dxa"/>
            <w:tcBorders>
              <w:top w:val="nil"/>
              <w:left w:val="nil"/>
              <w:bottom w:val="single" w:sz="8" w:space="0" w:color="000000"/>
              <w:right w:val="nil"/>
            </w:tcBorders>
            <w:shd w:val="clear" w:color="auto" w:fill="auto"/>
            <w:vAlign w:val="center"/>
            <w:hideMark/>
          </w:tcPr>
          <w:p w:rsidR="00C21F85" w:rsidRPr="00D5126A" w:rsidRDefault="00C21F85" w:rsidP="00534FC7">
            <w:pPr>
              <w:spacing w:after="0" w:line="240" w:lineRule="auto"/>
              <w:jc w:val="right"/>
              <w:rPr>
                <w:rFonts w:ascii="Arial" w:eastAsia="Times New Roman" w:hAnsi="Arial" w:cs="Arial"/>
                <w:color w:val="333333"/>
                <w:sz w:val="24"/>
                <w:szCs w:val="24"/>
                <w:lang w:eastAsia="en-NZ"/>
              </w:rPr>
            </w:pPr>
            <w:r w:rsidRPr="00D5126A">
              <w:rPr>
                <w:rFonts w:ascii="Arial" w:eastAsia="Times New Roman" w:hAnsi="Arial" w:cs="Arial"/>
                <w:color w:val="333333"/>
                <w:sz w:val="24"/>
                <w:szCs w:val="24"/>
                <w:vertAlign w:val="superscript"/>
                <w:lang w:eastAsia="en-NZ"/>
              </w:rPr>
              <w:t>599</w:t>
            </w:r>
          </w:p>
        </w:tc>
        <w:tc>
          <w:tcPr>
            <w:tcW w:w="972" w:type="dxa"/>
            <w:tcBorders>
              <w:top w:val="nil"/>
              <w:left w:val="nil"/>
              <w:bottom w:val="single" w:sz="8" w:space="0" w:color="000000"/>
              <w:right w:val="nil"/>
            </w:tcBorders>
            <w:vAlign w:val="center"/>
          </w:tcPr>
          <w:p w:rsidR="00C21F85" w:rsidRPr="00D5126A" w:rsidRDefault="00C21F85" w:rsidP="00FA7D80">
            <w:pPr>
              <w:spacing w:after="0" w:line="240" w:lineRule="auto"/>
              <w:jc w:val="right"/>
              <w:rPr>
                <w:rFonts w:ascii="Arial" w:eastAsia="Times New Roman" w:hAnsi="Arial" w:cs="Arial"/>
                <w:color w:val="333333"/>
                <w:sz w:val="24"/>
                <w:szCs w:val="24"/>
                <w:lang w:eastAsia="en-NZ"/>
              </w:rPr>
            </w:pPr>
            <w:r w:rsidRPr="00D5126A">
              <w:rPr>
                <w:rFonts w:ascii="Arial" w:eastAsia="Times New Roman" w:hAnsi="Arial" w:cs="Arial"/>
                <w:color w:val="333333"/>
                <w:sz w:val="24"/>
                <w:szCs w:val="24"/>
                <w:vertAlign w:val="superscript"/>
                <w:lang w:eastAsia="en-NZ"/>
              </w:rPr>
              <w:t>3,357</w:t>
            </w:r>
          </w:p>
        </w:tc>
        <w:tc>
          <w:tcPr>
            <w:tcW w:w="972" w:type="dxa"/>
            <w:tcBorders>
              <w:top w:val="nil"/>
              <w:left w:val="nil"/>
              <w:bottom w:val="single" w:sz="8" w:space="0" w:color="000000"/>
              <w:right w:val="nil"/>
            </w:tcBorders>
            <w:vAlign w:val="center"/>
          </w:tcPr>
          <w:p w:rsidR="00C21F85" w:rsidRPr="00D5126A" w:rsidRDefault="00C21F85" w:rsidP="00FA7D80">
            <w:pPr>
              <w:spacing w:after="0" w:line="240" w:lineRule="auto"/>
              <w:jc w:val="right"/>
              <w:rPr>
                <w:rFonts w:ascii="Arial" w:eastAsia="Times New Roman" w:hAnsi="Arial" w:cs="Arial"/>
                <w:color w:val="333333"/>
                <w:sz w:val="24"/>
                <w:szCs w:val="24"/>
                <w:lang w:eastAsia="en-NZ"/>
              </w:rPr>
            </w:pPr>
            <w:r w:rsidRPr="00D5126A">
              <w:rPr>
                <w:rFonts w:ascii="Arial" w:eastAsia="Times New Roman" w:hAnsi="Arial" w:cs="Arial"/>
                <w:color w:val="333333"/>
                <w:sz w:val="24"/>
                <w:szCs w:val="24"/>
                <w:vertAlign w:val="superscript"/>
                <w:lang w:eastAsia="en-NZ"/>
              </w:rPr>
              <w:t>293</w:t>
            </w:r>
          </w:p>
        </w:tc>
        <w:tc>
          <w:tcPr>
            <w:tcW w:w="972" w:type="dxa"/>
            <w:tcBorders>
              <w:top w:val="nil"/>
              <w:left w:val="nil"/>
              <w:bottom w:val="single" w:sz="8" w:space="0" w:color="000000"/>
              <w:right w:val="nil"/>
            </w:tcBorders>
            <w:vAlign w:val="center"/>
          </w:tcPr>
          <w:p w:rsidR="00C21F85" w:rsidRPr="00D5126A" w:rsidRDefault="00C21F85" w:rsidP="00FA7D80">
            <w:pPr>
              <w:spacing w:after="0" w:line="240" w:lineRule="auto"/>
              <w:jc w:val="right"/>
              <w:rPr>
                <w:rFonts w:ascii="Arial" w:eastAsia="Times New Roman" w:hAnsi="Arial" w:cs="Arial"/>
                <w:color w:val="333333"/>
                <w:sz w:val="24"/>
                <w:szCs w:val="24"/>
                <w:lang w:eastAsia="en-NZ"/>
              </w:rPr>
            </w:pPr>
            <w:r w:rsidRPr="00D5126A">
              <w:rPr>
                <w:rFonts w:ascii="Arial" w:eastAsia="Times New Roman" w:hAnsi="Arial" w:cs="Arial"/>
                <w:color w:val="333333"/>
                <w:sz w:val="24"/>
                <w:szCs w:val="24"/>
                <w:vertAlign w:val="superscript"/>
                <w:lang w:eastAsia="en-NZ"/>
              </w:rPr>
              <w:t>738</w:t>
            </w:r>
          </w:p>
        </w:tc>
        <w:tc>
          <w:tcPr>
            <w:tcW w:w="972" w:type="dxa"/>
            <w:tcBorders>
              <w:top w:val="nil"/>
              <w:left w:val="nil"/>
              <w:bottom w:val="single" w:sz="8" w:space="0" w:color="000000"/>
              <w:right w:val="nil"/>
            </w:tcBorders>
            <w:vAlign w:val="center"/>
          </w:tcPr>
          <w:p w:rsidR="00C21F85" w:rsidRPr="00D5126A" w:rsidRDefault="00C21F85" w:rsidP="00FA7D80">
            <w:pPr>
              <w:spacing w:after="0" w:line="240" w:lineRule="auto"/>
              <w:jc w:val="right"/>
              <w:rPr>
                <w:rFonts w:ascii="Arial" w:eastAsia="Times New Roman" w:hAnsi="Arial" w:cs="Arial"/>
                <w:color w:val="333333"/>
                <w:sz w:val="24"/>
                <w:szCs w:val="24"/>
                <w:lang w:eastAsia="en-NZ"/>
              </w:rPr>
            </w:pPr>
            <w:r w:rsidRPr="00D5126A">
              <w:rPr>
                <w:rFonts w:ascii="Arial" w:eastAsia="Times New Roman" w:hAnsi="Arial" w:cs="Arial"/>
                <w:color w:val="333333"/>
                <w:sz w:val="24"/>
                <w:szCs w:val="24"/>
                <w:vertAlign w:val="superscript"/>
                <w:lang w:eastAsia="en-NZ"/>
              </w:rPr>
              <w:t>3,650</w:t>
            </w:r>
          </w:p>
        </w:tc>
        <w:tc>
          <w:tcPr>
            <w:tcW w:w="972" w:type="dxa"/>
            <w:tcBorders>
              <w:top w:val="nil"/>
              <w:left w:val="nil"/>
              <w:bottom w:val="single" w:sz="8" w:space="0" w:color="000000"/>
              <w:right w:val="nil"/>
            </w:tcBorders>
            <w:shd w:val="clear" w:color="auto" w:fill="auto"/>
            <w:vAlign w:val="center"/>
            <w:hideMark/>
          </w:tcPr>
          <w:p w:rsidR="00C21F85" w:rsidRPr="00D5126A" w:rsidRDefault="00C21F85" w:rsidP="00534FC7">
            <w:pPr>
              <w:spacing w:after="0" w:line="240" w:lineRule="auto"/>
              <w:jc w:val="right"/>
              <w:rPr>
                <w:rFonts w:ascii="Arial" w:eastAsia="Times New Roman" w:hAnsi="Arial" w:cs="Arial"/>
                <w:color w:val="333333"/>
                <w:sz w:val="24"/>
                <w:szCs w:val="24"/>
                <w:lang w:eastAsia="en-NZ"/>
              </w:rPr>
            </w:pPr>
            <w:r w:rsidRPr="00D5126A">
              <w:rPr>
                <w:rFonts w:ascii="Arial" w:eastAsia="Times New Roman" w:hAnsi="Arial" w:cs="Arial"/>
                <w:color w:val="333333"/>
                <w:sz w:val="24"/>
                <w:szCs w:val="24"/>
                <w:vertAlign w:val="superscript"/>
                <w:lang w:eastAsia="en-NZ"/>
              </w:rPr>
              <w:t>2,912</w:t>
            </w:r>
          </w:p>
        </w:tc>
      </w:tr>
      <w:tr w:rsidR="00C21F85" w:rsidRPr="00D5126A" w:rsidTr="00C21F85">
        <w:trPr>
          <w:trHeight w:val="375"/>
        </w:trPr>
        <w:tc>
          <w:tcPr>
            <w:tcW w:w="2552" w:type="dxa"/>
            <w:tcBorders>
              <w:top w:val="nil"/>
              <w:left w:val="nil"/>
              <w:bottom w:val="single" w:sz="8" w:space="0" w:color="000000"/>
              <w:right w:val="nil"/>
            </w:tcBorders>
            <w:shd w:val="clear" w:color="auto" w:fill="auto"/>
            <w:vAlign w:val="center"/>
            <w:hideMark/>
          </w:tcPr>
          <w:p w:rsidR="00C21F85" w:rsidRPr="00D5126A" w:rsidRDefault="00C21F85" w:rsidP="00E46729">
            <w:pPr>
              <w:spacing w:after="0" w:line="240" w:lineRule="auto"/>
              <w:rPr>
                <w:rFonts w:ascii="Arial" w:eastAsia="Times New Roman" w:hAnsi="Arial" w:cs="Arial"/>
                <w:color w:val="333333"/>
                <w:sz w:val="24"/>
                <w:szCs w:val="24"/>
                <w:lang w:eastAsia="en-NZ"/>
              </w:rPr>
            </w:pPr>
            <w:r w:rsidRPr="00D5126A">
              <w:rPr>
                <w:rFonts w:ascii="Arial" w:eastAsia="Times New Roman" w:hAnsi="Arial" w:cs="Arial"/>
                <w:color w:val="333333"/>
                <w:sz w:val="24"/>
                <w:szCs w:val="24"/>
                <w:vertAlign w:val="superscript"/>
                <w:lang w:eastAsia="en-NZ"/>
              </w:rPr>
              <w:t>Cultural wellbeing</w:t>
            </w:r>
          </w:p>
        </w:tc>
        <w:tc>
          <w:tcPr>
            <w:tcW w:w="972" w:type="dxa"/>
            <w:tcBorders>
              <w:top w:val="nil"/>
              <w:left w:val="nil"/>
              <w:bottom w:val="single" w:sz="8" w:space="0" w:color="000000"/>
              <w:right w:val="nil"/>
            </w:tcBorders>
            <w:shd w:val="clear" w:color="auto" w:fill="auto"/>
            <w:vAlign w:val="center"/>
            <w:hideMark/>
          </w:tcPr>
          <w:p w:rsidR="00C21F85" w:rsidRPr="00D5126A" w:rsidRDefault="00C21F85" w:rsidP="00534FC7">
            <w:pPr>
              <w:spacing w:after="0" w:line="240" w:lineRule="auto"/>
              <w:jc w:val="right"/>
              <w:rPr>
                <w:rFonts w:ascii="Arial" w:eastAsia="Times New Roman" w:hAnsi="Arial" w:cs="Arial"/>
                <w:color w:val="333333"/>
                <w:sz w:val="24"/>
                <w:szCs w:val="24"/>
                <w:lang w:eastAsia="en-NZ"/>
              </w:rPr>
            </w:pPr>
            <w:r w:rsidRPr="00D5126A">
              <w:rPr>
                <w:rFonts w:ascii="Arial" w:eastAsia="Times New Roman" w:hAnsi="Arial" w:cs="Arial"/>
                <w:color w:val="333333"/>
                <w:sz w:val="24"/>
                <w:szCs w:val="24"/>
                <w:vertAlign w:val="superscript"/>
                <w:lang w:eastAsia="en-NZ"/>
              </w:rPr>
              <w:t>1,286</w:t>
            </w:r>
          </w:p>
        </w:tc>
        <w:tc>
          <w:tcPr>
            <w:tcW w:w="972" w:type="dxa"/>
            <w:tcBorders>
              <w:top w:val="nil"/>
              <w:left w:val="nil"/>
              <w:bottom w:val="single" w:sz="8" w:space="0" w:color="000000"/>
              <w:right w:val="nil"/>
            </w:tcBorders>
            <w:shd w:val="clear" w:color="auto" w:fill="auto"/>
            <w:vAlign w:val="center"/>
            <w:hideMark/>
          </w:tcPr>
          <w:p w:rsidR="00C21F85" w:rsidRPr="00D5126A" w:rsidRDefault="00C21F85" w:rsidP="00534FC7">
            <w:pPr>
              <w:spacing w:after="0" w:line="240" w:lineRule="auto"/>
              <w:jc w:val="right"/>
              <w:rPr>
                <w:rFonts w:ascii="Arial" w:eastAsia="Times New Roman" w:hAnsi="Arial" w:cs="Arial"/>
                <w:color w:val="333333"/>
                <w:sz w:val="24"/>
                <w:szCs w:val="24"/>
                <w:lang w:eastAsia="en-NZ"/>
              </w:rPr>
            </w:pPr>
            <w:r w:rsidRPr="00D5126A">
              <w:rPr>
                <w:rFonts w:ascii="Arial" w:eastAsia="Times New Roman" w:hAnsi="Arial" w:cs="Arial"/>
                <w:color w:val="333333"/>
                <w:sz w:val="24"/>
                <w:szCs w:val="24"/>
                <w:vertAlign w:val="superscript"/>
                <w:lang w:eastAsia="en-NZ"/>
              </w:rPr>
              <w:t>443</w:t>
            </w:r>
          </w:p>
        </w:tc>
        <w:tc>
          <w:tcPr>
            <w:tcW w:w="972" w:type="dxa"/>
            <w:tcBorders>
              <w:top w:val="nil"/>
              <w:left w:val="nil"/>
              <w:bottom w:val="single" w:sz="8" w:space="0" w:color="000000"/>
              <w:right w:val="nil"/>
            </w:tcBorders>
            <w:vAlign w:val="center"/>
          </w:tcPr>
          <w:p w:rsidR="00C21F85" w:rsidRPr="00D5126A" w:rsidRDefault="00C21F85" w:rsidP="00FA7D80">
            <w:pPr>
              <w:spacing w:after="0" w:line="240" w:lineRule="auto"/>
              <w:jc w:val="right"/>
              <w:rPr>
                <w:rFonts w:ascii="Arial" w:eastAsia="Times New Roman" w:hAnsi="Arial" w:cs="Arial"/>
                <w:color w:val="333333"/>
                <w:sz w:val="24"/>
                <w:szCs w:val="24"/>
                <w:lang w:eastAsia="en-NZ"/>
              </w:rPr>
            </w:pPr>
            <w:r w:rsidRPr="00D5126A">
              <w:rPr>
                <w:rFonts w:ascii="Arial" w:eastAsia="Times New Roman" w:hAnsi="Arial" w:cs="Arial"/>
                <w:color w:val="333333"/>
                <w:sz w:val="24"/>
                <w:szCs w:val="24"/>
                <w:vertAlign w:val="superscript"/>
                <w:lang w:eastAsia="en-NZ"/>
              </w:rPr>
              <w:t>906</w:t>
            </w:r>
          </w:p>
        </w:tc>
        <w:tc>
          <w:tcPr>
            <w:tcW w:w="972" w:type="dxa"/>
            <w:tcBorders>
              <w:top w:val="nil"/>
              <w:left w:val="nil"/>
              <w:bottom w:val="single" w:sz="8" w:space="0" w:color="000000"/>
              <w:right w:val="nil"/>
            </w:tcBorders>
            <w:vAlign w:val="center"/>
          </w:tcPr>
          <w:p w:rsidR="00C21F85" w:rsidRPr="00D5126A" w:rsidRDefault="00E46729" w:rsidP="00E46729">
            <w:pPr>
              <w:spacing w:after="0" w:line="240" w:lineRule="auto"/>
              <w:jc w:val="right"/>
              <w:rPr>
                <w:rFonts w:ascii="Arial" w:eastAsia="Times New Roman" w:hAnsi="Arial" w:cs="Arial"/>
                <w:color w:val="333333"/>
                <w:sz w:val="24"/>
                <w:szCs w:val="24"/>
                <w:lang w:eastAsia="en-NZ"/>
              </w:rPr>
            </w:pPr>
            <w:r w:rsidRPr="00D5126A">
              <w:rPr>
                <w:rFonts w:ascii="Arial" w:eastAsia="Times New Roman" w:hAnsi="Arial" w:cs="Arial"/>
                <w:color w:val="333333"/>
                <w:sz w:val="24"/>
                <w:szCs w:val="24"/>
                <w:vertAlign w:val="superscript"/>
                <w:lang w:eastAsia="en-NZ"/>
              </w:rPr>
              <w:t>89</w:t>
            </w:r>
            <w:r>
              <w:rPr>
                <w:rFonts w:ascii="Arial" w:eastAsia="Times New Roman" w:hAnsi="Arial" w:cs="Arial"/>
                <w:color w:val="333333"/>
                <w:sz w:val="24"/>
                <w:szCs w:val="24"/>
                <w:vertAlign w:val="superscript"/>
                <w:lang w:eastAsia="en-NZ"/>
              </w:rPr>
              <w:t>5</w:t>
            </w:r>
          </w:p>
        </w:tc>
        <w:tc>
          <w:tcPr>
            <w:tcW w:w="972" w:type="dxa"/>
            <w:tcBorders>
              <w:top w:val="nil"/>
              <w:left w:val="nil"/>
              <w:bottom w:val="single" w:sz="8" w:space="0" w:color="000000"/>
              <w:right w:val="nil"/>
            </w:tcBorders>
            <w:vAlign w:val="center"/>
          </w:tcPr>
          <w:p w:rsidR="00C21F85" w:rsidRPr="00D5126A" w:rsidRDefault="00C21F85" w:rsidP="00FA7D80">
            <w:pPr>
              <w:spacing w:after="0" w:line="240" w:lineRule="auto"/>
              <w:jc w:val="right"/>
              <w:rPr>
                <w:rFonts w:ascii="Arial" w:eastAsia="Times New Roman" w:hAnsi="Arial" w:cs="Arial"/>
                <w:color w:val="333333"/>
                <w:sz w:val="24"/>
                <w:szCs w:val="24"/>
                <w:lang w:eastAsia="en-NZ"/>
              </w:rPr>
            </w:pPr>
            <w:r w:rsidRPr="00D5126A">
              <w:rPr>
                <w:rFonts w:ascii="Arial" w:eastAsia="Times New Roman" w:hAnsi="Arial" w:cs="Arial"/>
                <w:color w:val="333333"/>
                <w:sz w:val="24"/>
                <w:szCs w:val="24"/>
                <w:vertAlign w:val="superscript"/>
                <w:lang w:eastAsia="en-NZ"/>
              </w:rPr>
              <w:t>4,145</w:t>
            </w:r>
          </w:p>
        </w:tc>
        <w:tc>
          <w:tcPr>
            <w:tcW w:w="972" w:type="dxa"/>
            <w:tcBorders>
              <w:top w:val="nil"/>
              <w:left w:val="nil"/>
              <w:bottom w:val="single" w:sz="8" w:space="0" w:color="000000"/>
              <w:right w:val="nil"/>
            </w:tcBorders>
            <w:vAlign w:val="center"/>
          </w:tcPr>
          <w:p w:rsidR="00C21F85" w:rsidRPr="00D5126A" w:rsidRDefault="00C21F85" w:rsidP="00E46729">
            <w:pPr>
              <w:spacing w:after="0" w:line="240" w:lineRule="auto"/>
              <w:jc w:val="right"/>
              <w:rPr>
                <w:rFonts w:ascii="Arial" w:eastAsia="Times New Roman" w:hAnsi="Arial" w:cs="Arial"/>
                <w:color w:val="333333"/>
                <w:sz w:val="24"/>
                <w:szCs w:val="24"/>
                <w:lang w:eastAsia="en-NZ"/>
              </w:rPr>
            </w:pPr>
            <w:r w:rsidRPr="00D5126A">
              <w:rPr>
                <w:rFonts w:ascii="Arial" w:eastAsia="Times New Roman" w:hAnsi="Arial" w:cs="Arial"/>
                <w:color w:val="333333"/>
                <w:sz w:val="24"/>
                <w:szCs w:val="24"/>
                <w:vertAlign w:val="superscript"/>
                <w:lang w:eastAsia="en-NZ"/>
              </w:rPr>
              <w:t>1,</w:t>
            </w:r>
            <w:r w:rsidR="00E46729" w:rsidRPr="00D5126A">
              <w:rPr>
                <w:rFonts w:ascii="Arial" w:eastAsia="Times New Roman" w:hAnsi="Arial" w:cs="Arial"/>
                <w:color w:val="333333"/>
                <w:sz w:val="24"/>
                <w:szCs w:val="24"/>
                <w:vertAlign w:val="superscript"/>
                <w:lang w:eastAsia="en-NZ"/>
              </w:rPr>
              <w:t>80</w:t>
            </w:r>
            <w:r w:rsidR="00E46729">
              <w:rPr>
                <w:rFonts w:ascii="Arial" w:eastAsia="Times New Roman" w:hAnsi="Arial" w:cs="Arial"/>
                <w:color w:val="333333"/>
                <w:sz w:val="24"/>
                <w:szCs w:val="24"/>
                <w:vertAlign w:val="superscript"/>
                <w:lang w:eastAsia="en-NZ"/>
              </w:rPr>
              <w:t>1</w:t>
            </w:r>
          </w:p>
        </w:tc>
        <w:tc>
          <w:tcPr>
            <w:tcW w:w="972" w:type="dxa"/>
            <w:tcBorders>
              <w:top w:val="nil"/>
              <w:left w:val="nil"/>
              <w:bottom w:val="single" w:sz="8" w:space="0" w:color="000000"/>
              <w:right w:val="nil"/>
            </w:tcBorders>
            <w:shd w:val="clear" w:color="auto" w:fill="auto"/>
            <w:vAlign w:val="center"/>
            <w:hideMark/>
          </w:tcPr>
          <w:p w:rsidR="00C21F85" w:rsidRPr="00D5126A" w:rsidRDefault="00C21F85" w:rsidP="00E46729">
            <w:pPr>
              <w:spacing w:after="0" w:line="240" w:lineRule="auto"/>
              <w:jc w:val="right"/>
              <w:rPr>
                <w:rFonts w:ascii="Arial" w:eastAsia="Times New Roman" w:hAnsi="Arial" w:cs="Arial"/>
                <w:color w:val="333333"/>
                <w:sz w:val="24"/>
                <w:szCs w:val="24"/>
                <w:lang w:eastAsia="en-NZ"/>
              </w:rPr>
            </w:pPr>
            <w:r w:rsidRPr="00D5126A">
              <w:rPr>
                <w:rFonts w:ascii="Arial" w:eastAsia="Times New Roman" w:hAnsi="Arial" w:cs="Arial"/>
                <w:color w:val="333333"/>
                <w:sz w:val="24"/>
                <w:szCs w:val="24"/>
                <w:vertAlign w:val="superscript"/>
                <w:lang w:eastAsia="en-NZ"/>
              </w:rPr>
              <w:t>(2,34</w:t>
            </w:r>
            <w:r w:rsidR="00E46729">
              <w:rPr>
                <w:rFonts w:ascii="Arial" w:eastAsia="Times New Roman" w:hAnsi="Arial" w:cs="Arial"/>
                <w:color w:val="333333"/>
                <w:sz w:val="24"/>
                <w:szCs w:val="24"/>
                <w:vertAlign w:val="superscript"/>
                <w:lang w:eastAsia="en-NZ"/>
              </w:rPr>
              <w:t>4</w:t>
            </w:r>
            <w:r w:rsidRPr="00D5126A">
              <w:rPr>
                <w:rFonts w:ascii="Arial" w:eastAsia="Times New Roman" w:hAnsi="Arial" w:cs="Arial"/>
                <w:color w:val="333333"/>
                <w:sz w:val="24"/>
                <w:szCs w:val="24"/>
                <w:vertAlign w:val="superscript"/>
                <w:lang w:eastAsia="en-NZ"/>
              </w:rPr>
              <w:t>)</w:t>
            </w:r>
          </w:p>
        </w:tc>
      </w:tr>
      <w:tr w:rsidR="00C21F85" w:rsidRPr="00D5126A" w:rsidTr="00C21F85">
        <w:trPr>
          <w:trHeight w:val="375"/>
        </w:trPr>
        <w:tc>
          <w:tcPr>
            <w:tcW w:w="2552" w:type="dxa"/>
            <w:tcBorders>
              <w:top w:val="nil"/>
              <w:left w:val="nil"/>
              <w:bottom w:val="single" w:sz="8" w:space="0" w:color="000000"/>
              <w:right w:val="nil"/>
            </w:tcBorders>
            <w:shd w:val="clear" w:color="auto" w:fill="auto"/>
            <w:vAlign w:val="center"/>
            <w:hideMark/>
          </w:tcPr>
          <w:p w:rsidR="00C21F85" w:rsidRPr="00D5126A" w:rsidRDefault="00C21F85" w:rsidP="00E46729">
            <w:pPr>
              <w:spacing w:after="0" w:line="240" w:lineRule="auto"/>
              <w:rPr>
                <w:rFonts w:ascii="Arial" w:eastAsia="Times New Roman" w:hAnsi="Arial" w:cs="Arial"/>
                <w:color w:val="333333"/>
                <w:sz w:val="24"/>
                <w:szCs w:val="24"/>
                <w:lang w:eastAsia="en-NZ"/>
              </w:rPr>
            </w:pPr>
            <w:r w:rsidRPr="00D5126A">
              <w:rPr>
                <w:rFonts w:ascii="Arial" w:eastAsia="Times New Roman" w:hAnsi="Arial" w:cs="Arial"/>
                <w:color w:val="333333"/>
                <w:sz w:val="24"/>
                <w:szCs w:val="24"/>
                <w:vertAlign w:val="superscript"/>
                <w:lang w:eastAsia="en-NZ"/>
              </w:rPr>
              <w:t>Social and recreation</w:t>
            </w:r>
          </w:p>
        </w:tc>
        <w:tc>
          <w:tcPr>
            <w:tcW w:w="972" w:type="dxa"/>
            <w:tcBorders>
              <w:top w:val="nil"/>
              <w:left w:val="nil"/>
              <w:bottom w:val="single" w:sz="8" w:space="0" w:color="000000"/>
              <w:right w:val="nil"/>
            </w:tcBorders>
            <w:shd w:val="clear" w:color="auto" w:fill="auto"/>
            <w:vAlign w:val="center"/>
            <w:hideMark/>
          </w:tcPr>
          <w:p w:rsidR="00C21F85" w:rsidRPr="00D5126A" w:rsidRDefault="00C21F85" w:rsidP="00534FC7">
            <w:pPr>
              <w:spacing w:after="0" w:line="240" w:lineRule="auto"/>
              <w:jc w:val="right"/>
              <w:rPr>
                <w:rFonts w:ascii="Arial" w:eastAsia="Times New Roman" w:hAnsi="Arial" w:cs="Arial"/>
                <w:color w:val="333333"/>
                <w:sz w:val="24"/>
                <w:szCs w:val="24"/>
                <w:lang w:eastAsia="en-NZ"/>
              </w:rPr>
            </w:pPr>
            <w:r w:rsidRPr="00D5126A">
              <w:rPr>
                <w:rFonts w:ascii="Arial" w:eastAsia="Times New Roman" w:hAnsi="Arial" w:cs="Arial"/>
                <w:color w:val="333333"/>
                <w:sz w:val="24"/>
                <w:szCs w:val="24"/>
                <w:vertAlign w:val="superscript"/>
                <w:lang w:eastAsia="en-NZ"/>
              </w:rPr>
              <w:t>30,186</w:t>
            </w:r>
          </w:p>
        </w:tc>
        <w:tc>
          <w:tcPr>
            <w:tcW w:w="972" w:type="dxa"/>
            <w:tcBorders>
              <w:top w:val="nil"/>
              <w:left w:val="nil"/>
              <w:bottom w:val="single" w:sz="8" w:space="0" w:color="000000"/>
              <w:right w:val="nil"/>
            </w:tcBorders>
            <w:shd w:val="clear" w:color="auto" w:fill="auto"/>
            <w:vAlign w:val="center"/>
            <w:hideMark/>
          </w:tcPr>
          <w:p w:rsidR="00C21F85" w:rsidRPr="00D5126A" w:rsidRDefault="00C21F85" w:rsidP="00534FC7">
            <w:pPr>
              <w:spacing w:after="0" w:line="240" w:lineRule="auto"/>
              <w:jc w:val="right"/>
              <w:rPr>
                <w:rFonts w:ascii="Arial" w:eastAsia="Times New Roman" w:hAnsi="Arial" w:cs="Arial"/>
                <w:color w:val="333333"/>
                <w:sz w:val="24"/>
                <w:szCs w:val="24"/>
                <w:lang w:eastAsia="en-NZ"/>
              </w:rPr>
            </w:pPr>
            <w:r w:rsidRPr="00D5126A">
              <w:rPr>
                <w:rFonts w:ascii="Arial" w:eastAsia="Times New Roman" w:hAnsi="Arial" w:cs="Arial"/>
                <w:color w:val="333333"/>
                <w:sz w:val="24"/>
                <w:szCs w:val="24"/>
                <w:vertAlign w:val="superscript"/>
                <w:lang w:eastAsia="en-NZ"/>
              </w:rPr>
              <w:t>40,253</w:t>
            </w:r>
          </w:p>
        </w:tc>
        <w:tc>
          <w:tcPr>
            <w:tcW w:w="972" w:type="dxa"/>
            <w:tcBorders>
              <w:top w:val="nil"/>
              <w:left w:val="nil"/>
              <w:bottom w:val="single" w:sz="8" w:space="0" w:color="000000"/>
              <w:right w:val="nil"/>
            </w:tcBorders>
            <w:vAlign w:val="center"/>
          </w:tcPr>
          <w:p w:rsidR="00C21F85" w:rsidRPr="00D5126A" w:rsidRDefault="00C21F85" w:rsidP="00FA7D80">
            <w:pPr>
              <w:spacing w:after="0" w:line="240" w:lineRule="auto"/>
              <w:jc w:val="right"/>
              <w:rPr>
                <w:rFonts w:ascii="Arial" w:eastAsia="Times New Roman" w:hAnsi="Arial" w:cs="Arial"/>
                <w:color w:val="333333"/>
                <w:sz w:val="24"/>
                <w:szCs w:val="24"/>
                <w:lang w:eastAsia="en-NZ"/>
              </w:rPr>
            </w:pPr>
            <w:r w:rsidRPr="00D5126A">
              <w:rPr>
                <w:rFonts w:ascii="Arial" w:eastAsia="Times New Roman" w:hAnsi="Arial" w:cs="Arial"/>
                <w:color w:val="333333"/>
                <w:sz w:val="24"/>
                <w:szCs w:val="24"/>
                <w:vertAlign w:val="superscript"/>
                <w:lang w:eastAsia="en-NZ"/>
              </w:rPr>
              <w:t>39,693</w:t>
            </w:r>
          </w:p>
        </w:tc>
        <w:tc>
          <w:tcPr>
            <w:tcW w:w="972" w:type="dxa"/>
            <w:tcBorders>
              <w:top w:val="nil"/>
              <w:left w:val="nil"/>
              <w:bottom w:val="single" w:sz="8" w:space="0" w:color="000000"/>
              <w:right w:val="nil"/>
            </w:tcBorders>
            <w:vAlign w:val="center"/>
          </w:tcPr>
          <w:p w:rsidR="00C21F85" w:rsidRPr="00D5126A" w:rsidRDefault="00C21F85" w:rsidP="00FA7D80">
            <w:pPr>
              <w:spacing w:after="0" w:line="240" w:lineRule="auto"/>
              <w:jc w:val="right"/>
              <w:rPr>
                <w:rFonts w:ascii="Arial" w:eastAsia="Times New Roman" w:hAnsi="Arial" w:cs="Arial"/>
                <w:color w:val="333333"/>
                <w:sz w:val="24"/>
                <w:szCs w:val="24"/>
                <w:lang w:eastAsia="en-NZ"/>
              </w:rPr>
            </w:pPr>
            <w:r w:rsidRPr="00D5126A">
              <w:rPr>
                <w:rFonts w:ascii="Arial" w:eastAsia="Times New Roman" w:hAnsi="Arial" w:cs="Arial"/>
                <w:color w:val="333333"/>
                <w:sz w:val="24"/>
                <w:szCs w:val="24"/>
                <w:vertAlign w:val="superscript"/>
                <w:lang w:eastAsia="en-NZ"/>
              </w:rPr>
              <w:t>1,456</w:t>
            </w:r>
          </w:p>
        </w:tc>
        <w:tc>
          <w:tcPr>
            <w:tcW w:w="972" w:type="dxa"/>
            <w:tcBorders>
              <w:top w:val="nil"/>
              <w:left w:val="nil"/>
              <w:bottom w:val="single" w:sz="8" w:space="0" w:color="000000"/>
              <w:right w:val="nil"/>
            </w:tcBorders>
            <w:vAlign w:val="center"/>
          </w:tcPr>
          <w:p w:rsidR="00C21F85" w:rsidRPr="00D5126A" w:rsidRDefault="00C21F85" w:rsidP="00FA7D80">
            <w:pPr>
              <w:spacing w:after="0" w:line="240" w:lineRule="auto"/>
              <w:jc w:val="right"/>
              <w:rPr>
                <w:rFonts w:ascii="Arial" w:eastAsia="Times New Roman" w:hAnsi="Arial" w:cs="Arial"/>
                <w:color w:val="333333"/>
                <w:sz w:val="24"/>
                <w:szCs w:val="24"/>
                <w:lang w:eastAsia="en-NZ"/>
              </w:rPr>
            </w:pPr>
            <w:r w:rsidRPr="00D5126A">
              <w:rPr>
                <w:rFonts w:ascii="Arial" w:eastAsia="Times New Roman" w:hAnsi="Arial" w:cs="Arial"/>
                <w:color w:val="333333"/>
                <w:sz w:val="24"/>
                <w:szCs w:val="24"/>
                <w:vertAlign w:val="superscript"/>
                <w:lang w:eastAsia="en-NZ"/>
              </w:rPr>
              <w:t>30,025</w:t>
            </w:r>
          </w:p>
        </w:tc>
        <w:tc>
          <w:tcPr>
            <w:tcW w:w="972" w:type="dxa"/>
            <w:tcBorders>
              <w:top w:val="nil"/>
              <w:left w:val="nil"/>
              <w:bottom w:val="single" w:sz="8" w:space="0" w:color="000000"/>
              <w:right w:val="nil"/>
            </w:tcBorders>
            <w:vAlign w:val="center"/>
          </w:tcPr>
          <w:p w:rsidR="00C21F85" w:rsidRPr="00D5126A" w:rsidRDefault="00C21F85" w:rsidP="00FA7D80">
            <w:pPr>
              <w:spacing w:after="0" w:line="240" w:lineRule="auto"/>
              <w:jc w:val="right"/>
              <w:rPr>
                <w:rFonts w:ascii="Arial" w:eastAsia="Times New Roman" w:hAnsi="Arial" w:cs="Arial"/>
                <w:color w:val="333333"/>
                <w:sz w:val="24"/>
                <w:szCs w:val="24"/>
                <w:lang w:eastAsia="en-NZ"/>
              </w:rPr>
            </w:pPr>
            <w:r w:rsidRPr="00D5126A">
              <w:rPr>
                <w:rFonts w:ascii="Arial" w:eastAsia="Times New Roman" w:hAnsi="Arial" w:cs="Arial"/>
                <w:color w:val="333333"/>
                <w:sz w:val="24"/>
                <w:szCs w:val="24"/>
                <w:vertAlign w:val="superscript"/>
                <w:lang w:eastAsia="en-NZ"/>
              </w:rPr>
              <w:t>41,149</w:t>
            </w:r>
          </w:p>
        </w:tc>
        <w:tc>
          <w:tcPr>
            <w:tcW w:w="972" w:type="dxa"/>
            <w:tcBorders>
              <w:top w:val="nil"/>
              <w:left w:val="nil"/>
              <w:bottom w:val="single" w:sz="8" w:space="0" w:color="000000"/>
              <w:right w:val="nil"/>
            </w:tcBorders>
            <w:shd w:val="clear" w:color="auto" w:fill="auto"/>
            <w:vAlign w:val="center"/>
            <w:hideMark/>
          </w:tcPr>
          <w:p w:rsidR="00C21F85" w:rsidRPr="00D5126A" w:rsidRDefault="00C21F85" w:rsidP="00534FC7">
            <w:pPr>
              <w:spacing w:after="0" w:line="240" w:lineRule="auto"/>
              <w:jc w:val="right"/>
              <w:rPr>
                <w:rFonts w:ascii="Arial" w:eastAsia="Times New Roman" w:hAnsi="Arial" w:cs="Arial"/>
                <w:color w:val="333333"/>
                <w:sz w:val="24"/>
                <w:szCs w:val="24"/>
                <w:lang w:eastAsia="en-NZ"/>
              </w:rPr>
            </w:pPr>
            <w:r w:rsidRPr="00D5126A">
              <w:rPr>
                <w:rFonts w:ascii="Arial" w:eastAsia="Times New Roman" w:hAnsi="Arial" w:cs="Arial"/>
                <w:color w:val="333333"/>
                <w:sz w:val="24"/>
                <w:szCs w:val="24"/>
                <w:vertAlign w:val="superscript"/>
                <w:lang w:eastAsia="en-NZ"/>
              </w:rPr>
              <w:t>11,124</w:t>
            </w:r>
          </w:p>
        </w:tc>
      </w:tr>
      <w:tr w:rsidR="00C21F85" w:rsidRPr="00D5126A" w:rsidTr="00C21F85">
        <w:trPr>
          <w:trHeight w:val="375"/>
        </w:trPr>
        <w:tc>
          <w:tcPr>
            <w:tcW w:w="2552" w:type="dxa"/>
            <w:tcBorders>
              <w:top w:val="nil"/>
              <w:left w:val="nil"/>
              <w:bottom w:val="single" w:sz="8" w:space="0" w:color="000000"/>
              <w:right w:val="nil"/>
            </w:tcBorders>
            <w:shd w:val="clear" w:color="auto" w:fill="auto"/>
            <w:vAlign w:val="center"/>
            <w:hideMark/>
          </w:tcPr>
          <w:p w:rsidR="00C21F85" w:rsidRPr="00D5126A" w:rsidRDefault="00C21F85" w:rsidP="00E46729">
            <w:pPr>
              <w:spacing w:after="0" w:line="240" w:lineRule="auto"/>
              <w:rPr>
                <w:rFonts w:ascii="Arial" w:eastAsia="Times New Roman" w:hAnsi="Arial" w:cs="Arial"/>
                <w:color w:val="333333"/>
                <w:sz w:val="24"/>
                <w:szCs w:val="24"/>
                <w:lang w:eastAsia="en-NZ"/>
              </w:rPr>
            </w:pPr>
            <w:r w:rsidRPr="00D5126A">
              <w:rPr>
                <w:rFonts w:ascii="Arial" w:eastAsia="Times New Roman" w:hAnsi="Arial" w:cs="Arial"/>
                <w:color w:val="333333"/>
                <w:sz w:val="24"/>
                <w:szCs w:val="24"/>
                <w:vertAlign w:val="superscript"/>
                <w:lang w:eastAsia="en-NZ"/>
              </w:rPr>
              <w:t>Urban development</w:t>
            </w:r>
          </w:p>
        </w:tc>
        <w:tc>
          <w:tcPr>
            <w:tcW w:w="972" w:type="dxa"/>
            <w:tcBorders>
              <w:top w:val="nil"/>
              <w:left w:val="nil"/>
              <w:bottom w:val="single" w:sz="8" w:space="0" w:color="000000"/>
              <w:right w:val="nil"/>
            </w:tcBorders>
            <w:shd w:val="clear" w:color="auto" w:fill="auto"/>
            <w:vAlign w:val="center"/>
            <w:hideMark/>
          </w:tcPr>
          <w:p w:rsidR="00C21F85" w:rsidRPr="00D5126A" w:rsidRDefault="00C21F85" w:rsidP="00534FC7">
            <w:pPr>
              <w:spacing w:after="0" w:line="240" w:lineRule="auto"/>
              <w:jc w:val="right"/>
              <w:rPr>
                <w:rFonts w:ascii="Arial" w:eastAsia="Times New Roman" w:hAnsi="Arial" w:cs="Arial"/>
                <w:color w:val="333333"/>
                <w:sz w:val="24"/>
                <w:szCs w:val="24"/>
                <w:lang w:eastAsia="en-NZ"/>
              </w:rPr>
            </w:pPr>
            <w:r w:rsidRPr="00D5126A">
              <w:rPr>
                <w:rFonts w:ascii="Arial" w:eastAsia="Times New Roman" w:hAnsi="Arial" w:cs="Arial"/>
                <w:color w:val="333333"/>
                <w:sz w:val="24"/>
                <w:szCs w:val="24"/>
                <w:vertAlign w:val="superscript"/>
                <w:lang w:eastAsia="en-NZ"/>
              </w:rPr>
              <w:t>9,784</w:t>
            </w:r>
          </w:p>
        </w:tc>
        <w:tc>
          <w:tcPr>
            <w:tcW w:w="972" w:type="dxa"/>
            <w:tcBorders>
              <w:top w:val="nil"/>
              <w:left w:val="nil"/>
              <w:bottom w:val="single" w:sz="8" w:space="0" w:color="000000"/>
              <w:right w:val="nil"/>
            </w:tcBorders>
            <w:shd w:val="clear" w:color="auto" w:fill="auto"/>
            <w:vAlign w:val="center"/>
            <w:hideMark/>
          </w:tcPr>
          <w:p w:rsidR="00C21F85" w:rsidRPr="00D5126A" w:rsidRDefault="00C21F85" w:rsidP="00534FC7">
            <w:pPr>
              <w:spacing w:after="0" w:line="240" w:lineRule="auto"/>
              <w:jc w:val="right"/>
              <w:rPr>
                <w:rFonts w:ascii="Arial" w:eastAsia="Times New Roman" w:hAnsi="Arial" w:cs="Arial"/>
                <w:color w:val="333333"/>
                <w:sz w:val="24"/>
                <w:szCs w:val="24"/>
                <w:lang w:eastAsia="en-NZ"/>
              </w:rPr>
            </w:pPr>
            <w:r w:rsidRPr="00D5126A">
              <w:rPr>
                <w:rFonts w:ascii="Arial" w:eastAsia="Times New Roman" w:hAnsi="Arial" w:cs="Arial"/>
                <w:color w:val="333333"/>
                <w:sz w:val="24"/>
                <w:szCs w:val="24"/>
                <w:vertAlign w:val="superscript"/>
                <w:lang w:eastAsia="en-NZ"/>
              </w:rPr>
              <w:t>19,504</w:t>
            </w:r>
          </w:p>
        </w:tc>
        <w:tc>
          <w:tcPr>
            <w:tcW w:w="972" w:type="dxa"/>
            <w:tcBorders>
              <w:top w:val="nil"/>
              <w:left w:val="nil"/>
              <w:bottom w:val="single" w:sz="8" w:space="0" w:color="000000"/>
              <w:right w:val="nil"/>
            </w:tcBorders>
            <w:vAlign w:val="center"/>
          </w:tcPr>
          <w:p w:rsidR="00C21F85" w:rsidRPr="00D5126A" w:rsidRDefault="00C21F85" w:rsidP="00FA7D80">
            <w:pPr>
              <w:spacing w:after="0" w:line="240" w:lineRule="auto"/>
              <w:jc w:val="right"/>
              <w:rPr>
                <w:rFonts w:ascii="Arial" w:eastAsia="Times New Roman" w:hAnsi="Arial" w:cs="Arial"/>
                <w:color w:val="333333"/>
                <w:sz w:val="24"/>
                <w:szCs w:val="24"/>
                <w:lang w:eastAsia="en-NZ"/>
              </w:rPr>
            </w:pPr>
            <w:r w:rsidRPr="00D5126A">
              <w:rPr>
                <w:rFonts w:ascii="Arial" w:eastAsia="Times New Roman" w:hAnsi="Arial" w:cs="Arial"/>
                <w:color w:val="333333"/>
                <w:sz w:val="24"/>
                <w:szCs w:val="24"/>
                <w:vertAlign w:val="superscript"/>
                <w:lang w:eastAsia="en-NZ"/>
              </w:rPr>
              <w:t>44,270</w:t>
            </w:r>
          </w:p>
        </w:tc>
        <w:tc>
          <w:tcPr>
            <w:tcW w:w="972" w:type="dxa"/>
            <w:tcBorders>
              <w:top w:val="nil"/>
              <w:left w:val="nil"/>
              <w:bottom w:val="single" w:sz="8" w:space="0" w:color="000000"/>
              <w:right w:val="nil"/>
            </w:tcBorders>
            <w:vAlign w:val="center"/>
          </w:tcPr>
          <w:p w:rsidR="00C21F85" w:rsidRPr="00D5126A" w:rsidRDefault="00C21F85" w:rsidP="00FA7D80">
            <w:pPr>
              <w:spacing w:after="0" w:line="240" w:lineRule="auto"/>
              <w:jc w:val="right"/>
              <w:rPr>
                <w:rFonts w:ascii="Arial" w:eastAsia="Times New Roman" w:hAnsi="Arial" w:cs="Arial"/>
                <w:color w:val="333333"/>
                <w:sz w:val="24"/>
                <w:szCs w:val="24"/>
                <w:lang w:eastAsia="en-NZ"/>
              </w:rPr>
            </w:pPr>
            <w:r w:rsidRPr="00D5126A">
              <w:rPr>
                <w:rFonts w:ascii="Arial" w:eastAsia="Times New Roman" w:hAnsi="Arial" w:cs="Arial"/>
                <w:color w:val="333333"/>
                <w:sz w:val="24"/>
                <w:szCs w:val="24"/>
                <w:vertAlign w:val="superscript"/>
                <w:lang w:eastAsia="en-NZ"/>
              </w:rPr>
              <w:t>4,213</w:t>
            </w:r>
          </w:p>
        </w:tc>
        <w:tc>
          <w:tcPr>
            <w:tcW w:w="972" w:type="dxa"/>
            <w:tcBorders>
              <w:top w:val="nil"/>
              <w:left w:val="nil"/>
              <w:bottom w:val="single" w:sz="8" w:space="0" w:color="000000"/>
              <w:right w:val="nil"/>
            </w:tcBorders>
            <w:vAlign w:val="center"/>
          </w:tcPr>
          <w:p w:rsidR="00C21F85" w:rsidRPr="00D5126A" w:rsidRDefault="00C21F85" w:rsidP="00FA7D80">
            <w:pPr>
              <w:spacing w:after="0" w:line="240" w:lineRule="auto"/>
              <w:jc w:val="right"/>
              <w:rPr>
                <w:rFonts w:ascii="Arial" w:eastAsia="Times New Roman" w:hAnsi="Arial" w:cs="Arial"/>
                <w:color w:val="333333"/>
                <w:sz w:val="24"/>
                <w:szCs w:val="24"/>
                <w:lang w:eastAsia="en-NZ"/>
              </w:rPr>
            </w:pPr>
            <w:r w:rsidRPr="00D5126A">
              <w:rPr>
                <w:rFonts w:ascii="Arial" w:eastAsia="Times New Roman" w:hAnsi="Arial" w:cs="Arial"/>
                <w:color w:val="333333"/>
                <w:sz w:val="24"/>
                <w:szCs w:val="24"/>
                <w:vertAlign w:val="superscript"/>
                <w:lang w:eastAsia="en-NZ"/>
              </w:rPr>
              <w:t>14,610</w:t>
            </w:r>
          </w:p>
        </w:tc>
        <w:tc>
          <w:tcPr>
            <w:tcW w:w="972" w:type="dxa"/>
            <w:tcBorders>
              <w:top w:val="nil"/>
              <w:left w:val="nil"/>
              <w:bottom w:val="single" w:sz="8" w:space="0" w:color="000000"/>
              <w:right w:val="nil"/>
            </w:tcBorders>
            <w:vAlign w:val="center"/>
          </w:tcPr>
          <w:p w:rsidR="00C21F85" w:rsidRPr="00D5126A" w:rsidRDefault="00C21F85" w:rsidP="00FA7D80">
            <w:pPr>
              <w:spacing w:after="0" w:line="240" w:lineRule="auto"/>
              <w:jc w:val="right"/>
              <w:rPr>
                <w:rFonts w:ascii="Arial" w:eastAsia="Times New Roman" w:hAnsi="Arial" w:cs="Arial"/>
                <w:color w:val="333333"/>
                <w:sz w:val="24"/>
                <w:szCs w:val="24"/>
                <w:lang w:eastAsia="en-NZ"/>
              </w:rPr>
            </w:pPr>
            <w:r w:rsidRPr="00D5126A">
              <w:rPr>
                <w:rFonts w:ascii="Arial" w:eastAsia="Times New Roman" w:hAnsi="Arial" w:cs="Arial"/>
                <w:color w:val="333333"/>
                <w:sz w:val="24"/>
                <w:szCs w:val="24"/>
                <w:vertAlign w:val="superscript"/>
                <w:lang w:eastAsia="en-NZ"/>
              </w:rPr>
              <w:t>48,483</w:t>
            </w:r>
          </w:p>
        </w:tc>
        <w:tc>
          <w:tcPr>
            <w:tcW w:w="972" w:type="dxa"/>
            <w:tcBorders>
              <w:top w:val="nil"/>
              <w:left w:val="nil"/>
              <w:bottom w:val="single" w:sz="8" w:space="0" w:color="000000"/>
              <w:right w:val="nil"/>
            </w:tcBorders>
            <w:shd w:val="clear" w:color="auto" w:fill="auto"/>
            <w:vAlign w:val="center"/>
            <w:hideMark/>
          </w:tcPr>
          <w:p w:rsidR="00C21F85" w:rsidRPr="00D5126A" w:rsidRDefault="00C21F85" w:rsidP="00534FC7">
            <w:pPr>
              <w:spacing w:after="0" w:line="240" w:lineRule="auto"/>
              <w:jc w:val="right"/>
              <w:rPr>
                <w:rFonts w:ascii="Arial" w:eastAsia="Times New Roman" w:hAnsi="Arial" w:cs="Arial"/>
                <w:color w:val="333333"/>
                <w:sz w:val="24"/>
                <w:szCs w:val="24"/>
                <w:lang w:eastAsia="en-NZ"/>
              </w:rPr>
            </w:pPr>
            <w:r w:rsidRPr="00D5126A">
              <w:rPr>
                <w:rFonts w:ascii="Arial" w:eastAsia="Times New Roman" w:hAnsi="Arial" w:cs="Arial"/>
                <w:color w:val="333333"/>
                <w:sz w:val="24"/>
                <w:szCs w:val="24"/>
                <w:vertAlign w:val="superscript"/>
                <w:lang w:eastAsia="en-NZ"/>
              </w:rPr>
              <w:t>33,873</w:t>
            </w:r>
          </w:p>
        </w:tc>
      </w:tr>
      <w:tr w:rsidR="00C21F85" w:rsidRPr="00D5126A" w:rsidTr="00C21F85">
        <w:trPr>
          <w:trHeight w:val="375"/>
        </w:trPr>
        <w:tc>
          <w:tcPr>
            <w:tcW w:w="2552" w:type="dxa"/>
            <w:tcBorders>
              <w:top w:val="nil"/>
              <w:left w:val="nil"/>
              <w:bottom w:val="single" w:sz="4" w:space="0" w:color="auto"/>
              <w:right w:val="nil"/>
            </w:tcBorders>
            <w:shd w:val="clear" w:color="auto" w:fill="auto"/>
            <w:vAlign w:val="center"/>
            <w:hideMark/>
          </w:tcPr>
          <w:p w:rsidR="00C21F85" w:rsidRPr="00D5126A" w:rsidRDefault="00C21F85" w:rsidP="00E46729">
            <w:pPr>
              <w:spacing w:after="0" w:line="240" w:lineRule="auto"/>
              <w:rPr>
                <w:rFonts w:ascii="Arial" w:eastAsia="Times New Roman" w:hAnsi="Arial" w:cs="Arial"/>
                <w:color w:val="333333"/>
                <w:sz w:val="24"/>
                <w:szCs w:val="24"/>
                <w:lang w:eastAsia="en-NZ"/>
              </w:rPr>
            </w:pPr>
            <w:r w:rsidRPr="00D5126A">
              <w:rPr>
                <w:rFonts w:ascii="Arial" w:eastAsia="Times New Roman" w:hAnsi="Arial" w:cs="Arial"/>
                <w:color w:val="333333"/>
                <w:sz w:val="24"/>
                <w:szCs w:val="24"/>
                <w:vertAlign w:val="superscript"/>
                <w:lang w:eastAsia="en-NZ"/>
              </w:rPr>
              <w:t>Transport</w:t>
            </w:r>
          </w:p>
        </w:tc>
        <w:tc>
          <w:tcPr>
            <w:tcW w:w="972" w:type="dxa"/>
            <w:tcBorders>
              <w:top w:val="nil"/>
              <w:left w:val="nil"/>
              <w:bottom w:val="single" w:sz="4" w:space="0" w:color="auto"/>
              <w:right w:val="nil"/>
            </w:tcBorders>
            <w:shd w:val="clear" w:color="auto" w:fill="auto"/>
            <w:vAlign w:val="center"/>
            <w:hideMark/>
          </w:tcPr>
          <w:p w:rsidR="00C21F85" w:rsidRPr="00D5126A" w:rsidRDefault="00C21F85" w:rsidP="00534FC7">
            <w:pPr>
              <w:spacing w:after="0" w:line="240" w:lineRule="auto"/>
              <w:jc w:val="right"/>
              <w:rPr>
                <w:rFonts w:ascii="Arial" w:eastAsia="Times New Roman" w:hAnsi="Arial" w:cs="Arial"/>
                <w:color w:val="333333"/>
                <w:sz w:val="24"/>
                <w:szCs w:val="24"/>
                <w:lang w:eastAsia="en-NZ"/>
              </w:rPr>
            </w:pPr>
            <w:r w:rsidRPr="00D5126A">
              <w:rPr>
                <w:rFonts w:ascii="Arial" w:eastAsia="Times New Roman" w:hAnsi="Arial" w:cs="Arial"/>
                <w:color w:val="333333"/>
                <w:sz w:val="24"/>
                <w:szCs w:val="24"/>
                <w:vertAlign w:val="superscript"/>
                <w:lang w:eastAsia="en-NZ"/>
              </w:rPr>
              <w:t>34,318</w:t>
            </w:r>
          </w:p>
        </w:tc>
        <w:tc>
          <w:tcPr>
            <w:tcW w:w="972" w:type="dxa"/>
            <w:tcBorders>
              <w:top w:val="nil"/>
              <w:left w:val="nil"/>
              <w:bottom w:val="single" w:sz="4" w:space="0" w:color="auto"/>
              <w:right w:val="nil"/>
            </w:tcBorders>
            <w:shd w:val="clear" w:color="auto" w:fill="auto"/>
            <w:vAlign w:val="center"/>
            <w:hideMark/>
          </w:tcPr>
          <w:p w:rsidR="00C21F85" w:rsidRPr="00D5126A" w:rsidRDefault="00C21F85" w:rsidP="00534FC7">
            <w:pPr>
              <w:spacing w:after="0" w:line="240" w:lineRule="auto"/>
              <w:jc w:val="right"/>
              <w:rPr>
                <w:rFonts w:ascii="Arial" w:eastAsia="Times New Roman" w:hAnsi="Arial" w:cs="Arial"/>
                <w:color w:val="333333"/>
                <w:sz w:val="24"/>
                <w:szCs w:val="24"/>
                <w:lang w:eastAsia="en-NZ"/>
              </w:rPr>
            </w:pPr>
            <w:r w:rsidRPr="00D5126A">
              <w:rPr>
                <w:rFonts w:ascii="Arial" w:eastAsia="Times New Roman" w:hAnsi="Arial" w:cs="Arial"/>
                <w:color w:val="333333"/>
                <w:sz w:val="24"/>
                <w:szCs w:val="24"/>
                <w:vertAlign w:val="superscript"/>
                <w:lang w:eastAsia="en-NZ"/>
              </w:rPr>
              <w:t>55,465</w:t>
            </w:r>
          </w:p>
        </w:tc>
        <w:tc>
          <w:tcPr>
            <w:tcW w:w="972" w:type="dxa"/>
            <w:tcBorders>
              <w:top w:val="nil"/>
              <w:left w:val="nil"/>
              <w:bottom w:val="single" w:sz="4" w:space="0" w:color="auto"/>
              <w:right w:val="nil"/>
            </w:tcBorders>
            <w:vAlign w:val="center"/>
          </w:tcPr>
          <w:p w:rsidR="00C21F85" w:rsidRPr="00D5126A" w:rsidRDefault="00C21F85" w:rsidP="00FA7D80">
            <w:pPr>
              <w:spacing w:after="0" w:line="240" w:lineRule="auto"/>
              <w:jc w:val="right"/>
              <w:rPr>
                <w:rFonts w:ascii="Arial" w:eastAsia="Times New Roman" w:hAnsi="Arial" w:cs="Arial"/>
                <w:color w:val="333333"/>
                <w:sz w:val="24"/>
                <w:szCs w:val="24"/>
                <w:lang w:eastAsia="en-NZ"/>
              </w:rPr>
            </w:pPr>
            <w:r w:rsidRPr="00D5126A">
              <w:rPr>
                <w:rFonts w:ascii="Arial" w:eastAsia="Times New Roman" w:hAnsi="Arial" w:cs="Arial"/>
                <w:color w:val="333333"/>
                <w:sz w:val="24"/>
                <w:szCs w:val="24"/>
                <w:vertAlign w:val="superscript"/>
                <w:lang w:eastAsia="en-NZ"/>
              </w:rPr>
              <w:t>74,324</w:t>
            </w:r>
          </w:p>
        </w:tc>
        <w:tc>
          <w:tcPr>
            <w:tcW w:w="972" w:type="dxa"/>
            <w:tcBorders>
              <w:top w:val="nil"/>
              <w:left w:val="nil"/>
              <w:bottom w:val="single" w:sz="4" w:space="0" w:color="auto"/>
              <w:right w:val="nil"/>
            </w:tcBorders>
            <w:vAlign w:val="center"/>
          </w:tcPr>
          <w:p w:rsidR="00C21F85" w:rsidRPr="00D5126A" w:rsidRDefault="00C21F85" w:rsidP="00FA7D80">
            <w:pPr>
              <w:spacing w:after="0" w:line="240" w:lineRule="auto"/>
              <w:jc w:val="right"/>
              <w:rPr>
                <w:rFonts w:ascii="Arial" w:eastAsia="Times New Roman" w:hAnsi="Arial" w:cs="Arial"/>
                <w:color w:val="333333"/>
                <w:sz w:val="24"/>
                <w:szCs w:val="24"/>
                <w:lang w:eastAsia="en-NZ"/>
              </w:rPr>
            </w:pPr>
            <w:r w:rsidRPr="00D5126A">
              <w:rPr>
                <w:rFonts w:ascii="Arial" w:eastAsia="Times New Roman" w:hAnsi="Arial" w:cs="Arial"/>
                <w:color w:val="333333"/>
                <w:sz w:val="24"/>
                <w:szCs w:val="24"/>
                <w:vertAlign w:val="superscript"/>
                <w:lang w:eastAsia="en-NZ"/>
              </w:rPr>
              <w:t>1,129</w:t>
            </w:r>
          </w:p>
        </w:tc>
        <w:tc>
          <w:tcPr>
            <w:tcW w:w="972" w:type="dxa"/>
            <w:tcBorders>
              <w:top w:val="nil"/>
              <w:left w:val="nil"/>
              <w:bottom w:val="single" w:sz="4" w:space="0" w:color="auto"/>
              <w:right w:val="nil"/>
            </w:tcBorders>
            <w:vAlign w:val="center"/>
          </w:tcPr>
          <w:p w:rsidR="00C21F85" w:rsidRPr="00D5126A" w:rsidRDefault="00C21F85" w:rsidP="00FA7D80">
            <w:pPr>
              <w:spacing w:after="0" w:line="240" w:lineRule="auto"/>
              <w:jc w:val="right"/>
              <w:rPr>
                <w:rFonts w:ascii="Arial" w:eastAsia="Times New Roman" w:hAnsi="Arial" w:cs="Arial"/>
                <w:color w:val="333333"/>
                <w:sz w:val="24"/>
                <w:szCs w:val="24"/>
                <w:lang w:eastAsia="en-NZ"/>
              </w:rPr>
            </w:pPr>
            <w:r w:rsidRPr="00D5126A">
              <w:rPr>
                <w:rFonts w:ascii="Arial" w:eastAsia="Times New Roman" w:hAnsi="Arial" w:cs="Arial"/>
                <w:color w:val="333333"/>
                <w:sz w:val="24"/>
                <w:szCs w:val="24"/>
                <w:vertAlign w:val="superscript"/>
                <w:lang w:eastAsia="en-NZ"/>
              </w:rPr>
              <w:t>54,313</w:t>
            </w:r>
          </w:p>
        </w:tc>
        <w:tc>
          <w:tcPr>
            <w:tcW w:w="972" w:type="dxa"/>
            <w:tcBorders>
              <w:top w:val="nil"/>
              <w:left w:val="nil"/>
              <w:bottom w:val="single" w:sz="4" w:space="0" w:color="auto"/>
              <w:right w:val="nil"/>
            </w:tcBorders>
            <w:vAlign w:val="center"/>
          </w:tcPr>
          <w:p w:rsidR="00C21F85" w:rsidRPr="00D5126A" w:rsidRDefault="00C21F85" w:rsidP="00E46729">
            <w:pPr>
              <w:spacing w:after="0" w:line="240" w:lineRule="auto"/>
              <w:jc w:val="right"/>
              <w:rPr>
                <w:rFonts w:ascii="Arial" w:eastAsia="Times New Roman" w:hAnsi="Arial" w:cs="Arial"/>
                <w:color w:val="333333"/>
                <w:sz w:val="24"/>
                <w:szCs w:val="24"/>
                <w:lang w:eastAsia="en-NZ"/>
              </w:rPr>
            </w:pPr>
            <w:r w:rsidRPr="00D5126A">
              <w:rPr>
                <w:rFonts w:ascii="Arial" w:eastAsia="Times New Roman" w:hAnsi="Arial" w:cs="Arial"/>
                <w:color w:val="333333"/>
                <w:sz w:val="24"/>
                <w:szCs w:val="24"/>
                <w:vertAlign w:val="superscript"/>
                <w:lang w:eastAsia="en-NZ"/>
              </w:rPr>
              <w:t>75,</w:t>
            </w:r>
            <w:r w:rsidR="00E46729" w:rsidRPr="00D5126A">
              <w:rPr>
                <w:rFonts w:ascii="Arial" w:eastAsia="Times New Roman" w:hAnsi="Arial" w:cs="Arial"/>
                <w:color w:val="333333"/>
                <w:sz w:val="24"/>
                <w:szCs w:val="24"/>
                <w:vertAlign w:val="superscript"/>
                <w:lang w:eastAsia="en-NZ"/>
              </w:rPr>
              <w:t>45</w:t>
            </w:r>
            <w:r w:rsidR="00E46729">
              <w:rPr>
                <w:rFonts w:ascii="Arial" w:eastAsia="Times New Roman" w:hAnsi="Arial" w:cs="Arial"/>
                <w:color w:val="333333"/>
                <w:sz w:val="24"/>
                <w:szCs w:val="24"/>
                <w:vertAlign w:val="superscript"/>
                <w:lang w:eastAsia="en-NZ"/>
              </w:rPr>
              <w:t>4</w:t>
            </w:r>
          </w:p>
        </w:tc>
        <w:tc>
          <w:tcPr>
            <w:tcW w:w="972" w:type="dxa"/>
            <w:tcBorders>
              <w:top w:val="nil"/>
              <w:left w:val="nil"/>
              <w:bottom w:val="single" w:sz="4" w:space="0" w:color="auto"/>
              <w:right w:val="nil"/>
            </w:tcBorders>
            <w:shd w:val="clear" w:color="auto" w:fill="auto"/>
            <w:vAlign w:val="center"/>
            <w:hideMark/>
          </w:tcPr>
          <w:p w:rsidR="00C21F85" w:rsidRPr="00D5126A" w:rsidRDefault="00C21F85" w:rsidP="007C7A24">
            <w:pPr>
              <w:spacing w:after="0" w:line="240" w:lineRule="auto"/>
              <w:jc w:val="right"/>
              <w:rPr>
                <w:rFonts w:ascii="Arial" w:eastAsia="Times New Roman" w:hAnsi="Arial" w:cs="Arial"/>
                <w:color w:val="333333"/>
                <w:sz w:val="24"/>
                <w:szCs w:val="24"/>
                <w:lang w:eastAsia="en-NZ"/>
              </w:rPr>
            </w:pPr>
            <w:r w:rsidRPr="00D5126A">
              <w:rPr>
                <w:rFonts w:ascii="Arial" w:eastAsia="Times New Roman" w:hAnsi="Arial" w:cs="Arial"/>
                <w:color w:val="333333"/>
                <w:sz w:val="24"/>
                <w:szCs w:val="24"/>
                <w:vertAlign w:val="superscript"/>
                <w:lang w:eastAsia="en-NZ"/>
              </w:rPr>
              <w:t>21,14</w:t>
            </w:r>
            <w:r w:rsidR="00E46729">
              <w:rPr>
                <w:rFonts w:ascii="Arial" w:eastAsia="Times New Roman" w:hAnsi="Arial" w:cs="Arial"/>
                <w:color w:val="333333"/>
                <w:sz w:val="24"/>
                <w:szCs w:val="24"/>
                <w:vertAlign w:val="superscript"/>
                <w:lang w:eastAsia="en-NZ"/>
              </w:rPr>
              <w:t>1</w:t>
            </w:r>
          </w:p>
        </w:tc>
      </w:tr>
      <w:tr w:rsidR="00C21F85" w:rsidRPr="00D5126A" w:rsidTr="00C21F85">
        <w:trPr>
          <w:trHeight w:val="375"/>
        </w:trPr>
        <w:tc>
          <w:tcPr>
            <w:tcW w:w="2552" w:type="dxa"/>
            <w:tcBorders>
              <w:top w:val="single" w:sz="12" w:space="0" w:color="auto"/>
              <w:left w:val="nil"/>
              <w:right w:val="nil"/>
            </w:tcBorders>
            <w:shd w:val="clear" w:color="auto" w:fill="auto"/>
            <w:vAlign w:val="center"/>
            <w:hideMark/>
          </w:tcPr>
          <w:p w:rsidR="00C21F85" w:rsidRPr="00D5126A" w:rsidRDefault="00C21F85" w:rsidP="00E46729">
            <w:pPr>
              <w:spacing w:after="0" w:line="240" w:lineRule="auto"/>
              <w:rPr>
                <w:rFonts w:ascii="Arial" w:eastAsia="Times New Roman" w:hAnsi="Arial" w:cs="Arial"/>
                <w:b/>
                <w:bCs/>
                <w:color w:val="333333"/>
                <w:sz w:val="24"/>
                <w:szCs w:val="24"/>
                <w:lang w:eastAsia="en-NZ"/>
              </w:rPr>
            </w:pPr>
            <w:r w:rsidRPr="00D5126A">
              <w:rPr>
                <w:rFonts w:ascii="Arial" w:eastAsia="Times New Roman" w:hAnsi="Arial" w:cs="Arial"/>
                <w:b/>
                <w:bCs/>
                <w:color w:val="333333"/>
                <w:sz w:val="24"/>
                <w:szCs w:val="24"/>
                <w:vertAlign w:val="superscript"/>
                <w:lang w:eastAsia="en-NZ"/>
              </w:rPr>
              <w:t>Total strategic areas</w:t>
            </w:r>
          </w:p>
        </w:tc>
        <w:tc>
          <w:tcPr>
            <w:tcW w:w="972" w:type="dxa"/>
            <w:tcBorders>
              <w:top w:val="single" w:sz="12" w:space="0" w:color="auto"/>
              <w:left w:val="nil"/>
              <w:right w:val="nil"/>
            </w:tcBorders>
            <w:shd w:val="clear" w:color="auto" w:fill="auto"/>
            <w:vAlign w:val="center"/>
            <w:hideMark/>
          </w:tcPr>
          <w:p w:rsidR="00C21F85" w:rsidRPr="00D5126A" w:rsidRDefault="00C21F85" w:rsidP="00FA7D80">
            <w:pPr>
              <w:spacing w:after="0" w:line="240" w:lineRule="auto"/>
              <w:jc w:val="right"/>
              <w:rPr>
                <w:rFonts w:ascii="Arial" w:eastAsia="Times New Roman" w:hAnsi="Arial" w:cs="Arial"/>
                <w:b/>
                <w:bCs/>
                <w:color w:val="333333"/>
                <w:sz w:val="24"/>
                <w:szCs w:val="24"/>
                <w:lang w:eastAsia="en-NZ"/>
              </w:rPr>
            </w:pPr>
            <w:r w:rsidRPr="00D5126A">
              <w:rPr>
                <w:rFonts w:ascii="Arial" w:eastAsia="Times New Roman" w:hAnsi="Arial" w:cs="Arial"/>
                <w:color w:val="333333"/>
                <w:sz w:val="24"/>
                <w:szCs w:val="24"/>
                <w:vertAlign w:val="superscript"/>
                <w:lang w:eastAsia="en-NZ"/>
              </w:rPr>
              <w:t>117,442</w:t>
            </w:r>
          </w:p>
        </w:tc>
        <w:tc>
          <w:tcPr>
            <w:tcW w:w="972" w:type="dxa"/>
            <w:tcBorders>
              <w:top w:val="single" w:sz="12" w:space="0" w:color="auto"/>
              <w:left w:val="nil"/>
              <w:right w:val="nil"/>
            </w:tcBorders>
            <w:shd w:val="clear" w:color="auto" w:fill="auto"/>
            <w:vAlign w:val="center"/>
            <w:hideMark/>
          </w:tcPr>
          <w:p w:rsidR="00C21F85" w:rsidRPr="00D5126A" w:rsidRDefault="00C21F85" w:rsidP="00FA7D80">
            <w:pPr>
              <w:spacing w:after="0" w:line="240" w:lineRule="auto"/>
              <w:jc w:val="right"/>
              <w:rPr>
                <w:rFonts w:ascii="Arial" w:eastAsia="Times New Roman" w:hAnsi="Arial" w:cs="Arial"/>
                <w:b/>
                <w:bCs/>
                <w:color w:val="333333"/>
                <w:sz w:val="24"/>
                <w:szCs w:val="24"/>
                <w:lang w:eastAsia="en-NZ"/>
              </w:rPr>
            </w:pPr>
            <w:r w:rsidRPr="00D5126A">
              <w:rPr>
                <w:rFonts w:ascii="Arial" w:eastAsia="Times New Roman" w:hAnsi="Arial" w:cs="Arial"/>
                <w:color w:val="333333"/>
                <w:sz w:val="24"/>
                <w:szCs w:val="24"/>
                <w:vertAlign w:val="superscript"/>
                <w:lang w:eastAsia="en-NZ"/>
              </w:rPr>
              <w:t>161,699</w:t>
            </w:r>
          </w:p>
        </w:tc>
        <w:tc>
          <w:tcPr>
            <w:tcW w:w="972" w:type="dxa"/>
            <w:tcBorders>
              <w:top w:val="single" w:sz="12" w:space="0" w:color="auto"/>
              <w:left w:val="nil"/>
              <w:right w:val="nil"/>
            </w:tcBorders>
            <w:vAlign w:val="center"/>
          </w:tcPr>
          <w:p w:rsidR="00C21F85" w:rsidRPr="00D5126A" w:rsidRDefault="00C21F85" w:rsidP="00FA7D80">
            <w:pPr>
              <w:spacing w:after="0" w:line="240" w:lineRule="auto"/>
              <w:jc w:val="right"/>
              <w:rPr>
                <w:rFonts w:ascii="Arial" w:eastAsia="Times New Roman" w:hAnsi="Arial" w:cs="Arial"/>
                <w:b/>
                <w:bCs/>
                <w:color w:val="333333"/>
                <w:sz w:val="24"/>
                <w:szCs w:val="24"/>
                <w:lang w:eastAsia="en-NZ"/>
              </w:rPr>
            </w:pPr>
            <w:r w:rsidRPr="00D5126A">
              <w:rPr>
                <w:rFonts w:ascii="Arial" w:eastAsia="Times New Roman" w:hAnsi="Arial" w:cs="Arial"/>
                <w:color w:val="333333"/>
                <w:sz w:val="24"/>
                <w:szCs w:val="24"/>
                <w:vertAlign w:val="superscript"/>
                <w:lang w:eastAsia="en-NZ"/>
              </w:rPr>
              <w:t xml:space="preserve">214,631 </w:t>
            </w:r>
          </w:p>
        </w:tc>
        <w:tc>
          <w:tcPr>
            <w:tcW w:w="972" w:type="dxa"/>
            <w:tcBorders>
              <w:top w:val="single" w:sz="12" w:space="0" w:color="auto"/>
              <w:left w:val="nil"/>
              <w:right w:val="nil"/>
            </w:tcBorders>
            <w:vAlign w:val="center"/>
          </w:tcPr>
          <w:p w:rsidR="00C21F85" w:rsidRPr="00D5126A" w:rsidRDefault="00C21F85" w:rsidP="00FA7D80">
            <w:pPr>
              <w:spacing w:after="0" w:line="240" w:lineRule="auto"/>
              <w:jc w:val="right"/>
              <w:rPr>
                <w:rFonts w:ascii="Arial" w:eastAsia="Times New Roman" w:hAnsi="Arial" w:cs="Arial"/>
                <w:b/>
                <w:bCs/>
                <w:color w:val="333333"/>
                <w:sz w:val="24"/>
                <w:szCs w:val="24"/>
                <w:lang w:eastAsia="en-NZ"/>
              </w:rPr>
            </w:pPr>
            <w:r w:rsidRPr="00D5126A">
              <w:rPr>
                <w:rFonts w:ascii="Arial" w:eastAsia="Times New Roman" w:hAnsi="Arial" w:cs="Arial"/>
                <w:color w:val="333333"/>
                <w:sz w:val="24"/>
                <w:szCs w:val="24"/>
                <w:vertAlign w:val="superscript"/>
                <w:lang w:eastAsia="en-NZ"/>
              </w:rPr>
              <w:t xml:space="preserve">5,813 </w:t>
            </w:r>
          </w:p>
        </w:tc>
        <w:tc>
          <w:tcPr>
            <w:tcW w:w="972" w:type="dxa"/>
            <w:tcBorders>
              <w:top w:val="single" w:sz="12" w:space="0" w:color="auto"/>
              <w:left w:val="nil"/>
              <w:right w:val="nil"/>
            </w:tcBorders>
            <w:vAlign w:val="center"/>
          </w:tcPr>
          <w:p w:rsidR="00C21F85" w:rsidRPr="00D5126A" w:rsidRDefault="00C21F85" w:rsidP="00E46729">
            <w:pPr>
              <w:spacing w:after="0" w:line="240" w:lineRule="auto"/>
              <w:jc w:val="right"/>
              <w:rPr>
                <w:rFonts w:ascii="Arial" w:eastAsia="Times New Roman" w:hAnsi="Arial" w:cs="Arial"/>
                <w:b/>
                <w:bCs/>
                <w:color w:val="333333"/>
                <w:sz w:val="24"/>
                <w:szCs w:val="24"/>
                <w:lang w:eastAsia="en-NZ"/>
              </w:rPr>
            </w:pPr>
            <w:r w:rsidRPr="00D5126A">
              <w:rPr>
                <w:rFonts w:ascii="Arial" w:eastAsia="Times New Roman" w:hAnsi="Arial" w:cs="Arial"/>
                <w:color w:val="333333"/>
                <w:sz w:val="24"/>
                <w:szCs w:val="24"/>
                <w:vertAlign w:val="superscript"/>
                <w:lang w:eastAsia="en-NZ"/>
              </w:rPr>
              <w:t xml:space="preserve">  144,</w:t>
            </w:r>
            <w:r w:rsidR="00E46729" w:rsidRPr="00D5126A">
              <w:rPr>
                <w:rFonts w:ascii="Arial" w:eastAsia="Times New Roman" w:hAnsi="Arial" w:cs="Arial"/>
                <w:color w:val="333333"/>
                <w:sz w:val="24"/>
                <w:szCs w:val="24"/>
                <w:vertAlign w:val="superscript"/>
                <w:lang w:eastAsia="en-NZ"/>
              </w:rPr>
              <w:t>30</w:t>
            </w:r>
            <w:r w:rsidR="00E46729">
              <w:rPr>
                <w:rFonts w:ascii="Arial" w:eastAsia="Times New Roman" w:hAnsi="Arial" w:cs="Arial"/>
                <w:color w:val="333333"/>
                <w:sz w:val="24"/>
                <w:szCs w:val="24"/>
                <w:vertAlign w:val="superscript"/>
                <w:lang w:eastAsia="en-NZ"/>
              </w:rPr>
              <w:t>1</w:t>
            </w:r>
            <w:r w:rsidR="00E46729" w:rsidRPr="00D5126A">
              <w:rPr>
                <w:rFonts w:ascii="Arial" w:eastAsia="Times New Roman" w:hAnsi="Arial" w:cs="Arial"/>
                <w:color w:val="333333"/>
                <w:sz w:val="24"/>
                <w:szCs w:val="24"/>
                <w:vertAlign w:val="superscript"/>
                <w:lang w:eastAsia="en-NZ"/>
              </w:rPr>
              <w:t xml:space="preserve"> </w:t>
            </w:r>
          </w:p>
        </w:tc>
        <w:tc>
          <w:tcPr>
            <w:tcW w:w="972" w:type="dxa"/>
            <w:tcBorders>
              <w:top w:val="single" w:sz="12" w:space="0" w:color="auto"/>
              <w:left w:val="nil"/>
              <w:right w:val="nil"/>
            </w:tcBorders>
            <w:vAlign w:val="center"/>
          </w:tcPr>
          <w:p w:rsidR="00C21F85" w:rsidRPr="00D5126A" w:rsidRDefault="00C21F85" w:rsidP="00FA7D80">
            <w:pPr>
              <w:spacing w:after="0" w:line="240" w:lineRule="auto"/>
              <w:jc w:val="right"/>
              <w:rPr>
                <w:rFonts w:ascii="Arial" w:eastAsia="Times New Roman" w:hAnsi="Arial" w:cs="Arial"/>
                <w:b/>
                <w:bCs/>
                <w:color w:val="333333"/>
                <w:sz w:val="24"/>
                <w:szCs w:val="24"/>
                <w:lang w:eastAsia="en-NZ"/>
              </w:rPr>
            </w:pPr>
            <w:r w:rsidRPr="00D5126A">
              <w:rPr>
                <w:rFonts w:ascii="Arial" w:eastAsia="Times New Roman" w:hAnsi="Arial" w:cs="Arial"/>
                <w:color w:val="333333"/>
                <w:sz w:val="24"/>
                <w:szCs w:val="24"/>
                <w:vertAlign w:val="superscript"/>
                <w:lang w:eastAsia="en-NZ"/>
              </w:rPr>
              <w:t xml:space="preserve">220,444 </w:t>
            </w:r>
          </w:p>
        </w:tc>
        <w:tc>
          <w:tcPr>
            <w:tcW w:w="972" w:type="dxa"/>
            <w:tcBorders>
              <w:top w:val="single" w:sz="12" w:space="0" w:color="auto"/>
              <w:left w:val="nil"/>
              <w:right w:val="nil"/>
            </w:tcBorders>
            <w:shd w:val="clear" w:color="auto" w:fill="auto"/>
            <w:vAlign w:val="center"/>
            <w:hideMark/>
          </w:tcPr>
          <w:p w:rsidR="00C21F85" w:rsidRPr="00D5126A" w:rsidRDefault="00C21F85" w:rsidP="00E46729">
            <w:pPr>
              <w:spacing w:after="0" w:line="240" w:lineRule="auto"/>
              <w:jc w:val="right"/>
              <w:rPr>
                <w:rFonts w:ascii="Arial" w:eastAsia="Times New Roman" w:hAnsi="Arial" w:cs="Arial"/>
                <w:b/>
                <w:bCs/>
                <w:color w:val="333333"/>
                <w:sz w:val="24"/>
                <w:szCs w:val="24"/>
                <w:lang w:eastAsia="en-NZ"/>
              </w:rPr>
            </w:pPr>
            <w:r w:rsidRPr="00D5126A">
              <w:rPr>
                <w:rFonts w:ascii="Arial" w:eastAsia="Times New Roman" w:hAnsi="Arial" w:cs="Arial"/>
                <w:color w:val="333333"/>
                <w:sz w:val="24"/>
                <w:szCs w:val="24"/>
                <w:vertAlign w:val="superscript"/>
                <w:lang w:eastAsia="en-NZ"/>
              </w:rPr>
              <w:t>76,</w:t>
            </w:r>
            <w:r w:rsidR="00E46729" w:rsidRPr="00D5126A">
              <w:rPr>
                <w:rFonts w:ascii="Arial" w:eastAsia="Times New Roman" w:hAnsi="Arial" w:cs="Arial"/>
                <w:color w:val="333333"/>
                <w:sz w:val="24"/>
                <w:szCs w:val="24"/>
                <w:vertAlign w:val="superscript"/>
                <w:lang w:eastAsia="en-NZ"/>
              </w:rPr>
              <w:t>14</w:t>
            </w:r>
            <w:r w:rsidR="00E46729">
              <w:rPr>
                <w:rFonts w:ascii="Arial" w:eastAsia="Times New Roman" w:hAnsi="Arial" w:cs="Arial"/>
                <w:color w:val="333333"/>
                <w:sz w:val="24"/>
                <w:szCs w:val="24"/>
                <w:vertAlign w:val="superscript"/>
                <w:lang w:eastAsia="en-NZ"/>
              </w:rPr>
              <w:t>3</w:t>
            </w:r>
            <w:r w:rsidR="00E46729" w:rsidRPr="00D5126A">
              <w:rPr>
                <w:rFonts w:ascii="Arial" w:eastAsia="Times New Roman" w:hAnsi="Arial" w:cs="Arial"/>
                <w:color w:val="333333"/>
                <w:sz w:val="24"/>
                <w:szCs w:val="24"/>
                <w:vertAlign w:val="superscript"/>
                <w:lang w:eastAsia="en-NZ"/>
              </w:rPr>
              <w:t xml:space="preserve"> </w:t>
            </w:r>
          </w:p>
        </w:tc>
      </w:tr>
      <w:tr w:rsidR="00C21F85" w:rsidRPr="00D5126A" w:rsidTr="00C21F85">
        <w:trPr>
          <w:trHeight w:val="375"/>
        </w:trPr>
        <w:tc>
          <w:tcPr>
            <w:tcW w:w="2552" w:type="dxa"/>
            <w:tcBorders>
              <w:top w:val="single" w:sz="4" w:space="0" w:color="auto"/>
              <w:left w:val="nil"/>
              <w:bottom w:val="single" w:sz="4" w:space="0" w:color="auto"/>
              <w:right w:val="nil"/>
            </w:tcBorders>
            <w:shd w:val="clear" w:color="auto" w:fill="auto"/>
            <w:vAlign w:val="center"/>
            <w:hideMark/>
          </w:tcPr>
          <w:p w:rsidR="00C21F85" w:rsidRPr="00D5126A" w:rsidRDefault="00C21F85" w:rsidP="00E46729">
            <w:pPr>
              <w:spacing w:after="0" w:line="240" w:lineRule="auto"/>
              <w:rPr>
                <w:rFonts w:ascii="Arial" w:eastAsia="Times New Roman" w:hAnsi="Arial" w:cs="Arial"/>
                <w:b/>
                <w:color w:val="333333"/>
                <w:sz w:val="24"/>
                <w:szCs w:val="24"/>
                <w:vertAlign w:val="superscript"/>
                <w:lang w:eastAsia="en-NZ"/>
              </w:rPr>
            </w:pPr>
            <w:r w:rsidRPr="00D5126A">
              <w:rPr>
                <w:rFonts w:ascii="Arial" w:eastAsia="Times New Roman" w:hAnsi="Arial" w:cs="Arial"/>
                <w:b/>
                <w:color w:val="333333"/>
                <w:sz w:val="24"/>
                <w:szCs w:val="24"/>
                <w:vertAlign w:val="superscript"/>
                <w:lang w:eastAsia="en-NZ"/>
              </w:rPr>
              <w:t>Total Council activity area</w:t>
            </w:r>
          </w:p>
        </w:tc>
        <w:tc>
          <w:tcPr>
            <w:tcW w:w="972" w:type="dxa"/>
            <w:tcBorders>
              <w:top w:val="single" w:sz="4" w:space="0" w:color="auto"/>
              <w:left w:val="nil"/>
              <w:bottom w:val="single" w:sz="4" w:space="0" w:color="auto"/>
              <w:right w:val="nil"/>
            </w:tcBorders>
            <w:shd w:val="clear" w:color="auto" w:fill="auto"/>
            <w:vAlign w:val="center"/>
            <w:hideMark/>
          </w:tcPr>
          <w:p w:rsidR="00C21F85" w:rsidRPr="00D5126A" w:rsidRDefault="00C21F85" w:rsidP="00C21F85">
            <w:pPr>
              <w:spacing w:after="0" w:line="240" w:lineRule="auto"/>
              <w:jc w:val="right"/>
              <w:rPr>
                <w:rFonts w:ascii="Arial" w:eastAsia="Times New Roman" w:hAnsi="Arial" w:cs="Arial"/>
                <w:b/>
                <w:color w:val="333333"/>
                <w:sz w:val="24"/>
                <w:szCs w:val="24"/>
                <w:vertAlign w:val="superscript"/>
                <w:lang w:eastAsia="en-NZ"/>
              </w:rPr>
            </w:pPr>
            <w:r w:rsidRPr="00D5126A">
              <w:rPr>
                <w:rFonts w:ascii="Arial" w:eastAsia="Times New Roman" w:hAnsi="Arial" w:cs="Arial"/>
                <w:b/>
                <w:color w:val="333333"/>
                <w:sz w:val="24"/>
                <w:szCs w:val="24"/>
                <w:vertAlign w:val="superscript"/>
                <w:lang w:eastAsia="en-NZ"/>
              </w:rPr>
              <w:t>19,781</w:t>
            </w:r>
          </w:p>
        </w:tc>
        <w:tc>
          <w:tcPr>
            <w:tcW w:w="972" w:type="dxa"/>
            <w:tcBorders>
              <w:top w:val="single" w:sz="4" w:space="0" w:color="auto"/>
              <w:left w:val="nil"/>
              <w:bottom w:val="single" w:sz="4" w:space="0" w:color="auto"/>
              <w:right w:val="nil"/>
            </w:tcBorders>
            <w:shd w:val="clear" w:color="auto" w:fill="auto"/>
            <w:vAlign w:val="center"/>
            <w:hideMark/>
          </w:tcPr>
          <w:p w:rsidR="00C21F85" w:rsidRPr="00D5126A" w:rsidRDefault="00C21F85" w:rsidP="00C21F85">
            <w:pPr>
              <w:spacing w:after="0" w:line="240" w:lineRule="auto"/>
              <w:jc w:val="right"/>
              <w:rPr>
                <w:rFonts w:ascii="Arial" w:eastAsia="Times New Roman" w:hAnsi="Arial" w:cs="Arial"/>
                <w:b/>
                <w:color w:val="333333"/>
                <w:sz w:val="24"/>
                <w:szCs w:val="24"/>
                <w:vertAlign w:val="superscript"/>
                <w:lang w:eastAsia="en-NZ"/>
              </w:rPr>
            </w:pPr>
            <w:r w:rsidRPr="00D5126A">
              <w:rPr>
                <w:rFonts w:ascii="Arial" w:eastAsia="Times New Roman" w:hAnsi="Arial" w:cs="Arial"/>
                <w:b/>
                <w:color w:val="333333"/>
                <w:sz w:val="24"/>
                <w:szCs w:val="24"/>
                <w:vertAlign w:val="superscript"/>
                <w:lang w:eastAsia="en-NZ"/>
              </w:rPr>
              <w:t>11,241</w:t>
            </w:r>
          </w:p>
        </w:tc>
        <w:tc>
          <w:tcPr>
            <w:tcW w:w="972" w:type="dxa"/>
            <w:tcBorders>
              <w:top w:val="single" w:sz="4" w:space="0" w:color="auto"/>
              <w:left w:val="nil"/>
              <w:bottom w:val="single" w:sz="4" w:space="0" w:color="auto"/>
              <w:right w:val="nil"/>
            </w:tcBorders>
            <w:vAlign w:val="center"/>
          </w:tcPr>
          <w:p w:rsidR="00C21F85" w:rsidRPr="00D5126A" w:rsidRDefault="00C21F85" w:rsidP="00C21F85">
            <w:pPr>
              <w:spacing w:after="0" w:line="240" w:lineRule="auto"/>
              <w:jc w:val="right"/>
              <w:rPr>
                <w:rFonts w:ascii="Arial" w:eastAsia="Times New Roman" w:hAnsi="Arial" w:cs="Arial"/>
                <w:b/>
                <w:color w:val="333333"/>
                <w:sz w:val="24"/>
                <w:szCs w:val="24"/>
                <w:vertAlign w:val="superscript"/>
                <w:lang w:eastAsia="en-NZ"/>
              </w:rPr>
            </w:pPr>
            <w:r w:rsidRPr="00D5126A">
              <w:rPr>
                <w:rFonts w:ascii="Arial" w:eastAsia="Times New Roman" w:hAnsi="Arial" w:cs="Arial"/>
                <w:b/>
                <w:color w:val="333333"/>
                <w:sz w:val="24"/>
                <w:szCs w:val="24"/>
                <w:vertAlign w:val="superscript"/>
                <w:lang w:eastAsia="en-NZ"/>
              </w:rPr>
              <w:t>28,688</w:t>
            </w:r>
          </w:p>
        </w:tc>
        <w:tc>
          <w:tcPr>
            <w:tcW w:w="972" w:type="dxa"/>
            <w:tcBorders>
              <w:top w:val="single" w:sz="4" w:space="0" w:color="auto"/>
              <w:left w:val="nil"/>
              <w:bottom w:val="single" w:sz="4" w:space="0" w:color="auto"/>
              <w:right w:val="nil"/>
            </w:tcBorders>
            <w:vAlign w:val="center"/>
          </w:tcPr>
          <w:p w:rsidR="00C21F85" w:rsidRPr="00D5126A" w:rsidRDefault="00C21F85" w:rsidP="00C21F85">
            <w:pPr>
              <w:spacing w:after="0" w:line="240" w:lineRule="auto"/>
              <w:jc w:val="right"/>
              <w:rPr>
                <w:rFonts w:ascii="Arial" w:eastAsia="Times New Roman" w:hAnsi="Arial" w:cs="Arial"/>
                <w:b/>
                <w:color w:val="333333"/>
                <w:sz w:val="24"/>
                <w:szCs w:val="24"/>
                <w:vertAlign w:val="superscript"/>
                <w:lang w:eastAsia="en-NZ"/>
              </w:rPr>
            </w:pPr>
            <w:r w:rsidRPr="00D5126A">
              <w:rPr>
                <w:rFonts w:ascii="Arial" w:eastAsia="Times New Roman" w:hAnsi="Arial" w:cs="Arial"/>
                <w:b/>
                <w:color w:val="333333"/>
                <w:sz w:val="24"/>
                <w:szCs w:val="24"/>
                <w:vertAlign w:val="superscript"/>
                <w:lang w:eastAsia="en-NZ"/>
              </w:rPr>
              <w:t>3,822</w:t>
            </w:r>
          </w:p>
        </w:tc>
        <w:tc>
          <w:tcPr>
            <w:tcW w:w="972" w:type="dxa"/>
            <w:tcBorders>
              <w:top w:val="single" w:sz="4" w:space="0" w:color="auto"/>
              <w:left w:val="nil"/>
              <w:bottom w:val="single" w:sz="4" w:space="0" w:color="auto"/>
              <w:right w:val="nil"/>
            </w:tcBorders>
            <w:vAlign w:val="center"/>
          </w:tcPr>
          <w:p w:rsidR="00C21F85" w:rsidRPr="00D5126A" w:rsidRDefault="00C21F85" w:rsidP="00C21F85">
            <w:pPr>
              <w:spacing w:after="0" w:line="240" w:lineRule="auto"/>
              <w:jc w:val="right"/>
              <w:rPr>
                <w:rFonts w:ascii="Arial" w:eastAsia="Times New Roman" w:hAnsi="Arial" w:cs="Arial"/>
                <w:b/>
                <w:color w:val="333333"/>
                <w:sz w:val="24"/>
                <w:szCs w:val="24"/>
                <w:vertAlign w:val="superscript"/>
                <w:lang w:eastAsia="en-NZ"/>
              </w:rPr>
            </w:pPr>
            <w:r w:rsidRPr="00D5126A">
              <w:rPr>
                <w:rFonts w:ascii="Arial" w:eastAsia="Times New Roman" w:hAnsi="Arial" w:cs="Arial"/>
                <w:b/>
                <w:color w:val="333333"/>
                <w:sz w:val="24"/>
                <w:szCs w:val="24"/>
                <w:vertAlign w:val="superscript"/>
                <w:lang w:eastAsia="en-NZ"/>
              </w:rPr>
              <w:t>27,401</w:t>
            </w:r>
          </w:p>
        </w:tc>
        <w:tc>
          <w:tcPr>
            <w:tcW w:w="972" w:type="dxa"/>
            <w:tcBorders>
              <w:top w:val="single" w:sz="4" w:space="0" w:color="auto"/>
              <w:left w:val="nil"/>
              <w:bottom w:val="single" w:sz="4" w:space="0" w:color="auto"/>
              <w:right w:val="nil"/>
            </w:tcBorders>
            <w:vAlign w:val="center"/>
          </w:tcPr>
          <w:p w:rsidR="00C21F85" w:rsidRPr="00D5126A" w:rsidRDefault="00C21F85" w:rsidP="00C21F85">
            <w:pPr>
              <w:spacing w:after="0" w:line="240" w:lineRule="auto"/>
              <w:jc w:val="right"/>
              <w:rPr>
                <w:rFonts w:ascii="Arial" w:eastAsia="Times New Roman" w:hAnsi="Arial" w:cs="Arial"/>
                <w:b/>
                <w:color w:val="333333"/>
                <w:sz w:val="24"/>
                <w:szCs w:val="24"/>
                <w:vertAlign w:val="superscript"/>
                <w:lang w:eastAsia="en-NZ"/>
              </w:rPr>
            </w:pPr>
            <w:r w:rsidRPr="00D5126A">
              <w:rPr>
                <w:rFonts w:ascii="Arial" w:eastAsia="Times New Roman" w:hAnsi="Arial" w:cs="Arial"/>
                <w:b/>
                <w:color w:val="333333"/>
                <w:sz w:val="24"/>
                <w:szCs w:val="24"/>
                <w:vertAlign w:val="superscript"/>
                <w:lang w:eastAsia="en-NZ"/>
              </w:rPr>
              <w:t>32,510</w:t>
            </w:r>
          </w:p>
        </w:tc>
        <w:tc>
          <w:tcPr>
            <w:tcW w:w="972" w:type="dxa"/>
            <w:tcBorders>
              <w:top w:val="single" w:sz="4" w:space="0" w:color="auto"/>
              <w:left w:val="nil"/>
              <w:bottom w:val="single" w:sz="4" w:space="0" w:color="auto"/>
              <w:right w:val="nil"/>
            </w:tcBorders>
            <w:shd w:val="clear" w:color="auto" w:fill="auto"/>
            <w:vAlign w:val="center"/>
            <w:hideMark/>
          </w:tcPr>
          <w:p w:rsidR="00C21F85" w:rsidRPr="00D5126A" w:rsidRDefault="00C21F85" w:rsidP="00C21F85">
            <w:pPr>
              <w:spacing w:after="0" w:line="240" w:lineRule="auto"/>
              <w:jc w:val="right"/>
              <w:rPr>
                <w:rFonts w:ascii="Arial" w:eastAsia="Times New Roman" w:hAnsi="Arial" w:cs="Arial"/>
                <w:b/>
                <w:color w:val="333333"/>
                <w:sz w:val="24"/>
                <w:szCs w:val="24"/>
                <w:vertAlign w:val="superscript"/>
                <w:lang w:eastAsia="en-NZ"/>
              </w:rPr>
            </w:pPr>
            <w:r w:rsidRPr="00D5126A">
              <w:rPr>
                <w:rFonts w:ascii="Arial" w:eastAsia="Times New Roman" w:hAnsi="Arial" w:cs="Arial"/>
                <w:b/>
                <w:color w:val="333333"/>
                <w:sz w:val="24"/>
                <w:szCs w:val="24"/>
                <w:vertAlign w:val="superscript"/>
                <w:lang w:eastAsia="en-NZ"/>
              </w:rPr>
              <w:t>5,110</w:t>
            </w:r>
          </w:p>
        </w:tc>
      </w:tr>
      <w:tr w:rsidR="00C21F85" w:rsidRPr="00D5126A" w:rsidTr="00B26D3B">
        <w:trPr>
          <w:trHeight w:val="375"/>
        </w:trPr>
        <w:tc>
          <w:tcPr>
            <w:tcW w:w="2552" w:type="dxa"/>
            <w:tcBorders>
              <w:top w:val="single" w:sz="4" w:space="0" w:color="auto"/>
              <w:left w:val="nil"/>
              <w:bottom w:val="single" w:sz="4" w:space="0" w:color="auto"/>
              <w:right w:val="nil"/>
            </w:tcBorders>
            <w:shd w:val="clear" w:color="auto" w:fill="FDE9D9" w:themeFill="accent6" w:themeFillTint="33"/>
            <w:vAlign w:val="center"/>
            <w:hideMark/>
          </w:tcPr>
          <w:p w:rsidR="00C21F85" w:rsidRPr="00D5126A" w:rsidRDefault="00C21F85" w:rsidP="00E46729">
            <w:pPr>
              <w:spacing w:after="0" w:line="240" w:lineRule="auto"/>
              <w:rPr>
                <w:rFonts w:ascii="Arial" w:eastAsia="Times New Roman" w:hAnsi="Arial" w:cs="Arial"/>
                <w:b/>
                <w:color w:val="333333"/>
                <w:sz w:val="24"/>
                <w:szCs w:val="24"/>
                <w:vertAlign w:val="superscript"/>
                <w:lang w:eastAsia="en-NZ"/>
              </w:rPr>
            </w:pPr>
            <w:r w:rsidRPr="00D5126A">
              <w:rPr>
                <w:rFonts w:ascii="Arial" w:eastAsia="Times New Roman" w:hAnsi="Arial" w:cs="Arial"/>
                <w:b/>
                <w:color w:val="333333"/>
                <w:sz w:val="24"/>
                <w:szCs w:val="24"/>
                <w:vertAlign w:val="superscript"/>
                <w:lang w:eastAsia="en-NZ"/>
              </w:rPr>
              <w:t xml:space="preserve">Grand total full </w:t>
            </w:r>
            <w:r w:rsidR="00831F77">
              <w:rPr>
                <w:rFonts w:ascii="Arial" w:eastAsia="Times New Roman" w:hAnsi="Arial" w:cs="Arial"/>
                <w:b/>
                <w:color w:val="333333"/>
                <w:sz w:val="24"/>
                <w:szCs w:val="24"/>
                <w:vertAlign w:val="superscript"/>
                <w:lang w:eastAsia="en-NZ"/>
              </w:rPr>
              <w:t>C</w:t>
            </w:r>
            <w:r w:rsidRPr="00D5126A">
              <w:rPr>
                <w:rFonts w:ascii="Arial" w:eastAsia="Times New Roman" w:hAnsi="Arial" w:cs="Arial"/>
                <w:b/>
                <w:color w:val="333333"/>
                <w:sz w:val="24"/>
                <w:szCs w:val="24"/>
                <w:vertAlign w:val="superscript"/>
                <w:lang w:eastAsia="en-NZ"/>
              </w:rPr>
              <w:t>ouncil</w:t>
            </w:r>
          </w:p>
        </w:tc>
        <w:tc>
          <w:tcPr>
            <w:tcW w:w="972" w:type="dxa"/>
            <w:tcBorders>
              <w:top w:val="single" w:sz="4" w:space="0" w:color="auto"/>
              <w:left w:val="nil"/>
              <w:bottom w:val="single" w:sz="4" w:space="0" w:color="auto"/>
              <w:right w:val="nil"/>
            </w:tcBorders>
            <w:shd w:val="clear" w:color="auto" w:fill="FDE9D9" w:themeFill="accent6" w:themeFillTint="33"/>
            <w:vAlign w:val="center"/>
            <w:hideMark/>
          </w:tcPr>
          <w:p w:rsidR="00C21F85" w:rsidRPr="00D5126A" w:rsidRDefault="00C21F85" w:rsidP="00C21F85">
            <w:pPr>
              <w:spacing w:after="0" w:line="240" w:lineRule="auto"/>
              <w:jc w:val="right"/>
              <w:rPr>
                <w:rFonts w:ascii="Arial" w:eastAsia="Times New Roman" w:hAnsi="Arial" w:cs="Arial"/>
                <w:b/>
                <w:color w:val="333333"/>
                <w:sz w:val="24"/>
                <w:szCs w:val="24"/>
                <w:vertAlign w:val="superscript"/>
                <w:lang w:eastAsia="en-NZ"/>
              </w:rPr>
            </w:pPr>
            <w:r w:rsidRPr="00D5126A">
              <w:rPr>
                <w:rFonts w:ascii="Arial" w:eastAsia="Times New Roman" w:hAnsi="Arial" w:cs="Arial"/>
                <w:b/>
                <w:color w:val="333333"/>
                <w:sz w:val="24"/>
                <w:szCs w:val="24"/>
                <w:vertAlign w:val="superscript"/>
                <w:lang w:eastAsia="en-NZ"/>
              </w:rPr>
              <w:t>137,223</w:t>
            </w:r>
          </w:p>
        </w:tc>
        <w:tc>
          <w:tcPr>
            <w:tcW w:w="972" w:type="dxa"/>
            <w:tcBorders>
              <w:top w:val="single" w:sz="4" w:space="0" w:color="auto"/>
              <w:left w:val="nil"/>
              <w:bottom w:val="single" w:sz="4" w:space="0" w:color="auto"/>
              <w:right w:val="nil"/>
            </w:tcBorders>
            <w:shd w:val="clear" w:color="auto" w:fill="FDE9D9" w:themeFill="accent6" w:themeFillTint="33"/>
            <w:vAlign w:val="center"/>
            <w:hideMark/>
          </w:tcPr>
          <w:p w:rsidR="00C21F85" w:rsidRPr="00D5126A" w:rsidRDefault="00C21F85" w:rsidP="00C21F85">
            <w:pPr>
              <w:spacing w:after="0" w:line="240" w:lineRule="auto"/>
              <w:jc w:val="right"/>
              <w:rPr>
                <w:rFonts w:ascii="Arial" w:eastAsia="Times New Roman" w:hAnsi="Arial" w:cs="Arial"/>
                <w:b/>
                <w:color w:val="333333"/>
                <w:sz w:val="24"/>
                <w:szCs w:val="24"/>
                <w:vertAlign w:val="superscript"/>
                <w:lang w:eastAsia="en-NZ"/>
              </w:rPr>
            </w:pPr>
            <w:r w:rsidRPr="00D5126A">
              <w:rPr>
                <w:rFonts w:ascii="Arial" w:eastAsia="Times New Roman" w:hAnsi="Arial" w:cs="Arial"/>
                <w:b/>
                <w:color w:val="333333"/>
                <w:sz w:val="24"/>
                <w:szCs w:val="24"/>
                <w:vertAlign w:val="superscript"/>
                <w:lang w:eastAsia="en-NZ"/>
              </w:rPr>
              <w:t>172,940</w:t>
            </w:r>
          </w:p>
        </w:tc>
        <w:tc>
          <w:tcPr>
            <w:tcW w:w="972" w:type="dxa"/>
            <w:tcBorders>
              <w:top w:val="single" w:sz="4" w:space="0" w:color="auto"/>
              <w:left w:val="nil"/>
              <w:bottom w:val="single" w:sz="4" w:space="0" w:color="auto"/>
              <w:right w:val="nil"/>
            </w:tcBorders>
            <w:shd w:val="clear" w:color="auto" w:fill="FDE9D9" w:themeFill="accent6" w:themeFillTint="33"/>
            <w:vAlign w:val="center"/>
          </w:tcPr>
          <w:p w:rsidR="00C21F85" w:rsidRPr="00D5126A" w:rsidRDefault="00C21F85" w:rsidP="00C21F85">
            <w:pPr>
              <w:spacing w:after="0" w:line="240" w:lineRule="auto"/>
              <w:jc w:val="right"/>
              <w:rPr>
                <w:rFonts w:ascii="Arial" w:eastAsia="Times New Roman" w:hAnsi="Arial" w:cs="Arial"/>
                <w:b/>
                <w:color w:val="333333"/>
                <w:sz w:val="24"/>
                <w:szCs w:val="24"/>
                <w:vertAlign w:val="superscript"/>
                <w:lang w:eastAsia="en-NZ"/>
              </w:rPr>
            </w:pPr>
            <w:r w:rsidRPr="00D5126A">
              <w:rPr>
                <w:rFonts w:ascii="Arial" w:eastAsia="Times New Roman" w:hAnsi="Arial" w:cs="Arial"/>
                <w:b/>
                <w:color w:val="333333"/>
                <w:sz w:val="24"/>
                <w:szCs w:val="24"/>
                <w:vertAlign w:val="superscript"/>
                <w:lang w:eastAsia="en-NZ"/>
              </w:rPr>
              <w:t>243,319</w:t>
            </w:r>
          </w:p>
        </w:tc>
        <w:tc>
          <w:tcPr>
            <w:tcW w:w="972" w:type="dxa"/>
            <w:tcBorders>
              <w:top w:val="single" w:sz="4" w:space="0" w:color="auto"/>
              <w:left w:val="nil"/>
              <w:bottom w:val="single" w:sz="4" w:space="0" w:color="auto"/>
              <w:right w:val="nil"/>
            </w:tcBorders>
            <w:shd w:val="clear" w:color="auto" w:fill="FDE9D9" w:themeFill="accent6" w:themeFillTint="33"/>
            <w:vAlign w:val="center"/>
          </w:tcPr>
          <w:p w:rsidR="00C21F85" w:rsidRPr="00D5126A" w:rsidRDefault="00C21F85" w:rsidP="00C21F85">
            <w:pPr>
              <w:spacing w:after="0" w:line="240" w:lineRule="auto"/>
              <w:jc w:val="right"/>
              <w:rPr>
                <w:rFonts w:ascii="Arial" w:eastAsia="Times New Roman" w:hAnsi="Arial" w:cs="Arial"/>
                <w:b/>
                <w:color w:val="333333"/>
                <w:sz w:val="24"/>
                <w:szCs w:val="24"/>
                <w:vertAlign w:val="superscript"/>
                <w:lang w:eastAsia="en-NZ"/>
              </w:rPr>
            </w:pPr>
            <w:r w:rsidRPr="00D5126A">
              <w:rPr>
                <w:rFonts w:ascii="Arial" w:eastAsia="Times New Roman" w:hAnsi="Arial" w:cs="Arial"/>
                <w:b/>
                <w:color w:val="333333"/>
                <w:sz w:val="24"/>
                <w:szCs w:val="24"/>
                <w:vertAlign w:val="superscript"/>
                <w:lang w:eastAsia="en-NZ"/>
              </w:rPr>
              <w:t>9,635</w:t>
            </w:r>
          </w:p>
        </w:tc>
        <w:tc>
          <w:tcPr>
            <w:tcW w:w="972" w:type="dxa"/>
            <w:tcBorders>
              <w:top w:val="single" w:sz="4" w:space="0" w:color="auto"/>
              <w:left w:val="nil"/>
              <w:bottom w:val="single" w:sz="4" w:space="0" w:color="auto"/>
              <w:right w:val="nil"/>
            </w:tcBorders>
            <w:shd w:val="clear" w:color="auto" w:fill="FDE9D9" w:themeFill="accent6" w:themeFillTint="33"/>
            <w:vAlign w:val="center"/>
          </w:tcPr>
          <w:p w:rsidR="00C21F85" w:rsidRPr="00D5126A" w:rsidRDefault="00C21F85" w:rsidP="00C21F85">
            <w:pPr>
              <w:spacing w:after="0" w:line="240" w:lineRule="auto"/>
              <w:jc w:val="right"/>
              <w:rPr>
                <w:rFonts w:ascii="Arial" w:eastAsia="Times New Roman" w:hAnsi="Arial" w:cs="Arial"/>
                <w:b/>
                <w:color w:val="333333"/>
                <w:sz w:val="24"/>
                <w:szCs w:val="24"/>
                <w:vertAlign w:val="superscript"/>
                <w:lang w:eastAsia="en-NZ"/>
              </w:rPr>
            </w:pPr>
            <w:r w:rsidRPr="00D5126A">
              <w:rPr>
                <w:rFonts w:ascii="Arial" w:eastAsia="Times New Roman" w:hAnsi="Arial" w:cs="Arial"/>
                <w:b/>
                <w:color w:val="333333"/>
                <w:sz w:val="24"/>
                <w:szCs w:val="24"/>
                <w:vertAlign w:val="superscript"/>
                <w:lang w:eastAsia="en-NZ"/>
              </w:rPr>
              <w:t>171,702</w:t>
            </w:r>
          </w:p>
        </w:tc>
        <w:tc>
          <w:tcPr>
            <w:tcW w:w="972" w:type="dxa"/>
            <w:tcBorders>
              <w:top w:val="single" w:sz="4" w:space="0" w:color="auto"/>
              <w:left w:val="nil"/>
              <w:bottom w:val="single" w:sz="4" w:space="0" w:color="auto"/>
              <w:right w:val="nil"/>
            </w:tcBorders>
            <w:shd w:val="clear" w:color="auto" w:fill="FDE9D9" w:themeFill="accent6" w:themeFillTint="33"/>
            <w:vAlign w:val="center"/>
          </w:tcPr>
          <w:p w:rsidR="00C21F85" w:rsidRPr="00D5126A" w:rsidRDefault="00C21F85" w:rsidP="00C21F85">
            <w:pPr>
              <w:spacing w:after="0" w:line="240" w:lineRule="auto"/>
              <w:jc w:val="right"/>
              <w:rPr>
                <w:rFonts w:ascii="Arial" w:eastAsia="Times New Roman" w:hAnsi="Arial" w:cs="Arial"/>
                <w:b/>
                <w:color w:val="333333"/>
                <w:sz w:val="24"/>
                <w:szCs w:val="24"/>
                <w:vertAlign w:val="superscript"/>
                <w:lang w:eastAsia="en-NZ"/>
              </w:rPr>
            </w:pPr>
            <w:r w:rsidRPr="00D5126A">
              <w:rPr>
                <w:rFonts w:ascii="Arial" w:eastAsia="Times New Roman" w:hAnsi="Arial" w:cs="Arial"/>
                <w:b/>
                <w:color w:val="333333"/>
                <w:sz w:val="24"/>
                <w:szCs w:val="24"/>
                <w:vertAlign w:val="superscript"/>
                <w:lang w:eastAsia="en-NZ"/>
              </w:rPr>
              <w:t>252,954</w:t>
            </w:r>
          </w:p>
        </w:tc>
        <w:tc>
          <w:tcPr>
            <w:tcW w:w="972" w:type="dxa"/>
            <w:tcBorders>
              <w:top w:val="single" w:sz="4" w:space="0" w:color="auto"/>
              <w:left w:val="nil"/>
              <w:bottom w:val="single" w:sz="4" w:space="0" w:color="auto"/>
              <w:right w:val="nil"/>
            </w:tcBorders>
            <w:shd w:val="clear" w:color="auto" w:fill="FDE9D9" w:themeFill="accent6" w:themeFillTint="33"/>
            <w:vAlign w:val="center"/>
            <w:hideMark/>
          </w:tcPr>
          <w:p w:rsidR="00C21F85" w:rsidRPr="00D5126A" w:rsidRDefault="00C21F85" w:rsidP="00C21F85">
            <w:pPr>
              <w:spacing w:after="0" w:line="240" w:lineRule="auto"/>
              <w:jc w:val="right"/>
              <w:rPr>
                <w:rFonts w:ascii="Arial" w:eastAsia="Times New Roman" w:hAnsi="Arial" w:cs="Arial"/>
                <w:b/>
                <w:color w:val="333333"/>
                <w:sz w:val="24"/>
                <w:szCs w:val="24"/>
                <w:vertAlign w:val="superscript"/>
                <w:lang w:eastAsia="en-NZ"/>
              </w:rPr>
            </w:pPr>
            <w:r w:rsidRPr="00D5126A">
              <w:rPr>
                <w:rFonts w:ascii="Arial" w:eastAsia="Times New Roman" w:hAnsi="Arial" w:cs="Arial"/>
                <w:b/>
                <w:color w:val="333333"/>
                <w:sz w:val="24"/>
                <w:szCs w:val="24"/>
                <w:vertAlign w:val="superscript"/>
                <w:lang w:eastAsia="en-NZ"/>
              </w:rPr>
              <w:t>81,252</w:t>
            </w:r>
          </w:p>
        </w:tc>
      </w:tr>
      <w:tr w:rsidR="00830D83" w:rsidRPr="00D5126A" w:rsidTr="00B26D3B">
        <w:trPr>
          <w:trHeight w:val="375"/>
        </w:trPr>
        <w:tc>
          <w:tcPr>
            <w:tcW w:w="9356" w:type="dxa"/>
            <w:gridSpan w:val="8"/>
            <w:tcBorders>
              <w:top w:val="single" w:sz="4" w:space="0" w:color="auto"/>
              <w:left w:val="nil"/>
              <w:bottom w:val="single" w:sz="12" w:space="0" w:color="auto"/>
              <w:right w:val="nil"/>
            </w:tcBorders>
            <w:shd w:val="clear" w:color="auto" w:fill="FDE9D9" w:themeFill="accent6" w:themeFillTint="33"/>
            <w:vAlign w:val="center"/>
          </w:tcPr>
          <w:p w:rsidR="00830D83" w:rsidRPr="00B26D3B" w:rsidRDefault="00830D83" w:rsidP="00B26D3B">
            <w:pPr>
              <w:spacing w:after="0" w:line="240" w:lineRule="auto"/>
              <w:rPr>
                <w:rFonts w:ascii="Arial" w:eastAsia="Times New Roman" w:hAnsi="Arial" w:cs="Arial"/>
                <w:color w:val="333333"/>
                <w:sz w:val="24"/>
                <w:szCs w:val="24"/>
                <w:vertAlign w:val="superscript"/>
                <w:lang w:eastAsia="en-NZ"/>
              </w:rPr>
            </w:pPr>
            <w:r w:rsidRPr="00B26D3B">
              <w:rPr>
                <w:rFonts w:ascii="Arial" w:eastAsia="Times New Roman" w:hAnsi="Arial" w:cs="Arial"/>
                <w:color w:val="333333"/>
                <w:sz w:val="24"/>
                <w:szCs w:val="24"/>
                <w:vertAlign w:val="superscript"/>
                <w:lang w:eastAsia="en-NZ"/>
              </w:rPr>
              <w:t>Figures in brackets (</w:t>
            </w:r>
            <w:r w:rsidR="00096052">
              <w:rPr>
                <w:rFonts w:ascii="Arial" w:eastAsia="Times New Roman" w:hAnsi="Arial" w:cs="Arial"/>
                <w:color w:val="333333"/>
                <w:sz w:val="24"/>
                <w:szCs w:val="24"/>
                <w:vertAlign w:val="superscript"/>
                <w:lang w:eastAsia="en-NZ"/>
              </w:rPr>
              <w:t xml:space="preserve"> </w:t>
            </w:r>
            <w:r w:rsidRPr="00B26D3B">
              <w:rPr>
                <w:rFonts w:ascii="Arial" w:eastAsia="Times New Roman" w:hAnsi="Arial" w:cs="Arial"/>
                <w:color w:val="333333"/>
                <w:sz w:val="24"/>
                <w:szCs w:val="24"/>
                <w:vertAlign w:val="superscript"/>
                <w:lang w:eastAsia="en-NZ"/>
              </w:rPr>
              <w:t>) equals negative variance to budget or overspend</w:t>
            </w:r>
          </w:p>
        </w:tc>
      </w:tr>
    </w:tbl>
    <w:p w:rsidR="00534FC7" w:rsidRPr="00D5126A" w:rsidRDefault="002E2131" w:rsidP="007D6892">
      <w:pPr>
        <w:spacing w:before="240"/>
        <w:rPr>
          <w:sz w:val="28"/>
        </w:rPr>
      </w:pPr>
      <w:r w:rsidRPr="00D5126A">
        <w:rPr>
          <w:rFonts w:eastAsia="Times New Roman"/>
          <w:lang w:eastAsia="en-NZ"/>
        </w:rPr>
        <w:t>There were several non-renewal capital projects that were delayed due to various timing issues arising from project design and costing, public consultation and consenting requirements. The main projects affected involved the Town Hall, St James Theatre, cycling improvements, Southern Landfill and Community Halls. The delay in these projects amounted to $46.</w:t>
      </w:r>
      <w:r w:rsidR="00831F77" w:rsidRPr="00D5126A">
        <w:rPr>
          <w:rFonts w:eastAsia="Times New Roman"/>
          <w:lang w:eastAsia="en-NZ"/>
        </w:rPr>
        <w:t>8</w:t>
      </w:r>
      <w:r w:rsidR="00831F77">
        <w:rPr>
          <w:rFonts w:eastAsia="Times New Roman"/>
          <w:lang w:eastAsia="en-NZ"/>
        </w:rPr>
        <w:t xml:space="preserve"> million</w:t>
      </w:r>
      <w:r w:rsidR="00831F77" w:rsidRPr="00D5126A">
        <w:rPr>
          <w:rFonts w:eastAsia="Times New Roman"/>
          <w:lang w:eastAsia="en-NZ"/>
        </w:rPr>
        <w:t xml:space="preserve"> </w:t>
      </w:r>
      <w:r w:rsidRPr="00D5126A">
        <w:rPr>
          <w:rFonts w:eastAsia="Times New Roman"/>
          <w:lang w:eastAsia="en-NZ"/>
        </w:rPr>
        <w:t>and equates to more than half the variance shown above.</w:t>
      </w:r>
    </w:p>
    <w:p w:rsidR="006A2304" w:rsidRPr="00D5126A" w:rsidRDefault="006A2304">
      <w:pPr>
        <w:rPr>
          <w:rFonts w:asciiTheme="majorHAnsi" w:eastAsiaTheme="majorEastAsia" w:hAnsiTheme="majorHAnsi"/>
          <w:b/>
          <w:bCs/>
          <w:color w:val="1F497D" w:themeColor="text2"/>
          <w:sz w:val="40"/>
          <w:szCs w:val="40"/>
        </w:rPr>
      </w:pPr>
      <w:bookmarkStart w:id="119" w:name="Cost_of_Council_services"/>
      <w:bookmarkStart w:id="120" w:name="Cost_of_Council_servicesThe_Council_prov"/>
      <w:bookmarkStart w:id="121" w:name="_Toc528234298"/>
      <w:bookmarkStart w:id="122" w:name="_Toc14178538"/>
      <w:r w:rsidRPr="00D5126A">
        <w:br w:type="page"/>
      </w:r>
    </w:p>
    <w:p w:rsidR="00B27C37" w:rsidRPr="00D5126A" w:rsidRDefault="002F214E" w:rsidP="00810293">
      <w:pPr>
        <w:pStyle w:val="Heading2"/>
      </w:pPr>
      <w:bookmarkStart w:id="123" w:name="_Toc23758600"/>
      <w:bookmarkEnd w:id="119"/>
      <w:bookmarkEnd w:id="120"/>
      <w:bookmarkEnd w:id="121"/>
      <w:bookmarkEnd w:id="122"/>
      <w:r>
        <w:lastRenderedPageBreak/>
        <w:t>Where do my rates go?</w:t>
      </w:r>
      <w:bookmarkEnd w:id="123"/>
    </w:p>
    <w:p w:rsidR="002F214E" w:rsidRDefault="002F214E" w:rsidP="001A5194">
      <w:pPr>
        <w:pStyle w:val="Para003"/>
        <w:spacing w:before="240" w:line="240" w:lineRule="auto"/>
        <w:rPr>
          <w:noProof/>
          <w:lang w:eastAsia="en-NZ"/>
        </w:rPr>
      </w:pPr>
      <w:r>
        <w:t xml:space="preserve">Wellington City </w:t>
      </w:r>
      <w:r w:rsidR="00A3111E" w:rsidRPr="00D5126A">
        <w:t xml:space="preserve">Council provides </w:t>
      </w:r>
      <w:r w:rsidR="0016597F" w:rsidRPr="00D5126A">
        <w:t>more than</w:t>
      </w:r>
      <w:r w:rsidR="00A3111E" w:rsidRPr="00D5126A">
        <w:t xml:space="preserve"> 400 services for Wellington residents.</w:t>
      </w:r>
      <w:r w:rsidR="00A3111E" w:rsidRPr="00D5126A">
        <w:br/>
        <w:t xml:space="preserve">The following shows </w:t>
      </w:r>
      <w:r>
        <w:t xml:space="preserve">some of the services </w:t>
      </w:r>
      <w:r w:rsidR="00930190">
        <w:t>delivered</w:t>
      </w:r>
      <w:r w:rsidR="00B54DE1">
        <w:t xml:space="preserve"> for </w:t>
      </w:r>
      <w:r w:rsidR="00930190">
        <w:t>every</w:t>
      </w:r>
      <w:r w:rsidR="0016597F" w:rsidRPr="00D5126A">
        <w:t xml:space="preserve"> $100</w:t>
      </w:r>
      <w:r w:rsidR="00465EBC">
        <w:t>*</w:t>
      </w:r>
      <w:r w:rsidR="0016597F" w:rsidRPr="00D5126A">
        <w:t xml:space="preserve"> of rates</w:t>
      </w:r>
      <w:r w:rsidR="00930190">
        <w:t>.</w:t>
      </w:r>
      <w:r w:rsidR="0016597F" w:rsidRPr="00D5126A">
        <w:t xml:space="preserve"> </w:t>
      </w:r>
    </w:p>
    <w:p w:rsidR="007B473D" w:rsidRPr="00D5126A" w:rsidRDefault="007B473D" w:rsidP="001A5194">
      <w:pPr>
        <w:pStyle w:val="Para003"/>
        <w:spacing w:before="240" w:line="240" w:lineRule="auto"/>
      </w:pPr>
      <w:r>
        <w:rPr>
          <w:noProof/>
          <w:lang w:eastAsia="en-NZ"/>
        </w:rPr>
        <w:drawing>
          <wp:inline distT="0" distB="0" distL="0" distR="0" wp14:anchorId="49C17DF6" wp14:editId="1F0A1EB6">
            <wp:extent cx="5560828" cy="6725455"/>
            <wp:effectExtent l="0" t="0" r="1905" b="0"/>
            <wp:docPr id="44" name="Picture 44" descr="Image with icons showing some of the services delivered for every $100 of rates:&#10;$11.59 gardens beaches and green spaces&#10;9.47 for community support&#10;$13.81 for collecting, treating and the supply of water&#10;13.20 for collecting, treating and disposing of wastewater&#10;$5.82 to manage stormwater&#10;$7.31 to manage our transport network&#10;$5.80 to promote the city and support business&#10;$6.62 to enjoy arts and cultureal activities&#10;$9.38 for recreational activities including pools, playgrounds, sprotsfields" title="Where do my rates go?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563869" cy="6729132"/>
                    </a:xfrm>
                    <a:prstGeom prst="rect">
                      <a:avLst/>
                    </a:prstGeom>
                  </pic:spPr>
                </pic:pic>
              </a:graphicData>
            </a:graphic>
          </wp:inline>
        </w:drawing>
      </w:r>
    </w:p>
    <w:p w:rsidR="007D6892" w:rsidRPr="004C3891" w:rsidRDefault="00496ECF" w:rsidP="007D6892">
      <w:pPr>
        <w:pStyle w:val="Para003"/>
        <w:spacing w:before="240" w:line="240" w:lineRule="auto"/>
        <w:rPr>
          <w:rFonts w:ascii="Arial" w:hAnsi="Arial" w:cs="Arial"/>
          <w:b/>
          <w:bCs/>
          <w:caps/>
          <w:spacing w:val="15"/>
          <w:sz w:val="32"/>
          <w:szCs w:val="24"/>
        </w:rPr>
      </w:pPr>
      <w:r w:rsidRPr="00496ECF">
        <w:t xml:space="preserve">* </w:t>
      </w:r>
      <w:bookmarkStart w:id="124" w:name="_Toc14178510"/>
      <w:r w:rsidR="007D6892" w:rsidRPr="004C3891">
        <w:rPr>
          <w:rFonts w:ascii="Arial" w:hAnsi="Arial" w:cs="Arial"/>
        </w:rPr>
        <w:t>Dollar figures are based on budgeted operating expenditure in the Long-term Plan Budget for the 2018/19 year funded from general and targeted rates only.</w:t>
      </w:r>
    </w:p>
    <w:p w:rsidR="007D3A07" w:rsidRPr="007D6892" w:rsidRDefault="007D3A07" w:rsidP="001A5194">
      <w:pPr>
        <w:pStyle w:val="Para003"/>
        <w:spacing w:before="240" w:line="240" w:lineRule="auto"/>
        <w:rPr>
          <w:b/>
          <w:bCs/>
          <w:caps/>
          <w:color w:val="FF0000"/>
          <w:spacing w:val="15"/>
          <w:sz w:val="32"/>
          <w:szCs w:val="24"/>
        </w:rPr>
      </w:pPr>
    </w:p>
    <w:p w:rsidR="007B473D" w:rsidRDefault="007B473D">
      <w:pPr>
        <w:rPr>
          <w:rFonts w:asciiTheme="majorHAnsi" w:eastAsiaTheme="majorEastAsia" w:hAnsiTheme="majorHAnsi"/>
          <w:b/>
          <w:bCs/>
          <w:color w:val="1F497D" w:themeColor="text2"/>
          <w:sz w:val="40"/>
          <w:szCs w:val="40"/>
        </w:rPr>
      </w:pPr>
      <w:bookmarkStart w:id="125" w:name="_Toc19085804"/>
      <w:r>
        <w:br w:type="page"/>
      </w:r>
    </w:p>
    <w:p w:rsidR="008C5BCB" w:rsidRPr="00D5126A" w:rsidRDefault="008C5BCB" w:rsidP="008C5BCB">
      <w:pPr>
        <w:pStyle w:val="Heading2"/>
      </w:pPr>
      <w:bookmarkStart w:id="126" w:name="_Toc23758601"/>
      <w:r w:rsidRPr="00D5126A">
        <w:lastRenderedPageBreak/>
        <w:t>Capital of Culture</w:t>
      </w:r>
      <w:bookmarkEnd w:id="125"/>
      <w:bookmarkEnd w:id="126"/>
    </w:p>
    <w:p w:rsidR="008C5BCB" w:rsidRPr="00D5126A" w:rsidRDefault="008C5BCB" w:rsidP="008C5BCB">
      <w:r w:rsidRPr="00D5126A">
        <w:t>This year Wellington had another full events calendar, including international, regional and local sporting tournaments, concerts, popular annual festivals and the second year of our new Matariki events.</w:t>
      </w:r>
    </w:p>
    <w:p w:rsidR="008C5BCB" w:rsidRPr="00D5126A" w:rsidRDefault="008C5BCB" w:rsidP="00961FC5">
      <w:pPr>
        <w:pStyle w:val="Heading5"/>
        <w:sectPr w:rsidR="008C5BCB" w:rsidRPr="00D5126A" w:rsidSect="009C620A">
          <w:type w:val="continuous"/>
          <w:pgSz w:w="11905" w:h="16837"/>
          <w:pgMar w:top="1134" w:right="1418" w:bottom="1134" w:left="1418" w:header="720" w:footer="0" w:gutter="0"/>
          <w:cols w:space="720"/>
          <w:docGrid w:linePitch="360"/>
        </w:sectPr>
      </w:pPr>
    </w:p>
    <w:p w:rsidR="008C5BCB" w:rsidRPr="00D5126A" w:rsidRDefault="008C5BCB" w:rsidP="00961FC5">
      <w:pPr>
        <w:pStyle w:val="Heading5"/>
      </w:pPr>
      <w:r w:rsidRPr="00D5126A">
        <w:lastRenderedPageBreak/>
        <w:t>July 2018</w:t>
      </w:r>
    </w:p>
    <w:p w:rsidR="008C5BCB" w:rsidRPr="00D5126A" w:rsidRDefault="008C5BCB" w:rsidP="008C5BCB">
      <w:r w:rsidRPr="00D5126A">
        <w:t>Wellington Marathon</w:t>
      </w:r>
    </w:p>
    <w:p w:rsidR="008C5BCB" w:rsidRPr="00D5126A" w:rsidRDefault="008C5BCB" w:rsidP="008C5BCB">
      <w:r w:rsidRPr="00D5126A">
        <w:t>Matariki Sky Show</w:t>
      </w:r>
    </w:p>
    <w:p w:rsidR="008C5BCB" w:rsidRPr="00D5126A" w:rsidRDefault="008C5BCB" w:rsidP="008C5BCB">
      <w:r w:rsidRPr="00D5126A">
        <w:rPr>
          <w:color w:val="000000" w:themeColor="text1"/>
        </w:rPr>
        <w:t>Tu Tagata Wellington Secondary School’s Polynesian Festival</w:t>
      </w:r>
    </w:p>
    <w:p w:rsidR="008C5BCB" w:rsidRPr="00D5126A" w:rsidRDefault="008C5BCB" w:rsidP="008C5BCB">
      <w:r w:rsidRPr="00D5126A">
        <w:t>Beyond the Page – Children’s Literacy Festival</w:t>
      </w:r>
    </w:p>
    <w:p w:rsidR="008C5BCB" w:rsidRPr="00D5126A" w:rsidRDefault="008C5BCB" w:rsidP="008C5BCB">
      <w:r w:rsidRPr="00D5126A">
        <w:t>Super Rugby Quarter Final</w:t>
      </w:r>
    </w:p>
    <w:p w:rsidR="008C5BCB" w:rsidRPr="00D5126A" w:rsidRDefault="008C5BCB" w:rsidP="008C5BCB">
      <w:r w:rsidRPr="00D5126A">
        <w:t>NZ International Film Festival</w:t>
      </w:r>
    </w:p>
    <w:p w:rsidR="008C5BCB" w:rsidRPr="00D5126A" w:rsidRDefault="008C5BCB" w:rsidP="008C5BCB">
      <w:r w:rsidRPr="00D5126A">
        <w:t>K-Culture Festival</w:t>
      </w:r>
    </w:p>
    <w:p w:rsidR="008C5BCB" w:rsidRPr="00D5126A" w:rsidRDefault="008C5BCB" w:rsidP="008C5BCB">
      <w:r w:rsidRPr="00D5126A">
        <w:t>Taekwon-Do Nationals and Oceania Championship</w:t>
      </w:r>
    </w:p>
    <w:p w:rsidR="008C5BCB" w:rsidRPr="00D5126A" w:rsidRDefault="008C5BCB" w:rsidP="00961FC5">
      <w:pPr>
        <w:pStyle w:val="Heading5"/>
      </w:pPr>
      <w:r w:rsidRPr="00D5126A">
        <w:t>August</w:t>
      </w:r>
    </w:p>
    <w:p w:rsidR="008C5BCB" w:rsidRPr="00D5126A" w:rsidRDefault="008C5BCB" w:rsidP="008C5BCB">
      <w:r w:rsidRPr="00D5126A">
        <w:t>Phoenix Foundation 20</w:t>
      </w:r>
      <w:r w:rsidRPr="00D5126A">
        <w:rPr>
          <w:vertAlign w:val="superscript"/>
        </w:rPr>
        <w:t>th</w:t>
      </w:r>
      <w:r w:rsidRPr="00D5126A">
        <w:t xml:space="preserve"> Anniversary Concert</w:t>
      </w:r>
    </w:p>
    <w:p w:rsidR="008C5BCB" w:rsidRPr="00D5126A" w:rsidRDefault="008C5BCB" w:rsidP="008C5BCB">
      <w:r w:rsidRPr="00D5126A">
        <w:t>Fairtrade Fortnight</w:t>
      </w:r>
    </w:p>
    <w:p w:rsidR="008C5BCB" w:rsidRPr="00D5126A" w:rsidRDefault="008C5BCB" w:rsidP="008C5BCB">
      <w:r w:rsidRPr="00D5126A">
        <w:t>Wellington Zoo Winter Wednesdays</w:t>
      </w:r>
    </w:p>
    <w:p w:rsidR="008C5BCB" w:rsidRPr="00D5126A" w:rsidRDefault="008C5BCB" w:rsidP="008C5BCB">
      <w:r w:rsidRPr="00D5126A">
        <w:rPr>
          <w:lang w:eastAsia="en-NZ"/>
        </w:rPr>
        <w:t xml:space="preserve">North Island Masters Track and Field </w:t>
      </w:r>
      <w:r w:rsidR="00251826" w:rsidRPr="00D5126A">
        <w:rPr>
          <w:lang w:eastAsia="en-NZ"/>
        </w:rPr>
        <w:t>Championships</w:t>
      </w:r>
    </w:p>
    <w:p w:rsidR="008C5BCB" w:rsidRPr="00D5126A" w:rsidRDefault="008C5BCB" w:rsidP="008C5BCB">
      <w:r w:rsidRPr="00D5126A">
        <w:t>Beervana</w:t>
      </w:r>
    </w:p>
    <w:p w:rsidR="008C5BCB" w:rsidRPr="00D5126A" w:rsidRDefault="008C5BCB" w:rsidP="008C5BCB">
      <w:r w:rsidRPr="00D5126A">
        <w:t>Visa Wellington on a Plate</w:t>
      </w:r>
    </w:p>
    <w:p w:rsidR="008C5BCB" w:rsidRPr="00D5126A" w:rsidRDefault="008C5BCB" w:rsidP="008C5BCB">
      <w:r w:rsidRPr="00D5126A">
        <w:t>Wellington Lions Mitre 10 Cup season starts</w:t>
      </w:r>
    </w:p>
    <w:p w:rsidR="008C5BCB" w:rsidRPr="00D5126A" w:rsidRDefault="008C5BCB" w:rsidP="00961FC5">
      <w:pPr>
        <w:pStyle w:val="Heading5"/>
      </w:pPr>
      <w:r w:rsidRPr="00D5126A">
        <w:t>September</w:t>
      </w:r>
    </w:p>
    <w:p w:rsidR="008C5BCB" w:rsidRPr="00D5126A" w:rsidRDefault="008C5BCB" w:rsidP="008C5BCB">
      <w:r w:rsidRPr="00D5126A">
        <w:t xml:space="preserve">Te Wiki o </w:t>
      </w:r>
      <w:proofErr w:type="gramStart"/>
      <w:r w:rsidRPr="00D5126A">
        <w:t>te</w:t>
      </w:r>
      <w:proofErr w:type="gramEnd"/>
      <w:r w:rsidRPr="00D5126A">
        <w:t xml:space="preserve"> reo Māori Parade</w:t>
      </w:r>
    </w:p>
    <w:p w:rsidR="008C5BCB" w:rsidRPr="00D5126A" w:rsidRDefault="008C5BCB" w:rsidP="008C5BCB">
      <w:r w:rsidRPr="00D5126A">
        <w:rPr>
          <w:rFonts w:cstheme="minorHAnsi"/>
          <w:color w:val="000000" w:themeColor="text1"/>
        </w:rPr>
        <w:t>Art Splash</w:t>
      </w:r>
    </w:p>
    <w:p w:rsidR="008C5BCB" w:rsidRPr="00D5126A" w:rsidRDefault="008C5BCB" w:rsidP="008C5BCB">
      <w:r w:rsidRPr="00D5126A">
        <w:t>All Blacks vs South Africa</w:t>
      </w:r>
    </w:p>
    <w:p w:rsidR="008C5BCB" w:rsidRPr="00D5126A" w:rsidRDefault="008C5BCB" w:rsidP="008C5BCB">
      <w:r w:rsidRPr="00D5126A">
        <w:lastRenderedPageBreak/>
        <w:t>Spring Festival</w:t>
      </w:r>
    </w:p>
    <w:p w:rsidR="008C5BCB" w:rsidRPr="00D5126A" w:rsidRDefault="008C5BCB" w:rsidP="008C5BCB">
      <w:r w:rsidRPr="00D5126A">
        <w:t>Tulip Sunday</w:t>
      </w:r>
    </w:p>
    <w:p w:rsidR="008C5BCB" w:rsidRPr="00D5126A" w:rsidRDefault="008C5BCB" w:rsidP="008C5BCB">
      <w:r w:rsidRPr="00D5126A">
        <w:t>Kids’ Day Out</w:t>
      </w:r>
    </w:p>
    <w:p w:rsidR="008C5BCB" w:rsidRPr="00D5126A" w:rsidRDefault="008C5BCB" w:rsidP="008C5BCB">
      <w:r w:rsidRPr="00D5126A">
        <w:t>NZ Chinese Language Week</w:t>
      </w:r>
    </w:p>
    <w:p w:rsidR="008C5BCB" w:rsidRPr="00D5126A" w:rsidRDefault="008C5BCB" w:rsidP="008C5BCB">
      <w:r w:rsidRPr="00D5126A">
        <w:t>WOW 30</w:t>
      </w:r>
      <w:r w:rsidRPr="00D5126A">
        <w:rPr>
          <w:vertAlign w:val="superscript"/>
        </w:rPr>
        <w:t>th</w:t>
      </w:r>
      <w:r w:rsidRPr="00D5126A">
        <w:t xml:space="preserve"> anniversary</w:t>
      </w:r>
    </w:p>
    <w:p w:rsidR="008C5BCB" w:rsidRPr="00D5126A" w:rsidRDefault="008C5BCB" w:rsidP="008C5BCB">
      <w:r w:rsidRPr="00D5126A">
        <w:t>Home &amp; Garden Show</w:t>
      </w:r>
    </w:p>
    <w:p w:rsidR="008C5BCB" w:rsidRPr="00D5126A" w:rsidRDefault="008C5BCB" w:rsidP="00961FC5">
      <w:pPr>
        <w:pStyle w:val="Heading5"/>
      </w:pPr>
      <w:r w:rsidRPr="00D5126A">
        <w:t>October</w:t>
      </w:r>
    </w:p>
    <w:p w:rsidR="008C5BCB" w:rsidRPr="00D5126A" w:rsidRDefault="008C5BCB" w:rsidP="008C5BCB">
      <w:r w:rsidRPr="00D5126A">
        <w:t>Seniors’ Week</w:t>
      </w:r>
    </w:p>
    <w:p w:rsidR="008C5BCB" w:rsidRPr="00D5126A" w:rsidRDefault="008C5BCB" w:rsidP="008C5BCB">
      <w:r w:rsidRPr="00D5126A">
        <w:t>Wellington Heritage Week</w:t>
      </w:r>
    </w:p>
    <w:p w:rsidR="008C5BCB" w:rsidRPr="00D5126A" w:rsidRDefault="008C5BCB" w:rsidP="008C5BCB">
      <w:r w:rsidRPr="00D5126A">
        <w:t>Spring into Tawa</w:t>
      </w:r>
    </w:p>
    <w:p w:rsidR="008C5BCB" w:rsidRPr="00D5126A" w:rsidRDefault="008C5BCB" w:rsidP="008C5BCB">
      <w:r w:rsidRPr="00D5126A">
        <w:t>Diwali</w:t>
      </w:r>
    </w:p>
    <w:p w:rsidR="008C5BCB" w:rsidRPr="00D5126A" w:rsidRDefault="008C5BCB" w:rsidP="008C5BCB">
      <w:r w:rsidRPr="00D5126A">
        <w:t>NZ Improv Festival</w:t>
      </w:r>
    </w:p>
    <w:p w:rsidR="008C5BCB" w:rsidRPr="00D5126A" w:rsidRDefault="008C5BCB" w:rsidP="008C5BCB">
      <w:r w:rsidRPr="00D5126A">
        <w:t>Wellington Phoenix A-League season starts</w:t>
      </w:r>
    </w:p>
    <w:p w:rsidR="008C5BCB" w:rsidRPr="00D5126A" w:rsidRDefault="008C5BCB" w:rsidP="008C5BCB">
      <w:r w:rsidRPr="00D5126A">
        <w:t>Wellington Firebirds and Blaze cricket season starts</w:t>
      </w:r>
    </w:p>
    <w:p w:rsidR="008C5BCB" w:rsidRPr="00D5126A" w:rsidRDefault="008C5BCB" w:rsidP="00961FC5">
      <w:pPr>
        <w:pStyle w:val="Heading5"/>
      </w:pPr>
      <w:r w:rsidRPr="00D5126A">
        <w:t>November</w:t>
      </w:r>
    </w:p>
    <w:p w:rsidR="008C5BCB" w:rsidRPr="00D5126A" w:rsidRDefault="008C5BCB" w:rsidP="008C5BCB">
      <w:r w:rsidRPr="00D5126A">
        <w:t>LitCrawl</w:t>
      </w:r>
    </w:p>
    <w:p w:rsidR="008C5BCB" w:rsidRPr="00D5126A" w:rsidRDefault="008C5BCB" w:rsidP="008C5BCB">
      <w:r w:rsidRPr="00D5126A">
        <w:t>Armistice Day Centenary</w:t>
      </w:r>
    </w:p>
    <w:p w:rsidR="008C5BCB" w:rsidRPr="00D5126A" w:rsidRDefault="008C5BCB" w:rsidP="008C5BCB">
      <w:r w:rsidRPr="00D5126A">
        <w:t>Mary Potter Hospice Strawberry Festival</w:t>
      </w:r>
    </w:p>
    <w:p w:rsidR="008C5BCB" w:rsidRPr="00D5126A" w:rsidRDefault="008C5BCB" w:rsidP="008C5BCB">
      <w:r w:rsidRPr="00D5126A">
        <w:t>Wellington Japan Festival</w:t>
      </w:r>
    </w:p>
    <w:p w:rsidR="008C5BCB" w:rsidRPr="00D5126A" w:rsidRDefault="008C5BCB" w:rsidP="008C5BCB">
      <w:pPr>
        <w:rPr>
          <w:rFonts w:cstheme="minorHAnsi"/>
          <w:color w:val="000000" w:themeColor="text1"/>
        </w:rPr>
      </w:pPr>
      <w:r w:rsidRPr="00D5126A">
        <w:rPr>
          <w:rFonts w:cstheme="minorHAnsi"/>
          <w:color w:val="000000" w:themeColor="text1"/>
        </w:rPr>
        <w:t>Wellington Maker Faire</w:t>
      </w:r>
    </w:p>
    <w:p w:rsidR="008C5BCB" w:rsidRPr="00D5126A" w:rsidRDefault="008C5BCB" w:rsidP="008C5BCB">
      <w:pPr>
        <w:rPr>
          <w:rFonts w:cstheme="minorHAnsi"/>
          <w:color w:val="000000" w:themeColor="text1"/>
        </w:rPr>
      </w:pPr>
      <w:r w:rsidRPr="00D5126A">
        <w:rPr>
          <w:rFonts w:cstheme="minorHAnsi"/>
          <w:color w:val="000000" w:themeColor="text1"/>
        </w:rPr>
        <w:t>Polish Christmas Market</w:t>
      </w:r>
    </w:p>
    <w:p w:rsidR="008C5BCB" w:rsidRPr="00D5126A" w:rsidRDefault="008C5BCB" w:rsidP="008C5BCB">
      <w:r w:rsidRPr="00D5126A">
        <w:rPr>
          <w:rFonts w:cstheme="minorHAnsi"/>
          <w:color w:val="000000" w:themeColor="text1"/>
        </w:rPr>
        <w:t>Annual Russian Cultural Festival</w:t>
      </w:r>
    </w:p>
    <w:p w:rsidR="008C5BCB" w:rsidRPr="00D5126A" w:rsidRDefault="008C5BCB" w:rsidP="008C5BCB">
      <w:r w:rsidRPr="00D5126A">
        <w:t>A Very Welly Christmas</w:t>
      </w:r>
    </w:p>
    <w:p w:rsidR="008C5BCB" w:rsidRPr="00D5126A" w:rsidRDefault="008C5BCB" w:rsidP="00961FC5">
      <w:pPr>
        <w:pStyle w:val="Heading5"/>
      </w:pPr>
      <w:r w:rsidRPr="00D5126A">
        <w:lastRenderedPageBreak/>
        <w:t xml:space="preserve">December </w:t>
      </w:r>
    </w:p>
    <w:p w:rsidR="008C5BCB" w:rsidRPr="00D5126A" w:rsidRDefault="008C5BCB" w:rsidP="008C5BCB">
      <w:r w:rsidRPr="00D5126A">
        <w:t>Johnsonville Lions Christmas Parade</w:t>
      </w:r>
    </w:p>
    <w:p w:rsidR="008C5BCB" w:rsidRPr="00D5126A" w:rsidRDefault="008C5BCB" w:rsidP="008C5BCB">
      <w:r w:rsidRPr="00D5126A">
        <w:t>Colourful Kilbirnie Christmas</w:t>
      </w:r>
    </w:p>
    <w:p w:rsidR="008C5BCB" w:rsidRPr="00D5126A" w:rsidRDefault="008C5BCB" w:rsidP="008C5BCB">
      <w:r w:rsidRPr="00D5126A">
        <w:t>Thorndon Fair</w:t>
      </w:r>
    </w:p>
    <w:p w:rsidR="008C5BCB" w:rsidRPr="00D5126A" w:rsidRDefault="008C5BCB" w:rsidP="008C5BCB">
      <w:r w:rsidRPr="00D5126A">
        <w:rPr>
          <w:rFonts w:cstheme="minorHAnsi"/>
          <w:color w:val="000000" w:themeColor="text1"/>
        </w:rPr>
        <w:t>Measina Festival</w:t>
      </w:r>
    </w:p>
    <w:p w:rsidR="008C5BCB" w:rsidRPr="00D5126A" w:rsidRDefault="008C5BCB" w:rsidP="008C5BCB">
      <w:r w:rsidRPr="00D5126A">
        <w:t>Christmas in Strathmore Park</w:t>
      </w:r>
    </w:p>
    <w:p w:rsidR="008C5BCB" w:rsidRPr="00D5126A" w:rsidRDefault="008C5BCB" w:rsidP="008C5BCB">
      <w:r w:rsidRPr="00D5126A">
        <w:t>Khandallah Village Street Fair</w:t>
      </w:r>
    </w:p>
    <w:p w:rsidR="008C5BCB" w:rsidRPr="00D5126A" w:rsidRDefault="008C5BCB" w:rsidP="008C5BCB">
      <w:r w:rsidRPr="00D5126A">
        <w:t>The 12 Storytimes of Christmas</w:t>
      </w:r>
    </w:p>
    <w:p w:rsidR="008C5BCB" w:rsidRPr="00D5126A" w:rsidRDefault="008C5BCB" w:rsidP="008C5BCB">
      <w:r w:rsidRPr="00D5126A">
        <w:t>Terracotta Warriors</w:t>
      </w:r>
    </w:p>
    <w:p w:rsidR="008C5BCB" w:rsidRPr="00D5126A" w:rsidRDefault="008C5BCB" w:rsidP="008C5BCB">
      <w:r w:rsidRPr="00D5126A">
        <w:t>Black Caps v Sri Lanka Tour</w:t>
      </w:r>
    </w:p>
    <w:p w:rsidR="008C5BCB" w:rsidRPr="00D5126A" w:rsidRDefault="008C5BCB" w:rsidP="008C5BCB">
      <w:r w:rsidRPr="00D5126A">
        <w:t>New Year’s Eve Celebrations</w:t>
      </w:r>
    </w:p>
    <w:p w:rsidR="008C5BCB" w:rsidRPr="00D5126A" w:rsidRDefault="008C5BCB" w:rsidP="00961FC5">
      <w:pPr>
        <w:pStyle w:val="Heading5"/>
      </w:pPr>
      <w:proofErr w:type="gramStart"/>
      <w:r w:rsidRPr="00D5126A">
        <w:t>January  2019</w:t>
      </w:r>
      <w:proofErr w:type="gramEnd"/>
    </w:p>
    <w:p w:rsidR="008C5BCB" w:rsidRPr="00D5126A" w:rsidRDefault="008C5BCB" w:rsidP="008C5BCB">
      <w:r w:rsidRPr="00D5126A">
        <w:t>Gardens Magic</w:t>
      </w:r>
    </w:p>
    <w:p w:rsidR="008C5BCB" w:rsidRPr="00D5126A" w:rsidRDefault="008C5BCB" w:rsidP="008C5BCB">
      <w:r w:rsidRPr="00D5126A">
        <w:rPr>
          <w:rStyle w:val="spellingerror"/>
          <w:rFonts w:cstheme="minorHAnsi"/>
          <w:bCs/>
          <w:color w:val="000000" w:themeColor="text1"/>
        </w:rPr>
        <w:t>Kids Magic</w:t>
      </w:r>
    </w:p>
    <w:p w:rsidR="008C5BCB" w:rsidRPr="00D5126A" w:rsidRDefault="008C5BCB" w:rsidP="008C5BCB">
      <w:r w:rsidRPr="00D5126A">
        <w:t>Waterfront Clean Up</w:t>
      </w:r>
    </w:p>
    <w:p w:rsidR="008C5BCB" w:rsidRPr="00D5126A" w:rsidRDefault="008C5BCB" w:rsidP="008C5BCB">
      <w:r w:rsidRPr="00D5126A">
        <w:t>Pasifika Festival</w:t>
      </w:r>
    </w:p>
    <w:p w:rsidR="008C5BCB" w:rsidRPr="00D5126A" w:rsidRDefault="008C5BCB" w:rsidP="008C5BCB">
      <w:r w:rsidRPr="00D5126A">
        <w:t>Capital Classic Ocean Swim</w:t>
      </w:r>
    </w:p>
    <w:p w:rsidR="008C5BCB" w:rsidRPr="00D5126A" w:rsidRDefault="008C5BCB" w:rsidP="008C5BCB">
      <w:r w:rsidRPr="00D5126A">
        <w:t>Summer in the Sanctuary</w:t>
      </w:r>
    </w:p>
    <w:p w:rsidR="008C5BCB" w:rsidRPr="00D5126A" w:rsidRDefault="008C5BCB" w:rsidP="00961FC5">
      <w:pPr>
        <w:pStyle w:val="Heading5"/>
      </w:pPr>
      <w:r w:rsidRPr="00D5126A">
        <w:t xml:space="preserve">February </w:t>
      </w:r>
    </w:p>
    <w:p w:rsidR="008C5BCB" w:rsidRPr="00D5126A" w:rsidRDefault="008C5BCB" w:rsidP="008C5BCB">
      <w:r w:rsidRPr="00D5126A">
        <w:rPr>
          <w:spacing w:val="4"/>
        </w:rPr>
        <w:t xml:space="preserve">Te Pōhutu Nui - </w:t>
      </w:r>
      <w:r w:rsidRPr="00D5126A">
        <w:t>Welly Bomb Comp</w:t>
      </w:r>
    </w:p>
    <w:p w:rsidR="008C5BCB" w:rsidRPr="00D5126A" w:rsidRDefault="008C5BCB" w:rsidP="008C5BCB">
      <w:r w:rsidRPr="00D5126A">
        <w:t>Black Caps vs India</w:t>
      </w:r>
    </w:p>
    <w:p w:rsidR="008C5BCB" w:rsidRPr="00D5126A" w:rsidRDefault="008C5BCB" w:rsidP="008C5BCB">
      <w:r w:rsidRPr="00D5126A">
        <w:t>White Ferns vs India</w:t>
      </w:r>
    </w:p>
    <w:p w:rsidR="008C5BCB" w:rsidRPr="00D5126A" w:rsidRDefault="008C5BCB" w:rsidP="008C5BCB">
      <w:r w:rsidRPr="00D5126A">
        <w:t>Te Rā o Waitangi</w:t>
      </w:r>
    </w:p>
    <w:p w:rsidR="008C5BCB" w:rsidRPr="00D5126A" w:rsidRDefault="008C5BCB" w:rsidP="008C5BCB">
      <w:r w:rsidRPr="00D5126A">
        <w:rPr>
          <w:rFonts w:cstheme="minorHAnsi"/>
          <w:bCs/>
          <w:color w:val="000000" w:themeColor="text1"/>
        </w:rPr>
        <w:t>Kotahi</w:t>
      </w:r>
    </w:p>
    <w:p w:rsidR="008C5BCB" w:rsidRPr="00D5126A" w:rsidRDefault="008C5BCB" w:rsidP="008C5BCB">
      <w:r w:rsidRPr="00D5126A">
        <w:lastRenderedPageBreak/>
        <w:t>Chinese New Year Festival</w:t>
      </w:r>
    </w:p>
    <w:p w:rsidR="008C5BCB" w:rsidRPr="00D5126A" w:rsidRDefault="008C5BCB" w:rsidP="008C5BCB">
      <w:r w:rsidRPr="00D5126A">
        <w:t>Pipes in the Park</w:t>
      </w:r>
    </w:p>
    <w:p w:rsidR="008C5BCB" w:rsidRPr="00D5126A" w:rsidRDefault="008C5BCB" w:rsidP="008C5BCB">
      <w:r w:rsidRPr="00D5126A">
        <w:t>Island Bay Festival</w:t>
      </w:r>
    </w:p>
    <w:p w:rsidR="008C5BCB" w:rsidRPr="00D5126A" w:rsidRDefault="008C5BCB" w:rsidP="008C5BCB">
      <w:r w:rsidRPr="00D5126A">
        <w:t>Wellington Wine and Food Festival</w:t>
      </w:r>
    </w:p>
    <w:p w:rsidR="008C5BCB" w:rsidRPr="00D5126A" w:rsidRDefault="008C5BCB" w:rsidP="008C5BCB">
      <w:r w:rsidRPr="00D5126A">
        <w:t>Botanic Gardens 150</w:t>
      </w:r>
      <w:r w:rsidRPr="00D5126A">
        <w:rPr>
          <w:vertAlign w:val="superscript"/>
        </w:rPr>
        <w:t>th</w:t>
      </w:r>
      <w:r w:rsidRPr="00D5126A">
        <w:t xml:space="preserve"> – Victorian Picnic</w:t>
      </w:r>
    </w:p>
    <w:p w:rsidR="008C5BCB" w:rsidRPr="00D5126A" w:rsidRDefault="008C5BCB" w:rsidP="008C5BCB">
      <w:r w:rsidRPr="00D5126A">
        <w:t>Te Matatini</w:t>
      </w:r>
    </w:p>
    <w:p w:rsidR="008C5BCB" w:rsidRPr="00D5126A" w:rsidRDefault="008C5BCB" w:rsidP="008C5BCB">
      <w:r w:rsidRPr="00D5126A">
        <w:t xml:space="preserve">NZ Breakers vs </w:t>
      </w:r>
      <w:r w:rsidR="00251826" w:rsidRPr="00D5126A">
        <w:t>Il</w:t>
      </w:r>
      <w:r w:rsidR="00251826">
        <w:t>l</w:t>
      </w:r>
      <w:r w:rsidR="00251826" w:rsidRPr="00D5126A">
        <w:t>awarra</w:t>
      </w:r>
      <w:r w:rsidRPr="00D5126A">
        <w:t xml:space="preserve"> Hawks</w:t>
      </w:r>
    </w:p>
    <w:p w:rsidR="008C5BCB" w:rsidRPr="00D5126A" w:rsidRDefault="008C5BCB" w:rsidP="008C5BCB">
      <w:r w:rsidRPr="00D5126A">
        <w:t>Summer Shakespeare</w:t>
      </w:r>
    </w:p>
    <w:p w:rsidR="008C5BCB" w:rsidRPr="00D5126A" w:rsidRDefault="008C5BCB" w:rsidP="008C5BCB">
      <w:r w:rsidRPr="00D5126A">
        <w:t>Round the Bays</w:t>
      </w:r>
    </w:p>
    <w:p w:rsidR="008C5BCB" w:rsidRPr="00D5126A" w:rsidRDefault="008C5BCB" w:rsidP="008C5BCB">
      <w:r w:rsidRPr="00D5126A">
        <w:t>Performance Arcade</w:t>
      </w:r>
    </w:p>
    <w:p w:rsidR="008C5BCB" w:rsidRPr="00D5126A" w:rsidRDefault="008C5BCB" w:rsidP="008C5BCB">
      <w:r w:rsidRPr="00D5126A">
        <w:t>Hurricanes Super Rugby season starts</w:t>
      </w:r>
    </w:p>
    <w:p w:rsidR="008C5BCB" w:rsidRPr="00D5126A" w:rsidRDefault="008C5BCB" w:rsidP="008C5BCB">
      <w:r w:rsidRPr="00D5126A">
        <w:t>Central Pulse ANZ Premiership season starts</w:t>
      </w:r>
    </w:p>
    <w:p w:rsidR="008C5BCB" w:rsidRPr="00D5126A" w:rsidRDefault="008C5BCB" w:rsidP="008C5BCB">
      <w:r w:rsidRPr="00D5126A">
        <w:t>Women’s National Futsal League</w:t>
      </w:r>
    </w:p>
    <w:p w:rsidR="008C5BCB" w:rsidRPr="00D5126A" w:rsidRDefault="008C5BCB" w:rsidP="008C5BCB">
      <w:r w:rsidRPr="00D5126A">
        <w:rPr>
          <w:lang w:eastAsia="en-NZ"/>
        </w:rPr>
        <w:t>Capital Championships BMX Super Series</w:t>
      </w:r>
    </w:p>
    <w:p w:rsidR="008C5BCB" w:rsidRPr="00D5126A" w:rsidRDefault="008C5BCB" w:rsidP="00961FC5">
      <w:pPr>
        <w:pStyle w:val="Heading5"/>
      </w:pPr>
      <w:r w:rsidRPr="00D5126A">
        <w:t>March</w:t>
      </w:r>
    </w:p>
    <w:p w:rsidR="008C5BCB" w:rsidRPr="00D5126A" w:rsidRDefault="008C5BCB" w:rsidP="008C5BCB">
      <w:r w:rsidRPr="00D5126A">
        <w:t>NZ Fringe Festival</w:t>
      </w:r>
    </w:p>
    <w:p w:rsidR="008C5BCB" w:rsidRPr="00D5126A" w:rsidRDefault="008C5BCB" w:rsidP="008C5BCB">
      <w:r w:rsidRPr="00D5126A">
        <w:t>Eminem</w:t>
      </w:r>
    </w:p>
    <w:p w:rsidR="008C5BCB" w:rsidRPr="00D5126A" w:rsidRDefault="008C5BCB" w:rsidP="008C5BCB">
      <w:r w:rsidRPr="00D5126A">
        <w:t xml:space="preserve">Jim Beam Homegrown  </w:t>
      </w:r>
    </w:p>
    <w:p w:rsidR="008C5BCB" w:rsidRPr="00D5126A" w:rsidRDefault="008C5BCB" w:rsidP="008C5BCB">
      <w:r w:rsidRPr="00D5126A">
        <w:t>Nitro Circus</w:t>
      </w:r>
    </w:p>
    <w:p w:rsidR="008C5BCB" w:rsidRPr="00D5126A" w:rsidRDefault="008C5BCB" w:rsidP="008C5BCB">
      <w:r w:rsidRPr="00D5126A">
        <w:t>CubaDupa</w:t>
      </w:r>
    </w:p>
    <w:p w:rsidR="008C5BCB" w:rsidRPr="00D5126A" w:rsidRDefault="008C5BCB" w:rsidP="008C5BCB">
      <w:r w:rsidRPr="00D5126A">
        <w:t>Black Caps vs Bangladesh</w:t>
      </w:r>
    </w:p>
    <w:p w:rsidR="008C5BCB" w:rsidRPr="00D5126A" w:rsidRDefault="008C5BCB" w:rsidP="008C5BCB">
      <w:r w:rsidRPr="00D5126A">
        <w:t>Dragon Boat Festival</w:t>
      </w:r>
    </w:p>
    <w:p w:rsidR="008C5BCB" w:rsidRPr="00D5126A" w:rsidRDefault="008C5BCB" w:rsidP="008C5BCB">
      <w:r w:rsidRPr="00D5126A">
        <w:t>Newtown Festival</w:t>
      </w:r>
    </w:p>
    <w:p w:rsidR="008C5BCB" w:rsidRPr="00D5126A" w:rsidRDefault="008C5BCB" w:rsidP="008C5BCB">
      <w:r w:rsidRPr="00D5126A">
        <w:t>Bowlzilla – Skateboard Park/Bowl titles</w:t>
      </w:r>
    </w:p>
    <w:p w:rsidR="008C5BCB" w:rsidRPr="00D5126A" w:rsidRDefault="008C5BCB" w:rsidP="00961FC5">
      <w:pPr>
        <w:pStyle w:val="Heading5"/>
      </w:pPr>
      <w:r w:rsidRPr="00D5126A">
        <w:t>April</w:t>
      </w:r>
    </w:p>
    <w:p w:rsidR="008C5BCB" w:rsidRPr="00D5126A" w:rsidRDefault="008C5BCB" w:rsidP="008C5BCB">
      <w:r w:rsidRPr="00D5126A">
        <w:t>Relay for Life</w:t>
      </w:r>
    </w:p>
    <w:p w:rsidR="008C5BCB" w:rsidRPr="00D5126A" w:rsidRDefault="008C5BCB" w:rsidP="008C5BCB">
      <w:r w:rsidRPr="00D5126A">
        <w:lastRenderedPageBreak/>
        <w:t>Armageddon</w:t>
      </w:r>
    </w:p>
    <w:p w:rsidR="008C5BCB" w:rsidRPr="00D5126A" w:rsidRDefault="008C5BCB" w:rsidP="008C5BCB">
      <w:r w:rsidRPr="00D5126A">
        <w:t>Kids’ Night Walks at Zealandia</w:t>
      </w:r>
    </w:p>
    <w:p w:rsidR="008C5BCB" w:rsidRPr="00D5126A" w:rsidRDefault="008C5BCB" w:rsidP="008C5BCB">
      <w:r w:rsidRPr="00D5126A">
        <w:t>Anzac Day commemorations</w:t>
      </w:r>
    </w:p>
    <w:p w:rsidR="008C5BCB" w:rsidRPr="00D5126A" w:rsidRDefault="008C5BCB" w:rsidP="008C5BCB">
      <w:r w:rsidRPr="00D5126A">
        <w:t>Wellington Saints NBL season starts</w:t>
      </w:r>
    </w:p>
    <w:p w:rsidR="008C5BCB" w:rsidRPr="00D5126A" w:rsidRDefault="008C5BCB" w:rsidP="008C5BCB">
      <w:r w:rsidRPr="00D5126A">
        <w:t>World Indoor Archery Championships</w:t>
      </w:r>
    </w:p>
    <w:p w:rsidR="008C5BCB" w:rsidRPr="00D5126A" w:rsidRDefault="008C5BCB" w:rsidP="008C5BCB">
      <w:r w:rsidRPr="00D5126A">
        <w:t>National Age Group Swimming Championships</w:t>
      </w:r>
    </w:p>
    <w:p w:rsidR="008C5BCB" w:rsidRPr="00D5126A" w:rsidRDefault="008C5BCB" w:rsidP="008C5BCB">
      <w:r w:rsidRPr="00D5126A">
        <w:t>Bioblits</w:t>
      </w:r>
    </w:p>
    <w:p w:rsidR="008C5BCB" w:rsidRPr="00D5126A" w:rsidRDefault="008C5BCB" w:rsidP="00961FC5">
      <w:pPr>
        <w:pStyle w:val="Heading5"/>
      </w:pPr>
      <w:r w:rsidRPr="00D5126A">
        <w:t>May</w:t>
      </w:r>
    </w:p>
    <w:p w:rsidR="008C5BCB" w:rsidRPr="00D5126A" w:rsidRDefault="008C5BCB" w:rsidP="008C5BCB">
      <w:r w:rsidRPr="00D5126A">
        <w:rPr>
          <w:rStyle w:val="eop"/>
          <w:rFonts w:cstheme="minorHAnsi"/>
          <w:color w:val="000000" w:themeColor="text1"/>
        </w:rPr>
        <w:t>NZ International Comedy Festival</w:t>
      </w:r>
    </w:p>
    <w:p w:rsidR="008C5BCB" w:rsidRPr="00D5126A" w:rsidRDefault="008C5BCB" w:rsidP="008C5BCB">
      <w:r w:rsidRPr="00D5126A">
        <w:t>NZ Music Month shows</w:t>
      </w:r>
    </w:p>
    <w:p w:rsidR="008C5BCB" w:rsidRPr="00D5126A" w:rsidRDefault="008C5BCB" w:rsidP="008C5BCB">
      <w:r w:rsidRPr="00D5126A">
        <w:t>Lady Norwood Rose Garden open day</w:t>
      </w:r>
    </w:p>
    <w:p w:rsidR="008C5BCB" w:rsidRPr="00D5126A" w:rsidRDefault="008C5BCB" w:rsidP="008C5BCB">
      <w:r w:rsidRPr="00D5126A">
        <w:t>Our Heritage Garden Open Day</w:t>
      </w:r>
    </w:p>
    <w:p w:rsidR="008C5BCB" w:rsidRPr="00D5126A" w:rsidRDefault="008C5BCB" w:rsidP="008C5BCB">
      <w:r w:rsidRPr="00D5126A">
        <w:t>Better Home &amp; Living Show</w:t>
      </w:r>
    </w:p>
    <w:p w:rsidR="008C5BCB" w:rsidRPr="00D5126A" w:rsidRDefault="008C5BCB" w:rsidP="008C5BCB">
      <w:pPr>
        <w:rPr>
          <w:rStyle w:val="eop"/>
          <w:rFonts w:cstheme="minorHAnsi"/>
          <w:color w:val="000000" w:themeColor="text1"/>
        </w:rPr>
      </w:pPr>
      <w:r w:rsidRPr="00D5126A">
        <w:rPr>
          <w:rStyle w:val="eop"/>
          <w:rFonts w:cstheme="minorHAnsi"/>
          <w:color w:val="000000" w:themeColor="text1"/>
        </w:rPr>
        <w:t>Africa Day</w:t>
      </w:r>
    </w:p>
    <w:p w:rsidR="008C5BCB" w:rsidRPr="00D5126A" w:rsidRDefault="008C5BCB" w:rsidP="008C5BCB">
      <w:r w:rsidRPr="00D5126A">
        <w:rPr>
          <w:rFonts w:cstheme="minorHAnsi"/>
          <w:bCs/>
          <w:color w:val="000000" w:themeColor="text1"/>
        </w:rPr>
        <w:t>Wellington International Pride Parade</w:t>
      </w:r>
    </w:p>
    <w:p w:rsidR="008C5BCB" w:rsidRPr="00D5126A" w:rsidRDefault="008C5BCB" w:rsidP="008C5BCB">
      <w:r w:rsidRPr="00D5126A">
        <w:t>Food Show</w:t>
      </w:r>
    </w:p>
    <w:p w:rsidR="008C5BCB" w:rsidRPr="00D5126A" w:rsidRDefault="008C5BCB" w:rsidP="008C5BCB">
      <w:r w:rsidRPr="00D5126A">
        <w:t>Botanic Garden Days</w:t>
      </w:r>
    </w:p>
    <w:p w:rsidR="008C5BCB" w:rsidRPr="00D5126A" w:rsidRDefault="008C5BCB" w:rsidP="00961FC5">
      <w:pPr>
        <w:pStyle w:val="Heading5"/>
      </w:pPr>
      <w:r w:rsidRPr="00D5126A">
        <w:t>June</w:t>
      </w:r>
    </w:p>
    <w:p w:rsidR="008C5BCB" w:rsidRPr="00D5126A" w:rsidRDefault="008C5BCB" w:rsidP="008C5BCB">
      <w:r w:rsidRPr="00D5126A">
        <w:t>Second Unit</w:t>
      </w:r>
    </w:p>
    <w:p w:rsidR="008C5BCB" w:rsidRPr="00D5126A" w:rsidRDefault="008C5BCB" w:rsidP="008C5BCB">
      <w:r w:rsidRPr="00D5126A">
        <w:t>Doc Edge Festival</w:t>
      </w:r>
    </w:p>
    <w:p w:rsidR="008C5BCB" w:rsidRPr="00D5126A" w:rsidRDefault="008C5BCB" w:rsidP="008C5BCB">
      <w:r w:rsidRPr="00D5126A">
        <w:t>Wellington Jazz Festival</w:t>
      </w:r>
    </w:p>
    <w:p w:rsidR="008C5BCB" w:rsidRPr="00D5126A" w:rsidRDefault="008C5BCB" w:rsidP="008C5BCB">
      <w:r w:rsidRPr="00D5126A">
        <w:t>Lōemis</w:t>
      </w:r>
    </w:p>
    <w:p w:rsidR="008C5BCB" w:rsidRPr="00D5126A" w:rsidRDefault="008C5BCB" w:rsidP="008C5BCB">
      <w:r w:rsidRPr="00D5126A">
        <w:rPr>
          <w:rStyle w:val="eop"/>
          <w:rFonts w:cstheme="minorHAnsi"/>
          <w:color w:val="000000" w:themeColor="text1"/>
        </w:rPr>
        <w:t>RECUT</w:t>
      </w:r>
    </w:p>
    <w:p w:rsidR="008C5BCB" w:rsidRPr="00D5126A" w:rsidRDefault="008C5BCB" w:rsidP="008C5BCB">
      <w:r w:rsidRPr="00D5126A">
        <w:t>Matariki Harbour Challenge</w:t>
      </w:r>
    </w:p>
    <w:p w:rsidR="008C5BCB" w:rsidRPr="00D5126A" w:rsidRDefault="008C5BCB" w:rsidP="008C5BCB">
      <w:r w:rsidRPr="00D5126A">
        <w:t>Winter Pop-Up Market</w:t>
      </w:r>
    </w:p>
    <w:p w:rsidR="008C5BCB" w:rsidRPr="00D5126A" w:rsidRDefault="008C5BCB" w:rsidP="008C5BCB">
      <w:r w:rsidRPr="00D5126A">
        <w:t>Feast Matariki</w:t>
      </w:r>
    </w:p>
    <w:p w:rsidR="008C5BCB" w:rsidRPr="00D5126A" w:rsidRDefault="008C5BCB" w:rsidP="008C5BCB">
      <w:r w:rsidRPr="00D5126A">
        <w:lastRenderedPageBreak/>
        <w:t>Ahi Kā</w:t>
      </w:r>
    </w:p>
    <w:p w:rsidR="008C5BCB" w:rsidRPr="00D5126A" w:rsidRDefault="008C5BCB" w:rsidP="008C5BCB">
      <w:r w:rsidRPr="00D5126A">
        <w:t>Matariki Dawn Viewings</w:t>
      </w:r>
    </w:p>
    <w:p w:rsidR="008C5BCB" w:rsidRPr="00D5126A" w:rsidRDefault="008C5BCB" w:rsidP="008C5BCB">
      <w:r w:rsidRPr="00D5126A">
        <w:t>Matariki Sky Show</w:t>
      </w:r>
    </w:p>
    <w:p w:rsidR="008C5BCB" w:rsidRPr="00D5126A" w:rsidRDefault="008C5BCB" w:rsidP="008C5BCB">
      <w:r w:rsidRPr="00D5126A">
        <w:t>Wellington Marathon</w:t>
      </w:r>
    </w:p>
    <w:p w:rsidR="008C5BCB" w:rsidRPr="00D5126A" w:rsidRDefault="008C5BCB" w:rsidP="008C5BCB">
      <w:pPr>
        <w:rPr>
          <w:b/>
        </w:rPr>
      </w:pPr>
      <w:r w:rsidRPr="00D5126A">
        <w:t>NZ Provincial Volleyball Championships</w:t>
      </w:r>
    </w:p>
    <w:p w:rsidR="008C5BCB" w:rsidRPr="00D5126A" w:rsidRDefault="008C5BCB" w:rsidP="00846C1B">
      <w:pPr>
        <w:pStyle w:val="Heading4"/>
        <w:sectPr w:rsidR="008C5BCB" w:rsidRPr="00D5126A" w:rsidSect="009C620A">
          <w:type w:val="continuous"/>
          <w:pgSz w:w="11905" w:h="16837"/>
          <w:pgMar w:top="993" w:right="848" w:bottom="993" w:left="993" w:header="720" w:footer="0" w:gutter="0"/>
          <w:cols w:num="3" w:space="720"/>
          <w:docGrid w:linePitch="360"/>
        </w:sectPr>
      </w:pPr>
    </w:p>
    <w:p w:rsidR="00B27C37" w:rsidRPr="00D5126A" w:rsidRDefault="00AA2122" w:rsidP="00556359">
      <w:pPr>
        <w:pStyle w:val="Heading1"/>
      </w:pPr>
      <w:bookmarkStart w:id="127" w:name="Our_performance_in_detail"/>
      <w:bookmarkStart w:id="128" w:name="PPSid1716"/>
      <w:bookmarkStart w:id="129" w:name="_Toc528234299"/>
      <w:bookmarkStart w:id="130" w:name="_Toc14178539"/>
      <w:bookmarkStart w:id="131" w:name="_Toc19085805"/>
      <w:bookmarkStart w:id="132" w:name="_Toc23758602"/>
      <w:bookmarkEnd w:id="124"/>
      <w:r w:rsidRPr="00D5126A">
        <w:lastRenderedPageBreak/>
        <w:t xml:space="preserve">Section 3: </w:t>
      </w:r>
      <w:r w:rsidR="00A3111E" w:rsidRPr="00D5126A">
        <w:t>Our performance in detail</w:t>
      </w:r>
      <w:bookmarkEnd w:id="127"/>
      <w:bookmarkEnd w:id="128"/>
      <w:bookmarkEnd w:id="129"/>
      <w:bookmarkEnd w:id="130"/>
      <w:bookmarkEnd w:id="131"/>
      <w:bookmarkEnd w:id="132"/>
    </w:p>
    <w:p w:rsidR="006621F9" w:rsidRDefault="006621F9" w:rsidP="006621F9">
      <w:pPr>
        <w:pStyle w:val="Heading4"/>
      </w:pPr>
      <w:r>
        <w:t xml:space="preserve">I tēnei wāhanga </w:t>
      </w:r>
    </w:p>
    <w:p w:rsidR="006621F9" w:rsidRDefault="006621F9" w:rsidP="006621F9">
      <w:proofErr w:type="gramStart"/>
      <w:r>
        <w:t>Ka whakaahua tēnei wāhanga i ā mātou whakatutukinga ā-taipitopito nei mō tēnā, mō tēnā o ā mātou mahinga me ā mātou rōpū whakahaere ā-Kaunihera.</w:t>
      </w:r>
      <w:proofErr w:type="gramEnd"/>
      <w:r>
        <w:t xml:space="preserve"> Kei </w:t>
      </w:r>
      <w:proofErr w:type="gramStart"/>
      <w:r>
        <w:t>ia</w:t>
      </w:r>
      <w:proofErr w:type="gramEnd"/>
      <w:r>
        <w:t xml:space="preserve"> mahinga he tirohanga whānui o ngā mahi o te tau, he whakarāpopoto i ngā tahua ahumoni me ngā inenga whakatutukinga.</w:t>
      </w:r>
    </w:p>
    <w:p w:rsidR="00A66F02" w:rsidRPr="00D5126A" w:rsidRDefault="00A66F02" w:rsidP="00846C1B">
      <w:pPr>
        <w:pStyle w:val="Heading4"/>
      </w:pPr>
      <w:r w:rsidRPr="00D5126A">
        <w:t>In this section</w:t>
      </w:r>
    </w:p>
    <w:p w:rsidR="00A66F02" w:rsidRPr="00D5126A" w:rsidRDefault="00A66F02" w:rsidP="00A66F02">
      <w:r w:rsidRPr="00D5126A">
        <w:t>This section describes how we performed in detail for each of our activity areas and our Council-controlled organisations. Each activity area</w:t>
      </w:r>
      <w:r w:rsidR="009D3B83" w:rsidRPr="00D5126A">
        <w:t xml:space="preserve"> </w:t>
      </w:r>
      <w:r w:rsidRPr="00D5126A">
        <w:t>includes an overview of the activities from the year, a summary of financials and performance measures.</w:t>
      </w:r>
    </w:p>
    <w:p w:rsidR="007D1D61" w:rsidRPr="00D5126A" w:rsidRDefault="007D1D61" w:rsidP="007D1D61">
      <w:pPr>
        <w:pStyle w:val="Heading2"/>
      </w:pPr>
      <w:bookmarkStart w:id="133" w:name="1__Mana_Whakahaere_Governance"/>
      <w:bookmarkStart w:id="134" w:name="1__Mana_Whakahaere_GovernanceThis_chapte"/>
      <w:bookmarkStart w:id="135" w:name="_Toc14178540"/>
      <w:bookmarkStart w:id="136" w:name="_Toc19085806"/>
      <w:bookmarkStart w:id="137" w:name="_Toc23758603"/>
      <w:bookmarkEnd w:id="133"/>
      <w:bookmarkEnd w:id="134"/>
      <w:r w:rsidRPr="00D5126A">
        <w:t xml:space="preserve">1 Pārongo ā-tāone - </w:t>
      </w:r>
      <w:bookmarkStart w:id="138" w:name="_Toc528234300"/>
      <w:r w:rsidRPr="00D5126A">
        <w:t>Governance</w:t>
      </w:r>
      <w:bookmarkEnd w:id="135"/>
      <w:bookmarkEnd w:id="136"/>
      <w:bookmarkEnd w:id="137"/>
      <w:bookmarkEnd w:id="138"/>
    </w:p>
    <w:p w:rsidR="007D1D61" w:rsidRPr="00D5126A" w:rsidRDefault="007D1D61" w:rsidP="007D1D61">
      <w:pPr>
        <w:pStyle w:val="Para003"/>
        <w:pBdr>
          <w:top w:val="none" w:sz="8" w:space="1" w:color="auto"/>
        </w:pBdr>
        <w:spacing w:before="240" w:line="240" w:lineRule="auto"/>
        <w:rPr>
          <w:rFonts w:ascii="Arial" w:hAnsi="Arial" w:cs="Arial"/>
        </w:rPr>
      </w:pPr>
      <w:r w:rsidRPr="00D5126A">
        <w:rPr>
          <w:rFonts w:ascii="Arial" w:hAnsi="Arial" w:cs="Arial"/>
        </w:rPr>
        <w:t>This chapter explains what we did and how we performed in our Governance portfolio of activities. This includes governance, information and engagement work, and Māori and mana whenua partnerships.</w:t>
      </w:r>
    </w:p>
    <w:p w:rsidR="0074390B" w:rsidRPr="007F78CB" w:rsidRDefault="0074390B" w:rsidP="0074390B">
      <w:pPr>
        <w:numPr>
          <w:ilvl w:val="0"/>
          <w:numId w:val="6"/>
        </w:numPr>
        <w:spacing w:before="240"/>
        <w:contextualSpacing/>
        <w:rPr>
          <w:rFonts w:ascii="Arial" w:eastAsia="Times New Roman" w:hAnsi="Arial"/>
        </w:rPr>
      </w:pPr>
      <w:r w:rsidRPr="007F78CB">
        <w:rPr>
          <w:rFonts w:ascii="Arial" w:eastAsia="Times New Roman" w:hAnsi="Arial"/>
        </w:rPr>
        <w:t>Contact centre responded to 80% of calls in 30 secs.</w:t>
      </w:r>
    </w:p>
    <w:p w:rsidR="0074390B" w:rsidRPr="007F78CB" w:rsidRDefault="0074390B" w:rsidP="0074390B">
      <w:pPr>
        <w:numPr>
          <w:ilvl w:val="0"/>
          <w:numId w:val="6"/>
        </w:numPr>
        <w:spacing w:before="240"/>
        <w:contextualSpacing/>
        <w:rPr>
          <w:rFonts w:ascii="Arial" w:eastAsia="Times New Roman" w:hAnsi="Arial"/>
        </w:rPr>
      </w:pPr>
      <w:r w:rsidRPr="007F78CB">
        <w:rPr>
          <w:rFonts w:ascii="Arial" w:eastAsia="Times New Roman" w:hAnsi="Arial"/>
        </w:rPr>
        <w:t>1350 Planning for Growth submissions</w:t>
      </w:r>
    </w:p>
    <w:p w:rsidR="0074390B" w:rsidRPr="007F78CB" w:rsidRDefault="00BE3E8F" w:rsidP="0074390B">
      <w:pPr>
        <w:numPr>
          <w:ilvl w:val="0"/>
          <w:numId w:val="6"/>
        </w:numPr>
        <w:spacing w:before="240"/>
        <w:contextualSpacing/>
        <w:rPr>
          <w:rFonts w:ascii="Arial" w:eastAsia="Times New Roman" w:hAnsi="Arial"/>
        </w:rPr>
      </w:pPr>
      <w:r w:rsidRPr="007F78CB">
        <w:rPr>
          <w:rFonts w:ascii="Arial" w:eastAsia="Times New Roman" w:hAnsi="Arial"/>
        </w:rPr>
        <w:t>34</w:t>
      </w:r>
      <w:r w:rsidR="0074390B" w:rsidRPr="007F78CB">
        <w:rPr>
          <w:rFonts w:ascii="Arial" w:eastAsia="Times New Roman" w:hAnsi="Arial"/>
        </w:rPr>
        <w:t>% residents are satisfied with how Council makes decisions</w:t>
      </w:r>
    </w:p>
    <w:p w:rsidR="0074390B" w:rsidRPr="007F78CB" w:rsidRDefault="0074390B" w:rsidP="0074390B">
      <w:pPr>
        <w:numPr>
          <w:ilvl w:val="0"/>
          <w:numId w:val="6"/>
        </w:numPr>
        <w:spacing w:before="240"/>
        <w:contextualSpacing/>
        <w:rPr>
          <w:rFonts w:ascii="Arial" w:eastAsia="Times New Roman" w:hAnsi="Arial"/>
        </w:rPr>
      </w:pPr>
      <w:r w:rsidRPr="007F78CB">
        <w:rPr>
          <w:rFonts w:ascii="Arial" w:eastAsia="Times New Roman" w:hAnsi="Arial"/>
        </w:rPr>
        <w:t>50,000+ attend Te Matatini kapa haka festival</w:t>
      </w:r>
    </w:p>
    <w:p w:rsidR="0074390B" w:rsidRPr="007F78CB" w:rsidRDefault="0074390B" w:rsidP="0074390B">
      <w:pPr>
        <w:numPr>
          <w:ilvl w:val="0"/>
          <w:numId w:val="6"/>
        </w:numPr>
        <w:spacing w:before="240"/>
        <w:contextualSpacing/>
        <w:rPr>
          <w:rFonts w:ascii="Arial" w:eastAsia="Times New Roman" w:hAnsi="Arial"/>
        </w:rPr>
      </w:pPr>
      <w:r w:rsidRPr="007F78CB">
        <w:rPr>
          <w:rFonts w:ascii="Arial" w:eastAsia="Times New Roman" w:hAnsi="Arial"/>
        </w:rPr>
        <w:t>125,000 City Archive records now online</w:t>
      </w:r>
    </w:p>
    <w:p w:rsidR="0074390B" w:rsidRPr="007F78CB" w:rsidRDefault="007F78CB" w:rsidP="0074390B">
      <w:pPr>
        <w:numPr>
          <w:ilvl w:val="0"/>
          <w:numId w:val="6"/>
        </w:numPr>
        <w:spacing w:before="240"/>
        <w:contextualSpacing/>
        <w:rPr>
          <w:rFonts w:ascii="Arial" w:eastAsia="Times New Roman" w:hAnsi="Arial"/>
        </w:rPr>
      </w:pPr>
      <w:r>
        <w:rPr>
          <w:rFonts w:ascii="Arial" w:eastAsia="Times New Roman" w:hAnsi="Arial"/>
        </w:rPr>
        <w:t>148 council decisions made</w:t>
      </w:r>
    </w:p>
    <w:p w:rsidR="007D1D61" w:rsidRPr="00D5126A" w:rsidRDefault="007D1D61" w:rsidP="00AA2122">
      <w:pPr>
        <w:pStyle w:val="Heading3"/>
      </w:pPr>
      <w:bookmarkStart w:id="139" w:name="_Toc19085807"/>
      <w:r w:rsidRPr="00D5126A">
        <w:t>Introduction</w:t>
      </w:r>
      <w:bookmarkEnd w:id="139"/>
    </w:p>
    <w:p w:rsidR="0074390B" w:rsidRPr="00D5126A" w:rsidRDefault="0074390B" w:rsidP="0074390B">
      <w:pPr>
        <w:pStyle w:val="Para003"/>
        <w:spacing w:before="240" w:line="240" w:lineRule="auto"/>
        <w:rPr>
          <w:rFonts w:ascii="Arial" w:hAnsi="Arial" w:cs="Arial"/>
        </w:rPr>
      </w:pPr>
      <w:r w:rsidRPr="00D5126A">
        <w:rPr>
          <w:rFonts w:ascii="Arial" w:hAnsi="Arial" w:cs="Arial"/>
        </w:rPr>
        <w:t xml:space="preserve">Through our </w:t>
      </w:r>
      <w:r w:rsidR="00831F77">
        <w:rPr>
          <w:rFonts w:ascii="Arial" w:hAnsi="Arial" w:cs="Arial"/>
        </w:rPr>
        <w:t>G</w:t>
      </w:r>
      <w:r w:rsidR="00831F77" w:rsidRPr="00D5126A">
        <w:rPr>
          <w:rFonts w:ascii="Arial" w:hAnsi="Arial" w:cs="Arial"/>
        </w:rPr>
        <w:t xml:space="preserve">overnance </w:t>
      </w:r>
      <w:r w:rsidRPr="00D5126A">
        <w:rPr>
          <w:rFonts w:ascii="Arial" w:hAnsi="Arial" w:cs="Arial"/>
        </w:rPr>
        <w:t>activities, we seek to build public confidence in our decisions by being as transparent as possible, clearly communicating the reasons for the things we do and encouraging public participation in the decision-making process. This is because a high level of public involvement in what we do makes for better and more enduring decisions.</w:t>
      </w:r>
    </w:p>
    <w:p w:rsidR="0074390B" w:rsidRPr="00D5126A" w:rsidRDefault="0074390B" w:rsidP="0074390B">
      <w:pPr>
        <w:pStyle w:val="Para003"/>
        <w:spacing w:before="240" w:line="240" w:lineRule="auto"/>
        <w:rPr>
          <w:rFonts w:ascii="Arial" w:hAnsi="Arial" w:cs="Arial"/>
        </w:rPr>
      </w:pPr>
      <w:r w:rsidRPr="00D5126A">
        <w:rPr>
          <w:rFonts w:ascii="Arial" w:hAnsi="Arial" w:cs="Arial"/>
        </w:rPr>
        <w:t xml:space="preserve">A key </w:t>
      </w:r>
      <w:r w:rsidRPr="00D5126A">
        <w:rPr>
          <w:rStyle w:val="00Text"/>
          <w:rFonts w:ascii="Arial" w:hAnsi="Arial" w:cs="Arial"/>
          <w:b w:val="0"/>
        </w:rPr>
        <w:t>opportunity</w:t>
      </w:r>
      <w:r w:rsidRPr="00D5126A">
        <w:rPr>
          <w:rFonts w:ascii="Arial" w:hAnsi="Arial" w:cs="Arial"/>
        </w:rPr>
        <w:t xml:space="preserve"> in this area continues to be improving our engagement with our community and their participation in our decision-making processes. </w:t>
      </w:r>
    </w:p>
    <w:p w:rsidR="0074390B" w:rsidRPr="00D5126A" w:rsidRDefault="0074390B" w:rsidP="0074390B">
      <w:pPr>
        <w:pStyle w:val="Para003"/>
        <w:spacing w:before="240" w:line="240" w:lineRule="auto"/>
        <w:rPr>
          <w:rFonts w:ascii="Arial" w:hAnsi="Arial" w:cs="Arial"/>
        </w:rPr>
      </w:pPr>
      <w:r w:rsidRPr="00D5126A">
        <w:rPr>
          <w:rFonts w:ascii="Arial" w:hAnsi="Arial" w:cs="Arial"/>
        </w:rPr>
        <w:t xml:space="preserve">This year’s highlight was the turnout we obtained during engagements on Planning for Growth, and Te Atakura </w:t>
      </w:r>
      <w:r w:rsidR="00831F77" w:rsidRPr="00D5126A">
        <w:rPr>
          <w:rFonts w:ascii="Arial" w:hAnsi="Arial" w:cs="Arial"/>
        </w:rPr>
        <w:t>–</w:t>
      </w:r>
      <w:r w:rsidRPr="00D5126A">
        <w:rPr>
          <w:rFonts w:ascii="Arial" w:hAnsi="Arial" w:cs="Arial"/>
        </w:rPr>
        <w:t xml:space="preserve"> First to Zero. We received more than 2500 submissions and continued our strong engagement with young people. We will look at what we did well and apply it to future consultations to further improve how we communicate and engage with Wellingtonians.</w:t>
      </w:r>
    </w:p>
    <w:p w:rsidR="0074390B" w:rsidRPr="00D5126A" w:rsidRDefault="0074390B" w:rsidP="0074390B">
      <w:pPr>
        <w:pStyle w:val="Para003"/>
        <w:spacing w:before="240" w:line="240" w:lineRule="auto"/>
        <w:rPr>
          <w:rFonts w:ascii="Arial" w:hAnsi="Arial" w:cs="Arial"/>
        </w:rPr>
      </w:pPr>
      <w:r w:rsidRPr="00D5126A">
        <w:rPr>
          <w:rFonts w:ascii="Arial" w:hAnsi="Arial" w:cs="Arial"/>
        </w:rPr>
        <w:t xml:space="preserve">Our governance portfolio includes the work we do to ensure the role of Māori in the city is valued and reflected in all aspects of our work, from resource management and economic </w:t>
      </w:r>
      <w:r w:rsidRPr="00D5126A">
        <w:rPr>
          <w:rFonts w:ascii="Arial" w:hAnsi="Arial" w:cs="Arial"/>
        </w:rPr>
        <w:lastRenderedPageBreak/>
        <w:t xml:space="preserve">development to social wellbeing and the arts. The Council also has legal and Te Tiriti o Waitangi obligations to consider. This year we continued the implementation of our Te Tauihu </w:t>
      </w:r>
      <w:proofErr w:type="gramStart"/>
      <w:r w:rsidRPr="00D5126A">
        <w:rPr>
          <w:rFonts w:ascii="Arial" w:hAnsi="Arial" w:cs="Arial"/>
        </w:rPr>
        <w:t>te</w:t>
      </w:r>
      <w:proofErr w:type="gramEnd"/>
      <w:r w:rsidRPr="00D5126A">
        <w:rPr>
          <w:rFonts w:ascii="Arial" w:hAnsi="Arial" w:cs="Arial"/>
        </w:rPr>
        <w:t xml:space="preserve"> reo Māori policy and created an action plan for it in consultation with mana whenua.</w:t>
      </w:r>
    </w:p>
    <w:p w:rsidR="0074390B" w:rsidRPr="00D5126A" w:rsidRDefault="0074390B" w:rsidP="0074390B">
      <w:pPr>
        <w:pStyle w:val="Heading3"/>
      </w:pPr>
      <w:bookmarkStart w:id="140" w:name="_Toc19085808"/>
      <w:r w:rsidRPr="00D5126A">
        <w:t>Governance performance story:</w:t>
      </w:r>
      <w:bookmarkEnd w:id="140"/>
    </w:p>
    <w:p w:rsidR="0074390B" w:rsidRPr="00D5126A" w:rsidRDefault="0074390B" w:rsidP="0074390B">
      <w:pPr>
        <w:pStyle w:val="Heading5"/>
      </w:pPr>
      <w:r w:rsidRPr="00D5126A">
        <w:t>We’re improving but there’s work to be done</w:t>
      </w:r>
    </w:p>
    <w:p w:rsidR="0074390B" w:rsidRPr="00D5126A" w:rsidRDefault="0074390B" w:rsidP="0074390B">
      <w:pPr>
        <w:pStyle w:val="Para003"/>
        <w:spacing w:before="240" w:line="240" w:lineRule="auto"/>
        <w:rPr>
          <w:rFonts w:ascii="Arial" w:hAnsi="Arial" w:cs="Arial"/>
        </w:rPr>
      </w:pPr>
      <w:r w:rsidRPr="00D5126A">
        <w:rPr>
          <w:rFonts w:ascii="Arial" w:hAnsi="Arial" w:cs="Arial"/>
        </w:rPr>
        <w:t>We’ve made progress in the way we engage with the public on decisions about Wellington. A significant highlight this year was the high level of feedback we received on three key policies</w:t>
      </w:r>
      <w:r w:rsidR="00831F77">
        <w:rPr>
          <w:rFonts w:ascii="Arial" w:hAnsi="Arial" w:cs="Arial"/>
        </w:rPr>
        <w:t>:</w:t>
      </w:r>
      <w:r w:rsidRPr="00D5126A">
        <w:rPr>
          <w:rFonts w:ascii="Arial" w:hAnsi="Arial" w:cs="Arial"/>
        </w:rPr>
        <w:t xml:space="preserve"> Te Atakura </w:t>
      </w:r>
      <w:r w:rsidR="00831F77" w:rsidRPr="00D5126A">
        <w:rPr>
          <w:rFonts w:ascii="Arial" w:hAnsi="Arial" w:cs="Arial"/>
        </w:rPr>
        <w:t>–</w:t>
      </w:r>
      <w:r w:rsidR="00831F77">
        <w:rPr>
          <w:rFonts w:ascii="Arial" w:hAnsi="Arial" w:cs="Arial"/>
        </w:rPr>
        <w:t xml:space="preserve"> </w:t>
      </w:r>
      <w:r w:rsidRPr="00D5126A">
        <w:rPr>
          <w:rFonts w:ascii="Arial" w:hAnsi="Arial" w:cs="Arial"/>
        </w:rPr>
        <w:t>First to Zero, Planning for Growth and the Outer Green Belt Management Review. We also engaged more actively with residents, communities and stakeholders on other topics, including traffic resolutions, town centre upgrades, new playgrounds and cycleways. However, there is work to do in ensuring the public understand how we make decisions, that our information is clear and accessible</w:t>
      </w:r>
      <w:r w:rsidR="00831F77">
        <w:rPr>
          <w:rFonts w:ascii="Arial" w:hAnsi="Arial" w:cs="Arial"/>
        </w:rPr>
        <w:t>,</w:t>
      </w:r>
      <w:r w:rsidRPr="00D5126A">
        <w:rPr>
          <w:rFonts w:ascii="Arial" w:hAnsi="Arial" w:cs="Arial"/>
        </w:rPr>
        <w:t xml:space="preserve"> and to revitalise </w:t>
      </w:r>
      <w:proofErr w:type="gramStart"/>
      <w:r w:rsidRPr="00D5126A">
        <w:rPr>
          <w:rFonts w:ascii="Arial" w:hAnsi="Arial" w:cs="Arial"/>
        </w:rPr>
        <w:t>te</w:t>
      </w:r>
      <w:proofErr w:type="gramEnd"/>
      <w:r w:rsidRPr="00D5126A">
        <w:rPr>
          <w:rFonts w:ascii="Arial" w:hAnsi="Arial" w:cs="Arial"/>
        </w:rPr>
        <w:t xml:space="preserve"> reo Māori and Māori culture in the city.</w:t>
      </w:r>
    </w:p>
    <w:p w:rsidR="0074390B" w:rsidRPr="00D5126A" w:rsidRDefault="0074390B" w:rsidP="0074390B">
      <w:pPr>
        <w:pStyle w:val="Heading4"/>
        <w:rPr>
          <w:rFonts w:eastAsia="Times New Roman"/>
          <w:lang w:eastAsia="en"/>
        </w:rPr>
      </w:pPr>
      <w:r w:rsidRPr="00D5126A">
        <w:rPr>
          <w:rFonts w:eastAsia="Times New Roman"/>
          <w:lang w:eastAsia="en"/>
        </w:rPr>
        <w:t>Performance summary</w:t>
      </w:r>
    </w:p>
    <w:p w:rsidR="0074390B" w:rsidRPr="00D5126A" w:rsidRDefault="0074390B" w:rsidP="002466CF">
      <w:pPr>
        <w:pBdr>
          <w:top w:val="none" w:sz="8" w:space="0" w:color="auto"/>
          <w:left w:val="none" w:sz="8" w:space="0" w:color="auto"/>
          <w:bottom w:val="none" w:sz="8" w:space="0" w:color="auto"/>
          <w:right w:val="none" w:sz="8" w:space="0" w:color="auto"/>
        </w:pBdr>
        <w:spacing w:line="240" w:lineRule="auto"/>
        <w:rPr>
          <w:rFonts w:ascii="Arial" w:eastAsia="Times New Roman" w:hAnsi="Arial"/>
          <w:lang w:eastAsia="en"/>
        </w:rPr>
      </w:pPr>
      <w:r w:rsidRPr="00D5126A">
        <w:rPr>
          <w:rFonts w:ascii="Arial" w:eastAsia="Times New Roman" w:hAnsi="Arial"/>
          <w:lang w:eastAsia="en"/>
        </w:rPr>
        <w:t xml:space="preserve">The following table is a summary of how well we performed against our agreed </w:t>
      </w:r>
      <w:r w:rsidR="002466CF" w:rsidRPr="00D5126A">
        <w:rPr>
          <w:rFonts w:ascii="Arial" w:eastAsia="Times New Roman" w:hAnsi="Arial"/>
          <w:lang w:eastAsia="en"/>
        </w:rPr>
        <w:t xml:space="preserve">key </w:t>
      </w:r>
      <w:r w:rsidRPr="00D5126A">
        <w:rPr>
          <w:rFonts w:ascii="Arial" w:eastAsia="Times New Roman" w:hAnsi="Arial"/>
          <w:lang w:eastAsia="en"/>
        </w:rPr>
        <w:t>performance measures for this activity area.</w:t>
      </w:r>
    </w:p>
    <w:tbl>
      <w:tblPr>
        <w:tblW w:w="9214" w:type="dxa"/>
        <w:tblInd w:w="108" w:type="dxa"/>
        <w:tblLayout w:type="fixed"/>
        <w:tblLook w:val="04A0" w:firstRow="1" w:lastRow="0" w:firstColumn="1" w:lastColumn="0" w:noHBand="0" w:noVBand="1"/>
      </w:tblPr>
      <w:tblGrid>
        <w:gridCol w:w="3647"/>
        <w:gridCol w:w="1031"/>
        <w:gridCol w:w="851"/>
        <w:gridCol w:w="1276"/>
        <w:gridCol w:w="1134"/>
        <w:gridCol w:w="1275"/>
      </w:tblGrid>
      <w:tr w:rsidR="00BA44E1" w:rsidRPr="00D5126A" w:rsidTr="007F78CB">
        <w:trPr>
          <w:trHeight w:val="595"/>
        </w:trPr>
        <w:tc>
          <w:tcPr>
            <w:tcW w:w="3647" w:type="dxa"/>
            <w:tcBorders>
              <w:top w:val="nil"/>
              <w:left w:val="nil"/>
              <w:bottom w:val="nil"/>
              <w:right w:val="nil"/>
            </w:tcBorders>
            <w:shd w:val="clear" w:color="auto" w:fill="auto"/>
            <w:noWrap/>
            <w:vAlign w:val="center"/>
            <w:hideMark/>
          </w:tcPr>
          <w:p w:rsidR="00BA44E1" w:rsidRPr="00D5126A" w:rsidRDefault="00BA44E1" w:rsidP="001244BB">
            <w:pPr>
              <w:spacing w:after="0" w:line="240" w:lineRule="auto"/>
              <w:jc w:val="center"/>
              <w:rPr>
                <w:rFonts w:ascii="Arial" w:eastAsia="Times New Roman" w:hAnsi="Arial" w:cs="Arial"/>
                <w:color w:val="000000"/>
                <w:sz w:val="20"/>
                <w:szCs w:val="20"/>
                <w:lang w:eastAsia="en-NZ"/>
              </w:rPr>
            </w:pPr>
          </w:p>
        </w:tc>
        <w:tc>
          <w:tcPr>
            <w:tcW w:w="1031" w:type="dxa"/>
            <w:tcBorders>
              <w:top w:val="nil"/>
              <w:left w:val="nil"/>
              <w:bottom w:val="nil"/>
              <w:right w:val="nil"/>
            </w:tcBorders>
            <w:shd w:val="clear" w:color="auto" w:fill="auto"/>
            <w:noWrap/>
            <w:vAlign w:val="center"/>
            <w:hideMark/>
          </w:tcPr>
          <w:p w:rsidR="00BA44E1" w:rsidRPr="00D5126A" w:rsidRDefault="00BA44E1" w:rsidP="0035318B">
            <w:pPr>
              <w:spacing w:after="0" w:line="240" w:lineRule="auto"/>
              <w:jc w:val="center"/>
              <w:rPr>
                <w:rFonts w:ascii="Arial" w:eastAsia="Times New Roman" w:hAnsi="Arial" w:cs="Arial"/>
                <w:i/>
                <w:color w:val="000000"/>
                <w:szCs w:val="20"/>
                <w:lang w:eastAsia="en-NZ"/>
              </w:rPr>
            </w:pPr>
            <w:r w:rsidRPr="00D5126A">
              <w:rPr>
                <w:rFonts w:ascii="Arial" w:eastAsia="Times New Roman" w:hAnsi="Arial" w:cs="Arial"/>
                <w:i/>
                <w:iCs/>
                <w:color w:val="000000"/>
                <w:szCs w:val="20"/>
                <w:lang w:eastAsia="en-NZ"/>
              </w:rPr>
              <w:t>Not met</w:t>
            </w:r>
          </w:p>
        </w:tc>
        <w:tc>
          <w:tcPr>
            <w:tcW w:w="851" w:type="dxa"/>
            <w:tcBorders>
              <w:top w:val="nil"/>
              <w:left w:val="nil"/>
              <w:bottom w:val="nil"/>
              <w:right w:val="nil"/>
            </w:tcBorders>
            <w:shd w:val="clear" w:color="auto" w:fill="auto"/>
            <w:noWrap/>
            <w:vAlign w:val="center"/>
            <w:hideMark/>
          </w:tcPr>
          <w:p w:rsidR="00BA44E1" w:rsidRPr="00D5126A" w:rsidRDefault="00BA44E1" w:rsidP="0035318B">
            <w:pPr>
              <w:spacing w:after="0" w:line="240" w:lineRule="auto"/>
              <w:jc w:val="center"/>
              <w:rPr>
                <w:rFonts w:ascii="Arial" w:eastAsia="Times New Roman" w:hAnsi="Arial" w:cs="Arial"/>
                <w:i/>
                <w:color w:val="000000"/>
                <w:szCs w:val="20"/>
                <w:lang w:eastAsia="en-NZ"/>
              </w:rPr>
            </w:pPr>
            <w:r>
              <w:rPr>
                <w:rFonts w:ascii="Arial" w:eastAsia="Times New Roman" w:hAnsi="Arial" w:cs="Arial"/>
                <w:i/>
                <w:color w:val="000000"/>
                <w:szCs w:val="20"/>
                <w:lang w:eastAsia="en-NZ"/>
              </w:rPr>
              <w:t>Within 10%</w:t>
            </w:r>
          </w:p>
        </w:tc>
        <w:tc>
          <w:tcPr>
            <w:tcW w:w="1276" w:type="dxa"/>
            <w:tcBorders>
              <w:top w:val="nil"/>
              <w:left w:val="nil"/>
              <w:bottom w:val="nil"/>
              <w:right w:val="nil"/>
            </w:tcBorders>
            <w:shd w:val="clear" w:color="auto" w:fill="auto"/>
            <w:noWrap/>
            <w:vAlign w:val="center"/>
            <w:hideMark/>
          </w:tcPr>
          <w:p w:rsidR="00BA44E1" w:rsidRPr="00D5126A" w:rsidRDefault="00BA44E1" w:rsidP="0035318B">
            <w:pPr>
              <w:spacing w:after="0" w:line="240" w:lineRule="auto"/>
              <w:jc w:val="center"/>
              <w:rPr>
                <w:rFonts w:ascii="Arial" w:eastAsia="Times New Roman" w:hAnsi="Arial" w:cs="Arial"/>
                <w:i/>
                <w:color w:val="000000"/>
                <w:szCs w:val="20"/>
                <w:lang w:eastAsia="en-NZ"/>
              </w:rPr>
            </w:pPr>
            <w:r w:rsidRPr="00D5126A">
              <w:rPr>
                <w:rFonts w:ascii="Arial" w:eastAsia="Times New Roman" w:hAnsi="Arial" w:cs="Arial"/>
                <w:i/>
                <w:iCs/>
                <w:color w:val="000000"/>
                <w:szCs w:val="20"/>
                <w:lang w:eastAsia="en-NZ"/>
              </w:rPr>
              <w:t>Exceeded</w:t>
            </w:r>
          </w:p>
        </w:tc>
        <w:tc>
          <w:tcPr>
            <w:tcW w:w="1134" w:type="dxa"/>
            <w:tcBorders>
              <w:top w:val="nil"/>
              <w:left w:val="nil"/>
              <w:bottom w:val="nil"/>
              <w:right w:val="nil"/>
            </w:tcBorders>
            <w:vAlign w:val="center"/>
          </w:tcPr>
          <w:p w:rsidR="00BA44E1" w:rsidRPr="00D5126A" w:rsidRDefault="00BA44E1" w:rsidP="0035318B">
            <w:pPr>
              <w:spacing w:after="0" w:line="240" w:lineRule="auto"/>
              <w:jc w:val="center"/>
              <w:rPr>
                <w:rFonts w:ascii="Arial" w:eastAsia="Times New Roman" w:hAnsi="Arial" w:cs="Arial"/>
                <w:i/>
                <w:color w:val="000000"/>
                <w:szCs w:val="20"/>
                <w:lang w:eastAsia="en-NZ"/>
              </w:rPr>
            </w:pPr>
            <w:r w:rsidRPr="00D5126A">
              <w:rPr>
                <w:rFonts w:ascii="Arial" w:eastAsia="Times New Roman" w:hAnsi="Arial" w:cs="Arial"/>
                <w:i/>
                <w:color w:val="000000"/>
                <w:szCs w:val="20"/>
                <w:lang w:eastAsia="en-NZ"/>
              </w:rPr>
              <w:t>Baseline</w:t>
            </w:r>
          </w:p>
        </w:tc>
        <w:tc>
          <w:tcPr>
            <w:tcW w:w="1275" w:type="dxa"/>
            <w:tcBorders>
              <w:top w:val="nil"/>
              <w:left w:val="nil"/>
              <w:bottom w:val="nil"/>
              <w:right w:val="nil"/>
            </w:tcBorders>
            <w:shd w:val="clear" w:color="auto" w:fill="auto"/>
            <w:vAlign w:val="center"/>
            <w:hideMark/>
          </w:tcPr>
          <w:p w:rsidR="00BA44E1" w:rsidRPr="00D5126A" w:rsidRDefault="00BA44E1" w:rsidP="0035318B">
            <w:pPr>
              <w:spacing w:after="0" w:line="240" w:lineRule="auto"/>
              <w:jc w:val="center"/>
              <w:rPr>
                <w:rFonts w:ascii="Arial" w:eastAsia="Times New Roman" w:hAnsi="Arial" w:cs="Arial"/>
                <w:color w:val="000000"/>
                <w:szCs w:val="20"/>
                <w:lang w:eastAsia="en-NZ"/>
              </w:rPr>
            </w:pPr>
            <w:r w:rsidRPr="00D5126A">
              <w:rPr>
                <w:rFonts w:ascii="Arial" w:eastAsia="Times New Roman" w:hAnsi="Arial" w:cs="Arial"/>
                <w:color w:val="000000"/>
                <w:szCs w:val="20"/>
                <w:lang w:eastAsia="en-NZ"/>
              </w:rPr>
              <w:t>Total Measures</w:t>
            </w:r>
          </w:p>
        </w:tc>
      </w:tr>
      <w:tr w:rsidR="00BA44E1" w:rsidRPr="00D5126A" w:rsidTr="007F78CB">
        <w:trPr>
          <w:trHeight w:val="255"/>
        </w:trPr>
        <w:tc>
          <w:tcPr>
            <w:tcW w:w="3647" w:type="dxa"/>
            <w:tcBorders>
              <w:top w:val="nil"/>
              <w:left w:val="nil"/>
              <w:bottom w:val="nil"/>
              <w:right w:val="nil"/>
            </w:tcBorders>
            <w:shd w:val="clear" w:color="auto" w:fill="0070C0"/>
            <w:noWrap/>
            <w:vAlign w:val="center"/>
            <w:hideMark/>
          </w:tcPr>
          <w:p w:rsidR="00BA44E1" w:rsidRPr="00D5126A" w:rsidRDefault="00BA44E1" w:rsidP="00412561">
            <w:pPr>
              <w:spacing w:after="0" w:line="240" w:lineRule="auto"/>
              <w:ind w:left="317" w:hanging="284"/>
              <w:rPr>
                <w:rFonts w:ascii="Arial" w:eastAsia="Times New Roman" w:hAnsi="Arial" w:cs="Arial"/>
                <w:b/>
                <w:bCs/>
                <w:color w:val="FFFFFF" w:themeColor="background1"/>
                <w:sz w:val="24"/>
                <w:szCs w:val="20"/>
                <w:lang w:eastAsia="en-NZ"/>
              </w:rPr>
            </w:pPr>
            <w:r w:rsidRPr="00D5126A">
              <w:rPr>
                <w:rFonts w:ascii="Arial" w:eastAsia="Times New Roman" w:hAnsi="Arial" w:cs="Arial"/>
                <w:b/>
                <w:bCs/>
                <w:color w:val="FFFFFF" w:themeColor="background1"/>
                <w:sz w:val="24"/>
                <w:szCs w:val="20"/>
                <w:lang w:eastAsia="en-NZ"/>
              </w:rPr>
              <w:t>1. Mana Whakahaere | Governance</w:t>
            </w:r>
          </w:p>
        </w:tc>
        <w:tc>
          <w:tcPr>
            <w:tcW w:w="1031" w:type="dxa"/>
            <w:tcBorders>
              <w:top w:val="nil"/>
              <w:left w:val="nil"/>
              <w:bottom w:val="nil"/>
              <w:right w:val="nil"/>
            </w:tcBorders>
            <w:shd w:val="clear" w:color="auto" w:fill="0070C0"/>
            <w:noWrap/>
            <w:vAlign w:val="center"/>
            <w:hideMark/>
          </w:tcPr>
          <w:p w:rsidR="00BA44E1" w:rsidRPr="00D5126A" w:rsidRDefault="00BA44E1" w:rsidP="001244BB">
            <w:pPr>
              <w:spacing w:after="0" w:line="240" w:lineRule="auto"/>
              <w:rPr>
                <w:rFonts w:ascii="Arial" w:eastAsia="Times New Roman" w:hAnsi="Arial" w:cs="Arial"/>
                <w:color w:val="FFFFFF" w:themeColor="background1"/>
                <w:szCs w:val="20"/>
                <w:lang w:eastAsia="en-NZ"/>
              </w:rPr>
            </w:pPr>
          </w:p>
        </w:tc>
        <w:tc>
          <w:tcPr>
            <w:tcW w:w="851" w:type="dxa"/>
            <w:tcBorders>
              <w:top w:val="nil"/>
              <w:left w:val="nil"/>
              <w:bottom w:val="nil"/>
              <w:right w:val="nil"/>
            </w:tcBorders>
            <w:shd w:val="clear" w:color="auto" w:fill="0070C0"/>
            <w:noWrap/>
            <w:vAlign w:val="center"/>
            <w:hideMark/>
          </w:tcPr>
          <w:p w:rsidR="00BA44E1" w:rsidRPr="00D5126A" w:rsidRDefault="00BA44E1" w:rsidP="001244BB">
            <w:pPr>
              <w:spacing w:after="0" w:line="240" w:lineRule="auto"/>
              <w:rPr>
                <w:rFonts w:ascii="Arial" w:eastAsia="Times New Roman" w:hAnsi="Arial" w:cs="Arial"/>
                <w:color w:val="FFFFFF" w:themeColor="background1"/>
                <w:szCs w:val="20"/>
                <w:lang w:eastAsia="en-NZ"/>
              </w:rPr>
            </w:pPr>
          </w:p>
        </w:tc>
        <w:tc>
          <w:tcPr>
            <w:tcW w:w="1276" w:type="dxa"/>
            <w:tcBorders>
              <w:top w:val="nil"/>
              <w:left w:val="nil"/>
              <w:bottom w:val="nil"/>
              <w:right w:val="nil"/>
            </w:tcBorders>
            <w:shd w:val="clear" w:color="auto" w:fill="0070C0"/>
            <w:noWrap/>
            <w:vAlign w:val="center"/>
            <w:hideMark/>
          </w:tcPr>
          <w:p w:rsidR="00BA44E1" w:rsidRPr="00D5126A" w:rsidRDefault="00BA44E1" w:rsidP="001244BB">
            <w:pPr>
              <w:spacing w:after="0" w:line="240" w:lineRule="auto"/>
              <w:rPr>
                <w:rFonts w:ascii="Arial" w:eastAsia="Times New Roman" w:hAnsi="Arial" w:cs="Arial"/>
                <w:color w:val="FFFFFF" w:themeColor="background1"/>
                <w:szCs w:val="20"/>
                <w:lang w:eastAsia="en-NZ"/>
              </w:rPr>
            </w:pPr>
          </w:p>
        </w:tc>
        <w:tc>
          <w:tcPr>
            <w:tcW w:w="1134" w:type="dxa"/>
            <w:tcBorders>
              <w:top w:val="nil"/>
              <w:left w:val="nil"/>
              <w:bottom w:val="nil"/>
              <w:right w:val="nil"/>
            </w:tcBorders>
            <w:shd w:val="clear" w:color="auto" w:fill="0070C0"/>
          </w:tcPr>
          <w:p w:rsidR="00BA44E1" w:rsidRPr="00D5126A" w:rsidRDefault="00BA44E1" w:rsidP="001244BB">
            <w:pPr>
              <w:spacing w:after="0" w:line="240" w:lineRule="auto"/>
              <w:rPr>
                <w:rFonts w:ascii="Arial" w:eastAsia="Times New Roman" w:hAnsi="Arial" w:cs="Arial"/>
                <w:color w:val="FFFFFF" w:themeColor="background1"/>
                <w:szCs w:val="20"/>
                <w:lang w:eastAsia="en-NZ"/>
              </w:rPr>
            </w:pPr>
          </w:p>
        </w:tc>
        <w:tc>
          <w:tcPr>
            <w:tcW w:w="1275" w:type="dxa"/>
            <w:tcBorders>
              <w:top w:val="nil"/>
              <w:left w:val="nil"/>
              <w:bottom w:val="nil"/>
              <w:right w:val="nil"/>
            </w:tcBorders>
            <w:shd w:val="clear" w:color="auto" w:fill="0070C0"/>
            <w:noWrap/>
            <w:vAlign w:val="center"/>
            <w:hideMark/>
          </w:tcPr>
          <w:p w:rsidR="00BA44E1" w:rsidRPr="00D5126A" w:rsidRDefault="00BA44E1" w:rsidP="001244BB">
            <w:pPr>
              <w:spacing w:after="0" w:line="240" w:lineRule="auto"/>
              <w:rPr>
                <w:rFonts w:ascii="Arial" w:eastAsia="Times New Roman" w:hAnsi="Arial" w:cs="Arial"/>
                <w:color w:val="FFFFFF" w:themeColor="background1"/>
                <w:szCs w:val="20"/>
                <w:lang w:eastAsia="en-NZ"/>
              </w:rPr>
            </w:pPr>
          </w:p>
        </w:tc>
      </w:tr>
      <w:tr w:rsidR="00BA44E1" w:rsidRPr="00D5126A" w:rsidTr="007F78CB">
        <w:trPr>
          <w:trHeight w:val="255"/>
        </w:trPr>
        <w:tc>
          <w:tcPr>
            <w:tcW w:w="3647" w:type="dxa"/>
            <w:tcBorders>
              <w:top w:val="nil"/>
              <w:left w:val="nil"/>
              <w:bottom w:val="nil"/>
              <w:right w:val="nil"/>
            </w:tcBorders>
            <w:shd w:val="clear" w:color="auto" w:fill="auto"/>
            <w:noWrap/>
            <w:vAlign w:val="center"/>
            <w:hideMark/>
          </w:tcPr>
          <w:p w:rsidR="00BA44E1" w:rsidRPr="00D5126A" w:rsidRDefault="00BA44E1" w:rsidP="00D9040A">
            <w:pPr>
              <w:spacing w:before="60" w:after="60" w:line="240" w:lineRule="auto"/>
              <w:ind w:left="655" w:hanging="338"/>
              <w:rPr>
                <w:rFonts w:ascii="Arial" w:eastAsia="Times New Roman" w:hAnsi="Arial" w:cs="Arial"/>
                <w:color w:val="000000"/>
                <w:sz w:val="20"/>
                <w:szCs w:val="20"/>
                <w:lang w:eastAsia="en-NZ"/>
              </w:rPr>
            </w:pPr>
            <w:r w:rsidRPr="00D5126A">
              <w:rPr>
                <w:rFonts w:ascii="Arial" w:eastAsia="Times New Roman" w:hAnsi="Arial" w:cs="Arial"/>
                <w:color w:val="000000"/>
                <w:sz w:val="20"/>
                <w:szCs w:val="20"/>
                <w:lang w:eastAsia="en-NZ"/>
              </w:rPr>
              <w:t>1.1 Mana Whakahaere, Pārongo me ngā mahi whai wāhi | Governance, information and engagement</w:t>
            </w:r>
          </w:p>
        </w:tc>
        <w:tc>
          <w:tcPr>
            <w:tcW w:w="1031" w:type="dxa"/>
            <w:tcBorders>
              <w:top w:val="nil"/>
              <w:left w:val="nil"/>
              <w:bottom w:val="nil"/>
              <w:right w:val="nil"/>
            </w:tcBorders>
            <w:shd w:val="clear" w:color="auto" w:fill="auto"/>
            <w:noWrap/>
            <w:vAlign w:val="center"/>
            <w:hideMark/>
          </w:tcPr>
          <w:p w:rsidR="00BA44E1" w:rsidRPr="00D5126A" w:rsidRDefault="00BA44E1" w:rsidP="00D076A7">
            <w:pPr>
              <w:spacing w:before="60" w:after="60" w:line="240" w:lineRule="auto"/>
              <w:jc w:val="center"/>
              <w:rPr>
                <w:rFonts w:ascii="Arial" w:eastAsia="Times New Roman" w:hAnsi="Arial" w:cs="Arial"/>
                <w:b/>
                <w:color w:val="000000"/>
                <w:sz w:val="24"/>
                <w:szCs w:val="20"/>
                <w:lang w:eastAsia="en-NZ"/>
              </w:rPr>
            </w:pPr>
            <w:r w:rsidRPr="00D5126A">
              <w:rPr>
                <w:rFonts w:ascii="Arial" w:eastAsia="Times New Roman" w:hAnsi="Arial" w:cs="Arial"/>
                <w:b/>
                <w:color w:val="000000"/>
                <w:sz w:val="24"/>
                <w:szCs w:val="20"/>
                <w:lang w:eastAsia="en-NZ"/>
              </w:rPr>
              <w:t>3</w:t>
            </w:r>
          </w:p>
        </w:tc>
        <w:tc>
          <w:tcPr>
            <w:tcW w:w="851" w:type="dxa"/>
            <w:tcBorders>
              <w:top w:val="nil"/>
              <w:left w:val="nil"/>
              <w:bottom w:val="nil"/>
              <w:right w:val="nil"/>
            </w:tcBorders>
            <w:shd w:val="clear" w:color="auto" w:fill="auto"/>
            <w:noWrap/>
            <w:vAlign w:val="center"/>
            <w:hideMark/>
          </w:tcPr>
          <w:p w:rsidR="00BA44E1" w:rsidRPr="00D5126A" w:rsidRDefault="00BA44E1" w:rsidP="00D076A7">
            <w:pPr>
              <w:spacing w:before="60" w:after="60" w:line="240" w:lineRule="auto"/>
              <w:jc w:val="center"/>
              <w:rPr>
                <w:rFonts w:ascii="Arial" w:eastAsia="Times New Roman" w:hAnsi="Arial" w:cs="Arial"/>
                <w:b/>
                <w:color w:val="000000"/>
                <w:sz w:val="24"/>
                <w:szCs w:val="20"/>
                <w:lang w:eastAsia="en-NZ"/>
              </w:rPr>
            </w:pPr>
            <w:r>
              <w:rPr>
                <w:rFonts w:ascii="Arial" w:eastAsia="Times New Roman" w:hAnsi="Arial" w:cs="Arial"/>
                <w:b/>
                <w:color w:val="000000"/>
                <w:sz w:val="24"/>
                <w:szCs w:val="20"/>
                <w:lang w:eastAsia="en-NZ"/>
              </w:rPr>
              <w:t>5</w:t>
            </w:r>
          </w:p>
        </w:tc>
        <w:tc>
          <w:tcPr>
            <w:tcW w:w="1276" w:type="dxa"/>
            <w:tcBorders>
              <w:top w:val="nil"/>
              <w:left w:val="nil"/>
              <w:bottom w:val="nil"/>
              <w:right w:val="nil"/>
            </w:tcBorders>
            <w:shd w:val="clear" w:color="auto" w:fill="auto"/>
            <w:noWrap/>
            <w:vAlign w:val="center"/>
            <w:hideMark/>
          </w:tcPr>
          <w:p w:rsidR="00BA44E1" w:rsidRPr="00D5126A" w:rsidRDefault="00BA44E1" w:rsidP="00D076A7">
            <w:pPr>
              <w:spacing w:before="60" w:after="60" w:line="240" w:lineRule="auto"/>
              <w:jc w:val="center"/>
              <w:rPr>
                <w:rFonts w:ascii="Arial" w:eastAsia="Times New Roman" w:hAnsi="Arial" w:cs="Arial"/>
                <w:b/>
                <w:color w:val="000000"/>
                <w:sz w:val="24"/>
                <w:szCs w:val="20"/>
                <w:lang w:eastAsia="en-NZ"/>
              </w:rPr>
            </w:pPr>
            <w:r w:rsidRPr="00D5126A">
              <w:rPr>
                <w:rFonts w:ascii="Arial" w:eastAsia="Times New Roman" w:hAnsi="Arial" w:cs="Arial"/>
                <w:b/>
                <w:color w:val="000000"/>
                <w:sz w:val="24"/>
                <w:szCs w:val="20"/>
                <w:lang w:eastAsia="en-NZ"/>
              </w:rPr>
              <w:t>1</w:t>
            </w:r>
          </w:p>
        </w:tc>
        <w:tc>
          <w:tcPr>
            <w:tcW w:w="1134" w:type="dxa"/>
            <w:tcBorders>
              <w:top w:val="nil"/>
              <w:left w:val="nil"/>
              <w:bottom w:val="nil"/>
              <w:right w:val="nil"/>
            </w:tcBorders>
            <w:vAlign w:val="center"/>
          </w:tcPr>
          <w:p w:rsidR="00BA44E1" w:rsidRPr="00D5126A" w:rsidRDefault="00BA44E1" w:rsidP="00D076A7">
            <w:pPr>
              <w:spacing w:before="60" w:after="60" w:line="240" w:lineRule="auto"/>
              <w:jc w:val="center"/>
              <w:rPr>
                <w:rFonts w:ascii="Arial" w:eastAsia="Times New Roman" w:hAnsi="Arial" w:cs="Arial"/>
                <w:b/>
                <w:color w:val="000000"/>
                <w:sz w:val="24"/>
                <w:szCs w:val="20"/>
                <w:lang w:eastAsia="en-NZ"/>
              </w:rPr>
            </w:pPr>
            <w:r w:rsidRPr="00D5126A">
              <w:rPr>
                <w:rFonts w:ascii="Arial" w:eastAsia="Times New Roman" w:hAnsi="Arial" w:cs="Arial"/>
                <w:b/>
                <w:color w:val="000000"/>
                <w:sz w:val="24"/>
                <w:szCs w:val="20"/>
                <w:lang w:eastAsia="en-NZ"/>
              </w:rPr>
              <w:t>1</w:t>
            </w:r>
          </w:p>
        </w:tc>
        <w:tc>
          <w:tcPr>
            <w:tcW w:w="1275" w:type="dxa"/>
            <w:tcBorders>
              <w:top w:val="nil"/>
              <w:left w:val="nil"/>
              <w:bottom w:val="nil"/>
              <w:right w:val="nil"/>
            </w:tcBorders>
            <w:shd w:val="clear" w:color="auto" w:fill="auto"/>
            <w:noWrap/>
            <w:vAlign w:val="center"/>
            <w:hideMark/>
          </w:tcPr>
          <w:p w:rsidR="00BA44E1" w:rsidRPr="00D5126A" w:rsidRDefault="00BA44E1" w:rsidP="00D076A7">
            <w:pPr>
              <w:spacing w:before="60" w:after="60" w:line="240" w:lineRule="auto"/>
              <w:jc w:val="center"/>
              <w:rPr>
                <w:rFonts w:ascii="Arial" w:eastAsia="Times New Roman" w:hAnsi="Arial" w:cs="Arial"/>
                <w:b/>
                <w:color w:val="000000"/>
                <w:sz w:val="24"/>
                <w:szCs w:val="20"/>
                <w:lang w:eastAsia="en-NZ"/>
              </w:rPr>
            </w:pPr>
            <w:r w:rsidRPr="00D5126A">
              <w:rPr>
                <w:rFonts w:ascii="Arial" w:eastAsia="Times New Roman" w:hAnsi="Arial" w:cs="Arial"/>
                <w:b/>
                <w:color w:val="000000"/>
                <w:sz w:val="24"/>
                <w:szCs w:val="20"/>
                <w:lang w:eastAsia="en-NZ"/>
              </w:rPr>
              <w:t>10</w:t>
            </w:r>
          </w:p>
        </w:tc>
      </w:tr>
      <w:tr w:rsidR="00BA44E1" w:rsidRPr="00D5126A" w:rsidTr="007F78CB">
        <w:trPr>
          <w:trHeight w:val="255"/>
        </w:trPr>
        <w:tc>
          <w:tcPr>
            <w:tcW w:w="3647" w:type="dxa"/>
            <w:tcBorders>
              <w:top w:val="nil"/>
              <w:left w:val="nil"/>
              <w:bottom w:val="single" w:sz="12" w:space="0" w:color="auto"/>
              <w:right w:val="nil"/>
            </w:tcBorders>
            <w:shd w:val="clear" w:color="auto" w:fill="auto"/>
            <w:noWrap/>
            <w:vAlign w:val="center"/>
            <w:hideMark/>
          </w:tcPr>
          <w:p w:rsidR="00BA44E1" w:rsidRPr="00D5126A" w:rsidRDefault="00BA44E1" w:rsidP="00D9040A">
            <w:pPr>
              <w:spacing w:before="60" w:after="60" w:line="240" w:lineRule="auto"/>
              <w:ind w:left="683" w:hanging="366"/>
              <w:rPr>
                <w:rFonts w:ascii="Arial" w:eastAsia="Times New Roman" w:hAnsi="Arial" w:cs="Arial"/>
                <w:color w:val="000000"/>
                <w:sz w:val="20"/>
                <w:szCs w:val="20"/>
                <w:lang w:eastAsia="en-NZ"/>
              </w:rPr>
            </w:pPr>
            <w:r w:rsidRPr="00D5126A">
              <w:rPr>
                <w:rFonts w:ascii="Arial" w:eastAsia="Times New Roman" w:hAnsi="Arial" w:cs="Arial"/>
                <w:color w:val="000000"/>
                <w:sz w:val="20"/>
                <w:szCs w:val="20"/>
                <w:lang w:eastAsia="en-NZ"/>
              </w:rPr>
              <w:t>1.2 Rangapū Māori/Mana Whenua | Māori and mana whenua partnerships</w:t>
            </w:r>
          </w:p>
        </w:tc>
        <w:tc>
          <w:tcPr>
            <w:tcW w:w="1031" w:type="dxa"/>
            <w:tcBorders>
              <w:top w:val="nil"/>
              <w:left w:val="nil"/>
              <w:bottom w:val="single" w:sz="12" w:space="0" w:color="auto"/>
              <w:right w:val="nil"/>
            </w:tcBorders>
            <w:shd w:val="clear" w:color="auto" w:fill="auto"/>
            <w:noWrap/>
            <w:vAlign w:val="center"/>
            <w:hideMark/>
          </w:tcPr>
          <w:p w:rsidR="00BA44E1" w:rsidRPr="00D5126A" w:rsidRDefault="00BA44E1" w:rsidP="00D076A7">
            <w:pPr>
              <w:spacing w:before="60" w:after="60" w:line="240" w:lineRule="auto"/>
              <w:jc w:val="center"/>
              <w:rPr>
                <w:rFonts w:ascii="Arial" w:eastAsia="Times New Roman" w:hAnsi="Arial" w:cs="Arial"/>
                <w:b/>
                <w:color w:val="000000"/>
                <w:sz w:val="24"/>
                <w:szCs w:val="20"/>
                <w:lang w:eastAsia="en-NZ"/>
              </w:rPr>
            </w:pPr>
            <w:r w:rsidRPr="00D5126A">
              <w:rPr>
                <w:rFonts w:ascii="Arial" w:eastAsia="Times New Roman" w:hAnsi="Arial" w:cs="Arial"/>
                <w:b/>
                <w:color w:val="000000"/>
                <w:sz w:val="24"/>
                <w:szCs w:val="20"/>
                <w:lang w:eastAsia="en-NZ"/>
              </w:rPr>
              <w:t>1</w:t>
            </w:r>
          </w:p>
        </w:tc>
        <w:tc>
          <w:tcPr>
            <w:tcW w:w="851" w:type="dxa"/>
            <w:tcBorders>
              <w:top w:val="nil"/>
              <w:left w:val="nil"/>
              <w:bottom w:val="single" w:sz="12" w:space="0" w:color="auto"/>
              <w:right w:val="nil"/>
            </w:tcBorders>
            <w:shd w:val="clear" w:color="auto" w:fill="auto"/>
            <w:noWrap/>
            <w:vAlign w:val="center"/>
            <w:hideMark/>
          </w:tcPr>
          <w:p w:rsidR="00BA44E1" w:rsidRPr="00D5126A" w:rsidRDefault="00BA44E1" w:rsidP="00D076A7">
            <w:pPr>
              <w:spacing w:before="60" w:after="60" w:line="240" w:lineRule="auto"/>
              <w:jc w:val="center"/>
              <w:rPr>
                <w:rFonts w:ascii="Arial" w:eastAsia="Times New Roman" w:hAnsi="Arial" w:cs="Arial"/>
                <w:b/>
                <w:color w:val="000000"/>
                <w:sz w:val="24"/>
                <w:szCs w:val="20"/>
                <w:lang w:eastAsia="en-NZ"/>
              </w:rPr>
            </w:pPr>
            <w:r>
              <w:rPr>
                <w:rFonts w:ascii="Arial" w:eastAsia="Times New Roman" w:hAnsi="Arial" w:cs="Arial"/>
                <w:b/>
                <w:color w:val="000000"/>
                <w:sz w:val="24"/>
                <w:szCs w:val="20"/>
                <w:lang w:eastAsia="en-NZ"/>
              </w:rPr>
              <w:t>4</w:t>
            </w:r>
          </w:p>
        </w:tc>
        <w:tc>
          <w:tcPr>
            <w:tcW w:w="1276" w:type="dxa"/>
            <w:tcBorders>
              <w:top w:val="nil"/>
              <w:left w:val="nil"/>
              <w:bottom w:val="single" w:sz="12" w:space="0" w:color="auto"/>
              <w:right w:val="nil"/>
            </w:tcBorders>
            <w:shd w:val="clear" w:color="auto" w:fill="auto"/>
            <w:noWrap/>
            <w:vAlign w:val="center"/>
            <w:hideMark/>
          </w:tcPr>
          <w:p w:rsidR="00BA44E1" w:rsidRPr="00D5126A" w:rsidRDefault="00BA44E1" w:rsidP="00D076A7">
            <w:pPr>
              <w:spacing w:before="60" w:after="60" w:line="240" w:lineRule="auto"/>
              <w:jc w:val="center"/>
              <w:rPr>
                <w:rFonts w:ascii="Arial" w:eastAsia="Times New Roman" w:hAnsi="Arial" w:cs="Arial"/>
                <w:b/>
                <w:color w:val="000000"/>
                <w:sz w:val="24"/>
                <w:szCs w:val="20"/>
                <w:lang w:eastAsia="en-NZ"/>
              </w:rPr>
            </w:pPr>
          </w:p>
        </w:tc>
        <w:tc>
          <w:tcPr>
            <w:tcW w:w="1134" w:type="dxa"/>
            <w:tcBorders>
              <w:top w:val="nil"/>
              <w:left w:val="nil"/>
              <w:bottom w:val="single" w:sz="12" w:space="0" w:color="auto"/>
              <w:right w:val="nil"/>
            </w:tcBorders>
            <w:vAlign w:val="center"/>
          </w:tcPr>
          <w:p w:rsidR="00BA44E1" w:rsidRPr="00D5126A" w:rsidRDefault="00BA44E1" w:rsidP="00D076A7">
            <w:pPr>
              <w:spacing w:before="60" w:after="60" w:line="240" w:lineRule="auto"/>
              <w:jc w:val="center"/>
              <w:rPr>
                <w:rFonts w:ascii="Arial" w:eastAsia="Times New Roman" w:hAnsi="Arial" w:cs="Arial"/>
                <w:b/>
                <w:color w:val="000000"/>
                <w:sz w:val="24"/>
                <w:szCs w:val="20"/>
                <w:lang w:eastAsia="en-NZ"/>
              </w:rPr>
            </w:pPr>
          </w:p>
        </w:tc>
        <w:tc>
          <w:tcPr>
            <w:tcW w:w="1275" w:type="dxa"/>
            <w:tcBorders>
              <w:top w:val="nil"/>
              <w:left w:val="nil"/>
              <w:bottom w:val="single" w:sz="12" w:space="0" w:color="auto"/>
              <w:right w:val="nil"/>
            </w:tcBorders>
            <w:shd w:val="clear" w:color="auto" w:fill="auto"/>
            <w:noWrap/>
            <w:vAlign w:val="center"/>
            <w:hideMark/>
          </w:tcPr>
          <w:p w:rsidR="00BA44E1" w:rsidRPr="00D5126A" w:rsidRDefault="00BA44E1" w:rsidP="00D076A7">
            <w:pPr>
              <w:spacing w:before="60" w:after="60" w:line="240" w:lineRule="auto"/>
              <w:jc w:val="center"/>
              <w:rPr>
                <w:rFonts w:ascii="Arial" w:eastAsia="Times New Roman" w:hAnsi="Arial" w:cs="Arial"/>
                <w:b/>
                <w:color w:val="000000"/>
                <w:sz w:val="24"/>
                <w:szCs w:val="20"/>
                <w:lang w:eastAsia="en-NZ"/>
              </w:rPr>
            </w:pPr>
            <w:r w:rsidRPr="00D5126A">
              <w:rPr>
                <w:rFonts w:ascii="Arial" w:eastAsia="Times New Roman" w:hAnsi="Arial" w:cs="Arial"/>
                <w:b/>
                <w:color w:val="000000"/>
                <w:sz w:val="24"/>
                <w:szCs w:val="20"/>
                <w:lang w:eastAsia="en-NZ"/>
              </w:rPr>
              <w:t>5</w:t>
            </w:r>
          </w:p>
        </w:tc>
      </w:tr>
      <w:tr w:rsidR="00BA44E1" w:rsidRPr="00D5126A" w:rsidTr="007F78CB">
        <w:trPr>
          <w:trHeight w:val="255"/>
        </w:trPr>
        <w:tc>
          <w:tcPr>
            <w:tcW w:w="3647" w:type="dxa"/>
            <w:tcBorders>
              <w:top w:val="single" w:sz="12" w:space="0" w:color="auto"/>
              <w:left w:val="nil"/>
              <w:right w:val="nil"/>
            </w:tcBorders>
            <w:shd w:val="clear" w:color="auto" w:fill="DBE5F1" w:themeFill="accent1" w:themeFillTint="33"/>
            <w:noWrap/>
            <w:vAlign w:val="center"/>
            <w:hideMark/>
          </w:tcPr>
          <w:p w:rsidR="00BA44E1" w:rsidRPr="00D5126A" w:rsidRDefault="00BA44E1" w:rsidP="001244BB">
            <w:pPr>
              <w:spacing w:after="0" w:line="240" w:lineRule="auto"/>
              <w:rPr>
                <w:rFonts w:ascii="Arial" w:eastAsia="Times New Roman" w:hAnsi="Arial" w:cs="Arial"/>
                <w:b/>
                <w:color w:val="000000"/>
                <w:sz w:val="24"/>
                <w:szCs w:val="20"/>
                <w:lang w:eastAsia="en-NZ"/>
              </w:rPr>
            </w:pPr>
            <w:r w:rsidRPr="00D5126A">
              <w:rPr>
                <w:rFonts w:ascii="Arial" w:eastAsia="Times New Roman" w:hAnsi="Arial" w:cs="Arial"/>
                <w:b/>
                <w:color w:val="000000"/>
                <w:sz w:val="24"/>
                <w:szCs w:val="20"/>
                <w:lang w:eastAsia="en-NZ"/>
              </w:rPr>
              <w:t>Total measures</w:t>
            </w:r>
          </w:p>
        </w:tc>
        <w:tc>
          <w:tcPr>
            <w:tcW w:w="1031" w:type="dxa"/>
            <w:tcBorders>
              <w:top w:val="single" w:sz="12" w:space="0" w:color="auto"/>
              <w:left w:val="nil"/>
              <w:right w:val="nil"/>
            </w:tcBorders>
            <w:shd w:val="clear" w:color="auto" w:fill="DBE5F1" w:themeFill="accent1" w:themeFillTint="33"/>
            <w:noWrap/>
            <w:vAlign w:val="center"/>
            <w:hideMark/>
          </w:tcPr>
          <w:p w:rsidR="00BA44E1" w:rsidRPr="00D5126A" w:rsidRDefault="00BA44E1" w:rsidP="00D076A7">
            <w:pPr>
              <w:spacing w:after="0" w:line="240" w:lineRule="auto"/>
              <w:jc w:val="center"/>
              <w:rPr>
                <w:rFonts w:ascii="Arial" w:eastAsia="Times New Roman" w:hAnsi="Arial" w:cs="Arial"/>
                <w:b/>
                <w:color w:val="000000"/>
                <w:sz w:val="24"/>
                <w:szCs w:val="20"/>
                <w:lang w:eastAsia="en-NZ"/>
              </w:rPr>
            </w:pPr>
            <w:r w:rsidRPr="00D5126A">
              <w:rPr>
                <w:rFonts w:ascii="Arial" w:eastAsia="Times New Roman" w:hAnsi="Arial" w:cs="Arial"/>
                <w:b/>
                <w:color w:val="000000"/>
                <w:sz w:val="24"/>
                <w:szCs w:val="20"/>
                <w:lang w:eastAsia="en-NZ"/>
              </w:rPr>
              <w:t>4</w:t>
            </w:r>
          </w:p>
        </w:tc>
        <w:tc>
          <w:tcPr>
            <w:tcW w:w="851" w:type="dxa"/>
            <w:tcBorders>
              <w:top w:val="single" w:sz="12" w:space="0" w:color="auto"/>
              <w:left w:val="nil"/>
              <w:right w:val="nil"/>
            </w:tcBorders>
            <w:shd w:val="clear" w:color="auto" w:fill="DBE5F1" w:themeFill="accent1" w:themeFillTint="33"/>
            <w:noWrap/>
            <w:vAlign w:val="center"/>
            <w:hideMark/>
          </w:tcPr>
          <w:p w:rsidR="00BA44E1" w:rsidRPr="00D5126A" w:rsidRDefault="00BA44E1" w:rsidP="00D076A7">
            <w:pPr>
              <w:spacing w:after="0" w:line="240" w:lineRule="auto"/>
              <w:jc w:val="center"/>
              <w:rPr>
                <w:rFonts w:ascii="Arial" w:eastAsia="Times New Roman" w:hAnsi="Arial" w:cs="Arial"/>
                <w:b/>
                <w:color w:val="000000"/>
                <w:sz w:val="24"/>
                <w:szCs w:val="20"/>
                <w:lang w:eastAsia="en-NZ"/>
              </w:rPr>
            </w:pPr>
            <w:r>
              <w:rPr>
                <w:rFonts w:ascii="Arial" w:eastAsia="Times New Roman" w:hAnsi="Arial" w:cs="Arial"/>
                <w:b/>
                <w:color w:val="000000"/>
                <w:sz w:val="24"/>
                <w:szCs w:val="20"/>
                <w:lang w:eastAsia="en-NZ"/>
              </w:rPr>
              <w:t>9</w:t>
            </w:r>
          </w:p>
        </w:tc>
        <w:tc>
          <w:tcPr>
            <w:tcW w:w="1276" w:type="dxa"/>
            <w:tcBorders>
              <w:top w:val="single" w:sz="12" w:space="0" w:color="auto"/>
              <w:left w:val="nil"/>
              <w:right w:val="nil"/>
            </w:tcBorders>
            <w:shd w:val="clear" w:color="auto" w:fill="DBE5F1" w:themeFill="accent1" w:themeFillTint="33"/>
            <w:noWrap/>
            <w:vAlign w:val="center"/>
            <w:hideMark/>
          </w:tcPr>
          <w:p w:rsidR="00BA44E1" w:rsidRPr="00D5126A" w:rsidRDefault="00BA44E1" w:rsidP="00D076A7">
            <w:pPr>
              <w:spacing w:after="0" w:line="240" w:lineRule="auto"/>
              <w:jc w:val="center"/>
              <w:rPr>
                <w:rFonts w:ascii="Arial" w:eastAsia="Times New Roman" w:hAnsi="Arial" w:cs="Arial"/>
                <w:b/>
                <w:color w:val="000000"/>
                <w:sz w:val="24"/>
                <w:szCs w:val="20"/>
                <w:lang w:eastAsia="en-NZ"/>
              </w:rPr>
            </w:pPr>
            <w:r w:rsidRPr="00D5126A">
              <w:rPr>
                <w:rFonts w:ascii="Arial" w:eastAsia="Times New Roman" w:hAnsi="Arial" w:cs="Arial"/>
                <w:b/>
                <w:color w:val="000000"/>
                <w:sz w:val="24"/>
                <w:szCs w:val="20"/>
                <w:lang w:eastAsia="en-NZ"/>
              </w:rPr>
              <w:t>1</w:t>
            </w:r>
          </w:p>
        </w:tc>
        <w:tc>
          <w:tcPr>
            <w:tcW w:w="1134" w:type="dxa"/>
            <w:tcBorders>
              <w:top w:val="single" w:sz="12" w:space="0" w:color="auto"/>
              <w:left w:val="nil"/>
              <w:right w:val="nil"/>
            </w:tcBorders>
            <w:shd w:val="clear" w:color="auto" w:fill="DBE5F1" w:themeFill="accent1" w:themeFillTint="33"/>
            <w:vAlign w:val="center"/>
          </w:tcPr>
          <w:p w:rsidR="00BA44E1" w:rsidRPr="00D5126A" w:rsidRDefault="00BA44E1" w:rsidP="00D076A7">
            <w:pPr>
              <w:spacing w:after="0" w:line="240" w:lineRule="auto"/>
              <w:jc w:val="center"/>
              <w:rPr>
                <w:rFonts w:ascii="Arial" w:eastAsia="Times New Roman" w:hAnsi="Arial" w:cs="Arial"/>
                <w:b/>
                <w:color w:val="000000"/>
                <w:sz w:val="24"/>
                <w:szCs w:val="20"/>
                <w:lang w:eastAsia="en-NZ"/>
              </w:rPr>
            </w:pPr>
            <w:r w:rsidRPr="00D5126A">
              <w:rPr>
                <w:rFonts w:ascii="Arial" w:eastAsia="Times New Roman" w:hAnsi="Arial" w:cs="Arial"/>
                <w:b/>
                <w:color w:val="000000"/>
                <w:sz w:val="24"/>
                <w:szCs w:val="20"/>
                <w:lang w:eastAsia="en-NZ"/>
              </w:rPr>
              <w:t>1</w:t>
            </w:r>
          </w:p>
        </w:tc>
        <w:tc>
          <w:tcPr>
            <w:tcW w:w="1275" w:type="dxa"/>
            <w:tcBorders>
              <w:top w:val="single" w:sz="12" w:space="0" w:color="auto"/>
              <w:left w:val="nil"/>
              <w:right w:val="nil"/>
            </w:tcBorders>
            <w:shd w:val="clear" w:color="auto" w:fill="DBE5F1" w:themeFill="accent1" w:themeFillTint="33"/>
            <w:noWrap/>
            <w:vAlign w:val="center"/>
            <w:hideMark/>
          </w:tcPr>
          <w:p w:rsidR="00BA44E1" w:rsidRPr="00D5126A" w:rsidRDefault="00BA44E1" w:rsidP="00D076A7">
            <w:pPr>
              <w:spacing w:after="0" w:line="240" w:lineRule="auto"/>
              <w:jc w:val="center"/>
              <w:rPr>
                <w:rFonts w:ascii="Arial" w:eastAsia="Times New Roman" w:hAnsi="Arial" w:cs="Arial"/>
                <w:b/>
                <w:color w:val="000000"/>
                <w:sz w:val="24"/>
                <w:szCs w:val="20"/>
                <w:lang w:eastAsia="en-NZ"/>
              </w:rPr>
            </w:pPr>
            <w:r w:rsidRPr="00D5126A">
              <w:rPr>
                <w:rFonts w:ascii="Arial" w:eastAsia="Times New Roman" w:hAnsi="Arial" w:cs="Arial"/>
                <w:b/>
                <w:color w:val="000000"/>
                <w:sz w:val="24"/>
                <w:szCs w:val="20"/>
                <w:lang w:eastAsia="en-NZ"/>
              </w:rPr>
              <w:t>15</w:t>
            </w:r>
          </w:p>
        </w:tc>
      </w:tr>
    </w:tbl>
    <w:p w:rsidR="0074390B" w:rsidRPr="00D5126A" w:rsidRDefault="0074390B" w:rsidP="0074390B">
      <w:pPr>
        <w:pBdr>
          <w:top w:val="none" w:sz="8" w:space="0" w:color="auto"/>
          <w:left w:val="none" w:sz="8" w:space="0" w:color="auto"/>
          <w:bottom w:val="none" w:sz="8" w:space="0" w:color="auto"/>
          <w:right w:val="none" w:sz="8" w:space="0" w:color="auto"/>
        </w:pBdr>
        <w:spacing w:after="0" w:line="240" w:lineRule="auto"/>
        <w:rPr>
          <w:rFonts w:ascii="Arial" w:eastAsia="Times New Roman" w:hAnsi="Arial"/>
          <w:lang w:eastAsia="en"/>
        </w:rPr>
      </w:pPr>
    </w:p>
    <w:p w:rsidR="007D1D61" w:rsidRPr="00D5126A" w:rsidRDefault="003C527B" w:rsidP="00AA2122">
      <w:pPr>
        <w:pStyle w:val="Heading3"/>
      </w:pPr>
      <w:bookmarkStart w:id="141" w:name="1_1_Mana_Whakahaere__Parongo_me_nga_mahi"/>
      <w:bookmarkStart w:id="142" w:name="_Toc19085809"/>
      <w:r w:rsidRPr="00D5126A">
        <w:t xml:space="preserve">1.1 </w:t>
      </w:r>
      <w:r w:rsidR="007D1D61" w:rsidRPr="00D5126A">
        <w:t xml:space="preserve">Mana Whakahaere, Pārongo me ngā mahi whai wāhi - </w:t>
      </w:r>
      <w:r w:rsidR="007D1D61" w:rsidRPr="00D5126A">
        <w:rPr>
          <w:rStyle w:val="00Text"/>
        </w:rPr>
        <w:t>Governance, information and engagement</w:t>
      </w:r>
      <w:bookmarkEnd w:id="141"/>
      <w:bookmarkEnd w:id="142"/>
    </w:p>
    <w:p w:rsidR="007D1D61" w:rsidRPr="00D5126A" w:rsidRDefault="007D1D61" w:rsidP="00846C1B">
      <w:pPr>
        <w:pStyle w:val="Heading4"/>
      </w:pPr>
      <w:r w:rsidRPr="00D5126A">
        <w:t>What we did:</w:t>
      </w:r>
    </w:p>
    <w:p w:rsidR="007D1D61" w:rsidRPr="00D5126A" w:rsidRDefault="007D1D61" w:rsidP="00961FC5">
      <w:pPr>
        <w:pStyle w:val="Heading5"/>
      </w:pPr>
      <w:r w:rsidRPr="00D5126A">
        <w:t>Community engagement</w:t>
      </w:r>
    </w:p>
    <w:p w:rsidR="007D1D61" w:rsidRPr="00D5126A" w:rsidRDefault="007D1D61" w:rsidP="007D1D61">
      <w:pPr>
        <w:pStyle w:val="Para010"/>
        <w:numPr>
          <w:ilvl w:val="0"/>
          <w:numId w:val="0"/>
        </w:numPr>
        <w:spacing w:line="240" w:lineRule="auto"/>
        <w:rPr>
          <w:rFonts w:ascii="Arial" w:hAnsi="Arial" w:cs="Arial"/>
        </w:rPr>
      </w:pPr>
      <w:r w:rsidRPr="00D5126A">
        <w:rPr>
          <w:rFonts w:ascii="Arial" w:hAnsi="Arial" w:cs="Arial"/>
        </w:rPr>
        <w:t xml:space="preserve">This was a busy year for engagement during which we looked at connecting more closely with communities to encourage greater participation in plans for the city. This year we achieved wide engagement across a large </w:t>
      </w:r>
      <w:r w:rsidR="00831F77" w:rsidRPr="00D5126A">
        <w:rPr>
          <w:rFonts w:ascii="Arial" w:hAnsi="Arial" w:cs="Arial"/>
        </w:rPr>
        <w:t>cross</w:t>
      </w:r>
      <w:r w:rsidR="00831F77">
        <w:rPr>
          <w:rFonts w:ascii="Arial" w:hAnsi="Arial" w:cs="Arial"/>
        </w:rPr>
        <w:t>-</w:t>
      </w:r>
      <w:r w:rsidRPr="00D5126A">
        <w:rPr>
          <w:rFonts w:ascii="Arial" w:hAnsi="Arial" w:cs="Arial"/>
        </w:rPr>
        <w:t>section of our community. People of different ages, genders, interests, and ethnic backgrounds were all represented.</w:t>
      </w:r>
    </w:p>
    <w:p w:rsidR="007D1D61" w:rsidRPr="00D5126A" w:rsidRDefault="007D1D61" w:rsidP="007D1D61">
      <w:pPr>
        <w:pStyle w:val="Para066"/>
        <w:spacing w:before="240" w:line="240" w:lineRule="auto"/>
        <w:rPr>
          <w:rFonts w:ascii="Arial" w:hAnsi="Arial" w:cs="Arial"/>
        </w:rPr>
      </w:pPr>
      <w:r w:rsidRPr="00D5126A">
        <w:rPr>
          <w:rFonts w:ascii="Arial" w:hAnsi="Arial" w:cs="Arial"/>
        </w:rPr>
        <w:t>We consulted on a range of projects, initiatives, policies and plans, including:</w:t>
      </w:r>
    </w:p>
    <w:p w:rsidR="007D1D61" w:rsidRPr="00D5126A" w:rsidRDefault="007D1D61" w:rsidP="007D1D61">
      <w:pPr>
        <w:spacing w:before="100" w:beforeAutospacing="1" w:after="150" w:line="240" w:lineRule="auto"/>
        <w:rPr>
          <w:rFonts w:ascii="Arial" w:hAnsi="Arial" w:cs="Arial"/>
          <w:szCs w:val="24"/>
        </w:rPr>
      </w:pPr>
      <w:proofErr w:type="gramStart"/>
      <w:r w:rsidRPr="00D5126A">
        <w:rPr>
          <w:rFonts w:ascii="Arial" w:hAnsi="Arial" w:cs="Arial"/>
          <w:b/>
          <w:szCs w:val="24"/>
          <w:lang w:eastAsia="en-NZ"/>
        </w:rPr>
        <w:t xml:space="preserve">Planning for growth: </w:t>
      </w:r>
      <w:r w:rsidRPr="00D5126A">
        <w:rPr>
          <w:rFonts w:ascii="Arial" w:hAnsi="Arial" w:cs="Arial"/>
          <w:szCs w:val="24"/>
          <w:lang w:eastAsia="en-NZ"/>
        </w:rPr>
        <w:t>In April and May, we engaged Wellingtonians in conversations about where and how our city might to grow to accommodate 50,000 to 80,000 people in the next 30 years.</w:t>
      </w:r>
      <w:proofErr w:type="gramEnd"/>
      <w:r w:rsidRPr="00D5126A">
        <w:rPr>
          <w:rFonts w:ascii="Arial" w:hAnsi="Arial" w:cs="Arial"/>
          <w:szCs w:val="24"/>
          <w:lang w:eastAsia="en-NZ"/>
        </w:rPr>
        <w:t xml:space="preserve">  We proposed four growth scenarios, each with its trade-offs, and asked people to </w:t>
      </w:r>
      <w:r w:rsidRPr="00D5126A">
        <w:rPr>
          <w:rFonts w:ascii="Arial" w:hAnsi="Arial" w:cs="Arial"/>
          <w:szCs w:val="24"/>
          <w:lang w:eastAsia="en-NZ"/>
        </w:rPr>
        <w:lastRenderedPageBreak/>
        <w:t>tell us what they liked and didn’t like about each.  We received more than 1350 submissions from a wide range of people, including 250 high school students.</w:t>
      </w:r>
    </w:p>
    <w:p w:rsidR="0008249A" w:rsidRPr="00D5126A" w:rsidRDefault="007D1D61" w:rsidP="007D1D61">
      <w:pPr>
        <w:spacing w:before="100" w:beforeAutospacing="1" w:after="150" w:line="240" w:lineRule="auto"/>
        <w:rPr>
          <w:rFonts w:ascii="Arial" w:hAnsi="Arial" w:cs="Arial"/>
          <w:szCs w:val="24"/>
          <w:lang w:eastAsia="en-NZ"/>
        </w:rPr>
      </w:pPr>
      <w:r w:rsidRPr="00D5126A">
        <w:rPr>
          <w:rFonts w:ascii="Arial" w:hAnsi="Arial" w:cs="Arial"/>
          <w:b/>
          <w:szCs w:val="24"/>
          <w:lang w:eastAsia="en-NZ"/>
        </w:rPr>
        <w:t>Te Atakura – First to Zero:</w:t>
      </w:r>
      <w:r w:rsidRPr="00D5126A">
        <w:rPr>
          <w:rFonts w:ascii="Arial" w:hAnsi="Arial" w:cs="Arial"/>
          <w:szCs w:val="24"/>
          <w:lang w:eastAsia="en-NZ"/>
        </w:rPr>
        <w:t xml:space="preserve"> We asked Wellingtonians what priority they would like us to place on reducing the carbon emissions that cause climate change. We received more than 1250 responses and strong support for our blueprint.</w:t>
      </w:r>
    </w:p>
    <w:p w:rsidR="007D1D61" w:rsidRPr="00D5126A" w:rsidRDefault="0008249A" w:rsidP="007D1D61">
      <w:pPr>
        <w:spacing w:before="100" w:beforeAutospacing="1" w:after="150" w:line="240" w:lineRule="auto"/>
        <w:rPr>
          <w:rFonts w:ascii="Arial" w:hAnsi="Arial" w:cs="Arial"/>
          <w:szCs w:val="24"/>
          <w:lang w:eastAsia="en-NZ"/>
        </w:rPr>
      </w:pPr>
      <w:r w:rsidRPr="00D5126A">
        <w:rPr>
          <w:rFonts w:ascii="Arial" w:hAnsi="Arial" w:cs="Arial"/>
          <w:b/>
          <w:szCs w:val="24"/>
          <w:lang w:eastAsia="en-NZ"/>
        </w:rPr>
        <w:t xml:space="preserve">Urban </w:t>
      </w:r>
      <w:r w:rsidR="00831F77">
        <w:rPr>
          <w:rFonts w:ascii="Arial" w:hAnsi="Arial" w:cs="Arial"/>
          <w:b/>
          <w:szCs w:val="24"/>
          <w:lang w:eastAsia="en-NZ"/>
        </w:rPr>
        <w:t>d</w:t>
      </w:r>
      <w:r w:rsidR="00831F77" w:rsidRPr="00D5126A">
        <w:rPr>
          <w:rFonts w:ascii="Arial" w:hAnsi="Arial" w:cs="Arial"/>
          <w:b/>
          <w:szCs w:val="24"/>
          <w:lang w:eastAsia="en-NZ"/>
        </w:rPr>
        <w:t>evelopment</w:t>
      </w:r>
      <w:r w:rsidRPr="00D5126A">
        <w:rPr>
          <w:rFonts w:ascii="Arial" w:hAnsi="Arial" w:cs="Arial"/>
          <w:b/>
          <w:szCs w:val="24"/>
          <w:lang w:eastAsia="en-NZ"/>
        </w:rPr>
        <w:t>:</w:t>
      </w:r>
      <w:r w:rsidRPr="00D5126A">
        <w:rPr>
          <w:rFonts w:ascii="Arial" w:hAnsi="Arial" w:cs="Arial"/>
          <w:szCs w:val="24"/>
          <w:lang w:eastAsia="en-NZ"/>
        </w:rPr>
        <w:t xml:space="preserve">  We consulted with Karori </w:t>
      </w:r>
      <w:r w:rsidR="00B4714A">
        <w:rPr>
          <w:rFonts w:ascii="Arial" w:hAnsi="Arial" w:cs="Arial"/>
          <w:szCs w:val="24"/>
          <w:lang w:eastAsia="en-NZ"/>
        </w:rPr>
        <w:t>r</w:t>
      </w:r>
      <w:r w:rsidRPr="00D5126A">
        <w:rPr>
          <w:rFonts w:ascii="Arial" w:hAnsi="Arial" w:cs="Arial"/>
          <w:szCs w:val="24"/>
          <w:lang w:eastAsia="en-NZ"/>
        </w:rPr>
        <w:t xml:space="preserve">esidents to develop three design principles - water sensitive design, wildlife habitat design and heritage – to inform our </w:t>
      </w:r>
      <w:r w:rsidR="00831F77">
        <w:rPr>
          <w:rFonts w:ascii="Arial" w:hAnsi="Arial" w:cs="Arial"/>
          <w:szCs w:val="24"/>
          <w:lang w:eastAsia="en-NZ"/>
        </w:rPr>
        <w:t>t</w:t>
      </w:r>
      <w:r w:rsidR="00831F77" w:rsidRPr="00D5126A">
        <w:rPr>
          <w:rFonts w:ascii="Arial" w:hAnsi="Arial" w:cs="Arial"/>
          <w:szCs w:val="24"/>
          <w:lang w:eastAsia="en-NZ"/>
        </w:rPr>
        <w:t xml:space="preserve">own </w:t>
      </w:r>
      <w:r w:rsidR="00831F77">
        <w:rPr>
          <w:rFonts w:ascii="Arial" w:hAnsi="Arial" w:cs="Arial"/>
          <w:szCs w:val="24"/>
          <w:lang w:eastAsia="en-NZ"/>
        </w:rPr>
        <w:t>c</w:t>
      </w:r>
      <w:r w:rsidR="00831F77" w:rsidRPr="00D5126A">
        <w:rPr>
          <w:rFonts w:ascii="Arial" w:hAnsi="Arial" w:cs="Arial"/>
          <w:szCs w:val="24"/>
          <w:lang w:eastAsia="en-NZ"/>
        </w:rPr>
        <w:t xml:space="preserve">entre </w:t>
      </w:r>
      <w:r w:rsidRPr="00D5126A">
        <w:rPr>
          <w:rFonts w:ascii="Arial" w:hAnsi="Arial" w:cs="Arial"/>
          <w:szCs w:val="24"/>
          <w:lang w:eastAsia="en-NZ"/>
        </w:rPr>
        <w:t xml:space="preserve">upgrade proposals.  A working group of local businesses, property owners and residents was also formed to contribute to the concept phase of the Swan Lane </w:t>
      </w:r>
      <w:r w:rsidR="00831F77">
        <w:rPr>
          <w:rFonts w:ascii="Arial" w:hAnsi="Arial" w:cs="Arial"/>
          <w:szCs w:val="24"/>
          <w:lang w:eastAsia="en-NZ"/>
        </w:rPr>
        <w:t>and</w:t>
      </w:r>
      <w:r w:rsidR="00831F77" w:rsidRPr="00D5126A">
        <w:rPr>
          <w:rFonts w:ascii="Arial" w:hAnsi="Arial" w:cs="Arial"/>
          <w:szCs w:val="24"/>
          <w:lang w:eastAsia="en-NZ"/>
        </w:rPr>
        <w:t xml:space="preserve"> </w:t>
      </w:r>
      <w:r w:rsidRPr="00D5126A">
        <w:rPr>
          <w:rFonts w:ascii="Arial" w:hAnsi="Arial" w:cs="Arial"/>
          <w:szCs w:val="24"/>
          <w:lang w:eastAsia="en-NZ"/>
        </w:rPr>
        <w:t>Garrett Street project.</w:t>
      </w:r>
      <w:r w:rsidR="007D1D61" w:rsidRPr="00D5126A">
        <w:rPr>
          <w:rFonts w:ascii="Arial" w:hAnsi="Arial" w:cs="Arial"/>
          <w:szCs w:val="24"/>
          <w:lang w:eastAsia="en-NZ"/>
        </w:rPr>
        <w:t xml:space="preserve"> </w:t>
      </w:r>
    </w:p>
    <w:p w:rsidR="007D1D61" w:rsidRPr="00D5126A" w:rsidRDefault="007D1D61" w:rsidP="007D1D61">
      <w:pPr>
        <w:spacing w:before="100" w:beforeAutospacing="1" w:after="150" w:line="240" w:lineRule="auto"/>
        <w:rPr>
          <w:rFonts w:ascii="Arial" w:hAnsi="Arial" w:cs="Arial"/>
          <w:szCs w:val="24"/>
          <w:lang w:eastAsia="en-NZ"/>
        </w:rPr>
      </w:pPr>
      <w:r w:rsidRPr="00D5126A">
        <w:rPr>
          <w:rFonts w:ascii="Arial" w:eastAsia="Times New Roman" w:hAnsi="Arial" w:cs="Arial"/>
          <w:b/>
          <w:iCs/>
          <w:szCs w:val="24"/>
          <w:lang w:eastAsia="en-NZ"/>
        </w:rPr>
        <w:t>Cycle paths and lanes:</w:t>
      </w:r>
      <w:r w:rsidRPr="00D5126A">
        <w:rPr>
          <w:rFonts w:ascii="Arial" w:hAnsi="Arial" w:cs="Arial"/>
          <w:i/>
          <w:szCs w:val="24"/>
        </w:rPr>
        <w:t xml:space="preserve">  </w:t>
      </w:r>
      <w:r w:rsidRPr="00D5126A">
        <w:rPr>
          <w:rFonts w:ascii="Arial" w:eastAsia="Times New Roman" w:hAnsi="Arial" w:cs="Arial"/>
          <w:szCs w:val="24"/>
          <w:lang w:eastAsia="en-NZ"/>
        </w:rPr>
        <w:t>We’ve been engaging the community on ways to make it safer and easier to travel by bike in Berhampore, Newtown and Mt Cook. We heard from almost 1800 people during two phases of engagement in the second half of 2018. Part of the conversation with the Berhampore community includes their aspirations for their shopping area.</w:t>
      </w:r>
    </w:p>
    <w:p w:rsidR="007D1D61" w:rsidRPr="00D5126A" w:rsidRDefault="007D1D61" w:rsidP="007D1D61">
      <w:pPr>
        <w:rPr>
          <w:rFonts w:ascii="Arial" w:eastAsiaTheme="minorHAnsi" w:hAnsi="Arial" w:cs="Arial"/>
          <w:lang w:eastAsia="en-NZ"/>
        </w:rPr>
      </w:pPr>
      <w:r w:rsidRPr="00D5126A">
        <w:rPr>
          <w:rFonts w:ascii="Arial" w:hAnsi="Arial" w:cs="Arial"/>
          <w:b/>
          <w:lang w:eastAsia="en-NZ"/>
        </w:rPr>
        <w:t>Upper Stebbings Valley development:</w:t>
      </w:r>
      <w:r w:rsidRPr="00D5126A">
        <w:rPr>
          <w:rFonts w:ascii="Arial" w:hAnsi="Arial" w:cs="Arial"/>
          <w:lang w:eastAsia="en-NZ"/>
        </w:rPr>
        <w:t xml:space="preserve"> We sought input into a high-level plan for the future of Upper Stebbings Valley and Glenside West. Engagement in 2018 highlighted further issues to consider, and detailed work is being progressed to explore options to resolve these. Further engagement will be part of the next stages of our Planning for Growth programme.</w:t>
      </w:r>
    </w:p>
    <w:p w:rsidR="007D1D61" w:rsidRPr="00D5126A" w:rsidRDefault="007D1D61" w:rsidP="007D1D61">
      <w:pPr>
        <w:spacing w:before="100" w:beforeAutospacing="1" w:after="150" w:line="240" w:lineRule="auto"/>
        <w:rPr>
          <w:rFonts w:ascii="Arial" w:hAnsi="Arial" w:cs="Arial"/>
          <w:szCs w:val="24"/>
          <w:lang w:eastAsia="en-NZ"/>
        </w:rPr>
      </w:pPr>
      <w:r w:rsidRPr="00D5126A">
        <w:rPr>
          <w:rFonts w:ascii="Arial" w:hAnsi="Arial" w:cs="Arial"/>
          <w:b/>
          <w:szCs w:val="24"/>
          <w:lang w:eastAsia="en-NZ"/>
        </w:rPr>
        <w:t>Outer Green Belt Management Plan:</w:t>
      </w:r>
      <w:r w:rsidRPr="00D5126A">
        <w:rPr>
          <w:rFonts w:ascii="Arial" w:hAnsi="Arial" w:cs="Arial"/>
          <w:szCs w:val="24"/>
          <w:lang w:eastAsia="en-NZ"/>
        </w:rPr>
        <w:t xml:space="preserve"> Two phases of public engagement helped us understand the key issues and opportunities in managing the Outer Green Belt Reserves. We created a new draft plan that sets the vision, policy framework and guides management for more than </w:t>
      </w:r>
      <w:r w:rsidR="00831F77" w:rsidRPr="00D5126A">
        <w:rPr>
          <w:rFonts w:ascii="Arial" w:hAnsi="Arial" w:cs="Arial"/>
          <w:szCs w:val="24"/>
          <w:lang w:eastAsia="en-NZ"/>
        </w:rPr>
        <w:t>3000</w:t>
      </w:r>
      <w:r w:rsidR="00831F77">
        <w:rPr>
          <w:rFonts w:ascii="Arial" w:hAnsi="Arial" w:cs="Arial"/>
          <w:szCs w:val="24"/>
          <w:lang w:eastAsia="en-NZ"/>
        </w:rPr>
        <w:t xml:space="preserve"> hectares</w:t>
      </w:r>
      <w:r w:rsidR="00831F77" w:rsidRPr="00D5126A">
        <w:rPr>
          <w:rFonts w:ascii="Arial" w:hAnsi="Arial" w:cs="Arial"/>
          <w:szCs w:val="24"/>
          <w:lang w:eastAsia="en-NZ"/>
        </w:rPr>
        <w:t xml:space="preserve"> </w:t>
      </w:r>
      <w:r w:rsidRPr="00D5126A">
        <w:rPr>
          <w:rFonts w:ascii="Arial" w:hAnsi="Arial" w:cs="Arial"/>
          <w:szCs w:val="24"/>
          <w:lang w:eastAsia="en-NZ"/>
        </w:rPr>
        <w:t>of public reserve land at the edge of Wellington City. We received 544 responses to the pre-consultation survey and 226 submissions on the draft plan from February through to March 2019.</w:t>
      </w:r>
    </w:p>
    <w:p w:rsidR="007D1D61" w:rsidRPr="00D5126A" w:rsidRDefault="007D1D61" w:rsidP="0074390B">
      <w:pPr>
        <w:spacing w:line="240" w:lineRule="auto"/>
      </w:pPr>
      <w:r w:rsidRPr="00D5126A">
        <w:rPr>
          <w:b/>
        </w:rPr>
        <w:t xml:space="preserve">Makara Beach Project: </w:t>
      </w:r>
      <w:r w:rsidRPr="00D5126A">
        <w:t xml:space="preserve">The Council also supported the Makara community to develop their own recommendations to prepare for and adapt to </w:t>
      </w:r>
      <w:r w:rsidR="00831F77" w:rsidRPr="00D5126A">
        <w:t>sea</w:t>
      </w:r>
      <w:r w:rsidR="00831F77">
        <w:t>-</w:t>
      </w:r>
      <w:r w:rsidRPr="00D5126A">
        <w:t xml:space="preserve">level rise, storm surges and coastal erosion. Read more about the Makara Beach Project on pg </w:t>
      </w:r>
      <w:r w:rsidR="00E27622">
        <w:t>80</w:t>
      </w:r>
      <w:r w:rsidRPr="00D5126A">
        <w:t>.</w:t>
      </w:r>
    </w:p>
    <w:p w:rsidR="007D1D61" w:rsidRPr="00D5126A" w:rsidRDefault="007D1D61" w:rsidP="007D1D61">
      <w:pPr>
        <w:rPr>
          <w:rFonts w:ascii="Arial" w:hAnsi="Arial" w:cs="Arial"/>
          <w:szCs w:val="24"/>
          <w:lang w:eastAsia="en-NZ"/>
        </w:rPr>
      </w:pPr>
      <w:r w:rsidRPr="00D5126A">
        <w:rPr>
          <w:rFonts w:ascii="Arial" w:hAnsi="Arial" w:cs="Arial"/>
          <w:b/>
          <w:szCs w:val="24"/>
          <w:lang w:eastAsia="en-NZ"/>
        </w:rPr>
        <w:t xml:space="preserve">Annual Plan: </w:t>
      </w:r>
      <w:r w:rsidRPr="00D5126A">
        <w:rPr>
          <w:rFonts w:ascii="Arial" w:hAnsi="Arial" w:cs="Arial"/>
          <w:szCs w:val="24"/>
          <w:lang w:eastAsia="en-NZ"/>
        </w:rPr>
        <w:t xml:space="preserve">We sought feedback on the activities for 2019/20 we proposed to deliver on the </w:t>
      </w:r>
      <w:r w:rsidR="00831F77">
        <w:rPr>
          <w:rFonts w:ascii="Arial" w:hAnsi="Arial" w:cs="Arial"/>
          <w:szCs w:val="24"/>
          <w:lang w:eastAsia="en-NZ"/>
        </w:rPr>
        <w:t>long-term</w:t>
      </w:r>
      <w:r w:rsidRPr="00D5126A">
        <w:rPr>
          <w:rFonts w:ascii="Arial" w:hAnsi="Arial" w:cs="Arial"/>
          <w:szCs w:val="24"/>
          <w:lang w:eastAsia="en-NZ"/>
        </w:rPr>
        <w:t xml:space="preserve"> Plan.</w:t>
      </w:r>
    </w:p>
    <w:p w:rsidR="003F5903" w:rsidRPr="00D5126A" w:rsidRDefault="003F5903" w:rsidP="00831F77">
      <w:pPr>
        <w:rPr>
          <w:lang w:eastAsia="en-NZ"/>
        </w:rPr>
      </w:pPr>
      <w:r w:rsidRPr="00D5126A">
        <w:rPr>
          <w:b/>
          <w:lang w:eastAsia="en-NZ"/>
        </w:rPr>
        <w:t>Youth</w:t>
      </w:r>
      <w:r w:rsidRPr="00831F77">
        <w:rPr>
          <w:b/>
        </w:rPr>
        <w:t>:</w:t>
      </w:r>
      <w:r w:rsidRPr="00831F77">
        <w:t xml:space="preserve"> We held a Youth Summit in November attended by 150 year 9 and 10 students from across the city. Students participated in interactive workshops on topics including transport, sustainability, community development, and participation in sport and recreation. We also have a Youth Council advisory group (see pg </w:t>
      </w:r>
      <w:r w:rsidR="00E27622">
        <w:t>156</w:t>
      </w:r>
      <w:r w:rsidRPr="00831F77">
        <w:t>) and have been increasing our contact with schools and other community groups to engage more effectively with children and young people.</w:t>
      </w:r>
    </w:p>
    <w:p w:rsidR="007D1D61" w:rsidRPr="00D5126A" w:rsidRDefault="007D1D61" w:rsidP="00831F77">
      <w:pPr>
        <w:rPr>
          <w:lang w:eastAsia="en-NZ"/>
        </w:rPr>
      </w:pPr>
      <w:r w:rsidRPr="00D5126A">
        <w:rPr>
          <w:lang w:eastAsia="en-NZ"/>
        </w:rPr>
        <w:t xml:space="preserve">We also carried </w:t>
      </w:r>
      <w:r w:rsidR="003F5903" w:rsidRPr="00D5126A">
        <w:rPr>
          <w:lang w:eastAsia="en-NZ"/>
        </w:rPr>
        <w:t>out several</w:t>
      </w:r>
      <w:r w:rsidRPr="00D5126A">
        <w:rPr>
          <w:lang w:eastAsia="en-NZ"/>
        </w:rPr>
        <w:t xml:space="preserve"> smaller, engagements to support our ongoing operations, which included community park upgrades, placement of residential electric vehicle chargers and alcohol fees and control bylaws.</w:t>
      </w:r>
    </w:p>
    <w:p w:rsidR="007D1D61" w:rsidRPr="00D5126A" w:rsidRDefault="007D1D61" w:rsidP="00961FC5">
      <w:pPr>
        <w:pStyle w:val="Heading5"/>
      </w:pPr>
      <w:r w:rsidRPr="00D5126A">
        <w:rPr>
          <w:rStyle w:val="Heading5Char"/>
        </w:rPr>
        <w:t>Governance &amp; Electoral Processes</w:t>
      </w:r>
      <w:r w:rsidRPr="00D5126A">
        <w:t xml:space="preserve"> </w:t>
      </w:r>
    </w:p>
    <w:p w:rsidR="007D1D61" w:rsidRPr="00D5126A" w:rsidRDefault="003D7788" w:rsidP="007D1D61">
      <w:pPr>
        <w:pStyle w:val="Para010"/>
        <w:numPr>
          <w:ilvl w:val="0"/>
          <w:numId w:val="0"/>
        </w:numPr>
        <w:spacing w:line="240" w:lineRule="auto"/>
        <w:rPr>
          <w:rFonts w:ascii="Arial" w:hAnsi="Arial" w:cs="Arial"/>
        </w:rPr>
      </w:pPr>
      <w:r w:rsidRPr="00D5126A">
        <w:rPr>
          <w:rFonts w:ascii="Arial" w:hAnsi="Arial" w:cs="Arial"/>
        </w:rPr>
        <w:t>Elected members made 148 decisions as a committee of the whole</w:t>
      </w:r>
      <w:r w:rsidR="00831F77">
        <w:rPr>
          <w:rFonts w:ascii="Arial" w:hAnsi="Arial" w:cs="Arial"/>
        </w:rPr>
        <w:t xml:space="preserve"> (Council or City Strategy meetings)</w:t>
      </w:r>
      <w:r w:rsidRPr="00D5126A">
        <w:rPr>
          <w:rFonts w:ascii="Arial" w:hAnsi="Arial" w:cs="Arial"/>
        </w:rPr>
        <w:t xml:space="preserve"> in this financial year. To </w:t>
      </w:r>
      <w:r w:rsidR="007D1D61" w:rsidRPr="00D5126A">
        <w:rPr>
          <w:rFonts w:ascii="Arial" w:hAnsi="Arial" w:cs="Arial"/>
        </w:rPr>
        <w:t>ensure</w:t>
      </w:r>
      <w:r w:rsidRPr="00D5126A">
        <w:rPr>
          <w:rFonts w:ascii="Arial" w:hAnsi="Arial" w:cs="Arial"/>
        </w:rPr>
        <w:t xml:space="preserve"> those decisions </w:t>
      </w:r>
      <w:r w:rsidR="007D1D61" w:rsidRPr="00D5126A">
        <w:rPr>
          <w:rFonts w:ascii="Arial" w:hAnsi="Arial" w:cs="Arial"/>
        </w:rPr>
        <w:t xml:space="preserve">remain </w:t>
      </w:r>
      <w:r w:rsidRPr="00D5126A">
        <w:rPr>
          <w:rFonts w:ascii="Arial" w:hAnsi="Arial" w:cs="Arial"/>
        </w:rPr>
        <w:t>open and transparent</w:t>
      </w:r>
      <w:r w:rsidR="007D1D61" w:rsidRPr="00D5126A">
        <w:rPr>
          <w:rFonts w:ascii="Arial" w:hAnsi="Arial" w:cs="Arial"/>
        </w:rPr>
        <w:t xml:space="preserve"> we rolled out EZ Vote, an electronic voting system, for use in Council and committee meetings. It will ensure we clearly record elected members</w:t>
      </w:r>
      <w:r w:rsidR="008D274B">
        <w:rPr>
          <w:rFonts w:ascii="Arial" w:hAnsi="Arial" w:cs="Arial"/>
        </w:rPr>
        <w:t>’</w:t>
      </w:r>
      <w:r w:rsidR="007D1D61" w:rsidRPr="00D5126A">
        <w:rPr>
          <w:rFonts w:ascii="Arial" w:hAnsi="Arial" w:cs="Arial"/>
        </w:rPr>
        <w:t xml:space="preserve"> votes on decisions. </w:t>
      </w:r>
    </w:p>
    <w:p w:rsidR="003F5903" w:rsidRPr="00D5126A" w:rsidRDefault="003F5903" w:rsidP="003F5903">
      <w:pPr>
        <w:pStyle w:val="Para010"/>
        <w:numPr>
          <w:ilvl w:val="0"/>
          <w:numId w:val="0"/>
        </w:numPr>
        <w:spacing w:line="240" w:lineRule="auto"/>
        <w:rPr>
          <w:rFonts w:ascii="Arial" w:hAnsi="Arial" w:cs="Arial"/>
        </w:rPr>
      </w:pPr>
      <w:r w:rsidRPr="00D5126A">
        <w:rPr>
          <w:rFonts w:ascii="Arial" w:hAnsi="Arial" w:cs="Arial"/>
        </w:rPr>
        <w:t>Project planning is also under</w:t>
      </w:r>
      <w:r w:rsidR="008D274B">
        <w:rPr>
          <w:rFonts w:ascii="Arial" w:hAnsi="Arial" w:cs="Arial"/>
        </w:rPr>
        <w:t xml:space="preserve"> </w:t>
      </w:r>
      <w:r w:rsidRPr="00D5126A">
        <w:rPr>
          <w:rFonts w:ascii="Arial" w:hAnsi="Arial" w:cs="Arial"/>
        </w:rPr>
        <w:t xml:space="preserve">way for the delivery of the 2019 Elections on October 12. This includes, preparing election protocols for both staff and elected members, identifying the </w:t>
      </w:r>
      <w:r w:rsidRPr="00D5126A">
        <w:rPr>
          <w:rFonts w:ascii="Arial" w:hAnsi="Arial" w:cs="Arial"/>
        </w:rPr>
        <w:lastRenderedPageBreak/>
        <w:t>work programmes and leads, contracts and a communications and marketing campaign. It is the first election since minor boundary changes were made in the 2017/18 year and the first with our new reo rua (bilingual) ward names.</w:t>
      </w:r>
    </w:p>
    <w:p w:rsidR="003F5903" w:rsidRPr="00D5126A" w:rsidRDefault="003F5903" w:rsidP="003F5903">
      <w:r w:rsidRPr="00D5126A">
        <w:rPr>
          <w:rFonts w:ascii="Arial" w:hAnsi="Arial" w:cs="Arial"/>
        </w:rPr>
        <w:t xml:space="preserve">We also finalised election-delivery Memorandums of Understanding with </w:t>
      </w:r>
      <w:r w:rsidRPr="00D5126A">
        <w:t xml:space="preserve">Greater Wellington Regional Council, Capital and Coast District Health Board (CCDHB), the seven other territorial authorities (TAs) in the Wellington region and the Electoral Commission. These agreements include the ‘special vote hub’ at Arapaki Manners Library and Service Centre, where any voter in Hutt City, Porirua City, Upper Hutt City, Kāpiti Coast District, South Wairarapa District, Carterton District and Masterton District can request a special vote, or return an ordinary vote that has been posted to them. </w:t>
      </w:r>
    </w:p>
    <w:p w:rsidR="007D1D61" w:rsidRPr="00D5126A" w:rsidRDefault="007D1D61" w:rsidP="00961FC5">
      <w:pPr>
        <w:pStyle w:val="Heading5"/>
        <w:rPr>
          <w:rStyle w:val="00Text"/>
          <w:b w:val="0"/>
        </w:rPr>
      </w:pPr>
      <w:r w:rsidRPr="00D5126A">
        <w:rPr>
          <w:rStyle w:val="00Text"/>
        </w:rPr>
        <w:t>City Archives</w:t>
      </w:r>
    </w:p>
    <w:p w:rsidR="007D1D61" w:rsidRPr="00D5126A" w:rsidRDefault="007D1D61" w:rsidP="007D1D61">
      <w:pPr>
        <w:rPr>
          <w:rStyle w:val="00Text"/>
          <w:rFonts w:ascii="Arial" w:hAnsi="Arial" w:cs="Arial"/>
          <w:b w:val="0"/>
        </w:rPr>
      </w:pPr>
      <w:r w:rsidRPr="00D5126A">
        <w:rPr>
          <w:rFonts w:ascii="Arial" w:eastAsia="Times New Roman" w:hAnsi="Arial" w:cs="Arial"/>
        </w:rPr>
        <w:t xml:space="preserve">This year we launched the first part of Archive Online, our new online search and access tool for customers to search and access Council’s archive collection. The first 125,000 records can now be searched online and we will continue to upload more content. </w:t>
      </w:r>
      <w:r w:rsidRPr="00D5126A">
        <w:rPr>
          <w:rFonts w:ascii="Arial" w:hAnsi="Arial" w:cs="Arial"/>
        </w:rPr>
        <w:t>The full system will be launched in October 2019, to include property data, and is a significant improvement on the existing online indexes that are available.</w:t>
      </w:r>
    </w:p>
    <w:p w:rsidR="007D1D61" w:rsidRPr="00D5126A" w:rsidRDefault="007D1D61" w:rsidP="00961FC5">
      <w:pPr>
        <w:pStyle w:val="Heading5"/>
        <w:rPr>
          <w:rStyle w:val="00Text"/>
          <w:b w:val="0"/>
        </w:rPr>
      </w:pPr>
      <w:r w:rsidRPr="00D5126A">
        <w:rPr>
          <w:rStyle w:val="00Text"/>
        </w:rPr>
        <w:t>Contact Centre</w:t>
      </w:r>
    </w:p>
    <w:p w:rsidR="007D1D61" w:rsidRPr="00D5126A" w:rsidRDefault="007D1D61" w:rsidP="007D1D61">
      <w:pPr>
        <w:pStyle w:val="Para010"/>
        <w:numPr>
          <w:ilvl w:val="0"/>
          <w:numId w:val="0"/>
        </w:numPr>
        <w:spacing w:line="240" w:lineRule="auto"/>
        <w:rPr>
          <w:rFonts w:ascii="Arial" w:hAnsi="Arial" w:cs="Arial"/>
        </w:rPr>
      </w:pPr>
      <w:r w:rsidRPr="00D5126A">
        <w:rPr>
          <w:rFonts w:ascii="Arial" w:hAnsi="Arial" w:cs="Arial"/>
        </w:rPr>
        <w:t xml:space="preserve">The </w:t>
      </w:r>
      <w:r w:rsidR="008D274B">
        <w:rPr>
          <w:rFonts w:ascii="Arial" w:hAnsi="Arial" w:cs="Arial"/>
        </w:rPr>
        <w:t>C</w:t>
      </w:r>
      <w:r w:rsidR="008D274B" w:rsidRPr="00D5126A">
        <w:rPr>
          <w:rFonts w:ascii="Arial" w:hAnsi="Arial" w:cs="Arial"/>
        </w:rPr>
        <w:t xml:space="preserve">ontact </w:t>
      </w:r>
      <w:r w:rsidR="008D274B">
        <w:rPr>
          <w:rFonts w:ascii="Arial" w:hAnsi="Arial" w:cs="Arial"/>
        </w:rPr>
        <w:t>C</w:t>
      </w:r>
      <w:r w:rsidR="008D274B" w:rsidRPr="00D5126A">
        <w:rPr>
          <w:rFonts w:ascii="Arial" w:hAnsi="Arial" w:cs="Arial"/>
        </w:rPr>
        <w:t xml:space="preserve">entre </w:t>
      </w:r>
      <w:r w:rsidRPr="00D5126A">
        <w:rPr>
          <w:rFonts w:ascii="Arial" w:hAnsi="Arial" w:cs="Arial"/>
        </w:rPr>
        <w:t>responded to 80 percent of received calls within 30 seconds, which met its 80 percent target and was better than the previous year (78</w:t>
      </w:r>
      <w:r w:rsidR="008D274B">
        <w:rPr>
          <w:rFonts w:ascii="Arial" w:hAnsi="Arial" w:cs="Arial"/>
        </w:rPr>
        <w:t xml:space="preserve"> percent</w:t>
      </w:r>
      <w:r w:rsidR="008D274B" w:rsidRPr="00D5126A">
        <w:rPr>
          <w:rFonts w:ascii="Arial" w:hAnsi="Arial" w:cs="Arial"/>
        </w:rPr>
        <w:t xml:space="preserve">). </w:t>
      </w:r>
      <w:r w:rsidRPr="00D5126A">
        <w:rPr>
          <w:rFonts w:ascii="Arial" w:hAnsi="Arial" w:cs="Arial"/>
        </w:rPr>
        <w:t>It responded to 99 percent of emails within 24 hours.</w:t>
      </w:r>
    </w:p>
    <w:p w:rsidR="007D1D61" w:rsidRPr="00D5126A" w:rsidRDefault="007D1D61" w:rsidP="00961FC5">
      <w:pPr>
        <w:pStyle w:val="Heading5"/>
      </w:pPr>
      <w:r w:rsidRPr="00D5126A">
        <w:rPr>
          <w:rStyle w:val="00Text"/>
        </w:rPr>
        <w:t xml:space="preserve">Living Wage </w:t>
      </w:r>
    </w:p>
    <w:p w:rsidR="007D1D61" w:rsidRPr="00D5126A" w:rsidRDefault="007D1D61" w:rsidP="007D1D61">
      <w:pPr>
        <w:rPr>
          <w:rFonts w:ascii="Arial" w:hAnsi="Arial" w:cs="Arial"/>
        </w:rPr>
      </w:pPr>
      <w:bookmarkStart w:id="143" w:name="1_2_Rangapu_Maori_mana_whenua_Maori_and_"/>
      <w:r w:rsidRPr="00D5126A">
        <w:rPr>
          <w:rFonts w:ascii="Arial" w:hAnsi="Arial" w:cs="Arial"/>
        </w:rPr>
        <w:t xml:space="preserve">The Living Wage provides workers and their families with the necessities of life and allows them to participate </w:t>
      </w:r>
      <w:r w:rsidR="00251826" w:rsidRPr="00D5126A">
        <w:rPr>
          <w:rFonts w:ascii="Arial" w:hAnsi="Arial" w:cs="Arial"/>
        </w:rPr>
        <w:t>actively</w:t>
      </w:r>
      <w:r w:rsidRPr="00D5126A">
        <w:rPr>
          <w:rFonts w:ascii="Arial" w:hAnsi="Arial" w:cs="Arial"/>
        </w:rPr>
        <w:t xml:space="preserve"> in the community. In 2018/19 the Council paid the Living Wage Aotearoa rate of $20.20 to its staff and expanded this to wholly owned Council</w:t>
      </w:r>
      <w:r w:rsidR="008D274B">
        <w:rPr>
          <w:rFonts w:ascii="Arial" w:hAnsi="Arial" w:cs="Arial"/>
        </w:rPr>
        <w:t>-c</w:t>
      </w:r>
      <w:r w:rsidRPr="00D5126A">
        <w:rPr>
          <w:rFonts w:ascii="Arial" w:hAnsi="Arial" w:cs="Arial"/>
        </w:rPr>
        <w:t xml:space="preserve">ontrolled </w:t>
      </w:r>
      <w:r w:rsidR="008D274B">
        <w:rPr>
          <w:rFonts w:ascii="Arial" w:hAnsi="Arial" w:cs="Arial"/>
        </w:rPr>
        <w:t>o</w:t>
      </w:r>
      <w:r w:rsidRPr="00D5126A">
        <w:rPr>
          <w:rFonts w:ascii="Arial" w:hAnsi="Arial" w:cs="Arial"/>
        </w:rPr>
        <w:t xml:space="preserve">rganisations and core </w:t>
      </w:r>
      <w:r w:rsidR="00251826" w:rsidRPr="00D5126A">
        <w:rPr>
          <w:rFonts w:ascii="Arial" w:hAnsi="Arial" w:cs="Arial"/>
        </w:rPr>
        <w:t>contractors</w:t>
      </w:r>
      <w:r w:rsidRPr="00D5126A">
        <w:rPr>
          <w:rFonts w:ascii="Arial" w:hAnsi="Arial" w:cs="Arial"/>
        </w:rPr>
        <w:t xml:space="preserve"> who work on Council sites as they come up for renewal. </w:t>
      </w:r>
      <w:r w:rsidR="003F5903" w:rsidRPr="00D5126A">
        <w:rPr>
          <w:rFonts w:ascii="Arial" w:hAnsi="Arial" w:cs="Arial"/>
        </w:rPr>
        <w:t xml:space="preserve"> The rate rose to $21.15 on </w:t>
      </w:r>
      <w:r w:rsidR="008D274B">
        <w:rPr>
          <w:rFonts w:ascii="Arial" w:hAnsi="Arial" w:cs="Arial"/>
        </w:rPr>
        <w:t xml:space="preserve">1 </w:t>
      </w:r>
      <w:proofErr w:type="gramStart"/>
      <w:r w:rsidR="003F5903" w:rsidRPr="00D5126A">
        <w:rPr>
          <w:rFonts w:ascii="Arial" w:hAnsi="Arial" w:cs="Arial"/>
        </w:rPr>
        <w:t>July  2019</w:t>
      </w:r>
      <w:proofErr w:type="gramEnd"/>
      <w:r w:rsidR="003F5903" w:rsidRPr="00D5126A">
        <w:rPr>
          <w:rFonts w:ascii="Arial" w:hAnsi="Arial" w:cs="Arial"/>
        </w:rPr>
        <w:t xml:space="preserve">. </w:t>
      </w:r>
      <w:r w:rsidRPr="00D5126A">
        <w:rPr>
          <w:rFonts w:ascii="Arial" w:hAnsi="Arial" w:cs="Arial"/>
        </w:rPr>
        <w:t xml:space="preserve">In 2018, Wellington City Council became the first local authority to achieve Living Wage </w:t>
      </w:r>
      <w:r w:rsidR="00251826" w:rsidRPr="00D5126A">
        <w:rPr>
          <w:rFonts w:ascii="Arial" w:hAnsi="Arial" w:cs="Arial"/>
        </w:rPr>
        <w:t>accreditation</w:t>
      </w:r>
      <w:r w:rsidRPr="00D5126A">
        <w:rPr>
          <w:rFonts w:ascii="Arial" w:hAnsi="Arial" w:cs="Arial"/>
        </w:rPr>
        <w:t xml:space="preserve"> and celebrated that milestone at a function where workers who are now being paid the Living Wage addressed the group, along with the </w:t>
      </w:r>
      <w:r w:rsidR="008D274B">
        <w:rPr>
          <w:rFonts w:ascii="Arial" w:hAnsi="Arial" w:cs="Arial"/>
        </w:rPr>
        <w:t>C</w:t>
      </w:r>
      <w:r w:rsidR="008D274B" w:rsidRPr="00D5126A">
        <w:rPr>
          <w:rFonts w:ascii="Arial" w:hAnsi="Arial" w:cs="Arial"/>
        </w:rPr>
        <w:t xml:space="preserve">hief </w:t>
      </w:r>
      <w:r w:rsidR="008D274B">
        <w:rPr>
          <w:rFonts w:ascii="Arial" w:hAnsi="Arial" w:cs="Arial"/>
        </w:rPr>
        <w:t>E</w:t>
      </w:r>
      <w:r w:rsidR="008D274B" w:rsidRPr="00D5126A">
        <w:rPr>
          <w:rFonts w:ascii="Arial" w:hAnsi="Arial" w:cs="Arial"/>
        </w:rPr>
        <w:t xml:space="preserve">xecutive </w:t>
      </w:r>
      <w:r w:rsidRPr="00D5126A">
        <w:rPr>
          <w:rFonts w:ascii="Arial" w:hAnsi="Arial" w:cs="Arial"/>
        </w:rPr>
        <w:t>and the Mayor.</w:t>
      </w:r>
    </w:p>
    <w:p w:rsidR="007D1D61" w:rsidRPr="00D5126A" w:rsidRDefault="007D1D61" w:rsidP="00AA2122">
      <w:pPr>
        <w:pStyle w:val="Heading3"/>
      </w:pPr>
      <w:bookmarkStart w:id="144" w:name="_Toc19085810"/>
      <w:r w:rsidRPr="00D5126A">
        <w:rPr>
          <w:rStyle w:val="00Text"/>
          <w:b/>
        </w:rPr>
        <w:t xml:space="preserve">1.2 Rangapū Māori/mana whenua - </w:t>
      </w:r>
      <w:r w:rsidRPr="00D5126A">
        <w:t>Māori and mana whenua partnerships</w:t>
      </w:r>
      <w:bookmarkEnd w:id="143"/>
      <w:bookmarkEnd w:id="144"/>
    </w:p>
    <w:p w:rsidR="007D1D61" w:rsidRPr="00D5126A" w:rsidRDefault="007D1D61" w:rsidP="007D1D61">
      <w:pPr>
        <w:rPr>
          <w:rFonts w:ascii="Arial" w:hAnsi="Arial" w:cs="Arial"/>
        </w:rPr>
      </w:pPr>
      <w:r w:rsidRPr="00D5126A">
        <w:rPr>
          <w:rFonts w:ascii="Arial" w:hAnsi="Arial" w:cs="Arial"/>
        </w:rPr>
        <w:t xml:space="preserve">This year Council has had an increased focus on incorporating more </w:t>
      </w:r>
      <w:proofErr w:type="gramStart"/>
      <w:r w:rsidRPr="00D5126A">
        <w:rPr>
          <w:rFonts w:ascii="Arial" w:hAnsi="Arial" w:cs="Arial"/>
        </w:rPr>
        <w:t>te</w:t>
      </w:r>
      <w:proofErr w:type="gramEnd"/>
      <w:r w:rsidRPr="00D5126A">
        <w:rPr>
          <w:rFonts w:ascii="Arial" w:hAnsi="Arial" w:cs="Arial"/>
        </w:rPr>
        <w:t xml:space="preserve"> reo Māori into business-as-usual practices and making it seen, heard and used more widely in the city.  </w:t>
      </w:r>
    </w:p>
    <w:p w:rsidR="007D1D61" w:rsidRPr="00D5126A" w:rsidRDefault="007D1D61" w:rsidP="00846C1B">
      <w:pPr>
        <w:pStyle w:val="Heading4"/>
      </w:pPr>
      <w:r w:rsidRPr="00D5126A">
        <w:t>What we did</w:t>
      </w:r>
    </w:p>
    <w:p w:rsidR="007D1D61" w:rsidRPr="00D5126A" w:rsidRDefault="007D1D61" w:rsidP="00961FC5">
      <w:pPr>
        <w:pStyle w:val="Heading5"/>
        <w:rPr>
          <w:rStyle w:val="00Text"/>
          <w:b w:val="0"/>
          <w:bCs w:val="0"/>
        </w:rPr>
      </w:pPr>
      <w:r w:rsidRPr="00D5126A">
        <w:rPr>
          <w:rStyle w:val="00Text"/>
        </w:rPr>
        <w:t>Matariki</w:t>
      </w:r>
    </w:p>
    <w:p w:rsidR="007D1D61" w:rsidRPr="00D5126A" w:rsidRDefault="007D1D61" w:rsidP="007D1D61">
      <w:pPr>
        <w:pStyle w:val="Para010"/>
        <w:numPr>
          <w:ilvl w:val="0"/>
          <w:numId w:val="0"/>
        </w:numPr>
        <w:spacing w:line="240" w:lineRule="auto"/>
        <w:rPr>
          <w:rFonts w:ascii="Arial" w:hAnsi="Arial" w:cs="Arial"/>
        </w:rPr>
      </w:pPr>
      <w:r w:rsidRPr="00D5126A">
        <w:rPr>
          <w:rFonts w:ascii="Arial" w:hAnsi="Arial" w:cs="Arial"/>
        </w:rPr>
        <w:t>We celebrated the inaugural Matariki Festival (Māori New Year) in July 2018 and also the second in June 2019. We held our second Ahi Kā and it was again a success. It featured light and fire, singing and storytelling, and kai. Last year, we also moved our Sky Show fireworks from November to Matariki to better celebrate our New Zealand culture. In June 2018</w:t>
      </w:r>
      <w:r w:rsidR="008D274B">
        <w:rPr>
          <w:rFonts w:ascii="Arial" w:hAnsi="Arial" w:cs="Arial"/>
        </w:rPr>
        <w:t>,</w:t>
      </w:r>
      <w:r w:rsidRPr="00D5126A">
        <w:rPr>
          <w:rFonts w:ascii="Arial" w:hAnsi="Arial" w:cs="Arial"/>
        </w:rPr>
        <w:t xml:space="preserve"> the arrival of a southern right whale delayed the fireworks until this financial year, meaning there were two Sky Shows this year.</w:t>
      </w:r>
    </w:p>
    <w:p w:rsidR="007D1D61" w:rsidRPr="00D5126A" w:rsidRDefault="007D1D61" w:rsidP="00961FC5">
      <w:pPr>
        <w:pStyle w:val="Heading5"/>
      </w:pPr>
      <w:r w:rsidRPr="00D5126A">
        <w:lastRenderedPageBreak/>
        <w:t xml:space="preserve">Kapa </w:t>
      </w:r>
      <w:r w:rsidR="008D274B">
        <w:t>h</w:t>
      </w:r>
      <w:r w:rsidR="008D274B" w:rsidRPr="00D5126A">
        <w:t xml:space="preserve">aka </w:t>
      </w:r>
    </w:p>
    <w:p w:rsidR="007D1D61" w:rsidRPr="00D5126A" w:rsidRDefault="007D1D61" w:rsidP="007D1D61">
      <w:pPr>
        <w:rPr>
          <w:rFonts w:ascii="Arial" w:hAnsi="Arial" w:cs="Arial"/>
        </w:rPr>
      </w:pPr>
      <w:r w:rsidRPr="00D5126A">
        <w:rPr>
          <w:rFonts w:ascii="Arial" w:hAnsi="Arial" w:cs="Arial"/>
        </w:rPr>
        <w:t xml:space="preserve">A successful Te Matatini ki </w:t>
      </w:r>
      <w:proofErr w:type="gramStart"/>
      <w:r w:rsidRPr="00D5126A">
        <w:rPr>
          <w:rFonts w:ascii="Arial" w:hAnsi="Arial" w:cs="Arial"/>
        </w:rPr>
        <w:t>te</w:t>
      </w:r>
      <w:proofErr w:type="gramEnd"/>
      <w:r w:rsidRPr="00D5126A">
        <w:rPr>
          <w:rFonts w:ascii="Arial" w:hAnsi="Arial" w:cs="Arial"/>
        </w:rPr>
        <w:t xml:space="preserve"> Ao festival pōwhiri and </w:t>
      </w:r>
      <w:r w:rsidR="00251826" w:rsidRPr="00D5126A">
        <w:rPr>
          <w:rFonts w:ascii="Arial" w:hAnsi="Arial" w:cs="Arial"/>
        </w:rPr>
        <w:t>activations</w:t>
      </w:r>
      <w:r w:rsidRPr="00D5126A">
        <w:rPr>
          <w:rFonts w:ascii="Arial" w:hAnsi="Arial" w:cs="Arial"/>
        </w:rPr>
        <w:t xml:space="preserve"> were held by Council to support the national kapa haka event at Westpac Stadium.  It was the first time Wellington had hosted the event in 20 years. We also installed haka-figurine pedestrian lanterns in sites along Jervois Quay, Cable Street and Lower Taranaki </w:t>
      </w:r>
      <w:r w:rsidR="00B202D5" w:rsidRPr="00D5126A">
        <w:rPr>
          <w:rFonts w:ascii="Arial" w:hAnsi="Arial" w:cs="Arial"/>
        </w:rPr>
        <w:t>Street -</w:t>
      </w:r>
      <w:r w:rsidRPr="00D5126A">
        <w:rPr>
          <w:rFonts w:ascii="Arial" w:hAnsi="Arial" w:cs="Arial"/>
        </w:rPr>
        <w:t xml:space="preserve"> recognising kapa haka as a Māori cultural expression.</w:t>
      </w:r>
    </w:p>
    <w:p w:rsidR="007D1D61" w:rsidRPr="00D5126A" w:rsidRDefault="007D1D61" w:rsidP="00961FC5">
      <w:pPr>
        <w:pStyle w:val="Heading5"/>
      </w:pPr>
      <w:r w:rsidRPr="00D5126A">
        <w:t>Te reo Māori revitalisation</w:t>
      </w:r>
    </w:p>
    <w:p w:rsidR="007D1D61" w:rsidRPr="00D5126A" w:rsidRDefault="007D1D61" w:rsidP="007D1D61">
      <w:pPr>
        <w:pStyle w:val="Para010"/>
        <w:numPr>
          <w:ilvl w:val="0"/>
          <w:numId w:val="0"/>
        </w:numPr>
        <w:spacing w:line="240" w:lineRule="auto"/>
        <w:rPr>
          <w:rFonts w:ascii="Arial" w:hAnsi="Arial" w:cs="Arial"/>
        </w:rPr>
      </w:pPr>
      <w:r w:rsidRPr="00D5126A">
        <w:rPr>
          <w:rFonts w:ascii="Arial" w:hAnsi="Arial" w:cs="Arial"/>
        </w:rPr>
        <w:t xml:space="preserve">In April, the Council signed a Memorandum of Understanding (Mahi Tahi) with Te Taura Whiri I </w:t>
      </w:r>
      <w:proofErr w:type="gramStart"/>
      <w:r w:rsidRPr="00D5126A">
        <w:rPr>
          <w:rFonts w:ascii="Arial" w:hAnsi="Arial" w:cs="Arial"/>
        </w:rPr>
        <w:t>te</w:t>
      </w:r>
      <w:proofErr w:type="gramEnd"/>
      <w:r w:rsidRPr="00D5126A">
        <w:rPr>
          <w:rFonts w:ascii="Arial" w:hAnsi="Arial" w:cs="Arial"/>
        </w:rPr>
        <w:t xml:space="preserve"> Reo Māori (The Māori Language Commission). As part of this Mahi Tahi, we will work together to ensure the revitalisation of </w:t>
      </w:r>
      <w:proofErr w:type="gramStart"/>
      <w:r w:rsidRPr="00D5126A">
        <w:rPr>
          <w:rFonts w:ascii="Arial" w:hAnsi="Arial" w:cs="Arial"/>
        </w:rPr>
        <w:t>te</w:t>
      </w:r>
      <w:proofErr w:type="gramEnd"/>
      <w:r w:rsidRPr="00D5126A">
        <w:rPr>
          <w:rFonts w:ascii="Arial" w:hAnsi="Arial" w:cs="Arial"/>
        </w:rPr>
        <w:t xml:space="preserve"> reo Māori in Wellington. This will include sharing resources, knowledge and working together on internal and public-facing projects.</w:t>
      </w:r>
    </w:p>
    <w:p w:rsidR="007D1D61" w:rsidRPr="00D5126A" w:rsidRDefault="007D1D61" w:rsidP="007D1D61">
      <w:pPr>
        <w:pStyle w:val="Para010"/>
        <w:numPr>
          <w:ilvl w:val="0"/>
          <w:numId w:val="0"/>
        </w:numPr>
        <w:spacing w:line="240" w:lineRule="auto"/>
        <w:rPr>
          <w:rFonts w:ascii="Arial" w:hAnsi="Arial" w:cs="Arial"/>
        </w:rPr>
      </w:pPr>
      <w:r w:rsidRPr="00D5126A">
        <w:rPr>
          <w:rFonts w:ascii="Arial" w:hAnsi="Arial" w:cs="Arial"/>
        </w:rPr>
        <w:t xml:space="preserve">The agreement formalised the working relationship that already existed between Council and Te Taura Whiri. We once again worked with them on the Te Wiki o </w:t>
      </w:r>
      <w:proofErr w:type="gramStart"/>
      <w:r w:rsidRPr="00D5126A">
        <w:rPr>
          <w:rFonts w:ascii="Arial" w:hAnsi="Arial" w:cs="Arial"/>
        </w:rPr>
        <w:t>te</w:t>
      </w:r>
      <w:proofErr w:type="gramEnd"/>
      <w:r w:rsidRPr="00D5126A">
        <w:rPr>
          <w:rFonts w:ascii="Arial" w:hAnsi="Arial" w:cs="Arial"/>
        </w:rPr>
        <w:t xml:space="preserve"> reo Māori street parade in September 2018</w:t>
      </w:r>
      <w:r w:rsidR="008D274B">
        <w:rPr>
          <w:rFonts w:ascii="Arial" w:hAnsi="Arial" w:cs="Arial"/>
        </w:rPr>
        <w:t>, which</w:t>
      </w:r>
      <w:r w:rsidRPr="00D5126A">
        <w:rPr>
          <w:rFonts w:ascii="Arial" w:hAnsi="Arial" w:cs="Arial"/>
        </w:rPr>
        <w:t xml:space="preserve"> was attended by about 5000 people.</w:t>
      </w:r>
    </w:p>
    <w:p w:rsidR="007D1D61" w:rsidRPr="00D5126A" w:rsidRDefault="007D1D61" w:rsidP="00961FC5">
      <w:pPr>
        <w:pStyle w:val="Heading5"/>
        <w:rPr>
          <w:rStyle w:val="00Text"/>
        </w:rPr>
      </w:pPr>
      <w:r w:rsidRPr="00D5126A">
        <w:rPr>
          <w:rStyle w:val="00Text"/>
        </w:rPr>
        <w:t>Te Tauihu</w:t>
      </w:r>
    </w:p>
    <w:p w:rsidR="007D1D61" w:rsidRPr="00D5126A" w:rsidRDefault="007D1D61" w:rsidP="007D1D61">
      <w:pPr>
        <w:rPr>
          <w:rFonts w:ascii="Arial" w:hAnsi="Arial" w:cs="Arial"/>
        </w:rPr>
      </w:pPr>
      <w:r w:rsidRPr="00D5126A">
        <w:rPr>
          <w:rFonts w:ascii="Arial" w:hAnsi="Arial" w:cs="Arial"/>
        </w:rPr>
        <w:t xml:space="preserve">After the adoption of our Te Tauihu </w:t>
      </w:r>
      <w:proofErr w:type="gramStart"/>
      <w:r w:rsidRPr="00D5126A">
        <w:rPr>
          <w:rFonts w:ascii="Arial" w:hAnsi="Arial" w:cs="Arial"/>
        </w:rPr>
        <w:t>te</w:t>
      </w:r>
      <w:proofErr w:type="gramEnd"/>
      <w:r w:rsidRPr="00D5126A">
        <w:rPr>
          <w:rFonts w:ascii="Arial" w:hAnsi="Arial" w:cs="Arial"/>
        </w:rPr>
        <w:t xml:space="preserve"> reo Māori policy in June 2018, this year we completed and publicised our </w:t>
      </w:r>
      <w:r w:rsidR="008D274B">
        <w:rPr>
          <w:rFonts w:ascii="Arial" w:hAnsi="Arial" w:cs="Arial"/>
        </w:rPr>
        <w:t>a</w:t>
      </w:r>
      <w:r w:rsidR="008D274B" w:rsidRPr="00D5126A">
        <w:rPr>
          <w:rFonts w:ascii="Arial" w:hAnsi="Arial" w:cs="Arial"/>
        </w:rPr>
        <w:t xml:space="preserve">ction </w:t>
      </w:r>
      <w:r w:rsidR="008D274B">
        <w:rPr>
          <w:rFonts w:ascii="Arial" w:hAnsi="Arial" w:cs="Arial"/>
        </w:rPr>
        <w:t>p</w:t>
      </w:r>
      <w:r w:rsidR="008D274B" w:rsidRPr="00D5126A">
        <w:rPr>
          <w:rFonts w:ascii="Arial" w:hAnsi="Arial" w:cs="Arial"/>
        </w:rPr>
        <w:t xml:space="preserve">lan </w:t>
      </w:r>
      <w:r w:rsidRPr="00D5126A">
        <w:rPr>
          <w:rFonts w:ascii="Arial" w:hAnsi="Arial" w:cs="Arial"/>
        </w:rPr>
        <w:t xml:space="preserve">for the policy. There has been significant positive interest in this policy from the media and Wellington public. There has also been increased interest in </w:t>
      </w:r>
      <w:proofErr w:type="gramStart"/>
      <w:r w:rsidRPr="00D5126A">
        <w:rPr>
          <w:rFonts w:ascii="Arial" w:hAnsi="Arial" w:cs="Arial"/>
        </w:rPr>
        <w:t>te</w:t>
      </w:r>
      <w:proofErr w:type="gramEnd"/>
      <w:r w:rsidRPr="00D5126A">
        <w:rPr>
          <w:rFonts w:ascii="Arial" w:hAnsi="Arial" w:cs="Arial"/>
        </w:rPr>
        <w:t xml:space="preserve"> reo </w:t>
      </w:r>
      <w:r w:rsidR="008D274B">
        <w:rPr>
          <w:rFonts w:ascii="Arial" w:hAnsi="Arial" w:cs="Arial"/>
        </w:rPr>
        <w:t xml:space="preserve">Māori </w:t>
      </w:r>
      <w:r w:rsidRPr="00D5126A">
        <w:rPr>
          <w:rFonts w:ascii="Arial" w:hAnsi="Arial" w:cs="Arial"/>
        </w:rPr>
        <w:t>planning</w:t>
      </w:r>
      <w:r w:rsidR="00530196" w:rsidRPr="00D5126A">
        <w:rPr>
          <w:rFonts w:ascii="Arial" w:hAnsi="Arial" w:cs="Arial"/>
        </w:rPr>
        <w:t xml:space="preserve"> and bi-cultural competency, </w:t>
      </w:r>
      <w:r w:rsidRPr="00D5126A">
        <w:rPr>
          <w:rFonts w:ascii="Arial" w:hAnsi="Arial" w:cs="Arial"/>
        </w:rPr>
        <w:t xml:space="preserve">within the organisation and external to </w:t>
      </w:r>
      <w:r w:rsidR="008D274B">
        <w:rPr>
          <w:rFonts w:ascii="Arial" w:hAnsi="Arial" w:cs="Arial"/>
        </w:rPr>
        <w:t>it</w:t>
      </w:r>
      <w:r w:rsidRPr="00D5126A">
        <w:rPr>
          <w:rFonts w:ascii="Arial" w:hAnsi="Arial" w:cs="Arial"/>
        </w:rPr>
        <w:t>. This has provided platforms for elected members and officers to present Te Tauihu and speak to its implementation.</w:t>
      </w:r>
    </w:p>
    <w:p w:rsidR="007D1D61" w:rsidRPr="00D5126A" w:rsidRDefault="007D1D61" w:rsidP="007D1D61">
      <w:pPr>
        <w:rPr>
          <w:rFonts w:ascii="Arial" w:hAnsi="Arial" w:cs="Arial"/>
        </w:rPr>
      </w:pPr>
      <w:r w:rsidRPr="00D5126A">
        <w:rPr>
          <w:rFonts w:ascii="Arial" w:hAnsi="Arial" w:cs="Arial"/>
        </w:rPr>
        <w:t xml:space="preserve">Iwi leaders have advised that due to capacity limitations we need to consider a new mechanism for iwi contribution to </w:t>
      </w:r>
      <w:r w:rsidR="008D274B" w:rsidRPr="00D5126A">
        <w:rPr>
          <w:rFonts w:ascii="Arial" w:hAnsi="Arial" w:cs="Arial"/>
        </w:rPr>
        <w:t>decision</w:t>
      </w:r>
      <w:r w:rsidR="008D274B">
        <w:rPr>
          <w:rFonts w:ascii="Arial" w:hAnsi="Arial" w:cs="Arial"/>
        </w:rPr>
        <w:t>-</w:t>
      </w:r>
      <w:r w:rsidRPr="00D5126A">
        <w:rPr>
          <w:rFonts w:ascii="Arial" w:hAnsi="Arial" w:cs="Arial"/>
        </w:rPr>
        <w:t>making and resource management obligations. </w:t>
      </w:r>
    </w:p>
    <w:p w:rsidR="007D1D61" w:rsidRPr="00D5126A" w:rsidRDefault="007D1D61" w:rsidP="00AA2122">
      <w:pPr>
        <w:pStyle w:val="Heading3"/>
        <w:sectPr w:rsidR="007D1D61" w:rsidRPr="00D5126A" w:rsidSect="00435AB2">
          <w:type w:val="continuous"/>
          <w:pgSz w:w="11906" w:h="16838"/>
          <w:pgMar w:top="1134" w:right="1416" w:bottom="1560" w:left="1418" w:header="709" w:footer="206" w:gutter="0"/>
          <w:cols w:space="708"/>
          <w:docGrid w:linePitch="360"/>
        </w:sectPr>
      </w:pPr>
      <w:bookmarkStart w:id="145" w:name="Governance_finances"/>
      <w:bookmarkStart w:id="146" w:name="_Toc11915641"/>
      <w:bookmarkStart w:id="147" w:name="_Toc13211839"/>
      <w:bookmarkStart w:id="148" w:name="_Toc14178542"/>
    </w:p>
    <w:p w:rsidR="007D1D61" w:rsidRPr="00D5126A" w:rsidRDefault="007D1D61" w:rsidP="000E2CB7">
      <w:pPr>
        <w:pStyle w:val="Heading3"/>
        <w:spacing w:before="120"/>
      </w:pPr>
      <w:bookmarkStart w:id="149" w:name="_Toc19085811"/>
      <w:r w:rsidRPr="00D5126A">
        <w:lastRenderedPageBreak/>
        <w:t>Governance finances</w:t>
      </w:r>
      <w:bookmarkEnd w:id="145"/>
      <w:bookmarkEnd w:id="146"/>
      <w:bookmarkEnd w:id="147"/>
      <w:bookmarkEnd w:id="148"/>
      <w:bookmarkEnd w:id="149"/>
    </w:p>
    <w:p w:rsidR="007D1D61" w:rsidRPr="00D5126A" w:rsidRDefault="007D1D61" w:rsidP="00961FC5">
      <w:pPr>
        <w:pStyle w:val="Heading5"/>
      </w:pPr>
      <w:bookmarkStart w:id="150" w:name="How_it_was_funded"/>
      <w:r w:rsidRPr="00D5126A">
        <w:t>How it was funded</w:t>
      </w:r>
      <w:bookmarkEnd w:id="150"/>
    </w:p>
    <w:p w:rsidR="007D1D61" w:rsidRPr="00D5126A" w:rsidRDefault="007D1D61" w:rsidP="000E2CB7">
      <w:pPr>
        <w:pStyle w:val="Para003"/>
        <w:spacing w:before="240" w:line="240" w:lineRule="auto"/>
        <w:rPr>
          <w:rFonts w:ascii="Arial" w:hAnsi="Arial" w:cs="Arial"/>
        </w:rPr>
      </w:pPr>
      <w:r w:rsidRPr="00D5126A">
        <w:rPr>
          <w:rFonts w:ascii="Arial" w:hAnsi="Arial" w:cs="Arial"/>
        </w:rPr>
        <w:t>Services in this activity area are mostly funded through general rates, with a small portion funded through fees and user charges for Civic Information and City Archives.</w:t>
      </w:r>
    </w:p>
    <w:p w:rsidR="007D1D61" w:rsidRPr="00D5126A" w:rsidRDefault="007D1D61" w:rsidP="000E2CB7">
      <w:pPr>
        <w:pStyle w:val="Para003"/>
        <w:spacing w:before="240" w:line="240" w:lineRule="auto"/>
        <w:rPr>
          <w:rFonts w:ascii="Arial" w:hAnsi="Arial" w:cs="Arial"/>
        </w:rPr>
      </w:pPr>
      <w:r w:rsidRPr="00D5126A">
        <w:rPr>
          <w:rFonts w:ascii="Arial" w:hAnsi="Arial" w:cs="Arial"/>
        </w:rPr>
        <w:t>Detaile</w:t>
      </w:r>
      <w:r w:rsidR="0025274D">
        <w:rPr>
          <w:rFonts w:ascii="Arial" w:hAnsi="Arial" w:cs="Arial"/>
        </w:rPr>
        <w:t xml:space="preserve">d information on funding </w:t>
      </w:r>
      <w:r w:rsidR="0025274D" w:rsidRPr="00E27622">
        <w:rPr>
          <w:rFonts w:ascii="Arial" w:hAnsi="Arial" w:cs="Arial"/>
        </w:rPr>
        <w:t xml:space="preserve">on pg </w:t>
      </w:r>
      <w:r w:rsidR="00E27622" w:rsidRPr="00E27622">
        <w:rPr>
          <w:rFonts w:ascii="Arial" w:hAnsi="Arial" w:cs="Arial"/>
        </w:rPr>
        <w:t>328</w:t>
      </w:r>
      <w:r w:rsidRPr="00D5126A">
        <w:rPr>
          <w:rFonts w:ascii="Arial" w:hAnsi="Arial" w:cs="Arial"/>
        </w:rPr>
        <w:t xml:space="preserve"> of </w:t>
      </w:r>
      <w:r w:rsidR="008D274B">
        <w:rPr>
          <w:rFonts w:ascii="Arial" w:hAnsi="Arial" w:cs="Arial"/>
        </w:rPr>
        <w:t xml:space="preserve">Section 5: </w:t>
      </w:r>
      <w:r w:rsidRPr="00D5126A">
        <w:rPr>
          <w:rFonts w:ascii="Arial" w:hAnsi="Arial" w:cs="Arial"/>
        </w:rPr>
        <w:t xml:space="preserve">Financial </w:t>
      </w:r>
      <w:r w:rsidR="008D274B">
        <w:rPr>
          <w:rFonts w:ascii="Arial" w:hAnsi="Arial" w:cs="Arial"/>
        </w:rPr>
        <w:t xml:space="preserve">Statements </w:t>
      </w:r>
      <w:r w:rsidRPr="00D5126A">
        <w:rPr>
          <w:rFonts w:ascii="Arial" w:hAnsi="Arial" w:cs="Arial"/>
        </w:rPr>
        <w:t>section.</w:t>
      </w:r>
    </w:p>
    <w:p w:rsidR="007D1D61" w:rsidRPr="00D5126A" w:rsidRDefault="007D1D61" w:rsidP="00846C1B">
      <w:pPr>
        <w:pStyle w:val="Heading4"/>
      </w:pPr>
      <w:bookmarkStart w:id="151" w:name="What_it_cost__operating_expenditure__000"/>
      <w:bookmarkStart w:id="152" w:name="Governance_performance"/>
      <w:bookmarkStart w:id="153" w:name="_Toc11915642"/>
      <w:bookmarkStart w:id="154" w:name="_Toc13211840"/>
      <w:bookmarkStart w:id="155" w:name="_Toc14178543"/>
      <w:r w:rsidRPr="00D5126A">
        <w:t>What it cost (operating expenditure $000)</w:t>
      </w:r>
      <w:bookmarkStart w:id="156" w:name="What_it_cost__capital_expenditure__000_"/>
      <w:bookmarkEnd w:id="151"/>
    </w:p>
    <w:tbl>
      <w:tblPr>
        <w:tblW w:w="14049" w:type="dxa"/>
        <w:tblInd w:w="93" w:type="dxa"/>
        <w:tblBorders>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6394"/>
        <w:gridCol w:w="1531"/>
        <w:gridCol w:w="1531"/>
        <w:gridCol w:w="1531"/>
        <w:gridCol w:w="1531"/>
        <w:gridCol w:w="1531"/>
      </w:tblGrid>
      <w:tr w:rsidR="00006279" w:rsidRPr="001244BB" w:rsidTr="009F7685">
        <w:trPr>
          <w:trHeight w:val="610"/>
        </w:trPr>
        <w:tc>
          <w:tcPr>
            <w:tcW w:w="6394" w:type="dxa"/>
            <w:tcBorders>
              <w:bottom w:val="nil"/>
            </w:tcBorders>
            <w:shd w:val="clear" w:color="auto" w:fill="0070C0"/>
            <w:noWrap/>
            <w:vAlign w:val="bottom"/>
            <w:hideMark/>
          </w:tcPr>
          <w:p w:rsidR="00006279" w:rsidRPr="00586E5D" w:rsidRDefault="00586E5D" w:rsidP="00586E5D">
            <w:pPr>
              <w:spacing w:after="0" w:line="240" w:lineRule="auto"/>
              <w:rPr>
                <w:rFonts w:ascii="Arial" w:eastAsia="Times New Roman" w:hAnsi="Arial" w:cs="Arial"/>
                <w:b/>
                <w:color w:val="FFFFFF" w:themeColor="background1"/>
                <w:szCs w:val="24"/>
                <w:lang w:eastAsia="en-NZ"/>
              </w:rPr>
            </w:pPr>
            <w:r w:rsidRPr="00586E5D">
              <w:rPr>
                <w:rFonts w:ascii="Arial" w:eastAsia="Times New Roman" w:hAnsi="Arial" w:cs="Arial"/>
                <w:b/>
                <w:color w:val="FFFFFF" w:themeColor="background1"/>
                <w:szCs w:val="24"/>
                <w:lang w:eastAsia="en-NZ"/>
              </w:rPr>
              <w:t>Governance</w:t>
            </w:r>
          </w:p>
        </w:tc>
        <w:tc>
          <w:tcPr>
            <w:tcW w:w="1531" w:type="dxa"/>
            <w:tcBorders>
              <w:bottom w:val="nil"/>
            </w:tcBorders>
            <w:shd w:val="clear" w:color="auto" w:fill="0070C0"/>
            <w:vAlign w:val="bottom"/>
            <w:hideMark/>
          </w:tcPr>
          <w:p w:rsidR="00006279" w:rsidRPr="00586E5D" w:rsidRDefault="00006279" w:rsidP="009F7685">
            <w:pPr>
              <w:spacing w:before="60" w:after="0" w:line="240" w:lineRule="auto"/>
              <w:jc w:val="center"/>
              <w:rPr>
                <w:rFonts w:ascii="Arial" w:eastAsia="Times New Roman" w:hAnsi="Arial" w:cs="Arial"/>
                <w:b/>
                <w:bCs/>
                <w:color w:val="FFFFFF" w:themeColor="background1"/>
                <w:szCs w:val="18"/>
                <w:lang w:eastAsia="en-NZ"/>
              </w:rPr>
            </w:pPr>
            <w:r w:rsidRPr="00586E5D">
              <w:rPr>
                <w:rFonts w:ascii="Arial" w:eastAsia="Times New Roman" w:hAnsi="Arial" w:cs="Arial"/>
                <w:b/>
                <w:bCs/>
                <w:color w:val="FFFFFF" w:themeColor="background1"/>
                <w:szCs w:val="18"/>
                <w:lang w:eastAsia="en-NZ"/>
              </w:rPr>
              <w:t xml:space="preserve">2016/17 </w:t>
            </w:r>
            <w:r w:rsidRPr="00586E5D">
              <w:rPr>
                <w:rFonts w:ascii="Arial" w:eastAsia="Times New Roman" w:hAnsi="Arial" w:cs="Arial"/>
                <w:b/>
                <w:bCs/>
                <w:color w:val="FFFFFF" w:themeColor="background1"/>
                <w:szCs w:val="18"/>
                <w:lang w:eastAsia="en-NZ"/>
              </w:rPr>
              <w:br/>
              <w:t xml:space="preserve">Actual </w:t>
            </w:r>
          </w:p>
        </w:tc>
        <w:tc>
          <w:tcPr>
            <w:tcW w:w="1531" w:type="dxa"/>
            <w:tcBorders>
              <w:bottom w:val="nil"/>
            </w:tcBorders>
            <w:shd w:val="clear" w:color="auto" w:fill="0070C0"/>
            <w:vAlign w:val="bottom"/>
            <w:hideMark/>
          </w:tcPr>
          <w:p w:rsidR="00006279" w:rsidRPr="00586E5D" w:rsidRDefault="00006279" w:rsidP="009F7685">
            <w:pPr>
              <w:spacing w:before="60" w:after="0" w:line="240" w:lineRule="auto"/>
              <w:jc w:val="center"/>
              <w:rPr>
                <w:rFonts w:ascii="Arial" w:eastAsia="Times New Roman" w:hAnsi="Arial" w:cs="Arial"/>
                <w:b/>
                <w:bCs/>
                <w:color w:val="FFFFFF" w:themeColor="background1"/>
                <w:szCs w:val="18"/>
                <w:lang w:eastAsia="en-NZ"/>
              </w:rPr>
            </w:pPr>
            <w:r w:rsidRPr="00586E5D">
              <w:rPr>
                <w:rFonts w:ascii="Arial" w:eastAsia="Times New Roman" w:hAnsi="Arial" w:cs="Arial"/>
                <w:b/>
                <w:bCs/>
                <w:color w:val="FFFFFF" w:themeColor="background1"/>
                <w:szCs w:val="18"/>
                <w:lang w:eastAsia="en-NZ"/>
              </w:rPr>
              <w:t xml:space="preserve">2017/18 </w:t>
            </w:r>
            <w:r w:rsidRPr="00586E5D">
              <w:rPr>
                <w:rFonts w:ascii="Arial" w:eastAsia="Times New Roman" w:hAnsi="Arial" w:cs="Arial"/>
                <w:b/>
                <w:bCs/>
                <w:color w:val="FFFFFF" w:themeColor="background1"/>
                <w:szCs w:val="18"/>
                <w:lang w:eastAsia="en-NZ"/>
              </w:rPr>
              <w:br/>
              <w:t xml:space="preserve">Actual </w:t>
            </w:r>
          </w:p>
        </w:tc>
        <w:tc>
          <w:tcPr>
            <w:tcW w:w="1531" w:type="dxa"/>
            <w:tcBorders>
              <w:bottom w:val="nil"/>
            </w:tcBorders>
            <w:shd w:val="clear" w:color="auto" w:fill="0070C0"/>
            <w:vAlign w:val="bottom"/>
            <w:hideMark/>
          </w:tcPr>
          <w:p w:rsidR="00006279" w:rsidRPr="00586E5D" w:rsidRDefault="00006279" w:rsidP="009F7685">
            <w:pPr>
              <w:spacing w:before="60" w:after="0" w:line="240" w:lineRule="auto"/>
              <w:jc w:val="center"/>
              <w:rPr>
                <w:rFonts w:ascii="Arial" w:eastAsia="Times New Roman" w:hAnsi="Arial" w:cs="Arial"/>
                <w:b/>
                <w:bCs/>
                <w:color w:val="FFFFFF" w:themeColor="background1"/>
                <w:szCs w:val="18"/>
                <w:lang w:eastAsia="en-NZ"/>
              </w:rPr>
            </w:pPr>
            <w:r w:rsidRPr="00586E5D">
              <w:rPr>
                <w:rFonts w:ascii="Arial" w:eastAsia="Times New Roman" w:hAnsi="Arial" w:cs="Arial"/>
                <w:b/>
                <w:bCs/>
                <w:color w:val="FFFFFF" w:themeColor="background1"/>
                <w:szCs w:val="18"/>
                <w:lang w:eastAsia="en-NZ"/>
              </w:rPr>
              <w:t xml:space="preserve">2018/19 </w:t>
            </w:r>
            <w:r w:rsidRPr="00586E5D">
              <w:rPr>
                <w:rFonts w:ascii="Arial" w:eastAsia="Times New Roman" w:hAnsi="Arial" w:cs="Arial"/>
                <w:b/>
                <w:bCs/>
                <w:color w:val="FFFFFF" w:themeColor="background1"/>
                <w:szCs w:val="18"/>
                <w:lang w:eastAsia="en-NZ"/>
              </w:rPr>
              <w:br/>
              <w:t xml:space="preserve">Actual </w:t>
            </w:r>
          </w:p>
        </w:tc>
        <w:tc>
          <w:tcPr>
            <w:tcW w:w="1531" w:type="dxa"/>
            <w:tcBorders>
              <w:bottom w:val="nil"/>
            </w:tcBorders>
            <w:shd w:val="clear" w:color="auto" w:fill="0070C0"/>
            <w:vAlign w:val="bottom"/>
            <w:hideMark/>
          </w:tcPr>
          <w:p w:rsidR="00006279" w:rsidRPr="00586E5D" w:rsidRDefault="009F7685" w:rsidP="00546A26">
            <w:pPr>
              <w:spacing w:before="60" w:after="0" w:line="240" w:lineRule="auto"/>
              <w:jc w:val="center"/>
              <w:rPr>
                <w:rFonts w:ascii="Arial" w:eastAsia="Times New Roman" w:hAnsi="Arial" w:cs="Arial"/>
                <w:b/>
                <w:bCs/>
                <w:color w:val="FFFFFF" w:themeColor="background1"/>
                <w:szCs w:val="18"/>
                <w:lang w:eastAsia="en-NZ"/>
              </w:rPr>
            </w:pPr>
            <w:r w:rsidRPr="00586E5D">
              <w:rPr>
                <w:rFonts w:ascii="Arial" w:eastAsia="Times New Roman" w:hAnsi="Arial" w:cs="Arial"/>
                <w:b/>
                <w:bCs/>
                <w:color w:val="FFFFFF" w:themeColor="background1"/>
                <w:szCs w:val="18"/>
                <w:lang w:eastAsia="en-NZ"/>
              </w:rPr>
              <w:t xml:space="preserve">2018/19 </w:t>
            </w:r>
            <w:r w:rsidR="00006279" w:rsidRPr="00586E5D">
              <w:rPr>
                <w:rFonts w:ascii="Arial" w:eastAsia="Times New Roman" w:hAnsi="Arial" w:cs="Arial"/>
                <w:b/>
                <w:bCs/>
                <w:color w:val="FFFFFF" w:themeColor="background1"/>
                <w:szCs w:val="18"/>
                <w:lang w:eastAsia="en-NZ"/>
              </w:rPr>
              <w:t>Budget</w:t>
            </w:r>
          </w:p>
        </w:tc>
        <w:tc>
          <w:tcPr>
            <w:tcW w:w="1531" w:type="dxa"/>
            <w:tcBorders>
              <w:bottom w:val="nil"/>
            </w:tcBorders>
            <w:shd w:val="clear" w:color="auto" w:fill="0070C0"/>
            <w:vAlign w:val="bottom"/>
            <w:hideMark/>
          </w:tcPr>
          <w:p w:rsidR="00006279" w:rsidRPr="00586E5D" w:rsidRDefault="009F7685" w:rsidP="009F7685">
            <w:pPr>
              <w:spacing w:before="60" w:after="0" w:line="240" w:lineRule="auto"/>
              <w:jc w:val="center"/>
              <w:rPr>
                <w:rFonts w:ascii="Arial" w:eastAsia="Times New Roman" w:hAnsi="Arial" w:cs="Arial"/>
                <w:b/>
                <w:bCs/>
                <w:color w:val="FFFFFF" w:themeColor="background1"/>
                <w:szCs w:val="18"/>
                <w:lang w:eastAsia="en-NZ"/>
              </w:rPr>
            </w:pPr>
            <w:r w:rsidRPr="00586E5D">
              <w:rPr>
                <w:rFonts w:ascii="Arial" w:eastAsia="Times New Roman" w:hAnsi="Arial" w:cs="Arial"/>
                <w:b/>
                <w:bCs/>
                <w:color w:val="FFFFFF" w:themeColor="background1"/>
                <w:szCs w:val="18"/>
                <w:lang w:eastAsia="en-NZ"/>
              </w:rPr>
              <w:t xml:space="preserve">2018/19 </w:t>
            </w:r>
            <w:r w:rsidR="00006279" w:rsidRPr="00586E5D">
              <w:rPr>
                <w:rFonts w:ascii="Arial" w:eastAsia="Times New Roman" w:hAnsi="Arial" w:cs="Arial"/>
                <w:b/>
                <w:bCs/>
                <w:color w:val="FFFFFF" w:themeColor="background1"/>
                <w:szCs w:val="18"/>
                <w:lang w:eastAsia="en-NZ"/>
              </w:rPr>
              <w:t>Variance</w:t>
            </w:r>
          </w:p>
        </w:tc>
      </w:tr>
      <w:tr w:rsidR="00006279" w:rsidRPr="001244BB" w:rsidTr="00586E5D">
        <w:trPr>
          <w:trHeight w:val="315"/>
        </w:trPr>
        <w:tc>
          <w:tcPr>
            <w:tcW w:w="14049" w:type="dxa"/>
            <w:gridSpan w:val="6"/>
            <w:tcBorders>
              <w:top w:val="nil"/>
              <w:bottom w:val="nil"/>
            </w:tcBorders>
            <w:shd w:val="clear" w:color="auto" w:fill="B8CCE4" w:themeFill="accent1" w:themeFillTint="66"/>
            <w:noWrap/>
            <w:vAlign w:val="bottom"/>
            <w:hideMark/>
          </w:tcPr>
          <w:p w:rsidR="00006279" w:rsidRPr="001244BB" w:rsidRDefault="00006279" w:rsidP="0035318B">
            <w:pPr>
              <w:spacing w:after="0" w:line="240" w:lineRule="auto"/>
              <w:rPr>
                <w:rFonts w:ascii="Arial" w:eastAsia="Times New Roman" w:hAnsi="Arial" w:cs="Arial"/>
                <w:b/>
                <w:bCs/>
                <w:color w:val="000000"/>
                <w:sz w:val="20"/>
                <w:lang w:eastAsia="en-NZ"/>
              </w:rPr>
            </w:pPr>
            <w:r w:rsidRPr="001244BB">
              <w:rPr>
                <w:rFonts w:ascii="Arial" w:eastAsia="Times New Roman" w:hAnsi="Arial" w:cs="Arial"/>
                <w:b/>
                <w:bCs/>
                <w:color w:val="000000"/>
                <w:sz w:val="20"/>
                <w:lang w:eastAsia="en-NZ"/>
              </w:rPr>
              <w:t>1.1 Governance, information and engagement </w:t>
            </w:r>
          </w:p>
        </w:tc>
      </w:tr>
      <w:tr w:rsidR="00006279" w:rsidRPr="001244BB" w:rsidTr="00586E5D">
        <w:trPr>
          <w:trHeight w:val="300"/>
        </w:trPr>
        <w:tc>
          <w:tcPr>
            <w:tcW w:w="6394" w:type="dxa"/>
            <w:tcBorders>
              <w:top w:val="nil"/>
              <w:bottom w:val="single" w:sz="4" w:space="0" w:color="00B0F0"/>
              <w:right w:val="single" w:sz="4" w:space="0" w:color="00B0F0"/>
            </w:tcBorders>
            <w:shd w:val="clear" w:color="auto" w:fill="auto"/>
            <w:noWrap/>
            <w:hideMark/>
          </w:tcPr>
          <w:p w:rsidR="00006279" w:rsidRPr="001244BB" w:rsidRDefault="00006279" w:rsidP="0035318B">
            <w:pPr>
              <w:spacing w:after="0" w:line="240" w:lineRule="auto"/>
              <w:rPr>
                <w:rFonts w:ascii="Arial" w:eastAsia="Times New Roman" w:hAnsi="Arial" w:cs="Arial"/>
                <w:color w:val="000000"/>
                <w:sz w:val="20"/>
                <w:lang w:eastAsia="en-NZ"/>
              </w:rPr>
            </w:pPr>
            <w:r w:rsidRPr="001244BB">
              <w:rPr>
                <w:rFonts w:ascii="Arial" w:eastAsia="Times New Roman" w:hAnsi="Arial" w:cs="Arial"/>
                <w:color w:val="000000"/>
                <w:sz w:val="20"/>
                <w:lang w:eastAsia="en-NZ"/>
              </w:rPr>
              <w:t>Expenditure</w:t>
            </w:r>
          </w:p>
        </w:tc>
        <w:tc>
          <w:tcPr>
            <w:tcW w:w="1531" w:type="dxa"/>
            <w:tcBorders>
              <w:top w:val="nil"/>
              <w:left w:val="single" w:sz="4" w:space="0" w:color="00B0F0"/>
              <w:bottom w:val="single" w:sz="4" w:space="0" w:color="00B0F0"/>
              <w:right w:val="single" w:sz="4" w:space="0" w:color="00B0F0"/>
            </w:tcBorders>
            <w:shd w:val="clear" w:color="auto" w:fill="auto"/>
            <w:noWrap/>
            <w:hideMark/>
          </w:tcPr>
          <w:p w:rsidR="00006279" w:rsidRPr="001244BB" w:rsidRDefault="00006279" w:rsidP="0035318B">
            <w:pPr>
              <w:spacing w:after="0" w:line="240" w:lineRule="auto"/>
              <w:jc w:val="right"/>
              <w:rPr>
                <w:rFonts w:ascii="Arial" w:eastAsia="Times New Roman" w:hAnsi="Arial" w:cs="Arial"/>
                <w:color w:val="000000"/>
                <w:sz w:val="20"/>
                <w:lang w:eastAsia="en-NZ"/>
              </w:rPr>
            </w:pPr>
            <w:r w:rsidRPr="001244BB">
              <w:rPr>
                <w:rFonts w:ascii="Arial" w:eastAsia="Times New Roman" w:hAnsi="Arial" w:cs="Arial"/>
                <w:color w:val="000000"/>
                <w:sz w:val="20"/>
                <w:lang w:eastAsia="en-NZ"/>
              </w:rPr>
              <w:t>16,877</w:t>
            </w:r>
          </w:p>
        </w:tc>
        <w:tc>
          <w:tcPr>
            <w:tcW w:w="1531" w:type="dxa"/>
            <w:tcBorders>
              <w:top w:val="nil"/>
              <w:left w:val="single" w:sz="4" w:space="0" w:color="00B0F0"/>
              <w:bottom w:val="single" w:sz="4" w:space="0" w:color="00B0F0"/>
              <w:right w:val="single" w:sz="4" w:space="0" w:color="00B0F0"/>
            </w:tcBorders>
            <w:shd w:val="clear" w:color="auto" w:fill="auto"/>
            <w:noWrap/>
            <w:hideMark/>
          </w:tcPr>
          <w:p w:rsidR="00006279" w:rsidRPr="001244BB" w:rsidRDefault="00006279" w:rsidP="00C30FFB">
            <w:pPr>
              <w:spacing w:after="0" w:line="240" w:lineRule="auto"/>
              <w:jc w:val="right"/>
              <w:rPr>
                <w:rFonts w:ascii="Arial" w:eastAsia="Times New Roman" w:hAnsi="Arial" w:cs="Arial"/>
                <w:color w:val="000000"/>
                <w:sz w:val="20"/>
                <w:lang w:eastAsia="en-NZ"/>
              </w:rPr>
            </w:pPr>
            <w:r w:rsidRPr="001244BB">
              <w:rPr>
                <w:rFonts w:ascii="Arial" w:eastAsia="Times New Roman" w:hAnsi="Arial" w:cs="Arial"/>
                <w:color w:val="000000"/>
                <w:sz w:val="20"/>
                <w:lang w:eastAsia="en-NZ"/>
              </w:rPr>
              <w:t>17,</w:t>
            </w:r>
            <w:r w:rsidR="00C30FFB" w:rsidRPr="001244BB">
              <w:rPr>
                <w:rFonts w:ascii="Arial" w:eastAsia="Times New Roman" w:hAnsi="Arial" w:cs="Arial"/>
                <w:color w:val="000000"/>
                <w:sz w:val="20"/>
                <w:lang w:eastAsia="en-NZ"/>
              </w:rPr>
              <w:t>21</w:t>
            </w:r>
            <w:r w:rsidR="00C30FFB">
              <w:rPr>
                <w:rFonts w:ascii="Arial" w:eastAsia="Times New Roman" w:hAnsi="Arial" w:cs="Arial"/>
                <w:color w:val="000000"/>
                <w:sz w:val="20"/>
                <w:lang w:eastAsia="en-NZ"/>
              </w:rPr>
              <w:t>4</w:t>
            </w:r>
          </w:p>
        </w:tc>
        <w:tc>
          <w:tcPr>
            <w:tcW w:w="1531" w:type="dxa"/>
            <w:tcBorders>
              <w:top w:val="nil"/>
              <w:left w:val="single" w:sz="4" w:space="0" w:color="00B0F0"/>
              <w:bottom w:val="single" w:sz="4" w:space="0" w:color="00B0F0"/>
              <w:right w:val="single" w:sz="4" w:space="0" w:color="00B0F0"/>
            </w:tcBorders>
            <w:shd w:val="clear" w:color="000000" w:fill="E8E8E8"/>
            <w:noWrap/>
            <w:hideMark/>
          </w:tcPr>
          <w:p w:rsidR="00006279" w:rsidRPr="001244BB" w:rsidRDefault="00006279" w:rsidP="0035318B">
            <w:pPr>
              <w:spacing w:after="0" w:line="240" w:lineRule="auto"/>
              <w:jc w:val="right"/>
              <w:rPr>
                <w:rFonts w:ascii="Arial" w:eastAsia="Times New Roman" w:hAnsi="Arial" w:cs="Arial"/>
                <w:color w:val="000000"/>
                <w:sz w:val="20"/>
                <w:lang w:eastAsia="en-NZ"/>
              </w:rPr>
            </w:pPr>
            <w:r w:rsidRPr="001244BB">
              <w:rPr>
                <w:rFonts w:ascii="Arial" w:eastAsia="Times New Roman" w:hAnsi="Arial" w:cs="Arial"/>
                <w:color w:val="000000"/>
                <w:sz w:val="20"/>
                <w:lang w:eastAsia="en-NZ"/>
              </w:rPr>
              <w:t>17,621</w:t>
            </w:r>
          </w:p>
        </w:tc>
        <w:tc>
          <w:tcPr>
            <w:tcW w:w="1531" w:type="dxa"/>
            <w:tcBorders>
              <w:top w:val="nil"/>
              <w:left w:val="single" w:sz="4" w:space="0" w:color="00B0F0"/>
              <w:bottom w:val="single" w:sz="4" w:space="0" w:color="00B0F0"/>
              <w:right w:val="single" w:sz="4" w:space="0" w:color="00B0F0"/>
            </w:tcBorders>
            <w:shd w:val="clear" w:color="000000" w:fill="E8E8E8"/>
            <w:noWrap/>
            <w:hideMark/>
          </w:tcPr>
          <w:p w:rsidR="00006279" w:rsidRPr="001244BB" w:rsidRDefault="00006279" w:rsidP="0035318B">
            <w:pPr>
              <w:spacing w:after="0" w:line="240" w:lineRule="auto"/>
              <w:jc w:val="right"/>
              <w:rPr>
                <w:rFonts w:ascii="Arial" w:eastAsia="Times New Roman" w:hAnsi="Arial" w:cs="Arial"/>
                <w:color w:val="000000"/>
                <w:sz w:val="20"/>
                <w:lang w:eastAsia="en-NZ"/>
              </w:rPr>
            </w:pPr>
            <w:r w:rsidRPr="001244BB">
              <w:rPr>
                <w:rFonts w:ascii="Arial" w:eastAsia="Times New Roman" w:hAnsi="Arial" w:cs="Arial"/>
                <w:color w:val="000000"/>
                <w:sz w:val="20"/>
                <w:lang w:eastAsia="en-NZ"/>
              </w:rPr>
              <w:t>17,744</w:t>
            </w:r>
          </w:p>
        </w:tc>
        <w:tc>
          <w:tcPr>
            <w:tcW w:w="1531" w:type="dxa"/>
            <w:tcBorders>
              <w:top w:val="nil"/>
              <w:left w:val="single" w:sz="4" w:space="0" w:color="00B0F0"/>
              <w:bottom w:val="single" w:sz="4" w:space="0" w:color="00B0F0"/>
            </w:tcBorders>
            <w:shd w:val="clear" w:color="000000" w:fill="E8E8E8"/>
            <w:noWrap/>
            <w:hideMark/>
          </w:tcPr>
          <w:p w:rsidR="00006279" w:rsidRPr="001244BB" w:rsidRDefault="00006279" w:rsidP="0035318B">
            <w:pPr>
              <w:spacing w:after="0" w:line="240" w:lineRule="auto"/>
              <w:jc w:val="right"/>
              <w:rPr>
                <w:rFonts w:ascii="Arial" w:eastAsia="Times New Roman" w:hAnsi="Arial" w:cs="Arial"/>
                <w:color w:val="000000"/>
                <w:sz w:val="20"/>
                <w:lang w:eastAsia="en-NZ"/>
              </w:rPr>
            </w:pPr>
            <w:r w:rsidRPr="001244BB">
              <w:rPr>
                <w:rFonts w:ascii="Arial" w:eastAsia="Times New Roman" w:hAnsi="Arial" w:cs="Arial"/>
                <w:color w:val="000000"/>
                <w:sz w:val="20"/>
                <w:lang w:eastAsia="en-NZ"/>
              </w:rPr>
              <w:t>124</w:t>
            </w:r>
          </w:p>
        </w:tc>
      </w:tr>
      <w:tr w:rsidR="00006279" w:rsidRPr="001244BB" w:rsidTr="00586E5D">
        <w:trPr>
          <w:trHeight w:val="300"/>
        </w:trPr>
        <w:tc>
          <w:tcPr>
            <w:tcW w:w="6394" w:type="dxa"/>
            <w:tcBorders>
              <w:top w:val="single" w:sz="4" w:space="0" w:color="00B0F0"/>
              <w:bottom w:val="single" w:sz="4" w:space="0" w:color="00B0F0"/>
              <w:right w:val="single" w:sz="4" w:space="0" w:color="00B0F0"/>
            </w:tcBorders>
            <w:shd w:val="clear" w:color="auto" w:fill="auto"/>
            <w:noWrap/>
            <w:hideMark/>
          </w:tcPr>
          <w:p w:rsidR="00006279" w:rsidRPr="001244BB" w:rsidRDefault="00006279" w:rsidP="0035318B">
            <w:pPr>
              <w:spacing w:after="0" w:line="240" w:lineRule="auto"/>
              <w:rPr>
                <w:rFonts w:ascii="Arial" w:eastAsia="Times New Roman" w:hAnsi="Arial" w:cs="Arial"/>
                <w:color w:val="000000"/>
                <w:sz w:val="20"/>
                <w:lang w:eastAsia="en-NZ"/>
              </w:rPr>
            </w:pPr>
            <w:r w:rsidRPr="001244BB">
              <w:rPr>
                <w:rFonts w:ascii="Arial" w:eastAsia="Times New Roman" w:hAnsi="Arial" w:cs="Arial"/>
                <w:color w:val="000000"/>
                <w:sz w:val="20"/>
                <w:lang w:eastAsia="en-NZ"/>
              </w:rPr>
              <w:t>Revenue</w:t>
            </w:r>
          </w:p>
        </w:tc>
        <w:tc>
          <w:tcPr>
            <w:tcW w:w="1531" w:type="dxa"/>
            <w:tcBorders>
              <w:top w:val="single" w:sz="4" w:space="0" w:color="00B0F0"/>
              <w:left w:val="single" w:sz="4" w:space="0" w:color="00B0F0"/>
              <w:bottom w:val="single" w:sz="4" w:space="0" w:color="00B0F0"/>
              <w:right w:val="single" w:sz="4" w:space="0" w:color="00B0F0"/>
            </w:tcBorders>
            <w:shd w:val="clear" w:color="auto" w:fill="auto"/>
            <w:noWrap/>
            <w:hideMark/>
          </w:tcPr>
          <w:p w:rsidR="00006279" w:rsidRPr="001244BB" w:rsidRDefault="00006279" w:rsidP="0035318B">
            <w:pPr>
              <w:spacing w:after="0" w:line="240" w:lineRule="auto"/>
              <w:jc w:val="right"/>
              <w:rPr>
                <w:rFonts w:ascii="Arial" w:eastAsia="Times New Roman" w:hAnsi="Arial" w:cs="Arial"/>
                <w:color w:val="000000"/>
                <w:sz w:val="20"/>
                <w:lang w:eastAsia="en-NZ"/>
              </w:rPr>
            </w:pPr>
            <w:r w:rsidRPr="001244BB">
              <w:rPr>
                <w:rFonts w:ascii="Arial" w:eastAsia="Times New Roman" w:hAnsi="Arial" w:cs="Arial"/>
                <w:color w:val="000000"/>
                <w:sz w:val="20"/>
                <w:lang w:eastAsia="en-NZ"/>
              </w:rPr>
              <w:t>(1,005)</w:t>
            </w:r>
          </w:p>
        </w:tc>
        <w:tc>
          <w:tcPr>
            <w:tcW w:w="1531" w:type="dxa"/>
            <w:tcBorders>
              <w:top w:val="single" w:sz="4" w:space="0" w:color="00B0F0"/>
              <w:left w:val="single" w:sz="4" w:space="0" w:color="00B0F0"/>
              <w:bottom w:val="single" w:sz="4" w:space="0" w:color="00B0F0"/>
              <w:right w:val="single" w:sz="4" w:space="0" w:color="00B0F0"/>
            </w:tcBorders>
            <w:shd w:val="clear" w:color="auto" w:fill="auto"/>
            <w:noWrap/>
            <w:hideMark/>
          </w:tcPr>
          <w:p w:rsidR="00006279" w:rsidRPr="001244BB" w:rsidRDefault="00006279" w:rsidP="00C30FFB">
            <w:pPr>
              <w:spacing w:after="0" w:line="240" w:lineRule="auto"/>
              <w:jc w:val="right"/>
              <w:rPr>
                <w:rFonts w:ascii="Arial" w:eastAsia="Times New Roman" w:hAnsi="Arial" w:cs="Arial"/>
                <w:color w:val="000000"/>
                <w:sz w:val="20"/>
                <w:lang w:eastAsia="en-NZ"/>
              </w:rPr>
            </w:pPr>
            <w:r w:rsidRPr="001244BB">
              <w:rPr>
                <w:rFonts w:ascii="Arial" w:eastAsia="Times New Roman" w:hAnsi="Arial" w:cs="Arial"/>
                <w:color w:val="000000"/>
                <w:sz w:val="20"/>
                <w:lang w:eastAsia="en-NZ"/>
              </w:rPr>
              <w:t>(</w:t>
            </w:r>
            <w:r w:rsidR="00C30FFB" w:rsidRPr="001244BB">
              <w:rPr>
                <w:rFonts w:ascii="Arial" w:eastAsia="Times New Roman" w:hAnsi="Arial" w:cs="Arial"/>
                <w:color w:val="000000"/>
                <w:sz w:val="20"/>
                <w:lang w:eastAsia="en-NZ"/>
              </w:rPr>
              <w:t>49</w:t>
            </w:r>
            <w:r w:rsidR="00C30FFB">
              <w:rPr>
                <w:rFonts w:ascii="Arial" w:eastAsia="Times New Roman" w:hAnsi="Arial" w:cs="Arial"/>
                <w:color w:val="000000"/>
                <w:sz w:val="20"/>
                <w:lang w:eastAsia="en-NZ"/>
              </w:rPr>
              <w:t>8</w:t>
            </w:r>
            <w:r w:rsidRPr="001244BB">
              <w:rPr>
                <w:rFonts w:ascii="Arial" w:eastAsia="Times New Roman" w:hAnsi="Arial" w:cs="Arial"/>
                <w:color w:val="000000"/>
                <w:sz w:val="20"/>
                <w:lang w:eastAsia="en-NZ"/>
              </w:rPr>
              <w:t>)</w:t>
            </w:r>
          </w:p>
        </w:tc>
        <w:tc>
          <w:tcPr>
            <w:tcW w:w="1531" w:type="dxa"/>
            <w:tcBorders>
              <w:top w:val="single" w:sz="4" w:space="0" w:color="00B0F0"/>
              <w:left w:val="single" w:sz="4" w:space="0" w:color="00B0F0"/>
              <w:bottom w:val="single" w:sz="4" w:space="0" w:color="00B0F0"/>
              <w:right w:val="single" w:sz="4" w:space="0" w:color="00B0F0"/>
            </w:tcBorders>
            <w:shd w:val="clear" w:color="000000" w:fill="E8E8E8"/>
            <w:noWrap/>
            <w:hideMark/>
          </w:tcPr>
          <w:p w:rsidR="00006279" w:rsidRPr="001244BB" w:rsidRDefault="00006279" w:rsidP="0035318B">
            <w:pPr>
              <w:spacing w:after="0" w:line="240" w:lineRule="auto"/>
              <w:jc w:val="right"/>
              <w:rPr>
                <w:rFonts w:ascii="Arial" w:eastAsia="Times New Roman" w:hAnsi="Arial" w:cs="Arial"/>
                <w:color w:val="000000"/>
                <w:sz w:val="20"/>
                <w:lang w:eastAsia="en-NZ"/>
              </w:rPr>
            </w:pPr>
            <w:r w:rsidRPr="001244BB">
              <w:rPr>
                <w:rFonts w:ascii="Arial" w:eastAsia="Times New Roman" w:hAnsi="Arial" w:cs="Arial"/>
                <w:color w:val="000000"/>
                <w:sz w:val="20"/>
                <w:lang w:eastAsia="en-NZ"/>
              </w:rPr>
              <w:t>(511)</w:t>
            </w:r>
          </w:p>
        </w:tc>
        <w:tc>
          <w:tcPr>
            <w:tcW w:w="1531" w:type="dxa"/>
            <w:tcBorders>
              <w:top w:val="single" w:sz="4" w:space="0" w:color="00B0F0"/>
              <w:left w:val="single" w:sz="4" w:space="0" w:color="00B0F0"/>
              <w:bottom w:val="single" w:sz="4" w:space="0" w:color="00B0F0"/>
              <w:right w:val="single" w:sz="4" w:space="0" w:color="00B0F0"/>
            </w:tcBorders>
            <w:shd w:val="clear" w:color="000000" w:fill="E8E8E8"/>
            <w:noWrap/>
            <w:hideMark/>
          </w:tcPr>
          <w:p w:rsidR="00006279" w:rsidRPr="001244BB" w:rsidRDefault="00006279" w:rsidP="0035318B">
            <w:pPr>
              <w:spacing w:after="0" w:line="240" w:lineRule="auto"/>
              <w:jc w:val="right"/>
              <w:rPr>
                <w:rFonts w:ascii="Arial" w:eastAsia="Times New Roman" w:hAnsi="Arial" w:cs="Arial"/>
                <w:color w:val="000000"/>
                <w:sz w:val="20"/>
                <w:lang w:eastAsia="en-NZ"/>
              </w:rPr>
            </w:pPr>
            <w:r w:rsidRPr="001244BB">
              <w:rPr>
                <w:rFonts w:ascii="Arial" w:eastAsia="Times New Roman" w:hAnsi="Arial" w:cs="Arial"/>
                <w:color w:val="000000"/>
                <w:sz w:val="20"/>
                <w:lang w:eastAsia="en-NZ"/>
              </w:rPr>
              <w:t>(535)</w:t>
            </w:r>
          </w:p>
        </w:tc>
        <w:tc>
          <w:tcPr>
            <w:tcW w:w="1531" w:type="dxa"/>
            <w:tcBorders>
              <w:top w:val="single" w:sz="4" w:space="0" w:color="00B0F0"/>
              <w:left w:val="single" w:sz="4" w:space="0" w:color="00B0F0"/>
              <w:bottom w:val="single" w:sz="4" w:space="0" w:color="00B0F0"/>
            </w:tcBorders>
            <w:shd w:val="clear" w:color="000000" w:fill="E8E8E8"/>
            <w:noWrap/>
            <w:hideMark/>
          </w:tcPr>
          <w:p w:rsidR="00006279" w:rsidRPr="001244BB" w:rsidRDefault="00006279" w:rsidP="0035318B">
            <w:pPr>
              <w:spacing w:after="0" w:line="240" w:lineRule="auto"/>
              <w:jc w:val="right"/>
              <w:rPr>
                <w:rFonts w:ascii="Arial" w:eastAsia="Times New Roman" w:hAnsi="Arial" w:cs="Arial"/>
                <w:color w:val="000000"/>
                <w:sz w:val="20"/>
                <w:lang w:eastAsia="en-NZ"/>
              </w:rPr>
            </w:pPr>
            <w:r w:rsidRPr="001244BB">
              <w:rPr>
                <w:rFonts w:ascii="Arial" w:eastAsia="Times New Roman" w:hAnsi="Arial" w:cs="Arial"/>
                <w:color w:val="000000"/>
                <w:sz w:val="20"/>
                <w:lang w:eastAsia="en-NZ"/>
              </w:rPr>
              <w:t>(24)</w:t>
            </w:r>
          </w:p>
        </w:tc>
      </w:tr>
      <w:tr w:rsidR="00006279" w:rsidRPr="001244BB" w:rsidTr="00586E5D">
        <w:trPr>
          <w:trHeight w:val="300"/>
        </w:trPr>
        <w:tc>
          <w:tcPr>
            <w:tcW w:w="6394" w:type="dxa"/>
            <w:tcBorders>
              <w:top w:val="single" w:sz="4" w:space="0" w:color="00B0F0"/>
              <w:bottom w:val="nil"/>
              <w:right w:val="single" w:sz="4" w:space="0" w:color="00B0F0"/>
            </w:tcBorders>
            <w:shd w:val="clear" w:color="auto" w:fill="auto"/>
            <w:noWrap/>
            <w:hideMark/>
          </w:tcPr>
          <w:p w:rsidR="00006279" w:rsidRPr="001244BB" w:rsidRDefault="00006279" w:rsidP="0035318B">
            <w:pPr>
              <w:spacing w:after="0" w:line="240" w:lineRule="auto"/>
              <w:rPr>
                <w:rFonts w:ascii="Arial" w:eastAsia="Times New Roman" w:hAnsi="Arial" w:cs="Arial"/>
                <w:color w:val="000000"/>
                <w:sz w:val="20"/>
                <w:lang w:eastAsia="en-NZ"/>
              </w:rPr>
            </w:pPr>
            <w:r w:rsidRPr="001244BB">
              <w:rPr>
                <w:rFonts w:ascii="Arial" w:eastAsia="Times New Roman" w:hAnsi="Arial" w:cs="Arial"/>
                <w:color w:val="000000"/>
                <w:sz w:val="20"/>
                <w:lang w:eastAsia="en-NZ"/>
              </w:rPr>
              <w:t>Net Expenditure</w:t>
            </w:r>
          </w:p>
        </w:tc>
        <w:tc>
          <w:tcPr>
            <w:tcW w:w="1531" w:type="dxa"/>
            <w:tcBorders>
              <w:top w:val="single" w:sz="4" w:space="0" w:color="00B0F0"/>
              <w:left w:val="single" w:sz="4" w:space="0" w:color="00B0F0"/>
              <w:bottom w:val="nil"/>
              <w:right w:val="single" w:sz="4" w:space="0" w:color="00B0F0"/>
            </w:tcBorders>
            <w:shd w:val="clear" w:color="auto" w:fill="auto"/>
            <w:noWrap/>
            <w:hideMark/>
          </w:tcPr>
          <w:p w:rsidR="00006279" w:rsidRPr="001244BB" w:rsidRDefault="00006279" w:rsidP="0035318B">
            <w:pPr>
              <w:spacing w:after="0" w:line="240" w:lineRule="auto"/>
              <w:jc w:val="right"/>
              <w:rPr>
                <w:rFonts w:ascii="Arial" w:eastAsia="Times New Roman" w:hAnsi="Arial" w:cs="Arial"/>
                <w:color w:val="000000"/>
                <w:sz w:val="20"/>
                <w:lang w:eastAsia="en-NZ"/>
              </w:rPr>
            </w:pPr>
            <w:r w:rsidRPr="001244BB">
              <w:rPr>
                <w:rFonts w:ascii="Arial" w:eastAsia="Times New Roman" w:hAnsi="Arial" w:cs="Arial"/>
                <w:color w:val="000000"/>
                <w:sz w:val="20"/>
                <w:lang w:eastAsia="en-NZ"/>
              </w:rPr>
              <w:t>15,873</w:t>
            </w:r>
          </w:p>
        </w:tc>
        <w:tc>
          <w:tcPr>
            <w:tcW w:w="1531" w:type="dxa"/>
            <w:tcBorders>
              <w:top w:val="single" w:sz="4" w:space="0" w:color="00B0F0"/>
              <w:left w:val="single" w:sz="4" w:space="0" w:color="00B0F0"/>
              <w:bottom w:val="nil"/>
              <w:right w:val="single" w:sz="4" w:space="0" w:color="00B0F0"/>
            </w:tcBorders>
            <w:shd w:val="clear" w:color="auto" w:fill="auto"/>
            <w:noWrap/>
            <w:hideMark/>
          </w:tcPr>
          <w:p w:rsidR="00006279" w:rsidRPr="001244BB" w:rsidRDefault="00006279" w:rsidP="0035318B">
            <w:pPr>
              <w:spacing w:after="0" w:line="240" w:lineRule="auto"/>
              <w:jc w:val="right"/>
              <w:rPr>
                <w:rFonts w:ascii="Arial" w:eastAsia="Times New Roman" w:hAnsi="Arial" w:cs="Arial"/>
                <w:color w:val="000000"/>
                <w:sz w:val="20"/>
                <w:lang w:eastAsia="en-NZ"/>
              </w:rPr>
            </w:pPr>
            <w:r w:rsidRPr="001244BB">
              <w:rPr>
                <w:rFonts w:ascii="Arial" w:eastAsia="Times New Roman" w:hAnsi="Arial" w:cs="Arial"/>
                <w:color w:val="000000"/>
                <w:sz w:val="20"/>
                <w:lang w:eastAsia="en-NZ"/>
              </w:rPr>
              <w:t>16,716</w:t>
            </w:r>
          </w:p>
        </w:tc>
        <w:tc>
          <w:tcPr>
            <w:tcW w:w="1531" w:type="dxa"/>
            <w:tcBorders>
              <w:top w:val="single" w:sz="4" w:space="0" w:color="00B0F0"/>
              <w:left w:val="single" w:sz="4" w:space="0" w:color="00B0F0"/>
              <w:bottom w:val="nil"/>
              <w:right w:val="single" w:sz="4" w:space="0" w:color="00B0F0"/>
            </w:tcBorders>
            <w:shd w:val="clear" w:color="000000" w:fill="E8E8E8"/>
            <w:noWrap/>
            <w:hideMark/>
          </w:tcPr>
          <w:p w:rsidR="00006279" w:rsidRPr="001244BB" w:rsidRDefault="00006279" w:rsidP="0035318B">
            <w:pPr>
              <w:spacing w:after="0" w:line="240" w:lineRule="auto"/>
              <w:jc w:val="right"/>
              <w:rPr>
                <w:rFonts w:ascii="Arial" w:eastAsia="Times New Roman" w:hAnsi="Arial" w:cs="Arial"/>
                <w:color w:val="000000"/>
                <w:sz w:val="20"/>
                <w:lang w:eastAsia="en-NZ"/>
              </w:rPr>
            </w:pPr>
            <w:r w:rsidRPr="001244BB">
              <w:rPr>
                <w:rFonts w:ascii="Arial" w:eastAsia="Times New Roman" w:hAnsi="Arial" w:cs="Arial"/>
                <w:color w:val="000000"/>
                <w:sz w:val="20"/>
                <w:lang w:eastAsia="en-NZ"/>
              </w:rPr>
              <w:t>17,110</w:t>
            </w:r>
          </w:p>
        </w:tc>
        <w:tc>
          <w:tcPr>
            <w:tcW w:w="1531" w:type="dxa"/>
            <w:tcBorders>
              <w:top w:val="single" w:sz="4" w:space="0" w:color="00B0F0"/>
              <w:left w:val="single" w:sz="4" w:space="0" w:color="00B0F0"/>
              <w:bottom w:val="nil"/>
              <w:right w:val="single" w:sz="4" w:space="0" w:color="00B0F0"/>
            </w:tcBorders>
            <w:shd w:val="clear" w:color="000000" w:fill="E8E8E8"/>
            <w:noWrap/>
            <w:hideMark/>
          </w:tcPr>
          <w:p w:rsidR="00006279" w:rsidRPr="001244BB" w:rsidRDefault="00006279" w:rsidP="0035318B">
            <w:pPr>
              <w:spacing w:after="0" w:line="240" w:lineRule="auto"/>
              <w:jc w:val="right"/>
              <w:rPr>
                <w:rFonts w:ascii="Arial" w:eastAsia="Times New Roman" w:hAnsi="Arial" w:cs="Arial"/>
                <w:color w:val="000000"/>
                <w:sz w:val="20"/>
                <w:lang w:eastAsia="en-NZ"/>
              </w:rPr>
            </w:pPr>
            <w:r w:rsidRPr="001244BB">
              <w:rPr>
                <w:rFonts w:ascii="Arial" w:eastAsia="Times New Roman" w:hAnsi="Arial" w:cs="Arial"/>
                <w:color w:val="000000"/>
                <w:sz w:val="20"/>
                <w:lang w:eastAsia="en-NZ"/>
              </w:rPr>
              <w:t>17,209</w:t>
            </w:r>
          </w:p>
        </w:tc>
        <w:tc>
          <w:tcPr>
            <w:tcW w:w="1531" w:type="dxa"/>
            <w:tcBorders>
              <w:top w:val="single" w:sz="4" w:space="0" w:color="00B0F0"/>
              <w:left w:val="single" w:sz="4" w:space="0" w:color="00B0F0"/>
              <w:bottom w:val="nil"/>
            </w:tcBorders>
            <w:shd w:val="clear" w:color="000000" w:fill="E8E8E8"/>
            <w:noWrap/>
            <w:hideMark/>
          </w:tcPr>
          <w:p w:rsidR="00006279" w:rsidRPr="001244BB" w:rsidRDefault="00006279" w:rsidP="0035318B">
            <w:pPr>
              <w:spacing w:after="0" w:line="240" w:lineRule="auto"/>
              <w:jc w:val="right"/>
              <w:rPr>
                <w:rFonts w:ascii="Arial" w:eastAsia="Times New Roman" w:hAnsi="Arial" w:cs="Arial"/>
                <w:color w:val="000000"/>
                <w:sz w:val="20"/>
                <w:lang w:eastAsia="en-NZ"/>
              </w:rPr>
            </w:pPr>
            <w:r w:rsidRPr="001244BB">
              <w:rPr>
                <w:rFonts w:ascii="Arial" w:eastAsia="Times New Roman" w:hAnsi="Arial" w:cs="Arial"/>
                <w:color w:val="000000"/>
                <w:sz w:val="20"/>
                <w:lang w:eastAsia="en-NZ"/>
              </w:rPr>
              <w:t>99</w:t>
            </w:r>
          </w:p>
        </w:tc>
      </w:tr>
      <w:tr w:rsidR="00006279" w:rsidRPr="001244BB" w:rsidTr="00586E5D">
        <w:trPr>
          <w:trHeight w:val="300"/>
        </w:trPr>
        <w:tc>
          <w:tcPr>
            <w:tcW w:w="14049" w:type="dxa"/>
            <w:gridSpan w:val="6"/>
            <w:tcBorders>
              <w:top w:val="nil"/>
              <w:bottom w:val="nil"/>
            </w:tcBorders>
            <w:shd w:val="clear" w:color="auto" w:fill="B8CCE4" w:themeFill="accent1" w:themeFillTint="66"/>
            <w:noWrap/>
            <w:vAlign w:val="bottom"/>
            <w:hideMark/>
          </w:tcPr>
          <w:p w:rsidR="00006279" w:rsidRPr="001244BB" w:rsidRDefault="00006279" w:rsidP="0035318B">
            <w:pPr>
              <w:spacing w:after="0" w:line="240" w:lineRule="auto"/>
              <w:rPr>
                <w:rFonts w:ascii="Arial" w:eastAsia="Times New Roman" w:hAnsi="Arial" w:cs="Arial"/>
                <w:color w:val="000000"/>
                <w:sz w:val="20"/>
                <w:lang w:eastAsia="en-NZ"/>
              </w:rPr>
            </w:pPr>
            <w:r w:rsidRPr="001244BB">
              <w:rPr>
                <w:rFonts w:ascii="Arial" w:eastAsia="Times New Roman" w:hAnsi="Arial" w:cs="Arial"/>
                <w:b/>
                <w:bCs/>
                <w:color w:val="000000"/>
                <w:sz w:val="20"/>
                <w:lang w:eastAsia="en-NZ"/>
              </w:rPr>
              <w:t>1.2 Māori and mana whenua partnerships</w:t>
            </w:r>
            <w:r w:rsidRPr="001244BB">
              <w:rPr>
                <w:rFonts w:ascii="Arial" w:eastAsia="Times New Roman" w:hAnsi="Arial" w:cs="Arial"/>
                <w:color w:val="000000"/>
                <w:sz w:val="20"/>
                <w:lang w:eastAsia="en-NZ"/>
              </w:rPr>
              <w:t> </w:t>
            </w:r>
          </w:p>
        </w:tc>
      </w:tr>
      <w:tr w:rsidR="00006279" w:rsidRPr="001244BB" w:rsidTr="00586E5D">
        <w:trPr>
          <w:trHeight w:val="300"/>
        </w:trPr>
        <w:tc>
          <w:tcPr>
            <w:tcW w:w="6394" w:type="dxa"/>
            <w:tcBorders>
              <w:top w:val="nil"/>
              <w:bottom w:val="single" w:sz="4" w:space="0" w:color="00B0F0"/>
              <w:right w:val="single" w:sz="4" w:space="0" w:color="00B0F0"/>
            </w:tcBorders>
            <w:shd w:val="clear" w:color="auto" w:fill="auto"/>
            <w:noWrap/>
            <w:hideMark/>
          </w:tcPr>
          <w:p w:rsidR="00006279" w:rsidRPr="001244BB" w:rsidRDefault="00006279" w:rsidP="0035318B">
            <w:pPr>
              <w:spacing w:after="0" w:line="240" w:lineRule="auto"/>
              <w:rPr>
                <w:rFonts w:ascii="Arial" w:eastAsia="Times New Roman" w:hAnsi="Arial" w:cs="Arial"/>
                <w:color w:val="000000"/>
                <w:sz w:val="20"/>
                <w:lang w:eastAsia="en-NZ"/>
              </w:rPr>
            </w:pPr>
            <w:r w:rsidRPr="001244BB">
              <w:rPr>
                <w:rFonts w:ascii="Arial" w:eastAsia="Times New Roman" w:hAnsi="Arial" w:cs="Arial"/>
                <w:color w:val="000000"/>
                <w:sz w:val="20"/>
                <w:lang w:eastAsia="en-NZ"/>
              </w:rPr>
              <w:t>Expenditure</w:t>
            </w:r>
          </w:p>
        </w:tc>
        <w:tc>
          <w:tcPr>
            <w:tcW w:w="1531" w:type="dxa"/>
            <w:tcBorders>
              <w:top w:val="nil"/>
              <w:left w:val="single" w:sz="4" w:space="0" w:color="00B0F0"/>
              <w:bottom w:val="single" w:sz="4" w:space="0" w:color="00B0F0"/>
              <w:right w:val="single" w:sz="4" w:space="0" w:color="00B0F0"/>
            </w:tcBorders>
            <w:shd w:val="clear" w:color="auto" w:fill="auto"/>
            <w:noWrap/>
            <w:hideMark/>
          </w:tcPr>
          <w:p w:rsidR="00006279" w:rsidRPr="001244BB" w:rsidRDefault="00006279" w:rsidP="0035318B">
            <w:pPr>
              <w:spacing w:after="0" w:line="240" w:lineRule="auto"/>
              <w:jc w:val="right"/>
              <w:rPr>
                <w:rFonts w:ascii="Arial" w:eastAsia="Times New Roman" w:hAnsi="Arial" w:cs="Arial"/>
                <w:color w:val="000000"/>
                <w:sz w:val="20"/>
                <w:lang w:eastAsia="en-NZ"/>
              </w:rPr>
            </w:pPr>
            <w:r w:rsidRPr="001244BB">
              <w:rPr>
                <w:rFonts w:ascii="Arial" w:eastAsia="Times New Roman" w:hAnsi="Arial" w:cs="Arial"/>
                <w:color w:val="000000"/>
                <w:sz w:val="20"/>
                <w:lang w:eastAsia="en-NZ"/>
              </w:rPr>
              <w:t>279</w:t>
            </w:r>
          </w:p>
        </w:tc>
        <w:tc>
          <w:tcPr>
            <w:tcW w:w="1531" w:type="dxa"/>
            <w:tcBorders>
              <w:top w:val="nil"/>
              <w:left w:val="single" w:sz="4" w:space="0" w:color="00B0F0"/>
              <w:bottom w:val="single" w:sz="4" w:space="0" w:color="00B0F0"/>
              <w:right w:val="single" w:sz="4" w:space="0" w:color="00B0F0"/>
            </w:tcBorders>
            <w:shd w:val="clear" w:color="auto" w:fill="auto"/>
            <w:noWrap/>
            <w:hideMark/>
          </w:tcPr>
          <w:p w:rsidR="00006279" w:rsidRPr="001244BB" w:rsidRDefault="00006279" w:rsidP="0035318B">
            <w:pPr>
              <w:spacing w:after="0" w:line="240" w:lineRule="auto"/>
              <w:jc w:val="right"/>
              <w:rPr>
                <w:rFonts w:ascii="Arial" w:eastAsia="Times New Roman" w:hAnsi="Arial" w:cs="Arial"/>
                <w:color w:val="000000"/>
                <w:sz w:val="20"/>
                <w:lang w:eastAsia="en-NZ"/>
              </w:rPr>
            </w:pPr>
            <w:r w:rsidRPr="001244BB">
              <w:rPr>
                <w:rFonts w:ascii="Arial" w:eastAsia="Times New Roman" w:hAnsi="Arial" w:cs="Arial"/>
                <w:color w:val="000000"/>
                <w:sz w:val="20"/>
                <w:lang w:eastAsia="en-NZ"/>
              </w:rPr>
              <w:t>305</w:t>
            </w:r>
          </w:p>
        </w:tc>
        <w:tc>
          <w:tcPr>
            <w:tcW w:w="1531" w:type="dxa"/>
            <w:tcBorders>
              <w:top w:val="nil"/>
              <w:left w:val="single" w:sz="4" w:space="0" w:color="00B0F0"/>
              <w:bottom w:val="single" w:sz="4" w:space="0" w:color="00B0F0"/>
              <w:right w:val="single" w:sz="4" w:space="0" w:color="00B0F0"/>
            </w:tcBorders>
            <w:shd w:val="clear" w:color="000000" w:fill="E8E8E8"/>
            <w:noWrap/>
            <w:hideMark/>
          </w:tcPr>
          <w:p w:rsidR="00006279" w:rsidRPr="001244BB" w:rsidRDefault="00006279" w:rsidP="0035318B">
            <w:pPr>
              <w:spacing w:after="0" w:line="240" w:lineRule="auto"/>
              <w:jc w:val="right"/>
              <w:rPr>
                <w:rFonts w:ascii="Arial" w:eastAsia="Times New Roman" w:hAnsi="Arial" w:cs="Arial"/>
                <w:color w:val="000000"/>
                <w:sz w:val="20"/>
                <w:lang w:eastAsia="en-NZ"/>
              </w:rPr>
            </w:pPr>
            <w:r w:rsidRPr="001244BB">
              <w:rPr>
                <w:rFonts w:ascii="Arial" w:eastAsia="Times New Roman" w:hAnsi="Arial" w:cs="Arial"/>
                <w:color w:val="000000"/>
                <w:sz w:val="20"/>
                <w:lang w:eastAsia="en-NZ"/>
              </w:rPr>
              <w:t>361</w:t>
            </w:r>
          </w:p>
        </w:tc>
        <w:tc>
          <w:tcPr>
            <w:tcW w:w="1531" w:type="dxa"/>
            <w:tcBorders>
              <w:top w:val="nil"/>
              <w:left w:val="single" w:sz="4" w:space="0" w:color="00B0F0"/>
              <w:bottom w:val="single" w:sz="4" w:space="0" w:color="00B0F0"/>
              <w:right w:val="single" w:sz="4" w:space="0" w:color="00B0F0"/>
            </w:tcBorders>
            <w:shd w:val="clear" w:color="000000" w:fill="E8E8E8"/>
            <w:noWrap/>
            <w:hideMark/>
          </w:tcPr>
          <w:p w:rsidR="00006279" w:rsidRPr="001244BB" w:rsidRDefault="00006279" w:rsidP="0035318B">
            <w:pPr>
              <w:spacing w:after="0" w:line="240" w:lineRule="auto"/>
              <w:jc w:val="right"/>
              <w:rPr>
                <w:rFonts w:ascii="Arial" w:eastAsia="Times New Roman" w:hAnsi="Arial" w:cs="Arial"/>
                <w:color w:val="000000"/>
                <w:sz w:val="20"/>
                <w:lang w:eastAsia="en-NZ"/>
              </w:rPr>
            </w:pPr>
            <w:r w:rsidRPr="001244BB">
              <w:rPr>
                <w:rFonts w:ascii="Arial" w:eastAsia="Times New Roman" w:hAnsi="Arial" w:cs="Arial"/>
                <w:color w:val="000000"/>
                <w:sz w:val="20"/>
                <w:lang w:eastAsia="en-NZ"/>
              </w:rPr>
              <w:t>306</w:t>
            </w:r>
          </w:p>
        </w:tc>
        <w:tc>
          <w:tcPr>
            <w:tcW w:w="1531" w:type="dxa"/>
            <w:tcBorders>
              <w:top w:val="nil"/>
              <w:left w:val="single" w:sz="4" w:space="0" w:color="00B0F0"/>
              <w:bottom w:val="single" w:sz="4" w:space="0" w:color="00B0F0"/>
            </w:tcBorders>
            <w:shd w:val="clear" w:color="000000" w:fill="E8E8E8"/>
            <w:noWrap/>
            <w:hideMark/>
          </w:tcPr>
          <w:p w:rsidR="00006279" w:rsidRPr="001244BB" w:rsidRDefault="00006279" w:rsidP="0035318B">
            <w:pPr>
              <w:spacing w:after="0" w:line="240" w:lineRule="auto"/>
              <w:jc w:val="right"/>
              <w:rPr>
                <w:rFonts w:ascii="Arial" w:eastAsia="Times New Roman" w:hAnsi="Arial" w:cs="Arial"/>
                <w:color w:val="000000"/>
                <w:sz w:val="20"/>
                <w:lang w:eastAsia="en-NZ"/>
              </w:rPr>
            </w:pPr>
            <w:r w:rsidRPr="001244BB">
              <w:rPr>
                <w:rFonts w:ascii="Arial" w:eastAsia="Times New Roman" w:hAnsi="Arial" w:cs="Arial"/>
                <w:color w:val="000000"/>
                <w:sz w:val="20"/>
                <w:lang w:eastAsia="en-NZ"/>
              </w:rPr>
              <w:t>(55)</w:t>
            </w:r>
          </w:p>
        </w:tc>
      </w:tr>
      <w:tr w:rsidR="00006279" w:rsidRPr="001244BB" w:rsidTr="00586E5D">
        <w:trPr>
          <w:trHeight w:val="300"/>
        </w:trPr>
        <w:tc>
          <w:tcPr>
            <w:tcW w:w="6394" w:type="dxa"/>
            <w:tcBorders>
              <w:top w:val="single" w:sz="4" w:space="0" w:color="00B0F0"/>
              <w:bottom w:val="single" w:sz="4" w:space="0" w:color="00B0F0"/>
              <w:right w:val="single" w:sz="4" w:space="0" w:color="00B0F0"/>
            </w:tcBorders>
            <w:shd w:val="clear" w:color="auto" w:fill="auto"/>
            <w:noWrap/>
            <w:hideMark/>
          </w:tcPr>
          <w:p w:rsidR="00006279" w:rsidRPr="001244BB" w:rsidRDefault="00006279" w:rsidP="0035318B">
            <w:pPr>
              <w:spacing w:after="0" w:line="240" w:lineRule="auto"/>
              <w:rPr>
                <w:rFonts w:ascii="Arial" w:eastAsia="Times New Roman" w:hAnsi="Arial" w:cs="Arial"/>
                <w:color w:val="000000"/>
                <w:sz w:val="20"/>
                <w:lang w:eastAsia="en-NZ"/>
              </w:rPr>
            </w:pPr>
            <w:r w:rsidRPr="001244BB">
              <w:rPr>
                <w:rFonts w:ascii="Arial" w:eastAsia="Times New Roman" w:hAnsi="Arial" w:cs="Arial"/>
                <w:color w:val="000000"/>
                <w:sz w:val="20"/>
                <w:lang w:eastAsia="en-NZ"/>
              </w:rPr>
              <w:t>Revenue</w:t>
            </w:r>
          </w:p>
        </w:tc>
        <w:tc>
          <w:tcPr>
            <w:tcW w:w="1531" w:type="dxa"/>
            <w:tcBorders>
              <w:top w:val="single" w:sz="4" w:space="0" w:color="00B0F0"/>
              <w:left w:val="single" w:sz="4" w:space="0" w:color="00B0F0"/>
              <w:bottom w:val="single" w:sz="4" w:space="0" w:color="00B0F0"/>
              <w:right w:val="single" w:sz="4" w:space="0" w:color="00B0F0"/>
            </w:tcBorders>
            <w:shd w:val="clear" w:color="auto" w:fill="auto"/>
            <w:noWrap/>
            <w:hideMark/>
          </w:tcPr>
          <w:p w:rsidR="00006279" w:rsidRPr="001244BB" w:rsidRDefault="00006279" w:rsidP="0035318B">
            <w:pPr>
              <w:spacing w:after="0" w:line="240" w:lineRule="auto"/>
              <w:jc w:val="right"/>
              <w:rPr>
                <w:rFonts w:ascii="Arial" w:eastAsia="Times New Roman" w:hAnsi="Arial" w:cs="Arial"/>
                <w:color w:val="000000"/>
                <w:sz w:val="20"/>
                <w:lang w:eastAsia="en-NZ"/>
              </w:rPr>
            </w:pPr>
            <w:r w:rsidRPr="001244BB">
              <w:rPr>
                <w:rFonts w:ascii="Arial" w:eastAsia="Times New Roman" w:hAnsi="Arial" w:cs="Arial"/>
                <w:color w:val="000000"/>
                <w:sz w:val="20"/>
                <w:lang w:eastAsia="en-NZ"/>
              </w:rPr>
              <w:t>1</w:t>
            </w:r>
          </w:p>
        </w:tc>
        <w:tc>
          <w:tcPr>
            <w:tcW w:w="1531" w:type="dxa"/>
            <w:tcBorders>
              <w:top w:val="single" w:sz="4" w:space="0" w:color="00B0F0"/>
              <w:left w:val="single" w:sz="4" w:space="0" w:color="00B0F0"/>
              <w:bottom w:val="single" w:sz="4" w:space="0" w:color="00B0F0"/>
              <w:right w:val="single" w:sz="4" w:space="0" w:color="00B0F0"/>
            </w:tcBorders>
            <w:shd w:val="clear" w:color="auto" w:fill="auto"/>
            <w:noWrap/>
            <w:hideMark/>
          </w:tcPr>
          <w:p w:rsidR="00006279" w:rsidRPr="001244BB" w:rsidRDefault="00006279" w:rsidP="0035318B">
            <w:pPr>
              <w:spacing w:after="0" w:line="240" w:lineRule="auto"/>
              <w:jc w:val="right"/>
              <w:rPr>
                <w:rFonts w:ascii="Arial" w:eastAsia="Times New Roman" w:hAnsi="Arial" w:cs="Arial"/>
                <w:color w:val="000000"/>
                <w:sz w:val="20"/>
                <w:lang w:eastAsia="en-NZ"/>
              </w:rPr>
            </w:pPr>
            <w:r w:rsidRPr="001244BB">
              <w:rPr>
                <w:rFonts w:ascii="Arial" w:eastAsia="Times New Roman" w:hAnsi="Arial" w:cs="Arial"/>
                <w:color w:val="000000"/>
                <w:sz w:val="20"/>
                <w:lang w:eastAsia="en-NZ"/>
              </w:rPr>
              <w:t>(4)</w:t>
            </w:r>
          </w:p>
        </w:tc>
        <w:tc>
          <w:tcPr>
            <w:tcW w:w="1531" w:type="dxa"/>
            <w:tcBorders>
              <w:top w:val="single" w:sz="4" w:space="0" w:color="00B0F0"/>
              <w:left w:val="single" w:sz="4" w:space="0" w:color="00B0F0"/>
              <w:bottom w:val="single" w:sz="4" w:space="0" w:color="00B0F0"/>
              <w:right w:val="single" w:sz="4" w:space="0" w:color="00B0F0"/>
            </w:tcBorders>
            <w:shd w:val="clear" w:color="000000" w:fill="E8E8E8"/>
            <w:noWrap/>
            <w:hideMark/>
          </w:tcPr>
          <w:p w:rsidR="00006279" w:rsidRPr="001244BB" w:rsidRDefault="00006279" w:rsidP="0035318B">
            <w:pPr>
              <w:spacing w:after="0" w:line="240" w:lineRule="auto"/>
              <w:jc w:val="right"/>
              <w:rPr>
                <w:rFonts w:ascii="Arial" w:eastAsia="Times New Roman" w:hAnsi="Arial" w:cs="Arial"/>
                <w:color w:val="000000"/>
                <w:sz w:val="20"/>
                <w:lang w:eastAsia="en-NZ"/>
              </w:rPr>
            </w:pPr>
            <w:r w:rsidRPr="001244BB">
              <w:rPr>
                <w:rFonts w:ascii="Arial" w:eastAsia="Times New Roman" w:hAnsi="Arial" w:cs="Arial"/>
                <w:color w:val="000000"/>
                <w:sz w:val="20"/>
                <w:lang w:eastAsia="en-NZ"/>
              </w:rPr>
              <w:t>(45)</w:t>
            </w:r>
          </w:p>
        </w:tc>
        <w:tc>
          <w:tcPr>
            <w:tcW w:w="1531" w:type="dxa"/>
            <w:tcBorders>
              <w:top w:val="single" w:sz="4" w:space="0" w:color="00B0F0"/>
              <w:left w:val="single" w:sz="4" w:space="0" w:color="00B0F0"/>
              <w:bottom w:val="single" w:sz="4" w:space="0" w:color="00B0F0"/>
              <w:right w:val="single" w:sz="4" w:space="0" w:color="00B0F0"/>
            </w:tcBorders>
            <w:shd w:val="clear" w:color="000000" w:fill="E8E8E8"/>
            <w:noWrap/>
            <w:hideMark/>
          </w:tcPr>
          <w:p w:rsidR="00006279" w:rsidRPr="001244BB" w:rsidRDefault="00006279" w:rsidP="0035318B">
            <w:pPr>
              <w:spacing w:after="0" w:line="240" w:lineRule="auto"/>
              <w:jc w:val="right"/>
              <w:rPr>
                <w:rFonts w:ascii="Arial" w:eastAsia="Times New Roman" w:hAnsi="Arial" w:cs="Arial"/>
                <w:color w:val="000000"/>
                <w:sz w:val="20"/>
                <w:lang w:eastAsia="en-NZ"/>
              </w:rPr>
            </w:pPr>
            <w:r w:rsidRPr="001244BB">
              <w:rPr>
                <w:rFonts w:ascii="Arial" w:eastAsia="Times New Roman" w:hAnsi="Arial" w:cs="Arial"/>
                <w:color w:val="000000"/>
                <w:sz w:val="20"/>
                <w:lang w:eastAsia="en-NZ"/>
              </w:rPr>
              <w:t xml:space="preserve">                - </w:t>
            </w:r>
          </w:p>
        </w:tc>
        <w:tc>
          <w:tcPr>
            <w:tcW w:w="1531" w:type="dxa"/>
            <w:tcBorders>
              <w:top w:val="single" w:sz="4" w:space="0" w:color="00B0F0"/>
              <w:left w:val="single" w:sz="4" w:space="0" w:color="00B0F0"/>
              <w:bottom w:val="single" w:sz="4" w:space="0" w:color="00B0F0"/>
            </w:tcBorders>
            <w:shd w:val="clear" w:color="000000" w:fill="E8E8E8"/>
            <w:noWrap/>
            <w:hideMark/>
          </w:tcPr>
          <w:p w:rsidR="00006279" w:rsidRPr="001244BB" w:rsidRDefault="00006279" w:rsidP="0035318B">
            <w:pPr>
              <w:spacing w:after="0" w:line="240" w:lineRule="auto"/>
              <w:jc w:val="right"/>
              <w:rPr>
                <w:rFonts w:ascii="Arial" w:eastAsia="Times New Roman" w:hAnsi="Arial" w:cs="Arial"/>
                <w:color w:val="000000"/>
                <w:sz w:val="20"/>
                <w:lang w:eastAsia="en-NZ"/>
              </w:rPr>
            </w:pPr>
            <w:r w:rsidRPr="001244BB">
              <w:rPr>
                <w:rFonts w:ascii="Arial" w:eastAsia="Times New Roman" w:hAnsi="Arial" w:cs="Arial"/>
                <w:color w:val="000000"/>
                <w:sz w:val="20"/>
                <w:lang w:eastAsia="en-NZ"/>
              </w:rPr>
              <w:t>45</w:t>
            </w:r>
          </w:p>
        </w:tc>
      </w:tr>
      <w:tr w:rsidR="00006279" w:rsidRPr="001244BB" w:rsidTr="00586E5D">
        <w:trPr>
          <w:trHeight w:val="300"/>
        </w:trPr>
        <w:tc>
          <w:tcPr>
            <w:tcW w:w="6394" w:type="dxa"/>
            <w:tcBorders>
              <w:top w:val="single" w:sz="4" w:space="0" w:color="00B0F0"/>
              <w:bottom w:val="nil"/>
              <w:right w:val="single" w:sz="4" w:space="0" w:color="00B0F0"/>
            </w:tcBorders>
            <w:shd w:val="clear" w:color="auto" w:fill="auto"/>
            <w:noWrap/>
            <w:hideMark/>
          </w:tcPr>
          <w:p w:rsidR="00006279" w:rsidRPr="001244BB" w:rsidRDefault="00006279" w:rsidP="0035318B">
            <w:pPr>
              <w:spacing w:after="0" w:line="240" w:lineRule="auto"/>
              <w:rPr>
                <w:rFonts w:ascii="Arial" w:eastAsia="Times New Roman" w:hAnsi="Arial" w:cs="Arial"/>
                <w:color w:val="000000"/>
                <w:sz w:val="20"/>
                <w:lang w:eastAsia="en-NZ"/>
              </w:rPr>
            </w:pPr>
            <w:r w:rsidRPr="001244BB">
              <w:rPr>
                <w:rFonts w:ascii="Arial" w:eastAsia="Times New Roman" w:hAnsi="Arial" w:cs="Arial"/>
                <w:color w:val="000000"/>
                <w:sz w:val="20"/>
                <w:lang w:eastAsia="en-NZ"/>
              </w:rPr>
              <w:t>Net Expenditure</w:t>
            </w:r>
          </w:p>
        </w:tc>
        <w:tc>
          <w:tcPr>
            <w:tcW w:w="1531" w:type="dxa"/>
            <w:tcBorders>
              <w:top w:val="single" w:sz="4" w:space="0" w:color="00B0F0"/>
              <w:left w:val="single" w:sz="4" w:space="0" w:color="00B0F0"/>
              <w:bottom w:val="nil"/>
              <w:right w:val="single" w:sz="4" w:space="0" w:color="00B0F0"/>
            </w:tcBorders>
            <w:shd w:val="clear" w:color="auto" w:fill="auto"/>
            <w:noWrap/>
            <w:hideMark/>
          </w:tcPr>
          <w:p w:rsidR="00006279" w:rsidRPr="001244BB" w:rsidRDefault="00006279" w:rsidP="0035318B">
            <w:pPr>
              <w:spacing w:after="0" w:line="240" w:lineRule="auto"/>
              <w:jc w:val="right"/>
              <w:rPr>
                <w:rFonts w:ascii="Arial" w:eastAsia="Times New Roman" w:hAnsi="Arial" w:cs="Arial"/>
                <w:color w:val="000000"/>
                <w:sz w:val="20"/>
                <w:lang w:eastAsia="en-NZ"/>
              </w:rPr>
            </w:pPr>
            <w:r w:rsidRPr="001244BB">
              <w:rPr>
                <w:rFonts w:ascii="Arial" w:eastAsia="Times New Roman" w:hAnsi="Arial" w:cs="Arial"/>
                <w:color w:val="000000"/>
                <w:sz w:val="20"/>
                <w:lang w:eastAsia="en-NZ"/>
              </w:rPr>
              <w:t>280</w:t>
            </w:r>
          </w:p>
        </w:tc>
        <w:tc>
          <w:tcPr>
            <w:tcW w:w="1531" w:type="dxa"/>
            <w:tcBorders>
              <w:top w:val="single" w:sz="4" w:space="0" w:color="00B0F0"/>
              <w:left w:val="single" w:sz="4" w:space="0" w:color="00B0F0"/>
              <w:bottom w:val="nil"/>
              <w:right w:val="single" w:sz="4" w:space="0" w:color="00B0F0"/>
            </w:tcBorders>
            <w:shd w:val="clear" w:color="auto" w:fill="auto"/>
            <w:noWrap/>
            <w:hideMark/>
          </w:tcPr>
          <w:p w:rsidR="00006279" w:rsidRPr="001244BB" w:rsidRDefault="00006279" w:rsidP="0035318B">
            <w:pPr>
              <w:spacing w:after="0" w:line="240" w:lineRule="auto"/>
              <w:jc w:val="right"/>
              <w:rPr>
                <w:rFonts w:ascii="Arial" w:eastAsia="Times New Roman" w:hAnsi="Arial" w:cs="Arial"/>
                <w:color w:val="000000"/>
                <w:sz w:val="20"/>
                <w:lang w:eastAsia="en-NZ"/>
              </w:rPr>
            </w:pPr>
            <w:r w:rsidRPr="001244BB">
              <w:rPr>
                <w:rFonts w:ascii="Arial" w:eastAsia="Times New Roman" w:hAnsi="Arial" w:cs="Arial"/>
                <w:color w:val="000000"/>
                <w:sz w:val="20"/>
                <w:lang w:eastAsia="en-NZ"/>
              </w:rPr>
              <w:t>301</w:t>
            </w:r>
          </w:p>
        </w:tc>
        <w:tc>
          <w:tcPr>
            <w:tcW w:w="1531" w:type="dxa"/>
            <w:tcBorders>
              <w:top w:val="single" w:sz="4" w:space="0" w:color="00B0F0"/>
              <w:left w:val="single" w:sz="4" w:space="0" w:color="00B0F0"/>
              <w:bottom w:val="nil"/>
              <w:right w:val="single" w:sz="4" w:space="0" w:color="00B0F0"/>
            </w:tcBorders>
            <w:shd w:val="clear" w:color="000000" w:fill="E8E8E8"/>
            <w:noWrap/>
            <w:hideMark/>
          </w:tcPr>
          <w:p w:rsidR="00006279" w:rsidRPr="001244BB" w:rsidRDefault="00006279" w:rsidP="0035318B">
            <w:pPr>
              <w:spacing w:after="0" w:line="240" w:lineRule="auto"/>
              <w:jc w:val="right"/>
              <w:rPr>
                <w:rFonts w:ascii="Arial" w:eastAsia="Times New Roman" w:hAnsi="Arial" w:cs="Arial"/>
                <w:color w:val="000000"/>
                <w:sz w:val="20"/>
                <w:lang w:eastAsia="en-NZ"/>
              </w:rPr>
            </w:pPr>
            <w:r w:rsidRPr="001244BB">
              <w:rPr>
                <w:rFonts w:ascii="Arial" w:eastAsia="Times New Roman" w:hAnsi="Arial" w:cs="Arial"/>
                <w:color w:val="000000"/>
                <w:sz w:val="20"/>
                <w:lang w:eastAsia="en-NZ"/>
              </w:rPr>
              <w:t>316</w:t>
            </w:r>
          </w:p>
        </w:tc>
        <w:tc>
          <w:tcPr>
            <w:tcW w:w="1531" w:type="dxa"/>
            <w:tcBorders>
              <w:top w:val="single" w:sz="4" w:space="0" w:color="00B0F0"/>
              <w:left w:val="single" w:sz="4" w:space="0" w:color="00B0F0"/>
              <w:bottom w:val="nil"/>
              <w:right w:val="single" w:sz="4" w:space="0" w:color="00B0F0"/>
            </w:tcBorders>
            <w:shd w:val="clear" w:color="000000" w:fill="E8E8E8"/>
            <w:noWrap/>
            <w:hideMark/>
          </w:tcPr>
          <w:p w:rsidR="00006279" w:rsidRPr="001244BB" w:rsidRDefault="00006279" w:rsidP="0035318B">
            <w:pPr>
              <w:spacing w:after="0" w:line="240" w:lineRule="auto"/>
              <w:jc w:val="right"/>
              <w:rPr>
                <w:rFonts w:ascii="Arial" w:eastAsia="Times New Roman" w:hAnsi="Arial" w:cs="Arial"/>
                <w:color w:val="000000"/>
                <w:sz w:val="20"/>
                <w:lang w:eastAsia="en-NZ"/>
              </w:rPr>
            </w:pPr>
            <w:r w:rsidRPr="001244BB">
              <w:rPr>
                <w:rFonts w:ascii="Arial" w:eastAsia="Times New Roman" w:hAnsi="Arial" w:cs="Arial"/>
                <w:color w:val="000000"/>
                <w:sz w:val="20"/>
                <w:lang w:eastAsia="en-NZ"/>
              </w:rPr>
              <w:t>306</w:t>
            </w:r>
          </w:p>
        </w:tc>
        <w:tc>
          <w:tcPr>
            <w:tcW w:w="1531" w:type="dxa"/>
            <w:tcBorders>
              <w:top w:val="single" w:sz="4" w:space="0" w:color="00B0F0"/>
              <w:left w:val="single" w:sz="4" w:space="0" w:color="00B0F0"/>
              <w:bottom w:val="nil"/>
            </w:tcBorders>
            <w:shd w:val="clear" w:color="000000" w:fill="E8E8E8"/>
            <w:noWrap/>
            <w:hideMark/>
          </w:tcPr>
          <w:p w:rsidR="00006279" w:rsidRPr="001244BB" w:rsidRDefault="00006279" w:rsidP="0035318B">
            <w:pPr>
              <w:spacing w:after="0" w:line="240" w:lineRule="auto"/>
              <w:jc w:val="right"/>
              <w:rPr>
                <w:rFonts w:ascii="Arial" w:eastAsia="Times New Roman" w:hAnsi="Arial" w:cs="Arial"/>
                <w:color w:val="000000"/>
                <w:sz w:val="20"/>
                <w:lang w:eastAsia="en-NZ"/>
              </w:rPr>
            </w:pPr>
            <w:r w:rsidRPr="001244BB">
              <w:rPr>
                <w:rFonts w:ascii="Arial" w:eastAsia="Times New Roman" w:hAnsi="Arial" w:cs="Arial"/>
                <w:color w:val="000000"/>
                <w:sz w:val="20"/>
                <w:lang w:eastAsia="en-NZ"/>
              </w:rPr>
              <w:t>(10)</w:t>
            </w:r>
          </w:p>
        </w:tc>
      </w:tr>
      <w:tr w:rsidR="00006279" w:rsidRPr="001244BB" w:rsidTr="00586E5D">
        <w:trPr>
          <w:trHeight w:val="300"/>
        </w:trPr>
        <w:tc>
          <w:tcPr>
            <w:tcW w:w="14049" w:type="dxa"/>
            <w:gridSpan w:val="6"/>
            <w:tcBorders>
              <w:top w:val="nil"/>
              <w:bottom w:val="nil"/>
            </w:tcBorders>
            <w:shd w:val="clear" w:color="auto" w:fill="B8CCE4" w:themeFill="accent1" w:themeFillTint="66"/>
            <w:noWrap/>
            <w:vAlign w:val="bottom"/>
            <w:hideMark/>
          </w:tcPr>
          <w:p w:rsidR="00006279" w:rsidRPr="001244BB" w:rsidRDefault="00006279" w:rsidP="00006279">
            <w:pPr>
              <w:spacing w:after="0" w:line="240" w:lineRule="auto"/>
              <w:rPr>
                <w:rFonts w:ascii="Arial" w:eastAsia="Times New Roman" w:hAnsi="Arial" w:cs="Arial"/>
                <w:b/>
                <w:bCs/>
                <w:color w:val="000000"/>
                <w:sz w:val="20"/>
                <w:lang w:eastAsia="en-NZ"/>
              </w:rPr>
            </w:pPr>
            <w:r w:rsidRPr="001244BB">
              <w:rPr>
                <w:rFonts w:ascii="Arial" w:eastAsia="Times New Roman" w:hAnsi="Arial" w:cs="Arial"/>
                <w:b/>
                <w:bCs/>
                <w:color w:val="000000"/>
                <w:sz w:val="20"/>
                <w:lang w:eastAsia="en-NZ"/>
              </w:rPr>
              <w:t>Governance Total</w:t>
            </w:r>
          </w:p>
        </w:tc>
      </w:tr>
      <w:tr w:rsidR="00006279" w:rsidRPr="001244BB" w:rsidTr="00586E5D">
        <w:trPr>
          <w:trHeight w:val="300"/>
        </w:trPr>
        <w:tc>
          <w:tcPr>
            <w:tcW w:w="6394" w:type="dxa"/>
            <w:tcBorders>
              <w:top w:val="nil"/>
              <w:bottom w:val="single" w:sz="4" w:space="0" w:color="00B0F0"/>
              <w:right w:val="single" w:sz="4" w:space="0" w:color="00B0F0"/>
            </w:tcBorders>
            <w:shd w:val="clear" w:color="auto" w:fill="auto"/>
            <w:noWrap/>
            <w:hideMark/>
          </w:tcPr>
          <w:p w:rsidR="00006279" w:rsidRPr="001244BB" w:rsidRDefault="00006279" w:rsidP="0035318B">
            <w:pPr>
              <w:spacing w:after="0" w:line="240" w:lineRule="auto"/>
              <w:rPr>
                <w:rFonts w:ascii="Arial" w:eastAsia="Times New Roman" w:hAnsi="Arial" w:cs="Arial"/>
                <w:color w:val="000000"/>
                <w:sz w:val="20"/>
                <w:lang w:eastAsia="en-NZ"/>
              </w:rPr>
            </w:pPr>
            <w:r w:rsidRPr="001244BB">
              <w:rPr>
                <w:rFonts w:ascii="Arial" w:eastAsia="Times New Roman" w:hAnsi="Arial" w:cs="Arial"/>
                <w:color w:val="000000"/>
                <w:sz w:val="20"/>
                <w:lang w:eastAsia="en-NZ"/>
              </w:rPr>
              <w:t>Expenditure</w:t>
            </w:r>
          </w:p>
        </w:tc>
        <w:tc>
          <w:tcPr>
            <w:tcW w:w="1531" w:type="dxa"/>
            <w:tcBorders>
              <w:top w:val="nil"/>
              <w:left w:val="single" w:sz="4" w:space="0" w:color="00B0F0"/>
              <w:bottom w:val="single" w:sz="4" w:space="0" w:color="00B0F0"/>
              <w:right w:val="single" w:sz="4" w:space="0" w:color="00B0F0"/>
            </w:tcBorders>
            <w:shd w:val="clear" w:color="auto" w:fill="auto"/>
            <w:noWrap/>
            <w:hideMark/>
          </w:tcPr>
          <w:p w:rsidR="00006279" w:rsidRPr="001244BB" w:rsidRDefault="00006279" w:rsidP="0035318B">
            <w:pPr>
              <w:spacing w:after="0" w:line="240" w:lineRule="auto"/>
              <w:jc w:val="right"/>
              <w:rPr>
                <w:rFonts w:ascii="Arial" w:eastAsia="Times New Roman" w:hAnsi="Arial" w:cs="Arial"/>
                <w:color w:val="000000"/>
                <w:sz w:val="20"/>
                <w:lang w:eastAsia="en-NZ"/>
              </w:rPr>
            </w:pPr>
            <w:r w:rsidRPr="001244BB">
              <w:rPr>
                <w:rFonts w:ascii="Arial" w:eastAsia="Times New Roman" w:hAnsi="Arial" w:cs="Arial"/>
                <w:color w:val="000000"/>
                <w:sz w:val="20"/>
                <w:lang w:eastAsia="en-NZ"/>
              </w:rPr>
              <w:t>17,157</w:t>
            </w:r>
          </w:p>
        </w:tc>
        <w:tc>
          <w:tcPr>
            <w:tcW w:w="1531" w:type="dxa"/>
            <w:tcBorders>
              <w:top w:val="nil"/>
              <w:left w:val="single" w:sz="4" w:space="0" w:color="00B0F0"/>
              <w:bottom w:val="single" w:sz="4" w:space="0" w:color="00B0F0"/>
              <w:right w:val="single" w:sz="4" w:space="0" w:color="00B0F0"/>
            </w:tcBorders>
            <w:shd w:val="clear" w:color="auto" w:fill="auto"/>
            <w:noWrap/>
            <w:hideMark/>
          </w:tcPr>
          <w:p w:rsidR="00006279" w:rsidRPr="001244BB" w:rsidRDefault="00006279" w:rsidP="00C30FFB">
            <w:pPr>
              <w:spacing w:after="0" w:line="240" w:lineRule="auto"/>
              <w:jc w:val="right"/>
              <w:rPr>
                <w:rFonts w:ascii="Arial" w:eastAsia="Times New Roman" w:hAnsi="Arial" w:cs="Arial"/>
                <w:color w:val="000000"/>
                <w:sz w:val="20"/>
                <w:lang w:eastAsia="en-NZ"/>
              </w:rPr>
            </w:pPr>
            <w:r w:rsidRPr="001244BB">
              <w:rPr>
                <w:rFonts w:ascii="Arial" w:eastAsia="Times New Roman" w:hAnsi="Arial" w:cs="Arial"/>
                <w:color w:val="000000"/>
                <w:sz w:val="20"/>
                <w:lang w:eastAsia="en-NZ"/>
              </w:rPr>
              <w:t>17,</w:t>
            </w:r>
            <w:r w:rsidR="00C30FFB" w:rsidRPr="001244BB">
              <w:rPr>
                <w:rFonts w:ascii="Arial" w:eastAsia="Times New Roman" w:hAnsi="Arial" w:cs="Arial"/>
                <w:color w:val="000000"/>
                <w:sz w:val="20"/>
                <w:lang w:eastAsia="en-NZ"/>
              </w:rPr>
              <w:t>51</w:t>
            </w:r>
            <w:r w:rsidR="00C30FFB">
              <w:rPr>
                <w:rFonts w:ascii="Arial" w:eastAsia="Times New Roman" w:hAnsi="Arial" w:cs="Arial"/>
                <w:color w:val="000000"/>
                <w:sz w:val="20"/>
                <w:lang w:eastAsia="en-NZ"/>
              </w:rPr>
              <w:t>9</w:t>
            </w:r>
          </w:p>
        </w:tc>
        <w:tc>
          <w:tcPr>
            <w:tcW w:w="1531" w:type="dxa"/>
            <w:tcBorders>
              <w:top w:val="nil"/>
              <w:left w:val="single" w:sz="4" w:space="0" w:color="00B0F0"/>
              <w:bottom w:val="single" w:sz="4" w:space="0" w:color="00B0F0"/>
              <w:right w:val="single" w:sz="4" w:space="0" w:color="00B0F0"/>
            </w:tcBorders>
            <w:shd w:val="clear" w:color="000000" w:fill="E8E8E8"/>
            <w:noWrap/>
            <w:hideMark/>
          </w:tcPr>
          <w:p w:rsidR="00006279" w:rsidRPr="001244BB" w:rsidRDefault="00006279" w:rsidP="0035318B">
            <w:pPr>
              <w:spacing w:after="0" w:line="240" w:lineRule="auto"/>
              <w:jc w:val="right"/>
              <w:rPr>
                <w:rFonts w:ascii="Arial" w:eastAsia="Times New Roman" w:hAnsi="Arial" w:cs="Arial"/>
                <w:color w:val="000000"/>
                <w:sz w:val="20"/>
                <w:lang w:eastAsia="en-NZ"/>
              </w:rPr>
            </w:pPr>
            <w:r w:rsidRPr="001244BB">
              <w:rPr>
                <w:rFonts w:ascii="Arial" w:eastAsia="Times New Roman" w:hAnsi="Arial" w:cs="Arial"/>
                <w:color w:val="000000"/>
                <w:sz w:val="20"/>
                <w:lang w:eastAsia="en-NZ"/>
              </w:rPr>
              <w:t>17,982</w:t>
            </w:r>
          </w:p>
        </w:tc>
        <w:tc>
          <w:tcPr>
            <w:tcW w:w="1531" w:type="dxa"/>
            <w:tcBorders>
              <w:top w:val="nil"/>
              <w:left w:val="single" w:sz="4" w:space="0" w:color="00B0F0"/>
              <w:bottom w:val="single" w:sz="4" w:space="0" w:color="00B0F0"/>
              <w:right w:val="single" w:sz="4" w:space="0" w:color="00B0F0"/>
            </w:tcBorders>
            <w:shd w:val="clear" w:color="000000" w:fill="E8E8E8"/>
            <w:noWrap/>
            <w:hideMark/>
          </w:tcPr>
          <w:p w:rsidR="00006279" w:rsidRPr="001244BB" w:rsidRDefault="00006279" w:rsidP="0035318B">
            <w:pPr>
              <w:spacing w:after="0" w:line="240" w:lineRule="auto"/>
              <w:jc w:val="right"/>
              <w:rPr>
                <w:rFonts w:ascii="Arial" w:eastAsia="Times New Roman" w:hAnsi="Arial" w:cs="Arial"/>
                <w:color w:val="000000"/>
                <w:sz w:val="20"/>
                <w:lang w:eastAsia="en-NZ"/>
              </w:rPr>
            </w:pPr>
            <w:r w:rsidRPr="001244BB">
              <w:rPr>
                <w:rFonts w:ascii="Arial" w:eastAsia="Times New Roman" w:hAnsi="Arial" w:cs="Arial"/>
                <w:color w:val="000000"/>
                <w:sz w:val="20"/>
                <w:lang w:eastAsia="en-NZ"/>
              </w:rPr>
              <w:t>18,050</w:t>
            </w:r>
          </w:p>
        </w:tc>
        <w:tc>
          <w:tcPr>
            <w:tcW w:w="1531" w:type="dxa"/>
            <w:tcBorders>
              <w:top w:val="nil"/>
              <w:left w:val="single" w:sz="4" w:space="0" w:color="00B0F0"/>
              <w:bottom w:val="single" w:sz="4" w:space="0" w:color="00B0F0"/>
            </w:tcBorders>
            <w:shd w:val="clear" w:color="000000" w:fill="E8E8E8"/>
            <w:noWrap/>
            <w:hideMark/>
          </w:tcPr>
          <w:p w:rsidR="00006279" w:rsidRPr="001244BB" w:rsidRDefault="00006279" w:rsidP="0035318B">
            <w:pPr>
              <w:spacing w:after="0" w:line="240" w:lineRule="auto"/>
              <w:jc w:val="right"/>
              <w:rPr>
                <w:rFonts w:ascii="Arial" w:eastAsia="Times New Roman" w:hAnsi="Arial" w:cs="Arial"/>
                <w:color w:val="000000"/>
                <w:sz w:val="20"/>
                <w:lang w:eastAsia="en-NZ"/>
              </w:rPr>
            </w:pPr>
            <w:r w:rsidRPr="001244BB">
              <w:rPr>
                <w:rFonts w:ascii="Arial" w:eastAsia="Times New Roman" w:hAnsi="Arial" w:cs="Arial"/>
                <w:color w:val="000000"/>
                <w:sz w:val="20"/>
                <w:lang w:eastAsia="en-NZ"/>
              </w:rPr>
              <w:t>68</w:t>
            </w:r>
          </w:p>
        </w:tc>
      </w:tr>
      <w:tr w:rsidR="00006279" w:rsidRPr="001244BB" w:rsidTr="00586E5D">
        <w:trPr>
          <w:trHeight w:val="300"/>
        </w:trPr>
        <w:tc>
          <w:tcPr>
            <w:tcW w:w="6394" w:type="dxa"/>
            <w:tcBorders>
              <w:top w:val="single" w:sz="4" w:space="0" w:color="00B0F0"/>
              <w:bottom w:val="single" w:sz="4" w:space="0" w:color="00B0F0"/>
              <w:right w:val="single" w:sz="4" w:space="0" w:color="00B0F0"/>
            </w:tcBorders>
            <w:shd w:val="clear" w:color="auto" w:fill="auto"/>
            <w:noWrap/>
            <w:hideMark/>
          </w:tcPr>
          <w:p w:rsidR="00006279" w:rsidRPr="001244BB" w:rsidRDefault="00006279" w:rsidP="0035318B">
            <w:pPr>
              <w:spacing w:after="0" w:line="240" w:lineRule="auto"/>
              <w:rPr>
                <w:rFonts w:ascii="Arial" w:eastAsia="Times New Roman" w:hAnsi="Arial" w:cs="Arial"/>
                <w:color w:val="000000"/>
                <w:sz w:val="20"/>
                <w:lang w:eastAsia="en-NZ"/>
              </w:rPr>
            </w:pPr>
            <w:r w:rsidRPr="001244BB">
              <w:rPr>
                <w:rFonts w:ascii="Arial" w:eastAsia="Times New Roman" w:hAnsi="Arial" w:cs="Arial"/>
                <w:color w:val="000000"/>
                <w:sz w:val="20"/>
                <w:lang w:eastAsia="en-NZ"/>
              </w:rPr>
              <w:t>Revenue</w:t>
            </w:r>
          </w:p>
        </w:tc>
        <w:tc>
          <w:tcPr>
            <w:tcW w:w="1531" w:type="dxa"/>
            <w:tcBorders>
              <w:top w:val="single" w:sz="4" w:space="0" w:color="00B0F0"/>
              <w:left w:val="single" w:sz="4" w:space="0" w:color="00B0F0"/>
              <w:bottom w:val="single" w:sz="4" w:space="0" w:color="00B0F0"/>
              <w:right w:val="single" w:sz="4" w:space="0" w:color="00B0F0"/>
            </w:tcBorders>
            <w:shd w:val="clear" w:color="auto" w:fill="auto"/>
            <w:noWrap/>
            <w:hideMark/>
          </w:tcPr>
          <w:p w:rsidR="00006279" w:rsidRPr="001244BB" w:rsidRDefault="00006279" w:rsidP="0035318B">
            <w:pPr>
              <w:spacing w:after="0" w:line="240" w:lineRule="auto"/>
              <w:jc w:val="right"/>
              <w:rPr>
                <w:rFonts w:ascii="Arial" w:eastAsia="Times New Roman" w:hAnsi="Arial" w:cs="Arial"/>
                <w:color w:val="000000"/>
                <w:sz w:val="20"/>
                <w:lang w:eastAsia="en-NZ"/>
              </w:rPr>
            </w:pPr>
            <w:r w:rsidRPr="001244BB">
              <w:rPr>
                <w:rFonts w:ascii="Arial" w:eastAsia="Times New Roman" w:hAnsi="Arial" w:cs="Arial"/>
                <w:color w:val="000000"/>
                <w:sz w:val="20"/>
                <w:lang w:eastAsia="en-NZ"/>
              </w:rPr>
              <w:t>(1,004)</w:t>
            </w:r>
          </w:p>
        </w:tc>
        <w:tc>
          <w:tcPr>
            <w:tcW w:w="1531" w:type="dxa"/>
            <w:tcBorders>
              <w:top w:val="single" w:sz="4" w:space="0" w:color="00B0F0"/>
              <w:left w:val="single" w:sz="4" w:space="0" w:color="00B0F0"/>
              <w:bottom w:val="single" w:sz="4" w:space="0" w:color="00B0F0"/>
              <w:right w:val="single" w:sz="4" w:space="0" w:color="00B0F0"/>
            </w:tcBorders>
            <w:shd w:val="clear" w:color="auto" w:fill="auto"/>
            <w:noWrap/>
            <w:hideMark/>
          </w:tcPr>
          <w:p w:rsidR="00006279" w:rsidRPr="001244BB" w:rsidRDefault="00006279" w:rsidP="00C30FFB">
            <w:pPr>
              <w:spacing w:after="0" w:line="240" w:lineRule="auto"/>
              <w:jc w:val="right"/>
              <w:rPr>
                <w:rFonts w:ascii="Arial" w:eastAsia="Times New Roman" w:hAnsi="Arial" w:cs="Arial"/>
                <w:color w:val="000000"/>
                <w:sz w:val="20"/>
                <w:lang w:eastAsia="en-NZ"/>
              </w:rPr>
            </w:pPr>
            <w:r w:rsidRPr="001244BB">
              <w:rPr>
                <w:rFonts w:ascii="Arial" w:eastAsia="Times New Roman" w:hAnsi="Arial" w:cs="Arial"/>
                <w:color w:val="000000"/>
                <w:sz w:val="20"/>
                <w:lang w:eastAsia="en-NZ"/>
              </w:rPr>
              <w:t>(</w:t>
            </w:r>
            <w:r w:rsidR="00C30FFB" w:rsidRPr="001244BB">
              <w:rPr>
                <w:rFonts w:ascii="Arial" w:eastAsia="Times New Roman" w:hAnsi="Arial" w:cs="Arial"/>
                <w:color w:val="000000"/>
                <w:sz w:val="20"/>
                <w:lang w:eastAsia="en-NZ"/>
              </w:rPr>
              <w:t>50</w:t>
            </w:r>
            <w:r w:rsidR="00C30FFB">
              <w:rPr>
                <w:rFonts w:ascii="Arial" w:eastAsia="Times New Roman" w:hAnsi="Arial" w:cs="Arial"/>
                <w:color w:val="000000"/>
                <w:sz w:val="20"/>
                <w:lang w:eastAsia="en-NZ"/>
              </w:rPr>
              <w:t>2</w:t>
            </w:r>
            <w:r w:rsidRPr="001244BB">
              <w:rPr>
                <w:rFonts w:ascii="Arial" w:eastAsia="Times New Roman" w:hAnsi="Arial" w:cs="Arial"/>
                <w:color w:val="000000"/>
                <w:sz w:val="20"/>
                <w:lang w:eastAsia="en-NZ"/>
              </w:rPr>
              <w:t>)</w:t>
            </w:r>
          </w:p>
        </w:tc>
        <w:tc>
          <w:tcPr>
            <w:tcW w:w="1531" w:type="dxa"/>
            <w:tcBorders>
              <w:top w:val="single" w:sz="4" w:space="0" w:color="00B0F0"/>
              <w:left w:val="single" w:sz="4" w:space="0" w:color="00B0F0"/>
              <w:bottom w:val="single" w:sz="4" w:space="0" w:color="00B0F0"/>
              <w:right w:val="single" w:sz="4" w:space="0" w:color="00B0F0"/>
            </w:tcBorders>
            <w:shd w:val="clear" w:color="000000" w:fill="E8E8E8"/>
            <w:noWrap/>
            <w:hideMark/>
          </w:tcPr>
          <w:p w:rsidR="00006279" w:rsidRPr="001244BB" w:rsidRDefault="00006279" w:rsidP="0035318B">
            <w:pPr>
              <w:spacing w:after="0" w:line="240" w:lineRule="auto"/>
              <w:jc w:val="right"/>
              <w:rPr>
                <w:rFonts w:ascii="Arial" w:eastAsia="Times New Roman" w:hAnsi="Arial" w:cs="Arial"/>
                <w:color w:val="000000"/>
                <w:sz w:val="20"/>
                <w:lang w:eastAsia="en-NZ"/>
              </w:rPr>
            </w:pPr>
            <w:r w:rsidRPr="001244BB">
              <w:rPr>
                <w:rFonts w:ascii="Arial" w:eastAsia="Times New Roman" w:hAnsi="Arial" w:cs="Arial"/>
                <w:color w:val="000000"/>
                <w:sz w:val="20"/>
                <w:lang w:eastAsia="en-NZ"/>
              </w:rPr>
              <w:t>(556)</w:t>
            </w:r>
          </w:p>
        </w:tc>
        <w:tc>
          <w:tcPr>
            <w:tcW w:w="1531" w:type="dxa"/>
            <w:tcBorders>
              <w:top w:val="single" w:sz="4" w:space="0" w:color="00B0F0"/>
              <w:left w:val="single" w:sz="4" w:space="0" w:color="00B0F0"/>
              <w:bottom w:val="single" w:sz="4" w:space="0" w:color="00B0F0"/>
              <w:right w:val="single" w:sz="4" w:space="0" w:color="00B0F0"/>
            </w:tcBorders>
            <w:shd w:val="clear" w:color="000000" w:fill="E8E8E8"/>
            <w:noWrap/>
            <w:hideMark/>
          </w:tcPr>
          <w:p w:rsidR="00006279" w:rsidRPr="001244BB" w:rsidRDefault="00006279" w:rsidP="0035318B">
            <w:pPr>
              <w:spacing w:after="0" w:line="240" w:lineRule="auto"/>
              <w:jc w:val="right"/>
              <w:rPr>
                <w:rFonts w:ascii="Arial" w:eastAsia="Times New Roman" w:hAnsi="Arial" w:cs="Arial"/>
                <w:color w:val="000000"/>
                <w:sz w:val="20"/>
                <w:lang w:eastAsia="en-NZ"/>
              </w:rPr>
            </w:pPr>
            <w:r w:rsidRPr="001244BB">
              <w:rPr>
                <w:rFonts w:ascii="Arial" w:eastAsia="Times New Roman" w:hAnsi="Arial" w:cs="Arial"/>
                <w:color w:val="000000"/>
                <w:sz w:val="20"/>
                <w:lang w:eastAsia="en-NZ"/>
              </w:rPr>
              <w:t>(535)</w:t>
            </w:r>
          </w:p>
        </w:tc>
        <w:tc>
          <w:tcPr>
            <w:tcW w:w="1531" w:type="dxa"/>
            <w:tcBorders>
              <w:top w:val="single" w:sz="4" w:space="0" w:color="00B0F0"/>
              <w:left w:val="single" w:sz="4" w:space="0" w:color="00B0F0"/>
              <w:bottom w:val="single" w:sz="4" w:space="0" w:color="00B0F0"/>
            </w:tcBorders>
            <w:shd w:val="clear" w:color="000000" w:fill="E8E8E8"/>
            <w:noWrap/>
            <w:hideMark/>
          </w:tcPr>
          <w:p w:rsidR="00006279" w:rsidRPr="001244BB" w:rsidRDefault="00006279" w:rsidP="0035318B">
            <w:pPr>
              <w:spacing w:after="0" w:line="240" w:lineRule="auto"/>
              <w:jc w:val="right"/>
              <w:rPr>
                <w:rFonts w:ascii="Arial" w:eastAsia="Times New Roman" w:hAnsi="Arial" w:cs="Arial"/>
                <w:color w:val="000000"/>
                <w:sz w:val="20"/>
                <w:lang w:eastAsia="en-NZ"/>
              </w:rPr>
            </w:pPr>
            <w:r w:rsidRPr="001244BB">
              <w:rPr>
                <w:rFonts w:ascii="Arial" w:eastAsia="Times New Roman" w:hAnsi="Arial" w:cs="Arial"/>
                <w:color w:val="000000"/>
                <w:sz w:val="20"/>
                <w:lang w:eastAsia="en-NZ"/>
              </w:rPr>
              <w:t>21</w:t>
            </w:r>
          </w:p>
        </w:tc>
      </w:tr>
      <w:tr w:rsidR="00006279" w:rsidRPr="001244BB" w:rsidTr="00586E5D">
        <w:trPr>
          <w:trHeight w:val="300"/>
        </w:trPr>
        <w:tc>
          <w:tcPr>
            <w:tcW w:w="6394" w:type="dxa"/>
            <w:tcBorders>
              <w:top w:val="single" w:sz="4" w:space="0" w:color="00B0F0"/>
              <w:bottom w:val="single" w:sz="4" w:space="0" w:color="00B0F0"/>
              <w:right w:val="single" w:sz="4" w:space="0" w:color="00B0F0"/>
            </w:tcBorders>
            <w:shd w:val="clear" w:color="auto" w:fill="auto"/>
            <w:noWrap/>
            <w:hideMark/>
          </w:tcPr>
          <w:p w:rsidR="00006279" w:rsidRPr="001244BB" w:rsidRDefault="00006279" w:rsidP="0035318B">
            <w:pPr>
              <w:spacing w:after="0" w:line="240" w:lineRule="auto"/>
              <w:rPr>
                <w:rFonts w:ascii="Arial" w:eastAsia="Times New Roman" w:hAnsi="Arial" w:cs="Arial"/>
                <w:color w:val="000000"/>
                <w:sz w:val="20"/>
                <w:lang w:eastAsia="en-NZ"/>
              </w:rPr>
            </w:pPr>
            <w:r w:rsidRPr="001244BB">
              <w:rPr>
                <w:rFonts w:ascii="Arial" w:eastAsia="Times New Roman" w:hAnsi="Arial" w:cs="Arial"/>
                <w:color w:val="000000"/>
                <w:sz w:val="20"/>
                <w:lang w:eastAsia="en-NZ"/>
              </w:rPr>
              <w:t>Net Expenditure</w:t>
            </w:r>
          </w:p>
        </w:tc>
        <w:tc>
          <w:tcPr>
            <w:tcW w:w="1531" w:type="dxa"/>
            <w:tcBorders>
              <w:top w:val="single" w:sz="4" w:space="0" w:color="00B0F0"/>
              <w:left w:val="single" w:sz="4" w:space="0" w:color="00B0F0"/>
              <w:bottom w:val="single" w:sz="4" w:space="0" w:color="00B0F0"/>
              <w:right w:val="single" w:sz="4" w:space="0" w:color="00B0F0"/>
            </w:tcBorders>
            <w:shd w:val="clear" w:color="auto" w:fill="auto"/>
            <w:noWrap/>
            <w:hideMark/>
          </w:tcPr>
          <w:p w:rsidR="00006279" w:rsidRPr="001244BB" w:rsidRDefault="00006279" w:rsidP="0035318B">
            <w:pPr>
              <w:spacing w:after="0" w:line="240" w:lineRule="auto"/>
              <w:jc w:val="right"/>
              <w:rPr>
                <w:rFonts w:ascii="Arial" w:eastAsia="Times New Roman" w:hAnsi="Arial" w:cs="Arial"/>
                <w:color w:val="000000"/>
                <w:sz w:val="20"/>
                <w:lang w:eastAsia="en-NZ"/>
              </w:rPr>
            </w:pPr>
            <w:r w:rsidRPr="001244BB">
              <w:rPr>
                <w:rFonts w:ascii="Arial" w:eastAsia="Times New Roman" w:hAnsi="Arial" w:cs="Arial"/>
                <w:color w:val="000000"/>
                <w:sz w:val="20"/>
                <w:lang w:eastAsia="en-NZ"/>
              </w:rPr>
              <w:t>16,153</w:t>
            </w:r>
          </w:p>
        </w:tc>
        <w:tc>
          <w:tcPr>
            <w:tcW w:w="1531" w:type="dxa"/>
            <w:tcBorders>
              <w:top w:val="single" w:sz="4" w:space="0" w:color="00B0F0"/>
              <w:left w:val="single" w:sz="4" w:space="0" w:color="00B0F0"/>
              <w:bottom w:val="single" w:sz="4" w:space="0" w:color="00B0F0"/>
              <w:right w:val="single" w:sz="4" w:space="0" w:color="00B0F0"/>
            </w:tcBorders>
            <w:shd w:val="clear" w:color="auto" w:fill="auto"/>
            <w:noWrap/>
            <w:hideMark/>
          </w:tcPr>
          <w:p w:rsidR="00006279" w:rsidRPr="001244BB" w:rsidRDefault="00006279" w:rsidP="0035318B">
            <w:pPr>
              <w:spacing w:after="0" w:line="240" w:lineRule="auto"/>
              <w:jc w:val="right"/>
              <w:rPr>
                <w:rFonts w:ascii="Arial" w:eastAsia="Times New Roman" w:hAnsi="Arial" w:cs="Arial"/>
                <w:color w:val="000000"/>
                <w:sz w:val="20"/>
                <w:lang w:eastAsia="en-NZ"/>
              </w:rPr>
            </w:pPr>
            <w:r w:rsidRPr="001244BB">
              <w:rPr>
                <w:rFonts w:ascii="Arial" w:eastAsia="Times New Roman" w:hAnsi="Arial" w:cs="Arial"/>
                <w:color w:val="000000"/>
                <w:sz w:val="20"/>
                <w:lang w:eastAsia="en-NZ"/>
              </w:rPr>
              <w:t>17,017</w:t>
            </w:r>
          </w:p>
        </w:tc>
        <w:tc>
          <w:tcPr>
            <w:tcW w:w="1531" w:type="dxa"/>
            <w:tcBorders>
              <w:top w:val="single" w:sz="4" w:space="0" w:color="00B0F0"/>
              <w:left w:val="single" w:sz="4" w:space="0" w:color="00B0F0"/>
              <w:bottom w:val="single" w:sz="4" w:space="0" w:color="00B0F0"/>
              <w:right w:val="single" w:sz="4" w:space="0" w:color="00B0F0"/>
            </w:tcBorders>
            <w:shd w:val="clear" w:color="000000" w:fill="E8E8E8"/>
            <w:noWrap/>
            <w:hideMark/>
          </w:tcPr>
          <w:p w:rsidR="00006279" w:rsidRPr="001244BB" w:rsidRDefault="00006279" w:rsidP="0035318B">
            <w:pPr>
              <w:spacing w:after="0" w:line="240" w:lineRule="auto"/>
              <w:jc w:val="right"/>
              <w:rPr>
                <w:rFonts w:ascii="Arial" w:eastAsia="Times New Roman" w:hAnsi="Arial" w:cs="Arial"/>
                <w:color w:val="000000"/>
                <w:sz w:val="20"/>
                <w:lang w:eastAsia="en-NZ"/>
              </w:rPr>
            </w:pPr>
            <w:r w:rsidRPr="001244BB">
              <w:rPr>
                <w:rFonts w:ascii="Arial" w:eastAsia="Times New Roman" w:hAnsi="Arial" w:cs="Arial"/>
                <w:color w:val="000000"/>
                <w:sz w:val="20"/>
                <w:lang w:eastAsia="en-NZ"/>
              </w:rPr>
              <w:t>17,426</w:t>
            </w:r>
          </w:p>
        </w:tc>
        <w:tc>
          <w:tcPr>
            <w:tcW w:w="1531" w:type="dxa"/>
            <w:tcBorders>
              <w:top w:val="single" w:sz="4" w:space="0" w:color="00B0F0"/>
              <w:left w:val="single" w:sz="4" w:space="0" w:color="00B0F0"/>
              <w:bottom w:val="single" w:sz="4" w:space="0" w:color="00B0F0"/>
              <w:right w:val="single" w:sz="4" w:space="0" w:color="00B0F0"/>
            </w:tcBorders>
            <w:shd w:val="clear" w:color="000000" w:fill="E8E8E8"/>
            <w:noWrap/>
            <w:hideMark/>
          </w:tcPr>
          <w:p w:rsidR="00006279" w:rsidRPr="001244BB" w:rsidRDefault="00006279" w:rsidP="0035318B">
            <w:pPr>
              <w:spacing w:after="0" w:line="240" w:lineRule="auto"/>
              <w:jc w:val="right"/>
              <w:rPr>
                <w:rFonts w:ascii="Arial" w:eastAsia="Times New Roman" w:hAnsi="Arial" w:cs="Arial"/>
                <w:color w:val="000000"/>
                <w:sz w:val="20"/>
                <w:lang w:eastAsia="en-NZ"/>
              </w:rPr>
            </w:pPr>
            <w:r w:rsidRPr="001244BB">
              <w:rPr>
                <w:rFonts w:ascii="Arial" w:eastAsia="Times New Roman" w:hAnsi="Arial" w:cs="Arial"/>
                <w:color w:val="000000"/>
                <w:sz w:val="20"/>
                <w:lang w:eastAsia="en-NZ"/>
              </w:rPr>
              <w:t>17,515</w:t>
            </w:r>
          </w:p>
        </w:tc>
        <w:tc>
          <w:tcPr>
            <w:tcW w:w="1531" w:type="dxa"/>
            <w:tcBorders>
              <w:top w:val="single" w:sz="4" w:space="0" w:color="00B0F0"/>
              <w:left w:val="single" w:sz="4" w:space="0" w:color="00B0F0"/>
              <w:bottom w:val="single" w:sz="4" w:space="0" w:color="00B0F0"/>
            </w:tcBorders>
            <w:shd w:val="clear" w:color="000000" w:fill="E8E8E8"/>
            <w:noWrap/>
            <w:hideMark/>
          </w:tcPr>
          <w:p w:rsidR="00006279" w:rsidRPr="001244BB" w:rsidRDefault="00006279" w:rsidP="0035318B">
            <w:pPr>
              <w:spacing w:after="0" w:line="240" w:lineRule="auto"/>
              <w:jc w:val="right"/>
              <w:rPr>
                <w:rFonts w:ascii="Arial" w:eastAsia="Times New Roman" w:hAnsi="Arial" w:cs="Arial"/>
                <w:color w:val="000000"/>
                <w:sz w:val="20"/>
                <w:lang w:eastAsia="en-NZ"/>
              </w:rPr>
            </w:pPr>
            <w:r w:rsidRPr="001244BB">
              <w:rPr>
                <w:rFonts w:ascii="Arial" w:eastAsia="Times New Roman" w:hAnsi="Arial" w:cs="Arial"/>
                <w:color w:val="000000"/>
                <w:sz w:val="20"/>
                <w:lang w:eastAsia="en-NZ"/>
              </w:rPr>
              <w:t>89</w:t>
            </w:r>
          </w:p>
        </w:tc>
      </w:tr>
    </w:tbl>
    <w:p w:rsidR="007D1D61" w:rsidRPr="00D5126A" w:rsidRDefault="007D1D61" w:rsidP="00846C1B">
      <w:pPr>
        <w:pStyle w:val="Heading4"/>
      </w:pPr>
      <w:r w:rsidRPr="00D5126A">
        <w:t>What it cost (capital expenditure $000)</w:t>
      </w:r>
      <w:bookmarkEnd w:id="156"/>
    </w:p>
    <w:tbl>
      <w:tblPr>
        <w:tblW w:w="14176" w:type="dxa"/>
        <w:tblInd w:w="-34" w:type="dxa"/>
        <w:tblLayout w:type="fixed"/>
        <w:tblLook w:val="04A0" w:firstRow="1" w:lastRow="0" w:firstColumn="1" w:lastColumn="0" w:noHBand="0" w:noVBand="1"/>
      </w:tblPr>
      <w:tblGrid>
        <w:gridCol w:w="4398"/>
        <w:gridCol w:w="1309"/>
        <w:gridCol w:w="1309"/>
        <w:gridCol w:w="1315"/>
        <w:gridCol w:w="1316"/>
        <w:gridCol w:w="1311"/>
        <w:gridCol w:w="1315"/>
        <w:gridCol w:w="1903"/>
      </w:tblGrid>
      <w:tr w:rsidR="00006279" w:rsidRPr="001244BB" w:rsidTr="009F7685">
        <w:trPr>
          <w:trHeight w:val="826"/>
        </w:trPr>
        <w:tc>
          <w:tcPr>
            <w:tcW w:w="4398" w:type="dxa"/>
            <w:tcBorders>
              <w:top w:val="nil"/>
              <w:left w:val="nil"/>
              <w:right w:val="nil"/>
            </w:tcBorders>
            <w:shd w:val="clear" w:color="auto" w:fill="0070C0"/>
            <w:noWrap/>
            <w:vAlign w:val="bottom"/>
            <w:hideMark/>
          </w:tcPr>
          <w:p w:rsidR="00006279" w:rsidRPr="001244BB" w:rsidRDefault="00586E5D" w:rsidP="00586E5D">
            <w:pPr>
              <w:spacing w:after="0" w:line="240" w:lineRule="auto"/>
              <w:rPr>
                <w:rFonts w:ascii="Arial" w:eastAsia="Times New Roman" w:hAnsi="Arial" w:cs="Arial"/>
                <w:b/>
                <w:bCs/>
                <w:color w:val="FFFFFF" w:themeColor="background1"/>
                <w:szCs w:val="24"/>
                <w:lang w:eastAsia="en-NZ"/>
              </w:rPr>
            </w:pPr>
            <w:r w:rsidRPr="00586E5D">
              <w:rPr>
                <w:rFonts w:ascii="Arial" w:eastAsia="Times New Roman" w:hAnsi="Arial" w:cs="Arial"/>
                <w:b/>
                <w:color w:val="FFFFFF" w:themeColor="background1"/>
                <w:szCs w:val="24"/>
                <w:lang w:eastAsia="en-NZ"/>
              </w:rPr>
              <w:t>Governance</w:t>
            </w:r>
          </w:p>
        </w:tc>
        <w:tc>
          <w:tcPr>
            <w:tcW w:w="1309" w:type="dxa"/>
            <w:tcBorders>
              <w:top w:val="single" w:sz="4" w:space="0" w:color="FFFFFF" w:themeColor="background1"/>
              <w:left w:val="nil"/>
              <w:right w:val="single" w:sz="4" w:space="0" w:color="FFFFFF" w:themeColor="background1"/>
            </w:tcBorders>
            <w:shd w:val="clear" w:color="auto" w:fill="0070C0"/>
            <w:vAlign w:val="bottom"/>
            <w:hideMark/>
          </w:tcPr>
          <w:p w:rsidR="00006279" w:rsidRPr="00586E5D" w:rsidRDefault="00006279" w:rsidP="009F7685">
            <w:pPr>
              <w:spacing w:before="60" w:after="0" w:line="240" w:lineRule="auto"/>
              <w:jc w:val="center"/>
              <w:rPr>
                <w:rFonts w:ascii="Arial" w:eastAsia="Times New Roman" w:hAnsi="Arial" w:cs="Arial"/>
                <w:b/>
                <w:bCs/>
                <w:color w:val="FFFFFF" w:themeColor="background1"/>
                <w:szCs w:val="18"/>
                <w:lang w:eastAsia="en-NZ"/>
              </w:rPr>
            </w:pPr>
            <w:r w:rsidRPr="00586E5D">
              <w:rPr>
                <w:rFonts w:ascii="Arial" w:eastAsia="Times New Roman" w:hAnsi="Arial" w:cs="Arial"/>
                <w:b/>
                <w:bCs/>
                <w:color w:val="FFFFFF" w:themeColor="background1"/>
                <w:szCs w:val="18"/>
                <w:lang w:eastAsia="en-NZ"/>
              </w:rPr>
              <w:t xml:space="preserve">2016/17 Actual </w:t>
            </w:r>
          </w:p>
        </w:tc>
        <w:tc>
          <w:tcPr>
            <w:tcW w:w="1309" w:type="dxa"/>
            <w:tcBorders>
              <w:top w:val="single" w:sz="4" w:space="0" w:color="FFFFFF" w:themeColor="background1"/>
              <w:left w:val="single" w:sz="4" w:space="0" w:color="FFFFFF" w:themeColor="background1"/>
              <w:right w:val="single" w:sz="4" w:space="0" w:color="FFFFFF" w:themeColor="background1"/>
            </w:tcBorders>
            <w:shd w:val="clear" w:color="auto" w:fill="0070C0"/>
            <w:vAlign w:val="bottom"/>
            <w:hideMark/>
          </w:tcPr>
          <w:p w:rsidR="00006279" w:rsidRPr="00586E5D" w:rsidRDefault="00006279" w:rsidP="009F7685">
            <w:pPr>
              <w:spacing w:before="60" w:after="0" w:line="240" w:lineRule="auto"/>
              <w:jc w:val="center"/>
              <w:rPr>
                <w:rFonts w:ascii="Arial" w:eastAsia="Times New Roman" w:hAnsi="Arial" w:cs="Arial"/>
                <w:b/>
                <w:bCs/>
                <w:color w:val="FFFFFF" w:themeColor="background1"/>
                <w:szCs w:val="18"/>
                <w:lang w:eastAsia="en-NZ"/>
              </w:rPr>
            </w:pPr>
            <w:r w:rsidRPr="00586E5D">
              <w:rPr>
                <w:rFonts w:ascii="Arial" w:eastAsia="Times New Roman" w:hAnsi="Arial" w:cs="Arial"/>
                <w:b/>
                <w:bCs/>
                <w:color w:val="FFFFFF" w:themeColor="background1"/>
                <w:szCs w:val="18"/>
                <w:lang w:eastAsia="en-NZ"/>
              </w:rPr>
              <w:t xml:space="preserve">2017/18 Actual </w:t>
            </w:r>
          </w:p>
        </w:tc>
        <w:tc>
          <w:tcPr>
            <w:tcW w:w="1315" w:type="dxa"/>
            <w:tcBorders>
              <w:top w:val="single" w:sz="4" w:space="0" w:color="FFFFFF" w:themeColor="background1"/>
              <w:left w:val="single" w:sz="4" w:space="0" w:color="FFFFFF" w:themeColor="background1"/>
              <w:right w:val="single" w:sz="4" w:space="0" w:color="FFFFFF" w:themeColor="background1"/>
            </w:tcBorders>
            <w:shd w:val="clear" w:color="auto" w:fill="0070C0"/>
            <w:vAlign w:val="bottom"/>
            <w:hideMark/>
          </w:tcPr>
          <w:p w:rsidR="00006279" w:rsidRPr="00586E5D" w:rsidRDefault="009F7685" w:rsidP="009F7685">
            <w:pPr>
              <w:spacing w:before="60" w:after="0" w:line="240" w:lineRule="auto"/>
              <w:jc w:val="center"/>
              <w:rPr>
                <w:rFonts w:ascii="Arial" w:eastAsia="Times New Roman" w:hAnsi="Arial" w:cs="Arial"/>
                <w:b/>
                <w:bCs/>
                <w:color w:val="FFFFFF" w:themeColor="background1"/>
                <w:szCs w:val="18"/>
                <w:lang w:eastAsia="en-NZ"/>
              </w:rPr>
            </w:pPr>
            <w:r>
              <w:rPr>
                <w:rFonts w:ascii="Arial" w:eastAsia="Times New Roman" w:hAnsi="Arial" w:cs="Arial"/>
                <w:b/>
                <w:bCs/>
                <w:color w:val="FFFFFF" w:themeColor="background1"/>
                <w:szCs w:val="18"/>
                <w:lang w:eastAsia="en-NZ"/>
              </w:rPr>
              <w:t xml:space="preserve">2018/19 Budget  </w:t>
            </w:r>
          </w:p>
        </w:tc>
        <w:tc>
          <w:tcPr>
            <w:tcW w:w="1316" w:type="dxa"/>
            <w:tcBorders>
              <w:top w:val="single" w:sz="4" w:space="0" w:color="FFFFFF" w:themeColor="background1"/>
              <w:left w:val="single" w:sz="4" w:space="0" w:color="FFFFFF" w:themeColor="background1"/>
              <w:right w:val="single" w:sz="4" w:space="0" w:color="FFFFFF" w:themeColor="background1"/>
            </w:tcBorders>
            <w:shd w:val="clear" w:color="auto" w:fill="0070C0"/>
            <w:vAlign w:val="bottom"/>
            <w:hideMark/>
          </w:tcPr>
          <w:p w:rsidR="00006279" w:rsidRPr="00586E5D" w:rsidRDefault="009F7685" w:rsidP="009F7685">
            <w:pPr>
              <w:spacing w:before="60" w:after="0" w:line="240" w:lineRule="auto"/>
              <w:jc w:val="center"/>
              <w:rPr>
                <w:rFonts w:ascii="Arial" w:eastAsia="Times New Roman" w:hAnsi="Arial" w:cs="Arial"/>
                <w:b/>
                <w:bCs/>
                <w:color w:val="FFFFFF" w:themeColor="background1"/>
                <w:szCs w:val="18"/>
                <w:lang w:eastAsia="en-NZ"/>
              </w:rPr>
            </w:pPr>
            <w:r>
              <w:rPr>
                <w:rFonts w:ascii="Arial" w:eastAsia="Times New Roman" w:hAnsi="Arial" w:cs="Arial"/>
                <w:b/>
                <w:bCs/>
                <w:color w:val="FFFFFF" w:themeColor="background1"/>
                <w:szCs w:val="18"/>
                <w:lang w:eastAsia="en-NZ"/>
              </w:rPr>
              <w:t>2018/19 Revisions</w:t>
            </w:r>
          </w:p>
        </w:tc>
        <w:tc>
          <w:tcPr>
            <w:tcW w:w="1311" w:type="dxa"/>
            <w:tcBorders>
              <w:top w:val="single" w:sz="4" w:space="0" w:color="FFFFFF" w:themeColor="background1"/>
              <w:left w:val="single" w:sz="4" w:space="0" w:color="FFFFFF" w:themeColor="background1"/>
              <w:right w:val="single" w:sz="4" w:space="0" w:color="FFFFFF" w:themeColor="background1"/>
            </w:tcBorders>
            <w:shd w:val="clear" w:color="auto" w:fill="0070C0"/>
            <w:vAlign w:val="bottom"/>
            <w:hideMark/>
          </w:tcPr>
          <w:p w:rsidR="00006279" w:rsidRPr="00586E5D" w:rsidRDefault="009F7685" w:rsidP="009F7685">
            <w:pPr>
              <w:spacing w:before="60" w:after="0" w:line="240" w:lineRule="auto"/>
              <w:jc w:val="center"/>
              <w:rPr>
                <w:rFonts w:ascii="Arial" w:eastAsia="Times New Roman" w:hAnsi="Arial" w:cs="Arial"/>
                <w:b/>
                <w:bCs/>
                <w:color w:val="FFFFFF" w:themeColor="background1"/>
                <w:szCs w:val="18"/>
                <w:lang w:eastAsia="en-NZ"/>
              </w:rPr>
            </w:pPr>
            <w:r>
              <w:rPr>
                <w:rFonts w:ascii="Arial" w:eastAsia="Times New Roman" w:hAnsi="Arial" w:cs="Arial"/>
                <w:b/>
                <w:bCs/>
                <w:color w:val="FFFFFF" w:themeColor="background1"/>
                <w:szCs w:val="18"/>
                <w:lang w:eastAsia="en-NZ"/>
              </w:rPr>
              <w:t>2018/19 Actual</w:t>
            </w:r>
          </w:p>
        </w:tc>
        <w:tc>
          <w:tcPr>
            <w:tcW w:w="1315" w:type="dxa"/>
            <w:tcBorders>
              <w:top w:val="single" w:sz="4" w:space="0" w:color="FFFFFF" w:themeColor="background1"/>
              <w:left w:val="single" w:sz="4" w:space="0" w:color="FFFFFF" w:themeColor="background1"/>
              <w:right w:val="single" w:sz="4" w:space="0" w:color="FFFFFF" w:themeColor="background1"/>
            </w:tcBorders>
            <w:shd w:val="clear" w:color="auto" w:fill="0070C0"/>
            <w:vAlign w:val="bottom"/>
            <w:hideMark/>
          </w:tcPr>
          <w:p w:rsidR="00006279" w:rsidRPr="00586E5D" w:rsidRDefault="009F7685" w:rsidP="009F7685">
            <w:pPr>
              <w:spacing w:before="60" w:after="0" w:line="240" w:lineRule="auto"/>
              <w:jc w:val="center"/>
              <w:rPr>
                <w:rFonts w:ascii="Arial" w:eastAsia="Times New Roman" w:hAnsi="Arial" w:cs="Arial"/>
                <w:b/>
                <w:bCs/>
                <w:color w:val="FFFFFF" w:themeColor="background1"/>
                <w:szCs w:val="18"/>
                <w:lang w:eastAsia="en-NZ"/>
              </w:rPr>
            </w:pPr>
            <w:r>
              <w:rPr>
                <w:rFonts w:ascii="Arial" w:eastAsia="Times New Roman" w:hAnsi="Arial" w:cs="Arial"/>
                <w:b/>
                <w:bCs/>
                <w:color w:val="FFFFFF" w:themeColor="background1"/>
                <w:szCs w:val="18"/>
                <w:lang w:eastAsia="en-NZ"/>
              </w:rPr>
              <w:t>2018/19 Revised budget</w:t>
            </w:r>
          </w:p>
        </w:tc>
        <w:tc>
          <w:tcPr>
            <w:tcW w:w="1903" w:type="dxa"/>
            <w:tcBorders>
              <w:top w:val="single" w:sz="4" w:space="0" w:color="FFFFFF" w:themeColor="background1"/>
              <w:left w:val="single" w:sz="4" w:space="0" w:color="FFFFFF" w:themeColor="background1"/>
              <w:right w:val="nil"/>
            </w:tcBorders>
            <w:shd w:val="clear" w:color="auto" w:fill="0070C0"/>
            <w:vAlign w:val="bottom"/>
            <w:hideMark/>
          </w:tcPr>
          <w:p w:rsidR="00006279" w:rsidRPr="00586E5D" w:rsidRDefault="00006279" w:rsidP="009F7685">
            <w:pPr>
              <w:spacing w:before="60" w:after="0" w:line="240" w:lineRule="auto"/>
              <w:jc w:val="center"/>
              <w:rPr>
                <w:rFonts w:ascii="Arial" w:eastAsia="Times New Roman" w:hAnsi="Arial" w:cs="Arial"/>
                <w:b/>
                <w:bCs/>
                <w:color w:val="FFFFFF" w:themeColor="background1"/>
                <w:szCs w:val="18"/>
                <w:lang w:eastAsia="en-NZ"/>
              </w:rPr>
            </w:pPr>
            <w:r w:rsidRPr="00586E5D">
              <w:rPr>
                <w:rFonts w:ascii="Arial" w:eastAsia="Times New Roman" w:hAnsi="Arial" w:cs="Arial"/>
                <w:b/>
                <w:bCs/>
                <w:color w:val="FFFFFF" w:themeColor="background1"/>
                <w:szCs w:val="18"/>
                <w:lang w:eastAsia="en-NZ"/>
              </w:rPr>
              <w:t>2018/</w:t>
            </w:r>
            <w:r w:rsidR="009F7685">
              <w:rPr>
                <w:rFonts w:ascii="Arial" w:eastAsia="Times New Roman" w:hAnsi="Arial" w:cs="Arial"/>
                <w:b/>
                <w:bCs/>
                <w:color w:val="FFFFFF" w:themeColor="background1"/>
                <w:szCs w:val="18"/>
                <w:lang w:eastAsia="en-NZ"/>
              </w:rPr>
              <w:t>19  Variance to revised budget</w:t>
            </w:r>
          </w:p>
        </w:tc>
      </w:tr>
      <w:tr w:rsidR="00006279" w:rsidRPr="001244BB" w:rsidTr="00586E5D">
        <w:trPr>
          <w:trHeight w:val="293"/>
        </w:trPr>
        <w:tc>
          <w:tcPr>
            <w:tcW w:w="14176" w:type="dxa"/>
            <w:gridSpan w:val="8"/>
            <w:tcBorders>
              <w:top w:val="nil"/>
              <w:left w:val="nil"/>
            </w:tcBorders>
            <w:shd w:val="clear" w:color="auto" w:fill="auto"/>
            <w:noWrap/>
            <w:vAlign w:val="bottom"/>
            <w:hideMark/>
          </w:tcPr>
          <w:p w:rsidR="00006279" w:rsidRPr="00467C27" w:rsidRDefault="00006279" w:rsidP="0035318B">
            <w:pPr>
              <w:spacing w:after="0" w:line="240" w:lineRule="auto"/>
              <w:rPr>
                <w:rFonts w:ascii="Arial" w:eastAsia="Times New Roman" w:hAnsi="Arial" w:cs="Arial"/>
                <w:b/>
                <w:bCs/>
                <w:color w:val="000000"/>
                <w:sz w:val="20"/>
                <w:lang w:eastAsia="en-NZ"/>
              </w:rPr>
            </w:pPr>
            <w:r w:rsidRPr="001244BB">
              <w:rPr>
                <w:rFonts w:ascii="Arial" w:eastAsia="Times New Roman" w:hAnsi="Arial" w:cs="Arial"/>
                <w:b/>
                <w:bCs/>
                <w:color w:val="000000"/>
                <w:sz w:val="20"/>
                <w:lang w:eastAsia="en-NZ"/>
              </w:rPr>
              <w:t>1.1 Governance, information and engagement expenditure</w:t>
            </w:r>
            <w:r w:rsidRPr="001244BB">
              <w:rPr>
                <w:rFonts w:ascii="Arial" w:eastAsia="Times New Roman" w:hAnsi="Arial" w:cs="Arial"/>
                <w:b/>
                <w:bCs/>
                <w:color w:val="333333"/>
                <w:szCs w:val="24"/>
                <w:vertAlign w:val="superscript"/>
                <w:lang w:eastAsia="en-NZ"/>
              </w:rPr>
              <w:t>  </w:t>
            </w:r>
          </w:p>
        </w:tc>
      </w:tr>
      <w:tr w:rsidR="00006279" w:rsidRPr="001244BB" w:rsidTr="00586E5D">
        <w:trPr>
          <w:trHeight w:val="300"/>
        </w:trPr>
        <w:tc>
          <w:tcPr>
            <w:tcW w:w="4398" w:type="dxa"/>
            <w:tcBorders>
              <w:left w:val="nil"/>
              <w:bottom w:val="single" w:sz="4" w:space="0" w:color="auto"/>
              <w:right w:val="single" w:sz="4" w:space="0" w:color="00B0F0"/>
            </w:tcBorders>
            <w:shd w:val="clear" w:color="auto" w:fill="B8CCE4" w:themeFill="accent1" w:themeFillTint="66"/>
            <w:noWrap/>
            <w:vAlign w:val="center"/>
            <w:hideMark/>
          </w:tcPr>
          <w:p w:rsidR="00006279" w:rsidRPr="001244BB" w:rsidRDefault="00006279" w:rsidP="0035318B">
            <w:pPr>
              <w:spacing w:after="0" w:line="240" w:lineRule="auto"/>
              <w:rPr>
                <w:rFonts w:ascii="Arial" w:eastAsia="Times New Roman" w:hAnsi="Arial" w:cs="Arial"/>
                <w:b/>
                <w:bCs/>
                <w:color w:val="000000"/>
                <w:sz w:val="20"/>
                <w:lang w:eastAsia="en-NZ"/>
              </w:rPr>
            </w:pPr>
            <w:r w:rsidRPr="001244BB">
              <w:rPr>
                <w:rFonts w:ascii="Arial" w:eastAsia="Times New Roman" w:hAnsi="Arial" w:cs="Arial"/>
                <w:b/>
                <w:bCs/>
                <w:color w:val="000000"/>
                <w:sz w:val="20"/>
                <w:lang w:eastAsia="en-NZ"/>
              </w:rPr>
              <w:t>Governance Total</w:t>
            </w:r>
          </w:p>
        </w:tc>
        <w:tc>
          <w:tcPr>
            <w:tcW w:w="1309" w:type="dxa"/>
            <w:tcBorders>
              <w:left w:val="single" w:sz="4" w:space="0" w:color="00B0F0"/>
              <w:bottom w:val="single" w:sz="4" w:space="0" w:color="auto"/>
              <w:right w:val="single" w:sz="4" w:space="0" w:color="00B0F0"/>
            </w:tcBorders>
            <w:shd w:val="clear" w:color="auto" w:fill="B8CCE4" w:themeFill="accent1" w:themeFillTint="66"/>
            <w:noWrap/>
            <w:vAlign w:val="center"/>
            <w:hideMark/>
          </w:tcPr>
          <w:p w:rsidR="00006279" w:rsidRPr="001244BB" w:rsidRDefault="00006279" w:rsidP="0035318B">
            <w:pPr>
              <w:spacing w:after="0" w:line="240" w:lineRule="auto"/>
              <w:jc w:val="right"/>
              <w:rPr>
                <w:rFonts w:ascii="Arial" w:eastAsia="Times New Roman" w:hAnsi="Arial" w:cs="Arial"/>
                <w:b/>
                <w:bCs/>
                <w:color w:val="000000"/>
                <w:sz w:val="20"/>
                <w:lang w:eastAsia="en-NZ"/>
              </w:rPr>
            </w:pPr>
            <w:r w:rsidRPr="001244BB">
              <w:rPr>
                <w:rFonts w:ascii="Arial" w:eastAsia="Times New Roman" w:hAnsi="Arial" w:cs="Arial"/>
                <w:b/>
                <w:bCs/>
                <w:color w:val="000000"/>
                <w:sz w:val="20"/>
                <w:lang w:eastAsia="en-NZ"/>
              </w:rPr>
              <w:t>-</w:t>
            </w:r>
          </w:p>
        </w:tc>
        <w:tc>
          <w:tcPr>
            <w:tcW w:w="1309" w:type="dxa"/>
            <w:tcBorders>
              <w:left w:val="single" w:sz="4" w:space="0" w:color="00B0F0"/>
              <w:bottom w:val="single" w:sz="4" w:space="0" w:color="auto"/>
              <w:right w:val="single" w:sz="4" w:space="0" w:color="00B0F0"/>
            </w:tcBorders>
            <w:shd w:val="clear" w:color="auto" w:fill="B8CCE4" w:themeFill="accent1" w:themeFillTint="66"/>
            <w:noWrap/>
            <w:vAlign w:val="center"/>
            <w:hideMark/>
          </w:tcPr>
          <w:p w:rsidR="00006279" w:rsidRPr="001244BB" w:rsidRDefault="00006279" w:rsidP="0035318B">
            <w:pPr>
              <w:spacing w:after="0" w:line="240" w:lineRule="auto"/>
              <w:jc w:val="right"/>
              <w:rPr>
                <w:rFonts w:ascii="Arial" w:eastAsia="Times New Roman" w:hAnsi="Arial" w:cs="Arial"/>
                <w:b/>
                <w:bCs/>
                <w:color w:val="000000"/>
                <w:sz w:val="20"/>
                <w:lang w:eastAsia="en-NZ"/>
              </w:rPr>
            </w:pPr>
            <w:r w:rsidRPr="001244BB">
              <w:rPr>
                <w:rFonts w:ascii="Arial" w:eastAsia="Times New Roman" w:hAnsi="Arial" w:cs="Arial"/>
                <w:b/>
                <w:bCs/>
                <w:color w:val="000000"/>
                <w:sz w:val="20"/>
                <w:lang w:eastAsia="en-NZ"/>
              </w:rPr>
              <w:t>8</w:t>
            </w:r>
          </w:p>
        </w:tc>
        <w:tc>
          <w:tcPr>
            <w:tcW w:w="1315" w:type="dxa"/>
            <w:tcBorders>
              <w:left w:val="single" w:sz="4" w:space="0" w:color="00B0F0"/>
              <w:bottom w:val="single" w:sz="4" w:space="0" w:color="auto"/>
              <w:right w:val="single" w:sz="4" w:space="0" w:color="00B0F0"/>
            </w:tcBorders>
            <w:shd w:val="clear" w:color="auto" w:fill="B8CCE4" w:themeFill="accent1" w:themeFillTint="66"/>
            <w:noWrap/>
            <w:vAlign w:val="center"/>
            <w:hideMark/>
          </w:tcPr>
          <w:p w:rsidR="00006279" w:rsidRPr="001244BB" w:rsidRDefault="00006279" w:rsidP="0035318B">
            <w:pPr>
              <w:spacing w:after="0" w:line="240" w:lineRule="auto"/>
              <w:jc w:val="right"/>
              <w:rPr>
                <w:rFonts w:ascii="Arial" w:eastAsia="Times New Roman" w:hAnsi="Arial" w:cs="Arial"/>
                <w:b/>
                <w:bCs/>
                <w:color w:val="000000"/>
                <w:sz w:val="20"/>
                <w:lang w:eastAsia="en-NZ"/>
              </w:rPr>
            </w:pPr>
            <w:r w:rsidRPr="001244BB">
              <w:rPr>
                <w:rFonts w:ascii="Arial" w:eastAsia="Times New Roman" w:hAnsi="Arial" w:cs="Arial"/>
                <w:b/>
                <w:bCs/>
                <w:color w:val="000000"/>
                <w:sz w:val="20"/>
                <w:lang w:eastAsia="en-NZ"/>
              </w:rPr>
              <w:t>51</w:t>
            </w:r>
          </w:p>
        </w:tc>
        <w:tc>
          <w:tcPr>
            <w:tcW w:w="1316" w:type="dxa"/>
            <w:tcBorders>
              <w:left w:val="single" w:sz="4" w:space="0" w:color="00B0F0"/>
              <w:bottom w:val="single" w:sz="4" w:space="0" w:color="auto"/>
              <w:right w:val="single" w:sz="4" w:space="0" w:color="00B0F0"/>
            </w:tcBorders>
            <w:shd w:val="clear" w:color="auto" w:fill="B8CCE4" w:themeFill="accent1" w:themeFillTint="66"/>
            <w:noWrap/>
            <w:vAlign w:val="center"/>
            <w:hideMark/>
          </w:tcPr>
          <w:p w:rsidR="00006279" w:rsidRPr="001244BB" w:rsidRDefault="00006279" w:rsidP="0035318B">
            <w:pPr>
              <w:spacing w:after="0" w:line="240" w:lineRule="auto"/>
              <w:jc w:val="right"/>
              <w:rPr>
                <w:rFonts w:ascii="Arial" w:eastAsia="Times New Roman" w:hAnsi="Arial" w:cs="Arial"/>
                <w:b/>
                <w:bCs/>
                <w:color w:val="000000"/>
                <w:sz w:val="20"/>
                <w:lang w:eastAsia="en-NZ"/>
              </w:rPr>
            </w:pPr>
            <w:r w:rsidRPr="001244BB">
              <w:rPr>
                <w:rFonts w:ascii="Arial" w:eastAsia="Times New Roman" w:hAnsi="Arial" w:cs="Arial"/>
                <w:b/>
                <w:bCs/>
                <w:color w:val="000000"/>
                <w:sz w:val="20"/>
                <w:lang w:eastAsia="en-NZ"/>
              </w:rPr>
              <w:t>(29)</w:t>
            </w:r>
          </w:p>
        </w:tc>
        <w:tc>
          <w:tcPr>
            <w:tcW w:w="1311" w:type="dxa"/>
            <w:tcBorders>
              <w:left w:val="single" w:sz="4" w:space="0" w:color="00B0F0"/>
              <w:bottom w:val="single" w:sz="4" w:space="0" w:color="auto"/>
              <w:right w:val="single" w:sz="4" w:space="0" w:color="00B0F0"/>
            </w:tcBorders>
            <w:shd w:val="clear" w:color="auto" w:fill="B8CCE4" w:themeFill="accent1" w:themeFillTint="66"/>
            <w:noWrap/>
            <w:vAlign w:val="center"/>
            <w:hideMark/>
          </w:tcPr>
          <w:p w:rsidR="00006279" w:rsidRPr="001244BB" w:rsidRDefault="00006279" w:rsidP="0035318B">
            <w:pPr>
              <w:spacing w:after="0" w:line="240" w:lineRule="auto"/>
              <w:jc w:val="right"/>
              <w:rPr>
                <w:rFonts w:ascii="Arial" w:eastAsia="Times New Roman" w:hAnsi="Arial" w:cs="Arial"/>
                <w:b/>
                <w:bCs/>
                <w:color w:val="000000"/>
                <w:sz w:val="20"/>
                <w:lang w:eastAsia="en-NZ"/>
              </w:rPr>
            </w:pPr>
            <w:r w:rsidRPr="001244BB">
              <w:rPr>
                <w:rFonts w:ascii="Arial" w:eastAsia="Times New Roman" w:hAnsi="Arial" w:cs="Arial"/>
                <w:b/>
                <w:bCs/>
                <w:color w:val="000000"/>
                <w:sz w:val="20"/>
                <w:lang w:eastAsia="en-NZ"/>
              </w:rPr>
              <w:t>-</w:t>
            </w:r>
          </w:p>
        </w:tc>
        <w:tc>
          <w:tcPr>
            <w:tcW w:w="1315" w:type="dxa"/>
            <w:tcBorders>
              <w:left w:val="single" w:sz="4" w:space="0" w:color="00B0F0"/>
              <w:bottom w:val="single" w:sz="4" w:space="0" w:color="auto"/>
              <w:right w:val="single" w:sz="4" w:space="0" w:color="00B0F0"/>
            </w:tcBorders>
            <w:shd w:val="clear" w:color="auto" w:fill="B8CCE4" w:themeFill="accent1" w:themeFillTint="66"/>
            <w:noWrap/>
            <w:vAlign w:val="center"/>
            <w:hideMark/>
          </w:tcPr>
          <w:p w:rsidR="00006279" w:rsidRPr="001244BB" w:rsidRDefault="00006279" w:rsidP="0035318B">
            <w:pPr>
              <w:spacing w:after="0" w:line="240" w:lineRule="auto"/>
              <w:jc w:val="right"/>
              <w:rPr>
                <w:rFonts w:ascii="Arial" w:eastAsia="Times New Roman" w:hAnsi="Arial" w:cs="Arial"/>
                <w:b/>
                <w:bCs/>
                <w:color w:val="000000"/>
                <w:sz w:val="20"/>
                <w:lang w:eastAsia="en-NZ"/>
              </w:rPr>
            </w:pPr>
            <w:r w:rsidRPr="001244BB">
              <w:rPr>
                <w:rFonts w:ascii="Arial" w:eastAsia="Times New Roman" w:hAnsi="Arial" w:cs="Arial"/>
                <w:b/>
                <w:bCs/>
                <w:color w:val="000000"/>
                <w:sz w:val="20"/>
                <w:lang w:eastAsia="en-NZ"/>
              </w:rPr>
              <w:t>22</w:t>
            </w:r>
          </w:p>
        </w:tc>
        <w:tc>
          <w:tcPr>
            <w:tcW w:w="1903" w:type="dxa"/>
            <w:tcBorders>
              <w:left w:val="single" w:sz="4" w:space="0" w:color="00B0F0"/>
              <w:bottom w:val="single" w:sz="4" w:space="0" w:color="auto"/>
              <w:right w:val="nil"/>
            </w:tcBorders>
            <w:shd w:val="clear" w:color="auto" w:fill="B8CCE4" w:themeFill="accent1" w:themeFillTint="66"/>
            <w:noWrap/>
            <w:vAlign w:val="center"/>
            <w:hideMark/>
          </w:tcPr>
          <w:p w:rsidR="00006279" w:rsidRPr="001244BB" w:rsidRDefault="00006279" w:rsidP="0035318B">
            <w:pPr>
              <w:spacing w:after="0" w:line="240" w:lineRule="auto"/>
              <w:jc w:val="right"/>
              <w:rPr>
                <w:rFonts w:ascii="Arial" w:eastAsia="Times New Roman" w:hAnsi="Arial" w:cs="Arial"/>
                <w:b/>
                <w:bCs/>
                <w:color w:val="000000"/>
                <w:sz w:val="20"/>
                <w:lang w:eastAsia="en-NZ"/>
              </w:rPr>
            </w:pPr>
            <w:r w:rsidRPr="001244BB">
              <w:rPr>
                <w:rFonts w:ascii="Arial" w:eastAsia="Times New Roman" w:hAnsi="Arial" w:cs="Arial"/>
                <w:b/>
                <w:bCs/>
                <w:color w:val="000000"/>
                <w:sz w:val="20"/>
                <w:lang w:eastAsia="en-NZ"/>
              </w:rPr>
              <w:t>22</w:t>
            </w:r>
          </w:p>
        </w:tc>
      </w:tr>
    </w:tbl>
    <w:p w:rsidR="007D1D61" w:rsidRPr="00D5126A" w:rsidRDefault="007D1D61" w:rsidP="00AA2122">
      <w:pPr>
        <w:pStyle w:val="Heading3"/>
      </w:pPr>
      <w:bookmarkStart w:id="157" w:name="_Toc19085812"/>
      <w:r w:rsidRPr="00D5126A">
        <w:lastRenderedPageBreak/>
        <w:t>Governance performance</w:t>
      </w:r>
      <w:bookmarkEnd w:id="152"/>
      <w:bookmarkEnd w:id="153"/>
      <w:bookmarkEnd w:id="154"/>
      <w:bookmarkEnd w:id="155"/>
      <w:bookmarkEnd w:id="157"/>
    </w:p>
    <w:p w:rsidR="007D1D61" w:rsidRPr="00D5126A" w:rsidRDefault="007D1D61" w:rsidP="007D1D61">
      <w:pPr>
        <w:pStyle w:val="Para034"/>
        <w:spacing w:before="0" w:after="0" w:line="240" w:lineRule="auto"/>
        <w:rPr>
          <w:rFonts w:ascii="Arial" w:hAnsi="Arial" w:cs="Arial"/>
        </w:rPr>
      </w:pPr>
    </w:p>
    <w:p w:rsidR="007D1D61" w:rsidRPr="00D5126A" w:rsidRDefault="007D1D61" w:rsidP="007D1D61">
      <w:pPr>
        <w:pStyle w:val="Para034"/>
        <w:spacing w:before="0" w:after="0" w:line="240" w:lineRule="auto"/>
        <w:rPr>
          <w:rFonts w:ascii="Arial" w:hAnsi="Arial" w:cs="Arial"/>
        </w:rPr>
      </w:pPr>
      <w:r w:rsidRPr="00D5126A">
        <w:rPr>
          <w:rFonts w:ascii="Arial" w:hAnsi="Arial" w:cs="Arial"/>
        </w:rPr>
        <w:t>The following section outlines our performance data: outcome indicators, performance measures and supplementary tables.</w:t>
      </w:r>
    </w:p>
    <w:p w:rsidR="007D1D61" w:rsidRPr="00D5126A" w:rsidRDefault="007D1D61" w:rsidP="007D1D61">
      <w:pPr>
        <w:pStyle w:val="Para034"/>
        <w:spacing w:before="0" w:after="0" w:line="240" w:lineRule="auto"/>
        <w:rPr>
          <w:rFonts w:ascii="Arial" w:hAnsi="Arial" w:cs="Arial"/>
        </w:rPr>
      </w:pPr>
      <w:r w:rsidRPr="00D5126A">
        <w:rPr>
          <w:rFonts w:ascii="Arial" w:hAnsi="Arial" w:cs="Arial"/>
        </w:rPr>
        <w:t>We use outcome indicators to monitor our city over time, which provides information on trends that may influence our performance, including those outside our control.</w:t>
      </w:r>
    </w:p>
    <w:p w:rsidR="007D1D61" w:rsidRPr="00D5126A" w:rsidRDefault="007D1D61" w:rsidP="007D1D61">
      <w:pPr>
        <w:pStyle w:val="Para034"/>
        <w:spacing w:before="0" w:after="0" w:line="240" w:lineRule="auto"/>
        <w:rPr>
          <w:rFonts w:ascii="Arial" w:hAnsi="Arial" w:cs="Arial"/>
        </w:rPr>
      </w:pPr>
      <w:r w:rsidRPr="00D5126A">
        <w:rPr>
          <w:rFonts w:ascii="Arial" w:hAnsi="Arial" w:cs="Arial"/>
        </w:rPr>
        <w:t>We use performance measures to track how well we are delivering services against targets, as set out in the 10-year and annual plans.</w:t>
      </w:r>
    </w:p>
    <w:p w:rsidR="007D1D61" w:rsidRPr="00D5126A" w:rsidRDefault="007D1D61" w:rsidP="007D1D61">
      <w:pPr>
        <w:pStyle w:val="Para034"/>
        <w:spacing w:before="0" w:after="0" w:line="240" w:lineRule="auto"/>
        <w:rPr>
          <w:rFonts w:ascii="Arial" w:hAnsi="Arial" w:cs="Arial"/>
        </w:rPr>
      </w:pPr>
      <w:r w:rsidRPr="00D5126A">
        <w:rPr>
          <w:rFonts w:ascii="Arial" w:hAnsi="Arial" w:cs="Arial"/>
        </w:rPr>
        <w:t xml:space="preserve">The Council undertakes the Residents’ Monitoring Survey (RMS) on an annual basis. The survey has a margin of error of </w:t>
      </w:r>
      <w:r w:rsidR="001D2EAA">
        <w:t>+/- 4.4% percent.</w:t>
      </w:r>
    </w:p>
    <w:p w:rsidR="007F78CB" w:rsidRDefault="007F78CB" w:rsidP="00846C1B">
      <w:pPr>
        <w:pStyle w:val="Heading4"/>
      </w:pPr>
      <w:bookmarkStart w:id="158" w:name="Performance_data___outcome_indicators"/>
    </w:p>
    <w:p w:rsidR="007D1D61" w:rsidRPr="00D5126A" w:rsidRDefault="007D1D61" w:rsidP="00846C1B">
      <w:pPr>
        <w:pStyle w:val="Heading4"/>
      </w:pPr>
      <w:r w:rsidRPr="00D5126A">
        <w:t>Performance data – outcome indicators</w:t>
      </w:r>
      <w:bookmarkEnd w:id="158"/>
    </w:p>
    <w:p w:rsidR="007D1D61" w:rsidRPr="00D5126A" w:rsidRDefault="007D1D61" w:rsidP="007D1D61">
      <w:pPr>
        <w:pStyle w:val="Para034"/>
        <w:spacing w:before="0" w:after="0" w:line="240" w:lineRule="auto"/>
        <w:rPr>
          <w:rFonts w:ascii="Arial" w:hAnsi="Arial" w:cs="Arial"/>
        </w:rPr>
      </w:pPr>
      <w:r w:rsidRPr="00D5126A">
        <w:rPr>
          <w:rFonts w:ascii="Arial" w:hAnsi="Arial" w:cs="Arial"/>
        </w:rPr>
        <w:t xml:space="preserve">The following section outlines outcome indicators for the Governance activity area. Outcome indicators do not have targets. </w:t>
      </w:r>
      <w:r w:rsidR="00E46729">
        <w:rPr>
          <w:rFonts w:ascii="Arial" w:hAnsi="Arial" w:cs="Arial"/>
        </w:rPr>
        <w:t>Of the eight outcome indicators we monitor, two showed a positive trend.</w:t>
      </w:r>
    </w:p>
    <w:p w:rsidR="007D1D61" w:rsidRPr="00D5126A" w:rsidRDefault="007D1D61" w:rsidP="007D1D61">
      <w:pPr>
        <w:pStyle w:val="Para034"/>
        <w:spacing w:before="0" w:after="0" w:line="240" w:lineRule="auto"/>
        <w:rPr>
          <w:rFonts w:ascii="Arial" w:hAnsi="Arial" w:cs="Arial"/>
        </w:rPr>
      </w:pPr>
    </w:p>
    <w:tbl>
      <w:tblPr>
        <w:tblW w:w="13750" w:type="dxa"/>
        <w:tblInd w:w="108" w:type="dxa"/>
        <w:tblBorders>
          <w:insideH w:val="single" w:sz="4" w:space="0" w:color="00B0F0"/>
          <w:insideV w:val="single" w:sz="4" w:space="0" w:color="00B0F0"/>
        </w:tblBorders>
        <w:tblLayout w:type="fixed"/>
        <w:tblLook w:val="04A0" w:firstRow="1" w:lastRow="0" w:firstColumn="1" w:lastColumn="0" w:noHBand="0" w:noVBand="1"/>
      </w:tblPr>
      <w:tblGrid>
        <w:gridCol w:w="2740"/>
        <w:gridCol w:w="1148"/>
        <w:gridCol w:w="1357"/>
        <w:gridCol w:w="1606"/>
        <w:gridCol w:w="1740"/>
        <w:gridCol w:w="8"/>
        <w:gridCol w:w="1749"/>
        <w:gridCol w:w="3402"/>
      </w:tblGrid>
      <w:tr w:rsidR="00006279" w:rsidRPr="001244BB" w:rsidTr="00467B7D">
        <w:trPr>
          <w:trHeight w:val="259"/>
        </w:trPr>
        <w:tc>
          <w:tcPr>
            <w:tcW w:w="2740" w:type="dxa"/>
            <w:tcBorders>
              <w:top w:val="nil"/>
              <w:bottom w:val="nil"/>
              <w:right w:val="single" w:sz="4" w:space="0" w:color="FFFFFF" w:themeColor="background1"/>
            </w:tcBorders>
            <w:shd w:val="clear" w:color="auto" w:fill="0070C0"/>
            <w:vAlign w:val="bottom"/>
            <w:hideMark/>
          </w:tcPr>
          <w:p w:rsidR="00006279" w:rsidRPr="001244BB" w:rsidRDefault="00006279" w:rsidP="0035318B">
            <w:pPr>
              <w:spacing w:after="0" w:line="240" w:lineRule="auto"/>
              <w:rPr>
                <w:rFonts w:ascii="Arial" w:eastAsia="Times New Roman" w:hAnsi="Arial" w:cs="Arial"/>
                <w:b/>
                <w:bCs/>
                <w:color w:val="FFFFFF"/>
                <w:szCs w:val="20"/>
                <w:lang w:eastAsia="en-NZ"/>
              </w:rPr>
            </w:pPr>
            <w:r w:rsidRPr="001244BB">
              <w:rPr>
                <w:rFonts w:ascii="Arial" w:eastAsia="Times New Roman" w:hAnsi="Arial" w:cs="Arial"/>
                <w:b/>
                <w:bCs/>
                <w:color w:val="FFFFFF"/>
                <w:szCs w:val="20"/>
                <w:lang w:eastAsia="en-NZ"/>
              </w:rPr>
              <w:t>Governance</w:t>
            </w:r>
          </w:p>
        </w:tc>
        <w:tc>
          <w:tcPr>
            <w:tcW w:w="1148" w:type="dxa"/>
            <w:tcBorders>
              <w:top w:val="nil"/>
              <w:left w:val="single" w:sz="4" w:space="0" w:color="FFFFFF" w:themeColor="background1"/>
              <w:bottom w:val="nil"/>
              <w:right w:val="single" w:sz="4" w:space="0" w:color="FFFFFF" w:themeColor="background1"/>
            </w:tcBorders>
            <w:shd w:val="clear" w:color="auto" w:fill="0070C0"/>
            <w:noWrap/>
            <w:vAlign w:val="bottom"/>
            <w:hideMark/>
          </w:tcPr>
          <w:p w:rsidR="00006279" w:rsidRPr="001244BB" w:rsidRDefault="00006279" w:rsidP="0035318B">
            <w:pPr>
              <w:spacing w:after="0" w:line="240" w:lineRule="auto"/>
              <w:jc w:val="right"/>
              <w:rPr>
                <w:rFonts w:ascii="Arial" w:eastAsia="Times New Roman" w:hAnsi="Arial" w:cs="Arial"/>
                <w:b/>
                <w:bCs/>
                <w:color w:val="FFFFFF"/>
                <w:szCs w:val="20"/>
                <w:lang w:eastAsia="en-NZ"/>
              </w:rPr>
            </w:pPr>
            <w:r w:rsidRPr="001244BB">
              <w:rPr>
                <w:rFonts w:ascii="Arial" w:eastAsia="Times New Roman" w:hAnsi="Arial" w:cs="Arial"/>
                <w:b/>
                <w:bCs/>
                <w:color w:val="FFFFFF"/>
                <w:szCs w:val="20"/>
                <w:lang w:eastAsia="en-NZ"/>
              </w:rPr>
              <w:t>Desired Trend</w:t>
            </w:r>
          </w:p>
        </w:tc>
        <w:tc>
          <w:tcPr>
            <w:tcW w:w="1357" w:type="dxa"/>
            <w:tcBorders>
              <w:top w:val="nil"/>
              <w:left w:val="single" w:sz="4" w:space="0" w:color="FFFFFF" w:themeColor="background1"/>
              <w:bottom w:val="nil"/>
              <w:right w:val="single" w:sz="4" w:space="0" w:color="FFFFFF" w:themeColor="background1"/>
            </w:tcBorders>
            <w:shd w:val="clear" w:color="auto" w:fill="0070C0"/>
            <w:noWrap/>
            <w:vAlign w:val="bottom"/>
            <w:hideMark/>
          </w:tcPr>
          <w:p w:rsidR="00006279" w:rsidRPr="001244BB" w:rsidRDefault="00006279" w:rsidP="0035318B">
            <w:pPr>
              <w:spacing w:after="0" w:line="240" w:lineRule="auto"/>
              <w:jc w:val="right"/>
              <w:rPr>
                <w:rFonts w:ascii="Arial" w:eastAsia="Times New Roman" w:hAnsi="Arial" w:cs="Arial"/>
                <w:b/>
                <w:bCs/>
                <w:color w:val="FFFFFF"/>
                <w:szCs w:val="20"/>
                <w:lang w:eastAsia="en-NZ"/>
              </w:rPr>
            </w:pPr>
            <w:r w:rsidRPr="001244BB">
              <w:rPr>
                <w:rFonts w:ascii="Arial" w:eastAsia="Times New Roman" w:hAnsi="Arial" w:cs="Arial"/>
                <w:b/>
                <w:bCs/>
                <w:color w:val="FFFFFF"/>
                <w:szCs w:val="20"/>
                <w:lang w:eastAsia="en-NZ"/>
              </w:rPr>
              <w:t>Source</w:t>
            </w:r>
          </w:p>
        </w:tc>
        <w:tc>
          <w:tcPr>
            <w:tcW w:w="1606" w:type="dxa"/>
            <w:tcBorders>
              <w:top w:val="nil"/>
              <w:left w:val="single" w:sz="4" w:space="0" w:color="FFFFFF" w:themeColor="background1"/>
              <w:bottom w:val="nil"/>
              <w:right w:val="single" w:sz="4" w:space="0" w:color="FFFFFF" w:themeColor="background1"/>
            </w:tcBorders>
            <w:shd w:val="clear" w:color="auto" w:fill="0070C0"/>
            <w:noWrap/>
            <w:vAlign w:val="bottom"/>
            <w:hideMark/>
          </w:tcPr>
          <w:p w:rsidR="00006279" w:rsidRPr="001244BB" w:rsidRDefault="00006279" w:rsidP="0035318B">
            <w:pPr>
              <w:spacing w:after="0" w:line="240" w:lineRule="auto"/>
              <w:jc w:val="right"/>
              <w:rPr>
                <w:rFonts w:ascii="Arial" w:eastAsia="Times New Roman" w:hAnsi="Arial" w:cs="Arial"/>
                <w:b/>
                <w:bCs/>
                <w:color w:val="FFFFFF" w:themeColor="background1"/>
                <w:szCs w:val="20"/>
                <w:lang w:eastAsia="en-NZ"/>
              </w:rPr>
            </w:pPr>
            <w:r w:rsidRPr="001244BB">
              <w:rPr>
                <w:rFonts w:ascii="Arial" w:eastAsia="Times New Roman" w:hAnsi="Arial" w:cs="Arial"/>
                <w:b/>
                <w:bCs/>
                <w:color w:val="FFFFFF" w:themeColor="background1"/>
                <w:szCs w:val="20"/>
                <w:lang w:eastAsia="en-NZ"/>
              </w:rPr>
              <w:t>2016/17</w:t>
            </w:r>
          </w:p>
        </w:tc>
        <w:tc>
          <w:tcPr>
            <w:tcW w:w="1748" w:type="dxa"/>
            <w:gridSpan w:val="2"/>
            <w:tcBorders>
              <w:top w:val="nil"/>
              <w:left w:val="single" w:sz="4" w:space="0" w:color="FFFFFF" w:themeColor="background1"/>
              <w:bottom w:val="nil"/>
              <w:right w:val="single" w:sz="4" w:space="0" w:color="FFFFFF" w:themeColor="background1"/>
            </w:tcBorders>
            <w:shd w:val="clear" w:color="auto" w:fill="0070C0"/>
            <w:noWrap/>
            <w:vAlign w:val="bottom"/>
            <w:hideMark/>
          </w:tcPr>
          <w:p w:rsidR="00006279" w:rsidRPr="001244BB" w:rsidRDefault="00006279" w:rsidP="0035318B">
            <w:pPr>
              <w:spacing w:after="0" w:line="240" w:lineRule="auto"/>
              <w:jc w:val="right"/>
              <w:rPr>
                <w:rFonts w:ascii="Arial" w:eastAsia="Times New Roman" w:hAnsi="Arial" w:cs="Arial"/>
                <w:b/>
                <w:bCs/>
                <w:color w:val="FFFFFF" w:themeColor="background1"/>
                <w:szCs w:val="20"/>
                <w:lang w:eastAsia="en-NZ"/>
              </w:rPr>
            </w:pPr>
            <w:r w:rsidRPr="001244BB">
              <w:rPr>
                <w:rFonts w:ascii="Arial" w:eastAsia="Times New Roman" w:hAnsi="Arial" w:cs="Arial"/>
                <w:b/>
                <w:bCs/>
                <w:color w:val="FFFFFF" w:themeColor="background1"/>
                <w:szCs w:val="20"/>
                <w:lang w:eastAsia="en-NZ"/>
              </w:rPr>
              <w:t>2017/18</w:t>
            </w:r>
          </w:p>
        </w:tc>
        <w:tc>
          <w:tcPr>
            <w:tcW w:w="1749" w:type="dxa"/>
            <w:tcBorders>
              <w:top w:val="nil"/>
              <w:left w:val="single" w:sz="4" w:space="0" w:color="FFFFFF" w:themeColor="background1"/>
              <w:bottom w:val="nil"/>
              <w:right w:val="single" w:sz="4" w:space="0" w:color="FFFFFF" w:themeColor="background1"/>
            </w:tcBorders>
            <w:shd w:val="clear" w:color="auto" w:fill="0070C0"/>
            <w:noWrap/>
            <w:vAlign w:val="bottom"/>
            <w:hideMark/>
          </w:tcPr>
          <w:p w:rsidR="00006279" w:rsidRPr="001244BB" w:rsidRDefault="00006279" w:rsidP="0035318B">
            <w:pPr>
              <w:spacing w:after="0" w:line="240" w:lineRule="auto"/>
              <w:jc w:val="right"/>
              <w:rPr>
                <w:rFonts w:ascii="Arial" w:eastAsia="Times New Roman" w:hAnsi="Arial" w:cs="Arial"/>
                <w:b/>
                <w:bCs/>
                <w:color w:val="FFFFFF" w:themeColor="background1"/>
                <w:szCs w:val="20"/>
                <w:lang w:eastAsia="en-NZ"/>
              </w:rPr>
            </w:pPr>
            <w:r w:rsidRPr="001244BB">
              <w:rPr>
                <w:rFonts w:ascii="Arial" w:eastAsia="Times New Roman" w:hAnsi="Arial" w:cs="Arial"/>
                <w:b/>
                <w:bCs/>
                <w:color w:val="FFFFFF" w:themeColor="background1"/>
                <w:szCs w:val="20"/>
                <w:lang w:eastAsia="en-NZ"/>
              </w:rPr>
              <w:t>2018/19</w:t>
            </w:r>
          </w:p>
        </w:tc>
        <w:tc>
          <w:tcPr>
            <w:tcW w:w="3402" w:type="dxa"/>
            <w:tcBorders>
              <w:top w:val="nil"/>
              <w:left w:val="single" w:sz="4" w:space="0" w:color="FFFFFF" w:themeColor="background1"/>
              <w:bottom w:val="nil"/>
            </w:tcBorders>
            <w:shd w:val="clear" w:color="auto" w:fill="0070C0"/>
            <w:vAlign w:val="bottom"/>
          </w:tcPr>
          <w:p w:rsidR="00006279" w:rsidRPr="001244BB" w:rsidRDefault="00006279" w:rsidP="0035318B">
            <w:pPr>
              <w:spacing w:after="0" w:line="240" w:lineRule="auto"/>
              <w:rPr>
                <w:rFonts w:ascii="Arial" w:eastAsia="Times New Roman" w:hAnsi="Arial" w:cs="Arial"/>
                <w:b/>
                <w:bCs/>
                <w:color w:val="FFFFFF" w:themeColor="background1"/>
                <w:szCs w:val="20"/>
                <w:lang w:eastAsia="en-NZ"/>
              </w:rPr>
            </w:pPr>
            <w:r w:rsidRPr="001244BB">
              <w:rPr>
                <w:rFonts w:ascii="Arial" w:eastAsia="Times New Roman" w:hAnsi="Arial" w:cs="Arial"/>
                <w:b/>
                <w:bCs/>
                <w:color w:val="FFFFFF" w:themeColor="background1"/>
                <w:szCs w:val="20"/>
                <w:lang w:eastAsia="en-NZ"/>
              </w:rPr>
              <w:t>Comments</w:t>
            </w:r>
          </w:p>
        </w:tc>
      </w:tr>
      <w:tr w:rsidR="00006279" w:rsidRPr="001244BB" w:rsidTr="00467B7D">
        <w:trPr>
          <w:trHeight w:val="255"/>
        </w:trPr>
        <w:tc>
          <w:tcPr>
            <w:tcW w:w="13750" w:type="dxa"/>
            <w:gridSpan w:val="8"/>
            <w:tcBorders>
              <w:top w:val="nil"/>
              <w:bottom w:val="nil"/>
            </w:tcBorders>
            <w:shd w:val="clear" w:color="auto" w:fill="C6D9F1" w:themeFill="text2" w:themeFillTint="33"/>
            <w:hideMark/>
          </w:tcPr>
          <w:p w:rsidR="00006279" w:rsidRPr="001244BB" w:rsidRDefault="00006279" w:rsidP="0035318B">
            <w:pPr>
              <w:spacing w:after="0"/>
              <w:rPr>
                <w:rFonts w:ascii="Arial" w:eastAsia="Times New Roman" w:hAnsi="Arial" w:cs="Arial"/>
                <w:sz w:val="20"/>
                <w:szCs w:val="20"/>
                <w:lang w:eastAsia="en-NZ"/>
              </w:rPr>
            </w:pPr>
            <w:r w:rsidRPr="001244BB">
              <w:rPr>
                <w:rFonts w:ascii="Arial" w:eastAsia="Times New Roman" w:hAnsi="Arial" w:cs="Arial"/>
                <w:b/>
                <w:bCs/>
                <w:i/>
                <w:iCs/>
                <w:sz w:val="20"/>
                <w:szCs w:val="20"/>
                <w:lang w:eastAsia="en-NZ"/>
              </w:rPr>
              <w:t>Residents’ confidence and engagement</w:t>
            </w:r>
          </w:p>
        </w:tc>
      </w:tr>
      <w:tr w:rsidR="00006279" w:rsidRPr="001244BB" w:rsidTr="00467B7D">
        <w:trPr>
          <w:trHeight w:val="522"/>
        </w:trPr>
        <w:tc>
          <w:tcPr>
            <w:tcW w:w="2740" w:type="dxa"/>
            <w:tcBorders>
              <w:top w:val="nil"/>
            </w:tcBorders>
            <w:shd w:val="clear" w:color="auto" w:fill="auto"/>
            <w:hideMark/>
          </w:tcPr>
          <w:p w:rsidR="00006279" w:rsidRPr="001244BB" w:rsidRDefault="00006279" w:rsidP="0035318B">
            <w:pPr>
              <w:spacing w:after="0" w:line="240" w:lineRule="auto"/>
              <w:rPr>
                <w:rFonts w:ascii="Arial" w:eastAsia="Times New Roman" w:hAnsi="Arial" w:cs="Arial"/>
                <w:color w:val="000000"/>
                <w:sz w:val="20"/>
                <w:szCs w:val="20"/>
                <w:lang w:eastAsia="en-NZ"/>
              </w:rPr>
            </w:pPr>
            <w:r w:rsidRPr="001244BB">
              <w:rPr>
                <w:rFonts w:ascii="Arial" w:eastAsia="Times New Roman" w:hAnsi="Arial" w:cs="Arial"/>
                <w:color w:val="000000"/>
                <w:sz w:val="20"/>
                <w:szCs w:val="20"/>
                <w:lang w:eastAsia="en-NZ"/>
              </w:rPr>
              <w:t xml:space="preserve">Voter turnout in local elections, referendums and polls </w:t>
            </w:r>
          </w:p>
        </w:tc>
        <w:tc>
          <w:tcPr>
            <w:tcW w:w="1148" w:type="dxa"/>
            <w:tcBorders>
              <w:top w:val="nil"/>
            </w:tcBorders>
            <w:shd w:val="clear" w:color="auto" w:fill="auto"/>
            <w:noWrap/>
            <w:hideMark/>
          </w:tcPr>
          <w:p w:rsidR="00006279" w:rsidRPr="001244BB" w:rsidRDefault="00006279" w:rsidP="0035318B">
            <w:pPr>
              <w:spacing w:after="0" w:line="240" w:lineRule="auto"/>
              <w:rPr>
                <w:rFonts w:ascii="Arial" w:eastAsia="Times New Roman" w:hAnsi="Arial" w:cs="Arial"/>
                <w:color w:val="000000"/>
                <w:sz w:val="20"/>
                <w:szCs w:val="20"/>
                <w:lang w:eastAsia="en-NZ"/>
              </w:rPr>
            </w:pPr>
            <w:r w:rsidRPr="001244BB">
              <w:rPr>
                <w:rFonts w:ascii="Arial" w:eastAsia="Times New Roman" w:hAnsi="Arial" w:cs="Arial"/>
                <w:color w:val="000000"/>
                <w:sz w:val="20"/>
                <w:szCs w:val="20"/>
                <w:lang w:eastAsia="en-NZ"/>
              </w:rPr>
              <w:t>Increasing</w:t>
            </w:r>
          </w:p>
        </w:tc>
        <w:tc>
          <w:tcPr>
            <w:tcW w:w="1357" w:type="dxa"/>
            <w:tcBorders>
              <w:top w:val="nil"/>
            </w:tcBorders>
            <w:shd w:val="clear" w:color="auto" w:fill="auto"/>
            <w:noWrap/>
            <w:hideMark/>
          </w:tcPr>
          <w:p w:rsidR="00006279" w:rsidRPr="001244BB" w:rsidRDefault="00006279" w:rsidP="0035318B">
            <w:pPr>
              <w:spacing w:after="0" w:line="240" w:lineRule="auto"/>
              <w:rPr>
                <w:rFonts w:ascii="Arial" w:eastAsia="Times New Roman" w:hAnsi="Arial" w:cs="Arial"/>
                <w:color w:val="000000"/>
                <w:sz w:val="20"/>
                <w:szCs w:val="20"/>
                <w:lang w:eastAsia="en-NZ"/>
              </w:rPr>
            </w:pPr>
            <w:r w:rsidRPr="001244BB">
              <w:rPr>
                <w:rFonts w:ascii="Arial" w:eastAsia="Times New Roman" w:hAnsi="Arial" w:cs="Arial"/>
                <w:color w:val="000000"/>
                <w:sz w:val="20"/>
                <w:szCs w:val="20"/>
                <w:lang w:eastAsia="en-NZ"/>
              </w:rPr>
              <w:t>WCC Democracy Services</w:t>
            </w:r>
          </w:p>
        </w:tc>
        <w:tc>
          <w:tcPr>
            <w:tcW w:w="1606" w:type="dxa"/>
            <w:tcBorders>
              <w:top w:val="nil"/>
            </w:tcBorders>
            <w:shd w:val="clear" w:color="auto" w:fill="auto"/>
            <w:noWrap/>
            <w:hideMark/>
          </w:tcPr>
          <w:p w:rsidR="00006279" w:rsidRPr="001244BB" w:rsidRDefault="00006279" w:rsidP="0035318B">
            <w:pPr>
              <w:spacing w:after="0" w:line="240" w:lineRule="auto"/>
              <w:jc w:val="right"/>
              <w:rPr>
                <w:rFonts w:ascii="Arial" w:eastAsia="Times New Roman" w:hAnsi="Arial" w:cs="Arial"/>
                <w:color w:val="000000"/>
                <w:sz w:val="20"/>
                <w:szCs w:val="20"/>
                <w:lang w:eastAsia="en-NZ"/>
              </w:rPr>
            </w:pPr>
            <w:r w:rsidRPr="001244BB">
              <w:rPr>
                <w:rFonts w:ascii="Arial" w:eastAsia="Times New Roman" w:hAnsi="Arial" w:cs="Arial"/>
                <w:color w:val="000000"/>
                <w:sz w:val="20"/>
                <w:szCs w:val="20"/>
                <w:lang w:eastAsia="en-NZ"/>
              </w:rPr>
              <w:t>2016 45.6%</w:t>
            </w:r>
          </w:p>
        </w:tc>
        <w:tc>
          <w:tcPr>
            <w:tcW w:w="1748" w:type="dxa"/>
            <w:gridSpan w:val="2"/>
            <w:tcBorders>
              <w:top w:val="nil"/>
            </w:tcBorders>
            <w:shd w:val="clear" w:color="auto" w:fill="auto"/>
            <w:noWrap/>
            <w:hideMark/>
          </w:tcPr>
          <w:p w:rsidR="00006279" w:rsidRPr="001244BB" w:rsidRDefault="00006279" w:rsidP="0035318B">
            <w:pPr>
              <w:spacing w:after="0" w:line="240" w:lineRule="auto"/>
              <w:jc w:val="right"/>
              <w:rPr>
                <w:rFonts w:ascii="Arial" w:eastAsia="Times New Roman" w:hAnsi="Arial" w:cs="Arial"/>
                <w:color w:val="000000"/>
                <w:sz w:val="20"/>
                <w:szCs w:val="20"/>
                <w:lang w:eastAsia="en-NZ"/>
              </w:rPr>
            </w:pPr>
            <w:r w:rsidRPr="001244BB">
              <w:rPr>
                <w:rFonts w:ascii="Arial" w:eastAsia="Times New Roman" w:hAnsi="Arial" w:cs="Arial"/>
                <w:color w:val="000000"/>
                <w:sz w:val="20"/>
                <w:szCs w:val="20"/>
                <w:lang w:eastAsia="en-NZ"/>
              </w:rPr>
              <w:t>-</w:t>
            </w:r>
          </w:p>
        </w:tc>
        <w:tc>
          <w:tcPr>
            <w:tcW w:w="1749" w:type="dxa"/>
            <w:tcBorders>
              <w:top w:val="nil"/>
            </w:tcBorders>
            <w:shd w:val="clear" w:color="auto" w:fill="auto"/>
            <w:hideMark/>
          </w:tcPr>
          <w:p w:rsidR="00006279" w:rsidRPr="001244BB" w:rsidRDefault="00006279" w:rsidP="00E46729">
            <w:pPr>
              <w:spacing w:after="0" w:line="240" w:lineRule="auto"/>
              <w:jc w:val="right"/>
              <w:rPr>
                <w:rFonts w:ascii="Arial" w:eastAsia="Times New Roman" w:hAnsi="Arial" w:cs="Arial"/>
                <w:color w:val="000000"/>
                <w:sz w:val="20"/>
                <w:szCs w:val="20"/>
                <w:lang w:eastAsia="en-NZ"/>
              </w:rPr>
            </w:pPr>
            <w:r w:rsidRPr="001244BB">
              <w:rPr>
                <w:rFonts w:ascii="Arial" w:eastAsia="Times New Roman" w:hAnsi="Arial" w:cs="Arial"/>
                <w:color w:val="000000"/>
                <w:sz w:val="20"/>
                <w:szCs w:val="20"/>
                <w:lang w:eastAsia="en-NZ"/>
              </w:rPr>
              <w:t xml:space="preserve">The 2019 election </w:t>
            </w:r>
            <w:r w:rsidR="00E46729">
              <w:rPr>
                <w:rFonts w:ascii="Arial" w:eastAsia="Times New Roman" w:hAnsi="Arial" w:cs="Arial"/>
                <w:color w:val="000000"/>
                <w:sz w:val="20"/>
                <w:szCs w:val="20"/>
                <w:lang w:eastAsia="en-NZ"/>
              </w:rPr>
              <w:t>was held on</w:t>
            </w:r>
            <w:r w:rsidRPr="001244BB">
              <w:rPr>
                <w:rFonts w:ascii="Arial" w:eastAsia="Times New Roman" w:hAnsi="Arial" w:cs="Arial"/>
                <w:color w:val="000000"/>
                <w:sz w:val="20"/>
                <w:szCs w:val="20"/>
                <w:lang w:eastAsia="en-NZ"/>
              </w:rPr>
              <w:t xml:space="preserve"> </w:t>
            </w:r>
            <w:r w:rsidR="008D274B">
              <w:rPr>
                <w:rFonts w:ascii="Arial" w:eastAsia="Times New Roman" w:hAnsi="Arial" w:cs="Arial"/>
                <w:color w:val="000000"/>
                <w:sz w:val="20"/>
                <w:szCs w:val="20"/>
                <w:lang w:eastAsia="en-NZ"/>
              </w:rPr>
              <w:t xml:space="preserve">12 </w:t>
            </w:r>
            <w:r w:rsidRPr="001244BB">
              <w:rPr>
                <w:rFonts w:ascii="Arial" w:eastAsia="Times New Roman" w:hAnsi="Arial" w:cs="Arial"/>
                <w:color w:val="000000"/>
                <w:sz w:val="20"/>
                <w:szCs w:val="20"/>
                <w:lang w:eastAsia="en-NZ"/>
              </w:rPr>
              <w:t xml:space="preserve">October. The result will be reported in </w:t>
            </w:r>
            <w:r w:rsidR="0036355B">
              <w:rPr>
                <w:rFonts w:ascii="Arial" w:eastAsia="Times New Roman" w:hAnsi="Arial" w:cs="Arial"/>
                <w:color w:val="000000"/>
                <w:sz w:val="20"/>
                <w:szCs w:val="20"/>
                <w:lang w:eastAsia="en-NZ"/>
              </w:rPr>
              <w:t xml:space="preserve">the </w:t>
            </w:r>
            <w:r w:rsidRPr="001244BB">
              <w:rPr>
                <w:rFonts w:ascii="Arial" w:eastAsia="Times New Roman" w:hAnsi="Arial" w:cs="Arial"/>
                <w:color w:val="000000"/>
                <w:sz w:val="20"/>
                <w:szCs w:val="20"/>
                <w:lang w:eastAsia="en-NZ"/>
              </w:rPr>
              <w:t>19/20 Annual Report</w:t>
            </w:r>
          </w:p>
        </w:tc>
        <w:tc>
          <w:tcPr>
            <w:tcW w:w="3402" w:type="dxa"/>
            <w:tcBorders>
              <w:top w:val="nil"/>
            </w:tcBorders>
          </w:tcPr>
          <w:p w:rsidR="00006279" w:rsidRPr="001244BB" w:rsidRDefault="00006279" w:rsidP="0035318B">
            <w:pPr>
              <w:spacing w:after="0" w:line="240" w:lineRule="auto"/>
              <w:jc w:val="right"/>
              <w:rPr>
                <w:rFonts w:ascii="Arial" w:eastAsia="Times New Roman" w:hAnsi="Arial" w:cs="Arial"/>
                <w:color w:val="000000"/>
                <w:sz w:val="20"/>
                <w:szCs w:val="20"/>
                <w:lang w:eastAsia="en-NZ"/>
              </w:rPr>
            </w:pPr>
            <w:r w:rsidRPr="001244BB">
              <w:rPr>
                <w:rFonts w:ascii="Arial" w:eastAsia="Times New Roman" w:hAnsi="Arial" w:cs="Arial"/>
                <w:color w:val="000000"/>
                <w:sz w:val="20"/>
                <w:szCs w:val="20"/>
                <w:lang w:eastAsia="en-NZ"/>
              </w:rPr>
              <w:t>No trend</w:t>
            </w:r>
          </w:p>
        </w:tc>
      </w:tr>
      <w:tr w:rsidR="00006279" w:rsidRPr="001244BB" w:rsidTr="00467B7D">
        <w:trPr>
          <w:trHeight w:val="522"/>
        </w:trPr>
        <w:tc>
          <w:tcPr>
            <w:tcW w:w="2740" w:type="dxa"/>
            <w:tcBorders>
              <w:bottom w:val="nil"/>
            </w:tcBorders>
            <w:shd w:val="clear" w:color="auto" w:fill="auto"/>
            <w:hideMark/>
          </w:tcPr>
          <w:p w:rsidR="00006279" w:rsidRPr="001244BB" w:rsidRDefault="00006279" w:rsidP="0035318B">
            <w:pPr>
              <w:spacing w:after="0" w:line="240" w:lineRule="auto"/>
              <w:rPr>
                <w:rFonts w:ascii="Arial" w:eastAsia="Times New Roman" w:hAnsi="Arial" w:cs="Arial"/>
                <w:color w:val="000000"/>
                <w:sz w:val="20"/>
                <w:szCs w:val="20"/>
                <w:lang w:eastAsia="en-NZ"/>
              </w:rPr>
            </w:pPr>
            <w:r w:rsidRPr="001244BB">
              <w:rPr>
                <w:rFonts w:ascii="Arial" w:eastAsia="Times New Roman" w:hAnsi="Arial" w:cs="Arial"/>
                <w:color w:val="000000"/>
                <w:sz w:val="20"/>
                <w:szCs w:val="20"/>
                <w:lang w:eastAsia="en-NZ"/>
              </w:rPr>
              <w:t>Residents (%) who believe they have the opportunity to participate in city decision-making</w:t>
            </w:r>
          </w:p>
        </w:tc>
        <w:tc>
          <w:tcPr>
            <w:tcW w:w="1148" w:type="dxa"/>
            <w:tcBorders>
              <w:bottom w:val="nil"/>
            </w:tcBorders>
            <w:shd w:val="clear" w:color="auto" w:fill="auto"/>
            <w:noWrap/>
            <w:hideMark/>
          </w:tcPr>
          <w:p w:rsidR="00006279" w:rsidRPr="001244BB" w:rsidRDefault="00006279" w:rsidP="0035318B">
            <w:pPr>
              <w:spacing w:after="0" w:line="240" w:lineRule="auto"/>
              <w:rPr>
                <w:rFonts w:ascii="Arial" w:eastAsia="Times New Roman" w:hAnsi="Arial" w:cs="Arial"/>
                <w:color w:val="000000"/>
                <w:sz w:val="20"/>
                <w:szCs w:val="20"/>
                <w:lang w:eastAsia="en-NZ"/>
              </w:rPr>
            </w:pPr>
            <w:r w:rsidRPr="001244BB">
              <w:rPr>
                <w:rFonts w:ascii="Arial" w:eastAsia="Times New Roman" w:hAnsi="Arial" w:cs="Arial"/>
                <w:color w:val="000000"/>
                <w:sz w:val="20"/>
                <w:szCs w:val="20"/>
                <w:lang w:eastAsia="en-NZ"/>
              </w:rPr>
              <w:t>Increasing</w:t>
            </w:r>
          </w:p>
        </w:tc>
        <w:tc>
          <w:tcPr>
            <w:tcW w:w="1357" w:type="dxa"/>
            <w:tcBorders>
              <w:bottom w:val="nil"/>
            </w:tcBorders>
            <w:shd w:val="clear" w:color="auto" w:fill="auto"/>
            <w:noWrap/>
            <w:hideMark/>
          </w:tcPr>
          <w:p w:rsidR="00006279" w:rsidRPr="001244BB" w:rsidRDefault="00006279" w:rsidP="0035318B">
            <w:pPr>
              <w:spacing w:after="0" w:line="240" w:lineRule="auto"/>
              <w:rPr>
                <w:rFonts w:ascii="Arial" w:eastAsia="Times New Roman" w:hAnsi="Arial" w:cs="Arial"/>
                <w:color w:val="000000"/>
                <w:sz w:val="20"/>
                <w:szCs w:val="20"/>
                <w:lang w:eastAsia="en-NZ"/>
              </w:rPr>
            </w:pPr>
            <w:r w:rsidRPr="001244BB">
              <w:rPr>
                <w:rFonts w:ascii="Arial" w:eastAsia="Times New Roman" w:hAnsi="Arial" w:cs="Arial"/>
                <w:color w:val="000000"/>
                <w:sz w:val="20"/>
                <w:szCs w:val="20"/>
                <w:lang w:eastAsia="en-NZ"/>
              </w:rPr>
              <w:t>WCC RMS 2019</w:t>
            </w:r>
          </w:p>
        </w:tc>
        <w:tc>
          <w:tcPr>
            <w:tcW w:w="1606" w:type="dxa"/>
            <w:tcBorders>
              <w:bottom w:val="nil"/>
            </w:tcBorders>
            <w:shd w:val="clear" w:color="auto" w:fill="auto"/>
            <w:noWrap/>
            <w:hideMark/>
          </w:tcPr>
          <w:p w:rsidR="00006279" w:rsidRPr="001244BB" w:rsidRDefault="00006279" w:rsidP="0035318B">
            <w:pPr>
              <w:spacing w:after="0" w:line="240" w:lineRule="auto"/>
              <w:jc w:val="right"/>
              <w:rPr>
                <w:rFonts w:ascii="Arial" w:eastAsia="Times New Roman" w:hAnsi="Arial" w:cs="Arial"/>
                <w:color w:val="000000"/>
                <w:sz w:val="20"/>
                <w:szCs w:val="20"/>
                <w:lang w:eastAsia="en-NZ"/>
              </w:rPr>
            </w:pPr>
          </w:p>
        </w:tc>
        <w:tc>
          <w:tcPr>
            <w:tcW w:w="1748" w:type="dxa"/>
            <w:gridSpan w:val="2"/>
            <w:tcBorders>
              <w:bottom w:val="nil"/>
            </w:tcBorders>
            <w:shd w:val="clear" w:color="auto" w:fill="auto"/>
            <w:noWrap/>
            <w:hideMark/>
          </w:tcPr>
          <w:p w:rsidR="00006279" w:rsidRPr="001244BB" w:rsidRDefault="00006279" w:rsidP="0035318B">
            <w:pPr>
              <w:spacing w:after="0" w:line="240" w:lineRule="auto"/>
              <w:jc w:val="right"/>
              <w:rPr>
                <w:rFonts w:ascii="Arial" w:eastAsia="Times New Roman" w:hAnsi="Arial" w:cs="Arial"/>
                <w:color w:val="000000"/>
                <w:sz w:val="20"/>
                <w:szCs w:val="20"/>
                <w:lang w:eastAsia="en-NZ"/>
              </w:rPr>
            </w:pPr>
            <w:r w:rsidRPr="001244BB">
              <w:rPr>
                <w:rFonts w:ascii="Arial" w:eastAsia="Times New Roman" w:hAnsi="Arial" w:cs="Arial"/>
                <w:color w:val="000000"/>
                <w:sz w:val="20"/>
                <w:szCs w:val="20"/>
                <w:lang w:eastAsia="en-NZ"/>
              </w:rPr>
              <w:t>New</w:t>
            </w:r>
          </w:p>
        </w:tc>
        <w:tc>
          <w:tcPr>
            <w:tcW w:w="1749" w:type="dxa"/>
            <w:tcBorders>
              <w:bottom w:val="nil"/>
            </w:tcBorders>
            <w:shd w:val="clear" w:color="auto" w:fill="auto"/>
            <w:noWrap/>
            <w:hideMark/>
          </w:tcPr>
          <w:p w:rsidR="00006279" w:rsidRPr="001244BB" w:rsidRDefault="00006279" w:rsidP="0035318B">
            <w:pPr>
              <w:spacing w:after="0" w:line="240" w:lineRule="auto"/>
              <w:jc w:val="right"/>
              <w:rPr>
                <w:rFonts w:ascii="Arial" w:eastAsia="Times New Roman" w:hAnsi="Arial" w:cs="Arial"/>
                <w:color w:val="000000"/>
                <w:sz w:val="20"/>
                <w:szCs w:val="20"/>
                <w:lang w:eastAsia="en-NZ"/>
              </w:rPr>
            </w:pPr>
            <w:r w:rsidRPr="001244BB">
              <w:rPr>
                <w:rFonts w:ascii="Arial" w:eastAsia="Times New Roman" w:hAnsi="Arial" w:cs="Arial"/>
                <w:color w:val="000000"/>
                <w:sz w:val="20"/>
                <w:szCs w:val="20"/>
                <w:lang w:eastAsia="en-NZ"/>
              </w:rPr>
              <w:t>47%</w:t>
            </w:r>
          </w:p>
        </w:tc>
        <w:tc>
          <w:tcPr>
            <w:tcW w:w="3402" w:type="dxa"/>
            <w:tcBorders>
              <w:bottom w:val="nil"/>
            </w:tcBorders>
          </w:tcPr>
          <w:p w:rsidR="00006279" w:rsidRDefault="00006279" w:rsidP="0035318B">
            <w:pPr>
              <w:spacing w:after="0" w:line="240" w:lineRule="auto"/>
              <w:jc w:val="right"/>
              <w:rPr>
                <w:rFonts w:ascii="Arial" w:eastAsia="Times New Roman" w:hAnsi="Arial" w:cs="Arial"/>
                <w:color w:val="000000"/>
                <w:sz w:val="20"/>
                <w:szCs w:val="20"/>
                <w:lang w:eastAsia="en-NZ"/>
              </w:rPr>
            </w:pPr>
            <w:r>
              <w:rPr>
                <w:rFonts w:ascii="Arial" w:eastAsia="Times New Roman" w:hAnsi="Arial" w:cs="Arial"/>
                <w:color w:val="000000"/>
                <w:sz w:val="20"/>
                <w:szCs w:val="20"/>
                <w:lang w:eastAsia="en-NZ"/>
              </w:rPr>
              <w:t>No trend</w:t>
            </w:r>
          </w:p>
          <w:p w:rsidR="00E46729" w:rsidRPr="001244BB" w:rsidRDefault="00E46729" w:rsidP="0035318B">
            <w:pPr>
              <w:spacing w:after="0" w:line="240" w:lineRule="auto"/>
              <w:jc w:val="right"/>
              <w:rPr>
                <w:rFonts w:ascii="Arial" w:eastAsia="Times New Roman" w:hAnsi="Arial" w:cs="Arial"/>
                <w:color w:val="000000"/>
                <w:sz w:val="20"/>
                <w:szCs w:val="20"/>
                <w:lang w:eastAsia="en-NZ"/>
              </w:rPr>
            </w:pPr>
            <w:r w:rsidRPr="00E46729">
              <w:rPr>
                <w:rFonts w:ascii="Arial" w:eastAsia="Times New Roman" w:hAnsi="Arial" w:cs="Arial"/>
                <w:color w:val="000000"/>
                <w:sz w:val="20"/>
                <w:szCs w:val="20"/>
                <w:lang w:eastAsia="en-NZ"/>
              </w:rPr>
              <w:t>We still have a long way to go to make sure we are informing, engaging and encouraging our residents and partners to become involved in the running of the city.</w:t>
            </w:r>
          </w:p>
        </w:tc>
      </w:tr>
      <w:tr w:rsidR="00006279" w:rsidRPr="001244BB" w:rsidTr="00467B7D">
        <w:trPr>
          <w:trHeight w:val="255"/>
        </w:trPr>
        <w:tc>
          <w:tcPr>
            <w:tcW w:w="13750" w:type="dxa"/>
            <w:gridSpan w:val="8"/>
            <w:tcBorders>
              <w:top w:val="nil"/>
              <w:bottom w:val="nil"/>
            </w:tcBorders>
            <w:shd w:val="clear" w:color="auto" w:fill="C6D9F1" w:themeFill="text2" w:themeFillTint="33"/>
            <w:hideMark/>
          </w:tcPr>
          <w:p w:rsidR="00006279" w:rsidRPr="001244BB" w:rsidRDefault="00006279" w:rsidP="0035318B">
            <w:pPr>
              <w:spacing w:after="0"/>
              <w:rPr>
                <w:rFonts w:ascii="Arial" w:eastAsia="Times New Roman" w:hAnsi="Arial" w:cs="Arial"/>
                <w:sz w:val="20"/>
                <w:szCs w:val="20"/>
                <w:lang w:eastAsia="en-NZ"/>
              </w:rPr>
            </w:pPr>
            <w:r w:rsidRPr="001244BB">
              <w:rPr>
                <w:rFonts w:ascii="Arial" w:eastAsia="Times New Roman" w:hAnsi="Arial" w:cs="Arial"/>
                <w:b/>
                <w:bCs/>
                <w:i/>
                <w:iCs/>
                <w:sz w:val="20"/>
                <w:szCs w:val="20"/>
                <w:lang w:eastAsia="en-NZ"/>
              </w:rPr>
              <w:t>Māori and mana whenua engagement and confidence</w:t>
            </w:r>
          </w:p>
        </w:tc>
      </w:tr>
      <w:tr w:rsidR="00006279" w:rsidRPr="001244BB" w:rsidTr="00467B7D">
        <w:trPr>
          <w:trHeight w:val="874"/>
        </w:trPr>
        <w:tc>
          <w:tcPr>
            <w:tcW w:w="2740" w:type="dxa"/>
            <w:tcBorders>
              <w:top w:val="nil"/>
              <w:bottom w:val="single" w:sz="4" w:space="0" w:color="00B0F0"/>
            </w:tcBorders>
            <w:shd w:val="clear" w:color="auto" w:fill="auto"/>
            <w:hideMark/>
          </w:tcPr>
          <w:p w:rsidR="00006279" w:rsidRPr="001244BB" w:rsidRDefault="00006279" w:rsidP="0035318B">
            <w:pPr>
              <w:spacing w:after="0" w:line="240" w:lineRule="auto"/>
              <w:rPr>
                <w:rFonts w:ascii="Arial" w:eastAsia="Times New Roman" w:hAnsi="Arial" w:cs="Arial"/>
                <w:color w:val="000000"/>
                <w:sz w:val="20"/>
                <w:szCs w:val="20"/>
                <w:lang w:eastAsia="en-NZ"/>
              </w:rPr>
            </w:pPr>
            <w:r w:rsidRPr="001244BB">
              <w:rPr>
                <w:rFonts w:ascii="Arial" w:eastAsia="Times New Roman" w:hAnsi="Arial" w:cs="Arial"/>
                <w:color w:val="000000"/>
                <w:sz w:val="20"/>
                <w:szCs w:val="20"/>
                <w:lang w:eastAsia="en-NZ"/>
              </w:rPr>
              <w:t>Mana whenua partners agree that the use and protection of the city's resources for the future is appropriate (our kaitiaki role)</w:t>
            </w:r>
          </w:p>
        </w:tc>
        <w:tc>
          <w:tcPr>
            <w:tcW w:w="1148" w:type="dxa"/>
            <w:tcBorders>
              <w:top w:val="nil"/>
              <w:bottom w:val="single" w:sz="4" w:space="0" w:color="00B0F0"/>
            </w:tcBorders>
            <w:shd w:val="clear" w:color="auto" w:fill="auto"/>
            <w:noWrap/>
            <w:hideMark/>
          </w:tcPr>
          <w:p w:rsidR="00006279" w:rsidRPr="001244BB" w:rsidRDefault="00006279" w:rsidP="0035318B">
            <w:pPr>
              <w:spacing w:after="0" w:line="240" w:lineRule="auto"/>
              <w:rPr>
                <w:rFonts w:ascii="Arial" w:eastAsia="Times New Roman" w:hAnsi="Arial" w:cs="Arial"/>
                <w:color w:val="000000"/>
                <w:sz w:val="20"/>
                <w:szCs w:val="20"/>
                <w:lang w:eastAsia="en-NZ"/>
              </w:rPr>
            </w:pPr>
            <w:r w:rsidRPr="001244BB">
              <w:rPr>
                <w:rFonts w:ascii="Arial" w:eastAsia="Times New Roman" w:hAnsi="Arial" w:cs="Arial"/>
                <w:color w:val="000000"/>
                <w:sz w:val="20"/>
                <w:szCs w:val="20"/>
                <w:lang w:eastAsia="en-NZ"/>
              </w:rPr>
              <w:t>Increasing</w:t>
            </w:r>
          </w:p>
        </w:tc>
        <w:tc>
          <w:tcPr>
            <w:tcW w:w="1357" w:type="dxa"/>
            <w:tcBorders>
              <w:top w:val="nil"/>
              <w:bottom w:val="single" w:sz="4" w:space="0" w:color="00B0F0"/>
            </w:tcBorders>
            <w:shd w:val="clear" w:color="auto" w:fill="auto"/>
            <w:noWrap/>
            <w:hideMark/>
          </w:tcPr>
          <w:p w:rsidR="00006279" w:rsidRPr="001244BB" w:rsidRDefault="00006279" w:rsidP="0035318B">
            <w:pPr>
              <w:spacing w:after="0" w:line="240" w:lineRule="auto"/>
              <w:rPr>
                <w:rFonts w:ascii="Arial" w:eastAsia="Times New Roman" w:hAnsi="Arial" w:cs="Arial"/>
                <w:color w:val="000000"/>
                <w:sz w:val="20"/>
                <w:szCs w:val="20"/>
                <w:lang w:eastAsia="en-NZ"/>
              </w:rPr>
            </w:pPr>
            <w:r w:rsidRPr="001244BB">
              <w:rPr>
                <w:rFonts w:ascii="Arial" w:eastAsia="Times New Roman" w:hAnsi="Arial" w:cs="Arial"/>
                <w:color w:val="000000"/>
                <w:sz w:val="20"/>
                <w:szCs w:val="20"/>
                <w:lang w:eastAsia="en-NZ"/>
              </w:rPr>
              <w:t>WCC Strategy and Research</w:t>
            </w:r>
          </w:p>
        </w:tc>
        <w:tc>
          <w:tcPr>
            <w:tcW w:w="1606" w:type="dxa"/>
            <w:tcBorders>
              <w:top w:val="nil"/>
              <w:bottom w:val="single" w:sz="4" w:space="0" w:color="00B0F0"/>
            </w:tcBorders>
            <w:shd w:val="clear" w:color="auto" w:fill="auto"/>
            <w:hideMark/>
          </w:tcPr>
          <w:p w:rsidR="00006279" w:rsidRPr="001244BB" w:rsidRDefault="00006279" w:rsidP="0035318B">
            <w:pPr>
              <w:spacing w:after="0" w:line="240" w:lineRule="auto"/>
              <w:jc w:val="right"/>
              <w:rPr>
                <w:rFonts w:ascii="Arial" w:eastAsia="Times New Roman" w:hAnsi="Arial" w:cs="Arial"/>
                <w:color w:val="000000"/>
                <w:sz w:val="20"/>
                <w:szCs w:val="20"/>
                <w:lang w:eastAsia="en-NZ"/>
              </w:rPr>
            </w:pPr>
            <w:r w:rsidRPr="001244BB">
              <w:rPr>
                <w:rFonts w:ascii="Arial" w:eastAsia="Times New Roman" w:hAnsi="Arial" w:cs="Arial"/>
                <w:color w:val="000000"/>
                <w:sz w:val="20"/>
                <w:szCs w:val="20"/>
                <w:lang w:eastAsia="en-NZ"/>
              </w:rPr>
              <w:t>Both partners were not sure</w:t>
            </w:r>
          </w:p>
        </w:tc>
        <w:tc>
          <w:tcPr>
            <w:tcW w:w="1748" w:type="dxa"/>
            <w:gridSpan w:val="2"/>
            <w:tcBorders>
              <w:top w:val="nil"/>
              <w:bottom w:val="single" w:sz="4" w:space="0" w:color="00B0F0"/>
            </w:tcBorders>
            <w:shd w:val="clear" w:color="auto" w:fill="auto"/>
            <w:hideMark/>
          </w:tcPr>
          <w:p w:rsidR="00006279" w:rsidRPr="001244BB" w:rsidRDefault="00006279" w:rsidP="0035318B">
            <w:pPr>
              <w:spacing w:after="0" w:line="240" w:lineRule="auto"/>
              <w:jc w:val="right"/>
              <w:rPr>
                <w:rFonts w:ascii="Arial" w:eastAsia="Times New Roman" w:hAnsi="Arial" w:cs="Arial"/>
                <w:color w:val="000000"/>
                <w:sz w:val="20"/>
                <w:szCs w:val="20"/>
                <w:lang w:eastAsia="en-NZ"/>
              </w:rPr>
            </w:pPr>
            <w:r w:rsidRPr="001244BB">
              <w:rPr>
                <w:rFonts w:ascii="Arial" w:eastAsia="Times New Roman" w:hAnsi="Arial" w:cs="Arial"/>
                <w:color w:val="000000"/>
                <w:sz w:val="20"/>
                <w:szCs w:val="20"/>
                <w:lang w:eastAsia="en-NZ"/>
              </w:rPr>
              <w:t>Both partners were not sure</w:t>
            </w:r>
          </w:p>
        </w:tc>
        <w:tc>
          <w:tcPr>
            <w:tcW w:w="1749" w:type="dxa"/>
            <w:tcBorders>
              <w:top w:val="nil"/>
              <w:bottom w:val="single" w:sz="4" w:space="0" w:color="00B0F0"/>
            </w:tcBorders>
            <w:shd w:val="clear" w:color="auto" w:fill="auto"/>
            <w:noWrap/>
            <w:hideMark/>
          </w:tcPr>
          <w:p w:rsidR="00006279" w:rsidRPr="001244BB" w:rsidRDefault="00006279" w:rsidP="0035318B">
            <w:pPr>
              <w:spacing w:after="0" w:line="240" w:lineRule="auto"/>
              <w:jc w:val="right"/>
              <w:rPr>
                <w:rFonts w:ascii="Arial" w:eastAsia="Times New Roman" w:hAnsi="Arial" w:cs="Arial"/>
                <w:color w:val="000000"/>
                <w:sz w:val="20"/>
                <w:szCs w:val="20"/>
                <w:lang w:eastAsia="en-NZ"/>
              </w:rPr>
            </w:pPr>
            <w:r w:rsidRPr="001244BB">
              <w:rPr>
                <w:rFonts w:ascii="Arial" w:eastAsia="Times New Roman" w:hAnsi="Arial" w:cs="Arial"/>
                <w:color w:val="000000"/>
                <w:sz w:val="20"/>
                <w:szCs w:val="20"/>
                <w:lang w:eastAsia="en-NZ"/>
              </w:rPr>
              <w:t>Both partners partially agree.</w:t>
            </w:r>
          </w:p>
          <w:p w:rsidR="00006279" w:rsidRPr="001244BB" w:rsidRDefault="00006279" w:rsidP="0035318B">
            <w:pPr>
              <w:spacing w:after="0" w:line="240" w:lineRule="auto"/>
              <w:jc w:val="center"/>
              <w:rPr>
                <w:rFonts w:ascii="Arial" w:eastAsia="Times New Roman" w:hAnsi="Arial" w:cs="Arial"/>
                <w:color w:val="000000"/>
                <w:sz w:val="20"/>
                <w:szCs w:val="20"/>
                <w:lang w:eastAsia="en-NZ"/>
              </w:rPr>
            </w:pPr>
          </w:p>
        </w:tc>
        <w:tc>
          <w:tcPr>
            <w:tcW w:w="3402" w:type="dxa"/>
            <w:tcBorders>
              <w:top w:val="nil"/>
              <w:bottom w:val="single" w:sz="4" w:space="0" w:color="00B0F0"/>
            </w:tcBorders>
          </w:tcPr>
          <w:p w:rsidR="00006279" w:rsidRPr="001244BB" w:rsidRDefault="00006279" w:rsidP="0035318B">
            <w:pPr>
              <w:spacing w:after="0" w:line="240" w:lineRule="auto"/>
              <w:jc w:val="right"/>
              <w:rPr>
                <w:rFonts w:ascii="Arial" w:eastAsia="Times New Roman" w:hAnsi="Arial" w:cs="Arial"/>
                <w:color w:val="000000"/>
                <w:sz w:val="20"/>
                <w:szCs w:val="20"/>
                <w:lang w:eastAsia="en-NZ"/>
              </w:rPr>
            </w:pPr>
            <w:r w:rsidRPr="001244BB">
              <w:rPr>
                <w:rFonts w:ascii="Arial" w:eastAsia="Times New Roman" w:hAnsi="Arial" w:cs="Arial"/>
                <w:color w:val="000000"/>
                <w:sz w:val="20"/>
                <w:szCs w:val="20"/>
                <w:lang w:eastAsia="en-NZ"/>
              </w:rPr>
              <w:t>Positive trend</w:t>
            </w:r>
          </w:p>
        </w:tc>
      </w:tr>
      <w:tr w:rsidR="00006279" w:rsidRPr="001244BB" w:rsidTr="00467B7D">
        <w:trPr>
          <w:trHeight w:val="510"/>
        </w:trPr>
        <w:tc>
          <w:tcPr>
            <w:tcW w:w="2740" w:type="dxa"/>
            <w:tcBorders>
              <w:top w:val="single" w:sz="4" w:space="0" w:color="00B0F0"/>
              <w:bottom w:val="single" w:sz="4" w:space="0" w:color="00B0F0"/>
            </w:tcBorders>
            <w:shd w:val="clear" w:color="auto" w:fill="auto"/>
            <w:hideMark/>
          </w:tcPr>
          <w:p w:rsidR="00006279" w:rsidRPr="001244BB" w:rsidRDefault="00006279" w:rsidP="0035318B">
            <w:pPr>
              <w:spacing w:after="0" w:line="240" w:lineRule="auto"/>
              <w:rPr>
                <w:rFonts w:ascii="Arial" w:eastAsia="Times New Roman" w:hAnsi="Arial" w:cs="Arial"/>
                <w:color w:val="000000"/>
                <w:sz w:val="20"/>
                <w:szCs w:val="20"/>
                <w:lang w:eastAsia="en-NZ"/>
              </w:rPr>
            </w:pPr>
            <w:r w:rsidRPr="001244BB">
              <w:rPr>
                <w:rFonts w:ascii="Arial" w:eastAsia="Times New Roman" w:hAnsi="Arial" w:cs="Arial"/>
                <w:color w:val="000000"/>
                <w:sz w:val="20"/>
                <w:szCs w:val="20"/>
                <w:lang w:eastAsia="en-NZ"/>
              </w:rPr>
              <w:lastRenderedPageBreak/>
              <w:t>Māori residents (%) who feel that Māori culture is appropriately recognised and visible in the city</w:t>
            </w:r>
          </w:p>
        </w:tc>
        <w:tc>
          <w:tcPr>
            <w:tcW w:w="1148" w:type="dxa"/>
            <w:tcBorders>
              <w:top w:val="single" w:sz="4" w:space="0" w:color="00B0F0"/>
              <w:bottom w:val="single" w:sz="4" w:space="0" w:color="00B0F0"/>
            </w:tcBorders>
            <w:shd w:val="clear" w:color="auto" w:fill="auto"/>
            <w:noWrap/>
            <w:hideMark/>
          </w:tcPr>
          <w:p w:rsidR="00006279" w:rsidRPr="001244BB" w:rsidRDefault="00006279" w:rsidP="0035318B">
            <w:pPr>
              <w:spacing w:after="0" w:line="240" w:lineRule="auto"/>
              <w:rPr>
                <w:rFonts w:ascii="Arial" w:eastAsia="Times New Roman" w:hAnsi="Arial" w:cs="Arial"/>
                <w:color w:val="000000"/>
                <w:sz w:val="20"/>
                <w:szCs w:val="20"/>
                <w:lang w:eastAsia="en-NZ"/>
              </w:rPr>
            </w:pPr>
            <w:r w:rsidRPr="001244BB">
              <w:rPr>
                <w:rFonts w:ascii="Arial" w:eastAsia="Times New Roman" w:hAnsi="Arial" w:cs="Arial"/>
                <w:color w:val="000000"/>
                <w:sz w:val="20"/>
                <w:szCs w:val="20"/>
                <w:lang w:eastAsia="en-NZ"/>
              </w:rPr>
              <w:t>Increasing</w:t>
            </w:r>
          </w:p>
        </w:tc>
        <w:tc>
          <w:tcPr>
            <w:tcW w:w="1357" w:type="dxa"/>
            <w:tcBorders>
              <w:top w:val="single" w:sz="4" w:space="0" w:color="00B0F0"/>
              <w:bottom w:val="single" w:sz="4" w:space="0" w:color="00B0F0"/>
            </w:tcBorders>
            <w:shd w:val="clear" w:color="auto" w:fill="auto"/>
            <w:noWrap/>
            <w:hideMark/>
          </w:tcPr>
          <w:p w:rsidR="00006279" w:rsidRPr="001244BB" w:rsidRDefault="00006279" w:rsidP="0035318B">
            <w:pPr>
              <w:spacing w:after="0" w:line="240" w:lineRule="auto"/>
              <w:rPr>
                <w:rFonts w:ascii="Arial" w:eastAsia="Times New Roman" w:hAnsi="Arial" w:cs="Arial"/>
                <w:color w:val="000000"/>
                <w:sz w:val="20"/>
                <w:szCs w:val="20"/>
                <w:lang w:eastAsia="en-NZ"/>
              </w:rPr>
            </w:pPr>
            <w:r w:rsidRPr="001244BB">
              <w:rPr>
                <w:rFonts w:ascii="Arial" w:eastAsia="Times New Roman" w:hAnsi="Arial" w:cs="Arial"/>
                <w:color w:val="000000"/>
                <w:sz w:val="20"/>
                <w:szCs w:val="20"/>
                <w:lang w:eastAsia="en-NZ"/>
              </w:rPr>
              <w:t>WCC Strategy and Research</w:t>
            </w:r>
          </w:p>
        </w:tc>
        <w:tc>
          <w:tcPr>
            <w:tcW w:w="1606" w:type="dxa"/>
            <w:tcBorders>
              <w:top w:val="single" w:sz="4" w:space="0" w:color="00B0F0"/>
              <w:bottom w:val="single" w:sz="4" w:space="0" w:color="00B0F0"/>
            </w:tcBorders>
            <w:shd w:val="clear" w:color="auto" w:fill="auto"/>
            <w:noWrap/>
            <w:hideMark/>
          </w:tcPr>
          <w:p w:rsidR="00006279" w:rsidRPr="001244BB" w:rsidRDefault="00006279" w:rsidP="0035318B">
            <w:pPr>
              <w:spacing w:after="0" w:line="240" w:lineRule="auto"/>
              <w:jc w:val="right"/>
              <w:rPr>
                <w:rFonts w:ascii="Arial" w:eastAsia="Times New Roman" w:hAnsi="Arial" w:cs="Arial"/>
                <w:color w:val="000000"/>
                <w:sz w:val="20"/>
                <w:szCs w:val="20"/>
                <w:lang w:eastAsia="en-NZ"/>
              </w:rPr>
            </w:pPr>
          </w:p>
        </w:tc>
        <w:tc>
          <w:tcPr>
            <w:tcW w:w="1748" w:type="dxa"/>
            <w:gridSpan w:val="2"/>
            <w:tcBorders>
              <w:top w:val="single" w:sz="4" w:space="0" w:color="00B0F0"/>
              <w:bottom w:val="single" w:sz="4" w:space="0" w:color="00B0F0"/>
            </w:tcBorders>
            <w:shd w:val="clear" w:color="auto" w:fill="auto"/>
            <w:noWrap/>
            <w:hideMark/>
          </w:tcPr>
          <w:p w:rsidR="00006279" w:rsidRPr="001244BB" w:rsidRDefault="00006279" w:rsidP="0035318B">
            <w:pPr>
              <w:spacing w:after="0" w:line="240" w:lineRule="auto"/>
              <w:jc w:val="right"/>
              <w:rPr>
                <w:rFonts w:ascii="Arial" w:eastAsia="Times New Roman" w:hAnsi="Arial" w:cs="Arial"/>
                <w:color w:val="000000"/>
                <w:sz w:val="20"/>
                <w:szCs w:val="20"/>
                <w:lang w:eastAsia="en-NZ"/>
              </w:rPr>
            </w:pPr>
            <w:r w:rsidRPr="001244BB">
              <w:rPr>
                <w:rFonts w:ascii="Arial" w:eastAsia="Times New Roman" w:hAnsi="Arial" w:cs="Arial"/>
                <w:color w:val="000000"/>
                <w:sz w:val="20"/>
                <w:szCs w:val="20"/>
                <w:lang w:eastAsia="en-NZ"/>
              </w:rPr>
              <w:t>New</w:t>
            </w:r>
          </w:p>
        </w:tc>
        <w:tc>
          <w:tcPr>
            <w:tcW w:w="1749" w:type="dxa"/>
            <w:tcBorders>
              <w:top w:val="single" w:sz="4" w:space="0" w:color="00B0F0"/>
              <w:bottom w:val="single" w:sz="4" w:space="0" w:color="00B0F0"/>
            </w:tcBorders>
            <w:shd w:val="clear" w:color="auto" w:fill="auto"/>
            <w:hideMark/>
          </w:tcPr>
          <w:p w:rsidR="00006279" w:rsidRPr="001244BB" w:rsidRDefault="0036355B" w:rsidP="0036355B">
            <w:pPr>
              <w:spacing w:after="0" w:line="240" w:lineRule="auto"/>
              <w:jc w:val="right"/>
              <w:rPr>
                <w:rFonts w:ascii="Arial" w:eastAsia="Times New Roman" w:hAnsi="Arial" w:cs="Arial"/>
                <w:color w:val="000000"/>
                <w:sz w:val="20"/>
                <w:szCs w:val="20"/>
                <w:lang w:eastAsia="en-NZ"/>
              </w:rPr>
            </w:pPr>
            <w:r>
              <w:rPr>
                <w:rFonts w:ascii="Arial" w:eastAsia="Times New Roman" w:hAnsi="Arial" w:cs="Arial"/>
                <w:color w:val="000000"/>
                <w:sz w:val="20"/>
                <w:szCs w:val="20"/>
                <w:lang w:eastAsia="en-NZ"/>
              </w:rPr>
              <w:t>A</w:t>
            </w:r>
            <w:r w:rsidR="00006279" w:rsidRPr="001244BB">
              <w:rPr>
                <w:rFonts w:ascii="Arial" w:eastAsia="Times New Roman" w:hAnsi="Arial" w:cs="Arial"/>
                <w:color w:val="000000"/>
                <w:sz w:val="20"/>
                <w:szCs w:val="20"/>
                <w:lang w:eastAsia="en-NZ"/>
              </w:rPr>
              <w:t xml:space="preserve">ppropriately recognised (40%); </w:t>
            </w:r>
            <w:r>
              <w:rPr>
                <w:rFonts w:ascii="Arial" w:eastAsia="Times New Roman" w:hAnsi="Arial" w:cs="Arial"/>
                <w:color w:val="000000"/>
                <w:sz w:val="20"/>
                <w:szCs w:val="20"/>
                <w:lang w:eastAsia="en-NZ"/>
              </w:rPr>
              <w:t>V</w:t>
            </w:r>
            <w:r w:rsidR="00006279" w:rsidRPr="001244BB">
              <w:rPr>
                <w:rFonts w:ascii="Arial" w:eastAsia="Times New Roman" w:hAnsi="Arial" w:cs="Arial"/>
                <w:color w:val="000000"/>
                <w:sz w:val="20"/>
                <w:szCs w:val="20"/>
                <w:lang w:eastAsia="en-NZ"/>
              </w:rPr>
              <w:t>isible (56%)</w:t>
            </w:r>
          </w:p>
        </w:tc>
        <w:tc>
          <w:tcPr>
            <w:tcW w:w="3402" w:type="dxa"/>
            <w:tcBorders>
              <w:top w:val="single" w:sz="4" w:space="0" w:color="00B0F0"/>
              <w:bottom w:val="single" w:sz="4" w:space="0" w:color="00B0F0"/>
            </w:tcBorders>
          </w:tcPr>
          <w:p w:rsidR="00006279" w:rsidRPr="001244BB" w:rsidRDefault="007F78CB" w:rsidP="0035318B">
            <w:pPr>
              <w:spacing w:after="0" w:line="240" w:lineRule="auto"/>
              <w:jc w:val="right"/>
              <w:rPr>
                <w:rFonts w:ascii="Arial" w:eastAsia="Times New Roman" w:hAnsi="Arial" w:cs="Arial"/>
                <w:color w:val="000000"/>
                <w:sz w:val="20"/>
                <w:szCs w:val="20"/>
                <w:lang w:eastAsia="en-NZ"/>
              </w:rPr>
            </w:pPr>
            <w:r w:rsidRPr="001244BB">
              <w:rPr>
                <w:rFonts w:ascii="Arial" w:eastAsia="Times New Roman" w:hAnsi="Arial" w:cs="Arial"/>
                <w:color w:val="000000"/>
                <w:sz w:val="20"/>
                <w:szCs w:val="20"/>
                <w:lang w:eastAsia="en-NZ"/>
              </w:rPr>
              <w:t>No trend</w:t>
            </w:r>
          </w:p>
        </w:tc>
      </w:tr>
      <w:tr w:rsidR="00006279" w:rsidRPr="001244BB" w:rsidTr="00467B7D">
        <w:trPr>
          <w:trHeight w:val="510"/>
        </w:trPr>
        <w:tc>
          <w:tcPr>
            <w:tcW w:w="2740" w:type="dxa"/>
            <w:tcBorders>
              <w:top w:val="single" w:sz="4" w:space="0" w:color="00B0F0"/>
              <w:bottom w:val="single" w:sz="4" w:space="0" w:color="00B0F0"/>
            </w:tcBorders>
            <w:shd w:val="clear" w:color="auto" w:fill="auto"/>
            <w:hideMark/>
          </w:tcPr>
          <w:p w:rsidR="00006279" w:rsidRPr="001244BB" w:rsidRDefault="00006279" w:rsidP="0035318B">
            <w:pPr>
              <w:spacing w:after="0" w:line="240" w:lineRule="auto"/>
              <w:rPr>
                <w:rFonts w:ascii="Arial" w:eastAsia="Times New Roman" w:hAnsi="Arial" w:cs="Arial"/>
                <w:color w:val="000000"/>
                <w:sz w:val="20"/>
                <w:szCs w:val="20"/>
                <w:lang w:eastAsia="en-NZ"/>
              </w:rPr>
            </w:pPr>
            <w:r w:rsidRPr="001244BB">
              <w:rPr>
                <w:rFonts w:ascii="Arial" w:eastAsia="Times New Roman" w:hAnsi="Arial" w:cs="Arial"/>
                <w:color w:val="000000"/>
                <w:sz w:val="20"/>
                <w:szCs w:val="20"/>
                <w:lang w:eastAsia="en-NZ"/>
              </w:rPr>
              <w:t>Māori residents (%) who feel that te reo Māori is appropriately recognised and visible in the city</w:t>
            </w:r>
          </w:p>
        </w:tc>
        <w:tc>
          <w:tcPr>
            <w:tcW w:w="1148" w:type="dxa"/>
            <w:tcBorders>
              <w:top w:val="single" w:sz="4" w:space="0" w:color="00B0F0"/>
              <w:bottom w:val="single" w:sz="4" w:space="0" w:color="00B0F0"/>
            </w:tcBorders>
            <w:shd w:val="clear" w:color="auto" w:fill="auto"/>
            <w:noWrap/>
            <w:hideMark/>
          </w:tcPr>
          <w:p w:rsidR="00006279" w:rsidRPr="001244BB" w:rsidRDefault="00006279" w:rsidP="0035318B">
            <w:pPr>
              <w:spacing w:after="0" w:line="240" w:lineRule="auto"/>
              <w:rPr>
                <w:rFonts w:ascii="Arial" w:eastAsia="Times New Roman" w:hAnsi="Arial" w:cs="Arial"/>
                <w:color w:val="000000"/>
                <w:sz w:val="20"/>
                <w:szCs w:val="20"/>
                <w:lang w:eastAsia="en-NZ"/>
              </w:rPr>
            </w:pPr>
            <w:r w:rsidRPr="001244BB">
              <w:rPr>
                <w:rFonts w:ascii="Arial" w:eastAsia="Times New Roman" w:hAnsi="Arial" w:cs="Arial"/>
                <w:color w:val="000000"/>
                <w:sz w:val="20"/>
                <w:szCs w:val="20"/>
                <w:lang w:eastAsia="en-NZ"/>
              </w:rPr>
              <w:t>Increasing</w:t>
            </w:r>
          </w:p>
        </w:tc>
        <w:tc>
          <w:tcPr>
            <w:tcW w:w="1357" w:type="dxa"/>
            <w:tcBorders>
              <w:top w:val="single" w:sz="4" w:space="0" w:color="00B0F0"/>
              <w:bottom w:val="single" w:sz="4" w:space="0" w:color="00B0F0"/>
            </w:tcBorders>
            <w:shd w:val="clear" w:color="auto" w:fill="auto"/>
            <w:noWrap/>
            <w:hideMark/>
          </w:tcPr>
          <w:p w:rsidR="00006279" w:rsidRPr="001244BB" w:rsidRDefault="00006279" w:rsidP="0035318B">
            <w:pPr>
              <w:spacing w:after="0" w:line="240" w:lineRule="auto"/>
              <w:rPr>
                <w:rFonts w:ascii="Arial" w:eastAsia="Times New Roman" w:hAnsi="Arial" w:cs="Arial"/>
                <w:color w:val="000000"/>
                <w:sz w:val="20"/>
                <w:szCs w:val="20"/>
                <w:lang w:eastAsia="en-NZ"/>
              </w:rPr>
            </w:pPr>
            <w:r w:rsidRPr="001244BB">
              <w:rPr>
                <w:rFonts w:ascii="Arial" w:eastAsia="Times New Roman" w:hAnsi="Arial" w:cs="Arial"/>
                <w:color w:val="000000"/>
                <w:sz w:val="20"/>
                <w:szCs w:val="20"/>
                <w:lang w:eastAsia="en-NZ"/>
              </w:rPr>
              <w:t>WCC Strategy and Research</w:t>
            </w:r>
          </w:p>
        </w:tc>
        <w:tc>
          <w:tcPr>
            <w:tcW w:w="1606" w:type="dxa"/>
            <w:tcBorders>
              <w:top w:val="single" w:sz="4" w:space="0" w:color="00B0F0"/>
              <w:bottom w:val="single" w:sz="4" w:space="0" w:color="00B0F0"/>
            </w:tcBorders>
            <w:shd w:val="clear" w:color="auto" w:fill="auto"/>
            <w:noWrap/>
            <w:hideMark/>
          </w:tcPr>
          <w:p w:rsidR="00006279" w:rsidRPr="001244BB" w:rsidRDefault="00006279" w:rsidP="0035318B">
            <w:pPr>
              <w:spacing w:after="0" w:line="240" w:lineRule="auto"/>
              <w:jc w:val="right"/>
              <w:rPr>
                <w:rFonts w:ascii="Arial" w:eastAsia="Times New Roman" w:hAnsi="Arial" w:cs="Arial"/>
                <w:color w:val="000000"/>
                <w:sz w:val="20"/>
                <w:szCs w:val="20"/>
                <w:lang w:eastAsia="en-NZ"/>
              </w:rPr>
            </w:pPr>
          </w:p>
        </w:tc>
        <w:tc>
          <w:tcPr>
            <w:tcW w:w="1748" w:type="dxa"/>
            <w:gridSpan w:val="2"/>
            <w:tcBorders>
              <w:top w:val="single" w:sz="4" w:space="0" w:color="00B0F0"/>
              <w:bottom w:val="single" w:sz="4" w:space="0" w:color="00B0F0"/>
            </w:tcBorders>
            <w:shd w:val="clear" w:color="auto" w:fill="auto"/>
            <w:noWrap/>
            <w:hideMark/>
          </w:tcPr>
          <w:p w:rsidR="00006279" w:rsidRPr="001244BB" w:rsidRDefault="00006279" w:rsidP="0035318B">
            <w:pPr>
              <w:spacing w:after="0" w:line="240" w:lineRule="auto"/>
              <w:jc w:val="right"/>
              <w:rPr>
                <w:rFonts w:ascii="Arial" w:eastAsia="Times New Roman" w:hAnsi="Arial" w:cs="Arial"/>
                <w:color w:val="000000"/>
                <w:sz w:val="20"/>
                <w:szCs w:val="20"/>
                <w:lang w:eastAsia="en-NZ"/>
              </w:rPr>
            </w:pPr>
            <w:r w:rsidRPr="001244BB">
              <w:rPr>
                <w:rFonts w:ascii="Arial" w:eastAsia="Times New Roman" w:hAnsi="Arial" w:cs="Arial"/>
                <w:color w:val="000000"/>
                <w:sz w:val="20"/>
                <w:szCs w:val="20"/>
                <w:lang w:eastAsia="en-NZ"/>
              </w:rPr>
              <w:t>New</w:t>
            </w:r>
          </w:p>
        </w:tc>
        <w:tc>
          <w:tcPr>
            <w:tcW w:w="1749" w:type="dxa"/>
            <w:tcBorders>
              <w:top w:val="single" w:sz="4" w:space="0" w:color="00B0F0"/>
              <w:bottom w:val="single" w:sz="4" w:space="0" w:color="00B0F0"/>
            </w:tcBorders>
            <w:shd w:val="clear" w:color="auto" w:fill="auto"/>
            <w:hideMark/>
          </w:tcPr>
          <w:p w:rsidR="00006279" w:rsidRPr="001244BB" w:rsidRDefault="0036355B" w:rsidP="0036355B">
            <w:pPr>
              <w:spacing w:after="0" w:line="240" w:lineRule="auto"/>
              <w:jc w:val="right"/>
              <w:rPr>
                <w:rFonts w:ascii="Arial" w:eastAsia="Times New Roman" w:hAnsi="Arial" w:cs="Arial"/>
                <w:color w:val="000000"/>
                <w:sz w:val="20"/>
                <w:szCs w:val="20"/>
                <w:lang w:eastAsia="en-NZ"/>
              </w:rPr>
            </w:pPr>
            <w:r>
              <w:rPr>
                <w:rFonts w:ascii="Arial" w:eastAsia="Times New Roman" w:hAnsi="Arial" w:cs="Arial"/>
                <w:color w:val="000000"/>
                <w:sz w:val="20"/>
                <w:szCs w:val="20"/>
                <w:lang w:eastAsia="en-NZ"/>
              </w:rPr>
              <w:t>A</w:t>
            </w:r>
            <w:r w:rsidR="00006279" w:rsidRPr="001244BB">
              <w:rPr>
                <w:rFonts w:ascii="Arial" w:eastAsia="Times New Roman" w:hAnsi="Arial" w:cs="Arial"/>
                <w:color w:val="000000"/>
                <w:sz w:val="20"/>
                <w:szCs w:val="20"/>
                <w:lang w:eastAsia="en-NZ"/>
              </w:rPr>
              <w:t xml:space="preserve">ppropriately recognised (43%); </w:t>
            </w:r>
            <w:r>
              <w:rPr>
                <w:rFonts w:ascii="Arial" w:eastAsia="Times New Roman" w:hAnsi="Arial" w:cs="Arial"/>
                <w:color w:val="000000"/>
                <w:sz w:val="20"/>
                <w:szCs w:val="20"/>
                <w:lang w:eastAsia="en-NZ"/>
              </w:rPr>
              <w:t>V</w:t>
            </w:r>
            <w:r w:rsidR="00006279" w:rsidRPr="001244BB">
              <w:rPr>
                <w:rFonts w:ascii="Arial" w:eastAsia="Times New Roman" w:hAnsi="Arial" w:cs="Arial"/>
                <w:color w:val="000000"/>
                <w:sz w:val="20"/>
                <w:szCs w:val="20"/>
                <w:lang w:eastAsia="en-NZ"/>
              </w:rPr>
              <w:t>isible (54%)</w:t>
            </w:r>
          </w:p>
        </w:tc>
        <w:tc>
          <w:tcPr>
            <w:tcW w:w="3402" w:type="dxa"/>
            <w:tcBorders>
              <w:top w:val="single" w:sz="4" w:space="0" w:color="00B0F0"/>
              <w:bottom w:val="single" w:sz="4" w:space="0" w:color="00B0F0"/>
            </w:tcBorders>
          </w:tcPr>
          <w:p w:rsidR="00006279" w:rsidRPr="001244BB" w:rsidRDefault="007F78CB" w:rsidP="0035318B">
            <w:pPr>
              <w:spacing w:after="0" w:line="240" w:lineRule="auto"/>
              <w:jc w:val="right"/>
              <w:rPr>
                <w:rFonts w:ascii="Arial" w:eastAsia="Times New Roman" w:hAnsi="Arial" w:cs="Arial"/>
                <w:color w:val="000000"/>
                <w:sz w:val="20"/>
                <w:szCs w:val="20"/>
                <w:lang w:eastAsia="en-NZ"/>
              </w:rPr>
            </w:pPr>
            <w:r w:rsidRPr="001244BB">
              <w:rPr>
                <w:rFonts w:ascii="Arial" w:eastAsia="Times New Roman" w:hAnsi="Arial" w:cs="Arial"/>
                <w:color w:val="000000"/>
                <w:sz w:val="20"/>
                <w:szCs w:val="20"/>
                <w:lang w:eastAsia="en-NZ"/>
              </w:rPr>
              <w:t>No trend</w:t>
            </w:r>
          </w:p>
        </w:tc>
      </w:tr>
      <w:tr w:rsidR="00006279" w:rsidRPr="001244BB" w:rsidTr="00467B7D">
        <w:trPr>
          <w:trHeight w:val="510"/>
        </w:trPr>
        <w:tc>
          <w:tcPr>
            <w:tcW w:w="2740" w:type="dxa"/>
            <w:tcBorders>
              <w:top w:val="single" w:sz="4" w:space="0" w:color="00B0F0"/>
              <w:bottom w:val="nil"/>
            </w:tcBorders>
            <w:shd w:val="clear" w:color="auto" w:fill="auto"/>
            <w:hideMark/>
          </w:tcPr>
          <w:p w:rsidR="00006279" w:rsidRPr="001244BB" w:rsidRDefault="00006279" w:rsidP="0035318B">
            <w:pPr>
              <w:spacing w:after="0" w:line="240" w:lineRule="auto"/>
              <w:rPr>
                <w:rFonts w:ascii="Arial" w:eastAsia="Times New Roman" w:hAnsi="Arial" w:cs="Arial"/>
                <w:color w:val="000000"/>
                <w:sz w:val="20"/>
                <w:szCs w:val="20"/>
                <w:lang w:eastAsia="en-NZ"/>
              </w:rPr>
            </w:pPr>
            <w:r w:rsidRPr="001244BB">
              <w:rPr>
                <w:rFonts w:ascii="Arial" w:eastAsia="Times New Roman" w:hAnsi="Arial" w:cs="Arial"/>
                <w:color w:val="000000"/>
                <w:sz w:val="20"/>
                <w:szCs w:val="20"/>
                <w:lang w:eastAsia="en-NZ"/>
              </w:rPr>
              <w:t>Māori residents (%) who believe they have the opportunity to participate in city decision-making</w:t>
            </w:r>
          </w:p>
        </w:tc>
        <w:tc>
          <w:tcPr>
            <w:tcW w:w="1148" w:type="dxa"/>
            <w:tcBorders>
              <w:top w:val="single" w:sz="4" w:space="0" w:color="00B0F0"/>
              <w:bottom w:val="nil"/>
            </w:tcBorders>
            <w:shd w:val="clear" w:color="auto" w:fill="auto"/>
            <w:noWrap/>
            <w:hideMark/>
          </w:tcPr>
          <w:p w:rsidR="00006279" w:rsidRPr="001244BB" w:rsidRDefault="00006279" w:rsidP="0035318B">
            <w:pPr>
              <w:spacing w:after="0" w:line="240" w:lineRule="auto"/>
              <w:rPr>
                <w:rFonts w:ascii="Arial" w:eastAsia="Times New Roman" w:hAnsi="Arial" w:cs="Arial"/>
                <w:color w:val="000000"/>
                <w:sz w:val="20"/>
                <w:szCs w:val="20"/>
                <w:lang w:eastAsia="en-NZ"/>
              </w:rPr>
            </w:pPr>
            <w:r w:rsidRPr="001244BB">
              <w:rPr>
                <w:rFonts w:ascii="Arial" w:eastAsia="Times New Roman" w:hAnsi="Arial" w:cs="Arial"/>
                <w:color w:val="000000"/>
                <w:sz w:val="20"/>
                <w:szCs w:val="20"/>
                <w:lang w:eastAsia="en-NZ"/>
              </w:rPr>
              <w:t>Increasing</w:t>
            </w:r>
          </w:p>
        </w:tc>
        <w:tc>
          <w:tcPr>
            <w:tcW w:w="1357" w:type="dxa"/>
            <w:tcBorders>
              <w:top w:val="single" w:sz="4" w:space="0" w:color="00B0F0"/>
              <w:bottom w:val="nil"/>
            </w:tcBorders>
            <w:shd w:val="clear" w:color="auto" w:fill="auto"/>
            <w:noWrap/>
            <w:hideMark/>
          </w:tcPr>
          <w:p w:rsidR="00006279" w:rsidRPr="001244BB" w:rsidRDefault="00006279" w:rsidP="0035318B">
            <w:pPr>
              <w:spacing w:after="0" w:line="240" w:lineRule="auto"/>
              <w:rPr>
                <w:rFonts w:ascii="Arial" w:eastAsia="Times New Roman" w:hAnsi="Arial" w:cs="Arial"/>
                <w:color w:val="000000"/>
                <w:sz w:val="20"/>
                <w:szCs w:val="20"/>
                <w:lang w:eastAsia="en-NZ"/>
              </w:rPr>
            </w:pPr>
            <w:r w:rsidRPr="001244BB">
              <w:rPr>
                <w:rFonts w:ascii="Arial" w:eastAsia="Times New Roman" w:hAnsi="Arial" w:cs="Arial"/>
                <w:color w:val="000000"/>
                <w:sz w:val="20"/>
                <w:szCs w:val="20"/>
                <w:lang w:eastAsia="en-NZ"/>
              </w:rPr>
              <w:t>WCC Strategy and Research</w:t>
            </w:r>
          </w:p>
        </w:tc>
        <w:tc>
          <w:tcPr>
            <w:tcW w:w="1606" w:type="dxa"/>
            <w:tcBorders>
              <w:top w:val="single" w:sz="4" w:space="0" w:color="00B0F0"/>
              <w:bottom w:val="nil"/>
            </w:tcBorders>
            <w:shd w:val="clear" w:color="auto" w:fill="auto"/>
            <w:noWrap/>
            <w:hideMark/>
          </w:tcPr>
          <w:p w:rsidR="00006279" w:rsidRPr="001244BB" w:rsidRDefault="00006279" w:rsidP="0035318B">
            <w:pPr>
              <w:spacing w:after="0" w:line="240" w:lineRule="auto"/>
              <w:jc w:val="right"/>
              <w:rPr>
                <w:rFonts w:ascii="Arial" w:eastAsia="Times New Roman" w:hAnsi="Arial" w:cs="Arial"/>
                <w:color w:val="000000"/>
                <w:sz w:val="20"/>
                <w:szCs w:val="20"/>
                <w:lang w:eastAsia="en-NZ"/>
              </w:rPr>
            </w:pPr>
          </w:p>
        </w:tc>
        <w:tc>
          <w:tcPr>
            <w:tcW w:w="1748" w:type="dxa"/>
            <w:gridSpan w:val="2"/>
            <w:tcBorders>
              <w:top w:val="single" w:sz="4" w:space="0" w:color="00B0F0"/>
              <w:bottom w:val="nil"/>
            </w:tcBorders>
            <w:shd w:val="clear" w:color="auto" w:fill="auto"/>
            <w:noWrap/>
            <w:hideMark/>
          </w:tcPr>
          <w:p w:rsidR="00006279" w:rsidRPr="001244BB" w:rsidRDefault="00006279" w:rsidP="0035318B">
            <w:pPr>
              <w:spacing w:after="0" w:line="240" w:lineRule="auto"/>
              <w:jc w:val="right"/>
              <w:rPr>
                <w:rFonts w:ascii="Arial" w:eastAsia="Times New Roman" w:hAnsi="Arial" w:cs="Arial"/>
                <w:color w:val="000000"/>
                <w:sz w:val="20"/>
                <w:szCs w:val="20"/>
                <w:lang w:eastAsia="en-NZ"/>
              </w:rPr>
            </w:pPr>
            <w:r w:rsidRPr="001244BB">
              <w:rPr>
                <w:rFonts w:ascii="Arial" w:eastAsia="Times New Roman" w:hAnsi="Arial" w:cs="Arial"/>
                <w:color w:val="000000"/>
                <w:sz w:val="20"/>
                <w:szCs w:val="20"/>
                <w:lang w:eastAsia="en-NZ"/>
              </w:rPr>
              <w:t>New</w:t>
            </w:r>
          </w:p>
        </w:tc>
        <w:tc>
          <w:tcPr>
            <w:tcW w:w="1749" w:type="dxa"/>
            <w:tcBorders>
              <w:top w:val="single" w:sz="4" w:space="0" w:color="00B0F0"/>
              <w:bottom w:val="nil"/>
            </w:tcBorders>
            <w:shd w:val="clear" w:color="auto" w:fill="FFFFFF" w:themeFill="background1"/>
            <w:noWrap/>
            <w:hideMark/>
          </w:tcPr>
          <w:p w:rsidR="00006279" w:rsidRPr="001244BB" w:rsidRDefault="00006279" w:rsidP="0035318B">
            <w:pPr>
              <w:spacing w:after="0" w:line="240" w:lineRule="auto"/>
              <w:jc w:val="right"/>
              <w:rPr>
                <w:rFonts w:ascii="Arial" w:eastAsia="Times New Roman" w:hAnsi="Arial" w:cs="Arial"/>
                <w:color w:val="000000"/>
                <w:sz w:val="20"/>
                <w:szCs w:val="20"/>
                <w:lang w:eastAsia="en-NZ"/>
              </w:rPr>
            </w:pPr>
            <w:r w:rsidRPr="001244BB">
              <w:rPr>
                <w:rFonts w:ascii="Arial" w:eastAsia="Times New Roman" w:hAnsi="Arial" w:cs="Arial"/>
                <w:color w:val="000000"/>
                <w:sz w:val="20"/>
                <w:szCs w:val="20"/>
                <w:lang w:eastAsia="en-NZ"/>
              </w:rPr>
              <w:t>50%</w:t>
            </w:r>
          </w:p>
        </w:tc>
        <w:tc>
          <w:tcPr>
            <w:tcW w:w="3402" w:type="dxa"/>
            <w:tcBorders>
              <w:top w:val="single" w:sz="4" w:space="0" w:color="00B0F0"/>
              <w:bottom w:val="nil"/>
            </w:tcBorders>
            <w:shd w:val="clear" w:color="auto" w:fill="FFFFFF" w:themeFill="background1"/>
          </w:tcPr>
          <w:p w:rsidR="00E932A9" w:rsidRDefault="007F78CB" w:rsidP="0035318B">
            <w:pPr>
              <w:spacing w:after="0" w:line="240" w:lineRule="auto"/>
              <w:jc w:val="right"/>
              <w:rPr>
                <w:rFonts w:ascii="Arial" w:eastAsia="Times New Roman" w:hAnsi="Arial" w:cs="Arial"/>
                <w:color w:val="000000"/>
                <w:sz w:val="20"/>
                <w:szCs w:val="20"/>
                <w:lang w:eastAsia="en-NZ"/>
              </w:rPr>
            </w:pPr>
            <w:r w:rsidRPr="001244BB">
              <w:rPr>
                <w:rFonts w:ascii="Arial" w:eastAsia="Times New Roman" w:hAnsi="Arial" w:cs="Arial"/>
                <w:color w:val="000000"/>
                <w:sz w:val="20"/>
                <w:szCs w:val="20"/>
                <w:lang w:eastAsia="en-NZ"/>
              </w:rPr>
              <w:t>No trend</w:t>
            </w:r>
            <w:r>
              <w:rPr>
                <w:rFonts w:ascii="Arial" w:eastAsia="Times New Roman" w:hAnsi="Arial" w:cs="Arial"/>
                <w:color w:val="000000"/>
                <w:sz w:val="20"/>
                <w:szCs w:val="20"/>
                <w:lang w:eastAsia="en-NZ"/>
              </w:rPr>
              <w:t xml:space="preserve">. </w:t>
            </w:r>
            <w:r w:rsidR="00006279" w:rsidRPr="001244BB">
              <w:rPr>
                <w:rFonts w:ascii="Arial" w:eastAsia="Times New Roman" w:hAnsi="Arial" w:cs="Arial"/>
                <w:color w:val="000000"/>
                <w:sz w:val="20"/>
                <w:szCs w:val="20"/>
                <w:lang w:eastAsia="en-NZ"/>
              </w:rPr>
              <w:t>This is a new outcome measure for 2019 along with the KPI “Māori residents (%) who believe that they have adequate opportunities to have their say in decision making”.</w:t>
            </w:r>
          </w:p>
          <w:p w:rsidR="00006279" w:rsidRPr="001244BB" w:rsidRDefault="00E932A9" w:rsidP="0035318B">
            <w:pPr>
              <w:spacing w:after="0" w:line="240" w:lineRule="auto"/>
              <w:jc w:val="right"/>
              <w:rPr>
                <w:rFonts w:ascii="Arial" w:eastAsia="Times New Roman" w:hAnsi="Arial" w:cs="Arial"/>
                <w:color w:val="000000"/>
                <w:sz w:val="20"/>
                <w:szCs w:val="20"/>
                <w:lang w:eastAsia="en-NZ"/>
              </w:rPr>
            </w:pPr>
            <w:r w:rsidRPr="00E932A9">
              <w:rPr>
                <w:rFonts w:ascii="Arial" w:eastAsia="Times New Roman" w:hAnsi="Arial" w:cs="Arial"/>
                <w:color w:val="000000"/>
                <w:sz w:val="20"/>
                <w:szCs w:val="20"/>
                <w:lang w:eastAsia="en-NZ"/>
              </w:rPr>
              <w:t>Specific activities are required to increase opportunities for engagement and encourage participation for Maōri residents.</w:t>
            </w:r>
            <w:r w:rsidR="00006279" w:rsidRPr="001244BB">
              <w:rPr>
                <w:rFonts w:ascii="Arial" w:eastAsia="Times New Roman" w:hAnsi="Arial" w:cs="Arial"/>
                <w:color w:val="000000"/>
                <w:sz w:val="20"/>
                <w:szCs w:val="20"/>
                <w:lang w:eastAsia="en-NZ"/>
              </w:rPr>
              <w:t xml:space="preserve"> </w:t>
            </w:r>
          </w:p>
        </w:tc>
      </w:tr>
      <w:tr w:rsidR="00006279" w:rsidRPr="001244BB" w:rsidTr="00467B7D">
        <w:trPr>
          <w:trHeight w:val="259"/>
        </w:trPr>
        <w:tc>
          <w:tcPr>
            <w:tcW w:w="13750" w:type="dxa"/>
            <w:gridSpan w:val="8"/>
            <w:tcBorders>
              <w:top w:val="nil"/>
              <w:bottom w:val="nil"/>
            </w:tcBorders>
            <w:shd w:val="clear" w:color="auto" w:fill="C6D9F1" w:themeFill="text2" w:themeFillTint="33"/>
            <w:hideMark/>
          </w:tcPr>
          <w:p w:rsidR="00006279" w:rsidRPr="001244BB" w:rsidRDefault="00006279" w:rsidP="0035318B">
            <w:pPr>
              <w:spacing w:after="0" w:line="240" w:lineRule="auto"/>
              <w:rPr>
                <w:rFonts w:ascii="Arial" w:eastAsia="Times New Roman" w:hAnsi="Arial" w:cs="Arial"/>
                <w:sz w:val="20"/>
                <w:szCs w:val="20"/>
                <w:lang w:eastAsia="en-NZ"/>
              </w:rPr>
            </w:pPr>
            <w:r w:rsidRPr="001244BB">
              <w:rPr>
                <w:rFonts w:ascii="Arial" w:eastAsia="Times New Roman" w:hAnsi="Arial" w:cs="Arial"/>
                <w:b/>
                <w:bCs/>
                <w:i/>
                <w:iCs/>
                <w:sz w:val="20"/>
                <w:szCs w:val="20"/>
                <w:lang w:eastAsia="en-NZ"/>
              </w:rPr>
              <w:t>Diversity</w:t>
            </w:r>
          </w:p>
        </w:tc>
      </w:tr>
      <w:tr w:rsidR="00006279" w:rsidRPr="001244BB" w:rsidTr="00467B7D">
        <w:trPr>
          <w:trHeight w:val="1268"/>
        </w:trPr>
        <w:tc>
          <w:tcPr>
            <w:tcW w:w="2740" w:type="dxa"/>
            <w:tcBorders>
              <w:top w:val="nil"/>
            </w:tcBorders>
            <w:shd w:val="clear" w:color="auto" w:fill="auto"/>
            <w:hideMark/>
          </w:tcPr>
          <w:p w:rsidR="00006279" w:rsidRPr="001244BB" w:rsidRDefault="00006279" w:rsidP="0035318B">
            <w:pPr>
              <w:spacing w:after="0" w:line="240" w:lineRule="auto"/>
              <w:rPr>
                <w:rFonts w:ascii="Arial" w:eastAsia="Times New Roman" w:hAnsi="Arial" w:cs="Arial"/>
                <w:color w:val="000000"/>
                <w:sz w:val="20"/>
                <w:szCs w:val="20"/>
                <w:lang w:eastAsia="en-NZ"/>
              </w:rPr>
            </w:pPr>
            <w:r w:rsidRPr="001244BB">
              <w:rPr>
                <w:rFonts w:ascii="Arial" w:eastAsia="Times New Roman" w:hAnsi="Arial" w:cs="Arial"/>
                <w:color w:val="000000"/>
                <w:sz w:val="20"/>
                <w:szCs w:val="20"/>
                <w:lang w:eastAsia="en-NZ"/>
              </w:rPr>
              <w:t>Diversity of population</w:t>
            </w:r>
          </w:p>
        </w:tc>
        <w:tc>
          <w:tcPr>
            <w:tcW w:w="1148" w:type="dxa"/>
            <w:tcBorders>
              <w:top w:val="nil"/>
            </w:tcBorders>
            <w:shd w:val="clear" w:color="auto" w:fill="auto"/>
            <w:noWrap/>
            <w:hideMark/>
          </w:tcPr>
          <w:p w:rsidR="00006279" w:rsidRPr="001244BB" w:rsidRDefault="00006279" w:rsidP="0035318B">
            <w:pPr>
              <w:spacing w:after="0" w:line="240" w:lineRule="auto"/>
              <w:rPr>
                <w:rFonts w:ascii="Arial" w:eastAsia="Times New Roman" w:hAnsi="Arial" w:cs="Arial"/>
                <w:color w:val="000000"/>
                <w:sz w:val="20"/>
                <w:szCs w:val="20"/>
                <w:lang w:eastAsia="en-NZ"/>
              </w:rPr>
            </w:pPr>
            <w:r w:rsidRPr="001244BB">
              <w:rPr>
                <w:rFonts w:ascii="Arial" w:eastAsia="Times New Roman" w:hAnsi="Arial" w:cs="Arial"/>
                <w:color w:val="000000"/>
                <w:sz w:val="20"/>
                <w:szCs w:val="20"/>
                <w:lang w:eastAsia="en-NZ"/>
              </w:rPr>
              <w:t>Increasing</w:t>
            </w:r>
          </w:p>
        </w:tc>
        <w:tc>
          <w:tcPr>
            <w:tcW w:w="1357" w:type="dxa"/>
            <w:tcBorders>
              <w:top w:val="nil"/>
            </w:tcBorders>
            <w:shd w:val="clear" w:color="auto" w:fill="auto"/>
            <w:noWrap/>
            <w:hideMark/>
          </w:tcPr>
          <w:p w:rsidR="00006279" w:rsidRPr="001244BB" w:rsidRDefault="00006279" w:rsidP="0035318B">
            <w:pPr>
              <w:spacing w:after="0" w:line="240" w:lineRule="auto"/>
              <w:rPr>
                <w:rFonts w:ascii="Arial" w:eastAsia="Times New Roman" w:hAnsi="Arial" w:cs="Arial"/>
                <w:color w:val="000000"/>
                <w:sz w:val="20"/>
                <w:szCs w:val="20"/>
                <w:lang w:eastAsia="en-NZ"/>
              </w:rPr>
            </w:pPr>
            <w:r w:rsidRPr="001244BB">
              <w:rPr>
                <w:rFonts w:ascii="Arial" w:eastAsia="Times New Roman" w:hAnsi="Arial" w:cs="Arial"/>
                <w:color w:val="000000"/>
                <w:sz w:val="20"/>
                <w:szCs w:val="20"/>
                <w:lang w:eastAsia="en-NZ"/>
              </w:rPr>
              <w:t>WCC Strategy and Research, Census data</w:t>
            </w:r>
          </w:p>
        </w:tc>
        <w:tc>
          <w:tcPr>
            <w:tcW w:w="3346" w:type="dxa"/>
            <w:gridSpan w:val="2"/>
            <w:tcBorders>
              <w:top w:val="nil"/>
            </w:tcBorders>
            <w:shd w:val="clear" w:color="auto" w:fill="auto"/>
            <w:hideMark/>
          </w:tcPr>
          <w:p w:rsidR="00006279" w:rsidRPr="001244BB" w:rsidRDefault="00006279" w:rsidP="0035318B">
            <w:pPr>
              <w:spacing w:after="0" w:line="240" w:lineRule="auto"/>
              <w:jc w:val="right"/>
              <w:rPr>
                <w:rFonts w:ascii="Arial" w:eastAsia="Times New Roman" w:hAnsi="Arial" w:cs="Arial"/>
                <w:color w:val="000000"/>
                <w:sz w:val="20"/>
                <w:szCs w:val="20"/>
                <w:lang w:eastAsia="en-NZ"/>
              </w:rPr>
            </w:pPr>
            <w:r w:rsidRPr="001244BB">
              <w:rPr>
                <w:rFonts w:ascii="Arial" w:eastAsia="Times New Roman" w:hAnsi="Arial" w:cs="Arial"/>
                <w:color w:val="000000"/>
                <w:sz w:val="20"/>
                <w:szCs w:val="20"/>
                <w:lang w:eastAsia="en-NZ"/>
              </w:rPr>
              <w:t>Census data 2013: Wellington City: European (72.8%); Maori (7.6%); Pacific peoples (4.7%); Asian (14.9%); Middle Eastern/Latin American/African (2.4%); New Zealander (1.7%); Other (0.1%).</w:t>
            </w:r>
          </w:p>
        </w:tc>
        <w:tc>
          <w:tcPr>
            <w:tcW w:w="1757" w:type="dxa"/>
            <w:gridSpan w:val="2"/>
            <w:tcBorders>
              <w:top w:val="nil"/>
            </w:tcBorders>
            <w:shd w:val="clear" w:color="auto" w:fill="FFFFFF" w:themeFill="background1"/>
            <w:hideMark/>
          </w:tcPr>
          <w:p w:rsidR="00006279" w:rsidRPr="001244BB" w:rsidRDefault="00006279" w:rsidP="0035318B">
            <w:pPr>
              <w:spacing w:after="0" w:line="240" w:lineRule="auto"/>
              <w:jc w:val="right"/>
              <w:rPr>
                <w:rFonts w:ascii="Arial" w:eastAsia="Times New Roman" w:hAnsi="Arial" w:cs="Arial"/>
                <w:color w:val="000000"/>
                <w:sz w:val="20"/>
                <w:szCs w:val="20"/>
                <w:lang w:eastAsia="en-NZ"/>
              </w:rPr>
            </w:pPr>
            <w:r w:rsidRPr="001244BB">
              <w:rPr>
                <w:rFonts w:ascii="Arial" w:eastAsia="Times New Roman" w:hAnsi="Arial" w:cs="Arial"/>
                <w:color w:val="000000"/>
                <w:sz w:val="20"/>
                <w:szCs w:val="20"/>
                <w:lang w:eastAsia="en-NZ"/>
              </w:rPr>
              <w:t xml:space="preserve">Census 2018 (conducted on </w:t>
            </w:r>
            <w:r w:rsidR="0014327E">
              <w:rPr>
                <w:rFonts w:ascii="Arial" w:eastAsia="Times New Roman" w:hAnsi="Arial" w:cs="Arial"/>
                <w:color w:val="000000"/>
                <w:sz w:val="20"/>
                <w:szCs w:val="20"/>
                <w:lang w:eastAsia="en-NZ"/>
              </w:rPr>
              <w:t xml:space="preserve">6 </w:t>
            </w:r>
            <w:r w:rsidRPr="001244BB">
              <w:rPr>
                <w:rFonts w:ascii="Arial" w:eastAsia="Times New Roman" w:hAnsi="Arial" w:cs="Arial"/>
                <w:color w:val="000000"/>
                <w:sz w:val="20"/>
                <w:szCs w:val="20"/>
                <w:lang w:eastAsia="en-NZ"/>
              </w:rPr>
              <w:t xml:space="preserve">March 2018) </w:t>
            </w:r>
            <w:r w:rsidR="0014327E">
              <w:rPr>
                <w:rFonts w:ascii="Arial" w:eastAsia="Times New Roman" w:hAnsi="Arial" w:cs="Arial"/>
                <w:color w:val="000000"/>
                <w:sz w:val="20"/>
                <w:szCs w:val="20"/>
                <w:lang w:eastAsia="en-NZ"/>
              </w:rPr>
              <w:t xml:space="preserve">breakdown </w:t>
            </w:r>
            <w:r w:rsidRPr="001244BB">
              <w:rPr>
                <w:rFonts w:ascii="Arial" w:eastAsia="Times New Roman" w:hAnsi="Arial" w:cs="Arial"/>
                <w:color w:val="000000"/>
                <w:sz w:val="20"/>
                <w:szCs w:val="20"/>
                <w:lang w:eastAsia="en-NZ"/>
              </w:rPr>
              <w:t xml:space="preserve">not available at the time of publication of this report. </w:t>
            </w:r>
          </w:p>
        </w:tc>
        <w:tc>
          <w:tcPr>
            <w:tcW w:w="3402" w:type="dxa"/>
            <w:tcBorders>
              <w:top w:val="nil"/>
            </w:tcBorders>
            <w:shd w:val="clear" w:color="auto" w:fill="FFFFFF" w:themeFill="background1"/>
          </w:tcPr>
          <w:p w:rsidR="00006279" w:rsidRPr="001244BB" w:rsidRDefault="00006279" w:rsidP="0035318B">
            <w:pPr>
              <w:spacing w:after="0" w:line="240" w:lineRule="auto"/>
              <w:jc w:val="right"/>
              <w:rPr>
                <w:rFonts w:ascii="Arial" w:eastAsia="Times New Roman" w:hAnsi="Arial" w:cs="Arial"/>
                <w:color w:val="000000"/>
                <w:sz w:val="20"/>
                <w:szCs w:val="20"/>
                <w:lang w:eastAsia="en-NZ"/>
              </w:rPr>
            </w:pPr>
            <w:r w:rsidRPr="001244BB">
              <w:rPr>
                <w:rFonts w:ascii="Arial" w:eastAsia="Times New Roman" w:hAnsi="Arial" w:cs="Arial"/>
                <w:color w:val="000000"/>
                <w:sz w:val="20"/>
                <w:szCs w:val="20"/>
                <w:lang w:eastAsia="en-NZ"/>
              </w:rPr>
              <w:t>No trend</w:t>
            </w:r>
          </w:p>
        </w:tc>
      </w:tr>
      <w:tr w:rsidR="00006279" w:rsidRPr="001244BB" w:rsidTr="00467B7D">
        <w:trPr>
          <w:trHeight w:val="769"/>
        </w:trPr>
        <w:tc>
          <w:tcPr>
            <w:tcW w:w="2740" w:type="dxa"/>
            <w:shd w:val="clear" w:color="auto" w:fill="auto"/>
            <w:hideMark/>
          </w:tcPr>
          <w:p w:rsidR="00006279" w:rsidRPr="001244BB" w:rsidRDefault="00006279" w:rsidP="0035318B">
            <w:pPr>
              <w:spacing w:after="0" w:line="240" w:lineRule="auto"/>
              <w:rPr>
                <w:rFonts w:ascii="Arial" w:eastAsia="Times New Roman" w:hAnsi="Arial" w:cs="Arial"/>
                <w:color w:val="000000"/>
                <w:sz w:val="20"/>
                <w:szCs w:val="20"/>
                <w:lang w:eastAsia="en-NZ"/>
              </w:rPr>
            </w:pPr>
            <w:r w:rsidRPr="001244BB">
              <w:rPr>
                <w:rFonts w:ascii="Arial" w:eastAsia="Times New Roman" w:hAnsi="Arial" w:cs="Arial"/>
                <w:color w:val="000000"/>
                <w:sz w:val="20"/>
                <w:szCs w:val="20"/>
                <w:lang w:eastAsia="en-NZ"/>
              </w:rPr>
              <w:t>Diversity - residents valuing diversity</w:t>
            </w:r>
          </w:p>
        </w:tc>
        <w:tc>
          <w:tcPr>
            <w:tcW w:w="1148" w:type="dxa"/>
            <w:shd w:val="clear" w:color="auto" w:fill="auto"/>
            <w:noWrap/>
            <w:hideMark/>
          </w:tcPr>
          <w:p w:rsidR="00006279" w:rsidRPr="001244BB" w:rsidRDefault="00006279" w:rsidP="0035318B">
            <w:pPr>
              <w:spacing w:after="0" w:line="240" w:lineRule="auto"/>
              <w:rPr>
                <w:rFonts w:ascii="Arial" w:eastAsia="Times New Roman" w:hAnsi="Arial" w:cs="Arial"/>
                <w:color w:val="000000"/>
                <w:sz w:val="20"/>
                <w:szCs w:val="20"/>
                <w:lang w:eastAsia="en-NZ"/>
              </w:rPr>
            </w:pPr>
            <w:r w:rsidRPr="001244BB">
              <w:rPr>
                <w:rFonts w:ascii="Arial" w:eastAsia="Times New Roman" w:hAnsi="Arial" w:cs="Arial"/>
                <w:color w:val="000000"/>
                <w:sz w:val="20"/>
                <w:szCs w:val="20"/>
                <w:lang w:eastAsia="en-NZ"/>
              </w:rPr>
              <w:t>Increasing</w:t>
            </w:r>
          </w:p>
        </w:tc>
        <w:tc>
          <w:tcPr>
            <w:tcW w:w="1357" w:type="dxa"/>
            <w:shd w:val="clear" w:color="auto" w:fill="auto"/>
            <w:noWrap/>
            <w:hideMark/>
          </w:tcPr>
          <w:p w:rsidR="00006279" w:rsidRPr="001244BB" w:rsidRDefault="00006279" w:rsidP="0035318B">
            <w:pPr>
              <w:spacing w:after="0" w:line="240" w:lineRule="auto"/>
              <w:rPr>
                <w:rFonts w:ascii="Arial" w:eastAsia="Times New Roman" w:hAnsi="Arial" w:cs="Arial"/>
                <w:color w:val="000000"/>
                <w:sz w:val="20"/>
                <w:szCs w:val="20"/>
                <w:lang w:eastAsia="en-NZ"/>
              </w:rPr>
            </w:pPr>
            <w:r w:rsidRPr="001244BB">
              <w:rPr>
                <w:rFonts w:ascii="Arial" w:eastAsia="Times New Roman" w:hAnsi="Arial" w:cs="Arial"/>
                <w:color w:val="000000"/>
                <w:sz w:val="20"/>
                <w:szCs w:val="20"/>
                <w:lang w:eastAsia="en-NZ"/>
              </w:rPr>
              <w:t>WCC RMS 2019</w:t>
            </w:r>
          </w:p>
        </w:tc>
        <w:tc>
          <w:tcPr>
            <w:tcW w:w="1606" w:type="dxa"/>
            <w:shd w:val="clear" w:color="auto" w:fill="auto"/>
            <w:noWrap/>
            <w:hideMark/>
          </w:tcPr>
          <w:p w:rsidR="00006279" w:rsidRPr="001244BB" w:rsidRDefault="00006279" w:rsidP="0035318B">
            <w:pPr>
              <w:spacing w:after="0" w:line="240" w:lineRule="auto"/>
              <w:jc w:val="right"/>
              <w:rPr>
                <w:rFonts w:ascii="Arial" w:eastAsia="Times New Roman" w:hAnsi="Arial" w:cs="Arial"/>
                <w:color w:val="000000"/>
                <w:sz w:val="20"/>
                <w:szCs w:val="20"/>
                <w:lang w:eastAsia="en-NZ"/>
              </w:rPr>
            </w:pPr>
            <w:r>
              <w:rPr>
                <w:rFonts w:ascii="Arial" w:eastAsia="Times New Roman" w:hAnsi="Arial" w:cs="Arial"/>
                <w:color w:val="000000"/>
                <w:sz w:val="20"/>
                <w:szCs w:val="20"/>
                <w:lang w:eastAsia="en-NZ"/>
              </w:rPr>
              <w:t>80%</w:t>
            </w:r>
          </w:p>
        </w:tc>
        <w:tc>
          <w:tcPr>
            <w:tcW w:w="1748" w:type="dxa"/>
            <w:gridSpan w:val="2"/>
            <w:shd w:val="clear" w:color="auto" w:fill="auto"/>
            <w:noWrap/>
          </w:tcPr>
          <w:p w:rsidR="00006279" w:rsidRPr="001244BB" w:rsidRDefault="00006279" w:rsidP="0035318B">
            <w:pPr>
              <w:spacing w:after="0" w:line="240" w:lineRule="auto"/>
              <w:jc w:val="right"/>
              <w:rPr>
                <w:rFonts w:ascii="Arial" w:eastAsia="Times New Roman" w:hAnsi="Arial" w:cs="Arial"/>
                <w:color w:val="000000"/>
                <w:sz w:val="20"/>
                <w:szCs w:val="20"/>
                <w:lang w:eastAsia="en-NZ"/>
              </w:rPr>
            </w:pPr>
            <w:r>
              <w:rPr>
                <w:rFonts w:ascii="Arial" w:eastAsia="Times New Roman" w:hAnsi="Arial" w:cs="Arial"/>
                <w:color w:val="000000"/>
                <w:sz w:val="20"/>
                <w:szCs w:val="20"/>
                <w:lang w:eastAsia="en-NZ"/>
              </w:rPr>
              <w:t>81%</w:t>
            </w:r>
          </w:p>
        </w:tc>
        <w:tc>
          <w:tcPr>
            <w:tcW w:w="1749" w:type="dxa"/>
            <w:shd w:val="clear" w:color="auto" w:fill="auto"/>
            <w:hideMark/>
          </w:tcPr>
          <w:p w:rsidR="00006279" w:rsidRPr="001244BB" w:rsidRDefault="00006279" w:rsidP="0035318B">
            <w:pPr>
              <w:spacing w:after="0" w:line="240" w:lineRule="auto"/>
              <w:jc w:val="right"/>
              <w:rPr>
                <w:rFonts w:ascii="Arial" w:eastAsia="Times New Roman" w:hAnsi="Arial" w:cs="Arial"/>
                <w:color w:val="000000"/>
                <w:sz w:val="20"/>
                <w:szCs w:val="20"/>
                <w:lang w:eastAsia="en-NZ"/>
              </w:rPr>
            </w:pPr>
            <w:r w:rsidRPr="001244BB">
              <w:rPr>
                <w:rFonts w:ascii="Arial" w:eastAsia="Times New Roman" w:hAnsi="Arial" w:cs="Arial"/>
                <w:color w:val="000000"/>
                <w:sz w:val="20"/>
                <w:szCs w:val="20"/>
                <w:lang w:eastAsia="en-NZ"/>
              </w:rPr>
              <w:t>Residents valuing diversity: multiculturalism makes the city a better/much better place to live: 82.6% agreed</w:t>
            </w:r>
          </w:p>
        </w:tc>
        <w:tc>
          <w:tcPr>
            <w:tcW w:w="3402" w:type="dxa"/>
          </w:tcPr>
          <w:p w:rsidR="00006279" w:rsidRPr="001244BB" w:rsidRDefault="00006279" w:rsidP="0035318B">
            <w:pPr>
              <w:spacing w:after="0" w:line="240" w:lineRule="auto"/>
              <w:jc w:val="right"/>
              <w:rPr>
                <w:rFonts w:ascii="Arial" w:eastAsia="Times New Roman" w:hAnsi="Arial" w:cs="Arial"/>
                <w:color w:val="000000"/>
                <w:sz w:val="20"/>
                <w:szCs w:val="20"/>
                <w:lang w:eastAsia="en-NZ"/>
              </w:rPr>
            </w:pPr>
            <w:r>
              <w:rPr>
                <w:rFonts w:ascii="Arial" w:eastAsia="Times New Roman" w:hAnsi="Arial" w:cs="Arial"/>
                <w:color w:val="000000"/>
                <w:sz w:val="20"/>
                <w:szCs w:val="20"/>
                <w:lang w:eastAsia="en-NZ"/>
              </w:rPr>
              <w:t>Positive trend</w:t>
            </w:r>
          </w:p>
        </w:tc>
      </w:tr>
      <w:tr w:rsidR="00006279" w:rsidRPr="001244BB" w:rsidTr="00467B7D">
        <w:trPr>
          <w:trHeight w:val="259"/>
        </w:trPr>
        <w:tc>
          <w:tcPr>
            <w:tcW w:w="2740" w:type="dxa"/>
            <w:shd w:val="clear" w:color="000000" w:fill="0070C0"/>
            <w:hideMark/>
          </w:tcPr>
          <w:p w:rsidR="00006279" w:rsidRPr="001244BB" w:rsidRDefault="00006279" w:rsidP="0035318B">
            <w:pPr>
              <w:spacing w:after="0" w:line="240" w:lineRule="auto"/>
              <w:rPr>
                <w:rFonts w:ascii="Arial" w:eastAsia="Times New Roman" w:hAnsi="Arial" w:cs="Arial"/>
                <w:b/>
                <w:bCs/>
                <w:color w:val="FFFFFF"/>
                <w:sz w:val="20"/>
                <w:szCs w:val="20"/>
                <w:lang w:eastAsia="en-NZ"/>
              </w:rPr>
            </w:pPr>
            <w:r w:rsidRPr="001244BB">
              <w:rPr>
                <w:rFonts w:ascii="Arial" w:eastAsia="Times New Roman" w:hAnsi="Arial" w:cs="Arial"/>
                <w:b/>
                <w:bCs/>
                <w:color w:val="FFFFFF"/>
                <w:sz w:val="20"/>
                <w:szCs w:val="20"/>
                <w:lang w:eastAsia="en-NZ"/>
              </w:rPr>
              <w:t xml:space="preserve">What this tells us: </w:t>
            </w:r>
          </w:p>
        </w:tc>
        <w:tc>
          <w:tcPr>
            <w:tcW w:w="1148" w:type="dxa"/>
            <w:shd w:val="clear" w:color="auto" w:fill="0070C0"/>
            <w:hideMark/>
          </w:tcPr>
          <w:p w:rsidR="00006279" w:rsidRPr="001244BB" w:rsidRDefault="00006279" w:rsidP="0035318B">
            <w:pPr>
              <w:spacing w:after="0" w:line="240" w:lineRule="auto"/>
              <w:rPr>
                <w:rFonts w:ascii="Arial" w:eastAsia="Times New Roman" w:hAnsi="Arial" w:cs="Arial"/>
                <w:b/>
                <w:bCs/>
                <w:color w:val="FFFFFF"/>
                <w:sz w:val="20"/>
                <w:szCs w:val="20"/>
                <w:lang w:eastAsia="en-NZ"/>
              </w:rPr>
            </w:pPr>
            <w:r w:rsidRPr="001244BB">
              <w:rPr>
                <w:rFonts w:ascii="Arial" w:eastAsia="Times New Roman" w:hAnsi="Arial" w:cs="Arial"/>
                <w:b/>
                <w:bCs/>
                <w:color w:val="FFFFFF"/>
                <w:sz w:val="20"/>
                <w:szCs w:val="20"/>
                <w:lang w:eastAsia="en-NZ"/>
              </w:rPr>
              <w:t> </w:t>
            </w:r>
          </w:p>
        </w:tc>
        <w:tc>
          <w:tcPr>
            <w:tcW w:w="1357" w:type="dxa"/>
            <w:shd w:val="clear" w:color="auto" w:fill="0070C0"/>
            <w:noWrap/>
            <w:hideMark/>
          </w:tcPr>
          <w:p w:rsidR="00006279" w:rsidRPr="001244BB" w:rsidRDefault="00006279" w:rsidP="0035318B">
            <w:pPr>
              <w:spacing w:after="0" w:line="240" w:lineRule="auto"/>
              <w:rPr>
                <w:rFonts w:ascii="Arial" w:eastAsia="Times New Roman" w:hAnsi="Arial" w:cs="Arial"/>
                <w:color w:val="000000"/>
                <w:sz w:val="20"/>
                <w:szCs w:val="20"/>
                <w:lang w:eastAsia="en-NZ"/>
              </w:rPr>
            </w:pPr>
          </w:p>
        </w:tc>
        <w:tc>
          <w:tcPr>
            <w:tcW w:w="1606" w:type="dxa"/>
            <w:shd w:val="clear" w:color="auto" w:fill="0070C0"/>
            <w:noWrap/>
            <w:hideMark/>
          </w:tcPr>
          <w:p w:rsidR="00006279" w:rsidRPr="001244BB" w:rsidRDefault="00006279" w:rsidP="0035318B">
            <w:pPr>
              <w:spacing w:after="0" w:line="240" w:lineRule="auto"/>
              <w:jc w:val="right"/>
              <w:rPr>
                <w:rFonts w:ascii="Arial" w:eastAsia="Times New Roman" w:hAnsi="Arial" w:cs="Arial"/>
                <w:color w:val="000000"/>
                <w:sz w:val="20"/>
                <w:szCs w:val="20"/>
                <w:lang w:eastAsia="en-NZ"/>
              </w:rPr>
            </w:pPr>
          </w:p>
        </w:tc>
        <w:tc>
          <w:tcPr>
            <w:tcW w:w="1748" w:type="dxa"/>
            <w:gridSpan w:val="2"/>
            <w:shd w:val="clear" w:color="auto" w:fill="0070C0"/>
            <w:noWrap/>
            <w:hideMark/>
          </w:tcPr>
          <w:p w:rsidR="00006279" w:rsidRPr="001244BB" w:rsidRDefault="00006279" w:rsidP="0035318B">
            <w:pPr>
              <w:spacing w:after="0" w:line="240" w:lineRule="auto"/>
              <w:jc w:val="right"/>
              <w:rPr>
                <w:rFonts w:ascii="Arial" w:eastAsia="Times New Roman" w:hAnsi="Arial" w:cs="Arial"/>
                <w:color w:val="000000"/>
                <w:sz w:val="20"/>
                <w:szCs w:val="20"/>
                <w:lang w:eastAsia="en-NZ"/>
              </w:rPr>
            </w:pPr>
          </w:p>
        </w:tc>
        <w:tc>
          <w:tcPr>
            <w:tcW w:w="1749" w:type="dxa"/>
            <w:shd w:val="clear" w:color="auto" w:fill="0070C0"/>
            <w:noWrap/>
            <w:hideMark/>
          </w:tcPr>
          <w:p w:rsidR="00006279" w:rsidRPr="001244BB" w:rsidRDefault="00006279" w:rsidP="0035318B">
            <w:pPr>
              <w:spacing w:after="0" w:line="240" w:lineRule="auto"/>
              <w:jc w:val="right"/>
              <w:rPr>
                <w:rFonts w:ascii="Arial" w:eastAsia="Times New Roman" w:hAnsi="Arial" w:cs="Arial"/>
                <w:color w:val="000000"/>
                <w:sz w:val="20"/>
                <w:szCs w:val="20"/>
                <w:lang w:eastAsia="en-NZ"/>
              </w:rPr>
            </w:pPr>
          </w:p>
        </w:tc>
        <w:tc>
          <w:tcPr>
            <w:tcW w:w="3402" w:type="dxa"/>
            <w:shd w:val="clear" w:color="auto" w:fill="0070C0"/>
          </w:tcPr>
          <w:p w:rsidR="00006279" w:rsidRPr="001244BB" w:rsidRDefault="00006279" w:rsidP="0035318B">
            <w:pPr>
              <w:spacing w:after="0" w:line="240" w:lineRule="auto"/>
              <w:jc w:val="right"/>
              <w:rPr>
                <w:rFonts w:ascii="Arial" w:eastAsia="Times New Roman" w:hAnsi="Arial" w:cs="Arial"/>
                <w:color w:val="000000"/>
                <w:sz w:val="20"/>
                <w:szCs w:val="20"/>
                <w:lang w:eastAsia="en-NZ"/>
              </w:rPr>
            </w:pPr>
          </w:p>
        </w:tc>
      </w:tr>
      <w:tr w:rsidR="00006279" w:rsidRPr="001244BB" w:rsidTr="00467B7D">
        <w:trPr>
          <w:trHeight w:val="259"/>
        </w:trPr>
        <w:tc>
          <w:tcPr>
            <w:tcW w:w="13750" w:type="dxa"/>
            <w:gridSpan w:val="8"/>
            <w:shd w:val="clear" w:color="auto" w:fill="auto"/>
            <w:vAlign w:val="center"/>
            <w:hideMark/>
          </w:tcPr>
          <w:p w:rsidR="00006279" w:rsidRPr="001244BB" w:rsidRDefault="00006279" w:rsidP="00E46729">
            <w:pPr>
              <w:spacing w:after="0" w:line="240" w:lineRule="auto"/>
              <w:rPr>
                <w:rFonts w:ascii="Arial" w:eastAsia="Times New Roman" w:hAnsi="Arial" w:cs="Arial"/>
                <w:color w:val="000000"/>
                <w:sz w:val="20"/>
                <w:szCs w:val="20"/>
                <w:lang w:eastAsia="en-NZ"/>
              </w:rPr>
            </w:pPr>
            <w:r w:rsidRPr="001244BB">
              <w:rPr>
                <w:rFonts w:ascii="Arial" w:eastAsia="Times New Roman" w:hAnsi="Arial" w:cs="Arial"/>
                <w:color w:val="000000"/>
                <w:sz w:val="20"/>
                <w:szCs w:val="20"/>
                <w:lang w:eastAsia="en-NZ"/>
              </w:rPr>
              <w:t xml:space="preserve">Community involvement in decision-making is </w:t>
            </w:r>
            <w:proofErr w:type="gramStart"/>
            <w:r w:rsidRPr="001244BB">
              <w:rPr>
                <w:rFonts w:ascii="Arial" w:eastAsia="Times New Roman" w:hAnsi="Arial" w:cs="Arial"/>
                <w:color w:val="000000"/>
                <w:sz w:val="20"/>
                <w:szCs w:val="20"/>
                <w:lang w:eastAsia="en-NZ"/>
              </w:rPr>
              <w:t>key</w:t>
            </w:r>
            <w:proofErr w:type="gramEnd"/>
            <w:r w:rsidRPr="001244BB">
              <w:rPr>
                <w:rFonts w:ascii="Arial" w:eastAsia="Times New Roman" w:hAnsi="Arial" w:cs="Arial"/>
                <w:color w:val="000000"/>
                <w:sz w:val="20"/>
                <w:szCs w:val="20"/>
                <w:lang w:eastAsia="en-NZ"/>
              </w:rPr>
              <w:t xml:space="preserve"> to successful decisions. If residents are satisfied with the level of engagement, we can be confident we are making democratic decisions. </w:t>
            </w:r>
          </w:p>
        </w:tc>
      </w:tr>
    </w:tbl>
    <w:p w:rsidR="007F78CB" w:rsidRDefault="007F78CB" w:rsidP="00846C1B">
      <w:pPr>
        <w:pStyle w:val="Heading4"/>
      </w:pPr>
    </w:p>
    <w:p w:rsidR="007D1D61" w:rsidRPr="00D5126A" w:rsidRDefault="007D1D61" w:rsidP="00846C1B">
      <w:pPr>
        <w:pStyle w:val="Heading4"/>
      </w:pPr>
      <w:r w:rsidRPr="00D5126A">
        <w:t>Performance data – Council performance measures</w:t>
      </w:r>
    </w:p>
    <w:p w:rsidR="007D1D61" w:rsidRPr="00D5126A" w:rsidRDefault="007D1D61" w:rsidP="007D1D61">
      <w:pPr>
        <w:pStyle w:val="Para034"/>
        <w:spacing w:before="0" w:after="0" w:line="240" w:lineRule="auto"/>
        <w:rPr>
          <w:rFonts w:ascii="Arial" w:hAnsi="Arial" w:cs="Arial"/>
        </w:rPr>
      </w:pPr>
      <w:r w:rsidRPr="00D5126A">
        <w:rPr>
          <w:rFonts w:ascii="Arial" w:hAnsi="Arial" w:cs="Arial"/>
        </w:rPr>
        <w:t>The following section outlines Council performance measures for our Governance services. It includes data for the last 3 years to show trends, and includes variances explanations for relevant areas.</w:t>
      </w:r>
    </w:p>
    <w:p w:rsidR="007D1D61" w:rsidRPr="00D5126A" w:rsidRDefault="007D1D61" w:rsidP="007D1D61">
      <w:pPr>
        <w:pStyle w:val="Para034"/>
        <w:spacing w:before="0" w:after="0" w:line="240" w:lineRule="auto"/>
        <w:rPr>
          <w:rFonts w:ascii="Arial" w:hAnsi="Arial" w:cs="Arial"/>
        </w:rPr>
      </w:pPr>
    </w:p>
    <w:tbl>
      <w:tblPr>
        <w:tblW w:w="13750" w:type="dxa"/>
        <w:tblInd w:w="108" w:type="dxa"/>
        <w:tblBorders>
          <w:left w:val="single" w:sz="4" w:space="0" w:color="00B0F0"/>
        </w:tblBorders>
        <w:tblLayout w:type="fixed"/>
        <w:tblLook w:val="04A0" w:firstRow="1" w:lastRow="0" w:firstColumn="1" w:lastColumn="0" w:noHBand="0" w:noVBand="1"/>
      </w:tblPr>
      <w:tblGrid>
        <w:gridCol w:w="3119"/>
        <w:gridCol w:w="1061"/>
        <w:gridCol w:w="1062"/>
        <w:gridCol w:w="1061"/>
        <w:gridCol w:w="1062"/>
        <w:gridCol w:w="857"/>
        <w:gridCol w:w="1101"/>
        <w:gridCol w:w="4427"/>
      </w:tblGrid>
      <w:tr w:rsidR="00C67B7D" w:rsidRPr="001244BB" w:rsidTr="0035318B">
        <w:trPr>
          <w:trHeight w:val="522"/>
          <w:tblHeader/>
        </w:trPr>
        <w:tc>
          <w:tcPr>
            <w:tcW w:w="3119" w:type="dxa"/>
            <w:tcBorders>
              <w:top w:val="single" w:sz="4" w:space="0" w:color="FFFFFF" w:themeColor="background1"/>
              <w:left w:val="single" w:sz="4" w:space="0" w:color="FFFFFF" w:themeColor="background1"/>
              <w:bottom w:val="nil"/>
              <w:right w:val="single" w:sz="4" w:space="0" w:color="FFFFFF" w:themeColor="background1"/>
            </w:tcBorders>
            <w:shd w:val="clear" w:color="auto" w:fill="0070C0"/>
            <w:hideMark/>
          </w:tcPr>
          <w:p w:rsidR="00C67B7D" w:rsidRPr="001244BB" w:rsidRDefault="00C67B7D" w:rsidP="0035318B">
            <w:pPr>
              <w:spacing w:after="0" w:line="240" w:lineRule="auto"/>
              <w:rPr>
                <w:rFonts w:eastAsia="Times New Roman" w:cstheme="minorHAnsi"/>
                <w:b/>
                <w:bCs/>
                <w:color w:val="FFFFFF"/>
                <w:szCs w:val="20"/>
                <w:lang w:eastAsia="en-NZ"/>
              </w:rPr>
            </w:pPr>
            <w:r w:rsidRPr="001244BB">
              <w:rPr>
                <w:rFonts w:eastAsia="Times New Roman" w:cstheme="minorHAnsi"/>
                <w:b/>
                <w:bCs/>
                <w:color w:val="FFFFFF"/>
                <w:szCs w:val="20"/>
                <w:lang w:eastAsia="en-NZ"/>
              </w:rPr>
              <w:t>Performance measure</w:t>
            </w:r>
          </w:p>
        </w:tc>
        <w:tc>
          <w:tcPr>
            <w:tcW w:w="1061" w:type="dxa"/>
            <w:tcBorders>
              <w:top w:val="single" w:sz="4" w:space="0" w:color="FFFFFF" w:themeColor="background1"/>
              <w:left w:val="single" w:sz="4" w:space="0" w:color="FFFFFF" w:themeColor="background1"/>
              <w:bottom w:val="nil"/>
              <w:right w:val="single" w:sz="4" w:space="0" w:color="FFFFFF" w:themeColor="background1"/>
            </w:tcBorders>
            <w:shd w:val="clear" w:color="auto" w:fill="0070C0"/>
            <w:hideMark/>
          </w:tcPr>
          <w:p w:rsidR="00C67B7D" w:rsidRPr="001244BB" w:rsidRDefault="00C67B7D" w:rsidP="0035318B">
            <w:pPr>
              <w:spacing w:after="0" w:line="240" w:lineRule="auto"/>
              <w:jc w:val="right"/>
              <w:rPr>
                <w:rFonts w:eastAsia="Times New Roman" w:cstheme="minorHAnsi"/>
                <w:b/>
                <w:bCs/>
                <w:color w:val="FFFFFF"/>
                <w:szCs w:val="20"/>
                <w:lang w:eastAsia="en-NZ"/>
              </w:rPr>
            </w:pPr>
            <w:r w:rsidRPr="001244BB">
              <w:rPr>
                <w:rFonts w:eastAsia="Times New Roman" w:cstheme="minorHAnsi"/>
                <w:b/>
                <w:bCs/>
                <w:color w:val="FFFFFF"/>
                <w:szCs w:val="20"/>
                <w:lang w:eastAsia="en-NZ"/>
              </w:rPr>
              <w:t>2016/17</w:t>
            </w:r>
            <w:r w:rsidRPr="001244BB">
              <w:rPr>
                <w:rFonts w:eastAsia="Times New Roman" w:cstheme="minorHAnsi"/>
                <w:b/>
                <w:bCs/>
                <w:color w:val="FFFFFF"/>
                <w:szCs w:val="20"/>
                <w:lang w:eastAsia="en-NZ"/>
              </w:rPr>
              <w:br/>
              <w:t>Actual</w:t>
            </w:r>
          </w:p>
        </w:tc>
        <w:tc>
          <w:tcPr>
            <w:tcW w:w="1062" w:type="dxa"/>
            <w:tcBorders>
              <w:top w:val="single" w:sz="4" w:space="0" w:color="FFFFFF" w:themeColor="background1"/>
              <w:left w:val="single" w:sz="4" w:space="0" w:color="FFFFFF" w:themeColor="background1"/>
              <w:bottom w:val="nil"/>
              <w:right w:val="single" w:sz="4" w:space="0" w:color="FFFFFF" w:themeColor="background1"/>
            </w:tcBorders>
            <w:shd w:val="clear" w:color="auto" w:fill="0070C0"/>
            <w:hideMark/>
          </w:tcPr>
          <w:p w:rsidR="00C67B7D" w:rsidRPr="001244BB" w:rsidRDefault="00C67B7D" w:rsidP="0035318B">
            <w:pPr>
              <w:spacing w:after="0" w:line="240" w:lineRule="auto"/>
              <w:jc w:val="right"/>
              <w:rPr>
                <w:rFonts w:eastAsia="Times New Roman" w:cstheme="minorHAnsi"/>
                <w:b/>
                <w:bCs/>
                <w:color w:val="FFFFFF"/>
                <w:szCs w:val="20"/>
                <w:lang w:eastAsia="en-NZ"/>
              </w:rPr>
            </w:pPr>
            <w:r w:rsidRPr="001244BB">
              <w:rPr>
                <w:rFonts w:eastAsia="Times New Roman" w:cstheme="minorHAnsi"/>
                <w:b/>
                <w:bCs/>
                <w:color w:val="FFFFFF"/>
                <w:szCs w:val="20"/>
                <w:lang w:eastAsia="en-NZ"/>
              </w:rPr>
              <w:t>2017/18</w:t>
            </w:r>
            <w:r w:rsidRPr="001244BB">
              <w:rPr>
                <w:rFonts w:eastAsia="Times New Roman" w:cstheme="minorHAnsi"/>
                <w:b/>
                <w:bCs/>
                <w:color w:val="FFFFFF"/>
                <w:szCs w:val="20"/>
                <w:lang w:eastAsia="en-NZ"/>
              </w:rPr>
              <w:br/>
              <w:t>Actual</w:t>
            </w:r>
          </w:p>
        </w:tc>
        <w:tc>
          <w:tcPr>
            <w:tcW w:w="1061" w:type="dxa"/>
            <w:tcBorders>
              <w:top w:val="single" w:sz="4" w:space="0" w:color="FFFFFF" w:themeColor="background1"/>
              <w:left w:val="single" w:sz="4" w:space="0" w:color="FFFFFF" w:themeColor="background1"/>
              <w:bottom w:val="nil"/>
              <w:right w:val="single" w:sz="4" w:space="0" w:color="FFFFFF" w:themeColor="background1"/>
            </w:tcBorders>
            <w:shd w:val="clear" w:color="auto" w:fill="0070C0"/>
            <w:hideMark/>
          </w:tcPr>
          <w:p w:rsidR="00C67B7D" w:rsidRPr="001244BB" w:rsidRDefault="00C67B7D" w:rsidP="0035318B">
            <w:pPr>
              <w:spacing w:after="0" w:line="240" w:lineRule="auto"/>
              <w:jc w:val="right"/>
              <w:rPr>
                <w:rFonts w:eastAsia="Times New Roman" w:cstheme="minorHAnsi"/>
                <w:b/>
                <w:bCs/>
                <w:color w:val="FFFFFF"/>
                <w:szCs w:val="20"/>
                <w:lang w:eastAsia="en-NZ"/>
              </w:rPr>
            </w:pPr>
            <w:r w:rsidRPr="001244BB">
              <w:rPr>
                <w:rFonts w:eastAsia="Times New Roman" w:cstheme="minorHAnsi"/>
                <w:b/>
                <w:bCs/>
                <w:color w:val="FFFFFF"/>
                <w:szCs w:val="20"/>
                <w:lang w:eastAsia="en-NZ"/>
              </w:rPr>
              <w:t>2018/19</w:t>
            </w:r>
            <w:r w:rsidRPr="001244BB">
              <w:rPr>
                <w:rFonts w:eastAsia="Times New Roman" w:cstheme="minorHAnsi"/>
                <w:b/>
                <w:bCs/>
                <w:color w:val="FFFFFF"/>
                <w:szCs w:val="20"/>
                <w:lang w:eastAsia="en-NZ"/>
              </w:rPr>
              <w:br/>
              <w:t>Actual</w:t>
            </w:r>
          </w:p>
        </w:tc>
        <w:tc>
          <w:tcPr>
            <w:tcW w:w="1062" w:type="dxa"/>
            <w:tcBorders>
              <w:top w:val="single" w:sz="4" w:space="0" w:color="FFFFFF" w:themeColor="background1"/>
              <w:left w:val="single" w:sz="4" w:space="0" w:color="FFFFFF" w:themeColor="background1"/>
              <w:bottom w:val="nil"/>
              <w:right w:val="single" w:sz="4" w:space="0" w:color="FFFFFF" w:themeColor="background1"/>
            </w:tcBorders>
            <w:shd w:val="clear" w:color="auto" w:fill="0070C0"/>
            <w:hideMark/>
          </w:tcPr>
          <w:p w:rsidR="00C67B7D" w:rsidRPr="001244BB" w:rsidRDefault="00C67B7D" w:rsidP="0035318B">
            <w:pPr>
              <w:spacing w:after="0" w:line="240" w:lineRule="auto"/>
              <w:rPr>
                <w:rFonts w:eastAsia="Times New Roman" w:cstheme="minorHAnsi"/>
                <w:b/>
                <w:bCs/>
                <w:color w:val="FFFFFF" w:themeColor="background1"/>
                <w:szCs w:val="20"/>
                <w:lang w:eastAsia="en-NZ"/>
              </w:rPr>
            </w:pPr>
            <w:r w:rsidRPr="001244BB">
              <w:rPr>
                <w:rFonts w:eastAsia="Times New Roman" w:cstheme="minorHAnsi"/>
                <w:b/>
                <w:bCs/>
                <w:color w:val="FFFFFF" w:themeColor="background1"/>
                <w:szCs w:val="20"/>
                <w:lang w:eastAsia="en-NZ"/>
              </w:rPr>
              <w:t>2018/19 Target</w:t>
            </w:r>
          </w:p>
        </w:tc>
        <w:tc>
          <w:tcPr>
            <w:tcW w:w="857" w:type="dxa"/>
            <w:tcBorders>
              <w:top w:val="single" w:sz="4" w:space="0" w:color="FFFFFF" w:themeColor="background1"/>
              <w:left w:val="single" w:sz="4" w:space="0" w:color="FFFFFF" w:themeColor="background1"/>
              <w:bottom w:val="nil"/>
              <w:right w:val="single" w:sz="4" w:space="0" w:color="FFFFFF" w:themeColor="background1"/>
            </w:tcBorders>
            <w:shd w:val="clear" w:color="auto" w:fill="0070C0"/>
            <w:hideMark/>
          </w:tcPr>
          <w:p w:rsidR="00C67B7D" w:rsidRPr="001244BB" w:rsidRDefault="00C67B7D" w:rsidP="0035318B">
            <w:pPr>
              <w:spacing w:after="0" w:line="240" w:lineRule="auto"/>
              <w:rPr>
                <w:rFonts w:eastAsia="Times New Roman" w:cstheme="minorHAnsi"/>
                <w:b/>
                <w:bCs/>
                <w:color w:val="FFFFFF" w:themeColor="background1"/>
                <w:szCs w:val="20"/>
                <w:lang w:eastAsia="en-NZ"/>
              </w:rPr>
            </w:pPr>
            <w:r w:rsidRPr="001244BB">
              <w:rPr>
                <w:rFonts w:eastAsia="Times New Roman" w:cstheme="minorHAnsi"/>
                <w:b/>
                <w:bCs/>
                <w:color w:val="FFFFFF" w:themeColor="background1"/>
                <w:szCs w:val="20"/>
                <w:lang w:eastAsia="en-NZ"/>
              </w:rPr>
              <w:t>% Var.</w:t>
            </w:r>
          </w:p>
        </w:tc>
        <w:tc>
          <w:tcPr>
            <w:tcW w:w="1101" w:type="dxa"/>
            <w:tcBorders>
              <w:top w:val="single" w:sz="4" w:space="0" w:color="FFFFFF" w:themeColor="background1"/>
              <w:left w:val="single" w:sz="4" w:space="0" w:color="FFFFFF" w:themeColor="background1"/>
              <w:bottom w:val="nil"/>
              <w:right w:val="single" w:sz="4" w:space="0" w:color="FFFFFF" w:themeColor="background1"/>
            </w:tcBorders>
            <w:shd w:val="clear" w:color="auto" w:fill="0070C0"/>
            <w:hideMark/>
          </w:tcPr>
          <w:p w:rsidR="00C67B7D" w:rsidRPr="001244BB" w:rsidRDefault="00E159A5" w:rsidP="0035318B">
            <w:pPr>
              <w:spacing w:after="0" w:line="240" w:lineRule="auto"/>
              <w:rPr>
                <w:rFonts w:eastAsia="Times New Roman" w:cstheme="minorHAnsi"/>
                <w:b/>
                <w:bCs/>
                <w:color w:val="FFFFFF" w:themeColor="background1"/>
                <w:szCs w:val="20"/>
                <w:lang w:eastAsia="en-NZ"/>
              </w:rPr>
            </w:pPr>
            <w:r>
              <w:rPr>
                <w:rFonts w:eastAsia="Times New Roman" w:cstheme="minorHAnsi"/>
                <w:b/>
                <w:bCs/>
                <w:color w:val="FFFFFF" w:themeColor="background1"/>
                <w:szCs w:val="20"/>
                <w:lang w:eastAsia="en-NZ"/>
              </w:rPr>
              <w:t>Status</w:t>
            </w:r>
          </w:p>
        </w:tc>
        <w:tc>
          <w:tcPr>
            <w:tcW w:w="4427" w:type="dxa"/>
            <w:tcBorders>
              <w:top w:val="single" w:sz="4" w:space="0" w:color="FFFFFF" w:themeColor="background1"/>
              <w:left w:val="single" w:sz="4" w:space="0" w:color="FFFFFF" w:themeColor="background1"/>
              <w:bottom w:val="nil"/>
            </w:tcBorders>
            <w:shd w:val="clear" w:color="auto" w:fill="0070C0"/>
            <w:hideMark/>
          </w:tcPr>
          <w:p w:rsidR="00C67B7D" w:rsidRPr="001244BB" w:rsidRDefault="00C67B7D" w:rsidP="0035318B">
            <w:pPr>
              <w:spacing w:after="0" w:line="240" w:lineRule="auto"/>
              <w:rPr>
                <w:rFonts w:eastAsia="Times New Roman" w:cstheme="minorHAnsi"/>
                <w:b/>
                <w:bCs/>
                <w:color w:val="FFFFFF"/>
                <w:szCs w:val="20"/>
                <w:lang w:eastAsia="en-NZ"/>
              </w:rPr>
            </w:pPr>
            <w:r w:rsidRPr="001244BB">
              <w:rPr>
                <w:rFonts w:eastAsia="Times New Roman" w:cstheme="minorHAnsi"/>
                <w:b/>
                <w:bCs/>
                <w:color w:val="FFFFFF"/>
                <w:szCs w:val="20"/>
                <w:lang w:eastAsia="en-NZ"/>
              </w:rPr>
              <w:t>Comments</w:t>
            </w:r>
          </w:p>
        </w:tc>
      </w:tr>
      <w:tr w:rsidR="00C67B7D" w:rsidRPr="001244BB" w:rsidTr="0035318B">
        <w:trPr>
          <w:trHeight w:val="379"/>
        </w:trPr>
        <w:tc>
          <w:tcPr>
            <w:tcW w:w="13750" w:type="dxa"/>
            <w:gridSpan w:val="8"/>
            <w:tcBorders>
              <w:top w:val="nil"/>
              <w:left w:val="nil"/>
              <w:bottom w:val="nil"/>
            </w:tcBorders>
            <w:shd w:val="clear" w:color="auto" w:fill="auto"/>
            <w:noWrap/>
            <w:hideMark/>
          </w:tcPr>
          <w:p w:rsidR="00C67B7D" w:rsidRPr="001244BB" w:rsidRDefault="00C67B7D" w:rsidP="0035318B">
            <w:pPr>
              <w:spacing w:after="0" w:line="240" w:lineRule="auto"/>
              <w:rPr>
                <w:rFonts w:eastAsia="Times New Roman" w:cstheme="minorHAnsi"/>
                <w:color w:val="000000"/>
                <w:sz w:val="28"/>
                <w:szCs w:val="20"/>
                <w:lang w:eastAsia="en-NZ"/>
              </w:rPr>
            </w:pPr>
            <w:r w:rsidRPr="001244BB">
              <w:rPr>
                <w:rFonts w:eastAsia="Times New Roman" w:cstheme="minorHAnsi"/>
                <w:b/>
                <w:bCs/>
                <w:color w:val="4F81BD"/>
                <w:sz w:val="28"/>
                <w:szCs w:val="20"/>
                <w:lang w:eastAsia="en-NZ"/>
              </w:rPr>
              <w:t>1. Mana Whakahaere | Governance</w:t>
            </w:r>
          </w:p>
        </w:tc>
      </w:tr>
      <w:tr w:rsidR="00C67B7D" w:rsidRPr="001244BB" w:rsidTr="0035318B">
        <w:trPr>
          <w:trHeight w:val="329"/>
        </w:trPr>
        <w:tc>
          <w:tcPr>
            <w:tcW w:w="9323" w:type="dxa"/>
            <w:gridSpan w:val="7"/>
            <w:tcBorders>
              <w:top w:val="nil"/>
              <w:left w:val="nil"/>
              <w:bottom w:val="nil"/>
              <w:right w:val="nil"/>
            </w:tcBorders>
            <w:shd w:val="clear" w:color="000000" w:fill="0070C0"/>
            <w:noWrap/>
            <w:hideMark/>
          </w:tcPr>
          <w:p w:rsidR="00C67B7D" w:rsidRPr="001244BB" w:rsidRDefault="00C67B7D" w:rsidP="0035318B">
            <w:pPr>
              <w:spacing w:after="0"/>
              <w:rPr>
                <w:rFonts w:eastAsia="Times New Roman" w:cstheme="minorHAnsi"/>
                <w:b/>
                <w:bCs/>
                <w:color w:val="FFFFFF"/>
                <w:sz w:val="24"/>
                <w:szCs w:val="20"/>
                <w:lang w:eastAsia="en-NZ"/>
              </w:rPr>
            </w:pPr>
            <w:r w:rsidRPr="001244BB">
              <w:rPr>
                <w:rFonts w:eastAsia="Times New Roman" w:cstheme="minorHAnsi"/>
                <w:b/>
                <w:bCs/>
                <w:color w:val="FFFFFF"/>
                <w:sz w:val="24"/>
                <w:szCs w:val="20"/>
                <w:lang w:eastAsia="en-NZ"/>
              </w:rPr>
              <w:t>1.1 Governance, information and engagement</w:t>
            </w:r>
          </w:p>
        </w:tc>
        <w:tc>
          <w:tcPr>
            <w:tcW w:w="4427" w:type="dxa"/>
            <w:tcBorders>
              <w:top w:val="nil"/>
              <w:left w:val="nil"/>
              <w:bottom w:val="nil"/>
            </w:tcBorders>
            <w:shd w:val="clear" w:color="auto" w:fill="0070C0"/>
            <w:hideMark/>
          </w:tcPr>
          <w:p w:rsidR="00C67B7D" w:rsidRPr="001244BB" w:rsidRDefault="00C67B7D" w:rsidP="0035318B">
            <w:pPr>
              <w:spacing w:after="0"/>
              <w:rPr>
                <w:rFonts w:eastAsia="Times New Roman" w:cstheme="minorHAnsi"/>
                <w:color w:val="000000"/>
                <w:sz w:val="24"/>
                <w:szCs w:val="20"/>
                <w:lang w:eastAsia="en-NZ"/>
              </w:rPr>
            </w:pPr>
          </w:p>
        </w:tc>
      </w:tr>
      <w:tr w:rsidR="00C67B7D" w:rsidRPr="001244BB" w:rsidTr="0035318B">
        <w:trPr>
          <w:trHeight w:val="319"/>
        </w:trPr>
        <w:tc>
          <w:tcPr>
            <w:tcW w:w="13750" w:type="dxa"/>
            <w:gridSpan w:val="8"/>
            <w:tcBorders>
              <w:top w:val="nil"/>
              <w:left w:val="nil"/>
              <w:bottom w:val="nil"/>
            </w:tcBorders>
            <w:shd w:val="clear" w:color="auto" w:fill="DBE5F1" w:themeFill="accent1" w:themeFillTint="33"/>
            <w:hideMark/>
          </w:tcPr>
          <w:p w:rsidR="00C67B7D" w:rsidRPr="001244BB" w:rsidRDefault="00C67B7D" w:rsidP="0035318B">
            <w:pPr>
              <w:spacing w:after="0" w:line="240" w:lineRule="auto"/>
              <w:rPr>
                <w:rFonts w:eastAsia="Times New Roman" w:cstheme="minorHAnsi"/>
                <w:sz w:val="20"/>
                <w:szCs w:val="20"/>
                <w:lang w:eastAsia="en-NZ"/>
              </w:rPr>
            </w:pPr>
            <w:r w:rsidRPr="001244BB">
              <w:rPr>
                <w:rFonts w:eastAsia="Times New Roman" w:cstheme="minorHAnsi"/>
                <w:b/>
                <w:sz w:val="20"/>
                <w:szCs w:val="20"/>
                <w:lang w:eastAsia="en-NZ"/>
              </w:rPr>
              <w:t>Facilitating democratic decision-making</w:t>
            </w:r>
            <w:r w:rsidRPr="001244BB">
              <w:rPr>
                <w:rFonts w:eastAsia="Times New Roman" w:cstheme="minorHAnsi"/>
                <w:sz w:val="20"/>
                <w:szCs w:val="20"/>
                <w:lang w:eastAsia="en-NZ"/>
              </w:rPr>
              <w:t> </w:t>
            </w:r>
          </w:p>
        </w:tc>
      </w:tr>
      <w:tr w:rsidR="00C67B7D" w:rsidRPr="001244BB" w:rsidTr="0035318B">
        <w:trPr>
          <w:trHeight w:val="529"/>
        </w:trPr>
        <w:tc>
          <w:tcPr>
            <w:tcW w:w="3119" w:type="dxa"/>
            <w:tcBorders>
              <w:top w:val="nil"/>
              <w:left w:val="nil"/>
              <w:bottom w:val="single" w:sz="4" w:space="0" w:color="00B0F0"/>
              <w:right w:val="single" w:sz="4" w:space="0" w:color="00B0F0"/>
            </w:tcBorders>
            <w:shd w:val="clear" w:color="auto" w:fill="auto"/>
            <w:hideMark/>
          </w:tcPr>
          <w:p w:rsidR="00C67B7D" w:rsidRPr="001244BB" w:rsidRDefault="00C67B7D" w:rsidP="0035318B">
            <w:pPr>
              <w:spacing w:after="0" w:line="240" w:lineRule="auto"/>
              <w:rPr>
                <w:rFonts w:eastAsia="Times New Roman" w:cstheme="minorHAnsi"/>
                <w:color w:val="000000"/>
                <w:sz w:val="20"/>
                <w:szCs w:val="20"/>
                <w:lang w:eastAsia="en-NZ"/>
              </w:rPr>
            </w:pPr>
            <w:r w:rsidRPr="001244BB">
              <w:rPr>
                <w:rFonts w:eastAsia="Times New Roman" w:cstheme="minorHAnsi"/>
                <w:color w:val="000000"/>
                <w:sz w:val="20"/>
                <w:szCs w:val="20"/>
                <w:lang w:eastAsia="en-NZ"/>
              </w:rPr>
              <w:t>Meeting and committee agendas (%) made available to the public within statutory timeframes (2 working days prior to meeting</w:t>
            </w:r>
            <w:r w:rsidR="0014327E">
              <w:rPr>
                <w:rFonts w:eastAsia="Times New Roman" w:cstheme="minorHAnsi"/>
                <w:color w:val="000000"/>
                <w:sz w:val="20"/>
                <w:szCs w:val="20"/>
                <w:lang w:eastAsia="en-NZ"/>
              </w:rPr>
              <w:t>s)</w:t>
            </w:r>
          </w:p>
        </w:tc>
        <w:tc>
          <w:tcPr>
            <w:tcW w:w="1061" w:type="dxa"/>
            <w:tcBorders>
              <w:top w:val="nil"/>
              <w:left w:val="single" w:sz="4" w:space="0" w:color="00B0F0"/>
              <w:bottom w:val="single" w:sz="4" w:space="0" w:color="00B0F0"/>
              <w:right w:val="single" w:sz="4" w:space="0" w:color="00B0F0"/>
            </w:tcBorders>
            <w:shd w:val="clear" w:color="auto" w:fill="auto"/>
            <w:noWrap/>
            <w:hideMark/>
          </w:tcPr>
          <w:p w:rsidR="00C67B7D" w:rsidRPr="001244BB" w:rsidRDefault="00C67B7D" w:rsidP="0035318B">
            <w:pPr>
              <w:spacing w:after="0" w:line="240" w:lineRule="auto"/>
              <w:jc w:val="right"/>
              <w:rPr>
                <w:rFonts w:eastAsia="Times New Roman" w:cstheme="minorHAnsi"/>
                <w:color w:val="000000"/>
                <w:sz w:val="20"/>
                <w:szCs w:val="20"/>
                <w:lang w:eastAsia="en-NZ"/>
              </w:rPr>
            </w:pPr>
            <w:r w:rsidRPr="001244BB">
              <w:rPr>
                <w:rFonts w:eastAsia="Times New Roman" w:cstheme="minorHAnsi"/>
                <w:color w:val="000000"/>
                <w:sz w:val="20"/>
                <w:szCs w:val="20"/>
                <w:lang w:eastAsia="en-NZ"/>
              </w:rPr>
              <w:t>95%</w:t>
            </w:r>
          </w:p>
        </w:tc>
        <w:tc>
          <w:tcPr>
            <w:tcW w:w="1062" w:type="dxa"/>
            <w:tcBorders>
              <w:top w:val="nil"/>
              <w:left w:val="single" w:sz="4" w:space="0" w:color="00B0F0"/>
              <w:bottom w:val="single" w:sz="4" w:space="0" w:color="00B0F0"/>
              <w:right w:val="single" w:sz="4" w:space="0" w:color="00B0F0"/>
            </w:tcBorders>
            <w:shd w:val="clear" w:color="auto" w:fill="auto"/>
            <w:noWrap/>
            <w:hideMark/>
          </w:tcPr>
          <w:p w:rsidR="00C67B7D" w:rsidRPr="001244BB" w:rsidRDefault="00C67B7D" w:rsidP="0035318B">
            <w:pPr>
              <w:spacing w:after="0" w:line="240" w:lineRule="auto"/>
              <w:jc w:val="right"/>
              <w:rPr>
                <w:rFonts w:eastAsia="Times New Roman" w:cstheme="minorHAnsi"/>
                <w:color w:val="000000"/>
                <w:sz w:val="20"/>
                <w:szCs w:val="20"/>
                <w:lang w:eastAsia="en-NZ"/>
              </w:rPr>
            </w:pPr>
            <w:r w:rsidRPr="001244BB">
              <w:rPr>
                <w:rFonts w:eastAsia="Times New Roman" w:cstheme="minorHAnsi"/>
                <w:color w:val="000000"/>
                <w:sz w:val="20"/>
                <w:szCs w:val="20"/>
                <w:lang w:eastAsia="en-NZ"/>
              </w:rPr>
              <w:t>100%</w:t>
            </w:r>
          </w:p>
        </w:tc>
        <w:tc>
          <w:tcPr>
            <w:tcW w:w="1061" w:type="dxa"/>
            <w:tcBorders>
              <w:top w:val="nil"/>
              <w:left w:val="single" w:sz="4" w:space="0" w:color="00B0F0"/>
              <w:bottom w:val="single" w:sz="4" w:space="0" w:color="00B0F0"/>
              <w:right w:val="single" w:sz="4" w:space="0" w:color="00B0F0"/>
            </w:tcBorders>
            <w:shd w:val="clear" w:color="auto" w:fill="auto"/>
            <w:noWrap/>
            <w:hideMark/>
          </w:tcPr>
          <w:p w:rsidR="00C67B7D" w:rsidRPr="001244BB" w:rsidRDefault="00C67B7D" w:rsidP="0035318B">
            <w:pPr>
              <w:spacing w:after="0" w:line="240" w:lineRule="auto"/>
              <w:jc w:val="right"/>
              <w:rPr>
                <w:rFonts w:eastAsia="Times New Roman" w:cstheme="minorHAnsi"/>
                <w:color w:val="000000"/>
                <w:sz w:val="20"/>
                <w:szCs w:val="20"/>
                <w:lang w:eastAsia="en-NZ"/>
              </w:rPr>
            </w:pPr>
            <w:r w:rsidRPr="001244BB">
              <w:rPr>
                <w:rFonts w:eastAsia="Times New Roman" w:cstheme="minorHAnsi"/>
                <w:color w:val="000000"/>
                <w:sz w:val="20"/>
                <w:szCs w:val="20"/>
                <w:lang w:eastAsia="en-NZ"/>
              </w:rPr>
              <w:t>100%</w:t>
            </w:r>
          </w:p>
        </w:tc>
        <w:tc>
          <w:tcPr>
            <w:tcW w:w="1062" w:type="dxa"/>
            <w:tcBorders>
              <w:top w:val="nil"/>
              <w:left w:val="single" w:sz="4" w:space="0" w:color="00B0F0"/>
              <w:bottom w:val="single" w:sz="4" w:space="0" w:color="00B0F0"/>
              <w:right w:val="single" w:sz="4" w:space="0" w:color="00B0F0"/>
            </w:tcBorders>
            <w:shd w:val="clear" w:color="000000" w:fill="D9D9D9"/>
            <w:hideMark/>
          </w:tcPr>
          <w:p w:rsidR="00C67B7D" w:rsidRPr="001244BB" w:rsidRDefault="00C67B7D" w:rsidP="0035318B">
            <w:pPr>
              <w:spacing w:after="0" w:line="240" w:lineRule="auto"/>
              <w:jc w:val="right"/>
              <w:rPr>
                <w:rFonts w:eastAsia="Times New Roman" w:cstheme="minorHAnsi"/>
                <w:color w:val="000000"/>
                <w:sz w:val="20"/>
                <w:szCs w:val="20"/>
                <w:lang w:eastAsia="en-NZ"/>
              </w:rPr>
            </w:pPr>
            <w:r w:rsidRPr="001244BB">
              <w:rPr>
                <w:rFonts w:eastAsia="Times New Roman" w:cstheme="minorHAnsi"/>
                <w:color w:val="000000"/>
                <w:sz w:val="20"/>
                <w:szCs w:val="20"/>
                <w:lang w:eastAsia="en-NZ"/>
              </w:rPr>
              <w:t>100%</w:t>
            </w:r>
          </w:p>
        </w:tc>
        <w:tc>
          <w:tcPr>
            <w:tcW w:w="857" w:type="dxa"/>
            <w:tcBorders>
              <w:top w:val="nil"/>
              <w:left w:val="single" w:sz="4" w:space="0" w:color="00B0F0"/>
              <w:bottom w:val="single" w:sz="4" w:space="0" w:color="00B0F0"/>
              <w:right w:val="single" w:sz="4" w:space="0" w:color="00B0F0"/>
            </w:tcBorders>
            <w:shd w:val="clear" w:color="auto" w:fill="auto"/>
            <w:noWrap/>
            <w:hideMark/>
          </w:tcPr>
          <w:p w:rsidR="00C67B7D" w:rsidRPr="001244BB" w:rsidRDefault="00C67B7D" w:rsidP="0035318B">
            <w:pPr>
              <w:spacing w:after="0" w:line="240" w:lineRule="auto"/>
              <w:jc w:val="right"/>
              <w:rPr>
                <w:rFonts w:eastAsia="Times New Roman" w:cstheme="minorHAnsi"/>
                <w:color w:val="000000"/>
                <w:sz w:val="20"/>
                <w:szCs w:val="20"/>
                <w:lang w:eastAsia="en-NZ"/>
              </w:rPr>
            </w:pPr>
            <w:r w:rsidRPr="001244BB">
              <w:rPr>
                <w:rFonts w:eastAsia="Times New Roman" w:cstheme="minorHAnsi"/>
                <w:color w:val="000000"/>
                <w:sz w:val="20"/>
                <w:szCs w:val="20"/>
                <w:lang w:eastAsia="en-NZ"/>
              </w:rPr>
              <w:t>0%</w:t>
            </w:r>
          </w:p>
        </w:tc>
        <w:tc>
          <w:tcPr>
            <w:tcW w:w="1101" w:type="dxa"/>
            <w:tcBorders>
              <w:top w:val="nil"/>
              <w:left w:val="single" w:sz="4" w:space="0" w:color="00B0F0"/>
              <w:bottom w:val="single" w:sz="4" w:space="0" w:color="00B0F0"/>
              <w:right w:val="single" w:sz="4" w:space="0" w:color="00B0F0"/>
            </w:tcBorders>
            <w:shd w:val="clear" w:color="auto" w:fill="auto"/>
            <w:hideMark/>
          </w:tcPr>
          <w:p w:rsidR="00C67B7D" w:rsidRPr="001244BB" w:rsidRDefault="007F78CB" w:rsidP="0035318B">
            <w:pPr>
              <w:spacing w:after="0" w:line="240" w:lineRule="auto"/>
              <w:jc w:val="right"/>
              <w:rPr>
                <w:rFonts w:eastAsia="Times New Roman" w:cstheme="minorHAnsi"/>
                <w:color w:val="000000"/>
                <w:sz w:val="20"/>
                <w:szCs w:val="20"/>
                <w:lang w:eastAsia="en-NZ"/>
              </w:rPr>
            </w:pPr>
            <w:r>
              <w:rPr>
                <w:rFonts w:eastAsia="Times New Roman" w:cstheme="minorHAnsi"/>
                <w:color w:val="000000"/>
                <w:sz w:val="20"/>
                <w:szCs w:val="20"/>
                <w:lang w:eastAsia="en-NZ"/>
              </w:rPr>
              <w:t>Within 10%</w:t>
            </w:r>
          </w:p>
        </w:tc>
        <w:tc>
          <w:tcPr>
            <w:tcW w:w="4427" w:type="dxa"/>
            <w:tcBorders>
              <w:top w:val="nil"/>
              <w:left w:val="single" w:sz="4" w:space="0" w:color="00B0F0"/>
              <w:bottom w:val="single" w:sz="4" w:space="0" w:color="00B0F0"/>
            </w:tcBorders>
            <w:shd w:val="clear" w:color="auto" w:fill="auto"/>
          </w:tcPr>
          <w:p w:rsidR="00C67B7D" w:rsidRPr="001244BB" w:rsidRDefault="00C67B7D" w:rsidP="0035318B">
            <w:pPr>
              <w:spacing w:after="0" w:line="240" w:lineRule="auto"/>
              <w:jc w:val="right"/>
              <w:rPr>
                <w:rFonts w:eastAsia="Times New Roman" w:cstheme="minorHAnsi"/>
                <w:color w:val="000000"/>
                <w:sz w:val="20"/>
                <w:szCs w:val="20"/>
                <w:lang w:eastAsia="en-NZ"/>
              </w:rPr>
            </w:pPr>
          </w:p>
        </w:tc>
      </w:tr>
      <w:tr w:rsidR="00C67B7D" w:rsidRPr="001244BB" w:rsidTr="0035318B">
        <w:trPr>
          <w:trHeight w:val="824"/>
        </w:trPr>
        <w:tc>
          <w:tcPr>
            <w:tcW w:w="3119" w:type="dxa"/>
            <w:tcBorders>
              <w:top w:val="single" w:sz="4" w:space="0" w:color="00B0F0"/>
              <w:left w:val="nil"/>
              <w:bottom w:val="nil"/>
              <w:right w:val="single" w:sz="4" w:space="0" w:color="00B0F0"/>
            </w:tcBorders>
            <w:shd w:val="clear" w:color="auto" w:fill="auto"/>
            <w:hideMark/>
          </w:tcPr>
          <w:p w:rsidR="00C67B7D" w:rsidRPr="001244BB" w:rsidRDefault="00C67B7D" w:rsidP="0035318B">
            <w:pPr>
              <w:spacing w:after="0" w:line="240" w:lineRule="auto"/>
              <w:rPr>
                <w:rFonts w:eastAsia="Times New Roman" w:cstheme="minorHAnsi"/>
                <w:color w:val="000000"/>
                <w:sz w:val="20"/>
                <w:szCs w:val="20"/>
                <w:lang w:eastAsia="en-NZ"/>
              </w:rPr>
            </w:pPr>
            <w:r w:rsidRPr="001244BB">
              <w:rPr>
                <w:rFonts w:eastAsia="Times New Roman" w:cstheme="minorHAnsi"/>
                <w:color w:val="000000"/>
                <w:sz w:val="20"/>
                <w:szCs w:val="20"/>
                <w:lang w:eastAsia="en-NZ"/>
              </w:rPr>
              <w:t>Meeting and committee agendas (%) made available to the public at least 4 days prior to meetings</w:t>
            </w:r>
          </w:p>
        </w:tc>
        <w:tc>
          <w:tcPr>
            <w:tcW w:w="1061" w:type="dxa"/>
            <w:tcBorders>
              <w:top w:val="single" w:sz="4" w:space="0" w:color="00B0F0"/>
              <w:left w:val="single" w:sz="4" w:space="0" w:color="00B0F0"/>
              <w:bottom w:val="nil"/>
              <w:right w:val="single" w:sz="4" w:space="0" w:color="00B0F0"/>
            </w:tcBorders>
            <w:shd w:val="clear" w:color="auto" w:fill="auto"/>
            <w:noWrap/>
            <w:hideMark/>
          </w:tcPr>
          <w:p w:rsidR="00C67B7D" w:rsidRPr="001244BB" w:rsidRDefault="00C67B7D" w:rsidP="0035318B">
            <w:pPr>
              <w:spacing w:after="0" w:line="240" w:lineRule="auto"/>
              <w:jc w:val="right"/>
              <w:rPr>
                <w:rFonts w:eastAsia="Times New Roman" w:cstheme="minorHAnsi"/>
                <w:color w:val="000000"/>
                <w:sz w:val="20"/>
                <w:szCs w:val="20"/>
                <w:lang w:eastAsia="en-NZ"/>
              </w:rPr>
            </w:pPr>
          </w:p>
        </w:tc>
        <w:tc>
          <w:tcPr>
            <w:tcW w:w="1062" w:type="dxa"/>
            <w:tcBorders>
              <w:top w:val="single" w:sz="4" w:space="0" w:color="00B0F0"/>
              <w:left w:val="single" w:sz="4" w:space="0" w:color="00B0F0"/>
              <w:bottom w:val="nil"/>
              <w:right w:val="single" w:sz="4" w:space="0" w:color="00B0F0"/>
            </w:tcBorders>
            <w:shd w:val="clear" w:color="auto" w:fill="auto"/>
            <w:noWrap/>
            <w:hideMark/>
          </w:tcPr>
          <w:p w:rsidR="00C67B7D" w:rsidRPr="001244BB" w:rsidRDefault="00C67B7D" w:rsidP="0035318B">
            <w:pPr>
              <w:spacing w:after="0" w:line="240" w:lineRule="auto"/>
              <w:jc w:val="right"/>
              <w:rPr>
                <w:rFonts w:eastAsia="Times New Roman" w:cstheme="minorHAnsi"/>
                <w:color w:val="000000"/>
                <w:sz w:val="20"/>
                <w:szCs w:val="20"/>
                <w:lang w:eastAsia="en-NZ"/>
              </w:rPr>
            </w:pPr>
            <w:r w:rsidRPr="001244BB">
              <w:rPr>
                <w:rFonts w:eastAsia="Times New Roman" w:cstheme="minorHAnsi"/>
                <w:color w:val="000000"/>
                <w:sz w:val="20"/>
                <w:szCs w:val="20"/>
                <w:lang w:eastAsia="en-NZ"/>
              </w:rPr>
              <w:t>New</w:t>
            </w:r>
          </w:p>
        </w:tc>
        <w:tc>
          <w:tcPr>
            <w:tcW w:w="1061" w:type="dxa"/>
            <w:tcBorders>
              <w:top w:val="single" w:sz="4" w:space="0" w:color="00B0F0"/>
              <w:left w:val="single" w:sz="4" w:space="0" w:color="00B0F0"/>
              <w:bottom w:val="nil"/>
              <w:right w:val="single" w:sz="4" w:space="0" w:color="00B0F0"/>
            </w:tcBorders>
            <w:shd w:val="clear" w:color="auto" w:fill="auto"/>
            <w:noWrap/>
            <w:hideMark/>
          </w:tcPr>
          <w:p w:rsidR="00C67B7D" w:rsidRPr="001244BB" w:rsidRDefault="00C67B7D" w:rsidP="0035318B">
            <w:pPr>
              <w:spacing w:after="0" w:line="240" w:lineRule="auto"/>
              <w:jc w:val="right"/>
              <w:rPr>
                <w:rFonts w:eastAsia="Times New Roman" w:cstheme="minorHAnsi"/>
                <w:color w:val="000000"/>
                <w:sz w:val="20"/>
                <w:szCs w:val="20"/>
                <w:lang w:eastAsia="en-NZ"/>
              </w:rPr>
            </w:pPr>
            <w:r w:rsidRPr="001244BB">
              <w:rPr>
                <w:rFonts w:eastAsia="Times New Roman" w:cstheme="minorHAnsi"/>
                <w:color w:val="000000"/>
                <w:sz w:val="20"/>
                <w:szCs w:val="20"/>
                <w:lang w:eastAsia="en-NZ"/>
              </w:rPr>
              <w:t>97%</w:t>
            </w:r>
          </w:p>
        </w:tc>
        <w:tc>
          <w:tcPr>
            <w:tcW w:w="1062" w:type="dxa"/>
            <w:tcBorders>
              <w:top w:val="single" w:sz="4" w:space="0" w:color="00B0F0"/>
              <w:left w:val="single" w:sz="4" w:space="0" w:color="00B0F0"/>
              <w:bottom w:val="nil"/>
              <w:right w:val="single" w:sz="4" w:space="0" w:color="00B0F0"/>
            </w:tcBorders>
            <w:shd w:val="clear" w:color="000000" w:fill="D9D9D9"/>
            <w:hideMark/>
          </w:tcPr>
          <w:p w:rsidR="00C67B7D" w:rsidRPr="001244BB" w:rsidRDefault="00C67B7D" w:rsidP="0035318B">
            <w:pPr>
              <w:spacing w:after="0" w:line="240" w:lineRule="auto"/>
              <w:jc w:val="right"/>
              <w:rPr>
                <w:rFonts w:eastAsia="Times New Roman" w:cstheme="minorHAnsi"/>
                <w:color w:val="000000"/>
                <w:sz w:val="20"/>
                <w:szCs w:val="20"/>
                <w:lang w:eastAsia="en-NZ"/>
              </w:rPr>
            </w:pPr>
            <w:r w:rsidRPr="001244BB">
              <w:rPr>
                <w:rFonts w:eastAsia="Times New Roman" w:cstheme="minorHAnsi"/>
                <w:color w:val="000000"/>
                <w:sz w:val="20"/>
                <w:szCs w:val="20"/>
                <w:lang w:eastAsia="en-NZ"/>
              </w:rPr>
              <w:t>70%</w:t>
            </w:r>
          </w:p>
        </w:tc>
        <w:tc>
          <w:tcPr>
            <w:tcW w:w="857" w:type="dxa"/>
            <w:tcBorders>
              <w:top w:val="single" w:sz="4" w:space="0" w:color="00B0F0"/>
              <w:left w:val="single" w:sz="4" w:space="0" w:color="00B0F0"/>
              <w:bottom w:val="nil"/>
              <w:right w:val="single" w:sz="4" w:space="0" w:color="00B0F0"/>
            </w:tcBorders>
            <w:shd w:val="clear" w:color="auto" w:fill="auto"/>
            <w:noWrap/>
            <w:hideMark/>
          </w:tcPr>
          <w:p w:rsidR="00C67B7D" w:rsidRPr="001244BB" w:rsidRDefault="00C67B7D" w:rsidP="0035318B">
            <w:pPr>
              <w:spacing w:after="0" w:line="240" w:lineRule="auto"/>
              <w:jc w:val="right"/>
              <w:rPr>
                <w:rFonts w:eastAsia="Times New Roman" w:cstheme="minorHAnsi"/>
                <w:color w:val="000000"/>
                <w:sz w:val="20"/>
                <w:szCs w:val="20"/>
                <w:lang w:eastAsia="en-NZ"/>
              </w:rPr>
            </w:pPr>
            <w:r w:rsidRPr="001244BB">
              <w:rPr>
                <w:rFonts w:eastAsia="Times New Roman" w:cstheme="minorHAnsi"/>
                <w:color w:val="000000"/>
                <w:sz w:val="20"/>
                <w:szCs w:val="20"/>
                <w:lang w:eastAsia="en-NZ"/>
              </w:rPr>
              <w:t>39%</w:t>
            </w:r>
          </w:p>
        </w:tc>
        <w:tc>
          <w:tcPr>
            <w:tcW w:w="1101" w:type="dxa"/>
            <w:tcBorders>
              <w:top w:val="single" w:sz="4" w:space="0" w:color="00B0F0"/>
              <w:left w:val="single" w:sz="4" w:space="0" w:color="00B0F0"/>
              <w:bottom w:val="nil"/>
              <w:right w:val="single" w:sz="4" w:space="0" w:color="00B0F0"/>
            </w:tcBorders>
            <w:shd w:val="clear" w:color="auto" w:fill="auto"/>
            <w:hideMark/>
          </w:tcPr>
          <w:p w:rsidR="00C67B7D" w:rsidRPr="001244BB" w:rsidRDefault="00C67B7D" w:rsidP="0035318B">
            <w:pPr>
              <w:spacing w:after="0" w:line="240" w:lineRule="auto"/>
              <w:jc w:val="right"/>
              <w:rPr>
                <w:rFonts w:eastAsia="Times New Roman" w:cstheme="minorHAnsi"/>
                <w:color w:val="000000"/>
                <w:sz w:val="20"/>
                <w:szCs w:val="20"/>
                <w:lang w:eastAsia="en-NZ"/>
              </w:rPr>
            </w:pPr>
            <w:r w:rsidRPr="001244BB">
              <w:rPr>
                <w:rFonts w:eastAsia="Times New Roman" w:cstheme="minorHAnsi"/>
                <w:color w:val="000000"/>
                <w:sz w:val="20"/>
                <w:szCs w:val="20"/>
                <w:lang w:eastAsia="en-NZ"/>
              </w:rPr>
              <w:t>exceeded</w:t>
            </w:r>
          </w:p>
        </w:tc>
        <w:tc>
          <w:tcPr>
            <w:tcW w:w="4427" w:type="dxa"/>
            <w:tcBorders>
              <w:top w:val="single" w:sz="4" w:space="0" w:color="00B0F0"/>
              <w:left w:val="single" w:sz="4" w:space="0" w:color="00B0F0"/>
              <w:bottom w:val="nil"/>
            </w:tcBorders>
            <w:shd w:val="clear" w:color="auto" w:fill="auto"/>
            <w:hideMark/>
          </w:tcPr>
          <w:p w:rsidR="00C67B7D" w:rsidRPr="001244BB" w:rsidRDefault="00C67B7D" w:rsidP="0035318B">
            <w:pPr>
              <w:spacing w:after="0"/>
              <w:rPr>
                <w:rFonts w:eastAsia="Times New Roman" w:cstheme="minorHAnsi"/>
                <w:color w:val="000000"/>
                <w:sz w:val="20"/>
                <w:szCs w:val="20"/>
                <w:lang w:eastAsia="en-NZ"/>
              </w:rPr>
            </w:pPr>
            <w:r w:rsidRPr="001244BB">
              <w:rPr>
                <w:rFonts w:cstheme="minorHAnsi"/>
                <w:color w:val="000000"/>
                <w:sz w:val="20"/>
                <w:szCs w:val="20"/>
              </w:rPr>
              <w:t xml:space="preserve">The target has been exceeded through changes in the management of the forward programme and associated report timelines. </w:t>
            </w:r>
          </w:p>
        </w:tc>
      </w:tr>
      <w:tr w:rsidR="00C67B7D" w:rsidRPr="001244BB" w:rsidTr="0035318B">
        <w:trPr>
          <w:trHeight w:val="165"/>
        </w:trPr>
        <w:tc>
          <w:tcPr>
            <w:tcW w:w="13750" w:type="dxa"/>
            <w:gridSpan w:val="8"/>
            <w:tcBorders>
              <w:top w:val="nil"/>
              <w:left w:val="nil"/>
              <w:bottom w:val="nil"/>
            </w:tcBorders>
            <w:shd w:val="clear" w:color="auto" w:fill="DBE5F1" w:themeFill="accent1" w:themeFillTint="33"/>
            <w:hideMark/>
          </w:tcPr>
          <w:p w:rsidR="00C67B7D" w:rsidRPr="00970F80" w:rsidRDefault="00C67B7D" w:rsidP="0035318B">
            <w:pPr>
              <w:spacing w:after="0" w:line="240" w:lineRule="auto"/>
              <w:rPr>
                <w:rFonts w:eastAsia="Times New Roman" w:cstheme="minorHAnsi"/>
                <w:b/>
                <w:sz w:val="20"/>
                <w:szCs w:val="20"/>
                <w:lang w:eastAsia="en-NZ"/>
              </w:rPr>
            </w:pPr>
            <w:r w:rsidRPr="001244BB">
              <w:rPr>
                <w:rFonts w:eastAsia="Times New Roman" w:cstheme="minorHAnsi"/>
                <w:b/>
                <w:sz w:val="20"/>
                <w:szCs w:val="20"/>
                <w:lang w:eastAsia="en-NZ"/>
              </w:rPr>
              <w:t>Community engagement</w:t>
            </w:r>
            <w:r w:rsidRPr="001244BB">
              <w:rPr>
                <w:rFonts w:eastAsia="Times New Roman" w:cstheme="minorHAnsi"/>
                <w:sz w:val="20"/>
                <w:szCs w:val="20"/>
                <w:lang w:eastAsia="en-NZ"/>
              </w:rPr>
              <w:t> </w:t>
            </w:r>
          </w:p>
        </w:tc>
      </w:tr>
      <w:tr w:rsidR="00C67B7D" w:rsidRPr="001244BB" w:rsidTr="007F78CB">
        <w:trPr>
          <w:trHeight w:val="856"/>
        </w:trPr>
        <w:tc>
          <w:tcPr>
            <w:tcW w:w="3119" w:type="dxa"/>
            <w:tcBorders>
              <w:top w:val="nil"/>
              <w:left w:val="nil"/>
              <w:bottom w:val="single" w:sz="4" w:space="0" w:color="00B0F0"/>
              <w:right w:val="single" w:sz="4" w:space="0" w:color="00B0F0"/>
            </w:tcBorders>
            <w:shd w:val="clear" w:color="auto" w:fill="auto"/>
            <w:hideMark/>
          </w:tcPr>
          <w:p w:rsidR="00C67B7D" w:rsidRPr="001244BB" w:rsidRDefault="00C67B7D" w:rsidP="0035318B">
            <w:pPr>
              <w:spacing w:after="0" w:line="240" w:lineRule="auto"/>
              <w:rPr>
                <w:rFonts w:eastAsia="Times New Roman" w:cstheme="minorHAnsi"/>
                <w:color w:val="000000"/>
                <w:sz w:val="20"/>
                <w:szCs w:val="20"/>
                <w:lang w:eastAsia="en-NZ"/>
              </w:rPr>
            </w:pPr>
            <w:r w:rsidRPr="001244BB">
              <w:rPr>
                <w:rFonts w:eastAsia="Times New Roman" w:cstheme="minorHAnsi"/>
                <w:color w:val="000000"/>
                <w:sz w:val="20"/>
                <w:szCs w:val="20"/>
                <w:lang w:eastAsia="en-NZ"/>
              </w:rPr>
              <w:t>Residents (%) who believe they have adequate opportunities to have their say in Council activities</w:t>
            </w:r>
          </w:p>
        </w:tc>
        <w:tc>
          <w:tcPr>
            <w:tcW w:w="1061" w:type="dxa"/>
            <w:tcBorders>
              <w:top w:val="nil"/>
              <w:left w:val="single" w:sz="4" w:space="0" w:color="00B0F0"/>
              <w:bottom w:val="single" w:sz="4" w:space="0" w:color="00B0F0"/>
              <w:right w:val="single" w:sz="4" w:space="0" w:color="00B0F0"/>
            </w:tcBorders>
            <w:shd w:val="clear" w:color="auto" w:fill="auto"/>
            <w:noWrap/>
            <w:hideMark/>
          </w:tcPr>
          <w:p w:rsidR="00C67B7D" w:rsidRPr="001244BB" w:rsidRDefault="00C67B7D" w:rsidP="0035318B">
            <w:pPr>
              <w:spacing w:after="0" w:line="240" w:lineRule="auto"/>
              <w:jc w:val="right"/>
              <w:rPr>
                <w:rFonts w:eastAsia="Times New Roman" w:cstheme="minorHAnsi"/>
                <w:color w:val="000000"/>
                <w:sz w:val="20"/>
                <w:szCs w:val="20"/>
                <w:lang w:eastAsia="en-NZ"/>
              </w:rPr>
            </w:pPr>
          </w:p>
        </w:tc>
        <w:tc>
          <w:tcPr>
            <w:tcW w:w="1062" w:type="dxa"/>
            <w:tcBorders>
              <w:top w:val="nil"/>
              <w:left w:val="single" w:sz="4" w:space="0" w:color="00B0F0"/>
              <w:bottom w:val="single" w:sz="4" w:space="0" w:color="00B0F0"/>
              <w:right w:val="single" w:sz="4" w:space="0" w:color="00B0F0"/>
            </w:tcBorders>
            <w:shd w:val="clear" w:color="auto" w:fill="auto"/>
            <w:noWrap/>
            <w:hideMark/>
          </w:tcPr>
          <w:p w:rsidR="00C67B7D" w:rsidRPr="001244BB" w:rsidRDefault="00C67B7D" w:rsidP="0035318B">
            <w:pPr>
              <w:spacing w:after="0" w:line="240" w:lineRule="auto"/>
              <w:jc w:val="right"/>
              <w:rPr>
                <w:rFonts w:eastAsia="Times New Roman" w:cstheme="minorHAnsi"/>
                <w:color w:val="000000"/>
                <w:sz w:val="20"/>
                <w:szCs w:val="20"/>
                <w:lang w:eastAsia="en-NZ"/>
              </w:rPr>
            </w:pPr>
            <w:r w:rsidRPr="001244BB">
              <w:rPr>
                <w:rFonts w:eastAsia="Times New Roman" w:cstheme="minorHAnsi"/>
                <w:color w:val="000000"/>
                <w:sz w:val="20"/>
                <w:szCs w:val="20"/>
                <w:lang w:eastAsia="en-NZ"/>
              </w:rPr>
              <w:t>New</w:t>
            </w:r>
          </w:p>
        </w:tc>
        <w:tc>
          <w:tcPr>
            <w:tcW w:w="1061" w:type="dxa"/>
            <w:tcBorders>
              <w:top w:val="nil"/>
              <w:left w:val="single" w:sz="4" w:space="0" w:color="00B0F0"/>
              <w:bottom w:val="single" w:sz="4" w:space="0" w:color="00B0F0"/>
              <w:right w:val="single" w:sz="4" w:space="0" w:color="00B0F0"/>
            </w:tcBorders>
            <w:shd w:val="clear" w:color="auto" w:fill="auto"/>
            <w:noWrap/>
            <w:hideMark/>
          </w:tcPr>
          <w:p w:rsidR="00C67B7D" w:rsidRPr="001244BB" w:rsidRDefault="00C67B7D" w:rsidP="0035318B">
            <w:pPr>
              <w:spacing w:after="0" w:line="240" w:lineRule="auto"/>
              <w:jc w:val="right"/>
              <w:rPr>
                <w:rFonts w:eastAsia="Times New Roman" w:cstheme="minorHAnsi"/>
                <w:color w:val="000000"/>
                <w:sz w:val="20"/>
                <w:szCs w:val="20"/>
                <w:lang w:eastAsia="en-NZ"/>
              </w:rPr>
            </w:pPr>
            <w:r w:rsidRPr="001244BB">
              <w:rPr>
                <w:rFonts w:eastAsia="Times New Roman" w:cstheme="minorHAnsi"/>
                <w:color w:val="000000"/>
                <w:sz w:val="20"/>
                <w:szCs w:val="20"/>
                <w:lang w:eastAsia="en-NZ"/>
              </w:rPr>
              <w:t>42%</w:t>
            </w:r>
          </w:p>
        </w:tc>
        <w:tc>
          <w:tcPr>
            <w:tcW w:w="1062" w:type="dxa"/>
            <w:tcBorders>
              <w:top w:val="nil"/>
              <w:left w:val="single" w:sz="4" w:space="0" w:color="00B0F0"/>
              <w:bottom w:val="single" w:sz="4" w:space="0" w:color="00B0F0"/>
              <w:right w:val="single" w:sz="4" w:space="0" w:color="00B0F0"/>
            </w:tcBorders>
            <w:shd w:val="clear" w:color="000000" w:fill="D9D9D9"/>
            <w:hideMark/>
          </w:tcPr>
          <w:p w:rsidR="00C67B7D" w:rsidRPr="001244BB" w:rsidRDefault="00C67B7D" w:rsidP="0035318B">
            <w:pPr>
              <w:spacing w:after="0" w:line="240" w:lineRule="auto"/>
              <w:jc w:val="right"/>
              <w:rPr>
                <w:rFonts w:eastAsia="Times New Roman" w:cstheme="minorHAnsi"/>
                <w:color w:val="000000"/>
                <w:sz w:val="20"/>
                <w:szCs w:val="20"/>
                <w:lang w:eastAsia="en-NZ"/>
              </w:rPr>
            </w:pPr>
            <w:r w:rsidRPr="001244BB">
              <w:rPr>
                <w:rFonts w:eastAsia="Times New Roman" w:cstheme="minorHAnsi"/>
                <w:color w:val="000000"/>
                <w:sz w:val="20"/>
                <w:szCs w:val="20"/>
                <w:lang w:eastAsia="en-NZ"/>
              </w:rPr>
              <w:t>45%</w:t>
            </w:r>
          </w:p>
        </w:tc>
        <w:tc>
          <w:tcPr>
            <w:tcW w:w="857" w:type="dxa"/>
            <w:tcBorders>
              <w:top w:val="nil"/>
              <w:left w:val="single" w:sz="4" w:space="0" w:color="00B0F0"/>
              <w:bottom w:val="single" w:sz="4" w:space="0" w:color="00B0F0"/>
              <w:right w:val="single" w:sz="4" w:space="0" w:color="00B0F0"/>
            </w:tcBorders>
            <w:shd w:val="clear" w:color="auto" w:fill="auto"/>
            <w:noWrap/>
            <w:hideMark/>
          </w:tcPr>
          <w:p w:rsidR="00C67B7D" w:rsidRPr="001244BB" w:rsidRDefault="00C67B7D" w:rsidP="0035318B">
            <w:pPr>
              <w:spacing w:after="0" w:line="240" w:lineRule="auto"/>
              <w:jc w:val="right"/>
              <w:rPr>
                <w:rFonts w:eastAsia="Times New Roman" w:cstheme="minorHAnsi"/>
                <w:color w:val="000000"/>
                <w:sz w:val="20"/>
                <w:szCs w:val="20"/>
                <w:lang w:eastAsia="en-NZ"/>
              </w:rPr>
            </w:pPr>
            <w:r w:rsidRPr="001244BB">
              <w:rPr>
                <w:rFonts w:eastAsia="Times New Roman" w:cstheme="minorHAnsi"/>
                <w:color w:val="000000"/>
                <w:sz w:val="20"/>
                <w:szCs w:val="20"/>
                <w:lang w:eastAsia="en-NZ"/>
              </w:rPr>
              <w:t>-7%</w:t>
            </w:r>
          </w:p>
        </w:tc>
        <w:tc>
          <w:tcPr>
            <w:tcW w:w="1101" w:type="dxa"/>
            <w:tcBorders>
              <w:top w:val="nil"/>
              <w:left w:val="single" w:sz="4" w:space="0" w:color="00B0F0"/>
              <w:bottom w:val="single" w:sz="4" w:space="0" w:color="00B0F0"/>
              <w:right w:val="single" w:sz="4" w:space="0" w:color="00B0F0"/>
            </w:tcBorders>
            <w:shd w:val="clear" w:color="auto" w:fill="auto"/>
            <w:hideMark/>
          </w:tcPr>
          <w:p w:rsidR="00C67B7D" w:rsidRPr="001244BB" w:rsidRDefault="007F78CB" w:rsidP="0035318B">
            <w:pPr>
              <w:spacing w:after="0" w:line="240" w:lineRule="auto"/>
              <w:jc w:val="right"/>
              <w:rPr>
                <w:rFonts w:eastAsia="Times New Roman" w:cstheme="minorHAnsi"/>
                <w:color w:val="000000"/>
                <w:sz w:val="20"/>
                <w:szCs w:val="20"/>
                <w:lang w:eastAsia="en-NZ"/>
              </w:rPr>
            </w:pPr>
            <w:r>
              <w:rPr>
                <w:rFonts w:eastAsia="Times New Roman" w:cstheme="minorHAnsi"/>
                <w:color w:val="000000"/>
                <w:sz w:val="20"/>
                <w:szCs w:val="20"/>
                <w:lang w:eastAsia="en-NZ"/>
              </w:rPr>
              <w:t>Within 10%</w:t>
            </w:r>
          </w:p>
        </w:tc>
        <w:tc>
          <w:tcPr>
            <w:tcW w:w="4427" w:type="dxa"/>
            <w:tcBorders>
              <w:top w:val="nil"/>
              <w:left w:val="single" w:sz="4" w:space="0" w:color="00B0F0"/>
              <w:bottom w:val="single" w:sz="4" w:space="0" w:color="00B0F0"/>
            </w:tcBorders>
            <w:shd w:val="clear" w:color="auto" w:fill="auto"/>
            <w:hideMark/>
          </w:tcPr>
          <w:p w:rsidR="00C67B7D" w:rsidRPr="001244BB" w:rsidRDefault="00C67B7D" w:rsidP="0035318B">
            <w:pPr>
              <w:spacing w:after="0" w:line="240" w:lineRule="auto"/>
              <w:rPr>
                <w:rFonts w:eastAsia="Times New Roman" w:cstheme="minorHAnsi"/>
                <w:color w:val="000000"/>
                <w:sz w:val="20"/>
                <w:szCs w:val="20"/>
                <w:lang w:eastAsia="en-NZ"/>
              </w:rPr>
            </w:pPr>
          </w:p>
        </w:tc>
      </w:tr>
      <w:tr w:rsidR="00C67B7D" w:rsidRPr="001244BB" w:rsidTr="0035318B">
        <w:trPr>
          <w:trHeight w:val="529"/>
        </w:trPr>
        <w:tc>
          <w:tcPr>
            <w:tcW w:w="3119" w:type="dxa"/>
            <w:tcBorders>
              <w:top w:val="single" w:sz="4" w:space="0" w:color="00B0F0"/>
              <w:left w:val="nil"/>
              <w:bottom w:val="nil"/>
              <w:right w:val="single" w:sz="4" w:space="0" w:color="00B0F0"/>
            </w:tcBorders>
            <w:shd w:val="clear" w:color="auto" w:fill="auto"/>
            <w:hideMark/>
          </w:tcPr>
          <w:p w:rsidR="00C67B7D" w:rsidRPr="001244BB" w:rsidRDefault="00C67B7D" w:rsidP="0035318B">
            <w:pPr>
              <w:spacing w:after="0" w:line="240" w:lineRule="auto"/>
              <w:rPr>
                <w:rFonts w:eastAsia="Times New Roman" w:cstheme="minorHAnsi"/>
                <w:color w:val="000000"/>
                <w:sz w:val="20"/>
                <w:szCs w:val="20"/>
                <w:lang w:eastAsia="en-NZ"/>
              </w:rPr>
            </w:pPr>
            <w:r w:rsidRPr="001244BB">
              <w:rPr>
                <w:rFonts w:eastAsia="Times New Roman" w:cstheme="minorHAnsi"/>
                <w:color w:val="000000"/>
                <w:sz w:val="20"/>
                <w:szCs w:val="20"/>
                <w:lang w:eastAsia="en-NZ"/>
              </w:rPr>
              <w:t>Residents (%) who state they are satisfied with how the Council makes decisions</w:t>
            </w:r>
          </w:p>
        </w:tc>
        <w:tc>
          <w:tcPr>
            <w:tcW w:w="1061" w:type="dxa"/>
            <w:tcBorders>
              <w:top w:val="single" w:sz="4" w:space="0" w:color="00B0F0"/>
              <w:left w:val="single" w:sz="4" w:space="0" w:color="00B0F0"/>
              <w:bottom w:val="nil"/>
              <w:right w:val="single" w:sz="4" w:space="0" w:color="00B0F0"/>
            </w:tcBorders>
            <w:shd w:val="clear" w:color="auto" w:fill="auto"/>
            <w:noWrap/>
            <w:hideMark/>
          </w:tcPr>
          <w:p w:rsidR="00C67B7D" w:rsidRPr="001244BB" w:rsidRDefault="00C67B7D" w:rsidP="0035318B">
            <w:pPr>
              <w:spacing w:after="0" w:line="240" w:lineRule="auto"/>
              <w:jc w:val="right"/>
              <w:rPr>
                <w:rFonts w:eastAsia="Times New Roman" w:cstheme="minorHAnsi"/>
                <w:color w:val="000000"/>
                <w:sz w:val="20"/>
                <w:szCs w:val="20"/>
                <w:lang w:eastAsia="en-NZ"/>
              </w:rPr>
            </w:pPr>
          </w:p>
        </w:tc>
        <w:tc>
          <w:tcPr>
            <w:tcW w:w="1062" w:type="dxa"/>
            <w:tcBorders>
              <w:top w:val="single" w:sz="4" w:space="0" w:color="00B0F0"/>
              <w:left w:val="single" w:sz="4" w:space="0" w:color="00B0F0"/>
              <w:bottom w:val="nil"/>
              <w:right w:val="single" w:sz="4" w:space="0" w:color="00B0F0"/>
            </w:tcBorders>
            <w:shd w:val="clear" w:color="auto" w:fill="auto"/>
            <w:noWrap/>
            <w:hideMark/>
          </w:tcPr>
          <w:p w:rsidR="00C67B7D" w:rsidRPr="001244BB" w:rsidRDefault="00C67B7D" w:rsidP="0035318B">
            <w:pPr>
              <w:spacing w:after="0" w:line="240" w:lineRule="auto"/>
              <w:jc w:val="right"/>
              <w:rPr>
                <w:rFonts w:eastAsia="Times New Roman" w:cstheme="minorHAnsi"/>
                <w:color w:val="000000"/>
                <w:sz w:val="20"/>
                <w:szCs w:val="20"/>
                <w:lang w:eastAsia="en-NZ"/>
              </w:rPr>
            </w:pPr>
            <w:r w:rsidRPr="001244BB">
              <w:rPr>
                <w:rFonts w:eastAsia="Times New Roman" w:cstheme="minorHAnsi"/>
                <w:color w:val="000000"/>
                <w:sz w:val="20"/>
                <w:szCs w:val="20"/>
                <w:lang w:eastAsia="en-NZ"/>
              </w:rPr>
              <w:t>New</w:t>
            </w:r>
          </w:p>
        </w:tc>
        <w:tc>
          <w:tcPr>
            <w:tcW w:w="1061" w:type="dxa"/>
            <w:tcBorders>
              <w:top w:val="single" w:sz="4" w:space="0" w:color="00B0F0"/>
              <w:left w:val="single" w:sz="4" w:space="0" w:color="00B0F0"/>
              <w:bottom w:val="nil"/>
              <w:right w:val="single" w:sz="4" w:space="0" w:color="00B0F0"/>
            </w:tcBorders>
            <w:shd w:val="clear" w:color="auto" w:fill="FFFFFF" w:themeFill="background1"/>
            <w:noWrap/>
            <w:hideMark/>
          </w:tcPr>
          <w:p w:rsidR="00C67B7D" w:rsidRPr="001244BB" w:rsidRDefault="00C67B7D" w:rsidP="0035318B">
            <w:pPr>
              <w:spacing w:after="0" w:line="240" w:lineRule="auto"/>
              <w:jc w:val="right"/>
              <w:rPr>
                <w:rFonts w:eastAsia="Times New Roman" w:cstheme="minorHAnsi"/>
                <w:color w:val="000000"/>
                <w:sz w:val="20"/>
                <w:szCs w:val="20"/>
                <w:lang w:eastAsia="en-NZ"/>
              </w:rPr>
            </w:pPr>
            <w:r w:rsidRPr="001244BB">
              <w:rPr>
                <w:rFonts w:eastAsia="Times New Roman" w:cstheme="minorHAnsi"/>
                <w:color w:val="000000"/>
                <w:sz w:val="20"/>
                <w:szCs w:val="20"/>
                <w:lang w:eastAsia="en-NZ"/>
              </w:rPr>
              <w:t>34%</w:t>
            </w:r>
          </w:p>
        </w:tc>
        <w:tc>
          <w:tcPr>
            <w:tcW w:w="1062" w:type="dxa"/>
            <w:tcBorders>
              <w:top w:val="single" w:sz="4" w:space="0" w:color="00B0F0"/>
              <w:left w:val="single" w:sz="4" w:space="0" w:color="00B0F0"/>
              <w:bottom w:val="nil"/>
              <w:right w:val="single" w:sz="4" w:space="0" w:color="00B0F0"/>
            </w:tcBorders>
            <w:shd w:val="clear" w:color="000000" w:fill="D9D9D9"/>
            <w:hideMark/>
          </w:tcPr>
          <w:p w:rsidR="00C67B7D" w:rsidRPr="001244BB" w:rsidRDefault="00C67B7D" w:rsidP="0035318B">
            <w:pPr>
              <w:spacing w:after="0" w:line="240" w:lineRule="auto"/>
              <w:jc w:val="right"/>
              <w:rPr>
                <w:rFonts w:eastAsia="Times New Roman" w:cstheme="minorHAnsi"/>
                <w:color w:val="000000"/>
                <w:sz w:val="20"/>
                <w:szCs w:val="20"/>
                <w:lang w:eastAsia="en-NZ"/>
              </w:rPr>
            </w:pPr>
            <w:r w:rsidRPr="001244BB">
              <w:rPr>
                <w:rFonts w:eastAsia="Times New Roman" w:cstheme="minorHAnsi"/>
                <w:color w:val="000000"/>
                <w:sz w:val="20"/>
                <w:szCs w:val="20"/>
                <w:lang w:eastAsia="en-NZ"/>
              </w:rPr>
              <w:t>45%</w:t>
            </w:r>
          </w:p>
        </w:tc>
        <w:tc>
          <w:tcPr>
            <w:tcW w:w="857" w:type="dxa"/>
            <w:tcBorders>
              <w:top w:val="single" w:sz="4" w:space="0" w:color="00B0F0"/>
              <w:left w:val="single" w:sz="4" w:space="0" w:color="00B0F0"/>
              <w:bottom w:val="nil"/>
              <w:right w:val="single" w:sz="4" w:space="0" w:color="00B0F0"/>
            </w:tcBorders>
            <w:shd w:val="clear" w:color="auto" w:fill="auto"/>
            <w:noWrap/>
            <w:hideMark/>
          </w:tcPr>
          <w:p w:rsidR="00C67B7D" w:rsidRPr="001244BB" w:rsidRDefault="00C67B7D" w:rsidP="0035318B">
            <w:pPr>
              <w:spacing w:after="0" w:line="240" w:lineRule="auto"/>
              <w:jc w:val="right"/>
              <w:rPr>
                <w:rFonts w:eastAsia="Times New Roman" w:cstheme="minorHAnsi"/>
                <w:sz w:val="20"/>
                <w:szCs w:val="20"/>
                <w:lang w:eastAsia="en-NZ"/>
              </w:rPr>
            </w:pPr>
            <w:r w:rsidRPr="001244BB">
              <w:rPr>
                <w:rFonts w:eastAsia="Times New Roman" w:cstheme="minorHAnsi"/>
                <w:sz w:val="20"/>
                <w:szCs w:val="20"/>
                <w:lang w:eastAsia="en-NZ"/>
              </w:rPr>
              <w:t>-24%</w:t>
            </w:r>
          </w:p>
        </w:tc>
        <w:tc>
          <w:tcPr>
            <w:tcW w:w="1101" w:type="dxa"/>
            <w:tcBorders>
              <w:top w:val="single" w:sz="4" w:space="0" w:color="00B0F0"/>
              <w:left w:val="single" w:sz="4" w:space="0" w:color="00B0F0"/>
              <w:bottom w:val="nil"/>
              <w:right w:val="single" w:sz="4" w:space="0" w:color="00B0F0"/>
            </w:tcBorders>
            <w:shd w:val="clear" w:color="auto" w:fill="auto"/>
            <w:hideMark/>
          </w:tcPr>
          <w:p w:rsidR="00C67B7D" w:rsidRPr="001244BB" w:rsidRDefault="00C67B7D" w:rsidP="0035318B">
            <w:pPr>
              <w:spacing w:after="0" w:line="240" w:lineRule="auto"/>
              <w:jc w:val="right"/>
              <w:rPr>
                <w:rFonts w:eastAsia="Times New Roman" w:cstheme="minorHAnsi"/>
                <w:sz w:val="20"/>
                <w:szCs w:val="20"/>
                <w:lang w:eastAsia="en-NZ"/>
              </w:rPr>
            </w:pPr>
            <w:r w:rsidRPr="001244BB">
              <w:rPr>
                <w:rFonts w:eastAsia="Times New Roman" w:cstheme="minorHAnsi"/>
                <w:sz w:val="20"/>
                <w:szCs w:val="20"/>
                <w:lang w:eastAsia="en-NZ"/>
              </w:rPr>
              <w:t>not met</w:t>
            </w:r>
          </w:p>
        </w:tc>
        <w:tc>
          <w:tcPr>
            <w:tcW w:w="4427" w:type="dxa"/>
            <w:tcBorders>
              <w:top w:val="single" w:sz="4" w:space="0" w:color="00B0F0"/>
              <w:left w:val="single" w:sz="4" w:space="0" w:color="00B0F0"/>
              <w:bottom w:val="nil"/>
            </w:tcBorders>
            <w:shd w:val="clear" w:color="auto" w:fill="auto"/>
            <w:hideMark/>
          </w:tcPr>
          <w:p w:rsidR="00C67B7D" w:rsidRPr="001244BB" w:rsidRDefault="00C67B7D" w:rsidP="0014327E">
            <w:pPr>
              <w:spacing w:after="0" w:line="240" w:lineRule="auto"/>
              <w:rPr>
                <w:rFonts w:eastAsia="Times New Roman" w:cstheme="minorHAnsi"/>
                <w:color w:val="000000"/>
                <w:sz w:val="20"/>
                <w:szCs w:val="20"/>
                <w:lang w:eastAsia="en-NZ"/>
              </w:rPr>
            </w:pPr>
            <w:r w:rsidRPr="001244BB">
              <w:rPr>
                <w:rFonts w:eastAsia="Times New Roman" w:cstheme="minorHAnsi"/>
                <w:color w:val="000000"/>
                <w:sz w:val="20"/>
                <w:szCs w:val="20"/>
                <w:lang w:eastAsia="en-NZ"/>
              </w:rPr>
              <w:t xml:space="preserve">This is the first year of the </w:t>
            </w:r>
            <w:r w:rsidR="0014327E" w:rsidRPr="001244BB">
              <w:rPr>
                <w:rFonts w:eastAsia="Times New Roman" w:cstheme="minorHAnsi"/>
                <w:color w:val="000000"/>
                <w:sz w:val="20"/>
                <w:szCs w:val="20"/>
                <w:lang w:eastAsia="en-NZ"/>
              </w:rPr>
              <w:t>Long</w:t>
            </w:r>
            <w:r w:rsidR="0014327E">
              <w:rPr>
                <w:rFonts w:eastAsia="Times New Roman" w:cstheme="minorHAnsi"/>
                <w:color w:val="000000"/>
                <w:sz w:val="20"/>
                <w:szCs w:val="20"/>
                <w:lang w:eastAsia="en-NZ"/>
              </w:rPr>
              <w:t>-</w:t>
            </w:r>
            <w:r w:rsidRPr="001244BB">
              <w:rPr>
                <w:rFonts w:eastAsia="Times New Roman" w:cstheme="minorHAnsi"/>
                <w:color w:val="000000"/>
                <w:sz w:val="20"/>
                <w:szCs w:val="20"/>
                <w:lang w:eastAsia="en-NZ"/>
              </w:rPr>
              <w:t>Term Plan and the first time we have asked residents for their feedback on this measure. There wasn't a solid baseline to inform the target that was set. Council will strive to close the performance gap and raise the target over time.</w:t>
            </w:r>
          </w:p>
        </w:tc>
      </w:tr>
      <w:tr w:rsidR="00C67B7D" w:rsidRPr="001244BB" w:rsidTr="0035318B">
        <w:trPr>
          <w:trHeight w:val="319"/>
        </w:trPr>
        <w:tc>
          <w:tcPr>
            <w:tcW w:w="13750" w:type="dxa"/>
            <w:gridSpan w:val="8"/>
            <w:tcBorders>
              <w:top w:val="nil"/>
              <w:left w:val="nil"/>
              <w:bottom w:val="nil"/>
            </w:tcBorders>
            <w:shd w:val="clear" w:color="auto" w:fill="DBE5F1" w:themeFill="accent1" w:themeFillTint="33"/>
            <w:noWrap/>
            <w:hideMark/>
          </w:tcPr>
          <w:p w:rsidR="00C67B7D" w:rsidRPr="001244BB" w:rsidRDefault="00C67B7D" w:rsidP="0035318B">
            <w:pPr>
              <w:spacing w:after="0" w:line="240" w:lineRule="auto"/>
              <w:rPr>
                <w:rFonts w:eastAsia="Times New Roman" w:cstheme="minorHAnsi"/>
                <w:sz w:val="20"/>
                <w:szCs w:val="20"/>
                <w:lang w:eastAsia="en-NZ"/>
              </w:rPr>
            </w:pPr>
            <w:r w:rsidRPr="001244BB">
              <w:rPr>
                <w:rFonts w:eastAsia="Times New Roman" w:cstheme="minorHAnsi"/>
                <w:b/>
                <w:sz w:val="20"/>
                <w:szCs w:val="20"/>
                <w:lang w:eastAsia="en-NZ"/>
              </w:rPr>
              <w:t>Providing information and a point of contact</w:t>
            </w:r>
          </w:p>
        </w:tc>
      </w:tr>
      <w:tr w:rsidR="00C67B7D" w:rsidRPr="001244BB" w:rsidTr="0035318B">
        <w:trPr>
          <w:trHeight w:val="529"/>
        </w:trPr>
        <w:tc>
          <w:tcPr>
            <w:tcW w:w="3119" w:type="dxa"/>
            <w:tcBorders>
              <w:top w:val="nil"/>
              <w:left w:val="nil"/>
              <w:bottom w:val="single" w:sz="4" w:space="0" w:color="00B0F0"/>
              <w:right w:val="single" w:sz="4" w:space="0" w:color="00B0F0"/>
            </w:tcBorders>
            <w:shd w:val="clear" w:color="auto" w:fill="auto"/>
            <w:hideMark/>
          </w:tcPr>
          <w:p w:rsidR="00C67B7D" w:rsidRPr="001244BB" w:rsidRDefault="00C67B7D" w:rsidP="0014327E">
            <w:pPr>
              <w:spacing w:after="0" w:line="240" w:lineRule="auto"/>
              <w:rPr>
                <w:rFonts w:eastAsia="Times New Roman" w:cstheme="minorHAnsi"/>
                <w:color w:val="000000"/>
                <w:sz w:val="20"/>
                <w:szCs w:val="20"/>
                <w:lang w:eastAsia="en-NZ"/>
              </w:rPr>
            </w:pPr>
            <w:r w:rsidRPr="001244BB">
              <w:rPr>
                <w:rFonts w:eastAsia="Times New Roman" w:cstheme="minorHAnsi"/>
                <w:color w:val="000000"/>
                <w:sz w:val="20"/>
                <w:szCs w:val="20"/>
                <w:lang w:eastAsia="en-NZ"/>
              </w:rPr>
              <w:t xml:space="preserve">Contact Centre - </w:t>
            </w:r>
            <w:r w:rsidR="0014327E">
              <w:rPr>
                <w:rFonts w:eastAsia="Times New Roman" w:cstheme="minorHAnsi"/>
                <w:color w:val="000000"/>
                <w:sz w:val="20"/>
                <w:szCs w:val="20"/>
                <w:lang w:eastAsia="en-NZ"/>
              </w:rPr>
              <w:t>c</w:t>
            </w:r>
            <w:r w:rsidR="0014327E" w:rsidRPr="001244BB">
              <w:rPr>
                <w:rFonts w:eastAsia="Times New Roman" w:cstheme="minorHAnsi"/>
                <w:color w:val="000000"/>
                <w:sz w:val="20"/>
                <w:szCs w:val="20"/>
                <w:lang w:eastAsia="en-NZ"/>
              </w:rPr>
              <w:t xml:space="preserve">ontacts </w:t>
            </w:r>
            <w:r w:rsidRPr="001244BB">
              <w:rPr>
                <w:rFonts w:eastAsia="Times New Roman" w:cstheme="minorHAnsi"/>
                <w:color w:val="000000"/>
                <w:sz w:val="20"/>
                <w:szCs w:val="20"/>
                <w:lang w:eastAsia="en-NZ"/>
              </w:rPr>
              <w:t>responded to within target timeframes (calls within 30 seconds)</w:t>
            </w:r>
          </w:p>
        </w:tc>
        <w:tc>
          <w:tcPr>
            <w:tcW w:w="1061" w:type="dxa"/>
            <w:tcBorders>
              <w:top w:val="nil"/>
              <w:left w:val="single" w:sz="4" w:space="0" w:color="00B0F0"/>
              <w:bottom w:val="single" w:sz="4" w:space="0" w:color="00B0F0"/>
              <w:right w:val="single" w:sz="4" w:space="0" w:color="00B0F0"/>
            </w:tcBorders>
            <w:shd w:val="clear" w:color="auto" w:fill="auto"/>
            <w:noWrap/>
            <w:hideMark/>
          </w:tcPr>
          <w:p w:rsidR="00C67B7D" w:rsidRPr="001244BB" w:rsidRDefault="00C67B7D" w:rsidP="0035318B">
            <w:pPr>
              <w:spacing w:after="0" w:line="240" w:lineRule="auto"/>
              <w:jc w:val="right"/>
              <w:rPr>
                <w:rFonts w:eastAsia="Times New Roman" w:cstheme="minorHAnsi"/>
                <w:color w:val="000000"/>
                <w:sz w:val="20"/>
                <w:szCs w:val="20"/>
                <w:lang w:eastAsia="en-NZ"/>
              </w:rPr>
            </w:pPr>
            <w:r w:rsidRPr="001244BB">
              <w:rPr>
                <w:rFonts w:eastAsia="Times New Roman" w:cstheme="minorHAnsi"/>
                <w:color w:val="000000"/>
                <w:sz w:val="20"/>
                <w:szCs w:val="20"/>
                <w:lang w:eastAsia="en-NZ"/>
              </w:rPr>
              <w:t>73%</w:t>
            </w:r>
          </w:p>
        </w:tc>
        <w:tc>
          <w:tcPr>
            <w:tcW w:w="1062" w:type="dxa"/>
            <w:tcBorders>
              <w:top w:val="nil"/>
              <w:left w:val="single" w:sz="4" w:space="0" w:color="00B0F0"/>
              <w:bottom w:val="single" w:sz="4" w:space="0" w:color="00B0F0"/>
              <w:right w:val="single" w:sz="4" w:space="0" w:color="00B0F0"/>
            </w:tcBorders>
            <w:shd w:val="clear" w:color="auto" w:fill="auto"/>
            <w:noWrap/>
            <w:hideMark/>
          </w:tcPr>
          <w:p w:rsidR="00C67B7D" w:rsidRPr="001244BB" w:rsidRDefault="00C67B7D" w:rsidP="0035318B">
            <w:pPr>
              <w:spacing w:after="0" w:line="240" w:lineRule="auto"/>
              <w:jc w:val="right"/>
              <w:rPr>
                <w:rFonts w:eastAsia="Times New Roman" w:cstheme="minorHAnsi"/>
                <w:color w:val="000000"/>
                <w:sz w:val="20"/>
                <w:szCs w:val="20"/>
                <w:lang w:eastAsia="en-NZ"/>
              </w:rPr>
            </w:pPr>
            <w:r w:rsidRPr="001244BB">
              <w:rPr>
                <w:rFonts w:eastAsia="Times New Roman" w:cstheme="minorHAnsi"/>
                <w:color w:val="000000"/>
                <w:sz w:val="20"/>
                <w:szCs w:val="20"/>
                <w:lang w:eastAsia="en-NZ"/>
              </w:rPr>
              <w:t>78%</w:t>
            </w:r>
          </w:p>
        </w:tc>
        <w:tc>
          <w:tcPr>
            <w:tcW w:w="1061" w:type="dxa"/>
            <w:tcBorders>
              <w:top w:val="nil"/>
              <w:left w:val="single" w:sz="4" w:space="0" w:color="00B0F0"/>
              <w:bottom w:val="single" w:sz="4" w:space="0" w:color="00B0F0"/>
              <w:right w:val="single" w:sz="4" w:space="0" w:color="00B0F0"/>
            </w:tcBorders>
            <w:shd w:val="clear" w:color="auto" w:fill="auto"/>
            <w:noWrap/>
            <w:hideMark/>
          </w:tcPr>
          <w:p w:rsidR="00C67B7D" w:rsidRPr="001244BB" w:rsidRDefault="00C67B7D" w:rsidP="0035318B">
            <w:pPr>
              <w:spacing w:after="0" w:line="240" w:lineRule="auto"/>
              <w:jc w:val="right"/>
              <w:rPr>
                <w:rFonts w:eastAsia="Times New Roman" w:cstheme="minorHAnsi"/>
                <w:color w:val="000000"/>
                <w:sz w:val="20"/>
                <w:szCs w:val="20"/>
                <w:lang w:eastAsia="en-NZ"/>
              </w:rPr>
            </w:pPr>
            <w:r w:rsidRPr="001244BB">
              <w:rPr>
                <w:rFonts w:eastAsia="Times New Roman" w:cstheme="minorHAnsi"/>
                <w:color w:val="000000"/>
                <w:sz w:val="20"/>
                <w:szCs w:val="20"/>
                <w:lang w:eastAsia="en-NZ"/>
              </w:rPr>
              <w:t>80%</w:t>
            </w:r>
          </w:p>
        </w:tc>
        <w:tc>
          <w:tcPr>
            <w:tcW w:w="1062" w:type="dxa"/>
            <w:tcBorders>
              <w:top w:val="nil"/>
              <w:left w:val="single" w:sz="4" w:space="0" w:color="00B0F0"/>
              <w:bottom w:val="single" w:sz="4" w:space="0" w:color="00B0F0"/>
              <w:right w:val="single" w:sz="4" w:space="0" w:color="00B0F0"/>
            </w:tcBorders>
            <w:shd w:val="clear" w:color="000000" w:fill="D9D9D9"/>
            <w:hideMark/>
          </w:tcPr>
          <w:p w:rsidR="00C67B7D" w:rsidRPr="001244BB" w:rsidRDefault="00C67B7D" w:rsidP="0035318B">
            <w:pPr>
              <w:spacing w:after="0" w:line="240" w:lineRule="auto"/>
              <w:jc w:val="right"/>
              <w:rPr>
                <w:rFonts w:eastAsia="Times New Roman" w:cstheme="minorHAnsi"/>
                <w:color w:val="000000"/>
                <w:sz w:val="20"/>
                <w:szCs w:val="20"/>
                <w:lang w:eastAsia="en-NZ"/>
              </w:rPr>
            </w:pPr>
            <w:r w:rsidRPr="001244BB">
              <w:rPr>
                <w:rFonts w:eastAsia="Times New Roman" w:cstheme="minorHAnsi"/>
                <w:color w:val="000000"/>
                <w:sz w:val="20"/>
                <w:szCs w:val="20"/>
                <w:lang w:eastAsia="en-NZ"/>
              </w:rPr>
              <w:t>80%</w:t>
            </w:r>
          </w:p>
        </w:tc>
        <w:tc>
          <w:tcPr>
            <w:tcW w:w="857" w:type="dxa"/>
            <w:tcBorders>
              <w:top w:val="nil"/>
              <w:left w:val="single" w:sz="4" w:space="0" w:color="00B0F0"/>
              <w:bottom w:val="single" w:sz="4" w:space="0" w:color="00B0F0"/>
              <w:right w:val="single" w:sz="4" w:space="0" w:color="00B0F0"/>
            </w:tcBorders>
            <w:shd w:val="clear" w:color="auto" w:fill="auto"/>
            <w:noWrap/>
            <w:hideMark/>
          </w:tcPr>
          <w:p w:rsidR="00C67B7D" w:rsidRPr="001244BB" w:rsidRDefault="00C67B7D" w:rsidP="0035318B">
            <w:pPr>
              <w:spacing w:after="0" w:line="240" w:lineRule="auto"/>
              <w:jc w:val="right"/>
              <w:rPr>
                <w:rFonts w:eastAsia="Times New Roman" w:cstheme="minorHAnsi"/>
                <w:color w:val="000000"/>
                <w:sz w:val="20"/>
                <w:szCs w:val="20"/>
                <w:lang w:eastAsia="en-NZ"/>
              </w:rPr>
            </w:pPr>
            <w:r w:rsidRPr="001244BB">
              <w:rPr>
                <w:rFonts w:eastAsia="Times New Roman" w:cstheme="minorHAnsi"/>
                <w:color w:val="000000"/>
                <w:sz w:val="20"/>
                <w:szCs w:val="20"/>
                <w:lang w:eastAsia="en-NZ"/>
              </w:rPr>
              <w:t>0%</w:t>
            </w:r>
          </w:p>
        </w:tc>
        <w:tc>
          <w:tcPr>
            <w:tcW w:w="1101" w:type="dxa"/>
            <w:tcBorders>
              <w:top w:val="nil"/>
              <w:left w:val="single" w:sz="4" w:space="0" w:color="00B0F0"/>
              <w:bottom w:val="single" w:sz="4" w:space="0" w:color="00B0F0"/>
              <w:right w:val="single" w:sz="4" w:space="0" w:color="00B0F0"/>
            </w:tcBorders>
            <w:shd w:val="clear" w:color="auto" w:fill="auto"/>
            <w:hideMark/>
          </w:tcPr>
          <w:p w:rsidR="00C67B7D" w:rsidRPr="001244BB" w:rsidRDefault="007F78CB" w:rsidP="0035318B">
            <w:pPr>
              <w:spacing w:after="0" w:line="240" w:lineRule="auto"/>
              <w:jc w:val="right"/>
              <w:rPr>
                <w:rFonts w:eastAsia="Times New Roman" w:cstheme="minorHAnsi"/>
                <w:color w:val="000000"/>
                <w:sz w:val="20"/>
                <w:szCs w:val="20"/>
                <w:lang w:eastAsia="en-NZ"/>
              </w:rPr>
            </w:pPr>
            <w:r>
              <w:rPr>
                <w:rFonts w:eastAsia="Times New Roman" w:cstheme="minorHAnsi"/>
                <w:color w:val="000000"/>
                <w:sz w:val="20"/>
                <w:szCs w:val="20"/>
                <w:lang w:eastAsia="en-NZ"/>
              </w:rPr>
              <w:t>Within 10%</w:t>
            </w:r>
          </w:p>
        </w:tc>
        <w:tc>
          <w:tcPr>
            <w:tcW w:w="4427" w:type="dxa"/>
            <w:tcBorders>
              <w:top w:val="nil"/>
              <w:left w:val="single" w:sz="4" w:space="0" w:color="00B0F0"/>
              <w:bottom w:val="single" w:sz="4" w:space="0" w:color="00B0F0"/>
            </w:tcBorders>
            <w:shd w:val="clear" w:color="auto" w:fill="auto"/>
          </w:tcPr>
          <w:p w:rsidR="00C67B7D" w:rsidRPr="001244BB" w:rsidRDefault="00C67B7D" w:rsidP="0035318B">
            <w:pPr>
              <w:spacing w:after="0" w:line="240" w:lineRule="auto"/>
              <w:jc w:val="right"/>
              <w:rPr>
                <w:rFonts w:eastAsia="Times New Roman" w:cstheme="minorHAnsi"/>
                <w:color w:val="000000"/>
                <w:sz w:val="20"/>
                <w:szCs w:val="20"/>
                <w:lang w:eastAsia="en-NZ"/>
              </w:rPr>
            </w:pPr>
          </w:p>
        </w:tc>
      </w:tr>
      <w:tr w:rsidR="00C67B7D" w:rsidRPr="001244BB" w:rsidTr="0035318B">
        <w:trPr>
          <w:trHeight w:val="529"/>
        </w:trPr>
        <w:tc>
          <w:tcPr>
            <w:tcW w:w="3119" w:type="dxa"/>
            <w:tcBorders>
              <w:top w:val="single" w:sz="4" w:space="0" w:color="00B0F0"/>
              <w:left w:val="nil"/>
              <w:bottom w:val="single" w:sz="4" w:space="0" w:color="00B0F0"/>
              <w:right w:val="single" w:sz="4" w:space="0" w:color="00B0F0"/>
            </w:tcBorders>
            <w:shd w:val="clear" w:color="auto" w:fill="auto"/>
            <w:hideMark/>
          </w:tcPr>
          <w:p w:rsidR="00C67B7D" w:rsidRPr="001244BB" w:rsidRDefault="00C67B7D" w:rsidP="0014327E">
            <w:pPr>
              <w:spacing w:after="0" w:line="240" w:lineRule="auto"/>
              <w:rPr>
                <w:rFonts w:eastAsia="Times New Roman" w:cstheme="minorHAnsi"/>
                <w:color w:val="000000"/>
                <w:sz w:val="20"/>
                <w:szCs w:val="20"/>
                <w:lang w:eastAsia="en-NZ"/>
              </w:rPr>
            </w:pPr>
            <w:r w:rsidRPr="001244BB">
              <w:rPr>
                <w:rFonts w:eastAsia="Times New Roman" w:cstheme="minorHAnsi"/>
                <w:color w:val="000000"/>
                <w:sz w:val="20"/>
                <w:szCs w:val="20"/>
                <w:lang w:eastAsia="en-NZ"/>
              </w:rPr>
              <w:t xml:space="preserve">Contact Centre - </w:t>
            </w:r>
            <w:r w:rsidR="0014327E">
              <w:rPr>
                <w:rFonts w:eastAsia="Times New Roman" w:cstheme="minorHAnsi"/>
                <w:color w:val="000000"/>
                <w:sz w:val="20"/>
                <w:szCs w:val="20"/>
                <w:lang w:eastAsia="en-NZ"/>
              </w:rPr>
              <w:t>c</w:t>
            </w:r>
            <w:r w:rsidR="0014327E" w:rsidRPr="001244BB">
              <w:rPr>
                <w:rFonts w:eastAsia="Times New Roman" w:cstheme="minorHAnsi"/>
                <w:color w:val="000000"/>
                <w:sz w:val="20"/>
                <w:szCs w:val="20"/>
                <w:lang w:eastAsia="en-NZ"/>
              </w:rPr>
              <w:t xml:space="preserve">ontacts </w:t>
            </w:r>
            <w:r w:rsidRPr="001244BB">
              <w:rPr>
                <w:rFonts w:eastAsia="Times New Roman" w:cstheme="minorHAnsi"/>
                <w:color w:val="000000"/>
                <w:sz w:val="20"/>
                <w:szCs w:val="20"/>
                <w:lang w:eastAsia="en-NZ"/>
              </w:rPr>
              <w:t>responded to within target timeframes (emails within 24 hours)</w:t>
            </w:r>
          </w:p>
        </w:tc>
        <w:tc>
          <w:tcPr>
            <w:tcW w:w="1061" w:type="dxa"/>
            <w:tcBorders>
              <w:top w:val="single" w:sz="4" w:space="0" w:color="00B0F0"/>
              <w:left w:val="single" w:sz="4" w:space="0" w:color="00B0F0"/>
              <w:bottom w:val="single" w:sz="4" w:space="0" w:color="00B0F0"/>
              <w:right w:val="single" w:sz="4" w:space="0" w:color="00B0F0"/>
            </w:tcBorders>
            <w:shd w:val="clear" w:color="auto" w:fill="auto"/>
            <w:noWrap/>
            <w:hideMark/>
          </w:tcPr>
          <w:p w:rsidR="00C67B7D" w:rsidRPr="001244BB" w:rsidRDefault="00C67B7D" w:rsidP="0035318B">
            <w:pPr>
              <w:spacing w:after="0" w:line="240" w:lineRule="auto"/>
              <w:jc w:val="right"/>
              <w:rPr>
                <w:rFonts w:eastAsia="Times New Roman" w:cstheme="minorHAnsi"/>
                <w:color w:val="000000"/>
                <w:sz w:val="20"/>
                <w:szCs w:val="20"/>
                <w:lang w:eastAsia="en-NZ"/>
              </w:rPr>
            </w:pPr>
            <w:r w:rsidRPr="001244BB">
              <w:rPr>
                <w:rFonts w:eastAsia="Times New Roman" w:cstheme="minorHAnsi"/>
                <w:color w:val="000000"/>
                <w:sz w:val="20"/>
                <w:szCs w:val="20"/>
                <w:lang w:eastAsia="en-NZ"/>
              </w:rPr>
              <w:t>98%</w:t>
            </w:r>
          </w:p>
        </w:tc>
        <w:tc>
          <w:tcPr>
            <w:tcW w:w="1062" w:type="dxa"/>
            <w:tcBorders>
              <w:top w:val="single" w:sz="4" w:space="0" w:color="00B0F0"/>
              <w:left w:val="single" w:sz="4" w:space="0" w:color="00B0F0"/>
              <w:bottom w:val="single" w:sz="4" w:space="0" w:color="00B0F0"/>
              <w:right w:val="single" w:sz="4" w:space="0" w:color="00B0F0"/>
            </w:tcBorders>
            <w:shd w:val="clear" w:color="auto" w:fill="auto"/>
            <w:noWrap/>
            <w:hideMark/>
          </w:tcPr>
          <w:p w:rsidR="00C67B7D" w:rsidRPr="001244BB" w:rsidRDefault="00C67B7D" w:rsidP="0035318B">
            <w:pPr>
              <w:spacing w:after="0" w:line="240" w:lineRule="auto"/>
              <w:jc w:val="right"/>
              <w:rPr>
                <w:rFonts w:eastAsia="Times New Roman" w:cstheme="minorHAnsi"/>
                <w:color w:val="000000"/>
                <w:sz w:val="20"/>
                <w:szCs w:val="20"/>
                <w:lang w:eastAsia="en-NZ"/>
              </w:rPr>
            </w:pPr>
            <w:r w:rsidRPr="001244BB">
              <w:rPr>
                <w:rFonts w:eastAsia="Times New Roman" w:cstheme="minorHAnsi"/>
                <w:color w:val="000000"/>
                <w:sz w:val="20"/>
                <w:szCs w:val="20"/>
                <w:lang w:eastAsia="en-NZ"/>
              </w:rPr>
              <w:t>100%</w:t>
            </w:r>
          </w:p>
        </w:tc>
        <w:tc>
          <w:tcPr>
            <w:tcW w:w="1061" w:type="dxa"/>
            <w:tcBorders>
              <w:top w:val="single" w:sz="4" w:space="0" w:color="00B0F0"/>
              <w:left w:val="single" w:sz="4" w:space="0" w:color="00B0F0"/>
              <w:bottom w:val="single" w:sz="4" w:space="0" w:color="00B0F0"/>
              <w:right w:val="single" w:sz="4" w:space="0" w:color="00B0F0"/>
            </w:tcBorders>
            <w:shd w:val="clear" w:color="auto" w:fill="auto"/>
            <w:noWrap/>
            <w:hideMark/>
          </w:tcPr>
          <w:p w:rsidR="00C67B7D" w:rsidRPr="001244BB" w:rsidRDefault="00C67B7D" w:rsidP="0035318B">
            <w:pPr>
              <w:spacing w:after="0" w:line="240" w:lineRule="auto"/>
              <w:jc w:val="right"/>
              <w:rPr>
                <w:rFonts w:eastAsia="Times New Roman" w:cstheme="minorHAnsi"/>
                <w:color w:val="000000"/>
                <w:sz w:val="20"/>
                <w:szCs w:val="20"/>
                <w:lang w:eastAsia="en-NZ"/>
              </w:rPr>
            </w:pPr>
            <w:r w:rsidRPr="001244BB">
              <w:rPr>
                <w:rFonts w:eastAsia="Times New Roman" w:cstheme="minorHAnsi"/>
                <w:color w:val="000000"/>
                <w:sz w:val="20"/>
                <w:szCs w:val="20"/>
                <w:lang w:eastAsia="en-NZ"/>
              </w:rPr>
              <w:t>99%</w:t>
            </w:r>
          </w:p>
        </w:tc>
        <w:tc>
          <w:tcPr>
            <w:tcW w:w="1062" w:type="dxa"/>
            <w:tcBorders>
              <w:top w:val="single" w:sz="4" w:space="0" w:color="00B0F0"/>
              <w:left w:val="single" w:sz="4" w:space="0" w:color="00B0F0"/>
              <w:bottom w:val="single" w:sz="4" w:space="0" w:color="00B0F0"/>
              <w:right w:val="single" w:sz="4" w:space="0" w:color="00B0F0"/>
            </w:tcBorders>
            <w:shd w:val="clear" w:color="000000" w:fill="D9D9D9"/>
            <w:hideMark/>
          </w:tcPr>
          <w:p w:rsidR="00C67B7D" w:rsidRPr="001244BB" w:rsidRDefault="00C67B7D" w:rsidP="0035318B">
            <w:pPr>
              <w:spacing w:after="0" w:line="240" w:lineRule="auto"/>
              <w:jc w:val="right"/>
              <w:rPr>
                <w:rFonts w:eastAsia="Times New Roman" w:cstheme="minorHAnsi"/>
                <w:color w:val="000000"/>
                <w:sz w:val="20"/>
                <w:szCs w:val="20"/>
                <w:lang w:eastAsia="en-NZ"/>
              </w:rPr>
            </w:pPr>
            <w:r w:rsidRPr="001244BB">
              <w:rPr>
                <w:rFonts w:eastAsia="Times New Roman" w:cstheme="minorHAnsi"/>
                <w:color w:val="000000"/>
                <w:sz w:val="20"/>
                <w:szCs w:val="20"/>
                <w:lang w:eastAsia="en-NZ"/>
              </w:rPr>
              <w:t>100%</w:t>
            </w:r>
          </w:p>
        </w:tc>
        <w:tc>
          <w:tcPr>
            <w:tcW w:w="857" w:type="dxa"/>
            <w:tcBorders>
              <w:top w:val="single" w:sz="4" w:space="0" w:color="00B0F0"/>
              <w:left w:val="single" w:sz="4" w:space="0" w:color="00B0F0"/>
              <w:bottom w:val="single" w:sz="4" w:space="0" w:color="00B0F0"/>
              <w:right w:val="single" w:sz="4" w:space="0" w:color="00B0F0"/>
            </w:tcBorders>
            <w:shd w:val="clear" w:color="auto" w:fill="auto"/>
            <w:noWrap/>
            <w:hideMark/>
          </w:tcPr>
          <w:p w:rsidR="00C67B7D" w:rsidRPr="001244BB" w:rsidRDefault="00C67B7D" w:rsidP="0035318B">
            <w:pPr>
              <w:spacing w:after="0" w:line="240" w:lineRule="auto"/>
              <w:jc w:val="right"/>
              <w:rPr>
                <w:rFonts w:eastAsia="Times New Roman" w:cstheme="minorHAnsi"/>
                <w:color w:val="000000"/>
                <w:sz w:val="20"/>
                <w:szCs w:val="20"/>
                <w:lang w:eastAsia="en-NZ"/>
              </w:rPr>
            </w:pPr>
            <w:r w:rsidRPr="001244BB">
              <w:rPr>
                <w:rFonts w:eastAsia="Times New Roman" w:cstheme="minorHAnsi"/>
                <w:color w:val="000000"/>
                <w:sz w:val="20"/>
                <w:szCs w:val="20"/>
                <w:lang w:eastAsia="en-NZ"/>
              </w:rPr>
              <w:t>-1%</w:t>
            </w:r>
          </w:p>
        </w:tc>
        <w:tc>
          <w:tcPr>
            <w:tcW w:w="1101" w:type="dxa"/>
            <w:tcBorders>
              <w:top w:val="single" w:sz="4" w:space="0" w:color="00B0F0"/>
              <w:left w:val="single" w:sz="4" w:space="0" w:color="00B0F0"/>
              <w:bottom w:val="single" w:sz="4" w:space="0" w:color="00B0F0"/>
              <w:right w:val="single" w:sz="4" w:space="0" w:color="00B0F0"/>
            </w:tcBorders>
            <w:shd w:val="clear" w:color="auto" w:fill="auto"/>
            <w:hideMark/>
          </w:tcPr>
          <w:p w:rsidR="00C67B7D" w:rsidRPr="001244BB" w:rsidRDefault="007F78CB" w:rsidP="0035318B">
            <w:pPr>
              <w:spacing w:after="0" w:line="240" w:lineRule="auto"/>
              <w:jc w:val="right"/>
              <w:rPr>
                <w:rFonts w:eastAsia="Times New Roman" w:cstheme="minorHAnsi"/>
                <w:color w:val="000000"/>
                <w:sz w:val="20"/>
                <w:szCs w:val="20"/>
                <w:lang w:eastAsia="en-NZ"/>
              </w:rPr>
            </w:pPr>
            <w:r>
              <w:rPr>
                <w:rFonts w:eastAsia="Times New Roman" w:cstheme="minorHAnsi"/>
                <w:color w:val="000000"/>
                <w:sz w:val="20"/>
                <w:szCs w:val="20"/>
                <w:lang w:eastAsia="en-NZ"/>
              </w:rPr>
              <w:t>Within 10%</w:t>
            </w:r>
          </w:p>
        </w:tc>
        <w:tc>
          <w:tcPr>
            <w:tcW w:w="4427" w:type="dxa"/>
            <w:tcBorders>
              <w:top w:val="single" w:sz="4" w:space="0" w:color="00B0F0"/>
              <w:left w:val="single" w:sz="4" w:space="0" w:color="00B0F0"/>
              <w:bottom w:val="single" w:sz="4" w:space="0" w:color="00B0F0"/>
            </w:tcBorders>
            <w:shd w:val="clear" w:color="auto" w:fill="auto"/>
            <w:hideMark/>
          </w:tcPr>
          <w:p w:rsidR="00C67B7D" w:rsidRPr="001244BB" w:rsidRDefault="00C67B7D" w:rsidP="0035318B">
            <w:pPr>
              <w:spacing w:after="0" w:line="240" w:lineRule="auto"/>
              <w:jc w:val="right"/>
              <w:rPr>
                <w:rFonts w:eastAsia="Times New Roman" w:cstheme="minorHAnsi"/>
                <w:color w:val="000000"/>
                <w:sz w:val="20"/>
                <w:szCs w:val="20"/>
                <w:lang w:eastAsia="en-NZ"/>
              </w:rPr>
            </w:pPr>
          </w:p>
        </w:tc>
      </w:tr>
      <w:tr w:rsidR="00C67B7D" w:rsidRPr="001244BB" w:rsidTr="0035318B">
        <w:trPr>
          <w:trHeight w:val="828"/>
        </w:trPr>
        <w:tc>
          <w:tcPr>
            <w:tcW w:w="3119" w:type="dxa"/>
            <w:tcBorders>
              <w:top w:val="single" w:sz="4" w:space="0" w:color="00B0F0"/>
              <w:left w:val="nil"/>
              <w:bottom w:val="single" w:sz="4" w:space="0" w:color="00B0F0"/>
              <w:right w:val="single" w:sz="4" w:space="0" w:color="00B0F0"/>
            </w:tcBorders>
            <w:shd w:val="clear" w:color="auto" w:fill="auto"/>
            <w:hideMark/>
          </w:tcPr>
          <w:p w:rsidR="00C67B7D" w:rsidRPr="001244BB" w:rsidRDefault="00C67B7D" w:rsidP="0035318B">
            <w:pPr>
              <w:spacing w:after="0" w:line="240" w:lineRule="auto"/>
              <w:rPr>
                <w:rFonts w:eastAsia="Times New Roman" w:cstheme="minorHAnsi"/>
                <w:color w:val="000000"/>
                <w:sz w:val="20"/>
                <w:szCs w:val="20"/>
                <w:lang w:eastAsia="en-NZ"/>
              </w:rPr>
            </w:pPr>
            <w:r w:rsidRPr="001244BB">
              <w:rPr>
                <w:rFonts w:eastAsia="Times New Roman" w:cstheme="minorHAnsi"/>
                <w:color w:val="000000"/>
                <w:sz w:val="20"/>
                <w:szCs w:val="20"/>
                <w:lang w:eastAsia="en-NZ"/>
              </w:rPr>
              <w:lastRenderedPageBreak/>
              <w:t>City Archives – users (%) satisfied with services and facilities</w:t>
            </w:r>
          </w:p>
        </w:tc>
        <w:tc>
          <w:tcPr>
            <w:tcW w:w="1061" w:type="dxa"/>
            <w:tcBorders>
              <w:top w:val="single" w:sz="4" w:space="0" w:color="00B0F0"/>
              <w:left w:val="single" w:sz="4" w:space="0" w:color="00B0F0"/>
              <w:bottom w:val="single" w:sz="4" w:space="0" w:color="00B0F0"/>
              <w:right w:val="single" w:sz="4" w:space="0" w:color="00B0F0"/>
            </w:tcBorders>
            <w:shd w:val="clear" w:color="auto" w:fill="auto"/>
            <w:noWrap/>
            <w:hideMark/>
          </w:tcPr>
          <w:p w:rsidR="00C67B7D" w:rsidRPr="001244BB" w:rsidRDefault="00C67B7D" w:rsidP="0035318B">
            <w:pPr>
              <w:spacing w:after="0" w:line="240" w:lineRule="auto"/>
              <w:jc w:val="right"/>
              <w:rPr>
                <w:rFonts w:eastAsia="Times New Roman" w:cstheme="minorHAnsi"/>
                <w:color w:val="000000"/>
                <w:sz w:val="20"/>
                <w:szCs w:val="20"/>
                <w:lang w:eastAsia="en-NZ"/>
              </w:rPr>
            </w:pPr>
          </w:p>
        </w:tc>
        <w:tc>
          <w:tcPr>
            <w:tcW w:w="1062" w:type="dxa"/>
            <w:tcBorders>
              <w:top w:val="single" w:sz="4" w:space="0" w:color="00B0F0"/>
              <w:left w:val="single" w:sz="4" w:space="0" w:color="00B0F0"/>
              <w:bottom w:val="single" w:sz="4" w:space="0" w:color="00B0F0"/>
              <w:right w:val="single" w:sz="4" w:space="0" w:color="00B0F0"/>
            </w:tcBorders>
            <w:shd w:val="clear" w:color="auto" w:fill="auto"/>
            <w:noWrap/>
            <w:hideMark/>
          </w:tcPr>
          <w:p w:rsidR="00C67B7D" w:rsidRPr="001244BB" w:rsidRDefault="00C67B7D" w:rsidP="0035318B">
            <w:pPr>
              <w:spacing w:after="0" w:line="240" w:lineRule="auto"/>
              <w:jc w:val="right"/>
              <w:rPr>
                <w:rFonts w:eastAsia="Times New Roman" w:cstheme="minorHAnsi"/>
                <w:color w:val="000000"/>
                <w:sz w:val="20"/>
                <w:szCs w:val="20"/>
                <w:lang w:eastAsia="en-NZ"/>
              </w:rPr>
            </w:pPr>
            <w:r w:rsidRPr="001244BB">
              <w:rPr>
                <w:rFonts w:eastAsia="Times New Roman" w:cstheme="minorHAnsi"/>
                <w:color w:val="000000"/>
                <w:sz w:val="20"/>
                <w:szCs w:val="20"/>
                <w:lang w:eastAsia="en-NZ"/>
              </w:rPr>
              <w:t>New</w:t>
            </w:r>
          </w:p>
        </w:tc>
        <w:tc>
          <w:tcPr>
            <w:tcW w:w="1061" w:type="dxa"/>
            <w:tcBorders>
              <w:top w:val="single" w:sz="4" w:space="0" w:color="00B0F0"/>
              <w:left w:val="single" w:sz="4" w:space="0" w:color="00B0F0"/>
              <w:bottom w:val="single" w:sz="4" w:space="0" w:color="00B0F0"/>
              <w:right w:val="single" w:sz="4" w:space="0" w:color="00B0F0"/>
            </w:tcBorders>
            <w:shd w:val="clear" w:color="auto" w:fill="auto"/>
            <w:noWrap/>
            <w:hideMark/>
          </w:tcPr>
          <w:p w:rsidR="00C67B7D" w:rsidRPr="001244BB" w:rsidRDefault="00C67B7D" w:rsidP="0035318B">
            <w:pPr>
              <w:spacing w:after="0" w:line="240" w:lineRule="auto"/>
              <w:jc w:val="right"/>
              <w:rPr>
                <w:rFonts w:eastAsia="Times New Roman" w:cstheme="minorHAnsi"/>
                <w:color w:val="000000"/>
                <w:sz w:val="20"/>
                <w:szCs w:val="20"/>
                <w:lang w:eastAsia="en-NZ"/>
              </w:rPr>
            </w:pPr>
            <w:r w:rsidRPr="001244BB">
              <w:rPr>
                <w:rFonts w:eastAsia="Times New Roman" w:cstheme="minorHAnsi"/>
                <w:color w:val="000000"/>
                <w:sz w:val="20"/>
                <w:szCs w:val="20"/>
                <w:lang w:eastAsia="en-NZ"/>
              </w:rPr>
              <w:t>86.6%</w:t>
            </w:r>
          </w:p>
        </w:tc>
        <w:tc>
          <w:tcPr>
            <w:tcW w:w="1062" w:type="dxa"/>
            <w:tcBorders>
              <w:top w:val="single" w:sz="4" w:space="0" w:color="00B0F0"/>
              <w:left w:val="single" w:sz="4" w:space="0" w:color="00B0F0"/>
              <w:bottom w:val="single" w:sz="4" w:space="0" w:color="00B0F0"/>
              <w:right w:val="single" w:sz="4" w:space="0" w:color="00B0F0"/>
            </w:tcBorders>
            <w:shd w:val="clear" w:color="000000" w:fill="D9D9D9"/>
            <w:hideMark/>
          </w:tcPr>
          <w:p w:rsidR="00C67B7D" w:rsidRPr="001244BB" w:rsidRDefault="00C67B7D" w:rsidP="0035318B">
            <w:pPr>
              <w:spacing w:after="0" w:line="240" w:lineRule="auto"/>
              <w:jc w:val="right"/>
              <w:rPr>
                <w:rFonts w:eastAsia="Times New Roman" w:cstheme="minorHAnsi"/>
                <w:color w:val="000000"/>
                <w:sz w:val="20"/>
                <w:szCs w:val="20"/>
                <w:lang w:eastAsia="en-NZ"/>
              </w:rPr>
            </w:pPr>
            <w:r w:rsidRPr="001244BB">
              <w:rPr>
                <w:rFonts w:eastAsia="Times New Roman" w:cstheme="minorHAnsi"/>
                <w:color w:val="000000"/>
                <w:sz w:val="20"/>
                <w:szCs w:val="20"/>
                <w:lang w:eastAsia="en-NZ"/>
              </w:rPr>
              <w:t>75%</w:t>
            </w:r>
          </w:p>
        </w:tc>
        <w:tc>
          <w:tcPr>
            <w:tcW w:w="857" w:type="dxa"/>
            <w:tcBorders>
              <w:top w:val="single" w:sz="4" w:space="0" w:color="00B0F0"/>
              <w:left w:val="single" w:sz="4" w:space="0" w:color="00B0F0"/>
              <w:bottom w:val="single" w:sz="4" w:space="0" w:color="00B0F0"/>
              <w:right w:val="single" w:sz="4" w:space="0" w:color="00B0F0"/>
            </w:tcBorders>
            <w:shd w:val="clear" w:color="auto" w:fill="auto"/>
            <w:noWrap/>
            <w:hideMark/>
          </w:tcPr>
          <w:p w:rsidR="00C67B7D" w:rsidRPr="001244BB" w:rsidRDefault="00C67B7D" w:rsidP="0035318B">
            <w:pPr>
              <w:spacing w:after="0" w:line="240" w:lineRule="auto"/>
              <w:jc w:val="right"/>
              <w:rPr>
                <w:rFonts w:eastAsia="Times New Roman" w:cstheme="minorHAnsi"/>
                <w:color w:val="000000"/>
                <w:sz w:val="20"/>
                <w:szCs w:val="20"/>
                <w:lang w:eastAsia="en-NZ"/>
              </w:rPr>
            </w:pPr>
            <w:r>
              <w:rPr>
                <w:rFonts w:eastAsia="Times New Roman" w:cstheme="minorHAnsi"/>
                <w:color w:val="000000"/>
                <w:sz w:val="20"/>
                <w:szCs w:val="20"/>
                <w:lang w:eastAsia="en-NZ"/>
              </w:rPr>
              <w:t>15%</w:t>
            </w:r>
          </w:p>
        </w:tc>
        <w:tc>
          <w:tcPr>
            <w:tcW w:w="1101" w:type="dxa"/>
            <w:tcBorders>
              <w:top w:val="single" w:sz="4" w:space="0" w:color="00B0F0"/>
              <w:left w:val="single" w:sz="4" w:space="0" w:color="00B0F0"/>
              <w:bottom w:val="single" w:sz="4" w:space="0" w:color="00B0F0"/>
              <w:right w:val="single" w:sz="4" w:space="0" w:color="00B0F0"/>
            </w:tcBorders>
            <w:shd w:val="clear" w:color="auto" w:fill="auto"/>
            <w:hideMark/>
          </w:tcPr>
          <w:p w:rsidR="00C67B7D" w:rsidRPr="001244BB" w:rsidRDefault="007F78CB" w:rsidP="0035318B">
            <w:pPr>
              <w:spacing w:after="0" w:line="240" w:lineRule="auto"/>
              <w:jc w:val="right"/>
              <w:rPr>
                <w:rFonts w:eastAsia="Times New Roman" w:cstheme="minorHAnsi"/>
                <w:color w:val="000000"/>
                <w:sz w:val="20"/>
                <w:szCs w:val="20"/>
                <w:lang w:eastAsia="en-NZ"/>
              </w:rPr>
            </w:pPr>
            <w:r>
              <w:rPr>
                <w:rFonts w:eastAsia="Times New Roman" w:cstheme="minorHAnsi"/>
                <w:color w:val="000000"/>
                <w:sz w:val="20"/>
                <w:szCs w:val="20"/>
                <w:lang w:eastAsia="en-NZ"/>
              </w:rPr>
              <w:t>Within 10%</w:t>
            </w:r>
          </w:p>
        </w:tc>
        <w:tc>
          <w:tcPr>
            <w:tcW w:w="4427" w:type="dxa"/>
            <w:tcBorders>
              <w:top w:val="single" w:sz="4" w:space="0" w:color="00B0F0"/>
              <w:left w:val="single" w:sz="4" w:space="0" w:color="00B0F0"/>
              <w:bottom w:val="single" w:sz="4" w:space="0" w:color="00B0F0"/>
            </w:tcBorders>
            <w:shd w:val="clear" w:color="auto" w:fill="auto"/>
            <w:hideMark/>
          </w:tcPr>
          <w:p w:rsidR="00C67B7D" w:rsidRPr="001244BB" w:rsidRDefault="00C67B7D" w:rsidP="0035318B">
            <w:pPr>
              <w:spacing w:after="0" w:line="240" w:lineRule="auto"/>
              <w:rPr>
                <w:rFonts w:eastAsia="Times New Roman" w:cstheme="minorHAnsi"/>
                <w:color w:val="000000"/>
                <w:sz w:val="20"/>
                <w:szCs w:val="20"/>
                <w:lang w:eastAsia="en-NZ"/>
              </w:rPr>
            </w:pPr>
            <w:r w:rsidRPr="001244BB">
              <w:rPr>
                <w:rFonts w:eastAsia="Times New Roman" w:cstheme="minorHAnsi"/>
                <w:color w:val="000000"/>
                <w:sz w:val="20"/>
                <w:szCs w:val="20"/>
                <w:lang w:eastAsia="en-NZ"/>
              </w:rPr>
              <w:t>Although a result is available and the target appears to be exceeded, the sample size of 49 is too small to draw performance conclusions.</w:t>
            </w:r>
          </w:p>
        </w:tc>
      </w:tr>
      <w:tr w:rsidR="00C67B7D" w:rsidRPr="001244BB" w:rsidTr="0035318B">
        <w:trPr>
          <w:trHeight w:val="792"/>
        </w:trPr>
        <w:tc>
          <w:tcPr>
            <w:tcW w:w="3119" w:type="dxa"/>
            <w:tcBorders>
              <w:top w:val="single" w:sz="4" w:space="0" w:color="00B0F0"/>
              <w:left w:val="nil"/>
              <w:bottom w:val="single" w:sz="4" w:space="0" w:color="00B0F0"/>
              <w:right w:val="single" w:sz="4" w:space="0" w:color="00B0F0"/>
            </w:tcBorders>
            <w:shd w:val="clear" w:color="auto" w:fill="auto"/>
            <w:hideMark/>
          </w:tcPr>
          <w:p w:rsidR="00C67B7D" w:rsidRPr="001244BB" w:rsidRDefault="00C67B7D" w:rsidP="0035318B">
            <w:pPr>
              <w:spacing w:after="0" w:line="240" w:lineRule="auto"/>
              <w:rPr>
                <w:rFonts w:eastAsia="Times New Roman" w:cstheme="minorHAnsi"/>
                <w:color w:val="000000"/>
                <w:sz w:val="20"/>
                <w:szCs w:val="20"/>
                <w:lang w:eastAsia="en-NZ"/>
              </w:rPr>
            </w:pPr>
            <w:r w:rsidRPr="001244BB">
              <w:rPr>
                <w:rFonts w:eastAsia="Times New Roman" w:cstheme="minorHAnsi"/>
                <w:color w:val="000000"/>
                <w:sz w:val="20"/>
                <w:szCs w:val="20"/>
                <w:lang w:eastAsia="en-NZ"/>
              </w:rPr>
              <w:t>Residents (%) who agree that Council information is easy to access (via website, libraries, social media, newspapers etc)</w:t>
            </w:r>
          </w:p>
        </w:tc>
        <w:tc>
          <w:tcPr>
            <w:tcW w:w="1061" w:type="dxa"/>
            <w:tcBorders>
              <w:top w:val="single" w:sz="4" w:space="0" w:color="00B0F0"/>
              <w:left w:val="single" w:sz="4" w:space="0" w:color="00B0F0"/>
              <w:bottom w:val="single" w:sz="4" w:space="0" w:color="00B0F0"/>
              <w:right w:val="single" w:sz="4" w:space="0" w:color="00B0F0"/>
            </w:tcBorders>
            <w:shd w:val="clear" w:color="auto" w:fill="auto"/>
            <w:noWrap/>
            <w:hideMark/>
          </w:tcPr>
          <w:p w:rsidR="00C67B7D" w:rsidRPr="001244BB" w:rsidRDefault="00C67B7D" w:rsidP="0035318B">
            <w:pPr>
              <w:spacing w:after="0" w:line="240" w:lineRule="auto"/>
              <w:jc w:val="right"/>
              <w:rPr>
                <w:rFonts w:eastAsia="Times New Roman" w:cstheme="minorHAnsi"/>
                <w:color w:val="000000"/>
                <w:sz w:val="20"/>
                <w:szCs w:val="20"/>
                <w:lang w:eastAsia="en-NZ"/>
              </w:rPr>
            </w:pPr>
          </w:p>
        </w:tc>
        <w:tc>
          <w:tcPr>
            <w:tcW w:w="1062" w:type="dxa"/>
            <w:tcBorders>
              <w:top w:val="single" w:sz="4" w:space="0" w:color="00B0F0"/>
              <w:left w:val="single" w:sz="4" w:space="0" w:color="00B0F0"/>
              <w:bottom w:val="single" w:sz="4" w:space="0" w:color="00B0F0"/>
              <w:right w:val="single" w:sz="4" w:space="0" w:color="00B0F0"/>
            </w:tcBorders>
            <w:shd w:val="clear" w:color="auto" w:fill="auto"/>
            <w:noWrap/>
            <w:hideMark/>
          </w:tcPr>
          <w:p w:rsidR="00C67B7D" w:rsidRPr="001244BB" w:rsidRDefault="00C67B7D" w:rsidP="0035318B">
            <w:pPr>
              <w:spacing w:after="0" w:line="240" w:lineRule="auto"/>
              <w:jc w:val="right"/>
              <w:rPr>
                <w:rFonts w:eastAsia="Times New Roman" w:cstheme="minorHAnsi"/>
                <w:color w:val="000000"/>
                <w:sz w:val="20"/>
                <w:szCs w:val="20"/>
                <w:lang w:eastAsia="en-NZ"/>
              </w:rPr>
            </w:pPr>
            <w:r w:rsidRPr="001244BB">
              <w:rPr>
                <w:rFonts w:eastAsia="Times New Roman" w:cstheme="minorHAnsi"/>
                <w:color w:val="000000"/>
                <w:sz w:val="20"/>
                <w:szCs w:val="20"/>
                <w:lang w:eastAsia="en-NZ"/>
              </w:rPr>
              <w:t>New</w:t>
            </w:r>
          </w:p>
        </w:tc>
        <w:tc>
          <w:tcPr>
            <w:tcW w:w="1061" w:type="dxa"/>
            <w:tcBorders>
              <w:top w:val="single" w:sz="4" w:space="0" w:color="00B0F0"/>
              <w:left w:val="single" w:sz="4" w:space="0" w:color="00B0F0"/>
              <w:bottom w:val="single" w:sz="4" w:space="0" w:color="00B0F0"/>
              <w:right w:val="single" w:sz="4" w:space="0" w:color="00B0F0"/>
            </w:tcBorders>
            <w:shd w:val="clear" w:color="auto" w:fill="FFFFFF" w:themeFill="background1"/>
            <w:noWrap/>
            <w:hideMark/>
          </w:tcPr>
          <w:p w:rsidR="00C67B7D" w:rsidRPr="001244BB" w:rsidRDefault="00C67B7D" w:rsidP="0035318B">
            <w:pPr>
              <w:spacing w:after="0" w:line="240" w:lineRule="auto"/>
              <w:jc w:val="right"/>
              <w:rPr>
                <w:rFonts w:eastAsia="Times New Roman" w:cstheme="minorHAnsi"/>
                <w:color w:val="000000"/>
                <w:sz w:val="20"/>
                <w:szCs w:val="20"/>
                <w:lang w:eastAsia="en-NZ"/>
              </w:rPr>
            </w:pPr>
            <w:r w:rsidRPr="001244BB">
              <w:rPr>
                <w:rFonts w:eastAsia="Times New Roman" w:cstheme="minorHAnsi"/>
                <w:color w:val="000000"/>
                <w:sz w:val="20"/>
                <w:szCs w:val="20"/>
                <w:lang w:eastAsia="en-NZ"/>
              </w:rPr>
              <w:t>46%</w:t>
            </w:r>
          </w:p>
        </w:tc>
        <w:tc>
          <w:tcPr>
            <w:tcW w:w="1062" w:type="dxa"/>
            <w:tcBorders>
              <w:top w:val="single" w:sz="4" w:space="0" w:color="00B0F0"/>
              <w:left w:val="single" w:sz="4" w:space="0" w:color="00B0F0"/>
              <w:bottom w:val="single" w:sz="4" w:space="0" w:color="00B0F0"/>
              <w:right w:val="single" w:sz="4" w:space="0" w:color="00B0F0"/>
            </w:tcBorders>
            <w:shd w:val="clear" w:color="000000" w:fill="D9D9D9"/>
            <w:hideMark/>
          </w:tcPr>
          <w:p w:rsidR="00C67B7D" w:rsidRPr="001244BB" w:rsidRDefault="00C67B7D" w:rsidP="0035318B">
            <w:pPr>
              <w:spacing w:after="0" w:line="240" w:lineRule="auto"/>
              <w:jc w:val="right"/>
              <w:rPr>
                <w:rFonts w:eastAsia="Times New Roman" w:cstheme="minorHAnsi"/>
                <w:color w:val="000000"/>
                <w:sz w:val="20"/>
                <w:szCs w:val="20"/>
                <w:lang w:eastAsia="en-NZ"/>
              </w:rPr>
            </w:pPr>
            <w:r w:rsidRPr="001244BB">
              <w:rPr>
                <w:rFonts w:eastAsia="Times New Roman" w:cstheme="minorHAnsi"/>
                <w:color w:val="000000"/>
                <w:sz w:val="20"/>
                <w:szCs w:val="20"/>
                <w:lang w:eastAsia="en-NZ"/>
              </w:rPr>
              <w:t>55%</w:t>
            </w:r>
          </w:p>
        </w:tc>
        <w:tc>
          <w:tcPr>
            <w:tcW w:w="857" w:type="dxa"/>
            <w:tcBorders>
              <w:top w:val="single" w:sz="4" w:space="0" w:color="00B0F0"/>
              <w:left w:val="single" w:sz="4" w:space="0" w:color="00B0F0"/>
              <w:bottom w:val="single" w:sz="4" w:space="0" w:color="00B0F0"/>
              <w:right w:val="single" w:sz="4" w:space="0" w:color="00B0F0"/>
            </w:tcBorders>
            <w:shd w:val="clear" w:color="auto" w:fill="auto"/>
            <w:noWrap/>
            <w:hideMark/>
          </w:tcPr>
          <w:p w:rsidR="00C67B7D" w:rsidRPr="001244BB" w:rsidRDefault="00C67B7D" w:rsidP="0035318B">
            <w:pPr>
              <w:spacing w:after="0" w:line="240" w:lineRule="auto"/>
              <w:jc w:val="right"/>
              <w:rPr>
                <w:rFonts w:eastAsia="Times New Roman" w:cstheme="minorHAnsi"/>
                <w:color w:val="000000"/>
                <w:sz w:val="20"/>
                <w:szCs w:val="20"/>
                <w:lang w:eastAsia="en-NZ"/>
              </w:rPr>
            </w:pPr>
            <w:r w:rsidRPr="001244BB">
              <w:rPr>
                <w:rFonts w:eastAsia="Times New Roman" w:cstheme="minorHAnsi"/>
                <w:color w:val="000000"/>
                <w:sz w:val="20"/>
                <w:szCs w:val="20"/>
                <w:lang w:eastAsia="en-NZ"/>
              </w:rPr>
              <w:t>-17%</w:t>
            </w:r>
          </w:p>
        </w:tc>
        <w:tc>
          <w:tcPr>
            <w:tcW w:w="1101" w:type="dxa"/>
            <w:tcBorders>
              <w:top w:val="single" w:sz="4" w:space="0" w:color="00B0F0"/>
              <w:left w:val="single" w:sz="4" w:space="0" w:color="00B0F0"/>
              <w:bottom w:val="single" w:sz="4" w:space="0" w:color="00B0F0"/>
              <w:right w:val="single" w:sz="4" w:space="0" w:color="00B0F0"/>
            </w:tcBorders>
            <w:shd w:val="clear" w:color="auto" w:fill="auto"/>
            <w:hideMark/>
          </w:tcPr>
          <w:p w:rsidR="00C67B7D" w:rsidRPr="001244BB" w:rsidRDefault="00C67B7D" w:rsidP="0035318B">
            <w:pPr>
              <w:spacing w:after="0" w:line="240" w:lineRule="auto"/>
              <w:jc w:val="right"/>
              <w:rPr>
                <w:rFonts w:eastAsia="Times New Roman" w:cstheme="minorHAnsi"/>
                <w:color w:val="000000"/>
                <w:sz w:val="20"/>
                <w:szCs w:val="20"/>
                <w:lang w:eastAsia="en-NZ"/>
              </w:rPr>
            </w:pPr>
            <w:r w:rsidRPr="001244BB">
              <w:rPr>
                <w:rFonts w:eastAsia="Times New Roman" w:cstheme="minorHAnsi"/>
                <w:color w:val="000000"/>
                <w:sz w:val="20"/>
                <w:szCs w:val="20"/>
                <w:lang w:eastAsia="en-NZ"/>
              </w:rPr>
              <w:t>not met</w:t>
            </w:r>
          </w:p>
        </w:tc>
        <w:tc>
          <w:tcPr>
            <w:tcW w:w="4427" w:type="dxa"/>
            <w:tcBorders>
              <w:top w:val="single" w:sz="4" w:space="0" w:color="00B0F0"/>
              <w:left w:val="single" w:sz="4" w:space="0" w:color="00B0F0"/>
              <w:bottom w:val="single" w:sz="4" w:space="0" w:color="00B0F0"/>
            </w:tcBorders>
            <w:shd w:val="clear" w:color="auto" w:fill="auto"/>
            <w:hideMark/>
          </w:tcPr>
          <w:p w:rsidR="00C67B7D" w:rsidRPr="001244BB" w:rsidRDefault="00C67B7D" w:rsidP="00E27622">
            <w:pPr>
              <w:spacing w:after="0" w:line="240" w:lineRule="auto"/>
              <w:rPr>
                <w:rFonts w:eastAsia="Times New Roman" w:cstheme="minorHAnsi"/>
                <w:color w:val="000000"/>
                <w:sz w:val="20"/>
                <w:szCs w:val="20"/>
                <w:lang w:eastAsia="en-NZ"/>
              </w:rPr>
            </w:pPr>
            <w:r w:rsidRPr="001244BB">
              <w:rPr>
                <w:rFonts w:eastAsia="Times New Roman" w:cstheme="minorHAnsi"/>
                <w:color w:val="000000"/>
                <w:sz w:val="20"/>
                <w:szCs w:val="20"/>
                <w:lang w:eastAsia="en-NZ"/>
              </w:rPr>
              <w:t>The average for only the users of our communication channels (</w:t>
            </w:r>
            <w:r>
              <w:rPr>
                <w:rFonts w:eastAsia="Times New Roman" w:cstheme="minorHAnsi"/>
                <w:color w:val="000000"/>
                <w:sz w:val="20"/>
                <w:szCs w:val="20"/>
                <w:lang w:eastAsia="en-NZ"/>
              </w:rPr>
              <w:t xml:space="preserve">excludes </w:t>
            </w:r>
            <w:r w:rsidR="0014327E">
              <w:rPr>
                <w:rFonts w:eastAsia="Times New Roman" w:cstheme="minorHAnsi"/>
                <w:color w:val="000000"/>
                <w:sz w:val="20"/>
                <w:szCs w:val="20"/>
                <w:lang w:eastAsia="en-NZ"/>
              </w:rPr>
              <w:t xml:space="preserve">“don't use” </w:t>
            </w:r>
            <w:r>
              <w:rPr>
                <w:rFonts w:eastAsia="Times New Roman" w:cstheme="minorHAnsi"/>
                <w:color w:val="000000"/>
                <w:sz w:val="20"/>
                <w:szCs w:val="20"/>
                <w:lang w:eastAsia="en-NZ"/>
              </w:rPr>
              <w:t>responses</w:t>
            </w:r>
            <w:r w:rsidRPr="00030337">
              <w:rPr>
                <w:rFonts w:eastAsia="Times New Roman" w:cstheme="minorHAnsi"/>
                <w:sz w:val="20"/>
                <w:szCs w:val="20"/>
                <w:lang w:eastAsia="en-NZ"/>
              </w:rPr>
              <w:t>): See supplementary tables for further details</w:t>
            </w:r>
          </w:p>
        </w:tc>
      </w:tr>
      <w:tr w:rsidR="00C67B7D" w:rsidRPr="001244BB" w:rsidTr="0035318B">
        <w:trPr>
          <w:trHeight w:val="1130"/>
        </w:trPr>
        <w:tc>
          <w:tcPr>
            <w:tcW w:w="3119" w:type="dxa"/>
            <w:tcBorders>
              <w:top w:val="single" w:sz="4" w:space="0" w:color="00B0F0"/>
              <w:left w:val="nil"/>
              <w:bottom w:val="single" w:sz="4" w:space="0" w:color="00B0F0"/>
              <w:right w:val="single" w:sz="4" w:space="0" w:color="00B0F0"/>
            </w:tcBorders>
            <w:shd w:val="clear" w:color="auto" w:fill="auto"/>
            <w:hideMark/>
          </w:tcPr>
          <w:p w:rsidR="00C67B7D" w:rsidRPr="001244BB" w:rsidRDefault="00C67B7D" w:rsidP="0035318B">
            <w:pPr>
              <w:spacing w:after="0" w:line="240" w:lineRule="auto"/>
              <w:rPr>
                <w:rFonts w:eastAsia="Times New Roman" w:cstheme="minorHAnsi"/>
                <w:color w:val="000000"/>
                <w:sz w:val="20"/>
                <w:szCs w:val="20"/>
                <w:lang w:eastAsia="en-NZ"/>
              </w:rPr>
            </w:pPr>
            <w:r w:rsidRPr="001244BB">
              <w:rPr>
                <w:rFonts w:eastAsia="Times New Roman" w:cstheme="minorHAnsi"/>
                <w:color w:val="000000"/>
                <w:sz w:val="20"/>
                <w:szCs w:val="20"/>
                <w:lang w:eastAsia="en-NZ"/>
              </w:rPr>
              <w:t>Residents (%) who agree that the Council is proactive in informing residents about their city</w:t>
            </w:r>
          </w:p>
        </w:tc>
        <w:tc>
          <w:tcPr>
            <w:tcW w:w="1061" w:type="dxa"/>
            <w:tcBorders>
              <w:top w:val="single" w:sz="4" w:space="0" w:color="00B0F0"/>
              <w:left w:val="single" w:sz="4" w:space="0" w:color="00B0F0"/>
              <w:bottom w:val="single" w:sz="4" w:space="0" w:color="00B0F0"/>
              <w:right w:val="single" w:sz="4" w:space="0" w:color="00B0F0"/>
            </w:tcBorders>
            <w:shd w:val="clear" w:color="auto" w:fill="auto"/>
            <w:noWrap/>
            <w:hideMark/>
          </w:tcPr>
          <w:p w:rsidR="00C67B7D" w:rsidRPr="001244BB" w:rsidRDefault="00C67B7D" w:rsidP="0035318B">
            <w:pPr>
              <w:spacing w:after="0" w:line="240" w:lineRule="auto"/>
              <w:jc w:val="right"/>
              <w:rPr>
                <w:rFonts w:eastAsia="Times New Roman" w:cstheme="minorHAnsi"/>
                <w:color w:val="000000"/>
                <w:sz w:val="20"/>
                <w:szCs w:val="20"/>
                <w:lang w:eastAsia="en-NZ"/>
              </w:rPr>
            </w:pPr>
          </w:p>
        </w:tc>
        <w:tc>
          <w:tcPr>
            <w:tcW w:w="1062" w:type="dxa"/>
            <w:tcBorders>
              <w:top w:val="single" w:sz="4" w:space="0" w:color="00B0F0"/>
              <w:left w:val="single" w:sz="4" w:space="0" w:color="00B0F0"/>
              <w:bottom w:val="single" w:sz="4" w:space="0" w:color="00B0F0"/>
              <w:right w:val="single" w:sz="4" w:space="0" w:color="00B0F0"/>
            </w:tcBorders>
            <w:shd w:val="clear" w:color="auto" w:fill="auto"/>
            <w:noWrap/>
            <w:hideMark/>
          </w:tcPr>
          <w:p w:rsidR="00C67B7D" w:rsidRPr="001244BB" w:rsidRDefault="00C67B7D" w:rsidP="0035318B">
            <w:pPr>
              <w:spacing w:after="0" w:line="240" w:lineRule="auto"/>
              <w:jc w:val="right"/>
              <w:rPr>
                <w:rFonts w:eastAsia="Times New Roman" w:cstheme="minorHAnsi"/>
                <w:color w:val="000000"/>
                <w:sz w:val="20"/>
                <w:szCs w:val="20"/>
                <w:lang w:eastAsia="en-NZ"/>
              </w:rPr>
            </w:pPr>
            <w:r w:rsidRPr="001244BB">
              <w:rPr>
                <w:rFonts w:eastAsia="Times New Roman" w:cstheme="minorHAnsi"/>
                <w:color w:val="000000"/>
                <w:sz w:val="20"/>
                <w:szCs w:val="20"/>
                <w:lang w:eastAsia="en-NZ"/>
              </w:rPr>
              <w:t>New</w:t>
            </w:r>
          </w:p>
        </w:tc>
        <w:tc>
          <w:tcPr>
            <w:tcW w:w="1061" w:type="dxa"/>
            <w:tcBorders>
              <w:top w:val="single" w:sz="4" w:space="0" w:color="00B0F0"/>
              <w:left w:val="single" w:sz="4" w:space="0" w:color="00B0F0"/>
              <w:bottom w:val="single" w:sz="4" w:space="0" w:color="00B0F0"/>
              <w:right w:val="single" w:sz="4" w:space="0" w:color="00B0F0"/>
            </w:tcBorders>
            <w:shd w:val="clear" w:color="auto" w:fill="FFFFFF" w:themeFill="background1"/>
            <w:noWrap/>
            <w:hideMark/>
          </w:tcPr>
          <w:p w:rsidR="00C67B7D" w:rsidRPr="001244BB" w:rsidRDefault="00C67B7D" w:rsidP="0035318B">
            <w:pPr>
              <w:spacing w:after="0" w:line="240" w:lineRule="auto"/>
              <w:jc w:val="right"/>
              <w:rPr>
                <w:rFonts w:eastAsia="Times New Roman" w:cstheme="minorHAnsi"/>
                <w:color w:val="000000"/>
                <w:sz w:val="20"/>
                <w:szCs w:val="20"/>
                <w:lang w:eastAsia="en-NZ"/>
              </w:rPr>
            </w:pPr>
            <w:r w:rsidRPr="001244BB">
              <w:rPr>
                <w:rFonts w:eastAsia="Times New Roman" w:cstheme="minorHAnsi"/>
                <w:color w:val="000000"/>
                <w:sz w:val="20"/>
                <w:szCs w:val="20"/>
                <w:lang w:eastAsia="en-NZ"/>
              </w:rPr>
              <w:t>45%</w:t>
            </w:r>
          </w:p>
        </w:tc>
        <w:tc>
          <w:tcPr>
            <w:tcW w:w="1062" w:type="dxa"/>
            <w:tcBorders>
              <w:top w:val="single" w:sz="4" w:space="0" w:color="00B0F0"/>
              <w:left w:val="single" w:sz="4" w:space="0" w:color="00B0F0"/>
              <w:bottom w:val="single" w:sz="4" w:space="0" w:color="00B0F0"/>
              <w:right w:val="single" w:sz="4" w:space="0" w:color="00B0F0"/>
            </w:tcBorders>
            <w:shd w:val="clear" w:color="000000" w:fill="D9D9D9"/>
            <w:hideMark/>
          </w:tcPr>
          <w:p w:rsidR="00C67B7D" w:rsidRPr="001244BB" w:rsidRDefault="00C67B7D" w:rsidP="0035318B">
            <w:pPr>
              <w:spacing w:after="0" w:line="240" w:lineRule="auto"/>
              <w:jc w:val="right"/>
              <w:rPr>
                <w:rFonts w:eastAsia="Times New Roman" w:cstheme="minorHAnsi"/>
                <w:color w:val="000000"/>
                <w:sz w:val="20"/>
                <w:szCs w:val="20"/>
                <w:lang w:eastAsia="en-NZ"/>
              </w:rPr>
            </w:pPr>
            <w:r w:rsidRPr="001244BB">
              <w:rPr>
                <w:rFonts w:eastAsia="Times New Roman" w:cstheme="minorHAnsi"/>
                <w:color w:val="000000"/>
                <w:sz w:val="20"/>
                <w:szCs w:val="20"/>
                <w:lang w:eastAsia="en-NZ"/>
              </w:rPr>
              <w:t>70%</w:t>
            </w:r>
          </w:p>
        </w:tc>
        <w:tc>
          <w:tcPr>
            <w:tcW w:w="857" w:type="dxa"/>
            <w:tcBorders>
              <w:top w:val="single" w:sz="4" w:space="0" w:color="00B0F0"/>
              <w:left w:val="single" w:sz="4" w:space="0" w:color="00B0F0"/>
              <w:bottom w:val="single" w:sz="4" w:space="0" w:color="00B0F0"/>
              <w:right w:val="single" w:sz="4" w:space="0" w:color="00B0F0"/>
            </w:tcBorders>
            <w:shd w:val="clear" w:color="auto" w:fill="auto"/>
            <w:noWrap/>
            <w:hideMark/>
          </w:tcPr>
          <w:p w:rsidR="00C67B7D" w:rsidRPr="001244BB" w:rsidRDefault="00C67B7D" w:rsidP="0035318B">
            <w:pPr>
              <w:spacing w:after="0" w:line="240" w:lineRule="auto"/>
              <w:jc w:val="right"/>
              <w:rPr>
                <w:rFonts w:eastAsia="Times New Roman" w:cstheme="minorHAnsi"/>
                <w:sz w:val="20"/>
                <w:szCs w:val="20"/>
                <w:lang w:eastAsia="en-NZ"/>
              </w:rPr>
            </w:pPr>
            <w:r w:rsidRPr="001244BB">
              <w:rPr>
                <w:rFonts w:eastAsia="Times New Roman" w:cstheme="minorHAnsi"/>
                <w:sz w:val="20"/>
                <w:szCs w:val="20"/>
                <w:lang w:eastAsia="en-NZ"/>
              </w:rPr>
              <w:t>-36%</w:t>
            </w:r>
          </w:p>
        </w:tc>
        <w:tc>
          <w:tcPr>
            <w:tcW w:w="1101" w:type="dxa"/>
            <w:tcBorders>
              <w:top w:val="single" w:sz="4" w:space="0" w:color="00B0F0"/>
              <w:left w:val="single" w:sz="4" w:space="0" w:color="00B0F0"/>
              <w:bottom w:val="single" w:sz="4" w:space="0" w:color="00B0F0"/>
              <w:right w:val="single" w:sz="4" w:space="0" w:color="00B0F0"/>
            </w:tcBorders>
            <w:shd w:val="clear" w:color="auto" w:fill="auto"/>
            <w:hideMark/>
          </w:tcPr>
          <w:p w:rsidR="00C67B7D" w:rsidRPr="001244BB" w:rsidRDefault="00C67B7D" w:rsidP="0035318B">
            <w:pPr>
              <w:spacing w:after="0" w:line="240" w:lineRule="auto"/>
              <w:jc w:val="right"/>
              <w:rPr>
                <w:rFonts w:eastAsia="Times New Roman" w:cstheme="minorHAnsi"/>
                <w:sz w:val="20"/>
                <w:szCs w:val="20"/>
                <w:lang w:eastAsia="en-NZ"/>
              </w:rPr>
            </w:pPr>
            <w:r w:rsidRPr="001244BB">
              <w:rPr>
                <w:rFonts w:eastAsia="Times New Roman" w:cstheme="minorHAnsi"/>
                <w:sz w:val="20"/>
                <w:szCs w:val="20"/>
                <w:lang w:eastAsia="en-NZ"/>
              </w:rPr>
              <w:t>not met</w:t>
            </w:r>
          </w:p>
        </w:tc>
        <w:tc>
          <w:tcPr>
            <w:tcW w:w="4427" w:type="dxa"/>
            <w:tcBorders>
              <w:top w:val="single" w:sz="4" w:space="0" w:color="00B0F0"/>
              <w:left w:val="single" w:sz="4" w:space="0" w:color="00B0F0"/>
              <w:bottom w:val="single" w:sz="4" w:space="0" w:color="00B0F0"/>
            </w:tcBorders>
            <w:shd w:val="clear" w:color="auto" w:fill="auto"/>
            <w:hideMark/>
          </w:tcPr>
          <w:p w:rsidR="00C67B7D" w:rsidRPr="001244BB" w:rsidRDefault="00C67B7D" w:rsidP="0035318B">
            <w:pPr>
              <w:spacing w:after="0" w:line="240" w:lineRule="auto"/>
              <w:rPr>
                <w:rFonts w:eastAsia="Times New Roman" w:cstheme="minorHAnsi"/>
                <w:color w:val="000000"/>
                <w:sz w:val="20"/>
                <w:szCs w:val="20"/>
                <w:lang w:eastAsia="en-NZ"/>
              </w:rPr>
            </w:pPr>
            <w:r w:rsidRPr="001244BB">
              <w:rPr>
                <w:rFonts w:eastAsia="Times New Roman" w:cstheme="minorHAnsi"/>
                <w:color w:val="000000"/>
                <w:sz w:val="20"/>
                <w:szCs w:val="20"/>
                <w:lang w:eastAsia="en-NZ"/>
              </w:rPr>
              <w:t>This measure was introduced to gauge the effectiveness of proactive city communications. There was not a solid baseline to inform the target that was set, and Council will strive to close the performance gap in the years ahead.</w:t>
            </w:r>
          </w:p>
        </w:tc>
      </w:tr>
      <w:tr w:rsidR="00C67B7D" w:rsidRPr="001244BB" w:rsidTr="0035318B">
        <w:trPr>
          <w:trHeight w:val="529"/>
        </w:trPr>
        <w:tc>
          <w:tcPr>
            <w:tcW w:w="3119" w:type="dxa"/>
            <w:tcBorders>
              <w:top w:val="single" w:sz="4" w:space="0" w:color="00B0F0"/>
              <w:left w:val="nil"/>
              <w:bottom w:val="nil"/>
              <w:right w:val="single" w:sz="4" w:space="0" w:color="00B0F0"/>
            </w:tcBorders>
            <w:shd w:val="clear" w:color="auto" w:fill="auto"/>
            <w:hideMark/>
          </w:tcPr>
          <w:p w:rsidR="00C67B7D" w:rsidRPr="001244BB" w:rsidRDefault="00C67B7D" w:rsidP="0035318B">
            <w:pPr>
              <w:spacing w:after="0" w:line="240" w:lineRule="auto"/>
              <w:rPr>
                <w:rFonts w:eastAsia="Times New Roman" w:cstheme="minorHAnsi"/>
                <w:color w:val="000000"/>
                <w:sz w:val="20"/>
                <w:szCs w:val="20"/>
                <w:lang w:eastAsia="en-NZ"/>
              </w:rPr>
            </w:pPr>
            <w:r w:rsidRPr="001244BB">
              <w:rPr>
                <w:rFonts w:eastAsia="Times New Roman" w:cstheme="minorHAnsi"/>
                <w:color w:val="000000"/>
                <w:sz w:val="20"/>
                <w:szCs w:val="20"/>
                <w:lang w:eastAsia="en-NZ"/>
              </w:rPr>
              <w:t>Official information requests (%) handled within Local Government Official Information and Meetings Act legislative timeframe</w:t>
            </w:r>
          </w:p>
        </w:tc>
        <w:tc>
          <w:tcPr>
            <w:tcW w:w="1061" w:type="dxa"/>
            <w:tcBorders>
              <w:top w:val="single" w:sz="4" w:space="0" w:color="00B0F0"/>
              <w:left w:val="single" w:sz="4" w:space="0" w:color="00B0F0"/>
              <w:bottom w:val="nil"/>
              <w:right w:val="single" w:sz="4" w:space="0" w:color="00B0F0"/>
            </w:tcBorders>
            <w:shd w:val="clear" w:color="auto" w:fill="auto"/>
            <w:noWrap/>
            <w:hideMark/>
          </w:tcPr>
          <w:p w:rsidR="00C67B7D" w:rsidRPr="001244BB" w:rsidRDefault="00C67B7D" w:rsidP="0035318B">
            <w:pPr>
              <w:spacing w:after="0" w:line="240" w:lineRule="auto"/>
              <w:jc w:val="right"/>
              <w:rPr>
                <w:rFonts w:eastAsia="Times New Roman" w:cstheme="minorHAnsi"/>
                <w:color w:val="000000"/>
                <w:sz w:val="20"/>
                <w:szCs w:val="20"/>
                <w:lang w:eastAsia="en-NZ"/>
              </w:rPr>
            </w:pPr>
          </w:p>
        </w:tc>
        <w:tc>
          <w:tcPr>
            <w:tcW w:w="1062" w:type="dxa"/>
            <w:tcBorders>
              <w:top w:val="single" w:sz="4" w:space="0" w:color="00B0F0"/>
              <w:left w:val="single" w:sz="4" w:space="0" w:color="00B0F0"/>
              <w:bottom w:val="nil"/>
              <w:right w:val="single" w:sz="4" w:space="0" w:color="00B0F0"/>
            </w:tcBorders>
            <w:shd w:val="clear" w:color="auto" w:fill="auto"/>
            <w:noWrap/>
            <w:hideMark/>
          </w:tcPr>
          <w:p w:rsidR="00C67B7D" w:rsidRPr="001244BB" w:rsidRDefault="00C67B7D" w:rsidP="0035318B">
            <w:pPr>
              <w:spacing w:after="0" w:line="240" w:lineRule="auto"/>
              <w:jc w:val="right"/>
              <w:rPr>
                <w:rFonts w:eastAsia="Times New Roman" w:cstheme="minorHAnsi"/>
                <w:color w:val="000000"/>
                <w:sz w:val="20"/>
                <w:szCs w:val="20"/>
                <w:lang w:eastAsia="en-NZ"/>
              </w:rPr>
            </w:pPr>
            <w:r w:rsidRPr="001244BB">
              <w:rPr>
                <w:rFonts w:eastAsia="Times New Roman" w:cstheme="minorHAnsi"/>
                <w:color w:val="000000"/>
                <w:sz w:val="20"/>
                <w:szCs w:val="20"/>
                <w:lang w:eastAsia="en-NZ"/>
              </w:rPr>
              <w:t>New</w:t>
            </w:r>
          </w:p>
        </w:tc>
        <w:tc>
          <w:tcPr>
            <w:tcW w:w="1061" w:type="dxa"/>
            <w:tcBorders>
              <w:top w:val="single" w:sz="4" w:space="0" w:color="00B0F0"/>
              <w:left w:val="single" w:sz="4" w:space="0" w:color="00B0F0"/>
              <w:bottom w:val="nil"/>
              <w:right w:val="single" w:sz="4" w:space="0" w:color="00B0F0"/>
            </w:tcBorders>
            <w:shd w:val="clear" w:color="auto" w:fill="auto"/>
            <w:noWrap/>
            <w:hideMark/>
          </w:tcPr>
          <w:p w:rsidR="00C67B7D" w:rsidRPr="001244BB" w:rsidRDefault="00C67B7D" w:rsidP="0035318B">
            <w:pPr>
              <w:spacing w:after="0" w:line="240" w:lineRule="auto"/>
              <w:jc w:val="right"/>
              <w:rPr>
                <w:rFonts w:eastAsia="Times New Roman" w:cstheme="minorHAnsi"/>
                <w:color w:val="000000"/>
                <w:sz w:val="20"/>
                <w:szCs w:val="20"/>
                <w:lang w:eastAsia="en-NZ"/>
              </w:rPr>
            </w:pPr>
            <w:r w:rsidRPr="001244BB">
              <w:rPr>
                <w:rFonts w:eastAsia="Times New Roman" w:cstheme="minorHAnsi"/>
                <w:color w:val="000000"/>
                <w:sz w:val="20"/>
                <w:szCs w:val="20"/>
                <w:lang w:eastAsia="en-NZ"/>
              </w:rPr>
              <w:t>97%</w:t>
            </w:r>
          </w:p>
        </w:tc>
        <w:tc>
          <w:tcPr>
            <w:tcW w:w="1062" w:type="dxa"/>
            <w:tcBorders>
              <w:top w:val="single" w:sz="4" w:space="0" w:color="00B0F0"/>
              <w:left w:val="single" w:sz="4" w:space="0" w:color="00B0F0"/>
              <w:bottom w:val="nil"/>
              <w:right w:val="single" w:sz="4" w:space="0" w:color="00B0F0"/>
            </w:tcBorders>
            <w:shd w:val="clear" w:color="000000" w:fill="D9D9D9"/>
            <w:hideMark/>
          </w:tcPr>
          <w:p w:rsidR="00C67B7D" w:rsidRPr="001244BB" w:rsidRDefault="00C67B7D" w:rsidP="0035318B">
            <w:pPr>
              <w:spacing w:after="0" w:line="240" w:lineRule="auto"/>
              <w:jc w:val="right"/>
              <w:rPr>
                <w:rFonts w:eastAsia="Times New Roman" w:cstheme="minorHAnsi"/>
                <w:color w:val="000000"/>
                <w:sz w:val="20"/>
                <w:szCs w:val="20"/>
                <w:lang w:eastAsia="en-NZ"/>
              </w:rPr>
            </w:pPr>
            <w:r w:rsidRPr="001244BB">
              <w:rPr>
                <w:rFonts w:eastAsia="Times New Roman" w:cstheme="minorHAnsi"/>
                <w:color w:val="000000"/>
                <w:sz w:val="20"/>
                <w:szCs w:val="20"/>
                <w:lang w:eastAsia="en-NZ"/>
              </w:rPr>
              <w:t>Baseline</w:t>
            </w:r>
          </w:p>
        </w:tc>
        <w:tc>
          <w:tcPr>
            <w:tcW w:w="857" w:type="dxa"/>
            <w:tcBorders>
              <w:top w:val="single" w:sz="4" w:space="0" w:color="00B0F0"/>
              <w:left w:val="single" w:sz="4" w:space="0" w:color="00B0F0"/>
              <w:bottom w:val="nil"/>
              <w:right w:val="single" w:sz="4" w:space="0" w:color="00B0F0"/>
            </w:tcBorders>
            <w:shd w:val="clear" w:color="auto" w:fill="auto"/>
            <w:noWrap/>
            <w:hideMark/>
          </w:tcPr>
          <w:p w:rsidR="00C67B7D" w:rsidRPr="001244BB" w:rsidRDefault="00C67B7D" w:rsidP="0035318B">
            <w:pPr>
              <w:spacing w:after="0" w:line="240" w:lineRule="auto"/>
              <w:jc w:val="right"/>
              <w:rPr>
                <w:rFonts w:eastAsia="Times New Roman" w:cstheme="minorHAnsi"/>
                <w:color w:val="000000"/>
                <w:sz w:val="20"/>
                <w:szCs w:val="20"/>
                <w:lang w:eastAsia="en-NZ"/>
              </w:rPr>
            </w:pPr>
          </w:p>
        </w:tc>
        <w:tc>
          <w:tcPr>
            <w:tcW w:w="1101" w:type="dxa"/>
            <w:tcBorders>
              <w:top w:val="single" w:sz="4" w:space="0" w:color="00B0F0"/>
              <w:left w:val="single" w:sz="4" w:space="0" w:color="00B0F0"/>
              <w:bottom w:val="nil"/>
              <w:right w:val="single" w:sz="4" w:space="0" w:color="00B0F0"/>
            </w:tcBorders>
            <w:shd w:val="clear" w:color="auto" w:fill="auto"/>
            <w:hideMark/>
          </w:tcPr>
          <w:p w:rsidR="00C67B7D" w:rsidRPr="001244BB" w:rsidRDefault="00C67B7D" w:rsidP="0035318B">
            <w:pPr>
              <w:spacing w:after="0" w:line="240" w:lineRule="auto"/>
              <w:jc w:val="right"/>
              <w:rPr>
                <w:rFonts w:eastAsia="Times New Roman" w:cstheme="minorHAnsi"/>
                <w:color w:val="000000"/>
                <w:sz w:val="20"/>
                <w:szCs w:val="20"/>
                <w:lang w:eastAsia="en-NZ"/>
              </w:rPr>
            </w:pPr>
          </w:p>
        </w:tc>
        <w:tc>
          <w:tcPr>
            <w:tcW w:w="4427" w:type="dxa"/>
            <w:tcBorders>
              <w:top w:val="single" w:sz="4" w:space="0" w:color="00B0F0"/>
              <w:left w:val="single" w:sz="4" w:space="0" w:color="00B0F0"/>
              <w:bottom w:val="nil"/>
            </w:tcBorders>
            <w:shd w:val="clear" w:color="auto" w:fill="auto"/>
            <w:hideMark/>
          </w:tcPr>
          <w:p w:rsidR="00C67B7D" w:rsidRPr="001244BB" w:rsidRDefault="00C67B7D" w:rsidP="0035318B">
            <w:pPr>
              <w:spacing w:after="0" w:line="240" w:lineRule="auto"/>
              <w:jc w:val="right"/>
              <w:rPr>
                <w:rFonts w:eastAsia="Times New Roman" w:cstheme="minorHAnsi"/>
                <w:color w:val="000000"/>
                <w:sz w:val="20"/>
                <w:szCs w:val="20"/>
                <w:lang w:eastAsia="en-NZ"/>
              </w:rPr>
            </w:pPr>
          </w:p>
        </w:tc>
      </w:tr>
      <w:tr w:rsidR="00C67B7D" w:rsidRPr="001244BB" w:rsidTr="0035318B">
        <w:trPr>
          <w:trHeight w:val="315"/>
        </w:trPr>
        <w:tc>
          <w:tcPr>
            <w:tcW w:w="13750" w:type="dxa"/>
            <w:gridSpan w:val="8"/>
            <w:tcBorders>
              <w:top w:val="nil"/>
              <w:left w:val="nil"/>
              <w:bottom w:val="nil"/>
            </w:tcBorders>
            <w:shd w:val="clear" w:color="000000" w:fill="0070C0"/>
            <w:noWrap/>
            <w:hideMark/>
          </w:tcPr>
          <w:p w:rsidR="00C67B7D" w:rsidRPr="00970F80" w:rsidRDefault="00C67B7D" w:rsidP="0035318B">
            <w:pPr>
              <w:spacing w:after="0"/>
              <w:ind w:left="720" w:hanging="720"/>
              <w:rPr>
                <w:rFonts w:eastAsia="Times New Roman" w:cstheme="minorHAnsi"/>
                <w:b/>
                <w:bCs/>
                <w:color w:val="FFFFFF"/>
                <w:sz w:val="24"/>
                <w:szCs w:val="20"/>
                <w:lang w:eastAsia="en-NZ"/>
              </w:rPr>
            </w:pPr>
            <w:r w:rsidRPr="001244BB">
              <w:rPr>
                <w:rFonts w:eastAsia="Times New Roman" w:cstheme="minorHAnsi"/>
                <w:b/>
                <w:bCs/>
                <w:color w:val="FFFFFF"/>
                <w:sz w:val="24"/>
                <w:szCs w:val="20"/>
                <w:lang w:eastAsia="en-NZ"/>
              </w:rPr>
              <w:t>1.2 Rangapū Māori/Mana Whenua | Māori and mana whenua partnerships</w:t>
            </w:r>
          </w:p>
        </w:tc>
      </w:tr>
      <w:tr w:rsidR="00C67B7D" w:rsidRPr="001244BB" w:rsidTr="0035318B">
        <w:trPr>
          <w:trHeight w:val="319"/>
        </w:trPr>
        <w:tc>
          <w:tcPr>
            <w:tcW w:w="13750" w:type="dxa"/>
            <w:gridSpan w:val="8"/>
            <w:tcBorders>
              <w:top w:val="nil"/>
              <w:left w:val="nil"/>
              <w:bottom w:val="nil"/>
            </w:tcBorders>
            <w:shd w:val="clear" w:color="auto" w:fill="C6D9F1" w:themeFill="text2" w:themeFillTint="33"/>
            <w:hideMark/>
          </w:tcPr>
          <w:p w:rsidR="00C67B7D" w:rsidRPr="001244BB" w:rsidRDefault="00C67B7D" w:rsidP="0035318B">
            <w:pPr>
              <w:spacing w:after="0" w:line="240" w:lineRule="auto"/>
              <w:rPr>
                <w:rFonts w:eastAsia="Times New Roman" w:cstheme="minorHAnsi"/>
                <w:sz w:val="20"/>
                <w:szCs w:val="20"/>
                <w:lang w:eastAsia="en-NZ"/>
              </w:rPr>
            </w:pPr>
            <w:r w:rsidRPr="001244BB">
              <w:rPr>
                <w:rFonts w:eastAsia="Times New Roman" w:cstheme="minorHAnsi"/>
                <w:b/>
                <w:sz w:val="20"/>
                <w:szCs w:val="20"/>
                <w:lang w:eastAsia="en-NZ"/>
              </w:rPr>
              <w:t>Relationship with mana whenua</w:t>
            </w:r>
          </w:p>
        </w:tc>
      </w:tr>
      <w:tr w:rsidR="00C67B7D" w:rsidRPr="001244BB" w:rsidTr="0035318B">
        <w:trPr>
          <w:trHeight w:val="525"/>
        </w:trPr>
        <w:tc>
          <w:tcPr>
            <w:tcW w:w="3119" w:type="dxa"/>
            <w:tcBorders>
              <w:top w:val="nil"/>
              <w:left w:val="nil"/>
              <w:bottom w:val="single" w:sz="4" w:space="0" w:color="00B0F0"/>
              <w:right w:val="single" w:sz="4" w:space="0" w:color="00B0F0"/>
            </w:tcBorders>
            <w:shd w:val="clear" w:color="auto" w:fill="auto"/>
            <w:hideMark/>
          </w:tcPr>
          <w:p w:rsidR="00C67B7D" w:rsidRPr="001244BB" w:rsidRDefault="00C67B7D" w:rsidP="0035318B">
            <w:pPr>
              <w:spacing w:after="0" w:line="240" w:lineRule="auto"/>
              <w:rPr>
                <w:rFonts w:eastAsia="Times New Roman" w:cstheme="minorHAnsi"/>
                <w:color w:val="000000"/>
                <w:sz w:val="20"/>
                <w:szCs w:val="20"/>
                <w:lang w:eastAsia="en-NZ"/>
              </w:rPr>
            </w:pPr>
            <w:r w:rsidRPr="001244BB">
              <w:rPr>
                <w:rFonts w:eastAsia="Times New Roman" w:cstheme="minorHAnsi"/>
                <w:color w:val="000000"/>
                <w:sz w:val="20"/>
                <w:szCs w:val="20"/>
                <w:lang w:eastAsia="en-NZ"/>
              </w:rPr>
              <w:t>Mana whenua satisfaction with their relationship with Wellington City Council</w:t>
            </w:r>
          </w:p>
        </w:tc>
        <w:tc>
          <w:tcPr>
            <w:tcW w:w="1061" w:type="dxa"/>
            <w:tcBorders>
              <w:top w:val="nil"/>
              <w:left w:val="single" w:sz="4" w:space="0" w:color="00B0F0"/>
              <w:bottom w:val="single" w:sz="4" w:space="0" w:color="00B0F0"/>
              <w:right w:val="single" w:sz="4" w:space="0" w:color="00B0F0"/>
            </w:tcBorders>
            <w:shd w:val="clear" w:color="auto" w:fill="auto"/>
            <w:noWrap/>
            <w:hideMark/>
          </w:tcPr>
          <w:p w:rsidR="00C67B7D" w:rsidRPr="001244BB" w:rsidRDefault="00C67B7D" w:rsidP="0035318B">
            <w:pPr>
              <w:spacing w:after="0" w:line="240" w:lineRule="auto"/>
              <w:jc w:val="right"/>
              <w:rPr>
                <w:rFonts w:eastAsia="Times New Roman" w:cstheme="minorHAnsi"/>
                <w:color w:val="000000"/>
                <w:sz w:val="20"/>
                <w:szCs w:val="20"/>
                <w:lang w:eastAsia="en-NZ"/>
              </w:rPr>
            </w:pPr>
            <w:r w:rsidRPr="001244BB">
              <w:rPr>
                <w:rFonts w:eastAsia="Times New Roman" w:cstheme="minorHAnsi"/>
                <w:color w:val="000000"/>
                <w:sz w:val="20"/>
                <w:szCs w:val="20"/>
                <w:lang w:eastAsia="en-NZ"/>
              </w:rPr>
              <w:t>Satisfied</w:t>
            </w:r>
          </w:p>
        </w:tc>
        <w:tc>
          <w:tcPr>
            <w:tcW w:w="1062" w:type="dxa"/>
            <w:tcBorders>
              <w:top w:val="nil"/>
              <w:left w:val="single" w:sz="4" w:space="0" w:color="00B0F0"/>
              <w:bottom w:val="single" w:sz="4" w:space="0" w:color="00B0F0"/>
              <w:right w:val="single" w:sz="4" w:space="0" w:color="00B0F0"/>
            </w:tcBorders>
            <w:shd w:val="clear" w:color="auto" w:fill="auto"/>
            <w:noWrap/>
            <w:hideMark/>
          </w:tcPr>
          <w:p w:rsidR="00C67B7D" w:rsidRPr="001244BB" w:rsidRDefault="00C67B7D" w:rsidP="0035318B">
            <w:pPr>
              <w:spacing w:after="0" w:line="240" w:lineRule="auto"/>
              <w:jc w:val="right"/>
              <w:rPr>
                <w:rFonts w:eastAsia="Times New Roman" w:cstheme="minorHAnsi"/>
                <w:color w:val="000000"/>
                <w:sz w:val="20"/>
                <w:szCs w:val="20"/>
                <w:lang w:eastAsia="en-NZ"/>
              </w:rPr>
            </w:pPr>
            <w:r w:rsidRPr="001244BB">
              <w:rPr>
                <w:rFonts w:eastAsia="Times New Roman" w:cstheme="minorHAnsi"/>
                <w:color w:val="000000"/>
                <w:sz w:val="20"/>
                <w:szCs w:val="20"/>
                <w:lang w:eastAsia="en-NZ"/>
              </w:rPr>
              <w:t>Satisfied</w:t>
            </w:r>
          </w:p>
        </w:tc>
        <w:tc>
          <w:tcPr>
            <w:tcW w:w="1061" w:type="dxa"/>
            <w:tcBorders>
              <w:top w:val="nil"/>
              <w:left w:val="single" w:sz="4" w:space="0" w:color="00B0F0"/>
              <w:bottom w:val="single" w:sz="4" w:space="0" w:color="00B0F0"/>
              <w:right w:val="single" w:sz="4" w:space="0" w:color="00B0F0"/>
            </w:tcBorders>
            <w:shd w:val="clear" w:color="auto" w:fill="auto"/>
            <w:hideMark/>
          </w:tcPr>
          <w:p w:rsidR="00C67B7D" w:rsidRPr="001244BB" w:rsidRDefault="00C67B7D" w:rsidP="0035318B">
            <w:pPr>
              <w:spacing w:after="0" w:line="240" w:lineRule="auto"/>
              <w:jc w:val="right"/>
              <w:rPr>
                <w:rFonts w:eastAsia="Times New Roman" w:cstheme="minorHAnsi"/>
                <w:color w:val="000000"/>
                <w:sz w:val="20"/>
                <w:szCs w:val="20"/>
                <w:lang w:eastAsia="en-NZ"/>
              </w:rPr>
            </w:pPr>
            <w:r w:rsidRPr="001244BB">
              <w:rPr>
                <w:rFonts w:eastAsia="Times New Roman" w:cstheme="minorHAnsi"/>
                <w:color w:val="000000"/>
                <w:sz w:val="20"/>
                <w:szCs w:val="20"/>
                <w:lang w:eastAsia="en-NZ"/>
              </w:rPr>
              <w:t>Both parties satisfied</w:t>
            </w:r>
          </w:p>
        </w:tc>
        <w:tc>
          <w:tcPr>
            <w:tcW w:w="1062" w:type="dxa"/>
            <w:tcBorders>
              <w:top w:val="nil"/>
              <w:left w:val="single" w:sz="4" w:space="0" w:color="00B0F0"/>
              <w:bottom w:val="single" w:sz="4" w:space="0" w:color="00B0F0"/>
              <w:right w:val="single" w:sz="4" w:space="0" w:color="00B0F0"/>
            </w:tcBorders>
            <w:shd w:val="clear" w:color="000000" w:fill="D9D9D9"/>
            <w:hideMark/>
          </w:tcPr>
          <w:p w:rsidR="00C67B7D" w:rsidRPr="001244BB" w:rsidRDefault="00C67B7D" w:rsidP="0035318B">
            <w:pPr>
              <w:spacing w:after="0" w:line="240" w:lineRule="auto"/>
              <w:jc w:val="right"/>
              <w:rPr>
                <w:rFonts w:eastAsia="Times New Roman" w:cstheme="minorHAnsi"/>
                <w:color w:val="000000"/>
                <w:sz w:val="20"/>
                <w:szCs w:val="20"/>
                <w:lang w:eastAsia="en-NZ"/>
              </w:rPr>
            </w:pPr>
            <w:r w:rsidRPr="001244BB">
              <w:rPr>
                <w:rFonts w:eastAsia="Times New Roman" w:cstheme="minorHAnsi"/>
                <w:color w:val="000000"/>
                <w:sz w:val="20"/>
                <w:szCs w:val="20"/>
                <w:lang w:eastAsia="en-NZ"/>
              </w:rPr>
              <w:t>Satisfied</w:t>
            </w:r>
          </w:p>
        </w:tc>
        <w:tc>
          <w:tcPr>
            <w:tcW w:w="857" w:type="dxa"/>
            <w:tcBorders>
              <w:top w:val="nil"/>
              <w:left w:val="single" w:sz="4" w:space="0" w:color="00B0F0"/>
              <w:bottom w:val="single" w:sz="4" w:space="0" w:color="00B0F0"/>
              <w:right w:val="single" w:sz="4" w:space="0" w:color="00B0F0"/>
            </w:tcBorders>
            <w:shd w:val="clear" w:color="auto" w:fill="auto"/>
            <w:hideMark/>
          </w:tcPr>
          <w:p w:rsidR="00C67B7D" w:rsidRPr="001244BB" w:rsidRDefault="00C67B7D" w:rsidP="0035318B">
            <w:pPr>
              <w:spacing w:after="0" w:line="240" w:lineRule="auto"/>
              <w:jc w:val="right"/>
              <w:rPr>
                <w:rFonts w:eastAsia="Times New Roman" w:cstheme="minorHAnsi"/>
                <w:color w:val="000000"/>
                <w:sz w:val="20"/>
                <w:szCs w:val="20"/>
                <w:lang w:eastAsia="en-NZ"/>
              </w:rPr>
            </w:pPr>
            <w:r w:rsidRPr="001244BB">
              <w:rPr>
                <w:rFonts w:eastAsia="Times New Roman" w:cstheme="minorHAnsi"/>
                <w:color w:val="000000"/>
                <w:sz w:val="20"/>
                <w:szCs w:val="20"/>
                <w:lang w:eastAsia="en-NZ"/>
              </w:rPr>
              <w:t>0%</w:t>
            </w:r>
          </w:p>
        </w:tc>
        <w:tc>
          <w:tcPr>
            <w:tcW w:w="1101" w:type="dxa"/>
            <w:tcBorders>
              <w:top w:val="nil"/>
              <w:left w:val="single" w:sz="4" w:space="0" w:color="00B0F0"/>
              <w:bottom w:val="single" w:sz="4" w:space="0" w:color="00B0F0"/>
              <w:right w:val="single" w:sz="4" w:space="0" w:color="00B0F0"/>
            </w:tcBorders>
            <w:shd w:val="clear" w:color="auto" w:fill="auto"/>
            <w:hideMark/>
          </w:tcPr>
          <w:p w:rsidR="00C67B7D" w:rsidRPr="001244BB" w:rsidRDefault="00EF073E" w:rsidP="0035318B">
            <w:pPr>
              <w:spacing w:after="0" w:line="240" w:lineRule="auto"/>
              <w:jc w:val="right"/>
              <w:rPr>
                <w:rFonts w:eastAsia="Times New Roman" w:cstheme="minorHAnsi"/>
                <w:color w:val="000000"/>
                <w:sz w:val="20"/>
                <w:szCs w:val="20"/>
                <w:lang w:eastAsia="en-NZ"/>
              </w:rPr>
            </w:pPr>
            <w:r>
              <w:rPr>
                <w:rFonts w:eastAsia="Times New Roman" w:cstheme="minorHAnsi"/>
                <w:color w:val="000000"/>
                <w:sz w:val="20"/>
                <w:szCs w:val="20"/>
                <w:lang w:eastAsia="en-NZ"/>
              </w:rPr>
              <w:t>Within 10%</w:t>
            </w:r>
          </w:p>
        </w:tc>
        <w:tc>
          <w:tcPr>
            <w:tcW w:w="4427" w:type="dxa"/>
            <w:tcBorders>
              <w:top w:val="nil"/>
              <w:left w:val="single" w:sz="4" w:space="0" w:color="00B0F0"/>
              <w:bottom w:val="single" w:sz="4" w:space="0" w:color="00B0F0"/>
            </w:tcBorders>
            <w:shd w:val="clear" w:color="auto" w:fill="auto"/>
            <w:hideMark/>
          </w:tcPr>
          <w:p w:rsidR="00C67B7D" w:rsidRPr="001244BB" w:rsidRDefault="00C67B7D" w:rsidP="0035318B">
            <w:pPr>
              <w:spacing w:after="0" w:line="240" w:lineRule="auto"/>
              <w:jc w:val="right"/>
              <w:rPr>
                <w:rFonts w:eastAsia="Times New Roman" w:cstheme="minorHAnsi"/>
                <w:color w:val="000000"/>
                <w:sz w:val="20"/>
                <w:szCs w:val="20"/>
                <w:lang w:eastAsia="en-NZ"/>
              </w:rPr>
            </w:pPr>
          </w:p>
        </w:tc>
      </w:tr>
      <w:tr w:rsidR="00C67B7D" w:rsidRPr="001244BB" w:rsidTr="0035318B">
        <w:trPr>
          <w:trHeight w:val="1545"/>
        </w:trPr>
        <w:tc>
          <w:tcPr>
            <w:tcW w:w="3119" w:type="dxa"/>
            <w:tcBorders>
              <w:top w:val="single" w:sz="4" w:space="0" w:color="00B0F0"/>
              <w:left w:val="nil"/>
              <w:bottom w:val="nil"/>
              <w:right w:val="single" w:sz="4" w:space="0" w:color="00B0F0"/>
            </w:tcBorders>
            <w:shd w:val="clear" w:color="auto" w:fill="auto"/>
            <w:hideMark/>
          </w:tcPr>
          <w:p w:rsidR="00C67B7D" w:rsidRPr="001244BB" w:rsidRDefault="00C67B7D" w:rsidP="0035318B">
            <w:pPr>
              <w:spacing w:after="0" w:line="240" w:lineRule="auto"/>
              <w:rPr>
                <w:rFonts w:eastAsia="Times New Roman" w:cstheme="minorHAnsi"/>
                <w:color w:val="000000"/>
                <w:sz w:val="20"/>
                <w:szCs w:val="20"/>
                <w:lang w:eastAsia="en-NZ"/>
              </w:rPr>
            </w:pPr>
            <w:r w:rsidRPr="001244BB">
              <w:rPr>
                <w:rFonts w:eastAsia="Times New Roman" w:cstheme="minorHAnsi"/>
                <w:color w:val="000000"/>
                <w:sz w:val="20"/>
                <w:szCs w:val="20"/>
                <w:lang w:eastAsia="en-NZ"/>
              </w:rPr>
              <w:t>The extent to which (how satisfied) mana whenua partners believe (are) the Council is meeting its obligations under Te Tiriti o Waitangi with respect to Partnership, Protection and Participation (narrative-based measure based on interviews)</w:t>
            </w:r>
          </w:p>
        </w:tc>
        <w:tc>
          <w:tcPr>
            <w:tcW w:w="1061" w:type="dxa"/>
            <w:tcBorders>
              <w:top w:val="single" w:sz="4" w:space="0" w:color="00B0F0"/>
              <w:left w:val="single" w:sz="4" w:space="0" w:color="00B0F0"/>
              <w:bottom w:val="nil"/>
              <w:right w:val="single" w:sz="4" w:space="0" w:color="00B0F0"/>
            </w:tcBorders>
            <w:shd w:val="clear" w:color="auto" w:fill="auto"/>
            <w:noWrap/>
            <w:hideMark/>
          </w:tcPr>
          <w:p w:rsidR="00C67B7D" w:rsidRPr="001244BB" w:rsidRDefault="00C67B7D" w:rsidP="0035318B">
            <w:pPr>
              <w:spacing w:after="0" w:line="240" w:lineRule="auto"/>
              <w:jc w:val="right"/>
              <w:rPr>
                <w:rFonts w:eastAsia="Times New Roman" w:cstheme="minorHAnsi"/>
                <w:color w:val="000000"/>
                <w:sz w:val="20"/>
                <w:szCs w:val="20"/>
                <w:lang w:eastAsia="en-NZ"/>
              </w:rPr>
            </w:pPr>
          </w:p>
        </w:tc>
        <w:tc>
          <w:tcPr>
            <w:tcW w:w="1062" w:type="dxa"/>
            <w:tcBorders>
              <w:top w:val="single" w:sz="4" w:space="0" w:color="00B0F0"/>
              <w:left w:val="single" w:sz="4" w:space="0" w:color="00B0F0"/>
              <w:bottom w:val="nil"/>
              <w:right w:val="single" w:sz="4" w:space="0" w:color="00B0F0"/>
            </w:tcBorders>
            <w:shd w:val="clear" w:color="auto" w:fill="auto"/>
            <w:hideMark/>
          </w:tcPr>
          <w:p w:rsidR="00C67B7D" w:rsidRPr="001244BB" w:rsidRDefault="00C67B7D" w:rsidP="0035318B">
            <w:pPr>
              <w:spacing w:after="0" w:line="240" w:lineRule="auto"/>
              <w:jc w:val="right"/>
              <w:rPr>
                <w:rFonts w:eastAsia="Times New Roman" w:cstheme="minorHAnsi"/>
                <w:color w:val="000000"/>
                <w:sz w:val="20"/>
                <w:szCs w:val="20"/>
                <w:lang w:eastAsia="en-NZ"/>
              </w:rPr>
            </w:pPr>
            <w:r w:rsidRPr="001244BB">
              <w:rPr>
                <w:rFonts w:eastAsia="Times New Roman" w:cstheme="minorHAnsi"/>
                <w:color w:val="000000"/>
                <w:sz w:val="20"/>
                <w:szCs w:val="20"/>
                <w:lang w:eastAsia="en-NZ"/>
              </w:rPr>
              <w:t>New</w:t>
            </w:r>
          </w:p>
        </w:tc>
        <w:tc>
          <w:tcPr>
            <w:tcW w:w="1061" w:type="dxa"/>
            <w:tcBorders>
              <w:top w:val="single" w:sz="4" w:space="0" w:color="00B0F0"/>
              <w:left w:val="single" w:sz="4" w:space="0" w:color="00B0F0"/>
              <w:bottom w:val="nil"/>
              <w:right w:val="single" w:sz="4" w:space="0" w:color="00B0F0"/>
            </w:tcBorders>
            <w:shd w:val="clear" w:color="auto" w:fill="auto"/>
            <w:hideMark/>
          </w:tcPr>
          <w:p w:rsidR="00C67B7D" w:rsidRPr="001244BB" w:rsidRDefault="00C67B7D" w:rsidP="0035318B">
            <w:pPr>
              <w:spacing w:after="0" w:line="240" w:lineRule="auto"/>
              <w:jc w:val="right"/>
              <w:rPr>
                <w:rFonts w:eastAsia="Times New Roman" w:cstheme="minorHAnsi"/>
                <w:color w:val="000000"/>
                <w:sz w:val="20"/>
                <w:szCs w:val="20"/>
                <w:lang w:eastAsia="en-NZ"/>
              </w:rPr>
            </w:pPr>
            <w:r w:rsidRPr="001244BB">
              <w:rPr>
                <w:rFonts w:eastAsia="Times New Roman" w:cstheme="minorHAnsi"/>
                <w:color w:val="000000"/>
                <w:sz w:val="20"/>
                <w:szCs w:val="20"/>
                <w:lang w:eastAsia="en-NZ"/>
              </w:rPr>
              <w:t xml:space="preserve">Both parties somewhat satisfied </w:t>
            </w:r>
          </w:p>
        </w:tc>
        <w:tc>
          <w:tcPr>
            <w:tcW w:w="1062" w:type="dxa"/>
            <w:tcBorders>
              <w:top w:val="single" w:sz="4" w:space="0" w:color="00B0F0"/>
              <w:left w:val="single" w:sz="4" w:space="0" w:color="00B0F0"/>
              <w:bottom w:val="nil"/>
              <w:right w:val="single" w:sz="4" w:space="0" w:color="00B0F0"/>
            </w:tcBorders>
            <w:shd w:val="clear" w:color="000000" w:fill="D9D9D9"/>
            <w:hideMark/>
          </w:tcPr>
          <w:p w:rsidR="00C67B7D" w:rsidRPr="001244BB" w:rsidRDefault="00C67B7D" w:rsidP="0035318B">
            <w:pPr>
              <w:spacing w:after="0" w:line="240" w:lineRule="auto"/>
              <w:jc w:val="right"/>
              <w:rPr>
                <w:rFonts w:eastAsia="Times New Roman" w:cstheme="minorHAnsi"/>
                <w:color w:val="000000"/>
                <w:sz w:val="20"/>
                <w:szCs w:val="20"/>
                <w:lang w:eastAsia="en-NZ"/>
              </w:rPr>
            </w:pPr>
            <w:r w:rsidRPr="001244BB">
              <w:rPr>
                <w:rFonts w:eastAsia="Times New Roman" w:cstheme="minorHAnsi"/>
                <w:color w:val="000000"/>
                <w:sz w:val="20"/>
                <w:szCs w:val="20"/>
                <w:lang w:eastAsia="en-NZ"/>
              </w:rPr>
              <w:t>Satisfied</w:t>
            </w:r>
          </w:p>
        </w:tc>
        <w:tc>
          <w:tcPr>
            <w:tcW w:w="857" w:type="dxa"/>
            <w:tcBorders>
              <w:top w:val="single" w:sz="4" w:space="0" w:color="00B0F0"/>
              <w:left w:val="single" w:sz="4" w:space="0" w:color="00B0F0"/>
              <w:bottom w:val="nil"/>
              <w:right w:val="single" w:sz="4" w:space="0" w:color="00B0F0"/>
            </w:tcBorders>
            <w:shd w:val="clear" w:color="auto" w:fill="auto"/>
            <w:hideMark/>
          </w:tcPr>
          <w:p w:rsidR="00C67B7D" w:rsidRPr="001244BB" w:rsidRDefault="00C67B7D" w:rsidP="0035318B">
            <w:pPr>
              <w:spacing w:after="0" w:line="240" w:lineRule="auto"/>
              <w:jc w:val="right"/>
              <w:rPr>
                <w:rFonts w:eastAsia="Times New Roman" w:cstheme="minorHAnsi"/>
                <w:sz w:val="20"/>
                <w:szCs w:val="20"/>
                <w:lang w:eastAsia="en-NZ"/>
              </w:rPr>
            </w:pPr>
            <w:r w:rsidRPr="001244BB">
              <w:rPr>
                <w:rFonts w:eastAsia="Times New Roman" w:cstheme="minorHAnsi"/>
                <w:sz w:val="20"/>
                <w:szCs w:val="20"/>
                <w:lang w:eastAsia="en-NZ"/>
              </w:rPr>
              <w:t>less satisfied</w:t>
            </w:r>
          </w:p>
        </w:tc>
        <w:tc>
          <w:tcPr>
            <w:tcW w:w="1101" w:type="dxa"/>
            <w:tcBorders>
              <w:top w:val="single" w:sz="4" w:space="0" w:color="00B0F0"/>
              <w:left w:val="single" w:sz="4" w:space="0" w:color="00B0F0"/>
              <w:bottom w:val="nil"/>
              <w:right w:val="single" w:sz="4" w:space="0" w:color="00B0F0"/>
            </w:tcBorders>
            <w:shd w:val="clear" w:color="auto" w:fill="auto"/>
            <w:hideMark/>
          </w:tcPr>
          <w:p w:rsidR="00C67B7D" w:rsidRPr="001244BB" w:rsidRDefault="00EF073E" w:rsidP="0035318B">
            <w:pPr>
              <w:spacing w:after="0" w:line="240" w:lineRule="auto"/>
              <w:jc w:val="right"/>
              <w:rPr>
                <w:rFonts w:eastAsia="Times New Roman" w:cstheme="minorHAnsi"/>
                <w:sz w:val="20"/>
                <w:szCs w:val="20"/>
                <w:lang w:eastAsia="en-NZ"/>
              </w:rPr>
            </w:pPr>
            <w:r>
              <w:rPr>
                <w:rFonts w:eastAsia="Times New Roman" w:cstheme="minorHAnsi"/>
                <w:color w:val="000000"/>
                <w:sz w:val="20"/>
                <w:szCs w:val="20"/>
                <w:lang w:eastAsia="en-NZ"/>
              </w:rPr>
              <w:t>Within 10%</w:t>
            </w:r>
          </w:p>
        </w:tc>
        <w:tc>
          <w:tcPr>
            <w:tcW w:w="4427" w:type="dxa"/>
            <w:tcBorders>
              <w:top w:val="single" w:sz="4" w:space="0" w:color="00B0F0"/>
              <w:left w:val="single" w:sz="4" w:space="0" w:color="00B0F0"/>
              <w:bottom w:val="nil"/>
            </w:tcBorders>
            <w:shd w:val="clear" w:color="auto" w:fill="FFFFFF" w:themeFill="background1"/>
            <w:hideMark/>
          </w:tcPr>
          <w:p w:rsidR="00C67B7D" w:rsidRPr="001244BB" w:rsidRDefault="00C67B7D" w:rsidP="0035318B">
            <w:pPr>
              <w:spacing w:after="0" w:line="240" w:lineRule="auto"/>
              <w:rPr>
                <w:rFonts w:eastAsia="Times New Roman" w:cstheme="minorHAnsi"/>
                <w:color w:val="000000"/>
                <w:sz w:val="20"/>
                <w:szCs w:val="20"/>
                <w:lang w:eastAsia="en-NZ"/>
              </w:rPr>
            </w:pPr>
          </w:p>
        </w:tc>
      </w:tr>
      <w:tr w:rsidR="00C67B7D" w:rsidRPr="001244BB" w:rsidTr="0035318B">
        <w:trPr>
          <w:trHeight w:val="315"/>
        </w:trPr>
        <w:tc>
          <w:tcPr>
            <w:tcW w:w="13750" w:type="dxa"/>
            <w:gridSpan w:val="8"/>
            <w:tcBorders>
              <w:top w:val="nil"/>
              <w:left w:val="nil"/>
              <w:bottom w:val="nil"/>
            </w:tcBorders>
            <w:shd w:val="clear" w:color="auto" w:fill="C6D9F1" w:themeFill="text2" w:themeFillTint="33"/>
            <w:hideMark/>
          </w:tcPr>
          <w:p w:rsidR="00C67B7D" w:rsidRPr="001244BB" w:rsidRDefault="00C67B7D" w:rsidP="0035318B">
            <w:pPr>
              <w:spacing w:after="0" w:line="240" w:lineRule="auto"/>
              <w:rPr>
                <w:rFonts w:eastAsia="Times New Roman" w:cstheme="minorHAnsi"/>
                <w:b/>
                <w:sz w:val="20"/>
                <w:szCs w:val="20"/>
                <w:lang w:eastAsia="en-NZ"/>
              </w:rPr>
            </w:pPr>
            <w:r w:rsidRPr="001244BB">
              <w:rPr>
                <w:rFonts w:eastAsia="Times New Roman" w:cstheme="minorHAnsi"/>
                <w:b/>
                <w:sz w:val="20"/>
                <w:szCs w:val="20"/>
                <w:lang w:eastAsia="en-NZ"/>
              </w:rPr>
              <w:t>Engaging Māori residents in decisions </w:t>
            </w:r>
          </w:p>
        </w:tc>
      </w:tr>
      <w:tr w:rsidR="00C67B7D" w:rsidRPr="001244BB" w:rsidTr="0035318B">
        <w:trPr>
          <w:trHeight w:val="780"/>
        </w:trPr>
        <w:tc>
          <w:tcPr>
            <w:tcW w:w="3119" w:type="dxa"/>
            <w:tcBorders>
              <w:top w:val="nil"/>
              <w:left w:val="nil"/>
              <w:bottom w:val="nil"/>
              <w:right w:val="single" w:sz="4" w:space="0" w:color="00B0F0"/>
            </w:tcBorders>
            <w:shd w:val="clear" w:color="auto" w:fill="auto"/>
            <w:hideMark/>
          </w:tcPr>
          <w:p w:rsidR="00C67B7D" w:rsidRPr="001244BB" w:rsidRDefault="00C67B7D" w:rsidP="0035318B">
            <w:pPr>
              <w:spacing w:after="0" w:line="240" w:lineRule="auto"/>
              <w:rPr>
                <w:rFonts w:eastAsia="Times New Roman" w:cstheme="minorHAnsi"/>
                <w:color w:val="000000"/>
                <w:sz w:val="20"/>
                <w:szCs w:val="20"/>
                <w:lang w:eastAsia="en-NZ"/>
              </w:rPr>
            </w:pPr>
            <w:r w:rsidRPr="001244BB">
              <w:rPr>
                <w:rFonts w:eastAsia="Times New Roman" w:cstheme="minorHAnsi"/>
                <w:color w:val="000000"/>
                <w:sz w:val="20"/>
                <w:szCs w:val="20"/>
                <w:lang w:eastAsia="en-NZ"/>
              </w:rPr>
              <w:t>Māori residents (%) who believe that they have adequate opportunities to have their say in decision-making</w:t>
            </w:r>
          </w:p>
        </w:tc>
        <w:tc>
          <w:tcPr>
            <w:tcW w:w="1061" w:type="dxa"/>
            <w:tcBorders>
              <w:top w:val="nil"/>
              <w:left w:val="single" w:sz="4" w:space="0" w:color="00B0F0"/>
              <w:bottom w:val="nil"/>
              <w:right w:val="single" w:sz="4" w:space="0" w:color="00B0F0"/>
            </w:tcBorders>
            <w:shd w:val="clear" w:color="auto" w:fill="auto"/>
            <w:noWrap/>
            <w:hideMark/>
          </w:tcPr>
          <w:p w:rsidR="00C67B7D" w:rsidRPr="001244BB" w:rsidRDefault="00C67B7D" w:rsidP="0035318B">
            <w:pPr>
              <w:spacing w:after="0" w:line="240" w:lineRule="auto"/>
              <w:jc w:val="right"/>
              <w:rPr>
                <w:rFonts w:eastAsia="Times New Roman" w:cstheme="minorHAnsi"/>
                <w:color w:val="000000"/>
                <w:sz w:val="20"/>
                <w:szCs w:val="20"/>
                <w:lang w:eastAsia="en-NZ"/>
              </w:rPr>
            </w:pPr>
          </w:p>
        </w:tc>
        <w:tc>
          <w:tcPr>
            <w:tcW w:w="1062" w:type="dxa"/>
            <w:tcBorders>
              <w:top w:val="nil"/>
              <w:left w:val="single" w:sz="4" w:space="0" w:color="00B0F0"/>
              <w:bottom w:val="nil"/>
              <w:right w:val="single" w:sz="4" w:space="0" w:color="00B0F0"/>
            </w:tcBorders>
            <w:shd w:val="clear" w:color="auto" w:fill="auto"/>
            <w:noWrap/>
            <w:hideMark/>
          </w:tcPr>
          <w:p w:rsidR="00C67B7D" w:rsidRPr="001244BB" w:rsidRDefault="00C67B7D" w:rsidP="0035318B">
            <w:pPr>
              <w:spacing w:after="0" w:line="240" w:lineRule="auto"/>
              <w:jc w:val="right"/>
              <w:rPr>
                <w:rFonts w:eastAsia="Times New Roman" w:cstheme="minorHAnsi"/>
                <w:color w:val="000000"/>
                <w:sz w:val="20"/>
                <w:szCs w:val="20"/>
                <w:lang w:eastAsia="en-NZ"/>
              </w:rPr>
            </w:pPr>
            <w:r w:rsidRPr="001244BB">
              <w:rPr>
                <w:rFonts w:eastAsia="Times New Roman" w:cstheme="minorHAnsi"/>
                <w:color w:val="000000"/>
                <w:sz w:val="20"/>
                <w:szCs w:val="20"/>
                <w:lang w:eastAsia="en-NZ"/>
              </w:rPr>
              <w:t>New</w:t>
            </w:r>
          </w:p>
        </w:tc>
        <w:tc>
          <w:tcPr>
            <w:tcW w:w="1061" w:type="dxa"/>
            <w:tcBorders>
              <w:top w:val="nil"/>
              <w:left w:val="single" w:sz="4" w:space="0" w:color="00B0F0"/>
              <w:bottom w:val="nil"/>
              <w:right w:val="single" w:sz="4" w:space="0" w:color="00B0F0"/>
            </w:tcBorders>
            <w:shd w:val="clear" w:color="auto" w:fill="FFFFFF" w:themeFill="background1"/>
            <w:hideMark/>
          </w:tcPr>
          <w:p w:rsidR="00C67B7D" w:rsidRPr="001244BB" w:rsidRDefault="00C67B7D" w:rsidP="0035318B">
            <w:pPr>
              <w:spacing w:after="0" w:line="240" w:lineRule="auto"/>
              <w:jc w:val="right"/>
              <w:rPr>
                <w:rFonts w:eastAsia="Times New Roman" w:cstheme="minorHAnsi"/>
                <w:color w:val="000000"/>
                <w:sz w:val="20"/>
                <w:szCs w:val="20"/>
                <w:lang w:eastAsia="en-NZ"/>
              </w:rPr>
            </w:pPr>
            <w:r w:rsidRPr="001244BB">
              <w:rPr>
                <w:rFonts w:eastAsia="Times New Roman" w:cstheme="minorHAnsi"/>
                <w:color w:val="000000"/>
                <w:sz w:val="20"/>
                <w:szCs w:val="20"/>
                <w:lang w:eastAsia="en-NZ"/>
              </w:rPr>
              <w:t>69%</w:t>
            </w:r>
          </w:p>
        </w:tc>
        <w:tc>
          <w:tcPr>
            <w:tcW w:w="1062" w:type="dxa"/>
            <w:tcBorders>
              <w:top w:val="nil"/>
              <w:left w:val="single" w:sz="4" w:space="0" w:color="00B0F0"/>
              <w:bottom w:val="nil"/>
              <w:right w:val="single" w:sz="4" w:space="0" w:color="00B0F0"/>
            </w:tcBorders>
            <w:shd w:val="clear" w:color="000000" w:fill="D9D9D9"/>
            <w:hideMark/>
          </w:tcPr>
          <w:p w:rsidR="00C67B7D" w:rsidRPr="001244BB" w:rsidRDefault="00C67B7D" w:rsidP="0035318B">
            <w:pPr>
              <w:spacing w:after="0" w:line="240" w:lineRule="auto"/>
              <w:jc w:val="right"/>
              <w:rPr>
                <w:rFonts w:eastAsia="Times New Roman" w:cstheme="minorHAnsi"/>
                <w:color w:val="000000"/>
                <w:sz w:val="20"/>
                <w:szCs w:val="20"/>
                <w:lang w:eastAsia="en-NZ"/>
              </w:rPr>
            </w:pPr>
            <w:r w:rsidRPr="001244BB">
              <w:rPr>
                <w:rFonts w:eastAsia="Times New Roman" w:cstheme="minorHAnsi"/>
                <w:color w:val="000000"/>
                <w:sz w:val="20"/>
                <w:szCs w:val="20"/>
                <w:lang w:eastAsia="en-NZ"/>
              </w:rPr>
              <w:t>75%</w:t>
            </w:r>
          </w:p>
        </w:tc>
        <w:tc>
          <w:tcPr>
            <w:tcW w:w="857" w:type="dxa"/>
            <w:tcBorders>
              <w:top w:val="nil"/>
              <w:left w:val="single" w:sz="4" w:space="0" w:color="00B0F0"/>
              <w:bottom w:val="nil"/>
              <w:right w:val="single" w:sz="4" w:space="0" w:color="00B0F0"/>
            </w:tcBorders>
            <w:shd w:val="clear" w:color="auto" w:fill="auto"/>
            <w:hideMark/>
          </w:tcPr>
          <w:p w:rsidR="00C67B7D" w:rsidRPr="001244BB" w:rsidRDefault="00C67B7D" w:rsidP="0035318B">
            <w:pPr>
              <w:spacing w:after="0" w:line="240" w:lineRule="auto"/>
              <w:jc w:val="right"/>
              <w:rPr>
                <w:rFonts w:eastAsia="Times New Roman" w:cstheme="minorHAnsi"/>
                <w:sz w:val="20"/>
                <w:szCs w:val="20"/>
                <w:lang w:eastAsia="en-NZ"/>
              </w:rPr>
            </w:pPr>
            <w:r w:rsidRPr="001244BB">
              <w:rPr>
                <w:rFonts w:eastAsia="Times New Roman" w:cstheme="minorHAnsi"/>
                <w:sz w:val="20"/>
                <w:szCs w:val="20"/>
                <w:lang w:eastAsia="en-NZ"/>
              </w:rPr>
              <w:t>-8%</w:t>
            </w:r>
          </w:p>
        </w:tc>
        <w:tc>
          <w:tcPr>
            <w:tcW w:w="1101" w:type="dxa"/>
            <w:tcBorders>
              <w:top w:val="nil"/>
              <w:left w:val="single" w:sz="4" w:space="0" w:color="00B0F0"/>
              <w:bottom w:val="nil"/>
              <w:right w:val="single" w:sz="4" w:space="0" w:color="00B0F0"/>
            </w:tcBorders>
            <w:shd w:val="clear" w:color="auto" w:fill="auto"/>
            <w:hideMark/>
          </w:tcPr>
          <w:p w:rsidR="00C67B7D" w:rsidRPr="001244BB" w:rsidRDefault="00EF073E" w:rsidP="0035318B">
            <w:pPr>
              <w:spacing w:after="0" w:line="240" w:lineRule="auto"/>
              <w:jc w:val="right"/>
              <w:rPr>
                <w:rFonts w:eastAsia="Times New Roman" w:cstheme="minorHAnsi"/>
                <w:sz w:val="20"/>
                <w:szCs w:val="20"/>
                <w:lang w:eastAsia="en-NZ"/>
              </w:rPr>
            </w:pPr>
            <w:r>
              <w:rPr>
                <w:rFonts w:eastAsia="Times New Roman" w:cstheme="minorHAnsi"/>
                <w:color w:val="000000"/>
                <w:sz w:val="20"/>
                <w:szCs w:val="20"/>
                <w:lang w:eastAsia="en-NZ"/>
              </w:rPr>
              <w:t>Within 10%</w:t>
            </w:r>
          </w:p>
        </w:tc>
        <w:tc>
          <w:tcPr>
            <w:tcW w:w="4427" w:type="dxa"/>
            <w:tcBorders>
              <w:top w:val="nil"/>
              <w:left w:val="single" w:sz="4" w:space="0" w:color="00B0F0"/>
              <w:bottom w:val="nil"/>
            </w:tcBorders>
            <w:shd w:val="clear" w:color="auto" w:fill="auto"/>
            <w:hideMark/>
          </w:tcPr>
          <w:p w:rsidR="00C67B7D" w:rsidRPr="001244BB" w:rsidRDefault="00C67B7D" w:rsidP="0035318B">
            <w:pPr>
              <w:spacing w:after="0" w:line="240" w:lineRule="auto"/>
              <w:rPr>
                <w:rFonts w:eastAsia="Times New Roman" w:cstheme="minorHAnsi"/>
                <w:color w:val="000000"/>
                <w:sz w:val="20"/>
                <w:szCs w:val="20"/>
                <w:lang w:eastAsia="en-NZ"/>
              </w:rPr>
            </w:pPr>
          </w:p>
        </w:tc>
      </w:tr>
      <w:tr w:rsidR="00C67B7D" w:rsidRPr="001244BB" w:rsidTr="0035318B">
        <w:trPr>
          <w:trHeight w:val="315"/>
        </w:trPr>
        <w:tc>
          <w:tcPr>
            <w:tcW w:w="13750" w:type="dxa"/>
            <w:gridSpan w:val="8"/>
            <w:tcBorders>
              <w:top w:val="nil"/>
              <w:left w:val="nil"/>
              <w:bottom w:val="nil"/>
            </w:tcBorders>
            <w:shd w:val="clear" w:color="auto" w:fill="C6D9F1" w:themeFill="text2" w:themeFillTint="33"/>
            <w:hideMark/>
          </w:tcPr>
          <w:p w:rsidR="00C67B7D" w:rsidRPr="001244BB" w:rsidRDefault="00C67B7D" w:rsidP="0035318B">
            <w:pPr>
              <w:spacing w:after="0" w:line="240" w:lineRule="auto"/>
              <w:rPr>
                <w:rFonts w:eastAsia="Times New Roman" w:cstheme="minorHAnsi"/>
                <w:b/>
                <w:sz w:val="20"/>
                <w:szCs w:val="20"/>
                <w:lang w:eastAsia="en-NZ"/>
              </w:rPr>
            </w:pPr>
            <w:r w:rsidRPr="001244BB">
              <w:rPr>
                <w:rFonts w:eastAsia="Times New Roman" w:cstheme="minorHAnsi"/>
                <w:b/>
                <w:sz w:val="20"/>
                <w:szCs w:val="20"/>
                <w:lang w:eastAsia="en-NZ"/>
              </w:rPr>
              <w:t>Promoting Māori culture  </w:t>
            </w:r>
          </w:p>
        </w:tc>
      </w:tr>
      <w:tr w:rsidR="00C67B7D" w:rsidRPr="001244BB" w:rsidTr="0035318B">
        <w:trPr>
          <w:trHeight w:val="525"/>
        </w:trPr>
        <w:tc>
          <w:tcPr>
            <w:tcW w:w="3119" w:type="dxa"/>
            <w:tcBorders>
              <w:top w:val="nil"/>
              <w:left w:val="nil"/>
              <w:bottom w:val="single" w:sz="4" w:space="0" w:color="00B0F0"/>
              <w:right w:val="single" w:sz="4" w:space="0" w:color="00B0F0"/>
            </w:tcBorders>
            <w:shd w:val="clear" w:color="auto" w:fill="auto"/>
            <w:hideMark/>
          </w:tcPr>
          <w:p w:rsidR="00C67B7D" w:rsidRPr="001244BB" w:rsidRDefault="00C67B7D" w:rsidP="0035318B">
            <w:pPr>
              <w:spacing w:after="0" w:line="240" w:lineRule="auto"/>
              <w:rPr>
                <w:rFonts w:eastAsia="Times New Roman" w:cstheme="minorHAnsi"/>
                <w:color w:val="000000"/>
                <w:sz w:val="20"/>
                <w:szCs w:val="20"/>
                <w:lang w:eastAsia="en-NZ"/>
              </w:rPr>
            </w:pPr>
            <w:r w:rsidRPr="001244BB">
              <w:rPr>
                <w:rFonts w:eastAsia="Times New Roman" w:cstheme="minorHAnsi"/>
                <w:color w:val="000000"/>
                <w:sz w:val="20"/>
                <w:szCs w:val="20"/>
                <w:lang w:eastAsia="en-NZ"/>
              </w:rPr>
              <w:t xml:space="preserve">Māori residents (%) who agree that the Council is taking an </w:t>
            </w:r>
            <w:r w:rsidRPr="001244BB">
              <w:rPr>
                <w:rFonts w:eastAsia="Times New Roman" w:cstheme="minorHAnsi"/>
                <w:color w:val="000000"/>
                <w:sz w:val="20"/>
                <w:szCs w:val="20"/>
                <w:lang w:eastAsia="en-NZ"/>
              </w:rPr>
              <w:lastRenderedPageBreak/>
              <w:t>active role in revitalising te reo Māori</w:t>
            </w:r>
          </w:p>
        </w:tc>
        <w:tc>
          <w:tcPr>
            <w:tcW w:w="1061" w:type="dxa"/>
            <w:tcBorders>
              <w:top w:val="nil"/>
              <w:left w:val="single" w:sz="4" w:space="0" w:color="00B0F0"/>
              <w:bottom w:val="single" w:sz="4" w:space="0" w:color="00B0F0"/>
              <w:right w:val="single" w:sz="4" w:space="0" w:color="00B0F0"/>
            </w:tcBorders>
            <w:shd w:val="clear" w:color="auto" w:fill="auto"/>
            <w:noWrap/>
            <w:hideMark/>
          </w:tcPr>
          <w:p w:rsidR="00C67B7D" w:rsidRPr="001244BB" w:rsidRDefault="00E46729" w:rsidP="0035318B">
            <w:pPr>
              <w:spacing w:after="0" w:line="240" w:lineRule="auto"/>
              <w:jc w:val="right"/>
              <w:rPr>
                <w:rFonts w:eastAsia="Times New Roman" w:cstheme="minorHAnsi"/>
                <w:color w:val="000000"/>
                <w:sz w:val="20"/>
                <w:szCs w:val="20"/>
                <w:lang w:eastAsia="en-NZ"/>
              </w:rPr>
            </w:pPr>
            <w:r>
              <w:rPr>
                <w:rFonts w:eastAsia="Times New Roman" w:cstheme="minorHAnsi"/>
                <w:color w:val="000000"/>
                <w:sz w:val="20"/>
                <w:szCs w:val="20"/>
                <w:lang w:eastAsia="en-NZ"/>
              </w:rPr>
              <w:lastRenderedPageBreak/>
              <w:t>New in 2018</w:t>
            </w:r>
          </w:p>
        </w:tc>
        <w:tc>
          <w:tcPr>
            <w:tcW w:w="1062" w:type="dxa"/>
            <w:tcBorders>
              <w:top w:val="nil"/>
              <w:left w:val="single" w:sz="4" w:space="0" w:color="00B0F0"/>
              <w:bottom w:val="single" w:sz="4" w:space="0" w:color="00B0F0"/>
              <w:right w:val="single" w:sz="4" w:space="0" w:color="00B0F0"/>
            </w:tcBorders>
            <w:shd w:val="clear" w:color="auto" w:fill="auto"/>
            <w:noWrap/>
            <w:hideMark/>
          </w:tcPr>
          <w:p w:rsidR="00C67B7D" w:rsidRPr="001244BB" w:rsidRDefault="00C67B7D" w:rsidP="0035318B">
            <w:pPr>
              <w:spacing w:after="0" w:line="240" w:lineRule="auto"/>
              <w:jc w:val="right"/>
              <w:rPr>
                <w:rFonts w:eastAsia="Times New Roman" w:cstheme="minorHAnsi"/>
                <w:color w:val="000000"/>
                <w:sz w:val="20"/>
                <w:szCs w:val="20"/>
                <w:lang w:eastAsia="en-NZ"/>
              </w:rPr>
            </w:pPr>
            <w:r>
              <w:rPr>
                <w:rFonts w:eastAsia="Times New Roman" w:cstheme="minorHAnsi"/>
                <w:color w:val="000000"/>
                <w:sz w:val="20"/>
                <w:szCs w:val="20"/>
                <w:lang w:eastAsia="en-NZ"/>
              </w:rPr>
              <w:t>39%</w:t>
            </w:r>
          </w:p>
        </w:tc>
        <w:tc>
          <w:tcPr>
            <w:tcW w:w="1061" w:type="dxa"/>
            <w:tcBorders>
              <w:top w:val="nil"/>
              <w:left w:val="single" w:sz="4" w:space="0" w:color="00B0F0"/>
              <w:bottom w:val="single" w:sz="4" w:space="0" w:color="00B0F0"/>
              <w:right w:val="single" w:sz="4" w:space="0" w:color="00B0F0"/>
            </w:tcBorders>
            <w:shd w:val="clear" w:color="auto" w:fill="auto"/>
            <w:hideMark/>
          </w:tcPr>
          <w:p w:rsidR="00C67B7D" w:rsidRPr="001244BB" w:rsidRDefault="00C67B7D" w:rsidP="0035318B">
            <w:pPr>
              <w:spacing w:after="0" w:line="240" w:lineRule="auto"/>
              <w:jc w:val="right"/>
              <w:rPr>
                <w:rFonts w:eastAsia="Times New Roman" w:cstheme="minorHAnsi"/>
                <w:color w:val="000000"/>
                <w:sz w:val="20"/>
                <w:szCs w:val="20"/>
                <w:lang w:eastAsia="en-NZ"/>
              </w:rPr>
            </w:pPr>
            <w:r w:rsidRPr="001244BB">
              <w:rPr>
                <w:rFonts w:eastAsia="Times New Roman" w:cstheme="minorHAnsi"/>
                <w:color w:val="000000"/>
                <w:sz w:val="20"/>
                <w:szCs w:val="20"/>
                <w:lang w:eastAsia="en-NZ"/>
              </w:rPr>
              <w:t>68%</w:t>
            </w:r>
          </w:p>
        </w:tc>
        <w:tc>
          <w:tcPr>
            <w:tcW w:w="1062" w:type="dxa"/>
            <w:tcBorders>
              <w:top w:val="nil"/>
              <w:left w:val="single" w:sz="4" w:space="0" w:color="00B0F0"/>
              <w:bottom w:val="single" w:sz="4" w:space="0" w:color="00B0F0"/>
              <w:right w:val="single" w:sz="4" w:space="0" w:color="00B0F0"/>
            </w:tcBorders>
            <w:shd w:val="clear" w:color="000000" w:fill="D9D9D9"/>
            <w:hideMark/>
          </w:tcPr>
          <w:p w:rsidR="00C67B7D" w:rsidRPr="001244BB" w:rsidRDefault="00C67B7D" w:rsidP="0035318B">
            <w:pPr>
              <w:spacing w:after="0" w:line="240" w:lineRule="auto"/>
              <w:jc w:val="right"/>
              <w:rPr>
                <w:rFonts w:eastAsia="Times New Roman" w:cstheme="minorHAnsi"/>
                <w:color w:val="000000"/>
                <w:sz w:val="20"/>
                <w:szCs w:val="20"/>
                <w:lang w:eastAsia="en-NZ"/>
              </w:rPr>
            </w:pPr>
            <w:r w:rsidRPr="001244BB">
              <w:rPr>
                <w:rFonts w:eastAsia="Times New Roman" w:cstheme="minorHAnsi"/>
                <w:color w:val="000000"/>
                <w:sz w:val="20"/>
                <w:szCs w:val="20"/>
                <w:lang w:eastAsia="en-NZ"/>
              </w:rPr>
              <w:t>75%</w:t>
            </w:r>
          </w:p>
        </w:tc>
        <w:tc>
          <w:tcPr>
            <w:tcW w:w="857" w:type="dxa"/>
            <w:tcBorders>
              <w:top w:val="nil"/>
              <w:left w:val="single" w:sz="4" w:space="0" w:color="00B0F0"/>
              <w:bottom w:val="single" w:sz="4" w:space="0" w:color="00B0F0"/>
              <w:right w:val="single" w:sz="4" w:space="0" w:color="00B0F0"/>
            </w:tcBorders>
            <w:shd w:val="clear" w:color="auto" w:fill="auto"/>
            <w:hideMark/>
          </w:tcPr>
          <w:p w:rsidR="00C67B7D" w:rsidRPr="001244BB" w:rsidRDefault="00C67B7D" w:rsidP="0035318B">
            <w:pPr>
              <w:spacing w:after="0" w:line="240" w:lineRule="auto"/>
              <w:jc w:val="right"/>
              <w:rPr>
                <w:rFonts w:eastAsia="Times New Roman" w:cstheme="minorHAnsi"/>
                <w:sz w:val="20"/>
                <w:szCs w:val="20"/>
                <w:lang w:eastAsia="en-NZ"/>
              </w:rPr>
            </w:pPr>
            <w:r w:rsidRPr="001244BB">
              <w:rPr>
                <w:rFonts w:eastAsia="Times New Roman" w:cstheme="minorHAnsi"/>
                <w:sz w:val="20"/>
                <w:szCs w:val="20"/>
                <w:lang w:eastAsia="en-NZ"/>
              </w:rPr>
              <w:t>-9%</w:t>
            </w:r>
          </w:p>
        </w:tc>
        <w:tc>
          <w:tcPr>
            <w:tcW w:w="1101" w:type="dxa"/>
            <w:tcBorders>
              <w:top w:val="nil"/>
              <w:left w:val="single" w:sz="4" w:space="0" w:color="00B0F0"/>
              <w:bottom w:val="single" w:sz="4" w:space="0" w:color="00B0F0"/>
              <w:right w:val="single" w:sz="4" w:space="0" w:color="00B0F0"/>
            </w:tcBorders>
            <w:shd w:val="clear" w:color="auto" w:fill="auto"/>
            <w:hideMark/>
          </w:tcPr>
          <w:p w:rsidR="00C67B7D" w:rsidRPr="001244BB" w:rsidRDefault="00EF073E" w:rsidP="0035318B">
            <w:pPr>
              <w:spacing w:after="0" w:line="240" w:lineRule="auto"/>
              <w:jc w:val="right"/>
              <w:rPr>
                <w:rFonts w:eastAsia="Times New Roman" w:cstheme="minorHAnsi"/>
                <w:sz w:val="20"/>
                <w:szCs w:val="20"/>
                <w:lang w:eastAsia="en-NZ"/>
              </w:rPr>
            </w:pPr>
            <w:r>
              <w:rPr>
                <w:rFonts w:eastAsia="Times New Roman" w:cstheme="minorHAnsi"/>
                <w:color w:val="000000"/>
                <w:sz w:val="20"/>
                <w:szCs w:val="20"/>
                <w:lang w:eastAsia="en-NZ"/>
              </w:rPr>
              <w:t>Within 10%</w:t>
            </w:r>
          </w:p>
        </w:tc>
        <w:tc>
          <w:tcPr>
            <w:tcW w:w="4427" w:type="dxa"/>
            <w:tcBorders>
              <w:top w:val="nil"/>
              <w:left w:val="single" w:sz="4" w:space="0" w:color="00B0F0"/>
              <w:bottom w:val="single" w:sz="4" w:space="0" w:color="00B0F0"/>
            </w:tcBorders>
            <w:shd w:val="clear" w:color="auto" w:fill="FFFFFF" w:themeFill="background1"/>
            <w:hideMark/>
          </w:tcPr>
          <w:p w:rsidR="00C67B7D" w:rsidRPr="001244BB" w:rsidRDefault="00C67B7D" w:rsidP="0035318B">
            <w:pPr>
              <w:spacing w:after="0" w:line="240" w:lineRule="auto"/>
              <w:rPr>
                <w:rFonts w:eastAsia="Times New Roman" w:cstheme="minorHAnsi"/>
                <w:color w:val="000000"/>
                <w:sz w:val="20"/>
                <w:szCs w:val="20"/>
                <w:lang w:eastAsia="en-NZ"/>
              </w:rPr>
            </w:pPr>
          </w:p>
        </w:tc>
      </w:tr>
      <w:tr w:rsidR="00C67B7D" w:rsidRPr="001244BB" w:rsidTr="0035318B">
        <w:trPr>
          <w:trHeight w:val="525"/>
        </w:trPr>
        <w:tc>
          <w:tcPr>
            <w:tcW w:w="3119" w:type="dxa"/>
            <w:tcBorders>
              <w:top w:val="single" w:sz="4" w:space="0" w:color="00B0F0"/>
              <w:left w:val="nil"/>
              <w:bottom w:val="single" w:sz="4" w:space="0" w:color="00B0F0"/>
              <w:right w:val="single" w:sz="4" w:space="0" w:color="00B0F0"/>
            </w:tcBorders>
            <w:shd w:val="clear" w:color="auto" w:fill="auto"/>
            <w:hideMark/>
          </w:tcPr>
          <w:p w:rsidR="00C67B7D" w:rsidRPr="001244BB" w:rsidRDefault="00C67B7D" w:rsidP="0035318B">
            <w:pPr>
              <w:spacing w:after="0" w:line="240" w:lineRule="auto"/>
              <w:rPr>
                <w:rFonts w:eastAsia="Times New Roman" w:cstheme="minorHAnsi"/>
                <w:color w:val="000000"/>
                <w:sz w:val="20"/>
                <w:szCs w:val="20"/>
                <w:lang w:eastAsia="en-NZ"/>
              </w:rPr>
            </w:pPr>
            <w:r w:rsidRPr="001244BB">
              <w:rPr>
                <w:rFonts w:eastAsia="Times New Roman" w:cstheme="minorHAnsi"/>
                <w:color w:val="000000"/>
                <w:sz w:val="20"/>
                <w:szCs w:val="20"/>
                <w:lang w:eastAsia="en-NZ"/>
              </w:rPr>
              <w:lastRenderedPageBreak/>
              <w:t>Māori residents (%) who agree that the Council is taking an active role in revitalising Māori cultural heritage</w:t>
            </w:r>
          </w:p>
        </w:tc>
        <w:tc>
          <w:tcPr>
            <w:tcW w:w="1061" w:type="dxa"/>
            <w:tcBorders>
              <w:top w:val="single" w:sz="4" w:space="0" w:color="00B0F0"/>
              <w:left w:val="single" w:sz="4" w:space="0" w:color="00B0F0"/>
              <w:bottom w:val="single" w:sz="4" w:space="0" w:color="00B0F0"/>
              <w:right w:val="single" w:sz="4" w:space="0" w:color="00B0F0"/>
            </w:tcBorders>
            <w:shd w:val="clear" w:color="auto" w:fill="auto"/>
          </w:tcPr>
          <w:p w:rsidR="00C67B7D" w:rsidRPr="001244BB" w:rsidRDefault="00C67B7D" w:rsidP="0035318B">
            <w:pPr>
              <w:spacing w:after="0" w:line="240" w:lineRule="auto"/>
              <w:rPr>
                <w:rFonts w:eastAsia="Times New Roman" w:cstheme="minorHAnsi"/>
                <w:color w:val="000000"/>
                <w:sz w:val="20"/>
                <w:szCs w:val="20"/>
                <w:lang w:eastAsia="en-NZ"/>
              </w:rPr>
            </w:pPr>
          </w:p>
        </w:tc>
        <w:tc>
          <w:tcPr>
            <w:tcW w:w="1062" w:type="dxa"/>
            <w:tcBorders>
              <w:top w:val="single" w:sz="4" w:space="0" w:color="00B0F0"/>
              <w:left w:val="single" w:sz="4" w:space="0" w:color="00B0F0"/>
              <w:bottom w:val="single" w:sz="4" w:space="0" w:color="00B0F0"/>
              <w:right w:val="single" w:sz="4" w:space="0" w:color="00B0F0"/>
            </w:tcBorders>
            <w:shd w:val="clear" w:color="auto" w:fill="auto"/>
            <w:noWrap/>
            <w:hideMark/>
          </w:tcPr>
          <w:p w:rsidR="00C67B7D" w:rsidRPr="001244BB" w:rsidRDefault="00E46729" w:rsidP="0035318B">
            <w:pPr>
              <w:spacing w:after="0" w:line="240" w:lineRule="auto"/>
              <w:jc w:val="right"/>
              <w:rPr>
                <w:rFonts w:eastAsia="Times New Roman" w:cstheme="minorHAnsi"/>
                <w:color w:val="000000"/>
                <w:sz w:val="20"/>
                <w:szCs w:val="20"/>
                <w:lang w:eastAsia="en-NZ"/>
              </w:rPr>
            </w:pPr>
            <w:r>
              <w:rPr>
                <w:rFonts w:eastAsia="Times New Roman" w:cstheme="minorHAnsi"/>
                <w:color w:val="000000"/>
                <w:sz w:val="20"/>
                <w:szCs w:val="20"/>
                <w:lang w:eastAsia="en-NZ"/>
              </w:rPr>
              <w:t>New</w:t>
            </w:r>
          </w:p>
        </w:tc>
        <w:tc>
          <w:tcPr>
            <w:tcW w:w="1061" w:type="dxa"/>
            <w:tcBorders>
              <w:top w:val="single" w:sz="4" w:space="0" w:color="00B0F0"/>
              <w:left w:val="single" w:sz="4" w:space="0" w:color="00B0F0"/>
              <w:bottom w:val="single" w:sz="4" w:space="0" w:color="00B0F0"/>
              <w:right w:val="single" w:sz="4" w:space="0" w:color="00B0F0"/>
            </w:tcBorders>
            <w:shd w:val="clear" w:color="auto" w:fill="auto"/>
            <w:hideMark/>
          </w:tcPr>
          <w:p w:rsidR="00C67B7D" w:rsidRPr="001244BB" w:rsidRDefault="00C67B7D" w:rsidP="0035318B">
            <w:pPr>
              <w:spacing w:after="0" w:line="240" w:lineRule="auto"/>
              <w:jc w:val="right"/>
              <w:rPr>
                <w:rFonts w:eastAsia="Times New Roman" w:cstheme="minorHAnsi"/>
                <w:color w:val="000000"/>
                <w:sz w:val="20"/>
                <w:szCs w:val="20"/>
                <w:lang w:eastAsia="en-NZ"/>
              </w:rPr>
            </w:pPr>
            <w:r w:rsidRPr="001244BB">
              <w:rPr>
                <w:rFonts w:eastAsia="Times New Roman" w:cstheme="minorHAnsi"/>
                <w:color w:val="000000"/>
                <w:sz w:val="20"/>
                <w:szCs w:val="20"/>
                <w:lang w:eastAsia="en-NZ"/>
              </w:rPr>
              <w:t>67%</w:t>
            </w:r>
          </w:p>
        </w:tc>
        <w:tc>
          <w:tcPr>
            <w:tcW w:w="1062" w:type="dxa"/>
            <w:tcBorders>
              <w:top w:val="single" w:sz="4" w:space="0" w:color="00B0F0"/>
              <w:left w:val="single" w:sz="4" w:space="0" w:color="00B0F0"/>
              <w:bottom w:val="single" w:sz="4" w:space="0" w:color="00B0F0"/>
              <w:right w:val="single" w:sz="4" w:space="0" w:color="00B0F0"/>
            </w:tcBorders>
            <w:shd w:val="clear" w:color="000000" w:fill="D9D9D9"/>
            <w:hideMark/>
          </w:tcPr>
          <w:p w:rsidR="00C67B7D" w:rsidRPr="001244BB" w:rsidRDefault="00C67B7D" w:rsidP="0035318B">
            <w:pPr>
              <w:spacing w:after="0" w:line="240" w:lineRule="auto"/>
              <w:jc w:val="right"/>
              <w:rPr>
                <w:rFonts w:eastAsia="Times New Roman" w:cstheme="minorHAnsi"/>
                <w:color w:val="000000"/>
                <w:sz w:val="20"/>
                <w:szCs w:val="20"/>
                <w:lang w:eastAsia="en-NZ"/>
              </w:rPr>
            </w:pPr>
            <w:r w:rsidRPr="001244BB">
              <w:rPr>
                <w:rFonts w:eastAsia="Times New Roman" w:cstheme="minorHAnsi"/>
                <w:color w:val="000000"/>
                <w:sz w:val="20"/>
                <w:szCs w:val="20"/>
                <w:lang w:eastAsia="en-NZ"/>
              </w:rPr>
              <w:t>75%</w:t>
            </w:r>
          </w:p>
        </w:tc>
        <w:tc>
          <w:tcPr>
            <w:tcW w:w="857" w:type="dxa"/>
            <w:tcBorders>
              <w:top w:val="single" w:sz="4" w:space="0" w:color="00B0F0"/>
              <w:left w:val="single" w:sz="4" w:space="0" w:color="00B0F0"/>
              <w:bottom w:val="single" w:sz="4" w:space="0" w:color="00B0F0"/>
              <w:right w:val="single" w:sz="4" w:space="0" w:color="00B0F0"/>
            </w:tcBorders>
            <w:shd w:val="clear" w:color="auto" w:fill="auto"/>
            <w:hideMark/>
          </w:tcPr>
          <w:p w:rsidR="00C67B7D" w:rsidRPr="001244BB" w:rsidRDefault="00C67B7D" w:rsidP="0035318B">
            <w:pPr>
              <w:spacing w:after="0" w:line="240" w:lineRule="auto"/>
              <w:jc w:val="right"/>
              <w:rPr>
                <w:rFonts w:eastAsia="Times New Roman" w:cstheme="minorHAnsi"/>
                <w:sz w:val="20"/>
                <w:szCs w:val="20"/>
                <w:lang w:eastAsia="en-NZ"/>
              </w:rPr>
            </w:pPr>
            <w:r w:rsidRPr="001244BB">
              <w:rPr>
                <w:rFonts w:eastAsia="Times New Roman" w:cstheme="minorHAnsi"/>
                <w:sz w:val="20"/>
                <w:szCs w:val="20"/>
                <w:lang w:eastAsia="en-NZ"/>
              </w:rPr>
              <w:t>-11%</w:t>
            </w:r>
          </w:p>
        </w:tc>
        <w:tc>
          <w:tcPr>
            <w:tcW w:w="1101" w:type="dxa"/>
            <w:tcBorders>
              <w:top w:val="single" w:sz="4" w:space="0" w:color="00B0F0"/>
              <w:left w:val="single" w:sz="4" w:space="0" w:color="00B0F0"/>
              <w:bottom w:val="single" w:sz="4" w:space="0" w:color="00B0F0"/>
              <w:right w:val="single" w:sz="4" w:space="0" w:color="00B0F0"/>
            </w:tcBorders>
            <w:shd w:val="clear" w:color="auto" w:fill="auto"/>
            <w:hideMark/>
          </w:tcPr>
          <w:p w:rsidR="00C67B7D" w:rsidRPr="001244BB" w:rsidRDefault="00C67B7D" w:rsidP="0035318B">
            <w:pPr>
              <w:spacing w:after="0" w:line="240" w:lineRule="auto"/>
              <w:jc w:val="right"/>
              <w:rPr>
                <w:rFonts w:eastAsia="Times New Roman" w:cstheme="minorHAnsi"/>
                <w:sz w:val="20"/>
                <w:szCs w:val="20"/>
                <w:lang w:eastAsia="en-NZ"/>
              </w:rPr>
            </w:pPr>
            <w:r w:rsidRPr="001244BB">
              <w:rPr>
                <w:rFonts w:eastAsia="Times New Roman" w:cstheme="minorHAnsi"/>
                <w:sz w:val="20"/>
                <w:szCs w:val="20"/>
                <w:lang w:eastAsia="en-NZ"/>
              </w:rPr>
              <w:t>not met</w:t>
            </w:r>
          </w:p>
        </w:tc>
        <w:tc>
          <w:tcPr>
            <w:tcW w:w="4427" w:type="dxa"/>
            <w:tcBorders>
              <w:top w:val="single" w:sz="4" w:space="0" w:color="00B0F0"/>
              <w:left w:val="single" w:sz="4" w:space="0" w:color="00B0F0"/>
              <w:bottom w:val="single" w:sz="4" w:space="0" w:color="00B0F0"/>
            </w:tcBorders>
            <w:shd w:val="clear" w:color="auto" w:fill="FFFFFF" w:themeFill="background1"/>
            <w:hideMark/>
          </w:tcPr>
          <w:p w:rsidR="00C67B7D" w:rsidRPr="001244BB" w:rsidRDefault="00C67B7D" w:rsidP="0035318B">
            <w:pPr>
              <w:spacing w:after="0" w:line="240" w:lineRule="auto"/>
              <w:rPr>
                <w:rFonts w:eastAsia="Times New Roman" w:cstheme="minorHAnsi"/>
                <w:color w:val="000000"/>
                <w:sz w:val="20"/>
                <w:szCs w:val="20"/>
                <w:lang w:eastAsia="en-NZ"/>
              </w:rPr>
            </w:pPr>
            <w:r w:rsidRPr="001244BB">
              <w:rPr>
                <w:rFonts w:eastAsia="Times New Roman" w:cstheme="minorHAnsi"/>
                <w:color w:val="000000"/>
                <w:sz w:val="20"/>
                <w:szCs w:val="20"/>
                <w:lang w:eastAsia="en-NZ"/>
              </w:rPr>
              <w:t>This is a new measure.  We will do more to share the Māori cultural heritage with the public. Our new Te Tauihu te reo Māori policy provides action for the years ahead.</w:t>
            </w:r>
          </w:p>
        </w:tc>
      </w:tr>
    </w:tbl>
    <w:p w:rsidR="00135A2C" w:rsidRPr="00D5126A" w:rsidRDefault="00135A2C" w:rsidP="00135A2C"/>
    <w:p w:rsidR="00135A2C" w:rsidRDefault="00135A2C" w:rsidP="00135A2C">
      <w:pPr>
        <w:pStyle w:val="Heading4"/>
      </w:pPr>
      <w:r w:rsidRPr="00D5126A">
        <w:t xml:space="preserve">Supplementary </w:t>
      </w:r>
      <w:r w:rsidR="002A343C">
        <w:t>p</w:t>
      </w:r>
      <w:r w:rsidRPr="00D5126A">
        <w:t xml:space="preserve">erformance </w:t>
      </w:r>
      <w:r w:rsidR="0083006D">
        <w:t>tables</w:t>
      </w:r>
      <w:r w:rsidRPr="00D5126A">
        <w:t xml:space="preserve"> </w:t>
      </w:r>
    </w:p>
    <w:p w:rsidR="002A343C" w:rsidRPr="002A343C" w:rsidRDefault="002A343C" w:rsidP="00E12F1D">
      <w:pPr>
        <w:pStyle w:val="ListParagraph"/>
        <w:spacing w:before="240"/>
        <w:ind w:left="0"/>
      </w:pPr>
      <w:proofErr w:type="gramStart"/>
      <w:r w:rsidRPr="002A343C">
        <w:rPr>
          <w:b/>
        </w:rPr>
        <w:t>Residents (%) who agree that Council information is easy to access (via website, libraries, social media, newspapers etc.)</w:t>
      </w:r>
      <w:proofErr w:type="gramEnd"/>
    </w:p>
    <w:p w:rsidR="002A343C" w:rsidRPr="001244BB" w:rsidRDefault="002A343C" w:rsidP="002A343C">
      <w:pPr>
        <w:pStyle w:val="ListParagraph"/>
        <w:ind w:left="0"/>
      </w:pPr>
      <w:r>
        <w:t xml:space="preserve">This question </w:t>
      </w:r>
      <w:r w:rsidR="00E46729">
        <w:t>was re</w:t>
      </w:r>
      <w:r w:rsidR="007F78CB">
        <w:t>-</w:t>
      </w:r>
      <w:r w:rsidR="00E46729">
        <w:t xml:space="preserve">worded </w:t>
      </w:r>
      <w:r>
        <w:t xml:space="preserve">in the Resident Monitoring Survey </w:t>
      </w:r>
      <w:r w:rsidR="00E46729">
        <w:t xml:space="preserve">(RMS) </w:t>
      </w:r>
      <w:r>
        <w:t xml:space="preserve">2019. The published result </w:t>
      </w:r>
      <w:r w:rsidR="0014327E">
        <w:t xml:space="preserve">of </w:t>
      </w:r>
      <w:r w:rsidR="00E46729">
        <w:t>46</w:t>
      </w:r>
      <w:r w:rsidR="0014327E">
        <w:t xml:space="preserve">percent </w:t>
      </w:r>
      <w:r>
        <w:t>is the average agreement across the four channels.</w:t>
      </w:r>
      <w:r>
        <w:tab/>
      </w:r>
      <w:r w:rsidR="00E46729">
        <w:t>Previously published results did not breakdown by communication channel.</w:t>
      </w:r>
      <w:r>
        <w:tab/>
      </w:r>
      <w:r>
        <w:tab/>
      </w:r>
      <w:r>
        <w:tab/>
      </w:r>
      <w:r>
        <w:tab/>
      </w:r>
      <w:r>
        <w:tab/>
      </w:r>
      <w:r>
        <w:tab/>
      </w:r>
      <w:r>
        <w:tab/>
      </w:r>
    </w:p>
    <w:tbl>
      <w:tblPr>
        <w:tblStyle w:val="MediumGrid2-Accent1"/>
        <w:tblW w:w="0" w:type="auto"/>
        <w:tblInd w:w="108" w:type="dxa"/>
        <w:tblBorders>
          <w:left w:val="none" w:sz="0" w:space="0" w:color="auto"/>
          <w:right w:val="none" w:sz="0" w:space="0" w:color="auto"/>
        </w:tblBorders>
        <w:tblLook w:val="04A0" w:firstRow="1" w:lastRow="0" w:firstColumn="1" w:lastColumn="0" w:noHBand="0" w:noVBand="1"/>
      </w:tblPr>
      <w:tblGrid>
        <w:gridCol w:w="5149"/>
        <w:gridCol w:w="1144"/>
        <w:gridCol w:w="981"/>
        <w:gridCol w:w="981"/>
        <w:gridCol w:w="981"/>
      </w:tblGrid>
      <w:tr w:rsidR="002A343C" w:rsidRPr="002A343C" w:rsidTr="002A343C">
        <w:trPr>
          <w:cnfStyle w:val="100000000000" w:firstRow="1" w:lastRow="0" w:firstColumn="0" w:lastColumn="0" w:oddVBand="0" w:evenVBand="0" w:oddHBand="0"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6293" w:type="dxa"/>
            <w:gridSpan w:val="2"/>
            <w:shd w:val="clear" w:color="auto" w:fill="0070C0"/>
            <w:noWrap/>
            <w:hideMark/>
          </w:tcPr>
          <w:p w:rsidR="002A343C" w:rsidRPr="002A343C" w:rsidRDefault="002A343C" w:rsidP="0035318B">
            <w:pPr>
              <w:rPr>
                <w:rFonts w:cstheme="minorHAnsi"/>
                <w:bCs w:val="0"/>
              </w:rPr>
            </w:pPr>
            <w:r w:rsidRPr="002A343C">
              <w:rPr>
                <w:rFonts w:cstheme="minorHAnsi"/>
              </w:rPr>
              <w:t>Please rate your level of agreement with the following:</w:t>
            </w:r>
          </w:p>
        </w:tc>
        <w:tc>
          <w:tcPr>
            <w:tcW w:w="981" w:type="dxa"/>
            <w:shd w:val="clear" w:color="auto" w:fill="0070C0"/>
            <w:hideMark/>
          </w:tcPr>
          <w:p w:rsidR="002A343C" w:rsidRPr="002A343C" w:rsidRDefault="002A343C" w:rsidP="0035318B">
            <w:pPr>
              <w:cnfStyle w:val="100000000000" w:firstRow="1" w:lastRow="0" w:firstColumn="0" w:lastColumn="0" w:oddVBand="0" w:evenVBand="0" w:oddHBand="0" w:evenHBand="0" w:firstRowFirstColumn="0" w:firstRowLastColumn="0" w:lastRowFirstColumn="0" w:lastRowLastColumn="0"/>
              <w:rPr>
                <w:rFonts w:cstheme="minorHAnsi"/>
              </w:rPr>
            </w:pPr>
            <w:r w:rsidRPr="002A343C">
              <w:rPr>
                <w:rFonts w:cstheme="minorHAnsi"/>
              </w:rPr>
              <w:t>Yes</w:t>
            </w:r>
          </w:p>
        </w:tc>
        <w:tc>
          <w:tcPr>
            <w:tcW w:w="981" w:type="dxa"/>
            <w:shd w:val="clear" w:color="auto" w:fill="0070C0"/>
            <w:hideMark/>
          </w:tcPr>
          <w:p w:rsidR="002A343C" w:rsidRPr="002A343C" w:rsidRDefault="002A343C" w:rsidP="0035318B">
            <w:pPr>
              <w:cnfStyle w:val="100000000000" w:firstRow="1" w:lastRow="0" w:firstColumn="0" w:lastColumn="0" w:oddVBand="0" w:evenVBand="0" w:oddHBand="0" w:evenHBand="0" w:firstRowFirstColumn="0" w:firstRowLastColumn="0" w:lastRowFirstColumn="0" w:lastRowLastColumn="0"/>
              <w:rPr>
                <w:rFonts w:cstheme="minorHAnsi"/>
              </w:rPr>
            </w:pPr>
            <w:r w:rsidRPr="002A343C">
              <w:rPr>
                <w:rFonts w:cstheme="minorHAnsi"/>
              </w:rPr>
              <w:t>No</w:t>
            </w:r>
          </w:p>
        </w:tc>
        <w:tc>
          <w:tcPr>
            <w:tcW w:w="981" w:type="dxa"/>
            <w:shd w:val="clear" w:color="auto" w:fill="0070C0"/>
            <w:hideMark/>
          </w:tcPr>
          <w:p w:rsidR="002A343C" w:rsidRPr="002A343C" w:rsidRDefault="002A343C" w:rsidP="0035318B">
            <w:pPr>
              <w:cnfStyle w:val="100000000000" w:firstRow="1" w:lastRow="0" w:firstColumn="0" w:lastColumn="0" w:oddVBand="0" w:evenVBand="0" w:oddHBand="0" w:evenHBand="0" w:firstRowFirstColumn="0" w:firstRowLastColumn="0" w:lastRowFirstColumn="0" w:lastRowLastColumn="0"/>
              <w:rPr>
                <w:rFonts w:cstheme="minorHAnsi"/>
              </w:rPr>
            </w:pPr>
            <w:r w:rsidRPr="002A343C">
              <w:rPr>
                <w:rFonts w:cstheme="minorHAnsi"/>
              </w:rPr>
              <w:t>Don't use</w:t>
            </w:r>
          </w:p>
        </w:tc>
      </w:tr>
      <w:tr w:rsidR="002A343C" w:rsidRPr="002A343C" w:rsidTr="002A343C">
        <w:trPr>
          <w:cnfStyle w:val="000000100000" w:firstRow="0" w:lastRow="0" w:firstColumn="0" w:lastColumn="0" w:oddVBand="0" w:evenVBand="0" w:oddHBand="1"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6293" w:type="dxa"/>
            <w:gridSpan w:val="2"/>
            <w:noWrap/>
            <w:hideMark/>
          </w:tcPr>
          <w:p w:rsidR="002A343C" w:rsidRPr="002A343C" w:rsidRDefault="002A343C" w:rsidP="0035318B">
            <w:pPr>
              <w:rPr>
                <w:rFonts w:cstheme="minorHAnsi"/>
                <w:b w:val="0"/>
                <w:bCs w:val="0"/>
              </w:rPr>
            </w:pPr>
            <w:r w:rsidRPr="002A343C">
              <w:rPr>
                <w:rFonts w:cstheme="minorHAnsi"/>
              </w:rPr>
              <w:t>Wellington City Council information is easy to access via…</w:t>
            </w:r>
          </w:p>
        </w:tc>
        <w:tc>
          <w:tcPr>
            <w:tcW w:w="981" w:type="dxa"/>
            <w:hideMark/>
          </w:tcPr>
          <w:p w:rsidR="002A343C" w:rsidRPr="002A343C" w:rsidRDefault="002A343C" w:rsidP="0035318B">
            <w:pPr>
              <w:cnfStyle w:val="000000100000" w:firstRow="0" w:lastRow="0" w:firstColumn="0" w:lastColumn="0" w:oddVBand="0" w:evenVBand="0" w:oddHBand="1" w:evenHBand="0" w:firstRowFirstColumn="0" w:firstRowLastColumn="0" w:lastRowFirstColumn="0" w:lastRowLastColumn="0"/>
              <w:rPr>
                <w:rFonts w:cstheme="minorHAnsi"/>
              </w:rPr>
            </w:pPr>
            <w:r w:rsidRPr="002A343C">
              <w:rPr>
                <w:rFonts w:cstheme="minorHAnsi"/>
              </w:rPr>
              <w:t> </w:t>
            </w:r>
          </w:p>
        </w:tc>
        <w:tc>
          <w:tcPr>
            <w:tcW w:w="981" w:type="dxa"/>
            <w:hideMark/>
          </w:tcPr>
          <w:p w:rsidR="002A343C" w:rsidRPr="002A343C" w:rsidRDefault="002A343C" w:rsidP="0035318B">
            <w:pPr>
              <w:cnfStyle w:val="000000100000" w:firstRow="0" w:lastRow="0" w:firstColumn="0" w:lastColumn="0" w:oddVBand="0" w:evenVBand="0" w:oddHBand="1" w:evenHBand="0" w:firstRowFirstColumn="0" w:firstRowLastColumn="0" w:lastRowFirstColumn="0" w:lastRowLastColumn="0"/>
              <w:rPr>
                <w:rFonts w:cstheme="minorHAnsi"/>
              </w:rPr>
            </w:pPr>
            <w:r w:rsidRPr="002A343C">
              <w:rPr>
                <w:rFonts w:cstheme="minorHAnsi"/>
              </w:rPr>
              <w:t> </w:t>
            </w:r>
          </w:p>
        </w:tc>
        <w:tc>
          <w:tcPr>
            <w:tcW w:w="981" w:type="dxa"/>
            <w:hideMark/>
          </w:tcPr>
          <w:p w:rsidR="002A343C" w:rsidRPr="002A343C" w:rsidRDefault="002A343C" w:rsidP="0035318B">
            <w:pPr>
              <w:cnfStyle w:val="000000100000" w:firstRow="0" w:lastRow="0" w:firstColumn="0" w:lastColumn="0" w:oddVBand="0" w:evenVBand="0" w:oddHBand="1" w:evenHBand="0" w:firstRowFirstColumn="0" w:firstRowLastColumn="0" w:lastRowFirstColumn="0" w:lastRowLastColumn="0"/>
              <w:rPr>
                <w:rFonts w:cstheme="minorHAnsi"/>
              </w:rPr>
            </w:pPr>
            <w:r w:rsidRPr="002A343C">
              <w:rPr>
                <w:rFonts w:cstheme="minorHAnsi"/>
              </w:rPr>
              <w:t> </w:t>
            </w:r>
          </w:p>
        </w:tc>
      </w:tr>
      <w:tr w:rsidR="002A343C" w:rsidRPr="002A343C" w:rsidTr="002A343C">
        <w:trPr>
          <w:cnfStyle w:val="000000010000" w:firstRow="0" w:lastRow="0" w:firstColumn="0" w:lastColumn="0" w:oddVBand="0" w:evenVBand="0" w:oddHBand="0" w:evenHBand="1"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5149" w:type="dxa"/>
            <w:noWrap/>
            <w:hideMark/>
          </w:tcPr>
          <w:p w:rsidR="002A343C" w:rsidRPr="002A343C" w:rsidRDefault="002A343C" w:rsidP="0035318B">
            <w:pPr>
              <w:rPr>
                <w:rFonts w:cstheme="minorHAnsi"/>
              </w:rPr>
            </w:pPr>
            <w:r w:rsidRPr="002A343C">
              <w:rPr>
                <w:rFonts w:cstheme="minorHAnsi"/>
              </w:rPr>
              <w:t>The Council website</w:t>
            </w:r>
          </w:p>
        </w:tc>
        <w:tc>
          <w:tcPr>
            <w:tcW w:w="1144" w:type="dxa"/>
            <w:noWrap/>
            <w:hideMark/>
          </w:tcPr>
          <w:p w:rsidR="002A343C" w:rsidRPr="002A343C" w:rsidRDefault="002A343C" w:rsidP="0035318B">
            <w:pPr>
              <w:cnfStyle w:val="000000010000" w:firstRow="0" w:lastRow="0" w:firstColumn="0" w:lastColumn="0" w:oddVBand="0" w:evenVBand="0" w:oddHBand="0" w:evenHBand="1" w:firstRowFirstColumn="0" w:firstRowLastColumn="0" w:lastRowFirstColumn="0" w:lastRowLastColumn="0"/>
              <w:rPr>
                <w:rFonts w:cstheme="minorHAnsi"/>
              </w:rPr>
            </w:pPr>
            <w:r w:rsidRPr="002A343C">
              <w:rPr>
                <w:rFonts w:cstheme="minorHAnsi"/>
              </w:rPr>
              <w:t>2019 n=508</w:t>
            </w:r>
          </w:p>
        </w:tc>
        <w:tc>
          <w:tcPr>
            <w:tcW w:w="981" w:type="dxa"/>
            <w:noWrap/>
            <w:hideMark/>
          </w:tcPr>
          <w:p w:rsidR="002A343C" w:rsidRPr="002A343C" w:rsidRDefault="002A343C" w:rsidP="0035318B">
            <w:pPr>
              <w:cnfStyle w:val="000000010000" w:firstRow="0" w:lastRow="0" w:firstColumn="0" w:lastColumn="0" w:oddVBand="0" w:evenVBand="0" w:oddHBand="0" w:evenHBand="1" w:firstRowFirstColumn="0" w:firstRowLastColumn="0" w:lastRowFirstColumn="0" w:lastRowLastColumn="0"/>
              <w:rPr>
                <w:rFonts w:cstheme="minorHAnsi"/>
              </w:rPr>
            </w:pPr>
            <w:r w:rsidRPr="002A343C">
              <w:rPr>
                <w:rFonts w:cstheme="minorHAnsi"/>
              </w:rPr>
              <w:t>74%</w:t>
            </w:r>
          </w:p>
        </w:tc>
        <w:tc>
          <w:tcPr>
            <w:tcW w:w="981" w:type="dxa"/>
            <w:noWrap/>
            <w:hideMark/>
          </w:tcPr>
          <w:p w:rsidR="002A343C" w:rsidRPr="002A343C" w:rsidRDefault="002A343C" w:rsidP="0035318B">
            <w:pPr>
              <w:cnfStyle w:val="000000010000" w:firstRow="0" w:lastRow="0" w:firstColumn="0" w:lastColumn="0" w:oddVBand="0" w:evenVBand="0" w:oddHBand="0" w:evenHBand="1" w:firstRowFirstColumn="0" w:firstRowLastColumn="0" w:lastRowFirstColumn="0" w:lastRowLastColumn="0"/>
              <w:rPr>
                <w:rFonts w:cstheme="minorHAnsi"/>
              </w:rPr>
            </w:pPr>
            <w:r w:rsidRPr="002A343C">
              <w:rPr>
                <w:rFonts w:cstheme="minorHAnsi"/>
              </w:rPr>
              <w:t>9%</w:t>
            </w:r>
          </w:p>
        </w:tc>
        <w:tc>
          <w:tcPr>
            <w:tcW w:w="981" w:type="dxa"/>
            <w:noWrap/>
            <w:hideMark/>
          </w:tcPr>
          <w:p w:rsidR="002A343C" w:rsidRPr="002A343C" w:rsidRDefault="002A343C" w:rsidP="0035318B">
            <w:pPr>
              <w:cnfStyle w:val="000000010000" w:firstRow="0" w:lastRow="0" w:firstColumn="0" w:lastColumn="0" w:oddVBand="0" w:evenVBand="0" w:oddHBand="0" w:evenHBand="1" w:firstRowFirstColumn="0" w:firstRowLastColumn="0" w:lastRowFirstColumn="0" w:lastRowLastColumn="0"/>
              <w:rPr>
                <w:rFonts w:cstheme="minorHAnsi"/>
              </w:rPr>
            </w:pPr>
            <w:r w:rsidRPr="002A343C">
              <w:rPr>
                <w:rFonts w:cstheme="minorHAnsi"/>
              </w:rPr>
              <w:t>17%</w:t>
            </w:r>
          </w:p>
        </w:tc>
      </w:tr>
      <w:tr w:rsidR="002A343C" w:rsidRPr="002A343C" w:rsidTr="002A343C">
        <w:trPr>
          <w:cnfStyle w:val="000000100000" w:firstRow="0" w:lastRow="0" w:firstColumn="0" w:lastColumn="0" w:oddVBand="0" w:evenVBand="0" w:oddHBand="1"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5149" w:type="dxa"/>
            <w:noWrap/>
            <w:hideMark/>
          </w:tcPr>
          <w:p w:rsidR="002A343C" w:rsidRPr="002A343C" w:rsidRDefault="002A343C" w:rsidP="0035318B">
            <w:pPr>
              <w:rPr>
                <w:rFonts w:cstheme="minorHAnsi"/>
              </w:rPr>
            </w:pPr>
            <w:r w:rsidRPr="002A343C">
              <w:rPr>
                <w:rFonts w:cstheme="minorHAnsi"/>
              </w:rPr>
              <w:t>Council libraries</w:t>
            </w:r>
          </w:p>
        </w:tc>
        <w:tc>
          <w:tcPr>
            <w:tcW w:w="1144" w:type="dxa"/>
            <w:noWrap/>
            <w:hideMark/>
          </w:tcPr>
          <w:p w:rsidR="002A343C" w:rsidRPr="002A343C" w:rsidRDefault="002A343C" w:rsidP="0035318B">
            <w:pPr>
              <w:cnfStyle w:val="000000100000" w:firstRow="0" w:lastRow="0" w:firstColumn="0" w:lastColumn="0" w:oddVBand="0" w:evenVBand="0" w:oddHBand="1" w:evenHBand="0" w:firstRowFirstColumn="0" w:firstRowLastColumn="0" w:lastRowFirstColumn="0" w:lastRowLastColumn="0"/>
              <w:rPr>
                <w:rFonts w:cstheme="minorHAnsi"/>
              </w:rPr>
            </w:pPr>
            <w:r w:rsidRPr="002A343C">
              <w:rPr>
                <w:rFonts w:cstheme="minorHAnsi"/>
              </w:rPr>
              <w:t>2019 n=508</w:t>
            </w:r>
          </w:p>
        </w:tc>
        <w:tc>
          <w:tcPr>
            <w:tcW w:w="981" w:type="dxa"/>
            <w:noWrap/>
            <w:hideMark/>
          </w:tcPr>
          <w:p w:rsidR="002A343C" w:rsidRPr="002A343C" w:rsidRDefault="002A343C" w:rsidP="0035318B">
            <w:pPr>
              <w:cnfStyle w:val="000000100000" w:firstRow="0" w:lastRow="0" w:firstColumn="0" w:lastColumn="0" w:oddVBand="0" w:evenVBand="0" w:oddHBand="1" w:evenHBand="0" w:firstRowFirstColumn="0" w:firstRowLastColumn="0" w:lastRowFirstColumn="0" w:lastRowLastColumn="0"/>
              <w:rPr>
                <w:rFonts w:cstheme="minorHAnsi"/>
              </w:rPr>
            </w:pPr>
            <w:r w:rsidRPr="002A343C">
              <w:rPr>
                <w:rFonts w:cstheme="minorHAnsi"/>
              </w:rPr>
              <w:t>46%</w:t>
            </w:r>
          </w:p>
        </w:tc>
        <w:tc>
          <w:tcPr>
            <w:tcW w:w="981" w:type="dxa"/>
            <w:noWrap/>
            <w:hideMark/>
          </w:tcPr>
          <w:p w:rsidR="002A343C" w:rsidRPr="002A343C" w:rsidRDefault="002A343C" w:rsidP="0035318B">
            <w:pPr>
              <w:cnfStyle w:val="000000100000" w:firstRow="0" w:lastRow="0" w:firstColumn="0" w:lastColumn="0" w:oddVBand="0" w:evenVBand="0" w:oddHBand="1" w:evenHBand="0" w:firstRowFirstColumn="0" w:firstRowLastColumn="0" w:lastRowFirstColumn="0" w:lastRowLastColumn="0"/>
              <w:rPr>
                <w:rFonts w:cstheme="minorHAnsi"/>
              </w:rPr>
            </w:pPr>
            <w:r w:rsidRPr="002A343C">
              <w:rPr>
                <w:rFonts w:cstheme="minorHAnsi"/>
              </w:rPr>
              <w:t>11%</w:t>
            </w:r>
          </w:p>
        </w:tc>
        <w:tc>
          <w:tcPr>
            <w:tcW w:w="981" w:type="dxa"/>
            <w:noWrap/>
            <w:hideMark/>
          </w:tcPr>
          <w:p w:rsidR="002A343C" w:rsidRPr="002A343C" w:rsidRDefault="002A343C" w:rsidP="0035318B">
            <w:pPr>
              <w:cnfStyle w:val="000000100000" w:firstRow="0" w:lastRow="0" w:firstColumn="0" w:lastColumn="0" w:oddVBand="0" w:evenVBand="0" w:oddHBand="1" w:evenHBand="0" w:firstRowFirstColumn="0" w:firstRowLastColumn="0" w:lastRowFirstColumn="0" w:lastRowLastColumn="0"/>
              <w:rPr>
                <w:rFonts w:cstheme="minorHAnsi"/>
              </w:rPr>
            </w:pPr>
            <w:r w:rsidRPr="002A343C">
              <w:rPr>
                <w:rFonts w:cstheme="minorHAnsi"/>
              </w:rPr>
              <w:t>44%</w:t>
            </w:r>
          </w:p>
        </w:tc>
      </w:tr>
      <w:tr w:rsidR="002A343C" w:rsidRPr="002A343C" w:rsidTr="002A343C">
        <w:trPr>
          <w:cnfStyle w:val="000000010000" w:firstRow="0" w:lastRow="0" w:firstColumn="0" w:lastColumn="0" w:oddVBand="0" w:evenVBand="0" w:oddHBand="0" w:evenHBand="1"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5149" w:type="dxa"/>
            <w:hideMark/>
          </w:tcPr>
          <w:p w:rsidR="002A343C" w:rsidRPr="002A343C" w:rsidRDefault="002A343C" w:rsidP="0035318B">
            <w:pPr>
              <w:rPr>
                <w:rFonts w:cstheme="minorHAnsi"/>
              </w:rPr>
            </w:pPr>
            <w:r w:rsidRPr="002A343C">
              <w:rPr>
                <w:rFonts w:cstheme="minorHAnsi"/>
              </w:rPr>
              <w:t>Social media</w:t>
            </w:r>
          </w:p>
        </w:tc>
        <w:tc>
          <w:tcPr>
            <w:tcW w:w="1144" w:type="dxa"/>
            <w:noWrap/>
            <w:hideMark/>
          </w:tcPr>
          <w:p w:rsidR="002A343C" w:rsidRPr="002A343C" w:rsidRDefault="002A343C" w:rsidP="0035318B">
            <w:pPr>
              <w:cnfStyle w:val="000000010000" w:firstRow="0" w:lastRow="0" w:firstColumn="0" w:lastColumn="0" w:oddVBand="0" w:evenVBand="0" w:oddHBand="0" w:evenHBand="1" w:firstRowFirstColumn="0" w:firstRowLastColumn="0" w:lastRowFirstColumn="0" w:lastRowLastColumn="0"/>
              <w:rPr>
                <w:rFonts w:cstheme="minorHAnsi"/>
              </w:rPr>
            </w:pPr>
            <w:r w:rsidRPr="002A343C">
              <w:rPr>
                <w:rFonts w:cstheme="minorHAnsi"/>
              </w:rPr>
              <w:t>2019 n=508</w:t>
            </w:r>
          </w:p>
        </w:tc>
        <w:tc>
          <w:tcPr>
            <w:tcW w:w="981" w:type="dxa"/>
            <w:noWrap/>
            <w:hideMark/>
          </w:tcPr>
          <w:p w:rsidR="002A343C" w:rsidRPr="002A343C" w:rsidRDefault="002A343C" w:rsidP="0035318B">
            <w:pPr>
              <w:cnfStyle w:val="000000010000" w:firstRow="0" w:lastRow="0" w:firstColumn="0" w:lastColumn="0" w:oddVBand="0" w:evenVBand="0" w:oddHBand="0" w:evenHBand="1" w:firstRowFirstColumn="0" w:firstRowLastColumn="0" w:lastRowFirstColumn="0" w:lastRowLastColumn="0"/>
              <w:rPr>
                <w:rFonts w:cstheme="minorHAnsi"/>
              </w:rPr>
            </w:pPr>
            <w:r w:rsidRPr="002A343C">
              <w:rPr>
                <w:rFonts w:cstheme="minorHAnsi"/>
              </w:rPr>
              <w:t>39%</w:t>
            </w:r>
          </w:p>
        </w:tc>
        <w:tc>
          <w:tcPr>
            <w:tcW w:w="981" w:type="dxa"/>
            <w:noWrap/>
            <w:hideMark/>
          </w:tcPr>
          <w:p w:rsidR="002A343C" w:rsidRPr="002A343C" w:rsidRDefault="002A343C" w:rsidP="0035318B">
            <w:pPr>
              <w:cnfStyle w:val="000000010000" w:firstRow="0" w:lastRow="0" w:firstColumn="0" w:lastColumn="0" w:oddVBand="0" w:evenVBand="0" w:oddHBand="0" w:evenHBand="1" w:firstRowFirstColumn="0" w:firstRowLastColumn="0" w:lastRowFirstColumn="0" w:lastRowLastColumn="0"/>
              <w:rPr>
                <w:rFonts w:cstheme="minorHAnsi"/>
              </w:rPr>
            </w:pPr>
            <w:r w:rsidRPr="002A343C">
              <w:rPr>
                <w:rFonts w:cstheme="minorHAnsi"/>
              </w:rPr>
              <w:t>9%</w:t>
            </w:r>
          </w:p>
        </w:tc>
        <w:tc>
          <w:tcPr>
            <w:tcW w:w="981" w:type="dxa"/>
            <w:noWrap/>
            <w:hideMark/>
          </w:tcPr>
          <w:p w:rsidR="002A343C" w:rsidRPr="002A343C" w:rsidRDefault="002A343C" w:rsidP="0035318B">
            <w:pPr>
              <w:cnfStyle w:val="000000010000" w:firstRow="0" w:lastRow="0" w:firstColumn="0" w:lastColumn="0" w:oddVBand="0" w:evenVBand="0" w:oddHBand="0" w:evenHBand="1" w:firstRowFirstColumn="0" w:firstRowLastColumn="0" w:lastRowFirstColumn="0" w:lastRowLastColumn="0"/>
              <w:rPr>
                <w:rFonts w:cstheme="minorHAnsi"/>
              </w:rPr>
            </w:pPr>
            <w:r w:rsidRPr="002A343C">
              <w:rPr>
                <w:rFonts w:cstheme="minorHAnsi"/>
              </w:rPr>
              <w:t>52%</w:t>
            </w:r>
          </w:p>
        </w:tc>
      </w:tr>
      <w:tr w:rsidR="002A343C" w:rsidRPr="002A343C" w:rsidTr="002A343C">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5149" w:type="dxa"/>
            <w:noWrap/>
            <w:hideMark/>
          </w:tcPr>
          <w:p w:rsidR="002A343C" w:rsidRPr="002A343C" w:rsidRDefault="002A343C" w:rsidP="0035318B">
            <w:pPr>
              <w:rPr>
                <w:rFonts w:cstheme="minorHAnsi"/>
              </w:rPr>
            </w:pPr>
            <w:r w:rsidRPr="002A343C">
              <w:rPr>
                <w:rFonts w:cstheme="minorHAnsi"/>
              </w:rPr>
              <w:t>Newspapers</w:t>
            </w:r>
          </w:p>
        </w:tc>
        <w:tc>
          <w:tcPr>
            <w:tcW w:w="1144" w:type="dxa"/>
            <w:noWrap/>
            <w:hideMark/>
          </w:tcPr>
          <w:p w:rsidR="002A343C" w:rsidRPr="002A343C" w:rsidRDefault="002A343C" w:rsidP="0035318B">
            <w:pPr>
              <w:cnfStyle w:val="000000100000" w:firstRow="0" w:lastRow="0" w:firstColumn="0" w:lastColumn="0" w:oddVBand="0" w:evenVBand="0" w:oddHBand="1" w:evenHBand="0" w:firstRowFirstColumn="0" w:firstRowLastColumn="0" w:lastRowFirstColumn="0" w:lastRowLastColumn="0"/>
              <w:rPr>
                <w:rFonts w:cstheme="minorHAnsi"/>
              </w:rPr>
            </w:pPr>
            <w:r w:rsidRPr="002A343C">
              <w:rPr>
                <w:rFonts w:cstheme="minorHAnsi"/>
              </w:rPr>
              <w:t>2019 n=508</w:t>
            </w:r>
          </w:p>
        </w:tc>
        <w:tc>
          <w:tcPr>
            <w:tcW w:w="981" w:type="dxa"/>
            <w:noWrap/>
            <w:hideMark/>
          </w:tcPr>
          <w:p w:rsidR="002A343C" w:rsidRPr="002A343C" w:rsidRDefault="002A343C" w:rsidP="0035318B">
            <w:pPr>
              <w:cnfStyle w:val="000000100000" w:firstRow="0" w:lastRow="0" w:firstColumn="0" w:lastColumn="0" w:oddVBand="0" w:evenVBand="0" w:oddHBand="1" w:evenHBand="0" w:firstRowFirstColumn="0" w:firstRowLastColumn="0" w:lastRowFirstColumn="0" w:lastRowLastColumn="0"/>
              <w:rPr>
                <w:rFonts w:cstheme="minorHAnsi"/>
              </w:rPr>
            </w:pPr>
            <w:r w:rsidRPr="002A343C">
              <w:rPr>
                <w:rFonts w:cstheme="minorHAnsi"/>
              </w:rPr>
              <w:t>24%</w:t>
            </w:r>
          </w:p>
        </w:tc>
        <w:tc>
          <w:tcPr>
            <w:tcW w:w="981" w:type="dxa"/>
            <w:noWrap/>
            <w:hideMark/>
          </w:tcPr>
          <w:p w:rsidR="002A343C" w:rsidRPr="002A343C" w:rsidRDefault="002A343C" w:rsidP="0035318B">
            <w:pPr>
              <w:cnfStyle w:val="000000100000" w:firstRow="0" w:lastRow="0" w:firstColumn="0" w:lastColumn="0" w:oddVBand="0" w:evenVBand="0" w:oddHBand="1" w:evenHBand="0" w:firstRowFirstColumn="0" w:firstRowLastColumn="0" w:lastRowFirstColumn="0" w:lastRowLastColumn="0"/>
              <w:rPr>
                <w:rFonts w:cstheme="minorHAnsi"/>
              </w:rPr>
            </w:pPr>
            <w:r w:rsidRPr="002A343C">
              <w:rPr>
                <w:rFonts w:cstheme="minorHAnsi"/>
              </w:rPr>
              <w:t>10%</w:t>
            </w:r>
          </w:p>
        </w:tc>
        <w:tc>
          <w:tcPr>
            <w:tcW w:w="981" w:type="dxa"/>
            <w:noWrap/>
            <w:hideMark/>
          </w:tcPr>
          <w:p w:rsidR="002A343C" w:rsidRPr="002A343C" w:rsidRDefault="002A343C" w:rsidP="0035318B">
            <w:pPr>
              <w:cnfStyle w:val="000000100000" w:firstRow="0" w:lastRow="0" w:firstColumn="0" w:lastColumn="0" w:oddVBand="0" w:evenVBand="0" w:oddHBand="1" w:evenHBand="0" w:firstRowFirstColumn="0" w:firstRowLastColumn="0" w:lastRowFirstColumn="0" w:lastRowLastColumn="0"/>
              <w:rPr>
                <w:rFonts w:cstheme="minorHAnsi"/>
              </w:rPr>
            </w:pPr>
            <w:r w:rsidRPr="002A343C">
              <w:rPr>
                <w:rFonts w:cstheme="minorHAnsi"/>
              </w:rPr>
              <w:t>66%</w:t>
            </w:r>
          </w:p>
        </w:tc>
      </w:tr>
      <w:tr w:rsidR="002A343C" w:rsidRPr="002A343C" w:rsidTr="002A343C">
        <w:trPr>
          <w:cnfStyle w:val="000000010000" w:firstRow="0" w:lastRow="0" w:firstColumn="0" w:lastColumn="0" w:oddVBand="0" w:evenVBand="0" w:oddHBand="0" w:evenHBand="1"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5149" w:type="dxa"/>
            <w:noWrap/>
            <w:hideMark/>
          </w:tcPr>
          <w:p w:rsidR="002A343C" w:rsidRPr="002A343C" w:rsidRDefault="002A343C" w:rsidP="0035318B">
            <w:pPr>
              <w:rPr>
                <w:rFonts w:cstheme="minorHAnsi"/>
              </w:rPr>
            </w:pPr>
          </w:p>
        </w:tc>
        <w:tc>
          <w:tcPr>
            <w:tcW w:w="1144" w:type="dxa"/>
            <w:noWrap/>
            <w:hideMark/>
          </w:tcPr>
          <w:p w:rsidR="002A343C" w:rsidRPr="002A343C" w:rsidRDefault="002A343C" w:rsidP="0035318B">
            <w:pPr>
              <w:cnfStyle w:val="000000010000" w:firstRow="0" w:lastRow="0" w:firstColumn="0" w:lastColumn="0" w:oddVBand="0" w:evenVBand="0" w:oddHBand="0" w:evenHBand="1" w:firstRowFirstColumn="0" w:firstRowLastColumn="0" w:lastRowFirstColumn="0" w:lastRowLastColumn="0"/>
              <w:rPr>
                <w:rFonts w:cstheme="minorHAnsi"/>
              </w:rPr>
            </w:pPr>
            <w:r w:rsidRPr="002A343C">
              <w:rPr>
                <w:rFonts w:cstheme="minorHAnsi"/>
              </w:rPr>
              <w:t>Average</w:t>
            </w:r>
          </w:p>
        </w:tc>
        <w:tc>
          <w:tcPr>
            <w:tcW w:w="981" w:type="dxa"/>
            <w:noWrap/>
            <w:hideMark/>
          </w:tcPr>
          <w:p w:rsidR="002A343C" w:rsidRPr="002A343C" w:rsidRDefault="00E46729" w:rsidP="0035318B">
            <w:pPr>
              <w:cnfStyle w:val="000000010000" w:firstRow="0" w:lastRow="0" w:firstColumn="0" w:lastColumn="0" w:oddVBand="0" w:evenVBand="0" w:oddHBand="0" w:evenHBand="1" w:firstRowFirstColumn="0" w:firstRowLastColumn="0" w:lastRowFirstColumn="0" w:lastRowLastColumn="0"/>
              <w:rPr>
                <w:rFonts w:cstheme="minorHAnsi"/>
              </w:rPr>
            </w:pPr>
            <w:r>
              <w:rPr>
                <w:rFonts w:cstheme="minorHAnsi"/>
              </w:rPr>
              <w:t>4</w:t>
            </w:r>
            <w:r w:rsidR="002A343C" w:rsidRPr="002A343C">
              <w:rPr>
                <w:rFonts w:cstheme="minorHAnsi"/>
              </w:rPr>
              <w:t>6%</w:t>
            </w:r>
          </w:p>
        </w:tc>
        <w:tc>
          <w:tcPr>
            <w:tcW w:w="981" w:type="dxa"/>
            <w:noWrap/>
            <w:hideMark/>
          </w:tcPr>
          <w:p w:rsidR="002A343C" w:rsidRPr="002A343C" w:rsidRDefault="002A343C" w:rsidP="0035318B">
            <w:pPr>
              <w:cnfStyle w:val="000000010000" w:firstRow="0" w:lastRow="0" w:firstColumn="0" w:lastColumn="0" w:oddVBand="0" w:evenVBand="0" w:oddHBand="0" w:evenHBand="1" w:firstRowFirstColumn="0" w:firstRowLastColumn="0" w:lastRowFirstColumn="0" w:lastRowLastColumn="0"/>
              <w:rPr>
                <w:rFonts w:cstheme="minorHAnsi"/>
              </w:rPr>
            </w:pPr>
          </w:p>
        </w:tc>
        <w:tc>
          <w:tcPr>
            <w:tcW w:w="981" w:type="dxa"/>
            <w:noWrap/>
            <w:hideMark/>
          </w:tcPr>
          <w:p w:rsidR="002A343C" w:rsidRPr="002A343C" w:rsidRDefault="002A343C" w:rsidP="0035318B">
            <w:pPr>
              <w:cnfStyle w:val="000000010000" w:firstRow="0" w:lastRow="0" w:firstColumn="0" w:lastColumn="0" w:oddVBand="0" w:evenVBand="0" w:oddHBand="0" w:evenHBand="1" w:firstRowFirstColumn="0" w:firstRowLastColumn="0" w:lastRowFirstColumn="0" w:lastRowLastColumn="0"/>
              <w:rPr>
                <w:rFonts w:cstheme="minorHAnsi"/>
              </w:rPr>
            </w:pPr>
          </w:p>
        </w:tc>
      </w:tr>
      <w:tr w:rsidR="00E46729" w:rsidRPr="002A343C" w:rsidTr="002A343C">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5149" w:type="dxa"/>
            <w:noWrap/>
          </w:tcPr>
          <w:p w:rsidR="00E46729" w:rsidRPr="002A343C" w:rsidRDefault="00E46729" w:rsidP="0035318B">
            <w:pPr>
              <w:rPr>
                <w:rFonts w:cstheme="minorHAnsi"/>
              </w:rPr>
            </w:pPr>
            <w:r>
              <w:rPr>
                <w:rFonts w:cstheme="minorHAnsi"/>
              </w:rPr>
              <w:t>Source: RMS 2019</w:t>
            </w:r>
          </w:p>
        </w:tc>
        <w:tc>
          <w:tcPr>
            <w:tcW w:w="1144" w:type="dxa"/>
            <w:noWrap/>
          </w:tcPr>
          <w:p w:rsidR="00E46729" w:rsidRPr="002A343C" w:rsidRDefault="00E46729" w:rsidP="0035318B">
            <w:pPr>
              <w:cnfStyle w:val="000000100000" w:firstRow="0" w:lastRow="0" w:firstColumn="0" w:lastColumn="0" w:oddVBand="0" w:evenVBand="0" w:oddHBand="1" w:evenHBand="0" w:firstRowFirstColumn="0" w:firstRowLastColumn="0" w:lastRowFirstColumn="0" w:lastRowLastColumn="0"/>
              <w:rPr>
                <w:rFonts w:cstheme="minorHAnsi"/>
              </w:rPr>
            </w:pPr>
          </w:p>
        </w:tc>
        <w:tc>
          <w:tcPr>
            <w:tcW w:w="981" w:type="dxa"/>
            <w:noWrap/>
          </w:tcPr>
          <w:p w:rsidR="00E46729" w:rsidRPr="002A343C" w:rsidDel="00E46729" w:rsidRDefault="00E46729" w:rsidP="0035318B">
            <w:pPr>
              <w:cnfStyle w:val="000000100000" w:firstRow="0" w:lastRow="0" w:firstColumn="0" w:lastColumn="0" w:oddVBand="0" w:evenVBand="0" w:oddHBand="1" w:evenHBand="0" w:firstRowFirstColumn="0" w:firstRowLastColumn="0" w:lastRowFirstColumn="0" w:lastRowLastColumn="0"/>
              <w:rPr>
                <w:rFonts w:cstheme="minorHAnsi"/>
              </w:rPr>
            </w:pPr>
          </w:p>
        </w:tc>
        <w:tc>
          <w:tcPr>
            <w:tcW w:w="981" w:type="dxa"/>
            <w:noWrap/>
          </w:tcPr>
          <w:p w:rsidR="00E46729" w:rsidRPr="002A343C" w:rsidRDefault="00E46729" w:rsidP="0035318B">
            <w:pPr>
              <w:cnfStyle w:val="000000100000" w:firstRow="0" w:lastRow="0" w:firstColumn="0" w:lastColumn="0" w:oddVBand="0" w:evenVBand="0" w:oddHBand="1" w:evenHBand="0" w:firstRowFirstColumn="0" w:firstRowLastColumn="0" w:lastRowFirstColumn="0" w:lastRowLastColumn="0"/>
              <w:rPr>
                <w:rFonts w:cstheme="minorHAnsi"/>
              </w:rPr>
            </w:pPr>
          </w:p>
        </w:tc>
        <w:tc>
          <w:tcPr>
            <w:tcW w:w="981" w:type="dxa"/>
            <w:noWrap/>
          </w:tcPr>
          <w:p w:rsidR="00E46729" w:rsidRPr="002A343C" w:rsidRDefault="00E46729" w:rsidP="0035318B">
            <w:pPr>
              <w:cnfStyle w:val="000000100000" w:firstRow="0" w:lastRow="0" w:firstColumn="0" w:lastColumn="0" w:oddVBand="0" w:evenVBand="0" w:oddHBand="1" w:evenHBand="0" w:firstRowFirstColumn="0" w:firstRowLastColumn="0" w:lastRowFirstColumn="0" w:lastRowLastColumn="0"/>
              <w:rPr>
                <w:rFonts w:cstheme="minorHAnsi"/>
              </w:rPr>
            </w:pPr>
          </w:p>
        </w:tc>
      </w:tr>
    </w:tbl>
    <w:p w:rsidR="002A343C" w:rsidRPr="00D5126A" w:rsidRDefault="002A343C" w:rsidP="007D1D61">
      <w:pPr>
        <w:sectPr w:rsidR="002A343C" w:rsidRPr="00D5126A" w:rsidSect="000E2CB7">
          <w:type w:val="nextColumn"/>
          <w:pgSz w:w="16838" w:h="11906" w:orient="landscape"/>
          <w:pgMar w:top="851" w:right="1670" w:bottom="709" w:left="1440" w:header="567" w:footer="270" w:gutter="0"/>
          <w:cols w:space="708"/>
          <w:docGrid w:linePitch="360"/>
        </w:sectPr>
      </w:pPr>
    </w:p>
    <w:p w:rsidR="007D1D61" w:rsidRPr="00D5126A" w:rsidRDefault="007F78CB" w:rsidP="00AA2122">
      <w:pPr>
        <w:pStyle w:val="Heading3"/>
      </w:pPr>
      <w:bookmarkStart w:id="159" w:name="_Toc19085813"/>
      <w:r>
        <w:lastRenderedPageBreak/>
        <w:t xml:space="preserve">Case study - </w:t>
      </w:r>
      <w:r w:rsidR="007D1D61" w:rsidRPr="00D5126A">
        <w:t>Conversations about our future city</w:t>
      </w:r>
      <w:bookmarkEnd w:id="159"/>
    </w:p>
    <w:p w:rsidR="007D1D61" w:rsidRPr="00D5126A" w:rsidRDefault="007D1D61" w:rsidP="007D1D61">
      <w:pPr>
        <w:rPr>
          <w:rFonts w:ascii="Arial" w:hAnsi="Arial" w:cs="Arial"/>
        </w:rPr>
      </w:pPr>
      <w:r w:rsidRPr="00D5126A">
        <w:rPr>
          <w:rFonts w:ascii="Arial" w:hAnsi="Arial" w:cs="Arial"/>
        </w:rPr>
        <w:t>In three decades from now Wellington will be home to 50,000 to 80,000 more people. Where will they live? How will they get around the city? What jobs will they do?</w:t>
      </w:r>
    </w:p>
    <w:p w:rsidR="007D1D61" w:rsidRPr="00D5126A" w:rsidRDefault="007D1D61" w:rsidP="007D1D61">
      <w:pPr>
        <w:rPr>
          <w:rFonts w:ascii="Arial" w:hAnsi="Arial" w:cs="Arial"/>
        </w:rPr>
      </w:pPr>
      <w:r w:rsidRPr="00D5126A">
        <w:rPr>
          <w:rFonts w:ascii="Arial" w:hAnsi="Arial" w:cs="Arial"/>
        </w:rPr>
        <w:t xml:space="preserve">We have some natural constraints – rising sea levels on one side and Wellington’s distinctive hills on the other </w:t>
      </w:r>
      <w:r w:rsidR="00167E90" w:rsidRPr="00D5126A">
        <w:rPr>
          <w:rFonts w:ascii="Arial" w:hAnsi="Arial" w:cs="Arial"/>
        </w:rPr>
        <w:t>–</w:t>
      </w:r>
      <w:r w:rsidR="00167E90">
        <w:rPr>
          <w:rFonts w:ascii="Arial" w:hAnsi="Arial" w:cs="Arial"/>
        </w:rPr>
        <w:t xml:space="preserve"> </w:t>
      </w:r>
      <w:r w:rsidRPr="00D5126A">
        <w:rPr>
          <w:rFonts w:ascii="Arial" w:hAnsi="Arial" w:cs="Arial"/>
        </w:rPr>
        <w:t xml:space="preserve">so our growth options are limited. The extra people will put pressure on transport, infrastructure and housing, particularly in the inner city. </w:t>
      </w:r>
    </w:p>
    <w:p w:rsidR="007D1D61" w:rsidRPr="00D5126A" w:rsidRDefault="007D1D61" w:rsidP="007D1D61">
      <w:pPr>
        <w:rPr>
          <w:rFonts w:ascii="Arial" w:hAnsi="Arial" w:cs="Arial"/>
        </w:rPr>
      </w:pPr>
      <w:r w:rsidRPr="00D5126A">
        <w:rPr>
          <w:rFonts w:ascii="Arial" w:hAnsi="Arial" w:cs="Arial"/>
        </w:rPr>
        <w:t xml:space="preserve">We also have to think carefully about how to manage growth so we keep the things people love about Wellington. </w:t>
      </w:r>
    </w:p>
    <w:p w:rsidR="007D1D61" w:rsidRPr="00D5126A" w:rsidRDefault="007D1D61" w:rsidP="007D1D61">
      <w:pPr>
        <w:rPr>
          <w:rFonts w:ascii="Arial" w:hAnsi="Arial" w:cs="Arial"/>
        </w:rPr>
      </w:pPr>
      <w:r w:rsidRPr="00D5126A">
        <w:rPr>
          <w:rFonts w:ascii="Arial" w:hAnsi="Arial" w:cs="Arial"/>
        </w:rPr>
        <w:t xml:space="preserve">In early 2019, we took our first step towards a full review of the city’s District Plan. The Planning for Growth project impacts everything from transport to the natural environment, housing, resilience, infrastructure and heritage. This is a once-in-a-generation opportunity to shape the future of the city. </w:t>
      </w:r>
    </w:p>
    <w:p w:rsidR="007D1D61" w:rsidRPr="00D5126A" w:rsidRDefault="007D1D61" w:rsidP="007D1D61">
      <w:pPr>
        <w:rPr>
          <w:rFonts w:ascii="Arial" w:hAnsi="Arial" w:cs="Arial"/>
        </w:rPr>
      </w:pPr>
      <w:r w:rsidRPr="00D5126A">
        <w:rPr>
          <w:rFonts w:ascii="Arial" w:hAnsi="Arial" w:cs="Arial"/>
        </w:rPr>
        <w:t xml:space="preserve">However, this is not a topic of conversation that often inspires </w:t>
      </w:r>
      <w:r w:rsidR="00167E90">
        <w:rPr>
          <w:rFonts w:ascii="Arial" w:hAnsi="Arial" w:cs="Arial"/>
        </w:rPr>
        <w:t xml:space="preserve">a </w:t>
      </w:r>
      <w:r w:rsidRPr="00D5126A">
        <w:rPr>
          <w:rFonts w:ascii="Arial" w:hAnsi="Arial" w:cs="Arial"/>
        </w:rPr>
        <w:t xml:space="preserve">high level of engagement from our communities. We knew we needed to do something different to spark the conversations we needed. </w:t>
      </w:r>
    </w:p>
    <w:p w:rsidR="007D1D61" w:rsidRPr="00D5126A" w:rsidRDefault="007D1D61" w:rsidP="007D1D61">
      <w:pPr>
        <w:rPr>
          <w:rFonts w:ascii="Arial" w:hAnsi="Arial" w:cs="Arial"/>
        </w:rPr>
      </w:pPr>
      <w:r w:rsidRPr="00D5126A">
        <w:rPr>
          <w:rFonts w:ascii="Arial" w:hAnsi="Arial" w:cs="Arial"/>
        </w:rPr>
        <w:t>Principal Advisor Planning Kate Pascall said the core goal was to get people thinking wider than their own backyard.</w:t>
      </w:r>
    </w:p>
    <w:p w:rsidR="007D1D61" w:rsidRPr="00D5126A" w:rsidRDefault="007D1D61" w:rsidP="007D1D61">
      <w:pPr>
        <w:rPr>
          <w:rFonts w:ascii="Arial" w:hAnsi="Arial" w:cs="Arial"/>
        </w:rPr>
      </w:pPr>
      <w:r w:rsidRPr="00D5126A">
        <w:rPr>
          <w:rFonts w:ascii="Arial" w:hAnsi="Arial" w:cs="Arial"/>
        </w:rPr>
        <w:t>“We knew there would be some compromises needed along the way. It is relevant to anyone who sees Wellington as their home in the future – whether they own a home, want to own a home, rent, are working or studying, live in the inner city, the suburbs or a rural area.”</w:t>
      </w:r>
    </w:p>
    <w:p w:rsidR="007D1D61" w:rsidRPr="00D5126A" w:rsidRDefault="007D1D61" w:rsidP="007D1D61">
      <w:pPr>
        <w:rPr>
          <w:rFonts w:ascii="Arial" w:hAnsi="Arial" w:cs="Arial"/>
        </w:rPr>
      </w:pPr>
      <w:r w:rsidRPr="00D5126A">
        <w:rPr>
          <w:rFonts w:ascii="Arial" w:hAnsi="Arial" w:cs="Arial"/>
        </w:rPr>
        <w:t xml:space="preserve">Council began a process of talking with the community about what they wanted the city to look like in the future based on four growth scenarios – Inner City Suburbs, Suburban Centre Focus, New Greenfield Suburb and Extensions, and Greenfield Extensions. </w:t>
      </w:r>
    </w:p>
    <w:p w:rsidR="007D1D61" w:rsidRPr="00D5126A" w:rsidRDefault="007D1D61" w:rsidP="007D1D61">
      <w:pPr>
        <w:rPr>
          <w:rFonts w:ascii="Arial" w:hAnsi="Arial" w:cs="Arial"/>
        </w:rPr>
      </w:pPr>
      <w:r w:rsidRPr="00D5126A">
        <w:rPr>
          <w:rFonts w:ascii="Arial" w:hAnsi="Arial" w:cs="Arial"/>
        </w:rPr>
        <w:t xml:space="preserve">The scenarios helped us explain the trade-offs that different options would </w:t>
      </w:r>
      <w:r w:rsidR="007D1714" w:rsidRPr="00D5126A">
        <w:rPr>
          <w:rFonts w:ascii="Arial" w:hAnsi="Arial" w:cs="Arial"/>
        </w:rPr>
        <w:t>require</w:t>
      </w:r>
      <w:r w:rsidRPr="00D5126A">
        <w:rPr>
          <w:rFonts w:ascii="Arial" w:hAnsi="Arial" w:cs="Arial"/>
        </w:rPr>
        <w:t xml:space="preserve">. Do we want family homes in the suburbs, or apartments on the bus route? Do we have more high-rise in the city or </w:t>
      </w:r>
      <w:r w:rsidR="007D1714" w:rsidRPr="00D5126A">
        <w:rPr>
          <w:rFonts w:ascii="Arial" w:hAnsi="Arial" w:cs="Arial"/>
        </w:rPr>
        <w:t xml:space="preserve">low-rise </w:t>
      </w:r>
      <w:r w:rsidRPr="00D5126A">
        <w:rPr>
          <w:rFonts w:ascii="Arial" w:hAnsi="Arial" w:cs="Arial"/>
        </w:rPr>
        <w:t>apartments around our suburban centres? Do we stretch into rural areas, or build new houses in our character suburbs?</w:t>
      </w:r>
    </w:p>
    <w:p w:rsidR="00A914E7" w:rsidRPr="00D5126A" w:rsidRDefault="007D1D61" w:rsidP="00A914E7">
      <w:pPr>
        <w:rPr>
          <w:rFonts w:ascii="Arial" w:hAnsi="Arial" w:cs="Arial"/>
        </w:rPr>
      </w:pPr>
      <w:r w:rsidRPr="00D5126A">
        <w:rPr>
          <w:rFonts w:ascii="Arial" w:hAnsi="Arial" w:cs="Arial"/>
        </w:rPr>
        <w:t xml:space="preserve">Our engagement strategy also let the community lead the conversation; to get them thinking and caring about the issues we face together, and ask them to help make the hard decisions.  We had a particular focus on youth, and going to the community rather than </w:t>
      </w:r>
      <w:r w:rsidR="00A914E7" w:rsidRPr="00D5126A">
        <w:rPr>
          <w:rFonts w:ascii="Arial" w:hAnsi="Arial" w:cs="Arial"/>
        </w:rPr>
        <w:t xml:space="preserve">asking that they come to us. </w:t>
      </w:r>
    </w:p>
    <w:p w:rsidR="00A914E7" w:rsidRPr="00D5126A" w:rsidRDefault="00A914E7" w:rsidP="00A914E7">
      <w:pPr>
        <w:rPr>
          <w:rFonts w:ascii="Arial" w:hAnsi="Arial" w:cs="Arial"/>
        </w:rPr>
      </w:pPr>
      <w:r w:rsidRPr="00D5126A">
        <w:rPr>
          <w:rFonts w:ascii="Arial" w:hAnsi="Arial" w:cs="Arial"/>
        </w:rPr>
        <w:t>To do this we had to do engagement a bit differently. Our pre-engagement phase included a Speaker Series over three evenings in March at the City Gallery. Speakers covered everything from the hopes of our young people, and how Artificial Intelligence (AI) is transforming the way we live, to living carbon neutral and bringing nature to the city. The Speaker Series attracted 300 members of the public across the three evenings.</w:t>
      </w:r>
    </w:p>
    <w:p w:rsidR="00A914E7" w:rsidRPr="00D5126A" w:rsidRDefault="00A914E7" w:rsidP="00A914E7">
      <w:pPr>
        <w:rPr>
          <w:rFonts w:ascii="Arial" w:hAnsi="Arial" w:cs="Arial"/>
        </w:rPr>
      </w:pPr>
      <w:r w:rsidRPr="00D5126A">
        <w:rPr>
          <w:rFonts w:ascii="Arial" w:hAnsi="Arial" w:cs="Arial"/>
        </w:rPr>
        <w:t>We used video content and social media extensively throughout our engagement to get the message out to people of all ages. In addition to this</w:t>
      </w:r>
      <w:proofErr w:type="gramStart"/>
      <w:r w:rsidRPr="00D5126A">
        <w:rPr>
          <w:rFonts w:ascii="Arial" w:hAnsi="Arial" w:cs="Arial"/>
        </w:rPr>
        <w:t xml:space="preserve">, </w:t>
      </w:r>
      <w:r w:rsidR="00D00144">
        <w:rPr>
          <w:rFonts w:ascii="Arial" w:hAnsi="Arial" w:cs="Arial"/>
        </w:rPr>
        <w:t>”</w:t>
      </w:r>
      <w:proofErr w:type="gramEnd"/>
      <w:r w:rsidRPr="00D5126A">
        <w:rPr>
          <w:rFonts w:ascii="Arial" w:hAnsi="Arial" w:cs="Arial"/>
        </w:rPr>
        <w:t xml:space="preserve">What’s Your </w:t>
      </w:r>
      <w:r w:rsidR="00D00144" w:rsidRPr="00D5126A">
        <w:rPr>
          <w:rFonts w:ascii="Arial" w:hAnsi="Arial" w:cs="Arial"/>
        </w:rPr>
        <w:t>View</w:t>
      </w:r>
      <w:r w:rsidR="00D00144">
        <w:rPr>
          <w:rFonts w:ascii="Arial" w:hAnsi="Arial" w:cs="Arial"/>
        </w:rPr>
        <w:t>”</w:t>
      </w:r>
      <w:r w:rsidR="00D00144" w:rsidRPr="00D5126A">
        <w:rPr>
          <w:rFonts w:ascii="Arial" w:hAnsi="Arial" w:cs="Arial"/>
        </w:rPr>
        <w:t xml:space="preserve"> </w:t>
      </w:r>
      <w:r w:rsidRPr="00D5126A">
        <w:rPr>
          <w:rFonts w:ascii="Arial" w:hAnsi="Arial" w:cs="Arial"/>
        </w:rPr>
        <w:t>posters were put up across the central city to grab people’s attention.</w:t>
      </w:r>
    </w:p>
    <w:p w:rsidR="00A914E7" w:rsidRPr="00D5126A" w:rsidRDefault="00A914E7" w:rsidP="00A914E7">
      <w:pPr>
        <w:rPr>
          <w:rFonts w:ascii="Arial" w:hAnsi="Arial" w:cs="Arial"/>
        </w:rPr>
      </w:pPr>
      <w:r w:rsidRPr="00D5126A">
        <w:rPr>
          <w:rFonts w:ascii="Arial" w:hAnsi="Arial" w:cs="Arial"/>
        </w:rPr>
        <w:lastRenderedPageBreak/>
        <w:t>We had 300 face-to-face conversations with people at drop-in events and local markets, including with young families, retirees, homeowners and renters looking to buy their first home.</w:t>
      </w:r>
    </w:p>
    <w:p w:rsidR="007D1D61" w:rsidRPr="00D5126A" w:rsidRDefault="007D1D61" w:rsidP="007D1D61">
      <w:pPr>
        <w:rPr>
          <w:rFonts w:ascii="Arial" w:hAnsi="Arial" w:cs="Arial"/>
        </w:rPr>
      </w:pPr>
      <w:r w:rsidRPr="00D5126A">
        <w:rPr>
          <w:rFonts w:ascii="Arial" w:hAnsi="Arial" w:cs="Arial"/>
        </w:rPr>
        <w:t>In total 1372 people made a submission on the future shape of their city, including 250 high school students.  In addition, 773 responded to a Planning for Growth Facebook survey. This level of response was previously unheard of for a planning consultation.</w:t>
      </w:r>
    </w:p>
    <w:p w:rsidR="007D1D61" w:rsidRPr="00D5126A" w:rsidRDefault="007D1D61" w:rsidP="007D1D61">
      <w:pPr>
        <w:rPr>
          <w:rFonts w:ascii="Arial" w:hAnsi="Arial" w:cs="Arial"/>
        </w:rPr>
      </w:pPr>
      <w:r w:rsidRPr="00D5126A">
        <w:rPr>
          <w:rFonts w:ascii="Arial" w:hAnsi="Arial" w:cs="Arial"/>
        </w:rPr>
        <w:t>Our job now is to create a spatial plan which sets the direction for future development, and ultimately helps to re-write the District Plan.</w:t>
      </w:r>
    </w:p>
    <w:p w:rsidR="00FE73C3" w:rsidRPr="00D5126A" w:rsidRDefault="007D1D61">
      <w:pPr>
        <w:rPr>
          <w:b/>
          <w:bCs/>
          <w:sz w:val="34"/>
          <w:szCs w:val="34"/>
        </w:rPr>
      </w:pPr>
      <w:r w:rsidRPr="00D5126A">
        <w:rPr>
          <w:rFonts w:ascii="Arial" w:hAnsi="Arial" w:cs="Arial"/>
        </w:rPr>
        <w:t xml:space="preserve">While the Council was pleased with the level of engagement, we are challenging ourselves to keep the momentum going as we gear up to engage on the spatial plan. We have the desire to reach diverse communities and ensure everyone has a chance to have their say. </w:t>
      </w:r>
      <w:r w:rsidR="00FE73C3" w:rsidRPr="00D5126A">
        <w:br w:type="page"/>
      </w:r>
    </w:p>
    <w:p w:rsidR="00B27C37" w:rsidRPr="00D5126A" w:rsidRDefault="009D75C7" w:rsidP="00810293">
      <w:pPr>
        <w:pStyle w:val="Heading2"/>
      </w:pPr>
      <w:bookmarkStart w:id="160" w:name="_Toc19085814"/>
      <w:bookmarkStart w:id="161" w:name="_Toc23758604"/>
      <w:r w:rsidRPr="007F78CB">
        <w:rPr>
          <w:noProof/>
          <w:color w:val="00B050"/>
          <w:lang w:eastAsia="en-NZ"/>
        </w:rPr>
        <w:lastRenderedPageBreak/>
        <w:drawing>
          <wp:anchor distT="0" distB="0" distL="114300" distR="114300" simplePos="0" relativeHeight="251668480" behindDoc="1" locked="0" layoutInCell="1" allowOverlap="1" wp14:anchorId="6248E583" wp14:editId="2199B1AD">
            <wp:simplePos x="0" y="0"/>
            <wp:positionH relativeFrom="column">
              <wp:posOffset>4445</wp:posOffset>
            </wp:positionH>
            <wp:positionV relativeFrom="paragraph">
              <wp:posOffset>-166370</wp:posOffset>
            </wp:positionV>
            <wp:extent cx="982345" cy="982345"/>
            <wp:effectExtent l="0" t="0" r="0" b="0"/>
            <wp:wrapTight wrapText="bothSides">
              <wp:wrapPolygon edited="0">
                <wp:start x="8796" y="419"/>
                <wp:lineTo x="6283" y="1676"/>
                <wp:lineTo x="838" y="6283"/>
                <wp:lineTo x="838" y="8796"/>
                <wp:lineTo x="1257" y="15917"/>
                <wp:lineTo x="7540" y="20106"/>
                <wp:lineTo x="9215" y="20944"/>
                <wp:lineTo x="12147" y="20944"/>
                <wp:lineTo x="14242" y="20106"/>
                <wp:lineTo x="20106" y="15917"/>
                <wp:lineTo x="20944" y="6283"/>
                <wp:lineTo x="14661" y="1676"/>
                <wp:lineTo x="12147" y="419"/>
                <wp:lineTo x="8796" y="419"/>
              </wp:wrapPolygon>
            </wp:wrapTight>
            <wp:docPr id="403" name="Picture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009051-Annual-Report-2019-Chapter icons_Environment.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982345" cy="982345"/>
                    </a:xfrm>
                    <a:prstGeom prst="rect">
                      <a:avLst/>
                    </a:prstGeom>
                  </pic:spPr>
                </pic:pic>
              </a:graphicData>
            </a:graphic>
            <wp14:sizeRelH relativeFrom="page">
              <wp14:pctWidth>0</wp14:pctWidth>
            </wp14:sizeRelH>
            <wp14:sizeRelV relativeFrom="page">
              <wp14:pctHeight>0</wp14:pctHeight>
            </wp14:sizeRelV>
          </wp:anchor>
        </w:drawing>
      </w:r>
      <w:r w:rsidR="00FD4C7C" w:rsidRPr="007F78CB">
        <w:rPr>
          <w:color w:val="00B050"/>
        </w:rPr>
        <w:t xml:space="preserve">2 </w:t>
      </w:r>
      <w:r w:rsidR="00A3111E" w:rsidRPr="007F78CB">
        <w:rPr>
          <w:color w:val="00B050"/>
        </w:rPr>
        <w:t xml:space="preserve">Taiao </w:t>
      </w:r>
      <w:bookmarkStart w:id="162" w:name="_Toc528234301"/>
      <w:bookmarkStart w:id="163" w:name="_Toc14178544"/>
      <w:r w:rsidR="005D4BC9" w:rsidRPr="007F78CB">
        <w:rPr>
          <w:color w:val="00B050"/>
        </w:rPr>
        <w:br/>
      </w:r>
      <w:r w:rsidR="00C23EDC" w:rsidRPr="007F78CB">
        <w:rPr>
          <w:color w:val="00B050"/>
        </w:rPr>
        <w:t xml:space="preserve">- </w:t>
      </w:r>
      <w:r w:rsidR="00A3111E" w:rsidRPr="007F78CB">
        <w:rPr>
          <w:color w:val="00B050"/>
        </w:rPr>
        <w:t>Environment</w:t>
      </w:r>
      <w:bookmarkEnd w:id="160"/>
      <w:bookmarkEnd w:id="161"/>
      <w:bookmarkEnd w:id="162"/>
      <w:bookmarkEnd w:id="163"/>
    </w:p>
    <w:p w:rsidR="00B27C37" w:rsidRPr="00D5126A" w:rsidRDefault="00096C20" w:rsidP="00295C18">
      <w:pPr>
        <w:pStyle w:val="Para003"/>
        <w:spacing w:before="240" w:line="240" w:lineRule="auto"/>
      </w:pPr>
      <w:r w:rsidRPr="00D5126A">
        <w:t xml:space="preserve">This chapter explains what we did and how we performed in our Environment portfolio of activities. This </w:t>
      </w:r>
      <w:r w:rsidR="00A3111E" w:rsidRPr="00D5126A">
        <w:t>includes open spaces, waste reduction and energy conservation, water, wastewater and stormwater, and conservation attractions.</w:t>
      </w:r>
    </w:p>
    <w:p w:rsidR="005D17AF" w:rsidRPr="007F78CB" w:rsidRDefault="005D17AF" w:rsidP="005D17AF">
      <w:pPr>
        <w:numPr>
          <w:ilvl w:val="0"/>
          <w:numId w:val="6"/>
        </w:numPr>
        <w:spacing w:before="240"/>
        <w:contextualSpacing/>
      </w:pPr>
      <w:r w:rsidRPr="007F78CB">
        <w:rPr>
          <w:rFonts w:ascii="Arial" w:eastAsia="Times New Roman" w:hAnsi="Arial"/>
        </w:rPr>
        <w:t>14 different native bird species observed at monitoring stations</w:t>
      </w:r>
    </w:p>
    <w:p w:rsidR="005D17AF" w:rsidRPr="007F78CB" w:rsidRDefault="005D17AF" w:rsidP="005D17AF">
      <w:pPr>
        <w:numPr>
          <w:ilvl w:val="0"/>
          <w:numId w:val="6"/>
        </w:numPr>
        <w:spacing w:before="240"/>
        <w:contextualSpacing/>
      </w:pPr>
      <w:r w:rsidRPr="007F78CB">
        <w:t>97,178 native plants planted</w:t>
      </w:r>
    </w:p>
    <w:p w:rsidR="005D17AF" w:rsidRPr="007F78CB" w:rsidRDefault="005D17AF" w:rsidP="005D17AF">
      <w:pPr>
        <w:numPr>
          <w:ilvl w:val="0"/>
          <w:numId w:val="6"/>
        </w:numPr>
        <w:spacing w:before="240"/>
        <w:contextualSpacing/>
      </w:pPr>
      <w:r w:rsidRPr="007F78CB">
        <w:t>19,</w:t>
      </w:r>
      <w:r w:rsidR="00B27E9D" w:rsidRPr="007F78CB">
        <w:t xml:space="preserve">526 </w:t>
      </w:r>
      <w:r w:rsidRPr="007F78CB">
        <w:t>tonnes: Waste diverted from landfill</w:t>
      </w:r>
    </w:p>
    <w:p w:rsidR="005D17AF" w:rsidRPr="007F78CB" w:rsidRDefault="005D17AF" w:rsidP="005D17AF">
      <w:pPr>
        <w:numPr>
          <w:ilvl w:val="0"/>
          <w:numId w:val="6"/>
        </w:numPr>
        <w:spacing w:before="240"/>
        <w:contextualSpacing/>
      </w:pPr>
      <w:r w:rsidRPr="007F78CB">
        <w:t xml:space="preserve">60 </w:t>
      </w:r>
      <w:r w:rsidR="00251826" w:rsidRPr="007F78CB">
        <w:t>Tītipounamu</w:t>
      </w:r>
      <w:r w:rsidRPr="007F78CB">
        <w:t xml:space="preserve"> released in Zealandia</w:t>
      </w:r>
    </w:p>
    <w:p w:rsidR="005D17AF" w:rsidRPr="007F78CB" w:rsidRDefault="005D17AF" w:rsidP="005D17AF">
      <w:pPr>
        <w:numPr>
          <w:ilvl w:val="0"/>
          <w:numId w:val="6"/>
        </w:numPr>
        <w:spacing w:before="240"/>
        <w:contextualSpacing/>
      </w:pPr>
      <w:r w:rsidRPr="007F78CB">
        <w:t>6,653 Predator Free traps deployed</w:t>
      </w:r>
    </w:p>
    <w:p w:rsidR="005D17AF" w:rsidRPr="007F78CB" w:rsidRDefault="00B27E9D" w:rsidP="005D17AF">
      <w:pPr>
        <w:numPr>
          <w:ilvl w:val="0"/>
          <w:numId w:val="6"/>
        </w:numPr>
        <w:spacing w:before="240"/>
        <w:contextualSpacing/>
      </w:pPr>
      <w:r w:rsidRPr="007F78CB">
        <w:t>195.1m</w:t>
      </w:r>
      <w:r w:rsidRPr="007F78CB">
        <w:rPr>
          <w:vertAlign w:val="superscript"/>
        </w:rPr>
        <w:t>2</w:t>
      </w:r>
      <w:r w:rsidRPr="007F78CB">
        <w:t xml:space="preserve"> Council owned or managed </w:t>
      </w:r>
      <w:r w:rsidR="00EF073E">
        <w:t>Open Space per person</w:t>
      </w:r>
    </w:p>
    <w:p w:rsidR="00B27C37" w:rsidRPr="00EF073E" w:rsidRDefault="00A3111E" w:rsidP="00AA2122">
      <w:pPr>
        <w:pStyle w:val="Heading3"/>
        <w:rPr>
          <w:color w:val="00B050"/>
        </w:rPr>
      </w:pPr>
      <w:bookmarkStart w:id="164" w:name="_Toc19085815"/>
      <w:r w:rsidRPr="00EF073E">
        <w:rPr>
          <w:color w:val="00B050"/>
        </w:rPr>
        <w:t>Introduction</w:t>
      </w:r>
      <w:bookmarkEnd w:id="164"/>
    </w:p>
    <w:p w:rsidR="00B27C37" w:rsidRPr="00D5126A" w:rsidRDefault="00A3111E" w:rsidP="00295C18">
      <w:pPr>
        <w:pStyle w:val="Para003"/>
        <w:spacing w:before="240" w:line="240" w:lineRule="auto"/>
      </w:pPr>
      <w:r w:rsidRPr="00D5126A">
        <w:t xml:space="preserve">The Council’s </w:t>
      </w:r>
      <w:r w:rsidR="00B47EDE">
        <w:t>E</w:t>
      </w:r>
      <w:r w:rsidR="00B47EDE" w:rsidRPr="00D5126A">
        <w:t xml:space="preserve">nvironment </w:t>
      </w:r>
      <w:r w:rsidRPr="00D5126A">
        <w:t>portfolio is large and diverse, encompassing green spaces, waste reduction and energy conservation, as well as water (potable, wastewater and stormwater) and conservation attractions.</w:t>
      </w:r>
    </w:p>
    <w:p w:rsidR="00B27C37" w:rsidRPr="00D5126A" w:rsidRDefault="00A04C1D" w:rsidP="00295C18">
      <w:pPr>
        <w:pStyle w:val="Para003"/>
        <w:spacing w:before="240" w:line="240" w:lineRule="auto"/>
      </w:pPr>
      <w:r w:rsidRPr="00D5126A">
        <w:t xml:space="preserve">Guiding our work is a drive for sustainability, a </w:t>
      </w:r>
      <w:r w:rsidR="00A3111E" w:rsidRPr="00D5126A">
        <w:t xml:space="preserve">commitment to reducing the impact of climate change and </w:t>
      </w:r>
      <w:r w:rsidRPr="00D5126A">
        <w:t>improving the r</w:t>
      </w:r>
      <w:r w:rsidR="00A3111E" w:rsidRPr="00D5126A">
        <w:t>esilience</w:t>
      </w:r>
      <w:r w:rsidRPr="00D5126A">
        <w:t xml:space="preserve"> of the Council’s Environment portfolio</w:t>
      </w:r>
      <w:r w:rsidR="00A3111E" w:rsidRPr="00D5126A">
        <w:t xml:space="preserve">. We work to continuously </w:t>
      </w:r>
      <w:r w:rsidR="00B848DF" w:rsidRPr="00D5126A">
        <w:t>adapt</w:t>
      </w:r>
      <w:r w:rsidR="00A3111E" w:rsidRPr="00D5126A">
        <w:t xml:space="preserve"> and restore our natural areas and resources. This includes providing quality and accessible green spaces, reducing the city’s emissions, disposing of waste in sustainable </w:t>
      </w:r>
      <w:proofErr w:type="gramStart"/>
      <w:r w:rsidR="00A3111E" w:rsidRPr="00D5126A">
        <w:t>ways,</w:t>
      </w:r>
      <w:proofErr w:type="gramEnd"/>
      <w:r w:rsidR="00A3111E" w:rsidRPr="00D5126A">
        <w:t xml:space="preserve"> and supplying Wellingtonians w</w:t>
      </w:r>
      <w:r w:rsidR="00755C00" w:rsidRPr="00D5126A">
        <w:t xml:space="preserve">ith good-quality drinking water and </w:t>
      </w:r>
      <w:r w:rsidR="00A3111E" w:rsidRPr="00D5126A">
        <w:t>managing the city’s wastewater and stormwater.</w:t>
      </w:r>
    </w:p>
    <w:p w:rsidR="00B27C37" w:rsidRPr="00D5126A" w:rsidRDefault="00A3111E" w:rsidP="00295C18">
      <w:pPr>
        <w:pStyle w:val="Para003"/>
        <w:spacing w:before="240" w:line="240" w:lineRule="auto"/>
      </w:pPr>
      <w:r w:rsidRPr="00D5126A">
        <w:t xml:space="preserve">Some of the </w:t>
      </w:r>
      <w:r w:rsidRPr="00D5126A">
        <w:rPr>
          <w:rStyle w:val="00Text"/>
          <w:rFonts w:ascii="Arial" w:hAnsi="Arial" w:cs="Arial"/>
          <w:b w:val="0"/>
        </w:rPr>
        <w:t>challenges</w:t>
      </w:r>
      <w:r w:rsidRPr="00D5126A">
        <w:rPr>
          <w:b/>
        </w:rPr>
        <w:t xml:space="preserve"> </w:t>
      </w:r>
      <w:r w:rsidRPr="00D5126A">
        <w:t xml:space="preserve">we face </w:t>
      </w:r>
      <w:r w:rsidR="00A04C1D" w:rsidRPr="00D5126A">
        <w:t>relate to</w:t>
      </w:r>
      <w:r w:rsidRPr="00D5126A">
        <w:t xml:space="preserve"> maintaining and upgrading our infrastructure – our business-as-usual activities – while also </w:t>
      </w:r>
      <w:r w:rsidR="00A04C1D" w:rsidRPr="00D5126A">
        <w:t>coping with rising demand and trying to be</w:t>
      </w:r>
      <w:r w:rsidRPr="00D5126A">
        <w:t xml:space="preserve"> better prepared for unforeseen future events. </w:t>
      </w:r>
      <w:r w:rsidR="00096C20" w:rsidRPr="00D5126A">
        <w:t xml:space="preserve">We aim to make sure our infrastructure </w:t>
      </w:r>
      <w:r w:rsidR="00A04C1D" w:rsidRPr="00D5126A">
        <w:t>can adapt to changing</w:t>
      </w:r>
      <w:r w:rsidR="00096C20" w:rsidRPr="00D5126A">
        <w:t xml:space="preserve"> needs</w:t>
      </w:r>
      <w:r w:rsidR="00A04C1D" w:rsidRPr="00D5126A">
        <w:t>. O</w:t>
      </w:r>
      <w:r w:rsidR="00096C20" w:rsidRPr="00D5126A">
        <w:t xml:space="preserve">ur work </w:t>
      </w:r>
      <w:r w:rsidRPr="00D5126A">
        <w:t xml:space="preserve">over the past 12 months has included strengthening infrastructure </w:t>
      </w:r>
      <w:r w:rsidR="00096C20" w:rsidRPr="00D5126A">
        <w:t>such as</w:t>
      </w:r>
      <w:r w:rsidRPr="00D5126A">
        <w:t xml:space="preserve"> pipes and reservoirs, addressing issues like coastal erosion</w:t>
      </w:r>
      <w:r w:rsidR="00B47EDE">
        <w:t>,</w:t>
      </w:r>
      <w:r w:rsidRPr="00D5126A">
        <w:t xml:space="preserve"> and looking at ways to save energy and reduce waste. This work is ongoing.</w:t>
      </w:r>
    </w:p>
    <w:p w:rsidR="00B27C37" w:rsidRPr="00D5126A" w:rsidRDefault="00A3111E" w:rsidP="00295C18">
      <w:pPr>
        <w:pStyle w:val="Para003"/>
        <w:spacing w:before="240" w:line="240" w:lineRule="auto"/>
      </w:pPr>
      <w:r w:rsidRPr="00D5126A">
        <w:t>Another significant highlight</w:t>
      </w:r>
      <w:r w:rsidRPr="00D5126A">
        <w:rPr>
          <w:rStyle w:val="00Text"/>
          <w:rFonts w:ascii="Arial" w:hAnsi="Arial" w:cs="Arial"/>
        </w:rPr>
        <w:t xml:space="preserve"> </w:t>
      </w:r>
      <w:r w:rsidRPr="00D5126A">
        <w:t xml:space="preserve">for this activity area is our commitment to working in partnership with government and the private sector on initiatives to reduce the impact of carbon. As part of this, </w:t>
      </w:r>
      <w:r w:rsidR="00DA2897" w:rsidRPr="00D5126A">
        <w:t xml:space="preserve">we passed our Te Atakura – First to Zero policy in June 2019. </w:t>
      </w:r>
    </w:p>
    <w:p w:rsidR="00AC5315" w:rsidRPr="00EF073E" w:rsidRDefault="00AC5315" w:rsidP="00AC5315">
      <w:pPr>
        <w:pStyle w:val="Heading3"/>
        <w:rPr>
          <w:color w:val="00B050"/>
        </w:rPr>
      </w:pPr>
      <w:bookmarkStart w:id="165" w:name="_Toc19085816"/>
      <w:bookmarkStart w:id="166" w:name="2_1_Nga_mara__tatahi__whenua_parae__ngah"/>
      <w:r w:rsidRPr="00EF073E">
        <w:rPr>
          <w:color w:val="00B050"/>
        </w:rPr>
        <w:t>Environment performance story:</w:t>
      </w:r>
      <w:bookmarkEnd w:id="165"/>
    </w:p>
    <w:p w:rsidR="00AC5315" w:rsidRPr="00D5126A" w:rsidRDefault="00AC5315" w:rsidP="00AC5315">
      <w:pPr>
        <w:pStyle w:val="Heading5"/>
      </w:pPr>
      <w:r w:rsidRPr="00D5126A">
        <w:t xml:space="preserve">More visitors to attractions, but waste services dissatisfaction </w:t>
      </w:r>
    </w:p>
    <w:p w:rsidR="00AC5315" w:rsidRPr="00D5126A" w:rsidRDefault="00AC5315" w:rsidP="00AC5315">
      <w:pPr>
        <w:pStyle w:val="Para003"/>
        <w:spacing w:before="240" w:line="240" w:lineRule="auto"/>
        <w:rPr>
          <w:rFonts w:ascii="Arial" w:hAnsi="Arial" w:cs="Arial"/>
        </w:rPr>
      </w:pPr>
      <w:r w:rsidRPr="00D5126A">
        <w:rPr>
          <w:rFonts w:ascii="Arial" w:hAnsi="Arial" w:cs="Arial"/>
        </w:rPr>
        <w:t xml:space="preserve">This year Zealandia and the Zoo had an increase in the number of visitors for the third year in a row. There was also an increase in the education attendees at both institutions. To better understand our conservation performance we have also recorded biodiversity measures in pest trapping and tree planting for the first time. </w:t>
      </w:r>
    </w:p>
    <w:p w:rsidR="00AC5315" w:rsidRPr="00D5126A" w:rsidRDefault="00AC5315" w:rsidP="00AC5315">
      <w:pPr>
        <w:pStyle w:val="Para003"/>
        <w:spacing w:before="240" w:line="240" w:lineRule="auto"/>
        <w:rPr>
          <w:rFonts w:ascii="Arial" w:hAnsi="Arial" w:cs="Arial"/>
        </w:rPr>
      </w:pPr>
      <w:r w:rsidRPr="00D5126A">
        <w:rPr>
          <w:rFonts w:ascii="Arial" w:hAnsi="Arial" w:cs="Arial"/>
        </w:rPr>
        <w:t>Over the past three years, recycling and rubbish satisfaction in the services has decreased. While the exact reasons for this are unclear, comments in our Residents’ Monitoring Survey included the use of plastic collection bags and lack of organic waste collection. It is hoped the next recycling wheelie bin lids will impact positively on the satisfaction with kerbside recycling.</w:t>
      </w:r>
    </w:p>
    <w:p w:rsidR="00AC5315" w:rsidRPr="00EF073E" w:rsidRDefault="00AC5315" w:rsidP="00AC5315">
      <w:pPr>
        <w:pStyle w:val="Heading4"/>
        <w:rPr>
          <w:rFonts w:eastAsia="Times New Roman"/>
          <w:color w:val="00B050"/>
        </w:rPr>
      </w:pPr>
      <w:r w:rsidRPr="00EF073E">
        <w:rPr>
          <w:rFonts w:eastAsia="Times New Roman"/>
          <w:color w:val="00B050"/>
        </w:rPr>
        <w:lastRenderedPageBreak/>
        <w:t>Performance summary</w:t>
      </w:r>
    </w:p>
    <w:p w:rsidR="00AC5315" w:rsidRPr="00D5126A" w:rsidRDefault="00AC5315" w:rsidP="00AC5315">
      <w:pPr>
        <w:pBdr>
          <w:top w:val="none" w:sz="8" w:space="0" w:color="auto"/>
          <w:left w:val="none" w:sz="8" w:space="0" w:color="auto"/>
          <w:bottom w:val="none" w:sz="8" w:space="0" w:color="auto"/>
          <w:right w:val="none" w:sz="8" w:space="0" w:color="auto"/>
        </w:pBdr>
        <w:spacing w:before="109" w:line="240" w:lineRule="auto"/>
        <w:rPr>
          <w:rFonts w:ascii="Arial" w:eastAsia="Times New Roman" w:hAnsi="Arial"/>
        </w:rPr>
      </w:pPr>
      <w:r w:rsidRPr="00D5126A">
        <w:rPr>
          <w:rFonts w:ascii="Arial" w:eastAsia="Times New Roman" w:hAnsi="Arial"/>
        </w:rPr>
        <w:t>The following table is a summary of how well we performed against our agr</w:t>
      </w:r>
      <w:r w:rsidR="00825228" w:rsidRPr="00D5126A">
        <w:rPr>
          <w:rFonts w:ascii="Arial" w:eastAsia="Times New Roman" w:hAnsi="Arial"/>
        </w:rPr>
        <w:t xml:space="preserve">eed </w:t>
      </w:r>
      <w:r w:rsidR="002466CF" w:rsidRPr="00D5126A">
        <w:rPr>
          <w:rFonts w:ascii="Arial" w:eastAsia="Times New Roman" w:hAnsi="Arial"/>
        </w:rPr>
        <w:t xml:space="preserve">key </w:t>
      </w:r>
      <w:r w:rsidRPr="00D5126A">
        <w:rPr>
          <w:rFonts w:ascii="Arial" w:eastAsia="Times New Roman" w:hAnsi="Arial"/>
        </w:rPr>
        <w:t>performance measures for this activity area.</w:t>
      </w:r>
    </w:p>
    <w:tbl>
      <w:tblPr>
        <w:tblW w:w="9002" w:type="dxa"/>
        <w:tblInd w:w="-176" w:type="dxa"/>
        <w:tblLayout w:type="fixed"/>
        <w:tblLook w:val="04A0" w:firstRow="1" w:lastRow="0" w:firstColumn="1" w:lastColumn="0" w:noHBand="0" w:noVBand="1"/>
      </w:tblPr>
      <w:tblGrid>
        <w:gridCol w:w="3119"/>
        <w:gridCol w:w="1176"/>
        <w:gridCol w:w="1177"/>
        <w:gridCol w:w="1176"/>
        <w:gridCol w:w="1177"/>
        <w:gridCol w:w="1177"/>
      </w:tblGrid>
      <w:tr w:rsidR="00294CB0" w:rsidRPr="00EF073E" w:rsidTr="00EF073E">
        <w:trPr>
          <w:trHeight w:val="369"/>
        </w:trPr>
        <w:tc>
          <w:tcPr>
            <w:tcW w:w="3119" w:type="dxa"/>
            <w:tcBorders>
              <w:top w:val="nil"/>
              <w:left w:val="nil"/>
              <w:bottom w:val="nil"/>
              <w:right w:val="nil"/>
            </w:tcBorders>
            <w:shd w:val="clear" w:color="auto" w:fill="auto"/>
            <w:noWrap/>
            <w:vAlign w:val="center"/>
            <w:hideMark/>
          </w:tcPr>
          <w:p w:rsidR="00294CB0" w:rsidRPr="00EF073E" w:rsidRDefault="00294CB0" w:rsidP="00937653">
            <w:pPr>
              <w:spacing w:after="0" w:line="240" w:lineRule="auto"/>
              <w:jc w:val="center"/>
              <w:rPr>
                <w:rFonts w:eastAsia="Times New Roman" w:cstheme="minorHAnsi"/>
                <w:b/>
                <w:color w:val="000000"/>
                <w:sz w:val="20"/>
                <w:szCs w:val="20"/>
                <w:lang w:eastAsia="en-NZ"/>
              </w:rPr>
            </w:pPr>
          </w:p>
        </w:tc>
        <w:tc>
          <w:tcPr>
            <w:tcW w:w="1176" w:type="dxa"/>
            <w:tcBorders>
              <w:top w:val="nil"/>
              <w:left w:val="nil"/>
              <w:bottom w:val="nil"/>
              <w:right w:val="nil"/>
            </w:tcBorders>
            <w:shd w:val="clear" w:color="auto" w:fill="auto"/>
            <w:noWrap/>
            <w:vAlign w:val="center"/>
            <w:hideMark/>
          </w:tcPr>
          <w:p w:rsidR="00294CB0" w:rsidRPr="00EF073E" w:rsidRDefault="00EF073E" w:rsidP="00EF073E">
            <w:pPr>
              <w:spacing w:after="0" w:line="240" w:lineRule="auto"/>
              <w:jc w:val="center"/>
              <w:rPr>
                <w:rFonts w:eastAsia="Times New Roman" w:cstheme="minorHAnsi"/>
                <w:b/>
                <w:i/>
                <w:iCs/>
                <w:color w:val="000000"/>
                <w:sz w:val="20"/>
                <w:szCs w:val="20"/>
                <w:lang w:eastAsia="en-NZ"/>
              </w:rPr>
            </w:pPr>
            <w:r>
              <w:rPr>
                <w:rFonts w:eastAsia="Times New Roman" w:cstheme="minorHAnsi"/>
                <w:b/>
                <w:i/>
                <w:iCs/>
                <w:color w:val="000000"/>
                <w:sz w:val="20"/>
                <w:szCs w:val="20"/>
                <w:lang w:eastAsia="en-NZ"/>
              </w:rPr>
              <w:t>N</w:t>
            </w:r>
            <w:r w:rsidR="00294CB0" w:rsidRPr="00EF073E">
              <w:rPr>
                <w:rFonts w:eastAsia="Times New Roman" w:cstheme="minorHAnsi"/>
                <w:b/>
                <w:i/>
                <w:iCs/>
                <w:color w:val="000000"/>
                <w:sz w:val="20"/>
                <w:szCs w:val="20"/>
                <w:lang w:eastAsia="en-NZ"/>
              </w:rPr>
              <w:t>ot met</w:t>
            </w:r>
          </w:p>
        </w:tc>
        <w:tc>
          <w:tcPr>
            <w:tcW w:w="1177" w:type="dxa"/>
            <w:tcBorders>
              <w:top w:val="nil"/>
              <w:left w:val="nil"/>
              <w:bottom w:val="nil"/>
              <w:right w:val="nil"/>
            </w:tcBorders>
            <w:shd w:val="clear" w:color="auto" w:fill="auto"/>
            <w:noWrap/>
            <w:vAlign w:val="center"/>
            <w:hideMark/>
          </w:tcPr>
          <w:p w:rsidR="00294CB0" w:rsidRPr="00EF073E" w:rsidRDefault="00EF073E" w:rsidP="00937653">
            <w:pPr>
              <w:spacing w:after="0" w:line="240" w:lineRule="auto"/>
              <w:jc w:val="center"/>
              <w:rPr>
                <w:rFonts w:eastAsia="Times New Roman" w:cstheme="minorHAnsi"/>
                <w:b/>
                <w:color w:val="000000"/>
                <w:sz w:val="20"/>
                <w:szCs w:val="20"/>
                <w:lang w:eastAsia="en-NZ"/>
              </w:rPr>
            </w:pPr>
            <w:r w:rsidRPr="00EF073E">
              <w:rPr>
                <w:rFonts w:eastAsia="Times New Roman" w:cstheme="minorHAnsi"/>
                <w:b/>
                <w:i/>
                <w:iCs/>
                <w:color w:val="000000"/>
                <w:sz w:val="20"/>
                <w:szCs w:val="20"/>
                <w:lang w:eastAsia="en-NZ"/>
              </w:rPr>
              <w:t>Within 10%</w:t>
            </w:r>
          </w:p>
        </w:tc>
        <w:tc>
          <w:tcPr>
            <w:tcW w:w="1176" w:type="dxa"/>
            <w:tcBorders>
              <w:top w:val="nil"/>
              <w:left w:val="nil"/>
              <w:bottom w:val="nil"/>
              <w:right w:val="nil"/>
            </w:tcBorders>
            <w:shd w:val="clear" w:color="auto" w:fill="auto"/>
            <w:noWrap/>
            <w:vAlign w:val="center"/>
            <w:hideMark/>
          </w:tcPr>
          <w:p w:rsidR="00294CB0" w:rsidRPr="00EF073E" w:rsidRDefault="00294CB0" w:rsidP="00EF073E">
            <w:pPr>
              <w:spacing w:after="0" w:line="240" w:lineRule="auto"/>
              <w:jc w:val="center"/>
              <w:rPr>
                <w:rFonts w:eastAsia="Times New Roman" w:cstheme="minorHAnsi"/>
                <w:b/>
                <w:i/>
                <w:iCs/>
                <w:color w:val="000000"/>
                <w:sz w:val="20"/>
                <w:szCs w:val="20"/>
                <w:lang w:eastAsia="en-NZ"/>
              </w:rPr>
            </w:pPr>
            <w:r w:rsidRPr="00EF073E">
              <w:rPr>
                <w:rFonts w:eastAsia="Times New Roman" w:cstheme="minorHAnsi"/>
                <w:b/>
                <w:i/>
                <w:iCs/>
                <w:color w:val="000000"/>
                <w:sz w:val="20"/>
                <w:szCs w:val="20"/>
                <w:lang w:eastAsia="en-NZ"/>
              </w:rPr>
              <w:t>Exceeded</w:t>
            </w:r>
          </w:p>
        </w:tc>
        <w:tc>
          <w:tcPr>
            <w:tcW w:w="1177" w:type="dxa"/>
            <w:tcBorders>
              <w:top w:val="nil"/>
              <w:left w:val="nil"/>
              <w:bottom w:val="nil"/>
              <w:right w:val="nil"/>
            </w:tcBorders>
            <w:shd w:val="clear" w:color="auto" w:fill="auto"/>
            <w:vAlign w:val="center"/>
            <w:hideMark/>
          </w:tcPr>
          <w:p w:rsidR="00294CB0" w:rsidRPr="00EF073E" w:rsidRDefault="00EF073E" w:rsidP="00294CB0">
            <w:pPr>
              <w:spacing w:after="0" w:line="240" w:lineRule="auto"/>
              <w:jc w:val="center"/>
              <w:rPr>
                <w:rFonts w:eastAsia="Times New Roman" w:cstheme="minorHAnsi"/>
                <w:b/>
                <w:color w:val="000000"/>
                <w:sz w:val="20"/>
                <w:szCs w:val="20"/>
                <w:lang w:eastAsia="en-NZ"/>
              </w:rPr>
            </w:pPr>
            <w:r w:rsidRPr="00EF073E">
              <w:rPr>
                <w:rFonts w:cstheme="minorHAnsi"/>
                <w:b/>
                <w:i/>
                <w:iCs/>
                <w:color w:val="000000"/>
                <w:sz w:val="20"/>
                <w:szCs w:val="20"/>
              </w:rPr>
              <w:t>Baseline</w:t>
            </w:r>
          </w:p>
        </w:tc>
        <w:tc>
          <w:tcPr>
            <w:tcW w:w="1177" w:type="dxa"/>
            <w:tcBorders>
              <w:top w:val="nil"/>
              <w:left w:val="nil"/>
              <w:bottom w:val="nil"/>
              <w:right w:val="nil"/>
            </w:tcBorders>
            <w:shd w:val="clear" w:color="auto" w:fill="auto"/>
            <w:vAlign w:val="center"/>
          </w:tcPr>
          <w:p w:rsidR="00294CB0" w:rsidRPr="00EF073E" w:rsidRDefault="00294CB0" w:rsidP="00937653">
            <w:pPr>
              <w:spacing w:after="0" w:line="240" w:lineRule="auto"/>
              <w:jc w:val="center"/>
              <w:rPr>
                <w:rFonts w:eastAsia="Times New Roman" w:cstheme="minorHAnsi"/>
                <w:b/>
                <w:color w:val="000000"/>
                <w:sz w:val="20"/>
                <w:szCs w:val="20"/>
                <w:lang w:eastAsia="en-NZ"/>
              </w:rPr>
            </w:pPr>
            <w:r w:rsidRPr="00EF073E">
              <w:rPr>
                <w:rFonts w:eastAsia="Times New Roman" w:cstheme="minorHAnsi"/>
                <w:b/>
                <w:color w:val="000000"/>
                <w:sz w:val="20"/>
                <w:szCs w:val="20"/>
                <w:lang w:eastAsia="en-NZ"/>
              </w:rPr>
              <w:t>Total Measures</w:t>
            </w:r>
          </w:p>
        </w:tc>
      </w:tr>
      <w:tr w:rsidR="00294CB0" w:rsidRPr="00D5126A" w:rsidTr="00EF073E">
        <w:trPr>
          <w:trHeight w:val="255"/>
        </w:trPr>
        <w:tc>
          <w:tcPr>
            <w:tcW w:w="3119" w:type="dxa"/>
            <w:tcBorders>
              <w:top w:val="nil"/>
              <w:left w:val="nil"/>
              <w:bottom w:val="nil"/>
              <w:right w:val="nil"/>
            </w:tcBorders>
            <w:shd w:val="clear" w:color="auto" w:fill="00B050"/>
            <w:noWrap/>
            <w:vAlign w:val="bottom"/>
            <w:hideMark/>
          </w:tcPr>
          <w:p w:rsidR="00294CB0" w:rsidRPr="00D5126A" w:rsidRDefault="00294CB0" w:rsidP="00FE5CE4">
            <w:pPr>
              <w:spacing w:after="0"/>
              <w:ind w:left="33"/>
              <w:rPr>
                <w:rFonts w:cstheme="minorHAnsi"/>
                <w:b/>
                <w:bCs/>
                <w:color w:val="FFFFFF" w:themeColor="background1"/>
                <w:szCs w:val="20"/>
              </w:rPr>
            </w:pPr>
            <w:r w:rsidRPr="00D5126A">
              <w:rPr>
                <w:rFonts w:cstheme="minorHAnsi"/>
                <w:b/>
                <w:bCs/>
                <w:color w:val="FFFFFF" w:themeColor="background1"/>
                <w:sz w:val="24"/>
                <w:szCs w:val="20"/>
              </w:rPr>
              <w:t>2. Taiao | Environment</w:t>
            </w:r>
          </w:p>
        </w:tc>
        <w:tc>
          <w:tcPr>
            <w:tcW w:w="1176" w:type="dxa"/>
            <w:tcBorders>
              <w:top w:val="nil"/>
              <w:left w:val="nil"/>
              <w:bottom w:val="nil"/>
              <w:right w:val="nil"/>
            </w:tcBorders>
            <w:shd w:val="clear" w:color="auto" w:fill="00B050"/>
            <w:noWrap/>
            <w:vAlign w:val="bottom"/>
            <w:hideMark/>
          </w:tcPr>
          <w:p w:rsidR="00294CB0" w:rsidRPr="00D5126A" w:rsidRDefault="00294CB0" w:rsidP="00FE5CE4">
            <w:pPr>
              <w:spacing w:after="0"/>
              <w:jc w:val="center"/>
              <w:rPr>
                <w:rFonts w:cstheme="minorHAnsi"/>
                <w:color w:val="FFFFFF" w:themeColor="background1"/>
                <w:szCs w:val="20"/>
              </w:rPr>
            </w:pPr>
          </w:p>
        </w:tc>
        <w:tc>
          <w:tcPr>
            <w:tcW w:w="1177" w:type="dxa"/>
            <w:tcBorders>
              <w:top w:val="nil"/>
              <w:left w:val="nil"/>
              <w:bottom w:val="nil"/>
              <w:right w:val="nil"/>
            </w:tcBorders>
            <w:shd w:val="clear" w:color="auto" w:fill="00B050"/>
            <w:noWrap/>
            <w:vAlign w:val="bottom"/>
            <w:hideMark/>
          </w:tcPr>
          <w:p w:rsidR="00294CB0" w:rsidRPr="00D5126A" w:rsidRDefault="00294CB0" w:rsidP="00FE5CE4">
            <w:pPr>
              <w:spacing w:after="0"/>
              <w:jc w:val="center"/>
              <w:rPr>
                <w:rFonts w:cstheme="minorHAnsi"/>
                <w:color w:val="FFFFFF" w:themeColor="background1"/>
                <w:szCs w:val="20"/>
              </w:rPr>
            </w:pPr>
          </w:p>
        </w:tc>
        <w:tc>
          <w:tcPr>
            <w:tcW w:w="1176" w:type="dxa"/>
            <w:tcBorders>
              <w:top w:val="nil"/>
              <w:left w:val="nil"/>
              <w:bottom w:val="nil"/>
              <w:right w:val="nil"/>
            </w:tcBorders>
            <w:shd w:val="clear" w:color="auto" w:fill="00B050"/>
            <w:noWrap/>
            <w:vAlign w:val="bottom"/>
            <w:hideMark/>
          </w:tcPr>
          <w:p w:rsidR="00294CB0" w:rsidRPr="00D5126A" w:rsidRDefault="00294CB0" w:rsidP="00FE5CE4">
            <w:pPr>
              <w:spacing w:after="0"/>
              <w:jc w:val="center"/>
              <w:rPr>
                <w:rFonts w:cstheme="minorHAnsi"/>
                <w:color w:val="FFFFFF" w:themeColor="background1"/>
                <w:szCs w:val="20"/>
              </w:rPr>
            </w:pPr>
          </w:p>
        </w:tc>
        <w:tc>
          <w:tcPr>
            <w:tcW w:w="1177" w:type="dxa"/>
            <w:tcBorders>
              <w:top w:val="nil"/>
              <w:left w:val="nil"/>
              <w:bottom w:val="nil"/>
              <w:right w:val="nil"/>
            </w:tcBorders>
            <w:shd w:val="clear" w:color="auto" w:fill="00B050"/>
            <w:noWrap/>
            <w:vAlign w:val="bottom"/>
            <w:hideMark/>
          </w:tcPr>
          <w:p w:rsidR="00294CB0" w:rsidRPr="00D5126A" w:rsidRDefault="00294CB0" w:rsidP="00FE5CE4">
            <w:pPr>
              <w:spacing w:after="0"/>
              <w:jc w:val="center"/>
              <w:rPr>
                <w:rFonts w:cstheme="minorHAnsi"/>
                <w:color w:val="FFFFFF" w:themeColor="background1"/>
                <w:szCs w:val="20"/>
              </w:rPr>
            </w:pPr>
          </w:p>
        </w:tc>
        <w:tc>
          <w:tcPr>
            <w:tcW w:w="1177" w:type="dxa"/>
            <w:tcBorders>
              <w:top w:val="nil"/>
              <w:left w:val="nil"/>
              <w:bottom w:val="nil"/>
              <w:right w:val="nil"/>
            </w:tcBorders>
            <w:shd w:val="clear" w:color="auto" w:fill="00B050"/>
            <w:noWrap/>
            <w:vAlign w:val="bottom"/>
            <w:hideMark/>
          </w:tcPr>
          <w:p w:rsidR="00294CB0" w:rsidRPr="00D5126A" w:rsidRDefault="00294CB0" w:rsidP="00FE5CE4">
            <w:pPr>
              <w:spacing w:after="0"/>
              <w:jc w:val="center"/>
              <w:rPr>
                <w:rFonts w:cstheme="minorHAnsi"/>
                <w:color w:val="FFFFFF" w:themeColor="background1"/>
                <w:szCs w:val="20"/>
              </w:rPr>
            </w:pPr>
          </w:p>
        </w:tc>
      </w:tr>
      <w:tr w:rsidR="00294CB0" w:rsidRPr="00D5126A" w:rsidTr="00EF073E">
        <w:trPr>
          <w:trHeight w:val="255"/>
        </w:trPr>
        <w:tc>
          <w:tcPr>
            <w:tcW w:w="3119" w:type="dxa"/>
            <w:tcBorders>
              <w:top w:val="nil"/>
              <w:left w:val="nil"/>
              <w:bottom w:val="nil"/>
              <w:right w:val="nil"/>
            </w:tcBorders>
            <w:shd w:val="clear" w:color="auto" w:fill="auto"/>
            <w:noWrap/>
            <w:vAlign w:val="bottom"/>
            <w:hideMark/>
          </w:tcPr>
          <w:p w:rsidR="00294CB0" w:rsidRPr="00D5126A" w:rsidRDefault="00294CB0" w:rsidP="00D9040A">
            <w:pPr>
              <w:spacing w:after="0"/>
              <w:ind w:left="655" w:hanging="338"/>
              <w:rPr>
                <w:rFonts w:cstheme="minorHAnsi"/>
                <w:color w:val="000000"/>
                <w:sz w:val="20"/>
                <w:szCs w:val="20"/>
              </w:rPr>
            </w:pPr>
            <w:r w:rsidRPr="00D5126A">
              <w:rPr>
                <w:rFonts w:cstheme="minorHAnsi"/>
                <w:color w:val="000000"/>
                <w:sz w:val="20"/>
                <w:szCs w:val="20"/>
              </w:rPr>
              <w:t>2.1 Parks, beaches and open spaces</w:t>
            </w:r>
          </w:p>
        </w:tc>
        <w:tc>
          <w:tcPr>
            <w:tcW w:w="1176" w:type="dxa"/>
            <w:tcBorders>
              <w:top w:val="nil"/>
              <w:left w:val="nil"/>
              <w:bottom w:val="nil"/>
              <w:right w:val="nil"/>
            </w:tcBorders>
            <w:shd w:val="clear" w:color="auto" w:fill="auto"/>
            <w:noWrap/>
            <w:vAlign w:val="center"/>
            <w:hideMark/>
          </w:tcPr>
          <w:p w:rsidR="00294CB0" w:rsidRPr="00D5126A" w:rsidRDefault="00294CB0" w:rsidP="00E369FC">
            <w:pPr>
              <w:spacing w:after="0"/>
              <w:jc w:val="center"/>
              <w:rPr>
                <w:rFonts w:cstheme="minorHAnsi"/>
                <w:b/>
                <w:color w:val="000000"/>
                <w:sz w:val="24"/>
                <w:szCs w:val="20"/>
              </w:rPr>
            </w:pPr>
          </w:p>
        </w:tc>
        <w:tc>
          <w:tcPr>
            <w:tcW w:w="1177" w:type="dxa"/>
            <w:tcBorders>
              <w:top w:val="nil"/>
              <w:left w:val="nil"/>
              <w:bottom w:val="nil"/>
              <w:right w:val="nil"/>
            </w:tcBorders>
            <w:shd w:val="clear" w:color="auto" w:fill="auto"/>
            <w:noWrap/>
            <w:vAlign w:val="center"/>
            <w:hideMark/>
          </w:tcPr>
          <w:p w:rsidR="00294CB0" w:rsidRPr="00D5126A" w:rsidRDefault="00294CB0" w:rsidP="00E369FC">
            <w:pPr>
              <w:spacing w:after="0"/>
              <w:jc w:val="center"/>
              <w:rPr>
                <w:rFonts w:cstheme="minorHAnsi"/>
                <w:b/>
                <w:color w:val="000000"/>
                <w:sz w:val="24"/>
                <w:szCs w:val="20"/>
              </w:rPr>
            </w:pPr>
            <w:r>
              <w:rPr>
                <w:rFonts w:cstheme="minorHAnsi"/>
                <w:b/>
                <w:color w:val="000000"/>
                <w:sz w:val="24"/>
                <w:szCs w:val="20"/>
              </w:rPr>
              <w:t>5</w:t>
            </w:r>
          </w:p>
        </w:tc>
        <w:tc>
          <w:tcPr>
            <w:tcW w:w="1176" w:type="dxa"/>
            <w:tcBorders>
              <w:top w:val="nil"/>
              <w:left w:val="nil"/>
              <w:bottom w:val="nil"/>
              <w:right w:val="nil"/>
            </w:tcBorders>
            <w:shd w:val="clear" w:color="auto" w:fill="auto"/>
            <w:noWrap/>
            <w:vAlign w:val="center"/>
            <w:hideMark/>
          </w:tcPr>
          <w:p w:rsidR="00294CB0" w:rsidRPr="00D5126A" w:rsidRDefault="00294CB0" w:rsidP="00E369FC">
            <w:pPr>
              <w:spacing w:after="0"/>
              <w:jc w:val="center"/>
              <w:rPr>
                <w:rFonts w:cstheme="minorHAnsi"/>
                <w:b/>
                <w:color w:val="000000"/>
                <w:sz w:val="24"/>
                <w:szCs w:val="20"/>
              </w:rPr>
            </w:pPr>
          </w:p>
        </w:tc>
        <w:tc>
          <w:tcPr>
            <w:tcW w:w="1177" w:type="dxa"/>
            <w:tcBorders>
              <w:top w:val="nil"/>
              <w:left w:val="nil"/>
              <w:bottom w:val="nil"/>
              <w:right w:val="nil"/>
            </w:tcBorders>
            <w:shd w:val="clear" w:color="auto" w:fill="auto"/>
            <w:noWrap/>
            <w:vAlign w:val="center"/>
            <w:hideMark/>
          </w:tcPr>
          <w:p w:rsidR="00294CB0" w:rsidRPr="00D5126A" w:rsidRDefault="00294CB0" w:rsidP="00E369FC">
            <w:pPr>
              <w:spacing w:after="0"/>
              <w:jc w:val="center"/>
              <w:rPr>
                <w:rFonts w:cstheme="minorHAnsi"/>
                <w:b/>
                <w:color w:val="000000"/>
                <w:sz w:val="24"/>
                <w:szCs w:val="20"/>
              </w:rPr>
            </w:pPr>
            <w:r>
              <w:rPr>
                <w:rFonts w:cstheme="minorHAnsi"/>
                <w:b/>
                <w:color w:val="000000"/>
                <w:sz w:val="24"/>
                <w:szCs w:val="20"/>
              </w:rPr>
              <w:t>3</w:t>
            </w:r>
          </w:p>
        </w:tc>
        <w:tc>
          <w:tcPr>
            <w:tcW w:w="1177" w:type="dxa"/>
            <w:tcBorders>
              <w:top w:val="nil"/>
              <w:left w:val="nil"/>
              <w:bottom w:val="nil"/>
              <w:right w:val="nil"/>
            </w:tcBorders>
            <w:shd w:val="clear" w:color="auto" w:fill="auto"/>
            <w:noWrap/>
            <w:vAlign w:val="center"/>
            <w:hideMark/>
          </w:tcPr>
          <w:p w:rsidR="00294CB0" w:rsidRPr="00D5126A" w:rsidRDefault="00294CB0" w:rsidP="00E369FC">
            <w:pPr>
              <w:spacing w:after="0"/>
              <w:jc w:val="center"/>
              <w:rPr>
                <w:rFonts w:cstheme="minorHAnsi"/>
                <w:b/>
                <w:color w:val="000000"/>
                <w:sz w:val="24"/>
                <w:szCs w:val="20"/>
              </w:rPr>
            </w:pPr>
            <w:r w:rsidRPr="00D5126A">
              <w:rPr>
                <w:rFonts w:cstheme="minorHAnsi"/>
                <w:b/>
                <w:color w:val="000000"/>
                <w:sz w:val="24"/>
                <w:szCs w:val="20"/>
              </w:rPr>
              <w:t>8</w:t>
            </w:r>
          </w:p>
        </w:tc>
      </w:tr>
      <w:tr w:rsidR="00294CB0" w:rsidRPr="00D5126A" w:rsidTr="00EF073E">
        <w:trPr>
          <w:trHeight w:val="255"/>
        </w:trPr>
        <w:tc>
          <w:tcPr>
            <w:tcW w:w="3119" w:type="dxa"/>
            <w:tcBorders>
              <w:top w:val="nil"/>
              <w:left w:val="nil"/>
              <w:bottom w:val="nil"/>
              <w:right w:val="nil"/>
            </w:tcBorders>
            <w:shd w:val="clear" w:color="auto" w:fill="auto"/>
            <w:noWrap/>
            <w:vAlign w:val="bottom"/>
            <w:hideMark/>
          </w:tcPr>
          <w:p w:rsidR="00294CB0" w:rsidRPr="00D5126A" w:rsidRDefault="00294CB0" w:rsidP="00D9040A">
            <w:pPr>
              <w:spacing w:after="0"/>
              <w:ind w:left="601" w:hanging="284"/>
              <w:rPr>
                <w:rFonts w:cstheme="minorHAnsi"/>
                <w:color w:val="000000"/>
                <w:sz w:val="20"/>
                <w:szCs w:val="20"/>
              </w:rPr>
            </w:pPr>
            <w:r w:rsidRPr="00D5126A">
              <w:rPr>
                <w:rFonts w:cstheme="minorHAnsi"/>
                <w:color w:val="000000"/>
                <w:sz w:val="20"/>
                <w:szCs w:val="20"/>
              </w:rPr>
              <w:t>2.2 Waste reduction and energy conservation</w:t>
            </w:r>
          </w:p>
        </w:tc>
        <w:tc>
          <w:tcPr>
            <w:tcW w:w="1176" w:type="dxa"/>
            <w:tcBorders>
              <w:top w:val="nil"/>
              <w:left w:val="nil"/>
              <w:bottom w:val="nil"/>
              <w:right w:val="nil"/>
            </w:tcBorders>
            <w:shd w:val="clear" w:color="auto" w:fill="auto"/>
            <w:noWrap/>
            <w:vAlign w:val="center"/>
            <w:hideMark/>
          </w:tcPr>
          <w:p w:rsidR="00294CB0" w:rsidRPr="00D5126A" w:rsidRDefault="00294CB0" w:rsidP="00E369FC">
            <w:pPr>
              <w:spacing w:after="0"/>
              <w:jc w:val="center"/>
              <w:rPr>
                <w:rFonts w:cstheme="minorHAnsi"/>
                <w:b/>
                <w:color w:val="000000"/>
                <w:sz w:val="24"/>
                <w:szCs w:val="20"/>
              </w:rPr>
            </w:pPr>
            <w:r w:rsidRPr="00D5126A">
              <w:rPr>
                <w:rFonts w:cstheme="minorHAnsi"/>
                <w:b/>
                <w:color w:val="000000"/>
                <w:sz w:val="24"/>
                <w:szCs w:val="20"/>
              </w:rPr>
              <w:t>3</w:t>
            </w:r>
          </w:p>
        </w:tc>
        <w:tc>
          <w:tcPr>
            <w:tcW w:w="1177" w:type="dxa"/>
            <w:tcBorders>
              <w:top w:val="nil"/>
              <w:left w:val="nil"/>
              <w:bottom w:val="nil"/>
              <w:right w:val="nil"/>
            </w:tcBorders>
            <w:shd w:val="clear" w:color="auto" w:fill="auto"/>
            <w:noWrap/>
            <w:vAlign w:val="center"/>
            <w:hideMark/>
          </w:tcPr>
          <w:p w:rsidR="00294CB0" w:rsidRPr="00D5126A" w:rsidRDefault="00294CB0" w:rsidP="00E369FC">
            <w:pPr>
              <w:spacing w:after="0"/>
              <w:jc w:val="center"/>
              <w:rPr>
                <w:rFonts w:cstheme="minorHAnsi"/>
                <w:b/>
                <w:color w:val="000000"/>
                <w:sz w:val="24"/>
                <w:szCs w:val="20"/>
              </w:rPr>
            </w:pPr>
            <w:r w:rsidRPr="00D5126A">
              <w:rPr>
                <w:rFonts w:cstheme="minorHAnsi"/>
                <w:b/>
                <w:color w:val="000000"/>
                <w:sz w:val="24"/>
                <w:szCs w:val="20"/>
              </w:rPr>
              <w:t>3</w:t>
            </w:r>
          </w:p>
        </w:tc>
        <w:tc>
          <w:tcPr>
            <w:tcW w:w="1176" w:type="dxa"/>
            <w:tcBorders>
              <w:top w:val="nil"/>
              <w:left w:val="nil"/>
              <w:bottom w:val="nil"/>
              <w:right w:val="nil"/>
            </w:tcBorders>
            <w:shd w:val="clear" w:color="auto" w:fill="auto"/>
            <w:noWrap/>
            <w:vAlign w:val="center"/>
            <w:hideMark/>
          </w:tcPr>
          <w:p w:rsidR="00294CB0" w:rsidRPr="00D5126A" w:rsidRDefault="00294CB0" w:rsidP="00E369FC">
            <w:pPr>
              <w:spacing w:after="0"/>
              <w:jc w:val="center"/>
              <w:rPr>
                <w:rFonts w:cstheme="minorHAnsi"/>
                <w:b/>
                <w:color w:val="000000"/>
                <w:sz w:val="24"/>
                <w:szCs w:val="20"/>
              </w:rPr>
            </w:pPr>
            <w:r w:rsidRPr="00D5126A">
              <w:rPr>
                <w:rFonts w:cstheme="minorHAnsi"/>
                <w:b/>
                <w:color w:val="000000"/>
                <w:sz w:val="24"/>
                <w:szCs w:val="20"/>
              </w:rPr>
              <w:t>1</w:t>
            </w:r>
          </w:p>
        </w:tc>
        <w:tc>
          <w:tcPr>
            <w:tcW w:w="1177" w:type="dxa"/>
            <w:tcBorders>
              <w:top w:val="nil"/>
              <w:left w:val="nil"/>
              <w:bottom w:val="nil"/>
              <w:right w:val="nil"/>
            </w:tcBorders>
            <w:shd w:val="clear" w:color="auto" w:fill="auto"/>
            <w:noWrap/>
            <w:vAlign w:val="center"/>
            <w:hideMark/>
          </w:tcPr>
          <w:p w:rsidR="00294CB0" w:rsidRPr="00D5126A" w:rsidRDefault="00294CB0" w:rsidP="00E369FC">
            <w:pPr>
              <w:spacing w:after="0"/>
              <w:jc w:val="center"/>
              <w:rPr>
                <w:rFonts w:cstheme="minorHAnsi"/>
                <w:b/>
                <w:color w:val="000000"/>
                <w:sz w:val="24"/>
                <w:szCs w:val="20"/>
              </w:rPr>
            </w:pPr>
            <w:r w:rsidRPr="00D5126A">
              <w:rPr>
                <w:rFonts w:cstheme="minorHAnsi"/>
                <w:b/>
                <w:color w:val="000000"/>
                <w:sz w:val="24"/>
                <w:szCs w:val="20"/>
              </w:rPr>
              <w:t>4</w:t>
            </w:r>
          </w:p>
        </w:tc>
        <w:tc>
          <w:tcPr>
            <w:tcW w:w="1177" w:type="dxa"/>
            <w:tcBorders>
              <w:top w:val="nil"/>
              <w:left w:val="nil"/>
              <w:bottom w:val="nil"/>
              <w:right w:val="nil"/>
            </w:tcBorders>
            <w:shd w:val="clear" w:color="auto" w:fill="auto"/>
            <w:noWrap/>
            <w:vAlign w:val="center"/>
            <w:hideMark/>
          </w:tcPr>
          <w:p w:rsidR="00294CB0" w:rsidRPr="00D5126A" w:rsidRDefault="00294CB0" w:rsidP="00E369FC">
            <w:pPr>
              <w:spacing w:after="0"/>
              <w:jc w:val="center"/>
              <w:rPr>
                <w:rFonts w:cstheme="minorHAnsi"/>
                <w:b/>
                <w:color w:val="000000"/>
                <w:sz w:val="24"/>
                <w:szCs w:val="20"/>
              </w:rPr>
            </w:pPr>
            <w:r w:rsidRPr="00D5126A">
              <w:rPr>
                <w:rFonts w:cstheme="minorHAnsi"/>
                <w:b/>
                <w:color w:val="000000"/>
                <w:sz w:val="24"/>
                <w:szCs w:val="20"/>
              </w:rPr>
              <w:t>11</w:t>
            </w:r>
          </w:p>
        </w:tc>
      </w:tr>
      <w:tr w:rsidR="00294CB0" w:rsidRPr="00D5126A" w:rsidTr="00EF073E">
        <w:trPr>
          <w:trHeight w:val="255"/>
        </w:trPr>
        <w:tc>
          <w:tcPr>
            <w:tcW w:w="3119" w:type="dxa"/>
            <w:tcBorders>
              <w:top w:val="nil"/>
              <w:left w:val="nil"/>
              <w:bottom w:val="nil"/>
              <w:right w:val="nil"/>
            </w:tcBorders>
            <w:shd w:val="clear" w:color="auto" w:fill="auto"/>
            <w:noWrap/>
            <w:vAlign w:val="bottom"/>
            <w:hideMark/>
          </w:tcPr>
          <w:p w:rsidR="00294CB0" w:rsidRPr="00D5126A" w:rsidRDefault="00294CB0" w:rsidP="00D9040A">
            <w:pPr>
              <w:spacing w:after="0"/>
              <w:ind w:left="317"/>
              <w:rPr>
                <w:rFonts w:cstheme="minorHAnsi"/>
                <w:color w:val="000000"/>
                <w:sz w:val="20"/>
                <w:szCs w:val="20"/>
              </w:rPr>
            </w:pPr>
            <w:r w:rsidRPr="00D5126A">
              <w:rPr>
                <w:rFonts w:cstheme="minorHAnsi"/>
                <w:color w:val="000000"/>
                <w:sz w:val="20"/>
                <w:szCs w:val="20"/>
              </w:rPr>
              <w:t xml:space="preserve">2.3 Waimāori | Water supply </w:t>
            </w:r>
          </w:p>
        </w:tc>
        <w:tc>
          <w:tcPr>
            <w:tcW w:w="1176" w:type="dxa"/>
            <w:tcBorders>
              <w:top w:val="nil"/>
              <w:left w:val="nil"/>
              <w:bottom w:val="nil"/>
              <w:right w:val="nil"/>
            </w:tcBorders>
            <w:shd w:val="clear" w:color="auto" w:fill="auto"/>
            <w:noWrap/>
            <w:vAlign w:val="center"/>
            <w:hideMark/>
          </w:tcPr>
          <w:p w:rsidR="00294CB0" w:rsidRPr="00D5126A" w:rsidRDefault="00294CB0" w:rsidP="00E369FC">
            <w:pPr>
              <w:spacing w:after="0"/>
              <w:jc w:val="center"/>
              <w:rPr>
                <w:rFonts w:cstheme="minorHAnsi"/>
                <w:b/>
                <w:color w:val="000000"/>
                <w:sz w:val="24"/>
                <w:szCs w:val="20"/>
              </w:rPr>
            </w:pPr>
            <w:r w:rsidRPr="00D5126A">
              <w:rPr>
                <w:rFonts w:cstheme="minorHAnsi"/>
                <w:b/>
                <w:color w:val="000000"/>
                <w:sz w:val="24"/>
                <w:szCs w:val="20"/>
              </w:rPr>
              <w:t>2</w:t>
            </w:r>
          </w:p>
        </w:tc>
        <w:tc>
          <w:tcPr>
            <w:tcW w:w="1177" w:type="dxa"/>
            <w:tcBorders>
              <w:top w:val="nil"/>
              <w:left w:val="nil"/>
              <w:bottom w:val="nil"/>
              <w:right w:val="nil"/>
            </w:tcBorders>
            <w:shd w:val="clear" w:color="auto" w:fill="auto"/>
            <w:noWrap/>
            <w:vAlign w:val="center"/>
            <w:hideMark/>
          </w:tcPr>
          <w:p w:rsidR="00294CB0" w:rsidRPr="00D5126A" w:rsidRDefault="00294CB0" w:rsidP="00E369FC">
            <w:pPr>
              <w:spacing w:after="0"/>
              <w:jc w:val="center"/>
              <w:rPr>
                <w:rFonts w:cstheme="minorHAnsi"/>
                <w:b/>
                <w:color w:val="000000"/>
                <w:sz w:val="24"/>
                <w:szCs w:val="20"/>
              </w:rPr>
            </w:pPr>
            <w:r>
              <w:rPr>
                <w:rFonts w:cstheme="minorHAnsi"/>
                <w:b/>
                <w:color w:val="000000"/>
                <w:sz w:val="24"/>
                <w:szCs w:val="20"/>
              </w:rPr>
              <w:t>5</w:t>
            </w:r>
          </w:p>
        </w:tc>
        <w:tc>
          <w:tcPr>
            <w:tcW w:w="1176" w:type="dxa"/>
            <w:tcBorders>
              <w:top w:val="nil"/>
              <w:left w:val="nil"/>
              <w:bottom w:val="nil"/>
              <w:right w:val="nil"/>
            </w:tcBorders>
            <w:shd w:val="clear" w:color="auto" w:fill="auto"/>
            <w:noWrap/>
            <w:vAlign w:val="center"/>
            <w:hideMark/>
          </w:tcPr>
          <w:p w:rsidR="00294CB0" w:rsidRPr="00D5126A" w:rsidRDefault="00294CB0" w:rsidP="00E369FC">
            <w:pPr>
              <w:spacing w:after="0"/>
              <w:jc w:val="center"/>
              <w:rPr>
                <w:rFonts w:cstheme="minorHAnsi"/>
                <w:b/>
                <w:color w:val="000000"/>
                <w:sz w:val="24"/>
                <w:szCs w:val="20"/>
              </w:rPr>
            </w:pPr>
            <w:r w:rsidRPr="00D5126A">
              <w:rPr>
                <w:rFonts w:cstheme="minorHAnsi"/>
                <w:b/>
                <w:color w:val="000000"/>
                <w:sz w:val="24"/>
                <w:szCs w:val="20"/>
              </w:rPr>
              <w:t>2</w:t>
            </w:r>
          </w:p>
        </w:tc>
        <w:tc>
          <w:tcPr>
            <w:tcW w:w="1177" w:type="dxa"/>
            <w:tcBorders>
              <w:top w:val="nil"/>
              <w:left w:val="nil"/>
              <w:bottom w:val="nil"/>
              <w:right w:val="nil"/>
            </w:tcBorders>
            <w:shd w:val="clear" w:color="auto" w:fill="auto"/>
            <w:noWrap/>
            <w:vAlign w:val="center"/>
            <w:hideMark/>
          </w:tcPr>
          <w:p w:rsidR="00294CB0" w:rsidRPr="00D5126A" w:rsidRDefault="00294CB0" w:rsidP="00E369FC">
            <w:pPr>
              <w:spacing w:after="0"/>
              <w:jc w:val="center"/>
              <w:rPr>
                <w:rFonts w:cstheme="minorHAnsi"/>
                <w:b/>
                <w:color w:val="000000"/>
                <w:sz w:val="24"/>
                <w:szCs w:val="20"/>
              </w:rPr>
            </w:pPr>
            <w:r w:rsidRPr="00D5126A">
              <w:rPr>
                <w:rFonts w:cstheme="minorHAnsi"/>
                <w:b/>
                <w:color w:val="000000"/>
                <w:sz w:val="24"/>
                <w:szCs w:val="20"/>
              </w:rPr>
              <w:t>1</w:t>
            </w:r>
          </w:p>
        </w:tc>
        <w:tc>
          <w:tcPr>
            <w:tcW w:w="1177" w:type="dxa"/>
            <w:tcBorders>
              <w:top w:val="nil"/>
              <w:left w:val="nil"/>
              <w:bottom w:val="nil"/>
              <w:right w:val="nil"/>
            </w:tcBorders>
            <w:shd w:val="clear" w:color="auto" w:fill="auto"/>
            <w:noWrap/>
            <w:vAlign w:val="center"/>
            <w:hideMark/>
          </w:tcPr>
          <w:p w:rsidR="00294CB0" w:rsidRPr="00D5126A" w:rsidRDefault="00294CB0" w:rsidP="00E369FC">
            <w:pPr>
              <w:spacing w:after="0"/>
              <w:jc w:val="center"/>
              <w:rPr>
                <w:rFonts w:cstheme="minorHAnsi"/>
                <w:b/>
                <w:color w:val="000000"/>
                <w:sz w:val="24"/>
                <w:szCs w:val="20"/>
              </w:rPr>
            </w:pPr>
            <w:r w:rsidRPr="00D5126A">
              <w:rPr>
                <w:rFonts w:cstheme="minorHAnsi"/>
                <w:b/>
                <w:color w:val="000000"/>
                <w:sz w:val="24"/>
                <w:szCs w:val="20"/>
              </w:rPr>
              <w:t>10</w:t>
            </w:r>
          </w:p>
        </w:tc>
      </w:tr>
      <w:tr w:rsidR="00294CB0" w:rsidRPr="00D5126A" w:rsidTr="00EF073E">
        <w:trPr>
          <w:trHeight w:val="255"/>
        </w:trPr>
        <w:tc>
          <w:tcPr>
            <w:tcW w:w="3119" w:type="dxa"/>
            <w:tcBorders>
              <w:top w:val="nil"/>
              <w:left w:val="nil"/>
              <w:bottom w:val="nil"/>
              <w:right w:val="nil"/>
            </w:tcBorders>
            <w:shd w:val="clear" w:color="auto" w:fill="auto"/>
            <w:noWrap/>
            <w:vAlign w:val="bottom"/>
            <w:hideMark/>
          </w:tcPr>
          <w:p w:rsidR="00294CB0" w:rsidRPr="00D5126A" w:rsidRDefault="00294CB0" w:rsidP="00D9040A">
            <w:pPr>
              <w:spacing w:after="0"/>
              <w:ind w:left="317"/>
              <w:rPr>
                <w:rFonts w:cstheme="minorHAnsi"/>
                <w:color w:val="000000"/>
                <w:sz w:val="20"/>
                <w:szCs w:val="20"/>
              </w:rPr>
            </w:pPr>
            <w:r w:rsidRPr="00D5126A">
              <w:rPr>
                <w:rFonts w:cstheme="minorHAnsi"/>
                <w:color w:val="000000"/>
                <w:sz w:val="20"/>
                <w:szCs w:val="20"/>
              </w:rPr>
              <w:t>2.4 Waipara | Wastewater</w:t>
            </w:r>
          </w:p>
        </w:tc>
        <w:tc>
          <w:tcPr>
            <w:tcW w:w="1176" w:type="dxa"/>
            <w:tcBorders>
              <w:top w:val="nil"/>
              <w:left w:val="nil"/>
              <w:bottom w:val="nil"/>
              <w:right w:val="nil"/>
            </w:tcBorders>
            <w:shd w:val="clear" w:color="auto" w:fill="auto"/>
            <w:noWrap/>
            <w:vAlign w:val="center"/>
            <w:hideMark/>
          </w:tcPr>
          <w:p w:rsidR="00294CB0" w:rsidRPr="00D5126A" w:rsidRDefault="00294CB0" w:rsidP="00E369FC">
            <w:pPr>
              <w:spacing w:after="0"/>
              <w:jc w:val="center"/>
              <w:rPr>
                <w:rFonts w:cstheme="minorHAnsi"/>
                <w:b/>
                <w:color w:val="000000"/>
                <w:sz w:val="24"/>
                <w:szCs w:val="20"/>
              </w:rPr>
            </w:pPr>
            <w:r>
              <w:rPr>
                <w:rFonts w:cstheme="minorHAnsi"/>
                <w:b/>
                <w:color w:val="000000"/>
                <w:sz w:val="24"/>
                <w:szCs w:val="20"/>
              </w:rPr>
              <w:t>1</w:t>
            </w:r>
          </w:p>
        </w:tc>
        <w:tc>
          <w:tcPr>
            <w:tcW w:w="1177" w:type="dxa"/>
            <w:tcBorders>
              <w:top w:val="nil"/>
              <w:left w:val="nil"/>
              <w:bottom w:val="nil"/>
              <w:right w:val="nil"/>
            </w:tcBorders>
            <w:shd w:val="clear" w:color="auto" w:fill="auto"/>
            <w:noWrap/>
            <w:vAlign w:val="center"/>
            <w:hideMark/>
          </w:tcPr>
          <w:p w:rsidR="00294CB0" w:rsidRPr="00D5126A" w:rsidRDefault="00294CB0" w:rsidP="00E369FC">
            <w:pPr>
              <w:spacing w:after="0"/>
              <w:jc w:val="center"/>
              <w:rPr>
                <w:rFonts w:cstheme="minorHAnsi"/>
                <w:b/>
                <w:color w:val="000000"/>
                <w:sz w:val="24"/>
                <w:szCs w:val="20"/>
              </w:rPr>
            </w:pPr>
            <w:r>
              <w:rPr>
                <w:rFonts w:cstheme="minorHAnsi"/>
                <w:b/>
                <w:color w:val="000000"/>
                <w:sz w:val="24"/>
                <w:szCs w:val="20"/>
              </w:rPr>
              <w:t>5</w:t>
            </w:r>
          </w:p>
        </w:tc>
        <w:tc>
          <w:tcPr>
            <w:tcW w:w="1176" w:type="dxa"/>
            <w:tcBorders>
              <w:top w:val="nil"/>
              <w:left w:val="nil"/>
              <w:bottom w:val="nil"/>
              <w:right w:val="nil"/>
            </w:tcBorders>
            <w:shd w:val="clear" w:color="auto" w:fill="auto"/>
            <w:noWrap/>
            <w:vAlign w:val="center"/>
            <w:hideMark/>
          </w:tcPr>
          <w:p w:rsidR="00294CB0" w:rsidRPr="00D5126A" w:rsidRDefault="00294CB0" w:rsidP="00E369FC">
            <w:pPr>
              <w:spacing w:after="0"/>
              <w:jc w:val="center"/>
              <w:rPr>
                <w:rFonts w:cstheme="minorHAnsi"/>
                <w:b/>
                <w:color w:val="000000"/>
                <w:sz w:val="24"/>
                <w:szCs w:val="20"/>
              </w:rPr>
            </w:pPr>
            <w:r w:rsidRPr="00D5126A">
              <w:rPr>
                <w:rFonts w:cstheme="minorHAnsi"/>
                <w:b/>
                <w:color w:val="000000"/>
                <w:sz w:val="24"/>
                <w:szCs w:val="20"/>
              </w:rPr>
              <w:t>4</w:t>
            </w:r>
          </w:p>
        </w:tc>
        <w:tc>
          <w:tcPr>
            <w:tcW w:w="1177" w:type="dxa"/>
            <w:tcBorders>
              <w:top w:val="nil"/>
              <w:left w:val="nil"/>
              <w:bottom w:val="nil"/>
              <w:right w:val="nil"/>
            </w:tcBorders>
            <w:shd w:val="clear" w:color="auto" w:fill="auto"/>
            <w:noWrap/>
            <w:vAlign w:val="center"/>
            <w:hideMark/>
          </w:tcPr>
          <w:p w:rsidR="00294CB0" w:rsidRPr="00D5126A" w:rsidRDefault="00294CB0" w:rsidP="00E369FC">
            <w:pPr>
              <w:spacing w:after="0"/>
              <w:jc w:val="center"/>
              <w:rPr>
                <w:rFonts w:cstheme="minorHAnsi"/>
                <w:b/>
                <w:color w:val="000000"/>
                <w:sz w:val="24"/>
                <w:szCs w:val="20"/>
              </w:rPr>
            </w:pPr>
          </w:p>
        </w:tc>
        <w:tc>
          <w:tcPr>
            <w:tcW w:w="1177" w:type="dxa"/>
            <w:tcBorders>
              <w:top w:val="nil"/>
              <w:left w:val="nil"/>
              <w:bottom w:val="nil"/>
              <w:right w:val="nil"/>
            </w:tcBorders>
            <w:shd w:val="clear" w:color="auto" w:fill="auto"/>
            <w:noWrap/>
            <w:vAlign w:val="center"/>
            <w:hideMark/>
          </w:tcPr>
          <w:p w:rsidR="00294CB0" w:rsidRPr="00D5126A" w:rsidRDefault="00294CB0" w:rsidP="00E369FC">
            <w:pPr>
              <w:spacing w:after="0"/>
              <w:jc w:val="center"/>
              <w:rPr>
                <w:rFonts w:cstheme="minorHAnsi"/>
                <w:b/>
                <w:color w:val="000000"/>
                <w:sz w:val="24"/>
                <w:szCs w:val="20"/>
              </w:rPr>
            </w:pPr>
            <w:r w:rsidRPr="00D5126A">
              <w:rPr>
                <w:rFonts w:cstheme="minorHAnsi"/>
                <w:b/>
                <w:color w:val="000000"/>
                <w:sz w:val="24"/>
                <w:szCs w:val="20"/>
              </w:rPr>
              <w:t>10</w:t>
            </w:r>
          </w:p>
        </w:tc>
      </w:tr>
      <w:tr w:rsidR="00294CB0" w:rsidRPr="00D5126A" w:rsidTr="00EF073E">
        <w:trPr>
          <w:trHeight w:val="255"/>
        </w:trPr>
        <w:tc>
          <w:tcPr>
            <w:tcW w:w="3119" w:type="dxa"/>
            <w:tcBorders>
              <w:top w:val="nil"/>
              <w:left w:val="nil"/>
              <w:bottom w:val="nil"/>
              <w:right w:val="nil"/>
            </w:tcBorders>
            <w:shd w:val="clear" w:color="auto" w:fill="auto"/>
            <w:noWrap/>
            <w:vAlign w:val="bottom"/>
            <w:hideMark/>
          </w:tcPr>
          <w:p w:rsidR="00294CB0" w:rsidRPr="00D5126A" w:rsidRDefault="00294CB0" w:rsidP="00D9040A">
            <w:pPr>
              <w:spacing w:after="0"/>
              <w:ind w:left="317"/>
              <w:rPr>
                <w:rFonts w:cstheme="minorHAnsi"/>
                <w:color w:val="000000"/>
                <w:sz w:val="20"/>
                <w:szCs w:val="20"/>
              </w:rPr>
            </w:pPr>
            <w:r w:rsidRPr="00D5126A">
              <w:rPr>
                <w:rFonts w:cstheme="minorHAnsi"/>
                <w:color w:val="000000"/>
                <w:sz w:val="20"/>
                <w:szCs w:val="20"/>
              </w:rPr>
              <w:t>2.5 Waiāwhā | Stormwater</w:t>
            </w:r>
          </w:p>
        </w:tc>
        <w:tc>
          <w:tcPr>
            <w:tcW w:w="1176" w:type="dxa"/>
            <w:tcBorders>
              <w:top w:val="nil"/>
              <w:left w:val="nil"/>
              <w:bottom w:val="nil"/>
              <w:right w:val="nil"/>
            </w:tcBorders>
            <w:shd w:val="clear" w:color="auto" w:fill="auto"/>
            <w:noWrap/>
            <w:vAlign w:val="center"/>
            <w:hideMark/>
          </w:tcPr>
          <w:p w:rsidR="00294CB0" w:rsidRPr="00D5126A" w:rsidRDefault="00294CB0" w:rsidP="00E369FC">
            <w:pPr>
              <w:spacing w:after="0"/>
              <w:jc w:val="center"/>
              <w:rPr>
                <w:rFonts w:cstheme="minorHAnsi"/>
                <w:b/>
                <w:color w:val="000000"/>
                <w:sz w:val="24"/>
                <w:szCs w:val="20"/>
              </w:rPr>
            </w:pPr>
            <w:r w:rsidRPr="00D5126A">
              <w:rPr>
                <w:rFonts w:cstheme="minorHAnsi"/>
                <w:b/>
                <w:color w:val="000000"/>
                <w:sz w:val="24"/>
                <w:szCs w:val="20"/>
              </w:rPr>
              <w:t>2</w:t>
            </w:r>
          </w:p>
        </w:tc>
        <w:tc>
          <w:tcPr>
            <w:tcW w:w="1177" w:type="dxa"/>
            <w:tcBorders>
              <w:top w:val="nil"/>
              <w:left w:val="nil"/>
              <w:bottom w:val="nil"/>
              <w:right w:val="nil"/>
            </w:tcBorders>
            <w:shd w:val="clear" w:color="auto" w:fill="auto"/>
            <w:noWrap/>
            <w:vAlign w:val="center"/>
            <w:hideMark/>
          </w:tcPr>
          <w:p w:rsidR="00294CB0" w:rsidRPr="00D5126A" w:rsidRDefault="00294CB0" w:rsidP="00E369FC">
            <w:pPr>
              <w:spacing w:after="0"/>
              <w:jc w:val="center"/>
              <w:rPr>
                <w:rFonts w:cstheme="minorHAnsi"/>
                <w:b/>
                <w:color w:val="000000"/>
                <w:sz w:val="24"/>
                <w:szCs w:val="20"/>
              </w:rPr>
            </w:pPr>
            <w:r>
              <w:rPr>
                <w:rFonts w:cstheme="minorHAnsi"/>
                <w:b/>
                <w:color w:val="000000"/>
                <w:sz w:val="24"/>
                <w:szCs w:val="20"/>
              </w:rPr>
              <w:t>7</w:t>
            </w:r>
          </w:p>
        </w:tc>
        <w:tc>
          <w:tcPr>
            <w:tcW w:w="1176" w:type="dxa"/>
            <w:tcBorders>
              <w:top w:val="nil"/>
              <w:left w:val="nil"/>
              <w:bottom w:val="nil"/>
              <w:right w:val="nil"/>
            </w:tcBorders>
            <w:shd w:val="clear" w:color="auto" w:fill="auto"/>
            <w:noWrap/>
            <w:vAlign w:val="center"/>
            <w:hideMark/>
          </w:tcPr>
          <w:p w:rsidR="00294CB0" w:rsidRPr="00D5126A" w:rsidRDefault="00294CB0" w:rsidP="00E369FC">
            <w:pPr>
              <w:spacing w:after="0"/>
              <w:jc w:val="center"/>
              <w:rPr>
                <w:rFonts w:cstheme="minorHAnsi"/>
                <w:b/>
                <w:color w:val="000000"/>
                <w:sz w:val="24"/>
                <w:szCs w:val="20"/>
              </w:rPr>
            </w:pPr>
            <w:r w:rsidRPr="00D5126A">
              <w:rPr>
                <w:rFonts w:cstheme="minorHAnsi"/>
                <w:b/>
                <w:color w:val="000000"/>
                <w:sz w:val="24"/>
                <w:szCs w:val="20"/>
              </w:rPr>
              <w:t>4</w:t>
            </w:r>
          </w:p>
        </w:tc>
        <w:tc>
          <w:tcPr>
            <w:tcW w:w="1177" w:type="dxa"/>
            <w:tcBorders>
              <w:top w:val="nil"/>
              <w:left w:val="nil"/>
              <w:bottom w:val="nil"/>
              <w:right w:val="nil"/>
            </w:tcBorders>
            <w:shd w:val="clear" w:color="auto" w:fill="auto"/>
            <w:noWrap/>
            <w:vAlign w:val="center"/>
            <w:hideMark/>
          </w:tcPr>
          <w:p w:rsidR="00294CB0" w:rsidRPr="00D5126A" w:rsidRDefault="00294CB0" w:rsidP="00E369FC">
            <w:pPr>
              <w:spacing w:after="0"/>
              <w:jc w:val="center"/>
              <w:rPr>
                <w:rFonts w:cstheme="minorHAnsi"/>
                <w:b/>
                <w:color w:val="000000"/>
                <w:sz w:val="24"/>
                <w:szCs w:val="20"/>
              </w:rPr>
            </w:pPr>
          </w:p>
        </w:tc>
        <w:tc>
          <w:tcPr>
            <w:tcW w:w="1177" w:type="dxa"/>
            <w:tcBorders>
              <w:top w:val="nil"/>
              <w:left w:val="nil"/>
              <w:bottom w:val="nil"/>
              <w:right w:val="nil"/>
            </w:tcBorders>
            <w:shd w:val="clear" w:color="auto" w:fill="auto"/>
            <w:noWrap/>
            <w:vAlign w:val="center"/>
            <w:hideMark/>
          </w:tcPr>
          <w:p w:rsidR="00294CB0" w:rsidRPr="00D5126A" w:rsidRDefault="00294CB0" w:rsidP="00E369FC">
            <w:pPr>
              <w:spacing w:after="0"/>
              <w:jc w:val="center"/>
              <w:rPr>
                <w:rFonts w:cstheme="minorHAnsi"/>
                <w:b/>
                <w:color w:val="000000"/>
                <w:sz w:val="24"/>
                <w:szCs w:val="20"/>
              </w:rPr>
            </w:pPr>
            <w:r w:rsidRPr="00D5126A">
              <w:rPr>
                <w:rFonts w:cstheme="minorHAnsi"/>
                <w:b/>
                <w:color w:val="000000"/>
                <w:sz w:val="24"/>
                <w:szCs w:val="20"/>
              </w:rPr>
              <w:t>13</w:t>
            </w:r>
          </w:p>
        </w:tc>
      </w:tr>
      <w:tr w:rsidR="00294CB0" w:rsidRPr="00D5126A" w:rsidTr="00EF073E">
        <w:trPr>
          <w:trHeight w:val="255"/>
        </w:trPr>
        <w:tc>
          <w:tcPr>
            <w:tcW w:w="3119" w:type="dxa"/>
            <w:tcBorders>
              <w:top w:val="nil"/>
              <w:left w:val="nil"/>
              <w:bottom w:val="single" w:sz="12" w:space="0" w:color="auto"/>
              <w:right w:val="nil"/>
            </w:tcBorders>
            <w:shd w:val="clear" w:color="auto" w:fill="auto"/>
            <w:noWrap/>
            <w:vAlign w:val="bottom"/>
            <w:hideMark/>
          </w:tcPr>
          <w:p w:rsidR="00294CB0" w:rsidRPr="00D5126A" w:rsidRDefault="00294CB0" w:rsidP="00D9040A">
            <w:pPr>
              <w:spacing w:after="0"/>
              <w:ind w:left="655" w:hanging="338"/>
              <w:rPr>
                <w:rFonts w:cstheme="minorHAnsi"/>
                <w:color w:val="000000"/>
                <w:sz w:val="20"/>
                <w:szCs w:val="20"/>
              </w:rPr>
            </w:pPr>
            <w:r w:rsidRPr="00D5126A">
              <w:rPr>
                <w:rFonts w:cstheme="minorHAnsi"/>
                <w:color w:val="000000"/>
                <w:sz w:val="20"/>
                <w:szCs w:val="20"/>
              </w:rPr>
              <w:t>2.6 Ngā painga kukume Papa Atawha | Conservation attractions</w:t>
            </w:r>
          </w:p>
        </w:tc>
        <w:tc>
          <w:tcPr>
            <w:tcW w:w="1176" w:type="dxa"/>
            <w:tcBorders>
              <w:top w:val="nil"/>
              <w:left w:val="nil"/>
              <w:bottom w:val="single" w:sz="12" w:space="0" w:color="auto"/>
              <w:right w:val="nil"/>
            </w:tcBorders>
            <w:shd w:val="clear" w:color="auto" w:fill="auto"/>
            <w:noWrap/>
            <w:vAlign w:val="center"/>
            <w:hideMark/>
          </w:tcPr>
          <w:p w:rsidR="00294CB0" w:rsidRPr="00D5126A" w:rsidRDefault="00294CB0" w:rsidP="00E369FC">
            <w:pPr>
              <w:spacing w:after="0"/>
              <w:jc w:val="center"/>
              <w:rPr>
                <w:rFonts w:cstheme="minorHAnsi"/>
                <w:b/>
                <w:color w:val="000000"/>
                <w:sz w:val="24"/>
                <w:szCs w:val="20"/>
              </w:rPr>
            </w:pPr>
          </w:p>
        </w:tc>
        <w:tc>
          <w:tcPr>
            <w:tcW w:w="1177" w:type="dxa"/>
            <w:tcBorders>
              <w:top w:val="nil"/>
              <w:left w:val="nil"/>
              <w:bottom w:val="single" w:sz="12" w:space="0" w:color="auto"/>
              <w:right w:val="nil"/>
            </w:tcBorders>
            <w:shd w:val="clear" w:color="auto" w:fill="auto"/>
            <w:noWrap/>
            <w:vAlign w:val="center"/>
            <w:hideMark/>
          </w:tcPr>
          <w:p w:rsidR="00294CB0" w:rsidRPr="00D5126A" w:rsidRDefault="00294CB0" w:rsidP="00E369FC">
            <w:pPr>
              <w:spacing w:after="0"/>
              <w:jc w:val="center"/>
              <w:rPr>
                <w:rFonts w:cstheme="minorHAnsi"/>
                <w:b/>
                <w:color w:val="000000"/>
                <w:sz w:val="24"/>
                <w:szCs w:val="20"/>
              </w:rPr>
            </w:pPr>
            <w:r>
              <w:rPr>
                <w:rFonts w:cstheme="minorHAnsi"/>
                <w:b/>
                <w:color w:val="000000"/>
                <w:sz w:val="24"/>
                <w:szCs w:val="20"/>
              </w:rPr>
              <w:t>11</w:t>
            </w:r>
          </w:p>
        </w:tc>
        <w:tc>
          <w:tcPr>
            <w:tcW w:w="1176" w:type="dxa"/>
            <w:tcBorders>
              <w:top w:val="nil"/>
              <w:left w:val="nil"/>
              <w:bottom w:val="single" w:sz="12" w:space="0" w:color="auto"/>
              <w:right w:val="nil"/>
            </w:tcBorders>
            <w:shd w:val="clear" w:color="auto" w:fill="auto"/>
            <w:noWrap/>
            <w:vAlign w:val="center"/>
            <w:hideMark/>
          </w:tcPr>
          <w:p w:rsidR="00294CB0" w:rsidRPr="00D5126A" w:rsidRDefault="00294CB0" w:rsidP="00E369FC">
            <w:pPr>
              <w:spacing w:after="0"/>
              <w:jc w:val="center"/>
              <w:rPr>
                <w:rFonts w:cstheme="minorHAnsi"/>
                <w:b/>
                <w:color w:val="000000"/>
                <w:sz w:val="24"/>
                <w:szCs w:val="20"/>
              </w:rPr>
            </w:pPr>
            <w:r w:rsidRPr="00D5126A">
              <w:rPr>
                <w:rFonts w:cstheme="minorHAnsi"/>
                <w:b/>
                <w:color w:val="000000"/>
                <w:sz w:val="24"/>
                <w:szCs w:val="20"/>
              </w:rPr>
              <w:t>9</w:t>
            </w:r>
          </w:p>
        </w:tc>
        <w:tc>
          <w:tcPr>
            <w:tcW w:w="1177" w:type="dxa"/>
            <w:tcBorders>
              <w:top w:val="nil"/>
              <w:left w:val="nil"/>
              <w:bottom w:val="single" w:sz="12" w:space="0" w:color="auto"/>
              <w:right w:val="nil"/>
            </w:tcBorders>
            <w:shd w:val="clear" w:color="auto" w:fill="auto"/>
            <w:noWrap/>
            <w:vAlign w:val="center"/>
            <w:hideMark/>
          </w:tcPr>
          <w:p w:rsidR="00294CB0" w:rsidRPr="00D5126A" w:rsidRDefault="00294CB0" w:rsidP="00E369FC">
            <w:pPr>
              <w:spacing w:after="0"/>
              <w:jc w:val="center"/>
              <w:rPr>
                <w:rFonts w:cstheme="minorHAnsi"/>
                <w:b/>
                <w:color w:val="000000"/>
                <w:sz w:val="24"/>
                <w:szCs w:val="20"/>
              </w:rPr>
            </w:pPr>
          </w:p>
        </w:tc>
        <w:tc>
          <w:tcPr>
            <w:tcW w:w="1177" w:type="dxa"/>
            <w:tcBorders>
              <w:top w:val="nil"/>
              <w:left w:val="nil"/>
              <w:bottom w:val="single" w:sz="12" w:space="0" w:color="auto"/>
              <w:right w:val="nil"/>
            </w:tcBorders>
            <w:shd w:val="clear" w:color="auto" w:fill="auto"/>
            <w:noWrap/>
            <w:vAlign w:val="center"/>
            <w:hideMark/>
          </w:tcPr>
          <w:p w:rsidR="00294CB0" w:rsidRPr="00D5126A" w:rsidRDefault="00294CB0" w:rsidP="00E369FC">
            <w:pPr>
              <w:spacing w:after="0"/>
              <w:jc w:val="center"/>
              <w:rPr>
                <w:rFonts w:cstheme="minorHAnsi"/>
                <w:b/>
                <w:color w:val="000000"/>
                <w:sz w:val="24"/>
                <w:szCs w:val="20"/>
              </w:rPr>
            </w:pPr>
            <w:r w:rsidRPr="00D5126A">
              <w:rPr>
                <w:rFonts w:cstheme="minorHAnsi"/>
                <w:b/>
                <w:color w:val="000000"/>
                <w:sz w:val="24"/>
                <w:szCs w:val="20"/>
              </w:rPr>
              <w:t>20</w:t>
            </w:r>
          </w:p>
        </w:tc>
      </w:tr>
      <w:tr w:rsidR="00294CB0" w:rsidRPr="00D5126A" w:rsidTr="00EF073E">
        <w:trPr>
          <w:trHeight w:val="255"/>
        </w:trPr>
        <w:tc>
          <w:tcPr>
            <w:tcW w:w="3119" w:type="dxa"/>
            <w:tcBorders>
              <w:top w:val="single" w:sz="12" w:space="0" w:color="auto"/>
              <w:left w:val="nil"/>
              <w:bottom w:val="single" w:sz="12" w:space="0" w:color="auto"/>
              <w:right w:val="nil"/>
            </w:tcBorders>
            <w:shd w:val="clear" w:color="auto" w:fill="EAF1DD" w:themeFill="accent3" w:themeFillTint="33"/>
            <w:noWrap/>
            <w:vAlign w:val="bottom"/>
            <w:hideMark/>
          </w:tcPr>
          <w:p w:rsidR="00294CB0" w:rsidRPr="00D5126A" w:rsidRDefault="00294CB0" w:rsidP="002578E0">
            <w:pPr>
              <w:spacing w:after="0"/>
              <w:rPr>
                <w:rFonts w:cstheme="minorHAnsi"/>
                <w:b/>
                <w:bCs/>
                <w:color w:val="000000"/>
                <w:sz w:val="24"/>
                <w:szCs w:val="20"/>
              </w:rPr>
            </w:pPr>
            <w:r w:rsidRPr="00D5126A">
              <w:rPr>
                <w:rFonts w:cstheme="minorHAnsi"/>
                <w:b/>
                <w:bCs/>
                <w:color w:val="000000"/>
                <w:sz w:val="24"/>
                <w:szCs w:val="20"/>
              </w:rPr>
              <w:t>Total measures</w:t>
            </w:r>
          </w:p>
        </w:tc>
        <w:tc>
          <w:tcPr>
            <w:tcW w:w="1176" w:type="dxa"/>
            <w:tcBorders>
              <w:top w:val="single" w:sz="12" w:space="0" w:color="auto"/>
              <w:left w:val="nil"/>
              <w:bottom w:val="single" w:sz="12" w:space="0" w:color="auto"/>
              <w:right w:val="nil"/>
            </w:tcBorders>
            <w:shd w:val="clear" w:color="auto" w:fill="EAF1DD" w:themeFill="accent3" w:themeFillTint="33"/>
            <w:noWrap/>
            <w:vAlign w:val="center"/>
            <w:hideMark/>
          </w:tcPr>
          <w:p w:rsidR="00294CB0" w:rsidRPr="00D5126A" w:rsidRDefault="00294CB0" w:rsidP="002578E0">
            <w:pPr>
              <w:spacing w:after="0"/>
              <w:jc w:val="center"/>
              <w:rPr>
                <w:rFonts w:cstheme="minorHAnsi"/>
                <w:b/>
                <w:color w:val="000000"/>
                <w:sz w:val="24"/>
                <w:szCs w:val="20"/>
              </w:rPr>
            </w:pPr>
            <w:r>
              <w:rPr>
                <w:rFonts w:cstheme="minorHAnsi"/>
                <w:b/>
                <w:color w:val="000000"/>
                <w:sz w:val="24"/>
                <w:szCs w:val="20"/>
              </w:rPr>
              <w:t>8</w:t>
            </w:r>
          </w:p>
        </w:tc>
        <w:tc>
          <w:tcPr>
            <w:tcW w:w="1177" w:type="dxa"/>
            <w:tcBorders>
              <w:top w:val="single" w:sz="12" w:space="0" w:color="auto"/>
              <w:left w:val="nil"/>
              <w:bottom w:val="single" w:sz="12" w:space="0" w:color="auto"/>
              <w:right w:val="nil"/>
            </w:tcBorders>
            <w:shd w:val="clear" w:color="auto" w:fill="EAF1DD" w:themeFill="accent3" w:themeFillTint="33"/>
            <w:noWrap/>
            <w:vAlign w:val="center"/>
            <w:hideMark/>
          </w:tcPr>
          <w:p w:rsidR="00294CB0" w:rsidRPr="00D5126A" w:rsidRDefault="00294CB0" w:rsidP="001C0A52">
            <w:pPr>
              <w:spacing w:after="0"/>
              <w:jc w:val="center"/>
              <w:rPr>
                <w:rFonts w:cstheme="minorHAnsi"/>
                <w:b/>
                <w:color w:val="000000"/>
                <w:sz w:val="24"/>
                <w:szCs w:val="20"/>
              </w:rPr>
            </w:pPr>
            <w:r>
              <w:rPr>
                <w:rFonts w:cstheme="minorHAnsi"/>
                <w:b/>
                <w:color w:val="000000"/>
                <w:sz w:val="24"/>
                <w:szCs w:val="20"/>
              </w:rPr>
              <w:t>36</w:t>
            </w:r>
          </w:p>
        </w:tc>
        <w:tc>
          <w:tcPr>
            <w:tcW w:w="1176" w:type="dxa"/>
            <w:tcBorders>
              <w:top w:val="single" w:sz="12" w:space="0" w:color="auto"/>
              <w:left w:val="nil"/>
              <w:bottom w:val="single" w:sz="12" w:space="0" w:color="auto"/>
              <w:right w:val="nil"/>
            </w:tcBorders>
            <w:shd w:val="clear" w:color="auto" w:fill="EAF1DD" w:themeFill="accent3" w:themeFillTint="33"/>
            <w:noWrap/>
            <w:vAlign w:val="center"/>
            <w:hideMark/>
          </w:tcPr>
          <w:p w:rsidR="00294CB0" w:rsidRPr="00D5126A" w:rsidRDefault="00294CB0" w:rsidP="002578E0">
            <w:pPr>
              <w:spacing w:after="0"/>
              <w:jc w:val="center"/>
              <w:rPr>
                <w:rFonts w:cstheme="minorHAnsi"/>
                <w:b/>
                <w:color w:val="000000"/>
                <w:sz w:val="24"/>
                <w:szCs w:val="20"/>
              </w:rPr>
            </w:pPr>
            <w:r w:rsidRPr="00D5126A">
              <w:rPr>
                <w:rFonts w:cstheme="minorHAnsi"/>
                <w:b/>
                <w:color w:val="000000"/>
                <w:sz w:val="24"/>
                <w:szCs w:val="20"/>
              </w:rPr>
              <w:t>20</w:t>
            </w:r>
          </w:p>
        </w:tc>
        <w:tc>
          <w:tcPr>
            <w:tcW w:w="1177" w:type="dxa"/>
            <w:tcBorders>
              <w:top w:val="single" w:sz="12" w:space="0" w:color="auto"/>
              <w:left w:val="nil"/>
              <w:bottom w:val="single" w:sz="12" w:space="0" w:color="auto"/>
              <w:right w:val="nil"/>
            </w:tcBorders>
            <w:shd w:val="clear" w:color="auto" w:fill="EAF1DD" w:themeFill="accent3" w:themeFillTint="33"/>
            <w:noWrap/>
            <w:vAlign w:val="center"/>
            <w:hideMark/>
          </w:tcPr>
          <w:p w:rsidR="00294CB0" w:rsidRPr="00D5126A" w:rsidRDefault="0040179C" w:rsidP="002578E0">
            <w:pPr>
              <w:spacing w:after="0"/>
              <w:jc w:val="center"/>
              <w:rPr>
                <w:rFonts w:cstheme="minorHAnsi"/>
                <w:b/>
                <w:color w:val="000000"/>
                <w:sz w:val="24"/>
                <w:szCs w:val="20"/>
              </w:rPr>
            </w:pPr>
            <w:r>
              <w:rPr>
                <w:rFonts w:cstheme="minorHAnsi"/>
                <w:b/>
                <w:color w:val="000000"/>
                <w:sz w:val="24"/>
                <w:szCs w:val="20"/>
              </w:rPr>
              <w:t>8</w:t>
            </w:r>
          </w:p>
        </w:tc>
        <w:tc>
          <w:tcPr>
            <w:tcW w:w="1177" w:type="dxa"/>
            <w:tcBorders>
              <w:top w:val="single" w:sz="12" w:space="0" w:color="auto"/>
              <w:left w:val="nil"/>
              <w:bottom w:val="single" w:sz="12" w:space="0" w:color="auto"/>
              <w:right w:val="nil"/>
            </w:tcBorders>
            <w:shd w:val="clear" w:color="auto" w:fill="EAF1DD" w:themeFill="accent3" w:themeFillTint="33"/>
            <w:noWrap/>
            <w:vAlign w:val="center"/>
            <w:hideMark/>
          </w:tcPr>
          <w:p w:rsidR="00294CB0" w:rsidRPr="00D5126A" w:rsidRDefault="00294CB0" w:rsidP="002578E0">
            <w:pPr>
              <w:spacing w:after="0"/>
              <w:jc w:val="center"/>
              <w:rPr>
                <w:rFonts w:cstheme="minorHAnsi"/>
                <w:b/>
                <w:color w:val="000000"/>
                <w:sz w:val="24"/>
                <w:szCs w:val="20"/>
              </w:rPr>
            </w:pPr>
            <w:r w:rsidRPr="00D5126A">
              <w:rPr>
                <w:rFonts w:cstheme="minorHAnsi"/>
                <w:b/>
                <w:color w:val="000000"/>
                <w:sz w:val="24"/>
                <w:szCs w:val="20"/>
              </w:rPr>
              <w:t>72</w:t>
            </w:r>
          </w:p>
        </w:tc>
      </w:tr>
    </w:tbl>
    <w:p w:rsidR="00FD5E5C" w:rsidRPr="00EF073E" w:rsidRDefault="00FD5E5C" w:rsidP="00AA2122">
      <w:pPr>
        <w:pStyle w:val="Heading3"/>
        <w:rPr>
          <w:color w:val="00B050"/>
        </w:rPr>
      </w:pPr>
      <w:bookmarkStart w:id="167" w:name="_Toc19085817"/>
      <w:r w:rsidRPr="00EF073E">
        <w:rPr>
          <w:rStyle w:val="00Text"/>
          <w:b/>
          <w:color w:val="00B050"/>
        </w:rPr>
        <w:t xml:space="preserve">2.1 Ngā māra, tātahi - </w:t>
      </w:r>
      <w:r w:rsidRPr="00EF073E">
        <w:rPr>
          <w:color w:val="00B050"/>
        </w:rPr>
        <w:t>Gardens, beaches and green open spaces</w:t>
      </w:r>
      <w:bookmarkEnd w:id="166"/>
      <w:bookmarkEnd w:id="167"/>
    </w:p>
    <w:p w:rsidR="00FD5E5C" w:rsidRPr="00EF073E" w:rsidRDefault="00FD5E5C" w:rsidP="00EF073E">
      <w:pPr>
        <w:pStyle w:val="Heading4"/>
        <w:rPr>
          <w:color w:val="00B050"/>
        </w:rPr>
      </w:pPr>
      <w:r w:rsidRPr="00EF073E">
        <w:rPr>
          <w:color w:val="00B050"/>
        </w:rPr>
        <w:t>What we did:</w:t>
      </w:r>
    </w:p>
    <w:p w:rsidR="00FD5E5C" w:rsidRPr="00D5126A" w:rsidRDefault="00FD5E5C" w:rsidP="00FD5E5C">
      <w:pPr>
        <w:pStyle w:val="Heading5"/>
      </w:pPr>
      <w:bookmarkStart w:id="168" w:name="2_2"/>
      <w:bookmarkStart w:id="169" w:name="2_2_Whakaheke_para__Tiaki_pungao_Waste_r"/>
      <w:r w:rsidRPr="00D5126A">
        <w:t>Regional Trails Framework</w:t>
      </w:r>
    </w:p>
    <w:p w:rsidR="00FD5E5C" w:rsidRPr="00D5126A" w:rsidRDefault="00FD5E5C" w:rsidP="00FD5E5C">
      <w:pPr>
        <w:rPr>
          <w:rFonts w:ascii="Arial" w:hAnsi="Arial" w:cs="Arial"/>
        </w:rPr>
      </w:pPr>
      <w:r w:rsidRPr="00D5126A">
        <w:rPr>
          <w:rFonts w:ascii="Arial" w:hAnsi="Arial" w:cs="Arial"/>
        </w:rPr>
        <w:t xml:space="preserve">The </w:t>
      </w:r>
      <w:hyperlink r:id="rId20" w:history="1">
        <w:r w:rsidRPr="00D5126A">
          <w:rPr>
            <w:rStyle w:val="Hyperlink"/>
            <w:rFonts w:ascii="Arial" w:hAnsi="Arial" w:cs="Arial"/>
            <w:szCs w:val="24"/>
          </w:rPr>
          <w:t>wellingtonregionaltrails.com</w:t>
        </w:r>
      </w:hyperlink>
      <w:r w:rsidRPr="00D5126A">
        <w:rPr>
          <w:rFonts w:ascii="Arial" w:hAnsi="Arial" w:cs="Arial"/>
        </w:rPr>
        <w:t xml:space="preserve"> website and </w:t>
      </w:r>
      <w:r w:rsidR="00B47EDE">
        <w:rPr>
          <w:rFonts w:ascii="Arial" w:hAnsi="Arial" w:cs="Arial"/>
        </w:rPr>
        <w:t>”</w:t>
      </w:r>
      <w:r w:rsidRPr="00D5126A">
        <w:rPr>
          <w:rFonts w:ascii="Arial" w:hAnsi="Arial" w:cs="Arial"/>
        </w:rPr>
        <w:t xml:space="preserve">Find your </w:t>
      </w:r>
      <w:r w:rsidR="00B47EDE" w:rsidRPr="00D5126A">
        <w:rPr>
          <w:rFonts w:ascii="Arial" w:hAnsi="Arial" w:cs="Arial"/>
        </w:rPr>
        <w:t>Wild</w:t>
      </w:r>
      <w:r w:rsidR="00B47EDE">
        <w:rPr>
          <w:rFonts w:ascii="Arial" w:hAnsi="Arial" w:cs="Arial"/>
        </w:rPr>
        <w:t>”</w:t>
      </w:r>
      <w:r w:rsidR="00B47EDE" w:rsidRPr="00D5126A">
        <w:rPr>
          <w:rFonts w:ascii="Arial" w:hAnsi="Arial" w:cs="Arial"/>
        </w:rPr>
        <w:t xml:space="preserve"> </w:t>
      </w:r>
      <w:r w:rsidRPr="00D5126A">
        <w:rPr>
          <w:rFonts w:ascii="Arial" w:hAnsi="Arial" w:cs="Arial"/>
        </w:rPr>
        <w:t xml:space="preserve">Regional Trails brand was launched in November 2018 and work continues on developing and promoting the regional trails network with WellingtonNZ, </w:t>
      </w:r>
      <w:r w:rsidR="00B47EDE">
        <w:rPr>
          <w:rFonts w:ascii="Arial" w:hAnsi="Arial" w:cs="Arial"/>
        </w:rPr>
        <w:t xml:space="preserve">the </w:t>
      </w:r>
      <w:r w:rsidRPr="00D5126A">
        <w:rPr>
          <w:rFonts w:ascii="Arial" w:hAnsi="Arial" w:cs="Arial"/>
        </w:rPr>
        <w:t>D</w:t>
      </w:r>
      <w:r w:rsidR="00B47EDE">
        <w:rPr>
          <w:rFonts w:ascii="Arial" w:hAnsi="Arial" w:cs="Arial"/>
        </w:rPr>
        <w:t xml:space="preserve">epartment of </w:t>
      </w:r>
      <w:r w:rsidR="00B47EDE" w:rsidRPr="00D5126A">
        <w:rPr>
          <w:rFonts w:ascii="Arial" w:hAnsi="Arial" w:cs="Arial"/>
        </w:rPr>
        <w:t>C</w:t>
      </w:r>
      <w:r w:rsidR="00B47EDE">
        <w:rPr>
          <w:rFonts w:ascii="Arial" w:hAnsi="Arial" w:cs="Arial"/>
        </w:rPr>
        <w:t>onservation</w:t>
      </w:r>
      <w:r w:rsidR="00B47EDE" w:rsidRPr="00D5126A">
        <w:rPr>
          <w:rFonts w:ascii="Arial" w:hAnsi="Arial" w:cs="Arial"/>
        </w:rPr>
        <w:t xml:space="preserve"> </w:t>
      </w:r>
      <w:r w:rsidRPr="00D5126A">
        <w:rPr>
          <w:rFonts w:ascii="Arial" w:hAnsi="Arial" w:cs="Arial"/>
        </w:rPr>
        <w:t>and our T</w:t>
      </w:r>
      <w:r w:rsidR="00B47EDE">
        <w:rPr>
          <w:rFonts w:ascii="Arial" w:hAnsi="Arial" w:cs="Arial"/>
        </w:rPr>
        <w:t xml:space="preserve">erritorial </w:t>
      </w:r>
      <w:r w:rsidRPr="00D5126A">
        <w:rPr>
          <w:rFonts w:ascii="Arial" w:hAnsi="Arial" w:cs="Arial"/>
        </w:rPr>
        <w:t>A</w:t>
      </w:r>
      <w:r w:rsidR="00B47EDE">
        <w:rPr>
          <w:rFonts w:ascii="Arial" w:hAnsi="Arial" w:cs="Arial"/>
        </w:rPr>
        <w:t>uthority</w:t>
      </w:r>
      <w:r w:rsidRPr="00D5126A">
        <w:rPr>
          <w:rFonts w:ascii="Arial" w:hAnsi="Arial" w:cs="Arial"/>
        </w:rPr>
        <w:t xml:space="preserve"> partners across the region.</w:t>
      </w:r>
    </w:p>
    <w:p w:rsidR="00FD5E5C" w:rsidRPr="00D5126A" w:rsidRDefault="00FD5E5C" w:rsidP="00FD5E5C">
      <w:pPr>
        <w:pStyle w:val="Heading5"/>
      </w:pPr>
      <w:r w:rsidRPr="00D5126A">
        <w:t>WellyWalks Campaign</w:t>
      </w:r>
    </w:p>
    <w:p w:rsidR="00FD5E5C" w:rsidRPr="00D5126A" w:rsidRDefault="00FD5E5C" w:rsidP="00FD5E5C">
      <w:pPr>
        <w:rPr>
          <w:rFonts w:ascii="Arial" w:hAnsi="Arial" w:cs="Arial"/>
        </w:rPr>
      </w:pPr>
      <w:r w:rsidRPr="00D5126A">
        <w:rPr>
          <w:rFonts w:ascii="Arial" w:hAnsi="Arial" w:cs="Arial"/>
        </w:rPr>
        <w:t xml:space="preserve">The #wellywalks promotional campaign ran from December to March. It reached more than 200,000 people on Facebook and 35,000 people on Twitter, encouraging </w:t>
      </w:r>
      <w:r w:rsidR="0087581A">
        <w:rPr>
          <w:rFonts w:ascii="Arial" w:hAnsi="Arial" w:cs="Arial"/>
        </w:rPr>
        <w:t>them</w:t>
      </w:r>
      <w:r w:rsidR="0087581A" w:rsidRPr="00D5126A">
        <w:rPr>
          <w:rFonts w:ascii="Arial" w:hAnsi="Arial" w:cs="Arial"/>
        </w:rPr>
        <w:t xml:space="preserve"> </w:t>
      </w:r>
      <w:r w:rsidRPr="00D5126A">
        <w:rPr>
          <w:rFonts w:ascii="Arial" w:hAnsi="Arial" w:cs="Arial"/>
        </w:rPr>
        <w:t xml:space="preserve">to get out and explore our trails and walkways. </w:t>
      </w:r>
    </w:p>
    <w:p w:rsidR="00FD5E5C" w:rsidRPr="00D5126A" w:rsidRDefault="00FD5E5C" w:rsidP="00FD5E5C">
      <w:pPr>
        <w:pStyle w:val="Heading5"/>
      </w:pPr>
      <w:r w:rsidRPr="00D5126A">
        <w:t xml:space="preserve">Predator Free Wellington </w:t>
      </w:r>
    </w:p>
    <w:p w:rsidR="00FD5E5C" w:rsidRPr="00D5126A" w:rsidRDefault="00FD5E5C" w:rsidP="00FD5E5C">
      <w:pPr>
        <w:rPr>
          <w:rFonts w:ascii="Arial" w:hAnsi="Arial" w:cs="Arial"/>
          <w:szCs w:val="24"/>
        </w:rPr>
      </w:pPr>
      <w:r w:rsidRPr="00D5126A">
        <w:rPr>
          <w:rFonts w:ascii="Arial" w:hAnsi="Arial" w:cs="Arial"/>
          <w:szCs w:val="24"/>
        </w:rPr>
        <w:t xml:space="preserve">Predator Free Wellington Ltd (jointly funded by WCC, GWRC, the NEXT Foundation and PFNZ2050 and supported by Taranaki Whānui) undertook community engagement and pre-planning for the Miramar Peninsula eradication operation which began on the 8 July 2019. This included establishing an operational base on the Peninsula and obtaining permission to place traps on their property from 3000 property owners and businesses. We also piloted </w:t>
      </w:r>
      <w:r w:rsidR="0087581A">
        <w:rPr>
          <w:rFonts w:ascii="Arial" w:hAnsi="Arial" w:cs="Arial"/>
          <w:szCs w:val="24"/>
        </w:rPr>
        <w:t xml:space="preserve">the </w:t>
      </w:r>
      <w:r w:rsidRPr="00D5126A">
        <w:rPr>
          <w:rFonts w:ascii="Arial" w:hAnsi="Arial" w:cs="Arial"/>
          <w:szCs w:val="24"/>
        </w:rPr>
        <w:t>distribution and installation of rat</w:t>
      </w:r>
      <w:r w:rsidR="0087581A">
        <w:rPr>
          <w:rFonts w:ascii="Arial" w:hAnsi="Arial" w:cs="Arial"/>
          <w:szCs w:val="24"/>
        </w:rPr>
        <w:t>-</w:t>
      </w:r>
      <w:r w:rsidRPr="00D5126A">
        <w:rPr>
          <w:rFonts w:ascii="Arial" w:hAnsi="Arial" w:cs="Arial"/>
          <w:szCs w:val="24"/>
        </w:rPr>
        <w:t xml:space="preserve">proof compost kits in support of the project. </w:t>
      </w:r>
    </w:p>
    <w:p w:rsidR="00FD5E5C" w:rsidRPr="00D5126A" w:rsidRDefault="00FD5E5C" w:rsidP="00FD5E5C">
      <w:pPr>
        <w:rPr>
          <w:rFonts w:ascii="Arial" w:hAnsi="Arial" w:cs="Arial"/>
          <w:szCs w:val="24"/>
        </w:rPr>
      </w:pPr>
      <w:r w:rsidRPr="00D5126A">
        <w:rPr>
          <w:rFonts w:ascii="Arial" w:hAnsi="Arial" w:cs="Arial"/>
          <w:szCs w:val="24"/>
        </w:rPr>
        <w:t>The community was very receptive to the project and there have been hundreds of volunteers involved. Predator Free Wellington will begin to install 6000 bait stations and traps across the peninsula in July. The operation is scheduled to be completed in December and is the biggest urban eradication programme ever undertaken in New Zealand.</w:t>
      </w:r>
    </w:p>
    <w:p w:rsidR="00FD5E5C" w:rsidRPr="00D5126A" w:rsidRDefault="00FD5E5C" w:rsidP="00FD5E5C">
      <w:pPr>
        <w:pStyle w:val="Heading5"/>
      </w:pPr>
      <w:r w:rsidRPr="00D5126A">
        <w:lastRenderedPageBreak/>
        <w:t>Botanic Garden</w:t>
      </w:r>
    </w:p>
    <w:p w:rsidR="00FD5E5C" w:rsidRPr="00D5126A" w:rsidRDefault="00FD5E5C" w:rsidP="00FD5E5C">
      <w:pPr>
        <w:rPr>
          <w:rFonts w:ascii="Arial" w:hAnsi="Arial" w:cs="Arial"/>
          <w:szCs w:val="24"/>
        </w:rPr>
      </w:pPr>
      <w:r w:rsidRPr="00D5126A">
        <w:rPr>
          <w:rFonts w:ascii="Arial" w:hAnsi="Arial" w:cs="Arial"/>
          <w:szCs w:val="24"/>
        </w:rPr>
        <w:t xml:space="preserve">We conducted a successful series of events for the Botanic Garden 150 </w:t>
      </w:r>
      <w:proofErr w:type="gramStart"/>
      <w:r w:rsidRPr="00D5126A">
        <w:rPr>
          <w:rFonts w:ascii="Arial" w:hAnsi="Arial" w:cs="Arial"/>
          <w:szCs w:val="24"/>
        </w:rPr>
        <w:t>years</w:t>
      </w:r>
      <w:proofErr w:type="gramEnd"/>
      <w:r w:rsidRPr="00D5126A">
        <w:rPr>
          <w:rFonts w:ascii="Arial" w:hAnsi="Arial" w:cs="Arial"/>
          <w:szCs w:val="24"/>
        </w:rPr>
        <w:t xml:space="preserve"> celebration starting with the launch in September 2018. Events included a Victorian Picnic, Secrets of the Garden Bioblitz and three Brown Bag Lunches. The programme continues into the second half of 201</w:t>
      </w:r>
      <w:r w:rsidR="00946944" w:rsidRPr="00D5126A">
        <w:rPr>
          <w:rFonts w:ascii="Arial" w:hAnsi="Arial" w:cs="Arial"/>
          <w:szCs w:val="24"/>
        </w:rPr>
        <w:t>9.  We started working towards c</w:t>
      </w:r>
      <w:r w:rsidRPr="00D5126A">
        <w:rPr>
          <w:rFonts w:ascii="Arial" w:hAnsi="Arial" w:cs="Arial"/>
          <w:szCs w:val="24"/>
        </w:rPr>
        <w:t xml:space="preserve">arboNZero accreditation. A Memorandum of Understanding was signed between the National Arboretum Canberra and Wellington Gardens to support staff development, science and visitor services. We delivered teaching programmes to 2100 children at the Botanic Garden and </w:t>
      </w:r>
      <w:r w:rsidR="0087581A" w:rsidRPr="00D5126A">
        <w:rPr>
          <w:rFonts w:ascii="Arial" w:hAnsi="Arial" w:cs="Arial"/>
          <w:szCs w:val="24"/>
        </w:rPr>
        <w:t>Otari</w:t>
      </w:r>
      <w:r w:rsidR="0087581A">
        <w:rPr>
          <w:rFonts w:ascii="Arial" w:hAnsi="Arial" w:cs="Arial"/>
          <w:szCs w:val="24"/>
        </w:rPr>
        <w:t>-</w:t>
      </w:r>
      <w:r w:rsidRPr="00D5126A">
        <w:rPr>
          <w:rFonts w:ascii="Arial" w:hAnsi="Arial" w:cs="Arial"/>
          <w:szCs w:val="24"/>
        </w:rPr>
        <w:t>Wilton</w:t>
      </w:r>
      <w:r w:rsidR="003B16C4" w:rsidRPr="00D5126A">
        <w:rPr>
          <w:rFonts w:ascii="Arial" w:hAnsi="Arial" w:cs="Arial"/>
          <w:szCs w:val="24"/>
        </w:rPr>
        <w:t>’</w:t>
      </w:r>
      <w:r w:rsidRPr="00D5126A">
        <w:rPr>
          <w:rFonts w:ascii="Arial" w:hAnsi="Arial" w:cs="Arial"/>
          <w:szCs w:val="24"/>
        </w:rPr>
        <w:t>s Bush.</w:t>
      </w:r>
    </w:p>
    <w:p w:rsidR="00FD5E5C" w:rsidRPr="00D5126A" w:rsidRDefault="0087581A" w:rsidP="00FD5E5C">
      <w:pPr>
        <w:pStyle w:val="Heading5"/>
      </w:pPr>
      <w:r w:rsidRPr="00D5126A">
        <w:t>Otari</w:t>
      </w:r>
      <w:r>
        <w:t>-</w:t>
      </w:r>
      <w:r w:rsidR="00FD5E5C" w:rsidRPr="00D5126A">
        <w:t>Wilton</w:t>
      </w:r>
      <w:r w:rsidR="00946944" w:rsidRPr="00D5126A">
        <w:t>’</w:t>
      </w:r>
      <w:r w:rsidR="00FD5E5C" w:rsidRPr="00D5126A">
        <w:t>s Bush</w:t>
      </w:r>
    </w:p>
    <w:p w:rsidR="00FD5E5C" w:rsidRPr="00D5126A" w:rsidRDefault="00FD5E5C" w:rsidP="00FD5E5C">
      <w:pPr>
        <w:rPr>
          <w:rFonts w:ascii="Arial" w:hAnsi="Arial" w:cs="Arial"/>
          <w:szCs w:val="24"/>
        </w:rPr>
      </w:pPr>
      <w:r w:rsidRPr="00D5126A">
        <w:rPr>
          <w:rFonts w:ascii="Arial" w:hAnsi="Arial" w:cs="Arial"/>
          <w:szCs w:val="24"/>
        </w:rPr>
        <w:t xml:space="preserve">Additional equipment was purchased for the Lions Otari Conservation Laboratory to support seed banking. Staff grew 200 </w:t>
      </w:r>
      <w:r w:rsidRPr="00D5126A">
        <w:rPr>
          <w:rFonts w:ascii="Arial" w:hAnsi="Arial" w:cs="Arial"/>
          <w:i/>
          <w:szCs w:val="24"/>
        </w:rPr>
        <w:t>Olearia gardnerii</w:t>
      </w:r>
      <w:r w:rsidRPr="00D5126A">
        <w:rPr>
          <w:rFonts w:ascii="Arial" w:hAnsi="Arial" w:cs="Arial"/>
          <w:szCs w:val="24"/>
        </w:rPr>
        <w:t xml:space="preserve"> for restoration plantings in the Wairarapa and propagated and </w:t>
      </w:r>
      <w:r w:rsidR="0087581A">
        <w:rPr>
          <w:rFonts w:ascii="Arial" w:hAnsi="Arial" w:cs="Arial"/>
          <w:szCs w:val="24"/>
        </w:rPr>
        <w:t>grew three</w:t>
      </w:r>
      <w:r w:rsidRPr="00D5126A">
        <w:rPr>
          <w:rFonts w:ascii="Arial" w:hAnsi="Arial" w:cs="Arial"/>
          <w:szCs w:val="24"/>
        </w:rPr>
        <w:t xml:space="preserve"> critically endangered species for the Department of Conservation</w:t>
      </w:r>
      <w:r w:rsidR="0087581A">
        <w:rPr>
          <w:rFonts w:ascii="Arial" w:hAnsi="Arial" w:cs="Arial"/>
          <w:szCs w:val="24"/>
        </w:rPr>
        <w:t>,</w:t>
      </w:r>
      <w:r w:rsidRPr="00D5126A">
        <w:rPr>
          <w:rFonts w:ascii="Arial" w:hAnsi="Arial" w:cs="Arial"/>
          <w:szCs w:val="24"/>
        </w:rPr>
        <w:t xml:space="preserve"> </w:t>
      </w:r>
      <w:r w:rsidR="0087581A">
        <w:rPr>
          <w:rFonts w:ascii="Arial" w:hAnsi="Arial" w:cs="Arial"/>
          <w:szCs w:val="24"/>
        </w:rPr>
        <w:t>consisting of</w:t>
      </w:r>
      <w:r w:rsidR="0087581A" w:rsidRPr="00D5126A">
        <w:rPr>
          <w:rFonts w:ascii="Arial" w:hAnsi="Arial" w:cs="Arial"/>
          <w:szCs w:val="24"/>
        </w:rPr>
        <w:t xml:space="preserve"> </w:t>
      </w:r>
      <w:r w:rsidRPr="00D5126A">
        <w:rPr>
          <w:rFonts w:ascii="Arial" w:hAnsi="Arial" w:cs="Arial"/>
          <w:szCs w:val="24"/>
        </w:rPr>
        <w:t xml:space="preserve">two </w:t>
      </w:r>
      <w:r w:rsidRPr="00D5126A">
        <w:rPr>
          <w:rFonts w:ascii="Arial" w:hAnsi="Arial" w:cs="Arial"/>
          <w:i/>
          <w:szCs w:val="24"/>
        </w:rPr>
        <w:t>Lepidium</w:t>
      </w:r>
      <w:r w:rsidRPr="00D5126A">
        <w:rPr>
          <w:rFonts w:ascii="Arial" w:hAnsi="Arial" w:cs="Arial"/>
          <w:szCs w:val="24"/>
        </w:rPr>
        <w:t xml:space="preserve"> species and </w:t>
      </w:r>
      <w:r w:rsidRPr="00D5126A">
        <w:rPr>
          <w:rFonts w:ascii="Arial" w:hAnsi="Arial" w:cs="Arial"/>
          <w:i/>
          <w:szCs w:val="24"/>
        </w:rPr>
        <w:t xml:space="preserve">Pimelia actea. </w:t>
      </w:r>
    </w:p>
    <w:p w:rsidR="00FD5E5C" w:rsidRPr="00D5126A" w:rsidRDefault="00FD5E5C" w:rsidP="00FD5E5C">
      <w:pPr>
        <w:pStyle w:val="Heading5"/>
      </w:pPr>
      <w:r w:rsidRPr="00D5126A">
        <w:t xml:space="preserve">Coastal </w:t>
      </w:r>
      <w:r w:rsidR="0087581A">
        <w:t>r</w:t>
      </w:r>
      <w:r w:rsidR="0087581A" w:rsidRPr="00D5126A">
        <w:t>esilience</w:t>
      </w:r>
    </w:p>
    <w:p w:rsidR="00FD5E5C" w:rsidRPr="00D5126A" w:rsidRDefault="00FD5E5C" w:rsidP="00FD5E5C">
      <w:pPr>
        <w:rPr>
          <w:rFonts w:ascii="Arial" w:hAnsi="Arial" w:cs="Arial"/>
          <w:szCs w:val="24"/>
        </w:rPr>
      </w:pPr>
      <w:r w:rsidRPr="00D5126A">
        <w:rPr>
          <w:rFonts w:ascii="Arial" w:hAnsi="Arial" w:cs="Arial"/>
          <w:szCs w:val="24"/>
        </w:rPr>
        <w:t xml:space="preserve">Work began on the upgrade of the Worser Bay Boat Club clubrooms which will be completed in 2019/20. We began planning work for the strengthening of Seatoun Wharf and other coastal structures, and planning to address coastal erosion at Worser Bay and Seatoun Beach is well advanced. </w:t>
      </w:r>
    </w:p>
    <w:p w:rsidR="00FD5E5C" w:rsidRPr="00D5126A" w:rsidRDefault="00FD5E5C" w:rsidP="00FD5E5C">
      <w:pPr>
        <w:pStyle w:val="Heading5"/>
      </w:pPr>
      <w:r w:rsidRPr="00D5126A">
        <w:t>Makara Peak Mountain Bike Park</w:t>
      </w:r>
    </w:p>
    <w:p w:rsidR="00FD5E5C" w:rsidRPr="00D5126A" w:rsidRDefault="00FD5E5C" w:rsidP="00FD5E5C">
      <w:pPr>
        <w:rPr>
          <w:rFonts w:ascii="Arial" w:hAnsi="Arial" w:cs="Arial"/>
          <w:szCs w:val="24"/>
        </w:rPr>
      </w:pPr>
      <w:r w:rsidRPr="00D5126A">
        <w:rPr>
          <w:rFonts w:ascii="Arial" w:hAnsi="Arial" w:cs="Arial"/>
          <w:szCs w:val="24"/>
        </w:rPr>
        <w:t>The delivery of the park’s master plan continued with the construction of two new bike trails. One was funded by Council, and the other built by the Makara Peak Supporter Group. We completed the planning and design work for the upgrade of the main entrance and carpark, and construction work will begin in September 2019.</w:t>
      </w:r>
    </w:p>
    <w:p w:rsidR="00FD5E5C" w:rsidRPr="00D5126A" w:rsidRDefault="00FD5E5C" w:rsidP="00FD5E5C">
      <w:pPr>
        <w:pStyle w:val="Heading5"/>
      </w:pPr>
      <w:r w:rsidRPr="00D5126A">
        <w:t>Draft Outer Green Belt Management Plan</w:t>
      </w:r>
    </w:p>
    <w:p w:rsidR="00FD5E5C" w:rsidRPr="00D5126A" w:rsidRDefault="00FD5E5C" w:rsidP="00FD5E5C">
      <w:pPr>
        <w:rPr>
          <w:rFonts w:ascii="Arial" w:hAnsi="Arial" w:cs="Arial"/>
          <w:szCs w:val="24"/>
        </w:rPr>
      </w:pPr>
      <w:r w:rsidRPr="00D5126A">
        <w:rPr>
          <w:rFonts w:ascii="Arial" w:hAnsi="Arial" w:cs="Arial"/>
          <w:szCs w:val="24"/>
        </w:rPr>
        <w:t>We completed the Draft Outer Green Belt Management Plan and consulted in the first quarter. More than 200 formal submissions were received through the engagement. There were multiple ways the community could engage with the plan including opportunities to talk to officers through market stalls, online content, an open forum, the WCC advisory groups and signs at locations across the reserves. A video about the outer green belt was created and viewed more than 20,000 times.</w:t>
      </w:r>
    </w:p>
    <w:p w:rsidR="00FD5E5C" w:rsidRPr="00D5126A" w:rsidRDefault="00FD5E5C" w:rsidP="00FD5E5C">
      <w:pPr>
        <w:pStyle w:val="Heading5"/>
      </w:pPr>
      <w:r w:rsidRPr="00D5126A">
        <w:t>Natural Environment Fund</w:t>
      </w:r>
    </w:p>
    <w:p w:rsidR="00FD5E5C" w:rsidRPr="00D5126A" w:rsidRDefault="00FD5E5C" w:rsidP="00FD5E5C">
      <w:pPr>
        <w:rPr>
          <w:rFonts w:ascii="Arial" w:hAnsi="Arial" w:cs="Arial"/>
          <w:szCs w:val="24"/>
        </w:rPr>
      </w:pPr>
      <w:r w:rsidRPr="00D5126A">
        <w:rPr>
          <w:rFonts w:ascii="Arial" w:hAnsi="Arial" w:cs="Arial"/>
        </w:rPr>
        <w:t>We supported 19 community environmental projects throughout the year with grants totalling $82,804</w:t>
      </w:r>
      <w:r w:rsidR="0087581A">
        <w:rPr>
          <w:rFonts w:ascii="Arial" w:hAnsi="Arial" w:cs="Arial"/>
        </w:rPr>
        <w:t>. P</w:t>
      </w:r>
      <w:r w:rsidRPr="00D5126A">
        <w:rPr>
          <w:rFonts w:ascii="Arial" w:hAnsi="Arial" w:cs="Arial"/>
        </w:rPr>
        <w:t>rojects supported included local projects connecting children and young people to our natural environment, community volunteering projects via Conservation Volunteers, pla</w:t>
      </w:r>
      <w:r w:rsidR="00BA6D00">
        <w:rPr>
          <w:rFonts w:ascii="Arial" w:hAnsi="Arial" w:cs="Arial"/>
        </w:rPr>
        <w:t>n</w:t>
      </w:r>
      <w:r w:rsidRPr="00D5126A">
        <w:rPr>
          <w:rFonts w:ascii="Arial" w:hAnsi="Arial" w:cs="Arial"/>
        </w:rPr>
        <w:t xml:space="preserve">ting, track work and weed control, </w:t>
      </w:r>
      <w:r w:rsidR="0087581A">
        <w:rPr>
          <w:rFonts w:ascii="Arial" w:hAnsi="Arial" w:cs="Arial"/>
        </w:rPr>
        <w:t xml:space="preserve">and </w:t>
      </w:r>
      <w:r w:rsidRPr="00D5126A">
        <w:rPr>
          <w:rFonts w:ascii="Arial" w:hAnsi="Arial" w:cs="Arial"/>
        </w:rPr>
        <w:t>citizen science projects monitoring lizards and pest control in public spaces. We also support</w:t>
      </w:r>
      <w:r w:rsidR="00BA6D00">
        <w:rPr>
          <w:rFonts w:ascii="Arial" w:hAnsi="Arial" w:cs="Arial"/>
        </w:rPr>
        <w:t>,</w:t>
      </w:r>
      <w:r w:rsidRPr="00D5126A">
        <w:rPr>
          <w:rFonts w:ascii="Arial" w:hAnsi="Arial" w:cs="Arial"/>
        </w:rPr>
        <w:t xml:space="preserve"> with ongoing multi-year contract funding</w:t>
      </w:r>
      <w:r w:rsidR="00BA6D00">
        <w:rPr>
          <w:rFonts w:ascii="Arial" w:hAnsi="Arial" w:cs="Arial"/>
        </w:rPr>
        <w:t>,</w:t>
      </w:r>
      <w:r w:rsidRPr="00D5126A">
        <w:rPr>
          <w:rFonts w:ascii="Arial" w:hAnsi="Arial" w:cs="Arial"/>
        </w:rPr>
        <w:t xml:space="preserve"> the Toimata Foundation </w:t>
      </w:r>
      <w:r w:rsidR="00BA6D00">
        <w:rPr>
          <w:rFonts w:ascii="Arial" w:hAnsi="Arial" w:cs="Arial"/>
        </w:rPr>
        <w:t>which works</w:t>
      </w:r>
      <w:r w:rsidRPr="00D5126A">
        <w:rPr>
          <w:rFonts w:ascii="Arial" w:hAnsi="Arial" w:cs="Arial"/>
        </w:rPr>
        <w:t xml:space="preserve"> in partnership with Councils in the region and support an active network of Enviroschools across the city.</w:t>
      </w:r>
    </w:p>
    <w:p w:rsidR="00FD5E5C" w:rsidRPr="00EF073E" w:rsidRDefault="00FD5E5C" w:rsidP="00AA2122">
      <w:pPr>
        <w:pStyle w:val="Heading3"/>
        <w:rPr>
          <w:color w:val="00B050"/>
        </w:rPr>
      </w:pPr>
      <w:bookmarkStart w:id="170" w:name="_Toc19085818"/>
      <w:r w:rsidRPr="00EF073E">
        <w:rPr>
          <w:rStyle w:val="00Text"/>
          <w:b/>
          <w:color w:val="00B050"/>
        </w:rPr>
        <w:lastRenderedPageBreak/>
        <w:t xml:space="preserve">2.2 </w:t>
      </w:r>
      <w:bookmarkEnd w:id="168"/>
      <w:r w:rsidRPr="00EF073E">
        <w:rPr>
          <w:rStyle w:val="00Text"/>
          <w:b/>
          <w:color w:val="00B050"/>
        </w:rPr>
        <w:t xml:space="preserve">Whakaheke para, Tiaki pūngao - </w:t>
      </w:r>
      <w:r w:rsidRPr="00EF073E">
        <w:rPr>
          <w:color w:val="00B050"/>
        </w:rPr>
        <w:t>Waste reduction and energy conservation</w:t>
      </w:r>
      <w:bookmarkEnd w:id="169"/>
      <w:bookmarkEnd w:id="170"/>
    </w:p>
    <w:p w:rsidR="00FD5E5C" w:rsidRPr="00EF073E" w:rsidRDefault="00FD5E5C" w:rsidP="00846C1B">
      <w:pPr>
        <w:pStyle w:val="Heading4"/>
        <w:rPr>
          <w:color w:val="00B050"/>
        </w:rPr>
      </w:pPr>
      <w:r w:rsidRPr="00EF073E">
        <w:rPr>
          <w:color w:val="00B050"/>
        </w:rPr>
        <w:t>What we did</w:t>
      </w:r>
    </w:p>
    <w:p w:rsidR="00FD5E5C" w:rsidRPr="00D5126A" w:rsidRDefault="00FD5E5C" w:rsidP="00FD5E5C">
      <w:pPr>
        <w:pStyle w:val="Heading5"/>
      </w:pPr>
      <w:bookmarkStart w:id="171" w:name="2_3_Waimaori_Water_supply"/>
      <w:r w:rsidRPr="00D5126A">
        <w:t>Recycling wheelie bin clips</w:t>
      </w:r>
    </w:p>
    <w:p w:rsidR="00FD5E5C" w:rsidRPr="00D5126A" w:rsidRDefault="00FD5E5C" w:rsidP="00FD5E5C">
      <w:pPr>
        <w:rPr>
          <w:rFonts w:ascii="Arial" w:hAnsi="Arial" w:cs="Arial"/>
          <w:b/>
        </w:rPr>
      </w:pPr>
      <w:r w:rsidRPr="00D5126A">
        <w:rPr>
          <w:rFonts w:ascii="Arial" w:hAnsi="Arial" w:cs="Arial"/>
        </w:rPr>
        <w:t xml:space="preserve">We distributed more than 40,000 free clips to every household in the capital that currently has a recycling wheelie bin. On windy days, this wheelie bin clip will be a major contributor to keeping recycling in the bins and out of our environment, waterways and drains. This initiative is part of Council’s </w:t>
      </w:r>
      <w:proofErr w:type="gramStart"/>
      <w:r w:rsidRPr="00D5126A">
        <w:rPr>
          <w:rFonts w:ascii="Arial" w:hAnsi="Arial" w:cs="Arial"/>
        </w:rPr>
        <w:t>Our</w:t>
      </w:r>
      <w:proofErr w:type="gramEnd"/>
      <w:r w:rsidRPr="00D5126A">
        <w:rPr>
          <w:rFonts w:ascii="Arial" w:hAnsi="Arial" w:cs="Arial"/>
        </w:rPr>
        <w:t xml:space="preserve"> 10-Year Plan 2018-28 commitment to protect and enhance Wellington’s natural environment.</w:t>
      </w:r>
    </w:p>
    <w:p w:rsidR="00FD5E5C" w:rsidRPr="00D5126A" w:rsidRDefault="00FD5E5C" w:rsidP="00FD5E5C">
      <w:pPr>
        <w:pStyle w:val="Heading5"/>
        <w:rPr>
          <w:lang w:eastAsia="en-NZ"/>
        </w:rPr>
      </w:pPr>
      <w:r w:rsidRPr="00D5126A">
        <w:rPr>
          <w:lang w:eastAsia="en-NZ"/>
        </w:rPr>
        <w:t xml:space="preserve">Capital Compost BioGrow </w:t>
      </w:r>
      <w:r w:rsidR="0087581A">
        <w:rPr>
          <w:lang w:eastAsia="en-NZ"/>
        </w:rPr>
        <w:t>c</w:t>
      </w:r>
      <w:r w:rsidR="0087581A" w:rsidRPr="00D5126A">
        <w:rPr>
          <w:lang w:eastAsia="en-NZ"/>
        </w:rPr>
        <w:t>ertification</w:t>
      </w:r>
    </w:p>
    <w:p w:rsidR="00FD5E5C" w:rsidRPr="00D5126A" w:rsidRDefault="00FD5E5C" w:rsidP="00FD5E5C">
      <w:pPr>
        <w:rPr>
          <w:rFonts w:ascii="Arial" w:hAnsi="Arial" w:cs="Arial"/>
          <w:b/>
          <w:lang w:eastAsia="en-NZ"/>
        </w:rPr>
      </w:pPr>
      <w:r w:rsidRPr="00D5126A">
        <w:rPr>
          <w:rFonts w:ascii="Arial" w:hAnsi="Arial" w:cs="Arial"/>
          <w:lang w:eastAsia="en-NZ"/>
        </w:rPr>
        <w:t xml:space="preserve">Council’s own compost operation, Capital Compost, received </w:t>
      </w:r>
      <w:r w:rsidR="00251826" w:rsidRPr="00D5126A">
        <w:rPr>
          <w:rFonts w:ascii="Arial" w:hAnsi="Arial" w:cs="Arial"/>
          <w:lang w:eastAsia="en-NZ"/>
        </w:rPr>
        <w:t>BioGro</w:t>
      </w:r>
      <w:r w:rsidR="00251826">
        <w:rPr>
          <w:rFonts w:ascii="Arial" w:hAnsi="Arial" w:cs="Arial"/>
          <w:lang w:eastAsia="en-NZ"/>
        </w:rPr>
        <w:t>w</w:t>
      </w:r>
      <w:r w:rsidRPr="00D5126A">
        <w:rPr>
          <w:rFonts w:ascii="Arial" w:hAnsi="Arial" w:cs="Arial"/>
          <w:lang w:eastAsia="en-NZ"/>
        </w:rPr>
        <w:t xml:space="preserve"> organic certification. This means our customers can be guaranteed that the products we make and sell are made without animal testing, genetic modification and the routine use of synthetic pesticides. It is the mark of a genuine organic product. </w:t>
      </w:r>
    </w:p>
    <w:p w:rsidR="00FD5E5C" w:rsidRPr="00D5126A" w:rsidRDefault="00FD5E5C" w:rsidP="00FD5E5C">
      <w:pPr>
        <w:pStyle w:val="Heading5"/>
        <w:rPr>
          <w:b/>
        </w:rPr>
      </w:pPr>
      <w:r w:rsidRPr="00D5126A">
        <w:rPr>
          <w:lang w:eastAsia="en-NZ"/>
        </w:rPr>
        <w:t>Toa Tiaki Taiao</w:t>
      </w:r>
    </w:p>
    <w:p w:rsidR="00FD5E5C" w:rsidRPr="00D5126A" w:rsidRDefault="00FD5E5C" w:rsidP="00FD5E5C">
      <w:pPr>
        <w:rPr>
          <w:rFonts w:ascii="Arial" w:hAnsi="Arial" w:cs="Arial"/>
        </w:rPr>
      </w:pPr>
      <w:r w:rsidRPr="00D5126A">
        <w:rPr>
          <w:rFonts w:ascii="Arial" w:hAnsi="Arial" w:cs="Arial"/>
        </w:rPr>
        <w:t xml:space="preserve">After a successful pilot last year in 2018, we launched Toa Tiaki Taiao early in 2019. There are </w:t>
      </w:r>
      <w:r w:rsidR="0087581A">
        <w:rPr>
          <w:rFonts w:ascii="Arial" w:hAnsi="Arial" w:cs="Arial"/>
        </w:rPr>
        <w:t>10</w:t>
      </w:r>
      <w:r w:rsidR="0087581A" w:rsidRPr="00D5126A">
        <w:rPr>
          <w:rFonts w:ascii="Arial" w:hAnsi="Arial" w:cs="Arial"/>
        </w:rPr>
        <w:t xml:space="preserve"> </w:t>
      </w:r>
      <w:r w:rsidRPr="00D5126A">
        <w:rPr>
          <w:rFonts w:ascii="Arial" w:hAnsi="Arial" w:cs="Arial"/>
        </w:rPr>
        <w:t xml:space="preserve">schools are participating the Waste Heroes Programme. The programme allows students to experience and take action on three key waste issues: food waste, </w:t>
      </w:r>
      <w:r w:rsidR="0087581A" w:rsidRPr="00D5126A">
        <w:rPr>
          <w:rFonts w:ascii="Arial" w:hAnsi="Arial" w:cs="Arial"/>
        </w:rPr>
        <w:t>single</w:t>
      </w:r>
      <w:r w:rsidR="0087581A">
        <w:rPr>
          <w:rFonts w:ascii="Arial" w:hAnsi="Arial" w:cs="Arial"/>
        </w:rPr>
        <w:t>-</w:t>
      </w:r>
      <w:r w:rsidRPr="00D5126A">
        <w:rPr>
          <w:rFonts w:ascii="Arial" w:hAnsi="Arial" w:cs="Arial"/>
        </w:rPr>
        <w:t>use plastics and recycling. Schools engage with waste in a variety of ways</w:t>
      </w:r>
      <w:r w:rsidR="0087581A">
        <w:rPr>
          <w:rFonts w:ascii="Arial" w:hAnsi="Arial" w:cs="Arial"/>
        </w:rPr>
        <w:t>,</w:t>
      </w:r>
      <w:r w:rsidRPr="00D5126A">
        <w:rPr>
          <w:rFonts w:ascii="Arial" w:hAnsi="Arial" w:cs="Arial"/>
        </w:rPr>
        <w:t xml:space="preserve"> including visiting the facilities at the Southern Landfill and participating in a whole school activity.</w:t>
      </w:r>
    </w:p>
    <w:p w:rsidR="00FD5E5C" w:rsidRPr="00D5126A" w:rsidRDefault="00FD5E5C" w:rsidP="00FD5E5C">
      <w:pPr>
        <w:pStyle w:val="Heading5"/>
        <w:rPr>
          <w:b/>
        </w:rPr>
      </w:pPr>
      <w:r w:rsidRPr="00D5126A">
        <w:t>Waste Minimisation Seed Fund</w:t>
      </w:r>
    </w:p>
    <w:p w:rsidR="00FD5E5C" w:rsidRPr="00D5126A" w:rsidRDefault="00FD5E5C" w:rsidP="00FD5E5C">
      <w:pPr>
        <w:rPr>
          <w:rFonts w:ascii="Arial" w:hAnsi="Arial" w:cs="Arial"/>
          <w:b/>
        </w:rPr>
      </w:pPr>
      <w:r w:rsidRPr="00D5126A">
        <w:rPr>
          <w:rFonts w:ascii="Arial" w:hAnsi="Arial" w:cs="Arial"/>
        </w:rPr>
        <w:t>In December 2018</w:t>
      </w:r>
      <w:r w:rsidR="0087581A">
        <w:rPr>
          <w:rFonts w:ascii="Arial" w:hAnsi="Arial" w:cs="Arial"/>
        </w:rPr>
        <w:t>,</w:t>
      </w:r>
      <w:r w:rsidRPr="00D5126A">
        <w:rPr>
          <w:rFonts w:ascii="Arial" w:hAnsi="Arial" w:cs="Arial"/>
        </w:rPr>
        <w:t xml:space="preserve"> the Grants Subcommittee awarded $54,000 from the Waste Minimisation Seed Fund (over $2,000) to six projects. The standout success story so far is “Again Again”, the hot beverage cup lending scheme. Through this fund the Council was one of the early supporters of the scheme. “Again </w:t>
      </w:r>
      <w:proofErr w:type="gramStart"/>
      <w:r w:rsidRPr="00D5126A">
        <w:rPr>
          <w:rFonts w:ascii="Arial" w:hAnsi="Arial" w:cs="Arial"/>
        </w:rPr>
        <w:t>Again</w:t>
      </w:r>
      <w:proofErr w:type="gramEnd"/>
      <w:r w:rsidRPr="00D5126A">
        <w:rPr>
          <w:rFonts w:ascii="Arial" w:hAnsi="Arial" w:cs="Arial"/>
        </w:rPr>
        <w:t>” continues to roll out to cafes throughout the city and has recently begun expansion to other parts of New Zealand.</w:t>
      </w:r>
    </w:p>
    <w:p w:rsidR="00FD5E5C" w:rsidRPr="00D5126A" w:rsidRDefault="00FD5E5C" w:rsidP="00FD5E5C">
      <w:pPr>
        <w:rPr>
          <w:rFonts w:ascii="Arial" w:hAnsi="Arial" w:cs="Arial"/>
        </w:rPr>
      </w:pPr>
      <w:r w:rsidRPr="00D5126A">
        <w:rPr>
          <w:rFonts w:ascii="Arial" w:hAnsi="Arial" w:cs="Arial"/>
        </w:rPr>
        <w:t xml:space="preserve">The fund for smaller projects ($2,000 or less) awarded $28,650 to projects ranging from helping a school fair go plastic-free, to encouraging community composting, and setting up a Share Shack in Aro Valley. </w:t>
      </w:r>
    </w:p>
    <w:p w:rsidR="00FD5E5C" w:rsidRPr="00D5126A" w:rsidRDefault="00FD5E5C" w:rsidP="00FD5E5C">
      <w:pPr>
        <w:pStyle w:val="Heading5"/>
      </w:pPr>
      <w:r w:rsidRPr="00D5126A">
        <w:t xml:space="preserve">Energy </w:t>
      </w:r>
      <w:r w:rsidR="0087581A">
        <w:t>c</w:t>
      </w:r>
      <w:r w:rsidR="0087581A" w:rsidRPr="00D5126A">
        <w:t>onsumption</w:t>
      </w:r>
    </w:p>
    <w:p w:rsidR="00FD5E5C" w:rsidRPr="00D5126A" w:rsidRDefault="00FD5E5C" w:rsidP="00FD5E5C">
      <w:pPr>
        <w:rPr>
          <w:rFonts w:ascii="Arial" w:hAnsi="Arial" w:cs="Arial"/>
        </w:rPr>
      </w:pPr>
      <w:r w:rsidRPr="00D5126A">
        <w:rPr>
          <w:rFonts w:ascii="Arial" w:hAnsi="Arial" w:cs="Arial"/>
        </w:rPr>
        <w:t>The energy efficiency programmes and behaviour of Wellington City Council staff has led to an overall reduction in energy consumption and expenditure. To continue this required trend, further capital investment and training will need to be made to optimise efficiencies in Council facilities.</w:t>
      </w:r>
    </w:p>
    <w:p w:rsidR="00FD5E5C" w:rsidRPr="00D5126A" w:rsidRDefault="00FD5E5C" w:rsidP="00FD5E5C">
      <w:pPr>
        <w:rPr>
          <w:rFonts w:ascii="Arial" w:hAnsi="Arial" w:cs="Arial"/>
        </w:rPr>
      </w:pPr>
      <w:r w:rsidRPr="00D5126A">
        <w:rPr>
          <w:rFonts w:ascii="Arial" w:hAnsi="Arial" w:cs="Arial"/>
        </w:rPr>
        <w:t xml:space="preserve">Some examples of energy conservations are: </w:t>
      </w:r>
    </w:p>
    <w:p w:rsidR="00FD5E5C" w:rsidRPr="00D5126A" w:rsidRDefault="0087581A" w:rsidP="006837C4">
      <w:pPr>
        <w:pStyle w:val="ListParagraph"/>
        <w:numPr>
          <w:ilvl w:val="0"/>
          <w:numId w:val="7"/>
        </w:numPr>
        <w:rPr>
          <w:rFonts w:ascii="Arial" w:hAnsi="Arial" w:cs="Arial"/>
        </w:rPr>
      </w:pPr>
      <w:r>
        <w:rPr>
          <w:rFonts w:ascii="Arial" w:hAnsi="Arial" w:cs="Arial"/>
        </w:rPr>
        <w:t>t</w:t>
      </w:r>
      <w:r w:rsidRPr="00D5126A">
        <w:rPr>
          <w:rFonts w:ascii="Arial" w:hAnsi="Arial" w:cs="Arial"/>
        </w:rPr>
        <w:t xml:space="preserve">he </w:t>
      </w:r>
      <w:r w:rsidR="00FD5E5C" w:rsidRPr="00D5126A">
        <w:rPr>
          <w:rFonts w:ascii="Arial" w:hAnsi="Arial" w:cs="Arial"/>
        </w:rPr>
        <w:t>installation of LED Street lighting has resulted in a 34.5</w:t>
      </w:r>
      <w:r>
        <w:rPr>
          <w:rFonts w:ascii="Arial" w:hAnsi="Arial" w:cs="Arial"/>
        </w:rPr>
        <w:t xml:space="preserve"> percent</w:t>
      </w:r>
      <w:r w:rsidRPr="00D5126A">
        <w:rPr>
          <w:rFonts w:ascii="Arial" w:hAnsi="Arial" w:cs="Arial"/>
        </w:rPr>
        <w:t xml:space="preserve"> </w:t>
      </w:r>
      <w:r w:rsidR="00FD5E5C" w:rsidRPr="00D5126A">
        <w:rPr>
          <w:rFonts w:ascii="Arial" w:hAnsi="Arial" w:cs="Arial"/>
        </w:rPr>
        <w:t>reduction in energy consumption</w:t>
      </w:r>
    </w:p>
    <w:p w:rsidR="00FD5E5C" w:rsidRPr="00D5126A" w:rsidRDefault="0087581A" w:rsidP="006837C4">
      <w:pPr>
        <w:pStyle w:val="ListParagraph"/>
        <w:numPr>
          <w:ilvl w:val="0"/>
          <w:numId w:val="7"/>
        </w:numPr>
        <w:rPr>
          <w:rFonts w:ascii="Arial" w:hAnsi="Arial" w:cs="Arial"/>
        </w:rPr>
      </w:pPr>
      <w:r>
        <w:rPr>
          <w:rFonts w:ascii="Arial" w:hAnsi="Arial" w:cs="Arial"/>
        </w:rPr>
        <w:t xml:space="preserve">the </w:t>
      </w:r>
      <w:r w:rsidR="00FD5E5C" w:rsidRPr="00D5126A">
        <w:rPr>
          <w:rFonts w:ascii="Arial" w:hAnsi="Arial" w:cs="Arial"/>
        </w:rPr>
        <w:t>Botanic</w:t>
      </w:r>
      <w:r>
        <w:rPr>
          <w:rFonts w:ascii="Arial" w:hAnsi="Arial" w:cs="Arial"/>
        </w:rPr>
        <w:t xml:space="preserve"> Garden</w:t>
      </w:r>
      <w:r w:rsidR="00FD5E5C" w:rsidRPr="00D5126A">
        <w:rPr>
          <w:rFonts w:ascii="Arial" w:hAnsi="Arial" w:cs="Arial"/>
        </w:rPr>
        <w:t xml:space="preserve"> glasshouse used 30.1</w:t>
      </w:r>
      <w:r>
        <w:rPr>
          <w:rFonts w:ascii="Arial" w:hAnsi="Arial" w:cs="Arial"/>
        </w:rPr>
        <w:t xml:space="preserve"> percent</w:t>
      </w:r>
      <w:r w:rsidRPr="00D5126A">
        <w:rPr>
          <w:rFonts w:ascii="Arial" w:hAnsi="Arial" w:cs="Arial"/>
        </w:rPr>
        <w:t xml:space="preserve"> </w:t>
      </w:r>
      <w:r w:rsidR="00FD5E5C" w:rsidRPr="00D5126A">
        <w:rPr>
          <w:rFonts w:ascii="Arial" w:hAnsi="Arial" w:cs="Arial"/>
        </w:rPr>
        <w:t>less gas from energy efficiency projects</w:t>
      </w:r>
    </w:p>
    <w:p w:rsidR="00FD5E5C" w:rsidRPr="00D5126A" w:rsidRDefault="00FD5E5C" w:rsidP="006837C4">
      <w:pPr>
        <w:pStyle w:val="ListParagraph"/>
        <w:numPr>
          <w:ilvl w:val="0"/>
          <w:numId w:val="7"/>
        </w:numPr>
        <w:rPr>
          <w:rFonts w:ascii="Arial" w:hAnsi="Arial" w:cs="Arial"/>
        </w:rPr>
      </w:pPr>
      <w:r w:rsidRPr="00D5126A">
        <w:rPr>
          <w:rFonts w:ascii="Arial" w:hAnsi="Arial" w:cs="Arial"/>
        </w:rPr>
        <w:lastRenderedPageBreak/>
        <w:t>Before it was closed to the public, the Central Library used 31</w:t>
      </w:r>
      <w:r w:rsidR="0087581A">
        <w:rPr>
          <w:rFonts w:ascii="Arial" w:hAnsi="Arial" w:cs="Arial"/>
        </w:rPr>
        <w:t xml:space="preserve"> percent</w:t>
      </w:r>
      <w:r w:rsidR="0087581A" w:rsidRPr="00D5126A">
        <w:rPr>
          <w:rFonts w:ascii="Arial" w:hAnsi="Arial" w:cs="Arial"/>
        </w:rPr>
        <w:t xml:space="preserve"> </w:t>
      </w:r>
      <w:r w:rsidRPr="00D5126A">
        <w:rPr>
          <w:rFonts w:ascii="Arial" w:hAnsi="Arial" w:cs="Arial"/>
        </w:rPr>
        <w:t>less gas than the previous year due to efficienc</w:t>
      </w:r>
      <w:r w:rsidR="007D1714" w:rsidRPr="00D5126A">
        <w:rPr>
          <w:rFonts w:ascii="Arial" w:hAnsi="Arial" w:cs="Arial"/>
        </w:rPr>
        <w:t>y gains</w:t>
      </w:r>
    </w:p>
    <w:p w:rsidR="00FD5E5C" w:rsidRPr="00D5126A" w:rsidRDefault="0087581A" w:rsidP="00FD5E5C">
      <w:pPr>
        <w:rPr>
          <w:rFonts w:ascii="Arial" w:hAnsi="Arial" w:cs="Arial"/>
        </w:rPr>
      </w:pPr>
      <w:r>
        <w:rPr>
          <w:rFonts w:ascii="Arial" w:hAnsi="Arial" w:cs="Arial"/>
        </w:rPr>
        <w:t>Swimming</w:t>
      </w:r>
      <w:r w:rsidR="00FD5E5C" w:rsidRPr="00D5126A">
        <w:rPr>
          <w:rFonts w:ascii="Arial" w:hAnsi="Arial" w:cs="Arial"/>
        </w:rPr>
        <w:t xml:space="preserve"> pools had the lowest decrease in energy savings at 0.1</w:t>
      </w:r>
      <w:r>
        <w:rPr>
          <w:rFonts w:ascii="Arial" w:hAnsi="Arial" w:cs="Arial"/>
        </w:rPr>
        <w:t xml:space="preserve"> pe</w:t>
      </w:r>
      <w:r w:rsidR="00F546F3">
        <w:rPr>
          <w:rFonts w:ascii="Arial" w:hAnsi="Arial" w:cs="Arial"/>
        </w:rPr>
        <w:t>r</w:t>
      </w:r>
      <w:r>
        <w:rPr>
          <w:rFonts w:ascii="Arial" w:hAnsi="Arial" w:cs="Arial"/>
        </w:rPr>
        <w:t>cent</w:t>
      </w:r>
      <w:r w:rsidRPr="00D5126A">
        <w:rPr>
          <w:rFonts w:ascii="Arial" w:hAnsi="Arial" w:cs="Arial"/>
        </w:rPr>
        <w:t xml:space="preserve">. </w:t>
      </w:r>
      <w:r w:rsidR="00FD5E5C" w:rsidRPr="00D5126A">
        <w:rPr>
          <w:rFonts w:ascii="Arial" w:hAnsi="Arial" w:cs="Arial"/>
        </w:rPr>
        <w:t xml:space="preserve">The pools are a large consumer of energy in the Council’s portfolio and </w:t>
      </w:r>
      <w:r w:rsidR="00D27851" w:rsidRPr="00D5126A">
        <w:rPr>
          <w:rFonts w:ascii="Arial" w:hAnsi="Arial" w:cs="Arial"/>
        </w:rPr>
        <w:t>will</w:t>
      </w:r>
      <w:r w:rsidR="00FD5E5C" w:rsidRPr="00D5126A">
        <w:rPr>
          <w:rFonts w:ascii="Arial" w:hAnsi="Arial" w:cs="Arial"/>
        </w:rPr>
        <w:t xml:space="preserve"> be a focus </w:t>
      </w:r>
      <w:r w:rsidR="007D1714" w:rsidRPr="00D5126A">
        <w:rPr>
          <w:rFonts w:ascii="Arial" w:hAnsi="Arial" w:cs="Arial"/>
        </w:rPr>
        <w:t xml:space="preserve">of </w:t>
      </w:r>
      <w:r w:rsidR="00FD5E5C" w:rsidRPr="00D5126A">
        <w:rPr>
          <w:rFonts w:ascii="Arial" w:hAnsi="Arial" w:cs="Arial"/>
        </w:rPr>
        <w:t>energy efficiency investments.</w:t>
      </w:r>
    </w:p>
    <w:p w:rsidR="00FD5E5C" w:rsidRPr="00EF073E" w:rsidRDefault="00FD5E5C" w:rsidP="00AA2122">
      <w:pPr>
        <w:pStyle w:val="Heading3"/>
        <w:rPr>
          <w:color w:val="00B050"/>
        </w:rPr>
      </w:pPr>
      <w:bookmarkStart w:id="172" w:name="_Toc19085819"/>
      <w:r w:rsidRPr="00EF073E">
        <w:rPr>
          <w:color w:val="00B050"/>
        </w:rPr>
        <w:t xml:space="preserve">2.3 Waimāori - </w:t>
      </w:r>
      <w:r w:rsidRPr="00EF073E">
        <w:rPr>
          <w:rStyle w:val="00Text"/>
          <w:color w:val="00B050"/>
        </w:rPr>
        <w:t>Water supply</w:t>
      </w:r>
      <w:bookmarkEnd w:id="171"/>
      <w:bookmarkEnd w:id="172"/>
    </w:p>
    <w:p w:rsidR="00FD5E5C" w:rsidRPr="00EF073E" w:rsidRDefault="00FD5E5C" w:rsidP="00846C1B">
      <w:pPr>
        <w:pStyle w:val="Heading4"/>
        <w:rPr>
          <w:color w:val="00B050"/>
        </w:rPr>
      </w:pPr>
      <w:r w:rsidRPr="00EF073E">
        <w:rPr>
          <w:color w:val="00B050"/>
        </w:rPr>
        <w:t>What we did</w:t>
      </w:r>
    </w:p>
    <w:p w:rsidR="00FD5E5C" w:rsidRPr="00D5126A" w:rsidRDefault="00FD5E5C" w:rsidP="00FD5E5C">
      <w:pPr>
        <w:pStyle w:val="Para003"/>
        <w:spacing w:before="240" w:line="240" w:lineRule="auto"/>
        <w:rPr>
          <w:rFonts w:ascii="Arial" w:hAnsi="Arial" w:cs="Arial"/>
        </w:rPr>
      </w:pPr>
      <w:bookmarkStart w:id="173" w:name="2_4_Waipara_Wastewater"/>
      <w:r w:rsidRPr="00D5126A">
        <w:rPr>
          <w:rFonts w:ascii="Arial" w:hAnsi="Arial" w:cs="Arial"/>
        </w:rPr>
        <w:t xml:space="preserve">This activity is focused on drinking water supply and storage. Our </w:t>
      </w:r>
      <w:r w:rsidR="0087581A">
        <w:rPr>
          <w:rFonts w:ascii="Arial" w:hAnsi="Arial" w:cs="Arial"/>
        </w:rPr>
        <w:t>C</w:t>
      </w:r>
      <w:r w:rsidR="0087581A" w:rsidRPr="00D5126A">
        <w:rPr>
          <w:rFonts w:ascii="Arial" w:hAnsi="Arial" w:cs="Arial"/>
        </w:rPr>
        <w:t>ouncil</w:t>
      </w:r>
      <w:r w:rsidRPr="00D5126A">
        <w:rPr>
          <w:rFonts w:ascii="Arial" w:hAnsi="Arial" w:cs="Arial"/>
        </w:rPr>
        <w:t xml:space="preserve">-controlled organisation Wellington Water supplies drinking water to our residents and also manages wastewater and stormwater services. Wellington Water is jointly owned by </w:t>
      </w:r>
      <w:r w:rsidR="0087581A">
        <w:rPr>
          <w:rFonts w:ascii="Arial" w:hAnsi="Arial" w:cs="Arial"/>
        </w:rPr>
        <w:t xml:space="preserve">GWRC </w:t>
      </w:r>
      <w:r w:rsidRPr="00D5126A">
        <w:rPr>
          <w:rFonts w:ascii="Arial" w:hAnsi="Arial" w:cs="Arial"/>
        </w:rPr>
        <w:t>and the four city councils in the Wellington metropolitan region. The Councils retain ownership of infrastructure</w:t>
      </w:r>
      <w:r w:rsidR="007D1714" w:rsidRPr="00D5126A">
        <w:rPr>
          <w:rFonts w:ascii="Arial" w:hAnsi="Arial" w:cs="Arial"/>
        </w:rPr>
        <w:t xml:space="preserve"> assets</w:t>
      </w:r>
      <w:r w:rsidRPr="00D5126A">
        <w:rPr>
          <w:rFonts w:ascii="Arial" w:hAnsi="Arial" w:cs="Arial"/>
        </w:rPr>
        <w:t xml:space="preserve">. </w:t>
      </w:r>
    </w:p>
    <w:p w:rsidR="00FD5E5C" w:rsidRPr="00D5126A" w:rsidRDefault="00FD5E5C" w:rsidP="00FD5E5C">
      <w:pPr>
        <w:pStyle w:val="Para003"/>
        <w:spacing w:before="240" w:line="240" w:lineRule="auto"/>
        <w:rPr>
          <w:rFonts w:ascii="Arial" w:hAnsi="Arial" w:cs="Arial"/>
        </w:rPr>
      </w:pPr>
      <w:r w:rsidRPr="00D5126A">
        <w:rPr>
          <w:rFonts w:ascii="Arial" w:hAnsi="Arial" w:cs="Arial"/>
        </w:rPr>
        <w:t>Drinking water in Wellington is supplied from four different water treatment plants in the region</w:t>
      </w:r>
      <w:r w:rsidR="0087581A">
        <w:rPr>
          <w:rFonts w:ascii="Arial" w:hAnsi="Arial" w:cs="Arial"/>
        </w:rPr>
        <w:t xml:space="preserve"> and a</w:t>
      </w:r>
      <w:r w:rsidRPr="00D5126A">
        <w:rPr>
          <w:rFonts w:ascii="Arial" w:hAnsi="Arial" w:cs="Arial"/>
        </w:rPr>
        <w:t xml:space="preserve">ll of these are located in the Hutt Valley. The Ministry of Health has established guidelines for safe drinking water: the Drinking Water Standards for New Zealand 2005 (revised 2008). All water is treated to meet the Drinking Water Standards, including chlorination. </w:t>
      </w:r>
    </w:p>
    <w:p w:rsidR="00FD5E5C" w:rsidRPr="00D5126A" w:rsidRDefault="00FD5E5C" w:rsidP="00FD5E5C">
      <w:pPr>
        <w:pStyle w:val="Para003"/>
        <w:spacing w:before="240" w:line="240" w:lineRule="auto"/>
        <w:rPr>
          <w:rFonts w:ascii="Arial" w:hAnsi="Arial" w:cs="Arial"/>
        </w:rPr>
      </w:pPr>
      <w:r w:rsidRPr="00D5126A">
        <w:rPr>
          <w:rFonts w:ascii="Arial" w:hAnsi="Arial" w:cs="Arial"/>
        </w:rPr>
        <w:t>Key areas of work in 2018/19 included investment to improve the resilience of the water network, investigations into the sustainability of the water supply and the development of the first Regional Water Safety Plan. Ongoing operation and maintenance of the water supply system continued to ensure safe, healthy and reliable water supply to customers. We have formed a new Customer Operations Group, in an alliance with Fulton Hogan, to drive improvements in operations and maintenance for the three waters.</w:t>
      </w:r>
    </w:p>
    <w:p w:rsidR="00FD5E5C" w:rsidRPr="00D5126A" w:rsidRDefault="00FD5E5C" w:rsidP="00FD5E5C">
      <w:pPr>
        <w:rPr>
          <w:rFonts w:ascii="Arial" w:eastAsia="Times New Roman" w:hAnsi="Arial" w:cs="Arial"/>
          <w:lang w:eastAsia="en-GB"/>
        </w:rPr>
      </w:pPr>
      <w:r w:rsidRPr="00D5126A">
        <w:rPr>
          <w:rFonts w:ascii="Arial" w:eastAsia="Times New Roman" w:hAnsi="Arial" w:cs="Arial"/>
          <w:lang w:eastAsia="en-GB"/>
        </w:rPr>
        <w:t xml:space="preserve">These projects deliver improved network reliability and reduce water supply disruption. This programme is made up of numerous business-as-usual water main and pump station renewals. Work completed this financial year includes Karori watermain renewals, Wadestown and Holloway Road renewals and renewals at the Satara Crescent pump station. A large project to renew the Box Hill and Burma Road water mains started and is expected to be completed in the second quarter of the next financial year. </w:t>
      </w:r>
    </w:p>
    <w:p w:rsidR="00FD5E5C" w:rsidRPr="00D5126A" w:rsidRDefault="00FD5E5C" w:rsidP="00FD5E5C">
      <w:pPr>
        <w:pStyle w:val="Heading5"/>
        <w:rPr>
          <w:rFonts w:eastAsia="Times New Roman"/>
          <w:lang w:eastAsia="en-GB"/>
        </w:rPr>
      </w:pPr>
      <w:r w:rsidRPr="00D5126A">
        <w:rPr>
          <w:rFonts w:eastAsia="Times New Roman"/>
          <w:lang w:eastAsia="en-GB"/>
        </w:rPr>
        <w:t xml:space="preserve">Network </w:t>
      </w:r>
      <w:r w:rsidR="0087581A">
        <w:rPr>
          <w:rFonts w:eastAsia="Times New Roman"/>
          <w:lang w:eastAsia="en-GB"/>
        </w:rPr>
        <w:t>u</w:t>
      </w:r>
      <w:r w:rsidR="0087581A" w:rsidRPr="00D5126A">
        <w:rPr>
          <w:rFonts w:eastAsia="Times New Roman"/>
          <w:lang w:eastAsia="en-GB"/>
        </w:rPr>
        <w:t>pgrades</w:t>
      </w:r>
    </w:p>
    <w:p w:rsidR="00FD5E5C" w:rsidRPr="00D5126A" w:rsidRDefault="00FD5E5C" w:rsidP="00FD5E5C">
      <w:pPr>
        <w:rPr>
          <w:rFonts w:ascii="Arial" w:eastAsia="Times New Roman" w:hAnsi="Arial" w:cs="Arial"/>
          <w:lang w:eastAsia="en-GB"/>
        </w:rPr>
      </w:pPr>
      <w:r w:rsidRPr="00D5126A">
        <w:rPr>
          <w:rFonts w:ascii="Arial" w:eastAsia="Times New Roman" w:hAnsi="Arial" w:cs="Arial"/>
          <w:lang w:eastAsia="en-GB"/>
        </w:rPr>
        <w:t xml:space="preserve">These projects are primarily focused on increasing fire main capacity across the network, and enabling growth.  </w:t>
      </w:r>
      <w:r w:rsidRPr="00D5126A">
        <w:rPr>
          <w:rFonts w:ascii="Arial" w:hAnsi="Arial" w:cs="Arial"/>
          <w:color w:val="000000" w:themeColor="text1"/>
        </w:rPr>
        <w:t xml:space="preserve">Mechanical renewal and seismic strengthening of the Rhine Street pumping station in Island Bay was completed this year. </w:t>
      </w:r>
    </w:p>
    <w:p w:rsidR="00FD5E5C" w:rsidRPr="00D5126A" w:rsidRDefault="00FD5E5C" w:rsidP="00FD5E5C">
      <w:pPr>
        <w:pStyle w:val="Heading5"/>
        <w:rPr>
          <w:rFonts w:eastAsia="Times New Roman"/>
          <w:lang w:eastAsia="en-GB"/>
        </w:rPr>
      </w:pPr>
      <w:r w:rsidRPr="00D5126A">
        <w:rPr>
          <w:rFonts w:eastAsia="Times New Roman"/>
          <w:lang w:eastAsia="en-GB"/>
        </w:rPr>
        <w:t>Reservoirs</w:t>
      </w:r>
    </w:p>
    <w:p w:rsidR="00FD5E5C" w:rsidRPr="00D5126A" w:rsidRDefault="00FD5E5C" w:rsidP="00FD5E5C">
      <w:pPr>
        <w:rPr>
          <w:rFonts w:ascii="Arial" w:hAnsi="Arial" w:cs="Arial"/>
          <w:lang w:eastAsia="en-GB"/>
        </w:rPr>
      </w:pPr>
      <w:r w:rsidRPr="00D5126A">
        <w:rPr>
          <w:rFonts w:ascii="Arial" w:hAnsi="Arial" w:cs="Arial"/>
          <w:b/>
          <w:lang w:eastAsia="en-GB"/>
        </w:rPr>
        <w:t>Omāroro Reservoir:</w:t>
      </w:r>
      <w:r w:rsidRPr="00D5126A">
        <w:rPr>
          <w:rFonts w:ascii="Arial" w:hAnsi="Arial" w:cs="Arial"/>
          <w:lang w:eastAsia="en-GB"/>
        </w:rPr>
        <w:t xml:space="preserve"> The construction of </w:t>
      </w:r>
      <w:r w:rsidR="0087581A">
        <w:rPr>
          <w:rFonts w:ascii="Arial" w:hAnsi="Arial" w:cs="Arial"/>
          <w:lang w:eastAsia="en-GB"/>
        </w:rPr>
        <w:t xml:space="preserve">the </w:t>
      </w:r>
      <w:r w:rsidRPr="00D5126A">
        <w:rPr>
          <w:rFonts w:ascii="Arial" w:hAnsi="Arial" w:cs="Arial"/>
          <w:lang w:eastAsia="en-GB"/>
        </w:rPr>
        <w:t>Wallace Street Pipelines has commenced to install the bulk water pipelines connecting the proposed Omāroro Reservoir to the drinking water network.  This work is expected to take until October 2020.  Procurement for the Omāroro Reservoir has commenced with a plan to award the contract in February 2020.  The construction work is expected to take three years to complete.</w:t>
      </w:r>
    </w:p>
    <w:p w:rsidR="00FD5E5C" w:rsidRPr="00D5126A" w:rsidRDefault="00FD5E5C" w:rsidP="00FD5E5C">
      <w:pPr>
        <w:rPr>
          <w:rFonts w:ascii="Arial" w:eastAsiaTheme="minorHAnsi" w:hAnsi="Arial" w:cs="Arial"/>
          <w:lang w:eastAsia="en-GB"/>
        </w:rPr>
      </w:pPr>
      <w:r w:rsidRPr="00D5126A">
        <w:rPr>
          <w:rFonts w:ascii="Arial" w:eastAsia="Times New Roman" w:hAnsi="Arial" w:cs="Arial"/>
          <w:b/>
          <w:lang w:eastAsia="en-GB"/>
        </w:rPr>
        <w:t xml:space="preserve">Seismic strengthening: </w:t>
      </w:r>
      <w:r w:rsidRPr="00D5126A">
        <w:rPr>
          <w:rFonts w:ascii="Arial" w:eastAsia="Times New Roman" w:hAnsi="Arial" w:cs="Arial"/>
          <w:lang w:eastAsia="en-GB"/>
        </w:rPr>
        <w:t xml:space="preserve">A programme of work is ongoing to improve the operational resilience </w:t>
      </w:r>
      <w:r w:rsidR="0087581A">
        <w:rPr>
          <w:rFonts w:ascii="Arial" w:eastAsia="Times New Roman" w:hAnsi="Arial" w:cs="Arial"/>
          <w:lang w:eastAsia="en-GB"/>
        </w:rPr>
        <w:t>of the</w:t>
      </w:r>
      <w:r w:rsidRPr="00D5126A">
        <w:rPr>
          <w:rFonts w:ascii="Arial" w:eastAsia="Times New Roman" w:hAnsi="Arial" w:cs="Arial"/>
          <w:lang w:eastAsia="en-GB"/>
        </w:rPr>
        <w:t xml:space="preserve"> water network and storage throughout the city. Wellington Water has made delivery changes to accommodate program</w:t>
      </w:r>
      <w:r w:rsidR="0087581A">
        <w:rPr>
          <w:rFonts w:ascii="Arial" w:eastAsia="Times New Roman" w:hAnsi="Arial" w:cs="Arial"/>
          <w:lang w:eastAsia="en-GB"/>
        </w:rPr>
        <w:t>me</w:t>
      </w:r>
      <w:r w:rsidRPr="00D5126A">
        <w:rPr>
          <w:rFonts w:ascii="Arial" w:eastAsia="Times New Roman" w:hAnsi="Arial" w:cs="Arial"/>
          <w:lang w:eastAsia="en-GB"/>
        </w:rPr>
        <w:t xml:space="preserve"> constraints. </w:t>
      </w:r>
    </w:p>
    <w:p w:rsidR="00FD5E5C" w:rsidRPr="00D5126A" w:rsidRDefault="00FD5E5C" w:rsidP="00FD5E5C">
      <w:pPr>
        <w:pStyle w:val="Heading5"/>
        <w:rPr>
          <w:lang w:eastAsia="en-GB"/>
        </w:rPr>
      </w:pPr>
      <w:r w:rsidRPr="00D5126A">
        <w:rPr>
          <w:rFonts w:eastAsia="Times New Roman"/>
          <w:lang w:eastAsia="en-GB"/>
        </w:rPr>
        <w:lastRenderedPageBreak/>
        <w:t>Investigations</w:t>
      </w:r>
    </w:p>
    <w:p w:rsidR="00FD5E5C" w:rsidRPr="00D5126A" w:rsidRDefault="00FD5E5C" w:rsidP="00FD5E5C">
      <w:pPr>
        <w:rPr>
          <w:rFonts w:ascii="Arial" w:hAnsi="Arial" w:cs="Arial"/>
          <w:lang w:eastAsia="en-GB"/>
        </w:rPr>
      </w:pPr>
      <w:r w:rsidRPr="00D5126A">
        <w:rPr>
          <w:rFonts w:ascii="Arial" w:hAnsi="Arial" w:cs="Arial"/>
          <w:lang w:eastAsia="en-GB"/>
        </w:rPr>
        <w:t xml:space="preserve">Wellington Water has prioritised all health and safety improvements required for storage reservoirs, and completed a fire flow classification plan. Hydraulic models have been completed that support ongoing investigations and Fire and Emergency New Zealand operations. The key documents for </w:t>
      </w:r>
      <w:r w:rsidR="0087581A">
        <w:rPr>
          <w:rFonts w:ascii="Arial" w:hAnsi="Arial" w:cs="Arial"/>
          <w:lang w:eastAsia="en-GB"/>
        </w:rPr>
        <w:t xml:space="preserve">the </w:t>
      </w:r>
      <w:r w:rsidRPr="00D5126A">
        <w:rPr>
          <w:rFonts w:ascii="Arial" w:hAnsi="Arial" w:cs="Arial"/>
          <w:lang w:eastAsia="en-GB"/>
        </w:rPr>
        <w:t>design and implementation of water services have been updated and will continue to be improved</w:t>
      </w:r>
      <w:r w:rsidR="0087581A">
        <w:rPr>
          <w:rFonts w:ascii="Arial" w:hAnsi="Arial" w:cs="Arial"/>
          <w:lang w:eastAsia="en-GB"/>
        </w:rPr>
        <w:t>, which</w:t>
      </w:r>
      <w:r w:rsidRPr="00D5126A">
        <w:rPr>
          <w:rFonts w:ascii="Arial" w:hAnsi="Arial" w:cs="Arial"/>
          <w:lang w:eastAsia="en-GB"/>
        </w:rPr>
        <w:t xml:space="preserve"> will ensure consistency for developers and suppliers. We plan to complete seismic assessments for all significant remaining pump stations and backflow surveys over the remainder of the current Long-Term Plan period.</w:t>
      </w:r>
    </w:p>
    <w:p w:rsidR="00FD5E5C" w:rsidRPr="00D5126A" w:rsidRDefault="00FD5E5C" w:rsidP="00FD5E5C">
      <w:pPr>
        <w:rPr>
          <w:rFonts w:ascii="Arial" w:hAnsi="Arial" w:cs="Arial"/>
          <w:lang w:eastAsia="en-GB"/>
        </w:rPr>
      </w:pPr>
      <w:r w:rsidRPr="00D5126A">
        <w:rPr>
          <w:rFonts w:ascii="Arial" w:hAnsi="Arial" w:cs="Arial"/>
          <w:lang w:eastAsia="en-GB"/>
        </w:rPr>
        <w:t xml:space="preserve">A regional Sustainable Water Supply Strategic Case has been completed.  This has been developed to make sure Wellington </w:t>
      </w:r>
      <w:r w:rsidR="0087581A">
        <w:rPr>
          <w:rFonts w:ascii="Arial" w:hAnsi="Arial" w:cs="Arial"/>
          <w:lang w:eastAsia="en-GB"/>
        </w:rPr>
        <w:t>c</w:t>
      </w:r>
      <w:r w:rsidR="0087581A" w:rsidRPr="00D5126A">
        <w:rPr>
          <w:rFonts w:ascii="Arial" w:hAnsi="Arial" w:cs="Arial"/>
          <w:lang w:eastAsia="en-GB"/>
        </w:rPr>
        <w:t xml:space="preserve">ity </w:t>
      </w:r>
      <w:r w:rsidRPr="00D5126A">
        <w:rPr>
          <w:rFonts w:ascii="Arial" w:hAnsi="Arial" w:cs="Arial"/>
          <w:lang w:eastAsia="en-GB"/>
        </w:rPr>
        <w:t xml:space="preserve">and our neighbouring cities have plans in place to ensure we have enough water for future generations.  This includes dealing with water loss and leakage in the network and on private property, ensuring network capacity and reducing wastage. </w:t>
      </w:r>
    </w:p>
    <w:p w:rsidR="00FD5E5C" w:rsidRPr="00D5126A" w:rsidRDefault="00FD5E5C" w:rsidP="00FD5E5C">
      <w:pPr>
        <w:pStyle w:val="Heading5"/>
        <w:rPr>
          <w:lang w:eastAsia="en-GB"/>
        </w:rPr>
      </w:pPr>
      <w:r w:rsidRPr="00D5126A">
        <w:rPr>
          <w:lang w:eastAsia="en-GB"/>
        </w:rPr>
        <w:t>Resilience</w:t>
      </w:r>
    </w:p>
    <w:p w:rsidR="00E70CCB" w:rsidRPr="00D5126A" w:rsidRDefault="00E70CCB" w:rsidP="00E70CCB">
      <w:pPr>
        <w:rPr>
          <w:rFonts w:ascii="Arial" w:hAnsi="Arial" w:cs="Arial"/>
          <w:lang w:eastAsia="en-GB"/>
        </w:rPr>
      </w:pPr>
      <w:r w:rsidRPr="00D5126A">
        <w:rPr>
          <w:rFonts w:ascii="Arial" w:hAnsi="Arial" w:cs="Arial"/>
        </w:rPr>
        <w:t>We continued to roll out the Community Infrastructure Resilience (CIR) programme. The completed first phase was to establish the community water stations to supplement the existing resilient reservoirs that will provide water for residents from day eight following a major event interrupting water supply. Several open days have been held to demonstrate the community water stations and share what we are doing with the local communities.</w:t>
      </w:r>
    </w:p>
    <w:p w:rsidR="00FD5E5C" w:rsidRPr="00EF073E" w:rsidRDefault="00FD5E5C" w:rsidP="00AA2122">
      <w:pPr>
        <w:pStyle w:val="Heading3"/>
        <w:rPr>
          <w:color w:val="00B050"/>
        </w:rPr>
      </w:pPr>
      <w:bookmarkStart w:id="174" w:name="_Toc19085820"/>
      <w:r w:rsidRPr="00EF073E">
        <w:rPr>
          <w:color w:val="00B050"/>
        </w:rPr>
        <w:t xml:space="preserve">2.4 Waipara - </w:t>
      </w:r>
      <w:r w:rsidRPr="00EF073E">
        <w:rPr>
          <w:rStyle w:val="00Text"/>
          <w:color w:val="00B050"/>
        </w:rPr>
        <w:t>Wastewater</w:t>
      </w:r>
      <w:bookmarkEnd w:id="173"/>
      <w:bookmarkEnd w:id="174"/>
    </w:p>
    <w:p w:rsidR="00FD5E5C" w:rsidRPr="00EF073E" w:rsidRDefault="00FD5E5C" w:rsidP="00846C1B">
      <w:pPr>
        <w:pStyle w:val="Heading4"/>
        <w:rPr>
          <w:color w:val="00B050"/>
        </w:rPr>
      </w:pPr>
      <w:r w:rsidRPr="00EF073E">
        <w:rPr>
          <w:color w:val="00B050"/>
        </w:rPr>
        <w:t>What we did</w:t>
      </w:r>
    </w:p>
    <w:p w:rsidR="00FD5E5C" w:rsidRPr="00D5126A" w:rsidRDefault="00FD5E5C" w:rsidP="00FD5E5C">
      <w:pPr>
        <w:pStyle w:val="Para003"/>
        <w:spacing w:before="240" w:line="240" w:lineRule="auto"/>
        <w:rPr>
          <w:rFonts w:ascii="Arial" w:hAnsi="Arial" w:cs="Arial"/>
        </w:rPr>
      </w:pPr>
      <w:bookmarkStart w:id="175" w:name="2_5_Waiawha_Stormwater"/>
      <w:r w:rsidRPr="00D5126A">
        <w:rPr>
          <w:rFonts w:ascii="Arial" w:hAnsi="Arial" w:cs="Arial"/>
        </w:rPr>
        <w:t xml:space="preserve">Key areas of work in 2018/19 focused on delivering solutions to support growth in the </w:t>
      </w:r>
      <w:r w:rsidR="0087581A">
        <w:rPr>
          <w:rFonts w:ascii="Arial" w:hAnsi="Arial" w:cs="Arial"/>
        </w:rPr>
        <w:t>central city</w:t>
      </w:r>
      <w:r w:rsidR="0087581A" w:rsidRPr="00D5126A">
        <w:rPr>
          <w:rFonts w:ascii="Arial" w:hAnsi="Arial" w:cs="Arial"/>
        </w:rPr>
        <w:t xml:space="preserve"> </w:t>
      </w:r>
      <w:r w:rsidRPr="00D5126A">
        <w:rPr>
          <w:rFonts w:ascii="Arial" w:hAnsi="Arial" w:cs="Arial"/>
        </w:rPr>
        <w:t>and adapting to the change in consents for the Karori Waste Water Treatment Plant (WWTP) outfall.</w:t>
      </w:r>
    </w:p>
    <w:p w:rsidR="00FD5E5C" w:rsidRPr="00D5126A" w:rsidRDefault="00FD5E5C" w:rsidP="00FD5E5C">
      <w:pPr>
        <w:pStyle w:val="Para003"/>
        <w:spacing w:before="240" w:line="240" w:lineRule="auto"/>
        <w:rPr>
          <w:rFonts w:ascii="Arial" w:hAnsi="Arial" w:cs="Arial"/>
        </w:rPr>
      </w:pPr>
      <w:r w:rsidRPr="00D5126A">
        <w:rPr>
          <w:rFonts w:ascii="Arial" w:hAnsi="Arial" w:cs="Arial"/>
        </w:rPr>
        <w:t>During 2018/19</w:t>
      </w:r>
      <w:r w:rsidR="00AA2E12">
        <w:rPr>
          <w:rFonts w:ascii="Arial" w:hAnsi="Arial" w:cs="Arial"/>
        </w:rPr>
        <w:t>,</w:t>
      </w:r>
      <w:r w:rsidRPr="00D5126A">
        <w:rPr>
          <w:rFonts w:ascii="Arial" w:hAnsi="Arial" w:cs="Arial"/>
        </w:rPr>
        <w:t xml:space="preserve"> Wellington Water tendered and awarded a contract to run the Region’s </w:t>
      </w:r>
      <w:r w:rsidR="00AA2E12">
        <w:rPr>
          <w:rFonts w:ascii="Arial" w:hAnsi="Arial" w:cs="Arial"/>
        </w:rPr>
        <w:t>w</w:t>
      </w:r>
      <w:r w:rsidR="00AA2E12" w:rsidRPr="00D5126A">
        <w:rPr>
          <w:rFonts w:ascii="Arial" w:hAnsi="Arial" w:cs="Arial"/>
        </w:rPr>
        <w:t xml:space="preserve">astewater </w:t>
      </w:r>
      <w:r w:rsidR="00AA2E12">
        <w:rPr>
          <w:rFonts w:ascii="Arial" w:hAnsi="Arial" w:cs="Arial"/>
        </w:rPr>
        <w:t>t</w:t>
      </w:r>
      <w:r w:rsidR="00AA2E12" w:rsidRPr="00D5126A">
        <w:rPr>
          <w:rFonts w:ascii="Arial" w:hAnsi="Arial" w:cs="Arial"/>
        </w:rPr>
        <w:t xml:space="preserve">reatment </w:t>
      </w:r>
      <w:r w:rsidR="00AA2E12">
        <w:rPr>
          <w:rFonts w:ascii="Arial" w:hAnsi="Arial" w:cs="Arial"/>
        </w:rPr>
        <w:t>p</w:t>
      </w:r>
      <w:r w:rsidR="00AA2E12" w:rsidRPr="00D5126A">
        <w:rPr>
          <w:rFonts w:ascii="Arial" w:hAnsi="Arial" w:cs="Arial"/>
        </w:rPr>
        <w:t>lants</w:t>
      </w:r>
      <w:r w:rsidRPr="00D5126A">
        <w:rPr>
          <w:rFonts w:ascii="Arial" w:hAnsi="Arial" w:cs="Arial"/>
        </w:rPr>
        <w:t>.  This contract was awarded to Wellington City’s current service provider – Veolia.  The Wellington City wastewater treatment plants will officially transition to this new contract in February 2020 once the existing contract ends.</w:t>
      </w:r>
    </w:p>
    <w:p w:rsidR="00FD5E5C" w:rsidRPr="00D5126A" w:rsidRDefault="00FD5E5C" w:rsidP="00FD5E5C">
      <w:pPr>
        <w:pStyle w:val="Heading5"/>
      </w:pPr>
      <w:r w:rsidRPr="00D5126A">
        <w:t>Network renewals</w:t>
      </w:r>
    </w:p>
    <w:p w:rsidR="00FD5E5C" w:rsidRPr="00D5126A" w:rsidRDefault="00FD5E5C" w:rsidP="00FD5E5C">
      <w:pPr>
        <w:rPr>
          <w:rFonts w:ascii="Arial" w:hAnsi="Arial" w:cs="Arial"/>
          <w:b/>
          <w:color w:val="000000" w:themeColor="text1"/>
        </w:rPr>
      </w:pPr>
      <w:r w:rsidRPr="00D5126A">
        <w:rPr>
          <w:rFonts w:ascii="Arial" w:hAnsi="Arial" w:cs="Arial"/>
          <w:color w:val="000000" w:themeColor="text1"/>
        </w:rPr>
        <w:t>These projects are aimed improving water quality and maintaining a reliable network for customers.</w:t>
      </w:r>
      <w:r w:rsidRPr="00D5126A">
        <w:rPr>
          <w:rFonts w:ascii="Arial" w:hAnsi="Arial" w:cs="Arial"/>
          <w:b/>
          <w:color w:val="000000" w:themeColor="text1"/>
        </w:rPr>
        <w:t xml:space="preserve">  </w:t>
      </w:r>
      <w:r w:rsidRPr="00D5126A">
        <w:rPr>
          <w:rFonts w:ascii="Arial" w:hAnsi="Arial" w:cs="Arial"/>
          <w:color w:val="000000" w:themeColor="text1"/>
        </w:rPr>
        <w:t xml:space="preserve">The </w:t>
      </w:r>
      <w:proofErr w:type="gramStart"/>
      <w:r w:rsidRPr="00D5126A">
        <w:rPr>
          <w:rFonts w:ascii="Arial" w:hAnsi="Arial" w:cs="Arial"/>
          <w:color w:val="000000" w:themeColor="text1"/>
        </w:rPr>
        <w:t>programme consist</w:t>
      </w:r>
      <w:proofErr w:type="gramEnd"/>
      <w:r w:rsidRPr="00D5126A">
        <w:rPr>
          <w:rFonts w:ascii="Arial" w:hAnsi="Arial" w:cs="Arial"/>
          <w:color w:val="000000" w:themeColor="text1"/>
        </w:rPr>
        <w:t xml:space="preserve"> of numerous pipeline and pump station renewals projects. Design of the rising main replacements</w:t>
      </w:r>
      <w:r w:rsidRPr="00D5126A">
        <w:rPr>
          <w:rFonts w:ascii="Arial" w:hAnsi="Arial" w:cs="Arial"/>
        </w:rPr>
        <w:t xml:space="preserve"> in </w:t>
      </w:r>
      <w:r w:rsidRPr="00D5126A">
        <w:rPr>
          <w:rFonts w:ascii="Arial" w:hAnsi="Arial" w:cs="Arial"/>
          <w:color w:val="000000" w:themeColor="text1"/>
        </w:rPr>
        <w:t>Whitmore-Bowen and Featherston Street is continuing</w:t>
      </w:r>
      <w:r w:rsidR="00A204D6">
        <w:rPr>
          <w:rFonts w:ascii="Arial" w:hAnsi="Arial" w:cs="Arial"/>
          <w:color w:val="000000" w:themeColor="text1"/>
        </w:rPr>
        <w:t>,</w:t>
      </w:r>
      <w:r w:rsidRPr="00D5126A">
        <w:rPr>
          <w:rFonts w:ascii="Arial" w:hAnsi="Arial" w:cs="Arial"/>
          <w:color w:val="000000" w:themeColor="text1"/>
        </w:rPr>
        <w:t xml:space="preserve"> with investigations and community engagement.</w:t>
      </w:r>
      <w:r w:rsidRPr="00D5126A">
        <w:rPr>
          <w:rFonts w:ascii="Arial" w:hAnsi="Arial" w:cs="Arial"/>
          <w:b/>
          <w:color w:val="000000" w:themeColor="text1"/>
        </w:rPr>
        <w:t xml:space="preserve"> </w:t>
      </w:r>
    </w:p>
    <w:p w:rsidR="00FD5E5C" w:rsidRPr="00D5126A" w:rsidRDefault="00FD5E5C" w:rsidP="00FD5E5C">
      <w:pPr>
        <w:rPr>
          <w:rFonts w:ascii="Arial" w:hAnsi="Arial" w:cs="Arial"/>
          <w:color w:val="000000" w:themeColor="text1"/>
        </w:rPr>
      </w:pPr>
      <w:r w:rsidRPr="00D5126A">
        <w:rPr>
          <w:rFonts w:ascii="Arial" w:hAnsi="Arial" w:cs="Arial"/>
          <w:color w:val="000000" w:themeColor="text1"/>
        </w:rPr>
        <w:t>Network failures Broadway and Cavendish Square in Strathmore have necessitated significant reactive responses. Other wastewater renewals occurred in Berhampore, Johnsonville and other areas.</w:t>
      </w:r>
    </w:p>
    <w:p w:rsidR="00FD5E5C" w:rsidRPr="00D5126A" w:rsidRDefault="00FD5E5C" w:rsidP="00FD5E5C">
      <w:pPr>
        <w:pStyle w:val="Heading5"/>
      </w:pPr>
      <w:r w:rsidRPr="00D5126A">
        <w:t xml:space="preserve">Network </w:t>
      </w:r>
      <w:r w:rsidR="00A204D6">
        <w:t>u</w:t>
      </w:r>
      <w:r w:rsidRPr="00D5126A">
        <w:t>pgrades</w:t>
      </w:r>
    </w:p>
    <w:p w:rsidR="00FD5E5C" w:rsidRPr="00D5126A" w:rsidRDefault="00FD5E5C" w:rsidP="00FD5E5C">
      <w:pPr>
        <w:rPr>
          <w:rFonts w:ascii="Arial" w:hAnsi="Arial" w:cs="Arial"/>
          <w:color w:val="000000" w:themeColor="text1"/>
        </w:rPr>
      </w:pPr>
      <w:r w:rsidRPr="00D5126A">
        <w:rPr>
          <w:rFonts w:ascii="Arial" w:hAnsi="Arial" w:cs="Arial"/>
          <w:color w:val="000000" w:themeColor="text1"/>
        </w:rPr>
        <w:t xml:space="preserve">These projects are primarily aimed at enabling growth. </w:t>
      </w:r>
      <w:r w:rsidRPr="00D5126A">
        <w:rPr>
          <w:rFonts w:ascii="Arial" w:hAnsi="Arial" w:cs="Arial"/>
        </w:rPr>
        <w:t xml:space="preserve">The Dixon Street Wastewater pump station upgrade project has been delivered, improving the capacity in this part of the </w:t>
      </w:r>
      <w:r w:rsidR="00A204D6">
        <w:rPr>
          <w:rFonts w:ascii="Arial" w:hAnsi="Arial" w:cs="Arial"/>
        </w:rPr>
        <w:t>central city</w:t>
      </w:r>
      <w:r w:rsidRPr="00D5126A">
        <w:rPr>
          <w:rFonts w:ascii="Arial" w:hAnsi="Arial" w:cs="Arial"/>
        </w:rPr>
        <w:t xml:space="preserve"> and meeting target growth demands. </w:t>
      </w:r>
      <w:r w:rsidRPr="00D5126A">
        <w:rPr>
          <w:rFonts w:ascii="Arial" w:hAnsi="Arial" w:cs="Arial"/>
          <w:color w:val="000000" w:themeColor="text1"/>
        </w:rPr>
        <w:t xml:space="preserve">This upgrade project has won three awards: Civil Contractors - Wellington Wairarapa GBC Winstone Award for projects over $2 million; </w:t>
      </w:r>
      <w:r w:rsidRPr="00D5126A">
        <w:rPr>
          <w:rFonts w:ascii="Arial" w:hAnsi="Arial" w:cs="Arial"/>
          <w:color w:val="000000" w:themeColor="text1"/>
        </w:rPr>
        <w:lastRenderedPageBreak/>
        <w:t>IPWEA NZ Best Public Works Project less than $</w:t>
      </w:r>
      <w:r w:rsidR="00A204D6" w:rsidRPr="00D5126A">
        <w:rPr>
          <w:rFonts w:ascii="Arial" w:hAnsi="Arial" w:cs="Arial"/>
          <w:color w:val="000000" w:themeColor="text1"/>
        </w:rPr>
        <w:t>5</w:t>
      </w:r>
      <w:r w:rsidR="00A204D6">
        <w:rPr>
          <w:rFonts w:ascii="Arial" w:hAnsi="Arial" w:cs="Arial"/>
          <w:color w:val="000000" w:themeColor="text1"/>
        </w:rPr>
        <w:t xml:space="preserve"> million</w:t>
      </w:r>
      <w:r w:rsidRPr="00D5126A">
        <w:rPr>
          <w:rFonts w:ascii="Arial" w:hAnsi="Arial" w:cs="Arial"/>
          <w:color w:val="000000" w:themeColor="text1"/>
        </w:rPr>
        <w:t>; and ACENZ 2019 INNOVATE Project award.</w:t>
      </w:r>
    </w:p>
    <w:p w:rsidR="00FD5E5C" w:rsidRPr="00D5126A" w:rsidRDefault="00FD5E5C" w:rsidP="00FD5E5C">
      <w:pPr>
        <w:pStyle w:val="Heading5"/>
      </w:pPr>
      <w:r w:rsidRPr="00D5126A">
        <w:t>Investigations and modelling</w:t>
      </w:r>
    </w:p>
    <w:p w:rsidR="00FD5E5C" w:rsidRPr="00D5126A" w:rsidRDefault="00FD5E5C" w:rsidP="00FD5E5C">
      <w:pPr>
        <w:rPr>
          <w:rFonts w:ascii="Arial" w:hAnsi="Arial" w:cs="Arial"/>
          <w:b/>
          <w:lang w:eastAsia="en-GB"/>
        </w:rPr>
      </w:pPr>
      <w:r w:rsidRPr="00D5126A">
        <w:rPr>
          <w:rFonts w:ascii="Arial" w:hAnsi="Arial" w:cs="Arial"/>
          <w:color w:val="000000" w:themeColor="text1"/>
        </w:rPr>
        <w:t xml:space="preserve">The feasibility study outlining options for the replacement of rising mains from pump stations 05, 06 and 07 to Dixon Street was completed.  The wastewater interceptor laser and sonar survey was completed and showed several renewal requirements. </w:t>
      </w:r>
    </w:p>
    <w:p w:rsidR="00FD5E5C" w:rsidRPr="00D5126A" w:rsidRDefault="00FD5E5C" w:rsidP="00FD5E5C">
      <w:pPr>
        <w:rPr>
          <w:rFonts w:ascii="Arial" w:hAnsi="Arial" w:cs="Arial"/>
          <w:lang w:eastAsia="en-GB"/>
        </w:rPr>
      </w:pPr>
      <w:r w:rsidRPr="00D5126A">
        <w:rPr>
          <w:rFonts w:ascii="Arial" w:hAnsi="Arial" w:cs="Arial"/>
          <w:color w:val="000000" w:themeColor="text1"/>
        </w:rPr>
        <w:t>Several projects were investigated and briefed for future renewal including Cavendish Square, Glamis Av</w:t>
      </w:r>
      <w:r w:rsidR="00A204D6">
        <w:rPr>
          <w:rFonts w:ascii="Arial" w:hAnsi="Arial" w:cs="Arial"/>
          <w:color w:val="000000" w:themeColor="text1"/>
        </w:rPr>
        <w:t>enue</w:t>
      </w:r>
      <w:r w:rsidRPr="00D5126A">
        <w:rPr>
          <w:rFonts w:ascii="Arial" w:hAnsi="Arial" w:cs="Arial"/>
          <w:color w:val="000000" w:themeColor="text1"/>
        </w:rPr>
        <w:t xml:space="preserve"> trunk main, Maida Vale pipeline renewal, Kingsbridge Place and Moa Point Interceptor lining.</w:t>
      </w:r>
    </w:p>
    <w:p w:rsidR="00FD5E5C" w:rsidRPr="00D5126A" w:rsidRDefault="00FD5E5C" w:rsidP="00FD5E5C">
      <w:pPr>
        <w:pStyle w:val="Heading5"/>
        <w:rPr>
          <w:lang w:eastAsia="en-GB"/>
        </w:rPr>
      </w:pPr>
      <w:r w:rsidRPr="00D5126A">
        <w:rPr>
          <w:lang w:eastAsia="en-GB"/>
        </w:rPr>
        <w:t xml:space="preserve">Major </w:t>
      </w:r>
      <w:r w:rsidR="00A204D6">
        <w:rPr>
          <w:lang w:eastAsia="en-GB"/>
        </w:rPr>
        <w:t>p</w:t>
      </w:r>
      <w:r w:rsidRPr="00D5126A">
        <w:rPr>
          <w:lang w:eastAsia="en-GB"/>
        </w:rPr>
        <w:t>rojects</w:t>
      </w:r>
    </w:p>
    <w:p w:rsidR="00FD5E5C" w:rsidRPr="00D5126A" w:rsidRDefault="00FD5E5C" w:rsidP="00FD5E5C">
      <w:pPr>
        <w:rPr>
          <w:rFonts w:ascii="Arial" w:hAnsi="Arial" w:cs="Arial"/>
          <w:color w:val="000000" w:themeColor="text1"/>
        </w:rPr>
      </w:pPr>
      <w:r w:rsidRPr="00D5126A">
        <w:rPr>
          <w:rFonts w:ascii="Arial" w:hAnsi="Arial" w:cs="Arial"/>
          <w:b/>
          <w:lang w:eastAsia="en-GB"/>
        </w:rPr>
        <w:t xml:space="preserve">Karori </w:t>
      </w:r>
      <w:r w:rsidR="00A204D6">
        <w:rPr>
          <w:rFonts w:ascii="Arial" w:hAnsi="Arial" w:cs="Arial"/>
          <w:b/>
          <w:lang w:eastAsia="en-GB"/>
        </w:rPr>
        <w:t>n</w:t>
      </w:r>
      <w:r w:rsidR="00A204D6" w:rsidRPr="00D5126A">
        <w:rPr>
          <w:rFonts w:ascii="Arial" w:hAnsi="Arial" w:cs="Arial"/>
          <w:b/>
          <w:lang w:eastAsia="en-GB"/>
        </w:rPr>
        <w:t xml:space="preserve">etwork </w:t>
      </w:r>
      <w:r w:rsidR="00A204D6">
        <w:rPr>
          <w:rFonts w:ascii="Arial" w:hAnsi="Arial" w:cs="Arial"/>
          <w:b/>
          <w:lang w:eastAsia="en-GB"/>
        </w:rPr>
        <w:t>i</w:t>
      </w:r>
      <w:r w:rsidR="00A204D6" w:rsidRPr="00D5126A">
        <w:rPr>
          <w:rFonts w:ascii="Arial" w:hAnsi="Arial" w:cs="Arial"/>
          <w:b/>
          <w:lang w:eastAsia="en-GB"/>
        </w:rPr>
        <w:t>mprovements</w:t>
      </w:r>
      <w:r w:rsidRPr="00D5126A">
        <w:rPr>
          <w:rFonts w:ascii="Arial" w:hAnsi="Arial" w:cs="Arial"/>
          <w:b/>
          <w:lang w:eastAsia="en-GB"/>
        </w:rPr>
        <w:t>:</w:t>
      </w:r>
      <w:r w:rsidRPr="00D5126A">
        <w:rPr>
          <w:rFonts w:ascii="Arial" w:hAnsi="Arial" w:cs="Arial"/>
          <w:color w:val="000000" w:themeColor="text1"/>
        </w:rPr>
        <w:t xml:space="preserve"> </w:t>
      </w:r>
      <w:r w:rsidRPr="00D5126A">
        <w:rPr>
          <w:rFonts w:ascii="Arial" w:hAnsi="Arial" w:cs="Arial"/>
        </w:rPr>
        <w:t xml:space="preserve">The consent conditions for the outfall pipe from the Western (Karori) WWTP were changed. We are no longer required to replace the pipeline before the end of its life, but will instead work to assess and improve the condition and performance of the Karori wastewater pipelines feeding the WWTP. This will improve the health of the waterways and reduce the risk of exposing people to untreated wastewater. </w:t>
      </w:r>
      <w:r w:rsidRPr="00D5126A">
        <w:rPr>
          <w:rFonts w:ascii="Arial" w:hAnsi="Arial" w:cs="Arial"/>
          <w:color w:val="000000" w:themeColor="text1"/>
        </w:rPr>
        <w:t>Investigations are taking place to gain a better understanding of the wastewater network and identify options for reducing network infiltration and inflows from private property.</w:t>
      </w:r>
      <w:r w:rsidRPr="00D5126A">
        <w:rPr>
          <w:rFonts w:ascii="Arial" w:hAnsi="Arial" w:cs="Arial"/>
          <w:lang w:eastAsia="en-GB"/>
        </w:rPr>
        <w:t xml:space="preserve"> Two of the </w:t>
      </w:r>
      <w:r w:rsidR="00A204D6">
        <w:rPr>
          <w:rFonts w:ascii="Arial" w:hAnsi="Arial" w:cs="Arial"/>
          <w:lang w:eastAsia="en-GB"/>
        </w:rPr>
        <w:t>10</w:t>
      </w:r>
      <w:r w:rsidRPr="00D5126A">
        <w:rPr>
          <w:rFonts w:ascii="Arial" w:hAnsi="Arial" w:cs="Arial"/>
          <w:lang w:eastAsia="en-GB"/>
        </w:rPr>
        <w:t xml:space="preserve"> sub-catchments have been surveyed and 73 faults in private networks were found</w:t>
      </w:r>
      <w:r w:rsidR="00A204D6">
        <w:rPr>
          <w:rFonts w:ascii="Arial" w:hAnsi="Arial" w:cs="Arial"/>
          <w:lang w:eastAsia="en-GB"/>
        </w:rPr>
        <w:t>. T</w:t>
      </w:r>
      <w:r w:rsidRPr="00D5126A">
        <w:rPr>
          <w:rFonts w:ascii="Arial" w:hAnsi="Arial" w:cs="Arial"/>
          <w:lang w:eastAsia="en-GB"/>
        </w:rPr>
        <w:t>hese are being followed up for corrective action.</w:t>
      </w:r>
    </w:p>
    <w:p w:rsidR="00FD5E5C" w:rsidRPr="00EF073E" w:rsidRDefault="00FD5E5C" w:rsidP="00AA2122">
      <w:pPr>
        <w:pStyle w:val="Heading3"/>
        <w:rPr>
          <w:color w:val="00B050"/>
        </w:rPr>
      </w:pPr>
      <w:bookmarkStart w:id="176" w:name="_Toc19085821"/>
      <w:r w:rsidRPr="00EF073E">
        <w:rPr>
          <w:color w:val="00B050"/>
        </w:rPr>
        <w:t xml:space="preserve">2.5 Waiāwhā - </w:t>
      </w:r>
      <w:r w:rsidRPr="00EF073E">
        <w:rPr>
          <w:rStyle w:val="00Text"/>
          <w:color w:val="00B050"/>
        </w:rPr>
        <w:t>Stormwater</w:t>
      </w:r>
      <w:bookmarkEnd w:id="175"/>
      <w:bookmarkEnd w:id="176"/>
    </w:p>
    <w:p w:rsidR="00FD5E5C" w:rsidRPr="00EF073E" w:rsidRDefault="00FD5E5C" w:rsidP="00846C1B">
      <w:pPr>
        <w:pStyle w:val="Heading4"/>
        <w:rPr>
          <w:color w:val="00B050"/>
        </w:rPr>
      </w:pPr>
      <w:r w:rsidRPr="00EF073E">
        <w:rPr>
          <w:color w:val="00B050"/>
        </w:rPr>
        <w:t>What we did:</w:t>
      </w:r>
    </w:p>
    <w:p w:rsidR="00FD5E5C" w:rsidRPr="00D5126A" w:rsidRDefault="00FD5E5C" w:rsidP="00FD5E5C">
      <w:pPr>
        <w:pStyle w:val="Para003"/>
        <w:spacing w:before="240" w:line="240" w:lineRule="auto"/>
        <w:rPr>
          <w:rFonts w:ascii="Arial" w:hAnsi="Arial" w:cs="Arial"/>
        </w:rPr>
      </w:pPr>
      <w:bookmarkStart w:id="177" w:name="2_6_Nga_painga_kukume_whaomoomo_Conserva"/>
      <w:r w:rsidRPr="00D5126A">
        <w:rPr>
          <w:rFonts w:ascii="Arial" w:hAnsi="Arial" w:cs="Arial"/>
        </w:rPr>
        <w:t>We have continued work on the stormwater hydraulic model for the city.  The modelling will allow us to identify and prioritise stormwater flooding reduction projects based on model evidence.  Work has also started on understanding the extent of the changes required to improve receiving water quality.  This links to the requirements of the national policy statement for fresh water.</w:t>
      </w:r>
    </w:p>
    <w:p w:rsidR="00FD5E5C" w:rsidRPr="00D5126A" w:rsidRDefault="00FD5E5C" w:rsidP="00FD5E5C">
      <w:pPr>
        <w:pStyle w:val="Heading5"/>
        <w:rPr>
          <w:rStyle w:val="00Text"/>
          <w:b w:val="0"/>
          <w:bCs w:val="0"/>
        </w:rPr>
      </w:pPr>
      <w:r w:rsidRPr="00D5126A">
        <w:rPr>
          <w:rStyle w:val="00Text"/>
        </w:rPr>
        <w:t>Network renewals and upgrades</w:t>
      </w:r>
    </w:p>
    <w:p w:rsidR="00FD5E5C" w:rsidRPr="00D5126A" w:rsidRDefault="00FD5E5C" w:rsidP="00FD5E5C">
      <w:pPr>
        <w:rPr>
          <w:rStyle w:val="00Text"/>
          <w:rFonts w:ascii="Arial" w:hAnsi="Arial" w:cs="Arial"/>
          <w:b w:val="0"/>
        </w:rPr>
      </w:pPr>
      <w:r w:rsidRPr="00D5126A">
        <w:rPr>
          <w:rStyle w:val="00Text"/>
          <w:rFonts w:ascii="Arial" w:hAnsi="Arial" w:cs="Arial"/>
          <w:b w:val="0"/>
        </w:rPr>
        <w:t>These projects are aimed at public safety and flooding. The major project completed in 2018/19 was the Kilbirnie pipe upgrade. Smaller improvements where completed at Tawa School, Kent Terrace by the fire station and in Melrose Road.  Planning and design has been completed for a number of projects to allow construction to occur in 2019/20.</w:t>
      </w:r>
    </w:p>
    <w:p w:rsidR="00FD5E5C" w:rsidRPr="00D5126A" w:rsidRDefault="00FD5E5C" w:rsidP="00FD5E5C">
      <w:pPr>
        <w:pStyle w:val="Heading5"/>
        <w:rPr>
          <w:rStyle w:val="00Text"/>
          <w:b w:val="0"/>
          <w:bCs w:val="0"/>
        </w:rPr>
      </w:pPr>
      <w:r w:rsidRPr="00D5126A">
        <w:rPr>
          <w:rStyle w:val="00Text"/>
        </w:rPr>
        <w:t>Investigations and modelling</w:t>
      </w:r>
    </w:p>
    <w:p w:rsidR="00FD5E5C" w:rsidRPr="00D5126A" w:rsidRDefault="00FD5E5C" w:rsidP="00FD5E5C">
      <w:pPr>
        <w:rPr>
          <w:rStyle w:val="00Text"/>
          <w:rFonts w:ascii="Arial" w:hAnsi="Arial" w:cs="Arial"/>
          <w:b w:val="0"/>
          <w:bCs w:val="0"/>
        </w:rPr>
      </w:pPr>
      <w:r w:rsidRPr="00D5126A">
        <w:rPr>
          <w:rStyle w:val="00Text"/>
          <w:rFonts w:ascii="Arial" w:hAnsi="Arial" w:cs="Arial"/>
          <w:b w:val="0"/>
        </w:rPr>
        <w:t xml:space="preserve">Climate change modelling will continue in 2019/20. Ten hydraulic models of </w:t>
      </w:r>
      <w:r w:rsidR="00A204D6">
        <w:rPr>
          <w:rStyle w:val="00Text"/>
          <w:rFonts w:ascii="Arial" w:hAnsi="Arial" w:cs="Arial"/>
          <w:b w:val="0"/>
        </w:rPr>
        <w:t>14</w:t>
      </w:r>
      <w:r w:rsidR="00A204D6" w:rsidRPr="00D5126A">
        <w:rPr>
          <w:rStyle w:val="00Text"/>
          <w:rFonts w:ascii="Arial" w:hAnsi="Arial" w:cs="Arial"/>
          <w:b w:val="0"/>
        </w:rPr>
        <w:t xml:space="preserve"> </w:t>
      </w:r>
      <w:r w:rsidRPr="00D5126A">
        <w:rPr>
          <w:rStyle w:val="00Text"/>
          <w:rFonts w:ascii="Arial" w:hAnsi="Arial" w:cs="Arial"/>
          <w:b w:val="0"/>
        </w:rPr>
        <w:t>catchments are built. Five of these catchment models are progressing to external review and then flood mapping stage. Results from the draft modelling are already being used to inform options, investigations and land development queries.</w:t>
      </w:r>
    </w:p>
    <w:p w:rsidR="00FD5E5C" w:rsidRPr="00EF073E" w:rsidRDefault="00FD5E5C" w:rsidP="00AA2122">
      <w:pPr>
        <w:pStyle w:val="Heading3"/>
        <w:rPr>
          <w:color w:val="00B050"/>
        </w:rPr>
      </w:pPr>
      <w:bookmarkStart w:id="178" w:name="_Toc19085822"/>
      <w:r w:rsidRPr="00EF073E">
        <w:rPr>
          <w:color w:val="00B050"/>
        </w:rPr>
        <w:lastRenderedPageBreak/>
        <w:t xml:space="preserve">2.6 Ngā painga kukume whāomoomo - </w:t>
      </w:r>
      <w:r w:rsidRPr="00EF073E">
        <w:rPr>
          <w:rStyle w:val="00Text"/>
          <w:color w:val="00B050"/>
        </w:rPr>
        <w:t>Conservation attractions</w:t>
      </w:r>
      <w:bookmarkEnd w:id="177"/>
      <w:bookmarkEnd w:id="178"/>
    </w:p>
    <w:p w:rsidR="00FD5E5C" w:rsidRPr="00EF073E" w:rsidRDefault="00FD5E5C" w:rsidP="00FD5E5C">
      <w:pPr>
        <w:keepNext/>
        <w:keepLines/>
        <w:spacing w:before="200" w:after="0"/>
        <w:outlineLvl w:val="3"/>
        <w:rPr>
          <w:rFonts w:eastAsia="Times New Roman" w:cstheme="minorHAnsi"/>
          <w:b/>
          <w:bCs/>
          <w:i/>
          <w:iCs/>
          <w:color w:val="00B050"/>
          <w:sz w:val="28"/>
        </w:rPr>
      </w:pPr>
      <w:r w:rsidRPr="00EF073E">
        <w:rPr>
          <w:rFonts w:eastAsia="Times New Roman" w:cstheme="minorHAnsi"/>
          <w:b/>
          <w:bCs/>
          <w:i/>
          <w:iCs/>
          <w:color w:val="00B050"/>
          <w:sz w:val="28"/>
        </w:rPr>
        <w:t>What we did:</w:t>
      </w:r>
    </w:p>
    <w:p w:rsidR="00FD5E5C" w:rsidRPr="00D5126A" w:rsidRDefault="00FD5E5C" w:rsidP="00FD5E5C">
      <w:pPr>
        <w:keepNext/>
        <w:keepLines/>
        <w:spacing w:before="200" w:after="0"/>
        <w:outlineLvl w:val="4"/>
        <w:rPr>
          <w:rFonts w:ascii="Arial Black" w:eastAsia="Times New Roman" w:hAnsi="Arial Black"/>
          <w:b/>
          <w:bCs/>
          <w:u w:val="single"/>
        </w:rPr>
      </w:pPr>
      <w:r w:rsidRPr="00D5126A">
        <w:rPr>
          <w:rFonts w:ascii="Arial Black" w:eastAsia="Times New Roman" w:hAnsi="Arial Black"/>
          <w:b/>
          <w:bCs/>
          <w:u w:val="single"/>
        </w:rPr>
        <w:t>Wellington Zoo</w:t>
      </w:r>
    </w:p>
    <w:p w:rsidR="00FD5E5C" w:rsidRPr="00D5126A" w:rsidRDefault="00FD5E5C" w:rsidP="00FD5E5C">
      <w:pPr>
        <w:rPr>
          <w:rFonts w:ascii="Arial" w:eastAsia="Times New Roman" w:hAnsi="Arial"/>
        </w:rPr>
      </w:pPr>
      <w:r w:rsidRPr="00D5126A">
        <w:rPr>
          <w:rFonts w:ascii="Arial" w:eastAsia="Times New Roman" w:hAnsi="Arial"/>
        </w:rPr>
        <w:t xml:space="preserve">There were 252,973 visitors to the Zoo, which </w:t>
      </w:r>
      <w:r w:rsidR="00A204D6">
        <w:rPr>
          <w:rFonts w:ascii="Arial" w:eastAsia="Times New Roman" w:hAnsi="Arial"/>
        </w:rPr>
        <w:t xml:space="preserve">was </w:t>
      </w:r>
      <w:r w:rsidRPr="00D5126A">
        <w:rPr>
          <w:rFonts w:ascii="Arial" w:eastAsia="Times New Roman" w:hAnsi="Arial"/>
        </w:rPr>
        <w:t>our second highest visitation in a year and 3272 people more than last year (249,701)</w:t>
      </w:r>
      <w:r w:rsidR="00A204D6">
        <w:rPr>
          <w:rFonts w:ascii="Arial" w:eastAsia="Times New Roman" w:hAnsi="Arial"/>
        </w:rPr>
        <w:t>,</w:t>
      </w:r>
      <w:r w:rsidRPr="00D5126A">
        <w:rPr>
          <w:rFonts w:ascii="Arial" w:eastAsia="Times New Roman" w:hAnsi="Arial"/>
        </w:rPr>
        <w:t xml:space="preserve"> and ahead of target. This can be attributed a new Close Encounter with the capybara, an upgraded chimpanzee enclosure, the addition of new and baby animals, increased education session visitors, an effective advertising strategy and reasonable weather. </w:t>
      </w:r>
    </w:p>
    <w:p w:rsidR="00FD5E5C" w:rsidRPr="00D5126A" w:rsidRDefault="00FD5E5C" w:rsidP="00FD5E5C">
      <w:pPr>
        <w:rPr>
          <w:rFonts w:ascii="Arial" w:eastAsia="Times New Roman" w:hAnsi="Arial"/>
        </w:rPr>
      </w:pPr>
      <w:r w:rsidRPr="00D5126A">
        <w:rPr>
          <w:rFonts w:ascii="Arial" w:eastAsia="Times New Roman" w:hAnsi="Arial"/>
        </w:rPr>
        <w:t xml:space="preserve">There was also record attendance at Zoo events including: </w:t>
      </w:r>
    </w:p>
    <w:p w:rsidR="00FD5E5C" w:rsidRPr="00D5126A" w:rsidRDefault="00FD5E5C" w:rsidP="002C7BF8">
      <w:pPr>
        <w:numPr>
          <w:ilvl w:val="0"/>
          <w:numId w:val="10"/>
        </w:numPr>
        <w:contextualSpacing/>
        <w:rPr>
          <w:rFonts w:ascii="Arial" w:eastAsia="Times New Roman" w:hAnsi="Arial"/>
        </w:rPr>
      </w:pPr>
      <w:r w:rsidRPr="00D5126A">
        <w:rPr>
          <w:rFonts w:ascii="Arial" w:eastAsia="Times New Roman" w:hAnsi="Arial"/>
        </w:rPr>
        <w:t>Zoo Twilights on Fridays (in March) with 2053 visitors over five evenings, 75</w:t>
      </w:r>
      <w:r w:rsidR="00A204D6">
        <w:rPr>
          <w:rFonts w:ascii="Arial" w:eastAsia="Times New Roman" w:hAnsi="Arial"/>
        </w:rPr>
        <w:t xml:space="preserve"> percent</w:t>
      </w:r>
      <w:r w:rsidR="00A204D6" w:rsidRPr="00D5126A">
        <w:rPr>
          <w:rFonts w:ascii="Arial" w:eastAsia="Times New Roman" w:hAnsi="Arial"/>
        </w:rPr>
        <w:t xml:space="preserve"> </w:t>
      </w:r>
      <w:r w:rsidRPr="00D5126A">
        <w:rPr>
          <w:rFonts w:ascii="Arial" w:eastAsia="Times New Roman" w:hAnsi="Arial"/>
        </w:rPr>
        <w:t>higher than last year</w:t>
      </w:r>
    </w:p>
    <w:p w:rsidR="00FD5E5C" w:rsidRPr="00D5126A" w:rsidRDefault="00FD5E5C" w:rsidP="002C7BF8">
      <w:pPr>
        <w:numPr>
          <w:ilvl w:val="0"/>
          <w:numId w:val="10"/>
        </w:numPr>
        <w:contextualSpacing/>
        <w:rPr>
          <w:rFonts w:ascii="Arial" w:eastAsia="Times New Roman" w:hAnsi="Arial"/>
        </w:rPr>
      </w:pPr>
      <w:r w:rsidRPr="00D5126A">
        <w:rPr>
          <w:rFonts w:ascii="Arial" w:eastAsia="Times New Roman" w:hAnsi="Arial"/>
        </w:rPr>
        <w:t>Valentine’s Night achieved the highest visitor attendance to date for the event with 847 adult visitors</w:t>
      </w:r>
    </w:p>
    <w:p w:rsidR="00A204D6" w:rsidRDefault="00FD5E5C" w:rsidP="002C7BF8">
      <w:pPr>
        <w:numPr>
          <w:ilvl w:val="0"/>
          <w:numId w:val="10"/>
        </w:numPr>
        <w:contextualSpacing/>
        <w:rPr>
          <w:rFonts w:ascii="Arial" w:eastAsia="Times New Roman" w:hAnsi="Arial"/>
        </w:rPr>
      </w:pPr>
      <w:r w:rsidRPr="00D5126A">
        <w:rPr>
          <w:rFonts w:ascii="Arial" w:eastAsia="Times New Roman" w:hAnsi="Arial"/>
        </w:rPr>
        <w:t>The 14th annual Neighbours’ Night in January which nearly 1800 people from the diverse local Newtown area attended</w:t>
      </w:r>
    </w:p>
    <w:p w:rsidR="00FD5E5C" w:rsidRPr="00D5126A" w:rsidRDefault="00FD5E5C" w:rsidP="00A204D6">
      <w:pPr>
        <w:ind w:left="360"/>
        <w:contextualSpacing/>
        <w:rPr>
          <w:rFonts w:ascii="Arial" w:eastAsia="Times New Roman" w:hAnsi="Arial"/>
        </w:rPr>
      </w:pPr>
    </w:p>
    <w:p w:rsidR="00FD5E5C" w:rsidRPr="00D5126A" w:rsidRDefault="00FD5E5C" w:rsidP="00FD5E5C">
      <w:pPr>
        <w:rPr>
          <w:rFonts w:ascii="Arial" w:eastAsia="Times New Roman" w:hAnsi="Arial"/>
        </w:rPr>
      </w:pPr>
      <w:r w:rsidRPr="00D5126A">
        <w:rPr>
          <w:rFonts w:ascii="Arial" w:eastAsia="Times New Roman" w:hAnsi="Arial"/>
        </w:rPr>
        <w:t>During the year Wellington Free Ambulance donated a retired ambulance to the Zoo, which has been fitted out with equipment to transport Zoo animals to The Nest Te Kōhanga for treatment. This will support the welfare of the animals and improve staff health and safety when they are transporting animals for veterinary treatment.</w:t>
      </w:r>
      <w:r w:rsidR="00EF073E">
        <w:rPr>
          <w:rFonts w:ascii="Arial" w:eastAsia="Times New Roman" w:hAnsi="Arial"/>
        </w:rPr>
        <w:t xml:space="preserve"> </w:t>
      </w:r>
      <w:r w:rsidRPr="00D5126A">
        <w:rPr>
          <w:rFonts w:ascii="Arial" w:eastAsia="Times New Roman" w:hAnsi="Arial"/>
        </w:rPr>
        <w:t xml:space="preserve">Nineteen Zoo staff members were involved in seven trips to Matiu Somes Island from November to May, partnering with DOC on search and survey work for Wellington Green Geckos. </w:t>
      </w:r>
      <w:proofErr w:type="gramStart"/>
      <w:r w:rsidRPr="00D5126A">
        <w:rPr>
          <w:rFonts w:ascii="Arial" w:eastAsia="Times New Roman" w:hAnsi="Arial"/>
        </w:rPr>
        <w:t>A</w:t>
      </w:r>
      <w:proofErr w:type="gramEnd"/>
      <w:r w:rsidRPr="00D5126A">
        <w:rPr>
          <w:rFonts w:ascii="Arial" w:eastAsia="Times New Roman" w:hAnsi="Arial"/>
        </w:rPr>
        <w:t xml:space="preserve"> Ngahere Gecko was sighted, the first since their initial release in 2012.</w:t>
      </w:r>
      <w:r w:rsidR="00D27851" w:rsidRPr="00D5126A">
        <w:rPr>
          <w:rFonts w:ascii="Arial" w:eastAsia="Times New Roman" w:hAnsi="Arial"/>
        </w:rPr>
        <w:t xml:space="preserve"> </w:t>
      </w:r>
    </w:p>
    <w:p w:rsidR="00D27851" w:rsidRPr="00D5126A" w:rsidRDefault="00D27851" w:rsidP="00FD5E5C">
      <w:pPr>
        <w:rPr>
          <w:rFonts w:ascii="Arial" w:eastAsia="Times New Roman" w:hAnsi="Arial"/>
        </w:rPr>
      </w:pPr>
      <w:r w:rsidRPr="00D5126A">
        <w:t>The Zoo was also the inaugural winner of the World Association of Zoos and Aquariums (WAZA) Environmental Sustainability Award.</w:t>
      </w:r>
    </w:p>
    <w:p w:rsidR="00FD5E5C" w:rsidRPr="00D5126A" w:rsidRDefault="00FD5E5C" w:rsidP="00FD5E5C">
      <w:pPr>
        <w:rPr>
          <w:rFonts w:ascii="Arial" w:eastAsia="Times New Roman" w:hAnsi="Arial"/>
        </w:rPr>
      </w:pPr>
      <w:r w:rsidRPr="00D5126A">
        <w:rPr>
          <w:rFonts w:ascii="Arial" w:eastAsia="Times New Roman" w:hAnsi="Arial"/>
        </w:rPr>
        <w:t xml:space="preserve">Further reading: Chapter 8 – Council-Controlled </w:t>
      </w:r>
      <w:r w:rsidR="00251826" w:rsidRPr="00D5126A">
        <w:rPr>
          <w:rFonts w:ascii="Arial" w:eastAsia="Times New Roman" w:hAnsi="Arial"/>
        </w:rPr>
        <w:t>Organisations</w:t>
      </w:r>
      <w:r w:rsidRPr="00D5126A">
        <w:rPr>
          <w:rFonts w:ascii="Arial" w:eastAsia="Times New Roman" w:hAnsi="Arial"/>
        </w:rPr>
        <w:t xml:space="preserve"> </w:t>
      </w:r>
      <w:r w:rsidR="00A204D6" w:rsidRPr="00E27622">
        <w:rPr>
          <w:rFonts w:ascii="Arial" w:eastAsia="Times New Roman" w:hAnsi="Arial"/>
        </w:rPr>
        <w:t>pg</w:t>
      </w:r>
      <w:r w:rsidR="00E27622" w:rsidRPr="00E27622">
        <w:rPr>
          <w:rFonts w:ascii="Arial" w:eastAsia="Times New Roman" w:hAnsi="Arial"/>
        </w:rPr>
        <w:t xml:space="preserve"> 175</w:t>
      </w:r>
    </w:p>
    <w:p w:rsidR="00FD5E5C" w:rsidRPr="00D5126A" w:rsidRDefault="009516A3" w:rsidP="00FD5E5C">
      <w:pPr>
        <w:keepNext/>
        <w:keepLines/>
        <w:spacing w:before="200" w:after="0"/>
        <w:outlineLvl w:val="4"/>
        <w:rPr>
          <w:rFonts w:ascii="Arial Black" w:eastAsia="Times New Roman" w:hAnsi="Arial Black"/>
          <w:u w:val="single"/>
        </w:rPr>
      </w:pPr>
      <w:r w:rsidRPr="00D5126A">
        <w:rPr>
          <w:rFonts w:ascii="Arial Black" w:eastAsia="Times New Roman" w:hAnsi="Arial Black"/>
          <w:b/>
          <w:bCs/>
          <w:u w:val="single"/>
        </w:rPr>
        <w:t>Karori Sanctuary Trust</w:t>
      </w:r>
    </w:p>
    <w:p w:rsidR="00FD5E5C" w:rsidRPr="00D5126A" w:rsidRDefault="009516A3" w:rsidP="00FD5E5C">
      <w:pPr>
        <w:rPr>
          <w:rFonts w:ascii="Arial" w:eastAsia="Times New Roman" w:hAnsi="Arial"/>
        </w:rPr>
      </w:pPr>
      <w:r w:rsidRPr="00D5126A">
        <w:rPr>
          <w:rFonts w:ascii="Arial" w:eastAsia="Times New Roman" w:hAnsi="Arial"/>
        </w:rPr>
        <w:t xml:space="preserve">The </w:t>
      </w:r>
      <w:r w:rsidR="00A204D6">
        <w:rPr>
          <w:rFonts w:ascii="Arial" w:eastAsia="Times New Roman" w:hAnsi="Arial"/>
        </w:rPr>
        <w:t>T</w:t>
      </w:r>
      <w:r w:rsidR="00A204D6" w:rsidRPr="00D5126A">
        <w:rPr>
          <w:rFonts w:ascii="Arial" w:eastAsia="Times New Roman" w:hAnsi="Arial"/>
        </w:rPr>
        <w:t xml:space="preserve">rust </w:t>
      </w:r>
      <w:r w:rsidRPr="00D5126A">
        <w:rPr>
          <w:rFonts w:ascii="Arial" w:eastAsia="Times New Roman" w:hAnsi="Arial"/>
        </w:rPr>
        <w:t xml:space="preserve">trades as Zealandia. </w:t>
      </w:r>
      <w:r w:rsidR="00FD5E5C" w:rsidRPr="00D5126A">
        <w:rPr>
          <w:rFonts w:ascii="Arial" w:eastAsia="Times New Roman" w:hAnsi="Arial"/>
        </w:rPr>
        <w:t xml:space="preserve">The number of visitors to </w:t>
      </w:r>
      <w:r w:rsidRPr="00D5126A">
        <w:rPr>
          <w:rFonts w:ascii="Arial" w:eastAsia="Times New Roman" w:hAnsi="Arial"/>
        </w:rPr>
        <w:t>the sanctuary</w:t>
      </w:r>
      <w:r w:rsidR="00FD5E5C" w:rsidRPr="00D5126A">
        <w:rPr>
          <w:rFonts w:ascii="Arial" w:eastAsia="Times New Roman" w:hAnsi="Arial"/>
        </w:rPr>
        <w:t xml:space="preserve"> was 138,141, which is up from last year’s figure (132,</w:t>
      </w:r>
      <w:r w:rsidR="005F3580">
        <w:rPr>
          <w:rFonts w:ascii="Arial" w:eastAsia="Times New Roman" w:hAnsi="Arial"/>
        </w:rPr>
        <w:t>337</w:t>
      </w:r>
      <w:r w:rsidR="00FD5E5C" w:rsidRPr="00D5126A">
        <w:rPr>
          <w:rFonts w:ascii="Arial" w:eastAsia="Times New Roman" w:hAnsi="Arial"/>
        </w:rPr>
        <w:t>)</w:t>
      </w:r>
      <w:r w:rsidR="00A204D6">
        <w:rPr>
          <w:rFonts w:ascii="Arial" w:eastAsia="Times New Roman" w:hAnsi="Arial"/>
        </w:rPr>
        <w:t>,</w:t>
      </w:r>
      <w:r w:rsidR="00FD5E5C" w:rsidRPr="00D5126A">
        <w:rPr>
          <w:rFonts w:ascii="Arial" w:eastAsia="Times New Roman" w:hAnsi="Arial"/>
        </w:rPr>
        <w:t xml:space="preserve"> and ahead of target. Leading factors in the increase were increased cruise ships, the growing popularity of its education programme, the release of Tītipounamu in the sanctuary, along with a takahē chick hatching in late 2018, and a reasonably warm and dry summer.</w:t>
      </w:r>
    </w:p>
    <w:p w:rsidR="00FD5E5C" w:rsidRPr="00D5126A" w:rsidRDefault="00FD5E5C" w:rsidP="00EF073E">
      <w:pPr>
        <w:rPr>
          <w:rFonts w:ascii="Arial" w:eastAsia="Times New Roman" w:hAnsi="Arial"/>
          <w:lang w:eastAsia="en-NZ"/>
        </w:rPr>
      </w:pPr>
      <w:r w:rsidRPr="00D5126A">
        <w:rPr>
          <w:rFonts w:ascii="Arial" w:eastAsia="Times New Roman" w:hAnsi="Arial"/>
        </w:rPr>
        <w:t>In May, the sanctuary was honoured to host a roundtable discussion with Dr Jane Goodall and members from the Edmond Hillary Fellowship.</w:t>
      </w:r>
      <w:r w:rsidR="00EF073E">
        <w:rPr>
          <w:rFonts w:ascii="Arial" w:eastAsia="Times New Roman" w:hAnsi="Arial"/>
        </w:rPr>
        <w:t xml:space="preserve"> </w:t>
      </w:r>
      <w:r w:rsidRPr="00D5126A">
        <w:rPr>
          <w:rFonts w:ascii="Arial" w:eastAsia="Times New Roman" w:hAnsi="Arial"/>
          <w:lang w:eastAsia="en-NZ"/>
        </w:rPr>
        <w:t xml:space="preserve">In quarter 4, the baby takahē was transferred to the </w:t>
      </w:r>
      <w:r w:rsidR="00A204D6">
        <w:rPr>
          <w:rFonts w:ascii="Arial" w:eastAsia="Times New Roman" w:hAnsi="Arial"/>
          <w:lang w:eastAsia="en-NZ"/>
        </w:rPr>
        <w:t>DOC</w:t>
      </w:r>
      <w:r w:rsidRPr="00D5126A">
        <w:rPr>
          <w:rFonts w:ascii="Arial" w:eastAsia="Times New Roman" w:hAnsi="Arial"/>
          <w:lang w:eastAsia="en-NZ"/>
        </w:rPr>
        <w:t xml:space="preserve"> Burwood Takahē Centre, Fiordland. He was fostered onto adult pairs of takahē to learn how to thrive in the wild.</w:t>
      </w:r>
    </w:p>
    <w:p w:rsidR="00FD5E5C" w:rsidRPr="00D5126A" w:rsidRDefault="00FD5E5C" w:rsidP="00FD5E5C">
      <w:pPr>
        <w:spacing w:after="160" w:line="252" w:lineRule="auto"/>
        <w:contextualSpacing/>
        <w:rPr>
          <w:rFonts w:ascii="Arial" w:eastAsia="Times New Roman" w:hAnsi="Arial"/>
          <w:lang w:eastAsia="en-NZ"/>
        </w:rPr>
      </w:pPr>
      <w:r w:rsidRPr="00D5126A">
        <w:rPr>
          <w:rFonts w:ascii="Arial" w:eastAsia="Times New Roman" w:hAnsi="Arial"/>
          <w:lang w:eastAsia="en-NZ"/>
        </w:rPr>
        <w:t xml:space="preserve">In June, seven new electric vehicle chargers were installed in the Visitor Centre carpark. Zealandia now has </w:t>
      </w:r>
      <w:r w:rsidR="00A204D6">
        <w:rPr>
          <w:rFonts w:ascii="Arial" w:eastAsia="Times New Roman" w:hAnsi="Arial"/>
          <w:lang w:eastAsia="en-NZ"/>
        </w:rPr>
        <w:t>10</w:t>
      </w:r>
      <w:r w:rsidRPr="00D5126A">
        <w:rPr>
          <w:rFonts w:ascii="Arial" w:eastAsia="Times New Roman" w:hAnsi="Arial"/>
          <w:lang w:eastAsia="en-NZ"/>
        </w:rPr>
        <w:t xml:space="preserve"> chargers in total and is one of the major charging stations in the Wellington region.</w:t>
      </w:r>
    </w:p>
    <w:p w:rsidR="009516A3" w:rsidRPr="00D5126A" w:rsidRDefault="00D8522D" w:rsidP="00D8522D">
      <w:pPr>
        <w:tabs>
          <w:tab w:val="left" w:pos="6413"/>
        </w:tabs>
        <w:spacing w:after="160" w:line="252" w:lineRule="auto"/>
        <w:contextualSpacing/>
        <w:rPr>
          <w:rFonts w:ascii="Arial" w:eastAsia="Times New Roman" w:hAnsi="Arial"/>
        </w:rPr>
      </w:pPr>
      <w:r>
        <w:rPr>
          <w:rFonts w:ascii="Arial" w:eastAsia="Times New Roman" w:hAnsi="Arial"/>
        </w:rPr>
        <w:tab/>
      </w:r>
    </w:p>
    <w:p w:rsidR="00FD5E5C" w:rsidRPr="00D5126A" w:rsidRDefault="00FD5E5C" w:rsidP="00FD5E5C">
      <w:pPr>
        <w:rPr>
          <w:rFonts w:ascii="Arial" w:hAnsi="Arial" w:cs="Arial"/>
        </w:rPr>
      </w:pPr>
      <w:r w:rsidRPr="00D5126A">
        <w:rPr>
          <w:rFonts w:ascii="Arial" w:eastAsia="Times New Roman" w:hAnsi="Arial"/>
        </w:rPr>
        <w:t xml:space="preserve">Further reading: Chapter 8 – Council-Controlled </w:t>
      </w:r>
      <w:r w:rsidR="00251826" w:rsidRPr="00D5126A">
        <w:rPr>
          <w:rFonts w:ascii="Arial" w:eastAsia="Times New Roman" w:hAnsi="Arial"/>
        </w:rPr>
        <w:t>Organisations</w:t>
      </w:r>
      <w:r w:rsidRPr="00D5126A">
        <w:rPr>
          <w:rFonts w:ascii="Arial" w:eastAsia="Times New Roman" w:hAnsi="Arial"/>
        </w:rPr>
        <w:t xml:space="preserve"> </w:t>
      </w:r>
      <w:r w:rsidR="00A204D6" w:rsidRPr="00E27622">
        <w:rPr>
          <w:rFonts w:ascii="Arial" w:eastAsia="Times New Roman" w:hAnsi="Arial"/>
        </w:rPr>
        <w:t>pg</w:t>
      </w:r>
      <w:r w:rsidR="00E27622" w:rsidRPr="00E27622">
        <w:rPr>
          <w:rFonts w:ascii="Arial" w:eastAsia="Times New Roman" w:hAnsi="Arial"/>
        </w:rPr>
        <w:t xml:space="preserve"> 175</w:t>
      </w:r>
    </w:p>
    <w:p w:rsidR="00FD5E5C" w:rsidRPr="00D5126A" w:rsidRDefault="00FD5E5C" w:rsidP="00AA2122">
      <w:pPr>
        <w:pStyle w:val="Heading3"/>
        <w:sectPr w:rsidR="00FD5E5C" w:rsidRPr="00D5126A" w:rsidSect="00EF073E">
          <w:pgSz w:w="11906" w:h="16838"/>
          <w:pgMar w:top="1135" w:right="1558" w:bottom="1276" w:left="1418" w:header="709" w:footer="341" w:gutter="0"/>
          <w:cols w:space="708"/>
          <w:docGrid w:linePitch="360"/>
        </w:sectPr>
      </w:pPr>
      <w:bookmarkStart w:id="179" w:name="Environment_finances"/>
      <w:bookmarkStart w:id="180" w:name="_Toc11915645"/>
      <w:bookmarkStart w:id="181" w:name="_Toc13211843"/>
      <w:bookmarkStart w:id="182" w:name="_Toc14178546"/>
    </w:p>
    <w:p w:rsidR="00FD5E5C" w:rsidRPr="009F7685" w:rsidRDefault="00FD5E5C" w:rsidP="00AA2122">
      <w:pPr>
        <w:pStyle w:val="Heading3"/>
        <w:rPr>
          <w:color w:val="00B050"/>
        </w:rPr>
      </w:pPr>
      <w:bookmarkStart w:id="183" w:name="_Toc19085823"/>
      <w:r w:rsidRPr="009F7685">
        <w:rPr>
          <w:color w:val="00B050"/>
        </w:rPr>
        <w:lastRenderedPageBreak/>
        <w:t>Environment finances</w:t>
      </w:r>
      <w:bookmarkEnd w:id="179"/>
      <w:bookmarkEnd w:id="180"/>
      <w:bookmarkEnd w:id="181"/>
      <w:bookmarkEnd w:id="182"/>
      <w:bookmarkEnd w:id="183"/>
    </w:p>
    <w:p w:rsidR="00FD5E5C" w:rsidRPr="00D5126A" w:rsidRDefault="00FD5E5C" w:rsidP="00FD5E5C">
      <w:pPr>
        <w:pStyle w:val="Heading5"/>
      </w:pPr>
      <w:r w:rsidRPr="00D5126A">
        <w:t>How it was funded</w:t>
      </w:r>
    </w:p>
    <w:p w:rsidR="00FD5E5C" w:rsidRDefault="00FD5E5C" w:rsidP="00FD5E5C">
      <w:pPr>
        <w:pStyle w:val="Para034"/>
        <w:spacing w:line="240" w:lineRule="auto"/>
        <w:rPr>
          <w:rFonts w:ascii="Arial" w:hAnsi="Arial" w:cs="Arial"/>
        </w:rPr>
      </w:pPr>
      <w:r w:rsidRPr="00D5126A">
        <w:rPr>
          <w:rFonts w:ascii="Arial" w:hAnsi="Arial" w:cs="Arial"/>
        </w:rPr>
        <w:t>Services in this activity area are funded through a mixture of general rates, targeted rates, user charges and other revenue.</w:t>
      </w:r>
    </w:p>
    <w:p w:rsidR="00F5446D" w:rsidRPr="00D5126A" w:rsidRDefault="00F5446D" w:rsidP="00F5446D">
      <w:pPr>
        <w:pStyle w:val="Para003"/>
        <w:spacing w:before="240" w:line="240" w:lineRule="auto"/>
        <w:rPr>
          <w:rFonts w:ascii="Arial" w:hAnsi="Arial" w:cs="Arial"/>
        </w:rPr>
      </w:pPr>
      <w:r w:rsidRPr="00D5126A">
        <w:rPr>
          <w:rFonts w:ascii="Arial" w:hAnsi="Arial" w:cs="Arial"/>
        </w:rPr>
        <w:t>Detaile</w:t>
      </w:r>
      <w:r>
        <w:rPr>
          <w:rFonts w:ascii="Arial" w:hAnsi="Arial" w:cs="Arial"/>
        </w:rPr>
        <w:t xml:space="preserve">d information on funding on </w:t>
      </w:r>
      <w:r w:rsidRPr="00E27622">
        <w:rPr>
          <w:rFonts w:ascii="Arial" w:hAnsi="Arial" w:cs="Arial"/>
        </w:rPr>
        <w:t xml:space="preserve">pg </w:t>
      </w:r>
      <w:r w:rsidR="00E27622" w:rsidRPr="00E27622">
        <w:rPr>
          <w:rFonts w:ascii="Arial" w:hAnsi="Arial" w:cs="Arial"/>
        </w:rPr>
        <w:t>328</w:t>
      </w:r>
      <w:r w:rsidRPr="00D5126A">
        <w:rPr>
          <w:rFonts w:ascii="Arial" w:hAnsi="Arial" w:cs="Arial"/>
        </w:rPr>
        <w:t xml:space="preserve"> of </w:t>
      </w:r>
      <w:r>
        <w:rPr>
          <w:rFonts w:ascii="Arial" w:hAnsi="Arial" w:cs="Arial"/>
        </w:rPr>
        <w:t xml:space="preserve">Section 5: </w:t>
      </w:r>
      <w:r w:rsidRPr="00D5126A">
        <w:rPr>
          <w:rFonts w:ascii="Arial" w:hAnsi="Arial" w:cs="Arial"/>
        </w:rPr>
        <w:t xml:space="preserve">Financial </w:t>
      </w:r>
      <w:r>
        <w:rPr>
          <w:rFonts w:ascii="Arial" w:hAnsi="Arial" w:cs="Arial"/>
        </w:rPr>
        <w:t xml:space="preserve">Statements </w:t>
      </w:r>
      <w:r w:rsidRPr="00D5126A">
        <w:rPr>
          <w:rFonts w:ascii="Arial" w:hAnsi="Arial" w:cs="Arial"/>
        </w:rPr>
        <w:t>section.</w:t>
      </w:r>
    </w:p>
    <w:p w:rsidR="00F5446D" w:rsidRPr="00D5126A" w:rsidRDefault="00F5446D" w:rsidP="00FD5E5C">
      <w:pPr>
        <w:pStyle w:val="Para034"/>
        <w:spacing w:line="240" w:lineRule="auto"/>
        <w:rPr>
          <w:rFonts w:ascii="Arial" w:hAnsi="Arial" w:cs="Arial"/>
        </w:rPr>
      </w:pPr>
    </w:p>
    <w:p w:rsidR="00FD5E5C" w:rsidRPr="009F7685" w:rsidRDefault="00FD5E5C" w:rsidP="00846C1B">
      <w:pPr>
        <w:pStyle w:val="Heading4"/>
        <w:rPr>
          <w:color w:val="00B050"/>
        </w:rPr>
      </w:pPr>
      <w:r w:rsidRPr="009F7685">
        <w:rPr>
          <w:color w:val="00B050"/>
        </w:rPr>
        <w:t>What it cost (operating expenditure $000)</w:t>
      </w:r>
    </w:p>
    <w:tbl>
      <w:tblPr>
        <w:tblW w:w="14175" w:type="dxa"/>
        <w:tblInd w:w="108" w:type="dxa"/>
        <w:tblBorders>
          <w:bottom w:val="single" w:sz="4" w:space="0" w:color="00B050"/>
          <w:insideH w:val="single" w:sz="4" w:space="0" w:color="00B050"/>
          <w:insideV w:val="single" w:sz="4" w:space="0" w:color="00B050"/>
        </w:tblBorders>
        <w:tblLayout w:type="fixed"/>
        <w:tblLook w:val="04A0" w:firstRow="1" w:lastRow="0" w:firstColumn="1" w:lastColumn="0" w:noHBand="0" w:noVBand="1"/>
      </w:tblPr>
      <w:tblGrid>
        <w:gridCol w:w="3828"/>
        <w:gridCol w:w="1134"/>
        <w:gridCol w:w="1134"/>
        <w:gridCol w:w="1134"/>
        <w:gridCol w:w="1134"/>
        <w:gridCol w:w="1134"/>
        <w:gridCol w:w="4677"/>
      </w:tblGrid>
      <w:tr w:rsidR="00525A83" w:rsidRPr="00F43FB2" w:rsidTr="009F7685">
        <w:trPr>
          <w:trHeight w:val="552"/>
          <w:tblHeader/>
        </w:trPr>
        <w:tc>
          <w:tcPr>
            <w:tcW w:w="3828" w:type="dxa"/>
            <w:tcBorders>
              <w:top w:val="nil"/>
              <w:bottom w:val="nil"/>
              <w:right w:val="single" w:sz="4" w:space="0" w:color="FFFFFF" w:themeColor="background1"/>
            </w:tcBorders>
            <w:shd w:val="clear" w:color="auto" w:fill="00B050"/>
            <w:noWrap/>
            <w:vAlign w:val="bottom"/>
            <w:hideMark/>
          </w:tcPr>
          <w:p w:rsidR="00525A83" w:rsidRPr="00F43FB2" w:rsidRDefault="00F43FB2" w:rsidP="00F43FB2">
            <w:pPr>
              <w:spacing w:after="0" w:line="240" w:lineRule="auto"/>
              <w:rPr>
                <w:rFonts w:ascii="Arial" w:eastAsia="Times New Roman" w:hAnsi="Arial" w:cs="Arial"/>
                <w:b/>
                <w:color w:val="FFFFFF" w:themeColor="background1"/>
                <w:lang w:eastAsia="en-NZ"/>
              </w:rPr>
            </w:pPr>
            <w:bookmarkStart w:id="184" w:name="Environment_performance"/>
            <w:bookmarkStart w:id="185" w:name="_Toc11915646"/>
            <w:bookmarkStart w:id="186" w:name="_Toc13211844"/>
            <w:bookmarkStart w:id="187" w:name="_Toc14178547"/>
            <w:r w:rsidRPr="00F43FB2">
              <w:rPr>
                <w:rFonts w:ascii="Arial" w:eastAsia="Times New Roman" w:hAnsi="Arial" w:cs="Arial"/>
                <w:b/>
                <w:color w:val="FFFFFF" w:themeColor="background1"/>
                <w:lang w:eastAsia="en-NZ"/>
              </w:rPr>
              <w:t>Environment</w:t>
            </w:r>
          </w:p>
        </w:tc>
        <w:tc>
          <w:tcPr>
            <w:tcW w:w="1134" w:type="dxa"/>
            <w:tcBorders>
              <w:top w:val="nil"/>
              <w:left w:val="single" w:sz="4" w:space="0" w:color="FFFFFF" w:themeColor="background1"/>
              <w:bottom w:val="nil"/>
              <w:right w:val="single" w:sz="4" w:space="0" w:color="FFFFFF" w:themeColor="background1"/>
            </w:tcBorders>
            <w:shd w:val="clear" w:color="auto" w:fill="00B050"/>
            <w:vAlign w:val="bottom"/>
            <w:hideMark/>
          </w:tcPr>
          <w:p w:rsidR="00525A83" w:rsidRPr="00F43FB2" w:rsidRDefault="00525A83" w:rsidP="00B27E9D">
            <w:pPr>
              <w:spacing w:before="60" w:after="0" w:line="240" w:lineRule="auto"/>
              <w:jc w:val="center"/>
              <w:rPr>
                <w:rFonts w:ascii="Arial" w:eastAsia="Times New Roman" w:hAnsi="Arial" w:cs="Arial"/>
                <w:b/>
                <w:bCs/>
                <w:color w:val="FFFFFF" w:themeColor="background1"/>
                <w:lang w:eastAsia="en-NZ"/>
              </w:rPr>
            </w:pPr>
            <w:r w:rsidRPr="00F43FB2">
              <w:rPr>
                <w:rFonts w:ascii="Arial" w:eastAsia="Times New Roman" w:hAnsi="Arial" w:cs="Arial"/>
                <w:b/>
                <w:bCs/>
                <w:color w:val="FFFFFF" w:themeColor="background1"/>
                <w:lang w:eastAsia="en-NZ"/>
              </w:rPr>
              <w:t xml:space="preserve">2016/17 </w:t>
            </w:r>
            <w:r w:rsidRPr="00F43FB2">
              <w:rPr>
                <w:rFonts w:ascii="Arial" w:eastAsia="Times New Roman" w:hAnsi="Arial" w:cs="Arial"/>
                <w:b/>
                <w:bCs/>
                <w:color w:val="FFFFFF" w:themeColor="background1"/>
                <w:lang w:eastAsia="en-NZ"/>
              </w:rPr>
              <w:br/>
              <w:t xml:space="preserve">Actual </w:t>
            </w:r>
          </w:p>
        </w:tc>
        <w:tc>
          <w:tcPr>
            <w:tcW w:w="1134" w:type="dxa"/>
            <w:tcBorders>
              <w:top w:val="nil"/>
              <w:left w:val="single" w:sz="4" w:space="0" w:color="FFFFFF" w:themeColor="background1"/>
              <w:bottom w:val="nil"/>
              <w:right w:val="single" w:sz="4" w:space="0" w:color="FFFFFF" w:themeColor="background1"/>
            </w:tcBorders>
            <w:shd w:val="clear" w:color="auto" w:fill="00B050"/>
            <w:vAlign w:val="bottom"/>
            <w:hideMark/>
          </w:tcPr>
          <w:p w:rsidR="00525A83" w:rsidRPr="00F43FB2" w:rsidRDefault="00525A83" w:rsidP="00B27E9D">
            <w:pPr>
              <w:spacing w:before="60" w:after="0" w:line="240" w:lineRule="auto"/>
              <w:jc w:val="center"/>
              <w:rPr>
                <w:rFonts w:ascii="Arial" w:eastAsia="Times New Roman" w:hAnsi="Arial" w:cs="Arial"/>
                <w:b/>
                <w:bCs/>
                <w:color w:val="FFFFFF" w:themeColor="background1"/>
                <w:lang w:eastAsia="en-NZ"/>
              </w:rPr>
            </w:pPr>
            <w:r w:rsidRPr="00F43FB2">
              <w:rPr>
                <w:rFonts w:ascii="Arial" w:eastAsia="Times New Roman" w:hAnsi="Arial" w:cs="Arial"/>
                <w:b/>
                <w:bCs/>
                <w:color w:val="FFFFFF" w:themeColor="background1"/>
                <w:lang w:eastAsia="en-NZ"/>
              </w:rPr>
              <w:t xml:space="preserve">2017/18 </w:t>
            </w:r>
            <w:r w:rsidRPr="00F43FB2">
              <w:rPr>
                <w:rFonts w:ascii="Arial" w:eastAsia="Times New Roman" w:hAnsi="Arial" w:cs="Arial"/>
                <w:b/>
                <w:bCs/>
                <w:color w:val="FFFFFF" w:themeColor="background1"/>
                <w:lang w:eastAsia="en-NZ"/>
              </w:rPr>
              <w:br/>
              <w:t xml:space="preserve">Actual </w:t>
            </w:r>
          </w:p>
        </w:tc>
        <w:tc>
          <w:tcPr>
            <w:tcW w:w="1134" w:type="dxa"/>
            <w:tcBorders>
              <w:top w:val="nil"/>
              <w:left w:val="single" w:sz="4" w:space="0" w:color="FFFFFF" w:themeColor="background1"/>
              <w:bottom w:val="nil"/>
              <w:right w:val="single" w:sz="4" w:space="0" w:color="FFFFFF" w:themeColor="background1"/>
            </w:tcBorders>
            <w:shd w:val="clear" w:color="auto" w:fill="00B050"/>
            <w:vAlign w:val="bottom"/>
            <w:hideMark/>
          </w:tcPr>
          <w:p w:rsidR="00525A83" w:rsidRPr="00F43FB2" w:rsidRDefault="00525A83" w:rsidP="00B27E9D">
            <w:pPr>
              <w:spacing w:before="60" w:after="0" w:line="240" w:lineRule="auto"/>
              <w:jc w:val="center"/>
              <w:rPr>
                <w:rFonts w:ascii="Arial" w:eastAsia="Times New Roman" w:hAnsi="Arial" w:cs="Arial"/>
                <w:b/>
                <w:bCs/>
                <w:color w:val="FFFFFF" w:themeColor="background1"/>
                <w:lang w:eastAsia="en-NZ"/>
              </w:rPr>
            </w:pPr>
            <w:r w:rsidRPr="00F43FB2">
              <w:rPr>
                <w:rFonts w:ascii="Arial" w:eastAsia="Times New Roman" w:hAnsi="Arial" w:cs="Arial"/>
                <w:b/>
                <w:bCs/>
                <w:color w:val="FFFFFF" w:themeColor="background1"/>
                <w:lang w:eastAsia="en-NZ"/>
              </w:rPr>
              <w:t xml:space="preserve">2018/19 </w:t>
            </w:r>
            <w:r w:rsidRPr="00F43FB2">
              <w:rPr>
                <w:rFonts w:ascii="Arial" w:eastAsia="Times New Roman" w:hAnsi="Arial" w:cs="Arial"/>
                <w:b/>
                <w:bCs/>
                <w:color w:val="FFFFFF" w:themeColor="background1"/>
                <w:lang w:eastAsia="en-NZ"/>
              </w:rPr>
              <w:br/>
              <w:t xml:space="preserve">Actual </w:t>
            </w:r>
          </w:p>
        </w:tc>
        <w:tc>
          <w:tcPr>
            <w:tcW w:w="1134" w:type="dxa"/>
            <w:tcBorders>
              <w:top w:val="nil"/>
              <w:left w:val="single" w:sz="4" w:space="0" w:color="FFFFFF" w:themeColor="background1"/>
              <w:bottom w:val="nil"/>
              <w:right w:val="single" w:sz="4" w:space="0" w:color="FFFFFF" w:themeColor="background1"/>
            </w:tcBorders>
            <w:shd w:val="clear" w:color="auto" w:fill="00B050"/>
            <w:vAlign w:val="bottom"/>
            <w:hideMark/>
          </w:tcPr>
          <w:p w:rsidR="00525A83" w:rsidRPr="00F43FB2" w:rsidRDefault="009F7685" w:rsidP="009F7685">
            <w:pPr>
              <w:spacing w:before="60" w:after="0" w:line="240" w:lineRule="auto"/>
              <w:jc w:val="center"/>
              <w:rPr>
                <w:rFonts w:ascii="Arial" w:eastAsia="Times New Roman" w:hAnsi="Arial" w:cs="Arial"/>
                <w:b/>
                <w:bCs/>
                <w:color w:val="FFFFFF" w:themeColor="background1"/>
                <w:lang w:eastAsia="en-NZ"/>
              </w:rPr>
            </w:pPr>
            <w:r w:rsidRPr="00F43FB2">
              <w:rPr>
                <w:rFonts w:ascii="Arial" w:eastAsia="Times New Roman" w:hAnsi="Arial" w:cs="Arial"/>
                <w:b/>
                <w:bCs/>
                <w:color w:val="FFFFFF" w:themeColor="background1"/>
                <w:lang w:eastAsia="en-NZ"/>
              </w:rPr>
              <w:t xml:space="preserve">2018/19 </w:t>
            </w:r>
            <w:r w:rsidR="00525A83" w:rsidRPr="00F43FB2">
              <w:rPr>
                <w:rFonts w:ascii="Arial" w:eastAsia="Times New Roman" w:hAnsi="Arial" w:cs="Arial"/>
                <w:b/>
                <w:bCs/>
                <w:color w:val="FFFFFF" w:themeColor="background1"/>
                <w:lang w:eastAsia="en-NZ"/>
              </w:rPr>
              <w:t xml:space="preserve">Budget </w:t>
            </w:r>
          </w:p>
        </w:tc>
        <w:tc>
          <w:tcPr>
            <w:tcW w:w="1134" w:type="dxa"/>
            <w:tcBorders>
              <w:top w:val="nil"/>
              <w:left w:val="single" w:sz="4" w:space="0" w:color="FFFFFF" w:themeColor="background1"/>
              <w:bottom w:val="nil"/>
              <w:right w:val="single" w:sz="4" w:space="0" w:color="FFFFFF" w:themeColor="background1"/>
            </w:tcBorders>
            <w:shd w:val="clear" w:color="auto" w:fill="00B050"/>
            <w:vAlign w:val="bottom"/>
            <w:hideMark/>
          </w:tcPr>
          <w:p w:rsidR="00525A83" w:rsidRPr="00F43FB2" w:rsidRDefault="009F7685" w:rsidP="00B27E9D">
            <w:pPr>
              <w:spacing w:before="60" w:after="0" w:line="240" w:lineRule="auto"/>
              <w:jc w:val="center"/>
              <w:rPr>
                <w:rFonts w:ascii="Arial" w:eastAsia="Times New Roman" w:hAnsi="Arial" w:cs="Arial"/>
                <w:b/>
                <w:bCs/>
                <w:color w:val="FFFFFF" w:themeColor="background1"/>
                <w:lang w:eastAsia="en-NZ"/>
              </w:rPr>
            </w:pPr>
            <w:r w:rsidRPr="00F43FB2">
              <w:rPr>
                <w:rFonts w:ascii="Arial" w:eastAsia="Times New Roman" w:hAnsi="Arial" w:cs="Arial"/>
                <w:b/>
                <w:bCs/>
                <w:color w:val="FFFFFF" w:themeColor="background1"/>
                <w:lang w:eastAsia="en-NZ"/>
              </w:rPr>
              <w:t xml:space="preserve">2018/19 </w:t>
            </w:r>
            <w:r w:rsidR="00525A83" w:rsidRPr="00F43FB2">
              <w:rPr>
                <w:rFonts w:ascii="Arial" w:eastAsia="Times New Roman" w:hAnsi="Arial" w:cs="Arial"/>
                <w:b/>
                <w:bCs/>
                <w:color w:val="FFFFFF" w:themeColor="background1"/>
                <w:lang w:eastAsia="en-NZ"/>
              </w:rPr>
              <w:t>Variance</w:t>
            </w:r>
          </w:p>
        </w:tc>
        <w:tc>
          <w:tcPr>
            <w:tcW w:w="4677" w:type="dxa"/>
            <w:tcBorders>
              <w:top w:val="nil"/>
              <w:left w:val="single" w:sz="4" w:space="0" w:color="FFFFFF" w:themeColor="background1"/>
              <w:bottom w:val="nil"/>
            </w:tcBorders>
            <w:shd w:val="clear" w:color="auto" w:fill="00B050"/>
            <w:vAlign w:val="bottom"/>
            <w:hideMark/>
          </w:tcPr>
          <w:p w:rsidR="00525A83" w:rsidRPr="00F43FB2" w:rsidRDefault="00525A83" w:rsidP="00030337">
            <w:pPr>
              <w:spacing w:before="60" w:after="0" w:line="240" w:lineRule="auto"/>
              <w:jc w:val="center"/>
              <w:rPr>
                <w:rFonts w:ascii="Arial" w:eastAsia="Times New Roman" w:hAnsi="Arial" w:cs="Arial"/>
                <w:b/>
                <w:bCs/>
                <w:color w:val="FFFFFF" w:themeColor="background1"/>
                <w:lang w:eastAsia="en-NZ"/>
              </w:rPr>
            </w:pPr>
            <w:r w:rsidRPr="00F43FB2">
              <w:rPr>
                <w:rFonts w:ascii="Arial" w:eastAsia="Times New Roman" w:hAnsi="Arial" w:cs="Arial"/>
                <w:b/>
                <w:bCs/>
                <w:color w:val="FFFFFF" w:themeColor="background1"/>
                <w:lang w:eastAsia="en-NZ"/>
              </w:rPr>
              <w:t>Variance commentary</w:t>
            </w:r>
          </w:p>
        </w:tc>
      </w:tr>
      <w:tr w:rsidR="00525A83" w:rsidRPr="001244BB" w:rsidTr="00F43FB2">
        <w:trPr>
          <w:trHeight w:val="300"/>
        </w:trPr>
        <w:tc>
          <w:tcPr>
            <w:tcW w:w="14175" w:type="dxa"/>
            <w:gridSpan w:val="7"/>
            <w:tcBorders>
              <w:top w:val="nil"/>
              <w:bottom w:val="nil"/>
            </w:tcBorders>
            <w:shd w:val="clear" w:color="auto" w:fill="EAF1DD" w:themeFill="accent3" w:themeFillTint="33"/>
            <w:noWrap/>
            <w:vAlign w:val="bottom"/>
            <w:hideMark/>
          </w:tcPr>
          <w:p w:rsidR="00525A83" w:rsidRPr="00AF0743" w:rsidRDefault="00525A83" w:rsidP="00030337">
            <w:pPr>
              <w:spacing w:after="0" w:line="240" w:lineRule="auto"/>
              <w:rPr>
                <w:rFonts w:ascii="Arial" w:eastAsia="Times New Roman" w:hAnsi="Arial" w:cs="Arial"/>
                <w:b/>
                <w:bCs/>
                <w:color w:val="000000"/>
                <w:sz w:val="20"/>
                <w:lang w:eastAsia="en-NZ"/>
              </w:rPr>
            </w:pPr>
            <w:r w:rsidRPr="001244BB">
              <w:rPr>
                <w:rFonts w:ascii="Arial" w:eastAsia="Times New Roman" w:hAnsi="Arial" w:cs="Arial"/>
                <w:b/>
                <w:bCs/>
                <w:color w:val="000000"/>
                <w:sz w:val="20"/>
                <w:lang w:eastAsia="en-NZ"/>
              </w:rPr>
              <w:t>2.1 Gardens, beaches and green open spaces</w:t>
            </w:r>
          </w:p>
        </w:tc>
      </w:tr>
      <w:tr w:rsidR="00525A83" w:rsidRPr="001244BB" w:rsidTr="00F43FB2">
        <w:trPr>
          <w:trHeight w:val="510"/>
        </w:trPr>
        <w:tc>
          <w:tcPr>
            <w:tcW w:w="3828" w:type="dxa"/>
            <w:tcBorders>
              <w:top w:val="nil"/>
            </w:tcBorders>
            <w:shd w:val="clear" w:color="auto" w:fill="auto"/>
            <w:noWrap/>
            <w:vAlign w:val="center"/>
            <w:hideMark/>
          </w:tcPr>
          <w:p w:rsidR="00525A83" w:rsidRPr="001244BB" w:rsidRDefault="00525A83" w:rsidP="00030337">
            <w:pPr>
              <w:spacing w:after="0" w:line="240" w:lineRule="auto"/>
              <w:rPr>
                <w:rFonts w:ascii="Arial" w:eastAsia="Times New Roman" w:hAnsi="Arial" w:cs="Arial"/>
                <w:color w:val="000000"/>
                <w:sz w:val="20"/>
                <w:lang w:eastAsia="en-NZ"/>
              </w:rPr>
            </w:pPr>
            <w:r w:rsidRPr="001244BB">
              <w:rPr>
                <w:rFonts w:ascii="Arial" w:eastAsia="Times New Roman" w:hAnsi="Arial" w:cs="Arial"/>
                <w:color w:val="000000"/>
                <w:sz w:val="20"/>
                <w:lang w:eastAsia="en-NZ"/>
              </w:rPr>
              <w:t>Expenditure</w:t>
            </w:r>
          </w:p>
        </w:tc>
        <w:tc>
          <w:tcPr>
            <w:tcW w:w="1134" w:type="dxa"/>
            <w:tcBorders>
              <w:top w:val="nil"/>
            </w:tcBorders>
            <w:shd w:val="clear" w:color="auto" w:fill="auto"/>
            <w:noWrap/>
            <w:vAlign w:val="center"/>
            <w:hideMark/>
          </w:tcPr>
          <w:p w:rsidR="00525A83" w:rsidRPr="001244BB" w:rsidRDefault="00525A83" w:rsidP="00030337">
            <w:pPr>
              <w:spacing w:after="0" w:line="240" w:lineRule="auto"/>
              <w:rPr>
                <w:rFonts w:ascii="Arial" w:eastAsia="Times New Roman" w:hAnsi="Arial" w:cs="Arial"/>
                <w:color w:val="000000"/>
                <w:sz w:val="20"/>
                <w:lang w:eastAsia="en-NZ"/>
              </w:rPr>
            </w:pPr>
            <w:r w:rsidRPr="001244BB">
              <w:rPr>
                <w:rFonts w:ascii="Arial" w:eastAsia="Times New Roman" w:hAnsi="Arial" w:cs="Arial"/>
                <w:color w:val="000000"/>
                <w:sz w:val="20"/>
                <w:lang w:eastAsia="en-NZ"/>
              </w:rPr>
              <w:t>37,640</w:t>
            </w:r>
          </w:p>
        </w:tc>
        <w:tc>
          <w:tcPr>
            <w:tcW w:w="1134" w:type="dxa"/>
            <w:tcBorders>
              <w:top w:val="nil"/>
            </w:tcBorders>
            <w:shd w:val="clear" w:color="auto" w:fill="auto"/>
            <w:noWrap/>
            <w:vAlign w:val="center"/>
            <w:hideMark/>
          </w:tcPr>
          <w:p w:rsidR="00525A83" w:rsidRPr="001244BB" w:rsidRDefault="00525A83" w:rsidP="00C30FFB">
            <w:pPr>
              <w:spacing w:after="0" w:line="240" w:lineRule="auto"/>
              <w:rPr>
                <w:rFonts w:ascii="Arial" w:eastAsia="Times New Roman" w:hAnsi="Arial" w:cs="Arial"/>
                <w:color w:val="000000"/>
                <w:sz w:val="20"/>
                <w:lang w:eastAsia="en-NZ"/>
              </w:rPr>
            </w:pPr>
            <w:r w:rsidRPr="001244BB">
              <w:rPr>
                <w:rFonts w:ascii="Arial" w:eastAsia="Times New Roman" w:hAnsi="Arial" w:cs="Arial"/>
                <w:color w:val="000000"/>
                <w:sz w:val="20"/>
                <w:lang w:eastAsia="en-NZ"/>
              </w:rPr>
              <w:t>39,</w:t>
            </w:r>
            <w:r w:rsidR="00C30FFB" w:rsidRPr="001244BB">
              <w:rPr>
                <w:rFonts w:ascii="Arial" w:eastAsia="Times New Roman" w:hAnsi="Arial" w:cs="Arial"/>
                <w:color w:val="000000"/>
                <w:sz w:val="20"/>
                <w:lang w:eastAsia="en-NZ"/>
              </w:rPr>
              <w:t>08</w:t>
            </w:r>
            <w:r w:rsidR="00C30FFB">
              <w:rPr>
                <w:rFonts w:ascii="Arial" w:eastAsia="Times New Roman" w:hAnsi="Arial" w:cs="Arial"/>
                <w:color w:val="000000"/>
                <w:sz w:val="20"/>
                <w:lang w:eastAsia="en-NZ"/>
              </w:rPr>
              <w:t>8</w:t>
            </w:r>
          </w:p>
        </w:tc>
        <w:tc>
          <w:tcPr>
            <w:tcW w:w="1134" w:type="dxa"/>
            <w:tcBorders>
              <w:top w:val="nil"/>
            </w:tcBorders>
            <w:shd w:val="clear" w:color="000000" w:fill="E8E8E8"/>
            <w:noWrap/>
            <w:vAlign w:val="center"/>
            <w:hideMark/>
          </w:tcPr>
          <w:p w:rsidR="00525A83" w:rsidRPr="001244BB" w:rsidRDefault="00525A83" w:rsidP="00030337">
            <w:pPr>
              <w:spacing w:after="0" w:line="240" w:lineRule="auto"/>
              <w:rPr>
                <w:rFonts w:ascii="Arial" w:eastAsia="Times New Roman" w:hAnsi="Arial" w:cs="Arial"/>
                <w:color w:val="000000"/>
                <w:sz w:val="20"/>
                <w:lang w:eastAsia="en-NZ"/>
              </w:rPr>
            </w:pPr>
            <w:r w:rsidRPr="001244BB">
              <w:rPr>
                <w:rFonts w:ascii="Arial" w:eastAsia="Times New Roman" w:hAnsi="Arial" w:cs="Arial"/>
                <w:color w:val="000000"/>
                <w:sz w:val="20"/>
                <w:lang w:eastAsia="en-NZ"/>
              </w:rPr>
              <w:t>43,708</w:t>
            </w:r>
          </w:p>
        </w:tc>
        <w:tc>
          <w:tcPr>
            <w:tcW w:w="1134" w:type="dxa"/>
            <w:tcBorders>
              <w:top w:val="nil"/>
            </w:tcBorders>
            <w:shd w:val="clear" w:color="000000" w:fill="E8E8E8"/>
            <w:noWrap/>
            <w:vAlign w:val="center"/>
            <w:hideMark/>
          </w:tcPr>
          <w:p w:rsidR="00525A83" w:rsidRPr="001244BB" w:rsidRDefault="00525A83" w:rsidP="00030337">
            <w:pPr>
              <w:spacing w:after="0" w:line="240" w:lineRule="auto"/>
              <w:rPr>
                <w:rFonts w:ascii="Arial" w:eastAsia="Times New Roman" w:hAnsi="Arial" w:cs="Arial"/>
                <w:color w:val="000000"/>
                <w:sz w:val="20"/>
                <w:lang w:eastAsia="en-NZ"/>
              </w:rPr>
            </w:pPr>
            <w:r w:rsidRPr="001244BB">
              <w:rPr>
                <w:rFonts w:ascii="Arial" w:eastAsia="Times New Roman" w:hAnsi="Arial" w:cs="Arial"/>
                <w:color w:val="000000"/>
                <w:sz w:val="20"/>
                <w:lang w:eastAsia="en-NZ"/>
              </w:rPr>
              <w:t>40,941</w:t>
            </w:r>
          </w:p>
        </w:tc>
        <w:tc>
          <w:tcPr>
            <w:tcW w:w="1134" w:type="dxa"/>
            <w:tcBorders>
              <w:top w:val="nil"/>
            </w:tcBorders>
            <w:shd w:val="clear" w:color="000000" w:fill="E8E8E8"/>
            <w:noWrap/>
            <w:vAlign w:val="center"/>
            <w:hideMark/>
          </w:tcPr>
          <w:p w:rsidR="00525A83" w:rsidRPr="001244BB" w:rsidRDefault="00525A83" w:rsidP="00030337">
            <w:pPr>
              <w:spacing w:after="0" w:line="240" w:lineRule="auto"/>
              <w:rPr>
                <w:rFonts w:ascii="Arial" w:eastAsia="Times New Roman" w:hAnsi="Arial" w:cs="Arial"/>
                <w:color w:val="000000"/>
                <w:sz w:val="20"/>
                <w:lang w:eastAsia="en-NZ"/>
              </w:rPr>
            </w:pPr>
            <w:r w:rsidRPr="001244BB">
              <w:rPr>
                <w:rFonts w:ascii="Arial" w:eastAsia="Times New Roman" w:hAnsi="Arial" w:cs="Arial"/>
                <w:color w:val="000000"/>
                <w:sz w:val="20"/>
                <w:lang w:eastAsia="en-NZ"/>
              </w:rPr>
              <w:t>(2,767)</w:t>
            </w:r>
          </w:p>
        </w:tc>
        <w:tc>
          <w:tcPr>
            <w:tcW w:w="4677" w:type="dxa"/>
            <w:tcBorders>
              <w:top w:val="nil"/>
            </w:tcBorders>
            <w:shd w:val="clear" w:color="auto" w:fill="auto"/>
            <w:vAlign w:val="center"/>
            <w:hideMark/>
          </w:tcPr>
          <w:p w:rsidR="00525A83" w:rsidRPr="001244BB" w:rsidRDefault="00525A83" w:rsidP="00A204D6">
            <w:pPr>
              <w:spacing w:after="0" w:line="240" w:lineRule="auto"/>
              <w:rPr>
                <w:rFonts w:ascii="Arial" w:eastAsia="Times New Roman" w:hAnsi="Arial" w:cs="Arial"/>
                <w:color w:val="000000"/>
                <w:sz w:val="20"/>
                <w:lang w:eastAsia="en-NZ"/>
              </w:rPr>
            </w:pPr>
            <w:r w:rsidRPr="001244BB">
              <w:rPr>
                <w:rFonts w:ascii="Arial" w:eastAsia="Times New Roman" w:hAnsi="Arial" w:cs="Arial"/>
                <w:color w:val="000000"/>
                <w:sz w:val="20"/>
                <w:lang w:eastAsia="en-NZ"/>
              </w:rPr>
              <w:t xml:space="preserve">Predominantly in relation to increased depreciation </w:t>
            </w:r>
            <w:r w:rsidR="00A204D6">
              <w:rPr>
                <w:rFonts w:ascii="Arial" w:eastAsia="Times New Roman" w:hAnsi="Arial" w:cs="Arial"/>
                <w:color w:val="000000"/>
                <w:sz w:val="20"/>
                <w:lang w:eastAsia="en-NZ"/>
              </w:rPr>
              <w:t>because of</w:t>
            </w:r>
            <w:r w:rsidRPr="001244BB">
              <w:rPr>
                <w:rFonts w:ascii="Arial" w:eastAsia="Times New Roman" w:hAnsi="Arial" w:cs="Arial"/>
                <w:color w:val="000000"/>
                <w:sz w:val="20"/>
                <w:lang w:eastAsia="en-NZ"/>
              </w:rPr>
              <w:t xml:space="preserve"> property revaluations</w:t>
            </w:r>
            <w:r w:rsidR="000319A5">
              <w:rPr>
                <w:rFonts w:ascii="Arial" w:eastAsia="Times New Roman" w:hAnsi="Arial" w:cs="Arial"/>
                <w:color w:val="000000"/>
                <w:sz w:val="20"/>
                <w:lang w:eastAsia="en-NZ"/>
              </w:rPr>
              <w:t xml:space="preserve"> </w:t>
            </w:r>
            <w:r w:rsidR="00A204D6">
              <w:rPr>
                <w:rFonts w:ascii="Arial" w:eastAsia="Times New Roman" w:hAnsi="Arial" w:cs="Arial"/>
                <w:color w:val="000000"/>
                <w:sz w:val="20"/>
                <w:lang w:eastAsia="en-NZ"/>
              </w:rPr>
              <w:t>for</w:t>
            </w:r>
            <w:r w:rsidR="000319A5">
              <w:rPr>
                <w:rFonts w:ascii="Arial" w:eastAsia="Times New Roman" w:hAnsi="Arial" w:cs="Arial"/>
                <w:color w:val="000000"/>
                <w:sz w:val="20"/>
                <w:lang w:eastAsia="en-NZ"/>
              </w:rPr>
              <w:t xml:space="preserve"> wharves, sea walls and other such structures.</w:t>
            </w:r>
          </w:p>
        </w:tc>
      </w:tr>
      <w:tr w:rsidR="00525A83" w:rsidRPr="001244BB" w:rsidTr="00F43FB2">
        <w:trPr>
          <w:trHeight w:val="300"/>
        </w:trPr>
        <w:tc>
          <w:tcPr>
            <w:tcW w:w="3828" w:type="dxa"/>
            <w:shd w:val="clear" w:color="auto" w:fill="auto"/>
            <w:noWrap/>
            <w:vAlign w:val="center"/>
            <w:hideMark/>
          </w:tcPr>
          <w:p w:rsidR="00525A83" w:rsidRPr="001244BB" w:rsidRDefault="00525A83" w:rsidP="00030337">
            <w:pPr>
              <w:spacing w:after="0" w:line="240" w:lineRule="auto"/>
              <w:rPr>
                <w:rFonts w:ascii="Arial" w:eastAsia="Times New Roman" w:hAnsi="Arial" w:cs="Arial"/>
                <w:color w:val="000000"/>
                <w:sz w:val="20"/>
                <w:lang w:eastAsia="en-NZ"/>
              </w:rPr>
            </w:pPr>
            <w:r w:rsidRPr="001244BB">
              <w:rPr>
                <w:rFonts w:ascii="Arial" w:eastAsia="Times New Roman" w:hAnsi="Arial" w:cs="Arial"/>
                <w:color w:val="000000"/>
                <w:sz w:val="20"/>
                <w:lang w:eastAsia="en-NZ"/>
              </w:rPr>
              <w:t>Revenue</w:t>
            </w:r>
          </w:p>
        </w:tc>
        <w:tc>
          <w:tcPr>
            <w:tcW w:w="1134" w:type="dxa"/>
            <w:shd w:val="clear" w:color="auto" w:fill="auto"/>
            <w:noWrap/>
            <w:vAlign w:val="center"/>
            <w:hideMark/>
          </w:tcPr>
          <w:p w:rsidR="00525A83" w:rsidRPr="001244BB" w:rsidRDefault="00525A83" w:rsidP="00030337">
            <w:pPr>
              <w:spacing w:after="0" w:line="240" w:lineRule="auto"/>
              <w:rPr>
                <w:rFonts w:ascii="Arial" w:eastAsia="Times New Roman" w:hAnsi="Arial" w:cs="Arial"/>
                <w:color w:val="000000"/>
                <w:sz w:val="20"/>
                <w:lang w:eastAsia="en-NZ"/>
              </w:rPr>
            </w:pPr>
            <w:r w:rsidRPr="001244BB">
              <w:rPr>
                <w:rFonts w:ascii="Arial" w:eastAsia="Times New Roman" w:hAnsi="Arial" w:cs="Arial"/>
                <w:color w:val="000000"/>
                <w:sz w:val="20"/>
                <w:lang w:eastAsia="en-NZ"/>
              </w:rPr>
              <w:t>(4,317)</w:t>
            </w:r>
          </w:p>
        </w:tc>
        <w:tc>
          <w:tcPr>
            <w:tcW w:w="1134" w:type="dxa"/>
            <w:shd w:val="clear" w:color="auto" w:fill="auto"/>
            <w:noWrap/>
            <w:vAlign w:val="center"/>
            <w:hideMark/>
          </w:tcPr>
          <w:p w:rsidR="00525A83" w:rsidRPr="001244BB" w:rsidRDefault="00525A83" w:rsidP="00C30FFB">
            <w:pPr>
              <w:spacing w:after="0" w:line="240" w:lineRule="auto"/>
              <w:rPr>
                <w:rFonts w:ascii="Arial" w:eastAsia="Times New Roman" w:hAnsi="Arial" w:cs="Arial"/>
                <w:color w:val="000000"/>
                <w:sz w:val="20"/>
                <w:lang w:eastAsia="en-NZ"/>
              </w:rPr>
            </w:pPr>
            <w:r w:rsidRPr="001244BB">
              <w:rPr>
                <w:rFonts w:ascii="Arial" w:eastAsia="Times New Roman" w:hAnsi="Arial" w:cs="Arial"/>
                <w:color w:val="000000"/>
                <w:sz w:val="20"/>
                <w:lang w:eastAsia="en-NZ"/>
              </w:rPr>
              <w:t>(3,</w:t>
            </w:r>
            <w:r w:rsidR="00C30FFB" w:rsidRPr="001244BB">
              <w:rPr>
                <w:rFonts w:ascii="Arial" w:eastAsia="Times New Roman" w:hAnsi="Arial" w:cs="Arial"/>
                <w:color w:val="000000"/>
                <w:sz w:val="20"/>
                <w:lang w:eastAsia="en-NZ"/>
              </w:rPr>
              <w:t>98</w:t>
            </w:r>
            <w:r w:rsidR="00C30FFB">
              <w:rPr>
                <w:rFonts w:ascii="Arial" w:eastAsia="Times New Roman" w:hAnsi="Arial" w:cs="Arial"/>
                <w:color w:val="000000"/>
                <w:sz w:val="20"/>
                <w:lang w:eastAsia="en-NZ"/>
              </w:rPr>
              <w:t>0</w:t>
            </w:r>
            <w:r w:rsidRPr="001244BB">
              <w:rPr>
                <w:rFonts w:ascii="Arial" w:eastAsia="Times New Roman" w:hAnsi="Arial" w:cs="Arial"/>
                <w:color w:val="000000"/>
                <w:sz w:val="20"/>
                <w:lang w:eastAsia="en-NZ"/>
              </w:rPr>
              <w:t>)</w:t>
            </w:r>
          </w:p>
        </w:tc>
        <w:tc>
          <w:tcPr>
            <w:tcW w:w="1134" w:type="dxa"/>
            <w:shd w:val="clear" w:color="000000" w:fill="E8E8E8"/>
            <w:noWrap/>
            <w:vAlign w:val="center"/>
            <w:hideMark/>
          </w:tcPr>
          <w:p w:rsidR="00525A83" w:rsidRPr="001244BB" w:rsidRDefault="00525A83" w:rsidP="00030337">
            <w:pPr>
              <w:spacing w:after="0" w:line="240" w:lineRule="auto"/>
              <w:rPr>
                <w:rFonts w:ascii="Arial" w:eastAsia="Times New Roman" w:hAnsi="Arial" w:cs="Arial"/>
                <w:color w:val="000000"/>
                <w:sz w:val="20"/>
                <w:lang w:eastAsia="en-NZ"/>
              </w:rPr>
            </w:pPr>
            <w:r w:rsidRPr="001244BB">
              <w:rPr>
                <w:rFonts w:ascii="Arial" w:eastAsia="Times New Roman" w:hAnsi="Arial" w:cs="Arial"/>
                <w:color w:val="000000"/>
                <w:sz w:val="20"/>
                <w:lang w:eastAsia="en-NZ"/>
              </w:rPr>
              <w:t>(4,574)</w:t>
            </w:r>
          </w:p>
        </w:tc>
        <w:tc>
          <w:tcPr>
            <w:tcW w:w="1134" w:type="dxa"/>
            <w:shd w:val="clear" w:color="000000" w:fill="E8E8E8"/>
            <w:noWrap/>
            <w:vAlign w:val="center"/>
            <w:hideMark/>
          </w:tcPr>
          <w:p w:rsidR="00525A83" w:rsidRPr="001244BB" w:rsidRDefault="00525A83" w:rsidP="00030337">
            <w:pPr>
              <w:spacing w:after="0" w:line="240" w:lineRule="auto"/>
              <w:rPr>
                <w:rFonts w:ascii="Arial" w:eastAsia="Times New Roman" w:hAnsi="Arial" w:cs="Arial"/>
                <w:color w:val="000000"/>
                <w:sz w:val="20"/>
                <w:lang w:eastAsia="en-NZ"/>
              </w:rPr>
            </w:pPr>
            <w:r w:rsidRPr="001244BB">
              <w:rPr>
                <w:rFonts w:ascii="Arial" w:eastAsia="Times New Roman" w:hAnsi="Arial" w:cs="Arial"/>
                <w:color w:val="000000"/>
                <w:sz w:val="20"/>
                <w:lang w:eastAsia="en-NZ"/>
              </w:rPr>
              <w:t>(3,063)</w:t>
            </w:r>
          </w:p>
        </w:tc>
        <w:tc>
          <w:tcPr>
            <w:tcW w:w="1134" w:type="dxa"/>
            <w:shd w:val="clear" w:color="000000" w:fill="E8E8E8"/>
            <w:noWrap/>
            <w:vAlign w:val="center"/>
            <w:hideMark/>
          </w:tcPr>
          <w:p w:rsidR="00525A83" w:rsidRPr="001244BB" w:rsidRDefault="00525A83" w:rsidP="00030337">
            <w:pPr>
              <w:spacing w:after="0" w:line="240" w:lineRule="auto"/>
              <w:rPr>
                <w:rFonts w:ascii="Arial" w:eastAsia="Times New Roman" w:hAnsi="Arial" w:cs="Arial"/>
                <w:color w:val="000000"/>
                <w:sz w:val="20"/>
                <w:lang w:eastAsia="en-NZ"/>
              </w:rPr>
            </w:pPr>
            <w:r w:rsidRPr="001244BB">
              <w:rPr>
                <w:rFonts w:ascii="Arial" w:eastAsia="Times New Roman" w:hAnsi="Arial" w:cs="Arial"/>
                <w:color w:val="000000"/>
                <w:sz w:val="20"/>
                <w:lang w:eastAsia="en-NZ"/>
              </w:rPr>
              <w:t>1,511</w:t>
            </w:r>
          </w:p>
        </w:tc>
        <w:tc>
          <w:tcPr>
            <w:tcW w:w="4677" w:type="dxa"/>
            <w:shd w:val="clear" w:color="auto" w:fill="auto"/>
            <w:vAlign w:val="center"/>
            <w:hideMark/>
          </w:tcPr>
          <w:p w:rsidR="00525A83" w:rsidRPr="001244BB" w:rsidRDefault="00525A83" w:rsidP="00030337">
            <w:pPr>
              <w:spacing w:after="0" w:line="240" w:lineRule="auto"/>
              <w:rPr>
                <w:rFonts w:ascii="Arial" w:eastAsia="Times New Roman" w:hAnsi="Arial" w:cs="Arial"/>
                <w:color w:val="000000"/>
                <w:sz w:val="20"/>
                <w:lang w:eastAsia="en-NZ"/>
              </w:rPr>
            </w:pPr>
            <w:r w:rsidRPr="001244BB">
              <w:rPr>
                <w:rFonts w:ascii="Arial" w:eastAsia="Times New Roman" w:hAnsi="Arial" w:cs="Arial"/>
                <w:color w:val="000000"/>
                <w:sz w:val="20"/>
                <w:lang w:eastAsia="en-NZ"/>
              </w:rPr>
              <w:t>Unplanned vested asset income.</w:t>
            </w:r>
          </w:p>
        </w:tc>
      </w:tr>
      <w:tr w:rsidR="00525A83" w:rsidRPr="001244BB" w:rsidTr="00F43FB2">
        <w:trPr>
          <w:trHeight w:val="300"/>
        </w:trPr>
        <w:tc>
          <w:tcPr>
            <w:tcW w:w="3828" w:type="dxa"/>
            <w:tcBorders>
              <w:bottom w:val="nil"/>
            </w:tcBorders>
            <w:shd w:val="clear" w:color="auto" w:fill="auto"/>
            <w:noWrap/>
            <w:vAlign w:val="center"/>
            <w:hideMark/>
          </w:tcPr>
          <w:p w:rsidR="00525A83" w:rsidRPr="001244BB" w:rsidRDefault="00525A83" w:rsidP="00030337">
            <w:pPr>
              <w:spacing w:after="0" w:line="240" w:lineRule="auto"/>
              <w:rPr>
                <w:rFonts w:ascii="Arial" w:eastAsia="Times New Roman" w:hAnsi="Arial" w:cs="Arial"/>
                <w:color w:val="000000"/>
                <w:sz w:val="20"/>
                <w:lang w:eastAsia="en-NZ"/>
              </w:rPr>
            </w:pPr>
            <w:r w:rsidRPr="001244BB">
              <w:rPr>
                <w:rFonts w:ascii="Arial" w:eastAsia="Times New Roman" w:hAnsi="Arial" w:cs="Arial"/>
                <w:color w:val="000000"/>
                <w:sz w:val="20"/>
                <w:lang w:eastAsia="en-NZ"/>
              </w:rPr>
              <w:t>Net Expenditure</w:t>
            </w:r>
          </w:p>
        </w:tc>
        <w:tc>
          <w:tcPr>
            <w:tcW w:w="1134" w:type="dxa"/>
            <w:tcBorders>
              <w:bottom w:val="nil"/>
            </w:tcBorders>
            <w:shd w:val="clear" w:color="auto" w:fill="auto"/>
            <w:noWrap/>
            <w:vAlign w:val="center"/>
            <w:hideMark/>
          </w:tcPr>
          <w:p w:rsidR="00525A83" w:rsidRPr="001244BB" w:rsidRDefault="00525A83" w:rsidP="00030337">
            <w:pPr>
              <w:spacing w:after="0" w:line="240" w:lineRule="auto"/>
              <w:rPr>
                <w:rFonts w:ascii="Arial" w:eastAsia="Times New Roman" w:hAnsi="Arial" w:cs="Arial"/>
                <w:color w:val="000000"/>
                <w:sz w:val="20"/>
                <w:lang w:eastAsia="en-NZ"/>
              </w:rPr>
            </w:pPr>
            <w:r w:rsidRPr="001244BB">
              <w:rPr>
                <w:rFonts w:ascii="Arial" w:eastAsia="Times New Roman" w:hAnsi="Arial" w:cs="Arial"/>
                <w:color w:val="000000"/>
                <w:sz w:val="20"/>
                <w:lang w:eastAsia="en-NZ"/>
              </w:rPr>
              <w:t>33,323</w:t>
            </w:r>
          </w:p>
        </w:tc>
        <w:tc>
          <w:tcPr>
            <w:tcW w:w="1134" w:type="dxa"/>
            <w:tcBorders>
              <w:bottom w:val="nil"/>
            </w:tcBorders>
            <w:shd w:val="clear" w:color="auto" w:fill="auto"/>
            <w:noWrap/>
            <w:vAlign w:val="center"/>
            <w:hideMark/>
          </w:tcPr>
          <w:p w:rsidR="00525A83" w:rsidRPr="001244BB" w:rsidRDefault="00525A83" w:rsidP="00C30FFB">
            <w:pPr>
              <w:spacing w:after="0" w:line="240" w:lineRule="auto"/>
              <w:rPr>
                <w:rFonts w:ascii="Arial" w:eastAsia="Times New Roman" w:hAnsi="Arial" w:cs="Arial"/>
                <w:color w:val="000000"/>
                <w:sz w:val="20"/>
                <w:lang w:eastAsia="en-NZ"/>
              </w:rPr>
            </w:pPr>
            <w:r w:rsidRPr="001244BB">
              <w:rPr>
                <w:rFonts w:ascii="Arial" w:eastAsia="Times New Roman" w:hAnsi="Arial" w:cs="Arial"/>
                <w:color w:val="000000"/>
                <w:sz w:val="20"/>
                <w:lang w:eastAsia="en-NZ"/>
              </w:rPr>
              <w:t>35,</w:t>
            </w:r>
            <w:r w:rsidR="00C30FFB" w:rsidRPr="001244BB">
              <w:rPr>
                <w:rFonts w:ascii="Arial" w:eastAsia="Times New Roman" w:hAnsi="Arial" w:cs="Arial"/>
                <w:color w:val="000000"/>
                <w:sz w:val="20"/>
                <w:lang w:eastAsia="en-NZ"/>
              </w:rPr>
              <w:t>10</w:t>
            </w:r>
            <w:r w:rsidR="00C30FFB">
              <w:rPr>
                <w:rFonts w:ascii="Arial" w:eastAsia="Times New Roman" w:hAnsi="Arial" w:cs="Arial"/>
                <w:color w:val="000000"/>
                <w:sz w:val="20"/>
                <w:lang w:eastAsia="en-NZ"/>
              </w:rPr>
              <w:t>8</w:t>
            </w:r>
          </w:p>
        </w:tc>
        <w:tc>
          <w:tcPr>
            <w:tcW w:w="1134" w:type="dxa"/>
            <w:tcBorders>
              <w:bottom w:val="nil"/>
            </w:tcBorders>
            <w:shd w:val="clear" w:color="000000" w:fill="E8E8E8"/>
            <w:noWrap/>
            <w:vAlign w:val="center"/>
            <w:hideMark/>
          </w:tcPr>
          <w:p w:rsidR="00525A83" w:rsidRPr="001244BB" w:rsidRDefault="00525A83" w:rsidP="00030337">
            <w:pPr>
              <w:spacing w:after="0" w:line="240" w:lineRule="auto"/>
              <w:rPr>
                <w:rFonts w:ascii="Arial" w:eastAsia="Times New Roman" w:hAnsi="Arial" w:cs="Arial"/>
                <w:color w:val="000000"/>
                <w:sz w:val="20"/>
                <w:lang w:eastAsia="en-NZ"/>
              </w:rPr>
            </w:pPr>
            <w:r w:rsidRPr="001244BB">
              <w:rPr>
                <w:rFonts w:ascii="Arial" w:eastAsia="Times New Roman" w:hAnsi="Arial" w:cs="Arial"/>
                <w:color w:val="000000"/>
                <w:sz w:val="20"/>
                <w:lang w:eastAsia="en-NZ"/>
              </w:rPr>
              <w:t>39,134</w:t>
            </w:r>
          </w:p>
        </w:tc>
        <w:tc>
          <w:tcPr>
            <w:tcW w:w="1134" w:type="dxa"/>
            <w:tcBorders>
              <w:bottom w:val="nil"/>
            </w:tcBorders>
            <w:shd w:val="clear" w:color="000000" w:fill="E8E8E8"/>
            <w:noWrap/>
            <w:vAlign w:val="center"/>
            <w:hideMark/>
          </w:tcPr>
          <w:p w:rsidR="00525A83" w:rsidRPr="001244BB" w:rsidRDefault="00525A83" w:rsidP="00030337">
            <w:pPr>
              <w:spacing w:after="0" w:line="240" w:lineRule="auto"/>
              <w:rPr>
                <w:rFonts w:ascii="Arial" w:eastAsia="Times New Roman" w:hAnsi="Arial" w:cs="Arial"/>
                <w:color w:val="000000"/>
                <w:sz w:val="20"/>
                <w:lang w:eastAsia="en-NZ"/>
              </w:rPr>
            </w:pPr>
            <w:r w:rsidRPr="001244BB">
              <w:rPr>
                <w:rFonts w:ascii="Arial" w:eastAsia="Times New Roman" w:hAnsi="Arial" w:cs="Arial"/>
                <w:color w:val="000000"/>
                <w:sz w:val="20"/>
                <w:lang w:eastAsia="en-NZ"/>
              </w:rPr>
              <w:t>37,878</w:t>
            </w:r>
          </w:p>
        </w:tc>
        <w:tc>
          <w:tcPr>
            <w:tcW w:w="1134" w:type="dxa"/>
            <w:tcBorders>
              <w:bottom w:val="nil"/>
            </w:tcBorders>
            <w:shd w:val="clear" w:color="000000" w:fill="E8E8E8"/>
            <w:noWrap/>
            <w:vAlign w:val="center"/>
            <w:hideMark/>
          </w:tcPr>
          <w:p w:rsidR="00525A83" w:rsidRPr="001244BB" w:rsidRDefault="00525A83" w:rsidP="00030337">
            <w:pPr>
              <w:spacing w:after="0" w:line="240" w:lineRule="auto"/>
              <w:rPr>
                <w:rFonts w:ascii="Arial" w:eastAsia="Times New Roman" w:hAnsi="Arial" w:cs="Arial"/>
                <w:color w:val="000000"/>
                <w:sz w:val="20"/>
                <w:lang w:eastAsia="en-NZ"/>
              </w:rPr>
            </w:pPr>
            <w:r w:rsidRPr="001244BB">
              <w:rPr>
                <w:rFonts w:ascii="Arial" w:eastAsia="Times New Roman" w:hAnsi="Arial" w:cs="Arial"/>
                <w:color w:val="000000"/>
                <w:sz w:val="20"/>
                <w:lang w:eastAsia="en-NZ"/>
              </w:rPr>
              <w:t>(1,256)</w:t>
            </w:r>
          </w:p>
        </w:tc>
        <w:tc>
          <w:tcPr>
            <w:tcW w:w="4677" w:type="dxa"/>
            <w:tcBorders>
              <w:bottom w:val="nil"/>
            </w:tcBorders>
            <w:shd w:val="clear" w:color="auto" w:fill="auto"/>
            <w:vAlign w:val="center"/>
            <w:hideMark/>
          </w:tcPr>
          <w:p w:rsidR="00525A83" w:rsidRPr="001244BB" w:rsidRDefault="00525A83" w:rsidP="00030337">
            <w:pPr>
              <w:spacing w:after="0" w:line="240" w:lineRule="auto"/>
              <w:rPr>
                <w:rFonts w:ascii="Arial" w:eastAsia="Times New Roman" w:hAnsi="Arial" w:cs="Arial"/>
                <w:color w:val="000000"/>
                <w:sz w:val="20"/>
                <w:lang w:eastAsia="en-NZ"/>
              </w:rPr>
            </w:pPr>
            <w:r w:rsidRPr="001244BB">
              <w:rPr>
                <w:rFonts w:ascii="Arial" w:eastAsia="Times New Roman" w:hAnsi="Arial" w:cs="Arial"/>
                <w:color w:val="000000"/>
                <w:sz w:val="20"/>
                <w:lang w:eastAsia="en-NZ"/>
              </w:rPr>
              <w:t> </w:t>
            </w:r>
          </w:p>
        </w:tc>
      </w:tr>
      <w:tr w:rsidR="00525A83" w:rsidRPr="001244BB" w:rsidTr="00F43FB2">
        <w:trPr>
          <w:trHeight w:val="300"/>
        </w:trPr>
        <w:tc>
          <w:tcPr>
            <w:tcW w:w="14175" w:type="dxa"/>
            <w:gridSpan w:val="7"/>
            <w:tcBorders>
              <w:top w:val="nil"/>
              <w:bottom w:val="nil"/>
            </w:tcBorders>
            <w:shd w:val="clear" w:color="auto" w:fill="EAF1DD" w:themeFill="accent3" w:themeFillTint="33"/>
            <w:noWrap/>
            <w:vAlign w:val="bottom"/>
            <w:hideMark/>
          </w:tcPr>
          <w:p w:rsidR="00525A83" w:rsidRPr="00AF0743" w:rsidRDefault="00525A83" w:rsidP="00030337">
            <w:pPr>
              <w:spacing w:after="0" w:line="240" w:lineRule="auto"/>
              <w:rPr>
                <w:rFonts w:ascii="Arial" w:eastAsia="Times New Roman" w:hAnsi="Arial" w:cs="Arial"/>
                <w:b/>
                <w:bCs/>
                <w:color w:val="000000"/>
                <w:sz w:val="20"/>
                <w:lang w:eastAsia="en-NZ"/>
              </w:rPr>
            </w:pPr>
            <w:r w:rsidRPr="001244BB">
              <w:rPr>
                <w:rFonts w:ascii="Arial" w:eastAsia="Times New Roman" w:hAnsi="Arial" w:cs="Arial"/>
                <w:b/>
                <w:bCs/>
                <w:color w:val="000000"/>
                <w:sz w:val="20"/>
                <w:lang w:eastAsia="en-NZ"/>
              </w:rPr>
              <w:t>2.2 Waste reduction and energy conservation</w:t>
            </w:r>
          </w:p>
        </w:tc>
      </w:tr>
      <w:tr w:rsidR="00525A83" w:rsidRPr="001244BB" w:rsidTr="000319A5">
        <w:trPr>
          <w:trHeight w:val="883"/>
        </w:trPr>
        <w:tc>
          <w:tcPr>
            <w:tcW w:w="3828" w:type="dxa"/>
            <w:tcBorders>
              <w:top w:val="nil"/>
            </w:tcBorders>
            <w:shd w:val="clear" w:color="auto" w:fill="auto"/>
            <w:noWrap/>
            <w:hideMark/>
          </w:tcPr>
          <w:p w:rsidR="00525A83" w:rsidRPr="001244BB" w:rsidRDefault="00525A83" w:rsidP="00030337">
            <w:pPr>
              <w:spacing w:after="0"/>
              <w:rPr>
                <w:rFonts w:ascii="Arial" w:eastAsia="Times New Roman" w:hAnsi="Arial" w:cs="Arial"/>
                <w:color w:val="000000"/>
                <w:sz w:val="20"/>
                <w:lang w:eastAsia="en-NZ"/>
              </w:rPr>
            </w:pPr>
            <w:r w:rsidRPr="001244BB">
              <w:rPr>
                <w:rFonts w:ascii="Arial" w:eastAsia="Times New Roman" w:hAnsi="Arial" w:cs="Arial"/>
                <w:color w:val="000000"/>
                <w:sz w:val="20"/>
                <w:lang w:eastAsia="en-NZ"/>
              </w:rPr>
              <w:t>Expenditure</w:t>
            </w:r>
          </w:p>
        </w:tc>
        <w:tc>
          <w:tcPr>
            <w:tcW w:w="1134" w:type="dxa"/>
            <w:tcBorders>
              <w:top w:val="nil"/>
            </w:tcBorders>
            <w:shd w:val="clear" w:color="auto" w:fill="auto"/>
            <w:noWrap/>
            <w:hideMark/>
          </w:tcPr>
          <w:p w:rsidR="00525A83" w:rsidRPr="001244BB" w:rsidRDefault="00525A83" w:rsidP="00030337">
            <w:pPr>
              <w:spacing w:after="0" w:line="240" w:lineRule="auto"/>
              <w:rPr>
                <w:rFonts w:ascii="Arial" w:eastAsia="Times New Roman" w:hAnsi="Arial" w:cs="Arial"/>
                <w:color w:val="000000"/>
                <w:sz w:val="20"/>
                <w:lang w:eastAsia="en-NZ"/>
              </w:rPr>
            </w:pPr>
            <w:r w:rsidRPr="001244BB">
              <w:rPr>
                <w:rFonts w:ascii="Arial" w:eastAsia="Times New Roman" w:hAnsi="Arial" w:cs="Arial"/>
                <w:color w:val="000000"/>
                <w:sz w:val="20"/>
                <w:lang w:eastAsia="en-NZ"/>
              </w:rPr>
              <w:t>15,586</w:t>
            </w:r>
          </w:p>
        </w:tc>
        <w:tc>
          <w:tcPr>
            <w:tcW w:w="1134" w:type="dxa"/>
            <w:tcBorders>
              <w:top w:val="nil"/>
            </w:tcBorders>
            <w:shd w:val="clear" w:color="auto" w:fill="auto"/>
            <w:noWrap/>
            <w:hideMark/>
          </w:tcPr>
          <w:p w:rsidR="00525A83" w:rsidRPr="001244BB" w:rsidRDefault="00525A83" w:rsidP="00030337">
            <w:pPr>
              <w:spacing w:after="0" w:line="240" w:lineRule="auto"/>
              <w:rPr>
                <w:rFonts w:ascii="Arial" w:eastAsia="Times New Roman" w:hAnsi="Arial" w:cs="Arial"/>
                <w:color w:val="000000"/>
                <w:sz w:val="20"/>
                <w:lang w:eastAsia="en-NZ"/>
              </w:rPr>
            </w:pPr>
            <w:r w:rsidRPr="001244BB">
              <w:rPr>
                <w:rFonts w:ascii="Arial" w:eastAsia="Times New Roman" w:hAnsi="Arial" w:cs="Arial"/>
                <w:color w:val="000000"/>
                <w:sz w:val="20"/>
                <w:lang w:eastAsia="en-NZ"/>
              </w:rPr>
              <w:t>19,329</w:t>
            </w:r>
          </w:p>
        </w:tc>
        <w:tc>
          <w:tcPr>
            <w:tcW w:w="1134" w:type="dxa"/>
            <w:tcBorders>
              <w:top w:val="nil"/>
            </w:tcBorders>
            <w:shd w:val="clear" w:color="000000" w:fill="E8E8E8"/>
            <w:noWrap/>
            <w:hideMark/>
          </w:tcPr>
          <w:p w:rsidR="00525A83" w:rsidRPr="001244BB" w:rsidRDefault="00525A83" w:rsidP="00030337">
            <w:pPr>
              <w:spacing w:after="0" w:line="240" w:lineRule="auto"/>
              <w:rPr>
                <w:rFonts w:ascii="Arial" w:eastAsia="Times New Roman" w:hAnsi="Arial" w:cs="Arial"/>
                <w:color w:val="000000"/>
                <w:sz w:val="20"/>
                <w:lang w:eastAsia="en-NZ"/>
              </w:rPr>
            </w:pPr>
            <w:r w:rsidRPr="001244BB">
              <w:rPr>
                <w:rFonts w:ascii="Arial" w:eastAsia="Times New Roman" w:hAnsi="Arial" w:cs="Arial"/>
                <w:color w:val="000000"/>
                <w:sz w:val="20"/>
                <w:lang w:eastAsia="en-NZ"/>
              </w:rPr>
              <w:t>21,263</w:t>
            </w:r>
          </w:p>
        </w:tc>
        <w:tc>
          <w:tcPr>
            <w:tcW w:w="1134" w:type="dxa"/>
            <w:tcBorders>
              <w:top w:val="nil"/>
            </w:tcBorders>
            <w:shd w:val="clear" w:color="000000" w:fill="E8E8E8"/>
            <w:noWrap/>
            <w:hideMark/>
          </w:tcPr>
          <w:p w:rsidR="00525A83" w:rsidRPr="001244BB" w:rsidRDefault="00525A83" w:rsidP="00030337">
            <w:pPr>
              <w:spacing w:after="0" w:line="240" w:lineRule="auto"/>
              <w:rPr>
                <w:rFonts w:ascii="Arial" w:eastAsia="Times New Roman" w:hAnsi="Arial" w:cs="Arial"/>
                <w:color w:val="000000"/>
                <w:sz w:val="20"/>
                <w:lang w:eastAsia="en-NZ"/>
              </w:rPr>
            </w:pPr>
            <w:r w:rsidRPr="001244BB">
              <w:rPr>
                <w:rFonts w:ascii="Arial" w:eastAsia="Times New Roman" w:hAnsi="Arial" w:cs="Arial"/>
                <w:color w:val="000000"/>
                <w:sz w:val="20"/>
                <w:lang w:eastAsia="en-NZ"/>
              </w:rPr>
              <w:t>16,541</w:t>
            </w:r>
          </w:p>
        </w:tc>
        <w:tc>
          <w:tcPr>
            <w:tcW w:w="1134" w:type="dxa"/>
            <w:tcBorders>
              <w:top w:val="nil"/>
            </w:tcBorders>
            <w:shd w:val="clear" w:color="000000" w:fill="E8E8E8"/>
            <w:noWrap/>
            <w:hideMark/>
          </w:tcPr>
          <w:p w:rsidR="00525A83" w:rsidRPr="001244BB" w:rsidRDefault="00525A83" w:rsidP="00030337">
            <w:pPr>
              <w:spacing w:after="0" w:line="240" w:lineRule="auto"/>
              <w:rPr>
                <w:rFonts w:ascii="Arial" w:eastAsia="Times New Roman" w:hAnsi="Arial" w:cs="Arial"/>
                <w:color w:val="000000"/>
                <w:sz w:val="20"/>
                <w:lang w:eastAsia="en-NZ"/>
              </w:rPr>
            </w:pPr>
            <w:r w:rsidRPr="001244BB">
              <w:rPr>
                <w:rFonts w:ascii="Arial" w:eastAsia="Times New Roman" w:hAnsi="Arial" w:cs="Arial"/>
                <w:color w:val="000000"/>
                <w:sz w:val="20"/>
                <w:lang w:eastAsia="en-NZ"/>
              </w:rPr>
              <w:t>(4,722)</w:t>
            </w:r>
          </w:p>
        </w:tc>
        <w:tc>
          <w:tcPr>
            <w:tcW w:w="4677" w:type="dxa"/>
            <w:tcBorders>
              <w:top w:val="nil"/>
            </w:tcBorders>
            <w:shd w:val="clear" w:color="auto" w:fill="auto"/>
            <w:hideMark/>
          </w:tcPr>
          <w:p w:rsidR="00525A83" w:rsidRPr="001244BB" w:rsidRDefault="000319A5" w:rsidP="00030337">
            <w:pPr>
              <w:spacing w:after="0" w:line="240" w:lineRule="auto"/>
              <w:rPr>
                <w:rFonts w:ascii="Arial" w:eastAsia="Times New Roman" w:hAnsi="Arial" w:cs="Arial"/>
                <w:color w:val="000000"/>
                <w:sz w:val="20"/>
                <w:lang w:eastAsia="en-NZ"/>
              </w:rPr>
            </w:pPr>
            <w:r w:rsidRPr="003054B6">
              <w:rPr>
                <w:rFonts w:ascii="Arial" w:eastAsia="Times New Roman" w:hAnsi="Arial" w:cs="Arial"/>
                <w:color w:val="000000"/>
                <w:sz w:val="20"/>
                <w:lang w:eastAsia="en-NZ"/>
              </w:rPr>
              <w:t xml:space="preserve">Over budget due to </w:t>
            </w:r>
            <w:r>
              <w:rPr>
                <w:rFonts w:ascii="Arial" w:eastAsia="Times New Roman" w:hAnsi="Arial" w:cs="Arial"/>
                <w:color w:val="000000"/>
                <w:sz w:val="20"/>
                <w:lang w:eastAsia="en-NZ"/>
              </w:rPr>
              <w:t xml:space="preserve">higher </w:t>
            </w:r>
            <w:r w:rsidRPr="003054B6">
              <w:rPr>
                <w:rFonts w:ascii="Arial" w:eastAsia="Times New Roman" w:hAnsi="Arial" w:cs="Arial"/>
                <w:color w:val="000000"/>
                <w:sz w:val="20"/>
                <w:lang w:eastAsia="en-NZ"/>
              </w:rPr>
              <w:t xml:space="preserve">Emissions Trading Scheme </w:t>
            </w:r>
            <w:r>
              <w:rPr>
                <w:rFonts w:ascii="Arial" w:eastAsia="Times New Roman" w:hAnsi="Arial" w:cs="Arial"/>
                <w:color w:val="000000"/>
                <w:sz w:val="20"/>
                <w:lang w:eastAsia="en-NZ"/>
              </w:rPr>
              <w:t>costs</w:t>
            </w:r>
            <w:r w:rsidR="00A204D6">
              <w:rPr>
                <w:rFonts w:ascii="Arial" w:eastAsia="Times New Roman" w:hAnsi="Arial" w:cs="Arial"/>
                <w:color w:val="000000"/>
                <w:sz w:val="20"/>
                <w:lang w:eastAsia="en-NZ"/>
              </w:rPr>
              <w:t>,</w:t>
            </w:r>
            <w:r w:rsidRPr="003054B6">
              <w:rPr>
                <w:rFonts w:ascii="Arial" w:eastAsia="Times New Roman" w:hAnsi="Arial" w:cs="Arial"/>
                <w:color w:val="000000"/>
                <w:sz w:val="20"/>
                <w:lang w:eastAsia="en-NZ"/>
              </w:rPr>
              <w:t xml:space="preserve"> contract escalations, higher distribution costs for recycling bags and the unplanned rolling out of wheelie bin clips.</w:t>
            </w:r>
          </w:p>
        </w:tc>
      </w:tr>
      <w:tr w:rsidR="00525A83" w:rsidRPr="001244BB" w:rsidTr="00F43FB2">
        <w:trPr>
          <w:trHeight w:val="300"/>
        </w:trPr>
        <w:tc>
          <w:tcPr>
            <w:tcW w:w="3828" w:type="dxa"/>
            <w:shd w:val="clear" w:color="auto" w:fill="auto"/>
            <w:noWrap/>
            <w:hideMark/>
          </w:tcPr>
          <w:p w:rsidR="00525A83" w:rsidRPr="001244BB" w:rsidRDefault="00525A83" w:rsidP="00030337">
            <w:pPr>
              <w:spacing w:after="0" w:line="240" w:lineRule="auto"/>
              <w:rPr>
                <w:rFonts w:ascii="Arial" w:eastAsia="Times New Roman" w:hAnsi="Arial" w:cs="Arial"/>
                <w:color w:val="000000"/>
                <w:sz w:val="20"/>
                <w:lang w:eastAsia="en-NZ"/>
              </w:rPr>
            </w:pPr>
            <w:r w:rsidRPr="001244BB">
              <w:rPr>
                <w:rFonts w:ascii="Arial" w:eastAsia="Times New Roman" w:hAnsi="Arial" w:cs="Arial"/>
                <w:color w:val="000000"/>
                <w:sz w:val="20"/>
                <w:lang w:eastAsia="en-NZ"/>
              </w:rPr>
              <w:t>Revenue</w:t>
            </w:r>
          </w:p>
        </w:tc>
        <w:tc>
          <w:tcPr>
            <w:tcW w:w="1134" w:type="dxa"/>
            <w:shd w:val="clear" w:color="auto" w:fill="auto"/>
            <w:noWrap/>
            <w:hideMark/>
          </w:tcPr>
          <w:p w:rsidR="00525A83" w:rsidRPr="001244BB" w:rsidRDefault="00525A83" w:rsidP="00030337">
            <w:pPr>
              <w:spacing w:after="0" w:line="240" w:lineRule="auto"/>
              <w:rPr>
                <w:rFonts w:ascii="Arial" w:eastAsia="Times New Roman" w:hAnsi="Arial" w:cs="Arial"/>
                <w:color w:val="000000"/>
                <w:sz w:val="20"/>
                <w:lang w:eastAsia="en-NZ"/>
              </w:rPr>
            </w:pPr>
            <w:r w:rsidRPr="001244BB">
              <w:rPr>
                <w:rFonts w:ascii="Arial" w:eastAsia="Times New Roman" w:hAnsi="Arial" w:cs="Arial"/>
                <w:color w:val="000000"/>
                <w:sz w:val="20"/>
                <w:lang w:eastAsia="en-NZ"/>
              </w:rPr>
              <w:t>(20,060)</w:t>
            </w:r>
          </w:p>
        </w:tc>
        <w:tc>
          <w:tcPr>
            <w:tcW w:w="1134" w:type="dxa"/>
            <w:shd w:val="clear" w:color="auto" w:fill="auto"/>
            <w:noWrap/>
            <w:hideMark/>
          </w:tcPr>
          <w:p w:rsidR="00525A83" w:rsidRPr="001244BB" w:rsidRDefault="00525A83" w:rsidP="00030337">
            <w:pPr>
              <w:spacing w:after="0" w:line="240" w:lineRule="auto"/>
              <w:rPr>
                <w:rFonts w:ascii="Arial" w:eastAsia="Times New Roman" w:hAnsi="Arial" w:cs="Arial"/>
                <w:color w:val="000000"/>
                <w:sz w:val="20"/>
                <w:lang w:eastAsia="en-NZ"/>
              </w:rPr>
            </w:pPr>
            <w:r w:rsidRPr="001244BB">
              <w:rPr>
                <w:rFonts w:ascii="Arial" w:eastAsia="Times New Roman" w:hAnsi="Arial" w:cs="Arial"/>
                <w:color w:val="000000"/>
                <w:sz w:val="20"/>
                <w:lang w:eastAsia="en-NZ"/>
              </w:rPr>
              <w:t>(19,163)</w:t>
            </w:r>
          </w:p>
        </w:tc>
        <w:tc>
          <w:tcPr>
            <w:tcW w:w="1134" w:type="dxa"/>
            <w:shd w:val="clear" w:color="000000" w:fill="E8E8E8"/>
            <w:noWrap/>
            <w:hideMark/>
          </w:tcPr>
          <w:p w:rsidR="00525A83" w:rsidRPr="001244BB" w:rsidRDefault="00525A83" w:rsidP="00030337">
            <w:pPr>
              <w:spacing w:after="0" w:line="240" w:lineRule="auto"/>
              <w:rPr>
                <w:rFonts w:ascii="Arial" w:eastAsia="Times New Roman" w:hAnsi="Arial" w:cs="Arial"/>
                <w:color w:val="000000"/>
                <w:sz w:val="20"/>
                <w:lang w:eastAsia="en-NZ"/>
              </w:rPr>
            </w:pPr>
            <w:r w:rsidRPr="001244BB">
              <w:rPr>
                <w:rFonts w:ascii="Arial" w:eastAsia="Times New Roman" w:hAnsi="Arial" w:cs="Arial"/>
                <w:color w:val="000000"/>
                <w:sz w:val="20"/>
                <w:lang w:eastAsia="en-NZ"/>
              </w:rPr>
              <w:t>(18,137)</w:t>
            </w:r>
          </w:p>
        </w:tc>
        <w:tc>
          <w:tcPr>
            <w:tcW w:w="1134" w:type="dxa"/>
            <w:shd w:val="clear" w:color="000000" w:fill="E8E8E8"/>
            <w:noWrap/>
            <w:hideMark/>
          </w:tcPr>
          <w:p w:rsidR="00525A83" w:rsidRPr="001244BB" w:rsidRDefault="00525A83" w:rsidP="00030337">
            <w:pPr>
              <w:spacing w:after="0" w:line="240" w:lineRule="auto"/>
              <w:rPr>
                <w:rFonts w:ascii="Arial" w:eastAsia="Times New Roman" w:hAnsi="Arial" w:cs="Arial"/>
                <w:color w:val="000000"/>
                <w:sz w:val="20"/>
                <w:lang w:eastAsia="en-NZ"/>
              </w:rPr>
            </w:pPr>
            <w:r w:rsidRPr="001244BB">
              <w:rPr>
                <w:rFonts w:ascii="Arial" w:eastAsia="Times New Roman" w:hAnsi="Arial" w:cs="Arial"/>
                <w:color w:val="000000"/>
                <w:sz w:val="20"/>
                <w:lang w:eastAsia="en-NZ"/>
              </w:rPr>
              <w:t>(15,833)</w:t>
            </w:r>
          </w:p>
        </w:tc>
        <w:tc>
          <w:tcPr>
            <w:tcW w:w="1134" w:type="dxa"/>
            <w:shd w:val="clear" w:color="000000" w:fill="E8E8E8"/>
            <w:noWrap/>
            <w:hideMark/>
          </w:tcPr>
          <w:p w:rsidR="00525A83" w:rsidRPr="001244BB" w:rsidRDefault="00525A83" w:rsidP="00030337">
            <w:pPr>
              <w:spacing w:after="0" w:line="240" w:lineRule="auto"/>
              <w:rPr>
                <w:rFonts w:ascii="Arial" w:eastAsia="Times New Roman" w:hAnsi="Arial" w:cs="Arial"/>
                <w:color w:val="000000"/>
                <w:sz w:val="20"/>
                <w:lang w:eastAsia="en-NZ"/>
              </w:rPr>
            </w:pPr>
            <w:r w:rsidRPr="001244BB">
              <w:rPr>
                <w:rFonts w:ascii="Arial" w:eastAsia="Times New Roman" w:hAnsi="Arial" w:cs="Arial"/>
                <w:color w:val="000000"/>
                <w:sz w:val="20"/>
                <w:lang w:eastAsia="en-NZ"/>
              </w:rPr>
              <w:t>2,303</w:t>
            </w:r>
          </w:p>
        </w:tc>
        <w:tc>
          <w:tcPr>
            <w:tcW w:w="4677" w:type="dxa"/>
            <w:shd w:val="clear" w:color="auto" w:fill="auto"/>
            <w:hideMark/>
          </w:tcPr>
          <w:p w:rsidR="00525A83" w:rsidRPr="001244BB" w:rsidRDefault="00525A83" w:rsidP="00030337">
            <w:pPr>
              <w:spacing w:after="0" w:line="240" w:lineRule="auto"/>
              <w:rPr>
                <w:rFonts w:ascii="Arial" w:eastAsia="Times New Roman" w:hAnsi="Arial" w:cs="Arial"/>
                <w:color w:val="000000"/>
                <w:sz w:val="20"/>
                <w:lang w:eastAsia="en-NZ"/>
              </w:rPr>
            </w:pPr>
          </w:p>
        </w:tc>
      </w:tr>
      <w:tr w:rsidR="00525A83" w:rsidRPr="001244BB" w:rsidTr="00F43FB2">
        <w:trPr>
          <w:trHeight w:val="300"/>
        </w:trPr>
        <w:tc>
          <w:tcPr>
            <w:tcW w:w="3828" w:type="dxa"/>
            <w:tcBorders>
              <w:bottom w:val="nil"/>
            </w:tcBorders>
            <w:shd w:val="clear" w:color="auto" w:fill="auto"/>
            <w:noWrap/>
            <w:hideMark/>
          </w:tcPr>
          <w:p w:rsidR="00525A83" w:rsidRPr="001244BB" w:rsidRDefault="00525A83" w:rsidP="00030337">
            <w:pPr>
              <w:spacing w:after="0" w:line="240" w:lineRule="auto"/>
              <w:rPr>
                <w:rFonts w:ascii="Arial" w:eastAsia="Times New Roman" w:hAnsi="Arial" w:cs="Arial"/>
                <w:color w:val="000000"/>
                <w:sz w:val="20"/>
                <w:lang w:eastAsia="en-NZ"/>
              </w:rPr>
            </w:pPr>
            <w:r w:rsidRPr="001244BB">
              <w:rPr>
                <w:rFonts w:ascii="Arial" w:eastAsia="Times New Roman" w:hAnsi="Arial" w:cs="Arial"/>
                <w:color w:val="000000"/>
                <w:sz w:val="20"/>
                <w:lang w:eastAsia="en-NZ"/>
              </w:rPr>
              <w:t>Net Revenue</w:t>
            </w:r>
          </w:p>
        </w:tc>
        <w:tc>
          <w:tcPr>
            <w:tcW w:w="1134" w:type="dxa"/>
            <w:tcBorders>
              <w:bottom w:val="nil"/>
            </w:tcBorders>
            <w:shd w:val="clear" w:color="auto" w:fill="auto"/>
            <w:noWrap/>
            <w:hideMark/>
          </w:tcPr>
          <w:p w:rsidR="00525A83" w:rsidRPr="001244BB" w:rsidRDefault="00525A83" w:rsidP="00030337">
            <w:pPr>
              <w:spacing w:after="0" w:line="240" w:lineRule="auto"/>
              <w:rPr>
                <w:rFonts w:ascii="Arial" w:eastAsia="Times New Roman" w:hAnsi="Arial" w:cs="Arial"/>
                <w:color w:val="000000"/>
                <w:sz w:val="20"/>
                <w:lang w:eastAsia="en-NZ"/>
              </w:rPr>
            </w:pPr>
            <w:r w:rsidRPr="001244BB">
              <w:rPr>
                <w:rFonts w:ascii="Arial" w:eastAsia="Times New Roman" w:hAnsi="Arial" w:cs="Arial"/>
                <w:color w:val="000000"/>
                <w:sz w:val="20"/>
                <w:lang w:eastAsia="en-NZ"/>
              </w:rPr>
              <w:t>(4,475)</w:t>
            </w:r>
          </w:p>
        </w:tc>
        <w:tc>
          <w:tcPr>
            <w:tcW w:w="1134" w:type="dxa"/>
            <w:tcBorders>
              <w:bottom w:val="nil"/>
            </w:tcBorders>
            <w:shd w:val="clear" w:color="auto" w:fill="auto"/>
            <w:noWrap/>
            <w:hideMark/>
          </w:tcPr>
          <w:p w:rsidR="00525A83" w:rsidRPr="001244BB" w:rsidRDefault="00525A83" w:rsidP="00030337">
            <w:pPr>
              <w:spacing w:after="0" w:line="240" w:lineRule="auto"/>
              <w:rPr>
                <w:rFonts w:ascii="Arial" w:eastAsia="Times New Roman" w:hAnsi="Arial" w:cs="Arial"/>
                <w:color w:val="000000"/>
                <w:sz w:val="20"/>
                <w:lang w:eastAsia="en-NZ"/>
              </w:rPr>
            </w:pPr>
            <w:r w:rsidRPr="001244BB">
              <w:rPr>
                <w:rFonts w:ascii="Arial" w:eastAsia="Times New Roman" w:hAnsi="Arial" w:cs="Arial"/>
                <w:color w:val="000000"/>
                <w:sz w:val="20"/>
                <w:lang w:eastAsia="en-NZ"/>
              </w:rPr>
              <w:t>166</w:t>
            </w:r>
          </w:p>
        </w:tc>
        <w:tc>
          <w:tcPr>
            <w:tcW w:w="1134" w:type="dxa"/>
            <w:tcBorders>
              <w:bottom w:val="nil"/>
            </w:tcBorders>
            <w:shd w:val="clear" w:color="000000" w:fill="E8E8E8"/>
            <w:noWrap/>
            <w:hideMark/>
          </w:tcPr>
          <w:p w:rsidR="00525A83" w:rsidRPr="001244BB" w:rsidRDefault="00525A83" w:rsidP="00030337">
            <w:pPr>
              <w:spacing w:after="0" w:line="240" w:lineRule="auto"/>
              <w:rPr>
                <w:rFonts w:ascii="Arial" w:eastAsia="Times New Roman" w:hAnsi="Arial" w:cs="Arial"/>
                <w:color w:val="000000"/>
                <w:sz w:val="20"/>
                <w:lang w:eastAsia="en-NZ"/>
              </w:rPr>
            </w:pPr>
            <w:r w:rsidRPr="001244BB">
              <w:rPr>
                <w:rFonts w:ascii="Arial" w:eastAsia="Times New Roman" w:hAnsi="Arial" w:cs="Arial"/>
                <w:color w:val="000000"/>
                <w:sz w:val="20"/>
                <w:lang w:eastAsia="en-NZ"/>
              </w:rPr>
              <w:t>3,126</w:t>
            </w:r>
          </w:p>
        </w:tc>
        <w:tc>
          <w:tcPr>
            <w:tcW w:w="1134" w:type="dxa"/>
            <w:tcBorders>
              <w:bottom w:val="nil"/>
            </w:tcBorders>
            <w:shd w:val="clear" w:color="000000" w:fill="E8E8E8"/>
            <w:noWrap/>
            <w:hideMark/>
          </w:tcPr>
          <w:p w:rsidR="00525A83" w:rsidRPr="001244BB" w:rsidRDefault="00525A83" w:rsidP="00030337">
            <w:pPr>
              <w:spacing w:after="0" w:line="240" w:lineRule="auto"/>
              <w:rPr>
                <w:rFonts w:ascii="Arial" w:eastAsia="Times New Roman" w:hAnsi="Arial" w:cs="Arial"/>
                <w:color w:val="000000"/>
                <w:sz w:val="20"/>
                <w:lang w:eastAsia="en-NZ"/>
              </w:rPr>
            </w:pPr>
            <w:r w:rsidRPr="001244BB">
              <w:rPr>
                <w:rFonts w:ascii="Arial" w:eastAsia="Times New Roman" w:hAnsi="Arial" w:cs="Arial"/>
                <w:color w:val="000000"/>
                <w:sz w:val="20"/>
                <w:lang w:eastAsia="en-NZ"/>
              </w:rPr>
              <w:t>708</w:t>
            </w:r>
          </w:p>
        </w:tc>
        <w:tc>
          <w:tcPr>
            <w:tcW w:w="1134" w:type="dxa"/>
            <w:tcBorders>
              <w:bottom w:val="nil"/>
            </w:tcBorders>
            <w:shd w:val="clear" w:color="000000" w:fill="E8E8E8"/>
            <w:noWrap/>
            <w:hideMark/>
          </w:tcPr>
          <w:p w:rsidR="00525A83" w:rsidRPr="001244BB" w:rsidRDefault="00525A83" w:rsidP="00030337">
            <w:pPr>
              <w:spacing w:after="0" w:line="240" w:lineRule="auto"/>
              <w:rPr>
                <w:rFonts w:ascii="Arial" w:eastAsia="Times New Roman" w:hAnsi="Arial" w:cs="Arial"/>
                <w:color w:val="000000"/>
                <w:sz w:val="20"/>
                <w:lang w:eastAsia="en-NZ"/>
              </w:rPr>
            </w:pPr>
            <w:r w:rsidRPr="001244BB">
              <w:rPr>
                <w:rFonts w:ascii="Arial" w:eastAsia="Times New Roman" w:hAnsi="Arial" w:cs="Arial"/>
                <w:color w:val="000000"/>
                <w:sz w:val="20"/>
                <w:lang w:eastAsia="en-NZ"/>
              </w:rPr>
              <w:t>(2,418)</w:t>
            </w:r>
          </w:p>
        </w:tc>
        <w:tc>
          <w:tcPr>
            <w:tcW w:w="4677" w:type="dxa"/>
            <w:tcBorders>
              <w:bottom w:val="nil"/>
            </w:tcBorders>
            <w:shd w:val="clear" w:color="auto" w:fill="auto"/>
            <w:hideMark/>
          </w:tcPr>
          <w:p w:rsidR="00525A83" w:rsidRPr="001244BB" w:rsidRDefault="00525A83" w:rsidP="00030337">
            <w:pPr>
              <w:spacing w:after="0" w:line="240" w:lineRule="auto"/>
              <w:rPr>
                <w:rFonts w:ascii="Arial" w:eastAsia="Times New Roman" w:hAnsi="Arial" w:cs="Arial"/>
                <w:color w:val="000000"/>
                <w:sz w:val="20"/>
                <w:lang w:eastAsia="en-NZ"/>
              </w:rPr>
            </w:pPr>
            <w:r w:rsidRPr="001244BB">
              <w:rPr>
                <w:rFonts w:ascii="Arial" w:eastAsia="Times New Roman" w:hAnsi="Arial" w:cs="Arial"/>
                <w:color w:val="000000"/>
                <w:sz w:val="20"/>
                <w:lang w:eastAsia="en-NZ"/>
              </w:rPr>
              <w:t> </w:t>
            </w:r>
          </w:p>
        </w:tc>
      </w:tr>
      <w:tr w:rsidR="00525A83" w:rsidRPr="001244BB" w:rsidTr="00F43FB2">
        <w:trPr>
          <w:trHeight w:val="300"/>
        </w:trPr>
        <w:tc>
          <w:tcPr>
            <w:tcW w:w="14175" w:type="dxa"/>
            <w:gridSpan w:val="7"/>
            <w:tcBorders>
              <w:top w:val="nil"/>
              <w:bottom w:val="nil"/>
            </w:tcBorders>
            <w:shd w:val="clear" w:color="auto" w:fill="EAF1DD" w:themeFill="accent3" w:themeFillTint="33"/>
            <w:noWrap/>
            <w:vAlign w:val="bottom"/>
            <w:hideMark/>
          </w:tcPr>
          <w:p w:rsidR="00525A83" w:rsidRPr="001244BB" w:rsidRDefault="00525A83" w:rsidP="00030337">
            <w:pPr>
              <w:spacing w:after="0" w:line="240" w:lineRule="auto"/>
              <w:rPr>
                <w:rFonts w:ascii="Arial" w:eastAsia="Times New Roman" w:hAnsi="Arial" w:cs="Arial"/>
                <w:color w:val="000000"/>
                <w:sz w:val="20"/>
                <w:lang w:eastAsia="en-NZ"/>
              </w:rPr>
            </w:pPr>
            <w:r w:rsidRPr="001244BB">
              <w:rPr>
                <w:rFonts w:ascii="Arial" w:eastAsia="Times New Roman" w:hAnsi="Arial" w:cs="Arial"/>
                <w:b/>
                <w:bCs/>
                <w:color w:val="000000"/>
                <w:sz w:val="20"/>
                <w:lang w:eastAsia="en-NZ"/>
              </w:rPr>
              <w:t>2.3 Water network</w:t>
            </w:r>
          </w:p>
        </w:tc>
      </w:tr>
      <w:tr w:rsidR="00525A83" w:rsidRPr="001244BB" w:rsidTr="00F43FB2">
        <w:trPr>
          <w:trHeight w:val="263"/>
        </w:trPr>
        <w:tc>
          <w:tcPr>
            <w:tcW w:w="3828" w:type="dxa"/>
            <w:tcBorders>
              <w:top w:val="nil"/>
            </w:tcBorders>
            <w:shd w:val="clear" w:color="auto" w:fill="auto"/>
            <w:noWrap/>
            <w:hideMark/>
          </w:tcPr>
          <w:p w:rsidR="00525A83" w:rsidRPr="001244BB" w:rsidRDefault="00525A83" w:rsidP="00030337">
            <w:pPr>
              <w:spacing w:after="0" w:line="240" w:lineRule="auto"/>
              <w:rPr>
                <w:rFonts w:ascii="Arial" w:eastAsia="Times New Roman" w:hAnsi="Arial" w:cs="Arial"/>
                <w:color w:val="000000"/>
                <w:sz w:val="20"/>
                <w:lang w:eastAsia="en-NZ"/>
              </w:rPr>
            </w:pPr>
            <w:r w:rsidRPr="001244BB">
              <w:rPr>
                <w:rFonts w:ascii="Arial" w:eastAsia="Times New Roman" w:hAnsi="Arial" w:cs="Arial"/>
                <w:color w:val="000000"/>
                <w:sz w:val="20"/>
                <w:lang w:eastAsia="en-NZ"/>
              </w:rPr>
              <w:t>Expenditure</w:t>
            </w:r>
          </w:p>
        </w:tc>
        <w:tc>
          <w:tcPr>
            <w:tcW w:w="1134" w:type="dxa"/>
            <w:tcBorders>
              <w:top w:val="nil"/>
            </w:tcBorders>
            <w:shd w:val="clear" w:color="auto" w:fill="auto"/>
            <w:noWrap/>
            <w:hideMark/>
          </w:tcPr>
          <w:p w:rsidR="00525A83" w:rsidRPr="001244BB" w:rsidRDefault="00525A83" w:rsidP="00030337">
            <w:pPr>
              <w:spacing w:after="0" w:line="240" w:lineRule="auto"/>
              <w:jc w:val="right"/>
              <w:rPr>
                <w:rFonts w:ascii="Arial" w:eastAsia="Times New Roman" w:hAnsi="Arial" w:cs="Arial"/>
                <w:color w:val="000000"/>
                <w:sz w:val="20"/>
                <w:lang w:eastAsia="en-NZ"/>
              </w:rPr>
            </w:pPr>
            <w:r w:rsidRPr="001244BB">
              <w:rPr>
                <w:rFonts w:ascii="Arial" w:eastAsia="Times New Roman" w:hAnsi="Arial" w:cs="Arial"/>
                <w:color w:val="000000"/>
                <w:sz w:val="20"/>
                <w:lang w:eastAsia="en-NZ"/>
              </w:rPr>
              <w:t>40,698</w:t>
            </w:r>
          </w:p>
        </w:tc>
        <w:tc>
          <w:tcPr>
            <w:tcW w:w="1134" w:type="dxa"/>
            <w:tcBorders>
              <w:top w:val="nil"/>
            </w:tcBorders>
            <w:shd w:val="clear" w:color="auto" w:fill="auto"/>
            <w:noWrap/>
            <w:hideMark/>
          </w:tcPr>
          <w:p w:rsidR="00525A83" w:rsidRPr="001244BB" w:rsidRDefault="00525A83" w:rsidP="00C30FFB">
            <w:pPr>
              <w:spacing w:after="0" w:line="240" w:lineRule="auto"/>
              <w:jc w:val="right"/>
              <w:rPr>
                <w:rFonts w:ascii="Arial" w:eastAsia="Times New Roman" w:hAnsi="Arial" w:cs="Arial"/>
                <w:color w:val="000000"/>
                <w:sz w:val="20"/>
                <w:lang w:eastAsia="en-NZ"/>
              </w:rPr>
            </w:pPr>
            <w:r w:rsidRPr="001244BB">
              <w:rPr>
                <w:rFonts w:ascii="Arial" w:eastAsia="Times New Roman" w:hAnsi="Arial" w:cs="Arial"/>
                <w:color w:val="000000"/>
                <w:sz w:val="20"/>
                <w:lang w:eastAsia="en-NZ"/>
              </w:rPr>
              <w:t>42,</w:t>
            </w:r>
            <w:r w:rsidR="00C30FFB" w:rsidRPr="001244BB">
              <w:rPr>
                <w:rFonts w:ascii="Arial" w:eastAsia="Times New Roman" w:hAnsi="Arial" w:cs="Arial"/>
                <w:color w:val="000000"/>
                <w:sz w:val="20"/>
                <w:lang w:eastAsia="en-NZ"/>
              </w:rPr>
              <w:t>22</w:t>
            </w:r>
            <w:r w:rsidR="00C30FFB">
              <w:rPr>
                <w:rFonts w:ascii="Arial" w:eastAsia="Times New Roman" w:hAnsi="Arial" w:cs="Arial"/>
                <w:color w:val="000000"/>
                <w:sz w:val="20"/>
                <w:lang w:eastAsia="en-NZ"/>
              </w:rPr>
              <w:t>4</w:t>
            </w:r>
          </w:p>
        </w:tc>
        <w:tc>
          <w:tcPr>
            <w:tcW w:w="1134" w:type="dxa"/>
            <w:tcBorders>
              <w:top w:val="nil"/>
            </w:tcBorders>
            <w:shd w:val="clear" w:color="000000" w:fill="E8E8E8"/>
            <w:noWrap/>
            <w:hideMark/>
          </w:tcPr>
          <w:p w:rsidR="00525A83" w:rsidRPr="001244BB" w:rsidRDefault="00525A83" w:rsidP="00030337">
            <w:pPr>
              <w:spacing w:after="0" w:line="240" w:lineRule="auto"/>
              <w:jc w:val="right"/>
              <w:rPr>
                <w:rFonts w:ascii="Arial" w:eastAsia="Times New Roman" w:hAnsi="Arial" w:cs="Arial"/>
                <w:color w:val="000000"/>
                <w:sz w:val="20"/>
                <w:lang w:eastAsia="en-NZ"/>
              </w:rPr>
            </w:pPr>
            <w:r w:rsidRPr="001244BB">
              <w:rPr>
                <w:rFonts w:ascii="Arial" w:eastAsia="Times New Roman" w:hAnsi="Arial" w:cs="Arial"/>
                <w:color w:val="000000"/>
                <w:sz w:val="20"/>
                <w:lang w:eastAsia="en-NZ"/>
              </w:rPr>
              <w:t>44,607</w:t>
            </w:r>
          </w:p>
        </w:tc>
        <w:tc>
          <w:tcPr>
            <w:tcW w:w="1134" w:type="dxa"/>
            <w:tcBorders>
              <w:top w:val="nil"/>
            </w:tcBorders>
            <w:shd w:val="clear" w:color="000000" w:fill="E8E8E8"/>
            <w:noWrap/>
            <w:hideMark/>
          </w:tcPr>
          <w:p w:rsidR="00525A83" w:rsidRPr="001244BB" w:rsidRDefault="00525A83" w:rsidP="00030337">
            <w:pPr>
              <w:spacing w:after="0" w:line="240" w:lineRule="auto"/>
              <w:jc w:val="right"/>
              <w:rPr>
                <w:rFonts w:ascii="Arial" w:eastAsia="Times New Roman" w:hAnsi="Arial" w:cs="Arial"/>
                <w:color w:val="000000"/>
                <w:sz w:val="20"/>
                <w:lang w:eastAsia="en-NZ"/>
              </w:rPr>
            </w:pPr>
            <w:r w:rsidRPr="001244BB">
              <w:rPr>
                <w:rFonts w:ascii="Arial" w:eastAsia="Times New Roman" w:hAnsi="Arial" w:cs="Arial"/>
                <w:color w:val="000000"/>
                <w:sz w:val="20"/>
                <w:lang w:eastAsia="en-NZ"/>
              </w:rPr>
              <w:t>45,366</w:t>
            </w:r>
          </w:p>
        </w:tc>
        <w:tc>
          <w:tcPr>
            <w:tcW w:w="1134" w:type="dxa"/>
            <w:tcBorders>
              <w:top w:val="nil"/>
            </w:tcBorders>
            <w:shd w:val="clear" w:color="000000" w:fill="E8E8E8"/>
            <w:noWrap/>
            <w:hideMark/>
          </w:tcPr>
          <w:p w:rsidR="00525A83" w:rsidRPr="001244BB" w:rsidRDefault="00525A83" w:rsidP="00030337">
            <w:pPr>
              <w:spacing w:after="0" w:line="240" w:lineRule="auto"/>
              <w:jc w:val="right"/>
              <w:rPr>
                <w:rFonts w:ascii="Arial" w:eastAsia="Times New Roman" w:hAnsi="Arial" w:cs="Arial"/>
                <w:color w:val="000000"/>
                <w:sz w:val="20"/>
                <w:lang w:eastAsia="en-NZ"/>
              </w:rPr>
            </w:pPr>
            <w:r w:rsidRPr="001244BB">
              <w:rPr>
                <w:rFonts w:ascii="Arial" w:eastAsia="Times New Roman" w:hAnsi="Arial" w:cs="Arial"/>
                <w:color w:val="000000"/>
                <w:sz w:val="20"/>
                <w:lang w:eastAsia="en-NZ"/>
              </w:rPr>
              <w:t>759</w:t>
            </w:r>
          </w:p>
        </w:tc>
        <w:tc>
          <w:tcPr>
            <w:tcW w:w="4677" w:type="dxa"/>
            <w:tcBorders>
              <w:top w:val="nil"/>
            </w:tcBorders>
            <w:shd w:val="clear" w:color="auto" w:fill="auto"/>
            <w:vAlign w:val="bottom"/>
            <w:hideMark/>
          </w:tcPr>
          <w:p w:rsidR="00525A83" w:rsidRPr="001244BB" w:rsidRDefault="000319A5" w:rsidP="00030337">
            <w:pPr>
              <w:spacing w:after="0" w:line="240" w:lineRule="auto"/>
              <w:rPr>
                <w:rFonts w:ascii="Arial" w:eastAsia="Times New Roman" w:hAnsi="Arial" w:cs="Arial"/>
                <w:color w:val="000000"/>
                <w:sz w:val="20"/>
                <w:lang w:eastAsia="en-NZ"/>
              </w:rPr>
            </w:pPr>
            <w:r w:rsidRPr="003054B6">
              <w:rPr>
                <w:rFonts w:ascii="Arial" w:eastAsia="Times New Roman" w:hAnsi="Arial" w:cs="Arial"/>
                <w:color w:val="000000"/>
                <w:sz w:val="20"/>
                <w:lang w:eastAsia="en-NZ"/>
              </w:rPr>
              <w:t xml:space="preserve">Under budget due to savings in depreciation and interest costs </w:t>
            </w:r>
            <w:r>
              <w:rPr>
                <w:rFonts w:ascii="Arial" w:eastAsia="Times New Roman" w:hAnsi="Arial" w:cs="Arial"/>
                <w:color w:val="000000"/>
                <w:sz w:val="20"/>
                <w:lang w:eastAsia="en-NZ"/>
              </w:rPr>
              <w:t xml:space="preserve">arising from delays to the </w:t>
            </w:r>
            <w:r w:rsidRPr="003054B6">
              <w:rPr>
                <w:rFonts w:ascii="Arial" w:eastAsia="Times New Roman" w:hAnsi="Arial" w:cs="Arial"/>
                <w:color w:val="000000"/>
                <w:sz w:val="20"/>
                <w:lang w:eastAsia="en-NZ"/>
              </w:rPr>
              <w:t>capital programme delays.  These are offset by higher than planned network maintenance costs (unusually dry summer causing ground movement and leakage), water quality sampling costs following the Havelock North event, repairs following the Epuni Street pump station fire and insurance costs.</w:t>
            </w:r>
          </w:p>
        </w:tc>
      </w:tr>
      <w:tr w:rsidR="00525A83" w:rsidRPr="001244BB" w:rsidTr="00F43FB2">
        <w:trPr>
          <w:trHeight w:val="300"/>
        </w:trPr>
        <w:tc>
          <w:tcPr>
            <w:tcW w:w="3828" w:type="dxa"/>
            <w:shd w:val="clear" w:color="auto" w:fill="auto"/>
            <w:noWrap/>
            <w:hideMark/>
          </w:tcPr>
          <w:p w:rsidR="00525A83" w:rsidRPr="001244BB" w:rsidRDefault="00525A83" w:rsidP="00030337">
            <w:pPr>
              <w:spacing w:after="0" w:line="240" w:lineRule="auto"/>
              <w:rPr>
                <w:rFonts w:ascii="Arial" w:eastAsia="Times New Roman" w:hAnsi="Arial" w:cs="Arial"/>
                <w:color w:val="000000"/>
                <w:sz w:val="20"/>
                <w:lang w:eastAsia="en-NZ"/>
              </w:rPr>
            </w:pPr>
            <w:r w:rsidRPr="001244BB">
              <w:rPr>
                <w:rFonts w:ascii="Arial" w:eastAsia="Times New Roman" w:hAnsi="Arial" w:cs="Arial"/>
                <w:color w:val="000000"/>
                <w:sz w:val="20"/>
                <w:lang w:eastAsia="en-NZ"/>
              </w:rPr>
              <w:t>Revenue</w:t>
            </w:r>
          </w:p>
        </w:tc>
        <w:tc>
          <w:tcPr>
            <w:tcW w:w="1134" w:type="dxa"/>
            <w:shd w:val="clear" w:color="auto" w:fill="auto"/>
            <w:noWrap/>
            <w:hideMark/>
          </w:tcPr>
          <w:p w:rsidR="00525A83" w:rsidRPr="001244BB" w:rsidRDefault="00525A83" w:rsidP="00030337">
            <w:pPr>
              <w:spacing w:after="0" w:line="240" w:lineRule="auto"/>
              <w:jc w:val="right"/>
              <w:rPr>
                <w:rFonts w:ascii="Arial" w:eastAsia="Times New Roman" w:hAnsi="Arial" w:cs="Arial"/>
                <w:color w:val="000000"/>
                <w:sz w:val="20"/>
                <w:lang w:eastAsia="en-NZ"/>
              </w:rPr>
            </w:pPr>
            <w:r w:rsidRPr="001244BB">
              <w:rPr>
                <w:rFonts w:ascii="Arial" w:eastAsia="Times New Roman" w:hAnsi="Arial" w:cs="Arial"/>
                <w:color w:val="000000"/>
                <w:sz w:val="20"/>
                <w:lang w:eastAsia="en-NZ"/>
              </w:rPr>
              <w:t>(1,606)</w:t>
            </w:r>
          </w:p>
        </w:tc>
        <w:tc>
          <w:tcPr>
            <w:tcW w:w="1134" w:type="dxa"/>
            <w:shd w:val="clear" w:color="auto" w:fill="auto"/>
            <w:noWrap/>
            <w:hideMark/>
          </w:tcPr>
          <w:p w:rsidR="00525A83" w:rsidRPr="001244BB" w:rsidRDefault="00525A83" w:rsidP="00030337">
            <w:pPr>
              <w:spacing w:after="0" w:line="240" w:lineRule="auto"/>
              <w:jc w:val="right"/>
              <w:rPr>
                <w:rFonts w:ascii="Arial" w:eastAsia="Times New Roman" w:hAnsi="Arial" w:cs="Arial"/>
                <w:color w:val="000000"/>
                <w:sz w:val="20"/>
                <w:lang w:eastAsia="en-NZ"/>
              </w:rPr>
            </w:pPr>
            <w:r w:rsidRPr="001244BB">
              <w:rPr>
                <w:rFonts w:ascii="Arial" w:eastAsia="Times New Roman" w:hAnsi="Arial" w:cs="Arial"/>
                <w:color w:val="000000"/>
                <w:sz w:val="20"/>
                <w:lang w:eastAsia="en-NZ"/>
              </w:rPr>
              <w:t>(1,843)</w:t>
            </w:r>
          </w:p>
        </w:tc>
        <w:tc>
          <w:tcPr>
            <w:tcW w:w="1134" w:type="dxa"/>
            <w:shd w:val="clear" w:color="000000" w:fill="E8E8E8"/>
            <w:noWrap/>
            <w:hideMark/>
          </w:tcPr>
          <w:p w:rsidR="00525A83" w:rsidRPr="001244BB" w:rsidRDefault="00525A83" w:rsidP="00030337">
            <w:pPr>
              <w:spacing w:after="0" w:line="240" w:lineRule="auto"/>
              <w:jc w:val="right"/>
              <w:rPr>
                <w:rFonts w:ascii="Arial" w:eastAsia="Times New Roman" w:hAnsi="Arial" w:cs="Arial"/>
                <w:color w:val="000000"/>
                <w:sz w:val="20"/>
                <w:lang w:eastAsia="en-NZ"/>
              </w:rPr>
            </w:pPr>
            <w:r w:rsidRPr="001244BB">
              <w:rPr>
                <w:rFonts w:ascii="Arial" w:eastAsia="Times New Roman" w:hAnsi="Arial" w:cs="Arial"/>
                <w:color w:val="000000"/>
                <w:sz w:val="20"/>
                <w:lang w:eastAsia="en-NZ"/>
              </w:rPr>
              <w:t>(4,100)</w:t>
            </w:r>
          </w:p>
        </w:tc>
        <w:tc>
          <w:tcPr>
            <w:tcW w:w="1134" w:type="dxa"/>
            <w:shd w:val="clear" w:color="000000" w:fill="E8E8E8"/>
            <w:noWrap/>
            <w:hideMark/>
          </w:tcPr>
          <w:p w:rsidR="00525A83" w:rsidRPr="001244BB" w:rsidRDefault="00525A83" w:rsidP="00030337">
            <w:pPr>
              <w:spacing w:after="0" w:line="240" w:lineRule="auto"/>
              <w:jc w:val="right"/>
              <w:rPr>
                <w:rFonts w:ascii="Arial" w:eastAsia="Times New Roman" w:hAnsi="Arial" w:cs="Arial"/>
                <w:color w:val="000000"/>
                <w:sz w:val="20"/>
                <w:lang w:eastAsia="en-NZ"/>
              </w:rPr>
            </w:pPr>
            <w:r w:rsidRPr="001244BB">
              <w:rPr>
                <w:rFonts w:ascii="Arial" w:eastAsia="Times New Roman" w:hAnsi="Arial" w:cs="Arial"/>
                <w:color w:val="000000"/>
                <w:sz w:val="20"/>
                <w:lang w:eastAsia="en-NZ"/>
              </w:rPr>
              <w:t>(37)</w:t>
            </w:r>
          </w:p>
        </w:tc>
        <w:tc>
          <w:tcPr>
            <w:tcW w:w="1134" w:type="dxa"/>
            <w:shd w:val="clear" w:color="000000" w:fill="E8E8E8"/>
            <w:noWrap/>
            <w:hideMark/>
          </w:tcPr>
          <w:p w:rsidR="00525A83" w:rsidRPr="001244BB" w:rsidRDefault="00525A83" w:rsidP="00030337">
            <w:pPr>
              <w:spacing w:after="0" w:line="240" w:lineRule="auto"/>
              <w:jc w:val="right"/>
              <w:rPr>
                <w:rFonts w:ascii="Arial" w:eastAsia="Times New Roman" w:hAnsi="Arial" w:cs="Arial"/>
                <w:color w:val="000000"/>
                <w:sz w:val="20"/>
                <w:lang w:eastAsia="en-NZ"/>
              </w:rPr>
            </w:pPr>
            <w:r w:rsidRPr="001244BB">
              <w:rPr>
                <w:rFonts w:ascii="Arial" w:eastAsia="Times New Roman" w:hAnsi="Arial" w:cs="Arial"/>
                <w:color w:val="000000"/>
                <w:sz w:val="20"/>
                <w:lang w:eastAsia="en-NZ"/>
              </w:rPr>
              <w:t>4,063</w:t>
            </w:r>
          </w:p>
        </w:tc>
        <w:tc>
          <w:tcPr>
            <w:tcW w:w="4677" w:type="dxa"/>
            <w:shd w:val="clear" w:color="auto" w:fill="auto"/>
            <w:vAlign w:val="bottom"/>
            <w:hideMark/>
          </w:tcPr>
          <w:p w:rsidR="00525A83" w:rsidRPr="001244BB" w:rsidRDefault="00525A83" w:rsidP="00030337">
            <w:pPr>
              <w:spacing w:after="0" w:line="240" w:lineRule="auto"/>
              <w:rPr>
                <w:rFonts w:ascii="Arial" w:eastAsia="Times New Roman" w:hAnsi="Arial" w:cs="Arial"/>
                <w:color w:val="000000"/>
                <w:sz w:val="20"/>
                <w:lang w:eastAsia="en-NZ"/>
              </w:rPr>
            </w:pPr>
            <w:r w:rsidRPr="001244BB">
              <w:rPr>
                <w:rFonts w:ascii="Arial" w:eastAsia="Times New Roman" w:hAnsi="Arial" w:cs="Arial"/>
                <w:color w:val="000000"/>
                <w:sz w:val="20"/>
                <w:lang w:eastAsia="en-NZ"/>
              </w:rPr>
              <w:t>Unplanned vested asset income.</w:t>
            </w:r>
          </w:p>
        </w:tc>
      </w:tr>
      <w:tr w:rsidR="00525A83" w:rsidRPr="001244BB" w:rsidTr="00F43FB2">
        <w:trPr>
          <w:trHeight w:val="300"/>
        </w:trPr>
        <w:tc>
          <w:tcPr>
            <w:tcW w:w="3828" w:type="dxa"/>
            <w:tcBorders>
              <w:bottom w:val="nil"/>
            </w:tcBorders>
            <w:shd w:val="clear" w:color="auto" w:fill="auto"/>
            <w:noWrap/>
            <w:hideMark/>
          </w:tcPr>
          <w:p w:rsidR="00525A83" w:rsidRPr="001244BB" w:rsidRDefault="00525A83" w:rsidP="00030337">
            <w:pPr>
              <w:spacing w:after="0" w:line="240" w:lineRule="auto"/>
              <w:rPr>
                <w:rFonts w:ascii="Arial" w:eastAsia="Times New Roman" w:hAnsi="Arial" w:cs="Arial"/>
                <w:color w:val="000000"/>
                <w:sz w:val="20"/>
                <w:lang w:eastAsia="en-NZ"/>
              </w:rPr>
            </w:pPr>
            <w:r w:rsidRPr="001244BB">
              <w:rPr>
                <w:rFonts w:ascii="Arial" w:eastAsia="Times New Roman" w:hAnsi="Arial" w:cs="Arial"/>
                <w:color w:val="000000"/>
                <w:sz w:val="20"/>
                <w:lang w:eastAsia="en-NZ"/>
              </w:rPr>
              <w:lastRenderedPageBreak/>
              <w:t>Net Expenditure</w:t>
            </w:r>
          </w:p>
        </w:tc>
        <w:tc>
          <w:tcPr>
            <w:tcW w:w="1134" w:type="dxa"/>
            <w:tcBorders>
              <w:bottom w:val="nil"/>
            </w:tcBorders>
            <w:shd w:val="clear" w:color="auto" w:fill="auto"/>
            <w:noWrap/>
            <w:hideMark/>
          </w:tcPr>
          <w:p w:rsidR="00525A83" w:rsidRPr="001244BB" w:rsidRDefault="00525A83" w:rsidP="00030337">
            <w:pPr>
              <w:spacing w:after="0" w:line="240" w:lineRule="auto"/>
              <w:jc w:val="right"/>
              <w:rPr>
                <w:rFonts w:ascii="Arial" w:eastAsia="Times New Roman" w:hAnsi="Arial" w:cs="Arial"/>
                <w:color w:val="000000"/>
                <w:sz w:val="20"/>
                <w:lang w:eastAsia="en-NZ"/>
              </w:rPr>
            </w:pPr>
            <w:r w:rsidRPr="001244BB">
              <w:rPr>
                <w:rFonts w:ascii="Arial" w:eastAsia="Times New Roman" w:hAnsi="Arial" w:cs="Arial"/>
                <w:color w:val="000000"/>
                <w:sz w:val="20"/>
                <w:lang w:eastAsia="en-NZ"/>
              </w:rPr>
              <w:t>39,093</w:t>
            </w:r>
          </w:p>
        </w:tc>
        <w:tc>
          <w:tcPr>
            <w:tcW w:w="1134" w:type="dxa"/>
            <w:tcBorders>
              <w:bottom w:val="nil"/>
            </w:tcBorders>
            <w:shd w:val="clear" w:color="auto" w:fill="auto"/>
            <w:noWrap/>
            <w:hideMark/>
          </w:tcPr>
          <w:p w:rsidR="00525A83" w:rsidRPr="001244BB" w:rsidRDefault="00525A83" w:rsidP="00C30FFB">
            <w:pPr>
              <w:spacing w:after="0" w:line="240" w:lineRule="auto"/>
              <w:jc w:val="right"/>
              <w:rPr>
                <w:rFonts w:ascii="Arial" w:eastAsia="Times New Roman" w:hAnsi="Arial" w:cs="Arial"/>
                <w:color w:val="000000"/>
                <w:sz w:val="20"/>
                <w:lang w:eastAsia="en-NZ"/>
              </w:rPr>
            </w:pPr>
            <w:r w:rsidRPr="001244BB">
              <w:rPr>
                <w:rFonts w:ascii="Arial" w:eastAsia="Times New Roman" w:hAnsi="Arial" w:cs="Arial"/>
                <w:color w:val="000000"/>
                <w:sz w:val="20"/>
                <w:lang w:eastAsia="en-NZ"/>
              </w:rPr>
              <w:t>40,</w:t>
            </w:r>
            <w:r w:rsidR="00C30FFB" w:rsidRPr="001244BB">
              <w:rPr>
                <w:rFonts w:ascii="Arial" w:eastAsia="Times New Roman" w:hAnsi="Arial" w:cs="Arial"/>
                <w:color w:val="000000"/>
                <w:sz w:val="20"/>
                <w:lang w:eastAsia="en-NZ"/>
              </w:rPr>
              <w:t>38</w:t>
            </w:r>
            <w:r w:rsidR="00C30FFB">
              <w:rPr>
                <w:rFonts w:ascii="Arial" w:eastAsia="Times New Roman" w:hAnsi="Arial" w:cs="Arial"/>
                <w:color w:val="000000"/>
                <w:sz w:val="20"/>
                <w:lang w:eastAsia="en-NZ"/>
              </w:rPr>
              <w:t>1</w:t>
            </w:r>
          </w:p>
        </w:tc>
        <w:tc>
          <w:tcPr>
            <w:tcW w:w="1134" w:type="dxa"/>
            <w:tcBorders>
              <w:bottom w:val="nil"/>
            </w:tcBorders>
            <w:shd w:val="clear" w:color="000000" w:fill="E8E8E8"/>
            <w:noWrap/>
            <w:hideMark/>
          </w:tcPr>
          <w:p w:rsidR="00525A83" w:rsidRPr="001244BB" w:rsidRDefault="00525A83" w:rsidP="00030337">
            <w:pPr>
              <w:spacing w:after="0" w:line="240" w:lineRule="auto"/>
              <w:jc w:val="right"/>
              <w:rPr>
                <w:rFonts w:ascii="Arial" w:eastAsia="Times New Roman" w:hAnsi="Arial" w:cs="Arial"/>
                <w:color w:val="000000"/>
                <w:sz w:val="20"/>
                <w:lang w:eastAsia="en-NZ"/>
              </w:rPr>
            </w:pPr>
            <w:r w:rsidRPr="001244BB">
              <w:rPr>
                <w:rFonts w:ascii="Arial" w:eastAsia="Times New Roman" w:hAnsi="Arial" w:cs="Arial"/>
                <w:color w:val="000000"/>
                <w:sz w:val="20"/>
                <w:lang w:eastAsia="en-NZ"/>
              </w:rPr>
              <w:t>40,507</w:t>
            </w:r>
          </w:p>
        </w:tc>
        <w:tc>
          <w:tcPr>
            <w:tcW w:w="1134" w:type="dxa"/>
            <w:tcBorders>
              <w:bottom w:val="nil"/>
            </w:tcBorders>
            <w:shd w:val="clear" w:color="000000" w:fill="E8E8E8"/>
            <w:noWrap/>
            <w:hideMark/>
          </w:tcPr>
          <w:p w:rsidR="00525A83" w:rsidRPr="001244BB" w:rsidRDefault="00525A83" w:rsidP="00030337">
            <w:pPr>
              <w:spacing w:after="0" w:line="240" w:lineRule="auto"/>
              <w:jc w:val="right"/>
              <w:rPr>
                <w:rFonts w:ascii="Arial" w:eastAsia="Times New Roman" w:hAnsi="Arial" w:cs="Arial"/>
                <w:color w:val="000000"/>
                <w:sz w:val="20"/>
                <w:lang w:eastAsia="en-NZ"/>
              </w:rPr>
            </w:pPr>
            <w:r w:rsidRPr="001244BB">
              <w:rPr>
                <w:rFonts w:ascii="Arial" w:eastAsia="Times New Roman" w:hAnsi="Arial" w:cs="Arial"/>
                <w:color w:val="000000"/>
                <w:sz w:val="20"/>
                <w:lang w:eastAsia="en-NZ"/>
              </w:rPr>
              <w:t>45,329</w:t>
            </w:r>
          </w:p>
        </w:tc>
        <w:tc>
          <w:tcPr>
            <w:tcW w:w="1134" w:type="dxa"/>
            <w:tcBorders>
              <w:bottom w:val="nil"/>
            </w:tcBorders>
            <w:shd w:val="clear" w:color="000000" w:fill="E8E8E8"/>
            <w:noWrap/>
            <w:hideMark/>
          </w:tcPr>
          <w:p w:rsidR="00525A83" w:rsidRPr="001244BB" w:rsidRDefault="00525A83" w:rsidP="00030337">
            <w:pPr>
              <w:spacing w:after="0" w:line="240" w:lineRule="auto"/>
              <w:jc w:val="right"/>
              <w:rPr>
                <w:rFonts w:ascii="Arial" w:eastAsia="Times New Roman" w:hAnsi="Arial" w:cs="Arial"/>
                <w:color w:val="000000"/>
                <w:sz w:val="20"/>
                <w:lang w:eastAsia="en-NZ"/>
              </w:rPr>
            </w:pPr>
            <w:r w:rsidRPr="001244BB">
              <w:rPr>
                <w:rFonts w:ascii="Arial" w:eastAsia="Times New Roman" w:hAnsi="Arial" w:cs="Arial"/>
                <w:color w:val="000000"/>
                <w:sz w:val="20"/>
                <w:lang w:eastAsia="en-NZ"/>
              </w:rPr>
              <w:t>4,822</w:t>
            </w:r>
          </w:p>
        </w:tc>
        <w:tc>
          <w:tcPr>
            <w:tcW w:w="4677" w:type="dxa"/>
            <w:tcBorders>
              <w:bottom w:val="nil"/>
            </w:tcBorders>
            <w:shd w:val="clear" w:color="auto" w:fill="auto"/>
            <w:vAlign w:val="bottom"/>
            <w:hideMark/>
          </w:tcPr>
          <w:p w:rsidR="00525A83" w:rsidRPr="001244BB" w:rsidRDefault="00525A83" w:rsidP="00030337">
            <w:pPr>
              <w:spacing w:after="0" w:line="240" w:lineRule="auto"/>
              <w:rPr>
                <w:rFonts w:ascii="Arial" w:eastAsia="Times New Roman" w:hAnsi="Arial" w:cs="Arial"/>
                <w:color w:val="000000"/>
                <w:sz w:val="20"/>
                <w:lang w:eastAsia="en-NZ"/>
              </w:rPr>
            </w:pPr>
            <w:r w:rsidRPr="001244BB">
              <w:rPr>
                <w:rFonts w:ascii="Arial" w:eastAsia="Times New Roman" w:hAnsi="Arial" w:cs="Arial"/>
                <w:color w:val="000000"/>
                <w:sz w:val="20"/>
                <w:lang w:eastAsia="en-NZ"/>
              </w:rPr>
              <w:t> </w:t>
            </w:r>
          </w:p>
        </w:tc>
      </w:tr>
      <w:tr w:rsidR="00525A83" w:rsidRPr="001244BB" w:rsidTr="00F43FB2">
        <w:trPr>
          <w:trHeight w:val="300"/>
        </w:trPr>
        <w:tc>
          <w:tcPr>
            <w:tcW w:w="14175" w:type="dxa"/>
            <w:gridSpan w:val="7"/>
            <w:tcBorders>
              <w:top w:val="nil"/>
              <w:bottom w:val="nil"/>
            </w:tcBorders>
            <w:shd w:val="clear" w:color="auto" w:fill="EAF1DD" w:themeFill="accent3" w:themeFillTint="33"/>
            <w:noWrap/>
            <w:vAlign w:val="bottom"/>
            <w:hideMark/>
          </w:tcPr>
          <w:p w:rsidR="00525A83" w:rsidRPr="001244BB" w:rsidRDefault="00525A83" w:rsidP="00030337">
            <w:pPr>
              <w:spacing w:after="0" w:line="240" w:lineRule="auto"/>
              <w:rPr>
                <w:rFonts w:ascii="Arial" w:eastAsia="Times New Roman" w:hAnsi="Arial" w:cs="Arial"/>
                <w:color w:val="000000"/>
                <w:sz w:val="20"/>
                <w:lang w:eastAsia="en-NZ"/>
              </w:rPr>
            </w:pPr>
            <w:r w:rsidRPr="001244BB">
              <w:rPr>
                <w:rFonts w:ascii="Arial" w:eastAsia="Times New Roman" w:hAnsi="Arial" w:cs="Arial"/>
                <w:b/>
                <w:bCs/>
                <w:color w:val="000000"/>
                <w:sz w:val="20"/>
                <w:lang w:eastAsia="en-NZ"/>
              </w:rPr>
              <w:t>2.4 Wastewater</w:t>
            </w:r>
          </w:p>
        </w:tc>
      </w:tr>
      <w:tr w:rsidR="00525A83" w:rsidRPr="001244BB" w:rsidTr="00F43FB2">
        <w:trPr>
          <w:trHeight w:val="1020"/>
        </w:trPr>
        <w:tc>
          <w:tcPr>
            <w:tcW w:w="3828" w:type="dxa"/>
            <w:tcBorders>
              <w:top w:val="nil"/>
            </w:tcBorders>
            <w:shd w:val="clear" w:color="auto" w:fill="auto"/>
            <w:noWrap/>
            <w:hideMark/>
          </w:tcPr>
          <w:p w:rsidR="00525A83" w:rsidRPr="001244BB" w:rsidRDefault="00525A83" w:rsidP="00030337">
            <w:pPr>
              <w:spacing w:after="0" w:line="240" w:lineRule="auto"/>
              <w:rPr>
                <w:rFonts w:ascii="Arial" w:eastAsia="Times New Roman" w:hAnsi="Arial" w:cs="Arial"/>
                <w:color w:val="000000"/>
                <w:sz w:val="20"/>
                <w:lang w:eastAsia="en-NZ"/>
              </w:rPr>
            </w:pPr>
            <w:r w:rsidRPr="001244BB">
              <w:rPr>
                <w:rFonts w:ascii="Arial" w:eastAsia="Times New Roman" w:hAnsi="Arial" w:cs="Arial"/>
                <w:color w:val="000000"/>
                <w:sz w:val="20"/>
                <w:lang w:eastAsia="en-NZ"/>
              </w:rPr>
              <w:t>Expenditure</w:t>
            </w:r>
          </w:p>
        </w:tc>
        <w:tc>
          <w:tcPr>
            <w:tcW w:w="1134" w:type="dxa"/>
            <w:tcBorders>
              <w:top w:val="nil"/>
            </w:tcBorders>
            <w:shd w:val="clear" w:color="auto" w:fill="auto"/>
            <w:noWrap/>
            <w:hideMark/>
          </w:tcPr>
          <w:p w:rsidR="00525A83" w:rsidRPr="001244BB" w:rsidRDefault="00525A83" w:rsidP="00030337">
            <w:pPr>
              <w:spacing w:after="0" w:line="240" w:lineRule="auto"/>
              <w:jc w:val="right"/>
              <w:rPr>
                <w:rFonts w:ascii="Arial" w:eastAsia="Times New Roman" w:hAnsi="Arial" w:cs="Arial"/>
                <w:color w:val="000000"/>
                <w:sz w:val="20"/>
                <w:lang w:eastAsia="en-NZ"/>
              </w:rPr>
            </w:pPr>
            <w:r w:rsidRPr="001244BB">
              <w:rPr>
                <w:rFonts w:ascii="Arial" w:eastAsia="Times New Roman" w:hAnsi="Arial" w:cs="Arial"/>
                <w:color w:val="000000"/>
                <w:sz w:val="20"/>
                <w:lang w:eastAsia="en-NZ"/>
              </w:rPr>
              <w:t>42,575</w:t>
            </w:r>
          </w:p>
        </w:tc>
        <w:tc>
          <w:tcPr>
            <w:tcW w:w="1134" w:type="dxa"/>
            <w:tcBorders>
              <w:top w:val="nil"/>
            </w:tcBorders>
            <w:shd w:val="clear" w:color="auto" w:fill="auto"/>
            <w:noWrap/>
            <w:hideMark/>
          </w:tcPr>
          <w:p w:rsidR="00525A83" w:rsidRPr="001244BB" w:rsidRDefault="00525A83" w:rsidP="00030337">
            <w:pPr>
              <w:spacing w:after="0" w:line="240" w:lineRule="auto"/>
              <w:jc w:val="right"/>
              <w:rPr>
                <w:rFonts w:ascii="Arial" w:eastAsia="Times New Roman" w:hAnsi="Arial" w:cs="Arial"/>
                <w:color w:val="000000"/>
                <w:sz w:val="20"/>
                <w:lang w:eastAsia="en-NZ"/>
              </w:rPr>
            </w:pPr>
            <w:r w:rsidRPr="001244BB">
              <w:rPr>
                <w:rFonts w:ascii="Arial" w:eastAsia="Times New Roman" w:hAnsi="Arial" w:cs="Arial"/>
                <w:color w:val="000000"/>
                <w:sz w:val="20"/>
                <w:lang w:eastAsia="en-NZ"/>
              </w:rPr>
              <w:t>43,283</w:t>
            </w:r>
          </w:p>
        </w:tc>
        <w:tc>
          <w:tcPr>
            <w:tcW w:w="1134" w:type="dxa"/>
            <w:tcBorders>
              <w:top w:val="nil"/>
            </w:tcBorders>
            <w:shd w:val="clear" w:color="000000" w:fill="E8E8E8"/>
            <w:noWrap/>
            <w:hideMark/>
          </w:tcPr>
          <w:p w:rsidR="00525A83" w:rsidRPr="001244BB" w:rsidRDefault="00525A83" w:rsidP="00030337">
            <w:pPr>
              <w:spacing w:after="0" w:line="240" w:lineRule="auto"/>
              <w:jc w:val="right"/>
              <w:rPr>
                <w:rFonts w:ascii="Arial" w:eastAsia="Times New Roman" w:hAnsi="Arial" w:cs="Arial"/>
                <w:color w:val="000000"/>
                <w:sz w:val="20"/>
                <w:lang w:eastAsia="en-NZ"/>
              </w:rPr>
            </w:pPr>
            <w:r w:rsidRPr="001244BB">
              <w:rPr>
                <w:rFonts w:ascii="Arial" w:eastAsia="Times New Roman" w:hAnsi="Arial" w:cs="Arial"/>
                <w:color w:val="000000"/>
                <w:sz w:val="20"/>
                <w:lang w:eastAsia="en-NZ"/>
              </w:rPr>
              <w:t>45,534</w:t>
            </w:r>
          </w:p>
        </w:tc>
        <w:tc>
          <w:tcPr>
            <w:tcW w:w="1134" w:type="dxa"/>
            <w:tcBorders>
              <w:top w:val="nil"/>
            </w:tcBorders>
            <w:shd w:val="clear" w:color="000000" w:fill="E8E8E8"/>
            <w:noWrap/>
            <w:hideMark/>
          </w:tcPr>
          <w:p w:rsidR="00525A83" w:rsidRPr="001244BB" w:rsidRDefault="00525A83" w:rsidP="00030337">
            <w:pPr>
              <w:spacing w:after="0" w:line="240" w:lineRule="auto"/>
              <w:jc w:val="right"/>
              <w:rPr>
                <w:rFonts w:ascii="Arial" w:eastAsia="Times New Roman" w:hAnsi="Arial" w:cs="Arial"/>
                <w:color w:val="000000"/>
                <w:sz w:val="20"/>
                <w:lang w:eastAsia="en-NZ"/>
              </w:rPr>
            </w:pPr>
            <w:r w:rsidRPr="001244BB">
              <w:rPr>
                <w:rFonts w:ascii="Arial" w:eastAsia="Times New Roman" w:hAnsi="Arial" w:cs="Arial"/>
                <w:color w:val="000000"/>
                <w:sz w:val="20"/>
                <w:lang w:eastAsia="en-NZ"/>
              </w:rPr>
              <w:t>46,481</w:t>
            </w:r>
          </w:p>
        </w:tc>
        <w:tc>
          <w:tcPr>
            <w:tcW w:w="1134" w:type="dxa"/>
            <w:tcBorders>
              <w:top w:val="nil"/>
            </w:tcBorders>
            <w:shd w:val="clear" w:color="000000" w:fill="E8E8E8"/>
            <w:noWrap/>
            <w:hideMark/>
          </w:tcPr>
          <w:p w:rsidR="00525A83" w:rsidRPr="001244BB" w:rsidRDefault="00525A83" w:rsidP="00030337">
            <w:pPr>
              <w:spacing w:after="0" w:line="240" w:lineRule="auto"/>
              <w:jc w:val="right"/>
              <w:rPr>
                <w:rFonts w:ascii="Arial" w:eastAsia="Times New Roman" w:hAnsi="Arial" w:cs="Arial"/>
                <w:color w:val="000000"/>
                <w:sz w:val="20"/>
                <w:lang w:eastAsia="en-NZ"/>
              </w:rPr>
            </w:pPr>
            <w:r w:rsidRPr="001244BB">
              <w:rPr>
                <w:rFonts w:ascii="Arial" w:eastAsia="Times New Roman" w:hAnsi="Arial" w:cs="Arial"/>
                <w:color w:val="000000"/>
                <w:sz w:val="20"/>
                <w:lang w:eastAsia="en-NZ"/>
              </w:rPr>
              <w:t>948</w:t>
            </w:r>
          </w:p>
        </w:tc>
        <w:tc>
          <w:tcPr>
            <w:tcW w:w="4677" w:type="dxa"/>
            <w:tcBorders>
              <w:top w:val="nil"/>
            </w:tcBorders>
            <w:shd w:val="clear" w:color="auto" w:fill="auto"/>
            <w:vAlign w:val="bottom"/>
            <w:hideMark/>
          </w:tcPr>
          <w:p w:rsidR="00525A83" w:rsidRPr="001244BB" w:rsidRDefault="00525A83" w:rsidP="00030337">
            <w:pPr>
              <w:spacing w:after="0" w:line="240" w:lineRule="auto"/>
              <w:rPr>
                <w:rFonts w:ascii="Arial" w:eastAsia="Times New Roman" w:hAnsi="Arial" w:cs="Arial"/>
                <w:color w:val="000000"/>
                <w:sz w:val="20"/>
                <w:lang w:eastAsia="en-NZ"/>
              </w:rPr>
            </w:pPr>
            <w:r w:rsidRPr="001244BB">
              <w:rPr>
                <w:rFonts w:ascii="Arial" w:eastAsia="Times New Roman" w:hAnsi="Arial" w:cs="Arial"/>
                <w:color w:val="000000"/>
                <w:sz w:val="20"/>
                <w:lang w:eastAsia="en-NZ"/>
              </w:rPr>
              <w:t>Under budget due to savings in depreciation, insurance and interest costs because of capital programme delays as well as lower than expected Wastewater treatment plant management fees.</w:t>
            </w:r>
          </w:p>
        </w:tc>
      </w:tr>
      <w:tr w:rsidR="00525A83" w:rsidRPr="001244BB" w:rsidTr="00F43FB2">
        <w:trPr>
          <w:trHeight w:val="300"/>
        </w:trPr>
        <w:tc>
          <w:tcPr>
            <w:tcW w:w="3828" w:type="dxa"/>
            <w:shd w:val="clear" w:color="auto" w:fill="auto"/>
            <w:noWrap/>
            <w:hideMark/>
          </w:tcPr>
          <w:p w:rsidR="00525A83" w:rsidRPr="001244BB" w:rsidRDefault="00525A83" w:rsidP="00030337">
            <w:pPr>
              <w:spacing w:after="0" w:line="240" w:lineRule="auto"/>
              <w:rPr>
                <w:rFonts w:ascii="Arial" w:eastAsia="Times New Roman" w:hAnsi="Arial" w:cs="Arial"/>
                <w:color w:val="000000"/>
                <w:sz w:val="20"/>
                <w:lang w:eastAsia="en-NZ"/>
              </w:rPr>
            </w:pPr>
            <w:r w:rsidRPr="001244BB">
              <w:rPr>
                <w:rFonts w:ascii="Arial" w:eastAsia="Times New Roman" w:hAnsi="Arial" w:cs="Arial"/>
                <w:color w:val="000000"/>
                <w:sz w:val="20"/>
                <w:lang w:eastAsia="en-NZ"/>
              </w:rPr>
              <w:t>Revenue</w:t>
            </w:r>
          </w:p>
        </w:tc>
        <w:tc>
          <w:tcPr>
            <w:tcW w:w="1134" w:type="dxa"/>
            <w:shd w:val="clear" w:color="auto" w:fill="auto"/>
            <w:noWrap/>
            <w:hideMark/>
          </w:tcPr>
          <w:p w:rsidR="00525A83" w:rsidRPr="001244BB" w:rsidRDefault="00525A83" w:rsidP="00030337">
            <w:pPr>
              <w:spacing w:after="0" w:line="240" w:lineRule="auto"/>
              <w:jc w:val="right"/>
              <w:rPr>
                <w:rFonts w:ascii="Arial" w:eastAsia="Times New Roman" w:hAnsi="Arial" w:cs="Arial"/>
                <w:color w:val="000000"/>
                <w:sz w:val="20"/>
                <w:lang w:eastAsia="en-NZ"/>
              </w:rPr>
            </w:pPr>
            <w:r w:rsidRPr="001244BB">
              <w:rPr>
                <w:rFonts w:ascii="Arial" w:eastAsia="Times New Roman" w:hAnsi="Arial" w:cs="Arial"/>
                <w:color w:val="000000"/>
                <w:sz w:val="20"/>
                <w:lang w:eastAsia="en-NZ"/>
              </w:rPr>
              <w:t>(986)</w:t>
            </w:r>
          </w:p>
        </w:tc>
        <w:tc>
          <w:tcPr>
            <w:tcW w:w="1134" w:type="dxa"/>
            <w:shd w:val="clear" w:color="auto" w:fill="auto"/>
            <w:noWrap/>
            <w:hideMark/>
          </w:tcPr>
          <w:p w:rsidR="00525A83" w:rsidRPr="001244BB" w:rsidRDefault="00525A83" w:rsidP="00C30FFB">
            <w:pPr>
              <w:spacing w:after="0" w:line="240" w:lineRule="auto"/>
              <w:jc w:val="right"/>
              <w:rPr>
                <w:rFonts w:ascii="Arial" w:eastAsia="Times New Roman" w:hAnsi="Arial" w:cs="Arial"/>
                <w:color w:val="000000"/>
                <w:sz w:val="20"/>
                <w:lang w:eastAsia="en-NZ"/>
              </w:rPr>
            </w:pPr>
            <w:r w:rsidRPr="001244BB">
              <w:rPr>
                <w:rFonts w:ascii="Arial" w:eastAsia="Times New Roman" w:hAnsi="Arial" w:cs="Arial"/>
                <w:color w:val="000000"/>
                <w:sz w:val="20"/>
                <w:lang w:eastAsia="en-NZ"/>
              </w:rPr>
              <w:t>(1,</w:t>
            </w:r>
            <w:r w:rsidR="00C30FFB" w:rsidRPr="001244BB">
              <w:rPr>
                <w:rFonts w:ascii="Arial" w:eastAsia="Times New Roman" w:hAnsi="Arial" w:cs="Arial"/>
                <w:color w:val="000000"/>
                <w:sz w:val="20"/>
                <w:lang w:eastAsia="en-NZ"/>
              </w:rPr>
              <w:t>98</w:t>
            </w:r>
            <w:r w:rsidR="00C30FFB">
              <w:rPr>
                <w:rFonts w:ascii="Arial" w:eastAsia="Times New Roman" w:hAnsi="Arial" w:cs="Arial"/>
                <w:color w:val="000000"/>
                <w:sz w:val="20"/>
                <w:lang w:eastAsia="en-NZ"/>
              </w:rPr>
              <w:t>6</w:t>
            </w:r>
            <w:r w:rsidRPr="001244BB">
              <w:rPr>
                <w:rFonts w:ascii="Arial" w:eastAsia="Times New Roman" w:hAnsi="Arial" w:cs="Arial"/>
                <w:color w:val="000000"/>
                <w:sz w:val="20"/>
                <w:lang w:eastAsia="en-NZ"/>
              </w:rPr>
              <w:t>)</w:t>
            </w:r>
          </w:p>
        </w:tc>
        <w:tc>
          <w:tcPr>
            <w:tcW w:w="1134" w:type="dxa"/>
            <w:shd w:val="clear" w:color="000000" w:fill="E8E8E8"/>
            <w:noWrap/>
            <w:hideMark/>
          </w:tcPr>
          <w:p w:rsidR="00525A83" w:rsidRPr="001244BB" w:rsidRDefault="00525A83" w:rsidP="00030337">
            <w:pPr>
              <w:spacing w:after="0" w:line="240" w:lineRule="auto"/>
              <w:jc w:val="right"/>
              <w:rPr>
                <w:rFonts w:ascii="Arial" w:eastAsia="Times New Roman" w:hAnsi="Arial" w:cs="Arial"/>
                <w:color w:val="000000"/>
                <w:sz w:val="20"/>
                <w:lang w:eastAsia="en-NZ"/>
              </w:rPr>
            </w:pPr>
            <w:r w:rsidRPr="001244BB">
              <w:rPr>
                <w:rFonts w:ascii="Arial" w:eastAsia="Times New Roman" w:hAnsi="Arial" w:cs="Arial"/>
                <w:color w:val="000000"/>
                <w:sz w:val="20"/>
                <w:lang w:eastAsia="en-NZ"/>
              </w:rPr>
              <w:t>(2,351)</w:t>
            </w:r>
          </w:p>
        </w:tc>
        <w:tc>
          <w:tcPr>
            <w:tcW w:w="1134" w:type="dxa"/>
            <w:shd w:val="clear" w:color="000000" w:fill="E8E8E8"/>
            <w:noWrap/>
            <w:hideMark/>
          </w:tcPr>
          <w:p w:rsidR="00525A83" w:rsidRPr="001244BB" w:rsidRDefault="00525A83" w:rsidP="00030337">
            <w:pPr>
              <w:spacing w:after="0" w:line="240" w:lineRule="auto"/>
              <w:jc w:val="right"/>
              <w:rPr>
                <w:rFonts w:ascii="Arial" w:eastAsia="Times New Roman" w:hAnsi="Arial" w:cs="Arial"/>
                <w:color w:val="000000"/>
                <w:sz w:val="20"/>
                <w:lang w:eastAsia="en-NZ"/>
              </w:rPr>
            </w:pPr>
            <w:r w:rsidRPr="001244BB">
              <w:rPr>
                <w:rFonts w:ascii="Arial" w:eastAsia="Times New Roman" w:hAnsi="Arial" w:cs="Arial"/>
                <w:color w:val="000000"/>
                <w:sz w:val="20"/>
                <w:lang w:eastAsia="en-NZ"/>
              </w:rPr>
              <w:t>(1,237)</w:t>
            </w:r>
          </w:p>
        </w:tc>
        <w:tc>
          <w:tcPr>
            <w:tcW w:w="1134" w:type="dxa"/>
            <w:shd w:val="clear" w:color="000000" w:fill="E8E8E8"/>
            <w:noWrap/>
            <w:hideMark/>
          </w:tcPr>
          <w:p w:rsidR="00525A83" w:rsidRPr="001244BB" w:rsidRDefault="00525A83" w:rsidP="00030337">
            <w:pPr>
              <w:spacing w:after="0" w:line="240" w:lineRule="auto"/>
              <w:jc w:val="right"/>
              <w:rPr>
                <w:rFonts w:ascii="Arial" w:eastAsia="Times New Roman" w:hAnsi="Arial" w:cs="Arial"/>
                <w:color w:val="000000"/>
                <w:sz w:val="20"/>
                <w:lang w:eastAsia="en-NZ"/>
              </w:rPr>
            </w:pPr>
            <w:r w:rsidRPr="001244BB">
              <w:rPr>
                <w:rFonts w:ascii="Arial" w:eastAsia="Times New Roman" w:hAnsi="Arial" w:cs="Arial"/>
                <w:color w:val="000000"/>
                <w:sz w:val="20"/>
                <w:lang w:eastAsia="en-NZ"/>
              </w:rPr>
              <w:t>1,114</w:t>
            </w:r>
          </w:p>
        </w:tc>
        <w:tc>
          <w:tcPr>
            <w:tcW w:w="4677" w:type="dxa"/>
            <w:shd w:val="clear" w:color="auto" w:fill="auto"/>
            <w:vAlign w:val="bottom"/>
            <w:hideMark/>
          </w:tcPr>
          <w:p w:rsidR="00525A83" w:rsidRPr="001244BB" w:rsidRDefault="00525A83" w:rsidP="00030337">
            <w:pPr>
              <w:spacing w:after="0" w:line="240" w:lineRule="auto"/>
              <w:rPr>
                <w:rFonts w:ascii="Arial" w:eastAsia="Times New Roman" w:hAnsi="Arial" w:cs="Arial"/>
                <w:color w:val="000000"/>
                <w:sz w:val="20"/>
                <w:lang w:eastAsia="en-NZ"/>
              </w:rPr>
            </w:pPr>
            <w:r w:rsidRPr="001244BB">
              <w:rPr>
                <w:rFonts w:ascii="Arial" w:eastAsia="Times New Roman" w:hAnsi="Arial" w:cs="Arial"/>
                <w:color w:val="000000"/>
                <w:sz w:val="20"/>
                <w:lang w:eastAsia="en-NZ"/>
              </w:rPr>
              <w:t>Unplanned vested asset income.</w:t>
            </w:r>
          </w:p>
        </w:tc>
      </w:tr>
      <w:tr w:rsidR="00525A83" w:rsidRPr="001244BB" w:rsidTr="00F43FB2">
        <w:trPr>
          <w:trHeight w:val="300"/>
        </w:trPr>
        <w:tc>
          <w:tcPr>
            <w:tcW w:w="3828" w:type="dxa"/>
            <w:tcBorders>
              <w:bottom w:val="nil"/>
            </w:tcBorders>
            <w:shd w:val="clear" w:color="auto" w:fill="auto"/>
            <w:noWrap/>
            <w:hideMark/>
          </w:tcPr>
          <w:p w:rsidR="00525A83" w:rsidRPr="001244BB" w:rsidRDefault="00525A83" w:rsidP="00030337">
            <w:pPr>
              <w:spacing w:after="0" w:line="240" w:lineRule="auto"/>
              <w:rPr>
                <w:rFonts w:ascii="Arial" w:eastAsia="Times New Roman" w:hAnsi="Arial" w:cs="Arial"/>
                <w:color w:val="000000"/>
                <w:sz w:val="20"/>
                <w:lang w:eastAsia="en-NZ"/>
              </w:rPr>
            </w:pPr>
            <w:r w:rsidRPr="001244BB">
              <w:rPr>
                <w:rFonts w:ascii="Arial" w:eastAsia="Times New Roman" w:hAnsi="Arial" w:cs="Arial"/>
                <w:color w:val="000000"/>
                <w:sz w:val="20"/>
                <w:lang w:eastAsia="en-NZ"/>
              </w:rPr>
              <w:t>Net Expenditure</w:t>
            </w:r>
          </w:p>
        </w:tc>
        <w:tc>
          <w:tcPr>
            <w:tcW w:w="1134" w:type="dxa"/>
            <w:tcBorders>
              <w:bottom w:val="nil"/>
            </w:tcBorders>
            <w:shd w:val="clear" w:color="auto" w:fill="auto"/>
            <w:noWrap/>
            <w:hideMark/>
          </w:tcPr>
          <w:p w:rsidR="00525A83" w:rsidRPr="001244BB" w:rsidRDefault="00525A83" w:rsidP="00030337">
            <w:pPr>
              <w:spacing w:after="0" w:line="240" w:lineRule="auto"/>
              <w:jc w:val="right"/>
              <w:rPr>
                <w:rFonts w:ascii="Arial" w:eastAsia="Times New Roman" w:hAnsi="Arial" w:cs="Arial"/>
                <w:color w:val="000000"/>
                <w:sz w:val="20"/>
                <w:lang w:eastAsia="en-NZ"/>
              </w:rPr>
            </w:pPr>
            <w:r w:rsidRPr="001244BB">
              <w:rPr>
                <w:rFonts w:ascii="Arial" w:eastAsia="Times New Roman" w:hAnsi="Arial" w:cs="Arial"/>
                <w:color w:val="000000"/>
                <w:sz w:val="20"/>
                <w:lang w:eastAsia="en-NZ"/>
              </w:rPr>
              <w:t>41,589</w:t>
            </w:r>
          </w:p>
        </w:tc>
        <w:tc>
          <w:tcPr>
            <w:tcW w:w="1134" w:type="dxa"/>
            <w:tcBorders>
              <w:bottom w:val="nil"/>
            </w:tcBorders>
            <w:shd w:val="clear" w:color="auto" w:fill="auto"/>
            <w:noWrap/>
            <w:hideMark/>
          </w:tcPr>
          <w:p w:rsidR="00525A83" w:rsidRPr="001244BB" w:rsidRDefault="00525A83" w:rsidP="00C30FFB">
            <w:pPr>
              <w:spacing w:after="0" w:line="240" w:lineRule="auto"/>
              <w:jc w:val="right"/>
              <w:rPr>
                <w:rFonts w:ascii="Arial" w:eastAsia="Times New Roman" w:hAnsi="Arial" w:cs="Arial"/>
                <w:color w:val="000000"/>
                <w:sz w:val="20"/>
                <w:lang w:eastAsia="en-NZ"/>
              </w:rPr>
            </w:pPr>
            <w:r w:rsidRPr="001244BB">
              <w:rPr>
                <w:rFonts w:ascii="Arial" w:eastAsia="Times New Roman" w:hAnsi="Arial" w:cs="Arial"/>
                <w:color w:val="000000"/>
                <w:sz w:val="20"/>
                <w:lang w:eastAsia="en-NZ"/>
              </w:rPr>
              <w:t>41,</w:t>
            </w:r>
            <w:r w:rsidR="00C30FFB" w:rsidRPr="001244BB">
              <w:rPr>
                <w:rFonts w:ascii="Arial" w:eastAsia="Times New Roman" w:hAnsi="Arial" w:cs="Arial"/>
                <w:color w:val="000000"/>
                <w:sz w:val="20"/>
                <w:lang w:eastAsia="en-NZ"/>
              </w:rPr>
              <w:t>29</w:t>
            </w:r>
            <w:r w:rsidR="00C30FFB">
              <w:rPr>
                <w:rFonts w:ascii="Arial" w:eastAsia="Times New Roman" w:hAnsi="Arial" w:cs="Arial"/>
                <w:color w:val="000000"/>
                <w:sz w:val="20"/>
                <w:lang w:eastAsia="en-NZ"/>
              </w:rPr>
              <w:t>7</w:t>
            </w:r>
          </w:p>
        </w:tc>
        <w:tc>
          <w:tcPr>
            <w:tcW w:w="1134" w:type="dxa"/>
            <w:tcBorders>
              <w:bottom w:val="nil"/>
            </w:tcBorders>
            <w:shd w:val="clear" w:color="000000" w:fill="E8E8E8"/>
            <w:noWrap/>
            <w:hideMark/>
          </w:tcPr>
          <w:p w:rsidR="00525A83" w:rsidRPr="001244BB" w:rsidRDefault="00525A83" w:rsidP="00030337">
            <w:pPr>
              <w:spacing w:after="0" w:line="240" w:lineRule="auto"/>
              <w:jc w:val="right"/>
              <w:rPr>
                <w:rFonts w:ascii="Arial" w:eastAsia="Times New Roman" w:hAnsi="Arial" w:cs="Arial"/>
                <w:color w:val="000000"/>
                <w:sz w:val="20"/>
                <w:lang w:eastAsia="en-NZ"/>
              </w:rPr>
            </w:pPr>
            <w:r w:rsidRPr="001244BB">
              <w:rPr>
                <w:rFonts w:ascii="Arial" w:eastAsia="Times New Roman" w:hAnsi="Arial" w:cs="Arial"/>
                <w:color w:val="000000"/>
                <w:sz w:val="20"/>
                <w:lang w:eastAsia="en-NZ"/>
              </w:rPr>
              <w:t>43,183</w:t>
            </w:r>
          </w:p>
        </w:tc>
        <w:tc>
          <w:tcPr>
            <w:tcW w:w="1134" w:type="dxa"/>
            <w:tcBorders>
              <w:bottom w:val="nil"/>
            </w:tcBorders>
            <w:shd w:val="clear" w:color="000000" w:fill="E8E8E8"/>
            <w:noWrap/>
            <w:hideMark/>
          </w:tcPr>
          <w:p w:rsidR="00525A83" w:rsidRPr="001244BB" w:rsidRDefault="00525A83" w:rsidP="00030337">
            <w:pPr>
              <w:spacing w:after="0" w:line="240" w:lineRule="auto"/>
              <w:jc w:val="right"/>
              <w:rPr>
                <w:rFonts w:ascii="Arial" w:eastAsia="Times New Roman" w:hAnsi="Arial" w:cs="Arial"/>
                <w:color w:val="000000"/>
                <w:sz w:val="20"/>
                <w:lang w:eastAsia="en-NZ"/>
              </w:rPr>
            </w:pPr>
            <w:r w:rsidRPr="001244BB">
              <w:rPr>
                <w:rFonts w:ascii="Arial" w:eastAsia="Times New Roman" w:hAnsi="Arial" w:cs="Arial"/>
                <w:color w:val="000000"/>
                <w:sz w:val="20"/>
                <w:lang w:eastAsia="en-NZ"/>
              </w:rPr>
              <w:t>45,245</w:t>
            </w:r>
          </w:p>
        </w:tc>
        <w:tc>
          <w:tcPr>
            <w:tcW w:w="1134" w:type="dxa"/>
            <w:tcBorders>
              <w:bottom w:val="nil"/>
            </w:tcBorders>
            <w:shd w:val="clear" w:color="000000" w:fill="E8E8E8"/>
            <w:noWrap/>
            <w:hideMark/>
          </w:tcPr>
          <w:p w:rsidR="00525A83" w:rsidRPr="001244BB" w:rsidRDefault="00525A83" w:rsidP="00030337">
            <w:pPr>
              <w:spacing w:after="0" w:line="240" w:lineRule="auto"/>
              <w:jc w:val="right"/>
              <w:rPr>
                <w:rFonts w:ascii="Arial" w:eastAsia="Times New Roman" w:hAnsi="Arial" w:cs="Arial"/>
                <w:color w:val="000000"/>
                <w:sz w:val="20"/>
                <w:lang w:eastAsia="en-NZ"/>
              </w:rPr>
            </w:pPr>
            <w:r w:rsidRPr="001244BB">
              <w:rPr>
                <w:rFonts w:ascii="Arial" w:eastAsia="Times New Roman" w:hAnsi="Arial" w:cs="Arial"/>
                <w:color w:val="000000"/>
                <w:sz w:val="20"/>
                <w:lang w:eastAsia="en-NZ"/>
              </w:rPr>
              <w:t>2,062</w:t>
            </w:r>
          </w:p>
        </w:tc>
        <w:tc>
          <w:tcPr>
            <w:tcW w:w="4677" w:type="dxa"/>
            <w:tcBorders>
              <w:bottom w:val="nil"/>
            </w:tcBorders>
            <w:shd w:val="clear" w:color="auto" w:fill="auto"/>
            <w:vAlign w:val="bottom"/>
            <w:hideMark/>
          </w:tcPr>
          <w:p w:rsidR="00525A83" w:rsidRPr="001244BB" w:rsidRDefault="00525A83" w:rsidP="00030337">
            <w:pPr>
              <w:spacing w:after="0" w:line="240" w:lineRule="auto"/>
              <w:rPr>
                <w:rFonts w:ascii="Arial" w:eastAsia="Times New Roman" w:hAnsi="Arial" w:cs="Arial"/>
                <w:color w:val="000000"/>
                <w:sz w:val="20"/>
                <w:lang w:eastAsia="en-NZ"/>
              </w:rPr>
            </w:pPr>
            <w:r w:rsidRPr="001244BB">
              <w:rPr>
                <w:rFonts w:ascii="Arial" w:eastAsia="Times New Roman" w:hAnsi="Arial" w:cs="Arial"/>
                <w:color w:val="000000"/>
                <w:sz w:val="20"/>
                <w:lang w:eastAsia="en-NZ"/>
              </w:rPr>
              <w:t> </w:t>
            </w:r>
          </w:p>
        </w:tc>
      </w:tr>
      <w:tr w:rsidR="00525A83" w:rsidRPr="001244BB" w:rsidTr="00F43FB2">
        <w:trPr>
          <w:trHeight w:val="300"/>
        </w:trPr>
        <w:tc>
          <w:tcPr>
            <w:tcW w:w="14175" w:type="dxa"/>
            <w:gridSpan w:val="7"/>
            <w:tcBorders>
              <w:top w:val="nil"/>
              <w:bottom w:val="nil"/>
            </w:tcBorders>
            <w:shd w:val="clear" w:color="auto" w:fill="EAF1DD" w:themeFill="accent3" w:themeFillTint="33"/>
            <w:noWrap/>
            <w:vAlign w:val="bottom"/>
            <w:hideMark/>
          </w:tcPr>
          <w:p w:rsidR="00525A83" w:rsidRPr="00AF0743" w:rsidRDefault="00525A83" w:rsidP="00030337">
            <w:pPr>
              <w:spacing w:after="0" w:line="240" w:lineRule="auto"/>
              <w:rPr>
                <w:rFonts w:ascii="Arial" w:eastAsia="Times New Roman" w:hAnsi="Arial" w:cs="Arial"/>
                <w:b/>
                <w:bCs/>
                <w:color w:val="000000"/>
                <w:sz w:val="20"/>
                <w:lang w:eastAsia="en-NZ"/>
              </w:rPr>
            </w:pPr>
            <w:r w:rsidRPr="001244BB">
              <w:rPr>
                <w:rFonts w:ascii="Arial" w:eastAsia="Times New Roman" w:hAnsi="Arial" w:cs="Arial"/>
                <w:b/>
                <w:bCs/>
                <w:color w:val="000000"/>
                <w:sz w:val="20"/>
                <w:lang w:eastAsia="en-NZ"/>
              </w:rPr>
              <w:t>2.5 Stormwater</w:t>
            </w:r>
          </w:p>
        </w:tc>
      </w:tr>
      <w:tr w:rsidR="00525A83" w:rsidRPr="001244BB" w:rsidTr="00F43FB2">
        <w:trPr>
          <w:trHeight w:val="300"/>
        </w:trPr>
        <w:tc>
          <w:tcPr>
            <w:tcW w:w="3828" w:type="dxa"/>
            <w:tcBorders>
              <w:top w:val="nil"/>
            </w:tcBorders>
            <w:shd w:val="clear" w:color="auto" w:fill="auto"/>
            <w:noWrap/>
            <w:hideMark/>
          </w:tcPr>
          <w:p w:rsidR="00525A83" w:rsidRPr="001244BB" w:rsidRDefault="00525A83" w:rsidP="00030337">
            <w:pPr>
              <w:spacing w:after="0" w:line="240" w:lineRule="auto"/>
              <w:rPr>
                <w:rFonts w:ascii="Arial" w:eastAsia="Times New Roman" w:hAnsi="Arial" w:cs="Arial"/>
                <w:color w:val="000000"/>
                <w:sz w:val="20"/>
                <w:lang w:eastAsia="en-NZ"/>
              </w:rPr>
            </w:pPr>
            <w:r w:rsidRPr="001244BB">
              <w:rPr>
                <w:rFonts w:ascii="Arial" w:eastAsia="Times New Roman" w:hAnsi="Arial" w:cs="Arial"/>
                <w:color w:val="000000"/>
                <w:sz w:val="20"/>
                <w:lang w:eastAsia="en-NZ"/>
              </w:rPr>
              <w:t>Expenditure</w:t>
            </w:r>
          </w:p>
        </w:tc>
        <w:tc>
          <w:tcPr>
            <w:tcW w:w="1134" w:type="dxa"/>
            <w:tcBorders>
              <w:top w:val="nil"/>
            </w:tcBorders>
            <w:shd w:val="clear" w:color="auto" w:fill="auto"/>
            <w:noWrap/>
            <w:hideMark/>
          </w:tcPr>
          <w:p w:rsidR="00525A83" w:rsidRPr="001244BB" w:rsidRDefault="00525A83" w:rsidP="00030337">
            <w:pPr>
              <w:spacing w:after="0" w:line="240" w:lineRule="auto"/>
              <w:jc w:val="right"/>
              <w:rPr>
                <w:rFonts w:ascii="Arial" w:eastAsia="Times New Roman" w:hAnsi="Arial" w:cs="Arial"/>
                <w:color w:val="000000"/>
                <w:sz w:val="20"/>
                <w:lang w:eastAsia="en-NZ"/>
              </w:rPr>
            </w:pPr>
            <w:r w:rsidRPr="001244BB">
              <w:rPr>
                <w:rFonts w:ascii="Arial" w:eastAsia="Times New Roman" w:hAnsi="Arial" w:cs="Arial"/>
                <w:color w:val="000000"/>
                <w:sz w:val="20"/>
                <w:lang w:eastAsia="en-NZ"/>
              </w:rPr>
              <w:t>17,023</w:t>
            </w:r>
          </w:p>
        </w:tc>
        <w:tc>
          <w:tcPr>
            <w:tcW w:w="1134" w:type="dxa"/>
            <w:tcBorders>
              <w:top w:val="nil"/>
            </w:tcBorders>
            <w:shd w:val="clear" w:color="auto" w:fill="auto"/>
            <w:noWrap/>
            <w:hideMark/>
          </w:tcPr>
          <w:p w:rsidR="00525A83" w:rsidRPr="001244BB" w:rsidRDefault="00525A83" w:rsidP="00030337">
            <w:pPr>
              <w:spacing w:after="0" w:line="240" w:lineRule="auto"/>
              <w:jc w:val="right"/>
              <w:rPr>
                <w:rFonts w:ascii="Arial" w:eastAsia="Times New Roman" w:hAnsi="Arial" w:cs="Arial"/>
                <w:color w:val="000000"/>
                <w:sz w:val="20"/>
                <w:lang w:eastAsia="en-NZ"/>
              </w:rPr>
            </w:pPr>
            <w:r w:rsidRPr="001244BB">
              <w:rPr>
                <w:rFonts w:ascii="Arial" w:eastAsia="Times New Roman" w:hAnsi="Arial" w:cs="Arial"/>
                <w:color w:val="000000"/>
                <w:sz w:val="20"/>
                <w:lang w:eastAsia="en-NZ"/>
              </w:rPr>
              <w:t>18,634</w:t>
            </w:r>
          </w:p>
        </w:tc>
        <w:tc>
          <w:tcPr>
            <w:tcW w:w="1134" w:type="dxa"/>
            <w:tcBorders>
              <w:top w:val="nil"/>
            </w:tcBorders>
            <w:shd w:val="clear" w:color="000000" w:fill="E8E8E8"/>
            <w:noWrap/>
            <w:hideMark/>
          </w:tcPr>
          <w:p w:rsidR="00525A83" w:rsidRPr="001244BB" w:rsidRDefault="00525A83" w:rsidP="00030337">
            <w:pPr>
              <w:spacing w:after="0" w:line="240" w:lineRule="auto"/>
              <w:jc w:val="right"/>
              <w:rPr>
                <w:rFonts w:ascii="Arial" w:eastAsia="Times New Roman" w:hAnsi="Arial" w:cs="Arial"/>
                <w:color w:val="000000"/>
                <w:sz w:val="20"/>
                <w:lang w:eastAsia="en-NZ"/>
              </w:rPr>
            </w:pPr>
            <w:r w:rsidRPr="001244BB">
              <w:rPr>
                <w:rFonts w:ascii="Arial" w:eastAsia="Times New Roman" w:hAnsi="Arial" w:cs="Arial"/>
                <w:color w:val="000000"/>
                <w:sz w:val="20"/>
                <w:lang w:eastAsia="en-NZ"/>
              </w:rPr>
              <w:t>18,867</w:t>
            </w:r>
          </w:p>
        </w:tc>
        <w:tc>
          <w:tcPr>
            <w:tcW w:w="1134" w:type="dxa"/>
            <w:tcBorders>
              <w:top w:val="nil"/>
            </w:tcBorders>
            <w:shd w:val="clear" w:color="000000" w:fill="E8E8E8"/>
            <w:noWrap/>
            <w:hideMark/>
          </w:tcPr>
          <w:p w:rsidR="00525A83" w:rsidRPr="001244BB" w:rsidRDefault="00525A83" w:rsidP="00030337">
            <w:pPr>
              <w:spacing w:after="0" w:line="240" w:lineRule="auto"/>
              <w:jc w:val="right"/>
              <w:rPr>
                <w:rFonts w:ascii="Arial" w:eastAsia="Times New Roman" w:hAnsi="Arial" w:cs="Arial"/>
                <w:color w:val="000000"/>
                <w:sz w:val="20"/>
                <w:lang w:eastAsia="en-NZ"/>
              </w:rPr>
            </w:pPr>
            <w:r w:rsidRPr="001244BB">
              <w:rPr>
                <w:rFonts w:ascii="Arial" w:eastAsia="Times New Roman" w:hAnsi="Arial" w:cs="Arial"/>
                <w:color w:val="000000"/>
                <w:sz w:val="20"/>
                <w:lang w:eastAsia="en-NZ"/>
              </w:rPr>
              <w:t>19,259</w:t>
            </w:r>
          </w:p>
        </w:tc>
        <w:tc>
          <w:tcPr>
            <w:tcW w:w="1134" w:type="dxa"/>
            <w:tcBorders>
              <w:top w:val="nil"/>
            </w:tcBorders>
            <w:shd w:val="clear" w:color="000000" w:fill="E8E8E8"/>
            <w:noWrap/>
            <w:hideMark/>
          </w:tcPr>
          <w:p w:rsidR="00525A83" w:rsidRPr="001244BB" w:rsidRDefault="00525A83" w:rsidP="00030337">
            <w:pPr>
              <w:spacing w:after="0" w:line="240" w:lineRule="auto"/>
              <w:jc w:val="right"/>
              <w:rPr>
                <w:rFonts w:ascii="Arial" w:eastAsia="Times New Roman" w:hAnsi="Arial" w:cs="Arial"/>
                <w:color w:val="000000"/>
                <w:sz w:val="20"/>
                <w:lang w:eastAsia="en-NZ"/>
              </w:rPr>
            </w:pPr>
            <w:r w:rsidRPr="001244BB">
              <w:rPr>
                <w:rFonts w:ascii="Arial" w:eastAsia="Times New Roman" w:hAnsi="Arial" w:cs="Arial"/>
                <w:color w:val="000000"/>
                <w:sz w:val="20"/>
                <w:lang w:eastAsia="en-NZ"/>
              </w:rPr>
              <w:t>393</w:t>
            </w:r>
          </w:p>
        </w:tc>
        <w:tc>
          <w:tcPr>
            <w:tcW w:w="4677" w:type="dxa"/>
            <w:tcBorders>
              <w:top w:val="nil"/>
            </w:tcBorders>
            <w:shd w:val="clear" w:color="auto" w:fill="auto"/>
            <w:vAlign w:val="bottom"/>
            <w:hideMark/>
          </w:tcPr>
          <w:p w:rsidR="00525A83" w:rsidRPr="001244BB" w:rsidRDefault="00525A83" w:rsidP="00030337">
            <w:pPr>
              <w:spacing w:after="0" w:line="240" w:lineRule="auto"/>
              <w:rPr>
                <w:rFonts w:ascii="Arial" w:eastAsia="Times New Roman" w:hAnsi="Arial" w:cs="Arial"/>
                <w:color w:val="000000"/>
                <w:sz w:val="20"/>
                <w:lang w:eastAsia="en-NZ"/>
              </w:rPr>
            </w:pPr>
          </w:p>
        </w:tc>
      </w:tr>
      <w:tr w:rsidR="00525A83" w:rsidRPr="001244BB" w:rsidTr="00F43FB2">
        <w:trPr>
          <w:trHeight w:val="300"/>
        </w:trPr>
        <w:tc>
          <w:tcPr>
            <w:tcW w:w="3828" w:type="dxa"/>
            <w:shd w:val="clear" w:color="auto" w:fill="auto"/>
            <w:noWrap/>
            <w:hideMark/>
          </w:tcPr>
          <w:p w:rsidR="00525A83" w:rsidRPr="001244BB" w:rsidRDefault="00525A83" w:rsidP="00030337">
            <w:pPr>
              <w:spacing w:after="0" w:line="240" w:lineRule="auto"/>
              <w:rPr>
                <w:rFonts w:ascii="Arial" w:eastAsia="Times New Roman" w:hAnsi="Arial" w:cs="Arial"/>
                <w:color w:val="000000"/>
                <w:sz w:val="20"/>
                <w:lang w:eastAsia="en-NZ"/>
              </w:rPr>
            </w:pPr>
            <w:r w:rsidRPr="001244BB">
              <w:rPr>
                <w:rFonts w:ascii="Arial" w:eastAsia="Times New Roman" w:hAnsi="Arial" w:cs="Arial"/>
                <w:color w:val="000000"/>
                <w:sz w:val="20"/>
                <w:lang w:eastAsia="en-NZ"/>
              </w:rPr>
              <w:t>Revenue</w:t>
            </w:r>
          </w:p>
        </w:tc>
        <w:tc>
          <w:tcPr>
            <w:tcW w:w="1134" w:type="dxa"/>
            <w:shd w:val="clear" w:color="auto" w:fill="auto"/>
            <w:noWrap/>
            <w:hideMark/>
          </w:tcPr>
          <w:p w:rsidR="00525A83" w:rsidRPr="001244BB" w:rsidRDefault="00525A83" w:rsidP="00030337">
            <w:pPr>
              <w:spacing w:after="0" w:line="240" w:lineRule="auto"/>
              <w:jc w:val="right"/>
              <w:rPr>
                <w:rFonts w:ascii="Arial" w:eastAsia="Times New Roman" w:hAnsi="Arial" w:cs="Arial"/>
                <w:color w:val="000000"/>
                <w:sz w:val="20"/>
                <w:lang w:eastAsia="en-NZ"/>
              </w:rPr>
            </w:pPr>
            <w:r w:rsidRPr="001244BB">
              <w:rPr>
                <w:rFonts w:ascii="Arial" w:eastAsia="Times New Roman" w:hAnsi="Arial" w:cs="Arial"/>
                <w:color w:val="000000"/>
                <w:sz w:val="20"/>
                <w:lang w:eastAsia="en-NZ"/>
              </w:rPr>
              <w:t>(762)</w:t>
            </w:r>
          </w:p>
        </w:tc>
        <w:tc>
          <w:tcPr>
            <w:tcW w:w="1134" w:type="dxa"/>
            <w:shd w:val="clear" w:color="auto" w:fill="auto"/>
            <w:noWrap/>
            <w:hideMark/>
          </w:tcPr>
          <w:p w:rsidR="00525A83" w:rsidRPr="001244BB" w:rsidRDefault="00525A83" w:rsidP="00030337">
            <w:pPr>
              <w:spacing w:after="0" w:line="240" w:lineRule="auto"/>
              <w:jc w:val="right"/>
              <w:rPr>
                <w:rFonts w:ascii="Arial" w:eastAsia="Times New Roman" w:hAnsi="Arial" w:cs="Arial"/>
                <w:color w:val="000000"/>
                <w:sz w:val="20"/>
                <w:lang w:eastAsia="en-NZ"/>
              </w:rPr>
            </w:pPr>
            <w:r w:rsidRPr="001244BB">
              <w:rPr>
                <w:rFonts w:ascii="Arial" w:eastAsia="Times New Roman" w:hAnsi="Arial" w:cs="Arial"/>
                <w:color w:val="000000"/>
                <w:sz w:val="20"/>
                <w:lang w:eastAsia="en-NZ"/>
              </w:rPr>
              <w:t>(2,164)</w:t>
            </w:r>
          </w:p>
        </w:tc>
        <w:tc>
          <w:tcPr>
            <w:tcW w:w="1134" w:type="dxa"/>
            <w:shd w:val="clear" w:color="000000" w:fill="E8E8E8"/>
            <w:noWrap/>
            <w:hideMark/>
          </w:tcPr>
          <w:p w:rsidR="00525A83" w:rsidRPr="001244BB" w:rsidRDefault="00525A83" w:rsidP="00030337">
            <w:pPr>
              <w:spacing w:after="0" w:line="240" w:lineRule="auto"/>
              <w:jc w:val="right"/>
              <w:rPr>
                <w:rFonts w:ascii="Arial" w:eastAsia="Times New Roman" w:hAnsi="Arial" w:cs="Arial"/>
                <w:color w:val="000000"/>
                <w:sz w:val="20"/>
                <w:lang w:eastAsia="en-NZ"/>
              </w:rPr>
            </w:pPr>
            <w:r w:rsidRPr="001244BB">
              <w:rPr>
                <w:rFonts w:ascii="Arial" w:eastAsia="Times New Roman" w:hAnsi="Arial" w:cs="Arial"/>
                <w:color w:val="000000"/>
                <w:sz w:val="20"/>
                <w:lang w:eastAsia="en-NZ"/>
              </w:rPr>
              <w:t>(2,882)</w:t>
            </w:r>
          </w:p>
        </w:tc>
        <w:tc>
          <w:tcPr>
            <w:tcW w:w="1134" w:type="dxa"/>
            <w:shd w:val="clear" w:color="000000" w:fill="E8E8E8"/>
            <w:noWrap/>
            <w:hideMark/>
          </w:tcPr>
          <w:p w:rsidR="00525A83" w:rsidRPr="001244BB" w:rsidRDefault="00525A83" w:rsidP="00030337">
            <w:pPr>
              <w:spacing w:after="0" w:line="240" w:lineRule="auto"/>
              <w:jc w:val="right"/>
              <w:rPr>
                <w:rFonts w:ascii="Arial" w:eastAsia="Times New Roman" w:hAnsi="Arial" w:cs="Arial"/>
                <w:color w:val="000000"/>
                <w:sz w:val="20"/>
                <w:lang w:eastAsia="en-NZ"/>
              </w:rPr>
            </w:pPr>
            <w:r w:rsidRPr="001244BB">
              <w:rPr>
                <w:rFonts w:ascii="Arial" w:eastAsia="Times New Roman" w:hAnsi="Arial" w:cs="Arial"/>
                <w:color w:val="000000"/>
                <w:sz w:val="20"/>
                <w:lang w:eastAsia="en-NZ"/>
              </w:rPr>
              <w:t>(163)</w:t>
            </w:r>
          </w:p>
        </w:tc>
        <w:tc>
          <w:tcPr>
            <w:tcW w:w="1134" w:type="dxa"/>
            <w:shd w:val="clear" w:color="000000" w:fill="E8E8E8"/>
            <w:noWrap/>
            <w:hideMark/>
          </w:tcPr>
          <w:p w:rsidR="00525A83" w:rsidRPr="001244BB" w:rsidRDefault="00525A83" w:rsidP="00030337">
            <w:pPr>
              <w:spacing w:after="0" w:line="240" w:lineRule="auto"/>
              <w:jc w:val="right"/>
              <w:rPr>
                <w:rFonts w:ascii="Arial" w:eastAsia="Times New Roman" w:hAnsi="Arial" w:cs="Arial"/>
                <w:color w:val="000000"/>
                <w:sz w:val="20"/>
                <w:lang w:eastAsia="en-NZ"/>
              </w:rPr>
            </w:pPr>
            <w:r w:rsidRPr="001244BB">
              <w:rPr>
                <w:rFonts w:ascii="Arial" w:eastAsia="Times New Roman" w:hAnsi="Arial" w:cs="Arial"/>
                <w:color w:val="000000"/>
                <w:sz w:val="20"/>
                <w:lang w:eastAsia="en-NZ"/>
              </w:rPr>
              <w:t>2,719</w:t>
            </w:r>
          </w:p>
        </w:tc>
        <w:tc>
          <w:tcPr>
            <w:tcW w:w="4677" w:type="dxa"/>
            <w:shd w:val="clear" w:color="auto" w:fill="auto"/>
            <w:vAlign w:val="bottom"/>
            <w:hideMark/>
          </w:tcPr>
          <w:p w:rsidR="00525A83" w:rsidRPr="001244BB" w:rsidRDefault="00525A83" w:rsidP="00030337">
            <w:pPr>
              <w:spacing w:after="0" w:line="240" w:lineRule="auto"/>
              <w:rPr>
                <w:rFonts w:ascii="Arial" w:eastAsia="Times New Roman" w:hAnsi="Arial" w:cs="Arial"/>
                <w:color w:val="000000"/>
                <w:sz w:val="20"/>
                <w:lang w:eastAsia="en-NZ"/>
              </w:rPr>
            </w:pPr>
            <w:r w:rsidRPr="001244BB">
              <w:rPr>
                <w:rFonts w:ascii="Arial" w:eastAsia="Times New Roman" w:hAnsi="Arial" w:cs="Arial"/>
                <w:color w:val="000000"/>
                <w:sz w:val="20"/>
                <w:lang w:eastAsia="en-NZ"/>
              </w:rPr>
              <w:t>Unplanned vested asset income.</w:t>
            </w:r>
          </w:p>
        </w:tc>
      </w:tr>
      <w:tr w:rsidR="00525A83" w:rsidRPr="001244BB" w:rsidTr="00F43FB2">
        <w:trPr>
          <w:trHeight w:val="300"/>
        </w:trPr>
        <w:tc>
          <w:tcPr>
            <w:tcW w:w="3828" w:type="dxa"/>
            <w:tcBorders>
              <w:bottom w:val="nil"/>
            </w:tcBorders>
            <w:shd w:val="clear" w:color="auto" w:fill="auto"/>
            <w:noWrap/>
            <w:hideMark/>
          </w:tcPr>
          <w:p w:rsidR="00525A83" w:rsidRPr="001244BB" w:rsidRDefault="00525A83" w:rsidP="00030337">
            <w:pPr>
              <w:spacing w:after="0" w:line="240" w:lineRule="auto"/>
              <w:rPr>
                <w:rFonts w:ascii="Arial" w:eastAsia="Times New Roman" w:hAnsi="Arial" w:cs="Arial"/>
                <w:color w:val="000000"/>
                <w:sz w:val="20"/>
                <w:lang w:eastAsia="en-NZ"/>
              </w:rPr>
            </w:pPr>
            <w:r w:rsidRPr="001244BB">
              <w:rPr>
                <w:rFonts w:ascii="Arial" w:eastAsia="Times New Roman" w:hAnsi="Arial" w:cs="Arial"/>
                <w:color w:val="000000"/>
                <w:sz w:val="20"/>
                <w:lang w:eastAsia="en-NZ"/>
              </w:rPr>
              <w:t>Net Expenditure</w:t>
            </w:r>
          </w:p>
        </w:tc>
        <w:tc>
          <w:tcPr>
            <w:tcW w:w="1134" w:type="dxa"/>
            <w:tcBorders>
              <w:bottom w:val="nil"/>
            </w:tcBorders>
            <w:shd w:val="clear" w:color="auto" w:fill="auto"/>
            <w:noWrap/>
            <w:hideMark/>
          </w:tcPr>
          <w:p w:rsidR="00525A83" w:rsidRPr="001244BB" w:rsidRDefault="00525A83" w:rsidP="00030337">
            <w:pPr>
              <w:spacing w:after="0" w:line="240" w:lineRule="auto"/>
              <w:jc w:val="right"/>
              <w:rPr>
                <w:rFonts w:ascii="Arial" w:eastAsia="Times New Roman" w:hAnsi="Arial" w:cs="Arial"/>
                <w:color w:val="000000"/>
                <w:sz w:val="20"/>
                <w:lang w:eastAsia="en-NZ"/>
              </w:rPr>
            </w:pPr>
            <w:r w:rsidRPr="001244BB">
              <w:rPr>
                <w:rFonts w:ascii="Arial" w:eastAsia="Times New Roman" w:hAnsi="Arial" w:cs="Arial"/>
                <w:color w:val="000000"/>
                <w:sz w:val="20"/>
                <w:lang w:eastAsia="en-NZ"/>
              </w:rPr>
              <w:t>16,260</w:t>
            </w:r>
          </w:p>
        </w:tc>
        <w:tc>
          <w:tcPr>
            <w:tcW w:w="1134" w:type="dxa"/>
            <w:tcBorders>
              <w:bottom w:val="nil"/>
            </w:tcBorders>
            <w:shd w:val="clear" w:color="auto" w:fill="auto"/>
            <w:noWrap/>
            <w:hideMark/>
          </w:tcPr>
          <w:p w:rsidR="00525A83" w:rsidRPr="001244BB" w:rsidRDefault="00525A83" w:rsidP="00030337">
            <w:pPr>
              <w:spacing w:after="0" w:line="240" w:lineRule="auto"/>
              <w:jc w:val="right"/>
              <w:rPr>
                <w:rFonts w:ascii="Arial" w:eastAsia="Times New Roman" w:hAnsi="Arial" w:cs="Arial"/>
                <w:color w:val="000000"/>
                <w:sz w:val="20"/>
                <w:lang w:eastAsia="en-NZ"/>
              </w:rPr>
            </w:pPr>
            <w:r w:rsidRPr="001244BB">
              <w:rPr>
                <w:rFonts w:ascii="Arial" w:eastAsia="Times New Roman" w:hAnsi="Arial" w:cs="Arial"/>
                <w:color w:val="000000"/>
                <w:sz w:val="20"/>
                <w:lang w:eastAsia="en-NZ"/>
              </w:rPr>
              <w:t>16,471</w:t>
            </w:r>
          </w:p>
        </w:tc>
        <w:tc>
          <w:tcPr>
            <w:tcW w:w="1134" w:type="dxa"/>
            <w:tcBorders>
              <w:bottom w:val="nil"/>
            </w:tcBorders>
            <w:shd w:val="clear" w:color="000000" w:fill="E8E8E8"/>
            <w:noWrap/>
            <w:hideMark/>
          </w:tcPr>
          <w:p w:rsidR="00525A83" w:rsidRPr="001244BB" w:rsidRDefault="00525A83" w:rsidP="00030337">
            <w:pPr>
              <w:spacing w:after="0" w:line="240" w:lineRule="auto"/>
              <w:jc w:val="right"/>
              <w:rPr>
                <w:rFonts w:ascii="Arial" w:eastAsia="Times New Roman" w:hAnsi="Arial" w:cs="Arial"/>
                <w:color w:val="000000"/>
                <w:sz w:val="20"/>
                <w:lang w:eastAsia="en-NZ"/>
              </w:rPr>
            </w:pPr>
            <w:r w:rsidRPr="001244BB">
              <w:rPr>
                <w:rFonts w:ascii="Arial" w:eastAsia="Times New Roman" w:hAnsi="Arial" w:cs="Arial"/>
                <w:color w:val="000000"/>
                <w:sz w:val="20"/>
                <w:lang w:eastAsia="en-NZ"/>
              </w:rPr>
              <w:t>15,985</w:t>
            </w:r>
          </w:p>
        </w:tc>
        <w:tc>
          <w:tcPr>
            <w:tcW w:w="1134" w:type="dxa"/>
            <w:tcBorders>
              <w:bottom w:val="nil"/>
            </w:tcBorders>
            <w:shd w:val="clear" w:color="000000" w:fill="E8E8E8"/>
            <w:noWrap/>
            <w:hideMark/>
          </w:tcPr>
          <w:p w:rsidR="00525A83" w:rsidRPr="001244BB" w:rsidRDefault="00525A83" w:rsidP="00030337">
            <w:pPr>
              <w:spacing w:after="0" w:line="240" w:lineRule="auto"/>
              <w:jc w:val="right"/>
              <w:rPr>
                <w:rFonts w:ascii="Arial" w:eastAsia="Times New Roman" w:hAnsi="Arial" w:cs="Arial"/>
                <w:color w:val="000000"/>
                <w:sz w:val="20"/>
                <w:lang w:eastAsia="en-NZ"/>
              </w:rPr>
            </w:pPr>
            <w:r w:rsidRPr="001244BB">
              <w:rPr>
                <w:rFonts w:ascii="Arial" w:eastAsia="Times New Roman" w:hAnsi="Arial" w:cs="Arial"/>
                <w:color w:val="000000"/>
                <w:sz w:val="20"/>
                <w:lang w:eastAsia="en-NZ"/>
              </w:rPr>
              <w:t>19,097</w:t>
            </w:r>
          </w:p>
        </w:tc>
        <w:tc>
          <w:tcPr>
            <w:tcW w:w="1134" w:type="dxa"/>
            <w:tcBorders>
              <w:bottom w:val="nil"/>
            </w:tcBorders>
            <w:shd w:val="clear" w:color="000000" w:fill="E8E8E8"/>
            <w:noWrap/>
            <w:hideMark/>
          </w:tcPr>
          <w:p w:rsidR="00525A83" w:rsidRPr="001244BB" w:rsidRDefault="00525A83" w:rsidP="00030337">
            <w:pPr>
              <w:spacing w:after="0" w:line="240" w:lineRule="auto"/>
              <w:jc w:val="right"/>
              <w:rPr>
                <w:rFonts w:ascii="Arial" w:eastAsia="Times New Roman" w:hAnsi="Arial" w:cs="Arial"/>
                <w:color w:val="000000"/>
                <w:sz w:val="20"/>
                <w:lang w:eastAsia="en-NZ"/>
              </w:rPr>
            </w:pPr>
            <w:r w:rsidRPr="001244BB">
              <w:rPr>
                <w:rFonts w:ascii="Arial" w:eastAsia="Times New Roman" w:hAnsi="Arial" w:cs="Arial"/>
                <w:color w:val="000000"/>
                <w:sz w:val="20"/>
                <w:lang w:eastAsia="en-NZ"/>
              </w:rPr>
              <w:t>3,112</w:t>
            </w:r>
          </w:p>
        </w:tc>
        <w:tc>
          <w:tcPr>
            <w:tcW w:w="4677" w:type="dxa"/>
            <w:tcBorders>
              <w:bottom w:val="nil"/>
            </w:tcBorders>
            <w:shd w:val="clear" w:color="auto" w:fill="auto"/>
            <w:vAlign w:val="bottom"/>
            <w:hideMark/>
          </w:tcPr>
          <w:p w:rsidR="00525A83" w:rsidRPr="001244BB" w:rsidRDefault="00525A83" w:rsidP="00030337">
            <w:pPr>
              <w:spacing w:after="0" w:line="240" w:lineRule="auto"/>
              <w:rPr>
                <w:rFonts w:ascii="Arial" w:eastAsia="Times New Roman" w:hAnsi="Arial" w:cs="Arial"/>
                <w:color w:val="000000"/>
                <w:sz w:val="20"/>
                <w:lang w:eastAsia="en-NZ"/>
              </w:rPr>
            </w:pPr>
            <w:r w:rsidRPr="001244BB">
              <w:rPr>
                <w:rFonts w:ascii="Arial" w:eastAsia="Times New Roman" w:hAnsi="Arial" w:cs="Arial"/>
                <w:color w:val="000000"/>
                <w:sz w:val="20"/>
                <w:lang w:eastAsia="en-NZ"/>
              </w:rPr>
              <w:t> </w:t>
            </w:r>
          </w:p>
        </w:tc>
      </w:tr>
      <w:tr w:rsidR="00525A83" w:rsidRPr="001244BB" w:rsidTr="00F43FB2">
        <w:trPr>
          <w:trHeight w:val="300"/>
        </w:trPr>
        <w:tc>
          <w:tcPr>
            <w:tcW w:w="14175" w:type="dxa"/>
            <w:gridSpan w:val="7"/>
            <w:tcBorders>
              <w:top w:val="nil"/>
              <w:bottom w:val="nil"/>
            </w:tcBorders>
            <w:shd w:val="clear" w:color="auto" w:fill="EAF1DD" w:themeFill="accent3" w:themeFillTint="33"/>
            <w:noWrap/>
            <w:vAlign w:val="bottom"/>
            <w:hideMark/>
          </w:tcPr>
          <w:p w:rsidR="00525A83" w:rsidRPr="001244BB" w:rsidRDefault="00525A83" w:rsidP="00030337">
            <w:pPr>
              <w:spacing w:after="0" w:line="240" w:lineRule="auto"/>
              <w:rPr>
                <w:rFonts w:ascii="Arial" w:eastAsia="Times New Roman" w:hAnsi="Arial" w:cs="Arial"/>
                <w:color w:val="000000"/>
                <w:sz w:val="20"/>
                <w:lang w:eastAsia="en-NZ"/>
              </w:rPr>
            </w:pPr>
            <w:r w:rsidRPr="001244BB">
              <w:rPr>
                <w:rFonts w:ascii="Arial" w:eastAsia="Times New Roman" w:hAnsi="Arial" w:cs="Arial"/>
                <w:b/>
                <w:bCs/>
                <w:color w:val="000000"/>
                <w:sz w:val="20"/>
                <w:lang w:eastAsia="en-NZ"/>
              </w:rPr>
              <w:t>2.6 Conservation attractions</w:t>
            </w:r>
          </w:p>
        </w:tc>
      </w:tr>
      <w:tr w:rsidR="00525A83" w:rsidRPr="001244BB" w:rsidTr="00F43FB2">
        <w:trPr>
          <w:trHeight w:val="300"/>
        </w:trPr>
        <w:tc>
          <w:tcPr>
            <w:tcW w:w="3828" w:type="dxa"/>
            <w:tcBorders>
              <w:top w:val="nil"/>
            </w:tcBorders>
            <w:shd w:val="clear" w:color="auto" w:fill="auto"/>
            <w:noWrap/>
            <w:hideMark/>
          </w:tcPr>
          <w:p w:rsidR="00525A83" w:rsidRPr="001244BB" w:rsidRDefault="00525A83" w:rsidP="00030337">
            <w:pPr>
              <w:spacing w:after="0" w:line="240" w:lineRule="auto"/>
              <w:rPr>
                <w:rFonts w:ascii="Arial" w:eastAsia="Times New Roman" w:hAnsi="Arial" w:cs="Arial"/>
                <w:color w:val="000000"/>
                <w:sz w:val="20"/>
                <w:lang w:eastAsia="en-NZ"/>
              </w:rPr>
            </w:pPr>
            <w:r w:rsidRPr="001244BB">
              <w:rPr>
                <w:rFonts w:ascii="Arial" w:eastAsia="Times New Roman" w:hAnsi="Arial" w:cs="Arial"/>
                <w:color w:val="000000"/>
                <w:sz w:val="20"/>
                <w:lang w:eastAsia="en-NZ"/>
              </w:rPr>
              <w:t>Expenditure</w:t>
            </w:r>
          </w:p>
        </w:tc>
        <w:tc>
          <w:tcPr>
            <w:tcW w:w="1134" w:type="dxa"/>
            <w:tcBorders>
              <w:top w:val="nil"/>
            </w:tcBorders>
            <w:shd w:val="clear" w:color="auto" w:fill="auto"/>
            <w:noWrap/>
            <w:hideMark/>
          </w:tcPr>
          <w:p w:rsidR="00525A83" w:rsidRPr="001244BB" w:rsidRDefault="00525A83" w:rsidP="00030337">
            <w:pPr>
              <w:spacing w:after="0" w:line="240" w:lineRule="auto"/>
              <w:jc w:val="right"/>
              <w:rPr>
                <w:rFonts w:ascii="Arial" w:eastAsia="Times New Roman" w:hAnsi="Arial" w:cs="Arial"/>
                <w:color w:val="000000"/>
                <w:sz w:val="20"/>
                <w:lang w:eastAsia="en-NZ"/>
              </w:rPr>
            </w:pPr>
            <w:r w:rsidRPr="001244BB">
              <w:rPr>
                <w:rFonts w:ascii="Arial" w:eastAsia="Times New Roman" w:hAnsi="Arial" w:cs="Arial"/>
                <w:color w:val="000000"/>
                <w:sz w:val="20"/>
                <w:lang w:eastAsia="en-NZ"/>
              </w:rPr>
              <w:t>6,755</w:t>
            </w:r>
          </w:p>
        </w:tc>
        <w:tc>
          <w:tcPr>
            <w:tcW w:w="1134" w:type="dxa"/>
            <w:tcBorders>
              <w:top w:val="nil"/>
            </w:tcBorders>
            <w:shd w:val="clear" w:color="auto" w:fill="auto"/>
            <w:noWrap/>
            <w:hideMark/>
          </w:tcPr>
          <w:p w:rsidR="00525A83" w:rsidRPr="001244BB" w:rsidRDefault="00525A83" w:rsidP="00030337">
            <w:pPr>
              <w:spacing w:after="0" w:line="240" w:lineRule="auto"/>
              <w:jc w:val="right"/>
              <w:rPr>
                <w:rFonts w:ascii="Arial" w:eastAsia="Times New Roman" w:hAnsi="Arial" w:cs="Arial"/>
                <w:color w:val="000000"/>
                <w:sz w:val="20"/>
                <w:lang w:eastAsia="en-NZ"/>
              </w:rPr>
            </w:pPr>
            <w:r w:rsidRPr="001244BB">
              <w:rPr>
                <w:rFonts w:ascii="Arial" w:eastAsia="Times New Roman" w:hAnsi="Arial" w:cs="Arial"/>
                <w:color w:val="000000"/>
                <w:sz w:val="20"/>
                <w:lang w:eastAsia="en-NZ"/>
              </w:rPr>
              <w:t>6,695</w:t>
            </w:r>
          </w:p>
        </w:tc>
        <w:tc>
          <w:tcPr>
            <w:tcW w:w="1134" w:type="dxa"/>
            <w:tcBorders>
              <w:top w:val="nil"/>
            </w:tcBorders>
            <w:shd w:val="clear" w:color="000000" w:fill="E8E8E8"/>
            <w:noWrap/>
            <w:hideMark/>
          </w:tcPr>
          <w:p w:rsidR="00525A83" w:rsidRPr="001244BB" w:rsidRDefault="00525A83" w:rsidP="00030337">
            <w:pPr>
              <w:spacing w:after="0" w:line="240" w:lineRule="auto"/>
              <w:jc w:val="right"/>
              <w:rPr>
                <w:rFonts w:ascii="Arial" w:eastAsia="Times New Roman" w:hAnsi="Arial" w:cs="Arial"/>
                <w:color w:val="000000"/>
                <w:sz w:val="20"/>
                <w:lang w:eastAsia="en-NZ"/>
              </w:rPr>
            </w:pPr>
            <w:r w:rsidRPr="001244BB">
              <w:rPr>
                <w:rFonts w:ascii="Arial" w:eastAsia="Times New Roman" w:hAnsi="Arial" w:cs="Arial"/>
                <w:color w:val="000000"/>
                <w:sz w:val="20"/>
                <w:lang w:eastAsia="en-NZ"/>
              </w:rPr>
              <w:t>6,770</w:t>
            </w:r>
          </w:p>
        </w:tc>
        <w:tc>
          <w:tcPr>
            <w:tcW w:w="1134" w:type="dxa"/>
            <w:tcBorders>
              <w:top w:val="nil"/>
            </w:tcBorders>
            <w:shd w:val="clear" w:color="000000" w:fill="E8E8E8"/>
            <w:noWrap/>
            <w:hideMark/>
          </w:tcPr>
          <w:p w:rsidR="00525A83" w:rsidRPr="001244BB" w:rsidRDefault="00525A83" w:rsidP="00030337">
            <w:pPr>
              <w:spacing w:after="0" w:line="240" w:lineRule="auto"/>
              <w:jc w:val="right"/>
              <w:rPr>
                <w:rFonts w:ascii="Arial" w:eastAsia="Times New Roman" w:hAnsi="Arial" w:cs="Arial"/>
                <w:color w:val="000000"/>
                <w:sz w:val="20"/>
                <w:lang w:eastAsia="en-NZ"/>
              </w:rPr>
            </w:pPr>
            <w:r w:rsidRPr="001244BB">
              <w:rPr>
                <w:rFonts w:ascii="Arial" w:eastAsia="Times New Roman" w:hAnsi="Arial" w:cs="Arial"/>
                <w:color w:val="000000"/>
                <w:sz w:val="20"/>
                <w:lang w:eastAsia="en-NZ"/>
              </w:rPr>
              <w:t>6,829</w:t>
            </w:r>
          </w:p>
        </w:tc>
        <w:tc>
          <w:tcPr>
            <w:tcW w:w="1134" w:type="dxa"/>
            <w:tcBorders>
              <w:top w:val="nil"/>
            </w:tcBorders>
            <w:shd w:val="clear" w:color="000000" w:fill="E8E8E8"/>
            <w:noWrap/>
            <w:hideMark/>
          </w:tcPr>
          <w:p w:rsidR="00525A83" w:rsidRPr="001244BB" w:rsidRDefault="00525A83" w:rsidP="00030337">
            <w:pPr>
              <w:spacing w:after="0" w:line="240" w:lineRule="auto"/>
              <w:jc w:val="right"/>
              <w:rPr>
                <w:rFonts w:ascii="Arial" w:eastAsia="Times New Roman" w:hAnsi="Arial" w:cs="Arial"/>
                <w:color w:val="000000"/>
                <w:sz w:val="20"/>
                <w:lang w:eastAsia="en-NZ"/>
              </w:rPr>
            </w:pPr>
            <w:r w:rsidRPr="001244BB">
              <w:rPr>
                <w:rFonts w:ascii="Arial" w:eastAsia="Times New Roman" w:hAnsi="Arial" w:cs="Arial"/>
                <w:color w:val="000000"/>
                <w:sz w:val="20"/>
                <w:lang w:eastAsia="en-NZ"/>
              </w:rPr>
              <w:t>59</w:t>
            </w:r>
          </w:p>
        </w:tc>
        <w:tc>
          <w:tcPr>
            <w:tcW w:w="4677" w:type="dxa"/>
            <w:tcBorders>
              <w:top w:val="nil"/>
            </w:tcBorders>
            <w:shd w:val="clear" w:color="auto" w:fill="auto"/>
            <w:vAlign w:val="bottom"/>
            <w:hideMark/>
          </w:tcPr>
          <w:p w:rsidR="00525A83" w:rsidRPr="001244BB" w:rsidRDefault="00525A83" w:rsidP="00030337">
            <w:pPr>
              <w:spacing w:after="0" w:line="240" w:lineRule="auto"/>
              <w:rPr>
                <w:rFonts w:ascii="Arial" w:eastAsia="Times New Roman" w:hAnsi="Arial" w:cs="Arial"/>
                <w:color w:val="000000"/>
                <w:sz w:val="20"/>
                <w:lang w:eastAsia="en-NZ"/>
              </w:rPr>
            </w:pPr>
          </w:p>
        </w:tc>
      </w:tr>
      <w:tr w:rsidR="00525A83" w:rsidRPr="001244BB" w:rsidTr="00F43FB2">
        <w:trPr>
          <w:trHeight w:val="300"/>
        </w:trPr>
        <w:tc>
          <w:tcPr>
            <w:tcW w:w="3828" w:type="dxa"/>
            <w:shd w:val="clear" w:color="auto" w:fill="auto"/>
            <w:noWrap/>
            <w:hideMark/>
          </w:tcPr>
          <w:p w:rsidR="00525A83" w:rsidRPr="001244BB" w:rsidRDefault="00525A83" w:rsidP="00030337">
            <w:pPr>
              <w:spacing w:after="0" w:line="240" w:lineRule="auto"/>
              <w:rPr>
                <w:rFonts w:ascii="Arial" w:eastAsia="Times New Roman" w:hAnsi="Arial" w:cs="Arial"/>
                <w:color w:val="000000"/>
                <w:sz w:val="20"/>
                <w:lang w:eastAsia="en-NZ"/>
              </w:rPr>
            </w:pPr>
            <w:r w:rsidRPr="001244BB">
              <w:rPr>
                <w:rFonts w:ascii="Arial" w:eastAsia="Times New Roman" w:hAnsi="Arial" w:cs="Arial"/>
                <w:color w:val="000000"/>
                <w:sz w:val="20"/>
                <w:lang w:eastAsia="en-NZ"/>
              </w:rPr>
              <w:t>Revenue</w:t>
            </w:r>
          </w:p>
        </w:tc>
        <w:tc>
          <w:tcPr>
            <w:tcW w:w="1134" w:type="dxa"/>
            <w:shd w:val="clear" w:color="auto" w:fill="auto"/>
            <w:noWrap/>
            <w:hideMark/>
          </w:tcPr>
          <w:p w:rsidR="00525A83" w:rsidRPr="001244BB" w:rsidRDefault="00525A83" w:rsidP="00030337">
            <w:pPr>
              <w:spacing w:after="0" w:line="240" w:lineRule="auto"/>
              <w:jc w:val="right"/>
              <w:rPr>
                <w:rFonts w:ascii="Arial" w:eastAsia="Times New Roman" w:hAnsi="Arial" w:cs="Arial"/>
                <w:color w:val="000000"/>
                <w:sz w:val="20"/>
                <w:lang w:eastAsia="en-NZ"/>
              </w:rPr>
            </w:pPr>
            <w:r w:rsidRPr="001244BB">
              <w:rPr>
                <w:rFonts w:ascii="Arial" w:eastAsia="Times New Roman" w:hAnsi="Arial" w:cs="Arial"/>
                <w:color w:val="000000"/>
                <w:sz w:val="20"/>
                <w:lang w:eastAsia="en-NZ"/>
              </w:rPr>
              <w:t xml:space="preserve">                - </w:t>
            </w:r>
          </w:p>
        </w:tc>
        <w:tc>
          <w:tcPr>
            <w:tcW w:w="1134" w:type="dxa"/>
            <w:shd w:val="clear" w:color="auto" w:fill="auto"/>
            <w:noWrap/>
            <w:hideMark/>
          </w:tcPr>
          <w:p w:rsidR="00525A83" w:rsidRPr="001244BB" w:rsidRDefault="00525A83" w:rsidP="00030337">
            <w:pPr>
              <w:spacing w:after="0" w:line="240" w:lineRule="auto"/>
              <w:jc w:val="right"/>
              <w:rPr>
                <w:rFonts w:ascii="Arial" w:eastAsia="Times New Roman" w:hAnsi="Arial" w:cs="Arial"/>
                <w:color w:val="000000"/>
                <w:sz w:val="20"/>
                <w:lang w:eastAsia="en-NZ"/>
              </w:rPr>
            </w:pPr>
            <w:r w:rsidRPr="001244BB">
              <w:rPr>
                <w:rFonts w:ascii="Arial" w:eastAsia="Times New Roman" w:hAnsi="Arial" w:cs="Arial"/>
                <w:color w:val="000000"/>
                <w:sz w:val="20"/>
                <w:lang w:eastAsia="en-NZ"/>
              </w:rPr>
              <w:t xml:space="preserve">                - </w:t>
            </w:r>
          </w:p>
        </w:tc>
        <w:tc>
          <w:tcPr>
            <w:tcW w:w="1134" w:type="dxa"/>
            <w:shd w:val="clear" w:color="000000" w:fill="E8E8E8"/>
            <w:noWrap/>
            <w:hideMark/>
          </w:tcPr>
          <w:p w:rsidR="00525A83" w:rsidRPr="001244BB" w:rsidRDefault="00525A83" w:rsidP="00030337">
            <w:pPr>
              <w:spacing w:after="0" w:line="240" w:lineRule="auto"/>
              <w:jc w:val="right"/>
              <w:rPr>
                <w:rFonts w:ascii="Arial" w:eastAsia="Times New Roman" w:hAnsi="Arial" w:cs="Arial"/>
                <w:color w:val="000000"/>
                <w:sz w:val="20"/>
                <w:lang w:eastAsia="en-NZ"/>
              </w:rPr>
            </w:pPr>
            <w:r w:rsidRPr="001244BB">
              <w:rPr>
                <w:rFonts w:ascii="Arial" w:eastAsia="Times New Roman" w:hAnsi="Arial" w:cs="Arial"/>
                <w:color w:val="000000"/>
                <w:sz w:val="20"/>
                <w:lang w:eastAsia="en-NZ"/>
              </w:rPr>
              <w:t>(18)</w:t>
            </w:r>
          </w:p>
        </w:tc>
        <w:tc>
          <w:tcPr>
            <w:tcW w:w="1134" w:type="dxa"/>
            <w:shd w:val="clear" w:color="000000" w:fill="E8E8E8"/>
            <w:noWrap/>
            <w:hideMark/>
          </w:tcPr>
          <w:p w:rsidR="00525A83" w:rsidRPr="001244BB" w:rsidRDefault="00525A83" w:rsidP="00030337">
            <w:pPr>
              <w:spacing w:after="0" w:line="240" w:lineRule="auto"/>
              <w:jc w:val="right"/>
              <w:rPr>
                <w:rFonts w:ascii="Arial" w:eastAsia="Times New Roman" w:hAnsi="Arial" w:cs="Arial"/>
                <w:color w:val="000000"/>
                <w:sz w:val="20"/>
                <w:lang w:eastAsia="en-NZ"/>
              </w:rPr>
            </w:pPr>
            <w:r w:rsidRPr="001244BB">
              <w:rPr>
                <w:rFonts w:ascii="Arial" w:eastAsia="Times New Roman" w:hAnsi="Arial" w:cs="Arial"/>
                <w:color w:val="000000"/>
                <w:sz w:val="20"/>
                <w:lang w:eastAsia="en-NZ"/>
              </w:rPr>
              <w:t xml:space="preserve">                - </w:t>
            </w:r>
          </w:p>
        </w:tc>
        <w:tc>
          <w:tcPr>
            <w:tcW w:w="1134" w:type="dxa"/>
            <w:shd w:val="clear" w:color="000000" w:fill="E8E8E8"/>
            <w:noWrap/>
            <w:hideMark/>
          </w:tcPr>
          <w:p w:rsidR="00525A83" w:rsidRPr="001244BB" w:rsidRDefault="00525A83" w:rsidP="00030337">
            <w:pPr>
              <w:spacing w:after="0" w:line="240" w:lineRule="auto"/>
              <w:jc w:val="right"/>
              <w:rPr>
                <w:rFonts w:ascii="Arial" w:eastAsia="Times New Roman" w:hAnsi="Arial" w:cs="Arial"/>
                <w:color w:val="000000"/>
                <w:sz w:val="20"/>
                <w:lang w:eastAsia="en-NZ"/>
              </w:rPr>
            </w:pPr>
            <w:r w:rsidRPr="001244BB">
              <w:rPr>
                <w:rFonts w:ascii="Arial" w:eastAsia="Times New Roman" w:hAnsi="Arial" w:cs="Arial"/>
                <w:color w:val="000000"/>
                <w:sz w:val="20"/>
                <w:lang w:eastAsia="en-NZ"/>
              </w:rPr>
              <w:t>18</w:t>
            </w:r>
          </w:p>
        </w:tc>
        <w:tc>
          <w:tcPr>
            <w:tcW w:w="4677" w:type="dxa"/>
            <w:shd w:val="clear" w:color="auto" w:fill="auto"/>
            <w:vAlign w:val="bottom"/>
            <w:hideMark/>
          </w:tcPr>
          <w:p w:rsidR="00525A83" w:rsidRPr="001244BB" w:rsidRDefault="00525A83" w:rsidP="00030337">
            <w:pPr>
              <w:spacing w:after="0" w:line="240" w:lineRule="auto"/>
              <w:rPr>
                <w:rFonts w:ascii="Arial" w:eastAsia="Times New Roman" w:hAnsi="Arial" w:cs="Arial"/>
                <w:color w:val="000000"/>
                <w:sz w:val="20"/>
                <w:lang w:eastAsia="en-NZ"/>
              </w:rPr>
            </w:pPr>
          </w:p>
        </w:tc>
      </w:tr>
      <w:tr w:rsidR="00525A83" w:rsidRPr="001244BB" w:rsidTr="00F43FB2">
        <w:trPr>
          <w:trHeight w:val="300"/>
        </w:trPr>
        <w:tc>
          <w:tcPr>
            <w:tcW w:w="3828" w:type="dxa"/>
            <w:tcBorders>
              <w:bottom w:val="nil"/>
            </w:tcBorders>
            <w:shd w:val="clear" w:color="auto" w:fill="auto"/>
            <w:noWrap/>
            <w:hideMark/>
          </w:tcPr>
          <w:p w:rsidR="00525A83" w:rsidRPr="001244BB" w:rsidRDefault="00525A83" w:rsidP="00030337">
            <w:pPr>
              <w:spacing w:after="0" w:line="240" w:lineRule="auto"/>
              <w:rPr>
                <w:rFonts w:ascii="Arial" w:eastAsia="Times New Roman" w:hAnsi="Arial" w:cs="Arial"/>
                <w:color w:val="000000"/>
                <w:sz w:val="20"/>
                <w:lang w:eastAsia="en-NZ"/>
              </w:rPr>
            </w:pPr>
            <w:r w:rsidRPr="001244BB">
              <w:rPr>
                <w:rFonts w:ascii="Arial" w:eastAsia="Times New Roman" w:hAnsi="Arial" w:cs="Arial"/>
                <w:color w:val="000000"/>
                <w:sz w:val="20"/>
                <w:lang w:eastAsia="en-NZ"/>
              </w:rPr>
              <w:t>Net Expenditure</w:t>
            </w:r>
          </w:p>
        </w:tc>
        <w:tc>
          <w:tcPr>
            <w:tcW w:w="1134" w:type="dxa"/>
            <w:tcBorders>
              <w:bottom w:val="nil"/>
            </w:tcBorders>
            <w:shd w:val="clear" w:color="auto" w:fill="auto"/>
            <w:noWrap/>
            <w:hideMark/>
          </w:tcPr>
          <w:p w:rsidR="00525A83" w:rsidRPr="001244BB" w:rsidRDefault="00525A83" w:rsidP="00030337">
            <w:pPr>
              <w:spacing w:after="0" w:line="240" w:lineRule="auto"/>
              <w:jc w:val="right"/>
              <w:rPr>
                <w:rFonts w:ascii="Arial" w:eastAsia="Times New Roman" w:hAnsi="Arial" w:cs="Arial"/>
                <w:color w:val="000000"/>
                <w:sz w:val="20"/>
                <w:lang w:eastAsia="en-NZ"/>
              </w:rPr>
            </w:pPr>
            <w:r w:rsidRPr="001244BB">
              <w:rPr>
                <w:rFonts w:ascii="Arial" w:eastAsia="Times New Roman" w:hAnsi="Arial" w:cs="Arial"/>
                <w:color w:val="000000"/>
                <w:sz w:val="20"/>
                <w:lang w:eastAsia="en-NZ"/>
              </w:rPr>
              <w:t>6,755</w:t>
            </w:r>
          </w:p>
        </w:tc>
        <w:tc>
          <w:tcPr>
            <w:tcW w:w="1134" w:type="dxa"/>
            <w:tcBorders>
              <w:bottom w:val="nil"/>
            </w:tcBorders>
            <w:shd w:val="clear" w:color="auto" w:fill="auto"/>
            <w:noWrap/>
            <w:hideMark/>
          </w:tcPr>
          <w:p w:rsidR="00525A83" w:rsidRPr="001244BB" w:rsidRDefault="00525A83" w:rsidP="00030337">
            <w:pPr>
              <w:spacing w:after="0" w:line="240" w:lineRule="auto"/>
              <w:jc w:val="right"/>
              <w:rPr>
                <w:rFonts w:ascii="Arial" w:eastAsia="Times New Roman" w:hAnsi="Arial" w:cs="Arial"/>
                <w:color w:val="000000"/>
                <w:sz w:val="20"/>
                <w:lang w:eastAsia="en-NZ"/>
              </w:rPr>
            </w:pPr>
            <w:r w:rsidRPr="001244BB">
              <w:rPr>
                <w:rFonts w:ascii="Arial" w:eastAsia="Times New Roman" w:hAnsi="Arial" w:cs="Arial"/>
                <w:color w:val="000000"/>
                <w:sz w:val="20"/>
                <w:lang w:eastAsia="en-NZ"/>
              </w:rPr>
              <w:t>6,695</w:t>
            </w:r>
          </w:p>
        </w:tc>
        <w:tc>
          <w:tcPr>
            <w:tcW w:w="1134" w:type="dxa"/>
            <w:tcBorders>
              <w:bottom w:val="nil"/>
            </w:tcBorders>
            <w:shd w:val="clear" w:color="000000" w:fill="E8E8E8"/>
            <w:noWrap/>
            <w:hideMark/>
          </w:tcPr>
          <w:p w:rsidR="00525A83" w:rsidRPr="001244BB" w:rsidRDefault="00525A83" w:rsidP="00030337">
            <w:pPr>
              <w:spacing w:after="0" w:line="240" w:lineRule="auto"/>
              <w:jc w:val="right"/>
              <w:rPr>
                <w:rFonts w:ascii="Arial" w:eastAsia="Times New Roman" w:hAnsi="Arial" w:cs="Arial"/>
                <w:color w:val="000000"/>
                <w:sz w:val="20"/>
                <w:lang w:eastAsia="en-NZ"/>
              </w:rPr>
            </w:pPr>
            <w:r w:rsidRPr="001244BB">
              <w:rPr>
                <w:rFonts w:ascii="Arial" w:eastAsia="Times New Roman" w:hAnsi="Arial" w:cs="Arial"/>
                <w:color w:val="000000"/>
                <w:sz w:val="20"/>
                <w:lang w:eastAsia="en-NZ"/>
              </w:rPr>
              <w:t>6,751</w:t>
            </w:r>
          </w:p>
        </w:tc>
        <w:tc>
          <w:tcPr>
            <w:tcW w:w="1134" w:type="dxa"/>
            <w:tcBorders>
              <w:bottom w:val="nil"/>
            </w:tcBorders>
            <w:shd w:val="clear" w:color="000000" w:fill="E8E8E8"/>
            <w:noWrap/>
            <w:hideMark/>
          </w:tcPr>
          <w:p w:rsidR="00525A83" w:rsidRPr="001244BB" w:rsidRDefault="00525A83" w:rsidP="00030337">
            <w:pPr>
              <w:spacing w:after="0" w:line="240" w:lineRule="auto"/>
              <w:jc w:val="right"/>
              <w:rPr>
                <w:rFonts w:ascii="Arial" w:eastAsia="Times New Roman" w:hAnsi="Arial" w:cs="Arial"/>
                <w:color w:val="000000"/>
                <w:sz w:val="20"/>
                <w:lang w:eastAsia="en-NZ"/>
              </w:rPr>
            </w:pPr>
            <w:r w:rsidRPr="001244BB">
              <w:rPr>
                <w:rFonts w:ascii="Arial" w:eastAsia="Times New Roman" w:hAnsi="Arial" w:cs="Arial"/>
                <w:color w:val="000000"/>
                <w:sz w:val="20"/>
                <w:lang w:eastAsia="en-NZ"/>
              </w:rPr>
              <w:t>6,829</w:t>
            </w:r>
          </w:p>
        </w:tc>
        <w:tc>
          <w:tcPr>
            <w:tcW w:w="1134" w:type="dxa"/>
            <w:tcBorders>
              <w:bottom w:val="nil"/>
            </w:tcBorders>
            <w:shd w:val="clear" w:color="000000" w:fill="E8E8E8"/>
            <w:noWrap/>
            <w:hideMark/>
          </w:tcPr>
          <w:p w:rsidR="00525A83" w:rsidRPr="001244BB" w:rsidRDefault="00525A83" w:rsidP="00030337">
            <w:pPr>
              <w:spacing w:after="0" w:line="240" w:lineRule="auto"/>
              <w:jc w:val="right"/>
              <w:rPr>
                <w:rFonts w:ascii="Arial" w:eastAsia="Times New Roman" w:hAnsi="Arial" w:cs="Arial"/>
                <w:color w:val="000000"/>
                <w:sz w:val="20"/>
                <w:lang w:eastAsia="en-NZ"/>
              </w:rPr>
            </w:pPr>
            <w:r w:rsidRPr="001244BB">
              <w:rPr>
                <w:rFonts w:ascii="Arial" w:eastAsia="Times New Roman" w:hAnsi="Arial" w:cs="Arial"/>
                <w:color w:val="000000"/>
                <w:sz w:val="20"/>
                <w:lang w:eastAsia="en-NZ"/>
              </w:rPr>
              <w:t>78</w:t>
            </w:r>
          </w:p>
        </w:tc>
        <w:tc>
          <w:tcPr>
            <w:tcW w:w="4677" w:type="dxa"/>
            <w:tcBorders>
              <w:bottom w:val="nil"/>
            </w:tcBorders>
            <w:shd w:val="clear" w:color="auto" w:fill="auto"/>
            <w:vAlign w:val="bottom"/>
            <w:hideMark/>
          </w:tcPr>
          <w:p w:rsidR="00525A83" w:rsidRPr="001244BB" w:rsidRDefault="00525A83" w:rsidP="00030337">
            <w:pPr>
              <w:spacing w:after="0" w:line="240" w:lineRule="auto"/>
              <w:rPr>
                <w:rFonts w:ascii="Arial" w:eastAsia="Times New Roman" w:hAnsi="Arial" w:cs="Arial"/>
                <w:color w:val="000000"/>
                <w:sz w:val="20"/>
                <w:lang w:eastAsia="en-NZ"/>
              </w:rPr>
            </w:pPr>
            <w:r w:rsidRPr="001244BB">
              <w:rPr>
                <w:rFonts w:ascii="Arial" w:eastAsia="Times New Roman" w:hAnsi="Arial" w:cs="Arial"/>
                <w:color w:val="000000"/>
                <w:sz w:val="20"/>
                <w:lang w:eastAsia="en-NZ"/>
              </w:rPr>
              <w:t> </w:t>
            </w:r>
          </w:p>
        </w:tc>
      </w:tr>
      <w:tr w:rsidR="00525A83" w:rsidRPr="001244BB" w:rsidTr="00F43FB2">
        <w:trPr>
          <w:trHeight w:val="300"/>
        </w:trPr>
        <w:tc>
          <w:tcPr>
            <w:tcW w:w="14175" w:type="dxa"/>
            <w:gridSpan w:val="7"/>
            <w:tcBorders>
              <w:top w:val="nil"/>
              <w:bottom w:val="nil"/>
            </w:tcBorders>
            <w:shd w:val="clear" w:color="auto" w:fill="EAF1DD" w:themeFill="accent3" w:themeFillTint="33"/>
            <w:noWrap/>
            <w:vAlign w:val="bottom"/>
            <w:hideMark/>
          </w:tcPr>
          <w:p w:rsidR="00525A83" w:rsidRPr="001244BB" w:rsidRDefault="00525A83" w:rsidP="00030337">
            <w:pPr>
              <w:spacing w:after="0" w:line="240" w:lineRule="auto"/>
              <w:rPr>
                <w:rFonts w:ascii="Arial" w:eastAsia="Times New Roman" w:hAnsi="Arial" w:cs="Arial"/>
                <w:color w:val="000000"/>
                <w:sz w:val="20"/>
                <w:lang w:eastAsia="en-NZ"/>
              </w:rPr>
            </w:pPr>
            <w:r w:rsidRPr="001244BB">
              <w:rPr>
                <w:rFonts w:ascii="Arial" w:eastAsia="Times New Roman" w:hAnsi="Arial" w:cs="Arial"/>
                <w:b/>
                <w:bCs/>
                <w:color w:val="000000"/>
                <w:sz w:val="20"/>
                <w:lang w:eastAsia="en-NZ"/>
              </w:rPr>
              <w:t>Environment total</w:t>
            </w:r>
          </w:p>
        </w:tc>
      </w:tr>
      <w:tr w:rsidR="00525A83" w:rsidRPr="001244BB" w:rsidTr="00F43FB2">
        <w:trPr>
          <w:trHeight w:val="300"/>
        </w:trPr>
        <w:tc>
          <w:tcPr>
            <w:tcW w:w="3828" w:type="dxa"/>
            <w:tcBorders>
              <w:top w:val="nil"/>
            </w:tcBorders>
            <w:shd w:val="clear" w:color="auto" w:fill="auto"/>
            <w:noWrap/>
            <w:hideMark/>
          </w:tcPr>
          <w:p w:rsidR="00525A83" w:rsidRPr="001244BB" w:rsidRDefault="00525A83" w:rsidP="00030337">
            <w:pPr>
              <w:spacing w:after="0" w:line="240" w:lineRule="auto"/>
              <w:rPr>
                <w:rFonts w:ascii="Arial" w:eastAsia="Times New Roman" w:hAnsi="Arial" w:cs="Arial"/>
                <w:color w:val="000000"/>
                <w:sz w:val="20"/>
                <w:lang w:eastAsia="en-NZ"/>
              </w:rPr>
            </w:pPr>
            <w:r w:rsidRPr="001244BB">
              <w:rPr>
                <w:rFonts w:ascii="Arial" w:eastAsia="Times New Roman" w:hAnsi="Arial" w:cs="Arial"/>
                <w:color w:val="000000"/>
                <w:sz w:val="20"/>
                <w:lang w:eastAsia="en-NZ"/>
              </w:rPr>
              <w:t>Expenditure</w:t>
            </w:r>
          </w:p>
        </w:tc>
        <w:tc>
          <w:tcPr>
            <w:tcW w:w="1134" w:type="dxa"/>
            <w:tcBorders>
              <w:top w:val="nil"/>
            </w:tcBorders>
            <w:shd w:val="clear" w:color="auto" w:fill="auto"/>
            <w:noWrap/>
            <w:hideMark/>
          </w:tcPr>
          <w:p w:rsidR="00525A83" w:rsidRPr="001244BB" w:rsidRDefault="00525A83" w:rsidP="00030337">
            <w:pPr>
              <w:spacing w:after="0" w:line="240" w:lineRule="auto"/>
              <w:jc w:val="right"/>
              <w:rPr>
                <w:rFonts w:ascii="Arial" w:eastAsia="Times New Roman" w:hAnsi="Arial" w:cs="Arial"/>
                <w:color w:val="000000"/>
                <w:sz w:val="20"/>
                <w:lang w:eastAsia="en-NZ"/>
              </w:rPr>
            </w:pPr>
            <w:r w:rsidRPr="001244BB">
              <w:rPr>
                <w:rFonts w:ascii="Arial" w:eastAsia="Times New Roman" w:hAnsi="Arial" w:cs="Arial"/>
                <w:color w:val="000000"/>
                <w:sz w:val="20"/>
                <w:lang w:eastAsia="en-NZ"/>
              </w:rPr>
              <w:t>160,277</w:t>
            </w:r>
          </w:p>
        </w:tc>
        <w:tc>
          <w:tcPr>
            <w:tcW w:w="1134" w:type="dxa"/>
            <w:tcBorders>
              <w:top w:val="nil"/>
            </w:tcBorders>
            <w:shd w:val="clear" w:color="auto" w:fill="auto"/>
            <w:noWrap/>
            <w:hideMark/>
          </w:tcPr>
          <w:p w:rsidR="00525A83" w:rsidRPr="001244BB" w:rsidRDefault="00525A83" w:rsidP="00C30FFB">
            <w:pPr>
              <w:spacing w:after="0" w:line="240" w:lineRule="auto"/>
              <w:jc w:val="right"/>
              <w:rPr>
                <w:rFonts w:ascii="Arial" w:eastAsia="Times New Roman" w:hAnsi="Arial" w:cs="Arial"/>
                <w:color w:val="000000"/>
                <w:sz w:val="20"/>
                <w:lang w:eastAsia="en-NZ"/>
              </w:rPr>
            </w:pPr>
            <w:r w:rsidRPr="001244BB">
              <w:rPr>
                <w:rFonts w:ascii="Arial" w:eastAsia="Times New Roman" w:hAnsi="Arial" w:cs="Arial"/>
                <w:color w:val="000000"/>
                <w:sz w:val="20"/>
                <w:lang w:eastAsia="en-NZ"/>
              </w:rPr>
              <w:t>169,</w:t>
            </w:r>
            <w:r w:rsidR="00C30FFB" w:rsidRPr="001244BB">
              <w:rPr>
                <w:rFonts w:ascii="Arial" w:eastAsia="Times New Roman" w:hAnsi="Arial" w:cs="Arial"/>
                <w:color w:val="000000"/>
                <w:sz w:val="20"/>
                <w:lang w:eastAsia="en-NZ"/>
              </w:rPr>
              <w:t>25</w:t>
            </w:r>
            <w:r w:rsidR="00C30FFB">
              <w:rPr>
                <w:rFonts w:ascii="Arial" w:eastAsia="Times New Roman" w:hAnsi="Arial" w:cs="Arial"/>
                <w:color w:val="000000"/>
                <w:sz w:val="20"/>
                <w:lang w:eastAsia="en-NZ"/>
              </w:rPr>
              <w:t>3</w:t>
            </w:r>
          </w:p>
        </w:tc>
        <w:tc>
          <w:tcPr>
            <w:tcW w:w="1134" w:type="dxa"/>
            <w:tcBorders>
              <w:top w:val="nil"/>
            </w:tcBorders>
            <w:shd w:val="clear" w:color="000000" w:fill="E8E8E8"/>
            <w:noWrap/>
            <w:hideMark/>
          </w:tcPr>
          <w:p w:rsidR="00525A83" w:rsidRPr="001244BB" w:rsidRDefault="00525A83" w:rsidP="00030337">
            <w:pPr>
              <w:spacing w:after="0" w:line="240" w:lineRule="auto"/>
              <w:jc w:val="right"/>
              <w:rPr>
                <w:rFonts w:ascii="Arial" w:eastAsia="Times New Roman" w:hAnsi="Arial" w:cs="Arial"/>
                <w:color w:val="000000"/>
                <w:sz w:val="20"/>
                <w:lang w:eastAsia="en-NZ"/>
              </w:rPr>
            </w:pPr>
            <w:r w:rsidRPr="001244BB">
              <w:rPr>
                <w:rFonts w:ascii="Arial" w:eastAsia="Times New Roman" w:hAnsi="Arial" w:cs="Arial"/>
                <w:color w:val="000000"/>
                <w:sz w:val="20"/>
                <w:lang w:eastAsia="en-NZ"/>
              </w:rPr>
              <w:t>180,748</w:t>
            </w:r>
          </w:p>
        </w:tc>
        <w:tc>
          <w:tcPr>
            <w:tcW w:w="1134" w:type="dxa"/>
            <w:tcBorders>
              <w:top w:val="nil"/>
            </w:tcBorders>
            <w:shd w:val="clear" w:color="000000" w:fill="E8E8E8"/>
            <w:noWrap/>
            <w:hideMark/>
          </w:tcPr>
          <w:p w:rsidR="00525A83" w:rsidRPr="001244BB" w:rsidRDefault="00525A83" w:rsidP="00030337">
            <w:pPr>
              <w:spacing w:after="0" w:line="240" w:lineRule="auto"/>
              <w:jc w:val="right"/>
              <w:rPr>
                <w:rFonts w:ascii="Arial" w:eastAsia="Times New Roman" w:hAnsi="Arial" w:cs="Arial"/>
                <w:color w:val="000000"/>
                <w:sz w:val="20"/>
                <w:lang w:eastAsia="en-NZ"/>
              </w:rPr>
            </w:pPr>
            <w:r w:rsidRPr="001244BB">
              <w:rPr>
                <w:rFonts w:ascii="Arial" w:eastAsia="Times New Roman" w:hAnsi="Arial" w:cs="Arial"/>
                <w:color w:val="000000"/>
                <w:sz w:val="20"/>
                <w:lang w:eastAsia="en-NZ"/>
              </w:rPr>
              <w:t>175,418</w:t>
            </w:r>
          </w:p>
        </w:tc>
        <w:tc>
          <w:tcPr>
            <w:tcW w:w="1134" w:type="dxa"/>
            <w:tcBorders>
              <w:top w:val="nil"/>
            </w:tcBorders>
            <w:shd w:val="clear" w:color="000000" w:fill="E8E8E8"/>
            <w:noWrap/>
            <w:hideMark/>
          </w:tcPr>
          <w:p w:rsidR="00525A83" w:rsidRPr="001244BB" w:rsidRDefault="00525A83" w:rsidP="00030337">
            <w:pPr>
              <w:spacing w:after="0" w:line="240" w:lineRule="auto"/>
              <w:jc w:val="right"/>
              <w:rPr>
                <w:rFonts w:ascii="Arial" w:eastAsia="Times New Roman" w:hAnsi="Arial" w:cs="Arial"/>
                <w:color w:val="000000"/>
                <w:sz w:val="20"/>
                <w:lang w:eastAsia="en-NZ"/>
              </w:rPr>
            </w:pPr>
            <w:r w:rsidRPr="001244BB">
              <w:rPr>
                <w:rFonts w:ascii="Arial" w:eastAsia="Times New Roman" w:hAnsi="Arial" w:cs="Arial"/>
                <w:color w:val="000000"/>
                <w:sz w:val="20"/>
                <w:lang w:eastAsia="en-NZ"/>
              </w:rPr>
              <w:t>(5,330)</w:t>
            </w:r>
          </w:p>
        </w:tc>
        <w:tc>
          <w:tcPr>
            <w:tcW w:w="4677" w:type="dxa"/>
            <w:tcBorders>
              <w:top w:val="nil"/>
            </w:tcBorders>
            <w:shd w:val="clear" w:color="auto" w:fill="auto"/>
            <w:vAlign w:val="bottom"/>
            <w:hideMark/>
          </w:tcPr>
          <w:p w:rsidR="00525A83" w:rsidRPr="001244BB" w:rsidRDefault="00525A83" w:rsidP="00030337">
            <w:pPr>
              <w:spacing w:after="0" w:line="240" w:lineRule="auto"/>
              <w:rPr>
                <w:rFonts w:ascii="Arial" w:eastAsia="Times New Roman" w:hAnsi="Arial" w:cs="Arial"/>
                <w:color w:val="000000"/>
                <w:sz w:val="20"/>
                <w:lang w:eastAsia="en-NZ"/>
              </w:rPr>
            </w:pPr>
          </w:p>
        </w:tc>
      </w:tr>
      <w:tr w:rsidR="00525A83" w:rsidRPr="001244BB" w:rsidTr="00F43FB2">
        <w:trPr>
          <w:trHeight w:val="300"/>
        </w:trPr>
        <w:tc>
          <w:tcPr>
            <w:tcW w:w="3828" w:type="dxa"/>
            <w:shd w:val="clear" w:color="auto" w:fill="auto"/>
            <w:noWrap/>
            <w:hideMark/>
          </w:tcPr>
          <w:p w:rsidR="00525A83" w:rsidRPr="001244BB" w:rsidRDefault="00525A83" w:rsidP="00030337">
            <w:pPr>
              <w:spacing w:after="0" w:line="240" w:lineRule="auto"/>
              <w:rPr>
                <w:rFonts w:ascii="Arial" w:eastAsia="Times New Roman" w:hAnsi="Arial" w:cs="Arial"/>
                <w:color w:val="000000"/>
                <w:sz w:val="20"/>
                <w:lang w:eastAsia="en-NZ"/>
              </w:rPr>
            </w:pPr>
            <w:r w:rsidRPr="001244BB">
              <w:rPr>
                <w:rFonts w:ascii="Arial" w:eastAsia="Times New Roman" w:hAnsi="Arial" w:cs="Arial"/>
                <w:color w:val="000000"/>
                <w:sz w:val="20"/>
                <w:lang w:eastAsia="en-NZ"/>
              </w:rPr>
              <w:t>Revenue</w:t>
            </w:r>
          </w:p>
        </w:tc>
        <w:tc>
          <w:tcPr>
            <w:tcW w:w="1134" w:type="dxa"/>
            <w:shd w:val="clear" w:color="auto" w:fill="auto"/>
            <w:noWrap/>
            <w:hideMark/>
          </w:tcPr>
          <w:p w:rsidR="00525A83" w:rsidRPr="001244BB" w:rsidRDefault="00525A83" w:rsidP="00030337">
            <w:pPr>
              <w:spacing w:after="0" w:line="240" w:lineRule="auto"/>
              <w:jc w:val="right"/>
              <w:rPr>
                <w:rFonts w:ascii="Arial" w:eastAsia="Times New Roman" w:hAnsi="Arial" w:cs="Arial"/>
                <w:color w:val="000000"/>
                <w:sz w:val="20"/>
                <w:lang w:eastAsia="en-NZ"/>
              </w:rPr>
            </w:pPr>
            <w:r w:rsidRPr="001244BB">
              <w:rPr>
                <w:rFonts w:ascii="Arial" w:eastAsia="Times New Roman" w:hAnsi="Arial" w:cs="Arial"/>
                <w:color w:val="000000"/>
                <w:sz w:val="20"/>
                <w:lang w:eastAsia="en-NZ"/>
              </w:rPr>
              <w:t>(27,732)</w:t>
            </w:r>
          </w:p>
        </w:tc>
        <w:tc>
          <w:tcPr>
            <w:tcW w:w="1134" w:type="dxa"/>
            <w:shd w:val="clear" w:color="auto" w:fill="auto"/>
            <w:noWrap/>
            <w:hideMark/>
          </w:tcPr>
          <w:p w:rsidR="00525A83" w:rsidRPr="001244BB" w:rsidRDefault="00525A83" w:rsidP="006C5FB5">
            <w:pPr>
              <w:spacing w:after="0" w:line="240" w:lineRule="auto"/>
              <w:jc w:val="right"/>
              <w:rPr>
                <w:rFonts w:ascii="Arial" w:eastAsia="Times New Roman" w:hAnsi="Arial" w:cs="Arial"/>
                <w:color w:val="000000"/>
                <w:sz w:val="20"/>
                <w:lang w:eastAsia="en-NZ"/>
              </w:rPr>
            </w:pPr>
            <w:r w:rsidRPr="001244BB">
              <w:rPr>
                <w:rFonts w:ascii="Arial" w:eastAsia="Times New Roman" w:hAnsi="Arial" w:cs="Arial"/>
                <w:color w:val="000000"/>
                <w:sz w:val="20"/>
                <w:lang w:eastAsia="en-NZ"/>
              </w:rPr>
              <w:t>(29,</w:t>
            </w:r>
            <w:r w:rsidR="006C5FB5" w:rsidRPr="001244BB">
              <w:rPr>
                <w:rFonts w:ascii="Arial" w:eastAsia="Times New Roman" w:hAnsi="Arial" w:cs="Arial"/>
                <w:color w:val="000000"/>
                <w:sz w:val="20"/>
                <w:lang w:eastAsia="en-NZ"/>
              </w:rPr>
              <w:t>13</w:t>
            </w:r>
            <w:r w:rsidR="006C5FB5">
              <w:rPr>
                <w:rFonts w:ascii="Arial" w:eastAsia="Times New Roman" w:hAnsi="Arial" w:cs="Arial"/>
                <w:color w:val="000000"/>
                <w:sz w:val="20"/>
                <w:lang w:eastAsia="en-NZ"/>
              </w:rPr>
              <w:t>6</w:t>
            </w:r>
            <w:r w:rsidRPr="001244BB">
              <w:rPr>
                <w:rFonts w:ascii="Arial" w:eastAsia="Times New Roman" w:hAnsi="Arial" w:cs="Arial"/>
                <w:color w:val="000000"/>
                <w:sz w:val="20"/>
                <w:lang w:eastAsia="en-NZ"/>
              </w:rPr>
              <w:t>)</w:t>
            </w:r>
          </w:p>
        </w:tc>
        <w:tc>
          <w:tcPr>
            <w:tcW w:w="1134" w:type="dxa"/>
            <w:shd w:val="clear" w:color="000000" w:fill="E8E8E8"/>
            <w:noWrap/>
            <w:hideMark/>
          </w:tcPr>
          <w:p w:rsidR="00525A83" w:rsidRPr="001244BB" w:rsidRDefault="00525A83" w:rsidP="00030337">
            <w:pPr>
              <w:spacing w:after="0" w:line="240" w:lineRule="auto"/>
              <w:jc w:val="right"/>
              <w:rPr>
                <w:rFonts w:ascii="Arial" w:eastAsia="Times New Roman" w:hAnsi="Arial" w:cs="Arial"/>
                <w:color w:val="000000"/>
                <w:sz w:val="20"/>
                <w:lang w:eastAsia="en-NZ"/>
              </w:rPr>
            </w:pPr>
            <w:r w:rsidRPr="001244BB">
              <w:rPr>
                <w:rFonts w:ascii="Arial" w:eastAsia="Times New Roman" w:hAnsi="Arial" w:cs="Arial"/>
                <w:color w:val="000000"/>
                <w:sz w:val="20"/>
                <w:lang w:eastAsia="en-NZ"/>
              </w:rPr>
              <w:t>(32,062)</w:t>
            </w:r>
          </w:p>
        </w:tc>
        <w:tc>
          <w:tcPr>
            <w:tcW w:w="1134" w:type="dxa"/>
            <w:shd w:val="clear" w:color="000000" w:fill="E8E8E8"/>
            <w:noWrap/>
            <w:hideMark/>
          </w:tcPr>
          <w:p w:rsidR="00525A83" w:rsidRPr="001244BB" w:rsidRDefault="00525A83" w:rsidP="00030337">
            <w:pPr>
              <w:spacing w:after="0" w:line="240" w:lineRule="auto"/>
              <w:jc w:val="right"/>
              <w:rPr>
                <w:rFonts w:ascii="Arial" w:eastAsia="Times New Roman" w:hAnsi="Arial" w:cs="Arial"/>
                <w:color w:val="000000"/>
                <w:sz w:val="20"/>
                <w:lang w:eastAsia="en-NZ"/>
              </w:rPr>
            </w:pPr>
            <w:r w:rsidRPr="001244BB">
              <w:rPr>
                <w:rFonts w:ascii="Arial" w:eastAsia="Times New Roman" w:hAnsi="Arial" w:cs="Arial"/>
                <w:color w:val="000000"/>
                <w:sz w:val="20"/>
                <w:lang w:eastAsia="en-NZ"/>
              </w:rPr>
              <w:t>(20,333)</w:t>
            </w:r>
          </w:p>
        </w:tc>
        <w:tc>
          <w:tcPr>
            <w:tcW w:w="1134" w:type="dxa"/>
            <w:shd w:val="clear" w:color="000000" w:fill="E8E8E8"/>
            <w:noWrap/>
            <w:hideMark/>
          </w:tcPr>
          <w:p w:rsidR="00525A83" w:rsidRPr="001244BB" w:rsidRDefault="00525A83" w:rsidP="00030337">
            <w:pPr>
              <w:spacing w:after="0" w:line="240" w:lineRule="auto"/>
              <w:jc w:val="right"/>
              <w:rPr>
                <w:rFonts w:ascii="Arial" w:eastAsia="Times New Roman" w:hAnsi="Arial" w:cs="Arial"/>
                <w:color w:val="000000"/>
                <w:sz w:val="20"/>
                <w:lang w:eastAsia="en-NZ"/>
              </w:rPr>
            </w:pPr>
            <w:r w:rsidRPr="001244BB">
              <w:rPr>
                <w:rFonts w:ascii="Arial" w:eastAsia="Times New Roman" w:hAnsi="Arial" w:cs="Arial"/>
                <w:color w:val="000000"/>
                <w:sz w:val="20"/>
                <w:lang w:eastAsia="en-NZ"/>
              </w:rPr>
              <w:t>11,730</w:t>
            </w:r>
          </w:p>
        </w:tc>
        <w:tc>
          <w:tcPr>
            <w:tcW w:w="4677" w:type="dxa"/>
            <w:shd w:val="clear" w:color="auto" w:fill="auto"/>
            <w:vAlign w:val="bottom"/>
            <w:hideMark/>
          </w:tcPr>
          <w:p w:rsidR="00525A83" w:rsidRPr="001244BB" w:rsidRDefault="00525A83" w:rsidP="00030337">
            <w:pPr>
              <w:spacing w:after="0" w:line="240" w:lineRule="auto"/>
              <w:rPr>
                <w:rFonts w:ascii="Arial" w:eastAsia="Times New Roman" w:hAnsi="Arial" w:cs="Arial"/>
                <w:color w:val="000000"/>
                <w:sz w:val="20"/>
                <w:lang w:eastAsia="en-NZ"/>
              </w:rPr>
            </w:pPr>
          </w:p>
        </w:tc>
      </w:tr>
      <w:tr w:rsidR="00525A83" w:rsidRPr="001244BB" w:rsidTr="00F43FB2">
        <w:trPr>
          <w:trHeight w:val="300"/>
        </w:trPr>
        <w:tc>
          <w:tcPr>
            <w:tcW w:w="3828" w:type="dxa"/>
            <w:shd w:val="clear" w:color="auto" w:fill="auto"/>
            <w:noWrap/>
            <w:hideMark/>
          </w:tcPr>
          <w:p w:rsidR="00525A83" w:rsidRPr="001244BB" w:rsidRDefault="00525A83" w:rsidP="00030337">
            <w:pPr>
              <w:spacing w:after="0" w:line="240" w:lineRule="auto"/>
              <w:rPr>
                <w:rFonts w:ascii="Arial" w:eastAsia="Times New Roman" w:hAnsi="Arial" w:cs="Arial"/>
                <w:color w:val="000000"/>
                <w:sz w:val="20"/>
                <w:lang w:eastAsia="en-NZ"/>
              </w:rPr>
            </w:pPr>
            <w:r w:rsidRPr="001244BB">
              <w:rPr>
                <w:rFonts w:ascii="Arial" w:eastAsia="Times New Roman" w:hAnsi="Arial" w:cs="Arial"/>
                <w:color w:val="000000"/>
                <w:sz w:val="20"/>
                <w:lang w:eastAsia="en-NZ"/>
              </w:rPr>
              <w:t>Net Expenditure</w:t>
            </w:r>
          </w:p>
        </w:tc>
        <w:tc>
          <w:tcPr>
            <w:tcW w:w="1134" w:type="dxa"/>
            <w:shd w:val="clear" w:color="auto" w:fill="auto"/>
            <w:noWrap/>
            <w:hideMark/>
          </w:tcPr>
          <w:p w:rsidR="00525A83" w:rsidRPr="001244BB" w:rsidRDefault="00525A83" w:rsidP="00030337">
            <w:pPr>
              <w:spacing w:after="0" w:line="240" w:lineRule="auto"/>
              <w:jc w:val="right"/>
              <w:rPr>
                <w:rFonts w:ascii="Arial" w:eastAsia="Times New Roman" w:hAnsi="Arial" w:cs="Arial"/>
                <w:color w:val="000000"/>
                <w:sz w:val="20"/>
                <w:lang w:eastAsia="en-NZ"/>
              </w:rPr>
            </w:pPr>
            <w:r w:rsidRPr="001244BB">
              <w:rPr>
                <w:rFonts w:ascii="Arial" w:eastAsia="Times New Roman" w:hAnsi="Arial" w:cs="Arial"/>
                <w:color w:val="000000"/>
                <w:sz w:val="20"/>
                <w:lang w:eastAsia="en-NZ"/>
              </w:rPr>
              <w:t>132,545</w:t>
            </w:r>
          </w:p>
        </w:tc>
        <w:tc>
          <w:tcPr>
            <w:tcW w:w="1134" w:type="dxa"/>
            <w:shd w:val="clear" w:color="auto" w:fill="auto"/>
            <w:noWrap/>
            <w:hideMark/>
          </w:tcPr>
          <w:p w:rsidR="00525A83" w:rsidRPr="001244BB" w:rsidRDefault="00525A83" w:rsidP="006C5FB5">
            <w:pPr>
              <w:spacing w:after="0" w:line="240" w:lineRule="auto"/>
              <w:jc w:val="right"/>
              <w:rPr>
                <w:rFonts w:ascii="Arial" w:eastAsia="Times New Roman" w:hAnsi="Arial" w:cs="Arial"/>
                <w:color w:val="000000"/>
                <w:sz w:val="20"/>
                <w:lang w:eastAsia="en-NZ"/>
              </w:rPr>
            </w:pPr>
            <w:r w:rsidRPr="001244BB">
              <w:rPr>
                <w:rFonts w:ascii="Arial" w:eastAsia="Times New Roman" w:hAnsi="Arial" w:cs="Arial"/>
                <w:color w:val="000000"/>
                <w:sz w:val="20"/>
                <w:lang w:eastAsia="en-NZ"/>
              </w:rPr>
              <w:t>140,</w:t>
            </w:r>
            <w:r w:rsidR="006C5FB5" w:rsidRPr="001244BB">
              <w:rPr>
                <w:rFonts w:ascii="Arial" w:eastAsia="Times New Roman" w:hAnsi="Arial" w:cs="Arial"/>
                <w:color w:val="000000"/>
                <w:sz w:val="20"/>
                <w:lang w:eastAsia="en-NZ"/>
              </w:rPr>
              <w:t>11</w:t>
            </w:r>
            <w:r w:rsidR="006C5FB5">
              <w:rPr>
                <w:rFonts w:ascii="Arial" w:eastAsia="Times New Roman" w:hAnsi="Arial" w:cs="Arial"/>
                <w:color w:val="000000"/>
                <w:sz w:val="20"/>
                <w:lang w:eastAsia="en-NZ"/>
              </w:rPr>
              <w:t>7</w:t>
            </w:r>
          </w:p>
        </w:tc>
        <w:tc>
          <w:tcPr>
            <w:tcW w:w="1134" w:type="dxa"/>
            <w:shd w:val="clear" w:color="000000" w:fill="E8E8E8"/>
            <w:noWrap/>
            <w:hideMark/>
          </w:tcPr>
          <w:p w:rsidR="00525A83" w:rsidRPr="001244BB" w:rsidRDefault="00525A83" w:rsidP="00030337">
            <w:pPr>
              <w:spacing w:after="0" w:line="240" w:lineRule="auto"/>
              <w:jc w:val="right"/>
              <w:rPr>
                <w:rFonts w:ascii="Arial" w:eastAsia="Times New Roman" w:hAnsi="Arial" w:cs="Arial"/>
                <w:color w:val="000000"/>
                <w:sz w:val="20"/>
                <w:lang w:eastAsia="en-NZ"/>
              </w:rPr>
            </w:pPr>
            <w:r w:rsidRPr="001244BB">
              <w:rPr>
                <w:rFonts w:ascii="Arial" w:eastAsia="Times New Roman" w:hAnsi="Arial" w:cs="Arial"/>
                <w:color w:val="000000"/>
                <w:sz w:val="20"/>
                <w:lang w:eastAsia="en-NZ"/>
              </w:rPr>
              <w:t>148,686</w:t>
            </w:r>
          </w:p>
        </w:tc>
        <w:tc>
          <w:tcPr>
            <w:tcW w:w="1134" w:type="dxa"/>
            <w:shd w:val="clear" w:color="000000" w:fill="E8E8E8"/>
            <w:noWrap/>
            <w:hideMark/>
          </w:tcPr>
          <w:p w:rsidR="00525A83" w:rsidRPr="001244BB" w:rsidRDefault="00525A83" w:rsidP="00030337">
            <w:pPr>
              <w:spacing w:after="0" w:line="240" w:lineRule="auto"/>
              <w:jc w:val="right"/>
              <w:rPr>
                <w:rFonts w:ascii="Arial" w:eastAsia="Times New Roman" w:hAnsi="Arial" w:cs="Arial"/>
                <w:color w:val="000000"/>
                <w:sz w:val="20"/>
                <w:lang w:eastAsia="en-NZ"/>
              </w:rPr>
            </w:pPr>
            <w:r w:rsidRPr="001244BB">
              <w:rPr>
                <w:rFonts w:ascii="Arial" w:eastAsia="Times New Roman" w:hAnsi="Arial" w:cs="Arial"/>
                <w:color w:val="000000"/>
                <w:sz w:val="20"/>
                <w:lang w:eastAsia="en-NZ"/>
              </w:rPr>
              <w:t>155,085</w:t>
            </w:r>
          </w:p>
        </w:tc>
        <w:tc>
          <w:tcPr>
            <w:tcW w:w="1134" w:type="dxa"/>
            <w:shd w:val="clear" w:color="000000" w:fill="E8E8E8"/>
            <w:noWrap/>
            <w:hideMark/>
          </w:tcPr>
          <w:p w:rsidR="00525A83" w:rsidRPr="001244BB" w:rsidRDefault="00525A83" w:rsidP="00030337">
            <w:pPr>
              <w:spacing w:after="0" w:line="240" w:lineRule="auto"/>
              <w:jc w:val="right"/>
              <w:rPr>
                <w:rFonts w:ascii="Arial" w:eastAsia="Times New Roman" w:hAnsi="Arial" w:cs="Arial"/>
                <w:color w:val="000000"/>
                <w:sz w:val="20"/>
                <w:lang w:eastAsia="en-NZ"/>
              </w:rPr>
            </w:pPr>
            <w:r w:rsidRPr="001244BB">
              <w:rPr>
                <w:rFonts w:ascii="Arial" w:eastAsia="Times New Roman" w:hAnsi="Arial" w:cs="Arial"/>
                <w:color w:val="000000"/>
                <w:sz w:val="20"/>
                <w:lang w:eastAsia="en-NZ"/>
              </w:rPr>
              <w:t>6,399</w:t>
            </w:r>
          </w:p>
        </w:tc>
        <w:tc>
          <w:tcPr>
            <w:tcW w:w="4677" w:type="dxa"/>
            <w:shd w:val="clear" w:color="auto" w:fill="auto"/>
            <w:vAlign w:val="bottom"/>
            <w:hideMark/>
          </w:tcPr>
          <w:p w:rsidR="00525A83" w:rsidRPr="001244BB" w:rsidRDefault="00525A83" w:rsidP="00030337">
            <w:pPr>
              <w:spacing w:after="0" w:line="240" w:lineRule="auto"/>
              <w:rPr>
                <w:rFonts w:ascii="Arial" w:eastAsia="Times New Roman" w:hAnsi="Arial" w:cs="Arial"/>
                <w:color w:val="000000"/>
                <w:sz w:val="20"/>
                <w:lang w:eastAsia="en-NZ"/>
              </w:rPr>
            </w:pPr>
            <w:r w:rsidRPr="001244BB">
              <w:rPr>
                <w:rFonts w:ascii="Arial" w:eastAsia="Times New Roman" w:hAnsi="Arial" w:cs="Arial"/>
                <w:color w:val="000000"/>
                <w:sz w:val="20"/>
                <w:lang w:eastAsia="en-NZ"/>
              </w:rPr>
              <w:t> </w:t>
            </w:r>
          </w:p>
        </w:tc>
      </w:tr>
    </w:tbl>
    <w:p w:rsidR="00FD5E5C" w:rsidRPr="0045633E" w:rsidRDefault="00FD5E5C" w:rsidP="00846C1B">
      <w:pPr>
        <w:pStyle w:val="Heading4"/>
        <w:rPr>
          <w:color w:val="00B050"/>
        </w:rPr>
      </w:pPr>
      <w:r w:rsidRPr="0045633E">
        <w:rPr>
          <w:color w:val="00B050"/>
        </w:rPr>
        <w:t>What it cost (capital expenditure $000)</w:t>
      </w:r>
    </w:p>
    <w:tbl>
      <w:tblPr>
        <w:tblW w:w="14175" w:type="dxa"/>
        <w:tblInd w:w="108" w:type="dxa"/>
        <w:tblLayout w:type="fixed"/>
        <w:tblLook w:val="04A0" w:firstRow="1" w:lastRow="0" w:firstColumn="1" w:lastColumn="0" w:noHBand="0" w:noVBand="1"/>
      </w:tblPr>
      <w:tblGrid>
        <w:gridCol w:w="3119"/>
        <w:gridCol w:w="992"/>
        <w:gridCol w:w="992"/>
        <w:gridCol w:w="993"/>
        <w:gridCol w:w="1275"/>
        <w:gridCol w:w="1134"/>
        <w:gridCol w:w="1134"/>
        <w:gridCol w:w="1276"/>
        <w:gridCol w:w="3260"/>
      </w:tblGrid>
      <w:tr w:rsidR="00525A83" w:rsidRPr="001244BB" w:rsidTr="00AB3767">
        <w:trPr>
          <w:trHeight w:val="867"/>
          <w:tblHeader/>
        </w:trPr>
        <w:tc>
          <w:tcPr>
            <w:tcW w:w="3119" w:type="dxa"/>
            <w:tcBorders>
              <w:top w:val="nil"/>
              <w:left w:val="nil"/>
              <w:right w:val="single" w:sz="4" w:space="0" w:color="FFFFFF" w:themeColor="background1"/>
            </w:tcBorders>
            <w:shd w:val="clear" w:color="auto" w:fill="00B050"/>
            <w:noWrap/>
            <w:vAlign w:val="bottom"/>
            <w:hideMark/>
          </w:tcPr>
          <w:p w:rsidR="00525A83" w:rsidRPr="00F43FB2" w:rsidRDefault="00525A83" w:rsidP="00030337">
            <w:pPr>
              <w:spacing w:after="0" w:line="240" w:lineRule="auto"/>
              <w:rPr>
                <w:rFonts w:ascii="Arial" w:eastAsia="Times New Roman" w:hAnsi="Arial" w:cs="Arial"/>
                <w:b/>
                <w:bCs/>
                <w:color w:val="000000"/>
                <w:lang w:eastAsia="en-NZ"/>
              </w:rPr>
            </w:pPr>
            <w:r w:rsidRPr="00F43FB2">
              <w:rPr>
                <w:rFonts w:ascii="Arial" w:eastAsia="Times New Roman" w:hAnsi="Arial" w:cs="Arial"/>
                <w:b/>
                <w:bCs/>
                <w:color w:val="FFFFFF" w:themeColor="background1"/>
                <w:lang w:eastAsia="en-NZ"/>
              </w:rPr>
              <w:t> </w:t>
            </w:r>
            <w:r w:rsidR="00F43FB2" w:rsidRPr="00F43FB2">
              <w:rPr>
                <w:rFonts w:ascii="Arial" w:eastAsia="Times New Roman" w:hAnsi="Arial" w:cs="Arial"/>
                <w:b/>
                <w:bCs/>
                <w:color w:val="FFFFFF" w:themeColor="background1"/>
                <w:lang w:eastAsia="en-NZ"/>
              </w:rPr>
              <w:t>Environment</w:t>
            </w:r>
          </w:p>
        </w:tc>
        <w:tc>
          <w:tcPr>
            <w:tcW w:w="992" w:type="dxa"/>
            <w:tcBorders>
              <w:top w:val="nil"/>
              <w:left w:val="single" w:sz="4" w:space="0" w:color="FFFFFF" w:themeColor="background1"/>
              <w:right w:val="single" w:sz="4" w:space="0" w:color="FFFFFF" w:themeColor="background1"/>
            </w:tcBorders>
            <w:shd w:val="clear" w:color="auto" w:fill="00B050"/>
            <w:vAlign w:val="bottom"/>
            <w:hideMark/>
          </w:tcPr>
          <w:p w:rsidR="00525A83" w:rsidRPr="00F43FB2" w:rsidRDefault="00525A83" w:rsidP="00B27E9D">
            <w:pPr>
              <w:spacing w:after="0" w:line="240" w:lineRule="auto"/>
              <w:ind w:left="-50" w:firstLine="50"/>
              <w:jc w:val="center"/>
              <w:rPr>
                <w:rFonts w:ascii="Arial" w:eastAsia="Times New Roman" w:hAnsi="Arial" w:cs="Arial"/>
                <w:b/>
                <w:bCs/>
                <w:color w:val="FFFFFF" w:themeColor="background1"/>
                <w:sz w:val="21"/>
                <w:szCs w:val="21"/>
                <w:lang w:eastAsia="en-NZ"/>
              </w:rPr>
            </w:pPr>
            <w:r w:rsidRPr="00F43FB2">
              <w:rPr>
                <w:rFonts w:ascii="Arial" w:eastAsia="Times New Roman" w:hAnsi="Arial" w:cs="Arial"/>
                <w:b/>
                <w:bCs/>
                <w:color w:val="FFFFFF" w:themeColor="background1"/>
                <w:sz w:val="21"/>
                <w:szCs w:val="21"/>
                <w:lang w:eastAsia="en-NZ"/>
              </w:rPr>
              <w:t xml:space="preserve">2016/17 Actual </w:t>
            </w:r>
          </w:p>
        </w:tc>
        <w:tc>
          <w:tcPr>
            <w:tcW w:w="992" w:type="dxa"/>
            <w:tcBorders>
              <w:top w:val="nil"/>
              <w:left w:val="single" w:sz="4" w:space="0" w:color="FFFFFF" w:themeColor="background1"/>
              <w:right w:val="single" w:sz="4" w:space="0" w:color="FFFFFF" w:themeColor="background1"/>
            </w:tcBorders>
            <w:shd w:val="clear" w:color="auto" w:fill="00B050"/>
            <w:vAlign w:val="bottom"/>
            <w:hideMark/>
          </w:tcPr>
          <w:p w:rsidR="00525A83" w:rsidRPr="00F43FB2" w:rsidRDefault="00525A83" w:rsidP="00B27E9D">
            <w:pPr>
              <w:spacing w:after="0" w:line="240" w:lineRule="auto"/>
              <w:jc w:val="center"/>
              <w:rPr>
                <w:rFonts w:ascii="Arial" w:eastAsia="Times New Roman" w:hAnsi="Arial" w:cs="Arial"/>
                <w:b/>
                <w:bCs/>
                <w:color w:val="FFFFFF" w:themeColor="background1"/>
                <w:sz w:val="21"/>
                <w:szCs w:val="21"/>
                <w:lang w:eastAsia="en-NZ"/>
              </w:rPr>
            </w:pPr>
            <w:r w:rsidRPr="00F43FB2">
              <w:rPr>
                <w:rFonts w:ascii="Arial" w:eastAsia="Times New Roman" w:hAnsi="Arial" w:cs="Arial"/>
                <w:b/>
                <w:bCs/>
                <w:color w:val="FFFFFF" w:themeColor="background1"/>
                <w:sz w:val="21"/>
                <w:szCs w:val="21"/>
                <w:lang w:eastAsia="en-NZ"/>
              </w:rPr>
              <w:t xml:space="preserve">2017/18 Actual </w:t>
            </w:r>
          </w:p>
        </w:tc>
        <w:tc>
          <w:tcPr>
            <w:tcW w:w="993" w:type="dxa"/>
            <w:tcBorders>
              <w:top w:val="nil"/>
              <w:left w:val="single" w:sz="4" w:space="0" w:color="FFFFFF" w:themeColor="background1"/>
              <w:right w:val="single" w:sz="4" w:space="0" w:color="FFFFFF" w:themeColor="background1"/>
            </w:tcBorders>
            <w:shd w:val="clear" w:color="auto" w:fill="00B050"/>
            <w:vAlign w:val="bottom"/>
            <w:hideMark/>
          </w:tcPr>
          <w:p w:rsidR="00525A83" w:rsidRPr="00F43FB2" w:rsidRDefault="00525A83" w:rsidP="00AB3767">
            <w:pPr>
              <w:spacing w:after="0" w:line="240" w:lineRule="auto"/>
              <w:jc w:val="center"/>
              <w:rPr>
                <w:rFonts w:ascii="Arial" w:eastAsia="Times New Roman" w:hAnsi="Arial" w:cs="Arial"/>
                <w:b/>
                <w:bCs/>
                <w:color w:val="FFFFFF" w:themeColor="background1"/>
                <w:sz w:val="21"/>
                <w:szCs w:val="21"/>
                <w:lang w:eastAsia="en-NZ"/>
              </w:rPr>
            </w:pPr>
            <w:r w:rsidRPr="00F43FB2">
              <w:rPr>
                <w:rFonts w:ascii="Arial" w:eastAsia="Times New Roman" w:hAnsi="Arial" w:cs="Arial"/>
                <w:b/>
                <w:bCs/>
                <w:color w:val="FFFFFF" w:themeColor="background1"/>
                <w:sz w:val="21"/>
                <w:szCs w:val="21"/>
                <w:lang w:eastAsia="en-NZ"/>
              </w:rPr>
              <w:t xml:space="preserve">2018/19 </w:t>
            </w:r>
            <w:r w:rsidR="00B27E9D">
              <w:rPr>
                <w:rFonts w:ascii="Arial" w:eastAsia="Times New Roman" w:hAnsi="Arial" w:cs="Arial"/>
                <w:b/>
                <w:bCs/>
                <w:color w:val="FFFFFF" w:themeColor="background1"/>
                <w:sz w:val="21"/>
                <w:szCs w:val="21"/>
                <w:lang w:eastAsia="en-NZ"/>
              </w:rPr>
              <w:t>Budget</w:t>
            </w:r>
          </w:p>
        </w:tc>
        <w:tc>
          <w:tcPr>
            <w:tcW w:w="1275" w:type="dxa"/>
            <w:tcBorders>
              <w:top w:val="nil"/>
              <w:left w:val="single" w:sz="4" w:space="0" w:color="FFFFFF" w:themeColor="background1"/>
              <w:right w:val="single" w:sz="4" w:space="0" w:color="FFFFFF" w:themeColor="background1"/>
            </w:tcBorders>
            <w:shd w:val="clear" w:color="auto" w:fill="00B050"/>
            <w:vAlign w:val="bottom"/>
            <w:hideMark/>
          </w:tcPr>
          <w:p w:rsidR="00525A83" w:rsidRPr="00F43FB2" w:rsidRDefault="00525A83" w:rsidP="00AB3767">
            <w:pPr>
              <w:spacing w:after="0" w:line="240" w:lineRule="auto"/>
              <w:jc w:val="center"/>
              <w:rPr>
                <w:rFonts w:ascii="Arial" w:eastAsia="Times New Roman" w:hAnsi="Arial" w:cs="Arial"/>
                <w:b/>
                <w:bCs/>
                <w:color w:val="FFFFFF" w:themeColor="background1"/>
                <w:sz w:val="21"/>
                <w:szCs w:val="21"/>
                <w:lang w:eastAsia="en-NZ"/>
              </w:rPr>
            </w:pPr>
            <w:r w:rsidRPr="00F43FB2">
              <w:rPr>
                <w:rFonts w:ascii="Arial" w:eastAsia="Times New Roman" w:hAnsi="Arial" w:cs="Arial"/>
                <w:b/>
                <w:bCs/>
                <w:color w:val="FFFFFF" w:themeColor="background1"/>
                <w:sz w:val="21"/>
                <w:szCs w:val="21"/>
                <w:lang w:eastAsia="en-NZ"/>
              </w:rPr>
              <w:t>2018/19 Revisions</w:t>
            </w:r>
          </w:p>
        </w:tc>
        <w:tc>
          <w:tcPr>
            <w:tcW w:w="1134" w:type="dxa"/>
            <w:tcBorders>
              <w:top w:val="nil"/>
              <w:left w:val="single" w:sz="4" w:space="0" w:color="FFFFFF" w:themeColor="background1"/>
              <w:right w:val="single" w:sz="4" w:space="0" w:color="FFFFFF" w:themeColor="background1"/>
            </w:tcBorders>
            <w:shd w:val="clear" w:color="auto" w:fill="00B050"/>
            <w:vAlign w:val="bottom"/>
            <w:hideMark/>
          </w:tcPr>
          <w:p w:rsidR="00525A83" w:rsidRPr="00F43FB2" w:rsidRDefault="00525A83" w:rsidP="00AB3767">
            <w:pPr>
              <w:spacing w:after="0" w:line="240" w:lineRule="auto"/>
              <w:jc w:val="center"/>
              <w:rPr>
                <w:rFonts w:ascii="Arial" w:eastAsia="Times New Roman" w:hAnsi="Arial" w:cs="Arial"/>
                <w:b/>
                <w:bCs/>
                <w:color w:val="FFFFFF" w:themeColor="background1"/>
                <w:sz w:val="21"/>
                <w:szCs w:val="21"/>
                <w:lang w:eastAsia="en-NZ"/>
              </w:rPr>
            </w:pPr>
            <w:r w:rsidRPr="00F43FB2">
              <w:rPr>
                <w:rFonts w:ascii="Arial" w:eastAsia="Times New Roman" w:hAnsi="Arial" w:cs="Arial"/>
                <w:b/>
                <w:bCs/>
                <w:color w:val="FFFFFF" w:themeColor="background1"/>
                <w:sz w:val="21"/>
                <w:szCs w:val="21"/>
                <w:lang w:eastAsia="en-NZ"/>
              </w:rPr>
              <w:t>2018/19 Actual</w:t>
            </w:r>
          </w:p>
        </w:tc>
        <w:tc>
          <w:tcPr>
            <w:tcW w:w="1134" w:type="dxa"/>
            <w:tcBorders>
              <w:top w:val="nil"/>
              <w:left w:val="single" w:sz="4" w:space="0" w:color="FFFFFF" w:themeColor="background1"/>
              <w:right w:val="single" w:sz="4" w:space="0" w:color="FFFFFF" w:themeColor="background1"/>
            </w:tcBorders>
            <w:shd w:val="clear" w:color="auto" w:fill="00B050"/>
            <w:vAlign w:val="bottom"/>
            <w:hideMark/>
          </w:tcPr>
          <w:p w:rsidR="00525A83" w:rsidRPr="00F43FB2" w:rsidRDefault="00525A83" w:rsidP="00AB3767">
            <w:pPr>
              <w:spacing w:after="0" w:line="240" w:lineRule="auto"/>
              <w:jc w:val="center"/>
              <w:rPr>
                <w:rFonts w:ascii="Arial" w:eastAsia="Times New Roman" w:hAnsi="Arial" w:cs="Arial"/>
                <w:b/>
                <w:bCs/>
                <w:color w:val="FFFFFF" w:themeColor="background1"/>
                <w:sz w:val="21"/>
                <w:szCs w:val="21"/>
                <w:lang w:eastAsia="en-NZ"/>
              </w:rPr>
            </w:pPr>
            <w:r w:rsidRPr="00F43FB2">
              <w:rPr>
                <w:rFonts w:ascii="Arial" w:eastAsia="Times New Roman" w:hAnsi="Arial" w:cs="Arial"/>
                <w:b/>
                <w:bCs/>
                <w:color w:val="FFFFFF" w:themeColor="background1"/>
                <w:sz w:val="21"/>
                <w:szCs w:val="21"/>
                <w:lang w:eastAsia="en-NZ"/>
              </w:rPr>
              <w:t>2018/19 Revised budget</w:t>
            </w:r>
          </w:p>
        </w:tc>
        <w:tc>
          <w:tcPr>
            <w:tcW w:w="1276" w:type="dxa"/>
            <w:tcBorders>
              <w:top w:val="nil"/>
              <w:left w:val="single" w:sz="4" w:space="0" w:color="FFFFFF" w:themeColor="background1"/>
              <w:right w:val="single" w:sz="4" w:space="0" w:color="FFFFFF" w:themeColor="background1"/>
            </w:tcBorders>
            <w:shd w:val="clear" w:color="auto" w:fill="00B050"/>
            <w:vAlign w:val="bottom"/>
            <w:hideMark/>
          </w:tcPr>
          <w:p w:rsidR="00525A83" w:rsidRPr="00F43FB2" w:rsidRDefault="00525A83" w:rsidP="00AB3767">
            <w:pPr>
              <w:spacing w:after="0" w:line="240" w:lineRule="auto"/>
              <w:jc w:val="center"/>
              <w:rPr>
                <w:rFonts w:ascii="Arial" w:eastAsia="Times New Roman" w:hAnsi="Arial" w:cs="Arial"/>
                <w:b/>
                <w:bCs/>
                <w:color w:val="FFFFFF" w:themeColor="background1"/>
                <w:sz w:val="21"/>
                <w:szCs w:val="21"/>
                <w:lang w:eastAsia="en-NZ"/>
              </w:rPr>
            </w:pPr>
            <w:r w:rsidRPr="00F43FB2">
              <w:rPr>
                <w:rFonts w:ascii="Arial" w:eastAsia="Times New Roman" w:hAnsi="Arial" w:cs="Arial"/>
                <w:b/>
                <w:bCs/>
                <w:color w:val="FFFFFF" w:themeColor="background1"/>
                <w:sz w:val="21"/>
                <w:szCs w:val="21"/>
                <w:lang w:eastAsia="en-NZ"/>
              </w:rPr>
              <w:t>2018/19  Variance to revised budget</w:t>
            </w:r>
          </w:p>
        </w:tc>
        <w:tc>
          <w:tcPr>
            <w:tcW w:w="3260" w:type="dxa"/>
            <w:tcBorders>
              <w:top w:val="nil"/>
              <w:left w:val="single" w:sz="4" w:space="0" w:color="FFFFFF" w:themeColor="background1"/>
              <w:right w:val="nil"/>
            </w:tcBorders>
            <w:shd w:val="clear" w:color="auto" w:fill="00B050"/>
            <w:noWrap/>
            <w:vAlign w:val="bottom"/>
            <w:hideMark/>
          </w:tcPr>
          <w:p w:rsidR="00525A83" w:rsidRPr="00F43FB2" w:rsidRDefault="00525A83" w:rsidP="00F43FB2">
            <w:pPr>
              <w:spacing w:after="0" w:line="240" w:lineRule="auto"/>
              <w:jc w:val="center"/>
              <w:rPr>
                <w:rFonts w:ascii="Arial" w:eastAsia="Times New Roman" w:hAnsi="Arial" w:cs="Arial"/>
                <w:b/>
                <w:bCs/>
                <w:color w:val="FFFFFF" w:themeColor="background1"/>
                <w:lang w:eastAsia="en-NZ"/>
              </w:rPr>
            </w:pPr>
            <w:r w:rsidRPr="00F43FB2">
              <w:rPr>
                <w:rFonts w:ascii="Arial" w:eastAsia="Times New Roman" w:hAnsi="Arial" w:cs="Arial"/>
                <w:b/>
                <w:bCs/>
                <w:color w:val="FFFFFF" w:themeColor="background1"/>
                <w:lang w:eastAsia="en-NZ"/>
              </w:rPr>
              <w:t>Variance Commentary</w:t>
            </w:r>
          </w:p>
        </w:tc>
      </w:tr>
      <w:tr w:rsidR="00525A83" w:rsidRPr="001244BB" w:rsidTr="00F43FB2">
        <w:trPr>
          <w:trHeight w:val="300"/>
        </w:trPr>
        <w:tc>
          <w:tcPr>
            <w:tcW w:w="14175" w:type="dxa"/>
            <w:gridSpan w:val="9"/>
            <w:tcBorders>
              <w:left w:val="nil"/>
              <w:right w:val="nil"/>
            </w:tcBorders>
            <w:shd w:val="clear" w:color="auto" w:fill="EAF1DD" w:themeFill="accent3" w:themeFillTint="33"/>
            <w:noWrap/>
            <w:vAlign w:val="bottom"/>
            <w:hideMark/>
          </w:tcPr>
          <w:p w:rsidR="00525A83" w:rsidRPr="001244BB" w:rsidRDefault="00525A83" w:rsidP="00030337">
            <w:pPr>
              <w:spacing w:after="0" w:line="240" w:lineRule="auto"/>
              <w:rPr>
                <w:rFonts w:ascii="Arial" w:eastAsia="Times New Roman" w:hAnsi="Arial" w:cs="Arial"/>
                <w:color w:val="000000"/>
                <w:sz w:val="20"/>
                <w:lang w:eastAsia="en-NZ"/>
              </w:rPr>
            </w:pPr>
            <w:r w:rsidRPr="001244BB">
              <w:rPr>
                <w:rFonts w:ascii="Arial" w:eastAsia="Times New Roman" w:hAnsi="Arial" w:cs="Arial"/>
                <w:b/>
                <w:bCs/>
                <w:color w:val="000000"/>
                <w:sz w:val="20"/>
                <w:lang w:eastAsia="en-NZ"/>
              </w:rPr>
              <w:t>2.1 Gardens, beaches and green open spaces</w:t>
            </w:r>
            <w:r w:rsidRPr="001244BB">
              <w:rPr>
                <w:rFonts w:ascii="Arial" w:eastAsia="Times New Roman" w:hAnsi="Arial" w:cs="Arial"/>
                <w:color w:val="000000"/>
                <w:sz w:val="20"/>
                <w:lang w:eastAsia="en-NZ"/>
              </w:rPr>
              <w:t> </w:t>
            </w:r>
          </w:p>
        </w:tc>
      </w:tr>
      <w:tr w:rsidR="00525A83" w:rsidRPr="001244BB" w:rsidTr="00F43FB2">
        <w:trPr>
          <w:trHeight w:val="300"/>
        </w:trPr>
        <w:tc>
          <w:tcPr>
            <w:tcW w:w="3119" w:type="dxa"/>
            <w:tcBorders>
              <w:left w:val="nil"/>
              <w:right w:val="single" w:sz="4" w:space="0" w:color="00B050"/>
            </w:tcBorders>
            <w:shd w:val="clear" w:color="auto" w:fill="auto"/>
            <w:noWrap/>
            <w:hideMark/>
          </w:tcPr>
          <w:p w:rsidR="00525A83" w:rsidRPr="001244BB" w:rsidRDefault="00525A83" w:rsidP="00030337">
            <w:pPr>
              <w:spacing w:after="0" w:line="240" w:lineRule="auto"/>
              <w:ind w:firstLineChars="100" w:firstLine="200"/>
              <w:rPr>
                <w:rFonts w:ascii="Arial" w:eastAsia="Times New Roman" w:hAnsi="Arial" w:cs="Arial"/>
                <w:color w:val="000000"/>
                <w:sz w:val="20"/>
                <w:lang w:eastAsia="en-NZ"/>
              </w:rPr>
            </w:pPr>
            <w:r w:rsidRPr="001244BB">
              <w:rPr>
                <w:rFonts w:ascii="Arial" w:eastAsia="Times New Roman" w:hAnsi="Arial" w:cs="Arial"/>
                <w:color w:val="000000"/>
                <w:sz w:val="20"/>
                <w:lang w:eastAsia="en-NZ"/>
              </w:rPr>
              <w:t>Expenditure</w:t>
            </w:r>
          </w:p>
        </w:tc>
        <w:tc>
          <w:tcPr>
            <w:tcW w:w="992" w:type="dxa"/>
            <w:tcBorders>
              <w:left w:val="single" w:sz="4" w:space="0" w:color="00B050"/>
              <w:right w:val="single" w:sz="4" w:space="0" w:color="00B050"/>
            </w:tcBorders>
            <w:shd w:val="clear" w:color="auto" w:fill="auto"/>
            <w:noWrap/>
            <w:hideMark/>
          </w:tcPr>
          <w:p w:rsidR="00525A83" w:rsidRPr="001244BB" w:rsidRDefault="00525A83" w:rsidP="00030337">
            <w:pPr>
              <w:spacing w:after="0" w:line="240" w:lineRule="auto"/>
              <w:jc w:val="right"/>
              <w:rPr>
                <w:rFonts w:ascii="Arial" w:eastAsia="Times New Roman" w:hAnsi="Arial" w:cs="Arial"/>
                <w:color w:val="000000"/>
                <w:sz w:val="20"/>
                <w:lang w:eastAsia="en-NZ"/>
              </w:rPr>
            </w:pPr>
            <w:r w:rsidRPr="001244BB">
              <w:rPr>
                <w:rFonts w:ascii="Arial" w:eastAsia="Times New Roman" w:hAnsi="Arial" w:cs="Arial"/>
                <w:color w:val="000000"/>
                <w:sz w:val="20"/>
                <w:lang w:eastAsia="en-NZ"/>
              </w:rPr>
              <w:t>6,102</w:t>
            </w:r>
          </w:p>
        </w:tc>
        <w:tc>
          <w:tcPr>
            <w:tcW w:w="992" w:type="dxa"/>
            <w:tcBorders>
              <w:left w:val="single" w:sz="4" w:space="0" w:color="00B050"/>
              <w:right w:val="single" w:sz="4" w:space="0" w:color="00B050"/>
            </w:tcBorders>
            <w:shd w:val="clear" w:color="auto" w:fill="auto"/>
            <w:noWrap/>
            <w:hideMark/>
          </w:tcPr>
          <w:p w:rsidR="00525A83" w:rsidRPr="001244BB" w:rsidRDefault="00525A83" w:rsidP="00030337">
            <w:pPr>
              <w:spacing w:after="0" w:line="240" w:lineRule="auto"/>
              <w:jc w:val="right"/>
              <w:rPr>
                <w:rFonts w:ascii="Arial" w:eastAsia="Times New Roman" w:hAnsi="Arial" w:cs="Arial"/>
                <w:color w:val="000000"/>
                <w:sz w:val="20"/>
                <w:lang w:eastAsia="en-NZ"/>
              </w:rPr>
            </w:pPr>
            <w:r w:rsidRPr="001244BB">
              <w:rPr>
                <w:rFonts w:ascii="Arial" w:eastAsia="Times New Roman" w:hAnsi="Arial" w:cs="Arial"/>
                <w:color w:val="000000"/>
                <w:sz w:val="20"/>
                <w:lang w:eastAsia="en-NZ"/>
              </w:rPr>
              <w:t>4,136</w:t>
            </w:r>
          </w:p>
        </w:tc>
        <w:tc>
          <w:tcPr>
            <w:tcW w:w="993" w:type="dxa"/>
            <w:tcBorders>
              <w:left w:val="single" w:sz="4" w:space="0" w:color="00B050"/>
              <w:right w:val="single" w:sz="4" w:space="0" w:color="00B050"/>
            </w:tcBorders>
            <w:shd w:val="clear" w:color="auto" w:fill="auto"/>
            <w:noWrap/>
            <w:hideMark/>
          </w:tcPr>
          <w:p w:rsidR="00525A83" w:rsidRPr="001244BB" w:rsidRDefault="00525A83" w:rsidP="00030337">
            <w:pPr>
              <w:spacing w:after="0" w:line="240" w:lineRule="auto"/>
              <w:jc w:val="right"/>
              <w:rPr>
                <w:rFonts w:ascii="Arial" w:eastAsia="Times New Roman" w:hAnsi="Arial" w:cs="Arial"/>
                <w:color w:val="000000"/>
                <w:sz w:val="20"/>
                <w:lang w:eastAsia="en-NZ"/>
              </w:rPr>
            </w:pPr>
            <w:r w:rsidRPr="001244BB">
              <w:rPr>
                <w:rFonts w:ascii="Arial" w:eastAsia="Times New Roman" w:hAnsi="Arial" w:cs="Arial"/>
                <w:color w:val="000000"/>
                <w:sz w:val="20"/>
                <w:lang w:eastAsia="en-NZ"/>
              </w:rPr>
              <w:t>6,716</w:t>
            </w:r>
          </w:p>
        </w:tc>
        <w:tc>
          <w:tcPr>
            <w:tcW w:w="1275" w:type="dxa"/>
            <w:tcBorders>
              <w:left w:val="single" w:sz="4" w:space="0" w:color="00B050"/>
              <w:right w:val="single" w:sz="4" w:space="0" w:color="00B050"/>
            </w:tcBorders>
            <w:shd w:val="clear" w:color="auto" w:fill="auto"/>
            <w:noWrap/>
            <w:hideMark/>
          </w:tcPr>
          <w:p w:rsidR="00525A83" w:rsidRPr="001244BB" w:rsidRDefault="00525A83" w:rsidP="00030337">
            <w:pPr>
              <w:spacing w:after="0" w:line="240" w:lineRule="auto"/>
              <w:jc w:val="right"/>
              <w:rPr>
                <w:rFonts w:ascii="Arial" w:eastAsia="Times New Roman" w:hAnsi="Arial" w:cs="Arial"/>
                <w:color w:val="000000"/>
                <w:sz w:val="20"/>
                <w:lang w:eastAsia="en-NZ"/>
              </w:rPr>
            </w:pPr>
            <w:r w:rsidRPr="001244BB">
              <w:rPr>
                <w:rFonts w:ascii="Arial" w:eastAsia="Times New Roman" w:hAnsi="Arial" w:cs="Arial"/>
                <w:color w:val="000000"/>
                <w:sz w:val="20"/>
                <w:lang w:eastAsia="en-NZ"/>
              </w:rPr>
              <w:t>159</w:t>
            </w:r>
          </w:p>
        </w:tc>
        <w:tc>
          <w:tcPr>
            <w:tcW w:w="1134" w:type="dxa"/>
            <w:tcBorders>
              <w:left w:val="single" w:sz="4" w:space="0" w:color="00B050"/>
              <w:right w:val="single" w:sz="4" w:space="0" w:color="00B050"/>
            </w:tcBorders>
            <w:shd w:val="clear" w:color="000000" w:fill="E0E0E0"/>
            <w:noWrap/>
            <w:hideMark/>
          </w:tcPr>
          <w:p w:rsidR="00525A83" w:rsidRPr="001244BB" w:rsidRDefault="00525A83" w:rsidP="00030337">
            <w:pPr>
              <w:spacing w:after="0" w:line="240" w:lineRule="auto"/>
              <w:jc w:val="right"/>
              <w:rPr>
                <w:rFonts w:ascii="Arial" w:eastAsia="Times New Roman" w:hAnsi="Arial" w:cs="Arial"/>
                <w:color w:val="000000"/>
                <w:sz w:val="20"/>
                <w:lang w:eastAsia="en-NZ"/>
              </w:rPr>
            </w:pPr>
            <w:r w:rsidRPr="001244BB">
              <w:rPr>
                <w:rFonts w:ascii="Arial" w:eastAsia="Times New Roman" w:hAnsi="Arial" w:cs="Arial"/>
                <w:color w:val="000000"/>
                <w:sz w:val="20"/>
                <w:lang w:eastAsia="en-NZ"/>
              </w:rPr>
              <w:t>6,446</w:t>
            </w:r>
          </w:p>
        </w:tc>
        <w:tc>
          <w:tcPr>
            <w:tcW w:w="1134" w:type="dxa"/>
            <w:tcBorders>
              <w:left w:val="single" w:sz="4" w:space="0" w:color="00B050"/>
              <w:right w:val="single" w:sz="4" w:space="0" w:color="00B050"/>
            </w:tcBorders>
            <w:shd w:val="clear" w:color="000000" w:fill="E0E0E0"/>
            <w:noWrap/>
            <w:hideMark/>
          </w:tcPr>
          <w:p w:rsidR="00525A83" w:rsidRPr="001244BB" w:rsidRDefault="00525A83" w:rsidP="00030337">
            <w:pPr>
              <w:spacing w:after="0" w:line="240" w:lineRule="auto"/>
              <w:jc w:val="right"/>
              <w:rPr>
                <w:rFonts w:ascii="Arial" w:eastAsia="Times New Roman" w:hAnsi="Arial" w:cs="Arial"/>
                <w:color w:val="000000"/>
                <w:sz w:val="20"/>
                <w:lang w:eastAsia="en-NZ"/>
              </w:rPr>
            </w:pPr>
            <w:r w:rsidRPr="001244BB">
              <w:rPr>
                <w:rFonts w:ascii="Arial" w:eastAsia="Times New Roman" w:hAnsi="Arial" w:cs="Arial"/>
                <w:color w:val="000000"/>
                <w:sz w:val="20"/>
                <w:lang w:eastAsia="en-NZ"/>
              </w:rPr>
              <w:t>6,876</w:t>
            </w:r>
          </w:p>
        </w:tc>
        <w:tc>
          <w:tcPr>
            <w:tcW w:w="1276" w:type="dxa"/>
            <w:tcBorders>
              <w:left w:val="single" w:sz="4" w:space="0" w:color="00B050"/>
              <w:right w:val="single" w:sz="4" w:space="0" w:color="00B050"/>
            </w:tcBorders>
            <w:shd w:val="clear" w:color="000000" w:fill="E0E0E0"/>
            <w:noWrap/>
            <w:hideMark/>
          </w:tcPr>
          <w:p w:rsidR="00525A83" w:rsidRPr="001244BB" w:rsidRDefault="00525A83" w:rsidP="00030337">
            <w:pPr>
              <w:spacing w:after="0" w:line="240" w:lineRule="auto"/>
              <w:jc w:val="right"/>
              <w:rPr>
                <w:rFonts w:ascii="Arial" w:eastAsia="Times New Roman" w:hAnsi="Arial" w:cs="Arial"/>
                <w:color w:val="000000"/>
                <w:sz w:val="20"/>
                <w:lang w:eastAsia="en-NZ"/>
              </w:rPr>
            </w:pPr>
            <w:r w:rsidRPr="001244BB">
              <w:rPr>
                <w:rFonts w:ascii="Arial" w:eastAsia="Times New Roman" w:hAnsi="Arial" w:cs="Arial"/>
                <w:color w:val="000000"/>
                <w:sz w:val="20"/>
                <w:lang w:eastAsia="en-NZ"/>
              </w:rPr>
              <w:t>430</w:t>
            </w:r>
          </w:p>
        </w:tc>
        <w:tc>
          <w:tcPr>
            <w:tcW w:w="3260" w:type="dxa"/>
            <w:tcBorders>
              <w:left w:val="single" w:sz="4" w:space="0" w:color="00B050"/>
              <w:right w:val="nil"/>
            </w:tcBorders>
            <w:shd w:val="clear" w:color="auto" w:fill="auto"/>
            <w:vAlign w:val="bottom"/>
            <w:hideMark/>
          </w:tcPr>
          <w:p w:rsidR="00525A83" w:rsidRPr="001244BB" w:rsidRDefault="00525A83" w:rsidP="00030337">
            <w:pPr>
              <w:spacing w:after="0" w:line="240" w:lineRule="auto"/>
              <w:rPr>
                <w:rFonts w:ascii="Arial" w:eastAsia="Times New Roman" w:hAnsi="Arial" w:cs="Arial"/>
                <w:color w:val="000000"/>
                <w:szCs w:val="24"/>
                <w:lang w:eastAsia="en-NZ"/>
              </w:rPr>
            </w:pPr>
          </w:p>
        </w:tc>
      </w:tr>
      <w:tr w:rsidR="00525A83" w:rsidRPr="001244BB" w:rsidTr="00F43FB2">
        <w:trPr>
          <w:trHeight w:val="300"/>
        </w:trPr>
        <w:tc>
          <w:tcPr>
            <w:tcW w:w="14175" w:type="dxa"/>
            <w:gridSpan w:val="9"/>
            <w:tcBorders>
              <w:left w:val="nil"/>
              <w:right w:val="nil"/>
            </w:tcBorders>
            <w:shd w:val="clear" w:color="auto" w:fill="EAF1DD" w:themeFill="accent3" w:themeFillTint="33"/>
            <w:noWrap/>
            <w:vAlign w:val="bottom"/>
            <w:hideMark/>
          </w:tcPr>
          <w:p w:rsidR="00525A83" w:rsidRPr="001244BB" w:rsidRDefault="00525A83" w:rsidP="00030337">
            <w:pPr>
              <w:spacing w:after="0" w:line="240" w:lineRule="auto"/>
              <w:rPr>
                <w:rFonts w:ascii="Arial" w:eastAsia="Times New Roman" w:hAnsi="Arial" w:cs="Arial"/>
                <w:color w:val="000000"/>
                <w:sz w:val="20"/>
                <w:lang w:eastAsia="en-NZ"/>
              </w:rPr>
            </w:pPr>
            <w:r w:rsidRPr="001244BB">
              <w:rPr>
                <w:rFonts w:ascii="Arial" w:eastAsia="Times New Roman" w:hAnsi="Arial" w:cs="Arial"/>
                <w:b/>
                <w:bCs/>
                <w:color w:val="000000"/>
                <w:sz w:val="20"/>
                <w:lang w:eastAsia="en-NZ"/>
              </w:rPr>
              <w:t>2.2 Waste reduction and energy conservation</w:t>
            </w:r>
            <w:r w:rsidRPr="001244BB">
              <w:rPr>
                <w:rFonts w:ascii="Arial" w:eastAsia="Times New Roman" w:hAnsi="Arial" w:cs="Arial"/>
                <w:color w:val="000000"/>
                <w:sz w:val="20"/>
                <w:lang w:eastAsia="en-NZ"/>
              </w:rPr>
              <w:t> </w:t>
            </w:r>
          </w:p>
        </w:tc>
      </w:tr>
      <w:tr w:rsidR="00525A83" w:rsidRPr="001244BB" w:rsidTr="00F43FB2">
        <w:trPr>
          <w:trHeight w:val="288"/>
        </w:trPr>
        <w:tc>
          <w:tcPr>
            <w:tcW w:w="3119" w:type="dxa"/>
            <w:tcBorders>
              <w:left w:val="nil"/>
              <w:right w:val="single" w:sz="4" w:space="0" w:color="00B050"/>
            </w:tcBorders>
            <w:shd w:val="clear" w:color="auto" w:fill="auto"/>
            <w:noWrap/>
            <w:hideMark/>
          </w:tcPr>
          <w:p w:rsidR="00525A83" w:rsidRPr="001244BB" w:rsidRDefault="00525A83" w:rsidP="00030337">
            <w:pPr>
              <w:spacing w:after="0" w:line="240" w:lineRule="auto"/>
              <w:ind w:firstLineChars="100" w:firstLine="200"/>
              <w:rPr>
                <w:rFonts w:ascii="Arial" w:eastAsia="Times New Roman" w:hAnsi="Arial" w:cs="Arial"/>
                <w:color w:val="000000"/>
                <w:sz w:val="20"/>
                <w:lang w:eastAsia="en-NZ"/>
              </w:rPr>
            </w:pPr>
            <w:r w:rsidRPr="001244BB">
              <w:rPr>
                <w:rFonts w:ascii="Arial" w:eastAsia="Times New Roman" w:hAnsi="Arial" w:cs="Arial"/>
                <w:color w:val="000000"/>
                <w:sz w:val="20"/>
                <w:lang w:eastAsia="en-NZ"/>
              </w:rPr>
              <w:t>Expenditure</w:t>
            </w:r>
          </w:p>
        </w:tc>
        <w:tc>
          <w:tcPr>
            <w:tcW w:w="992" w:type="dxa"/>
            <w:tcBorders>
              <w:left w:val="single" w:sz="4" w:space="0" w:color="00B050"/>
              <w:right w:val="single" w:sz="4" w:space="0" w:color="00B050"/>
            </w:tcBorders>
            <w:shd w:val="clear" w:color="auto" w:fill="auto"/>
            <w:noWrap/>
            <w:hideMark/>
          </w:tcPr>
          <w:p w:rsidR="00525A83" w:rsidRPr="001244BB" w:rsidRDefault="00525A83" w:rsidP="00030337">
            <w:pPr>
              <w:spacing w:after="0" w:line="240" w:lineRule="auto"/>
              <w:jc w:val="right"/>
              <w:rPr>
                <w:rFonts w:ascii="Arial" w:eastAsia="Times New Roman" w:hAnsi="Arial" w:cs="Arial"/>
                <w:color w:val="000000"/>
                <w:sz w:val="20"/>
                <w:lang w:eastAsia="en-NZ"/>
              </w:rPr>
            </w:pPr>
            <w:r w:rsidRPr="001244BB">
              <w:rPr>
                <w:rFonts w:ascii="Arial" w:eastAsia="Times New Roman" w:hAnsi="Arial" w:cs="Arial"/>
                <w:color w:val="000000"/>
                <w:sz w:val="20"/>
                <w:lang w:eastAsia="en-NZ"/>
              </w:rPr>
              <w:t>606</w:t>
            </w:r>
          </w:p>
        </w:tc>
        <w:tc>
          <w:tcPr>
            <w:tcW w:w="992" w:type="dxa"/>
            <w:tcBorders>
              <w:left w:val="single" w:sz="4" w:space="0" w:color="00B050"/>
              <w:right w:val="single" w:sz="4" w:space="0" w:color="00B050"/>
            </w:tcBorders>
            <w:shd w:val="clear" w:color="auto" w:fill="auto"/>
            <w:noWrap/>
            <w:hideMark/>
          </w:tcPr>
          <w:p w:rsidR="00525A83" w:rsidRPr="001244BB" w:rsidRDefault="00525A83" w:rsidP="00030337">
            <w:pPr>
              <w:spacing w:after="0" w:line="240" w:lineRule="auto"/>
              <w:jc w:val="right"/>
              <w:rPr>
                <w:rFonts w:ascii="Arial" w:eastAsia="Times New Roman" w:hAnsi="Arial" w:cs="Arial"/>
                <w:color w:val="000000"/>
                <w:sz w:val="20"/>
                <w:lang w:eastAsia="en-NZ"/>
              </w:rPr>
            </w:pPr>
            <w:r w:rsidRPr="001244BB">
              <w:rPr>
                <w:rFonts w:ascii="Arial" w:eastAsia="Times New Roman" w:hAnsi="Arial" w:cs="Arial"/>
                <w:color w:val="000000"/>
                <w:sz w:val="20"/>
                <w:lang w:eastAsia="en-NZ"/>
              </w:rPr>
              <w:t>2,443</w:t>
            </w:r>
          </w:p>
        </w:tc>
        <w:tc>
          <w:tcPr>
            <w:tcW w:w="993" w:type="dxa"/>
            <w:tcBorders>
              <w:left w:val="single" w:sz="4" w:space="0" w:color="00B050"/>
              <w:right w:val="single" w:sz="4" w:space="0" w:color="00B050"/>
            </w:tcBorders>
            <w:shd w:val="clear" w:color="auto" w:fill="auto"/>
            <w:noWrap/>
            <w:hideMark/>
          </w:tcPr>
          <w:p w:rsidR="00525A83" w:rsidRPr="001244BB" w:rsidRDefault="00525A83" w:rsidP="00030337">
            <w:pPr>
              <w:spacing w:after="0" w:line="240" w:lineRule="auto"/>
              <w:jc w:val="right"/>
              <w:rPr>
                <w:rFonts w:ascii="Arial" w:eastAsia="Times New Roman" w:hAnsi="Arial" w:cs="Arial"/>
                <w:color w:val="000000"/>
                <w:sz w:val="20"/>
                <w:lang w:eastAsia="en-NZ"/>
              </w:rPr>
            </w:pPr>
            <w:r w:rsidRPr="001244BB">
              <w:rPr>
                <w:rFonts w:ascii="Arial" w:eastAsia="Times New Roman" w:hAnsi="Arial" w:cs="Arial"/>
                <w:color w:val="000000"/>
                <w:sz w:val="20"/>
                <w:lang w:eastAsia="en-NZ"/>
              </w:rPr>
              <w:t>5,662</w:t>
            </w:r>
          </w:p>
        </w:tc>
        <w:tc>
          <w:tcPr>
            <w:tcW w:w="1275" w:type="dxa"/>
            <w:tcBorders>
              <w:left w:val="single" w:sz="4" w:space="0" w:color="00B050"/>
              <w:right w:val="single" w:sz="4" w:space="0" w:color="00B050"/>
            </w:tcBorders>
            <w:shd w:val="clear" w:color="auto" w:fill="auto"/>
            <w:noWrap/>
            <w:hideMark/>
          </w:tcPr>
          <w:p w:rsidR="00525A83" w:rsidRPr="001244BB" w:rsidRDefault="00525A83" w:rsidP="00030337">
            <w:pPr>
              <w:spacing w:after="0" w:line="240" w:lineRule="auto"/>
              <w:jc w:val="right"/>
              <w:rPr>
                <w:rFonts w:ascii="Arial" w:eastAsia="Times New Roman" w:hAnsi="Arial" w:cs="Arial"/>
                <w:color w:val="000000"/>
                <w:sz w:val="20"/>
                <w:lang w:eastAsia="en-NZ"/>
              </w:rPr>
            </w:pPr>
            <w:r w:rsidRPr="001244BB">
              <w:rPr>
                <w:rFonts w:ascii="Arial" w:eastAsia="Times New Roman" w:hAnsi="Arial" w:cs="Arial"/>
                <w:color w:val="000000"/>
                <w:sz w:val="20"/>
                <w:lang w:eastAsia="en-NZ"/>
              </w:rPr>
              <w:t>224</w:t>
            </w:r>
          </w:p>
        </w:tc>
        <w:tc>
          <w:tcPr>
            <w:tcW w:w="1134" w:type="dxa"/>
            <w:tcBorders>
              <w:left w:val="single" w:sz="4" w:space="0" w:color="00B050"/>
              <w:right w:val="single" w:sz="4" w:space="0" w:color="00B050"/>
            </w:tcBorders>
            <w:shd w:val="clear" w:color="000000" w:fill="E0E0E0"/>
            <w:noWrap/>
            <w:hideMark/>
          </w:tcPr>
          <w:p w:rsidR="00525A83" w:rsidRPr="001244BB" w:rsidRDefault="00525A83" w:rsidP="00030337">
            <w:pPr>
              <w:spacing w:after="0" w:line="240" w:lineRule="auto"/>
              <w:jc w:val="right"/>
              <w:rPr>
                <w:rFonts w:ascii="Arial" w:eastAsia="Times New Roman" w:hAnsi="Arial" w:cs="Arial"/>
                <w:color w:val="000000"/>
                <w:sz w:val="20"/>
                <w:lang w:eastAsia="en-NZ"/>
              </w:rPr>
            </w:pPr>
            <w:r w:rsidRPr="001244BB">
              <w:rPr>
                <w:rFonts w:ascii="Arial" w:eastAsia="Times New Roman" w:hAnsi="Arial" w:cs="Arial"/>
                <w:color w:val="000000"/>
                <w:sz w:val="20"/>
                <w:lang w:eastAsia="en-NZ"/>
              </w:rPr>
              <w:t>1,396</w:t>
            </w:r>
          </w:p>
        </w:tc>
        <w:tc>
          <w:tcPr>
            <w:tcW w:w="1134" w:type="dxa"/>
            <w:tcBorders>
              <w:left w:val="single" w:sz="4" w:space="0" w:color="00B050"/>
              <w:right w:val="single" w:sz="4" w:space="0" w:color="00B050"/>
            </w:tcBorders>
            <w:shd w:val="clear" w:color="000000" w:fill="E0E0E0"/>
            <w:noWrap/>
            <w:hideMark/>
          </w:tcPr>
          <w:p w:rsidR="00525A83" w:rsidRPr="001244BB" w:rsidRDefault="00525A83" w:rsidP="00030337">
            <w:pPr>
              <w:spacing w:after="0" w:line="240" w:lineRule="auto"/>
              <w:jc w:val="right"/>
              <w:rPr>
                <w:rFonts w:ascii="Arial" w:eastAsia="Times New Roman" w:hAnsi="Arial" w:cs="Arial"/>
                <w:color w:val="000000"/>
                <w:sz w:val="20"/>
                <w:lang w:eastAsia="en-NZ"/>
              </w:rPr>
            </w:pPr>
            <w:r w:rsidRPr="001244BB">
              <w:rPr>
                <w:rFonts w:ascii="Arial" w:eastAsia="Times New Roman" w:hAnsi="Arial" w:cs="Arial"/>
                <w:color w:val="000000"/>
                <w:sz w:val="20"/>
                <w:lang w:eastAsia="en-NZ"/>
              </w:rPr>
              <w:t>5,885</w:t>
            </w:r>
          </w:p>
        </w:tc>
        <w:tc>
          <w:tcPr>
            <w:tcW w:w="1276" w:type="dxa"/>
            <w:tcBorders>
              <w:left w:val="single" w:sz="4" w:space="0" w:color="00B050"/>
              <w:right w:val="single" w:sz="4" w:space="0" w:color="00B050"/>
            </w:tcBorders>
            <w:shd w:val="clear" w:color="000000" w:fill="E0E0E0"/>
            <w:noWrap/>
            <w:hideMark/>
          </w:tcPr>
          <w:p w:rsidR="00525A83" w:rsidRPr="001244BB" w:rsidRDefault="00525A83" w:rsidP="00030337">
            <w:pPr>
              <w:spacing w:after="0" w:line="240" w:lineRule="auto"/>
              <w:jc w:val="right"/>
              <w:rPr>
                <w:rFonts w:ascii="Arial" w:eastAsia="Times New Roman" w:hAnsi="Arial" w:cs="Arial"/>
                <w:color w:val="000000"/>
                <w:sz w:val="20"/>
                <w:lang w:eastAsia="en-NZ"/>
              </w:rPr>
            </w:pPr>
            <w:r w:rsidRPr="001244BB">
              <w:rPr>
                <w:rFonts w:ascii="Arial" w:eastAsia="Times New Roman" w:hAnsi="Arial" w:cs="Arial"/>
                <w:color w:val="000000"/>
                <w:sz w:val="20"/>
                <w:lang w:eastAsia="en-NZ"/>
              </w:rPr>
              <w:t>4,489</w:t>
            </w:r>
          </w:p>
        </w:tc>
        <w:tc>
          <w:tcPr>
            <w:tcW w:w="3260" w:type="dxa"/>
            <w:tcBorders>
              <w:left w:val="single" w:sz="4" w:space="0" w:color="00B050"/>
              <w:right w:val="nil"/>
            </w:tcBorders>
            <w:shd w:val="clear" w:color="auto" w:fill="auto"/>
            <w:vAlign w:val="bottom"/>
            <w:hideMark/>
          </w:tcPr>
          <w:p w:rsidR="00525A83" w:rsidRPr="001244BB" w:rsidRDefault="00525A83" w:rsidP="00030337">
            <w:pPr>
              <w:spacing w:after="0" w:line="240" w:lineRule="auto"/>
              <w:rPr>
                <w:rFonts w:ascii="Arial" w:eastAsia="Times New Roman" w:hAnsi="Arial" w:cs="Arial"/>
                <w:color w:val="000000"/>
                <w:sz w:val="20"/>
                <w:lang w:eastAsia="en-NZ"/>
              </w:rPr>
            </w:pPr>
            <w:r w:rsidRPr="001244BB">
              <w:rPr>
                <w:rFonts w:ascii="Arial" w:eastAsia="Times New Roman" w:hAnsi="Arial" w:cs="Arial"/>
                <w:color w:val="000000"/>
                <w:sz w:val="20"/>
                <w:lang w:eastAsia="en-NZ"/>
              </w:rPr>
              <w:t xml:space="preserve">Under budget on the Landfill Stage 4 </w:t>
            </w:r>
            <w:proofErr w:type="gramStart"/>
            <w:r w:rsidRPr="001244BB">
              <w:rPr>
                <w:rFonts w:ascii="Arial" w:eastAsia="Times New Roman" w:hAnsi="Arial" w:cs="Arial"/>
                <w:color w:val="000000"/>
                <w:sz w:val="20"/>
                <w:lang w:eastAsia="en-NZ"/>
              </w:rPr>
              <w:t>extension</w:t>
            </w:r>
            <w:proofErr w:type="gramEnd"/>
            <w:r w:rsidRPr="001244BB">
              <w:rPr>
                <w:rFonts w:ascii="Arial" w:eastAsia="Times New Roman" w:hAnsi="Arial" w:cs="Arial"/>
                <w:color w:val="000000"/>
                <w:sz w:val="20"/>
                <w:lang w:eastAsia="en-NZ"/>
              </w:rPr>
              <w:t xml:space="preserve"> due to delays and a change of contractor.  </w:t>
            </w:r>
            <w:r w:rsidRPr="001244BB">
              <w:rPr>
                <w:rFonts w:ascii="Arial" w:eastAsia="Times New Roman" w:hAnsi="Arial" w:cs="Arial"/>
                <w:color w:val="000000"/>
                <w:sz w:val="20"/>
                <w:lang w:eastAsia="en-NZ"/>
              </w:rPr>
              <w:lastRenderedPageBreak/>
              <w:t xml:space="preserve">Delays in the replacement of the transfer station roof also contributed to </w:t>
            </w:r>
            <w:proofErr w:type="gramStart"/>
            <w:r w:rsidRPr="001244BB">
              <w:rPr>
                <w:rFonts w:ascii="Arial" w:eastAsia="Times New Roman" w:hAnsi="Arial" w:cs="Arial"/>
                <w:color w:val="000000"/>
                <w:sz w:val="20"/>
                <w:lang w:eastAsia="en-NZ"/>
              </w:rPr>
              <w:t>the underspend</w:t>
            </w:r>
            <w:proofErr w:type="gramEnd"/>
            <w:r w:rsidRPr="001244BB">
              <w:rPr>
                <w:rFonts w:ascii="Arial" w:eastAsia="Times New Roman" w:hAnsi="Arial" w:cs="Arial"/>
                <w:color w:val="000000"/>
                <w:sz w:val="20"/>
                <w:lang w:eastAsia="en-NZ"/>
              </w:rPr>
              <w:t>.</w:t>
            </w:r>
          </w:p>
        </w:tc>
      </w:tr>
      <w:tr w:rsidR="00525A83" w:rsidRPr="001244BB" w:rsidTr="00F43FB2">
        <w:trPr>
          <w:trHeight w:val="300"/>
        </w:trPr>
        <w:tc>
          <w:tcPr>
            <w:tcW w:w="14175" w:type="dxa"/>
            <w:gridSpan w:val="9"/>
            <w:tcBorders>
              <w:left w:val="nil"/>
              <w:right w:val="nil"/>
            </w:tcBorders>
            <w:shd w:val="clear" w:color="auto" w:fill="EAF1DD" w:themeFill="accent3" w:themeFillTint="33"/>
            <w:noWrap/>
            <w:vAlign w:val="bottom"/>
            <w:hideMark/>
          </w:tcPr>
          <w:p w:rsidR="00525A83" w:rsidRPr="001244BB" w:rsidRDefault="00525A83" w:rsidP="00030337">
            <w:pPr>
              <w:spacing w:after="0" w:line="240" w:lineRule="auto"/>
              <w:rPr>
                <w:rFonts w:ascii="Arial" w:eastAsia="Times New Roman" w:hAnsi="Arial" w:cs="Arial"/>
                <w:color w:val="000000"/>
                <w:sz w:val="20"/>
                <w:lang w:eastAsia="en-NZ"/>
              </w:rPr>
            </w:pPr>
            <w:r w:rsidRPr="001244BB">
              <w:rPr>
                <w:rFonts w:ascii="Arial" w:eastAsia="Times New Roman" w:hAnsi="Arial" w:cs="Arial"/>
                <w:b/>
                <w:bCs/>
                <w:color w:val="000000"/>
                <w:sz w:val="20"/>
                <w:lang w:eastAsia="en-NZ"/>
              </w:rPr>
              <w:lastRenderedPageBreak/>
              <w:t>2.3 Water Network</w:t>
            </w:r>
          </w:p>
        </w:tc>
      </w:tr>
      <w:tr w:rsidR="00525A83" w:rsidRPr="001244BB" w:rsidTr="00F43FB2">
        <w:trPr>
          <w:trHeight w:val="1020"/>
        </w:trPr>
        <w:tc>
          <w:tcPr>
            <w:tcW w:w="3119" w:type="dxa"/>
            <w:tcBorders>
              <w:left w:val="nil"/>
              <w:right w:val="single" w:sz="4" w:space="0" w:color="00B050"/>
            </w:tcBorders>
            <w:shd w:val="clear" w:color="auto" w:fill="auto"/>
            <w:noWrap/>
            <w:hideMark/>
          </w:tcPr>
          <w:p w:rsidR="00525A83" w:rsidRPr="001244BB" w:rsidRDefault="00525A83" w:rsidP="00030337">
            <w:pPr>
              <w:spacing w:after="0" w:line="240" w:lineRule="auto"/>
              <w:ind w:firstLineChars="100" w:firstLine="200"/>
              <w:rPr>
                <w:rFonts w:ascii="Arial" w:eastAsia="Times New Roman" w:hAnsi="Arial" w:cs="Arial"/>
                <w:color w:val="000000"/>
                <w:sz w:val="20"/>
                <w:lang w:eastAsia="en-NZ"/>
              </w:rPr>
            </w:pPr>
            <w:r w:rsidRPr="001244BB">
              <w:rPr>
                <w:rFonts w:ascii="Arial" w:eastAsia="Times New Roman" w:hAnsi="Arial" w:cs="Arial"/>
                <w:color w:val="000000"/>
                <w:sz w:val="20"/>
                <w:lang w:eastAsia="en-NZ"/>
              </w:rPr>
              <w:t>Expenditure</w:t>
            </w:r>
          </w:p>
        </w:tc>
        <w:tc>
          <w:tcPr>
            <w:tcW w:w="992" w:type="dxa"/>
            <w:tcBorders>
              <w:left w:val="single" w:sz="4" w:space="0" w:color="00B050"/>
              <w:right w:val="single" w:sz="4" w:space="0" w:color="00B050"/>
            </w:tcBorders>
            <w:shd w:val="clear" w:color="auto" w:fill="auto"/>
            <w:noWrap/>
            <w:hideMark/>
          </w:tcPr>
          <w:p w:rsidR="00525A83" w:rsidRPr="001244BB" w:rsidRDefault="00525A83" w:rsidP="00030337">
            <w:pPr>
              <w:spacing w:after="0" w:line="240" w:lineRule="auto"/>
              <w:jc w:val="right"/>
              <w:rPr>
                <w:rFonts w:ascii="Arial" w:eastAsia="Times New Roman" w:hAnsi="Arial" w:cs="Arial"/>
                <w:color w:val="000000"/>
                <w:sz w:val="20"/>
                <w:lang w:eastAsia="en-NZ"/>
              </w:rPr>
            </w:pPr>
            <w:r w:rsidRPr="001244BB">
              <w:rPr>
                <w:rFonts w:ascii="Arial" w:eastAsia="Times New Roman" w:hAnsi="Arial" w:cs="Arial"/>
                <w:color w:val="000000"/>
                <w:sz w:val="20"/>
                <w:lang w:eastAsia="en-NZ"/>
              </w:rPr>
              <w:t>14,431</w:t>
            </w:r>
          </w:p>
        </w:tc>
        <w:tc>
          <w:tcPr>
            <w:tcW w:w="992" w:type="dxa"/>
            <w:tcBorders>
              <w:left w:val="single" w:sz="4" w:space="0" w:color="00B050"/>
              <w:right w:val="single" w:sz="4" w:space="0" w:color="00B050"/>
            </w:tcBorders>
            <w:shd w:val="clear" w:color="auto" w:fill="auto"/>
            <w:noWrap/>
            <w:hideMark/>
          </w:tcPr>
          <w:p w:rsidR="00525A83" w:rsidRPr="001244BB" w:rsidRDefault="00525A83" w:rsidP="00030337">
            <w:pPr>
              <w:spacing w:after="0" w:line="240" w:lineRule="auto"/>
              <w:jc w:val="right"/>
              <w:rPr>
                <w:rFonts w:ascii="Arial" w:eastAsia="Times New Roman" w:hAnsi="Arial" w:cs="Arial"/>
                <w:color w:val="000000"/>
                <w:sz w:val="20"/>
                <w:lang w:eastAsia="en-NZ"/>
              </w:rPr>
            </w:pPr>
            <w:r w:rsidRPr="001244BB">
              <w:rPr>
                <w:rFonts w:ascii="Arial" w:eastAsia="Times New Roman" w:hAnsi="Arial" w:cs="Arial"/>
                <w:color w:val="000000"/>
                <w:sz w:val="20"/>
                <w:lang w:eastAsia="en-NZ"/>
              </w:rPr>
              <w:t>14,982</w:t>
            </w:r>
          </w:p>
        </w:tc>
        <w:tc>
          <w:tcPr>
            <w:tcW w:w="993" w:type="dxa"/>
            <w:tcBorders>
              <w:left w:val="single" w:sz="4" w:space="0" w:color="00B050"/>
              <w:right w:val="single" w:sz="4" w:space="0" w:color="00B050"/>
            </w:tcBorders>
            <w:shd w:val="clear" w:color="auto" w:fill="auto"/>
            <w:noWrap/>
            <w:hideMark/>
          </w:tcPr>
          <w:p w:rsidR="00525A83" w:rsidRPr="001244BB" w:rsidRDefault="00525A83" w:rsidP="00030337">
            <w:pPr>
              <w:spacing w:after="0" w:line="240" w:lineRule="auto"/>
              <w:jc w:val="right"/>
              <w:rPr>
                <w:rFonts w:ascii="Arial" w:eastAsia="Times New Roman" w:hAnsi="Arial" w:cs="Arial"/>
                <w:color w:val="000000"/>
                <w:sz w:val="20"/>
                <w:lang w:eastAsia="en-NZ"/>
              </w:rPr>
            </w:pPr>
            <w:r w:rsidRPr="001244BB">
              <w:rPr>
                <w:rFonts w:ascii="Arial" w:eastAsia="Times New Roman" w:hAnsi="Arial" w:cs="Arial"/>
                <w:color w:val="000000"/>
                <w:sz w:val="20"/>
                <w:lang w:eastAsia="en-NZ"/>
              </w:rPr>
              <w:t>18,426</w:t>
            </w:r>
          </w:p>
        </w:tc>
        <w:tc>
          <w:tcPr>
            <w:tcW w:w="1275" w:type="dxa"/>
            <w:tcBorders>
              <w:left w:val="single" w:sz="4" w:space="0" w:color="00B050"/>
              <w:right w:val="single" w:sz="4" w:space="0" w:color="00B050"/>
            </w:tcBorders>
            <w:shd w:val="clear" w:color="auto" w:fill="auto"/>
            <w:noWrap/>
            <w:hideMark/>
          </w:tcPr>
          <w:p w:rsidR="00525A83" w:rsidRPr="001244BB" w:rsidRDefault="00525A83" w:rsidP="00030337">
            <w:pPr>
              <w:spacing w:after="0" w:line="240" w:lineRule="auto"/>
              <w:jc w:val="right"/>
              <w:rPr>
                <w:rFonts w:ascii="Arial" w:eastAsia="Times New Roman" w:hAnsi="Arial" w:cs="Arial"/>
                <w:color w:val="000000"/>
                <w:sz w:val="20"/>
                <w:lang w:eastAsia="en-NZ"/>
              </w:rPr>
            </w:pPr>
            <w:r w:rsidRPr="001244BB">
              <w:rPr>
                <w:rFonts w:ascii="Arial" w:eastAsia="Times New Roman" w:hAnsi="Arial" w:cs="Arial"/>
                <w:color w:val="000000"/>
                <w:sz w:val="20"/>
                <w:lang w:eastAsia="en-NZ"/>
              </w:rPr>
              <w:t>(1,182)</w:t>
            </w:r>
          </w:p>
        </w:tc>
        <w:tc>
          <w:tcPr>
            <w:tcW w:w="1134" w:type="dxa"/>
            <w:tcBorders>
              <w:left w:val="single" w:sz="4" w:space="0" w:color="00B050"/>
              <w:right w:val="single" w:sz="4" w:space="0" w:color="00B050"/>
            </w:tcBorders>
            <w:shd w:val="clear" w:color="000000" w:fill="E0E0E0"/>
            <w:noWrap/>
            <w:hideMark/>
          </w:tcPr>
          <w:p w:rsidR="00525A83" w:rsidRPr="001244BB" w:rsidRDefault="00525A83" w:rsidP="00030337">
            <w:pPr>
              <w:spacing w:after="0" w:line="240" w:lineRule="auto"/>
              <w:jc w:val="right"/>
              <w:rPr>
                <w:rFonts w:ascii="Arial" w:eastAsia="Times New Roman" w:hAnsi="Arial" w:cs="Arial"/>
                <w:color w:val="000000"/>
                <w:sz w:val="20"/>
                <w:lang w:eastAsia="en-NZ"/>
              </w:rPr>
            </w:pPr>
            <w:r w:rsidRPr="001244BB">
              <w:rPr>
                <w:rFonts w:ascii="Arial" w:eastAsia="Times New Roman" w:hAnsi="Arial" w:cs="Arial"/>
                <w:color w:val="000000"/>
                <w:sz w:val="20"/>
                <w:lang w:eastAsia="en-NZ"/>
              </w:rPr>
              <w:t>12,169</w:t>
            </w:r>
          </w:p>
        </w:tc>
        <w:tc>
          <w:tcPr>
            <w:tcW w:w="1134" w:type="dxa"/>
            <w:tcBorders>
              <w:left w:val="single" w:sz="4" w:space="0" w:color="00B050"/>
              <w:right w:val="single" w:sz="4" w:space="0" w:color="00B050"/>
            </w:tcBorders>
            <w:shd w:val="clear" w:color="000000" w:fill="E0E0E0"/>
            <w:noWrap/>
            <w:hideMark/>
          </w:tcPr>
          <w:p w:rsidR="00525A83" w:rsidRPr="001244BB" w:rsidRDefault="00525A83" w:rsidP="00030337">
            <w:pPr>
              <w:spacing w:after="0" w:line="240" w:lineRule="auto"/>
              <w:jc w:val="right"/>
              <w:rPr>
                <w:rFonts w:ascii="Arial" w:eastAsia="Times New Roman" w:hAnsi="Arial" w:cs="Arial"/>
                <w:color w:val="000000"/>
                <w:sz w:val="20"/>
                <w:lang w:eastAsia="en-NZ"/>
              </w:rPr>
            </w:pPr>
            <w:r w:rsidRPr="001244BB">
              <w:rPr>
                <w:rFonts w:ascii="Arial" w:eastAsia="Times New Roman" w:hAnsi="Arial" w:cs="Arial"/>
                <w:color w:val="000000"/>
                <w:sz w:val="20"/>
                <w:lang w:eastAsia="en-NZ"/>
              </w:rPr>
              <w:t>17,244</w:t>
            </w:r>
          </w:p>
        </w:tc>
        <w:tc>
          <w:tcPr>
            <w:tcW w:w="1276" w:type="dxa"/>
            <w:tcBorders>
              <w:left w:val="single" w:sz="4" w:space="0" w:color="00B050"/>
              <w:right w:val="single" w:sz="4" w:space="0" w:color="00B050"/>
            </w:tcBorders>
            <w:shd w:val="clear" w:color="000000" w:fill="E0E0E0"/>
            <w:noWrap/>
            <w:hideMark/>
          </w:tcPr>
          <w:p w:rsidR="00525A83" w:rsidRPr="001244BB" w:rsidRDefault="00525A83" w:rsidP="00030337">
            <w:pPr>
              <w:spacing w:after="0" w:line="240" w:lineRule="auto"/>
              <w:jc w:val="right"/>
              <w:rPr>
                <w:rFonts w:ascii="Arial" w:eastAsia="Times New Roman" w:hAnsi="Arial" w:cs="Arial"/>
                <w:color w:val="000000"/>
                <w:sz w:val="20"/>
                <w:lang w:eastAsia="en-NZ"/>
              </w:rPr>
            </w:pPr>
            <w:r w:rsidRPr="001244BB">
              <w:rPr>
                <w:rFonts w:ascii="Arial" w:eastAsia="Times New Roman" w:hAnsi="Arial" w:cs="Arial"/>
                <w:color w:val="000000"/>
                <w:sz w:val="20"/>
                <w:lang w:eastAsia="en-NZ"/>
              </w:rPr>
              <w:t>5,075</w:t>
            </w:r>
          </w:p>
        </w:tc>
        <w:tc>
          <w:tcPr>
            <w:tcW w:w="3260" w:type="dxa"/>
            <w:tcBorders>
              <w:left w:val="single" w:sz="4" w:space="0" w:color="00B050"/>
              <w:right w:val="nil"/>
            </w:tcBorders>
            <w:shd w:val="clear" w:color="auto" w:fill="auto"/>
            <w:vAlign w:val="bottom"/>
            <w:hideMark/>
          </w:tcPr>
          <w:p w:rsidR="00525A83" w:rsidRPr="001244BB" w:rsidRDefault="00525A83" w:rsidP="00030337">
            <w:pPr>
              <w:spacing w:after="0" w:line="240" w:lineRule="auto"/>
              <w:rPr>
                <w:rFonts w:ascii="Arial" w:eastAsia="Times New Roman" w:hAnsi="Arial" w:cs="Arial"/>
                <w:color w:val="000000"/>
                <w:sz w:val="20"/>
                <w:lang w:eastAsia="en-NZ"/>
              </w:rPr>
            </w:pPr>
            <w:r w:rsidRPr="001244BB">
              <w:rPr>
                <w:rFonts w:ascii="Arial" w:eastAsia="Times New Roman" w:hAnsi="Arial" w:cs="Arial"/>
                <w:color w:val="000000"/>
                <w:sz w:val="20"/>
                <w:lang w:eastAsia="en-NZ"/>
              </w:rPr>
              <w:t>Under budget due to delays in the Wallace Street corridor, Duncan and Beauchamp Street projects to better sequence with the Omāroro project for efficiencies.  Mo-i-te-Ra is also currently on hold.</w:t>
            </w:r>
          </w:p>
        </w:tc>
      </w:tr>
      <w:tr w:rsidR="00525A83" w:rsidRPr="001244BB" w:rsidTr="00F43FB2">
        <w:trPr>
          <w:trHeight w:val="300"/>
        </w:trPr>
        <w:tc>
          <w:tcPr>
            <w:tcW w:w="14175" w:type="dxa"/>
            <w:gridSpan w:val="9"/>
            <w:tcBorders>
              <w:left w:val="nil"/>
              <w:right w:val="nil"/>
            </w:tcBorders>
            <w:shd w:val="clear" w:color="auto" w:fill="EAF1DD" w:themeFill="accent3" w:themeFillTint="33"/>
            <w:noWrap/>
            <w:vAlign w:val="bottom"/>
            <w:hideMark/>
          </w:tcPr>
          <w:p w:rsidR="00525A83" w:rsidRPr="001244BB" w:rsidRDefault="00525A83" w:rsidP="00030337">
            <w:pPr>
              <w:spacing w:after="0" w:line="240" w:lineRule="auto"/>
              <w:rPr>
                <w:rFonts w:ascii="Arial" w:eastAsia="Times New Roman" w:hAnsi="Arial" w:cs="Arial"/>
                <w:color w:val="000000"/>
                <w:sz w:val="20"/>
                <w:lang w:eastAsia="en-NZ"/>
              </w:rPr>
            </w:pPr>
            <w:r w:rsidRPr="001244BB">
              <w:rPr>
                <w:rFonts w:ascii="Arial" w:eastAsia="Times New Roman" w:hAnsi="Arial" w:cs="Arial"/>
                <w:b/>
                <w:bCs/>
                <w:color w:val="000000"/>
                <w:sz w:val="20"/>
                <w:lang w:eastAsia="en-NZ"/>
              </w:rPr>
              <w:t>2.4 Sewage collection and disposal network</w:t>
            </w:r>
          </w:p>
        </w:tc>
      </w:tr>
      <w:tr w:rsidR="00525A83" w:rsidRPr="001244BB" w:rsidTr="00F43FB2">
        <w:trPr>
          <w:trHeight w:val="765"/>
        </w:trPr>
        <w:tc>
          <w:tcPr>
            <w:tcW w:w="3119" w:type="dxa"/>
            <w:tcBorders>
              <w:left w:val="nil"/>
              <w:right w:val="single" w:sz="4" w:space="0" w:color="00B050"/>
            </w:tcBorders>
            <w:shd w:val="clear" w:color="auto" w:fill="auto"/>
            <w:noWrap/>
            <w:hideMark/>
          </w:tcPr>
          <w:p w:rsidR="00525A83" w:rsidRPr="001244BB" w:rsidRDefault="00525A83" w:rsidP="00030337">
            <w:pPr>
              <w:spacing w:after="0" w:line="240" w:lineRule="auto"/>
              <w:ind w:firstLineChars="100" w:firstLine="200"/>
              <w:rPr>
                <w:rFonts w:ascii="Arial" w:eastAsia="Times New Roman" w:hAnsi="Arial" w:cs="Arial"/>
                <w:color w:val="000000"/>
                <w:sz w:val="20"/>
                <w:lang w:eastAsia="en-NZ"/>
              </w:rPr>
            </w:pPr>
            <w:r w:rsidRPr="001244BB">
              <w:rPr>
                <w:rFonts w:ascii="Arial" w:eastAsia="Times New Roman" w:hAnsi="Arial" w:cs="Arial"/>
                <w:color w:val="000000"/>
                <w:sz w:val="20"/>
                <w:lang w:eastAsia="en-NZ"/>
              </w:rPr>
              <w:t>Expenditure</w:t>
            </w:r>
          </w:p>
        </w:tc>
        <w:tc>
          <w:tcPr>
            <w:tcW w:w="992" w:type="dxa"/>
            <w:tcBorders>
              <w:left w:val="single" w:sz="4" w:space="0" w:color="00B050"/>
              <w:right w:val="single" w:sz="4" w:space="0" w:color="00B050"/>
            </w:tcBorders>
            <w:shd w:val="clear" w:color="auto" w:fill="auto"/>
            <w:noWrap/>
            <w:hideMark/>
          </w:tcPr>
          <w:p w:rsidR="00525A83" w:rsidRPr="001244BB" w:rsidRDefault="00525A83" w:rsidP="00030337">
            <w:pPr>
              <w:spacing w:after="0" w:line="240" w:lineRule="auto"/>
              <w:jc w:val="right"/>
              <w:rPr>
                <w:rFonts w:ascii="Arial" w:eastAsia="Times New Roman" w:hAnsi="Arial" w:cs="Arial"/>
                <w:color w:val="000000"/>
                <w:sz w:val="20"/>
                <w:lang w:eastAsia="en-NZ"/>
              </w:rPr>
            </w:pPr>
            <w:r w:rsidRPr="001244BB">
              <w:rPr>
                <w:rFonts w:ascii="Arial" w:eastAsia="Times New Roman" w:hAnsi="Arial" w:cs="Arial"/>
                <w:color w:val="000000"/>
                <w:sz w:val="20"/>
                <w:lang w:eastAsia="en-NZ"/>
              </w:rPr>
              <w:t>10,671</w:t>
            </w:r>
          </w:p>
        </w:tc>
        <w:tc>
          <w:tcPr>
            <w:tcW w:w="992" w:type="dxa"/>
            <w:tcBorders>
              <w:left w:val="single" w:sz="4" w:space="0" w:color="00B050"/>
              <w:right w:val="single" w:sz="4" w:space="0" w:color="00B050"/>
            </w:tcBorders>
            <w:shd w:val="clear" w:color="auto" w:fill="auto"/>
            <w:noWrap/>
            <w:hideMark/>
          </w:tcPr>
          <w:p w:rsidR="00525A83" w:rsidRPr="001244BB" w:rsidRDefault="00525A83" w:rsidP="00030337">
            <w:pPr>
              <w:spacing w:after="0" w:line="240" w:lineRule="auto"/>
              <w:jc w:val="right"/>
              <w:rPr>
                <w:rFonts w:ascii="Arial" w:eastAsia="Times New Roman" w:hAnsi="Arial" w:cs="Arial"/>
                <w:color w:val="000000"/>
                <w:sz w:val="20"/>
                <w:lang w:eastAsia="en-NZ"/>
              </w:rPr>
            </w:pPr>
            <w:r w:rsidRPr="001244BB">
              <w:rPr>
                <w:rFonts w:ascii="Arial" w:eastAsia="Times New Roman" w:hAnsi="Arial" w:cs="Arial"/>
                <w:color w:val="000000"/>
                <w:sz w:val="20"/>
                <w:lang w:eastAsia="en-NZ"/>
              </w:rPr>
              <w:t>13,898</w:t>
            </w:r>
          </w:p>
        </w:tc>
        <w:tc>
          <w:tcPr>
            <w:tcW w:w="993" w:type="dxa"/>
            <w:tcBorders>
              <w:left w:val="single" w:sz="4" w:space="0" w:color="00B050"/>
              <w:right w:val="single" w:sz="4" w:space="0" w:color="00B050"/>
            </w:tcBorders>
            <w:shd w:val="clear" w:color="auto" w:fill="auto"/>
            <w:noWrap/>
            <w:hideMark/>
          </w:tcPr>
          <w:p w:rsidR="00525A83" w:rsidRPr="001244BB" w:rsidRDefault="00525A83" w:rsidP="00030337">
            <w:pPr>
              <w:spacing w:after="0" w:line="240" w:lineRule="auto"/>
              <w:jc w:val="right"/>
              <w:rPr>
                <w:rFonts w:ascii="Arial" w:eastAsia="Times New Roman" w:hAnsi="Arial" w:cs="Arial"/>
                <w:color w:val="000000"/>
                <w:sz w:val="20"/>
                <w:lang w:eastAsia="en-NZ"/>
              </w:rPr>
            </w:pPr>
            <w:r w:rsidRPr="001244BB">
              <w:rPr>
                <w:rFonts w:ascii="Arial" w:eastAsia="Times New Roman" w:hAnsi="Arial" w:cs="Arial"/>
                <w:color w:val="000000"/>
                <w:sz w:val="20"/>
                <w:lang w:eastAsia="en-NZ"/>
              </w:rPr>
              <w:t>8,739</w:t>
            </w:r>
          </w:p>
        </w:tc>
        <w:tc>
          <w:tcPr>
            <w:tcW w:w="1275" w:type="dxa"/>
            <w:tcBorders>
              <w:left w:val="single" w:sz="4" w:space="0" w:color="00B050"/>
              <w:right w:val="single" w:sz="4" w:space="0" w:color="00B050"/>
            </w:tcBorders>
            <w:shd w:val="clear" w:color="auto" w:fill="auto"/>
            <w:noWrap/>
            <w:hideMark/>
          </w:tcPr>
          <w:p w:rsidR="00525A83" w:rsidRPr="001244BB" w:rsidRDefault="00525A83" w:rsidP="00030337">
            <w:pPr>
              <w:spacing w:after="0" w:line="240" w:lineRule="auto"/>
              <w:jc w:val="right"/>
              <w:rPr>
                <w:rFonts w:ascii="Arial" w:eastAsia="Times New Roman" w:hAnsi="Arial" w:cs="Arial"/>
                <w:color w:val="000000"/>
                <w:sz w:val="20"/>
                <w:lang w:eastAsia="en-NZ"/>
              </w:rPr>
            </w:pPr>
            <w:r w:rsidRPr="001244BB">
              <w:rPr>
                <w:rFonts w:ascii="Arial" w:eastAsia="Times New Roman" w:hAnsi="Arial" w:cs="Arial"/>
                <w:color w:val="000000"/>
                <w:sz w:val="20"/>
                <w:lang w:eastAsia="en-NZ"/>
              </w:rPr>
              <w:t>(242)</w:t>
            </w:r>
          </w:p>
        </w:tc>
        <w:tc>
          <w:tcPr>
            <w:tcW w:w="1134" w:type="dxa"/>
            <w:tcBorders>
              <w:left w:val="single" w:sz="4" w:space="0" w:color="00B050"/>
              <w:right w:val="single" w:sz="4" w:space="0" w:color="00B050"/>
            </w:tcBorders>
            <w:shd w:val="clear" w:color="000000" w:fill="E0E0E0"/>
            <w:noWrap/>
            <w:hideMark/>
          </w:tcPr>
          <w:p w:rsidR="00525A83" w:rsidRPr="001244BB" w:rsidRDefault="00525A83" w:rsidP="00030337">
            <w:pPr>
              <w:spacing w:after="0" w:line="240" w:lineRule="auto"/>
              <w:jc w:val="right"/>
              <w:rPr>
                <w:rFonts w:ascii="Arial" w:eastAsia="Times New Roman" w:hAnsi="Arial" w:cs="Arial"/>
                <w:color w:val="000000"/>
                <w:sz w:val="20"/>
                <w:lang w:eastAsia="en-NZ"/>
              </w:rPr>
            </w:pPr>
            <w:r w:rsidRPr="001244BB">
              <w:rPr>
                <w:rFonts w:ascii="Arial" w:eastAsia="Times New Roman" w:hAnsi="Arial" w:cs="Arial"/>
                <w:color w:val="000000"/>
                <w:sz w:val="20"/>
                <w:lang w:eastAsia="en-NZ"/>
              </w:rPr>
              <w:t>9,507</w:t>
            </w:r>
          </w:p>
        </w:tc>
        <w:tc>
          <w:tcPr>
            <w:tcW w:w="1134" w:type="dxa"/>
            <w:tcBorders>
              <w:left w:val="single" w:sz="4" w:space="0" w:color="00B050"/>
              <w:right w:val="single" w:sz="4" w:space="0" w:color="00B050"/>
            </w:tcBorders>
            <w:shd w:val="clear" w:color="000000" w:fill="E0E0E0"/>
            <w:noWrap/>
            <w:hideMark/>
          </w:tcPr>
          <w:p w:rsidR="00525A83" w:rsidRPr="001244BB" w:rsidRDefault="00525A83" w:rsidP="00030337">
            <w:pPr>
              <w:spacing w:after="0" w:line="240" w:lineRule="auto"/>
              <w:jc w:val="right"/>
              <w:rPr>
                <w:rFonts w:ascii="Arial" w:eastAsia="Times New Roman" w:hAnsi="Arial" w:cs="Arial"/>
                <w:color w:val="000000"/>
                <w:sz w:val="20"/>
                <w:lang w:eastAsia="en-NZ"/>
              </w:rPr>
            </w:pPr>
            <w:r w:rsidRPr="001244BB">
              <w:rPr>
                <w:rFonts w:ascii="Arial" w:eastAsia="Times New Roman" w:hAnsi="Arial" w:cs="Arial"/>
                <w:color w:val="000000"/>
                <w:sz w:val="20"/>
                <w:lang w:eastAsia="en-NZ"/>
              </w:rPr>
              <w:t>8,497</w:t>
            </w:r>
          </w:p>
        </w:tc>
        <w:tc>
          <w:tcPr>
            <w:tcW w:w="1276" w:type="dxa"/>
            <w:tcBorders>
              <w:left w:val="single" w:sz="4" w:space="0" w:color="00B050"/>
              <w:right w:val="single" w:sz="4" w:space="0" w:color="00B050"/>
            </w:tcBorders>
            <w:shd w:val="clear" w:color="000000" w:fill="E0E0E0"/>
            <w:noWrap/>
            <w:hideMark/>
          </w:tcPr>
          <w:p w:rsidR="00525A83" w:rsidRPr="001244BB" w:rsidRDefault="00525A83" w:rsidP="00030337">
            <w:pPr>
              <w:spacing w:after="0" w:line="240" w:lineRule="auto"/>
              <w:jc w:val="right"/>
              <w:rPr>
                <w:rFonts w:ascii="Arial" w:eastAsia="Times New Roman" w:hAnsi="Arial" w:cs="Arial"/>
                <w:color w:val="000000"/>
                <w:sz w:val="20"/>
                <w:lang w:eastAsia="en-NZ"/>
              </w:rPr>
            </w:pPr>
            <w:r w:rsidRPr="001244BB">
              <w:rPr>
                <w:rFonts w:ascii="Arial" w:eastAsia="Times New Roman" w:hAnsi="Arial" w:cs="Arial"/>
                <w:color w:val="000000"/>
                <w:sz w:val="20"/>
                <w:lang w:eastAsia="en-NZ"/>
              </w:rPr>
              <w:t>(1,010)</w:t>
            </w:r>
          </w:p>
        </w:tc>
        <w:tc>
          <w:tcPr>
            <w:tcW w:w="3260" w:type="dxa"/>
            <w:tcBorders>
              <w:left w:val="single" w:sz="4" w:space="0" w:color="00B050"/>
              <w:right w:val="nil"/>
            </w:tcBorders>
            <w:shd w:val="clear" w:color="auto" w:fill="auto"/>
            <w:vAlign w:val="bottom"/>
            <w:hideMark/>
          </w:tcPr>
          <w:p w:rsidR="00525A83" w:rsidRPr="001244BB" w:rsidRDefault="00525A83" w:rsidP="00030337">
            <w:pPr>
              <w:spacing w:after="0" w:line="240" w:lineRule="auto"/>
              <w:rPr>
                <w:rFonts w:ascii="Arial" w:eastAsia="Times New Roman" w:hAnsi="Arial" w:cs="Arial"/>
                <w:color w:val="000000"/>
                <w:sz w:val="20"/>
                <w:lang w:eastAsia="en-NZ"/>
              </w:rPr>
            </w:pPr>
            <w:r w:rsidRPr="001244BB">
              <w:rPr>
                <w:rFonts w:ascii="Arial" w:eastAsia="Times New Roman" w:hAnsi="Arial" w:cs="Arial"/>
                <w:color w:val="000000"/>
                <w:sz w:val="20"/>
                <w:lang w:eastAsia="en-NZ"/>
              </w:rPr>
              <w:t>Over budget due to increased costs on the Dixon Street sewer upgrade because of dry well issues and predicted growth increase.</w:t>
            </w:r>
          </w:p>
        </w:tc>
      </w:tr>
      <w:tr w:rsidR="00525A83" w:rsidRPr="001244BB" w:rsidTr="00F43FB2">
        <w:trPr>
          <w:trHeight w:val="300"/>
        </w:trPr>
        <w:tc>
          <w:tcPr>
            <w:tcW w:w="14175" w:type="dxa"/>
            <w:gridSpan w:val="9"/>
            <w:tcBorders>
              <w:left w:val="nil"/>
              <w:right w:val="nil"/>
            </w:tcBorders>
            <w:shd w:val="clear" w:color="auto" w:fill="EAF1DD" w:themeFill="accent3" w:themeFillTint="33"/>
            <w:noWrap/>
            <w:vAlign w:val="bottom"/>
            <w:hideMark/>
          </w:tcPr>
          <w:p w:rsidR="00525A83" w:rsidRPr="001244BB" w:rsidRDefault="00525A83" w:rsidP="00030337">
            <w:pPr>
              <w:spacing w:after="0" w:line="240" w:lineRule="auto"/>
              <w:rPr>
                <w:rFonts w:ascii="Arial" w:eastAsia="Times New Roman" w:hAnsi="Arial" w:cs="Arial"/>
                <w:color w:val="000000"/>
                <w:sz w:val="20"/>
                <w:lang w:eastAsia="en-NZ"/>
              </w:rPr>
            </w:pPr>
            <w:r w:rsidRPr="001244BB">
              <w:rPr>
                <w:rFonts w:ascii="Arial" w:eastAsia="Times New Roman" w:hAnsi="Arial" w:cs="Arial"/>
                <w:b/>
                <w:bCs/>
                <w:color w:val="000000"/>
                <w:sz w:val="20"/>
                <w:lang w:eastAsia="en-NZ"/>
              </w:rPr>
              <w:t>2.5 Stormwater management</w:t>
            </w:r>
          </w:p>
        </w:tc>
      </w:tr>
      <w:tr w:rsidR="00525A83" w:rsidRPr="001244BB" w:rsidTr="00F43FB2">
        <w:trPr>
          <w:trHeight w:val="510"/>
        </w:trPr>
        <w:tc>
          <w:tcPr>
            <w:tcW w:w="3119" w:type="dxa"/>
            <w:tcBorders>
              <w:left w:val="nil"/>
              <w:right w:val="single" w:sz="4" w:space="0" w:color="00B050"/>
            </w:tcBorders>
            <w:shd w:val="clear" w:color="auto" w:fill="auto"/>
            <w:noWrap/>
            <w:hideMark/>
          </w:tcPr>
          <w:p w:rsidR="00525A83" w:rsidRPr="001244BB" w:rsidRDefault="00525A83" w:rsidP="00030337">
            <w:pPr>
              <w:spacing w:after="0" w:line="240" w:lineRule="auto"/>
              <w:ind w:firstLineChars="100" w:firstLine="200"/>
              <w:rPr>
                <w:rFonts w:ascii="Arial" w:eastAsia="Times New Roman" w:hAnsi="Arial" w:cs="Arial"/>
                <w:color w:val="000000"/>
                <w:sz w:val="20"/>
                <w:lang w:eastAsia="en-NZ"/>
              </w:rPr>
            </w:pPr>
            <w:r w:rsidRPr="001244BB">
              <w:rPr>
                <w:rFonts w:ascii="Arial" w:eastAsia="Times New Roman" w:hAnsi="Arial" w:cs="Arial"/>
                <w:color w:val="000000"/>
                <w:sz w:val="20"/>
                <w:lang w:eastAsia="en-NZ"/>
              </w:rPr>
              <w:t>Expenditure</w:t>
            </w:r>
          </w:p>
        </w:tc>
        <w:tc>
          <w:tcPr>
            <w:tcW w:w="992" w:type="dxa"/>
            <w:tcBorders>
              <w:left w:val="single" w:sz="4" w:space="0" w:color="00B050"/>
              <w:right w:val="single" w:sz="4" w:space="0" w:color="00B050"/>
            </w:tcBorders>
            <w:shd w:val="clear" w:color="auto" w:fill="auto"/>
            <w:noWrap/>
            <w:hideMark/>
          </w:tcPr>
          <w:p w:rsidR="00525A83" w:rsidRPr="001244BB" w:rsidRDefault="00525A83" w:rsidP="00030337">
            <w:pPr>
              <w:spacing w:after="0" w:line="240" w:lineRule="auto"/>
              <w:jc w:val="right"/>
              <w:rPr>
                <w:rFonts w:ascii="Arial" w:eastAsia="Times New Roman" w:hAnsi="Arial" w:cs="Arial"/>
                <w:color w:val="000000"/>
                <w:sz w:val="20"/>
                <w:lang w:eastAsia="en-NZ"/>
              </w:rPr>
            </w:pPr>
            <w:r w:rsidRPr="001244BB">
              <w:rPr>
                <w:rFonts w:ascii="Arial" w:eastAsia="Times New Roman" w:hAnsi="Arial" w:cs="Arial"/>
                <w:color w:val="000000"/>
                <w:sz w:val="20"/>
                <w:lang w:eastAsia="en-NZ"/>
              </w:rPr>
              <w:t>7,217</w:t>
            </w:r>
          </w:p>
        </w:tc>
        <w:tc>
          <w:tcPr>
            <w:tcW w:w="992" w:type="dxa"/>
            <w:tcBorders>
              <w:left w:val="single" w:sz="4" w:space="0" w:color="00B050"/>
              <w:right w:val="single" w:sz="4" w:space="0" w:color="00B050"/>
            </w:tcBorders>
            <w:shd w:val="clear" w:color="auto" w:fill="auto"/>
            <w:noWrap/>
            <w:hideMark/>
          </w:tcPr>
          <w:p w:rsidR="00525A83" w:rsidRPr="001244BB" w:rsidRDefault="00525A83" w:rsidP="00030337">
            <w:pPr>
              <w:spacing w:after="0" w:line="240" w:lineRule="auto"/>
              <w:jc w:val="right"/>
              <w:rPr>
                <w:rFonts w:ascii="Arial" w:eastAsia="Times New Roman" w:hAnsi="Arial" w:cs="Arial"/>
                <w:color w:val="000000"/>
                <w:sz w:val="20"/>
                <w:lang w:eastAsia="en-NZ"/>
              </w:rPr>
            </w:pPr>
            <w:r w:rsidRPr="001244BB">
              <w:rPr>
                <w:rFonts w:ascii="Arial" w:eastAsia="Times New Roman" w:hAnsi="Arial" w:cs="Arial"/>
                <w:color w:val="000000"/>
                <w:sz w:val="20"/>
                <w:lang w:eastAsia="en-NZ"/>
              </w:rPr>
              <w:t>9,248</w:t>
            </w:r>
          </w:p>
        </w:tc>
        <w:tc>
          <w:tcPr>
            <w:tcW w:w="993" w:type="dxa"/>
            <w:tcBorders>
              <w:left w:val="single" w:sz="4" w:space="0" w:color="00B050"/>
              <w:right w:val="single" w:sz="4" w:space="0" w:color="00B050"/>
            </w:tcBorders>
            <w:shd w:val="clear" w:color="auto" w:fill="auto"/>
            <w:noWrap/>
            <w:hideMark/>
          </w:tcPr>
          <w:p w:rsidR="00525A83" w:rsidRPr="001244BB" w:rsidRDefault="00525A83" w:rsidP="00030337">
            <w:pPr>
              <w:spacing w:after="0" w:line="240" w:lineRule="auto"/>
              <w:jc w:val="right"/>
              <w:rPr>
                <w:rFonts w:ascii="Arial" w:eastAsia="Times New Roman" w:hAnsi="Arial" w:cs="Arial"/>
                <w:color w:val="000000"/>
                <w:sz w:val="20"/>
                <w:lang w:eastAsia="en-NZ"/>
              </w:rPr>
            </w:pPr>
            <w:r w:rsidRPr="001244BB">
              <w:rPr>
                <w:rFonts w:ascii="Arial" w:eastAsia="Times New Roman" w:hAnsi="Arial" w:cs="Arial"/>
                <w:color w:val="000000"/>
                <w:sz w:val="20"/>
                <w:lang w:eastAsia="en-NZ"/>
              </w:rPr>
              <w:t>11,338</w:t>
            </w:r>
          </w:p>
        </w:tc>
        <w:tc>
          <w:tcPr>
            <w:tcW w:w="1275" w:type="dxa"/>
            <w:tcBorders>
              <w:left w:val="single" w:sz="4" w:space="0" w:color="00B050"/>
              <w:right w:val="single" w:sz="4" w:space="0" w:color="00B050"/>
            </w:tcBorders>
            <w:shd w:val="clear" w:color="auto" w:fill="auto"/>
            <w:noWrap/>
            <w:hideMark/>
          </w:tcPr>
          <w:p w:rsidR="00525A83" w:rsidRPr="001244BB" w:rsidRDefault="00525A83" w:rsidP="00030337">
            <w:pPr>
              <w:spacing w:after="0" w:line="240" w:lineRule="auto"/>
              <w:jc w:val="right"/>
              <w:rPr>
                <w:rFonts w:ascii="Arial" w:eastAsia="Times New Roman" w:hAnsi="Arial" w:cs="Arial"/>
                <w:color w:val="000000"/>
                <w:sz w:val="20"/>
                <w:lang w:eastAsia="en-NZ"/>
              </w:rPr>
            </w:pPr>
            <w:r w:rsidRPr="001244BB">
              <w:rPr>
                <w:rFonts w:ascii="Arial" w:eastAsia="Times New Roman" w:hAnsi="Arial" w:cs="Arial"/>
                <w:color w:val="000000"/>
                <w:sz w:val="20"/>
                <w:lang w:eastAsia="en-NZ"/>
              </w:rPr>
              <w:t>(925)</w:t>
            </w:r>
          </w:p>
        </w:tc>
        <w:tc>
          <w:tcPr>
            <w:tcW w:w="1134" w:type="dxa"/>
            <w:tcBorders>
              <w:left w:val="single" w:sz="4" w:space="0" w:color="00B050"/>
              <w:right w:val="single" w:sz="4" w:space="0" w:color="00B050"/>
            </w:tcBorders>
            <w:shd w:val="clear" w:color="000000" w:fill="E0E0E0"/>
            <w:noWrap/>
            <w:hideMark/>
          </w:tcPr>
          <w:p w:rsidR="00525A83" w:rsidRPr="001244BB" w:rsidRDefault="00525A83" w:rsidP="00030337">
            <w:pPr>
              <w:spacing w:after="0" w:line="240" w:lineRule="auto"/>
              <w:jc w:val="right"/>
              <w:rPr>
                <w:rFonts w:ascii="Arial" w:eastAsia="Times New Roman" w:hAnsi="Arial" w:cs="Arial"/>
                <w:color w:val="000000"/>
                <w:sz w:val="20"/>
                <w:lang w:eastAsia="en-NZ"/>
              </w:rPr>
            </w:pPr>
            <w:r w:rsidRPr="001244BB">
              <w:rPr>
                <w:rFonts w:ascii="Arial" w:eastAsia="Times New Roman" w:hAnsi="Arial" w:cs="Arial"/>
                <w:color w:val="000000"/>
                <w:sz w:val="20"/>
                <w:lang w:eastAsia="en-NZ"/>
              </w:rPr>
              <w:t>9,057</w:t>
            </w:r>
          </w:p>
        </w:tc>
        <w:tc>
          <w:tcPr>
            <w:tcW w:w="1134" w:type="dxa"/>
            <w:tcBorders>
              <w:left w:val="single" w:sz="4" w:space="0" w:color="00B050"/>
              <w:right w:val="single" w:sz="4" w:space="0" w:color="00B050"/>
            </w:tcBorders>
            <w:shd w:val="clear" w:color="000000" w:fill="E0E0E0"/>
            <w:noWrap/>
            <w:hideMark/>
          </w:tcPr>
          <w:p w:rsidR="00525A83" w:rsidRPr="001244BB" w:rsidRDefault="00525A83" w:rsidP="00030337">
            <w:pPr>
              <w:spacing w:after="0" w:line="240" w:lineRule="auto"/>
              <w:jc w:val="right"/>
              <w:rPr>
                <w:rFonts w:ascii="Arial" w:eastAsia="Times New Roman" w:hAnsi="Arial" w:cs="Arial"/>
                <w:color w:val="000000"/>
                <w:sz w:val="20"/>
                <w:lang w:eastAsia="en-NZ"/>
              </w:rPr>
            </w:pPr>
            <w:r w:rsidRPr="001244BB">
              <w:rPr>
                <w:rFonts w:ascii="Arial" w:eastAsia="Times New Roman" w:hAnsi="Arial" w:cs="Arial"/>
                <w:color w:val="000000"/>
                <w:sz w:val="20"/>
                <w:lang w:eastAsia="en-NZ"/>
              </w:rPr>
              <w:t>10,412</w:t>
            </w:r>
          </w:p>
        </w:tc>
        <w:tc>
          <w:tcPr>
            <w:tcW w:w="1276" w:type="dxa"/>
            <w:tcBorders>
              <w:left w:val="single" w:sz="4" w:space="0" w:color="00B050"/>
              <w:right w:val="single" w:sz="4" w:space="0" w:color="00B050"/>
            </w:tcBorders>
            <w:shd w:val="clear" w:color="000000" w:fill="E0E0E0"/>
            <w:noWrap/>
            <w:hideMark/>
          </w:tcPr>
          <w:p w:rsidR="00525A83" w:rsidRPr="001244BB" w:rsidRDefault="00525A83" w:rsidP="00030337">
            <w:pPr>
              <w:spacing w:after="0" w:line="240" w:lineRule="auto"/>
              <w:jc w:val="right"/>
              <w:rPr>
                <w:rFonts w:ascii="Arial" w:eastAsia="Times New Roman" w:hAnsi="Arial" w:cs="Arial"/>
                <w:color w:val="000000"/>
                <w:sz w:val="20"/>
                <w:lang w:eastAsia="en-NZ"/>
              </w:rPr>
            </w:pPr>
            <w:r w:rsidRPr="001244BB">
              <w:rPr>
                <w:rFonts w:ascii="Arial" w:eastAsia="Times New Roman" w:hAnsi="Arial" w:cs="Arial"/>
                <w:color w:val="000000"/>
                <w:sz w:val="20"/>
                <w:lang w:eastAsia="en-NZ"/>
              </w:rPr>
              <w:t>1,355</w:t>
            </w:r>
          </w:p>
        </w:tc>
        <w:tc>
          <w:tcPr>
            <w:tcW w:w="3260" w:type="dxa"/>
            <w:tcBorders>
              <w:left w:val="single" w:sz="4" w:space="0" w:color="00B050"/>
              <w:right w:val="nil"/>
            </w:tcBorders>
            <w:shd w:val="clear" w:color="auto" w:fill="auto"/>
            <w:vAlign w:val="bottom"/>
            <w:hideMark/>
          </w:tcPr>
          <w:p w:rsidR="00525A83" w:rsidRPr="001244BB" w:rsidRDefault="00525A83" w:rsidP="00030337">
            <w:pPr>
              <w:spacing w:after="0" w:line="240" w:lineRule="auto"/>
              <w:rPr>
                <w:rFonts w:ascii="Arial" w:eastAsia="Times New Roman" w:hAnsi="Arial" w:cs="Arial"/>
                <w:color w:val="000000"/>
                <w:sz w:val="20"/>
                <w:lang w:eastAsia="en-NZ"/>
              </w:rPr>
            </w:pPr>
            <w:r w:rsidRPr="001244BB">
              <w:rPr>
                <w:rFonts w:ascii="Arial" w:eastAsia="Times New Roman" w:hAnsi="Arial" w:cs="Arial"/>
                <w:color w:val="000000"/>
                <w:sz w:val="20"/>
                <w:lang w:eastAsia="en-NZ"/>
              </w:rPr>
              <w:t>Under spending on stage 2 of the Kilbirnie project pending a cost effectiveness review.  This is currently on hold.</w:t>
            </w:r>
          </w:p>
        </w:tc>
      </w:tr>
      <w:tr w:rsidR="00525A83" w:rsidRPr="001244BB" w:rsidTr="00F43FB2">
        <w:trPr>
          <w:trHeight w:val="300"/>
        </w:trPr>
        <w:tc>
          <w:tcPr>
            <w:tcW w:w="14175" w:type="dxa"/>
            <w:gridSpan w:val="9"/>
            <w:tcBorders>
              <w:left w:val="nil"/>
              <w:right w:val="nil"/>
            </w:tcBorders>
            <w:shd w:val="clear" w:color="auto" w:fill="EAF1DD" w:themeFill="accent3" w:themeFillTint="33"/>
            <w:noWrap/>
            <w:vAlign w:val="bottom"/>
            <w:hideMark/>
          </w:tcPr>
          <w:p w:rsidR="00525A83" w:rsidRPr="001244BB" w:rsidRDefault="00525A83" w:rsidP="00030337">
            <w:pPr>
              <w:spacing w:after="0" w:line="240" w:lineRule="auto"/>
              <w:rPr>
                <w:rFonts w:ascii="Arial" w:eastAsia="Times New Roman" w:hAnsi="Arial" w:cs="Arial"/>
                <w:color w:val="000000"/>
                <w:sz w:val="20"/>
                <w:lang w:eastAsia="en-NZ"/>
              </w:rPr>
            </w:pPr>
            <w:r w:rsidRPr="001244BB">
              <w:rPr>
                <w:rFonts w:ascii="Arial" w:eastAsia="Times New Roman" w:hAnsi="Arial" w:cs="Arial"/>
                <w:b/>
                <w:bCs/>
                <w:color w:val="000000"/>
                <w:sz w:val="20"/>
                <w:lang w:eastAsia="en-NZ"/>
              </w:rPr>
              <w:t xml:space="preserve">2.6 Conservation visitor attractions </w:t>
            </w:r>
          </w:p>
        </w:tc>
      </w:tr>
      <w:tr w:rsidR="00525A83" w:rsidRPr="001244BB" w:rsidTr="00F43FB2">
        <w:trPr>
          <w:trHeight w:val="510"/>
        </w:trPr>
        <w:tc>
          <w:tcPr>
            <w:tcW w:w="3119" w:type="dxa"/>
            <w:tcBorders>
              <w:left w:val="nil"/>
              <w:bottom w:val="single" w:sz="4" w:space="0" w:color="00B050"/>
              <w:right w:val="single" w:sz="4" w:space="0" w:color="00B050"/>
            </w:tcBorders>
            <w:shd w:val="clear" w:color="auto" w:fill="auto"/>
            <w:noWrap/>
            <w:hideMark/>
          </w:tcPr>
          <w:p w:rsidR="00525A83" w:rsidRPr="001244BB" w:rsidRDefault="00525A83" w:rsidP="00030337">
            <w:pPr>
              <w:spacing w:after="0" w:line="240" w:lineRule="auto"/>
              <w:ind w:firstLineChars="100" w:firstLine="200"/>
              <w:rPr>
                <w:rFonts w:ascii="Arial" w:eastAsia="Times New Roman" w:hAnsi="Arial" w:cs="Arial"/>
                <w:color w:val="000000"/>
                <w:sz w:val="20"/>
                <w:lang w:eastAsia="en-NZ"/>
              </w:rPr>
            </w:pPr>
            <w:r w:rsidRPr="001244BB">
              <w:rPr>
                <w:rFonts w:ascii="Arial" w:eastAsia="Times New Roman" w:hAnsi="Arial" w:cs="Arial"/>
                <w:color w:val="000000"/>
                <w:sz w:val="20"/>
                <w:lang w:eastAsia="en-NZ"/>
              </w:rPr>
              <w:t>Expenditure</w:t>
            </w:r>
          </w:p>
        </w:tc>
        <w:tc>
          <w:tcPr>
            <w:tcW w:w="992" w:type="dxa"/>
            <w:tcBorders>
              <w:left w:val="single" w:sz="4" w:space="0" w:color="00B050"/>
              <w:bottom w:val="single" w:sz="4" w:space="0" w:color="00B050"/>
              <w:right w:val="single" w:sz="4" w:space="0" w:color="00B050"/>
            </w:tcBorders>
            <w:shd w:val="clear" w:color="auto" w:fill="auto"/>
            <w:noWrap/>
            <w:hideMark/>
          </w:tcPr>
          <w:p w:rsidR="00525A83" w:rsidRPr="001244BB" w:rsidRDefault="00525A83" w:rsidP="00030337">
            <w:pPr>
              <w:spacing w:after="0" w:line="240" w:lineRule="auto"/>
              <w:jc w:val="right"/>
              <w:rPr>
                <w:rFonts w:ascii="Arial" w:eastAsia="Times New Roman" w:hAnsi="Arial" w:cs="Arial"/>
                <w:color w:val="000000"/>
                <w:sz w:val="20"/>
                <w:lang w:eastAsia="en-NZ"/>
              </w:rPr>
            </w:pPr>
            <w:r w:rsidRPr="001244BB">
              <w:rPr>
                <w:rFonts w:ascii="Arial" w:eastAsia="Times New Roman" w:hAnsi="Arial" w:cs="Arial"/>
                <w:color w:val="000000"/>
                <w:sz w:val="20"/>
                <w:lang w:eastAsia="en-NZ"/>
              </w:rPr>
              <w:t>1,956</w:t>
            </w:r>
          </w:p>
        </w:tc>
        <w:tc>
          <w:tcPr>
            <w:tcW w:w="992" w:type="dxa"/>
            <w:tcBorders>
              <w:left w:val="single" w:sz="4" w:space="0" w:color="00B050"/>
              <w:bottom w:val="single" w:sz="4" w:space="0" w:color="00B050"/>
              <w:right w:val="single" w:sz="4" w:space="0" w:color="00B050"/>
            </w:tcBorders>
            <w:shd w:val="clear" w:color="auto" w:fill="auto"/>
            <w:noWrap/>
            <w:hideMark/>
          </w:tcPr>
          <w:p w:rsidR="00525A83" w:rsidRPr="001244BB" w:rsidRDefault="00525A83" w:rsidP="00030337">
            <w:pPr>
              <w:spacing w:after="0" w:line="240" w:lineRule="auto"/>
              <w:jc w:val="right"/>
              <w:rPr>
                <w:rFonts w:ascii="Arial" w:eastAsia="Times New Roman" w:hAnsi="Arial" w:cs="Arial"/>
                <w:color w:val="000000"/>
                <w:sz w:val="20"/>
                <w:lang w:eastAsia="en-NZ"/>
              </w:rPr>
            </w:pPr>
            <w:r w:rsidRPr="001244BB">
              <w:rPr>
                <w:rFonts w:ascii="Arial" w:eastAsia="Times New Roman" w:hAnsi="Arial" w:cs="Arial"/>
                <w:color w:val="000000"/>
                <w:sz w:val="20"/>
                <w:lang w:eastAsia="en-NZ"/>
              </w:rPr>
              <w:t>720</w:t>
            </w:r>
          </w:p>
        </w:tc>
        <w:tc>
          <w:tcPr>
            <w:tcW w:w="993" w:type="dxa"/>
            <w:tcBorders>
              <w:left w:val="single" w:sz="4" w:space="0" w:color="00B050"/>
              <w:bottom w:val="single" w:sz="4" w:space="0" w:color="00B050"/>
              <w:right w:val="single" w:sz="4" w:space="0" w:color="00B050"/>
            </w:tcBorders>
            <w:shd w:val="clear" w:color="auto" w:fill="auto"/>
            <w:noWrap/>
            <w:hideMark/>
          </w:tcPr>
          <w:p w:rsidR="00525A83" w:rsidRPr="001244BB" w:rsidRDefault="00525A83" w:rsidP="00030337">
            <w:pPr>
              <w:spacing w:after="0" w:line="240" w:lineRule="auto"/>
              <w:jc w:val="right"/>
              <w:rPr>
                <w:rFonts w:ascii="Arial" w:eastAsia="Times New Roman" w:hAnsi="Arial" w:cs="Arial"/>
                <w:color w:val="000000"/>
                <w:sz w:val="20"/>
                <w:lang w:eastAsia="en-NZ"/>
              </w:rPr>
            </w:pPr>
            <w:r w:rsidRPr="001244BB">
              <w:rPr>
                <w:rFonts w:ascii="Arial" w:eastAsia="Times New Roman" w:hAnsi="Arial" w:cs="Arial"/>
                <w:color w:val="000000"/>
                <w:sz w:val="20"/>
                <w:lang w:eastAsia="en-NZ"/>
              </w:rPr>
              <w:t>1,150</w:t>
            </w:r>
          </w:p>
        </w:tc>
        <w:tc>
          <w:tcPr>
            <w:tcW w:w="1275" w:type="dxa"/>
            <w:tcBorders>
              <w:left w:val="single" w:sz="4" w:space="0" w:color="00B050"/>
              <w:bottom w:val="single" w:sz="4" w:space="0" w:color="00B050"/>
              <w:right w:val="single" w:sz="4" w:space="0" w:color="00B050"/>
            </w:tcBorders>
            <w:shd w:val="clear" w:color="auto" w:fill="auto"/>
            <w:noWrap/>
            <w:hideMark/>
          </w:tcPr>
          <w:p w:rsidR="00525A83" w:rsidRPr="001244BB" w:rsidRDefault="00525A83" w:rsidP="00030337">
            <w:pPr>
              <w:spacing w:after="0" w:line="240" w:lineRule="auto"/>
              <w:jc w:val="right"/>
              <w:rPr>
                <w:rFonts w:ascii="Arial" w:eastAsia="Times New Roman" w:hAnsi="Arial" w:cs="Arial"/>
                <w:color w:val="000000"/>
                <w:sz w:val="20"/>
                <w:lang w:eastAsia="en-NZ"/>
              </w:rPr>
            </w:pPr>
            <w:r w:rsidRPr="001244BB">
              <w:rPr>
                <w:rFonts w:ascii="Arial" w:eastAsia="Times New Roman" w:hAnsi="Arial" w:cs="Arial"/>
                <w:color w:val="000000"/>
                <w:sz w:val="20"/>
                <w:lang w:eastAsia="en-NZ"/>
              </w:rPr>
              <w:t>(179)</w:t>
            </w:r>
          </w:p>
        </w:tc>
        <w:tc>
          <w:tcPr>
            <w:tcW w:w="1134" w:type="dxa"/>
            <w:tcBorders>
              <w:left w:val="single" w:sz="4" w:space="0" w:color="00B050"/>
              <w:bottom w:val="single" w:sz="4" w:space="0" w:color="00B050"/>
              <w:right w:val="single" w:sz="4" w:space="0" w:color="00B050"/>
            </w:tcBorders>
            <w:shd w:val="clear" w:color="000000" w:fill="E0E0E0"/>
            <w:noWrap/>
            <w:hideMark/>
          </w:tcPr>
          <w:p w:rsidR="00525A83" w:rsidRPr="001244BB" w:rsidRDefault="00525A83" w:rsidP="00030337">
            <w:pPr>
              <w:spacing w:after="0" w:line="240" w:lineRule="auto"/>
              <w:jc w:val="right"/>
              <w:rPr>
                <w:rFonts w:ascii="Arial" w:eastAsia="Times New Roman" w:hAnsi="Arial" w:cs="Arial"/>
                <w:color w:val="000000"/>
                <w:sz w:val="20"/>
                <w:lang w:eastAsia="en-NZ"/>
              </w:rPr>
            </w:pPr>
            <w:r w:rsidRPr="001244BB">
              <w:rPr>
                <w:rFonts w:ascii="Arial" w:eastAsia="Times New Roman" w:hAnsi="Arial" w:cs="Arial"/>
                <w:color w:val="000000"/>
                <w:sz w:val="20"/>
                <w:lang w:eastAsia="en-NZ"/>
              </w:rPr>
              <w:t>1,896</w:t>
            </w:r>
          </w:p>
        </w:tc>
        <w:tc>
          <w:tcPr>
            <w:tcW w:w="1134" w:type="dxa"/>
            <w:tcBorders>
              <w:left w:val="single" w:sz="4" w:space="0" w:color="00B050"/>
              <w:bottom w:val="single" w:sz="4" w:space="0" w:color="00B050"/>
              <w:right w:val="single" w:sz="4" w:space="0" w:color="00B050"/>
            </w:tcBorders>
            <w:shd w:val="clear" w:color="000000" w:fill="E0E0E0"/>
            <w:noWrap/>
            <w:hideMark/>
          </w:tcPr>
          <w:p w:rsidR="00525A83" w:rsidRPr="001244BB" w:rsidRDefault="00525A83" w:rsidP="00030337">
            <w:pPr>
              <w:spacing w:after="0" w:line="240" w:lineRule="auto"/>
              <w:jc w:val="right"/>
              <w:rPr>
                <w:rFonts w:ascii="Arial" w:eastAsia="Times New Roman" w:hAnsi="Arial" w:cs="Arial"/>
                <w:color w:val="000000"/>
                <w:sz w:val="20"/>
                <w:lang w:eastAsia="en-NZ"/>
              </w:rPr>
            </w:pPr>
            <w:r w:rsidRPr="001244BB">
              <w:rPr>
                <w:rFonts w:ascii="Arial" w:eastAsia="Times New Roman" w:hAnsi="Arial" w:cs="Arial"/>
                <w:color w:val="000000"/>
                <w:sz w:val="20"/>
                <w:lang w:eastAsia="en-NZ"/>
              </w:rPr>
              <w:t>971</w:t>
            </w:r>
          </w:p>
        </w:tc>
        <w:tc>
          <w:tcPr>
            <w:tcW w:w="1276" w:type="dxa"/>
            <w:tcBorders>
              <w:left w:val="single" w:sz="4" w:space="0" w:color="00B050"/>
              <w:bottom w:val="single" w:sz="4" w:space="0" w:color="00B050"/>
              <w:right w:val="single" w:sz="4" w:space="0" w:color="00B050"/>
            </w:tcBorders>
            <w:shd w:val="clear" w:color="000000" w:fill="E0E0E0"/>
            <w:noWrap/>
            <w:hideMark/>
          </w:tcPr>
          <w:p w:rsidR="00525A83" w:rsidRPr="001244BB" w:rsidRDefault="00525A83" w:rsidP="00030337">
            <w:pPr>
              <w:spacing w:after="0" w:line="240" w:lineRule="auto"/>
              <w:jc w:val="right"/>
              <w:rPr>
                <w:rFonts w:ascii="Arial" w:eastAsia="Times New Roman" w:hAnsi="Arial" w:cs="Arial"/>
                <w:color w:val="000000"/>
                <w:sz w:val="20"/>
                <w:lang w:eastAsia="en-NZ"/>
              </w:rPr>
            </w:pPr>
            <w:r w:rsidRPr="001244BB">
              <w:rPr>
                <w:rFonts w:ascii="Arial" w:eastAsia="Times New Roman" w:hAnsi="Arial" w:cs="Arial"/>
                <w:color w:val="000000"/>
                <w:sz w:val="20"/>
                <w:lang w:eastAsia="en-NZ"/>
              </w:rPr>
              <w:t>(925)</w:t>
            </w:r>
          </w:p>
        </w:tc>
        <w:tc>
          <w:tcPr>
            <w:tcW w:w="3260" w:type="dxa"/>
            <w:tcBorders>
              <w:left w:val="single" w:sz="4" w:space="0" w:color="00B050"/>
              <w:bottom w:val="single" w:sz="4" w:space="0" w:color="00B050"/>
              <w:right w:val="nil"/>
            </w:tcBorders>
            <w:shd w:val="clear" w:color="auto" w:fill="auto"/>
            <w:vAlign w:val="bottom"/>
            <w:hideMark/>
          </w:tcPr>
          <w:p w:rsidR="00525A83" w:rsidRPr="001244BB" w:rsidRDefault="00525A83" w:rsidP="00030337">
            <w:pPr>
              <w:spacing w:after="0" w:line="240" w:lineRule="auto"/>
              <w:rPr>
                <w:rFonts w:ascii="Arial" w:eastAsia="Times New Roman" w:hAnsi="Arial" w:cs="Arial"/>
                <w:color w:val="000000"/>
                <w:sz w:val="20"/>
                <w:lang w:eastAsia="en-NZ"/>
              </w:rPr>
            </w:pPr>
            <w:r w:rsidRPr="001244BB">
              <w:rPr>
                <w:rFonts w:ascii="Arial" w:eastAsia="Times New Roman" w:hAnsi="Arial" w:cs="Arial"/>
                <w:color w:val="000000"/>
                <w:sz w:val="20"/>
                <w:lang w:eastAsia="en-NZ"/>
              </w:rPr>
              <w:t>Over budget in the Zoo renewals programme.  This is mitigated through additional funding from the Wellington Zoo Trust.</w:t>
            </w:r>
          </w:p>
        </w:tc>
      </w:tr>
      <w:tr w:rsidR="00525A83" w:rsidRPr="001244BB" w:rsidTr="00F43FB2">
        <w:trPr>
          <w:trHeight w:val="300"/>
        </w:trPr>
        <w:tc>
          <w:tcPr>
            <w:tcW w:w="3119" w:type="dxa"/>
            <w:tcBorders>
              <w:top w:val="single" w:sz="4" w:space="0" w:color="00B050"/>
              <w:left w:val="nil"/>
              <w:bottom w:val="single" w:sz="4" w:space="0" w:color="00B050"/>
              <w:right w:val="single" w:sz="4" w:space="0" w:color="00B050"/>
            </w:tcBorders>
            <w:shd w:val="clear" w:color="auto" w:fill="EAF1DD" w:themeFill="accent3" w:themeFillTint="33"/>
            <w:noWrap/>
            <w:vAlign w:val="bottom"/>
            <w:hideMark/>
          </w:tcPr>
          <w:p w:rsidR="00525A83" w:rsidRPr="001244BB" w:rsidRDefault="00525A83" w:rsidP="00030337">
            <w:pPr>
              <w:spacing w:after="0" w:line="240" w:lineRule="auto"/>
              <w:rPr>
                <w:rFonts w:ascii="Arial" w:eastAsia="Times New Roman" w:hAnsi="Arial" w:cs="Arial"/>
                <w:b/>
                <w:bCs/>
                <w:color w:val="000000"/>
                <w:sz w:val="20"/>
                <w:lang w:eastAsia="en-NZ"/>
              </w:rPr>
            </w:pPr>
            <w:r w:rsidRPr="001244BB">
              <w:rPr>
                <w:rFonts w:ascii="Arial" w:eastAsia="Times New Roman" w:hAnsi="Arial" w:cs="Arial"/>
                <w:b/>
                <w:bCs/>
                <w:color w:val="000000"/>
                <w:sz w:val="20"/>
                <w:lang w:eastAsia="en-NZ"/>
              </w:rPr>
              <w:t>Environment total</w:t>
            </w:r>
          </w:p>
        </w:tc>
        <w:tc>
          <w:tcPr>
            <w:tcW w:w="992" w:type="dxa"/>
            <w:tcBorders>
              <w:top w:val="single" w:sz="4" w:space="0" w:color="00B050"/>
              <w:left w:val="single" w:sz="4" w:space="0" w:color="00B050"/>
              <w:bottom w:val="single" w:sz="4" w:space="0" w:color="00B050"/>
              <w:right w:val="single" w:sz="4" w:space="0" w:color="00B050"/>
            </w:tcBorders>
            <w:shd w:val="clear" w:color="auto" w:fill="EAF1DD" w:themeFill="accent3" w:themeFillTint="33"/>
            <w:noWrap/>
            <w:hideMark/>
          </w:tcPr>
          <w:p w:rsidR="00525A83" w:rsidRPr="001244BB" w:rsidRDefault="00525A83" w:rsidP="00030337">
            <w:pPr>
              <w:spacing w:after="0" w:line="240" w:lineRule="auto"/>
              <w:jc w:val="right"/>
              <w:rPr>
                <w:rFonts w:ascii="Arial" w:eastAsia="Times New Roman" w:hAnsi="Arial" w:cs="Arial"/>
                <w:b/>
                <w:bCs/>
                <w:color w:val="000000"/>
                <w:sz w:val="20"/>
                <w:lang w:eastAsia="en-NZ"/>
              </w:rPr>
            </w:pPr>
            <w:r w:rsidRPr="001244BB">
              <w:rPr>
                <w:rFonts w:ascii="Arial" w:eastAsia="Times New Roman" w:hAnsi="Arial" w:cs="Arial"/>
                <w:b/>
                <w:bCs/>
                <w:color w:val="000000"/>
                <w:sz w:val="20"/>
                <w:lang w:eastAsia="en-NZ"/>
              </w:rPr>
              <w:t>40,982</w:t>
            </w:r>
          </w:p>
        </w:tc>
        <w:tc>
          <w:tcPr>
            <w:tcW w:w="992" w:type="dxa"/>
            <w:tcBorders>
              <w:top w:val="single" w:sz="4" w:space="0" w:color="00B050"/>
              <w:left w:val="single" w:sz="4" w:space="0" w:color="00B050"/>
              <w:bottom w:val="single" w:sz="4" w:space="0" w:color="00B050"/>
              <w:right w:val="single" w:sz="4" w:space="0" w:color="00B050"/>
            </w:tcBorders>
            <w:shd w:val="clear" w:color="auto" w:fill="EAF1DD" w:themeFill="accent3" w:themeFillTint="33"/>
            <w:noWrap/>
            <w:hideMark/>
          </w:tcPr>
          <w:p w:rsidR="00525A83" w:rsidRPr="001244BB" w:rsidRDefault="00525A83" w:rsidP="00030337">
            <w:pPr>
              <w:spacing w:after="0" w:line="240" w:lineRule="auto"/>
              <w:jc w:val="right"/>
              <w:rPr>
                <w:rFonts w:ascii="Arial" w:eastAsia="Times New Roman" w:hAnsi="Arial" w:cs="Arial"/>
                <w:b/>
                <w:bCs/>
                <w:color w:val="000000"/>
                <w:sz w:val="20"/>
                <w:lang w:eastAsia="en-NZ"/>
              </w:rPr>
            </w:pPr>
            <w:r w:rsidRPr="001244BB">
              <w:rPr>
                <w:rFonts w:ascii="Arial" w:eastAsia="Times New Roman" w:hAnsi="Arial" w:cs="Arial"/>
                <w:b/>
                <w:bCs/>
                <w:color w:val="000000"/>
                <w:sz w:val="20"/>
                <w:lang w:eastAsia="en-NZ"/>
              </w:rPr>
              <w:t>45,428</w:t>
            </w:r>
          </w:p>
        </w:tc>
        <w:tc>
          <w:tcPr>
            <w:tcW w:w="993" w:type="dxa"/>
            <w:tcBorders>
              <w:top w:val="single" w:sz="4" w:space="0" w:color="00B050"/>
              <w:left w:val="single" w:sz="4" w:space="0" w:color="00B050"/>
              <w:bottom w:val="single" w:sz="4" w:space="0" w:color="00B050"/>
              <w:right w:val="single" w:sz="4" w:space="0" w:color="00B050"/>
            </w:tcBorders>
            <w:shd w:val="clear" w:color="auto" w:fill="EAF1DD" w:themeFill="accent3" w:themeFillTint="33"/>
            <w:noWrap/>
            <w:hideMark/>
          </w:tcPr>
          <w:p w:rsidR="00525A83" w:rsidRPr="001244BB" w:rsidRDefault="00525A83" w:rsidP="00030337">
            <w:pPr>
              <w:spacing w:after="0" w:line="240" w:lineRule="auto"/>
              <w:jc w:val="right"/>
              <w:rPr>
                <w:rFonts w:ascii="Arial" w:eastAsia="Times New Roman" w:hAnsi="Arial" w:cs="Arial"/>
                <w:b/>
                <w:bCs/>
                <w:color w:val="000000"/>
                <w:sz w:val="20"/>
                <w:lang w:eastAsia="en-NZ"/>
              </w:rPr>
            </w:pPr>
            <w:r w:rsidRPr="001244BB">
              <w:rPr>
                <w:rFonts w:ascii="Arial" w:eastAsia="Times New Roman" w:hAnsi="Arial" w:cs="Arial"/>
                <w:b/>
                <w:bCs/>
                <w:color w:val="000000"/>
                <w:sz w:val="20"/>
                <w:lang w:eastAsia="en-NZ"/>
              </w:rPr>
              <w:t>52,030</w:t>
            </w:r>
          </w:p>
        </w:tc>
        <w:tc>
          <w:tcPr>
            <w:tcW w:w="1275" w:type="dxa"/>
            <w:tcBorders>
              <w:top w:val="single" w:sz="4" w:space="0" w:color="00B050"/>
              <w:left w:val="single" w:sz="4" w:space="0" w:color="00B050"/>
              <w:bottom w:val="single" w:sz="4" w:space="0" w:color="00B050"/>
              <w:right w:val="single" w:sz="4" w:space="0" w:color="00B050"/>
            </w:tcBorders>
            <w:shd w:val="clear" w:color="auto" w:fill="EAF1DD" w:themeFill="accent3" w:themeFillTint="33"/>
            <w:noWrap/>
            <w:hideMark/>
          </w:tcPr>
          <w:p w:rsidR="00525A83" w:rsidRPr="001244BB" w:rsidRDefault="00525A83" w:rsidP="00030337">
            <w:pPr>
              <w:spacing w:after="0" w:line="240" w:lineRule="auto"/>
              <w:jc w:val="right"/>
              <w:rPr>
                <w:rFonts w:ascii="Arial" w:eastAsia="Times New Roman" w:hAnsi="Arial" w:cs="Arial"/>
                <w:b/>
                <w:bCs/>
                <w:color w:val="000000"/>
                <w:sz w:val="20"/>
                <w:lang w:eastAsia="en-NZ"/>
              </w:rPr>
            </w:pPr>
            <w:r w:rsidRPr="001244BB">
              <w:rPr>
                <w:rFonts w:ascii="Arial" w:eastAsia="Times New Roman" w:hAnsi="Arial" w:cs="Arial"/>
                <w:b/>
                <w:bCs/>
                <w:color w:val="000000"/>
                <w:sz w:val="20"/>
                <w:lang w:eastAsia="en-NZ"/>
              </w:rPr>
              <w:t>(2,145)</w:t>
            </w:r>
          </w:p>
        </w:tc>
        <w:tc>
          <w:tcPr>
            <w:tcW w:w="1134" w:type="dxa"/>
            <w:tcBorders>
              <w:top w:val="single" w:sz="4" w:space="0" w:color="00B050"/>
              <w:left w:val="single" w:sz="4" w:space="0" w:color="00B050"/>
              <w:bottom w:val="single" w:sz="4" w:space="0" w:color="00B050"/>
              <w:right w:val="single" w:sz="4" w:space="0" w:color="00B050"/>
            </w:tcBorders>
            <w:shd w:val="clear" w:color="auto" w:fill="EAF1DD" w:themeFill="accent3" w:themeFillTint="33"/>
            <w:noWrap/>
            <w:hideMark/>
          </w:tcPr>
          <w:p w:rsidR="00525A83" w:rsidRPr="001244BB" w:rsidRDefault="00525A83" w:rsidP="00030337">
            <w:pPr>
              <w:spacing w:after="0" w:line="240" w:lineRule="auto"/>
              <w:jc w:val="right"/>
              <w:rPr>
                <w:rFonts w:ascii="Arial" w:eastAsia="Times New Roman" w:hAnsi="Arial" w:cs="Arial"/>
                <w:b/>
                <w:bCs/>
                <w:color w:val="000000"/>
                <w:sz w:val="20"/>
                <w:lang w:eastAsia="en-NZ"/>
              </w:rPr>
            </w:pPr>
            <w:r w:rsidRPr="001244BB">
              <w:rPr>
                <w:rFonts w:ascii="Arial" w:eastAsia="Times New Roman" w:hAnsi="Arial" w:cs="Arial"/>
                <w:b/>
                <w:bCs/>
                <w:color w:val="000000"/>
                <w:sz w:val="20"/>
                <w:lang w:eastAsia="en-NZ"/>
              </w:rPr>
              <w:t>40,471</w:t>
            </w:r>
          </w:p>
        </w:tc>
        <w:tc>
          <w:tcPr>
            <w:tcW w:w="1134" w:type="dxa"/>
            <w:tcBorders>
              <w:top w:val="single" w:sz="4" w:space="0" w:color="00B050"/>
              <w:left w:val="single" w:sz="4" w:space="0" w:color="00B050"/>
              <w:bottom w:val="single" w:sz="4" w:space="0" w:color="00B050"/>
              <w:right w:val="single" w:sz="4" w:space="0" w:color="00B050"/>
            </w:tcBorders>
            <w:shd w:val="clear" w:color="auto" w:fill="EAF1DD" w:themeFill="accent3" w:themeFillTint="33"/>
            <w:noWrap/>
            <w:hideMark/>
          </w:tcPr>
          <w:p w:rsidR="00525A83" w:rsidRPr="001244BB" w:rsidRDefault="00525A83" w:rsidP="00030337">
            <w:pPr>
              <w:spacing w:after="0" w:line="240" w:lineRule="auto"/>
              <w:jc w:val="right"/>
              <w:rPr>
                <w:rFonts w:ascii="Arial" w:eastAsia="Times New Roman" w:hAnsi="Arial" w:cs="Arial"/>
                <w:b/>
                <w:bCs/>
                <w:color w:val="000000"/>
                <w:sz w:val="20"/>
                <w:lang w:eastAsia="en-NZ"/>
              </w:rPr>
            </w:pPr>
            <w:r w:rsidRPr="001244BB">
              <w:rPr>
                <w:rFonts w:ascii="Arial" w:eastAsia="Times New Roman" w:hAnsi="Arial" w:cs="Arial"/>
                <w:b/>
                <w:bCs/>
                <w:color w:val="000000"/>
                <w:sz w:val="20"/>
                <w:lang w:eastAsia="en-NZ"/>
              </w:rPr>
              <w:t>49,885</w:t>
            </w:r>
          </w:p>
        </w:tc>
        <w:tc>
          <w:tcPr>
            <w:tcW w:w="1276" w:type="dxa"/>
            <w:tcBorders>
              <w:top w:val="single" w:sz="4" w:space="0" w:color="00B050"/>
              <w:left w:val="single" w:sz="4" w:space="0" w:color="00B050"/>
              <w:bottom w:val="single" w:sz="4" w:space="0" w:color="00B050"/>
              <w:right w:val="single" w:sz="4" w:space="0" w:color="00B050"/>
            </w:tcBorders>
            <w:shd w:val="clear" w:color="auto" w:fill="EAF1DD" w:themeFill="accent3" w:themeFillTint="33"/>
            <w:noWrap/>
            <w:hideMark/>
          </w:tcPr>
          <w:p w:rsidR="00525A83" w:rsidRPr="001244BB" w:rsidRDefault="00525A83" w:rsidP="00030337">
            <w:pPr>
              <w:spacing w:after="0" w:line="240" w:lineRule="auto"/>
              <w:jc w:val="right"/>
              <w:rPr>
                <w:rFonts w:ascii="Arial" w:eastAsia="Times New Roman" w:hAnsi="Arial" w:cs="Arial"/>
                <w:b/>
                <w:bCs/>
                <w:color w:val="000000"/>
                <w:sz w:val="20"/>
                <w:lang w:eastAsia="en-NZ"/>
              </w:rPr>
            </w:pPr>
            <w:r w:rsidRPr="001244BB">
              <w:rPr>
                <w:rFonts w:ascii="Arial" w:eastAsia="Times New Roman" w:hAnsi="Arial" w:cs="Arial"/>
                <w:b/>
                <w:bCs/>
                <w:color w:val="000000"/>
                <w:sz w:val="20"/>
                <w:lang w:eastAsia="en-NZ"/>
              </w:rPr>
              <w:t>9,414</w:t>
            </w:r>
          </w:p>
        </w:tc>
        <w:tc>
          <w:tcPr>
            <w:tcW w:w="3260" w:type="dxa"/>
            <w:tcBorders>
              <w:top w:val="single" w:sz="4" w:space="0" w:color="00B050"/>
              <w:left w:val="single" w:sz="4" w:space="0" w:color="00B050"/>
              <w:bottom w:val="single" w:sz="4" w:space="0" w:color="00B050"/>
              <w:right w:val="nil"/>
            </w:tcBorders>
            <w:shd w:val="clear" w:color="auto" w:fill="EAF1DD" w:themeFill="accent3" w:themeFillTint="33"/>
            <w:vAlign w:val="bottom"/>
            <w:hideMark/>
          </w:tcPr>
          <w:p w:rsidR="00525A83" w:rsidRPr="001244BB" w:rsidRDefault="00525A83" w:rsidP="00030337">
            <w:pPr>
              <w:spacing w:after="0" w:line="240" w:lineRule="auto"/>
              <w:rPr>
                <w:rFonts w:ascii="Calibri" w:eastAsia="Times New Roman" w:hAnsi="Calibri" w:cs="Calibri"/>
                <w:color w:val="000000"/>
                <w:sz w:val="20"/>
                <w:lang w:eastAsia="en-NZ"/>
              </w:rPr>
            </w:pPr>
            <w:r w:rsidRPr="001244BB">
              <w:rPr>
                <w:rFonts w:ascii="Calibri" w:eastAsia="Times New Roman" w:hAnsi="Calibri" w:cs="Calibri"/>
                <w:color w:val="000000"/>
                <w:sz w:val="20"/>
                <w:lang w:eastAsia="en-NZ"/>
              </w:rPr>
              <w:t> </w:t>
            </w:r>
          </w:p>
        </w:tc>
      </w:tr>
    </w:tbl>
    <w:p w:rsidR="00AC5315" w:rsidRPr="00D5126A" w:rsidRDefault="00AC5315">
      <w:pPr>
        <w:rPr>
          <w:rFonts w:eastAsia="Times New Roman" w:cstheme="minorHAnsi"/>
          <w:b/>
          <w:bCs/>
          <w:color w:val="4F81BD" w:themeColor="accent1"/>
          <w:sz w:val="34"/>
          <w:szCs w:val="34"/>
          <w:lang w:eastAsia="en-NZ"/>
        </w:rPr>
      </w:pPr>
      <w:r w:rsidRPr="00D5126A">
        <w:br w:type="page"/>
      </w:r>
    </w:p>
    <w:p w:rsidR="00FD5E5C" w:rsidRPr="0045633E" w:rsidRDefault="00FD5E5C" w:rsidP="00AA2122">
      <w:pPr>
        <w:pStyle w:val="Heading3"/>
        <w:rPr>
          <w:color w:val="00B050"/>
        </w:rPr>
      </w:pPr>
      <w:bookmarkStart w:id="188" w:name="_Toc19085824"/>
      <w:r w:rsidRPr="0045633E">
        <w:rPr>
          <w:color w:val="00B050"/>
        </w:rPr>
        <w:lastRenderedPageBreak/>
        <w:t>Environment performance</w:t>
      </w:r>
      <w:bookmarkEnd w:id="184"/>
      <w:bookmarkEnd w:id="185"/>
      <w:bookmarkEnd w:id="186"/>
      <w:bookmarkEnd w:id="187"/>
      <w:bookmarkEnd w:id="188"/>
    </w:p>
    <w:p w:rsidR="00FD5E5C" w:rsidRPr="00D5126A" w:rsidRDefault="00FD5E5C" w:rsidP="00FD5E5C">
      <w:pPr>
        <w:pStyle w:val="Para034"/>
        <w:spacing w:line="240" w:lineRule="auto"/>
        <w:rPr>
          <w:rFonts w:ascii="Arial" w:hAnsi="Arial" w:cs="Arial"/>
        </w:rPr>
      </w:pPr>
      <w:r w:rsidRPr="00D5126A">
        <w:rPr>
          <w:rFonts w:ascii="Arial" w:hAnsi="Arial" w:cs="Arial"/>
        </w:rPr>
        <w:t xml:space="preserve">The following section outlines our performance data: outcome indicators, performance measures and supplementary tables. </w:t>
      </w:r>
    </w:p>
    <w:p w:rsidR="00FD5E5C" w:rsidRPr="00D5126A" w:rsidRDefault="00FD5E5C" w:rsidP="00FD5E5C">
      <w:pPr>
        <w:pStyle w:val="Para034"/>
        <w:spacing w:line="240" w:lineRule="auto"/>
        <w:rPr>
          <w:rFonts w:ascii="Arial" w:hAnsi="Arial" w:cs="Arial"/>
        </w:rPr>
      </w:pPr>
      <w:r w:rsidRPr="00D5126A">
        <w:rPr>
          <w:rFonts w:ascii="Arial" w:hAnsi="Arial" w:cs="Arial"/>
        </w:rPr>
        <w:t>We use outcome indicators to monitor our city over time, which provides information on trends that may influence our performance</w:t>
      </w:r>
      <w:r w:rsidR="00A204D6">
        <w:rPr>
          <w:rFonts w:ascii="Arial" w:hAnsi="Arial" w:cs="Arial"/>
        </w:rPr>
        <w:t>,</w:t>
      </w:r>
      <w:r w:rsidRPr="00D5126A">
        <w:rPr>
          <w:rFonts w:ascii="Arial" w:hAnsi="Arial" w:cs="Arial"/>
        </w:rPr>
        <w:t xml:space="preserve"> including those outside our control. </w:t>
      </w:r>
    </w:p>
    <w:p w:rsidR="00FD5E5C" w:rsidRPr="00D5126A" w:rsidRDefault="00FD5E5C" w:rsidP="00FD5E5C">
      <w:pPr>
        <w:pStyle w:val="Para034"/>
        <w:spacing w:line="240" w:lineRule="auto"/>
        <w:rPr>
          <w:rFonts w:ascii="Arial" w:hAnsi="Arial" w:cs="Arial"/>
        </w:rPr>
      </w:pPr>
      <w:r w:rsidRPr="00D5126A">
        <w:rPr>
          <w:rFonts w:ascii="Arial" w:hAnsi="Arial" w:cs="Arial"/>
        </w:rPr>
        <w:t xml:space="preserve">We use performance measures to track how well we are delivering services against targets as set out in the 10-year and annual plans. </w:t>
      </w:r>
    </w:p>
    <w:p w:rsidR="00FD5E5C" w:rsidRPr="00D5126A" w:rsidRDefault="00FD5E5C" w:rsidP="00FD5E5C">
      <w:pPr>
        <w:pStyle w:val="Para034"/>
        <w:spacing w:line="240" w:lineRule="auto"/>
        <w:rPr>
          <w:rFonts w:ascii="Arial" w:hAnsi="Arial" w:cs="Arial"/>
        </w:rPr>
      </w:pPr>
      <w:r w:rsidRPr="00D5126A">
        <w:rPr>
          <w:rFonts w:ascii="Arial" w:hAnsi="Arial" w:cs="Arial"/>
        </w:rPr>
        <w:t xml:space="preserve">The Council undertakes the Residents’ Monitoring Survey (RMS) on an annual basis. The survey has a margin of error of </w:t>
      </w:r>
      <w:r w:rsidR="001D2EAA">
        <w:t>+/- 4.4% percent.</w:t>
      </w:r>
    </w:p>
    <w:p w:rsidR="00FD5E5C" w:rsidRPr="0045633E" w:rsidRDefault="00FD5E5C" w:rsidP="00846C1B">
      <w:pPr>
        <w:pStyle w:val="Heading4"/>
        <w:rPr>
          <w:color w:val="00B050"/>
        </w:rPr>
      </w:pPr>
      <w:r w:rsidRPr="0045633E">
        <w:rPr>
          <w:color w:val="00B050"/>
        </w:rPr>
        <w:t>Performance data – outcome indicators</w:t>
      </w:r>
    </w:p>
    <w:p w:rsidR="00FD5E5C" w:rsidRDefault="00FD5E5C" w:rsidP="00FD5E5C">
      <w:pPr>
        <w:pStyle w:val="Para034"/>
        <w:spacing w:before="0" w:after="0" w:line="240" w:lineRule="auto"/>
        <w:rPr>
          <w:rFonts w:ascii="Arial" w:hAnsi="Arial" w:cs="Arial"/>
        </w:rPr>
      </w:pPr>
      <w:r w:rsidRPr="00D5126A">
        <w:rPr>
          <w:rFonts w:ascii="Arial" w:hAnsi="Arial" w:cs="Arial"/>
        </w:rPr>
        <w:t xml:space="preserve">The following section outlines outcome indicators for the Environment activity area. Outcome indicators do not have </w:t>
      </w:r>
      <w:r w:rsidR="0015012F" w:rsidRPr="00D5126A">
        <w:rPr>
          <w:rFonts w:ascii="Arial" w:hAnsi="Arial" w:cs="Arial"/>
        </w:rPr>
        <w:t>targets</w:t>
      </w:r>
      <w:r w:rsidRPr="00D5126A">
        <w:rPr>
          <w:rFonts w:ascii="Arial" w:hAnsi="Arial" w:cs="Arial"/>
        </w:rPr>
        <w:t>.</w:t>
      </w:r>
    </w:p>
    <w:p w:rsidR="00B27E9D" w:rsidRPr="00D5126A" w:rsidRDefault="00B27E9D" w:rsidP="00FD5E5C">
      <w:pPr>
        <w:pStyle w:val="Para034"/>
        <w:spacing w:before="0" w:after="0" w:line="240" w:lineRule="auto"/>
        <w:rPr>
          <w:rFonts w:ascii="Arial" w:hAnsi="Arial" w:cs="Arial"/>
        </w:rPr>
      </w:pPr>
      <w:r>
        <w:rPr>
          <w:rFonts w:ascii="Arial" w:hAnsi="Arial" w:cs="Arial"/>
        </w:rPr>
        <w:t>There were four outcome indicators that displayed positive trends.</w:t>
      </w:r>
    </w:p>
    <w:tbl>
      <w:tblPr>
        <w:tblW w:w="14743" w:type="dxa"/>
        <w:tblInd w:w="-176" w:type="dxa"/>
        <w:tblBorders>
          <w:insideH w:val="single" w:sz="4" w:space="0" w:color="00B050"/>
          <w:insideV w:val="single" w:sz="4" w:space="0" w:color="00B050"/>
        </w:tblBorders>
        <w:tblLayout w:type="fixed"/>
        <w:tblLook w:val="04A0" w:firstRow="1" w:lastRow="0" w:firstColumn="1" w:lastColumn="0" w:noHBand="0" w:noVBand="1"/>
      </w:tblPr>
      <w:tblGrid>
        <w:gridCol w:w="2826"/>
        <w:gridCol w:w="1286"/>
        <w:gridCol w:w="1275"/>
        <w:gridCol w:w="1888"/>
        <w:gridCol w:w="2029"/>
        <w:gridCol w:w="1895"/>
        <w:gridCol w:w="3544"/>
      </w:tblGrid>
      <w:tr w:rsidR="00F43FB2" w:rsidRPr="00F43FB2" w:rsidTr="00B337AE">
        <w:trPr>
          <w:trHeight w:val="259"/>
          <w:tblHeader/>
        </w:trPr>
        <w:tc>
          <w:tcPr>
            <w:tcW w:w="2826" w:type="dxa"/>
            <w:tcBorders>
              <w:top w:val="nil"/>
              <w:bottom w:val="nil"/>
              <w:right w:val="single" w:sz="4" w:space="0" w:color="FFFFFF" w:themeColor="background1"/>
            </w:tcBorders>
            <w:shd w:val="clear" w:color="auto" w:fill="00B050"/>
            <w:vAlign w:val="bottom"/>
            <w:hideMark/>
          </w:tcPr>
          <w:p w:rsidR="00F43FB2" w:rsidRPr="00F43FB2" w:rsidRDefault="00F43FB2" w:rsidP="00030337">
            <w:pPr>
              <w:spacing w:after="0" w:line="240" w:lineRule="auto"/>
              <w:rPr>
                <w:rFonts w:eastAsia="Times New Roman" w:cstheme="minorHAnsi"/>
                <w:b/>
                <w:bCs/>
                <w:color w:val="FFFFFF"/>
                <w:szCs w:val="20"/>
                <w:lang w:eastAsia="en-NZ"/>
              </w:rPr>
            </w:pPr>
            <w:r w:rsidRPr="00F43FB2">
              <w:rPr>
                <w:rFonts w:eastAsia="Times New Roman" w:cstheme="minorHAnsi"/>
                <w:b/>
                <w:bCs/>
                <w:color w:val="FFFFFF"/>
                <w:szCs w:val="20"/>
                <w:lang w:eastAsia="en-NZ"/>
              </w:rPr>
              <w:t>Environment</w:t>
            </w:r>
          </w:p>
        </w:tc>
        <w:tc>
          <w:tcPr>
            <w:tcW w:w="1286" w:type="dxa"/>
            <w:tcBorders>
              <w:top w:val="nil"/>
              <w:left w:val="single" w:sz="4" w:space="0" w:color="FFFFFF" w:themeColor="background1"/>
              <w:bottom w:val="nil"/>
              <w:right w:val="single" w:sz="4" w:space="0" w:color="FFFFFF" w:themeColor="background1"/>
            </w:tcBorders>
            <w:shd w:val="clear" w:color="auto" w:fill="00B050"/>
            <w:noWrap/>
            <w:vAlign w:val="bottom"/>
            <w:hideMark/>
          </w:tcPr>
          <w:p w:rsidR="00F43FB2" w:rsidRPr="00F43FB2" w:rsidRDefault="00F43FB2" w:rsidP="00030337">
            <w:pPr>
              <w:spacing w:after="0" w:line="240" w:lineRule="auto"/>
              <w:rPr>
                <w:rFonts w:eastAsia="Times New Roman" w:cstheme="minorHAnsi"/>
                <w:b/>
                <w:bCs/>
                <w:color w:val="FFFFFF"/>
                <w:szCs w:val="20"/>
                <w:lang w:eastAsia="en-NZ"/>
              </w:rPr>
            </w:pPr>
            <w:r w:rsidRPr="00F43FB2">
              <w:rPr>
                <w:rFonts w:eastAsia="Times New Roman" w:cstheme="minorHAnsi"/>
                <w:b/>
                <w:bCs/>
                <w:color w:val="FFFFFF"/>
                <w:szCs w:val="20"/>
                <w:lang w:eastAsia="en-NZ"/>
              </w:rPr>
              <w:t>Desired Trend</w:t>
            </w:r>
          </w:p>
        </w:tc>
        <w:tc>
          <w:tcPr>
            <w:tcW w:w="1275" w:type="dxa"/>
            <w:tcBorders>
              <w:top w:val="nil"/>
              <w:left w:val="single" w:sz="4" w:space="0" w:color="FFFFFF" w:themeColor="background1"/>
              <w:bottom w:val="nil"/>
              <w:right w:val="single" w:sz="4" w:space="0" w:color="FFFFFF" w:themeColor="background1"/>
            </w:tcBorders>
            <w:shd w:val="clear" w:color="auto" w:fill="00B050"/>
            <w:noWrap/>
            <w:vAlign w:val="bottom"/>
            <w:hideMark/>
          </w:tcPr>
          <w:p w:rsidR="00F43FB2" w:rsidRPr="00F43FB2" w:rsidRDefault="00F43FB2" w:rsidP="00030337">
            <w:pPr>
              <w:spacing w:after="0" w:line="240" w:lineRule="auto"/>
              <w:rPr>
                <w:rFonts w:eastAsia="Times New Roman" w:cstheme="minorHAnsi"/>
                <w:b/>
                <w:bCs/>
                <w:color w:val="FFFFFF"/>
                <w:szCs w:val="20"/>
                <w:lang w:eastAsia="en-NZ"/>
              </w:rPr>
            </w:pPr>
            <w:r w:rsidRPr="00F43FB2">
              <w:rPr>
                <w:rFonts w:eastAsia="Times New Roman" w:cstheme="minorHAnsi"/>
                <w:b/>
                <w:bCs/>
                <w:color w:val="FFFFFF"/>
                <w:szCs w:val="20"/>
                <w:lang w:eastAsia="en-NZ"/>
              </w:rPr>
              <w:t>Source</w:t>
            </w:r>
          </w:p>
        </w:tc>
        <w:tc>
          <w:tcPr>
            <w:tcW w:w="1888" w:type="dxa"/>
            <w:tcBorders>
              <w:top w:val="nil"/>
              <w:left w:val="single" w:sz="4" w:space="0" w:color="FFFFFF" w:themeColor="background1"/>
              <w:bottom w:val="nil"/>
              <w:right w:val="single" w:sz="4" w:space="0" w:color="FFFFFF" w:themeColor="background1"/>
            </w:tcBorders>
            <w:shd w:val="clear" w:color="auto" w:fill="00B050"/>
            <w:noWrap/>
            <w:vAlign w:val="bottom"/>
            <w:hideMark/>
          </w:tcPr>
          <w:p w:rsidR="00F43FB2" w:rsidRPr="00F43FB2" w:rsidRDefault="00F43FB2" w:rsidP="00030337">
            <w:pPr>
              <w:spacing w:after="0" w:line="240" w:lineRule="auto"/>
              <w:jc w:val="right"/>
              <w:rPr>
                <w:rFonts w:eastAsia="Times New Roman" w:cstheme="minorHAnsi"/>
                <w:b/>
                <w:bCs/>
                <w:color w:val="FFFFFF" w:themeColor="background1"/>
                <w:szCs w:val="20"/>
                <w:lang w:eastAsia="en-NZ"/>
              </w:rPr>
            </w:pPr>
            <w:r w:rsidRPr="00F43FB2">
              <w:rPr>
                <w:rFonts w:eastAsia="Times New Roman" w:cstheme="minorHAnsi"/>
                <w:b/>
                <w:bCs/>
                <w:color w:val="FFFFFF" w:themeColor="background1"/>
                <w:szCs w:val="20"/>
                <w:lang w:eastAsia="en-NZ"/>
              </w:rPr>
              <w:t>2016/17</w:t>
            </w:r>
          </w:p>
        </w:tc>
        <w:tc>
          <w:tcPr>
            <w:tcW w:w="2029" w:type="dxa"/>
            <w:tcBorders>
              <w:top w:val="nil"/>
              <w:left w:val="single" w:sz="4" w:space="0" w:color="FFFFFF" w:themeColor="background1"/>
              <w:bottom w:val="nil"/>
              <w:right w:val="single" w:sz="4" w:space="0" w:color="FFFFFF" w:themeColor="background1"/>
            </w:tcBorders>
            <w:shd w:val="clear" w:color="auto" w:fill="00B050"/>
            <w:noWrap/>
            <w:vAlign w:val="bottom"/>
            <w:hideMark/>
          </w:tcPr>
          <w:p w:rsidR="00F43FB2" w:rsidRPr="00F43FB2" w:rsidRDefault="00F43FB2" w:rsidP="00030337">
            <w:pPr>
              <w:spacing w:after="0" w:line="240" w:lineRule="auto"/>
              <w:jc w:val="right"/>
              <w:rPr>
                <w:rFonts w:eastAsia="Times New Roman" w:cstheme="minorHAnsi"/>
                <w:b/>
                <w:bCs/>
                <w:color w:val="FFFFFF" w:themeColor="background1"/>
                <w:szCs w:val="20"/>
                <w:lang w:eastAsia="en-NZ"/>
              </w:rPr>
            </w:pPr>
            <w:r w:rsidRPr="00F43FB2">
              <w:rPr>
                <w:rFonts w:eastAsia="Times New Roman" w:cstheme="minorHAnsi"/>
                <w:b/>
                <w:bCs/>
                <w:color w:val="FFFFFF" w:themeColor="background1"/>
                <w:szCs w:val="20"/>
                <w:lang w:eastAsia="en-NZ"/>
              </w:rPr>
              <w:t>2017/18</w:t>
            </w:r>
          </w:p>
        </w:tc>
        <w:tc>
          <w:tcPr>
            <w:tcW w:w="1895" w:type="dxa"/>
            <w:tcBorders>
              <w:top w:val="nil"/>
              <w:left w:val="single" w:sz="4" w:space="0" w:color="FFFFFF" w:themeColor="background1"/>
              <w:bottom w:val="nil"/>
              <w:right w:val="single" w:sz="4" w:space="0" w:color="FFFFFF" w:themeColor="background1"/>
            </w:tcBorders>
            <w:shd w:val="clear" w:color="auto" w:fill="00B050"/>
            <w:noWrap/>
            <w:vAlign w:val="bottom"/>
            <w:hideMark/>
          </w:tcPr>
          <w:p w:rsidR="00F43FB2" w:rsidRPr="00F43FB2" w:rsidRDefault="00F43FB2" w:rsidP="00030337">
            <w:pPr>
              <w:spacing w:after="0" w:line="240" w:lineRule="auto"/>
              <w:jc w:val="right"/>
              <w:rPr>
                <w:rFonts w:eastAsia="Times New Roman" w:cstheme="minorHAnsi"/>
                <w:b/>
                <w:bCs/>
                <w:color w:val="FFFFFF" w:themeColor="background1"/>
                <w:szCs w:val="20"/>
                <w:lang w:eastAsia="en-NZ"/>
              </w:rPr>
            </w:pPr>
            <w:r w:rsidRPr="00F43FB2">
              <w:rPr>
                <w:rFonts w:eastAsia="Times New Roman" w:cstheme="minorHAnsi"/>
                <w:b/>
                <w:bCs/>
                <w:color w:val="FFFFFF" w:themeColor="background1"/>
                <w:szCs w:val="20"/>
                <w:lang w:eastAsia="en-NZ"/>
              </w:rPr>
              <w:t>2018/19</w:t>
            </w:r>
          </w:p>
        </w:tc>
        <w:tc>
          <w:tcPr>
            <w:tcW w:w="3544" w:type="dxa"/>
            <w:tcBorders>
              <w:top w:val="nil"/>
              <w:left w:val="single" w:sz="4" w:space="0" w:color="FFFFFF" w:themeColor="background1"/>
              <w:bottom w:val="nil"/>
            </w:tcBorders>
            <w:shd w:val="clear" w:color="auto" w:fill="00B050"/>
            <w:vAlign w:val="bottom"/>
          </w:tcPr>
          <w:p w:rsidR="00F43FB2" w:rsidRPr="00F43FB2" w:rsidRDefault="00F43FB2" w:rsidP="00030337">
            <w:pPr>
              <w:spacing w:after="0" w:line="240" w:lineRule="auto"/>
              <w:rPr>
                <w:rFonts w:eastAsia="Times New Roman" w:cstheme="minorHAnsi"/>
                <w:b/>
                <w:bCs/>
                <w:color w:val="FFFFFF" w:themeColor="background1"/>
                <w:szCs w:val="20"/>
                <w:lang w:eastAsia="en-NZ"/>
              </w:rPr>
            </w:pPr>
            <w:r w:rsidRPr="00F43FB2">
              <w:rPr>
                <w:rFonts w:eastAsia="Times New Roman" w:cstheme="minorHAnsi"/>
                <w:b/>
                <w:bCs/>
                <w:color w:val="FFFFFF" w:themeColor="background1"/>
                <w:szCs w:val="20"/>
                <w:lang w:eastAsia="en-NZ"/>
              </w:rPr>
              <w:t>Comments</w:t>
            </w:r>
          </w:p>
        </w:tc>
      </w:tr>
      <w:tr w:rsidR="00F43FB2" w:rsidRPr="001244BB" w:rsidTr="00030337">
        <w:trPr>
          <w:trHeight w:val="255"/>
        </w:trPr>
        <w:tc>
          <w:tcPr>
            <w:tcW w:w="14743" w:type="dxa"/>
            <w:gridSpan w:val="7"/>
            <w:tcBorders>
              <w:top w:val="nil"/>
              <w:bottom w:val="nil"/>
            </w:tcBorders>
            <w:shd w:val="clear" w:color="auto" w:fill="EAF1DD" w:themeFill="accent3" w:themeFillTint="33"/>
            <w:hideMark/>
          </w:tcPr>
          <w:p w:rsidR="00F43FB2" w:rsidRPr="001244BB" w:rsidRDefault="00F43FB2" w:rsidP="00030337">
            <w:pPr>
              <w:spacing w:after="0" w:line="240" w:lineRule="auto"/>
              <w:rPr>
                <w:rFonts w:eastAsia="Times New Roman" w:cstheme="minorHAnsi"/>
                <w:sz w:val="20"/>
                <w:szCs w:val="20"/>
                <w:lang w:eastAsia="en-NZ"/>
              </w:rPr>
            </w:pPr>
            <w:r w:rsidRPr="001244BB">
              <w:rPr>
                <w:rFonts w:eastAsia="Times New Roman" w:cstheme="minorHAnsi"/>
                <w:b/>
                <w:bCs/>
                <w:i/>
                <w:iCs/>
                <w:sz w:val="20"/>
                <w:szCs w:val="20"/>
                <w:lang w:eastAsia="en-NZ"/>
              </w:rPr>
              <w:t xml:space="preserve">Access to green open spaces </w:t>
            </w:r>
          </w:p>
        </w:tc>
      </w:tr>
      <w:tr w:rsidR="00F43FB2" w:rsidRPr="001244BB" w:rsidTr="00B337AE">
        <w:trPr>
          <w:trHeight w:val="765"/>
        </w:trPr>
        <w:tc>
          <w:tcPr>
            <w:tcW w:w="2826" w:type="dxa"/>
            <w:tcBorders>
              <w:top w:val="nil"/>
            </w:tcBorders>
            <w:shd w:val="clear" w:color="auto" w:fill="auto"/>
            <w:hideMark/>
          </w:tcPr>
          <w:p w:rsidR="00F43FB2" w:rsidRPr="001244BB" w:rsidRDefault="00F43FB2" w:rsidP="00030337">
            <w:pPr>
              <w:spacing w:after="0" w:line="240" w:lineRule="auto"/>
              <w:rPr>
                <w:rFonts w:eastAsia="Times New Roman" w:cstheme="minorHAnsi"/>
                <w:sz w:val="20"/>
                <w:szCs w:val="20"/>
                <w:lang w:eastAsia="en-NZ"/>
              </w:rPr>
            </w:pPr>
            <w:r w:rsidRPr="001244BB">
              <w:rPr>
                <w:rFonts w:eastAsia="Times New Roman" w:cstheme="minorHAnsi"/>
                <w:sz w:val="20"/>
                <w:szCs w:val="20"/>
                <w:lang w:eastAsia="en-NZ"/>
              </w:rPr>
              <w:t>Residents’ self-reported use of the city’s open spaces – local parks and reserves, botanic gardens, beaches and coastal areas, waterfront and walkways</w:t>
            </w:r>
          </w:p>
        </w:tc>
        <w:tc>
          <w:tcPr>
            <w:tcW w:w="1286" w:type="dxa"/>
            <w:tcBorders>
              <w:top w:val="nil"/>
            </w:tcBorders>
            <w:shd w:val="clear" w:color="auto" w:fill="auto"/>
            <w:noWrap/>
            <w:hideMark/>
          </w:tcPr>
          <w:p w:rsidR="00F43FB2" w:rsidRPr="001244BB" w:rsidRDefault="00F43FB2" w:rsidP="00030337">
            <w:pPr>
              <w:spacing w:after="0" w:line="240" w:lineRule="auto"/>
              <w:jc w:val="right"/>
              <w:rPr>
                <w:rFonts w:eastAsia="Times New Roman" w:cstheme="minorHAnsi"/>
                <w:color w:val="000000"/>
                <w:sz w:val="20"/>
                <w:szCs w:val="20"/>
                <w:lang w:eastAsia="en-NZ"/>
              </w:rPr>
            </w:pPr>
            <w:r w:rsidRPr="001244BB">
              <w:rPr>
                <w:rFonts w:eastAsia="Times New Roman" w:cstheme="minorHAnsi"/>
                <w:color w:val="000000"/>
                <w:sz w:val="20"/>
                <w:szCs w:val="20"/>
                <w:lang w:eastAsia="en-NZ"/>
              </w:rPr>
              <w:t>Increasing</w:t>
            </w:r>
          </w:p>
        </w:tc>
        <w:tc>
          <w:tcPr>
            <w:tcW w:w="1275" w:type="dxa"/>
            <w:tcBorders>
              <w:top w:val="nil"/>
            </w:tcBorders>
            <w:shd w:val="clear" w:color="auto" w:fill="auto"/>
            <w:noWrap/>
            <w:hideMark/>
          </w:tcPr>
          <w:p w:rsidR="00F43FB2" w:rsidRPr="001244BB" w:rsidRDefault="00F43FB2" w:rsidP="00030337">
            <w:pPr>
              <w:spacing w:after="0" w:line="240" w:lineRule="auto"/>
              <w:jc w:val="right"/>
              <w:rPr>
                <w:rFonts w:eastAsia="Times New Roman" w:cstheme="minorHAnsi"/>
                <w:color w:val="000000"/>
                <w:sz w:val="20"/>
                <w:szCs w:val="20"/>
                <w:lang w:eastAsia="en-NZ"/>
              </w:rPr>
            </w:pPr>
            <w:r w:rsidRPr="001244BB">
              <w:rPr>
                <w:rFonts w:eastAsia="Times New Roman" w:cstheme="minorHAnsi"/>
                <w:color w:val="000000"/>
                <w:sz w:val="20"/>
                <w:szCs w:val="20"/>
                <w:lang w:eastAsia="en-NZ"/>
              </w:rPr>
              <w:t>WCC RMS 2019</w:t>
            </w:r>
          </w:p>
        </w:tc>
        <w:tc>
          <w:tcPr>
            <w:tcW w:w="1888" w:type="dxa"/>
            <w:tcBorders>
              <w:top w:val="nil"/>
            </w:tcBorders>
            <w:shd w:val="clear" w:color="auto" w:fill="auto"/>
            <w:noWrap/>
            <w:hideMark/>
          </w:tcPr>
          <w:p w:rsidR="00F43FB2" w:rsidRPr="001244BB" w:rsidRDefault="00F43FB2" w:rsidP="00030337">
            <w:pPr>
              <w:spacing w:after="0" w:line="240" w:lineRule="auto"/>
              <w:jc w:val="right"/>
              <w:rPr>
                <w:rFonts w:eastAsia="Times New Roman" w:cstheme="minorHAnsi"/>
                <w:color w:val="000000"/>
                <w:sz w:val="20"/>
                <w:szCs w:val="20"/>
                <w:lang w:eastAsia="en-NZ"/>
              </w:rPr>
            </w:pPr>
            <w:r w:rsidRPr="001244BB">
              <w:rPr>
                <w:rFonts w:eastAsia="Times New Roman" w:cstheme="minorHAnsi"/>
                <w:color w:val="000000"/>
                <w:sz w:val="20"/>
                <w:szCs w:val="20"/>
                <w:lang w:eastAsia="en-NZ"/>
              </w:rPr>
              <w:t>94% Parks</w:t>
            </w:r>
          </w:p>
        </w:tc>
        <w:tc>
          <w:tcPr>
            <w:tcW w:w="2029" w:type="dxa"/>
            <w:tcBorders>
              <w:top w:val="nil"/>
            </w:tcBorders>
            <w:shd w:val="clear" w:color="auto" w:fill="auto"/>
            <w:noWrap/>
            <w:hideMark/>
          </w:tcPr>
          <w:p w:rsidR="00F43FB2" w:rsidRPr="001244BB" w:rsidRDefault="00F43FB2" w:rsidP="00030337">
            <w:pPr>
              <w:spacing w:after="0" w:line="240" w:lineRule="auto"/>
              <w:jc w:val="right"/>
              <w:rPr>
                <w:rFonts w:eastAsia="Times New Roman" w:cstheme="minorHAnsi"/>
                <w:color w:val="000000"/>
                <w:sz w:val="20"/>
                <w:szCs w:val="20"/>
                <w:lang w:eastAsia="en-NZ"/>
              </w:rPr>
            </w:pPr>
            <w:r w:rsidRPr="001244BB">
              <w:rPr>
                <w:rFonts w:eastAsia="Times New Roman" w:cstheme="minorHAnsi"/>
                <w:color w:val="000000"/>
                <w:sz w:val="20"/>
                <w:szCs w:val="20"/>
                <w:lang w:eastAsia="en-NZ"/>
              </w:rPr>
              <w:t>95% Parks</w:t>
            </w:r>
          </w:p>
        </w:tc>
        <w:tc>
          <w:tcPr>
            <w:tcW w:w="1895" w:type="dxa"/>
            <w:tcBorders>
              <w:top w:val="nil"/>
            </w:tcBorders>
            <w:shd w:val="clear" w:color="auto" w:fill="auto"/>
            <w:hideMark/>
          </w:tcPr>
          <w:p w:rsidR="00F43FB2" w:rsidRPr="001244BB" w:rsidRDefault="00F43FB2" w:rsidP="00030337">
            <w:pPr>
              <w:spacing w:after="0" w:line="240" w:lineRule="auto"/>
              <w:jc w:val="right"/>
              <w:rPr>
                <w:rFonts w:eastAsia="Times New Roman" w:cstheme="minorHAnsi"/>
                <w:color w:val="000000"/>
                <w:sz w:val="20"/>
                <w:szCs w:val="20"/>
                <w:lang w:eastAsia="en-NZ"/>
              </w:rPr>
            </w:pPr>
            <w:r w:rsidRPr="001244BB">
              <w:rPr>
                <w:rFonts w:eastAsia="Times New Roman" w:cstheme="minorHAnsi"/>
                <w:color w:val="000000"/>
                <w:sz w:val="20"/>
                <w:szCs w:val="20"/>
                <w:lang w:eastAsia="en-NZ"/>
              </w:rPr>
              <w:t xml:space="preserve">98% reported at least annual use of local parks and reserves </w:t>
            </w:r>
          </w:p>
        </w:tc>
        <w:tc>
          <w:tcPr>
            <w:tcW w:w="3544" w:type="dxa"/>
            <w:tcBorders>
              <w:top w:val="nil"/>
            </w:tcBorders>
            <w:shd w:val="clear" w:color="auto" w:fill="auto"/>
            <w:hideMark/>
          </w:tcPr>
          <w:p w:rsidR="00F43FB2" w:rsidRPr="001244BB" w:rsidRDefault="00F43FB2" w:rsidP="0045633E">
            <w:pPr>
              <w:spacing w:after="0" w:line="240" w:lineRule="auto"/>
              <w:jc w:val="right"/>
              <w:rPr>
                <w:rFonts w:eastAsia="Times New Roman" w:cstheme="minorHAnsi"/>
                <w:color w:val="000000"/>
                <w:sz w:val="20"/>
                <w:szCs w:val="20"/>
                <w:lang w:eastAsia="en-NZ"/>
              </w:rPr>
            </w:pPr>
            <w:r w:rsidRPr="001244BB">
              <w:rPr>
                <w:rFonts w:eastAsia="Times New Roman" w:cstheme="minorHAnsi"/>
                <w:color w:val="000000"/>
                <w:sz w:val="20"/>
                <w:szCs w:val="20"/>
                <w:lang w:eastAsia="en-NZ"/>
              </w:rPr>
              <w:t xml:space="preserve">Positive trend. </w:t>
            </w:r>
            <w:r w:rsidRPr="00030337">
              <w:rPr>
                <w:rFonts w:eastAsia="Times New Roman" w:cstheme="minorHAnsi"/>
                <w:sz w:val="20"/>
                <w:szCs w:val="20"/>
                <w:lang w:eastAsia="en-NZ"/>
              </w:rPr>
              <w:t>See supplementa</w:t>
            </w:r>
            <w:r w:rsidR="0045633E">
              <w:rPr>
                <w:rFonts w:eastAsia="Times New Roman" w:cstheme="minorHAnsi"/>
                <w:sz w:val="20"/>
                <w:szCs w:val="20"/>
                <w:lang w:eastAsia="en-NZ"/>
              </w:rPr>
              <w:t>ry tables.</w:t>
            </w:r>
          </w:p>
        </w:tc>
      </w:tr>
      <w:tr w:rsidR="00F43FB2" w:rsidRPr="001244BB" w:rsidTr="00B337AE">
        <w:trPr>
          <w:trHeight w:val="510"/>
        </w:trPr>
        <w:tc>
          <w:tcPr>
            <w:tcW w:w="2826" w:type="dxa"/>
            <w:shd w:val="clear" w:color="auto" w:fill="auto"/>
            <w:hideMark/>
          </w:tcPr>
          <w:p w:rsidR="00F43FB2" w:rsidRPr="001244BB" w:rsidRDefault="00F43FB2" w:rsidP="00030337">
            <w:pPr>
              <w:spacing w:after="0" w:line="240" w:lineRule="auto"/>
              <w:rPr>
                <w:rFonts w:eastAsia="Times New Roman" w:cstheme="minorHAnsi"/>
                <w:sz w:val="20"/>
                <w:szCs w:val="20"/>
                <w:lang w:eastAsia="en-NZ"/>
              </w:rPr>
            </w:pPr>
            <w:r w:rsidRPr="001244BB">
              <w:rPr>
                <w:rFonts w:eastAsia="Times New Roman" w:cstheme="minorHAnsi"/>
                <w:sz w:val="20"/>
                <w:szCs w:val="20"/>
                <w:lang w:eastAsia="en-NZ"/>
              </w:rPr>
              <w:t>Open space land owned or maintained by the Council – total hectares</w:t>
            </w:r>
          </w:p>
        </w:tc>
        <w:tc>
          <w:tcPr>
            <w:tcW w:w="1286" w:type="dxa"/>
            <w:shd w:val="clear" w:color="auto" w:fill="auto"/>
            <w:noWrap/>
            <w:hideMark/>
          </w:tcPr>
          <w:p w:rsidR="00F43FB2" w:rsidRPr="001244BB" w:rsidRDefault="00F43FB2" w:rsidP="00030337">
            <w:pPr>
              <w:spacing w:after="0" w:line="240" w:lineRule="auto"/>
              <w:jc w:val="right"/>
              <w:rPr>
                <w:rFonts w:eastAsia="Times New Roman" w:cstheme="minorHAnsi"/>
                <w:color w:val="000000"/>
                <w:sz w:val="20"/>
                <w:szCs w:val="20"/>
                <w:lang w:eastAsia="en-NZ"/>
              </w:rPr>
            </w:pPr>
            <w:r w:rsidRPr="001244BB">
              <w:rPr>
                <w:rFonts w:eastAsia="Times New Roman" w:cstheme="minorHAnsi"/>
                <w:color w:val="000000"/>
                <w:sz w:val="20"/>
                <w:szCs w:val="20"/>
                <w:lang w:eastAsia="en-NZ"/>
              </w:rPr>
              <w:t>Increasing</w:t>
            </w:r>
          </w:p>
        </w:tc>
        <w:tc>
          <w:tcPr>
            <w:tcW w:w="1275" w:type="dxa"/>
            <w:shd w:val="clear" w:color="auto" w:fill="auto"/>
            <w:noWrap/>
            <w:hideMark/>
          </w:tcPr>
          <w:p w:rsidR="00F43FB2" w:rsidRPr="001244BB" w:rsidRDefault="00F43FB2" w:rsidP="00030337">
            <w:pPr>
              <w:spacing w:after="0" w:line="240" w:lineRule="auto"/>
              <w:jc w:val="right"/>
              <w:rPr>
                <w:rFonts w:eastAsia="Times New Roman" w:cstheme="minorHAnsi"/>
                <w:color w:val="000000"/>
                <w:sz w:val="20"/>
                <w:szCs w:val="20"/>
                <w:lang w:eastAsia="en-NZ"/>
              </w:rPr>
            </w:pPr>
            <w:r w:rsidRPr="001244BB">
              <w:rPr>
                <w:rFonts w:eastAsia="Times New Roman" w:cstheme="minorHAnsi"/>
                <w:color w:val="000000"/>
                <w:sz w:val="20"/>
                <w:szCs w:val="20"/>
                <w:lang w:eastAsia="en-NZ"/>
              </w:rPr>
              <w:t>WCC Parks, Sport and Recreation</w:t>
            </w:r>
          </w:p>
        </w:tc>
        <w:tc>
          <w:tcPr>
            <w:tcW w:w="1888" w:type="dxa"/>
            <w:shd w:val="clear" w:color="auto" w:fill="auto"/>
            <w:noWrap/>
            <w:hideMark/>
          </w:tcPr>
          <w:p w:rsidR="00F43FB2" w:rsidRPr="001244BB" w:rsidRDefault="00F43FB2" w:rsidP="00030337">
            <w:pPr>
              <w:spacing w:after="0" w:line="240" w:lineRule="auto"/>
              <w:jc w:val="right"/>
              <w:rPr>
                <w:rFonts w:eastAsia="Times New Roman" w:cstheme="minorHAnsi"/>
                <w:color w:val="000000"/>
                <w:sz w:val="20"/>
                <w:szCs w:val="20"/>
                <w:lang w:eastAsia="en-NZ"/>
              </w:rPr>
            </w:pPr>
            <w:r w:rsidRPr="001244BB">
              <w:rPr>
                <w:rFonts w:eastAsia="Times New Roman" w:cstheme="minorHAnsi"/>
                <w:color w:val="000000"/>
                <w:sz w:val="20"/>
                <w:szCs w:val="20"/>
                <w:lang w:eastAsia="en-NZ"/>
              </w:rPr>
              <w:t xml:space="preserve">           4,040</w:t>
            </w:r>
            <w:r w:rsidR="00D44447">
              <w:rPr>
                <w:rFonts w:eastAsia="Times New Roman" w:cstheme="minorHAnsi"/>
                <w:color w:val="000000"/>
                <w:sz w:val="20"/>
                <w:szCs w:val="20"/>
                <w:lang w:eastAsia="en-NZ"/>
              </w:rPr>
              <w:t xml:space="preserve"> hectares</w:t>
            </w:r>
            <w:r w:rsidRPr="001244BB">
              <w:rPr>
                <w:rFonts w:eastAsia="Times New Roman" w:cstheme="minorHAnsi"/>
                <w:color w:val="000000"/>
                <w:sz w:val="20"/>
                <w:szCs w:val="20"/>
                <w:lang w:eastAsia="en-NZ"/>
              </w:rPr>
              <w:t xml:space="preserve"> </w:t>
            </w:r>
          </w:p>
        </w:tc>
        <w:tc>
          <w:tcPr>
            <w:tcW w:w="2029" w:type="dxa"/>
            <w:shd w:val="clear" w:color="auto" w:fill="auto"/>
            <w:noWrap/>
            <w:hideMark/>
          </w:tcPr>
          <w:p w:rsidR="00F43FB2" w:rsidRPr="001244BB" w:rsidRDefault="00F43FB2" w:rsidP="00030337">
            <w:pPr>
              <w:spacing w:after="0" w:line="240" w:lineRule="auto"/>
              <w:jc w:val="right"/>
              <w:rPr>
                <w:rFonts w:eastAsia="Times New Roman" w:cstheme="minorHAnsi"/>
                <w:color w:val="000000"/>
                <w:sz w:val="20"/>
                <w:szCs w:val="20"/>
                <w:lang w:eastAsia="en-NZ"/>
              </w:rPr>
            </w:pPr>
            <w:r w:rsidRPr="001244BB">
              <w:rPr>
                <w:rFonts w:eastAsia="Times New Roman" w:cstheme="minorHAnsi"/>
                <w:color w:val="000000"/>
                <w:sz w:val="20"/>
                <w:szCs w:val="20"/>
                <w:lang w:eastAsia="en-NZ"/>
              </w:rPr>
              <w:t xml:space="preserve">                      4,073</w:t>
            </w:r>
            <w:r w:rsidR="00D44447">
              <w:rPr>
                <w:rFonts w:eastAsia="Times New Roman" w:cstheme="minorHAnsi"/>
                <w:color w:val="000000"/>
                <w:sz w:val="20"/>
                <w:szCs w:val="20"/>
                <w:lang w:eastAsia="en-NZ"/>
              </w:rPr>
              <w:t xml:space="preserve"> hectares</w:t>
            </w:r>
            <w:r w:rsidRPr="001244BB">
              <w:rPr>
                <w:rFonts w:eastAsia="Times New Roman" w:cstheme="minorHAnsi"/>
                <w:color w:val="000000"/>
                <w:sz w:val="20"/>
                <w:szCs w:val="20"/>
                <w:lang w:eastAsia="en-NZ"/>
              </w:rPr>
              <w:t xml:space="preserve"> </w:t>
            </w:r>
          </w:p>
        </w:tc>
        <w:tc>
          <w:tcPr>
            <w:tcW w:w="1895" w:type="dxa"/>
            <w:shd w:val="clear" w:color="auto" w:fill="auto"/>
            <w:noWrap/>
            <w:hideMark/>
          </w:tcPr>
          <w:p w:rsidR="00F43FB2" w:rsidRPr="001244BB" w:rsidRDefault="00F43FB2" w:rsidP="00030337">
            <w:pPr>
              <w:spacing w:after="0" w:line="240" w:lineRule="auto"/>
              <w:jc w:val="right"/>
              <w:rPr>
                <w:rFonts w:eastAsia="Times New Roman" w:cstheme="minorHAnsi"/>
                <w:color w:val="000000"/>
                <w:sz w:val="20"/>
                <w:szCs w:val="20"/>
                <w:lang w:eastAsia="en-NZ"/>
              </w:rPr>
            </w:pPr>
            <w:r w:rsidRPr="001244BB">
              <w:rPr>
                <w:rFonts w:eastAsia="Times New Roman" w:cstheme="minorHAnsi"/>
                <w:color w:val="000000"/>
                <w:sz w:val="20"/>
                <w:szCs w:val="20"/>
                <w:lang w:eastAsia="en-NZ"/>
              </w:rPr>
              <w:t>4,221</w:t>
            </w:r>
            <w:r w:rsidR="00D44447">
              <w:rPr>
                <w:rFonts w:eastAsia="Times New Roman" w:cstheme="minorHAnsi"/>
                <w:color w:val="000000"/>
                <w:sz w:val="20"/>
                <w:szCs w:val="20"/>
                <w:lang w:eastAsia="en-NZ"/>
              </w:rPr>
              <w:t xml:space="preserve"> hectares</w:t>
            </w:r>
            <w:r w:rsidRPr="001244BB">
              <w:rPr>
                <w:rFonts w:eastAsia="Times New Roman" w:cstheme="minorHAnsi"/>
                <w:color w:val="000000"/>
                <w:sz w:val="20"/>
                <w:szCs w:val="20"/>
                <w:lang w:eastAsia="en-NZ"/>
              </w:rPr>
              <w:t xml:space="preserve"> </w:t>
            </w:r>
          </w:p>
        </w:tc>
        <w:tc>
          <w:tcPr>
            <w:tcW w:w="3544" w:type="dxa"/>
            <w:shd w:val="clear" w:color="auto" w:fill="auto"/>
            <w:hideMark/>
          </w:tcPr>
          <w:p w:rsidR="00F43FB2" w:rsidRPr="001244BB" w:rsidRDefault="00F43FB2" w:rsidP="00030337">
            <w:pPr>
              <w:spacing w:after="0" w:line="240" w:lineRule="auto"/>
              <w:jc w:val="right"/>
              <w:rPr>
                <w:rFonts w:eastAsia="Times New Roman" w:cstheme="minorHAnsi"/>
                <w:color w:val="000000"/>
                <w:sz w:val="20"/>
                <w:szCs w:val="20"/>
                <w:lang w:eastAsia="en-NZ"/>
              </w:rPr>
            </w:pPr>
            <w:r w:rsidRPr="001244BB">
              <w:rPr>
                <w:rFonts w:eastAsia="Times New Roman" w:cstheme="minorHAnsi"/>
                <w:color w:val="000000"/>
                <w:sz w:val="20"/>
                <w:szCs w:val="20"/>
                <w:lang w:eastAsia="en-NZ"/>
              </w:rPr>
              <w:t>Positive trend</w:t>
            </w:r>
            <w:r w:rsidR="0045633E">
              <w:rPr>
                <w:rFonts w:eastAsia="Times New Roman" w:cstheme="minorHAnsi"/>
                <w:color w:val="000000"/>
                <w:sz w:val="20"/>
                <w:szCs w:val="20"/>
                <w:lang w:eastAsia="en-NZ"/>
              </w:rPr>
              <w:t>.</w:t>
            </w:r>
          </w:p>
        </w:tc>
      </w:tr>
      <w:tr w:rsidR="00F43FB2" w:rsidRPr="001244BB" w:rsidTr="00B337AE">
        <w:trPr>
          <w:trHeight w:val="510"/>
        </w:trPr>
        <w:tc>
          <w:tcPr>
            <w:tcW w:w="2826" w:type="dxa"/>
            <w:tcBorders>
              <w:bottom w:val="nil"/>
            </w:tcBorders>
            <w:shd w:val="clear" w:color="auto" w:fill="auto"/>
            <w:hideMark/>
          </w:tcPr>
          <w:p w:rsidR="00F43FB2" w:rsidRPr="001244BB" w:rsidRDefault="00F43FB2" w:rsidP="00030337">
            <w:pPr>
              <w:spacing w:after="0" w:line="240" w:lineRule="auto"/>
              <w:rPr>
                <w:rFonts w:eastAsia="Times New Roman" w:cstheme="minorHAnsi"/>
                <w:sz w:val="20"/>
                <w:szCs w:val="20"/>
                <w:lang w:eastAsia="en-NZ"/>
              </w:rPr>
            </w:pPr>
            <w:r w:rsidRPr="001244BB">
              <w:rPr>
                <w:rFonts w:eastAsia="Times New Roman" w:cstheme="minorHAnsi"/>
                <w:sz w:val="20"/>
                <w:szCs w:val="20"/>
                <w:lang w:eastAsia="en-NZ"/>
              </w:rPr>
              <w:t>Open space land owned or maintained by the Council – square metres per capita</w:t>
            </w:r>
          </w:p>
        </w:tc>
        <w:tc>
          <w:tcPr>
            <w:tcW w:w="1286" w:type="dxa"/>
            <w:tcBorders>
              <w:bottom w:val="nil"/>
            </w:tcBorders>
            <w:shd w:val="clear" w:color="auto" w:fill="auto"/>
            <w:noWrap/>
            <w:hideMark/>
          </w:tcPr>
          <w:p w:rsidR="00F43FB2" w:rsidRPr="001244BB" w:rsidRDefault="00F43FB2" w:rsidP="00030337">
            <w:pPr>
              <w:spacing w:after="0" w:line="240" w:lineRule="auto"/>
              <w:jc w:val="right"/>
              <w:rPr>
                <w:rFonts w:eastAsia="Times New Roman" w:cstheme="minorHAnsi"/>
                <w:color w:val="000000"/>
                <w:sz w:val="20"/>
                <w:szCs w:val="20"/>
                <w:lang w:eastAsia="en-NZ"/>
              </w:rPr>
            </w:pPr>
            <w:r w:rsidRPr="001244BB">
              <w:rPr>
                <w:rFonts w:eastAsia="Times New Roman" w:cstheme="minorHAnsi"/>
                <w:color w:val="000000"/>
                <w:sz w:val="20"/>
                <w:szCs w:val="20"/>
                <w:lang w:eastAsia="en-NZ"/>
              </w:rPr>
              <w:t>Maintain</w:t>
            </w:r>
          </w:p>
        </w:tc>
        <w:tc>
          <w:tcPr>
            <w:tcW w:w="1275" w:type="dxa"/>
            <w:tcBorders>
              <w:bottom w:val="nil"/>
            </w:tcBorders>
            <w:shd w:val="clear" w:color="auto" w:fill="auto"/>
            <w:noWrap/>
            <w:hideMark/>
          </w:tcPr>
          <w:p w:rsidR="00F43FB2" w:rsidRPr="001244BB" w:rsidRDefault="00F43FB2" w:rsidP="00030337">
            <w:pPr>
              <w:spacing w:after="0" w:line="240" w:lineRule="auto"/>
              <w:jc w:val="right"/>
              <w:rPr>
                <w:rFonts w:eastAsia="Times New Roman" w:cstheme="minorHAnsi"/>
                <w:color w:val="000000"/>
                <w:sz w:val="20"/>
                <w:szCs w:val="20"/>
                <w:lang w:eastAsia="en-NZ"/>
              </w:rPr>
            </w:pPr>
            <w:r w:rsidRPr="001244BB">
              <w:rPr>
                <w:rFonts w:eastAsia="Times New Roman" w:cstheme="minorHAnsi"/>
                <w:color w:val="000000"/>
                <w:sz w:val="20"/>
                <w:szCs w:val="20"/>
                <w:lang w:eastAsia="en-NZ"/>
              </w:rPr>
              <w:t>WCC Parks, Sport and Recreation</w:t>
            </w:r>
          </w:p>
        </w:tc>
        <w:tc>
          <w:tcPr>
            <w:tcW w:w="1888" w:type="dxa"/>
            <w:tcBorders>
              <w:bottom w:val="nil"/>
            </w:tcBorders>
            <w:shd w:val="clear" w:color="auto" w:fill="auto"/>
            <w:noWrap/>
            <w:hideMark/>
          </w:tcPr>
          <w:p w:rsidR="00F43FB2" w:rsidRPr="001244BB" w:rsidRDefault="00F43FB2" w:rsidP="00030337">
            <w:pPr>
              <w:spacing w:after="0" w:line="240" w:lineRule="auto"/>
              <w:jc w:val="right"/>
              <w:rPr>
                <w:rFonts w:eastAsia="Times New Roman" w:cstheme="minorHAnsi"/>
                <w:color w:val="000000"/>
                <w:sz w:val="20"/>
                <w:szCs w:val="20"/>
                <w:lang w:eastAsia="en-NZ"/>
              </w:rPr>
            </w:pPr>
            <w:r w:rsidRPr="001244BB">
              <w:rPr>
                <w:rFonts w:eastAsia="Times New Roman" w:cstheme="minorHAnsi"/>
                <w:color w:val="000000"/>
                <w:sz w:val="20"/>
                <w:szCs w:val="20"/>
                <w:lang w:eastAsia="en-NZ"/>
              </w:rPr>
              <w:t>194.3</w:t>
            </w:r>
            <w:r w:rsidR="00D44447">
              <w:rPr>
                <w:rFonts w:eastAsia="Times New Roman" w:cstheme="minorHAnsi"/>
                <w:color w:val="000000"/>
                <w:sz w:val="20"/>
                <w:szCs w:val="20"/>
                <w:lang w:eastAsia="en-NZ"/>
              </w:rPr>
              <w:t xml:space="preserve"> sqm</w:t>
            </w:r>
          </w:p>
        </w:tc>
        <w:tc>
          <w:tcPr>
            <w:tcW w:w="2029" w:type="dxa"/>
            <w:tcBorders>
              <w:bottom w:val="nil"/>
            </w:tcBorders>
            <w:shd w:val="clear" w:color="auto" w:fill="auto"/>
            <w:noWrap/>
            <w:hideMark/>
          </w:tcPr>
          <w:p w:rsidR="00F43FB2" w:rsidRPr="001244BB" w:rsidRDefault="00F43FB2" w:rsidP="00030337">
            <w:pPr>
              <w:spacing w:after="0" w:line="240" w:lineRule="auto"/>
              <w:jc w:val="right"/>
              <w:rPr>
                <w:rFonts w:eastAsia="Times New Roman" w:cstheme="minorHAnsi"/>
                <w:color w:val="000000"/>
                <w:sz w:val="20"/>
                <w:szCs w:val="20"/>
                <w:lang w:eastAsia="en-NZ"/>
              </w:rPr>
            </w:pPr>
            <w:r w:rsidRPr="001244BB">
              <w:rPr>
                <w:rFonts w:eastAsia="Times New Roman" w:cstheme="minorHAnsi"/>
                <w:color w:val="000000"/>
                <w:sz w:val="20"/>
                <w:szCs w:val="20"/>
                <w:lang w:eastAsia="en-NZ"/>
              </w:rPr>
              <w:t>191.5</w:t>
            </w:r>
            <w:r w:rsidR="00D44447">
              <w:rPr>
                <w:rFonts w:eastAsia="Times New Roman" w:cstheme="minorHAnsi"/>
                <w:color w:val="000000"/>
                <w:sz w:val="20"/>
                <w:szCs w:val="20"/>
                <w:lang w:eastAsia="en-NZ"/>
              </w:rPr>
              <w:t xml:space="preserve"> sqm</w:t>
            </w:r>
          </w:p>
        </w:tc>
        <w:tc>
          <w:tcPr>
            <w:tcW w:w="1895" w:type="dxa"/>
            <w:tcBorders>
              <w:bottom w:val="nil"/>
            </w:tcBorders>
            <w:shd w:val="clear" w:color="auto" w:fill="auto"/>
            <w:noWrap/>
            <w:hideMark/>
          </w:tcPr>
          <w:p w:rsidR="00F43FB2" w:rsidRPr="001244BB" w:rsidRDefault="00F43FB2" w:rsidP="00030337">
            <w:pPr>
              <w:spacing w:after="0" w:line="240" w:lineRule="auto"/>
              <w:jc w:val="right"/>
              <w:rPr>
                <w:rFonts w:eastAsia="Times New Roman" w:cstheme="minorHAnsi"/>
                <w:color w:val="000000"/>
                <w:sz w:val="20"/>
                <w:szCs w:val="20"/>
                <w:lang w:eastAsia="en-NZ"/>
              </w:rPr>
            </w:pPr>
            <w:r w:rsidRPr="001244BB">
              <w:rPr>
                <w:rFonts w:eastAsia="Times New Roman" w:cstheme="minorHAnsi"/>
                <w:color w:val="000000"/>
                <w:sz w:val="20"/>
                <w:szCs w:val="20"/>
                <w:lang w:eastAsia="en-NZ"/>
              </w:rPr>
              <w:t>195.1</w:t>
            </w:r>
            <w:r w:rsidR="00D44447">
              <w:rPr>
                <w:rFonts w:eastAsia="Times New Roman" w:cstheme="minorHAnsi"/>
                <w:color w:val="000000"/>
                <w:sz w:val="20"/>
                <w:szCs w:val="20"/>
                <w:lang w:eastAsia="en-NZ"/>
              </w:rPr>
              <w:t xml:space="preserve"> sqm</w:t>
            </w:r>
          </w:p>
        </w:tc>
        <w:tc>
          <w:tcPr>
            <w:tcW w:w="3544" w:type="dxa"/>
            <w:tcBorders>
              <w:bottom w:val="nil"/>
            </w:tcBorders>
            <w:shd w:val="clear" w:color="auto" w:fill="auto"/>
            <w:hideMark/>
          </w:tcPr>
          <w:p w:rsidR="00F43FB2" w:rsidRPr="001244BB" w:rsidRDefault="00B27E9D" w:rsidP="00030337">
            <w:pPr>
              <w:spacing w:after="0" w:line="240" w:lineRule="auto"/>
              <w:jc w:val="right"/>
              <w:rPr>
                <w:rFonts w:eastAsia="Times New Roman" w:cstheme="minorHAnsi"/>
                <w:color w:val="000000"/>
                <w:sz w:val="20"/>
                <w:szCs w:val="20"/>
                <w:lang w:eastAsia="en-NZ"/>
              </w:rPr>
            </w:pPr>
            <w:r>
              <w:rPr>
                <w:rFonts w:eastAsia="Times New Roman" w:cstheme="minorHAnsi"/>
                <w:color w:val="000000"/>
                <w:sz w:val="20"/>
                <w:szCs w:val="20"/>
                <w:lang w:eastAsia="en-NZ"/>
              </w:rPr>
              <w:t>No trend</w:t>
            </w:r>
            <w:r w:rsidR="0045633E">
              <w:rPr>
                <w:rFonts w:eastAsia="Times New Roman" w:cstheme="minorHAnsi"/>
                <w:color w:val="000000"/>
                <w:sz w:val="20"/>
                <w:szCs w:val="20"/>
                <w:lang w:eastAsia="en-NZ"/>
              </w:rPr>
              <w:t>.</w:t>
            </w:r>
          </w:p>
        </w:tc>
      </w:tr>
      <w:tr w:rsidR="00F43FB2" w:rsidRPr="001244BB" w:rsidTr="00B337AE">
        <w:trPr>
          <w:trHeight w:val="255"/>
        </w:trPr>
        <w:tc>
          <w:tcPr>
            <w:tcW w:w="2826" w:type="dxa"/>
            <w:tcBorders>
              <w:top w:val="nil"/>
              <w:bottom w:val="nil"/>
              <w:right w:val="nil"/>
            </w:tcBorders>
            <w:shd w:val="clear" w:color="auto" w:fill="EAF1DD" w:themeFill="accent3" w:themeFillTint="33"/>
            <w:hideMark/>
          </w:tcPr>
          <w:p w:rsidR="00F43FB2" w:rsidRPr="001244BB" w:rsidRDefault="00F43FB2" w:rsidP="00030337">
            <w:pPr>
              <w:spacing w:after="0" w:line="240" w:lineRule="auto"/>
              <w:rPr>
                <w:rFonts w:eastAsia="Times New Roman" w:cstheme="minorHAnsi"/>
                <w:b/>
                <w:bCs/>
                <w:i/>
                <w:iCs/>
                <w:sz w:val="20"/>
                <w:szCs w:val="20"/>
                <w:lang w:eastAsia="en-NZ"/>
              </w:rPr>
            </w:pPr>
            <w:r w:rsidRPr="001244BB">
              <w:rPr>
                <w:rFonts w:eastAsia="Times New Roman" w:cstheme="minorHAnsi"/>
                <w:b/>
                <w:bCs/>
                <w:i/>
                <w:iCs/>
                <w:sz w:val="20"/>
                <w:szCs w:val="20"/>
                <w:lang w:eastAsia="en-NZ"/>
              </w:rPr>
              <w:t>Environmental health</w:t>
            </w:r>
          </w:p>
        </w:tc>
        <w:tc>
          <w:tcPr>
            <w:tcW w:w="1286" w:type="dxa"/>
            <w:tcBorders>
              <w:top w:val="nil"/>
              <w:left w:val="nil"/>
              <w:bottom w:val="nil"/>
              <w:right w:val="nil"/>
            </w:tcBorders>
            <w:shd w:val="clear" w:color="auto" w:fill="EAF1DD" w:themeFill="accent3" w:themeFillTint="33"/>
            <w:hideMark/>
          </w:tcPr>
          <w:p w:rsidR="00F43FB2" w:rsidRPr="001244BB" w:rsidRDefault="00F43FB2" w:rsidP="00030337">
            <w:pPr>
              <w:spacing w:after="0" w:line="240" w:lineRule="auto"/>
              <w:rPr>
                <w:rFonts w:eastAsia="Times New Roman" w:cstheme="minorHAnsi"/>
                <w:i/>
                <w:iCs/>
                <w:sz w:val="20"/>
                <w:szCs w:val="20"/>
                <w:lang w:eastAsia="en-NZ"/>
              </w:rPr>
            </w:pPr>
          </w:p>
        </w:tc>
        <w:tc>
          <w:tcPr>
            <w:tcW w:w="1275" w:type="dxa"/>
            <w:tcBorders>
              <w:top w:val="nil"/>
              <w:left w:val="nil"/>
              <w:bottom w:val="nil"/>
              <w:right w:val="nil"/>
            </w:tcBorders>
            <w:shd w:val="clear" w:color="auto" w:fill="EAF1DD" w:themeFill="accent3" w:themeFillTint="33"/>
            <w:noWrap/>
            <w:hideMark/>
          </w:tcPr>
          <w:p w:rsidR="00F43FB2" w:rsidRPr="001244BB" w:rsidRDefault="00F43FB2" w:rsidP="00030337">
            <w:pPr>
              <w:spacing w:after="0" w:line="240" w:lineRule="auto"/>
              <w:rPr>
                <w:rFonts w:eastAsia="Times New Roman" w:cstheme="minorHAnsi"/>
                <w:sz w:val="20"/>
                <w:szCs w:val="20"/>
                <w:lang w:eastAsia="en-NZ"/>
              </w:rPr>
            </w:pPr>
          </w:p>
        </w:tc>
        <w:tc>
          <w:tcPr>
            <w:tcW w:w="1888" w:type="dxa"/>
            <w:tcBorders>
              <w:top w:val="nil"/>
              <w:left w:val="nil"/>
              <w:bottom w:val="nil"/>
              <w:right w:val="nil"/>
            </w:tcBorders>
            <w:shd w:val="clear" w:color="auto" w:fill="EAF1DD" w:themeFill="accent3" w:themeFillTint="33"/>
            <w:noWrap/>
            <w:hideMark/>
          </w:tcPr>
          <w:p w:rsidR="00F43FB2" w:rsidRPr="001244BB" w:rsidRDefault="00F43FB2" w:rsidP="00030337">
            <w:pPr>
              <w:spacing w:after="0" w:line="240" w:lineRule="auto"/>
              <w:jc w:val="right"/>
              <w:rPr>
                <w:rFonts w:eastAsia="Times New Roman" w:cstheme="minorHAnsi"/>
                <w:sz w:val="20"/>
                <w:szCs w:val="20"/>
                <w:lang w:eastAsia="en-NZ"/>
              </w:rPr>
            </w:pPr>
          </w:p>
        </w:tc>
        <w:tc>
          <w:tcPr>
            <w:tcW w:w="2029" w:type="dxa"/>
            <w:tcBorders>
              <w:top w:val="nil"/>
              <w:left w:val="nil"/>
              <w:bottom w:val="nil"/>
              <w:right w:val="nil"/>
            </w:tcBorders>
            <w:shd w:val="clear" w:color="auto" w:fill="EAF1DD" w:themeFill="accent3" w:themeFillTint="33"/>
            <w:noWrap/>
            <w:hideMark/>
          </w:tcPr>
          <w:p w:rsidR="00F43FB2" w:rsidRPr="001244BB" w:rsidRDefault="00F43FB2" w:rsidP="00030337">
            <w:pPr>
              <w:spacing w:after="0" w:line="240" w:lineRule="auto"/>
              <w:jc w:val="right"/>
              <w:rPr>
                <w:rFonts w:eastAsia="Times New Roman" w:cstheme="minorHAnsi"/>
                <w:sz w:val="20"/>
                <w:szCs w:val="20"/>
                <w:lang w:eastAsia="en-NZ"/>
              </w:rPr>
            </w:pPr>
          </w:p>
        </w:tc>
        <w:tc>
          <w:tcPr>
            <w:tcW w:w="1895" w:type="dxa"/>
            <w:tcBorders>
              <w:top w:val="nil"/>
              <w:left w:val="nil"/>
              <w:bottom w:val="nil"/>
              <w:right w:val="nil"/>
            </w:tcBorders>
            <w:shd w:val="clear" w:color="auto" w:fill="EAF1DD" w:themeFill="accent3" w:themeFillTint="33"/>
            <w:noWrap/>
            <w:hideMark/>
          </w:tcPr>
          <w:p w:rsidR="00F43FB2" w:rsidRPr="001244BB" w:rsidRDefault="00F43FB2" w:rsidP="00030337">
            <w:pPr>
              <w:spacing w:after="0" w:line="240" w:lineRule="auto"/>
              <w:jc w:val="right"/>
              <w:rPr>
                <w:rFonts w:eastAsia="Times New Roman" w:cstheme="minorHAnsi"/>
                <w:sz w:val="20"/>
                <w:szCs w:val="20"/>
                <w:lang w:eastAsia="en-NZ"/>
              </w:rPr>
            </w:pPr>
          </w:p>
        </w:tc>
        <w:tc>
          <w:tcPr>
            <w:tcW w:w="3544" w:type="dxa"/>
            <w:tcBorders>
              <w:top w:val="nil"/>
              <w:left w:val="nil"/>
              <w:bottom w:val="nil"/>
            </w:tcBorders>
            <w:shd w:val="clear" w:color="auto" w:fill="EAF1DD" w:themeFill="accent3" w:themeFillTint="33"/>
            <w:hideMark/>
          </w:tcPr>
          <w:p w:rsidR="00F43FB2" w:rsidRPr="001244BB" w:rsidRDefault="00F43FB2" w:rsidP="00030337">
            <w:pPr>
              <w:spacing w:after="0" w:line="240" w:lineRule="auto"/>
              <w:rPr>
                <w:rFonts w:eastAsia="Times New Roman" w:cstheme="minorHAnsi"/>
                <w:sz w:val="20"/>
                <w:szCs w:val="20"/>
                <w:lang w:eastAsia="en-NZ"/>
              </w:rPr>
            </w:pPr>
          </w:p>
        </w:tc>
      </w:tr>
      <w:tr w:rsidR="00F43FB2" w:rsidRPr="001244BB" w:rsidTr="00B337AE">
        <w:trPr>
          <w:trHeight w:val="1785"/>
        </w:trPr>
        <w:tc>
          <w:tcPr>
            <w:tcW w:w="2826" w:type="dxa"/>
            <w:tcBorders>
              <w:top w:val="nil"/>
            </w:tcBorders>
            <w:shd w:val="clear" w:color="auto" w:fill="auto"/>
            <w:hideMark/>
          </w:tcPr>
          <w:p w:rsidR="00F43FB2" w:rsidRPr="001244BB" w:rsidRDefault="00F43FB2" w:rsidP="00030337">
            <w:pPr>
              <w:spacing w:after="0" w:line="240" w:lineRule="auto"/>
              <w:rPr>
                <w:rFonts w:eastAsia="Times New Roman" w:cstheme="minorHAnsi"/>
                <w:sz w:val="20"/>
                <w:szCs w:val="20"/>
                <w:lang w:eastAsia="en-NZ"/>
              </w:rPr>
            </w:pPr>
            <w:r w:rsidRPr="001244BB">
              <w:rPr>
                <w:rFonts w:eastAsia="Times New Roman" w:cstheme="minorHAnsi"/>
                <w:sz w:val="20"/>
                <w:szCs w:val="20"/>
                <w:lang w:eastAsia="en-NZ"/>
              </w:rPr>
              <w:t>City Biodiversity Index indicators</w:t>
            </w:r>
          </w:p>
        </w:tc>
        <w:tc>
          <w:tcPr>
            <w:tcW w:w="1286" w:type="dxa"/>
            <w:tcBorders>
              <w:top w:val="nil"/>
            </w:tcBorders>
            <w:shd w:val="clear" w:color="auto" w:fill="auto"/>
            <w:noWrap/>
            <w:hideMark/>
          </w:tcPr>
          <w:p w:rsidR="00F43FB2" w:rsidRPr="001244BB" w:rsidRDefault="00F43FB2" w:rsidP="00030337">
            <w:pPr>
              <w:spacing w:after="0" w:line="240" w:lineRule="auto"/>
              <w:rPr>
                <w:rFonts w:eastAsia="Times New Roman" w:cstheme="minorHAnsi"/>
                <w:color w:val="000000"/>
                <w:sz w:val="20"/>
                <w:szCs w:val="20"/>
                <w:lang w:eastAsia="en-NZ"/>
              </w:rPr>
            </w:pPr>
            <w:r w:rsidRPr="001244BB">
              <w:rPr>
                <w:rFonts w:eastAsia="Times New Roman" w:cstheme="minorHAnsi"/>
                <w:color w:val="000000"/>
                <w:sz w:val="20"/>
                <w:szCs w:val="20"/>
                <w:lang w:eastAsia="en-NZ"/>
              </w:rPr>
              <w:t>Improving</w:t>
            </w:r>
          </w:p>
        </w:tc>
        <w:tc>
          <w:tcPr>
            <w:tcW w:w="1275" w:type="dxa"/>
            <w:tcBorders>
              <w:top w:val="nil"/>
            </w:tcBorders>
            <w:shd w:val="clear" w:color="auto" w:fill="auto"/>
            <w:noWrap/>
            <w:hideMark/>
          </w:tcPr>
          <w:p w:rsidR="00F43FB2" w:rsidRPr="001244BB" w:rsidRDefault="00F43FB2" w:rsidP="00030337">
            <w:pPr>
              <w:spacing w:after="0" w:line="240" w:lineRule="auto"/>
              <w:rPr>
                <w:rFonts w:eastAsia="Times New Roman" w:cstheme="minorHAnsi"/>
                <w:color w:val="000000"/>
                <w:sz w:val="20"/>
                <w:szCs w:val="20"/>
                <w:lang w:eastAsia="en-NZ"/>
              </w:rPr>
            </w:pPr>
            <w:r w:rsidRPr="001244BB">
              <w:rPr>
                <w:rFonts w:eastAsia="Times New Roman" w:cstheme="minorHAnsi"/>
                <w:color w:val="000000"/>
                <w:sz w:val="20"/>
                <w:szCs w:val="20"/>
                <w:lang w:eastAsia="en-NZ"/>
              </w:rPr>
              <w:t>WCC Parks, Sport and Recreation</w:t>
            </w:r>
          </w:p>
        </w:tc>
        <w:tc>
          <w:tcPr>
            <w:tcW w:w="1888" w:type="dxa"/>
            <w:tcBorders>
              <w:top w:val="nil"/>
            </w:tcBorders>
            <w:shd w:val="clear" w:color="auto" w:fill="auto"/>
            <w:noWrap/>
            <w:hideMark/>
          </w:tcPr>
          <w:p w:rsidR="00F43FB2" w:rsidRPr="001244BB" w:rsidRDefault="00F43FB2" w:rsidP="00030337">
            <w:pPr>
              <w:spacing w:after="0" w:line="240" w:lineRule="auto"/>
              <w:jc w:val="right"/>
              <w:rPr>
                <w:rFonts w:eastAsia="Times New Roman" w:cstheme="minorHAnsi"/>
                <w:color w:val="000000"/>
                <w:sz w:val="20"/>
                <w:szCs w:val="20"/>
                <w:lang w:eastAsia="en-NZ"/>
              </w:rPr>
            </w:pPr>
          </w:p>
        </w:tc>
        <w:tc>
          <w:tcPr>
            <w:tcW w:w="2029" w:type="dxa"/>
            <w:tcBorders>
              <w:top w:val="nil"/>
            </w:tcBorders>
            <w:shd w:val="clear" w:color="auto" w:fill="auto"/>
            <w:noWrap/>
            <w:hideMark/>
          </w:tcPr>
          <w:p w:rsidR="00F43FB2" w:rsidRPr="001244BB" w:rsidRDefault="00F43FB2" w:rsidP="00030337">
            <w:pPr>
              <w:spacing w:after="0" w:line="240" w:lineRule="auto"/>
              <w:jc w:val="right"/>
              <w:rPr>
                <w:rFonts w:eastAsia="Times New Roman" w:cstheme="minorHAnsi"/>
                <w:color w:val="000000"/>
                <w:sz w:val="20"/>
                <w:szCs w:val="20"/>
                <w:lang w:eastAsia="en-NZ"/>
              </w:rPr>
            </w:pPr>
            <w:r w:rsidRPr="001244BB">
              <w:rPr>
                <w:rFonts w:eastAsia="Times New Roman" w:cstheme="minorHAnsi"/>
                <w:color w:val="000000"/>
                <w:sz w:val="20"/>
                <w:szCs w:val="20"/>
                <w:lang w:eastAsia="en-NZ"/>
              </w:rPr>
              <w:t>New</w:t>
            </w:r>
          </w:p>
        </w:tc>
        <w:tc>
          <w:tcPr>
            <w:tcW w:w="1895" w:type="dxa"/>
            <w:tcBorders>
              <w:top w:val="nil"/>
            </w:tcBorders>
            <w:shd w:val="clear" w:color="auto" w:fill="auto"/>
            <w:hideMark/>
          </w:tcPr>
          <w:p w:rsidR="00F43FB2" w:rsidRPr="001244BB" w:rsidRDefault="005F3580" w:rsidP="00030337">
            <w:pPr>
              <w:spacing w:after="0" w:line="240" w:lineRule="auto"/>
              <w:rPr>
                <w:rFonts w:eastAsia="Times New Roman" w:cstheme="minorHAnsi"/>
                <w:color w:val="000000"/>
                <w:sz w:val="20"/>
                <w:szCs w:val="20"/>
                <w:lang w:eastAsia="en-NZ"/>
              </w:rPr>
            </w:pPr>
            <w:r>
              <w:rPr>
                <w:rFonts w:eastAsia="Times New Roman" w:cstheme="minorHAnsi"/>
                <w:color w:val="000000"/>
                <w:sz w:val="20"/>
                <w:szCs w:val="20"/>
                <w:lang w:eastAsia="en-NZ"/>
              </w:rPr>
              <w:t>Establishing baseline</w:t>
            </w:r>
            <w:r w:rsidR="00F43FB2" w:rsidRPr="001244BB">
              <w:rPr>
                <w:rFonts w:eastAsia="Times New Roman" w:cstheme="minorHAnsi"/>
                <w:color w:val="000000"/>
                <w:sz w:val="20"/>
                <w:szCs w:val="20"/>
                <w:lang w:eastAsia="en-NZ"/>
              </w:rPr>
              <w:t>. See comment</w:t>
            </w:r>
          </w:p>
        </w:tc>
        <w:tc>
          <w:tcPr>
            <w:tcW w:w="3544" w:type="dxa"/>
            <w:tcBorders>
              <w:top w:val="nil"/>
            </w:tcBorders>
            <w:shd w:val="clear" w:color="auto" w:fill="auto"/>
            <w:hideMark/>
          </w:tcPr>
          <w:p w:rsidR="00F43FB2" w:rsidRPr="001244BB" w:rsidRDefault="0045633E" w:rsidP="00A204D6">
            <w:pPr>
              <w:spacing w:after="0" w:line="240" w:lineRule="auto"/>
              <w:rPr>
                <w:rFonts w:eastAsia="Times New Roman" w:cstheme="minorHAnsi"/>
                <w:color w:val="000000"/>
                <w:sz w:val="20"/>
                <w:szCs w:val="20"/>
                <w:lang w:eastAsia="en-NZ"/>
              </w:rPr>
            </w:pPr>
            <w:r>
              <w:rPr>
                <w:rFonts w:eastAsia="Times New Roman" w:cstheme="minorHAnsi"/>
                <w:color w:val="000000"/>
                <w:sz w:val="20"/>
                <w:szCs w:val="20"/>
                <w:lang w:eastAsia="en-NZ"/>
              </w:rPr>
              <w:t xml:space="preserve">No trend. </w:t>
            </w:r>
            <w:r w:rsidR="00F43FB2" w:rsidRPr="001244BB">
              <w:rPr>
                <w:rFonts w:eastAsia="Times New Roman" w:cstheme="minorHAnsi"/>
                <w:color w:val="000000"/>
                <w:sz w:val="20"/>
                <w:szCs w:val="20"/>
                <w:lang w:eastAsia="en-NZ"/>
              </w:rPr>
              <w:t>WCC has committed to monitor its birds, lizards and fresh water fish as part of this framework. We are making progress in developing our city Biodiversity Index</w:t>
            </w:r>
            <w:r w:rsidR="00F43FB2" w:rsidRPr="001244BB">
              <w:rPr>
                <w:rFonts w:eastAsia="Times New Roman" w:cstheme="minorHAnsi"/>
                <w:sz w:val="20"/>
                <w:szCs w:val="20"/>
                <w:lang w:eastAsia="en-NZ"/>
              </w:rPr>
              <w:t xml:space="preserve"> in partnership with mana whenua partners and the Department of Conservation (DOC. </w:t>
            </w:r>
          </w:p>
        </w:tc>
      </w:tr>
      <w:tr w:rsidR="00F43FB2" w:rsidRPr="001244BB" w:rsidTr="00B337AE">
        <w:trPr>
          <w:trHeight w:val="255"/>
        </w:trPr>
        <w:tc>
          <w:tcPr>
            <w:tcW w:w="2826" w:type="dxa"/>
            <w:shd w:val="clear" w:color="auto" w:fill="auto"/>
            <w:hideMark/>
          </w:tcPr>
          <w:p w:rsidR="00F43FB2" w:rsidRPr="001244BB" w:rsidRDefault="00F43FB2" w:rsidP="00030337">
            <w:pPr>
              <w:spacing w:after="0" w:line="240" w:lineRule="auto"/>
              <w:rPr>
                <w:rFonts w:eastAsia="Times New Roman" w:cstheme="minorHAnsi"/>
                <w:sz w:val="20"/>
                <w:szCs w:val="20"/>
                <w:lang w:eastAsia="en-NZ"/>
              </w:rPr>
            </w:pPr>
            <w:r w:rsidRPr="001244BB">
              <w:rPr>
                <w:rFonts w:eastAsia="Times New Roman" w:cstheme="minorHAnsi"/>
                <w:sz w:val="20"/>
                <w:szCs w:val="20"/>
                <w:lang w:eastAsia="en-NZ"/>
              </w:rPr>
              <w:t>Native bird counts</w:t>
            </w:r>
          </w:p>
        </w:tc>
        <w:tc>
          <w:tcPr>
            <w:tcW w:w="1286" w:type="dxa"/>
            <w:shd w:val="clear" w:color="auto" w:fill="auto"/>
            <w:noWrap/>
            <w:hideMark/>
          </w:tcPr>
          <w:p w:rsidR="00F43FB2" w:rsidRPr="001244BB" w:rsidRDefault="00F43FB2" w:rsidP="00030337">
            <w:pPr>
              <w:spacing w:after="0" w:line="240" w:lineRule="auto"/>
              <w:rPr>
                <w:rFonts w:eastAsia="Times New Roman" w:cstheme="minorHAnsi"/>
                <w:color w:val="000000"/>
                <w:sz w:val="20"/>
                <w:szCs w:val="20"/>
                <w:lang w:eastAsia="en-NZ"/>
              </w:rPr>
            </w:pPr>
            <w:r w:rsidRPr="001244BB">
              <w:rPr>
                <w:rFonts w:eastAsia="Times New Roman" w:cstheme="minorHAnsi"/>
                <w:color w:val="000000"/>
                <w:sz w:val="20"/>
                <w:szCs w:val="20"/>
                <w:lang w:eastAsia="en-NZ"/>
              </w:rPr>
              <w:t>Increasing</w:t>
            </w:r>
          </w:p>
        </w:tc>
        <w:tc>
          <w:tcPr>
            <w:tcW w:w="1275" w:type="dxa"/>
            <w:shd w:val="clear" w:color="auto" w:fill="auto"/>
            <w:noWrap/>
            <w:hideMark/>
          </w:tcPr>
          <w:p w:rsidR="00F43FB2" w:rsidRPr="001244BB" w:rsidRDefault="00F43FB2" w:rsidP="00030337">
            <w:pPr>
              <w:spacing w:after="0" w:line="240" w:lineRule="auto"/>
              <w:rPr>
                <w:rFonts w:eastAsia="Times New Roman" w:cstheme="minorHAnsi"/>
                <w:color w:val="000000"/>
                <w:sz w:val="20"/>
                <w:szCs w:val="20"/>
                <w:lang w:eastAsia="en-NZ"/>
              </w:rPr>
            </w:pPr>
            <w:r w:rsidRPr="001244BB">
              <w:rPr>
                <w:rFonts w:eastAsia="Times New Roman" w:cstheme="minorHAnsi"/>
                <w:color w:val="000000"/>
                <w:sz w:val="20"/>
                <w:szCs w:val="20"/>
                <w:lang w:eastAsia="en-NZ"/>
              </w:rPr>
              <w:t xml:space="preserve">WCC </w:t>
            </w:r>
            <w:r w:rsidRPr="001244BB">
              <w:rPr>
                <w:rFonts w:eastAsia="Times New Roman" w:cstheme="minorHAnsi"/>
                <w:color w:val="000000"/>
                <w:sz w:val="20"/>
                <w:szCs w:val="20"/>
                <w:lang w:eastAsia="en-NZ"/>
              </w:rPr>
              <w:lastRenderedPageBreak/>
              <w:t>Parks, Sport and Recreation</w:t>
            </w:r>
          </w:p>
        </w:tc>
        <w:tc>
          <w:tcPr>
            <w:tcW w:w="1888" w:type="dxa"/>
            <w:shd w:val="clear" w:color="auto" w:fill="auto"/>
            <w:noWrap/>
            <w:hideMark/>
          </w:tcPr>
          <w:p w:rsidR="00F43FB2" w:rsidRPr="001244BB" w:rsidRDefault="00F43FB2" w:rsidP="00030337">
            <w:pPr>
              <w:spacing w:after="0" w:line="240" w:lineRule="auto"/>
              <w:jc w:val="right"/>
              <w:rPr>
                <w:rFonts w:eastAsia="Times New Roman" w:cstheme="minorHAnsi"/>
                <w:color w:val="000000"/>
                <w:sz w:val="20"/>
                <w:szCs w:val="20"/>
                <w:lang w:eastAsia="en-NZ"/>
              </w:rPr>
            </w:pPr>
            <w:r w:rsidRPr="001244BB">
              <w:rPr>
                <w:rFonts w:eastAsia="Times New Roman" w:cstheme="minorHAnsi"/>
                <w:color w:val="000000"/>
                <w:sz w:val="20"/>
                <w:szCs w:val="20"/>
                <w:lang w:eastAsia="en-NZ"/>
              </w:rPr>
              <w:lastRenderedPageBreak/>
              <w:t xml:space="preserve">14 native bird </w:t>
            </w:r>
            <w:r w:rsidRPr="001244BB">
              <w:rPr>
                <w:rFonts w:eastAsia="Times New Roman" w:cstheme="minorHAnsi"/>
                <w:color w:val="000000"/>
                <w:sz w:val="20"/>
                <w:szCs w:val="20"/>
                <w:lang w:eastAsia="en-NZ"/>
              </w:rPr>
              <w:lastRenderedPageBreak/>
              <w:t>species</w:t>
            </w:r>
          </w:p>
        </w:tc>
        <w:tc>
          <w:tcPr>
            <w:tcW w:w="2029" w:type="dxa"/>
            <w:shd w:val="clear" w:color="auto" w:fill="auto"/>
            <w:noWrap/>
            <w:hideMark/>
          </w:tcPr>
          <w:p w:rsidR="00F43FB2" w:rsidRPr="001244BB" w:rsidRDefault="00F43FB2" w:rsidP="00030337">
            <w:pPr>
              <w:spacing w:after="0" w:line="240" w:lineRule="auto"/>
              <w:jc w:val="right"/>
              <w:rPr>
                <w:rFonts w:eastAsia="Times New Roman" w:cstheme="minorHAnsi"/>
                <w:color w:val="000000"/>
                <w:sz w:val="20"/>
                <w:szCs w:val="20"/>
                <w:lang w:eastAsia="en-NZ"/>
              </w:rPr>
            </w:pPr>
            <w:r w:rsidRPr="001244BB">
              <w:rPr>
                <w:rFonts w:eastAsia="Times New Roman" w:cstheme="minorHAnsi"/>
                <w:color w:val="000000"/>
                <w:sz w:val="20"/>
                <w:szCs w:val="20"/>
                <w:lang w:eastAsia="en-NZ"/>
              </w:rPr>
              <w:lastRenderedPageBreak/>
              <w:t xml:space="preserve">13 native bird </w:t>
            </w:r>
            <w:r w:rsidRPr="001244BB">
              <w:rPr>
                <w:rFonts w:eastAsia="Times New Roman" w:cstheme="minorHAnsi"/>
                <w:color w:val="000000"/>
                <w:sz w:val="20"/>
                <w:szCs w:val="20"/>
                <w:lang w:eastAsia="en-NZ"/>
              </w:rPr>
              <w:lastRenderedPageBreak/>
              <w:t>species</w:t>
            </w:r>
          </w:p>
        </w:tc>
        <w:tc>
          <w:tcPr>
            <w:tcW w:w="1895" w:type="dxa"/>
            <w:shd w:val="clear" w:color="auto" w:fill="auto"/>
            <w:noWrap/>
            <w:hideMark/>
          </w:tcPr>
          <w:p w:rsidR="00F43FB2" w:rsidRPr="001244BB" w:rsidRDefault="00F43FB2" w:rsidP="00030337">
            <w:pPr>
              <w:spacing w:after="0" w:line="240" w:lineRule="auto"/>
              <w:jc w:val="right"/>
              <w:rPr>
                <w:rFonts w:eastAsia="Times New Roman" w:cstheme="minorHAnsi"/>
                <w:color w:val="000000"/>
                <w:sz w:val="20"/>
                <w:szCs w:val="20"/>
                <w:lang w:eastAsia="en-NZ"/>
              </w:rPr>
            </w:pPr>
            <w:r w:rsidRPr="001244BB">
              <w:rPr>
                <w:rFonts w:eastAsia="Times New Roman" w:cstheme="minorHAnsi"/>
                <w:color w:val="000000"/>
                <w:sz w:val="20"/>
                <w:szCs w:val="20"/>
                <w:lang w:eastAsia="en-NZ"/>
              </w:rPr>
              <w:lastRenderedPageBreak/>
              <w:t xml:space="preserve">14 native bird </w:t>
            </w:r>
            <w:r w:rsidRPr="001244BB">
              <w:rPr>
                <w:rFonts w:eastAsia="Times New Roman" w:cstheme="minorHAnsi"/>
                <w:color w:val="000000"/>
                <w:sz w:val="20"/>
                <w:szCs w:val="20"/>
                <w:lang w:eastAsia="en-NZ"/>
              </w:rPr>
              <w:lastRenderedPageBreak/>
              <w:t>species</w:t>
            </w:r>
          </w:p>
        </w:tc>
        <w:tc>
          <w:tcPr>
            <w:tcW w:w="3544" w:type="dxa"/>
            <w:shd w:val="clear" w:color="auto" w:fill="auto"/>
            <w:hideMark/>
          </w:tcPr>
          <w:p w:rsidR="00F43FB2" w:rsidRPr="00030337" w:rsidRDefault="0045633E" w:rsidP="00100C89">
            <w:pPr>
              <w:spacing w:after="0" w:line="240" w:lineRule="auto"/>
              <w:rPr>
                <w:rFonts w:eastAsia="Times New Roman" w:cstheme="minorHAnsi"/>
                <w:b/>
                <w:sz w:val="20"/>
                <w:szCs w:val="20"/>
                <w:lang w:eastAsia="en-NZ"/>
              </w:rPr>
            </w:pPr>
            <w:r>
              <w:rPr>
                <w:rFonts w:eastAsia="Times New Roman" w:cstheme="minorHAnsi"/>
                <w:color w:val="000000"/>
                <w:sz w:val="20"/>
                <w:szCs w:val="20"/>
                <w:lang w:eastAsia="en-NZ"/>
              </w:rPr>
              <w:lastRenderedPageBreak/>
              <w:t xml:space="preserve">No trend. </w:t>
            </w:r>
            <w:r w:rsidR="00F43FB2" w:rsidRPr="00030337">
              <w:rPr>
                <w:rFonts w:eastAsia="Times New Roman" w:cstheme="minorHAnsi"/>
                <w:sz w:val="20"/>
                <w:szCs w:val="20"/>
                <w:lang w:eastAsia="en-NZ"/>
              </w:rPr>
              <w:t xml:space="preserve">This is the mean number of </w:t>
            </w:r>
            <w:r w:rsidR="00F43FB2" w:rsidRPr="00030337">
              <w:rPr>
                <w:rFonts w:eastAsia="Times New Roman" w:cstheme="minorHAnsi"/>
                <w:sz w:val="20"/>
                <w:szCs w:val="20"/>
                <w:lang w:eastAsia="en-NZ"/>
              </w:rPr>
              <w:lastRenderedPageBreak/>
              <w:t>birds observed per bird count station for each native forest bird species that has been recorded in Wellington</w:t>
            </w:r>
            <w:r w:rsidR="001A5194">
              <w:rPr>
                <w:rFonts w:eastAsia="Times New Roman" w:cstheme="minorHAnsi"/>
                <w:sz w:val="20"/>
                <w:szCs w:val="20"/>
                <w:lang w:eastAsia="en-NZ"/>
              </w:rPr>
              <w:t xml:space="preserve"> city</w:t>
            </w:r>
            <w:r w:rsidR="00100C89">
              <w:rPr>
                <w:rFonts w:eastAsia="Times New Roman" w:cstheme="minorHAnsi"/>
                <w:sz w:val="20"/>
                <w:szCs w:val="20"/>
                <w:lang w:eastAsia="en-NZ"/>
              </w:rPr>
              <w:t>. See supplementary tables</w:t>
            </w:r>
          </w:p>
        </w:tc>
      </w:tr>
      <w:tr w:rsidR="00F43FB2" w:rsidRPr="001244BB" w:rsidTr="00B337AE">
        <w:trPr>
          <w:trHeight w:val="959"/>
        </w:trPr>
        <w:tc>
          <w:tcPr>
            <w:tcW w:w="2826" w:type="dxa"/>
            <w:shd w:val="clear" w:color="auto" w:fill="auto"/>
            <w:hideMark/>
          </w:tcPr>
          <w:p w:rsidR="00F43FB2" w:rsidRPr="001244BB" w:rsidRDefault="00F43FB2" w:rsidP="00030337">
            <w:pPr>
              <w:spacing w:after="0" w:line="240" w:lineRule="auto"/>
              <w:rPr>
                <w:rFonts w:eastAsia="Times New Roman" w:cstheme="minorHAnsi"/>
                <w:sz w:val="20"/>
                <w:szCs w:val="20"/>
                <w:lang w:eastAsia="en-NZ"/>
              </w:rPr>
            </w:pPr>
            <w:r w:rsidRPr="001244BB">
              <w:rPr>
                <w:rFonts w:eastAsia="Times New Roman" w:cstheme="minorHAnsi"/>
                <w:sz w:val="20"/>
                <w:szCs w:val="20"/>
                <w:lang w:eastAsia="en-NZ"/>
              </w:rPr>
              <w:lastRenderedPageBreak/>
              <w:t>Freshwater biological health (macro invertebrates) – Makara, Karori, Kaiwharawhara, and Porirua streams, ideal &gt;100</w:t>
            </w:r>
          </w:p>
        </w:tc>
        <w:tc>
          <w:tcPr>
            <w:tcW w:w="1286" w:type="dxa"/>
            <w:shd w:val="clear" w:color="auto" w:fill="auto"/>
            <w:noWrap/>
            <w:hideMark/>
          </w:tcPr>
          <w:p w:rsidR="00F43FB2" w:rsidRPr="001244BB" w:rsidRDefault="00F43FB2" w:rsidP="00030337">
            <w:pPr>
              <w:spacing w:after="0" w:line="240" w:lineRule="auto"/>
              <w:rPr>
                <w:rFonts w:eastAsia="Times New Roman" w:cstheme="minorHAnsi"/>
                <w:color w:val="000000"/>
                <w:sz w:val="20"/>
                <w:szCs w:val="20"/>
                <w:lang w:eastAsia="en-NZ"/>
              </w:rPr>
            </w:pPr>
            <w:r w:rsidRPr="001244BB">
              <w:rPr>
                <w:rFonts w:eastAsia="Times New Roman" w:cstheme="minorHAnsi"/>
                <w:color w:val="000000"/>
                <w:sz w:val="20"/>
                <w:szCs w:val="20"/>
                <w:lang w:eastAsia="en-NZ"/>
              </w:rPr>
              <w:t>Improving</w:t>
            </w:r>
          </w:p>
        </w:tc>
        <w:tc>
          <w:tcPr>
            <w:tcW w:w="1275" w:type="dxa"/>
            <w:shd w:val="clear" w:color="auto" w:fill="auto"/>
            <w:noWrap/>
            <w:hideMark/>
          </w:tcPr>
          <w:p w:rsidR="00F43FB2" w:rsidRPr="001244BB" w:rsidRDefault="00F43FB2" w:rsidP="00030337">
            <w:pPr>
              <w:spacing w:after="0" w:line="240" w:lineRule="auto"/>
              <w:rPr>
                <w:rFonts w:eastAsia="Times New Roman" w:cstheme="minorHAnsi"/>
                <w:color w:val="000000"/>
                <w:sz w:val="20"/>
                <w:szCs w:val="20"/>
                <w:lang w:eastAsia="en-NZ"/>
              </w:rPr>
            </w:pPr>
            <w:r w:rsidRPr="001244BB">
              <w:rPr>
                <w:rFonts w:eastAsia="Times New Roman" w:cstheme="minorHAnsi"/>
                <w:color w:val="000000"/>
                <w:sz w:val="20"/>
                <w:szCs w:val="20"/>
                <w:lang w:eastAsia="en-NZ"/>
              </w:rPr>
              <w:t>Greater Wellington Regional Council</w:t>
            </w:r>
          </w:p>
        </w:tc>
        <w:tc>
          <w:tcPr>
            <w:tcW w:w="1888" w:type="dxa"/>
            <w:shd w:val="clear" w:color="auto" w:fill="auto"/>
            <w:hideMark/>
          </w:tcPr>
          <w:p w:rsidR="00F43FB2" w:rsidRPr="001244BB" w:rsidRDefault="00F43FB2" w:rsidP="00A204D6">
            <w:pPr>
              <w:spacing w:after="0" w:line="240" w:lineRule="auto"/>
              <w:jc w:val="right"/>
              <w:rPr>
                <w:rFonts w:eastAsia="Times New Roman" w:cstheme="minorHAnsi"/>
                <w:color w:val="000000"/>
                <w:sz w:val="20"/>
                <w:szCs w:val="20"/>
                <w:lang w:eastAsia="en-NZ"/>
              </w:rPr>
            </w:pPr>
            <w:r w:rsidRPr="001244BB">
              <w:rPr>
                <w:rFonts w:eastAsia="Times New Roman" w:cstheme="minorHAnsi"/>
                <w:color w:val="000000"/>
                <w:sz w:val="20"/>
                <w:szCs w:val="20"/>
                <w:lang w:eastAsia="en-NZ"/>
              </w:rPr>
              <w:t xml:space="preserve">2016 - </w:t>
            </w:r>
            <w:r w:rsidR="00A204D6">
              <w:rPr>
                <w:rFonts w:eastAsia="Times New Roman" w:cstheme="minorHAnsi"/>
                <w:color w:val="000000"/>
                <w:sz w:val="20"/>
                <w:szCs w:val="20"/>
                <w:lang w:eastAsia="en-NZ"/>
              </w:rPr>
              <w:t>a</w:t>
            </w:r>
            <w:r w:rsidR="00A204D6" w:rsidRPr="001244BB">
              <w:rPr>
                <w:rFonts w:eastAsia="Times New Roman" w:cstheme="minorHAnsi"/>
                <w:color w:val="000000"/>
                <w:sz w:val="20"/>
                <w:szCs w:val="20"/>
                <w:lang w:eastAsia="en-NZ"/>
              </w:rPr>
              <w:t xml:space="preserve">verage </w:t>
            </w:r>
            <w:r w:rsidRPr="001244BB">
              <w:rPr>
                <w:rFonts w:eastAsia="Times New Roman" w:cstheme="minorHAnsi"/>
                <w:color w:val="000000"/>
                <w:sz w:val="20"/>
                <w:szCs w:val="20"/>
                <w:lang w:eastAsia="en-NZ"/>
              </w:rPr>
              <w:t>of 4 streams 84.3MCI</w:t>
            </w:r>
          </w:p>
        </w:tc>
        <w:tc>
          <w:tcPr>
            <w:tcW w:w="2029" w:type="dxa"/>
            <w:shd w:val="clear" w:color="auto" w:fill="auto"/>
            <w:hideMark/>
          </w:tcPr>
          <w:p w:rsidR="00F43FB2" w:rsidRPr="001244BB" w:rsidRDefault="00F43FB2" w:rsidP="00A204D6">
            <w:pPr>
              <w:spacing w:after="0" w:line="240" w:lineRule="auto"/>
              <w:jc w:val="right"/>
              <w:rPr>
                <w:rFonts w:eastAsia="Times New Roman" w:cstheme="minorHAnsi"/>
                <w:color w:val="000000"/>
                <w:sz w:val="20"/>
                <w:szCs w:val="20"/>
                <w:lang w:eastAsia="en-NZ"/>
              </w:rPr>
            </w:pPr>
            <w:r w:rsidRPr="001244BB">
              <w:rPr>
                <w:rFonts w:eastAsia="Times New Roman" w:cstheme="minorHAnsi"/>
                <w:color w:val="000000"/>
                <w:sz w:val="20"/>
                <w:szCs w:val="20"/>
                <w:lang w:eastAsia="en-NZ"/>
              </w:rPr>
              <w:t xml:space="preserve">2017 - </w:t>
            </w:r>
            <w:r w:rsidR="00A204D6">
              <w:rPr>
                <w:rFonts w:eastAsia="Times New Roman" w:cstheme="minorHAnsi"/>
                <w:color w:val="000000"/>
                <w:sz w:val="20"/>
                <w:szCs w:val="20"/>
                <w:lang w:eastAsia="en-NZ"/>
              </w:rPr>
              <w:t>a</w:t>
            </w:r>
            <w:r w:rsidR="00A204D6" w:rsidRPr="001244BB">
              <w:rPr>
                <w:rFonts w:eastAsia="Times New Roman" w:cstheme="minorHAnsi"/>
                <w:color w:val="000000"/>
                <w:sz w:val="20"/>
                <w:szCs w:val="20"/>
                <w:lang w:eastAsia="en-NZ"/>
              </w:rPr>
              <w:t xml:space="preserve">verage </w:t>
            </w:r>
            <w:r w:rsidRPr="001244BB">
              <w:rPr>
                <w:rFonts w:eastAsia="Times New Roman" w:cstheme="minorHAnsi"/>
                <w:color w:val="000000"/>
                <w:sz w:val="20"/>
                <w:szCs w:val="20"/>
                <w:lang w:eastAsia="en-NZ"/>
              </w:rPr>
              <w:t>of 3 streams 96.6MCI</w:t>
            </w:r>
          </w:p>
        </w:tc>
        <w:tc>
          <w:tcPr>
            <w:tcW w:w="1895" w:type="dxa"/>
            <w:shd w:val="clear" w:color="auto" w:fill="auto"/>
            <w:noWrap/>
            <w:hideMark/>
          </w:tcPr>
          <w:p w:rsidR="00F43FB2" w:rsidRPr="001244BB" w:rsidRDefault="00F43FB2" w:rsidP="00A204D6">
            <w:pPr>
              <w:spacing w:after="0" w:line="240" w:lineRule="auto"/>
              <w:jc w:val="right"/>
              <w:rPr>
                <w:rFonts w:eastAsia="Times New Roman" w:cstheme="minorHAnsi"/>
                <w:color w:val="000000"/>
                <w:sz w:val="20"/>
                <w:szCs w:val="20"/>
                <w:lang w:eastAsia="en-NZ"/>
              </w:rPr>
            </w:pPr>
            <w:r w:rsidRPr="001244BB">
              <w:rPr>
                <w:rFonts w:eastAsia="Times New Roman" w:cstheme="minorHAnsi"/>
                <w:color w:val="000000"/>
                <w:sz w:val="20"/>
                <w:szCs w:val="20"/>
                <w:lang w:eastAsia="en-NZ"/>
              </w:rPr>
              <w:t xml:space="preserve">2018 - </w:t>
            </w:r>
            <w:r w:rsidR="00A204D6">
              <w:rPr>
                <w:rFonts w:eastAsia="Times New Roman" w:cstheme="minorHAnsi"/>
                <w:color w:val="000000"/>
                <w:sz w:val="20"/>
                <w:szCs w:val="20"/>
                <w:lang w:eastAsia="en-NZ"/>
              </w:rPr>
              <w:t>a</w:t>
            </w:r>
            <w:r w:rsidR="00A204D6" w:rsidRPr="001244BB">
              <w:rPr>
                <w:rFonts w:eastAsia="Times New Roman" w:cstheme="minorHAnsi"/>
                <w:color w:val="000000"/>
                <w:sz w:val="20"/>
                <w:szCs w:val="20"/>
                <w:lang w:eastAsia="en-NZ"/>
              </w:rPr>
              <w:t xml:space="preserve">verage </w:t>
            </w:r>
            <w:r w:rsidRPr="001244BB">
              <w:rPr>
                <w:rFonts w:eastAsia="Times New Roman" w:cstheme="minorHAnsi"/>
                <w:color w:val="000000"/>
                <w:sz w:val="20"/>
                <w:szCs w:val="20"/>
                <w:lang w:eastAsia="en-NZ"/>
              </w:rPr>
              <w:t>of 4 streams 94.5 MCI</w:t>
            </w:r>
            <w:r w:rsidRPr="001244BB">
              <w:rPr>
                <w:rFonts w:eastAsia="Times New Roman" w:cstheme="minorHAnsi"/>
                <w:color w:val="000000"/>
                <w:sz w:val="20"/>
                <w:szCs w:val="20"/>
                <w:lang w:eastAsia="en-NZ"/>
              </w:rPr>
              <w:br/>
            </w:r>
          </w:p>
        </w:tc>
        <w:tc>
          <w:tcPr>
            <w:tcW w:w="3544" w:type="dxa"/>
            <w:shd w:val="clear" w:color="auto" w:fill="auto"/>
            <w:hideMark/>
          </w:tcPr>
          <w:p w:rsidR="00F43FB2" w:rsidRPr="00030337" w:rsidRDefault="0045633E" w:rsidP="00A204D6">
            <w:pPr>
              <w:spacing w:after="0" w:line="240" w:lineRule="auto"/>
              <w:rPr>
                <w:rFonts w:eastAsia="Times New Roman" w:cstheme="minorHAnsi"/>
                <w:sz w:val="20"/>
                <w:szCs w:val="20"/>
                <w:lang w:eastAsia="en-NZ"/>
              </w:rPr>
            </w:pPr>
            <w:r>
              <w:rPr>
                <w:rFonts w:eastAsia="Times New Roman" w:cstheme="minorHAnsi"/>
                <w:color w:val="000000"/>
                <w:sz w:val="20"/>
                <w:szCs w:val="20"/>
                <w:lang w:eastAsia="en-NZ"/>
              </w:rPr>
              <w:t xml:space="preserve">No trend. </w:t>
            </w:r>
            <w:r w:rsidR="00F43FB2" w:rsidRPr="00030337">
              <w:rPr>
                <w:rFonts w:eastAsia="Times New Roman" w:cstheme="minorHAnsi"/>
                <w:sz w:val="20"/>
                <w:szCs w:val="20"/>
                <w:lang w:eastAsia="en-NZ"/>
              </w:rPr>
              <w:t xml:space="preserve">2018 - </w:t>
            </w:r>
            <w:r w:rsidR="00A204D6">
              <w:rPr>
                <w:rFonts w:eastAsia="Times New Roman" w:cstheme="minorHAnsi"/>
                <w:sz w:val="20"/>
                <w:szCs w:val="20"/>
                <w:lang w:eastAsia="en-NZ"/>
              </w:rPr>
              <w:t>t</w:t>
            </w:r>
            <w:r w:rsidR="00A204D6" w:rsidRPr="00030337">
              <w:rPr>
                <w:rFonts w:eastAsia="Times New Roman" w:cstheme="minorHAnsi"/>
                <w:sz w:val="20"/>
                <w:szCs w:val="20"/>
                <w:lang w:eastAsia="en-NZ"/>
              </w:rPr>
              <w:t xml:space="preserve">hree </w:t>
            </w:r>
            <w:r w:rsidR="00F43FB2" w:rsidRPr="00030337">
              <w:rPr>
                <w:rFonts w:eastAsia="Times New Roman" w:cstheme="minorHAnsi"/>
                <w:sz w:val="20"/>
                <w:szCs w:val="20"/>
                <w:lang w:eastAsia="en-NZ"/>
              </w:rPr>
              <w:t>out of four of the stream</w:t>
            </w:r>
            <w:r w:rsidR="00A204D6">
              <w:rPr>
                <w:rFonts w:eastAsia="Times New Roman" w:cstheme="minorHAnsi"/>
                <w:sz w:val="20"/>
                <w:szCs w:val="20"/>
                <w:lang w:eastAsia="en-NZ"/>
              </w:rPr>
              <w:t>s</w:t>
            </w:r>
            <w:r w:rsidR="00F43FB2" w:rsidRPr="00030337">
              <w:rPr>
                <w:rFonts w:eastAsia="Times New Roman" w:cstheme="minorHAnsi"/>
                <w:sz w:val="20"/>
                <w:szCs w:val="20"/>
                <w:lang w:eastAsia="en-NZ"/>
              </w:rPr>
              <w:t xml:space="preserve"> monitored went down from previously reported results. Refer to supplementary tables for more information.</w:t>
            </w:r>
          </w:p>
        </w:tc>
      </w:tr>
      <w:tr w:rsidR="00F43FB2" w:rsidRPr="001244BB" w:rsidTr="00B337AE">
        <w:trPr>
          <w:trHeight w:val="510"/>
        </w:trPr>
        <w:tc>
          <w:tcPr>
            <w:tcW w:w="2826" w:type="dxa"/>
            <w:shd w:val="clear" w:color="auto" w:fill="auto"/>
            <w:hideMark/>
          </w:tcPr>
          <w:p w:rsidR="00F43FB2" w:rsidRPr="001244BB" w:rsidRDefault="00F43FB2" w:rsidP="00030337">
            <w:pPr>
              <w:spacing w:after="0" w:line="240" w:lineRule="auto"/>
              <w:rPr>
                <w:rFonts w:eastAsia="Times New Roman" w:cstheme="minorHAnsi"/>
                <w:sz w:val="20"/>
                <w:szCs w:val="20"/>
                <w:lang w:eastAsia="en-NZ"/>
              </w:rPr>
            </w:pPr>
            <w:r w:rsidRPr="001244BB">
              <w:rPr>
                <w:rFonts w:eastAsia="Times New Roman" w:cstheme="minorHAnsi"/>
                <w:sz w:val="20"/>
                <w:szCs w:val="20"/>
                <w:lang w:eastAsia="en-NZ"/>
              </w:rPr>
              <w:t>Freshwater quality – Makara, Karori, Kaiwharawhara, Owhiro and Porirua streams</w:t>
            </w:r>
          </w:p>
        </w:tc>
        <w:tc>
          <w:tcPr>
            <w:tcW w:w="1286" w:type="dxa"/>
            <w:shd w:val="clear" w:color="auto" w:fill="auto"/>
            <w:noWrap/>
            <w:hideMark/>
          </w:tcPr>
          <w:p w:rsidR="00F43FB2" w:rsidRPr="001244BB" w:rsidRDefault="00F43FB2" w:rsidP="00030337">
            <w:pPr>
              <w:spacing w:after="0" w:line="240" w:lineRule="auto"/>
              <w:rPr>
                <w:rFonts w:eastAsia="Times New Roman" w:cstheme="minorHAnsi"/>
                <w:color w:val="000000"/>
                <w:sz w:val="20"/>
                <w:szCs w:val="20"/>
                <w:lang w:eastAsia="en-NZ"/>
              </w:rPr>
            </w:pPr>
            <w:r w:rsidRPr="001244BB">
              <w:rPr>
                <w:rFonts w:eastAsia="Times New Roman" w:cstheme="minorHAnsi"/>
                <w:color w:val="000000"/>
                <w:sz w:val="20"/>
                <w:szCs w:val="20"/>
                <w:lang w:eastAsia="en-NZ"/>
              </w:rPr>
              <w:t>Improving</w:t>
            </w:r>
          </w:p>
        </w:tc>
        <w:tc>
          <w:tcPr>
            <w:tcW w:w="1275" w:type="dxa"/>
            <w:shd w:val="clear" w:color="auto" w:fill="auto"/>
            <w:noWrap/>
            <w:hideMark/>
          </w:tcPr>
          <w:p w:rsidR="00F43FB2" w:rsidRPr="001244BB" w:rsidRDefault="00F43FB2" w:rsidP="00030337">
            <w:pPr>
              <w:spacing w:after="0" w:line="240" w:lineRule="auto"/>
              <w:rPr>
                <w:rFonts w:eastAsia="Times New Roman" w:cstheme="minorHAnsi"/>
                <w:color w:val="000000"/>
                <w:sz w:val="20"/>
                <w:szCs w:val="20"/>
                <w:lang w:eastAsia="en-NZ"/>
              </w:rPr>
            </w:pPr>
            <w:r w:rsidRPr="001244BB">
              <w:rPr>
                <w:rFonts w:eastAsia="Times New Roman" w:cstheme="minorHAnsi"/>
                <w:color w:val="000000"/>
                <w:sz w:val="20"/>
                <w:szCs w:val="20"/>
                <w:lang w:eastAsia="en-NZ"/>
              </w:rPr>
              <w:t>Greater Wellington Regional Council</w:t>
            </w:r>
          </w:p>
        </w:tc>
        <w:tc>
          <w:tcPr>
            <w:tcW w:w="1888" w:type="dxa"/>
            <w:shd w:val="clear" w:color="auto" w:fill="auto"/>
            <w:noWrap/>
            <w:hideMark/>
          </w:tcPr>
          <w:p w:rsidR="00F43FB2" w:rsidRPr="001244BB" w:rsidRDefault="00F43FB2" w:rsidP="00030337">
            <w:pPr>
              <w:spacing w:after="0" w:line="240" w:lineRule="auto"/>
              <w:jc w:val="right"/>
              <w:rPr>
                <w:rFonts w:eastAsia="Times New Roman" w:cstheme="minorHAnsi"/>
                <w:color w:val="000000"/>
                <w:sz w:val="20"/>
                <w:szCs w:val="20"/>
                <w:lang w:eastAsia="en-NZ"/>
              </w:rPr>
            </w:pPr>
            <w:r w:rsidRPr="001244BB">
              <w:rPr>
                <w:rFonts w:eastAsia="Times New Roman" w:cstheme="minorHAnsi"/>
                <w:color w:val="000000"/>
                <w:sz w:val="20"/>
                <w:szCs w:val="20"/>
                <w:lang w:eastAsia="en-NZ"/>
              </w:rPr>
              <w:t>2016 - Fair</w:t>
            </w:r>
          </w:p>
        </w:tc>
        <w:tc>
          <w:tcPr>
            <w:tcW w:w="2029" w:type="dxa"/>
            <w:shd w:val="clear" w:color="auto" w:fill="auto"/>
            <w:noWrap/>
            <w:hideMark/>
          </w:tcPr>
          <w:p w:rsidR="00F43FB2" w:rsidRPr="001244BB" w:rsidRDefault="00F43FB2" w:rsidP="00030337">
            <w:pPr>
              <w:spacing w:after="0" w:line="240" w:lineRule="auto"/>
              <w:jc w:val="right"/>
              <w:rPr>
                <w:rFonts w:eastAsia="Times New Roman" w:cstheme="minorHAnsi"/>
                <w:color w:val="000000"/>
                <w:sz w:val="20"/>
                <w:szCs w:val="20"/>
                <w:lang w:eastAsia="en-NZ"/>
              </w:rPr>
            </w:pPr>
            <w:r w:rsidRPr="001244BB">
              <w:rPr>
                <w:rFonts w:eastAsia="Times New Roman" w:cstheme="minorHAnsi"/>
                <w:color w:val="000000"/>
                <w:sz w:val="20"/>
                <w:szCs w:val="20"/>
                <w:lang w:eastAsia="en-NZ"/>
              </w:rPr>
              <w:t>2017 - Fair</w:t>
            </w:r>
          </w:p>
        </w:tc>
        <w:tc>
          <w:tcPr>
            <w:tcW w:w="1895" w:type="dxa"/>
            <w:shd w:val="clear" w:color="auto" w:fill="auto"/>
            <w:noWrap/>
            <w:hideMark/>
          </w:tcPr>
          <w:p w:rsidR="00F43FB2" w:rsidRPr="001244BB" w:rsidRDefault="00F43FB2" w:rsidP="00030337">
            <w:pPr>
              <w:spacing w:after="0" w:line="240" w:lineRule="auto"/>
              <w:jc w:val="right"/>
              <w:rPr>
                <w:rFonts w:eastAsia="Times New Roman" w:cstheme="minorHAnsi"/>
                <w:color w:val="000000"/>
                <w:sz w:val="20"/>
                <w:szCs w:val="20"/>
                <w:lang w:eastAsia="en-NZ"/>
              </w:rPr>
            </w:pPr>
            <w:r w:rsidRPr="001244BB">
              <w:rPr>
                <w:rFonts w:eastAsia="Times New Roman" w:cstheme="minorHAnsi"/>
                <w:color w:val="000000"/>
                <w:sz w:val="20"/>
                <w:szCs w:val="20"/>
                <w:lang w:eastAsia="en-NZ"/>
              </w:rPr>
              <w:t>2018 - Fair</w:t>
            </w:r>
          </w:p>
        </w:tc>
        <w:tc>
          <w:tcPr>
            <w:tcW w:w="3544" w:type="dxa"/>
            <w:shd w:val="clear" w:color="auto" w:fill="auto"/>
            <w:hideMark/>
          </w:tcPr>
          <w:p w:rsidR="00F43FB2" w:rsidRPr="00030337" w:rsidRDefault="00100C89" w:rsidP="00100C89">
            <w:pPr>
              <w:spacing w:after="0" w:line="240" w:lineRule="auto"/>
              <w:rPr>
                <w:rFonts w:eastAsia="Times New Roman" w:cstheme="minorHAnsi"/>
                <w:sz w:val="20"/>
                <w:szCs w:val="20"/>
                <w:lang w:eastAsia="en-NZ"/>
              </w:rPr>
            </w:pPr>
            <w:r>
              <w:rPr>
                <w:rFonts w:eastAsia="Times New Roman" w:cstheme="minorHAnsi"/>
                <w:color w:val="000000"/>
                <w:sz w:val="20"/>
                <w:szCs w:val="20"/>
                <w:lang w:eastAsia="en-NZ"/>
              </w:rPr>
              <w:t xml:space="preserve">No trend. </w:t>
            </w:r>
            <w:r>
              <w:rPr>
                <w:rFonts w:eastAsia="Times New Roman" w:cstheme="minorHAnsi"/>
                <w:sz w:val="20"/>
                <w:szCs w:val="20"/>
                <w:lang w:eastAsia="en-NZ"/>
              </w:rPr>
              <w:t>See supplementary tables</w:t>
            </w:r>
          </w:p>
        </w:tc>
      </w:tr>
      <w:tr w:rsidR="00F43FB2" w:rsidRPr="001244BB" w:rsidTr="00B337AE">
        <w:trPr>
          <w:trHeight w:val="949"/>
        </w:trPr>
        <w:tc>
          <w:tcPr>
            <w:tcW w:w="2826" w:type="dxa"/>
            <w:shd w:val="clear" w:color="auto" w:fill="auto"/>
            <w:hideMark/>
          </w:tcPr>
          <w:p w:rsidR="00F43FB2" w:rsidRPr="001244BB" w:rsidRDefault="00F43FB2" w:rsidP="00030337">
            <w:pPr>
              <w:spacing w:after="0" w:line="240" w:lineRule="auto"/>
              <w:rPr>
                <w:rFonts w:eastAsia="Times New Roman" w:cstheme="minorHAnsi"/>
                <w:sz w:val="20"/>
                <w:szCs w:val="20"/>
                <w:lang w:eastAsia="en-NZ"/>
              </w:rPr>
            </w:pPr>
            <w:r w:rsidRPr="001244BB">
              <w:rPr>
                <w:rFonts w:eastAsia="Times New Roman" w:cstheme="minorHAnsi"/>
                <w:sz w:val="20"/>
                <w:szCs w:val="20"/>
                <w:lang w:eastAsia="en-NZ"/>
              </w:rPr>
              <w:t>Waterway health – proportion of waterway monitoring reporting “good” or better</w:t>
            </w:r>
          </w:p>
        </w:tc>
        <w:tc>
          <w:tcPr>
            <w:tcW w:w="1286" w:type="dxa"/>
            <w:shd w:val="clear" w:color="auto" w:fill="auto"/>
            <w:noWrap/>
            <w:hideMark/>
          </w:tcPr>
          <w:p w:rsidR="00F43FB2" w:rsidRPr="001244BB" w:rsidRDefault="00F43FB2" w:rsidP="00030337">
            <w:pPr>
              <w:spacing w:after="0" w:line="240" w:lineRule="auto"/>
              <w:rPr>
                <w:rFonts w:eastAsia="Times New Roman" w:cstheme="minorHAnsi"/>
                <w:color w:val="000000"/>
                <w:sz w:val="20"/>
                <w:szCs w:val="20"/>
                <w:lang w:eastAsia="en-NZ"/>
              </w:rPr>
            </w:pPr>
            <w:r w:rsidRPr="001244BB">
              <w:rPr>
                <w:rFonts w:eastAsia="Times New Roman" w:cstheme="minorHAnsi"/>
                <w:color w:val="000000"/>
                <w:sz w:val="20"/>
                <w:szCs w:val="20"/>
                <w:lang w:eastAsia="en-NZ"/>
              </w:rPr>
              <w:t>Improving</w:t>
            </w:r>
          </w:p>
        </w:tc>
        <w:tc>
          <w:tcPr>
            <w:tcW w:w="1275" w:type="dxa"/>
            <w:shd w:val="clear" w:color="auto" w:fill="auto"/>
            <w:noWrap/>
            <w:hideMark/>
          </w:tcPr>
          <w:p w:rsidR="00F43FB2" w:rsidRPr="001244BB" w:rsidRDefault="00F43FB2" w:rsidP="00030337">
            <w:pPr>
              <w:spacing w:after="0" w:line="240" w:lineRule="auto"/>
              <w:rPr>
                <w:rFonts w:eastAsia="Times New Roman" w:cstheme="minorHAnsi"/>
                <w:color w:val="000000"/>
                <w:sz w:val="20"/>
                <w:szCs w:val="20"/>
                <w:lang w:eastAsia="en-NZ"/>
              </w:rPr>
            </w:pPr>
            <w:r w:rsidRPr="001244BB">
              <w:rPr>
                <w:rFonts w:eastAsia="Times New Roman" w:cstheme="minorHAnsi"/>
                <w:color w:val="000000"/>
                <w:sz w:val="20"/>
                <w:szCs w:val="20"/>
                <w:lang w:eastAsia="en-NZ"/>
              </w:rPr>
              <w:t>Greater Wellington Regional Council</w:t>
            </w:r>
          </w:p>
        </w:tc>
        <w:tc>
          <w:tcPr>
            <w:tcW w:w="1888" w:type="dxa"/>
            <w:shd w:val="clear" w:color="auto" w:fill="auto"/>
            <w:noWrap/>
            <w:hideMark/>
          </w:tcPr>
          <w:p w:rsidR="00F43FB2" w:rsidRPr="001244BB" w:rsidRDefault="00F43FB2" w:rsidP="00030337">
            <w:pPr>
              <w:spacing w:after="0" w:line="240" w:lineRule="auto"/>
              <w:jc w:val="right"/>
              <w:rPr>
                <w:rFonts w:eastAsia="Times New Roman" w:cstheme="minorHAnsi"/>
                <w:color w:val="000000"/>
                <w:sz w:val="20"/>
                <w:szCs w:val="20"/>
                <w:lang w:eastAsia="en-NZ"/>
              </w:rPr>
            </w:pPr>
            <w:r w:rsidRPr="001244BB">
              <w:rPr>
                <w:rFonts w:eastAsia="Times New Roman" w:cstheme="minorHAnsi"/>
                <w:color w:val="000000"/>
                <w:sz w:val="20"/>
                <w:szCs w:val="20"/>
                <w:lang w:eastAsia="en-NZ"/>
              </w:rPr>
              <w:t xml:space="preserve">2016 - All four streams monitored recorded a rating of fair </w:t>
            </w:r>
          </w:p>
        </w:tc>
        <w:tc>
          <w:tcPr>
            <w:tcW w:w="2029" w:type="dxa"/>
            <w:shd w:val="clear" w:color="auto" w:fill="auto"/>
            <w:hideMark/>
          </w:tcPr>
          <w:p w:rsidR="00F43FB2" w:rsidRPr="001244BB" w:rsidRDefault="00F43FB2" w:rsidP="00030337">
            <w:pPr>
              <w:spacing w:after="0" w:line="240" w:lineRule="auto"/>
              <w:jc w:val="right"/>
              <w:rPr>
                <w:rFonts w:eastAsia="Times New Roman" w:cstheme="minorHAnsi"/>
                <w:color w:val="000000"/>
                <w:sz w:val="20"/>
                <w:szCs w:val="20"/>
                <w:lang w:eastAsia="en-NZ"/>
              </w:rPr>
            </w:pPr>
            <w:r w:rsidRPr="001244BB">
              <w:rPr>
                <w:rFonts w:eastAsia="Times New Roman" w:cstheme="minorHAnsi"/>
                <w:color w:val="000000"/>
                <w:sz w:val="20"/>
                <w:szCs w:val="20"/>
                <w:lang w:eastAsia="en-NZ"/>
              </w:rPr>
              <w:t>2017 – all three streams monitored recorded a rating of fair</w:t>
            </w:r>
          </w:p>
        </w:tc>
        <w:tc>
          <w:tcPr>
            <w:tcW w:w="1895" w:type="dxa"/>
            <w:shd w:val="clear" w:color="auto" w:fill="auto"/>
            <w:noWrap/>
            <w:hideMark/>
          </w:tcPr>
          <w:p w:rsidR="00F43FB2" w:rsidRPr="001244BB" w:rsidRDefault="00F43FB2" w:rsidP="00030337">
            <w:pPr>
              <w:spacing w:after="0" w:line="240" w:lineRule="auto"/>
              <w:jc w:val="right"/>
              <w:rPr>
                <w:rFonts w:eastAsia="Times New Roman" w:cstheme="minorHAnsi"/>
                <w:color w:val="000000"/>
                <w:sz w:val="20"/>
                <w:szCs w:val="20"/>
                <w:lang w:eastAsia="en-NZ"/>
              </w:rPr>
            </w:pPr>
            <w:r w:rsidRPr="001244BB">
              <w:rPr>
                <w:rFonts w:eastAsia="Times New Roman" w:cstheme="minorHAnsi"/>
                <w:color w:val="000000"/>
                <w:sz w:val="20"/>
                <w:szCs w:val="20"/>
                <w:lang w:eastAsia="en-NZ"/>
              </w:rPr>
              <w:t>2018 - All four streams monitored recorded a rating of fair</w:t>
            </w:r>
          </w:p>
        </w:tc>
        <w:tc>
          <w:tcPr>
            <w:tcW w:w="3544" w:type="dxa"/>
            <w:shd w:val="clear" w:color="auto" w:fill="auto"/>
            <w:hideMark/>
          </w:tcPr>
          <w:p w:rsidR="00F43FB2" w:rsidRPr="00030337" w:rsidRDefault="00100C89" w:rsidP="00100C89">
            <w:pPr>
              <w:spacing w:after="0" w:line="240" w:lineRule="auto"/>
              <w:rPr>
                <w:rFonts w:eastAsia="Times New Roman" w:cstheme="minorHAnsi"/>
                <w:sz w:val="20"/>
                <w:szCs w:val="20"/>
                <w:lang w:eastAsia="en-NZ"/>
              </w:rPr>
            </w:pPr>
            <w:r>
              <w:rPr>
                <w:rFonts w:eastAsia="Times New Roman" w:cstheme="minorHAnsi"/>
                <w:color w:val="000000"/>
                <w:sz w:val="20"/>
                <w:szCs w:val="20"/>
                <w:lang w:eastAsia="en-NZ"/>
              </w:rPr>
              <w:t xml:space="preserve">No trend. </w:t>
            </w:r>
            <w:r w:rsidR="00F43FB2" w:rsidRPr="00030337">
              <w:rPr>
                <w:rFonts w:eastAsia="Times New Roman" w:cstheme="minorHAnsi"/>
                <w:sz w:val="20"/>
                <w:szCs w:val="20"/>
                <w:lang w:eastAsia="en-NZ"/>
              </w:rPr>
              <w:t xml:space="preserve">To achieve good or better &gt;100 MCI quality score needed See supplementary tables </w:t>
            </w:r>
          </w:p>
        </w:tc>
      </w:tr>
      <w:tr w:rsidR="00F43FB2" w:rsidRPr="001244BB" w:rsidTr="00B337AE">
        <w:trPr>
          <w:trHeight w:val="320"/>
        </w:trPr>
        <w:tc>
          <w:tcPr>
            <w:tcW w:w="2826" w:type="dxa"/>
            <w:shd w:val="clear" w:color="auto" w:fill="auto"/>
            <w:hideMark/>
          </w:tcPr>
          <w:p w:rsidR="00F43FB2" w:rsidRPr="001244BB" w:rsidRDefault="00F43FB2" w:rsidP="00030337">
            <w:pPr>
              <w:spacing w:after="0" w:line="240" w:lineRule="auto"/>
              <w:rPr>
                <w:rFonts w:eastAsia="Times New Roman" w:cstheme="minorHAnsi"/>
                <w:sz w:val="20"/>
                <w:szCs w:val="20"/>
                <w:lang w:eastAsia="en-NZ"/>
              </w:rPr>
            </w:pPr>
            <w:r w:rsidRPr="001244BB">
              <w:rPr>
                <w:rFonts w:eastAsia="Times New Roman" w:cstheme="minorHAnsi"/>
                <w:sz w:val="20"/>
                <w:szCs w:val="20"/>
                <w:lang w:eastAsia="en-NZ"/>
              </w:rPr>
              <w:t>% of city declared predator/pest-free (low density), by species</w:t>
            </w:r>
          </w:p>
        </w:tc>
        <w:tc>
          <w:tcPr>
            <w:tcW w:w="1286" w:type="dxa"/>
            <w:shd w:val="clear" w:color="auto" w:fill="auto"/>
            <w:noWrap/>
            <w:hideMark/>
          </w:tcPr>
          <w:p w:rsidR="00F43FB2" w:rsidRPr="001244BB" w:rsidRDefault="00F43FB2" w:rsidP="00030337">
            <w:pPr>
              <w:spacing w:after="0" w:line="240" w:lineRule="auto"/>
              <w:rPr>
                <w:rFonts w:eastAsia="Times New Roman" w:cstheme="minorHAnsi"/>
                <w:color w:val="000000"/>
                <w:sz w:val="20"/>
                <w:szCs w:val="20"/>
                <w:lang w:eastAsia="en-NZ"/>
              </w:rPr>
            </w:pPr>
            <w:r w:rsidRPr="001244BB">
              <w:rPr>
                <w:rFonts w:eastAsia="Times New Roman" w:cstheme="minorHAnsi"/>
                <w:color w:val="000000"/>
                <w:sz w:val="20"/>
                <w:szCs w:val="20"/>
                <w:lang w:eastAsia="en-NZ"/>
              </w:rPr>
              <w:t>Increasing</w:t>
            </w:r>
          </w:p>
        </w:tc>
        <w:tc>
          <w:tcPr>
            <w:tcW w:w="1275" w:type="dxa"/>
            <w:shd w:val="clear" w:color="auto" w:fill="auto"/>
            <w:noWrap/>
            <w:hideMark/>
          </w:tcPr>
          <w:p w:rsidR="00F43FB2" w:rsidRPr="001244BB" w:rsidRDefault="00F43FB2" w:rsidP="00030337">
            <w:pPr>
              <w:spacing w:after="0" w:line="240" w:lineRule="auto"/>
              <w:rPr>
                <w:rFonts w:eastAsia="Times New Roman" w:cstheme="minorHAnsi"/>
                <w:color w:val="000000"/>
                <w:sz w:val="20"/>
                <w:szCs w:val="20"/>
                <w:lang w:eastAsia="en-NZ"/>
              </w:rPr>
            </w:pPr>
            <w:r w:rsidRPr="001244BB">
              <w:rPr>
                <w:rFonts w:eastAsia="Times New Roman" w:cstheme="minorHAnsi"/>
                <w:color w:val="000000"/>
                <w:sz w:val="20"/>
                <w:szCs w:val="20"/>
                <w:lang w:eastAsia="en-NZ"/>
              </w:rPr>
              <w:t>WCC Parks, Sport and Recreation</w:t>
            </w:r>
          </w:p>
        </w:tc>
        <w:tc>
          <w:tcPr>
            <w:tcW w:w="1888" w:type="dxa"/>
            <w:shd w:val="clear" w:color="auto" w:fill="auto"/>
            <w:noWrap/>
            <w:hideMark/>
          </w:tcPr>
          <w:p w:rsidR="00F43FB2" w:rsidRPr="001244BB" w:rsidRDefault="00F43FB2" w:rsidP="00030337">
            <w:pPr>
              <w:spacing w:after="0" w:line="240" w:lineRule="auto"/>
              <w:jc w:val="right"/>
              <w:rPr>
                <w:rFonts w:eastAsia="Times New Roman" w:cstheme="minorHAnsi"/>
                <w:color w:val="000000"/>
                <w:sz w:val="20"/>
                <w:szCs w:val="20"/>
                <w:lang w:eastAsia="en-NZ"/>
              </w:rPr>
            </w:pPr>
          </w:p>
        </w:tc>
        <w:tc>
          <w:tcPr>
            <w:tcW w:w="2029" w:type="dxa"/>
            <w:shd w:val="clear" w:color="auto" w:fill="auto"/>
            <w:noWrap/>
            <w:hideMark/>
          </w:tcPr>
          <w:p w:rsidR="00F43FB2" w:rsidRPr="001244BB" w:rsidRDefault="00F43FB2" w:rsidP="00030337">
            <w:pPr>
              <w:spacing w:after="0" w:line="240" w:lineRule="auto"/>
              <w:jc w:val="right"/>
              <w:rPr>
                <w:rFonts w:eastAsia="Times New Roman" w:cstheme="minorHAnsi"/>
                <w:color w:val="000000"/>
                <w:sz w:val="20"/>
                <w:szCs w:val="20"/>
                <w:lang w:eastAsia="en-NZ"/>
              </w:rPr>
            </w:pPr>
            <w:r w:rsidRPr="001244BB">
              <w:rPr>
                <w:rFonts w:eastAsia="Times New Roman" w:cstheme="minorHAnsi"/>
                <w:color w:val="000000"/>
                <w:sz w:val="20"/>
                <w:szCs w:val="20"/>
                <w:lang w:eastAsia="en-NZ"/>
              </w:rPr>
              <w:t>New</w:t>
            </w:r>
          </w:p>
        </w:tc>
        <w:tc>
          <w:tcPr>
            <w:tcW w:w="1895" w:type="dxa"/>
            <w:shd w:val="clear" w:color="auto" w:fill="auto"/>
            <w:hideMark/>
          </w:tcPr>
          <w:p w:rsidR="00F43FB2" w:rsidRPr="001244BB" w:rsidRDefault="005F3580" w:rsidP="00030337">
            <w:pPr>
              <w:spacing w:after="0" w:line="240" w:lineRule="auto"/>
              <w:rPr>
                <w:rFonts w:eastAsia="Times New Roman" w:cstheme="minorHAnsi"/>
                <w:color w:val="000000"/>
                <w:sz w:val="20"/>
                <w:szCs w:val="20"/>
                <w:lang w:eastAsia="en-NZ"/>
              </w:rPr>
            </w:pPr>
            <w:r>
              <w:rPr>
                <w:rFonts w:eastAsia="Times New Roman" w:cstheme="minorHAnsi"/>
                <w:color w:val="000000"/>
                <w:sz w:val="20"/>
                <w:szCs w:val="20"/>
                <w:lang w:eastAsia="en-NZ"/>
              </w:rPr>
              <w:t>Establishing baseline</w:t>
            </w:r>
            <w:r w:rsidR="00F43FB2" w:rsidRPr="001244BB">
              <w:rPr>
                <w:rFonts w:eastAsia="Times New Roman" w:cstheme="minorHAnsi"/>
                <w:color w:val="000000"/>
                <w:sz w:val="20"/>
                <w:szCs w:val="20"/>
                <w:lang w:eastAsia="en-NZ"/>
              </w:rPr>
              <w:t>.</w:t>
            </w:r>
          </w:p>
        </w:tc>
        <w:tc>
          <w:tcPr>
            <w:tcW w:w="3544" w:type="dxa"/>
            <w:shd w:val="clear" w:color="auto" w:fill="auto"/>
            <w:hideMark/>
          </w:tcPr>
          <w:p w:rsidR="00F43FB2" w:rsidRPr="00030337" w:rsidRDefault="00100C89" w:rsidP="00030337">
            <w:pPr>
              <w:spacing w:after="0" w:line="240" w:lineRule="auto"/>
              <w:rPr>
                <w:rFonts w:eastAsia="Times New Roman" w:cstheme="minorHAnsi"/>
                <w:sz w:val="20"/>
                <w:szCs w:val="20"/>
                <w:lang w:eastAsia="en-NZ"/>
              </w:rPr>
            </w:pPr>
            <w:r>
              <w:rPr>
                <w:rFonts w:eastAsia="Times New Roman" w:cstheme="minorHAnsi"/>
                <w:color w:val="000000"/>
                <w:sz w:val="20"/>
                <w:szCs w:val="20"/>
                <w:lang w:eastAsia="en-NZ"/>
              </w:rPr>
              <w:t xml:space="preserve">No trend. </w:t>
            </w:r>
            <w:r w:rsidR="00F43FB2" w:rsidRPr="00030337">
              <w:rPr>
                <w:rFonts w:eastAsia="Times New Roman" w:cstheme="minorHAnsi"/>
                <w:sz w:val="20"/>
                <w:szCs w:val="20"/>
                <w:lang w:eastAsia="en-NZ"/>
              </w:rPr>
              <w:t>The eradication of rats and mustelids from Miramar (where possums were eradicated over a decade ago) began in the early part of 2019 and the full operation will be taking place in 2019-2020. This is the first eradication in a mainland urban environment and a huge step to our vision of a Predator Free Wellington. Our community continues to champion the control of pest animals</w:t>
            </w:r>
            <w:r w:rsidR="00A204D6">
              <w:rPr>
                <w:rFonts w:eastAsia="Times New Roman" w:cstheme="minorHAnsi"/>
                <w:sz w:val="20"/>
                <w:szCs w:val="20"/>
                <w:lang w:eastAsia="en-NZ"/>
              </w:rPr>
              <w:t>,</w:t>
            </w:r>
            <w:r w:rsidR="00F43FB2" w:rsidRPr="00030337">
              <w:rPr>
                <w:rFonts w:eastAsia="Times New Roman" w:cstheme="minorHAnsi"/>
                <w:sz w:val="20"/>
                <w:szCs w:val="20"/>
                <w:lang w:eastAsia="en-NZ"/>
              </w:rPr>
              <w:t xml:space="preserve"> with a network of volunteers maintaining 3500 traps installed through our reserve network and an extraordinary number of households trapping in their own backyard. </w:t>
            </w:r>
          </w:p>
        </w:tc>
      </w:tr>
      <w:tr w:rsidR="00F43FB2" w:rsidRPr="001244BB" w:rsidTr="00B337AE">
        <w:trPr>
          <w:trHeight w:val="278"/>
        </w:trPr>
        <w:tc>
          <w:tcPr>
            <w:tcW w:w="2826" w:type="dxa"/>
            <w:shd w:val="clear" w:color="auto" w:fill="auto"/>
            <w:hideMark/>
          </w:tcPr>
          <w:p w:rsidR="00F43FB2" w:rsidRPr="001244BB" w:rsidRDefault="00F43FB2" w:rsidP="00030337">
            <w:pPr>
              <w:spacing w:after="0" w:line="240" w:lineRule="auto"/>
              <w:rPr>
                <w:rFonts w:eastAsia="Times New Roman" w:cstheme="minorHAnsi"/>
                <w:sz w:val="20"/>
                <w:szCs w:val="20"/>
                <w:lang w:eastAsia="en-NZ"/>
              </w:rPr>
            </w:pPr>
            <w:r w:rsidRPr="001244BB">
              <w:rPr>
                <w:rFonts w:eastAsia="Times New Roman" w:cstheme="minorHAnsi"/>
                <w:sz w:val="20"/>
                <w:szCs w:val="20"/>
                <w:lang w:eastAsia="en-NZ"/>
              </w:rPr>
              <w:t>Renewable energy generation in the city</w:t>
            </w:r>
            <w:r w:rsidR="005F3580">
              <w:rPr>
                <w:rFonts w:eastAsia="Times New Roman" w:cstheme="minorHAnsi"/>
                <w:sz w:val="20"/>
                <w:szCs w:val="20"/>
                <w:lang w:eastAsia="en-NZ"/>
              </w:rPr>
              <w:t xml:space="preserve"> (MWh)</w:t>
            </w:r>
          </w:p>
        </w:tc>
        <w:tc>
          <w:tcPr>
            <w:tcW w:w="1286" w:type="dxa"/>
            <w:shd w:val="clear" w:color="auto" w:fill="auto"/>
            <w:noWrap/>
            <w:hideMark/>
          </w:tcPr>
          <w:p w:rsidR="00F43FB2" w:rsidRPr="001244BB" w:rsidRDefault="00F43FB2" w:rsidP="00030337">
            <w:pPr>
              <w:spacing w:after="0" w:line="240" w:lineRule="auto"/>
              <w:rPr>
                <w:rFonts w:eastAsia="Times New Roman" w:cstheme="minorHAnsi"/>
                <w:color w:val="000000"/>
                <w:sz w:val="20"/>
                <w:szCs w:val="20"/>
                <w:lang w:eastAsia="en-NZ"/>
              </w:rPr>
            </w:pPr>
            <w:r w:rsidRPr="001244BB">
              <w:rPr>
                <w:rFonts w:eastAsia="Times New Roman" w:cstheme="minorHAnsi"/>
                <w:color w:val="000000"/>
                <w:sz w:val="20"/>
                <w:szCs w:val="20"/>
                <w:lang w:eastAsia="en-NZ"/>
              </w:rPr>
              <w:t>Increasing</w:t>
            </w:r>
          </w:p>
        </w:tc>
        <w:tc>
          <w:tcPr>
            <w:tcW w:w="1275" w:type="dxa"/>
            <w:shd w:val="clear" w:color="auto" w:fill="auto"/>
            <w:noWrap/>
            <w:hideMark/>
          </w:tcPr>
          <w:p w:rsidR="00F43FB2" w:rsidRPr="001244BB" w:rsidRDefault="00F43FB2" w:rsidP="00030337">
            <w:pPr>
              <w:spacing w:after="0" w:line="240" w:lineRule="auto"/>
              <w:rPr>
                <w:rFonts w:eastAsia="Times New Roman" w:cstheme="minorHAnsi"/>
                <w:color w:val="000000"/>
                <w:sz w:val="20"/>
                <w:szCs w:val="20"/>
                <w:lang w:eastAsia="en-NZ"/>
              </w:rPr>
            </w:pPr>
            <w:r w:rsidRPr="001244BB">
              <w:rPr>
                <w:rFonts w:eastAsia="Times New Roman" w:cstheme="minorHAnsi"/>
                <w:color w:val="000000"/>
                <w:sz w:val="20"/>
                <w:szCs w:val="20"/>
                <w:lang w:eastAsia="en-NZ"/>
              </w:rPr>
              <w:t>WCC Property / EMI.E</w:t>
            </w:r>
          </w:p>
        </w:tc>
        <w:tc>
          <w:tcPr>
            <w:tcW w:w="1888" w:type="dxa"/>
            <w:shd w:val="clear" w:color="auto" w:fill="auto"/>
            <w:noWrap/>
            <w:hideMark/>
          </w:tcPr>
          <w:p w:rsidR="00F43FB2" w:rsidRPr="001244BB" w:rsidRDefault="00F43FB2" w:rsidP="00030337">
            <w:pPr>
              <w:spacing w:after="0" w:line="240" w:lineRule="auto"/>
              <w:jc w:val="right"/>
              <w:rPr>
                <w:rFonts w:eastAsia="Times New Roman" w:cstheme="minorHAnsi"/>
                <w:color w:val="000000"/>
                <w:sz w:val="20"/>
                <w:szCs w:val="20"/>
                <w:lang w:eastAsia="en-NZ"/>
              </w:rPr>
            </w:pPr>
          </w:p>
        </w:tc>
        <w:tc>
          <w:tcPr>
            <w:tcW w:w="2029" w:type="dxa"/>
            <w:shd w:val="clear" w:color="auto" w:fill="auto"/>
            <w:noWrap/>
            <w:hideMark/>
          </w:tcPr>
          <w:p w:rsidR="00F43FB2" w:rsidRPr="001244BB" w:rsidRDefault="00F43FB2" w:rsidP="00030337">
            <w:pPr>
              <w:spacing w:after="0" w:line="240" w:lineRule="auto"/>
              <w:jc w:val="right"/>
              <w:rPr>
                <w:rFonts w:eastAsia="Times New Roman" w:cstheme="minorHAnsi"/>
                <w:color w:val="000000"/>
                <w:sz w:val="20"/>
                <w:szCs w:val="20"/>
                <w:lang w:eastAsia="en-NZ"/>
              </w:rPr>
            </w:pPr>
            <w:r w:rsidRPr="001244BB">
              <w:rPr>
                <w:rFonts w:eastAsia="Times New Roman" w:cstheme="minorHAnsi"/>
                <w:color w:val="000000"/>
                <w:sz w:val="20"/>
                <w:szCs w:val="20"/>
                <w:lang w:eastAsia="en-NZ"/>
              </w:rPr>
              <w:t>New</w:t>
            </w:r>
          </w:p>
        </w:tc>
        <w:tc>
          <w:tcPr>
            <w:tcW w:w="1895" w:type="dxa"/>
            <w:shd w:val="clear" w:color="auto" w:fill="auto"/>
            <w:hideMark/>
          </w:tcPr>
          <w:p w:rsidR="00F43FB2" w:rsidRPr="001244BB" w:rsidRDefault="00F43FB2" w:rsidP="00030337">
            <w:pPr>
              <w:spacing w:after="0" w:line="240" w:lineRule="auto"/>
              <w:jc w:val="right"/>
              <w:rPr>
                <w:rFonts w:eastAsia="Times New Roman" w:cstheme="minorHAnsi"/>
                <w:color w:val="000000"/>
                <w:sz w:val="20"/>
                <w:szCs w:val="20"/>
                <w:lang w:eastAsia="en-NZ"/>
              </w:rPr>
            </w:pPr>
            <w:r w:rsidRPr="001244BB">
              <w:rPr>
                <w:rFonts w:eastAsia="Times New Roman" w:cstheme="minorHAnsi"/>
                <w:color w:val="000000"/>
                <w:sz w:val="20"/>
                <w:szCs w:val="20"/>
                <w:lang w:eastAsia="en-NZ"/>
              </w:rPr>
              <w:t>Fuel Capacity (MW</w:t>
            </w:r>
            <w:r w:rsidR="00D44447">
              <w:rPr>
                <w:rFonts w:eastAsia="Times New Roman" w:cstheme="minorHAnsi"/>
                <w:color w:val="000000"/>
                <w:sz w:val="20"/>
                <w:szCs w:val="20"/>
                <w:lang w:eastAsia="en-NZ"/>
              </w:rPr>
              <w:t>h</w:t>
            </w:r>
            <w:r w:rsidRPr="001244BB">
              <w:rPr>
                <w:rFonts w:eastAsia="Times New Roman" w:cstheme="minorHAnsi"/>
                <w:color w:val="000000"/>
                <w:sz w:val="20"/>
                <w:szCs w:val="20"/>
                <w:lang w:eastAsia="en-NZ"/>
              </w:rPr>
              <w:t>)</w:t>
            </w:r>
            <w:r w:rsidRPr="001244BB">
              <w:rPr>
                <w:rFonts w:eastAsia="Times New Roman" w:cstheme="minorHAnsi"/>
                <w:color w:val="000000"/>
                <w:sz w:val="20"/>
                <w:szCs w:val="20"/>
                <w:lang w:eastAsia="en-NZ"/>
              </w:rPr>
              <w:br/>
              <w:t>Wind 60.928</w:t>
            </w:r>
            <w:r w:rsidRPr="001244BB">
              <w:rPr>
                <w:rFonts w:eastAsia="Times New Roman" w:cstheme="minorHAnsi"/>
                <w:color w:val="000000"/>
                <w:sz w:val="20"/>
                <w:szCs w:val="20"/>
                <w:lang w:eastAsia="en-NZ"/>
              </w:rPr>
              <w:br/>
              <w:t>Hydro 0.48</w:t>
            </w:r>
            <w:r w:rsidRPr="001244BB">
              <w:rPr>
                <w:rFonts w:eastAsia="Times New Roman" w:cstheme="minorHAnsi"/>
                <w:color w:val="000000"/>
                <w:sz w:val="20"/>
                <w:szCs w:val="20"/>
                <w:lang w:eastAsia="en-NZ"/>
              </w:rPr>
              <w:br/>
              <w:t>Solar 4.814</w:t>
            </w:r>
          </w:p>
        </w:tc>
        <w:tc>
          <w:tcPr>
            <w:tcW w:w="3544" w:type="dxa"/>
            <w:shd w:val="clear" w:color="auto" w:fill="auto"/>
            <w:hideMark/>
          </w:tcPr>
          <w:p w:rsidR="00F43FB2" w:rsidRPr="001244BB" w:rsidRDefault="00100C89" w:rsidP="00030337">
            <w:pPr>
              <w:spacing w:after="0" w:line="240" w:lineRule="auto"/>
              <w:rPr>
                <w:rFonts w:eastAsia="Times New Roman" w:cstheme="minorHAnsi"/>
                <w:color w:val="000000"/>
                <w:sz w:val="20"/>
                <w:szCs w:val="20"/>
                <w:lang w:eastAsia="en-NZ"/>
              </w:rPr>
            </w:pPr>
            <w:r>
              <w:rPr>
                <w:rFonts w:eastAsia="Times New Roman" w:cstheme="minorHAnsi"/>
                <w:color w:val="000000"/>
                <w:sz w:val="20"/>
                <w:szCs w:val="20"/>
                <w:lang w:eastAsia="en-NZ"/>
              </w:rPr>
              <w:t xml:space="preserve">No trend. </w:t>
            </w:r>
          </w:p>
        </w:tc>
      </w:tr>
      <w:tr w:rsidR="00F43FB2" w:rsidRPr="001244BB" w:rsidTr="00030337">
        <w:trPr>
          <w:trHeight w:val="299"/>
        </w:trPr>
        <w:tc>
          <w:tcPr>
            <w:tcW w:w="14743" w:type="dxa"/>
            <w:gridSpan w:val="7"/>
            <w:shd w:val="clear" w:color="auto" w:fill="EAF1DD" w:themeFill="accent3" w:themeFillTint="33"/>
            <w:hideMark/>
          </w:tcPr>
          <w:p w:rsidR="00F43FB2" w:rsidRPr="001244BB" w:rsidRDefault="00F43FB2" w:rsidP="00030337">
            <w:pPr>
              <w:spacing w:after="0" w:line="240" w:lineRule="auto"/>
              <w:rPr>
                <w:rFonts w:eastAsia="Times New Roman" w:cstheme="minorHAnsi"/>
                <w:sz w:val="20"/>
                <w:szCs w:val="20"/>
                <w:lang w:eastAsia="en-NZ"/>
              </w:rPr>
            </w:pPr>
            <w:r w:rsidRPr="001244BB">
              <w:rPr>
                <w:rFonts w:eastAsia="Times New Roman" w:cstheme="minorHAnsi"/>
                <w:b/>
                <w:bCs/>
                <w:i/>
                <w:iCs/>
                <w:sz w:val="20"/>
                <w:szCs w:val="20"/>
                <w:lang w:eastAsia="en-NZ"/>
              </w:rPr>
              <w:t xml:space="preserve">Resident engagement in environmental protection and restoration </w:t>
            </w:r>
          </w:p>
        </w:tc>
      </w:tr>
      <w:tr w:rsidR="00F43FB2" w:rsidRPr="001244BB" w:rsidTr="00B337AE">
        <w:trPr>
          <w:trHeight w:val="1706"/>
        </w:trPr>
        <w:tc>
          <w:tcPr>
            <w:tcW w:w="2826" w:type="dxa"/>
            <w:shd w:val="clear" w:color="auto" w:fill="auto"/>
            <w:hideMark/>
          </w:tcPr>
          <w:p w:rsidR="00F43FB2" w:rsidRPr="001244BB" w:rsidRDefault="00F43FB2" w:rsidP="00030337">
            <w:pPr>
              <w:spacing w:after="0" w:line="240" w:lineRule="auto"/>
              <w:rPr>
                <w:rFonts w:eastAsia="Times New Roman" w:cstheme="minorHAnsi"/>
                <w:sz w:val="20"/>
                <w:szCs w:val="20"/>
                <w:lang w:eastAsia="en-NZ"/>
              </w:rPr>
            </w:pPr>
            <w:r w:rsidRPr="001244BB">
              <w:rPr>
                <w:rFonts w:eastAsia="Times New Roman" w:cstheme="minorHAnsi"/>
                <w:sz w:val="20"/>
                <w:szCs w:val="20"/>
                <w:lang w:eastAsia="en-NZ"/>
              </w:rPr>
              <w:lastRenderedPageBreak/>
              <w:t>Hours worked by recognised environmental volunteer groups and botanic gardens volunteers</w:t>
            </w:r>
          </w:p>
        </w:tc>
        <w:tc>
          <w:tcPr>
            <w:tcW w:w="1286" w:type="dxa"/>
            <w:shd w:val="clear" w:color="auto" w:fill="auto"/>
            <w:noWrap/>
            <w:hideMark/>
          </w:tcPr>
          <w:p w:rsidR="00F43FB2" w:rsidRPr="001244BB" w:rsidRDefault="00F43FB2" w:rsidP="00030337">
            <w:pPr>
              <w:spacing w:after="0" w:line="240" w:lineRule="auto"/>
              <w:rPr>
                <w:rFonts w:eastAsia="Times New Roman" w:cstheme="minorHAnsi"/>
                <w:color w:val="000000"/>
                <w:sz w:val="20"/>
                <w:szCs w:val="20"/>
                <w:lang w:eastAsia="en-NZ"/>
              </w:rPr>
            </w:pPr>
            <w:r w:rsidRPr="001244BB">
              <w:rPr>
                <w:rFonts w:eastAsia="Times New Roman" w:cstheme="minorHAnsi"/>
                <w:color w:val="000000"/>
                <w:sz w:val="20"/>
                <w:szCs w:val="20"/>
                <w:lang w:eastAsia="en-NZ"/>
              </w:rPr>
              <w:t>Increasing</w:t>
            </w:r>
          </w:p>
        </w:tc>
        <w:tc>
          <w:tcPr>
            <w:tcW w:w="1275" w:type="dxa"/>
            <w:shd w:val="clear" w:color="auto" w:fill="auto"/>
            <w:noWrap/>
            <w:hideMark/>
          </w:tcPr>
          <w:p w:rsidR="00F43FB2" w:rsidRPr="001244BB" w:rsidRDefault="00F43FB2" w:rsidP="00030337">
            <w:pPr>
              <w:spacing w:after="0" w:line="240" w:lineRule="auto"/>
              <w:rPr>
                <w:rFonts w:eastAsia="Times New Roman" w:cstheme="minorHAnsi"/>
                <w:color w:val="000000"/>
                <w:sz w:val="20"/>
                <w:szCs w:val="20"/>
                <w:lang w:eastAsia="en-NZ"/>
              </w:rPr>
            </w:pPr>
            <w:r w:rsidRPr="001244BB">
              <w:rPr>
                <w:rFonts w:eastAsia="Times New Roman" w:cstheme="minorHAnsi"/>
                <w:color w:val="000000"/>
                <w:sz w:val="20"/>
                <w:szCs w:val="20"/>
                <w:lang w:eastAsia="en-NZ"/>
              </w:rPr>
              <w:t>WCC Parks, Sport and Recreation</w:t>
            </w:r>
          </w:p>
        </w:tc>
        <w:tc>
          <w:tcPr>
            <w:tcW w:w="1888" w:type="dxa"/>
            <w:shd w:val="clear" w:color="auto" w:fill="auto"/>
            <w:noWrap/>
            <w:hideMark/>
          </w:tcPr>
          <w:p w:rsidR="00F43FB2" w:rsidRPr="001244BB" w:rsidRDefault="00F43FB2" w:rsidP="00030337">
            <w:pPr>
              <w:spacing w:after="0" w:line="240" w:lineRule="auto"/>
              <w:jc w:val="right"/>
              <w:rPr>
                <w:rFonts w:eastAsia="Times New Roman" w:cstheme="minorHAnsi"/>
                <w:color w:val="000000"/>
                <w:sz w:val="20"/>
                <w:szCs w:val="20"/>
                <w:lang w:eastAsia="en-NZ"/>
              </w:rPr>
            </w:pPr>
            <w:r w:rsidRPr="001244BB">
              <w:rPr>
                <w:rFonts w:eastAsia="Times New Roman" w:cstheme="minorHAnsi"/>
                <w:color w:val="000000"/>
                <w:sz w:val="20"/>
                <w:szCs w:val="20"/>
                <w:lang w:eastAsia="en-NZ"/>
              </w:rPr>
              <w:t xml:space="preserve">        53,839 </w:t>
            </w:r>
            <w:r w:rsidR="00D44447">
              <w:rPr>
                <w:rFonts w:eastAsia="Times New Roman" w:cstheme="minorHAnsi"/>
                <w:color w:val="000000"/>
                <w:sz w:val="20"/>
                <w:szCs w:val="20"/>
                <w:lang w:eastAsia="en-NZ"/>
              </w:rPr>
              <w:t>hours</w:t>
            </w:r>
          </w:p>
        </w:tc>
        <w:tc>
          <w:tcPr>
            <w:tcW w:w="2029" w:type="dxa"/>
            <w:shd w:val="clear" w:color="auto" w:fill="auto"/>
            <w:noWrap/>
            <w:hideMark/>
          </w:tcPr>
          <w:p w:rsidR="00F43FB2" w:rsidRPr="001244BB" w:rsidRDefault="00F43FB2" w:rsidP="00030337">
            <w:pPr>
              <w:spacing w:after="0" w:line="240" w:lineRule="auto"/>
              <w:jc w:val="right"/>
              <w:rPr>
                <w:rFonts w:eastAsia="Times New Roman" w:cstheme="minorHAnsi"/>
                <w:color w:val="000000"/>
                <w:sz w:val="20"/>
                <w:szCs w:val="20"/>
                <w:lang w:eastAsia="en-NZ"/>
              </w:rPr>
            </w:pPr>
            <w:r w:rsidRPr="001244BB">
              <w:rPr>
                <w:rFonts w:eastAsia="Times New Roman" w:cstheme="minorHAnsi"/>
                <w:color w:val="000000"/>
                <w:sz w:val="20"/>
                <w:szCs w:val="20"/>
                <w:lang w:eastAsia="en-NZ"/>
              </w:rPr>
              <w:t>59,531</w:t>
            </w:r>
            <w:r w:rsidR="00D44447">
              <w:rPr>
                <w:rFonts w:eastAsia="Times New Roman" w:cstheme="minorHAnsi"/>
                <w:color w:val="000000"/>
                <w:sz w:val="20"/>
                <w:szCs w:val="20"/>
                <w:lang w:eastAsia="en-NZ"/>
              </w:rPr>
              <w:t xml:space="preserve"> hours</w:t>
            </w:r>
            <w:r w:rsidRPr="001244BB">
              <w:rPr>
                <w:rFonts w:eastAsia="Times New Roman" w:cstheme="minorHAnsi"/>
                <w:color w:val="000000"/>
                <w:sz w:val="20"/>
                <w:szCs w:val="20"/>
                <w:lang w:eastAsia="en-NZ"/>
              </w:rPr>
              <w:t xml:space="preserve"> </w:t>
            </w:r>
          </w:p>
        </w:tc>
        <w:tc>
          <w:tcPr>
            <w:tcW w:w="1895" w:type="dxa"/>
            <w:shd w:val="clear" w:color="auto" w:fill="auto"/>
            <w:noWrap/>
            <w:hideMark/>
          </w:tcPr>
          <w:p w:rsidR="00F43FB2" w:rsidRPr="001244BB" w:rsidRDefault="00F43FB2" w:rsidP="00030337">
            <w:pPr>
              <w:spacing w:after="0" w:line="240" w:lineRule="auto"/>
              <w:jc w:val="right"/>
              <w:rPr>
                <w:rFonts w:eastAsia="Times New Roman" w:cstheme="minorHAnsi"/>
                <w:color w:val="000000"/>
                <w:sz w:val="20"/>
                <w:szCs w:val="20"/>
                <w:lang w:eastAsia="en-NZ"/>
              </w:rPr>
            </w:pPr>
            <w:r w:rsidRPr="001244BB">
              <w:rPr>
                <w:rFonts w:eastAsia="Times New Roman" w:cstheme="minorHAnsi"/>
                <w:color w:val="000000"/>
                <w:sz w:val="20"/>
                <w:szCs w:val="20"/>
                <w:lang w:eastAsia="en-NZ"/>
              </w:rPr>
              <w:t xml:space="preserve">70,230 </w:t>
            </w:r>
            <w:r w:rsidR="00D44447">
              <w:rPr>
                <w:rFonts w:eastAsia="Times New Roman" w:cstheme="minorHAnsi"/>
                <w:color w:val="000000"/>
                <w:sz w:val="20"/>
                <w:szCs w:val="20"/>
                <w:lang w:eastAsia="en-NZ"/>
              </w:rPr>
              <w:t>hours</w:t>
            </w:r>
          </w:p>
        </w:tc>
        <w:tc>
          <w:tcPr>
            <w:tcW w:w="3544" w:type="dxa"/>
            <w:shd w:val="clear" w:color="auto" w:fill="auto"/>
            <w:hideMark/>
          </w:tcPr>
          <w:p w:rsidR="00F43FB2" w:rsidRPr="001244BB" w:rsidRDefault="00F43FB2" w:rsidP="00030337">
            <w:pPr>
              <w:spacing w:after="0" w:line="240" w:lineRule="auto"/>
              <w:rPr>
                <w:rFonts w:eastAsia="Times New Roman" w:cstheme="minorHAnsi"/>
                <w:color w:val="000000"/>
                <w:sz w:val="20"/>
                <w:szCs w:val="20"/>
                <w:lang w:eastAsia="en-NZ"/>
              </w:rPr>
            </w:pPr>
            <w:r w:rsidRPr="001244BB">
              <w:rPr>
                <w:rFonts w:eastAsia="Times New Roman" w:cstheme="minorHAnsi"/>
                <w:color w:val="000000"/>
                <w:sz w:val="20"/>
                <w:szCs w:val="20"/>
                <w:lang w:eastAsia="en-NZ"/>
              </w:rPr>
              <w:t>Positive trend: There has been a large increase in volunteer hours per capita over the past year. Publicity over the Predator Free Wellington programme and support for community trapping is encouraging greater participation in protecting our local environment.</w:t>
            </w:r>
          </w:p>
        </w:tc>
      </w:tr>
      <w:tr w:rsidR="00F43FB2" w:rsidRPr="001244BB" w:rsidTr="00B337AE">
        <w:trPr>
          <w:trHeight w:val="1275"/>
        </w:trPr>
        <w:tc>
          <w:tcPr>
            <w:tcW w:w="2826" w:type="dxa"/>
            <w:shd w:val="clear" w:color="auto" w:fill="auto"/>
            <w:hideMark/>
          </w:tcPr>
          <w:p w:rsidR="00F43FB2" w:rsidRPr="001244BB" w:rsidRDefault="00F43FB2" w:rsidP="00030337">
            <w:pPr>
              <w:spacing w:after="0" w:line="240" w:lineRule="auto"/>
              <w:rPr>
                <w:rFonts w:eastAsia="Times New Roman" w:cstheme="minorHAnsi"/>
                <w:sz w:val="20"/>
                <w:szCs w:val="20"/>
                <w:lang w:eastAsia="en-NZ"/>
              </w:rPr>
            </w:pPr>
            <w:r w:rsidRPr="001244BB">
              <w:rPr>
                <w:rFonts w:eastAsia="Times New Roman" w:cstheme="minorHAnsi"/>
                <w:sz w:val="20"/>
                <w:szCs w:val="20"/>
                <w:lang w:eastAsia="en-NZ"/>
              </w:rPr>
              <w:t>Residents engaged in trapping or other predator control</w:t>
            </w:r>
          </w:p>
        </w:tc>
        <w:tc>
          <w:tcPr>
            <w:tcW w:w="1286" w:type="dxa"/>
            <w:shd w:val="clear" w:color="auto" w:fill="auto"/>
            <w:noWrap/>
            <w:hideMark/>
          </w:tcPr>
          <w:p w:rsidR="00F43FB2" w:rsidRPr="001244BB" w:rsidRDefault="00F43FB2" w:rsidP="00030337">
            <w:pPr>
              <w:spacing w:after="0" w:line="240" w:lineRule="auto"/>
              <w:rPr>
                <w:rFonts w:eastAsia="Times New Roman" w:cstheme="minorHAnsi"/>
                <w:color w:val="000000"/>
                <w:sz w:val="20"/>
                <w:szCs w:val="20"/>
                <w:lang w:eastAsia="en-NZ"/>
              </w:rPr>
            </w:pPr>
            <w:r w:rsidRPr="001244BB">
              <w:rPr>
                <w:rFonts w:eastAsia="Times New Roman" w:cstheme="minorHAnsi"/>
                <w:color w:val="000000"/>
                <w:sz w:val="20"/>
                <w:szCs w:val="20"/>
                <w:lang w:eastAsia="en-NZ"/>
              </w:rPr>
              <w:t>Increasing</w:t>
            </w:r>
          </w:p>
        </w:tc>
        <w:tc>
          <w:tcPr>
            <w:tcW w:w="1275" w:type="dxa"/>
            <w:shd w:val="clear" w:color="auto" w:fill="auto"/>
            <w:noWrap/>
            <w:hideMark/>
          </w:tcPr>
          <w:p w:rsidR="00F43FB2" w:rsidRPr="001244BB" w:rsidRDefault="00F43FB2" w:rsidP="00030337">
            <w:pPr>
              <w:spacing w:after="0" w:line="240" w:lineRule="auto"/>
              <w:rPr>
                <w:rFonts w:eastAsia="Times New Roman" w:cstheme="minorHAnsi"/>
                <w:color w:val="000000"/>
                <w:sz w:val="20"/>
                <w:szCs w:val="20"/>
                <w:lang w:eastAsia="en-NZ"/>
              </w:rPr>
            </w:pPr>
            <w:r w:rsidRPr="001244BB">
              <w:rPr>
                <w:rFonts w:eastAsia="Times New Roman" w:cstheme="minorHAnsi"/>
                <w:color w:val="000000"/>
                <w:sz w:val="20"/>
                <w:szCs w:val="20"/>
                <w:lang w:eastAsia="en-NZ"/>
              </w:rPr>
              <w:t>WCC RMS 2019</w:t>
            </w:r>
          </w:p>
        </w:tc>
        <w:tc>
          <w:tcPr>
            <w:tcW w:w="1888" w:type="dxa"/>
            <w:shd w:val="clear" w:color="auto" w:fill="auto"/>
            <w:noWrap/>
            <w:hideMark/>
          </w:tcPr>
          <w:p w:rsidR="00F43FB2" w:rsidRPr="001244BB" w:rsidRDefault="00F43FB2" w:rsidP="00030337">
            <w:pPr>
              <w:spacing w:after="0" w:line="240" w:lineRule="auto"/>
              <w:jc w:val="right"/>
              <w:rPr>
                <w:rFonts w:eastAsia="Times New Roman" w:cstheme="minorHAnsi"/>
                <w:color w:val="000000"/>
                <w:sz w:val="20"/>
                <w:szCs w:val="20"/>
                <w:lang w:eastAsia="en-NZ"/>
              </w:rPr>
            </w:pPr>
          </w:p>
        </w:tc>
        <w:tc>
          <w:tcPr>
            <w:tcW w:w="2029" w:type="dxa"/>
            <w:shd w:val="clear" w:color="auto" w:fill="auto"/>
            <w:noWrap/>
            <w:hideMark/>
          </w:tcPr>
          <w:p w:rsidR="00F43FB2" w:rsidRPr="001244BB" w:rsidRDefault="00F43FB2" w:rsidP="00030337">
            <w:pPr>
              <w:spacing w:after="0" w:line="240" w:lineRule="auto"/>
              <w:jc w:val="right"/>
              <w:rPr>
                <w:rFonts w:eastAsia="Times New Roman" w:cstheme="minorHAnsi"/>
                <w:color w:val="000000"/>
                <w:sz w:val="20"/>
                <w:szCs w:val="20"/>
                <w:lang w:eastAsia="en-NZ"/>
              </w:rPr>
            </w:pPr>
            <w:r>
              <w:rPr>
                <w:rFonts w:eastAsia="Times New Roman" w:cstheme="minorHAnsi"/>
                <w:color w:val="000000"/>
                <w:sz w:val="20"/>
                <w:szCs w:val="20"/>
                <w:lang w:eastAsia="en-NZ"/>
              </w:rPr>
              <w:t>19%</w:t>
            </w:r>
          </w:p>
        </w:tc>
        <w:tc>
          <w:tcPr>
            <w:tcW w:w="1895" w:type="dxa"/>
            <w:shd w:val="clear" w:color="auto" w:fill="auto"/>
            <w:hideMark/>
          </w:tcPr>
          <w:p w:rsidR="00F43FB2" w:rsidRPr="001244BB" w:rsidRDefault="00F43FB2" w:rsidP="00030337">
            <w:pPr>
              <w:spacing w:after="0" w:line="240" w:lineRule="auto"/>
              <w:jc w:val="right"/>
              <w:rPr>
                <w:rFonts w:eastAsia="Times New Roman" w:cstheme="minorHAnsi"/>
                <w:color w:val="000000"/>
                <w:sz w:val="20"/>
                <w:szCs w:val="20"/>
                <w:lang w:eastAsia="en-NZ"/>
              </w:rPr>
            </w:pPr>
            <w:r w:rsidRPr="001244BB">
              <w:rPr>
                <w:rFonts w:eastAsia="Times New Roman" w:cstheme="minorHAnsi"/>
                <w:color w:val="000000"/>
                <w:sz w:val="20"/>
                <w:szCs w:val="20"/>
                <w:lang w:eastAsia="en-NZ"/>
              </w:rPr>
              <w:t>Residents currently undertaking predator control: 31.2%; Currently OR have previously undertaken predator control: 59.2%</w:t>
            </w:r>
          </w:p>
        </w:tc>
        <w:tc>
          <w:tcPr>
            <w:tcW w:w="3544" w:type="dxa"/>
            <w:shd w:val="clear" w:color="auto" w:fill="auto"/>
            <w:hideMark/>
          </w:tcPr>
          <w:p w:rsidR="00F43FB2" w:rsidRPr="001244BB" w:rsidRDefault="00F43FB2" w:rsidP="00030337">
            <w:pPr>
              <w:spacing w:after="0" w:line="240" w:lineRule="auto"/>
              <w:rPr>
                <w:rFonts w:eastAsia="Times New Roman" w:cstheme="minorHAnsi"/>
                <w:color w:val="000000"/>
                <w:sz w:val="20"/>
                <w:szCs w:val="20"/>
                <w:lang w:eastAsia="en-NZ"/>
              </w:rPr>
            </w:pPr>
            <w:r>
              <w:rPr>
                <w:rFonts w:eastAsia="Times New Roman" w:cstheme="minorHAnsi"/>
                <w:color w:val="000000"/>
                <w:sz w:val="20"/>
                <w:szCs w:val="20"/>
                <w:lang w:eastAsia="en-NZ"/>
              </w:rPr>
              <w:t>Positive trend</w:t>
            </w:r>
          </w:p>
        </w:tc>
      </w:tr>
      <w:tr w:rsidR="00F43FB2" w:rsidRPr="001244BB" w:rsidTr="00B337AE">
        <w:trPr>
          <w:trHeight w:val="3013"/>
        </w:trPr>
        <w:tc>
          <w:tcPr>
            <w:tcW w:w="2826" w:type="dxa"/>
            <w:shd w:val="clear" w:color="auto" w:fill="auto"/>
            <w:hideMark/>
          </w:tcPr>
          <w:p w:rsidR="00F43FB2" w:rsidRPr="001244BB" w:rsidRDefault="00F43FB2" w:rsidP="00030337">
            <w:pPr>
              <w:spacing w:after="0" w:line="240" w:lineRule="auto"/>
              <w:rPr>
                <w:rFonts w:eastAsia="Times New Roman" w:cstheme="minorHAnsi"/>
                <w:sz w:val="20"/>
                <w:szCs w:val="20"/>
                <w:lang w:eastAsia="en-NZ"/>
              </w:rPr>
            </w:pPr>
            <w:r w:rsidRPr="001244BB">
              <w:rPr>
                <w:rFonts w:eastAsia="Times New Roman" w:cstheme="minorHAnsi"/>
                <w:sz w:val="20"/>
                <w:szCs w:val="20"/>
                <w:lang w:eastAsia="en-NZ"/>
              </w:rPr>
              <w:t>Water consumption (commercial and residential combined)*</w:t>
            </w:r>
            <w:r w:rsidR="00D44447">
              <w:rPr>
                <w:rFonts w:eastAsia="Times New Roman" w:cstheme="minorHAnsi"/>
                <w:sz w:val="20"/>
                <w:szCs w:val="20"/>
                <w:lang w:eastAsia="en-NZ"/>
              </w:rPr>
              <w:t xml:space="preserve"> billion litres</w:t>
            </w:r>
          </w:p>
        </w:tc>
        <w:tc>
          <w:tcPr>
            <w:tcW w:w="1286" w:type="dxa"/>
            <w:shd w:val="clear" w:color="auto" w:fill="auto"/>
            <w:noWrap/>
            <w:hideMark/>
          </w:tcPr>
          <w:p w:rsidR="00F43FB2" w:rsidRPr="001244BB" w:rsidRDefault="00F43FB2" w:rsidP="00030337">
            <w:pPr>
              <w:spacing w:after="0" w:line="240" w:lineRule="auto"/>
              <w:rPr>
                <w:rFonts w:eastAsia="Times New Roman" w:cstheme="minorHAnsi"/>
                <w:color w:val="000000"/>
                <w:sz w:val="20"/>
                <w:szCs w:val="20"/>
                <w:lang w:eastAsia="en-NZ"/>
              </w:rPr>
            </w:pPr>
            <w:r w:rsidRPr="001244BB">
              <w:rPr>
                <w:rFonts w:eastAsia="Times New Roman" w:cstheme="minorHAnsi"/>
                <w:color w:val="000000"/>
                <w:sz w:val="20"/>
                <w:szCs w:val="20"/>
                <w:lang w:eastAsia="en-NZ"/>
              </w:rPr>
              <w:t>Decreasing</w:t>
            </w:r>
          </w:p>
        </w:tc>
        <w:tc>
          <w:tcPr>
            <w:tcW w:w="1275" w:type="dxa"/>
            <w:shd w:val="clear" w:color="auto" w:fill="auto"/>
            <w:noWrap/>
            <w:hideMark/>
          </w:tcPr>
          <w:p w:rsidR="00F43FB2" w:rsidRPr="001244BB" w:rsidRDefault="00F43FB2" w:rsidP="00030337">
            <w:pPr>
              <w:spacing w:after="0" w:line="240" w:lineRule="auto"/>
              <w:rPr>
                <w:rFonts w:eastAsia="Times New Roman" w:cstheme="minorHAnsi"/>
                <w:color w:val="000000"/>
                <w:sz w:val="20"/>
                <w:szCs w:val="20"/>
                <w:lang w:eastAsia="en-NZ"/>
              </w:rPr>
            </w:pPr>
            <w:r w:rsidRPr="001244BB">
              <w:rPr>
                <w:rFonts w:eastAsia="Times New Roman" w:cstheme="minorHAnsi"/>
                <w:color w:val="000000"/>
                <w:sz w:val="20"/>
                <w:szCs w:val="20"/>
                <w:lang w:eastAsia="en-NZ"/>
              </w:rPr>
              <w:t>Wellington Water Limited</w:t>
            </w:r>
          </w:p>
        </w:tc>
        <w:tc>
          <w:tcPr>
            <w:tcW w:w="1888" w:type="dxa"/>
            <w:shd w:val="clear" w:color="auto" w:fill="auto"/>
            <w:noWrap/>
            <w:hideMark/>
          </w:tcPr>
          <w:p w:rsidR="00F43FB2" w:rsidRPr="001244BB" w:rsidRDefault="00F43FB2" w:rsidP="00030337">
            <w:pPr>
              <w:spacing w:after="0" w:line="240" w:lineRule="auto"/>
              <w:jc w:val="right"/>
              <w:rPr>
                <w:rFonts w:eastAsia="Times New Roman" w:cstheme="minorHAnsi"/>
                <w:color w:val="000000"/>
                <w:sz w:val="20"/>
                <w:szCs w:val="20"/>
                <w:lang w:eastAsia="en-NZ"/>
              </w:rPr>
            </w:pPr>
            <w:r w:rsidRPr="001244BB">
              <w:rPr>
                <w:rFonts w:eastAsia="Times New Roman" w:cstheme="minorHAnsi"/>
                <w:color w:val="000000"/>
                <w:sz w:val="20"/>
                <w:szCs w:val="20"/>
                <w:lang w:eastAsia="en-NZ"/>
              </w:rPr>
              <w:t>25.1b</w:t>
            </w:r>
            <w:r w:rsidR="005F3580">
              <w:rPr>
                <w:rFonts w:eastAsia="Times New Roman" w:cstheme="minorHAnsi"/>
                <w:color w:val="000000"/>
                <w:sz w:val="20"/>
                <w:szCs w:val="20"/>
                <w:lang w:eastAsia="en-NZ"/>
              </w:rPr>
              <w:t xml:space="preserve"> litres</w:t>
            </w:r>
          </w:p>
        </w:tc>
        <w:tc>
          <w:tcPr>
            <w:tcW w:w="2029" w:type="dxa"/>
            <w:shd w:val="clear" w:color="auto" w:fill="auto"/>
            <w:noWrap/>
            <w:hideMark/>
          </w:tcPr>
          <w:p w:rsidR="00F43FB2" w:rsidRPr="001244BB" w:rsidRDefault="00F43FB2" w:rsidP="00030337">
            <w:pPr>
              <w:spacing w:after="0" w:line="240" w:lineRule="auto"/>
              <w:jc w:val="right"/>
              <w:rPr>
                <w:rFonts w:eastAsia="Times New Roman" w:cstheme="minorHAnsi"/>
                <w:color w:val="000000"/>
                <w:sz w:val="20"/>
                <w:szCs w:val="20"/>
                <w:lang w:eastAsia="en-NZ"/>
              </w:rPr>
            </w:pPr>
            <w:r w:rsidRPr="001244BB">
              <w:rPr>
                <w:rFonts w:eastAsia="Times New Roman" w:cstheme="minorHAnsi"/>
                <w:color w:val="000000"/>
                <w:sz w:val="20"/>
                <w:szCs w:val="20"/>
                <w:lang w:eastAsia="en-NZ"/>
              </w:rPr>
              <w:t>23.1b</w:t>
            </w:r>
            <w:r w:rsidR="005F3580">
              <w:rPr>
                <w:rFonts w:eastAsia="Times New Roman" w:cstheme="minorHAnsi"/>
                <w:color w:val="000000"/>
                <w:sz w:val="20"/>
                <w:szCs w:val="20"/>
                <w:lang w:eastAsia="en-NZ"/>
              </w:rPr>
              <w:t xml:space="preserve"> litres</w:t>
            </w:r>
          </w:p>
        </w:tc>
        <w:tc>
          <w:tcPr>
            <w:tcW w:w="1895" w:type="dxa"/>
            <w:shd w:val="clear" w:color="auto" w:fill="auto"/>
            <w:noWrap/>
            <w:hideMark/>
          </w:tcPr>
          <w:p w:rsidR="00F43FB2" w:rsidRPr="001244BB" w:rsidRDefault="00F43FB2" w:rsidP="00030337">
            <w:pPr>
              <w:spacing w:after="0" w:line="240" w:lineRule="auto"/>
              <w:jc w:val="right"/>
              <w:rPr>
                <w:rFonts w:eastAsia="Times New Roman" w:cstheme="minorHAnsi"/>
                <w:color w:val="000000"/>
                <w:sz w:val="20"/>
                <w:szCs w:val="20"/>
                <w:lang w:eastAsia="en-NZ"/>
              </w:rPr>
            </w:pPr>
            <w:r w:rsidRPr="001244BB">
              <w:rPr>
                <w:rFonts w:eastAsia="Times New Roman" w:cstheme="minorHAnsi"/>
                <w:color w:val="000000"/>
                <w:sz w:val="20"/>
                <w:szCs w:val="20"/>
                <w:lang w:eastAsia="en-NZ"/>
              </w:rPr>
              <w:t>Est 20.7b-24.7b</w:t>
            </w:r>
            <w:r w:rsidR="005F3580">
              <w:rPr>
                <w:rFonts w:eastAsia="Times New Roman" w:cstheme="minorHAnsi"/>
                <w:color w:val="000000"/>
                <w:sz w:val="20"/>
                <w:szCs w:val="20"/>
                <w:lang w:eastAsia="en-NZ"/>
              </w:rPr>
              <w:t xml:space="preserve"> litres</w:t>
            </w:r>
          </w:p>
        </w:tc>
        <w:tc>
          <w:tcPr>
            <w:tcW w:w="3544" w:type="dxa"/>
            <w:shd w:val="clear" w:color="auto" w:fill="auto"/>
            <w:hideMark/>
          </w:tcPr>
          <w:p w:rsidR="00F43FB2" w:rsidRPr="001244BB" w:rsidRDefault="00100C89" w:rsidP="00A204D6">
            <w:pPr>
              <w:spacing w:after="0" w:line="240" w:lineRule="auto"/>
              <w:rPr>
                <w:rFonts w:eastAsia="Times New Roman" w:cstheme="minorHAnsi"/>
                <w:color w:val="000000"/>
                <w:sz w:val="20"/>
                <w:szCs w:val="20"/>
                <w:lang w:eastAsia="en-NZ"/>
              </w:rPr>
            </w:pPr>
            <w:r>
              <w:rPr>
                <w:rFonts w:eastAsia="Times New Roman" w:cstheme="minorHAnsi"/>
                <w:color w:val="000000"/>
                <w:sz w:val="20"/>
                <w:szCs w:val="20"/>
                <w:lang w:eastAsia="en-NZ"/>
              </w:rPr>
              <w:t xml:space="preserve">No trend. </w:t>
            </w:r>
            <w:r w:rsidR="00F43FB2" w:rsidRPr="001244BB">
              <w:rPr>
                <w:rFonts w:eastAsia="Times New Roman" w:cstheme="minorHAnsi"/>
                <w:color w:val="000000"/>
                <w:sz w:val="20"/>
                <w:szCs w:val="20"/>
                <w:lang w:eastAsia="en-NZ"/>
              </w:rPr>
              <w:t>Water consumed includes water losses so the estimated value of water consumed is between 24.7b and 20.7b litres. The result is similar to what was reported in the previous year, allowing for the limitations of the information we have available. We continue to work with our service partners to: understand where and how water is used</w:t>
            </w:r>
            <w:r w:rsidR="00A204D6">
              <w:rPr>
                <w:rFonts w:eastAsia="Times New Roman" w:cstheme="minorHAnsi"/>
                <w:color w:val="000000"/>
                <w:sz w:val="20"/>
                <w:szCs w:val="20"/>
                <w:lang w:eastAsia="en-NZ"/>
              </w:rPr>
              <w:t>;</w:t>
            </w:r>
            <w:r w:rsidR="00A204D6" w:rsidRPr="001244BB">
              <w:rPr>
                <w:rFonts w:eastAsia="Times New Roman" w:cstheme="minorHAnsi"/>
                <w:color w:val="000000"/>
                <w:sz w:val="20"/>
                <w:szCs w:val="20"/>
                <w:lang w:eastAsia="en-NZ"/>
              </w:rPr>
              <w:t xml:space="preserve"> </w:t>
            </w:r>
            <w:r w:rsidR="00F43FB2" w:rsidRPr="001244BB">
              <w:rPr>
                <w:rFonts w:eastAsia="Times New Roman" w:cstheme="minorHAnsi"/>
                <w:color w:val="000000"/>
                <w:sz w:val="20"/>
                <w:szCs w:val="20"/>
                <w:lang w:eastAsia="en-NZ"/>
              </w:rPr>
              <w:t>maintain the network to minimise losses</w:t>
            </w:r>
            <w:r w:rsidR="00A204D6">
              <w:rPr>
                <w:rFonts w:eastAsia="Times New Roman" w:cstheme="minorHAnsi"/>
                <w:color w:val="000000"/>
                <w:sz w:val="20"/>
                <w:szCs w:val="20"/>
                <w:lang w:eastAsia="en-NZ"/>
              </w:rPr>
              <w:t>;</w:t>
            </w:r>
            <w:r w:rsidR="00A204D6" w:rsidRPr="001244BB">
              <w:rPr>
                <w:rFonts w:eastAsia="Times New Roman" w:cstheme="minorHAnsi"/>
                <w:color w:val="000000"/>
                <w:sz w:val="20"/>
                <w:szCs w:val="20"/>
                <w:lang w:eastAsia="en-NZ"/>
              </w:rPr>
              <w:t xml:space="preserve"> </w:t>
            </w:r>
            <w:r w:rsidR="00F43FB2" w:rsidRPr="001244BB">
              <w:rPr>
                <w:rFonts w:eastAsia="Times New Roman" w:cstheme="minorHAnsi"/>
                <w:color w:val="000000"/>
                <w:sz w:val="20"/>
                <w:szCs w:val="20"/>
                <w:lang w:eastAsia="en-NZ"/>
              </w:rPr>
              <w:t>and educate people about the consequences of not reducing water usage.</w:t>
            </w:r>
          </w:p>
        </w:tc>
      </w:tr>
      <w:tr w:rsidR="00F43FB2" w:rsidRPr="001244BB" w:rsidTr="00B337AE">
        <w:trPr>
          <w:trHeight w:val="255"/>
        </w:trPr>
        <w:tc>
          <w:tcPr>
            <w:tcW w:w="2826" w:type="dxa"/>
            <w:tcBorders>
              <w:bottom w:val="single" w:sz="4" w:space="0" w:color="00B050"/>
            </w:tcBorders>
            <w:shd w:val="clear" w:color="auto" w:fill="auto"/>
            <w:hideMark/>
          </w:tcPr>
          <w:p w:rsidR="00F43FB2" w:rsidRPr="001244BB" w:rsidRDefault="00F43FB2" w:rsidP="00030337">
            <w:pPr>
              <w:spacing w:after="0" w:line="240" w:lineRule="auto"/>
              <w:rPr>
                <w:rFonts w:eastAsia="Times New Roman" w:cstheme="minorHAnsi"/>
                <w:color w:val="000000"/>
                <w:sz w:val="20"/>
                <w:szCs w:val="20"/>
                <w:lang w:eastAsia="en-NZ"/>
              </w:rPr>
            </w:pPr>
            <w:r w:rsidRPr="001244BB">
              <w:rPr>
                <w:rFonts w:eastAsia="Times New Roman" w:cstheme="minorHAnsi"/>
                <w:color w:val="000000"/>
                <w:sz w:val="20"/>
                <w:szCs w:val="20"/>
                <w:lang w:eastAsia="en-NZ"/>
              </w:rPr>
              <w:t>Energy use per capita MWh per annum</w:t>
            </w:r>
          </w:p>
        </w:tc>
        <w:tc>
          <w:tcPr>
            <w:tcW w:w="1286" w:type="dxa"/>
            <w:tcBorders>
              <w:bottom w:val="single" w:sz="4" w:space="0" w:color="00B050"/>
            </w:tcBorders>
            <w:shd w:val="clear" w:color="auto" w:fill="auto"/>
            <w:noWrap/>
            <w:hideMark/>
          </w:tcPr>
          <w:p w:rsidR="00F43FB2" w:rsidRPr="001244BB" w:rsidRDefault="00F43FB2" w:rsidP="00030337">
            <w:pPr>
              <w:spacing w:after="0" w:line="240" w:lineRule="auto"/>
              <w:rPr>
                <w:rFonts w:eastAsia="Times New Roman" w:cstheme="minorHAnsi"/>
                <w:color w:val="000000"/>
                <w:sz w:val="20"/>
                <w:szCs w:val="20"/>
                <w:lang w:eastAsia="en-NZ"/>
              </w:rPr>
            </w:pPr>
            <w:r w:rsidRPr="001244BB">
              <w:rPr>
                <w:rFonts w:eastAsia="Times New Roman" w:cstheme="minorHAnsi"/>
                <w:color w:val="000000"/>
                <w:sz w:val="20"/>
                <w:szCs w:val="20"/>
                <w:lang w:eastAsia="en-NZ"/>
              </w:rPr>
              <w:t>Decreasing</w:t>
            </w:r>
          </w:p>
        </w:tc>
        <w:tc>
          <w:tcPr>
            <w:tcW w:w="1275" w:type="dxa"/>
            <w:tcBorders>
              <w:bottom w:val="single" w:sz="4" w:space="0" w:color="00B050"/>
            </w:tcBorders>
            <w:shd w:val="clear" w:color="auto" w:fill="auto"/>
            <w:noWrap/>
            <w:hideMark/>
          </w:tcPr>
          <w:p w:rsidR="00F43FB2" w:rsidRPr="001244BB" w:rsidRDefault="00F43FB2" w:rsidP="00030337">
            <w:pPr>
              <w:spacing w:after="0" w:line="240" w:lineRule="auto"/>
              <w:rPr>
                <w:rFonts w:eastAsia="Times New Roman" w:cstheme="minorHAnsi"/>
                <w:color w:val="000000"/>
                <w:sz w:val="20"/>
                <w:szCs w:val="20"/>
                <w:lang w:eastAsia="en-NZ"/>
              </w:rPr>
            </w:pPr>
            <w:r w:rsidRPr="001244BB">
              <w:rPr>
                <w:rFonts w:eastAsia="Times New Roman" w:cstheme="minorHAnsi"/>
                <w:color w:val="000000"/>
                <w:sz w:val="20"/>
                <w:szCs w:val="20"/>
                <w:lang w:eastAsia="en-NZ"/>
              </w:rPr>
              <w:t>Wellington Electricity</w:t>
            </w:r>
          </w:p>
        </w:tc>
        <w:tc>
          <w:tcPr>
            <w:tcW w:w="1888" w:type="dxa"/>
            <w:tcBorders>
              <w:bottom w:val="single" w:sz="4" w:space="0" w:color="00B050"/>
            </w:tcBorders>
            <w:shd w:val="clear" w:color="auto" w:fill="auto"/>
            <w:noWrap/>
            <w:hideMark/>
          </w:tcPr>
          <w:p w:rsidR="00F43FB2" w:rsidRPr="001244BB" w:rsidRDefault="00F43FB2" w:rsidP="00030337">
            <w:pPr>
              <w:spacing w:after="0" w:line="240" w:lineRule="auto"/>
              <w:jc w:val="right"/>
              <w:rPr>
                <w:rFonts w:eastAsia="Times New Roman" w:cstheme="minorHAnsi"/>
                <w:color w:val="000000"/>
                <w:sz w:val="20"/>
                <w:szCs w:val="20"/>
                <w:lang w:eastAsia="en-NZ"/>
              </w:rPr>
            </w:pPr>
            <w:r w:rsidRPr="001244BB">
              <w:rPr>
                <w:rFonts w:eastAsia="Times New Roman" w:cstheme="minorHAnsi"/>
                <w:color w:val="000000"/>
                <w:sz w:val="20"/>
                <w:szCs w:val="20"/>
                <w:lang w:eastAsia="en-NZ"/>
              </w:rPr>
              <w:t>6.29</w:t>
            </w:r>
            <w:r w:rsidR="00D44447">
              <w:rPr>
                <w:rFonts w:eastAsia="Times New Roman" w:cstheme="minorHAnsi"/>
                <w:color w:val="000000"/>
                <w:sz w:val="20"/>
                <w:szCs w:val="20"/>
                <w:lang w:eastAsia="en-NZ"/>
              </w:rPr>
              <w:t>MWh</w:t>
            </w:r>
          </w:p>
        </w:tc>
        <w:tc>
          <w:tcPr>
            <w:tcW w:w="2029" w:type="dxa"/>
            <w:tcBorders>
              <w:bottom w:val="single" w:sz="4" w:space="0" w:color="00B050"/>
            </w:tcBorders>
            <w:shd w:val="clear" w:color="auto" w:fill="auto"/>
            <w:noWrap/>
            <w:hideMark/>
          </w:tcPr>
          <w:p w:rsidR="00F43FB2" w:rsidRPr="001244BB" w:rsidRDefault="00F43FB2" w:rsidP="00030337">
            <w:pPr>
              <w:spacing w:after="0" w:line="240" w:lineRule="auto"/>
              <w:jc w:val="right"/>
              <w:rPr>
                <w:rFonts w:eastAsia="Times New Roman" w:cstheme="minorHAnsi"/>
                <w:color w:val="000000"/>
                <w:sz w:val="20"/>
                <w:szCs w:val="20"/>
                <w:lang w:eastAsia="en-NZ"/>
              </w:rPr>
            </w:pPr>
            <w:r w:rsidRPr="001244BB">
              <w:rPr>
                <w:rFonts w:eastAsia="Times New Roman" w:cstheme="minorHAnsi"/>
                <w:color w:val="000000"/>
                <w:sz w:val="20"/>
                <w:szCs w:val="20"/>
                <w:lang w:eastAsia="en-NZ"/>
              </w:rPr>
              <w:t>6.42</w:t>
            </w:r>
            <w:r w:rsidR="00D44447">
              <w:rPr>
                <w:rFonts w:eastAsia="Times New Roman" w:cstheme="minorHAnsi"/>
                <w:color w:val="000000"/>
                <w:sz w:val="20"/>
                <w:szCs w:val="20"/>
                <w:lang w:eastAsia="en-NZ"/>
              </w:rPr>
              <w:t>MWh</w:t>
            </w:r>
          </w:p>
        </w:tc>
        <w:tc>
          <w:tcPr>
            <w:tcW w:w="1895" w:type="dxa"/>
            <w:tcBorders>
              <w:bottom w:val="single" w:sz="4" w:space="0" w:color="00B050"/>
            </w:tcBorders>
            <w:shd w:val="clear" w:color="auto" w:fill="auto"/>
            <w:noWrap/>
            <w:hideMark/>
          </w:tcPr>
          <w:p w:rsidR="00F43FB2" w:rsidRPr="001244BB" w:rsidRDefault="00F43FB2" w:rsidP="00030337">
            <w:pPr>
              <w:spacing w:after="0" w:line="240" w:lineRule="auto"/>
              <w:jc w:val="right"/>
              <w:rPr>
                <w:rFonts w:eastAsia="Times New Roman" w:cstheme="minorHAnsi"/>
                <w:color w:val="000000"/>
                <w:sz w:val="20"/>
                <w:szCs w:val="20"/>
                <w:lang w:eastAsia="en-NZ"/>
              </w:rPr>
            </w:pPr>
            <w:r w:rsidRPr="001244BB">
              <w:rPr>
                <w:rFonts w:eastAsia="Times New Roman" w:cstheme="minorHAnsi"/>
                <w:color w:val="000000"/>
                <w:sz w:val="20"/>
                <w:szCs w:val="20"/>
                <w:lang w:eastAsia="en-NZ"/>
              </w:rPr>
              <w:t>6.22</w:t>
            </w:r>
            <w:r w:rsidR="00D44447">
              <w:rPr>
                <w:rFonts w:eastAsia="Times New Roman" w:cstheme="minorHAnsi"/>
                <w:color w:val="000000"/>
                <w:sz w:val="20"/>
                <w:szCs w:val="20"/>
                <w:lang w:eastAsia="en-NZ"/>
              </w:rPr>
              <w:t>MWh</w:t>
            </w:r>
          </w:p>
        </w:tc>
        <w:tc>
          <w:tcPr>
            <w:tcW w:w="3544" w:type="dxa"/>
            <w:tcBorders>
              <w:bottom w:val="single" w:sz="4" w:space="0" w:color="00B050"/>
            </w:tcBorders>
            <w:shd w:val="clear" w:color="auto" w:fill="auto"/>
            <w:hideMark/>
          </w:tcPr>
          <w:p w:rsidR="00F43FB2" w:rsidRPr="001244BB" w:rsidRDefault="00100C89" w:rsidP="00030337">
            <w:pPr>
              <w:spacing w:after="0" w:line="240" w:lineRule="auto"/>
              <w:rPr>
                <w:rFonts w:eastAsia="Times New Roman" w:cstheme="minorHAnsi"/>
                <w:color w:val="000000"/>
                <w:sz w:val="20"/>
                <w:szCs w:val="20"/>
                <w:lang w:eastAsia="en-NZ"/>
              </w:rPr>
            </w:pPr>
            <w:r>
              <w:rPr>
                <w:rFonts w:eastAsia="Times New Roman" w:cstheme="minorHAnsi"/>
                <w:color w:val="000000"/>
                <w:sz w:val="20"/>
                <w:szCs w:val="20"/>
                <w:lang w:eastAsia="en-NZ"/>
              </w:rPr>
              <w:t xml:space="preserve">No trend. </w:t>
            </w:r>
            <w:r w:rsidR="00B27E9D">
              <w:rPr>
                <w:rFonts w:eastAsia="Times New Roman" w:cstheme="minorHAnsi"/>
                <w:color w:val="000000"/>
                <w:sz w:val="20"/>
                <w:szCs w:val="20"/>
                <w:lang w:eastAsia="en-NZ"/>
              </w:rPr>
              <w:t>The 2017/18 result is an update to the estimated value of 6.01MWh as reported in the last annual report.</w:t>
            </w:r>
          </w:p>
        </w:tc>
      </w:tr>
      <w:tr w:rsidR="00F43FB2" w:rsidRPr="001244BB" w:rsidTr="00B337AE">
        <w:trPr>
          <w:trHeight w:val="1589"/>
        </w:trPr>
        <w:tc>
          <w:tcPr>
            <w:tcW w:w="2826" w:type="dxa"/>
            <w:tcBorders>
              <w:top w:val="single" w:sz="4" w:space="0" w:color="00B050"/>
              <w:bottom w:val="nil"/>
            </w:tcBorders>
            <w:shd w:val="clear" w:color="auto" w:fill="auto"/>
            <w:hideMark/>
          </w:tcPr>
          <w:p w:rsidR="00F43FB2" w:rsidRPr="001244BB" w:rsidRDefault="00F43FB2" w:rsidP="00030337">
            <w:pPr>
              <w:spacing w:after="0" w:line="240" w:lineRule="auto"/>
              <w:rPr>
                <w:rFonts w:eastAsia="Times New Roman" w:cstheme="minorHAnsi"/>
                <w:color w:val="000000"/>
                <w:sz w:val="20"/>
                <w:szCs w:val="20"/>
                <w:lang w:eastAsia="en-NZ"/>
              </w:rPr>
            </w:pPr>
            <w:r w:rsidRPr="001244BB">
              <w:rPr>
                <w:rFonts w:eastAsia="Times New Roman" w:cstheme="minorHAnsi"/>
                <w:color w:val="000000"/>
                <w:sz w:val="20"/>
                <w:szCs w:val="20"/>
                <w:lang w:eastAsia="en-NZ"/>
              </w:rPr>
              <w:lastRenderedPageBreak/>
              <w:t>Total city greenhouse emissions per capita</w:t>
            </w:r>
          </w:p>
        </w:tc>
        <w:tc>
          <w:tcPr>
            <w:tcW w:w="1286" w:type="dxa"/>
            <w:tcBorders>
              <w:top w:val="single" w:sz="4" w:space="0" w:color="00B050"/>
              <w:bottom w:val="nil"/>
            </w:tcBorders>
            <w:shd w:val="clear" w:color="auto" w:fill="auto"/>
            <w:noWrap/>
            <w:hideMark/>
          </w:tcPr>
          <w:p w:rsidR="00F43FB2" w:rsidRPr="001244BB" w:rsidRDefault="00F43FB2" w:rsidP="00030337">
            <w:pPr>
              <w:spacing w:after="0" w:line="240" w:lineRule="auto"/>
              <w:rPr>
                <w:rFonts w:eastAsia="Times New Roman" w:cstheme="minorHAnsi"/>
                <w:color w:val="000000"/>
                <w:sz w:val="20"/>
                <w:szCs w:val="20"/>
                <w:lang w:eastAsia="en-NZ"/>
              </w:rPr>
            </w:pPr>
            <w:r w:rsidRPr="001244BB">
              <w:rPr>
                <w:rFonts w:eastAsia="Times New Roman" w:cstheme="minorHAnsi"/>
                <w:color w:val="000000"/>
                <w:sz w:val="20"/>
                <w:szCs w:val="20"/>
                <w:lang w:eastAsia="en-NZ"/>
              </w:rPr>
              <w:t>Decreasing</w:t>
            </w:r>
          </w:p>
        </w:tc>
        <w:tc>
          <w:tcPr>
            <w:tcW w:w="1275" w:type="dxa"/>
            <w:tcBorders>
              <w:top w:val="single" w:sz="4" w:space="0" w:color="00B050"/>
              <w:bottom w:val="nil"/>
            </w:tcBorders>
            <w:shd w:val="clear" w:color="auto" w:fill="auto"/>
            <w:hideMark/>
          </w:tcPr>
          <w:p w:rsidR="00F43FB2" w:rsidRPr="001244BB" w:rsidRDefault="00F43FB2" w:rsidP="00030337">
            <w:pPr>
              <w:spacing w:after="0" w:line="240" w:lineRule="auto"/>
              <w:rPr>
                <w:rFonts w:eastAsia="Times New Roman" w:cstheme="minorHAnsi"/>
                <w:color w:val="000000"/>
                <w:sz w:val="20"/>
                <w:szCs w:val="20"/>
                <w:lang w:eastAsia="en-NZ"/>
              </w:rPr>
            </w:pPr>
            <w:r w:rsidRPr="001244BB">
              <w:rPr>
                <w:rFonts w:eastAsia="Times New Roman" w:cstheme="minorHAnsi"/>
                <w:color w:val="000000"/>
                <w:sz w:val="20"/>
                <w:szCs w:val="20"/>
                <w:lang w:eastAsia="en-NZ"/>
              </w:rPr>
              <w:t>Source: Christ-</w:t>
            </w:r>
            <w:r w:rsidRPr="001244BB">
              <w:rPr>
                <w:rFonts w:eastAsia="Times New Roman" w:cstheme="minorHAnsi"/>
                <w:color w:val="000000"/>
                <w:sz w:val="20"/>
                <w:szCs w:val="20"/>
                <w:lang w:eastAsia="en-NZ"/>
              </w:rPr>
              <w:br/>
              <w:t>church Community Carbon Footprint 2016/2017</w:t>
            </w:r>
          </w:p>
        </w:tc>
        <w:tc>
          <w:tcPr>
            <w:tcW w:w="1888" w:type="dxa"/>
            <w:tcBorders>
              <w:top w:val="single" w:sz="4" w:space="0" w:color="00B050"/>
              <w:bottom w:val="nil"/>
            </w:tcBorders>
            <w:shd w:val="clear" w:color="auto" w:fill="auto"/>
            <w:hideMark/>
          </w:tcPr>
          <w:p w:rsidR="00F43FB2" w:rsidRPr="001244BB" w:rsidRDefault="00F43FB2" w:rsidP="00030337">
            <w:pPr>
              <w:spacing w:after="0" w:line="240" w:lineRule="auto"/>
              <w:jc w:val="right"/>
              <w:rPr>
                <w:rFonts w:eastAsia="Times New Roman" w:cstheme="minorHAnsi"/>
                <w:color w:val="000000"/>
                <w:sz w:val="20"/>
                <w:szCs w:val="20"/>
                <w:lang w:eastAsia="en-NZ"/>
              </w:rPr>
            </w:pPr>
            <w:r w:rsidRPr="001244BB">
              <w:rPr>
                <w:rFonts w:eastAsia="Times New Roman" w:cstheme="minorHAnsi"/>
                <w:color w:val="000000"/>
                <w:sz w:val="20"/>
                <w:szCs w:val="20"/>
                <w:lang w:eastAsia="en-NZ"/>
              </w:rPr>
              <w:t>Gross carbon emissions per capita 2016/2017 was 5.7</w:t>
            </w:r>
            <w:r w:rsidR="005F3580">
              <w:rPr>
                <w:rFonts w:eastAsia="Times New Roman" w:cstheme="minorHAnsi"/>
                <w:color w:val="000000"/>
                <w:sz w:val="20"/>
                <w:szCs w:val="20"/>
                <w:lang w:eastAsia="en-NZ"/>
              </w:rPr>
              <w:t xml:space="preserve"> </w:t>
            </w:r>
            <w:r w:rsidRPr="001244BB">
              <w:rPr>
                <w:rFonts w:eastAsia="Times New Roman" w:cstheme="minorHAnsi"/>
                <w:color w:val="000000"/>
                <w:sz w:val="20"/>
                <w:szCs w:val="20"/>
                <w:lang w:eastAsia="en-NZ"/>
              </w:rPr>
              <w:t>t</w:t>
            </w:r>
            <w:r w:rsidR="005F3580">
              <w:rPr>
                <w:rFonts w:eastAsia="Times New Roman" w:cstheme="minorHAnsi"/>
                <w:color w:val="000000"/>
                <w:sz w:val="20"/>
                <w:szCs w:val="20"/>
                <w:lang w:eastAsia="en-NZ"/>
              </w:rPr>
              <w:t>onnes</w:t>
            </w:r>
            <w:r w:rsidRPr="001244BB">
              <w:rPr>
                <w:rFonts w:eastAsia="Times New Roman" w:cstheme="minorHAnsi"/>
                <w:color w:val="000000"/>
                <w:sz w:val="20"/>
                <w:szCs w:val="20"/>
                <w:lang w:eastAsia="en-NZ"/>
              </w:rPr>
              <w:t xml:space="preserve"> CO</w:t>
            </w:r>
            <w:r w:rsidRPr="00A204D6">
              <w:rPr>
                <w:rFonts w:eastAsia="Times New Roman" w:cstheme="minorHAnsi"/>
                <w:color w:val="000000"/>
                <w:sz w:val="20"/>
                <w:szCs w:val="20"/>
                <w:vertAlign w:val="superscript"/>
                <w:lang w:eastAsia="en-NZ"/>
              </w:rPr>
              <w:t>2</w:t>
            </w:r>
            <w:r w:rsidRPr="001244BB">
              <w:rPr>
                <w:rFonts w:eastAsia="Times New Roman" w:cstheme="minorHAnsi"/>
                <w:color w:val="000000"/>
                <w:sz w:val="20"/>
                <w:szCs w:val="20"/>
                <w:lang w:eastAsia="en-NZ"/>
              </w:rPr>
              <w:t>/person/per year</w:t>
            </w:r>
          </w:p>
        </w:tc>
        <w:tc>
          <w:tcPr>
            <w:tcW w:w="2029" w:type="dxa"/>
            <w:tcBorders>
              <w:top w:val="single" w:sz="4" w:space="0" w:color="00B050"/>
              <w:bottom w:val="nil"/>
            </w:tcBorders>
            <w:shd w:val="clear" w:color="auto" w:fill="auto"/>
            <w:noWrap/>
            <w:hideMark/>
          </w:tcPr>
          <w:p w:rsidR="00F43FB2" w:rsidRPr="001244BB" w:rsidRDefault="00F43FB2" w:rsidP="00030337">
            <w:pPr>
              <w:spacing w:after="0" w:line="240" w:lineRule="auto"/>
              <w:jc w:val="right"/>
              <w:rPr>
                <w:rFonts w:eastAsia="Times New Roman" w:cstheme="minorHAnsi"/>
                <w:color w:val="000000"/>
                <w:sz w:val="20"/>
                <w:szCs w:val="20"/>
                <w:lang w:eastAsia="en-NZ"/>
              </w:rPr>
            </w:pPr>
          </w:p>
        </w:tc>
        <w:tc>
          <w:tcPr>
            <w:tcW w:w="1895" w:type="dxa"/>
            <w:tcBorders>
              <w:top w:val="single" w:sz="4" w:space="0" w:color="00B050"/>
              <w:bottom w:val="nil"/>
            </w:tcBorders>
            <w:shd w:val="clear" w:color="auto" w:fill="FFFFFF" w:themeFill="background1"/>
            <w:noWrap/>
            <w:hideMark/>
          </w:tcPr>
          <w:p w:rsidR="00F43FB2" w:rsidRPr="001244BB" w:rsidRDefault="000B1796" w:rsidP="00030337">
            <w:pPr>
              <w:spacing w:after="0" w:line="240" w:lineRule="auto"/>
              <w:jc w:val="right"/>
              <w:rPr>
                <w:rFonts w:eastAsia="Times New Roman" w:cstheme="minorHAnsi"/>
                <w:color w:val="000000"/>
                <w:sz w:val="20"/>
                <w:szCs w:val="20"/>
                <w:lang w:eastAsia="en-NZ"/>
              </w:rPr>
            </w:pPr>
            <w:r w:rsidRPr="00BA1937">
              <w:rPr>
                <w:rFonts w:eastAsia="Times New Roman" w:cstheme="minorHAnsi"/>
                <w:color w:val="000000"/>
                <w:sz w:val="20"/>
                <w:szCs w:val="20"/>
                <w:lang w:eastAsia="en-NZ"/>
              </w:rPr>
              <w:t>No 2018/19 result to report. See comment</w:t>
            </w:r>
          </w:p>
        </w:tc>
        <w:tc>
          <w:tcPr>
            <w:tcW w:w="3544" w:type="dxa"/>
            <w:tcBorders>
              <w:top w:val="single" w:sz="4" w:space="0" w:color="00B050"/>
              <w:bottom w:val="nil"/>
            </w:tcBorders>
            <w:shd w:val="clear" w:color="auto" w:fill="FFFFFF" w:themeFill="background1"/>
            <w:noWrap/>
            <w:hideMark/>
          </w:tcPr>
          <w:p w:rsidR="00F43FB2" w:rsidRPr="001244BB" w:rsidRDefault="00100C89" w:rsidP="00030337">
            <w:pPr>
              <w:spacing w:after="0" w:line="240" w:lineRule="auto"/>
              <w:rPr>
                <w:rFonts w:eastAsia="Times New Roman" w:cstheme="minorHAnsi"/>
                <w:color w:val="808080" w:themeColor="background1" w:themeShade="80"/>
                <w:sz w:val="20"/>
                <w:szCs w:val="20"/>
                <w:lang w:eastAsia="en-NZ"/>
              </w:rPr>
            </w:pPr>
            <w:r>
              <w:rPr>
                <w:rFonts w:eastAsia="Times New Roman" w:cstheme="minorHAnsi"/>
                <w:color w:val="000000"/>
                <w:sz w:val="20"/>
                <w:szCs w:val="20"/>
                <w:lang w:eastAsia="en-NZ"/>
              </w:rPr>
              <w:t xml:space="preserve">No trend. </w:t>
            </w:r>
            <w:r w:rsidR="000B1796" w:rsidRPr="00BA1937">
              <w:rPr>
                <w:rFonts w:eastAsia="Times New Roman" w:cstheme="minorHAnsi"/>
                <w:sz w:val="20"/>
                <w:szCs w:val="20"/>
                <w:lang w:eastAsia="en-NZ"/>
              </w:rPr>
              <w:t xml:space="preserve">The published result was sourced from a report prepared by AECOM New Zealand Limited (AECOM) between Oct 2017 and Jan 2018. Future Annual Reports results will </w:t>
            </w:r>
            <w:proofErr w:type="gramStart"/>
            <w:r w:rsidR="000B1796" w:rsidRPr="00BA1937">
              <w:rPr>
                <w:rFonts w:eastAsia="Times New Roman" w:cstheme="minorHAnsi"/>
                <w:sz w:val="20"/>
                <w:szCs w:val="20"/>
                <w:lang w:eastAsia="en-NZ"/>
              </w:rPr>
              <w:t>came</w:t>
            </w:r>
            <w:proofErr w:type="gramEnd"/>
            <w:r w:rsidR="000B1796" w:rsidRPr="00BA1937">
              <w:rPr>
                <w:rFonts w:eastAsia="Times New Roman" w:cstheme="minorHAnsi"/>
                <w:sz w:val="20"/>
                <w:szCs w:val="20"/>
                <w:lang w:eastAsia="en-NZ"/>
              </w:rPr>
              <w:t xml:space="preserve"> from a different source and be published as and when available.</w:t>
            </w:r>
          </w:p>
        </w:tc>
      </w:tr>
      <w:tr w:rsidR="00F43FB2" w:rsidRPr="001244BB" w:rsidTr="00B337AE">
        <w:trPr>
          <w:trHeight w:val="510"/>
        </w:trPr>
        <w:tc>
          <w:tcPr>
            <w:tcW w:w="2826" w:type="dxa"/>
            <w:tcBorders>
              <w:top w:val="nil"/>
            </w:tcBorders>
            <w:shd w:val="clear" w:color="auto" w:fill="auto"/>
            <w:hideMark/>
          </w:tcPr>
          <w:p w:rsidR="00F43FB2" w:rsidRPr="001244BB" w:rsidRDefault="00F43FB2" w:rsidP="00030337">
            <w:pPr>
              <w:spacing w:after="0" w:line="240" w:lineRule="auto"/>
              <w:rPr>
                <w:rFonts w:eastAsia="Times New Roman" w:cstheme="minorHAnsi"/>
                <w:color w:val="000000"/>
                <w:sz w:val="20"/>
                <w:szCs w:val="20"/>
                <w:lang w:eastAsia="en-NZ"/>
              </w:rPr>
            </w:pPr>
            <w:r w:rsidRPr="001244BB">
              <w:rPr>
                <w:rFonts w:eastAsia="Times New Roman" w:cstheme="minorHAnsi"/>
                <w:color w:val="000000"/>
                <w:sz w:val="20"/>
                <w:szCs w:val="20"/>
                <w:lang w:eastAsia="en-NZ"/>
              </w:rPr>
              <w:t>Residents who state they have taken regular action in the last year to reduce their greenhouse gas emissions</w:t>
            </w:r>
          </w:p>
        </w:tc>
        <w:tc>
          <w:tcPr>
            <w:tcW w:w="1286" w:type="dxa"/>
            <w:tcBorders>
              <w:top w:val="nil"/>
            </w:tcBorders>
            <w:shd w:val="clear" w:color="auto" w:fill="auto"/>
            <w:noWrap/>
            <w:hideMark/>
          </w:tcPr>
          <w:p w:rsidR="00F43FB2" w:rsidRPr="001244BB" w:rsidRDefault="00F43FB2" w:rsidP="00030337">
            <w:pPr>
              <w:spacing w:after="0" w:line="240" w:lineRule="auto"/>
              <w:rPr>
                <w:rFonts w:eastAsia="Times New Roman" w:cstheme="minorHAnsi"/>
                <w:color w:val="000000"/>
                <w:sz w:val="20"/>
                <w:szCs w:val="20"/>
                <w:lang w:eastAsia="en-NZ"/>
              </w:rPr>
            </w:pPr>
            <w:r w:rsidRPr="001244BB">
              <w:rPr>
                <w:rFonts w:eastAsia="Times New Roman" w:cstheme="minorHAnsi"/>
                <w:color w:val="000000"/>
                <w:sz w:val="20"/>
                <w:szCs w:val="20"/>
                <w:lang w:eastAsia="en-NZ"/>
              </w:rPr>
              <w:t>Increasing</w:t>
            </w:r>
          </w:p>
        </w:tc>
        <w:tc>
          <w:tcPr>
            <w:tcW w:w="1275" w:type="dxa"/>
            <w:tcBorders>
              <w:top w:val="nil"/>
            </w:tcBorders>
            <w:shd w:val="clear" w:color="auto" w:fill="auto"/>
            <w:noWrap/>
            <w:hideMark/>
          </w:tcPr>
          <w:p w:rsidR="00F43FB2" w:rsidRPr="001244BB" w:rsidRDefault="00F43FB2" w:rsidP="00030337">
            <w:pPr>
              <w:spacing w:after="0" w:line="240" w:lineRule="auto"/>
              <w:rPr>
                <w:rFonts w:eastAsia="Times New Roman" w:cstheme="minorHAnsi"/>
                <w:color w:val="000000"/>
                <w:sz w:val="20"/>
                <w:szCs w:val="20"/>
                <w:lang w:eastAsia="en-NZ"/>
              </w:rPr>
            </w:pPr>
            <w:r w:rsidRPr="001244BB">
              <w:rPr>
                <w:rFonts w:eastAsia="Times New Roman" w:cstheme="minorHAnsi"/>
                <w:color w:val="000000"/>
                <w:sz w:val="20"/>
                <w:szCs w:val="20"/>
                <w:lang w:eastAsia="en-NZ"/>
              </w:rPr>
              <w:t>WCC RMS 2019</w:t>
            </w:r>
          </w:p>
        </w:tc>
        <w:tc>
          <w:tcPr>
            <w:tcW w:w="1888" w:type="dxa"/>
            <w:tcBorders>
              <w:top w:val="nil"/>
            </w:tcBorders>
            <w:shd w:val="clear" w:color="auto" w:fill="auto"/>
            <w:noWrap/>
            <w:hideMark/>
          </w:tcPr>
          <w:p w:rsidR="00F43FB2" w:rsidRPr="001244BB" w:rsidRDefault="00F43FB2" w:rsidP="00030337">
            <w:pPr>
              <w:spacing w:after="0" w:line="240" w:lineRule="auto"/>
              <w:jc w:val="right"/>
              <w:rPr>
                <w:rFonts w:eastAsia="Times New Roman" w:cstheme="minorHAnsi"/>
                <w:color w:val="000000"/>
                <w:sz w:val="20"/>
                <w:szCs w:val="20"/>
                <w:lang w:eastAsia="en-NZ"/>
              </w:rPr>
            </w:pPr>
          </w:p>
        </w:tc>
        <w:tc>
          <w:tcPr>
            <w:tcW w:w="2029" w:type="dxa"/>
            <w:tcBorders>
              <w:top w:val="nil"/>
            </w:tcBorders>
            <w:shd w:val="clear" w:color="auto" w:fill="auto"/>
            <w:noWrap/>
            <w:hideMark/>
          </w:tcPr>
          <w:p w:rsidR="00F43FB2" w:rsidRPr="001244BB" w:rsidRDefault="00F43FB2" w:rsidP="00030337">
            <w:pPr>
              <w:spacing w:after="0" w:line="240" w:lineRule="auto"/>
              <w:jc w:val="right"/>
              <w:rPr>
                <w:rFonts w:eastAsia="Times New Roman" w:cstheme="minorHAnsi"/>
                <w:color w:val="000000"/>
                <w:sz w:val="20"/>
                <w:szCs w:val="20"/>
                <w:lang w:eastAsia="en-NZ"/>
              </w:rPr>
            </w:pPr>
            <w:r w:rsidRPr="001244BB">
              <w:rPr>
                <w:rFonts w:eastAsia="Times New Roman" w:cstheme="minorHAnsi"/>
                <w:color w:val="000000"/>
                <w:sz w:val="20"/>
                <w:szCs w:val="20"/>
                <w:lang w:eastAsia="en-NZ"/>
              </w:rPr>
              <w:t>new</w:t>
            </w:r>
          </w:p>
        </w:tc>
        <w:tc>
          <w:tcPr>
            <w:tcW w:w="1895" w:type="dxa"/>
            <w:tcBorders>
              <w:top w:val="nil"/>
            </w:tcBorders>
            <w:shd w:val="clear" w:color="auto" w:fill="auto"/>
            <w:noWrap/>
            <w:hideMark/>
          </w:tcPr>
          <w:p w:rsidR="00F43FB2" w:rsidRPr="001244BB" w:rsidRDefault="00F43FB2" w:rsidP="00030337">
            <w:pPr>
              <w:spacing w:after="0" w:line="240" w:lineRule="auto"/>
              <w:jc w:val="right"/>
              <w:rPr>
                <w:rFonts w:eastAsia="Times New Roman" w:cstheme="minorHAnsi"/>
                <w:color w:val="000000"/>
                <w:sz w:val="20"/>
                <w:szCs w:val="20"/>
                <w:lang w:eastAsia="en-NZ"/>
              </w:rPr>
            </w:pPr>
            <w:r w:rsidRPr="001244BB">
              <w:rPr>
                <w:rFonts w:eastAsia="Times New Roman" w:cstheme="minorHAnsi"/>
                <w:color w:val="000000"/>
                <w:sz w:val="20"/>
                <w:szCs w:val="20"/>
                <w:lang w:eastAsia="en-NZ"/>
              </w:rPr>
              <w:t xml:space="preserve">95% </w:t>
            </w:r>
          </w:p>
        </w:tc>
        <w:tc>
          <w:tcPr>
            <w:tcW w:w="3544" w:type="dxa"/>
            <w:tcBorders>
              <w:top w:val="nil"/>
            </w:tcBorders>
            <w:shd w:val="clear" w:color="auto" w:fill="auto"/>
            <w:hideMark/>
          </w:tcPr>
          <w:p w:rsidR="00F43FB2" w:rsidRPr="00030337" w:rsidRDefault="00100C89" w:rsidP="00030337">
            <w:pPr>
              <w:spacing w:after="0" w:line="240" w:lineRule="auto"/>
              <w:rPr>
                <w:rFonts w:eastAsia="Times New Roman" w:cstheme="minorHAnsi"/>
                <w:sz w:val="20"/>
                <w:szCs w:val="20"/>
                <w:lang w:eastAsia="en-NZ"/>
              </w:rPr>
            </w:pPr>
            <w:r>
              <w:rPr>
                <w:rFonts w:eastAsia="Times New Roman" w:cstheme="minorHAnsi"/>
                <w:color w:val="000000"/>
                <w:sz w:val="20"/>
                <w:szCs w:val="20"/>
                <w:lang w:eastAsia="en-NZ"/>
              </w:rPr>
              <w:t xml:space="preserve">No trend. </w:t>
            </w:r>
            <w:r w:rsidR="00F43FB2" w:rsidRPr="00030337">
              <w:rPr>
                <w:rFonts w:eastAsia="Times New Roman" w:cstheme="minorHAnsi"/>
                <w:sz w:val="20"/>
                <w:szCs w:val="20"/>
                <w:lang w:eastAsia="en-NZ"/>
              </w:rPr>
              <w:t>See</w:t>
            </w:r>
            <w:r>
              <w:rPr>
                <w:rFonts w:eastAsia="Times New Roman" w:cstheme="minorHAnsi"/>
                <w:sz w:val="20"/>
                <w:szCs w:val="20"/>
                <w:lang w:eastAsia="en-NZ"/>
              </w:rPr>
              <w:t xml:space="preserve"> also supplementary tables</w:t>
            </w:r>
          </w:p>
        </w:tc>
      </w:tr>
      <w:tr w:rsidR="00F43FB2" w:rsidRPr="001244BB" w:rsidTr="00B337AE">
        <w:trPr>
          <w:trHeight w:val="255"/>
        </w:trPr>
        <w:tc>
          <w:tcPr>
            <w:tcW w:w="2826" w:type="dxa"/>
            <w:shd w:val="clear" w:color="auto" w:fill="auto"/>
            <w:hideMark/>
          </w:tcPr>
          <w:p w:rsidR="00F43FB2" w:rsidRPr="001244BB" w:rsidRDefault="00F43FB2" w:rsidP="00030337">
            <w:pPr>
              <w:spacing w:after="0" w:line="240" w:lineRule="auto"/>
              <w:rPr>
                <w:rFonts w:eastAsia="Times New Roman" w:cstheme="minorHAnsi"/>
                <w:color w:val="000000"/>
                <w:sz w:val="20"/>
                <w:szCs w:val="20"/>
                <w:lang w:eastAsia="en-NZ"/>
              </w:rPr>
            </w:pPr>
            <w:r w:rsidRPr="001244BB">
              <w:rPr>
                <w:rFonts w:eastAsia="Times New Roman" w:cstheme="minorHAnsi"/>
                <w:color w:val="000000"/>
                <w:sz w:val="20"/>
                <w:szCs w:val="20"/>
                <w:lang w:eastAsia="en-NZ"/>
              </w:rPr>
              <w:t>Total kerbside recycling collected per (kilograms per person)</w:t>
            </w:r>
          </w:p>
        </w:tc>
        <w:tc>
          <w:tcPr>
            <w:tcW w:w="1286" w:type="dxa"/>
            <w:shd w:val="clear" w:color="auto" w:fill="auto"/>
            <w:noWrap/>
            <w:hideMark/>
          </w:tcPr>
          <w:p w:rsidR="00F43FB2" w:rsidRPr="001244BB" w:rsidRDefault="00F43FB2" w:rsidP="00030337">
            <w:pPr>
              <w:spacing w:after="0" w:line="240" w:lineRule="auto"/>
              <w:rPr>
                <w:rFonts w:eastAsia="Times New Roman" w:cstheme="minorHAnsi"/>
                <w:color w:val="000000"/>
                <w:sz w:val="20"/>
                <w:szCs w:val="20"/>
                <w:lang w:eastAsia="en-NZ"/>
              </w:rPr>
            </w:pPr>
            <w:r w:rsidRPr="001244BB">
              <w:rPr>
                <w:rFonts w:eastAsia="Times New Roman" w:cstheme="minorHAnsi"/>
                <w:color w:val="000000"/>
                <w:sz w:val="20"/>
                <w:szCs w:val="20"/>
                <w:lang w:eastAsia="en-NZ"/>
              </w:rPr>
              <w:t>Increasing</w:t>
            </w:r>
          </w:p>
        </w:tc>
        <w:tc>
          <w:tcPr>
            <w:tcW w:w="1275" w:type="dxa"/>
            <w:shd w:val="clear" w:color="auto" w:fill="auto"/>
            <w:noWrap/>
            <w:hideMark/>
          </w:tcPr>
          <w:p w:rsidR="00F43FB2" w:rsidRPr="001244BB" w:rsidRDefault="00F43FB2" w:rsidP="00030337">
            <w:pPr>
              <w:spacing w:after="0" w:line="240" w:lineRule="auto"/>
              <w:rPr>
                <w:rFonts w:eastAsia="Times New Roman" w:cstheme="minorHAnsi"/>
                <w:color w:val="000000"/>
                <w:sz w:val="20"/>
                <w:szCs w:val="20"/>
                <w:lang w:eastAsia="en-NZ"/>
              </w:rPr>
            </w:pPr>
            <w:r w:rsidRPr="001244BB">
              <w:rPr>
                <w:rFonts w:eastAsia="Times New Roman" w:cstheme="minorHAnsi"/>
                <w:color w:val="000000"/>
                <w:sz w:val="20"/>
                <w:szCs w:val="20"/>
                <w:lang w:eastAsia="en-NZ"/>
              </w:rPr>
              <w:t>WCC Waste Operations</w:t>
            </w:r>
          </w:p>
        </w:tc>
        <w:tc>
          <w:tcPr>
            <w:tcW w:w="1888" w:type="dxa"/>
            <w:shd w:val="clear" w:color="auto" w:fill="auto"/>
            <w:noWrap/>
            <w:hideMark/>
          </w:tcPr>
          <w:p w:rsidR="00F43FB2" w:rsidRPr="001244BB" w:rsidRDefault="00F43FB2" w:rsidP="00030337">
            <w:pPr>
              <w:spacing w:after="0" w:line="240" w:lineRule="auto"/>
              <w:jc w:val="right"/>
              <w:rPr>
                <w:rFonts w:eastAsia="Times New Roman" w:cstheme="minorHAnsi"/>
                <w:color w:val="000000"/>
                <w:sz w:val="20"/>
                <w:szCs w:val="20"/>
                <w:lang w:eastAsia="en-NZ"/>
              </w:rPr>
            </w:pPr>
            <w:r w:rsidRPr="001244BB">
              <w:rPr>
                <w:rFonts w:eastAsia="Times New Roman" w:cstheme="minorHAnsi"/>
                <w:color w:val="000000"/>
                <w:sz w:val="20"/>
                <w:szCs w:val="20"/>
                <w:lang w:eastAsia="en-NZ"/>
              </w:rPr>
              <w:t>53.8</w:t>
            </w:r>
            <w:r w:rsidR="005F3580">
              <w:rPr>
                <w:rFonts w:eastAsia="Times New Roman" w:cstheme="minorHAnsi"/>
                <w:color w:val="000000"/>
                <w:sz w:val="20"/>
                <w:szCs w:val="20"/>
                <w:lang w:eastAsia="en-NZ"/>
              </w:rPr>
              <w:t xml:space="preserve"> </w:t>
            </w:r>
            <w:r w:rsidRPr="001244BB">
              <w:rPr>
                <w:rFonts w:eastAsia="Times New Roman" w:cstheme="minorHAnsi"/>
                <w:color w:val="000000"/>
                <w:sz w:val="20"/>
                <w:szCs w:val="20"/>
                <w:lang w:eastAsia="en-NZ"/>
              </w:rPr>
              <w:t>kg</w:t>
            </w:r>
          </w:p>
        </w:tc>
        <w:tc>
          <w:tcPr>
            <w:tcW w:w="2029" w:type="dxa"/>
            <w:shd w:val="clear" w:color="auto" w:fill="auto"/>
            <w:noWrap/>
            <w:hideMark/>
          </w:tcPr>
          <w:p w:rsidR="00F43FB2" w:rsidRPr="001244BB" w:rsidRDefault="00F43FB2" w:rsidP="00030337">
            <w:pPr>
              <w:spacing w:after="0" w:line="240" w:lineRule="auto"/>
              <w:jc w:val="right"/>
              <w:rPr>
                <w:rFonts w:eastAsia="Times New Roman" w:cstheme="minorHAnsi"/>
                <w:color w:val="000000"/>
                <w:sz w:val="20"/>
                <w:szCs w:val="20"/>
                <w:lang w:eastAsia="en-NZ"/>
              </w:rPr>
            </w:pPr>
            <w:r w:rsidRPr="001244BB">
              <w:rPr>
                <w:rFonts w:eastAsia="Times New Roman" w:cstheme="minorHAnsi"/>
                <w:color w:val="000000"/>
                <w:sz w:val="20"/>
                <w:szCs w:val="20"/>
                <w:lang w:eastAsia="en-NZ"/>
              </w:rPr>
              <w:t>52.1</w:t>
            </w:r>
            <w:r w:rsidR="005F3580">
              <w:rPr>
                <w:rFonts w:eastAsia="Times New Roman" w:cstheme="minorHAnsi"/>
                <w:color w:val="000000"/>
                <w:sz w:val="20"/>
                <w:szCs w:val="20"/>
                <w:lang w:eastAsia="en-NZ"/>
              </w:rPr>
              <w:t xml:space="preserve"> </w:t>
            </w:r>
            <w:r w:rsidRPr="001244BB">
              <w:rPr>
                <w:rFonts w:eastAsia="Times New Roman" w:cstheme="minorHAnsi"/>
                <w:color w:val="000000"/>
                <w:sz w:val="20"/>
                <w:szCs w:val="20"/>
                <w:lang w:eastAsia="en-NZ"/>
              </w:rPr>
              <w:t>kg</w:t>
            </w:r>
          </w:p>
        </w:tc>
        <w:tc>
          <w:tcPr>
            <w:tcW w:w="1895" w:type="dxa"/>
            <w:shd w:val="clear" w:color="auto" w:fill="auto"/>
            <w:noWrap/>
            <w:hideMark/>
          </w:tcPr>
          <w:p w:rsidR="00F43FB2" w:rsidRPr="001244BB" w:rsidRDefault="00F43FB2" w:rsidP="00030337">
            <w:pPr>
              <w:spacing w:after="0" w:line="240" w:lineRule="auto"/>
              <w:jc w:val="right"/>
              <w:rPr>
                <w:rFonts w:eastAsia="Times New Roman" w:cstheme="minorHAnsi"/>
                <w:color w:val="000000"/>
                <w:sz w:val="20"/>
                <w:szCs w:val="20"/>
                <w:lang w:eastAsia="en-NZ"/>
              </w:rPr>
            </w:pPr>
            <w:r w:rsidRPr="001244BB">
              <w:rPr>
                <w:rFonts w:eastAsia="Times New Roman" w:cstheme="minorHAnsi"/>
                <w:color w:val="000000"/>
                <w:sz w:val="20"/>
                <w:szCs w:val="20"/>
                <w:lang w:eastAsia="en-NZ"/>
              </w:rPr>
              <w:t>52.8</w:t>
            </w:r>
            <w:r w:rsidR="005F3580">
              <w:rPr>
                <w:rFonts w:eastAsia="Times New Roman" w:cstheme="minorHAnsi"/>
                <w:color w:val="000000"/>
                <w:sz w:val="20"/>
                <w:szCs w:val="20"/>
                <w:lang w:eastAsia="en-NZ"/>
              </w:rPr>
              <w:t xml:space="preserve"> </w:t>
            </w:r>
            <w:r w:rsidRPr="001244BB">
              <w:rPr>
                <w:rFonts w:eastAsia="Times New Roman" w:cstheme="minorHAnsi"/>
                <w:color w:val="000000"/>
                <w:sz w:val="20"/>
                <w:szCs w:val="20"/>
                <w:lang w:eastAsia="en-NZ"/>
              </w:rPr>
              <w:t>kg</w:t>
            </w:r>
          </w:p>
        </w:tc>
        <w:tc>
          <w:tcPr>
            <w:tcW w:w="3544" w:type="dxa"/>
            <w:shd w:val="clear" w:color="auto" w:fill="auto"/>
            <w:hideMark/>
          </w:tcPr>
          <w:p w:rsidR="00F43FB2" w:rsidRPr="001244BB" w:rsidRDefault="00100C89" w:rsidP="00030337">
            <w:pPr>
              <w:spacing w:after="0" w:line="240" w:lineRule="auto"/>
              <w:rPr>
                <w:rFonts w:eastAsia="Times New Roman" w:cstheme="minorHAnsi"/>
                <w:color w:val="000000"/>
                <w:sz w:val="20"/>
                <w:szCs w:val="20"/>
                <w:lang w:eastAsia="en-NZ"/>
              </w:rPr>
            </w:pPr>
            <w:r>
              <w:rPr>
                <w:rFonts w:eastAsia="Times New Roman" w:cstheme="minorHAnsi"/>
                <w:color w:val="000000"/>
                <w:sz w:val="20"/>
                <w:szCs w:val="20"/>
                <w:lang w:eastAsia="en-NZ"/>
              </w:rPr>
              <w:t>No trend.</w:t>
            </w:r>
          </w:p>
        </w:tc>
      </w:tr>
      <w:tr w:rsidR="00F43FB2" w:rsidRPr="001244BB" w:rsidTr="00B337AE">
        <w:trPr>
          <w:trHeight w:val="255"/>
        </w:trPr>
        <w:tc>
          <w:tcPr>
            <w:tcW w:w="2826" w:type="dxa"/>
            <w:shd w:val="clear" w:color="auto" w:fill="auto"/>
            <w:hideMark/>
          </w:tcPr>
          <w:p w:rsidR="00F43FB2" w:rsidRPr="001244BB" w:rsidRDefault="00F43FB2" w:rsidP="00030337">
            <w:pPr>
              <w:spacing w:after="0" w:line="240" w:lineRule="auto"/>
              <w:rPr>
                <w:rFonts w:eastAsia="Times New Roman" w:cstheme="minorHAnsi"/>
                <w:color w:val="000000"/>
                <w:sz w:val="20"/>
                <w:szCs w:val="20"/>
                <w:lang w:eastAsia="en-NZ"/>
              </w:rPr>
            </w:pPr>
            <w:r w:rsidRPr="001244BB">
              <w:rPr>
                <w:rFonts w:eastAsia="Times New Roman" w:cstheme="minorHAnsi"/>
                <w:color w:val="000000"/>
                <w:sz w:val="20"/>
                <w:szCs w:val="20"/>
                <w:lang w:eastAsia="en-NZ"/>
              </w:rPr>
              <w:t>Kilograms of general waste to landfill per person</w:t>
            </w:r>
          </w:p>
        </w:tc>
        <w:tc>
          <w:tcPr>
            <w:tcW w:w="1286" w:type="dxa"/>
            <w:shd w:val="clear" w:color="auto" w:fill="auto"/>
            <w:noWrap/>
            <w:hideMark/>
          </w:tcPr>
          <w:p w:rsidR="00F43FB2" w:rsidRPr="001244BB" w:rsidRDefault="00F43FB2" w:rsidP="00030337">
            <w:pPr>
              <w:spacing w:after="0" w:line="240" w:lineRule="auto"/>
              <w:rPr>
                <w:rFonts w:eastAsia="Times New Roman" w:cstheme="minorHAnsi"/>
                <w:color w:val="000000"/>
                <w:sz w:val="20"/>
                <w:szCs w:val="20"/>
                <w:lang w:eastAsia="en-NZ"/>
              </w:rPr>
            </w:pPr>
            <w:r w:rsidRPr="001244BB">
              <w:rPr>
                <w:rFonts w:eastAsia="Times New Roman" w:cstheme="minorHAnsi"/>
                <w:color w:val="000000"/>
                <w:sz w:val="20"/>
                <w:szCs w:val="20"/>
                <w:lang w:eastAsia="en-NZ"/>
              </w:rPr>
              <w:t>Decreasing</w:t>
            </w:r>
          </w:p>
        </w:tc>
        <w:tc>
          <w:tcPr>
            <w:tcW w:w="1275" w:type="dxa"/>
            <w:shd w:val="clear" w:color="auto" w:fill="auto"/>
            <w:noWrap/>
            <w:hideMark/>
          </w:tcPr>
          <w:p w:rsidR="00F43FB2" w:rsidRPr="001244BB" w:rsidRDefault="00F43FB2" w:rsidP="00030337">
            <w:pPr>
              <w:spacing w:after="0" w:line="240" w:lineRule="auto"/>
              <w:rPr>
                <w:rFonts w:eastAsia="Times New Roman" w:cstheme="minorHAnsi"/>
                <w:color w:val="000000"/>
                <w:sz w:val="20"/>
                <w:szCs w:val="20"/>
                <w:lang w:eastAsia="en-NZ"/>
              </w:rPr>
            </w:pPr>
            <w:r w:rsidRPr="001244BB">
              <w:rPr>
                <w:rFonts w:eastAsia="Times New Roman" w:cstheme="minorHAnsi"/>
                <w:color w:val="000000"/>
                <w:sz w:val="20"/>
                <w:szCs w:val="20"/>
                <w:lang w:eastAsia="en-NZ"/>
              </w:rPr>
              <w:t>WCC Waste Operations / ProfileID</w:t>
            </w:r>
          </w:p>
        </w:tc>
        <w:tc>
          <w:tcPr>
            <w:tcW w:w="1888" w:type="dxa"/>
            <w:shd w:val="clear" w:color="auto" w:fill="auto"/>
            <w:noWrap/>
            <w:hideMark/>
          </w:tcPr>
          <w:p w:rsidR="00F43FB2" w:rsidRPr="001244BB" w:rsidRDefault="00F43FB2" w:rsidP="00030337">
            <w:pPr>
              <w:spacing w:after="0" w:line="240" w:lineRule="auto"/>
              <w:jc w:val="right"/>
              <w:rPr>
                <w:rFonts w:eastAsia="Times New Roman" w:cstheme="minorHAnsi"/>
                <w:color w:val="000000"/>
                <w:sz w:val="20"/>
                <w:szCs w:val="20"/>
                <w:lang w:eastAsia="en-NZ"/>
              </w:rPr>
            </w:pPr>
            <w:r w:rsidRPr="001244BB">
              <w:rPr>
                <w:rFonts w:eastAsia="Times New Roman" w:cstheme="minorHAnsi"/>
                <w:color w:val="000000"/>
                <w:sz w:val="20"/>
                <w:szCs w:val="20"/>
                <w:lang w:eastAsia="en-NZ"/>
              </w:rPr>
              <w:t>447</w:t>
            </w:r>
            <w:r w:rsidR="005F3580">
              <w:rPr>
                <w:rFonts w:eastAsia="Times New Roman" w:cstheme="minorHAnsi"/>
                <w:color w:val="000000"/>
                <w:sz w:val="20"/>
                <w:szCs w:val="20"/>
                <w:lang w:eastAsia="en-NZ"/>
              </w:rPr>
              <w:t xml:space="preserve"> </w:t>
            </w:r>
            <w:r w:rsidR="00D44447">
              <w:rPr>
                <w:rFonts w:eastAsia="Times New Roman" w:cstheme="minorHAnsi"/>
                <w:color w:val="000000"/>
                <w:sz w:val="20"/>
                <w:szCs w:val="20"/>
                <w:lang w:eastAsia="en-NZ"/>
              </w:rPr>
              <w:t>kg</w:t>
            </w:r>
            <w:r w:rsidR="00B27E9D">
              <w:rPr>
                <w:rFonts w:eastAsia="Times New Roman" w:cstheme="minorHAnsi"/>
                <w:color w:val="000000"/>
                <w:sz w:val="20"/>
                <w:szCs w:val="20"/>
                <w:lang w:eastAsia="en-NZ"/>
              </w:rPr>
              <w:t xml:space="preserve"> per person</w:t>
            </w:r>
          </w:p>
        </w:tc>
        <w:tc>
          <w:tcPr>
            <w:tcW w:w="2029" w:type="dxa"/>
            <w:shd w:val="clear" w:color="auto" w:fill="auto"/>
            <w:noWrap/>
            <w:hideMark/>
          </w:tcPr>
          <w:p w:rsidR="00F43FB2" w:rsidRPr="001244BB" w:rsidRDefault="00F43FB2" w:rsidP="00030337">
            <w:pPr>
              <w:spacing w:after="0" w:line="240" w:lineRule="auto"/>
              <w:jc w:val="right"/>
              <w:rPr>
                <w:rFonts w:eastAsia="Times New Roman" w:cstheme="minorHAnsi"/>
                <w:color w:val="000000"/>
                <w:sz w:val="20"/>
                <w:szCs w:val="20"/>
                <w:lang w:eastAsia="en-NZ"/>
              </w:rPr>
            </w:pPr>
            <w:r w:rsidRPr="001244BB">
              <w:rPr>
                <w:rFonts w:eastAsia="Times New Roman" w:cstheme="minorHAnsi"/>
                <w:color w:val="000000"/>
                <w:sz w:val="20"/>
                <w:szCs w:val="20"/>
                <w:lang w:eastAsia="en-NZ"/>
              </w:rPr>
              <w:t>478</w:t>
            </w:r>
            <w:r w:rsidR="005F3580">
              <w:rPr>
                <w:rFonts w:eastAsia="Times New Roman" w:cstheme="minorHAnsi"/>
                <w:color w:val="000000"/>
                <w:sz w:val="20"/>
                <w:szCs w:val="20"/>
                <w:lang w:eastAsia="en-NZ"/>
              </w:rPr>
              <w:t xml:space="preserve"> </w:t>
            </w:r>
            <w:r w:rsidR="00D44447">
              <w:rPr>
                <w:rFonts w:eastAsia="Times New Roman" w:cstheme="minorHAnsi"/>
                <w:color w:val="000000"/>
                <w:sz w:val="20"/>
                <w:szCs w:val="20"/>
                <w:lang w:eastAsia="en-NZ"/>
              </w:rPr>
              <w:t>kg</w:t>
            </w:r>
            <w:r w:rsidR="00B27E9D">
              <w:rPr>
                <w:rFonts w:eastAsia="Times New Roman" w:cstheme="minorHAnsi"/>
                <w:color w:val="000000"/>
                <w:sz w:val="20"/>
                <w:szCs w:val="20"/>
                <w:lang w:eastAsia="en-NZ"/>
              </w:rPr>
              <w:t xml:space="preserve"> per person</w:t>
            </w:r>
          </w:p>
        </w:tc>
        <w:tc>
          <w:tcPr>
            <w:tcW w:w="1895" w:type="dxa"/>
            <w:shd w:val="clear" w:color="auto" w:fill="auto"/>
            <w:noWrap/>
            <w:hideMark/>
          </w:tcPr>
          <w:p w:rsidR="00F43FB2" w:rsidRPr="001244BB" w:rsidRDefault="00F43FB2" w:rsidP="00030337">
            <w:pPr>
              <w:spacing w:after="0" w:line="240" w:lineRule="auto"/>
              <w:jc w:val="right"/>
              <w:rPr>
                <w:rFonts w:eastAsia="Times New Roman" w:cstheme="minorHAnsi"/>
                <w:color w:val="000000"/>
                <w:sz w:val="20"/>
                <w:szCs w:val="20"/>
                <w:lang w:eastAsia="en-NZ"/>
              </w:rPr>
            </w:pPr>
            <w:r w:rsidRPr="001244BB">
              <w:rPr>
                <w:rFonts w:eastAsia="Times New Roman" w:cstheme="minorHAnsi"/>
                <w:color w:val="000000"/>
                <w:sz w:val="20"/>
                <w:szCs w:val="20"/>
                <w:lang w:eastAsia="en-NZ"/>
              </w:rPr>
              <w:t>437</w:t>
            </w:r>
            <w:r w:rsidR="005F3580">
              <w:rPr>
                <w:rFonts w:eastAsia="Times New Roman" w:cstheme="minorHAnsi"/>
                <w:color w:val="000000"/>
                <w:sz w:val="20"/>
                <w:szCs w:val="20"/>
                <w:lang w:eastAsia="en-NZ"/>
              </w:rPr>
              <w:t xml:space="preserve"> </w:t>
            </w:r>
            <w:r w:rsidR="00D44447">
              <w:rPr>
                <w:rFonts w:eastAsia="Times New Roman" w:cstheme="minorHAnsi"/>
                <w:color w:val="000000"/>
                <w:sz w:val="20"/>
                <w:szCs w:val="20"/>
                <w:lang w:eastAsia="en-NZ"/>
              </w:rPr>
              <w:t>kg</w:t>
            </w:r>
            <w:r w:rsidR="00B27E9D">
              <w:rPr>
                <w:rFonts w:eastAsia="Times New Roman" w:cstheme="minorHAnsi"/>
                <w:color w:val="000000"/>
                <w:sz w:val="20"/>
                <w:szCs w:val="20"/>
                <w:lang w:eastAsia="en-NZ"/>
              </w:rPr>
              <w:t xml:space="preserve"> per person</w:t>
            </w:r>
          </w:p>
        </w:tc>
        <w:tc>
          <w:tcPr>
            <w:tcW w:w="3544" w:type="dxa"/>
            <w:shd w:val="clear" w:color="auto" w:fill="auto"/>
            <w:hideMark/>
          </w:tcPr>
          <w:p w:rsidR="00F43FB2" w:rsidRPr="001244BB" w:rsidRDefault="00100C89" w:rsidP="00030337">
            <w:pPr>
              <w:spacing w:after="0" w:line="240" w:lineRule="auto"/>
              <w:rPr>
                <w:rFonts w:eastAsia="Times New Roman" w:cstheme="minorHAnsi"/>
                <w:color w:val="000000"/>
                <w:sz w:val="20"/>
                <w:szCs w:val="20"/>
                <w:lang w:eastAsia="en-NZ"/>
              </w:rPr>
            </w:pPr>
            <w:r>
              <w:rPr>
                <w:rFonts w:eastAsia="Times New Roman" w:cstheme="minorHAnsi"/>
                <w:color w:val="000000"/>
                <w:sz w:val="20"/>
                <w:szCs w:val="20"/>
                <w:lang w:eastAsia="en-NZ"/>
              </w:rPr>
              <w:t>No trend.</w:t>
            </w:r>
          </w:p>
        </w:tc>
      </w:tr>
      <w:tr w:rsidR="00F43FB2" w:rsidRPr="001244BB" w:rsidTr="00B337AE">
        <w:trPr>
          <w:trHeight w:val="255"/>
        </w:trPr>
        <w:tc>
          <w:tcPr>
            <w:tcW w:w="2826" w:type="dxa"/>
            <w:shd w:val="clear" w:color="auto" w:fill="00B050"/>
            <w:hideMark/>
          </w:tcPr>
          <w:p w:rsidR="00F43FB2" w:rsidRPr="001244BB" w:rsidRDefault="00F43FB2" w:rsidP="00030337">
            <w:pPr>
              <w:spacing w:after="0" w:line="240" w:lineRule="auto"/>
              <w:rPr>
                <w:rFonts w:eastAsia="Times New Roman" w:cstheme="minorHAnsi"/>
                <w:b/>
                <w:bCs/>
                <w:color w:val="FFFFFF"/>
                <w:sz w:val="20"/>
                <w:szCs w:val="20"/>
                <w:lang w:eastAsia="en-NZ"/>
              </w:rPr>
            </w:pPr>
            <w:r w:rsidRPr="001244BB">
              <w:rPr>
                <w:rFonts w:eastAsia="Times New Roman" w:cstheme="minorHAnsi"/>
                <w:b/>
                <w:bCs/>
                <w:color w:val="FFFFFF"/>
                <w:sz w:val="20"/>
                <w:szCs w:val="20"/>
                <w:lang w:eastAsia="en-NZ"/>
              </w:rPr>
              <w:t>What this tells us:</w:t>
            </w:r>
          </w:p>
        </w:tc>
        <w:tc>
          <w:tcPr>
            <w:tcW w:w="1286" w:type="dxa"/>
            <w:shd w:val="clear" w:color="auto" w:fill="00B050"/>
            <w:hideMark/>
          </w:tcPr>
          <w:p w:rsidR="00F43FB2" w:rsidRPr="001244BB" w:rsidRDefault="00F43FB2" w:rsidP="00030337">
            <w:pPr>
              <w:spacing w:after="0" w:line="240" w:lineRule="auto"/>
              <w:rPr>
                <w:rFonts w:eastAsia="Times New Roman" w:cstheme="minorHAnsi"/>
                <w:b/>
                <w:bCs/>
                <w:color w:val="FFFFFF"/>
                <w:sz w:val="20"/>
                <w:szCs w:val="20"/>
                <w:lang w:eastAsia="en-NZ"/>
              </w:rPr>
            </w:pPr>
            <w:r w:rsidRPr="001244BB">
              <w:rPr>
                <w:rFonts w:eastAsia="Times New Roman" w:cstheme="minorHAnsi"/>
                <w:b/>
                <w:bCs/>
                <w:color w:val="FFFFFF"/>
                <w:sz w:val="20"/>
                <w:szCs w:val="20"/>
                <w:lang w:eastAsia="en-NZ"/>
              </w:rPr>
              <w:t> </w:t>
            </w:r>
          </w:p>
        </w:tc>
        <w:tc>
          <w:tcPr>
            <w:tcW w:w="1275" w:type="dxa"/>
            <w:shd w:val="clear" w:color="auto" w:fill="00B050"/>
            <w:hideMark/>
          </w:tcPr>
          <w:p w:rsidR="00F43FB2" w:rsidRPr="001244BB" w:rsidRDefault="00F43FB2" w:rsidP="00030337">
            <w:pPr>
              <w:spacing w:after="0" w:line="240" w:lineRule="auto"/>
              <w:rPr>
                <w:rFonts w:eastAsia="Times New Roman" w:cstheme="minorHAnsi"/>
                <w:b/>
                <w:bCs/>
                <w:color w:val="FFFFFF"/>
                <w:sz w:val="20"/>
                <w:szCs w:val="20"/>
                <w:lang w:eastAsia="en-NZ"/>
              </w:rPr>
            </w:pPr>
            <w:r w:rsidRPr="001244BB">
              <w:rPr>
                <w:rFonts w:eastAsia="Times New Roman" w:cstheme="minorHAnsi"/>
                <w:b/>
                <w:bCs/>
                <w:color w:val="FFFFFF"/>
                <w:sz w:val="20"/>
                <w:szCs w:val="20"/>
                <w:lang w:eastAsia="en-NZ"/>
              </w:rPr>
              <w:t> </w:t>
            </w:r>
          </w:p>
        </w:tc>
        <w:tc>
          <w:tcPr>
            <w:tcW w:w="1888" w:type="dxa"/>
            <w:shd w:val="clear" w:color="auto" w:fill="00B050"/>
            <w:hideMark/>
          </w:tcPr>
          <w:p w:rsidR="00F43FB2" w:rsidRPr="001244BB" w:rsidRDefault="00F43FB2" w:rsidP="00030337">
            <w:pPr>
              <w:spacing w:after="0" w:line="240" w:lineRule="auto"/>
              <w:rPr>
                <w:rFonts w:eastAsia="Times New Roman" w:cstheme="minorHAnsi"/>
                <w:b/>
                <w:bCs/>
                <w:color w:val="FFFFFF"/>
                <w:sz w:val="20"/>
                <w:szCs w:val="20"/>
                <w:lang w:eastAsia="en-NZ"/>
              </w:rPr>
            </w:pPr>
            <w:r w:rsidRPr="001244BB">
              <w:rPr>
                <w:rFonts w:eastAsia="Times New Roman" w:cstheme="minorHAnsi"/>
                <w:b/>
                <w:bCs/>
                <w:color w:val="FFFFFF"/>
                <w:sz w:val="20"/>
                <w:szCs w:val="20"/>
                <w:lang w:eastAsia="en-NZ"/>
              </w:rPr>
              <w:t> </w:t>
            </w:r>
          </w:p>
        </w:tc>
        <w:tc>
          <w:tcPr>
            <w:tcW w:w="2029" w:type="dxa"/>
            <w:shd w:val="clear" w:color="auto" w:fill="00B050"/>
            <w:hideMark/>
          </w:tcPr>
          <w:p w:rsidR="00F43FB2" w:rsidRPr="001244BB" w:rsidRDefault="00F43FB2" w:rsidP="00030337">
            <w:pPr>
              <w:spacing w:after="0" w:line="240" w:lineRule="auto"/>
              <w:rPr>
                <w:rFonts w:eastAsia="Times New Roman" w:cstheme="minorHAnsi"/>
                <w:b/>
                <w:bCs/>
                <w:color w:val="FFFFFF"/>
                <w:sz w:val="20"/>
                <w:szCs w:val="20"/>
                <w:lang w:eastAsia="en-NZ"/>
              </w:rPr>
            </w:pPr>
            <w:r w:rsidRPr="001244BB">
              <w:rPr>
                <w:rFonts w:eastAsia="Times New Roman" w:cstheme="minorHAnsi"/>
                <w:b/>
                <w:bCs/>
                <w:color w:val="FFFFFF"/>
                <w:sz w:val="20"/>
                <w:szCs w:val="20"/>
                <w:lang w:eastAsia="en-NZ"/>
              </w:rPr>
              <w:t> </w:t>
            </w:r>
          </w:p>
        </w:tc>
        <w:tc>
          <w:tcPr>
            <w:tcW w:w="1895" w:type="dxa"/>
            <w:shd w:val="clear" w:color="auto" w:fill="00B050"/>
            <w:hideMark/>
          </w:tcPr>
          <w:p w:rsidR="00F43FB2" w:rsidRPr="001244BB" w:rsidRDefault="00F43FB2" w:rsidP="00030337">
            <w:pPr>
              <w:spacing w:after="0" w:line="240" w:lineRule="auto"/>
              <w:rPr>
                <w:rFonts w:eastAsia="Times New Roman" w:cstheme="minorHAnsi"/>
                <w:b/>
                <w:bCs/>
                <w:color w:val="FFFFFF"/>
                <w:sz w:val="20"/>
                <w:szCs w:val="20"/>
                <w:lang w:eastAsia="en-NZ"/>
              </w:rPr>
            </w:pPr>
          </w:p>
        </w:tc>
        <w:tc>
          <w:tcPr>
            <w:tcW w:w="3544" w:type="dxa"/>
            <w:shd w:val="clear" w:color="auto" w:fill="00B050"/>
            <w:hideMark/>
          </w:tcPr>
          <w:p w:rsidR="00F43FB2" w:rsidRPr="001244BB" w:rsidRDefault="00F43FB2" w:rsidP="00030337">
            <w:pPr>
              <w:spacing w:after="0" w:line="240" w:lineRule="auto"/>
              <w:rPr>
                <w:rFonts w:eastAsia="Times New Roman" w:cstheme="minorHAnsi"/>
                <w:color w:val="000000"/>
                <w:sz w:val="20"/>
                <w:szCs w:val="20"/>
                <w:lang w:eastAsia="en-NZ"/>
              </w:rPr>
            </w:pPr>
          </w:p>
        </w:tc>
      </w:tr>
      <w:tr w:rsidR="00F43FB2" w:rsidRPr="001244BB" w:rsidTr="00030337">
        <w:trPr>
          <w:trHeight w:val="255"/>
        </w:trPr>
        <w:tc>
          <w:tcPr>
            <w:tcW w:w="14743" w:type="dxa"/>
            <w:gridSpan w:val="7"/>
            <w:shd w:val="clear" w:color="auto" w:fill="auto"/>
            <w:hideMark/>
          </w:tcPr>
          <w:p w:rsidR="00F43FB2" w:rsidRPr="001244BB" w:rsidRDefault="00F43FB2" w:rsidP="00030337">
            <w:pPr>
              <w:spacing w:after="0" w:line="240" w:lineRule="auto"/>
              <w:rPr>
                <w:rFonts w:eastAsia="Times New Roman" w:cstheme="minorHAnsi"/>
                <w:color w:val="000000"/>
                <w:sz w:val="20"/>
                <w:szCs w:val="20"/>
                <w:lang w:eastAsia="en-NZ"/>
              </w:rPr>
            </w:pPr>
            <w:r w:rsidRPr="001244BB">
              <w:rPr>
                <w:rFonts w:eastAsia="Times New Roman" w:cstheme="minorHAnsi"/>
                <w:color w:val="000000"/>
                <w:sz w:val="20"/>
                <w:szCs w:val="20"/>
                <w:lang w:eastAsia="en-NZ"/>
              </w:rPr>
              <w:t xml:space="preserve">Monitoring these trends will allow us to make judgements on how well we are doing in terms of protecting our environment and providing adequate green open spaces. </w:t>
            </w:r>
          </w:p>
        </w:tc>
      </w:tr>
    </w:tbl>
    <w:p w:rsidR="00FD5E5C" w:rsidRPr="004A2F47" w:rsidRDefault="00FD5E5C" w:rsidP="00846C1B">
      <w:pPr>
        <w:pStyle w:val="Heading4"/>
        <w:rPr>
          <w:color w:val="00B050"/>
        </w:rPr>
      </w:pPr>
      <w:r w:rsidRPr="004A2F47">
        <w:rPr>
          <w:color w:val="00B050"/>
        </w:rPr>
        <w:t>Performance data – Council performance measures</w:t>
      </w:r>
    </w:p>
    <w:p w:rsidR="00FD5E5C" w:rsidRPr="00D5126A" w:rsidRDefault="00FD5E5C" w:rsidP="00FD5E5C">
      <w:pPr>
        <w:pStyle w:val="Para034"/>
        <w:spacing w:before="0" w:after="0" w:line="240" w:lineRule="auto"/>
        <w:rPr>
          <w:rFonts w:ascii="Arial" w:hAnsi="Arial" w:cs="Arial"/>
        </w:rPr>
      </w:pPr>
      <w:r w:rsidRPr="00D5126A">
        <w:rPr>
          <w:rFonts w:ascii="Arial" w:hAnsi="Arial" w:cs="Arial"/>
        </w:rPr>
        <w:t xml:space="preserve">The following section outlines Council performance measures for our Environment services. It includes data for the last 3 years to show trends, and includes variances explanations for relevant areas. </w:t>
      </w:r>
    </w:p>
    <w:p w:rsidR="00FD5E5C" w:rsidRPr="00D5126A" w:rsidRDefault="00FD5E5C" w:rsidP="00FD5E5C">
      <w:pPr>
        <w:pStyle w:val="Para034"/>
        <w:spacing w:before="0" w:after="0" w:line="240" w:lineRule="auto"/>
        <w:rPr>
          <w:rFonts w:ascii="Arial" w:hAnsi="Arial" w:cs="Arial"/>
        </w:rPr>
      </w:pPr>
    </w:p>
    <w:tbl>
      <w:tblPr>
        <w:tblW w:w="14984" w:type="dxa"/>
        <w:tblInd w:w="-318" w:type="dxa"/>
        <w:tblLayout w:type="fixed"/>
        <w:tblLook w:val="04A0" w:firstRow="1" w:lastRow="0" w:firstColumn="1" w:lastColumn="0" w:noHBand="0" w:noVBand="1"/>
      </w:tblPr>
      <w:tblGrid>
        <w:gridCol w:w="3672"/>
        <w:gridCol w:w="1140"/>
        <w:gridCol w:w="7"/>
        <w:gridCol w:w="1135"/>
        <w:gridCol w:w="1276"/>
        <w:gridCol w:w="1134"/>
        <w:gridCol w:w="851"/>
        <w:gridCol w:w="1134"/>
        <w:gridCol w:w="4635"/>
      </w:tblGrid>
      <w:tr w:rsidR="00030337" w:rsidRPr="001244BB" w:rsidTr="00030337">
        <w:trPr>
          <w:trHeight w:val="510"/>
          <w:tblHeader/>
        </w:trPr>
        <w:tc>
          <w:tcPr>
            <w:tcW w:w="3672" w:type="dxa"/>
            <w:tcBorders>
              <w:top w:val="single" w:sz="4" w:space="0" w:color="FFFFFF" w:themeColor="background1"/>
              <w:left w:val="nil"/>
              <w:bottom w:val="single" w:sz="4" w:space="0" w:color="FFFFFF" w:themeColor="background1"/>
              <w:right w:val="single" w:sz="4" w:space="0" w:color="FFFFFF" w:themeColor="background1"/>
            </w:tcBorders>
            <w:shd w:val="clear" w:color="auto" w:fill="00B050"/>
            <w:vAlign w:val="bottom"/>
            <w:hideMark/>
          </w:tcPr>
          <w:p w:rsidR="00030337" w:rsidRPr="001244BB" w:rsidRDefault="00030337" w:rsidP="00030337">
            <w:pPr>
              <w:spacing w:after="0" w:line="240" w:lineRule="auto"/>
              <w:rPr>
                <w:rFonts w:eastAsia="Times New Roman" w:cstheme="minorHAnsi"/>
                <w:b/>
                <w:bCs/>
                <w:color w:val="FFFFFF" w:themeColor="background1"/>
                <w:szCs w:val="20"/>
                <w:lang w:eastAsia="en-NZ"/>
              </w:rPr>
            </w:pPr>
            <w:bookmarkStart w:id="189" w:name="Case_study_Virtual_grid_programme"/>
            <w:r w:rsidRPr="001244BB">
              <w:rPr>
                <w:rFonts w:eastAsia="Times New Roman" w:cstheme="minorHAnsi"/>
                <w:b/>
                <w:bCs/>
                <w:color w:val="FFFFFF" w:themeColor="background1"/>
                <w:szCs w:val="20"/>
                <w:lang w:eastAsia="en-NZ"/>
              </w:rPr>
              <w:t>Performance Measure</w:t>
            </w:r>
          </w:p>
        </w:tc>
        <w:tc>
          <w:tcPr>
            <w:tcW w:w="11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B050"/>
            <w:vAlign w:val="bottom"/>
            <w:hideMark/>
          </w:tcPr>
          <w:p w:rsidR="00030337" w:rsidRPr="001244BB" w:rsidRDefault="00030337" w:rsidP="00030337">
            <w:pPr>
              <w:spacing w:after="0" w:line="240" w:lineRule="auto"/>
              <w:jc w:val="right"/>
              <w:rPr>
                <w:rFonts w:eastAsia="Times New Roman" w:cstheme="minorHAnsi"/>
                <w:b/>
                <w:bCs/>
                <w:color w:val="FFFFFF" w:themeColor="background1"/>
                <w:szCs w:val="20"/>
                <w:lang w:eastAsia="en-NZ"/>
              </w:rPr>
            </w:pPr>
            <w:r w:rsidRPr="001244BB">
              <w:rPr>
                <w:rFonts w:eastAsia="Times New Roman" w:cstheme="minorHAnsi"/>
                <w:b/>
                <w:bCs/>
                <w:color w:val="FFFFFF" w:themeColor="background1"/>
                <w:szCs w:val="20"/>
                <w:lang w:eastAsia="en-NZ"/>
              </w:rPr>
              <w:t>2016/17</w:t>
            </w:r>
            <w:r w:rsidRPr="001244BB">
              <w:rPr>
                <w:rFonts w:eastAsia="Times New Roman" w:cstheme="minorHAnsi"/>
                <w:b/>
                <w:bCs/>
                <w:color w:val="FFFFFF" w:themeColor="background1"/>
                <w:szCs w:val="20"/>
                <w:lang w:eastAsia="en-NZ"/>
              </w:rPr>
              <w:br/>
              <w:t>Actual</w:t>
            </w:r>
          </w:p>
        </w:tc>
        <w:tc>
          <w:tcPr>
            <w:tcW w:w="114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B050"/>
            <w:vAlign w:val="bottom"/>
            <w:hideMark/>
          </w:tcPr>
          <w:p w:rsidR="00030337" w:rsidRPr="001244BB" w:rsidRDefault="00030337" w:rsidP="00030337">
            <w:pPr>
              <w:spacing w:after="0" w:line="240" w:lineRule="auto"/>
              <w:jc w:val="right"/>
              <w:rPr>
                <w:rFonts w:eastAsia="Times New Roman" w:cstheme="minorHAnsi"/>
                <w:b/>
                <w:bCs/>
                <w:color w:val="FFFFFF" w:themeColor="background1"/>
                <w:szCs w:val="20"/>
                <w:lang w:eastAsia="en-NZ"/>
              </w:rPr>
            </w:pPr>
            <w:r w:rsidRPr="001244BB">
              <w:rPr>
                <w:rFonts w:eastAsia="Times New Roman" w:cstheme="minorHAnsi"/>
                <w:b/>
                <w:bCs/>
                <w:color w:val="FFFFFF" w:themeColor="background1"/>
                <w:szCs w:val="20"/>
                <w:lang w:eastAsia="en-NZ"/>
              </w:rPr>
              <w:t>2017/18</w:t>
            </w:r>
            <w:r w:rsidRPr="001244BB">
              <w:rPr>
                <w:rFonts w:eastAsia="Times New Roman" w:cstheme="minorHAnsi"/>
                <w:b/>
                <w:bCs/>
                <w:color w:val="FFFFFF" w:themeColor="background1"/>
                <w:szCs w:val="20"/>
                <w:lang w:eastAsia="en-NZ"/>
              </w:rPr>
              <w:br/>
              <w:t>Actual</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B050"/>
            <w:vAlign w:val="bottom"/>
            <w:hideMark/>
          </w:tcPr>
          <w:p w:rsidR="00030337" w:rsidRPr="001244BB" w:rsidRDefault="00030337" w:rsidP="00030337">
            <w:pPr>
              <w:spacing w:after="0" w:line="240" w:lineRule="auto"/>
              <w:jc w:val="right"/>
              <w:rPr>
                <w:rFonts w:eastAsia="Times New Roman" w:cstheme="minorHAnsi"/>
                <w:b/>
                <w:bCs/>
                <w:color w:val="FFFFFF" w:themeColor="background1"/>
                <w:szCs w:val="20"/>
                <w:lang w:eastAsia="en-NZ"/>
              </w:rPr>
            </w:pPr>
            <w:r w:rsidRPr="001244BB">
              <w:rPr>
                <w:rFonts w:eastAsia="Times New Roman" w:cstheme="minorHAnsi"/>
                <w:b/>
                <w:bCs/>
                <w:color w:val="FFFFFF" w:themeColor="background1"/>
                <w:szCs w:val="20"/>
                <w:lang w:eastAsia="en-NZ"/>
              </w:rPr>
              <w:t>2018/19</w:t>
            </w:r>
            <w:r w:rsidRPr="001244BB">
              <w:rPr>
                <w:rFonts w:eastAsia="Times New Roman" w:cstheme="minorHAnsi"/>
                <w:b/>
                <w:bCs/>
                <w:color w:val="FFFFFF" w:themeColor="background1"/>
                <w:szCs w:val="20"/>
                <w:lang w:eastAsia="en-NZ"/>
              </w:rPr>
              <w:br/>
              <w:t>Actual</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B050"/>
            <w:vAlign w:val="bottom"/>
            <w:hideMark/>
          </w:tcPr>
          <w:p w:rsidR="00030337" w:rsidRPr="001244BB" w:rsidRDefault="00030337" w:rsidP="00030337">
            <w:pPr>
              <w:spacing w:after="0" w:line="240" w:lineRule="auto"/>
              <w:jc w:val="right"/>
              <w:rPr>
                <w:rFonts w:eastAsia="Times New Roman" w:cstheme="minorHAnsi"/>
                <w:b/>
                <w:bCs/>
                <w:color w:val="FFFFFF" w:themeColor="background1"/>
                <w:szCs w:val="20"/>
                <w:lang w:eastAsia="en-NZ"/>
              </w:rPr>
            </w:pPr>
            <w:r w:rsidRPr="001244BB">
              <w:rPr>
                <w:rFonts w:eastAsia="Times New Roman" w:cstheme="minorHAnsi"/>
                <w:b/>
                <w:bCs/>
                <w:color w:val="FFFFFF" w:themeColor="background1"/>
                <w:szCs w:val="20"/>
                <w:lang w:eastAsia="en-NZ"/>
              </w:rPr>
              <w:t>2018/19 Target</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B050"/>
            <w:vAlign w:val="bottom"/>
            <w:hideMark/>
          </w:tcPr>
          <w:p w:rsidR="00030337" w:rsidRPr="001244BB" w:rsidRDefault="00030337" w:rsidP="00030337">
            <w:pPr>
              <w:spacing w:after="0" w:line="240" w:lineRule="auto"/>
              <w:jc w:val="right"/>
              <w:rPr>
                <w:rFonts w:eastAsia="Times New Roman" w:cstheme="minorHAnsi"/>
                <w:b/>
                <w:bCs/>
                <w:color w:val="FFFFFF" w:themeColor="background1"/>
                <w:szCs w:val="20"/>
                <w:lang w:eastAsia="en-NZ"/>
              </w:rPr>
            </w:pPr>
            <w:r w:rsidRPr="001244BB">
              <w:rPr>
                <w:rFonts w:eastAsia="Times New Roman" w:cstheme="minorHAnsi"/>
                <w:b/>
                <w:bCs/>
                <w:color w:val="FFFFFF" w:themeColor="background1"/>
                <w:szCs w:val="20"/>
                <w:lang w:eastAsia="en-NZ"/>
              </w:rPr>
              <w:t>% Var.</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B050"/>
            <w:vAlign w:val="bottom"/>
            <w:hideMark/>
          </w:tcPr>
          <w:p w:rsidR="00030337" w:rsidRPr="001244BB" w:rsidRDefault="00030337" w:rsidP="00030337">
            <w:pPr>
              <w:spacing w:after="0" w:line="240" w:lineRule="auto"/>
              <w:jc w:val="right"/>
              <w:rPr>
                <w:rFonts w:eastAsia="Times New Roman" w:cstheme="minorHAnsi"/>
                <w:b/>
                <w:bCs/>
                <w:color w:val="FFFFFF" w:themeColor="background1"/>
                <w:szCs w:val="20"/>
                <w:lang w:eastAsia="en-NZ"/>
              </w:rPr>
            </w:pPr>
            <w:r>
              <w:rPr>
                <w:rFonts w:eastAsia="Times New Roman" w:cstheme="minorHAnsi"/>
                <w:b/>
                <w:bCs/>
                <w:color w:val="FFFFFF" w:themeColor="background1"/>
                <w:szCs w:val="20"/>
                <w:lang w:eastAsia="en-NZ"/>
              </w:rPr>
              <w:t>Status</w:t>
            </w:r>
          </w:p>
        </w:tc>
        <w:tc>
          <w:tcPr>
            <w:tcW w:w="4635" w:type="dxa"/>
            <w:tcBorders>
              <w:top w:val="single" w:sz="4" w:space="0" w:color="FFFFFF" w:themeColor="background1"/>
              <w:left w:val="single" w:sz="4" w:space="0" w:color="FFFFFF" w:themeColor="background1"/>
              <w:bottom w:val="single" w:sz="4" w:space="0" w:color="FFFFFF" w:themeColor="background1"/>
              <w:right w:val="single" w:sz="4" w:space="0" w:color="808080"/>
            </w:tcBorders>
            <w:shd w:val="clear" w:color="auto" w:fill="00B050"/>
            <w:vAlign w:val="bottom"/>
            <w:hideMark/>
          </w:tcPr>
          <w:p w:rsidR="00030337" w:rsidRPr="001244BB" w:rsidRDefault="00030337" w:rsidP="00030337">
            <w:pPr>
              <w:spacing w:after="0" w:line="240" w:lineRule="auto"/>
              <w:rPr>
                <w:rFonts w:eastAsia="Times New Roman" w:cstheme="minorHAnsi"/>
                <w:b/>
                <w:bCs/>
                <w:color w:val="FFFFFF" w:themeColor="background1"/>
                <w:szCs w:val="20"/>
                <w:lang w:eastAsia="en-NZ"/>
              </w:rPr>
            </w:pPr>
            <w:r w:rsidRPr="001244BB">
              <w:rPr>
                <w:rFonts w:eastAsia="Times New Roman" w:cstheme="minorHAnsi"/>
                <w:b/>
                <w:bCs/>
                <w:color w:val="FFFFFF" w:themeColor="background1"/>
                <w:szCs w:val="20"/>
                <w:lang w:eastAsia="en-NZ"/>
              </w:rPr>
              <w:t>Comments</w:t>
            </w:r>
          </w:p>
        </w:tc>
      </w:tr>
      <w:tr w:rsidR="00030337" w:rsidRPr="001244BB" w:rsidTr="00030337">
        <w:trPr>
          <w:trHeight w:val="390"/>
        </w:trPr>
        <w:tc>
          <w:tcPr>
            <w:tcW w:w="3672" w:type="dxa"/>
            <w:tcBorders>
              <w:top w:val="single" w:sz="4" w:space="0" w:color="FFFFFF" w:themeColor="background1"/>
              <w:left w:val="nil"/>
              <w:bottom w:val="nil"/>
              <w:right w:val="nil"/>
            </w:tcBorders>
            <w:shd w:val="clear" w:color="auto" w:fill="auto"/>
            <w:noWrap/>
            <w:hideMark/>
          </w:tcPr>
          <w:p w:rsidR="00030337" w:rsidRPr="001244BB" w:rsidRDefault="00030337" w:rsidP="00030337">
            <w:pPr>
              <w:spacing w:after="0" w:line="240" w:lineRule="auto"/>
              <w:rPr>
                <w:rFonts w:eastAsia="Times New Roman" w:cstheme="minorHAnsi"/>
                <w:b/>
                <w:bCs/>
                <w:color w:val="00B050"/>
                <w:sz w:val="28"/>
                <w:szCs w:val="20"/>
                <w:lang w:eastAsia="en-NZ"/>
              </w:rPr>
            </w:pPr>
            <w:r w:rsidRPr="001244BB">
              <w:rPr>
                <w:rFonts w:eastAsia="Times New Roman" w:cstheme="minorHAnsi"/>
                <w:b/>
                <w:bCs/>
                <w:color w:val="00B050"/>
                <w:sz w:val="28"/>
                <w:szCs w:val="20"/>
                <w:lang w:eastAsia="en-NZ"/>
              </w:rPr>
              <w:t>Taiao | Environment</w:t>
            </w:r>
          </w:p>
        </w:tc>
        <w:tc>
          <w:tcPr>
            <w:tcW w:w="1140" w:type="dxa"/>
            <w:tcBorders>
              <w:top w:val="single" w:sz="4" w:space="0" w:color="FFFFFF" w:themeColor="background1"/>
              <w:left w:val="nil"/>
              <w:bottom w:val="nil"/>
              <w:right w:val="nil"/>
            </w:tcBorders>
            <w:shd w:val="clear" w:color="auto" w:fill="auto"/>
            <w:noWrap/>
            <w:hideMark/>
          </w:tcPr>
          <w:p w:rsidR="00030337" w:rsidRPr="001244BB" w:rsidRDefault="00030337" w:rsidP="00030337">
            <w:pPr>
              <w:spacing w:after="0" w:line="240" w:lineRule="auto"/>
              <w:jc w:val="right"/>
              <w:rPr>
                <w:rFonts w:eastAsia="Times New Roman" w:cstheme="minorHAnsi"/>
                <w:color w:val="000000"/>
                <w:sz w:val="28"/>
                <w:szCs w:val="20"/>
                <w:lang w:eastAsia="en-NZ"/>
              </w:rPr>
            </w:pPr>
          </w:p>
        </w:tc>
        <w:tc>
          <w:tcPr>
            <w:tcW w:w="1142" w:type="dxa"/>
            <w:gridSpan w:val="2"/>
            <w:tcBorders>
              <w:top w:val="single" w:sz="4" w:space="0" w:color="FFFFFF" w:themeColor="background1"/>
              <w:left w:val="nil"/>
              <w:bottom w:val="nil"/>
              <w:right w:val="nil"/>
            </w:tcBorders>
            <w:shd w:val="clear" w:color="auto" w:fill="auto"/>
            <w:noWrap/>
            <w:hideMark/>
          </w:tcPr>
          <w:p w:rsidR="00030337" w:rsidRPr="001244BB" w:rsidRDefault="00030337" w:rsidP="00030337">
            <w:pPr>
              <w:spacing w:after="0" w:line="240" w:lineRule="auto"/>
              <w:jc w:val="right"/>
              <w:rPr>
                <w:rFonts w:eastAsia="Times New Roman" w:cstheme="minorHAnsi"/>
                <w:color w:val="000000"/>
                <w:sz w:val="28"/>
                <w:szCs w:val="20"/>
                <w:lang w:eastAsia="en-NZ"/>
              </w:rPr>
            </w:pPr>
          </w:p>
        </w:tc>
        <w:tc>
          <w:tcPr>
            <w:tcW w:w="1276" w:type="dxa"/>
            <w:tcBorders>
              <w:top w:val="single" w:sz="4" w:space="0" w:color="FFFFFF" w:themeColor="background1"/>
              <w:left w:val="nil"/>
              <w:bottom w:val="nil"/>
              <w:right w:val="nil"/>
            </w:tcBorders>
            <w:shd w:val="clear" w:color="auto" w:fill="auto"/>
            <w:noWrap/>
            <w:hideMark/>
          </w:tcPr>
          <w:p w:rsidR="00030337" w:rsidRPr="001244BB" w:rsidRDefault="00030337" w:rsidP="00030337">
            <w:pPr>
              <w:spacing w:after="0" w:line="240" w:lineRule="auto"/>
              <w:jc w:val="right"/>
              <w:rPr>
                <w:rFonts w:eastAsia="Times New Roman" w:cstheme="minorHAnsi"/>
                <w:color w:val="000000"/>
                <w:sz w:val="28"/>
                <w:szCs w:val="20"/>
                <w:lang w:eastAsia="en-NZ"/>
              </w:rPr>
            </w:pPr>
          </w:p>
        </w:tc>
        <w:tc>
          <w:tcPr>
            <w:tcW w:w="1134" w:type="dxa"/>
            <w:tcBorders>
              <w:top w:val="single" w:sz="4" w:space="0" w:color="FFFFFF" w:themeColor="background1"/>
              <w:left w:val="nil"/>
              <w:bottom w:val="nil"/>
              <w:right w:val="nil"/>
            </w:tcBorders>
            <w:shd w:val="clear" w:color="auto" w:fill="auto"/>
            <w:noWrap/>
            <w:hideMark/>
          </w:tcPr>
          <w:p w:rsidR="00030337" w:rsidRPr="001244BB" w:rsidRDefault="00030337" w:rsidP="00030337">
            <w:pPr>
              <w:spacing w:after="0" w:line="240" w:lineRule="auto"/>
              <w:rPr>
                <w:rFonts w:eastAsia="Times New Roman" w:cstheme="minorHAnsi"/>
                <w:color w:val="000000"/>
                <w:sz w:val="28"/>
                <w:szCs w:val="20"/>
                <w:lang w:eastAsia="en-NZ"/>
              </w:rPr>
            </w:pPr>
          </w:p>
        </w:tc>
        <w:tc>
          <w:tcPr>
            <w:tcW w:w="851" w:type="dxa"/>
            <w:tcBorders>
              <w:top w:val="single" w:sz="4" w:space="0" w:color="FFFFFF" w:themeColor="background1"/>
              <w:left w:val="nil"/>
              <w:bottom w:val="nil"/>
              <w:right w:val="nil"/>
            </w:tcBorders>
            <w:shd w:val="clear" w:color="auto" w:fill="auto"/>
            <w:noWrap/>
            <w:hideMark/>
          </w:tcPr>
          <w:p w:rsidR="00030337" w:rsidRPr="001244BB" w:rsidRDefault="00030337" w:rsidP="00030337">
            <w:pPr>
              <w:spacing w:after="0" w:line="240" w:lineRule="auto"/>
              <w:rPr>
                <w:rFonts w:eastAsia="Times New Roman" w:cstheme="minorHAnsi"/>
                <w:color w:val="000000"/>
                <w:sz w:val="28"/>
                <w:szCs w:val="20"/>
                <w:lang w:eastAsia="en-NZ"/>
              </w:rPr>
            </w:pPr>
          </w:p>
        </w:tc>
        <w:tc>
          <w:tcPr>
            <w:tcW w:w="1134" w:type="dxa"/>
            <w:tcBorders>
              <w:top w:val="single" w:sz="4" w:space="0" w:color="FFFFFF" w:themeColor="background1"/>
              <w:left w:val="nil"/>
              <w:bottom w:val="nil"/>
              <w:right w:val="nil"/>
            </w:tcBorders>
            <w:shd w:val="clear" w:color="auto" w:fill="auto"/>
            <w:noWrap/>
            <w:hideMark/>
          </w:tcPr>
          <w:p w:rsidR="00030337" w:rsidRPr="001244BB" w:rsidRDefault="00030337" w:rsidP="00030337">
            <w:pPr>
              <w:spacing w:after="0" w:line="240" w:lineRule="auto"/>
              <w:rPr>
                <w:rFonts w:eastAsia="Times New Roman" w:cstheme="minorHAnsi"/>
                <w:color w:val="000000"/>
                <w:sz w:val="28"/>
                <w:szCs w:val="20"/>
                <w:lang w:eastAsia="en-NZ"/>
              </w:rPr>
            </w:pPr>
          </w:p>
        </w:tc>
        <w:tc>
          <w:tcPr>
            <w:tcW w:w="4635" w:type="dxa"/>
            <w:tcBorders>
              <w:top w:val="single" w:sz="4" w:space="0" w:color="FFFFFF" w:themeColor="background1"/>
              <w:left w:val="nil"/>
              <w:bottom w:val="nil"/>
              <w:right w:val="nil"/>
            </w:tcBorders>
            <w:shd w:val="clear" w:color="auto" w:fill="auto"/>
            <w:hideMark/>
          </w:tcPr>
          <w:p w:rsidR="00030337" w:rsidRPr="001244BB" w:rsidRDefault="00030337" w:rsidP="00030337">
            <w:pPr>
              <w:spacing w:after="0" w:line="240" w:lineRule="auto"/>
              <w:rPr>
                <w:rFonts w:eastAsia="Times New Roman" w:cstheme="minorHAnsi"/>
                <w:color w:val="000000"/>
                <w:sz w:val="28"/>
                <w:szCs w:val="20"/>
                <w:lang w:eastAsia="en-NZ"/>
              </w:rPr>
            </w:pPr>
          </w:p>
        </w:tc>
      </w:tr>
      <w:tr w:rsidR="00030337" w:rsidRPr="001244BB" w:rsidTr="00030337">
        <w:trPr>
          <w:trHeight w:val="270"/>
        </w:trPr>
        <w:tc>
          <w:tcPr>
            <w:tcW w:w="7230" w:type="dxa"/>
            <w:gridSpan w:val="5"/>
            <w:tcBorders>
              <w:top w:val="nil"/>
              <w:left w:val="nil"/>
              <w:right w:val="nil"/>
            </w:tcBorders>
            <w:shd w:val="clear" w:color="auto" w:fill="00B050"/>
            <w:noWrap/>
            <w:hideMark/>
          </w:tcPr>
          <w:p w:rsidR="00030337" w:rsidRPr="001244BB" w:rsidRDefault="00030337" w:rsidP="00030337">
            <w:pPr>
              <w:spacing w:after="0" w:line="240" w:lineRule="auto"/>
              <w:rPr>
                <w:rFonts w:eastAsia="Times New Roman" w:cstheme="minorHAnsi"/>
                <w:color w:val="000000"/>
                <w:sz w:val="24"/>
                <w:szCs w:val="20"/>
                <w:lang w:eastAsia="en-NZ"/>
              </w:rPr>
            </w:pPr>
            <w:r w:rsidRPr="001244BB">
              <w:rPr>
                <w:rFonts w:eastAsia="Times New Roman" w:cstheme="minorHAnsi"/>
                <w:b/>
                <w:bCs/>
                <w:color w:val="FFFFFF"/>
                <w:sz w:val="24"/>
                <w:szCs w:val="20"/>
                <w:lang w:eastAsia="en-NZ"/>
              </w:rPr>
              <w:t>2.1 Parks, beaches and open spaces</w:t>
            </w:r>
          </w:p>
        </w:tc>
        <w:tc>
          <w:tcPr>
            <w:tcW w:w="1134" w:type="dxa"/>
            <w:tcBorders>
              <w:top w:val="nil"/>
              <w:left w:val="nil"/>
              <w:right w:val="nil"/>
            </w:tcBorders>
            <w:shd w:val="clear" w:color="auto" w:fill="00B050"/>
            <w:noWrap/>
            <w:hideMark/>
          </w:tcPr>
          <w:p w:rsidR="00030337" w:rsidRPr="001244BB" w:rsidRDefault="00030337" w:rsidP="00030337">
            <w:pPr>
              <w:spacing w:after="0" w:line="240" w:lineRule="auto"/>
              <w:jc w:val="right"/>
              <w:rPr>
                <w:rFonts w:eastAsia="Times New Roman" w:cstheme="minorHAnsi"/>
                <w:color w:val="000000"/>
                <w:sz w:val="24"/>
                <w:szCs w:val="20"/>
                <w:lang w:eastAsia="en-NZ"/>
              </w:rPr>
            </w:pPr>
          </w:p>
        </w:tc>
        <w:tc>
          <w:tcPr>
            <w:tcW w:w="851" w:type="dxa"/>
            <w:tcBorders>
              <w:top w:val="nil"/>
              <w:left w:val="nil"/>
              <w:right w:val="nil"/>
            </w:tcBorders>
            <w:shd w:val="clear" w:color="auto" w:fill="00B050"/>
            <w:hideMark/>
          </w:tcPr>
          <w:p w:rsidR="00030337" w:rsidRPr="001244BB" w:rsidRDefault="00030337" w:rsidP="00030337">
            <w:pPr>
              <w:spacing w:after="0" w:line="240" w:lineRule="auto"/>
              <w:rPr>
                <w:rFonts w:eastAsia="Times New Roman" w:cstheme="minorHAnsi"/>
                <w:b/>
                <w:bCs/>
                <w:color w:val="FFFFFF"/>
                <w:sz w:val="24"/>
                <w:szCs w:val="20"/>
                <w:lang w:eastAsia="en-NZ"/>
              </w:rPr>
            </w:pPr>
            <w:r w:rsidRPr="001244BB">
              <w:rPr>
                <w:rFonts w:eastAsia="Times New Roman" w:cstheme="minorHAnsi"/>
                <w:b/>
                <w:bCs/>
                <w:color w:val="FFFFFF"/>
                <w:sz w:val="24"/>
                <w:szCs w:val="20"/>
                <w:lang w:eastAsia="en-NZ"/>
              </w:rPr>
              <w:t> </w:t>
            </w:r>
          </w:p>
        </w:tc>
        <w:tc>
          <w:tcPr>
            <w:tcW w:w="1134" w:type="dxa"/>
            <w:tcBorders>
              <w:top w:val="nil"/>
              <w:left w:val="nil"/>
              <w:right w:val="nil"/>
            </w:tcBorders>
            <w:shd w:val="clear" w:color="auto" w:fill="00B050"/>
            <w:hideMark/>
          </w:tcPr>
          <w:p w:rsidR="00030337" w:rsidRPr="001244BB" w:rsidRDefault="00030337" w:rsidP="00030337">
            <w:pPr>
              <w:spacing w:after="0" w:line="240" w:lineRule="auto"/>
              <w:rPr>
                <w:rFonts w:eastAsia="Times New Roman" w:cstheme="minorHAnsi"/>
                <w:b/>
                <w:bCs/>
                <w:color w:val="FFFFFF"/>
                <w:sz w:val="24"/>
                <w:szCs w:val="20"/>
                <w:lang w:eastAsia="en-NZ"/>
              </w:rPr>
            </w:pPr>
            <w:r w:rsidRPr="001244BB">
              <w:rPr>
                <w:rFonts w:eastAsia="Times New Roman" w:cstheme="minorHAnsi"/>
                <w:b/>
                <w:bCs/>
                <w:color w:val="FFFFFF"/>
                <w:sz w:val="24"/>
                <w:szCs w:val="20"/>
                <w:lang w:eastAsia="en-NZ"/>
              </w:rPr>
              <w:t> </w:t>
            </w:r>
          </w:p>
        </w:tc>
        <w:tc>
          <w:tcPr>
            <w:tcW w:w="4635" w:type="dxa"/>
            <w:tcBorders>
              <w:top w:val="nil"/>
              <w:left w:val="nil"/>
              <w:right w:val="nil"/>
            </w:tcBorders>
            <w:shd w:val="clear" w:color="auto" w:fill="00B050"/>
            <w:hideMark/>
          </w:tcPr>
          <w:p w:rsidR="00030337" w:rsidRPr="001244BB" w:rsidRDefault="00030337" w:rsidP="00030337">
            <w:pPr>
              <w:spacing w:after="0" w:line="240" w:lineRule="auto"/>
              <w:rPr>
                <w:rFonts w:eastAsia="Times New Roman" w:cstheme="minorHAnsi"/>
                <w:color w:val="000000"/>
                <w:sz w:val="24"/>
                <w:szCs w:val="20"/>
                <w:lang w:eastAsia="en-NZ"/>
              </w:rPr>
            </w:pPr>
            <w:r w:rsidRPr="001244BB">
              <w:rPr>
                <w:rFonts w:eastAsia="Times New Roman" w:cstheme="minorHAnsi"/>
                <w:b/>
                <w:bCs/>
                <w:color w:val="FFFFFF"/>
                <w:sz w:val="24"/>
                <w:szCs w:val="20"/>
                <w:lang w:eastAsia="en-NZ"/>
              </w:rPr>
              <w:t> </w:t>
            </w:r>
          </w:p>
        </w:tc>
      </w:tr>
      <w:tr w:rsidR="00030337" w:rsidRPr="001244BB" w:rsidTr="00030337">
        <w:trPr>
          <w:trHeight w:val="315"/>
        </w:trPr>
        <w:tc>
          <w:tcPr>
            <w:tcW w:w="14984" w:type="dxa"/>
            <w:gridSpan w:val="9"/>
            <w:tcBorders>
              <w:top w:val="nil"/>
              <w:left w:val="nil"/>
              <w:right w:val="nil"/>
            </w:tcBorders>
            <w:shd w:val="clear" w:color="auto" w:fill="EAF1DD" w:themeFill="accent3" w:themeFillTint="33"/>
            <w:hideMark/>
          </w:tcPr>
          <w:p w:rsidR="00030337" w:rsidRPr="001244BB" w:rsidRDefault="00030337" w:rsidP="00030337">
            <w:pPr>
              <w:spacing w:after="0" w:line="240" w:lineRule="auto"/>
              <w:rPr>
                <w:rFonts w:eastAsia="Times New Roman" w:cstheme="minorHAnsi"/>
                <w:b/>
                <w:sz w:val="20"/>
                <w:szCs w:val="20"/>
                <w:lang w:eastAsia="en-NZ"/>
              </w:rPr>
            </w:pPr>
            <w:r w:rsidRPr="001244BB">
              <w:rPr>
                <w:rFonts w:eastAsia="Times New Roman" w:cstheme="minorHAnsi"/>
                <w:b/>
                <w:sz w:val="20"/>
                <w:szCs w:val="20"/>
                <w:lang w:eastAsia="en-NZ"/>
              </w:rPr>
              <w:t>Utilisation</w:t>
            </w:r>
          </w:p>
        </w:tc>
      </w:tr>
      <w:tr w:rsidR="00030337" w:rsidRPr="001244BB" w:rsidTr="00030337">
        <w:trPr>
          <w:trHeight w:val="567"/>
        </w:trPr>
        <w:tc>
          <w:tcPr>
            <w:tcW w:w="3672" w:type="dxa"/>
            <w:tcBorders>
              <w:left w:val="nil"/>
              <w:bottom w:val="single" w:sz="4" w:space="0" w:color="00B050"/>
              <w:right w:val="single" w:sz="4" w:space="0" w:color="00B050"/>
            </w:tcBorders>
            <w:shd w:val="clear" w:color="auto" w:fill="auto"/>
            <w:hideMark/>
          </w:tcPr>
          <w:p w:rsidR="00030337" w:rsidRPr="001244BB" w:rsidRDefault="00030337" w:rsidP="00030337">
            <w:pPr>
              <w:spacing w:after="0" w:line="240" w:lineRule="auto"/>
              <w:rPr>
                <w:rFonts w:eastAsia="Times New Roman" w:cstheme="minorHAnsi"/>
                <w:color w:val="000000"/>
                <w:sz w:val="20"/>
                <w:szCs w:val="20"/>
                <w:lang w:eastAsia="en-NZ"/>
              </w:rPr>
            </w:pPr>
            <w:r w:rsidRPr="001244BB">
              <w:rPr>
                <w:rFonts w:eastAsia="Times New Roman" w:cstheme="minorHAnsi"/>
                <w:color w:val="000000"/>
                <w:sz w:val="20"/>
                <w:szCs w:val="20"/>
                <w:lang w:eastAsia="en-NZ"/>
              </w:rPr>
              <w:t xml:space="preserve">Number </w:t>
            </w:r>
            <w:r>
              <w:rPr>
                <w:rFonts w:eastAsia="Times New Roman" w:cstheme="minorHAnsi"/>
                <w:color w:val="000000"/>
                <w:sz w:val="20"/>
                <w:szCs w:val="20"/>
                <w:lang w:eastAsia="en-NZ"/>
              </w:rPr>
              <w:t xml:space="preserve">estimated number </w:t>
            </w:r>
            <w:r w:rsidRPr="001244BB">
              <w:rPr>
                <w:rFonts w:eastAsia="Times New Roman" w:cstheme="minorHAnsi"/>
                <w:color w:val="000000"/>
                <w:sz w:val="20"/>
                <w:szCs w:val="20"/>
                <w:lang w:eastAsia="en-NZ"/>
              </w:rPr>
              <w:t>of visitors to the Wellington Botanic Gardens and Otari-Wilton's Bush</w:t>
            </w:r>
          </w:p>
        </w:tc>
        <w:tc>
          <w:tcPr>
            <w:tcW w:w="1140" w:type="dxa"/>
            <w:tcBorders>
              <w:left w:val="single" w:sz="4" w:space="0" w:color="00B050"/>
              <w:bottom w:val="single" w:sz="4" w:space="0" w:color="00B050"/>
              <w:right w:val="single" w:sz="4" w:space="0" w:color="00B050"/>
            </w:tcBorders>
            <w:shd w:val="clear" w:color="auto" w:fill="auto"/>
            <w:noWrap/>
            <w:hideMark/>
          </w:tcPr>
          <w:p w:rsidR="00030337" w:rsidRPr="001244BB" w:rsidRDefault="00030337" w:rsidP="00030337">
            <w:pPr>
              <w:spacing w:after="0" w:line="240" w:lineRule="auto"/>
              <w:jc w:val="right"/>
              <w:rPr>
                <w:rFonts w:eastAsia="Times New Roman" w:cstheme="minorHAnsi"/>
                <w:color w:val="000000"/>
                <w:sz w:val="20"/>
                <w:szCs w:val="20"/>
                <w:lang w:eastAsia="en-NZ"/>
              </w:rPr>
            </w:pPr>
            <w:r w:rsidRPr="001244BB">
              <w:rPr>
                <w:rFonts w:eastAsia="Times New Roman" w:cstheme="minorHAnsi"/>
                <w:color w:val="000000"/>
                <w:sz w:val="20"/>
                <w:szCs w:val="20"/>
                <w:lang w:eastAsia="en-NZ"/>
              </w:rPr>
              <w:t>1,042,044</w:t>
            </w:r>
          </w:p>
        </w:tc>
        <w:tc>
          <w:tcPr>
            <w:tcW w:w="1142" w:type="dxa"/>
            <w:gridSpan w:val="2"/>
            <w:tcBorders>
              <w:left w:val="single" w:sz="4" w:space="0" w:color="00B050"/>
              <w:bottom w:val="single" w:sz="4" w:space="0" w:color="00B050"/>
              <w:right w:val="single" w:sz="4" w:space="0" w:color="00B050"/>
            </w:tcBorders>
            <w:shd w:val="clear" w:color="auto" w:fill="auto"/>
            <w:noWrap/>
            <w:hideMark/>
          </w:tcPr>
          <w:p w:rsidR="00030337" w:rsidRPr="001244BB" w:rsidRDefault="00030337" w:rsidP="00030337">
            <w:pPr>
              <w:spacing w:after="0" w:line="240" w:lineRule="auto"/>
              <w:jc w:val="right"/>
              <w:rPr>
                <w:rFonts w:eastAsia="Times New Roman" w:cstheme="minorHAnsi"/>
                <w:color w:val="000000"/>
                <w:sz w:val="20"/>
                <w:szCs w:val="20"/>
                <w:lang w:eastAsia="en-NZ"/>
              </w:rPr>
            </w:pPr>
            <w:r w:rsidRPr="001244BB">
              <w:rPr>
                <w:rFonts w:eastAsia="Times New Roman" w:cstheme="minorHAnsi"/>
                <w:color w:val="000000"/>
                <w:sz w:val="20"/>
                <w:szCs w:val="20"/>
                <w:lang w:eastAsia="en-NZ"/>
              </w:rPr>
              <w:t>1,324,892</w:t>
            </w:r>
          </w:p>
        </w:tc>
        <w:tc>
          <w:tcPr>
            <w:tcW w:w="1276" w:type="dxa"/>
            <w:tcBorders>
              <w:left w:val="single" w:sz="4" w:space="0" w:color="00B050"/>
              <w:bottom w:val="single" w:sz="4" w:space="0" w:color="00B050"/>
              <w:right w:val="single" w:sz="4" w:space="0" w:color="00B050"/>
            </w:tcBorders>
            <w:shd w:val="clear" w:color="auto" w:fill="auto"/>
            <w:noWrap/>
            <w:hideMark/>
          </w:tcPr>
          <w:p w:rsidR="00030337" w:rsidRPr="001244BB" w:rsidRDefault="00030337" w:rsidP="00030337">
            <w:pPr>
              <w:spacing w:after="0" w:line="240" w:lineRule="auto"/>
              <w:jc w:val="right"/>
              <w:rPr>
                <w:rFonts w:eastAsia="Times New Roman" w:cstheme="minorHAnsi"/>
                <w:color w:val="000000"/>
                <w:sz w:val="20"/>
                <w:szCs w:val="20"/>
                <w:lang w:eastAsia="en-NZ"/>
              </w:rPr>
            </w:pPr>
            <w:r w:rsidRPr="001244BB">
              <w:rPr>
                <w:rFonts w:eastAsia="Times New Roman" w:cstheme="minorHAnsi"/>
                <w:color w:val="000000"/>
                <w:sz w:val="20"/>
                <w:szCs w:val="20"/>
                <w:lang w:eastAsia="en-NZ"/>
              </w:rPr>
              <w:t>1,246,162</w:t>
            </w:r>
          </w:p>
        </w:tc>
        <w:tc>
          <w:tcPr>
            <w:tcW w:w="1134" w:type="dxa"/>
            <w:tcBorders>
              <w:left w:val="single" w:sz="4" w:space="0" w:color="00B050"/>
              <w:bottom w:val="single" w:sz="4" w:space="0" w:color="00B050"/>
              <w:right w:val="single" w:sz="4" w:space="0" w:color="00B050"/>
            </w:tcBorders>
            <w:shd w:val="clear" w:color="000000" w:fill="D9D9D9"/>
            <w:hideMark/>
          </w:tcPr>
          <w:p w:rsidR="00030337" w:rsidRPr="001244BB" w:rsidRDefault="00030337" w:rsidP="00030337">
            <w:pPr>
              <w:spacing w:after="0" w:line="240" w:lineRule="auto"/>
              <w:jc w:val="right"/>
              <w:rPr>
                <w:rFonts w:eastAsia="Times New Roman" w:cstheme="minorHAnsi"/>
                <w:color w:val="000000"/>
                <w:sz w:val="20"/>
                <w:szCs w:val="20"/>
                <w:lang w:eastAsia="en-NZ"/>
              </w:rPr>
            </w:pPr>
            <w:r w:rsidRPr="001244BB">
              <w:rPr>
                <w:rFonts w:eastAsia="Times New Roman" w:cstheme="minorHAnsi"/>
                <w:color w:val="000000"/>
                <w:sz w:val="20"/>
                <w:szCs w:val="20"/>
                <w:lang w:eastAsia="en-NZ"/>
              </w:rPr>
              <w:t>1,280,000</w:t>
            </w:r>
          </w:p>
        </w:tc>
        <w:tc>
          <w:tcPr>
            <w:tcW w:w="851" w:type="dxa"/>
            <w:tcBorders>
              <w:left w:val="single" w:sz="4" w:space="0" w:color="00B050"/>
              <w:bottom w:val="single" w:sz="4" w:space="0" w:color="00B050"/>
              <w:right w:val="single" w:sz="4" w:space="0" w:color="00B050"/>
            </w:tcBorders>
            <w:shd w:val="clear" w:color="auto" w:fill="auto"/>
            <w:hideMark/>
          </w:tcPr>
          <w:p w:rsidR="00030337" w:rsidRPr="001244BB" w:rsidRDefault="00030337" w:rsidP="00030337">
            <w:pPr>
              <w:spacing w:after="0" w:line="240" w:lineRule="auto"/>
              <w:jc w:val="right"/>
              <w:rPr>
                <w:rFonts w:eastAsia="Times New Roman" w:cstheme="minorHAnsi"/>
                <w:color w:val="000000"/>
                <w:sz w:val="20"/>
                <w:szCs w:val="20"/>
                <w:lang w:eastAsia="en-NZ"/>
              </w:rPr>
            </w:pPr>
            <w:r w:rsidRPr="001244BB">
              <w:rPr>
                <w:rFonts w:eastAsia="Times New Roman" w:cstheme="minorHAnsi"/>
                <w:color w:val="000000"/>
                <w:sz w:val="20"/>
                <w:szCs w:val="20"/>
                <w:lang w:eastAsia="en-NZ"/>
              </w:rPr>
              <w:t>-3%</w:t>
            </w:r>
          </w:p>
        </w:tc>
        <w:tc>
          <w:tcPr>
            <w:tcW w:w="1134" w:type="dxa"/>
            <w:tcBorders>
              <w:left w:val="single" w:sz="4" w:space="0" w:color="00B050"/>
              <w:bottom w:val="single" w:sz="4" w:space="0" w:color="00B050"/>
              <w:right w:val="single" w:sz="4" w:space="0" w:color="00B050"/>
            </w:tcBorders>
            <w:shd w:val="clear" w:color="auto" w:fill="auto"/>
            <w:hideMark/>
          </w:tcPr>
          <w:p w:rsidR="00030337" w:rsidRPr="001244BB" w:rsidRDefault="004A2F47" w:rsidP="00030337">
            <w:pPr>
              <w:spacing w:after="0" w:line="240" w:lineRule="auto"/>
              <w:jc w:val="right"/>
              <w:rPr>
                <w:rFonts w:eastAsia="Times New Roman" w:cstheme="minorHAnsi"/>
                <w:color w:val="000000"/>
                <w:sz w:val="20"/>
                <w:szCs w:val="20"/>
                <w:lang w:eastAsia="en-NZ"/>
              </w:rPr>
            </w:pPr>
            <w:r>
              <w:rPr>
                <w:rFonts w:eastAsia="Times New Roman" w:cstheme="minorHAnsi"/>
                <w:color w:val="000000"/>
                <w:sz w:val="20"/>
                <w:szCs w:val="20"/>
                <w:lang w:eastAsia="en-NZ"/>
              </w:rPr>
              <w:t>Within 10%</w:t>
            </w:r>
          </w:p>
        </w:tc>
        <w:tc>
          <w:tcPr>
            <w:tcW w:w="4635" w:type="dxa"/>
            <w:tcBorders>
              <w:left w:val="single" w:sz="4" w:space="0" w:color="00B050"/>
              <w:bottom w:val="single" w:sz="4" w:space="0" w:color="00B050"/>
              <w:right w:val="nil"/>
            </w:tcBorders>
            <w:shd w:val="clear" w:color="auto" w:fill="auto"/>
            <w:hideMark/>
          </w:tcPr>
          <w:p w:rsidR="00030337" w:rsidRPr="001244BB" w:rsidRDefault="00B27E9D" w:rsidP="00030337">
            <w:pPr>
              <w:spacing w:after="0" w:line="240" w:lineRule="auto"/>
              <w:rPr>
                <w:rFonts w:eastAsia="Times New Roman" w:cstheme="minorHAnsi"/>
                <w:color w:val="000000"/>
                <w:sz w:val="20"/>
                <w:szCs w:val="20"/>
                <w:lang w:eastAsia="en-NZ"/>
              </w:rPr>
            </w:pPr>
            <w:r>
              <w:rPr>
                <w:rFonts w:eastAsia="Times New Roman" w:cstheme="minorHAnsi"/>
                <w:color w:val="000000"/>
                <w:sz w:val="20"/>
                <w:szCs w:val="20"/>
                <w:lang w:eastAsia="en-NZ"/>
              </w:rPr>
              <w:t>The visitor counts</w:t>
            </w:r>
            <w:r w:rsidR="004A2F47">
              <w:rPr>
                <w:rFonts w:eastAsia="Times New Roman" w:cstheme="minorHAnsi"/>
                <w:color w:val="000000"/>
                <w:sz w:val="20"/>
                <w:szCs w:val="20"/>
                <w:lang w:eastAsia="en-NZ"/>
              </w:rPr>
              <w:t xml:space="preserve"> </w:t>
            </w:r>
            <w:r>
              <w:rPr>
                <w:rFonts w:eastAsia="Times New Roman" w:cstheme="minorHAnsi"/>
                <w:color w:val="000000"/>
                <w:sz w:val="20"/>
                <w:szCs w:val="20"/>
                <w:lang w:eastAsia="en-NZ"/>
              </w:rPr>
              <w:t xml:space="preserve">are estimates, as accurate counts are not possible. </w:t>
            </w:r>
          </w:p>
        </w:tc>
      </w:tr>
      <w:tr w:rsidR="00030337" w:rsidRPr="001244BB" w:rsidTr="00030337">
        <w:trPr>
          <w:trHeight w:val="283"/>
        </w:trPr>
        <w:tc>
          <w:tcPr>
            <w:tcW w:w="3672" w:type="dxa"/>
            <w:tcBorders>
              <w:top w:val="single" w:sz="4" w:space="0" w:color="00B050"/>
              <w:left w:val="nil"/>
              <w:bottom w:val="single" w:sz="4" w:space="0" w:color="FFFFFF" w:themeColor="background1"/>
              <w:right w:val="single" w:sz="4" w:space="0" w:color="00B050"/>
            </w:tcBorders>
            <w:shd w:val="clear" w:color="auto" w:fill="auto"/>
            <w:hideMark/>
          </w:tcPr>
          <w:p w:rsidR="00030337" w:rsidRPr="001244BB" w:rsidRDefault="00030337" w:rsidP="00030337">
            <w:pPr>
              <w:spacing w:after="0" w:line="240" w:lineRule="auto"/>
              <w:rPr>
                <w:rFonts w:eastAsia="Times New Roman" w:cstheme="minorHAnsi"/>
                <w:color w:val="000000"/>
                <w:sz w:val="20"/>
                <w:szCs w:val="20"/>
                <w:lang w:eastAsia="en-NZ"/>
              </w:rPr>
            </w:pPr>
            <w:r w:rsidRPr="001244BB">
              <w:rPr>
                <w:rFonts w:eastAsia="Times New Roman" w:cstheme="minorHAnsi"/>
                <w:color w:val="000000"/>
                <w:sz w:val="20"/>
                <w:szCs w:val="20"/>
                <w:lang w:eastAsia="en-NZ"/>
              </w:rPr>
              <w:t>Number of formal education attendees at Council programmes (School &amp; Community)</w:t>
            </w:r>
          </w:p>
        </w:tc>
        <w:tc>
          <w:tcPr>
            <w:tcW w:w="1140" w:type="dxa"/>
            <w:tcBorders>
              <w:top w:val="single" w:sz="4" w:space="0" w:color="00B050"/>
              <w:left w:val="single" w:sz="4" w:space="0" w:color="00B050"/>
              <w:bottom w:val="single" w:sz="4" w:space="0" w:color="FFFFFF" w:themeColor="background1"/>
              <w:right w:val="single" w:sz="4" w:space="0" w:color="00B050"/>
            </w:tcBorders>
            <w:shd w:val="clear" w:color="auto" w:fill="auto"/>
            <w:noWrap/>
            <w:hideMark/>
          </w:tcPr>
          <w:p w:rsidR="00030337" w:rsidRPr="001244BB" w:rsidRDefault="00030337" w:rsidP="00030337">
            <w:pPr>
              <w:spacing w:after="0" w:line="240" w:lineRule="auto"/>
              <w:jc w:val="right"/>
              <w:rPr>
                <w:rFonts w:eastAsia="Times New Roman" w:cstheme="minorHAnsi"/>
                <w:color w:val="000000"/>
                <w:sz w:val="20"/>
                <w:szCs w:val="20"/>
                <w:lang w:eastAsia="en-NZ"/>
              </w:rPr>
            </w:pPr>
          </w:p>
        </w:tc>
        <w:tc>
          <w:tcPr>
            <w:tcW w:w="1142" w:type="dxa"/>
            <w:gridSpan w:val="2"/>
            <w:tcBorders>
              <w:top w:val="single" w:sz="4" w:space="0" w:color="00B050"/>
              <w:left w:val="single" w:sz="4" w:space="0" w:color="00B050"/>
              <w:bottom w:val="single" w:sz="4" w:space="0" w:color="FFFFFF" w:themeColor="background1"/>
              <w:right w:val="single" w:sz="4" w:space="0" w:color="00B050"/>
            </w:tcBorders>
            <w:shd w:val="clear" w:color="auto" w:fill="auto"/>
            <w:noWrap/>
            <w:hideMark/>
          </w:tcPr>
          <w:p w:rsidR="00030337" w:rsidRPr="001244BB" w:rsidRDefault="00030337" w:rsidP="00030337">
            <w:pPr>
              <w:spacing w:after="0" w:line="240" w:lineRule="auto"/>
              <w:jc w:val="right"/>
              <w:rPr>
                <w:rFonts w:eastAsia="Times New Roman" w:cstheme="minorHAnsi"/>
                <w:color w:val="000000"/>
                <w:sz w:val="20"/>
                <w:szCs w:val="20"/>
                <w:lang w:eastAsia="en-NZ"/>
              </w:rPr>
            </w:pPr>
            <w:r w:rsidRPr="001244BB">
              <w:rPr>
                <w:rFonts w:eastAsia="Times New Roman" w:cstheme="minorHAnsi"/>
                <w:color w:val="000000"/>
                <w:sz w:val="20"/>
                <w:szCs w:val="20"/>
                <w:lang w:eastAsia="en-NZ"/>
              </w:rPr>
              <w:t>New</w:t>
            </w:r>
          </w:p>
        </w:tc>
        <w:tc>
          <w:tcPr>
            <w:tcW w:w="1276" w:type="dxa"/>
            <w:tcBorders>
              <w:top w:val="single" w:sz="4" w:space="0" w:color="00B050"/>
              <w:left w:val="single" w:sz="4" w:space="0" w:color="00B050"/>
              <w:bottom w:val="single" w:sz="4" w:space="0" w:color="FFFFFF" w:themeColor="background1"/>
              <w:right w:val="single" w:sz="4" w:space="0" w:color="00B050"/>
            </w:tcBorders>
            <w:shd w:val="clear" w:color="auto" w:fill="auto"/>
            <w:noWrap/>
            <w:hideMark/>
          </w:tcPr>
          <w:p w:rsidR="00030337" w:rsidRPr="001244BB" w:rsidRDefault="00030337" w:rsidP="00030337">
            <w:pPr>
              <w:spacing w:after="0" w:line="240" w:lineRule="auto"/>
              <w:jc w:val="right"/>
              <w:rPr>
                <w:rFonts w:eastAsia="Times New Roman" w:cstheme="minorHAnsi"/>
                <w:color w:val="000000"/>
                <w:sz w:val="20"/>
                <w:szCs w:val="20"/>
                <w:lang w:eastAsia="en-NZ"/>
              </w:rPr>
            </w:pPr>
            <w:r w:rsidRPr="001244BB">
              <w:rPr>
                <w:rFonts w:eastAsia="Times New Roman" w:cstheme="minorHAnsi"/>
                <w:color w:val="000000"/>
                <w:sz w:val="20"/>
                <w:szCs w:val="20"/>
                <w:lang w:eastAsia="en-NZ"/>
              </w:rPr>
              <w:t>2,102</w:t>
            </w:r>
          </w:p>
        </w:tc>
        <w:tc>
          <w:tcPr>
            <w:tcW w:w="1134" w:type="dxa"/>
            <w:tcBorders>
              <w:top w:val="single" w:sz="4" w:space="0" w:color="00B050"/>
              <w:left w:val="single" w:sz="4" w:space="0" w:color="00B050"/>
              <w:bottom w:val="single" w:sz="4" w:space="0" w:color="FFFFFF" w:themeColor="background1"/>
              <w:right w:val="single" w:sz="4" w:space="0" w:color="00B050"/>
            </w:tcBorders>
            <w:shd w:val="clear" w:color="000000" w:fill="D9D9D9"/>
            <w:hideMark/>
          </w:tcPr>
          <w:p w:rsidR="00030337" w:rsidRPr="001244BB" w:rsidRDefault="00030337" w:rsidP="00030337">
            <w:pPr>
              <w:spacing w:after="0" w:line="240" w:lineRule="auto"/>
              <w:jc w:val="right"/>
              <w:rPr>
                <w:rFonts w:eastAsia="Times New Roman" w:cstheme="minorHAnsi"/>
                <w:color w:val="000000"/>
                <w:sz w:val="20"/>
                <w:szCs w:val="20"/>
                <w:lang w:eastAsia="en-NZ"/>
              </w:rPr>
            </w:pPr>
            <w:r w:rsidRPr="001244BB">
              <w:rPr>
                <w:rFonts w:eastAsia="Times New Roman" w:cstheme="minorHAnsi"/>
                <w:color w:val="000000"/>
                <w:sz w:val="20"/>
                <w:szCs w:val="20"/>
                <w:lang w:eastAsia="en-NZ"/>
              </w:rPr>
              <w:t>Baseline</w:t>
            </w:r>
          </w:p>
        </w:tc>
        <w:tc>
          <w:tcPr>
            <w:tcW w:w="851" w:type="dxa"/>
            <w:tcBorders>
              <w:top w:val="single" w:sz="4" w:space="0" w:color="00B050"/>
              <w:left w:val="single" w:sz="4" w:space="0" w:color="00B050"/>
              <w:bottom w:val="single" w:sz="4" w:space="0" w:color="FFFFFF" w:themeColor="background1"/>
              <w:right w:val="single" w:sz="4" w:space="0" w:color="00B050"/>
            </w:tcBorders>
            <w:shd w:val="clear" w:color="auto" w:fill="auto"/>
            <w:hideMark/>
          </w:tcPr>
          <w:p w:rsidR="00030337" w:rsidRPr="001244BB" w:rsidRDefault="00030337" w:rsidP="00030337">
            <w:pPr>
              <w:spacing w:after="0" w:line="240" w:lineRule="auto"/>
              <w:jc w:val="right"/>
              <w:rPr>
                <w:rFonts w:eastAsia="Times New Roman" w:cstheme="minorHAnsi"/>
                <w:color w:val="000000"/>
                <w:sz w:val="20"/>
                <w:szCs w:val="20"/>
                <w:lang w:eastAsia="en-NZ"/>
              </w:rPr>
            </w:pPr>
          </w:p>
        </w:tc>
        <w:tc>
          <w:tcPr>
            <w:tcW w:w="1134" w:type="dxa"/>
            <w:tcBorders>
              <w:top w:val="single" w:sz="4" w:space="0" w:color="00B050"/>
              <w:left w:val="single" w:sz="4" w:space="0" w:color="00B050"/>
              <w:bottom w:val="single" w:sz="4" w:space="0" w:color="FFFFFF" w:themeColor="background1"/>
              <w:right w:val="single" w:sz="4" w:space="0" w:color="00B050"/>
            </w:tcBorders>
            <w:shd w:val="clear" w:color="auto" w:fill="auto"/>
            <w:hideMark/>
          </w:tcPr>
          <w:p w:rsidR="00030337" w:rsidRPr="001244BB" w:rsidRDefault="00030337" w:rsidP="00030337">
            <w:pPr>
              <w:spacing w:after="0" w:line="240" w:lineRule="auto"/>
              <w:jc w:val="right"/>
              <w:rPr>
                <w:rFonts w:eastAsia="Times New Roman" w:cstheme="minorHAnsi"/>
                <w:color w:val="000000"/>
                <w:sz w:val="20"/>
                <w:szCs w:val="20"/>
                <w:lang w:eastAsia="en-NZ"/>
              </w:rPr>
            </w:pPr>
          </w:p>
        </w:tc>
        <w:tc>
          <w:tcPr>
            <w:tcW w:w="4635" w:type="dxa"/>
            <w:tcBorders>
              <w:top w:val="single" w:sz="4" w:space="0" w:color="00B050"/>
              <w:left w:val="single" w:sz="4" w:space="0" w:color="00B050"/>
              <w:bottom w:val="single" w:sz="4" w:space="0" w:color="FFFFFF" w:themeColor="background1"/>
              <w:right w:val="nil"/>
            </w:tcBorders>
            <w:shd w:val="clear" w:color="auto" w:fill="auto"/>
            <w:hideMark/>
          </w:tcPr>
          <w:p w:rsidR="00030337" w:rsidRPr="001244BB" w:rsidRDefault="00030337" w:rsidP="00030337">
            <w:pPr>
              <w:spacing w:after="0" w:line="240" w:lineRule="auto"/>
              <w:jc w:val="right"/>
              <w:rPr>
                <w:rFonts w:eastAsia="Times New Roman" w:cstheme="minorHAnsi"/>
                <w:color w:val="000000"/>
                <w:sz w:val="20"/>
                <w:szCs w:val="20"/>
                <w:lang w:eastAsia="en-NZ"/>
              </w:rPr>
            </w:pPr>
          </w:p>
        </w:tc>
      </w:tr>
      <w:tr w:rsidR="00030337" w:rsidRPr="001244BB" w:rsidTr="00030337">
        <w:trPr>
          <w:trHeight w:val="315"/>
        </w:trPr>
        <w:tc>
          <w:tcPr>
            <w:tcW w:w="14984" w:type="dxa"/>
            <w:gridSpan w:val="9"/>
            <w:tcBorders>
              <w:top w:val="single" w:sz="4" w:space="0" w:color="FFFFFF" w:themeColor="background1"/>
              <w:left w:val="nil"/>
              <w:right w:val="nil"/>
            </w:tcBorders>
            <w:shd w:val="clear" w:color="auto" w:fill="EAF1DD" w:themeFill="accent3" w:themeFillTint="33"/>
            <w:hideMark/>
          </w:tcPr>
          <w:p w:rsidR="00030337" w:rsidRPr="001244BB" w:rsidRDefault="00030337" w:rsidP="00030337">
            <w:pPr>
              <w:spacing w:after="0" w:line="240" w:lineRule="auto"/>
              <w:rPr>
                <w:rFonts w:eastAsia="Times New Roman" w:cstheme="minorHAnsi"/>
                <w:b/>
                <w:sz w:val="20"/>
                <w:szCs w:val="20"/>
                <w:lang w:eastAsia="en-NZ"/>
              </w:rPr>
            </w:pPr>
            <w:r w:rsidRPr="001244BB">
              <w:rPr>
                <w:rFonts w:eastAsia="Times New Roman" w:cstheme="minorHAnsi"/>
                <w:b/>
                <w:sz w:val="20"/>
                <w:szCs w:val="20"/>
                <w:lang w:eastAsia="en-NZ"/>
              </w:rPr>
              <w:lastRenderedPageBreak/>
              <w:t>Attractiveness</w:t>
            </w:r>
          </w:p>
        </w:tc>
      </w:tr>
      <w:tr w:rsidR="00030337" w:rsidRPr="001244BB" w:rsidTr="00030337">
        <w:trPr>
          <w:trHeight w:val="1035"/>
        </w:trPr>
        <w:tc>
          <w:tcPr>
            <w:tcW w:w="3672" w:type="dxa"/>
            <w:tcBorders>
              <w:left w:val="nil"/>
              <w:right w:val="single" w:sz="4" w:space="0" w:color="00B050"/>
            </w:tcBorders>
            <w:shd w:val="clear" w:color="auto" w:fill="auto"/>
            <w:hideMark/>
          </w:tcPr>
          <w:p w:rsidR="00030337" w:rsidRPr="001244BB" w:rsidRDefault="00030337" w:rsidP="00030337">
            <w:pPr>
              <w:spacing w:after="0" w:line="240" w:lineRule="auto"/>
              <w:rPr>
                <w:rFonts w:eastAsia="Times New Roman" w:cstheme="minorHAnsi"/>
                <w:color w:val="000000"/>
                <w:sz w:val="20"/>
                <w:szCs w:val="20"/>
                <w:lang w:eastAsia="en-NZ"/>
              </w:rPr>
            </w:pPr>
            <w:r w:rsidRPr="001244BB">
              <w:rPr>
                <w:rFonts w:eastAsia="Times New Roman" w:cstheme="minorHAnsi"/>
                <w:color w:val="000000"/>
                <w:sz w:val="20"/>
                <w:szCs w:val="20"/>
                <w:lang w:eastAsia="en-NZ"/>
              </w:rPr>
              <w:t>Residents (%) satisfied with the quality and maintenance of green open spaces (local parks and reserves, playgrounds, botanic gardens, beaches and coastal areas, walkways and trails, waterfront, forested areas and green belts)</w:t>
            </w:r>
          </w:p>
        </w:tc>
        <w:tc>
          <w:tcPr>
            <w:tcW w:w="1140" w:type="dxa"/>
            <w:tcBorders>
              <w:left w:val="single" w:sz="4" w:space="0" w:color="00B050"/>
              <w:right w:val="single" w:sz="4" w:space="0" w:color="00B050"/>
            </w:tcBorders>
            <w:shd w:val="clear" w:color="auto" w:fill="auto"/>
            <w:noWrap/>
            <w:hideMark/>
          </w:tcPr>
          <w:p w:rsidR="00030337" w:rsidRPr="001244BB" w:rsidRDefault="00030337" w:rsidP="00030337">
            <w:pPr>
              <w:spacing w:after="0" w:line="240" w:lineRule="auto"/>
              <w:jc w:val="right"/>
              <w:rPr>
                <w:rFonts w:eastAsia="Times New Roman" w:cstheme="minorHAnsi"/>
                <w:color w:val="000000"/>
                <w:sz w:val="20"/>
                <w:szCs w:val="20"/>
                <w:lang w:eastAsia="en-NZ"/>
              </w:rPr>
            </w:pPr>
            <w:r w:rsidRPr="001244BB">
              <w:rPr>
                <w:rFonts w:eastAsia="Times New Roman" w:cstheme="minorHAnsi"/>
                <w:color w:val="000000"/>
                <w:sz w:val="20"/>
                <w:szCs w:val="20"/>
                <w:lang w:eastAsia="en-NZ"/>
              </w:rPr>
              <w:t>8</w:t>
            </w:r>
            <w:r>
              <w:rPr>
                <w:rFonts w:eastAsia="Times New Roman" w:cstheme="minorHAnsi"/>
                <w:color w:val="000000"/>
                <w:sz w:val="20"/>
                <w:szCs w:val="20"/>
                <w:lang w:eastAsia="en-NZ"/>
              </w:rPr>
              <w:t>3</w:t>
            </w:r>
            <w:r w:rsidRPr="001244BB">
              <w:rPr>
                <w:rFonts w:eastAsia="Times New Roman" w:cstheme="minorHAnsi"/>
                <w:color w:val="000000"/>
                <w:sz w:val="20"/>
                <w:szCs w:val="20"/>
                <w:lang w:eastAsia="en-NZ"/>
              </w:rPr>
              <w:t>%</w:t>
            </w:r>
          </w:p>
        </w:tc>
        <w:tc>
          <w:tcPr>
            <w:tcW w:w="1142" w:type="dxa"/>
            <w:gridSpan w:val="2"/>
            <w:tcBorders>
              <w:left w:val="single" w:sz="4" w:space="0" w:color="00B050"/>
              <w:right w:val="single" w:sz="4" w:space="0" w:color="00B050"/>
            </w:tcBorders>
            <w:shd w:val="clear" w:color="auto" w:fill="auto"/>
            <w:noWrap/>
            <w:hideMark/>
          </w:tcPr>
          <w:p w:rsidR="00030337" w:rsidRPr="001244BB" w:rsidRDefault="00030337" w:rsidP="00030337">
            <w:pPr>
              <w:spacing w:after="0" w:line="240" w:lineRule="auto"/>
              <w:jc w:val="right"/>
              <w:rPr>
                <w:rFonts w:eastAsia="Times New Roman" w:cstheme="minorHAnsi"/>
                <w:color w:val="000000"/>
                <w:sz w:val="20"/>
                <w:szCs w:val="20"/>
                <w:lang w:eastAsia="en-NZ"/>
              </w:rPr>
            </w:pPr>
            <w:r w:rsidRPr="001244BB">
              <w:rPr>
                <w:rFonts w:eastAsia="Times New Roman" w:cstheme="minorHAnsi"/>
                <w:color w:val="000000"/>
                <w:sz w:val="20"/>
                <w:szCs w:val="20"/>
                <w:lang w:eastAsia="en-NZ"/>
              </w:rPr>
              <w:t>8</w:t>
            </w:r>
            <w:r>
              <w:rPr>
                <w:rFonts w:eastAsia="Times New Roman" w:cstheme="minorHAnsi"/>
                <w:color w:val="000000"/>
                <w:sz w:val="20"/>
                <w:szCs w:val="20"/>
                <w:lang w:eastAsia="en-NZ"/>
              </w:rPr>
              <w:t>4</w:t>
            </w:r>
            <w:r w:rsidRPr="001244BB">
              <w:rPr>
                <w:rFonts w:eastAsia="Times New Roman" w:cstheme="minorHAnsi"/>
                <w:color w:val="000000"/>
                <w:sz w:val="20"/>
                <w:szCs w:val="20"/>
                <w:lang w:eastAsia="en-NZ"/>
              </w:rPr>
              <w:t>%</w:t>
            </w:r>
          </w:p>
        </w:tc>
        <w:tc>
          <w:tcPr>
            <w:tcW w:w="1276" w:type="dxa"/>
            <w:tcBorders>
              <w:left w:val="single" w:sz="4" w:space="0" w:color="00B050"/>
              <w:right w:val="single" w:sz="4" w:space="0" w:color="00B050"/>
            </w:tcBorders>
            <w:shd w:val="clear" w:color="auto" w:fill="auto"/>
            <w:noWrap/>
            <w:hideMark/>
          </w:tcPr>
          <w:p w:rsidR="00030337" w:rsidRPr="001244BB" w:rsidRDefault="00030337" w:rsidP="00030337">
            <w:pPr>
              <w:spacing w:after="0" w:line="240" w:lineRule="auto"/>
              <w:jc w:val="right"/>
              <w:rPr>
                <w:rFonts w:eastAsia="Times New Roman" w:cstheme="minorHAnsi"/>
                <w:color w:val="000000"/>
                <w:sz w:val="20"/>
                <w:szCs w:val="20"/>
                <w:lang w:eastAsia="en-NZ"/>
              </w:rPr>
            </w:pPr>
            <w:r w:rsidRPr="001244BB">
              <w:rPr>
                <w:rFonts w:eastAsia="Times New Roman" w:cstheme="minorHAnsi"/>
                <w:color w:val="000000"/>
                <w:sz w:val="20"/>
                <w:szCs w:val="20"/>
                <w:lang w:eastAsia="en-NZ"/>
              </w:rPr>
              <w:t>8</w:t>
            </w:r>
            <w:r>
              <w:rPr>
                <w:rFonts w:eastAsia="Times New Roman" w:cstheme="minorHAnsi"/>
                <w:color w:val="000000"/>
                <w:sz w:val="20"/>
                <w:szCs w:val="20"/>
                <w:lang w:eastAsia="en-NZ"/>
              </w:rPr>
              <w:t>7</w:t>
            </w:r>
            <w:r w:rsidRPr="001244BB">
              <w:rPr>
                <w:rFonts w:eastAsia="Times New Roman" w:cstheme="minorHAnsi"/>
                <w:color w:val="000000"/>
                <w:sz w:val="20"/>
                <w:szCs w:val="20"/>
                <w:lang w:eastAsia="en-NZ"/>
              </w:rPr>
              <w:t>%</w:t>
            </w:r>
          </w:p>
        </w:tc>
        <w:tc>
          <w:tcPr>
            <w:tcW w:w="1134" w:type="dxa"/>
            <w:tcBorders>
              <w:left w:val="single" w:sz="4" w:space="0" w:color="00B050"/>
              <w:right w:val="single" w:sz="4" w:space="0" w:color="00B050"/>
            </w:tcBorders>
            <w:shd w:val="clear" w:color="000000" w:fill="D9D9D9"/>
            <w:hideMark/>
          </w:tcPr>
          <w:p w:rsidR="00030337" w:rsidRPr="001244BB" w:rsidRDefault="00030337" w:rsidP="00030337">
            <w:pPr>
              <w:spacing w:after="0" w:line="240" w:lineRule="auto"/>
              <w:jc w:val="right"/>
              <w:rPr>
                <w:rFonts w:eastAsia="Times New Roman" w:cstheme="minorHAnsi"/>
                <w:color w:val="000000"/>
                <w:sz w:val="20"/>
                <w:szCs w:val="20"/>
                <w:lang w:eastAsia="en-NZ"/>
              </w:rPr>
            </w:pPr>
            <w:r w:rsidRPr="001244BB">
              <w:rPr>
                <w:rFonts w:eastAsia="Times New Roman" w:cstheme="minorHAnsi"/>
                <w:color w:val="000000"/>
                <w:sz w:val="20"/>
                <w:szCs w:val="20"/>
                <w:lang w:eastAsia="en-NZ"/>
              </w:rPr>
              <w:t>90%</w:t>
            </w:r>
          </w:p>
        </w:tc>
        <w:tc>
          <w:tcPr>
            <w:tcW w:w="851" w:type="dxa"/>
            <w:tcBorders>
              <w:left w:val="single" w:sz="4" w:space="0" w:color="00B050"/>
              <w:right w:val="single" w:sz="4" w:space="0" w:color="00B050"/>
            </w:tcBorders>
            <w:shd w:val="clear" w:color="auto" w:fill="auto"/>
            <w:hideMark/>
          </w:tcPr>
          <w:p w:rsidR="00030337" w:rsidRPr="001244BB" w:rsidRDefault="00030337" w:rsidP="00030337">
            <w:pPr>
              <w:spacing w:after="0" w:line="240" w:lineRule="auto"/>
              <w:jc w:val="right"/>
              <w:rPr>
                <w:rFonts w:eastAsia="Times New Roman" w:cstheme="minorHAnsi"/>
                <w:color w:val="000000"/>
                <w:sz w:val="20"/>
                <w:szCs w:val="20"/>
                <w:lang w:eastAsia="en-NZ"/>
              </w:rPr>
            </w:pPr>
            <w:r w:rsidRPr="001244BB">
              <w:rPr>
                <w:rFonts w:eastAsia="Times New Roman" w:cstheme="minorHAnsi"/>
                <w:color w:val="000000"/>
                <w:sz w:val="20"/>
                <w:szCs w:val="20"/>
                <w:lang w:eastAsia="en-NZ"/>
              </w:rPr>
              <w:t>-</w:t>
            </w:r>
            <w:r>
              <w:rPr>
                <w:rFonts w:eastAsia="Times New Roman" w:cstheme="minorHAnsi"/>
                <w:color w:val="000000"/>
                <w:sz w:val="20"/>
                <w:szCs w:val="20"/>
                <w:lang w:eastAsia="en-NZ"/>
              </w:rPr>
              <w:t>3</w:t>
            </w:r>
            <w:r w:rsidRPr="001244BB">
              <w:rPr>
                <w:rFonts w:eastAsia="Times New Roman" w:cstheme="minorHAnsi"/>
                <w:color w:val="000000"/>
                <w:sz w:val="20"/>
                <w:szCs w:val="20"/>
                <w:lang w:eastAsia="en-NZ"/>
              </w:rPr>
              <w:t>%</w:t>
            </w:r>
          </w:p>
        </w:tc>
        <w:tc>
          <w:tcPr>
            <w:tcW w:w="1134" w:type="dxa"/>
            <w:tcBorders>
              <w:left w:val="single" w:sz="4" w:space="0" w:color="00B050"/>
              <w:right w:val="single" w:sz="4" w:space="0" w:color="00B050"/>
            </w:tcBorders>
            <w:shd w:val="clear" w:color="auto" w:fill="auto"/>
            <w:hideMark/>
          </w:tcPr>
          <w:p w:rsidR="00030337" w:rsidRPr="001244BB" w:rsidRDefault="004A2F47" w:rsidP="00030337">
            <w:pPr>
              <w:spacing w:after="0" w:line="240" w:lineRule="auto"/>
              <w:jc w:val="right"/>
              <w:rPr>
                <w:rFonts w:eastAsia="Times New Roman" w:cstheme="minorHAnsi"/>
                <w:color w:val="000000"/>
                <w:sz w:val="20"/>
                <w:szCs w:val="20"/>
                <w:lang w:eastAsia="en-NZ"/>
              </w:rPr>
            </w:pPr>
            <w:r>
              <w:rPr>
                <w:rFonts w:eastAsia="Times New Roman" w:cstheme="minorHAnsi"/>
                <w:color w:val="000000"/>
                <w:sz w:val="20"/>
                <w:szCs w:val="20"/>
                <w:lang w:eastAsia="en-NZ"/>
              </w:rPr>
              <w:t>Within 10%</w:t>
            </w:r>
          </w:p>
        </w:tc>
        <w:tc>
          <w:tcPr>
            <w:tcW w:w="4635" w:type="dxa"/>
            <w:tcBorders>
              <w:left w:val="single" w:sz="4" w:space="0" w:color="00B050"/>
              <w:bottom w:val="single" w:sz="4" w:space="0" w:color="FFFFFF" w:themeColor="background1"/>
              <w:right w:val="nil"/>
            </w:tcBorders>
            <w:shd w:val="clear" w:color="auto" w:fill="auto"/>
            <w:hideMark/>
          </w:tcPr>
          <w:p w:rsidR="00030337" w:rsidRPr="001244BB" w:rsidRDefault="00B27E9D" w:rsidP="00030337">
            <w:pPr>
              <w:spacing w:after="0" w:line="240" w:lineRule="auto"/>
              <w:rPr>
                <w:rFonts w:eastAsia="Times New Roman" w:cstheme="minorHAnsi"/>
                <w:color w:val="000000"/>
                <w:sz w:val="20"/>
                <w:szCs w:val="20"/>
                <w:lang w:eastAsia="en-NZ"/>
              </w:rPr>
            </w:pPr>
            <w:r>
              <w:rPr>
                <w:rFonts w:eastAsia="Times New Roman" w:cstheme="minorHAnsi"/>
                <w:color w:val="000000"/>
                <w:sz w:val="20"/>
                <w:szCs w:val="20"/>
                <w:lang w:eastAsia="en-NZ"/>
              </w:rPr>
              <w:t xml:space="preserve">See </w:t>
            </w:r>
            <w:r w:rsidR="004A2F47">
              <w:rPr>
                <w:rFonts w:eastAsia="Times New Roman" w:cstheme="minorHAnsi"/>
                <w:color w:val="000000"/>
                <w:sz w:val="20"/>
                <w:szCs w:val="20"/>
                <w:lang w:eastAsia="en-NZ"/>
              </w:rPr>
              <w:t>supplementary</w:t>
            </w:r>
            <w:r>
              <w:rPr>
                <w:rFonts w:eastAsia="Times New Roman" w:cstheme="minorHAnsi"/>
                <w:color w:val="000000"/>
                <w:sz w:val="20"/>
                <w:szCs w:val="20"/>
                <w:lang w:eastAsia="en-NZ"/>
              </w:rPr>
              <w:t xml:space="preserve"> tables.</w:t>
            </w:r>
          </w:p>
        </w:tc>
      </w:tr>
      <w:tr w:rsidR="00030337" w:rsidRPr="001244BB" w:rsidTr="00030337">
        <w:trPr>
          <w:trHeight w:val="315"/>
        </w:trPr>
        <w:tc>
          <w:tcPr>
            <w:tcW w:w="14984" w:type="dxa"/>
            <w:gridSpan w:val="9"/>
            <w:tcBorders>
              <w:top w:val="nil"/>
              <w:left w:val="nil"/>
              <w:right w:val="nil"/>
            </w:tcBorders>
            <w:shd w:val="clear" w:color="auto" w:fill="EAF1DD" w:themeFill="accent3" w:themeFillTint="33"/>
            <w:hideMark/>
          </w:tcPr>
          <w:p w:rsidR="00030337" w:rsidRPr="001244BB" w:rsidRDefault="00030337" w:rsidP="00030337">
            <w:pPr>
              <w:spacing w:after="0" w:line="240" w:lineRule="auto"/>
              <w:rPr>
                <w:rFonts w:eastAsia="Times New Roman" w:cstheme="minorHAnsi"/>
                <w:b/>
                <w:sz w:val="20"/>
                <w:szCs w:val="20"/>
                <w:lang w:eastAsia="en-NZ"/>
              </w:rPr>
            </w:pPr>
            <w:r w:rsidRPr="001244BB">
              <w:rPr>
                <w:rFonts w:eastAsia="Times New Roman" w:cstheme="minorHAnsi"/>
                <w:b/>
                <w:sz w:val="20"/>
                <w:szCs w:val="20"/>
                <w:lang w:eastAsia="en-NZ"/>
              </w:rPr>
              <w:t>Protecting and enhancing our biodiversity</w:t>
            </w:r>
          </w:p>
        </w:tc>
      </w:tr>
      <w:tr w:rsidR="00030337" w:rsidRPr="001244BB" w:rsidTr="00030337">
        <w:trPr>
          <w:trHeight w:val="334"/>
        </w:trPr>
        <w:tc>
          <w:tcPr>
            <w:tcW w:w="3672" w:type="dxa"/>
            <w:tcBorders>
              <w:left w:val="nil"/>
              <w:bottom w:val="single" w:sz="8" w:space="0" w:color="00B050"/>
              <w:right w:val="single" w:sz="4" w:space="0" w:color="00B050"/>
            </w:tcBorders>
            <w:shd w:val="clear" w:color="auto" w:fill="auto"/>
            <w:hideMark/>
          </w:tcPr>
          <w:p w:rsidR="00030337" w:rsidRPr="001244BB" w:rsidRDefault="00030337" w:rsidP="00030337">
            <w:pPr>
              <w:spacing w:after="0" w:line="240" w:lineRule="auto"/>
              <w:rPr>
                <w:rFonts w:eastAsia="Times New Roman" w:cstheme="minorHAnsi"/>
                <w:color w:val="000000"/>
                <w:sz w:val="20"/>
                <w:szCs w:val="20"/>
                <w:lang w:eastAsia="en-NZ"/>
              </w:rPr>
            </w:pPr>
            <w:r w:rsidRPr="001244BB">
              <w:rPr>
                <w:rFonts w:eastAsia="Times New Roman" w:cstheme="minorHAnsi"/>
                <w:color w:val="000000"/>
                <w:sz w:val="20"/>
                <w:szCs w:val="20"/>
                <w:lang w:eastAsia="en-NZ"/>
              </w:rPr>
              <w:t xml:space="preserve">Establish 2 million native plants by 2025 </w:t>
            </w:r>
          </w:p>
        </w:tc>
        <w:tc>
          <w:tcPr>
            <w:tcW w:w="1140" w:type="dxa"/>
            <w:tcBorders>
              <w:left w:val="single" w:sz="4" w:space="0" w:color="00B050"/>
              <w:bottom w:val="single" w:sz="8" w:space="0" w:color="00B050"/>
              <w:right w:val="single" w:sz="4" w:space="0" w:color="00B050"/>
            </w:tcBorders>
            <w:shd w:val="clear" w:color="auto" w:fill="auto"/>
            <w:noWrap/>
            <w:hideMark/>
          </w:tcPr>
          <w:p w:rsidR="00030337" w:rsidRPr="001244BB" w:rsidRDefault="00030337" w:rsidP="00030337">
            <w:pPr>
              <w:spacing w:after="0" w:line="240" w:lineRule="auto"/>
              <w:jc w:val="right"/>
              <w:rPr>
                <w:rFonts w:eastAsia="Times New Roman" w:cstheme="minorHAnsi"/>
                <w:color w:val="000000"/>
                <w:sz w:val="20"/>
                <w:szCs w:val="20"/>
                <w:lang w:eastAsia="en-NZ"/>
              </w:rPr>
            </w:pPr>
            <w:r w:rsidRPr="001244BB">
              <w:rPr>
                <w:rFonts w:eastAsia="Times New Roman" w:cstheme="minorHAnsi"/>
                <w:color w:val="000000"/>
                <w:sz w:val="20"/>
                <w:szCs w:val="20"/>
                <w:lang w:eastAsia="en-NZ"/>
              </w:rPr>
              <w:t>1,571,370</w:t>
            </w:r>
          </w:p>
        </w:tc>
        <w:tc>
          <w:tcPr>
            <w:tcW w:w="1142" w:type="dxa"/>
            <w:gridSpan w:val="2"/>
            <w:tcBorders>
              <w:left w:val="single" w:sz="4" w:space="0" w:color="00B050"/>
              <w:bottom w:val="single" w:sz="8" w:space="0" w:color="00B050"/>
              <w:right w:val="single" w:sz="4" w:space="0" w:color="00B050"/>
            </w:tcBorders>
            <w:shd w:val="clear" w:color="auto" w:fill="auto"/>
            <w:noWrap/>
            <w:hideMark/>
          </w:tcPr>
          <w:p w:rsidR="00030337" w:rsidRPr="001244BB" w:rsidRDefault="00030337" w:rsidP="00030337">
            <w:pPr>
              <w:spacing w:after="0" w:line="240" w:lineRule="auto"/>
              <w:jc w:val="right"/>
              <w:rPr>
                <w:rFonts w:eastAsia="Times New Roman" w:cstheme="minorHAnsi"/>
                <w:color w:val="000000"/>
                <w:sz w:val="20"/>
                <w:szCs w:val="20"/>
                <w:lang w:eastAsia="en-NZ"/>
              </w:rPr>
            </w:pPr>
            <w:r w:rsidRPr="001244BB">
              <w:rPr>
                <w:rFonts w:eastAsia="Times New Roman" w:cstheme="minorHAnsi"/>
                <w:color w:val="000000"/>
                <w:sz w:val="20"/>
                <w:szCs w:val="20"/>
                <w:lang w:eastAsia="en-NZ"/>
              </w:rPr>
              <w:t>1,691,656</w:t>
            </w:r>
          </w:p>
        </w:tc>
        <w:tc>
          <w:tcPr>
            <w:tcW w:w="1276" w:type="dxa"/>
            <w:tcBorders>
              <w:left w:val="single" w:sz="4" w:space="0" w:color="00B050"/>
              <w:bottom w:val="single" w:sz="8" w:space="0" w:color="00B050"/>
              <w:right w:val="single" w:sz="4" w:space="0" w:color="00B050"/>
            </w:tcBorders>
            <w:shd w:val="clear" w:color="auto" w:fill="auto"/>
            <w:noWrap/>
            <w:hideMark/>
          </w:tcPr>
          <w:p w:rsidR="00030337" w:rsidRPr="001244BB" w:rsidRDefault="00030337" w:rsidP="00030337">
            <w:pPr>
              <w:spacing w:after="0" w:line="240" w:lineRule="auto"/>
              <w:jc w:val="right"/>
              <w:rPr>
                <w:rFonts w:eastAsia="Times New Roman" w:cstheme="minorHAnsi"/>
                <w:color w:val="000000"/>
                <w:sz w:val="20"/>
                <w:szCs w:val="20"/>
                <w:lang w:eastAsia="en-NZ"/>
              </w:rPr>
            </w:pPr>
            <w:r w:rsidRPr="001244BB">
              <w:rPr>
                <w:rFonts w:eastAsia="Times New Roman" w:cstheme="minorHAnsi"/>
                <w:color w:val="000000"/>
                <w:sz w:val="20"/>
                <w:szCs w:val="20"/>
                <w:lang w:eastAsia="en-NZ"/>
              </w:rPr>
              <w:t>1,788,834</w:t>
            </w:r>
          </w:p>
        </w:tc>
        <w:tc>
          <w:tcPr>
            <w:tcW w:w="1134" w:type="dxa"/>
            <w:tcBorders>
              <w:left w:val="single" w:sz="4" w:space="0" w:color="00B050"/>
              <w:bottom w:val="single" w:sz="8" w:space="0" w:color="00B050"/>
              <w:right w:val="single" w:sz="4" w:space="0" w:color="00B050"/>
            </w:tcBorders>
            <w:shd w:val="clear" w:color="000000" w:fill="D9D9D9"/>
            <w:hideMark/>
          </w:tcPr>
          <w:p w:rsidR="00030337" w:rsidRPr="001244BB" w:rsidRDefault="00030337" w:rsidP="00030337">
            <w:pPr>
              <w:spacing w:after="0" w:line="240" w:lineRule="auto"/>
              <w:jc w:val="right"/>
              <w:rPr>
                <w:rFonts w:eastAsia="Times New Roman" w:cstheme="minorHAnsi"/>
                <w:color w:val="000000"/>
                <w:sz w:val="20"/>
                <w:szCs w:val="20"/>
                <w:lang w:eastAsia="en-NZ"/>
              </w:rPr>
            </w:pPr>
            <w:r w:rsidRPr="001244BB">
              <w:rPr>
                <w:rFonts w:eastAsia="Times New Roman" w:cstheme="minorHAnsi"/>
                <w:color w:val="000000"/>
                <w:sz w:val="20"/>
                <w:szCs w:val="20"/>
                <w:lang w:eastAsia="en-NZ"/>
              </w:rPr>
              <w:t>1,765,000</w:t>
            </w:r>
          </w:p>
        </w:tc>
        <w:tc>
          <w:tcPr>
            <w:tcW w:w="851" w:type="dxa"/>
            <w:tcBorders>
              <w:left w:val="single" w:sz="4" w:space="0" w:color="00B050"/>
              <w:bottom w:val="single" w:sz="8" w:space="0" w:color="00B050"/>
              <w:right w:val="single" w:sz="4" w:space="0" w:color="00B050"/>
            </w:tcBorders>
            <w:shd w:val="clear" w:color="auto" w:fill="auto"/>
            <w:hideMark/>
          </w:tcPr>
          <w:p w:rsidR="00030337" w:rsidRPr="001244BB" w:rsidRDefault="00030337" w:rsidP="00030337">
            <w:pPr>
              <w:spacing w:after="0" w:line="240" w:lineRule="auto"/>
              <w:jc w:val="right"/>
              <w:rPr>
                <w:rFonts w:eastAsia="Times New Roman" w:cstheme="minorHAnsi"/>
                <w:color w:val="000000"/>
                <w:sz w:val="20"/>
                <w:szCs w:val="20"/>
                <w:lang w:eastAsia="en-NZ"/>
              </w:rPr>
            </w:pPr>
            <w:r w:rsidRPr="001244BB">
              <w:rPr>
                <w:rFonts w:eastAsia="Times New Roman" w:cstheme="minorHAnsi"/>
                <w:color w:val="000000"/>
                <w:sz w:val="20"/>
                <w:szCs w:val="20"/>
                <w:lang w:eastAsia="en-NZ"/>
              </w:rPr>
              <w:t>1%</w:t>
            </w:r>
          </w:p>
        </w:tc>
        <w:tc>
          <w:tcPr>
            <w:tcW w:w="1134" w:type="dxa"/>
            <w:tcBorders>
              <w:left w:val="single" w:sz="4" w:space="0" w:color="00B050"/>
              <w:bottom w:val="single" w:sz="8" w:space="0" w:color="00B050"/>
              <w:right w:val="single" w:sz="4" w:space="0" w:color="00B050"/>
            </w:tcBorders>
            <w:shd w:val="clear" w:color="auto" w:fill="auto"/>
            <w:hideMark/>
          </w:tcPr>
          <w:p w:rsidR="00030337" w:rsidRPr="001244BB" w:rsidRDefault="004A2F47" w:rsidP="004A2F47">
            <w:pPr>
              <w:spacing w:after="0"/>
              <w:jc w:val="right"/>
              <w:rPr>
                <w:rFonts w:cstheme="minorHAnsi"/>
                <w:sz w:val="20"/>
                <w:szCs w:val="20"/>
              </w:rPr>
            </w:pPr>
            <w:r>
              <w:rPr>
                <w:rFonts w:eastAsia="Times New Roman" w:cstheme="minorHAnsi"/>
                <w:color w:val="000000"/>
                <w:sz w:val="20"/>
                <w:szCs w:val="20"/>
                <w:lang w:eastAsia="en-NZ"/>
              </w:rPr>
              <w:t>Within 10%</w:t>
            </w:r>
          </w:p>
        </w:tc>
        <w:tc>
          <w:tcPr>
            <w:tcW w:w="4635" w:type="dxa"/>
            <w:tcBorders>
              <w:left w:val="single" w:sz="4" w:space="0" w:color="00B050"/>
              <w:bottom w:val="single" w:sz="4" w:space="0" w:color="00B050"/>
              <w:right w:val="nil"/>
            </w:tcBorders>
            <w:shd w:val="clear" w:color="auto" w:fill="auto"/>
            <w:hideMark/>
          </w:tcPr>
          <w:p w:rsidR="00030337" w:rsidRPr="001244BB" w:rsidRDefault="00B27E9D" w:rsidP="00030337">
            <w:pPr>
              <w:spacing w:after="0" w:line="240" w:lineRule="auto"/>
              <w:rPr>
                <w:rFonts w:eastAsia="Times New Roman" w:cstheme="minorHAnsi"/>
                <w:color w:val="000000"/>
                <w:sz w:val="20"/>
                <w:szCs w:val="20"/>
                <w:lang w:eastAsia="en-NZ"/>
              </w:rPr>
            </w:pPr>
            <w:r>
              <w:rPr>
                <w:rFonts w:eastAsia="Times New Roman" w:cstheme="minorHAnsi"/>
                <w:color w:val="000000"/>
                <w:sz w:val="20"/>
                <w:szCs w:val="20"/>
                <w:lang w:eastAsia="en-NZ"/>
              </w:rPr>
              <w:t>The target was increased from 1.65 as published in the long term plan.</w:t>
            </w:r>
          </w:p>
        </w:tc>
      </w:tr>
      <w:tr w:rsidR="00030337" w:rsidRPr="001244BB" w:rsidTr="00030337">
        <w:trPr>
          <w:trHeight w:val="525"/>
        </w:trPr>
        <w:tc>
          <w:tcPr>
            <w:tcW w:w="3672" w:type="dxa"/>
            <w:tcBorders>
              <w:top w:val="nil"/>
              <w:left w:val="nil"/>
              <w:right w:val="single" w:sz="4" w:space="0" w:color="00B050"/>
            </w:tcBorders>
            <w:shd w:val="clear" w:color="auto" w:fill="auto"/>
            <w:hideMark/>
          </w:tcPr>
          <w:p w:rsidR="00030337" w:rsidRPr="001244BB" w:rsidRDefault="00030337" w:rsidP="00030337">
            <w:pPr>
              <w:spacing w:after="0" w:line="240" w:lineRule="auto"/>
              <w:rPr>
                <w:rFonts w:eastAsia="Times New Roman" w:cstheme="minorHAnsi"/>
                <w:color w:val="000000"/>
                <w:sz w:val="20"/>
                <w:szCs w:val="20"/>
                <w:lang w:eastAsia="en-NZ"/>
              </w:rPr>
            </w:pPr>
            <w:r w:rsidRPr="001244BB">
              <w:rPr>
                <w:rFonts w:eastAsia="Times New Roman" w:cstheme="minorHAnsi"/>
                <w:color w:val="000000"/>
                <w:sz w:val="20"/>
                <w:szCs w:val="20"/>
                <w:lang w:eastAsia="en-NZ"/>
              </w:rPr>
              <w:t>Hectares of high-value biodiversity sites covered by coordinated pest management</w:t>
            </w:r>
          </w:p>
        </w:tc>
        <w:tc>
          <w:tcPr>
            <w:tcW w:w="1140" w:type="dxa"/>
            <w:tcBorders>
              <w:top w:val="single" w:sz="8" w:space="0" w:color="00B050"/>
              <w:left w:val="single" w:sz="4" w:space="0" w:color="00B050"/>
              <w:right w:val="single" w:sz="4" w:space="0" w:color="00B050"/>
            </w:tcBorders>
            <w:shd w:val="clear" w:color="auto" w:fill="auto"/>
            <w:noWrap/>
            <w:hideMark/>
          </w:tcPr>
          <w:p w:rsidR="00030337" w:rsidRPr="001244BB" w:rsidRDefault="00030337" w:rsidP="00030337">
            <w:pPr>
              <w:spacing w:after="0" w:line="240" w:lineRule="auto"/>
              <w:jc w:val="right"/>
              <w:rPr>
                <w:rFonts w:eastAsia="Times New Roman" w:cstheme="minorHAnsi"/>
                <w:color w:val="000000"/>
                <w:sz w:val="20"/>
                <w:szCs w:val="20"/>
                <w:lang w:eastAsia="en-NZ"/>
              </w:rPr>
            </w:pPr>
          </w:p>
        </w:tc>
        <w:tc>
          <w:tcPr>
            <w:tcW w:w="1142" w:type="dxa"/>
            <w:gridSpan w:val="2"/>
            <w:tcBorders>
              <w:top w:val="single" w:sz="8" w:space="0" w:color="00B050"/>
              <w:left w:val="single" w:sz="4" w:space="0" w:color="00B050"/>
              <w:right w:val="single" w:sz="4" w:space="0" w:color="00B050"/>
            </w:tcBorders>
            <w:shd w:val="clear" w:color="auto" w:fill="auto"/>
            <w:hideMark/>
          </w:tcPr>
          <w:p w:rsidR="00030337" w:rsidRPr="001244BB" w:rsidRDefault="00030337" w:rsidP="00030337">
            <w:pPr>
              <w:spacing w:after="0" w:line="240" w:lineRule="auto"/>
              <w:jc w:val="right"/>
              <w:rPr>
                <w:rFonts w:eastAsia="Times New Roman" w:cstheme="minorHAnsi"/>
                <w:color w:val="000000"/>
                <w:sz w:val="20"/>
                <w:szCs w:val="20"/>
                <w:lang w:eastAsia="en-NZ"/>
              </w:rPr>
            </w:pPr>
            <w:r w:rsidRPr="001244BB">
              <w:rPr>
                <w:rFonts w:eastAsia="Times New Roman" w:cstheme="minorHAnsi"/>
                <w:color w:val="000000"/>
                <w:sz w:val="20"/>
                <w:szCs w:val="20"/>
                <w:lang w:eastAsia="en-NZ"/>
              </w:rPr>
              <w:t>New</w:t>
            </w:r>
          </w:p>
        </w:tc>
        <w:tc>
          <w:tcPr>
            <w:tcW w:w="1276" w:type="dxa"/>
            <w:tcBorders>
              <w:top w:val="single" w:sz="8" w:space="0" w:color="00B050"/>
              <w:left w:val="single" w:sz="4" w:space="0" w:color="00B050"/>
              <w:right w:val="single" w:sz="4" w:space="0" w:color="00B050"/>
            </w:tcBorders>
            <w:shd w:val="clear" w:color="auto" w:fill="auto"/>
            <w:noWrap/>
            <w:hideMark/>
          </w:tcPr>
          <w:p w:rsidR="00030337" w:rsidRPr="001244BB" w:rsidRDefault="00030337" w:rsidP="00030337">
            <w:pPr>
              <w:spacing w:after="0" w:line="240" w:lineRule="auto"/>
              <w:jc w:val="right"/>
              <w:rPr>
                <w:rFonts w:eastAsia="Times New Roman" w:cstheme="minorHAnsi"/>
                <w:color w:val="000000"/>
                <w:sz w:val="20"/>
                <w:szCs w:val="20"/>
                <w:lang w:eastAsia="en-NZ"/>
              </w:rPr>
            </w:pPr>
            <w:r w:rsidRPr="001244BB">
              <w:rPr>
                <w:rFonts w:eastAsia="Times New Roman" w:cstheme="minorHAnsi"/>
                <w:color w:val="000000"/>
                <w:sz w:val="20"/>
                <w:szCs w:val="20"/>
                <w:lang w:eastAsia="en-NZ"/>
              </w:rPr>
              <w:t>296</w:t>
            </w:r>
          </w:p>
        </w:tc>
        <w:tc>
          <w:tcPr>
            <w:tcW w:w="1134" w:type="dxa"/>
            <w:tcBorders>
              <w:top w:val="single" w:sz="8" w:space="0" w:color="00B050"/>
              <w:left w:val="single" w:sz="4" w:space="0" w:color="00B050"/>
              <w:right w:val="single" w:sz="4" w:space="0" w:color="00B050"/>
            </w:tcBorders>
            <w:shd w:val="clear" w:color="000000" w:fill="D9D9D9"/>
            <w:hideMark/>
          </w:tcPr>
          <w:p w:rsidR="00030337" w:rsidRPr="001244BB" w:rsidRDefault="00030337" w:rsidP="00030337">
            <w:pPr>
              <w:spacing w:after="0" w:line="240" w:lineRule="auto"/>
              <w:jc w:val="right"/>
              <w:rPr>
                <w:rFonts w:eastAsia="Times New Roman" w:cstheme="minorHAnsi"/>
                <w:color w:val="000000"/>
                <w:sz w:val="20"/>
                <w:szCs w:val="20"/>
                <w:lang w:eastAsia="en-NZ"/>
              </w:rPr>
            </w:pPr>
            <w:r w:rsidRPr="001244BB">
              <w:rPr>
                <w:rFonts w:eastAsia="Times New Roman" w:cstheme="minorHAnsi"/>
                <w:color w:val="000000"/>
                <w:sz w:val="20"/>
                <w:szCs w:val="20"/>
                <w:lang w:eastAsia="en-NZ"/>
              </w:rPr>
              <w:t>Baseline</w:t>
            </w:r>
          </w:p>
        </w:tc>
        <w:tc>
          <w:tcPr>
            <w:tcW w:w="851" w:type="dxa"/>
            <w:tcBorders>
              <w:top w:val="single" w:sz="8" w:space="0" w:color="00B050"/>
              <w:left w:val="single" w:sz="4" w:space="0" w:color="00B050"/>
              <w:right w:val="single" w:sz="4" w:space="0" w:color="00B050"/>
            </w:tcBorders>
            <w:shd w:val="clear" w:color="auto" w:fill="auto"/>
            <w:hideMark/>
          </w:tcPr>
          <w:p w:rsidR="00030337" w:rsidRPr="001244BB" w:rsidRDefault="00030337" w:rsidP="00030337">
            <w:pPr>
              <w:spacing w:after="0" w:line="240" w:lineRule="auto"/>
              <w:jc w:val="right"/>
              <w:rPr>
                <w:rFonts w:eastAsia="Times New Roman" w:cstheme="minorHAnsi"/>
                <w:color w:val="000000"/>
                <w:sz w:val="20"/>
                <w:szCs w:val="20"/>
                <w:lang w:eastAsia="en-NZ"/>
              </w:rPr>
            </w:pPr>
          </w:p>
        </w:tc>
        <w:tc>
          <w:tcPr>
            <w:tcW w:w="1134" w:type="dxa"/>
            <w:tcBorders>
              <w:top w:val="single" w:sz="8" w:space="0" w:color="00B050"/>
              <w:left w:val="single" w:sz="4" w:space="0" w:color="00B050"/>
              <w:right w:val="single" w:sz="4" w:space="0" w:color="00B050"/>
            </w:tcBorders>
            <w:shd w:val="clear" w:color="auto" w:fill="auto"/>
            <w:hideMark/>
          </w:tcPr>
          <w:p w:rsidR="00030337" w:rsidRPr="001244BB" w:rsidRDefault="00030337" w:rsidP="00030337">
            <w:pPr>
              <w:jc w:val="right"/>
              <w:rPr>
                <w:rFonts w:cstheme="minorHAnsi"/>
                <w:sz w:val="20"/>
                <w:szCs w:val="20"/>
              </w:rPr>
            </w:pPr>
          </w:p>
        </w:tc>
        <w:tc>
          <w:tcPr>
            <w:tcW w:w="4635" w:type="dxa"/>
            <w:tcBorders>
              <w:top w:val="single" w:sz="4" w:space="0" w:color="00B050"/>
              <w:left w:val="single" w:sz="4" w:space="0" w:color="00B050"/>
              <w:right w:val="nil"/>
            </w:tcBorders>
            <w:shd w:val="clear" w:color="auto" w:fill="auto"/>
            <w:hideMark/>
          </w:tcPr>
          <w:p w:rsidR="00030337" w:rsidRPr="001244BB" w:rsidRDefault="00030337" w:rsidP="00030337">
            <w:pPr>
              <w:spacing w:after="0" w:line="240" w:lineRule="auto"/>
              <w:rPr>
                <w:rFonts w:eastAsia="Times New Roman" w:cstheme="minorHAnsi"/>
                <w:color w:val="000000"/>
                <w:sz w:val="20"/>
                <w:szCs w:val="20"/>
                <w:lang w:eastAsia="en-NZ"/>
              </w:rPr>
            </w:pPr>
          </w:p>
        </w:tc>
      </w:tr>
      <w:tr w:rsidR="00030337" w:rsidRPr="001244BB" w:rsidTr="00030337">
        <w:trPr>
          <w:trHeight w:val="315"/>
        </w:trPr>
        <w:tc>
          <w:tcPr>
            <w:tcW w:w="14984" w:type="dxa"/>
            <w:gridSpan w:val="9"/>
            <w:tcBorders>
              <w:top w:val="nil"/>
              <w:left w:val="nil"/>
            </w:tcBorders>
            <w:shd w:val="clear" w:color="auto" w:fill="EAF1DD" w:themeFill="accent3" w:themeFillTint="33"/>
            <w:hideMark/>
          </w:tcPr>
          <w:p w:rsidR="00030337" w:rsidRPr="001244BB" w:rsidRDefault="00030337" w:rsidP="00030337">
            <w:pPr>
              <w:spacing w:after="0" w:line="240" w:lineRule="auto"/>
              <w:rPr>
                <w:rFonts w:eastAsia="Times New Roman" w:cstheme="minorHAnsi"/>
                <w:b/>
                <w:sz w:val="20"/>
                <w:szCs w:val="20"/>
                <w:lang w:eastAsia="en-NZ"/>
              </w:rPr>
            </w:pPr>
            <w:r w:rsidRPr="001244BB">
              <w:rPr>
                <w:rFonts w:eastAsia="Times New Roman" w:cstheme="minorHAnsi"/>
                <w:b/>
                <w:sz w:val="20"/>
                <w:szCs w:val="20"/>
                <w:lang w:eastAsia="en-NZ"/>
              </w:rPr>
              <w:t>Affordability</w:t>
            </w:r>
          </w:p>
        </w:tc>
      </w:tr>
      <w:tr w:rsidR="00030337" w:rsidRPr="001244BB" w:rsidTr="00030337">
        <w:trPr>
          <w:trHeight w:val="780"/>
        </w:trPr>
        <w:tc>
          <w:tcPr>
            <w:tcW w:w="3672" w:type="dxa"/>
            <w:tcBorders>
              <w:left w:val="nil"/>
              <w:right w:val="single" w:sz="4" w:space="0" w:color="00B050"/>
            </w:tcBorders>
            <w:shd w:val="clear" w:color="auto" w:fill="auto"/>
            <w:hideMark/>
          </w:tcPr>
          <w:p w:rsidR="00030337" w:rsidRPr="001244BB" w:rsidRDefault="00030337" w:rsidP="00030337">
            <w:pPr>
              <w:spacing w:after="0" w:line="240" w:lineRule="auto"/>
              <w:rPr>
                <w:rFonts w:eastAsia="Times New Roman" w:cstheme="minorHAnsi"/>
                <w:color w:val="000000"/>
                <w:sz w:val="20"/>
                <w:szCs w:val="20"/>
                <w:lang w:eastAsia="en-NZ"/>
              </w:rPr>
            </w:pPr>
            <w:r w:rsidRPr="001244BB">
              <w:rPr>
                <w:rFonts w:eastAsia="Times New Roman" w:cstheme="minorHAnsi"/>
                <w:color w:val="000000"/>
                <w:sz w:val="20"/>
                <w:szCs w:val="20"/>
                <w:lang w:eastAsia="en-NZ"/>
              </w:rPr>
              <w:t>Cost to the ratepayer per visitor to the Wellington Botanic Gardens and Otari-Wilton's Bush</w:t>
            </w:r>
          </w:p>
        </w:tc>
        <w:tc>
          <w:tcPr>
            <w:tcW w:w="1140" w:type="dxa"/>
            <w:tcBorders>
              <w:left w:val="single" w:sz="4" w:space="0" w:color="00B050"/>
              <w:right w:val="single" w:sz="4" w:space="0" w:color="00B050"/>
            </w:tcBorders>
            <w:shd w:val="clear" w:color="auto" w:fill="auto"/>
            <w:noWrap/>
            <w:hideMark/>
          </w:tcPr>
          <w:p w:rsidR="00030337" w:rsidRPr="001244BB" w:rsidRDefault="00030337" w:rsidP="00030337">
            <w:pPr>
              <w:spacing w:after="0" w:line="240" w:lineRule="auto"/>
              <w:jc w:val="right"/>
              <w:rPr>
                <w:rFonts w:eastAsia="Times New Roman" w:cstheme="minorHAnsi"/>
                <w:color w:val="000000"/>
                <w:sz w:val="20"/>
                <w:szCs w:val="20"/>
                <w:lang w:eastAsia="en-NZ"/>
              </w:rPr>
            </w:pPr>
          </w:p>
        </w:tc>
        <w:tc>
          <w:tcPr>
            <w:tcW w:w="1142" w:type="dxa"/>
            <w:gridSpan w:val="2"/>
            <w:tcBorders>
              <w:left w:val="single" w:sz="4" w:space="0" w:color="00B050"/>
              <w:right w:val="single" w:sz="4" w:space="0" w:color="00B050"/>
            </w:tcBorders>
            <w:shd w:val="clear" w:color="auto" w:fill="auto"/>
            <w:noWrap/>
            <w:hideMark/>
          </w:tcPr>
          <w:p w:rsidR="00030337" w:rsidRPr="001244BB" w:rsidRDefault="00030337" w:rsidP="00030337">
            <w:pPr>
              <w:spacing w:after="0" w:line="240" w:lineRule="auto"/>
              <w:jc w:val="right"/>
              <w:rPr>
                <w:rFonts w:eastAsia="Times New Roman" w:cstheme="minorHAnsi"/>
                <w:color w:val="000000"/>
                <w:sz w:val="20"/>
                <w:szCs w:val="20"/>
                <w:lang w:eastAsia="en-NZ"/>
              </w:rPr>
            </w:pPr>
            <w:r w:rsidRPr="001244BB">
              <w:rPr>
                <w:rFonts w:eastAsia="Times New Roman" w:cstheme="minorHAnsi"/>
                <w:color w:val="000000"/>
                <w:sz w:val="20"/>
                <w:szCs w:val="20"/>
                <w:lang w:eastAsia="en-NZ"/>
              </w:rPr>
              <w:t>New</w:t>
            </w:r>
          </w:p>
        </w:tc>
        <w:tc>
          <w:tcPr>
            <w:tcW w:w="1276" w:type="dxa"/>
            <w:tcBorders>
              <w:left w:val="single" w:sz="4" w:space="0" w:color="00B050"/>
              <w:right w:val="single" w:sz="4" w:space="0" w:color="00B050"/>
            </w:tcBorders>
            <w:shd w:val="clear" w:color="auto" w:fill="FFFFFF" w:themeFill="background1"/>
            <w:noWrap/>
            <w:hideMark/>
          </w:tcPr>
          <w:p w:rsidR="00030337" w:rsidRPr="001244BB" w:rsidRDefault="00030337" w:rsidP="00030337">
            <w:pPr>
              <w:spacing w:after="0" w:line="240" w:lineRule="auto"/>
              <w:jc w:val="right"/>
              <w:rPr>
                <w:rFonts w:eastAsia="Times New Roman" w:cstheme="minorHAnsi"/>
                <w:color w:val="000000"/>
                <w:sz w:val="20"/>
                <w:szCs w:val="20"/>
                <w:lang w:eastAsia="en-NZ"/>
              </w:rPr>
            </w:pPr>
            <w:r w:rsidRPr="001244BB">
              <w:rPr>
                <w:rFonts w:eastAsia="Times New Roman" w:cstheme="minorHAnsi"/>
                <w:color w:val="000000"/>
                <w:sz w:val="20"/>
                <w:szCs w:val="20"/>
                <w:lang w:eastAsia="en-NZ"/>
              </w:rPr>
              <w:t>$4.23</w:t>
            </w:r>
          </w:p>
        </w:tc>
        <w:tc>
          <w:tcPr>
            <w:tcW w:w="1134" w:type="dxa"/>
            <w:tcBorders>
              <w:left w:val="single" w:sz="4" w:space="0" w:color="00B050"/>
              <w:right w:val="single" w:sz="4" w:space="0" w:color="00B050"/>
            </w:tcBorders>
            <w:shd w:val="clear" w:color="000000" w:fill="D9D9D9"/>
            <w:hideMark/>
          </w:tcPr>
          <w:p w:rsidR="00030337" w:rsidRPr="001244BB" w:rsidRDefault="00030337" w:rsidP="00030337">
            <w:pPr>
              <w:spacing w:after="0" w:line="240" w:lineRule="auto"/>
              <w:jc w:val="right"/>
              <w:rPr>
                <w:rFonts w:eastAsia="Times New Roman" w:cstheme="minorHAnsi"/>
                <w:color w:val="000000"/>
                <w:sz w:val="20"/>
                <w:szCs w:val="20"/>
                <w:lang w:eastAsia="en-NZ"/>
              </w:rPr>
            </w:pPr>
            <w:r w:rsidRPr="001244BB">
              <w:rPr>
                <w:rFonts w:eastAsia="Times New Roman" w:cstheme="minorHAnsi"/>
                <w:color w:val="000000"/>
                <w:sz w:val="20"/>
                <w:szCs w:val="20"/>
                <w:lang w:eastAsia="en-NZ"/>
              </w:rPr>
              <w:t>Baseline</w:t>
            </w:r>
          </w:p>
        </w:tc>
        <w:tc>
          <w:tcPr>
            <w:tcW w:w="851" w:type="dxa"/>
            <w:tcBorders>
              <w:left w:val="single" w:sz="4" w:space="0" w:color="00B050"/>
              <w:right w:val="single" w:sz="4" w:space="0" w:color="00B050"/>
            </w:tcBorders>
            <w:shd w:val="clear" w:color="auto" w:fill="auto"/>
            <w:hideMark/>
          </w:tcPr>
          <w:p w:rsidR="00030337" w:rsidRPr="001244BB" w:rsidRDefault="00030337" w:rsidP="00030337">
            <w:pPr>
              <w:spacing w:after="0" w:line="240" w:lineRule="auto"/>
              <w:jc w:val="right"/>
              <w:rPr>
                <w:rFonts w:eastAsia="Times New Roman" w:cstheme="minorHAnsi"/>
                <w:color w:val="000000"/>
                <w:sz w:val="20"/>
                <w:szCs w:val="20"/>
                <w:lang w:eastAsia="en-NZ"/>
              </w:rPr>
            </w:pPr>
          </w:p>
        </w:tc>
        <w:tc>
          <w:tcPr>
            <w:tcW w:w="1134" w:type="dxa"/>
            <w:tcBorders>
              <w:top w:val="nil"/>
              <w:left w:val="single" w:sz="4" w:space="0" w:color="00B050"/>
              <w:right w:val="single" w:sz="4" w:space="0" w:color="00B050"/>
            </w:tcBorders>
            <w:shd w:val="clear" w:color="auto" w:fill="auto"/>
            <w:hideMark/>
          </w:tcPr>
          <w:p w:rsidR="00030337" w:rsidRPr="001244BB" w:rsidRDefault="00030337" w:rsidP="00030337">
            <w:pPr>
              <w:spacing w:after="0" w:line="240" w:lineRule="auto"/>
              <w:jc w:val="right"/>
              <w:rPr>
                <w:rFonts w:eastAsia="Times New Roman" w:cstheme="minorHAnsi"/>
                <w:color w:val="000000"/>
                <w:sz w:val="20"/>
                <w:szCs w:val="20"/>
                <w:lang w:eastAsia="en-NZ"/>
              </w:rPr>
            </w:pPr>
          </w:p>
        </w:tc>
        <w:tc>
          <w:tcPr>
            <w:tcW w:w="4635" w:type="dxa"/>
            <w:tcBorders>
              <w:top w:val="single" w:sz="4" w:space="0" w:color="FFFFFF" w:themeColor="background1"/>
              <w:left w:val="single" w:sz="4" w:space="0" w:color="00B050"/>
              <w:right w:val="nil"/>
            </w:tcBorders>
            <w:shd w:val="clear" w:color="auto" w:fill="auto"/>
            <w:hideMark/>
          </w:tcPr>
          <w:p w:rsidR="00030337" w:rsidRPr="001244BB" w:rsidRDefault="00030337" w:rsidP="00030337">
            <w:pPr>
              <w:spacing w:after="0" w:line="240" w:lineRule="auto"/>
              <w:rPr>
                <w:rFonts w:eastAsia="Times New Roman" w:cstheme="minorHAnsi"/>
                <w:color w:val="000000"/>
                <w:sz w:val="20"/>
                <w:szCs w:val="20"/>
                <w:lang w:eastAsia="en-NZ"/>
              </w:rPr>
            </w:pPr>
          </w:p>
        </w:tc>
      </w:tr>
      <w:tr w:rsidR="00030337" w:rsidRPr="001244BB" w:rsidTr="00030337">
        <w:trPr>
          <w:trHeight w:val="315"/>
        </w:trPr>
        <w:tc>
          <w:tcPr>
            <w:tcW w:w="14984" w:type="dxa"/>
            <w:gridSpan w:val="9"/>
            <w:tcBorders>
              <w:top w:val="nil"/>
              <w:left w:val="nil"/>
            </w:tcBorders>
            <w:shd w:val="clear" w:color="auto" w:fill="EAF1DD" w:themeFill="accent3" w:themeFillTint="33"/>
            <w:hideMark/>
          </w:tcPr>
          <w:p w:rsidR="00030337" w:rsidRPr="001244BB" w:rsidRDefault="00030337" w:rsidP="00030337">
            <w:pPr>
              <w:spacing w:after="0" w:line="240" w:lineRule="auto"/>
              <w:rPr>
                <w:rFonts w:eastAsia="Times New Roman" w:cstheme="minorHAnsi"/>
                <w:b/>
                <w:sz w:val="20"/>
                <w:szCs w:val="20"/>
                <w:lang w:eastAsia="en-NZ"/>
              </w:rPr>
            </w:pPr>
            <w:r w:rsidRPr="001244BB">
              <w:rPr>
                <w:rFonts w:eastAsia="Times New Roman" w:cstheme="minorHAnsi"/>
                <w:b/>
                <w:sz w:val="20"/>
                <w:szCs w:val="20"/>
                <w:lang w:eastAsia="en-NZ"/>
              </w:rPr>
              <w:t>Community engagement</w:t>
            </w:r>
          </w:p>
        </w:tc>
      </w:tr>
      <w:tr w:rsidR="00030337" w:rsidRPr="001244BB" w:rsidTr="00030337">
        <w:trPr>
          <w:trHeight w:val="531"/>
        </w:trPr>
        <w:tc>
          <w:tcPr>
            <w:tcW w:w="3672" w:type="dxa"/>
            <w:tcBorders>
              <w:left w:val="nil"/>
              <w:bottom w:val="single" w:sz="8" w:space="0" w:color="00B050"/>
              <w:right w:val="single" w:sz="4" w:space="0" w:color="00B050"/>
            </w:tcBorders>
            <w:shd w:val="clear" w:color="auto" w:fill="auto"/>
            <w:hideMark/>
          </w:tcPr>
          <w:p w:rsidR="00030337" w:rsidRPr="001244BB" w:rsidRDefault="00030337" w:rsidP="004A2F47">
            <w:pPr>
              <w:spacing w:after="0" w:line="240" w:lineRule="auto"/>
              <w:rPr>
                <w:rFonts w:eastAsia="Times New Roman" w:cstheme="minorHAnsi"/>
                <w:color w:val="000000"/>
                <w:sz w:val="20"/>
                <w:szCs w:val="20"/>
                <w:lang w:eastAsia="en-NZ"/>
              </w:rPr>
            </w:pPr>
            <w:r w:rsidRPr="001244BB">
              <w:rPr>
                <w:rFonts w:eastAsia="Times New Roman" w:cstheme="minorHAnsi"/>
                <w:color w:val="000000"/>
                <w:sz w:val="20"/>
                <w:szCs w:val="20"/>
                <w:lang w:eastAsia="en-NZ"/>
              </w:rPr>
              <w:t>Proportion of households engaged in Council-coordinated pest trapping</w:t>
            </w:r>
          </w:p>
        </w:tc>
        <w:tc>
          <w:tcPr>
            <w:tcW w:w="1140" w:type="dxa"/>
            <w:tcBorders>
              <w:left w:val="single" w:sz="4" w:space="0" w:color="00B050"/>
              <w:bottom w:val="single" w:sz="8" w:space="0" w:color="00B050"/>
              <w:right w:val="single" w:sz="4" w:space="0" w:color="00B050"/>
            </w:tcBorders>
            <w:shd w:val="clear" w:color="auto" w:fill="auto"/>
            <w:noWrap/>
            <w:hideMark/>
          </w:tcPr>
          <w:p w:rsidR="00030337" w:rsidRPr="001244BB" w:rsidRDefault="00030337" w:rsidP="004A2F47">
            <w:pPr>
              <w:spacing w:after="0" w:line="240" w:lineRule="auto"/>
              <w:jc w:val="center"/>
              <w:rPr>
                <w:rFonts w:eastAsia="Times New Roman" w:cstheme="minorHAnsi"/>
                <w:color w:val="000000"/>
                <w:sz w:val="20"/>
                <w:szCs w:val="20"/>
                <w:lang w:eastAsia="en-NZ"/>
              </w:rPr>
            </w:pPr>
          </w:p>
        </w:tc>
        <w:tc>
          <w:tcPr>
            <w:tcW w:w="1142" w:type="dxa"/>
            <w:gridSpan w:val="2"/>
            <w:tcBorders>
              <w:left w:val="single" w:sz="4" w:space="0" w:color="00B050"/>
              <w:bottom w:val="single" w:sz="8" w:space="0" w:color="00B050"/>
              <w:right w:val="single" w:sz="4" w:space="0" w:color="00B050"/>
            </w:tcBorders>
            <w:shd w:val="clear" w:color="auto" w:fill="auto"/>
            <w:noWrap/>
            <w:hideMark/>
          </w:tcPr>
          <w:p w:rsidR="00030337" w:rsidRPr="001244BB" w:rsidRDefault="00030337" w:rsidP="004A2F47">
            <w:pPr>
              <w:spacing w:after="0" w:line="240" w:lineRule="auto"/>
              <w:jc w:val="right"/>
              <w:rPr>
                <w:rFonts w:eastAsia="Times New Roman" w:cstheme="minorHAnsi"/>
                <w:color w:val="000000"/>
                <w:sz w:val="20"/>
                <w:szCs w:val="20"/>
                <w:lang w:eastAsia="en-NZ"/>
              </w:rPr>
            </w:pPr>
            <w:r>
              <w:rPr>
                <w:rFonts w:eastAsia="Times New Roman" w:cstheme="minorHAnsi"/>
                <w:color w:val="000000"/>
                <w:sz w:val="20"/>
                <w:szCs w:val="20"/>
                <w:lang w:eastAsia="en-NZ"/>
              </w:rPr>
              <w:t>19%</w:t>
            </w:r>
          </w:p>
        </w:tc>
        <w:tc>
          <w:tcPr>
            <w:tcW w:w="1276" w:type="dxa"/>
            <w:tcBorders>
              <w:left w:val="single" w:sz="4" w:space="0" w:color="00B050"/>
              <w:bottom w:val="single" w:sz="8" w:space="0" w:color="00B050"/>
              <w:right w:val="single" w:sz="4" w:space="0" w:color="00B050"/>
            </w:tcBorders>
            <w:shd w:val="clear" w:color="auto" w:fill="auto"/>
            <w:noWrap/>
            <w:hideMark/>
          </w:tcPr>
          <w:p w:rsidR="00030337" w:rsidRPr="001244BB" w:rsidRDefault="00030337" w:rsidP="004A2F47">
            <w:pPr>
              <w:spacing w:after="0" w:line="240" w:lineRule="auto"/>
              <w:jc w:val="right"/>
              <w:rPr>
                <w:rFonts w:eastAsia="Times New Roman" w:cstheme="minorHAnsi"/>
                <w:color w:val="000000"/>
                <w:sz w:val="20"/>
                <w:szCs w:val="20"/>
                <w:lang w:eastAsia="en-NZ"/>
              </w:rPr>
            </w:pPr>
            <w:r w:rsidRPr="001244BB">
              <w:rPr>
                <w:rFonts w:eastAsia="Times New Roman" w:cstheme="minorHAnsi"/>
                <w:color w:val="000000"/>
                <w:sz w:val="20"/>
                <w:szCs w:val="20"/>
                <w:lang w:eastAsia="en-NZ"/>
              </w:rPr>
              <w:t>31%</w:t>
            </w:r>
          </w:p>
        </w:tc>
        <w:tc>
          <w:tcPr>
            <w:tcW w:w="1134" w:type="dxa"/>
            <w:tcBorders>
              <w:left w:val="single" w:sz="4" w:space="0" w:color="00B050"/>
              <w:bottom w:val="single" w:sz="8" w:space="0" w:color="00B050"/>
              <w:right w:val="single" w:sz="4" w:space="0" w:color="00B050"/>
            </w:tcBorders>
            <w:shd w:val="clear" w:color="000000" w:fill="D9D9D9"/>
            <w:hideMark/>
          </w:tcPr>
          <w:p w:rsidR="00030337" w:rsidRPr="001244BB" w:rsidRDefault="002929C5" w:rsidP="004A2F47">
            <w:pPr>
              <w:spacing w:after="0" w:line="240" w:lineRule="auto"/>
              <w:jc w:val="right"/>
              <w:rPr>
                <w:rFonts w:eastAsia="Times New Roman" w:cstheme="minorHAnsi"/>
                <w:color w:val="000000"/>
                <w:sz w:val="20"/>
                <w:szCs w:val="20"/>
                <w:lang w:eastAsia="en-NZ"/>
              </w:rPr>
            </w:pPr>
            <w:r>
              <w:rPr>
                <w:rFonts w:eastAsia="Times New Roman" w:cstheme="minorHAnsi"/>
                <w:color w:val="000000"/>
                <w:sz w:val="20"/>
                <w:szCs w:val="20"/>
                <w:lang w:eastAsia="en-NZ"/>
              </w:rPr>
              <w:t>I</w:t>
            </w:r>
            <w:r w:rsidR="00B27E9D">
              <w:rPr>
                <w:rFonts w:eastAsia="Times New Roman" w:cstheme="minorHAnsi"/>
                <w:color w:val="000000"/>
                <w:sz w:val="20"/>
                <w:szCs w:val="20"/>
                <w:lang w:eastAsia="en-NZ"/>
              </w:rPr>
              <w:t>ncrease</w:t>
            </w:r>
          </w:p>
        </w:tc>
        <w:tc>
          <w:tcPr>
            <w:tcW w:w="851" w:type="dxa"/>
            <w:tcBorders>
              <w:left w:val="single" w:sz="4" w:space="0" w:color="00B050"/>
              <w:bottom w:val="single" w:sz="8" w:space="0" w:color="00B050"/>
              <w:right w:val="single" w:sz="4" w:space="0" w:color="00B050"/>
            </w:tcBorders>
            <w:shd w:val="clear" w:color="auto" w:fill="auto"/>
          </w:tcPr>
          <w:p w:rsidR="00030337" w:rsidRPr="001244BB" w:rsidRDefault="00B27E9D" w:rsidP="004A2F47">
            <w:pPr>
              <w:spacing w:after="0" w:line="240" w:lineRule="auto"/>
              <w:jc w:val="right"/>
              <w:rPr>
                <w:rFonts w:eastAsia="Times New Roman" w:cstheme="minorHAnsi"/>
                <w:color w:val="000000"/>
                <w:sz w:val="20"/>
                <w:szCs w:val="20"/>
                <w:lang w:eastAsia="en-NZ"/>
              </w:rPr>
            </w:pPr>
            <w:r>
              <w:rPr>
                <w:rFonts w:eastAsia="Times New Roman" w:cstheme="minorHAnsi"/>
                <w:color w:val="000000"/>
                <w:sz w:val="20"/>
                <w:szCs w:val="20"/>
                <w:lang w:eastAsia="en-NZ"/>
              </w:rPr>
              <w:t>-</w:t>
            </w:r>
          </w:p>
        </w:tc>
        <w:tc>
          <w:tcPr>
            <w:tcW w:w="1134" w:type="dxa"/>
            <w:tcBorders>
              <w:top w:val="nil"/>
              <w:left w:val="single" w:sz="4" w:space="0" w:color="00B050"/>
              <w:bottom w:val="single" w:sz="8" w:space="0" w:color="00B050"/>
              <w:right w:val="single" w:sz="4" w:space="0" w:color="00B050"/>
            </w:tcBorders>
            <w:shd w:val="clear" w:color="auto" w:fill="auto"/>
          </w:tcPr>
          <w:p w:rsidR="00030337" w:rsidRPr="001244BB" w:rsidRDefault="004A2F47" w:rsidP="004A2F47">
            <w:pPr>
              <w:spacing w:after="0"/>
              <w:jc w:val="right"/>
              <w:rPr>
                <w:rFonts w:cstheme="minorHAnsi"/>
                <w:sz w:val="20"/>
                <w:szCs w:val="20"/>
              </w:rPr>
            </w:pPr>
            <w:r>
              <w:rPr>
                <w:rFonts w:eastAsia="Times New Roman" w:cstheme="minorHAnsi"/>
                <w:color w:val="000000"/>
                <w:sz w:val="20"/>
                <w:szCs w:val="20"/>
                <w:lang w:eastAsia="en-NZ"/>
              </w:rPr>
              <w:t>Within 10%</w:t>
            </w:r>
          </w:p>
        </w:tc>
        <w:tc>
          <w:tcPr>
            <w:tcW w:w="4635" w:type="dxa"/>
            <w:tcBorders>
              <w:top w:val="single" w:sz="4" w:space="0" w:color="FFFFFF" w:themeColor="background1"/>
              <w:left w:val="single" w:sz="4" w:space="0" w:color="00B050"/>
              <w:bottom w:val="single" w:sz="4" w:space="0" w:color="00B050"/>
              <w:right w:val="nil"/>
            </w:tcBorders>
            <w:shd w:val="clear" w:color="auto" w:fill="auto"/>
            <w:hideMark/>
          </w:tcPr>
          <w:p w:rsidR="00030337" w:rsidRPr="001244BB" w:rsidRDefault="00030337" w:rsidP="004A2F47">
            <w:pPr>
              <w:spacing w:after="0" w:line="240" w:lineRule="auto"/>
              <w:rPr>
                <w:rFonts w:eastAsia="Times New Roman" w:cstheme="minorHAnsi"/>
                <w:color w:val="000000"/>
                <w:sz w:val="20"/>
                <w:szCs w:val="20"/>
                <w:lang w:eastAsia="en-NZ"/>
              </w:rPr>
            </w:pPr>
            <w:r w:rsidRPr="001244BB">
              <w:rPr>
                <w:rFonts w:eastAsia="Times New Roman" w:cstheme="minorHAnsi"/>
                <w:color w:val="000000"/>
                <w:sz w:val="20"/>
                <w:szCs w:val="20"/>
                <w:lang w:eastAsia="en-NZ"/>
              </w:rPr>
              <w:t>We do not have a measure for households engaged in Council-coordinated pest trapping. As a proxy we used the question worded “Have you ever undertaken predator control, either on your property or for conservation? A: Yes. I am currently undertaking predator control.”</w:t>
            </w:r>
          </w:p>
        </w:tc>
      </w:tr>
      <w:tr w:rsidR="00030337" w:rsidRPr="001244BB" w:rsidTr="004A2F47">
        <w:trPr>
          <w:trHeight w:val="389"/>
        </w:trPr>
        <w:tc>
          <w:tcPr>
            <w:tcW w:w="3672" w:type="dxa"/>
            <w:tcBorders>
              <w:top w:val="nil"/>
              <w:left w:val="nil"/>
              <w:bottom w:val="single" w:sz="8" w:space="0" w:color="00B050"/>
              <w:right w:val="single" w:sz="4" w:space="0" w:color="00B050"/>
            </w:tcBorders>
            <w:shd w:val="clear" w:color="auto" w:fill="auto"/>
            <w:hideMark/>
          </w:tcPr>
          <w:p w:rsidR="00030337" w:rsidRPr="001244BB" w:rsidRDefault="00030337" w:rsidP="004A2F47">
            <w:pPr>
              <w:spacing w:after="0" w:line="240" w:lineRule="auto"/>
              <w:rPr>
                <w:rFonts w:eastAsia="Times New Roman" w:cstheme="minorHAnsi"/>
                <w:color w:val="000000"/>
                <w:sz w:val="20"/>
                <w:szCs w:val="20"/>
                <w:lang w:eastAsia="en-NZ"/>
              </w:rPr>
            </w:pPr>
            <w:r w:rsidRPr="001244BB">
              <w:rPr>
                <w:rFonts w:eastAsia="Times New Roman" w:cstheme="minorHAnsi"/>
                <w:color w:val="000000"/>
                <w:sz w:val="20"/>
                <w:szCs w:val="20"/>
                <w:lang w:eastAsia="en-NZ"/>
              </w:rPr>
              <w:t>Number of plants supplied for community planting</w:t>
            </w:r>
          </w:p>
        </w:tc>
        <w:tc>
          <w:tcPr>
            <w:tcW w:w="1140" w:type="dxa"/>
            <w:tcBorders>
              <w:top w:val="single" w:sz="8" w:space="0" w:color="00B050"/>
              <w:left w:val="single" w:sz="4" w:space="0" w:color="00B050"/>
              <w:bottom w:val="nil"/>
              <w:right w:val="single" w:sz="4" w:space="0" w:color="00B050"/>
            </w:tcBorders>
            <w:shd w:val="clear" w:color="auto" w:fill="auto"/>
            <w:noWrap/>
            <w:vAlign w:val="center"/>
            <w:hideMark/>
          </w:tcPr>
          <w:p w:rsidR="00030337" w:rsidRPr="001244BB" w:rsidRDefault="00030337" w:rsidP="004A2F47">
            <w:pPr>
              <w:spacing w:after="0" w:line="240" w:lineRule="auto"/>
              <w:jc w:val="center"/>
              <w:rPr>
                <w:rFonts w:eastAsia="Times New Roman" w:cstheme="minorHAnsi"/>
                <w:color w:val="000000"/>
                <w:sz w:val="20"/>
                <w:szCs w:val="20"/>
                <w:lang w:eastAsia="en-NZ"/>
              </w:rPr>
            </w:pPr>
          </w:p>
        </w:tc>
        <w:tc>
          <w:tcPr>
            <w:tcW w:w="1142" w:type="dxa"/>
            <w:gridSpan w:val="2"/>
            <w:tcBorders>
              <w:top w:val="single" w:sz="8" w:space="0" w:color="00B050"/>
              <w:left w:val="single" w:sz="4" w:space="0" w:color="00B050"/>
              <w:bottom w:val="nil"/>
              <w:right w:val="single" w:sz="4" w:space="0" w:color="00B050"/>
            </w:tcBorders>
            <w:shd w:val="clear" w:color="auto" w:fill="auto"/>
            <w:noWrap/>
            <w:hideMark/>
          </w:tcPr>
          <w:p w:rsidR="00030337" w:rsidRPr="001244BB" w:rsidRDefault="00030337" w:rsidP="004A2F47">
            <w:pPr>
              <w:spacing w:after="0" w:line="240" w:lineRule="auto"/>
              <w:jc w:val="right"/>
              <w:rPr>
                <w:rFonts w:eastAsia="Times New Roman" w:cstheme="minorHAnsi"/>
                <w:color w:val="000000"/>
                <w:sz w:val="20"/>
                <w:szCs w:val="20"/>
                <w:lang w:eastAsia="en-NZ"/>
              </w:rPr>
            </w:pPr>
            <w:r w:rsidRPr="001244BB">
              <w:rPr>
                <w:rFonts w:eastAsia="Times New Roman" w:cstheme="minorHAnsi"/>
                <w:color w:val="000000"/>
                <w:sz w:val="20"/>
                <w:szCs w:val="20"/>
                <w:lang w:eastAsia="en-NZ"/>
              </w:rPr>
              <w:t>New</w:t>
            </w:r>
          </w:p>
        </w:tc>
        <w:tc>
          <w:tcPr>
            <w:tcW w:w="1276" w:type="dxa"/>
            <w:tcBorders>
              <w:top w:val="single" w:sz="8" w:space="0" w:color="00B050"/>
              <w:left w:val="single" w:sz="4" w:space="0" w:color="00B050"/>
              <w:bottom w:val="nil"/>
              <w:right w:val="single" w:sz="4" w:space="0" w:color="00B050"/>
            </w:tcBorders>
            <w:shd w:val="clear" w:color="auto" w:fill="auto"/>
            <w:noWrap/>
            <w:hideMark/>
          </w:tcPr>
          <w:p w:rsidR="00030337" w:rsidRPr="001244BB" w:rsidRDefault="00030337" w:rsidP="004A2F47">
            <w:pPr>
              <w:spacing w:after="0" w:line="240" w:lineRule="auto"/>
              <w:jc w:val="right"/>
              <w:rPr>
                <w:rFonts w:eastAsia="Times New Roman" w:cstheme="minorHAnsi"/>
                <w:color w:val="000000"/>
                <w:sz w:val="20"/>
                <w:szCs w:val="20"/>
                <w:lang w:eastAsia="en-NZ"/>
              </w:rPr>
            </w:pPr>
            <w:r w:rsidRPr="001244BB">
              <w:rPr>
                <w:rFonts w:eastAsia="Times New Roman" w:cstheme="minorHAnsi"/>
                <w:color w:val="000000"/>
                <w:sz w:val="20"/>
                <w:szCs w:val="20"/>
                <w:lang w:eastAsia="en-NZ"/>
              </w:rPr>
              <w:t>37,072</w:t>
            </w:r>
          </w:p>
        </w:tc>
        <w:tc>
          <w:tcPr>
            <w:tcW w:w="1134" w:type="dxa"/>
            <w:tcBorders>
              <w:top w:val="single" w:sz="8" w:space="0" w:color="00B050"/>
              <w:left w:val="single" w:sz="4" w:space="0" w:color="00B050"/>
              <w:bottom w:val="single" w:sz="8" w:space="0" w:color="00B050"/>
              <w:right w:val="single" w:sz="4" w:space="0" w:color="00B050"/>
            </w:tcBorders>
            <w:shd w:val="clear" w:color="000000" w:fill="D9D9D9"/>
            <w:hideMark/>
          </w:tcPr>
          <w:p w:rsidR="00030337" w:rsidRPr="001244BB" w:rsidRDefault="00030337" w:rsidP="004A2F47">
            <w:pPr>
              <w:spacing w:after="0" w:line="240" w:lineRule="auto"/>
              <w:jc w:val="right"/>
              <w:rPr>
                <w:rFonts w:eastAsia="Times New Roman" w:cstheme="minorHAnsi"/>
                <w:color w:val="000000"/>
                <w:sz w:val="20"/>
                <w:szCs w:val="20"/>
                <w:lang w:eastAsia="en-NZ"/>
              </w:rPr>
            </w:pPr>
            <w:r w:rsidRPr="001244BB">
              <w:rPr>
                <w:rFonts w:eastAsia="Times New Roman" w:cstheme="minorHAnsi"/>
                <w:color w:val="000000"/>
                <w:sz w:val="20"/>
                <w:szCs w:val="20"/>
                <w:lang w:eastAsia="en-NZ"/>
              </w:rPr>
              <w:t>35,000</w:t>
            </w:r>
          </w:p>
        </w:tc>
        <w:tc>
          <w:tcPr>
            <w:tcW w:w="851" w:type="dxa"/>
            <w:tcBorders>
              <w:top w:val="single" w:sz="8" w:space="0" w:color="00B050"/>
              <w:left w:val="single" w:sz="4" w:space="0" w:color="00B050"/>
              <w:bottom w:val="nil"/>
              <w:right w:val="single" w:sz="4" w:space="0" w:color="00B050"/>
            </w:tcBorders>
            <w:shd w:val="clear" w:color="auto" w:fill="auto"/>
            <w:hideMark/>
          </w:tcPr>
          <w:p w:rsidR="00030337" w:rsidRPr="001244BB" w:rsidRDefault="00030337" w:rsidP="004A2F47">
            <w:pPr>
              <w:spacing w:after="0" w:line="240" w:lineRule="auto"/>
              <w:jc w:val="right"/>
              <w:rPr>
                <w:rFonts w:eastAsia="Times New Roman" w:cstheme="minorHAnsi"/>
                <w:color w:val="000000"/>
                <w:sz w:val="20"/>
                <w:szCs w:val="20"/>
                <w:lang w:eastAsia="en-NZ"/>
              </w:rPr>
            </w:pPr>
            <w:r w:rsidRPr="001244BB">
              <w:rPr>
                <w:rFonts w:eastAsia="Times New Roman" w:cstheme="minorHAnsi"/>
                <w:color w:val="000000"/>
                <w:sz w:val="20"/>
                <w:szCs w:val="20"/>
                <w:lang w:eastAsia="en-NZ"/>
              </w:rPr>
              <w:t>6%</w:t>
            </w:r>
          </w:p>
        </w:tc>
        <w:tc>
          <w:tcPr>
            <w:tcW w:w="1134" w:type="dxa"/>
            <w:tcBorders>
              <w:top w:val="single" w:sz="8" w:space="0" w:color="00B050"/>
              <w:left w:val="single" w:sz="4" w:space="0" w:color="00B050"/>
              <w:bottom w:val="nil"/>
              <w:right w:val="single" w:sz="4" w:space="0" w:color="00B050"/>
            </w:tcBorders>
            <w:shd w:val="clear" w:color="auto" w:fill="auto"/>
            <w:hideMark/>
          </w:tcPr>
          <w:p w:rsidR="00030337" w:rsidRPr="001244BB" w:rsidRDefault="004A2F47" w:rsidP="004A2F47">
            <w:pPr>
              <w:spacing w:after="0"/>
              <w:jc w:val="right"/>
              <w:rPr>
                <w:rFonts w:cstheme="minorHAnsi"/>
                <w:sz w:val="20"/>
                <w:szCs w:val="20"/>
              </w:rPr>
            </w:pPr>
            <w:r>
              <w:rPr>
                <w:rFonts w:eastAsia="Times New Roman" w:cstheme="minorHAnsi"/>
                <w:color w:val="000000"/>
                <w:sz w:val="20"/>
                <w:szCs w:val="20"/>
                <w:lang w:eastAsia="en-NZ"/>
              </w:rPr>
              <w:t>Within 10%</w:t>
            </w:r>
          </w:p>
        </w:tc>
        <w:tc>
          <w:tcPr>
            <w:tcW w:w="4635" w:type="dxa"/>
            <w:tcBorders>
              <w:top w:val="single" w:sz="4" w:space="0" w:color="00B050"/>
              <w:left w:val="single" w:sz="4" w:space="0" w:color="00B050"/>
              <w:bottom w:val="single" w:sz="4" w:space="0" w:color="00B050"/>
              <w:right w:val="nil"/>
            </w:tcBorders>
            <w:shd w:val="clear" w:color="auto" w:fill="auto"/>
            <w:hideMark/>
          </w:tcPr>
          <w:p w:rsidR="00030337" w:rsidRPr="001244BB" w:rsidRDefault="00030337" w:rsidP="004A2F47">
            <w:pPr>
              <w:spacing w:after="0" w:line="240" w:lineRule="auto"/>
              <w:jc w:val="right"/>
              <w:rPr>
                <w:rFonts w:eastAsia="Times New Roman" w:cstheme="minorHAnsi"/>
                <w:color w:val="000000"/>
                <w:sz w:val="20"/>
                <w:szCs w:val="20"/>
                <w:lang w:eastAsia="en-NZ"/>
              </w:rPr>
            </w:pPr>
          </w:p>
        </w:tc>
      </w:tr>
      <w:tr w:rsidR="00030337" w:rsidRPr="001244BB" w:rsidTr="00030337">
        <w:trPr>
          <w:trHeight w:val="255"/>
        </w:trPr>
        <w:tc>
          <w:tcPr>
            <w:tcW w:w="14984" w:type="dxa"/>
            <w:gridSpan w:val="9"/>
            <w:tcBorders>
              <w:top w:val="nil"/>
              <w:left w:val="nil"/>
              <w:right w:val="nil"/>
            </w:tcBorders>
            <w:shd w:val="clear" w:color="000000" w:fill="00B050"/>
            <w:noWrap/>
            <w:hideMark/>
          </w:tcPr>
          <w:p w:rsidR="00030337" w:rsidRPr="001244BB" w:rsidRDefault="00030337" w:rsidP="00030337">
            <w:pPr>
              <w:spacing w:after="0" w:line="240" w:lineRule="auto"/>
              <w:rPr>
                <w:rFonts w:eastAsia="Times New Roman" w:cstheme="minorHAnsi"/>
                <w:color w:val="000000"/>
                <w:sz w:val="24"/>
                <w:szCs w:val="20"/>
                <w:lang w:eastAsia="en-NZ"/>
              </w:rPr>
            </w:pPr>
            <w:r w:rsidRPr="001244BB">
              <w:rPr>
                <w:rFonts w:eastAsia="Times New Roman" w:cstheme="minorHAnsi"/>
                <w:b/>
                <w:bCs/>
                <w:color w:val="FFFFFF"/>
                <w:sz w:val="24"/>
                <w:szCs w:val="20"/>
                <w:lang w:eastAsia="en-NZ"/>
              </w:rPr>
              <w:t>2.2 Waste reduction and energy conservation</w:t>
            </w:r>
          </w:p>
        </w:tc>
      </w:tr>
      <w:tr w:rsidR="00030337" w:rsidRPr="001244BB" w:rsidTr="00030337">
        <w:trPr>
          <w:trHeight w:val="315"/>
        </w:trPr>
        <w:tc>
          <w:tcPr>
            <w:tcW w:w="14984" w:type="dxa"/>
            <w:gridSpan w:val="9"/>
            <w:tcBorders>
              <w:top w:val="nil"/>
              <w:left w:val="nil"/>
            </w:tcBorders>
            <w:shd w:val="clear" w:color="auto" w:fill="EAF1DD" w:themeFill="accent3" w:themeFillTint="33"/>
            <w:hideMark/>
          </w:tcPr>
          <w:p w:rsidR="00030337" w:rsidRPr="001244BB" w:rsidRDefault="00030337" w:rsidP="00030337">
            <w:pPr>
              <w:spacing w:after="0" w:line="240" w:lineRule="auto"/>
              <w:rPr>
                <w:rFonts w:eastAsia="Times New Roman" w:cstheme="minorHAnsi"/>
                <w:b/>
                <w:sz w:val="20"/>
                <w:szCs w:val="20"/>
                <w:lang w:eastAsia="en-NZ"/>
              </w:rPr>
            </w:pPr>
            <w:r w:rsidRPr="001244BB">
              <w:rPr>
                <w:rFonts w:eastAsia="Times New Roman" w:cstheme="minorHAnsi"/>
                <w:b/>
                <w:sz w:val="20"/>
                <w:szCs w:val="20"/>
                <w:lang w:eastAsia="en-NZ"/>
              </w:rPr>
              <w:t>Recycling</w:t>
            </w:r>
          </w:p>
        </w:tc>
      </w:tr>
      <w:tr w:rsidR="00030337" w:rsidRPr="001244BB" w:rsidTr="00030337">
        <w:trPr>
          <w:trHeight w:val="270"/>
        </w:trPr>
        <w:tc>
          <w:tcPr>
            <w:tcW w:w="3672" w:type="dxa"/>
            <w:tcBorders>
              <w:left w:val="nil"/>
              <w:right w:val="single" w:sz="4" w:space="0" w:color="00B050"/>
            </w:tcBorders>
            <w:shd w:val="clear" w:color="auto" w:fill="auto"/>
            <w:hideMark/>
          </w:tcPr>
          <w:p w:rsidR="00030337" w:rsidRPr="001244BB" w:rsidRDefault="00030337" w:rsidP="00030337">
            <w:pPr>
              <w:spacing w:after="0" w:line="240" w:lineRule="auto"/>
              <w:rPr>
                <w:rFonts w:eastAsia="Times New Roman" w:cstheme="minorHAnsi"/>
                <w:sz w:val="20"/>
                <w:szCs w:val="20"/>
                <w:lang w:eastAsia="en-NZ"/>
              </w:rPr>
            </w:pPr>
            <w:r w:rsidRPr="001244BB">
              <w:rPr>
                <w:rFonts w:eastAsia="Times New Roman" w:cstheme="minorHAnsi"/>
                <w:sz w:val="20"/>
                <w:szCs w:val="20"/>
                <w:lang w:eastAsia="en-NZ"/>
              </w:rPr>
              <w:t>Residents (%) who use recycling services regularly</w:t>
            </w:r>
          </w:p>
        </w:tc>
        <w:tc>
          <w:tcPr>
            <w:tcW w:w="1140" w:type="dxa"/>
            <w:tcBorders>
              <w:left w:val="single" w:sz="4" w:space="0" w:color="00B050"/>
              <w:right w:val="single" w:sz="4" w:space="0" w:color="00B050"/>
            </w:tcBorders>
            <w:shd w:val="clear" w:color="auto" w:fill="auto"/>
            <w:noWrap/>
            <w:hideMark/>
          </w:tcPr>
          <w:p w:rsidR="00030337" w:rsidRPr="001244BB" w:rsidRDefault="00030337" w:rsidP="00030337">
            <w:pPr>
              <w:spacing w:after="0" w:line="240" w:lineRule="auto"/>
              <w:jc w:val="right"/>
              <w:rPr>
                <w:rFonts w:eastAsia="Times New Roman" w:cstheme="minorHAnsi"/>
                <w:sz w:val="20"/>
                <w:szCs w:val="20"/>
                <w:lang w:eastAsia="en-NZ"/>
              </w:rPr>
            </w:pPr>
            <w:r w:rsidRPr="001244BB">
              <w:rPr>
                <w:rFonts w:eastAsia="Times New Roman" w:cstheme="minorHAnsi"/>
                <w:sz w:val="20"/>
                <w:szCs w:val="20"/>
                <w:lang w:eastAsia="en-NZ"/>
              </w:rPr>
              <w:t>98%</w:t>
            </w:r>
          </w:p>
        </w:tc>
        <w:tc>
          <w:tcPr>
            <w:tcW w:w="1142" w:type="dxa"/>
            <w:gridSpan w:val="2"/>
            <w:tcBorders>
              <w:left w:val="single" w:sz="4" w:space="0" w:color="00B050"/>
              <w:right w:val="single" w:sz="4" w:space="0" w:color="00B050"/>
            </w:tcBorders>
            <w:shd w:val="clear" w:color="auto" w:fill="auto"/>
            <w:noWrap/>
            <w:hideMark/>
          </w:tcPr>
          <w:p w:rsidR="00030337" w:rsidRPr="001244BB" w:rsidRDefault="00030337" w:rsidP="00030337">
            <w:pPr>
              <w:spacing w:after="0" w:line="240" w:lineRule="auto"/>
              <w:jc w:val="right"/>
              <w:rPr>
                <w:rFonts w:eastAsia="Times New Roman" w:cstheme="minorHAnsi"/>
                <w:sz w:val="20"/>
                <w:szCs w:val="20"/>
                <w:lang w:eastAsia="en-NZ"/>
              </w:rPr>
            </w:pPr>
            <w:r w:rsidRPr="001244BB">
              <w:rPr>
                <w:rFonts w:eastAsia="Times New Roman" w:cstheme="minorHAnsi"/>
                <w:sz w:val="20"/>
                <w:szCs w:val="20"/>
                <w:lang w:eastAsia="en-NZ"/>
              </w:rPr>
              <w:t>97%</w:t>
            </w:r>
          </w:p>
        </w:tc>
        <w:tc>
          <w:tcPr>
            <w:tcW w:w="1276" w:type="dxa"/>
            <w:tcBorders>
              <w:left w:val="single" w:sz="4" w:space="0" w:color="00B050"/>
              <w:right w:val="single" w:sz="4" w:space="0" w:color="00B050"/>
            </w:tcBorders>
            <w:shd w:val="clear" w:color="auto" w:fill="auto"/>
            <w:noWrap/>
            <w:hideMark/>
          </w:tcPr>
          <w:p w:rsidR="00030337" w:rsidRPr="001244BB" w:rsidRDefault="00030337" w:rsidP="00030337">
            <w:pPr>
              <w:spacing w:after="0" w:line="240" w:lineRule="auto"/>
              <w:jc w:val="right"/>
              <w:rPr>
                <w:rFonts w:eastAsia="Times New Roman" w:cstheme="minorHAnsi"/>
                <w:sz w:val="20"/>
                <w:szCs w:val="20"/>
                <w:lang w:eastAsia="en-NZ"/>
              </w:rPr>
            </w:pPr>
            <w:r w:rsidRPr="001244BB">
              <w:rPr>
                <w:rFonts w:eastAsia="Times New Roman" w:cstheme="minorHAnsi"/>
                <w:sz w:val="20"/>
                <w:szCs w:val="20"/>
                <w:lang w:eastAsia="en-NZ"/>
              </w:rPr>
              <w:t>94%</w:t>
            </w:r>
          </w:p>
        </w:tc>
        <w:tc>
          <w:tcPr>
            <w:tcW w:w="1134" w:type="dxa"/>
            <w:tcBorders>
              <w:left w:val="single" w:sz="4" w:space="0" w:color="00B050"/>
              <w:right w:val="single" w:sz="4" w:space="0" w:color="00B050"/>
            </w:tcBorders>
            <w:shd w:val="clear" w:color="000000" w:fill="D9D9D9"/>
            <w:hideMark/>
          </w:tcPr>
          <w:p w:rsidR="00030337" w:rsidRPr="001244BB" w:rsidRDefault="00030337" w:rsidP="00030337">
            <w:pPr>
              <w:spacing w:after="0" w:line="240" w:lineRule="auto"/>
              <w:jc w:val="right"/>
              <w:rPr>
                <w:rFonts w:eastAsia="Times New Roman" w:cstheme="minorHAnsi"/>
                <w:sz w:val="20"/>
                <w:szCs w:val="20"/>
                <w:lang w:eastAsia="en-NZ"/>
              </w:rPr>
            </w:pPr>
            <w:r w:rsidRPr="001244BB">
              <w:rPr>
                <w:rFonts w:eastAsia="Times New Roman" w:cstheme="minorHAnsi"/>
                <w:sz w:val="20"/>
                <w:szCs w:val="20"/>
                <w:lang w:eastAsia="en-NZ"/>
              </w:rPr>
              <w:t>90%</w:t>
            </w:r>
          </w:p>
        </w:tc>
        <w:tc>
          <w:tcPr>
            <w:tcW w:w="851" w:type="dxa"/>
            <w:tcBorders>
              <w:left w:val="single" w:sz="4" w:space="0" w:color="00B050"/>
              <w:right w:val="single" w:sz="4" w:space="0" w:color="00B050"/>
            </w:tcBorders>
            <w:shd w:val="clear" w:color="auto" w:fill="auto"/>
            <w:hideMark/>
          </w:tcPr>
          <w:p w:rsidR="00030337" w:rsidRPr="001244BB" w:rsidRDefault="00030337" w:rsidP="00030337">
            <w:pPr>
              <w:spacing w:after="0" w:line="240" w:lineRule="auto"/>
              <w:jc w:val="right"/>
              <w:rPr>
                <w:rFonts w:eastAsia="Times New Roman" w:cstheme="minorHAnsi"/>
                <w:sz w:val="20"/>
                <w:szCs w:val="20"/>
                <w:lang w:eastAsia="en-NZ"/>
              </w:rPr>
            </w:pPr>
            <w:r w:rsidRPr="001244BB">
              <w:rPr>
                <w:rFonts w:eastAsia="Times New Roman" w:cstheme="minorHAnsi"/>
                <w:sz w:val="20"/>
                <w:szCs w:val="20"/>
                <w:lang w:eastAsia="en-NZ"/>
              </w:rPr>
              <w:t>4%</w:t>
            </w:r>
          </w:p>
        </w:tc>
        <w:tc>
          <w:tcPr>
            <w:tcW w:w="1134" w:type="dxa"/>
            <w:tcBorders>
              <w:left w:val="single" w:sz="4" w:space="0" w:color="00B050"/>
              <w:right w:val="single" w:sz="4" w:space="0" w:color="00B050"/>
            </w:tcBorders>
            <w:shd w:val="clear" w:color="auto" w:fill="auto"/>
            <w:hideMark/>
          </w:tcPr>
          <w:p w:rsidR="00030337" w:rsidRPr="001244BB" w:rsidRDefault="004A2F47" w:rsidP="00030337">
            <w:pPr>
              <w:spacing w:after="0" w:line="240" w:lineRule="auto"/>
              <w:jc w:val="right"/>
              <w:rPr>
                <w:rFonts w:eastAsia="Times New Roman" w:cstheme="minorHAnsi"/>
                <w:sz w:val="20"/>
                <w:szCs w:val="20"/>
                <w:lang w:eastAsia="en-NZ"/>
              </w:rPr>
            </w:pPr>
            <w:r>
              <w:rPr>
                <w:rFonts w:eastAsia="Times New Roman" w:cstheme="minorHAnsi"/>
                <w:color w:val="000000"/>
                <w:sz w:val="20"/>
                <w:szCs w:val="20"/>
                <w:lang w:eastAsia="en-NZ"/>
              </w:rPr>
              <w:t>Within 10%</w:t>
            </w:r>
          </w:p>
        </w:tc>
        <w:tc>
          <w:tcPr>
            <w:tcW w:w="4635" w:type="dxa"/>
            <w:tcBorders>
              <w:left w:val="single" w:sz="4" w:space="0" w:color="00B050"/>
              <w:right w:val="nil"/>
            </w:tcBorders>
            <w:shd w:val="clear" w:color="auto" w:fill="auto"/>
            <w:hideMark/>
          </w:tcPr>
          <w:p w:rsidR="00030337" w:rsidRPr="001244BB" w:rsidRDefault="00030337" w:rsidP="00030337">
            <w:pPr>
              <w:spacing w:after="0" w:line="240" w:lineRule="auto"/>
              <w:jc w:val="right"/>
              <w:rPr>
                <w:rFonts w:eastAsia="Times New Roman" w:cstheme="minorHAnsi"/>
                <w:sz w:val="20"/>
                <w:szCs w:val="20"/>
                <w:lang w:eastAsia="en-NZ"/>
              </w:rPr>
            </w:pPr>
          </w:p>
        </w:tc>
      </w:tr>
      <w:tr w:rsidR="00030337" w:rsidRPr="001244BB" w:rsidTr="00030337">
        <w:trPr>
          <w:trHeight w:val="315"/>
        </w:trPr>
        <w:tc>
          <w:tcPr>
            <w:tcW w:w="14984" w:type="dxa"/>
            <w:gridSpan w:val="9"/>
            <w:tcBorders>
              <w:top w:val="nil"/>
              <w:left w:val="nil"/>
            </w:tcBorders>
            <w:shd w:val="clear" w:color="auto" w:fill="EAF1DD" w:themeFill="accent3" w:themeFillTint="33"/>
            <w:hideMark/>
          </w:tcPr>
          <w:p w:rsidR="00030337" w:rsidRPr="001244BB" w:rsidRDefault="00030337" w:rsidP="00030337">
            <w:pPr>
              <w:spacing w:after="0" w:line="240" w:lineRule="auto"/>
              <w:rPr>
                <w:rFonts w:eastAsia="Times New Roman" w:cstheme="minorHAnsi"/>
                <w:b/>
                <w:sz w:val="20"/>
                <w:szCs w:val="20"/>
                <w:lang w:eastAsia="en-NZ"/>
              </w:rPr>
            </w:pPr>
            <w:r w:rsidRPr="001244BB">
              <w:rPr>
                <w:rFonts w:eastAsia="Times New Roman" w:cstheme="minorHAnsi"/>
                <w:b/>
                <w:sz w:val="20"/>
                <w:szCs w:val="20"/>
                <w:lang w:eastAsia="en-NZ"/>
              </w:rPr>
              <w:t>Affordability</w:t>
            </w:r>
          </w:p>
        </w:tc>
      </w:tr>
      <w:tr w:rsidR="00030337" w:rsidRPr="001244BB" w:rsidTr="00030337">
        <w:trPr>
          <w:trHeight w:val="270"/>
        </w:trPr>
        <w:tc>
          <w:tcPr>
            <w:tcW w:w="3672" w:type="dxa"/>
            <w:tcBorders>
              <w:left w:val="nil"/>
              <w:right w:val="single" w:sz="4" w:space="0" w:color="00B050"/>
            </w:tcBorders>
            <w:shd w:val="clear" w:color="auto" w:fill="auto"/>
            <w:hideMark/>
          </w:tcPr>
          <w:p w:rsidR="00030337" w:rsidRPr="001244BB" w:rsidRDefault="00030337" w:rsidP="00030337">
            <w:pPr>
              <w:spacing w:after="0" w:line="240" w:lineRule="auto"/>
              <w:rPr>
                <w:rFonts w:eastAsia="Times New Roman" w:cstheme="minorHAnsi"/>
                <w:sz w:val="20"/>
                <w:szCs w:val="20"/>
                <w:lang w:eastAsia="en-NZ"/>
              </w:rPr>
            </w:pPr>
            <w:r w:rsidRPr="001244BB">
              <w:rPr>
                <w:rFonts w:eastAsia="Times New Roman" w:cstheme="minorHAnsi"/>
                <w:sz w:val="20"/>
                <w:szCs w:val="20"/>
                <w:lang w:eastAsia="en-NZ"/>
              </w:rPr>
              <w:t>Cost per household (per annum) for kerbside recycling</w:t>
            </w:r>
          </w:p>
        </w:tc>
        <w:tc>
          <w:tcPr>
            <w:tcW w:w="1140" w:type="dxa"/>
            <w:tcBorders>
              <w:top w:val="nil"/>
              <w:left w:val="single" w:sz="4" w:space="0" w:color="00B050"/>
              <w:right w:val="single" w:sz="4" w:space="0" w:color="00B050"/>
            </w:tcBorders>
            <w:shd w:val="clear" w:color="auto" w:fill="auto"/>
            <w:noWrap/>
            <w:hideMark/>
          </w:tcPr>
          <w:p w:rsidR="00030337" w:rsidRPr="001244BB" w:rsidRDefault="00030337" w:rsidP="00030337">
            <w:pPr>
              <w:spacing w:after="0" w:line="240" w:lineRule="auto"/>
              <w:jc w:val="right"/>
              <w:rPr>
                <w:rFonts w:eastAsia="Times New Roman" w:cstheme="minorHAnsi"/>
                <w:sz w:val="20"/>
                <w:szCs w:val="20"/>
                <w:lang w:eastAsia="en-NZ"/>
              </w:rPr>
            </w:pPr>
          </w:p>
        </w:tc>
        <w:tc>
          <w:tcPr>
            <w:tcW w:w="1142" w:type="dxa"/>
            <w:gridSpan w:val="2"/>
            <w:tcBorders>
              <w:top w:val="nil"/>
              <w:left w:val="single" w:sz="4" w:space="0" w:color="00B050"/>
              <w:right w:val="single" w:sz="4" w:space="0" w:color="00B050"/>
            </w:tcBorders>
            <w:shd w:val="clear" w:color="auto" w:fill="auto"/>
            <w:noWrap/>
            <w:hideMark/>
          </w:tcPr>
          <w:p w:rsidR="00030337" w:rsidRPr="001244BB" w:rsidRDefault="00030337" w:rsidP="00030337">
            <w:pPr>
              <w:spacing w:after="0" w:line="240" w:lineRule="auto"/>
              <w:jc w:val="right"/>
              <w:rPr>
                <w:rFonts w:eastAsia="Times New Roman" w:cstheme="minorHAnsi"/>
                <w:sz w:val="20"/>
                <w:szCs w:val="20"/>
                <w:lang w:eastAsia="en-NZ"/>
              </w:rPr>
            </w:pPr>
            <w:r w:rsidRPr="001244BB">
              <w:rPr>
                <w:rFonts w:eastAsia="Times New Roman" w:cstheme="minorHAnsi"/>
                <w:sz w:val="20"/>
                <w:szCs w:val="20"/>
                <w:lang w:eastAsia="en-NZ"/>
              </w:rPr>
              <w:t>new</w:t>
            </w:r>
          </w:p>
        </w:tc>
        <w:tc>
          <w:tcPr>
            <w:tcW w:w="1276" w:type="dxa"/>
            <w:tcBorders>
              <w:top w:val="nil"/>
              <w:left w:val="single" w:sz="4" w:space="0" w:color="00B050"/>
              <w:right w:val="single" w:sz="4" w:space="0" w:color="00B050"/>
            </w:tcBorders>
            <w:shd w:val="clear" w:color="auto" w:fill="FFFFFF" w:themeFill="background1"/>
            <w:noWrap/>
            <w:hideMark/>
          </w:tcPr>
          <w:p w:rsidR="00030337" w:rsidRPr="001244BB" w:rsidRDefault="00030337" w:rsidP="00030337">
            <w:pPr>
              <w:spacing w:after="0" w:line="240" w:lineRule="auto"/>
              <w:jc w:val="right"/>
              <w:rPr>
                <w:rFonts w:eastAsia="Times New Roman" w:cstheme="minorHAnsi"/>
                <w:sz w:val="20"/>
                <w:szCs w:val="20"/>
                <w:lang w:eastAsia="en-NZ"/>
              </w:rPr>
            </w:pPr>
            <w:r w:rsidRPr="001244BB">
              <w:rPr>
                <w:rFonts w:eastAsia="Times New Roman" w:cstheme="minorHAnsi"/>
                <w:sz w:val="20"/>
                <w:szCs w:val="20"/>
                <w:lang w:eastAsia="en-NZ"/>
              </w:rPr>
              <w:t>$85.92</w:t>
            </w:r>
          </w:p>
        </w:tc>
        <w:tc>
          <w:tcPr>
            <w:tcW w:w="1134" w:type="dxa"/>
            <w:tcBorders>
              <w:left w:val="single" w:sz="4" w:space="0" w:color="00B050"/>
              <w:right w:val="single" w:sz="4" w:space="0" w:color="00B050"/>
            </w:tcBorders>
            <w:shd w:val="clear" w:color="000000" w:fill="D9D9D9"/>
            <w:hideMark/>
          </w:tcPr>
          <w:p w:rsidR="00030337" w:rsidRPr="001244BB" w:rsidRDefault="00030337" w:rsidP="00030337">
            <w:pPr>
              <w:spacing w:after="0" w:line="240" w:lineRule="auto"/>
              <w:jc w:val="right"/>
              <w:rPr>
                <w:rFonts w:eastAsia="Times New Roman" w:cstheme="minorHAnsi"/>
                <w:sz w:val="20"/>
                <w:szCs w:val="20"/>
                <w:lang w:eastAsia="en-NZ"/>
              </w:rPr>
            </w:pPr>
            <w:r w:rsidRPr="001244BB">
              <w:rPr>
                <w:rFonts w:eastAsia="Times New Roman" w:cstheme="minorHAnsi"/>
                <w:sz w:val="20"/>
                <w:szCs w:val="20"/>
                <w:lang w:eastAsia="en-NZ"/>
              </w:rPr>
              <w:t>Baseline</w:t>
            </w:r>
          </w:p>
        </w:tc>
        <w:tc>
          <w:tcPr>
            <w:tcW w:w="851" w:type="dxa"/>
            <w:tcBorders>
              <w:top w:val="nil"/>
              <w:left w:val="single" w:sz="4" w:space="0" w:color="00B050"/>
              <w:right w:val="single" w:sz="4" w:space="0" w:color="00B050"/>
            </w:tcBorders>
            <w:shd w:val="clear" w:color="auto" w:fill="auto"/>
            <w:hideMark/>
          </w:tcPr>
          <w:p w:rsidR="00030337" w:rsidRPr="001244BB" w:rsidRDefault="00030337" w:rsidP="00030337">
            <w:pPr>
              <w:spacing w:after="0" w:line="240" w:lineRule="auto"/>
              <w:jc w:val="right"/>
              <w:rPr>
                <w:rFonts w:eastAsia="Times New Roman" w:cstheme="minorHAnsi"/>
                <w:sz w:val="20"/>
                <w:szCs w:val="20"/>
                <w:lang w:eastAsia="en-NZ"/>
              </w:rPr>
            </w:pPr>
          </w:p>
        </w:tc>
        <w:tc>
          <w:tcPr>
            <w:tcW w:w="1134" w:type="dxa"/>
            <w:tcBorders>
              <w:top w:val="nil"/>
              <w:left w:val="single" w:sz="4" w:space="0" w:color="00B050"/>
              <w:right w:val="single" w:sz="4" w:space="0" w:color="00B050"/>
            </w:tcBorders>
            <w:shd w:val="clear" w:color="auto" w:fill="auto"/>
            <w:hideMark/>
          </w:tcPr>
          <w:p w:rsidR="00030337" w:rsidRPr="001244BB" w:rsidRDefault="00030337" w:rsidP="00030337">
            <w:pPr>
              <w:spacing w:after="0" w:line="240" w:lineRule="auto"/>
              <w:jc w:val="right"/>
              <w:rPr>
                <w:rFonts w:eastAsia="Times New Roman" w:cstheme="minorHAnsi"/>
                <w:sz w:val="20"/>
                <w:szCs w:val="20"/>
                <w:lang w:eastAsia="en-NZ"/>
              </w:rPr>
            </w:pPr>
          </w:p>
        </w:tc>
        <w:tc>
          <w:tcPr>
            <w:tcW w:w="4635" w:type="dxa"/>
            <w:tcBorders>
              <w:top w:val="nil"/>
              <w:left w:val="single" w:sz="4" w:space="0" w:color="00B050"/>
              <w:right w:val="nil"/>
            </w:tcBorders>
            <w:shd w:val="clear" w:color="auto" w:fill="auto"/>
            <w:hideMark/>
          </w:tcPr>
          <w:p w:rsidR="00030337" w:rsidRPr="001244BB" w:rsidRDefault="00030337" w:rsidP="00030337">
            <w:pPr>
              <w:spacing w:after="0" w:line="240" w:lineRule="auto"/>
              <w:rPr>
                <w:rFonts w:eastAsia="Times New Roman" w:cstheme="minorHAnsi"/>
                <w:sz w:val="20"/>
                <w:szCs w:val="20"/>
                <w:lang w:eastAsia="en-NZ"/>
              </w:rPr>
            </w:pPr>
          </w:p>
        </w:tc>
      </w:tr>
      <w:tr w:rsidR="00030337" w:rsidRPr="001244BB" w:rsidTr="00030337">
        <w:trPr>
          <w:trHeight w:val="315"/>
        </w:trPr>
        <w:tc>
          <w:tcPr>
            <w:tcW w:w="14984" w:type="dxa"/>
            <w:gridSpan w:val="9"/>
            <w:tcBorders>
              <w:top w:val="nil"/>
              <w:left w:val="nil"/>
            </w:tcBorders>
            <w:shd w:val="clear" w:color="auto" w:fill="EAF1DD" w:themeFill="accent3" w:themeFillTint="33"/>
            <w:hideMark/>
          </w:tcPr>
          <w:p w:rsidR="00030337" w:rsidRPr="001244BB" w:rsidRDefault="00030337" w:rsidP="00030337">
            <w:pPr>
              <w:spacing w:after="0" w:line="240" w:lineRule="auto"/>
              <w:rPr>
                <w:rFonts w:eastAsia="Times New Roman" w:cstheme="minorHAnsi"/>
                <w:b/>
                <w:sz w:val="20"/>
                <w:szCs w:val="20"/>
                <w:lang w:eastAsia="en-NZ"/>
              </w:rPr>
            </w:pPr>
            <w:r w:rsidRPr="001244BB">
              <w:rPr>
                <w:rFonts w:eastAsia="Times New Roman" w:cstheme="minorHAnsi"/>
                <w:b/>
                <w:sz w:val="20"/>
                <w:szCs w:val="20"/>
                <w:lang w:eastAsia="en-NZ"/>
              </w:rPr>
              <w:t>Customer satisfaction</w:t>
            </w:r>
          </w:p>
        </w:tc>
      </w:tr>
      <w:tr w:rsidR="00030337" w:rsidRPr="001244BB" w:rsidTr="00030337">
        <w:trPr>
          <w:trHeight w:val="580"/>
        </w:trPr>
        <w:tc>
          <w:tcPr>
            <w:tcW w:w="3672" w:type="dxa"/>
            <w:tcBorders>
              <w:left w:val="nil"/>
              <w:bottom w:val="single" w:sz="8" w:space="0" w:color="00B050"/>
              <w:right w:val="single" w:sz="4" w:space="0" w:color="00B050"/>
            </w:tcBorders>
            <w:shd w:val="clear" w:color="auto" w:fill="auto"/>
            <w:hideMark/>
          </w:tcPr>
          <w:p w:rsidR="00030337" w:rsidRPr="001244BB" w:rsidRDefault="00030337" w:rsidP="00030337">
            <w:pPr>
              <w:spacing w:after="0" w:line="240" w:lineRule="auto"/>
              <w:rPr>
                <w:rFonts w:eastAsia="Times New Roman" w:cstheme="minorHAnsi"/>
                <w:sz w:val="20"/>
                <w:szCs w:val="20"/>
                <w:lang w:eastAsia="en-NZ"/>
              </w:rPr>
            </w:pPr>
            <w:r w:rsidRPr="001244BB">
              <w:rPr>
                <w:rFonts w:eastAsia="Times New Roman" w:cstheme="minorHAnsi"/>
                <w:sz w:val="20"/>
                <w:szCs w:val="20"/>
                <w:lang w:eastAsia="en-NZ"/>
              </w:rPr>
              <w:lastRenderedPageBreak/>
              <w:t>Residents (%) satisfied with kerbside recycling service</w:t>
            </w:r>
          </w:p>
        </w:tc>
        <w:tc>
          <w:tcPr>
            <w:tcW w:w="1140" w:type="dxa"/>
            <w:tcBorders>
              <w:top w:val="nil"/>
              <w:left w:val="single" w:sz="4" w:space="0" w:color="00B050"/>
              <w:bottom w:val="single" w:sz="8" w:space="0" w:color="00B050"/>
              <w:right w:val="single" w:sz="4" w:space="0" w:color="00B050"/>
            </w:tcBorders>
            <w:shd w:val="clear" w:color="auto" w:fill="auto"/>
            <w:noWrap/>
            <w:hideMark/>
          </w:tcPr>
          <w:p w:rsidR="00030337" w:rsidRPr="001244BB" w:rsidRDefault="00030337" w:rsidP="00030337">
            <w:pPr>
              <w:spacing w:after="0" w:line="240" w:lineRule="auto"/>
              <w:jc w:val="right"/>
              <w:rPr>
                <w:rFonts w:eastAsia="Times New Roman" w:cstheme="minorHAnsi"/>
                <w:sz w:val="20"/>
                <w:szCs w:val="20"/>
                <w:lang w:eastAsia="en-NZ"/>
              </w:rPr>
            </w:pPr>
            <w:r w:rsidRPr="001244BB">
              <w:rPr>
                <w:rFonts w:eastAsia="Times New Roman" w:cstheme="minorHAnsi"/>
                <w:sz w:val="20"/>
                <w:szCs w:val="20"/>
                <w:lang w:eastAsia="en-NZ"/>
              </w:rPr>
              <w:t>77%</w:t>
            </w:r>
          </w:p>
        </w:tc>
        <w:tc>
          <w:tcPr>
            <w:tcW w:w="1142" w:type="dxa"/>
            <w:gridSpan w:val="2"/>
            <w:tcBorders>
              <w:top w:val="nil"/>
              <w:left w:val="single" w:sz="4" w:space="0" w:color="00B050"/>
              <w:bottom w:val="single" w:sz="8" w:space="0" w:color="00B050"/>
              <w:right w:val="single" w:sz="4" w:space="0" w:color="00B050"/>
            </w:tcBorders>
            <w:shd w:val="clear" w:color="auto" w:fill="auto"/>
            <w:noWrap/>
            <w:hideMark/>
          </w:tcPr>
          <w:p w:rsidR="00030337" w:rsidRPr="001244BB" w:rsidRDefault="00030337" w:rsidP="00030337">
            <w:pPr>
              <w:spacing w:after="0" w:line="240" w:lineRule="auto"/>
              <w:jc w:val="right"/>
              <w:rPr>
                <w:rFonts w:eastAsia="Times New Roman" w:cstheme="minorHAnsi"/>
                <w:sz w:val="20"/>
                <w:szCs w:val="20"/>
                <w:lang w:eastAsia="en-NZ"/>
              </w:rPr>
            </w:pPr>
            <w:r w:rsidRPr="001244BB">
              <w:rPr>
                <w:rFonts w:eastAsia="Times New Roman" w:cstheme="minorHAnsi"/>
                <w:sz w:val="20"/>
                <w:szCs w:val="20"/>
                <w:lang w:eastAsia="en-NZ"/>
              </w:rPr>
              <w:t>76%</w:t>
            </w:r>
          </w:p>
        </w:tc>
        <w:tc>
          <w:tcPr>
            <w:tcW w:w="1276" w:type="dxa"/>
            <w:tcBorders>
              <w:top w:val="nil"/>
              <w:left w:val="single" w:sz="4" w:space="0" w:color="00B050"/>
              <w:bottom w:val="single" w:sz="8" w:space="0" w:color="00B050"/>
              <w:right w:val="single" w:sz="4" w:space="0" w:color="00B050"/>
            </w:tcBorders>
            <w:shd w:val="clear" w:color="auto" w:fill="auto"/>
            <w:noWrap/>
            <w:hideMark/>
          </w:tcPr>
          <w:p w:rsidR="00030337" w:rsidRPr="001244BB" w:rsidRDefault="00030337" w:rsidP="00030337">
            <w:pPr>
              <w:spacing w:after="0" w:line="240" w:lineRule="auto"/>
              <w:jc w:val="right"/>
              <w:rPr>
                <w:rFonts w:eastAsia="Times New Roman" w:cstheme="minorHAnsi"/>
                <w:sz w:val="20"/>
                <w:szCs w:val="20"/>
                <w:lang w:eastAsia="en-NZ"/>
              </w:rPr>
            </w:pPr>
            <w:r w:rsidRPr="001244BB">
              <w:rPr>
                <w:rFonts w:eastAsia="Times New Roman" w:cstheme="minorHAnsi"/>
                <w:sz w:val="20"/>
                <w:szCs w:val="20"/>
                <w:lang w:eastAsia="en-NZ"/>
              </w:rPr>
              <w:t>65%</w:t>
            </w:r>
          </w:p>
        </w:tc>
        <w:tc>
          <w:tcPr>
            <w:tcW w:w="1134" w:type="dxa"/>
            <w:tcBorders>
              <w:left w:val="single" w:sz="4" w:space="0" w:color="00B050"/>
              <w:bottom w:val="single" w:sz="8" w:space="0" w:color="00B050"/>
              <w:right w:val="single" w:sz="4" w:space="0" w:color="00B050"/>
            </w:tcBorders>
            <w:shd w:val="clear" w:color="000000" w:fill="D9D9D9"/>
            <w:hideMark/>
          </w:tcPr>
          <w:p w:rsidR="00030337" w:rsidRPr="001244BB" w:rsidRDefault="00030337" w:rsidP="00030337">
            <w:pPr>
              <w:spacing w:after="0" w:line="240" w:lineRule="auto"/>
              <w:jc w:val="right"/>
              <w:rPr>
                <w:rFonts w:eastAsia="Times New Roman" w:cstheme="minorHAnsi"/>
                <w:sz w:val="20"/>
                <w:szCs w:val="20"/>
                <w:lang w:eastAsia="en-NZ"/>
              </w:rPr>
            </w:pPr>
            <w:r w:rsidRPr="001244BB">
              <w:rPr>
                <w:rFonts w:eastAsia="Times New Roman" w:cstheme="minorHAnsi"/>
                <w:sz w:val="20"/>
                <w:szCs w:val="20"/>
                <w:lang w:eastAsia="en-NZ"/>
              </w:rPr>
              <w:t>85%</w:t>
            </w:r>
          </w:p>
        </w:tc>
        <w:tc>
          <w:tcPr>
            <w:tcW w:w="851" w:type="dxa"/>
            <w:tcBorders>
              <w:top w:val="nil"/>
              <w:left w:val="single" w:sz="4" w:space="0" w:color="00B050"/>
              <w:bottom w:val="single" w:sz="8" w:space="0" w:color="00B050"/>
              <w:right w:val="single" w:sz="4" w:space="0" w:color="00B050"/>
            </w:tcBorders>
            <w:shd w:val="clear" w:color="auto" w:fill="auto"/>
            <w:hideMark/>
          </w:tcPr>
          <w:p w:rsidR="00030337" w:rsidRPr="001244BB" w:rsidRDefault="00030337" w:rsidP="00030337">
            <w:pPr>
              <w:spacing w:after="0" w:line="240" w:lineRule="auto"/>
              <w:jc w:val="right"/>
              <w:rPr>
                <w:rFonts w:eastAsia="Times New Roman" w:cstheme="minorHAnsi"/>
                <w:sz w:val="20"/>
                <w:szCs w:val="20"/>
                <w:lang w:eastAsia="en-NZ"/>
              </w:rPr>
            </w:pPr>
            <w:r w:rsidRPr="001244BB">
              <w:rPr>
                <w:rFonts w:eastAsia="Times New Roman" w:cstheme="minorHAnsi"/>
                <w:sz w:val="20"/>
                <w:szCs w:val="20"/>
                <w:lang w:eastAsia="en-NZ"/>
              </w:rPr>
              <w:t>-24%</w:t>
            </w:r>
          </w:p>
        </w:tc>
        <w:tc>
          <w:tcPr>
            <w:tcW w:w="1134" w:type="dxa"/>
            <w:tcBorders>
              <w:top w:val="nil"/>
              <w:left w:val="single" w:sz="4" w:space="0" w:color="00B050"/>
              <w:bottom w:val="single" w:sz="8" w:space="0" w:color="00B050"/>
              <w:right w:val="single" w:sz="4" w:space="0" w:color="00B050"/>
            </w:tcBorders>
            <w:shd w:val="clear" w:color="auto" w:fill="auto"/>
            <w:hideMark/>
          </w:tcPr>
          <w:p w:rsidR="00030337" w:rsidRPr="001244BB" w:rsidRDefault="00030337" w:rsidP="00030337">
            <w:pPr>
              <w:spacing w:after="0" w:line="240" w:lineRule="auto"/>
              <w:jc w:val="right"/>
              <w:rPr>
                <w:rFonts w:eastAsia="Times New Roman" w:cstheme="minorHAnsi"/>
                <w:sz w:val="20"/>
                <w:szCs w:val="20"/>
                <w:lang w:eastAsia="en-NZ"/>
              </w:rPr>
            </w:pPr>
            <w:r w:rsidRPr="001244BB">
              <w:rPr>
                <w:rFonts w:eastAsia="Times New Roman" w:cstheme="minorHAnsi"/>
                <w:sz w:val="20"/>
                <w:szCs w:val="20"/>
                <w:lang w:eastAsia="en-NZ"/>
              </w:rPr>
              <w:t>not met</w:t>
            </w:r>
          </w:p>
        </w:tc>
        <w:tc>
          <w:tcPr>
            <w:tcW w:w="4635" w:type="dxa"/>
            <w:tcBorders>
              <w:top w:val="nil"/>
              <w:left w:val="single" w:sz="4" w:space="0" w:color="00B050"/>
              <w:bottom w:val="single" w:sz="4" w:space="0" w:color="00B050"/>
              <w:right w:val="nil"/>
            </w:tcBorders>
            <w:shd w:val="clear" w:color="auto" w:fill="FFFFFF" w:themeFill="background1"/>
            <w:hideMark/>
          </w:tcPr>
          <w:p w:rsidR="00030337" w:rsidRPr="001244BB" w:rsidRDefault="00030337" w:rsidP="00030337">
            <w:pPr>
              <w:spacing w:after="0"/>
              <w:rPr>
                <w:rFonts w:cstheme="minorHAnsi"/>
                <w:sz w:val="20"/>
                <w:szCs w:val="20"/>
              </w:rPr>
            </w:pPr>
            <w:r w:rsidRPr="001244BB">
              <w:rPr>
                <w:rFonts w:cstheme="minorHAnsi"/>
                <w:sz w:val="20"/>
                <w:szCs w:val="20"/>
              </w:rPr>
              <w:t>We expect the new rubbish bin lid clips will impact positively on this result over time.</w:t>
            </w:r>
          </w:p>
        </w:tc>
      </w:tr>
      <w:tr w:rsidR="00030337" w:rsidRPr="001244BB" w:rsidTr="00030337">
        <w:trPr>
          <w:trHeight w:val="270"/>
        </w:trPr>
        <w:tc>
          <w:tcPr>
            <w:tcW w:w="3672" w:type="dxa"/>
            <w:tcBorders>
              <w:top w:val="nil"/>
              <w:left w:val="nil"/>
              <w:right w:val="single" w:sz="4" w:space="0" w:color="00B050"/>
            </w:tcBorders>
            <w:shd w:val="clear" w:color="auto" w:fill="auto"/>
            <w:hideMark/>
          </w:tcPr>
          <w:p w:rsidR="00030337" w:rsidRPr="001244BB" w:rsidRDefault="00030337" w:rsidP="00030337">
            <w:pPr>
              <w:spacing w:after="0" w:line="240" w:lineRule="auto"/>
              <w:rPr>
                <w:rFonts w:eastAsia="Times New Roman" w:cstheme="minorHAnsi"/>
                <w:sz w:val="20"/>
                <w:szCs w:val="20"/>
                <w:lang w:eastAsia="en-NZ"/>
              </w:rPr>
            </w:pPr>
            <w:r w:rsidRPr="001244BB">
              <w:rPr>
                <w:rFonts w:eastAsia="Times New Roman" w:cstheme="minorHAnsi"/>
                <w:sz w:val="20"/>
                <w:szCs w:val="20"/>
                <w:lang w:eastAsia="en-NZ"/>
              </w:rPr>
              <w:t>Users (%) satisfied with waste collection service</w:t>
            </w:r>
          </w:p>
        </w:tc>
        <w:tc>
          <w:tcPr>
            <w:tcW w:w="1140" w:type="dxa"/>
            <w:tcBorders>
              <w:top w:val="single" w:sz="8" w:space="0" w:color="00B050"/>
              <w:left w:val="single" w:sz="4" w:space="0" w:color="00B050"/>
              <w:right w:val="single" w:sz="4" w:space="0" w:color="00B050"/>
            </w:tcBorders>
            <w:shd w:val="clear" w:color="auto" w:fill="auto"/>
            <w:noWrap/>
            <w:hideMark/>
          </w:tcPr>
          <w:p w:rsidR="00030337" w:rsidRPr="001244BB" w:rsidRDefault="00030337" w:rsidP="00030337">
            <w:pPr>
              <w:spacing w:after="0" w:line="240" w:lineRule="auto"/>
              <w:jc w:val="right"/>
              <w:rPr>
                <w:rFonts w:eastAsia="Times New Roman" w:cstheme="minorHAnsi"/>
                <w:sz w:val="20"/>
                <w:szCs w:val="20"/>
                <w:lang w:eastAsia="en-NZ"/>
              </w:rPr>
            </w:pPr>
            <w:r w:rsidRPr="001244BB">
              <w:rPr>
                <w:rFonts w:eastAsia="Times New Roman" w:cstheme="minorHAnsi"/>
                <w:sz w:val="20"/>
                <w:szCs w:val="20"/>
                <w:lang w:eastAsia="en-NZ"/>
              </w:rPr>
              <w:t>78%</w:t>
            </w:r>
          </w:p>
        </w:tc>
        <w:tc>
          <w:tcPr>
            <w:tcW w:w="1142" w:type="dxa"/>
            <w:gridSpan w:val="2"/>
            <w:tcBorders>
              <w:top w:val="single" w:sz="8" w:space="0" w:color="00B050"/>
              <w:left w:val="single" w:sz="4" w:space="0" w:color="00B050"/>
              <w:right w:val="single" w:sz="4" w:space="0" w:color="00B050"/>
            </w:tcBorders>
            <w:shd w:val="clear" w:color="auto" w:fill="auto"/>
            <w:noWrap/>
            <w:hideMark/>
          </w:tcPr>
          <w:p w:rsidR="00030337" w:rsidRPr="001244BB" w:rsidRDefault="00030337" w:rsidP="00030337">
            <w:pPr>
              <w:spacing w:after="0" w:line="240" w:lineRule="auto"/>
              <w:jc w:val="right"/>
              <w:rPr>
                <w:rFonts w:eastAsia="Times New Roman" w:cstheme="minorHAnsi"/>
                <w:sz w:val="20"/>
                <w:szCs w:val="20"/>
                <w:lang w:eastAsia="en-NZ"/>
              </w:rPr>
            </w:pPr>
            <w:r w:rsidRPr="001244BB">
              <w:rPr>
                <w:rFonts w:eastAsia="Times New Roman" w:cstheme="minorHAnsi"/>
                <w:sz w:val="20"/>
                <w:szCs w:val="20"/>
                <w:lang w:eastAsia="en-NZ"/>
              </w:rPr>
              <w:t>79%</w:t>
            </w:r>
          </w:p>
        </w:tc>
        <w:tc>
          <w:tcPr>
            <w:tcW w:w="1276" w:type="dxa"/>
            <w:tcBorders>
              <w:top w:val="single" w:sz="8" w:space="0" w:color="00B050"/>
              <w:left w:val="single" w:sz="4" w:space="0" w:color="00B050"/>
              <w:right w:val="single" w:sz="4" w:space="0" w:color="00B050"/>
            </w:tcBorders>
            <w:shd w:val="clear" w:color="auto" w:fill="auto"/>
            <w:noWrap/>
            <w:hideMark/>
          </w:tcPr>
          <w:p w:rsidR="00030337" w:rsidRPr="001244BB" w:rsidRDefault="00030337" w:rsidP="00030337">
            <w:pPr>
              <w:spacing w:after="0" w:line="240" w:lineRule="auto"/>
              <w:jc w:val="right"/>
              <w:rPr>
                <w:rFonts w:eastAsia="Times New Roman" w:cstheme="minorHAnsi"/>
                <w:sz w:val="20"/>
                <w:szCs w:val="20"/>
                <w:lang w:eastAsia="en-NZ"/>
              </w:rPr>
            </w:pPr>
            <w:r w:rsidRPr="001244BB">
              <w:rPr>
                <w:rFonts w:eastAsia="Times New Roman" w:cstheme="minorHAnsi"/>
                <w:sz w:val="20"/>
                <w:szCs w:val="20"/>
                <w:lang w:eastAsia="en-NZ"/>
              </w:rPr>
              <w:t>71%</w:t>
            </w:r>
          </w:p>
        </w:tc>
        <w:tc>
          <w:tcPr>
            <w:tcW w:w="1134" w:type="dxa"/>
            <w:tcBorders>
              <w:top w:val="single" w:sz="8" w:space="0" w:color="00B050"/>
              <w:left w:val="single" w:sz="4" w:space="0" w:color="00B050"/>
              <w:right w:val="single" w:sz="4" w:space="0" w:color="00B050"/>
            </w:tcBorders>
            <w:shd w:val="clear" w:color="000000" w:fill="D9D9D9"/>
            <w:hideMark/>
          </w:tcPr>
          <w:p w:rsidR="00030337" w:rsidRPr="001244BB" w:rsidRDefault="00030337" w:rsidP="00030337">
            <w:pPr>
              <w:spacing w:after="0" w:line="240" w:lineRule="auto"/>
              <w:jc w:val="right"/>
              <w:rPr>
                <w:rFonts w:eastAsia="Times New Roman" w:cstheme="minorHAnsi"/>
                <w:sz w:val="20"/>
                <w:szCs w:val="20"/>
                <w:lang w:eastAsia="en-NZ"/>
              </w:rPr>
            </w:pPr>
            <w:r w:rsidRPr="001244BB">
              <w:rPr>
                <w:rFonts w:eastAsia="Times New Roman" w:cstheme="minorHAnsi"/>
                <w:sz w:val="20"/>
                <w:szCs w:val="20"/>
                <w:lang w:eastAsia="en-NZ"/>
              </w:rPr>
              <w:t>90%</w:t>
            </w:r>
          </w:p>
        </w:tc>
        <w:tc>
          <w:tcPr>
            <w:tcW w:w="851" w:type="dxa"/>
            <w:tcBorders>
              <w:top w:val="single" w:sz="8" w:space="0" w:color="00B050"/>
              <w:left w:val="single" w:sz="4" w:space="0" w:color="00B050"/>
              <w:right w:val="single" w:sz="4" w:space="0" w:color="00B050"/>
            </w:tcBorders>
            <w:shd w:val="clear" w:color="auto" w:fill="auto"/>
            <w:hideMark/>
          </w:tcPr>
          <w:p w:rsidR="00030337" w:rsidRPr="001244BB" w:rsidRDefault="00030337" w:rsidP="00030337">
            <w:pPr>
              <w:spacing w:after="0" w:line="240" w:lineRule="auto"/>
              <w:jc w:val="right"/>
              <w:rPr>
                <w:rFonts w:eastAsia="Times New Roman" w:cstheme="minorHAnsi"/>
                <w:sz w:val="20"/>
                <w:szCs w:val="20"/>
                <w:lang w:eastAsia="en-NZ"/>
              </w:rPr>
            </w:pPr>
            <w:r w:rsidRPr="001244BB">
              <w:rPr>
                <w:rFonts w:eastAsia="Times New Roman" w:cstheme="minorHAnsi"/>
                <w:sz w:val="20"/>
                <w:szCs w:val="20"/>
                <w:lang w:eastAsia="en-NZ"/>
              </w:rPr>
              <w:t>-21%</w:t>
            </w:r>
          </w:p>
        </w:tc>
        <w:tc>
          <w:tcPr>
            <w:tcW w:w="1134" w:type="dxa"/>
            <w:tcBorders>
              <w:top w:val="single" w:sz="8" w:space="0" w:color="00B050"/>
              <w:left w:val="single" w:sz="4" w:space="0" w:color="00B050"/>
              <w:right w:val="single" w:sz="4" w:space="0" w:color="00B050"/>
            </w:tcBorders>
            <w:shd w:val="clear" w:color="auto" w:fill="auto"/>
            <w:hideMark/>
          </w:tcPr>
          <w:p w:rsidR="00030337" w:rsidRPr="001244BB" w:rsidRDefault="00030337" w:rsidP="00030337">
            <w:pPr>
              <w:spacing w:after="0" w:line="240" w:lineRule="auto"/>
              <w:jc w:val="right"/>
              <w:rPr>
                <w:rFonts w:eastAsia="Times New Roman" w:cstheme="minorHAnsi"/>
                <w:sz w:val="20"/>
                <w:szCs w:val="20"/>
                <w:lang w:eastAsia="en-NZ"/>
              </w:rPr>
            </w:pPr>
            <w:r w:rsidRPr="001244BB">
              <w:rPr>
                <w:rFonts w:eastAsia="Times New Roman" w:cstheme="minorHAnsi"/>
                <w:sz w:val="20"/>
                <w:szCs w:val="20"/>
                <w:lang w:eastAsia="en-NZ"/>
              </w:rPr>
              <w:t>not met</w:t>
            </w:r>
          </w:p>
        </w:tc>
        <w:tc>
          <w:tcPr>
            <w:tcW w:w="4635" w:type="dxa"/>
            <w:tcBorders>
              <w:top w:val="single" w:sz="4" w:space="0" w:color="00B050"/>
              <w:left w:val="single" w:sz="4" w:space="0" w:color="00B050"/>
              <w:right w:val="nil"/>
            </w:tcBorders>
            <w:shd w:val="clear" w:color="auto" w:fill="FFFFFF" w:themeFill="background1"/>
            <w:hideMark/>
          </w:tcPr>
          <w:p w:rsidR="00030337" w:rsidRPr="001244BB" w:rsidRDefault="00030337" w:rsidP="00030337">
            <w:pPr>
              <w:spacing w:after="0" w:line="240" w:lineRule="auto"/>
              <w:rPr>
                <w:rFonts w:eastAsia="Times New Roman" w:cstheme="minorHAnsi"/>
                <w:sz w:val="20"/>
                <w:szCs w:val="20"/>
                <w:lang w:eastAsia="en-NZ"/>
              </w:rPr>
            </w:pPr>
            <w:r w:rsidRPr="001244BB">
              <w:rPr>
                <w:rFonts w:eastAsia="Times New Roman" w:cstheme="minorHAnsi"/>
                <w:sz w:val="20"/>
                <w:szCs w:val="20"/>
                <w:lang w:eastAsia="en-NZ"/>
              </w:rPr>
              <w:t>This result is down from last year and a number of our residents commented on the use of plastic collection bags and on lack of organic waste collection.</w:t>
            </w:r>
          </w:p>
        </w:tc>
      </w:tr>
      <w:tr w:rsidR="00030337" w:rsidRPr="001244BB" w:rsidTr="00030337">
        <w:trPr>
          <w:trHeight w:val="315"/>
        </w:trPr>
        <w:tc>
          <w:tcPr>
            <w:tcW w:w="14984" w:type="dxa"/>
            <w:gridSpan w:val="9"/>
            <w:tcBorders>
              <w:top w:val="nil"/>
              <w:left w:val="nil"/>
            </w:tcBorders>
            <w:shd w:val="clear" w:color="auto" w:fill="EAF1DD" w:themeFill="accent3" w:themeFillTint="33"/>
            <w:hideMark/>
          </w:tcPr>
          <w:p w:rsidR="00030337" w:rsidRPr="001244BB" w:rsidRDefault="00030337" w:rsidP="00030337">
            <w:pPr>
              <w:spacing w:after="0" w:line="240" w:lineRule="auto"/>
              <w:rPr>
                <w:rFonts w:eastAsia="Times New Roman" w:cstheme="minorHAnsi"/>
                <w:b/>
                <w:sz w:val="20"/>
                <w:szCs w:val="20"/>
                <w:lang w:eastAsia="en-NZ"/>
              </w:rPr>
            </w:pPr>
            <w:r w:rsidRPr="001244BB">
              <w:rPr>
                <w:rFonts w:eastAsia="Times New Roman" w:cstheme="minorHAnsi"/>
                <w:b/>
                <w:sz w:val="20"/>
                <w:szCs w:val="20"/>
                <w:lang w:eastAsia="en-NZ"/>
              </w:rPr>
              <w:t>Sustainable landfill operation</w:t>
            </w:r>
          </w:p>
        </w:tc>
      </w:tr>
      <w:tr w:rsidR="00030337" w:rsidRPr="001244BB" w:rsidTr="00030337">
        <w:trPr>
          <w:trHeight w:val="780"/>
        </w:trPr>
        <w:tc>
          <w:tcPr>
            <w:tcW w:w="3672" w:type="dxa"/>
            <w:tcBorders>
              <w:left w:val="nil"/>
              <w:right w:val="single" w:sz="4" w:space="0" w:color="00B050"/>
            </w:tcBorders>
            <w:shd w:val="clear" w:color="auto" w:fill="auto"/>
            <w:hideMark/>
          </w:tcPr>
          <w:p w:rsidR="00030337" w:rsidRPr="001244BB" w:rsidRDefault="00030337" w:rsidP="00030337">
            <w:pPr>
              <w:spacing w:after="0" w:line="240" w:lineRule="auto"/>
              <w:rPr>
                <w:rFonts w:eastAsia="Times New Roman" w:cstheme="minorHAnsi"/>
                <w:sz w:val="20"/>
                <w:szCs w:val="20"/>
                <w:lang w:eastAsia="en-NZ"/>
              </w:rPr>
            </w:pPr>
            <w:r w:rsidRPr="001244BB">
              <w:rPr>
                <w:rFonts w:eastAsia="Times New Roman" w:cstheme="minorHAnsi"/>
                <w:sz w:val="20"/>
                <w:szCs w:val="20"/>
                <w:lang w:eastAsia="en-NZ"/>
              </w:rPr>
              <w:t>Estimated efficiency of gas capture system (% of estimated gas produced that is captured and destroyed)</w:t>
            </w:r>
          </w:p>
        </w:tc>
        <w:tc>
          <w:tcPr>
            <w:tcW w:w="1140" w:type="dxa"/>
            <w:tcBorders>
              <w:top w:val="nil"/>
              <w:left w:val="single" w:sz="4" w:space="0" w:color="00B050"/>
              <w:right w:val="single" w:sz="4" w:space="0" w:color="00B050"/>
            </w:tcBorders>
            <w:shd w:val="clear" w:color="auto" w:fill="auto"/>
            <w:noWrap/>
            <w:hideMark/>
          </w:tcPr>
          <w:p w:rsidR="00030337" w:rsidRPr="001244BB" w:rsidRDefault="00030337" w:rsidP="00030337">
            <w:pPr>
              <w:spacing w:after="0" w:line="240" w:lineRule="auto"/>
              <w:jc w:val="center"/>
              <w:rPr>
                <w:rFonts w:eastAsia="Times New Roman" w:cstheme="minorHAnsi"/>
                <w:sz w:val="20"/>
                <w:szCs w:val="20"/>
                <w:lang w:eastAsia="en-NZ"/>
              </w:rPr>
            </w:pPr>
          </w:p>
        </w:tc>
        <w:tc>
          <w:tcPr>
            <w:tcW w:w="1142" w:type="dxa"/>
            <w:gridSpan w:val="2"/>
            <w:tcBorders>
              <w:top w:val="nil"/>
              <w:left w:val="single" w:sz="4" w:space="0" w:color="00B050"/>
              <w:right w:val="single" w:sz="4" w:space="0" w:color="00B050"/>
            </w:tcBorders>
            <w:shd w:val="clear" w:color="auto" w:fill="auto"/>
            <w:noWrap/>
            <w:hideMark/>
          </w:tcPr>
          <w:p w:rsidR="00030337" w:rsidRPr="001244BB" w:rsidRDefault="00030337" w:rsidP="00030337">
            <w:pPr>
              <w:spacing w:after="0" w:line="240" w:lineRule="auto"/>
              <w:jc w:val="right"/>
              <w:rPr>
                <w:rFonts w:eastAsia="Times New Roman" w:cstheme="minorHAnsi"/>
                <w:sz w:val="20"/>
                <w:szCs w:val="20"/>
                <w:lang w:eastAsia="en-NZ"/>
              </w:rPr>
            </w:pPr>
            <w:r w:rsidRPr="001244BB">
              <w:rPr>
                <w:rFonts w:eastAsia="Times New Roman" w:cstheme="minorHAnsi"/>
                <w:sz w:val="20"/>
                <w:szCs w:val="20"/>
                <w:lang w:eastAsia="en-NZ"/>
              </w:rPr>
              <w:t>new</w:t>
            </w:r>
          </w:p>
        </w:tc>
        <w:tc>
          <w:tcPr>
            <w:tcW w:w="1276" w:type="dxa"/>
            <w:tcBorders>
              <w:top w:val="nil"/>
              <w:left w:val="single" w:sz="4" w:space="0" w:color="00B050"/>
              <w:right w:val="single" w:sz="4" w:space="0" w:color="00B050"/>
            </w:tcBorders>
            <w:shd w:val="clear" w:color="auto" w:fill="auto"/>
            <w:noWrap/>
            <w:hideMark/>
          </w:tcPr>
          <w:p w:rsidR="00030337" w:rsidRPr="001244BB" w:rsidRDefault="00030337" w:rsidP="00030337">
            <w:pPr>
              <w:spacing w:after="0" w:line="240" w:lineRule="auto"/>
              <w:jc w:val="right"/>
              <w:rPr>
                <w:rFonts w:eastAsia="Times New Roman" w:cstheme="minorHAnsi"/>
                <w:sz w:val="20"/>
                <w:szCs w:val="20"/>
                <w:lang w:eastAsia="en-NZ"/>
              </w:rPr>
            </w:pPr>
            <w:r w:rsidRPr="001244BB">
              <w:rPr>
                <w:rFonts w:eastAsia="Times New Roman" w:cstheme="minorHAnsi"/>
                <w:sz w:val="20"/>
                <w:szCs w:val="20"/>
                <w:lang w:eastAsia="en-NZ"/>
              </w:rPr>
              <w:t>95%</w:t>
            </w:r>
          </w:p>
        </w:tc>
        <w:tc>
          <w:tcPr>
            <w:tcW w:w="1134" w:type="dxa"/>
            <w:tcBorders>
              <w:left w:val="single" w:sz="4" w:space="0" w:color="00B050"/>
              <w:right w:val="single" w:sz="4" w:space="0" w:color="00B050"/>
            </w:tcBorders>
            <w:shd w:val="clear" w:color="000000" w:fill="D9D9D9"/>
            <w:hideMark/>
          </w:tcPr>
          <w:p w:rsidR="00030337" w:rsidRPr="001244BB" w:rsidRDefault="00030337" w:rsidP="00030337">
            <w:pPr>
              <w:spacing w:after="0" w:line="240" w:lineRule="auto"/>
              <w:jc w:val="right"/>
              <w:rPr>
                <w:rFonts w:eastAsia="Times New Roman" w:cstheme="minorHAnsi"/>
                <w:sz w:val="20"/>
                <w:szCs w:val="20"/>
                <w:lang w:eastAsia="en-NZ"/>
              </w:rPr>
            </w:pPr>
            <w:r w:rsidRPr="001244BB">
              <w:rPr>
                <w:rFonts w:eastAsia="Times New Roman" w:cstheme="minorHAnsi"/>
                <w:sz w:val="20"/>
                <w:szCs w:val="20"/>
                <w:lang w:eastAsia="en-NZ"/>
              </w:rPr>
              <w:t>Baseline</w:t>
            </w:r>
          </w:p>
        </w:tc>
        <w:tc>
          <w:tcPr>
            <w:tcW w:w="851" w:type="dxa"/>
            <w:tcBorders>
              <w:top w:val="nil"/>
              <w:left w:val="single" w:sz="4" w:space="0" w:color="00B050"/>
              <w:right w:val="single" w:sz="4" w:space="0" w:color="00B050"/>
            </w:tcBorders>
            <w:shd w:val="clear" w:color="auto" w:fill="auto"/>
            <w:hideMark/>
          </w:tcPr>
          <w:p w:rsidR="00030337" w:rsidRPr="001244BB" w:rsidRDefault="00030337" w:rsidP="00030337">
            <w:pPr>
              <w:spacing w:after="0" w:line="240" w:lineRule="auto"/>
              <w:jc w:val="center"/>
              <w:rPr>
                <w:rFonts w:eastAsia="Times New Roman" w:cstheme="minorHAnsi"/>
                <w:sz w:val="20"/>
                <w:szCs w:val="20"/>
                <w:lang w:eastAsia="en-NZ"/>
              </w:rPr>
            </w:pPr>
          </w:p>
        </w:tc>
        <w:tc>
          <w:tcPr>
            <w:tcW w:w="1134" w:type="dxa"/>
            <w:tcBorders>
              <w:top w:val="nil"/>
              <w:left w:val="single" w:sz="4" w:space="0" w:color="00B050"/>
              <w:right w:val="single" w:sz="4" w:space="0" w:color="00B050"/>
            </w:tcBorders>
            <w:shd w:val="clear" w:color="auto" w:fill="auto"/>
            <w:hideMark/>
          </w:tcPr>
          <w:p w:rsidR="00030337" w:rsidRPr="001244BB" w:rsidRDefault="00030337" w:rsidP="00030337">
            <w:pPr>
              <w:spacing w:after="0" w:line="240" w:lineRule="auto"/>
              <w:jc w:val="center"/>
              <w:rPr>
                <w:rFonts w:eastAsia="Times New Roman" w:cstheme="minorHAnsi"/>
                <w:sz w:val="20"/>
                <w:szCs w:val="20"/>
                <w:lang w:eastAsia="en-NZ"/>
              </w:rPr>
            </w:pPr>
          </w:p>
        </w:tc>
        <w:tc>
          <w:tcPr>
            <w:tcW w:w="4635" w:type="dxa"/>
            <w:tcBorders>
              <w:top w:val="nil"/>
              <w:left w:val="single" w:sz="4" w:space="0" w:color="00B050"/>
              <w:right w:val="nil"/>
            </w:tcBorders>
            <w:shd w:val="clear" w:color="auto" w:fill="auto"/>
            <w:hideMark/>
          </w:tcPr>
          <w:p w:rsidR="00030337" w:rsidRPr="001244BB" w:rsidRDefault="00030337" w:rsidP="00030337">
            <w:pPr>
              <w:spacing w:after="0" w:line="240" w:lineRule="auto"/>
              <w:rPr>
                <w:rFonts w:eastAsia="Times New Roman" w:cstheme="minorHAnsi"/>
                <w:sz w:val="20"/>
                <w:szCs w:val="20"/>
                <w:lang w:eastAsia="en-NZ"/>
              </w:rPr>
            </w:pPr>
          </w:p>
        </w:tc>
      </w:tr>
      <w:tr w:rsidR="00030337" w:rsidRPr="001244BB" w:rsidTr="00030337">
        <w:trPr>
          <w:trHeight w:val="315"/>
        </w:trPr>
        <w:tc>
          <w:tcPr>
            <w:tcW w:w="14984" w:type="dxa"/>
            <w:gridSpan w:val="9"/>
            <w:tcBorders>
              <w:top w:val="nil"/>
              <w:left w:val="nil"/>
            </w:tcBorders>
            <w:shd w:val="clear" w:color="auto" w:fill="EAF1DD" w:themeFill="accent3" w:themeFillTint="33"/>
            <w:hideMark/>
          </w:tcPr>
          <w:p w:rsidR="00030337" w:rsidRPr="001244BB" w:rsidRDefault="00030337" w:rsidP="00030337">
            <w:pPr>
              <w:spacing w:after="0" w:line="240" w:lineRule="auto"/>
              <w:rPr>
                <w:rFonts w:eastAsia="Times New Roman" w:cstheme="minorHAnsi"/>
                <w:b/>
                <w:sz w:val="20"/>
                <w:szCs w:val="20"/>
                <w:lang w:eastAsia="en-NZ"/>
              </w:rPr>
            </w:pPr>
            <w:r w:rsidRPr="001244BB">
              <w:rPr>
                <w:rFonts w:eastAsia="Times New Roman" w:cstheme="minorHAnsi"/>
                <w:b/>
                <w:sz w:val="20"/>
                <w:szCs w:val="20"/>
                <w:lang w:eastAsia="en-NZ"/>
              </w:rPr>
              <w:t>Waste minimisation activities</w:t>
            </w:r>
          </w:p>
        </w:tc>
      </w:tr>
      <w:tr w:rsidR="00030337" w:rsidRPr="001244BB" w:rsidTr="00030337">
        <w:trPr>
          <w:trHeight w:val="270"/>
        </w:trPr>
        <w:tc>
          <w:tcPr>
            <w:tcW w:w="3672" w:type="dxa"/>
            <w:tcBorders>
              <w:left w:val="nil"/>
              <w:bottom w:val="single" w:sz="8" w:space="0" w:color="00B050"/>
              <w:right w:val="single" w:sz="4" w:space="0" w:color="00B050"/>
            </w:tcBorders>
            <w:shd w:val="clear" w:color="auto" w:fill="auto"/>
            <w:hideMark/>
          </w:tcPr>
          <w:p w:rsidR="00030337" w:rsidRPr="001244BB" w:rsidRDefault="00030337" w:rsidP="00030337">
            <w:pPr>
              <w:spacing w:after="0" w:line="240" w:lineRule="auto"/>
              <w:rPr>
                <w:rFonts w:eastAsia="Times New Roman" w:cstheme="minorHAnsi"/>
                <w:sz w:val="20"/>
                <w:szCs w:val="20"/>
                <w:lang w:eastAsia="en-NZ"/>
              </w:rPr>
            </w:pPr>
            <w:r w:rsidRPr="001244BB">
              <w:rPr>
                <w:rFonts w:eastAsia="Times New Roman" w:cstheme="minorHAnsi"/>
                <w:sz w:val="20"/>
                <w:szCs w:val="20"/>
                <w:lang w:eastAsia="en-NZ"/>
              </w:rPr>
              <w:t>Volume of waste diverted from landfill</w:t>
            </w:r>
            <w:r w:rsidR="00D44447">
              <w:rPr>
                <w:rFonts w:eastAsia="Times New Roman" w:cstheme="minorHAnsi"/>
                <w:sz w:val="20"/>
                <w:szCs w:val="20"/>
                <w:lang w:eastAsia="en-NZ"/>
              </w:rPr>
              <w:t xml:space="preserve"> (tonnes)</w:t>
            </w:r>
          </w:p>
        </w:tc>
        <w:tc>
          <w:tcPr>
            <w:tcW w:w="1140" w:type="dxa"/>
            <w:tcBorders>
              <w:left w:val="single" w:sz="4" w:space="0" w:color="00B050"/>
              <w:bottom w:val="single" w:sz="8" w:space="0" w:color="00B050"/>
              <w:right w:val="single" w:sz="4" w:space="0" w:color="00B050"/>
            </w:tcBorders>
            <w:shd w:val="clear" w:color="auto" w:fill="auto"/>
            <w:noWrap/>
            <w:hideMark/>
          </w:tcPr>
          <w:p w:rsidR="00030337" w:rsidRPr="001244BB" w:rsidRDefault="00030337" w:rsidP="005F3580">
            <w:pPr>
              <w:spacing w:after="0" w:line="240" w:lineRule="auto"/>
              <w:jc w:val="right"/>
              <w:rPr>
                <w:rFonts w:eastAsia="Times New Roman" w:cstheme="minorHAnsi"/>
                <w:sz w:val="20"/>
                <w:szCs w:val="20"/>
                <w:lang w:eastAsia="en-NZ"/>
              </w:rPr>
            </w:pPr>
            <w:r w:rsidRPr="001244BB">
              <w:rPr>
                <w:rFonts w:eastAsia="Times New Roman" w:cstheme="minorHAnsi"/>
                <w:sz w:val="20"/>
                <w:szCs w:val="20"/>
                <w:lang w:eastAsia="en-NZ"/>
              </w:rPr>
              <w:t>18,078</w:t>
            </w:r>
            <w:r w:rsidR="00D44447">
              <w:rPr>
                <w:rFonts w:eastAsia="Times New Roman" w:cstheme="minorHAnsi"/>
                <w:sz w:val="20"/>
                <w:szCs w:val="20"/>
                <w:lang w:eastAsia="en-NZ"/>
              </w:rPr>
              <w:t xml:space="preserve"> </w:t>
            </w:r>
            <w:r w:rsidR="00B27E9D">
              <w:rPr>
                <w:rFonts w:eastAsia="Times New Roman" w:cstheme="minorHAnsi"/>
                <w:sz w:val="20"/>
                <w:szCs w:val="20"/>
                <w:lang w:eastAsia="en-NZ"/>
              </w:rPr>
              <w:t>tonnes</w:t>
            </w:r>
          </w:p>
        </w:tc>
        <w:tc>
          <w:tcPr>
            <w:tcW w:w="1142" w:type="dxa"/>
            <w:gridSpan w:val="2"/>
            <w:tcBorders>
              <w:top w:val="nil"/>
              <w:left w:val="single" w:sz="4" w:space="0" w:color="00B050"/>
              <w:bottom w:val="single" w:sz="8" w:space="0" w:color="00B050"/>
              <w:right w:val="single" w:sz="4" w:space="0" w:color="00B050"/>
            </w:tcBorders>
            <w:shd w:val="clear" w:color="auto" w:fill="auto"/>
            <w:noWrap/>
            <w:hideMark/>
          </w:tcPr>
          <w:p w:rsidR="00030337" w:rsidRPr="001244BB" w:rsidRDefault="00030337" w:rsidP="005F3580">
            <w:pPr>
              <w:spacing w:after="0" w:line="240" w:lineRule="auto"/>
              <w:jc w:val="right"/>
              <w:rPr>
                <w:rFonts w:eastAsia="Times New Roman" w:cstheme="minorHAnsi"/>
                <w:sz w:val="20"/>
                <w:szCs w:val="20"/>
                <w:lang w:eastAsia="en-NZ"/>
              </w:rPr>
            </w:pPr>
            <w:r w:rsidRPr="001244BB">
              <w:rPr>
                <w:rFonts w:eastAsia="Times New Roman" w:cstheme="minorHAnsi"/>
                <w:sz w:val="20"/>
                <w:szCs w:val="20"/>
                <w:lang w:eastAsia="en-NZ"/>
              </w:rPr>
              <w:t>18,174</w:t>
            </w:r>
            <w:r w:rsidR="00B27E9D">
              <w:rPr>
                <w:rFonts w:eastAsia="Times New Roman" w:cstheme="minorHAnsi"/>
                <w:sz w:val="20"/>
                <w:szCs w:val="20"/>
                <w:lang w:eastAsia="en-NZ"/>
              </w:rPr>
              <w:t xml:space="preserve"> tonnes</w:t>
            </w:r>
            <w:r w:rsidR="00D44447">
              <w:rPr>
                <w:rFonts w:eastAsia="Times New Roman" w:cstheme="minorHAnsi"/>
                <w:sz w:val="20"/>
                <w:szCs w:val="20"/>
                <w:lang w:eastAsia="en-NZ"/>
              </w:rPr>
              <w:t xml:space="preserve"> </w:t>
            </w:r>
          </w:p>
        </w:tc>
        <w:tc>
          <w:tcPr>
            <w:tcW w:w="1276" w:type="dxa"/>
            <w:tcBorders>
              <w:top w:val="nil"/>
              <w:left w:val="single" w:sz="4" w:space="0" w:color="00B050"/>
              <w:bottom w:val="single" w:sz="8" w:space="0" w:color="00B050"/>
              <w:right w:val="single" w:sz="4" w:space="0" w:color="00B050"/>
            </w:tcBorders>
            <w:shd w:val="clear" w:color="auto" w:fill="auto"/>
            <w:noWrap/>
            <w:hideMark/>
          </w:tcPr>
          <w:p w:rsidR="00030337" w:rsidRPr="001244BB" w:rsidRDefault="00030337" w:rsidP="005F3580">
            <w:pPr>
              <w:spacing w:after="0" w:line="240" w:lineRule="auto"/>
              <w:jc w:val="right"/>
              <w:rPr>
                <w:rFonts w:eastAsia="Times New Roman" w:cstheme="minorHAnsi"/>
                <w:sz w:val="20"/>
                <w:szCs w:val="20"/>
                <w:lang w:eastAsia="en-NZ"/>
              </w:rPr>
            </w:pPr>
            <w:r w:rsidRPr="001244BB">
              <w:rPr>
                <w:rFonts w:eastAsia="Times New Roman" w:cstheme="minorHAnsi"/>
                <w:sz w:val="20"/>
                <w:szCs w:val="20"/>
                <w:lang w:eastAsia="en-NZ"/>
              </w:rPr>
              <w:t>19,526</w:t>
            </w:r>
            <w:r w:rsidR="00B27E9D">
              <w:rPr>
                <w:rFonts w:eastAsia="Times New Roman" w:cstheme="minorHAnsi"/>
                <w:sz w:val="20"/>
                <w:szCs w:val="20"/>
                <w:lang w:eastAsia="en-NZ"/>
              </w:rPr>
              <w:t xml:space="preserve"> tonnes</w:t>
            </w:r>
            <w:r w:rsidR="00D44447">
              <w:rPr>
                <w:rFonts w:eastAsia="Times New Roman" w:cstheme="minorHAnsi"/>
                <w:sz w:val="20"/>
                <w:szCs w:val="20"/>
                <w:lang w:eastAsia="en-NZ"/>
              </w:rPr>
              <w:t xml:space="preserve"> </w:t>
            </w:r>
          </w:p>
        </w:tc>
        <w:tc>
          <w:tcPr>
            <w:tcW w:w="1134" w:type="dxa"/>
            <w:tcBorders>
              <w:top w:val="nil"/>
              <w:left w:val="single" w:sz="4" w:space="0" w:color="00B050"/>
              <w:bottom w:val="single" w:sz="8" w:space="0" w:color="00B050"/>
              <w:right w:val="single" w:sz="4" w:space="0" w:color="00B050"/>
            </w:tcBorders>
            <w:shd w:val="clear" w:color="000000" w:fill="D9D9D9"/>
            <w:hideMark/>
          </w:tcPr>
          <w:p w:rsidR="00030337" w:rsidRPr="001244BB" w:rsidRDefault="00030337" w:rsidP="00030337">
            <w:pPr>
              <w:spacing w:after="0" w:line="240" w:lineRule="auto"/>
              <w:jc w:val="right"/>
              <w:rPr>
                <w:rFonts w:eastAsia="Times New Roman" w:cstheme="minorHAnsi"/>
                <w:sz w:val="20"/>
                <w:szCs w:val="20"/>
                <w:lang w:eastAsia="en-NZ"/>
              </w:rPr>
            </w:pPr>
            <w:r w:rsidRPr="001244BB">
              <w:rPr>
                <w:rFonts w:eastAsia="Times New Roman" w:cstheme="minorHAnsi"/>
                <w:sz w:val="20"/>
                <w:szCs w:val="20"/>
                <w:lang w:eastAsia="en-NZ"/>
              </w:rPr>
              <w:t>17,500</w:t>
            </w:r>
            <w:r w:rsidR="005F3580">
              <w:rPr>
                <w:rFonts w:eastAsia="Times New Roman" w:cstheme="minorHAnsi"/>
                <w:sz w:val="20"/>
                <w:szCs w:val="20"/>
                <w:lang w:eastAsia="en-NZ"/>
              </w:rPr>
              <w:t xml:space="preserve"> tonnes</w:t>
            </w:r>
          </w:p>
        </w:tc>
        <w:tc>
          <w:tcPr>
            <w:tcW w:w="851" w:type="dxa"/>
            <w:tcBorders>
              <w:top w:val="nil"/>
              <w:left w:val="single" w:sz="4" w:space="0" w:color="00B050"/>
              <w:bottom w:val="single" w:sz="8" w:space="0" w:color="00B050"/>
              <w:right w:val="single" w:sz="4" w:space="0" w:color="00B050"/>
            </w:tcBorders>
            <w:shd w:val="clear" w:color="auto" w:fill="auto"/>
            <w:hideMark/>
          </w:tcPr>
          <w:p w:rsidR="00030337" w:rsidRPr="001244BB" w:rsidRDefault="00030337" w:rsidP="00030337">
            <w:pPr>
              <w:spacing w:after="0" w:line="240" w:lineRule="auto"/>
              <w:jc w:val="right"/>
              <w:rPr>
                <w:rFonts w:eastAsia="Times New Roman" w:cstheme="minorHAnsi"/>
                <w:sz w:val="20"/>
                <w:szCs w:val="20"/>
                <w:lang w:eastAsia="en-NZ"/>
              </w:rPr>
            </w:pPr>
            <w:r w:rsidRPr="001244BB">
              <w:rPr>
                <w:rFonts w:eastAsia="Times New Roman" w:cstheme="minorHAnsi"/>
                <w:sz w:val="20"/>
                <w:szCs w:val="20"/>
                <w:lang w:eastAsia="en-NZ"/>
              </w:rPr>
              <w:t>12%</w:t>
            </w:r>
          </w:p>
        </w:tc>
        <w:tc>
          <w:tcPr>
            <w:tcW w:w="1134" w:type="dxa"/>
            <w:tcBorders>
              <w:top w:val="nil"/>
              <w:left w:val="single" w:sz="4" w:space="0" w:color="00B050"/>
              <w:bottom w:val="single" w:sz="8" w:space="0" w:color="00B050"/>
              <w:right w:val="single" w:sz="4" w:space="0" w:color="00B050"/>
            </w:tcBorders>
            <w:shd w:val="clear" w:color="auto" w:fill="auto"/>
            <w:hideMark/>
          </w:tcPr>
          <w:p w:rsidR="00030337" w:rsidRPr="001244BB" w:rsidRDefault="00030337" w:rsidP="00030337">
            <w:pPr>
              <w:spacing w:after="0" w:line="240" w:lineRule="auto"/>
              <w:jc w:val="right"/>
              <w:rPr>
                <w:rFonts w:eastAsia="Times New Roman" w:cstheme="minorHAnsi"/>
                <w:sz w:val="20"/>
                <w:szCs w:val="20"/>
                <w:lang w:eastAsia="en-NZ"/>
              </w:rPr>
            </w:pPr>
            <w:r w:rsidRPr="001244BB">
              <w:rPr>
                <w:rFonts w:eastAsia="Times New Roman" w:cstheme="minorHAnsi"/>
                <w:sz w:val="20"/>
                <w:szCs w:val="20"/>
                <w:lang w:eastAsia="en-NZ"/>
              </w:rPr>
              <w:t>exceeded</w:t>
            </w:r>
          </w:p>
        </w:tc>
        <w:tc>
          <w:tcPr>
            <w:tcW w:w="4635" w:type="dxa"/>
            <w:tcBorders>
              <w:top w:val="nil"/>
              <w:left w:val="single" w:sz="4" w:space="0" w:color="00B050"/>
              <w:bottom w:val="single" w:sz="4" w:space="0" w:color="00B050"/>
              <w:right w:val="nil"/>
            </w:tcBorders>
            <w:shd w:val="clear" w:color="auto" w:fill="auto"/>
            <w:hideMark/>
          </w:tcPr>
          <w:p w:rsidR="00030337" w:rsidRPr="001244BB" w:rsidRDefault="00030337" w:rsidP="00030337">
            <w:pPr>
              <w:spacing w:after="0" w:line="240" w:lineRule="auto"/>
              <w:rPr>
                <w:rFonts w:eastAsia="Times New Roman" w:cstheme="minorHAnsi"/>
                <w:sz w:val="20"/>
                <w:szCs w:val="20"/>
                <w:lang w:eastAsia="en-NZ"/>
              </w:rPr>
            </w:pPr>
            <w:r w:rsidRPr="001244BB">
              <w:rPr>
                <w:rFonts w:eastAsia="Times New Roman" w:cstheme="minorHAnsi"/>
                <w:sz w:val="20"/>
                <w:szCs w:val="20"/>
                <w:lang w:eastAsia="en-NZ"/>
              </w:rPr>
              <w:t>There has been an increase in clean green waste and food waste that can be diverted from the landfill.</w:t>
            </w:r>
          </w:p>
        </w:tc>
      </w:tr>
      <w:tr w:rsidR="00030337" w:rsidRPr="001244BB" w:rsidTr="00030337">
        <w:trPr>
          <w:trHeight w:val="549"/>
        </w:trPr>
        <w:tc>
          <w:tcPr>
            <w:tcW w:w="3672" w:type="dxa"/>
            <w:tcBorders>
              <w:top w:val="single" w:sz="8" w:space="0" w:color="00B050"/>
              <w:left w:val="nil"/>
              <w:right w:val="single" w:sz="4" w:space="0" w:color="00B050"/>
            </w:tcBorders>
            <w:shd w:val="clear" w:color="auto" w:fill="auto"/>
            <w:hideMark/>
          </w:tcPr>
          <w:p w:rsidR="00030337" w:rsidRPr="001244BB" w:rsidRDefault="00030337" w:rsidP="00030337">
            <w:pPr>
              <w:spacing w:after="0" w:line="240" w:lineRule="auto"/>
              <w:rPr>
                <w:rFonts w:eastAsia="Times New Roman" w:cstheme="minorHAnsi"/>
                <w:sz w:val="20"/>
                <w:szCs w:val="20"/>
                <w:lang w:eastAsia="en-NZ"/>
              </w:rPr>
            </w:pPr>
            <w:r w:rsidRPr="001244BB">
              <w:rPr>
                <w:rFonts w:eastAsia="Times New Roman" w:cstheme="minorHAnsi"/>
                <w:sz w:val="20"/>
                <w:szCs w:val="20"/>
                <w:lang w:eastAsia="en-NZ"/>
              </w:rPr>
              <w:t>Number of participants in waste minimisation and education programmes</w:t>
            </w:r>
          </w:p>
        </w:tc>
        <w:tc>
          <w:tcPr>
            <w:tcW w:w="1140" w:type="dxa"/>
            <w:tcBorders>
              <w:top w:val="single" w:sz="8" w:space="0" w:color="00B050"/>
              <w:left w:val="single" w:sz="4" w:space="0" w:color="00B050"/>
              <w:right w:val="single" w:sz="4" w:space="0" w:color="00B050"/>
            </w:tcBorders>
            <w:shd w:val="clear" w:color="auto" w:fill="auto"/>
            <w:noWrap/>
            <w:hideMark/>
          </w:tcPr>
          <w:p w:rsidR="00030337" w:rsidRPr="001244BB" w:rsidRDefault="00030337" w:rsidP="00030337">
            <w:pPr>
              <w:spacing w:after="0" w:line="240" w:lineRule="auto"/>
              <w:jc w:val="center"/>
              <w:rPr>
                <w:rFonts w:eastAsia="Times New Roman" w:cstheme="minorHAnsi"/>
                <w:sz w:val="20"/>
                <w:szCs w:val="20"/>
                <w:lang w:eastAsia="en-NZ"/>
              </w:rPr>
            </w:pPr>
          </w:p>
        </w:tc>
        <w:tc>
          <w:tcPr>
            <w:tcW w:w="1142" w:type="dxa"/>
            <w:gridSpan w:val="2"/>
            <w:tcBorders>
              <w:top w:val="single" w:sz="8" w:space="0" w:color="00B050"/>
              <w:left w:val="single" w:sz="4" w:space="0" w:color="00B050"/>
              <w:right w:val="single" w:sz="4" w:space="0" w:color="00B050"/>
            </w:tcBorders>
            <w:shd w:val="clear" w:color="auto" w:fill="auto"/>
            <w:noWrap/>
            <w:hideMark/>
          </w:tcPr>
          <w:p w:rsidR="00030337" w:rsidRPr="001244BB" w:rsidRDefault="00030337" w:rsidP="00030337">
            <w:pPr>
              <w:spacing w:after="0" w:line="240" w:lineRule="auto"/>
              <w:jc w:val="center"/>
              <w:rPr>
                <w:rFonts w:eastAsia="Times New Roman" w:cstheme="minorHAnsi"/>
                <w:sz w:val="20"/>
                <w:szCs w:val="20"/>
                <w:lang w:eastAsia="en-NZ"/>
              </w:rPr>
            </w:pPr>
            <w:r w:rsidRPr="001244BB">
              <w:rPr>
                <w:rFonts w:eastAsia="Times New Roman" w:cstheme="minorHAnsi"/>
                <w:sz w:val="20"/>
                <w:szCs w:val="20"/>
                <w:lang w:eastAsia="en-NZ"/>
              </w:rPr>
              <w:t>New</w:t>
            </w:r>
          </w:p>
        </w:tc>
        <w:tc>
          <w:tcPr>
            <w:tcW w:w="1276" w:type="dxa"/>
            <w:tcBorders>
              <w:top w:val="single" w:sz="8" w:space="0" w:color="00B050"/>
              <w:left w:val="single" w:sz="4" w:space="0" w:color="00B050"/>
              <w:right w:val="single" w:sz="4" w:space="0" w:color="00B050"/>
            </w:tcBorders>
            <w:shd w:val="clear" w:color="auto" w:fill="auto"/>
            <w:noWrap/>
            <w:hideMark/>
          </w:tcPr>
          <w:p w:rsidR="00030337" w:rsidRPr="001244BB" w:rsidRDefault="00030337" w:rsidP="00030337">
            <w:pPr>
              <w:spacing w:after="0" w:line="240" w:lineRule="auto"/>
              <w:jc w:val="center"/>
              <w:rPr>
                <w:rFonts w:eastAsia="Times New Roman" w:cstheme="minorHAnsi"/>
                <w:sz w:val="20"/>
                <w:szCs w:val="20"/>
                <w:lang w:eastAsia="en-NZ"/>
              </w:rPr>
            </w:pPr>
            <w:r w:rsidRPr="001244BB">
              <w:rPr>
                <w:rFonts w:eastAsia="Times New Roman" w:cstheme="minorHAnsi"/>
                <w:sz w:val="20"/>
                <w:szCs w:val="20"/>
                <w:lang w:eastAsia="en-NZ"/>
              </w:rPr>
              <w:t>3,066</w:t>
            </w:r>
          </w:p>
        </w:tc>
        <w:tc>
          <w:tcPr>
            <w:tcW w:w="1134" w:type="dxa"/>
            <w:tcBorders>
              <w:top w:val="single" w:sz="8" w:space="0" w:color="00B050"/>
              <w:left w:val="single" w:sz="4" w:space="0" w:color="00B050"/>
              <w:right w:val="single" w:sz="4" w:space="0" w:color="00B050"/>
            </w:tcBorders>
            <w:shd w:val="clear" w:color="000000" w:fill="D9D9D9"/>
            <w:hideMark/>
          </w:tcPr>
          <w:p w:rsidR="00030337" w:rsidRPr="001244BB" w:rsidRDefault="00030337" w:rsidP="00030337">
            <w:pPr>
              <w:spacing w:after="0" w:line="240" w:lineRule="auto"/>
              <w:jc w:val="center"/>
              <w:rPr>
                <w:rFonts w:eastAsia="Times New Roman" w:cstheme="minorHAnsi"/>
                <w:sz w:val="20"/>
                <w:szCs w:val="20"/>
                <w:lang w:eastAsia="en-NZ"/>
              </w:rPr>
            </w:pPr>
            <w:r w:rsidRPr="001244BB">
              <w:rPr>
                <w:rFonts w:eastAsia="Times New Roman" w:cstheme="minorHAnsi"/>
                <w:sz w:val="20"/>
                <w:szCs w:val="20"/>
                <w:lang w:eastAsia="en-NZ"/>
              </w:rPr>
              <w:t>Baseline</w:t>
            </w:r>
          </w:p>
        </w:tc>
        <w:tc>
          <w:tcPr>
            <w:tcW w:w="851" w:type="dxa"/>
            <w:tcBorders>
              <w:top w:val="single" w:sz="8" w:space="0" w:color="00B050"/>
              <w:left w:val="single" w:sz="4" w:space="0" w:color="00B050"/>
              <w:right w:val="single" w:sz="4" w:space="0" w:color="00B050"/>
            </w:tcBorders>
            <w:shd w:val="clear" w:color="auto" w:fill="auto"/>
          </w:tcPr>
          <w:p w:rsidR="00030337" w:rsidRPr="001244BB" w:rsidRDefault="00030337" w:rsidP="00030337">
            <w:pPr>
              <w:spacing w:after="0" w:line="240" w:lineRule="auto"/>
              <w:jc w:val="center"/>
              <w:rPr>
                <w:rFonts w:eastAsia="Times New Roman" w:cstheme="minorHAnsi"/>
                <w:sz w:val="20"/>
                <w:szCs w:val="20"/>
                <w:lang w:eastAsia="en-NZ"/>
              </w:rPr>
            </w:pPr>
          </w:p>
        </w:tc>
        <w:tc>
          <w:tcPr>
            <w:tcW w:w="1134" w:type="dxa"/>
            <w:tcBorders>
              <w:top w:val="single" w:sz="8" w:space="0" w:color="00B050"/>
              <w:left w:val="single" w:sz="4" w:space="0" w:color="00B050"/>
              <w:right w:val="single" w:sz="4" w:space="0" w:color="00B050"/>
            </w:tcBorders>
            <w:shd w:val="clear" w:color="auto" w:fill="auto"/>
          </w:tcPr>
          <w:p w:rsidR="00030337" w:rsidRPr="001244BB" w:rsidRDefault="00030337" w:rsidP="00030337">
            <w:pPr>
              <w:spacing w:after="0" w:line="240" w:lineRule="auto"/>
              <w:jc w:val="center"/>
              <w:rPr>
                <w:rFonts w:eastAsia="Times New Roman" w:cstheme="minorHAnsi"/>
                <w:sz w:val="20"/>
                <w:szCs w:val="20"/>
                <w:lang w:eastAsia="en-NZ"/>
              </w:rPr>
            </w:pPr>
          </w:p>
        </w:tc>
        <w:tc>
          <w:tcPr>
            <w:tcW w:w="4635" w:type="dxa"/>
            <w:tcBorders>
              <w:top w:val="single" w:sz="4" w:space="0" w:color="00B050"/>
              <w:left w:val="single" w:sz="4" w:space="0" w:color="00B050"/>
              <w:right w:val="nil"/>
            </w:tcBorders>
            <w:shd w:val="clear" w:color="auto" w:fill="auto"/>
            <w:hideMark/>
          </w:tcPr>
          <w:p w:rsidR="00030337" w:rsidRPr="001244BB" w:rsidRDefault="00030337" w:rsidP="00030337">
            <w:pPr>
              <w:spacing w:after="0" w:line="240" w:lineRule="auto"/>
              <w:rPr>
                <w:rFonts w:eastAsia="Times New Roman" w:cstheme="minorHAnsi"/>
                <w:sz w:val="20"/>
                <w:szCs w:val="20"/>
                <w:lang w:eastAsia="en-NZ"/>
              </w:rPr>
            </w:pPr>
          </w:p>
        </w:tc>
      </w:tr>
      <w:tr w:rsidR="00030337" w:rsidRPr="001244BB" w:rsidTr="00030337">
        <w:trPr>
          <w:trHeight w:val="365"/>
        </w:trPr>
        <w:tc>
          <w:tcPr>
            <w:tcW w:w="14984" w:type="dxa"/>
            <w:gridSpan w:val="9"/>
            <w:tcBorders>
              <w:left w:val="nil"/>
            </w:tcBorders>
            <w:shd w:val="clear" w:color="auto" w:fill="EAF1DD" w:themeFill="accent3" w:themeFillTint="33"/>
            <w:hideMark/>
          </w:tcPr>
          <w:p w:rsidR="00030337" w:rsidRPr="001244BB" w:rsidRDefault="00030337" w:rsidP="00030337">
            <w:pPr>
              <w:spacing w:after="0" w:line="240" w:lineRule="auto"/>
              <w:rPr>
                <w:rFonts w:eastAsia="Times New Roman" w:cstheme="minorHAnsi"/>
                <w:b/>
                <w:sz w:val="20"/>
                <w:szCs w:val="20"/>
                <w:lang w:eastAsia="en-NZ"/>
              </w:rPr>
            </w:pPr>
            <w:r w:rsidRPr="001244BB">
              <w:rPr>
                <w:rFonts w:eastAsia="Times New Roman" w:cstheme="minorHAnsi"/>
                <w:b/>
                <w:sz w:val="20"/>
                <w:szCs w:val="20"/>
                <w:lang w:eastAsia="en-NZ"/>
              </w:rPr>
              <w:t>Energy conservation</w:t>
            </w:r>
          </w:p>
        </w:tc>
      </w:tr>
      <w:tr w:rsidR="00030337" w:rsidRPr="001244BB" w:rsidTr="00030337">
        <w:trPr>
          <w:trHeight w:val="270"/>
        </w:trPr>
        <w:tc>
          <w:tcPr>
            <w:tcW w:w="3672" w:type="dxa"/>
            <w:tcBorders>
              <w:left w:val="nil"/>
              <w:bottom w:val="single" w:sz="8" w:space="0" w:color="00B050"/>
              <w:right w:val="single" w:sz="4" w:space="0" w:color="00B050"/>
            </w:tcBorders>
            <w:shd w:val="clear" w:color="auto" w:fill="auto"/>
            <w:hideMark/>
          </w:tcPr>
          <w:p w:rsidR="00030337" w:rsidRPr="001244BB" w:rsidRDefault="00030337" w:rsidP="00030337">
            <w:pPr>
              <w:spacing w:after="0" w:line="240" w:lineRule="auto"/>
              <w:rPr>
                <w:rFonts w:eastAsia="Times New Roman" w:cstheme="minorHAnsi"/>
                <w:sz w:val="20"/>
                <w:szCs w:val="20"/>
                <w:lang w:eastAsia="en-NZ"/>
              </w:rPr>
            </w:pPr>
            <w:r w:rsidRPr="001244BB">
              <w:rPr>
                <w:rFonts w:eastAsia="Times New Roman" w:cstheme="minorHAnsi"/>
                <w:sz w:val="20"/>
                <w:szCs w:val="20"/>
                <w:lang w:eastAsia="en-NZ"/>
              </w:rPr>
              <w:t>Energy cost ($)</w:t>
            </w:r>
          </w:p>
        </w:tc>
        <w:tc>
          <w:tcPr>
            <w:tcW w:w="1140" w:type="dxa"/>
            <w:tcBorders>
              <w:left w:val="single" w:sz="4" w:space="0" w:color="00B050"/>
              <w:bottom w:val="single" w:sz="8" w:space="0" w:color="00B050"/>
              <w:right w:val="single" w:sz="4" w:space="0" w:color="00B050"/>
            </w:tcBorders>
            <w:shd w:val="clear" w:color="auto" w:fill="auto"/>
            <w:noWrap/>
            <w:hideMark/>
          </w:tcPr>
          <w:p w:rsidR="00030337" w:rsidRPr="001244BB" w:rsidRDefault="00030337" w:rsidP="00030337">
            <w:pPr>
              <w:spacing w:after="0" w:line="240" w:lineRule="auto"/>
              <w:rPr>
                <w:rFonts w:eastAsia="Times New Roman" w:cstheme="minorHAnsi"/>
                <w:sz w:val="20"/>
                <w:szCs w:val="20"/>
                <w:lang w:eastAsia="en-NZ"/>
              </w:rPr>
            </w:pPr>
            <w:r w:rsidRPr="001244BB">
              <w:rPr>
                <w:rFonts w:eastAsia="Times New Roman" w:cstheme="minorHAnsi"/>
                <w:sz w:val="20"/>
                <w:szCs w:val="20"/>
                <w:lang w:eastAsia="en-NZ"/>
              </w:rPr>
              <w:t xml:space="preserve">$6,789,203 </w:t>
            </w:r>
          </w:p>
        </w:tc>
        <w:tc>
          <w:tcPr>
            <w:tcW w:w="1142" w:type="dxa"/>
            <w:gridSpan w:val="2"/>
            <w:tcBorders>
              <w:left w:val="single" w:sz="4" w:space="0" w:color="00B050"/>
              <w:bottom w:val="single" w:sz="8" w:space="0" w:color="00B050"/>
              <w:right w:val="single" w:sz="4" w:space="0" w:color="00B050"/>
            </w:tcBorders>
            <w:shd w:val="clear" w:color="auto" w:fill="auto"/>
            <w:noWrap/>
            <w:hideMark/>
          </w:tcPr>
          <w:p w:rsidR="00030337" w:rsidRPr="001244BB" w:rsidRDefault="00030337" w:rsidP="00030337">
            <w:pPr>
              <w:spacing w:after="0" w:line="240" w:lineRule="auto"/>
              <w:rPr>
                <w:rFonts w:eastAsia="Times New Roman" w:cstheme="minorHAnsi"/>
                <w:sz w:val="20"/>
                <w:szCs w:val="20"/>
                <w:lang w:eastAsia="en-NZ"/>
              </w:rPr>
            </w:pPr>
            <w:r w:rsidRPr="001244BB">
              <w:rPr>
                <w:rFonts w:eastAsia="Times New Roman" w:cstheme="minorHAnsi"/>
                <w:sz w:val="20"/>
                <w:szCs w:val="20"/>
                <w:lang w:eastAsia="en-NZ"/>
              </w:rPr>
              <w:t xml:space="preserve">$6,548,943 </w:t>
            </w:r>
          </w:p>
        </w:tc>
        <w:tc>
          <w:tcPr>
            <w:tcW w:w="1276" w:type="dxa"/>
            <w:tcBorders>
              <w:left w:val="single" w:sz="4" w:space="0" w:color="00B050"/>
              <w:bottom w:val="single" w:sz="8" w:space="0" w:color="00B050"/>
              <w:right w:val="single" w:sz="4" w:space="0" w:color="00B050"/>
            </w:tcBorders>
            <w:shd w:val="clear" w:color="auto" w:fill="auto"/>
            <w:noWrap/>
            <w:hideMark/>
          </w:tcPr>
          <w:p w:rsidR="00030337" w:rsidRPr="001244BB" w:rsidRDefault="00030337" w:rsidP="00030337">
            <w:pPr>
              <w:spacing w:after="0" w:line="240" w:lineRule="auto"/>
              <w:jc w:val="right"/>
              <w:rPr>
                <w:rFonts w:eastAsia="Times New Roman" w:cstheme="minorHAnsi"/>
                <w:sz w:val="20"/>
                <w:szCs w:val="20"/>
                <w:lang w:eastAsia="en-NZ"/>
              </w:rPr>
            </w:pPr>
            <w:r w:rsidRPr="001244BB">
              <w:rPr>
                <w:rFonts w:eastAsia="Times New Roman" w:cstheme="minorHAnsi"/>
                <w:sz w:val="20"/>
                <w:szCs w:val="20"/>
                <w:lang w:eastAsia="en-NZ"/>
              </w:rPr>
              <w:t>$6,328,978</w:t>
            </w:r>
          </w:p>
        </w:tc>
        <w:tc>
          <w:tcPr>
            <w:tcW w:w="1134" w:type="dxa"/>
            <w:tcBorders>
              <w:left w:val="single" w:sz="4" w:space="0" w:color="00B050"/>
              <w:bottom w:val="single" w:sz="8" w:space="0" w:color="00B050"/>
              <w:right w:val="single" w:sz="4" w:space="0" w:color="00B050"/>
            </w:tcBorders>
            <w:shd w:val="clear" w:color="000000" w:fill="D9D9D9"/>
            <w:hideMark/>
          </w:tcPr>
          <w:p w:rsidR="00030337" w:rsidRPr="001244BB" w:rsidRDefault="00B27E9D" w:rsidP="00030337">
            <w:pPr>
              <w:spacing w:after="0" w:line="240" w:lineRule="auto"/>
              <w:jc w:val="right"/>
              <w:rPr>
                <w:rFonts w:eastAsia="Times New Roman" w:cstheme="minorHAnsi"/>
                <w:sz w:val="20"/>
                <w:szCs w:val="20"/>
                <w:lang w:eastAsia="en-NZ"/>
              </w:rPr>
            </w:pPr>
            <w:r>
              <w:rPr>
                <w:rFonts w:eastAsia="Times New Roman" w:cstheme="minorHAnsi"/>
                <w:sz w:val="20"/>
                <w:szCs w:val="20"/>
                <w:lang w:eastAsia="en-NZ"/>
              </w:rPr>
              <w:t>Decrease</w:t>
            </w:r>
          </w:p>
        </w:tc>
        <w:tc>
          <w:tcPr>
            <w:tcW w:w="851" w:type="dxa"/>
            <w:tcBorders>
              <w:left w:val="single" w:sz="4" w:space="0" w:color="00B050"/>
              <w:bottom w:val="single" w:sz="8" w:space="0" w:color="00B050"/>
              <w:right w:val="single" w:sz="4" w:space="0" w:color="00B050"/>
            </w:tcBorders>
            <w:shd w:val="clear" w:color="auto" w:fill="auto"/>
            <w:hideMark/>
          </w:tcPr>
          <w:p w:rsidR="00030337" w:rsidRPr="001244BB" w:rsidRDefault="00B27E9D" w:rsidP="00030337">
            <w:pPr>
              <w:spacing w:after="0" w:line="240" w:lineRule="auto"/>
              <w:jc w:val="right"/>
              <w:rPr>
                <w:rFonts w:eastAsia="Times New Roman" w:cstheme="minorHAnsi"/>
                <w:sz w:val="20"/>
                <w:szCs w:val="20"/>
                <w:lang w:eastAsia="en-NZ"/>
              </w:rPr>
            </w:pPr>
            <w:r>
              <w:rPr>
                <w:rFonts w:eastAsia="Times New Roman" w:cstheme="minorHAnsi"/>
                <w:sz w:val="20"/>
                <w:szCs w:val="20"/>
                <w:lang w:eastAsia="en-NZ"/>
              </w:rPr>
              <w:t>-</w:t>
            </w:r>
          </w:p>
        </w:tc>
        <w:tc>
          <w:tcPr>
            <w:tcW w:w="1134" w:type="dxa"/>
            <w:tcBorders>
              <w:left w:val="single" w:sz="4" w:space="0" w:color="00B050"/>
              <w:bottom w:val="single" w:sz="8" w:space="0" w:color="00B050"/>
              <w:right w:val="single" w:sz="4" w:space="0" w:color="00B050"/>
            </w:tcBorders>
            <w:shd w:val="clear" w:color="auto" w:fill="auto"/>
            <w:hideMark/>
          </w:tcPr>
          <w:p w:rsidR="00030337" w:rsidRPr="001244BB" w:rsidRDefault="004A2F47" w:rsidP="00030337">
            <w:pPr>
              <w:spacing w:after="0" w:line="240" w:lineRule="auto"/>
              <w:jc w:val="right"/>
              <w:rPr>
                <w:rFonts w:eastAsia="Times New Roman" w:cstheme="minorHAnsi"/>
                <w:sz w:val="20"/>
                <w:szCs w:val="20"/>
                <w:lang w:eastAsia="en-NZ"/>
              </w:rPr>
            </w:pPr>
            <w:r>
              <w:rPr>
                <w:rFonts w:eastAsia="Times New Roman" w:cstheme="minorHAnsi"/>
                <w:color w:val="000000"/>
                <w:sz w:val="20"/>
                <w:szCs w:val="20"/>
                <w:lang w:eastAsia="en-NZ"/>
              </w:rPr>
              <w:t>Within 10%</w:t>
            </w:r>
          </w:p>
        </w:tc>
        <w:tc>
          <w:tcPr>
            <w:tcW w:w="4635" w:type="dxa"/>
            <w:tcBorders>
              <w:left w:val="single" w:sz="4" w:space="0" w:color="00B050"/>
              <w:bottom w:val="single" w:sz="4" w:space="0" w:color="00B050"/>
              <w:right w:val="nil"/>
            </w:tcBorders>
            <w:shd w:val="clear" w:color="auto" w:fill="auto"/>
            <w:hideMark/>
          </w:tcPr>
          <w:p w:rsidR="00030337" w:rsidRPr="001244BB" w:rsidRDefault="00B27E9D" w:rsidP="004A2F47">
            <w:pPr>
              <w:spacing w:after="0" w:line="240" w:lineRule="auto"/>
              <w:rPr>
                <w:rFonts w:eastAsia="Times New Roman" w:cstheme="minorHAnsi"/>
                <w:sz w:val="20"/>
                <w:szCs w:val="20"/>
                <w:lang w:eastAsia="en-NZ"/>
              </w:rPr>
            </w:pPr>
            <w:r>
              <w:rPr>
                <w:rFonts w:eastAsia="Times New Roman" w:cstheme="minorHAnsi"/>
                <w:sz w:val="20"/>
                <w:szCs w:val="20"/>
                <w:lang w:eastAsia="en-NZ"/>
              </w:rPr>
              <w:t>This is a new measure in the long-term plan however data from previously has been captured.</w:t>
            </w:r>
          </w:p>
        </w:tc>
      </w:tr>
      <w:tr w:rsidR="00030337" w:rsidRPr="001244BB" w:rsidTr="00030337">
        <w:trPr>
          <w:trHeight w:val="311"/>
        </w:trPr>
        <w:tc>
          <w:tcPr>
            <w:tcW w:w="3672" w:type="dxa"/>
            <w:tcBorders>
              <w:top w:val="single" w:sz="8" w:space="0" w:color="00B050"/>
              <w:left w:val="nil"/>
              <w:bottom w:val="single" w:sz="8" w:space="0" w:color="00B050"/>
              <w:right w:val="single" w:sz="4" w:space="0" w:color="00B050"/>
            </w:tcBorders>
            <w:shd w:val="clear" w:color="auto" w:fill="auto"/>
            <w:hideMark/>
          </w:tcPr>
          <w:p w:rsidR="00030337" w:rsidRPr="001244BB" w:rsidRDefault="00030337" w:rsidP="00030337">
            <w:pPr>
              <w:spacing w:after="0" w:line="240" w:lineRule="auto"/>
              <w:rPr>
                <w:rFonts w:eastAsia="Times New Roman" w:cstheme="minorHAnsi"/>
                <w:color w:val="000000"/>
                <w:sz w:val="20"/>
                <w:szCs w:val="20"/>
                <w:lang w:eastAsia="en-NZ"/>
              </w:rPr>
            </w:pPr>
            <w:r w:rsidRPr="001244BB">
              <w:rPr>
                <w:rFonts w:eastAsia="Times New Roman" w:cstheme="minorHAnsi"/>
                <w:color w:val="000000"/>
                <w:sz w:val="20"/>
                <w:szCs w:val="20"/>
                <w:lang w:eastAsia="en-NZ"/>
              </w:rPr>
              <w:t>Amount of energy used (kWh)</w:t>
            </w:r>
          </w:p>
        </w:tc>
        <w:tc>
          <w:tcPr>
            <w:tcW w:w="1140" w:type="dxa"/>
            <w:tcBorders>
              <w:top w:val="single" w:sz="8" w:space="0" w:color="00B050"/>
              <w:left w:val="single" w:sz="4" w:space="0" w:color="00B050"/>
              <w:bottom w:val="single" w:sz="8" w:space="0" w:color="00B050"/>
              <w:right w:val="single" w:sz="4" w:space="0" w:color="00B050"/>
            </w:tcBorders>
            <w:shd w:val="clear" w:color="auto" w:fill="auto"/>
            <w:noWrap/>
            <w:hideMark/>
          </w:tcPr>
          <w:p w:rsidR="00030337" w:rsidRPr="001244BB" w:rsidRDefault="00030337" w:rsidP="00030337">
            <w:pPr>
              <w:spacing w:after="0" w:line="240" w:lineRule="auto"/>
              <w:rPr>
                <w:rFonts w:eastAsia="Times New Roman" w:cstheme="minorHAnsi"/>
                <w:color w:val="000000"/>
                <w:sz w:val="20"/>
                <w:szCs w:val="20"/>
                <w:lang w:eastAsia="en-NZ"/>
              </w:rPr>
            </w:pPr>
            <w:r w:rsidRPr="001244BB">
              <w:rPr>
                <w:rFonts w:eastAsia="Times New Roman" w:cstheme="minorHAnsi"/>
                <w:color w:val="000000"/>
                <w:sz w:val="20"/>
                <w:szCs w:val="20"/>
                <w:lang w:eastAsia="en-NZ"/>
              </w:rPr>
              <w:t xml:space="preserve">58,510,612 </w:t>
            </w:r>
          </w:p>
        </w:tc>
        <w:tc>
          <w:tcPr>
            <w:tcW w:w="1142" w:type="dxa"/>
            <w:gridSpan w:val="2"/>
            <w:tcBorders>
              <w:top w:val="single" w:sz="8" w:space="0" w:color="00B050"/>
              <w:left w:val="single" w:sz="4" w:space="0" w:color="00B050"/>
              <w:bottom w:val="single" w:sz="8" w:space="0" w:color="00B050"/>
              <w:right w:val="single" w:sz="4" w:space="0" w:color="00B050"/>
            </w:tcBorders>
            <w:shd w:val="clear" w:color="auto" w:fill="auto"/>
            <w:noWrap/>
            <w:hideMark/>
          </w:tcPr>
          <w:p w:rsidR="00030337" w:rsidRPr="001244BB" w:rsidRDefault="00030337" w:rsidP="00030337">
            <w:pPr>
              <w:spacing w:after="0" w:line="240" w:lineRule="auto"/>
              <w:rPr>
                <w:rFonts w:eastAsia="Times New Roman" w:cstheme="minorHAnsi"/>
                <w:color w:val="000000"/>
                <w:sz w:val="20"/>
                <w:szCs w:val="20"/>
                <w:lang w:eastAsia="en-NZ"/>
              </w:rPr>
            </w:pPr>
            <w:r w:rsidRPr="001244BB">
              <w:rPr>
                <w:rFonts w:eastAsia="Times New Roman" w:cstheme="minorHAnsi"/>
                <w:color w:val="000000"/>
                <w:sz w:val="20"/>
                <w:szCs w:val="20"/>
                <w:lang w:eastAsia="en-NZ"/>
              </w:rPr>
              <w:t xml:space="preserve">54,455,452 </w:t>
            </w:r>
          </w:p>
        </w:tc>
        <w:tc>
          <w:tcPr>
            <w:tcW w:w="1276" w:type="dxa"/>
            <w:tcBorders>
              <w:top w:val="single" w:sz="8" w:space="0" w:color="00B050"/>
              <w:left w:val="single" w:sz="4" w:space="0" w:color="00B050"/>
              <w:bottom w:val="single" w:sz="8" w:space="0" w:color="00B050"/>
              <w:right w:val="single" w:sz="4" w:space="0" w:color="00B050"/>
            </w:tcBorders>
            <w:shd w:val="clear" w:color="auto" w:fill="auto"/>
            <w:noWrap/>
            <w:hideMark/>
          </w:tcPr>
          <w:p w:rsidR="00030337" w:rsidRPr="001244BB" w:rsidRDefault="00030337" w:rsidP="00030337">
            <w:pPr>
              <w:jc w:val="right"/>
              <w:rPr>
                <w:rFonts w:eastAsia="Times New Roman" w:cstheme="minorHAnsi"/>
                <w:color w:val="000000"/>
                <w:sz w:val="20"/>
                <w:szCs w:val="20"/>
                <w:lang w:eastAsia="en-NZ"/>
              </w:rPr>
            </w:pPr>
            <w:r w:rsidRPr="001244BB">
              <w:rPr>
                <w:rFonts w:cstheme="minorHAnsi"/>
                <w:color w:val="000000"/>
                <w:sz w:val="20"/>
                <w:szCs w:val="20"/>
              </w:rPr>
              <w:t>50,824,029</w:t>
            </w:r>
            <w:r w:rsidR="005F3580">
              <w:rPr>
                <w:rFonts w:cstheme="minorHAnsi"/>
                <w:color w:val="000000"/>
                <w:sz w:val="20"/>
                <w:szCs w:val="20"/>
              </w:rPr>
              <w:t xml:space="preserve"> kWh</w:t>
            </w:r>
          </w:p>
        </w:tc>
        <w:tc>
          <w:tcPr>
            <w:tcW w:w="1134" w:type="dxa"/>
            <w:tcBorders>
              <w:top w:val="single" w:sz="8" w:space="0" w:color="00B050"/>
              <w:left w:val="single" w:sz="4" w:space="0" w:color="00B050"/>
              <w:bottom w:val="single" w:sz="8" w:space="0" w:color="00B050"/>
              <w:right w:val="single" w:sz="4" w:space="0" w:color="00B050"/>
            </w:tcBorders>
            <w:shd w:val="clear" w:color="000000" w:fill="D9D9D9"/>
            <w:hideMark/>
          </w:tcPr>
          <w:p w:rsidR="00030337" w:rsidRPr="001244BB" w:rsidRDefault="00B27E9D" w:rsidP="00030337">
            <w:pPr>
              <w:spacing w:after="0" w:line="240" w:lineRule="auto"/>
              <w:jc w:val="right"/>
              <w:rPr>
                <w:rFonts w:eastAsia="Times New Roman" w:cstheme="minorHAnsi"/>
                <w:color w:val="000000"/>
                <w:sz w:val="20"/>
                <w:szCs w:val="20"/>
                <w:lang w:eastAsia="en-NZ"/>
              </w:rPr>
            </w:pPr>
            <w:r>
              <w:rPr>
                <w:rFonts w:eastAsia="Times New Roman" w:cstheme="minorHAnsi"/>
                <w:color w:val="000000"/>
                <w:sz w:val="20"/>
                <w:szCs w:val="20"/>
                <w:lang w:eastAsia="en-NZ"/>
              </w:rPr>
              <w:t>Decrease</w:t>
            </w:r>
          </w:p>
        </w:tc>
        <w:tc>
          <w:tcPr>
            <w:tcW w:w="851" w:type="dxa"/>
            <w:tcBorders>
              <w:top w:val="single" w:sz="8" w:space="0" w:color="00B050"/>
              <w:left w:val="single" w:sz="4" w:space="0" w:color="00B050"/>
              <w:bottom w:val="single" w:sz="8" w:space="0" w:color="00B050"/>
              <w:right w:val="single" w:sz="4" w:space="0" w:color="00B050"/>
            </w:tcBorders>
            <w:shd w:val="clear" w:color="auto" w:fill="auto"/>
          </w:tcPr>
          <w:p w:rsidR="00030337" w:rsidRPr="001244BB" w:rsidRDefault="00B27E9D" w:rsidP="00030337">
            <w:pPr>
              <w:spacing w:after="0" w:line="240" w:lineRule="auto"/>
              <w:jc w:val="right"/>
              <w:rPr>
                <w:rFonts w:eastAsia="Times New Roman" w:cstheme="minorHAnsi"/>
                <w:color w:val="000000"/>
                <w:sz w:val="20"/>
                <w:szCs w:val="20"/>
                <w:lang w:eastAsia="en-NZ"/>
              </w:rPr>
            </w:pPr>
            <w:r>
              <w:rPr>
                <w:rFonts w:eastAsia="Times New Roman" w:cstheme="minorHAnsi"/>
                <w:color w:val="000000"/>
                <w:sz w:val="20"/>
                <w:szCs w:val="20"/>
                <w:lang w:eastAsia="en-NZ"/>
              </w:rPr>
              <w:t>-</w:t>
            </w:r>
          </w:p>
        </w:tc>
        <w:tc>
          <w:tcPr>
            <w:tcW w:w="1134" w:type="dxa"/>
            <w:tcBorders>
              <w:top w:val="single" w:sz="8" w:space="0" w:color="00B050"/>
              <w:left w:val="single" w:sz="4" w:space="0" w:color="00B050"/>
              <w:bottom w:val="single" w:sz="8" w:space="0" w:color="00B050"/>
              <w:right w:val="single" w:sz="4" w:space="0" w:color="00B050"/>
            </w:tcBorders>
            <w:shd w:val="clear" w:color="auto" w:fill="auto"/>
          </w:tcPr>
          <w:p w:rsidR="00030337" w:rsidRPr="001244BB" w:rsidRDefault="004A2F47" w:rsidP="004A2F47">
            <w:pPr>
              <w:jc w:val="right"/>
              <w:rPr>
                <w:rFonts w:cstheme="minorHAnsi"/>
                <w:sz w:val="20"/>
                <w:szCs w:val="20"/>
              </w:rPr>
            </w:pPr>
            <w:r>
              <w:rPr>
                <w:rFonts w:eastAsia="Times New Roman" w:cstheme="minorHAnsi"/>
                <w:color w:val="000000"/>
                <w:sz w:val="20"/>
                <w:szCs w:val="20"/>
                <w:lang w:eastAsia="en-NZ"/>
              </w:rPr>
              <w:t>Within 10%</w:t>
            </w:r>
          </w:p>
        </w:tc>
        <w:tc>
          <w:tcPr>
            <w:tcW w:w="4635" w:type="dxa"/>
            <w:tcBorders>
              <w:top w:val="single" w:sz="4" w:space="0" w:color="00B050"/>
              <w:left w:val="single" w:sz="4" w:space="0" w:color="00B050"/>
              <w:bottom w:val="single" w:sz="4" w:space="0" w:color="00B050"/>
              <w:right w:val="nil"/>
            </w:tcBorders>
            <w:shd w:val="clear" w:color="auto" w:fill="auto"/>
          </w:tcPr>
          <w:p w:rsidR="00030337" w:rsidRPr="001244BB" w:rsidRDefault="00B27E9D" w:rsidP="00030337">
            <w:pPr>
              <w:spacing w:after="240" w:line="240" w:lineRule="auto"/>
              <w:rPr>
                <w:rFonts w:eastAsia="Times New Roman" w:cstheme="minorHAnsi"/>
                <w:color w:val="000000"/>
                <w:sz w:val="20"/>
                <w:szCs w:val="20"/>
                <w:lang w:eastAsia="en-NZ"/>
              </w:rPr>
            </w:pPr>
            <w:r w:rsidRPr="00B27E9D">
              <w:rPr>
                <w:rFonts w:eastAsia="Times New Roman" w:cstheme="minorHAnsi"/>
                <w:color w:val="000000"/>
                <w:sz w:val="20"/>
                <w:szCs w:val="20"/>
                <w:lang w:eastAsia="en-NZ"/>
              </w:rPr>
              <w:t>This is a new measure in the long-term plan however data from previously has been captured.</w:t>
            </w:r>
          </w:p>
        </w:tc>
      </w:tr>
      <w:tr w:rsidR="00030337" w:rsidRPr="001244BB" w:rsidTr="004A2F47">
        <w:trPr>
          <w:trHeight w:val="270"/>
        </w:trPr>
        <w:tc>
          <w:tcPr>
            <w:tcW w:w="3672" w:type="dxa"/>
            <w:tcBorders>
              <w:top w:val="single" w:sz="8" w:space="0" w:color="00B050"/>
              <w:left w:val="nil"/>
              <w:bottom w:val="single" w:sz="8" w:space="0" w:color="00B050"/>
              <w:right w:val="single" w:sz="4" w:space="0" w:color="00B050"/>
            </w:tcBorders>
            <w:shd w:val="clear" w:color="auto" w:fill="auto"/>
            <w:hideMark/>
          </w:tcPr>
          <w:p w:rsidR="00030337" w:rsidRPr="001244BB" w:rsidRDefault="00030337" w:rsidP="00030337">
            <w:pPr>
              <w:spacing w:after="0" w:line="240" w:lineRule="auto"/>
              <w:rPr>
                <w:rFonts w:eastAsia="Times New Roman" w:cstheme="minorHAnsi"/>
                <w:color w:val="000000"/>
                <w:sz w:val="20"/>
                <w:szCs w:val="20"/>
                <w:lang w:eastAsia="en-NZ"/>
              </w:rPr>
            </w:pPr>
            <w:r w:rsidRPr="001244BB">
              <w:rPr>
                <w:rFonts w:eastAsia="Times New Roman" w:cstheme="minorHAnsi"/>
                <w:color w:val="000000"/>
                <w:sz w:val="20"/>
                <w:szCs w:val="20"/>
                <w:lang w:eastAsia="en-NZ"/>
              </w:rPr>
              <w:t>Estimated energy savings (kWh)</w:t>
            </w:r>
          </w:p>
        </w:tc>
        <w:tc>
          <w:tcPr>
            <w:tcW w:w="1140" w:type="dxa"/>
            <w:tcBorders>
              <w:top w:val="single" w:sz="8" w:space="0" w:color="00B050"/>
              <w:left w:val="single" w:sz="4" w:space="0" w:color="00B050"/>
              <w:bottom w:val="single" w:sz="8" w:space="0" w:color="00B050"/>
              <w:right w:val="single" w:sz="4" w:space="0" w:color="00B050"/>
            </w:tcBorders>
            <w:shd w:val="clear" w:color="auto" w:fill="auto"/>
            <w:noWrap/>
            <w:hideMark/>
          </w:tcPr>
          <w:p w:rsidR="00030337" w:rsidRPr="001244BB" w:rsidRDefault="00030337" w:rsidP="00030337">
            <w:pPr>
              <w:spacing w:after="0" w:line="240" w:lineRule="auto"/>
              <w:jc w:val="right"/>
              <w:rPr>
                <w:rFonts w:eastAsia="Times New Roman" w:cstheme="minorHAnsi"/>
                <w:color w:val="000000"/>
                <w:sz w:val="20"/>
                <w:szCs w:val="20"/>
                <w:lang w:eastAsia="en-NZ"/>
              </w:rPr>
            </w:pPr>
          </w:p>
        </w:tc>
        <w:tc>
          <w:tcPr>
            <w:tcW w:w="1142" w:type="dxa"/>
            <w:gridSpan w:val="2"/>
            <w:tcBorders>
              <w:top w:val="single" w:sz="8" w:space="0" w:color="00B050"/>
              <w:left w:val="single" w:sz="4" w:space="0" w:color="00B050"/>
              <w:bottom w:val="single" w:sz="8" w:space="0" w:color="00B050"/>
              <w:right w:val="single" w:sz="4" w:space="0" w:color="00B050"/>
            </w:tcBorders>
            <w:shd w:val="clear" w:color="auto" w:fill="auto"/>
            <w:noWrap/>
            <w:hideMark/>
          </w:tcPr>
          <w:p w:rsidR="00030337" w:rsidRPr="001244BB" w:rsidRDefault="00030337" w:rsidP="00030337">
            <w:pPr>
              <w:spacing w:after="0" w:line="240" w:lineRule="auto"/>
              <w:jc w:val="right"/>
              <w:rPr>
                <w:rFonts w:eastAsia="Times New Roman" w:cstheme="minorHAnsi"/>
                <w:color w:val="000000"/>
                <w:sz w:val="20"/>
                <w:szCs w:val="20"/>
                <w:lang w:eastAsia="en-NZ"/>
              </w:rPr>
            </w:pPr>
            <w:r w:rsidRPr="001244BB">
              <w:rPr>
                <w:rFonts w:eastAsia="Times New Roman" w:cstheme="minorHAnsi"/>
                <w:color w:val="000000"/>
                <w:sz w:val="20"/>
                <w:szCs w:val="20"/>
                <w:lang w:eastAsia="en-NZ"/>
              </w:rPr>
              <w:t>new</w:t>
            </w:r>
          </w:p>
        </w:tc>
        <w:tc>
          <w:tcPr>
            <w:tcW w:w="1276" w:type="dxa"/>
            <w:tcBorders>
              <w:top w:val="single" w:sz="8" w:space="0" w:color="00B050"/>
              <w:left w:val="single" w:sz="4" w:space="0" w:color="00B050"/>
              <w:bottom w:val="single" w:sz="8" w:space="0" w:color="00B050"/>
              <w:right w:val="single" w:sz="4" w:space="0" w:color="00B050"/>
            </w:tcBorders>
            <w:shd w:val="clear" w:color="auto" w:fill="auto"/>
            <w:noWrap/>
            <w:hideMark/>
          </w:tcPr>
          <w:p w:rsidR="00030337" w:rsidRPr="001244BB" w:rsidRDefault="00030337" w:rsidP="00030337">
            <w:pPr>
              <w:spacing w:after="0" w:line="240" w:lineRule="auto"/>
              <w:jc w:val="right"/>
              <w:rPr>
                <w:rFonts w:eastAsia="Times New Roman" w:cstheme="minorHAnsi"/>
                <w:color w:val="000000"/>
                <w:sz w:val="20"/>
                <w:szCs w:val="20"/>
                <w:lang w:eastAsia="en-NZ"/>
              </w:rPr>
            </w:pPr>
            <w:r w:rsidRPr="001244BB">
              <w:rPr>
                <w:rFonts w:eastAsia="Times New Roman" w:cstheme="minorHAnsi"/>
                <w:color w:val="000000"/>
                <w:sz w:val="20"/>
                <w:szCs w:val="20"/>
                <w:lang w:eastAsia="en-NZ"/>
              </w:rPr>
              <w:t>3,890,568</w:t>
            </w:r>
          </w:p>
        </w:tc>
        <w:tc>
          <w:tcPr>
            <w:tcW w:w="1134" w:type="dxa"/>
            <w:tcBorders>
              <w:top w:val="single" w:sz="8" w:space="0" w:color="00B050"/>
              <w:left w:val="single" w:sz="4" w:space="0" w:color="00B050"/>
              <w:bottom w:val="single" w:sz="8" w:space="0" w:color="00B050"/>
              <w:right w:val="single" w:sz="4" w:space="0" w:color="00B050"/>
            </w:tcBorders>
            <w:shd w:val="clear" w:color="000000" w:fill="D9D9D9"/>
            <w:hideMark/>
          </w:tcPr>
          <w:p w:rsidR="00030337" w:rsidRPr="001244BB" w:rsidRDefault="00030337" w:rsidP="00030337">
            <w:pPr>
              <w:spacing w:after="0" w:line="240" w:lineRule="auto"/>
              <w:jc w:val="right"/>
              <w:rPr>
                <w:rFonts w:eastAsia="Times New Roman" w:cstheme="minorHAnsi"/>
                <w:color w:val="000000"/>
                <w:sz w:val="20"/>
                <w:szCs w:val="20"/>
                <w:lang w:eastAsia="en-NZ"/>
              </w:rPr>
            </w:pPr>
            <w:r w:rsidRPr="001244BB">
              <w:rPr>
                <w:rFonts w:eastAsia="Times New Roman" w:cstheme="minorHAnsi"/>
                <w:color w:val="000000"/>
                <w:sz w:val="20"/>
                <w:szCs w:val="20"/>
                <w:lang w:eastAsia="en-NZ"/>
              </w:rPr>
              <w:t>Baseline</w:t>
            </w:r>
          </w:p>
        </w:tc>
        <w:tc>
          <w:tcPr>
            <w:tcW w:w="851" w:type="dxa"/>
            <w:tcBorders>
              <w:top w:val="single" w:sz="8" w:space="0" w:color="00B050"/>
              <w:left w:val="single" w:sz="4" w:space="0" w:color="00B050"/>
              <w:bottom w:val="single" w:sz="8" w:space="0" w:color="00B050"/>
              <w:right w:val="single" w:sz="4" w:space="0" w:color="00B050"/>
            </w:tcBorders>
            <w:shd w:val="clear" w:color="auto" w:fill="auto"/>
          </w:tcPr>
          <w:p w:rsidR="00030337" w:rsidRPr="001244BB" w:rsidRDefault="00030337" w:rsidP="00030337">
            <w:pPr>
              <w:spacing w:after="0" w:line="240" w:lineRule="auto"/>
              <w:jc w:val="right"/>
              <w:rPr>
                <w:rFonts w:eastAsia="Times New Roman" w:cstheme="minorHAnsi"/>
                <w:color w:val="000000"/>
                <w:sz w:val="20"/>
                <w:szCs w:val="20"/>
                <w:lang w:eastAsia="en-NZ"/>
              </w:rPr>
            </w:pPr>
          </w:p>
        </w:tc>
        <w:tc>
          <w:tcPr>
            <w:tcW w:w="1134" w:type="dxa"/>
            <w:tcBorders>
              <w:top w:val="single" w:sz="8" w:space="0" w:color="00B050"/>
              <w:left w:val="single" w:sz="4" w:space="0" w:color="00B050"/>
              <w:bottom w:val="single" w:sz="8" w:space="0" w:color="00B050"/>
              <w:right w:val="single" w:sz="4" w:space="0" w:color="00B050"/>
            </w:tcBorders>
            <w:shd w:val="clear" w:color="auto" w:fill="auto"/>
          </w:tcPr>
          <w:p w:rsidR="00030337" w:rsidRPr="001244BB" w:rsidRDefault="00030337" w:rsidP="00030337">
            <w:pPr>
              <w:spacing w:after="0"/>
              <w:rPr>
                <w:rFonts w:cstheme="minorHAnsi"/>
                <w:sz w:val="20"/>
                <w:szCs w:val="20"/>
              </w:rPr>
            </w:pPr>
          </w:p>
        </w:tc>
        <w:tc>
          <w:tcPr>
            <w:tcW w:w="4635" w:type="dxa"/>
            <w:tcBorders>
              <w:top w:val="single" w:sz="4" w:space="0" w:color="00B050"/>
              <w:left w:val="single" w:sz="4" w:space="0" w:color="00B050"/>
              <w:bottom w:val="single" w:sz="4" w:space="0" w:color="00B050"/>
              <w:right w:val="nil"/>
            </w:tcBorders>
            <w:shd w:val="clear" w:color="auto" w:fill="auto"/>
            <w:hideMark/>
          </w:tcPr>
          <w:p w:rsidR="00030337" w:rsidRPr="001244BB" w:rsidRDefault="00030337" w:rsidP="00030337">
            <w:pPr>
              <w:spacing w:after="0" w:line="240" w:lineRule="auto"/>
              <w:jc w:val="right"/>
              <w:rPr>
                <w:rFonts w:eastAsia="Times New Roman" w:cstheme="minorHAnsi"/>
                <w:color w:val="000000"/>
                <w:sz w:val="20"/>
                <w:szCs w:val="20"/>
                <w:lang w:eastAsia="en-NZ"/>
              </w:rPr>
            </w:pPr>
          </w:p>
        </w:tc>
      </w:tr>
      <w:tr w:rsidR="00030337" w:rsidRPr="001244BB" w:rsidTr="00030337">
        <w:trPr>
          <w:trHeight w:val="2055"/>
        </w:trPr>
        <w:tc>
          <w:tcPr>
            <w:tcW w:w="3672" w:type="dxa"/>
            <w:tcBorders>
              <w:top w:val="nil"/>
              <w:left w:val="nil"/>
              <w:bottom w:val="single" w:sz="8" w:space="0" w:color="00B050"/>
              <w:right w:val="single" w:sz="4" w:space="0" w:color="00B050"/>
            </w:tcBorders>
            <w:shd w:val="clear" w:color="auto" w:fill="auto"/>
            <w:hideMark/>
          </w:tcPr>
          <w:p w:rsidR="00030337" w:rsidRPr="001244BB" w:rsidRDefault="00030337" w:rsidP="00030337">
            <w:pPr>
              <w:spacing w:after="0" w:line="240" w:lineRule="auto"/>
              <w:rPr>
                <w:rFonts w:eastAsia="Times New Roman" w:cstheme="minorHAnsi"/>
                <w:color w:val="000000"/>
                <w:sz w:val="20"/>
                <w:szCs w:val="20"/>
                <w:lang w:eastAsia="en-NZ"/>
              </w:rPr>
            </w:pPr>
            <w:r w:rsidRPr="001244BB">
              <w:rPr>
                <w:rFonts w:eastAsia="Times New Roman" w:cstheme="minorHAnsi"/>
                <w:color w:val="000000"/>
                <w:sz w:val="20"/>
                <w:szCs w:val="20"/>
                <w:lang w:eastAsia="en-NZ"/>
              </w:rPr>
              <w:t>WCC corporate greenhouse gas emissions</w:t>
            </w:r>
            <w:r w:rsidR="00867564">
              <w:rPr>
                <w:rFonts w:eastAsia="Times New Roman" w:cstheme="minorHAnsi"/>
                <w:color w:val="000000"/>
                <w:sz w:val="20"/>
                <w:szCs w:val="20"/>
                <w:lang w:eastAsia="en-NZ"/>
              </w:rPr>
              <w:t xml:space="preserve"> (tonnes)</w:t>
            </w:r>
          </w:p>
        </w:tc>
        <w:tc>
          <w:tcPr>
            <w:tcW w:w="1140" w:type="dxa"/>
            <w:tcBorders>
              <w:top w:val="single" w:sz="8" w:space="0" w:color="00B050"/>
              <w:left w:val="single" w:sz="4" w:space="0" w:color="00B050"/>
              <w:bottom w:val="nil"/>
              <w:right w:val="single" w:sz="4" w:space="0" w:color="00B050"/>
            </w:tcBorders>
            <w:shd w:val="clear" w:color="auto" w:fill="auto"/>
            <w:noWrap/>
            <w:hideMark/>
          </w:tcPr>
          <w:p w:rsidR="00030337" w:rsidRPr="001244BB" w:rsidRDefault="00030337" w:rsidP="00030337">
            <w:pPr>
              <w:spacing w:after="0" w:line="240" w:lineRule="auto"/>
              <w:jc w:val="right"/>
              <w:rPr>
                <w:rFonts w:eastAsia="Times New Roman" w:cstheme="minorHAnsi"/>
                <w:color w:val="000000"/>
                <w:sz w:val="20"/>
                <w:szCs w:val="20"/>
                <w:lang w:eastAsia="en-NZ"/>
              </w:rPr>
            </w:pPr>
            <w:r w:rsidRPr="001244BB">
              <w:rPr>
                <w:rFonts w:eastAsia="Times New Roman" w:cstheme="minorHAnsi"/>
                <w:color w:val="000000"/>
                <w:sz w:val="20"/>
                <w:szCs w:val="20"/>
                <w:lang w:eastAsia="en-NZ"/>
              </w:rPr>
              <w:t>92,681</w:t>
            </w:r>
            <w:r w:rsidR="00B27E9D">
              <w:rPr>
                <w:rFonts w:eastAsia="Times New Roman" w:cstheme="minorHAnsi"/>
                <w:color w:val="000000"/>
                <w:sz w:val="20"/>
                <w:szCs w:val="20"/>
                <w:lang w:eastAsia="en-NZ"/>
              </w:rPr>
              <w:t xml:space="preserve"> tonnes</w:t>
            </w:r>
            <w:r w:rsidR="00867564">
              <w:rPr>
                <w:rFonts w:eastAsia="Times New Roman" w:cstheme="minorHAnsi"/>
                <w:color w:val="000000"/>
                <w:sz w:val="20"/>
                <w:szCs w:val="20"/>
                <w:lang w:eastAsia="en-NZ"/>
              </w:rPr>
              <w:t xml:space="preserve"> </w:t>
            </w:r>
            <w:r w:rsidRPr="001244BB">
              <w:rPr>
                <w:rFonts w:eastAsia="Times New Roman" w:cstheme="minorHAnsi"/>
                <w:color w:val="000000"/>
                <w:sz w:val="20"/>
                <w:szCs w:val="20"/>
                <w:lang w:eastAsia="en-NZ"/>
              </w:rPr>
              <w:t xml:space="preserve"> </w:t>
            </w:r>
          </w:p>
        </w:tc>
        <w:tc>
          <w:tcPr>
            <w:tcW w:w="1142" w:type="dxa"/>
            <w:gridSpan w:val="2"/>
            <w:tcBorders>
              <w:top w:val="single" w:sz="8" w:space="0" w:color="00B050"/>
              <w:left w:val="single" w:sz="4" w:space="0" w:color="00B050"/>
              <w:bottom w:val="nil"/>
              <w:right w:val="single" w:sz="4" w:space="0" w:color="00B050"/>
            </w:tcBorders>
            <w:shd w:val="clear" w:color="auto" w:fill="auto"/>
            <w:noWrap/>
            <w:hideMark/>
          </w:tcPr>
          <w:p w:rsidR="00030337" w:rsidRPr="001244BB" w:rsidRDefault="00030337" w:rsidP="00030337">
            <w:pPr>
              <w:spacing w:after="0" w:line="240" w:lineRule="auto"/>
              <w:jc w:val="right"/>
              <w:rPr>
                <w:rFonts w:eastAsia="Times New Roman" w:cstheme="minorHAnsi"/>
                <w:color w:val="000000"/>
                <w:sz w:val="20"/>
                <w:szCs w:val="20"/>
                <w:lang w:eastAsia="en-NZ"/>
              </w:rPr>
            </w:pPr>
            <w:r w:rsidRPr="001244BB">
              <w:rPr>
                <w:rFonts w:eastAsia="Times New Roman" w:cstheme="minorHAnsi"/>
                <w:color w:val="000000"/>
                <w:sz w:val="20"/>
                <w:szCs w:val="20"/>
                <w:lang w:eastAsia="en-NZ"/>
              </w:rPr>
              <w:t>90,076</w:t>
            </w:r>
            <w:r w:rsidR="00B27E9D">
              <w:rPr>
                <w:rFonts w:eastAsia="Times New Roman" w:cstheme="minorHAnsi"/>
                <w:color w:val="000000"/>
                <w:sz w:val="20"/>
                <w:szCs w:val="20"/>
                <w:lang w:eastAsia="en-NZ"/>
              </w:rPr>
              <w:t xml:space="preserve"> tonnes</w:t>
            </w:r>
            <w:r w:rsidR="00867564">
              <w:rPr>
                <w:rFonts w:eastAsia="Times New Roman" w:cstheme="minorHAnsi"/>
                <w:color w:val="000000"/>
                <w:sz w:val="20"/>
                <w:szCs w:val="20"/>
                <w:lang w:eastAsia="en-NZ"/>
              </w:rPr>
              <w:t xml:space="preserve"> </w:t>
            </w:r>
            <w:r w:rsidRPr="001244BB">
              <w:rPr>
                <w:rFonts w:eastAsia="Times New Roman" w:cstheme="minorHAnsi"/>
                <w:color w:val="000000"/>
                <w:sz w:val="20"/>
                <w:szCs w:val="20"/>
                <w:lang w:eastAsia="en-NZ"/>
              </w:rPr>
              <w:t xml:space="preserve"> </w:t>
            </w:r>
          </w:p>
        </w:tc>
        <w:tc>
          <w:tcPr>
            <w:tcW w:w="1276" w:type="dxa"/>
            <w:tcBorders>
              <w:top w:val="single" w:sz="8" w:space="0" w:color="00B050"/>
              <w:left w:val="single" w:sz="4" w:space="0" w:color="00B050"/>
              <w:bottom w:val="nil"/>
              <w:right w:val="single" w:sz="4" w:space="0" w:color="00B050"/>
            </w:tcBorders>
            <w:shd w:val="clear" w:color="auto" w:fill="FFFFFF" w:themeFill="background1"/>
            <w:noWrap/>
            <w:hideMark/>
          </w:tcPr>
          <w:p w:rsidR="00030337" w:rsidRPr="001244BB" w:rsidRDefault="00030337" w:rsidP="005F3580">
            <w:pPr>
              <w:spacing w:after="0" w:line="240" w:lineRule="auto"/>
              <w:jc w:val="right"/>
              <w:rPr>
                <w:rFonts w:eastAsia="Times New Roman" w:cstheme="minorHAnsi"/>
                <w:color w:val="000000"/>
                <w:sz w:val="20"/>
                <w:szCs w:val="20"/>
                <w:lang w:eastAsia="en-NZ"/>
              </w:rPr>
            </w:pPr>
            <w:r>
              <w:rPr>
                <w:rFonts w:eastAsia="Times New Roman" w:cstheme="minorHAnsi"/>
                <w:color w:val="000000"/>
                <w:sz w:val="20"/>
                <w:szCs w:val="20"/>
                <w:lang w:eastAsia="en-NZ"/>
              </w:rPr>
              <w:t>104,564 tonnes</w:t>
            </w:r>
          </w:p>
        </w:tc>
        <w:tc>
          <w:tcPr>
            <w:tcW w:w="1134" w:type="dxa"/>
            <w:tcBorders>
              <w:top w:val="single" w:sz="8" w:space="0" w:color="00B050"/>
              <w:left w:val="single" w:sz="4" w:space="0" w:color="00B050"/>
              <w:bottom w:val="single" w:sz="8" w:space="0" w:color="00B050"/>
              <w:right w:val="single" w:sz="4" w:space="0" w:color="00B050"/>
            </w:tcBorders>
            <w:shd w:val="clear" w:color="000000" w:fill="D9D9D9"/>
            <w:hideMark/>
          </w:tcPr>
          <w:p w:rsidR="00030337" w:rsidRPr="001244BB" w:rsidRDefault="00030337" w:rsidP="00030337">
            <w:pPr>
              <w:spacing w:after="0" w:line="240" w:lineRule="auto"/>
              <w:jc w:val="right"/>
              <w:rPr>
                <w:rFonts w:eastAsia="Times New Roman" w:cstheme="minorHAnsi"/>
                <w:color w:val="000000"/>
                <w:sz w:val="20"/>
                <w:szCs w:val="20"/>
                <w:lang w:eastAsia="en-NZ"/>
              </w:rPr>
            </w:pPr>
            <w:r w:rsidRPr="001244BB">
              <w:rPr>
                <w:rFonts w:eastAsia="Times New Roman" w:cstheme="minorHAnsi"/>
                <w:color w:val="000000"/>
                <w:sz w:val="20"/>
                <w:szCs w:val="20"/>
                <w:lang w:eastAsia="en-NZ"/>
              </w:rPr>
              <w:t>Achieve 2050 target</w:t>
            </w:r>
            <w:r w:rsidRPr="001244BB">
              <w:rPr>
                <w:rFonts w:eastAsia="Times New Roman" w:cstheme="minorHAnsi"/>
                <w:color w:val="000000"/>
                <w:sz w:val="20"/>
                <w:szCs w:val="20"/>
                <w:lang w:eastAsia="en-NZ"/>
              </w:rPr>
              <w:br/>
              <w:t>2018/19 total 86</w:t>
            </w:r>
            <w:r w:rsidR="005F3580">
              <w:rPr>
                <w:rFonts w:eastAsia="Times New Roman" w:cstheme="minorHAnsi"/>
                <w:color w:val="000000"/>
                <w:sz w:val="20"/>
                <w:szCs w:val="20"/>
                <w:lang w:eastAsia="en-NZ"/>
              </w:rPr>
              <w:t>,</w:t>
            </w:r>
            <w:r w:rsidRPr="001244BB">
              <w:rPr>
                <w:rFonts w:eastAsia="Times New Roman" w:cstheme="minorHAnsi"/>
                <w:color w:val="000000"/>
                <w:sz w:val="20"/>
                <w:szCs w:val="20"/>
                <w:lang w:eastAsia="en-NZ"/>
              </w:rPr>
              <w:t>277</w:t>
            </w:r>
            <w:r w:rsidR="005F3580">
              <w:rPr>
                <w:rFonts w:eastAsia="Times New Roman" w:cstheme="minorHAnsi"/>
                <w:color w:val="000000"/>
                <w:sz w:val="20"/>
                <w:szCs w:val="20"/>
                <w:lang w:eastAsia="en-NZ"/>
              </w:rPr>
              <w:t xml:space="preserve"> tonnes</w:t>
            </w:r>
            <w:r w:rsidRPr="001244BB">
              <w:rPr>
                <w:rFonts w:eastAsia="Times New Roman" w:cstheme="minorHAnsi"/>
                <w:color w:val="000000"/>
                <w:sz w:val="20"/>
                <w:szCs w:val="20"/>
                <w:lang w:eastAsia="en-NZ"/>
              </w:rPr>
              <w:t xml:space="preserve"> reduced by 3800</w:t>
            </w:r>
          </w:p>
        </w:tc>
        <w:tc>
          <w:tcPr>
            <w:tcW w:w="851" w:type="dxa"/>
            <w:tcBorders>
              <w:top w:val="single" w:sz="8" w:space="0" w:color="00B050"/>
              <w:left w:val="single" w:sz="4" w:space="0" w:color="00B050"/>
              <w:bottom w:val="nil"/>
              <w:right w:val="single" w:sz="4" w:space="0" w:color="00B050"/>
            </w:tcBorders>
            <w:shd w:val="clear" w:color="auto" w:fill="auto"/>
            <w:hideMark/>
          </w:tcPr>
          <w:p w:rsidR="00030337" w:rsidRPr="001244BB" w:rsidRDefault="00030337" w:rsidP="00030337">
            <w:pPr>
              <w:spacing w:after="0" w:line="240" w:lineRule="auto"/>
              <w:jc w:val="right"/>
              <w:rPr>
                <w:rFonts w:eastAsia="Times New Roman" w:cstheme="minorHAnsi"/>
                <w:color w:val="000000"/>
                <w:sz w:val="20"/>
                <w:szCs w:val="20"/>
                <w:lang w:eastAsia="en-NZ"/>
              </w:rPr>
            </w:pPr>
            <w:r>
              <w:rPr>
                <w:rFonts w:eastAsia="Times New Roman" w:cstheme="minorHAnsi"/>
                <w:color w:val="000000"/>
                <w:sz w:val="20"/>
                <w:szCs w:val="20"/>
                <w:lang w:eastAsia="en-NZ"/>
              </w:rPr>
              <w:t>-21%</w:t>
            </w:r>
          </w:p>
        </w:tc>
        <w:tc>
          <w:tcPr>
            <w:tcW w:w="1134" w:type="dxa"/>
            <w:tcBorders>
              <w:top w:val="single" w:sz="8" w:space="0" w:color="00B050"/>
              <w:left w:val="single" w:sz="4" w:space="0" w:color="00B050"/>
              <w:bottom w:val="nil"/>
              <w:right w:val="single" w:sz="4" w:space="0" w:color="00B050"/>
            </w:tcBorders>
            <w:shd w:val="clear" w:color="auto" w:fill="auto"/>
            <w:hideMark/>
          </w:tcPr>
          <w:p w:rsidR="00030337" w:rsidRPr="001244BB" w:rsidRDefault="00030337" w:rsidP="00030337">
            <w:pPr>
              <w:spacing w:after="0" w:line="240" w:lineRule="auto"/>
              <w:jc w:val="right"/>
              <w:rPr>
                <w:rFonts w:eastAsia="Times New Roman" w:cstheme="minorHAnsi"/>
                <w:color w:val="000000"/>
                <w:sz w:val="20"/>
                <w:szCs w:val="20"/>
                <w:lang w:eastAsia="en-NZ"/>
              </w:rPr>
            </w:pPr>
            <w:r>
              <w:rPr>
                <w:rFonts w:eastAsia="Times New Roman" w:cstheme="minorHAnsi"/>
                <w:color w:val="000000"/>
                <w:sz w:val="20"/>
                <w:szCs w:val="20"/>
                <w:lang w:eastAsia="en-NZ"/>
              </w:rPr>
              <w:t>Not met</w:t>
            </w:r>
          </w:p>
        </w:tc>
        <w:tc>
          <w:tcPr>
            <w:tcW w:w="4635" w:type="dxa"/>
            <w:tcBorders>
              <w:top w:val="single" w:sz="4" w:space="0" w:color="00B050"/>
              <w:left w:val="single" w:sz="4" w:space="0" w:color="00B050"/>
              <w:bottom w:val="single" w:sz="4" w:space="0" w:color="FFFFFF" w:themeColor="background1"/>
              <w:right w:val="nil"/>
            </w:tcBorders>
            <w:shd w:val="clear" w:color="auto" w:fill="FFFFFF" w:themeFill="background1"/>
            <w:hideMark/>
          </w:tcPr>
          <w:p w:rsidR="00030337" w:rsidRPr="001244BB" w:rsidRDefault="00030337" w:rsidP="00030337">
            <w:pPr>
              <w:spacing w:after="0" w:line="240" w:lineRule="auto"/>
              <w:rPr>
                <w:rFonts w:eastAsia="Times New Roman" w:cstheme="minorHAnsi"/>
                <w:color w:val="000000"/>
                <w:sz w:val="20"/>
                <w:szCs w:val="20"/>
                <w:lang w:eastAsia="en-NZ"/>
              </w:rPr>
            </w:pPr>
            <w:r w:rsidRPr="00A33EA6">
              <w:rPr>
                <w:rFonts w:eastAsia="Times New Roman" w:cstheme="minorHAnsi"/>
                <w:color w:val="000000" w:themeColor="text1"/>
                <w:sz w:val="20"/>
                <w:szCs w:val="20"/>
                <w:lang w:eastAsia="en-NZ"/>
              </w:rPr>
              <w:t xml:space="preserve">The significant increase in carbon emissions is due to the generator at the Southern Landfill being repaired for two months during 2017/18. </w:t>
            </w:r>
          </w:p>
        </w:tc>
      </w:tr>
      <w:tr w:rsidR="00030337" w:rsidRPr="001244BB" w:rsidTr="00030337">
        <w:trPr>
          <w:trHeight w:val="255"/>
        </w:trPr>
        <w:tc>
          <w:tcPr>
            <w:tcW w:w="5954" w:type="dxa"/>
            <w:gridSpan w:val="4"/>
            <w:tcBorders>
              <w:top w:val="nil"/>
              <w:left w:val="nil"/>
              <w:right w:val="single" w:sz="4" w:space="0" w:color="00B050"/>
            </w:tcBorders>
            <w:shd w:val="clear" w:color="000000" w:fill="00B050"/>
            <w:noWrap/>
            <w:hideMark/>
          </w:tcPr>
          <w:p w:rsidR="00030337" w:rsidRPr="001244BB" w:rsidRDefault="00030337" w:rsidP="00030337">
            <w:pPr>
              <w:spacing w:after="0" w:line="240" w:lineRule="auto"/>
              <w:rPr>
                <w:rFonts w:eastAsia="Times New Roman" w:cstheme="minorHAnsi"/>
                <w:color w:val="000000"/>
                <w:sz w:val="24"/>
                <w:szCs w:val="20"/>
                <w:lang w:eastAsia="en-NZ"/>
              </w:rPr>
            </w:pPr>
            <w:r w:rsidRPr="001244BB">
              <w:rPr>
                <w:rFonts w:eastAsia="Times New Roman" w:cstheme="minorHAnsi"/>
                <w:b/>
                <w:bCs/>
                <w:color w:val="FFFFFF"/>
                <w:sz w:val="24"/>
                <w:szCs w:val="20"/>
                <w:lang w:eastAsia="en-NZ"/>
              </w:rPr>
              <w:t xml:space="preserve">2.3 Waimāori | Water supply </w:t>
            </w:r>
          </w:p>
        </w:tc>
        <w:tc>
          <w:tcPr>
            <w:tcW w:w="1276" w:type="dxa"/>
            <w:tcBorders>
              <w:top w:val="nil"/>
              <w:left w:val="single" w:sz="4" w:space="0" w:color="00B050"/>
              <w:right w:val="single" w:sz="4" w:space="0" w:color="00B050"/>
            </w:tcBorders>
            <w:shd w:val="clear" w:color="auto" w:fill="00B050"/>
            <w:noWrap/>
            <w:hideMark/>
          </w:tcPr>
          <w:p w:rsidR="00030337" w:rsidRPr="001244BB" w:rsidRDefault="00030337" w:rsidP="00030337">
            <w:pPr>
              <w:spacing w:after="0" w:line="240" w:lineRule="auto"/>
              <w:jc w:val="right"/>
              <w:rPr>
                <w:rFonts w:eastAsia="Times New Roman" w:cstheme="minorHAnsi"/>
                <w:color w:val="000000"/>
                <w:sz w:val="24"/>
                <w:szCs w:val="20"/>
                <w:lang w:eastAsia="en-NZ"/>
              </w:rPr>
            </w:pPr>
          </w:p>
        </w:tc>
        <w:tc>
          <w:tcPr>
            <w:tcW w:w="1134" w:type="dxa"/>
            <w:tcBorders>
              <w:top w:val="nil"/>
              <w:left w:val="single" w:sz="4" w:space="0" w:color="00B050"/>
              <w:right w:val="single" w:sz="4" w:space="0" w:color="00B050"/>
            </w:tcBorders>
            <w:shd w:val="clear" w:color="auto" w:fill="00B050"/>
            <w:noWrap/>
            <w:hideMark/>
          </w:tcPr>
          <w:p w:rsidR="00030337" w:rsidRPr="001244BB" w:rsidRDefault="00030337" w:rsidP="00030337">
            <w:pPr>
              <w:spacing w:after="0" w:line="240" w:lineRule="auto"/>
              <w:jc w:val="right"/>
              <w:rPr>
                <w:rFonts w:eastAsia="Times New Roman" w:cstheme="minorHAnsi"/>
                <w:color w:val="000000"/>
                <w:sz w:val="24"/>
                <w:szCs w:val="20"/>
                <w:lang w:eastAsia="en-NZ"/>
              </w:rPr>
            </w:pPr>
          </w:p>
        </w:tc>
        <w:tc>
          <w:tcPr>
            <w:tcW w:w="851" w:type="dxa"/>
            <w:tcBorders>
              <w:top w:val="nil"/>
              <w:left w:val="single" w:sz="4" w:space="0" w:color="00B050"/>
              <w:right w:val="single" w:sz="4" w:space="0" w:color="00B050"/>
            </w:tcBorders>
            <w:shd w:val="clear" w:color="auto" w:fill="00B050"/>
            <w:noWrap/>
            <w:hideMark/>
          </w:tcPr>
          <w:p w:rsidR="00030337" w:rsidRPr="001244BB" w:rsidRDefault="00030337" w:rsidP="00030337">
            <w:pPr>
              <w:spacing w:after="0" w:line="240" w:lineRule="auto"/>
              <w:rPr>
                <w:rFonts w:eastAsia="Times New Roman" w:cstheme="minorHAnsi"/>
                <w:b/>
                <w:bCs/>
                <w:color w:val="FFFFFF"/>
                <w:sz w:val="24"/>
                <w:szCs w:val="20"/>
                <w:lang w:eastAsia="en-NZ"/>
              </w:rPr>
            </w:pPr>
            <w:r w:rsidRPr="001244BB">
              <w:rPr>
                <w:rFonts w:eastAsia="Times New Roman" w:cstheme="minorHAnsi"/>
                <w:b/>
                <w:bCs/>
                <w:color w:val="FFFFFF"/>
                <w:sz w:val="24"/>
                <w:szCs w:val="20"/>
                <w:lang w:eastAsia="en-NZ"/>
              </w:rPr>
              <w:t> </w:t>
            </w:r>
          </w:p>
        </w:tc>
        <w:tc>
          <w:tcPr>
            <w:tcW w:w="1134" w:type="dxa"/>
            <w:tcBorders>
              <w:top w:val="nil"/>
              <w:left w:val="single" w:sz="4" w:space="0" w:color="00B050"/>
              <w:right w:val="single" w:sz="4" w:space="0" w:color="00B050"/>
            </w:tcBorders>
            <w:shd w:val="clear" w:color="auto" w:fill="00B050"/>
            <w:noWrap/>
            <w:hideMark/>
          </w:tcPr>
          <w:p w:rsidR="00030337" w:rsidRPr="001244BB" w:rsidRDefault="00030337" w:rsidP="00030337">
            <w:pPr>
              <w:spacing w:after="0" w:line="240" w:lineRule="auto"/>
              <w:rPr>
                <w:rFonts w:eastAsia="Times New Roman" w:cstheme="minorHAnsi"/>
                <w:b/>
                <w:bCs/>
                <w:color w:val="FFFFFF"/>
                <w:sz w:val="24"/>
                <w:szCs w:val="20"/>
                <w:lang w:eastAsia="en-NZ"/>
              </w:rPr>
            </w:pPr>
            <w:r w:rsidRPr="001244BB">
              <w:rPr>
                <w:rFonts w:eastAsia="Times New Roman" w:cstheme="minorHAnsi"/>
                <w:b/>
                <w:bCs/>
                <w:color w:val="FFFFFF"/>
                <w:sz w:val="24"/>
                <w:szCs w:val="20"/>
                <w:lang w:eastAsia="en-NZ"/>
              </w:rPr>
              <w:t> </w:t>
            </w:r>
          </w:p>
        </w:tc>
        <w:tc>
          <w:tcPr>
            <w:tcW w:w="4635" w:type="dxa"/>
            <w:tcBorders>
              <w:top w:val="nil"/>
              <w:left w:val="single" w:sz="4" w:space="0" w:color="00B050"/>
              <w:right w:val="nil"/>
            </w:tcBorders>
            <w:shd w:val="clear" w:color="auto" w:fill="00B050"/>
            <w:noWrap/>
            <w:hideMark/>
          </w:tcPr>
          <w:p w:rsidR="00030337" w:rsidRPr="001244BB" w:rsidRDefault="00030337" w:rsidP="00030337">
            <w:pPr>
              <w:spacing w:after="0" w:line="240" w:lineRule="auto"/>
              <w:rPr>
                <w:rFonts w:eastAsia="Times New Roman" w:cstheme="minorHAnsi"/>
                <w:color w:val="000000"/>
                <w:sz w:val="24"/>
                <w:szCs w:val="20"/>
                <w:lang w:eastAsia="en-NZ"/>
              </w:rPr>
            </w:pPr>
            <w:r w:rsidRPr="001244BB">
              <w:rPr>
                <w:rFonts w:eastAsia="Times New Roman" w:cstheme="minorHAnsi"/>
                <w:b/>
                <w:bCs/>
                <w:color w:val="FFFFFF"/>
                <w:sz w:val="24"/>
                <w:szCs w:val="20"/>
                <w:lang w:eastAsia="en-NZ"/>
              </w:rPr>
              <w:t> </w:t>
            </w:r>
          </w:p>
        </w:tc>
      </w:tr>
      <w:tr w:rsidR="00030337" w:rsidRPr="001244BB" w:rsidTr="00030337">
        <w:trPr>
          <w:trHeight w:val="315"/>
        </w:trPr>
        <w:tc>
          <w:tcPr>
            <w:tcW w:w="14984" w:type="dxa"/>
            <w:gridSpan w:val="9"/>
            <w:tcBorders>
              <w:top w:val="nil"/>
              <w:left w:val="nil"/>
            </w:tcBorders>
            <w:shd w:val="clear" w:color="auto" w:fill="EAF1DD" w:themeFill="accent3" w:themeFillTint="33"/>
            <w:hideMark/>
          </w:tcPr>
          <w:p w:rsidR="00030337" w:rsidRPr="00721AC1" w:rsidRDefault="00030337" w:rsidP="00030337">
            <w:pPr>
              <w:spacing w:after="0" w:line="240" w:lineRule="auto"/>
              <w:rPr>
                <w:rFonts w:eastAsia="Times New Roman" w:cstheme="minorHAnsi"/>
                <w:b/>
                <w:sz w:val="20"/>
                <w:szCs w:val="20"/>
                <w:lang w:eastAsia="en-NZ"/>
              </w:rPr>
            </w:pPr>
            <w:r w:rsidRPr="001244BB">
              <w:rPr>
                <w:rFonts w:eastAsia="Times New Roman" w:cstheme="minorHAnsi"/>
                <w:b/>
                <w:sz w:val="20"/>
                <w:szCs w:val="20"/>
                <w:lang w:eastAsia="en-NZ"/>
              </w:rPr>
              <w:t>Clean and safe</w:t>
            </w:r>
          </w:p>
        </w:tc>
      </w:tr>
      <w:tr w:rsidR="00030337" w:rsidRPr="001244BB" w:rsidTr="00030337">
        <w:trPr>
          <w:trHeight w:val="525"/>
        </w:trPr>
        <w:tc>
          <w:tcPr>
            <w:tcW w:w="3672" w:type="dxa"/>
            <w:tcBorders>
              <w:left w:val="nil"/>
              <w:bottom w:val="single" w:sz="8" w:space="0" w:color="00B050"/>
              <w:right w:val="single" w:sz="4" w:space="0" w:color="00B050"/>
            </w:tcBorders>
            <w:shd w:val="clear" w:color="auto" w:fill="auto"/>
            <w:hideMark/>
          </w:tcPr>
          <w:p w:rsidR="00030337" w:rsidRPr="001244BB" w:rsidRDefault="00030337" w:rsidP="00030337">
            <w:pPr>
              <w:spacing w:after="0" w:line="240" w:lineRule="auto"/>
              <w:rPr>
                <w:rFonts w:eastAsia="Times New Roman" w:cstheme="minorHAnsi"/>
                <w:color w:val="000000"/>
                <w:sz w:val="20"/>
                <w:szCs w:val="20"/>
                <w:lang w:eastAsia="en-NZ"/>
              </w:rPr>
            </w:pPr>
            <w:r w:rsidRPr="001244BB">
              <w:rPr>
                <w:rFonts w:eastAsia="Times New Roman" w:cstheme="minorHAnsi"/>
                <w:color w:val="000000"/>
                <w:sz w:val="20"/>
                <w:szCs w:val="20"/>
                <w:lang w:eastAsia="en-NZ"/>
              </w:rPr>
              <w:lastRenderedPageBreak/>
              <w:t>Compliance with Drinking Water Standards for NZ 2005 (revised 2008) (Part 4 bacterial compliance criteria)*</w:t>
            </w:r>
          </w:p>
        </w:tc>
        <w:tc>
          <w:tcPr>
            <w:tcW w:w="1140" w:type="dxa"/>
            <w:tcBorders>
              <w:left w:val="single" w:sz="4" w:space="0" w:color="00B050"/>
              <w:bottom w:val="single" w:sz="8" w:space="0" w:color="00B050"/>
              <w:right w:val="single" w:sz="4" w:space="0" w:color="00B050"/>
            </w:tcBorders>
            <w:shd w:val="clear" w:color="auto" w:fill="auto"/>
            <w:noWrap/>
            <w:hideMark/>
          </w:tcPr>
          <w:p w:rsidR="00030337" w:rsidRPr="001244BB" w:rsidRDefault="00030337" w:rsidP="00030337">
            <w:pPr>
              <w:spacing w:after="0" w:line="240" w:lineRule="auto"/>
              <w:jc w:val="right"/>
              <w:rPr>
                <w:rFonts w:eastAsia="Times New Roman" w:cstheme="minorHAnsi"/>
                <w:color w:val="000000"/>
                <w:sz w:val="20"/>
                <w:szCs w:val="20"/>
                <w:lang w:eastAsia="en-NZ"/>
              </w:rPr>
            </w:pPr>
            <w:r w:rsidRPr="001244BB">
              <w:rPr>
                <w:rFonts w:eastAsia="Times New Roman" w:cstheme="minorHAnsi"/>
                <w:color w:val="000000"/>
                <w:sz w:val="20"/>
                <w:szCs w:val="20"/>
                <w:lang w:eastAsia="en-NZ"/>
              </w:rPr>
              <w:t>Compliant</w:t>
            </w:r>
          </w:p>
        </w:tc>
        <w:tc>
          <w:tcPr>
            <w:tcW w:w="1142" w:type="dxa"/>
            <w:gridSpan w:val="2"/>
            <w:tcBorders>
              <w:left w:val="single" w:sz="4" w:space="0" w:color="00B050"/>
              <w:bottom w:val="single" w:sz="8" w:space="0" w:color="00B050"/>
              <w:right w:val="single" w:sz="4" w:space="0" w:color="00B050"/>
            </w:tcBorders>
            <w:shd w:val="clear" w:color="auto" w:fill="auto"/>
            <w:noWrap/>
            <w:hideMark/>
          </w:tcPr>
          <w:p w:rsidR="00030337" w:rsidRPr="001244BB" w:rsidRDefault="00030337" w:rsidP="00030337">
            <w:pPr>
              <w:spacing w:after="0" w:line="240" w:lineRule="auto"/>
              <w:jc w:val="right"/>
              <w:rPr>
                <w:rFonts w:eastAsia="Times New Roman" w:cstheme="minorHAnsi"/>
                <w:color w:val="000000"/>
                <w:sz w:val="20"/>
                <w:szCs w:val="20"/>
                <w:lang w:eastAsia="en-NZ"/>
              </w:rPr>
            </w:pPr>
            <w:r w:rsidRPr="001244BB">
              <w:rPr>
                <w:rFonts w:eastAsia="Times New Roman" w:cstheme="minorHAnsi"/>
                <w:color w:val="000000"/>
                <w:sz w:val="20"/>
                <w:szCs w:val="20"/>
                <w:lang w:eastAsia="en-NZ"/>
              </w:rPr>
              <w:t>Compliant</w:t>
            </w:r>
          </w:p>
        </w:tc>
        <w:tc>
          <w:tcPr>
            <w:tcW w:w="1276" w:type="dxa"/>
            <w:tcBorders>
              <w:left w:val="single" w:sz="4" w:space="0" w:color="00B050"/>
              <w:bottom w:val="single" w:sz="8" w:space="0" w:color="00B050"/>
              <w:right w:val="single" w:sz="4" w:space="0" w:color="00B050"/>
            </w:tcBorders>
            <w:shd w:val="clear" w:color="auto" w:fill="auto"/>
            <w:noWrap/>
            <w:hideMark/>
          </w:tcPr>
          <w:p w:rsidR="00030337" w:rsidRPr="001244BB" w:rsidRDefault="00030337" w:rsidP="00030337">
            <w:pPr>
              <w:spacing w:after="0" w:line="240" w:lineRule="auto"/>
              <w:jc w:val="right"/>
              <w:rPr>
                <w:rFonts w:eastAsia="Times New Roman" w:cstheme="minorHAnsi"/>
                <w:color w:val="000000"/>
                <w:sz w:val="20"/>
                <w:szCs w:val="20"/>
                <w:lang w:eastAsia="en-NZ"/>
              </w:rPr>
            </w:pPr>
            <w:r w:rsidRPr="001244BB">
              <w:rPr>
                <w:rFonts w:eastAsia="Times New Roman" w:cstheme="minorHAnsi"/>
                <w:color w:val="000000"/>
                <w:sz w:val="20"/>
                <w:szCs w:val="20"/>
                <w:lang w:eastAsia="en-NZ"/>
              </w:rPr>
              <w:t>Compliant</w:t>
            </w:r>
          </w:p>
        </w:tc>
        <w:tc>
          <w:tcPr>
            <w:tcW w:w="1134" w:type="dxa"/>
            <w:tcBorders>
              <w:left w:val="single" w:sz="4" w:space="0" w:color="00B050"/>
              <w:bottom w:val="single" w:sz="8" w:space="0" w:color="00B050"/>
              <w:right w:val="single" w:sz="4" w:space="0" w:color="00B050"/>
            </w:tcBorders>
            <w:shd w:val="clear" w:color="000000" w:fill="D9D9D9"/>
            <w:hideMark/>
          </w:tcPr>
          <w:p w:rsidR="00030337" w:rsidRPr="001244BB" w:rsidRDefault="00030337" w:rsidP="00030337">
            <w:pPr>
              <w:spacing w:after="0" w:line="240" w:lineRule="auto"/>
              <w:jc w:val="right"/>
              <w:rPr>
                <w:rFonts w:eastAsia="Times New Roman" w:cstheme="minorHAnsi"/>
                <w:color w:val="000000"/>
                <w:sz w:val="20"/>
                <w:szCs w:val="20"/>
                <w:lang w:eastAsia="en-NZ"/>
              </w:rPr>
            </w:pPr>
            <w:r w:rsidRPr="001244BB">
              <w:rPr>
                <w:rFonts w:eastAsia="Times New Roman" w:cstheme="minorHAnsi"/>
                <w:color w:val="000000"/>
                <w:sz w:val="20"/>
                <w:szCs w:val="20"/>
                <w:lang w:eastAsia="en-NZ"/>
              </w:rPr>
              <w:t>Compliant</w:t>
            </w:r>
          </w:p>
        </w:tc>
        <w:tc>
          <w:tcPr>
            <w:tcW w:w="851" w:type="dxa"/>
            <w:tcBorders>
              <w:left w:val="single" w:sz="4" w:space="0" w:color="00B050"/>
              <w:bottom w:val="single" w:sz="8" w:space="0" w:color="00B050"/>
              <w:right w:val="single" w:sz="4" w:space="0" w:color="00B050"/>
            </w:tcBorders>
            <w:shd w:val="clear" w:color="auto" w:fill="auto"/>
            <w:hideMark/>
          </w:tcPr>
          <w:p w:rsidR="00030337" w:rsidRPr="001244BB" w:rsidRDefault="00030337" w:rsidP="00030337">
            <w:pPr>
              <w:spacing w:after="0" w:line="240" w:lineRule="auto"/>
              <w:jc w:val="right"/>
              <w:rPr>
                <w:rFonts w:eastAsia="Times New Roman" w:cstheme="minorHAnsi"/>
                <w:color w:val="000000"/>
                <w:sz w:val="20"/>
                <w:szCs w:val="20"/>
                <w:lang w:eastAsia="en-NZ"/>
              </w:rPr>
            </w:pPr>
            <w:r w:rsidRPr="001244BB">
              <w:rPr>
                <w:rFonts w:eastAsia="Times New Roman" w:cstheme="minorHAnsi"/>
                <w:color w:val="000000"/>
                <w:sz w:val="20"/>
                <w:szCs w:val="20"/>
                <w:lang w:eastAsia="en-NZ"/>
              </w:rPr>
              <w:t>0%</w:t>
            </w:r>
          </w:p>
        </w:tc>
        <w:tc>
          <w:tcPr>
            <w:tcW w:w="1134" w:type="dxa"/>
            <w:tcBorders>
              <w:left w:val="single" w:sz="4" w:space="0" w:color="00B050"/>
              <w:bottom w:val="single" w:sz="8" w:space="0" w:color="00B050"/>
              <w:right w:val="single" w:sz="4" w:space="0" w:color="00B050"/>
            </w:tcBorders>
            <w:shd w:val="clear" w:color="auto" w:fill="auto"/>
            <w:hideMark/>
          </w:tcPr>
          <w:p w:rsidR="00030337" w:rsidRPr="001244BB" w:rsidRDefault="004A2F47" w:rsidP="00030337">
            <w:pPr>
              <w:rPr>
                <w:rFonts w:cstheme="minorHAnsi"/>
                <w:sz w:val="20"/>
                <w:szCs w:val="20"/>
              </w:rPr>
            </w:pPr>
            <w:r>
              <w:rPr>
                <w:rFonts w:eastAsia="Times New Roman" w:cstheme="minorHAnsi"/>
                <w:color w:val="000000"/>
                <w:sz w:val="20"/>
                <w:szCs w:val="20"/>
                <w:lang w:eastAsia="en-NZ"/>
              </w:rPr>
              <w:t>Within 10%</w:t>
            </w:r>
          </w:p>
        </w:tc>
        <w:tc>
          <w:tcPr>
            <w:tcW w:w="4635" w:type="dxa"/>
            <w:tcBorders>
              <w:left w:val="single" w:sz="4" w:space="0" w:color="00B050"/>
              <w:bottom w:val="single" w:sz="4" w:space="0" w:color="00B050"/>
              <w:right w:val="nil"/>
            </w:tcBorders>
            <w:shd w:val="clear" w:color="auto" w:fill="auto"/>
          </w:tcPr>
          <w:p w:rsidR="00030337" w:rsidRPr="001244BB" w:rsidRDefault="00030337" w:rsidP="00030337">
            <w:pPr>
              <w:spacing w:after="0" w:line="240" w:lineRule="auto"/>
              <w:jc w:val="right"/>
              <w:rPr>
                <w:rFonts w:eastAsia="Times New Roman" w:cstheme="minorHAnsi"/>
                <w:color w:val="000000"/>
                <w:sz w:val="20"/>
                <w:szCs w:val="20"/>
                <w:lang w:eastAsia="en-NZ"/>
              </w:rPr>
            </w:pPr>
          </w:p>
        </w:tc>
      </w:tr>
      <w:tr w:rsidR="00030337" w:rsidRPr="001244BB" w:rsidTr="00030337">
        <w:trPr>
          <w:trHeight w:val="525"/>
        </w:trPr>
        <w:tc>
          <w:tcPr>
            <w:tcW w:w="3672" w:type="dxa"/>
            <w:tcBorders>
              <w:top w:val="nil"/>
              <w:left w:val="nil"/>
              <w:right w:val="single" w:sz="4" w:space="0" w:color="00B050"/>
            </w:tcBorders>
            <w:shd w:val="clear" w:color="auto" w:fill="auto"/>
            <w:hideMark/>
          </w:tcPr>
          <w:p w:rsidR="00030337" w:rsidRPr="001244BB" w:rsidRDefault="00030337" w:rsidP="00030337">
            <w:pPr>
              <w:spacing w:after="0" w:line="240" w:lineRule="auto"/>
              <w:rPr>
                <w:rFonts w:eastAsia="Times New Roman" w:cstheme="minorHAnsi"/>
                <w:color w:val="000000"/>
                <w:sz w:val="20"/>
                <w:szCs w:val="20"/>
                <w:lang w:eastAsia="en-NZ"/>
              </w:rPr>
            </w:pPr>
            <w:r w:rsidRPr="001244BB">
              <w:rPr>
                <w:rFonts w:eastAsia="Times New Roman" w:cstheme="minorHAnsi"/>
                <w:color w:val="000000"/>
                <w:sz w:val="20"/>
                <w:szCs w:val="20"/>
                <w:lang w:eastAsia="en-NZ"/>
              </w:rPr>
              <w:t>Compliance with Drinking Water Standards for NZ 2005 (revised 2008) (Part 5 protozoal compliance criteria)*</w:t>
            </w:r>
          </w:p>
        </w:tc>
        <w:tc>
          <w:tcPr>
            <w:tcW w:w="1140" w:type="dxa"/>
            <w:tcBorders>
              <w:top w:val="single" w:sz="8" w:space="0" w:color="00B050"/>
              <w:left w:val="single" w:sz="4" w:space="0" w:color="00B050"/>
              <w:right w:val="single" w:sz="4" w:space="0" w:color="00B050"/>
            </w:tcBorders>
            <w:shd w:val="clear" w:color="auto" w:fill="auto"/>
            <w:noWrap/>
            <w:hideMark/>
          </w:tcPr>
          <w:p w:rsidR="00030337" w:rsidRPr="001244BB" w:rsidRDefault="00030337" w:rsidP="00030337">
            <w:pPr>
              <w:spacing w:after="0" w:line="240" w:lineRule="auto"/>
              <w:jc w:val="right"/>
              <w:rPr>
                <w:rFonts w:eastAsia="Times New Roman" w:cstheme="minorHAnsi"/>
                <w:color w:val="000000"/>
                <w:sz w:val="20"/>
                <w:szCs w:val="20"/>
                <w:lang w:eastAsia="en-NZ"/>
              </w:rPr>
            </w:pPr>
            <w:r w:rsidRPr="001244BB">
              <w:rPr>
                <w:rFonts w:eastAsia="Times New Roman" w:cstheme="minorHAnsi"/>
                <w:color w:val="000000"/>
                <w:sz w:val="20"/>
                <w:szCs w:val="20"/>
                <w:lang w:eastAsia="en-NZ"/>
              </w:rPr>
              <w:t>Compliant</w:t>
            </w:r>
          </w:p>
        </w:tc>
        <w:tc>
          <w:tcPr>
            <w:tcW w:w="1142" w:type="dxa"/>
            <w:gridSpan w:val="2"/>
            <w:tcBorders>
              <w:top w:val="single" w:sz="8" w:space="0" w:color="00B050"/>
              <w:left w:val="single" w:sz="4" w:space="0" w:color="00B050"/>
              <w:right w:val="single" w:sz="4" w:space="0" w:color="00B050"/>
            </w:tcBorders>
            <w:shd w:val="clear" w:color="auto" w:fill="auto"/>
            <w:noWrap/>
            <w:hideMark/>
          </w:tcPr>
          <w:p w:rsidR="00030337" w:rsidRPr="001244BB" w:rsidRDefault="00030337" w:rsidP="00030337">
            <w:pPr>
              <w:spacing w:after="0" w:line="240" w:lineRule="auto"/>
              <w:jc w:val="right"/>
              <w:rPr>
                <w:rFonts w:eastAsia="Times New Roman" w:cstheme="minorHAnsi"/>
                <w:color w:val="000000"/>
                <w:sz w:val="20"/>
                <w:szCs w:val="20"/>
                <w:lang w:eastAsia="en-NZ"/>
              </w:rPr>
            </w:pPr>
            <w:r w:rsidRPr="001244BB">
              <w:rPr>
                <w:rFonts w:eastAsia="Times New Roman" w:cstheme="minorHAnsi"/>
                <w:color w:val="000000"/>
                <w:sz w:val="20"/>
                <w:szCs w:val="20"/>
                <w:lang w:eastAsia="en-NZ"/>
              </w:rPr>
              <w:t>Compliant</w:t>
            </w:r>
          </w:p>
        </w:tc>
        <w:tc>
          <w:tcPr>
            <w:tcW w:w="1276" w:type="dxa"/>
            <w:tcBorders>
              <w:top w:val="single" w:sz="8" w:space="0" w:color="00B050"/>
              <w:left w:val="single" w:sz="4" w:space="0" w:color="00B050"/>
              <w:right w:val="single" w:sz="4" w:space="0" w:color="00B050"/>
            </w:tcBorders>
            <w:shd w:val="clear" w:color="auto" w:fill="auto"/>
            <w:noWrap/>
            <w:hideMark/>
          </w:tcPr>
          <w:p w:rsidR="00030337" w:rsidRPr="001244BB" w:rsidRDefault="00030337" w:rsidP="00030337">
            <w:pPr>
              <w:spacing w:after="0" w:line="240" w:lineRule="auto"/>
              <w:jc w:val="right"/>
              <w:rPr>
                <w:rFonts w:eastAsia="Times New Roman" w:cstheme="minorHAnsi"/>
                <w:color w:val="000000"/>
                <w:sz w:val="20"/>
                <w:szCs w:val="20"/>
                <w:lang w:eastAsia="en-NZ"/>
              </w:rPr>
            </w:pPr>
            <w:r w:rsidRPr="001244BB">
              <w:rPr>
                <w:rFonts w:eastAsia="Times New Roman" w:cstheme="minorHAnsi"/>
                <w:color w:val="000000"/>
                <w:sz w:val="20"/>
                <w:szCs w:val="20"/>
                <w:lang w:eastAsia="en-NZ"/>
              </w:rPr>
              <w:t>Compliant</w:t>
            </w:r>
          </w:p>
        </w:tc>
        <w:tc>
          <w:tcPr>
            <w:tcW w:w="1134" w:type="dxa"/>
            <w:tcBorders>
              <w:top w:val="single" w:sz="8" w:space="0" w:color="00B050"/>
              <w:left w:val="single" w:sz="4" w:space="0" w:color="00B050"/>
              <w:right w:val="single" w:sz="4" w:space="0" w:color="00B050"/>
            </w:tcBorders>
            <w:shd w:val="clear" w:color="000000" w:fill="D9D9D9"/>
            <w:hideMark/>
          </w:tcPr>
          <w:p w:rsidR="00030337" w:rsidRPr="001244BB" w:rsidRDefault="00030337" w:rsidP="00030337">
            <w:pPr>
              <w:spacing w:after="0" w:line="240" w:lineRule="auto"/>
              <w:jc w:val="right"/>
              <w:rPr>
                <w:rFonts w:eastAsia="Times New Roman" w:cstheme="minorHAnsi"/>
                <w:color w:val="000000"/>
                <w:sz w:val="20"/>
                <w:szCs w:val="20"/>
                <w:lang w:eastAsia="en-NZ"/>
              </w:rPr>
            </w:pPr>
            <w:r w:rsidRPr="001244BB">
              <w:rPr>
                <w:rFonts w:eastAsia="Times New Roman" w:cstheme="minorHAnsi"/>
                <w:color w:val="000000"/>
                <w:sz w:val="20"/>
                <w:szCs w:val="20"/>
                <w:lang w:eastAsia="en-NZ"/>
              </w:rPr>
              <w:t>Compliant</w:t>
            </w:r>
          </w:p>
        </w:tc>
        <w:tc>
          <w:tcPr>
            <w:tcW w:w="851" w:type="dxa"/>
            <w:tcBorders>
              <w:top w:val="single" w:sz="8" w:space="0" w:color="00B050"/>
              <w:left w:val="single" w:sz="4" w:space="0" w:color="00B050"/>
              <w:right w:val="single" w:sz="4" w:space="0" w:color="00B050"/>
            </w:tcBorders>
            <w:shd w:val="clear" w:color="auto" w:fill="auto"/>
            <w:hideMark/>
          </w:tcPr>
          <w:p w:rsidR="00030337" w:rsidRPr="001244BB" w:rsidRDefault="00030337" w:rsidP="00030337">
            <w:pPr>
              <w:spacing w:after="0" w:line="240" w:lineRule="auto"/>
              <w:jc w:val="right"/>
              <w:rPr>
                <w:rFonts w:eastAsia="Times New Roman" w:cstheme="minorHAnsi"/>
                <w:color w:val="000000"/>
                <w:sz w:val="20"/>
                <w:szCs w:val="20"/>
                <w:lang w:eastAsia="en-NZ"/>
              </w:rPr>
            </w:pPr>
            <w:r w:rsidRPr="001244BB">
              <w:rPr>
                <w:rFonts w:eastAsia="Times New Roman" w:cstheme="minorHAnsi"/>
                <w:color w:val="000000"/>
                <w:sz w:val="20"/>
                <w:szCs w:val="20"/>
                <w:lang w:eastAsia="en-NZ"/>
              </w:rPr>
              <w:t>0%</w:t>
            </w:r>
          </w:p>
        </w:tc>
        <w:tc>
          <w:tcPr>
            <w:tcW w:w="1134" w:type="dxa"/>
            <w:tcBorders>
              <w:top w:val="single" w:sz="8" w:space="0" w:color="00B050"/>
              <w:left w:val="single" w:sz="4" w:space="0" w:color="00B050"/>
              <w:right w:val="single" w:sz="4" w:space="0" w:color="00B050"/>
            </w:tcBorders>
            <w:shd w:val="clear" w:color="auto" w:fill="auto"/>
            <w:hideMark/>
          </w:tcPr>
          <w:p w:rsidR="00030337" w:rsidRPr="001244BB" w:rsidRDefault="004A2F47" w:rsidP="00030337">
            <w:pPr>
              <w:rPr>
                <w:rFonts w:cstheme="minorHAnsi"/>
                <w:sz w:val="20"/>
                <w:szCs w:val="20"/>
              </w:rPr>
            </w:pPr>
            <w:r>
              <w:rPr>
                <w:rFonts w:eastAsia="Times New Roman" w:cstheme="minorHAnsi"/>
                <w:color w:val="000000"/>
                <w:sz w:val="20"/>
                <w:szCs w:val="20"/>
                <w:lang w:eastAsia="en-NZ"/>
              </w:rPr>
              <w:t>Within 10%</w:t>
            </w:r>
          </w:p>
        </w:tc>
        <w:tc>
          <w:tcPr>
            <w:tcW w:w="4635" w:type="dxa"/>
            <w:tcBorders>
              <w:top w:val="single" w:sz="4" w:space="0" w:color="00B050"/>
              <w:left w:val="single" w:sz="4" w:space="0" w:color="00B050"/>
              <w:right w:val="nil"/>
            </w:tcBorders>
            <w:shd w:val="clear" w:color="auto" w:fill="auto"/>
          </w:tcPr>
          <w:p w:rsidR="00030337" w:rsidRPr="001244BB" w:rsidRDefault="00030337" w:rsidP="00030337">
            <w:pPr>
              <w:spacing w:after="0" w:line="240" w:lineRule="auto"/>
              <w:jc w:val="right"/>
              <w:rPr>
                <w:rFonts w:eastAsia="Times New Roman" w:cstheme="minorHAnsi"/>
                <w:color w:val="000000"/>
                <w:sz w:val="20"/>
                <w:szCs w:val="20"/>
                <w:lang w:eastAsia="en-NZ"/>
              </w:rPr>
            </w:pPr>
          </w:p>
        </w:tc>
      </w:tr>
      <w:tr w:rsidR="00030337" w:rsidRPr="001244BB" w:rsidTr="00030337">
        <w:trPr>
          <w:trHeight w:val="315"/>
        </w:trPr>
        <w:tc>
          <w:tcPr>
            <w:tcW w:w="14984" w:type="dxa"/>
            <w:gridSpan w:val="9"/>
            <w:tcBorders>
              <w:top w:val="nil"/>
              <w:left w:val="nil"/>
            </w:tcBorders>
            <w:shd w:val="clear" w:color="auto" w:fill="EAF1DD" w:themeFill="accent3" w:themeFillTint="33"/>
            <w:hideMark/>
          </w:tcPr>
          <w:p w:rsidR="00030337" w:rsidRPr="001244BB" w:rsidRDefault="00030337" w:rsidP="00030337">
            <w:pPr>
              <w:spacing w:after="0" w:line="240" w:lineRule="auto"/>
              <w:rPr>
                <w:rFonts w:eastAsia="Times New Roman" w:cstheme="minorHAnsi"/>
                <w:b/>
                <w:sz w:val="20"/>
                <w:szCs w:val="20"/>
                <w:lang w:eastAsia="en-NZ"/>
              </w:rPr>
            </w:pPr>
            <w:r w:rsidRPr="001244BB">
              <w:rPr>
                <w:rFonts w:eastAsia="Times New Roman" w:cstheme="minorHAnsi"/>
                <w:b/>
                <w:sz w:val="20"/>
                <w:szCs w:val="20"/>
                <w:lang w:eastAsia="en-NZ"/>
              </w:rPr>
              <w:t>Meeting customer expectations </w:t>
            </w:r>
          </w:p>
        </w:tc>
      </w:tr>
      <w:tr w:rsidR="00030337" w:rsidRPr="001244BB" w:rsidTr="00030337">
        <w:trPr>
          <w:trHeight w:val="1290"/>
        </w:trPr>
        <w:tc>
          <w:tcPr>
            <w:tcW w:w="3672" w:type="dxa"/>
            <w:tcBorders>
              <w:left w:val="nil"/>
              <w:right w:val="single" w:sz="4" w:space="0" w:color="00B050"/>
            </w:tcBorders>
            <w:shd w:val="clear" w:color="auto" w:fill="auto"/>
            <w:hideMark/>
          </w:tcPr>
          <w:p w:rsidR="00030337" w:rsidRPr="001244BB" w:rsidRDefault="00030337" w:rsidP="00030337">
            <w:pPr>
              <w:spacing w:after="0" w:line="240" w:lineRule="auto"/>
              <w:rPr>
                <w:rFonts w:eastAsia="Times New Roman" w:cstheme="minorHAnsi"/>
                <w:color w:val="000000"/>
                <w:sz w:val="20"/>
                <w:szCs w:val="20"/>
                <w:lang w:eastAsia="en-NZ"/>
              </w:rPr>
            </w:pPr>
            <w:r w:rsidRPr="001244BB">
              <w:rPr>
                <w:rFonts w:eastAsia="Times New Roman" w:cstheme="minorHAnsi"/>
                <w:color w:val="000000"/>
                <w:sz w:val="20"/>
                <w:szCs w:val="20"/>
                <w:lang w:eastAsia="en-NZ"/>
              </w:rPr>
              <w:t>Number of complaints about the drinking water’s clarity, taste, odour, pressure or flow, continuity of supply, and supplier responsiveness, expressed per 1000 connections*</w:t>
            </w:r>
          </w:p>
        </w:tc>
        <w:tc>
          <w:tcPr>
            <w:tcW w:w="1140" w:type="dxa"/>
            <w:tcBorders>
              <w:left w:val="single" w:sz="4" w:space="0" w:color="00B050"/>
              <w:right w:val="single" w:sz="4" w:space="0" w:color="00B050"/>
            </w:tcBorders>
            <w:shd w:val="clear" w:color="auto" w:fill="auto"/>
            <w:noWrap/>
            <w:hideMark/>
          </w:tcPr>
          <w:p w:rsidR="00030337" w:rsidRPr="001244BB" w:rsidRDefault="00030337" w:rsidP="00030337">
            <w:pPr>
              <w:spacing w:after="0" w:line="240" w:lineRule="auto"/>
              <w:jc w:val="right"/>
              <w:rPr>
                <w:rFonts w:eastAsia="Times New Roman" w:cstheme="minorHAnsi"/>
                <w:color w:val="000000"/>
                <w:sz w:val="20"/>
                <w:szCs w:val="20"/>
                <w:lang w:eastAsia="en-NZ"/>
              </w:rPr>
            </w:pPr>
            <w:r w:rsidRPr="001244BB">
              <w:rPr>
                <w:rFonts w:eastAsia="Times New Roman" w:cstheme="minorHAnsi"/>
                <w:color w:val="000000"/>
                <w:sz w:val="20"/>
                <w:szCs w:val="20"/>
                <w:lang w:eastAsia="en-NZ"/>
              </w:rPr>
              <w:t>13.84</w:t>
            </w:r>
            <w:r w:rsidR="00B27E9D">
              <w:rPr>
                <w:rFonts w:eastAsia="Times New Roman" w:cstheme="minorHAnsi"/>
                <w:color w:val="000000"/>
                <w:sz w:val="20"/>
                <w:szCs w:val="20"/>
                <w:lang w:eastAsia="en-NZ"/>
              </w:rPr>
              <w:t xml:space="preserve"> per 1000 connections</w:t>
            </w:r>
          </w:p>
        </w:tc>
        <w:tc>
          <w:tcPr>
            <w:tcW w:w="1142" w:type="dxa"/>
            <w:gridSpan w:val="2"/>
            <w:tcBorders>
              <w:left w:val="single" w:sz="4" w:space="0" w:color="00B050"/>
              <w:right w:val="single" w:sz="4" w:space="0" w:color="00B050"/>
            </w:tcBorders>
            <w:shd w:val="clear" w:color="auto" w:fill="auto"/>
            <w:noWrap/>
            <w:hideMark/>
          </w:tcPr>
          <w:p w:rsidR="00030337" w:rsidRPr="001244BB" w:rsidRDefault="00030337" w:rsidP="00030337">
            <w:pPr>
              <w:spacing w:after="0" w:line="240" w:lineRule="auto"/>
              <w:jc w:val="right"/>
              <w:rPr>
                <w:rFonts w:eastAsia="Times New Roman" w:cstheme="minorHAnsi"/>
                <w:color w:val="000000"/>
                <w:sz w:val="20"/>
                <w:szCs w:val="20"/>
                <w:lang w:eastAsia="en-NZ"/>
              </w:rPr>
            </w:pPr>
            <w:r w:rsidRPr="001244BB">
              <w:rPr>
                <w:rFonts w:eastAsia="Times New Roman" w:cstheme="minorHAnsi"/>
                <w:color w:val="000000"/>
                <w:sz w:val="20"/>
                <w:szCs w:val="20"/>
                <w:lang w:eastAsia="en-NZ"/>
              </w:rPr>
              <w:t>13.</w:t>
            </w:r>
            <w:r w:rsidR="00B27E9D">
              <w:t xml:space="preserve"> </w:t>
            </w:r>
            <w:r w:rsidR="00B27E9D" w:rsidRPr="00B27E9D">
              <w:rPr>
                <w:rFonts w:eastAsia="Times New Roman" w:cstheme="minorHAnsi"/>
                <w:color w:val="000000"/>
                <w:sz w:val="20"/>
                <w:szCs w:val="20"/>
                <w:lang w:eastAsia="en-NZ"/>
              </w:rPr>
              <w:t xml:space="preserve">per 1000 connections </w:t>
            </w:r>
            <w:r w:rsidRPr="001244BB">
              <w:rPr>
                <w:rFonts w:eastAsia="Times New Roman" w:cstheme="minorHAnsi"/>
                <w:color w:val="000000"/>
                <w:sz w:val="20"/>
                <w:szCs w:val="20"/>
                <w:lang w:eastAsia="en-NZ"/>
              </w:rPr>
              <w:t>35</w:t>
            </w:r>
            <w:r w:rsidR="00B27E9D">
              <w:rPr>
                <w:rFonts w:eastAsia="Times New Roman" w:cstheme="minorHAnsi"/>
                <w:color w:val="000000"/>
                <w:sz w:val="20"/>
                <w:szCs w:val="20"/>
                <w:lang w:eastAsia="en-NZ"/>
              </w:rPr>
              <w:t xml:space="preserve"> </w:t>
            </w:r>
          </w:p>
        </w:tc>
        <w:tc>
          <w:tcPr>
            <w:tcW w:w="1276" w:type="dxa"/>
            <w:tcBorders>
              <w:left w:val="single" w:sz="4" w:space="0" w:color="00B050"/>
              <w:right w:val="single" w:sz="4" w:space="0" w:color="00B050"/>
            </w:tcBorders>
            <w:shd w:val="clear" w:color="auto" w:fill="auto"/>
            <w:noWrap/>
            <w:hideMark/>
          </w:tcPr>
          <w:p w:rsidR="00030337" w:rsidRPr="001244BB" w:rsidRDefault="00030337" w:rsidP="00030337">
            <w:pPr>
              <w:spacing w:after="0" w:line="240" w:lineRule="auto"/>
              <w:jc w:val="right"/>
              <w:rPr>
                <w:rFonts w:eastAsia="Times New Roman" w:cstheme="minorHAnsi"/>
                <w:color w:val="000000"/>
                <w:sz w:val="20"/>
                <w:szCs w:val="20"/>
                <w:lang w:eastAsia="en-NZ"/>
              </w:rPr>
            </w:pPr>
            <w:r w:rsidRPr="001244BB">
              <w:rPr>
                <w:rFonts w:eastAsia="Times New Roman" w:cstheme="minorHAnsi"/>
                <w:color w:val="000000"/>
                <w:sz w:val="20"/>
                <w:szCs w:val="20"/>
                <w:lang w:eastAsia="en-NZ"/>
              </w:rPr>
              <w:t>12.01</w:t>
            </w:r>
            <w:r w:rsidR="00B27E9D">
              <w:rPr>
                <w:rFonts w:eastAsia="Times New Roman" w:cstheme="minorHAnsi"/>
                <w:color w:val="000000"/>
                <w:sz w:val="20"/>
                <w:szCs w:val="20"/>
                <w:lang w:eastAsia="en-NZ"/>
              </w:rPr>
              <w:t xml:space="preserve"> </w:t>
            </w:r>
            <w:r w:rsidR="00B27E9D" w:rsidRPr="00B27E9D">
              <w:rPr>
                <w:rFonts w:eastAsia="Times New Roman" w:cstheme="minorHAnsi"/>
                <w:color w:val="000000"/>
                <w:sz w:val="20"/>
                <w:szCs w:val="20"/>
                <w:lang w:eastAsia="en-NZ"/>
              </w:rPr>
              <w:t>per 1000 connections</w:t>
            </w:r>
          </w:p>
        </w:tc>
        <w:tc>
          <w:tcPr>
            <w:tcW w:w="1134" w:type="dxa"/>
            <w:tcBorders>
              <w:left w:val="single" w:sz="4" w:space="0" w:color="00B050"/>
              <w:right w:val="single" w:sz="4" w:space="0" w:color="00B050"/>
            </w:tcBorders>
            <w:shd w:val="clear" w:color="000000" w:fill="D9D9D9"/>
            <w:hideMark/>
          </w:tcPr>
          <w:p w:rsidR="00030337" w:rsidRPr="001244BB" w:rsidRDefault="00030337" w:rsidP="00030337">
            <w:pPr>
              <w:spacing w:after="0" w:line="240" w:lineRule="auto"/>
              <w:jc w:val="right"/>
              <w:rPr>
                <w:rFonts w:eastAsia="Times New Roman" w:cstheme="minorHAnsi"/>
                <w:color w:val="000000"/>
                <w:sz w:val="20"/>
                <w:szCs w:val="20"/>
                <w:lang w:eastAsia="en-NZ"/>
              </w:rPr>
            </w:pPr>
            <w:r w:rsidRPr="001244BB">
              <w:rPr>
                <w:rFonts w:eastAsia="Times New Roman" w:cstheme="minorHAnsi"/>
                <w:color w:val="000000"/>
                <w:sz w:val="20"/>
                <w:szCs w:val="20"/>
                <w:lang w:eastAsia="en-NZ"/>
              </w:rPr>
              <w:t>&lt;20/1000</w:t>
            </w:r>
          </w:p>
        </w:tc>
        <w:tc>
          <w:tcPr>
            <w:tcW w:w="851" w:type="dxa"/>
            <w:tcBorders>
              <w:left w:val="single" w:sz="4" w:space="0" w:color="00B050"/>
              <w:right w:val="single" w:sz="4" w:space="0" w:color="00B050"/>
            </w:tcBorders>
            <w:shd w:val="clear" w:color="auto" w:fill="auto"/>
            <w:hideMark/>
          </w:tcPr>
          <w:p w:rsidR="00030337" w:rsidRPr="001244BB" w:rsidRDefault="00030337" w:rsidP="00030337">
            <w:pPr>
              <w:spacing w:after="0" w:line="240" w:lineRule="auto"/>
              <w:jc w:val="right"/>
              <w:rPr>
                <w:rFonts w:eastAsia="Times New Roman" w:cstheme="minorHAnsi"/>
                <w:color w:val="000000"/>
                <w:sz w:val="20"/>
                <w:szCs w:val="20"/>
                <w:lang w:eastAsia="en-NZ"/>
              </w:rPr>
            </w:pPr>
            <w:r w:rsidRPr="001244BB">
              <w:rPr>
                <w:rFonts w:eastAsia="Times New Roman" w:cstheme="minorHAnsi"/>
                <w:color w:val="000000"/>
                <w:sz w:val="20"/>
                <w:szCs w:val="20"/>
                <w:lang w:eastAsia="en-NZ"/>
              </w:rPr>
              <w:t>40%</w:t>
            </w:r>
          </w:p>
        </w:tc>
        <w:tc>
          <w:tcPr>
            <w:tcW w:w="1134" w:type="dxa"/>
            <w:tcBorders>
              <w:top w:val="nil"/>
              <w:left w:val="single" w:sz="4" w:space="0" w:color="00B050"/>
              <w:right w:val="single" w:sz="4" w:space="0" w:color="00B050"/>
            </w:tcBorders>
            <w:shd w:val="clear" w:color="auto" w:fill="auto"/>
            <w:hideMark/>
          </w:tcPr>
          <w:p w:rsidR="00030337" w:rsidRPr="001244BB" w:rsidRDefault="00030337" w:rsidP="00030337">
            <w:pPr>
              <w:spacing w:after="0" w:line="240" w:lineRule="auto"/>
              <w:jc w:val="right"/>
              <w:rPr>
                <w:rFonts w:eastAsia="Times New Roman" w:cstheme="minorHAnsi"/>
                <w:color w:val="000000"/>
                <w:sz w:val="20"/>
                <w:szCs w:val="20"/>
                <w:lang w:eastAsia="en-NZ"/>
              </w:rPr>
            </w:pPr>
            <w:r w:rsidRPr="001244BB">
              <w:rPr>
                <w:rFonts w:eastAsia="Times New Roman" w:cstheme="minorHAnsi"/>
                <w:color w:val="000000"/>
                <w:sz w:val="20"/>
                <w:szCs w:val="20"/>
                <w:lang w:eastAsia="en-NZ"/>
              </w:rPr>
              <w:t>exceeded</w:t>
            </w:r>
          </w:p>
        </w:tc>
        <w:tc>
          <w:tcPr>
            <w:tcW w:w="4635" w:type="dxa"/>
            <w:tcBorders>
              <w:top w:val="nil"/>
              <w:left w:val="single" w:sz="4" w:space="0" w:color="00B050"/>
              <w:right w:val="nil"/>
            </w:tcBorders>
            <w:shd w:val="clear" w:color="auto" w:fill="auto"/>
            <w:hideMark/>
          </w:tcPr>
          <w:p w:rsidR="00030337" w:rsidRPr="001244BB" w:rsidRDefault="00030337" w:rsidP="00030337">
            <w:pPr>
              <w:spacing w:after="0" w:line="240" w:lineRule="auto"/>
              <w:rPr>
                <w:rFonts w:eastAsia="Times New Roman" w:cstheme="minorHAnsi"/>
                <w:color w:val="000000"/>
                <w:sz w:val="20"/>
                <w:szCs w:val="20"/>
                <w:lang w:eastAsia="en-NZ"/>
              </w:rPr>
            </w:pPr>
            <w:r w:rsidRPr="001244BB">
              <w:rPr>
                <w:rFonts w:eastAsia="Times New Roman" w:cstheme="minorHAnsi"/>
                <w:color w:val="000000"/>
                <w:sz w:val="20"/>
                <w:szCs w:val="20"/>
                <w:lang w:eastAsia="en-NZ"/>
              </w:rPr>
              <w:t>The year ending figure is less than the target due to a combination of good operational performance in networks and treatment plants, and a lack of external events resulting in customers receiving poor quality water.</w:t>
            </w:r>
          </w:p>
        </w:tc>
      </w:tr>
      <w:tr w:rsidR="00030337" w:rsidRPr="001244BB" w:rsidTr="00030337">
        <w:trPr>
          <w:trHeight w:val="315"/>
        </w:trPr>
        <w:tc>
          <w:tcPr>
            <w:tcW w:w="14984" w:type="dxa"/>
            <w:gridSpan w:val="9"/>
            <w:tcBorders>
              <w:top w:val="nil"/>
              <w:left w:val="nil"/>
            </w:tcBorders>
            <w:shd w:val="clear" w:color="auto" w:fill="EAF1DD" w:themeFill="accent3" w:themeFillTint="33"/>
            <w:hideMark/>
          </w:tcPr>
          <w:p w:rsidR="00030337" w:rsidRPr="001244BB" w:rsidRDefault="00030337" w:rsidP="00030337">
            <w:pPr>
              <w:spacing w:after="0" w:line="240" w:lineRule="auto"/>
              <w:rPr>
                <w:rFonts w:eastAsia="Times New Roman" w:cstheme="minorHAnsi"/>
                <w:b/>
                <w:sz w:val="20"/>
                <w:szCs w:val="20"/>
                <w:lang w:eastAsia="en-NZ"/>
              </w:rPr>
            </w:pPr>
            <w:r w:rsidRPr="001244BB">
              <w:rPr>
                <w:rFonts w:eastAsia="Times New Roman" w:cstheme="minorHAnsi"/>
                <w:b/>
                <w:sz w:val="20"/>
                <w:szCs w:val="20"/>
                <w:lang w:eastAsia="en-NZ"/>
              </w:rPr>
              <w:t>Continuity of supply and resolution of faults </w:t>
            </w:r>
          </w:p>
        </w:tc>
      </w:tr>
      <w:tr w:rsidR="00030337" w:rsidRPr="001244BB" w:rsidTr="00030337">
        <w:trPr>
          <w:trHeight w:val="525"/>
        </w:trPr>
        <w:tc>
          <w:tcPr>
            <w:tcW w:w="3672" w:type="dxa"/>
            <w:tcBorders>
              <w:left w:val="nil"/>
              <w:bottom w:val="single" w:sz="8" w:space="0" w:color="00B050"/>
              <w:right w:val="single" w:sz="4" w:space="0" w:color="00B050"/>
            </w:tcBorders>
            <w:shd w:val="clear" w:color="auto" w:fill="auto"/>
            <w:hideMark/>
          </w:tcPr>
          <w:p w:rsidR="00030337" w:rsidRPr="001244BB" w:rsidRDefault="00030337" w:rsidP="00030337">
            <w:pPr>
              <w:spacing w:after="0" w:line="240" w:lineRule="auto"/>
              <w:rPr>
                <w:rFonts w:eastAsia="Times New Roman" w:cstheme="minorHAnsi"/>
                <w:color w:val="000000"/>
                <w:sz w:val="20"/>
                <w:szCs w:val="20"/>
                <w:lang w:eastAsia="en-NZ"/>
              </w:rPr>
            </w:pPr>
            <w:r w:rsidRPr="001244BB">
              <w:rPr>
                <w:rFonts w:eastAsia="Times New Roman" w:cstheme="minorHAnsi"/>
                <w:color w:val="000000"/>
                <w:sz w:val="20"/>
                <w:szCs w:val="20"/>
                <w:lang w:eastAsia="en-NZ"/>
              </w:rPr>
              <w:t>Median response time for attendance for urgent call outs*</w:t>
            </w:r>
            <w:r w:rsidR="005F3580">
              <w:rPr>
                <w:rFonts w:eastAsia="Times New Roman" w:cstheme="minorHAnsi"/>
                <w:color w:val="000000"/>
                <w:sz w:val="20"/>
                <w:szCs w:val="20"/>
                <w:lang w:eastAsia="en-NZ"/>
              </w:rPr>
              <w:t>(minutes)</w:t>
            </w:r>
          </w:p>
        </w:tc>
        <w:tc>
          <w:tcPr>
            <w:tcW w:w="1140" w:type="dxa"/>
            <w:tcBorders>
              <w:left w:val="single" w:sz="4" w:space="0" w:color="00B050"/>
              <w:bottom w:val="single" w:sz="8" w:space="0" w:color="00B050"/>
              <w:right w:val="single" w:sz="4" w:space="0" w:color="00B050"/>
            </w:tcBorders>
            <w:shd w:val="clear" w:color="auto" w:fill="auto"/>
            <w:noWrap/>
            <w:hideMark/>
          </w:tcPr>
          <w:p w:rsidR="00030337" w:rsidRPr="001244BB" w:rsidRDefault="00030337" w:rsidP="00030337">
            <w:pPr>
              <w:spacing w:after="0" w:line="240" w:lineRule="auto"/>
              <w:jc w:val="right"/>
              <w:rPr>
                <w:rFonts w:eastAsia="Times New Roman" w:cstheme="minorHAnsi"/>
                <w:color w:val="000000"/>
                <w:sz w:val="20"/>
                <w:szCs w:val="20"/>
                <w:lang w:eastAsia="en-NZ"/>
              </w:rPr>
            </w:pPr>
            <w:r w:rsidRPr="001244BB">
              <w:rPr>
                <w:rFonts w:eastAsia="Times New Roman" w:cstheme="minorHAnsi"/>
                <w:color w:val="000000"/>
                <w:sz w:val="20"/>
                <w:szCs w:val="20"/>
                <w:lang w:eastAsia="en-NZ"/>
              </w:rPr>
              <w:t>51</w:t>
            </w:r>
            <w:r w:rsidR="00B27E9D">
              <w:rPr>
                <w:rFonts w:eastAsia="Times New Roman" w:cstheme="minorHAnsi"/>
                <w:color w:val="000000"/>
                <w:sz w:val="20"/>
                <w:szCs w:val="20"/>
                <w:lang w:eastAsia="en-NZ"/>
              </w:rPr>
              <w:t xml:space="preserve"> minutes</w:t>
            </w:r>
          </w:p>
        </w:tc>
        <w:tc>
          <w:tcPr>
            <w:tcW w:w="1142" w:type="dxa"/>
            <w:gridSpan w:val="2"/>
            <w:tcBorders>
              <w:left w:val="single" w:sz="4" w:space="0" w:color="00B050"/>
              <w:bottom w:val="single" w:sz="8" w:space="0" w:color="00B050"/>
              <w:right w:val="single" w:sz="4" w:space="0" w:color="00B050"/>
            </w:tcBorders>
            <w:shd w:val="clear" w:color="auto" w:fill="auto"/>
            <w:noWrap/>
            <w:hideMark/>
          </w:tcPr>
          <w:p w:rsidR="00030337" w:rsidRPr="001244BB" w:rsidRDefault="00030337" w:rsidP="00030337">
            <w:pPr>
              <w:spacing w:after="0" w:line="240" w:lineRule="auto"/>
              <w:jc w:val="right"/>
              <w:rPr>
                <w:rFonts w:eastAsia="Times New Roman" w:cstheme="minorHAnsi"/>
                <w:color w:val="000000"/>
                <w:sz w:val="20"/>
                <w:szCs w:val="20"/>
                <w:lang w:eastAsia="en-NZ"/>
              </w:rPr>
            </w:pPr>
            <w:r w:rsidRPr="001244BB">
              <w:rPr>
                <w:rFonts w:eastAsia="Times New Roman" w:cstheme="minorHAnsi"/>
                <w:color w:val="000000"/>
                <w:sz w:val="20"/>
                <w:szCs w:val="20"/>
                <w:lang w:eastAsia="en-NZ"/>
              </w:rPr>
              <w:t>46</w:t>
            </w:r>
            <w:r w:rsidR="00B27E9D">
              <w:rPr>
                <w:rFonts w:eastAsia="Times New Roman" w:cstheme="minorHAnsi"/>
                <w:color w:val="000000"/>
                <w:sz w:val="20"/>
                <w:szCs w:val="20"/>
                <w:lang w:eastAsia="en-NZ"/>
              </w:rPr>
              <w:t xml:space="preserve"> minutes</w:t>
            </w:r>
          </w:p>
        </w:tc>
        <w:tc>
          <w:tcPr>
            <w:tcW w:w="1276" w:type="dxa"/>
            <w:tcBorders>
              <w:left w:val="single" w:sz="4" w:space="0" w:color="00B050"/>
              <w:bottom w:val="single" w:sz="8" w:space="0" w:color="00B050"/>
              <w:right w:val="single" w:sz="4" w:space="0" w:color="00B050"/>
            </w:tcBorders>
            <w:shd w:val="clear" w:color="auto" w:fill="auto"/>
            <w:noWrap/>
            <w:hideMark/>
          </w:tcPr>
          <w:p w:rsidR="00030337" w:rsidRPr="001244BB" w:rsidRDefault="00030337" w:rsidP="00030337">
            <w:pPr>
              <w:spacing w:after="0" w:line="240" w:lineRule="auto"/>
              <w:jc w:val="right"/>
              <w:rPr>
                <w:rFonts w:eastAsia="Times New Roman" w:cstheme="minorHAnsi"/>
                <w:color w:val="000000"/>
                <w:sz w:val="20"/>
                <w:szCs w:val="20"/>
                <w:lang w:eastAsia="en-NZ"/>
              </w:rPr>
            </w:pPr>
            <w:r w:rsidRPr="001244BB">
              <w:rPr>
                <w:rFonts w:eastAsia="Times New Roman" w:cstheme="minorHAnsi"/>
                <w:color w:val="000000"/>
                <w:sz w:val="20"/>
                <w:szCs w:val="20"/>
                <w:lang w:eastAsia="en-NZ"/>
              </w:rPr>
              <w:t>48</w:t>
            </w:r>
            <w:r w:rsidR="005F3580">
              <w:rPr>
                <w:rFonts w:eastAsia="Times New Roman" w:cstheme="minorHAnsi"/>
                <w:color w:val="000000"/>
                <w:sz w:val="20"/>
                <w:szCs w:val="20"/>
                <w:lang w:eastAsia="en-NZ"/>
              </w:rPr>
              <w:t xml:space="preserve"> minutes</w:t>
            </w:r>
          </w:p>
        </w:tc>
        <w:tc>
          <w:tcPr>
            <w:tcW w:w="1134" w:type="dxa"/>
            <w:tcBorders>
              <w:left w:val="single" w:sz="4" w:space="0" w:color="00B050"/>
              <w:bottom w:val="single" w:sz="8" w:space="0" w:color="00B050"/>
              <w:right w:val="single" w:sz="4" w:space="0" w:color="00B050"/>
            </w:tcBorders>
            <w:shd w:val="clear" w:color="000000" w:fill="D9D9D9"/>
            <w:hideMark/>
          </w:tcPr>
          <w:p w:rsidR="00030337" w:rsidRPr="001244BB" w:rsidRDefault="00B27E9D" w:rsidP="00030337">
            <w:pPr>
              <w:spacing w:after="0" w:line="240" w:lineRule="auto"/>
              <w:jc w:val="right"/>
              <w:rPr>
                <w:rFonts w:eastAsia="Times New Roman" w:cstheme="minorHAnsi"/>
                <w:color w:val="000000"/>
                <w:sz w:val="20"/>
                <w:szCs w:val="20"/>
                <w:lang w:eastAsia="en-NZ"/>
              </w:rPr>
            </w:pPr>
            <w:r>
              <w:rPr>
                <w:rFonts w:eastAsia="Times New Roman" w:cstheme="minorHAnsi"/>
                <w:color w:val="000000"/>
                <w:sz w:val="20"/>
                <w:szCs w:val="20"/>
                <w:lang w:eastAsia="en-NZ"/>
              </w:rPr>
              <w:t>&lt;</w:t>
            </w:r>
            <w:r w:rsidR="00030337" w:rsidRPr="001244BB">
              <w:rPr>
                <w:rFonts w:eastAsia="Times New Roman" w:cstheme="minorHAnsi"/>
                <w:color w:val="000000"/>
                <w:sz w:val="20"/>
                <w:szCs w:val="20"/>
                <w:lang w:eastAsia="en-NZ"/>
              </w:rPr>
              <w:t>60 min</w:t>
            </w:r>
            <w:r w:rsidR="005F3580">
              <w:rPr>
                <w:rFonts w:eastAsia="Times New Roman" w:cstheme="minorHAnsi"/>
                <w:color w:val="000000"/>
                <w:sz w:val="20"/>
                <w:szCs w:val="20"/>
                <w:lang w:eastAsia="en-NZ"/>
              </w:rPr>
              <w:t>utes</w:t>
            </w:r>
          </w:p>
        </w:tc>
        <w:tc>
          <w:tcPr>
            <w:tcW w:w="851" w:type="dxa"/>
            <w:tcBorders>
              <w:top w:val="nil"/>
              <w:left w:val="single" w:sz="4" w:space="0" w:color="00B050"/>
              <w:bottom w:val="single" w:sz="8" w:space="0" w:color="00B050"/>
              <w:right w:val="single" w:sz="4" w:space="0" w:color="00B050"/>
            </w:tcBorders>
            <w:shd w:val="clear" w:color="auto" w:fill="auto"/>
            <w:hideMark/>
          </w:tcPr>
          <w:p w:rsidR="00030337" w:rsidRPr="001244BB" w:rsidRDefault="00030337" w:rsidP="00030337">
            <w:pPr>
              <w:spacing w:after="0" w:line="240" w:lineRule="auto"/>
              <w:jc w:val="right"/>
              <w:rPr>
                <w:rFonts w:eastAsia="Times New Roman" w:cstheme="minorHAnsi"/>
                <w:color w:val="000000"/>
                <w:sz w:val="20"/>
                <w:szCs w:val="20"/>
                <w:lang w:eastAsia="en-NZ"/>
              </w:rPr>
            </w:pPr>
            <w:r w:rsidRPr="001244BB">
              <w:rPr>
                <w:rFonts w:eastAsia="Times New Roman" w:cstheme="minorHAnsi"/>
                <w:color w:val="000000"/>
                <w:sz w:val="20"/>
                <w:szCs w:val="20"/>
                <w:lang w:eastAsia="en-NZ"/>
              </w:rPr>
              <w:t>20%</w:t>
            </w:r>
          </w:p>
        </w:tc>
        <w:tc>
          <w:tcPr>
            <w:tcW w:w="1134" w:type="dxa"/>
            <w:tcBorders>
              <w:top w:val="nil"/>
              <w:left w:val="single" w:sz="4" w:space="0" w:color="00B050"/>
              <w:bottom w:val="single" w:sz="8" w:space="0" w:color="00B050"/>
              <w:right w:val="single" w:sz="4" w:space="0" w:color="00B050"/>
            </w:tcBorders>
            <w:shd w:val="clear" w:color="auto" w:fill="auto"/>
            <w:hideMark/>
          </w:tcPr>
          <w:p w:rsidR="00030337" w:rsidRPr="001244BB" w:rsidRDefault="00030337" w:rsidP="00030337">
            <w:pPr>
              <w:spacing w:after="0" w:line="240" w:lineRule="auto"/>
              <w:jc w:val="right"/>
              <w:rPr>
                <w:rFonts w:eastAsia="Times New Roman" w:cstheme="minorHAnsi"/>
                <w:color w:val="000000"/>
                <w:sz w:val="20"/>
                <w:szCs w:val="20"/>
                <w:lang w:eastAsia="en-NZ"/>
              </w:rPr>
            </w:pPr>
            <w:r w:rsidRPr="001244BB">
              <w:rPr>
                <w:rFonts w:eastAsia="Times New Roman" w:cstheme="minorHAnsi"/>
                <w:color w:val="000000"/>
                <w:sz w:val="20"/>
                <w:szCs w:val="20"/>
                <w:lang w:eastAsia="en-NZ"/>
              </w:rPr>
              <w:t>exceeded</w:t>
            </w:r>
          </w:p>
        </w:tc>
        <w:tc>
          <w:tcPr>
            <w:tcW w:w="4635" w:type="dxa"/>
            <w:tcBorders>
              <w:top w:val="nil"/>
              <w:left w:val="single" w:sz="4" w:space="0" w:color="00B050"/>
              <w:bottom w:val="single" w:sz="4" w:space="0" w:color="00B050"/>
              <w:right w:val="nil"/>
            </w:tcBorders>
            <w:shd w:val="clear" w:color="auto" w:fill="auto"/>
            <w:hideMark/>
          </w:tcPr>
          <w:p w:rsidR="00030337" w:rsidRPr="001244BB" w:rsidRDefault="00030337" w:rsidP="00B27E9D">
            <w:pPr>
              <w:spacing w:after="0" w:line="240" w:lineRule="auto"/>
              <w:rPr>
                <w:rFonts w:eastAsia="Times New Roman" w:cstheme="minorHAnsi"/>
                <w:color w:val="000000"/>
                <w:sz w:val="20"/>
                <w:szCs w:val="20"/>
                <w:lang w:eastAsia="en-NZ"/>
              </w:rPr>
            </w:pPr>
            <w:r w:rsidRPr="001244BB">
              <w:rPr>
                <w:rFonts w:eastAsia="Times New Roman" w:cstheme="minorHAnsi"/>
                <w:color w:val="000000"/>
                <w:sz w:val="20"/>
                <w:szCs w:val="20"/>
                <w:lang w:eastAsia="en-NZ"/>
              </w:rPr>
              <w:t xml:space="preserve">The year ending figure is less than the target due to </w:t>
            </w:r>
            <w:r w:rsidR="00B27E9D">
              <w:rPr>
                <w:rFonts w:eastAsia="Times New Roman" w:cstheme="minorHAnsi"/>
                <w:color w:val="000000"/>
                <w:sz w:val="20"/>
                <w:szCs w:val="20"/>
                <w:lang w:eastAsia="en-NZ"/>
              </w:rPr>
              <w:t xml:space="preserve">solid performance of </w:t>
            </w:r>
            <w:r w:rsidRPr="001244BB">
              <w:rPr>
                <w:rFonts w:eastAsia="Times New Roman" w:cstheme="minorHAnsi"/>
                <w:color w:val="000000"/>
                <w:sz w:val="20"/>
                <w:szCs w:val="20"/>
                <w:lang w:eastAsia="en-NZ"/>
              </w:rPr>
              <w:t xml:space="preserve">our maintenance contractor </w:t>
            </w:r>
          </w:p>
        </w:tc>
      </w:tr>
      <w:tr w:rsidR="00030337" w:rsidRPr="001244BB" w:rsidTr="00030337">
        <w:trPr>
          <w:trHeight w:val="2055"/>
        </w:trPr>
        <w:tc>
          <w:tcPr>
            <w:tcW w:w="3672" w:type="dxa"/>
            <w:tcBorders>
              <w:top w:val="nil"/>
              <w:left w:val="nil"/>
              <w:bottom w:val="single" w:sz="8" w:space="0" w:color="00B050"/>
              <w:right w:val="single" w:sz="4" w:space="0" w:color="00B050"/>
            </w:tcBorders>
            <w:shd w:val="clear" w:color="auto" w:fill="auto"/>
            <w:hideMark/>
          </w:tcPr>
          <w:p w:rsidR="00030337" w:rsidRPr="001244BB" w:rsidRDefault="00030337" w:rsidP="00030337">
            <w:pPr>
              <w:spacing w:after="0" w:line="240" w:lineRule="auto"/>
              <w:rPr>
                <w:rFonts w:eastAsia="Times New Roman" w:cstheme="minorHAnsi"/>
                <w:color w:val="000000"/>
                <w:sz w:val="20"/>
                <w:szCs w:val="20"/>
                <w:lang w:eastAsia="en-NZ"/>
              </w:rPr>
            </w:pPr>
            <w:r w:rsidRPr="001244BB">
              <w:rPr>
                <w:rFonts w:eastAsia="Times New Roman" w:cstheme="minorHAnsi"/>
                <w:color w:val="000000"/>
                <w:sz w:val="20"/>
                <w:szCs w:val="20"/>
                <w:lang w:eastAsia="en-NZ"/>
              </w:rPr>
              <w:t>Median response time for resolution for urgent call outs*</w:t>
            </w:r>
            <w:r w:rsidR="005F3580">
              <w:rPr>
                <w:rFonts w:eastAsia="Times New Roman" w:cstheme="minorHAnsi"/>
                <w:color w:val="000000"/>
                <w:sz w:val="20"/>
                <w:szCs w:val="20"/>
                <w:lang w:eastAsia="en-NZ"/>
              </w:rPr>
              <w:t xml:space="preserve"> (hours)</w:t>
            </w:r>
          </w:p>
        </w:tc>
        <w:tc>
          <w:tcPr>
            <w:tcW w:w="1140" w:type="dxa"/>
            <w:tcBorders>
              <w:top w:val="single" w:sz="8" w:space="0" w:color="00B050"/>
              <w:left w:val="single" w:sz="4" w:space="0" w:color="00B050"/>
              <w:bottom w:val="single" w:sz="8" w:space="0" w:color="00B050"/>
              <w:right w:val="single" w:sz="4" w:space="0" w:color="00B050"/>
            </w:tcBorders>
            <w:shd w:val="clear" w:color="auto" w:fill="auto"/>
            <w:noWrap/>
            <w:hideMark/>
          </w:tcPr>
          <w:p w:rsidR="00030337" w:rsidRPr="001244BB" w:rsidRDefault="00030337" w:rsidP="00030337">
            <w:pPr>
              <w:spacing w:after="0" w:line="240" w:lineRule="auto"/>
              <w:jc w:val="right"/>
              <w:rPr>
                <w:rFonts w:eastAsia="Times New Roman" w:cstheme="minorHAnsi"/>
                <w:color w:val="000000"/>
                <w:sz w:val="20"/>
                <w:szCs w:val="20"/>
                <w:lang w:eastAsia="en-NZ"/>
              </w:rPr>
            </w:pPr>
            <w:r w:rsidRPr="001244BB">
              <w:rPr>
                <w:rFonts w:eastAsia="Times New Roman" w:cstheme="minorHAnsi"/>
                <w:color w:val="000000"/>
                <w:sz w:val="20"/>
                <w:szCs w:val="20"/>
                <w:lang w:eastAsia="en-NZ"/>
              </w:rPr>
              <w:t>3.23</w:t>
            </w:r>
            <w:r w:rsidR="00B27E9D">
              <w:rPr>
                <w:rFonts w:eastAsia="Times New Roman" w:cstheme="minorHAnsi"/>
                <w:color w:val="000000"/>
                <w:sz w:val="20"/>
                <w:szCs w:val="20"/>
                <w:lang w:eastAsia="en-NZ"/>
              </w:rPr>
              <w:t xml:space="preserve"> hours</w:t>
            </w:r>
          </w:p>
        </w:tc>
        <w:tc>
          <w:tcPr>
            <w:tcW w:w="1142" w:type="dxa"/>
            <w:gridSpan w:val="2"/>
            <w:tcBorders>
              <w:top w:val="single" w:sz="8" w:space="0" w:color="00B050"/>
              <w:left w:val="single" w:sz="4" w:space="0" w:color="00B050"/>
              <w:bottom w:val="single" w:sz="8" w:space="0" w:color="00B050"/>
              <w:right w:val="single" w:sz="4" w:space="0" w:color="00B050"/>
            </w:tcBorders>
            <w:shd w:val="clear" w:color="auto" w:fill="auto"/>
            <w:noWrap/>
            <w:hideMark/>
          </w:tcPr>
          <w:p w:rsidR="00030337" w:rsidRPr="001244BB" w:rsidRDefault="00030337" w:rsidP="00030337">
            <w:pPr>
              <w:spacing w:after="0" w:line="240" w:lineRule="auto"/>
              <w:jc w:val="right"/>
              <w:rPr>
                <w:rFonts w:eastAsia="Times New Roman" w:cstheme="minorHAnsi"/>
                <w:color w:val="000000"/>
                <w:sz w:val="20"/>
                <w:szCs w:val="20"/>
                <w:lang w:eastAsia="en-NZ"/>
              </w:rPr>
            </w:pPr>
            <w:r w:rsidRPr="001244BB">
              <w:rPr>
                <w:rFonts w:eastAsia="Times New Roman" w:cstheme="minorHAnsi"/>
                <w:color w:val="000000"/>
                <w:sz w:val="20"/>
                <w:szCs w:val="20"/>
                <w:lang w:eastAsia="en-NZ"/>
              </w:rPr>
              <w:t>3.77</w:t>
            </w:r>
            <w:r w:rsidR="00B27E9D">
              <w:rPr>
                <w:rFonts w:eastAsia="Times New Roman" w:cstheme="minorHAnsi"/>
                <w:color w:val="000000"/>
                <w:sz w:val="20"/>
                <w:szCs w:val="20"/>
                <w:lang w:eastAsia="en-NZ"/>
              </w:rPr>
              <w:t xml:space="preserve"> hours</w:t>
            </w:r>
          </w:p>
        </w:tc>
        <w:tc>
          <w:tcPr>
            <w:tcW w:w="1276" w:type="dxa"/>
            <w:tcBorders>
              <w:top w:val="single" w:sz="8" w:space="0" w:color="00B050"/>
              <w:left w:val="single" w:sz="4" w:space="0" w:color="00B050"/>
              <w:bottom w:val="single" w:sz="8" w:space="0" w:color="00B050"/>
              <w:right w:val="single" w:sz="4" w:space="0" w:color="00B050"/>
            </w:tcBorders>
            <w:shd w:val="clear" w:color="auto" w:fill="auto"/>
            <w:noWrap/>
            <w:hideMark/>
          </w:tcPr>
          <w:p w:rsidR="00030337" w:rsidRPr="001244BB" w:rsidRDefault="00030337" w:rsidP="00030337">
            <w:pPr>
              <w:spacing w:after="0" w:line="240" w:lineRule="auto"/>
              <w:jc w:val="right"/>
              <w:rPr>
                <w:rFonts w:eastAsia="Times New Roman" w:cstheme="minorHAnsi"/>
                <w:color w:val="000000"/>
                <w:sz w:val="20"/>
                <w:szCs w:val="20"/>
                <w:lang w:eastAsia="en-NZ"/>
              </w:rPr>
            </w:pPr>
            <w:r w:rsidRPr="001244BB">
              <w:rPr>
                <w:rFonts w:eastAsia="Times New Roman" w:cstheme="minorHAnsi"/>
                <w:color w:val="000000"/>
                <w:sz w:val="20"/>
                <w:szCs w:val="20"/>
                <w:lang w:eastAsia="en-NZ"/>
              </w:rPr>
              <w:t>4.38</w:t>
            </w:r>
            <w:r w:rsidR="005F3580">
              <w:rPr>
                <w:rFonts w:eastAsia="Times New Roman" w:cstheme="minorHAnsi"/>
                <w:color w:val="000000"/>
                <w:sz w:val="20"/>
                <w:szCs w:val="20"/>
                <w:lang w:eastAsia="en-NZ"/>
              </w:rPr>
              <w:t xml:space="preserve"> hours</w:t>
            </w:r>
          </w:p>
        </w:tc>
        <w:tc>
          <w:tcPr>
            <w:tcW w:w="1134" w:type="dxa"/>
            <w:tcBorders>
              <w:top w:val="single" w:sz="4" w:space="0" w:color="FFFFFF" w:themeColor="background1"/>
              <w:left w:val="single" w:sz="4" w:space="0" w:color="00B050"/>
              <w:bottom w:val="single" w:sz="8" w:space="0" w:color="00B050"/>
              <w:right w:val="single" w:sz="4" w:space="0" w:color="00B050"/>
            </w:tcBorders>
            <w:shd w:val="clear" w:color="000000" w:fill="D9D9D9"/>
            <w:hideMark/>
          </w:tcPr>
          <w:p w:rsidR="00030337" w:rsidRPr="001244BB" w:rsidRDefault="00B27E9D" w:rsidP="00030337">
            <w:pPr>
              <w:spacing w:after="0" w:line="240" w:lineRule="auto"/>
              <w:jc w:val="right"/>
              <w:rPr>
                <w:rFonts w:eastAsia="Times New Roman" w:cstheme="minorHAnsi"/>
                <w:color w:val="000000"/>
                <w:sz w:val="20"/>
                <w:szCs w:val="20"/>
                <w:lang w:eastAsia="en-NZ"/>
              </w:rPr>
            </w:pPr>
            <w:r>
              <w:rPr>
                <w:rFonts w:eastAsia="Times New Roman" w:cstheme="minorHAnsi"/>
                <w:color w:val="000000"/>
                <w:sz w:val="20"/>
                <w:szCs w:val="20"/>
                <w:lang w:eastAsia="en-NZ"/>
              </w:rPr>
              <w:t>&lt;</w:t>
            </w:r>
            <w:r w:rsidR="00030337" w:rsidRPr="001244BB">
              <w:rPr>
                <w:rFonts w:eastAsia="Times New Roman" w:cstheme="minorHAnsi"/>
                <w:color w:val="000000"/>
                <w:sz w:val="20"/>
                <w:szCs w:val="20"/>
                <w:lang w:eastAsia="en-NZ"/>
              </w:rPr>
              <w:t>4 hours</w:t>
            </w:r>
          </w:p>
        </w:tc>
        <w:tc>
          <w:tcPr>
            <w:tcW w:w="851" w:type="dxa"/>
            <w:tcBorders>
              <w:top w:val="single" w:sz="4" w:space="0" w:color="FFFFFF" w:themeColor="background1"/>
              <w:left w:val="single" w:sz="4" w:space="0" w:color="00B050"/>
              <w:bottom w:val="single" w:sz="8" w:space="0" w:color="00B050"/>
              <w:right w:val="single" w:sz="4" w:space="0" w:color="00B050"/>
            </w:tcBorders>
            <w:shd w:val="clear" w:color="auto" w:fill="auto"/>
            <w:hideMark/>
          </w:tcPr>
          <w:p w:rsidR="00030337" w:rsidRPr="001244BB" w:rsidRDefault="00030337" w:rsidP="00030337">
            <w:pPr>
              <w:spacing w:after="0" w:line="240" w:lineRule="auto"/>
              <w:jc w:val="right"/>
              <w:rPr>
                <w:rFonts w:eastAsia="Times New Roman" w:cstheme="minorHAnsi"/>
                <w:sz w:val="20"/>
                <w:szCs w:val="20"/>
                <w:lang w:eastAsia="en-NZ"/>
              </w:rPr>
            </w:pPr>
            <w:r w:rsidRPr="001244BB">
              <w:rPr>
                <w:rFonts w:eastAsia="Times New Roman" w:cstheme="minorHAnsi"/>
                <w:sz w:val="20"/>
                <w:szCs w:val="20"/>
                <w:lang w:eastAsia="en-NZ"/>
              </w:rPr>
              <w:t>-10%</w:t>
            </w:r>
          </w:p>
        </w:tc>
        <w:tc>
          <w:tcPr>
            <w:tcW w:w="1134" w:type="dxa"/>
            <w:tcBorders>
              <w:top w:val="single" w:sz="4" w:space="0" w:color="FFFFFF" w:themeColor="background1"/>
              <w:left w:val="single" w:sz="4" w:space="0" w:color="00B050"/>
              <w:bottom w:val="single" w:sz="8" w:space="0" w:color="00B050"/>
              <w:right w:val="single" w:sz="4" w:space="0" w:color="00B050"/>
            </w:tcBorders>
            <w:shd w:val="clear" w:color="auto" w:fill="auto"/>
            <w:hideMark/>
          </w:tcPr>
          <w:p w:rsidR="00030337" w:rsidRPr="001244BB" w:rsidRDefault="004A2F47" w:rsidP="00030337">
            <w:pPr>
              <w:spacing w:after="0" w:line="240" w:lineRule="auto"/>
              <w:jc w:val="right"/>
              <w:rPr>
                <w:rFonts w:eastAsia="Times New Roman" w:cstheme="minorHAnsi"/>
                <w:sz w:val="20"/>
                <w:szCs w:val="20"/>
                <w:lang w:eastAsia="en-NZ"/>
              </w:rPr>
            </w:pPr>
            <w:r>
              <w:rPr>
                <w:rFonts w:eastAsia="Times New Roman" w:cstheme="minorHAnsi"/>
                <w:color w:val="000000"/>
                <w:sz w:val="20"/>
                <w:szCs w:val="20"/>
                <w:lang w:eastAsia="en-NZ"/>
              </w:rPr>
              <w:t>Within 10%</w:t>
            </w:r>
          </w:p>
        </w:tc>
        <w:tc>
          <w:tcPr>
            <w:tcW w:w="4635" w:type="dxa"/>
            <w:tcBorders>
              <w:top w:val="single" w:sz="4" w:space="0" w:color="00B050"/>
              <w:left w:val="single" w:sz="4" w:space="0" w:color="00B050"/>
              <w:bottom w:val="single" w:sz="4" w:space="0" w:color="00B050"/>
              <w:right w:val="nil"/>
            </w:tcBorders>
            <w:shd w:val="clear" w:color="auto" w:fill="auto"/>
            <w:hideMark/>
          </w:tcPr>
          <w:p w:rsidR="00030337" w:rsidRPr="001244BB" w:rsidRDefault="00030337" w:rsidP="00A204D6">
            <w:pPr>
              <w:spacing w:after="0" w:line="240" w:lineRule="auto"/>
              <w:rPr>
                <w:rFonts w:eastAsia="Times New Roman" w:cstheme="minorHAnsi"/>
                <w:color w:val="000000"/>
                <w:sz w:val="20"/>
                <w:szCs w:val="20"/>
                <w:lang w:eastAsia="en-NZ"/>
              </w:rPr>
            </w:pPr>
            <w:r w:rsidRPr="001244BB">
              <w:rPr>
                <w:rFonts w:eastAsia="Times New Roman" w:cstheme="minorHAnsi"/>
                <w:color w:val="000000"/>
                <w:sz w:val="20"/>
                <w:szCs w:val="20"/>
                <w:lang w:eastAsia="en-NZ"/>
              </w:rPr>
              <w:t>.</w:t>
            </w:r>
          </w:p>
        </w:tc>
      </w:tr>
      <w:tr w:rsidR="00030337" w:rsidRPr="001244BB" w:rsidTr="00030337">
        <w:trPr>
          <w:trHeight w:val="2055"/>
        </w:trPr>
        <w:tc>
          <w:tcPr>
            <w:tcW w:w="3672" w:type="dxa"/>
            <w:tcBorders>
              <w:top w:val="nil"/>
              <w:left w:val="nil"/>
              <w:bottom w:val="single" w:sz="8" w:space="0" w:color="00B050"/>
              <w:right w:val="single" w:sz="4" w:space="0" w:color="00B050"/>
            </w:tcBorders>
            <w:shd w:val="clear" w:color="auto" w:fill="auto"/>
            <w:hideMark/>
          </w:tcPr>
          <w:p w:rsidR="00030337" w:rsidRPr="001244BB" w:rsidRDefault="00030337" w:rsidP="00030337">
            <w:pPr>
              <w:spacing w:after="0" w:line="240" w:lineRule="auto"/>
              <w:rPr>
                <w:rFonts w:eastAsia="Times New Roman" w:cstheme="minorHAnsi"/>
                <w:color w:val="000000"/>
                <w:sz w:val="20"/>
                <w:szCs w:val="20"/>
                <w:lang w:eastAsia="en-NZ"/>
              </w:rPr>
            </w:pPr>
            <w:r w:rsidRPr="001244BB">
              <w:rPr>
                <w:rFonts w:eastAsia="Times New Roman" w:cstheme="minorHAnsi"/>
                <w:color w:val="000000"/>
                <w:sz w:val="20"/>
                <w:szCs w:val="20"/>
                <w:lang w:eastAsia="en-NZ"/>
              </w:rPr>
              <w:t>Median response time for attendance for non-urgent call outs*</w:t>
            </w:r>
            <w:r w:rsidR="005F3580">
              <w:rPr>
                <w:rFonts w:eastAsia="Times New Roman" w:cstheme="minorHAnsi"/>
                <w:color w:val="000000"/>
                <w:sz w:val="20"/>
                <w:szCs w:val="20"/>
                <w:lang w:eastAsia="en-NZ"/>
              </w:rPr>
              <w:t xml:space="preserve"> (hours)</w:t>
            </w:r>
          </w:p>
        </w:tc>
        <w:tc>
          <w:tcPr>
            <w:tcW w:w="1140" w:type="dxa"/>
            <w:tcBorders>
              <w:top w:val="single" w:sz="8" w:space="0" w:color="00B050"/>
              <w:left w:val="single" w:sz="4" w:space="0" w:color="00B050"/>
              <w:bottom w:val="single" w:sz="8" w:space="0" w:color="00B050"/>
              <w:right w:val="single" w:sz="4" w:space="0" w:color="00B050"/>
            </w:tcBorders>
            <w:shd w:val="clear" w:color="auto" w:fill="auto"/>
            <w:noWrap/>
            <w:hideMark/>
          </w:tcPr>
          <w:p w:rsidR="00030337" w:rsidRPr="001244BB" w:rsidRDefault="00030337" w:rsidP="00030337">
            <w:pPr>
              <w:spacing w:after="0" w:line="240" w:lineRule="auto"/>
              <w:jc w:val="right"/>
              <w:rPr>
                <w:rFonts w:eastAsia="Times New Roman" w:cstheme="minorHAnsi"/>
                <w:color w:val="000000"/>
                <w:sz w:val="20"/>
                <w:szCs w:val="20"/>
                <w:lang w:eastAsia="en-NZ"/>
              </w:rPr>
            </w:pPr>
            <w:r w:rsidRPr="001244BB">
              <w:rPr>
                <w:rFonts w:eastAsia="Times New Roman" w:cstheme="minorHAnsi"/>
                <w:color w:val="000000"/>
                <w:sz w:val="20"/>
                <w:szCs w:val="20"/>
                <w:lang w:eastAsia="en-NZ"/>
              </w:rPr>
              <w:t>44.8</w:t>
            </w:r>
            <w:r w:rsidR="00B27E9D">
              <w:rPr>
                <w:rFonts w:eastAsia="Times New Roman" w:cstheme="minorHAnsi"/>
                <w:color w:val="000000"/>
                <w:sz w:val="20"/>
                <w:szCs w:val="20"/>
                <w:lang w:eastAsia="en-NZ"/>
              </w:rPr>
              <w:t xml:space="preserve"> hours</w:t>
            </w:r>
          </w:p>
        </w:tc>
        <w:tc>
          <w:tcPr>
            <w:tcW w:w="1142" w:type="dxa"/>
            <w:gridSpan w:val="2"/>
            <w:tcBorders>
              <w:top w:val="single" w:sz="8" w:space="0" w:color="00B050"/>
              <w:left w:val="single" w:sz="4" w:space="0" w:color="00B050"/>
              <w:bottom w:val="single" w:sz="8" w:space="0" w:color="00B050"/>
              <w:right w:val="single" w:sz="4" w:space="0" w:color="00B050"/>
            </w:tcBorders>
            <w:shd w:val="clear" w:color="auto" w:fill="auto"/>
            <w:noWrap/>
            <w:hideMark/>
          </w:tcPr>
          <w:p w:rsidR="00030337" w:rsidRPr="001244BB" w:rsidRDefault="00030337" w:rsidP="00030337">
            <w:pPr>
              <w:spacing w:after="0" w:line="240" w:lineRule="auto"/>
              <w:jc w:val="right"/>
              <w:rPr>
                <w:rFonts w:eastAsia="Times New Roman" w:cstheme="minorHAnsi"/>
                <w:color w:val="000000"/>
                <w:sz w:val="20"/>
                <w:szCs w:val="20"/>
                <w:lang w:eastAsia="en-NZ"/>
              </w:rPr>
            </w:pPr>
            <w:r w:rsidRPr="001244BB">
              <w:rPr>
                <w:rFonts w:eastAsia="Times New Roman" w:cstheme="minorHAnsi"/>
                <w:color w:val="000000"/>
                <w:sz w:val="20"/>
                <w:szCs w:val="20"/>
                <w:lang w:eastAsia="en-NZ"/>
              </w:rPr>
              <w:t>52.8</w:t>
            </w:r>
            <w:r w:rsidR="00B27E9D">
              <w:rPr>
                <w:rFonts w:eastAsia="Times New Roman" w:cstheme="minorHAnsi"/>
                <w:color w:val="000000"/>
                <w:sz w:val="20"/>
                <w:szCs w:val="20"/>
                <w:lang w:eastAsia="en-NZ"/>
              </w:rPr>
              <w:t xml:space="preserve"> hours</w:t>
            </w:r>
          </w:p>
        </w:tc>
        <w:tc>
          <w:tcPr>
            <w:tcW w:w="1276" w:type="dxa"/>
            <w:tcBorders>
              <w:top w:val="single" w:sz="8" w:space="0" w:color="00B050"/>
              <w:left w:val="single" w:sz="4" w:space="0" w:color="00B050"/>
              <w:bottom w:val="single" w:sz="8" w:space="0" w:color="00B050"/>
              <w:right w:val="single" w:sz="4" w:space="0" w:color="00B050"/>
            </w:tcBorders>
            <w:shd w:val="clear" w:color="auto" w:fill="auto"/>
            <w:noWrap/>
            <w:hideMark/>
          </w:tcPr>
          <w:p w:rsidR="00030337" w:rsidRPr="001244BB" w:rsidRDefault="00030337" w:rsidP="00030337">
            <w:pPr>
              <w:spacing w:after="0" w:line="240" w:lineRule="auto"/>
              <w:jc w:val="right"/>
              <w:rPr>
                <w:rFonts w:eastAsia="Times New Roman" w:cstheme="minorHAnsi"/>
                <w:color w:val="000000"/>
                <w:sz w:val="20"/>
                <w:szCs w:val="20"/>
                <w:lang w:eastAsia="en-NZ"/>
              </w:rPr>
            </w:pPr>
            <w:r w:rsidRPr="001244BB">
              <w:rPr>
                <w:rFonts w:eastAsia="Times New Roman" w:cstheme="minorHAnsi"/>
                <w:color w:val="000000"/>
                <w:sz w:val="20"/>
                <w:szCs w:val="20"/>
                <w:lang w:eastAsia="en-NZ"/>
              </w:rPr>
              <w:t>74.3</w:t>
            </w:r>
            <w:r w:rsidR="005F3580">
              <w:rPr>
                <w:rFonts w:eastAsia="Times New Roman" w:cstheme="minorHAnsi"/>
                <w:color w:val="000000"/>
                <w:sz w:val="20"/>
                <w:szCs w:val="20"/>
                <w:lang w:eastAsia="en-NZ"/>
              </w:rPr>
              <w:t xml:space="preserve"> hours</w:t>
            </w:r>
          </w:p>
        </w:tc>
        <w:tc>
          <w:tcPr>
            <w:tcW w:w="1134" w:type="dxa"/>
            <w:tcBorders>
              <w:top w:val="single" w:sz="8" w:space="0" w:color="00B050"/>
              <w:left w:val="single" w:sz="4" w:space="0" w:color="00B050"/>
              <w:bottom w:val="single" w:sz="8" w:space="0" w:color="00B050"/>
              <w:right w:val="single" w:sz="4" w:space="0" w:color="00B050"/>
            </w:tcBorders>
            <w:shd w:val="clear" w:color="000000" w:fill="D9D9D9"/>
            <w:hideMark/>
          </w:tcPr>
          <w:p w:rsidR="00030337" w:rsidRPr="001244BB" w:rsidRDefault="00B27E9D" w:rsidP="00030337">
            <w:pPr>
              <w:spacing w:after="0" w:line="240" w:lineRule="auto"/>
              <w:jc w:val="right"/>
              <w:rPr>
                <w:rFonts w:eastAsia="Times New Roman" w:cstheme="minorHAnsi"/>
                <w:color w:val="000000"/>
                <w:sz w:val="20"/>
                <w:szCs w:val="20"/>
                <w:lang w:eastAsia="en-NZ"/>
              </w:rPr>
            </w:pPr>
            <w:r>
              <w:rPr>
                <w:rFonts w:eastAsia="Times New Roman" w:cstheme="minorHAnsi"/>
                <w:color w:val="000000"/>
                <w:sz w:val="20"/>
                <w:szCs w:val="20"/>
                <w:lang w:eastAsia="en-NZ"/>
              </w:rPr>
              <w:t>&lt;</w:t>
            </w:r>
            <w:r w:rsidR="00030337" w:rsidRPr="001244BB">
              <w:rPr>
                <w:rFonts w:eastAsia="Times New Roman" w:cstheme="minorHAnsi"/>
                <w:color w:val="000000"/>
                <w:sz w:val="20"/>
                <w:szCs w:val="20"/>
                <w:lang w:eastAsia="en-NZ"/>
              </w:rPr>
              <w:t>36 hours</w:t>
            </w:r>
          </w:p>
        </w:tc>
        <w:tc>
          <w:tcPr>
            <w:tcW w:w="851" w:type="dxa"/>
            <w:tcBorders>
              <w:top w:val="single" w:sz="8" w:space="0" w:color="00B050"/>
              <w:left w:val="single" w:sz="4" w:space="0" w:color="00B050"/>
              <w:bottom w:val="single" w:sz="8" w:space="0" w:color="00B050"/>
              <w:right w:val="single" w:sz="4" w:space="0" w:color="00B050"/>
            </w:tcBorders>
            <w:shd w:val="clear" w:color="auto" w:fill="auto"/>
            <w:hideMark/>
          </w:tcPr>
          <w:p w:rsidR="00030337" w:rsidRPr="001244BB" w:rsidRDefault="00030337" w:rsidP="00030337">
            <w:pPr>
              <w:spacing w:after="0" w:line="240" w:lineRule="auto"/>
              <w:jc w:val="right"/>
              <w:rPr>
                <w:rFonts w:eastAsia="Times New Roman" w:cstheme="minorHAnsi"/>
                <w:sz w:val="20"/>
                <w:szCs w:val="20"/>
                <w:lang w:eastAsia="en-NZ"/>
              </w:rPr>
            </w:pPr>
            <w:r w:rsidRPr="001244BB">
              <w:rPr>
                <w:rFonts w:eastAsia="Times New Roman" w:cstheme="minorHAnsi"/>
                <w:sz w:val="20"/>
                <w:szCs w:val="20"/>
                <w:lang w:eastAsia="en-NZ"/>
              </w:rPr>
              <w:t>-106%</w:t>
            </w:r>
          </w:p>
        </w:tc>
        <w:tc>
          <w:tcPr>
            <w:tcW w:w="1134" w:type="dxa"/>
            <w:tcBorders>
              <w:top w:val="single" w:sz="8" w:space="0" w:color="00B050"/>
              <w:left w:val="single" w:sz="4" w:space="0" w:color="00B050"/>
              <w:bottom w:val="single" w:sz="8" w:space="0" w:color="00B050"/>
              <w:right w:val="single" w:sz="4" w:space="0" w:color="00B050"/>
            </w:tcBorders>
            <w:shd w:val="clear" w:color="auto" w:fill="auto"/>
            <w:hideMark/>
          </w:tcPr>
          <w:p w:rsidR="00030337" w:rsidRPr="001244BB" w:rsidRDefault="00030337" w:rsidP="00030337">
            <w:pPr>
              <w:spacing w:after="0" w:line="240" w:lineRule="auto"/>
              <w:jc w:val="right"/>
              <w:rPr>
                <w:rFonts w:eastAsia="Times New Roman" w:cstheme="minorHAnsi"/>
                <w:sz w:val="20"/>
                <w:szCs w:val="20"/>
                <w:lang w:eastAsia="en-NZ"/>
              </w:rPr>
            </w:pPr>
            <w:r w:rsidRPr="001244BB">
              <w:rPr>
                <w:rFonts w:eastAsia="Times New Roman" w:cstheme="minorHAnsi"/>
                <w:sz w:val="20"/>
                <w:szCs w:val="20"/>
                <w:lang w:eastAsia="en-NZ"/>
              </w:rPr>
              <w:t>not met</w:t>
            </w:r>
          </w:p>
        </w:tc>
        <w:tc>
          <w:tcPr>
            <w:tcW w:w="4635" w:type="dxa"/>
            <w:tcBorders>
              <w:top w:val="single" w:sz="4" w:space="0" w:color="00B050"/>
              <w:left w:val="single" w:sz="4" w:space="0" w:color="00B050"/>
              <w:bottom w:val="single" w:sz="4" w:space="0" w:color="00B050"/>
              <w:right w:val="nil"/>
            </w:tcBorders>
            <w:shd w:val="clear" w:color="auto" w:fill="auto"/>
            <w:hideMark/>
          </w:tcPr>
          <w:p w:rsidR="00030337" w:rsidRPr="001244BB" w:rsidRDefault="00030337" w:rsidP="00B27E9D">
            <w:pPr>
              <w:spacing w:after="0" w:line="240" w:lineRule="auto"/>
              <w:rPr>
                <w:rFonts w:eastAsia="Times New Roman" w:cstheme="minorHAnsi"/>
                <w:color w:val="000000"/>
                <w:sz w:val="20"/>
                <w:szCs w:val="20"/>
                <w:lang w:eastAsia="en-NZ"/>
              </w:rPr>
            </w:pPr>
            <w:r w:rsidRPr="001244BB">
              <w:rPr>
                <w:rFonts w:eastAsia="Times New Roman" w:cstheme="minorHAnsi"/>
                <w:color w:val="000000"/>
                <w:sz w:val="20"/>
                <w:szCs w:val="20"/>
                <w:lang w:eastAsia="en-NZ"/>
              </w:rPr>
              <w:t xml:space="preserve">An increased number of reported water leaks </w:t>
            </w:r>
            <w:proofErr w:type="gramStart"/>
            <w:r w:rsidRPr="001244BB">
              <w:rPr>
                <w:rFonts w:eastAsia="Times New Roman" w:cstheme="minorHAnsi"/>
                <w:color w:val="000000"/>
                <w:sz w:val="20"/>
                <w:szCs w:val="20"/>
                <w:lang w:eastAsia="en-NZ"/>
              </w:rPr>
              <w:t>has</w:t>
            </w:r>
            <w:proofErr w:type="gramEnd"/>
            <w:r w:rsidRPr="001244BB">
              <w:rPr>
                <w:rFonts w:eastAsia="Times New Roman" w:cstheme="minorHAnsi"/>
                <w:color w:val="000000"/>
                <w:sz w:val="20"/>
                <w:szCs w:val="20"/>
                <w:lang w:eastAsia="en-NZ"/>
              </w:rPr>
              <w:t xml:space="preserve"> meant the initial response to non-urgent repairs has been slower. Increased awareness around health and safety requirements and public perception to leak repairs after hours has meant the more planning is now required prior to works on site. </w:t>
            </w:r>
          </w:p>
        </w:tc>
      </w:tr>
      <w:tr w:rsidR="00030337" w:rsidRPr="001244BB" w:rsidTr="00030337">
        <w:trPr>
          <w:trHeight w:val="270"/>
        </w:trPr>
        <w:tc>
          <w:tcPr>
            <w:tcW w:w="3672" w:type="dxa"/>
            <w:tcBorders>
              <w:top w:val="nil"/>
              <w:left w:val="nil"/>
              <w:bottom w:val="single" w:sz="8" w:space="0" w:color="00B050"/>
              <w:right w:val="single" w:sz="4" w:space="0" w:color="00B050"/>
            </w:tcBorders>
            <w:shd w:val="clear" w:color="auto" w:fill="auto"/>
            <w:hideMark/>
          </w:tcPr>
          <w:p w:rsidR="00030337" w:rsidRPr="001244BB" w:rsidRDefault="00030337" w:rsidP="00030337">
            <w:pPr>
              <w:spacing w:after="0" w:line="240" w:lineRule="auto"/>
              <w:rPr>
                <w:rFonts w:eastAsia="Times New Roman" w:cstheme="minorHAnsi"/>
                <w:color w:val="000000"/>
                <w:sz w:val="20"/>
                <w:szCs w:val="20"/>
                <w:lang w:eastAsia="en-NZ"/>
              </w:rPr>
            </w:pPr>
            <w:r w:rsidRPr="001244BB">
              <w:rPr>
                <w:rFonts w:eastAsia="Times New Roman" w:cstheme="minorHAnsi"/>
                <w:color w:val="000000"/>
                <w:sz w:val="20"/>
                <w:szCs w:val="20"/>
                <w:lang w:eastAsia="en-NZ"/>
              </w:rPr>
              <w:t>Median response time for resolution for non-urgent call outs*</w:t>
            </w:r>
            <w:r w:rsidR="005F3580">
              <w:rPr>
                <w:rFonts w:eastAsia="Times New Roman" w:cstheme="minorHAnsi"/>
                <w:color w:val="000000"/>
                <w:sz w:val="20"/>
                <w:szCs w:val="20"/>
                <w:lang w:eastAsia="en-NZ"/>
              </w:rPr>
              <w:t xml:space="preserve"> (days)</w:t>
            </w:r>
          </w:p>
        </w:tc>
        <w:tc>
          <w:tcPr>
            <w:tcW w:w="1140" w:type="dxa"/>
            <w:tcBorders>
              <w:top w:val="single" w:sz="8" w:space="0" w:color="00B050"/>
              <w:left w:val="single" w:sz="4" w:space="0" w:color="00B050"/>
              <w:bottom w:val="single" w:sz="8" w:space="0" w:color="00B050"/>
              <w:right w:val="single" w:sz="4" w:space="0" w:color="00B050"/>
            </w:tcBorders>
            <w:shd w:val="clear" w:color="auto" w:fill="auto"/>
            <w:noWrap/>
            <w:hideMark/>
          </w:tcPr>
          <w:p w:rsidR="00030337" w:rsidRPr="001244BB" w:rsidRDefault="00030337" w:rsidP="00030337">
            <w:pPr>
              <w:spacing w:after="0" w:line="240" w:lineRule="auto"/>
              <w:jc w:val="right"/>
              <w:rPr>
                <w:rFonts w:eastAsia="Times New Roman" w:cstheme="minorHAnsi"/>
                <w:color w:val="000000"/>
                <w:sz w:val="20"/>
                <w:szCs w:val="20"/>
                <w:lang w:eastAsia="en-NZ"/>
              </w:rPr>
            </w:pPr>
            <w:r w:rsidRPr="001244BB">
              <w:rPr>
                <w:rFonts w:eastAsia="Times New Roman" w:cstheme="minorHAnsi"/>
                <w:color w:val="000000"/>
                <w:sz w:val="20"/>
                <w:szCs w:val="20"/>
                <w:lang w:eastAsia="en-NZ"/>
              </w:rPr>
              <w:t>2.93</w:t>
            </w:r>
            <w:r w:rsidR="00B27E9D">
              <w:rPr>
                <w:rFonts w:eastAsia="Times New Roman" w:cstheme="minorHAnsi"/>
                <w:color w:val="000000"/>
                <w:sz w:val="20"/>
                <w:szCs w:val="20"/>
                <w:lang w:eastAsia="en-NZ"/>
              </w:rPr>
              <w:t xml:space="preserve"> days</w:t>
            </w:r>
          </w:p>
        </w:tc>
        <w:tc>
          <w:tcPr>
            <w:tcW w:w="1142" w:type="dxa"/>
            <w:gridSpan w:val="2"/>
            <w:tcBorders>
              <w:top w:val="single" w:sz="8" w:space="0" w:color="00B050"/>
              <w:left w:val="single" w:sz="4" w:space="0" w:color="00B050"/>
              <w:bottom w:val="single" w:sz="8" w:space="0" w:color="00B050"/>
              <w:right w:val="single" w:sz="4" w:space="0" w:color="00B050"/>
            </w:tcBorders>
            <w:shd w:val="clear" w:color="auto" w:fill="auto"/>
            <w:noWrap/>
            <w:hideMark/>
          </w:tcPr>
          <w:p w:rsidR="00030337" w:rsidRPr="001244BB" w:rsidRDefault="00030337" w:rsidP="00030337">
            <w:pPr>
              <w:spacing w:after="0" w:line="240" w:lineRule="auto"/>
              <w:jc w:val="right"/>
              <w:rPr>
                <w:rFonts w:eastAsia="Times New Roman" w:cstheme="minorHAnsi"/>
                <w:color w:val="000000"/>
                <w:sz w:val="20"/>
                <w:szCs w:val="20"/>
                <w:lang w:eastAsia="en-NZ"/>
              </w:rPr>
            </w:pPr>
            <w:r w:rsidRPr="001244BB">
              <w:rPr>
                <w:rFonts w:eastAsia="Times New Roman" w:cstheme="minorHAnsi"/>
                <w:color w:val="000000"/>
                <w:sz w:val="20"/>
                <w:szCs w:val="20"/>
                <w:lang w:eastAsia="en-NZ"/>
              </w:rPr>
              <w:t>3.72</w:t>
            </w:r>
            <w:r w:rsidR="00B27E9D">
              <w:rPr>
                <w:rFonts w:eastAsia="Times New Roman" w:cstheme="minorHAnsi"/>
                <w:color w:val="000000"/>
                <w:sz w:val="20"/>
                <w:szCs w:val="20"/>
                <w:lang w:eastAsia="en-NZ"/>
              </w:rPr>
              <w:t xml:space="preserve"> days</w:t>
            </w:r>
          </w:p>
        </w:tc>
        <w:tc>
          <w:tcPr>
            <w:tcW w:w="1276" w:type="dxa"/>
            <w:tcBorders>
              <w:top w:val="single" w:sz="8" w:space="0" w:color="00B050"/>
              <w:left w:val="single" w:sz="4" w:space="0" w:color="00B050"/>
              <w:bottom w:val="single" w:sz="8" w:space="0" w:color="00B050"/>
              <w:right w:val="single" w:sz="4" w:space="0" w:color="00B050"/>
            </w:tcBorders>
            <w:shd w:val="clear" w:color="auto" w:fill="auto"/>
            <w:noWrap/>
            <w:hideMark/>
          </w:tcPr>
          <w:p w:rsidR="00030337" w:rsidRPr="001244BB" w:rsidRDefault="00030337" w:rsidP="00030337">
            <w:pPr>
              <w:spacing w:after="0" w:line="240" w:lineRule="auto"/>
              <w:jc w:val="right"/>
              <w:rPr>
                <w:rFonts w:eastAsia="Times New Roman" w:cstheme="minorHAnsi"/>
                <w:color w:val="000000"/>
                <w:sz w:val="20"/>
                <w:szCs w:val="20"/>
                <w:lang w:eastAsia="en-NZ"/>
              </w:rPr>
            </w:pPr>
            <w:r w:rsidRPr="001244BB">
              <w:rPr>
                <w:rFonts w:eastAsia="Times New Roman" w:cstheme="minorHAnsi"/>
                <w:color w:val="000000"/>
                <w:sz w:val="20"/>
                <w:szCs w:val="20"/>
                <w:lang w:eastAsia="en-NZ"/>
              </w:rPr>
              <w:t>4.89</w:t>
            </w:r>
            <w:r w:rsidR="005F3580">
              <w:rPr>
                <w:rFonts w:eastAsia="Times New Roman" w:cstheme="minorHAnsi"/>
                <w:color w:val="000000"/>
                <w:sz w:val="20"/>
                <w:szCs w:val="20"/>
                <w:lang w:eastAsia="en-NZ"/>
              </w:rPr>
              <w:t xml:space="preserve"> days</w:t>
            </w:r>
          </w:p>
        </w:tc>
        <w:tc>
          <w:tcPr>
            <w:tcW w:w="1134" w:type="dxa"/>
            <w:tcBorders>
              <w:top w:val="single" w:sz="8" w:space="0" w:color="00B050"/>
              <w:left w:val="single" w:sz="4" w:space="0" w:color="00B050"/>
              <w:bottom w:val="single" w:sz="8" w:space="0" w:color="00B050"/>
              <w:right w:val="single" w:sz="4" w:space="0" w:color="00B050"/>
            </w:tcBorders>
            <w:shd w:val="clear" w:color="000000" w:fill="D9D9D9"/>
            <w:hideMark/>
          </w:tcPr>
          <w:p w:rsidR="00030337" w:rsidRPr="001244BB" w:rsidRDefault="00030337" w:rsidP="00030337">
            <w:pPr>
              <w:spacing w:after="0" w:line="240" w:lineRule="auto"/>
              <w:jc w:val="right"/>
              <w:rPr>
                <w:rFonts w:eastAsia="Times New Roman" w:cstheme="minorHAnsi"/>
                <w:color w:val="000000"/>
                <w:sz w:val="20"/>
                <w:szCs w:val="20"/>
                <w:lang w:eastAsia="en-NZ"/>
              </w:rPr>
            </w:pPr>
            <w:r w:rsidRPr="001244BB">
              <w:rPr>
                <w:rFonts w:eastAsia="Times New Roman" w:cstheme="minorHAnsi"/>
                <w:color w:val="000000"/>
                <w:sz w:val="20"/>
                <w:szCs w:val="20"/>
                <w:lang w:eastAsia="en-NZ"/>
              </w:rPr>
              <w:t>5 days</w:t>
            </w:r>
          </w:p>
        </w:tc>
        <w:tc>
          <w:tcPr>
            <w:tcW w:w="851" w:type="dxa"/>
            <w:tcBorders>
              <w:top w:val="single" w:sz="8" w:space="0" w:color="00B050"/>
              <w:left w:val="single" w:sz="4" w:space="0" w:color="00B050"/>
              <w:bottom w:val="single" w:sz="8" w:space="0" w:color="00B050"/>
              <w:right w:val="single" w:sz="4" w:space="0" w:color="00B050"/>
            </w:tcBorders>
            <w:shd w:val="clear" w:color="auto" w:fill="auto"/>
            <w:hideMark/>
          </w:tcPr>
          <w:p w:rsidR="00030337" w:rsidRPr="001244BB" w:rsidRDefault="00030337" w:rsidP="00030337">
            <w:pPr>
              <w:spacing w:after="0" w:line="240" w:lineRule="auto"/>
              <w:jc w:val="right"/>
              <w:rPr>
                <w:rFonts w:eastAsia="Times New Roman" w:cstheme="minorHAnsi"/>
                <w:color w:val="000000"/>
                <w:sz w:val="20"/>
                <w:szCs w:val="20"/>
                <w:lang w:eastAsia="en-NZ"/>
              </w:rPr>
            </w:pPr>
            <w:r w:rsidRPr="001244BB">
              <w:rPr>
                <w:rFonts w:eastAsia="Times New Roman" w:cstheme="minorHAnsi"/>
                <w:color w:val="000000"/>
                <w:sz w:val="20"/>
                <w:szCs w:val="20"/>
                <w:lang w:eastAsia="en-NZ"/>
              </w:rPr>
              <w:t>2%</w:t>
            </w:r>
          </w:p>
        </w:tc>
        <w:tc>
          <w:tcPr>
            <w:tcW w:w="1134" w:type="dxa"/>
            <w:tcBorders>
              <w:top w:val="single" w:sz="8" w:space="0" w:color="00B050"/>
              <w:left w:val="single" w:sz="4" w:space="0" w:color="00B050"/>
              <w:bottom w:val="single" w:sz="8" w:space="0" w:color="00B050"/>
              <w:right w:val="single" w:sz="4" w:space="0" w:color="00B050"/>
            </w:tcBorders>
            <w:shd w:val="clear" w:color="auto" w:fill="auto"/>
            <w:hideMark/>
          </w:tcPr>
          <w:p w:rsidR="00030337" w:rsidRPr="001244BB" w:rsidRDefault="004A2F47" w:rsidP="004A2F47">
            <w:pPr>
              <w:jc w:val="right"/>
              <w:rPr>
                <w:rFonts w:cstheme="minorHAnsi"/>
                <w:sz w:val="20"/>
                <w:szCs w:val="20"/>
              </w:rPr>
            </w:pPr>
            <w:r>
              <w:rPr>
                <w:rFonts w:eastAsia="Times New Roman" w:cstheme="minorHAnsi"/>
                <w:color w:val="000000"/>
                <w:sz w:val="20"/>
                <w:szCs w:val="20"/>
                <w:lang w:eastAsia="en-NZ"/>
              </w:rPr>
              <w:t>Within 10%</w:t>
            </w:r>
          </w:p>
        </w:tc>
        <w:tc>
          <w:tcPr>
            <w:tcW w:w="4635" w:type="dxa"/>
            <w:tcBorders>
              <w:top w:val="single" w:sz="4" w:space="0" w:color="00B050"/>
              <w:left w:val="single" w:sz="4" w:space="0" w:color="00B050"/>
              <w:bottom w:val="single" w:sz="4" w:space="0" w:color="00B050"/>
              <w:right w:val="nil"/>
            </w:tcBorders>
            <w:shd w:val="clear" w:color="auto" w:fill="auto"/>
            <w:hideMark/>
          </w:tcPr>
          <w:p w:rsidR="00030337" w:rsidRPr="001244BB" w:rsidRDefault="00030337" w:rsidP="00030337">
            <w:pPr>
              <w:spacing w:after="0" w:line="240" w:lineRule="auto"/>
              <w:jc w:val="right"/>
              <w:rPr>
                <w:rFonts w:eastAsia="Times New Roman" w:cstheme="minorHAnsi"/>
                <w:color w:val="000000"/>
                <w:sz w:val="20"/>
                <w:szCs w:val="20"/>
                <w:lang w:eastAsia="en-NZ"/>
              </w:rPr>
            </w:pPr>
          </w:p>
        </w:tc>
      </w:tr>
      <w:tr w:rsidR="00030337" w:rsidRPr="001244BB" w:rsidTr="00030337">
        <w:trPr>
          <w:trHeight w:val="297"/>
        </w:trPr>
        <w:tc>
          <w:tcPr>
            <w:tcW w:w="3672" w:type="dxa"/>
            <w:tcBorders>
              <w:top w:val="nil"/>
              <w:left w:val="nil"/>
              <w:right w:val="single" w:sz="4" w:space="0" w:color="00B050"/>
            </w:tcBorders>
            <w:shd w:val="clear" w:color="auto" w:fill="auto"/>
            <w:hideMark/>
          </w:tcPr>
          <w:p w:rsidR="00030337" w:rsidRPr="001244BB" w:rsidRDefault="00030337" w:rsidP="00030337">
            <w:pPr>
              <w:spacing w:after="0" w:line="240" w:lineRule="auto"/>
              <w:rPr>
                <w:rFonts w:eastAsia="Times New Roman" w:cstheme="minorHAnsi"/>
                <w:color w:val="000000"/>
                <w:sz w:val="20"/>
                <w:szCs w:val="20"/>
                <w:lang w:eastAsia="en-NZ"/>
              </w:rPr>
            </w:pPr>
            <w:r w:rsidRPr="001244BB">
              <w:rPr>
                <w:rFonts w:eastAsia="Times New Roman" w:cstheme="minorHAnsi"/>
                <w:color w:val="000000"/>
                <w:sz w:val="20"/>
                <w:szCs w:val="20"/>
                <w:lang w:eastAsia="en-NZ"/>
              </w:rPr>
              <w:lastRenderedPageBreak/>
              <w:t>Water supply interruptions (measured as customer hours)</w:t>
            </w:r>
          </w:p>
        </w:tc>
        <w:tc>
          <w:tcPr>
            <w:tcW w:w="1140" w:type="dxa"/>
            <w:tcBorders>
              <w:top w:val="single" w:sz="8" w:space="0" w:color="00B050"/>
              <w:left w:val="single" w:sz="4" w:space="0" w:color="00B050"/>
              <w:right w:val="single" w:sz="4" w:space="0" w:color="00B050"/>
            </w:tcBorders>
            <w:shd w:val="clear" w:color="auto" w:fill="auto"/>
            <w:noWrap/>
            <w:hideMark/>
          </w:tcPr>
          <w:p w:rsidR="00030337" w:rsidRPr="001244BB" w:rsidRDefault="00030337" w:rsidP="00030337">
            <w:pPr>
              <w:spacing w:after="0" w:line="240" w:lineRule="auto"/>
              <w:jc w:val="right"/>
              <w:rPr>
                <w:rFonts w:eastAsia="Times New Roman" w:cstheme="minorHAnsi"/>
                <w:color w:val="000000"/>
                <w:sz w:val="20"/>
                <w:szCs w:val="20"/>
                <w:lang w:eastAsia="en-NZ"/>
              </w:rPr>
            </w:pPr>
          </w:p>
        </w:tc>
        <w:tc>
          <w:tcPr>
            <w:tcW w:w="1142" w:type="dxa"/>
            <w:gridSpan w:val="2"/>
            <w:tcBorders>
              <w:top w:val="single" w:sz="8" w:space="0" w:color="00B050"/>
              <w:left w:val="single" w:sz="4" w:space="0" w:color="00B050"/>
              <w:right w:val="single" w:sz="4" w:space="0" w:color="00B050"/>
            </w:tcBorders>
            <w:shd w:val="clear" w:color="auto" w:fill="auto"/>
            <w:noWrap/>
            <w:hideMark/>
          </w:tcPr>
          <w:p w:rsidR="00030337" w:rsidRPr="001244BB" w:rsidRDefault="00030337" w:rsidP="00030337">
            <w:pPr>
              <w:spacing w:after="0" w:line="240" w:lineRule="auto"/>
              <w:jc w:val="right"/>
              <w:rPr>
                <w:rFonts w:eastAsia="Times New Roman" w:cstheme="minorHAnsi"/>
                <w:color w:val="000000"/>
                <w:sz w:val="20"/>
                <w:szCs w:val="20"/>
                <w:lang w:eastAsia="en-NZ"/>
              </w:rPr>
            </w:pPr>
            <w:r w:rsidRPr="001244BB">
              <w:rPr>
                <w:rFonts w:eastAsia="Times New Roman" w:cstheme="minorHAnsi"/>
                <w:color w:val="000000"/>
                <w:sz w:val="20"/>
                <w:szCs w:val="20"/>
                <w:lang w:eastAsia="en-NZ"/>
              </w:rPr>
              <w:t>new</w:t>
            </w:r>
          </w:p>
        </w:tc>
        <w:tc>
          <w:tcPr>
            <w:tcW w:w="1276" w:type="dxa"/>
            <w:tcBorders>
              <w:top w:val="single" w:sz="8" w:space="0" w:color="00B050"/>
              <w:left w:val="single" w:sz="4" w:space="0" w:color="00B050"/>
              <w:right w:val="single" w:sz="4" w:space="0" w:color="00B050"/>
            </w:tcBorders>
            <w:shd w:val="clear" w:color="auto" w:fill="auto"/>
            <w:noWrap/>
            <w:hideMark/>
          </w:tcPr>
          <w:p w:rsidR="00030337" w:rsidRPr="001244BB" w:rsidRDefault="00030337" w:rsidP="00030337">
            <w:pPr>
              <w:spacing w:after="0" w:line="240" w:lineRule="auto"/>
              <w:jc w:val="right"/>
              <w:rPr>
                <w:rFonts w:eastAsia="Times New Roman" w:cstheme="minorHAnsi"/>
                <w:color w:val="000000"/>
                <w:sz w:val="20"/>
                <w:szCs w:val="20"/>
                <w:lang w:eastAsia="en-NZ"/>
              </w:rPr>
            </w:pPr>
            <w:r w:rsidRPr="001244BB">
              <w:rPr>
                <w:rFonts w:eastAsia="Times New Roman" w:cstheme="minorHAnsi"/>
                <w:color w:val="000000"/>
                <w:sz w:val="20"/>
                <w:szCs w:val="20"/>
                <w:lang w:eastAsia="en-NZ"/>
              </w:rPr>
              <w:t>0.94 hours</w:t>
            </w:r>
          </w:p>
        </w:tc>
        <w:tc>
          <w:tcPr>
            <w:tcW w:w="1134" w:type="dxa"/>
            <w:tcBorders>
              <w:top w:val="single" w:sz="8" w:space="0" w:color="00B050"/>
              <w:left w:val="single" w:sz="4" w:space="0" w:color="00B050"/>
              <w:right w:val="single" w:sz="4" w:space="0" w:color="00B050"/>
            </w:tcBorders>
            <w:shd w:val="clear" w:color="000000" w:fill="D9D9D9"/>
            <w:hideMark/>
          </w:tcPr>
          <w:p w:rsidR="00030337" w:rsidRPr="001244BB" w:rsidRDefault="00030337" w:rsidP="00030337">
            <w:pPr>
              <w:spacing w:after="0" w:line="240" w:lineRule="auto"/>
              <w:jc w:val="right"/>
              <w:rPr>
                <w:rFonts w:eastAsia="Times New Roman" w:cstheme="minorHAnsi"/>
                <w:color w:val="000000"/>
                <w:sz w:val="20"/>
                <w:szCs w:val="20"/>
                <w:lang w:eastAsia="en-NZ"/>
              </w:rPr>
            </w:pPr>
            <w:r w:rsidRPr="001244BB">
              <w:rPr>
                <w:rFonts w:eastAsia="Times New Roman" w:cstheme="minorHAnsi"/>
                <w:color w:val="000000"/>
                <w:sz w:val="20"/>
                <w:szCs w:val="20"/>
                <w:lang w:eastAsia="en-NZ"/>
              </w:rPr>
              <w:t>Baseline</w:t>
            </w:r>
          </w:p>
        </w:tc>
        <w:tc>
          <w:tcPr>
            <w:tcW w:w="851" w:type="dxa"/>
            <w:tcBorders>
              <w:top w:val="single" w:sz="8" w:space="0" w:color="00B050"/>
              <w:left w:val="single" w:sz="4" w:space="0" w:color="00B050"/>
              <w:right w:val="single" w:sz="4" w:space="0" w:color="00B050"/>
            </w:tcBorders>
            <w:shd w:val="clear" w:color="auto" w:fill="auto"/>
          </w:tcPr>
          <w:p w:rsidR="00030337" w:rsidRPr="001244BB" w:rsidRDefault="00030337" w:rsidP="00030337">
            <w:pPr>
              <w:spacing w:after="0" w:line="240" w:lineRule="auto"/>
              <w:jc w:val="right"/>
              <w:rPr>
                <w:rFonts w:eastAsia="Times New Roman" w:cstheme="minorHAnsi"/>
                <w:color w:val="000000"/>
                <w:sz w:val="20"/>
                <w:szCs w:val="20"/>
                <w:lang w:eastAsia="en-NZ"/>
              </w:rPr>
            </w:pPr>
          </w:p>
        </w:tc>
        <w:tc>
          <w:tcPr>
            <w:tcW w:w="1134" w:type="dxa"/>
            <w:tcBorders>
              <w:top w:val="single" w:sz="8" w:space="0" w:color="00B050"/>
              <w:left w:val="single" w:sz="4" w:space="0" w:color="00B050"/>
              <w:right w:val="single" w:sz="4" w:space="0" w:color="00B050"/>
            </w:tcBorders>
            <w:shd w:val="clear" w:color="auto" w:fill="auto"/>
          </w:tcPr>
          <w:p w:rsidR="00030337" w:rsidRPr="001244BB" w:rsidRDefault="00030337" w:rsidP="00030337">
            <w:pPr>
              <w:rPr>
                <w:rFonts w:cstheme="minorHAnsi"/>
                <w:sz w:val="20"/>
                <w:szCs w:val="20"/>
              </w:rPr>
            </w:pPr>
          </w:p>
        </w:tc>
        <w:tc>
          <w:tcPr>
            <w:tcW w:w="4635" w:type="dxa"/>
            <w:tcBorders>
              <w:top w:val="single" w:sz="4" w:space="0" w:color="00B050"/>
              <w:left w:val="single" w:sz="4" w:space="0" w:color="00B050"/>
              <w:right w:val="nil"/>
            </w:tcBorders>
            <w:shd w:val="clear" w:color="auto" w:fill="auto"/>
            <w:hideMark/>
          </w:tcPr>
          <w:p w:rsidR="00030337" w:rsidRPr="001244BB" w:rsidRDefault="00030337" w:rsidP="00030337">
            <w:pPr>
              <w:spacing w:after="0" w:line="240" w:lineRule="auto"/>
              <w:rPr>
                <w:rFonts w:eastAsia="Times New Roman" w:cstheme="minorHAnsi"/>
                <w:color w:val="000000"/>
                <w:sz w:val="20"/>
                <w:szCs w:val="20"/>
                <w:lang w:eastAsia="en-NZ"/>
              </w:rPr>
            </w:pPr>
          </w:p>
        </w:tc>
      </w:tr>
      <w:tr w:rsidR="00030337" w:rsidRPr="001244BB" w:rsidTr="00030337">
        <w:trPr>
          <w:trHeight w:val="315"/>
        </w:trPr>
        <w:tc>
          <w:tcPr>
            <w:tcW w:w="14984" w:type="dxa"/>
            <w:gridSpan w:val="9"/>
            <w:tcBorders>
              <w:top w:val="nil"/>
              <w:left w:val="nil"/>
            </w:tcBorders>
            <w:shd w:val="clear" w:color="auto" w:fill="EAF1DD" w:themeFill="accent3" w:themeFillTint="33"/>
            <w:hideMark/>
          </w:tcPr>
          <w:p w:rsidR="00030337" w:rsidRPr="001244BB" w:rsidRDefault="00030337" w:rsidP="00030337">
            <w:pPr>
              <w:spacing w:after="0" w:line="240" w:lineRule="auto"/>
              <w:rPr>
                <w:rFonts w:eastAsia="Times New Roman" w:cstheme="minorHAnsi"/>
                <w:b/>
                <w:sz w:val="20"/>
                <w:szCs w:val="20"/>
                <w:lang w:eastAsia="en-NZ"/>
              </w:rPr>
            </w:pPr>
            <w:r w:rsidRPr="001244BB">
              <w:rPr>
                <w:rFonts w:eastAsia="Times New Roman" w:cstheme="minorHAnsi"/>
                <w:b/>
                <w:sz w:val="20"/>
                <w:szCs w:val="20"/>
                <w:lang w:eastAsia="en-NZ"/>
              </w:rPr>
              <w:t>Efficiency and sustainability </w:t>
            </w:r>
          </w:p>
        </w:tc>
      </w:tr>
      <w:tr w:rsidR="00030337" w:rsidRPr="001244BB" w:rsidTr="00030337">
        <w:trPr>
          <w:trHeight w:val="3075"/>
        </w:trPr>
        <w:tc>
          <w:tcPr>
            <w:tcW w:w="3672" w:type="dxa"/>
            <w:tcBorders>
              <w:left w:val="nil"/>
              <w:bottom w:val="single" w:sz="8" w:space="0" w:color="00B050"/>
              <w:right w:val="single" w:sz="4" w:space="0" w:color="00B050"/>
            </w:tcBorders>
            <w:shd w:val="clear" w:color="auto" w:fill="auto"/>
            <w:hideMark/>
          </w:tcPr>
          <w:p w:rsidR="00030337" w:rsidRPr="001244BB" w:rsidRDefault="00030337" w:rsidP="00030337">
            <w:pPr>
              <w:spacing w:after="0" w:line="240" w:lineRule="auto"/>
              <w:rPr>
                <w:rFonts w:eastAsia="Times New Roman" w:cstheme="minorHAnsi"/>
                <w:color w:val="000000"/>
                <w:sz w:val="20"/>
                <w:szCs w:val="20"/>
                <w:lang w:eastAsia="en-NZ"/>
              </w:rPr>
            </w:pPr>
            <w:r w:rsidRPr="001244BB">
              <w:rPr>
                <w:rFonts w:eastAsia="Times New Roman" w:cstheme="minorHAnsi"/>
                <w:color w:val="000000"/>
                <w:sz w:val="20"/>
                <w:szCs w:val="20"/>
                <w:lang w:eastAsia="en-NZ"/>
              </w:rPr>
              <w:t>Percentage of real water loss from networked reticulation system and description of methodology used*</w:t>
            </w:r>
          </w:p>
        </w:tc>
        <w:tc>
          <w:tcPr>
            <w:tcW w:w="1140" w:type="dxa"/>
            <w:tcBorders>
              <w:left w:val="single" w:sz="4" w:space="0" w:color="00B050"/>
              <w:bottom w:val="single" w:sz="8" w:space="0" w:color="00B050"/>
              <w:right w:val="single" w:sz="4" w:space="0" w:color="00B050"/>
            </w:tcBorders>
            <w:shd w:val="clear" w:color="auto" w:fill="auto"/>
            <w:noWrap/>
            <w:hideMark/>
          </w:tcPr>
          <w:p w:rsidR="00030337" w:rsidRPr="001244BB" w:rsidRDefault="00030337" w:rsidP="00030337">
            <w:pPr>
              <w:spacing w:after="0" w:line="240" w:lineRule="auto"/>
              <w:jc w:val="right"/>
              <w:rPr>
                <w:rFonts w:eastAsia="Times New Roman" w:cstheme="minorHAnsi"/>
                <w:color w:val="000000"/>
                <w:sz w:val="20"/>
                <w:szCs w:val="20"/>
                <w:lang w:eastAsia="en-NZ"/>
              </w:rPr>
            </w:pPr>
            <w:r w:rsidRPr="001244BB">
              <w:rPr>
                <w:rFonts w:eastAsia="Times New Roman" w:cstheme="minorHAnsi"/>
                <w:color w:val="000000"/>
                <w:sz w:val="20"/>
                <w:szCs w:val="20"/>
                <w:lang w:eastAsia="en-NZ"/>
              </w:rPr>
              <w:t>8%</w:t>
            </w:r>
          </w:p>
        </w:tc>
        <w:tc>
          <w:tcPr>
            <w:tcW w:w="1142" w:type="dxa"/>
            <w:gridSpan w:val="2"/>
            <w:tcBorders>
              <w:left w:val="single" w:sz="4" w:space="0" w:color="00B050"/>
              <w:bottom w:val="single" w:sz="8" w:space="0" w:color="00B050"/>
              <w:right w:val="single" w:sz="4" w:space="0" w:color="00B050"/>
            </w:tcBorders>
            <w:shd w:val="clear" w:color="auto" w:fill="auto"/>
            <w:noWrap/>
            <w:hideMark/>
          </w:tcPr>
          <w:p w:rsidR="00030337" w:rsidRPr="001244BB" w:rsidRDefault="00030337" w:rsidP="00030337">
            <w:pPr>
              <w:spacing w:after="0" w:line="240" w:lineRule="auto"/>
              <w:jc w:val="right"/>
              <w:rPr>
                <w:rFonts w:eastAsia="Times New Roman" w:cstheme="minorHAnsi"/>
                <w:color w:val="000000"/>
                <w:sz w:val="20"/>
                <w:szCs w:val="20"/>
                <w:lang w:eastAsia="en-NZ"/>
              </w:rPr>
            </w:pPr>
            <w:r w:rsidRPr="001244BB">
              <w:rPr>
                <w:rFonts w:eastAsia="Times New Roman" w:cstheme="minorHAnsi"/>
                <w:color w:val="000000"/>
                <w:sz w:val="20"/>
                <w:szCs w:val="20"/>
                <w:lang w:eastAsia="en-NZ"/>
              </w:rPr>
              <w:t>17%</w:t>
            </w:r>
          </w:p>
        </w:tc>
        <w:tc>
          <w:tcPr>
            <w:tcW w:w="1276" w:type="dxa"/>
            <w:tcBorders>
              <w:left w:val="single" w:sz="4" w:space="0" w:color="00B050"/>
              <w:bottom w:val="single" w:sz="8" w:space="0" w:color="00B050"/>
              <w:right w:val="single" w:sz="4" w:space="0" w:color="00B050"/>
            </w:tcBorders>
            <w:shd w:val="clear" w:color="auto" w:fill="auto"/>
            <w:noWrap/>
            <w:hideMark/>
          </w:tcPr>
          <w:p w:rsidR="00030337" w:rsidRPr="001244BB" w:rsidRDefault="00030337" w:rsidP="00030337">
            <w:pPr>
              <w:spacing w:after="0" w:line="240" w:lineRule="auto"/>
              <w:jc w:val="right"/>
              <w:rPr>
                <w:rFonts w:eastAsia="Times New Roman" w:cstheme="minorHAnsi"/>
                <w:color w:val="000000"/>
                <w:sz w:val="20"/>
                <w:szCs w:val="20"/>
                <w:lang w:eastAsia="en-NZ"/>
              </w:rPr>
            </w:pPr>
            <w:r w:rsidRPr="001244BB">
              <w:rPr>
                <w:rFonts w:eastAsia="Times New Roman" w:cstheme="minorHAnsi"/>
                <w:color w:val="000000"/>
                <w:sz w:val="20"/>
                <w:szCs w:val="20"/>
                <w:lang w:eastAsia="en-NZ"/>
              </w:rPr>
              <w:t>20%</w:t>
            </w:r>
          </w:p>
        </w:tc>
        <w:tc>
          <w:tcPr>
            <w:tcW w:w="1134" w:type="dxa"/>
            <w:tcBorders>
              <w:left w:val="single" w:sz="4" w:space="0" w:color="00B050"/>
              <w:bottom w:val="single" w:sz="8" w:space="0" w:color="00B050"/>
              <w:right w:val="single" w:sz="4" w:space="0" w:color="00B050"/>
            </w:tcBorders>
            <w:shd w:val="clear" w:color="000000" w:fill="D9D9D9"/>
            <w:hideMark/>
          </w:tcPr>
          <w:p w:rsidR="00030337" w:rsidRPr="001244BB" w:rsidRDefault="00030337" w:rsidP="00030337">
            <w:pPr>
              <w:spacing w:after="0" w:line="240" w:lineRule="auto"/>
              <w:jc w:val="right"/>
              <w:rPr>
                <w:rFonts w:eastAsia="Times New Roman" w:cstheme="minorHAnsi"/>
                <w:color w:val="000000"/>
                <w:sz w:val="20"/>
                <w:szCs w:val="20"/>
                <w:lang w:eastAsia="en-NZ"/>
              </w:rPr>
            </w:pPr>
            <w:r w:rsidRPr="001244BB">
              <w:rPr>
                <w:rFonts w:eastAsia="Times New Roman" w:cstheme="minorHAnsi"/>
                <w:color w:val="000000"/>
                <w:sz w:val="20"/>
                <w:szCs w:val="20"/>
                <w:lang w:eastAsia="en-NZ"/>
              </w:rPr>
              <w:t>&lt;17%</w:t>
            </w:r>
          </w:p>
        </w:tc>
        <w:tc>
          <w:tcPr>
            <w:tcW w:w="851" w:type="dxa"/>
            <w:tcBorders>
              <w:top w:val="nil"/>
              <w:left w:val="single" w:sz="4" w:space="0" w:color="00B050"/>
              <w:bottom w:val="single" w:sz="8" w:space="0" w:color="00B050"/>
              <w:right w:val="single" w:sz="4" w:space="0" w:color="00B050"/>
            </w:tcBorders>
            <w:shd w:val="clear" w:color="auto" w:fill="auto"/>
            <w:hideMark/>
          </w:tcPr>
          <w:p w:rsidR="00030337" w:rsidRPr="001244BB" w:rsidRDefault="00030337" w:rsidP="00030337">
            <w:pPr>
              <w:spacing w:after="0" w:line="240" w:lineRule="auto"/>
              <w:jc w:val="right"/>
              <w:rPr>
                <w:rFonts w:eastAsia="Times New Roman" w:cstheme="minorHAnsi"/>
                <w:sz w:val="20"/>
                <w:szCs w:val="20"/>
                <w:lang w:eastAsia="en-NZ"/>
              </w:rPr>
            </w:pPr>
            <w:r w:rsidRPr="001244BB">
              <w:rPr>
                <w:rFonts w:eastAsia="Times New Roman" w:cstheme="minorHAnsi"/>
                <w:sz w:val="20"/>
                <w:szCs w:val="20"/>
                <w:lang w:eastAsia="en-NZ"/>
              </w:rPr>
              <w:t>-18%</w:t>
            </w:r>
          </w:p>
        </w:tc>
        <w:tc>
          <w:tcPr>
            <w:tcW w:w="1134" w:type="dxa"/>
            <w:tcBorders>
              <w:top w:val="nil"/>
              <w:left w:val="single" w:sz="4" w:space="0" w:color="00B050"/>
              <w:bottom w:val="single" w:sz="8" w:space="0" w:color="00B050"/>
              <w:right w:val="single" w:sz="4" w:space="0" w:color="00B050"/>
            </w:tcBorders>
            <w:shd w:val="clear" w:color="auto" w:fill="auto"/>
            <w:hideMark/>
          </w:tcPr>
          <w:p w:rsidR="00030337" w:rsidRPr="001244BB" w:rsidRDefault="00030337" w:rsidP="00030337">
            <w:pPr>
              <w:spacing w:after="0" w:line="240" w:lineRule="auto"/>
              <w:jc w:val="right"/>
              <w:rPr>
                <w:rFonts w:eastAsia="Times New Roman" w:cstheme="minorHAnsi"/>
                <w:sz w:val="20"/>
                <w:szCs w:val="20"/>
                <w:lang w:eastAsia="en-NZ"/>
              </w:rPr>
            </w:pPr>
            <w:r w:rsidRPr="001244BB">
              <w:rPr>
                <w:rFonts w:eastAsia="Times New Roman" w:cstheme="minorHAnsi"/>
                <w:sz w:val="20"/>
                <w:szCs w:val="20"/>
                <w:lang w:eastAsia="en-NZ"/>
              </w:rPr>
              <w:t>not met</w:t>
            </w:r>
          </w:p>
        </w:tc>
        <w:tc>
          <w:tcPr>
            <w:tcW w:w="4635" w:type="dxa"/>
            <w:tcBorders>
              <w:top w:val="nil"/>
              <w:left w:val="single" w:sz="4" w:space="0" w:color="00B050"/>
              <w:bottom w:val="single" w:sz="4" w:space="0" w:color="00B050"/>
              <w:right w:val="nil"/>
            </w:tcBorders>
            <w:shd w:val="clear" w:color="auto" w:fill="auto"/>
            <w:hideMark/>
          </w:tcPr>
          <w:p w:rsidR="00030337" w:rsidRPr="001244BB" w:rsidRDefault="00030337" w:rsidP="00030337">
            <w:pPr>
              <w:spacing w:after="0" w:line="240" w:lineRule="auto"/>
              <w:rPr>
                <w:rFonts w:eastAsia="Times New Roman" w:cstheme="minorHAnsi"/>
                <w:color w:val="000000"/>
                <w:sz w:val="20"/>
                <w:szCs w:val="20"/>
                <w:lang w:eastAsia="en-NZ"/>
              </w:rPr>
            </w:pPr>
            <w:r w:rsidRPr="001244BB">
              <w:rPr>
                <w:rFonts w:eastAsia="Times New Roman" w:cstheme="minorHAnsi"/>
                <w:color w:val="000000"/>
                <w:sz w:val="20"/>
                <w:szCs w:val="20"/>
                <w:lang w:eastAsia="en-NZ"/>
              </w:rPr>
              <w:t>This figure is reported as a mean regional water loss percentage with a 95% confidence interval of 13%-27%.  It is produced using an updated statistical methodology that aligns with the "Benchloss approach" described in the Water New Zealand Water Loss Guidelines and meets the requirements of the Non-financial Performance Measure Rules 2013 specified by the DIA. Due to the limited water meter information there is a wide variance in the confidence intervals for Council specific results. Therefore we are reporting this result as a more accurate regional percentage until more data is available to support this measure at Council level.</w:t>
            </w:r>
          </w:p>
        </w:tc>
      </w:tr>
      <w:tr w:rsidR="00030337" w:rsidRPr="001244BB" w:rsidTr="00030337">
        <w:trPr>
          <w:trHeight w:val="270"/>
        </w:trPr>
        <w:tc>
          <w:tcPr>
            <w:tcW w:w="3672" w:type="dxa"/>
            <w:tcBorders>
              <w:top w:val="nil"/>
              <w:left w:val="nil"/>
              <w:bottom w:val="single" w:sz="8" w:space="0" w:color="00B050"/>
              <w:right w:val="single" w:sz="4" w:space="0" w:color="00B050"/>
            </w:tcBorders>
            <w:shd w:val="clear" w:color="auto" w:fill="auto"/>
            <w:hideMark/>
          </w:tcPr>
          <w:p w:rsidR="00030337" w:rsidRPr="001244BB" w:rsidRDefault="00030337" w:rsidP="00030337">
            <w:pPr>
              <w:spacing w:after="0" w:line="240" w:lineRule="auto"/>
              <w:rPr>
                <w:rFonts w:eastAsia="Times New Roman" w:cstheme="minorHAnsi"/>
                <w:color w:val="000000"/>
                <w:sz w:val="20"/>
                <w:szCs w:val="20"/>
                <w:lang w:eastAsia="en-NZ"/>
              </w:rPr>
            </w:pPr>
            <w:r w:rsidRPr="001244BB">
              <w:rPr>
                <w:rFonts w:eastAsia="Times New Roman" w:cstheme="minorHAnsi"/>
                <w:color w:val="000000"/>
                <w:sz w:val="20"/>
                <w:szCs w:val="20"/>
                <w:lang w:eastAsia="en-NZ"/>
              </w:rPr>
              <w:t>Average drinking water consumption resident/day* litres</w:t>
            </w:r>
          </w:p>
        </w:tc>
        <w:tc>
          <w:tcPr>
            <w:tcW w:w="1140" w:type="dxa"/>
            <w:tcBorders>
              <w:top w:val="single" w:sz="8" w:space="0" w:color="00B050"/>
              <w:left w:val="single" w:sz="4" w:space="0" w:color="00B050"/>
              <w:bottom w:val="nil"/>
              <w:right w:val="single" w:sz="4" w:space="0" w:color="00B050"/>
            </w:tcBorders>
            <w:shd w:val="clear" w:color="auto" w:fill="auto"/>
            <w:noWrap/>
            <w:hideMark/>
          </w:tcPr>
          <w:p w:rsidR="00030337" w:rsidRPr="001244BB" w:rsidRDefault="00030337" w:rsidP="005F3580">
            <w:pPr>
              <w:spacing w:after="0" w:line="240" w:lineRule="auto"/>
              <w:jc w:val="right"/>
              <w:rPr>
                <w:rFonts w:eastAsia="Times New Roman" w:cstheme="minorHAnsi"/>
                <w:color w:val="000000"/>
                <w:sz w:val="20"/>
                <w:szCs w:val="20"/>
                <w:lang w:eastAsia="en-NZ"/>
              </w:rPr>
            </w:pPr>
            <w:r w:rsidRPr="001244BB">
              <w:rPr>
                <w:rFonts w:eastAsia="Times New Roman" w:cstheme="minorHAnsi"/>
                <w:color w:val="000000"/>
                <w:sz w:val="20"/>
                <w:szCs w:val="20"/>
                <w:lang w:eastAsia="en-NZ"/>
              </w:rPr>
              <w:t>364</w:t>
            </w:r>
            <w:r w:rsidR="00B27E9D">
              <w:rPr>
                <w:rFonts w:eastAsia="Times New Roman" w:cstheme="minorHAnsi"/>
                <w:color w:val="000000"/>
                <w:sz w:val="20"/>
                <w:szCs w:val="20"/>
                <w:lang w:eastAsia="en-NZ"/>
              </w:rPr>
              <w:t xml:space="preserve"> litres</w:t>
            </w:r>
          </w:p>
        </w:tc>
        <w:tc>
          <w:tcPr>
            <w:tcW w:w="1142" w:type="dxa"/>
            <w:gridSpan w:val="2"/>
            <w:tcBorders>
              <w:top w:val="single" w:sz="8" w:space="0" w:color="00B050"/>
              <w:left w:val="single" w:sz="4" w:space="0" w:color="00B050"/>
              <w:bottom w:val="nil"/>
              <w:right w:val="single" w:sz="4" w:space="0" w:color="00B050"/>
            </w:tcBorders>
            <w:shd w:val="clear" w:color="auto" w:fill="auto"/>
            <w:noWrap/>
            <w:hideMark/>
          </w:tcPr>
          <w:p w:rsidR="00030337" w:rsidRPr="001244BB" w:rsidRDefault="00030337" w:rsidP="005F3580">
            <w:pPr>
              <w:spacing w:after="0" w:line="240" w:lineRule="auto"/>
              <w:jc w:val="right"/>
              <w:rPr>
                <w:rFonts w:eastAsia="Times New Roman" w:cstheme="minorHAnsi"/>
                <w:color w:val="000000"/>
                <w:sz w:val="20"/>
                <w:szCs w:val="20"/>
                <w:lang w:eastAsia="en-NZ"/>
              </w:rPr>
            </w:pPr>
            <w:r w:rsidRPr="001244BB">
              <w:rPr>
                <w:rFonts w:eastAsia="Times New Roman" w:cstheme="minorHAnsi"/>
                <w:color w:val="000000"/>
                <w:sz w:val="20"/>
                <w:szCs w:val="20"/>
                <w:lang w:eastAsia="en-NZ"/>
              </w:rPr>
              <w:t>361</w:t>
            </w:r>
            <w:r w:rsidR="00B27E9D">
              <w:rPr>
                <w:rFonts w:eastAsia="Times New Roman" w:cstheme="minorHAnsi"/>
                <w:color w:val="000000"/>
                <w:sz w:val="20"/>
                <w:szCs w:val="20"/>
                <w:lang w:eastAsia="en-NZ"/>
              </w:rPr>
              <w:t>litres</w:t>
            </w:r>
          </w:p>
        </w:tc>
        <w:tc>
          <w:tcPr>
            <w:tcW w:w="1276" w:type="dxa"/>
            <w:tcBorders>
              <w:top w:val="single" w:sz="8" w:space="0" w:color="00B050"/>
              <w:left w:val="single" w:sz="4" w:space="0" w:color="00B050"/>
              <w:bottom w:val="nil"/>
              <w:right w:val="single" w:sz="4" w:space="0" w:color="00B050"/>
            </w:tcBorders>
            <w:shd w:val="clear" w:color="auto" w:fill="auto"/>
            <w:noWrap/>
            <w:hideMark/>
          </w:tcPr>
          <w:p w:rsidR="00030337" w:rsidRPr="001244BB" w:rsidRDefault="005F3580" w:rsidP="005F3580">
            <w:pPr>
              <w:spacing w:after="0" w:line="240" w:lineRule="auto"/>
              <w:jc w:val="right"/>
              <w:rPr>
                <w:rFonts w:eastAsia="Times New Roman" w:cstheme="minorHAnsi"/>
                <w:color w:val="000000"/>
                <w:sz w:val="20"/>
                <w:szCs w:val="20"/>
                <w:lang w:eastAsia="en-NZ"/>
              </w:rPr>
            </w:pPr>
            <w:r w:rsidRPr="001244BB">
              <w:rPr>
                <w:rFonts w:eastAsia="Times New Roman" w:cstheme="minorHAnsi"/>
                <w:color w:val="000000"/>
                <w:sz w:val="20"/>
                <w:szCs w:val="20"/>
                <w:lang w:eastAsia="en-NZ"/>
              </w:rPr>
              <w:t>361</w:t>
            </w:r>
            <w:r>
              <w:rPr>
                <w:rFonts w:eastAsia="Times New Roman" w:cstheme="minorHAnsi"/>
                <w:color w:val="000000"/>
                <w:sz w:val="20"/>
                <w:szCs w:val="20"/>
                <w:lang w:eastAsia="en-NZ"/>
              </w:rPr>
              <w:t xml:space="preserve"> litres</w:t>
            </w:r>
          </w:p>
        </w:tc>
        <w:tc>
          <w:tcPr>
            <w:tcW w:w="1134" w:type="dxa"/>
            <w:tcBorders>
              <w:top w:val="single" w:sz="8" w:space="0" w:color="00B050"/>
              <w:left w:val="single" w:sz="4" w:space="0" w:color="00B050"/>
              <w:bottom w:val="single" w:sz="8" w:space="0" w:color="00B050"/>
              <w:right w:val="single" w:sz="4" w:space="0" w:color="00B050"/>
            </w:tcBorders>
            <w:shd w:val="clear" w:color="000000" w:fill="D9D9D9"/>
            <w:hideMark/>
          </w:tcPr>
          <w:p w:rsidR="00030337" w:rsidRPr="001244BB" w:rsidRDefault="005F3580" w:rsidP="005F3580">
            <w:pPr>
              <w:spacing w:after="0" w:line="240" w:lineRule="auto"/>
              <w:jc w:val="right"/>
              <w:rPr>
                <w:rFonts w:eastAsia="Times New Roman" w:cstheme="minorHAnsi"/>
                <w:color w:val="000000"/>
                <w:sz w:val="20"/>
                <w:szCs w:val="20"/>
                <w:lang w:eastAsia="en-NZ"/>
              </w:rPr>
            </w:pPr>
            <w:r w:rsidRPr="001244BB">
              <w:rPr>
                <w:rFonts w:eastAsia="Times New Roman" w:cstheme="minorHAnsi"/>
                <w:color w:val="000000"/>
                <w:sz w:val="20"/>
                <w:szCs w:val="20"/>
                <w:lang w:eastAsia="en-NZ"/>
              </w:rPr>
              <w:t>365</w:t>
            </w:r>
            <w:r>
              <w:rPr>
                <w:rFonts w:eastAsia="Times New Roman" w:cstheme="minorHAnsi"/>
                <w:color w:val="000000"/>
                <w:sz w:val="20"/>
                <w:szCs w:val="20"/>
                <w:lang w:eastAsia="en-NZ"/>
              </w:rPr>
              <w:t xml:space="preserve"> litres</w:t>
            </w:r>
          </w:p>
        </w:tc>
        <w:tc>
          <w:tcPr>
            <w:tcW w:w="851" w:type="dxa"/>
            <w:tcBorders>
              <w:top w:val="single" w:sz="8" w:space="0" w:color="00B050"/>
              <w:left w:val="single" w:sz="4" w:space="0" w:color="00B050"/>
              <w:bottom w:val="nil"/>
              <w:right w:val="single" w:sz="4" w:space="0" w:color="00B050"/>
            </w:tcBorders>
            <w:shd w:val="clear" w:color="auto" w:fill="auto"/>
            <w:hideMark/>
          </w:tcPr>
          <w:p w:rsidR="00030337" w:rsidRPr="001244BB" w:rsidRDefault="00030337" w:rsidP="00030337">
            <w:pPr>
              <w:spacing w:after="0" w:line="240" w:lineRule="auto"/>
              <w:jc w:val="right"/>
              <w:rPr>
                <w:rFonts w:eastAsia="Times New Roman" w:cstheme="minorHAnsi"/>
                <w:color w:val="000000"/>
                <w:sz w:val="20"/>
                <w:szCs w:val="20"/>
                <w:lang w:eastAsia="en-NZ"/>
              </w:rPr>
            </w:pPr>
            <w:r w:rsidRPr="001244BB">
              <w:rPr>
                <w:rFonts w:eastAsia="Times New Roman" w:cstheme="minorHAnsi"/>
                <w:color w:val="000000"/>
                <w:sz w:val="20"/>
                <w:szCs w:val="20"/>
                <w:lang w:eastAsia="en-NZ"/>
              </w:rPr>
              <w:t>1%</w:t>
            </w:r>
          </w:p>
        </w:tc>
        <w:tc>
          <w:tcPr>
            <w:tcW w:w="1134" w:type="dxa"/>
            <w:tcBorders>
              <w:top w:val="single" w:sz="8" w:space="0" w:color="00B050"/>
              <w:left w:val="single" w:sz="4" w:space="0" w:color="00B050"/>
              <w:bottom w:val="nil"/>
              <w:right w:val="single" w:sz="4" w:space="0" w:color="00B050"/>
            </w:tcBorders>
            <w:shd w:val="clear" w:color="auto" w:fill="auto"/>
            <w:hideMark/>
          </w:tcPr>
          <w:p w:rsidR="00030337" w:rsidRPr="001244BB" w:rsidRDefault="004A2F47" w:rsidP="004A2F47">
            <w:pPr>
              <w:jc w:val="right"/>
              <w:rPr>
                <w:rFonts w:cstheme="minorHAnsi"/>
                <w:sz w:val="20"/>
                <w:szCs w:val="20"/>
              </w:rPr>
            </w:pPr>
            <w:r>
              <w:rPr>
                <w:rFonts w:eastAsia="Times New Roman" w:cstheme="minorHAnsi"/>
                <w:color w:val="000000"/>
                <w:sz w:val="20"/>
                <w:szCs w:val="20"/>
                <w:lang w:eastAsia="en-NZ"/>
              </w:rPr>
              <w:t>Within 10%</w:t>
            </w:r>
          </w:p>
        </w:tc>
        <w:tc>
          <w:tcPr>
            <w:tcW w:w="4635" w:type="dxa"/>
            <w:tcBorders>
              <w:top w:val="single" w:sz="4" w:space="0" w:color="00B050"/>
              <w:left w:val="single" w:sz="4" w:space="0" w:color="00B050"/>
              <w:bottom w:val="single" w:sz="4" w:space="0" w:color="00B050"/>
              <w:right w:val="nil"/>
            </w:tcBorders>
            <w:shd w:val="clear" w:color="auto" w:fill="auto"/>
            <w:hideMark/>
          </w:tcPr>
          <w:p w:rsidR="00030337" w:rsidRPr="001244BB" w:rsidRDefault="00030337" w:rsidP="00030337">
            <w:pPr>
              <w:spacing w:after="0" w:line="240" w:lineRule="auto"/>
              <w:jc w:val="right"/>
              <w:rPr>
                <w:rFonts w:eastAsia="Times New Roman" w:cstheme="minorHAnsi"/>
                <w:color w:val="000000"/>
                <w:sz w:val="20"/>
                <w:szCs w:val="20"/>
                <w:lang w:eastAsia="en-NZ"/>
              </w:rPr>
            </w:pPr>
          </w:p>
        </w:tc>
      </w:tr>
      <w:tr w:rsidR="00030337" w:rsidRPr="001244BB" w:rsidTr="00030337">
        <w:trPr>
          <w:trHeight w:val="270"/>
        </w:trPr>
        <w:tc>
          <w:tcPr>
            <w:tcW w:w="14984" w:type="dxa"/>
            <w:gridSpan w:val="9"/>
            <w:tcBorders>
              <w:top w:val="single" w:sz="4" w:space="0" w:color="00B050"/>
              <w:left w:val="single" w:sz="4" w:space="0" w:color="00B050"/>
              <w:right w:val="nil"/>
            </w:tcBorders>
            <w:shd w:val="clear" w:color="000000" w:fill="00B050"/>
            <w:noWrap/>
            <w:hideMark/>
          </w:tcPr>
          <w:p w:rsidR="00030337" w:rsidRPr="001244BB" w:rsidRDefault="00030337" w:rsidP="00030337">
            <w:pPr>
              <w:spacing w:after="0" w:line="240" w:lineRule="auto"/>
              <w:rPr>
                <w:rFonts w:eastAsia="Times New Roman" w:cstheme="minorHAnsi"/>
                <w:b/>
                <w:bCs/>
                <w:color w:val="FFFFFF"/>
                <w:sz w:val="24"/>
                <w:szCs w:val="20"/>
                <w:lang w:eastAsia="en-NZ"/>
              </w:rPr>
            </w:pPr>
            <w:r w:rsidRPr="001244BB">
              <w:rPr>
                <w:rFonts w:eastAsia="Times New Roman" w:cstheme="minorHAnsi"/>
                <w:b/>
                <w:bCs/>
                <w:color w:val="FFFFFF"/>
                <w:sz w:val="24"/>
                <w:szCs w:val="20"/>
                <w:lang w:eastAsia="en-NZ"/>
              </w:rPr>
              <w:t>2.4 Waipara | Wastewater </w:t>
            </w:r>
          </w:p>
        </w:tc>
      </w:tr>
      <w:tr w:rsidR="00030337" w:rsidRPr="001244BB" w:rsidTr="00030337">
        <w:trPr>
          <w:trHeight w:val="315"/>
        </w:trPr>
        <w:tc>
          <w:tcPr>
            <w:tcW w:w="14984" w:type="dxa"/>
            <w:gridSpan w:val="9"/>
            <w:tcBorders>
              <w:top w:val="nil"/>
              <w:left w:val="nil"/>
            </w:tcBorders>
            <w:shd w:val="clear" w:color="auto" w:fill="EAF1DD" w:themeFill="accent3" w:themeFillTint="33"/>
            <w:hideMark/>
          </w:tcPr>
          <w:p w:rsidR="00030337" w:rsidRPr="001244BB" w:rsidRDefault="00030337" w:rsidP="00030337">
            <w:pPr>
              <w:spacing w:after="0" w:line="240" w:lineRule="auto"/>
              <w:rPr>
                <w:rFonts w:eastAsia="Times New Roman" w:cstheme="minorHAnsi"/>
                <w:b/>
                <w:sz w:val="20"/>
                <w:szCs w:val="20"/>
                <w:lang w:eastAsia="en-NZ"/>
              </w:rPr>
            </w:pPr>
            <w:r w:rsidRPr="001244BB">
              <w:rPr>
                <w:rFonts w:eastAsia="Times New Roman" w:cstheme="minorHAnsi"/>
                <w:b/>
                <w:sz w:val="20"/>
                <w:szCs w:val="20"/>
                <w:lang w:eastAsia="en-NZ"/>
              </w:rPr>
              <w:t>Compliance and sustainability</w:t>
            </w:r>
          </w:p>
        </w:tc>
      </w:tr>
      <w:tr w:rsidR="00030337" w:rsidRPr="001244BB" w:rsidTr="00030337">
        <w:trPr>
          <w:trHeight w:val="529"/>
        </w:trPr>
        <w:tc>
          <w:tcPr>
            <w:tcW w:w="3672" w:type="dxa"/>
            <w:tcBorders>
              <w:left w:val="nil"/>
              <w:bottom w:val="single" w:sz="8" w:space="0" w:color="00B050"/>
              <w:right w:val="single" w:sz="4" w:space="0" w:color="00B050"/>
            </w:tcBorders>
            <w:shd w:val="clear" w:color="auto" w:fill="auto"/>
            <w:hideMark/>
          </w:tcPr>
          <w:p w:rsidR="00030337" w:rsidRPr="001244BB" w:rsidRDefault="00030337" w:rsidP="00030337">
            <w:pPr>
              <w:spacing w:after="0" w:line="240" w:lineRule="auto"/>
              <w:rPr>
                <w:rFonts w:eastAsia="Times New Roman" w:cstheme="minorHAnsi"/>
                <w:color w:val="000000"/>
                <w:sz w:val="20"/>
                <w:szCs w:val="20"/>
                <w:lang w:eastAsia="en-NZ"/>
              </w:rPr>
            </w:pPr>
            <w:r w:rsidRPr="001244BB">
              <w:rPr>
                <w:rFonts w:eastAsia="Times New Roman" w:cstheme="minorHAnsi"/>
                <w:color w:val="000000"/>
                <w:sz w:val="20"/>
                <w:szCs w:val="20"/>
                <w:lang w:eastAsia="en-NZ"/>
              </w:rPr>
              <w:t>Dry weather wastewater overflows, expressed per 1000 connections*</w:t>
            </w:r>
          </w:p>
        </w:tc>
        <w:tc>
          <w:tcPr>
            <w:tcW w:w="1140" w:type="dxa"/>
            <w:tcBorders>
              <w:left w:val="single" w:sz="4" w:space="0" w:color="00B050"/>
              <w:bottom w:val="single" w:sz="8" w:space="0" w:color="00B050"/>
              <w:right w:val="single" w:sz="4" w:space="0" w:color="00B050"/>
            </w:tcBorders>
            <w:shd w:val="clear" w:color="auto" w:fill="auto"/>
            <w:noWrap/>
            <w:hideMark/>
          </w:tcPr>
          <w:p w:rsidR="00030337" w:rsidRPr="001244BB" w:rsidRDefault="00030337" w:rsidP="00030337">
            <w:pPr>
              <w:spacing w:after="0" w:line="240" w:lineRule="auto"/>
              <w:jc w:val="right"/>
              <w:rPr>
                <w:rFonts w:eastAsia="Times New Roman" w:cstheme="minorHAnsi"/>
                <w:color w:val="000000"/>
                <w:sz w:val="20"/>
                <w:szCs w:val="20"/>
                <w:lang w:eastAsia="en-NZ"/>
              </w:rPr>
            </w:pPr>
            <w:r w:rsidRPr="001244BB">
              <w:rPr>
                <w:rFonts w:eastAsia="Times New Roman" w:cstheme="minorHAnsi"/>
                <w:color w:val="000000"/>
                <w:sz w:val="20"/>
                <w:szCs w:val="20"/>
                <w:lang w:eastAsia="en-NZ"/>
              </w:rPr>
              <w:t>0.46</w:t>
            </w:r>
          </w:p>
        </w:tc>
        <w:tc>
          <w:tcPr>
            <w:tcW w:w="1142" w:type="dxa"/>
            <w:gridSpan w:val="2"/>
            <w:tcBorders>
              <w:left w:val="single" w:sz="4" w:space="0" w:color="00B050"/>
              <w:bottom w:val="single" w:sz="8" w:space="0" w:color="00B050"/>
              <w:right w:val="single" w:sz="4" w:space="0" w:color="00B050"/>
            </w:tcBorders>
            <w:shd w:val="clear" w:color="auto" w:fill="auto"/>
            <w:noWrap/>
            <w:hideMark/>
          </w:tcPr>
          <w:p w:rsidR="00030337" w:rsidRPr="001244BB" w:rsidRDefault="00030337" w:rsidP="00030337">
            <w:pPr>
              <w:spacing w:after="0" w:line="240" w:lineRule="auto"/>
              <w:jc w:val="right"/>
              <w:rPr>
                <w:rFonts w:eastAsia="Times New Roman" w:cstheme="minorHAnsi"/>
                <w:color w:val="000000"/>
                <w:sz w:val="20"/>
                <w:szCs w:val="20"/>
                <w:lang w:eastAsia="en-NZ"/>
              </w:rPr>
            </w:pPr>
            <w:r w:rsidRPr="001244BB">
              <w:rPr>
                <w:rFonts w:eastAsia="Times New Roman" w:cstheme="minorHAnsi"/>
                <w:color w:val="000000"/>
                <w:sz w:val="20"/>
                <w:szCs w:val="20"/>
                <w:lang w:eastAsia="en-NZ"/>
              </w:rPr>
              <w:t>0.17</w:t>
            </w:r>
          </w:p>
        </w:tc>
        <w:tc>
          <w:tcPr>
            <w:tcW w:w="1276" w:type="dxa"/>
            <w:tcBorders>
              <w:left w:val="single" w:sz="4" w:space="0" w:color="00B050"/>
              <w:bottom w:val="single" w:sz="8" w:space="0" w:color="00B050"/>
              <w:right w:val="single" w:sz="4" w:space="0" w:color="00B050"/>
            </w:tcBorders>
            <w:shd w:val="clear" w:color="auto" w:fill="auto"/>
            <w:noWrap/>
            <w:hideMark/>
          </w:tcPr>
          <w:p w:rsidR="00030337" w:rsidRPr="001244BB" w:rsidRDefault="00030337" w:rsidP="005F3580">
            <w:pPr>
              <w:spacing w:after="0" w:line="240" w:lineRule="auto"/>
              <w:jc w:val="right"/>
              <w:rPr>
                <w:rFonts w:eastAsia="Times New Roman" w:cstheme="minorHAnsi"/>
                <w:color w:val="000000"/>
                <w:sz w:val="20"/>
                <w:szCs w:val="20"/>
                <w:lang w:eastAsia="en-NZ"/>
              </w:rPr>
            </w:pPr>
            <w:r w:rsidRPr="001244BB">
              <w:rPr>
                <w:rFonts w:eastAsia="Times New Roman" w:cstheme="minorHAnsi"/>
                <w:color w:val="000000"/>
                <w:sz w:val="20"/>
                <w:szCs w:val="20"/>
                <w:lang w:eastAsia="en-NZ"/>
              </w:rPr>
              <w:t>0.83</w:t>
            </w:r>
            <w:r w:rsidR="005F3580">
              <w:rPr>
                <w:rFonts w:eastAsia="Times New Roman" w:cstheme="minorHAnsi"/>
                <w:color w:val="000000"/>
                <w:sz w:val="20"/>
                <w:szCs w:val="20"/>
                <w:lang w:eastAsia="en-NZ"/>
              </w:rPr>
              <w:t xml:space="preserve"> per 1000</w:t>
            </w:r>
          </w:p>
        </w:tc>
        <w:tc>
          <w:tcPr>
            <w:tcW w:w="1134" w:type="dxa"/>
            <w:tcBorders>
              <w:left w:val="single" w:sz="4" w:space="0" w:color="00B050"/>
              <w:bottom w:val="single" w:sz="8" w:space="0" w:color="00B050"/>
              <w:right w:val="single" w:sz="4" w:space="0" w:color="00B050"/>
            </w:tcBorders>
            <w:shd w:val="clear" w:color="000000" w:fill="D9D9D9"/>
            <w:hideMark/>
          </w:tcPr>
          <w:p w:rsidR="00030337" w:rsidRPr="001244BB" w:rsidRDefault="00030337" w:rsidP="00030337">
            <w:pPr>
              <w:spacing w:after="0" w:line="240" w:lineRule="auto"/>
              <w:jc w:val="right"/>
              <w:rPr>
                <w:rFonts w:eastAsia="Times New Roman" w:cstheme="minorHAnsi"/>
                <w:color w:val="000000"/>
                <w:sz w:val="20"/>
                <w:szCs w:val="20"/>
                <w:lang w:eastAsia="en-NZ"/>
              </w:rPr>
            </w:pPr>
            <w:r w:rsidRPr="001244BB">
              <w:rPr>
                <w:rFonts w:eastAsia="Times New Roman" w:cstheme="minorHAnsi"/>
                <w:color w:val="000000"/>
                <w:sz w:val="20"/>
                <w:szCs w:val="20"/>
                <w:lang w:eastAsia="en-NZ"/>
              </w:rPr>
              <w:t>0/1000</w:t>
            </w:r>
          </w:p>
        </w:tc>
        <w:tc>
          <w:tcPr>
            <w:tcW w:w="851" w:type="dxa"/>
            <w:tcBorders>
              <w:left w:val="single" w:sz="4" w:space="0" w:color="00B050"/>
              <w:bottom w:val="single" w:sz="8" w:space="0" w:color="00B050"/>
              <w:right w:val="single" w:sz="4" w:space="0" w:color="00B050"/>
            </w:tcBorders>
            <w:shd w:val="clear" w:color="auto" w:fill="auto"/>
            <w:hideMark/>
          </w:tcPr>
          <w:p w:rsidR="00030337" w:rsidRPr="001244BB" w:rsidRDefault="001A5194" w:rsidP="00030337">
            <w:pPr>
              <w:spacing w:after="0" w:line="240" w:lineRule="auto"/>
              <w:jc w:val="right"/>
              <w:rPr>
                <w:rFonts w:eastAsia="Times New Roman" w:cstheme="minorHAnsi"/>
                <w:color w:val="000000"/>
                <w:sz w:val="20"/>
                <w:szCs w:val="20"/>
                <w:lang w:eastAsia="en-NZ"/>
              </w:rPr>
            </w:pPr>
            <w:r>
              <w:rPr>
                <w:rFonts w:eastAsia="Times New Roman" w:cstheme="minorHAnsi"/>
                <w:color w:val="000000"/>
                <w:sz w:val="20"/>
                <w:szCs w:val="20"/>
                <w:lang w:eastAsia="en-NZ"/>
              </w:rPr>
              <w:t>NA</w:t>
            </w:r>
          </w:p>
        </w:tc>
        <w:tc>
          <w:tcPr>
            <w:tcW w:w="1134" w:type="dxa"/>
            <w:tcBorders>
              <w:left w:val="single" w:sz="4" w:space="0" w:color="00B050"/>
              <w:bottom w:val="single" w:sz="8" w:space="0" w:color="00B050"/>
              <w:right w:val="single" w:sz="4" w:space="0" w:color="00B050"/>
            </w:tcBorders>
            <w:shd w:val="clear" w:color="auto" w:fill="auto"/>
            <w:hideMark/>
          </w:tcPr>
          <w:p w:rsidR="00030337" w:rsidRPr="001244BB" w:rsidRDefault="001C0A52" w:rsidP="004A2F47">
            <w:pPr>
              <w:jc w:val="right"/>
              <w:rPr>
                <w:rFonts w:cstheme="minorHAnsi"/>
                <w:sz w:val="20"/>
                <w:szCs w:val="20"/>
              </w:rPr>
            </w:pPr>
            <w:r>
              <w:rPr>
                <w:rFonts w:eastAsia="Times New Roman" w:cstheme="minorHAnsi"/>
                <w:color w:val="000000"/>
                <w:sz w:val="20"/>
                <w:szCs w:val="20"/>
                <w:lang w:eastAsia="en-NZ"/>
              </w:rPr>
              <w:t xml:space="preserve">Not </w:t>
            </w:r>
            <w:r w:rsidR="00030337" w:rsidRPr="001244BB">
              <w:rPr>
                <w:rFonts w:eastAsia="Times New Roman" w:cstheme="minorHAnsi"/>
                <w:color w:val="000000"/>
                <w:sz w:val="20"/>
                <w:szCs w:val="20"/>
                <w:lang w:eastAsia="en-NZ"/>
              </w:rPr>
              <w:t>met</w:t>
            </w:r>
          </w:p>
        </w:tc>
        <w:tc>
          <w:tcPr>
            <w:tcW w:w="4635" w:type="dxa"/>
            <w:tcBorders>
              <w:left w:val="single" w:sz="4" w:space="0" w:color="00B050"/>
              <w:bottom w:val="single" w:sz="4" w:space="0" w:color="00B050"/>
              <w:right w:val="nil"/>
            </w:tcBorders>
            <w:shd w:val="clear" w:color="auto" w:fill="auto"/>
            <w:hideMark/>
          </w:tcPr>
          <w:p w:rsidR="00030337" w:rsidRPr="001244BB" w:rsidRDefault="001C0A52" w:rsidP="00030337">
            <w:pPr>
              <w:spacing w:after="0" w:line="240" w:lineRule="auto"/>
              <w:rPr>
                <w:rFonts w:eastAsia="Times New Roman" w:cstheme="minorHAnsi"/>
                <w:color w:val="000000"/>
                <w:sz w:val="20"/>
                <w:szCs w:val="20"/>
                <w:lang w:eastAsia="en-NZ"/>
              </w:rPr>
            </w:pPr>
            <w:r w:rsidRPr="001C0A52">
              <w:rPr>
                <w:rFonts w:eastAsia="Times New Roman" w:cstheme="minorHAnsi"/>
                <w:color w:val="000000"/>
                <w:sz w:val="20"/>
                <w:szCs w:val="20"/>
                <w:lang w:eastAsia="en-NZ"/>
              </w:rPr>
              <w:t>Dry weather overflows were caused by blockages, root intrusions, third party damages, network leaks and a power outage. All of these have been investigated and fixed.</w:t>
            </w:r>
          </w:p>
        </w:tc>
      </w:tr>
      <w:tr w:rsidR="00030337" w:rsidRPr="001244BB" w:rsidTr="004A2F47">
        <w:trPr>
          <w:trHeight w:val="525"/>
        </w:trPr>
        <w:tc>
          <w:tcPr>
            <w:tcW w:w="3672" w:type="dxa"/>
            <w:tcBorders>
              <w:top w:val="nil"/>
              <w:left w:val="nil"/>
              <w:right w:val="single" w:sz="4" w:space="0" w:color="00B050"/>
            </w:tcBorders>
            <w:shd w:val="clear" w:color="auto" w:fill="auto"/>
            <w:hideMark/>
          </w:tcPr>
          <w:p w:rsidR="007856B0" w:rsidRDefault="00030337" w:rsidP="004A2F47">
            <w:pPr>
              <w:spacing w:after="0" w:line="240" w:lineRule="auto"/>
              <w:rPr>
                <w:rFonts w:eastAsia="Times New Roman" w:cstheme="minorHAnsi"/>
                <w:color w:val="000000"/>
                <w:sz w:val="20"/>
                <w:szCs w:val="20"/>
                <w:lang w:eastAsia="en-NZ"/>
              </w:rPr>
            </w:pPr>
            <w:r w:rsidRPr="001244BB">
              <w:rPr>
                <w:rFonts w:eastAsia="Times New Roman" w:cstheme="minorHAnsi"/>
                <w:color w:val="000000"/>
                <w:sz w:val="20"/>
                <w:szCs w:val="20"/>
                <w:lang w:eastAsia="en-NZ"/>
              </w:rPr>
              <w:t xml:space="preserve">Compliance with the resource consents for discharge from the sewerage system, measured by the number of: </w:t>
            </w:r>
          </w:p>
          <w:p w:rsidR="007856B0" w:rsidRDefault="00030337" w:rsidP="004A2F47">
            <w:pPr>
              <w:spacing w:after="0" w:line="240" w:lineRule="auto"/>
              <w:ind w:left="318" w:hanging="318"/>
              <w:rPr>
                <w:rFonts w:eastAsia="Times New Roman" w:cstheme="minorHAnsi"/>
                <w:color w:val="000000"/>
                <w:sz w:val="20"/>
                <w:szCs w:val="20"/>
                <w:lang w:eastAsia="en-NZ"/>
              </w:rPr>
            </w:pPr>
            <w:r w:rsidRPr="001244BB">
              <w:rPr>
                <w:rFonts w:eastAsia="Times New Roman" w:cstheme="minorHAnsi"/>
                <w:color w:val="000000"/>
                <w:sz w:val="20"/>
                <w:szCs w:val="20"/>
                <w:lang w:eastAsia="en-NZ"/>
              </w:rPr>
              <w:t xml:space="preserve">Abatement notices, </w:t>
            </w:r>
          </w:p>
          <w:p w:rsidR="007856B0" w:rsidRDefault="00030337" w:rsidP="004A2F47">
            <w:pPr>
              <w:spacing w:after="0" w:line="240" w:lineRule="auto"/>
              <w:ind w:left="318" w:hanging="318"/>
              <w:rPr>
                <w:rFonts w:eastAsia="Times New Roman" w:cstheme="minorHAnsi"/>
                <w:color w:val="000000"/>
                <w:sz w:val="20"/>
                <w:szCs w:val="20"/>
                <w:lang w:eastAsia="en-NZ"/>
              </w:rPr>
            </w:pPr>
            <w:r w:rsidRPr="001244BB">
              <w:rPr>
                <w:rFonts w:eastAsia="Times New Roman" w:cstheme="minorHAnsi"/>
                <w:color w:val="000000"/>
                <w:sz w:val="20"/>
                <w:szCs w:val="20"/>
                <w:lang w:eastAsia="en-NZ"/>
              </w:rPr>
              <w:t xml:space="preserve">Infringement notices, </w:t>
            </w:r>
          </w:p>
          <w:p w:rsidR="007856B0" w:rsidRDefault="00030337" w:rsidP="004A2F47">
            <w:pPr>
              <w:spacing w:after="0" w:line="240" w:lineRule="auto"/>
              <w:ind w:left="318" w:hanging="318"/>
              <w:rPr>
                <w:rFonts w:eastAsia="Times New Roman" w:cstheme="minorHAnsi"/>
                <w:color w:val="000000"/>
                <w:sz w:val="20"/>
                <w:szCs w:val="20"/>
                <w:lang w:eastAsia="en-NZ"/>
              </w:rPr>
            </w:pPr>
            <w:r w:rsidRPr="001244BB">
              <w:rPr>
                <w:rFonts w:eastAsia="Times New Roman" w:cstheme="minorHAnsi"/>
                <w:color w:val="000000"/>
                <w:sz w:val="20"/>
                <w:szCs w:val="20"/>
                <w:lang w:eastAsia="en-NZ"/>
              </w:rPr>
              <w:t xml:space="preserve">Enforcement orders, </w:t>
            </w:r>
          </w:p>
          <w:p w:rsidR="00030337" w:rsidRPr="001244BB" w:rsidRDefault="00030337" w:rsidP="004A2F47">
            <w:pPr>
              <w:spacing w:after="0" w:line="240" w:lineRule="auto"/>
              <w:ind w:left="318" w:hanging="318"/>
              <w:rPr>
                <w:rFonts w:eastAsia="Times New Roman" w:cstheme="minorHAnsi"/>
                <w:color w:val="000000"/>
                <w:sz w:val="20"/>
                <w:szCs w:val="20"/>
                <w:lang w:eastAsia="en-NZ"/>
              </w:rPr>
            </w:pPr>
            <w:r w:rsidRPr="001244BB">
              <w:rPr>
                <w:rFonts w:eastAsia="Times New Roman" w:cstheme="minorHAnsi"/>
                <w:color w:val="000000"/>
                <w:sz w:val="20"/>
                <w:szCs w:val="20"/>
                <w:lang w:eastAsia="en-NZ"/>
              </w:rPr>
              <w:t>Convictions*</w:t>
            </w:r>
          </w:p>
        </w:tc>
        <w:tc>
          <w:tcPr>
            <w:tcW w:w="1140" w:type="dxa"/>
            <w:tcBorders>
              <w:top w:val="single" w:sz="8" w:space="0" w:color="00B050"/>
              <w:left w:val="single" w:sz="4" w:space="0" w:color="00B050"/>
              <w:right w:val="single" w:sz="4" w:space="0" w:color="00B050"/>
            </w:tcBorders>
            <w:shd w:val="clear" w:color="auto" w:fill="auto"/>
            <w:noWrap/>
            <w:hideMark/>
          </w:tcPr>
          <w:p w:rsidR="007856B0" w:rsidRDefault="007856B0" w:rsidP="004A2F47">
            <w:pPr>
              <w:spacing w:after="0" w:line="240" w:lineRule="auto"/>
              <w:jc w:val="right"/>
              <w:rPr>
                <w:rFonts w:eastAsia="Times New Roman" w:cstheme="minorHAnsi"/>
                <w:color w:val="000000"/>
                <w:sz w:val="20"/>
                <w:szCs w:val="20"/>
                <w:lang w:eastAsia="en-NZ"/>
              </w:rPr>
            </w:pPr>
          </w:p>
          <w:p w:rsidR="007856B0" w:rsidRDefault="007856B0" w:rsidP="004A2F47">
            <w:pPr>
              <w:spacing w:after="0" w:line="240" w:lineRule="auto"/>
              <w:jc w:val="right"/>
              <w:rPr>
                <w:rFonts w:eastAsia="Times New Roman" w:cstheme="minorHAnsi"/>
                <w:color w:val="000000"/>
                <w:sz w:val="20"/>
                <w:szCs w:val="20"/>
                <w:lang w:eastAsia="en-NZ"/>
              </w:rPr>
            </w:pPr>
          </w:p>
          <w:p w:rsidR="007856B0" w:rsidRDefault="007856B0" w:rsidP="004A2F47">
            <w:pPr>
              <w:spacing w:after="0" w:line="240" w:lineRule="auto"/>
              <w:jc w:val="right"/>
              <w:rPr>
                <w:rFonts w:eastAsia="Times New Roman" w:cstheme="minorHAnsi"/>
                <w:color w:val="000000"/>
                <w:sz w:val="20"/>
                <w:szCs w:val="20"/>
                <w:lang w:eastAsia="en-NZ"/>
              </w:rPr>
            </w:pPr>
          </w:p>
          <w:p w:rsidR="00030337" w:rsidRDefault="00030337" w:rsidP="004A2F47">
            <w:pPr>
              <w:spacing w:after="0" w:line="240" w:lineRule="auto"/>
              <w:jc w:val="right"/>
              <w:rPr>
                <w:rFonts w:eastAsia="Times New Roman" w:cstheme="minorHAnsi"/>
                <w:color w:val="000000"/>
                <w:sz w:val="20"/>
                <w:szCs w:val="20"/>
                <w:lang w:eastAsia="en-NZ"/>
              </w:rPr>
            </w:pPr>
            <w:r w:rsidRPr="001244BB">
              <w:rPr>
                <w:rFonts w:eastAsia="Times New Roman" w:cstheme="minorHAnsi"/>
                <w:color w:val="000000"/>
                <w:sz w:val="20"/>
                <w:szCs w:val="20"/>
                <w:lang w:eastAsia="en-NZ"/>
              </w:rPr>
              <w:t>0</w:t>
            </w:r>
          </w:p>
          <w:p w:rsidR="007856B0" w:rsidRDefault="007856B0" w:rsidP="004A2F47">
            <w:pPr>
              <w:spacing w:after="0" w:line="240" w:lineRule="auto"/>
              <w:jc w:val="right"/>
              <w:rPr>
                <w:rFonts w:eastAsia="Times New Roman" w:cstheme="minorHAnsi"/>
                <w:color w:val="000000"/>
                <w:sz w:val="20"/>
                <w:szCs w:val="20"/>
                <w:lang w:eastAsia="en-NZ"/>
              </w:rPr>
            </w:pPr>
            <w:r>
              <w:rPr>
                <w:rFonts w:eastAsia="Times New Roman" w:cstheme="minorHAnsi"/>
                <w:color w:val="000000"/>
                <w:sz w:val="20"/>
                <w:szCs w:val="20"/>
                <w:lang w:eastAsia="en-NZ"/>
              </w:rPr>
              <w:t>0</w:t>
            </w:r>
          </w:p>
          <w:p w:rsidR="007856B0" w:rsidRDefault="007856B0" w:rsidP="004A2F47">
            <w:pPr>
              <w:spacing w:after="0" w:line="240" w:lineRule="auto"/>
              <w:jc w:val="right"/>
              <w:rPr>
                <w:rFonts w:eastAsia="Times New Roman" w:cstheme="minorHAnsi"/>
                <w:color w:val="000000"/>
                <w:sz w:val="20"/>
                <w:szCs w:val="20"/>
                <w:lang w:eastAsia="en-NZ"/>
              </w:rPr>
            </w:pPr>
            <w:r>
              <w:rPr>
                <w:rFonts w:eastAsia="Times New Roman" w:cstheme="minorHAnsi"/>
                <w:color w:val="000000"/>
                <w:sz w:val="20"/>
                <w:szCs w:val="20"/>
                <w:lang w:eastAsia="en-NZ"/>
              </w:rPr>
              <w:t>0</w:t>
            </w:r>
          </w:p>
          <w:p w:rsidR="007856B0" w:rsidRDefault="007856B0" w:rsidP="004A2F47">
            <w:pPr>
              <w:spacing w:after="0" w:line="240" w:lineRule="auto"/>
              <w:jc w:val="right"/>
              <w:rPr>
                <w:rFonts w:eastAsia="Times New Roman" w:cstheme="minorHAnsi"/>
                <w:color w:val="000000"/>
                <w:sz w:val="20"/>
                <w:szCs w:val="20"/>
                <w:lang w:eastAsia="en-NZ"/>
              </w:rPr>
            </w:pPr>
            <w:r>
              <w:rPr>
                <w:rFonts w:eastAsia="Times New Roman" w:cstheme="minorHAnsi"/>
                <w:color w:val="000000"/>
                <w:sz w:val="20"/>
                <w:szCs w:val="20"/>
                <w:lang w:eastAsia="en-NZ"/>
              </w:rPr>
              <w:t>0</w:t>
            </w:r>
          </w:p>
          <w:p w:rsidR="007856B0" w:rsidRPr="001244BB" w:rsidRDefault="007856B0" w:rsidP="004A2F47">
            <w:pPr>
              <w:spacing w:after="0" w:line="240" w:lineRule="auto"/>
              <w:jc w:val="right"/>
              <w:rPr>
                <w:rFonts w:eastAsia="Times New Roman" w:cstheme="minorHAnsi"/>
                <w:color w:val="000000"/>
                <w:sz w:val="20"/>
                <w:szCs w:val="20"/>
                <w:lang w:eastAsia="en-NZ"/>
              </w:rPr>
            </w:pPr>
            <w:r>
              <w:rPr>
                <w:rFonts w:eastAsia="Times New Roman" w:cstheme="minorHAnsi"/>
                <w:color w:val="000000"/>
                <w:sz w:val="20"/>
                <w:szCs w:val="20"/>
                <w:lang w:eastAsia="en-NZ"/>
              </w:rPr>
              <w:t>0</w:t>
            </w:r>
          </w:p>
        </w:tc>
        <w:tc>
          <w:tcPr>
            <w:tcW w:w="1142" w:type="dxa"/>
            <w:gridSpan w:val="2"/>
            <w:tcBorders>
              <w:top w:val="single" w:sz="8" w:space="0" w:color="00B050"/>
              <w:left w:val="single" w:sz="4" w:space="0" w:color="00B050"/>
              <w:right w:val="single" w:sz="4" w:space="0" w:color="00B050"/>
            </w:tcBorders>
            <w:shd w:val="clear" w:color="auto" w:fill="auto"/>
            <w:noWrap/>
          </w:tcPr>
          <w:p w:rsidR="00030337" w:rsidRDefault="00030337" w:rsidP="004A2F47">
            <w:pPr>
              <w:spacing w:after="0" w:line="240" w:lineRule="auto"/>
              <w:jc w:val="right"/>
              <w:rPr>
                <w:rFonts w:eastAsia="Times New Roman" w:cstheme="minorHAnsi"/>
                <w:color w:val="000000"/>
                <w:sz w:val="20"/>
                <w:szCs w:val="20"/>
                <w:lang w:eastAsia="en-NZ"/>
              </w:rPr>
            </w:pPr>
          </w:p>
          <w:p w:rsidR="00B27E9D" w:rsidRDefault="00B27E9D" w:rsidP="004A2F47">
            <w:pPr>
              <w:spacing w:after="0" w:line="240" w:lineRule="auto"/>
              <w:jc w:val="right"/>
              <w:rPr>
                <w:rFonts w:eastAsia="Times New Roman" w:cstheme="minorHAnsi"/>
                <w:color w:val="000000"/>
                <w:sz w:val="20"/>
                <w:szCs w:val="20"/>
                <w:lang w:eastAsia="en-NZ"/>
              </w:rPr>
            </w:pPr>
          </w:p>
          <w:p w:rsidR="00B27E9D" w:rsidRDefault="00B27E9D" w:rsidP="004A2F47">
            <w:pPr>
              <w:spacing w:after="0" w:line="240" w:lineRule="auto"/>
              <w:jc w:val="right"/>
              <w:rPr>
                <w:rFonts w:eastAsia="Times New Roman" w:cstheme="minorHAnsi"/>
                <w:color w:val="000000"/>
                <w:sz w:val="20"/>
                <w:szCs w:val="20"/>
                <w:lang w:eastAsia="en-NZ"/>
              </w:rPr>
            </w:pPr>
          </w:p>
          <w:p w:rsidR="00B27E9D" w:rsidRDefault="00B27E9D" w:rsidP="004A2F47">
            <w:pPr>
              <w:spacing w:after="0" w:line="240" w:lineRule="auto"/>
              <w:jc w:val="right"/>
              <w:rPr>
                <w:rFonts w:eastAsia="Times New Roman" w:cstheme="minorHAnsi"/>
                <w:color w:val="000000"/>
                <w:sz w:val="20"/>
                <w:szCs w:val="20"/>
                <w:lang w:eastAsia="en-NZ"/>
              </w:rPr>
            </w:pPr>
            <w:r>
              <w:rPr>
                <w:rFonts w:eastAsia="Times New Roman" w:cstheme="minorHAnsi"/>
                <w:color w:val="000000"/>
                <w:sz w:val="20"/>
                <w:szCs w:val="20"/>
                <w:lang w:eastAsia="en-NZ"/>
              </w:rPr>
              <w:t>0</w:t>
            </w:r>
          </w:p>
          <w:p w:rsidR="00B27E9D" w:rsidRDefault="00B27E9D" w:rsidP="004A2F47">
            <w:pPr>
              <w:spacing w:after="0" w:line="240" w:lineRule="auto"/>
              <w:jc w:val="right"/>
              <w:rPr>
                <w:rFonts w:eastAsia="Times New Roman" w:cstheme="minorHAnsi"/>
                <w:color w:val="000000"/>
                <w:sz w:val="20"/>
                <w:szCs w:val="20"/>
                <w:lang w:eastAsia="en-NZ"/>
              </w:rPr>
            </w:pPr>
            <w:r>
              <w:rPr>
                <w:rFonts w:eastAsia="Times New Roman" w:cstheme="minorHAnsi"/>
                <w:color w:val="000000"/>
                <w:sz w:val="20"/>
                <w:szCs w:val="20"/>
                <w:lang w:eastAsia="en-NZ"/>
              </w:rPr>
              <w:t>0</w:t>
            </w:r>
          </w:p>
          <w:p w:rsidR="00B27E9D" w:rsidRDefault="00B27E9D" w:rsidP="004A2F47">
            <w:pPr>
              <w:spacing w:after="0" w:line="240" w:lineRule="auto"/>
              <w:jc w:val="right"/>
              <w:rPr>
                <w:rFonts w:eastAsia="Times New Roman" w:cstheme="minorHAnsi"/>
                <w:color w:val="000000"/>
                <w:sz w:val="20"/>
                <w:szCs w:val="20"/>
                <w:lang w:eastAsia="en-NZ"/>
              </w:rPr>
            </w:pPr>
            <w:r>
              <w:rPr>
                <w:rFonts w:eastAsia="Times New Roman" w:cstheme="minorHAnsi"/>
                <w:color w:val="000000"/>
                <w:sz w:val="20"/>
                <w:szCs w:val="20"/>
                <w:lang w:eastAsia="en-NZ"/>
              </w:rPr>
              <w:t>0</w:t>
            </w:r>
          </w:p>
          <w:p w:rsidR="00B27E9D" w:rsidRDefault="00B27E9D" w:rsidP="004A2F47">
            <w:pPr>
              <w:spacing w:after="0" w:line="240" w:lineRule="auto"/>
              <w:jc w:val="right"/>
              <w:rPr>
                <w:rFonts w:eastAsia="Times New Roman" w:cstheme="minorHAnsi"/>
                <w:color w:val="000000"/>
                <w:sz w:val="20"/>
                <w:szCs w:val="20"/>
                <w:lang w:eastAsia="en-NZ"/>
              </w:rPr>
            </w:pPr>
            <w:r>
              <w:rPr>
                <w:rFonts w:eastAsia="Times New Roman" w:cstheme="minorHAnsi"/>
                <w:color w:val="000000"/>
                <w:sz w:val="20"/>
                <w:szCs w:val="20"/>
                <w:lang w:eastAsia="en-NZ"/>
              </w:rPr>
              <w:t>0</w:t>
            </w:r>
          </w:p>
          <w:p w:rsidR="00B27E9D" w:rsidRPr="001244BB" w:rsidRDefault="00B27E9D" w:rsidP="004A2F47">
            <w:pPr>
              <w:spacing w:after="0" w:line="240" w:lineRule="auto"/>
              <w:jc w:val="right"/>
              <w:rPr>
                <w:rFonts w:eastAsia="Times New Roman" w:cstheme="minorHAnsi"/>
                <w:color w:val="000000"/>
                <w:sz w:val="20"/>
                <w:szCs w:val="20"/>
                <w:lang w:eastAsia="en-NZ"/>
              </w:rPr>
            </w:pPr>
            <w:r>
              <w:rPr>
                <w:rFonts w:eastAsia="Times New Roman" w:cstheme="minorHAnsi"/>
                <w:color w:val="000000"/>
                <w:sz w:val="20"/>
                <w:szCs w:val="20"/>
                <w:lang w:eastAsia="en-NZ"/>
              </w:rPr>
              <w:t>0</w:t>
            </w:r>
          </w:p>
        </w:tc>
        <w:tc>
          <w:tcPr>
            <w:tcW w:w="1276" w:type="dxa"/>
            <w:tcBorders>
              <w:top w:val="single" w:sz="8" w:space="0" w:color="00B050"/>
              <w:left w:val="single" w:sz="4" w:space="0" w:color="00B050"/>
              <w:right w:val="single" w:sz="4" w:space="0" w:color="00B050"/>
            </w:tcBorders>
            <w:shd w:val="clear" w:color="auto" w:fill="auto"/>
            <w:noWrap/>
          </w:tcPr>
          <w:p w:rsidR="00030337" w:rsidRDefault="00030337" w:rsidP="004A2F47">
            <w:pPr>
              <w:spacing w:after="0" w:line="240" w:lineRule="auto"/>
              <w:jc w:val="right"/>
              <w:rPr>
                <w:rFonts w:eastAsia="Times New Roman" w:cstheme="minorHAnsi"/>
                <w:color w:val="000000"/>
                <w:sz w:val="20"/>
                <w:szCs w:val="20"/>
                <w:lang w:eastAsia="en-NZ"/>
              </w:rPr>
            </w:pPr>
          </w:p>
          <w:p w:rsidR="00B27E9D" w:rsidRDefault="00B27E9D" w:rsidP="004A2F47">
            <w:pPr>
              <w:spacing w:after="0" w:line="240" w:lineRule="auto"/>
              <w:jc w:val="right"/>
              <w:rPr>
                <w:rFonts w:eastAsia="Times New Roman" w:cstheme="minorHAnsi"/>
                <w:color w:val="000000"/>
                <w:sz w:val="20"/>
                <w:szCs w:val="20"/>
                <w:lang w:eastAsia="en-NZ"/>
              </w:rPr>
            </w:pPr>
          </w:p>
          <w:p w:rsidR="00B27E9D" w:rsidRDefault="00B27E9D" w:rsidP="004A2F47">
            <w:pPr>
              <w:spacing w:after="0" w:line="240" w:lineRule="auto"/>
              <w:jc w:val="right"/>
              <w:rPr>
                <w:rFonts w:eastAsia="Times New Roman" w:cstheme="minorHAnsi"/>
                <w:color w:val="000000"/>
                <w:sz w:val="20"/>
                <w:szCs w:val="20"/>
                <w:lang w:eastAsia="en-NZ"/>
              </w:rPr>
            </w:pPr>
          </w:p>
          <w:p w:rsidR="00B27E9D" w:rsidRDefault="00B27E9D" w:rsidP="004A2F47">
            <w:pPr>
              <w:spacing w:after="0" w:line="240" w:lineRule="auto"/>
              <w:jc w:val="right"/>
              <w:rPr>
                <w:rFonts w:eastAsia="Times New Roman" w:cstheme="minorHAnsi"/>
                <w:color w:val="000000"/>
                <w:sz w:val="20"/>
                <w:szCs w:val="20"/>
                <w:lang w:eastAsia="en-NZ"/>
              </w:rPr>
            </w:pPr>
            <w:r>
              <w:rPr>
                <w:rFonts w:eastAsia="Times New Roman" w:cstheme="minorHAnsi"/>
                <w:color w:val="000000"/>
                <w:sz w:val="20"/>
                <w:szCs w:val="20"/>
                <w:lang w:eastAsia="en-NZ"/>
              </w:rPr>
              <w:t>0</w:t>
            </w:r>
          </w:p>
          <w:p w:rsidR="00B27E9D" w:rsidRDefault="00B27E9D" w:rsidP="004A2F47">
            <w:pPr>
              <w:spacing w:after="0" w:line="240" w:lineRule="auto"/>
              <w:jc w:val="right"/>
              <w:rPr>
                <w:rFonts w:eastAsia="Times New Roman" w:cstheme="minorHAnsi"/>
                <w:color w:val="000000"/>
                <w:sz w:val="20"/>
                <w:szCs w:val="20"/>
                <w:lang w:eastAsia="en-NZ"/>
              </w:rPr>
            </w:pPr>
            <w:r>
              <w:rPr>
                <w:rFonts w:eastAsia="Times New Roman" w:cstheme="minorHAnsi"/>
                <w:color w:val="000000"/>
                <w:sz w:val="20"/>
                <w:szCs w:val="20"/>
                <w:lang w:eastAsia="en-NZ"/>
              </w:rPr>
              <w:t>0</w:t>
            </w:r>
          </w:p>
          <w:p w:rsidR="00B27E9D" w:rsidRDefault="00B27E9D" w:rsidP="004A2F47">
            <w:pPr>
              <w:spacing w:after="0" w:line="240" w:lineRule="auto"/>
              <w:jc w:val="right"/>
              <w:rPr>
                <w:rFonts w:eastAsia="Times New Roman" w:cstheme="minorHAnsi"/>
                <w:color w:val="000000"/>
                <w:sz w:val="20"/>
                <w:szCs w:val="20"/>
                <w:lang w:eastAsia="en-NZ"/>
              </w:rPr>
            </w:pPr>
            <w:r>
              <w:rPr>
                <w:rFonts w:eastAsia="Times New Roman" w:cstheme="minorHAnsi"/>
                <w:color w:val="000000"/>
                <w:sz w:val="20"/>
                <w:szCs w:val="20"/>
                <w:lang w:eastAsia="en-NZ"/>
              </w:rPr>
              <w:t>0</w:t>
            </w:r>
          </w:p>
          <w:p w:rsidR="00B27E9D" w:rsidRDefault="00B27E9D" w:rsidP="004A2F47">
            <w:pPr>
              <w:spacing w:after="0" w:line="240" w:lineRule="auto"/>
              <w:jc w:val="right"/>
              <w:rPr>
                <w:rFonts w:eastAsia="Times New Roman" w:cstheme="minorHAnsi"/>
                <w:color w:val="000000"/>
                <w:sz w:val="20"/>
                <w:szCs w:val="20"/>
                <w:lang w:eastAsia="en-NZ"/>
              </w:rPr>
            </w:pPr>
            <w:r>
              <w:rPr>
                <w:rFonts w:eastAsia="Times New Roman" w:cstheme="minorHAnsi"/>
                <w:color w:val="000000"/>
                <w:sz w:val="20"/>
                <w:szCs w:val="20"/>
                <w:lang w:eastAsia="en-NZ"/>
              </w:rPr>
              <w:t>0</w:t>
            </w:r>
          </w:p>
          <w:p w:rsidR="00B27E9D" w:rsidRPr="001244BB" w:rsidRDefault="00B27E9D" w:rsidP="004A2F47">
            <w:pPr>
              <w:spacing w:after="0" w:line="240" w:lineRule="auto"/>
              <w:jc w:val="right"/>
              <w:rPr>
                <w:rFonts w:eastAsia="Times New Roman" w:cstheme="minorHAnsi"/>
                <w:color w:val="000000"/>
                <w:sz w:val="20"/>
                <w:szCs w:val="20"/>
                <w:lang w:eastAsia="en-NZ"/>
              </w:rPr>
            </w:pPr>
            <w:r>
              <w:rPr>
                <w:rFonts w:eastAsia="Times New Roman" w:cstheme="minorHAnsi"/>
                <w:color w:val="000000"/>
                <w:sz w:val="20"/>
                <w:szCs w:val="20"/>
                <w:lang w:eastAsia="en-NZ"/>
              </w:rPr>
              <w:t>0</w:t>
            </w:r>
          </w:p>
        </w:tc>
        <w:tc>
          <w:tcPr>
            <w:tcW w:w="1134" w:type="dxa"/>
            <w:tcBorders>
              <w:top w:val="single" w:sz="8" w:space="0" w:color="00B050"/>
              <w:left w:val="single" w:sz="4" w:space="0" w:color="00B050"/>
              <w:right w:val="single" w:sz="4" w:space="0" w:color="00B050"/>
            </w:tcBorders>
            <w:shd w:val="clear" w:color="000000" w:fill="D9D9D9"/>
          </w:tcPr>
          <w:p w:rsidR="00030337" w:rsidRDefault="00030337" w:rsidP="004A2F47">
            <w:pPr>
              <w:spacing w:after="0" w:line="240" w:lineRule="auto"/>
              <w:jc w:val="right"/>
              <w:rPr>
                <w:rFonts w:eastAsia="Times New Roman" w:cstheme="minorHAnsi"/>
                <w:color w:val="000000"/>
                <w:sz w:val="20"/>
                <w:szCs w:val="20"/>
                <w:lang w:eastAsia="en-NZ"/>
              </w:rPr>
            </w:pPr>
          </w:p>
          <w:p w:rsidR="00B27E9D" w:rsidRDefault="00B27E9D" w:rsidP="004A2F47">
            <w:pPr>
              <w:spacing w:after="0" w:line="240" w:lineRule="auto"/>
              <w:jc w:val="right"/>
              <w:rPr>
                <w:rFonts w:eastAsia="Times New Roman" w:cstheme="minorHAnsi"/>
                <w:color w:val="000000"/>
                <w:sz w:val="20"/>
                <w:szCs w:val="20"/>
                <w:lang w:eastAsia="en-NZ"/>
              </w:rPr>
            </w:pPr>
          </w:p>
          <w:p w:rsidR="00B27E9D" w:rsidRDefault="00B27E9D" w:rsidP="004A2F47">
            <w:pPr>
              <w:spacing w:after="0" w:line="240" w:lineRule="auto"/>
              <w:jc w:val="right"/>
              <w:rPr>
                <w:rFonts w:eastAsia="Times New Roman" w:cstheme="minorHAnsi"/>
                <w:color w:val="000000"/>
                <w:sz w:val="20"/>
                <w:szCs w:val="20"/>
                <w:lang w:eastAsia="en-NZ"/>
              </w:rPr>
            </w:pPr>
          </w:p>
          <w:p w:rsidR="00B27E9D" w:rsidRDefault="00B27E9D" w:rsidP="004A2F47">
            <w:pPr>
              <w:spacing w:after="0" w:line="240" w:lineRule="auto"/>
              <w:jc w:val="right"/>
              <w:rPr>
                <w:rFonts w:eastAsia="Times New Roman" w:cstheme="minorHAnsi"/>
                <w:color w:val="000000"/>
                <w:sz w:val="20"/>
                <w:szCs w:val="20"/>
                <w:lang w:eastAsia="en-NZ"/>
              </w:rPr>
            </w:pPr>
            <w:r>
              <w:rPr>
                <w:rFonts w:eastAsia="Times New Roman" w:cstheme="minorHAnsi"/>
                <w:color w:val="000000"/>
                <w:sz w:val="20"/>
                <w:szCs w:val="20"/>
                <w:lang w:eastAsia="en-NZ"/>
              </w:rPr>
              <w:t>0</w:t>
            </w:r>
          </w:p>
          <w:p w:rsidR="00B27E9D" w:rsidRDefault="00B27E9D" w:rsidP="004A2F47">
            <w:pPr>
              <w:spacing w:after="0" w:line="240" w:lineRule="auto"/>
              <w:jc w:val="right"/>
              <w:rPr>
                <w:rFonts w:eastAsia="Times New Roman" w:cstheme="minorHAnsi"/>
                <w:color w:val="000000"/>
                <w:sz w:val="20"/>
                <w:szCs w:val="20"/>
                <w:lang w:eastAsia="en-NZ"/>
              </w:rPr>
            </w:pPr>
            <w:r>
              <w:rPr>
                <w:rFonts w:eastAsia="Times New Roman" w:cstheme="minorHAnsi"/>
                <w:color w:val="000000"/>
                <w:sz w:val="20"/>
                <w:szCs w:val="20"/>
                <w:lang w:eastAsia="en-NZ"/>
              </w:rPr>
              <w:t>0</w:t>
            </w:r>
          </w:p>
          <w:p w:rsidR="00B27E9D" w:rsidRDefault="00B27E9D" w:rsidP="004A2F47">
            <w:pPr>
              <w:spacing w:after="0" w:line="240" w:lineRule="auto"/>
              <w:jc w:val="right"/>
              <w:rPr>
                <w:rFonts w:eastAsia="Times New Roman" w:cstheme="minorHAnsi"/>
                <w:color w:val="000000"/>
                <w:sz w:val="20"/>
                <w:szCs w:val="20"/>
                <w:lang w:eastAsia="en-NZ"/>
              </w:rPr>
            </w:pPr>
            <w:r>
              <w:rPr>
                <w:rFonts w:eastAsia="Times New Roman" w:cstheme="minorHAnsi"/>
                <w:color w:val="000000"/>
                <w:sz w:val="20"/>
                <w:szCs w:val="20"/>
                <w:lang w:eastAsia="en-NZ"/>
              </w:rPr>
              <w:t>0</w:t>
            </w:r>
          </w:p>
          <w:p w:rsidR="00B27E9D" w:rsidRDefault="00B27E9D" w:rsidP="004A2F47">
            <w:pPr>
              <w:spacing w:after="0" w:line="240" w:lineRule="auto"/>
              <w:jc w:val="right"/>
              <w:rPr>
                <w:rFonts w:eastAsia="Times New Roman" w:cstheme="minorHAnsi"/>
                <w:color w:val="000000"/>
                <w:sz w:val="20"/>
                <w:szCs w:val="20"/>
                <w:lang w:eastAsia="en-NZ"/>
              </w:rPr>
            </w:pPr>
            <w:r>
              <w:rPr>
                <w:rFonts w:eastAsia="Times New Roman" w:cstheme="minorHAnsi"/>
                <w:color w:val="000000"/>
                <w:sz w:val="20"/>
                <w:szCs w:val="20"/>
                <w:lang w:eastAsia="en-NZ"/>
              </w:rPr>
              <w:t>0</w:t>
            </w:r>
          </w:p>
          <w:p w:rsidR="00B27E9D" w:rsidRDefault="004A2F47" w:rsidP="004A2F47">
            <w:pPr>
              <w:spacing w:after="0" w:line="240" w:lineRule="auto"/>
              <w:jc w:val="right"/>
              <w:rPr>
                <w:rFonts w:eastAsia="Times New Roman" w:cstheme="minorHAnsi"/>
                <w:color w:val="000000"/>
                <w:sz w:val="20"/>
                <w:szCs w:val="20"/>
                <w:lang w:eastAsia="en-NZ"/>
              </w:rPr>
            </w:pPr>
            <w:r>
              <w:rPr>
                <w:rFonts w:eastAsia="Times New Roman" w:cstheme="minorHAnsi"/>
                <w:color w:val="000000"/>
                <w:sz w:val="20"/>
                <w:szCs w:val="20"/>
                <w:lang w:eastAsia="en-NZ"/>
              </w:rPr>
              <w:t>0</w:t>
            </w:r>
          </w:p>
          <w:p w:rsidR="004A2F47" w:rsidRPr="001244BB" w:rsidRDefault="004A2F47" w:rsidP="004A2F47">
            <w:pPr>
              <w:spacing w:after="0" w:line="240" w:lineRule="auto"/>
              <w:jc w:val="right"/>
              <w:rPr>
                <w:rFonts w:eastAsia="Times New Roman" w:cstheme="minorHAnsi"/>
                <w:color w:val="000000"/>
                <w:sz w:val="20"/>
                <w:szCs w:val="20"/>
                <w:lang w:eastAsia="en-NZ"/>
              </w:rPr>
            </w:pPr>
          </w:p>
        </w:tc>
        <w:tc>
          <w:tcPr>
            <w:tcW w:w="851" w:type="dxa"/>
            <w:tcBorders>
              <w:top w:val="single" w:sz="8" w:space="0" w:color="00B050"/>
              <w:left w:val="single" w:sz="4" w:space="0" w:color="00B050"/>
              <w:right w:val="single" w:sz="4" w:space="0" w:color="00B050"/>
            </w:tcBorders>
            <w:shd w:val="clear" w:color="auto" w:fill="auto"/>
          </w:tcPr>
          <w:p w:rsidR="00030337" w:rsidRDefault="00030337" w:rsidP="004A2F47">
            <w:pPr>
              <w:spacing w:after="0" w:line="240" w:lineRule="auto"/>
              <w:jc w:val="right"/>
              <w:rPr>
                <w:rFonts w:eastAsia="Times New Roman" w:cstheme="minorHAnsi"/>
                <w:color w:val="000000"/>
                <w:sz w:val="20"/>
                <w:szCs w:val="20"/>
                <w:lang w:eastAsia="en-NZ"/>
              </w:rPr>
            </w:pPr>
          </w:p>
          <w:p w:rsidR="00B27E9D" w:rsidRDefault="00B27E9D" w:rsidP="004A2F47">
            <w:pPr>
              <w:spacing w:after="0" w:line="240" w:lineRule="auto"/>
              <w:jc w:val="right"/>
              <w:rPr>
                <w:rFonts w:eastAsia="Times New Roman" w:cstheme="minorHAnsi"/>
                <w:color w:val="000000"/>
                <w:sz w:val="20"/>
                <w:szCs w:val="20"/>
                <w:lang w:eastAsia="en-NZ"/>
              </w:rPr>
            </w:pPr>
          </w:p>
          <w:p w:rsidR="00B27E9D" w:rsidRDefault="00B27E9D" w:rsidP="004A2F47">
            <w:pPr>
              <w:spacing w:after="0" w:line="240" w:lineRule="auto"/>
              <w:jc w:val="right"/>
              <w:rPr>
                <w:rFonts w:eastAsia="Times New Roman" w:cstheme="minorHAnsi"/>
                <w:color w:val="000000"/>
                <w:sz w:val="20"/>
                <w:szCs w:val="20"/>
                <w:lang w:eastAsia="en-NZ"/>
              </w:rPr>
            </w:pPr>
          </w:p>
          <w:p w:rsidR="00B27E9D" w:rsidRDefault="00B27E9D" w:rsidP="004A2F47">
            <w:pPr>
              <w:spacing w:after="0" w:line="240" w:lineRule="auto"/>
              <w:jc w:val="right"/>
              <w:rPr>
                <w:rFonts w:eastAsia="Times New Roman" w:cstheme="minorHAnsi"/>
                <w:color w:val="000000"/>
                <w:sz w:val="20"/>
                <w:szCs w:val="20"/>
                <w:lang w:eastAsia="en-NZ"/>
              </w:rPr>
            </w:pPr>
            <w:r>
              <w:rPr>
                <w:rFonts w:eastAsia="Times New Roman" w:cstheme="minorHAnsi"/>
                <w:color w:val="000000"/>
                <w:sz w:val="20"/>
                <w:szCs w:val="20"/>
                <w:lang w:eastAsia="en-NZ"/>
              </w:rPr>
              <w:t>0%</w:t>
            </w:r>
          </w:p>
          <w:p w:rsidR="00B27E9D" w:rsidRDefault="00B27E9D" w:rsidP="004A2F47">
            <w:pPr>
              <w:spacing w:after="0" w:line="240" w:lineRule="auto"/>
              <w:jc w:val="right"/>
              <w:rPr>
                <w:rFonts w:eastAsia="Times New Roman" w:cstheme="minorHAnsi"/>
                <w:color w:val="000000"/>
                <w:sz w:val="20"/>
                <w:szCs w:val="20"/>
                <w:lang w:eastAsia="en-NZ"/>
              </w:rPr>
            </w:pPr>
            <w:r>
              <w:rPr>
                <w:rFonts w:eastAsia="Times New Roman" w:cstheme="minorHAnsi"/>
                <w:color w:val="000000"/>
                <w:sz w:val="20"/>
                <w:szCs w:val="20"/>
                <w:lang w:eastAsia="en-NZ"/>
              </w:rPr>
              <w:t>0%</w:t>
            </w:r>
          </w:p>
          <w:p w:rsidR="00B27E9D" w:rsidRDefault="00B27E9D" w:rsidP="004A2F47">
            <w:pPr>
              <w:spacing w:after="0" w:line="240" w:lineRule="auto"/>
              <w:jc w:val="right"/>
              <w:rPr>
                <w:rFonts w:eastAsia="Times New Roman" w:cstheme="minorHAnsi"/>
                <w:color w:val="000000"/>
                <w:sz w:val="20"/>
                <w:szCs w:val="20"/>
                <w:lang w:eastAsia="en-NZ"/>
              </w:rPr>
            </w:pPr>
            <w:r>
              <w:rPr>
                <w:rFonts w:eastAsia="Times New Roman" w:cstheme="minorHAnsi"/>
                <w:color w:val="000000"/>
                <w:sz w:val="20"/>
                <w:szCs w:val="20"/>
                <w:lang w:eastAsia="en-NZ"/>
              </w:rPr>
              <w:t>0%</w:t>
            </w:r>
          </w:p>
          <w:p w:rsidR="00B27E9D" w:rsidRDefault="00B27E9D" w:rsidP="004A2F47">
            <w:pPr>
              <w:spacing w:after="0" w:line="240" w:lineRule="auto"/>
              <w:jc w:val="right"/>
              <w:rPr>
                <w:rFonts w:eastAsia="Times New Roman" w:cstheme="minorHAnsi"/>
                <w:color w:val="000000"/>
                <w:sz w:val="20"/>
                <w:szCs w:val="20"/>
                <w:lang w:eastAsia="en-NZ"/>
              </w:rPr>
            </w:pPr>
            <w:r>
              <w:rPr>
                <w:rFonts w:eastAsia="Times New Roman" w:cstheme="minorHAnsi"/>
                <w:color w:val="000000"/>
                <w:sz w:val="20"/>
                <w:szCs w:val="20"/>
                <w:lang w:eastAsia="en-NZ"/>
              </w:rPr>
              <w:t>0%</w:t>
            </w:r>
          </w:p>
          <w:p w:rsidR="00B27E9D" w:rsidRPr="001244BB" w:rsidRDefault="00B27E9D" w:rsidP="004A2F47">
            <w:pPr>
              <w:spacing w:after="0" w:line="240" w:lineRule="auto"/>
              <w:jc w:val="right"/>
              <w:rPr>
                <w:rFonts w:eastAsia="Times New Roman" w:cstheme="minorHAnsi"/>
                <w:color w:val="000000"/>
                <w:sz w:val="20"/>
                <w:szCs w:val="20"/>
                <w:lang w:eastAsia="en-NZ"/>
              </w:rPr>
            </w:pPr>
            <w:r>
              <w:rPr>
                <w:rFonts w:eastAsia="Times New Roman" w:cstheme="minorHAnsi"/>
                <w:color w:val="000000"/>
                <w:sz w:val="20"/>
                <w:szCs w:val="20"/>
                <w:lang w:eastAsia="en-NZ"/>
              </w:rPr>
              <w:t>0%</w:t>
            </w:r>
          </w:p>
        </w:tc>
        <w:tc>
          <w:tcPr>
            <w:tcW w:w="1134" w:type="dxa"/>
            <w:tcBorders>
              <w:top w:val="single" w:sz="8" w:space="0" w:color="00B050"/>
              <w:left w:val="single" w:sz="4" w:space="0" w:color="00B050"/>
              <w:right w:val="single" w:sz="4" w:space="0" w:color="00B050"/>
            </w:tcBorders>
            <w:shd w:val="clear" w:color="auto" w:fill="auto"/>
            <w:hideMark/>
          </w:tcPr>
          <w:p w:rsidR="007856B0" w:rsidRDefault="007856B0" w:rsidP="004A2F47">
            <w:pPr>
              <w:spacing w:after="0"/>
              <w:rPr>
                <w:rFonts w:eastAsia="Times New Roman" w:cstheme="minorHAnsi"/>
                <w:color w:val="000000"/>
                <w:sz w:val="20"/>
                <w:szCs w:val="20"/>
                <w:lang w:eastAsia="en-NZ"/>
              </w:rPr>
            </w:pPr>
          </w:p>
          <w:p w:rsidR="00B27E9D" w:rsidRDefault="00B27E9D" w:rsidP="004A2F47">
            <w:pPr>
              <w:spacing w:after="0"/>
              <w:rPr>
                <w:rFonts w:eastAsia="Times New Roman" w:cstheme="minorHAnsi"/>
                <w:color w:val="000000"/>
                <w:sz w:val="20"/>
                <w:szCs w:val="20"/>
                <w:lang w:eastAsia="en-NZ"/>
              </w:rPr>
            </w:pPr>
          </w:p>
          <w:p w:rsidR="004A2F47" w:rsidRDefault="004A2F47" w:rsidP="004A2F47">
            <w:pPr>
              <w:spacing w:after="0"/>
              <w:rPr>
                <w:rFonts w:eastAsia="Times New Roman" w:cstheme="minorHAnsi"/>
                <w:color w:val="000000"/>
                <w:sz w:val="20"/>
                <w:szCs w:val="20"/>
                <w:lang w:eastAsia="en-NZ"/>
              </w:rPr>
            </w:pPr>
          </w:p>
          <w:p w:rsidR="007856B0" w:rsidRPr="001244BB" w:rsidRDefault="004A2F47" w:rsidP="004A2F47">
            <w:pPr>
              <w:spacing w:after="0"/>
              <w:rPr>
                <w:rFonts w:cstheme="minorHAnsi"/>
                <w:sz w:val="20"/>
                <w:szCs w:val="20"/>
              </w:rPr>
            </w:pPr>
            <w:r>
              <w:rPr>
                <w:rFonts w:eastAsia="Times New Roman" w:cstheme="minorHAnsi"/>
                <w:color w:val="000000"/>
                <w:sz w:val="20"/>
                <w:szCs w:val="20"/>
                <w:lang w:eastAsia="en-NZ"/>
              </w:rPr>
              <w:t>All Within 10%</w:t>
            </w:r>
          </w:p>
        </w:tc>
        <w:tc>
          <w:tcPr>
            <w:tcW w:w="4635" w:type="dxa"/>
            <w:tcBorders>
              <w:top w:val="single" w:sz="4" w:space="0" w:color="00B050"/>
              <w:left w:val="single" w:sz="4" w:space="0" w:color="00B050"/>
              <w:right w:val="nil"/>
            </w:tcBorders>
            <w:shd w:val="clear" w:color="auto" w:fill="auto"/>
          </w:tcPr>
          <w:p w:rsidR="00030337" w:rsidRPr="001244BB" w:rsidRDefault="00030337" w:rsidP="004A2F47">
            <w:pPr>
              <w:spacing w:after="0" w:line="240" w:lineRule="auto"/>
              <w:jc w:val="right"/>
              <w:rPr>
                <w:rFonts w:eastAsia="Times New Roman" w:cstheme="minorHAnsi"/>
                <w:color w:val="000000"/>
                <w:sz w:val="20"/>
                <w:szCs w:val="20"/>
                <w:lang w:eastAsia="en-NZ"/>
              </w:rPr>
            </w:pPr>
          </w:p>
        </w:tc>
      </w:tr>
      <w:tr w:rsidR="00030337" w:rsidRPr="001244BB" w:rsidTr="00030337">
        <w:trPr>
          <w:trHeight w:val="315"/>
        </w:trPr>
        <w:tc>
          <w:tcPr>
            <w:tcW w:w="14984" w:type="dxa"/>
            <w:gridSpan w:val="9"/>
            <w:tcBorders>
              <w:top w:val="nil"/>
              <w:left w:val="nil"/>
            </w:tcBorders>
            <w:shd w:val="clear" w:color="auto" w:fill="EAF1DD" w:themeFill="accent3" w:themeFillTint="33"/>
            <w:hideMark/>
          </w:tcPr>
          <w:p w:rsidR="00B27E9D" w:rsidRPr="001244BB" w:rsidRDefault="00030337" w:rsidP="00030337">
            <w:pPr>
              <w:spacing w:after="0" w:line="240" w:lineRule="auto"/>
              <w:rPr>
                <w:rFonts w:eastAsia="Times New Roman" w:cstheme="minorHAnsi"/>
                <w:b/>
                <w:sz w:val="20"/>
                <w:szCs w:val="20"/>
                <w:lang w:eastAsia="en-NZ"/>
              </w:rPr>
            </w:pPr>
            <w:r w:rsidRPr="001244BB">
              <w:rPr>
                <w:rFonts w:eastAsia="Times New Roman" w:cstheme="minorHAnsi"/>
                <w:b/>
                <w:sz w:val="20"/>
                <w:szCs w:val="20"/>
                <w:lang w:eastAsia="en-NZ"/>
              </w:rPr>
              <w:t>Meeting customer expectations </w:t>
            </w:r>
          </w:p>
        </w:tc>
      </w:tr>
      <w:tr w:rsidR="00030337" w:rsidRPr="001244BB" w:rsidTr="00030337">
        <w:trPr>
          <w:trHeight w:val="1035"/>
        </w:trPr>
        <w:tc>
          <w:tcPr>
            <w:tcW w:w="3672" w:type="dxa"/>
            <w:tcBorders>
              <w:left w:val="nil"/>
              <w:right w:val="single" w:sz="4" w:space="0" w:color="00B050"/>
            </w:tcBorders>
            <w:shd w:val="clear" w:color="auto" w:fill="auto"/>
            <w:hideMark/>
          </w:tcPr>
          <w:p w:rsidR="00030337" w:rsidRPr="001244BB" w:rsidRDefault="00030337" w:rsidP="00030337">
            <w:pPr>
              <w:spacing w:after="0" w:line="240" w:lineRule="auto"/>
              <w:rPr>
                <w:rFonts w:eastAsia="Times New Roman" w:cstheme="minorHAnsi"/>
                <w:color w:val="000000"/>
                <w:sz w:val="20"/>
                <w:szCs w:val="20"/>
                <w:lang w:eastAsia="en-NZ"/>
              </w:rPr>
            </w:pPr>
            <w:r w:rsidRPr="001244BB">
              <w:rPr>
                <w:rFonts w:eastAsia="Times New Roman" w:cstheme="minorHAnsi"/>
                <w:color w:val="000000"/>
                <w:sz w:val="20"/>
                <w:szCs w:val="20"/>
                <w:lang w:eastAsia="en-NZ"/>
              </w:rPr>
              <w:lastRenderedPageBreak/>
              <w:t xml:space="preserve">Number of complaints about the wastewater odour, system faults, blockages, and supplier responsiveness, expressed per 1000 </w:t>
            </w:r>
            <w:r w:rsidRPr="001244BB">
              <w:rPr>
                <w:rFonts w:eastAsia="Times New Roman" w:cstheme="minorHAnsi"/>
                <w:sz w:val="20"/>
                <w:szCs w:val="20"/>
                <w:lang w:eastAsia="en-NZ"/>
              </w:rPr>
              <w:t>connections</w:t>
            </w:r>
            <w:r w:rsidRPr="001244BB">
              <w:rPr>
                <w:rFonts w:eastAsia="Times New Roman" w:cstheme="minorHAnsi"/>
                <w:color w:val="000000"/>
                <w:sz w:val="20"/>
                <w:szCs w:val="20"/>
                <w:lang w:eastAsia="en-NZ"/>
              </w:rPr>
              <w:t>*</w:t>
            </w:r>
          </w:p>
        </w:tc>
        <w:tc>
          <w:tcPr>
            <w:tcW w:w="1140" w:type="dxa"/>
            <w:tcBorders>
              <w:left w:val="single" w:sz="4" w:space="0" w:color="00B050"/>
              <w:right w:val="single" w:sz="4" w:space="0" w:color="00B050"/>
            </w:tcBorders>
            <w:shd w:val="clear" w:color="auto" w:fill="auto"/>
            <w:noWrap/>
            <w:hideMark/>
          </w:tcPr>
          <w:p w:rsidR="00030337" w:rsidRPr="001244BB" w:rsidRDefault="00030337" w:rsidP="00030337">
            <w:pPr>
              <w:spacing w:after="0" w:line="240" w:lineRule="auto"/>
              <w:jc w:val="right"/>
              <w:rPr>
                <w:rFonts w:eastAsia="Times New Roman" w:cstheme="minorHAnsi"/>
                <w:color w:val="000000"/>
                <w:sz w:val="20"/>
                <w:szCs w:val="20"/>
                <w:lang w:eastAsia="en-NZ"/>
              </w:rPr>
            </w:pPr>
            <w:r w:rsidRPr="001244BB">
              <w:rPr>
                <w:rFonts w:eastAsia="Times New Roman" w:cstheme="minorHAnsi"/>
                <w:color w:val="000000"/>
                <w:sz w:val="20"/>
                <w:szCs w:val="20"/>
                <w:lang w:eastAsia="en-NZ"/>
              </w:rPr>
              <w:t>19.72</w:t>
            </w:r>
            <w:r w:rsidR="00B27E9D">
              <w:rPr>
                <w:rFonts w:eastAsia="Times New Roman" w:cstheme="minorHAnsi"/>
                <w:color w:val="000000"/>
                <w:sz w:val="20"/>
                <w:szCs w:val="20"/>
                <w:lang w:eastAsia="en-NZ"/>
              </w:rPr>
              <w:t xml:space="preserve"> per 1000 connections</w:t>
            </w:r>
          </w:p>
        </w:tc>
        <w:tc>
          <w:tcPr>
            <w:tcW w:w="1142" w:type="dxa"/>
            <w:gridSpan w:val="2"/>
            <w:tcBorders>
              <w:left w:val="single" w:sz="4" w:space="0" w:color="00B050"/>
              <w:right w:val="single" w:sz="4" w:space="0" w:color="00B050"/>
            </w:tcBorders>
            <w:shd w:val="clear" w:color="auto" w:fill="auto"/>
            <w:noWrap/>
            <w:hideMark/>
          </w:tcPr>
          <w:p w:rsidR="00030337" w:rsidRPr="001244BB" w:rsidRDefault="00030337" w:rsidP="00B27E9D">
            <w:pPr>
              <w:spacing w:after="0" w:line="240" w:lineRule="auto"/>
              <w:jc w:val="right"/>
              <w:rPr>
                <w:rFonts w:eastAsia="Times New Roman" w:cstheme="minorHAnsi"/>
                <w:color w:val="000000"/>
                <w:sz w:val="20"/>
                <w:szCs w:val="20"/>
                <w:lang w:eastAsia="en-NZ"/>
              </w:rPr>
            </w:pPr>
            <w:r w:rsidRPr="001244BB">
              <w:rPr>
                <w:rFonts w:eastAsia="Times New Roman" w:cstheme="minorHAnsi"/>
                <w:color w:val="000000"/>
                <w:sz w:val="20"/>
                <w:szCs w:val="20"/>
                <w:lang w:eastAsia="en-NZ"/>
              </w:rPr>
              <w:t>16.5</w:t>
            </w:r>
            <w:r w:rsidR="00B27E9D">
              <w:rPr>
                <w:rFonts w:eastAsia="Times New Roman" w:cstheme="minorHAnsi"/>
                <w:color w:val="000000"/>
                <w:sz w:val="20"/>
                <w:szCs w:val="20"/>
                <w:lang w:eastAsia="en-NZ"/>
              </w:rPr>
              <w:t xml:space="preserve"> </w:t>
            </w:r>
            <w:r w:rsidR="00B27E9D" w:rsidRPr="00B27E9D">
              <w:rPr>
                <w:rFonts w:eastAsia="Times New Roman" w:cstheme="minorHAnsi"/>
                <w:color w:val="000000"/>
                <w:sz w:val="20"/>
                <w:szCs w:val="20"/>
                <w:lang w:eastAsia="en-NZ"/>
              </w:rPr>
              <w:t>per 1000 connections</w:t>
            </w:r>
          </w:p>
        </w:tc>
        <w:tc>
          <w:tcPr>
            <w:tcW w:w="1276" w:type="dxa"/>
            <w:tcBorders>
              <w:left w:val="single" w:sz="4" w:space="0" w:color="00B050"/>
              <w:right w:val="single" w:sz="4" w:space="0" w:color="00B050"/>
            </w:tcBorders>
            <w:shd w:val="clear" w:color="auto" w:fill="auto"/>
            <w:noWrap/>
            <w:hideMark/>
          </w:tcPr>
          <w:p w:rsidR="00030337" w:rsidRPr="001244BB" w:rsidRDefault="00030337" w:rsidP="00030337">
            <w:pPr>
              <w:spacing w:after="0" w:line="240" w:lineRule="auto"/>
              <w:jc w:val="right"/>
              <w:rPr>
                <w:rFonts w:eastAsia="Times New Roman" w:cstheme="minorHAnsi"/>
                <w:color w:val="000000"/>
                <w:sz w:val="20"/>
                <w:szCs w:val="20"/>
                <w:lang w:eastAsia="en-NZ"/>
              </w:rPr>
            </w:pPr>
            <w:r w:rsidRPr="001244BB">
              <w:rPr>
                <w:rFonts w:eastAsia="Times New Roman" w:cstheme="minorHAnsi"/>
                <w:color w:val="000000"/>
                <w:sz w:val="20"/>
                <w:szCs w:val="20"/>
                <w:lang w:eastAsia="en-NZ"/>
              </w:rPr>
              <w:t>16.2</w:t>
            </w:r>
            <w:r w:rsidR="005F3580">
              <w:rPr>
                <w:rFonts w:eastAsia="Times New Roman" w:cstheme="minorHAnsi"/>
                <w:color w:val="000000"/>
                <w:sz w:val="20"/>
                <w:szCs w:val="20"/>
                <w:lang w:eastAsia="en-NZ"/>
              </w:rPr>
              <w:t xml:space="preserve"> </w:t>
            </w:r>
            <w:r w:rsidR="00B27E9D" w:rsidRPr="00B27E9D">
              <w:rPr>
                <w:rFonts w:eastAsia="Times New Roman" w:cstheme="minorHAnsi"/>
                <w:color w:val="000000"/>
                <w:sz w:val="20"/>
                <w:szCs w:val="20"/>
                <w:lang w:eastAsia="en-NZ"/>
              </w:rPr>
              <w:t>per 1000 connections</w:t>
            </w:r>
          </w:p>
        </w:tc>
        <w:tc>
          <w:tcPr>
            <w:tcW w:w="1134" w:type="dxa"/>
            <w:tcBorders>
              <w:left w:val="single" w:sz="4" w:space="0" w:color="00B050"/>
              <w:right w:val="single" w:sz="4" w:space="0" w:color="00B050"/>
            </w:tcBorders>
            <w:shd w:val="clear" w:color="000000" w:fill="D9D9D9"/>
            <w:hideMark/>
          </w:tcPr>
          <w:p w:rsidR="00030337" w:rsidRPr="001244BB" w:rsidRDefault="00030337" w:rsidP="00030337">
            <w:pPr>
              <w:spacing w:after="0" w:line="240" w:lineRule="auto"/>
              <w:jc w:val="right"/>
              <w:rPr>
                <w:rFonts w:eastAsia="Times New Roman" w:cstheme="minorHAnsi"/>
                <w:color w:val="000000"/>
                <w:sz w:val="20"/>
                <w:szCs w:val="20"/>
                <w:lang w:eastAsia="en-NZ"/>
              </w:rPr>
            </w:pPr>
            <w:r w:rsidRPr="001244BB">
              <w:rPr>
                <w:rFonts w:eastAsia="Times New Roman" w:cstheme="minorHAnsi"/>
                <w:color w:val="000000"/>
                <w:sz w:val="20"/>
                <w:szCs w:val="20"/>
                <w:lang w:eastAsia="en-NZ"/>
              </w:rPr>
              <w:t>&lt;30/1000</w:t>
            </w:r>
          </w:p>
        </w:tc>
        <w:tc>
          <w:tcPr>
            <w:tcW w:w="851" w:type="dxa"/>
            <w:tcBorders>
              <w:left w:val="single" w:sz="4" w:space="0" w:color="00B050"/>
              <w:right w:val="single" w:sz="4" w:space="0" w:color="00B050"/>
            </w:tcBorders>
            <w:shd w:val="clear" w:color="auto" w:fill="auto"/>
            <w:hideMark/>
          </w:tcPr>
          <w:p w:rsidR="00030337" w:rsidRPr="001244BB" w:rsidRDefault="00030337" w:rsidP="00030337">
            <w:pPr>
              <w:spacing w:after="0" w:line="240" w:lineRule="auto"/>
              <w:jc w:val="right"/>
              <w:rPr>
                <w:rFonts w:eastAsia="Times New Roman" w:cstheme="minorHAnsi"/>
                <w:color w:val="000000"/>
                <w:sz w:val="20"/>
                <w:szCs w:val="20"/>
                <w:lang w:eastAsia="en-NZ"/>
              </w:rPr>
            </w:pPr>
            <w:r w:rsidRPr="001244BB">
              <w:rPr>
                <w:rFonts w:eastAsia="Times New Roman" w:cstheme="minorHAnsi"/>
                <w:color w:val="000000"/>
                <w:sz w:val="20"/>
                <w:szCs w:val="20"/>
                <w:lang w:eastAsia="en-NZ"/>
              </w:rPr>
              <w:t>46%</w:t>
            </w:r>
          </w:p>
        </w:tc>
        <w:tc>
          <w:tcPr>
            <w:tcW w:w="1134" w:type="dxa"/>
            <w:tcBorders>
              <w:left w:val="single" w:sz="4" w:space="0" w:color="00B050"/>
              <w:right w:val="single" w:sz="4" w:space="0" w:color="00B050"/>
            </w:tcBorders>
            <w:shd w:val="clear" w:color="auto" w:fill="auto"/>
            <w:hideMark/>
          </w:tcPr>
          <w:p w:rsidR="00030337" w:rsidRPr="001244BB" w:rsidRDefault="00030337" w:rsidP="00030337">
            <w:pPr>
              <w:spacing w:after="0" w:line="240" w:lineRule="auto"/>
              <w:jc w:val="right"/>
              <w:rPr>
                <w:rFonts w:eastAsia="Times New Roman" w:cstheme="minorHAnsi"/>
                <w:color w:val="000000"/>
                <w:sz w:val="20"/>
                <w:szCs w:val="20"/>
                <w:lang w:eastAsia="en-NZ"/>
              </w:rPr>
            </w:pPr>
            <w:r w:rsidRPr="001244BB">
              <w:rPr>
                <w:rFonts w:eastAsia="Times New Roman" w:cstheme="minorHAnsi"/>
                <w:color w:val="000000"/>
                <w:sz w:val="20"/>
                <w:szCs w:val="20"/>
                <w:lang w:eastAsia="en-NZ"/>
              </w:rPr>
              <w:t>exceeded</w:t>
            </w:r>
          </w:p>
        </w:tc>
        <w:tc>
          <w:tcPr>
            <w:tcW w:w="4635" w:type="dxa"/>
            <w:tcBorders>
              <w:left w:val="single" w:sz="4" w:space="0" w:color="00B050"/>
              <w:right w:val="nil"/>
            </w:tcBorders>
            <w:shd w:val="clear" w:color="auto" w:fill="auto"/>
            <w:hideMark/>
          </w:tcPr>
          <w:p w:rsidR="00030337" w:rsidRPr="001244BB" w:rsidRDefault="00030337" w:rsidP="00030337">
            <w:pPr>
              <w:spacing w:after="0" w:line="240" w:lineRule="auto"/>
              <w:rPr>
                <w:rFonts w:eastAsia="Times New Roman" w:cstheme="minorHAnsi"/>
                <w:color w:val="000000"/>
                <w:sz w:val="20"/>
                <w:szCs w:val="20"/>
                <w:lang w:eastAsia="en-NZ"/>
              </w:rPr>
            </w:pPr>
            <w:r w:rsidRPr="001244BB">
              <w:rPr>
                <w:rFonts w:eastAsia="Times New Roman" w:cstheme="minorHAnsi"/>
                <w:color w:val="000000"/>
                <w:sz w:val="20"/>
                <w:szCs w:val="20"/>
                <w:lang w:eastAsia="en-NZ"/>
              </w:rPr>
              <w:t>The year ending figure is less than the target due to a combination of good operational performance in networks and treatment plants, and a lack of external events resulting in issues affecting customers.</w:t>
            </w:r>
          </w:p>
        </w:tc>
      </w:tr>
      <w:tr w:rsidR="00030337" w:rsidRPr="001244BB" w:rsidTr="00030337">
        <w:trPr>
          <w:trHeight w:val="315"/>
        </w:trPr>
        <w:tc>
          <w:tcPr>
            <w:tcW w:w="14984" w:type="dxa"/>
            <w:gridSpan w:val="9"/>
            <w:tcBorders>
              <w:top w:val="nil"/>
              <w:left w:val="nil"/>
            </w:tcBorders>
            <w:shd w:val="clear" w:color="auto" w:fill="EAF1DD" w:themeFill="accent3" w:themeFillTint="33"/>
            <w:hideMark/>
          </w:tcPr>
          <w:p w:rsidR="00030337" w:rsidRPr="001244BB" w:rsidRDefault="00030337" w:rsidP="00030337">
            <w:pPr>
              <w:spacing w:after="0" w:line="240" w:lineRule="auto"/>
              <w:rPr>
                <w:rFonts w:eastAsia="Times New Roman" w:cstheme="minorHAnsi"/>
                <w:b/>
                <w:sz w:val="20"/>
                <w:szCs w:val="20"/>
                <w:lang w:eastAsia="en-NZ"/>
              </w:rPr>
            </w:pPr>
            <w:r w:rsidRPr="001244BB">
              <w:rPr>
                <w:rFonts w:eastAsia="Times New Roman" w:cstheme="minorHAnsi"/>
                <w:b/>
                <w:sz w:val="20"/>
                <w:szCs w:val="20"/>
                <w:lang w:eastAsia="en-NZ"/>
              </w:rPr>
              <w:t>Continuity of service and resolution of faults </w:t>
            </w:r>
          </w:p>
        </w:tc>
      </w:tr>
      <w:tr w:rsidR="00030337" w:rsidRPr="001244BB" w:rsidTr="00030337">
        <w:trPr>
          <w:trHeight w:val="780"/>
        </w:trPr>
        <w:tc>
          <w:tcPr>
            <w:tcW w:w="3672" w:type="dxa"/>
            <w:tcBorders>
              <w:left w:val="nil"/>
              <w:bottom w:val="single" w:sz="8" w:space="0" w:color="00B050"/>
              <w:right w:val="single" w:sz="4" w:space="0" w:color="00B050"/>
            </w:tcBorders>
            <w:shd w:val="clear" w:color="auto" w:fill="auto"/>
            <w:hideMark/>
          </w:tcPr>
          <w:p w:rsidR="00030337" w:rsidRPr="001244BB" w:rsidRDefault="00030337" w:rsidP="00030337">
            <w:pPr>
              <w:spacing w:after="0" w:line="240" w:lineRule="auto"/>
              <w:rPr>
                <w:rFonts w:eastAsia="Times New Roman" w:cstheme="minorHAnsi"/>
                <w:color w:val="000000"/>
                <w:sz w:val="20"/>
                <w:szCs w:val="20"/>
                <w:lang w:eastAsia="en-NZ"/>
              </w:rPr>
            </w:pPr>
            <w:r w:rsidRPr="001244BB">
              <w:rPr>
                <w:rFonts w:eastAsia="Times New Roman" w:cstheme="minorHAnsi"/>
                <w:color w:val="000000"/>
                <w:sz w:val="20"/>
                <w:szCs w:val="20"/>
                <w:lang w:eastAsia="en-NZ"/>
              </w:rPr>
              <w:t>Number of wastewater reticulation incidents per km of reticulation pipeline (blockages)</w:t>
            </w:r>
          </w:p>
        </w:tc>
        <w:tc>
          <w:tcPr>
            <w:tcW w:w="1140" w:type="dxa"/>
            <w:tcBorders>
              <w:left w:val="single" w:sz="4" w:space="0" w:color="00B050"/>
              <w:bottom w:val="single" w:sz="8" w:space="0" w:color="00B050"/>
              <w:right w:val="single" w:sz="4" w:space="0" w:color="00B050"/>
            </w:tcBorders>
            <w:shd w:val="clear" w:color="auto" w:fill="auto"/>
            <w:noWrap/>
            <w:hideMark/>
          </w:tcPr>
          <w:p w:rsidR="00030337" w:rsidRPr="001244BB" w:rsidRDefault="00030337" w:rsidP="00030337">
            <w:pPr>
              <w:spacing w:after="0" w:line="240" w:lineRule="auto"/>
              <w:jc w:val="right"/>
              <w:rPr>
                <w:rFonts w:eastAsia="Times New Roman" w:cstheme="minorHAnsi"/>
                <w:color w:val="000000"/>
                <w:sz w:val="20"/>
                <w:szCs w:val="20"/>
                <w:lang w:eastAsia="en-NZ"/>
              </w:rPr>
            </w:pPr>
            <w:r w:rsidRPr="001244BB">
              <w:rPr>
                <w:rFonts w:eastAsia="Times New Roman" w:cstheme="minorHAnsi"/>
                <w:color w:val="000000"/>
                <w:sz w:val="20"/>
                <w:szCs w:val="20"/>
                <w:lang w:eastAsia="en-NZ"/>
              </w:rPr>
              <w:t>0.64</w:t>
            </w:r>
            <w:r w:rsidR="00B27E9D">
              <w:rPr>
                <w:rFonts w:eastAsia="Times New Roman" w:cstheme="minorHAnsi"/>
                <w:color w:val="000000"/>
                <w:sz w:val="20"/>
                <w:szCs w:val="20"/>
                <w:lang w:eastAsia="en-NZ"/>
              </w:rPr>
              <w:t xml:space="preserve"> per km</w:t>
            </w:r>
          </w:p>
        </w:tc>
        <w:tc>
          <w:tcPr>
            <w:tcW w:w="1142" w:type="dxa"/>
            <w:gridSpan w:val="2"/>
            <w:tcBorders>
              <w:left w:val="single" w:sz="4" w:space="0" w:color="00B050"/>
              <w:bottom w:val="single" w:sz="8" w:space="0" w:color="00B050"/>
              <w:right w:val="single" w:sz="4" w:space="0" w:color="00B050"/>
            </w:tcBorders>
            <w:shd w:val="clear" w:color="auto" w:fill="auto"/>
            <w:noWrap/>
            <w:hideMark/>
          </w:tcPr>
          <w:p w:rsidR="00030337" w:rsidRPr="001244BB" w:rsidRDefault="00030337" w:rsidP="00030337">
            <w:pPr>
              <w:spacing w:after="0" w:line="240" w:lineRule="auto"/>
              <w:jc w:val="right"/>
              <w:rPr>
                <w:rFonts w:eastAsia="Times New Roman" w:cstheme="minorHAnsi"/>
                <w:color w:val="000000"/>
                <w:sz w:val="20"/>
                <w:szCs w:val="20"/>
                <w:lang w:eastAsia="en-NZ"/>
              </w:rPr>
            </w:pPr>
            <w:r w:rsidRPr="001244BB">
              <w:rPr>
                <w:rFonts w:eastAsia="Times New Roman" w:cstheme="minorHAnsi"/>
                <w:color w:val="000000"/>
                <w:sz w:val="20"/>
                <w:szCs w:val="20"/>
                <w:lang w:eastAsia="en-NZ"/>
              </w:rPr>
              <w:t>0.47</w:t>
            </w:r>
            <w:r w:rsidR="00B27E9D">
              <w:rPr>
                <w:rFonts w:eastAsia="Times New Roman" w:cstheme="minorHAnsi"/>
                <w:color w:val="000000"/>
                <w:sz w:val="20"/>
                <w:szCs w:val="20"/>
                <w:lang w:eastAsia="en-NZ"/>
              </w:rPr>
              <w:t xml:space="preserve"> per km</w:t>
            </w:r>
          </w:p>
        </w:tc>
        <w:tc>
          <w:tcPr>
            <w:tcW w:w="1276" w:type="dxa"/>
            <w:tcBorders>
              <w:left w:val="single" w:sz="4" w:space="0" w:color="00B050"/>
              <w:bottom w:val="single" w:sz="8" w:space="0" w:color="00B050"/>
              <w:right w:val="single" w:sz="4" w:space="0" w:color="00B050"/>
            </w:tcBorders>
            <w:shd w:val="clear" w:color="auto" w:fill="auto"/>
            <w:noWrap/>
            <w:hideMark/>
          </w:tcPr>
          <w:p w:rsidR="00030337" w:rsidRPr="001244BB" w:rsidRDefault="00030337" w:rsidP="00030337">
            <w:pPr>
              <w:spacing w:after="0" w:line="240" w:lineRule="auto"/>
              <w:jc w:val="right"/>
              <w:rPr>
                <w:rFonts w:eastAsia="Times New Roman" w:cstheme="minorHAnsi"/>
                <w:color w:val="000000"/>
                <w:sz w:val="20"/>
                <w:szCs w:val="20"/>
                <w:lang w:eastAsia="en-NZ"/>
              </w:rPr>
            </w:pPr>
            <w:r w:rsidRPr="001244BB">
              <w:rPr>
                <w:rFonts w:eastAsia="Times New Roman" w:cstheme="minorHAnsi"/>
                <w:color w:val="000000"/>
                <w:sz w:val="20"/>
                <w:szCs w:val="20"/>
                <w:lang w:eastAsia="en-NZ"/>
              </w:rPr>
              <w:t>0.52</w:t>
            </w:r>
            <w:r w:rsidR="005F3580">
              <w:rPr>
                <w:rFonts w:eastAsia="Times New Roman" w:cstheme="minorHAnsi"/>
                <w:color w:val="000000"/>
                <w:sz w:val="20"/>
                <w:szCs w:val="20"/>
                <w:lang w:eastAsia="en-NZ"/>
              </w:rPr>
              <w:t xml:space="preserve"> per km</w:t>
            </w:r>
          </w:p>
        </w:tc>
        <w:tc>
          <w:tcPr>
            <w:tcW w:w="1134" w:type="dxa"/>
            <w:tcBorders>
              <w:left w:val="single" w:sz="4" w:space="0" w:color="00B050"/>
              <w:bottom w:val="single" w:sz="8" w:space="0" w:color="00B050"/>
              <w:right w:val="single" w:sz="4" w:space="0" w:color="00B050"/>
            </w:tcBorders>
            <w:shd w:val="clear" w:color="000000" w:fill="D9D9D9"/>
            <w:hideMark/>
          </w:tcPr>
          <w:p w:rsidR="00030337" w:rsidRPr="001244BB" w:rsidRDefault="00030337" w:rsidP="00030337">
            <w:pPr>
              <w:spacing w:after="0" w:line="240" w:lineRule="auto"/>
              <w:jc w:val="right"/>
              <w:rPr>
                <w:rFonts w:eastAsia="Times New Roman" w:cstheme="minorHAnsi"/>
                <w:color w:val="000000"/>
                <w:sz w:val="20"/>
                <w:szCs w:val="20"/>
                <w:lang w:eastAsia="en-NZ"/>
              </w:rPr>
            </w:pPr>
            <w:r w:rsidRPr="001244BB">
              <w:rPr>
                <w:rFonts w:eastAsia="Times New Roman" w:cstheme="minorHAnsi"/>
                <w:color w:val="000000"/>
                <w:sz w:val="20"/>
                <w:szCs w:val="20"/>
                <w:lang w:eastAsia="en-NZ"/>
              </w:rPr>
              <w:t>≤0.8</w:t>
            </w:r>
            <w:r w:rsidR="005F3580">
              <w:rPr>
                <w:rFonts w:eastAsia="Times New Roman" w:cstheme="minorHAnsi"/>
                <w:color w:val="000000"/>
                <w:sz w:val="20"/>
                <w:szCs w:val="20"/>
                <w:lang w:eastAsia="en-NZ"/>
              </w:rPr>
              <w:t xml:space="preserve"> per km</w:t>
            </w:r>
          </w:p>
        </w:tc>
        <w:tc>
          <w:tcPr>
            <w:tcW w:w="851" w:type="dxa"/>
            <w:tcBorders>
              <w:left w:val="single" w:sz="4" w:space="0" w:color="00B050"/>
              <w:bottom w:val="single" w:sz="8" w:space="0" w:color="00B050"/>
              <w:right w:val="single" w:sz="4" w:space="0" w:color="00B050"/>
            </w:tcBorders>
            <w:shd w:val="clear" w:color="auto" w:fill="auto"/>
            <w:hideMark/>
          </w:tcPr>
          <w:p w:rsidR="00030337" w:rsidRPr="001244BB" w:rsidRDefault="00030337" w:rsidP="00030337">
            <w:pPr>
              <w:spacing w:after="0" w:line="240" w:lineRule="auto"/>
              <w:jc w:val="right"/>
              <w:rPr>
                <w:rFonts w:eastAsia="Times New Roman" w:cstheme="minorHAnsi"/>
                <w:color w:val="000000"/>
                <w:sz w:val="20"/>
                <w:szCs w:val="20"/>
                <w:lang w:eastAsia="en-NZ"/>
              </w:rPr>
            </w:pPr>
            <w:r w:rsidRPr="001244BB">
              <w:rPr>
                <w:rFonts w:eastAsia="Times New Roman" w:cstheme="minorHAnsi"/>
                <w:color w:val="000000"/>
                <w:sz w:val="20"/>
                <w:szCs w:val="20"/>
                <w:lang w:eastAsia="en-NZ"/>
              </w:rPr>
              <w:t>35%</w:t>
            </w:r>
          </w:p>
        </w:tc>
        <w:tc>
          <w:tcPr>
            <w:tcW w:w="1134" w:type="dxa"/>
            <w:tcBorders>
              <w:left w:val="single" w:sz="4" w:space="0" w:color="00B050"/>
              <w:bottom w:val="single" w:sz="8" w:space="0" w:color="00B050"/>
              <w:right w:val="single" w:sz="4" w:space="0" w:color="00B050"/>
            </w:tcBorders>
            <w:shd w:val="clear" w:color="auto" w:fill="auto"/>
            <w:hideMark/>
          </w:tcPr>
          <w:p w:rsidR="00030337" w:rsidRPr="001244BB" w:rsidRDefault="00030337" w:rsidP="00030337">
            <w:pPr>
              <w:jc w:val="right"/>
              <w:rPr>
                <w:rFonts w:cstheme="minorHAnsi"/>
                <w:sz w:val="20"/>
                <w:szCs w:val="20"/>
              </w:rPr>
            </w:pPr>
            <w:r w:rsidRPr="001244BB">
              <w:rPr>
                <w:rFonts w:eastAsia="Times New Roman" w:cstheme="minorHAnsi"/>
                <w:color w:val="000000"/>
                <w:sz w:val="20"/>
                <w:szCs w:val="20"/>
                <w:lang w:eastAsia="en-NZ"/>
              </w:rPr>
              <w:t>exceeded</w:t>
            </w:r>
          </w:p>
        </w:tc>
        <w:tc>
          <w:tcPr>
            <w:tcW w:w="4635" w:type="dxa"/>
            <w:tcBorders>
              <w:left w:val="single" w:sz="4" w:space="0" w:color="00B050"/>
              <w:bottom w:val="single" w:sz="8" w:space="0" w:color="00B050"/>
              <w:right w:val="nil"/>
            </w:tcBorders>
            <w:shd w:val="clear" w:color="auto" w:fill="auto"/>
            <w:hideMark/>
          </w:tcPr>
          <w:p w:rsidR="00030337" w:rsidRPr="001244BB" w:rsidRDefault="00030337" w:rsidP="00030337">
            <w:pPr>
              <w:spacing w:after="0" w:line="240" w:lineRule="auto"/>
              <w:rPr>
                <w:rFonts w:eastAsia="Times New Roman" w:cstheme="minorHAnsi"/>
                <w:color w:val="000000"/>
                <w:sz w:val="20"/>
                <w:szCs w:val="20"/>
                <w:lang w:eastAsia="en-NZ"/>
              </w:rPr>
            </w:pPr>
            <w:r w:rsidRPr="001244BB">
              <w:rPr>
                <w:rFonts w:eastAsia="Times New Roman" w:cstheme="minorHAnsi"/>
                <w:color w:val="000000"/>
                <w:sz w:val="20"/>
                <w:szCs w:val="20"/>
                <w:lang w:eastAsia="en-NZ"/>
              </w:rPr>
              <w:t>The year ending figure is less than the target due to good operational performance in networks and a lack of external events resulting in issues affecting customers. There were 562 blocked main jobs across 1074 km of pipe.</w:t>
            </w:r>
          </w:p>
        </w:tc>
      </w:tr>
      <w:tr w:rsidR="00030337" w:rsidRPr="001244BB" w:rsidTr="00030337">
        <w:trPr>
          <w:trHeight w:val="881"/>
        </w:trPr>
        <w:tc>
          <w:tcPr>
            <w:tcW w:w="3672" w:type="dxa"/>
            <w:tcBorders>
              <w:top w:val="single" w:sz="8" w:space="0" w:color="00B050"/>
              <w:left w:val="nil"/>
              <w:bottom w:val="single" w:sz="8" w:space="0" w:color="00B050"/>
              <w:right w:val="single" w:sz="4" w:space="0" w:color="00B050"/>
            </w:tcBorders>
            <w:shd w:val="clear" w:color="auto" w:fill="auto"/>
            <w:hideMark/>
          </w:tcPr>
          <w:p w:rsidR="00030337" w:rsidRPr="001244BB" w:rsidRDefault="00030337" w:rsidP="00030337">
            <w:pPr>
              <w:spacing w:after="0" w:line="240" w:lineRule="auto"/>
              <w:rPr>
                <w:rFonts w:eastAsia="Times New Roman" w:cstheme="minorHAnsi"/>
                <w:color w:val="000000"/>
                <w:sz w:val="20"/>
                <w:szCs w:val="20"/>
                <w:lang w:eastAsia="en-NZ"/>
              </w:rPr>
            </w:pPr>
            <w:r w:rsidRPr="001244BB">
              <w:rPr>
                <w:rFonts w:eastAsia="Times New Roman" w:cstheme="minorHAnsi"/>
                <w:color w:val="000000"/>
                <w:sz w:val="20"/>
                <w:szCs w:val="20"/>
                <w:lang w:eastAsia="en-NZ"/>
              </w:rPr>
              <w:t>Median response time for wastewater overflows* (attendance time</w:t>
            </w:r>
            <w:r w:rsidR="005F3580">
              <w:rPr>
                <w:rFonts w:eastAsia="Times New Roman" w:cstheme="minorHAnsi"/>
                <w:color w:val="000000"/>
                <w:sz w:val="20"/>
                <w:szCs w:val="20"/>
                <w:lang w:eastAsia="en-NZ"/>
              </w:rPr>
              <w:t xml:space="preserve"> in hours</w:t>
            </w:r>
            <w:r w:rsidRPr="001244BB">
              <w:rPr>
                <w:rFonts w:eastAsia="Times New Roman" w:cstheme="minorHAnsi"/>
                <w:color w:val="000000"/>
                <w:sz w:val="20"/>
                <w:szCs w:val="20"/>
                <w:lang w:eastAsia="en-NZ"/>
              </w:rPr>
              <w:t>)</w:t>
            </w:r>
          </w:p>
        </w:tc>
        <w:tc>
          <w:tcPr>
            <w:tcW w:w="1140" w:type="dxa"/>
            <w:tcBorders>
              <w:top w:val="single" w:sz="8" w:space="0" w:color="00B050"/>
              <w:left w:val="single" w:sz="4" w:space="0" w:color="00B050"/>
              <w:bottom w:val="single" w:sz="8" w:space="0" w:color="00B050"/>
              <w:right w:val="single" w:sz="4" w:space="0" w:color="00B050"/>
            </w:tcBorders>
            <w:shd w:val="clear" w:color="auto" w:fill="auto"/>
            <w:noWrap/>
            <w:hideMark/>
          </w:tcPr>
          <w:p w:rsidR="00030337" w:rsidRPr="001244BB" w:rsidRDefault="00030337" w:rsidP="00030337">
            <w:pPr>
              <w:spacing w:after="0" w:line="240" w:lineRule="auto"/>
              <w:jc w:val="right"/>
              <w:rPr>
                <w:rFonts w:eastAsia="Times New Roman" w:cstheme="minorHAnsi"/>
                <w:color w:val="000000"/>
                <w:sz w:val="20"/>
                <w:szCs w:val="20"/>
                <w:lang w:eastAsia="en-NZ"/>
              </w:rPr>
            </w:pPr>
            <w:r w:rsidRPr="001244BB">
              <w:rPr>
                <w:rFonts w:eastAsia="Times New Roman" w:cstheme="minorHAnsi"/>
                <w:color w:val="000000"/>
                <w:sz w:val="20"/>
                <w:szCs w:val="20"/>
                <w:lang w:eastAsia="en-NZ"/>
              </w:rPr>
              <w:t>0.77</w:t>
            </w:r>
            <w:r w:rsidR="00B27E9D">
              <w:rPr>
                <w:rFonts w:eastAsia="Times New Roman" w:cstheme="minorHAnsi"/>
                <w:color w:val="000000"/>
                <w:sz w:val="20"/>
                <w:szCs w:val="20"/>
                <w:lang w:eastAsia="en-NZ"/>
              </w:rPr>
              <w:t xml:space="preserve"> hours</w:t>
            </w:r>
          </w:p>
        </w:tc>
        <w:tc>
          <w:tcPr>
            <w:tcW w:w="1142" w:type="dxa"/>
            <w:gridSpan w:val="2"/>
            <w:tcBorders>
              <w:top w:val="single" w:sz="8" w:space="0" w:color="00B050"/>
              <w:left w:val="single" w:sz="4" w:space="0" w:color="00B050"/>
              <w:bottom w:val="single" w:sz="8" w:space="0" w:color="00B050"/>
              <w:right w:val="single" w:sz="4" w:space="0" w:color="00B050"/>
            </w:tcBorders>
            <w:shd w:val="clear" w:color="auto" w:fill="auto"/>
            <w:noWrap/>
            <w:hideMark/>
          </w:tcPr>
          <w:p w:rsidR="00030337" w:rsidRPr="001244BB" w:rsidRDefault="00030337" w:rsidP="00030337">
            <w:pPr>
              <w:spacing w:after="0" w:line="240" w:lineRule="auto"/>
              <w:jc w:val="right"/>
              <w:rPr>
                <w:rFonts w:eastAsia="Times New Roman" w:cstheme="minorHAnsi"/>
                <w:color w:val="000000"/>
                <w:sz w:val="20"/>
                <w:szCs w:val="20"/>
                <w:lang w:eastAsia="en-NZ"/>
              </w:rPr>
            </w:pPr>
            <w:r w:rsidRPr="001244BB">
              <w:rPr>
                <w:rFonts w:eastAsia="Times New Roman" w:cstheme="minorHAnsi"/>
                <w:color w:val="000000"/>
                <w:sz w:val="20"/>
                <w:szCs w:val="20"/>
                <w:lang w:eastAsia="en-NZ"/>
              </w:rPr>
              <w:t>0.72</w:t>
            </w:r>
            <w:r w:rsidR="00B27E9D">
              <w:rPr>
                <w:rFonts w:eastAsia="Times New Roman" w:cstheme="minorHAnsi"/>
                <w:color w:val="000000"/>
                <w:sz w:val="20"/>
                <w:szCs w:val="20"/>
                <w:lang w:eastAsia="en-NZ"/>
              </w:rPr>
              <w:t xml:space="preserve"> hours</w:t>
            </w:r>
          </w:p>
        </w:tc>
        <w:tc>
          <w:tcPr>
            <w:tcW w:w="1276" w:type="dxa"/>
            <w:tcBorders>
              <w:top w:val="single" w:sz="8" w:space="0" w:color="00B050"/>
              <w:left w:val="single" w:sz="4" w:space="0" w:color="00B050"/>
              <w:bottom w:val="single" w:sz="8" w:space="0" w:color="00B050"/>
              <w:right w:val="single" w:sz="4" w:space="0" w:color="00B050"/>
            </w:tcBorders>
            <w:shd w:val="clear" w:color="auto" w:fill="auto"/>
            <w:noWrap/>
            <w:hideMark/>
          </w:tcPr>
          <w:p w:rsidR="00030337" w:rsidRPr="001244BB" w:rsidRDefault="00030337" w:rsidP="00030337">
            <w:pPr>
              <w:spacing w:after="0" w:line="240" w:lineRule="auto"/>
              <w:jc w:val="right"/>
              <w:rPr>
                <w:rFonts w:eastAsia="Times New Roman" w:cstheme="minorHAnsi"/>
                <w:color w:val="000000"/>
                <w:sz w:val="20"/>
                <w:szCs w:val="20"/>
                <w:lang w:eastAsia="en-NZ"/>
              </w:rPr>
            </w:pPr>
            <w:r w:rsidRPr="001244BB">
              <w:rPr>
                <w:rFonts w:eastAsia="Times New Roman" w:cstheme="minorHAnsi"/>
                <w:color w:val="000000"/>
                <w:sz w:val="20"/>
                <w:szCs w:val="20"/>
                <w:lang w:eastAsia="en-NZ"/>
              </w:rPr>
              <w:t>0.72</w:t>
            </w:r>
            <w:r w:rsidR="005F3580">
              <w:rPr>
                <w:rFonts w:eastAsia="Times New Roman" w:cstheme="minorHAnsi"/>
                <w:color w:val="000000"/>
                <w:sz w:val="20"/>
                <w:szCs w:val="20"/>
                <w:lang w:eastAsia="en-NZ"/>
              </w:rPr>
              <w:t xml:space="preserve"> hours</w:t>
            </w:r>
          </w:p>
        </w:tc>
        <w:tc>
          <w:tcPr>
            <w:tcW w:w="1134" w:type="dxa"/>
            <w:tcBorders>
              <w:top w:val="single" w:sz="8" w:space="0" w:color="00B050"/>
              <w:left w:val="single" w:sz="4" w:space="0" w:color="00B050"/>
              <w:bottom w:val="single" w:sz="8" w:space="0" w:color="00B050"/>
              <w:right w:val="single" w:sz="4" w:space="0" w:color="00B050"/>
            </w:tcBorders>
            <w:shd w:val="clear" w:color="000000" w:fill="D9D9D9"/>
            <w:hideMark/>
          </w:tcPr>
          <w:p w:rsidR="00030337" w:rsidRPr="001244BB" w:rsidRDefault="00030337" w:rsidP="00030337">
            <w:pPr>
              <w:spacing w:after="0" w:line="240" w:lineRule="auto"/>
              <w:jc w:val="right"/>
              <w:rPr>
                <w:rFonts w:eastAsia="Times New Roman" w:cstheme="minorHAnsi"/>
                <w:color w:val="000000"/>
                <w:sz w:val="20"/>
                <w:szCs w:val="20"/>
                <w:lang w:eastAsia="en-NZ"/>
              </w:rPr>
            </w:pPr>
            <w:r w:rsidRPr="001244BB">
              <w:rPr>
                <w:rFonts w:eastAsia="Times New Roman" w:cstheme="minorHAnsi"/>
                <w:color w:val="000000"/>
                <w:sz w:val="20"/>
                <w:szCs w:val="20"/>
                <w:lang w:eastAsia="en-NZ"/>
              </w:rPr>
              <w:t>≤1 hour</w:t>
            </w:r>
          </w:p>
        </w:tc>
        <w:tc>
          <w:tcPr>
            <w:tcW w:w="851" w:type="dxa"/>
            <w:tcBorders>
              <w:top w:val="single" w:sz="8" w:space="0" w:color="00B050"/>
              <w:left w:val="single" w:sz="4" w:space="0" w:color="00B050"/>
              <w:bottom w:val="single" w:sz="8" w:space="0" w:color="00B050"/>
              <w:right w:val="single" w:sz="4" w:space="0" w:color="00B050"/>
            </w:tcBorders>
            <w:shd w:val="clear" w:color="auto" w:fill="auto"/>
            <w:hideMark/>
          </w:tcPr>
          <w:p w:rsidR="00030337" w:rsidRPr="001244BB" w:rsidRDefault="00030337" w:rsidP="00030337">
            <w:pPr>
              <w:spacing w:after="0" w:line="240" w:lineRule="auto"/>
              <w:jc w:val="right"/>
              <w:rPr>
                <w:rFonts w:eastAsia="Times New Roman" w:cstheme="minorHAnsi"/>
                <w:color w:val="000000"/>
                <w:sz w:val="20"/>
                <w:szCs w:val="20"/>
                <w:lang w:eastAsia="en-NZ"/>
              </w:rPr>
            </w:pPr>
            <w:r w:rsidRPr="001244BB">
              <w:rPr>
                <w:rFonts w:eastAsia="Times New Roman" w:cstheme="minorHAnsi"/>
                <w:color w:val="000000"/>
                <w:sz w:val="20"/>
                <w:szCs w:val="20"/>
                <w:lang w:eastAsia="en-NZ"/>
              </w:rPr>
              <w:t>28%</w:t>
            </w:r>
          </w:p>
        </w:tc>
        <w:tc>
          <w:tcPr>
            <w:tcW w:w="1134" w:type="dxa"/>
            <w:tcBorders>
              <w:top w:val="single" w:sz="8" w:space="0" w:color="00B050"/>
              <w:left w:val="single" w:sz="4" w:space="0" w:color="00B050"/>
              <w:bottom w:val="single" w:sz="8" w:space="0" w:color="00B050"/>
              <w:right w:val="single" w:sz="4" w:space="0" w:color="00B050"/>
            </w:tcBorders>
            <w:shd w:val="clear" w:color="auto" w:fill="auto"/>
            <w:hideMark/>
          </w:tcPr>
          <w:p w:rsidR="00030337" w:rsidRPr="001244BB" w:rsidRDefault="00030337" w:rsidP="00030337">
            <w:pPr>
              <w:jc w:val="right"/>
              <w:rPr>
                <w:rFonts w:cstheme="minorHAnsi"/>
                <w:sz w:val="20"/>
                <w:szCs w:val="20"/>
              </w:rPr>
            </w:pPr>
            <w:r w:rsidRPr="001244BB">
              <w:rPr>
                <w:rFonts w:eastAsia="Times New Roman" w:cstheme="minorHAnsi"/>
                <w:color w:val="000000"/>
                <w:sz w:val="20"/>
                <w:szCs w:val="20"/>
                <w:lang w:eastAsia="en-NZ"/>
              </w:rPr>
              <w:t>exceeded</w:t>
            </w:r>
          </w:p>
        </w:tc>
        <w:tc>
          <w:tcPr>
            <w:tcW w:w="4635" w:type="dxa"/>
            <w:tcBorders>
              <w:top w:val="single" w:sz="8" w:space="0" w:color="00B050"/>
              <w:left w:val="single" w:sz="4" w:space="0" w:color="00B050"/>
              <w:bottom w:val="single" w:sz="4" w:space="0" w:color="00B050"/>
              <w:right w:val="nil"/>
            </w:tcBorders>
            <w:shd w:val="clear" w:color="auto" w:fill="auto"/>
            <w:hideMark/>
          </w:tcPr>
          <w:p w:rsidR="00030337" w:rsidRPr="001244BB" w:rsidRDefault="00030337" w:rsidP="00030337">
            <w:pPr>
              <w:spacing w:after="0"/>
              <w:rPr>
                <w:rFonts w:cstheme="minorHAnsi"/>
                <w:color w:val="000000"/>
                <w:sz w:val="20"/>
                <w:szCs w:val="20"/>
              </w:rPr>
            </w:pPr>
            <w:r w:rsidRPr="001244BB">
              <w:rPr>
                <w:rFonts w:cstheme="minorHAnsi"/>
                <w:color w:val="000000"/>
                <w:sz w:val="20"/>
                <w:szCs w:val="20"/>
              </w:rPr>
              <w:t>The year ending figure is less than the target due to our maintenance contractor meeting the performance targets. 575 calls recorded.</w:t>
            </w:r>
          </w:p>
        </w:tc>
      </w:tr>
      <w:tr w:rsidR="00030337" w:rsidRPr="001244BB" w:rsidTr="00030337">
        <w:trPr>
          <w:trHeight w:val="1789"/>
        </w:trPr>
        <w:tc>
          <w:tcPr>
            <w:tcW w:w="3672" w:type="dxa"/>
            <w:tcBorders>
              <w:top w:val="nil"/>
              <w:left w:val="nil"/>
              <w:bottom w:val="single" w:sz="8" w:space="0" w:color="00B050"/>
              <w:right w:val="single" w:sz="4" w:space="0" w:color="00B050"/>
            </w:tcBorders>
            <w:shd w:val="clear" w:color="auto" w:fill="auto"/>
            <w:hideMark/>
          </w:tcPr>
          <w:p w:rsidR="00030337" w:rsidRPr="001244BB" w:rsidRDefault="00030337" w:rsidP="00030337">
            <w:pPr>
              <w:spacing w:after="0" w:line="240" w:lineRule="auto"/>
              <w:rPr>
                <w:rFonts w:eastAsia="Times New Roman" w:cstheme="minorHAnsi"/>
                <w:color w:val="000000"/>
                <w:sz w:val="20"/>
                <w:szCs w:val="20"/>
                <w:lang w:eastAsia="en-NZ"/>
              </w:rPr>
            </w:pPr>
            <w:r w:rsidRPr="001244BB">
              <w:rPr>
                <w:rFonts w:eastAsia="Times New Roman" w:cstheme="minorHAnsi"/>
                <w:color w:val="000000"/>
                <w:sz w:val="20"/>
                <w:szCs w:val="20"/>
                <w:lang w:eastAsia="en-NZ"/>
              </w:rPr>
              <w:t>Median response time for wastewater overflows* (resolution time</w:t>
            </w:r>
            <w:r w:rsidR="005F3580">
              <w:rPr>
                <w:rFonts w:eastAsia="Times New Roman" w:cstheme="minorHAnsi"/>
                <w:color w:val="000000"/>
                <w:sz w:val="20"/>
                <w:szCs w:val="20"/>
                <w:lang w:eastAsia="en-NZ"/>
              </w:rPr>
              <w:t xml:space="preserve"> in hours</w:t>
            </w:r>
            <w:r w:rsidRPr="001244BB">
              <w:rPr>
                <w:rFonts w:eastAsia="Times New Roman" w:cstheme="minorHAnsi"/>
                <w:color w:val="000000"/>
                <w:sz w:val="20"/>
                <w:szCs w:val="20"/>
                <w:lang w:eastAsia="en-NZ"/>
              </w:rPr>
              <w:t>)</w:t>
            </w:r>
          </w:p>
        </w:tc>
        <w:tc>
          <w:tcPr>
            <w:tcW w:w="1140" w:type="dxa"/>
            <w:tcBorders>
              <w:top w:val="single" w:sz="8" w:space="0" w:color="00B050"/>
              <w:left w:val="single" w:sz="4" w:space="0" w:color="00B050"/>
              <w:bottom w:val="nil"/>
              <w:right w:val="single" w:sz="4" w:space="0" w:color="00B050"/>
            </w:tcBorders>
            <w:shd w:val="clear" w:color="auto" w:fill="auto"/>
            <w:noWrap/>
            <w:hideMark/>
          </w:tcPr>
          <w:p w:rsidR="00030337" w:rsidRPr="001244BB" w:rsidRDefault="00030337" w:rsidP="00030337">
            <w:pPr>
              <w:spacing w:after="0" w:line="240" w:lineRule="auto"/>
              <w:jc w:val="right"/>
              <w:rPr>
                <w:rFonts w:eastAsia="Times New Roman" w:cstheme="minorHAnsi"/>
                <w:color w:val="000000"/>
                <w:sz w:val="20"/>
                <w:szCs w:val="20"/>
                <w:lang w:eastAsia="en-NZ"/>
              </w:rPr>
            </w:pPr>
            <w:r w:rsidRPr="001244BB">
              <w:rPr>
                <w:rFonts w:eastAsia="Times New Roman" w:cstheme="minorHAnsi"/>
                <w:color w:val="000000"/>
                <w:sz w:val="20"/>
                <w:szCs w:val="20"/>
                <w:lang w:eastAsia="en-NZ"/>
              </w:rPr>
              <w:t>2.68</w:t>
            </w:r>
          </w:p>
        </w:tc>
        <w:tc>
          <w:tcPr>
            <w:tcW w:w="1142" w:type="dxa"/>
            <w:gridSpan w:val="2"/>
            <w:tcBorders>
              <w:top w:val="single" w:sz="8" w:space="0" w:color="00B050"/>
              <w:left w:val="single" w:sz="4" w:space="0" w:color="00B050"/>
              <w:bottom w:val="nil"/>
              <w:right w:val="single" w:sz="4" w:space="0" w:color="00B050"/>
            </w:tcBorders>
            <w:shd w:val="clear" w:color="auto" w:fill="auto"/>
            <w:noWrap/>
            <w:hideMark/>
          </w:tcPr>
          <w:p w:rsidR="00030337" w:rsidRPr="001244BB" w:rsidRDefault="00030337" w:rsidP="00030337">
            <w:pPr>
              <w:spacing w:after="0" w:line="240" w:lineRule="auto"/>
              <w:jc w:val="right"/>
              <w:rPr>
                <w:rFonts w:eastAsia="Times New Roman" w:cstheme="minorHAnsi"/>
                <w:color w:val="000000"/>
                <w:sz w:val="20"/>
                <w:szCs w:val="20"/>
                <w:lang w:eastAsia="en-NZ"/>
              </w:rPr>
            </w:pPr>
            <w:r w:rsidRPr="001244BB">
              <w:rPr>
                <w:rFonts w:eastAsia="Times New Roman" w:cstheme="minorHAnsi"/>
                <w:color w:val="000000"/>
                <w:sz w:val="20"/>
                <w:szCs w:val="20"/>
                <w:lang w:eastAsia="en-NZ"/>
              </w:rPr>
              <w:t>2.9</w:t>
            </w:r>
          </w:p>
        </w:tc>
        <w:tc>
          <w:tcPr>
            <w:tcW w:w="1276" w:type="dxa"/>
            <w:tcBorders>
              <w:top w:val="single" w:sz="8" w:space="0" w:color="00B050"/>
              <w:left w:val="single" w:sz="4" w:space="0" w:color="00B050"/>
              <w:bottom w:val="nil"/>
              <w:right w:val="single" w:sz="4" w:space="0" w:color="00B050"/>
            </w:tcBorders>
            <w:shd w:val="clear" w:color="auto" w:fill="auto"/>
            <w:noWrap/>
            <w:hideMark/>
          </w:tcPr>
          <w:p w:rsidR="00030337" w:rsidRPr="001244BB" w:rsidRDefault="00030337" w:rsidP="00030337">
            <w:pPr>
              <w:spacing w:after="0" w:line="240" w:lineRule="auto"/>
              <w:jc w:val="right"/>
              <w:rPr>
                <w:rFonts w:eastAsia="Times New Roman" w:cstheme="minorHAnsi"/>
                <w:color w:val="000000"/>
                <w:sz w:val="20"/>
                <w:szCs w:val="20"/>
                <w:lang w:eastAsia="en-NZ"/>
              </w:rPr>
            </w:pPr>
            <w:r w:rsidRPr="001244BB">
              <w:rPr>
                <w:rFonts w:eastAsia="Times New Roman" w:cstheme="minorHAnsi"/>
                <w:color w:val="000000"/>
                <w:sz w:val="20"/>
                <w:szCs w:val="20"/>
                <w:lang w:eastAsia="en-NZ"/>
              </w:rPr>
              <w:t>3.12</w:t>
            </w:r>
            <w:r w:rsidR="005F3580">
              <w:rPr>
                <w:rFonts w:eastAsia="Times New Roman" w:cstheme="minorHAnsi"/>
                <w:color w:val="000000"/>
                <w:sz w:val="20"/>
                <w:szCs w:val="20"/>
                <w:lang w:eastAsia="en-NZ"/>
              </w:rPr>
              <w:t xml:space="preserve"> hours</w:t>
            </w:r>
          </w:p>
        </w:tc>
        <w:tc>
          <w:tcPr>
            <w:tcW w:w="1134" w:type="dxa"/>
            <w:tcBorders>
              <w:top w:val="single" w:sz="8" w:space="0" w:color="00B050"/>
              <w:left w:val="single" w:sz="4" w:space="0" w:color="00B050"/>
              <w:bottom w:val="single" w:sz="8" w:space="0" w:color="00B050"/>
              <w:right w:val="single" w:sz="4" w:space="0" w:color="00B050"/>
            </w:tcBorders>
            <w:shd w:val="clear" w:color="000000" w:fill="D9D9D9"/>
            <w:hideMark/>
          </w:tcPr>
          <w:p w:rsidR="00030337" w:rsidRPr="001244BB" w:rsidRDefault="00030337" w:rsidP="00030337">
            <w:pPr>
              <w:spacing w:after="0" w:line="240" w:lineRule="auto"/>
              <w:jc w:val="right"/>
              <w:rPr>
                <w:rFonts w:eastAsia="Times New Roman" w:cstheme="minorHAnsi"/>
                <w:color w:val="000000"/>
                <w:sz w:val="20"/>
                <w:szCs w:val="20"/>
                <w:lang w:eastAsia="en-NZ"/>
              </w:rPr>
            </w:pPr>
            <w:r w:rsidRPr="001244BB">
              <w:rPr>
                <w:rFonts w:eastAsia="Times New Roman" w:cstheme="minorHAnsi"/>
                <w:color w:val="000000"/>
                <w:sz w:val="20"/>
                <w:szCs w:val="20"/>
                <w:lang w:eastAsia="en-NZ"/>
              </w:rPr>
              <w:t>≤6 hours</w:t>
            </w:r>
          </w:p>
        </w:tc>
        <w:tc>
          <w:tcPr>
            <w:tcW w:w="851" w:type="dxa"/>
            <w:tcBorders>
              <w:top w:val="single" w:sz="8" w:space="0" w:color="00B050"/>
              <w:left w:val="single" w:sz="4" w:space="0" w:color="00B050"/>
              <w:bottom w:val="nil"/>
              <w:right w:val="single" w:sz="4" w:space="0" w:color="00B050"/>
            </w:tcBorders>
            <w:shd w:val="clear" w:color="auto" w:fill="auto"/>
            <w:hideMark/>
          </w:tcPr>
          <w:p w:rsidR="00030337" w:rsidRPr="001244BB" w:rsidRDefault="00030337" w:rsidP="00030337">
            <w:pPr>
              <w:spacing w:after="0" w:line="240" w:lineRule="auto"/>
              <w:jc w:val="right"/>
              <w:rPr>
                <w:rFonts w:eastAsia="Times New Roman" w:cstheme="minorHAnsi"/>
                <w:color w:val="000000"/>
                <w:sz w:val="20"/>
                <w:szCs w:val="20"/>
                <w:lang w:eastAsia="en-NZ"/>
              </w:rPr>
            </w:pPr>
            <w:r w:rsidRPr="001244BB">
              <w:rPr>
                <w:rFonts w:eastAsia="Times New Roman" w:cstheme="minorHAnsi"/>
                <w:color w:val="000000"/>
                <w:sz w:val="20"/>
                <w:szCs w:val="20"/>
                <w:lang w:eastAsia="en-NZ"/>
              </w:rPr>
              <w:t>48%</w:t>
            </w:r>
          </w:p>
        </w:tc>
        <w:tc>
          <w:tcPr>
            <w:tcW w:w="1134" w:type="dxa"/>
            <w:tcBorders>
              <w:top w:val="single" w:sz="8" w:space="0" w:color="00B050"/>
              <w:left w:val="single" w:sz="4" w:space="0" w:color="00B050"/>
              <w:bottom w:val="nil"/>
              <w:right w:val="single" w:sz="4" w:space="0" w:color="00B050"/>
            </w:tcBorders>
            <w:shd w:val="clear" w:color="auto" w:fill="auto"/>
            <w:hideMark/>
          </w:tcPr>
          <w:p w:rsidR="00030337" w:rsidRPr="001244BB" w:rsidRDefault="00030337" w:rsidP="00030337">
            <w:pPr>
              <w:spacing w:after="0" w:line="240" w:lineRule="auto"/>
              <w:jc w:val="right"/>
              <w:rPr>
                <w:rFonts w:eastAsia="Times New Roman" w:cstheme="minorHAnsi"/>
                <w:color w:val="000000"/>
                <w:sz w:val="20"/>
                <w:szCs w:val="20"/>
                <w:lang w:eastAsia="en-NZ"/>
              </w:rPr>
            </w:pPr>
            <w:r w:rsidRPr="001244BB">
              <w:rPr>
                <w:rFonts w:eastAsia="Times New Roman" w:cstheme="minorHAnsi"/>
                <w:color w:val="000000"/>
                <w:sz w:val="20"/>
                <w:szCs w:val="20"/>
                <w:lang w:eastAsia="en-NZ"/>
              </w:rPr>
              <w:t>exceeded</w:t>
            </w:r>
          </w:p>
        </w:tc>
        <w:tc>
          <w:tcPr>
            <w:tcW w:w="4635" w:type="dxa"/>
            <w:tcBorders>
              <w:top w:val="single" w:sz="4" w:space="0" w:color="00B050"/>
              <w:left w:val="single" w:sz="4" w:space="0" w:color="00B050"/>
              <w:bottom w:val="single" w:sz="8" w:space="0" w:color="00B050"/>
              <w:right w:val="nil"/>
            </w:tcBorders>
            <w:shd w:val="clear" w:color="auto" w:fill="auto"/>
            <w:hideMark/>
          </w:tcPr>
          <w:p w:rsidR="00030337" w:rsidRPr="001244BB" w:rsidRDefault="00030337" w:rsidP="00145BEF">
            <w:pPr>
              <w:spacing w:after="0" w:line="240" w:lineRule="auto"/>
              <w:rPr>
                <w:rFonts w:eastAsia="Times New Roman" w:cstheme="minorHAnsi"/>
                <w:color w:val="000000"/>
                <w:sz w:val="20"/>
                <w:szCs w:val="20"/>
                <w:lang w:eastAsia="en-NZ"/>
              </w:rPr>
            </w:pPr>
            <w:r w:rsidRPr="001244BB">
              <w:rPr>
                <w:rFonts w:eastAsia="Times New Roman" w:cstheme="minorHAnsi"/>
                <w:color w:val="000000"/>
                <w:sz w:val="20"/>
                <w:szCs w:val="20"/>
                <w:lang w:eastAsia="en-NZ"/>
              </w:rPr>
              <w:t xml:space="preserve">The performance is not so much </w:t>
            </w:r>
            <w:r w:rsidR="00145BEF" w:rsidRPr="001244BB">
              <w:rPr>
                <w:rFonts w:eastAsia="Times New Roman" w:cstheme="minorHAnsi"/>
                <w:color w:val="000000"/>
                <w:sz w:val="20"/>
                <w:szCs w:val="20"/>
                <w:lang w:eastAsia="en-NZ"/>
              </w:rPr>
              <w:t>depend</w:t>
            </w:r>
            <w:r w:rsidR="00145BEF">
              <w:rPr>
                <w:rFonts w:eastAsia="Times New Roman" w:cstheme="minorHAnsi"/>
                <w:color w:val="000000"/>
                <w:sz w:val="20"/>
                <w:szCs w:val="20"/>
                <w:lang w:eastAsia="en-NZ"/>
              </w:rPr>
              <w:t>e</w:t>
            </w:r>
            <w:r w:rsidR="00145BEF" w:rsidRPr="001244BB">
              <w:rPr>
                <w:rFonts w:eastAsia="Times New Roman" w:cstheme="minorHAnsi"/>
                <w:color w:val="000000"/>
                <w:sz w:val="20"/>
                <w:szCs w:val="20"/>
                <w:lang w:eastAsia="en-NZ"/>
              </w:rPr>
              <w:t xml:space="preserve">nt </w:t>
            </w:r>
            <w:r w:rsidRPr="001244BB">
              <w:rPr>
                <w:rFonts w:eastAsia="Times New Roman" w:cstheme="minorHAnsi"/>
                <w:color w:val="000000"/>
                <w:sz w:val="20"/>
                <w:szCs w:val="20"/>
                <w:lang w:eastAsia="en-NZ"/>
              </w:rPr>
              <w:t>on the volume of calls or number of events but the time it takes to resolve each issue. If there is good operational performance the network tends not to block, and any blockages are more easily resolved before they reach the stage customers experience an interruption to their service.</w:t>
            </w:r>
          </w:p>
        </w:tc>
      </w:tr>
      <w:tr w:rsidR="00030337" w:rsidRPr="001244BB" w:rsidTr="00030337">
        <w:trPr>
          <w:trHeight w:val="270"/>
        </w:trPr>
        <w:tc>
          <w:tcPr>
            <w:tcW w:w="4819" w:type="dxa"/>
            <w:gridSpan w:val="3"/>
            <w:tcBorders>
              <w:top w:val="nil"/>
              <w:left w:val="nil"/>
              <w:right w:val="single" w:sz="4" w:space="0" w:color="00B050"/>
            </w:tcBorders>
            <w:shd w:val="clear" w:color="auto" w:fill="00B050"/>
            <w:noWrap/>
            <w:hideMark/>
          </w:tcPr>
          <w:p w:rsidR="00030337" w:rsidRPr="001244BB" w:rsidRDefault="00030337" w:rsidP="00030337">
            <w:pPr>
              <w:spacing w:after="0" w:line="240" w:lineRule="auto"/>
              <w:rPr>
                <w:rFonts w:eastAsia="Times New Roman" w:cstheme="minorHAnsi"/>
                <w:color w:val="000000"/>
                <w:sz w:val="24"/>
                <w:szCs w:val="20"/>
                <w:lang w:eastAsia="en-NZ"/>
              </w:rPr>
            </w:pPr>
            <w:r w:rsidRPr="001244BB">
              <w:rPr>
                <w:rFonts w:eastAsia="Times New Roman" w:cstheme="minorHAnsi"/>
                <w:b/>
                <w:bCs/>
                <w:color w:val="FFFFFF"/>
                <w:sz w:val="24"/>
                <w:szCs w:val="20"/>
                <w:lang w:eastAsia="en-NZ"/>
              </w:rPr>
              <w:t>2.5 Waiāwhā | Stormwater</w:t>
            </w:r>
          </w:p>
        </w:tc>
        <w:tc>
          <w:tcPr>
            <w:tcW w:w="1135" w:type="dxa"/>
            <w:tcBorders>
              <w:top w:val="nil"/>
              <w:left w:val="single" w:sz="4" w:space="0" w:color="00B050"/>
              <w:right w:val="single" w:sz="4" w:space="0" w:color="00B050"/>
            </w:tcBorders>
            <w:shd w:val="clear" w:color="auto" w:fill="00B050"/>
            <w:noWrap/>
            <w:hideMark/>
          </w:tcPr>
          <w:p w:rsidR="00030337" w:rsidRPr="001244BB" w:rsidRDefault="00030337" w:rsidP="00030337">
            <w:pPr>
              <w:spacing w:after="0" w:line="240" w:lineRule="auto"/>
              <w:jc w:val="right"/>
              <w:rPr>
                <w:rFonts w:eastAsia="Times New Roman" w:cstheme="minorHAnsi"/>
                <w:color w:val="000000"/>
                <w:sz w:val="24"/>
                <w:szCs w:val="20"/>
                <w:lang w:eastAsia="en-NZ"/>
              </w:rPr>
            </w:pPr>
          </w:p>
        </w:tc>
        <w:tc>
          <w:tcPr>
            <w:tcW w:w="1276" w:type="dxa"/>
            <w:tcBorders>
              <w:top w:val="nil"/>
              <w:left w:val="single" w:sz="4" w:space="0" w:color="00B050"/>
              <w:right w:val="single" w:sz="4" w:space="0" w:color="00B050"/>
            </w:tcBorders>
            <w:shd w:val="clear" w:color="auto" w:fill="00B050"/>
            <w:noWrap/>
            <w:hideMark/>
          </w:tcPr>
          <w:p w:rsidR="00030337" w:rsidRPr="001244BB" w:rsidRDefault="00030337" w:rsidP="00030337">
            <w:pPr>
              <w:spacing w:after="0" w:line="240" w:lineRule="auto"/>
              <w:jc w:val="right"/>
              <w:rPr>
                <w:rFonts w:eastAsia="Times New Roman" w:cstheme="minorHAnsi"/>
                <w:color w:val="000000"/>
                <w:sz w:val="24"/>
                <w:szCs w:val="20"/>
                <w:lang w:eastAsia="en-NZ"/>
              </w:rPr>
            </w:pPr>
          </w:p>
        </w:tc>
        <w:tc>
          <w:tcPr>
            <w:tcW w:w="1134" w:type="dxa"/>
            <w:tcBorders>
              <w:top w:val="nil"/>
              <w:left w:val="single" w:sz="4" w:space="0" w:color="00B050"/>
              <w:right w:val="single" w:sz="4" w:space="0" w:color="00B050"/>
            </w:tcBorders>
            <w:shd w:val="clear" w:color="auto" w:fill="00B050"/>
            <w:noWrap/>
            <w:hideMark/>
          </w:tcPr>
          <w:p w:rsidR="00030337" w:rsidRPr="001244BB" w:rsidRDefault="00030337" w:rsidP="00030337">
            <w:pPr>
              <w:spacing w:after="0" w:line="240" w:lineRule="auto"/>
              <w:rPr>
                <w:rFonts w:eastAsia="Times New Roman" w:cstheme="minorHAnsi"/>
                <w:b/>
                <w:bCs/>
                <w:color w:val="FFFFFF"/>
                <w:sz w:val="24"/>
                <w:szCs w:val="20"/>
                <w:lang w:eastAsia="en-NZ"/>
              </w:rPr>
            </w:pPr>
            <w:r w:rsidRPr="001244BB">
              <w:rPr>
                <w:rFonts w:eastAsia="Times New Roman" w:cstheme="minorHAnsi"/>
                <w:b/>
                <w:bCs/>
                <w:color w:val="FFFFFF"/>
                <w:sz w:val="24"/>
                <w:szCs w:val="20"/>
                <w:lang w:eastAsia="en-NZ"/>
              </w:rPr>
              <w:t> </w:t>
            </w:r>
          </w:p>
        </w:tc>
        <w:tc>
          <w:tcPr>
            <w:tcW w:w="851" w:type="dxa"/>
            <w:tcBorders>
              <w:top w:val="nil"/>
              <w:left w:val="single" w:sz="4" w:space="0" w:color="00B050"/>
              <w:right w:val="single" w:sz="4" w:space="0" w:color="00B050"/>
            </w:tcBorders>
            <w:shd w:val="clear" w:color="auto" w:fill="00B050"/>
            <w:noWrap/>
            <w:hideMark/>
          </w:tcPr>
          <w:p w:rsidR="00030337" w:rsidRPr="001244BB" w:rsidRDefault="00030337" w:rsidP="00030337">
            <w:pPr>
              <w:spacing w:after="0" w:line="240" w:lineRule="auto"/>
              <w:rPr>
                <w:rFonts w:eastAsia="Times New Roman" w:cstheme="minorHAnsi"/>
                <w:b/>
                <w:bCs/>
                <w:color w:val="FFFFFF"/>
                <w:sz w:val="24"/>
                <w:szCs w:val="20"/>
                <w:lang w:eastAsia="en-NZ"/>
              </w:rPr>
            </w:pPr>
            <w:r w:rsidRPr="001244BB">
              <w:rPr>
                <w:rFonts w:eastAsia="Times New Roman" w:cstheme="minorHAnsi"/>
                <w:b/>
                <w:bCs/>
                <w:color w:val="FFFFFF"/>
                <w:sz w:val="24"/>
                <w:szCs w:val="20"/>
                <w:lang w:eastAsia="en-NZ"/>
              </w:rPr>
              <w:t> </w:t>
            </w:r>
          </w:p>
        </w:tc>
        <w:tc>
          <w:tcPr>
            <w:tcW w:w="1134" w:type="dxa"/>
            <w:tcBorders>
              <w:top w:val="nil"/>
              <w:left w:val="single" w:sz="4" w:space="0" w:color="00B050"/>
              <w:right w:val="single" w:sz="4" w:space="0" w:color="00B050"/>
            </w:tcBorders>
            <w:shd w:val="clear" w:color="auto" w:fill="00B050"/>
            <w:noWrap/>
            <w:hideMark/>
          </w:tcPr>
          <w:p w:rsidR="00030337" w:rsidRPr="001244BB" w:rsidRDefault="00030337" w:rsidP="00030337">
            <w:pPr>
              <w:spacing w:after="0" w:line="240" w:lineRule="auto"/>
              <w:rPr>
                <w:rFonts w:eastAsia="Times New Roman" w:cstheme="minorHAnsi"/>
                <w:b/>
                <w:bCs/>
                <w:color w:val="FFFFFF"/>
                <w:sz w:val="24"/>
                <w:szCs w:val="20"/>
                <w:lang w:eastAsia="en-NZ"/>
              </w:rPr>
            </w:pPr>
            <w:r w:rsidRPr="001244BB">
              <w:rPr>
                <w:rFonts w:eastAsia="Times New Roman" w:cstheme="minorHAnsi"/>
                <w:b/>
                <w:bCs/>
                <w:color w:val="FFFFFF"/>
                <w:sz w:val="24"/>
                <w:szCs w:val="20"/>
                <w:lang w:eastAsia="en-NZ"/>
              </w:rPr>
              <w:t> </w:t>
            </w:r>
          </w:p>
        </w:tc>
        <w:tc>
          <w:tcPr>
            <w:tcW w:w="4635" w:type="dxa"/>
            <w:tcBorders>
              <w:top w:val="single" w:sz="8" w:space="0" w:color="00B050"/>
              <w:left w:val="single" w:sz="4" w:space="0" w:color="00B050"/>
              <w:right w:val="nil"/>
            </w:tcBorders>
            <w:shd w:val="clear" w:color="auto" w:fill="00B050"/>
            <w:hideMark/>
          </w:tcPr>
          <w:p w:rsidR="00030337" w:rsidRPr="001244BB" w:rsidRDefault="00030337" w:rsidP="00030337">
            <w:pPr>
              <w:spacing w:after="0" w:line="240" w:lineRule="auto"/>
              <w:rPr>
                <w:rFonts w:eastAsia="Times New Roman" w:cstheme="minorHAnsi"/>
                <w:color w:val="000000"/>
                <w:sz w:val="24"/>
                <w:szCs w:val="20"/>
                <w:lang w:eastAsia="en-NZ"/>
              </w:rPr>
            </w:pPr>
          </w:p>
        </w:tc>
      </w:tr>
      <w:tr w:rsidR="00030337" w:rsidRPr="001244BB" w:rsidTr="00030337">
        <w:trPr>
          <w:trHeight w:val="315"/>
        </w:trPr>
        <w:tc>
          <w:tcPr>
            <w:tcW w:w="14984" w:type="dxa"/>
            <w:gridSpan w:val="9"/>
            <w:tcBorders>
              <w:top w:val="nil"/>
              <w:left w:val="nil"/>
            </w:tcBorders>
            <w:shd w:val="clear" w:color="auto" w:fill="EAF1DD" w:themeFill="accent3" w:themeFillTint="33"/>
            <w:hideMark/>
          </w:tcPr>
          <w:p w:rsidR="00030337" w:rsidRPr="001244BB" w:rsidRDefault="00030337" w:rsidP="00030337">
            <w:pPr>
              <w:spacing w:after="0" w:line="240" w:lineRule="auto"/>
              <w:ind w:left="720" w:hanging="720"/>
              <w:rPr>
                <w:rFonts w:eastAsia="Times New Roman" w:cstheme="minorHAnsi"/>
                <w:b/>
                <w:sz w:val="20"/>
                <w:szCs w:val="20"/>
                <w:lang w:eastAsia="en-NZ"/>
              </w:rPr>
            </w:pPr>
            <w:r w:rsidRPr="001244BB">
              <w:rPr>
                <w:rFonts w:eastAsia="Times New Roman" w:cstheme="minorHAnsi"/>
                <w:b/>
                <w:sz w:val="20"/>
                <w:szCs w:val="20"/>
                <w:lang w:eastAsia="en-NZ"/>
              </w:rPr>
              <w:t>Continuity of service and resolution of faults</w:t>
            </w:r>
          </w:p>
        </w:tc>
      </w:tr>
      <w:tr w:rsidR="00030337" w:rsidRPr="001244BB" w:rsidTr="00030337">
        <w:trPr>
          <w:trHeight w:val="257"/>
        </w:trPr>
        <w:tc>
          <w:tcPr>
            <w:tcW w:w="3672" w:type="dxa"/>
            <w:tcBorders>
              <w:left w:val="nil"/>
              <w:bottom w:val="single" w:sz="8" w:space="0" w:color="00B050"/>
              <w:right w:val="single" w:sz="4" w:space="0" w:color="00B050"/>
            </w:tcBorders>
            <w:shd w:val="clear" w:color="auto" w:fill="auto"/>
            <w:hideMark/>
          </w:tcPr>
          <w:p w:rsidR="00030337" w:rsidRPr="001244BB" w:rsidRDefault="00030337" w:rsidP="00030337">
            <w:pPr>
              <w:spacing w:after="0" w:line="240" w:lineRule="auto"/>
              <w:rPr>
                <w:rFonts w:eastAsia="Times New Roman" w:cstheme="minorHAnsi"/>
                <w:color w:val="000000"/>
                <w:sz w:val="20"/>
                <w:szCs w:val="20"/>
                <w:lang w:eastAsia="en-NZ"/>
              </w:rPr>
            </w:pPr>
            <w:r w:rsidRPr="001244BB">
              <w:rPr>
                <w:rFonts w:eastAsia="Times New Roman" w:cstheme="minorHAnsi"/>
                <w:color w:val="000000"/>
                <w:sz w:val="20"/>
                <w:szCs w:val="20"/>
                <w:lang w:eastAsia="en-NZ"/>
              </w:rPr>
              <w:t>Number of flooding events*</w:t>
            </w:r>
          </w:p>
        </w:tc>
        <w:tc>
          <w:tcPr>
            <w:tcW w:w="1140" w:type="dxa"/>
            <w:tcBorders>
              <w:left w:val="single" w:sz="4" w:space="0" w:color="00B050"/>
              <w:bottom w:val="single" w:sz="8" w:space="0" w:color="00B050"/>
              <w:right w:val="single" w:sz="4" w:space="0" w:color="00B050"/>
            </w:tcBorders>
            <w:shd w:val="clear" w:color="auto" w:fill="auto"/>
            <w:noWrap/>
            <w:hideMark/>
          </w:tcPr>
          <w:p w:rsidR="00030337" w:rsidRPr="001244BB" w:rsidRDefault="00030337" w:rsidP="00030337">
            <w:pPr>
              <w:spacing w:after="0" w:line="240" w:lineRule="auto"/>
              <w:jc w:val="right"/>
              <w:rPr>
                <w:rFonts w:eastAsia="Times New Roman" w:cstheme="minorHAnsi"/>
                <w:color w:val="000000"/>
                <w:sz w:val="20"/>
                <w:szCs w:val="20"/>
                <w:lang w:eastAsia="en-NZ"/>
              </w:rPr>
            </w:pPr>
            <w:r w:rsidRPr="001244BB">
              <w:rPr>
                <w:rFonts w:eastAsia="Times New Roman" w:cstheme="minorHAnsi"/>
                <w:color w:val="000000"/>
                <w:sz w:val="20"/>
                <w:szCs w:val="20"/>
                <w:lang w:eastAsia="en-NZ"/>
              </w:rPr>
              <w:t>6</w:t>
            </w:r>
          </w:p>
        </w:tc>
        <w:tc>
          <w:tcPr>
            <w:tcW w:w="1142" w:type="dxa"/>
            <w:gridSpan w:val="2"/>
            <w:tcBorders>
              <w:left w:val="single" w:sz="4" w:space="0" w:color="00B050"/>
              <w:bottom w:val="single" w:sz="8" w:space="0" w:color="00B050"/>
              <w:right w:val="single" w:sz="4" w:space="0" w:color="00B050"/>
            </w:tcBorders>
            <w:shd w:val="clear" w:color="auto" w:fill="auto"/>
            <w:noWrap/>
            <w:hideMark/>
          </w:tcPr>
          <w:p w:rsidR="00030337" w:rsidRPr="001244BB" w:rsidRDefault="00030337" w:rsidP="00030337">
            <w:pPr>
              <w:spacing w:after="0" w:line="240" w:lineRule="auto"/>
              <w:jc w:val="right"/>
              <w:rPr>
                <w:rFonts w:eastAsia="Times New Roman" w:cstheme="minorHAnsi"/>
                <w:color w:val="000000"/>
                <w:sz w:val="20"/>
                <w:szCs w:val="20"/>
                <w:lang w:eastAsia="en-NZ"/>
              </w:rPr>
            </w:pPr>
            <w:r w:rsidRPr="001244BB">
              <w:rPr>
                <w:rFonts w:eastAsia="Times New Roman" w:cstheme="minorHAnsi"/>
                <w:color w:val="000000"/>
                <w:sz w:val="20"/>
                <w:szCs w:val="20"/>
                <w:lang w:eastAsia="en-NZ"/>
              </w:rPr>
              <w:t>2</w:t>
            </w:r>
          </w:p>
        </w:tc>
        <w:tc>
          <w:tcPr>
            <w:tcW w:w="1276" w:type="dxa"/>
            <w:tcBorders>
              <w:left w:val="single" w:sz="4" w:space="0" w:color="00B050"/>
              <w:bottom w:val="single" w:sz="8" w:space="0" w:color="00B050"/>
              <w:right w:val="single" w:sz="4" w:space="0" w:color="00B050"/>
            </w:tcBorders>
            <w:shd w:val="clear" w:color="auto" w:fill="auto"/>
            <w:noWrap/>
            <w:hideMark/>
          </w:tcPr>
          <w:p w:rsidR="00030337" w:rsidRPr="001244BB" w:rsidRDefault="00030337" w:rsidP="00030337">
            <w:pPr>
              <w:spacing w:after="0" w:line="240" w:lineRule="auto"/>
              <w:jc w:val="right"/>
              <w:rPr>
                <w:rFonts w:eastAsia="Times New Roman" w:cstheme="minorHAnsi"/>
                <w:color w:val="000000"/>
                <w:sz w:val="20"/>
                <w:szCs w:val="20"/>
                <w:lang w:eastAsia="en-NZ"/>
              </w:rPr>
            </w:pPr>
            <w:r w:rsidRPr="001244BB">
              <w:rPr>
                <w:rFonts w:eastAsia="Times New Roman" w:cstheme="minorHAnsi"/>
                <w:color w:val="000000"/>
                <w:sz w:val="20"/>
                <w:szCs w:val="20"/>
                <w:lang w:eastAsia="en-NZ"/>
              </w:rPr>
              <w:t>5</w:t>
            </w:r>
          </w:p>
        </w:tc>
        <w:tc>
          <w:tcPr>
            <w:tcW w:w="1134" w:type="dxa"/>
            <w:tcBorders>
              <w:left w:val="single" w:sz="4" w:space="0" w:color="00B050"/>
              <w:bottom w:val="single" w:sz="8" w:space="0" w:color="00B050"/>
              <w:right w:val="single" w:sz="4" w:space="0" w:color="00B050"/>
            </w:tcBorders>
            <w:shd w:val="clear" w:color="000000" w:fill="D9D9D9"/>
            <w:hideMark/>
          </w:tcPr>
          <w:p w:rsidR="00030337" w:rsidRPr="001244BB" w:rsidRDefault="00B27E9D" w:rsidP="00030337">
            <w:pPr>
              <w:spacing w:after="0" w:line="240" w:lineRule="auto"/>
              <w:jc w:val="right"/>
              <w:rPr>
                <w:rFonts w:eastAsia="Times New Roman" w:cstheme="minorHAnsi"/>
                <w:color w:val="000000"/>
                <w:sz w:val="20"/>
                <w:szCs w:val="20"/>
                <w:lang w:eastAsia="en-NZ"/>
              </w:rPr>
            </w:pPr>
            <w:r>
              <w:rPr>
                <w:rFonts w:eastAsia="Times New Roman" w:cstheme="minorHAnsi"/>
                <w:color w:val="000000"/>
                <w:sz w:val="20"/>
                <w:szCs w:val="20"/>
                <w:lang w:eastAsia="en-NZ"/>
              </w:rPr>
              <w:t>Trend</w:t>
            </w:r>
          </w:p>
        </w:tc>
        <w:tc>
          <w:tcPr>
            <w:tcW w:w="851" w:type="dxa"/>
            <w:tcBorders>
              <w:left w:val="single" w:sz="4" w:space="0" w:color="00B050"/>
              <w:bottom w:val="single" w:sz="8" w:space="0" w:color="00B050"/>
              <w:right w:val="single" w:sz="4" w:space="0" w:color="00B050"/>
            </w:tcBorders>
            <w:shd w:val="clear" w:color="auto" w:fill="auto"/>
            <w:hideMark/>
          </w:tcPr>
          <w:p w:rsidR="00030337" w:rsidRPr="001244BB" w:rsidRDefault="00B27E9D" w:rsidP="00030337">
            <w:pPr>
              <w:spacing w:after="0" w:line="240" w:lineRule="auto"/>
              <w:jc w:val="right"/>
              <w:rPr>
                <w:rFonts w:eastAsia="Times New Roman" w:cstheme="minorHAnsi"/>
                <w:color w:val="000000"/>
                <w:sz w:val="20"/>
                <w:szCs w:val="20"/>
                <w:lang w:eastAsia="en-NZ"/>
              </w:rPr>
            </w:pPr>
            <w:r>
              <w:rPr>
                <w:rFonts w:eastAsia="Times New Roman" w:cstheme="minorHAnsi"/>
                <w:color w:val="000000"/>
                <w:sz w:val="20"/>
                <w:szCs w:val="20"/>
                <w:lang w:eastAsia="en-NZ"/>
              </w:rPr>
              <w:t>-</w:t>
            </w:r>
          </w:p>
        </w:tc>
        <w:tc>
          <w:tcPr>
            <w:tcW w:w="1134" w:type="dxa"/>
            <w:tcBorders>
              <w:left w:val="single" w:sz="4" w:space="0" w:color="00B050"/>
              <w:bottom w:val="single" w:sz="8" w:space="0" w:color="00B050"/>
              <w:right w:val="single" w:sz="4" w:space="0" w:color="00B050"/>
            </w:tcBorders>
            <w:shd w:val="clear" w:color="auto" w:fill="auto"/>
            <w:hideMark/>
          </w:tcPr>
          <w:p w:rsidR="00030337" w:rsidRPr="001244BB" w:rsidRDefault="004A2F47" w:rsidP="00030337">
            <w:pPr>
              <w:spacing w:after="0" w:line="240" w:lineRule="auto"/>
              <w:jc w:val="right"/>
              <w:rPr>
                <w:rFonts w:eastAsia="Times New Roman" w:cstheme="minorHAnsi"/>
                <w:color w:val="000000"/>
                <w:sz w:val="20"/>
                <w:szCs w:val="20"/>
                <w:lang w:eastAsia="en-NZ"/>
              </w:rPr>
            </w:pPr>
            <w:r>
              <w:rPr>
                <w:rFonts w:eastAsia="Times New Roman" w:cstheme="minorHAnsi"/>
                <w:color w:val="000000"/>
                <w:sz w:val="20"/>
                <w:szCs w:val="20"/>
                <w:lang w:eastAsia="en-NZ"/>
              </w:rPr>
              <w:t>Within 10%</w:t>
            </w:r>
          </w:p>
        </w:tc>
        <w:tc>
          <w:tcPr>
            <w:tcW w:w="4635" w:type="dxa"/>
            <w:tcBorders>
              <w:top w:val="single" w:sz="4" w:space="0" w:color="FFFFFF" w:themeColor="background1"/>
              <w:left w:val="single" w:sz="4" w:space="0" w:color="00B050"/>
              <w:bottom w:val="single" w:sz="4" w:space="0" w:color="00B050"/>
              <w:right w:val="nil"/>
            </w:tcBorders>
            <w:shd w:val="clear" w:color="auto" w:fill="auto"/>
            <w:hideMark/>
          </w:tcPr>
          <w:p w:rsidR="00030337" w:rsidRPr="001244BB" w:rsidRDefault="00030337" w:rsidP="00030337">
            <w:pPr>
              <w:spacing w:after="0" w:line="240" w:lineRule="auto"/>
              <w:rPr>
                <w:rFonts w:eastAsia="Times New Roman" w:cstheme="minorHAnsi"/>
                <w:color w:val="000000"/>
                <w:sz w:val="20"/>
                <w:szCs w:val="20"/>
                <w:lang w:eastAsia="en-NZ"/>
              </w:rPr>
            </w:pPr>
          </w:p>
        </w:tc>
      </w:tr>
      <w:tr w:rsidR="00030337" w:rsidRPr="001244BB" w:rsidTr="00030337">
        <w:trPr>
          <w:trHeight w:val="780"/>
        </w:trPr>
        <w:tc>
          <w:tcPr>
            <w:tcW w:w="3672" w:type="dxa"/>
            <w:tcBorders>
              <w:top w:val="nil"/>
              <w:left w:val="nil"/>
              <w:bottom w:val="single" w:sz="8" w:space="0" w:color="00B050"/>
              <w:right w:val="single" w:sz="4" w:space="0" w:color="00B050"/>
            </w:tcBorders>
            <w:shd w:val="clear" w:color="auto" w:fill="auto"/>
            <w:hideMark/>
          </w:tcPr>
          <w:p w:rsidR="00030337" w:rsidRPr="001244BB" w:rsidRDefault="00030337" w:rsidP="00030337">
            <w:pPr>
              <w:spacing w:after="0" w:line="240" w:lineRule="auto"/>
              <w:rPr>
                <w:rFonts w:eastAsia="Times New Roman" w:cstheme="minorHAnsi"/>
                <w:color w:val="000000"/>
                <w:sz w:val="20"/>
                <w:szCs w:val="20"/>
                <w:lang w:eastAsia="en-NZ"/>
              </w:rPr>
            </w:pPr>
            <w:r w:rsidRPr="001244BB">
              <w:rPr>
                <w:rFonts w:eastAsia="Times New Roman" w:cstheme="minorHAnsi"/>
                <w:color w:val="000000"/>
                <w:sz w:val="20"/>
                <w:szCs w:val="20"/>
                <w:lang w:eastAsia="en-NZ"/>
              </w:rPr>
              <w:t>Number of pipeline blockages per km of pipeline</w:t>
            </w:r>
          </w:p>
        </w:tc>
        <w:tc>
          <w:tcPr>
            <w:tcW w:w="1140" w:type="dxa"/>
            <w:tcBorders>
              <w:top w:val="single" w:sz="8" w:space="0" w:color="00B050"/>
              <w:left w:val="single" w:sz="4" w:space="0" w:color="00B050"/>
              <w:bottom w:val="single" w:sz="8" w:space="0" w:color="00B050"/>
              <w:right w:val="single" w:sz="4" w:space="0" w:color="00B050"/>
            </w:tcBorders>
            <w:shd w:val="clear" w:color="auto" w:fill="auto"/>
            <w:noWrap/>
            <w:hideMark/>
          </w:tcPr>
          <w:p w:rsidR="00030337" w:rsidRPr="001244BB" w:rsidRDefault="00030337" w:rsidP="00030337">
            <w:pPr>
              <w:spacing w:after="0" w:line="240" w:lineRule="auto"/>
              <w:jc w:val="right"/>
              <w:rPr>
                <w:rFonts w:eastAsia="Times New Roman" w:cstheme="minorHAnsi"/>
                <w:color w:val="000000"/>
                <w:sz w:val="20"/>
                <w:szCs w:val="20"/>
                <w:lang w:eastAsia="en-NZ"/>
              </w:rPr>
            </w:pPr>
            <w:r w:rsidRPr="001244BB">
              <w:rPr>
                <w:rFonts w:eastAsia="Times New Roman" w:cstheme="minorHAnsi"/>
                <w:color w:val="000000"/>
                <w:sz w:val="20"/>
                <w:szCs w:val="20"/>
                <w:lang w:eastAsia="en-NZ"/>
              </w:rPr>
              <w:t>0.04</w:t>
            </w:r>
            <w:r w:rsidR="00B27E9D">
              <w:rPr>
                <w:rFonts w:eastAsia="Times New Roman" w:cstheme="minorHAnsi"/>
                <w:color w:val="000000"/>
                <w:sz w:val="20"/>
                <w:szCs w:val="20"/>
                <w:lang w:eastAsia="en-NZ"/>
              </w:rPr>
              <w:t xml:space="preserve"> per km</w:t>
            </w:r>
          </w:p>
        </w:tc>
        <w:tc>
          <w:tcPr>
            <w:tcW w:w="1142" w:type="dxa"/>
            <w:gridSpan w:val="2"/>
            <w:tcBorders>
              <w:top w:val="single" w:sz="8" w:space="0" w:color="00B050"/>
              <w:left w:val="single" w:sz="4" w:space="0" w:color="00B050"/>
              <w:bottom w:val="single" w:sz="8" w:space="0" w:color="00B050"/>
              <w:right w:val="single" w:sz="4" w:space="0" w:color="00B050"/>
            </w:tcBorders>
            <w:shd w:val="clear" w:color="auto" w:fill="auto"/>
            <w:noWrap/>
            <w:hideMark/>
          </w:tcPr>
          <w:p w:rsidR="00030337" w:rsidRPr="001244BB" w:rsidRDefault="00030337" w:rsidP="00030337">
            <w:pPr>
              <w:spacing w:after="0" w:line="240" w:lineRule="auto"/>
              <w:jc w:val="right"/>
              <w:rPr>
                <w:rFonts w:eastAsia="Times New Roman" w:cstheme="minorHAnsi"/>
                <w:color w:val="000000"/>
                <w:sz w:val="20"/>
                <w:szCs w:val="20"/>
                <w:lang w:eastAsia="en-NZ"/>
              </w:rPr>
            </w:pPr>
            <w:r w:rsidRPr="001244BB">
              <w:rPr>
                <w:rFonts w:eastAsia="Times New Roman" w:cstheme="minorHAnsi"/>
                <w:color w:val="000000"/>
                <w:sz w:val="20"/>
                <w:szCs w:val="20"/>
                <w:lang w:eastAsia="en-NZ"/>
              </w:rPr>
              <w:t>0.03</w:t>
            </w:r>
            <w:r w:rsidR="00B27E9D">
              <w:rPr>
                <w:rFonts w:eastAsia="Times New Roman" w:cstheme="minorHAnsi"/>
                <w:color w:val="000000"/>
                <w:sz w:val="20"/>
                <w:szCs w:val="20"/>
                <w:lang w:eastAsia="en-NZ"/>
              </w:rPr>
              <w:t xml:space="preserve"> per km</w:t>
            </w:r>
          </w:p>
        </w:tc>
        <w:tc>
          <w:tcPr>
            <w:tcW w:w="1276" w:type="dxa"/>
            <w:tcBorders>
              <w:top w:val="single" w:sz="8" w:space="0" w:color="00B050"/>
              <w:left w:val="single" w:sz="4" w:space="0" w:color="00B050"/>
              <w:bottom w:val="single" w:sz="8" w:space="0" w:color="00B050"/>
              <w:right w:val="single" w:sz="4" w:space="0" w:color="00B050"/>
            </w:tcBorders>
            <w:shd w:val="clear" w:color="auto" w:fill="auto"/>
            <w:noWrap/>
            <w:hideMark/>
          </w:tcPr>
          <w:p w:rsidR="00030337" w:rsidRPr="001244BB" w:rsidRDefault="00030337" w:rsidP="00030337">
            <w:pPr>
              <w:spacing w:after="0" w:line="240" w:lineRule="auto"/>
              <w:jc w:val="right"/>
              <w:rPr>
                <w:rFonts w:eastAsia="Times New Roman" w:cstheme="minorHAnsi"/>
                <w:color w:val="000000"/>
                <w:sz w:val="20"/>
                <w:szCs w:val="20"/>
                <w:lang w:eastAsia="en-NZ"/>
              </w:rPr>
            </w:pPr>
            <w:r w:rsidRPr="001244BB">
              <w:rPr>
                <w:rFonts w:eastAsia="Times New Roman" w:cstheme="minorHAnsi"/>
                <w:color w:val="000000"/>
                <w:sz w:val="20"/>
                <w:szCs w:val="20"/>
                <w:lang w:eastAsia="en-NZ"/>
              </w:rPr>
              <w:t>0.02</w:t>
            </w:r>
            <w:r w:rsidR="005F3580">
              <w:rPr>
                <w:rFonts w:eastAsia="Times New Roman" w:cstheme="minorHAnsi"/>
                <w:color w:val="000000"/>
                <w:sz w:val="20"/>
                <w:szCs w:val="20"/>
                <w:lang w:eastAsia="en-NZ"/>
              </w:rPr>
              <w:t xml:space="preserve"> per km</w:t>
            </w:r>
          </w:p>
        </w:tc>
        <w:tc>
          <w:tcPr>
            <w:tcW w:w="1134" w:type="dxa"/>
            <w:tcBorders>
              <w:top w:val="single" w:sz="4" w:space="0" w:color="00B050"/>
              <w:left w:val="single" w:sz="4" w:space="0" w:color="00B050"/>
              <w:bottom w:val="single" w:sz="8" w:space="0" w:color="00B050"/>
              <w:right w:val="single" w:sz="4" w:space="0" w:color="00B050"/>
            </w:tcBorders>
            <w:shd w:val="clear" w:color="000000" w:fill="D9D9D9"/>
            <w:hideMark/>
          </w:tcPr>
          <w:p w:rsidR="00030337" w:rsidRPr="001244BB" w:rsidRDefault="00030337" w:rsidP="00030337">
            <w:pPr>
              <w:spacing w:after="0" w:line="240" w:lineRule="auto"/>
              <w:jc w:val="right"/>
              <w:rPr>
                <w:rFonts w:eastAsia="Times New Roman" w:cstheme="minorHAnsi"/>
                <w:color w:val="000000"/>
                <w:sz w:val="20"/>
                <w:szCs w:val="20"/>
                <w:lang w:eastAsia="en-NZ"/>
              </w:rPr>
            </w:pPr>
            <w:r w:rsidRPr="001244BB">
              <w:rPr>
                <w:rFonts w:eastAsia="Times New Roman" w:cstheme="minorHAnsi"/>
                <w:color w:val="000000"/>
                <w:sz w:val="20"/>
                <w:szCs w:val="20"/>
                <w:lang w:eastAsia="en-NZ"/>
              </w:rPr>
              <w:t>≤0.5</w:t>
            </w:r>
            <w:r w:rsidR="005F3580">
              <w:rPr>
                <w:rFonts w:eastAsia="Times New Roman" w:cstheme="minorHAnsi"/>
                <w:color w:val="000000"/>
                <w:sz w:val="20"/>
                <w:szCs w:val="20"/>
                <w:lang w:eastAsia="en-NZ"/>
              </w:rPr>
              <w:t xml:space="preserve"> per km</w:t>
            </w:r>
          </w:p>
        </w:tc>
        <w:tc>
          <w:tcPr>
            <w:tcW w:w="851" w:type="dxa"/>
            <w:tcBorders>
              <w:top w:val="single" w:sz="4" w:space="0" w:color="00B050"/>
              <w:left w:val="single" w:sz="4" w:space="0" w:color="00B050"/>
              <w:bottom w:val="single" w:sz="8" w:space="0" w:color="00B050"/>
              <w:right w:val="single" w:sz="4" w:space="0" w:color="00B050"/>
            </w:tcBorders>
            <w:shd w:val="clear" w:color="auto" w:fill="auto"/>
            <w:hideMark/>
          </w:tcPr>
          <w:p w:rsidR="00030337" w:rsidRPr="001244BB" w:rsidRDefault="00030337" w:rsidP="00030337">
            <w:pPr>
              <w:spacing w:after="0" w:line="240" w:lineRule="auto"/>
              <w:jc w:val="right"/>
              <w:rPr>
                <w:rFonts w:eastAsia="Times New Roman" w:cstheme="minorHAnsi"/>
                <w:color w:val="000000"/>
                <w:sz w:val="20"/>
                <w:szCs w:val="20"/>
                <w:lang w:eastAsia="en-NZ"/>
              </w:rPr>
            </w:pPr>
            <w:r w:rsidRPr="001244BB">
              <w:rPr>
                <w:rFonts w:eastAsia="Times New Roman" w:cstheme="minorHAnsi"/>
                <w:color w:val="000000"/>
                <w:sz w:val="20"/>
                <w:szCs w:val="20"/>
                <w:lang w:eastAsia="en-NZ"/>
              </w:rPr>
              <w:t>96%</w:t>
            </w:r>
          </w:p>
        </w:tc>
        <w:tc>
          <w:tcPr>
            <w:tcW w:w="1134" w:type="dxa"/>
            <w:tcBorders>
              <w:top w:val="single" w:sz="4" w:space="0" w:color="00B050"/>
              <w:left w:val="single" w:sz="4" w:space="0" w:color="00B050"/>
              <w:bottom w:val="single" w:sz="8" w:space="0" w:color="00B050"/>
              <w:right w:val="single" w:sz="4" w:space="0" w:color="00B050"/>
            </w:tcBorders>
            <w:shd w:val="clear" w:color="auto" w:fill="auto"/>
            <w:hideMark/>
          </w:tcPr>
          <w:p w:rsidR="00030337" w:rsidRPr="001244BB" w:rsidRDefault="00030337" w:rsidP="00030337">
            <w:pPr>
              <w:spacing w:after="0" w:line="240" w:lineRule="auto"/>
              <w:jc w:val="right"/>
              <w:rPr>
                <w:rFonts w:eastAsia="Times New Roman" w:cstheme="minorHAnsi"/>
                <w:color w:val="000000"/>
                <w:sz w:val="20"/>
                <w:szCs w:val="20"/>
                <w:lang w:eastAsia="en-NZ"/>
              </w:rPr>
            </w:pPr>
            <w:r w:rsidRPr="001244BB">
              <w:rPr>
                <w:rFonts w:eastAsia="Times New Roman" w:cstheme="minorHAnsi"/>
                <w:color w:val="000000"/>
                <w:sz w:val="20"/>
                <w:szCs w:val="20"/>
                <w:lang w:eastAsia="en-NZ"/>
              </w:rPr>
              <w:t>exceeded</w:t>
            </w:r>
          </w:p>
        </w:tc>
        <w:tc>
          <w:tcPr>
            <w:tcW w:w="4635" w:type="dxa"/>
            <w:tcBorders>
              <w:top w:val="single" w:sz="4" w:space="0" w:color="00B050"/>
              <w:left w:val="single" w:sz="4" w:space="0" w:color="00B050"/>
              <w:bottom w:val="single" w:sz="4" w:space="0" w:color="00B050"/>
              <w:right w:val="nil"/>
            </w:tcBorders>
            <w:shd w:val="clear" w:color="auto" w:fill="auto"/>
            <w:hideMark/>
          </w:tcPr>
          <w:p w:rsidR="00030337" w:rsidRPr="001244BB" w:rsidRDefault="00030337" w:rsidP="00030337">
            <w:pPr>
              <w:spacing w:after="0" w:line="240" w:lineRule="auto"/>
              <w:rPr>
                <w:rFonts w:eastAsia="Times New Roman" w:cstheme="minorHAnsi"/>
                <w:color w:val="000000"/>
                <w:sz w:val="20"/>
                <w:szCs w:val="20"/>
                <w:lang w:eastAsia="en-NZ"/>
              </w:rPr>
            </w:pPr>
            <w:r w:rsidRPr="001244BB">
              <w:rPr>
                <w:rFonts w:eastAsia="Times New Roman" w:cstheme="minorHAnsi"/>
                <w:color w:val="000000"/>
                <w:sz w:val="20"/>
                <w:szCs w:val="20"/>
                <w:lang w:eastAsia="en-NZ"/>
              </w:rPr>
              <w:t>The year ending figure is less than the target due to good operational performance and a low number of blockages in the network.</w:t>
            </w:r>
          </w:p>
        </w:tc>
      </w:tr>
      <w:tr w:rsidR="00030337" w:rsidRPr="001244BB" w:rsidTr="00030337">
        <w:trPr>
          <w:trHeight w:val="510"/>
        </w:trPr>
        <w:tc>
          <w:tcPr>
            <w:tcW w:w="3672" w:type="dxa"/>
            <w:tcBorders>
              <w:top w:val="nil"/>
              <w:left w:val="nil"/>
              <w:bottom w:val="single" w:sz="8" w:space="0" w:color="00B050"/>
              <w:right w:val="single" w:sz="4" w:space="0" w:color="00B050"/>
            </w:tcBorders>
            <w:shd w:val="clear" w:color="auto" w:fill="auto"/>
            <w:hideMark/>
          </w:tcPr>
          <w:p w:rsidR="00030337" w:rsidRPr="001244BB" w:rsidRDefault="00030337" w:rsidP="00030337">
            <w:pPr>
              <w:spacing w:after="0" w:line="240" w:lineRule="auto"/>
              <w:rPr>
                <w:rFonts w:eastAsia="Times New Roman" w:cstheme="minorHAnsi"/>
                <w:color w:val="000000"/>
                <w:sz w:val="20"/>
                <w:szCs w:val="20"/>
                <w:lang w:eastAsia="en-NZ"/>
              </w:rPr>
            </w:pPr>
            <w:r w:rsidRPr="001244BB">
              <w:rPr>
                <w:rFonts w:eastAsia="Times New Roman" w:cstheme="minorHAnsi"/>
                <w:color w:val="000000"/>
                <w:sz w:val="20"/>
                <w:szCs w:val="20"/>
                <w:lang w:eastAsia="en-NZ"/>
              </w:rPr>
              <w:t>Number of habitable floors per 1000 connected homes per flooding event*</w:t>
            </w:r>
          </w:p>
        </w:tc>
        <w:tc>
          <w:tcPr>
            <w:tcW w:w="1140" w:type="dxa"/>
            <w:tcBorders>
              <w:top w:val="single" w:sz="8" w:space="0" w:color="00B050"/>
              <w:left w:val="single" w:sz="4" w:space="0" w:color="00B050"/>
              <w:bottom w:val="single" w:sz="8" w:space="0" w:color="00B050"/>
              <w:right w:val="single" w:sz="4" w:space="0" w:color="00B050"/>
            </w:tcBorders>
            <w:shd w:val="clear" w:color="auto" w:fill="auto"/>
            <w:noWrap/>
            <w:hideMark/>
          </w:tcPr>
          <w:p w:rsidR="00030337" w:rsidRPr="001244BB" w:rsidRDefault="00030337" w:rsidP="00030337">
            <w:pPr>
              <w:spacing w:after="0" w:line="240" w:lineRule="auto"/>
              <w:jc w:val="right"/>
              <w:rPr>
                <w:rFonts w:eastAsia="Times New Roman" w:cstheme="minorHAnsi"/>
                <w:color w:val="000000"/>
                <w:sz w:val="20"/>
                <w:szCs w:val="20"/>
                <w:lang w:eastAsia="en-NZ"/>
              </w:rPr>
            </w:pPr>
            <w:r w:rsidRPr="001244BB">
              <w:rPr>
                <w:rFonts w:eastAsia="Times New Roman" w:cstheme="minorHAnsi"/>
                <w:color w:val="000000"/>
                <w:sz w:val="20"/>
                <w:szCs w:val="20"/>
                <w:lang w:eastAsia="en-NZ"/>
              </w:rPr>
              <w:t>0.11</w:t>
            </w:r>
            <w:r w:rsidR="00B27E9D">
              <w:rPr>
                <w:rFonts w:eastAsia="Times New Roman" w:cstheme="minorHAnsi"/>
                <w:color w:val="000000"/>
                <w:sz w:val="20"/>
                <w:szCs w:val="20"/>
                <w:lang w:eastAsia="en-NZ"/>
              </w:rPr>
              <w:t xml:space="preserve"> per 1000 connected homes</w:t>
            </w:r>
          </w:p>
        </w:tc>
        <w:tc>
          <w:tcPr>
            <w:tcW w:w="1142" w:type="dxa"/>
            <w:gridSpan w:val="2"/>
            <w:tcBorders>
              <w:top w:val="single" w:sz="8" w:space="0" w:color="00B050"/>
              <w:left w:val="single" w:sz="4" w:space="0" w:color="00B050"/>
              <w:bottom w:val="single" w:sz="8" w:space="0" w:color="00B050"/>
              <w:right w:val="single" w:sz="4" w:space="0" w:color="00B050"/>
            </w:tcBorders>
            <w:shd w:val="clear" w:color="auto" w:fill="auto"/>
            <w:noWrap/>
            <w:hideMark/>
          </w:tcPr>
          <w:p w:rsidR="00030337" w:rsidRPr="001244BB" w:rsidRDefault="00030337" w:rsidP="00030337">
            <w:pPr>
              <w:spacing w:after="0" w:line="240" w:lineRule="auto"/>
              <w:jc w:val="right"/>
              <w:rPr>
                <w:rFonts w:eastAsia="Times New Roman" w:cstheme="minorHAnsi"/>
                <w:color w:val="000000"/>
                <w:sz w:val="20"/>
                <w:szCs w:val="20"/>
                <w:lang w:eastAsia="en-NZ"/>
              </w:rPr>
            </w:pPr>
            <w:r w:rsidRPr="001244BB">
              <w:rPr>
                <w:rFonts w:eastAsia="Times New Roman" w:cstheme="minorHAnsi"/>
                <w:color w:val="000000"/>
                <w:sz w:val="20"/>
                <w:szCs w:val="20"/>
                <w:lang w:eastAsia="en-NZ"/>
              </w:rPr>
              <w:t>0.013</w:t>
            </w:r>
            <w:r w:rsidR="00B27E9D">
              <w:rPr>
                <w:rFonts w:eastAsia="Times New Roman" w:cstheme="minorHAnsi"/>
                <w:color w:val="000000"/>
                <w:sz w:val="20"/>
                <w:szCs w:val="20"/>
                <w:lang w:eastAsia="en-NZ"/>
              </w:rPr>
              <w:t xml:space="preserve"> </w:t>
            </w:r>
            <w:r w:rsidR="00B27E9D" w:rsidRPr="00B27E9D">
              <w:rPr>
                <w:rFonts w:eastAsia="Times New Roman" w:cstheme="minorHAnsi"/>
                <w:color w:val="000000"/>
                <w:sz w:val="20"/>
                <w:szCs w:val="20"/>
                <w:lang w:eastAsia="en-NZ"/>
              </w:rPr>
              <w:t>per 1000 connected homes</w:t>
            </w:r>
          </w:p>
        </w:tc>
        <w:tc>
          <w:tcPr>
            <w:tcW w:w="1276" w:type="dxa"/>
            <w:tcBorders>
              <w:top w:val="single" w:sz="8" w:space="0" w:color="00B050"/>
              <w:left w:val="single" w:sz="4" w:space="0" w:color="00B050"/>
              <w:bottom w:val="single" w:sz="8" w:space="0" w:color="00B050"/>
              <w:right w:val="single" w:sz="4" w:space="0" w:color="00B050"/>
            </w:tcBorders>
            <w:shd w:val="clear" w:color="auto" w:fill="auto"/>
            <w:noWrap/>
            <w:hideMark/>
          </w:tcPr>
          <w:p w:rsidR="00030337" w:rsidRPr="001244BB" w:rsidRDefault="00030337" w:rsidP="00030337">
            <w:pPr>
              <w:spacing w:after="0" w:line="240" w:lineRule="auto"/>
              <w:jc w:val="right"/>
              <w:rPr>
                <w:rFonts w:eastAsia="Times New Roman" w:cstheme="minorHAnsi"/>
                <w:color w:val="000000"/>
                <w:sz w:val="20"/>
                <w:szCs w:val="20"/>
                <w:lang w:eastAsia="en-NZ"/>
              </w:rPr>
            </w:pPr>
            <w:r w:rsidRPr="001244BB">
              <w:rPr>
                <w:rFonts w:eastAsia="Times New Roman" w:cstheme="minorHAnsi"/>
                <w:color w:val="000000"/>
                <w:sz w:val="20"/>
                <w:szCs w:val="20"/>
                <w:lang w:eastAsia="en-NZ"/>
              </w:rPr>
              <w:t>0.14</w:t>
            </w:r>
            <w:r w:rsidR="00B27E9D">
              <w:t xml:space="preserve"> </w:t>
            </w:r>
            <w:r w:rsidR="00B27E9D" w:rsidRPr="00B27E9D">
              <w:rPr>
                <w:rFonts w:eastAsia="Times New Roman" w:cstheme="minorHAnsi"/>
                <w:color w:val="000000"/>
                <w:sz w:val="20"/>
                <w:szCs w:val="20"/>
                <w:lang w:eastAsia="en-NZ"/>
              </w:rPr>
              <w:t>per 1000 connected homes</w:t>
            </w:r>
            <w:r w:rsidR="00B27E9D">
              <w:rPr>
                <w:rFonts w:eastAsia="Times New Roman" w:cstheme="minorHAnsi"/>
                <w:color w:val="000000"/>
                <w:sz w:val="20"/>
                <w:szCs w:val="20"/>
                <w:lang w:eastAsia="en-NZ"/>
              </w:rPr>
              <w:t xml:space="preserve"> </w:t>
            </w:r>
          </w:p>
        </w:tc>
        <w:tc>
          <w:tcPr>
            <w:tcW w:w="1134" w:type="dxa"/>
            <w:tcBorders>
              <w:top w:val="single" w:sz="8" w:space="0" w:color="00B050"/>
              <w:left w:val="single" w:sz="4" w:space="0" w:color="00B050"/>
              <w:bottom w:val="single" w:sz="8" w:space="0" w:color="00B050"/>
              <w:right w:val="single" w:sz="4" w:space="0" w:color="00B050"/>
            </w:tcBorders>
            <w:shd w:val="clear" w:color="000000" w:fill="D9D9D9"/>
            <w:hideMark/>
          </w:tcPr>
          <w:p w:rsidR="00030337" w:rsidRPr="001244BB" w:rsidRDefault="00B27E9D" w:rsidP="00030337">
            <w:pPr>
              <w:spacing w:after="0" w:line="240" w:lineRule="auto"/>
              <w:jc w:val="center"/>
              <w:rPr>
                <w:rFonts w:eastAsia="Times New Roman" w:cstheme="minorHAnsi"/>
                <w:color w:val="000000"/>
                <w:sz w:val="20"/>
                <w:szCs w:val="20"/>
                <w:lang w:eastAsia="en-NZ"/>
              </w:rPr>
            </w:pPr>
            <w:r>
              <w:rPr>
                <w:rFonts w:eastAsia="Times New Roman" w:cstheme="minorHAnsi"/>
                <w:color w:val="000000"/>
                <w:sz w:val="20"/>
                <w:szCs w:val="20"/>
                <w:lang w:eastAsia="en-NZ"/>
              </w:rPr>
              <w:t>Trend</w:t>
            </w:r>
          </w:p>
        </w:tc>
        <w:tc>
          <w:tcPr>
            <w:tcW w:w="851" w:type="dxa"/>
            <w:tcBorders>
              <w:top w:val="single" w:sz="8" w:space="0" w:color="00B050"/>
              <w:left w:val="single" w:sz="4" w:space="0" w:color="00B050"/>
              <w:bottom w:val="single" w:sz="8" w:space="0" w:color="00B050"/>
              <w:right w:val="single" w:sz="4" w:space="0" w:color="00B050"/>
            </w:tcBorders>
            <w:shd w:val="clear" w:color="auto" w:fill="auto"/>
            <w:hideMark/>
          </w:tcPr>
          <w:p w:rsidR="00030337" w:rsidRPr="001244BB" w:rsidRDefault="00B27E9D" w:rsidP="00030337">
            <w:pPr>
              <w:spacing w:after="0" w:line="240" w:lineRule="auto"/>
              <w:jc w:val="right"/>
              <w:rPr>
                <w:rFonts w:eastAsia="Times New Roman" w:cstheme="minorHAnsi"/>
                <w:color w:val="000000"/>
                <w:sz w:val="20"/>
                <w:szCs w:val="20"/>
                <w:lang w:eastAsia="en-NZ"/>
              </w:rPr>
            </w:pPr>
            <w:r>
              <w:rPr>
                <w:rFonts w:eastAsia="Times New Roman" w:cstheme="minorHAnsi"/>
                <w:color w:val="000000"/>
                <w:sz w:val="20"/>
                <w:szCs w:val="20"/>
                <w:lang w:eastAsia="en-NZ"/>
              </w:rPr>
              <w:t>-</w:t>
            </w:r>
          </w:p>
        </w:tc>
        <w:tc>
          <w:tcPr>
            <w:tcW w:w="1134" w:type="dxa"/>
            <w:tcBorders>
              <w:top w:val="single" w:sz="8" w:space="0" w:color="00B050"/>
              <w:left w:val="single" w:sz="4" w:space="0" w:color="00B050"/>
              <w:bottom w:val="single" w:sz="8" w:space="0" w:color="00B050"/>
              <w:right w:val="single" w:sz="4" w:space="0" w:color="00B050"/>
            </w:tcBorders>
            <w:shd w:val="clear" w:color="auto" w:fill="auto"/>
          </w:tcPr>
          <w:p w:rsidR="00030337" w:rsidRPr="001244BB" w:rsidRDefault="004A2F47" w:rsidP="00030337">
            <w:pPr>
              <w:spacing w:after="0" w:line="240" w:lineRule="auto"/>
              <w:jc w:val="right"/>
              <w:rPr>
                <w:rFonts w:eastAsia="Times New Roman" w:cstheme="minorHAnsi"/>
                <w:color w:val="FF0000"/>
                <w:sz w:val="20"/>
                <w:szCs w:val="20"/>
                <w:lang w:eastAsia="en-NZ"/>
              </w:rPr>
            </w:pPr>
            <w:r>
              <w:rPr>
                <w:rFonts w:eastAsia="Times New Roman" w:cstheme="minorHAnsi"/>
                <w:color w:val="000000"/>
                <w:sz w:val="20"/>
                <w:szCs w:val="20"/>
                <w:lang w:eastAsia="en-NZ"/>
              </w:rPr>
              <w:t>Within 10%</w:t>
            </w:r>
          </w:p>
        </w:tc>
        <w:tc>
          <w:tcPr>
            <w:tcW w:w="4635" w:type="dxa"/>
            <w:tcBorders>
              <w:top w:val="single" w:sz="4" w:space="0" w:color="00B050"/>
              <w:left w:val="single" w:sz="4" w:space="0" w:color="00B050"/>
              <w:bottom w:val="single" w:sz="4" w:space="0" w:color="00B050"/>
              <w:right w:val="nil"/>
            </w:tcBorders>
            <w:shd w:val="clear" w:color="auto" w:fill="FFFFFF" w:themeFill="background1"/>
          </w:tcPr>
          <w:p w:rsidR="00030337" w:rsidRPr="001244BB" w:rsidRDefault="00030337" w:rsidP="00030337">
            <w:pPr>
              <w:spacing w:after="0" w:line="240" w:lineRule="auto"/>
              <w:rPr>
                <w:rFonts w:eastAsia="Times New Roman" w:cstheme="minorHAnsi"/>
                <w:color w:val="FF0000"/>
                <w:sz w:val="20"/>
                <w:szCs w:val="20"/>
                <w:lang w:eastAsia="en-NZ"/>
              </w:rPr>
            </w:pPr>
          </w:p>
        </w:tc>
      </w:tr>
      <w:tr w:rsidR="00030337" w:rsidRPr="001244BB" w:rsidTr="00030337">
        <w:trPr>
          <w:trHeight w:val="525"/>
        </w:trPr>
        <w:tc>
          <w:tcPr>
            <w:tcW w:w="3672" w:type="dxa"/>
            <w:tcBorders>
              <w:top w:val="nil"/>
              <w:left w:val="nil"/>
              <w:bottom w:val="single" w:sz="8" w:space="0" w:color="00B050"/>
              <w:right w:val="single" w:sz="4" w:space="0" w:color="00B050"/>
            </w:tcBorders>
            <w:shd w:val="clear" w:color="auto" w:fill="auto"/>
            <w:hideMark/>
          </w:tcPr>
          <w:p w:rsidR="00030337" w:rsidRPr="001244BB" w:rsidRDefault="00030337" w:rsidP="00030337">
            <w:pPr>
              <w:spacing w:after="0" w:line="240" w:lineRule="auto"/>
              <w:rPr>
                <w:rFonts w:eastAsia="Times New Roman" w:cstheme="minorHAnsi"/>
                <w:color w:val="000000"/>
                <w:sz w:val="20"/>
                <w:szCs w:val="20"/>
                <w:lang w:eastAsia="en-NZ"/>
              </w:rPr>
            </w:pPr>
            <w:r w:rsidRPr="001244BB">
              <w:rPr>
                <w:rFonts w:eastAsia="Times New Roman" w:cstheme="minorHAnsi"/>
                <w:color w:val="000000"/>
                <w:sz w:val="20"/>
                <w:szCs w:val="20"/>
                <w:lang w:eastAsia="en-NZ"/>
              </w:rPr>
              <w:t>Median response time to attend a flooding event*</w:t>
            </w:r>
            <w:r w:rsidR="005F3580">
              <w:rPr>
                <w:rFonts w:eastAsia="Times New Roman" w:cstheme="minorHAnsi"/>
                <w:color w:val="000000"/>
                <w:sz w:val="20"/>
                <w:szCs w:val="20"/>
                <w:lang w:eastAsia="en-NZ"/>
              </w:rPr>
              <w:t xml:space="preserve"> (minutes)</w:t>
            </w:r>
          </w:p>
        </w:tc>
        <w:tc>
          <w:tcPr>
            <w:tcW w:w="1140" w:type="dxa"/>
            <w:tcBorders>
              <w:top w:val="single" w:sz="8" w:space="0" w:color="00B050"/>
              <w:left w:val="single" w:sz="4" w:space="0" w:color="00B050"/>
              <w:bottom w:val="single" w:sz="8" w:space="0" w:color="00B050"/>
              <w:right w:val="single" w:sz="4" w:space="0" w:color="00B050"/>
            </w:tcBorders>
            <w:shd w:val="clear" w:color="auto" w:fill="auto"/>
            <w:noWrap/>
            <w:hideMark/>
          </w:tcPr>
          <w:p w:rsidR="00030337" w:rsidRPr="001244BB" w:rsidRDefault="00030337" w:rsidP="00030337">
            <w:pPr>
              <w:spacing w:after="0" w:line="240" w:lineRule="auto"/>
              <w:jc w:val="right"/>
              <w:rPr>
                <w:rFonts w:eastAsia="Times New Roman" w:cstheme="minorHAnsi"/>
                <w:color w:val="000000"/>
                <w:sz w:val="20"/>
                <w:szCs w:val="20"/>
                <w:lang w:eastAsia="en-NZ"/>
              </w:rPr>
            </w:pPr>
            <w:r w:rsidRPr="001244BB">
              <w:rPr>
                <w:rFonts w:eastAsia="Times New Roman" w:cstheme="minorHAnsi"/>
                <w:color w:val="000000"/>
                <w:sz w:val="20"/>
                <w:szCs w:val="20"/>
                <w:lang w:eastAsia="en-NZ"/>
              </w:rPr>
              <w:t>57</w:t>
            </w:r>
            <w:r w:rsidR="00B27E9D">
              <w:rPr>
                <w:rFonts w:eastAsia="Times New Roman" w:cstheme="minorHAnsi"/>
                <w:color w:val="000000"/>
                <w:sz w:val="20"/>
                <w:szCs w:val="20"/>
                <w:lang w:eastAsia="en-NZ"/>
              </w:rPr>
              <w:t xml:space="preserve"> minutes</w:t>
            </w:r>
          </w:p>
        </w:tc>
        <w:tc>
          <w:tcPr>
            <w:tcW w:w="1142" w:type="dxa"/>
            <w:gridSpan w:val="2"/>
            <w:tcBorders>
              <w:top w:val="single" w:sz="8" w:space="0" w:color="00B050"/>
              <w:left w:val="single" w:sz="4" w:space="0" w:color="00B050"/>
              <w:bottom w:val="single" w:sz="8" w:space="0" w:color="00B050"/>
              <w:right w:val="single" w:sz="4" w:space="0" w:color="00B050"/>
            </w:tcBorders>
            <w:shd w:val="clear" w:color="auto" w:fill="auto"/>
            <w:noWrap/>
            <w:hideMark/>
          </w:tcPr>
          <w:p w:rsidR="00030337" w:rsidRPr="001244BB" w:rsidRDefault="00030337" w:rsidP="00030337">
            <w:pPr>
              <w:spacing w:after="0" w:line="240" w:lineRule="auto"/>
              <w:jc w:val="right"/>
              <w:rPr>
                <w:rFonts w:eastAsia="Times New Roman" w:cstheme="minorHAnsi"/>
                <w:color w:val="000000"/>
                <w:sz w:val="20"/>
                <w:szCs w:val="20"/>
                <w:lang w:eastAsia="en-NZ"/>
              </w:rPr>
            </w:pPr>
            <w:r w:rsidRPr="001244BB">
              <w:rPr>
                <w:rFonts w:eastAsia="Times New Roman" w:cstheme="minorHAnsi"/>
                <w:color w:val="000000"/>
                <w:sz w:val="20"/>
                <w:szCs w:val="20"/>
                <w:lang w:eastAsia="en-NZ"/>
              </w:rPr>
              <w:t>45</w:t>
            </w:r>
            <w:r w:rsidR="00B27E9D">
              <w:rPr>
                <w:rFonts w:eastAsia="Times New Roman" w:cstheme="minorHAnsi"/>
                <w:color w:val="000000"/>
                <w:sz w:val="20"/>
                <w:szCs w:val="20"/>
                <w:lang w:eastAsia="en-NZ"/>
              </w:rPr>
              <w:t xml:space="preserve"> minutes</w:t>
            </w:r>
          </w:p>
        </w:tc>
        <w:tc>
          <w:tcPr>
            <w:tcW w:w="1276" w:type="dxa"/>
            <w:tcBorders>
              <w:top w:val="single" w:sz="8" w:space="0" w:color="00B050"/>
              <w:left w:val="single" w:sz="4" w:space="0" w:color="00B050"/>
              <w:bottom w:val="single" w:sz="8" w:space="0" w:color="00B050"/>
              <w:right w:val="single" w:sz="4" w:space="0" w:color="00B050"/>
            </w:tcBorders>
            <w:shd w:val="clear" w:color="auto" w:fill="auto"/>
            <w:noWrap/>
            <w:hideMark/>
          </w:tcPr>
          <w:p w:rsidR="00030337" w:rsidRPr="001244BB" w:rsidRDefault="00030337" w:rsidP="00030337">
            <w:pPr>
              <w:spacing w:after="0" w:line="240" w:lineRule="auto"/>
              <w:jc w:val="right"/>
              <w:rPr>
                <w:rFonts w:eastAsia="Times New Roman" w:cstheme="minorHAnsi"/>
                <w:color w:val="000000"/>
                <w:sz w:val="20"/>
                <w:szCs w:val="20"/>
                <w:lang w:eastAsia="en-NZ"/>
              </w:rPr>
            </w:pPr>
            <w:r w:rsidRPr="001244BB">
              <w:rPr>
                <w:rFonts w:eastAsia="Times New Roman" w:cstheme="minorHAnsi"/>
                <w:color w:val="000000"/>
                <w:sz w:val="20"/>
                <w:szCs w:val="20"/>
                <w:lang w:eastAsia="en-NZ"/>
              </w:rPr>
              <w:t>48</w:t>
            </w:r>
            <w:r w:rsidR="005F3580">
              <w:rPr>
                <w:rFonts w:eastAsia="Times New Roman" w:cstheme="minorHAnsi"/>
                <w:color w:val="000000"/>
                <w:sz w:val="20"/>
                <w:szCs w:val="20"/>
                <w:lang w:eastAsia="en-NZ"/>
              </w:rPr>
              <w:t xml:space="preserve"> minutes</w:t>
            </w:r>
          </w:p>
        </w:tc>
        <w:tc>
          <w:tcPr>
            <w:tcW w:w="1134" w:type="dxa"/>
            <w:tcBorders>
              <w:top w:val="single" w:sz="8" w:space="0" w:color="00B050"/>
              <w:left w:val="single" w:sz="4" w:space="0" w:color="00B050"/>
              <w:bottom w:val="single" w:sz="8" w:space="0" w:color="00B050"/>
              <w:right w:val="single" w:sz="4" w:space="0" w:color="00B050"/>
            </w:tcBorders>
            <w:shd w:val="clear" w:color="000000" w:fill="D9D9D9"/>
            <w:noWrap/>
            <w:hideMark/>
          </w:tcPr>
          <w:p w:rsidR="00030337" w:rsidRPr="001244BB" w:rsidRDefault="00030337" w:rsidP="00030337">
            <w:pPr>
              <w:spacing w:after="0" w:line="240" w:lineRule="auto"/>
              <w:jc w:val="right"/>
              <w:rPr>
                <w:rFonts w:eastAsia="Times New Roman" w:cstheme="minorHAnsi"/>
                <w:color w:val="000000"/>
                <w:sz w:val="20"/>
                <w:szCs w:val="20"/>
                <w:lang w:eastAsia="en-NZ"/>
              </w:rPr>
            </w:pPr>
            <w:r w:rsidRPr="001244BB">
              <w:rPr>
                <w:rFonts w:eastAsia="Times New Roman" w:cstheme="minorHAnsi"/>
                <w:color w:val="000000"/>
                <w:sz w:val="20"/>
                <w:szCs w:val="20"/>
                <w:lang w:eastAsia="en-NZ"/>
              </w:rPr>
              <w:t>≤60 minutes</w:t>
            </w:r>
          </w:p>
        </w:tc>
        <w:tc>
          <w:tcPr>
            <w:tcW w:w="851" w:type="dxa"/>
            <w:tcBorders>
              <w:top w:val="single" w:sz="8" w:space="0" w:color="00B050"/>
              <w:left w:val="single" w:sz="4" w:space="0" w:color="00B050"/>
              <w:bottom w:val="single" w:sz="8" w:space="0" w:color="00B050"/>
              <w:right w:val="single" w:sz="4" w:space="0" w:color="00B050"/>
            </w:tcBorders>
            <w:shd w:val="clear" w:color="auto" w:fill="auto"/>
            <w:hideMark/>
          </w:tcPr>
          <w:p w:rsidR="00030337" w:rsidRPr="001244BB" w:rsidRDefault="00030337" w:rsidP="00030337">
            <w:pPr>
              <w:spacing w:after="0" w:line="240" w:lineRule="auto"/>
              <w:jc w:val="right"/>
              <w:rPr>
                <w:rFonts w:eastAsia="Times New Roman" w:cstheme="minorHAnsi"/>
                <w:color w:val="000000"/>
                <w:sz w:val="20"/>
                <w:szCs w:val="20"/>
                <w:lang w:eastAsia="en-NZ"/>
              </w:rPr>
            </w:pPr>
            <w:r w:rsidRPr="001244BB">
              <w:rPr>
                <w:rFonts w:eastAsia="Times New Roman" w:cstheme="minorHAnsi"/>
                <w:color w:val="000000"/>
                <w:sz w:val="20"/>
                <w:szCs w:val="20"/>
                <w:lang w:eastAsia="en-NZ"/>
              </w:rPr>
              <w:t>20%</w:t>
            </w:r>
          </w:p>
        </w:tc>
        <w:tc>
          <w:tcPr>
            <w:tcW w:w="1134" w:type="dxa"/>
            <w:tcBorders>
              <w:top w:val="single" w:sz="8" w:space="0" w:color="00B050"/>
              <w:left w:val="single" w:sz="4" w:space="0" w:color="00B050"/>
              <w:bottom w:val="single" w:sz="8" w:space="0" w:color="00B050"/>
              <w:right w:val="single" w:sz="4" w:space="0" w:color="00B050"/>
            </w:tcBorders>
            <w:shd w:val="clear" w:color="auto" w:fill="auto"/>
            <w:noWrap/>
            <w:hideMark/>
          </w:tcPr>
          <w:p w:rsidR="00030337" w:rsidRPr="001244BB" w:rsidRDefault="00030337" w:rsidP="00030337">
            <w:pPr>
              <w:spacing w:after="0" w:line="240" w:lineRule="auto"/>
              <w:jc w:val="right"/>
              <w:rPr>
                <w:rFonts w:eastAsia="Times New Roman" w:cstheme="minorHAnsi"/>
                <w:color w:val="000000"/>
                <w:sz w:val="20"/>
                <w:szCs w:val="20"/>
                <w:lang w:eastAsia="en-NZ"/>
              </w:rPr>
            </w:pPr>
            <w:r w:rsidRPr="001244BB">
              <w:rPr>
                <w:rFonts w:eastAsia="Times New Roman" w:cstheme="minorHAnsi"/>
                <w:color w:val="000000"/>
                <w:sz w:val="20"/>
                <w:szCs w:val="20"/>
                <w:lang w:eastAsia="en-NZ"/>
              </w:rPr>
              <w:t>exceeded</w:t>
            </w:r>
          </w:p>
        </w:tc>
        <w:tc>
          <w:tcPr>
            <w:tcW w:w="4635" w:type="dxa"/>
            <w:tcBorders>
              <w:top w:val="single" w:sz="4" w:space="0" w:color="00B050"/>
              <w:left w:val="single" w:sz="4" w:space="0" w:color="00B050"/>
              <w:bottom w:val="single" w:sz="4" w:space="0" w:color="00B050"/>
              <w:right w:val="nil"/>
            </w:tcBorders>
            <w:shd w:val="clear" w:color="auto" w:fill="auto"/>
            <w:hideMark/>
          </w:tcPr>
          <w:p w:rsidR="00030337" w:rsidRPr="001244BB" w:rsidRDefault="00030337" w:rsidP="00B27E9D">
            <w:pPr>
              <w:spacing w:after="0" w:line="240" w:lineRule="auto"/>
              <w:rPr>
                <w:rFonts w:eastAsia="Times New Roman" w:cstheme="minorHAnsi"/>
                <w:color w:val="000000"/>
                <w:sz w:val="20"/>
                <w:szCs w:val="20"/>
                <w:lang w:eastAsia="en-NZ"/>
              </w:rPr>
            </w:pPr>
            <w:r w:rsidRPr="001244BB">
              <w:rPr>
                <w:rFonts w:eastAsia="Times New Roman" w:cstheme="minorHAnsi"/>
                <w:color w:val="000000"/>
                <w:sz w:val="20"/>
                <w:szCs w:val="20"/>
                <w:lang w:eastAsia="en-NZ"/>
              </w:rPr>
              <w:t xml:space="preserve">The year ending figure is less than the target due to </w:t>
            </w:r>
            <w:r w:rsidR="00B27E9D">
              <w:rPr>
                <w:rFonts w:eastAsia="Times New Roman" w:cstheme="minorHAnsi"/>
                <w:color w:val="000000"/>
                <w:sz w:val="20"/>
                <w:szCs w:val="20"/>
                <w:lang w:eastAsia="en-NZ"/>
              </w:rPr>
              <w:t xml:space="preserve">solid performance of </w:t>
            </w:r>
            <w:r w:rsidRPr="001244BB">
              <w:rPr>
                <w:rFonts w:eastAsia="Times New Roman" w:cstheme="minorHAnsi"/>
                <w:color w:val="000000"/>
                <w:sz w:val="20"/>
                <w:szCs w:val="20"/>
                <w:lang w:eastAsia="en-NZ"/>
              </w:rPr>
              <w:t>our maintenance contractor</w:t>
            </w:r>
            <w:r w:rsidR="00B27E9D">
              <w:rPr>
                <w:rFonts w:eastAsia="Times New Roman" w:cstheme="minorHAnsi"/>
                <w:color w:val="000000"/>
                <w:sz w:val="20"/>
                <w:szCs w:val="20"/>
                <w:lang w:eastAsia="en-NZ"/>
              </w:rPr>
              <w:t>.</w:t>
            </w:r>
            <w:r w:rsidRPr="001244BB">
              <w:rPr>
                <w:rFonts w:eastAsia="Times New Roman" w:cstheme="minorHAnsi"/>
                <w:color w:val="000000"/>
                <w:sz w:val="20"/>
                <w:szCs w:val="20"/>
                <w:lang w:eastAsia="en-NZ"/>
              </w:rPr>
              <w:t xml:space="preserve"> </w:t>
            </w:r>
          </w:p>
        </w:tc>
      </w:tr>
      <w:tr w:rsidR="00030337" w:rsidRPr="001244BB" w:rsidTr="00030337">
        <w:trPr>
          <w:trHeight w:val="314"/>
        </w:trPr>
        <w:tc>
          <w:tcPr>
            <w:tcW w:w="3672" w:type="dxa"/>
            <w:tcBorders>
              <w:top w:val="single" w:sz="8" w:space="0" w:color="00B050"/>
              <w:left w:val="nil"/>
              <w:bottom w:val="single" w:sz="8" w:space="0" w:color="00B050"/>
              <w:right w:val="single" w:sz="4" w:space="0" w:color="00B050"/>
            </w:tcBorders>
            <w:shd w:val="clear" w:color="auto" w:fill="auto"/>
            <w:hideMark/>
          </w:tcPr>
          <w:p w:rsidR="00030337" w:rsidRPr="001244BB" w:rsidRDefault="00030337" w:rsidP="00030337">
            <w:pPr>
              <w:spacing w:after="0" w:line="240" w:lineRule="auto"/>
              <w:rPr>
                <w:rFonts w:eastAsia="Times New Roman" w:cstheme="minorHAnsi"/>
                <w:color w:val="000000"/>
                <w:sz w:val="20"/>
                <w:szCs w:val="20"/>
                <w:lang w:eastAsia="en-NZ"/>
              </w:rPr>
            </w:pPr>
            <w:r w:rsidRPr="001244BB">
              <w:rPr>
                <w:rFonts w:eastAsia="Times New Roman" w:cstheme="minorHAnsi"/>
                <w:color w:val="000000"/>
                <w:sz w:val="20"/>
                <w:szCs w:val="20"/>
                <w:lang w:eastAsia="en-NZ"/>
              </w:rPr>
              <w:t xml:space="preserve">Days (%) during the bathing season (1 November to 31 March) that the </w:t>
            </w:r>
            <w:r w:rsidRPr="001244BB">
              <w:rPr>
                <w:rFonts w:eastAsia="Times New Roman" w:cstheme="minorHAnsi"/>
                <w:color w:val="000000"/>
                <w:sz w:val="20"/>
                <w:szCs w:val="20"/>
                <w:lang w:eastAsia="en-NZ"/>
              </w:rPr>
              <w:lastRenderedPageBreak/>
              <w:t>monitored beaches are suitable for recreational use</w:t>
            </w:r>
          </w:p>
        </w:tc>
        <w:tc>
          <w:tcPr>
            <w:tcW w:w="1140" w:type="dxa"/>
            <w:tcBorders>
              <w:top w:val="single" w:sz="8" w:space="0" w:color="00B050"/>
              <w:left w:val="single" w:sz="4" w:space="0" w:color="00B050"/>
              <w:bottom w:val="single" w:sz="8" w:space="0" w:color="00B050"/>
              <w:right w:val="single" w:sz="4" w:space="0" w:color="00B050"/>
            </w:tcBorders>
            <w:shd w:val="clear" w:color="auto" w:fill="auto"/>
            <w:noWrap/>
            <w:hideMark/>
          </w:tcPr>
          <w:p w:rsidR="00030337" w:rsidRPr="001244BB" w:rsidRDefault="00030337" w:rsidP="00030337">
            <w:pPr>
              <w:spacing w:after="0" w:line="240" w:lineRule="auto"/>
              <w:jc w:val="right"/>
              <w:rPr>
                <w:rFonts w:eastAsia="Times New Roman" w:cstheme="minorHAnsi"/>
                <w:color w:val="000000"/>
                <w:sz w:val="20"/>
                <w:szCs w:val="20"/>
                <w:lang w:eastAsia="en-NZ"/>
              </w:rPr>
            </w:pPr>
            <w:r w:rsidRPr="001244BB">
              <w:rPr>
                <w:rFonts w:eastAsia="Times New Roman" w:cstheme="minorHAnsi"/>
                <w:color w:val="000000"/>
                <w:sz w:val="20"/>
                <w:szCs w:val="20"/>
                <w:lang w:eastAsia="en-NZ"/>
              </w:rPr>
              <w:lastRenderedPageBreak/>
              <w:t>99.9%</w:t>
            </w:r>
          </w:p>
        </w:tc>
        <w:tc>
          <w:tcPr>
            <w:tcW w:w="1142" w:type="dxa"/>
            <w:gridSpan w:val="2"/>
            <w:tcBorders>
              <w:top w:val="single" w:sz="8" w:space="0" w:color="00B050"/>
              <w:left w:val="single" w:sz="4" w:space="0" w:color="00B050"/>
              <w:bottom w:val="single" w:sz="8" w:space="0" w:color="00B050"/>
              <w:right w:val="single" w:sz="4" w:space="0" w:color="00B050"/>
            </w:tcBorders>
            <w:shd w:val="clear" w:color="auto" w:fill="auto"/>
            <w:noWrap/>
            <w:hideMark/>
          </w:tcPr>
          <w:p w:rsidR="00030337" w:rsidRPr="001244BB" w:rsidRDefault="00030337" w:rsidP="00030337">
            <w:pPr>
              <w:spacing w:after="0" w:line="240" w:lineRule="auto"/>
              <w:jc w:val="right"/>
              <w:rPr>
                <w:rFonts w:eastAsia="Times New Roman" w:cstheme="minorHAnsi"/>
                <w:color w:val="000000"/>
                <w:sz w:val="20"/>
                <w:szCs w:val="20"/>
                <w:lang w:eastAsia="en-NZ"/>
              </w:rPr>
            </w:pPr>
            <w:r w:rsidRPr="001244BB">
              <w:rPr>
                <w:rFonts w:eastAsia="Times New Roman" w:cstheme="minorHAnsi"/>
                <w:color w:val="000000"/>
                <w:sz w:val="20"/>
                <w:szCs w:val="20"/>
                <w:lang w:eastAsia="en-NZ"/>
              </w:rPr>
              <w:t>100.0%</w:t>
            </w:r>
          </w:p>
        </w:tc>
        <w:tc>
          <w:tcPr>
            <w:tcW w:w="1276" w:type="dxa"/>
            <w:tcBorders>
              <w:top w:val="single" w:sz="8" w:space="0" w:color="00B050"/>
              <w:left w:val="single" w:sz="4" w:space="0" w:color="00B050"/>
              <w:bottom w:val="single" w:sz="8" w:space="0" w:color="00B050"/>
              <w:right w:val="single" w:sz="4" w:space="0" w:color="00B050"/>
            </w:tcBorders>
            <w:shd w:val="clear" w:color="auto" w:fill="auto"/>
            <w:noWrap/>
            <w:hideMark/>
          </w:tcPr>
          <w:p w:rsidR="00030337" w:rsidRPr="001244BB" w:rsidRDefault="00030337" w:rsidP="00030337">
            <w:pPr>
              <w:spacing w:after="0" w:line="240" w:lineRule="auto"/>
              <w:jc w:val="right"/>
              <w:rPr>
                <w:rFonts w:eastAsia="Times New Roman" w:cstheme="minorHAnsi"/>
                <w:color w:val="000000"/>
                <w:sz w:val="20"/>
                <w:szCs w:val="20"/>
                <w:lang w:eastAsia="en-NZ"/>
              </w:rPr>
            </w:pPr>
            <w:r w:rsidRPr="001244BB">
              <w:rPr>
                <w:rFonts w:eastAsia="Times New Roman" w:cstheme="minorHAnsi"/>
                <w:color w:val="000000"/>
                <w:sz w:val="20"/>
                <w:szCs w:val="20"/>
                <w:lang w:eastAsia="en-NZ"/>
              </w:rPr>
              <w:t>99.8%</w:t>
            </w:r>
          </w:p>
        </w:tc>
        <w:tc>
          <w:tcPr>
            <w:tcW w:w="1134" w:type="dxa"/>
            <w:tcBorders>
              <w:top w:val="single" w:sz="8" w:space="0" w:color="00B050"/>
              <w:left w:val="single" w:sz="4" w:space="0" w:color="00B050"/>
              <w:bottom w:val="single" w:sz="8" w:space="0" w:color="00B050"/>
              <w:right w:val="single" w:sz="4" w:space="0" w:color="00B050"/>
            </w:tcBorders>
            <w:shd w:val="clear" w:color="000000" w:fill="D9D9D9"/>
            <w:hideMark/>
          </w:tcPr>
          <w:p w:rsidR="00030337" w:rsidRPr="001244BB" w:rsidRDefault="00030337" w:rsidP="00030337">
            <w:pPr>
              <w:spacing w:after="0" w:line="240" w:lineRule="auto"/>
              <w:jc w:val="right"/>
              <w:rPr>
                <w:rFonts w:eastAsia="Times New Roman" w:cstheme="minorHAnsi"/>
                <w:color w:val="000000"/>
                <w:sz w:val="20"/>
                <w:szCs w:val="20"/>
                <w:lang w:eastAsia="en-NZ"/>
              </w:rPr>
            </w:pPr>
            <w:r w:rsidRPr="001244BB">
              <w:rPr>
                <w:rFonts w:eastAsia="Times New Roman" w:cstheme="minorHAnsi"/>
                <w:color w:val="000000"/>
                <w:sz w:val="20"/>
                <w:szCs w:val="20"/>
                <w:lang w:eastAsia="en-NZ"/>
              </w:rPr>
              <w:t>90%</w:t>
            </w:r>
          </w:p>
        </w:tc>
        <w:tc>
          <w:tcPr>
            <w:tcW w:w="851" w:type="dxa"/>
            <w:tcBorders>
              <w:top w:val="single" w:sz="8" w:space="0" w:color="00B050"/>
              <w:left w:val="single" w:sz="4" w:space="0" w:color="00B050"/>
              <w:bottom w:val="single" w:sz="8" w:space="0" w:color="00B050"/>
              <w:right w:val="single" w:sz="4" w:space="0" w:color="00B050"/>
            </w:tcBorders>
            <w:shd w:val="clear" w:color="auto" w:fill="auto"/>
            <w:hideMark/>
          </w:tcPr>
          <w:p w:rsidR="00030337" w:rsidRPr="001244BB" w:rsidRDefault="00030337" w:rsidP="00030337">
            <w:pPr>
              <w:spacing w:after="0" w:line="240" w:lineRule="auto"/>
              <w:jc w:val="right"/>
              <w:rPr>
                <w:rFonts w:eastAsia="Times New Roman" w:cstheme="minorHAnsi"/>
                <w:color w:val="000000"/>
                <w:sz w:val="20"/>
                <w:szCs w:val="20"/>
                <w:lang w:eastAsia="en-NZ"/>
              </w:rPr>
            </w:pPr>
            <w:r w:rsidRPr="001244BB">
              <w:rPr>
                <w:rFonts w:eastAsia="Times New Roman" w:cstheme="minorHAnsi"/>
                <w:color w:val="000000"/>
                <w:sz w:val="20"/>
                <w:szCs w:val="20"/>
                <w:lang w:eastAsia="en-NZ"/>
              </w:rPr>
              <w:t>11%</w:t>
            </w:r>
          </w:p>
        </w:tc>
        <w:tc>
          <w:tcPr>
            <w:tcW w:w="1134" w:type="dxa"/>
            <w:tcBorders>
              <w:top w:val="single" w:sz="8" w:space="0" w:color="00B050"/>
              <w:left w:val="single" w:sz="4" w:space="0" w:color="00B050"/>
              <w:bottom w:val="single" w:sz="8" w:space="0" w:color="00B050"/>
              <w:right w:val="single" w:sz="4" w:space="0" w:color="00B050"/>
            </w:tcBorders>
            <w:shd w:val="clear" w:color="auto" w:fill="auto"/>
            <w:hideMark/>
          </w:tcPr>
          <w:p w:rsidR="00030337" w:rsidRPr="001244BB" w:rsidRDefault="00030337" w:rsidP="00030337">
            <w:pPr>
              <w:spacing w:after="0" w:line="240" w:lineRule="auto"/>
              <w:jc w:val="right"/>
              <w:rPr>
                <w:rFonts w:eastAsia="Times New Roman" w:cstheme="minorHAnsi"/>
                <w:color w:val="000000"/>
                <w:sz w:val="20"/>
                <w:szCs w:val="20"/>
                <w:lang w:eastAsia="en-NZ"/>
              </w:rPr>
            </w:pPr>
            <w:r w:rsidRPr="001244BB">
              <w:rPr>
                <w:rFonts w:eastAsia="Times New Roman" w:cstheme="minorHAnsi"/>
                <w:color w:val="000000"/>
                <w:sz w:val="20"/>
                <w:szCs w:val="20"/>
                <w:lang w:eastAsia="en-NZ"/>
              </w:rPr>
              <w:t>exceeded</w:t>
            </w:r>
          </w:p>
        </w:tc>
        <w:tc>
          <w:tcPr>
            <w:tcW w:w="4635" w:type="dxa"/>
            <w:tcBorders>
              <w:top w:val="single" w:sz="4" w:space="0" w:color="00B050"/>
              <w:left w:val="single" w:sz="4" w:space="0" w:color="00B050"/>
              <w:bottom w:val="single" w:sz="4" w:space="0" w:color="00B050"/>
              <w:right w:val="nil"/>
            </w:tcBorders>
            <w:shd w:val="clear" w:color="auto" w:fill="auto"/>
            <w:hideMark/>
          </w:tcPr>
          <w:p w:rsidR="00030337" w:rsidRPr="001244BB" w:rsidRDefault="00030337" w:rsidP="00030337">
            <w:pPr>
              <w:spacing w:after="0" w:line="240" w:lineRule="auto"/>
              <w:rPr>
                <w:rFonts w:eastAsia="Times New Roman" w:cstheme="minorHAnsi"/>
                <w:color w:val="000000"/>
                <w:sz w:val="20"/>
                <w:szCs w:val="20"/>
                <w:lang w:eastAsia="en-NZ"/>
              </w:rPr>
            </w:pPr>
            <w:r w:rsidRPr="001244BB">
              <w:rPr>
                <w:rFonts w:eastAsia="Times New Roman" w:cstheme="minorHAnsi"/>
                <w:color w:val="000000"/>
                <w:sz w:val="20"/>
                <w:szCs w:val="20"/>
                <w:lang w:eastAsia="en-NZ"/>
              </w:rPr>
              <w:t xml:space="preserve">The year ending figure indicates that the monitoring programme has not detected issues </w:t>
            </w:r>
            <w:r w:rsidRPr="001244BB">
              <w:rPr>
                <w:rFonts w:eastAsia="Times New Roman" w:cstheme="minorHAnsi"/>
                <w:color w:val="000000"/>
                <w:sz w:val="20"/>
                <w:szCs w:val="20"/>
                <w:lang w:eastAsia="en-NZ"/>
              </w:rPr>
              <w:lastRenderedPageBreak/>
              <w:t>affecting recreational use of beaches</w:t>
            </w:r>
            <w:r w:rsidR="00145BEF">
              <w:rPr>
                <w:rFonts w:eastAsia="Times New Roman" w:cstheme="minorHAnsi"/>
                <w:color w:val="000000"/>
                <w:sz w:val="20"/>
                <w:szCs w:val="20"/>
                <w:lang w:eastAsia="en-NZ"/>
              </w:rPr>
              <w:t>.</w:t>
            </w:r>
          </w:p>
          <w:p w:rsidR="00030337" w:rsidRPr="001244BB" w:rsidRDefault="00030337" w:rsidP="00030337">
            <w:pPr>
              <w:spacing w:after="0" w:line="240" w:lineRule="auto"/>
              <w:rPr>
                <w:rFonts w:eastAsia="Times New Roman" w:cstheme="minorHAnsi"/>
                <w:color w:val="000000"/>
                <w:sz w:val="20"/>
                <w:szCs w:val="20"/>
                <w:lang w:eastAsia="en-NZ"/>
              </w:rPr>
            </w:pPr>
          </w:p>
        </w:tc>
      </w:tr>
      <w:tr w:rsidR="00030337" w:rsidRPr="001244BB" w:rsidTr="00030337">
        <w:trPr>
          <w:trHeight w:val="2310"/>
        </w:trPr>
        <w:tc>
          <w:tcPr>
            <w:tcW w:w="3672" w:type="dxa"/>
            <w:tcBorders>
              <w:top w:val="single" w:sz="8" w:space="0" w:color="00B050"/>
              <w:left w:val="nil"/>
              <w:bottom w:val="single" w:sz="8" w:space="0" w:color="00B050"/>
              <w:right w:val="single" w:sz="4" w:space="0" w:color="00B050"/>
            </w:tcBorders>
            <w:shd w:val="clear" w:color="auto" w:fill="auto"/>
            <w:hideMark/>
          </w:tcPr>
          <w:p w:rsidR="00030337" w:rsidRPr="001244BB" w:rsidRDefault="00030337" w:rsidP="00CC5A44">
            <w:pPr>
              <w:spacing w:after="0" w:line="240" w:lineRule="auto"/>
              <w:rPr>
                <w:rFonts w:eastAsia="Times New Roman" w:cstheme="minorHAnsi"/>
                <w:color w:val="000000"/>
                <w:sz w:val="20"/>
                <w:szCs w:val="20"/>
                <w:lang w:eastAsia="en-NZ"/>
              </w:rPr>
            </w:pPr>
            <w:r w:rsidRPr="001244BB">
              <w:rPr>
                <w:rFonts w:eastAsia="Times New Roman" w:cstheme="minorHAnsi"/>
                <w:color w:val="000000"/>
                <w:sz w:val="20"/>
                <w:szCs w:val="20"/>
                <w:lang w:eastAsia="en-NZ"/>
              </w:rPr>
              <w:lastRenderedPageBreak/>
              <w:t xml:space="preserve">Monitored sites (%) that have a rolling </w:t>
            </w:r>
            <w:r w:rsidR="00145BEF" w:rsidRPr="001244BB">
              <w:rPr>
                <w:rFonts w:eastAsia="Times New Roman" w:cstheme="minorHAnsi"/>
                <w:color w:val="000000"/>
                <w:sz w:val="20"/>
                <w:szCs w:val="20"/>
                <w:lang w:eastAsia="en-NZ"/>
              </w:rPr>
              <w:t>12</w:t>
            </w:r>
            <w:r w:rsidR="00145BEF">
              <w:rPr>
                <w:rFonts w:eastAsia="Times New Roman" w:cstheme="minorHAnsi"/>
                <w:color w:val="000000"/>
                <w:sz w:val="20"/>
                <w:szCs w:val="20"/>
                <w:lang w:eastAsia="en-NZ"/>
              </w:rPr>
              <w:t>-</w:t>
            </w:r>
            <w:r w:rsidR="00CC5A44">
              <w:rPr>
                <w:rFonts w:eastAsia="Times New Roman" w:cstheme="minorHAnsi"/>
                <w:color w:val="000000"/>
                <w:sz w:val="20"/>
                <w:szCs w:val="20"/>
                <w:lang w:eastAsia="en-NZ"/>
              </w:rPr>
              <w:t>month median value for</w:t>
            </w:r>
            <w:r w:rsidRPr="001244BB">
              <w:rPr>
                <w:rFonts w:eastAsia="Times New Roman" w:cstheme="minorHAnsi"/>
                <w:color w:val="000000"/>
                <w:sz w:val="20"/>
                <w:szCs w:val="20"/>
                <w:lang w:eastAsia="en-NZ"/>
              </w:rPr>
              <w:t xml:space="preserve"> (dry weather samples) that do not exceed 1000 cfu/100ml</w:t>
            </w:r>
          </w:p>
        </w:tc>
        <w:tc>
          <w:tcPr>
            <w:tcW w:w="1140" w:type="dxa"/>
            <w:tcBorders>
              <w:top w:val="single" w:sz="8" w:space="0" w:color="00B050"/>
              <w:left w:val="single" w:sz="4" w:space="0" w:color="00B050"/>
              <w:bottom w:val="single" w:sz="8" w:space="0" w:color="00B050"/>
              <w:right w:val="single" w:sz="4" w:space="0" w:color="00B050"/>
            </w:tcBorders>
            <w:shd w:val="clear" w:color="auto" w:fill="auto"/>
            <w:noWrap/>
            <w:hideMark/>
          </w:tcPr>
          <w:p w:rsidR="00030337" w:rsidRPr="001244BB" w:rsidRDefault="00030337" w:rsidP="00030337">
            <w:pPr>
              <w:spacing w:after="0" w:line="240" w:lineRule="auto"/>
              <w:jc w:val="right"/>
              <w:rPr>
                <w:rFonts w:eastAsia="Times New Roman" w:cstheme="minorHAnsi"/>
                <w:color w:val="000000"/>
                <w:sz w:val="20"/>
                <w:szCs w:val="20"/>
                <w:lang w:eastAsia="en-NZ"/>
              </w:rPr>
            </w:pPr>
            <w:r w:rsidRPr="001244BB">
              <w:rPr>
                <w:rFonts w:eastAsia="Times New Roman" w:cstheme="minorHAnsi"/>
                <w:color w:val="000000"/>
                <w:sz w:val="20"/>
                <w:szCs w:val="20"/>
                <w:lang w:eastAsia="en-NZ"/>
              </w:rPr>
              <w:t>96%</w:t>
            </w:r>
          </w:p>
        </w:tc>
        <w:tc>
          <w:tcPr>
            <w:tcW w:w="1142" w:type="dxa"/>
            <w:gridSpan w:val="2"/>
            <w:tcBorders>
              <w:top w:val="single" w:sz="8" w:space="0" w:color="00B050"/>
              <w:left w:val="single" w:sz="4" w:space="0" w:color="00B050"/>
              <w:bottom w:val="single" w:sz="8" w:space="0" w:color="00B050"/>
              <w:right w:val="single" w:sz="4" w:space="0" w:color="00B050"/>
            </w:tcBorders>
            <w:shd w:val="clear" w:color="auto" w:fill="auto"/>
            <w:noWrap/>
            <w:hideMark/>
          </w:tcPr>
          <w:p w:rsidR="00030337" w:rsidRPr="001244BB" w:rsidRDefault="00030337" w:rsidP="00030337">
            <w:pPr>
              <w:spacing w:after="0" w:line="240" w:lineRule="auto"/>
              <w:jc w:val="right"/>
              <w:rPr>
                <w:rFonts w:eastAsia="Times New Roman" w:cstheme="minorHAnsi"/>
                <w:color w:val="000000"/>
                <w:sz w:val="20"/>
                <w:szCs w:val="20"/>
                <w:lang w:eastAsia="en-NZ"/>
              </w:rPr>
            </w:pPr>
            <w:r w:rsidRPr="001244BB">
              <w:rPr>
                <w:rFonts w:eastAsia="Times New Roman" w:cstheme="minorHAnsi"/>
                <w:color w:val="000000"/>
                <w:sz w:val="20"/>
                <w:szCs w:val="20"/>
                <w:lang w:eastAsia="en-NZ"/>
              </w:rPr>
              <w:t>93%</w:t>
            </w:r>
          </w:p>
        </w:tc>
        <w:tc>
          <w:tcPr>
            <w:tcW w:w="1276" w:type="dxa"/>
            <w:tcBorders>
              <w:top w:val="single" w:sz="8" w:space="0" w:color="00B050"/>
              <w:left w:val="single" w:sz="4" w:space="0" w:color="00B050"/>
              <w:bottom w:val="single" w:sz="8" w:space="0" w:color="00B050"/>
              <w:right w:val="single" w:sz="4" w:space="0" w:color="00B050"/>
            </w:tcBorders>
            <w:shd w:val="clear" w:color="auto" w:fill="auto"/>
            <w:noWrap/>
            <w:hideMark/>
          </w:tcPr>
          <w:p w:rsidR="00030337" w:rsidRPr="001244BB" w:rsidRDefault="00030337" w:rsidP="00030337">
            <w:pPr>
              <w:spacing w:after="0" w:line="240" w:lineRule="auto"/>
              <w:jc w:val="right"/>
              <w:rPr>
                <w:rFonts w:eastAsia="Times New Roman" w:cstheme="minorHAnsi"/>
                <w:color w:val="000000"/>
                <w:sz w:val="20"/>
                <w:szCs w:val="20"/>
                <w:lang w:eastAsia="en-NZ"/>
              </w:rPr>
            </w:pPr>
            <w:r w:rsidRPr="001244BB">
              <w:rPr>
                <w:rFonts w:eastAsia="Times New Roman" w:cstheme="minorHAnsi"/>
                <w:color w:val="000000"/>
                <w:sz w:val="20"/>
                <w:szCs w:val="20"/>
                <w:lang w:eastAsia="en-NZ"/>
              </w:rPr>
              <w:t>78%</w:t>
            </w:r>
          </w:p>
        </w:tc>
        <w:tc>
          <w:tcPr>
            <w:tcW w:w="1134" w:type="dxa"/>
            <w:tcBorders>
              <w:top w:val="single" w:sz="8" w:space="0" w:color="00B050"/>
              <w:left w:val="single" w:sz="4" w:space="0" w:color="00B050"/>
              <w:bottom w:val="single" w:sz="8" w:space="0" w:color="00B050"/>
              <w:right w:val="single" w:sz="4" w:space="0" w:color="00B050"/>
            </w:tcBorders>
            <w:shd w:val="clear" w:color="000000" w:fill="D9D9D9"/>
            <w:hideMark/>
          </w:tcPr>
          <w:p w:rsidR="00030337" w:rsidRPr="001244BB" w:rsidRDefault="00030337" w:rsidP="00030337">
            <w:pPr>
              <w:spacing w:after="0" w:line="240" w:lineRule="auto"/>
              <w:jc w:val="right"/>
              <w:rPr>
                <w:rFonts w:eastAsia="Times New Roman" w:cstheme="minorHAnsi"/>
                <w:color w:val="000000"/>
                <w:sz w:val="20"/>
                <w:szCs w:val="20"/>
                <w:lang w:eastAsia="en-NZ"/>
              </w:rPr>
            </w:pPr>
            <w:r w:rsidRPr="001244BB">
              <w:rPr>
                <w:rFonts w:eastAsia="Times New Roman" w:cstheme="minorHAnsi"/>
                <w:color w:val="000000"/>
                <w:sz w:val="20"/>
                <w:szCs w:val="20"/>
                <w:lang w:eastAsia="en-NZ"/>
              </w:rPr>
              <w:t>90%</w:t>
            </w:r>
          </w:p>
        </w:tc>
        <w:tc>
          <w:tcPr>
            <w:tcW w:w="851" w:type="dxa"/>
            <w:tcBorders>
              <w:top w:val="single" w:sz="8" w:space="0" w:color="00B050"/>
              <w:left w:val="single" w:sz="4" w:space="0" w:color="00B050"/>
              <w:bottom w:val="single" w:sz="8" w:space="0" w:color="00B050"/>
              <w:right w:val="single" w:sz="4" w:space="0" w:color="00B050"/>
            </w:tcBorders>
            <w:shd w:val="clear" w:color="auto" w:fill="auto"/>
            <w:hideMark/>
          </w:tcPr>
          <w:p w:rsidR="00030337" w:rsidRPr="001244BB" w:rsidRDefault="00030337" w:rsidP="00030337">
            <w:pPr>
              <w:spacing w:after="0" w:line="240" w:lineRule="auto"/>
              <w:jc w:val="right"/>
              <w:rPr>
                <w:rFonts w:eastAsia="Times New Roman" w:cstheme="minorHAnsi"/>
                <w:sz w:val="20"/>
                <w:szCs w:val="20"/>
                <w:lang w:eastAsia="en-NZ"/>
              </w:rPr>
            </w:pPr>
            <w:r w:rsidRPr="001244BB">
              <w:rPr>
                <w:rFonts w:eastAsia="Times New Roman" w:cstheme="minorHAnsi"/>
                <w:sz w:val="20"/>
                <w:szCs w:val="20"/>
                <w:lang w:eastAsia="en-NZ"/>
              </w:rPr>
              <w:t>-13%</w:t>
            </w:r>
          </w:p>
        </w:tc>
        <w:tc>
          <w:tcPr>
            <w:tcW w:w="1134" w:type="dxa"/>
            <w:tcBorders>
              <w:top w:val="single" w:sz="8" w:space="0" w:color="00B050"/>
              <w:left w:val="single" w:sz="4" w:space="0" w:color="00B050"/>
              <w:bottom w:val="single" w:sz="8" w:space="0" w:color="00B050"/>
              <w:right w:val="single" w:sz="4" w:space="0" w:color="00B050"/>
            </w:tcBorders>
            <w:shd w:val="clear" w:color="auto" w:fill="auto"/>
            <w:hideMark/>
          </w:tcPr>
          <w:p w:rsidR="00030337" w:rsidRPr="001244BB" w:rsidRDefault="00030337" w:rsidP="00030337">
            <w:pPr>
              <w:spacing w:after="0" w:line="240" w:lineRule="auto"/>
              <w:jc w:val="right"/>
              <w:rPr>
                <w:rFonts w:eastAsia="Times New Roman" w:cstheme="minorHAnsi"/>
                <w:sz w:val="20"/>
                <w:szCs w:val="20"/>
                <w:lang w:eastAsia="en-NZ"/>
              </w:rPr>
            </w:pPr>
            <w:r w:rsidRPr="001244BB">
              <w:rPr>
                <w:rFonts w:eastAsia="Times New Roman" w:cstheme="minorHAnsi"/>
                <w:sz w:val="20"/>
                <w:szCs w:val="20"/>
                <w:lang w:eastAsia="en-NZ"/>
              </w:rPr>
              <w:t>not met</w:t>
            </w:r>
          </w:p>
        </w:tc>
        <w:tc>
          <w:tcPr>
            <w:tcW w:w="4635" w:type="dxa"/>
            <w:tcBorders>
              <w:top w:val="single" w:sz="4" w:space="0" w:color="00B050"/>
              <w:left w:val="single" w:sz="4" w:space="0" w:color="00B050"/>
              <w:bottom w:val="single" w:sz="4" w:space="0" w:color="00B050"/>
              <w:right w:val="nil"/>
            </w:tcBorders>
            <w:shd w:val="clear" w:color="auto" w:fill="auto"/>
            <w:hideMark/>
          </w:tcPr>
          <w:p w:rsidR="00030337" w:rsidRPr="001244BB" w:rsidRDefault="00030337" w:rsidP="00030337">
            <w:pPr>
              <w:spacing w:after="0" w:line="240" w:lineRule="auto"/>
              <w:rPr>
                <w:rFonts w:eastAsia="Times New Roman" w:cstheme="minorHAnsi"/>
                <w:color w:val="000000"/>
                <w:sz w:val="20"/>
                <w:szCs w:val="20"/>
                <w:lang w:eastAsia="en-NZ"/>
              </w:rPr>
            </w:pPr>
            <w:r w:rsidRPr="001244BB">
              <w:rPr>
                <w:rFonts w:eastAsia="Times New Roman" w:cstheme="minorHAnsi"/>
                <w:color w:val="000000"/>
                <w:sz w:val="20"/>
                <w:szCs w:val="20"/>
                <w:lang w:eastAsia="en-NZ"/>
              </w:rPr>
              <w:t xml:space="preserve">The year ending figure indicates there may be faults and limitations with the wastewater network that are affecting water quality. Nine sites are currently above the 1000 </w:t>
            </w:r>
            <w:r w:rsidR="00145BEF" w:rsidRPr="002B77A3">
              <w:rPr>
                <w:rFonts w:eastAsia="Times New Roman" w:cstheme="minorHAnsi"/>
                <w:i/>
                <w:color w:val="000000"/>
                <w:sz w:val="20"/>
                <w:szCs w:val="20"/>
                <w:lang w:eastAsia="en-NZ"/>
              </w:rPr>
              <w:t>E.coli</w:t>
            </w:r>
            <w:r w:rsidR="00145BEF" w:rsidRPr="001244BB">
              <w:rPr>
                <w:rFonts w:eastAsia="Times New Roman" w:cstheme="minorHAnsi"/>
                <w:color w:val="000000"/>
                <w:sz w:val="20"/>
                <w:szCs w:val="20"/>
                <w:lang w:eastAsia="en-NZ"/>
              </w:rPr>
              <w:t xml:space="preserve"> </w:t>
            </w:r>
            <w:r w:rsidRPr="001244BB">
              <w:rPr>
                <w:rFonts w:eastAsia="Times New Roman" w:cstheme="minorHAnsi"/>
                <w:color w:val="000000"/>
                <w:sz w:val="20"/>
                <w:szCs w:val="20"/>
                <w:lang w:eastAsia="en-NZ"/>
              </w:rPr>
              <w:t>rolling median level. Investigations are programed in these catchments to identify public and private network issues and findings are used to inform the future works programme. Improvement of this measure will depend on part on the implementation of such works.</w:t>
            </w:r>
          </w:p>
        </w:tc>
      </w:tr>
      <w:tr w:rsidR="00030337" w:rsidRPr="001244BB" w:rsidTr="00B27E9D">
        <w:trPr>
          <w:trHeight w:val="525"/>
        </w:trPr>
        <w:tc>
          <w:tcPr>
            <w:tcW w:w="3672" w:type="dxa"/>
            <w:tcBorders>
              <w:top w:val="nil"/>
              <w:left w:val="nil"/>
              <w:right w:val="single" w:sz="4" w:space="0" w:color="00B050"/>
            </w:tcBorders>
            <w:shd w:val="clear" w:color="auto" w:fill="auto"/>
            <w:hideMark/>
          </w:tcPr>
          <w:p w:rsidR="001C0A52" w:rsidRDefault="00030337" w:rsidP="00030337">
            <w:pPr>
              <w:spacing w:after="0" w:line="240" w:lineRule="auto"/>
              <w:rPr>
                <w:rFonts w:eastAsia="Times New Roman" w:cstheme="minorHAnsi"/>
                <w:color w:val="000000"/>
                <w:sz w:val="20"/>
                <w:szCs w:val="20"/>
                <w:lang w:eastAsia="en-NZ"/>
              </w:rPr>
            </w:pPr>
            <w:r w:rsidRPr="001244BB">
              <w:rPr>
                <w:rFonts w:eastAsia="Times New Roman" w:cstheme="minorHAnsi"/>
                <w:color w:val="000000"/>
                <w:sz w:val="20"/>
                <w:szCs w:val="20"/>
                <w:lang w:eastAsia="en-NZ"/>
              </w:rPr>
              <w:t xml:space="preserve">Compliance with the resource consents for discharge from the stormwater system, measured by the number of: </w:t>
            </w:r>
          </w:p>
          <w:p w:rsidR="001C0A52" w:rsidRDefault="00030337" w:rsidP="00030337">
            <w:pPr>
              <w:spacing w:after="0" w:line="240" w:lineRule="auto"/>
              <w:rPr>
                <w:rFonts w:eastAsia="Times New Roman" w:cstheme="minorHAnsi"/>
                <w:color w:val="000000"/>
                <w:sz w:val="20"/>
                <w:szCs w:val="20"/>
                <w:lang w:eastAsia="en-NZ"/>
              </w:rPr>
            </w:pPr>
            <w:r w:rsidRPr="001244BB">
              <w:rPr>
                <w:rFonts w:eastAsia="Times New Roman" w:cstheme="minorHAnsi"/>
                <w:color w:val="000000"/>
                <w:sz w:val="20"/>
                <w:szCs w:val="20"/>
                <w:lang w:eastAsia="en-NZ"/>
              </w:rPr>
              <w:t>Abatement notices,</w:t>
            </w:r>
          </w:p>
          <w:p w:rsidR="001C0A52" w:rsidRDefault="00030337" w:rsidP="00030337">
            <w:pPr>
              <w:spacing w:after="0" w:line="240" w:lineRule="auto"/>
              <w:rPr>
                <w:rFonts w:eastAsia="Times New Roman" w:cstheme="minorHAnsi"/>
                <w:color w:val="000000"/>
                <w:sz w:val="20"/>
                <w:szCs w:val="20"/>
                <w:lang w:eastAsia="en-NZ"/>
              </w:rPr>
            </w:pPr>
            <w:r w:rsidRPr="001244BB">
              <w:rPr>
                <w:rFonts w:eastAsia="Times New Roman" w:cstheme="minorHAnsi"/>
                <w:color w:val="000000"/>
                <w:sz w:val="20"/>
                <w:szCs w:val="20"/>
                <w:lang w:eastAsia="en-NZ"/>
              </w:rPr>
              <w:t xml:space="preserve">Infringement notices, </w:t>
            </w:r>
          </w:p>
          <w:p w:rsidR="001C0A52" w:rsidRDefault="00030337" w:rsidP="00030337">
            <w:pPr>
              <w:spacing w:after="0" w:line="240" w:lineRule="auto"/>
              <w:rPr>
                <w:rFonts w:eastAsia="Times New Roman" w:cstheme="minorHAnsi"/>
                <w:color w:val="000000"/>
                <w:sz w:val="20"/>
                <w:szCs w:val="20"/>
                <w:lang w:eastAsia="en-NZ"/>
              </w:rPr>
            </w:pPr>
            <w:r w:rsidRPr="001244BB">
              <w:rPr>
                <w:rFonts w:eastAsia="Times New Roman" w:cstheme="minorHAnsi"/>
                <w:color w:val="000000"/>
                <w:sz w:val="20"/>
                <w:szCs w:val="20"/>
                <w:lang w:eastAsia="en-NZ"/>
              </w:rPr>
              <w:t xml:space="preserve">Enforcement orders, </w:t>
            </w:r>
          </w:p>
          <w:p w:rsidR="00030337" w:rsidRPr="001244BB" w:rsidRDefault="00030337" w:rsidP="00030337">
            <w:pPr>
              <w:spacing w:after="0" w:line="240" w:lineRule="auto"/>
              <w:rPr>
                <w:rFonts w:eastAsia="Times New Roman" w:cstheme="minorHAnsi"/>
                <w:color w:val="000000"/>
                <w:sz w:val="20"/>
                <w:szCs w:val="20"/>
                <w:lang w:eastAsia="en-NZ"/>
              </w:rPr>
            </w:pPr>
            <w:r w:rsidRPr="001244BB">
              <w:rPr>
                <w:rFonts w:eastAsia="Times New Roman" w:cstheme="minorHAnsi"/>
                <w:color w:val="000000"/>
                <w:sz w:val="20"/>
                <w:szCs w:val="20"/>
                <w:lang w:eastAsia="en-NZ"/>
              </w:rPr>
              <w:t>Convictions*</w:t>
            </w:r>
          </w:p>
        </w:tc>
        <w:tc>
          <w:tcPr>
            <w:tcW w:w="1140" w:type="dxa"/>
            <w:tcBorders>
              <w:top w:val="single" w:sz="8" w:space="0" w:color="00B050"/>
              <w:left w:val="single" w:sz="4" w:space="0" w:color="00B050"/>
              <w:right w:val="single" w:sz="4" w:space="0" w:color="00B050"/>
            </w:tcBorders>
            <w:shd w:val="clear" w:color="auto" w:fill="auto"/>
            <w:noWrap/>
            <w:hideMark/>
          </w:tcPr>
          <w:p w:rsidR="007856B0" w:rsidRDefault="007856B0" w:rsidP="00030337">
            <w:pPr>
              <w:spacing w:after="0" w:line="240" w:lineRule="auto"/>
              <w:jc w:val="right"/>
              <w:rPr>
                <w:rFonts w:eastAsia="Times New Roman" w:cstheme="minorHAnsi"/>
                <w:color w:val="000000"/>
                <w:sz w:val="20"/>
                <w:szCs w:val="20"/>
                <w:lang w:eastAsia="en-NZ"/>
              </w:rPr>
            </w:pPr>
          </w:p>
          <w:p w:rsidR="007856B0" w:rsidRDefault="007856B0" w:rsidP="00030337">
            <w:pPr>
              <w:spacing w:after="0" w:line="240" w:lineRule="auto"/>
              <w:jc w:val="right"/>
              <w:rPr>
                <w:rFonts w:eastAsia="Times New Roman" w:cstheme="minorHAnsi"/>
                <w:color w:val="000000"/>
                <w:sz w:val="20"/>
                <w:szCs w:val="20"/>
                <w:lang w:eastAsia="en-NZ"/>
              </w:rPr>
            </w:pPr>
          </w:p>
          <w:p w:rsidR="00030337" w:rsidRDefault="00030337" w:rsidP="00030337">
            <w:pPr>
              <w:spacing w:after="0" w:line="240" w:lineRule="auto"/>
              <w:jc w:val="right"/>
              <w:rPr>
                <w:rFonts w:eastAsia="Times New Roman" w:cstheme="minorHAnsi"/>
                <w:color w:val="000000"/>
                <w:sz w:val="20"/>
                <w:szCs w:val="20"/>
                <w:lang w:eastAsia="en-NZ"/>
              </w:rPr>
            </w:pPr>
            <w:r w:rsidRPr="001244BB">
              <w:rPr>
                <w:rFonts w:eastAsia="Times New Roman" w:cstheme="minorHAnsi"/>
                <w:color w:val="000000"/>
                <w:sz w:val="20"/>
                <w:szCs w:val="20"/>
                <w:lang w:eastAsia="en-NZ"/>
              </w:rPr>
              <w:t>0</w:t>
            </w:r>
          </w:p>
          <w:p w:rsidR="007856B0" w:rsidRDefault="007856B0" w:rsidP="00030337">
            <w:pPr>
              <w:spacing w:after="0" w:line="240" w:lineRule="auto"/>
              <w:jc w:val="right"/>
              <w:rPr>
                <w:rFonts w:eastAsia="Times New Roman" w:cstheme="minorHAnsi"/>
                <w:color w:val="000000"/>
                <w:sz w:val="20"/>
                <w:szCs w:val="20"/>
                <w:lang w:eastAsia="en-NZ"/>
              </w:rPr>
            </w:pPr>
            <w:r>
              <w:rPr>
                <w:rFonts w:eastAsia="Times New Roman" w:cstheme="minorHAnsi"/>
                <w:color w:val="000000"/>
                <w:sz w:val="20"/>
                <w:szCs w:val="20"/>
                <w:lang w:eastAsia="en-NZ"/>
              </w:rPr>
              <w:t>0</w:t>
            </w:r>
          </w:p>
          <w:p w:rsidR="007856B0" w:rsidRDefault="007856B0" w:rsidP="00030337">
            <w:pPr>
              <w:spacing w:after="0" w:line="240" w:lineRule="auto"/>
              <w:jc w:val="right"/>
              <w:rPr>
                <w:rFonts w:eastAsia="Times New Roman" w:cstheme="minorHAnsi"/>
                <w:color w:val="000000"/>
                <w:sz w:val="20"/>
                <w:szCs w:val="20"/>
                <w:lang w:eastAsia="en-NZ"/>
              </w:rPr>
            </w:pPr>
            <w:r>
              <w:rPr>
                <w:rFonts w:eastAsia="Times New Roman" w:cstheme="minorHAnsi"/>
                <w:color w:val="000000"/>
                <w:sz w:val="20"/>
                <w:szCs w:val="20"/>
                <w:lang w:eastAsia="en-NZ"/>
              </w:rPr>
              <w:t>0</w:t>
            </w:r>
          </w:p>
          <w:p w:rsidR="007856B0" w:rsidRDefault="007856B0" w:rsidP="00030337">
            <w:pPr>
              <w:spacing w:after="0" w:line="240" w:lineRule="auto"/>
              <w:jc w:val="right"/>
              <w:rPr>
                <w:rFonts w:eastAsia="Times New Roman" w:cstheme="minorHAnsi"/>
                <w:color w:val="000000"/>
                <w:sz w:val="20"/>
                <w:szCs w:val="20"/>
                <w:lang w:eastAsia="en-NZ"/>
              </w:rPr>
            </w:pPr>
            <w:r>
              <w:rPr>
                <w:rFonts w:eastAsia="Times New Roman" w:cstheme="minorHAnsi"/>
                <w:color w:val="000000"/>
                <w:sz w:val="20"/>
                <w:szCs w:val="20"/>
                <w:lang w:eastAsia="en-NZ"/>
              </w:rPr>
              <w:t>0</w:t>
            </w:r>
          </w:p>
          <w:p w:rsidR="007856B0" w:rsidRDefault="007856B0" w:rsidP="00030337">
            <w:pPr>
              <w:spacing w:after="0" w:line="240" w:lineRule="auto"/>
              <w:jc w:val="right"/>
              <w:rPr>
                <w:rFonts w:eastAsia="Times New Roman" w:cstheme="minorHAnsi"/>
                <w:color w:val="000000"/>
                <w:sz w:val="20"/>
                <w:szCs w:val="20"/>
                <w:lang w:eastAsia="en-NZ"/>
              </w:rPr>
            </w:pPr>
            <w:r>
              <w:rPr>
                <w:rFonts w:eastAsia="Times New Roman" w:cstheme="minorHAnsi"/>
                <w:color w:val="000000"/>
                <w:sz w:val="20"/>
                <w:szCs w:val="20"/>
                <w:lang w:eastAsia="en-NZ"/>
              </w:rPr>
              <w:t>0</w:t>
            </w:r>
          </w:p>
          <w:p w:rsidR="007856B0" w:rsidRPr="001244BB" w:rsidRDefault="007856B0" w:rsidP="00030337">
            <w:pPr>
              <w:spacing w:after="0" w:line="240" w:lineRule="auto"/>
              <w:jc w:val="right"/>
              <w:rPr>
                <w:rFonts w:eastAsia="Times New Roman" w:cstheme="minorHAnsi"/>
                <w:color w:val="000000"/>
                <w:sz w:val="20"/>
                <w:szCs w:val="20"/>
                <w:lang w:eastAsia="en-NZ"/>
              </w:rPr>
            </w:pPr>
          </w:p>
        </w:tc>
        <w:tc>
          <w:tcPr>
            <w:tcW w:w="1142" w:type="dxa"/>
            <w:gridSpan w:val="2"/>
            <w:tcBorders>
              <w:top w:val="single" w:sz="8" w:space="0" w:color="00B050"/>
              <w:left w:val="single" w:sz="4" w:space="0" w:color="00B050"/>
              <w:right w:val="single" w:sz="4" w:space="0" w:color="00B050"/>
            </w:tcBorders>
            <w:shd w:val="clear" w:color="auto" w:fill="auto"/>
            <w:noWrap/>
          </w:tcPr>
          <w:p w:rsidR="00030337" w:rsidRDefault="00030337" w:rsidP="00030337">
            <w:pPr>
              <w:spacing w:after="0" w:line="240" w:lineRule="auto"/>
              <w:jc w:val="right"/>
              <w:rPr>
                <w:rFonts w:eastAsia="Times New Roman" w:cstheme="minorHAnsi"/>
                <w:color w:val="000000"/>
                <w:sz w:val="20"/>
                <w:szCs w:val="20"/>
                <w:lang w:eastAsia="en-NZ"/>
              </w:rPr>
            </w:pPr>
          </w:p>
          <w:p w:rsidR="00B27E9D" w:rsidRDefault="00B27E9D" w:rsidP="00030337">
            <w:pPr>
              <w:spacing w:after="0" w:line="240" w:lineRule="auto"/>
              <w:jc w:val="right"/>
              <w:rPr>
                <w:rFonts w:eastAsia="Times New Roman" w:cstheme="minorHAnsi"/>
                <w:color w:val="000000"/>
                <w:sz w:val="20"/>
                <w:szCs w:val="20"/>
                <w:lang w:eastAsia="en-NZ"/>
              </w:rPr>
            </w:pPr>
          </w:p>
          <w:p w:rsidR="00B27E9D" w:rsidRDefault="00B27E9D" w:rsidP="00030337">
            <w:pPr>
              <w:spacing w:after="0" w:line="240" w:lineRule="auto"/>
              <w:jc w:val="right"/>
              <w:rPr>
                <w:rFonts w:eastAsia="Times New Roman" w:cstheme="minorHAnsi"/>
                <w:color w:val="000000"/>
                <w:sz w:val="20"/>
                <w:szCs w:val="20"/>
                <w:lang w:eastAsia="en-NZ"/>
              </w:rPr>
            </w:pPr>
            <w:r>
              <w:rPr>
                <w:rFonts w:eastAsia="Times New Roman" w:cstheme="minorHAnsi"/>
                <w:color w:val="000000"/>
                <w:sz w:val="20"/>
                <w:szCs w:val="20"/>
                <w:lang w:eastAsia="en-NZ"/>
              </w:rPr>
              <w:t>0</w:t>
            </w:r>
          </w:p>
          <w:p w:rsidR="00B27E9D" w:rsidRDefault="00B27E9D" w:rsidP="00030337">
            <w:pPr>
              <w:spacing w:after="0" w:line="240" w:lineRule="auto"/>
              <w:jc w:val="right"/>
              <w:rPr>
                <w:rFonts w:eastAsia="Times New Roman" w:cstheme="minorHAnsi"/>
                <w:color w:val="000000"/>
                <w:sz w:val="20"/>
                <w:szCs w:val="20"/>
                <w:lang w:eastAsia="en-NZ"/>
              </w:rPr>
            </w:pPr>
            <w:r>
              <w:rPr>
                <w:rFonts w:eastAsia="Times New Roman" w:cstheme="minorHAnsi"/>
                <w:color w:val="000000"/>
                <w:sz w:val="20"/>
                <w:szCs w:val="20"/>
                <w:lang w:eastAsia="en-NZ"/>
              </w:rPr>
              <w:t>0</w:t>
            </w:r>
          </w:p>
          <w:p w:rsidR="00B27E9D" w:rsidRDefault="00B27E9D" w:rsidP="00030337">
            <w:pPr>
              <w:spacing w:after="0" w:line="240" w:lineRule="auto"/>
              <w:jc w:val="right"/>
              <w:rPr>
                <w:rFonts w:eastAsia="Times New Roman" w:cstheme="minorHAnsi"/>
                <w:color w:val="000000"/>
                <w:sz w:val="20"/>
                <w:szCs w:val="20"/>
                <w:lang w:eastAsia="en-NZ"/>
              </w:rPr>
            </w:pPr>
            <w:r>
              <w:rPr>
                <w:rFonts w:eastAsia="Times New Roman" w:cstheme="minorHAnsi"/>
                <w:color w:val="000000"/>
                <w:sz w:val="20"/>
                <w:szCs w:val="20"/>
                <w:lang w:eastAsia="en-NZ"/>
              </w:rPr>
              <w:t>0</w:t>
            </w:r>
          </w:p>
          <w:p w:rsidR="00B27E9D" w:rsidRDefault="00B27E9D" w:rsidP="00030337">
            <w:pPr>
              <w:spacing w:after="0" w:line="240" w:lineRule="auto"/>
              <w:jc w:val="right"/>
              <w:rPr>
                <w:rFonts w:eastAsia="Times New Roman" w:cstheme="minorHAnsi"/>
                <w:color w:val="000000"/>
                <w:sz w:val="20"/>
                <w:szCs w:val="20"/>
                <w:lang w:eastAsia="en-NZ"/>
              </w:rPr>
            </w:pPr>
            <w:r>
              <w:rPr>
                <w:rFonts w:eastAsia="Times New Roman" w:cstheme="minorHAnsi"/>
                <w:color w:val="000000"/>
                <w:sz w:val="20"/>
                <w:szCs w:val="20"/>
                <w:lang w:eastAsia="en-NZ"/>
              </w:rPr>
              <w:t>0</w:t>
            </w:r>
          </w:p>
          <w:p w:rsidR="00B27E9D" w:rsidRPr="001244BB" w:rsidRDefault="00B27E9D" w:rsidP="00030337">
            <w:pPr>
              <w:spacing w:after="0" w:line="240" w:lineRule="auto"/>
              <w:jc w:val="right"/>
              <w:rPr>
                <w:rFonts w:eastAsia="Times New Roman" w:cstheme="minorHAnsi"/>
                <w:color w:val="000000"/>
                <w:sz w:val="20"/>
                <w:szCs w:val="20"/>
                <w:lang w:eastAsia="en-NZ"/>
              </w:rPr>
            </w:pPr>
            <w:r>
              <w:rPr>
                <w:rFonts w:eastAsia="Times New Roman" w:cstheme="minorHAnsi"/>
                <w:color w:val="000000"/>
                <w:sz w:val="20"/>
                <w:szCs w:val="20"/>
                <w:lang w:eastAsia="en-NZ"/>
              </w:rPr>
              <w:t>0</w:t>
            </w:r>
          </w:p>
        </w:tc>
        <w:tc>
          <w:tcPr>
            <w:tcW w:w="1276" w:type="dxa"/>
            <w:tcBorders>
              <w:top w:val="single" w:sz="8" w:space="0" w:color="00B050"/>
              <w:left w:val="single" w:sz="4" w:space="0" w:color="00B050"/>
              <w:right w:val="single" w:sz="4" w:space="0" w:color="00B050"/>
            </w:tcBorders>
            <w:shd w:val="clear" w:color="auto" w:fill="auto"/>
            <w:noWrap/>
          </w:tcPr>
          <w:p w:rsidR="00030337" w:rsidRDefault="00030337" w:rsidP="00030337">
            <w:pPr>
              <w:spacing w:after="0" w:line="240" w:lineRule="auto"/>
              <w:jc w:val="right"/>
              <w:rPr>
                <w:rFonts w:eastAsia="Times New Roman" w:cstheme="minorHAnsi"/>
                <w:color w:val="000000"/>
                <w:sz w:val="20"/>
                <w:szCs w:val="20"/>
                <w:lang w:eastAsia="en-NZ"/>
              </w:rPr>
            </w:pPr>
          </w:p>
          <w:p w:rsidR="00B27E9D" w:rsidRDefault="00B27E9D" w:rsidP="00030337">
            <w:pPr>
              <w:spacing w:after="0" w:line="240" w:lineRule="auto"/>
              <w:jc w:val="right"/>
              <w:rPr>
                <w:rFonts w:eastAsia="Times New Roman" w:cstheme="minorHAnsi"/>
                <w:color w:val="000000"/>
                <w:sz w:val="20"/>
                <w:szCs w:val="20"/>
                <w:lang w:eastAsia="en-NZ"/>
              </w:rPr>
            </w:pPr>
          </w:p>
          <w:p w:rsidR="00B27E9D" w:rsidRDefault="00B27E9D" w:rsidP="00030337">
            <w:pPr>
              <w:spacing w:after="0" w:line="240" w:lineRule="auto"/>
              <w:jc w:val="right"/>
              <w:rPr>
                <w:rFonts w:eastAsia="Times New Roman" w:cstheme="minorHAnsi"/>
                <w:color w:val="000000"/>
                <w:sz w:val="20"/>
                <w:szCs w:val="20"/>
                <w:lang w:eastAsia="en-NZ"/>
              </w:rPr>
            </w:pPr>
            <w:r>
              <w:rPr>
                <w:rFonts w:eastAsia="Times New Roman" w:cstheme="minorHAnsi"/>
                <w:color w:val="000000"/>
                <w:sz w:val="20"/>
                <w:szCs w:val="20"/>
                <w:lang w:eastAsia="en-NZ"/>
              </w:rPr>
              <w:t>0</w:t>
            </w:r>
          </w:p>
          <w:p w:rsidR="00B27E9D" w:rsidRDefault="00B27E9D" w:rsidP="00030337">
            <w:pPr>
              <w:spacing w:after="0" w:line="240" w:lineRule="auto"/>
              <w:jc w:val="right"/>
              <w:rPr>
                <w:rFonts w:eastAsia="Times New Roman" w:cstheme="minorHAnsi"/>
                <w:color w:val="000000"/>
                <w:sz w:val="20"/>
                <w:szCs w:val="20"/>
                <w:lang w:eastAsia="en-NZ"/>
              </w:rPr>
            </w:pPr>
            <w:r>
              <w:rPr>
                <w:rFonts w:eastAsia="Times New Roman" w:cstheme="minorHAnsi"/>
                <w:color w:val="000000"/>
                <w:sz w:val="20"/>
                <w:szCs w:val="20"/>
                <w:lang w:eastAsia="en-NZ"/>
              </w:rPr>
              <w:t>0</w:t>
            </w:r>
          </w:p>
          <w:p w:rsidR="00B27E9D" w:rsidRDefault="00B27E9D" w:rsidP="00030337">
            <w:pPr>
              <w:spacing w:after="0" w:line="240" w:lineRule="auto"/>
              <w:jc w:val="right"/>
              <w:rPr>
                <w:rFonts w:eastAsia="Times New Roman" w:cstheme="minorHAnsi"/>
                <w:color w:val="000000"/>
                <w:sz w:val="20"/>
                <w:szCs w:val="20"/>
                <w:lang w:eastAsia="en-NZ"/>
              </w:rPr>
            </w:pPr>
            <w:r>
              <w:rPr>
                <w:rFonts w:eastAsia="Times New Roman" w:cstheme="minorHAnsi"/>
                <w:color w:val="000000"/>
                <w:sz w:val="20"/>
                <w:szCs w:val="20"/>
                <w:lang w:eastAsia="en-NZ"/>
              </w:rPr>
              <w:t>0</w:t>
            </w:r>
          </w:p>
          <w:p w:rsidR="00B27E9D" w:rsidRDefault="00B27E9D" w:rsidP="00030337">
            <w:pPr>
              <w:spacing w:after="0" w:line="240" w:lineRule="auto"/>
              <w:jc w:val="right"/>
              <w:rPr>
                <w:rFonts w:eastAsia="Times New Roman" w:cstheme="minorHAnsi"/>
                <w:color w:val="000000"/>
                <w:sz w:val="20"/>
                <w:szCs w:val="20"/>
                <w:lang w:eastAsia="en-NZ"/>
              </w:rPr>
            </w:pPr>
            <w:r>
              <w:rPr>
                <w:rFonts w:eastAsia="Times New Roman" w:cstheme="minorHAnsi"/>
                <w:color w:val="000000"/>
                <w:sz w:val="20"/>
                <w:szCs w:val="20"/>
                <w:lang w:eastAsia="en-NZ"/>
              </w:rPr>
              <w:t>0</w:t>
            </w:r>
          </w:p>
          <w:p w:rsidR="00B27E9D" w:rsidRPr="001244BB" w:rsidRDefault="00B27E9D" w:rsidP="00030337">
            <w:pPr>
              <w:spacing w:after="0" w:line="240" w:lineRule="auto"/>
              <w:jc w:val="right"/>
              <w:rPr>
                <w:rFonts w:eastAsia="Times New Roman" w:cstheme="minorHAnsi"/>
                <w:color w:val="000000"/>
                <w:sz w:val="20"/>
                <w:szCs w:val="20"/>
                <w:lang w:eastAsia="en-NZ"/>
              </w:rPr>
            </w:pPr>
            <w:r>
              <w:rPr>
                <w:rFonts w:eastAsia="Times New Roman" w:cstheme="minorHAnsi"/>
                <w:color w:val="000000"/>
                <w:sz w:val="20"/>
                <w:szCs w:val="20"/>
                <w:lang w:eastAsia="en-NZ"/>
              </w:rPr>
              <w:t>0</w:t>
            </w:r>
          </w:p>
        </w:tc>
        <w:tc>
          <w:tcPr>
            <w:tcW w:w="1134" w:type="dxa"/>
            <w:tcBorders>
              <w:top w:val="single" w:sz="8" w:space="0" w:color="00B050"/>
              <w:left w:val="single" w:sz="4" w:space="0" w:color="00B050"/>
              <w:right w:val="single" w:sz="4" w:space="0" w:color="00B050"/>
            </w:tcBorders>
            <w:shd w:val="clear" w:color="000000" w:fill="D9D9D9"/>
          </w:tcPr>
          <w:p w:rsidR="00030337" w:rsidRDefault="00030337" w:rsidP="00030337">
            <w:pPr>
              <w:spacing w:after="0" w:line="240" w:lineRule="auto"/>
              <w:jc w:val="right"/>
              <w:rPr>
                <w:rFonts w:eastAsia="Times New Roman" w:cstheme="minorHAnsi"/>
                <w:color w:val="000000"/>
                <w:sz w:val="20"/>
                <w:szCs w:val="20"/>
                <w:lang w:eastAsia="en-NZ"/>
              </w:rPr>
            </w:pPr>
          </w:p>
          <w:p w:rsidR="00B27E9D" w:rsidRDefault="00B27E9D" w:rsidP="00030337">
            <w:pPr>
              <w:spacing w:after="0" w:line="240" w:lineRule="auto"/>
              <w:jc w:val="right"/>
              <w:rPr>
                <w:rFonts w:eastAsia="Times New Roman" w:cstheme="minorHAnsi"/>
                <w:color w:val="000000"/>
                <w:sz w:val="20"/>
                <w:szCs w:val="20"/>
                <w:lang w:eastAsia="en-NZ"/>
              </w:rPr>
            </w:pPr>
          </w:p>
          <w:p w:rsidR="00B27E9D" w:rsidRDefault="00B27E9D" w:rsidP="00030337">
            <w:pPr>
              <w:spacing w:after="0" w:line="240" w:lineRule="auto"/>
              <w:jc w:val="right"/>
              <w:rPr>
                <w:rFonts w:eastAsia="Times New Roman" w:cstheme="minorHAnsi"/>
                <w:color w:val="000000"/>
                <w:sz w:val="20"/>
                <w:szCs w:val="20"/>
                <w:lang w:eastAsia="en-NZ"/>
              </w:rPr>
            </w:pPr>
            <w:r>
              <w:rPr>
                <w:rFonts w:eastAsia="Times New Roman" w:cstheme="minorHAnsi"/>
                <w:color w:val="000000"/>
                <w:sz w:val="20"/>
                <w:szCs w:val="20"/>
                <w:lang w:eastAsia="en-NZ"/>
              </w:rPr>
              <w:t>0</w:t>
            </w:r>
          </w:p>
          <w:p w:rsidR="00B27E9D" w:rsidRDefault="00B27E9D" w:rsidP="00030337">
            <w:pPr>
              <w:spacing w:after="0" w:line="240" w:lineRule="auto"/>
              <w:jc w:val="right"/>
              <w:rPr>
                <w:rFonts w:eastAsia="Times New Roman" w:cstheme="minorHAnsi"/>
                <w:color w:val="000000"/>
                <w:sz w:val="20"/>
                <w:szCs w:val="20"/>
                <w:lang w:eastAsia="en-NZ"/>
              </w:rPr>
            </w:pPr>
            <w:r>
              <w:rPr>
                <w:rFonts w:eastAsia="Times New Roman" w:cstheme="minorHAnsi"/>
                <w:color w:val="000000"/>
                <w:sz w:val="20"/>
                <w:szCs w:val="20"/>
                <w:lang w:eastAsia="en-NZ"/>
              </w:rPr>
              <w:t>0</w:t>
            </w:r>
          </w:p>
          <w:p w:rsidR="00B27E9D" w:rsidRDefault="00B27E9D" w:rsidP="00030337">
            <w:pPr>
              <w:spacing w:after="0" w:line="240" w:lineRule="auto"/>
              <w:jc w:val="right"/>
              <w:rPr>
                <w:rFonts w:eastAsia="Times New Roman" w:cstheme="minorHAnsi"/>
                <w:color w:val="000000"/>
                <w:sz w:val="20"/>
                <w:szCs w:val="20"/>
                <w:lang w:eastAsia="en-NZ"/>
              </w:rPr>
            </w:pPr>
            <w:r>
              <w:rPr>
                <w:rFonts w:eastAsia="Times New Roman" w:cstheme="minorHAnsi"/>
                <w:color w:val="000000"/>
                <w:sz w:val="20"/>
                <w:szCs w:val="20"/>
                <w:lang w:eastAsia="en-NZ"/>
              </w:rPr>
              <w:t>0</w:t>
            </w:r>
          </w:p>
          <w:p w:rsidR="00B27E9D" w:rsidRDefault="00B27E9D" w:rsidP="00030337">
            <w:pPr>
              <w:spacing w:after="0" w:line="240" w:lineRule="auto"/>
              <w:jc w:val="right"/>
              <w:rPr>
                <w:rFonts w:eastAsia="Times New Roman" w:cstheme="minorHAnsi"/>
                <w:color w:val="000000"/>
                <w:sz w:val="20"/>
                <w:szCs w:val="20"/>
                <w:lang w:eastAsia="en-NZ"/>
              </w:rPr>
            </w:pPr>
            <w:r>
              <w:rPr>
                <w:rFonts w:eastAsia="Times New Roman" w:cstheme="minorHAnsi"/>
                <w:color w:val="000000"/>
                <w:sz w:val="20"/>
                <w:szCs w:val="20"/>
                <w:lang w:eastAsia="en-NZ"/>
              </w:rPr>
              <w:t>0</w:t>
            </w:r>
          </w:p>
          <w:p w:rsidR="00B27E9D" w:rsidRDefault="00B27E9D" w:rsidP="00030337">
            <w:pPr>
              <w:spacing w:after="0" w:line="240" w:lineRule="auto"/>
              <w:jc w:val="right"/>
              <w:rPr>
                <w:rFonts w:eastAsia="Times New Roman" w:cstheme="minorHAnsi"/>
                <w:color w:val="000000"/>
                <w:sz w:val="20"/>
                <w:szCs w:val="20"/>
                <w:lang w:eastAsia="en-NZ"/>
              </w:rPr>
            </w:pPr>
            <w:r>
              <w:rPr>
                <w:rFonts w:eastAsia="Times New Roman" w:cstheme="minorHAnsi"/>
                <w:color w:val="000000"/>
                <w:sz w:val="20"/>
                <w:szCs w:val="20"/>
                <w:lang w:eastAsia="en-NZ"/>
              </w:rPr>
              <w:t>0</w:t>
            </w:r>
          </w:p>
          <w:p w:rsidR="00B27E9D" w:rsidRPr="001244BB" w:rsidRDefault="00B27E9D" w:rsidP="00030337">
            <w:pPr>
              <w:spacing w:after="0" w:line="240" w:lineRule="auto"/>
              <w:jc w:val="right"/>
              <w:rPr>
                <w:rFonts w:eastAsia="Times New Roman" w:cstheme="minorHAnsi"/>
                <w:color w:val="000000"/>
                <w:sz w:val="20"/>
                <w:szCs w:val="20"/>
                <w:lang w:eastAsia="en-NZ"/>
              </w:rPr>
            </w:pPr>
          </w:p>
        </w:tc>
        <w:tc>
          <w:tcPr>
            <w:tcW w:w="851" w:type="dxa"/>
            <w:tcBorders>
              <w:top w:val="single" w:sz="8" w:space="0" w:color="00B050"/>
              <w:left w:val="single" w:sz="4" w:space="0" w:color="00B050"/>
              <w:right w:val="single" w:sz="4" w:space="0" w:color="00B050"/>
            </w:tcBorders>
            <w:shd w:val="clear" w:color="auto" w:fill="auto"/>
          </w:tcPr>
          <w:p w:rsidR="00030337" w:rsidRDefault="00030337" w:rsidP="00030337">
            <w:pPr>
              <w:spacing w:after="0" w:line="240" w:lineRule="auto"/>
              <w:jc w:val="right"/>
              <w:rPr>
                <w:rFonts w:eastAsia="Times New Roman" w:cstheme="minorHAnsi"/>
                <w:color w:val="000000"/>
                <w:sz w:val="20"/>
                <w:szCs w:val="20"/>
                <w:lang w:eastAsia="en-NZ"/>
              </w:rPr>
            </w:pPr>
          </w:p>
          <w:p w:rsidR="00B27E9D" w:rsidRDefault="00B27E9D" w:rsidP="00030337">
            <w:pPr>
              <w:spacing w:after="0" w:line="240" w:lineRule="auto"/>
              <w:jc w:val="right"/>
              <w:rPr>
                <w:rFonts w:eastAsia="Times New Roman" w:cstheme="minorHAnsi"/>
                <w:color w:val="000000"/>
                <w:sz w:val="20"/>
                <w:szCs w:val="20"/>
                <w:lang w:eastAsia="en-NZ"/>
              </w:rPr>
            </w:pPr>
          </w:p>
          <w:p w:rsidR="00B27E9D" w:rsidRDefault="00B27E9D" w:rsidP="00030337">
            <w:pPr>
              <w:spacing w:after="0" w:line="240" w:lineRule="auto"/>
              <w:jc w:val="right"/>
              <w:rPr>
                <w:rFonts w:eastAsia="Times New Roman" w:cstheme="minorHAnsi"/>
                <w:color w:val="000000"/>
                <w:sz w:val="20"/>
                <w:szCs w:val="20"/>
                <w:lang w:eastAsia="en-NZ"/>
              </w:rPr>
            </w:pPr>
            <w:r>
              <w:rPr>
                <w:rFonts w:eastAsia="Times New Roman" w:cstheme="minorHAnsi"/>
                <w:color w:val="000000"/>
                <w:sz w:val="20"/>
                <w:szCs w:val="20"/>
                <w:lang w:eastAsia="en-NZ"/>
              </w:rPr>
              <w:t>0%</w:t>
            </w:r>
          </w:p>
          <w:p w:rsidR="00B27E9D" w:rsidRDefault="00B27E9D" w:rsidP="00030337">
            <w:pPr>
              <w:spacing w:after="0" w:line="240" w:lineRule="auto"/>
              <w:jc w:val="right"/>
              <w:rPr>
                <w:rFonts w:eastAsia="Times New Roman" w:cstheme="minorHAnsi"/>
                <w:color w:val="000000"/>
                <w:sz w:val="20"/>
                <w:szCs w:val="20"/>
                <w:lang w:eastAsia="en-NZ"/>
              </w:rPr>
            </w:pPr>
            <w:r>
              <w:rPr>
                <w:rFonts w:eastAsia="Times New Roman" w:cstheme="minorHAnsi"/>
                <w:color w:val="000000"/>
                <w:sz w:val="20"/>
                <w:szCs w:val="20"/>
                <w:lang w:eastAsia="en-NZ"/>
              </w:rPr>
              <w:t>0%</w:t>
            </w:r>
          </w:p>
          <w:p w:rsidR="00B27E9D" w:rsidRDefault="00B27E9D" w:rsidP="00030337">
            <w:pPr>
              <w:spacing w:after="0" w:line="240" w:lineRule="auto"/>
              <w:jc w:val="right"/>
              <w:rPr>
                <w:rFonts w:eastAsia="Times New Roman" w:cstheme="minorHAnsi"/>
                <w:color w:val="000000"/>
                <w:sz w:val="20"/>
                <w:szCs w:val="20"/>
                <w:lang w:eastAsia="en-NZ"/>
              </w:rPr>
            </w:pPr>
            <w:r>
              <w:rPr>
                <w:rFonts w:eastAsia="Times New Roman" w:cstheme="minorHAnsi"/>
                <w:color w:val="000000"/>
                <w:sz w:val="20"/>
                <w:szCs w:val="20"/>
                <w:lang w:eastAsia="en-NZ"/>
              </w:rPr>
              <w:t>0%</w:t>
            </w:r>
          </w:p>
          <w:p w:rsidR="00B27E9D" w:rsidRDefault="00B27E9D" w:rsidP="00030337">
            <w:pPr>
              <w:spacing w:after="0" w:line="240" w:lineRule="auto"/>
              <w:jc w:val="right"/>
              <w:rPr>
                <w:rFonts w:eastAsia="Times New Roman" w:cstheme="minorHAnsi"/>
                <w:color w:val="000000"/>
                <w:sz w:val="20"/>
                <w:szCs w:val="20"/>
                <w:lang w:eastAsia="en-NZ"/>
              </w:rPr>
            </w:pPr>
            <w:r>
              <w:rPr>
                <w:rFonts w:eastAsia="Times New Roman" w:cstheme="minorHAnsi"/>
                <w:color w:val="000000"/>
                <w:sz w:val="20"/>
                <w:szCs w:val="20"/>
                <w:lang w:eastAsia="en-NZ"/>
              </w:rPr>
              <w:t>0%</w:t>
            </w:r>
          </w:p>
          <w:p w:rsidR="00B27E9D" w:rsidRPr="001244BB" w:rsidRDefault="00B27E9D" w:rsidP="00030337">
            <w:pPr>
              <w:spacing w:after="0" w:line="240" w:lineRule="auto"/>
              <w:jc w:val="right"/>
              <w:rPr>
                <w:rFonts w:eastAsia="Times New Roman" w:cstheme="minorHAnsi"/>
                <w:color w:val="000000"/>
                <w:sz w:val="20"/>
                <w:szCs w:val="20"/>
                <w:lang w:eastAsia="en-NZ"/>
              </w:rPr>
            </w:pPr>
            <w:r>
              <w:rPr>
                <w:rFonts w:eastAsia="Times New Roman" w:cstheme="minorHAnsi"/>
                <w:color w:val="000000"/>
                <w:sz w:val="20"/>
                <w:szCs w:val="20"/>
                <w:lang w:eastAsia="en-NZ"/>
              </w:rPr>
              <w:t>0%</w:t>
            </w:r>
          </w:p>
        </w:tc>
        <w:tc>
          <w:tcPr>
            <w:tcW w:w="1134" w:type="dxa"/>
            <w:tcBorders>
              <w:top w:val="single" w:sz="8" w:space="0" w:color="00B050"/>
              <w:left w:val="single" w:sz="4" w:space="0" w:color="00B050"/>
              <w:right w:val="single" w:sz="4" w:space="0" w:color="00B050"/>
            </w:tcBorders>
            <w:shd w:val="clear" w:color="auto" w:fill="auto"/>
            <w:hideMark/>
          </w:tcPr>
          <w:p w:rsidR="007856B0" w:rsidRDefault="007856B0" w:rsidP="00030337">
            <w:pPr>
              <w:spacing w:after="0" w:line="240" w:lineRule="auto"/>
              <w:jc w:val="right"/>
              <w:rPr>
                <w:rFonts w:eastAsia="Times New Roman" w:cstheme="minorHAnsi"/>
                <w:color w:val="000000"/>
                <w:sz w:val="20"/>
                <w:szCs w:val="20"/>
                <w:lang w:eastAsia="en-NZ"/>
              </w:rPr>
            </w:pPr>
          </w:p>
          <w:p w:rsidR="001A5194" w:rsidRDefault="001A5194" w:rsidP="00030337">
            <w:pPr>
              <w:spacing w:after="0" w:line="240" w:lineRule="auto"/>
              <w:jc w:val="right"/>
              <w:rPr>
                <w:rFonts w:eastAsia="Times New Roman" w:cstheme="minorHAnsi"/>
                <w:color w:val="000000"/>
                <w:sz w:val="20"/>
                <w:szCs w:val="20"/>
                <w:lang w:eastAsia="en-NZ"/>
              </w:rPr>
            </w:pPr>
          </w:p>
          <w:p w:rsidR="007856B0" w:rsidRPr="001244BB" w:rsidRDefault="004A2F47" w:rsidP="00030337">
            <w:pPr>
              <w:spacing w:after="0" w:line="240" w:lineRule="auto"/>
              <w:jc w:val="right"/>
              <w:rPr>
                <w:rFonts w:eastAsia="Times New Roman" w:cstheme="minorHAnsi"/>
                <w:color w:val="000000"/>
                <w:sz w:val="20"/>
                <w:szCs w:val="20"/>
                <w:lang w:eastAsia="en-NZ"/>
              </w:rPr>
            </w:pPr>
            <w:r>
              <w:rPr>
                <w:rFonts w:eastAsia="Times New Roman" w:cstheme="minorHAnsi"/>
                <w:color w:val="000000"/>
                <w:sz w:val="20"/>
                <w:szCs w:val="20"/>
                <w:lang w:eastAsia="en-NZ"/>
              </w:rPr>
              <w:t>All within 10%</w:t>
            </w:r>
          </w:p>
        </w:tc>
        <w:tc>
          <w:tcPr>
            <w:tcW w:w="4635" w:type="dxa"/>
            <w:tcBorders>
              <w:top w:val="single" w:sz="4" w:space="0" w:color="00B050"/>
              <w:left w:val="single" w:sz="4" w:space="0" w:color="00B050"/>
              <w:right w:val="nil"/>
            </w:tcBorders>
            <w:shd w:val="clear" w:color="auto" w:fill="auto"/>
          </w:tcPr>
          <w:p w:rsidR="00030337" w:rsidRPr="001244BB" w:rsidRDefault="00030337" w:rsidP="00030337">
            <w:pPr>
              <w:spacing w:after="0" w:line="240" w:lineRule="auto"/>
              <w:jc w:val="right"/>
              <w:rPr>
                <w:rFonts w:eastAsia="Times New Roman" w:cstheme="minorHAnsi"/>
                <w:color w:val="000000"/>
                <w:sz w:val="20"/>
                <w:szCs w:val="20"/>
                <w:lang w:eastAsia="en-NZ"/>
              </w:rPr>
            </w:pPr>
          </w:p>
        </w:tc>
      </w:tr>
      <w:tr w:rsidR="00030337" w:rsidRPr="001244BB" w:rsidTr="00030337">
        <w:trPr>
          <w:trHeight w:val="315"/>
        </w:trPr>
        <w:tc>
          <w:tcPr>
            <w:tcW w:w="14984" w:type="dxa"/>
            <w:gridSpan w:val="9"/>
            <w:shd w:val="clear" w:color="auto" w:fill="EAF1DD" w:themeFill="accent3" w:themeFillTint="33"/>
            <w:hideMark/>
          </w:tcPr>
          <w:p w:rsidR="00030337" w:rsidRPr="001244BB" w:rsidRDefault="00030337" w:rsidP="00030337">
            <w:pPr>
              <w:spacing w:after="0" w:line="240" w:lineRule="auto"/>
              <w:ind w:left="720" w:hanging="720"/>
              <w:rPr>
                <w:rFonts w:eastAsia="Times New Roman" w:cstheme="minorHAnsi"/>
                <w:b/>
                <w:sz w:val="20"/>
                <w:szCs w:val="20"/>
                <w:lang w:eastAsia="en-NZ"/>
              </w:rPr>
            </w:pPr>
            <w:r w:rsidRPr="001244BB">
              <w:rPr>
                <w:rFonts w:eastAsia="Times New Roman" w:cstheme="minorHAnsi"/>
                <w:b/>
                <w:sz w:val="20"/>
                <w:szCs w:val="20"/>
                <w:lang w:eastAsia="en-NZ"/>
              </w:rPr>
              <w:t>Meeting customer expectations</w:t>
            </w:r>
          </w:p>
        </w:tc>
      </w:tr>
      <w:tr w:rsidR="00030337" w:rsidRPr="001244BB" w:rsidTr="00030337">
        <w:trPr>
          <w:trHeight w:val="780"/>
        </w:trPr>
        <w:tc>
          <w:tcPr>
            <w:tcW w:w="3672" w:type="dxa"/>
            <w:tcBorders>
              <w:left w:val="nil"/>
              <w:bottom w:val="single" w:sz="8" w:space="0" w:color="00B050"/>
              <w:right w:val="single" w:sz="4" w:space="0" w:color="00B050"/>
            </w:tcBorders>
            <w:shd w:val="clear" w:color="auto" w:fill="auto"/>
            <w:hideMark/>
          </w:tcPr>
          <w:p w:rsidR="00030337" w:rsidRPr="001244BB" w:rsidRDefault="00030337" w:rsidP="00030337">
            <w:pPr>
              <w:spacing w:after="0" w:line="240" w:lineRule="auto"/>
              <w:rPr>
                <w:rFonts w:eastAsia="Times New Roman" w:cstheme="minorHAnsi"/>
                <w:color w:val="000000"/>
                <w:sz w:val="20"/>
                <w:szCs w:val="20"/>
                <w:lang w:eastAsia="en-NZ"/>
              </w:rPr>
            </w:pPr>
            <w:r w:rsidRPr="001244BB">
              <w:rPr>
                <w:rFonts w:eastAsia="Times New Roman" w:cstheme="minorHAnsi"/>
                <w:color w:val="000000"/>
                <w:sz w:val="20"/>
                <w:szCs w:val="20"/>
                <w:lang w:eastAsia="en-NZ"/>
              </w:rPr>
              <w:t>Number of complaints about stormwater system performance per 1000 connections*</w:t>
            </w:r>
          </w:p>
        </w:tc>
        <w:tc>
          <w:tcPr>
            <w:tcW w:w="1140" w:type="dxa"/>
            <w:tcBorders>
              <w:left w:val="single" w:sz="4" w:space="0" w:color="00B050"/>
              <w:bottom w:val="single" w:sz="8" w:space="0" w:color="00B050"/>
              <w:right w:val="single" w:sz="4" w:space="0" w:color="00B050"/>
            </w:tcBorders>
            <w:shd w:val="clear" w:color="auto" w:fill="auto"/>
            <w:noWrap/>
            <w:hideMark/>
          </w:tcPr>
          <w:p w:rsidR="00030337" w:rsidRPr="001244BB" w:rsidRDefault="00030337" w:rsidP="00030337">
            <w:pPr>
              <w:spacing w:after="0" w:line="240" w:lineRule="auto"/>
              <w:jc w:val="right"/>
              <w:rPr>
                <w:rFonts w:eastAsia="Times New Roman" w:cstheme="minorHAnsi"/>
                <w:color w:val="000000"/>
                <w:sz w:val="20"/>
                <w:szCs w:val="20"/>
                <w:lang w:eastAsia="en-NZ"/>
              </w:rPr>
            </w:pPr>
            <w:r w:rsidRPr="001244BB">
              <w:rPr>
                <w:rFonts w:eastAsia="Times New Roman" w:cstheme="minorHAnsi"/>
                <w:color w:val="000000"/>
                <w:sz w:val="20"/>
                <w:szCs w:val="20"/>
                <w:lang w:eastAsia="en-NZ"/>
              </w:rPr>
              <w:t>10.45</w:t>
            </w:r>
          </w:p>
        </w:tc>
        <w:tc>
          <w:tcPr>
            <w:tcW w:w="1142" w:type="dxa"/>
            <w:gridSpan w:val="2"/>
            <w:tcBorders>
              <w:left w:val="single" w:sz="4" w:space="0" w:color="00B050"/>
              <w:bottom w:val="single" w:sz="8" w:space="0" w:color="00B050"/>
              <w:right w:val="single" w:sz="4" w:space="0" w:color="00B050"/>
            </w:tcBorders>
            <w:shd w:val="clear" w:color="auto" w:fill="auto"/>
            <w:noWrap/>
            <w:hideMark/>
          </w:tcPr>
          <w:p w:rsidR="00030337" w:rsidRPr="001244BB" w:rsidRDefault="00030337" w:rsidP="00030337">
            <w:pPr>
              <w:spacing w:after="0" w:line="240" w:lineRule="auto"/>
              <w:jc w:val="right"/>
              <w:rPr>
                <w:rFonts w:eastAsia="Times New Roman" w:cstheme="minorHAnsi"/>
                <w:color w:val="000000"/>
                <w:sz w:val="20"/>
                <w:szCs w:val="20"/>
                <w:lang w:eastAsia="en-NZ"/>
              </w:rPr>
            </w:pPr>
            <w:r w:rsidRPr="001244BB">
              <w:rPr>
                <w:rFonts w:eastAsia="Times New Roman" w:cstheme="minorHAnsi"/>
                <w:color w:val="000000"/>
                <w:sz w:val="20"/>
                <w:szCs w:val="20"/>
                <w:lang w:eastAsia="en-NZ"/>
              </w:rPr>
              <w:t>7.65</w:t>
            </w:r>
          </w:p>
        </w:tc>
        <w:tc>
          <w:tcPr>
            <w:tcW w:w="1276" w:type="dxa"/>
            <w:tcBorders>
              <w:left w:val="single" w:sz="4" w:space="0" w:color="00B050"/>
              <w:bottom w:val="single" w:sz="8" w:space="0" w:color="00B050"/>
              <w:right w:val="single" w:sz="4" w:space="0" w:color="00B050"/>
            </w:tcBorders>
            <w:shd w:val="clear" w:color="auto" w:fill="auto"/>
            <w:noWrap/>
            <w:hideMark/>
          </w:tcPr>
          <w:p w:rsidR="00030337" w:rsidRPr="001244BB" w:rsidRDefault="00030337" w:rsidP="00030337">
            <w:pPr>
              <w:spacing w:after="0" w:line="240" w:lineRule="auto"/>
              <w:jc w:val="right"/>
              <w:rPr>
                <w:rFonts w:eastAsia="Times New Roman" w:cstheme="minorHAnsi"/>
                <w:color w:val="000000"/>
                <w:sz w:val="20"/>
                <w:szCs w:val="20"/>
                <w:lang w:eastAsia="en-NZ"/>
              </w:rPr>
            </w:pPr>
            <w:r w:rsidRPr="001244BB">
              <w:rPr>
                <w:rFonts w:eastAsia="Times New Roman" w:cstheme="minorHAnsi"/>
                <w:color w:val="000000"/>
                <w:sz w:val="20"/>
                <w:szCs w:val="20"/>
                <w:lang w:eastAsia="en-NZ"/>
              </w:rPr>
              <w:t>9</w:t>
            </w:r>
            <w:r w:rsidR="005F3580">
              <w:rPr>
                <w:rFonts w:eastAsia="Times New Roman" w:cstheme="minorHAnsi"/>
                <w:color w:val="000000"/>
                <w:sz w:val="20"/>
                <w:szCs w:val="20"/>
                <w:lang w:eastAsia="en-NZ"/>
              </w:rPr>
              <w:t xml:space="preserve"> per 1000</w:t>
            </w:r>
            <w:r w:rsidR="001A5194">
              <w:rPr>
                <w:rFonts w:eastAsia="Times New Roman" w:cstheme="minorHAnsi"/>
                <w:color w:val="000000"/>
                <w:sz w:val="20"/>
                <w:szCs w:val="20"/>
                <w:lang w:eastAsia="en-NZ"/>
              </w:rPr>
              <w:t xml:space="preserve"> connections</w:t>
            </w:r>
          </w:p>
        </w:tc>
        <w:tc>
          <w:tcPr>
            <w:tcW w:w="1134" w:type="dxa"/>
            <w:tcBorders>
              <w:left w:val="single" w:sz="4" w:space="0" w:color="00B050"/>
              <w:bottom w:val="single" w:sz="8" w:space="0" w:color="00B050"/>
              <w:right w:val="single" w:sz="4" w:space="0" w:color="00B050"/>
            </w:tcBorders>
            <w:shd w:val="clear" w:color="000000" w:fill="D9D9D9"/>
            <w:hideMark/>
          </w:tcPr>
          <w:p w:rsidR="00030337" w:rsidRPr="001244BB" w:rsidRDefault="00030337" w:rsidP="00030337">
            <w:pPr>
              <w:spacing w:after="0" w:line="240" w:lineRule="auto"/>
              <w:jc w:val="right"/>
              <w:rPr>
                <w:rFonts w:eastAsia="Times New Roman" w:cstheme="minorHAnsi"/>
                <w:color w:val="000000"/>
                <w:sz w:val="20"/>
                <w:szCs w:val="20"/>
                <w:lang w:eastAsia="en-NZ"/>
              </w:rPr>
            </w:pPr>
            <w:r w:rsidRPr="001244BB">
              <w:rPr>
                <w:rFonts w:eastAsia="Times New Roman" w:cstheme="minorHAnsi"/>
                <w:color w:val="000000"/>
                <w:sz w:val="20"/>
                <w:szCs w:val="20"/>
                <w:lang w:eastAsia="en-NZ"/>
              </w:rPr>
              <w:t>&lt;20/1000</w:t>
            </w:r>
          </w:p>
        </w:tc>
        <w:tc>
          <w:tcPr>
            <w:tcW w:w="851" w:type="dxa"/>
            <w:tcBorders>
              <w:left w:val="single" w:sz="4" w:space="0" w:color="00B050"/>
              <w:bottom w:val="single" w:sz="8" w:space="0" w:color="00B050"/>
              <w:right w:val="single" w:sz="4" w:space="0" w:color="00B050"/>
            </w:tcBorders>
            <w:shd w:val="clear" w:color="auto" w:fill="auto"/>
            <w:hideMark/>
          </w:tcPr>
          <w:p w:rsidR="00030337" w:rsidRPr="001244BB" w:rsidRDefault="00030337" w:rsidP="00030337">
            <w:pPr>
              <w:spacing w:after="0" w:line="240" w:lineRule="auto"/>
              <w:jc w:val="right"/>
              <w:rPr>
                <w:rFonts w:eastAsia="Times New Roman" w:cstheme="minorHAnsi"/>
                <w:color w:val="000000"/>
                <w:sz w:val="20"/>
                <w:szCs w:val="20"/>
                <w:lang w:eastAsia="en-NZ"/>
              </w:rPr>
            </w:pPr>
            <w:r w:rsidRPr="001244BB">
              <w:rPr>
                <w:rFonts w:eastAsia="Times New Roman" w:cstheme="minorHAnsi"/>
                <w:color w:val="000000"/>
                <w:sz w:val="20"/>
                <w:szCs w:val="20"/>
                <w:lang w:eastAsia="en-NZ"/>
              </w:rPr>
              <w:t>57%</w:t>
            </w:r>
          </w:p>
        </w:tc>
        <w:tc>
          <w:tcPr>
            <w:tcW w:w="1134" w:type="dxa"/>
            <w:tcBorders>
              <w:left w:val="single" w:sz="4" w:space="0" w:color="00B050"/>
              <w:bottom w:val="single" w:sz="8" w:space="0" w:color="00B050"/>
              <w:right w:val="single" w:sz="4" w:space="0" w:color="00B050"/>
            </w:tcBorders>
            <w:shd w:val="clear" w:color="auto" w:fill="auto"/>
            <w:hideMark/>
          </w:tcPr>
          <w:p w:rsidR="00030337" w:rsidRPr="001244BB" w:rsidRDefault="00030337" w:rsidP="00030337">
            <w:pPr>
              <w:spacing w:after="0" w:line="240" w:lineRule="auto"/>
              <w:jc w:val="right"/>
              <w:rPr>
                <w:rFonts w:eastAsia="Times New Roman" w:cstheme="minorHAnsi"/>
                <w:color w:val="000000"/>
                <w:sz w:val="20"/>
                <w:szCs w:val="20"/>
                <w:lang w:eastAsia="en-NZ"/>
              </w:rPr>
            </w:pPr>
            <w:r w:rsidRPr="001244BB">
              <w:rPr>
                <w:rFonts w:eastAsia="Times New Roman" w:cstheme="minorHAnsi"/>
                <w:color w:val="000000"/>
                <w:sz w:val="20"/>
                <w:szCs w:val="20"/>
                <w:lang w:eastAsia="en-NZ"/>
              </w:rPr>
              <w:t>exceeded</w:t>
            </w:r>
          </w:p>
        </w:tc>
        <w:tc>
          <w:tcPr>
            <w:tcW w:w="4635" w:type="dxa"/>
            <w:tcBorders>
              <w:top w:val="single" w:sz="4" w:space="0" w:color="FFFFFF" w:themeColor="background1"/>
              <w:left w:val="single" w:sz="4" w:space="0" w:color="00B050"/>
              <w:bottom w:val="single" w:sz="4" w:space="0" w:color="00B050"/>
              <w:right w:val="nil"/>
            </w:tcBorders>
            <w:shd w:val="clear" w:color="auto" w:fill="auto"/>
            <w:hideMark/>
          </w:tcPr>
          <w:p w:rsidR="00030337" w:rsidRPr="001244BB" w:rsidRDefault="00030337" w:rsidP="00145BEF">
            <w:pPr>
              <w:spacing w:after="0"/>
              <w:rPr>
                <w:rFonts w:cstheme="minorHAnsi"/>
                <w:color w:val="000000"/>
                <w:sz w:val="20"/>
                <w:szCs w:val="20"/>
              </w:rPr>
            </w:pPr>
            <w:r w:rsidRPr="001244BB">
              <w:rPr>
                <w:rFonts w:cstheme="minorHAnsi"/>
                <w:color w:val="000000"/>
                <w:sz w:val="20"/>
                <w:szCs w:val="20"/>
              </w:rPr>
              <w:t xml:space="preserve">The year ending figure indicates that customers are not reporting many complaints about the performance of the stormwater service, </w:t>
            </w:r>
            <w:r w:rsidR="00145BEF">
              <w:rPr>
                <w:rFonts w:cstheme="minorHAnsi"/>
                <w:color w:val="000000"/>
                <w:sz w:val="20"/>
                <w:szCs w:val="20"/>
              </w:rPr>
              <w:t>but</w:t>
            </w:r>
            <w:r w:rsidR="00145BEF" w:rsidRPr="001244BB">
              <w:rPr>
                <w:rFonts w:cstheme="minorHAnsi"/>
                <w:color w:val="000000"/>
                <w:sz w:val="20"/>
                <w:szCs w:val="20"/>
              </w:rPr>
              <w:t xml:space="preserve"> </w:t>
            </w:r>
            <w:r w:rsidRPr="001244BB">
              <w:rPr>
                <w:rFonts w:cstheme="minorHAnsi"/>
                <w:color w:val="000000"/>
                <w:sz w:val="20"/>
                <w:szCs w:val="20"/>
              </w:rPr>
              <w:t>satisfaction is down.</w:t>
            </w:r>
          </w:p>
        </w:tc>
      </w:tr>
      <w:tr w:rsidR="00030337" w:rsidRPr="001244BB" w:rsidTr="00030337">
        <w:trPr>
          <w:trHeight w:val="270"/>
        </w:trPr>
        <w:tc>
          <w:tcPr>
            <w:tcW w:w="3672" w:type="dxa"/>
            <w:tcBorders>
              <w:top w:val="nil"/>
              <w:left w:val="nil"/>
              <w:bottom w:val="single" w:sz="8" w:space="0" w:color="00B050"/>
              <w:right w:val="single" w:sz="4" w:space="0" w:color="00B050"/>
            </w:tcBorders>
            <w:shd w:val="clear" w:color="auto" w:fill="auto"/>
            <w:hideMark/>
          </w:tcPr>
          <w:p w:rsidR="00030337" w:rsidRPr="001244BB" w:rsidRDefault="00030337" w:rsidP="00030337">
            <w:pPr>
              <w:spacing w:after="0" w:line="240" w:lineRule="auto"/>
              <w:rPr>
                <w:rFonts w:eastAsia="Times New Roman" w:cstheme="minorHAnsi"/>
                <w:color w:val="000000"/>
                <w:sz w:val="20"/>
                <w:szCs w:val="20"/>
                <w:lang w:eastAsia="en-NZ"/>
              </w:rPr>
            </w:pPr>
            <w:r w:rsidRPr="001244BB">
              <w:rPr>
                <w:rFonts w:eastAsia="Times New Roman" w:cstheme="minorHAnsi"/>
                <w:color w:val="000000"/>
                <w:sz w:val="20"/>
                <w:szCs w:val="20"/>
                <w:lang w:eastAsia="en-NZ"/>
              </w:rPr>
              <w:t>Residents (%) satisfied with the stormwater system</w:t>
            </w:r>
          </w:p>
        </w:tc>
        <w:tc>
          <w:tcPr>
            <w:tcW w:w="1140" w:type="dxa"/>
            <w:tcBorders>
              <w:top w:val="single" w:sz="8" w:space="0" w:color="00B050"/>
              <w:left w:val="single" w:sz="4" w:space="0" w:color="00B050"/>
              <w:bottom w:val="nil"/>
              <w:right w:val="single" w:sz="4" w:space="0" w:color="00B050"/>
            </w:tcBorders>
            <w:shd w:val="clear" w:color="auto" w:fill="auto"/>
            <w:noWrap/>
            <w:hideMark/>
          </w:tcPr>
          <w:p w:rsidR="00030337" w:rsidRPr="001244BB" w:rsidRDefault="00030337" w:rsidP="00030337">
            <w:pPr>
              <w:spacing w:after="0" w:line="240" w:lineRule="auto"/>
              <w:jc w:val="right"/>
              <w:rPr>
                <w:rFonts w:eastAsia="Times New Roman" w:cstheme="minorHAnsi"/>
                <w:color w:val="000000"/>
                <w:sz w:val="20"/>
                <w:szCs w:val="20"/>
                <w:lang w:eastAsia="en-NZ"/>
              </w:rPr>
            </w:pPr>
            <w:r w:rsidRPr="001244BB">
              <w:rPr>
                <w:rFonts w:eastAsia="Times New Roman" w:cstheme="minorHAnsi"/>
                <w:color w:val="000000"/>
                <w:sz w:val="20"/>
                <w:szCs w:val="20"/>
                <w:lang w:eastAsia="en-NZ"/>
              </w:rPr>
              <w:t>62%</w:t>
            </w:r>
          </w:p>
        </w:tc>
        <w:tc>
          <w:tcPr>
            <w:tcW w:w="1142" w:type="dxa"/>
            <w:gridSpan w:val="2"/>
            <w:tcBorders>
              <w:top w:val="single" w:sz="8" w:space="0" w:color="00B050"/>
              <w:left w:val="single" w:sz="4" w:space="0" w:color="00B050"/>
              <w:bottom w:val="nil"/>
              <w:right w:val="single" w:sz="4" w:space="0" w:color="00B050"/>
            </w:tcBorders>
            <w:shd w:val="clear" w:color="auto" w:fill="auto"/>
            <w:noWrap/>
            <w:hideMark/>
          </w:tcPr>
          <w:p w:rsidR="00030337" w:rsidRPr="001244BB" w:rsidRDefault="00030337" w:rsidP="00030337">
            <w:pPr>
              <w:spacing w:after="0" w:line="240" w:lineRule="auto"/>
              <w:jc w:val="right"/>
              <w:rPr>
                <w:rFonts w:eastAsia="Times New Roman" w:cstheme="minorHAnsi"/>
                <w:color w:val="000000"/>
                <w:sz w:val="20"/>
                <w:szCs w:val="20"/>
                <w:lang w:eastAsia="en-NZ"/>
              </w:rPr>
            </w:pPr>
            <w:r w:rsidRPr="001244BB">
              <w:rPr>
                <w:rFonts w:eastAsia="Times New Roman" w:cstheme="minorHAnsi"/>
                <w:color w:val="000000"/>
                <w:sz w:val="20"/>
                <w:szCs w:val="20"/>
                <w:lang w:eastAsia="en-NZ"/>
              </w:rPr>
              <w:t>62%</w:t>
            </w:r>
          </w:p>
        </w:tc>
        <w:tc>
          <w:tcPr>
            <w:tcW w:w="1276" w:type="dxa"/>
            <w:tcBorders>
              <w:top w:val="single" w:sz="8" w:space="0" w:color="00B050"/>
              <w:left w:val="single" w:sz="4" w:space="0" w:color="00B050"/>
              <w:bottom w:val="nil"/>
              <w:right w:val="single" w:sz="4" w:space="0" w:color="00B050"/>
            </w:tcBorders>
            <w:shd w:val="clear" w:color="auto" w:fill="auto"/>
            <w:noWrap/>
            <w:hideMark/>
          </w:tcPr>
          <w:p w:rsidR="00030337" w:rsidRPr="001244BB" w:rsidRDefault="00030337" w:rsidP="00030337">
            <w:pPr>
              <w:spacing w:after="0" w:line="240" w:lineRule="auto"/>
              <w:jc w:val="right"/>
              <w:rPr>
                <w:rFonts w:eastAsia="Times New Roman" w:cstheme="minorHAnsi"/>
                <w:color w:val="000000"/>
                <w:sz w:val="20"/>
                <w:szCs w:val="20"/>
                <w:lang w:eastAsia="en-NZ"/>
              </w:rPr>
            </w:pPr>
            <w:r w:rsidRPr="001244BB">
              <w:rPr>
                <w:rFonts w:eastAsia="Times New Roman" w:cstheme="minorHAnsi"/>
                <w:color w:val="000000"/>
                <w:sz w:val="20"/>
                <w:szCs w:val="20"/>
                <w:lang w:eastAsia="en-NZ"/>
              </w:rPr>
              <w:t>51%</w:t>
            </w:r>
          </w:p>
        </w:tc>
        <w:tc>
          <w:tcPr>
            <w:tcW w:w="1134" w:type="dxa"/>
            <w:tcBorders>
              <w:top w:val="single" w:sz="4" w:space="0" w:color="00B050"/>
              <w:left w:val="single" w:sz="4" w:space="0" w:color="00B050"/>
              <w:bottom w:val="single" w:sz="8" w:space="0" w:color="00B050"/>
              <w:right w:val="single" w:sz="4" w:space="0" w:color="00B050"/>
            </w:tcBorders>
            <w:shd w:val="clear" w:color="000000" w:fill="D9D9D9"/>
            <w:hideMark/>
          </w:tcPr>
          <w:p w:rsidR="00030337" w:rsidRPr="001244BB" w:rsidRDefault="00030337" w:rsidP="00030337">
            <w:pPr>
              <w:spacing w:after="0" w:line="240" w:lineRule="auto"/>
              <w:jc w:val="right"/>
              <w:rPr>
                <w:rFonts w:eastAsia="Times New Roman" w:cstheme="minorHAnsi"/>
                <w:color w:val="000000"/>
                <w:sz w:val="20"/>
                <w:szCs w:val="20"/>
                <w:lang w:eastAsia="en-NZ"/>
              </w:rPr>
            </w:pPr>
            <w:r w:rsidRPr="001244BB">
              <w:rPr>
                <w:rFonts w:eastAsia="Times New Roman" w:cstheme="minorHAnsi"/>
                <w:color w:val="000000"/>
                <w:sz w:val="20"/>
                <w:szCs w:val="20"/>
                <w:lang w:eastAsia="en-NZ"/>
              </w:rPr>
              <w:t>75%</w:t>
            </w:r>
          </w:p>
        </w:tc>
        <w:tc>
          <w:tcPr>
            <w:tcW w:w="851" w:type="dxa"/>
            <w:tcBorders>
              <w:top w:val="single" w:sz="4" w:space="0" w:color="00B050"/>
              <w:left w:val="single" w:sz="4" w:space="0" w:color="00B050"/>
              <w:bottom w:val="nil"/>
              <w:right w:val="single" w:sz="4" w:space="0" w:color="00B050"/>
            </w:tcBorders>
            <w:shd w:val="clear" w:color="auto" w:fill="auto"/>
            <w:hideMark/>
          </w:tcPr>
          <w:p w:rsidR="00030337" w:rsidRPr="001244BB" w:rsidRDefault="00030337" w:rsidP="00030337">
            <w:pPr>
              <w:spacing w:after="0" w:line="240" w:lineRule="auto"/>
              <w:jc w:val="right"/>
              <w:rPr>
                <w:rFonts w:eastAsia="Times New Roman" w:cstheme="minorHAnsi"/>
                <w:sz w:val="20"/>
                <w:szCs w:val="20"/>
                <w:lang w:eastAsia="en-NZ"/>
              </w:rPr>
            </w:pPr>
            <w:r w:rsidRPr="001244BB">
              <w:rPr>
                <w:rFonts w:eastAsia="Times New Roman" w:cstheme="minorHAnsi"/>
                <w:sz w:val="20"/>
                <w:szCs w:val="20"/>
                <w:lang w:eastAsia="en-NZ"/>
              </w:rPr>
              <w:t>-32%</w:t>
            </w:r>
          </w:p>
        </w:tc>
        <w:tc>
          <w:tcPr>
            <w:tcW w:w="1134" w:type="dxa"/>
            <w:tcBorders>
              <w:top w:val="single" w:sz="4" w:space="0" w:color="00B050"/>
              <w:left w:val="single" w:sz="4" w:space="0" w:color="00B050"/>
              <w:bottom w:val="nil"/>
              <w:right w:val="single" w:sz="4" w:space="0" w:color="00B050"/>
            </w:tcBorders>
            <w:shd w:val="clear" w:color="auto" w:fill="auto"/>
            <w:hideMark/>
          </w:tcPr>
          <w:p w:rsidR="00030337" w:rsidRPr="001244BB" w:rsidRDefault="00030337" w:rsidP="00030337">
            <w:pPr>
              <w:spacing w:after="0" w:line="240" w:lineRule="auto"/>
              <w:jc w:val="right"/>
              <w:rPr>
                <w:rFonts w:eastAsia="Times New Roman" w:cstheme="minorHAnsi"/>
                <w:sz w:val="20"/>
                <w:szCs w:val="20"/>
                <w:lang w:eastAsia="en-NZ"/>
              </w:rPr>
            </w:pPr>
            <w:r w:rsidRPr="001244BB">
              <w:rPr>
                <w:rFonts w:eastAsia="Times New Roman" w:cstheme="minorHAnsi"/>
                <w:sz w:val="20"/>
                <w:szCs w:val="20"/>
                <w:lang w:eastAsia="en-NZ"/>
              </w:rPr>
              <w:t>Not met</w:t>
            </w:r>
          </w:p>
        </w:tc>
        <w:tc>
          <w:tcPr>
            <w:tcW w:w="4635" w:type="dxa"/>
            <w:tcBorders>
              <w:top w:val="single" w:sz="4" w:space="0" w:color="00B050"/>
              <w:left w:val="single" w:sz="4" w:space="0" w:color="00B050"/>
              <w:bottom w:val="single" w:sz="4" w:space="0" w:color="00B050"/>
              <w:right w:val="nil"/>
            </w:tcBorders>
            <w:shd w:val="clear" w:color="auto" w:fill="FFFFFF" w:themeFill="background1"/>
            <w:hideMark/>
          </w:tcPr>
          <w:p w:rsidR="00030337" w:rsidRPr="001244BB" w:rsidRDefault="00030337" w:rsidP="00030337">
            <w:pPr>
              <w:spacing w:after="0"/>
              <w:rPr>
                <w:rFonts w:cstheme="minorHAnsi"/>
                <w:color w:val="000000"/>
                <w:sz w:val="20"/>
                <w:szCs w:val="20"/>
              </w:rPr>
            </w:pPr>
            <w:r w:rsidRPr="001244BB">
              <w:rPr>
                <w:rFonts w:cstheme="minorHAnsi"/>
                <w:color w:val="000000"/>
                <w:sz w:val="20"/>
                <w:szCs w:val="20"/>
              </w:rPr>
              <w:t xml:space="preserve">Result is down on previous year, residents' concerns centred </w:t>
            </w:r>
            <w:proofErr w:type="gramStart"/>
            <w:r w:rsidRPr="001244BB">
              <w:rPr>
                <w:rFonts w:cstheme="minorHAnsi"/>
                <w:color w:val="000000"/>
                <w:sz w:val="20"/>
                <w:szCs w:val="20"/>
              </w:rPr>
              <w:t>around</w:t>
            </w:r>
            <w:proofErr w:type="gramEnd"/>
            <w:r w:rsidRPr="001244BB">
              <w:rPr>
                <w:rFonts w:cstheme="minorHAnsi"/>
                <w:color w:val="000000"/>
                <w:sz w:val="20"/>
                <w:szCs w:val="20"/>
              </w:rPr>
              <w:t xml:space="preserve"> debris blocking drains and some residents expressing they have just taken to clearing the drains themselves.</w:t>
            </w:r>
          </w:p>
        </w:tc>
      </w:tr>
      <w:tr w:rsidR="00030337" w:rsidRPr="001244BB" w:rsidTr="00030337">
        <w:trPr>
          <w:trHeight w:val="255"/>
        </w:trPr>
        <w:tc>
          <w:tcPr>
            <w:tcW w:w="14984" w:type="dxa"/>
            <w:gridSpan w:val="9"/>
            <w:tcBorders>
              <w:top w:val="nil"/>
              <w:left w:val="nil"/>
              <w:right w:val="nil"/>
            </w:tcBorders>
            <w:shd w:val="clear" w:color="000000" w:fill="00B050"/>
            <w:noWrap/>
            <w:hideMark/>
          </w:tcPr>
          <w:p w:rsidR="00030337" w:rsidRPr="001244BB" w:rsidRDefault="00030337" w:rsidP="00030337">
            <w:pPr>
              <w:spacing w:after="0" w:line="240" w:lineRule="auto"/>
              <w:rPr>
                <w:rFonts w:eastAsia="Times New Roman" w:cstheme="minorHAnsi"/>
                <w:color w:val="000000"/>
                <w:sz w:val="24"/>
                <w:szCs w:val="20"/>
                <w:lang w:eastAsia="en-NZ"/>
              </w:rPr>
            </w:pPr>
            <w:r w:rsidRPr="001244BB">
              <w:rPr>
                <w:rFonts w:eastAsia="Times New Roman" w:cstheme="minorHAnsi"/>
                <w:b/>
                <w:bCs/>
                <w:color w:val="FFFFFF"/>
                <w:sz w:val="24"/>
                <w:szCs w:val="20"/>
                <w:lang w:eastAsia="en-NZ"/>
              </w:rPr>
              <w:t>2.6 Ngā painga kukume Papa Atawha | Conservation attractions </w:t>
            </w:r>
          </w:p>
        </w:tc>
      </w:tr>
      <w:tr w:rsidR="00030337" w:rsidRPr="001244BB" w:rsidTr="00030337">
        <w:trPr>
          <w:trHeight w:val="315"/>
        </w:trPr>
        <w:tc>
          <w:tcPr>
            <w:tcW w:w="14984" w:type="dxa"/>
            <w:gridSpan w:val="9"/>
            <w:tcBorders>
              <w:top w:val="nil"/>
              <w:left w:val="nil"/>
            </w:tcBorders>
            <w:shd w:val="clear" w:color="auto" w:fill="EAF1DD" w:themeFill="accent3" w:themeFillTint="33"/>
            <w:hideMark/>
          </w:tcPr>
          <w:p w:rsidR="00030337" w:rsidRPr="001244BB" w:rsidRDefault="00030337" w:rsidP="00030337">
            <w:pPr>
              <w:spacing w:after="0" w:line="240" w:lineRule="auto"/>
              <w:rPr>
                <w:rFonts w:eastAsia="Times New Roman" w:cstheme="minorHAnsi"/>
                <w:b/>
                <w:sz w:val="20"/>
                <w:szCs w:val="20"/>
                <w:lang w:eastAsia="en-NZ"/>
              </w:rPr>
            </w:pPr>
            <w:r w:rsidRPr="001244BB">
              <w:rPr>
                <w:rFonts w:eastAsia="Times New Roman" w:cstheme="minorHAnsi"/>
                <w:b/>
                <w:sz w:val="20"/>
                <w:szCs w:val="20"/>
                <w:lang w:eastAsia="en-NZ"/>
              </w:rPr>
              <w:t>Wellington Zoo</w:t>
            </w:r>
          </w:p>
        </w:tc>
      </w:tr>
      <w:tr w:rsidR="00030337" w:rsidRPr="001244BB" w:rsidTr="00030337">
        <w:trPr>
          <w:trHeight w:val="255"/>
        </w:trPr>
        <w:tc>
          <w:tcPr>
            <w:tcW w:w="3672" w:type="dxa"/>
            <w:tcBorders>
              <w:left w:val="nil"/>
              <w:bottom w:val="nil"/>
              <w:right w:val="single" w:sz="4" w:space="0" w:color="00B050"/>
            </w:tcBorders>
            <w:shd w:val="clear" w:color="auto" w:fill="auto"/>
            <w:hideMark/>
          </w:tcPr>
          <w:p w:rsidR="00030337" w:rsidRPr="001244BB" w:rsidRDefault="00030337" w:rsidP="00030337">
            <w:pPr>
              <w:spacing w:after="0" w:line="240" w:lineRule="auto"/>
              <w:rPr>
                <w:rFonts w:eastAsia="Times New Roman" w:cstheme="minorHAnsi"/>
                <w:color w:val="000000"/>
                <w:sz w:val="20"/>
                <w:szCs w:val="20"/>
                <w:lang w:eastAsia="en-NZ"/>
              </w:rPr>
            </w:pPr>
            <w:r w:rsidRPr="001244BB">
              <w:rPr>
                <w:rFonts w:eastAsia="Times New Roman" w:cstheme="minorHAnsi"/>
                <w:color w:val="000000"/>
                <w:sz w:val="20"/>
                <w:szCs w:val="20"/>
                <w:lang w:eastAsia="en-NZ"/>
              </w:rPr>
              <w:t>Total number of visitors</w:t>
            </w:r>
          </w:p>
        </w:tc>
        <w:tc>
          <w:tcPr>
            <w:tcW w:w="1140" w:type="dxa"/>
            <w:tcBorders>
              <w:left w:val="single" w:sz="4" w:space="0" w:color="00B050"/>
              <w:bottom w:val="single" w:sz="8" w:space="0" w:color="00B050"/>
              <w:right w:val="single" w:sz="4" w:space="0" w:color="00B050"/>
            </w:tcBorders>
            <w:shd w:val="clear" w:color="auto" w:fill="auto"/>
            <w:noWrap/>
            <w:hideMark/>
          </w:tcPr>
          <w:p w:rsidR="00030337" w:rsidRPr="001244BB" w:rsidRDefault="00030337" w:rsidP="00030337">
            <w:pPr>
              <w:spacing w:after="0" w:line="240" w:lineRule="auto"/>
              <w:jc w:val="right"/>
              <w:rPr>
                <w:rFonts w:eastAsia="Times New Roman" w:cstheme="minorHAnsi"/>
                <w:color w:val="000000"/>
                <w:sz w:val="20"/>
                <w:szCs w:val="20"/>
                <w:lang w:eastAsia="en-NZ"/>
              </w:rPr>
            </w:pPr>
            <w:r w:rsidRPr="001244BB">
              <w:rPr>
                <w:rFonts w:eastAsia="Times New Roman" w:cstheme="minorHAnsi"/>
                <w:color w:val="000000"/>
                <w:sz w:val="20"/>
                <w:szCs w:val="20"/>
                <w:lang w:eastAsia="en-NZ"/>
              </w:rPr>
              <w:t xml:space="preserve">230,632 </w:t>
            </w:r>
          </w:p>
        </w:tc>
        <w:tc>
          <w:tcPr>
            <w:tcW w:w="1142" w:type="dxa"/>
            <w:gridSpan w:val="2"/>
            <w:tcBorders>
              <w:left w:val="single" w:sz="4" w:space="0" w:color="00B050"/>
              <w:bottom w:val="single" w:sz="8" w:space="0" w:color="00B050"/>
              <w:right w:val="single" w:sz="4" w:space="0" w:color="00B050"/>
            </w:tcBorders>
            <w:shd w:val="clear" w:color="auto" w:fill="auto"/>
            <w:noWrap/>
            <w:hideMark/>
          </w:tcPr>
          <w:p w:rsidR="00030337" w:rsidRPr="001244BB" w:rsidRDefault="00030337" w:rsidP="00030337">
            <w:pPr>
              <w:spacing w:after="0" w:line="240" w:lineRule="auto"/>
              <w:jc w:val="right"/>
              <w:rPr>
                <w:rFonts w:eastAsia="Times New Roman" w:cstheme="minorHAnsi"/>
                <w:color w:val="000000"/>
                <w:sz w:val="20"/>
                <w:szCs w:val="20"/>
                <w:lang w:eastAsia="en-NZ"/>
              </w:rPr>
            </w:pPr>
            <w:r w:rsidRPr="001244BB">
              <w:rPr>
                <w:rFonts w:eastAsia="Times New Roman" w:cstheme="minorHAnsi"/>
                <w:color w:val="000000"/>
                <w:sz w:val="20"/>
                <w:szCs w:val="20"/>
                <w:lang w:eastAsia="en-NZ"/>
              </w:rPr>
              <w:t xml:space="preserve">249,701 </w:t>
            </w:r>
          </w:p>
        </w:tc>
        <w:tc>
          <w:tcPr>
            <w:tcW w:w="1276" w:type="dxa"/>
            <w:tcBorders>
              <w:left w:val="single" w:sz="4" w:space="0" w:color="00B050"/>
              <w:bottom w:val="single" w:sz="8" w:space="0" w:color="00B050"/>
              <w:right w:val="single" w:sz="4" w:space="0" w:color="00B050"/>
            </w:tcBorders>
            <w:shd w:val="clear" w:color="auto" w:fill="auto"/>
            <w:noWrap/>
            <w:hideMark/>
          </w:tcPr>
          <w:p w:rsidR="00030337" w:rsidRPr="001244BB" w:rsidRDefault="00030337" w:rsidP="00030337">
            <w:pPr>
              <w:spacing w:after="0" w:line="240" w:lineRule="auto"/>
              <w:jc w:val="right"/>
              <w:rPr>
                <w:rFonts w:eastAsia="Times New Roman" w:cstheme="minorHAnsi"/>
                <w:color w:val="000000"/>
                <w:sz w:val="20"/>
                <w:szCs w:val="20"/>
                <w:lang w:eastAsia="en-NZ"/>
              </w:rPr>
            </w:pPr>
            <w:r w:rsidRPr="001244BB">
              <w:rPr>
                <w:rFonts w:eastAsia="Times New Roman" w:cstheme="minorHAnsi"/>
                <w:color w:val="000000"/>
                <w:sz w:val="20"/>
                <w:szCs w:val="20"/>
                <w:lang w:eastAsia="en-NZ"/>
              </w:rPr>
              <w:t>252,973</w:t>
            </w:r>
          </w:p>
        </w:tc>
        <w:tc>
          <w:tcPr>
            <w:tcW w:w="1134" w:type="dxa"/>
            <w:tcBorders>
              <w:left w:val="single" w:sz="4" w:space="0" w:color="00B050"/>
              <w:bottom w:val="single" w:sz="8" w:space="0" w:color="00B050"/>
              <w:right w:val="single" w:sz="4" w:space="0" w:color="00B050"/>
            </w:tcBorders>
            <w:shd w:val="clear" w:color="000000" w:fill="D9D9D9"/>
            <w:hideMark/>
          </w:tcPr>
          <w:p w:rsidR="00030337" w:rsidRPr="001244BB" w:rsidRDefault="00030337" w:rsidP="00030337">
            <w:pPr>
              <w:spacing w:after="0" w:line="240" w:lineRule="auto"/>
              <w:jc w:val="right"/>
              <w:rPr>
                <w:rFonts w:eastAsia="Times New Roman" w:cstheme="minorHAnsi"/>
                <w:color w:val="000000"/>
                <w:sz w:val="20"/>
                <w:szCs w:val="20"/>
                <w:lang w:eastAsia="en-NZ"/>
              </w:rPr>
            </w:pPr>
            <w:r w:rsidRPr="001244BB">
              <w:rPr>
                <w:rFonts w:eastAsia="Times New Roman" w:cstheme="minorHAnsi"/>
                <w:color w:val="000000"/>
                <w:sz w:val="20"/>
                <w:szCs w:val="20"/>
                <w:lang w:eastAsia="en-NZ"/>
              </w:rPr>
              <w:t xml:space="preserve">   244,420 </w:t>
            </w:r>
          </w:p>
        </w:tc>
        <w:tc>
          <w:tcPr>
            <w:tcW w:w="851" w:type="dxa"/>
            <w:tcBorders>
              <w:left w:val="single" w:sz="4" w:space="0" w:color="00B050"/>
              <w:bottom w:val="single" w:sz="8" w:space="0" w:color="00B050"/>
              <w:right w:val="single" w:sz="4" w:space="0" w:color="00B050"/>
            </w:tcBorders>
            <w:shd w:val="clear" w:color="auto" w:fill="auto"/>
            <w:hideMark/>
          </w:tcPr>
          <w:p w:rsidR="00030337" w:rsidRPr="001244BB" w:rsidRDefault="00030337" w:rsidP="00030337">
            <w:pPr>
              <w:spacing w:after="0" w:line="240" w:lineRule="auto"/>
              <w:jc w:val="right"/>
              <w:rPr>
                <w:rFonts w:eastAsia="Times New Roman" w:cstheme="minorHAnsi"/>
                <w:color w:val="000000"/>
                <w:sz w:val="20"/>
                <w:szCs w:val="20"/>
                <w:lang w:eastAsia="en-NZ"/>
              </w:rPr>
            </w:pPr>
            <w:r w:rsidRPr="001244BB">
              <w:rPr>
                <w:rFonts w:eastAsia="Times New Roman" w:cstheme="minorHAnsi"/>
                <w:color w:val="000000"/>
                <w:sz w:val="20"/>
                <w:szCs w:val="20"/>
                <w:lang w:eastAsia="en-NZ"/>
              </w:rPr>
              <w:t>3%</w:t>
            </w:r>
          </w:p>
        </w:tc>
        <w:tc>
          <w:tcPr>
            <w:tcW w:w="1134" w:type="dxa"/>
            <w:tcBorders>
              <w:left w:val="single" w:sz="4" w:space="0" w:color="00B050"/>
              <w:bottom w:val="single" w:sz="8" w:space="0" w:color="00B050"/>
              <w:right w:val="single" w:sz="4" w:space="0" w:color="00B050"/>
            </w:tcBorders>
            <w:shd w:val="clear" w:color="auto" w:fill="auto"/>
            <w:hideMark/>
          </w:tcPr>
          <w:p w:rsidR="00030337" w:rsidRPr="001244BB" w:rsidRDefault="004A2F47" w:rsidP="00030337">
            <w:pPr>
              <w:spacing w:after="0" w:line="240" w:lineRule="auto"/>
              <w:jc w:val="right"/>
              <w:rPr>
                <w:rFonts w:eastAsia="Times New Roman" w:cstheme="minorHAnsi"/>
                <w:color w:val="000000"/>
                <w:sz w:val="20"/>
                <w:szCs w:val="20"/>
                <w:lang w:eastAsia="en-NZ"/>
              </w:rPr>
            </w:pPr>
            <w:r>
              <w:rPr>
                <w:rFonts w:eastAsia="Times New Roman" w:cstheme="minorHAnsi"/>
                <w:color w:val="000000"/>
                <w:sz w:val="20"/>
                <w:szCs w:val="20"/>
                <w:lang w:eastAsia="en-NZ"/>
              </w:rPr>
              <w:t>Within 10%</w:t>
            </w:r>
          </w:p>
        </w:tc>
        <w:tc>
          <w:tcPr>
            <w:tcW w:w="4635" w:type="dxa"/>
            <w:tcBorders>
              <w:left w:val="single" w:sz="4" w:space="0" w:color="00B050"/>
              <w:bottom w:val="single" w:sz="8" w:space="0" w:color="00B050"/>
              <w:right w:val="nil"/>
            </w:tcBorders>
            <w:shd w:val="clear" w:color="auto" w:fill="auto"/>
          </w:tcPr>
          <w:p w:rsidR="00030337" w:rsidRPr="001244BB" w:rsidRDefault="00030337" w:rsidP="00030337">
            <w:pPr>
              <w:spacing w:after="0" w:line="240" w:lineRule="auto"/>
              <w:jc w:val="right"/>
              <w:rPr>
                <w:rFonts w:eastAsia="Times New Roman" w:cstheme="minorHAnsi"/>
                <w:color w:val="000000"/>
                <w:sz w:val="20"/>
                <w:szCs w:val="20"/>
                <w:lang w:eastAsia="en-NZ"/>
              </w:rPr>
            </w:pPr>
          </w:p>
        </w:tc>
      </w:tr>
      <w:tr w:rsidR="00030337" w:rsidRPr="001244BB" w:rsidTr="00030337">
        <w:trPr>
          <w:trHeight w:val="270"/>
        </w:trPr>
        <w:tc>
          <w:tcPr>
            <w:tcW w:w="3672" w:type="dxa"/>
            <w:tcBorders>
              <w:top w:val="nil"/>
              <w:left w:val="nil"/>
              <w:bottom w:val="single" w:sz="8" w:space="0" w:color="00B050"/>
              <w:right w:val="single" w:sz="4" w:space="0" w:color="00B050"/>
            </w:tcBorders>
            <w:shd w:val="clear" w:color="auto" w:fill="auto"/>
            <w:hideMark/>
          </w:tcPr>
          <w:p w:rsidR="00030337" w:rsidRPr="001244BB" w:rsidRDefault="00030337" w:rsidP="00030337">
            <w:pPr>
              <w:spacing w:after="0" w:line="240" w:lineRule="auto"/>
              <w:rPr>
                <w:rFonts w:eastAsia="Times New Roman" w:cstheme="minorHAnsi"/>
                <w:color w:val="000000"/>
                <w:sz w:val="20"/>
                <w:szCs w:val="20"/>
                <w:lang w:eastAsia="en-NZ"/>
              </w:rPr>
            </w:pPr>
            <w:r w:rsidRPr="001244BB">
              <w:rPr>
                <w:rFonts w:eastAsia="Times New Roman" w:cstheme="minorHAnsi"/>
                <w:color w:val="000000"/>
                <w:sz w:val="20"/>
                <w:szCs w:val="20"/>
                <w:lang w:eastAsia="en-NZ"/>
              </w:rPr>
              <w:t>Education visitors</w:t>
            </w:r>
          </w:p>
        </w:tc>
        <w:tc>
          <w:tcPr>
            <w:tcW w:w="1140" w:type="dxa"/>
            <w:tcBorders>
              <w:top w:val="single" w:sz="8" w:space="0" w:color="00B050"/>
              <w:left w:val="single" w:sz="4" w:space="0" w:color="00B050"/>
              <w:bottom w:val="single" w:sz="8" w:space="0" w:color="00B050"/>
              <w:right w:val="single" w:sz="4" w:space="0" w:color="00B050"/>
            </w:tcBorders>
            <w:shd w:val="clear" w:color="auto" w:fill="auto"/>
            <w:noWrap/>
            <w:hideMark/>
          </w:tcPr>
          <w:p w:rsidR="00030337" w:rsidRPr="001244BB" w:rsidRDefault="00030337" w:rsidP="00030337">
            <w:pPr>
              <w:spacing w:after="0" w:line="240" w:lineRule="auto"/>
              <w:jc w:val="right"/>
              <w:rPr>
                <w:rFonts w:eastAsia="Times New Roman" w:cstheme="minorHAnsi"/>
                <w:color w:val="000000"/>
                <w:sz w:val="20"/>
                <w:szCs w:val="20"/>
                <w:lang w:eastAsia="en-NZ"/>
              </w:rPr>
            </w:pPr>
            <w:r w:rsidRPr="001244BB">
              <w:rPr>
                <w:rFonts w:eastAsia="Times New Roman" w:cstheme="minorHAnsi"/>
                <w:color w:val="000000"/>
                <w:sz w:val="20"/>
                <w:szCs w:val="20"/>
                <w:lang w:eastAsia="en-NZ"/>
              </w:rPr>
              <w:t xml:space="preserve">10,754 </w:t>
            </w:r>
          </w:p>
        </w:tc>
        <w:tc>
          <w:tcPr>
            <w:tcW w:w="1142" w:type="dxa"/>
            <w:gridSpan w:val="2"/>
            <w:tcBorders>
              <w:top w:val="single" w:sz="8" w:space="0" w:color="00B050"/>
              <w:left w:val="single" w:sz="4" w:space="0" w:color="00B050"/>
              <w:bottom w:val="single" w:sz="8" w:space="0" w:color="00B050"/>
              <w:right w:val="single" w:sz="4" w:space="0" w:color="00B050"/>
            </w:tcBorders>
            <w:shd w:val="clear" w:color="auto" w:fill="auto"/>
            <w:noWrap/>
            <w:hideMark/>
          </w:tcPr>
          <w:p w:rsidR="00030337" w:rsidRPr="001244BB" w:rsidRDefault="00030337" w:rsidP="00030337">
            <w:pPr>
              <w:spacing w:after="0" w:line="240" w:lineRule="auto"/>
              <w:jc w:val="right"/>
              <w:rPr>
                <w:rFonts w:eastAsia="Times New Roman" w:cstheme="minorHAnsi"/>
                <w:color w:val="000000"/>
                <w:sz w:val="20"/>
                <w:szCs w:val="20"/>
                <w:lang w:eastAsia="en-NZ"/>
              </w:rPr>
            </w:pPr>
            <w:r w:rsidRPr="001244BB">
              <w:rPr>
                <w:rFonts w:eastAsia="Times New Roman" w:cstheme="minorHAnsi"/>
                <w:color w:val="000000"/>
                <w:sz w:val="20"/>
                <w:szCs w:val="20"/>
                <w:lang w:eastAsia="en-NZ"/>
              </w:rPr>
              <w:t xml:space="preserve">10,414 </w:t>
            </w:r>
          </w:p>
        </w:tc>
        <w:tc>
          <w:tcPr>
            <w:tcW w:w="1276" w:type="dxa"/>
            <w:tcBorders>
              <w:top w:val="single" w:sz="8" w:space="0" w:color="00B050"/>
              <w:left w:val="single" w:sz="4" w:space="0" w:color="00B050"/>
              <w:bottom w:val="single" w:sz="8" w:space="0" w:color="00B050"/>
              <w:right w:val="single" w:sz="4" w:space="0" w:color="00B050"/>
            </w:tcBorders>
            <w:shd w:val="clear" w:color="auto" w:fill="auto"/>
            <w:noWrap/>
            <w:hideMark/>
          </w:tcPr>
          <w:p w:rsidR="00030337" w:rsidRPr="001244BB" w:rsidRDefault="00030337" w:rsidP="00030337">
            <w:pPr>
              <w:spacing w:after="0" w:line="240" w:lineRule="auto"/>
              <w:jc w:val="right"/>
              <w:rPr>
                <w:rFonts w:eastAsia="Times New Roman" w:cstheme="minorHAnsi"/>
                <w:color w:val="000000"/>
                <w:sz w:val="20"/>
                <w:szCs w:val="20"/>
                <w:lang w:eastAsia="en-NZ"/>
              </w:rPr>
            </w:pPr>
            <w:r w:rsidRPr="001244BB">
              <w:rPr>
                <w:rFonts w:eastAsia="Times New Roman" w:cstheme="minorHAnsi"/>
                <w:color w:val="000000"/>
                <w:sz w:val="20"/>
                <w:szCs w:val="20"/>
                <w:lang w:eastAsia="en-NZ"/>
              </w:rPr>
              <w:t>12,023</w:t>
            </w:r>
          </w:p>
        </w:tc>
        <w:tc>
          <w:tcPr>
            <w:tcW w:w="1134" w:type="dxa"/>
            <w:tcBorders>
              <w:top w:val="single" w:sz="8" w:space="0" w:color="00B050"/>
              <w:left w:val="single" w:sz="4" w:space="0" w:color="00B050"/>
              <w:bottom w:val="single" w:sz="8" w:space="0" w:color="00B050"/>
              <w:right w:val="single" w:sz="4" w:space="0" w:color="00B050"/>
            </w:tcBorders>
            <w:shd w:val="clear" w:color="000000" w:fill="D9D9D9"/>
            <w:hideMark/>
          </w:tcPr>
          <w:p w:rsidR="00030337" w:rsidRPr="001244BB" w:rsidRDefault="00030337" w:rsidP="00030337">
            <w:pPr>
              <w:spacing w:after="0" w:line="240" w:lineRule="auto"/>
              <w:jc w:val="right"/>
              <w:rPr>
                <w:rFonts w:eastAsia="Times New Roman" w:cstheme="minorHAnsi"/>
                <w:color w:val="000000"/>
                <w:sz w:val="20"/>
                <w:szCs w:val="20"/>
                <w:lang w:eastAsia="en-NZ"/>
              </w:rPr>
            </w:pPr>
            <w:r w:rsidRPr="001244BB">
              <w:rPr>
                <w:rFonts w:eastAsia="Times New Roman" w:cstheme="minorHAnsi"/>
                <w:color w:val="000000"/>
                <w:sz w:val="20"/>
                <w:szCs w:val="20"/>
                <w:lang w:eastAsia="en-NZ"/>
              </w:rPr>
              <w:t>10,500</w:t>
            </w:r>
          </w:p>
        </w:tc>
        <w:tc>
          <w:tcPr>
            <w:tcW w:w="851" w:type="dxa"/>
            <w:tcBorders>
              <w:top w:val="single" w:sz="8" w:space="0" w:color="00B050"/>
              <w:left w:val="single" w:sz="4" w:space="0" w:color="00B050"/>
              <w:bottom w:val="single" w:sz="8" w:space="0" w:color="00B050"/>
              <w:right w:val="single" w:sz="4" w:space="0" w:color="00B050"/>
            </w:tcBorders>
            <w:shd w:val="clear" w:color="auto" w:fill="auto"/>
            <w:hideMark/>
          </w:tcPr>
          <w:p w:rsidR="00030337" w:rsidRPr="001244BB" w:rsidRDefault="00030337" w:rsidP="00030337">
            <w:pPr>
              <w:spacing w:after="0" w:line="240" w:lineRule="auto"/>
              <w:jc w:val="right"/>
              <w:rPr>
                <w:rFonts w:eastAsia="Times New Roman" w:cstheme="minorHAnsi"/>
                <w:color w:val="000000"/>
                <w:sz w:val="20"/>
                <w:szCs w:val="20"/>
                <w:lang w:eastAsia="en-NZ"/>
              </w:rPr>
            </w:pPr>
            <w:r w:rsidRPr="001244BB">
              <w:rPr>
                <w:rFonts w:eastAsia="Times New Roman" w:cstheme="minorHAnsi"/>
                <w:color w:val="000000"/>
                <w:sz w:val="20"/>
                <w:szCs w:val="20"/>
                <w:lang w:eastAsia="en-NZ"/>
              </w:rPr>
              <w:t>15%</w:t>
            </w:r>
          </w:p>
        </w:tc>
        <w:tc>
          <w:tcPr>
            <w:tcW w:w="1134" w:type="dxa"/>
            <w:tcBorders>
              <w:top w:val="single" w:sz="8" w:space="0" w:color="00B050"/>
              <w:left w:val="single" w:sz="4" w:space="0" w:color="00B050"/>
              <w:bottom w:val="single" w:sz="8" w:space="0" w:color="00B050"/>
              <w:right w:val="single" w:sz="4" w:space="0" w:color="00B050"/>
            </w:tcBorders>
            <w:shd w:val="clear" w:color="auto" w:fill="auto"/>
            <w:hideMark/>
          </w:tcPr>
          <w:p w:rsidR="00030337" w:rsidRPr="001244BB" w:rsidRDefault="00030337" w:rsidP="00030337">
            <w:pPr>
              <w:spacing w:after="0" w:line="240" w:lineRule="auto"/>
              <w:jc w:val="right"/>
              <w:rPr>
                <w:rFonts w:eastAsia="Times New Roman" w:cstheme="minorHAnsi"/>
                <w:color w:val="000000"/>
                <w:sz w:val="20"/>
                <w:szCs w:val="20"/>
                <w:lang w:eastAsia="en-NZ"/>
              </w:rPr>
            </w:pPr>
            <w:r w:rsidRPr="001244BB">
              <w:rPr>
                <w:rFonts w:eastAsia="Times New Roman" w:cstheme="minorHAnsi"/>
                <w:color w:val="000000"/>
                <w:sz w:val="20"/>
                <w:szCs w:val="20"/>
                <w:lang w:eastAsia="en-NZ"/>
              </w:rPr>
              <w:t>exceeded</w:t>
            </w:r>
          </w:p>
        </w:tc>
        <w:tc>
          <w:tcPr>
            <w:tcW w:w="4635" w:type="dxa"/>
            <w:tcBorders>
              <w:top w:val="single" w:sz="8" w:space="0" w:color="00B050"/>
              <w:left w:val="single" w:sz="4" w:space="0" w:color="00B050"/>
              <w:bottom w:val="single" w:sz="8" w:space="0" w:color="00B050"/>
              <w:right w:val="nil"/>
            </w:tcBorders>
            <w:shd w:val="clear" w:color="auto" w:fill="auto"/>
          </w:tcPr>
          <w:p w:rsidR="00030337" w:rsidRPr="001244BB" w:rsidRDefault="00030337" w:rsidP="00030337">
            <w:pPr>
              <w:spacing w:after="0" w:line="240" w:lineRule="auto"/>
              <w:jc w:val="right"/>
              <w:rPr>
                <w:rFonts w:eastAsia="Times New Roman" w:cstheme="minorHAnsi"/>
                <w:color w:val="000000"/>
                <w:sz w:val="20"/>
                <w:szCs w:val="20"/>
                <w:lang w:eastAsia="en-NZ"/>
              </w:rPr>
            </w:pPr>
          </w:p>
        </w:tc>
      </w:tr>
      <w:tr w:rsidR="00030337" w:rsidRPr="001244BB" w:rsidTr="00030337">
        <w:trPr>
          <w:trHeight w:val="270"/>
        </w:trPr>
        <w:tc>
          <w:tcPr>
            <w:tcW w:w="3672" w:type="dxa"/>
            <w:tcBorders>
              <w:top w:val="nil"/>
              <w:left w:val="nil"/>
              <w:bottom w:val="single" w:sz="8" w:space="0" w:color="00B050"/>
              <w:right w:val="single" w:sz="4" w:space="0" w:color="00B050"/>
            </w:tcBorders>
            <w:shd w:val="clear" w:color="auto" w:fill="auto"/>
            <w:hideMark/>
          </w:tcPr>
          <w:p w:rsidR="00030337" w:rsidRPr="001244BB" w:rsidRDefault="00030337" w:rsidP="00030337">
            <w:pPr>
              <w:spacing w:after="0" w:line="240" w:lineRule="auto"/>
              <w:rPr>
                <w:rFonts w:eastAsia="Times New Roman" w:cstheme="minorHAnsi"/>
                <w:color w:val="000000"/>
                <w:sz w:val="20"/>
                <w:szCs w:val="20"/>
                <w:lang w:eastAsia="en-NZ"/>
              </w:rPr>
            </w:pPr>
            <w:r w:rsidRPr="001244BB">
              <w:rPr>
                <w:rFonts w:eastAsia="Times New Roman" w:cstheme="minorHAnsi"/>
                <w:color w:val="000000"/>
                <w:sz w:val="20"/>
                <w:szCs w:val="20"/>
                <w:lang w:eastAsia="en-NZ"/>
              </w:rPr>
              <w:t>Visitor satisfaction (rating out of 10)</w:t>
            </w:r>
          </w:p>
        </w:tc>
        <w:tc>
          <w:tcPr>
            <w:tcW w:w="1140" w:type="dxa"/>
            <w:tcBorders>
              <w:top w:val="single" w:sz="8" w:space="0" w:color="00B050"/>
              <w:left w:val="single" w:sz="4" w:space="0" w:color="00B050"/>
              <w:bottom w:val="single" w:sz="8" w:space="0" w:color="00B050"/>
              <w:right w:val="single" w:sz="4" w:space="0" w:color="00B050"/>
            </w:tcBorders>
            <w:shd w:val="clear" w:color="auto" w:fill="auto"/>
            <w:noWrap/>
            <w:hideMark/>
          </w:tcPr>
          <w:p w:rsidR="00030337" w:rsidRPr="001244BB" w:rsidRDefault="00030337" w:rsidP="00030337">
            <w:pPr>
              <w:spacing w:after="0" w:line="240" w:lineRule="auto"/>
              <w:jc w:val="right"/>
              <w:rPr>
                <w:rFonts w:eastAsia="Times New Roman" w:cstheme="minorHAnsi"/>
                <w:color w:val="000000"/>
                <w:sz w:val="20"/>
                <w:szCs w:val="20"/>
                <w:lang w:eastAsia="en-NZ"/>
              </w:rPr>
            </w:pPr>
          </w:p>
        </w:tc>
        <w:tc>
          <w:tcPr>
            <w:tcW w:w="1142" w:type="dxa"/>
            <w:gridSpan w:val="2"/>
            <w:tcBorders>
              <w:top w:val="single" w:sz="8" w:space="0" w:color="00B050"/>
              <w:left w:val="single" w:sz="4" w:space="0" w:color="00B050"/>
              <w:bottom w:val="single" w:sz="8" w:space="0" w:color="00B050"/>
              <w:right w:val="single" w:sz="4" w:space="0" w:color="00B050"/>
            </w:tcBorders>
            <w:shd w:val="clear" w:color="auto" w:fill="auto"/>
            <w:noWrap/>
            <w:hideMark/>
          </w:tcPr>
          <w:p w:rsidR="00030337" w:rsidRPr="001244BB" w:rsidRDefault="00030337" w:rsidP="00030337">
            <w:pPr>
              <w:spacing w:after="0" w:line="240" w:lineRule="auto"/>
              <w:jc w:val="right"/>
              <w:rPr>
                <w:rFonts w:eastAsia="Times New Roman" w:cstheme="minorHAnsi"/>
                <w:color w:val="000000"/>
                <w:sz w:val="20"/>
                <w:szCs w:val="20"/>
                <w:lang w:eastAsia="en-NZ"/>
              </w:rPr>
            </w:pPr>
            <w:r w:rsidRPr="001244BB">
              <w:rPr>
                <w:rFonts w:eastAsia="Times New Roman" w:cstheme="minorHAnsi"/>
                <w:color w:val="000000"/>
                <w:sz w:val="20"/>
                <w:szCs w:val="20"/>
                <w:lang w:eastAsia="en-NZ"/>
              </w:rPr>
              <w:t xml:space="preserve"> New </w:t>
            </w:r>
          </w:p>
        </w:tc>
        <w:tc>
          <w:tcPr>
            <w:tcW w:w="1276" w:type="dxa"/>
            <w:tcBorders>
              <w:top w:val="single" w:sz="8" w:space="0" w:color="00B050"/>
              <w:left w:val="single" w:sz="4" w:space="0" w:color="00B050"/>
              <w:bottom w:val="single" w:sz="8" w:space="0" w:color="00B050"/>
              <w:right w:val="single" w:sz="4" w:space="0" w:color="00B050"/>
            </w:tcBorders>
            <w:shd w:val="clear" w:color="auto" w:fill="auto"/>
            <w:noWrap/>
            <w:hideMark/>
          </w:tcPr>
          <w:p w:rsidR="00030337" w:rsidRPr="001244BB" w:rsidRDefault="00030337" w:rsidP="00030337">
            <w:pPr>
              <w:spacing w:after="0" w:line="240" w:lineRule="auto"/>
              <w:jc w:val="right"/>
              <w:rPr>
                <w:rFonts w:eastAsia="Times New Roman" w:cstheme="minorHAnsi"/>
                <w:color w:val="000000"/>
                <w:sz w:val="20"/>
                <w:szCs w:val="20"/>
                <w:lang w:eastAsia="en-NZ"/>
              </w:rPr>
            </w:pPr>
            <w:r w:rsidRPr="001244BB">
              <w:rPr>
                <w:rFonts w:eastAsia="Times New Roman" w:cstheme="minorHAnsi"/>
                <w:color w:val="000000"/>
                <w:sz w:val="20"/>
                <w:szCs w:val="20"/>
                <w:lang w:eastAsia="en-NZ"/>
              </w:rPr>
              <w:t>9.1</w:t>
            </w:r>
            <w:r w:rsidR="005F3580">
              <w:rPr>
                <w:rFonts w:eastAsia="Times New Roman" w:cstheme="minorHAnsi"/>
                <w:color w:val="000000"/>
                <w:sz w:val="20"/>
                <w:szCs w:val="20"/>
                <w:lang w:eastAsia="en-NZ"/>
              </w:rPr>
              <w:t xml:space="preserve"> out of 10</w:t>
            </w:r>
          </w:p>
        </w:tc>
        <w:tc>
          <w:tcPr>
            <w:tcW w:w="1134" w:type="dxa"/>
            <w:tcBorders>
              <w:top w:val="single" w:sz="8" w:space="0" w:color="00B050"/>
              <w:left w:val="single" w:sz="4" w:space="0" w:color="00B050"/>
              <w:bottom w:val="single" w:sz="8" w:space="0" w:color="00B050"/>
              <w:right w:val="single" w:sz="4" w:space="0" w:color="00B050"/>
            </w:tcBorders>
            <w:shd w:val="clear" w:color="000000" w:fill="D9D9D9"/>
            <w:hideMark/>
          </w:tcPr>
          <w:p w:rsidR="00030337" w:rsidRPr="001244BB" w:rsidRDefault="00030337" w:rsidP="00030337">
            <w:pPr>
              <w:spacing w:after="0" w:line="240" w:lineRule="auto"/>
              <w:jc w:val="right"/>
              <w:rPr>
                <w:rFonts w:eastAsia="Times New Roman" w:cstheme="minorHAnsi"/>
                <w:color w:val="000000"/>
                <w:sz w:val="20"/>
                <w:szCs w:val="20"/>
                <w:lang w:eastAsia="en-NZ"/>
              </w:rPr>
            </w:pPr>
            <w:r w:rsidRPr="001244BB">
              <w:rPr>
                <w:rFonts w:eastAsia="Times New Roman" w:cstheme="minorHAnsi"/>
                <w:color w:val="000000"/>
                <w:sz w:val="20"/>
                <w:szCs w:val="20"/>
                <w:lang w:eastAsia="en-NZ"/>
              </w:rPr>
              <w:t>8.5</w:t>
            </w:r>
            <w:r w:rsidR="005F3580">
              <w:rPr>
                <w:rFonts w:eastAsia="Times New Roman" w:cstheme="minorHAnsi"/>
                <w:color w:val="000000"/>
                <w:sz w:val="20"/>
                <w:szCs w:val="20"/>
                <w:lang w:eastAsia="en-NZ"/>
              </w:rPr>
              <w:t xml:space="preserve"> out of 10</w:t>
            </w:r>
          </w:p>
        </w:tc>
        <w:tc>
          <w:tcPr>
            <w:tcW w:w="851" w:type="dxa"/>
            <w:tcBorders>
              <w:top w:val="single" w:sz="8" w:space="0" w:color="00B050"/>
              <w:left w:val="single" w:sz="4" w:space="0" w:color="00B050"/>
              <w:bottom w:val="single" w:sz="8" w:space="0" w:color="00B050"/>
              <w:right w:val="single" w:sz="4" w:space="0" w:color="00B050"/>
            </w:tcBorders>
            <w:shd w:val="clear" w:color="auto" w:fill="auto"/>
            <w:hideMark/>
          </w:tcPr>
          <w:p w:rsidR="00030337" w:rsidRPr="001244BB" w:rsidRDefault="00030337" w:rsidP="00030337">
            <w:pPr>
              <w:spacing w:after="0" w:line="240" w:lineRule="auto"/>
              <w:jc w:val="right"/>
              <w:rPr>
                <w:rFonts w:eastAsia="Times New Roman" w:cstheme="minorHAnsi"/>
                <w:color w:val="000000"/>
                <w:sz w:val="20"/>
                <w:szCs w:val="20"/>
                <w:lang w:eastAsia="en-NZ"/>
              </w:rPr>
            </w:pPr>
            <w:r w:rsidRPr="001244BB">
              <w:rPr>
                <w:rFonts w:eastAsia="Times New Roman" w:cstheme="minorHAnsi"/>
                <w:color w:val="000000"/>
                <w:sz w:val="20"/>
                <w:szCs w:val="20"/>
                <w:lang w:eastAsia="en-NZ"/>
              </w:rPr>
              <w:t>7%</w:t>
            </w:r>
          </w:p>
        </w:tc>
        <w:tc>
          <w:tcPr>
            <w:tcW w:w="1134" w:type="dxa"/>
            <w:tcBorders>
              <w:top w:val="single" w:sz="8" w:space="0" w:color="00B050"/>
              <w:left w:val="single" w:sz="4" w:space="0" w:color="00B050"/>
              <w:bottom w:val="single" w:sz="8" w:space="0" w:color="00B050"/>
              <w:right w:val="single" w:sz="4" w:space="0" w:color="00B050"/>
            </w:tcBorders>
            <w:shd w:val="clear" w:color="auto" w:fill="auto"/>
            <w:hideMark/>
          </w:tcPr>
          <w:p w:rsidR="00030337" w:rsidRPr="001244BB" w:rsidRDefault="004A2F47" w:rsidP="00030337">
            <w:pPr>
              <w:spacing w:after="0" w:line="240" w:lineRule="auto"/>
              <w:jc w:val="right"/>
              <w:rPr>
                <w:rFonts w:eastAsia="Times New Roman" w:cstheme="minorHAnsi"/>
                <w:color w:val="000000"/>
                <w:sz w:val="20"/>
                <w:szCs w:val="20"/>
                <w:lang w:eastAsia="en-NZ"/>
              </w:rPr>
            </w:pPr>
            <w:r>
              <w:rPr>
                <w:rFonts w:eastAsia="Times New Roman" w:cstheme="minorHAnsi"/>
                <w:color w:val="000000"/>
                <w:sz w:val="20"/>
                <w:szCs w:val="20"/>
                <w:lang w:eastAsia="en-NZ"/>
              </w:rPr>
              <w:t>Within 10%</w:t>
            </w:r>
          </w:p>
        </w:tc>
        <w:tc>
          <w:tcPr>
            <w:tcW w:w="4635" w:type="dxa"/>
            <w:tcBorders>
              <w:top w:val="single" w:sz="8" w:space="0" w:color="00B050"/>
              <w:left w:val="single" w:sz="4" w:space="0" w:color="00B050"/>
              <w:bottom w:val="single" w:sz="8" w:space="0" w:color="00B050"/>
              <w:right w:val="nil"/>
            </w:tcBorders>
            <w:shd w:val="clear" w:color="auto" w:fill="auto"/>
          </w:tcPr>
          <w:p w:rsidR="00030337" w:rsidRPr="001244BB" w:rsidRDefault="00030337" w:rsidP="00030337">
            <w:pPr>
              <w:spacing w:after="0" w:line="240" w:lineRule="auto"/>
              <w:jc w:val="right"/>
              <w:rPr>
                <w:rFonts w:eastAsia="Times New Roman" w:cstheme="minorHAnsi"/>
                <w:color w:val="000000"/>
                <w:sz w:val="20"/>
                <w:szCs w:val="20"/>
                <w:lang w:eastAsia="en-NZ"/>
              </w:rPr>
            </w:pPr>
          </w:p>
        </w:tc>
      </w:tr>
      <w:tr w:rsidR="00030337" w:rsidRPr="001244BB" w:rsidTr="00030337">
        <w:trPr>
          <w:trHeight w:val="2055"/>
        </w:trPr>
        <w:tc>
          <w:tcPr>
            <w:tcW w:w="3672" w:type="dxa"/>
            <w:tcBorders>
              <w:top w:val="nil"/>
              <w:left w:val="nil"/>
              <w:bottom w:val="single" w:sz="8" w:space="0" w:color="00B050"/>
              <w:right w:val="single" w:sz="4" w:space="0" w:color="00B050"/>
            </w:tcBorders>
            <w:shd w:val="clear" w:color="auto" w:fill="auto"/>
            <w:hideMark/>
          </w:tcPr>
          <w:p w:rsidR="00030337" w:rsidRPr="001244BB" w:rsidRDefault="00030337" w:rsidP="00030337">
            <w:pPr>
              <w:spacing w:after="0" w:line="240" w:lineRule="auto"/>
              <w:rPr>
                <w:rFonts w:eastAsia="Times New Roman" w:cstheme="minorHAnsi"/>
                <w:color w:val="000000"/>
                <w:sz w:val="20"/>
                <w:szCs w:val="20"/>
                <w:lang w:eastAsia="en-NZ"/>
              </w:rPr>
            </w:pPr>
            <w:r w:rsidRPr="001244BB">
              <w:rPr>
                <w:rFonts w:eastAsia="Times New Roman" w:cstheme="minorHAnsi"/>
                <w:color w:val="000000"/>
                <w:sz w:val="20"/>
                <w:szCs w:val="20"/>
                <w:lang w:eastAsia="en-NZ"/>
              </w:rPr>
              <w:lastRenderedPageBreak/>
              <w:t>Conservation Programme Managed Species (% of total collection).</w:t>
            </w:r>
          </w:p>
        </w:tc>
        <w:tc>
          <w:tcPr>
            <w:tcW w:w="1140" w:type="dxa"/>
            <w:tcBorders>
              <w:top w:val="single" w:sz="8" w:space="0" w:color="00B050"/>
              <w:left w:val="single" w:sz="4" w:space="0" w:color="00B050"/>
              <w:bottom w:val="single" w:sz="8" w:space="0" w:color="00B050"/>
              <w:right w:val="single" w:sz="4" w:space="0" w:color="00B050"/>
            </w:tcBorders>
            <w:shd w:val="clear" w:color="auto" w:fill="auto"/>
            <w:noWrap/>
            <w:hideMark/>
          </w:tcPr>
          <w:p w:rsidR="00030337" w:rsidRPr="001244BB" w:rsidRDefault="00030337" w:rsidP="00030337">
            <w:pPr>
              <w:spacing w:after="0" w:line="240" w:lineRule="auto"/>
              <w:jc w:val="right"/>
              <w:rPr>
                <w:rFonts w:eastAsia="Times New Roman" w:cstheme="minorHAnsi"/>
                <w:color w:val="000000"/>
                <w:sz w:val="20"/>
                <w:szCs w:val="20"/>
                <w:lang w:eastAsia="en-NZ"/>
              </w:rPr>
            </w:pPr>
          </w:p>
        </w:tc>
        <w:tc>
          <w:tcPr>
            <w:tcW w:w="1142" w:type="dxa"/>
            <w:gridSpan w:val="2"/>
            <w:tcBorders>
              <w:top w:val="single" w:sz="8" w:space="0" w:color="00B050"/>
              <w:left w:val="single" w:sz="4" w:space="0" w:color="00B050"/>
              <w:bottom w:val="single" w:sz="8" w:space="0" w:color="00B050"/>
              <w:right w:val="single" w:sz="4" w:space="0" w:color="00B050"/>
            </w:tcBorders>
            <w:shd w:val="clear" w:color="auto" w:fill="auto"/>
            <w:noWrap/>
            <w:hideMark/>
          </w:tcPr>
          <w:p w:rsidR="00030337" w:rsidRPr="001244BB" w:rsidRDefault="00030337" w:rsidP="00030337">
            <w:pPr>
              <w:spacing w:after="0" w:line="240" w:lineRule="auto"/>
              <w:jc w:val="right"/>
              <w:rPr>
                <w:rFonts w:eastAsia="Times New Roman" w:cstheme="minorHAnsi"/>
                <w:color w:val="000000"/>
                <w:sz w:val="20"/>
                <w:szCs w:val="20"/>
                <w:lang w:eastAsia="en-NZ"/>
              </w:rPr>
            </w:pPr>
            <w:r w:rsidRPr="001244BB">
              <w:rPr>
                <w:rFonts w:eastAsia="Times New Roman" w:cstheme="minorHAnsi"/>
                <w:color w:val="000000"/>
                <w:sz w:val="20"/>
                <w:szCs w:val="20"/>
                <w:lang w:eastAsia="en-NZ"/>
              </w:rPr>
              <w:t xml:space="preserve"> New </w:t>
            </w:r>
          </w:p>
        </w:tc>
        <w:tc>
          <w:tcPr>
            <w:tcW w:w="1276" w:type="dxa"/>
            <w:tcBorders>
              <w:top w:val="single" w:sz="8" w:space="0" w:color="00B050"/>
              <w:left w:val="single" w:sz="4" w:space="0" w:color="00B050"/>
              <w:bottom w:val="single" w:sz="8" w:space="0" w:color="00B050"/>
              <w:right w:val="single" w:sz="4" w:space="0" w:color="00B050"/>
            </w:tcBorders>
            <w:shd w:val="clear" w:color="auto" w:fill="FFFFFF" w:themeFill="background1"/>
            <w:noWrap/>
            <w:hideMark/>
          </w:tcPr>
          <w:p w:rsidR="00030337" w:rsidRPr="001244BB" w:rsidRDefault="00030337" w:rsidP="00030337">
            <w:pPr>
              <w:spacing w:after="0" w:line="240" w:lineRule="auto"/>
              <w:jc w:val="right"/>
              <w:rPr>
                <w:rFonts w:eastAsia="Times New Roman" w:cstheme="minorHAnsi"/>
                <w:color w:val="000000"/>
                <w:sz w:val="20"/>
                <w:szCs w:val="20"/>
                <w:lang w:eastAsia="en-NZ"/>
              </w:rPr>
            </w:pPr>
            <w:r w:rsidRPr="001244BB">
              <w:rPr>
                <w:rFonts w:eastAsia="Times New Roman" w:cstheme="minorHAnsi"/>
                <w:color w:val="000000"/>
                <w:sz w:val="20"/>
                <w:szCs w:val="20"/>
                <w:lang w:eastAsia="en-NZ"/>
              </w:rPr>
              <w:t>Not report by Wellington Zoo</w:t>
            </w:r>
          </w:p>
        </w:tc>
        <w:tc>
          <w:tcPr>
            <w:tcW w:w="1134" w:type="dxa"/>
            <w:tcBorders>
              <w:top w:val="single" w:sz="8" w:space="0" w:color="00B050"/>
              <w:left w:val="single" w:sz="4" w:space="0" w:color="00B050"/>
              <w:bottom w:val="single" w:sz="8" w:space="0" w:color="00B050"/>
              <w:right w:val="single" w:sz="4" w:space="0" w:color="00B050"/>
            </w:tcBorders>
            <w:shd w:val="clear" w:color="000000" w:fill="D9D9D9"/>
            <w:hideMark/>
          </w:tcPr>
          <w:p w:rsidR="00030337" w:rsidRPr="001244BB" w:rsidRDefault="00030337" w:rsidP="00030337">
            <w:pPr>
              <w:spacing w:after="0" w:line="240" w:lineRule="auto"/>
              <w:jc w:val="right"/>
              <w:rPr>
                <w:rFonts w:eastAsia="Times New Roman" w:cstheme="minorHAnsi"/>
                <w:color w:val="000000"/>
                <w:sz w:val="20"/>
                <w:szCs w:val="20"/>
                <w:lang w:eastAsia="en-NZ"/>
              </w:rPr>
            </w:pPr>
            <w:r w:rsidRPr="001244BB">
              <w:rPr>
                <w:rFonts w:eastAsia="Times New Roman" w:cstheme="minorHAnsi"/>
                <w:color w:val="000000"/>
                <w:sz w:val="20"/>
                <w:szCs w:val="20"/>
                <w:lang w:eastAsia="en-NZ"/>
              </w:rPr>
              <w:t>Trend</w:t>
            </w:r>
          </w:p>
        </w:tc>
        <w:tc>
          <w:tcPr>
            <w:tcW w:w="851" w:type="dxa"/>
            <w:tcBorders>
              <w:top w:val="single" w:sz="8" w:space="0" w:color="00B050"/>
              <w:left w:val="single" w:sz="4" w:space="0" w:color="00B050"/>
              <w:bottom w:val="single" w:sz="8" w:space="0" w:color="00B050"/>
              <w:right w:val="single" w:sz="4" w:space="0" w:color="00B050"/>
            </w:tcBorders>
            <w:shd w:val="clear" w:color="auto" w:fill="auto"/>
            <w:hideMark/>
          </w:tcPr>
          <w:p w:rsidR="00030337" w:rsidRPr="001244BB" w:rsidRDefault="00030337" w:rsidP="00030337">
            <w:pPr>
              <w:spacing w:after="0" w:line="240" w:lineRule="auto"/>
              <w:jc w:val="right"/>
              <w:rPr>
                <w:rFonts w:eastAsia="Times New Roman" w:cstheme="minorHAnsi"/>
                <w:color w:val="000000"/>
                <w:sz w:val="20"/>
                <w:szCs w:val="20"/>
                <w:lang w:eastAsia="en-NZ"/>
              </w:rPr>
            </w:pPr>
          </w:p>
        </w:tc>
        <w:tc>
          <w:tcPr>
            <w:tcW w:w="1134" w:type="dxa"/>
            <w:tcBorders>
              <w:top w:val="single" w:sz="8" w:space="0" w:color="00B050"/>
              <w:left w:val="single" w:sz="4" w:space="0" w:color="00B050"/>
              <w:bottom w:val="single" w:sz="8" w:space="0" w:color="00B050"/>
              <w:right w:val="single" w:sz="4" w:space="0" w:color="00B050"/>
            </w:tcBorders>
            <w:shd w:val="clear" w:color="auto" w:fill="auto"/>
            <w:hideMark/>
          </w:tcPr>
          <w:p w:rsidR="00030337" w:rsidRPr="001244BB" w:rsidRDefault="004A2F47" w:rsidP="00030337">
            <w:pPr>
              <w:spacing w:after="0" w:line="240" w:lineRule="auto"/>
              <w:jc w:val="right"/>
              <w:rPr>
                <w:rFonts w:eastAsia="Times New Roman" w:cstheme="minorHAnsi"/>
                <w:color w:val="000000"/>
                <w:sz w:val="20"/>
                <w:szCs w:val="20"/>
                <w:lang w:eastAsia="en-NZ"/>
              </w:rPr>
            </w:pPr>
            <w:r>
              <w:rPr>
                <w:rFonts w:eastAsia="Times New Roman" w:cstheme="minorHAnsi"/>
                <w:color w:val="000000"/>
                <w:sz w:val="20"/>
                <w:szCs w:val="20"/>
                <w:lang w:eastAsia="en-NZ"/>
              </w:rPr>
              <w:t>Within 10%</w:t>
            </w:r>
          </w:p>
        </w:tc>
        <w:tc>
          <w:tcPr>
            <w:tcW w:w="4635" w:type="dxa"/>
            <w:tcBorders>
              <w:top w:val="single" w:sz="8" w:space="0" w:color="00B050"/>
              <w:left w:val="single" w:sz="4" w:space="0" w:color="00B050"/>
              <w:bottom w:val="single" w:sz="8" w:space="0" w:color="00B050"/>
              <w:right w:val="nil"/>
            </w:tcBorders>
            <w:shd w:val="clear" w:color="auto" w:fill="auto"/>
            <w:hideMark/>
          </w:tcPr>
          <w:p w:rsidR="00030337" w:rsidRPr="001244BB" w:rsidRDefault="00030337" w:rsidP="00145BEF">
            <w:pPr>
              <w:spacing w:after="0" w:line="240" w:lineRule="auto"/>
              <w:rPr>
                <w:rFonts w:eastAsia="Times New Roman" w:cstheme="minorHAnsi"/>
                <w:color w:val="000000"/>
                <w:sz w:val="20"/>
                <w:szCs w:val="20"/>
                <w:lang w:eastAsia="en-NZ"/>
              </w:rPr>
            </w:pPr>
            <w:r w:rsidRPr="001244BB">
              <w:rPr>
                <w:rFonts w:eastAsia="Times New Roman" w:cstheme="minorHAnsi"/>
                <w:color w:val="000000"/>
                <w:sz w:val="20"/>
                <w:szCs w:val="20"/>
                <w:lang w:eastAsia="en-NZ"/>
              </w:rPr>
              <w:t xml:space="preserve">This measure was not reported by Wellington Zoo </w:t>
            </w:r>
            <w:r w:rsidR="00145BEF">
              <w:rPr>
                <w:rFonts w:eastAsia="Times New Roman" w:cstheme="minorHAnsi"/>
                <w:color w:val="000000"/>
                <w:sz w:val="20"/>
                <w:szCs w:val="20"/>
                <w:lang w:eastAsia="en-NZ"/>
              </w:rPr>
              <w:t xml:space="preserve">but </w:t>
            </w:r>
            <w:r w:rsidRPr="001244BB">
              <w:rPr>
                <w:rFonts w:eastAsia="Times New Roman" w:cstheme="minorHAnsi"/>
                <w:color w:val="000000"/>
                <w:sz w:val="20"/>
                <w:szCs w:val="20"/>
                <w:lang w:eastAsia="en-NZ"/>
              </w:rPr>
              <w:t xml:space="preserve">there were nine Field Conservation Projects supported for threatened (NZ) endangered or critically endangered (global) species; </w:t>
            </w:r>
            <w:r w:rsidR="00145BEF">
              <w:rPr>
                <w:rFonts w:eastAsia="Times New Roman" w:cstheme="minorHAnsi"/>
                <w:color w:val="000000"/>
                <w:sz w:val="20"/>
                <w:szCs w:val="20"/>
                <w:lang w:eastAsia="en-NZ"/>
              </w:rPr>
              <w:t>10</w:t>
            </w:r>
            <w:r w:rsidR="00145BEF" w:rsidRPr="001244BB">
              <w:rPr>
                <w:rFonts w:eastAsia="Times New Roman" w:cstheme="minorHAnsi"/>
                <w:color w:val="000000"/>
                <w:sz w:val="20"/>
                <w:szCs w:val="20"/>
                <w:lang w:eastAsia="en-NZ"/>
              </w:rPr>
              <w:t xml:space="preserve"> </w:t>
            </w:r>
            <w:r w:rsidRPr="001244BB">
              <w:rPr>
                <w:rFonts w:eastAsia="Times New Roman" w:cstheme="minorHAnsi"/>
                <w:color w:val="000000"/>
                <w:sz w:val="20"/>
                <w:szCs w:val="20"/>
                <w:lang w:eastAsia="en-NZ"/>
              </w:rPr>
              <w:t xml:space="preserve">participated in </w:t>
            </w:r>
            <w:r w:rsidR="00145BEF" w:rsidRPr="001244BB">
              <w:rPr>
                <w:rFonts w:eastAsia="Times New Roman" w:cstheme="minorHAnsi"/>
                <w:color w:val="000000"/>
                <w:sz w:val="20"/>
                <w:szCs w:val="20"/>
                <w:lang w:eastAsia="en-NZ"/>
              </w:rPr>
              <w:t>animal</w:t>
            </w:r>
            <w:r w:rsidR="00145BEF">
              <w:rPr>
                <w:rFonts w:eastAsia="Times New Roman" w:cstheme="minorHAnsi"/>
                <w:color w:val="000000"/>
                <w:sz w:val="20"/>
                <w:szCs w:val="20"/>
                <w:lang w:eastAsia="en-NZ"/>
              </w:rPr>
              <w:t>-</w:t>
            </w:r>
            <w:r w:rsidRPr="001244BB">
              <w:rPr>
                <w:rFonts w:eastAsia="Times New Roman" w:cstheme="minorHAnsi"/>
                <w:color w:val="000000"/>
                <w:sz w:val="20"/>
                <w:szCs w:val="20"/>
                <w:lang w:eastAsia="en-NZ"/>
              </w:rPr>
              <w:t>based scientific projects and paper publication. There are 31 vulnerable, endangered or critically endangered species (IUCN Red List and DOC National list) in the Zoo’s collection.</w:t>
            </w:r>
          </w:p>
        </w:tc>
      </w:tr>
      <w:tr w:rsidR="004A2F47" w:rsidRPr="001244BB" w:rsidTr="00030337">
        <w:trPr>
          <w:trHeight w:val="270"/>
        </w:trPr>
        <w:tc>
          <w:tcPr>
            <w:tcW w:w="3672" w:type="dxa"/>
            <w:tcBorders>
              <w:top w:val="nil"/>
              <w:left w:val="nil"/>
              <w:bottom w:val="single" w:sz="8" w:space="0" w:color="00B050"/>
              <w:right w:val="single" w:sz="4" w:space="0" w:color="00B050"/>
            </w:tcBorders>
            <w:shd w:val="clear" w:color="auto" w:fill="auto"/>
            <w:hideMark/>
          </w:tcPr>
          <w:p w:rsidR="004A2F47" w:rsidRPr="001244BB" w:rsidRDefault="004A2F47" w:rsidP="004A2F47">
            <w:pPr>
              <w:spacing w:after="0" w:line="240" w:lineRule="auto"/>
              <w:rPr>
                <w:rFonts w:eastAsia="Times New Roman" w:cstheme="minorHAnsi"/>
                <w:color w:val="000000"/>
                <w:sz w:val="20"/>
                <w:szCs w:val="20"/>
                <w:lang w:eastAsia="en-NZ"/>
              </w:rPr>
            </w:pPr>
            <w:r w:rsidRPr="001244BB">
              <w:rPr>
                <w:rFonts w:eastAsia="Times New Roman" w:cstheme="minorHAnsi"/>
                <w:color w:val="000000"/>
                <w:sz w:val="20"/>
                <w:szCs w:val="20"/>
                <w:lang w:eastAsia="en-NZ"/>
              </w:rPr>
              <w:t>Average WCC subsidy per visitor</w:t>
            </w:r>
          </w:p>
        </w:tc>
        <w:tc>
          <w:tcPr>
            <w:tcW w:w="1140" w:type="dxa"/>
            <w:tcBorders>
              <w:top w:val="single" w:sz="8" w:space="0" w:color="00B050"/>
              <w:left w:val="single" w:sz="4" w:space="0" w:color="00B050"/>
              <w:bottom w:val="single" w:sz="8" w:space="0" w:color="00B050"/>
              <w:right w:val="single" w:sz="4" w:space="0" w:color="00B050"/>
            </w:tcBorders>
            <w:shd w:val="clear" w:color="auto" w:fill="auto"/>
            <w:noWrap/>
            <w:hideMark/>
          </w:tcPr>
          <w:p w:rsidR="004A2F47" w:rsidRPr="001244BB" w:rsidRDefault="004A2F47" w:rsidP="004A2F47">
            <w:pPr>
              <w:spacing w:after="0" w:line="240" w:lineRule="auto"/>
              <w:jc w:val="right"/>
              <w:rPr>
                <w:rFonts w:eastAsia="Times New Roman" w:cstheme="minorHAnsi"/>
                <w:color w:val="000000"/>
                <w:sz w:val="20"/>
                <w:szCs w:val="20"/>
                <w:lang w:eastAsia="en-NZ"/>
              </w:rPr>
            </w:pPr>
            <w:r w:rsidRPr="001244BB">
              <w:rPr>
                <w:rFonts w:eastAsia="Times New Roman" w:cstheme="minorHAnsi"/>
                <w:color w:val="000000"/>
                <w:sz w:val="20"/>
                <w:szCs w:val="20"/>
                <w:lang w:eastAsia="en-NZ"/>
              </w:rPr>
              <w:t xml:space="preserve">$12.86 </w:t>
            </w:r>
          </w:p>
        </w:tc>
        <w:tc>
          <w:tcPr>
            <w:tcW w:w="1142" w:type="dxa"/>
            <w:gridSpan w:val="2"/>
            <w:tcBorders>
              <w:top w:val="single" w:sz="8" w:space="0" w:color="00B050"/>
              <w:left w:val="single" w:sz="4" w:space="0" w:color="00B050"/>
              <w:bottom w:val="single" w:sz="8" w:space="0" w:color="00B050"/>
              <w:right w:val="single" w:sz="4" w:space="0" w:color="00B050"/>
            </w:tcBorders>
            <w:shd w:val="clear" w:color="auto" w:fill="auto"/>
            <w:noWrap/>
            <w:hideMark/>
          </w:tcPr>
          <w:p w:rsidR="004A2F47" w:rsidRPr="001244BB" w:rsidRDefault="004A2F47" w:rsidP="004A2F47">
            <w:pPr>
              <w:spacing w:after="0" w:line="240" w:lineRule="auto"/>
              <w:jc w:val="right"/>
              <w:rPr>
                <w:rFonts w:eastAsia="Times New Roman" w:cstheme="minorHAnsi"/>
                <w:color w:val="000000"/>
                <w:sz w:val="20"/>
                <w:szCs w:val="20"/>
                <w:lang w:eastAsia="en-NZ"/>
              </w:rPr>
            </w:pPr>
            <w:r w:rsidRPr="001244BB">
              <w:rPr>
                <w:rFonts w:eastAsia="Times New Roman" w:cstheme="minorHAnsi"/>
                <w:color w:val="000000"/>
                <w:sz w:val="20"/>
                <w:szCs w:val="20"/>
                <w:lang w:eastAsia="en-NZ"/>
              </w:rPr>
              <w:t xml:space="preserve">$12.98 </w:t>
            </w:r>
          </w:p>
        </w:tc>
        <w:tc>
          <w:tcPr>
            <w:tcW w:w="1276" w:type="dxa"/>
            <w:tcBorders>
              <w:top w:val="single" w:sz="8" w:space="0" w:color="00B050"/>
              <w:left w:val="single" w:sz="4" w:space="0" w:color="00B050"/>
              <w:bottom w:val="single" w:sz="8" w:space="0" w:color="00B050"/>
              <w:right w:val="single" w:sz="4" w:space="0" w:color="00B050"/>
            </w:tcBorders>
            <w:shd w:val="clear" w:color="auto" w:fill="auto"/>
            <w:noWrap/>
            <w:hideMark/>
          </w:tcPr>
          <w:p w:rsidR="004A2F47" w:rsidRPr="001244BB" w:rsidRDefault="004A2F47" w:rsidP="004A2F47">
            <w:pPr>
              <w:spacing w:after="0" w:line="240" w:lineRule="auto"/>
              <w:jc w:val="right"/>
              <w:rPr>
                <w:rFonts w:eastAsia="Times New Roman" w:cstheme="minorHAnsi"/>
                <w:color w:val="000000"/>
                <w:sz w:val="20"/>
                <w:szCs w:val="20"/>
                <w:lang w:eastAsia="en-NZ"/>
              </w:rPr>
            </w:pPr>
            <w:r w:rsidRPr="001244BB">
              <w:rPr>
                <w:rFonts w:eastAsia="Times New Roman" w:cstheme="minorHAnsi"/>
                <w:color w:val="000000"/>
                <w:sz w:val="20"/>
                <w:szCs w:val="20"/>
                <w:lang w:eastAsia="en-NZ"/>
              </w:rPr>
              <w:t xml:space="preserve">$13.12 </w:t>
            </w:r>
          </w:p>
        </w:tc>
        <w:tc>
          <w:tcPr>
            <w:tcW w:w="1134" w:type="dxa"/>
            <w:tcBorders>
              <w:top w:val="single" w:sz="8" w:space="0" w:color="00B050"/>
              <w:left w:val="single" w:sz="4" w:space="0" w:color="00B050"/>
              <w:bottom w:val="single" w:sz="8" w:space="0" w:color="00B050"/>
              <w:right w:val="single" w:sz="4" w:space="0" w:color="00B050"/>
            </w:tcBorders>
            <w:shd w:val="clear" w:color="000000" w:fill="D9D9D9"/>
            <w:hideMark/>
          </w:tcPr>
          <w:p w:rsidR="004A2F47" w:rsidRPr="001244BB" w:rsidRDefault="004A2F47" w:rsidP="004A2F47">
            <w:pPr>
              <w:spacing w:after="0" w:line="240" w:lineRule="auto"/>
              <w:jc w:val="right"/>
              <w:rPr>
                <w:rFonts w:eastAsia="Times New Roman" w:cstheme="minorHAnsi"/>
                <w:color w:val="000000"/>
                <w:sz w:val="20"/>
                <w:szCs w:val="20"/>
                <w:lang w:eastAsia="en-NZ"/>
              </w:rPr>
            </w:pPr>
            <w:r w:rsidRPr="001244BB">
              <w:rPr>
                <w:rFonts w:eastAsia="Times New Roman" w:cstheme="minorHAnsi"/>
                <w:color w:val="000000"/>
                <w:sz w:val="20"/>
                <w:szCs w:val="20"/>
                <w:lang w:eastAsia="en-NZ"/>
              </w:rPr>
              <w:t>$13.58</w:t>
            </w:r>
          </w:p>
        </w:tc>
        <w:tc>
          <w:tcPr>
            <w:tcW w:w="851" w:type="dxa"/>
            <w:tcBorders>
              <w:top w:val="single" w:sz="8" w:space="0" w:color="00B050"/>
              <w:left w:val="single" w:sz="4" w:space="0" w:color="00B050"/>
              <w:bottom w:val="single" w:sz="8" w:space="0" w:color="00B050"/>
              <w:right w:val="single" w:sz="4" w:space="0" w:color="00B050"/>
            </w:tcBorders>
            <w:shd w:val="clear" w:color="auto" w:fill="auto"/>
            <w:hideMark/>
          </w:tcPr>
          <w:p w:rsidR="004A2F47" w:rsidRPr="001244BB" w:rsidRDefault="004A2F47" w:rsidP="004A2F47">
            <w:pPr>
              <w:spacing w:after="0" w:line="240" w:lineRule="auto"/>
              <w:jc w:val="right"/>
              <w:rPr>
                <w:rFonts w:eastAsia="Times New Roman" w:cstheme="minorHAnsi"/>
                <w:color w:val="000000"/>
                <w:sz w:val="20"/>
                <w:szCs w:val="20"/>
                <w:lang w:eastAsia="en-NZ"/>
              </w:rPr>
            </w:pPr>
            <w:r w:rsidRPr="001244BB">
              <w:rPr>
                <w:rFonts w:eastAsia="Times New Roman" w:cstheme="minorHAnsi"/>
                <w:color w:val="000000"/>
                <w:sz w:val="20"/>
                <w:szCs w:val="20"/>
                <w:lang w:eastAsia="en-NZ"/>
              </w:rPr>
              <w:t>-3%</w:t>
            </w:r>
          </w:p>
        </w:tc>
        <w:tc>
          <w:tcPr>
            <w:tcW w:w="1134" w:type="dxa"/>
            <w:tcBorders>
              <w:top w:val="single" w:sz="8" w:space="0" w:color="00B050"/>
              <w:left w:val="single" w:sz="4" w:space="0" w:color="00B050"/>
              <w:bottom w:val="single" w:sz="8" w:space="0" w:color="00B050"/>
              <w:right w:val="single" w:sz="4" w:space="0" w:color="00B050"/>
            </w:tcBorders>
            <w:shd w:val="clear" w:color="auto" w:fill="auto"/>
            <w:hideMark/>
          </w:tcPr>
          <w:p w:rsidR="004A2F47" w:rsidRDefault="004A2F47" w:rsidP="004A2F47">
            <w:pPr>
              <w:spacing w:after="0"/>
              <w:jc w:val="right"/>
            </w:pPr>
            <w:r w:rsidRPr="00CA6EA0">
              <w:rPr>
                <w:rFonts w:eastAsia="Times New Roman" w:cstheme="minorHAnsi"/>
                <w:color w:val="000000"/>
                <w:sz w:val="20"/>
                <w:szCs w:val="20"/>
                <w:lang w:eastAsia="en-NZ"/>
              </w:rPr>
              <w:t>Within 10%</w:t>
            </w:r>
          </w:p>
        </w:tc>
        <w:tc>
          <w:tcPr>
            <w:tcW w:w="4635" w:type="dxa"/>
            <w:tcBorders>
              <w:top w:val="single" w:sz="8" w:space="0" w:color="00B050"/>
              <w:left w:val="single" w:sz="4" w:space="0" w:color="00B050"/>
              <w:bottom w:val="single" w:sz="8" w:space="0" w:color="00B050"/>
              <w:right w:val="nil"/>
            </w:tcBorders>
            <w:shd w:val="clear" w:color="auto" w:fill="auto"/>
          </w:tcPr>
          <w:p w:rsidR="004A2F47" w:rsidRPr="001244BB" w:rsidRDefault="004A2F47" w:rsidP="004A2F47">
            <w:pPr>
              <w:spacing w:after="0" w:line="240" w:lineRule="auto"/>
              <w:jc w:val="right"/>
              <w:rPr>
                <w:rFonts w:eastAsia="Times New Roman" w:cstheme="minorHAnsi"/>
                <w:color w:val="000000"/>
                <w:sz w:val="20"/>
                <w:szCs w:val="20"/>
                <w:lang w:eastAsia="en-NZ"/>
              </w:rPr>
            </w:pPr>
          </w:p>
        </w:tc>
      </w:tr>
      <w:tr w:rsidR="004A2F47" w:rsidRPr="001244BB" w:rsidTr="00030337">
        <w:trPr>
          <w:trHeight w:val="270"/>
        </w:trPr>
        <w:tc>
          <w:tcPr>
            <w:tcW w:w="3672" w:type="dxa"/>
            <w:tcBorders>
              <w:top w:val="nil"/>
              <w:left w:val="nil"/>
              <w:bottom w:val="single" w:sz="8" w:space="0" w:color="00B050"/>
              <w:right w:val="single" w:sz="4" w:space="0" w:color="00B050"/>
            </w:tcBorders>
            <w:shd w:val="clear" w:color="auto" w:fill="auto"/>
            <w:hideMark/>
          </w:tcPr>
          <w:p w:rsidR="004A2F47" w:rsidRPr="001244BB" w:rsidRDefault="004A2F47" w:rsidP="004A2F47">
            <w:pPr>
              <w:spacing w:after="0" w:line="240" w:lineRule="auto"/>
              <w:rPr>
                <w:rFonts w:eastAsia="Times New Roman" w:cstheme="minorHAnsi"/>
                <w:color w:val="000000"/>
                <w:sz w:val="20"/>
                <w:szCs w:val="20"/>
                <w:lang w:eastAsia="en-NZ"/>
              </w:rPr>
            </w:pPr>
            <w:r w:rsidRPr="001244BB">
              <w:rPr>
                <w:rFonts w:eastAsia="Times New Roman" w:cstheme="minorHAnsi"/>
                <w:color w:val="000000"/>
                <w:sz w:val="20"/>
                <w:szCs w:val="20"/>
                <w:lang w:eastAsia="en-NZ"/>
              </w:rPr>
              <w:t>WCC full subsidy per visitor</w:t>
            </w:r>
          </w:p>
        </w:tc>
        <w:tc>
          <w:tcPr>
            <w:tcW w:w="1140" w:type="dxa"/>
            <w:tcBorders>
              <w:top w:val="single" w:sz="8" w:space="0" w:color="00B050"/>
              <w:left w:val="single" w:sz="4" w:space="0" w:color="00B050"/>
              <w:bottom w:val="single" w:sz="8" w:space="0" w:color="00B050"/>
              <w:right w:val="single" w:sz="4" w:space="0" w:color="00B050"/>
            </w:tcBorders>
            <w:shd w:val="clear" w:color="auto" w:fill="auto"/>
            <w:noWrap/>
            <w:hideMark/>
          </w:tcPr>
          <w:p w:rsidR="004A2F47" w:rsidRPr="001244BB" w:rsidRDefault="004A2F47" w:rsidP="004A2F47">
            <w:pPr>
              <w:spacing w:after="0" w:line="240" w:lineRule="auto"/>
              <w:jc w:val="right"/>
              <w:rPr>
                <w:rFonts w:eastAsia="Times New Roman" w:cstheme="minorHAnsi"/>
                <w:color w:val="000000"/>
                <w:sz w:val="20"/>
                <w:szCs w:val="20"/>
                <w:lang w:eastAsia="en-NZ"/>
              </w:rPr>
            </w:pPr>
            <w:r w:rsidRPr="001244BB">
              <w:rPr>
                <w:rFonts w:eastAsia="Times New Roman" w:cstheme="minorHAnsi"/>
                <w:color w:val="000000"/>
                <w:sz w:val="20"/>
                <w:szCs w:val="20"/>
                <w:lang w:eastAsia="en-NZ"/>
              </w:rPr>
              <w:t xml:space="preserve">$23.20 </w:t>
            </w:r>
          </w:p>
        </w:tc>
        <w:tc>
          <w:tcPr>
            <w:tcW w:w="1142" w:type="dxa"/>
            <w:gridSpan w:val="2"/>
            <w:tcBorders>
              <w:top w:val="single" w:sz="8" w:space="0" w:color="00B050"/>
              <w:left w:val="single" w:sz="4" w:space="0" w:color="00B050"/>
              <w:bottom w:val="single" w:sz="8" w:space="0" w:color="00B050"/>
              <w:right w:val="single" w:sz="4" w:space="0" w:color="00B050"/>
            </w:tcBorders>
            <w:shd w:val="clear" w:color="auto" w:fill="auto"/>
            <w:noWrap/>
            <w:hideMark/>
          </w:tcPr>
          <w:p w:rsidR="004A2F47" w:rsidRPr="001244BB" w:rsidRDefault="004A2F47" w:rsidP="004A2F47">
            <w:pPr>
              <w:spacing w:after="0" w:line="240" w:lineRule="auto"/>
              <w:jc w:val="right"/>
              <w:rPr>
                <w:rFonts w:eastAsia="Times New Roman" w:cstheme="minorHAnsi"/>
                <w:color w:val="000000"/>
                <w:sz w:val="20"/>
                <w:szCs w:val="20"/>
                <w:lang w:eastAsia="en-NZ"/>
              </w:rPr>
            </w:pPr>
            <w:r w:rsidRPr="001244BB">
              <w:rPr>
                <w:rFonts w:eastAsia="Times New Roman" w:cstheme="minorHAnsi"/>
                <w:color w:val="000000"/>
                <w:sz w:val="20"/>
                <w:szCs w:val="20"/>
                <w:lang w:eastAsia="en-NZ"/>
              </w:rPr>
              <w:t xml:space="preserve">$20.71 </w:t>
            </w:r>
          </w:p>
        </w:tc>
        <w:tc>
          <w:tcPr>
            <w:tcW w:w="1276" w:type="dxa"/>
            <w:tcBorders>
              <w:top w:val="single" w:sz="8" w:space="0" w:color="00B050"/>
              <w:left w:val="single" w:sz="4" w:space="0" w:color="00B050"/>
              <w:bottom w:val="single" w:sz="8" w:space="0" w:color="00B050"/>
              <w:right w:val="single" w:sz="4" w:space="0" w:color="00B050"/>
            </w:tcBorders>
            <w:shd w:val="clear" w:color="auto" w:fill="auto"/>
            <w:noWrap/>
            <w:hideMark/>
          </w:tcPr>
          <w:p w:rsidR="004A2F47" w:rsidRPr="001244BB" w:rsidRDefault="004A2F47" w:rsidP="004A2F47">
            <w:pPr>
              <w:spacing w:after="0" w:line="240" w:lineRule="auto"/>
              <w:jc w:val="right"/>
              <w:rPr>
                <w:rFonts w:eastAsia="Times New Roman" w:cstheme="minorHAnsi"/>
                <w:color w:val="000000"/>
                <w:sz w:val="20"/>
                <w:szCs w:val="20"/>
                <w:lang w:eastAsia="en-NZ"/>
              </w:rPr>
            </w:pPr>
            <w:r w:rsidRPr="001244BB">
              <w:rPr>
                <w:rFonts w:eastAsia="Times New Roman" w:cstheme="minorHAnsi"/>
                <w:color w:val="000000"/>
                <w:sz w:val="20"/>
                <w:szCs w:val="20"/>
                <w:lang w:eastAsia="en-NZ"/>
              </w:rPr>
              <w:t xml:space="preserve">$20.73 </w:t>
            </w:r>
          </w:p>
        </w:tc>
        <w:tc>
          <w:tcPr>
            <w:tcW w:w="1134" w:type="dxa"/>
            <w:tcBorders>
              <w:top w:val="single" w:sz="8" w:space="0" w:color="00B050"/>
              <w:left w:val="single" w:sz="4" w:space="0" w:color="00B050"/>
              <w:bottom w:val="single" w:sz="8" w:space="0" w:color="00B050"/>
              <w:right w:val="single" w:sz="4" w:space="0" w:color="00B050"/>
            </w:tcBorders>
            <w:shd w:val="clear" w:color="000000" w:fill="D9D9D9"/>
            <w:hideMark/>
          </w:tcPr>
          <w:p w:rsidR="004A2F47" w:rsidRPr="001244BB" w:rsidRDefault="004A2F47" w:rsidP="004A2F47">
            <w:pPr>
              <w:spacing w:after="0" w:line="240" w:lineRule="auto"/>
              <w:jc w:val="right"/>
              <w:rPr>
                <w:rFonts w:eastAsia="Times New Roman" w:cstheme="minorHAnsi"/>
                <w:color w:val="000000"/>
                <w:sz w:val="20"/>
                <w:szCs w:val="20"/>
                <w:lang w:eastAsia="en-NZ"/>
              </w:rPr>
            </w:pPr>
            <w:r w:rsidRPr="001244BB">
              <w:rPr>
                <w:rFonts w:eastAsia="Times New Roman" w:cstheme="minorHAnsi"/>
                <w:color w:val="000000"/>
                <w:sz w:val="20"/>
                <w:szCs w:val="20"/>
                <w:lang w:eastAsia="en-NZ"/>
              </w:rPr>
              <w:t>$21.73</w:t>
            </w:r>
          </w:p>
        </w:tc>
        <w:tc>
          <w:tcPr>
            <w:tcW w:w="851" w:type="dxa"/>
            <w:tcBorders>
              <w:top w:val="single" w:sz="8" w:space="0" w:color="00B050"/>
              <w:left w:val="single" w:sz="4" w:space="0" w:color="00B050"/>
              <w:bottom w:val="single" w:sz="8" w:space="0" w:color="00B050"/>
              <w:right w:val="single" w:sz="4" w:space="0" w:color="00B050"/>
            </w:tcBorders>
            <w:shd w:val="clear" w:color="auto" w:fill="auto"/>
            <w:hideMark/>
          </w:tcPr>
          <w:p w:rsidR="004A2F47" w:rsidRPr="001244BB" w:rsidRDefault="004A2F47" w:rsidP="004A2F47">
            <w:pPr>
              <w:spacing w:after="0" w:line="240" w:lineRule="auto"/>
              <w:jc w:val="right"/>
              <w:rPr>
                <w:rFonts w:eastAsia="Times New Roman" w:cstheme="minorHAnsi"/>
                <w:color w:val="000000"/>
                <w:sz w:val="20"/>
                <w:szCs w:val="20"/>
                <w:lang w:eastAsia="en-NZ"/>
              </w:rPr>
            </w:pPr>
            <w:r w:rsidRPr="001244BB">
              <w:rPr>
                <w:rFonts w:eastAsia="Times New Roman" w:cstheme="minorHAnsi"/>
                <w:color w:val="000000"/>
                <w:sz w:val="20"/>
                <w:szCs w:val="20"/>
                <w:lang w:eastAsia="en-NZ"/>
              </w:rPr>
              <w:t>-5%</w:t>
            </w:r>
          </w:p>
        </w:tc>
        <w:tc>
          <w:tcPr>
            <w:tcW w:w="1134" w:type="dxa"/>
            <w:tcBorders>
              <w:top w:val="single" w:sz="8" w:space="0" w:color="00B050"/>
              <w:left w:val="single" w:sz="4" w:space="0" w:color="00B050"/>
              <w:bottom w:val="single" w:sz="8" w:space="0" w:color="00B050"/>
              <w:right w:val="single" w:sz="4" w:space="0" w:color="00B050"/>
            </w:tcBorders>
            <w:shd w:val="clear" w:color="auto" w:fill="auto"/>
            <w:hideMark/>
          </w:tcPr>
          <w:p w:rsidR="004A2F47" w:rsidRDefault="004A2F47" w:rsidP="004A2F47">
            <w:pPr>
              <w:spacing w:after="0"/>
              <w:jc w:val="right"/>
            </w:pPr>
            <w:r w:rsidRPr="00CA6EA0">
              <w:rPr>
                <w:rFonts w:eastAsia="Times New Roman" w:cstheme="minorHAnsi"/>
                <w:color w:val="000000"/>
                <w:sz w:val="20"/>
                <w:szCs w:val="20"/>
                <w:lang w:eastAsia="en-NZ"/>
              </w:rPr>
              <w:t>Within 10%</w:t>
            </w:r>
          </w:p>
        </w:tc>
        <w:tc>
          <w:tcPr>
            <w:tcW w:w="4635" w:type="dxa"/>
            <w:tcBorders>
              <w:top w:val="single" w:sz="8" w:space="0" w:color="00B050"/>
              <w:left w:val="single" w:sz="4" w:space="0" w:color="00B050"/>
              <w:bottom w:val="single" w:sz="8" w:space="0" w:color="00B050"/>
              <w:right w:val="nil"/>
            </w:tcBorders>
            <w:shd w:val="clear" w:color="auto" w:fill="auto"/>
          </w:tcPr>
          <w:p w:rsidR="004A2F47" w:rsidRPr="001244BB" w:rsidRDefault="004A2F47" w:rsidP="004A2F47">
            <w:pPr>
              <w:spacing w:after="0" w:line="240" w:lineRule="auto"/>
              <w:jc w:val="right"/>
              <w:rPr>
                <w:rFonts w:eastAsia="Times New Roman" w:cstheme="minorHAnsi"/>
                <w:color w:val="000000"/>
                <w:sz w:val="20"/>
                <w:szCs w:val="20"/>
                <w:lang w:eastAsia="en-NZ"/>
              </w:rPr>
            </w:pPr>
          </w:p>
        </w:tc>
      </w:tr>
      <w:tr w:rsidR="004A2F47" w:rsidRPr="001244BB" w:rsidTr="00030337">
        <w:trPr>
          <w:trHeight w:val="270"/>
        </w:trPr>
        <w:tc>
          <w:tcPr>
            <w:tcW w:w="3672" w:type="dxa"/>
            <w:tcBorders>
              <w:top w:val="nil"/>
              <w:left w:val="nil"/>
              <w:bottom w:val="single" w:sz="8" w:space="0" w:color="00B050"/>
              <w:right w:val="single" w:sz="4" w:space="0" w:color="00B050"/>
            </w:tcBorders>
            <w:shd w:val="clear" w:color="auto" w:fill="auto"/>
            <w:hideMark/>
          </w:tcPr>
          <w:p w:rsidR="004A2F47" w:rsidRPr="001244BB" w:rsidRDefault="004A2F47" w:rsidP="004A2F47">
            <w:pPr>
              <w:spacing w:after="0" w:line="240" w:lineRule="auto"/>
              <w:rPr>
                <w:rFonts w:eastAsia="Times New Roman" w:cstheme="minorHAnsi"/>
                <w:color w:val="000000"/>
                <w:sz w:val="20"/>
                <w:szCs w:val="20"/>
                <w:lang w:eastAsia="en-NZ"/>
              </w:rPr>
            </w:pPr>
            <w:r w:rsidRPr="001244BB">
              <w:rPr>
                <w:rFonts w:eastAsia="Times New Roman" w:cstheme="minorHAnsi"/>
                <w:color w:val="000000"/>
                <w:sz w:val="20"/>
                <w:szCs w:val="20"/>
                <w:lang w:eastAsia="en-NZ"/>
              </w:rPr>
              <w:t>Total ownership cost to Council ($000)</w:t>
            </w:r>
          </w:p>
        </w:tc>
        <w:tc>
          <w:tcPr>
            <w:tcW w:w="1140" w:type="dxa"/>
            <w:tcBorders>
              <w:top w:val="single" w:sz="8" w:space="0" w:color="00B050"/>
              <w:left w:val="single" w:sz="4" w:space="0" w:color="00B050"/>
              <w:bottom w:val="single" w:sz="8" w:space="0" w:color="00B050"/>
              <w:right w:val="single" w:sz="4" w:space="0" w:color="00B050"/>
            </w:tcBorders>
            <w:shd w:val="clear" w:color="auto" w:fill="auto"/>
            <w:noWrap/>
            <w:hideMark/>
          </w:tcPr>
          <w:p w:rsidR="004A2F47" w:rsidRPr="001244BB" w:rsidRDefault="004A2F47" w:rsidP="004A2F47">
            <w:pPr>
              <w:spacing w:after="0" w:line="240" w:lineRule="auto"/>
              <w:jc w:val="right"/>
              <w:rPr>
                <w:rFonts w:eastAsia="Times New Roman" w:cstheme="minorHAnsi"/>
                <w:color w:val="000000"/>
                <w:sz w:val="20"/>
                <w:szCs w:val="20"/>
                <w:lang w:eastAsia="en-NZ"/>
              </w:rPr>
            </w:pPr>
            <w:r w:rsidRPr="001244BB">
              <w:rPr>
                <w:rFonts w:eastAsia="Times New Roman" w:cstheme="minorHAnsi"/>
                <w:color w:val="000000"/>
                <w:sz w:val="20"/>
                <w:szCs w:val="20"/>
                <w:lang w:eastAsia="en-NZ"/>
              </w:rPr>
              <w:t xml:space="preserve">$5,349 </w:t>
            </w:r>
          </w:p>
        </w:tc>
        <w:tc>
          <w:tcPr>
            <w:tcW w:w="1142" w:type="dxa"/>
            <w:gridSpan w:val="2"/>
            <w:tcBorders>
              <w:top w:val="single" w:sz="8" w:space="0" w:color="00B050"/>
              <w:left w:val="single" w:sz="4" w:space="0" w:color="00B050"/>
              <w:bottom w:val="single" w:sz="8" w:space="0" w:color="00B050"/>
              <w:right w:val="single" w:sz="4" w:space="0" w:color="00B050"/>
            </w:tcBorders>
            <w:shd w:val="clear" w:color="auto" w:fill="auto"/>
            <w:noWrap/>
            <w:hideMark/>
          </w:tcPr>
          <w:p w:rsidR="004A2F47" w:rsidRPr="001244BB" w:rsidRDefault="004A2F47" w:rsidP="004A2F47">
            <w:pPr>
              <w:spacing w:after="0" w:line="240" w:lineRule="auto"/>
              <w:jc w:val="right"/>
              <w:rPr>
                <w:rFonts w:eastAsia="Times New Roman" w:cstheme="minorHAnsi"/>
                <w:color w:val="000000"/>
                <w:sz w:val="20"/>
                <w:szCs w:val="20"/>
                <w:lang w:eastAsia="en-NZ"/>
              </w:rPr>
            </w:pPr>
            <w:r w:rsidRPr="001244BB">
              <w:rPr>
                <w:rFonts w:eastAsia="Times New Roman" w:cstheme="minorHAnsi"/>
                <w:color w:val="000000"/>
                <w:sz w:val="20"/>
                <w:szCs w:val="20"/>
                <w:lang w:eastAsia="en-NZ"/>
              </w:rPr>
              <w:t xml:space="preserve">$5,171 </w:t>
            </w:r>
          </w:p>
        </w:tc>
        <w:tc>
          <w:tcPr>
            <w:tcW w:w="1276" w:type="dxa"/>
            <w:tcBorders>
              <w:top w:val="single" w:sz="8" w:space="0" w:color="00B050"/>
              <w:left w:val="single" w:sz="4" w:space="0" w:color="00B050"/>
              <w:bottom w:val="single" w:sz="8" w:space="0" w:color="00B050"/>
              <w:right w:val="single" w:sz="4" w:space="0" w:color="00B050"/>
            </w:tcBorders>
            <w:shd w:val="clear" w:color="auto" w:fill="auto"/>
            <w:noWrap/>
            <w:hideMark/>
          </w:tcPr>
          <w:p w:rsidR="004A2F47" w:rsidRPr="001244BB" w:rsidRDefault="004A2F47" w:rsidP="004A2F47">
            <w:pPr>
              <w:spacing w:after="0" w:line="240" w:lineRule="auto"/>
              <w:jc w:val="right"/>
              <w:rPr>
                <w:rFonts w:eastAsia="Times New Roman" w:cstheme="minorHAnsi"/>
                <w:color w:val="000000"/>
                <w:sz w:val="20"/>
                <w:szCs w:val="20"/>
                <w:lang w:eastAsia="en-NZ"/>
              </w:rPr>
            </w:pPr>
            <w:r w:rsidRPr="001244BB">
              <w:rPr>
                <w:rFonts w:eastAsia="Times New Roman" w:cstheme="minorHAnsi"/>
                <w:color w:val="000000"/>
                <w:sz w:val="20"/>
                <w:szCs w:val="20"/>
                <w:lang w:eastAsia="en-NZ"/>
              </w:rPr>
              <w:t xml:space="preserve">$5,249 </w:t>
            </w:r>
          </w:p>
        </w:tc>
        <w:tc>
          <w:tcPr>
            <w:tcW w:w="1134" w:type="dxa"/>
            <w:tcBorders>
              <w:top w:val="single" w:sz="8" w:space="0" w:color="00B050"/>
              <w:left w:val="single" w:sz="4" w:space="0" w:color="00B050"/>
              <w:bottom w:val="single" w:sz="8" w:space="0" w:color="00B050"/>
              <w:right w:val="single" w:sz="4" w:space="0" w:color="00B050"/>
            </w:tcBorders>
            <w:shd w:val="clear" w:color="000000" w:fill="D9D9D9"/>
            <w:hideMark/>
          </w:tcPr>
          <w:p w:rsidR="004A2F47" w:rsidRPr="001244BB" w:rsidRDefault="004A2F47" w:rsidP="004A2F47">
            <w:pPr>
              <w:spacing w:after="0" w:line="240" w:lineRule="auto"/>
              <w:jc w:val="right"/>
              <w:rPr>
                <w:rFonts w:eastAsia="Times New Roman" w:cstheme="minorHAnsi"/>
                <w:color w:val="000000"/>
                <w:sz w:val="20"/>
                <w:szCs w:val="20"/>
                <w:lang w:eastAsia="en-NZ"/>
              </w:rPr>
            </w:pPr>
            <w:r w:rsidRPr="001244BB">
              <w:rPr>
                <w:rFonts w:eastAsia="Times New Roman" w:cstheme="minorHAnsi"/>
                <w:color w:val="000000"/>
                <w:sz w:val="20"/>
                <w:szCs w:val="20"/>
                <w:lang w:eastAsia="en-NZ"/>
              </w:rPr>
              <w:t>Trend</w:t>
            </w:r>
          </w:p>
        </w:tc>
        <w:tc>
          <w:tcPr>
            <w:tcW w:w="851" w:type="dxa"/>
            <w:tcBorders>
              <w:top w:val="single" w:sz="8" w:space="0" w:color="00B050"/>
              <w:left w:val="single" w:sz="4" w:space="0" w:color="00B050"/>
              <w:bottom w:val="single" w:sz="8" w:space="0" w:color="00B050"/>
              <w:right w:val="single" w:sz="4" w:space="0" w:color="00B050"/>
            </w:tcBorders>
            <w:shd w:val="clear" w:color="auto" w:fill="auto"/>
            <w:hideMark/>
          </w:tcPr>
          <w:p w:rsidR="004A2F47" w:rsidRPr="001244BB" w:rsidRDefault="004A2F47" w:rsidP="004A2F47">
            <w:pPr>
              <w:spacing w:after="0" w:line="240" w:lineRule="auto"/>
              <w:jc w:val="center"/>
              <w:rPr>
                <w:rFonts w:eastAsia="Times New Roman" w:cstheme="minorHAnsi"/>
                <w:color w:val="000000"/>
                <w:sz w:val="20"/>
                <w:szCs w:val="20"/>
                <w:lang w:eastAsia="en-NZ"/>
              </w:rPr>
            </w:pPr>
          </w:p>
        </w:tc>
        <w:tc>
          <w:tcPr>
            <w:tcW w:w="1134" w:type="dxa"/>
            <w:tcBorders>
              <w:top w:val="single" w:sz="8" w:space="0" w:color="00B050"/>
              <w:left w:val="single" w:sz="4" w:space="0" w:color="00B050"/>
              <w:bottom w:val="single" w:sz="8" w:space="0" w:color="00B050"/>
              <w:right w:val="single" w:sz="4" w:space="0" w:color="00B050"/>
            </w:tcBorders>
            <w:shd w:val="clear" w:color="auto" w:fill="auto"/>
            <w:hideMark/>
          </w:tcPr>
          <w:p w:rsidR="004A2F47" w:rsidRDefault="004A2F47" w:rsidP="004A2F47">
            <w:pPr>
              <w:spacing w:after="0"/>
              <w:jc w:val="right"/>
            </w:pPr>
            <w:r w:rsidRPr="00CA6EA0">
              <w:rPr>
                <w:rFonts w:eastAsia="Times New Roman" w:cstheme="minorHAnsi"/>
                <w:color w:val="000000"/>
                <w:sz w:val="20"/>
                <w:szCs w:val="20"/>
                <w:lang w:eastAsia="en-NZ"/>
              </w:rPr>
              <w:t>Within 10%</w:t>
            </w:r>
          </w:p>
        </w:tc>
        <w:tc>
          <w:tcPr>
            <w:tcW w:w="4635" w:type="dxa"/>
            <w:tcBorders>
              <w:top w:val="single" w:sz="8" w:space="0" w:color="00B050"/>
              <w:left w:val="single" w:sz="4" w:space="0" w:color="00B050"/>
              <w:bottom w:val="single" w:sz="8" w:space="0" w:color="00B050"/>
              <w:right w:val="nil"/>
            </w:tcBorders>
            <w:shd w:val="clear" w:color="auto" w:fill="auto"/>
          </w:tcPr>
          <w:p w:rsidR="004A2F47" w:rsidRPr="001244BB" w:rsidRDefault="004A2F47" w:rsidP="004A2F47">
            <w:pPr>
              <w:spacing w:after="0" w:line="240" w:lineRule="auto"/>
              <w:jc w:val="right"/>
              <w:rPr>
                <w:rFonts w:eastAsia="Times New Roman" w:cstheme="minorHAnsi"/>
                <w:color w:val="000000"/>
                <w:sz w:val="20"/>
                <w:szCs w:val="20"/>
                <w:lang w:eastAsia="en-NZ"/>
              </w:rPr>
            </w:pPr>
          </w:p>
        </w:tc>
      </w:tr>
      <w:tr w:rsidR="004A2F47" w:rsidRPr="001244BB" w:rsidTr="00030337">
        <w:trPr>
          <w:trHeight w:val="270"/>
        </w:trPr>
        <w:tc>
          <w:tcPr>
            <w:tcW w:w="3672" w:type="dxa"/>
            <w:tcBorders>
              <w:top w:val="nil"/>
              <w:left w:val="nil"/>
              <w:bottom w:val="single" w:sz="8" w:space="0" w:color="00B050"/>
              <w:right w:val="single" w:sz="4" w:space="0" w:color="00B050"/>
            </w:tcBorders>
            <w:shd w:val="clear" w:color="auto" w:fill="auto"/>
            <w:hideMark/>
          </w:tcPr>
          <w:p w:rsidR="004A2F47" w:rsidRPr="001244BB" w:rsidRDefault="004A2F47" w:rsidP="004A2F47">
            <w:pPr>
              <w:spacing w:after="0" w:line="240" w:lineRule="auto"/>
              <w:rPr>
                <w:rFonts w:eastAsia="Times New Roman" w:cstheme="minorHAnsi"/>
                <w:color w:val="000000"/>
                <w:sz w:val="20"/>
                <w:szCs w:val="20"/>
                <w:lang w:eastAsia="en-NZ"/>
              </w:rPr>
            </w:pPr>
            <w:r w:rsidRPr="001244BB">
              <w:rPr>
                <w:rFonts w:eastAsia="Times New Roman" w:cstheme="minorHAnsi"/>
                <w:color w:val="000000"/>
                <w:sz w:val="20"/>
                <w:szCs w:val="20"/>
                <w:lang w:eastAsia="en-NZ"/>
              </w:rPr>
              <w:t>Average income per visitor</w:t>
            </w:r>
          </w:p>
        </w:tc>
        <w:tc>
          <w:tcPr>
            <w:tcW w:w="1140" w:type="dxa"/>
            <w:tcBorders>
              <w:top w:val="single" w:sz="8" w:space="0" w:color="00B050"/>
              <w:left w:val="single" w:sz="4" w:space="0" w:color="00B050"/>
              <w:bottom w:val="single" w:sz="8" w:space="0" w:color="00B050"/>
              <w:right w:val="single" w:sz="4" w:space="0" w:color="00B050"/>
            </w:tcBorders>
            <w:shd w:val="clear" w:color="auto" w:fill="auto"/>
            <w:noWrap/>
            <w:hideMark/>
          </w:tcPr>
          <w:p w:rsidR="004A2F47" w:rsidRPr="001244BB" w:rsidRDefault="004A2F47" w:rsidP="004A2F47">
            <w:pPr>
              <w:spacing w:after="0" w:line="240" w:lineRule="auto"/>
              <w:jc w:val="right"/>
              <w:rPr>
                <w:rFonts w:eastAsia="Times New Roman" w:cstheme="minorHAnsi"/>
                <w:color w:val="000000"/>
                <w:sz w:val="20"/>
                <w:szCs w:val="20"/>
                <w:lang w:eastAsia="en-NZ"/>
              </w:rPr>
            </w:pPr>
            <w:r w:rsidRPr="001244BB">
              <w:rPr>
                <w:rFonts w:eastAsia="Times New Roman" w:cstheme="minorHAnsi"/>
                <w:color w:val="000000"/>
                <w:sz w:val="20"/>
                <w:szCs w:val="20"/>
                <w:lang w:eastAsia="en-NZ"/>
              </w:rPr>
              <w:t xml:space="preserve">$16.86 </w:t>
            </w:r>
          </w:p>
        </w:tc>
        <w:tc>
          <w:tcPr>
            <w:tcW w:w="1142" w:type="dxa"/>
            <w:gridSpan w:val="2"/>
            <w:tcBorders>
              <w:top w:val="single" w:sz="8" w:space="0" w:color="00B050"/>
              <w:left w:val="single" w:sz="4" w:space="0" w:color="00B050"/>
              <w:bottom w:val="single" w:sz="8" w:space="0" w:color="00B050"/>
              <w:right w:val="single" w:sz="4" w:space="0" w:color="00B050"/>
            </w:tcBorders>
            <w:shd w:val="clear" w:color="auto" w:fill="auto"/>
            <w:noWrap/>
            <w:hideMark/>
          </w:tcPr>
          <w:p w:rsidR="004A2F47" w:rsidRPr="001244BB" w:rsidRDefault="004A2F47" w:rsidP="004A2F47">
            <w:pPr>
              <w:spacing w:after="0" w:line="240" w:lineRule="auto"/>
              <w:jc w:val="right"/>
              <w:rPr>
                <w:rFonts w:eastAsia="Times New Roman" w:cstheme="minorHAnsi"/>
                <w:color w:val="000000"/>
                <w:sz w:val="20"/>
                <w:szCs w:val="20"/>
                <w:lang w:eastAsia="en-NZ"/>
              </w:rPr>
            </w:pPr>
            <w:r w:rsidRPr="001244BB">
              <w:rPr>
                <w:rFonts w:eastAsia="Times New Roman" w:cstheme="minorHAnsi"/>
                <w:color w:val="000000"/>
                <w:sz w:val="20"/>
                <w:szCs w:val="20"/>
                <w:lang w:eastAsia="en-NZ"/>
              </w:rPr>
              <w:t xml:space="preserve">$16.77 </w:t>
            </w:r>
          </w:p>
        </w:tc>
        <w:tc>
          <w:tcPr>
            <w:tcW w:w="1276" w:type="dxa"/>
            <w:tcBorders>
              <w:top w:val="single" w:sz="8" w:space="0" w:color="00B050"/>
              <w:left w:val="single" w:sz="4" w:space="0" w:color="00B050"/>
              <w:bottom w:val="single" w:sz="8" w:space="0" w:color="00B050"/>
              <w:right w:val="single" w:sz="4" w:space="0" w:color="00B050"/>
            </w:tcBorders>
            <w:shd w:val="clear" w:color="auto" w:fill="auto"/>
            <w:noWrap/>
            <w:hideMark/>
          </w:tcPr>
          <w:p w:rsidR="004A2F47" w:rsidRPr="001244BB" w:rsidRDefault="004A2F47" w:rsidP="004A2F47">
            <w:pPr>
              <w:spacing w:after="0" w:line="240" w:lineRule="auto"/>
              <w:jc w:val="right"/>
              <w:rPr>
                <w:rFonts w:eastAsia="Times New Roman" w:cstheme="minorHAnsi"/>
                <w:color w:val="000000"/>
                <w:sz w:val="20"/>
                <w:szCs w:val="20"/>
                <w:lang w:eastAsia="en-NZ"/>
              </w:rPr>
            </w:pPr>
            <w:r w:rsidRPr="001244BB">
              <w:rPr>
                <w:rFonts w:eastAsia="Times New Roman" w:cstheme="minorHAnsi"/>
                <w:color w:val="000000"/>
                <w:sz w:val="20"/>
                <w:szCs w:val="20"/>
                <w:lang w:eastAsia="en-NZ"/>
              </w:rPr>
              <w:t xml:space="preserve">$17.53 </w:t>
            </w:r>
          </w:p>
        </w:tc>
        <w:tc>
          <w:tcPr>
            <w:tcW w:w="1134" w:type="dxa"/>
            <w:tcBorders>
              <w:top w:val="single" w:sz="8" w:space="0" w:color="00B050"/>
              <w:left w:val="single" w:sz="4" w:space="0" w:color="00B050"/>
              <w:bottom w:val="single" w:sz="8" w:space="0" w:color="00B050"/>
              <w:right w:val="single" w:sz="4" w:space="0" w:color="00B050"/>
            </w:tcBorders>
            <w:shd w:val="clear" w:color="000000" w:fill="D9D9D9"/>
            <w:hideMark/>
          </w:tcPr>
          <w:p w:rsidR="004A2F47" w:rsidRPr="001244BB" w:rsidRDefault="004A2F47" w:rsidP="004A2F47">
            <w:pPr>
              <w:spacing w:after="0" w:line="240" w:lineRule="auto"/>
              <w:jc w:val="right"/>
              <w:rPr>
                <w:rFonts w:eastAsia="Times New Roman" w:cstheme="minorHAnsi"/>
                <w:color w:val="000000"/>
                <w:sz w:val="20"/>
                <w:szCs w:val="20"/>
                <w:lang w:eastAsia="en-NZ"/>
              </w:rPr>
            </w:pPr>
            <w:r w:rsidRPr="001244BB">
              <w:rPr>
                <w:rFonts w:eastAsia="Times New Roman" w:cstheme="minorHAnsi"/>
                <w:color w:val="000000"/>
                <w:sz w:val="20"/>
                <w:szCs w:val="20"/>
                <w:lang w:eastAsia="en-NZ"/>
              </w:rPr>
              <w:t>$17.21</w:t>
            </w:r>
          </w:p>
        </w:tc>
        <w:tc>
          <w:tcPr>
            <w:tcW w:w="851" w:type="dxa"/>
            <w:tcBorders>
              <w:top w:val="single" w:sz="8" w:space="0" w:color="00B050"/>
              <w:left w:val="single" w:sz="4" w:space="0" w:color="00B050"/>
              <w:bottom w:val="single" w:sz="8" w:space="0" w:color="00B050"/>
              <w:right w:val="single" w:sz="4" w:space="0" w:color="00B050"/>
            </w:tcBorders>
            <w:shd w:val="clear" w:color="auto" w:fill="auto"/>
            <w:hideMark/>
          </w:tcPr>
          <w:p w:rsidR="004A2F47" w:rsidRPr="001244BB" w:rsidRDefault="004A2F47" w:rsidP="004A2F47">
            <w:pPr>
              <w:spacing w:after="0" w:line="240" w:lineRule="auto"/>
              <w:jc w:val="right"/>
              <w:rPr>
                <w:rFonts w:eastAsia="Times New Roman" w:cstheme="minorHAnsi"/>
                <w:color w:val="000000"/>
                <w:sz w:val="20"/>
                <w:szCs w:val="20"/>
                <w:lang w:eastAsia="en-NZ"/>
              </w:rPr>
            </w:pPr>
            <w:r w:rsidRPr="001244BB">
              <w:rPr>
                <w:rFonts w:eastAsia="Times New Roman" w:cstheme="minorHAnsi"/>
                <w:color w:val="000000"/>
                <w:sz w:val="20"/>
                <w:szCs w:val="20"/>
                <w:lang w:eastAsia="en-NZ"/>
              </w:rPr>
              <w:t>2%</w:t>
            </w:r>
          </w:p>
        </w:tc>
        <w:tc>
          <w:tcPr>
            <w:tcW w:w="1134" w:type="dxa"/>
            <w:tcBorders>
              <w:top w:val="single" w:sz="8" w:space="0" w:color="00B050"/>
              <w:left w:val="single" w:sz="4" w:space="0" w:color="00B050"/>
              <w:bottom w:val="single" w:sz="8" w:space="0" w:color="00B050"/>
              <w:right w:val="single" w:sz="4" w:space="0" w:color="00B050"/>
            </w:tcBorders>
            <w:shd w:val="clear" w:color="auto" w:fill="auto"/>
            <w:hideMark/>
          </w:tcPr>
          <w:p w:rsidR="004A2F47" w:rsidRDefault="004A2F47" w:rsidP="004A2F47">
            <w:pPr>
              <w:spacing w:after="0"/>
              <w:jc w:val="right"/>
            </w:pPr>
            <w:r w:rsidRPr="00CA6EA0">
              <w:rPr>
                <w:rFonts w:eastAsia="Times New Roman" w:cstheme="minorHAnsi"/>
                <w:color w:val="000000"/>
                <w:sz w:val="20"/>
                <w:szCs w:val="20"/>
                <w:lang w:eastAsia="en-NZ"/>
              </w:rPr>
              <w:t>Within 10%</w:t>
            </w:r>
          </w:p>
        </w:tc>
        <w:tc>
          <w:tcPr>
            <w:tcW w:w="4635" w:type="dxa"/>
            <w:tcBorders>
              <w:top w:val="single" w:sz="8" w:space="0" w:color="00B050"/>
              <w:left w:val="single" w:sz="4" w:space="0" w:color="00B050"/>
              <w:bottom w:val="single" w:sz="8" w:space="0" w:color="00B050"/>
              <w:right w:val="nil"/>
            </w:tcBorders>
            <w:shd w:val="clear" w:color="auto" w:fill="auto"/>
          </w:tcPr>
          <w:p w:rsidR="004A2F47" w:rsidRPr="001244BB" w:rsidRDefault="004A2F47" w:rsidP="004A2F47">
            <w:pPr>
              <w:spacing w:after="0" w:line="240" w:lineRule="auto"/>
              <w:jc w:val="right"/>
              <w:rPr>
                <w:rFonts w:eastAsia="Times New Roman" w:cstheme="minorHAnsi"/>
                <w:color w:val="000000"/>
                <w:sz w:val="20"/>
                <w:szCs w:val="20"/>
                <w:lang w:eastAsia="en-NZ"/>
              </w:rPr>
            </w:pPr>
          </w:p>
        </w:tc>
      </w:tr>
      <w:tr w:rsidR="004A2F47" w:rsidRPr="001244BB" w:rsidTr="00030337">
        <w:trPr>
          <w:trHeight w:val="270"/>
        </w:trPr>
        <w:tc>
          <w:tcPr>
            <w:tcW w:w="3672" w:type="dxa"/>
            <w:tcBorders>
              <w:top w:val="nil"/>
              <w:left w:val="nil"/>
              <w:right w:val="single" w:sz="4" w:space="0" w:color="00B050"/>
            </w:tcBorders>
            <w:shd w:val="clear" w:color="auto" w:fill="auto"/>
            <w:hideMark/>
          </w:tcPr>
          <w:p w:rsidR="004A2F47" w:rsidRPr="001244BB" w:rsidRDefault="004A2F47" w:rsidP="004A2F47">
            <w:pPr>
              <w:spacing w:after="0" w:line="240" w:lineRule="auto"/>
              <w:rPr>
                <w:rFonts w:eastAsia="Times New Roman" w:cstheme="minorHAnsi"/>
                <w:color w:val="000000"/>
                <w:sz w:val="20"/>
                <w:szCs w:val="20"/>
                <w:lang w:eastAsia="en-NZ"/>
              </w:rPr>
            </w:pPr>
            <w:r w:rsidRPr="001244BB">
              <w:rPr>
                <w:rFonts w:eastAsia="Times New Roman" w:cstheme="minorHAnsi"/>
                <w:color w:val="000000"/>
                <w:sz w:val="20"/>
                <w:szCs w:val="20"/>
                <w:lang w:eastAsia="en-NZ"/>
              </w:rPr>
              <w:t>Ratio of generated Trust income as % of WCC grant.</w:t>
            </w:r>
          </w:p>
        </w:tc>
        <w:tc>
          <w:tcPr>
            <w:tcW w:w="1140" w:type="dxa"/>
            <w:tcBorders>
              <w:top w:val="single" w:sz="8" w:space="0" w:color="00B050"/>
              <w:left w:val="single" w:sz="4" w:space="0" w:color="00B050"/>
              <w:right w:val="single" w:sz="4" w:space="0" w:color="00B050"/>
            </w:tcBorders>
            <w:shd w:val="clear" w:color="auto" w:fill="FFFFFF" w:themeFill="background1"/>
            <w:noWrap/>
            <w:hideMark/>
          </w:tcPr>
          <w:p w:rsidR="004A2F47" w:rsidRPr="001244BB" w:rsidRDefault="004A2F47" w:rsidP="004A2F47">
            <w:pPr>
              <w:spacing w:after="0" w:line="240" w:lineRule="auto"/>
              <w:jc w:val="right"/>
              <w:rPr>
                <w:rFonts w:eastAsia="Times New Roman" w:cstheme="minorHAnsi"/>
                <w:color w:val="000000"/>
                <w:sz w:val="20"/>
                <w:szCs w:val="20"/>
                <w:lang w:eastAsia="en-NZ"/>
              </w:rPr>
            </w:pPr>
            <w:r w:rsidRPr="001244BB">
              <w:rPr>
                <w:rFonts w:eastAsia="Times New Roman" w:cstheme="minorHAnsi"/>
                <w:color w:val="000000"/>
                <w:sz w:val="20"/>
                <w:szCs w:val="20"/>
                <w:lang w:eastAsia="en-NZ"/>
              </w:rPr>
              <w:t> </w:t>
            </w:r>
          </w:p>
        </w:tc>
        <w:tc>
          <w:tcPr>
            <w:tcW w:w="1142" w:type="dxa"/>
            <w:gridSpan w:val="2"/>
            <w:tcBorders>
              <w:top w:val="single" w:sz="8" w:space="0" w:color="00B050"/>
              <w:left w:val="single" w:sz="4" w:space="0" w:color="00B050"/>
              <w:right w:val="single" w:sz="4" w:space="0" w:color="00B050"/>
            </w:tcBorders>
            <w:shd w:val="clear" w:color="auto" w:fill="FFFFFF" w:themeFill="background1"/>
            <w:noWrap/>
            <w:hideMark/>
          </w:tcPr>
          <w:p w:rsidR="004A2F47" w:rsidRPr="001244BB" w:rsidRDefault="004A2F47" w:rsidP="004A2F47">
            <w:pPr>
              <w:spacing w:after="0" w:line="240" w:lineRule="auto"/>
              <w:jc w:val="right"/>
              <w:rPr>
                <w:rFonts w:eastAsia="Times New Roman" w:cstheme="minorHAnsi"/>
                <w:color w:val="000000"/>
                <w:sz w:val="20"/>
                <w:szCs w:val="20"/>
                <w:lang w:eastAsia="en-NZ"/>
              </w:rPr>
            </w:pPr>
            <w:r w:rsidRPr="001244BB">
              <w:rPr>
                <w:rFonts w:eastAsia="Times New Roman" w:cstheme="minorHAnsi"/>
                <w:color w:val="000000"/>
                <w:sz w:val="20"/>
                <w:szCs w:val="20"/>
                <w:lang w:eastAsia="en-NZ"/>
              </w:rPr>
              <w:t>New </w:t>
            </w:r>
          </w:p>
        </w:tc>
        <w:tc>
          <w:tcPr>
            <w:tcW w:w="1276" w:type="dxa"/>
            <w:tcBorders>
              <w:top w:val="single" w:sz="8" w:space="0" w:color="00B050"/>
              <w:left w:val="single" w:sz="4" w:space="0" w:color="00B050"/>
              <w:right w:val="single" w:sz="4" w:space="0" w:color="00B050"/>
            </w:tcBorders>
            <w:shd w:val="clear" w:color="auto" w:fill="FFFFFF" w:themeFill="background1"/>
            <w:noWrap/>
            <w:hideMark/>
          </w:tcPr>
          <w:p w:rsidR="004A2F47" w:rsidRPr="001244BB" w:rsidRDefault="004A2F47" w:rsidP="004A2F47">
            <w:pPr>
              <w:spacing w:after="0" w:line="240" w:lineRule="auto"/>
              <w:jc w:val="right"/>
              <w:rPr>
                <w:rFonts w:eastAsia="Times New Roman" w:cstheme="minorHAnsi"/>
                <w:color w:val="000000"/>
                <w:sz w:val="20"/>
                <w:szCs w:val="20"/>
                <w:lang w:eastAsia="en-NZ"/>
              </w:rPr>
            </w:pPr>
            <w:r w:rsidRPr="001244BB">
              <w:rPr>
                <w:rFonts w:eastAsia="Times New Roman" w:cstheme="minorHAnsi"/>
                <w:color w:val="000000"/>
                <w:sz w:val="20"/>
                <w:szCs w:val="20"/>
                <w:lang w:eastAsia="en-NZ"/>
              </w:rPr>
              <w:t>134%</w:t>
            </w:r>
          </w:p>
        </w:tc>
        <w:tc>
          <w:tcPr>
            <w:tcW w:w="1134" w:type="dxa"/>
            <w:tcBorders>
              <w:top w:val="single" w:sz="8" w:space="0" w:color="00B050"/>
              <w:left w:val="single" w:sz="4" w:space="0" w:color="00B050"/>
              <w:right w:val="single" w:sz="4" w:space="0" w:color="00B050"/>
            </w:tcBorders>
            <w:shd w:val="clear" w:color="000000" w:fill="D9D9D9"/>
            <w:hideMark/>
          </w:tcPr>
          <w:p w:rsidR="004A2F47" w:rsidRPr="001244BB" w:rsidRDefault="004A2F47" w:rsidP="004A2F47">
            <w:pPr>
              <w:spacing w:after="0" w:line="240" w:lineRule="auto"/>
              <w:jc w:val="right"/>
              <w:rPr>
                <w:rFonts w:eastAsia="Times New Roman" w:cstheme="minorHAnsi"/>
                <w:color w:val="000000"/>
                <w:sz w:val="20"/>
                <w:szCs w:val="20"/>
                <w:lang w:eastAsia="en-NZ"/>
              </w:rPr>
            </w:pPr>
            <w:r w:rsidRPr="001244BB">
              <w:rPr>
                <w:rFonts w:eastAsia="Times New Roman" w:cstheme="minorHAnsi"/>
                <w:color w:val="000000"/>
                <w:sz w:val="20"/>
                <w:szCs w:val="20"/>
                <w:lang w:eastAsia="en-NZ"/>
              </w:rPr>
              <w:t>127%</w:t>
            </w:r>
          </w:p>
        </w:tc>
        <w:tc>
          <w:tcPr>
            <w:tcW w:w="851" w:type="dxa"/>
            <w:tcBorders>
              <w:top w:val="single" w:sz="8" w:space="0" w:color="00B050"/>
              <w:left w:val="single" w:sz="4" w:space="0" w:color="00B050"/>
              <w:right w:val="single" w:sz="4" w:space="0" w:color="00B050"/>
            </w:tcBorders>
            <w:shd w:val="clear" w:color="auto" w:fill="auto"/>
            <w:hideMark/>
          </w:tcPr>
          <w:p w:rsidR="004A2F47" w:rsidRPr="001244BB" w:rsidRDefault="004A2F47" w:rsidP="004A2F47">
            <w:pPr>
              <w:spacing w:after="0" w:line="240" w:lineRule="auto"/>
              <w:jc w:val="right"/>
              <w:rPr>
                <w:rFonts w:eastAsia="Times New Roman" w:cstheme="minorHAnsi"/>
                <w:color w:val="000000"/>
                <w:sz w:val="20"/>
                <w:szCs w:val="20"/>
                <w:lang w:eastAsia="en-NZ"/>
              </w:rPr>
            </w:pPr>
            <w:r w:rsidRPr="001244BB">
              <w:rPr>
                <w:rFonts w:eastAsia="Times New Roman" w:cstheme="minorHAnsi"/>
                <w:color w:val="000000"/>
                <w:sz w:val="20"/>
                <w:szCs w:val="20"/>
                <w:lang w:eastAsia="en-NZ"/>
              </w:rPr>
              <w:t>6%</w:t>
            </w:r>
          </w:p>
        </w:tc>
        <w:tc>
          <w:tcPr>
            <w:tcW w:w="1134" w:type="dxa"/>
            <w:tcBorders>
              <w:top w:val="single" w:sz="8" w:space="0" w:color="00B050"/>
              <w:left w:val="single" w:sz="4" w:space="0" w:color="00B050"/>
              <w:right w:val="single" w:sz="4" w:space="0" w:color="00B050"/>
            </w:tcBorders>
            <w:shd w:val="clear" w:color="auto" w:fill="auto"/>
            <w:hideMark/>
          </w:tcPr>
          <w:p w:rsidR="004A2F47" w:rsidRDefault="004A2F47" w:rsidP="004A2F47">
            <w:pPr>
              <w:spacing w:after="0"/>
              <w:jc w:val="right"/>
            </w:pPr>
            <w:r w:rsidRPr="00CA6EA0">
              <w:rPr>
                <w:rFonts w:eastAsia="Times New Roman" w:cstheme="minorHAnsi"/>
                <w:color w:val="000000"/>
                <w:sz w:val="20"/>
                <w:szCs w:val="20"/>
                <w:lang w:eastAsia="en-NZ"/>
              </w:rPr>
              <w:t>Within 10%</w:t>
            </w:r>
          </w:p>
        </w:tc>
        <w:tc>
          <w:tcPr>
            <w:tcW w:w="4635" w:type="dxa"/>
            <w:tcBorders>
              <w:top w:val="single" w:sz="8" w:space="0" w:color="00B050"/>
              <w:left w:val="single" w:sz="4" w:space="0" w:color="00B050"/>
              <w:right w:val="nil"/>
            </w:tcBorders>
            <w:shd w:val="clear" w:color="auto" w:fill="auto"/>
          </w:tcPr>
          <w:p w:rsidR="004A2F47" w:rsidRPr="001244BB" w:rsidRDefault="004A2F47" w:rsidP="004A2F47">
            <w:pPr>
              <w:spacing w:after="0" w:line="240" w:lineRule="auto"/>
              <w:jc w:val="right"/>
              <w:rPr>
                <w:rFonts w:eastAsia="Times New Roman" w:cstheme="minorHAnsi"/>
                <w:color w:val="000000"/>
                <w:sz w:val="20"/>
                <w:szCs w:val="20"/>
                <w:lang w:eastAsia="en-NZ"/>
              </w:rPr>
            </w:pPr>
          </w:p>
        </w:tc>
      </w:tr>
      <w:tr w:rsidR="00030337" w:rsidRPr="001244BB" w:rsidTr="00030337">
        <w:trPr>
          <w:trHeight w:val="315"/>
        </w:trPr>
        <w:tc>
          <w:tcPr>
            <w:tcW w:w="14984" w:type="dxa"/>
            <w:gridSpan w:val="9"/>
            <w:tcBorders>
              <w:top w:val="nil"/>
              <w:left w:val="nil"/>
              <w:right w:val="single" w:sz="4" w:space="0" w:color="00B050"/>
            </w:tcBorders>
            <w:shd w:val="clear" w:color="auto" w:fill="EAF1DD" w:themeFill="accent3" w:themeFillTint="33"/>
            <w:hideMark/>
          </w:tcPr>
          <w:p w:rsidR="00030337" w:rsidRPr="001244BB" w:rsidRDefault="00030337" w:rsidP="00030337">
            <w:pPr>
              <w:spacing w:after="0" w:line="240" w:lineRule="auto"/>
              <w:rPr>
                <w:rFonts w:eastAsia="Times New Roman" w:cstheme="minorHAnsi"/>
                <w:b/>
                <w:sz w:val="20"/>
                <w:szCs w:val="20"/>
                <w:lang w:eastAsia="en-NZ"/>
              </w:rPr>
            </w:pPr>
            <w:r w:rsidRPr="001244BB">
              <w:rPr>
                <w:rFonts w:eastAsia="Times New Roman" w:cstheme="minorHAnsi"/>
                <w:b/>
                <w:sz w:val="20"/>
                <w:szCs w:val="20"/>
                <w:lang w:eastAsia="en-NZ"/>
              </w:rPr>
              <w:t>Zealandia</w:t>
            </w:r>
          </w:p>
        </w:tc>
      </w:tr>
      <w:tr w:rsidR="00030337" w:rsidRPr="001244BB" w:rsidTr="00030337">
        <w:trPr>
          <w:trHeight w:val="270"/>
        </w:trPr>
        <w:tc>
          <w:tcPr>
            <w:tcW w:w="3672" w:type="dxa"/>
            <w:tcBorders>
              <w:left w:val="nil"/>
              <w:bottom w:val="single" w:sz="8" w:space="0" w:color="00B050"/>
              <w:right w:val="single" w:sz="4" w:space="0" w:color="00B050"/>
            </w:tcBorders>
            <w:shd w:val="clear" w:color="auto" w:fill="auto"/>
            <w:hideMark/>
          </w:tcPr>
          <w:p w:rsidR="00030337" w:rsidRPr="001244BB" w:rsidRDefault="00030337" w:rsidP="00030337">
            <w:pPr>
              <w:spacing w:after="0" w:line="240" w:lineRule="auto"/>
              <w:rPr>
                <w:rFonts w:eastAsia="Times New Roman" w:cstheme="minorHAnsi"/>
                <w:color w:val="000000"/>
                <w:sz w:val="20"/>
                <w:szCs w:val="20"/>
                <w:lang w:eastAsia="en-NZ"/>
              </w:rPr>
            </w:pPr>
            <w:r w:rsidRPr="001244BB">
              <w:rPr>
                <w:rFonts w:eastAsia="Times New Roman" w:cstheme="minorHAnsi"/>
                <w:color w:val="000000"/>
                <w:sz w:val="20"/>
                <w:szCs w:val="20"/>
                <w:lang w:eastAsia="en-NZ"/>
              </w:rPr>
              <w:t>Number of Visitors</w:t>
            </w:r>
          </w:p>
        </w:tc>
        <w:tc>
          <w:tcPr>
            <w:tcW w:w="1140" w:type="dxa"/>
            <w:tcBorders>
              <w:left w:val="single" w:sz="4" w:space="0" w:color="00B050"/>
              <w:bottom w:val="single" w:sz="8" w:space="0" w:color="00B050"/>
              <w:right w:val="single" w:sz="4" w:space="0" w:color="00B050"/>
            </w:tcBorders>
            <w:shd w:val="clear" w:color="auto" w:fill="auto"/>
            <w:noWrap/>
            <w:hideMark/>
          </w:tcPr>
          <w:p w:rsidR="00030337" w:rsidRPr="001244BB" w:rsidRDefault="00030337" w:rsidP="00030337">
            <w:pPr>
              <w:spacing w:after="0" w:line="240" w:lineRule="auto"/>
              <w:jc w:val="right"/>
              <w:rPr>
                <w:rFonts w:eastAsia="Times New Roman" w:cstheme="minorHAnsi"/>
                <w:color w:val="000000"/>
                <w:sz w:val="20"/>
                <w:szCs w:val="20"/>
                <w:lang w:eastAsia="en-NZ"/>
              </w:rPr>
            </w:pPr>
            <w:r w:rsidRPr="001244BB">
              <w:rPr>
                <w:rFonts w:eastAsia="Times New Roman" w:cstheme="minorHAnsi"/>
                <w:color w:val="000000"/>
                <w:sz w:val="20"/>
                <w:szCs w:val="20"/>
                <w:lang w:eastAsia="en-NZ"/>
              </w:rPr>
              <w:t xml:space="preserve">125,179 </w:t>
            </w:r>
          </w:p>
        </w:tc>
        <w:tc>
          <w:tcPr>
            <w:tcW w:w="1142" w:type="dxa"/>
            <w:gridSpan w:val="2"/>
            <w:tcBorders>
              <w:left w:val="single" w:sz="4" w:space="0" w:color="00B050"/>
              <w:bottom w:val="single" w:sz="8" w:space="0" w:color="00B050"/>
              <w:right w:val="single" w:sz="4" w:space="0" w:color="00B050"/>
            </w:tcBorders>
            <w:shd w:val="clear" w:color="auto" w:fill="auto"/>
            <w:noWrap/>
            <w:hideMark/>
          </w:tcPr>
          <w:p w:rsidR="00030337" w:rsidRPr="001244BB" w:rsidRDefault="00030337" w:rsidP="00030337">
            <w:pPr>
              <w:spacing w:after="0" w:line="240" w:lineRule="auto"/>
              <w:jc w:val="right"/>
              <w:rPr>
                <w:rFonts w:eastAsia="Times New Roman" w:cstheme="minorHAnsi"/>
                <w:color w:val="000000"/>
                <w:sz w:val="20"/>
                <w:szCs w:val="20"/>
                <w:lang w:eastAsia="en-NZ"/>
              </w:rPr>
            </w:pPr>
            <w:r w:rsidRPr="001244BB">
              <w:rPr>
                <w:rFonts w:eastAsia="Times New Roman" w:cstheme="minorHAnsi"/>
                <w:color w:val="000000"/>
                <w:sz w:val="20"/>
                <w:szCs w:val="20"/>
                <w:lang w:eastAsia="en-NZ"/>
              </w:rPr>
              <w:t xml:space="preserve">132,337 </w:t>
            </w:r>
          </w:p>
        </w:tc>
        <w:tc>
          <w:tcPr>
            <w:tcW w:w="1276" w:type="dxa"/>
            <w:tcBorders>
              <w:left w:val="single" w:sz="4" w:space="0" w:color="00B050"/>
              <w:bottom w:val="single" w:sz="8" w:space="0" w:color="00B050"/>
              <w:right w:val="single" w:sz="4" w:space="0" w:color="00B050"/>
            </w:tcBorders>
            <w:shd w:val="clear" w:color="auto" w:fill="auto"/>
            <w:noWrap/>
            <w:hideMark/>
          </w:tcPr>
          <w:p w:rsidR="00030337" w:rsidRPr="001244BB" w:rsidRDefault="005F3580" w:rsidP="00030337">
            <w:pPr>
              <w:spacing w:after="0" w:line="240" w:lineRule="auto"/>
              <w:jc w:val="right"/>
              <w:rPr>
                <w:rFonts w:eastAsia="Times New Roman" w:cstheme="minorHAnsi"/>
                <w:color w:val="000000"/>
                <w:sz w:val="20"/>
                <w:szCs w:val="20"/>
                <w:lang w:eastAsia="en-NZ"/>
              </w:rPr>
            </w:pPr>
            <w:r>
              <w:rPr>
                <w:rFonts w:eastAsia="Times New Roman" w:cstheme="minorHAnsi"/>
                <w:color w:val="000000"/>
                <w:sz w:val="20"/>
                <w:szCs w:val="20"/>
                <w:lang w:eastAsia="en-NZ"/>
              </w:rPr>
              <w:t>138,141</w:t>
            </w:r>
          </w:p>
        </w:tc>
        <w:tc>
          <w:tcPr>
            <w:tcW w:w="1134" w:type="dxa"/>
            <w:tcBorders>
              <w:left w:val="single" w:sz="4" w:space="0" w:color="00B050"/>
              <w:bottom w:val="single" w:sz="8" w:space="0" w:color="00B050"/>
              <w:right w:val="single" w:sz="4" w:space="0" w:color="00B050"/>
            </w:tcBorders>
            <w:shd w:val="clear" w:color="000000" w:fill="D9D9D9"/>
            <w:hideMark/>
          </w:tcPr>
          <w:p w:rsidR="00030337" w:rsidRPr="001244BB" w:rsidRDefault="00030337" w:rsidP="00CC5A44">
            <w:pPr>
              <w:spacing w:after="0" w:line="240" w:lineRule="auto"/>
              <w:jc w:val="right"/>
              <w:rPr>
                <w:rFonts w:eastAsia="Times New Roman" w:cstheme="minorHAnsi"/>
                <w:color w:val="000000"/>
                <w:sz w:val="20"/>
                <w:szCs w:val="20"/>
                <w:lang w:eastAsia="en-NZ"/>
              </w:rPr>
            </w:pPr>
            <w:r w:rsidRPr="001244BB">
              <w:rPr>
                <w:rFonts w:eastAsia="Times New Roman" w:cstheme="minorHAnsi"/>
                <w:color w:val="000000"/>
                <w:sz w:val="20"/>
                <w:szCs w:val="20"/>
                <w:lang w:eastAsia="en-NZ"/>
              </w:rPr>
              <w:t xml:space="preserve">    99,300 </w:t>
            </w:r>
          </w:p>
        </w:tc>
        <w:tc>
          <w:tcPr>
            <w:tcW w:w="851" w:type="dxa"/>
            <w:tcBorders>
              <w:left w:val="single" w:sz="4" w:space="0" w:color="00B050"/>
              <w:bottom w:val="single" w:sz="8" w:space="0" w:color="00B050"/>
              <w:right w:val="single" w:sz="4" w:space="0" w:color="00B050"/>
            </w:tcBorders>
            <w:shd w:val="clear" w:color="auto" w:fill="auto"/>
            <w:hideMark/>
          </w:tcPr>
          <w:p w:rsidR="00030337" w:rsidRPr="001244BB" w:rsidRDefault="00B27E9D" w:rsidP="00B27E9D">
            <w:pPr>
              <w:spacing w:after="0" w:line="240" w:lineRule="auto"/>
              <w:jc w:val="right"/>
              <w:rPr>
                <w:rFonts w:eastAsia="Times New Roman" w:cstheme="minorHAnsi"/>
                <w:color w:val="000000"/>
                <w:sz w:val="20"/>
                <w:szCs w:val="20"/>
                <w:lang w:eastAsia="en-NZ"/>
              </w:rPr>
            </w:pPr>
            <w:r w:rsidRPr="001244BB">
              <w:rPr>
                <w:rFonts w:eastAsia="Times New Roman" w:cstheme="minorHAnsi"/>
                <w:color w:val="000000"/>
                <w:sz w:val="20"/>
                <w:szCs w:val="20"/>
                <w:lang w:eastAsia="en-NZ"/>
              </w:rPr>
              <w:t>3</w:t>
            </w:r>
            <w:r>
              <w:rPr>
                <w:rFonts w:eastAsia="Times New Roman" w:cstheme="minorHAnsi"/>
                <w:color w:val="000000"/>
                <w:sz w:val="20"/>
                <w:szCs w:val="20"/>
                <w:lang w:eastAsia="en-NZ"/>
              </w:rPr>
              <w:t>9</w:t>
            </w:r>
            <w:r w:rsidR="00030337" w:rsidRPr="001244BB">
              <w:rPr>
                <w:rFonts w:eastAsia="Times New Roman" w:cstheme="minorHAnsi"/>
                <w:color w:val="000000"/>
                <w:sz w:val="20"/>
                <w:szCs w:val="20"/>
                <w:lang w:eastAsia="en-NZ"/>
              </w:rPr>
              <w:t>%</w:t>
            </w:r>
          </w:p>
        </w:tc>
        <w:tc>
          <w:tcPr>
            <w:tcW w:w="1134" w:type="dxa"/>
            <w:tcBorders>
              <w:left w:val="single" w:sz="4" w:space="0" w:color="00B050"/>
              <w:bottom w:val="single" w:sz="8" w:space="0" w:color="00B050"/>
              <w:right w:val="single" w:sz="4" w:space="0" w:color="00B050"/>
            </w:tcBorders>
            <w:shd w:val="clear" w:color="auto" w:fill="auto"/>
            <w:hideMark/>
          </w:tcPr>
          <w:p w:rsidR="00030337" w:rsidRPr="001244BB" w:rsidRDefault="00030337" w:rsidP="00030337">
            <w:pPr>
              <w:spacing w:after="0" w:line="240" w:lineRule="auto"/>
              <w:jc w:val="right"/>
              <w:rPr>
                <w:rFonts w:eastAsia="Times New Roman" w:cstheme="minorHAnsi"/>
                <w:color w:val="000000"/>
                <w:sz w:val="20"/>
                <w:szCs w:val="20"/>
                <w:lang w:eastAsia="en-NZ"/>
              </w:rPr>
            </w:pPr>
            <w:r w:rsidRPr="001244BB">
              <w:rPr>
                <w:rFonts w:eastAsia="Times New Roman" w:cstheme="minorHAnsi"/>
                <w:color w:val="000000"/>
                <w:sz w:val="20"/>
                <w:szCs w:val="20"/>
                <w:lang w:eastAsia="en-NZ"/>
              </w:rPr>
              <w:t xml:space="preserve">exceeded </w:t>
            </w:r>
          </w:p>
        </w:tc>
        <w:tc>
          <w:tcPr>
            <w:tcW w:w="4635" w:type="dxa"/>
            <w:tcBorders>
              <w:left w:val="single" w:sz="4" w:space="0" w:color="00B050"/>
              <w:bottom w:val="single" w:sz="8" w:space="0" w:color="00B050"/>
              <w:right w:val="nil"/>
            </w:tcBorders>
            <w:shd w:val="clear" w:color="auto" w:fill="auto"/>
            <w:hideMark/>
          </w:tcPr>
          <w:p w:rsidR="00030337" w:rsidRPr="001244BB" w:rsidRDefault="00B27E9D" w:rsidP="00B27E9D">
            <w:pPr>
              <w:spacing w:after="0" w:line="240" w:lineRule="auto"/>
              <w:rPr>
                <w:rFonts w:eastAsia="Times New Roman" w:cstheme="minorHAnsi"/>
                <w:color w:val="000000"/>
                <w:sz w:val="20"/>
                <w:szCs w:val="20"/>
                <w:lang w:eastAsia="en-NZ"/>
              </w:rPr>
            </w:pPr>
            <w:r>
              <w:rPr>
                <w:rFonts w:eastAsia="Times New Roman" w:cstheme="minorHAnsi"/>
                <w:color w:val="000000"/>
                <w:sz w:val="20"/>
                <w:szCs w:val="20"/>
                <w:lang w:eastAsia="en-NZ"/>
              </w:rPr>
              <w:t>Visitor number p</w:t>
            </w:r>
            <w:r w:rsidR="00030337" w:rsidRPr="001244BB">
              <w:rPr>
                <w:rFonts w:eastAsia="Times New Roman" w:cstheme="minorHAnsi"/>
                <w:color w:val="000000"/>
                <w:sz w:val="20"/>
                <w:szCs w:val="20"/>
                <w:lang w:eastAsia="en-NZ"/>
              </w:rPr>
              <w:t>erformance in line with previous years</w:t>
            </w:r>
            <w:r>
              <w:rPr>
                <w:rFonts w:eastAsia="Times New Roman" w:cstheme="minorHAnsi"/>
                <w:color w:val="000000"/>
                <w:sz w:val="20"/>
                <w:szCs w:val="20"/>
                <w:lang w:eastAsia="en-NZ"/>
              </w:rPr>
              <w:t>, continuing to exceed targets.</w:t>
            </w:r>
          </w:p>
        </w:tc>
      </w:tr>
      <w:tr w:rsidR="00030337" w:rsidRPr="001244BB" w:rsidTr="00030337">
        <w:trPr>
          <w:trHeight w:val="270"/>
        </w:trPr>
        <w:tc>
          <w:tcPr>
            <w:tcW w:w="3672" w:type="dxa"/>
            <w:tcBorders>
              <w:top w:val="nil"/>
              <w:left w:val="nil"/>
              <w:bottom w:val="single" w:sz="8" w:space="0" w:color="00B050"/>
              <w:right w:val="single" w:sz="4" w:space="0" w:color="00B050"/>
            </w:tcBorders>
            <w:shd w:val="clear" w:color="auto" w:fill="auto"/>
            <w:hideMark/>
          </w:tcPr>
          <w:p w:rsidR="00030337" w:rsidRPr="001244BB" w:rsidRDefault="00030337" w:rsidP="00030337">
            <w:pPr>
              <w:spacing w:after="0" w:line="240" w:lineRule="auto"/>
              <w:rPr>
                <w:rFonts w:eastAsia="Times New Roman" w:cstheme="minorHAnsi"/>
                <w:color w:val="000000"/>
                <w:sz w:val="20"/>
                <w:szCs w:val="20"/>
                <w:lang w:eastAsia="en-NZ"/>
              </w:rPr>
            </w:pPr>
            <w:r w:rsidRPr="001244BB">
              <w:rPr>
                <w:rFonts w:eastAsia="Times New Roman" w:cstheme="minorHAnsi"/>
                <w:color w:val="000000"/>
                <w:sz w:val="20"/>
                <w:szCs w:val="20"/>
                <w:lang w:eastAsia="en-NZ"/>
              </w:rPr>
              <w:t>Number of Education visits</w:t>
            </w:r>
          </w:p>
        </w:tc>
        <w:tc>
          <w:tcPr>
            <w:tcW w:w="1140" w:type="dxa"/>
            <w:tcBorders>
              <w:top w:val="single" w:sz="8" w:space="0" w:color="00B050"/>
              <w:left w:val="single" w:sz="4" w:space="0" w:color="00B050"/>
              <w:bottom w:val="single" w:sz="8" w:space="0" w:color="00B050"/>
              <w:right w:val="single" w:sz="4" w:space="0" w:color="00B050"/>
            </w:tcBorders>
            <w:shd w:val="clear" w:color="auto" w:fill="auto"/>
            <w:noWrap/>
            <w:hideMark/>
          </w:tcPr>
          <w:p w:rsidR="00030337" w:rsidRPr="001244BB" w:rsidRDefault="00030337" w:rsidP="00030337">
            <w:pPr>
              <w:spacing w:after="0" w:line="240" w:lineRule="auto"/>
              <w:jc w:val="right"/>
              <w:rPr>
                <w:rFonts w:eastAsia="Times New Roman" w:cstheme="minorHAnsi"/>
                <w:color w:val="000000"/>
                <w:sz w:val="20"/>
                <w:szCs w:val="20"/>
                <w:lang w:eastAsia="en-NZ"/>
              </w:rPr>
            </w:pPr>
            <w:r w:rsidRPr="001244BB">
              <w:rPr>
                <w:rFonts w:eastAsia="Times New Roman" w:cstheme="minorHAnsi"/>
                <w:color w:val="000000"/>
                <w:sz w:val="20"/>
                <w:szCs w:val="20"/>
                <w:lang w:eastAsia="en-NZ"/>
              </w:rPr>
              <w:t xml:space="preserve">11,621 </w:t>
            </w:r>
          </w:p>
        </w:tc>
        <w:tc>
          <w:tcPr>
            <w:tcW w:w="1142" w:type="dxa"/>
            <w:gridSpan w:val="2"/>
            <w:tcBorders>
              <w:top w:val="single" w:sz="8" w:space="0" w:color="00B050"/>
              <w:left w:val="single" w:sz="4" w:space="0" w:color="00B050"/>
              <w:bottom w:val="single" w:sz="8" w:space="0" w:color="00B050"/>
              <w:right w:val="single" w:sz="4" w:space="0" w:color="00B050"/>
            </w:tcBorders>
            <w:shd w:val="clear" w:color="auto" w:fill="auto"/>
            <w:noWrap/>
            <w:hideMark/>
          </w:tcPr>
          <w:p w:rsidR="00030337" w:rsidRPr="001244BB" w:rsidRDefault="00030337" w:rsidP="00030337">
            <w:pPr>
              <w:spacing w:after="0" w:line="240" w:lineRule="auto"/>
              <w:jc w:val="right"/>
              <w:rPr>
                <w:rFonts w:eastAsia="Times New Roman" w:cstheme="minorHAnsi"/>
                <w:color w:val="000000"/>
                <w:sz w:val="20"/>
                <w:szCs w:val="20"/>
                <w:lang w:eastAsia="en-NZ"/>
              </w:rPr>
            </w:pPr>
            <w:r w:rsidRPr="001244BB">
              <w:rPr>
                <w:rFonts w:eastAsia="Times New Roman" w:cstheme="minorHAnsi"/>
                <w:color w:val="000000"/>
                <w:sz w:val="20"/>
                <w:szCs w:val="20"/>
                <w:lang w:eastAsia="en-NZ"/>
              </w:rPr>
              <w:t xml:space="preserve">9,316 </w:t>
            </w:r>
          </w:p>
        </w:tc>
        <w:tc>
          <w:tcPr>
            <w:tcW w:w="1276" w:type="dxa"/>
            <w:tcBorders>
              <w:top w:val="single" w:sz="8" w:space="0" w:color="00B050"/>
              <w:left w:val="single" w:sz="4" w:space="0" w:color="00B050"/>
              <w:bottom w:val="single" w:sz="8" w:space="0" w:color="00B050"/>
              <w:right w:val="single" w:sz="4" w:space="0" w:color="00B050"/>
            </w:tcBorders>
            <w:shd w:val="clear" w:color="auto" w:fill="auto"/>
            <w:noWrap/>
            <w:hideMark/>
          </w:tcPr>
          <w:p w:rsidR="00030337" w:rsidRPr="001244BB" w:rsidRDefault="00030337" w:rsidP="00030337">
            <w:pPr>
              <w:spacing w:after="0" w:line="240" w:lineRule="auto"/>
              <w:jc w:val="right"/>
              <w:rPr>
                <w:rFonts w:eastAsia="Times New Roman" w:cstheme="minorHAnsi"/>
                <w:color w:val="000000"/>
                <w:sz w:val="20"/>
                <w:szCs w:val="20"/>
                <w:lang w:eastAsia="en-NZ"/>
              </w:rPr>
            </w:pPr>
            <w:r w:rsidRPr="001244BB">
              <w:rPr>
                <w:rFonts w:eastAsia="Times New Roman" w:cstheme="minorHAnsi"/>
                <w:color w:val="000000"/>
                <w:sz w:val="20"/>
                <w:szCs w:val="20"/>
                <w:lang w:eastAsia="en-NZ"/>
              </w:rPr>
              <w:t>11,727</w:t>
            </w:r>
          </w:p>
        </w:tc>
        <w:tc>
          <w:tcPr>
            <w:tcW w:w="1134" w:type="dxa"/>
            <w:tcBorders>
              <w:top w:val="single" w:sz="8" w:space="0" w:color="00B050"/>
              <w:left w:val="single" w:sz="4" w:space="0" w:color="00B050"/>
              <w:bottom w:val="single" w:sz="8" w:space="0" w:color="00B050"/>
              <w:right w:val="single" w:sz="4" w:space="0" w:color="00B050"/>
            </w:tcBorders>
            <w:shd w:val="clear" w:color="000000" w:fill="D9D9D9"/>
            <w:hideMark/>
          </w:tcPr>
          <w:p w:rsidR="00030337" w:rsidRPr="001244BB" w:rsidRDefault="00030337" w:rsidP="005F3580">
            <w:pPr>
              <w:spacing w:after="0" w:line="240" w:lineRule="auto"/>
              <w:jc w:val="right"/>
              <w:rPr>
                <w:rFonts w:eastAsia="Times New Roman" w:cstheme="minorHAnsi"/>
                <w:color w:val="000000"/>
                <w:sz w:val="20"/>
                <w:szCs w:val="20"/>
                <w:lang w:eastAsia="en-NZ"/>
              </w:rPr>
            </w:pPr>
            <w:r w:rsidRPr="001244BB">
              <w:rPr>
                <w:rFonts w:eastAsia="Times New Roman" w:cstheme="minorHAnsi"/>
                <w:color w:val="000000"/>
                <w:sz w:val="20"/>
                <w:szCs w:val="20"/>
                <w:lang w:eastAsia="en-NZ"/>
              </w:rPr>
              <w:t xml:space="preserve"> 8,800 </w:t>
            </w:r>
          </w:p>
        </w:tc>
        <w:tc>
          <w:tcPr>
            <w:tcW w:w="851" w:type="dxa"/>
            <w:tcBorders>
              <w:top w:val="single" w:sz="8" w:space="0" w:color="00B050"/>
              <w:left w:val="single" w:sz="4" w:space="0" w:color="00B050"/>
              <w:bottom w:val="single" w:sz="8" w:space="0" w:color="00B050"/>
              <w:right w:val="single" w:sz="4" w:space="0" w:color="00B050"/>
            </w:tcBorders>
            <w:shd w:val="clear" w:color="auto" w:fill="auto"/>
            <w:hideMark/>
          </w:tcPr>
          <w:p w:rsidR="00030337" w:rsidRPr="001244BB" w:rsidRDefault="00030337" w:rsidP="00030337">
            <w:pPr>
              <w:spacing w:after="0" w:line="240" w:lineRule="auto"/>
              <w:jc w:val="right"/>
              <w:rPr>
                <w:rFonts w:eastAsia="Times New Roman" w:cstheme="minorHAnsi"/>
                <w:color w:val="000000"/>
                <w:sz w:val="20"/>
                <w:szCs w:val="20"/>
                <w:lang w:eastAsia="en-NZ"/>
              </w:rPr>
            </w:pPr>
            <w:r w:rsidRPr="001244BB">
              <w:rPr>
                <w:rFonts w:eastAsia="Times New Roman" w:cstheme="minorHAnsi"/>
                <w:color w:val="000000"/>
                <w:sz w:val="20"/>
                <w:szCs w:val="20"/>
                <w:lang w:eastAsia="en-NZ"/>
              </w:rPr>
              <w:t>33%</w:t>
            </w:r>
          </w:p>
        </w:tc>
        <w:tc>
          <w:tcPr>
            <w:tcW w:w="1134" w:type="dxa"/>
            <w:tcBorders>
              <w:top w:val="single" w:sz="8" w:space="0" w:color="00B050"/>
              <w:left w:val="single" w:sz="4" w:space="0" w:color="00B050"/>
              <w:bottom w:val="single" w:sz="8" w:space="0" w:color="00B050"/>
              <w:right w:val="single" w:sz="4" w:space="0" w:color="00B050"/>
            </w:tcBorders>
            <w:shd w:val="clear" w:color="auto" w:fill="auto"/>
            <w:hideMark/>
          </w:tcPr>
          <w:p w:rsidR="00030337" w:rsidRPr="001244BB" w:rsidRDefault="00030337" w:rsidP="00030337">
            <w:pPr>
              <w:spacing w:after="0" w:line="240" w:lineRule="auto"/>
              <w:jc w:val="right"/>
              <w:rPr>
                <w:rFonts w:eastAsia="Times New Roman" w:cstheme="minorHAnsi"/>
                <w:color w:val="000000"/>
                <w:sz w:val="20"/>
                <w:szCs w:val="20"/>
                <w:lang w:eastAsia="en-NZ"/>
              </w:rPr>
            </w:pPr>
            <w:r w:rsidRPr="001244BB">
              <w:rPr>
                <w:rFonts w:eastAsia="Times New Roman" w:cstheme="minorHAnsi"/>
                <w:color w:val="000000"/>
                <w:sz w:val="20"/>
                <w:szCs w:val="20"/>
                <w:lang w:eastAsia="en-NZ"/>
              </w:rPr>
              <w:t>exceeded</w:t>
            </w:r>
          </w:p>
        </w:tc>
        <w:tc>
          <w:tcPr>
            <w:tcW w:w="4635" w:type="dxa"/>
            <w:tcBorders>
              <w:top w:val="single" w:sz="8" w:space="0" w:color="00B050"/>
              <w:left w:val="single" w:sz="4" w:space="0" w:color="00B050"/>
              <w:bottom w:val="single" w:sz="8" w:space="0" w:color="00B050"/>
              <w:right w:val="nil"/>
            </w:tcBorders>
            <w:shd w:val="clear" w:color="auto" w:fill="auto"/>
            <w:hideMark/>
          </w:tcPr>
          <w:p w:rsidR="00030337" w:rsidRPr="001244BB" w:rsidRDefault="00030337" w:rsidP="00030337">
            <w:pPr>
              <w:spacing w:after="0" w:line="240" w:lineRule="auto"/>
              <w:rPr>
                <w:rFonts w:eastAsia="Times New Roman" w:cstheme="minorHAnsi"/>
                <w:color w:val="000000"/>
                <w:sz w:val="20"/>
                <w:szCs w:val="20"/>
                <w:lang w:eastAsia="en-NZ"/>
              </w:rPr>
            </w:pPr>
            <w:r w:rsidRPr="001244BB">
              <w:rPr>
                <w:rFonts w:eastAsia="Times New Roman" w:cstheme="minorHAnsi"/>
                <w:color w:val="000000"/>
                <w:sz w:val="20"/>
                <w:szCs w:val="20"/>
                <w:lang w:eastAsia="en-NZ"/>
              </w:rPr>
              <w:t>Record number of students, teachers and adults engaged through Zealandia’s education programmes.</w:t>
            </w:r>
          </w:p>
        </w:tc>
      </w:tr>
      <w:tr w:rsidR="004A2F47" w:rsidRPr="001244BB" w:rsidTr="00030337">
        <w:trPr>
          <w:trHeight w:val="270"/>
        </w:trPr>
        <w:tc>
          <w:tcPr>
            <w:tcW w:w="3672" w:type="dxa"/>
            <w:tcBorders>
              <w:top w:val="nil"/>
              <w:left w:val="nil"/>
              <w:bottom w:val="single" w:sz="8" w:space="0" w:color="00B050"/>
              <w:right w:val="single" w:sz="4" w:space="0" w:color="00B050"/>
            </w:tcBorders>
            <w:shd w:val="clear" w:color="auto" w:fill="auto"/>
            <w:hideMark/>
          </w:tcPr>
          <w:p w:rsidR="004A2F47" w:rsidRPr="001244BB" w:rsidRDefault="004A2F47" w:rsidP="004A2F47">
            <w:pPr>
              <w:spacing w:after="0" w:line="240" w:lineRule="auto"/>
              <w:rPr>
                <w:rFonts w:eastAsia="Times New Roman" w:cstheme="minorHAnsi"/>
                <w:color w:val="000000"/>
                <w:sz w:val="20"/>
                <w:szCs w:val="20"/>
                <w:lang w:eastAsia="en-NZ"/>
              </w:rPr>
            </w:pPr>
            <w:r w:rsidRPr="001244BB">
              <w:rPr>
                <w:rFonts w:eastAsia="Times New Roman" w:cstheme="minorHAnsi"/>
                <w:color w:val="000000"/>
                <w:sz w:val="20"/>
                <w:szCs w:val="20"/>
                <w:lang w:eastAsia="en-NZ"/>
              </w:rPr>
              <w:t>Number of Individual memberships</w:t>
            </w:r>
          </w:p>
        </w:tc>
        <w:tc>
          <w:tcPr>
            <w:tcW w:w="1140" w:type="dxa"/>
            <w:tcBorders>
              <w:top w:val="single" w:sz="8" w:space="0" w:color="00B050"/>
              <w:left w:val="single" w:sz="4" w:space="0" w:color="00B050"/>
              <w:bottom w:val="single" w:sz="8" w:space="0" w:color="00B050"/>
              <w:right w:val="single" w:sz="4" w:space="0" w:color="00B050"/>
            </w:tcBorders>
            <w:shd w:val="clear" w:color="auto" w:fill="auto"/>
            <w:noWrap/>
            <w:hideMark/>
          </w:tcPr>
          <w:p w:rsidR="004A2F47" w:rsidRPr="001244BB" w:rsidRDefault="004A2F47" w:rsidP="004A2F47">
            <w:pPr>
              <w:spacing w:after="0" w:line="240" w:lineRule="auto"/>
              <w:jc w:val="right"/>
              <w:rPr>
                <w:rFonts w:eastAsia="Times New Roman" w:cstheme="minorHAnsi"/>
                <w:color w:val="000000"/>
                <w:sz w:val="20"/>
                <w:szCs w:val="20"/>
                <w:lang w:eastAsia="en-NZ"/>
              </w:rPr>
            </w:pPr>
            <w:r w:rsidRPr="001244BB">
              <w:rPr>
                <w:rFonts w:eastAsia="Times New Roman" w:cstheme="minorHAnsi"/>
                <w:color w:val="000000"/>
                <w:sz w:val="20"/>
                <w:szCs w:val="20"/>
                <w:lang w:eastAsia="en-NZ"/>
              </w:rPr>
              <w:t xml:space="preserve">10,944 </w:t>
            </w:r>
          </w:p>
        </w:tc>
        <w:tc>
          <w:tcPr>
            <w:tcW w:w="1142" w:type="dxa"/>
            <w:gridSpan w:val="2"/>
            <w:tcBorders>
              <w:top w:val="single" w:sz="8" w:space="0" w:color="00B050"/>
              <w:left w:val="single" w:sz="4" w:space="0" w:color="00B050"/>
              <w:bottom w:val="single" w:sz="8" w:space="0" w:color="00B050"/>
              <w:right w:val="single" w:sz="4" w:space="0" w:color="00B050"/>
            </w:tcBorders>
            <w:shd w:val="clear" w:color="auto" w:fill="auto"/>
            <w:noWrap/>
            <w:hideMark/>
          </w:tcPr>
          <w:p w:rsidR="004A2F47" w:rsidRPr="001244BB" w:rsidRDefault="004A2F47" w:rsidP="004A2F47">
            <w:pPr>
              <w:spacing w:after="0" w:line="240" w:lineRule="auto"/>
              <w:jc w:val="right"/>
              <w:rPr>
                <w:rFonts w:eastAsia="Times New Roman" w:cstheme="minorHAnsi"/>
                <w:color w:val="000000"/>
                <w:sz w:val="20"/>
                <w:szCs w:val="20"/>
                <w:lang w:eastAsia="en-NZ"/>
              </w:rPr>
            </w:pPr>
            <w:r w:rsidRPr="001244BB">
              <w:rPr>
                <w:rFonts w:eastAsia="Times New Roman" w:cstheme="minorHAnsi"/>
                <w:color w:val="000000"/>
                <w:sz w:val="20"/>
                <w:szCs w:val="20"/>
                <w:lang w:eastAsia="en-NZ"/>
              </w:rPr>
              <w:t xml:space="preserve">10,886 </w:t>
            </w:r>
          </w:p>
        </w:tc>
        <w:tc>
          <w:tcPr>
            <w:tcW w:w="1276" w:type="dxa"/>
            <w:tcBorders>
              <w:top w:val="single" w:sz="8" w:space="0" w:color="00B050"/>
              <w:left w:val="single" w:sz="4" w:space="0" w:color="00B050"/>
              <w:bottom w:val="single" w:sz="8" w:space="0" w:color="00B050"/>
              <w:right w:val="single" w:sz="4" w:space="0" w:color="00B050"/>
            </w:tcBorders>
            <w:shd w:val="clear" w:color="auto" w:fill="auto"/>
            <w:noWrap/>
            <w:hideMark/>
          </w:tcPr>
          <w:p w:rsidR="004A2F47" w:rsidRPr="001244BB" w:rsidRDefault="004A2F47" w:rsidP="004A2F47">
            <w:pPr>
              <w:spacing w:after="0" w:line="240" w:lineRule="auto"/>
              <w:jc w:val="right"/>
              <w:rPr>
                <w:rFonts w:eastAsia="Times New Roman" w:cstheme="minorHAnsi"/>
                <w:color w:val="000000"/>
                <w:sz w:val="20"/>
                <w:szCs w:val="20"/>
                <w:lang w:eastAsia="en-NZ"/>
              </w:rPr>
            </w:pPr>
            <w:r w:rsidRPr="001244BB">
              <w:rPr>
                <w:rFonts w:eastAsia="Times New Roman" w:cstheme="minorHAnsi"/>
                <w:color w:val="000000"/>
                <w:sz w:val="20"/>
                <w:szCs w:val="20"/>
                <w:lang w:eastAsia="en-NZ"/>
              </w:rPr>
              <w:t>10,932</w:t>
            </w:r>
          </w:p>
        </w:tc>
        <w:tc>
          <w:tcPr>
            <w:tcW w:w="1134" w:type="dxa"/>
            <w:tcBorders>
              <w:top w:val="single" w:sz="8" w:space="0" w:color="00B050"/>
              <w:left w:val="single" w:sz="4" w:space="0" w:color="00B050"/>
              <w:bottom w:val="single" w:sz="8" w:space="0" w:color="00B050"/>
              <w:right w:val="single" w:sz="4" w:space="0" w:color="00B050"/>
            </w:tcBorders>
            <w:shd w:val="clear" w:color="000000" w:fill="D9D9D9"/>
            <w:hideMark/>
          </w:tcPr>
          <w:p w:rsidR="004A2F47" w:rsidRPr="001244BB" w:rsidRDefault="004A2F47" w:rsidP="004A2F47">
            <w:pPr>
              <w:spacing w:after="0" w:line="240" w:lineRule="auto"/>
              <w:jc w:val="right"/>
              <w:rPr>
                <w:rFonts w:eastAsia="Times New Roman" w:cstheme="minorHAnsi"/>
                <w:color w:val="000000"/>
                <w:sz w:val="20"/>
                <w:szCs w:val="20"/>
                <w:lang w:eastAsia="en-NZ"/>
              </w:rPr>
            </w:pPr>
            <w:r w:rsidRPr="001244BB">
              <w:rPr>
                <w:rFonts w:eastAsia="Times New Roman" w:cstheme="minorHAnsi"/>
                <w:color w:val="000000"/>
                <w:sz w:val="20"/>
                <w:szCs w:val="20"/>
                <w:lang w:eastAsia="en-NZ"/>
              </w:rPr>
              <w:t xml:space="preserve"> 10,800 </w:t>
            </w:r>
          </w:p>
        </w:tc>
        <w:tc>
          <w:tcPr>
            <w:tcW w:w="851" w:type="dxa"/>
            <w:tcBorders>
              <w:top w:val="single" w:sz="8" w:space="0" w:color="00B050"/>
              <w:left w:val="single" w:sz="4" w:space="0" w:color="00B050"/>
              <w:bottom w:val="single" w:sz="8" w:space="0" w:color="00B050"/>
              <w:right w:val="single" w:sz="4" w:space="0" w:color="00B050"/>
            </w:tcBorders>
            <w:shd w:val="clear" w:color="auto" w:fill="auto"/>
            <w:hideMark/>
          </w:tcPr>
          <w:p w:rsidR="004A2F47" w:rsidRPr="001244BB" w:rsidRDefault="004A2F47" w:rsidP="004A2F47">
            <w:pPr>
              <w:spacing w:after="0" w:line="240" w:lineRule="auto"/>
              <w:jc w:val="right"/>
              <w:rPr>
                <w:rFonts w:eastAsia="Times New Roman" w:cstheme="minorHAnsi"/>
                <w:color w:val="000000"/>
                <w:sz w:val="20"/>
                <w:szCs w:val="20"/>
                <w:lang w:eastAsia="en-NZ"/>
              </w:rPr>
            </w:pPr>
            <w:r w:rsidRPr="001244BB">
              <w:rPr>
                <w:rFonts w:eastAsia="Times New Roman" w:cstheme="minorHAnsi"/>
                <w:color w:val="000000"/>
                <w:sz w:val="20"/>
                <w:szCs w:val="20"/>
                <w:lang w:eastAsia="en-NZ"/>
              </w:rPr>
              <w:t>1%</w:t>
            </w:r>
          </w:p>
        </w:tc>
        <w:tc>
          <w:tcPr>
            <w:tcW w:w="1134" w:type="dxa"/>
            <w:tcBorders>
              <w:top w:val="single" w:sz="8" w:space="0" w:color="00B050"/>
              <w:left w:val="single" w:sz="4" w:space="0" w:color="00B050"/>
              <w:bottom w:val="single" w:sz="8" w:space="0" w:color="00B050"/>
              <w:right w:val="single" w:sz="4" w:space="0" w:color="00B050"/>
            </w:tcBorders>
            <w:shd w:val="clear" w:color="auto" w:fill="auto"/>
            <w:hideMark/>
          </w:tcPr>
          <w:p w:rsidR="004A2F47" w:rsidRDefault="004A2F47" w:rsidP="004A2F47">
            <w:pPr>
              <w:spacing w:after="0"/>
              <w:jc w:val="right"/>
            </w:pPr>
            <w:r w:rsidRPr="003208A5">
              <w:rPr>
                <w:rFonts w:eastAsia="Times New Roman" w:cstheme="minorHAnsi"/>
                <w:color w:val="000000"/>
                <w:sz w:val="20"/>
                <w:szCs w:val="20"/>
                <w:lang w:eastAsia="en-NZ"/>
              </w:rPr>
              <w:t>Within 10%</w:t>
            </w:r>
          </w:p>
        </w:tc>
        <w:tc>
          <w:tcPr>
            <w:tcW w:w="4635" w:type="dxa"/>
            <w:tcBorders>
              <w:top w:val="single" w:sz="8" w:space="0" w:color="00B050"/>
              <w:left w:val="single" w:sz="4" w:space="0" w:color="00B050"/>
              <w:bottom w:val="single" w:sz="8" w:space="0" w:color="00B050"/>
              <w:right w:val="nil"/>
            </w:tcBorders>
            <w:shd w:val="clear" w:color="auto" w:fill="auto"/>
            <w:hideMark/>
          </w:tcPr>
          <w:p w:rsidR="004A2F47" w:rsidRPr="001244BB" w:rsidRDefault="004A2F47" w:rsidP="004A2F47">
            <w:pPr>
              <w:spacing w:after="0" w:line="240" w:lineRule="auto"/>
              <w:jc w:val="right"/>
              <w:rPr>
                <w:rFonts w:eastAsia="Times New Roman" w:cstheme="minorHAnsi"/>
                <w:color w:val="000000"/>
                <w:sz w:val="20"/>
                <w:szCs w:val="20"/>
                <w:lang w:eastAsia="en-NZ"/>
              </w:rPr>
            </w:pPr>
          </w:p>
        </w:tc>
      </w:tr>
      <w:tr w:rsidR="004A2F47" w:rsidRPr="001244BB" w:rsidTr="00030337">
        <w:trPr>
          <w:trHeight w:val="270"/>
        </w:trPr>
        <w:tc>
          <w:tcPr>
            <w:tcW w:w="3672" w:type="dxa"/>
            <w:tcBorders>
              <w:top w:val="nil"/>
              <w:left w:val="nil"/>
              <w:bottom w:val="single" w:sz="8" w:space="0" w:color="00B050"/>
              <w:right w:val="single" w:sz="4" w:space="0" w:color="00B050"/>
            </w:tcBorders>
            <w:shd w:val="clear" w:color="auto" w:fill="auto"/>
          </w:tcPr>
          <w:p w:rsidR="004A2F47" w:rsidRPr="001244BB" w:rsidRDefault="004A2F47" w:rsidP="004A2F47">
            <w:pPr>
              <w:spacing w:after="0" w:line="240" w:lineRule="auto"/>
              <w:rPr>
                <w:rFonts w:eastAsia="Times New Roman" w:cstheme="minorHAnsi"/>
                <w:color w:val="000000"/>
                <w:sz w:val="20"/>
                <w:szCs w:val="20"/>
                <w:lang w:eastAsia="en-NZ"/>
              </w:rPr>
            </w:pPr>
            <w:r w:rsidRPr="001244BB">
              <w:rPr>
                <w:rFonts w:eastAsia="Times New Roman" w:cstheme="minorHAnsi"/>
                <w:color w:val="000000"/>
                <w:sz w:val="20"/>
                <w:szCs w:val="20"/>
                <w:lang w:eastAsia="en-NZ"/>
              </w:rPr>
              <w:t>Customer satisfaction (%)</w:t>
            </w:r>
          </w:p>
        </w:tc>
        <w:tc>
          <w:tcPr>
            <w:tcW w:w="1140" w:type="dxa"/>
            <w:tcBorders>
              <w:top w:val="single" w:sz="8" w:space="0" w:color="00B050"/>
              <w:left w:val="single" w:sz="4" w:space="0" w:color="00B050"/>
              <w:bottom w:val="single" w:sz="8" w:space="0" w:color="00B050"/>
              <w:right w:val="single" w:sz="4" w:space="0" w:color="00B050"/>
            </w:tcBorders>
            <w:shd w:val="clear" w:color="auto" w:fill="auto"/>
            <w:noWrap/>
          </w:tcPr>
          <w:p w:rsidR="004A2F47" w:rsidRPr="001244BB" w:rsidRDefault="004A2F47" w:rsidP="004A2F47">
            <w:pPr>
              <w:spacing w:after="0" w:line="240" w:lineRule="auto"/>
              <w:jc w:val="right"/>
              <w:rPr>
                <w:rFonts w:eastAsia="Times New Roman" w:cstheme="minorHAnsi"/>
                <w:color w:val="000000"/>
                <w:sz w:val="20"/>
                <w:szCs w:val="20"/>
                <w:lang w:eastAsia="en-NZ"/>
              </w:rPr>
            </w:pPr>
          </w:p>
        </w:tc>
        <w:tc>
          <w:tcPr>
            <w:tcW w:w="1142" w:type="dxa"/>
            <w:gridSpan w:val="2"/>
            <w:tcBorders>
              <w:top w:val="single" w:sz="8" w:space="0" w:color="00B050"/>
              <w:left w:val="single" w:sz="4" w:space="0" w:color="00B050"/>
              <w:bottom w:val="single" w:sz="8" w:space="0" w:color="00B050"/>
              <w:right w:val="single" w:sz="4" w:space="0" w:color="00B050"/>
            </w:tcBorders>
            <w:shd w:val="clear" w:color="auto" w:fill="auto"/>
            <w:noWrap/>
          </w:tcPr>
          <w:p w:rsidR="004A2F47" w:rsidRPr="001244BB" w:rsidRDefault="004A2F47" w:rsidP="004A2F47">
            <w:pPr>
              <w:spacing w:after="0" w:line="240" w:lineRule="auto"/>
              <w:jc w:val="right"/>
              <w:rPr>
                <w:rFonts w:eastAsia="Times New Roman" w:cstheme="minorHAnsi"/>
                <w:color w:val="000000"/>
                <w:sz w:val="20"/>
                <w:szCs w:val="20"/>
                <w:lang w:eastAsia="en-NZ"/>
              </w:rPr>
            </w:pPr>
            <w:r w:rsidRPr="001244BB">
              <w:rPr>
                <w:rFonts w:eastAsia="Times New Roman" w:cstheme="minorHAnsi"/>
                <w:color w:val="000000"/>
                <w:sz w:val="20"/>
                <w:szCs w:val="20"/>
                <w:lang w:eastAsia="en-NZ"/>
              </w:rPr>
              <w:t>New</w:t>
            </w:r>
          </w:p>
        </w:tc>
        <w:tc>
          <w:tcPr>
            <w:tcW w:w="1276" w:type="dxa"/>
            <w:tcBorders>
              <w:top w:val="single" w:sz="8" w:space="0" w:color="00B050"/>
              <w:left w:val="single" w:sz="4" w:space="0" w:color="00B050"/>
              <w:bottom w:val="single" w:sz="8" w:space="0" w:color="00B050"/>
              <w:right w:val="single" w:sz="4" w:space="0" w:color="00B050"/>
            </w:tcBorders>
            <w:shd w:val="clear" w:color="auto" w:fill="auto"/>
            <w:noWrap/>
          </w:tcPr>
          <w:p w:rsidR="004A2F47" w:rsidRPr="001244BB" w:rsidRDefault="004A2F47" w:rsidP="004A2F47">
            <w:pPr>
              <w:spacing w:after="0" w:line="240" w:lineRule="auto"/>
              <w:jc w:val="right"/>
              <w:rPr>
                <w:rFonts w:eastAsia="Times New Roman" w:cstheme="minorHAnsi"/>
                <w:color w:val="000000"/>
                <w:sz w:val="20"/>
                <w:szCs w:val="20"/>
                <w:lang w:eastAsia="en-NZ"/>
              </w:rPr>
            </w:pPr>
            <w:r w:rsidRPr="001244BB">
              <w:rPr>
                <w:rFonts w:eastAsia="Times New Roman" w:cstheme="minorHAnsi"/>
                <w:color w:val="000000"/>
                <w:sz w:val="20"/>
                <w:szCs w:val="20"/>
                <w:lang w:eastAsia="en-NZ"/>
              </w:rPr>
              <w:t>97%</w:t>
            </w:r>
          </w:p>
        </w:tc>
        <w:tc>
          <w:tcPr>
            <w:tcW w:w="1134" w:type="dxa"/>
            <w:tcBorders>
              <w:top w:val="single" w:sz="8" w:space="0" w:color="00B050"/>
              <w:left w:val="single" w:sz="4" w:space="0" w:color="00B050"/>
              <w:bottom w:val="single" w:sz="8" w:space="0" w:color="00B050"/>
              <w:right w:val="single" w:sz="4" w:space="0" w:color="00B050"/>
            </w:tcBorders>
            <w:shd w:val="clear" w:color="000000" w:fill="D9D9D9"/>
          </w:tcPr>
          <w:p w:rsidR="004A2F47" w:rsidRPr="001244BB" w:rsidRDefault="004A2F47" w:rsidP="004A2F47">
            <w:pPr>
              <w:spacing w:after="0" w:line="240" w:lineRule="auto"/>
              <w:jc w:val="right"/>
              <w:rPr>
                <w:rFonts w:eastAsia="Times New Roman" w:cstheme="minorHAnsi"/>
                <w:color w:val="000000"/>
                <w:sz w:val="20"/>
                <w:szCs w:val="20"/>
                <w:lang w:eastAsia="en-NZ"/>
              </w:rPr>
            </w:pPr>
            <w:r w:rsidRPr="001244BB">
              <w:rPr>
                <w:rFonts w:eastAsia="Times New Roman" w:cstheme="minorHAnsi"/>
                <w:color w:val="000000"/>
                <w:sz w:val="20"/>
                <w:szCs w:val="20"/>
                <w:lang w:eastAsia="en-NZ"/>
              </w:rPr>
              <w:t>&gt;95%</w:t>
            </w:r>
          </w:p>
        </w:tc>
        <w:tc>
          <w:tcPr>
            <w:tcW w:w="851" w:type="dxa"/>
            <w:tcBorders>
              <w:top w:val="single" w:sz="8" w:space="0" w:color="00B050"/>
              <w:left w:val="single" w:sz="4" w:space="0" w:color="00B050"/>
              <w:bottom w:val="single" w:sz="8" w:space="0" w:color="00B050"/>
              <w:right w:val="single" w:sz="4" w:space="0" w:color="00B050"/>
            </w:tcBorders>
            <w:shd w:val="clear" w:color="auto" w:fill="auto"/>
          </w:tcPr>
          <w:p w:rsidR="004A2F47" w:rsidRPr="001244BB" w:rsidRDefault="004A2F47" w:rsidP="004A2F47">
            <w:pPr>
              <w:spacing w:after="0" w:line="240" w:lineRule="auto"/>
              <w:jc w:val="right"/>
              <w:rPr>
                <w:rFonts w:eastAsia="Times New Roman" w:cstheme="minorHAnsi"/>
                <w:color w:val="000000"/>
                <w:sz w:val="20"/>
                <w:szCs w:val="20"/>
                <w:lang w:eastAsia="en-NZ"/>
              </w:rPr>
            </w:pPr>
            <w:r w:rsidRPr="001244BB">
              <w:rPr>
                <w:rFonts w:eastAsia="Times New Roman" w:cstheme="minorHAnsi"/>
                <w:color w:val="000000"/>
                <w:sz w:val="20"/>
                <w:szCs w:val="20"/>
                <w:lang w:eastAsia="en-NZ"/>
              </w:rPr>
              <w:t>2%</w:t>
            </w:r>
          </w:p>
        </w:tc>
        <w:tc>
          <w:tcPr>
            <w:tcW w:w="1134" w:type="dxa"/>
            <w:tcBorders>
              <w:top w:val="single" w:sz="8" w:space="0" w:color="00B050"/>
              <w:left w:val="single" w:sz="4" w:space="0" w:color="00B050"/>
              <w:bottom w:val="single" w:sz="8" w:space="0" w:color="00B050"/>
              <w:right w:val="single" w:sz="4" w:space="0" w:color="00B050"/>
            </w:tcBorders>
            <w:shd w:val="clear" w:color="auto" w:fill="auto"/>
          </w:tcPr>
          <w:p w:rsidR="004A2F47" w:rsidRDefault="004A2F47" w:rsidP="004A2F47">
            <w:pPr>
              <w:spacing w:after="0"/>
              <w:jc w:val="right"/>
            </w:pPr>
            <w:r w:rsidRPr="003208A5">
              <w:rPr>
                <w:rFonts w:eastAsia="Times New Roman" w:cstheme="minorHAnsi"/>
                <w:color w:val="000000"/>
                <w:sz w:val="20"/>
                <w:szCs w:val="20"/>
                <w:lang w:eastAsia="en-NZ"/>
              </w:rPr>
              <w:t>Within 10%</w:t>
            </w:r>
          </w:p>
        </w:tc>
        <w:tc>
          <w:tcPr>
            <w:tcW w:w="4635" w:type="dxa"/>
            <w:tcBorders>
              <w:top w:val="single" w:sz="8" w:space="0" w:color="00B050"/>
              <w:left w:val="single" w:sz="4" w:space="0" w:color="00B050"/>
              <w:bottom w:val="single" w:sz="8" w:space="0" w:color="00B050"/>
              <w:right w:val="nil"/>
            </w:tcBorders>
            <w:shd w:val="clear" w:color="auto" w:fill="auto"/>
          </w:tcPr>
          <w:p w:rsidR="004A2F47" w:rsidRPr="001244BB" w:rsidRDefault="004A2F47" w:rsidP="004A2F47">
            <w:pPr>
              <w:spacing w:after="0" w:line="240" w:lineRule="auto"/>
              <w:rPr>
                <w:rFonts w:eastAsia="Times New Roman" w:cstheme="minorHAnsi"/>
                <w:color w:val="000000"/>
                <w:sz w:val="20"/>
                <w:szCs w:val="20"/>
                <w:lang w:eastAsia="en-NZ"/>
              </w:rPr>
            </w:pPr>
          </w:p>
        </w:tc>
      </w:tr>
      <w:tr w:rsidR="00030337" w:rsidRPr="001244BB" w:rsidTr="00030337">
        <w:trPr>
          <w:trHeight w:val="270"/>
        </w:trPr>
        <w:tc>
          <w:tcPr>
            <w:tcW w:w="3672" w:type="dxa"/>
            <w:tcBorders>
              <w:top w:val="nil"/>
              <w:left w:val="nil"/>
              <w:bottom w:val="single" w:sz="8" w:space="0" w:color="00B050"/>
              <w:right w:val="single" w:sz="4" w:space="0" w:color="00B050"/>
            </w:tcBorders>
            <w:shd w:val="clear" w:color="auto" w:fill="auto"/>
            <w:hideMark/>
          </w:tcPr>
          <w:p w:rsidR="00030337" w:rsidRPr="001244BB" w:rsidRDefault="00030337" w:rsidP="00030337">
            <w:pPr>
              <w:spacing w:after="0" w:line="240" w:lineRule="auto"/>
              <w:rPr>
                <w:rFonts w:eastAsia="Times New Roman" w:cstheme="minorHAnsi"/>
                <w:color w:val="000000"/>
                <w:sz w:val="20"/>
                <w:szCs w:val="20"/>
                <w:lang w:eastAsia="en-NZ"/>
              </w:rPr>
            </w:pPr>
            <w:r w:rsidRPr="001244BB">
              <w:rPr>
                <w:rFonts w:eastAsia="Times New Roman" w:cstheme="minorHAnsi"/>
                <w:color w:val="000000"/>
                <w:sz w:val="20"/>
                <w:szCs w:val="20"/>
                <w:lang w:eastAsia="en-NZ"/>
              </w:rPr>
              <w:t>Cash subsidy (grant) per visit</w:t>
            </w:r>
          </w:p>
        </w:tc>
        <w:tc>
          <w:tcPr>
            <w:tcW w:w="1140" w:type="dxa"/>
            <w:tcBorders>
              <w:top w:val="single" w:sz="8" w:space="0" w:color="00B050"/>
              <w:left w:val="single" w:sz="4" w:space="0" w:color="00B050"/>
              <w:bottom w:val="single" w:sz="8" w:space="0" w:color="00B050"/>
              <w:right w:val="single" w:sz="4" w:space="0" w:color="00B050"/>
            </w:tcBorders>
            <w:shd w:val="clear" w:color="auto" w:fill="auto"/>
            <w:noWrap/>
            <w:hideMark/>
          </w:tcPr>
          <w:p w:rsidR="00030337" w:rsidRPr="001244BB" w:rsidRDefault="00030337" w:rsidP="00030337">
            <w:pPr>
              <w:spacing w:after="0" w:line="240" w:lineRule="auto"/>
              <w:jc w:val="right"/>
              <w:rPr>
                <w:rFonts w:eastAsia="Times New Roman" w:cstheme="minorHAnsi"/>
                <w:color w:val="000000"/>
                <w:sz w:val="20"/>
                <w:szCs w:val="20"/>
                <w:lang w:eastAsia="en-NZ"/>
              </w:rPr>
            </w:pPr>
            <w:r w:rsidRPr="001244BB">
              <w:rPr>
                <w:rFonts w:eastAsia="Times New Roman" w:cstheme="minorHAnsi"/>
                <w:color w:val="000000"/>
                <w:sz w:val="20"/>
                <w:szCs w:val="20"/>
                <w:lang w:eastAsia="en-NZ"/>
              </w:rPr>
              <w:t xml:space="preserve">$6.99 </w:t>
            </w:r>
          </w:p>
        </w:tc>
        <w:tc>
          <w:tcPr>
            <w:tcW w:w="1142" w:type="dxa"/>
            <w:gridSpan w:val="2"/>
            <w:tcBorders>
              <w:top w:val="single" w:sz="8" w:space="0" w:color="00B050"/>
              <w:left w:val="single" w:sz="4" w:space="0" w:color="00B050"/>
              <w:bottom w:val="single" w:sz="8" w:space="0" w:color="00B050"/>
              <w:right w:val="single" w:sz="4" w:space="0" w:color="00B050"/>
            </w:tcBorders>
            <w:shd w:val="clear" w:color="auto" w:fill="auto"/>
            <w:noWrap/>
            <w:hideMark/>
          </w:tcPr>
          <w:p w:rsidR="00030337" w:rsidRPr="001244BB" w:rsidRDefault="00030337" w:rsidP="00030337">
            <w:pPr>
              <w:spacing w:after="0" w:line="240" w:lineRule="auto"/>
              <w:jc w:val="right"/>
              <w:rPr>
                <w:rFonts w:eastAsia="Times New Roman" w:cstheme="minorHAnsi"/>
                <w:color w:val="000000"/>
                <w:sz w:val="20"/>
                <w:szCs w:val="20"/>
                <w:lang w:eastAsia="en-NZ"/>
              </w:rPr>
            </w:pPr>
            <w:r w:rsidRPr="001244BB">
              <w:rPr>
                <w:rFonts w:eastAsia="Times New Roman" w:cstheme="minorHAnsi"/>
                <w:color w:val="000000"/>
                <w:sz w:val="20"/>
                <w:szCs w:val="20"/>
                <w:lang w:eastAsia="en-NZ"/>
              </w:rPr>
              <w:t>$6.31</w:t>
            </w:r>
          </w:p>
        </w:tc>
        <w:tc>
          <w:tcPr>
            <w:tcW w:w="1276" w:type="dxa"/>
            <w:tcBorders>
              <w:top w:val="single" w:sz="8" w:space="0" w:color="00B050"/>
              <w:left w:val="single" w:sz="4" w:space="0" w:color="00B050"/>
              <w:bottom w:val="single" w:sz="8" w:space="0" w:color="00B050"/>
              <w:right w:val="single" w:sz="4" w:space="0" w:color="00B050"/>
            </w:tcBorders>
            <w:shd w:val="clear" w:color="auto" w:fill="auto"/>
            <w:noWrap/>
            <w:hideMark/>
          </w:tcPr>
          <w:p w:rsidR="00030337" w:rsidRPr="001244BB" w:rsidRDefault="00030337" w:rsidP="00030337">
            <w:pPr>
              <w:spacing w:after="0" w:line="240" w:lineRule="auto"/>
              <w:jc w:val="right"/>
              <w:rPr>
                <w:rFonts w:eastAsia="Times New Roman" w:cstheme="minorHAnsi"/>
                <w:color w:val="000000"/>
                <w:sz w:val="20"/>
                <w:szCs w:val="20"/>
                <w:lang w:eastAsia="en-NZ"/>
              </w:rPr>
            </w:pPr>
            <w:r w:rsidRPr="001244BB">
              <w:rPr>
                <w:rFonts w:eastAsia="Times New Roman" w:cstheme="minorHAnsi"/>
                <w:color w:val="000000"/>
                <w:sz w:val="20"/>
                <w:szCs w:val="20"/>
                <w:lang w:eastAsia="en-NZ"/>
              </w:rPr>
              <w:t>$6.21</w:t>
            </w:r>
          </w:p>
        </w:tc>
        <w:tc>
          <w:tcPr>
            <w:tcW w:w="1134" w:type="dxa"/>
            <w:tcBorders>
              <w:top w:val="single" w:sz="8" w:space="0" w:color="00B050"/>
              <w:left w:val="single" w:sz="4" w:space="0" w:color="00B050"/>
              <w:bottom w:val="single" w:sz="8" w:space="0" w:color="00B050"/>
              <w:right w:val="single" w:sz="4" w:space="0" w:color="00B050"/>
            </w:tcBorders>
            <w:shd w:val="clear" w:color="000000" w:fill="D9D9D9"/>
            <w:hideMark/>
          </w:tcPr>
          <w:p w:rsidR="00030337" w:rsidRPr="001244BB" w:rsidRDefault="00030337" w:rsidP="00030337">
            <w:pPr>
              <w:spacing w:after="0" w:line="240" w:lineRule="auto"/>
              <w:jc w:val="right"/>
              <w:rPr>
                <w:rFonts w:eastAsia="Times New Roman" w:cstheme="minorHAnsi"/>
                <w:color w:val="000000"/>
                <w:sz w:val="20"/>
                <w:szCs w:val="20"/>
                <w:lang w:eastAsia="en-NZ"/>
              </w:rPr>
            </w:pPr>
            <w:r w:rsidRPr="001244BB">
              <w:rPr>
                <w:rFonts w:eastAsia="Times New Roman" w:cstheme="minorHAnsi"/>
                <w:color w:val="000000"/>
                <w:sz w:val="20"/>
                <w:szCs w:val="20"/>
                <w:lang w:eastAsia="en-NZ"/>
              </w:rPr>
              <w:t>$8.80</w:t>
            </w:r>
          </w:p>
        </w:tc>
        <w:tc>
          <w:tcPr>
            <w:tcW w:w="851" w:type="dxa"/>
            <w:tcBorders>
              <w:top w:val="single" w:sz="8" w:space="0" w:color="00B050"/>
              <w:left w:val="single" w:sz="4" w:space="0" w:color="00B050"/>
              <w:bottom w:val="single" w:sz="8" w:space="0" w:color="00B050"/>
              <w:right w:val="single" w:sz="4" w:space="0" w:color="00B050"/>
            </w:tcBorders>
            <w:shd w:val="clear" w:color="auto" w:fill="auto"/>
            <w:hideMark/>
          </w:tcPr>
          <w:p w:rsidR="00030337" w:rsidRPr="001244BB" w:rsidRDefault="00030337" w:rsidP="00030337">
            <w:pPr>
              <w:spacing w:after="0" w:line="240" w:lineRule="auto"/>
              <w:jc w:val="right"/>
              <w:rPr>
                <w:rFonts w:eastAsia="Times New Roman" w:cstheme="minorHAnsi"/>
                <w:color w:val="000000"/>
                <w:sz w:val="20"/>
                <w:szCs w:val="20"/>
                <w:lang w:eastAsia="en-NZ"/>
              </w:rPr>
            </w:pPr>
            <w:r w:rsidRPr="001244BB">
              <w:rPr>
                <w:rFonts w:eastAsia="Times New Roman" w:cstheme="minorHAnsi"/>
                <w:color w:val="000000"/>
                <w:sz w:val="20"/>
                <w:szCs w:val="20"/>
                <w:lang w:eastAsia="en-NZ"/>
              </w:rPr>
              <w:t>29%</w:t>
            </w:r>
          </w:p>
        </w:tc>
        <w:tc>
          <w:tcPr>
            <w:tcW w:w="1134" w:type="dxa"/>
            <w:tcBorders>
              <w:top w:val="single" w:sz="8" w:space="0" w:color="00B050"/>
              <w:left w:val="single" w:sz="4" w:space="0" w:color="00B050"/>
              <w:bottom w:val="single" w:sz="8" w:space="0" w:color="00B050"/>
              <w:right w:val="single" w:sz="4" w:space="0" w:color="00B050"/>
            </w:tcBorders>
            <w:shd w:val="clear" w:color="auto" w:fill="auto"/>
            <w:hideMark/>
          </w:tcPr>
          <w:p w:rsidR="00030337" w:rsidRPr="001244BB" w:rsidRDefault="00030337" w:rsidP="00030337">
            <w:pPr>
              <w:spacing w:after="0" w:line="240" w:lineRule="auto"/>
              <w:jc w:val="right"/>
              <w:rPr>
                <w:rFonts w:eastAsia="Times New Roman" w:cstheme="minorHAnsi"/>
                <w:color w:val="000000"/>
                <w:sz w:val="20"/>
                <w:szCs w:val="20"/>
                <w:lang w:eastAsia="en-NZ"/>
              </w:rPr>
            </w:pPr>
            <w:r w:rsidRPr="001244BB">
              <w:rPr>
                <w:rFonts w:eastAsia="Times New Roman" w:cstheme="minorHAnsi"/>
                <w:color w:val="000000"/>
                <w:sz w:val="20"/>
                <w:szCs w:val="20"/>
                <w:lang w:eastAsia="en-NZ"/>
              </w:rPr>
              <w:t>exceeded</w:t>
            </w:r>
          </w:p>
        </w:tc>
        <w:tc>
          <w:tcPr>
            <w:tcW w:w="4635" w:type="dxa"/>
            <w:tcBorders>
              <w:top w:val="single" w:sz="8" w:space="0" w:color="00B050"/>
              <w:left w:val="single" w:sz="4" w:space="0" w:color="00B050"/>
              <w:bottom w:val="single" w:sz="8" w:space="0" w:color="00B050"/>
              <w:right w:val="nil"/>
            </w:tcBorders>
            <w:shd w:val="clear" w:color="auto" w:fill="auto"/>
            <w:hideMark/>
          </w:tcPr>
          <w:p w:rsidR="00030337" w:rsidRPr="001244BB" w:rsidRDefault="00030337" w:rsidP="00030337">
            <w:pPr>
              <w:rPr>
                <w:rFonts w:eastAsia="Times New Roman" w:cstheme="minorHAnsi"/>
                <w:color w:val="000000"/>
                <w:sz w:val="20"/>
                <w:szCs w:val="20"/>
                <w:lang w:eastAsia="en-NZ"/>
              </w:rPr>
            </w:pPr>
            <w:r w:rsidRPr="001244BB">
              <w:rPr>
                <w:rFonts w:cstheme="minorHAnsi"/>
                <w:color w:val="000000"/>
                <w:sz w:val="20"/>
                <w:szCs w:val="20"/>
              </w:rPr>
              <w:t>Variance due to increased visitor numbers</w:t>
            </w:r>
            <w:r w:rsidR="00145BEF">
              <w:rPr>
                <w:rFonts w:cstheme="minorHAnsi"/>
                <w:color w:val="000000"/>
                <w:sz w:val="20"/>
                <w:szCs w:val="20"/>
              </w:rPr>
              <w:t>.</w:t>
            </w:r>
          </w:p>
        </w:tc>
      </w:tr>
      <w:tr w:rsidR="00030337" w:rsidRPr="001244BB" w:rsidTr="00030337">
        <w:trPr>
          <w:trHeight w:val="270"/>
        </w:trPr>
        <w:tc>
          <w:tcPr>
            <w:tcW w:w="3672" w:type="dxa"/>
            <w:tcBorders>
              <w:top w:val="nil"/>
              <w:left w:val="nil"/>
              <w:bottom w:val="single" w:sz="8" w:space="0" w:color="00B050"/>
              <w:right w:val="single" w:sz="4" w:space="0" w:color="00B050"/>
            </w:tcBorders>
            <w:shd w:val="clear" w:color="auto" w:fill="auto"/>
            <w:hideMark/>
          </w:tcPr>
          <w:p w:rsidR="00030337" w:rsidRPr="001244BB" w:rsidRDefault="00030337" w:rsidP="00030337">
            <w:pPr>
              <w:spacing w:after="0" w:line="240" w:lineRule="auto"/>
              <w:rPr>
                <w:rFonts w:eastAsia="Times New Roman" w:cstheme="minorHAnsi"/>
                <w:color w:val="000000"/>
                <w:sz w:val="20"/>
                <w:szCs w:val="20"/>
                <w:lang w:eastAsia="en-NZ"/>
              </w:rPr>
            </w:pPr>
            <w:r w:rsidRPr="001244BB">
              <w:rPr>
                <w:rFonts w:eastAsia="Times New Roman" w:cstheme="minorHAnsi"/>
                <w:color w:val="000000"/>
                <w:sz w:val="20"/>
                <w:szCs w:val="20"/>
                <w:lang w:eastAsia="en-NZ"/>
              </w:rPr>
              <w:t>Full cost per visitor</w:t>
            </w:r>
          </w:p>
        </w:tc>
        <w:tc>
          <w:tcPr>
            <w:tcW w:w="1140" w:type="dxa"/>
            <w:tcBorders>
              <w:top w:val="single" w:sz="8" w:space="0" w:color="00B050"/>
              <w:left w:val="single" w:sz="4" w:space="0" w:color="00B050"/>
              <w:bottom w:val="single" w:sz="8" w:space="0" w:color="00B050"/>
              <w:right w:val="single" w:sz="4" w:space="0" w:color="00B050"/>
            </w:tcBorders>
            <w:shd w:val="clear" w:color="auto" w:fill="auto"/>
            <w:noWrap/>
            <w:hideMark/>
          </w:tcPr>
          <w:p w:rsidR="00030337" w:rsidRPr="001244BB" w:rsidRDefault="00030337" w:rsidP="00030337">
            <w:pPr>
              <w:spacing w:after="0" w:line="240" w:lineRule="auto"/>
              <w:jc w:val="right"/>
              <w:rPr>
                <w:rFonts w:eastAsia="Times New Roman" w:cstheme="minorHAnsi"/>
                <w:color w:val="000000"/>
                <w:sz w:val="20"/>
                <w:szCs w:val="20"/>
                <w:lang w:eastAsia="en-NZ"/>
              </w:rPr>
            </w:pPr>
            <w:r w:rsidRPr="001244BB">
              <w:rPr>
                <w:rFonts w:eastAsia="Times New Roman" w:cstheme="minorHAnsi"/>
                <w:color w:val="000000"/>
                <w:sz w:val="20"/>
                <w:szCs w:val="20"/>
                <w:lang w:eastAsia="en-NZ"/>
              </w:rPr>
              <w:t>$11.23</w:t>
            </w:r>
          </w:p>
        </w:tc>
        <w:tc>
          <w:tcPr>
            <w:tcW w:w="1142" w:type="dxa"/>
            <w:gridSpan w:val="2"/>
            <w:tcBorders>
              <w:top w:val="single" w:sz="8" w:space="0" w:color="00B050"/>
              <w:left w:val="single" w:sz="4" w:space="0" w:color="00B050"/>
              <w:bottom w:val="single" w:sz="8" w:space="0" w:color="00B050"/>
              <w:right w:val="single" w:sz="4" w:space="0" w:color="00B050"/>
            </w:tcBorders>
            <w:shd w:val="clear" w:color="auto" w:fill="auto"/>
            <w:noWrap/>
            <w:hideMark/>
          </w:tcPr>
          <w:p w:rsidR="00030337" w:rsidRPr="001244BB" w:rsidRDefault="00030337" w:rsidP="00030337">
            <w:pPr>
              <w:spacing w:after="0" w:line="240" w:lineRule="auto"/>
              <w:jc w:val="right"/>
              <w:rPr>
                <w:rFonts w:eastAsia="Times New Roman" w:cstheme="minorHAnsi"/>
                <w:color w:val="000000"/>
                <w:sz w:val="20"/>
                <w:szCs w:val="20"/>
                <w:lang w:eastAsia="en-NZ"/>
              </w:rPr>
            </w:pPr>
            <w:r w:rsidRPr="001244BB">
              <w:rPr>
                <w:rFonts w:eastAsia="Times New Roman" w:cstheme="minorHAnsi"/>
                <w:color w:val="000000"/>
                <w:sz w:val="20"/>
                <w:szCs w:val="20"/>
                <w:lang w:eastAsia="en-NZ"/>
              </w:rPr>
              <w:t>$13.71</w:t>
            </w:r>
          </w:p>
        </w:tc>
        <w:tc>
          <w:tcPr>
            <w:tcW w:w="1276" w:type="dxa"/>
            <w:tcBorders>
              <w:top w:val="single" w:sz="8" w:space="0" w:color="00B050"/>
              <w:left w:val="single" w:sz="4" w:space="0" w:color="00B050"/>
              <w:bottom w:val="single" w:sz="8" w:space="0" w:color="00B050"/>
              <w:right w:val="single" w:sz="4" w:space="0" w:color="00B050"/>
            </w:tcBorders>
            <w:shd w:val="clear" w:color="auto" w:fill="auto"/>
            <w:noWrap/>
            <w:hideMark/>
          </w:tcPr>
          <w:p w:rsidR="00030337" w:rsidRPr="001244BB" w:rsidRDefault="00030337" w:rsidP="00030337">
            <w:pPr>
              <w:spacing w:after="0" w:line="240" w:lineRule="auto"/>
              <w:jc w:val="right"/>
              <w:rPr>
                <w:rFonts w:eastAsia="Times New Roman" w:cstheme="minorHAnsi"/>
                <w:color w:val="000000"/>
                <w:sz w:val="20"/>
                <w:szCs w:val="20"/>
                <w:lang w:eastAsia="en-NZ"/>
              </w:rPr>
            </w:pPr>
            <w:r w:rsidRPr="001244BB">
              <w:rPr>
                <w:rFonts w:eastAsia="Times New Roman" w:cstheme="minorHAnsi"/>
                <w:color w:val="000000"/>
                <w:sz w:val="20"/>
                <w:szCs w:val="20"/>
                <w:lang w:eastAsia="en-NZ"/>
              </w:rPr>
              <w:t>$13.44</w:t>
            </w:r>
          </w:p>
        </w:tc>
        <w:tc>
          <w:tcPr>
            <w:tcW w:w="1134" w:type="dxa"/>
            <w:tcBorders>
              <w:top w:val="single" w:sz="8" w:space="0" w:color="00B050"/>
              <w:left w:val="single" w:sz="4" w:space="0" w:color="00B050"/>
              <w:bottom w:val="single" w:sz="8" w:space="0" w:color="00B050"/>
              <w:right w:val="single" w:sz="4" w:space="0" w:color="00B050"/>
            </w:tcBorders>
            <w:shd w:val="clear" w:color="000000" w:fill="D9D9D9"/>
            <w:hideMark/>
          </w:tcPr>
          <w:p w:rsidR="00030337" w:rsidRPr="001244BB" w:rsidRDefault="00030337" w:rsidP="00030337">
            <w:pPr>
              <w:spacing w:after="0" w:line="240" w:lineRule="auto"/>
              <w:jc w:val="right"/>
              <w:rPr>
                <w:rFonts w:eastAsia="Times New Roman" w:cstheme="minorHAnsi"/>
                <w:color w:val="000000"/>
                <w:sz w:val="20"/>
                <w:szCs w:val="20"/>
                <w:lang w:eastAsia="en-NZ"/>
              </w:rPr>
            </w:pPr>
            <w:r w:rsidRPr="001244BB">
              <w:rPr>
                <w:rFonts w:eastAsia="Times New Roman" w:cstheme="minorHAnsi"/>
                <w:color w:val="000000"/>
                <w:sz w:val="20"/>
                <w:szCs w:val="20"/>
                <w:lang w:eastAsia="en-NZ"/>
              </w:rPr>
              <w:t>$18.84</w:t>
            </w:r>
          </w:p>
        </w:tc>
        <w:tc>
          <w:tcPr>
            <w:tcW w:w="851" w:type="dxa"/>
            <w:tcBorders>
              <w:top w:val="single" w:sz="8" w:space="0" w:color="00B050"/>
              <w:left w:val="single" w:sz="4" w:space="0" w:color="00B050"/>
              <w:bottom w:val="single" w:sz="8" w:space="0" w:color="00B050"/>
              <w:right w:val="single" w:sz="4" w:space="0" w:color="00B050"/>
            </w:tcBorders>
            <w:shd w:val="clear" w:color="auto" w:fill="auto"/>
            <w:hideMark/>
          </w:tcPr>
          <w:p w:rsidR="00030337" w:rsidRPr="001244BB" w:rsidRDefault="00030337" w:rsidP="00030337">
            <w:pPr>
              <w:spacing w:after="0" w:line="240" w:lineRule="auto"/>
              <w:jc w:val="right"/>
              <w:rPr>
                <w:rFonts w:eastAsia="Times New Roman" w:cstheme="minorHAnsi"/>
                <w:color w:val="000000"/>
                <w:sz w:val="20"/>
                <w:szCs w:val="20"/>
                <w:lang w:eastAsia="en-NZ"/>
              </w:rPr>
            </w:pPr>
            <w:r w:rsidRPr="001244BB">
              <w:rPr>
                <w:rFonts w:eastAsia="Times New Roman" w:cstheme="minorHAnsi"/>
                <w:color w:val="000000"/>
                <w:sz w:val="20"/>
                <w:szCs w:val="20"/>
                <w:lang w:eastAsia="en-NZ"/>
              </w:rPr>
              <w:t>29%</w:t>
            </w:r>
          </w:p>
        </w:tc>
        <w:tc>
          <w:tcPr>
            <w:tcW w:w="1134" w:type="dxa"/>
            <w:tcBorders>
              <w:top w:val="single" w:sz="8" w:space="0" w:color="00B050"/>
              <w:left w:val="single" w:sz="4" w:space="0" w:color="00B050"/>
              <w:bottom w:val="single" w:sz="8" w:space="0" w:color="00B050"/>
              <w:right w:val="single" w:sz="4" w:space="0" w:color="00B050"/>
            </w:tcBorders>
            <w:shd w:val="clear" w:color="auto" w:fill="auto"/>
            <w:hideMark/>
          </w:tcPr>
          <w:p w:rsidR="00030337" w:rsidRPr="001244BB" w:rsidRDefault="00030337" w:rsidP="00030337">
            <w:pPr>
              <w:spacing w:after="0" w:line="240" w:lineRule="auto"/>
              <w:jc w:val="right"/>
              <w:rPr>
                <w:rFonts w:eastAsia="Times New Roman" w:cstheme="minorHAnsi"/>
                <w:color w:val="000000"/>
                <w:sz w:val="20"/>
                <w:szCs w:val="20"/>
                <w:lang w:eastAsia="en-NZ"/>
              </w:rPr>
            </w:pPr>
            <w:r w:rsidRPr="001244BB">
              <w:rPr>
                <w:rFonts w:eastAsia="Times New Roman" w:cstheme="minorHAnsi"/>
                <w:color w:val="000000"/>
                <w:sz w:val="20"/>
                <w:szCs w:val="20"/>
                <w:lang w:eastAsia="en-NZ"/>
              </w:rPr>
              <w:t>exceeded</w:t>
            </w:r>
          </w:p>
        </w:tc>
        <w:tc>
          <w:tcPr>
            <w:tcW w:w="4635" w:type="dxa"/>
            <w:tcBorders>
              <w:top w:val="single" w:sz="8" w:space="0" w:color="00B050"/>
              <w:left w:val="single" w:sz="4" w:space="0" w:color="00B050"/>
              <w:bottom w:val="single" w:sz="8" w:space="0" w:color="00B050"/>
              <w:right w:val="nil"/>
            </w:tcBorders>
            <w:shd w:val="clear" w:color="auto" w:fill="auto"/>
            <w:hideMark/>
          </w:tcPr>
          <w:p w:rsidR="00030337" w:rsidRPr="001244BB" w:rsidRDefault="00030337" w:rsidP="00030337">
            <w:pPr>
              <w:rPr>
                <w:rFonts w:cstheme="minorHAnsi"/>
                <w:color w:val="000000"/>
                <w:sz w:val="20"/>
                <w:szCs w:val="20"/>
              </w:rPr>
            </w:pPr>
            <w:r w:rsidRPr="001244BB">
              <w:rPr>
                <w:rFonts w:cstheme="minorHAnsi"/>
                <w:color w:val="000000"/>
                <w:sz w:val="20"/>
                <w:szCs w:val="20"/>
              </w:rPr>
              <w:t>Variance due to increased visitor numbers</w:t>
            </w:r>
            <w:r w:rsidR="00145BEF">
              <w:rPr>
                <w:rFonts w:cstheme="minorHAnsi"/>
                <w:color w:val="000000"/>
                <w:sz w:val="20"/>
                <w:szCs w:val="20"/>
              </w:rPr>
              <w:t>.</w:t>
            </w:r>
          </w:p>
        </w:tc>
      </w:tr>
      <w:tr w:rsidR="00030337" w:rsidRPr="001244BB" w:rsidTr="00030337">
        <w:trPr>
          <w:trHeight w:val="514"/>
        </w:trPr>
        <w:tc>
          <w:tcPr>
            <w:tcW w:w="3672" w:type="dxa"/>
            <w:tcBorders>
              <w:top w:val="nil"/>
              <w:left w:val="nil"/>
              <w:bottom w:val="single" w:sz="8" w:space="0" w:color="00B050"/>
              <w:right w:val="single" w:sz="4" w:space="0" w:color="00B050"/>
            </w:tcBorders>
            <w:shd w:val="clear" w:color="auto" w:fill="auto"/>
            <w:hideMark/>
          </w:tcPr>
          <w:p w:rsidR="00030337" w:rsidRPr="001244BB" w:rsidRDefault="00030337" w:rsidP="00030337">
            <w:pPr>
              <w:spacing w:after="0" w:line="240" w:lineRule="auto"/>
              <w:rPr>
                <w:rFonts w:eastAsia="Times New Roman" w:cstheme="minorHAnsi"/>
                <w:color w:val="000000"/>
                <w:sz w:val="20"/>
                <w:szCs w:val="20"/>
                <w:lang w:eastAsia="en-NZ"/>
              </w:rPr>
            </w:pPr>
            <w:r w:rsidRPr="001244BB">
              <w:rPr>
                <w:rFonts w:eastAsia="Times New Roman" w:cstheme="minorHAnsi"/>
                <w:color w:val="000000"/>
                <w:sz w:val="20"/>
                <w:szCs w:val="20"/>
                <w:lang w:eastAsia="en-NZ"/>
              </w:rPr>
              <w:t>Average revenue per visitor</w:t>
            </w:r>
          </w:p>
        </w:tc>
        <w:tc>
          <w:tcPr>
            <w:tcW w:w="1140" w:type="dxa"/>
            <w:tcBorders>
              <w:top w:val="single" w:sz="8" w:space="0" w:color="00B050"/>
              <w:left w:val="single" w:sz="4" w:space="0" w:color="00B050"/>
              <w:bottom w:val="single" w:sz="8" w:space="0" w:color="00B050"/>
              <w:right w:val="single" w:sz="4" w:space="0" w:color="00B050"/>
            </w:tcBorders>
            <w:shd w:val="clear" w:color="auto" w:fill="auto"/>
            <w:noWrap/>
            <w:hideMark/>
          </w:tcPr>
          <w:p w:rsidR="00030337" w:rsidRPr="001244BB" w:rsidRDefault="00030337" w:rsidP="00030337">
            <w:pPr>
              <w:spacing w:after="0" w:line="240" w:lineRule="auto"/>
              <w:jc w:val="right"/>
              <w:rPr>
                <w:rFonts w:eastAsia="Times New Roman" w:cstheme="minorHAnsi"/>
                <w:color w:val="000000"/>
                <w:sz w:val="20"/>
                <w:szCs w:val="20"/>
                <w:lang w:eastAsia="en-NZ"/>
              </w:rPr>
            </w:pPr>
            <w:r w:rsidRPr="001244BB">
              <w:rPr>
                <w:rFonts w:eastAsia="Times New Roman" w:cstheme="minorHAnsi"/>
                <w:color w:val="000000"/>
                <w:sz w:val="20"/>
                <w:szCs w:val="20"/>
                <w:lang w:eastAsia="en-NZ"/>
              </w:rPr>
              <w:t>$28.01</w:t>
            </w:r>
          </w:p>
        </w:tc>
        <w:tc>
          <w:tcPr>
            <w:tcW w:w="1142" w:type="dxa"/>
            <w:gridSpan w:val="2"/>
            <w:tcBorders>
              <w:top w:val="single" w:sz="8" w:space="0" w:color="00B050"/>
              <w:left w:val="single" w:sz="4" w:space="0" w:color="00B050"/>
              <w:bottom w:val="single" w:sz="8" w:space="0" w:color="00B050"/>
              <w:right w:val="single" w:sz="4" w:space="0" w:color="00B050"/>
            </w:tcBorders>
            <w:shd w:val="clear" w:color="auto" w:fill="auto"/>
            <w:noWrap/>
            <w:hideMark/>
          </w:tcPr>
          <w:p w:rsidR="00030337" w:rsidRPr="001244BB" w:rsidRDefault="00030337" w:rsidP="00030337">
            <w:pPr>
              <w:spacing w:after="0" w:line="240" w:lineRule="auto"/>
              <w:jc w:val="right"/>
              <w:rPr>
                <w:rFonts w:eastAsia="Times New Roman" w:cstheme="minorHAnsi"/>
                <w:color w:val="000000"/>
                <w:sz w:val="20"/>
                <w:szCs w:val="20"/>
                <w:lang w:eastAsia="en-NZ"/>
              </w:rPr>
            </w:pPr>
            <w:r w:rsidRPr="001244BB">
              <w:rPr>
                <w:rFonts w:eastAsia="Times New Roman" w:cstheme="minorHAnsi"/>
                <w:color w:val="000000"/>
                <w:sz w:val="20"/>
                <w:szCs w:val="20"/>
                <w:lang w:eastAsia="en-NZ"/>
              </w:rPr>
              <w:t>$31.44</w:t>
            </w:r>
          </w:p>
        </w:tc>
        <w:tc>
          <w:tcPr>
            <w:tcW w:w="1276" w:type="dxa"/>
            <w:tcBorders>
              <w:top w:val="single" w:sz="8" w:space="0" w:color="00B050"/>
              <w:left w:val="single" w:sz="4" w:space="0" w:color="00B050"/>
              <w:bottom w:val="single" w:sz="8" w:space="0" w:color="00B050"/>
              <w:right w:val="single" w:sz="4" w:space="0" w:color="00B050"/>
            </w:tcBorders>
            <w:shd w:val="clear" w:color="auto" w:fill="auto"/>
            <w:noWrap/>
            <w:hideMark/>
          </w:tcPr>
          <w:p w:rsidR="00030337" w:rsidRPr="001244BB" w:rsidRDefault="00030337" w:rsidP="00030337">
            <w:pPr>
              <w:spacing w:after="0" w:line="240" w:lineRule="auto"/>
              <w:jc w:val="right"/>
              <w:rPr>
                <w:rFonts w:eastAsia="Times New Roman" w:cstheme="minorHAnsi"/>
                <w:color w:val="000000"/>
                <w:sz w:val="20"/>
                <w:szCs w:val="20"/>
                <w:lang w:eastAsia="en-NZ"/>
              </w:rPr>
            </w:pPr>
            <w:r w:rsidRPr="001244BB">
              <w:rPr>
                <w:rFonts w:eastAsia="Times New Roman" w:cstheme="minorHAnsi"/>
                <w:color w:val="000000"/>
                <w:sz w:val="20"/>
                <w:szCs w:val="20"/>
                <w:lang w:eastAsia="en-NZ"/>
              </w:rPr>
              <w:t>$32.85</w:t>
            </w:r>
          </w:p>
        </w:tc>
        <w:tc>
          <w:tcPr>
            <w:tcW w:w="1134" w:type="dxa"/>
            <w:tcBorders>
              <w:top w:val="single" w:sz="8" w:space="0" w:color="00B050"/>
              <w:left w:val="single" w:sz="4" w:space="0" w:color="00B050"/>
              <w:bottom w:val="single" w:sz="8" w:space="0" w:color="00B050"/>
              <w:right w:val="single" w:sz="4" w:space="0" w:color="00B050"/>
            </w:tcBorders>
            <w:shd w:val="clear" w:color="000000" w:fill="D9D9D9"/>
            <w:hideMark/>
          </w:tcPr>
          <w:p w:rsidR="00030337" w:rsidRPr="001244BB" w:rsidRDefault="00030337" w:rsidP="00030337">
            <w:pPr>
              <w:spacing w:after="0" w:line="240" w:lineRule="auto"/>
              <w:jc w:val="right"/>
              <w:rPr>
                <w:rFonts w:eastAsia="Times New Roman" w:cstheme="minorHAnsi"/>
                <w:color w:val="000000"/>
                <w:sz w:val="20"/>
                <w:szCs w:val="20"/>
                <w:lang w:eastAsia="en-NZ"/>
              </w:rPr>
            </w:pPr>
            <w:r w:rsidRPr="001244BB">
              <w:rPr>
                <w:rFonts w:eastAsia="Times New Roman" w:cstheme="minorHAnsi"/>
                <w:color w:val="000000"/>
                <w:sz w:val="20"/>
                <w:szCs w:val="20"/>
                <w:lang w:eastAsia="en-NZ"/>
              </w:rPr>
              <w:t>$26.48</w:t>
            </w:r>
          </w:p>
        </w:tc>
        <w:tc>
          <w:tcPr>
            <w:tcW w:w="851" w:type="dxa"/>
            <w:tcBorders>
              <w:top w:val="single" w:sz="8" w:space="0" w:color="00B050"/>
              <w:left w:val="single" w:sz="4" w:space="0" w:color="00B050"/>
              <w:bottom w:val="single" w:sz="8" w:space="0" w:color="00B050"/>
              <w:right w:val="single" w:sz="4" w:space="0" w:color="00B050"/>
            </w:tcBorders>
            <w:shd w:val="clear" w:color="auto" w:fill="auto"/>
            <w:hideMark/>
          </w:tcPr>
          <w:p w:rsidR="00030337" w:rsidRPr="001244BB" w:rsidRDefault="00030337" w:rsidP="00030337">
            <w:pPr>
              <w:spacing w:after="0" w:line="240" w:lineRule="auto"/>
              <w:jc w:val="right"/>
              <w:rPr>
                <w:rFonts w:eastAsia="Times New Roman" w:cstheme="minorHAnsi"/>
                <w:color w:val="000000"/>
                <w:sz w:val="20"/>
                <w:szCs w:val="20"/>
                <w:lang w:eastAsia="en-NZ"/>
              </w:rPr>
            </w:pPr>
            <w:r w:rsidRPr="001244BB">
              <w:rPr>
                <w:rFonts w:eastAsia="Times New Roman" w:cstheme="minorHAnsi"/>
                <w:color w:val="000000"/>
                <w:sz w:val="20"/>
                <w:szCs w:val="20"/>
                <w:lang w:eastAsia="en-NZ"/>
              </w:rPr>
              <w:t>24%</w:t>
            </w:r>
          </w:p>
        </w:tc>
        <w:tc>
          <w:tcPr>
            <w:tcW w:w="1134" w:type="dxa"/>
            <w:tcBorders>
              <w:top w:val="single" w:sz="8" w:space="0" w:color="00B050"/>
              <w:left w:val="single" w:sz="4" w:space="0" w:color="00B050"/>
              <w:bottom w:val="single" w:sz="8" w:space="0" w:color="00B050"/>
              <w:right w:val="single" w:sz="4" w:space="0" w:color="00B050"/>
            </w:tcBorders>
            <w:shd w:val="clear" w:color="auto" w:fill="auto"/>
            <w:hideMark/>
          </w:tcPr>
          <w:p w:rsidR="00030337" w:rsidRPr="001244BB" w:rsidRDefault="00030337" w:rsidP="00030337">
            <w:pPr>
              <w:spacing w:after="0"/>
              <w:jc w:val="right"/>
              <w:rPr>
                <w:rFonts w:cstheme="minorHAnsi"/>
                <w:sz w:val="20"/>
                <w:szCs w:val="20"/>
              </w:rPr>
            </w:pPr>
            <w:r w:rsidRPr="001244BB">
              <w:rPr>
                <w:rFonts w:eastAsia="Times New Roman" w:cstheme="minorHAnsi"/>
                <w:color w:val="000000"/>
                <w:sz w:val="20"/>
                <w:szCs w:val="20"/>
                <w:lang w:eastAsia="en-NZ"/>
              </w:rPr>
              <w:t>exceeded</w:t>
            </w:r>
          </w:p>
        </w:tc>
        <w:tc>
          <w:tcPr>
            <w:tcW w:w="4635" w:type="dxa"/>
            <w:tcBorders>
              <w:top w:val="single" w:sz="8" w:space="0" w:color="00B050"/>
              <w:left w:val="single" w:sz="4" w:space="0" w:color="00B050"/>
              <w:bottom w:val="single" w:sz="8" w:space="0" w:color="00B050"/>
              <w:right w:val="nil"/>
            </w:tcBorders>
            <w:shd w:val="clear" w:color="auto" w:fill="auto"/>
            <w:hideMark/>
          </w:tcPr>
          <w:p w:rsidR="00030337" w:rsidRPr="001244BB" w:rsidRDefault="00030337" w:rsidP="00030337">
            <w:pPr>
              <w:rPr>
                <w:rFonts w:cstheme="minorHAnsi"/>
                <w:color w:val="000000"/>
                <w:sz w:val="20"/>
                <w:szCs w:val="20"/>
              </w:rPr>
            </w:pPr>
            <w:r w:rsidRPr="001244BB">
              <w:rPr>
                <w:rFonts w:cstheme="minorHAnsi"/>
                <w:color w:val="000000"/>
                <w:sz w:val="20"/>
                <w:szCs w:val="20"/>
              </w:rPr>
              <w:t>Strong performance in line with previous years</w:t>
            </w:r>
            <w:r w:rsidR="00145BEF">
              <w:rPr>
                <w:rFonts w:cstheme="minorHAnsi"/>
                <w:color w:val="000000"/>
                <w:sz w:val="20"/>
                <w:szCs w:val="20"/>
              </w:rPr>
              <w:t>.</w:t>
            </w:r>
          </w:p>
        </w:tc>
      </w:tr>
      <w:tr w:rsidR="00030337" w:rsidRPr="001244BB" w:rsidTr="00030337">
        <w:trPr>
          <w:trHeight w:val="636"/>
        </w:trPr>
        <w:tc>
          <w:tcPr>
            <w:tcW w:w="3672" w:type="dxa"/>
            <w:tcBorders>
              <w:top w:val="nil"/>
              <w:left w:val="nil"/>
              <w:bottom w:val="single" w:sz="8" w:space="0" w:color="00B050"/>
              <w:right w:val="single" w:sz="4" w:space="0" w:color="00B050"/>
            </w:tcBorders>
            <w:shd w:val="clear" w:color="auto" w:fill="auto"/>
          </w:tcPr>
          <w:p w:rsidR="00030337" w:rsidRPr="001244BB" w:rsidRDefault="00030337" w:rsidP="00030337">
            <w:pPr>
              <w:spacing w:after="0" w:line="240" w:lineRule="auto"/>
              <w:rPr>
                <w:rFonts w:eastAsia="Times New Roman" w:cstheme="minorHAnsi"/>
                <w:color w:val="000000"/>
                <w:sz w:val="20"/>
                <w:szCs w:val="20"/>
                <w:lang w:eastAsia="en-NZ"/>
              </w:rPr>
            </w:pPr>
            <w:r w:rsidRPr="00D459D3">
              <w:rPr>
                <w:rFonts w:eastAsia="Times New Roman" w:cstheme="minorHAnsi"/>
                <w:color w:val="000000"/>
                <w:sz w:val="20"/>
                <w:szCs w:val="20"/>
                <w:lang w:eastAsia="en-NZ"/>
              </w:rPr>
              <w:lastRenderedPageBreak/>
              <w:t>Non-Council grant revenue equating to &gt;75% of overall income</w:t>
            </w:r>
          </w:p>
        </w:tc>
        <w:tc>
          <w:tcPr>
            <w:tcW w:w="1140" w:type="dxa"/>
            <w:tcBorders>
              <w:top w:val="single" w:sz="8" w:space="0" w:color="00B050"/>
              <w:left w:val="single" w:sz="4" w:space="0" w:color="00B050"/>
              <w:bottom w:val="single" w:sz="8" w:space="0" w:color="00B050"/>
              <w:right w:val="single" w:sz="4" w:space="0" w:color="00B050"/>
            </w:tcBorders>
            <w:shd w:val="clear" w:color="auto" w:fill="auto"/>
            <w:noWrap/>
          </w:tcPr>
          <w:p w:rsidR="00030337" w:rsidRPr="001244BB" w:rsidRDefault="00030337" w:rsidP="00030337">
            <w:pPr>
              <w:spacing w:after="0" w:line="240" w:lineRule="auto"/>
              <w:rPr>
                <w:rFonts w:eastAsia="Times New Roman" w:cstheme="minorHAnsi"/>
                <w:color w:val="000000"/>
                <w:sz w:val="20"/>
                <w:szCs w:val="20"/>
                <w:lang w:eastAsia="en-NZ"/>
              </w:rPr>
            </w:pPr>
          </w:p>
        </w:tc>
        <w:tc>
          <w:tcPr>
            <w:tcW w:w="1142" w:type="dxa"/>
            <w:gridSpan w:val="2"/>
            <w:tcBorders>
              <w:top w:val="single" w:sz="8" w:space="0" w:color="00B050"/>
              <w:left w:val="single" w:sz="4" w:space="0" w:color="00B050"/>
              <w:bottom w:val="single" w:sz="8" w:space="0" w:color="00B050"/>
              <w:right w:val="single" w:sz="4" w:space="0" w:color="00B050"/>
            </w:tcBorders>
            <w:shd w:val="clear" w:color="auto" w:fill="auto"/>
            <w:noWrap/>
          </w:tcPr>
          <w:p w:rsidR="00030337" w:rsidRPr="001244BB" w:rsidRDefault="00030337" w:rsidP="00030337">
            <w:pPr>
              <w:spacing w:after="0" w:line="240" w:lineRule="auto"/>
              <w:jc w:val="right"/>
              <w:rPr>
                <w:rFonts w:eastAsia="Times New Roman" w:cstheme="minorHAnsi"/>
                <w:color w:val="000000"/>
                <w:sz w:val="20"/>
                <w:szCs w:val="20"/>
                <w:lang w:eastAsia="en-NZ"/>
              </w:rPr>
            </w:pPr>
            <w:r>
              <w:rPr>
                <w:rFonts w:eastAsia="Times New Roman" w:cstheme="minorHAnsi"/>
                <w:color w:val="000000"/>
                <w:sz w:val="20"/>
                <w:szCs w:val="20"/>
                <w:lang w:eastAsia="en-NZ"/>
              </w:rPr>
              <w:t>new</w:t>
            </w:r>
          </w:p>
        </w:tc>
        <w:tc>
          <w:tcPr>
            <w:tcW w:w="1276" w:type="dxa"/>
            <w:tcBorders>
              <w:top w:val="single" w:sz="8" w:space="0" w:color="00B050"/>
              <w:left w:val="single" w:sz="4" w:space="0" w:color="00B050"/>
              <w:bottom w:val="single" w:sz="8" w:space="0" w:color="00B050"/>
              <w:right w:val="single" w:sz="4" w:space="0" w:color="00B050"/>
            </w:tcBorders>
            <w:shd w:val="clear" w:color="auto" w:fill="auto"/>
            <w:noWrap/>
          </w:tcPr>
          <w:p w:rsidR="00030337" w:rsidRPr="001244BB" w:rsidRDefault="00750654" w:rsidP="00030337">
            <w:pPr>
              <w:spacing w:after="0" w:line="240" w:lineRule="auto"/>
              <w:jc w:val="right"/>
              <w:rPr>
                <w:rFonts w:eastAsia="Times New Roman" w:cstheme="minorHAnsi"/>
                <w:color w:val="000000"/>
                <w:sz w:val="20"/>
                <w:szCs w:val="20"/>
                <w:lang w:eastAsia="en-NZ"/>
              </w:rPr>
            </w:pPr>
            <w:r>
              <w:rPr>
                <w:rFonts w:eastAsia="Times New Roman" w:cstheme="minorHAnsi"/>
                <w:color w:val="000000"/>
                <w:sz w:val="20"/>
                <w:szCs w:val="20"/>
                <w:lang w:eastAsia="en-NZ"/>
              </w:rPr>
              <w:t>97</w:t>
            </w:r>
            <w:r w:rsidR="00030337">
              <w:rPr>
                <w:rFonts w:eastAsia="Times New Roman" w:cstheme="minorHAnsi"/>
                <w:color w:val="000000"/>
                <w:sz w:val="20"/>
                <w:szCs w:val="20"/>
                <w:lang w:eastAsia="en-NZ"/>
              </w:rPr>
              <w:t>%</w:t>
            </w:r>
          </w:p>
        </w:tc>
        <w:tc>
          <w:tcPr>
            <w:tcW w:w="1134" w:type="dxa"/>
            <w:tcBorders>
              <w:top w:val="single" w:sz="8" w:space="0" w:color="00B050"/>
              <w:left w:val="single" w:sz="4" w:space="0" w:color="00B050"/>
              <w:bottom w:val="single" w:sz="8" w:space="0" w:color="00B050"/>
              <w:right w:val="single" w:sz="4" w:space="0" w:color="00B050"/>
            </w:tcBorders>
            <w:shd w:val="clear" w:color="000000" w:fill="D9D9D9"/>
          </w:tcPr>
          <w:p w:rsidR="00030337" w:rsidRPr="001244BB" w:rsidRDefault="00030337" w:rsidP="00030337">
            <w:pPr>
              <w:spacing w:after="0" w:line="240" w:lineRule="auto"/>
              <w:jc w:val="right"/>
              <w:rPr>
                <w:rFonts w:eastAsia="Times New Roman" w:cstheme="minorHAnsi"/>
                <w:color w:val="000000"/>
                <w:sz w:val="20"/>
                <w:szCs w:val="20"/>
                <w:lang w:eastAsia="en-NZ"/>
              </w:rPr>
            </w:pPr>
            <w:r>
              <w:rPr>
                <w:rFonts w:eastAsia="Times New Roman" w:cstheme="minorHAnsi"/>
                <w:color w:val="000000"/>
                <w:sz w:val="20"/>
                <w:szCs w:val="20"/>
                <w:lang w:eastAsia="en-NZ"/>
              </w:rPr>
              <w:t>&gt;75%</w:t>
            </w:r>
          </w:p>
        </w:tc>
        <w:tc>
          <w:tcPr>
            <w:tcW w:w="851" w:type="dxa"/>
            <w:tcBorders>
              <w:top w:val="single" w:sz="8" w:space="0" w:color="00B050"/>
              <w:left w:val="single" w:sz="4" w:space="0" w:color="00B050"/>
              <w:bottom w:val="single" w:sz="8" w:space="0" w:color="00B050"/>
              <w:right w:val="single" w:sz="4" w:space="0" w:color="00B050"/>
            </w:tcBorders>
            <w:shd w:val="clear" w:color="auto" w:fill="auto"/>
          </w:tcPr>
          <w:p w:rsidR="00030337" w:rsidRPr="001244BB" w:rsidRDefault="00750654" w:rsidP="00030337">
            <w:pPr>
              <w:spacing w:after="0" w:line="240" w:lineRule="auto"/>
              <w:jc w:val="right"/>
              <w:rPr>
                <w:rFonts w:eastAsia="Times New Roman" w:cstheme="minorHAnsi"/>
                <w:color w:val="000000"/>
                <w:sz w:val="20"/>
                <w:szCs w:val="20"/>
                <w:lang w:eastAsia="en-NZ"/>
              </w:rPr>
            </w:pPr>
            <w:r>
              <w:rPr>
                <w:rFonts w:eastAsia="Times New Roman" w:cstheme="minorHAnsi"/>
                <w:color w:val="000000"/>
                <w:sz w:val="20"/>
                <w:szCs w:val="20"/>
                <w:lang w:eastAsia="en-NZ"/>
              </w:rPr>
              <w:t>29</w:t>
            </w:r>
            <w:r w:rsidR="00030337">
              <w:rPr>
                <w:rFonts w:eastAsia="Times New Roman" w:cstheme="minorHAnsi"/>
                <w:color w:val="000000"/>
                <w:sz w:val="20"/>
                <w:szCs w:val="20"/>
                <w:lang w:eastAsia="en-NZ"/>
              </w:rPr>
              <w:t>%</w:t>
            </w:r>
          </w:p>
        </w:tc>
        <w:tc>
          <w:tcPr>
            <w:tcW w:w="1134" w:type="dxa"/>
            <w:tcBorders>
              <w:top w:val="single" w:sz="8" w:space="0" w:color="00B050"/>
              <w:left w:val="single" w:sz="4" w:space="0" w:color="00B050"/>
              <w:bottom w:val="single" w:sz="8" w:space="0" w:color="00B050"/>
              <w:right w:val="single" w:sz="4" w:space="0" w:color="00B050"/>
            </w:tcBorders>
            <w:shd w:val="clear" w:color="auto" w:fill="auto"/>
          </w:tcPr>
          <w:p w:rsidR="00030337" w:rsidRPr="001244BB" w:rsidRDefault="00030337" w:rsidP="00030337">
            <w:pPr>
              <w:spacing w:after="0"/>
              <w:jc w:val="right"/>
              <w:rPr>
                <w:rFonts w:eastAsia="Times New Roman" w:cstheme="minorHAnsi"/>
                <w:color w:val="000000"/>
                <w:sz w:val="20"/>
                <w:szCs w:val="20"/>
                <w:lang w:eastAsia="en-NZ"/>
              </w:rPr>
            </w:pPr>
            <w:r>
              <w:rPr>
                <w:rFonts w:eastAsia="Times New Roman" w:cstheme="minorHAnsi"/>
                <w:color w:val="000000"/>
                <w:sz w:val="20"/>
                <w:szCs w:val="20"/>
                <w:lang w:eastAsia="en-NZ"/>
              </w:rPr>
              <w:t>exceeded</w:t>
            </w:r>
          </w:p>
        </w:tc>
        <w:tc>
          <w:tcPr>
            <w:tcW w:w="4635" w:type="dxa"/>
            <w:tcBorders>
              <w:top w:val="single" w:sz="8" w:space="0" w:color="00B050"/>
              <w:left w:val="single" w:sz="4" w:space="0" w:color="00B050"/>
              <w:bottom w:val="single" w:sz="4" w:space="0" w:color="00B050"/>
              <w:right w:val="nil"/>
            </w:tcBorders>
            <w:shd w:val="clear" w:color="auto" w:fill="auto"/>
          </w:tcPr>
          <w:p w:rsidR="00030337" w:rsidRPr="001244BB" w:rsidRDefault="00030337" w:rsidP="00030337">
            <w:pPr>
              <w:spacing w:after="0"/>
              <w:rPr>
                <w:rFonts w:cstheme="minorHAnsi"/>
                <w:color w:val="000000"/>
                <w:sz w:val="20"/>
                <w:szCs w:val="20"/>
              </w:rPr>
            </w:pPr>
            <w:r w:rsidRPr="00D459D3">
              <w:rPr>
                <w:rFonts w:cstheme="minorHAnsi"/>
                <w:color w:val="000000"/>
                <w:sz w:val="20"/>
                <w:szCs w:val="20"/>
              </w:rPr>
              <w:t>Extraordinary funding received for the Tanglewood House build.</w:t>
            </w:r>
          </w:p>
        </w:tc>
      </w:tr>
      <w:tr w:rsidR="00030337" w:rsidRPr="001244BB" w:rsidTr="00030337">
        <w:trPr>
          <w:trHeight w:val="636"/>
        </w:trPr>
        <w:tc>
          <w:tcPr>
            <w:tcW w:w="3672" w:type="dxa"/>
            <w:tcBorders>
              <w:top w:val="nil"/>
              <w:left w:val="nil"/>
              <w:bottom w:val="single" w:sz="8" w:space="0" w:color="00B050"/>
              <w:right w:val="single" w:sz="4" w:space="0" w:color="00B050"/>
            </w:tcBorders>
            <w:shd w:val="clear" w:color="auto" w:fill="auto"/>
            <w:hideMark/>
          </w:tcPr>
          <w:p w:rsidR="00030337" w:rsidRPr="001244BB" w:rsidRDefault="00030337" w:rsidP="00145BEF">
            <w:pPr>
              <w:spacing w:after="0" w:line="240" w:lineRule="auto"/>
              <w:rPr>
                <w:rFonts w:eastAsia="Times New Roman" w:cstheme="minorHAnsi"/>
                <w:color w:val="000000"/>
                <w:sz w:val="20"/>
                <w:szCs w:val="20"/>
                <w:lang w:eastAsia="en-NZ"/>
              </w:rPr>
            </w:pPr>
            <w:r w:rsidRPr="001244BB">
              <w:rPr>
                <w:rFonts w:eastAsia="Times New Roman" w:cstheme="minorHAnsi"/>
                <w:color w:val="000000"/>
                <w:sz w:val="20"/>
                <w:szCs w:val="20"/>
                <w:lang w:eastAsia="en-NZ"/>
              </w:rPr>
              <w:t xml:space="preserve">Non-Council donations </w:t>
            </w:r>
            <w:r w:rsidR="00145BEF">
              <w:rPr>
                <w:rFonts w:eastAsia="Times New Roman" w:cstheme="minorHAnsi"/>
                <w:color w:val="000000"/>
                <w:sz w:val="20"/>
                <w:szCs w:val="20"/>
                <w:lang w:eastAsia="en-NZ"/>
              </w:rPr>
              <w:t>and</w:t>
            </w:r>
            <w:r w:rsidR="00145BEF" w:rsidRPr="001244BB">
              <w:rPr>
                <w:rFonts w:eastAsia="Times New Roman" w:cstheme="minorHAnsi"/>
                <w:color w:val="000000"/>
                <w:sz w:val="20"/>
                <w:szCs w:val="20"/>
                <w:lang w:eastAsia="en-NZ"/>
              </w:rPr>
              <w:t xml:space="preserve"> </w:t>
            </w:r>
            <w:r w:rsidRPr="001244BB">
              <w:rPr>
                <w:rFonts w:eastAsia="Times New Roman" w:cstheme="minorHAnsi"/>
                <w:color w:val="000000"/>
                <w:sz w:val="20"/>
                <w:szCs w:val="20"/>
                <w:lang w:eastAsia="en-NZ"/>
              </w:rPr>
              <w:t>funding</w:t>
            </w:r>
          </w:p>
        </w:tc>
        <w:tc>
          <w:tcPr>
            <w:tcW w:w="1140" w:type="dxa"/>
            <w:tcBorders>
              <w:top w:val="single" w:sz="8" w:space="0" w:color="00B050"/>
              <w:left w:val="single" w:sz="4" w:space="0" w:color="00B050"/>
              <w:bottom w:val="single" w:sz="8" w:space="0" w:color="00B050"/>
              <w:right w:val="single" w:sz="4" w:space="0" w:color="00B050"/>
            </w:tcBorders>
            <w:shd w:val="clear" w:color="auto" w:fill="auto"/>
            <w:noWrap/>
            <w:hideMark/>
          </w:tcPr>
          <w:p w:rsidR="00030337" w:rsidRPr="001244BB" w:rsidRDefault="00030337" w:rsidP="00030337">
            <w:pPr>
              <w:spacing w:after="0" w:line="240" w:lineRule="auto"/>
              <w:rPr>
                <w:rFonts w:eastAsia="Times New Roman" w:cstheme="minorHAnsi"/>
                <w:color w:val="000000"/>
                <w:sz w:val="20"/>
                <w:szCs w:val="20"/>
                <w:lang w:eastAsia="en-NZ"/>
              </w:rPr>
            </w:pPr>
            <w:r w:rsidRPr="001244BB">
              <w:rPr>
                <w:rFonts w:eastAsia="Times New Roman" w:cstheme="minorHAnsi"/>
                <w:color w:val="000000"/>
                <w:sz w:val="20"/>
                <w:szCs w:val="20"/>
                <w:lang w:eastAsia="en-NZ"/>
              </w:rPr>
              <w:t xml:space="preserve">$419,000 </w:t>
            </w:r>
          </w:p>
        </w:tc>
        <w:tc>
          <w:tcPr>
            <w:tcW w:w="1142" w:type="dxa"/>
            <w:gridSpan w:val="2"/>
            <w:tcBorders>
              <w:top w:val="single" w:sz="8" w:space="0" w:color="00B050"/>
              <w:left w:val="single" w:sz="4" w:space="0" w:color="00B050"/>
              <w:bottom w:val="single" w:sz="8" w:space="0" w:color="00B050"/>
              <w:right w:val="single" w:sz="4" w:space="0" w:color="00B050"/>
            </w:tcBorders>
            <w:shd w:val="clear" w:color="auto" w:fill="auto"/>
            <w:noWrap/>
            <w:hideMark/>
          </w:tcPr>
          <w:p w:rsidR="00030337" w:rsidRPr="001244BB" w:rsidRDefault="00030337" w:rsidP="00030337">
            <w:pPr>
              <w:spacing w:after="0" w:line="240" w:lineRule="auto"/>
              <w:jc w:val="right"/>
              <w:rPr>
                <w:rFonts w:eastAsia="Times New Roman" w:cstheme="minorHAnsi"/>
                <w:color w:val="000000"/>
                <w:sz w:val="20"/>
                <w:szCs w:val="20"/>
                <w:lang w:eastAsia="en-NZ"/>
              </w:rPr>
            </w:pPr>
            <w:r w:rsidRPr="001244BB">
              <w:rPr>
                <w:rFonts w:eastAsia="Times New Roman" w:cstheme="minorHAnsi"/>
                <w:color w:val="000000"/>
                <w:sz w:val="20"/>
                <w:szCs w:val="20"/>
                <w:lang w:eastAsia="en-NZ"/>
              </w:rPr>
              <w:t>$461,000</w:t>
            </w:r>
          </w:p>
        </w:tc>
        <w:tc>
          <w:tcPr>
            <w:tcW w:w="1276" w:type="dxa"/>
            <w:tcBorders>
              <w:top w:val="single" w:sz="8" w:space="0" w:color="00B050"/>
              <w:left w:val="single" w:sz="4" w:space="0" w:color="00B050"/>
              <w:bottom w:val="single" w:sz="8" w:space="0" w:color="00B050"/>
              <w:right w:val="single" w:sz="4" w:space="0" w:color="00B050"/>
            </w:tcBorders>
            <w:shd w:val="clear" w:color="auto" w:fill="auto"/>
            <w:noWrap/>
            <w:hideMark/>
          </w:tcPr>
          <w:p w:rsidR="00030337" w:rsidRPr="001244BB" w:rsidRDefault="00030337" w:rsidP="00030337">
            <w:pPr>
              <w:spacing w:after="0" w:line="240" w:lineRule="auto"/>
              <w:jc w:val="right"/>
              <w:rPr>
                <w:rFonts w:eastAsia="Times New Roman" w:cstheme="minorHAnsi"/>
                <w:color w:val="000000"/>
                <w:sz w:val="20"/>
                <w:szCs w:val="20"/>
                <w:lang w:eastAsia="en-NZ"/>
              </w:rPr>
            </w:pPr>
            <w:r w:rsidRPr="001244BB">
              <w:rPr>
                <w:rFonts w:eastAsia="Times New Roman" w:cstheme="minorHAnsi"/>
                <w:color w:val="000000"/>
                <w:sz w:val="20"/>
                <w:szCs w:val="20"/>
                <w:lang w:eastAsia="en-NZ"/>
              </w:rPr>
              <w:t xml:space="preserve"> $697,089 </w:t>
            </w:r>
          </w:p>
        </w:tc>
        <w:tc>
          <w:tcPr>
            <w:tcW w:w="1134" w:type="dxa"/>
            <w:tcBorders>
              <w:top w:val="single" w:sz="8" w:space="0" w:color="00B050"/>
              <w:left w:val="single" w:sz="4" w:space="0" w:color="00B050"/>
              <w:bottom w:val="single" w:sz="8" w:space="0" w:color="00B050"/>
              <w:right w:val="single" w:sz="4" w:space="0" w:color="00B050"/>
            </w:tcBorders>
            <w:shd w:val="clear" w:color="000000" w:fill="D9D9D9"/>
            <w:hideMark/>
          </w:tcPr>
          <w:p w:rsidR="00030337" w:rsidRPr="001244BB" w:rsidRDefault="00030337" w:rsidP="00030337">
            <w:pPr>
              <w:spacing w:after="0" w:line="240" w:lineRule="auto"/>
              <w:jc w:val="right"/>
              <w:rPr>
                <w:rFonts w:eastAsia="Times New Roman" w:cstheme="minorHAnsi"/>
                <w:color w:val="000000"/>
                <w:sz w:val="20"/>
                <w:szCs w:val="20"/>
                <w:lang w:eastAsia="en-NZ"/>
              </w:rPr>
            </w:pPr>
            <w:r w:rsidRPr="001244BB">
              <w:rPr>
                <w:rFonts w:eastAsia="Times New Roman" w:cstheme="minorHAnsi"/>
                <w:color w:val="000000"/>
                <w:sz w:val="20"/>
                <w:szCs w:val="20"/>
                <w:lang w:eastAsia="en-NZ"/>
              </w:rPr>
              <w:t>$270,000</w:t>
            </w:r>
          </w:p>
        </w:tc>
        <w:tc>
          <w:tcPr>
            <w:tcW w:w="851" w:type="dxa"/>
            <w:tcBorders>
              <w:top w:val="single" w:sz="8" w:space="0" w:color="00B050"/>
              <w:left w:val="single" w:sz="4" w:space="0" w:color="00B050"/>
              <w:bottom w:val="single" w:sz="8" w:space="0" w:color="00B050"/>
              <w:right w:val="single" w:sz="4" w:space="0" w:color="00B050"/>
            </w:tcBorders>
            <w:shd w:val="clear" w:color="auto" w:fill="auto"/>
            <w:hideMark/>
          </w:tcPr>
          <w:p w:rsidR="00030337" w:rsidRPr="001244BB" w:rsidRDefault="00030337" w:rsidP="00030337">
            <w:pPr>
              <w:spacing w:after="0" w:line="240" w:lineRule="auto"/>
              <w:jc w:val="right"/>
              <w:rPr>
                <w:rFonts w:eastAsia="Times New Roman" w:cstheme="minorHAnsi"/>
                <w:color w:val="000000"/>
                <w:sz w:val="20"/>
                <w:szCs w:val="20"/>
                <w:lang w:eastAsia="en-NZ"/>
              </w:rPr>
            </w:pPr>
            <w:r w:rsidRPr="001244BB">
              <w:rPr>
                <w:rFonts w:eastAsia="Times New Roman" w:cstheme="minorHAnsi"/>
                <w:color w:val="000000"/>
                <w:sz w:val="20"/>
                <w:szCs w:val="20"/>
                <w:lang w:eastAsia="en-NZ"/>
              </w:rPr>
              <w:t>158%</w:t>
            </w:r>
          </w:p>
        </w:tc>
        <w:tc>
          <w:tcPr>
            <w:tcW w:w="1134" w:type="dxa"/>
            <w:tcBorders>
              <w:top w:val="single" w:sz="8" w:space="0" w:color="00B050"/>
              <w:left w:val="single" w:sz="4" w:space="0" w:color="00B050"/>
              <w:bottom w:val="single" w:sz="8" w:space="0" w:color="00B050"/>
              <w:right w:val="single" w:sz="4" w:space="0" w:color="00B050"/>
            </w:tcBorders>
            <w:shd w:val="clear" w:color="auto" w:fill="auto"/>
            <w:hideMark/>
          </w:tcPr>
          <w:p w:rsidR="00030337" w:rsidRPr="001244BB" w:rsidRDefault="00030337" w:rsidP="00030337">
            <w:pPr>
              <w:spacing w:after="0"/>
              <w:jc w:val="right"/>
              <w:rPr>
                <w:rFonts w:cstheme="minorHAnsi"/>
                <w:sz w:val="20"/>
                <w:szCs w:val="20"/>
              </w:rPr>
            </w:pPr>
            <w:r w:rsidRPr="001244BB">
              <w:rPr>
                <w:rFonts w:eastAsia="Times New Roman" w:cstheme="minorHAnsi"/>
                <w:color w:val="000000"/>
                <w:sz w:val="20"/>
                <w:szCs w:val="20"/>
                <w:lang w:eastAsia="en-NZ"/>
              </w:rPr>
              <w:t>exceeded</w:t>
            </w:r>
          </w:p>
        </w:tc>
        <w:tc>
          <w:tcPr>
            <w:tcW w:w="4635" w:type="dxa"/>
            <w:tcBorders>
              <w:top w:val="single" w:sz="8" w:space="0" w:color="00B050"/>
              <w:left w:val="single" w:sz="4" w:space="0" w:color="00B050"/>
              <w:bottom w:val="single" w:sz="4" w:space="0" w:color="00B050"/>
              <w:right w:val="nil"/>
            </w:tcBorders>
            <w:shd w:val="clear" w:color="auto" w:fill="auto"/>
            <w:hideMark/>
          </w:tcPr>
          <w:p w:rsidR="00030337" w:rsidRPr="001244BB" w:rsidRDefault="00030337" w:rsidP="00030337">
            <w:pPr>
              <w:spacing w:after="0"/>
              <w:rPr>
                <w:rFonts w:eastAsia="Times New Roman" w:cstheme="minorHAnsi"/>
                <w:color w:val="000000"/>
                <w:sz w:val="20"/>
                <w:szCs w:val="20"/>
                <w:lang w:eastAsia="en-NZ"/>
              </w:rPr>
            </w:pPr>
            <w:r w:rsidRPr="001244BB">
              <w:rPr>
                <w:rFonts w:cstheme="minorHAnsi"/>
                <w:color w:val="000000"/>
                <w:sz w:val="20"/>
                <w:szCs w:val="20"/>
              </w:rPr>
              <w:t>Extraordinary funding received for the Tanglewood House build.</w:t>
            </w:r>
          </w:p>
        </w:tc>
      </w:tr>
      <w:tr w:rsidR="00030337" w:rsidRPr="001244BB" w:rsidTr="00030337">
        <w:trPr>
          <w:trHeight w:val="270"/>
        </w:trPr>
        <w:tc>
          <w:tcPr>
            <w:tcW w:w="3672" w:type="dxa"/>
            <w:tcBorders>
              <w:top w:val="nil"/>
              <w:left w:val="nil"/>
              <w:bottom w:val="single" w:sz="8" w:space="0" w:color="00B050"/>
              <w:right w:val="single" w:sz="4" w:space="0" w:color="00B050"/>
            </w:tcBorders>
            <w:shd w:val="clear" w:color="auto" w:fill="auto"/>
            <w:hideMark/>
          </w:tcPr>
          <w:p w:rsidR="00030337" w:rsidRPr="001244BB" w:rsidRDefault="00030337" w:rsidP="00030337">
            <w:pPr>
              <w:spacing w:after="0" w:line="240" w:lineRule="auto"/>
              <w:rPr>
                <w:rFonts w:eastAsia="Times New Roman" w:cstheme="minorHAnsi"/>
                <w:color w:val="000000"/>
                <w:sz w:val="20"/>
                <w:szCs w:val="20"/>
                <w:lang w:eastAsia="en-NZ"/>
              </w:rPr>
            </w:pPr>
            <w:r w:rsidRPr="001244BB">
              <w:rPr>
                <w:rFonts w:eastAsia="Times New Roman" w:cstheme="minorHAnsi"/>
                <w:color w:val="000000"/>
                <w:sz w:val="20"/>
                <w:szCs w:val="20"/>
                <w:lang w:eastAsia="en-NZ"/>
              </w:rPr>
              <w:t>Membership subscription revenue</w:t>
            </w:r>
          </w:p>
        </w:tc>
        <w:tc>
          <w:tcPr>
            <w:tcW w:w="1140" w:type="dxa"/>
            <w:tcBorders>
              <w:top w:val="single" w:sz="8" w:space="0" w:color="00B050"/>
              <w:left w:val="single" w:sz="4" w:space="0" w:color="00B050"/>
              <w:bottom w:val="single" w:sz="8" w:space="0" w:color="00B050"/>
              <w:right w:val="single" w:sz="4" w:space="0" w:color="00B050"/>
            </w:tcBorders>
            <w:shd w:val="clear" w:color="auto" w:fill="auto"/>
            <w:noWrap/>
            <w:hideMark/>
          </w:tcPr>
          <w:p w:rsidR="00030337" w:rsidRPr="001244BB" w:rsidRDefault="00030337" w:rsidP="00030337">
            <w:pPr>
              <w:spacing w:after="0" w:line="240" w:lineRule="auto"/>
              <w:jc w:val="right"/>
              <w:rPr>
                <w:rFonts w:eastAsia="Times New Roman" w:cstheme="minorHAnsi"/>
                <w:color w:val="000000"/>
                <w:sz w:val="20"/>
                <w:szCs w:val="20"/>
                <w:lang w:eastAsia="en-NZ"/>
              </w:rPr>
            </w:pPr>
            <w:r w:rsidRPr="001244BB">
              <w:rPr>
                <w:rFonts w:eastAsia="Times New Roman" w:cstheme="minorHAnsi"/>
                <w:color w:val="000000"/>
                <w:sz w:val="20"/>
                <w:szCs w:val="20"/>
                <w:lang w:eastAsia="en-NZ"/>
              </w:rPr>
              <w:t>$342,999</w:t>
            </w:r>
          </w:p>
        </w:tc>
        <w:tc>
          <w:tcPr>
            <w:tcW w:w="1142" w:type="dxa"/>
            <w:gridSpan w:val="2"/>
            <w:tcBorders>
              <w:top w:val="single" w:sz="8" w:space="0" w:color="00B050"/>
              <w:left w:val="single" w:sz="4" w:space="0" w:color="00B050"/>
              <w:bottom w:val="single" w:sz="8" w:space="0" w:color="00B050"/>
              <w:right w:val="single" w:sz="4" w:space="0" w:color="00B050"/>
            </w:tcBorders>
            <w:shd w:val="clear" w:color="auto" w:fill="auto"/>
            <w:noWrap/>
            <w:hideMark/>
          </w:tcPr>
          <w:p w:rsidR="00030337" w:rsidRPr="001244BB" w:rsidRDefault="00030337" w:rsidP="00030337">
            <w:pPr>
              <w:spacing w:after="0" w:line="240" w:lineRule="auto"/>
              <w:jc w:val="right"/>
              <w:rPr>
                <w:rFonts w:eastAsia="Times New Roman" w:cstheme="minorHAnsi"/>
                <w:color w:val="000000"/>
                <w:sz w:val="20"/>
                <w:szCs w:val="20"/>
                <w:lang w:eastAsia="en-NZ"/>
              </w:rPr>
            </w:pPr>
            <w:r w:rsidRPr="001244BB">
              <w:rPr>
                <w:rFonts w:eastAsia="Times New Roman" w:cstheme="minorHAnsi"/>
                <w:color w:val="000000"/>
                <w:sz w:val="20"/>
                <w:szCs w:val="20"/>
                <w:lang w:eastAsia="en-NZ"/>
              </w:rPr>
              <w:t>$329,264</w:t>
            </w:r>
          </w:p>
        </w:tc>
        <w:tc>
          <w:tcPr>
            <w:tcW w:w="1276" w:type="dxa"/>
            <w:tcBorders>
              <w:top w:val="single" w:sz="8" w:space="0" w:color="00B050"/>
              <w:left w:val="single" w:sz="4" w:space="0" w:color="00B050"/>
              <w:bottom w:val="single" w:sz="8" w:space="0" w:color="00B050"/>
              <w:right w:val="single" w:sz="4" w:space="0" w:color="00B050"/>
            </w:tcBorders>
            <w:shd w:val="clear" w:color="auto" w:fill="auto"/>
            <w:noWrap/>
            <w:hideMark/>
          </w:tcPr>
          <w:p w:rsidR="00030337" w:rsidRPr="001244BB" w:rsidRDefault="00030337" w:rsidP="00030337">
            <w:pPr>
              <w:spacing w:after="0" w:line="240" w:lineRule="auto"/>
              <w:jc w:val="right"/>
              <w:rPr>
                <w:rFonts w:eastAsia="Times New Roman" w:cstheme="minorHAnsi"/>
                <w:color w:val="000000"/>
                <w:sz w:val="20"/>
                <w:szCs w:val="20"/>
                <w:lang w:eastAsia="en-NZ"/>
              </w:rPr>
            </w:pPr>
            <w:r w:rsidRPr="001244BB">
              <w:rPr>
                <w:rFonts w:eastAsia="Times New Roman" w:cstheme="minorHAnsi"/>
                <w:color w:val="000000"/>
                <w:sz w:val="20"/>
                <w:szCs w:val="20"/>
                <w:lang w:eastAsia="en-NZ"/>
              </w:rPr>
              <w:t xml:space="preserve"> $338,774 </w:t>
            </w:r>
          </w:p>
        </w:tc>
        <w:tc>
          <w:tcPr>
            <w:tcW w:w="1134" w:type="dxa"/>
            <w:tcBorders>
              <w:top w:val="single" w:sz="8" w:space="0" w:color="00B050"/>
              <w:left w:val="single" w:sz="4" w:space="0" w:color="00B050"/>
              <w:bottom w:val="single" w:sz="8" w:space="0" w:color="00B050"/>
              <w:right w:val="single" w:sz="4" w:space="0" w:color="00B050"/>
            </w:tcBorders>
            <w:shd w:val="clear" w:color="000000" w:fill="D9D9D9"/>
            <w:hideMark/>
          </w:tcPr>
          <w:p w:rsidR="00030337" w:rsidRPr="001244BB" w:rsidRDefault="00030337" w:rsidP="00030337">
            <w:pPr>
              <w:spacing w:after="0" w:line="240" w:lineRule="auto"/>
              <w:jc w:val="right"/>
              <w:rPr>
                <w:rFonts w:eastAsia="Times New Roman" w:cstheme="minorHAnsi"/>
                <w:color w:val="000000"/>
                <w:sz w:val="20"/>
                <w:szCs w:val="20"/>
                <w:lang w:eastAsia="en-NZ"/>
              </w:rPr>
            </w:pPr>
            <w:r w:rsidRPr="001244BB">
              <w:rPr>
                <w:rFonts w:eastAsia="Times New Roman" w:cstheme="minorHAnsi"/>
                <w:color w:val="000000"/>
                <w:sz w:val="20"/>
                <w:szCs w:val="20"/>
                <w:lang w:eastAsia="en-NZ"/>
              </w:rPr>
              <w:t>$312,100</w:t>
            </w:r>
          </w:p>
        </w:tc>
        <w:tc>
          <w:tcPr>
            <w:tcW w:w="851" w:type="dxa"/>
            <w:tcBorders>
              <w:top w:val="single" w:sz="8" w:space="0" w:color="00B050"/>
              <w:left w:val="single" w:sz="4" w:space="0" w:color="00B050"/>
              <w:bottom w:val="single" w:sz="8" w:space="0" w:color="00B050"/>
              <w:right w:val="single" w:sz="4" w:space="0" w:color="00B050"/>
            </w:tcBorders>
            <w:shd w:val="clear" w:color="auto" w:fill="auto"/>
            <w:hideMark/>
          </w:tcPr>
          <w:p w:rsidR="00030337" w:rsidRPr="001244BB" w:rsidRDefault="00030337" w:rsidP="00030337">
            <w:pPr>
              <w:spacing w:after="0" w:line="240" w:lineRule="auto"/>
              <w:jc w:val="right"/>
              <w:rPr>
                <w:rFonts w:eastAsia="Times New Roman" w:cstheme="minorHAnsi"/>
                <w:color w:val="000000"/>
                <w:sz w:val="20"/>
                <w:szCs w:val="20"/>
                <w:lang w:eastAsia="en-NZ"/>
              </w:rPr>
            </w:pPr>
            <w:r w:rsidRPr="001244BB">
              <w:rPr>
                <w:rFonts w:eastAsia="Times New Roman" w:cstheme="minorHAnsi"/>
                <w:color w:val="000000"/>
                <w:sz w:val="20"/>
                <w:szCs w:val="20"/>
                <w:lang w:eastAsia="en-NZ"/>
              </w:rPr>
              <w:t>9%</w:t>
            </w:r>
          </w:p>
        </w:tc>
        <w:tc>
          <w:tcPr>
            <w:tcW w:w="1134" w:type="dxa"/>
            <w:tcBorders>
              <w:top w:val="single" w:sz="8" w:space="0" w:color="00B050"/>
              <w:left w:val="single" w:sz="4" w:space="0" w:color="00B050"/>
              <w:bottom w:val="single" w:sz="8" w:space="0" w:color="00B050"/>
              <w:right w:val="single" w:sz="4" w:space="0" w:color="00B050"/>
            </w:tcBorders>
            <w:shd w:val="clear" w:color="auto" w:fill="auto"/>
            <w:hideMark/>
          </w:tcPr>
          <w:p w:rsidR="00030337" w:rsidRPr="001244BB" w:rsidRDefault="004A2F47" w:rsidP="00030337">
            <w:pPr>
              <w:spacing w:after="0" w:line="240" w:lineRule="auto"/>
              <w:jc w:val="right"/>
              <w:rPr>
                <w:rFonts w:eastAsia="Times New Roman" w:cstheme="minorHAnsi"/>
                <w:color w:val="000000"/>
                <w:sz w:val="20"/>
                <w:szCs w:val="20"/>
                <w:lang w:eastAsia="en-NZ"/>
              </w:rPr>
            </w:pPr>
            <w:r>
              <w:rPr>
                <w:rFonts w:eastAsia="Times New Roman" w:cstheme="minorHAnsi"/>
                <w:color w:val="000000"/>
                <w:sz w:val="20"/>
                <w:szCs w:val="20"/>
                <w:lang w:eastAsia="en-NZ"/>
              </w:rPr>
              <w:t>Within 10%</w:t>
            </w:r>
          </w:p>
        </w:tc>
        <w:tc>
          <w:tcPr>
            <w:tcW w:w="4635" w:type="dxa"/>
            <w:tcBorders>
              <w:top w:val="single" w:sz="4" w:space="0" w:color="00B050"/>
              <w:left w:val="single" w:sz="4" w:space="0" w:color="00B050"/>
              <w:bottom w:val="single" w:sz="4" w:space="0" w:color="00B050"/>
              <w:right w:val="nil"/>
            </w:tcBorders>
            <w:shd w:val="clear" w:color="auto" w:fill="auto"/>
          </w:tcPr>
          <w:p w:rsidR="00030337" w:rsidRPr="001244BB" w:rsidRDefault="00030337" w:rsidP="00030337">
            <w:pPr>
              <w:spacing w:after="0" w:line="240" w:lineRule="auto"/>
              <w:jc w:val="right"/>
              <w:rPr>
                <w:rFonts w:eastAsia="Times New Roman" w:cstheme="minorHAnsi"/>
                <w:color w:val="000000"/>
                <w:sz w:val="20"/>
                <w:szCs w:val="20"/>
                <w:lang w:eastAsia="en-NZ"/>
              </w:rPr>
            </w:pPr>
          </w:p>
        </w:tc>
      </w:tr>
      <w:tr w:rsidR="00030337" w:rsidRPr="001244BB" w:rsidTr="00030337">
        <w:trPr>
          <w:trHeight w:val="270"/>
        </w:trPr>
        <w:tc>
          <w:tcPr>
            <w:tcW w:w="3672" w:type="dxa"/>
            <w:tcBorders>
              <w:top w:val="nil"/>
              <w:left w:val="nil"/>
              <w:bottom w:val="single" w:sz="8" w:space="0" w:color="00B050"/>
              <w:right w:val="single" w:sz="4" w:space="0" w:color="00B050"/>
            </w:tcBorders>
            <w:shd w:val="clear" w:color="auto" w:fill="auto"/>
            <w:hideMark/>
          </w:tcPr>
          <w:p w:rsidR="00030337" w:rsidRPr="001244BB" w:rsidRDefault="00030337" w:rsidP="00030337">
            <w:pPr>
              <w:spacing w:after="0" w:line="240" w:lineRule="auto"/>
              <w:rPr>
                <w:rFonts w:eastAsia="Times New Roman" w:cstheme="minorHAnsi"/>
                <w:color w:val="000000"/>
                <w:sz w:val="20"/>
                <w:szCs w:val="20"/>
                <w:lang w:eastAsia="en-NZ"/>
              </w:rPr>
            </w:pPr>
            <w:r w:rsidRPr="001244BB">
              <w:rPr>
                <w:rFonts w:eastAsia="Times New Roman" w:cstheme="minorHAnsi"/>
                <w:color w:val="000000"/>
                <w:sz w:val="20"/>
                <w:szCs w:val="20"/>
                <w:lang w:eastAsia="en-NZ"/>
              </w:rPr>
              <w:t>Net surplus (loss) $000</w:t>
            </w:r>
          </w:p>
        </w:tc>
        <w:tc>
          <w:tcPr>
            <w:tcW w:w="1140" w:type="dxa"/>
            <w:tcBorders>
              <w:top w:val="single" w:sz="8" w:space="0" w:color="00B050"/>
              <w:left w:val="single" w:sz="4" w:space="0" w:color="00B050"/>
              <w:bottom w:val="single" w:sz="4" w:space="0" w:color="00B050"/>
              <w:right w:val="single" w:sz="4" w:space="0" w:color="00B050"/>
            </w:tcBorders>
            <w:shd w:val="clear" w:color="auto" w:fill="auto"/>
            <w:noWrap/>
            <w:hideMark/>
          </w:tcPr>
          <w:p w:rsidR="00030337" w:rsidRPr="001244BB" w:rsidRDefault="00030337" w:rsidP="00030337">
            <w:pPr>
              <w:spacing w:after="0" w:line="240" w:lineRule="auto"/>
              <w:jc w:val="right"/>
              <w:rPr>
                <w:rFonts w:eastAsia="Times New Roman" w:cstheme="minorHAnsi"/>
                <w:color w:val="000000"/>
                <w:sz w:val="20"/>
                <w:szCs w:val="20"/>
                <w:lang w:eastAsia="en-NZ"/>
              </w:rPr>
            </w:pPr>
          </w:p>
        </w:tc>
        <w:tc>
          <w:tcPr>
            <w:tcW w:w="1142" w:type="dxa"/>
            <w:gridSpan w:val="2"/>
            <w:tcBorders>
              <w:top w:val="single" w:sz="8" w:space="0" w:color="00B050"/>
              <w:left w:val="single" w:sz="4" w:space="0" w:color="00B050"/>
              <w:bottom w:val="single" w:sz="4" w:space="0" w:color="00B050"/>
              <w:right w:val="single" w:sz="4" w:space="0" w:color="00B050"/>
            </w:tcBorders>
            <w:shd w:val="clear" w:color="auto" w:fill="auto"/>
            <w:noWrap/>
            <w:hideMark/>
          </w:tcPr>
          <w:p w:rsidR="00030337" w:rsidRPr="001244BB" w:rsidRDefault="00030337" w:rsidP="00030337">
            <w:pPr>
              <w:spacing w:after="0" w:line="240" w:lineRule="auto"/>
              <w:jc w:val="right"/>
              <w:rPr>
                <w:rFonts w:eastAsia="Times New Roman" w:cstheme="minorHAnsi"/>
                <w:color w:val="000000"/>
                <w:sz w:val="20"/>
                <w:szCs w:val="20"/>
                <w:lang w:eastAsia="en-NZ"/>
              </w:rPr>
            </w:pPr>
            <w:r w:rsidRPr="001244BB">
              <w:rPr>
                <w:rFonts w:eastAsia="Times New Roman" w:cstheme="minorHAnsi"/>
                <w:color w:val="000000"/>
                <w:sz w:val="20"/>
                <w:szCs w:val="20"/>
                <w:lang w:eastAsia="en-NZ"/>
              </w:rPr>
              <w:t>New</w:t>
            </w:r>
          </w:p>
        </w:tc>
        <w:tc>
          <w:tcPr>
            <w:tcW w:w="1276" w:type="dxa"/>
            <w:tcBorders>
              <w:top w:val="single" w:sz="8" w:space="0" w:color="00B050"/>
              <w:left w:val="single" w:sz="4" w:space="0" w:color="00B050"/>
              <w:bottom w:val="single" w:sz="4" w:space="0" w:color="00B050"/>
              <w:right w:val="single" w:sz="4" w:space="0" w:color="00B050"/>
            </w:tcBorders>
            <w:shd w:val="clear" w:color="auto" w:fill="FFFFFF" w:themeFill="background1"/>
            <w:noWrap/>
            <w:hideMark/>
          </w:tcPr>
          <w:p w:rsidR="00030337" w:rsidRPr="001244BB" w:rsidRDefault="00030337" w:rsidP="00030337">
            <w:pPr>
              <w:spacing w:after="0" w:line="240" w:lineRule="auto"/>
              <w:jc w:val="right"/>
              <w:rPr>
                <w:rFonts w:eastAsia="Times New Roman" w:cstheme="minorHAnsi"/>
                <w:color w:val="000000"/>
                <w:sz w:val="20"/>
                <w:szCs w:val="20"/>
                <w:lang w:eastAsia="en-NZ"/>
              </w:rPr>
            </w:pPr>
            <w:r w:rsidRPr="001244BB">
              <w:rPr>
                <w:rFonts w:eastAsia="Times New Roman" w:cstheme="minorHAnsi"/>
                <w:color w:val="000000"/>
                <w:sz w:val="20"/>
                <w:szCs w:val="20"/>
                <w:lang w:eastAsia="en-NZ"/>
              </w:rPr>
              <w:t>$778,119</w:t>
            </w:r>
          </w:p>
        </w:tc>
        <w:tc>
          <w:tcPr>
            <w:tcW w:w="1134" w:type="dxa"/>
            <w:tcBorders>
              <w:top w:val="single" w:sz="8" w:space="0" w:color="00B050"/>
              <w:left w:val="single" w:sz="4" w:space="0" w:color="00B050"/>
              <w:bottom w:val="single" w:sz="4" w:space="0" w:color="00B050"/>
              <w:right w:val="single" w:sz="4" w:space="0" w:color="00B050"/>
            </w:tcBorders>
            <w:shd w:val="clear" w:color="000000" w:fill="D9D9D9"/>
            <w:hideMark/>
          </w:tcPr>
          <w:p w:rsidR="00030337" w:rsidRPr="001244BB" w:rsidRDefault="00030337" w:rsidP="00030337">
            <w:pPr>
              <w:spacing w:after="0" w:line="240" w:lineRule="auto"/>
              <w:jc w:val="right"/>
              <w:rPr>
                <w:rFonts w:eastAsia="Times New Roman" w:cstheme="minorHAnsi"/>
                <w:color w:val="000000"/>
                <w:sz w:val="20"/>
                <w:szCs w:val="20"/>
                <w:lang w:eastAsia="en-NZ"/>
              </w:rPr>
            </w:pPr>
            <w:r w:rsidRPr="001244BB">
              <w:rPr>
                <w:rFonts w:eastAsia="Times New Roman" w:cstheme="minorHAnsi"/>
                <w:color w:val="000000"/>
                <w:sz w:val="20"/>
                <w:szCs w:val="20"/>
                <w:lang w:eastAsia="en-NZ"/>
              </w:rPr>
              <w:t>$324,000</w:t>
            </w:r>
          </w:p>
        </w:tc>
        <w:tc>
          <w:tcPr>
            <w:tcW w:w="851" w:type="dxa"/>
            <w:tcBorders>
              <w:top w:val="single" w:sz="8" w:space="0" w:color="00B050"/>
              <w:left w:val="single" w:sz="4" w:space="0" w:color="00B050"/>
              <w:bottom w:val="single" w:sz="4" w:space="0" w:color="00B050"/>
              <w:right w:val="single" w:sz="4" w:space="0" w:color="00B050"/>
            </w:tcBorders>
            <w:shd w:val="clear" w:color="auto" w:fill="auto"/>
            <w:hideMark/>
          </w:tcPr>
          <w:p w:rsidR="00030337" w:rsidRPr="001244BB" w:rsidRDefault="00030337" w:rsidP="00030337">
            <w:pPr>
              <w:spacing w:after="0" w:line="240" w:lineRule="auto"/>
              <w:jc w:val="right"/>
              <w:rPr>
                <w:rFonts w:eastAsia="Times New Roman" w:cstheme="minorHAnsi"/>
                <w:color w:val="000000"/>
                <w:sz w:val="20"/>
                <w:szCs w:val="20"/>
                <w:lang w:eastAsia="en-NZ"/>
              </w:rPr>
            </w:pPr>
            <w:r w:rsidRPr="001244BB">
              <w:rPr>
                <w:rFonts w:eastAsia="Times New Roman" w:cstheme="minorHAnsi"/>
                <w:color w:val="000000"/>
                <w:sz w:val="20"/>
                <w:szCs w:val="20"/>
                <w:lang w:eastAsia="en-NZ"/>
              </w:rPr>
              <w:t>140</w:t>
            </w:r>
          </w:p>
        </w:tc>
        <w:tc>
          <w:tcPr>
            <w:tcW w:w="1134" w:type="dxa"/>
            <w:tcBorders>
              <w:top w:val="single" w:sz="8" w:space="0" w:color="00B050"/>
              <w:left w:val="single" w:sz="4" w:space="0" w:color="00B050"/>
              <w:bottom w:val="single" w:sz="4" w:space="0" w:color="00B050"/>
              <w:right w:val="single" w:sz="4" w:space="0" w:color="00B050"/>
            </w:tcBorders>
            <w:shd w:val="clear" w:color="auto" w:fill="auto"/>
            <w:hideMark/>
          </w:tcPr>
          <w:p w:rsidR="00030337" w:rsidRPr="001244BB" w:rsidRDefault="00030337" w:rsidP="00030337">
            <w:pPr>
              <w:spacing w:after="0" w:line="240" w:lineRule="auto"/>
              <w:jc w:val="right"/>
              <w:rPr>
                <w:rFonts w:eastAsia="Times New Roman" w:cstheme="minorHAnsi"/>
                <w:color w:val="000000"/>
                <w:sz w:val="20"/>
                <w:szCs w:val="20"/>
                <w:lang w:eastAsia="en-NZ"/>
              </w:rPr>
            </w:pPr>
            <w:r w:rsidRPr="001244BB">
              <w:rPr>
                <w:rFonts w:eastAsia="Times New Roman" w:cstheme="minorHAnsi"/>
                <w:color w:val="000000"/>
                <w:sz w:val="20"/>
                <w:szCs w:val="20"/>
                <w:lang w:eastAsia="en-NZ"/>
              </w:rPr>
              <w:t>exceeded</w:t>
            </w:r>
          </w:p>
        </w:tc>
        <w:tc>
          <w:tcPr>
            <w:tcW w:w="4635" w:type="dxa"/>
            <w:tcBorders>
              <w:top w:val="single" w:sz="4" w:space="0" w:color="00B050"/>
              <w:left w:val="single" w:sz="4" w:space="0" w:color="00B050"/>
              <w:bottom w:val="single" w:sz="4" w:space="0" w:color="00B050"/>
              <w:right w:val="nil"/>
            </w:tcBorders>
            <w:shd w:val="clear" w:color="auto" w:fill="auto"/>
          </w:tcPr>
          <w:p w:rsidR="00030337" w:rsidRPr="001244BB" w:rsidRDefault="00030337" w:rsidP="008509B9">
            <w:pPr>
              <w:spacing w:line="240" w:lineRule="auto"/>
              <w:rPr>
                <w:rFonts w:cstheme="minorHAnsi"/>
                <w:color w:val="000000"/>
                <w:sz w:val="20"/>
                <w:szCs w:val="20"/>
              </w:rPr>
            </w:pPr>
            <w:r w:rsidRPr="001244BB">
              <w:rPr>
                <w:rFonts w:cstheme="minorHAnsi"/>
                <w:color w:val="000000"/>
                <w:sz w:val="20"/>
                <w:szCs w:val="20"/>
              </w:rPr>
              <w:t xml:space="preserve">This is the </w:t>
            </w:r>
            <w:r w:rsidR="00145BEF">
              <w:rPr>
                <w:rFonts w:cstheme="minorHAnsi"/>
                <w:color w:val="000000"/>
                <w:sz w:val="20"/>
                <w:szCs w:val="20"/>
              </w:rPr>
              <w:t>fourth</w:t>
            </w:r>
            <w:r w:rsidR="00145BEF" w:rsidRPr="001244BB">
              <w:rPr>
                <w:rFonts w:cstheme="minorHAnsi"/>
                <w:color w:val="000000"/>
                <w:sz w:val="20"/>
                <w:szCs w:val="20"/>
              </w:rPr>
              <w:t xml:space="preserve"> </w:t>
            </w:r>
            <w:r w:rsidRPr="001244BB">
              <w:rPr>
                <w:rFonts w:cstheme="minorHAnsi"/>
                <w:color w:val="000000"/>
                <w:sz w:val="20"/>
                <w:szCs w:val="20"/>
              </w:rPr>
              <w:t xml:space="preserve">consecutive year with a net operating surplus, </w:t>
            </w:r>
            <w:r w:rsidR="008509B9">
              <w:rPr>
                <w:rFonts w:cstheme="minorHAnsi"/>
                <w:color w:val="000000"/>
                <w:sz w:val="20"/>
                <w:szCs w:val="20"/>
              </w:rPr>
              <w:t xml:space="preserve">this includes </w:t>
            </w:r>
            <w:proofErr w:type="gramStart"/>
            <w:r w:rsidR="008509B9">
              <w:rPr>
                <w:rFonts w:cstheme="minorHAnsi"/>
                <w:color w:val="000000"/>
                <w:sz w:val="20"/>
                <w:szCs w:val="20"/>
              </w:rPr>
              <w:t xml:space="preserve">an </w:t>
            </w:r>
            <w:r w:rsidR="008509B9" w:rsidRPr="001244BB">
              <w:rPr>
                <w:rFonts w:cstheme="minorHAnsi"/>
                <w:color w:val="000000"/>
                <w:sz w:val="20"/>
                <w:szCs w:val="20"/>
              </w:rPr>
              <w:t xml:space="preserve"> </w:t>
            </w:r>
            <w:r w:rsidRPr="001244BB">
              <w:rPr>
                <w:rFonts w:cstheme="minorHAnsi"/>
                <w:color w:val="000000"/>
                <w:sz w:val="20"/>
                <w:szCs w:val="20"/>
              </w:rPr>
              <w:t>2018</w:t>
            </w:r>
            <w:proofErr w:type="gramEnd"/>
            <w:r w:rsidRPr="001244BB">
              <w:rPr>
                <w:rFonts w:cstheme="minorHAnsi"/>
                <w:color w:val="000000"/>
                <w:sz w:val="20"/>
                <w:szCs w:val="20"/>
              </w:rPr>
              <w:t>/19 extraordinary item relates to $700,000 of funding received from Peter Eastwood for the Tanglewood House build.</w:t>
            </w:r>
          </w:p>
        </w:tc>
      </w:tr>
      <w:tr w:rsidR="00030337" w:rsidRPr="001244BB" w:rsidTr="00030337">
        <w:trPr>
          <w:trHeight w:val="255"/>
        </w:trPr>
        <w:tc>
          <w:tcPr>
            <w:tcW w:w="14984" w:type="dxa"/>
            <w:gridSpan w:val="9"/>
            <w:tcBorders>
              <w:top w:val="nil"/>
              <w:left w:val="nil"/>
              <w:bottom w:val="nil"/>
              <w:right w:val="nil"/>
            </w:tcBorders>
            <w:shd w:val="clear" w:color="auto" w:fill="auto"/>
            <w:noWrap/>
            <w:hideMark/>
          </w:tcPr>
          <w:p w:rsidR="00030337" w:rsidRPr="001244BB" w:rsidRDefault="00030337" w:rsidP="00030337">
            <w:pPr>
              <w:spacing w:after="0" w:line="240" w:lineRule="auto"/>
              <w:rPr>
                <w:rFonts w:eastAsia="Times New Roman" w:cstheme="minorHAnsi"/>
                <w:color w:val="000000"/>
                <w:sz w:val="20"/>
                <w:szCs w:val="20"/>
                <w:lang w:eastAsia="en-NZ"/>
              </w:rPr>
            </w:pPr>
            <w:r w:rsidRPr="001244BB">
              <w:rPr>
                <w:rFonts w:eastAsia="Times New Roman" w:cstheme="minorHAnsi"/>
                <w:color w:val="000000"/>
                <w:sz w:val="20"/>
                <w:szCs w:val="20"/>
                <w:lang w:eastAsia="en-NZ"/>
              </w:rPr>
              <w:t>* = Mandatory measures</w:t>
            </w:r>
          </w:p>
        </w:tc>
      </w:tr>
    </w:tbl>
    <w:p w:rsidR="00135A2C" w:rsidRPr="00D5126A" w:rsidRDefault="00135A2C" w:rsidP="00030337">
      <w:pPr>
        <w:rPr>
          <w:rStyle w:val="00Text"/>
        </w:rPr>
      </w:pPr>
    </w:p>
    <w:p w:rsidR="00135A2C" w:rsidRPr="00D5126A" w:rsidRDefault="00135A2C" w:rsidP="00030337">
      <w:pPr>
        <w:rPr>
          <w:rStyle w:val="00Text"/>
          <w:rFonts w:ascii="Arial" w:eastAsiaTheme="majorEastAsia" w:hAnsi="Arial" w:cs="Arial"/>
          <w:b w:val="0"/>
          <w:bCs w:val="0"/>
          <w:i/>
          <w:iCs/>
          <w:color w:val="4F81BD" w:themeColor="accent1"/>
          <w:sz w:val="28"/>
        </w:rPr>
      </w:pPr>
      <w:r w:rsidRPr="00D5126A">
        <w:rPr>
          <w:rStyle w:val="00Text"/>
        </w:rPr>
        <w:br w:type="page"/>
      </w:r>
    </w:p>
    <w:p w:rsidR="00135A2C" w:rsidRPr="00D5126A" w:rsidRDefault="0083006D" w:rsidP="00135A2C">
      <w:pPr>
        <w:pStyle w:val="Heading4"/>
      </w:pPr>
      <w:r>
        <w:lastRenderedPageBreak/>
        <w:t xml:space="preserve">Supplementary </w:t>
      </w:r>
      <w:r w:rsidR="00C15E48">
        <w:t>p</w:t>
      </w:r>
      <w:r>
        <w:t xml:space="preserve">erformance </w:t>
      </w:r>
      <w:r w:rsidR="00C15E48">
        <w:t>t</w:t>
      </w:r>
      <w:r>
        <w:t>ables</w:t>
      </w:r>
      <w:r w:rsidR="00135A2C" w:rsidRPr="00D5126A">
        <w:t xml:space="preserve"> </w:t>
      </w:r>
    </w:p>
    <w:p w:rsidR="00030337" w:rsidRPr="003E2BF3" w:rsidRDefault="00030337" w:rsidP="002C7BF8">
      <w:pPr>
        <w:pStyle w:val="ListParagraph"/>
        <w:numPr>
          <w:ilvl w:val="0"/>
          <w:numId w:val="61"/>
        </w:numPr>
        <w:spacing w:after="0"/>
        <w:rPr>
          <w:b/>
        </w:rPr>
      </w:pPr>
      <w:r w:rsidRPr="003E2BF3">
        <w:rPr>
          <w:b/>
        </w:rPr>
        <w:t>Residents’ self-reported use of the city’s open spaces</w:t>
      </w:r>
      <w:r w:rsidRPr="003E2BF3">
        <w:rPr>
          <w:b/>
        </w:rPr>
        <w:tab/>
      </w:r>
      <w:r w:rsidRPr="003E2BF3">
        <w:rPr>
          <w:b/>
        </w:rPr>
        <w:tab/>
      </w:r>
      <w:r w:rsidRPr="003E2BF3">
        <w:rPr>
          <w:b/>
        </w:rPr>
        <w:tab/>
      </w:r>
      <w:r w:rsidRPr="003E2BF3">
        <w:rPr>
          <w:b/>
        </w:rPr>
        <w:tab/>
      </w:r>
    </w:p>
    <w:p w:rsidR="00030337" w:rsidRDefault="00030337" w:rsidP="003E2BF3">
      <w:pPr>
        <w:spacing w:after="0"/>
        <w:ind w:left="709"/>
        <w:rPr>
          <w:rFonts w:cstheme="minorHAnsi"/>
        </w:rPr>
      </w:pPr>
      <w:r w:rsidRPr="009F1DE5">
        <w:rPr>
          <w:rFonts w:cstheme="minorHAnsi"/>
        </w:rPr>
        <w:t>The result published (98%) is all residents who did NOT state "never in last 12 months" to use of city's open spaces</w:t>
      </w:r>
      <w:r>
        <w:rPr>
          <w:rFonts w:cstheme="minorHAnsi"/>
        </w:rPr>
        <w:t>.</w:t>
      </w:r>
    </w:p>
    <w:p w:rsidR="00030337" w:rsidRPr="00030337" w:rsidRDefault="00030337" w:rsidP="003E2BF3">
      <w:pPr>
        <w:spacing w:after="0"/>
        <w:ind w:left="426"/>
        <w:rPr>
          <w:rFonts w:cstheme="minorHAnsi"/>
          <w:b/>
        </w:rPr>
      </w:pPr>
      <w:r>
        <w:rPr>
          <w:rFonts w:cstheme="minorHAnsi"/>
          <w:b/>
        </w:rPr>
        <w:t xml:space="preserve">Question: </w:t>
      </w:r>
      <w:r w:rsidRPr="00030337">
        <w:rPr>
          <w:rFonts w:cstheme="minorHAnsi"/>
          <w:b/>
        </w:rPr>
        <w:t>In the last twelve months, how often on average have you used...?</w:t>
      </w:r>
    </w:p>
    <w:tbl>
      <w:tblPr>
        <w:tblStyle w:val="TableGrid"/>
        <w:tblW w:w="14601" w:type="dxa"/>
        <w:tblInd w:w="-318" w:type="dxa"/>
        <w:tblLayout w:type="fixed"/>
        <w:tblLook w:val="04A0" w:firstRow="1" w:lastRow="0" w:firstColumn="1" w:lastColumn="0" w:noHBand="0" w:noVBand="1"/>
      </w:tblPr>
      <w:tblGrid>
        <w:gridCol w:w="2553"/>
        <w:gridCol w:w="1417"/>
        <w:gridCol w:w="992"/>
        <w:gridCol w:w="1134"/>
        <w:gridCol w:w="1134"/>
        <w:gridCol w:w="1134"/>
        <w:gridCol w:w="1276"/>
        <w:gridCol w:w="1134"/>
        <w:gridCol w:w="1464"/>
        <w:gridCol w:w="1181"/>
        <w:gridCol w:w="1182"/>
      </w:tblGrid>
      <w:tr w:rsidR="00030337" w:rsidRPr="00467C27" w:rsidTr="00030337">
        <w:trPr>
          <w:trHeight w:val="552"/>
          <w:tblHeader/>
        </w:trPr>
        <w:tc>
          <w:tcPr>
            <w:tcW w:w="3970" w:type="dxa"/>
            <w:gridSpan w:val="2"/>
            <w:tcBorders>
              <w:top w:val="single" w:sz="4" w:space="0" w:color="00B050"/>
              <w:left w:val="nil"/>
              <w:bottom w:val="single" w:sz="4" w:space="0" w:color="00B050"/>
              <w:right w:val="single" w:sz="4" w:space="0" w:color="FFFFFF" w:themeColor="background1"/>
            </w:tcBorders>
            <w:shd w:val="clear" w:color="auto" w:fill="00B050"/>
          </w:tcPr>
          <w:p w:rsidR="00030337" w:rsidRPr="00467C27" w:rsidRDefault="00030337" w:rsidP="00030337">
            <w:pPr>
              <w:pStyle w:val="Heading4"/>
              <w:spacing w:before="0"/>
              <w:outlineLvl w:val="3"/>
              <w:rPr>
                <w:rFonts w:asciiTheme="minorHAnsi" w:hAnsiTheme="minorHAnsi" w:cstheme="minorHAnsi"/>
                <w:b w:val="0"/>
                <w:color w:val="auto"/>
                <w:sz w:val="22"/>
              </w:rPr>
            </w:pPr>
          </w:p>
        </w:tc>
        <w:tc>
          <w:tcPr>
            <w:tcW w:w="992" w:type="dxa"/>
            <w:tcBorders>
              <w:top w:val="single" w:sz="4" w:space="0" w:color="00B050"/>
              <w:left w:val="single" w:sz="4" w:space="0" w:color="FFFFFF" w:themeColor="background1"/>
              <w:bottom w:val="single" w:sz="4" w:space="0" w:color="00B050"/>
              <w:right w:val="single" w:sz="4" w:space="0" w:color="FFFFFF" w:themeColor="background1"/>
            </w:tcBorders>
            <w:shd w:val="clear" w:color="auto" w:fill="00B050"/>
            <w:noWrap/>
            <w:vAlign w:val="bottom"/>
          </w:tcPr>
          <w:p w:rsidR="00030337" w:rsidRPr="00030337" w:rsidRDefault="00030337" w:rsidP="00030337">
            <w:pPr>
              <w:pStyle w:val="Heading4"/>
              <w:spacing w:before="0"/>
              <w:jc w:val="center"/>
              <w:outlineLvl w:val="3"/>
              <w:rPr>
                <w:rFonts w:asciiTheme="minorHAnsi" w:hAnsiTheme="minorHAnsi" w:cstheme="minorHAnsi"/>
                <w:color w:val="FFFFFF" w:themeColor="background1"/>
                <w:sz w:val="22"/>
              </w:rPr>
            </w:pPr>
            <w:r w:rsidRPr="00030337">
              <w:rPr>
                <w:rFonts w:asciiTheme="minorHAnsi" w:hAnsiTheme="minorHAnsi" w:cstheme="minorHAnsi"/>
                <w:color w:val="FFFFFF" w:themeColor="background1"/>
                <w:sz w:val="22"/>
              </w:rPr>
              <w:t>Most days</w:t>
            </w:r>
          </w:p>
        </w:tc>
        <w:tc>
          <w:tcPr>
            <w:tcW w:w="1134" w:type="dxa"/>
            <w:tcBorders>
              <w:top w:val="single" w:sz="4" w:space="0" w:color="00B050"/>
              <w:left w:val="single" w:sz="4" w:space="0" w:color="FFFFFF" w:themeColor="background1"/>
              <w:bottom w:val="single" w:sz="4" w:space="0" w:color="00B050"/>
              <w:right w:val="single" w:sz="4" w:space="0" w:color="FFFFFF" w:themeColor="background1"/>
            </w:tcBorders>
            <w:shd w:val="clear" w:color="auto" w:fill="00B050"/>
            <w:noWrap/>
            <w:vAlign w:val="bottom"/>
          </w:tcPr>
          <w:p w:rsidR="00030337" w:rsidRPr="00030337" w:rsidRDefault="00030337" w:rsidP="00030337">
            <w:pPr>
              <w:pStyle w:val="Heading4"/>
              <w:spacing w:before="0"/>
              <w:jc w:val="center"/>
              <w:outlineLvl w:val="3"/>
              <w:rPr>
                <w:rFonts w:asciiTheme="minorHAnsi" w:hAnsiTheme="minorHAnsi" w:cstheme="minorHAnsi"/>
                <w:color w:val="FFFFFF" w:themeColor="background1"/>
                <w:sz w:val="22"/>
              </w:rPr>
            </w:pPr>
            <w:r w:rsidRPr="00030337">
              <w:rPr>
                <w:rFonts w:asciiTheme="minorHAnsi" w:hAnsiTheme="minorHAnsi" w:cstheme="minorHAnsi"/>
                <w:color w:val="FFFFFF" w:themeColor="background1"/>
                <w:sz w:val="22"/>
              </w:rPr>
              <w:t>Once or twice a week</w:t>
            </w:r>
          </w:p>
        </w:tc>
        <w:tc>
          <w:tcPr>
            <w:tcW w:w="1134" w:type="dxa"/>
            <w:tcBorders>
              <w:top w:val="single" w:sz="4" w:space="0" w:color="00B050"/>
              <w:left w:val="single" w:sz="4" w:space="0" w:color="FFFFFF" w:themeColor="background1"/>
              <w:bottom w:val="single" w:sz="4" w:space="0" w:color="00B050"/>
              <w:right w:val="single" w:sz="4" w:space="0" w:color="FFFFFF" w:themeColor="background1"/>
            </w:tcBorders>
            <w:shd w:val="clear" w:color="auto" w:fill="00B050"/>
            <w:noWrap/>
            <w:vAlign w:val="bottom"/>
          </w:tcPr>
          <w:p w:rsidR="00030337" w:rsidRPr="00030337" w:rsidRDefault="00030337" w:rsidP="00030337">
            <w:pPr>
              <w:pStyle w:val="Heading4"/>
              <w:spacing w:before="0"/>
              <w:jc w:val="center"/>
              <w:outlineLvl w:val="3"/>
              <w:rPr>
                <w:rFonts w:asciiTheme="minorHAnsi" w:hAnsiTheme="minorHAnsi" w:cstheme="minorHAnsi"/>
                <w:color w:val="FFFFFF" w:themeColor="background1"/>
                <w:sz w:val="22"/>
              </w:rPr>
            </w:pPr>
            <w:r w:rsidRPr="00030337">
              <w:rPr>
                <w:rFonts w:asciiTheme="minorHAnsi" w:hAnsiTheme="minorHAnsi" w:cstheme="minorHAnsi"/>
                <w:color w:val="FFFFFF" w:themeColor="background1"/>
                <w:sz w:val="22"/>
              </w:rPr>
              <w:t>Once every 2-3 weeks</w:t>
            </w:r>
          </w:p>
        </w:tc>
        <w:tc>
          <w:tcPr>
            <w:tcW w:w="1134" w:type="dxa"/>
            <w:tcBorders>
              <w:top w:val="single" w:sz="4" w:space="0" w:color="00B050"/>
              <w:left w:val="single" w:sz="4" w:space="0" w:color="FFFFFF" w:themeColor="background1"/>
              <w:bottom w:val="single" w:sz="4" w:space="0" w:color="00B050"/>
              <w:right w:val="single" w:sz="4" w:space="0" w:color="FFFFFF" w:themeColor="background1"/>
            </w:tcBorders>
            <w:shd w:val="clear" w:color="auto" w:fill="00B050"/>
            <w:noWrap/>
            <w:vAlign w:val="bottom"/>
          </w:tcPr>
          <w:p w:rsidR="00030337" w:rsidRPr="00030337" w:rsidRDefault="00030337" w:rsidP="00030337">
            <w:pPr>
              <w:pStyle w:val="Heading4"/>
              <w:spacing w:before="0"/>
              <w:jc w:val="center"/>
              <w:outlineLvl w:val="3"/>
              <w:rPr>
                <w:rFonts w:asciiTheme="minorHAnsi" w:hAnsiTheme="minorHAnsi" w:cstheme="minorHAnsi"/>
                <w:color w:val="FFFFFF" w:themeColor="background1"/>
                <w:sz w:val="22"/>
              </w:rPr>
            </w:pPr>
            <w:r w:rsidRPr="00030337">
              <w:rPr>
                <w:rFonts w:asciiTheme="minorHAnsi" w:hAnsiTheme="minorHAnsi" w:cstheme="minorHAnsi"/>
                <w:color w:val="FFFFFF" w:themeColor="background1"/>
                <w:sz w:val="22"/>
              </w:rPr>
              <w:t>Once a month</w:t>
            </w:r>
          </w:p>
        </w:tc>
        <w:tc>
          <w:tcPr>
            <w:tcW w:w="1276" w:type="dxa"/>
            <w:tcBorders>
              <w:top w:val="single" w:sz="4" w:space="0" w:color="00B050"/>
              <w:left w:val="single" w:sz="4" w:space="0" w:color="FFFFFF" w:themeColor="background1"/>
              <w:bottom w:val="single" w:sz="4" w:space="0" w:color="00B050"/>
              <w:right w:val="single" w:sz="4" w:space="0" w:color="FFFFFF" w:themeColor="background1"/>
            </w:tcBorders>
            <w:shd w:val="clear" w:color="auto" w:fill="00B050"/>
            <w:noWrap/>
            <w:vAlign w:val="bottom"/>
          </w:tcPr>
          <w:p w:rsidR="00030337" w:rsidRPr="00030337" w:rsidRDefault="00030337" w:rsidP="00030337">
            <w:pPr>
              <w:pStyle w:val="Heading4"/>
              <w:spacing w:before="0"/>
              <w:jc w:val="center"/>
              <w:outlineLvl w:val="3"/>
              <w:rPr>
                <w:rFonts w:asciiTheme="minorHAnsi" w:hAnsiTheme="minorHAnsi" w:cstheme="minorHAnsi"/>
                <w:color w:val="FFFFFF" w:themeColor="background1"/>
                <w:sz w:val="22"/>
              </w:rPr>
            </w:pPr>
            <w:r w:rsidRPr="00030337">
              <w:rPr>
                <w:rFonts w:asciiTheme="minorHAnsi" w:hAnsiTheme="minorHAnsi" w:cstheme="minorHAnsi"/>
                <w:color w:val="FFFFFF" w:themeColor="background1"/>
                <w:sz w:val="22"/>
              </w:rPr>
              <w:t>Once every 2-3 months</w:t>
            </w:r>
          </w:p>
        </w:tc>
        <w:tc>
          <w:tcPr>
            <w:tcW w:w="1134" w:type="dxa"/>
            <w:tcBorders>
              <w:top w:val="single" w:sz="4" w:space="0" w:color="00B050"/>
              <w:left w:val="single" w:sz="4" w:space="0" w:color="FFFFFF" w:themeColor="background1"/>
              <w:bottom w:val="single" w:sz="4" w:space="0" w:color="00B050"/>
              <w:right w:val="single" w:sz="4" w:space="0" w:color="FFFFFF" w:themeColor="background1"/>
            </w:tcBorders>
            <w:shd w:val="clear" w:color="auto" w:fill="00B050"/>
            <w:noWrap/>
            <w:vAlign w:val="bottom"/>
          </w:tcPr>
          <w:p w:rsidR="00030337" w:rsidRPr="00030337" w:rsidRDefault="00030337" w:rsidP="00030337">
            <w:pPr>
              <w:pStyle w:val="Heading4"/>
              <w:spacing w:before="0"/>
              <w:jc w:val="center"/>
              <w:outlineLvl w:val="3"/>
              <w:rPr>
                <w:rFonts w:asciiTheme="minorHAnsi" w:hAnsiTheme="minorHAnsi" w:cstheme="minorHAnsi"/>
                <w:color w:val="FFFFFF" w:themeColor="background1"/>
                <w:sz w:val="22"/>
              </w:rPr>
            </w:pPr>
            <w:r w:rsidRPr="00030337">
              <w:rPr>
                <w:rFonts w:asciiTheme="minorHAnsi" w:hAnsiTheme="minorHAnsi" w:cstheme="minorHAnsi"/>
                <w:color w:val="FFFFFF" w:themeColor="background1"/>
                <w:sz w:val="22"/>
              </w:rPr>
              <w:t>Once every 4-5 months</w:t>
            </w:r>
          </w:p>
        </w:tc>
        <w:tc>
          <w:tcPr>
            <w:tcW w:w="1464" w:type="dxa"/>
            <w:tcBorders>
              <w:top w:val="single" w:sz="4" w:space="0" w:color="00B050"/>
              <w:left w:val="single" w:sz="4" w:space="0" w:color="FFFFFF" w:themeColor="background1"/>
              <w:bottom w:val="single" w:sz="4" w:space="0" w:color="00B050"/>
              <w:right w:val="single" w:sz="4" w:space="0" w:color="FFFFFF" w:themeColor="background1"/>
            </w:tcBorders>
            <w:shd w:val="clear" w:color="auto" w:fill="00B050"/>
            <w:noWrap/>
            <w:vAlign w:val="bottom"/>
          </w:tcPr>
          <w:p w:rsidR="00030337" w:rsidRPr="00030337" w:rsidRDefault="00030337" w:rsidP="00030337">
            <w:pPr>
              <w:pStyle w:val="Heading4"/>
              <w:spacing w:before="0"/>
              <w:jc w:val="center"/>
              <w:outlineLvl w:val="3"/>
              <w:rPr>
                <w:rFonts w:asciiTheme="minorHAnsi" w:hAnsiTheme="minorHAnsi" w:cstheme="minorHAnsi"/>
                <w:color w:val="FFFFFF" w:themeColor="background1"/>
                <w:sz w:val="22"/>
              </w:rPr>
            </w:pPr>
            <w:r w:rsidRPr="00030337">
              <w:rPr>
                <w:rFonts w:asciiTheme="minorHAnsi" w:hAnsiTheme="minorHAnsi" w:cstheme="minorHAnsi"/>
                <w:color w:val="FFFFFF" w:themeColor="background1"/>
                <w:sz w:val="22"/>
              </w:rPr>
              <w:t>Once every 6 months or less often</w:t>
            </w:r>
          </w:p>
        </w:tc>
        <w:tc>
          <w:tcPr>
            <w:tcW w:w="1181" w:type="dxa"/>
            <w:tcBorders>
              <w:top w:val="single" w:sz="4" w:space="0" w:color="00B050"/>
              <w:left w:val="single" w:sz="4" w:space="0" w:color="FFFFFF" w:themeColor="background1"/>
              <w:bottom w:val="single" w:sz="4" w:space="0" w:color="00B050"/>
              <w:right w:val="single" w:sz="4" w:space="0" w:color="FFFFFF" w:themeColor="background1"/>
            </w:tcBorders>
            <w:shd w:val="clear" w:color="auto" w:fill="00B050"/>
            <w:noWrap/>
            <w:vAlign w:val="bottom"/>
          </w:tcPr>
          <w:p w:rsidR="00030337" w:rsidRPr="00030337" w:rsidRDefault="00030337" w:rsidP="00030337">
            <w:pPr>
              <w:pStyle w:val="Heading4"/>
              <w:spacing w:before="0"/>
              <w:jc w:val="center"/>
              <w:outlineLvl w:val="3"/>
              <w:rPr>
                <w:rFonts w:asciiTheme="minorHAnsi" w:hAnsiTheme="minorHAnsi" w:cstheme="minorHAnsi"/>
                <w:color w:val="FFFFFF" w:themeColor="background1"/>
                <w:sz w:val="22"/>
              </w:rPr>
            </w:pPr>
            <w:r w:rsidRPr="00030337">
              <w:rPr>
                <w:rFonts w:asciiTheme="minorHAnsi" w:hAnsiTheme="minorHAnsi" w:cstheme="minorHAnsi"/>
                <w:color w:val="FFFFFF" w:themeColor="background1"/>
                <w:sz w:val="22"/>
              </w:rPr>
              <w:t>Never in the last 12 months</w:t>
            </w:r>
          </w:p>
        </w:tc>
        <w:tc>
          <w:tcPr>
            <w:tcW w:w="1182" w:type="dxa"/>
            <w:tcBorders>
              <w:top w:val="single" w:sz="4" w:space="0" w:color="00B050"/>
              <w:left w:val="single" w:sz="4" w:space="0" w:color="FFFFFF" w:themeColor="background1"/>
              <w:bottom w:val="single" w:sz="4" w:space="0" w:color="00B050"/>
              <w:right w:val="nil"/>
            </w:tcBorders>
            <w:shd w:val="clear" w:color="auto" w:fill="00B050"/>
            <w:noWrap/>
            <w:vAlign w:val="bottom"/>
          </w:tcPr>
          <w:p w:rsidR="00030337" w:rsidRPr="00030337" w:rsidRDefault="00030337" w:rsidP="00030337">
            <w:pPr>
              <w:pStyle w:val="Heading4"/>
              <w:spacing w:before="0"/>
              <w:jc w:val="center"/>
              <w:outlineLvl w:val="3"/>
              <w:rPr>
                <w:rFonts w:asciiTheme="minorHAnsi" w:hAnsiTheme="minorHAnsi" w:cstheme="minorHAnsi"/>
                <w:color w:val="FFFFFF" w:themeColor="background1"/>
                <w:sz w:val="22"/>
              </w:rPr>
            </w:pPr>
            <w:r w:rsidRPr="00030337">
              <w:rPr>
                <w:rFonts w:asciiTheme="minorHAnsi" w:hAnsiTheme="minorHAnsi" w:cstheme="minorHAnsi"/>
                <w:color w:val="FFFFFF" w:themeColor="background1"/>
                <w:sz w:val="22"/>
              </w:rPr>
              <w:t>Reported Measure - at least yearly</w:t>
            </w:r>
          </w:p>
        </w:tc>
      </w:tr>
      <w:tr w:rsidR="00030337" w:rsidRPr="00467C27" w:rsidTr="00030337">
        <w:trPr>
          <w:trHeight w:val="277"/>
        </w:trPr>
        <w:tc>
          <w:tcPr>
            <w:tcW w:w="2553" w:type="dxa"/>
            <w:vMerge w:val="restart"/>
            <w:tcBorders>
              <w:top w:val="single" w:sz="4" w:space="0" w:color="00B050"/>
              <w:left w:val="nil"/>
              <w:bottom w:val="single" w:sz="4" w:space="0" w:color="00B050"/>
              <w:right w:val="single" w:sz="4" w:space="0" w:color="00B050"/>
            </w:tcBorders>
            <w:hideMark/>
          </w:tcPr>
          <w:p w:rsidR="00030337" w:rsidRPr="00A622BE" w:rsidRDefault="00030337" w:rsidP="001635F7">
            <w:pPr>
              <w:pStyle w:val="Heading4"/>
              <w:spacing w:before="0"/>
              <w:outlineLvl w:val="3"/>
              <w:rPr>
                <w:rFonts w:asciiTheme="minorHAnsi" w:hAnsiTheme="minorHAnsi" w:cstheme="minorHAnsi"/>
                <w:color w:val="auto"/>
                <w:sz w:val="20"/>
                <w:szCs w:val="20"/>
              </w:rPr>
            </w:pPr>
            <w:r w:rsidRPr="00A622BE">
              <w:rPr>
                <w:rFonts w:asciiTheme="minorHAnsi" w:hAnsiTheme="minorHAnsi" w:cstheme="minorHAnsi"/>
                <w:color w:val="auto"/>
                <w:sz w:val="20"/>
                <w:szCs w:val="20"/>
              </w:rPr>
              <w:t>Wellington City's coastal areas or beaches</w:t>
            </w:r>
          </w:p>
        </w:tc>
        <w:tc>
          <w:tcPr>
            <w:tcW w:w="1417" w:type="dxa"/>
            <w:tcBorders>
              <w:top w:val="single" w:sz="4" w:space="0" w:color="00B050"/>
              <w:left w:val="single" w:sz="4" w:space="0" w:color="00B050"/>
              <w:bottom w:val="single" w:sz="4" w:space="0" w:color="00B050"/>
              <w:right w:val="single" w:sz="4" w:space="0" w:color="00B050"/>
            </w:tcBorders>
            <w:noWrap/>
            <w:hideMark/>
          </w:tcPr>
          <w:p w:rsidR="00030337" w:rsidRPr="00467C27" w:rsidRDefault="00030337" w:rsidP="00030337">
            <w:pPr>
              <w:pStyle w:val="Heading4"/>
              <w:spacing w:before="0"/>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2015 n=683</w:t>
            </w:r>
          </w:p>
        </w:tc>
        <w:tc>
          <w:tcPr>
            <w:tcW w:w="992" w:type="dxa"/>
            <w:tcBorders>
              <w:top w:val="single" w:sz="4" w:space="0" w:color="00B050"/>
              <w:left w:val="single" w:sz="4" w:space="0" w:color="00B050"/>
              <w:bottom w:val="single" w:sz="4" w:space="0" w:color="00B050"/>
              <w:right w:val="single" w:sz="4" w:space="0" w:color="00B050"/>
            </w:tcBorders>
            <w:noWrap/>
            <w:vAlign w:val="center"/>
            <w:hideMark/>
          </w:tcPr>
          <w:p w:rsidR="00030337" w:rsidRPr="00467C27" w:rsidRDefault="00030337" w:rsidP="00030337">
            <w:pPr>
              <w:pStyle w:val="Heading4"/>
              <w:spacing w:before="0"/>
              <w:jc w:val="center"/>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7%</w:t>
            </w:r>
          </w:p>
        </w:tc>
        <w:tc>
          <w:tcPr>
            <w:tcW w:w="1134" w:type="dxa"/>
            <w:tcBorders>
              <w:top w:val="single" w:sz="4" w:space="0" w:color="00B050"/>
              <w:left w:val="single" w:sz="4" w:space="0" w:color="00B050"/>
              <w:bottom w:val="single" w:sz="4" w:space="0" w:color="00B050"/>
              <w:right w:val="single" w:sz="4" w:space="0" w:color="00B050"/>
            </w:tcBorders>
            <w:noWrap/>
            <w:vAlign w:val="center"/>
            <w:hideMark/>
          </w:tcPr>
          <w:p w:rsidR="00030337" w:rsidRPr="00467C27" w:rsidRDefault="00030337" w:rsidP="00030337">
            <w:pPr>
              <w:pStyle w:val="Heading4"/>
              <w:spacing w:before="0"/>
              <w:jc w:val="center"/>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15%</w:t>
            </w:r>
          </w:p>
        </w:tc>
        <w:tc>
          <w:tcPr>
            <w:tcW w:w="1134" w:type="dxa"/>
            <w:tcBorders>
              <w:top w:val="single" w:sz="4" w:space="0" w:color="00B050"/>
              <w:left w:val="single" w:sz="4" w:space="0" w:color="00B050"/>
              <w:bottom w:val="single" w:sz="4" w:space="0" w:color="00B050"/>
              <w:right w:val="single" w:sz="4" w:space="0" w:color="00B050"/>
            </w:tcBorders>
            <w:noWrap/>
            <w:vAlign w:val="center"/>
            <w:hideMark/>
          </w:tcPr>
          <w:p w:rsidR="00030337" w:rsidRPr="00467C27" w:rsidRDefault="00030337" w:rsidP="00030337">
            <w:pPr>
              <w:pStyle w:val="Heading4"/>
              <w:spacing w:before="0"/>
              <w:jc w:val="center"/>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17%</w:t>
            </w:r>
          </w:p>
        </w:tc>
        <w:tc>
          <w:tcPr>
            <w:tcW w:w="1134" w:type="dxa"/>
            <w:tcBorders>
              <w:top w:val="single" w:sz="4" w:space="0" w:color="00B050"/>
              <w:left w:val="single" w:sz="4" w:space="0" w:color="00B050"/>
              <w:bottom w:val="single" w:sz="4" w:space="0" w:color="00B050"/>
              <w:right w:val="single" w:sz="4" w:space="0" w:color="00B050"/>
            </w:tcBorders>
            <w:noWrap/>
            <w:vAlign w:val="center"/>
            <w:hideMark/>
          </w:tcPr>
          <w:p w:rsidR="00030337" w:rsidRPr="00467C27" w:rsidRDefault="00030337" w:rsidP="00030337">
            <w:pPr>
              <w:pStyle w:val="Heading4"/>
              <w:spacing w:before="0"/>
              <w:jc w:val="center"/>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17%</w:t>
            </w:r>
          </w:p>
        </w:tc>
        <w:tc>
          <w:tcPr>
            <w:tcW w:w="1276" w:type="dxa"/>
            <w:tcBorders>
              <w:top w:val="single" w:sz="4" w:space="0" w:color="00B050"/>
              <w:left w:val="single" w:sz="4" w:space="0" w:color="00B050"/>
              <w:bottom w:val="single" w:sz="4" w:space="0" w:color="00B050"/>
              <w:right w:val="single" w:sz="4" w:space="0" w:color="00B050"/>
            </w:tcBorders>
            <w:noWrap/>
            <w:vAlign w:val="center"/>
            <w:hideMark/>
          </w:tcPr>
          <w:p w:rsidR="00030337" w:rsidRPr="00467C27" w:rsidRDefault="00030337" w:rsidP="00030337">
            <w:pPr>
              <w:pStyle w:val="Heading4"/>
              <w:spacing w:before="0"/>
              <w:jc w:val="center"/>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17%</w:t>
            </w:r>
          </w:p>
        </w:tc>
        <w:tc>
          <w:tcPr>
            <w:tcW w:w="1134" w:type="dxa"/>
            <w:tcBorders>
              <w:top w:val="single" w:sz="4" w:space="0" w:color="00B050"/>
              <w:left w:val="single" w:sz="4" w:space="0" w:color="00B050"/>
              <w:bottom w:val="single" w:sz="4" w:space="0" w:color="00B050"/>
              <w:right w:val="single" w:sz="4" w:space="0" w:color="00B050"/>
            </w:tcBorders>
            <w:noWrap/>
            <w:vAlign w:val="center"/>
            <w:hideMark/>
          </w:tcPr>
          <w:p w:rsidR="00030337" w:rsidRPr="00467C27" w:rsidRDefault="00030337" w:rsidP="00030337">
            <w:pPr>
              <w:pStyle w:val="Heading4"/>
              <w:spacing w:before="0"/>
              <w:jc w:val="center"/>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9%</w:t>
            </w:r>
          </w:p>
        </w:tc>
        <w:tc>
          <w:tcPr>
            <w:tcW w:w="1464" w:type="dxa"/>
            <w:tcBorders>
              <w:top w:val="single" w:sz="4" w:space="0" w:color="00B050"/>
              <w:left w:val="single" w:sz="4" w:space="0" w:color="00B050"/>
              <w:bottom w:val="single" w:sz="4" w:space="0" w:color="00B050"/>
              <w:right w:val="single" w:sz="4" w:space="0" w:color="00B050"/>
            </w:tcBorders>
            <w:noWrap/>
            <w:vAlign w:val="center"/>
            <w:hideMark/>
          </w:tcPr>
          <w:p w:rsidR="00030337" w:rsidRPr="00467C27" w:rsidRDefault="00030337" w:rsidP="00030337">
            <w:pPr>
              <w:pStyle w:val="Heading4"/>
              <w:spacing w:before="0"/>
              <w:jc w:val="center"/>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14%</w:t>
            </w:r>
          </w:p>
        </w:tc>
        <w:tc>
          <w:tcPr>
            <w:tcW w:w="1181" w:type="dxa"/>
            <w:tcBorders>
              <w:top w:val="single" w:sz="4" w:space="0" w:color="00B050"/>
              <w:left w:val="single" w:sz="4" w:space="0" w:color="00B050"/>
              <w:bottom w:val="single" w:sz="4" w:space="0" w:color="00B050"/>
              <w:right w:val="single" w:sz="4" w:space="0" w:color="00B050"/>
            </w:tcBorders>
            <w:noWrap/>
            <w:vAlign w:val="center"/>
            <w:hideMark/>
          </w:tcPr>
          <w:p w:rsidR="00030337" w:rsidRPr="00467C27" w:rsidRDefault="00030337" w:rsidP="00030337">
            <w:pPr>
              <w:pStyle w:val="Heading4"/>
              <w:spacing w:before="0"/>
              <w:jc w:val="center"/>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4%</w:t>
            </w:r>
          </w:p>
        </w:tc>
        <w:tc>
          <w:tcPr>
            <w:tcW w:w="1182" w:type="dxa"/>
            <w:tcBorders>
              <w:top w:val="single" w:sz="4" w:space="0" w:color="00B050"/>
              <w:left w:val="single" w:sz="4" w:space="0" w:color="00B050"/>
              <w:bottom w:val="single" w:sz="4" w:space="0" w:color="00B050"/>
              <w:right w:val="nil"/>
            </w:tcBorders>
            <w:noWrap/>
            <w:vAlign w:val="center"/>
            <w:hideMark/>
          </w:tcPr>
          <w:p w:rsidR="00030337" w:rsidRPr="00467C27" w:rsidRDefault="00030337" w:rsidP="00030337">
            <w:pPr>
              <w:pStyle w:val="Heading4"/>
              <w:spacing w:before="0"/>
              <w:jc w:val="center"/>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96%</w:t>
            </w:r>
          </w:p>
        </w:tc>
      </w:tr>
      <w:tr w:rsidR="00030337" w:rsidRPr="00467C27" w:rsidTr="00030337">
        <w:trPr>
          <w:trHeight w:val="276"/>
        </w:trPr>
        <w:tc>
          <w:tcPr>
            <w:tcW w:w="2553" w:type="dxa"/>
            <w:vMerge/>
            <w:tcBorders>
              <w:top w:val="single" w:sz="4" w:space="0" w:color="00B050"/>
              <w:left w:val="nil"/>
              <w:bottom w:val="single" w:sz="4" w:space="0" w:color="00B050"/>
              <w:right w:val="single" w:sz="4" w:space="0" w:color="00B050"/>
            </w:tcBorders>
            <w:hideMark/>
          </w:tcPr>
          <w:p w:rsidR="00030337" w:rsidRPr="00A622BE" w:rsidRDefault="00030337" w:rsidP="00030337">
            <w:pPr>
              <w:pStyle w:val="Heading4"/>
              <w:spacing w:before="0"/>
              <w:outlineLvl w:val="3"/>
              <w:rPr>
                <w:rFonts w:asciiTheme="minorHAnsi" w:hAnsiTheme="minorHAnsi" w:cstheme="minorHAnsi"/>
                <w:color w:val="auto"/>
                <w:sz w:val="20"/>
                <w:szCs w:val="20"/>
              </w:rPr>
            </w:pPr>
          </w:p>
        </w:tc>
        <w:tc>
          <w:tcPr>
            <w:tcW w:w="1417" w:type="dxa"/>
            <w:tcBorders>
              <w:top w:val="single" w:sz="4" w:space="0" w:color="00B050"/>
              <w:left w:val="single" w:sz="4" w:space="0" w:color="00B050"/>
              <w:bottom w:val="single" w:sz="4" w:space="0" w:color="00B050"/>
              <w:right w:val="single" w:sz="4" w:space="0" w:color="00B050"/>
            </w:tcBorders>
            <w:noWrap/>
            <w:hideMark/>
          </w:tcPr>
          <w:p w:rsidR="00030337" w:rsidRPr="00467C27" w:rsidRDefault="00030337" w:rsidP="00030337">
            <w:pPr>
              <w:pStyle w:val="Heading4"/>
              <w:spacing w:before="0"/>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2016 n=672</w:t>
            </w:r>
          </w:p>
        </w:tc>
        <w:tc>
          <w:tcPr>
            <w:tcW w:w="992" w:type="dxa"/>
            <w:tcBorders>
              <w:top w:val="single" w:sz="4" w:space="0" w:color="00B050"/>
              <w:left w:val="single" w:sz="4" w:space="0" w:color="00B050"/>
              <w:bottom w:val="single" w:sz="4" w:space="0" w:color="00B050"/>
              <w:right w:val="single" w:sz="4" w:space="0" w:color="00B050"/>
            </w:tcBorders>
            <w:noWrap/>
            <w:vAlign w:val="center"/>
            <w:hideMark/>
          </w:tcPr>
          <w:p w:rsidR="00030337" w:rsidRPr="00467C27" w:rsidRDefault="00030337" w:rsidP="00030337">
            <w:pPr>
              <w:pStyle w:val="Heading4"/>
              <w:spacing w:before="0"/>
              <w:jc w:val="center"/>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6%</w:t>
            </w:r>
          </w:p>
        </w:tc>
        <w:tc>
          <w:tcPr>
            <w:tcW w:w="1134" w:type="dxa"/>
            <w:tcBorders>
              <w:top w:val="single" w:sz="4" w:space="0" w:color="00B050"/>
              <w:left w:val="single" w:sz="4" w:space="0" w:color="00B050"/>
              <w:bottom w:val="single" w:sz="4" w:space="0" w:color="00B050"/>
              <w:right w:val="single" w:sz="4" w:space="0" w:color="00B050"/>
            </w:tcBorders>
            <w:noWrap/>
            <w:vAlign w:val="center"/>
            <w:hideMark/>
          </w:tcPr>
          <w:p w:rsidR="00030337" w:rsidRPr="00467C27" w:rsidRDefault="00030337" w:rsidP="00030337">
            <w:pPr>
              <w:pStyle w:val="Heading4"/>
              <w:spacing w:before="0"/>
              <w:jc w:val="center"/>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15%</w:t>
            </w:r>
          </w:p>
        </w:tc>
        <w:tc>
          <w:tcPr>
            <w:tcW w:w="1134" w:type="dxa"/>
            <w:tcBorders>
              <w:top w:val="single" w:sz="4" w:space="0" w:color="00B050"/>
              <w:left w:val="single" w:sz="4" w:space="0" w:color="00B050"/>
              <w:bottom w:val="single" w:sz="4" w:space="0" w:color="00B050"/>
              <w:right w:val="single" w:sz="4" w:space="0" w:color="00B050"/>
            </w:tcBorders>
            <w:noWrap/>
            <w:vAlign w:val="center"/>
            <w:hideMark/>
          </w:tcPr>
          <w:p w:rsidR="00030337" w:rsidRPr="00467C27" w:rsidRDefault="00030337" w:rsidP="00030337">
            <w:pPr>
              <w:pStyle w:val="Heading4"/>
              <w:spacing w:before="0"/>
              <w:jc w:val="center"/>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19%</w:t>
            </w:r>
          </w:p>
        </w:tc>
        <w:tc>
          <w:tcPr>
            <w:tcW w:w="1134" w:type="dxa"/>
            <w:tcBorders>
              <w:top w:val="single" w:sz="4" w:space="0" w:color="00B050"/>
              <w:left w:val="single" w:sz="4" w:space="0" w:color="00B050"/>
              <w:bottom w:val="single" w:sz="4" w:space="0" w:color="00B050"/>
              <w:right w:val="single" w:sz="4" w:space="0" w:color="00B050"/>
            </w:tcBorders>
            <w:noWrap/>
            <w:vAlign w:val="center"/>
            <w:hideMark/>
          </w:tcPr>
          <w:p w:rsidR="00030337" w:rsidRPr="00467C27" w:rsidRDefault="00030337" w:rsidP="00030337">
            <w:pPr>
              <w:pStyle w:val="Heading4"/>
              <w:spacing w:before="0"/>
              <w:jc w:val="center"/>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16%</w:t>
            </w:r>
          </w:p>
        </w:tc>
        <w:tc>
          <w:tcPr>
            <w:tcW w:w="1276" w:type="dxa"/>
            <w:tcBorders>
              <w:top w:val="single" w:sz="4" w:space="0" w:color="00B050"/>
              <w:left w:val="single" w:sz="4" w:space="0" w:color="00B050"/>
              <w:bottom w:val="single" w:sz="4" w:space="0" w:color="00B050"/>
              <w:right w:val="single" w:sz="4" w:space="0" w:color="00B050"/>
            </w:tcBorders>
            <w:noWrap/>
            <w:vAlign w:val="center"/>
            <w:hideMark/>
          </w:tcPr>
          <w:p w:rsidR="00030337" w:rsidRPr="00467C27" w:rsidRDefault="00030337" w:rsidP="00030337">
            <w:pPr>
              <w:pStyle w:val="Heading4"/>
              <w:spacing w:before="0"/>
              <w:jc w:val="center"/>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17%</w:t>
            </w:r>
          </w:p>
        </w:tc>
        <w:tc>
          <w:tcPr>
            <w:tcW w:w="1134" w:type="dxa"/>
            <w:tcBorders>
              <w:top w:val="single" w:sz="4" w:space="0" w:color="00B050"/>
              <w:left w:val="single" w:sz="4" w:space="0" w:color="00B050"/>
              <w:bottom w:val="single" w:sz="4" w:space="0" w:color="00B050"/>
              <w:right w:val="single" w:sz="4" w:space="0" w:color="00B050"/>
            </w:tcBorders>
            <w:noWrap/>
            <w:vAlign w:val="center"/>
            <w:hideMark/>
          </w:tcPr>
          <w:p w:rsidR="00030337" w:rsidRPr="00467C27" w:rsidRDefault="00030337" w:rsidP="00030337">
            <w:pPr>
              <w:pStyle w:val="Heading4"/>
              <w:spacing w:before="0"/>
              <w:jc w:val="center"/>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9%</w:t>
            </w:r>
          </w:p>
        </w:tc>
        <w:tc>
          <w:tcPr>
            <w:tcW w:w="1464" w:type="dxa"/>
            <w:tcBorders>
              <w:top w:val="single" w:sz="4" w:space="0" w:color="00B050"/>
              <w:left w:val="single" w:sz="4" w:space="0" w:color="00B050"/>
              <w:bottom w:val="single" w:sz="4" w:space="0" w:color="00B050"/>
              <w:right w:val="single" w:sz="4" w:space="0" w:color="00B050"/>
            </w:tcBorders>
            <w:noWrap/>
            <w:vAlign w:val="center"/>
            <w:hideMark/>
          </w:tcPr>
          <w:p w:rsidR="00030337" w:rsidRPr="00467C27" w:rsidRDefault="00030337" w:rsidP="00030337">
            <w:pPr>
              <w:pStyle w:val="Heading4"/>
              <w:spacing w:before="0"/>
              <w:jc w:val="center"/>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14%</w:t>
            </w:r>
          </w:p>
        </w:tc>
        <w:tc>
          <w:tcPr>
            <w:tcW w:w="1181" w:type="dxa"/>
            <w:tcBorders>
              <w:top w:val="single" w:sz="4" w:space="0" w:color="00B050"/>
              <w:left w:val="single" w:sz="4" w:space="0" w:color="00B050"/>
              <w:bottom w:val="single" w:sz="4" w:space="0" w:color="00B050"/>
              <w:right w:val="single" w:sz="4" w:space="0" w:color="00B050"/>
            </w:tcBorders>
            <w:noWrap/>
            <w:vAlign w:val="center"/>
            <w:hideMark/>
          </w:tcPr>
          <w:p w:rsidR="00030337" w:rsidRPr="00467C27" w:rsidRDefault="00030337" w:rsidP="00030337">
            <w:pPr>
              <w:pStyle w:val="Heading4"/>
              <w:spacing w:before="0"/>
              <w:jc w:val="center"/>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5%</w:t>
            </w:r>
          </w:p>
        </w:tc>
        <w:tc>
          <w:tcPr>
            <w:tcW w:w="1182" w:type="dxa"/>
            <w:tcBorders>
              <w:top w:val="single" w:sz="4" w:space="0" w:color="00B050"/>
              <w:left w:val="single" w:sz="4" w:space="0" w:color="00B050"/>
              <w:bottom w:val="single" w:sz="4" w:space="0" w:color="00B050"/>
              <w:right w:val="nil"/>
            </w:tcBorders>
            <w:noWrap/>
            <w:vAlign w:val="center"/>
            <w:hideMark/>
          </w:tcPr>
          <w:p w:rsidR="00030337" w:rsidRPr="00467C27" w:rsidRDefault="00030337" w:rsidP="00030337">
            <w:pPr>
              <w:pStyle w:val="Heading4"/>
              <w:spacing w:before="0"/>
              <w:jc w:val="center"/>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95%</w:t>
            </w:r>
          </w:p>
        </w:tc>
      </w:tr>
      <w:tr w:rsidR="00030337" w:rsidRPr="00467C27" w:rsidTr="00030337">
        <w:trPr>
          <w:trHeight w:val="276"/>
        </w:trPr>
        <w:tc>
          <w:tcPr>
            <w:tcW w:w="2553" w:type="dxa"/>
            <w:vMerge/>
            <w:tcBorders>
              <w:top w:val="single" w:sz="4" w:space="0" w:color="00B050"/>
              <w:left w:val="nil"/>
              <w:bottom w:val="single" w:sz="4" w:space="0" w:color="00B050"/>
              <w:right w:val="single" w:sz="4" w:space="0" w:color="00B050"/>
            </w:tcBorders>
            <w:hideMark/>
          </w:tcPr>
          <w:p w:rsidR="00030337" w:rsidRPr="00A622BE" w:rsidRDefault="00030337" w:rsidP="00030337">
            <w:pPr>
              <w:pStyle w:val="Heading4"/>
              <w:spacing w:before="0"/>
              <w:outlineLvl w:val="3"/>
              <w:rPr>
                <w:rFonts w:asciiTheme="minorHAnsi" w:hAnsiTheme="minorHAnsi" w:cstheme="minorHAnsi"/>
                <w:color w:val="auto"/>
                <w:sz w:val="20"/>
                <w:szCs w:val="20"/>
              </w:rPr>
            </w:pPr>
          </w:p>
        </w:tc>
        <w:tc>
          <w:tcPr>
            <w:tcW w:w="1417" w:type="dxa"/>
            <w:tcBorders>
              <w:top w:val="single" w:sz="4" w:space="0" w:color="00B050"/>
              <w:left w:val="single" w:sz="4" w:space="0" w:color="00B050"/>
              <w:bottom w:val="single" w:sz="4" w:space="0" w:color="00B050"/>
              <w:right w:val="single" w:sz="4" w:space="0" w:color="00B050"/>
            </w:tcBorders>
            <w:noWrap/>
            <w:hideMark/>
          </w:tcPr>
          <w:p w:rsidR="00030337" w:rsidRPr="00467C27" w:rsidRDefault="00030337" w:rsidP="00030337">
            <w:pPr>
              <w:pStyle w:val="Heading4"/>
              <w:spacing w:before="0"/>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2017 n=671</w:t>
            </w:r>
          </w:p>
        </w:tc>
        <w:tc>
          <w:tcPr>
            <w:tcW w:w="992" w:type="dxa"/>
            <w:tcBorders>
              <w:top w:val="single" w:sz="4" w:space="0" w:color="00B050"/>
              <w:left w:val="single" w:sz="4" w:space="0" w:color="00B050"/>
              <w:bottom w:val="single" w:sz="4" w:space="0" w:color="00B050"/>
              <w:right w:val="single" w:sz="4" w:space="0" w:color="00B050"/>
            </w:tcBorders>
            <w:noWrap/>
            <w:vAlign w:val="center"/>
            <w:hideMark/>
          </w:tcPr>
          <w:p w:rsidR="00030337" w:rsidRPr="00467C27" w:rsidRDefault="00030337" w:rsidP="00030337">
            <w:pPr>
              <w:pStyle w:val="Heading4"/>
              <w:spacing w:before="0"/>
              <w:jc w:val="center"/>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5%</w:t>
            </w:r>
          </w:p>
        </w:tc>
        <w:tc>
          <w:tcPr>
            <w:tcW w:w="1134" w:type="dxa"/>
            <w:tcBorders>
              <w:top w:val="single" w:sz="4" w:space="0" w:color="00B050"/>
              <w:left w:val="single" w:sz="4" w:space="0" w:color="00B050"/>
              <w:bottom w:val="single" w:sz="4" w:space="0" w:color="00B050"/>
              <w:right w:val="single" w:sz="4" w:space="0" w:color="00B050"/>
            </w:tcBorders>
            <w:noWrap/>
            <w:vAlign w:val="center"/>
            <w:hideMark/>
          </w:tcPr>
          <w:p w:rsidR="00030337" w:rsidRPr="00467C27" w:rsidRDefault="00030337" w:rsidP="00030337">
            <w:pPr>
              <w:pStyle w:val="Heading4"/>
              <w:spacing w:before="0"/>
              <w:jc w:val="center"/>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16%</w:t>
            </w:r>
          </w:p>
        </w:tc>
        <w:tc>
          <w:tcPr>
            <w:tcW w:w="1134" w:type="dxa"/>
            <w:tcBorders>
              <w:top w:val="single" w:sz="4" w:space="0" w:color="00B050"/>
              <w:left w:val="single" w:sz="4" w:space="0" w:color="00B050"/>
              <w:bottom w:val="single" w:sz="4" w:space="0" w:color="00B050"/>
              <w:right w:val="single" w:sz="4" w:space="0" w:color="00B050"/>
            </w:tcBorders>
            <w:noWrap/>
            <w:vAlign w:val="center"/>
            <w:hideMark/>
          </w:tcPr>
          <w:p w:rsidR="00030337" w:rsidRPr="00467C27" w:rsidRDefault="00030337" w:rsidP="00030337">
            <w:pPr>
              <w:pStyle w:val="Heading4"/>
              <w:spacing w:before="0"/>
              <w:jc w:val="center"/>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18%</w:t>
            </w:r>
          </w:p>
        </w:tc>
        <w:tc>
          <w:tcPr>
            <w:tcW w:w="1134" w:type="dxa"/>
            <w:tcBorders>
              <w:top w:val="single" w:sz="4" w:space="0" w:color="00B050"/>
              <w:left w:val="single" w:sz="4" w:space="0" w:color="00B050"/>
              <w:bottom w:val="single" w:sz="4" w:space="0" w:color="00B050"/>
              <w:right w:val="single" w:sz="4" w:space="0" w:color="00B050"/>
            </w:tcBorders>
            <w:noWrap/>
            <w:vAlign w:val="center"/>
            <w:hideMark/>
          </w:tcPr>
          <w:p w:rsidR="00030337" w:rsidRPr="00467C27" w:rsidRDefault="00030337" w:rsidP="00030337">
            <w:pPr>
              <w:pStyle w:val="Heading4"/>
              <w:spacing w:before="0"/>
              <w:jc w:val="center"/>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16%</w:t>
            </w:r>
          </w:p>
        </w:tc>
        <w:tc>
          <w:tcPr>
            <w:tcW w:w="1276" w:type="dxa"/>
            <w:tcBorders>
              <w:top w:val="single" w:sz="4" w:space="0" w:color="00B050"/>
              <w:left w:val="single" w:sz="4" w:space="0" w:color="00B050"/>
              <w:bottom w:val="single" w:sz="4" w:space="0" w:color="00B050"/>
              <w:right w:val="single" w:sz="4" w:space="0" w:color="00B050"/>
            </w:tcBorders>
            <w:noWrap/>
            <w:vAlign w:val="center"/>
            <w:hideMark/>
          </w:tcPr>
          <w:p w:rsidR="00030337" w:rsidRPr="00467C27" w:rsidRDefault="00030337" w:rsidP="00030337">
            <w:pPr>
              <w:pStyle w:val="Heading4"/>
              <w:spacing w:before="0"/>
              <w:jc w:val="center"/>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19%</w:t>
            </w:r>
          </w:p>
        </w:tc>
        <w:tc>
          <w:tcPr>
            <w:tcW w:w="1134" w:type="dxa"/>
            <w:tcBorders>
              <w:top w:val="single" w:sz="4" w:space="0" w:color="00B050"/>
              <w:left w:val="single" w:sz="4" w:space="0" w:color="00B050"/>
              <w:bottom w:val="single" w:sz="4" w:space="0" w:color="00B050"/>
              <w:right w:val="single" w:sz="4" w:space="0" w:color="00B050"/>
            </w:tcBorders>
            <w:noWrap/>
            <w:vAlign w:val="center"/>
            <w:hideMark/>
          </w:tcPr>
          <w:p w:rsidR="00030337" w:rsidRPr="00467C27" w:rsidRDefault="00030337" w:rsidP="00030337">
            <w:pPr>
              <w:pStyle w:val="Heading4"/>
              <w:spacing w:before="0"/>
              <w:jc w:val="center"/>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9%</w:t>
            </w:r>
          </w:p>
        </w:tc>
        <w:tc>
          <w:tcPr>
            <w:tcW w:w="1464" w:type="dxa"/>
            <w:tcBorders>
              <w:top w:val="single" w:sz="4" w:space="0" w:color="00B050"/>
              <w:left w:val="single" w:sz="4" w:space="0" w:color="00B050"/>
              <w:bottom w:val="single" w:sz="4" w:space="0" w:color="00B050"/>
              <w:right w:val="single" w:sz="4" w:space="0" w:color="00B050"/>
            </w:tcBorders>
            <w:noWrap/>
            <w:vAlign w:val="center"/>
            <w:hideMark/>
          </w:tcPr>
          <w:p w:rsidR="00030337" w:rsidRPr="00467C27" w:rsidRDefault="00030337" w:rsidP="00030337">
            <w:pPr>
              <w:pStyle w:val="Heading4"/>
              <w:spacing w:before="0"/>
              <w:jc w:val="center"/>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13%</w:t>
            </w:r>
          </w:p>
        </w:tc>
        <w:tc>
          <w:tcPr>
            <w:tcW w:w="1181" w:type="dxa"/>
            <w:tcBorders>
              <w:top w:val="single" w:sz="4" w:space="0" w:color="00B050"/>
              <w:left w:val="single" w:sz="4" w:space="0" w:color="00B050"/>
              <w:bottom w:val="single" w:sz="4" w:space="0" w:color="00B050"/>
              <w:right w:val="single" w:sz="4" w:space="0" w:color="00B050"/>
            </w:tcBorders>
            <w:noWrap/>
            <w:vAlign w:val="center"/>
            <w:hideMark/>
          </w:tcPr>
          <w:p w:rsidR="00030337" w:rsidRPr="00467C27" w:rsidRDefault="00030337" w:rsidP="00030337">
            <w:pPr>
              <w:pStyle w:val="Heading4"/>
              <w:spacing w:before="0"/>
              <w:jc w:val="center"/>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5%</w:t>
            </w:r>
          </w:p>
        </w:tc>
        <w:tc>
          <w:tcPr>
            <w:tcW w:w="1182" w:type="dxa"/>
            <w:tcBorders>
              <w:top w:val="single" w:sz="4" w:space="0" w:color="00B050"/>
              <w:left w:val="single" w:sz="4" w:space="0" w:color="00B050"/>
              <w:bottom w:val="single" w:sz="4" w:space="0" w:color="00B050"/>
              <w:right w:val="nil"/>
            </w:tcBorders>
            <w:noWrap/>
            <w:vAlign w:val="center"/>
            <w:hideMark/>
          </w:tcPr>
          <w:p w:rsidR="00030337" w:rsidRPr="00467C27" w:rsidRDefault="00030337" w:rsidP="00030337">
            <w:pPr>
              <w:pStyle w:val="Heading4"/>
              <w:spacing w:before="0"/>
              <w:jc w:val="center"/>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95%</w:t>
            </w:r>
          </w:p>
        </w:tc>
      </w:tr>
      <w:tr w:rsidR="00030337" w:rsidRPr="00467C27" w:rsidTr="00030337">
        <w:trPr>
          <w:trHeight w:val="276"/>
        </w:trPr>
        <w:tc>
          <w:tcPr>
            <w:tcW w:w="2553" w:type="dxa"/>
            <w:vMerge/>
            <w:tcBorders>
              <w:top w:val="single" w:sz="4" w:space="0" w:color="00B050"/>
              <w:left w:val="nil"/>
              <w:bottom w:val="single" w:sz="4" w:space="0" w:color="00B050"/>
              <w:right w:val="single" w:sz="4" w:space="0" w:color="00B050"/>
            </w:tcBorders>
            <w:hideMark/>
          </w:tcPr>
          <w:p w:rsidR="00030337" w:rsidRPr="00A622BE" w:rsidRDefault="00030337" w:rsidP="00030337">
            <w:pPr>
              <w:pStyle w:val="Heading4"/>
              <w:spacing w:before="0"/>
              <w:outlineLvl w:val="3"/>
              <w:rPr>
                <w:rFonts w:asciiTheme="minorHAnsi" w:hAnsiTheme="minorHAnsi" w:cstheme="minorHAnsi"/>
                <w:color w:val="auto"/>
                <w:sz w:val="20"/>
                <w:szCs w:val="20"/>
              </w:rPr>
            </w:pPr>
          </w:p>
        </w:tc>
        <w:tc>
          <w:tcPr>
            <w:tcW w:w="1417" w:type="dxa"/>
            <w:tcBorders>
              <w:top w:val="single" w:sz="4" w:space="0" w:color="00B050"/>
              <w:left w:val="single" w:sz="4" w:space="0" w:color="00B050"/>
              <w:bottom w:val="single" w:sz="4" w:space="0" w:color="00B050"/>
              <w:right w:val="single" w:sz="4" w:space="0" w:color="00B050"/>
            </w:tcBorders>
            <w:noWrap/>
            <w:hideMark/>
          </w:tcPr>
          <w:p w:rsidR="00030337" w:rsidRPr="00467C27" w:rsidRDefault="00030337" w:rsidP="00030337">
            <w:pPr>
              <w:pStyle w:val="Heading4"/>
              <w:spacing w:before="0"/>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2018 n=972</w:t>
            </w:r>
          </w:p>
        </w:tc>
        <w:tc>
          <w:tcPr>
            <w:tcW w:w="992" w:type="dxa"/>
            <w:tcBorders>
              <w:top w:val="single" w:sz="4" w:space="0" w:color="00B050"/>
              <w:left w:val="single" w:sz="4" w:space="0" w:color="00B050"/>
              <w:bottom w:val="single" w:sz="4" w:space="0" w:color="00B050"/>
              <w:right w:val="single" w:sz="4" w:space="0" w:color="00B050"/>
            </w:tcBorders>
            <w:noWrap/>
            <w:vAlign w:val="center"/>
            <w:hideMark/>
          </w:tcPr>
          <w:p w:rsidR="00030337" w:rsidRPr="00467C27" w:rsidRDefault="00030337" w:rsidP="00030337">
            <w:pPr>
              <w:pStyle w:val="Heading4"/>
              <w:spacing w:before="0"/>
              <w:jc w:val="center"/>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8%</w:t>
            </w:r>
          </w:p>
        </w:tc>
        <w:tc>
          <w:tcPr>
            <w:tcW w:w="1134" w:type="dxa"/>
            <w:tcBorders>
              <w:top w:val="single" w:sz="4" w:space="0" w:color="00B050"/>
              <w:left w:val="single" w:sz="4" w:space="0" w:color="00B050"/>
              <w:bottom w:val="single" w:sz="4" w:space="0" w:color="00B050"/>
              <w:right w:val="single" w:sz="4" w:space="0" w:color="00B050"/>
            </w:tcBorders>
            <w:noWrap/>
            <w:vAlign w:val="center"/>
            <w:hideMark/>
          </w:tcPr>
          <w:p w:rsidR="00030337" w:rsidRPr="00467C27" w:rsidRDefault="00030337" w:rsidP="00030337">
            <w:pPr>
              <w:pStyle w:val="Heading4"/>
              <w:spacing w:before="0"/>
              <w:jc w:val="center"/>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14%</w:t>
            </w:r>
          </w:p>
        </w:tc>
        <w:tc>
          <w:tcPr>
            <w:tcW w:w="1134" w:type="dxa"/>
            <w:tcBorders>
              <w:top w:val="single" w:sz="4" w:space="0" w:color="00B050"/>
              <w:left w:val="single" w:sz="4" w:space="0" w:color="00B050"/>
              <w:bottom w:val="single" w:sz="4" w:space="0" w:color="00B050"/>
              <w:right w:val="single" w:sz="4" w:space="0" w:color="00B050"/>
            </w:tcBorders>
            <w:noWrap/>
            <w:vAlign w:val="center"/>
            <w:hideMark/>
          </w:tcPr>
          <w:p w:rsidR="00030337" w:rsidRPr="00467C27" w:rsidRDefault="00030337" w:rsidP="00030337">
            <w:pPr>
              <w:pStyle w:val="Heading4"/>
              <w:spacing w:before="0"/>
              <w:jc w:val="center"/>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21%</w:t>
            </w:r>
          </w:p>
        </w:tc>
        <w:tc>
          <w:tcPr>
            <w:tcW w:w="1134" w:type="dxa"/>
            <w:tcBorders>
              <w:top w:val="single" w:sz="4" w:space="0" w:color="00B050"/>
              <w:left w:val="single" w:sz="4" w:space="0" w:color="00B050"/>
              <w:bottom w:val="single" w:sz="4" w:space="0" w:color="00B050"/>
              <w:right w:val="single" w:sz="4" w:space="0" w:color="00B050"/>
            </w:tcBorders>
            <w:noWrap/>
            <w:vAlign w:val="center"/>
            <w:hideMark/>
          </w:tcPr>
          <w:p w:rsidR="00030337" w:rsidRPr="00467C27" w:rsidRDefault="00030337" w:rsidP="00030337">
            <w:pPr>
              <w:pStyle w:val="Heading4"/>
              <w:spacing w:before="0"/>
              <w:jc w:val="center"/>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17%</w:t>
            </w:r>
          </w:p>
        </w:tc>
        <w:tc>
          <w:tcPr>
            <w:tcW w:w="1276" w:type="dxa"/>
            <w:tcBorders>
              <w:top w:val="single" w:sz="4" w:space="0" w:color="00B050"/>
              <w:left w:val="single" w:sz="4" w:space="0" w:color="00B050"/>
              <w:bottom w:val="single" w:sz="4" w:space="0" w:color="00B050"/>
              <w:right w:val="single" w:sz="4" w:space="0" w:color="00B050"/>
            </w:tcBorders>
            <w:noWrap/>
            <w:vAlign w:val="center"/>
            <w:hideMark/>
          </w:tcPr>
          <w:p w:rsidR="00030337" w:rsidRPr="00467C27" w:rsidRDefault="00030337" w:rsidP="00030337">
            <w:pPr>
              <w:pStyle w:val="Heading4"/>
              <w:spacing w:before="0"/>
              <w:jc w:val="center"/>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17%</w:t>
            </w:r>
          </w:p>
        </w:tc>
        <w:tc>
          <w:tcPr>
            <w:tcW w:w="1134" w:type="dxa"/>
            <w:tcBorders>
              <w:top w:val="single" w:sz="4" w:space="0" w:color="00B050"/>
              <w:left w:val="single" w:sz="4" w:space="0" w:color="00B050"/>
              <w:bottom w:val="single" w:sz="4" w:space="0" w:color="00B050"/>
              <w:right w:val="single" w:sz="4" w:space="0" w:color="00B050"/>
            </w:tcBorders>
            <w:noWrap/>
            <w:vAlign w:val="center"/>
            <w:hideMark/>
          </w:tcPr>
          <w:p w:rsidR="00030337" w:rsidRPr="00467C27" w:rsidRDefault="00030337" w:rsidP="00030337">
            <w:pPr>
              <w:pStyle w:val="Heading4"/>
              <w:spacing w:before="0"/>
              <w:jc w:val="center"/>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7%</w:t>
            </w:r>
          </w:p>
        </w:tc>
        <w:tc>
          <w:tcPr>
            <w:tcW w:w="1464" w:type="dxa"/>
            <w:tcBorders>
              <w:top w:val="single" w:sz="4" w:space="0" w:color="00B050"/>
              <w:left w:val="single" w:sz="4" w:space="0" w:color="00B050"/>
              <w:bottom w:val="single" w:sz="4" w:space="0" w:color="00B050"/>
              <w:right w:val="single" w:sz="4" w:space="0" w:color="00B050"/>
            </w:tcBorders>
            <w:noWrap/>
            <w:vAlign w:val="center"/>
            <w:hideMark/>
          </w:tcPr>
          <w:p w:rsidR="00030337" w:rsidRPr="00467C27" w:rsidRDefault="00030337" w:rsidP="00030337">
            <w:pPr>
              <w:pStyle w:val="Heading4"/>
              <w:spacing w:before="0"/>
              <w:jc w:val="center"/>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11%</w:t>
            </w:r>
          </w:p>
        </w:tc>
        <w:tc>
          <w:tcPr>
            <w:tcW w:w="1181" w:type="dxa"/>
            <w:tcBorders>
              <w:top w:val="single" w:sz="4" w:space="0" w:color="00B050"/>
              <w:left w:val="single" w:sz="4" w:space="0" w:color="00B050"/>
              <w:bottom w:val="single" w:sz="4" w:space="0" w:color="00B050"/>
              <w:right w:val="single" w:sz="4" w:space="0" w:color="00B050"/>
            </w:tcBorders>
            <w:noWrap/>
            <w:vAlign w:val="center"/>
            <w:hideMark/>
          </w:tcPr>
          <w:p w:rsidR="00030337" w:rsidRPr="00467C27" w:rsidRDefault="00030337" w:rsidP="00030337">
            <w:pPr>
              <w:pStyle w:val="Heading4"/>
              <w:spacing w:before="0"/>
              <w:jc w:val="center"/>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5%</w:t>
            </w:r>
          </w:p>
        </w:tc>
        <w:tc>
          <w:tcPr>
            <w:tcW w:w="1182" w:type="dxa"/>
            <w:tcBorders>
              <w:top w:val="single" w:sz="4" w:space="0" w:color="00B050"/>
              <w:left w:val="single" w:sz="4" w:space="0" w:color="00B050"/>
              <w:bottom w:val="single" w:sz="4" w:space="0" w:color="00B050"/>
              <w:right w:val="nil"/>
            </w:tcBorders>
            <w:noWrap/>
            <w:vAlign w:val="center"/>
            <w:hideMark/>
          </w:tcPr>
          <w:p w:rsidR="00030337" w:rsidRPr="00467C27" w:rsidRDefault="00030337" w:rsidP="00030337">
            <w:pPr>
              <w:pStyle w:val="Heading4"/>
              <w:spacing w:before="0"/>
              <w:jc w:val="center"/>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95%</w:t>
            </w:r>
          </w:p>
        </w:tc>
      </w:tr>
      <w:tr w:rsidR="00030337" w:rsidRPr="00467C27" w:rsidTr="00030337">
        <w:trPr>
          <w:trHeight w:val="276"/>
        </w:trPr>
        <w:tc>
          <w:tcPr>
            <w:tcW w:w="2553" w:type="dxa"/>
            <w:vMerge/>
            <w:tcBorders>
              <w:top w:val="single" w:sz="4" w:space="0" w:color="00B050"/>
              <w:left w:val="nil"/>
              <w:bottom w:val="single" w:sz="4" w:space="0" w:color="00B050"/>
              <w:right w:val="single" w:sz="4" w:space="0" w:color="00B050"/>
            </w:tcBorders>
            <w:hideMark/>
          </w:tcPr>
          <w:p w:rsidR="00030337" w:rsidRPr="00A622BE" w:rsidRDefault="00030337" w:rsidP="00030337">
            <w:pPr>
              <w:pStyle w:val="Heading4"/>
              <w:spacing w:before="0"/>
              <w:outlineLvl w:val="3"/>
              <w:rPr>
                <w:rFonts w:asciiTheme="minorHAnsi" w:hAnsiTheme="minorHAnsi" w:cstheme="minorHAnsi"/>
                <w:color w:val="auto"/>
                <w:sz w:val="20"/>
                <w:szCs w:val="20"/>
              </w:rPr>
            </w:pPr>
          </w:p>
        </w:tc>
        <w:tc>
          <w:tcPr>
            <w:tcW w:w="1417" w:type="dxa"/>
            <w:tcBorders>
              <w:top w:val="single" w:sz="4" w:space="0" w:color="00B050"/>
              <w:left w:val="single" w:sz="4" w:space="0" w:color="00B050"/>
              <w:bottom w:val="single" w:sz="4" w:space="0" w:color="00B050"/>
              <w:right w:val="single" w:sz="4" w:space="0" w:color="00B050"/>
            </w:tcBorders>
            <w:noWrap/>
            <w:hideMark/>
          </w:tcPr>
          <w:p w:rsidR="00030337" w:rsidRPr="00467C27" w:rsidRDefault="00030337" w:rsidP="00030337">
            <w:pPr>
              <w:pStyle w:val="Heading4"/>
              <w:spacing w:before="0"/>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2019 n=461</w:t>
            </w:r>
          </w:p>
        </w:tc>
        <w:tc>
          <w:tcPr>
            <w:tcW w:w="992" w:type="dxa"/>
            <w:tcBorders>
              <w:top w:val="single" w:sz="4" w:space="0" w:color="00B050"/>
              <w:left w:val="single" w:sz="4" w:space="0" w:color="00B050"/>
              <w:bottom w:val="single" w:sz="4" w:space="0" w:color="00B050"/>
              <w:right w:val="single" w:sz="4" w:space="0" w:color="00B050"/>
            </w:tcBorders>
            <w:noWrap/>
            <w:vAlign w:val="center"/>
            <w:hideMark/>
          </w:tcPr>
          <w:p w:rsidR="00030337" w:rsidRPr="00467C27" w:rsidRDefault="00030337" w:rsidP="00030337">
            <w:pPr>
              <w:pStyle w:val="Heading4"/>
              <w:spacing w:before="0"/>
              <w:jc w:val="center"/>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4%</w:t>
            </w:r>
          </w:p>
        </w:tc>
        <w:tc>
          <w:tcPr>
            <w:tcW w:w="1134" w:type="dxa"/>
            <w:tcBorders>
              <w:top w:val="single" w:sz="4" w:space="0" w:color="00B050"/>
              <w:left w:val="single" w:sz="4" w:space="0" w:color="00B050"/>
              <w:bottom w:val="single" w:sz="4" w:space="0" w:color="00B050"/>
              <w:right w:val="single" w:sz="4" w:space="0" w:color="00B050"/>
            </w:tcBorders>
            <w:noWrap/>
            <w:vAlign w:val="center"/>
            <w:hideMark/>
          </w:tcPr>
          <w:p w:rsidR="00030337" w:rsidRPr="00467C27" w:rsidRDefault="00030337" w:rsidP="00030337">
            <w:pPr>
              <w:pStyle w:val="Heading4"/>
              <w:spacing w:before="0"/>
              <w:jc w:val="center"/>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11%</w:t>
            </w:r>
          </w:p>
        </w:tc>
        <w:tc>
          <w:tcPr>
            <w:tcW w:w="1134" w:type="dxa"/>
            <w:tcBorders>
              <w:top w:val="single" w:sz="4" w:space="0" w:color="00B050"/>
              <w:left w:val="single" w:sz="4" w:space="0" w:color="00B050"/>
              <w:bottom w:val="single" w:sz="4" w:space="0" w:color="00B050"/>
              <w:right w:val="single" w:sz="4" w:space="0" w:color="00B050"/>
            </w:tcBorders>
            <w:noWrap/>
            <w:vAlign w:val="center"/>
            <w:hideMark/>
          </w:tcPr>
          <w:p w:rsidR="00030337" w:rsidRPr="00467C27" w:rsidRDefault="00030337" w:rsidP="00030337">
            <w:pPr>
              <w:pStyle w:val="Heading4"/>
              <w:spacing w:before="0"/>
              <w:jc w:val="center"/>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21%</w:t>
            </w:r>
          </w:p>
        </w:tc>
        <w:tc>
          <w:tcPr>
            <w:tcW w:w="1134" w:type="dxa"/>
            <w:tcBorders>
              <w:top w:val="single" w:sz="4" w:space="0" w:color="00B050"/>
              <w:left w:val="single" w:sz="4" w:space="0" w:color="00B050"/>
              <w:bottom w:val="single" w:sz="4" w:space="0" w:color="00B050"/>
              <w:right w:val="single" w:sz="4" w:space="0" w:color="00B050"/>
            </w:tcBorders>
            <w:noWrap/>
            <w:vAlign w:val="center"/>
            <w:hideMark/>
          </w:tcPr>
          <w:p w:rsidR="00030337" w:rsidRPr="00467C27" w:rsidRDefault="00030337" w:rsidP="00030337">
            <w:pPr>
              <w:pStyle w:val="Heading4"/>
              <w:spacing w:before="0"/>
              <w:jc w:val="center"/>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18%</w:t>
            </w:r>
          </w:p>
        </w:tc>
        <w:tc>
          <w:tcPr>
            <w:tcW w:w="1276" w:type="dxa"/>
            <w:tcBorders>
              <w:top w:val="single" w:sz="4" w:space="0" w:color="00B050"/>
              <w:left w:val="single" w:sz="4" w:space="0" w:color="00B050"/>
              <w:bottom w:val="single" w:sz="4" w:space="0" w:color="00B050"/>
              <w:right w:val="single" w:sz="4" w:space="0" w:color="00B050"/>
            </w:tcBorders>
            <w:noWrap/>
            <w:vAlign w:val="center"/>
            <w:hideMark/>
          </w:tcPr>
          <w:p w:rsidR="00030337" w:rsidRPr="00467C27" w:rsidRDefault="00030337" w:rsidP="00030337">
            <w:pPr>
              <w:pStyle w:val="Heading4"/>
              <w:spacing w:before="0"/>
              <w:jc w:val="center"/>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20%</w:t>
            </w:r>
          </w:p>
        </w:tc>
        <w:tc>
          <w:tcPr>
            <w:tcW w:w="1134" w:type="dxa"/>
            <w:tcBorders>
              <w:top w:val="single" w:sz="4" w:space="0" w:color="00B050"/>
              <w:left w:val="single" w:sz="4" w:space="0" w:color="00B050"/>
              <w:bottom w:val="single" w:sz="4" w:space="0" w:color="00B050"/>
              <w:right w:val="single" w:sz="4" w:space="0" w:color="00B050"/>
            </w:tcBorders>
            <w:noWrap/>
            <w:vAlign w:val="center"/>
            <w:hideMark/>
          </w:tcPr>
          <w:p w:rsidR="00030337" w:rsidRPr="00467C27" w:rsidRDefault="00030337" w:rsidP="00030337">
            <w:pPr>
              <w:pStyle w:val="Heading4"/>
              <w:spacing w:before="0"/>
              <w:jc w:val="center"/>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9%</w:t>
            </w:r>
          </w:p>
        </w:tc>
        <w:tc>
          <w:tcPr>
            <w:tcW w:w="1464" w:type="dxa"/>
            <w:tcBorders>
              <w:top w:val="single" w:sz="4" w:space="0" w:color="00B050"/>
              <w:left w:val="single" w:sz="4" w:space="0" w:color="00B050"/>
              <w:bottom w:val="single" w:sz="4" w:space="0" w:color="00B050"/>
              <w:right w:val="single" w:sz="4" w:space="0" w:color="00B050"/>
            </w:tcBorders>
            <w:noWrap/>
            <w:vAlign w:val="center"/>
            <w:hideMark/>
          </w:tcPr>
          <w:p w:rsidR="00030337" w:rsidRPr="00467C27" w:rsidRDefault="00030337" w:rsidP="00030337">
            <w:pPr>
              <w:pStyle w:val="Heading4"/>
              <w:spacing w:before="0"/>
              <w:jc w:val="center"/>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15%</w:t>
            </w:r>
          </w:p>
        </w:tc>
        <w:tc>
          <w:tcPr>
            <w:tcW w:w="1181" w:type="dxa"/>
            <w:tcBorders>
              <w:top w:val="single" w:sz="4" w:space="0" w:color="00B050"/>
              <w:left w:val="single" w:sz="4" w:space="0" w:color="00B050"/>
              <w:bottom w:val="single" w:sz="4" w:space="0" w:color="00B050"/>
              <w:right w:val="single" w:sz="4" w:space="0" w:color="00B050"/>
            </w:tcBorders>
            <w:noWrap/>
            <w:vAlign w:val="center"/>
            <w:hideMark/>
          </w:tcPr>
          <w:p w:rsidR="00030337" w:rsidRPr="00467C27" w:rsidRDefault="00030337" w:rsidP="00030337">
            <w:pPr>
              <w:pStyle w:val="Heading4"/>
              <w:spacing w:before="0"/>
              <w:jc w:val="center"/>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3%</w:t>
            </w:r>
          </w:p>
        </w:tc>
        <w:tc>
          <w:tcPr>
            <w:tcW w:w="1182" w:type="dxa"/>
            <w:tcBorders>
              <w:top w:val="single" w:sz="4" w:space="0" w:color="00B050"/>
              <w:left w:val="single" w:sz="4" w:space="0" w:color="00B050"/>
              <w:bottom w:val="single" w:sz="4" w:space="0" w:color="00B050"/>
              <w:right w:val="nil"/>
            </w:tcBorders>
            <w:noWrap/>
            <w:vAlign w:val="center"/>
            <w:hideMark/>
          </w:tcPr>
          <w:p w:rsidR="00030337" w:rsidRPr="00467C27" w:rsidRDefault="00030337" w:rsidP="00030337">
            <w:pPr>
              <w:pStyle w:val="Heading4"/>
              <w:spacing w:before="0"/>
              <w:jc w:val="center"/>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97%</w:t>
            </w:r>
          </w:p>
        </w:tc>
      </w:tr>
      <w:tr w:rsidR="00030337" w:rsidRPr="00467C27" w:rsidTr="00030337">
        <w:trPr>
          <w:trHeight w:val="273"/>
        </w:trPr>
        <w:tc>
          <w:tcPr>
            <w:tcW w:w="2553" w:type="dxa"/>
            <w:vMerge w:val="restart"/>
            <w:tcBorders>
              <w:top w:val="single" w:sz="4" w:space="0" w:color="00B050"/>
              <w:left w:val="nil"/>
              <w:bottom w:val="single" w:sz="4" w:space="0" w:color="00B050"/>
              <w:right w:val="single" w:sz="4" w:space="0" w:color="00B050"/>
            </w:tcBorders>
            <w:hideMark/>
          </w:tcPr>
          <w:p w:rsidR="00030337" w:rsidRPr="00A622BE" w:rsidRDefault="00030337" w:rsidP="0009290F">
            <w:pPr>
              <w:pStyle w:val="Heading4"/>
              <w:spacing w:before="0"/>
              <w:outlineLvl w:val="3"/>
              <w:rPr>
                <w:rFonts w:asciiTheme="minorHAnsi" w:hAnsiTheme="minorHAnsi" w:cstheme="minorHAnsi"/>
                <w:color w:val="auto"/>
                <w:sz w:val="20"/>
                <w:szCs w:val="20"/>
              </w:rPr>
            </w:pPr>
            <w:r w:rsidRPr="00A622BE">
              <w:rPr>
                <w:rFonts w:asciiTheme="minorHAnsi" w:hAnsiTheme="minorHAnsi" w:cstheme="minorHAnsi"/>
                <w:color w:val="auto"/>
                <w:sz w:val="20"/>
                <w:szCs w:val="20"/>
              </w:rPr>
              <w:t>Botanic gardens, including Otari</w:t>
            </w:r>
            <w:r w:rsidR="0009290F">
              <w:rPr>
                <w:rFonts w:asciiTheme="minorHAnsi" w:hAnsiTheme="minorHAnsi" w:cstheme="minorHAnsi"/>
                <w:color w:val="auto"/>
                <w:sz w:val="20"/>
                <w:szCs w:val="20"/>
              </w:rPr>
              <w:t>-</w:t>
            </w:r>
            <w:r w:rsidRPr="00A622BE">
              <w:rPr>
                <w:rFonts w:asciiTheme="minorHAnsi" w:hAnsiTheme="minorHAnsi" w:cstheme="minorHAnsi"/>
                <w:color w:val="auto"/>
                <w:sz w:val="20"/>
                <w:szCs w:val="20"/>
              </w:rPr>
              <w:t>Wilton</w:t>
            </w:r>
            <w:r w:rsidR="0009290F">
              <w:rPr>
                <w:rFonts w:asciiTheme="minorHAnsi" w:hAnsiTheme="minorHAnsi" w:cstheme="minorHAnsi"/>
                <w:color w:val="auto"/>
                <w:sz w:val="20"/>
                <w:szCs w:val="20"/>
              </w:rPr>
              <w:t>’</w:t>
            </w:r>
            <w:r w:rsidRPr="00A622BE">
              <w:rPr>
                <w:rFonts w:asciiTheme="minorHAnsi" w:hAnsiTheme="minorHAnsi" w:cstheme="minorHAnsi"/>
                <w:color w:val="auto"/>
                <w:sz w:val="20"/>
                <w:szCs w:val="20"/>
              </w:rPr>
              <w:t>s Bush Native Botanic Reserve</w:t>
            </w:r>
          </w:p>
        </w:tc>
        <w:tc>
          <w:tcPr>
            <w:tcW w:w="1417" w:type="dxa"/>
            <w:tcBorders>
              <w:top w:val="single" w:sz="4" w:space="0" w:color="00B050"/>
              <w:left w:val="single" w:sz="4" w:space="0" w:color="00B050"/>
              <w:bottom w:val="single" w:sz="4" w:space="0" w:color="00B050"/>
              <w:right w:val="single" w:sz="4" w:space="0" w:color="00B050"/>
            </w:tcBorders>
            <w:noWrap/>
            <w:hideMark/>
          </w:tcPr>
          <w:p w:rsidR="00030337" w:rsidRPr="00467C27" w:rsidRDefault="00030337" w:rsidP="00030337">
            <w:pPr>
              <w:pStyle w:val="Heading4"/>
              <w:spacing w:before="0"/>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2015 n=683</w:t>
            </w:r>
          </w:p>
        </w:tc>
        <w:tc>
          <w:tcPr>
            <w:tcW w:w="992" w:type="dxa"/>
            <w:tcBorders>
              <w:top w:val="single" w:sz="4" w:space="0" w:color="00B050"/>
              <w:left w:val="single" w:sz="4" w:space="0" w:color="00B050"/>
              <w:bottom w:val="single" w:sz="4" w:space="0" w:color="00B050"/>
              <w:right w:val="single" w:sz="4" w:space="0" w:color="00B050"/>
            </w:tcBorders>
            <w:noWrap/>
            <w:vAlign w:val="center"/>
            <w:hideMark/>
          </w:tcPr>
          <w:p w:rsidR="00030337" w:rsidRPr="00467C27" w:rsidRDefault="00030337" w:rsidP="00030337">
            <w:pPr>
              <w:pStyle w:val="Heading4"/>
              <w:spacing w:before="0"/>
              <w:jc w:val="center"/>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2%</w:t>
            </w:r>
          </w:p>
        </w:tc>
        <w:tc>
          <w:tcPr>
            <w:tcW w:w="1134" w:type="dxa"/>
            <w:tcBorders>
              <w:top w:val="single" w:sz="4" w:space="0" w:color="00B050"/>
              <w:left w:val="single" w:sz="4" w:space="0" w:color="00B050"/>
              <w:bottom w:val="single" w:sz="4" w:space="0" w:color="00B050"/>
              <w:right w:val="single" w:sz="4" w:space="0" w:color="00B050"/>
            </w:tcBorders>
            <w:noWrap/>
            <w:vAlign w:val="center"/>
            <w:hideMark/>
          </w:tcPr>
          <w:p w:rsidR="00030337" w:rsidRPr="00467C27" w:rsidRDefault="00030337" w:rsidP="00030337">
            <w:pPr>
              <w:pStyle w:val="Heading4"/>
              <w:spacing w:before="0"/>
              <w:jc w:val="center"/>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4%</w:t>
            </w:r>
          </w:p>
        </w:tc>
        <w:tc>
          <w:tcPr>
            <w:tcW w:w="1134" w:type="dxa"/>
            <w:tcBorders>
              <w:top w:val="single" w:sz="4" w:space="0" w:color="00B050"/>
              <w:left w:val="single" w:sz="4" w:space="0" w:color="00B050"/>
              <w:bottom w:val="single" w:sz="4" w:space="0" w:color="00B050"/>
              <w:right w:val="single" w:sz="4" w:space="0" w:color="00B050"/>
            </w:tcBorders>
            <w:noWrap/>
            <w:vAlign w:val="center"/>
            <w:hideMark/>
          </w:tcPr>
          <w:p w:rsidR="00030337" w:rsidRPr="00467C27" w:rsidRDefault="00030337" w:rsidP="00030337">
            <w:pPr>
              <w:pStyle w:val="Heading4"/>
              <w:spacing w:before="0"/>
              <w:jc w:val="center"/>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7%</w:t>
            </w:r>
          </w:p>
        </w:tc>
        <w:tc>
          <w:tcPr>
            <w:tcW w:w="1134" w:type="dxa"/>
            <w:tcBorders>
              <w:top w:val="single" w:sz="4" w:space="0" w:color="00B050"/>
              <w:left w:val="single" w:sz="4" w:space="0" w:color="00B050"/>
              <w:bottom w:val="single" w:sz="4" w:space="0" w:color="00B050"/>
              <w:right w:val="single" w:sz="4" w:space="0" w:color="00B050"/>
            </w:tcBorders>
            <w:noWrap/>
            <w:vAlign w:val="center"/>
            <w:hideMark/>
          </w:tcPr>
          <w:p w:rsidR="00030337" w:rsidRPr="00467C27" w:rsidRDefault="00030337" w:rsidP="00030337">
            <w:pPr>
              <w:pStyle w:val="Heading4"/>
              <w:spacing w:before="0"/>
              <w:jc w:val="center"/>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11%</w:t>
            </w:r>
          </w:p>
        </w:tc>
        <w:tc>
          <w:tcPr>
            <w:tcW w:w="1276" w:type="dxa"/>
            <w:tcBorders>
              <w:top w:val="single" w:sz="4" w:space="0" w:color="00B050"/>
              <w:left w:val="single" w:sz="4" w:space="0" w:color="00B050"/>
              <w:bottom w:val="single" w:sz="4" w:space="0" w:color="00B050"/>
              <w:right w:val="single" w:sz="4" w:space="0" w:color="00B050"/>
            </w:tcBorders>
            <w:noWrap/>
            <w:vAlign w:val="center"/>
            <w:hideMark/>
          </w:tcPr>
          <w:p w:rsidR="00030337" w:rsidRPr="00467C27" w:rsidRDefault="00030337" w:rsidP="00030337">
            <w:pPr>
              <w:pStyle w:val="Heading4"/>
              <w:spacing w:before="0"/>
              <w:jc w:val="center"/>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25%</w:t>
            </w:r>
          </w:p>
        </w:tc>
        <w:tc>
          <w:tcPr>
            <w:tcW w:w="1134" w:type="dxa"/>
            <w:tcBorders>
              <w:top w:val="single" w:sz="4" w:space="0" w:color="00B050"/>
              <w:left w:val="single" w:sz="4" w:space="0" w:color="00B050"/>
              <w:bottom w:val="single" w:sz="4" w:space="0" w:color="00B050"/>
              <w:right w:val="single" w:sz="4" w:space="0" w:color="00B050"/>
            </w:tcBorders>
            <w:noWrap/>
            <w:vAlign w:val="center"/>
            <w:hideMark/>
          </w:tcPr>
          <w:p w:rsidR="00030337" w:rsidRPr="00467C27" w:rsidRDefault="00030337" w:rsidP="00030337">
            <w:pPr>
              <w:pStyle w:val="Heading4"/>
              <w:spacing w:before="0"/>
              <w:jc w:val="center"/>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12%</w:t>
            </w:r>
          </w:p>
        </w:tc>
        <w:tc>
          <w:tcPr>
            <w:tcW w:w="1464" w:type="dxa"/>
            <w:tcBorders>
              <w:top w:val="single" w:sz="4" w:space="0" w:color="00B050"/>
              <w:left w:val="single" w:sz="4" w:space="0" w:color="00B050"/>
              <w:bottom w:val="single" w:sz="4" w:space="0" w:color="00B050"/>
              <w:right w:val="single" w:sz="4" w:space="0" w:color="00B050"/>
            </w:tcBorders>
            <w:noWrap/>
            <w:vAlign w:val="center"/>
            <w:hideMark/>
          </w:tcPr>
          <w:p w:rsidR="00030337" w:rsidRPr="00467C27" w:rsidRDefault="00030337" w:rsidP="00030337">
            <w:pPr>
              <w:pStyle w:val="Heading4"/>
              <w:spacing w:before="0"/>
              <w:jc w:val="center"/>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27%</w:t>
            </w:r>
          </w:p>
        </w:tc>
        <w:tc>
          <w:tcPr>
            <w:tcW w:w="1181" w:type="dxa"/>
            <w:tcBorders>
              <w:top w:val="single" w:sz="4" w:space="0" w:color="00B050"/>
              <w:left w:val="single" w:sz="4" w:space="0" w:color="00B050"/>
              <w:bottom w:val="single" w:sz="4" w:space="0" w:color="00B050"/>
              <w:right w:val="single" w:sz="4" w:space="0" w:color="00B050"/>
            </w:tcBorders>
            <w:noWrap/>
            <w:vAlign w:val="center"/>
            <w:hideMark/>
          </w:tcPr>
          <w:p w:rsidR="00030337" w:rsidRPr="00467C27" w:rsidRDefault="00030337" w:rsidP="00030337">
            <w:pPr>
              <w:pStyle w:val="Heading4"/>
              <w:spacing w:before="0"/>
              <w:jc w:val="center"/>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13%</w:t>
            </w:r>
          </w:p>
        </w:tc>
        <w:tc>
          <w:tcPr>
            <w:tcW w:w="1182" w:type="dxa"/>
            <w:tcBorders>
              <w:top w:val="single" w:sz="4" w:space="0" w:color="00B050"/>
              <w:left w:val="single" w:sz="4" w:space="0" w:color="00B050"/>
              <w:bottom w:val="single" w:sz="4" w:space="0" w:color="00B050"/>
              <w:right w:val="nil"/>
            </w:tcBorders>
            <w:noWrap/>
            <w:vAlign w:val="center"/>
            <w:hideMark/>
          </w:tcPr>
          <w:p w:rsidR="00030337" w:rsidRPr="00467C27" w:rsidRDefault="00030337" w:rsidP="00030337">
            <w:pPr>
              <w:pStyle w:val="Heading4"/>
              <w:spacing w:before="0"/>
              <w:jc w:val="center"/>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87%</w:t>
            </w:r>
          </w:p>
        </w:tc>
      </w:tr>
      <w:tr w:rsidR="00030337" w:rsidRPr="00467C27" w:rsidTr="00030337">
        <w:trPr>
          <w:trHeight w:val="276"/>
        </w:trPr>
        <w:tc>
          <w:tcPr>
            <w:tcW w:w="2553" w:type="dxa"/>
            <w:vMerge/>
            <w:tcBorders>
              <w:top w:val="single" w:sz="4" w:space="0" w:color="00B050"/>
              <w:left w:val="nil"/>
              <w:bottom w:val="single" w:sz="4" w:space="0" w:color="00B050"/>
              <w:right w:val="single" w:sz="4" w:space="0" w:color="00B050"/>
            </w:tcBorders>
            <w:hideMark/>
          </w:tcPr>
          <w:p w:rsidR="00030337" w:rsidRPr="00A622BE" w:rsidRDefault="00030337" w:rsidP="00030337">
            <w:pPr>
              <w:pStyle w:val="Heading4"/>
              <w:spacing w:before="0"/>
              <w:outlineLvl w:val="3"/>
              <w:rPr>
                <w:rFonts w:asciiTheme="minorHAnsi" w:hAnsiTheme="minorHAnsi" w:cstheme="minorHAnsi"/>
                <w:color w:val="auto"/>
                <w:sz w:val="20"/>
                <w:szCs w:val="20"/>
              </w:rPr>
            </w:pPr>
          </w:p>
        </w:tc>
        <w:tc>
          <w:tcPr>
            <w:tcW w:w="1417" w:type="dxa"/>
            <w:tcBorders>
              <w:top w:val="single" w:sz="4" w:space="0" w:color="00B050"/>
              <w:left w:val="single" w:sz="4" w:space="0" w:color="00B050"/>
              <w:bottom w:val="single" w:sz="4" w:space="0" w:color="00B050"/>
              <w:right w:val="single" w:sz="4" w:space="0" w:color="00B050"/>
            </w:tcBorders>
            <w:noWrap/>
            <w:hideMark/>
          </w:tcPr>
          <w:p w:rsidR="00030337" w:rsidRPr="00467C27" w:rsidRDefault="00030337" w:rsidP="00030337">
            <w:pPr>
              <w:pStyle w:val="Heading4"/>
              <w:spacing w:before="0"/>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2016 n=671</w:t>
            </w:r>
          </w:p>
        </w:tc>
        <w:tc>
          <w:tcPr>
            <w:tcW w:w="992" w:type="dxa"/>
            <w:tcBorders>
              <w:top w:val="single" w:sz="4" w:space="0" w:color="00B050"/>
              <w:left w:val="single" w:sz="4" w:space="0" w:color="00B050"/>
              <w:bottom w:val="single" w:sz="4" w:space="0" w:color="00B050"/>
              <w:right w:val="single" w:sz="4" w:space="0" w:color="00B050"/>
            </w:tcBorders>
            <w:noWrap/>
            <w:vAlign w:val="center"/>
            <w:hideMark/>
          </w:tcPr>
          <w:p w:rsidR="00030337" w:rsidRPr="00467C27" w:rsidRDefault="00030337" w:rsidP="00030337">
            <w:pPr>
              <w:pStyle w:val="Heading4"/>
              <w:spacing w:before="0"/>
              <w:jc w:val="center"/>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1%</w:t>
            </w:r>
          </w:p>
        </w:tc>
        <w:tc>
          <w:tcPr>
            <w:tcW w:w="1134" w:type="dxa"/>
            <w:tcBorders>
              <w:top w:val="single" w:sz="4" w:space="0" w:color="00B050"/>
              <w:left w:val="single" w:sz="4" w:space="0" w:color="00B050"/>
              <w:bottom w:val="single" w:sz="4" w:space="0" w:color="00B050"/>
              <w:right w:val="single" w:sz="4" w:space="0" w:color="00B050"/>
            </w:tcBorders>
            <w:noWrap/>
            <w:vAlign w:val="center"/>
            <w:hideMark/>
          </w:tcPr>
          <w:p w:rsidR="00030337" w:rsidRPr="00467C27" w:rsidRDefault="00030337" w:rsidP="00030337">
            <w:pPr>
              <w:pStyle w:val="Heading4"/>
              <w:spacing w:before="0"/>
              <w:jc w:val="center"/>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3%</w:t>
            </w:r>
          </w:p>
        </w:tc>
        <w:tc>
          <w:tcPr>
            <w:tcW w:w="1134" w:type="dxa"/>
            <w:tcBorders>
              <w:top w:val="single" w:sz="4" w:space="0" w:color="00B050"/>
              <w:left w:val="single" w:sz="4" w:space="0" w:color="00B050"/>
              <w:bottom w:val="single" w:sz="4" w:space="0" w:color="00B050"/>
              <w:right w:val="single" w:sz="4" w:space="0" w:color="00B050"/>
            </w:tcBorders>
            <w:noWrap/>
            <w:vAlign w:val="center"/>
            <w:hideMark/>
          </w:tcPr>
          <w:p w:rsidR="00030337" w:rsidRPr="00467C27" w:rsidRDefault="00030337" w:rsidP="00030337">
            <w:pPr>
              <w:pStyle w:val="Heading4"/>
              <w:spacing w:before="0"/>
              <w:jc w:val="center"/>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7%</w:t>
            </w:r>
          </w:p>
        </w:tc>
        <w:tc>
          <w:tcPr>
            <w:tcW w:w="1134" w:type="dxa"/>
            <w:tcBorders>
              <w:top w:val="single" w:sz="4" w:space="0" w:color="00B050"/>
              <w:left w:val="single" w:sz="4" w:space="0" w:color="00B050"/>
              <w:bottom w:val="single" w:sz="4" w:space="0" w:color="00B050"/>
              <w:right w:val="single" w:sz="4" w:space="0" w:color="00B050"/>
            </w:tcBorders>
            <w:noWrap/>
            <w:vAlign w:val="center"/>
            <w:hideMark/>
          </w:tcPr>
          <w:p w:rsidR="00030337" w:rsidRPr="00467C27" w:rsidRDefault="00030337" w:rsidP="00030337">
            <w:pPr>
              <w:pStyle w:val="Heading4"/>
              <w:spacing w:before="0"/>
              <w:jc w:val="center"/>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12%</w:t>
            </w:r>
          </w:p>
        </w:tc>
        <w:tc>
          <w:tcPr>
            <w:tcW w:w="1276" w:type="dxa"/>
            <w:tcBorders>
              <w:top w:val="single" w:sz="4" w:space="0" w:color="00B050"/>
              <w:left w:val="single" w:sz="4" w:space="0" w:color="00B050"/>
              <w:bottom w:val="single" w:sz="4" w:space="0" w:color="00B050"/>
              <w:right w:val="single" w:sz="4" w:space="0" w:color="00B050"/>
            </w:tcBorders>
            <w:noWrap/>
            <w:vAlign w:val="center"/>
            <w:hideMark/>
          </w:tcPr>
          <w:p w:rsidR="00030337" w:rsidRPr="00467C27" w:rsidRDefault="00030337" w:rsidP="00030337">
            <w:pPr>
              <w:pStyle w:val="Heading4"/>
              <w:spacing w:before="0"/>
              <w:jc w:val="center"/>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23%</w:t>
            </w:r>
          </w:p>
        </w:tc>
        <w:tc>
          <w:tcPr>
            <w:tcW w:w="1134" w:type="dxa"/>
            <w:tcBorders>
              <w:top w:val="single" w:sz="4" w:space="0" w:color="00B050"/>
              <w:left w:val="single" w:sz="4" w:space="0" w:color="00B050"/>
              <w:bottom w:val="single" w:sz="4" w:space="0" w:color="00B050"/>
              <w:right w:val="single" w:sz="4" w:space="0" w:color="00B050"/>
            </w:tcBorders>
            <w:noWrap/>
            <w:vAlign w:val="center"/>
            <w:hideMark/>
          </w:tcPr>
          <w:p w:rsidR="00030337" w:rsidRPr="00467C27" w:rsidRDefault="00030337" w:rsidP="00030337">
            <w:pPr>
              <w:pStyle w:val="Heading4"/>
              <w:spacing w:before="0"/>
              <w:jc w:val="center"/>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16%</w:t>
            </w:r>
          </w:p>
        </w:tc>
        <w:tc>
          <w:tcPr>
            <w:tcW w:w="1464" w:type="dxa"/>
            <w:tcBorders>
              <w:top w:val="single" w:sz="4" w:space="0" w:color="00B050"/>
              <w:left w:val="single" w:sz="4" w:space="0" w:color="00B050"/>
              <w:bottom w:val="single" w:sz="4" w:space="0" w:color="00B050"/>
              <w:right w:val="single" w:sz="4" w:space="0" w:color="00B050"/>
            </w:tcBorders>
            <w:noWrap/>
            <w:vAlign w:val="center"/>
            <w:hideMark/>
          </w:tcPr>
          <w:p w:rsidR="00030337" w:rsidRPr="00467C27" w:rsidRDefault="00030337" w:rsidP="00030337">
            <w:pPr>
              <w:pStyle w:val="Heading4"/>
              <w:spacing w:before="0"/>
              <w:jc w:val="center"/>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23%</w:t>
            </w:r>
          </w:p>
        </w:tc>
        <w:tc>
          <w:tcPr>
            <w:tcW w:w="1181" w:type="dxa"/>
            <w:tcBorders>
              <w:top w:val="single" w:sz="4" w:space="0" w:color="00B050"/>
              <w:left w:val="single" w:sz="4" w:space="0" w:color="00B050"/>
              <w:bottom w:val="single" w:sz="4" w:space="0" w:color="00B050"/>
              <w:right w:val="single" w:sz="4" w:space="0" w:color="00B050"/>
            </w:tcBorders>
            <w:noWrap/>
            <w:vAlign w:val="center"/>
            <w:hideMark/>
          </w:tcPr>
          <w:p w:rsidR="00030337" w:rsidRPr="00467C27" w:rsidRDefault="00030337" w:rsidP="00030337">
            <w:pPr>
              <w:pStyle w:val="Heading4"/>
              <w:spacing w:before="0"/>
              <w:jc w:val="center"/>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15%</w:t>
            </w:r>
          </w:p>
        </w:tc>
        <w:tc>
          <w:tcPr>
            <w:tcW w:w="1182" w:type="dxa"/>
            <w:tcBorders>
              <w:top w:val="single" w:sz="4" w:space="0" w:color="00B050"/>
              <w:left w:val="single" w:sz="4" w:space="0" w:color="00B050"/>
              <w:bottom w:val="single" w:sz="4" w:space="0" w:color="00B050"/>
              <w:right w:val="nil"/>
            </w:tcBorders>
            <w:noWrap/>
            <w:vAlign w:val="center"/>
            <w:hideMark/>
          </w:tcPr>
          <w:p w:rsidR="00030337" w:rsidRPr="00467C27" w:rsidRDefault="00030337" w:rsidP="00030337">
            <w:pPr>
              <w:pStyle w:val="Heading4"/>
              <w:spacing w:before="0"/>
              <w:jc w:val="center"/>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85%</w:t>
            </w:r>
          </w:p>
        </w:tc>
      </w:tr>
      <w:tr w:rsidR="00030337" w:rsidRPr="00467C27" w:rsidTr="00030337">
        <w:trPr>
          <w:trHeight w:val="276"/>
        </w:trPr>
        <w:tc>
          <w:tcPr>
            <w:tcW w:w="2553" w:type="dxa"/>
            <w:vMerge/>
            <w:tcBorders>
              <w:top w:val="single" w:sz="4" w:space="0" w:color="00B050"/>
              <w:left w:val="nil"/>
              <w:bottom w:val="single" w:sz="4" w:space="0" w:color="00B050"/>
              <w:right w:val="single" w:sz="4" w:space="0" w:color="00B050"/>
            </w:tcBorders>
            <w:hideMark/>
          </w:tcPr>
          <w:p w:rsidR="00030337" w:rsidRPr="00A622BE" w:rsidRDefault="00030337" w:rsidP="00030337">
            <w:pPr>
              <w:pStyle w:val="Heading4"/>
              <w:spacing w:before="0"/>
              <w:outlineLvl w:val="3"/>
              <w:rPr>
                <w:rFonts w:asciiTheme="minorHAnsi" w:hAnsiTheme="minorHAnsi" w:cstheme="minorHAnsi"/>
                <w:color w:val="auto"/>
                <w:sz w:val="20"/>
                <w:szCs w:val="20"/>
              </w:rPr>
            </w:pPr>
          </w:p>
        </w:tc>
        <w:tc>
          <w:tcPr>
            <w:tcW w:w="1417" w:type="dxa"/>
            <w:tcBorders>
              <w:top w:val="single" w:sz="4" w:space="0" w:color="00B050"/>
              <w:left w:val="single" w:sz="4" w:space="0" w:color="00B050"/>
              <w:bottom w:val="single" w:sz="4" w:space="0" w:color="00B050"/>
              <w:right w:val="single" w:sz="4" w:space="0" w:color="00B050"/>
            </w:tcBorders>
            <w:noWrap/>
            <w:hideMark/>
          </w:tcPr>
          <w:p w:rsidR="00030337" w:rsidRPr="00467C27" w:rsidRDefault="00030337" w:rsidP="00030337">
            <w:pPr>
              <w:pStyle w:val="Heading4"/>
              <w:spacing w:before="0"/>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2017 n=673</w:t>
            </w:r>
          </w:p>
        </w:tc>
        <w:tc>
          <w:tcPr>
            <w:tcW w:w="992" w:type="dxa"/>
            <w:tcBorders>
              <w:top w:val="single" w:sz="4" w:space="0" w:color="00B050"/>
              <w:left w:val="single" w:sz="4" w:space="0" w:color="00B050"/>
              <w:bottom w:val="single" w:sz="4" w:space="0" w:color="00B050"/>
              <w:right w:val="single" w:sz="4" w:space="0" w:color="00B050"/>
            </w:tcBorders>
            <w:noWrap/>
            <w:vAlign w:val="center"/>
            <w:hideMark/>
          </w:tcPr>
          <w:p w:rsidR="00030337" w:rsidRPr="00467C27" w:rsidRDefault="00030337" w:rsidP="00030337">
            <w:pPr>
              <w:pStyle w:val="Heading4"/>
              <w:spacing w:before="0"/>
              <w:jc w:val="center"/>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2%</w:t>
            </w:r>
          </w:p>
        </w:tc>
        <w:tc>
          <w:tcPr>
            <w:tcW w:w="1134" w:type="dxa"/>
            <w:tcBorders>
              <w:top w:val="single" w:sz="4" w:space="0" w:color="00B050"/>
              <w:left w:val="single" w:sz="4" w:space="0" w:color="00B050"/>
              <w:bottom w:val="single" w:sz="4" w:space="0" w:color="00B050"/>
              <w:right w:val="single" w:sz="4" w:space="0" w:color="00B050"/>
            </w:tcBorders>
            <w:noWrap/>
            <w:vAlign w:val="center"/>
            <w:hideMark/>
          </w:tcPr>
          <w:p w:rsidR="00030337" w:rsidRPr="00467C27" w:rsidRDefault="00030337" w:rsidP="00030337">
            <w:pPr>
              <w:pStyle w:val="Heading4"/>
              <w:spacing w:before="0"/>
              <w:jc w:val="center"/>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3%</w:t>
            </w:r>
          </w:p>
        </w:tc>
        <w:tc>
          <w:tcPr>
            <w:tcW w:w="1134" w:type="dxa"/>
            <w:tcBorders>
              <w:top w:val="single" w:sz="4" w:space="0" w:color="00B050"/>
              <w:left w:val="single" w:sz="4" w:space="0" w:color="00B050"/>
              <w:bottom w:val="single" w:sz="4" w:space="0" w:color="00B050"/>
              <w:right w:val="single" w:sz="4" w:space="0" w:color="00B050"/>
            </w:tcBorders>
            <w:noWrap/>
            <w:vAlign w:val="center"/>
            <w:hideMark/>
          </w:tcPr>
          <w:p w:rsidR="00030337" w:rsidRPr="00467C27" w:rsidRDefault="00030337" w:rsidP="00030337">
            <w:pPr>
              <w:pStyle w:val="Heading4"/>
              <w:spacing w:before="0"/>
              <w:jc w:val="center"/>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8%</w:t>
            </w:r>
          </w:p>
        </w:tc>
        <w:tc>
          <w:tcPr>
            <w:tcW w:w="1134" w:type="dxa"/>
            <w:tcBorders>
              <w:top w:val="single" w:sz="4" w:space="0" w:color="00B050"/>
              <w:left w:val="single" w:sz="4" w:space="0" w:color="00B050"/>
              <w:bottom w:val="single" w:sz="4" w:space="0" w:color="00B050"/>
              <w:right w:val="single" w:sz="4" w:space="0" w:color="00B050"/>
            </w:tcBorders>
            <w:noWrap/>
            <w:vAlign w:val="center"/>
            <w:hideMark/>
          </w:tcPr>
          <w:p w:rsidR="00030337" w:rsidRPr="00467C27" w:rsidRDefault="00030337" w:rsidP="00030337">
            <w:pPr>
              <w:pStyle w:val="Heading4"/>
              <w:spacing w:before="0"/>
              <w:jc w:val="center"/>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11%</w:t>
            </w:r>
          </w:p>
        </w:tc>
        <w:tc>
          <w:tcPr>
            <w:tcW w:w="1276" w:type="dxa"/>
            <w:tcBorders>
              <w:top w:val="single" w:sz="4" w:space="0" w:color="00B050"/>
              <w:left w:val="single" w:sz="4" w:space="0" w:color="00B050"/>
              <w:bottom w:val="single" w:sz="4" w:space="0" w:color="00B050"/>
              <w:right w:val="single" w:sz="4" w:space="0" w:color="00B050"/>
            </w:tcBorders>
            <w:noWrap/>
            <w:vAlign w:val="center"/>
            <w:hideMark/>
          </w:tcPr>
          <w:p w:rsidR="00030337" w:rsidRPr="00467C27" w:rsidRDefault="00030337" w:rsidP="00030337">
            <w:pPr>
              <w:pStyle w:val="Heading4"/>
              <w:spacing w:before="0"/>
              <w:jc w:val="center"/>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18%</w:t>
            </w:r>
          </w:p>
        </w:tc>
        <w:tc>
          <w:tcPr>
            <w:tcW w:w="1134" w:type="dxa"/>
            <w:tcBorders>
              <w:top w:val="single" w:sz="4" w:space="0" w:color="00B050"/>
              <w:left w:val="single" w:sz="4" w:space="0" w:color="00B050"/>
              <w:bottom w:val="single" w:sz="4" w:space="0" w:color="00B050"/>
              <w:right w:val="single" w:sz="4" w:space="0" w:color="00B050"/>
            </w:tcBorders>
            <w:noWrap/>
            <w:vAlign w:val="center"/>
            <w:hideMark/>
          </w:tcPr>
          <w:p w:rsidR="00030337" w:rsidRPr="00467C27" w:rsidRDefault="00030337" w:rsidP="00030337">
            <w:pPr>
              <w:pStyle w:val="Heading4"/>
              <w:spacing w:before="0"/>
              <w:jc w:val="center"/>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18%</w:t>
            </w:r>
          </w:p>
        </w:tc>
        <w:tc>
          <w:tcPr>
            <w:tcW w:w="1464" w:type="dxa"/>
            <w:tcBorders>
              <w:top w:val="single" w:sz="4" w:space="0" w:color="00B050"/>
              <w:left w:val="single" w:sz="4" w:space="0" w:color="00B050"/>
              <w:bottom w:val="single" w:sz="4" w:space="0" w:color="00B050"/>
              <w:right w:val="single" w:sz="4" w:space="0" w:color="00B050"/>
            </w:tcBorders>
            <w:noWrap/>
            <w:vAlign w:val="center"/>
            <w:hideMark/>
          </w:tcPr>
          <w:p w:rsidR="00030337" w:rsidRPr="00467C27" w:rsidRDefault="00030337" w:rsidP="00030337">
            <w:pPr>
              <w:pStyle w:val="Heading4"/>
              <w:spacing w:before="0"/>
              <w:jc w:val="center"/>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26%</w:t>
            </w:r>
          </w:p>
        </w:tc>
        <w:tc>
          <w:tcPr>
            <w:tcW w:w="1181" w:type="dxa"/>
            <w:tcBorders>
              <w:top w:val="single" w:sz="4" w:space="0" w:color="00B050"/>
              <w:left w:val="single" w:sz="4" w:space="0" w:color="00B050"/>
              <w:bottom w:val="single" w:sz="4" w:space="0" w:color="00B050"/>
              <w:right w:val="single" w:sz="4" w:space="0" w:color="00B050"/>
            </w:tcBorders>
            <w:noWrap/>
            <w:vAlign w:val="center"/>
            <w:hideMark/>
          </w:tcPr>
          <w:p w:rsidR="00030337" w:rsidRPr="00467C27" w:rsidRDefault="00030337" w:rsidP="00030337">
            <w:pPr>
              <w:pStyle w:val="Heading4"/>
              <w:spacing w:before="0"/>
              <w:jc w:val="center"/>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14%</w:t>
            </w:r>
          </w:p>
        </w:tc>
        <w:tc>
          <w:tcPr>
            <w:tcW w:w="1182" w:type="dxa"/>
            <w:tcBorders>
              <w:top w:val="single" w:sz="4" w:space="0" w:color="00B050"/>
              <w:left w:val="single" w:sz="4" w:space="0" w:color="00B050"/>
              <w:bottom w:val="single" w:sz="4" w:space="0" w:color="00B050"/>
              <w:right w:val="nil"/>
            </w:tcBorders>
            <w:noWrap/>
            <w:vAlign w:val="center"/>
            <w:hideMark/>
          </w:tcPr>
          <w:p w:rsidR="00030337" w:rsidRPr="00467C27" w:rsidRDefault="00030337" w:rsidP="00030337">
            <w:pPr>
              <w:pStyle w:val="Heading4"/>
              <w:spacing w:before="0"/>
              <w:jc w:val="center"/>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86%</w:t>
            </w:r>
          </w:p>
        </w:tc>
      </w:tr>
      <w:tr w:rsidR="00030337" w:rsidRPr="00467C27" w:rsidTr="00030337">
        <w:trPr>
          <w:trHeight w:val="276"/>
        </w:trPr>
        <w:tc>
          <w:tcPr>
            <w:tcW w:w="2553" w:type="dxa"/>
            <w:vMerge/>
            <w:tcBorders>
              <w:top w:val="single" w:sz="4" w:space="0" w:color="00B050"/>
              <w:left w:val="nil"/>
              <w:bottom w:val="single" w:sz="4" w:space="0" w:color="00B050"/>
              <w:right w:val="single" w:sz="4" w:space="0" w:color="00B050"/>
            </w:tcBorders>
            <w:hideMark/>
          </w:tcPr>
          <w:p w:rsidR="00030337" w:rsidRPr="00A622BE" w:rsidRDefault="00030337" w:rsidP="00030337">
            <w:pPr>
              <w:pStyle w:val="Heading4"/>
              <w:spacing w:before="0"/>
              <w:outlineLvl w:val="3"/>
              <w:rPr>
                <w:rFonts w:asciiTheme="minorHAnsi" w:hAnsiTheme="minorHAnsi" w:cstheme="minorHAnsi"/>
                <w:color w:val="auto"/>
                <w:sz w:val="20"/>
                <w:szCs w:val="20"/>
              </w:rPr>
            </w:pPr>
          </w:p>
        </w:tc>
        <w:tc>
          <w:tcPr>
            <w:tcW w:w="1417" w:type="dxa"/>
            <w:tcBorders>
              <w:top w:val="single" w:sz="4" w:space="0" w:color="00B050"/>
              <w:left w:val="single" w:sz="4" w:space="0" w:color="00B050"/>
              <w:bottom w:val="single" w:sz="4" w:space="0" w:color="00B050"/>
              <w:right w:val="single" w:sz="4" w:space="0" w:color="00B050"/>
            </w:tcBorders>
            <w:noWrap/>
            <w:hideMark/>
          </w:tcPr>
          <w:p w:rsidR="00030337" w:rsidRPr="00467C27" w:rsidRDefault="00030337" w:rsidP="00030337">
            <w:pPr>
              <w:pStyle w:val="Heading4"/>
              <w:spacing w:before="0"/>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2018 n=968</w:t>
            </w:r>
          </w:p>
        </w:tc>
        <w:tc>
          <w:tcPr>
            <w:tcW w:w="992" w:type="dxa"/>
            <w:tcBorders>
              <w:top w:val="single" w:sz="4" w:space="0" w:color="00B050"/>
              <w:left w:val="single" w:sz="4" w:space="0" w:color="00B050"/>
              <w:bottom w:val="single" w:sz="4" w:space="0" w:color="00B050"/>
              <w:right w:val="single" w:sz="4" w:space="0" w:color="00B050"/>
            </w:tcBorders>
            <w:noWrap/>
            <w:vAlign w:val="center"/>
            <w:hideMark/>
          </w:tcPr>
          <w:p w:rsidR="00030337" w:rsidRPr="00467C27" w:rsidRDefault="00030337" w:rsidP="00030337">
            <w:pPr>
              <w:pStyle w:val="Heading4"/>
              <w:spacing w:before="0"/>
              <w:jc w:val="center"/>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2%</w:t>
            </w:r>
          </w:p>
        </w:tc>
        <w:tc>
          <w:tcPr>
            <w:tcW w:w="1134" w:type="dxa"/>
            <w:tcBorders>
              <w:top w:val="single" w:sz="4" w:space="0" w:color="00B050"/>
              <w:left w:val="single" w:sz="4" w:space="0" w:color="00B050"/>
              <w:bottom w:val="single" w:sz="4" w:space="0" w:color="00B050"/>
              <w:right w:val="single" w:sz="4" w:space="0" w:color="00B050"/>
            </w:tcBorders>
            <w:noWrap/>
            <w:vAlign w:val="center"/>
            <w:hideMark/>
          </w:tcPr>
          <w:p w:rsidR="00030337" w:rsidRPr="00467C27" w:rsidRDefault="00030337" w:rsidP="00030337">
            <w:pPr>
              <w:pStyle w:val="Heading4"/>
              <w:spacing w:before="0"/>
              <w:jc w:val="center"/>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3%</w:t>
            </w:r>
          </w:p>
        </w:tc>
        <w:tc>
          <w:tcPr>
            <w:tcW w:w="1134" w:type="dxa"/>
            <w:tcBorders>
              <w:top w:val="single" w:sz="4" w:space="0" w:color="00B050"/>
              <w:left w:val="single" w:sz="4" w:space="0" w:color="00B050"/>
              <w:bottom w:val="single" w:sz="4" w:space="0" w:color="00B050"/>
              <w:right w:val="single" w:sz="4" w:space="0" w:color="00B050"/>
            </w:tcBorders>
            <w:noWrap/>
            <w:vAlign w:val="center"/>
            <w:hideMark/>
          </w:tcPr>
          <w:p w:rsidR="00030337" w:rsidRPr="00467C27" w:rsidRDefault="00030337" w:rsidP="00030337">
            <w:pPr>
              <w:pStyle w:val="Heading4"/>
              <w:spacing w:before="0"/>
              <w:jc w:val="center"/>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8%</w:t>
            </w:r>
          </w:p>
        </w:tc>
        <w:tc>
          <w:tcPr>
            <w:tcW w:w="1134" w:type="dxa"/>
            <w:tcBorders>
              <w:top w:val="single" w:sz="4" w:space="0" w:color="00B050"/>
              <w:left w:val="single" w:sz="4" w:space="0" w:color="00B050"/>
              <w:bottom w:val="single" w:sz="4" w:space="0" w:color="00B050"/>
              <w:right w:val="single" w:sz="4" w:space="0" w:color="00B050"/>
            </w:tcBorders>
            <w:noWrap/>
            <w:vAlign w:val="center"/>
            <w:hideMark/>
          </w:tcPr>
          <w:p w:rsidR="00030337" w:rsidRPr="00467C27" w:rsidRDefault="00030337" w:rsidP="00030337">
            <w:pPr>
              <w:pStyle w:val="Heading4"/>
              <w:spacing w:before="0"/>
              <w:jc w:val="center"/>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11%</w:t>
            </w:r>
          </w:p>
        </w:tc>
        <w:tc>
          <w:tcPr>
            <w:tcW w:w="1276" w:type="dxa"/>
            <w:tcBorders>
              <w:top w:val="single" w:sz="4" w:space="0" w:color="00B050"/>
              <w:left w:val="single" w:sz="4" w:space="0" w:color="00B050"/>
              <w:bottom w:val="single" w:sz="4" w:space="0" w:color="00B050"/>
              <w:right w:val="single" w:sz="4" w:space="0" w:color="00B050"/>
            </w:tcBorders>
            <w:noWrap/>
            <w:vAlign w:val="center"/>
            <w:hideMark/>
          </w:tcPr>
          <w:p w:rsidR="00030337" w:rsidRPr="00467C27" w:rsidRDefault="00030337" w:rsidP="00030337">
            <w:pPr>
              <w:pStyle w:val="Heading4"/>
              <w:spacing w:before="0"/>
              <w:jc w:val="center"/>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22%</w:t>
            </w:r>
          </w:p>
        </w:tc>
        <w:tc>
          <w:tcPr>
            <w:tcW w:w="1134" w:type="dxa"/>
            <w:tcBorders>
              <w:top w:val="single" w:sz="4" w:space="0" w:color="00B050"/>
              <w:left w:val="single" w:sz="4" w:space="0" w:color="00B050"/>
              <w:bottom w:val="single" w:sz="4" w:space="0" w:color="00B050"/>
              <w:right w:val="single" w:sz="4" w:space="0" w:color="00B050"/>
            </w:tcBorders>
            <w:noWrap/>
            <w:vAlign w:val="center"/>
            <w:hideMark/>
          </w:tcPr>
          <w:p w:rsidR="00030337" w:rsidRPr="00467C27" w:rsidRDefault="00030337" w:rsidP="00030337">
            <w:pPr>
              <w:pStyle w:val="Heading4"/>
              <w:spacing w:before="0"/>
              <w:jc w:val="center"/>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17%</w:t>
            </w:r>
          </w:p>
        </w:tc>
        <w:tc>
          <w:tcPr>
            <w:tcW w:w="1464" w:type="dxa"/>
            <w:tcBorders>
              <w:top w:val="single" w:sz="4" w:space="0" w:color="00B050"/>
              <w:left w:val="single" w:sz="4" w:space="0" w:color="00B050"/>
              <w:bottom w:val="single" w:sz="4" w:space="0" w:color="00B050"/>
              <w:right w:val="single" w:sz="4" w:space="0" w:color="00B050"/>
            </w:tcBorders>
            <w:noWrap/>
            <w:vAlign w:val="center"/>
            <w:hideMark/>
          </w:tcPr>
          <w:p w:rsidR="00030337" w:rsidRPr="00467C27" w:rsidRDefault="00030337" w:rsidP="00030337">
            <w:pPr>
              <w:pStyle w:val="Heading4"/>
              <w:spacing w:before="0"/>
              <w:jc w:val="center"/>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25%</w:t>
            </w:r>
          </w:p>
        </w:tc>
        <w:tc>
          <w:tcPr>
            <w:tcW w:w="1181" w:type="dxa"/>
            <w:tcBorders>
              <w:top w:val="single" w:sz="4" w:space="0" w:color="00B050"/>
              <w:left w:val="single" w:sz="4" w:space="0" w:color="00B050"/>
              <w:bottom w:val="single" w:sz="4" w:space="0" w:color="00B050"/>
              <w:right w:val="single" w:sz="4" w:space="0" w:color="00B050"/>
            </w:tcBorders>
            <w:noWrap/>
            <w:vAlign w:val="center"/>
            <w:hideMark/>
          </w:tcPr>
          <w:p w:rsidR="00030337" w:rsidRPr="00467C27" w:rsidRDefault="00030337" w:rsidP="00030337">
            <w:pPr>
              <w:pStyle w:val="Heading4"/>
              <w:spacing w:before="0"/>
              <w:jc w:val="center"/>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13%</w:t>
            </w:r>
          </w:p>
        </w:tc>
        <w:tc>
          <w:tcPr>
            <w:tcW w:w="1182" w:type="dxa"/>
            <w:tcBorders>
              <w:top w:val="single" w:sz="4" w:space="0" w:color="00B050"/>
              <w:left w:val="single" w:sz="4" w:space="0" w:color="00B050"/>
              <w:bottom w:val="single" w:sz="4" w:space="0" w:color="00B050"/>
              <w:right w:val="nil"/>
            </w:tcBorders>
            <w:noWrap/>
            <w:vAlign w:val="center"/>
            <w:hideMark/>
          </w:tcPr>
          <w:p w:rsidR="00030337" w:rsidRPr="00467C27" w:rsidRDefault="00030337" w:rsidP="00030337">
            <w:pPr>
              <w:pStyle w:val="Heading4"/>
              <w:spacing w:before="0"/>
              <w:jc w:val="center"/>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87%</w:t>
            </w:r>
          </w:p>
        </w:tc>
      </w:tr>
      <w:tr w:rsidR="00030337" w:rsidRPr="00467C27" w:rsidTr="00030337">
        <w:trPr>
          <w:trHeight w:val="276"/>
        </w:trPr>
        <w:tc>
          <w:tcPr>
            <w:tcW w:w="2553" w:type="dxa"/>
            <w:vMerge/>
            <w:tcBorders>
              <w:top w:val="single" w:sz="4" w:space="0" w:color="00B050"/>
              <w:left w:val="nil"/>
              <w:bottom w:val="single" w:sz="4" w:space="0" w:color="00B050"/>
              <w:right w:val="single" w:sz="4" w:space="0" w:color="00B050"/>
            </w:tcBorders>
            <w:hideMark/>
          </w:tcPr>
          <w:p w:rsidR="00030337" w:rsidRPr="00A622BE" w:rsidRDefault="00030337" w:rsidP="00030337">
            <w:pPr>
              <w:pStyle w:val="Heading4"/>
              <w:spacing w:before="0"/>
              <w:outlineLvl w:val="3"/>
              <w:rPr>
                <w:rFonts w:asciiTheme="minorHAnsi" w:hAnsiTheme="minorHAnsi" w:cstheme="minorHAnsi"/>
                <w:color w:val="auto"/>
                <w:sz w:val="20"/>
                <w:szCs w:val="20"/>
              </w:rPr>
            </w:pPr>
          </w:p>
        </w:tc>
        <w:tc>
          <w:tcPr>
            <w:tcW w:w="1417" w:type="dxa"/>
            <w:tcBorders>
              <w:top w:val="single" w:sz="4" w:space="0" w:color="00B050"/>
              <w:left w:val="single" w:sz="4" w:space="0" w:color="00B050"/>
              <w:bottom w:val="single" w:sz="4" w:space="0" w:color="00B050"/>
              <w:right w:val="single" w:sz="4" w:space="0" w:color="00B050"/>
            </w:tcBorders>
            <w:noWrap/>
            <w:hideMark/>
          </w:tcPr>
          <w:p w:rsidR="00030337" w:rsidRPr="00467C27" w:rsidRDefault="00030337" w:rsidP="00030337">
            <w:pPr>
              <w:pStyle w:val="Heading4"/>
              <w:spacing w:before="0"/>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2019 n=462</w:t>
            </w:r>
          </w:p>
        </w:tc>
        <w:tc>
          <w:tcPr>
            <w:tcW w:w="992" w:type="dxa"/>
            <w:tcBorders>
              <w:top w:val="single" w:sz="4" w:space="0" w:color="00B050"/>
              <w:left w:val="single" w:sz="4" w:space="0" w:color="00B050"/>
              <w:bottom w:val="single" w:sz="4" w:space="0" w:color="00B050"/>
              <w:right w:val="single" w:sz="4" w:space="0" w:color="00B050"/>
            </w:tcBorders>
            <w:noWrap/>
            <w:vAlign w:val="center"/>
            <w:hideMark/>
          </w:tcPr>
          <w:p w:rsidR="00030337" w:rsidRPr="00467C27" w:rsidRDefault="00030337" w:rsidP="00030337">
            <w:pPr>
              <w:pStyle w:val="Heading4"/>
              <w:spacing w:before="0"/>
              <w:jc w:val="center"/>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1%</w:t>
            </w:r>
          </w:p>
        </w:tc>
        <w:tc>
          <w:tcPr>
            <w:tcW w:w="1134" w:type="dxa"/>
            <w:tcBorders>
              <w:top w:val="single" w:sz="4" w:space="0" w:color="00B050"/>
              <w:left w:val="single" w:sz="4" w:space="0" w:color="00B050"/>
              <w:bottom w:val="single" w:sz="4" w:space="0" w:color="00B050"/>
              <w:right w:val="single" w:sz="4" w:space="0" w:color="00B050"/>
            </w:tcBorders>
            <w:noWrap/>
            <w:vAlign w:val="center"/>
            <w:hideMark/>
          </w:tcPr>
          <w:p w:rsidR="00030337" w:rsidRPr="00467C27" w:rsidRDefault="00030337" w:rsidP="00030337">
            <w:pPr>
              <w:pStyle w:val="Heading4"/>
              <w:spacing w:before="0"/>
              <w:jc w:val="center"/>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3%</w:t>
            </w:r>
          </w:p>
        </w:tc>
        <w:tc>
          <w:tcPr>
            <w:tcW w:w="1134" w:type="dxa"/>
            <w:tcBorders>
              <w:top w:val="single" w:sz="4" w:space="0" w:color="00B050"/>
              <w:left w:val="single" w:sz="4" w:space="0" w:color="00B050"/>
              <w:bottom w:val="single" w:sz="4" w:space="0" w:color="00B050"/>
              <w:right w:val="single" w:sz="4" w:space="0" w:color="00B050"/>
            </w:tcBorders>
            <w:noWrap/>
            <w:vAlign w:val="center"/>
            <w:hideMark/>
          </w:tcPr>
          <w:p w:rsidR="00030337" w:rsidRPr="00467C27" w:rsidRDefault="00030337" w:rsidP="00030337">
            <w:pPr>
              <w:pStyle w:val="Heading4"/>
              <w:spacing w:before="0"/>
              <w:jc w:val="center"/>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7%</w:t>
            </w:r>
          </w:p>
        </w:tc>
        <w:tc>
          <w:tcPr>
            <w:tcW w:w="1134" w:type="dxa"/>
            <w:tcBorders>
              <w:top w:val="single" w:sz="4" w:space="0" w:color="00B050"/>
              <w:left w:val="single" w:sz="4" w:space="0" w:color="00B050"/>
              <w:bottom w:val="single" w:sz="4" w:space="0" w:color="00B050"/>
              <w:right w:val="single" w:sz="4" w:space="0" w:color="00B050"/>
            </w:tcBorders>
            <w:noWrap/>
            <w:vAlign w:val="center"/>
            <w:hideMark/>
          </w:tcPr>
          <w:p w:rsidR="00030337" w:rsidRPr="00467C27" w:rsidRDefault="00030337" w:rsidP="00030337">
            <w:pPr>
              <w:pStyle w:val="Heading4"/>
              <w:spacing w:before="0"/>
              <w:jc w:val="center"/>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11%</w:t>
            </w:r>
          </w:p>
        </w:tc>
        <w:tc>
          <w:tcPr>
            <w:tcW w:w="1276" w:type="dxa"/>
            <w:tcBorders>
              <w:top w:val="single" w:sz="4" w:space="0" w:color="00B050"/>
              <w:left w:val="single" w:sz="4" w:space="0" w:color="00B050"/>
              <w:bottom w:val="single" w:sz="4" w:space="0" w:color="00B050"/>
              <w:right w:val="single" w:sz="4" w:space="0" w:color="00B050"/>
            </w:tcBorders>
            <w:noWrap/>
            <w:vAlign w:val="center"/>
            <w:hideMark/>
          </w:tcPr>
          <w:p w:rsidR="00030337" w:rsidRPr="00467C27" w:rsidRDefault="00030337" w:rsidP="00030337">
            <w:pPr>
              <w:pStyle w:val="Heading4"/>
              <w:spacing w:before="0"/>
              <w:jc w:val="center"/>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24%</w:t>
            </w:r>
          </w:p>
        </w:tc>
        <w:tc>
          <w:tcPr>
            <w:tcW w:w="1134" w:type="dxa"/>
            <w:tcBorders>
              <w:top w:val="single" w:sz="4" w:space="0" w:color="00B050"/>
              <w:left w:val="single" w:sz="4" w:space="0" w:color="00B050"/>
              <w:bottom w:val="single" w:sz="4" w:space="0" w:color="00B050"/>
              <w:right w:val="single" w:sz="4" w:space="0" w:color="00B050"/>
            </w:tcBorders>
            <w:noWrap/>
            <w:vAlign w:val="center"/>
            <w:hideMark/>
          </w:tcPr>
          <w:p w:rsidR="00030337" w:rsidRPr="00467C27" w:rsidRDefault="00030337" w:rsidP="00030337">
            <w:pPr>
              <w:pStyle w:val="Heading4"/>
              <w:spacing w:before="0"/>
              <w:jc w:val="center"/>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16%</w:t>
            </w:r>
          </w:p>
        </w:tc>
        <w:tc>
          <w:tcPr>
            <w:tcW w:w="1464" w:type="dxa"/>
            <w:tcBorders>
              <w:top w:val="single" w:sz="4" w:space="0" w:color="00B050"/>
              <w:left w:val="single" w:sz="4" w:space="0" w:color="00B050"/>
              <w:bottom w:val="single" w:sz="4" w:space="0" w:color="00B050"/>
              <w:right w:val="single" w:sz="4" w:space="0" w:color="00B050"/>
            </w:tcBorders>
            <w:noWrap/>
            <w:vAlign w:val="center"/>
            <w:hideMark/>
          </w:tcPr>
          <w:p w:rsidR="00030337" w:rsidRPr="00467C27" w:rsidRDefault="00030337" w:rsidP="00030337">
            <w:pPr>
              <w:pStyle w:val="Heading4"/>
              <w:spacing w:before="0"/>
              <w:jc w:val="center"/>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26%</w:t>
            </w:r>
          </w:p>
        </w:tc>
        <w:tc>
          <w:tcPr>
            <w:tcW w:w="1181" w:type="dxa"/>
            <w:tcBorders>
              <w:top w:val="single" w:sz="4" w:space="0" w:color="00B050"/>
              <w:left w:val="single" w:sz="4" w:space="0" w:color="00B050"/>
              <w:bottom w:val="single" w:sz="4" w:space="0" w:color="00B050"/>
              <w:right w:val="single" w:sz="4" w:space="0" w:color="00B050"/>
            </w:tcBorders>
            <w:noWrap/>
            <w:vAlign w:val="center"/>
            <w:hideMark/>
          </w:tcPr>
          <w:p w:rsidR="00030337" w:rsidRPr="00467C27" w:rsidRDefault="00030337" w:rsidP="00030337">
            <w:pPr>
              <w:pStyle w:val="Heading4"/>
              <w:spacing w:before="0"/>
              <w:jc w:val="center"/>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12%</w:t>
            </w:r>
          </w:p>
        </w:tc>
        <w:tc>
          <w:tcPr>
            <w:tcW w:w="1182" w:type="dxa"/>
            <w:tcBorders>
              <w:top w:val="single" w:sz="4" w:space="0" w:color="00B050"/>
              <w:left w:val="single" w:sz="4" w:space="0" w:color="00B050"/>
              <w:bottom w:val="single" w:sz="4" w:space="0" w:color="00B050"/>
              <w:right w:val="nil"/>
            </w:tcBorders>
            <w:noWrap/>
            <w:vAlign w:val="center"/>
            <w:hideMark/>
          </w:tcPr>
          <w:p w:rsidR="00030337" w:rsidRPr="00467C27" w:rsidRDefault="00030337" w:rsidP="00030337">
            <w:pPr>
              <w:pStyle w:val="Heading4"/>
              <w:spacing w:before="0"/>
              <w:jc w:val="center"/>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88%</w:t>
            </w:r>
          </w:p>
        </w:tc>
      </w:tr>
      <w:tr w:rsidR="00030337" w:rsidRPr="00467C27" w:rsidTr="00030337">
        <w:trPr>
          <w:trHeight w:val="276"/>
        </w:trPr>
        <w:tc>
          <w:tcPr>
            <w:tcW w:w="2553" w:type="dxa"/>
            <w:vMerge w:val="restart"/>
            <w:tcBorders>
              <w:top w:val="single" w:sz="4" w:space="0" w:color="00B050"/>
              <w:left w:val="nil"/>
              <w:bottom w:val="single" w:sz="4" w:space="0" w:color="00B050"/>
              <w:right w:val="single" w:sz="4" w:space="0" w:color="00B050"/>
            </w:tcBorders>
            <w:hideMark/>
          </w:tcPr>
          <w:p w:rsidR="00030337" w:rsidRPr="00A622BE" w:rsidRDefault="00030337" w:rsidP="00030337">
            <w:pPr>
              <w:pStyle w:val="Heading4"/>
              <w:spacing w:before="0"/>
              <w:outlineLvl w:val="3"/>
              <w:rPr>
                <w:rFonts w:asciiTheme="minorHAnsi" w:hAnsiTheme="minorHAnsi" w:cstheme="minorHAnsi"/>
                <w:color w:val="auto"/>
                <w:sz w:val="20"/>
                <w:szCs w:val="20"/>
              </w:rPr>
            </w:pPr>
            <w:r w:rsidRPr="00A622BE">
              <w:rPr>
                <w:rFonts w:asciiTheme="minorHAnsi" w:hAnsiTheme="minorHAnsi" w:cstheme="minorHAnsi"/>
                <w:color w:val="auto"/>
                <w:sz w:val="20"/>
                <w:szCs w:val="20"/>
              </w:rPr>
              <w:t>Wellington City Council parks</w:t>
            </w:r>
          </w:p>
        </w:tc>
        <w:tc>
          <w:tcPr>
            <w:tcW w:w="1417" w:type="dxa"/>
            <w:tcBorders>
              <w:top w:val="single" w:sz="4" w:space="0" w:color="00B050"/>
              <w:left w:val="single" w:sz="4" w:space="0" w:color="00B050"/>
              <w:bottom w:val="single" w:sz="4" w:space="0" w:color="00B050"/>
              <w:right w:val="single" w:sz="4" w:space="0" w:color="00B050"/>
            </w:tcBorders>
            <w:noWrap/>
            <w:hideMark/>
          </w:tcPr>
          <w:p w:rsidR="00030337" w:rsidRPr="00467C27" w:rsidRDefault="00030337" w:rsidP="00030337">
            <w:pPr>
              <w:pStyle w:val="Heading4"/>
              <w:spacing w:before="0"/>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2015 n=680</w:t>
            </w:r>
          </w:p>
        </w:tc>
        <w:tc>
          <w:tcPr>
            <w:tcW w:w="992" w:type="dxa"/>
            <w:tcBorders>
              <w:top w:val="single" w:sz="4" w:space="0" w:color="00B050"/>
              <w:left w:val="single" w:sz="4" w:space="0" w:color="00B050"/>
              <w:bottom w:val="single" w:sz="4" w:space="0" w:color="00B050"/>
              <w:right w:val="single" w:sz="4" w:space="0" w:color="00B050"/>
            </w:tcBorders>
            <w:noWrap/>
            <w:vAlign w:val="center"/>
            <w:hideMark/>
          </w:tcPr>
          <w:p w:rsidR="00030337" w:rsidRPr="00467C27" w:rsidRDefault="00030337" w:rsidP="00030337">
            <w:pPr>
              <w:pStyle w:val="Heading4"/>
              <w:spacing w:before="0"/>
              <w:jc w:val="center"/>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5%</w:t>
            </w:r>
          </w:p>
        </w:tc>
        <w:tc>
          <w:tcPr>
            <w:tcW w:w="1134" w:type="dxa"/>
            <w:tcBorders>
              <w:top w:val="single" w:sz="4" w:space="0" w:color="00B050"/>
              <w:left w:val="single" w:sz="4" w:space="0" w:color="00B050"/>
              <w:bottom w:val="single" w:sz="4" w:space="0" w:color="00B050"/>
              <w:right w:val="single" w:sz="4" w:space="0" w:color="00B050"/>
            </w:tcBorders>
            <w:noWrap/>
            <w:vAlign w:val="center"/>
            <w:hideMark/>
          </w:tcPr>
          <w:p w:rsidR="00030337" w:rsidRPr="00467C27" w:rsidRDefault="00030337" w:rsidP="00030337">
            <w:pPr>
              <w:pStyle w:val="Heading4"/>
              <w:spacing w:before="0"/>
              <w:jc w:val="center"/>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16%</w:t>
            </w:r>
          </w:p>
        </w:tc>
        <w:tc>
          <w:tcPr>
            <w:tcW w:w="1134" w:type="dxa"/>
            <w:tcBorders>
              <w:top w:val="single" w:sz="4" w:space="0" w:color="00B050"/>
              <w:left w:val="single" w:sz="4" w:space="0" w:color="00B050"/>
              <w:bottom w:val="single" w:sz="4" w:space="0" w:color="00B050"/>
              <w:right w:val="single" w:sz="4" w:space="0" w:color="00B050"/>
            </w:tcBorders>
            <w:noWrap/>
            <w:vAlign w:val="center"/>
            <w:hideMark/>
          </w:tcPr>
          <w:p w:rsidR="00030337" w:rsidRPr="00467C27" w:rsidRDefault="00030337" w:rsidP="00030337">
            <w:pPr>
              <w:pStyle w:val="Heading4"/>
              <w:spacing w:before="0"/>
              <w:jc w:val="center"/>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15%</w:t>
            </w:r>
          </w:p>
        </w:tc>
        <w:tc>
          <w:tcPr>
            <w:tcW w:w="1134" w:type="dxa"/>
            <w:tcBorders>
              <w:top w:val="single" w:sz="4" w:space="0" w:color="00B050"/>
              <w:left w:val="single" w:sz="4" w:space="0" w:color="00B050"/>
              <w:bottom w:val="single" w:sz="4" w:space="0" w:color="00B050"/>
              <w:right w:val="single" w:sz="4" w:space="0" w:color="00B050"/>
            </w:tcBorders>
            <w:noWrap/>
            <w:vAlign w:val="center"/>
            <w:hideMark/>
          </w:tcPr>
          <w:p w:rsidR="00030337" w:rsidRPr="00467C27" w:rsidRDefault="00030337" w:rsidP="00030337">
            <w:pPr>
              <w:pStyle w:val="Heading4"/>
              <w:spacing w:before="0"/>
              <w:jc w:val="center"/>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17%</w:t>
            </w:r>
          </w:p>
        </w:tc>
        <w:tc>
          <w:tcPr>
            <w:tcW w:w="1276" w:type="dxa"/>
            <w:tcBorders>
              <w:top w:val="single" w:sz="4" w:space="0" w:color="00B050"/>
              <w:left w:val="single" w:sz="4" w:space="0" w:color="00B050"/>
              <w:bottom w:val="single" w:sz="4" w:space="0" w:color="00B050"/>
              <w:right w:val="single" w:sz="4" w:space="0" w:color="00B050"/>
            </w:tcBorders>
            <w:noWrap/>
            <w:vAlign w:val="center"/>
            <w:hideMark/>
          </w:tcPr>
          <w:p w:rsidR="00030337" w:rsidRPr="00467C27" w:rsidRDefault="00030337" w:rsidP="00030337">
            <w:pPr>
              <w:pStyle w:val="Heading4"/>
              <w:spacing w:before="0"/>
              <w:jc w:val="center"/>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19%</w:t>
            </w:r>
          </w:p>
        </w:tc>
        <w:tc>
          <w:tcPr>
            <w:tcW w:w="1134" w:type="dxa"/>
            <w:tcBorders>
              <w:top w:val="single" w:sz="4" w:space="0" w:color="00B050"/>
              <w:left w:val="single" w:sz="4" w:space="0" w:color="00B050"/>
              <w:bottom w:val="single" w:sz="4" w:space="0" w:color="00B050"/>
              <w:right w:val="single" w:sz="4" w:space="0" w:color="00B050"/>
            </w:tcBorders>
            <w:noWrap/>
            <w:vAlign w:val="center"/>
            <w:hideMark/>
          </w:tcPr>
          <w:p w:rsidR="00030337" w:rsidRPr="00467C27" w:rsidRDefault="00030337" w:rsidP="00030337">
            <w:pPr>
              <w:pStyle w:val="Heading4"/>
              <w:spacing w:before="0"/>
              <w:jc w:val="center"/>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10%</w:t>
            </w:r>
          </w:p>
        </w:tc>
        <w:tc>
          <w:tcPr>
            <w:tcW w:w="1464" w:type="dxa"/>
            <w:tcBorders>
              <w:top w:val="single" w:sz="4" w:space="0" w:color="00B050"/>
              <w:left w:val="single" w:sz="4" w:space="0" w:color="00B050"/>
              <w:bottom w:val="single" w:sz="4" w:space="0" w:color="00B050"/>
              <w:right w:val="single" w:sz="4" w:space="0" w:color="00B050"/>
            </w:tcBorders>
            <w:noWrap/>
            <w:vAlign w:val="center"/>
            <w:hideMark/>
          </w:tcPr>
          <w:p w:rsidR="00030337" w:rsidRPr="00467C27" w:rsidRDefault="00030337" w:rsidP="00030337">
            <w:pPr>
              <w:pStyle w:val="Heading4"/>
              <w:spacing w:before="0"/>
              <w:jc w:val="center"/>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14%</w:t>
            </w:r>
          </w:p>
        </w:tc>
        <w:tc>
          <w:tcPr>
            <w:tcW w:w="1181" w:type="dxa"/>
            <w:tcBorders>
              <w:top w:val="single" w:sz="4" w:space="0" w:color="00B050"/>
              <w:left w:val="single" w:sz="4" w:space="0" w:color="00B050"/>
              <w:bottom w:val="single" w:sz="4" w:space="0" w:color="00B050"/>
              <w:right w:val="single" w:sz="4" w:space="0" w:color="00B050"/>
            </w:tcBorders>
            <w:noWrap/>
            <w:vAlign w:val="center"/>
            <w:hideMark/>
          </w:tcPr>
          <w:p w:rsidR="00030337" w:rsidRPr="00467C27" w:rsidRDefault="00030337" w:rsidP="00030337">
            <w:pPr>
              <w:pStyle w:val="Heading4"/>
              <w:spacing w:before="0"/>
              <w:jc w:val="center"/>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4%</w:t>
            </w:r>
          </w:p>
        </w:tc>
        <w:tc>
          <w:tcPr>
            <w:tcW w:w="1182" w:type="dxa"/>
            <w:tcBorders>
              <w:top w:val="single" w:sz="4" w:space="0" w:color="00B050"/>
              <w:left w:val="single" w:sz="4" w:space="0" w:color="00B050"/>
              <w:bottom w:val="single" w:sz="4" w:space="0" w:color="00B050"/>
              <w:right w:val="nil"/>
            </w:tcBorders>
            <w:noWrap/>
            <w:vAlign w:val="center"/>
            <w:hideMark/>
          </w:tcPr>
          <w:p w:rsidR="00030337" w:rsidRPr="00467C27" w:rsidRDefault="00030337" w:rsidP="00030337">
            <w:pPr>
              <w:pStyle w:val="Heading4"/>
              <w:spacing w:before="0"/>
              <w:jc w:val="center"/>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96%</w:t>
            </w:r>
          </w:p>
        </w:tc>
      </w:tr>
      <w:tr w:rsidR="00030337" w:rsidRPr="00467C27" w:rsidTr="00030337">
        <w:trPr>
          <w:trHeight w:val="276"/>
        </w:trPr>
        <w:tc>
          <w:tcPr>
            <w:tcW w:w="2553" w:type="dxa"/>
            <w:vMerge/>
            <w:tcBorders>
              <w:top w:val="single" w:sz="4" w:space="0" w:color="00B050"/>
              <w:left w:val="nil"/>
              <w:bottom w:val="single" w:sz="4" w:space="0" w:color="00B050"/>
              <w:right w:val="single" w:sz="4" w:space="0" w:color="00B050"/>
            </w:tcBorders>
            <w:hideMark/>
          </w:tcPr>
          <w:p w:rsidR="00030337" w:rsidRPr="00AF2E12" w:rsidRDefault="00030337" w:rsidP="00030337">
            <w:pPr>
              <w:pStyle w:val="Heading4"/>
              <w:spacing w:before="0"/>
              <w:outlineLvl w:val="3"/>
              <w:rPr>
                <w:rFonts w:asciiTheme="minorHAnsi" w:hAnsiTheme="minorHAnsi" w:cstheme="minorHAnsi"/>
                <w:color w:val="auto"/>
                <w:sz w:val="22"/>
              </w:rPr>
            </w:pPr>
          </w:p>
        </w:tc>
        <w:tc>
          <w:tcPr>
            <w:tcW w:w="1417" w:type="dxa"/>
            <w:tcBorders>
              <w:top w:val="single" w:sz="4" w:space="0" w:color="00B050"/>
              <w:left w:val="single" w:sz="4" w:space="0" w:color="00B050"/>
              <w:bottom w:val="single" w:sz="4" w:space="0" w:color="00B050"/>
              <w:right w:val="single" w:sz="4" w:space="0" w:color="00B050"/>
            </w:tcBorders>
            <w:noWrap/>
            <w:hideMark/>
          </w:tcPr>
          <w:p w:rsidR="00030337" w:rsidRPr="00467C27" w:rsidRDefault="00030337" w:rsidP="00030337">
            <w:pPr>
              <w:pStyle w:val="Heading4"/>
              <w:spacing w:before="0"/>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2016 n=670</w:t>
            </w:r>
          </w:p>
        </w:tc>
        <w:tc>
          <w:tcPr>
            <w:tcW w:w="992" w:type="dxa"/>
            <w:tcBorders>
              <w:top w:val="single" w:sz="4" w:space="0" w:color="00B050"/>
              <w:left w:val="single" w:sz="4" w:space="0" w:color="00B050"/>
              <w:bottom w:val="single" w:sz="4" w:space="0" w:color="00B050"/>
              <w:right w:val="single" w:sz="4" w:space="0" w:color="00B050"/>
            </w:tcBorders>
            <w:noWrap/>
            <w:vAlign w:val="center"/>
            <w:hideMark/>
          </w:tcPr>
          <w:p w:rsidR="00030337" w:rsidRPr="00467C27" w:rsidRDefault="00030337" w:rsidP="00030337">
            <w:pPr>
              <w:pStyle w:val="Heading4"/>
              <w:spacing w:before="0"/>
              <w:jc w:val="center"/>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6%</w:t>
            </w:r>
          </w:p>
        </w:tc>
        <w:tc>
          <w:tcPr>
            <w:tcW w:w="1134" w:type="dxa"/>
            <w:tcBorders>
              <w:top w:val="single" w:sz="4" w:space="0" w:color="00B050"/>
              <w:left w:val="single" w:sz="4" w:space="0" w:color="00B050"/>
              <w:bottom w:val="single" w:sz="4" w:space="0" w:color="00B050"/>
              <w:right w:val="single" w:sz="4" w:space="0" w:color="00B050"/>
            </w:tcBorders>
            <w:noWrap/>
            <w:vAlign w:val="center"/>
            <w:hideMark/>
          </w:tcPr>
          <w:p w:rsidR="00030337" w:rsidRPr="00467C27" w:rsidRDefault="00030337" w:rsidP="00030337">
            <w:pPr>
              <w:pStyle w:val="Heading4"/>
              <w:spacing w:before="0"/>
              <w:jc w:val="center"/>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16%</w:t>
            </w:r>
          </w:p>
        </w:tc>
        <w:tc>
          <w:tcPr>
            <w:tcW w:w="1134" w:type="dxa"/>
            <w:tcBorders>
              <w:top w:val="single" w:sz="4" w:space="0" w:color="00B050"/>
              <w:left w:val="single" w:sz="4" w:space="0" w:color="00B050"/>
              <w:bottom w:val="single" w:sz="4" w:space="0" w:color="00B050"/>
              <w:right w:val="single" w:sz="4" w:space="0" w:color="00B050"/>
            </w:tcBorders>
            <w:noWrap/>
            <w:vAlign w:val="center"/>
            <w:hideMark/>
          </w:tcPr>
          <w:p w:rsidR="00030337" w:rsidRPr="00467C27" w:rsidRDefault="00030337" w:rsidP="00030337">
            <w:pPr>
              <w:pStyle w:val="Heading4"/>
              <w:spacing w:before="0"/>
              <w:jc w:val="center"/>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17%</w:t>
            </w:r>
          </w:p>
        </w:tc>
        <w:tc>
          <w:tcPr>
            <w:tcW w:w="1134" w:type="dxa"/>
            <w:tcBorders>
              <w:top w:val="single" w:sz="4" w:space="0" w:color="00B050"/>
              <w:left w:val="single" w:sz="4" w:space="0" w:color="00B050"/>
              <w:bottom w:val="single" w:sz="4" w:space="0" w:color="00B050"/>
              <w:right w:val="single" w:sz="4" w:space="0" w:color="00B050"/>
            </w:tcBorders>
            <w:noWrap/>
            <w:vAlign w:val="center"/>
            <w:hideMark/>
          </w:tcPr>
          <w:p w:rsidR="00030337" w:rsidRPr="00467C27" w:rsidRDefault="00030337" w:rsidP="00030337">
            <w:pPr>
              <w:pStyle w:val="Heading4"/>
              <w:spacing w:before="0"/>
              <w:jc w:val="center"/>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17%</w:t>
            </w:r>
          </w:p>
        </w:tc>
        <w:tc>
          <w:tcPr>
            <w:tcW w:w="1276" w:type="dxa"/>
            <w:tcBorders>
              <w:top w:val="single" w:sz="4" w:space="0" w:color="00B050"/>
              <w:left w:val="single" w:sz="4" w:space="0" w:color="00B050"/>
              <w:bottom w:val="single" w:sz="4" w:space="0" w:color="00B050"/>
              <w:right w:val="single" w:sz="4" w:space="0" w:color="00B050"/>
            </w:tcBorders>
            <w:noWrap/>
            <w:vAlign w:val="center"/>
            <w:hideMark/>
          </w:tcPr>
          <w:p w:rsidR="00030337" w:rsidRPr="00467C27" w:rsidRDefault="00030337" w:rsidP="00030337">
            <w:pPr>
              <w:pStyle w:val="Heading4"/>
              <w:spacing w:before="0"/>
              <w:jc w:val="center"/>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17%</w:t>
            </w:r>
          </w:p>
        </w:tc>
        <w:tc>
          <w:tcPr>
            <w:tcW w:w="1134" w:type="dxa"/>
            <w:tcBorders>
              <w:top w:val="single" w:sz="4" w:space="0" w:color="00B050"/>
              <w:left w:val="single" w:sz="4" w:space="0" w:color="00B050"/>
              <w:bottom w:val="single" w:sz="4" w:space="0" w:color="00B050"/>
              <w:right w:val="single" w:sz="4" w:space="0" w:color="00B050"/>
            </w:tcBorders>
            <w:noWrap/>
            <w:vAlign w:val="center"/>
            <w:hideMark/>
          </w:tcPr>
          <w:p w:rsidR="00030337" w:rsidRPr="00467C27" w:rsidRDefault="00030337" w:rsidP="00030337">
            <w:pPr>
              <w:pStyle w:val="Heading4"/>
              <w:spacing w:before="0"/>
              <w:jc w:val="center"/>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9%</w:t>
            </w:r>
          </w:p>
        </w:tc>
        <w:tc>
          <w:tcPr>
            <w:tcW w:w="1464" w:type="dxa"/>
            <w:tcBorders>
              <w:top w:val="single" w:sz="4" w:space="0" w:color="00B050"/>
              <w:left w:val="single" w:sz="4" w:space="0" w:color="00B050"/>
              <w:bottom w:val="single" w:sz="4" w:space="0" w:color="00B050"/>
              <w:right w:val="single" w:sz="4" w:space="0" w:color="00B050"/>
            </w:tcBorders>
            <w:noWrap/>
            <w:vAlign w:val="center"/>
            <w:hideMark/>
          </w:tcPr>
          <w:p w:rsidR="00030337" w:rsidRPr="00467C27" w:rsidRDefault="00030337" w:rsidP="00030337">
            <w:pPr>
              <w:pStyle w:val="Heading4"/>
              <w:spacing w:before="0"/>
              <w:jc w:val="center"/>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14%</w:t>
            </w:r>
          </w:p>
        </w:tc>
        <w:tc>
          <w:tcPr>
            <w:tcW w:w="1181" w:type="dxa"/>
            <w:tcBorders>
              <w:top w:val="single" w:sz="4" w:space="0" w:color="00B050"/>
              <w:left w:val="single" w:sz="4" w:space="0" w:color="00B050"/>
              <w:bottom w:val="single" w:sz="4" w:space="0" w:color="00B050"/>
              <w:right w:val="single" w:sz="4" w:space="0" w:color="00B050"/>
            </w:tcBorders>
            <w:noWrap/>
            <w:vAlign w:val="center"/>
            <w:hideMark/>
          </w:tcPr>
          <w:p w:rsidR="00030337" w:rsidRPr="00467C27" w:rsidRDefault="00030337" w:rsidP="00030337">
            <w:pPr>
              <w:pStyle w:val="Heading4"/>
              <w:spacing w:before="0"/>
              <w:jc w:val="center"/>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5%</w:t>
            </w:r>
          </w:p>
        </w:tc>
        <w:tc>
          <w:tcPr>
            <w:tcW w:w="1182" w:type="dxa"/>
            <w:tcBorders>
              <w:top w:val="single" w:sz="4" w:space="0" w:color="00B050"/>
              <w:left w:val="single" w:sz="4" w:space="0" w:color="00B050"/>
              <w:bottom w:val="single" w:sz="4" w:space="0" w:color="00B050"/>
              <w:right w:val="nil"/>
            </w:tcBorders>
            <w:noWrap/>
            <w:vAlign w:val="center"/>
            <w:hideMark/>
          </w:tcPr>
          <w:p w:rsidR="00030337" w:rsidRPr="00467C27" w:rsidRDefault="00030337" w:rsidP="00030337">
            <w:pPr>
              <w:pStyle w:val="Heading4"/>
              <w:spacing w:before="0"/>
              <w:jc w:val="center"/>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95%</w:t>
            </w:r>
          </w:p>
        </w:tc>
      </w:tr>
      <w:tr w:rsidR="00030337" w:rsidRPr="00467C27" w:rsidTr="00030337">
        <w:trPr>
          <w:trHeight w:val="276"/>
        </w:trPr>
        <w:tc>
          <w:tcPr>
            <w:tcW w:w="2553" w:type="dxa"/>
            <w:vMerge/>
            <w:tcBorders>
              <w:top w:val="single" w:sz="4" w:space="0" w:color="00B050"/>
              <w:left w:val="nil"/>
              <w:bottom w:val="single" w:sz="4" w:space="0" w:color="00B050"/>
              <w:right w:val="single" w:sz="4" w:space="0" w:color="00B050"/>
            </w:tcBorders>
            <w:hideMark/>
          </w:tcPr>
          <w:p w:rsidR="00030337" w:rsidRPr="00AF2E12" w:rsidRDefault="00030337" w:rsidP="00030337">
            <w:pPr>
              <w:pStyle w:val="Heading4"/>
              <w:spacing w:before="0"/>
              <w:outlineLvl w:val="3"/>
              <w:rPr>
                <w:rFonts w:asciiTheme="minorHAnsi" w:hAnsiTheme="minorHAnsi" w:cstheme="minorHAnsi"/>
                <w:color w:val="auto"/>
                <w:sz w:val="22"/>
              </w:rPr>
            </w:pPr>
          </w:p>
        </w:tc>
        <w:tc>
          <w:tcPr>
            <w:tcW w:w="1417" w:type="dxa"/>
            <w:tcBorders>
              <w:top w:val="single" w:sz="4" w:space="0" w:color="00B050"/>
              <w:left w:val="single" w:sz="4" w:space="0" w:color="00B050"/>
              <w:bottom w:val="single" w:sz="4" w:space="0" w:color="00B050"/>
              <w:right w:val="single" w:sz="4" w:space="0" w:color="00B050"/>
            </w:tcBorders>
            <w:noWrap/>
            <w:hideMark/>
          </w:tcPr>
          <w:p w:rsidR="00030337" w:rsidRPr="00467C27" w:rsidRDefault="00030337" w:rsidP="00030337">
            <w:pPr>
              <w:pStyle w:val="Heading4"/>
              <w:spacing w:before="0"/>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2017 n=671</w:t>
            </w:r>
          </w:p>
        </w:tc>
        <w:tc>
          <w:tcPr>
            <w:tcW w:w="992" w:type="dxa"/>
            <w:tcBorders>
              <w:top w:val="single" w:sz="4" w:space="0" w:color="00B050"/>
              <w:left w:val="single" w:sz="4" w:space="0" w:color="00B050"/>
              <w:bottom w:val="single" w:sz="4" w:space="0" w:color="00B050"/>
              <w:right w:val="single" w:sz="4" w:space="0" w:color="00B050"/>
            </w:tcBorders>
            <w:noWrap/>
            <w:vAlign w:val="center"/>
            <w:hideMark/>
          </w:tcPr>
          <w:p w:rsidR="00030337" w:rsidRPr="00467C27" w:rsidRDefault="00030337" w:rsidP="00030337">
            <w:pPr>
              <w:pStyle w:val="Heading4"/>
              <w:spacing w:before="0"/>
              <w:jc w:val="center"/>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5%</w:t>
            </w:r>
          </w:p>
        </w:tc>
        <w:tc>
          <w:tcPr>
            <w:tcW w:w="1134" w:type="dxa"/>
            <w:tcBorders>
              <w:top w:val="single" w:sz="4" w:space="0" w:color="00B050"/>
              <w:left w:val="single" w:sz="4" w:space="0" w:color="00B050"/>
              <w:bottom w:val="single" w:sz="4" w:space="0" w:color="00B050"/>
              <w:right w:val="single" w:sz="4" w:space="0" w:color="00B050"/>
            </w:tcBorders>
            <w:noWrap/>
            <w:vAlign w:val="center"/>
            <w:hideMark/>
          </w:tcPr>
          <w:p w:rsidR="00030337" w:rsidRPr="00467C27" w:rsidRDefault="00030337" w:rsidP="00030337">
            <w:pPr>
              <w:pStyle w:val="Heading4"/>
              <w:spacing w:before="0"/>
              <w:jc w:val="center"/>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15%</w:t>
            </w:r>
          </w:p>
        </w:tc>
        <w:tc>
          <w:tcPr>
            <w:tcW w:w="1134" w:type="dxa"/>
            <w:tcBorders>
              <w:top w:val="single" w:sz="4" w:space="0" w:color="00B050"/>
              <w:left w:val="single" w:sz="4" w:space="0" w:color="00B050"/>
              <w:bottom w:val="single" w:sz="4" w:space="0" w:color="00B050"/>
              <w:right w:val="single" w:sz="4" w:space="0" w:color="00B050"/>
            </w:tcBorders>
            <w:noWrap/>
            <w:vAlign w:val="center"/>
            <w:hideMark/>
          </w:tcPr>
          <w:p w:rsidR="00030337" w:rsidRPr="00467C27" w:rsidRDefault="00030337" w:rsidP="00030337">
            <w:pPr>
              <w:pStyle w:val="Heading4"/>
              <w:spacing w:before="0"/>
              <w:jc w:val="center"/>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19%</w:t>
            </w:r>
          </w:p>
        </w:tc>
        <w:tc>
          <w:tcPr>
            <w:tcW w:w="1134" w:type="dxa"/>
            <w:tcBorders>
              <w:top w:val="single" w:sz="4" w:space="0" w:color="00B050"/>
              <w:left w:val="single" w:sz="4" w:space="0" w:color="00B050"/>
              <w:bottom w:val="single" w:sz="4" w:space="0" w:color="00B050"/>
              <w:right w:val="single" w:sz="4" w:space="0" w:color="00B050"/>
            </w:tcBorders>
            <w:noWrap/>
            <w:vAlign w:val="center"/>
            <w:hideMark/>
          </w:tcPr>
          <w:p w:rsidR="00030337" w:rsidRPr="00467C27" w:rsidRDefault="00030337" w:rsidP="00030337">
            <w:pPr>
              <w:pStyle w:val="Heading4"/>
              <w:spacing w:before="0"/>
              <w:jc w:val="center"/>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16%</w:t>
            </w:r>
          </w:p>
        </w:tc>
        <w:tc>
          <w:tcPr>
            <w:tcW w:w="1276" w:type="dxa"/>
            <w:tcBorders>
              <w:top w:val="single" w:sz="4" w:space="0" w:color="00B050"/>
              <w:left w:val="single" w:sz="4" w:space="0" w:color="00B050"/>
              <w:bottom w:val="single" w:sz="4" w:space="0" w:color="00B050"/>
              <w:right w:val="single" w:sz="4" w:space="0" w:color="00B050"/>
            </w:tcBorders>
            <w:noWrap/>
            <w:vAlign w:val="center"/>
            <w:hideMark/>
          </w:tcPr>
          <w:p w:rsidR="00030337" w:rsidRPr="00467C27" w:rsidRDefault="00030337" w:rsidP="00030337">
            <w:pPr>
              <w:pStyle w:val="Heading4"/>
              <w:spacing w:before="0"/>
              <w:jc w:val="center"/>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16%</w:t>
            </w:r>
          </w:p>
        </w:tc>
        <w:tc>
          <w:tcPr>
            <w:tcW w:w="1134" w:type="dxa"/>
            <w:tcBorders>
              <w:top w:val="single" w:sz="4" w:space="0" w:color="00B050"/>
              <w:left w:val="single" w:sz="4" w:space="0" w:color="00B050"/>
              <w:bottom w:val="single" w:sz="4" w:space="0" w:color="00B050"/>
              <w:right w:val="single" w:sz="4" w:space="0" w:color="00B050"/>
            </w:tcBorders>
            <w:noWrap/>
            <w:vAlign w:val="center"/>
            <w:hideMark/>
          </w:tcPr>
          <w:p w:rsidR="00030337" w:rsidRPr="00467C27" w:rsidRDefault="00030337" w:rsidP="00030337">
            <w:pPr>
              <w:pStyle w:val="Heading4"/>
              <w:spacing w:before="0"/>
              <w:jc w:val="center"/>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9%</w:t>
            </w:r>
          </w:p>
        </w:tc>
        <w:tc>
          <w:tcPr>
            <w:tcW w:w="1464" w:type="dxa"/>
            <w:tcBorders>
              <w:top w:val="single" w:sz="4" w:space="0" w:color="00B050"/>
              <w:left w:val="single" w:sz="4" w:space="0" w:color="00B050"/>
              <w:bottom w:val="single" w:sz="4" w:space="0" w:color="00B050"/>
              <w:right w:val="single" w:sz="4" w:space="0" w:color="00B050"/>
            </w:tcBorders>
            <w:noWrap/>
            <w:vAlign w:val="center"/>
            <w:hideMark/>
          </w:tcPr>
          <w:p w:rsidR="00030337" w:rsidRPr="00467C27" w:rsidRDefault="00030337" w:rsidP="00030337">
            <w:pPr>
              <w:pStyle w:val="Heading4"/>
              <w:spacing w:before="0"/>
              <w:jc w:val="center"/>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13%</w:t>
            </w:r>
          </w:p>
        </w:tc>
        <w:tc>
          <w:tcPr>
            <w:tcW w:w="1181" w:type="dxa"/>
            <w:tcBorders>
              <w:top w:val="single" w:sz="4" w:space="0" w:color="00B050"/>
              <w:left w:val="single" w:sz="4" w:space="0" w:color="00B050"/>
              <w:bottom w:val="single" w:sz="4" w:space="0" w:color="00B050"/>
              <w:right w:val="single" w:sz="4" w:space="0" w:color="00B050"/>
            </w:tcBorders>
            <w:noWrap/>
            <w:vAlign w:val="center"/>
            <w:hideMark/>
          </w:tcPr>
          <w:p w:rsidR="00030337" w:rsidRPr="00467C27" w:rsidRDefault="00030337" w:rsidP="00030337">
            <w:pPr>
              <w:pStyle w:val="Heading4"/>
              <w:spacing w:before="0"/>
              <w:jc w:val="center"/>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6%</w:t>
            </w:r>
          </w:p>
        </w:tc>
        <w:tc>
          <w:tcPr>
            <w:tcW w:w="1182" w:type="dxa"/>
            <w:tcBorders>
              <w:top w:val="single" w:sz="4" w:space="0" w:color="00B050"/>
              <w:left w:val="single" w:sz="4" w:space="0" w:color="00B050"/>
              <w:bottom w:val="single" w:sz="4" w:space="0" w:color="00B050"/>
              <w:right w:val="nil"/>
            </w:tcBorders>
            <w:noWrap/>
            <w:vAlign w:val="center"/>
            <w:hideMark/>
          </w:tcPr>
          <w:p w:rsidR="00030337" w:rsidRPr="00467C27" w:rsidRDefault="00030337" w:rsidP="00030337">
            <w:pPr>
              <w:pStyle w:val="Heading4"/>
              <w:spacing w:before="0"/>
              <w:jc w:val="center"/>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94%</w:t>
            </w:r>
          </w:p>
        </w:tc>
      </w:tr>
      <w:tr w:rsidR="00030337" w:rsidRPr="00467C27" w:rsidTr="00030337">
        <w:trPr>
          <w:trHeight w:val="276"/>
        </w:trPr>
        <w:tc>
          <w:tcPr>
            <w:tcW w:w="2553" w:type="dxa"/>
            <w:vMerge/>
            <w:tcBorders>
              <w:top w:val="single" w:sz="4" w:space="0" w:color="00B050"/>
              <w:left w:val="nil"/>
              <w:bottom w:val="single" w:sz="4" w:space="0" w:color="00B050"/>
              <w:right w:val="single" w:sz="4" w:space="0" w:color="00B050"/>
            </w:tcBorders>
            <w:hideMark/>
          </w:tcPr>
          <w:p w:rsidR="00030337" w:rsidRPr="00AF2E12" w:rsidRDefault="00030337" w:rsidP="00030337">
            <w:pPr>
              <w:pStyle w:val="Heading4"/>
              <w:spacing w:before="0"/>
              <w:outlineLvl w:val="3"/>
              <w:rPr>
                <w:rFonts w:asciiTheme="minorHAnsi" w:hAnsiTheme="minorHAnsi" w:cstheme="minorHAnsi"/>
                <w:color w:val="auto"/>
                <w:sz w:val="22"/>
              </w:rPr>
            </w:pPr>
          </w:p>
        </w:tc>
        <w:tc>
          <w:tcPr>
            <w:tcW w:w="1417" w:type="dxa"/>
            <w:tcBorders>
              <w:top w:val="single" w:sz="4" w:space="0" w:color="00B050"/>
              <w:left w:val="single" w:sz="4" w:space="0" w:color="00B050"/>
              <w:bottom w:val="single" w:sz="4" w:space="0" w:color="00B050"/>
              <w:right w:val="single" w:sz="4" w:space="0" w:color="00B050"/>
            </w:tcBorders>
            <w:noWrap/>
            <w:hideMark/>
          </w:tcPr>
          <w:p w:rsidR="00030337" w:rsidRPr="00467C27" w:rsidRDefault="00030337" w:rsidP="00030337">
            <w:pPr>
              <w:pStyle w:val="Heading4"/>
              <w:spacing w:before="0"/>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2018 n=964</w:t>
            </w:r>
          </w:p>
        </w:tc>
        <w:tc>
          <w:tcPr>
            <w:tcW w:w="992" w:type="dxa"/>
            <w:tcBorders>
              <w:top w:val="single" w:sz="4" w:space="0" w:color="00B050"/>
              <w:left w:val="single" w:sz="4" w:space="0" w:color="00B050"/>
              <w:bottom w:val="single" w:sz="4" w:space="0" w:color="00B050"/>
              <w:right w:val="single" w:sz="4" w:space="0" w:color="00B050"/>
            </w:tcBorders>
            <w:noWrap/>
            <w:vAlign w:val="center"/>
            <w:hideMark/>
          </w:tcPr>
          <w:p w:rsidR="00030337" w:rsidRPr="00467C27" w:rsidRDefault="00030337" w:rsidP="00030337">
            <w:pPr>
              <w:pStyle w:val="Heading4"/>
              <w:spacing w:before="0"/>
              <w:jc w:val="center"/>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6%</w:t>
            </w:r>
          </w:p>
        </w:tc>
        <w:tc>
          <w:tcPr>
            <w:tcW w:w="1134" w:type="dxa"/>
            <w:tcBorders>
              <w:top w:val="single" w:sz="4" w:space="0" w:color="00B050"/>
              <w:left w:val="single" w:sz="4" w:space="0" w:color="00B050"/>
              <w:bottom w:val="single" w:sz="4" w:space="0" w:color="00B050"/>
              <w:right w:val="single" w:sz="4" w:space="0" w:color="00B050"/>
            </w:tcBorders>
            <w:noWrap/>
            <w:vAlign w:val="center"/>
            <w:hideMark/>
          </w:tcPr>
          <w:p w:rsidR="00030337" w:rsidRPr="00467C27" w:rsidRDefault="00030337" w:rsidP="00030337">
            <w:pPr>
              <w:pStyle w:val="Heading4"/>
              <w:spacing w:before="0"/>
              <w:jc w:val="center"/>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16%</w:t>
            </w:r>
          </w:p>
        </w:tc>
        <w:tc>
          <w:tcPr>
            <w:tcW w:w="1134" w:type="dxa"/>
            <w:tcBorders>
              <w:top w:val="single" w:sz="4" w:space="0" w:color="00B050"/>
              <w:left w:val="single" w:sz="4" w:space="0" w:color="00B050"/>
              <w:bottom w:val="single" w:sz="4" w:space="0" w:color="00B050"/>
              <w:right w:val="single" w:sz="4" w:space="0" w:color="00B050"/>
            </w:tcBorders>
            <w:noWrap/>
            <w:vAlign w:val="center"/>
            <w:hideMark/>
          </w:tcPr>
          <w:p w:rsidR="00030337" w:rsidRPr="00467C27" w:rsidRDefault="00030337" w:rsidP="00030337">
            <w:pPr>
              <w:pStyle w:val="Heading4"/>
              <w:spacing w:before="0"/>
              <w:jc w:val="center"/>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18%</w:t>
            </w:r>
          </w:p>
        </w:tc>
        <w:tc>
          <w:tcPr>
            <w:tcW w:w="1134" w:type="dxa"/>
            <w:tcBorders>
              <w:top w:val="single" w:sz="4" w:space="0" w:color="00B050"/>
              <w:left w:val="single" w:sz="4" w:space="0" w:color="00B050"/>
              <w:bottom w:val="single" w:sz="4" w:space="0" w:color="00B050"/>
              <w:right w:val="single" w:sz="4" w:space="0" w:color="00B050"/>
            </w:tcBorders>
            <w:noWrap/>
            <w:vAlign w:val="center"/>
            <w:hideMark/>
          </w:tcPr>
          <w:p w:rsidR="00030337" w:rsidRPr="00467C27" w:rsidRDefault="00030337" w:rsidP="00030337">
            <w:pPr>
              <w:pStyle w:val="Heading4"/>
              <w:spacing w:before="0"/>
              <w:jc w:val="center"/>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18%</w:t>
            </w:r>
          </w:p>
        </w:tc>
        <w:tc>
          <w:tcPr>
            <w:tcW w:w="1276" w:type="dxa"/>
            <w:tcBorders>
              <w:top w:val="single" w:sz="4" w:space="0" w:color="00B050"/>
              <w:left w:val="single" w:sz="4" w:space="0" w:color="00B050"/>
              <w:bottom w:val="single" w:sz="4" w:space="0" w:color="00B050"/>
              <w:right w:val="single" w:sz="4" w:space="0" w:color="00B050"/>
            </w:tcBorders>
            <w:noWrap/>
            <w:vAlign w:val="center"/>
            <w:hideMark/>
          </w:tcPr>
          <w:p w:rsidR="00030337" w:rsidRPr="00467C27" w:rsidRDefault="00030337" w:rsidP="00030337">
            <w:pPr>
              <w:pStyle w:val="Heading4"/>
              <w:spacing w:before="0"/>
              <w:jc w:val="center"/>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17%</w:t>
            </w:r>
          </w:p>
        </w:tc>
        <w:tc>
          <w:tcPr>
            <w:tcW w:w="1134" w:type="dxa"/>
            <w:tcBorders>
              <w:top w:val="single" w:sz="4" w:space="0" w:color="00B050"/>
              <w:left w:val="single" w:sz="4" w:space="0" w:color="00B050"/>
              <w:bottom w:val="single" w:sz="4" w:space="0" w:color="00B050"/>
              <w:right w:val="single" w:sz="4" w:space="0" w:color="00B050"/>
            </w:tcBorders>
            <w:noWrap/>
            <w:vAlign w:val="center"/>
            <w:hideMark/>
          </w:tcPr>
          <w:p w:rsidR="00030337" w:rsidRPr="00467C27" w:rsidRDefault="00030337" w:rsidP="00030337">
            <w:pPr>
              <w:pStyle w:val="Heading4"/>
              <w:spacing w:before="0"/>
              <w:jc w:val="center"/>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8%</w:t>
            </w:r>
          </w:p>
        </w:tc>
        <w:tc>
          <w:tcPr>
            <w:tcW w:w="1464" w:type="dxa"/>
            <w:tcBorders>
              <w:top w:val="single" w:sz="4" w:space="0" w:color="00B050"/>
              <w:left w:val="single" w:sz="4" w:space="0" w:color="00B050"/>
              <w:bottom w:val="single" w:sz="4" w:space="0" w:color="00B050"/>
              <w:right w:val="single" w:sz="4" w:space="0" w:color="00B050"/>
            </w:tcBorders>
            <w:noWrap/>
            <w:vAlign w:val="center"/>
            <w:hideMark/>
          </w:tcPr>
          <w:p w:rsidR="00030337" w:rsidRPr="00467C27" w:rsidRDefault="00030337" w:rsidP="00030337">
            <w:pPr>
              <w:pStyle w:val="Heading4"/>
              <w:spacing w:before="0"/>
              <w:jc w:val="center"/>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11%</w:t>
            </w:r>
          </w:p>
        </w:tc>
        <w:tc>
          <w:tcPr>
            <w:tcW w:w="1181" w:type="dxa"/>
            <w:tcBorders>
              <w:top w:val="single" w:sz="4" w:space="0" w:color="00B050"/>
              <w:left w:val="single" w:sz="4" w:space="0" w:color="00B050"/>
              <w:bottom w:val="single" w:sz="4" w:space="0" w:color="00B050"/>
              <w:right w:val="single" w:sz="4" w:space="0" w:color="00B050"/>
            </w:tcBorders>
            <w:noWrap/>
            <w:vAlign w:val="center"/>
            <w:hideMark/>
          </w:tcPr>
          <w:p w:rsidR="00030337" w:rsidRPr="00467C27" w:rsidRDefault="00030337" w:rsidP="00030337">
            <w:pPr>
              <w:pStyle w:val="Heading4"/>
              <w:spacing w:before="0"/>
              <w:jc w:val="center"/>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5%</w:t>
            </w:r>
          </w:p>
        </w:tc>
        <w:tc>
          <w:tcPr>
            <w:tcW w:w="1182" w:type="dxa"/>
            <w:tcBorders>
              <w:top w:val="single" w:sz="4" w:space="0" w:color="00B050"/>
              <w:left w:val="single" w:sz="4" w:space="0" w:color="00B050"/>
              <w:bottom w:val="single" w:sz="4" w:space="0" w:color="00B050"/>
              <w:right w:val="nil"/>
            </w:tcBorders>
            <w:noWrap/>
            <w:vAlign w:val="center"/>
            <w:hideMark/>
          </w:tcPr>
          <w:p w:rsidR="00030337" w:rsidRPr="00467C27" w:rsidRDefault="00030337" w:rsidP="00030337">
            <w:pPr>
              <w:pStyle w:val="Heading4"/>
              <w:spacing w:before="0"/>
              <w:jc w:val="center"/>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95%</w:t>
            </w:r>
          </w:p>
        </w:tc>
      </w:tr>
      <w:tr w:rsidR="00030337" w:rsidRPr="00467C27" w:rsidTr="00030337">
        <w:trPr>
          <w:trHeight w:val="276"/>
        </w:trPr>
        <w:tc>
          <w:tcPr>
            <w:tcW w:w="2553" w:type="dxa"/>
            <w:vMerge/>
            <w:tcBorders>
              <w:top w:val="single" w:sz="4" w:space="0" w:color="00B050"/>
              <w:left w:val="nil"/>
              <w:bottom w:val="single" w:sz="4" w:space="0" w:color="00B050"/>
              <w:right w:val="single" w:sz="4" w:space="0" w:color="00B050"/>
            </w:tcBorders>
            <w:hideMark/>
          </w:tcPr>
          <w:p w:rsidR="00030337" w:rsidRPr="00AF2E12" w:rsidRDefault="00030337" w:rsidP="00030337">
            <w:pPr>
              <w:pStyle w:val="Heading4"/>
              <w:spacing w:before="0"/>
              <w:outlineLvl w:val="3"/>
              <w:rPr>
                <w:rFonts w:asciiTheme="minorHAnsi" w:hAnsiTheme="minorHAnsi" w:cstheme="minorHAnsi"/>
                <w:color w:val="auto"/>
                <w:sz w:val="22"/>
              </w:rPr>
            </w:pPr>
          </w:p>
        </w:tc>
        <w:tc>
          <w:tcPr>
            <w:tcW w:w="1417" w:type="dxa"/>
            <w:tcBorders>
              <w:top w:val="single" w:sz="4" w:space="0" w:color="00B050"/>
              <w:left w:val="single" w:sz="4" w:space="0" w:color="00B050"/>
              <w:bottom w:val="single" w:sz="4" w:space="0" w:color="00B050"/>
              <w:right w:val="single" w:sz="4" w:space="0" w:color="00B050"/>
            </w:tcBorders>
            <w:noWrap/>
            <w:hideMark/>
          </w:tcPr>
          <w:p w:rsidR="00030337" w:rsidRPr="00467C27" w:rsidRDefault="00030337" w:rsidP="00030337">
            <w:pPr>
              <w:pStyle w:val="Heading4"/>
              <w:spacing w:before="0"/>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2019 n=461</w:t>
            </w:r>
          </w:p>
        </w:tc>
        <w:tc>
          <w:tcPr>
            <w:tcW w:w="992" w:type="dxa"/>
            <w:tcBorders>
              <w:top w:val="single" w:sz="4" w:space="0" w:color="00B050"/>
              <w:left w:val="single" w:sz="4" w:space="0" w:color="00B050"/>
              <w:bottom w:val="single" w:sz="4" w:space="0" w:color="00B050"/>
              <w:right w:val="single" w:sz="4" w:space="0" w:color="00B050"/>
            </w:tcBorders>
            <w:noWrap/>
            <w:vAlign w:val="center"/>
            <w:hideMark/>
          </w:tcPr>
          <w:p w:rsidR="00030337" w:rsidRPr="00467C27" w:rsidRDefault="00030337" w:rsidP="00030337">
            <w:pPr>
              <w:pStyle w:val="Heading4"/>
              <w:spacing w:before="0"/>
              <w:jc w:val="center"/>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8%</w:t>
            </w:r>
          </w:p>
        </w:tc>
        <w:tc>
          <w:tcPr>
            <w:tcW w:w="1134" w:type="dxa"/>
            <w:tcBorders>
              <w:top w:val="single" w:sz="4" w:space="0" w:color="00B050"/>
              <w:left w:val="single" w:sz="4" w:space="0" w:color="00B050"/>
              <w:bottom w:val="single" w:sz="4" w:space="0" w:color="00B050"/>
              <w:right w:val="single" w:sz="4" w:space="0" w:color="00B050"/>
            </w:tcBorders>
            <w:noWrap/>
            <w:vAlign w:val="center"/>
            <w:hideMark/>
          </w:tcPr>
          <w:p w:rsidR="00030337" w:rsidRPr="00467C27" w:rsidRDefault="00030337" w:rsidP="00030337">
            <w:pPr>
              <w:pStyle w:val="Heading4"/>
              <w:spacing w:before="0"/>
              <w:jc w:val="center"/>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19%</w:t>
            </w:r>
          </w:p>
        </w:tc>
        <w:tc>
          <w:tcPr>
            <w:tcW w:w="1134" w:type="dxa"/>
            <w:tcBorders>
              <w:top w:val="single" w:sz="4" w:space="0" w:color="00B050"/>
              <w:left w:val="single" w:sz="4" w:space="0" w:color="00B050"/>
              <w:bottom w:val="single" w:sz="4" w:space="0" w:color="00B050"/>
              <w:right w:val="single" w:sz="4" w:space="0" w:color="00B050"/>
            </w:tcBorders>
            <w:noWrap/>
            <w:vAlign w:val="center"/>
            <w:hideMark/>
          </w:tcPr>
          <w:p w:rsidR="00030337" w:rsidRPr="00467C27" w:rsidRDefault="00030337" w:rsidP="00030337">
            <w:pPr>
              <w:pStyle w:val="Heading4"/>
              <w:spacing w:before="0"/>
              <w:jc w:val="center"/>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20%</w:t>
            </w:r>
          </w:p>
        </w:tc>
        <w:tc>
          <w:tcPr>
            <w:tcW w:w="1134" w:type="dxa"/>
            <w:tcBorders>
              <w:top w:val="single" w:sz="4" w:space="0" w:color="00B050"/>
              <w:left w:val="single" w:sz="4" w:space="0" w:color="00B050"/>
              <w:bottom w:val="single" w:sz="4" w:space="0" w:color="00B050"/>
              <w:right w:val="single" w:sz="4" w:space="0" w:color="00B050"/>
            </w:tcBorders>
            <w:noWrap/>
            <w:vAlign w:val="center"/>
            <w:hideMark/>
          </w:tcPr>
          <w:p w:rsidR="00030337" w:rsidRPr="00467C27" w:rsidRDefault="00030337" w:rsidP="00030337">
            <w:pPr>
              <w:pStyle w:val="Heading4"/>
              <w:spacing w:before="0"/>
              <w:jc w:val="center"/>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16%</w:t>
            </w:r>
          </w:p>
        </w:tc>
        <w:tc>
          <w:tcPr>
            <w:tcW w:w="1276" w:type="dxa"/>
            <w:tcBorders>
              <w:top w:val="single" w:sz="4" w:space="0" w:color="00B050"/>
              <w:left w:val="single" w:sz="4" w:space="0" w:color="00B050"/>
              <w:bottom w:val="single" w:sz="4" w:space="0" w:color="00B050"/>
              <w:right w:val="single" w:sz="4" w:space="0" w:color="00B050"/>
            </w:tcBorders>
            <w:noWrap/>
            <w:vAlign w:val="center"/>
            <w:hideMark/>
          </w:tcPr>
          <w:p w:rsidR="00030337" w:rsidRPr="00467C27" w:rsidRDefault="00030337" w:rsidP="00030337">
            <w:pPr>
              <w:pStyle w:val="Heading4"/>
              <w:spacing w:before="0"/>
              <w:jc w:val="center"/>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16%</w:t>
            </w:r>
          </w:p>
        </w:tc>
        <w:tc>
          <w:tcPr>
            <w:tcW w:w="1134" w:type="dxa"/>
            <w:tcBorders>
              <w:top w:val="single" w:sz="4" w:space="0" w:color="00B050"/>
              <w:left w:val="single" w:sz="4" w:space="0" w:color="00B050"/>
              <w:bottom w:val="single" w:sz="4" w:space="0" w:color="00B050"/>
              <w:right w:val="single" w:sz="4" w:space="0" w:color="00B050"/>
            </w:tcBorders>
            <w:noWrap/>
            <w:vAlign w:val="center"/>
            <w:hideMark/>
          </w:tcPr>
          <w:p w:rsidR="00030337" w:rsidRPr="00467C27" w:rsidRDefault="00030337" w:rsidP="00030337">
            <w:pPr>
              <w:pStyle w:val="Heading4"/>
              <w:spacing w:before="0"/>
              <w:jc w:val="center"/>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9%</w:t>
            </w:r>
          </w:p>
        </w:tc>
        <w:tc>
          <w:tcPr>
            <w:tcW w:w="1464" w:type="dxa"/>
            <w:tcBorders>
              <w:top w:val="single" w:sz="4" w:space="0" w:color="00B050"/>
              <w:left w:val="single" w:sz="4" w:space="0" w:color="00B050"/>
              <w:bottom w:val="single" w:sz="4" w:space="0" w:color="00B050"/>
              <w:right w:val="single" w:sz="4" w:space="0" w:color="00B050"/>
            </w:tcBorders>
            <w:noWrap/>
            <w:vAlign w:val="center"/>
            <w:hideMark/>
          </w:tcPr>
          <w:p w:rsidR="00030337" w:rsidRPr="00467C27" w:rsidRDefault="00030337" w:rsidP="00030337">
            <w:pPr>
              <w:pStyle w:val="Heading4"/>
              <w:spacing w:before="0"/>
              <w:jc w:val="center"/>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10%</w:t>
            </w:r>
          </w:p>
        </w:tc>
        <w:tc>
          <w:tcPr>
            <w:tcW w:w="1181" w:type="dxa"/>
            <w:tcBorders>
              <w:top w:val="single" w:sz="4" w:space="0" w:color="00B050"/>
              <w:left w:val="single" w:sz="4" w:space="0" w:color="00B050"/>
              <w:bottom w:val="single" w:sz="4" w:space="0" w:color="00B050"/>
              <w:right w:val="single" w:sz="4" w:space="0" w:color="00B050"/>
            </w:tcBorders>
            <w:noWrap/>
            <w:vAlign w:val="center"/>
            <w:hideMark/>
          </w:tcPr>
          <w:p w:rsidR="00030337" w:rsidRPr="00467C27" w:rsidRDefault="00030337" w:rsidP="00030337">
            <w:pPr>
              <w:pStyle w:val="Heading4"/>
              <w:spacing w:before="0"/>
              <w:jc w:val="center"/>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2%</w:t>
            </w:r>
          </w:p>
        </w:tc>
        <w:tc>
          <w:tcPr>
            <w:tcW w:w="1182" w:type="dxa"/>
            <w:tcBorders>
              <w:top w:val="single" w:sz="4" w:space="0" w:color="00B050"/>
              <w:left w:val="single" w:sz="4" w:space="0" w:color="00B050"/>
              <w:bottom w:val="single" w:sz="4" w:space="0" w:color="00B050"/>
              <w:right w:val="nil"/>
            </w:tcBorders>
            <w:noWrap/>
            <w:vAlign w:val="center"/>
            <w:hideMark/>
          </w:tcPr>
          <w:p w:rsidR="00030337" w:rsidRPr="00467C27" w:rsidRDefault="00030337" w:rsidP="00030337">
            <w:pPr>
              <w:pStyle w:val="Heading4"/>
              <w:spacing w:before="0"/>
              <w:jc w:val="center"/>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98%</w:t>
            </w:r>
          </w:p>
        </w:tc>
      </w:tr>
      <w:tr w:rsidR="00030337" w:rsidRPr="00467C27" w:rsidTr="00030337">
        <w:trPr>
          <w:trHeight w:val="276"/>
        </w:trPr>
        <w:tc>
          <w:tcPr>
            <w:tcW w:w="2553" w:type="dxa"/>
            <w:vMerge w:val="restart"/>
            <w:tcBorders>
              <w:top w:val="single" w:sz="4" w:space="0" w:color="00B050"/>
              <w:left w:val="nil"/>
              <w:bottom w:val="single" w:sz="4" w:space="0" w:color="00B050"/>
              <w:right w:val="single" w:sz="4" w:space="0" w:color="00B050"/>
            </w:tcBorders>
            <w:hideMark/>
          </w:tcPr>
          <w:p w:rsidR="00030337" w:rsidRPr="00A622BE" w:rsidRDefault="00030337" w:rsidP="00030337">
            <w:pPr>
              <w:pStyle w:val="Heading4"/>
              <w:spacing w:before="0"/>
              <w:outlineLvl w:val="3"/>
              <w:rPr>
                <w:rFonts w:asciiTheme="minorHAnsi" w:hAnsiTheme="minorHAnsi" w:cstheme="minorHAnsi"/>
                <w:color w:val="auto"/>
                <w:sz w:val="20"/>
                <w:szCs w:val="20"/>
              </w:rPr>
            </w:pPr>
            <w:r w:rsidRPr="00A622BE">
              <w:rPr>
                <w:rFonts w:asciiTheme="minorHAnsi" w:hAnsiTheme="minorHAnsi" w:cstheme="minorHAnsi"/>
                <w:color w:val="auto"/>
                <w:sz w:val="20"/>
                <w:szCs w:val="20"/>
              </w:rPr>
              <w:t>Town Belt or Outer Green Belt</w:t>
            </w:r>
          </w:p>
        </w:tc>
        <w:tc>
          <w:tcPr>
            <w:tcW w:w="1417" w:type="dxa"/>
            <w:tcBorders>
              <w:top w:val="single" w:sz="4" w:space="0" w:color="00B050"/>
              <w:left w:val="single" w:sz="4" w:space="0" w:color="00B050"/>
              <w:bottom w:val="single" w:sz="4" w:space="0" w:color="00B050"/>
              <w:right w:val="single" w:sz="4" w:space="0" w:color="00B050"/>
            </w:tcBorders>
            <w:noWrap/>
            <w:hideMark/>
          </w:tcPr>
          <w:p w:rsidR="00030337" w:rsidRPr="00467C27" w:rsidRDefault="00030337" w:rsidP="00030337">
            <w:pPr>
              <w:pStyle w:val="Heading4"/>
              <w:spacing w:before="0"/>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2015 n=662</w:t>
            </w:r>
          </w:p>
        </w:tc>
        <w:tc>
          <w:tcPr>
            <w:tcW w:w="992" w:type="dxa"/>
            <w:tcBorders>
              <w:top w:val="single" w:sz="4" w:space="0" w:color="00B050"/>
              <w:left w:val="single" w:sz="4" w:space="0" w:color="00B050"/>
              <w:bottom w:val="single" w:sz="4" w:space="0" w:color="00B050"/>
              <w:right w:val="single" w:sz="4" w:space="0" w:color="00B050"/>
            </w:tcBorders>
            <w:noWrap/>
            <w:vAlign w:val="center"/>
            <w:hideMark/>
          </w:tcPr>
          <w:p w:rsidR="00030337" w:rsidRPr="00467C27" w:rsidRDefault="00030337" w:rsidP="00030337">
            <w:pPr>
              <w:pStyle w:val="Heading4"/>
              <w:spacing w:before="0"/>
              <w:jc w:val="center"/>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3%</w:t>
            </w:r>
          </w:p>
        </w:tc>
        <w:tc>
          <w:tcPr>
            <w:tcW w:w="1134" w:type="dxa"/>
            <w:tcBorders>
              <w:top w:val="single" w:sz="4" w:space="0" w:color="00B050"/>
              <w:left w:val="single" w:sz="4" w:space="0" w:color="00B050"/>
              <w:bottom w:val="single" w:sz="4" w:space="0" w:color="00B050"/>
              <w:right w:val="single" w:sz="4" w:space="0" w:color="00B050"/>
            </w:tcBorders>
            <w:noWrap/>
            <w:vAlign w:val="center"/>
            <w:hideMark/>
          </w:tcPr>
          <w:p w:rsidR="00030337" w:rsidRPr="00467C27" w:rsidRDefault="00030337" w:rsidP="00030337">
            <w:pPr>
              <w:pStyle w:val="Heading4"/>
              <w:spacing w:before="0"/>
              <w:jc w:val="center"/>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8%</w:t>
            </w:r>
          </w:p>
        </w:tc>
        <w:tc>
          <w:tcPr>
            <w:tcW w:w="1134" w:type="dxa"/>
            <w:tcBorders>
              <w:top w:val="single" w:sz="4" w:space="0" w:color="00B050"/>
              <w:left w:val="single" w:sz="4" w:space="0" w:color="00B050"/>
              <w:bottom w:val="single" w:sz="4" w:space="0" w:color="00B050"/>
              <w:right w:val="single" w:sz="4" w:space="0" w:color="00B050"/>
            </w:tcBorders>
            <w:noWrap/>
            <w:vAlign w:val="center"/>
            <w:hideMark/>
          </w:tcPr>
          <w:p w:rsidR="00030337" w:rsidRPr="00467C27" w:rsidRDefault="00030337" w:rsidP="00030337">
            <w:pPr>
              <w:pStyle w:val="Heading4"/>
              <w:spacing w:before="0"/>
              <w:jc w:val="center"/>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10%</w:t>
            </w:r>
          </w:p>
        </w:tc>
        <w:tc>
          <w:tcPr>
            <w:tcW w:w="1134" w:type="dxa"/>
            <w:tcBorders>
              <w:top w:val="single" w:sz="4" w:space="0" w:color="00B050"/>
              <w:left w:val="single" w:sz="4" w:space="0" w:color="00B050"/>
              <w:bottom w:val="single" w:sz="4" w:space="0" w:color="00B050"/>
              <w:right w:val="single" w:sz="4" w:space="0" w:color="00B050"/>
            </w:tcBorders>
            <w:noWrap/>
            <w:vAlign w:val="center"/>
            <w:hideMark/>
          </w:tcPr>
          <w:p w:rsidR="00030337" w:rsidRPr="00467C27" w:rsidRDefault="00030337" w:rsidP="00030337">
            <w:pPr>
              <w:pStyle w:val="Heading4"/>
              <w:spacing w:before="0"/>
              <w:jc w:val="center"/>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10%</w:t>
            </w:r>
          </w:p>
        </w:tc>
        <w:tc>
          <w:tcPr>
            <w:tcW w:w="1276" w:type="dxa"/>
            <w:tcBorders>
              <w:top w:val="single" w:sz="4" w:space="0" w:color="00B050"/>
              <w:left w:val="single" w:sz="4" w:space="0" w:color="00B050"/>
              <w:bottom w:val="single" w:sz="4" w:space="0" w:color="00B050"/>
              <w:right w:val="single" w:sz="4" w:space="0" w:color="00B050"/>
            </w:tcBorders>
            <w:noWrap/>
            <w:vAlign w:val="center"/>
            <w:hideMark/>
          </w:tcPr>
          <w:p w:rsidR="00030337" w:rsidRPr="00467C27" w:rsidRDefault="00030337" w:rsidP="00030337">
            <w:pPr>
              <w:pStyle w:val="Heading4"/>
              <w:spacing w:before="0"/>
              <w:jc w:val="center"/>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15%</w:t>
            </w:r>
          </w:p>
        </w:tc>
        <w:tc>
          <w:tcPr>
            <w:tcW w:w="1134" w:type="dxa"/>
            <w:tcBorders>
              <w:top w:val="single" w:sz="4" w:space="0" w:color="00B050"/>
              <w:left w:val="single" w:sz="4" w:space="0" w:color="00B050"/>
              <w:bottom w:val="single" w:sz="4" w:space="0" w:color="00B050"/>
              <w:right w:val="single" w:sz="4" w:space="0" w:color="00B050"/>
            </w:tcBorders>
            <w:noWrap/>
            <w:vAlign w:val="center"/>
            <w:hideMark/>
          </w:tcPr>
          <w:p w:rsidR="00030337" w:rsidRPr="00467C27" w:rsidRDefault="00030337" w:rsidP="00030337">
            <w:pPr>
              <w:pStyle w:val="Heading4"/>
              <w:spacing w:before="0"/>
              <w:jc w:val="center"/>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13%</w:t>
            </w:r>
          </w:p>
        </w:tc>
        <w:tc>
          <w:tcPr>
            <w:tcW w:w="1464" w:type="dxa"/>
            <w:tcBorders>
              <w:top w:val="single" w:sz="4" w:space="0" w:color="00B050"/>
              <w:left w:val="single" w:sz="4" w:space="0" w:color="00B050"/>
              <w:bottom w:val="single" w:sz="4" w:space="0" w:color="00B050"/>
              <w:right w:val="single" w:sz="4" w:space="0" w:color="00B050"/>
            </w:tcBorders>
            <w:noWrap/>
            <w:vAlign w:val="center"/>
            <w:hideMark/>
          </w:tcPr>
          <w:p w:rsidR="00030337" w:rsidRPr="00467C27" w:rsidRDefault="00030337" w:rsidP="00030337">
            <w:pPr>
              <w:pStyle w:val="Heading4"/>
              <w:spacing w:before="0"/>
              <w:jc w:val="center"/>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19%</w:t>
            </w:r>
          </w:p>
        </w:tc>
        <w:tc>
          <w:tcPr>
            <w:tcW w:w="1181" w:type="dxa"/>
            <w:tcBorders>
              <w:top w:val="single" w:sz="4" w:space="0" w:color="00B050"/>
              <w:left w:val="single" w:sz="4" w:space="0" w:color="00B050"/>
              <w:bottom w:val="single" w:sz="4" w:space="0" w:color="00B050"/>
              <w:right w:val="single" w:sz="4" w:space="0" w:color="00B050"/>
            </w:tcBorders>
            <w:noWrap/>
            <w:vAlign w:val="center"/>
            <w:hideMark/>
          </w:tcPr>
          <w:p w:rsidR="00030337" w:rsidRPr="00467C27" w:rsidRDefault="00030337" w:rsidP="00030337">
            <w:pPr>
              <w:pStyle w:val="Heading4"/>
              <w:spacing w:before="0"/>
              <w:jc w:val="center"/>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22%</w:t>
            </w:r>
          </w:p>
        </w:tc>
        <w:tc>
          <w:tcPr>
            <w:tcW w:w="1182" w:type="dxa"/>
            <w:tcBorders>
              <w:top w:val="single" w:sz="4" w:space="0" w:color="00B050"/>
              <w:left w:val="single" w:sz="4" w:space="0" w:color="00B050"/>
              <w:bottom w:val="single" w:sz="4" w:space="0" w:color="00B050"/>
              <w:right w:val="nil"/>
            </w:tcBorders>
            <w:noWrap/>
            <w:vAlign w:val="center"/>
            <w:hideMark/>
          </w:tcPr>
          <w:p w:rsidR="00030337" w:rsidRPr="00467C27" w:rsidRDefault="00030337" w:rsidP="00030337">
            <w:pPr>
              <w:pStyle w:val="Heading4"/>
              <w:spacing w:before="0"/>
              <w:jc w:val="center"/>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78%</w:t>
            </w:r>
          </w:p>
        </w:tc>
      </w:tr>
      <w:tr w:rsidR="00030337" w:rsidRPr="00467C27" w:rsidTr="00030337">
        <w:trPr>
          <w:trHeight w:val="276"/>
        </w:trPr>
        <w:tc>
          <w:tcPr>
            <w:tcW w:w="2553" w:type="dxa"/>
            <w:vMerge/>
            <w:tcBorders>
              <w:top w:val="single" w:sz="4" w:space="0" w:color="00B050"/>
              <w:left w:val="nil"/>
              <w:bottom w:val="single" w:sz="4" w:space="0" w:color="00B050"/>
              <w:right w:val="single" w:sz="4" w:space="0" w:color="00B050"/>
            </w:tcBorders>
            <w:hideMark/>
          </w:tcPr>
          <w:p w:rsidR="00030337" w:rsidRPr="00A622BE" w:rsidRDefault="00030337" w:rsidP="00030337">
            <w:pPr>
              <w:pStyle w:val="Heading4"/>
              <w:spacing w:before="0"/>
              <w:outlineLvl w:val="3"/>
              <w:rPr>
                <w:rFonts w:asciiTheme="minorHAnsi" w:hAnsiTheme="minorHAnsi" w:cstheme="minorHAnsi"/>
                <w:color w:val="auto"/>
                <w:sz w:val="20"/>
                <w:szCs w:val="20"/>
              </w:rPr>
            </w:pPr>
          </w:p>
        </w:tc>
        <w:tc>
          <w:tcPr>
            <w:tcW w:w="1417" w:type="dxa"/>
            <w:tcBorders>
              <w:top w:val="single" w:sz="4" w:space="0" w:color="00B050"/>
              <w:left w:val="single" w:sz="4" w:space="0" w:color="00B050"/>
              <w:bottom w:val="single" w:sz="4" w:space="0" w:color="00B050"/>
              <w:right w:val="single" w:sz="4" w:space="0" w:color="00B050"/>
            </w:tcBorders>
            <w:noWrap/>
            <w:hideMark/>
          </w:tcPr>
          <w:p w:rsidR="00030337" w:rsidRPr="00467C27" w:rsidRDefault="00030337" w:rsidP="00030337">
            <w:pPr>
              <w:pStyle w:val="Heading4"/>
              <w:spacing w:before="0"/>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2016 n=655</w:t>
            </w:r>
          </w:p>
        </w:tc>
        <w:tc>
          <w:tcPr>
            <w:tcW w:w="992" w:type="dxa"/>
            <w:tcBorders>
              <w:top w:val="single" w:sz="4" w:space="0" w:color="00B050"/>
              <w:left w:val="single" w:sz="4" w:space="0" w:color="00B050"/>
              <w:bottom w:val="single" w:sz="4" w:space="0" w:color="00B050"/>
              <w:right w:val="single" w:sz="4" w:space="0" w:color="00B050"/>
            </w:tcBorders>
            <w:noWrap/>
            <w:vAlign w:val="center"/>
            <w:hideMark/>
          </w:tcPr>
          <w:p w:rsidR="00030337" w:rsidRPr="00467C27" w:rsidRDefault="00030337" w:rsidP="00030337">
            <w:pPr>
              <w:pStyle w:val="Heading4"/>
              <w:spacing w:before="0"/>
              <w:jc w:val="center"/>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4%</w:t>
            </w:r>
          </w:p>
        </w:tc>
        <w:tc>
          <w:tcPr>
            <w:tcW w:w="1134" w:type="dxa"/>
            <w:tcBorders>
              <w:top w:val="single" w:sz="4" w:space="0" w:color="00B050"/>
              <w:left w:val="single" w:sz="4" w:space="0" w:color="00B050"/>
              <w:bottom w:val="single" w:sz="4" w:space="0" w:color="00B050"/>
              <w:right w:val="single" w:sz="4" w:space="0" w:color="00B050"/>
            </w:tcBorders>
            <w:noWrap/>
            <w:vAlign w:val="center"/>
            <w:hideMark/>
          </w:tcPr>
          <w:p w:rsidR="00030337" w:rsidRPr="00467C27" w:rsidRDefault="00030337" w:rsidP="00030337">
            <w:pPr>
              <w:pStyle w:val="Heading4"/>
              <w:spacing w:before="0"/>
              <w:jc w:val="center"/>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8%</w:t>
            </w:r>
          </w:p>
        </w:tc>
        <w:tc>
          <w:tcPr>
            <w:tcW w:w="1134" w:type="dxa"/>
            <w:tcBorders>
              <w:top w:val="single" w:sz="4" w:space="0" w:color="00B050"/>
              <w:left w:val="single" w:sz="4" w:space="0" w:color="00B050"/>
              <w:bottom w:val="single" w:sz="4" w:space="0" w:color="00B050"/>
              <w:right w:val="single" w:sz="4" w:space="0" w:color="00B050"/>
            </w:tcBorders>
            <w:noWrap/>
            <w:vAlign w:val="center"/>
            <w:hideMark/>
          </w:tcPr>
          <w:p w:rsidR="00030337" w:rsidRPr="00467C27" w:rsidRDefault="00030337" w:rsidP="00030337">
            <w:pPr>
              <w:pStyle w:val="Heading4"/>
              <w:spacing w:before="0"/>
              <w:jc w:val="center"/>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9%</w:t>
            </w:r>
          </w:p>
        </w:tc>
        <w:tc>
          <w:tcPr>
            <w:tcW w:w="1134" w:type="dxa"/>
            <w:tcBorders>
              <w:top w:val="single" w:sz="4" w:space="0" w:color="00B050"/>
              <w:left w:val="single" w:sz="4" w:space="0" w:color="00B050"/>
              <w:bottom w:val="single" w:sz="4" w:space="0" w:color="00B050"/>
              <w:right w:val="single" w:sz="4" w:space="0" w:color="00B050"/>
            </w:tcBorders>
            <w:noWrap/>
            <w:vAlign w:val="center"/>
            <w:hideMark/>
          </w:tcPr>
          <w:p w:rsidR="00030337" w:rsidRPr="00467C27" w:rsidRDefault="00030337" w:rsidP="00030337">
            <w:pPr>
              <w:pStyle w:val="Heading4"/>
              <w:spacing w:before="0"/>
              <w:jc w:val="center"/>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12%</w:t>
            </w:r>
          </w:p>
        </w:tc>
        <w:tc>
          <w:tcPr>
            <w:tcW w:w="1276" w:type="dxa"/>
            <w:tcBorders>
              <w:top w:val="single" w:sz="4" w:space="0" w:color="00B050"/>
              <w:left w:val="single" w:sz="4" w:space="0" w:color="00B050"/>
              <w:bottom w:val="single" w:sz="4" w:space="0" w:color="00B050"/>
              <w:right w:val="single" w:sz="4" w:space="0" w:color="00B050"/>
            </w:tcBorders>
            <w:noWrap/>
            <w:vAlign w:val="center"/>
            <w:hideMark/>
          </w:tcPr>
          <w:p w:rsidR="00030337" w:rsidRPr="00467C27" w:rsidRDefault="00030337" w:rsidP="00030337">
            <w:pPr>
              <w:pStyle w:val="Heading4"/>
              <w:spacing w:before="0"/>
              <w:jc w:val="center"/>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16%</w:t>
            </w:r>
          </w:p>
        </w:tc>
        <w:tc>
          <w:tcPr>
            <w:tcW w:w="1134" w:type="dxa"/>
            <w:tcBorders>
              <w:top w:val="single" w:sz="4" w:space="0" w:color="00B050"/>
              <w:left w:val="single" w:sz="4" w:space="0" w:color="00B050"/>
              <w:bottom w:val="single" w:sz="4" w:space="0" w:color="00B050"/>
              <w:right w:val="single" w:sz="4" w:space="0" w:color="00B050"/>
            </w:tcBorders>
            <w:noWrap/>
            <w:vAlign w:val="center"/>
            <w:hideMark/>
          </w:tcPr>
          <w:p w:rsidR="00030337" w:rsidRPr="00467C27" w:rsidRDefault="00030337" w:rsidP="00030337">
            <w:pPr>
              <w:pStyle w:val="Heading4"/>
              <w:spacing w:before="0"/>
              <w:jc w:val="center"/>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11%</w:t>
            </w:r>
          </w:p>
        </w:tc>
        <w:tc>
          <w:tcPr>
            <w:tcW w:w="1464" w:type="dxa"/>
            <w:tcBorders>
              <w:top w:val="single" w:sz="4" w:space="0" w:color="00B050"/>
              <w:left w:val="single" w:sz="4" w:space="0" w:color="00B050"/>
              <w:bottom w:val="single" w:sz="4" w:space="0" w:color="00B050"/>
              <w:right w:val="single" w:sz="4" w:space="0" w:color="00B050"/>
            </w:tcBorders>
            <w:noWrap/>
            <w:vAlign w:val="center"/>
            <w:hideMark/>
          </w:tcPr>
          <w:p w:rsidR="00030337" w:rsidRPr="00467C27" w:rsidRDefault="00030337" w:rsidP="00030337">
            <w:pPr>
              <w:pStyle w:val="Heading4"/>
              <w:spacing w:before="0"/>
              <w:jc w:val="center"/>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19%</w:t>
            </w:r>
          </w:p>
        </w:tc>
        <w:tc>
          <w:tcPr>
            <w:tcW w:w="1181" w:type="dxa"/>
            <w:tcBorders>
              <w:top w:val="single" w:sz="4" w:space="0" w:color="00B050"/>
              <w:left w:val="single" w:sz="4" w:space="0" w:color="00B050"/>
              <w:bottom w:val="single" w:sz="4" w:space="0" w:color="00B050"/>
              <w:right w:val="single" w:sz="4" w:space="0" w:color="00B050"/>
            </w:tcBorders>
            <w:noWrap/>
            <w:vAlign w:val="center"/>
            <w:hideMark/>
          </w:tcPr>
          <w:p w:rsidR="00030337" w:rsidRPr="00467C27" w:rsidRDefault="00030337" w:rsidP="00030337">
            <w:pPr>
              <w:pStyle w:val="Heading4"/>
              <w:spacing w:before="0"/>
              <w:jc w:val="center"/>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22%</w:t>
            </w:r>
          </w:p>
        </w:tc>
        <w:tc>
          <w:tcPr>
            <w:tcW w:w="1182" w:type="dxa"/>
            <w:tcBorders>
              <w:top w:val="single" w:sz="4" w:space="0" w:color="00B050"/>
              <w:left w:val="single" w:sz="4" w:space="0" w:color="00B050"/>
              <w:bottom w:val="single" w:sz="4" w:space="0" w:color="00B050"/>
              <w:right w:val="nil"/>
            </w:tcBorders>
            <w:noWrap/>
            <w:vAlign w:val="center"/>
            <w:hideMark/>
          </w:tcPr>
          <w:p w:rsidR="00030337" w:rsidRPr="00467C27" w:rsidRDefault="00030337" w:rsidP="00030337">
            <w:pPr>
              <w:pStyle w:val="Heading4"/>
              <w:spacing w:before="0"/>
              <w:jc w:val="center"/>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78%</w:t>
            </w:r>
          </w:p>
        </w:tc>
      </w:tr>
      <w:tr w:rsidR="00030337" w:rsidRPr="00467C27" w:rsidTr="00030337">
        <w:trPr>
          <w:trHeight w:val="276"/>
        </w:trPr>
        <w:tc>
          <w:tcPr>
            <w:tcW w:w="2553" w:type="dxa"/>
            <w:vMerge/>
            <w:tcBorders>
              <w:top w:val="single" w:sz="4" w:space="0" w:color="00B050"/>
              <w:left w:val="nil"/>
              <w:bottom w:val="single" w:sz="4" w:space="0" w:color="00B050"/>
              <w:right w:val="single" w:sz="4" w:space="0" w:color="00B050"/>
            </w:tcBorders>
            <w:hideMark/>
          </w:tcPr>
          <w:p w:rsidR="00030337" w:rsidRPr="00A622BE" w:rsidRDefault="00030337" w:rsidP="00030337">
            <w:pPr>
              <w:pStyle w:val="Heading4"/>
              <w:spacing w:before="0"/>
              <w:outlineLvl w:val="3"/>
              <w:rPr>
                <w:rFonts w:asciiTheme="minorHAnsi" w:hAnsiTheme="minorHAnsi" w:cstheme="minorHAnsi"/>
                <w:color w:val="auto"/>
                <w:sz w:val="20"/>
                <w:szCs w:val="20"/>
              </w:rPr>
            </w:pPr>
          </w:p>
        </w:tc>
        <w:tc>
          <w:tcPr>
            <w:tcW w:w="1417" w:type="dxa"/>
            <w:tcBorders>
              <w:top w:val="single" w:sz="4" w:space="0" w:color="00B050"/>
              <w:left w:val="single" w:sz="4" w:space="0" w:color="00B050"/>
              <w:bottom w:val="single" w:sz="4" w:space="0" w:color="00B050"/>
              <w:right w:val="single" w:sz="4" w:space="0" w:color="00B050"/>
            </w:tcBorders>
            <w:noWrap/>
            <w:hideMark/>
          </w:tcPr>
          <w:p w:rsidR="00030337" w:rsidRPr="00467C27" w:rsidRDefault="00030337" w:rsidP="00030337">
            <w:pPr>
              <w:pStyle w:val="Heading4"/>
              <w:spacing w:before="0"/>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2017 n=657</w:t>
            </w:r>
          </w:p>
        </w:tc>
        <w:tc>
          <w:tcPr>
            <w:tcW w:w="992" w:type="dxa"/>
            <w:tcBorders>
              <w:top w:val="single" w:sz="4" w:space="0" w:color="00B050"/>
              <w:left w:val="single" w:sz="4" w:space="0" w:color="00B050"/>
              <w:bottom w:val="single" w:sz="4" w:space="0" w:color="00B050"/>
              <w:right w:val="single" w:sz="4" w:space="0" w:color="00B050"/>
            </w:tcBorders>
            <w:noWrap/>
            <w:vAlign w:val="center"/>
            <w:hideMark/>
          </w:tcPr>
          <w:p w:rsidR="00030337" w:rsidRPr="00467C27" w:rsidRDefault="00030337" w:rsidP="00030337">
            <w:pPr>
              <w:pStyle w:val="Heading4"/>
              <w:spacing w:before="0"/>
              <w:jc w:val="center"/>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6%</w:t>
            </w:r>
          </w:p>
        </w:tc>
        <w:tc>
          <w:tcPr>
            <w:tcW w:w="1134" w:type="dxa"/>
            <w:tcBorders>
              <w:top w:val="single" w:sz="4" w:space="0" w:color="00B050"/>
              <w:left w:val="single" w:sz="4" w:space="0" w:color="00B050"/>
              <w:bottom w:val="single" w:sz="4" w:space="0" w:color="00B050"/>
              <w:right w:val="single" w:sz="4" w:space="0" w:color="00B050"/>
            </w:tcBorders>
            <w:noWrap/>
            <w:vAlign w:val="center"/>
            <w:hideMark/>
          </w:tcPr>
          <w:p w:rsidR="00030337" w:rsidRPr="00467C27" w:rsidRDefault="00030337" w:rsidP="00030337">
            <w:pPr>
              <w:pStyle w:val="Heading4"/>
              <w:spacing w:before="0"/>
              <w:jc w:val="center"/>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10%</w:t>
            </w:r>
          </w:p>
        </w:tc>
        <w:tc>
          <w:tcPr>
            <w:tcW w:w="1134" w:type="dxa"/>
            <w:tcBorders>
              <w:top w:val="single" w:sz="4" w:space="0" w:color="00B050"/>
              <w:left w:val="single" w:sz="4" w:space="0" w:color="00B050"/>
              <w:bottom w:val="single" w:sz="4" w:space="0" w:color="00B050"/>
              <w:right w:val="single" w:sz="4" w:space="0" w:color="00B050"/>
            </w:tcBorders>
            <w:noWrap/>
            <w:vAlign w:val="center"/>
            <w:hideMark/>
          </w:tcPr>
          <w:p w:rsidR="00030337" w:rsidRPr="00467C27" w:rsidRDefault="00030337" w:rsidP="00030337">
            <w:pPr>
              <w:pStyle w:val="Heading4"/>
              <w:spacing w:before="0"/>
              <w:jc w:val="center"/>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9%</w:t>
            </w:r>
          </w:p>
        </w:tc>
        <w:tc>
          <w:tcPr>
            <w:tcW w:w="1134" w:type="dxa"/>
            <w:tcBorders>
              <w:top w:val="single" w:sz="4" w:space="0" w:color="00B050"/>
              <w:left w:val="single" w:sz="4" w:space="0" w:color="00B050"/>
              <w:bottom w:val="single" w:sz="4" w:space="0" w:color="00B050"/>
              <w:right w:val="single" w:sz="4" w:space="0" w:color="00B050"/>
            </w:tcBorders>
            <w:noWrap/>
            <w:vAlign w:val="center"/>
            <w:hideMark/>
          </w:tcPr>
          <w:p w:rsidR="00030337" w:rsidRPr="00467C27" w:rsidRDefault="00030337" w:rsidP="00030337">
            <w:pPr>
              <w:pStyle w:val="Heading4"/>
              <w:spacing w:before="0"/>
              <w:jc w:val="center"/>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11%</w:t>
            </w:r>
          </w:p>
        </w:tc>
        <w:tc>
          <w:tcPr>
            <w:tcW w:w="1276" w:type="dxa"/>
            <w:tcBorders>
              <w:top w:val="single" w:sz="4" w:space="0" w:color="00B050"/>
              <w:left w:val="single" w:sz="4" w:space="0" w:color="00B050"/>
              <w:bottom w:val="single" w:sz="4" w:space="0" w:color="00B050"/>
              <w:right w:val="single" w:sz="4" w:space="0" w:color="00B050"/>
            </w:tcBorders>
            <w:noWrap/>
            <w:vAlign w:val="center"/>
            <w:hideMark/>
          </w:tcPr>
          <w:p w:rsidR="00030337" w:rsidRPr="00467C27" w:rsidRDefault="00030337" w:rsidP="00030337">
            <w:pPr>
              <w:pStyle w:val="Heading4"/>
              <w:spacing w:before="0"/>
              <w:jc w:val="center"/>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15%</w:t>
            </w:r>
          </w:p>
        </w:tc>
        <w:tc>
          <w:tcPr>
            <w:tcW w:w="1134" w:type="dxa"/>
            <w:tcBorders>
              <w:top w:val="single" w:sz="4" w:space="0" w:color="00B050"/>
              <w:left w:val="single" w:sz="4" w:space="0" w:color="00B050"/>
              <w:bottom w:val="single" w:sz="4" w:space="0" w:color="00B050"/>
              <w:right w:val="single" w:sz="4" w:space="0" w:color="00B050"/>
            </w:tcBorders>
            <w:noWrap/>
            <w:vAlign w:val="center"/>
            <w:hideMark/>
          </w:tcPr>
          <w:p w:rsidR="00030337" w:rsidRPr="00467C27" w:rsidRDefault="00030337" w:rsidP="00030337">
            <w:pPr>
              <w:pStyle w:val="Heading4"/>
              <w:spacing w:before="0"/>
              <w:jc w:val="center"/>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13%</w:t>
            </w:r>
          </w:p>
        </w:tc>
        <w:tc>
          <w:tcPr>
            <w:tcW w:w="1464" w:type="dxa"/>
            <w:tcBorders>
              <w:top w:val="single" w:sz="4" w:space="0" w:color="00B050"/>
              <w:left w:val="single" w:sz="4" w:space="0" w:color="00B050"/>
              <w:bottom w:val="single" w:sz="4" w:space="0" w:color="00B050"/>
              <w:right w:val="single" w:sz="4" w:space="0" w:color="00B050"/>
            </w:tcBorders>
            <w:noWrap/>
            <w:vAlign w:val="center"/>
            <w:hideMark/>
          </w:tcPr>
          <w:p w:rsidR="00030337" w:rsidRPr="00467C27" w:rsidRDefault="00030337" w:rsidP="00030337">
            <w:pPr>
              <w:pStyle w:val="Heading4"/>
              <w:spacing w:before="0"/>
              <w:jc w:val="center"/>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17%</w:t>
            </w:r>
          </w:p>
        </w:tc>
        <w:tc>
          <w:tcPr>
            <w:tcW w:w="1181" w:type="dxa"/>
            <w:tcBorders>
              <w:top w:val="single" w:sz="4" w:space="0" w:color="00B050"/>
              <w:left w:val="single" w:sz="4" w:space="0" w:color="00B050"/>
              <w:bottom w:val="single" w:sz="4" w:space="0" w:color="00B050"/>
              <w:right w:val="single" w:sz="4" w:space="0" w:color="00B050"/>
            </w:tcBorders>
            <w:noWrap/>
            <w:vAlign w:val="center"/>
            <w:hideMark/>
          </w:tcPr>
          <w:p w:rsidR="00030337" w:rsidRPr="00467C27" w:rsidRDefault="00030337" w:rsidP="00030337">
            <w:pPr>
              <w:pStyle w:val="Heading4"/>
              <w:spacing w:before="0"/>
              <w:jc w:val="center"/>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20%</w:t>
            </w:r>
          </w:p>
        </w:tc>
        <w:tc>
          <w:tcPr>
            <w:tcW w:w="1182" w:type="dxa"/>
            <w:tcBorders>
              <w:top w:val="single" w:sz="4" w:space="0" w:color="00B050"/>
              <w:left w:val="single" w:sz="4" w:space="0" w:color="00B050"/>
              <w:bottom w:val="single" w:sz="4" w:space="0" w:color="00B050"/>
              <w:right w:val="nil"/>
            </w:tcBorders>
            <w:noWrap/>
            <w:vAlign w:val="center"/>
            <w:hideMark/>
          </w:tcPr>
          <w:p w:rsidR="00030337" w:rsidRPr="00467C27" w:rsidRDefault="00030337" w:rsidP="00030337">
            <w:pPr>
              <w:pStyle w:val="Heading4"/>
              <w:spacing w:before="0"/>
              <w:jc w:val="center"/>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80%</w:t>
            </w:r>
          </w:p>
        </w:tc>
      </w:tr>
      <w:tr w:rsidR="00030337" w:rsidRPr="00467C27" w:rsidTr="00030337">
        <w:trPr>
          <w:trHeight w:val="276"/>
        </w:trPr>
        <w:tc>
          <w:tcPr>
            <w:tcW w:w="2553" w:type="dxa"/>
            <w:vMerge/>
            <w:tcBorders>
              <w:top w:val="single" w:sz="4" w:space="0" w:color="00B050"/>
              <w:left w:val="nil"/>
              <w:bottom w:val="single" w:sz="4" w:space="0" w:color="00B050"/>
              <w:right w:val="single" w:sz="4" w:space="0" w:color="00B050"/>
            </w:tcBorders>
            <w:hideMark/>
          </w:tcPr>
          <w:p w:rsidR="00030337" w:rsidRPr="00A622BE" w:rsidRDefault="00030337" w:rsidP="00030337">
            <w:pPr>
              <w:pStyle w:val="Heading4"/>
              <w:spacing w:before="0"/>
              <w:outlineLvl w:val="3"/>
              <w:rPr>
                <w:rFonts w:asciiTheme="minorHAnsi" w:hAnsiTheme="minorHAnsi" w:cstheme="minorHAnsi"/>
                <w:color w:val="auto"/>
                <w:sz w:val="20"/>
                <w:szCs w:val="20"/>
              </w:rPr>
            </w:pPr>
          </w:p>
        </w:tc>
        <w:tc>
          <w:tcPr>
            <w:tcW w:w="1417" w:type="dxa"/>
            <w:tcBorders>
              <w:top w:val="single" w:sz="4" w:space="0" w:color="00B050"/>
              <w:left w:val="single" w:sz="4" w:space="0" w:color="00B050"/>
              <w:bottom w:val="single" w:sz="4" w:space="0" w:color="00B050"/>
              <w:right w:val="single" w:sz="4" w:space="0" w:color="00B050"/>
            </w:tcBorders>
            <w:noWrap/>
            <w:hideMark/>
          </w:tcPr>
          <w:p w:rsidR="00030337" w:rsidRPr="00467C27" w:rsidRDefault="00030337" w:rsidP="00030337">
            <w:pPr>
              <w:pStyle w:val="Heading4"/>
              <w:spacing w:before="0"/>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2018 n=935</w:t>
            </w:r>
          </w:p>
        </w:tc>
        <w:tc>
          <w:tcPr>
            <w:tcW w:w="992" w:type="dxa"/>
            <w:tcBorders>
              <w:top w:val="single" w:sz="4" w:space="0" w:color="00B050"/>
              <w:left w:val="single" w:sz="4" w:space="0" w:color="00B050"/>
              <w:bottom w:val="single" w:sz="4" w:space="0" w:color="00B050"/>
              <w:right w:val="single" w:sz="4" w:space="0" w:color="00B050"/>
            </w:tcBorders>
            <w:noWrap/>
            <w:vAlign w:val="center"/>
            <w:hideMark/>
          </w:tcPr>
          <w:p w:rsidR="00030337" w:rsidRPr="00467C27" w:rsidRDefault="00030337" w:rsidP="00030337">
            <w:pPr>
              <w:pStyle w:val="Heading4"/>
              <w:spacing w:before="0"/>
              <w:jc w:val="center"/>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4%</w:t>
            </w:r>
          </w:p>
        </w:tc>
        <w:tc>
          <w:tcPr>
            <w:tcW w:w="1134" w:type="dxa"/>
            <w:tcBorders>
              <w:top w:val="single" w:sz="4" w:space="0" w:color="00B050"/>
              <w:left w:val="single" w:sz="4" w:space="0" w:color="00B050"/>
              <w:bottom w:val="single" w:sz="4" w:space="0" w:color="00B050"/>
              <w:right w:val="single" w:sz="4" w:space="0" w:color="00B050"/>
            </w:tcBorders>
            <w:noWrap/>
            <w:vAlign w:val="center"/>
            <w:hideMark/>
          </w:tcPr>
          <w:p w:rsidR="00030337" w:rsidRPr="00467C27" w:rsidRDefault="00030337" w:rsidP="00030337">
            <w:pPr>
              <w:pStyle w:val="Heading4"/>
              <w:spacing w:before="0"/>
              <w:jc w:val="center"/>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10%</w:t>
            </w:r>
          </w:p>
        </w:tc>
        <w:tc>
          <w:tcPr>
            <w:tcW w:w="1134" w:type="dxa"/>
            <w:tcBorders>
              <w:top w:val="single" w:sz="4" w:space="0" w:color="00B050"/>
              <w:left w:val="single" w:sz="4" w:space="0" w:color="00B050"/>
              <w:bottom w:val="single" w:sz="4" w:space="0" w:color="00B050"/>
              <w:right w:val="single" w:sz="4" w:space="0" w:color="00B050"/>
            </w:tcBorders>
            <w:noWrap/>
            <w:vAlign w:val="center"/>
            <w:hideMark/>
          </w:tcPr>
          <w:p w:rsidR="00030337" w:rsidRPr="00467C27" w:rsidRDefault="00030337" w:rsidP="00030337">
            <w:pPr>
              <w:pStyle w:val="Heading4"/>
              <w:spacing w:before="0"/>
              <w:jc w:val="center"/>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12%</w:t>
            </w:r>
          </w:p>
        </w:tc>
        <w:tc>
          <w:tcPr>
            <w:tcW w:w="1134" w:type="dxa"/>
            <w:tcBorders>
              <w:top w:val="single" w:sz="4" w:space="0" w:color="00B050"/>
              <w:left w:val="single" w:sz="4" w:space="0" w:color="00B050"/>
              <w:bottom w:val="single" w:sz="4" w:space="0" w:color="00B050"/>
              <w:right w:val="single" w:sz="4" w:space="0" w:color="00B050"/>
            </w:tcBorders>
            <w:noWrap/>
            <w:vAlign w:val="center"/>
            <w:hideMark/>
          </w:tcPr>
          <w:p w:rsidR="00030337" w:rsidRPr="00467C27" w:rsidRDefault="00030337" w:rsidP="00030337">
            <w:pPr>
              <w:pStyle w:val="Heading4"/>
              <w:spacing w:before="0"/>
              <w:jc w:val="center"/>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13%</w:t>
            </w:r>
          </w:p>
        </w:tc>
        <w:tc>
          <w:tcPr>
            <w:tcW w:w="1276" w:type="dxa"/>
            <w:tcBorders>
              <w:top w:val="single" w:sz="4" w:space="0" w:color="00B050"/>
              <w:left w:val="single" w:sz="4" w:space="0" w:color="00B050"/>
              <w:bottom w:val="single" w:sz="4" w:space="0" w:color="00B050"/>
              <w:right w:val="single" w:sz="4" w:space="0" w:color="00B050"/>
            </w:tcBorders>
            <w:noWrap/>
            <w:vAlign w:val="center"/>
            <w:hideMark/>
          </w:tcPr>
          <w:p w:rsidR="00030337" w:rsidRPr="00467C27" w:rsidRDefault="00030337" w:rsidP="00030337">
            <w:pPr>
              <w:pStyle w:val="Heading4"/>
              <w:spacing w:before="0"/>
              <w:jc w:val="center"/>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14%</w:t>
            </w:r>
          </w:p>
        </w:tc>
        <w:tc>
          <w:tcPr>
            <w:tcW w:w="1134" w:type="dxa"/>
            <w:tcBorders>
              <w:top w:val="single" w:sz="4" w:space="0" w:color="00B050"/>
              <w:left w:val="single" w:sz="4" w:space="0" w:color="00B050"/>
              <w:bottom w:val="single" w:sz="4" w:space="0" w:color="00B050"/>
              <w:right w:val="single" w:sz="4" w:space="0" w:color="00B050"/>
            </w:tcBorders>
            <w:noWrap/>
            <w:vAlign w:val="center"/>
            <w:hideMark/>
          </w:tcPr>
          <w:p w:rsidR="00030337" w:rsidRPr="00467C27" w:rsidRDefault="00030337" w:rsidP="00030337">
            <w:pPr>
              <w:pStyle w:val="Heading4"/>
              <w:spacing w:before="0"/>
              <w:jc w:val="center"/>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9%</w:t>
            </w:r>
          </w:p>
        </w:tc>
        <w:tc>
          <w:tcPr>
            <w:tcW w:w="1464" w:type="dxa"/>
            <w:tcBorders>
              <w:top w:val="single" w:sz="4" w:space="0" w:color="00B050"/>
              <w:left w:val="single" w:sz="4" w:space="0" w:color="00B050"/>
              <w:bottom w:val="single" w:sz="4" w:space="0" w:color="00B050"/>
              <w:right w:val="single" w:sz="4" w:space="0" w:color="00B050"/>
            </w:tcBorders>
            <w:noWrap/>
            <w:vAlign w:val="center"/>
            <w:hideMark/>
          </w:tcPr>
          <w:p w:rsidR="00030337" w:rsidRPr="00467C27" w:rsidRDefault="00030337" w:rsidP="00030337">
            <w:pPr>
              <w:pStyle w:val="Heading4"/>
              <w:spacing w:before="0"/>
              <w:jc w:val="center"/>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17%</w:t>
            </w:r>
          </w:p>
        </w:tc>
        <w:tc>
          <w:tcPr>
            <w:tcW w:w="1181" w:type="dxa"/>
            <w:tcBorders>
              <w:top w:val="single" w:sz="4" w:space="0" w:color="00B050"/>
              <w:left w:val="single" w:sz="4" w:space="0" w:color="00B050"/>
              <w:bottom w:val="single" w:sz="4" w:space="0" w:color="00B050"/>
              <w:right w:val="single" w:sz="4" w:space="0" w:color="00B050"/>
            </w:tcBorders>
            <w:noWrap/>
            <w:vAlign w:val="center"/>
            <w:hideMark/>
          </w:tcPr>
          <w:p w:rsidR="00030337" w:rsidRPr="00467C27" w:rsidRDefault="00030337" w:rsidP="00030337">
            <w:pPr>
              <w:pStyle w:val="Heading4"/>
              <w:spacing w:before="0"/>
              <w:jc w:val="center"/>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22%</w:t>
            </w:r>
          </w:p>
        </w:tc>
        <w:tc>
          <w:tcPr>
            <w:tcW w:w="1182" w:type="dxa"/>
            <w:tcBorders>
              <w:top w:val="single" w:sz="4" w:space="0" w:color="00B050"/>
              <w:left w:val="single" w:sz="4" w:space="0" w:color="00B050"/>
              <w:bottom w:val="single" w:sz="4" w:space="0" w:color="00B050"/>
              <w:right w:val="nil"/>
            </w:tcBorders>
            <w:noWrap/>
            <w:vAlign w:val="center"/>
            <w:hideMark/>
          </w:tcPr>
          <w:p w:rsidR="00030337" w:rsidRPr="00467C27" w:rsidRDefault="00030337" w:rsidP="00030337">
            <w:pPr>
              <w:pStyle w:val="Heading4"/>
              <w:spacing w:before="0"/>
              <w:jc w:val="center"/>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78%</w:t>
            </w:r>
          </w:p>
        </w:tc>
      </w:tr>
      <w:tr w:rsidR="00030337" w:rsidRPr="00467C27" w:rsidTr="00030337">
        <w:trPr>
          <w:trHeight w:val="276"/>
        </w:trPr>
        <w:tc>
          <w:tcPr>
            <w:tcW w:w="2553" w:type="dxa"/>
            <w:vMerge/>
            <w:tcBorders>
              <w:top w:val="single" w:sz="4" w:space="0" w:color="00B050"/>
              <w:left w:val="nil"/>
              <w:bottom w:val="single" w:sz="4" w:space="0" w:color="00B050"/>
              <w:right w:val="single" w:sz="4" w:space="0" w:color="00B050"/>
            </w:tcBorders>
            <w:hideMark/>
          </w:tcPr>
          <w:p w:rsidR="00030337" w:rsidRPr="00A622BE" w:rsidRDefault="00030337" w:rsidP="00030337">
            <w:pPr>
              <w:pStyle w:val="Heading4"/>
              <w:spacing w:before="0"/>
              <w:outlineLvl w:val="3"/>
              <w:rPr>
                <w:rFonts w:asciiTheme="minorHAnsi" w:hAnsiTheme="minorHAnsi" w:cstheme="minorHAnsi"/>
                <w:color w:val="auto"/>
                <w:sz w:val="20"/>
                <w:szCs w:val="20"/>
              </w:rPr>
            </w:pPr>
          </w:p>
        </w:tc>
        <w:tc>
          <w:tcPr>
            <w:tcW w:w="1417" w:type="dxa"/>
            <w:tcBorders>
              <w:top w:val="single" w:sz="4" w:space="0" w:color="00B050"/>
              <w:left w:val="single" w:sz="4" w:space="0" w:color="00B050"/>
              <w:bottom w:val="single" w:sz="4" w:space="0" w:color="00B050"/>
              <w:right w:val="single" w:sz="4" w:space="0" w:color="00B050"/>
            </w:tcBorders>
            <w:noWrap/>
            <w:hideMark/>
          </w:tcPr>
          <w:p w:rsidR="00030337" w:rsidRPr="00467C27" w:rsidRDefault="00030337" w:rsidP="00030337">
            <w:pPr>
              <w:pStyle w:val="Heading4"/>
              <w:spacing w:before="0"/>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2019 n=459</w:t>
            </w:r>
          </w:p>
        </w:tc>
        <w:tc>
          <w:tcPr>
            <w:tcW w:w="992" w:type="dxa"/>
            <w:tcBorders>
              <w:top w:val="single" w:sz="4" w:space="0" w:color="00B050"/>
              <w:left w:val="single" w:sz="4" w:space="0" w:color="00B050"/>
              <w:bottom w:val="single" w:sz="4" w:space="0" w:color="00B050"/>
              <w:right w:val="single" w:sz="4" w:space="0" w:color="00B050"/>
            </w:tcBorders>
            <w:noWrap/>
            <w:vAlign w:val="center"/>
            <w:hideMark/>
          </w:tcPr>
          <w:p w:rsidR="00030337" w:rsidRPr="00467C27" w:rsidRDefault="00030337" w:rsidP="00030337">
            <w:pPr>
              <w:pStyle w:val="Heading4"/>
              <w:spacing w:before="0"/>
              <w:jc w:val="center"/>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5%</w:t>
            </w:r>
          </w:p>
        </w:tc>
        <w:tc>
          <w:tcPr>
            <w:tcW w:w="1134" w:type="dxa"/>
            <w:tcBorders>
              <w:top w:val="single" w:sz="4" w:space="0" w:color="00B050"/>
              <w:left w:val="single" w:sz="4" w:space="0" w:color="00B050"/>
              <w:bottom w:val="single" w:sz="4" w:space="0" w:color="00B050"/>
              <w:right w:val="single" w:sz="4" w:space="0" w:color="00B050"/>
            </w:tcBorders>
            <w:noWrap/>
            <w:vAlign w:val="center"/>
            <w:hideMark/>
          </w:tcPr>
          <w:p w:rsidR="00030337" w:rsidRPr="00467C27" w:rsidRDefault="00030337" w:rsidP="00030337">
            <w:pPr>
              <w:pStyle w:val="Heading4"/>
              <w:spacing w:before="0"/>
              <w:jc w:val="center"/>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8%</w:t>
            </w:r>
          </w:p>
        </w:tc>
        <w:tc>
          <w:tcPr>
            <w:tcW w:w="1134" w:type="dxa"/>
            <w:tcBorders>
              <w:top w:val="single" w:sz="4" w:space="0" w:color="00B050"/>
              <w:left w:val="single" w:sz="4" w:space="0" w:color="00B050"/>
              <w:bottom w:val="single" w:sz="4" w:space="0" w:color="00B050"/>
              <w:right w:val="single" w:sz="4" w:space="0" w:color="00B050"/>
            </w:tcBorders>
            <w:noWrap/>
            <w:vAlign w:val="center"/>
            <w:hideMark/>
          </w:tcPr>
          <w:p w:rsidR="00030337" w:rsidRPr="00467C27" w:rsidRDefault="00030337" w:rsidP="00030337">
            <w:pPr>
              <w:pStyle w:val="Heading4"/>
              <w:spacing w:before="0"/>
              <w:jc w:val="center"/>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15%</w:t>
            </w:r>
          </w:p>
        </w:tc>
        <w:tc>
          <w:tcPr>
            <w:tcW w:w="1134" w:type="dxa"/>
            <w:tcBorders>
              <w:top w:val="single" w:sz="4" w:space="0" w:color="00B050"/>
              <w:left w:val="single" w:sz="4" w:space="0" w:color="00B050"/>
              <w:bottom w:val="single" w:sz="4" w:space="0" w:color="00B050"/>
              <w:right w:val="single" w:sz="4" w:space="0" w:color="00B050"/>
            </w:tcBorders>
            <w:noWrap/>
            <w:vAlign w:val="center"/>
            <w:hideMark/>
          </w:tcPr>
          <w:p w:rsidR="00030337" w:rsidRPr="00467C27" w:rsidRDefault="00030337" w:rsidP="00030337">
            <w:pPr>
              <w:pStyle w:val="Heading4"/>
              <w:spacing w:before="0"/>
              <w:jc w:val="center"/>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16%</w:t>
            </w:r>
          </w:p>
        </w:tc>
        <w:tc>
          <w:tcPr>
            <w:tcW w:w="1276" w:type="dxa"/>
            <w:tcBorders>
              <w:top w:val="single" w:sz="4" w:space="0" w:color="00B050"/>
              <w:left w:val="single" w:sz="4" w:space="0" w:color="00B050"/>
              <w:bottom w:val="single" w:sz="4" w:space="0" w:color="00B050"/>
              <w:right w:val="single" w:sz="4" w:space="0" w:color="00B050"/>
            </w:tcBorders>
            <w:noWrap/>
            <w:vAlign w:val="center"/>
            <w:hideMark/>
          </w:tcPr>
          <w:p w:rsidR="00030337" w:rsidRPr="00467C27" w:rsidRDefault="00030337" w:rsidP="00030337">
            <w:pPr>
              <w:pStyle w:val="Heading4"/>
              <w:spacing w:before="0"/>
              <w:jc w:val="center"/>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20%</w:t>
            </w:r>
          </w:p>
        </w:tc>
        <w:tc>
          <w:tcPr>
            <w:tcW w:w="1134" w:type="dxa"/>
            <w:tcBorders>
              <w:top w:val="single" w:sz="4" w:space="0" w:color="00B050"/>
              <w:left w:val="single" w:sz="4" w:space="0" w:color="00B050"/>
              <w:bottom w:val="single" w:sz="4" w:space="0" w:color="00B050"/>
              <w:right w:val="single" w:sz="4" w:space="0" w:color="00B050"/>
            </w:tcBorders>
            <w:noWrap/>
            <w:vAlign w:val="center"/>
            <w:hideMark/>
          </w:tcPr>
          <w:p w:rsidR="00030337" w:rsidRPr="00467C27" w:rsidRDefault="00030337" w:rsidP="00030337">
            <w:pPr>
              <w:pStyle w:val="Heading4"/>
              <w:spacing w:before="0"/>
              <w:jc w:val="center"/>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11%</w:t>
            </w:r>
          </w:p>
        </w:tc>
        <w:tc>
          <w:tcPr>
            <w:tcW w:w="1464" w:type="dxa"/>
            <w:tcBorders>
              <w:top w:val="single" w:sz="4" w:space="0" w:color="00B050"/>
              <w:left w:val="single" w:sz="4" w:space="0" w:color="00B050"/>
              <w:bottom w:val="single" w:sz="4" w:space="0" w:color="00B050"/>
              <w:right w:val="single" w:sz="4" w:space="0" w:color="00B050"/>
            </w:tcBorders>
            <w:noWrap/>
            <w:vAlign w:val="center"/>
            <w:hideMark/>
          </w:tcPr>
          <w:p w:rsidR="00030337" w:rsidRPr="00467C27" w:rsidRDefault="00030337" w:rsidP="00030337">
            <w:pPr>
              <w:pStyle w:val="Heading4"/>
              <w:spacing w:before="0"/>
              <w:jc w:val="center"/>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13%</w:t>
            </w:r>
          </w:p>
        </w:tc>
        <w:tc>
          <w:tcPr>
            <w:tcW w:w="1181" w:type="dxa"/>
            <w:tcBorders>
              <w:top w:val="single" w:sz="4" w:space="0" w:color="00B050"/>
              <w:left w:val="single" w:sz="4" w:space="0" w:color="00B050"/>
              <w:bottom w:val="single" w:sz="4" w:space="0" w:color="00B050"/>
              <w:right w:val="single" w:sz="4" w:space="0" w:color="00B050"/>
            </w:tcBorders>
            <w:noWrap/>
            <w:vAlign w:val="center"/>
            <w:hideMark/>
          </w:tcPr>
          <w:p w:rsidR="00030337" w:rsidRPr="00467C27" w:rsidRDefault="00030337" w:rsidP="00030337">
            <w:pPr>
              <w:pStyle w:val="Heading4"/>
              <w:spacing w:before="0"/>
              <w:jc w:val="center"/>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12%</w:t>
            </w:r>
          </w:p>
        </w:tc>
        <w:tc>
          <w:tcPr>
            <w:tcW w:w="1182" w:type="dxa"/>
            <w:tcBorders>
              <w:top w:val="single" w:sz="4" w:space="0" w:color="00B050"/>
              <w:left w:val="single" w:sz="4" w:space="0" w:color="00B050"/>
              <w:bottom w:val="single" w:sz="4" w:space="0" w:color="00B050"/>
              <w:right w:val="nil"/>
            </w:tcBorders>
            <w:noWrap/>
            <w:vAlign w:val="center"/>
            <w:hideMark/>
          </w:tcPr>
          <w:p w:rsidR="00030337" w:rsidRPr="00467C27" w:rsidRDefault="00030337" w:rsidP="00030337">
            <w:pPr>
              <w:pStyle w:val="Heading4"/>
              <w:spacing w:before="0"/>
              <w:jc w:val="center"/>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88%</w:t>
            </w:r>
          </w:p>
        </w:tc>
      </w:tr>
      <w:tr w:rsidR="00030337" w:rsidRPr="00467C27" w:rsidTr="00030337">
        <w:trPr>
          <w:trHeight w:val="276"/>
        </w:trPr>
        <w:tc>
          <w:tcPr>
            <w:tcW w:w="2553" w:type="dxa"/>
            <w:vMerge w:val="restart"/>
            <w:tcBorders>
              <w:top w:val="single" w:sz="4" w:space="0" w:color="00B050"/>
              <w:left w:val="nil"/>
              <w:bottom w:val="single" w:sz="4" w:space="0" w:color="00B050"/>
              <w:right w:val="single" w:sz="4" w:space="0" w:color="00B050"/>
            </w:tcBorders>
            <w:hideMark/>
          </w:tcPr>
          <w:p w:rsidR="00030337" w:rsidRPr="00A622BE" w:rsidRDefault="00030337" w:rsidP="001635F7">
            <w:pPr>
              <w:pStyle w:val="Heading4"/>
              <w:spacing w:before="0"/>
              <w:outlineLvl w:val="3"/>
              <w:rPr>
                <w:rFonts w:asciiTheme="minorHAnsi" w:hAnsiTheme="minorHAnsi" w:cstheme="minorHAnsi"/>
                <w:color w:val="auto"/>
                <w:sz w:val="20"/>
                <w:szCs w:val="20"/>
              </w:rPr>
            </w:pPr>
            <w:r w:rsidRPr="00A622BE">
              <w:rPr>
                <w:rFonts w:asciiTheme="minorHAnsi" w:hAnsiTheme="minorHAnsi" w:cstheme="minorHAnsi"/>
                <w:color w:val="auto"/>
                <w:sz w:val="20"/>
                <w:szCs w:val="20"/>
              </w:rPr>
              <w:t>The city's walking tracks</w:t>
            </w:r>
          </w:p>
        </w:tc>
        <w:tc>
          <w:tcPr>
            <w:tcW w:w="1417" w:type="dxa"/>
            <w:tcBorders>
              <w:top w:val="single" w:sz="4" w:space="0" w:color="00B050"/>
              <w:left w:val="single" w:sz="4" w:space="0" w:color="00B050"/>
              <w:bottom w:val="single" w:sz="4" w:space="0" w:color="00B050"/>
              <w:right w:val="single" w:sz="4" w:space="0" w:color="00B050"/>
            </w:tcBorders>
            <w:noWrap/>
            <w:hideMark/>
          </w:tcPr>
          <w:p w:rsidR="00030337" w:rsidRPr="00467C27" w:rsidRDefault="00030337" w:rsidP="00030337">
            <w:pPr>
              <w:pStyle w:val="Heading4"/>
              <w:spacing w:before="0"/>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2015 n=677</w:t>
            </w:r>
          </w:p>
        </w:tc>
        <w:tc>
          <w:tcPr>
            <w:tcW w:w="992" w:type="dxa"/>
            <w:tcBorders>
              <w:top w:val="single" w:sz="4" w:space="0" w:color="00B050"/>
              <w:left w:val="single" w:sz="4" w:space="0" w:color="00B050"/>
              <w:bottom w:val="single" w:sz="4" w:space="0" w:color="00B050"/>
              <w:right w:val="single" w:sz="4" w:space="0" w:color="00B050"/>
            </w:tcBorders>
            <w:noWrap/>
            <w:vAlign w:val="center"/>
            <w:hideMark/>
          </w:tcPr>
          <w:p w:rsidR="00030337" w:rsidRPr="00467C27" w:rsidRDefault="00030337" w:rsidP="00030337">
            <w:pPr>
              <w:pStyle w:val="Heading4"/>
              <w:spacing w:before="0"/>
              <w:jc w:val="center"/>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6%</w:t>
            </w:r>
          </w:p>
        </w:tc>
        <w:tc>
          <w:tcPr>
            <w:tcW w:w="1134" w:type="dxa"/>
            <w:tcBorders>
              <w:top w:val="single" w:sz="4" w:space="0" w:color="00B050"/>
              <w:left w:val="single" w:sz="4" w:space="0" w:color="00B050"/>
              <w:bottom w:val="single" w:sz="4" w:space="0" w:color="00B050"/>
              <w:right w:val="single" w:sz="4" w:space="0" w:color="00B050"/>
            </w:tcBorders>
            <w:noWrap/>
            <w:vAlign w:val="center"/>
            <w:hideMark/>
          </w:tcPr>
          <w:p w:rsidR="00030337" w:rsidRPr="00467C27" w:rsidRDefault="00030337" w:rsidP="00030337">
            <w:pPr>
              <w:pStyle w:val="Heading4"/>
              <w:spacing w:before="0"/>
              <w:jc w:val="center"/>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11%</w:t>
            </w:r>
          </w:p>
        </w:tc>
        <w:tc>
          <w:tcPr>
            <w:tcW w:w="1134" w:type="dxa"/>
            <w:tcBorders>
              <w:top w:val="single" w:sz="4" w:space="0" w:color="00B050"/>
              <w:left w:val="single" w:sz="4" w:space="0" w:color="00B050"/>
              <w:bottom w:val="single" w:sz="4" w:space="0" w:color="00B050"/>
              <w:right w:val="single" w:sz="4" w:space="0" w:color="00B050"/>
            </w:tcBorders>
            <w:noWrap/>
            <w:vAlign w:val="center"/>
            <w:hideMark/>
          </w:tcPr>
          <w:p w:rsidR="00030337" w:rsidRPr="00467C27" w:rsidRDefault="00030337" w:rsidP="00030337">
            <w:pPr>
              <w:pStyle w:val="Heading4"/>
              <w:spacing w:before="0"/>
              <w:jc w:val="center"/>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11%</w:t>
            </w:r>
          </w:p>
        </w:tc>
        <w:tc>
          <w:tcPr>
            <w:tcW w:w="1134" w:type="dxa"/>
            <w:tcBorders>
              <w:top w:val="single" w:sz="4" w:space="0" w:color="00B050"/>
              <w:left w:val="single" w:sz="4" w:space="0" w:color="00B050"/>
              <w:bottom w:val="single" w:sz="4" w:space="0" w:color="00B050"/>
              <w:right w:val="single" w:sz="4" w:space="0" w:color="00B050"/>
            </w:tcBorders>
            <w:noWrap/>
            <w:vAlign w:val="center"/>
            <w:hideMark/>
          </w:tcPr>
          <w:p w:rsidR="00030337" w:rsidRPr="00467C27" w:rsidRDefault="00030337" w:rsidP="00030337">
            <w:pPr>
              <w:pStyle w:val="Heading4"/>
              <w:spacing w:before="0"/>
              <w:jc w:val="center"/>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10%</w:t>
            </w:r>
          </w:p>
        </w:tc>
        <w:tc>
          <w:tcPr>
            <w:tcW w:w="1276" w:type="dxa"/>
            <w:tcBorders>
              <w:top w:val="single" w:sz="4" w:space="0" w:color="00B050"/>
              <w:left w:val="single" w:sz="4" w:space="0" w:color="00B050"/>
              <w:bottom w:val="single" w:sz="4" w:space="0" w:color="00B050"/>
              <w:right w:val="single" w:sz="4" w:space="0" w:color="00B050"/>
            </w:tcBorders>
            <w:noWrap/>
            <w:vAlign w:val="center"/>
            <w:hideMark/>
          </w:tcPr>
          <w:p w:rsidR="00030337" w:rsidRPr="00467C27" w:rsidRDefault="00030337" w:rsidP="00030337">
            <w:pPr>
              <w:pStyle w:val="Heading4"/>
              <w:spacing w:before="0"/>
              <w:jc w:val="center"/>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16%</w:t>
            </w:r>
          </w:p>
        </w:tc>
        <w:tc>
          <w:tcPr>
            <w:tcW w:w="1134" w:type="dxa"/>
            <w:tcBorders>
              <w:top w:val="single" w:sz="4" w:space="0" w:color="00B050"/>
              <w:left w:val="single" w:sz="4" w:space="0" w:color="00B050"/>
              <w:bottom w:val="single" w:sz="4" w:space="0" w:color="00B050"/>
              <w:right w:val="single" w:sz="4" w:space="0" w:color="00B050"/>
            </w:tcBorders>
            <w:noWrap/>
            <w:vAlign w:val="center"/>
            <w:hideMark/>
          </w:tcPr>
          <w:p w:rsidR="00030337" w:rsidRPr="00467C27" w:rsidRDefault="00030337" w:rsidP="00030337">
            <w:pPr>
              <w:pStyle w:val="Heading4"/>
              <w:spacing w:before="0"/>
              <w:jc w:val="center"/>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11%</w:t>
            </w:r>
          </w:p>
        </w:tc>
        <w:tc>
          <w:tcPr>
            <w:tcW w:w="1464" w:type="dxa"/>
            <w:tcBorders>
              <w:top w:val="single" w:sz="4" w:space="0" w:color="00B050"/>
              <w:left w:val="single" w:sz="4" w:space="0" w:color="00B050"/>
              <w:bottom w:val="single" w:sz="4" w:space="0" w:color="00B050"/>
              <w:right w:val="single" w:sz="4" w:space="0" w:color="00B050"/>
            </w:tcBorders>
            <w:noWrap/>
            <w:vAlign w:val="center"/>
            <w:hideMark/>
          </w:tcPr>
          <w:p w:rsidR="00030337" w:rsidRPr="00467C27" w:rsidRDefault="00030337" w:rsidP="00030337">
            <w:pPr>
              <w:pStyle w:val="Heading4"/>
              <w:spacing w:before="0"/>
              <w:jc w:val="center"/>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17%</w:t>
            </w:r>
          </w:p>
        </w:tc>
        <w:tc>
          <w:tcPr>
            <w:tcW w:w="1181" w:type="dxa"/>
            <w:tcBorders>
              <w:top w:val="single" w:sz="4" w:space="0" w:color="00B050"/>
              <w:left w:val="single" w:sz="4" w:space="0" w:color="00B050"/>
              <w:bottom w:val="single" w:sz="4" w:space="0" w:color="00B050"/>
              <w:right w:val="single" w:sz="4" w:space="0" w:color="00B050"/>
            </w:tcBorders>
            <w:noWrap/>
            <w:vAlign w:val="center"/>
            <w:hideMark/>
          </w:tcPr>
          <w:p w:rsidR="00030337" w:rsidRPr="00467C27" w:rsidRDefault="00030337" w:rsidP="00030337">
            <w:pPr>
              <w:pStyle w:val="Heading4"/>
              <w:spacing w:before="0"/>
              <w:jc w:val="center"/>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18%</w:t>
            </w:r>
          </w:p>
        </w:tc>
        <w:tc>
          <w:tcPr>
            <w:tcW w:w="1182" w:type="dxa"/>
            <w:tcBorders>
              <w:top w:val="single" w:sz="4" w:space="0" w:color="00B050"/>
              <w:left w:val="single" w:sz="4" w:space="0" w:color="00B050"/>
              <w:bottom w:val="single" w:sz="4" w:space="0" w:color="00B050"/>
              <w:right w:val="nil"/>
            </w:tcBorders>
            <w:noWrap/>
            <w:vAlign w:val="center"/>
            <w:hideMark/>
          </w:tcPr>
          <w:p w:rsidR="00030337" w:rsidRPr="00467C27" w:rsidRDefault="00030337" w:rsidP="00030337">
            <w:pPr>
              <w:pStyle w:val="Heading4"/>
              <w:spacing w:before="0"/>
              <w:jc w:val="center"/>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82%</w:t>
            </w:r>
          </w:p>
        </w:tc>
      </w:tr>
      <w:tr w:rsidR="00030337" w:rsidRPr="00467C27" w:rsidTr="00030337">
        <w:trPr>
          <w:trHeight w:val="276"/>
        </w:trPr>
        <w:tc>
          <w:tcPr>
            <w:tcW w:w="2553" w:type="dxa"/>
            <w:vMerge/>
            <w:tcBorders>
              <w:top w:val="single" w:sz="4" w:space="0" w:color="00B050"/>
              <w:left w:val="nil"/>
              <w:bottom w:val="single" w:sz="4" w:space="0" w:color="00B050"/>
              <w:right w:val="single" w:sz="4" w:space="0" w:color="00B050"/>
            </w:tcBorders>
            <w:hideMark/>
          </w:tcPr>
          <w:p w:rsidR="00030337" w:rsidRPr="00467C27" w:rsidRDefault="00030337" w:rsidP="00030337">
            <w:pPr>
              <w:pStyle w:val="Heading4"/>
              <w:spacing w:before="0"/>
              <w:outlineLvl w:val="3"/>
              <w:rPr>
                <w:rFonts w:asciiTheme="minorHAnsi" w:hAnsiTheme="minorHAnsi" w:cstheme="minorHAnsi"/>
                <w:b w:val="0"/>
                <w:color w:val="auto"/>
                <w:sz w:val="22"/>
              </w:rPr>
            </w:pPr>
          </w:p>
        </w:tc>
        <w:tc>
          <w:tcPr>
            <w:tcW w:w="1417" w:type="dxa"/>
            <w:tcBorders>
              <w:top w:val="single" w:sz="4" w:space="0" w:color="00B050"/>
              <w:left w:val="single" w:sz="4" w:space="0" w:color="00B050"/>
              <w:bottom w:val="single" w:sz="4" w:space="0" w:color="00B050"/>
              <w:right w:val="single" w:sz="4" w:space="0" w:color="00B050"/>
            </w:tcBorders>
            <w:noWrap/>
            <w:hideMark/>
          </w:tcPr>
          <w:p w:rsidR="00030337" w:rsidRPr="00467C27" w:rsidRDefault="00030337" w:rsidP="00030337">
            <w:pPr>
              <w:pStyle w:val="Heading4"/>
              <w:spacing w:before="0"/>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2016 n=666</w:t>
            </w:r>
          </w:p>
        </w:tc>
        <w:tc>
          <w:tcPr>
            <w:tcW w:w="992" w:type="dxa"/>
            <w:tcBorders>
              <w:top w:val="single" w:sz="4" w:space="0" w:color="00B050"/>
              <w:left w:val="single" w:sz="4" w:space="0" w:color="00B050"/>
              <w:bottom w:val="single" w:sz="4" w:space="0" w:color="00B050"/>
              <w:right w:val="single" w:sz="4" w:space="0" w:color="00B050"/>
            </w:tcBorders>
            <w:noWrap/>
            <w:vAlign w:val="center"/>
            <w:hideMark/>
          </w:tcPr>
          <w:p w:rsidR="00030337" w:rsidRPr="00467C27" w:rsidRDefault="00030337" w:rsidP="00030337">
            <w:pPr>
              <w:pStyle w:val="Heading4"/>
              <w:spacing w:before="0"/>
              <w:jc w:val="center"/>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4%</w:t>
            </w:r>
          </w:p>
        </w:tc>
        <w:tc>
          <w:tcPr>
            <w:tcW w:w="1134" w:type="dxa"/>
            <w:tcBorders>
              <w:top w:val="single" w:sz="4" w:space="0" w:color="00B050"/>
              <w:left w:val="single" w:sz="4" w:space="0" w:color="00B050"/>
              <w:bottom w:val="single" w:sz="4" w:space="0" w:color="00B050"/>
              <w:right w:val="single" w:sz="4" w:space="0" w:color="00B050"/>
            </w:tcBorders>
            <w:noWrap/>
            <w:vAlign w:val="center"/>
            <w:hideMark/>
          </w:tcPr>
          <w:p w:rsidR="00030337" w:rsidRPr="00467C27" w:rsidRDefault="00030337" w:rsidP="00030337">
            <w:pPr>
              <w:pStyle w:val="Heading4"/>
              <w:spacing w:before="0"/>
              <w:jc w:val="center"/>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11%</w:t>
            </w:r>
          </w:p>
        </w:tc>
        <w:tc>
          <w:tcPr>
            <w:tcW w:w="1134" w:type="dxa"/>
            <w:tcBorders>
              <w:top w:val="single" w:sz="4" w:space="0" w:color="00B050"/>
              <w:left w:val="single" w:sz="4" w:space="0" w:color="00B050"/>
              <w:bottom w:val="single" w:sz="4" w:space="0" w:color="00B050"/>
              <w:right w:val="single" w:sz="4" w:space="0" w:color="00B050"/>
            </w:tcBorders>
            <w:noWrap/>
            <w:vAlign w:val="center"/>
            <w:hideMark/>
          </w:tcPr>
          <w:p w:rsidR="00030337" w:rsidRPr="00467C27" w:rsidRDefault="00030337" w:rsidP="00030337">
            <w:pPr>
              <w:pStyle w:val="Heading4"/>
              <w:spacing w:before="0"/>
              <w:jc w:val="center"/>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10%</w:t>
            </w:r>
          </w:p>
        </w:tc>
        <w:tc>
          <w:tcPr>
            <w:tcW w:w="1134" w:type="dxa"/>
            <w:tcBorders>
              <w:top w:val="single" w:sz="4" w:space="0" w:color="00B050"/>
              <w:left w:val="single" w:sz="4" w:space="0" w:color="00B050"/>
              <w:bottom w:val="single" w:sz="4" w:space="0" w:color="00B050"/>
              <w:right w:val="single" w:sz="4" w:space="0" w:color="00B050"/>
            </w:tcBorders>
            <w:noWrap/>
            <w:vAlign w:val="center"/>
            <w:hideMark/>
          </w:tcPr>
          <w:p w:rsidR="00030337" w:rsidRPr="00467C27" w:rsidRDefault="00030337" w:rsidP="00030337">
            <w:pPr>
              <w:pStyle w:val="Heading4"/>
              <w:spacing w:before="0"/>
              <w:jc w:val="center"/>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13%</w:t>
            </w:r>
          </w:p>
        </w:tc>
        <w:tc>
          <w:tcPr>
            <w:tcW w:w="1276" w:type="dxa"/>
            <w:tcBorders>
              <w:top w:val="single" w:sz="4" w:space="0" w:color="00B050"/>
              <w:left w:val="single" w:sz="4" w:space="0" w:color="00B050"/>
              <w:bottom w:val="single" w:sz="4" w:space="0" w:color="00B050"/>
              <w:right w:val="single" w:sz="4" w:space="0" w:color="00B050"/>
            </w:tcBorders>
            <w:noWrap/>
            <w:vAlign w:val="center"/>
            <w:hideMark/>
          </w:tcPr>
          <w:p w:rsidR="00030337" w:rsidRPr="00467C27" w:rsidRDefault="00030337" w:rsidP="00030337">
            <w:pPr>
              <w:pStyle w:val="Heading4"/>
              <w:spacing w:before="0"/>
              <w:jc w:val="center"/>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14%</w:t>
            </w:r>
          </w:p>
        </w:tc>
        <w:tc>
          <w:tcPr>
            <w:tcW w:w="1134" w:type="dxa"/>
            <w:tcBorders>
              <w:top w:val="single" w:sz="4" w:space="0" w:color="00B050"/>
              <w:left w:val="single" w:sz="4" w:space="0" w:color="00B050"/>
              <w:bottom w:val="single" w:sz="4" w:space="0" w:color="00B050"/>
              <w:right w:val="single" w:sz="4" w:space="0" w:color="00B050"/>
            </w:tcBorders>
            <w:noWrap/>
            <w:vAlign w:val="center"/>
            <w:hideMark/>
          </w:tcPr>
          <w:p w:rsidR="00030337" w:rsidRPr="00467C27" w:rsidRDefault="00030337" w:rsidP="00030337">
            <w:pPr>
              <w:pStyle w:val="Heading4"/>
              <w:spacing w:before="0"/>
              <w:jc w:val="center"/>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12%</w:t>
            </w:r>
          </w:p>
        </w:tc>
        <w:tc>
          <w:tcPr>
            <w:tcW w:w="1464" w:type="dxa"/>
            <w:tcBorders>
              <w:top w:val="single" w:sz="4" w:space="0" w:color="00B050"/>
              <w:left w:val="single" w:sz="4" w:space="0" w:color="00B050"/>
              <w:bottom w:val="single" w:sz="4" w:space="0" w:color="00B050"/>
              <w:right w:val="single" w:sz="4" w:space="0" w:color="00B050"/>
            </w:tcBorders>
            <w:noWrap/>
            <w:vAlign w:val="center"/>
            <w:hideMark/>
          </w:tcPr>
          <w:p w:rsidR="00030337" w:rsidRPr="00467C27" w:rsidRDefault="00030337" w:rsidP="00030337">
            <w:pPr>
              <w:pStyle w:val="Heading4"/>
              <w:spacing w:before="0"/>
              <w:jc w:val="center"/>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16%</w:t>
            </w:r>
          </w:p>
        </w:tc>
        <w:tc>
          <w:tcPr>
            <w:tcW w:w="1181" w:type="dxa"/>
            <w:tcBorders>
              <w:top w:val="single" w:sz="4" w:space="0" w:color="00B050"/>
              <w:left w:val="single" w:sz="4" w:space="0" w:color="00B050"/>
              <w:bottom w:val="single" w:sz="4" w:space="0" w:color="00B050"/>
              <w:right w:val="single" w:sz="4" w:space="0" w:color="00B050"/>
            </w:tcBorders>
            <w:noWrap/>
            <w:vAlign w:val="center"/>
            <w:hideMark/>
          </w:tcPr>
          <w:p w:rsidR="00030337" w:rsidRPr="00467C27" w:rsidRDefault="00030337" w:rsidP="00030337">
            <w:pPr>
              <w:pStyle w:val="Heading4"/>
              <w:spacing w:before="0"/>
              <w:jc w:val="center"/>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20%</w:t>
            </w:r>
          </w:p>
        </w:tc>
        <w:tc>
          <w:tcPr>
            <w:tcW w:w="1182" w:type="dxa"/>
            <w:tcBorders>
              <w:top w:val="single" w:sz="4" w:space="0" w:color="00B050"/>
              <w:left w:val="single" w:sz="4" w:space="0" w:color="00B050"/>
              <w:bottom w:val="single" w:sz="4" w:space="0" w:color="00B050"/>
              <w:right w:val="nil"/>
            </w:tcBorders>
            <w:noWrap/>
            <w:vAlign w:val="center"/>
            <w:hideMark/>
          </w:tcPr>
          <w:p w:rsidR="00030337" w:rsidRPr="00467C27" w:rsidRDefault="00030337" w:rsidP="00030337">
            <w:pPr>
              <w:pStyle w:val="Heading4"/>
              <w:spacing w:before="0"/>
              <w:jc w:val="center"/>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80%</w:t>
            </w:r>
          </w:p>
        </w:tc>
      </w:tr>
      <w:tr w:rsidR="00030337" w:rsidRPr="00467C27" w:rsidTr="00030337">
        <w:trPr>
          <w:trHeight w:val="276"/>
        </w:trPr>
        <w:tc>
          <w:tcPr>
            <w:tcW w:w="2553" w:type="dxa"/>
            <w:vMerge/>
            <w:tcBorders>
              <w:top w:val="single" w:sz="4" w:space="0" w:color="00B050"/>
              <w:left w:val="nil"/>
              <w:bottom w:val="single" w:sz="4" w:space="0" w:color="00B050"/>
              <w:right w:val="single" w:sz="4" w:space="0" w:color="00B050"/>
            </w:tcBorders>
            <w:hideMark/>
          </w:tcPr>
          <w:p w:rsidR="00030337" w:rsidRPr="00467C27" w:rsidRDefault="00030337" w:rsidP="00030337">
            <w:pPr>
              <w:pStyle w:val="Heading4"/>
              <w:spacing w:before="0"/>
              <w:outlineLvl w:val="3"/>
              <w:rPr>
                <w:rFonts w:asciiTheme="minorHAnsi" w:hAnsiTheme="minorHAnsi" w:cstheme="minorHAnsi"/>
                <w:b w:val="0"/>
                <w:color w:val="auto"/>
                <w:sz w:val="22"/>
              </w:rPr>
            </w:pPr>
          </w:p>
        </w:tc>
        <w:tc>
          <w:tcPr>
            <w:tcW w:w="1417" w:type="dxa"/>
            <w:tcBorders>
              <w:top w:val="single" w:sz="4" w:space="0" w:color="00B050"/>
              <w:left w:val="single" w:sz="4" w:space="0" w:color="00B050"/>
              <w:bottom w:val="single" w:sz="4" w:space="0" w:color="00B050"/>
              <w:right w:val="single" w:sz="4" w:space="0" w:color="00B050"/>
            </w:tcBorders>
            <w:noWrap/>
            <w:hideMark/>
          </w:tcPr>
          <w:p w:rsidR="00030337" w:rsidRPr="00467C27" w:rsidRDefault="00030337" w:rsidP="00030337">
            <w:pPr>
              <w:pStyle w:val="Heading4"/>
              <w:spacing w:before="0"/>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2017 n=664</w:t>
            </w:r>
          </w:p>
        </w:tc>
        <w:tc>
          <w:tcPr>
            <w:tcW w:w="992" w:type="dxa"/>
            <w:tcBorders>
              <w:top w:val="single" w:sz="4" w:space="0" w:color="00B050"/>
              <w:left w:val="single" w:sz="4" w:space="0" w:color="00B050"/>
              <w:bottom w:val="single" w:sz="4" w:space="0" w:color="00B050"/>
              <w:right w:val="single" w:sz="4" w:space="0" w:color="00B050"/>
            </w:tcBorders>
            <w:noWrap/>
            <w:vAlign w:val="center"/>
            <w:hideMark/>
          </w:tcPr>
          <w:p w:rsidR="00030337" w:rsidRPr="00467C27" w:rsidRDefault="00030337" w:rsidP="00030337">
            <w:pPr>
              <w:pStyle w:val="Heading4"/>
              <w:spacing w:before="0"/>
              <w:jc w:val="center"/>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6%</w:t>
            </w:r>
          </w:p>
        </w:tc>
        <w:tc>
          <w:tcPr>
            <w:tcW w:w="1134" w:type="dxa"/>
            <w:tcBorders>
              <w:top w:val="single" w:sz="4" w:space="0" w:color="00B050"/>
              <w:left w:val="single" w:sz="4" w:space="0" w:color="00B050"/>
              <w:bottom w:val="single" w:sz="4" w:space="0" w:color="00B050"/>
              <w:right w:val="single" w:sz="4" w:space="0" w:color="00B050"/>
            </w:tcBorders>
            <w:noWrap/>
            <w:vAlign w:val="center"/>
            <w:hideMark/>
          </w:tcPr>
          <w:p w:rsidR="00030337" w:rsidRPr="00467C27" w:rsidRDefault="00030337" w:rsidP="00030337">
            <w:pPr>
              <w:pStyle w:val="Heading4"/>
              <w:spacing w:before="0"/>
              <w:jc w:val="center"/>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11%</w:t>
            </w:r>
          </w:p>
        </w:tc>
        <w:tc>
          <w:tcPr>
            <w:tcW w:w="1134" w:type="dxa"/>
            <w:tcBorders>
              <w:top w:val="single" w:sz="4" w:space="0" w:color="00B050"/>
              <w:left w:val="single" w:sz="4" w:space="0" w:color="00B050"/>
              <w:bottom w:val="single" w:sz="4" w:space="0" w:color="00B050"/>
              <w:right w:val="single" w:sz="4" w:space="0" w:color="00B050"/>
            </w:tcBorders>
            <w:noWrap/>
            <w:vAlign w:val="center"/>
            <w:hideMark/>
          </w:tcPr>
          <w:p w:rsidR="00030337" w:rsidRPr="00467C27" w:rsidRDefault="00030337" w:rsidP="00030337">
            <w:pPr>
              <w:pStyle w:val="Heading4"/>
              <w:spacing w:before="0"/>
              <w:jc w:val="center"/>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12%</w:t>
            </w:r>
          </w:p>
        </w:tc>
        <w:tc>
          <w:tcPr>
            <w:tcW w:w="1134" w:type="dxa"/>
            <w:tcBorders>
              <w:top w:val="single" w:sz="4" w:space="0" w:color="00B050"/>
              <w:left w:val="single" w:sz="4" w:space="0" w:color="00B050"/>
              <w:bottom w:val="single" w:sz="4" w:space="0" w:color="00B050"/>
              <w:right w:val="single" w:sz="4" w:space="0" w:color="00B050"/>
            </w:tcBorders>
            <w:noWrap/>
            <w:vAlign w:val="center"/>
            <w:hideMark/>
          </w:tcPr>
          <w:p w:rsidR="00030337" w:rsidRPr="00467C27" w:rsidRDefault="00030337" w:rsidP="00030337">
            <w:pPr>
              <w:pStyle w:val="Heading4"/>
              <w:spacing w:before="0"/>
              <w:jc w:val="center"/>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17%</w:t>
            </w:r>
          </w:p>
        </w:tc>
        <w:tc>
          <w:tcPr>
            <w:tcW w:w="1276" w:type="dxa"/>
            <w:tcBorders>
              <w:top w:val="single" w:sz="4" w:space="0" w:color="00B050"/>
              <w:left w:val="single" w:sz="4" w:space="0" w:color="00B050"/>
              <w:bottom w:val="single" w:sz="4" w:space="0" w:color="00B050"/>
              <w:right w:val="single" w:sz="4" w:space="0" w:color="00B050"/>
            </w:tcBorders>
            <w:noWrap/>
            <w:vAlign w:val="center"/>
            <w:hideMark/>
          </w:tcPr>
          <w:p w:rsidR="00030337" w:rsidRPr="00467C27" w:rsidRDefault="00030337" w:rsidP="00030337">
            <w:pPr>
              <w:pStyle w:val="Heading4"/>
              <w:spacing w:before="0"/>
              <w:jc w:val="center"/>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11%</w:t>
            </w:r>
          </w:p>
        </w:tc>
        <w:tc>
          <w:tcPr>
            <w:tcW w:w="1134" w:type="dxa"/>
            <w:tcBorders>
              <w:top w:val="single" w:sz="4" w:space="0" w:color="00B050"/>
              <w:left w:val="single" w:sz="4" w:space="0" w:color="00B050"/>
              <w:bottom w:val="single" w:sz="4" w:space="0" w:color="00B050"/>
              <w:right w:val="single" w:sz="4" w:space="0" w:color="00B050"/>
            </w:tcBorders>
            <w:noWrap/>
            <w:vAlign w:val="center"/>
            <w:hideMark/>
          </w:tcPr>
          <w:p w:rsidR="00030337" w:rsidRPr="00467C27" w:rsidRDefault="00030337" w:rsidP="00030337">
            <w:pPr>
              <w:pStyle w:val="Heading4"/>
              <w:spacing w:before="0"/>
              <w:jc w:val="center"/>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11%</w:t>
            </w:r>
          </w:p>
        </w:tc>
        <w:tc>
          <w:tcPr>
            <w:tcW w:w="1464" w:type="dxa"/>
            <w:tcBorders>
              <w:top w:val="single" w:sz="4" w:space="0" w:color="00B050"/>
              <w:left w:val="single" w:sz="4" w:space="0" w:color="00B050"/>
              <w:bottom w:val="single" w:sz="4" w:space="0" w:color="00B050"/>
              <w:right w:val="single" w:sz="4" w:space="0" w:color="00B050"/>
            </w:tcBorders>
            <w:noWrap/>
            <w:vAlign w:val="center"/>
            <w:hideMark/>
          </w:tcPr>
          <w:p w:rsidR="00030337" w:rsidRPr="00467C27" w:rsidRDefault="00030337" w:rsidP="00030337">
            <w:pPr>
              <w:pStyle w:val="Heading4"/>
              <w:spacing w:before="0"/>
              <w:jc w:val="center"/>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13%</w:t>
            </w:r>
          </w:p>
        </w:tc>
        <w:tc>
          <w:tcPr>
            <w:tcW w:w="1181" w:type="dxa"/>
            <w:tcBorders>
              <w:top w:val="single" w:sz="4" w:space="0" w:color="00B050"/>
              <w:left w:val="single" w:sz="4" w:space="0" w:color="00B050"/>
              <w:bottom w:val="single" w:sz="4" w:space="0" w:color="00B050"/>
              <w:right w:val="single" w:sz="4" w:space="0" w:color="00B050"/>
            </w:tcBorders>
            <w:noWrap/>
            <w:vAlign w:val="center"/>
            <w:hideMark/>
          </w:tcPr>
          <w:p w:rsidR="00030337" w:rsidRPr="00467C27" w:rsidRDefault="00030337" w:rsidP="00030337">
            <w:pPr>
              <w:pStyle w:val="Heading4"/>
              <w:spacing w:before="0"/>
              <w:jc w:val="center"/>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19%</w:t>
            </w:r>
          </w:p>
        </w:tc>
        <w:tc>
          <w:tcPr>
            <w:tcW w:w="1182" w:type="dxa"/>
            <w:tcBorders>
              <w:top w:val="single" w:sz="4" w:space="0" w:color="00B050"/>
              <w:left w:val="single" w:sz="4" w:space="0" w:color="00B050"/>
              <w:bottom w:val="single" w:sz="4" w:space="0" w:color="00B050"/>
              <w:right w:val="nil"/>
            </w:tcBorders>
            <w:noWrap/>
            <w:vAlign w:val="center"/>
            <w:hideMark/>
          </w:tcPr>
          <w:p w:rsidR="00030337" w:rsidRPr="00467C27" w:rsidRDefault="00030337" w:rsidP="00030337">
            <w:pPr>
              <w:pStyle w:val="Heading4"/>
              <w:spacing w:before="0"/>
              <w:jc w:val="center"/>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81%</w:t>
            </w:r>
          </w:p>
        </w:tc>
      </w:tr>
      <w:tr w:rsidR="00030337" w:rsidRPr="00467C27" w:rsidTr="00030337">
        <w:trPr>
          <w:trHeight w:val="276"/>
        </w:trPr>
        <w:tc>
          <w:tcPr>
            <w:tcW w:w="2553" w:type="dxa"/>
            <w:vMerge/>
            <w:tcBorders>
              <w:top w:val="single" w:sz="4" w:space="0" w:color="00B050"/>
              <w:left w:val="nil"/>
              <w:bottom w:val="single" w:sz="4" w:space="0" w:color="00B050"/>
              <w:right w:val="single" w:sz="4" w:space="0" w:color="00B050"/>
            </w:tcBorders>
            <w:hideMark/>
          </w:tcPr>
          <w:p w:rsidR="00030337" w:rsidRPr="00467C27" w:rsidRDefault="00030337" w:rsidP="00030337">
            <w:pPr>
              <w:pStyle w:val="Heading4"/>
              <w:spacing w:before="0"/>
              <w:outlineLvl w:val="3"/>
              <w:rPr>
                <w:rFonts w:asciiTheme="minorHAnsi" w:hAnsiTheme="minorHAnsi" w:cstheme="minorHAnsi"/>
                <w:b w:val="0"/>
                <w:color w:val="auto"/>
                <w:sz w:val="22"/>
              </w:rPr>
            </w:pPr>
          </w:p>
        </w:tc>
        <w:tc>
          <w:tcPr>
            <w:tcW w:w="1417" w:type="dxa"/>
            <w:tcBorders>
              <w:top w:val="single" w:sz="4" w:space="0" w:color="00B050"/>
              <w:left w:val="single" w:sz="4" w:space="0" w:color="00B050"/>
              <w:bottom w:val="single" w:sz="4" w:space="0" w:color="00B050"/>
              <w:right w:val="single" w:sz="4" w:space="0" w:color="00B050"/>
            </w:tcBorders>
            <w:noWrap/>
            <w:hideMark/>
          </w:tcPr>
          <w:p w:rsidR="00030337" w:rsidRPr="00467C27" w:rsidRDefault="00030337" w:rsidP="00030337">
            <w:pPr>
              <w:pStyle w:val="Heading4"/>
              <w:spacing w:before="0"/>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2018 n=965</w:t>
            </w:r>
          </w:p>
        </w:tc>
        <w:tc>
          <w:tcPr>
            <w:tcW w:w="992" w:type="dxa"/>
            <w:tcBorders>
              <w:top w:val="single" w:sz="4" w:space="0" w:color="00B050"/>
              <w:left w:val="single" w:sz="4" w:space="0" w:color="00B050"/>
              <w:bottom w:val="single" w:sz="4" w:space="0" w:color="00B050"/>
              <w:right w:val="single" w:sz="4" w:space="0" w:color="00B050"/>
            </w:tcBorders>
            <w:noWrap/>
            <w:vAlign w:val="center"/>
            <w:hideMark/>
          </w:tcPr>
          <w:p w:rsidR="00030337" w:rsidRPr="00467C27" w:rsidRDefault="00030337" w:rsidP="00030337">
            <w:pPr>
              <w:pStyle w:val="Heading4"/>
              <w:spacing w:before="0"/>
              <w:jc w:val="center"/>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7%</w:t>
            </w:r>
          </w:p>
        </w:tc>
        <w:tc>
          <w:tcPr>
            <w:tcW w:w="1134" w:type="dxa"/>
            <w:tcBorders>
              <w:top w:val="single" w:sz="4" w:space="0" w:color="00B050"/>
              <w:left w:val="single" w:sz="4" w:space="0" w:color="00B050"/>
              <w:bottom w:val="single" w:sz="4" w:space="0" w:color="00B050"/>
              <w:right w:val="single" w:sz="4" w:space="0" w:color="00B050"/>
            </w:tcBorders>
            <w:noWrap/>
            <w:vAlign w:val="center"/>
            <w:hideMark/>
          </w:tcPr>
          <w:p w:rsidR="00030337" w:rsidRPr="00467C27" w:rsidRDefault="00030337" w:rsidP="00030337">
            <w:pPr>
              <w:pStyle w:val="Heading4"/>
              <w:spacing w:before="0"/>
              <w:jc w:val="center"/>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12%</w:t>
            </w:r>
          </w:p>
        </w:tc>
        <w:tc>
          <w:tcPr>
            <w:tcW w:w="1134" w:type="dxa"/>
            <w:tcBorders>
              <w:top w:val="single" w:sz="4" w:space="0" w:color="00B050"/>
              <w:left w:val="single" w:sz="4" w:space="0" w:color="00B050"/>
              <w:bottom w:val="single" w:sz="4" w:space="0" w:color="00B050"/>
              <w:right w:val="single" w:sz="4" w:space="0" w:color="00B050"/>
            </w:tcBorders>
            <w:noWrap/>
            <w:vAlign w:val="center"/>
            <w:hideMark/>
          </w:tcPr>
          <w:p w:rsidR="00030337" w:rsidRPr="00467C27" w:rsidRDefault="00030337" w:rsidP="00030337">
            <w:pPr>
              <w:pStyle w:val="Heading4"/>
              <w:spacing w:before="0"/>
              <w:jc w:val="center"/>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13%</w:t>
            </w:r>
          </w:p>
        </w:tc>
        <w:tc>
          <w:tcPr>
            <w:tcW w:w="1134" w:type="dxa"/>
            <w:tcBorders>
              <w:top w:val="single" w:sz="4" w:space="0" w:color="00B050"/>
              <w:left w:val="single" w:sz="4" w:space="0" w:color="00B050"/>
              <w:bottom w:val="single" w:sz="4" w:space="0" w:color="00B050"/>
              <w:right w:val="single" w:sz="4" w:space="0" w:color="00B050"/>
            </w:tcBorders>
            <w:noWrap/>
            <w:vAlign w:val="center"/>
            <w:hideMark/>
          </w:tcPr>
          <w:p w:rsidR="00030337" w:rsidRPr="00467C27" w:rsidRDefault="00030337" w:rsidP="00030337">
            <w:pPr>
              <w:pStyle w:val="Heading4"/>
              <w:spacing w:before="0"/>
              <w:jc w:val="center"/>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15%</w:t>
            </w:r>
          </w:p>
        </w:tc>
        <w:tc>
          <w:tcPr>
            <w:tcW w:w="1276" w:type="dxa"/>
            <w:tcBorders>
              <w:top w:val="single" w:sz="4" w:space="0" w:color="00B050"/>
              <w:left w:val="single" w:sz="4" w:space="0" w:color="00B050"/>
              <w:bottom w:val="single" w:sz="4" w:space="0" w:color="00B050"/>
              <w:right w:val="single" w:sz="4" w:space="0" w:color="00B050"/>
            </w:tcBorders>
            <w:noWrap/>
            <w:vAlign w:val="center"/>
            <w:hideMark/>
          </w:tcPr>
          <w:p w:rsidR="00030337" w:rsidRPr="00467C27" w:rsidRDefault="00030337" w:rsidP="00030337">
            <w:pPr>
              <w:pStyle w:val="Heading4"/>
              <w:spacing w:before="0"/>
              <w:jc w:val="center"/>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12%</w:t>
            </w:r>
          </w:p>
        </w:tc>
        <w:tc>
          <w:tcPr>
            <w:tcW w:w="1134" w:type="dxa"/>
            <w:tcBorders>
              <w:top w:val="single" w:sz="4" w:space="0" w:color="00B050"/>
              <w:left w:val="single" w:sz="4" w:space="0" w:color="00B050"/>
              <w:bottom w:val="single" w:sz="4" w:space="0" w:color="00B050"/>
              <w:right w:val="single" w:sz="4" w:space="0" w:color="00B050"/>
            </w:tcBorders>
            <w:noWrap/>
            <w:vAlign w:val="center"/>
            <w:hideMark/>
          </w:tcPr>
          <w:p w:rsidR="00030337" w:rsidRPr="00467C27" w:rsidRDefault="00030337" w:rsidP="00030337">
            <w:pPr>
              <w:pStyle w:val="Heading4"/>
              <w:spacing w:before="0"/>
              <w:jc w:val="center"/>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9%</w:t>
            </w:r>
          </w:p>
        </w:tc>
        <w:tc>
          <w:tcPr>
            <w:tcW w:w="1464" w:type="dxa"/>
            <w:tcBorders>
              <w:top w:val="single" w:sz="4" w:space="0" w:color="00B050"/>
              <w:left w:val="single" w:sz="4" w:space="0" w:color="00B050"/>
              <w:bottom w:val="single" w:sz="4" w:space="0" w:color="00B050"/>
              <w:right w:val="single" w:sz="4" w:space="0" w:color="00B050"/>
            </w:tcBorders>
            <w:noWrap/>
            <w:vAlign w:val="center"/>
            <w:hideMark/>
          </w:tcPr>
          <w:p w:rsidR="00030337" w:rsidRPr="00467C27" w:rsidRDefault="00030337" w:rsidP="00030337">
            <w:pPr>
              <w:pStyle w:val="Heading4"/>
              <w:spacing w:before="0"/>
              <w:jc w:val="center"/>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14%</w:t>
            </w:r>
          </w:p>
        </w:tc>
        <w:tc>
          <w:tcPr>
            <w:tcW w:w="1181" w:type="dxa"/>
            <w:tcBorders>
              <w:top w:val="single" w:sz="4" w:space="0" w:color="00B050"/>
              <w:left w:val="single" w:sz="4" w:space="0" w:color="00B050"/>
              <w:bottom w:val="single" w:sz="4" w:space="0" w:color="00B050"/>
              <w:right w:val="single" w:sz="4" w:space="0" w:color="00B050"/>
            </w:tcBorders>
            <w:noWrap/>
            <w:vAlign w:val="center"/>
            <w:hideMark/>
          </w:tcPr>
          <w:p w:rsidR="00030337" w:rsidRPr="00467C27" w:rsidRDefault="00030337" w:rsidP="00030337">
            <w:pPr>
              <w:pStyle w:val="Heading4"/>
              <w:spacing w:before="0"/>
              <w:jc w:val="center"/>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18%</w:t>
            </w:r>
          </w:p>
        </w:tc>
        <w:tc>
          <w:tcPr>
            <w:tcW w:w="1182" w:type="dxa"/>
            <w:tcBorders>
              <w:top w:val="single" w:sz="4" w:space="0" w:color="00B050"/>
              <w:left w:val="single" w:sz="4" w:space="0" w:color="00B050"/>
              <w:bottom w:val="single" w:sz="4" w:space="0" w:color="00B050"/>
              <w:right w:val="nil"/>
            </w:tcBorders>
            <w:noWrap/>
            <w:vAlign w:val="center"/>
            <w:hideMark/>
          </w:tcPr>
          <w:p w:rsidR="00030337" w:rsidRPr="00467C27" w:rsidRDefault="00030337" w:rsidP="00030337">
            <w:pPr>
              <w:pStyle w:val="Heading4"/>
              <w:spacing w:before="0"/>
              <w:jc w:val="center"/>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82%</w:t>
            </w:r>
          </w:p>
        </w:tc>
      </w:tr>
      <w:tr w:rsidR="00030337" w:rsidRPr="00467C27" w:rsidTr="00030337">
        <w:trPr>
          <w:trHeight w:val="276"/>
        </w:trPr>
        <w:tc>
          <w:tcPr>
            <w:tcW w:w="2553" w:type="dxa"/>
            <w:vMerge/>
            <w:tcBorders>
              <w:top w:val="single" w:sz="4" w:space="0" w:color="00B050"/>
              <w:left w:val="nil"/>
              <w:bottom w:val="single" w:sz="4" w:space="0" w:color="00B050"/>
              <w:right w:val="single" w:sz="4" w:space="0" w:color="00B050"/>
            </w:tcBorders>
            <w:hideMark/>
          </w:tcPr>
          <w:p w:rsidR="00030337" w:rsidRPr="00467C27" w:rsidRDefault="00030337" w:rsidP="00030337">
            <w:pPr>
              <w:pStyle w:val="Heading4"/>
              <w:spacing w:before="0"/>
              <w:outlineLvl w:val="3"/>
              <w:rPr>
                <w:rFonts w:asciiTheme="minorHAnsi" w:hAnsiTheme="minorHAnsi" w:cstheme="minorHAnsi"/>
                <w:b w:val="0"/>
                <w:color w:val="auto"/>
                <w:sz w:val="22"/>
              </w:rPr>
            </w:pPr>
          </w:p>
        </w:tc>
        <w:tc>
          <w:tcPr>
            <w:tcW w:w="1417" w:type="dxa"/>
            <w:tcBorders>
              <w:top w:val="single" w:sz="4" w:space="0" w:color="00B050"/>
              <w:left w:val="single" w:sz="4" w:space="0" w:color="00B050"/>
              <w:bottom w:val="single" w:sz="4" w:space="0" w:color="00B050"/>
              <w:right w:val="single" w:sz="4" w:space="0" w:color="00B050"/>
            </w:tcBorders>
            <w:noWrap/>
            <w:hideMark/>
          </w:tcPr>
          <w:p w:rsidR="00030337" w:rsidRPr="00467C27" w:rsidRDefault="00030337" w:rsidP="00030337">
            <w:pPr>
              <w:pStyle w:val="Heading4"/>
              <w:spacing w:before="0"/>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2019 n=453</w:t>
            </w:r>
          </w:p>
        </w:tc>
        <w:tc>
          <w:tcPr>
            <w:tcW w:w="992" w:type="dxa"/>
            <w:tcBorders>
              <w:top w:val="single" w:sz="4" w:space="0" w:color="00B050"/>
              <w:left w:val="single" w:sz="4" w:space="0" w:color="00B050"/>
              <w:bottom w:val="single" w:sz="4" w:space="0" w:color="00B050"/>
              <w:right w:val="single" w:sz="4" w:space="0" w:color="00B050"/>
            </w:tcBorders>
            <w:noWrap/>
            <w:vAlign w:val="center"/>
            <w:hideMark/>
          </w:tcPr>
          <w:p w:rsidR="00030337" w:rsidRPr="00467C27" w:rsidRDefault="00030337" w:rsidP="00030337">
            <w:pPr>
              <w:pStyle w:val="Heading4"/>
              <w:spacing w:before="0"/>
              <w:jc w:val="center"/>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4%</w:t>
            </w:r>
          </w:p>
        </w:tc>
        <w:tc>
          <w:tcPr>
            <w:tcW w:w="1134" w:type="dxa"/>
            <w:tcBorders>
              <w:top w:val="single" w:sz="4" w:space="0" w:color="00B050"/>
              <w:left w:val="single" w:sz="4" w:space="0" w:color="00B050"/>
              <w:bottom w:val="single" w:sz="4" w:space="0" w:color="00B050"/>
              <w:right w:val="single" w:sz="4" w:space="0" w:color="00B050"/>
            </w:tcBorders>
            <w:noWrap/>
            <w:vAlign w:val="center"/>
            <w:hideMark/>
          </w:tcPr>
          <w:p w:rsidR="00030337" w:rsidRPr="00467C27" w:rsidRDefault="00030337" w:rsidP="00030337">
            <w:pPr>
              <w:pStyle w:val="Heading4"/>
              <w:spacing w:before="0"/>
              <w:jc w:val="center"/>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10%</w:t>
            </w:r>
          </w:p>
        </w:tc>
        <w:tc>
          <w:tcPr>
            <w:tcW w:w="1134" w:type="dxa"/>
            <w:tcBorders>
              <w:top w:val="single" w:sz="4" w:space="0" w:color="00B050"/>
              <w:left w:val="single" w:sz="4" w:space="0" w:color="00B050"/>
              <w:bottom w:val="single" w:sz="4" w:space="0" w:color="00B050"/>
              <w:right w:val="single" w:sz="4" w:space="0" w:color="00B050"/>
            </w:tcBorders>
            <w:noWrap/>
            <w:vAlign w:val="center"/>
            <w:hideMark/>
          </w:tcPr>
          <w:p w:rsidR="00030337" w:rsidRPr="00467C27" w:rsidRDefault="00030337" w:rsidP="00030337">
            <w:pPr>
              <w:pStyle w:val="Heading4"/>
              <w:spacing w:before="0"/>
              <w:jc w:val="center"/>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18%</w:t>
            </w:r>
          </w:p>
        </w:tc>
        <w:tc>
          <w:tcPr>
            <w:tcW w:w="1134" w:type="dxa"/>
            <w:tcBorders>
              <w:top w:val="single" w:sz="4" w:space="0" w:color="00B050"/>
              <w:left w:val="single" w:sz="4" w:space="0" w:color="00B050"/>
              <w:bottom w:val="single" w:sz="4" w:space="0" w:color="00B050"/>
              <w:right w:val="single" w:sz="4" w:space="0" w:color="00B050"/>
            </w:tcBorders>
            <w:noWrap/>
            <w:vAlign w:val="center"/>
            <w:hideMark/>
          </w:tcPr>
          <w:p w:rsidR="00030337" w:rsidRPr="00467C27" w:rsidRDefault="00030337" w:rsidP="00030337">
            <w:pPr>
              <w:pStyle w:val="Heading4"/>
              <w:spacing w:before="0"/>
              <w:jc w:val="center"/>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14%</w:t>
            </w:r>
          </w:p>
        </w:tc>
        <w:tc>
          <w:tcPr>
            <w:tcW w:w="1276" w:type="dxa"/>
            <w:tcBorders>
              <w:top w:val="single" w:sz="4" w:space="0" w:color="00B050"/>
              <w:left w:val="single" w:sz="4" w:space="0" w:color="00B050"/>
              <w:bottom w:val="single" w:sz="4" w:space="0" w:color="00B050"/>
              <w:right w:val="single" w:sz="4" w:space="0" w:color="00B050"/>
            </w:tcBorders>
            <w:noWrap/>
            <w:vAlign w:val="center"/>
            <w:hideMark/>
          </w:tcPr>
          <w:p w:rsidR="00030337" w:rsidRPr="00467C27" w:rsidRDefault="00030337" w:rsidP="00030337">
            <w:pPr>
              <w:pStyle w:val="Heading4"/>
              <w:spacing w:before="0"/>
              <w:jc w:val="center"/>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15%</w:t>
            </w:r>
          </w:p>
        </w:tc>
        <w:tc>
          <w:tcPr>
            <w:tcW w:w="1134" w:type="dxa"/>
            <w:tcBorders>
              <w:top w:val="single" w:sz="4" w:space="0" w:color="00B050"/>
              <w:left w:val="single" w:sz="4" w:space="0" w:color="00B050"/>
              <w:bottom w:val="single" w:sz="4" w:space="0" w:color="00B050"/>
              <w:right w:val="single" w:sz="4" w:space="0" w:color="00B050"/>
            </w:tcBorders>
            <w:noWrap/>
            <w:vAlign w:val="center"/>
            <w:hideMark/>
          </w:tcPr>
          <w:p w:rsidR="00030337" w:rsidRPr="00467C27" w:rsidRDefault="00030337" w:rsidP="00030337">
            <w:pPr>
              <w:pStyle w:val="Heading4"/>
              <w:spacing w:before="0"/>
              <w:jc w:val="center"/>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12%</w:t>
            </w:r>
          </w:p>
        </w:tc>
        <w:tc>
          <w:tcPr>
            <w:tcW w:w="1464" w:type="dxa"/>
            <w:tcBorders>
              <w:top w:val="single" w:sz="4" w:space="0" w:color="00B050"/>
              <w:left w:val="single" w:sz="4" w:space="0" w:color="00B050"/>
              <w:bottom w:val="single" w:sz="4" w:space="0" w:color="00B050"/>
              <w:right w:val="single" w:sz="4" w:space="0" w:color="00B050"/>
            </w:tcBorders>
            <w:noWrap/>
            <w:vAlign w:val="center"/>
            <w:hideMark/>
          </w:tcPr>
          <w:p w:rsidR="00030337" w:rsidRPr="00467C27" w:rsidRDefault="00030337" w:rsidP="00030337">
            <w:pPr>
              <w:pStyle w:val="Heading4"/>
              <w:spacing w:before="0"/>
              <w:jc w:val="center"/>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14%</w:t>
            </w:r>
          </w:p>
        </w:tc>
        <w:tc>
          <w:tcPr>
            <w:tcW w:w="1181" w:type="dxa"/>
            <w:tcBorders>
              <w:top w:val="single" w:sz="4" w:space="0" w:color="00B050"/>
              <w:left w:val="single" w:sz="4" w:space="0" w:color="00B050"/>
              <w:bottom w:val="single" w:sz="4" w:space="0" w:color="00B050"/>
              <w:right w:val="single" w:sz="4" w:space="0" w:color="00B050"/>
            </w:tcBorders>
            <w:noWrap/>
            <w:vAlign w:val="center"/>
            <w:hideMark/>
          </w:tcPr>
          <w:p w:rsidR="00030337" w:rsidRPr="00467C27" w:rsidRDefault="00030337" w:rsidP="00030337">
            <w:pPr>
              <w:pStyle w:val="Heading4"/>
              <w:spacing w:before="0"/>
              <w:jc w:val="center"/>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14%</w:t>
            </w:r>
          </w:p>
        </w:tc>
        <w:tc>
          <w:tcPr>
            <w:tcW w:w="1182" w:type="dxa"/>
            <w:tcBorders>
              <w:top w:val="single" w:sz="4" w:space="0" w:color="00B050"/>
              <w:left w:val="single" w:sz="4" w:space="0" w:color="00B050"/>
              <w:bottom w:val="single" w:sz="4" w:space="0" w:color="00B050"/>
              <w:right w:val="nil"/>
            </w:tcBorders>
            <w:noWrap/>
            <w:vAlign w:val="center"/>
            <w:hideMark/>
          </w:tcPr>
          <w:p w:rsidR="00030337" w:rsidRPr="00467C27" w:rsidRDefault="00030337" w:rsidP="00030337">
            <w:pPr>
              <w:pStyle w:val="Heading4"/>
              <w:spacing w:before="0"/>
              <w:jc w:val="center"/>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86%</w:t>
            </w:r>
          </w:p>
        </w:tc>
      </w:tr>
    </w:tbl>
    <w:p w:rsidR="0009290F" w:rsidRDefault="008509B9" w:rsidP="0009290F">
      <w:pPr>
        <w:spacing w:after="0"/>
        <w:rPr>
          <w:rFonts w:cstheme="minorHAnsi"/>
          <w:b/>
        </w:rPr>
      </w:pPr>
      <w:r>
        <w:t>Source: Residents’ Monitoring Survey 2019 (RMS)</w:t>
      </w:r>
      <w:r w:rsidR="0009290F" w:rsidRPr="0009290F">
        <w:rPr>
          <w:rFonts w:cstheme="minorHAnsi"/>
          <w:b/>
        </w:rPr>
        <w:t xml:space="preserve"> </w:t>
      </w:r>
    </w:p>
    <w:p w:rsidR="00030337" w:rsidRPr="0009290F" w:rsidRDefault="0009290F" w:rsidP="002C7BF8">
      <w:pPr>
        <w:pStyle w:val="ListParagraph"/>
        <w:numPr>
          <w:ilvl w:val="0"/>
          <w:numId w:val="61"/>
        </w:numPr>
        <w:spacing w:after="0"/>
        <w:rPr>
          <w:b/>
        </w:rPr>
      </w:pPr>
      <w:r w:rsidRPr="0009290F">
        <w:rPr>
          <w:rFonts w:cstheme="minorHAnsi"/>
          <w:b/>
        </w:rPr>
        <w:lastRenderedPageBreak/>
        <w:t>Overall, how satisfied or dissatisfied are you with the quality and maintenance of...</w:t>
      </w:r>
    </w:p>
    <w:tbl>
      <w:tblPr>
        <w:tblStyle w:val="TableGrid"/>
        <w:tblpPr w:leftFromText="180" w:rightFromText="180" w:vertAnchor="text" w:horzAnchor="margin" w:tblpXSpec="right" w:tblpY="1286"/>
        <w:tblW w:w="14743" w:type="dxa"/>
        <w:tblBorders>
          <w:top w:val="none" w:sz="0" w:space="0" w:color="auto"/>
          <w:left w:val="none" w:sz="0" w:space="0" w:color="auto"/>
          <w:bottom w:val="single" w:sz="4" w:space="0" w:color="00B050"/>
          <w:right w:val="none" w:sz="0" w:space="0" w:color="auto"/>
          <w:insideH w:val="single" w:sz="4" w:space="0" w:color="00B050"/>
          <w:insideV w:val="single" w:sz="4" w:space="0" w:color="00B050"/>
        </w:tblBorders>
        <w:tblLayout w:type="fixed"/>
        <w:tblLook w:val="04A0" w:firstRow="1" w:lastRow="0" w:firstColumn="1" w:lastColumn="0" w:noHBand="0" w:noVBand="1"/>
      </w:tblPr>
      <w:tblGrid>
        <w:gridCol w:w="2749"/>
        <w:gridCol w:w="1612"/>
        <w:gridCol w:w="1559"/>
        <w:gridCol w:w="1617"/>
        <w:gridCol w:w="1820"/>
        <w:gridCol w:w="1275"/>
        <w:gridCol w:w="1418"/>
        <w:gridCol w:w="1417"/>
        <w:gridCol w:w="1276"/>
      </w:tblGrid>
      <w:tr w:rsidR="0009290F" w:rsidRPr="00467C27" w:rsidTr="0009290F">
        <w:trPr>
          <w:trHeight w:val="828"/>
          <w:tblHeader/>
        </w:trPr>
        <w:tc>
          <w:tcPr>
            <w:tcW w:w="4361" w:type="dxa"/>
            <w:gridSpan w:val="2"/>
            <w:tcBorders>
              <w:top w:val="nil"/>
              <w:right w:val="single" w:sz="4" w:space="0" w:color="FFFFFF" w:themeColor="background1"/>
            </w:tcBorders>
            <w:shd w:val="clear" w:color="auto" w:fill="00B050"/>
          </w:tcPr>
          <w:p w:rsidR="0009290F" w:rsidRPr="00CF2A5D" w:rsidRDefault="0009290F" w:rsidP="0009290F">
            <w:pPr>
              <w:pStyle w:val="Heading4"/>
              <w:spacing w:before="0"/>
              <w:outlineLvl w:val="3"/>
              <w:rPr>
                <w:rFonts w:asciiTheme="minorHAnsi" w:hAnsiTheme="minorHAnsi" w:cstheme="minorHAnsi"/>
                <w:b w:val="0"/>
                <w:i w:val="0"/>
                <w:color w:val="FFFFFF" w:themeColor="background1"/>
                <w:sz w:val="22"/>
              </w:rPr>
            </w:pPr>
          </w:p>
        </w:tc>
        <w:tc>
          <w:tcPr>
            <w:tcW w:w="1559" w:type="dxa"/>
            <w:tcBorders>
              <w:top w:val="nil"/>
              <w:left w:val="single" w:sz="4" w:space="0" w:color="FFFFFF" w:themeColor="background1"/>
              <w:right w:val="single" w:sz="4" w:space="0" w:color="FFFFFF" w:themeColor="background1"/>
            </w:tcBorders>
            <w:shd w:val="clear" w:color="auto" w:fill="00B050"/>
            <w:vAlign w:val="bottom"/>
            <w:hideMark/>
          </w:tcPr>
          <w:p w:rsidR="0009290F" w:rsidRPr="00040AE8" w:rsidRDefault="0009290F" w:rsidP="0009290F">
            <w:pPr>
              <w:pStyle w:val="Heading4"/>
              <w:spacing w:before="0"/>
              <w:jc w:val="center"/>
              <w:outlineLvl w:val="3"/>
              <w:rPr>
                <w:rFonts w:asciiTheme="minorHAnsi" w:hAnsiTheme="minorHAnsi" w:cstheme="minorHAnsi"/>
                <w:color w:val="FFFFFF" w:themeColor="background1"/>
                <w:sz w:val="22"/>
                <w:szCs w:val="20"/>
              </w:rPr>
            </w:pPr>
            <w:r w:rsidRPr="00040AE8">
              <w:rPr>
                <w:rFonts w:asciiTheme="minorHAnsi" w:hAnsiTheme="minorHAnsi" w:cstheme="minorHAnsi"/>
                <w:color w:val="FFFFFF" w:themeColor="background1"/>
                <w:sz w:val="22"/>
                <w:szCs w:val="20"/>
              </w:rPr>
              <w:t>Very dissatisfied</w:t>
            </w:r>
          </w:p>
        </w:tc>
        <w:tc>
          <w:tcPr>
            <w:tcW w:w="1617" w:type="dxa"/>
            <w:tcBorders>
              <w:top w:val="nil"/>
              <w:left w:val="single" w:sz="4" w:space="0" w:color="FFFFFF" w:themeColor="background1"/>
              <w:right w:val="single" w:sz="4" w:space="0" w:color="FFFFFF" w:themeColor="background1"/>
            </w:tcBorders>
            <w:shd w:val="clear" w:color="auto" w:fill="00B050"/>
            <w:vAlign w:val="bottom"/>
            <w:hideMark/>
          </w:tcPr>
          <w:p w:rsidR="0009290F" w:rsidRPr="00040AE8" w:rsidRDefault="0009290F" w:rsidP="0009290F">
            <w:pPr>
              <w:pStyle w:val="Heading4"/>
              <w:spacing w:before="0"/>
              <w:jc w:val="center"/>
              <w:outlineLvl w:val="3"/>
              <w:rPr>
                <w:rFonts w:asciiTheme="minorHAnsi" w:hAnsiTheme="minorHAnsi" w:cstheme="minorHAnsi"/>
                <w:color w:val="FFFFFF" w:themeColor="background1"/>
                <w:sz w:val="22"/>
                <w:szCs w:val="20"/>
              </w:rPr>
            </w:pPr>
            <w:r w:rsidRPr="00040AE8">
              <w:rPr>
                <w:rFonts w:asciiTheme="minorHAnsi" w:hAnsiTheme="minorHAnsi" w:cstheme="minorHAnsi"/>
                <w:color w:val="FFFFFF" w:themeColor="background1"/>
                <w:sz w:val="22"/>
                <w:szCs w:val="20"/>
              </w:rPr>
              <w:t>Dissatisfied</w:t>
            </w:r>
          </w:p>
        </w:tc>
        <w:tc>
          <w:tcPr>
            <w:tcW w:w="1820" w:type="dxa"/>
            <w:tcBorders>
              <w:top w:val="nil"/>
              <w:left w:val="single" w:sz="4" w:space="0" w:color="FFFFFF" w:themeColor="background1"/>
              <w:right w:val="single" w:sz="4" w:space="0" w:color="FFFFFF" w:themeColor="background1"/>
            </w:tcBorders>
            <w:shd w:val="clear" w:color="auto" w:fill="00B050"/>
            <w:vAlign w:val="bottom"/>
            <w:hideMark/>
          </w:tcPr>
          <w:p w:rsidR="0009290F" w:rsidRPr="00040AE8" w:rsidRDefault="0009290F" w:rsidP="0009290F">
            <w:pPr>
              <w:pStyle w:val="Heading4"/>
              <w:spacing w:before="0"/>
              <w:jc w:val="center"/>
              <w:outlineLvl w:val="3"/>
              <w:rPr>
                <w:rFonts w:asciiTheme="minorHAnsi" w:hAnsiTheme="minorHAnsi" w:cstheme="minorHAnsi"/>
                <w:color w:val="FFFFFF" w:themeColor="background1"/>
                <w:sz w:val="22"/>
                <w:szCs w:val="20"/>
              </w:rPr>
            </w:pPr>
            <w:r w:rsidRPr="00040AE8">
              <w:rPr>
                <w:rFonts w:asciiTheme="minorHAnsi" w:hAnsiTheme="minorHAnsi" w:cstheme="minorHAnsi"/>
                <w:color w:val="FFFFFF" w:themeColor="background1"/>
                <w:sz w:val="22"/>
                <w:szCs w:val="20"/>
              </w:rPr>
              <w:t>Neither satisfied nor dissatisfied</w:t>
            </w:r>
          </w:p>
        </w:tc>
        <w:tc>
          <w:tcPr>
            <w:tcW w:w="1275" w:type="dxa"/>
            <w:tcBorders>
              <w:top w:val="nil"/>
              <w:left w:val="single" w:sz="4" w:space="0" w:color="FFFFFF" w:themeColor="background1"/>
              <w:right w:val="single" w:sz="4" w:space="0" w:color="FFFFFF" w:themeColor="background1"/>
            </w:tcBorders>
            <w:shd w:val="clear" w:color="auto" w:fill="00B050"/>
            <w:vAlign w:val="bottom"/>
            <w:hideMark/>
          </w:tcPr>
          <w:p w:rsidR="0009290F" w:rsidRPr="00040AE8" w:rsidRDefault="0009290F" w:rsidP="0009290F">
            <w:pPr>
              <w:pStyle w:val="Heading4"/>
              <w:spacing w:before="0"/>
              <w:jc w:val="center"/>
              <w:outlineLvl w:val="3"/>
              <w:rPr>
                <w:rFonts w:asciiTheme="minorHAnsi" w:hAnsiTheme="minorHAnsi" w:cstheme="minorHAnsi"/>
                <w:color w:val="FFFFFF" w:themeColor="background1"/>
                <w:sz w:val="22"/>
                <w:szCs w:val="20"/>
              </w:rPr>
            </w:pPr>
            <w:r w:rsidRPr="00040AE8">
              <w:rPr>
                <w:rFonts w:asciiTheme="minorHAnsi" w:hAnsiTheme="minorHAnsi" w:cstheme="minorHAnsi"/>
                <w:color w:val="FFFFFF" w:themeColor="background1"/>
                <w:sz w:val="22"/>
                <w:szCs w:val="20"/>
              </w:rPr>
              <w:t>Satisfied</w:t>
            </w:r>
          </w:p>
        </w:tc>
        <w:tc>
          <w:tcPr>
            <w:tcW w:w="1418" w:type="dxa"/>
            <w:tcBorders>
              <w:top w:val="nil"/>
              <w:left w:val="single" w:sz="4" w:space="0" w:color="FFFFFF" w:themeColor="background1"/>
              <w:right w:val="single" w:sz="4" w:space="0" w:color="FFFFFF" w:themeColor="background1"/>
            </w:tcBorders>
            <w:shd w:val="clear" w:color="auto" w:fill="00B050"/>
            <w:vAlign w:val="bottom"/>
            <w:hideMark/>
          </w:tcPr>
          <w:p w:rsidR="0009290F" w:rsidRPr="00040AE8" w:rsidRDefault="0009290F" w:rsidP="0009290F">
            <w:pPr>
              <w:pStyle w:val="Heading4"/>
              <w:spacing w:before="0"/>
              <w:jc w:val="center"/>
              <w:outlineLvl w:val="3"/>
              <w:rPr>
                <w:rFonts w:asciiTheme="minorHAnsi" w:hAnsiTheme="minorHAnsi" w:cstheme="minorHAnsi"/>
                <w:color w:val="FFFFFF" w:themeColor="background1"/>
                <w:sz w:val="22"/>
                <w:szCs w:val="20"/>
              </w:rPr>
            </w:pPr>
            <w:r w:rsidRPr="00040AE8">
              <w:rPr>
                <w:rFonts w:asciiTheme="minorHAnsi" w:hAnsiTheme="minorHAnsi" w:cstheme="minorHAnsi"/>
                <w:color w:val="FFFFFF" w:themeColor="background1"/>
                <w:sz w:val="22"/>
                <w:szCs w:val="20"/>
              </w:rPr>
              <w:t>Very satisfied</w:t>
            </w:r>
          </w:p>
        </w:tc>
        <w:tc>
          <w:tcPr>
            <w:tcW w:w="1417" w:type="dxa"/>
            <w:tcBorders>
              <w:top w:val="nil"/>
              <w:left w:val="single" w:sz="4" w:space="0" w:color="FFFFFF" w:themeColor="background1"/>
              <w:right w:val="single" w:sz="4" w:space="0" w:color="FFFFFF" w:themeColor="background1"/>
            </w:tcBorders>
            <w:shd w:val="clear" w:color="auto" w:fill="00B050"/>
            <w:vAlign w:val="bottom"/>
            <w:hideMark/>
          </w:tcPr>
          <w:p w:rsidR="0009290F" w:rsidRPr="00040AE8" w:rsidRDefault="0009290F" w:rsidP="0009290F">
            <w:pPr>
              <w:pStyle w:val="Heading4"/>
              <w:spacing w:before="0"/>
              <w:jc w:val="center"/>
              <w:outlineLvl w:val="3"/>
              <w:rPr>
                <w:rFonts w:asciiTheme="minorHAnsi" w:hAnsiTheme="minorHAnsi" w:cstheme="minorHAnsi"/>
                <w:color w:val="FFFFFF" w:themeColor="background1"/>
                <w:sz w:val="22"/>
                <w:szCs w:val="20"/>
              </w:rPr>
            </w:pPr>
            <w:r w:rsidRPr="00040AE8">
              <w:rPr>
                <w:rFonts w:asciiTheme="minorHAnsi" w:hAnsiTheme="minorHAnsi" w:cstheme="minorHAnsi"/>
                <w:color w:val="FFFFFF" w:themeColor="background1"/>
                <w:sz w:val="22"/>
                <w:szCs w:val="20"/>
              </w:rPr>
              <w:t>Reported result</w:t>
            </w:r>
          </w:p>
        </w:tc>
        <w:tc>
          <w:tcPr>
            <w:tcW w:w="1276" w:type="dxa"/>
            <w:tcBorders>
              <w:top w:val="nil"/>
              <w:left w:val="single" w:sz="4" w:space="0" w:color="FFFFFF" w:themeColor="background1"/>
            </w:tcBorders>
            <w:shd w:val="clear" w:color="auto" w:fill="00B050"/>
            <w:noWrap/>
            <w:vAlign w:val="bottom"/>
            <w:hideMark/>
          </w:tcPr>
          <w:p w:rsidR="0009290F" w:rsidRPr="00040AE8" w:rsidRDefault="0009290F" w:rsidP="0009290F">
            <w:pPr>
              <w:pStyle w:val="Heading4"/>
              <w:spacing w:before="0"/>
              <w:jc w:val="center"/>
              <w:outlineLvl w:val="3"/>
              <w:rPr>
                <w:rFonts w:asciiTheme="minorHAnsi" w:hAnsiTheme="minorHAnsi" w:cstheme="minorHAnsi"/>
                <w:color w:val="FFFFFF" w:themeColor="background1"/>
                <w:sz w:val="22"/>
                <w:szCs w:val="20"/>
              </w:rPr>
            </w:pPr>
            <w:r w:rsidRPr="00040AE8">
              <w:rPr>
                <w:rFonts w:asciiTheme="minorHAnsi" w:hAnsiTheme="minorHAnsi" w:cstheme="minorHAnsi"/>
                <w:color w:val="FFFFFF" w:themeColor="background1"/>
                <w:sz w:val="22"/>
                <w:szCs w:val="20"/>
              </w:rPr>
              <w:t>Average</w:t>
            </w:r>
          </w:p>
        </w:tc>
      </w:tr>
      <w:tr w:rsidR="0009290F" w:rsidRPr="00467C27" w:rsidTr="0009290F">
        <w:trPr>
          <w:trHeight w:val="158"/>
        </w:trPr>
        <w:tc>
          <w:tcPr>
            <w:tcW w:w="2749" w:type="dxa"/>
            <w:vMerge w:val="restart"/>
            <w:hideMark/>
          </w:tcPr>
          <w:p w:rsidR="0009290F" w:rsidRPr="001651CF" w:rsidRDefault="0009290F" w:rsidP="0009290F">
            <w:pPr>
              <w:pStyle w:val="Heading4"/>
              <w:spacing w:before="0" w:after="80"/>
              <w:outlineLvl w:val="3"/>
              <w:rPr>
                <w:rFonts w:asciiTheme="minorHAnsi" w:hAnsiTheme="minorHAnsi" w:cstheme="minorHAnsi"/>
                <w:color w:val="auto"/>
                <w:sz w:val="20"/>
                <w:szCs w:val="20"/>
              </w:rPr>
            </w:pPr>
            <w:r w:rsidRPr="001651CF">
              <w:rPr>
                <w:rFonts w:asciiTheme="minorHAnsi" w:hAnsiTheme="minorHAnsi" w:cstheme="minorHAnsi"/>
                <w:color w:val="auto"/>
                <w:sz w:val="20"/>
                <w:szCs w:val="20"/>
              </w:rPr>
              <w:t xml:space="preserve">Botanic </w:t>
            </w:r>
            <w:r>
              <w:rPr>
                <w:rFonts w:asciiTheme="minorHAnsi" w:hAnsiTheme="minorHAnsi" w:cstheme="minorHAnsi"/>
                <w:color w:val="auto"/>
                <w:sz w:val="20"/>
                <w:szCs w:val="20"/>
              </w:rPr>
              <w:t>G</w:t>
            </w:r>
            <w:r w:rsidRPr="001651CF">
              <w:rPr>
                <w:rFonts w:asciiTheme="minorHAnsi" w:hAnsiTheme="minorHAnsi" w:cstheme="minorHAnsi"/>
                <w:color w:val="auto"/>
                <w:sz w:val="20"/>
                <w:szCs w:val="20"/>
              </w:rPr>
              <w:t>ardens, including Otari</w:t>
            </w:r>
            <w:r>
              <w:rPr>
                <w:rFonts w:asciiTheme="minorHAnsi" w:hAnsiTheme="minorHAnsi" w:cstheme="minorHAnsi"/>
                <w:color w:val="auto"/>
                <w:sz w:val="20"/>
                <w:szCs w:val="20"/>
              </w:rPr>
              <w:t>-</w:t>
            </w:r>
            <w:r w:rsidRPr="001651CF">
              <w:rPr>
                <w:rFonts w:asciiTheme="minorHAnsi" w:hAnsiTheme="minorHAnsi" w:cstheme="minorHAnsi"/>
                <w:color w:val="auto"/>
                <w:sz w:val="20"/>
                <w:szCs w:val="20"/>
              </w:rPr>
              <w:t>Wilton</w:t>
            </w:r>
            <w:r>
              <w:rPr>
                <w:rFonts w:asciiTheme="minorHAnsi" w:hAnsiTheme="minorHAnsi" w:cstheme="minorHAnsi"/>
                <w:color w:val="auto"/>
                <w:sz w:val="20"/>
                <w:szCs w:val="20"/>
              </w:rPr>
              <w:t>’</w:t>
            </w:r>
            <w:r w:rsidRPr="001651CF">
              <w:rPr>
                <w:rFonts w:asciiTheme="minorHAnsi" w:hAnsiTheme="minorHAnsi" w:cstheme="minorHAnsi"/>
                <w:color w:val="auto"/>
                <w:sz w:val="20"/>
                <w:szCs w:val="20"/>
              </w:rPr>
              <w:t>s Bush Native Botanic Reserve</w:t>
            </w:r>
          </w:p>
        </w:tc>
        <w:tc>
          <w:tcPr>
            <w:tcW w:w="1612" w:type="dxa"/>
            <w:noWrap/>
            <w:hideMark/>
          </w:tcPr>
          <w:p w:rsidR="0009290F" w:rsidRPr="00467C27" w:rsidRDefault="0009290F" w:rsidP="0009290F">
            <w:pPr>
              <w:pStyle w:val="Heading4"/>
              <w:spacing w:before="0" w:after="80"/>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2015 n=575</w:t>
            </w:r>
          </w:p>
        </w:tc>
        <w:tc>
          <w:tcPr>
            <w:tcW w:w="1559" w:type="dxa"/>
            <w:noWrap/>
            <w:hideMark/>
          </w:tcPr>
          <w:p w:rsidR="0009290F" w:rsidRPr="00467C27" w:rsidRDefault="0009290F" w:rsidP="0009290F">
            <w:pPr>
              <w:pStyle w:val="Heading4"/>
              <w:spacing w:before="0" w:after="80"/>
              <w:jc w:val="center"/>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1%</w:t>
            </w:r>
          </w:p>
        </w:tc>
        <w:tc>
          <w:tcPr>
            <w:tcW w:w="1617" w:type="dxa"/>
            <w:noWrap/>
            <w:hideMark/>
          </w:tcPr>
          <w:p w:rsidR="0009290F" w:rsidRPr="00467C27" w:rsidRDefault="0009290F" w:rsidP="0009290F">
            <w:pPr>
              <w:pStyle w:val="Heading4"/>
              <w:spacing w:before="0" w:after="80"/>
              <w:jc w:val="center"/>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0%</w:t>
            </w:r>
          </w:p>
        </w:tc>
        <w:tc>
          <w:tcPr>
            <w:tcW w:w="1820" w:type="dxa"/>
            <w:noWrap/>
            <w:hideMark/>
          </w:tcPr>
          <w:p w:rsidR="0009290F" w:rsidRPr="00467C27" w:rsidRDefault="0009290F" w:rsidP="0009290F">
            <w:pPr>
              <w:pStyle w:val="Heading4"/>
              <w:spacing w:before="0" w:after="80"/>
              <w:jc w:val="center"/>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7%</w:t>
            </w:r>
          </w:p>
        </w:tc>
        <w:tc>
          <w:tcPr>
            <w:tcW w:w="1275" w:type="dxa"/>
            <w:noWrap/>
            <w:hideMark/>
          </w:tcPr>
          <w:p w:rsidR="0009290F" w:rsidRPr="00467C27" w:rsidRDefault="0009290F" w:rsidP="0009290F">
            <w:pPr>
              <w:pStyle w:val="Heading4"/>
              <w:spacing w:before="0" w:after="80"/>
              <w:jc w:val="center"/>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33%</w:t>
            </w:r>
          </w:p>
        </w:tc>
        <w:tc>
          <w:tcPr>
            <w:tcW w:w="1418" w:type="dxa"/>
            <w:noWrap/>
            <w:hideMark/>
          </w:tcPr>
          <w:p w:rsidR="0009290F" w:rsidRPr="00467C27" w:rsidRDefault="0009290F" w:rsidP="0009290F">
            <w:pPr>
              <w:pStyle w:val="Heading4"/>
              <w:spacing w:before="0" w:after="80"/>
              <w:jc w:val="center"/>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59%</w:t>
            </w:r>
          </w:p>
        </w:tc>
        <w:tc>
          <w:tcPr>
            <w:tcW w:w="1417" w:type="dxa"/>
            <w:noWrap/>
            <w:hideMark/>
          </w:tcPr>
          <w:p w:rsidR="0009290F" w:rsidRPr="00467C27" w:rsidRDefault="0009290F" w:rsidP="0009290F">
            <w:pPr>
              <w:pStyle w:val="Heading4"/>
              <w:spacing w:before="0" w:after="80"/>
              <w:jc w:val="center"/>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92%</w:t>
            </w:r>
          </w:p>
        </w:tc>
        <w:tc>
          <w:tcPr>
            <w:tcW w:w="1276" w:type="dxa"/>
            <w:shd w:val="clear" w:color="auto" w:fill="D9D9D9" w:themeFill="background1" w:themeFillShade="D9"/>
            <w:noWrap/>
            <w:hideMark/>
          </w:tcPr>
          <w:p w:rsidR="0009290F" w:rsidRPr="00467C27" w:rsidRDefault="0009290F" w:rsidP="0009290F">
            <w:pPr>
              <w:pStyle w:val="Heading4"/>
              <w:spacing w:before="0" w:after="80"/>
              <w:jc w:val="center"/>
              <w:outlineLvl w:val="3"/>
              <w:rPr>
                <w:rFonts w:asciiTheme="minorHAnsi" w:hAnsiTheme="minorHAnsi" w:cstheme="minorHAnsi"/>
                <w:b w:val="0"/>
                <w:color w:val="auto"/>
                <w:sz w:val="22"/>
              </w:rPr>
            </w:pPr>
          </w:p>
        </w:tc>
      </w:tr>
      <w:tr w:rsidR="0009290F" w:rsidRPr="00467C27" w:rsidTr="0009290F">
        <w:trPr>
          <w:trHeight w:val="276"/>
        </w:trPr>
        <w:tc>
          <w:tcPr>
            <w:tcW w:w="2749" w:type="dxa"/>
            <w:vMerge/>
            <w:hideMark/>
          </w:tcPr>
          <w:p w:rsidR="0009290F" w:rsidRPr="001651CF" w:rsidRDefault="0009290F" w:rsidP="0009290F">
            <w:pPr>
              <w:pStyle w:val="Heading4"/>
              <w:spacing w:before="0" w:after="80"/>
              <w:outlineLvl w:val="3"/>
              <w:rPr>
                <w:rFonts w:asciiTheme="minorHAnsi" w:hAnsiTheme="minorHAnsi" w:cstheme="minorHAnsi"/>
                <w:color w:val="auto"/>
                <w:sz w:val="20"/>
                <w:szCs w:val="20"/>
              </w:rPr>
            </w:pPr>
          </w:p>
        </w:tc>
        <w:tc>
          <w:tcPr>
            <w:tcW w:w="1612" w:type="dxa"/>
            <w:noWrap/>
            <w:hideMark/>
          </w:tcPr>
          <w:p w:rsidR="0009290F" w:rsidRPr="00467C27" w:rsidRDefault="0009290F" w:rsidP="0009290F">
            <w:pPr>
              <w:pStyle w:val="Heading4"/>
              <w:spacing w:before="0" w:after="80"/>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2016 n=558</w:t>
            </w:r>
          </w:p>
        </w:tc>
        <w:tc>
          <w:tcPr>
            <w:tcW w:w="1559" w:type="dxa"/>
            <w:noWrap/>
            <w:hideMark/>
          </w:tcPr>
          <w:p w:rsidR="0009290F" w:rsidRPr="00467C27" w:rsidRDefault="0009290F" w:rsidP="0009290F">
            <w:pPr>
              <w:pStyle w:val="Heading4"/>
              <w:spacing w:before="0" w:after="80"/>
              <w:jc w:val="center"/>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0%</w:t>
            </w:r>
          </w:p>
        </w:tc>
        <w:tc>
          <w:tcPr>
            <w:tcW w:w="1617" w:type="dxa"/>
            <w:noWrap/>
            <w:hideMark/>
          </w:tcPr>
          <w:p w:rsidR="0009290F" w:rsidRPr="00467C27" w:rsidRDefault="0009290F" w:rsidP="0009290F">
            <w:pPr>
              <w:pStyle w:val="Heading4"/>
              <w:spacing w:before="0" w:after="80"/>
              <w:jc w:val="center"/>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w:t>
            </w:r>
          </w:p>
        </w:tc>
        <w:tc>
          <w:tcPr>
            <w:tcW w:w="1820" w:type="dxa"/>
            <w:noWrap/>
            <w:hideMark/>
          </w:tcPr>
          <w:p w:rsidR="0009290F" w:rsidRPr="00467C27" w:rsidRDefault="0009290F" w:rsidP="0009290F">
            <w:pPr>
              <w:pStyle w:val="Heading4"/>
              <w:spacing w:before="0" w:after="80"/>
              <w:jc w:val="center"/>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6%</w:t>
            </w:r>
          </w:p>
        </w:tc>
        <w:tc>
          <w:tcPr>
            <w:tcW w:w="1275" w:type="dxa"/>
            <w:noWrap/>
            <w:hideMark/>
          </w:tcPr>
          <w:p w:rsidR="0009290F" w:rsidRPr="00467C27" w:rsidRDefault="0009290F" w:rsidP="0009290F">
            <w:pPr>
              <w:pStyle w:val="Heading4"/>
              <w:spacing w:before="0" w:after="80"/>
              <w:jc w:val="center"/>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34%</w:t>
            </w:r>
          </w:p>
        </w:tc>
        <w:tc>
          <w:tcPr>
            <w:tcW w:w="1418" w:type="dxa"/>
            <w:noWrap/>
            <w:hideMark/>
          </w:tcPr>
          <w:p w:rsidR="0009290F" w:rsidRPr="00467C27" w:rsidRDefault="0009290F" w:rsidP="0009290F">
            <w:pPr>
              <w:pStyle w:val="Heading4"/>
              <w:spacing w:before="0" w:after="80"/>
              <w:jc w:val="center"/>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59%</w:t>
            </w:r>
          </w:p>
        </w:tc>
        <w:tc>
          <w:tcPr>
            <w:tcW w:w="1417" w:type="dxa"/>
            <w:noWrap/>
            <w:hideMark/>
          </w:tcPr>
          <w:p w:rsidR="0009290F" w:rsidRPr="00467C27" w:rsidRDefault="0009290F" w:rsidP="0009290F">
            <w:pPr>
              <w:pStyle w:val="Heading4"/>
              <w:spacing w:before="0" w:after="80"/>
              <w:jc w:val="center"/>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93%</w:t>
            </w:r>
          </w:p>
        </w:tc>
        <w:tc>
          <w:tcPr>
            <w:tcW w:w="1276" w:type="dxa"/>
            <w:shd w:val="clear" w:color="auto" w:fill="D9D9D9" w:themeFill="background1" w:themeFillShade="D9"/>
            <w:noWrap/>
            <w:hideMark/>
          </w:tcPr>
          <w:p w:rsidR="0009290F" w:rsidRPr="00467C27" w:rsidRDefault="0009290F" w:rsidP="0009290F">
            <w:pPr>
              <w:pStyle w:val="Heading4"/>
              <w:spacing w:before="0" w:after="80"/>
              <w:jc w:val="center"/>
              <w:outlineLvl w:val="3"/>
              <w:rPr>
                <w:rFonts w:asciiTheme="minorHAnsi" w:hAnsiTheme="minorHAnsi" w:cstheme="minorHAnsi"/>
                <w:b w:val="0"/>
                <w:color w:val="auto"/>
                <w:sz w:val="22"/>
              </w:rPr>
            </w:pPr>
          </w:p>
        </w:tc>
      </w:tr>
      <w:tr w:rsidR="0009290F" w:rsidRPr="00467C27" w:rsidTr="0009290F">
        <w:trPr>
          <w:trHeight w:val="276"/>
        </w:trPr>
        <w:tc>
          <w:tcPr>
            <w:tcW w:w="2749" w:type="dxa"/>
            <w:vMerge/>
            <w:hideMark/>
          </w:tcPr>
          <w:p w:rsidR="0009290F" w:rsidRPr="001651CF" w:rsidRDefault="0009290F" w:rsidP="0009290F">
            <w:pPr>
              <w:pStyle w:val="Heading4"/>
              <w:spacing w:before="0" w:after="80"/>
              <w:outlineLvl w:val="3"/>
              <w:rPr>
                <w:rFonts w:asciiTheme="minorHAnsi" w:hAnsiTheme="minorHAnsi" w:cstheme="minorHAnsi"/>
                <w:color w:val="auto"/>
                <w:sz w:val="20"/>
                <w:szCs w:val="20"/>
              </w:rPr>
            </w:pPr>
          </w:p>
        </w:tc>
        <w:tc>
          <w:tcPr>
            <w:tcW w:w="1612" w:type="dxa"/>
            <w:noWrap/>
            <w:hideMark/>
          </w:tcPr>
          <w:p w:rsidR="0009290F" w:rsidRPr="00467C27" w:rsidRDefault="0009290F" w:rsidP="0009290F">
            <w:pPr>
              <w:pStyle w:val="Heading4"/>
              <w:spacing w:before="0" w:after="80"/>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2017 n=562</w:t>
            </w:r>
          </w:p>
        </w:tc>
        <w:tc>
          <w:tcPr>
            <w:tcW w:w="1559" w:type="dxa"/>
            <w:noWrap/>
            <w:hideMark/>
          </w:tcPr>
          <w:p w:rsidR="0009290F" w:rsidRPr="00467C27" w:rsidRDefault="0009290F" w:rsidP="0009290F">
            <w:pPr>
              <w:pStyle w:val="Heading4"/>
              <w:spacing w:before="0" w:after="80"/>
              <w:jc w:val="center"/>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1%</w:t>
            </w:r>
          </w:p>
        </w:tc>
        <w:tc>
          <w:tcPr>
            <w:tcW w:w="1617" w:type="dxa"/>
            <w:noWrap/>
            <w:hideMark/>
          </w:tcPr>
          <w:p w:rsidR="0009290F" w:rsidRPr="00467C27" w:rsidRDefault="0009290F" w:rsidP="0009290F">
            <w:pPr>
              <w:pStyle w:val="Heading4"/>
              <w:spacing w:before="0" w:after="80"/>
              <w:jc w:val="center"/>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0%</w:t>
            </w:r>
          </w:p>
        </w:tc>
        <w:tc>
          <w:tcPr>
            <w:tcW w:w="1820" w:type="dxa"/>
            <w:noWrap/>
            <w:hideMark/>
          </w:tcPr>
          <w:p w:rsidR="0009290F" w:rsidRPr="00467C27" w:rsidRDefault="0009290F" w:rsidP="0009290F">
            <w:pPr>
              <w:pStyle w:val="Heading4"/>
              <w:spacing w:before="0" w:after="80"/>
              <w:jc w:val="center"/>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5%</w:t>
            </w:r>
          </w:p>
        </w:tc>
        <w:tc>
          <w:tcPr>
            <w:tcW w:w="1275" w:type="dxa"/>
            <w:noWrap/>
            <w:hideMark/>
          </w:tcPr>
          <w:p w:rsidR="0009290F" w:rsidRPr="00467C27" w:rsidRDefault="0009290F" w:rsidP="0009290F">
            <w:pPr>
              <w:pStyle w:val="Heading4"/>
              <w:spacing w:before="0" w:after="80"/>
              <w:jc w:val="center"/>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33%</w:t>
            </w:r>
          </w:p>
        </w:tc>
        <w:tc>
          <w:tcPr>
            <w:tcW w:w="1418" w:type="dxa"/>
            <w:noWrap/>
            <w:hideMark/>
          </w:tcPr>
          <w:p w:rsidR="0009290F" w:rsidRPr="00467C27" w:rsidRDefault="0009290F" w:rsidP="0009290F">
            <w:pPr>
              <w:pStyle w:val="Heading4"/>
              <w:spacing w:before="0" w:after="80"/>
              <w:jc w:val="center"/>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60%</w:t>
            </w:r>
          </w:p>
        </w:tc>
        <w:tc>
          <w:tcPr>
            <w:tcW w:w="1417" w:type="dxa"/>
            <w:noWrap/>
            <w:hideMark/>
          </w:tcPr>
          <w:p w:rsidR="0009290F" w:rsidRPr="00467C27" w:rsidRDefault="0009290F" w:rsidP="0009290F">
            <w:pPr>
              <w:pStyle w:val="Heading4"/>
              <w:spacing w:before="0" w:after="80"/>
              <w:jc w:val="center"/>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93%</w:t>
            </w:r>
          </w:p>
        </w:tc>
        <w:tc>
          <w:tcPr>
            <w:tcW w:w="1276" w:type="dxa"/>
            <w:shd w:val="clear" w:color="auto" w:fill="D9D9D9" w:themeFill="background1" w:themeFillShade="D9"/>
            <w:noWrap/>
            <w:hideMark/>
          </w:tcPr>
          <w:p w:rsidR="0009290F" w:rsidRPr="00467C27" w:rsidRDefault="0009290F" w:rsidP="0009290F">
            <w:pPr>
              <w:pStyle w:val="Heading4"/>
              <w:spacing w:before="0" w:after="80"/>
              <w:jc w:val="center"/>
              <w:outlineLvl w:val="3"/>
              <w:rPr>
                <w:rFonts w:asciiTheme="minorHAnsi" w:hAnsiTheme="minorHAnsi" w:cstheme="minorHAnsi"/>
                <w:b w:val="0"/>
                <w:color w:val="auto"/>
                <w:sz w:val="22"/>
              </w:rPr>
            </w:pPr>
          </w:p>
        </w:tc>
      </w:tr>
      <w:tr w:rsidR="0009290F" w:rsidRPr="00467C27" w:rsidTr="0009290F">
        <w:trPr>
          <w:trHeight w:val="276"/>
        </w:trPr>
        <w:tc>
          <w:tcPr>
            <w:tcW w:w="2749" w:type="dxa"/>
            <w:vMerge/>
            <w:hideMark/>
          </w:tcPr>
          <w:p w:rsidR="0009290F" w:rsidRPr="001651CF" w:rsidRDefault="0009290F" w:rsidP="0009290F">
            <w:pPr>
              <w:pStyle w:val="Heading4"/>
              <w:spacing w:before="0" w:after="80"/>
              <w:outlineLvl w:val="3"/>
              <w:rPr>
                <w:rFonts w:asciiTheme="minorHAnsi" w:hAnsiTheme="minorHAnsi" w:cstheme="minorHAnsi"/>
                <w:color w:val="auto"/>
                <w:sz w:val="20"/>
                <w:szCs w:val="20"/>
              </w:rPr>
            </w:pPr>
          </w:p>
        </w:tc>
        <w:tc>
          <w:tcPr>
            <w:tcW w:w="1612" w:type="dxa"/>
            <w:noWrap/>
            <w:hideMark/>
          </w:tcPr>
          <w:p w:rsidR="0009290F" w:rsidRPr="00467C27" w:rsidRDefault="0009290F" w:rsidP="0009290F">
            <w:pPr>
              <w:pStyle w:val="Heading4"/>
              <w:spacing w:before="0" w:after="80"/>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2018 n=821</w:t>
            </w:r>
          </w:p>
        </w:tc>
        <w:tc>
          <w:tcPr>
            <w:tcW w:w="1559" w:type="dxa"/>
            <w:noWrap/>
            <w:hideMark/>
          </w:tcPr>
          <w:p w:rsidR="0009290F" w:rsidRPr="00467C27" w:rsidRDefault="0009290F" w:rsidP="0009290F">
            <w:pPr>
              <w:pStyle w:val="Heading4"/>
              <w:spacing w:before="0" w:after="80"/>
              <w:jc w:val="center"/>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w:t>
            </w:r>
          </w:p>
        </w:tc>
        <w:tc>
          <w:tcPr>
            <w:tcW w:w="1617" w:type="dxa"/>
            <w:noWrap/>
            <w:hideMark/>
          </w:tcPr>
          <w:p w:rsidR="0009290F" w:rsidRPr="00467C27" w:rsidRDefault="0009290F" w:rsidP="0009290F">
            <w:pPr>
              <w:pStyle w:val="Heading4"/>
              <w:spacing w:before="0" w:after="80"/>
              <w:jc w:val="center"/>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1%</w:t>
            </w:r>
          </w:p>
        </w:tc>
        <w:tc>
          <w:tcPr>
            <w:tcW w:w="1820" w:type="dxa"/>
            <w:noWrap/>
            <w:hideMark/>
          </w:tcPr>
          <w:p w:rsidR="0009290F" w:rsidRPr="00467C27" w:rsidRDefault="0009290F" w:rsidP="0009290F">
            <w:pPr>
              <w:pStyle w:val="Heading4"/>
              <w:spacing w:before="0" w:after="80"/>
              <w:jc w:val="center"/>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6%</w:t>
            </w:r>
          </w:p>
        </w:tc>
        <w:tc>
          <w:tcPr>
            <w:tcW w:w="1275" w:type="dxa"/>
            <w:noWrap/>
            <w:hideMark/>
          </w:tcPr>
          <w:p w:rsidR="0009290F" w:rsidRPr="00467C27" w:rsidRDefault="0009290F" w:rsidP="0009290F">
            <w:pPr>
              <w:pStyle w:val="Heading4"/>
              <w:spacing w:before="0" w:after="80"/>
              <w:jc w:val="center"/>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35%</w:t>
            </w:r>
          </w:p>
        </w:tc>
        <w:tc>
          <w:tcPr>
            <w:tcW w:w="1418" w:type="dxa"/>
            <w:noWrap/>
            <w:hideMark/>
          </w:tcPr>
          <w:p w:rsidR="0009290F" w:rsidRPr="00467C27" w:rsidRDefault="0009290F" w:rsidP="0009290F">
            <w:pPr>
              <w:pStyle w:val="Heading4"/>
              <w:spacing w:before="0" w:after="80"/>
              <w:jc w:val="center"/>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59%</w:t>
            </w:r>
          </w:p>
        </w:tc>
        <w:tc>
          <w:tcPr>
            <w:tcW w:w="1417" w:type="dxa"/>
            <w:noWrap/>
            <w:hideMark/>
          </w:tcPr>
          <w:p w:rsidR="0009290F" w:rsidRPr="00467C27" w:rsidRDefault="0009290F" w:rsidP="0009290F">
            <w:pPr>
              <w:pStyle w:val="Heading4"/>
              <w:spacing w:before="0" w:after="80"/>
              <w:jc w:val="center"/>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94%</w:t>
            </w:r>
          </w:p>
        </w:tc>
        <w:tc>
          <w:tcPr>
            <w:tcW w:w="1276" w:type="dxa"/>
            <w:shd w:val="clear" w:color="auto" w:fill="D9D9D9" w:themeFill="background1" w:themeFillShade="D9"/>
            <w:noWrap/>
            <w:hideMark/>
          </w:tcPr>
          <w:p w:rsidR="0009290F" w:rsidRPr="00467C27" w:rsidRDefault="0009290F" w:rsidP="0009290F">
            <w:pPr>
              <w:pStyle w:val="Heading4"/>
              <w:spacing w:before="0" w:after="80"/>
              <w:jc w:val="center"/>
              <w:outlineLvl w:val="3"/>
              <w:rPr>
                <w:rFonts w:asciiTheme="minorHAnsi" w:hAnsiTheme="minorHAnsi" w:cstheme="minorHAnsi"/>
                <w:b w:val="0"/>
                <w:color w:val="auto"/>
                <w:sz w:val="22"/>
              </w:rPr>
            </w:pPr>
          </w:p>
        </w:tc>
      </w:tr>
      <w:tr w:rsidR="0009290F" w:rsidRPr="00467C27" w:rsidTr="0009290F">
        <w:trPr>
          <w:trHeight w:val="276"/>
        </w:trPr>
        <w:tc>
          <w:tcPr>
            <w:tcW w:w="2749" w:type="dxa"/>
            <w:vMerge/>
            <w:hideMark/>
          </w:tcPr>
          <w:p w:rsidR="0009290F" w:rsidRPr="001651CF" w:rsidRDefault="0009290F" w:rsidP="0009290F">
            <w:pPr>
              <w:pStyle w:val="Heading4"/>
              <w:spacing w:before="0" w:after="80"/>
              <w:outlineLvl w:val="3"/>
              <w:rPr>
                <w:rFonts w:asciiTheme="minorHAnsi" w:hAnsiTheme="minorHAnsi" w:cstheme="minorHAnsi"/>
                <w:color w:val="auto"/>
                <w:sz w:val="20"/>
                <w:szCs w:val="20"/>
              </w:rPr>
            </w:pPr>
          </w:p>
        </w:tc>
        <w:tc>
          <w:tcPr>
            <w:tcW w:w="1612" w:type="dxa"/>
            <w:noWrap/>
            <w:hideMark/>
          </w:tcPr>
          <w:p w:rsidR="0009290F" w:rsidRPr="00467C27" w:rsidRDefault="0009290F" w:rsidP="0009290F">
            <w:pPr>
              <w:pStyle w:val="Heading4"/>
              <w:spacing w:before="0" w:after="80"/>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2019 n=392</w:t>
            </w:r>
          </w:p>
        </w:tc>
        <w:tc>
          <w:tcPr>
            <w:tcW w:w="1559" w:type="dxa"/>
            <w:noWrap/>
            <w:hideMark/>
          </w:tcPr>
          <w:p w:rsidR="0009290F" w:rsidRPr="00467C27" w:rsidRDefault="0009290F" w:rsidP="0009290F">
            <w:pPr>
              <w:pStyle w:val="Heading4"/>
              <w:spacing w:before="0" w:after="80"/>
              <w:jc w:val="center"/>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w:t>
            </w:r>
          </w:p>
        </w:tc>
        <w:tc>
          <w:tcPr>
            <w:tcW w:w="1617" w:type="dxa"/>
            <w:noWrap/>
            <w:hideMark/>
          </w:tcPr>
          <w:p w:rsidR="0009290F" w:rsidRPr="00467C27" w:rsidRDefault="0009290F" w:rsidP="0009290F">
            <w:pPr>
              <w:pStyle w:val="Heading4"/>
              <w:spacing w:before="0" w:after="80"/>
              <w:jc w:val="center"/>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1%</w:t>
            </w:r>
          </w:p>
        </w:tc>
        <w:tc>
          <w:tcPr>
            <w:tcW w:w="1820" w:type="dxa"/>
            <w:noWrap/>
            <w:hideMark/>
          </w:tcPr>
          <w:p w:rsidR="0009290F" w:rsidRPr="00467C27" w:rsidRDefault="0009290F" w:rsidP="0009290F">
            <w:pPr>
              <w:pStyle w:val="Heading4"/>
              <w:spacing w:before="0" w:after="80"/>
              <w:jc w:val="center"/>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4%</w:t>
            </w:r>
          </w:p>
        </w:tc>
        <w:tc>
          <w:tcPr>
            <w:tcW w:w="1275" w:type="dxa"/>
            <w:noWrap/>
            <w:hideMark/>
          </w:tcPr>
          <w:p w:rsidR="0009290F" w:rsidRPr="00467C27" w:rsidRDefault="0009290F" w:rsidP="0009290F">
            <w:pPr>
              <w:pStyle w:val="Heading4"/>
              <w:spacing w:before="0" w:after="80"/>
              <w:jc w:val="center"/>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36%</w:t>
            </w:r>
          </w:p>
        </w:tc>
        <w:tc>
          <w:tcPr>
            <w:tcW w:w="1418" w:type="dxa"/>
            <w:noWrap/>
            <w:hideMark/>
          </w:tcPr>
          <w:p w:rsidR="0009290F" w:rsidRPr="00467C27" w:rsidRDefault="0009290F" w:rsidP="0009290F">
            <w:pPr>
              <w:pStyle w:val="Heading4"/>
              <w:spacing w:before="0" w:after="80"/>
              <w:jc w:val="center"/>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59%</w:t>
            </w:r>
          </w:p>
        </w:tc>
        <w:tc>
          <w:tcPr>
            <w:tcW w:w="1417" w:type="dxa"/>
            <w:noWrap/>
            <w:hideMark/>
          </w:tcPr>
          <w:p w:rsidR="0009290F" w:rsidRPr="00467C27" w:rsidRDefault="0009290F" w:rsidP="0009290F">
            <w:pPr>
              <w:pStyle w:val="Heading4"/>
              <w:spacing w:before="0" w:after="80"/>
              <w:jc w:val="center"/>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95%</w:t>
            </w:r>
          </w:p>
        </w:tc>
        <w:tc>
          <w:tcPr>
            <w:tcW w:w="1276" w:type="dxa"/>
            <w:shd w:val="clear" w:color="auto" w:fill="D9D9D9" w:themeFill="background1" w:themeFillShade="D9"/>
            <w:noWrap/>
            <w:hideMark/>
          </w:tcPr>
          <w:p w:rsidR="0009290F" w:rsidRPr="00467C27" w:rsidRDefault="0009290F" w:rsidP="0009290F">
            <w:pPr>
              <w:pStyle w:val="Heading4"/>
              <w:spacing w:before="0" w:after="80"/>
              <w:jc w:val="center"/>
              <w:outlineLvl w:val="3"/>
              <w:rPr>
                <w:rFonts w:asciiTheme="minorHAnsi" w:hAnsiTheme="minorHAnsi" w:cstheme="minorHAnsi"/>
                <w:b w:val="0"/>
                <w:color w:val="auto"/>
                <w:sz w:val="22"/>
              </w:rPr>
            </w:pPr>
          </w:p>
        </w:tc>
      </w:tr>
      <w:tr w:rsidR="0009290F" w:rsidRPr="00467C27" w:rsidTr="0009290F">
        <w:trPr>
          <w:trHeight w:val="276"/>
        </w:trPr>
        <w:tc>
          <w:tcPr>
            <w:tcW w:w="2749" w:type="dxa"/>
            <w:vMerge w:val="restart"/>
            <w:hideMark/>
          </w:tcPr>
          <w:p w:rsidR="0009290F" w:rsidRPr="001651CF" w:rsidRDefault="0009290F" w:rsidP="0009290F">
            <w:pPr>
              <w:pStyle w:val="Heading4"/>
              <w:spacing w:before="0" w:after="80"/>
              <w:outlineLvl w:val="3"/>
              <w:rPr>
                <w:rFonts w:asciiTheme="minorHAnsi" w:hAnsiTheme="minorHAnsi" w:cstheme="minorHAnsi"/>
                <w:color w:val="auto"/>
                <w:sz w:val="20"/>
                <w:szCs w:val="20"/>
              </w:rPr>
            </w:pPr>
            <w:r w:rsidRPr="001651CF">
              <w:rPr>
                <w:rFonts w:asciiTheme="minorHAnsi" w:hAnsiTheme="minorHAnsi" w:cstheme="minorHAnsi"/>
                <w:color w:val="auto"/>
                <w:sz w:val="20"/>
                <w:szCs w:val="20"/>
              </w:rPr>
              <w:t>Wellington City Council parks</w:t>
            </w:r>
          </w:p>
        </w:tc>
        <w:tc>
          <w:tcPr>
            <w:tcW w:w="1612" w:type="dxa"/>
            <w:noWrap/>
            <w:hideMark/>
          </w:tcPr>
          <w:p w:rsidR="0009290F" w:rsidRPr="00467C27" w:rsidRDefault="0009290F" w:rsidP="0009290F">
            <w:pPr>
              <w:pStyle w:val="Heading4"/>
              <w:spacing w:before="0" w:after="80"/>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2015 n=639</w:t>
            </w:r>
          </w:p>
        </w:tc>
        <w:tc>
          <w:tcPr>
            <w:tcW w:w="1559" w:type="dxa"/>
            <w:noWrap/>
            <w:hideMark/>
          </w:tcPr>
          <w:p w:rsidR="0009290F" w:rsidRPr="00467C27" w:rsidRDefault="0009290F" w:rsidP="0009290F">
            <w:pPr>
              <w:pStyle w:val="Heading4"/>
              <w:spacing w:before="0" w:after="80"/>
              <w:jc w:val="center"/>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1%</w:t>
            </w:r>
          </w:p>
        </w:tc>
        <w:tc>
          <w:tcPr>
            <w:tcW w:w="1617" w:type="dxa"/>
            <w:noWrap/>
            <w:hideMark/>
          </w:tcPr>
          <w:p w:rsidR="0009290F" w:rsidRPr="00467C27" w:rsidRDefault="0009290F" w:rsidP="0009290F">
            <w:pPr>
              <w:pStyle w:val="Heading4"/>
              <w:spacing w:before="0" w:after="80"/>
              <w:jc w:val="center"/>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2%</w:t>
            </w:r>
          </w:p>
        </w:tc>
        <w:tc>
          <w:tcPr>
            <w:tcW w:w="1820" w:type="dxa"/>
            <w:noWrap/>
            <w:hideMark/>
          </w:tcPr>
          <w:p w:rsidR="0009290F" w:rsidRPr="00467C27" w:rsidRDefault="0009290F" w:rsidP="0009290F">
            <w:pPr>
              <w:pStyle w:val="Heading4"/>
              <w:spacing w:before="0" w:after="80"/>
              <w:jc w:val="center"/>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11%</w:t>
            </w:r>
          </w:p>
        </w:tc>
        <w:tc>
          <w:tcPr>
            <w:tcW w:w="1275" w:type="dxa"/>
            <w:noWrap/>
            <w:hideMark/>
          </w:tcPr>
          <w:p w:rsidR="0009290F" w:rsidRPr="00467C27" w:rsidRDefault="0009290F" w:rsidP="0009290F">
            <w:pPr>
              <w:pStyle w:val="Heading4"/>
              <w:spacing w:before="0" w:after="80"/>
              <w:jc w:val="center"/>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55%</w:t>
            </w:r>
          </w:p>
        </w:tc>
        <w:tc>
          <w:tcPr>
            <w:tcW w:w="1418" w:type="dxa"/>
            <w:noWrap/>
            <w:hideMark/>
          </w:tcPr>
          <w:p w:rsidR="0009290F" w:rsidRPr="00467C27" w:rsidRDefault="0009290F" w:rsidP="0009290F">
            <w:pPr>
              <w:pStyle w:val="Heading4"/>
              <w:spacing w:before="0" w:after="80"/>
              <w:jc w:val="center"/>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32%</w:t>
            </w:r>
          </w:p>
        </w:tc>
        <w:tc>
          <w:tcPr>
            <w:tcW w:w="1417" w:type="dxa"/>
            <w:noWrap/>
            <w:hideMark/>
          </w:tcPr>
          <w:p w:rsidR="0009290F" w:rsidRPr="00467C27" w:rsidRDefault="0009290F" w:rsidP="0009290F">
            <w:pPr>
              <w:pStyle w:val="Heading4"/>
              <w:spacing w:before="0" w:after="80"/>
              <w:jc w:val="center"/>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87%</w:t>
            </w:r>
          </w:p>
        </w:tc>
        <w:tc>
          <w:tcPr>
            <w:tcW w:w="1276" w:type="dxa"/>
            <w:shd w:val="clear" w:color="auto" w:fill="D9D9D9" w:themeFill="background1" w:themeFillShade="D9"/>
            <w:noWrap/>
            <w:hideMark/>
          </w:tcPr>
          <w:p w:rsidR="0009290F" w:rsidRPr="00467C27" w:rsidRDefault="0009290F" w:rsidP="0009290F">
            <w:pPr>
              <w:pStyle w:val="Heading4"/>
              <w:spacing w:before="0" w:after="80"/>
              <w:jc w:val="center"/>
              <w:outlineLvl w:val="3"/>
              <w:rPr>
                <w:rFonts w:asciiTheme="minorHAnsi" w:hAnsiTheme="minorHAnsi" w:cstheme="minorHAnsi"/>
                <w:b w:val="0"/>
                <w:color w:val="auto"/>
                <w:sz w:val="22"/>
              </w:rPr>
            </w:pPr>
          </w:p>
        </w:tc>
      </w:tr>
      <w:tr w:rsidR="0009290F" w:rsidRPr="00467C27" w:rsidTr="0009290F">
        <w:trPr>
          <w:trHeight w:val="276"/>
        </w:trPr>
        <w:tc>
          <w:tcPr>
            <w:tcW w:w="2749" w:type="dxa"/>
            <w:vMerge/>
            <w:hideMark/>
          </w:tcPr>
          <w:p w:rsidR="0009290F" w:rsidRPr="001651CF" w:rsidRDefault="0009290F" w:rsidP="0009290F">
            <w:pPr>
              <w:pStyle w:val="Heading4"/>
              <w:spacing w:before="0" w:after="80"/>
              <w:outlineLvl w:val="3"/>
              <w:rPr>
                <w:rFonts w:asciiTheme="minorHAnsi" w:hAnsiTheme="minorHAnsi" w:cstheme="minorHAnsi"/>
                <w:color w:val="auto"/>
                <w:sz w:val="20"/>
                <w:szCs w:val="20"/>
              </w:rPr>
            </w:pPr>
          </w:p>
        </w:tc>
        <w:tc>
          <w:tcPr>
            <w:tcW w:w="1612" w:type="dxa"/>
            <w:noWrap/>
            <w:hideMark/>
          </w:tcPr>
          <w:p w:rsidR="0009290F" w:rsidRPr="00467C27" w:rsidRDefault="0009290F" w:rsidP="0009290F">
            <w:pPr>
              <w:pStyle w:val="Heading4"/>
              <w:spacing w:before="0" w:after="80"/>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2016 n=622</w:t>
            </w:r>
          </w:p>
        </w:tc>
        <w:tc>
          <w:tcPr>
            <w:tcW w:w="1559" w:type="dxa"/>
            <w:noWrap/>
            <w:hideMark/>
          </w:tcPr>
          <w:p w:rsidR="0009290F" w:rsidRPr="00467C27" w:rsidRDefault="0009290F" w:rsidP="0009290F">
            <w:pPr>
              <w:pStyle w:val="Heading4"/>
              <w:spacing w:before="0" w:after="80"/>
              <w:jc w:val="center"/>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0%</w:t>
            </w:r>
          </w:p>
        </w:tc>
        <w:tc>
          <w:tcPr>
            <w:tcW w:w="1617" w:type="dxa"/>
            <w:noWrap/>
            <w:hideMark/>
          </w:tcPr>
          <w:p w:rsidR="0009290F" w:rsidRPr="00467C27" w:rsidRDefault="0009290F" w:rsidP="0009290F">
            <w:pPr>
              <w:pStyle w:val="Heading4"/>
              <w:spacing w:before="0" w:after="80"/>
              <w:jc w:val="center"/>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2%</w:t>
            </w:r>
          </w:p>
        </w:tc>
        <w:tc>
          <w:tcPr>
            <w:tcW w:w="1820" w:type="dxa"/>
            <w:noWrap/>
            <w:hideMark/>
          </w:tcPr>
          <w:p w:rsidR="0009290F" w:rsidRPr="00467C27" w:rsidRDefault="0009290F" w:rsidP="0009290F">
            <w:pPr>
              <w:pStyle w:val="Heading4"/>
              <w:spacing w:before="0" w:after="80"/>
              <w:jc w:val="center"/>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11%</w:t>
            </w:r>
          </w:p>
        </w:tc>
        <w:tc>
          <w:tcPr>
            <w:tcW w:w="1275" w:type="dxa"/>
            <w:noWrap/>
            <w:hideMark/>
          </w:tcPr>
          <w:p w:rsidR="0009290F" w:rsidRPr="00467C27" w:rsidRDefault="0009290F" w:rsidP="0009290F">
            <w:pPr>
              <w:pStyle w:val="Heading4"/>
              <w:spacing w:before="0" w:after="80"/>
              <w:jc w:val="center"/>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57%</w:t>
            </w:r>
          </w:p>
        </w:tc>
        <w:tc>
          <w:tcPr>
            <w:tcW w:w="1418" w:type="dxa"/>
            <w:noWrap/>
            <w:hideMark/>
          </w:tcPr>
          <w:p w:rsidR="0009290F" w:rsidRPr="00467C27" w:rsidRDefault="0009290F" w:rsidP="0009290F">
            <w:pPr>
              <w:pStyle w:val="Heading4"/>
              <w:spacing w:before="0" w:after="80"/>
              <w:jc w:val="center"/>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30%</w:t>
            </w:r>
          </w:p>
        </w:tc>
        <w:tc>
          <w:tcPr>
            <w:tcW w:w="1417" w:type="dxa"/>
            <w:noWrap/>
            <w:hideMark/>
          </w:tcPr>
          <w:p w:rsidR="0009290F" w:rsidRPr="00467C27" w:rsidRDefault="0009290F" w:rsidP="0009290F">
            <w:pPr>
              <w:pStyle w:val="Heading4"/>
              <w:spacing w:before="0" w:after="80"/>
              <w:jc w:val="center"/>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87%</w:t>
            </w:r>
          </w:p>
        </w:tc>
        <w:tc>
          <w:tcPr>
            <w:tcW w:w="1276" w:type="dxa"/>
            <w:shd w:val="clear" w:color="auto" w:fill="D9D9D9" w:themeFill="background1" w:themeFillShade="D9"/>
            <w:noWrap/>
            <w:hideMark/>
          </w:tcPr>
          <w:p w:rsidR="0009290F" w:rsidRPr="00467C27" w:rsidRDefault="0009290F" w:rsidP="0009290F">
            <w:pPr>
              <w:pStyle w:val="Heading4"/>
              <w:spacing w:before="0" w:after="80"/>
              <w:jc w:val="center"/>
              <w:outlineLvl w:val="3"/>
              <w:rPr>
                <w:rFonts w:asciiTheme="minorHAnsi" w:hAnsiTheme="minorHAnsi" w:cstheme="minorHAnsi"/>
                <w:b w:val="0"/>
                <w:color w:val="auto"/>
                <w:sz w:val="22"/>
              </w:rPr>
            </w:pPr>
          </w:p>
        </w:tc>
      </w:tr>
      <w:tr w:rsidR="0009290F" w:rsidRPr="00467C27" w:rsidTr="0009290F">
        <w:trPr>
          <w:trHeight w:val="276"/>
        </w:trPr>
        <w:tc>
          <w:tcPr>
            <w:tcW w:w="2749" w:type="dxa"/>
            <w:vMerge/>
            <w:hideMark/>
          </w:tcPr>
          <w:p w:rsidR="0009290F" w:rsidRPr="001651CF" w:rsidRDefault="0009290F" w:rsidP="0009290F">
            <w:pPr>
              <w:pStyle w:val="Heading4"/>
              <w:spacing w:before="0" w:after="80"/>
              <w:outlineLvl w:val="3"/>
              <w:rPr>
                <w:rFonts w:asciiTheme="minorHAnsi" w:hAnsiTheme="minorHAnsi" w:cstheme="minorHAnsi"/>
                <w:color w:val="auto"/>
                <w:sz w:val="20"/>
                <w:szCs w:val="20"/>
              </w:rPr>
            </w:pPr>
          </w:p>
        </w:tc>
        <w:tc>
          <w:tcPr>
            <w:tcW w:w="1612" w:type="dxa"/>
            <w:noWrap/>
            <w:hideMark/>
          </w:tcPr>
          <w:p w:rsidR="0009290F" w:rsidRPr="00467C27" w:rsidRDefault="0009290F" w:rsidP="0009290F">
            <w:pPr>
              <w:pStyle w:val="Heading4"/>
              <w:spacing w:before="0" w:after="80"/>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2017 n=622</w:t>
            </w:r>
          </w:p>
        </w:tc>
        <w:tc>
          <w:tcPr>
            <w:tcW w:w="1559" w:type="dxa"/>
            <w:noWrap/>
            <w:hideMark/>
          </w:tcPr>
          <w:p w:rsidR="0009290F" w:rsidRPr="00467C27" w:rsidRDefault="0009290F" w:rsidP="0009290F">
            <w:pPr>
              <w:pStyle w:val="Heading4"/>
              <w:spacing w:before="0" w:after="80"/>
              <w:jc w:val="center"/>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1%</w:t>
            </w:r>
          </w:p>
        </w:tc>
        <w:tc>
          <w:tcPr>
            <w:tcW w:w="1617" w:type="dxa"/>
            <w:noWrap/>
            <w:hideMark/>
          </w:tcPr>
          <w:p w:rsidR="0009290F" w:rsidRPr="00467C27" w:rsidRDefault="0009290F" w:rsidP="0009290F">
            <w:pPr>
              <w:pStyle w:val="Heading4"/>
              <w:spacing w:before="0" w:after="80"/>
              <w:jc w:val="center"/>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2%</w:t>
            </w:r>
          </w:p>
        </w:tc>
        <w:tc>
          <w:tcPr>
            <w:tcW w:w="1820" w:type="dxa"/>
            <w:noWrap/>
            <w:hideMark/>
          </w:tcPr>
          <w:p w:rsidR="0009290F" w:rsidRPr="00467C27" w:rsidRDefault="0009290F" w:rsidP="0009290F">
            <w:pPr>
              <w:pStyle w:val="Heading4"/>
              <w:spacing w:before="0" w:after="80"/>
              <w:jc w:val="center"/>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9%</w:t>
            </w:r>
          </w:p>
        </w:tc>
        <w:tc>
          <w:tcPr>
            <w:tcW w:w="1275" w:type="dxa"/>
            <w:noWrap/>
            <w:hideMark/>
          </w:tcPr>
          <w:p w:rsidR="0009290F" w:rsidRPr="00467C27" w:rsidRDefault="0009290F" w:rsidP="0009290F">
            <w:pPr>
              <w:pStyle w:val="Heading4"/>
              <w:spacing w:before="0" w:after="80"/>
              <w:jc w:val="center"/>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56%</w:t>
            </w:r>
          </w:p>
        </w:tc>
        <w:tc>
          <w:tcPr>
            <w:tcW w:w="1418" w:type="dxa"/>
            <w:noWrap/>
            <w:hideMark/>
          </w:tcPr>
          <w:p w:rsidR="0009290F" w:rsidRPr="00467C27" w:rsidRDefault="0009290F" w:rsidP="0009290F">
            <w:pPr>
              <w:pStyle w:val="Heading4"/>
              <w:spacing w:before="0" w:after="80"/>
              <w:jc w:val="center"/>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33%</w:t>
            </w:r>
          </w:p>
        </w:tc>
        <w:tc>
          <w:tcPr>
            <w:tcW w:w="1417" w:type="dxa"/>
            <w:noWrap/>
            <w:hideMark/>
          </w:tcPr>
          <w:p w:rsidR="0009290F" w:rsidRPr="00467C27" w:rsidRDefault="0009290F" w:rsidP="0009290F">
            <w:pPr>
              <w:pStyle w:val="Heading4"/>
              <w:spacing w:before="0" w:after="80"/>
              <w:jc w:val="center"/>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89%</w:t>
            </w:r>
          </w:p>
        </w:tc>
        <w:tc>
          <w:tcPr>
            <w:tcW w:w="1276" w:type="dxa"/>
            <w:shd w:val="clear" w:color="auto" w:fill="D9D9D9" w:themeFill="background1" w:themeFillShade="D9"/>
            <w:noWrap/>
            <w:hideMark/>
          </w:tcPr>
          <w:p w:rsidR="0009290F" w:rsidRPr="00467C27" w:rsidRDefault="0009290F" w:rsidP="0009290F">
            <w:pPr>
              <w:pStyle w:val="Heading4"/>
              <w:spacing w:before="0" w:after="80"/>
              <w:jc w:val="center"/>
              <w:outlineLvl w:val="3"/>
              <w:rPr>
                <w:rFonts w:asciiTheme="minorHAnsi" w:hAnsiTheme="minorHAnsi" w:cstheme="minorHAnsi"/>
                <w:b w:val="0"/>
                <w:color w:val="auto"/>
                <w:sz w:val="22"/>
              </w:rPr>
            </w:pPr>
          </w:p>
        </w:tc>
      </w:tr>
      <w:tr w:rsidR="0009290F" w:rsidRPr="00467C27" w:rsidTr="0009290F">
        <w:trPr>
          <w:trHeight w:val="276"/>
        </w:trPr>
        <w:tc>
          <w:tcPr>
            <w:tcW w:w="2749" w:type="dxa"/>
            <w:vMerge/>
            <w:hideMark/>
          </w:tcPr>
          <w:p w:rsidR="0009290F" w:rsidRPr="001651CF" w:rsidRDefault="0009290F" w:rsidP="0009290F">
            <w:pPr>
              <w:pStyle w:val="Heading4"/>
              <w:spacing w:before="0" w:after="80"/>
              <w:outlineLvl w:val="3"/>
              <w:rPr>
                <w:rFonts w:asciiTheme="minorHAnsi" w:hAnsiTheme="minorHAnsi" w:cstheme="minorHAnsi"/>
                <w:color w:val="auto"/>
                <w:sz w:val="20"/>
                <w:szCs w:val="20"/>
              </w:rPr>
            </w:pPr>
          </w:p>
        </w:tc>
        <w:tc>
          <w:tcPr>
            <w:tcW w:w="1612" w:type="dxa"/>
            <w:noWrap/>
            <w:hideMark/>
          </w:tcPr>
          <w:p w:rsidR="0009290F" w:rsidRPr="00467C27" w:rsidRDefault="0009290F" w:rsidP="0009290F">
            <w:pPr>
              <w:pStyle w:val="Heading4"/>
              <w:spacing w:before="0" w:after="80"/>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2018 n=897</w:t>
            </w:r>
          </w:p>
        </w:tc>
        <w:tc>
          <w:tcPr>
            <w:tcW w:w="1559" w:type="dxa"/>
            <w:noWrap/>
            <w:hideMark/>
          </w:tcPr>
          <w:p w:rsidR="0009290F" w:rsidRPr="00467C27" w:rsidRDefault="0009290F" w:rsidP="0009290F">
            <w:pPr>
              <w:pStyle w:val="Heading4"/>
              <w:spacing w:before="0" w:after="80"/>
              <w:jc w:val="center"/>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w:t>
            </w:r>
          </w:p>
        </w:tc>
        <w:tc>
          <w:tcPr>
            <w:tcW w:w="1617" w:type="dxa"/>
            <w:noWrap/>
            <w:hideMark/>
          </w:tcPr>
          <w:p w:rsidR="0009290F" w:rsidRPr="00467C27" w:rsidRDefault="0009290F" w:rsidP="0009290F">
            <w:pPr>
              <w:pStyle w:val="Heading4"/>
              <w:spacing w:before="0" w:after="80"/>
              <w:jc w:val="center"/>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4%</w:t>
            </w:r>
          </w:p>
        </w:tc>
        <w:tc>
          <w:tcPr>
            <w:tcW w:w="1820" w:type="dxa"/>
            <w:noWrap/>
            <w:hideMark/>
          </w:tcPr>
          <w:p w:rsidR="0009290F" w:rsidRPr="00467C27" w:rsidRDefault="0009290F" w:rsidP="0009290F">
            <w:pPr>
              <w:pStyle w:val="Heading4"/>
              <w:spacing w:before="0" w:after="80"/>
              <w:jc w:val="center"/>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11%</w:t>
            </w:r>
          </w:p>
        </w:tc>
        <w:tc>
          <w:tcPr>
            <w:tcW w:w="1275" w:type="dxa"/>
            <w:noWrap/>
            <w:hideMark/>
          </w:tcPr>
          <w:p w:rsidR="0009290F" w:rsidRPr="00467C27" w:rsidRDefault="0009290F" w:rsidP="0009290F">
            <w:pPr>
              <w:pStyle w:val="Heading4"/>
              <w:spacing w:before="0" w:after="80"/>
              <w:jc w:val="center"/>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54%</w:t>
            </w:r>
          </w:p>
        </w:tc>
        <w:tc>
          <w:tcPr>
            <w:tcW w:w="1418" w:type="dxa"/>
            <w:noWrap/>
            <w:hideMark/>
          </w:tcPr>
          <w:p w:rsidR="0009290F" w:rsidRPr="00467C27" w:rsidRDefault="0009290F" w:rsidP="0009290F">
            <w:pPr>
              <w:pStyle w:val="Heading4"/>
              <w:spacing w:before="0" w:after="80"/>
              <w:jc w:val="center"/>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32%</w:t>
            </w:r>
          </w:p>
        </w:tc>
        <w:tc>
          <w:tcPr>
            <w:tcW w:w="1417" w:type="dxa"/>
            <w:noWrap/>
            <w:hideMark/>
          </w:tcPr>
          <w:p w:rsidR="0009290F" w:rsidRPr="00467C27" w:rsidRDefault="0009290F" w:rsidP="0009290F">
            <w:pPr>
              <w:pStyle w:val="Heading4"/>
              <w:spacing w:before="0" w:after="80"/>
              <w:jc w:val="center"/>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86%</w:t>
            </w:r>
          </w:p>
        </w:tc>
        <w:tc>
          <w:tcPr>
            <w:tcW w:w="1276" w:type="dxa"/>
            <w:shd w:val="clear" w:color="auto" w:fill="D9D9D9" w:themeFill="background1" w:themeFillShade="D9"/>
            <w:noWrap/>
            <w:hideMark/>
          </w:tcPr>
          <w:p w:rsidR="0009290F" w:rsidRPr="00467C27" w:rsidRDefault="0009290F" w:rsidP="0009290F">
            <w:pPr>
              <w:pStyle w:val="Heading4"/>
              <w:spacing w:before="0" w:after="80"/>
              <w:jc w:val="center"/>
              <w:outlineLvl w:val="3"/>
              <w:rPr>
                <w:rFonts w:asciiTheme="minorHAnsi" w:hAnsiTheme="minorHAnsi" w:cstheme="minorHAnsi"/>
                <w:b w:val="0"/>
                <w:color w:val="auto"/>
                <w:sz w:val="22"/>
              </w:rPr>
            </w:pPr>
          </w:p>
        </w:tc>
      </w:tr>
      <w:tr w:rsidR="0009290F" w:rsidRPr="00467C27" w:rsidTr="0009290F">
        <w:trPr>
          <w:trHeight w:val="276"/>
        </w:trPr>
        <w:tc>
          <w:tcPr>
            <w:tcW w:w="2749" w:type="dxa"/>
            <w:vMerge/>
            <w:hideMark/>
          </w:tcPr>
          <w:p w:rsidR="0009290F" w:rsidRPr="001651CF" w:rsidRDefault="0009290F" w:rsidP="0009290F">
            <w:pPr>
              <w:pStyle w:val="Heading4"/>
              <w:spacing w:before="0" w:after="80"/>
              <w:outlineLvl w:val="3"/>
              <w:rPr>
                <w:rFonts w:asciiTheme="minorHAnsi" w:hAnsiTheme="minorHAnsi" w:cstheme="minorHAnsi"/>
                <w:color w:val="auto"/>
                <w:sz w:val="20"/>
                <w:szCs w:val="20"/>
              </w:rPr>
            </w:pPr>
          </w:p>
        </w:tc>
        <w:tc>
          <w:tcPr>
            <w:tcW w:w="1612" w:type="dxa"/>
            <w:noWrap/>
            <w:hideMark/>
          </w:tcPr>
          <w:p w:rsidR="0009290F" w:rsidRPr="00467C27" w:rsidRDefault="0009290F" w:rsidP="0009290F">
            <w:pPr>
              <w:pStyle w:val="Heading4"/>
              <w:spacing w:before="0" w:after="80"/>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2019 n=438</w:t>
            </w:r>
          </w:p>
        </w:tc>
        <w:tc>
          <w:tcPr>
            <w:tcW w:w="1559" w:type="dxa"/>
            <w:noWrap/>
            <w:hideMark/>
          </w:tcPr>
          <w:p w:rsidR="0009290F" w:rsidRPr="00467C27" w:rsidRDefault="0009290F" w:rsidP="0009290F">
            <w:pPr>
              <w:pStyle w:val="Heading4"/>
              <w:spacing w:before="0" w:after="80"/>
              <w:jc w:val="center"/>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0.10%</w:t>
            </w:r>
          </w:p>
        </w:tc>
        <w:tc>
          <w:tcPr>
            <w:tcW w:w="1617" w:type="dxa"/>
            <w:noWrap/>
            <w:hideMark/>
          </w:tcPr>
          <w:p w:rsidR="0009290F" w:rsidRPr="00467C27" w:rsidRDefault="0009290F" w:rsidP="0009290F">
            <w:pPr>
              <w:pStyle w:val="Heading4"/>
              <w:spacing w:before="0" w:after="80"/>
              <w:jc w:val="center"/>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4%</w:t>
            </w:r>
          </w:p>
        </w:tc>
        <w:tc>
          <w:tcPr>
            <w:tcW w:w="1820" w:type="dxa"/>
            <w:noWrap/>
            <w:hideMark/>
          </w:tcPr>
          <w:p w:rsidR="0009290F" w:rsidRPr="00467C27" w:rsidRDefault="0009290F" w:rsidP="0009290F">
            <w:pPr>
              <w:pStyle w:val="Heading4"/>
              <w:spacing w:before="0" w:after="80"/>
              <w:jc w:val="center"/>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12%</w:t>
            </w:r>
          </w:p>
        </w:tc>
        <w:tc>
          <w:tcPr>
            <w:tcW w:w="1275" w:type="dxa"/>
            <w:noWrap/>
            <w:hideMark/>
          </w:tcPr>
          <w:p w:rsidR="0009290F" w:rsidRPr="00467C27" w:rsidRDefault="0009290F" w:rsidP="0009290F">
            <w:pPr>
              <w:pStyle w:val="Heading4"/>
              <w:spacing w:before="0" w:after="80"/>
              <w:jc w:val="center"/>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56%</w:t>
            </w:r>
          </w:p>
        </w:tc>
        <w:tc>
          <w:tcPr>
            <w:tcW w:w="1418" w:type="dxa"/>
            <w:noWrap/>
            <w:hideMark/>
          </w:tcPr>
          <w:p w:rsidR="0009290F" w:rsidRPr="00467C27" w:rsidRDefault="0009290F" w:rsidP="0009290F">
            <w:pPr>
              <w:pStyle w:val="Heading4"/>
              <w:spacing w:before="0" w:after="80"/>
              <w:jc w:val="center"/>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28%</w:t>
            </w:r>
          </w:p>
        </w:tc>
        <w:tc>
          <w:tcPr>
            <w:tcW w:w="1417" w:type="dxa"/>
            <w:noWrap/>
            <w:hideMark/>
          </w:tcPr>
          <w:p w:rsidR="0009290F" w:rsidRPr="00467C27" w:rsidRDefault="0009290F" w:rsidP="0009290F">
            <w:pPr>
              <w:pStyle w:val="Heading4"/>
              <w:spacing w:before="0" w:after="80"/>
              <w:jc w:val="center"/>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84%</w:t>
            </w:r>
          </w:p>
        </w:tc>
        <w:tc>
          <w:tcPr>
            <w:tcW w:w="1276" w:type="dxa"/>
            <w:shd w:val="clear" w:color="auto" w:fill="D9D9D9" w:themeFill="background1" w:themeFillShade="D9"/>
            <w:noWrap/>
            <w:hideMark/>
          </w:tcPr>
          <w:p w:rsidR="0009290F" w:rsidRPr="00467C27" w:rsidRDefault="0009290F" w:rsidP="0009290F">
            <w:pPr>
              <w:pStyle w:val="Heading4"/>
              <w:spacing w:before="0" w:after="80"/>
              <w:jc w:val="center"/>
              <w:outlineLvl w:val="3"/>
              <w:rPr>
                <w:rFonts w:asciiTheme="minorHAnsi" w:hAnsiTheme="minorHAnsi" w:cstheme="minorHAnsi"/>
                <w:b w:val="0"/>
                <w:color w:val="auto"/>
                <w:sz w:val="22"/>
              </w:rPr>
            </w:pPr>
          </w:p>
        </w:tc>
      </w:tr>
      <w:tr w:rsidR="0009290F" w:rsidRPr="00467C27" w:rsidTr="0009290F">
        <w:trPr>
          <w:trHeight w:val="276"/>
        </w:trPr>
        <w:tc>
          <w:tcPr>
            <w:tcW w:w="2749" w:type="dxa"/>
            <w:vMerge w:val="restart"/>
            <w:hideMark/>
          </w:tcPr>
          <w:p w:rsidR="0009290F" w:rsidRPr="001651CF" w:rsidRDefault="0009290F" w:rsidP="0009290F">
            <w:pPr>
              <w:pStyle w:val="Heading4"/>
              <w:spacing w:before="0" w:after="80"/>
              <w:outlineLvl w:val="3"/>
              <w:rPr>
                <w:rFonts w:asciiTheme="minorHAnsi" w:hAnsiTheme="minorHAnsi" w:cstheme="minorHAnsi"/>
                <w:color w:val="auto"/>
                <w:sz w:val="20"/>
                <w:szCs w:val="20"/>
              </w:rPr>
            </w:pPr>
            <w:r w:rsidRPr="001651CF">
              <w:rPr>
                <w:rFonts w:asciiTheme="minorHAnsi" w:hAnsiTheme="minorHAnsi" w:cstheme="minorHAnsi"/>
                <w:color w:val="auto"/>
                <w:sz w:val="20"/>
                <w:szCs w:val="20"/>
              </w:rPr>
              <w:t>Town Belt or Outer Green Belt</w:t>
            </w:r>
          </w:p>
        </w:tc>
        <w:tc>
          <w:tcPr>
            <w:tcW w:w="1612" w:type="dxa"/>
            <w:noWrap/>
            <w:hideMark/>
          </w:tcPr>
          <w:p w:rsidR="0009290F" w:rsidRPr="00467C27" w:rsidRDefault="0009290F" w:rsidP="0009290F">
            <w:pPr>
              <w:pStyle w:val="Heading4"/>
              <w:spacing w:before="0" w:after="80"/>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2015 n=484</w:t>
            </w:r>
          </w:p>
        </w:tc>
        <w:tc>
          <w:tcPr>
            <w:tcW w:w="1559" w:type="dxa"/>
            <w:noWrap/>
            <w:hideMark/>
          </w:tcPr>
          <w:p w:rsidR="0009290F" w:rsidRPr="00467C27" w:rsidRDefault="0009290F" w:rsidP="0009290F">
            <w:pPr>
              <w:pStyle w:val="Heading4"/>
              <w:spacing w:before="0" w:after="80"/>
              <w:jc w:val="center"/>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w:t>
            </w:r>
          </w:p>
        </w:tc>
        <w:tc>
          <w:tcPr>
            <w:tcW w:w="1617" w:type="dxa"/>
            <w:noWrap/>
            <w:hideMark/>
          </w:tcPr>
          <w:p w:rsidR="0009290F" w:rsidRPr="00467C27" w:rsidRDefault="0009290F" w:rsidP="0009290F">
            <w:pPr>
              <w:pStyle w:val="Heading4"/>
              <w:spacing w:before="0" w:after="80"/>
              <w:jc w:val="center"/>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3%</w:t>
            </w:r>
          </w:p>
        </w:tc>
        <w:tc>
          <w:tcPr>
            <w:tcW w:w="1820" w:type="dxa"/>
            <w:noWrap/>
            <w:hideMark/>
          </w:tcPr>
          <w:p w:rsidR="0009290F" w:rsidRPr="00467C27" w:rsidRDefault="0009290F" w:rsidP="0009290F">
            <w:pPr>
              <w:pStyle w:val="Heading4"/>
              <w:spacing w:before="0" w:after="80"/>
              <w:jc w:val="center"/>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20%</w:t>
            </w:r>
          </w:p>
        </w:tc>
        <w:tc>
          <w:tcPr>
            <w:tcW w:w="1275" w:type="dxa"/>
            <w:noWrap/>
            <w:hideMark/>
          </w:tcPr>
          <w:p w:rsidR="0009290F" w:rsidRPr="00467C27" w:rsidRDefault="0009290F" w:rsidP="0009290F">
            <w:pPr>
              <w:pStyle w:val="Heading4"/>
              <w:spacing w:before="0" w:after="80"/>
              <w:jc w:val="center"/>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56%</w:t>
            </w:r>
          </w:p>
        </w:tc>
        <w:tc>
          <w:tcPr>
            <w:tcW w:w="1418" w:type="dxa"/>
            <w:noWrap/>
            <w:hideMark/>
          </w:tcPr>
          <w:p w:rsidR="0009290F" w:rsidRPr="00467C27" w:rsidRDefault="0009290F" w:rsidP="0009290F">
            <w:pPr>
              <w:pStyle w:val="Heading4"/>
              <w:spacing w:before="0" w:after="80"/>
              <w:jc w:val="center"/>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21%</w:t>
            </w:r>
          </w:p>
        </w:tc>
        <w:tc>
          <w:tcPr>
            <w:tcW w:w="1417" w:type="dxa"/>
            <w:noWrap/>
            <w:hideMark/>
          </w:tcPr>
          <w:p w:rsidR="0009290F" w:rsidRPr="00467C27" w:rsidRDefault="0009290F" w:rsidP="0009290F">
            <w:pPr>
              <w:pStyle w:val="Heading4"/>
              <w:spacing w:before="0" w:after="80"/>
              <w:jc w:val="center"/>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77%</w:t>
            </w:r>
          </w:p>
        </w:tc>
        <w:tc>
          <w:tcPr>
            <w:tcW w:w="1276" w:type="dxa"/>
            <w:shd w:val="clear" w:color="auto" w:fill="D9D9D9" w:themeFill="background1" w:themeFillShade="D9"/>
            <w:noWrap/>
            <w:hideMark/>
          </w:tcPr>
          <w:p w:rsidR="0009290F" w:rsidRPr="00467C27" w:rsidRDefault="0009290F" w:rsidP="0009290F">
            <w:pPr>
              <w:pStyle w:val="Heading4"/>
              <w:spacing w:before="0" w:after="80"/>
              <w:jc w:val="center"/>
              <w:outlineLvl w:val="3"/>
              <w:rPr>
                <w:rFonts w:asciiTheme="minorHAnsi" w:hAnsiTheme="minorHAnsi" w:cstheme="minorHAnsi"/>
                <w:b w:val="0"/>
                <w:color w:val="auto"/>
                <w:sz w:val="22"/>
              </w:rPr>
            </w:pPr>
          </w:p>
        </w:tc>
      </w:tr>
      <w:tr w:rsidR="0009290F" w:rsidRPr="00467C27" w:rsidTr="0009290F">
        <w:trPr>
          <w:trHeight w:val="276"/>
        </w:trPr>
        <w:tc>
          <w:tcPr>
            <w:tcW w:w="2749" w:type="dxa"/>
            <w:vMerge/>
            <w:hideMark/>
          </w:tcPr>
          <w:p w:rsidR="0009290F" w:rsidRPr="001651CF" w:rsidRDefault="0009290F" w:rsidP="0009290F">
            <w:pPr>
              <w:pStyle w:val="Heading4"/>
              <w:spacing w:before="0" w:after="80"/>
              <w:outlineLvl w:val="3"/>
              <w:rPr>
                <w:rFonts w:asciiTheme="minorHAnsi" w:hAnsiTheme="minorHAnsi" w:cstheme="minorHAnsi"/>
                <w:color w:val="auto"/>
                <w:sz w:val="20"/>
                <w:szCs w:val="20"/>
              </w:rPr>
            </w:pPr>
          </w:p>
        </w:tc>
        <w:tc>
          <w:tcPr>
            <w:tcW w:w="1612" w:type="dxa"/>
            <w:noWrap/>
            <w:hideMark/>
          </w:tcPr>
          <w:p w:rsidR="0009290F" w:rsidRPr="00467C27" w:rsidRDefault="0009290F" w:rsidP="0009290F">
            <w:pPr>
              <w:pStyle w:val="Heading4"/>
              <w:spacing w:before="0" w:after="80"/>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2016 n=491</w:t>
            </w:r>
          </w:p>
        </w:tc>
        <w:tc>
          <w:tcPr>
            <w:tcW w:w="1559" w:type="dxa"/>
            <w:noWrap/>
            <w:hideMark/>
          </w:tcPr>
          <w:p w:rsidR="0009290F" w:rsidRPr="00467C27" w:rsidRDefault="0009290F" w:rsidP="0009290F">
            <w:pPr>
              <w:pStyle w:val="Heading4"/>
              <w:spacing w:before="0" w:after="80"/>
              <w:jc w:val="center"/>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w:t>
            </w:r>
          </w:p>
        </w:tc>
        <w:tc>
          <w:tcPr>
            <w:tcW w:w="1617" w:type="dxa"/>
            <w:noWrap/>
            <w:hideMark/>
          </w:tcPr>
          <w:p w:rsidR="0009290F" w:rsidRPr="00467C27" w:rsidRDefault="0009290F" w:rsidP="0009290F">
            <w:pPr>
              <w:pStyle w:val="Heading4"/>
              <w:spacing w:before="0" w:after="80"/>
              <w:jc w:val="center"/>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3%</w:t>
            </w:r>
          </w:p>
        </w:tc>
        <w:tc>
          <w:tcPr>
            <w:tcW w:w="1820" w:type="dxa"/>
            <w:noWrap/>
            <w:hideMark/>
          </w:tcPr>
          <w:p w:rsidR="0009290F" w:rsidRPr="00467C27" w:rsidRDefault="0009290F" w:rsidP="0009290F">
            <w:pPr>
              <w:pStyle w:val="Heading4"/>
              <w:spacing w:before="0" w:after="80"/>
              <w:jc w:val="center"/>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17%</w:t>
            </w:r>
          </w:p>
        </w:tc>
        <w:tc>
          <w:tcPr>
            <w:tcW w:w="1275" w:type="dxa"/>
            <w:noWrap/>
            <w:hideMark/>
          </w:tcPr>
          <w:p w:rsidR="0009290F" w:rsidRPr="00467C27" w:rsidRDefault="0009290F" w:rsidP="0009290F">
            <w:pPr>
              <w:pStyle w:val="Heading4"/>
              <w:spacing w:before="0" w:after="80"/>
              <w:jc w:val="center"/>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58%</w:t>
            </w:r>
          </w:p>
        </w:tc>
        <w:tc>
          <w:tcPr>
            <w:tcW w:w="1418" w:type="dxa"/>
            <w:noWrap/>
            <w:hideMark/>
          </w:tcPr>
          <w:p w:rsidR="0009290F" w:rsidRPr="00467C27" w:rsidRDefault="0009290F" w:rsidP="0009290F">
            <w:pPr>
              <w:pStyle w:val="Heading4"/>
              <w:spacing w:before="0" w:after="80"/>
              <w:jc w:val="center"/>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22%</w:t>
            </w:r>
          </w:p>
        </w:tc>
        <w:tc>
          <w:tcPr>
            <w:tcW w:w="1417" w:type="dxa"/>
            <w:noWrap/>
            <w:hideMark/>
          </w:tcPr>
          <w:p w:rsidR="0009290F" w:rsidRPr="00467C27" w:rsidRDefault="0009290F" w:rsidP="0009290F">
            <w:pPr>
              <w:pStyle w:val="Heading4"/>
              <w:spacing w:before="0" w:after="80"/>
              <w:jc w:val="center"/>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80%</w:t>
            </w:r>
          </w:p>
        </w:tc>
        <w:tc>
          <w:tcPr>
            <w:tcW w:w="1276" w:type="dxa"/>
            <w:shd w:val="clear" w:color="auto" w:fill="D9D9D9" w:themeFill="background1" w:themeFillShade="D9"/>
            <w:noWrap/>
            <w:hideMark/>
          </w:tcPr>
          <w:p w:rsidR="0009290F" w:rsidRPr="00467C27" w:rsidRDefault="0009290F" w:rsidP="0009290F">
            <w:pPr>
              <w:pStyle w:val="Heading4"/>
              <w:spacing w:before="0" w:after="80"/>
              <w:jc w:val="center"/>
              <w:outlineLvl w:val="3"/>
              <w:rPr>
                <w:rFonts w:asciiTheme="minorHAnsi" w:hAnsiTheme="minorHAnsi" w:cstheme="minorHAnsi"/>
                <w:b w:val="0"/>
                <w:color w:val="auto"/>
                <w:sz w:val="22"/>
              </w:rPr>
            </w:pPr>
          </w:p>
        </w:tc>
      </w:tr>
      <w:tr w:rsidR="0009290F" w:rsidRPr="00467C27" w:rsidTr="0009290F">
        <w:trPr>
          <w:trHeight w:val="276"/>
        </w:trPr>
        <w:tc>
          <w:tcPr>
            <w:tcW w:w="2749" w:type="dxa"/>
            <w:vMerge/>
            <w:hideMark/>
          </w:tcPr>
          <w:p w:rsidR="0009290F" w:rsidRPr="001651CF" w:rsidRDefault="0009290F" w:rsidP="0009290F">
            <w:pPr>
              <w:pStyle w:val="Heading4"/>
              <w:spacing w:before="0" w:after="80"/>
              <w:outlineLvl w:val="3"/>
              <w:rPr>
                <w:rFonts w:asciiTheme="minorHAnsi" w:hAnsiTheme="minorHAnsi" w:cstheme="minorHAnsi"/>
                <w:color w:val="auto"/>
                <w:sz w:val="20"/>
                <w:szCs w:val="20"/>
              </w:rPr>
            </w:pPr>
          </w:p>
        </w:tc>
        <w:tc>
          <w:tcPr>
            <w:tcW w:w="1612" w:type="dxa"/>
            <w:noWrap/>
            <w:hideMark/>
          </w:tcPr>
          <w:p w:rsidR="0009290F" w:rsidRPr="00467C27" w:rsidRDefault="0009290F" w:rsidP="0009290F">
            <w:pPr>
              <w:pStyle w:val="Heading4"/>
              <w:spacing w:before="0" w:after="80"/>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2017 n=501</w:t>
            </w:r>
          </w:p>
        </w:tc>
        <w:tc>
          <w:tcPr>
            <w:tcW w:w="1559" w:type="dxa"/>
            <w:noWrap/>
            <w:hideMark/>
          </w:tcPr>
          <w:p w:rsidR="0009290F" w:rsidRPr="00467C27" w:rsidRDefault="0009290F" w:rsidP="0009290F">
            <w:pPr>
              <w:pStyle w:val="Heading4"/>
              <w:spacing w:before="0" w:after="80"/>
              <w:jc w:val="center"/>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1%</w:t>
            </w:r>
          </w:p>
        </w:tc>
        <w:tc>
          <w:tcPr>
            <w:tcW w:w="1617" w:type="dxa"/>
            <w:noWrap/>
            <w:hideMark/>
          </w:tcPr>
          <w:p w:rsidR="0009290F" w:rsidRPr="00467C27" w:rsidRDefault="0009290F" w:rsidP="0009290F">
            <w:pPr>
              <w:pStyle w:val="Heading4"/>
              <w:spacing w:before="0" w:after="80"/>
              <w:jc w:val="center"/>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3%</w:t>
            </w:r>
          </w:p>
        </w:tc>
        <w:tc>
          <w:tcPr>
            <w:tcW w:w="1820" w:type="dxa"/>
            <w:noWrap/>
            <w:hideMark/>
          </w:tcPr>
          <w:p w:rsidR="0009290F" w:rsidRPr="00467C27" w:rsidRDefault="0009290F" w:rsidP="0009290F">
            <w:pPr>
              <w:pStyle w:val="Heading4"/>
              <w:spacing w:before="0" w:after="80"/>
              <w:jc w:val="center"/>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15%</w:t>
            </w:r>
          </w:p>
        </w:tc>
        <w:tc>
          <w:tcPr>
            <w:tcW w:w="1275" w:type="dxa"/>
            <w:noWrap/>
            <w:hideMark/>
          </w:tcPr>
          <w:p w:rsidR="0009290F" w:rsidRPr="00467C27" w:rsidRDefault="0009290F" w:rsidP="0009290F">
            <w:pPr>
              <w:pStyle w:val="Heading4"/>
              <w:spacing w:before="0" w:after="80"/>
              <w:jc w:val="center"/>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52%</w:t>
            </w:r>
          </w:p>
        </w:tc>
        <w:tc>
          <w:tcPr>
            <w:tcW w:w="1418" w:type="dxa"/>
            <w:noWrap/>
            <w:hideMark/>
          </w:tcPr>
          <w:p w:rsidR="0009290F" w:rsidRPr="00467C27" w:rsidRDefault="0009290F" w:rsidP="0009290F">
            <w:pPr>
              <w:pStyle w:val="Heading4"/>
              <w:spacing w:before="0" w:after="80"/>
              <w:jc w:val="center"/>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29%</w:t>
            </w:r>
          </w:p>
        </w:tc>
        <w:tc>
          <w:tcPr>
            <w:tcW w:w="1417" w:type="dxa"/>
            <w:noWrap/>
            <w:hideMark/>
          </w:tcPr>
          <w:p w:rsidR="0009290F" w:rsidRPr="00467C27" w:rsidRDefault="0009290F" w:rsidP="0009290F">
            <w:pPr>
              <w:pStyle w:val="Heading4"/>
              <w:spacing w:before="0" w:after="80"/>
              <w:jc w:val="center"/>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81%</w:t>
            </w:r>
          </w:p>
        </w:tc>
        <w:tc>
          <w:tcPr>
            <w:tcW w:w="1276" w:type="dxa"/>
            <w:shd w:val="clear" w:color="auto" w:fill="D9D9D9" w:themeFill="background1" w:themeFillShade="D9"/>
            <w:noWrap/>
            <w:hideMark/>
          </w:tcPr>
          <w:p w:rsidR="0009290F" w:rsidRPr="00467C27" w:rsidRDefault="0009290F" w:rsidP="0009290F">
            <w:pPr>
              <w:pStyle w:val="Heading4"/>
              <w:spacing w:before="0" w:after="80"/>
              <w:jc w:val="center"/>
              <w:outlineLvl w:val="3"/>
              <w:rPr>
                <w:rFonts w:asciiTheme="minorHAnsi" w:hAnsiTheme="minorHAnsi" w:cstheme="minorHAnsi"/>
                <w:b w:val="0"/>
                <w:color w:val="auto"/>
                <w:sz w:val="22"/>
              </w:rPr>
            </w:pPr>
          </w:p>
        </w:tc>
      </w:tr>
      <w:tr w:rsidR="0009290F" w:rsidRPr="00467C27" w:rsidTr="0009290F">
        <w:trPr>
          <w:trHeight w:val="276"/>
        </w:trPr>
        <w:tc>
          <w:tcPr>
            <w:tcW w:w="2749" w:type="dxa"/>
            <w:vMerge/>
            <w:hideMark/>
          </w:tcPr>
          <w:p w:rsidR="0009290F" w:rsidRPr="001651CF" w:rsidRDefault="0009290F" w:rsidP="0009290F">
            <w:pPr>
              <w:pStyle w:val="Heading4"/>
              <w:spacing w:before="0" w:after="80"/>
              <w:outlineLvl w:val="3"/>
              <w:rPr>
                <w:rFonts w:asciiTheme="minorHAnsi" w:hAnsiTheme="minorHAnsi" w:cstheme="minorHAnsi"/>
                <w:color w:val="auto"/>
                <w:sz w:val="20"/>
                <w:szCs w:val="20"/>
              </w:rPr>
            </w:pPr>
          </w:p>
        </w:tc>
        <w:tc>
          <w:tcPr>
            <w:tcW w:w="1612" w:type="dxa"/>
            <w:noWrap/>
            <w:hideMark/>
          </w:tcPr>
          <w:p w:rsidR="0009290F" w:rsidRPr="00467C27" w:rsidRDefault="0009290F" w:rsidP="0009290F">
            <w:pPr>
              <w:pStyle w:val="Heading4"/>
              <w:spacing w:before="0" w:after="80"/>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2018 n=688</w:t>
            </w:r>
          </w:p>
        </w:tc>
        <w:tc>
          <w:tcPr>
            <w:tcW w:w="1559" w:type="dxa"/>
            <w:noWrap/>
            <w:hideMark/>
          </w:tcPr>
          <w:p w:rsidR="0009290F" w:rsidRPr="00467C27" w:rsidRDefault="0009290F" w:rsidP="0009290F">
            <w:pPr>
              <w:pStyle w:val="Heading4"/>
              <w:spacing w:before="0" w:after="80"/>
              <w:jc w:val="center"/>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1%</w:t>
            </w:r>
          </w:p>
        </w:tc>
        <w:tc>
          <w:tcPr>
            <w:tcW w:w="1617" w:type="dxa"/>
            <w:noWrap/>
            <w:hideMark/>
          </w:tcPr>
          <w:p w:rsidR="0009290F" w:rsidRPr="00467C27" w:rsidRDefault="0009290F" w:rsidP="0009290F">
            <w:pPr>
              <w:pStyle w:val="Heading4"/>
              <w:spacing w:before="0" w:after="80"/>
              <w:jc w:val="center"/>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3%</w:t>
            </w:r>
          </w:p>
        </w:tc>
        <w:tc>
          <w:tcPr>
            <w:tcW w:w="1820" w:type="dxa"/>
            <w:noWrap/>
            <w:hideMark/>
          </w:tcPr>
          <w:p w:rsidR="0009290F" w:rsidRPr="00467C27" w:rsidRDefault="0009290F" w:rsidP="0009290F">
            <w:pPr>
              <w:pStyle w:val="Heading4"/>
              <w:spacing w:before="0" w:after="80"/>
              <w:jc w:val="center"/>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13%</w:t>
            </w:r>
          </w:p>
        </w:tc>
        <w:tc>
          <w:tcPr>
            <w:tcW w:w="1275" w:type="dxa"/>
            <w:noWrap/>
            <w:hideMark/>
          </w:tcPr>
          <w:p w:rsidR="0009290F" w:rsidRPr="00467C27" w:rsidRDefault="0009290F" w:rsidP="0009290F">
            <w:pPr>
              <w:pStyle w:val="Heading4"/>
              <w:spacing w:before="0" w:after="80"/>
              <w:jc w:val="center"/>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56%</w:t>
            </w:r>
          </w:p>
        </w:tc>
        <w:tc>
          <w:tcPr>
            <w:tcW w:w="1418" w:type="dxa"/>
            <w:noWrap/>
            <w:hideMark/>
          </w:tcPr>
          <w:p w:rsidR="0009290F" w:rsidRPr="00467C27" w:rsidRDefault="0009290F" w:rsidP="0009290F">
            <w:pPr>
              <w:pStyle w:val="Heading4"/>
              <w:spacing w:before="0" w:after="80"/>
              <w:jc w:val="center"/>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27%</w:t>
            </w:r>
          </w:p>
        </w:tc>
        <w:tc>
          <w:tcPr>
            <w:tcW w:w="1417" w:type="dxa"/>
            <w:noWrap/>
            <w:hideMark/>
          </w:tcPr>
          <w:p w:rsidR="0009290F" w:rsidRPr="00467C27" w:rsidRDefault="0009290F" w:rsidP="0009290F">
            <w:pPr>
              <w:pStyle w:val="Heading4"/>
              <w:spacing w:before="0" w:after="80"/>
              <w:jc w:val="center"/>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83%</w:t>
            </w:r>
          </w:p>
        </w:tc>
        <w:tc>
          <w:tcPr>
            <w:tcW w:w="1276" w:type="dxa"/>
            <w:shd w:val="clear" w:color="auto" w:fill="D9D9D9" w:themeFill="background1" w:themeFillShade="D9"/>
            <w:noWrap/>
            <w:hideMark/>
          </w:tcPr>
          <w:p w:rsidR="0009290F" w:rsidRPr="00467C27" w:rsidRDefault="0009290F" w:rsidP="0009290F">
            <w:pPr>
              <w:pStyle w:val="Heading4"/>
              <w:spacing w:before="0" w:after="80"/>
              <w:jc w:val="center"/>
              <w:outlineLvl w:val="3"/>
              <w:rPr>
                <w:rFonts w:asciiTheme="minorHAnsi" w:hAnsiTheme="minorHAnsi" w:cstheme="minorHAnsi"/>
                <w:b w:val="0"/>
                <w:color w:val="auto"/>
                <w:sz w:val="22"/>
              </w:rPr>
            </w:pPr>
          </w:p>
        </w:tc>
      </w:tr>
      <w:tr w:rsidR="0009290F" w:rsidRPr="00467C27" w:rsidTr="0009290F">
        <w:trPr>
          <w:trHeight w:val="276"/>
        </w:trPr>
        <w:tc>
          <w:tcPr>
            <w:tcW w:w="2749" w:type="dxa"/>
            <w:vMerge/>
            <w:hideMark/>
          </w:tcPr>
          <w:p w:rsidR="0009290F" w:rsidRPr="001651CF" w:rsidRDefault="0009290F" w:rsidP="0009290F">
            <w:pPr>
              <w:pStyle w:val="Heading4"/>
              <w:spacing w:before="0" w:after="80"/>
              <w:outlineLvl w:val="3"/>
              <w:rPr>
                <w:rFonts w:asciiTheme="minorHAnsi" w:hAnsiTheme="minorHAnsi" w:cstheme="minorHAnsi"/>
                <w:color w:val="auto"/>
                <w:sz w:val="20"/>
                <w:szCs w:val="20"/>
              </w:rPr>
            </w:pPr>
          </w:p>
        </w:tc>
        <w:tc>
          <w:tcPr>
            <w:tcW w:w="1612" w:type="dxa"/>
            <w:noWrap/>
            <w:hideMark/>
          </w:tcPr>
          <w:p w:rsidR="0009290F" w:rsidRPr="00467C27" w:rsidRDefault="0009290F" w:rsidP="0009290F">
            <w:pPr>
              <w:pStyle w:val="Heading4"/>
              <w:spacing w:before="0" w:after="80"/>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2019 n=384</w:t>
            </w:r>
          </w:p>
        </w:tc>
        <w:tc>
          <w:tcPr>
            <w:tcW w:w="1559" w:type="dxa"/>
            <w:noWrap/>
            <w:hideMark/>
          </w:tcPr>
          <w:p w:rsidR="0009290F" w:rsidRPr="00467C27" w:rsidRDefault="0009290F" w:rsidP="0009290F">
            <w:pPr>
              <w:pStyle w:val="Heading4"/>
              <w:spacing w:before="0" w:after="80"/>
              <w:jc w:val="center"/>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0%</w:t>
            </w:r>
          </w:p>
        </w:tc>
        <w:tc>
          <w:tcPr>
            <w:tcW w:w="1617" w:type="dxa"/>
            <w:noWrap/>
            <w:hideMark/>
          </w:tcPr>
          <w:p w:rsidR="0009290F" w:rsidRPr="00467C27" w:rsidRDefault="0009290F" w:rsidP="0009290F">
            <w:pPr>
              <w:pStyle w:val="Heading4"/>
              <w:spacing w:before="0" w:after="80"/>
              <w:jc w:val="center"/>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3%</w:t>
            </w:r>
          </w:p>
        </w:tc>
        <w:tc>
          <w:tcPr>
            <w:tcW w:w="1820" w:type="dxa"/>
            <w:noWrap/>
            <w:hideMark/>
          </w:tcPr>
          <w:p w:rsidR="0009290F" w:rsidRPr="00467C27" w:rsidRDefault="0009290F" w:rsidP="0009290F">
            <w:pPr>
              <w:pStyle w:val="Heading4"/>
              <w:spacing w:before="0" w:after="80"/>
              <w:jc w:val="center"/>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14%</w:t>
            </w:r>
          </w:p>
        </w:tc>
        <w:tc>
          <w:tcPr>
            <w:tcW w:w="1275" w:type="dxa"/>
            <w:noWrap/>
            <w:hideMark/>
          </w:tcPr>
          <w:p w:rsidR="0009290F" w:rsidRPr="00467C27" w:rsidRDefault="0009290F" w:rsidP="0009290F">
            <w:pPr>
              <w:pStyle w:val="Heading4"/>
              <w:spacing w:before="0" w:after="80"/>
              <w:jc w:val="center"/>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58%</w:t>
            </w:r>
          </w:p>
        </w:tc>
        <w:tc>
          <w:tcPr>
            <w:tcW w:w="1418" w:type="dxa"/>
            <w:noWrap/>
            <w:hideMark/>
          </w:tcPr>
          <w:p w:rsidR="0009290F" w:rsidRPr="00467C27" w:rsidRDefault="0009290F" w:rsidP="0009290F">
            <w:pPr>
              <w:pStyle w:val="Heading4"/>
              <w:spacing w:before="0" w:after="80"/>
              <w:jc w:val="center"/>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25%</w:t>
            </w:r>
          </w:p>
        </w:tc>
        <w:tc>
          <w:tcPr>
            <w:tcW w:w="1417" w:type="dxa"/>
            <w:noWrap/>
            <w:hideMark/>
          </w:tcPr>
          <w:p w:rsidR="0009290F" w:rsidRPr="00467C27" w:rsidRDefault="0009290F" w:rsidP="0009290F">
            <w:pPr>
              <w:pStyle w:val="Heading4"/>
              <w:spacing w:before="0" w:after="80"/>
              <w:jc w:val="center"/>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83%</w:t>
            </w:r>
          </w:p>
        </w:tc>
        <w:tc>
          <w:tcPr>
            <w:tcW w:w="1276" w:type="dxa"/>
            <w:shd w:val="clear" w:color="auto" w:fill="D9D9D9" w:themeFill="background1" w:themeFillShade="D9"/>
            <w:noWrap/>
            <w:hideMark/>
          </w:tcPr>
          <w:p w:rsidR="0009290F" w:rsidRPr="00467C27" w:rsidRDefault="0009290F" w:rsidP="0009290F">
            <w:pPr>
              <w:pStyle w:val="Heading4"/>
              <w:spacing w:before="0" w:after="80"/>
              <w:jc w:val="center"/>
              <w:outlineLvl w:val="3"/>
              <w:rPr>
                <w:rFonts w:asciiTheme="minorHAnsi" w:hAnsiTheme="minorHAnsi" w:cstheme="minorHAnsi"/>
                <w:b w:val="0"/>
                <w:color w:val="auto"/>
                <w:sz w:val="22"/>
              </w:rPr>
            </w:pPr>
          </w:p>
        </w:tc>
      </w:tr>
      <w:tr w:rsidR="0009290F" w:rsidRPr="00467C27" w:rsidTr="0009290F">
        <w:trPr>
          <w:trHeight w:val="70"/>
        </w:trPr>
        <w:tc>
          <w:tcPr>
            <w:tcW w:w="2749" w:type="dxa"/>
            <w:vMerge w:val="restart"/>
            <w:hideMark/>
          </w:tcPr>
          <w:p w:rsidR="0009290F" w:rsidRPr="001651CF" w:rsidRDefault="0009290F" w:rsidP="0009290F">
            <w:pPr>
              <w:pStyle w:val="Heading4"/>
              <w:spacing w:before="0" w:after="80"/>
              <w:outlineLvl w:val="3"/>
              <w:rPr>
                <w:rFonts w:asciiTheme="minorHAnsi" w:hAnsiTheme="minorHAnsi" w:cstheme="minorHAnsi"/>
                <w:color w:val="auto"/>
                <w:sz w:val="20"/>
                <w:szCs w:val="20"/>
              </w:rPr>
            </w:pPr>
            <w:r w:rsidRPr="001651CF">
              <w:rPr>
                <w:rFonts w:asciiTheme="minorHAnsi" w:hAnsiTheme="minorHAnsi" w:cstheme="minorHAnsi"/>
                <w:color w:val="auto"/>
                <w:sz w:val="20"/>
                <w:szCs w:val="20"/>
              </w:rPr>
              <w:t>Wellington City's coastal areas or beaches</w:t>
            </w:r>
          </w:p>
        </w:tc>
        <w:tc>
          <w:tcPr>
            <w:tcW w:w="1612" w:type="dxa"/>
            <w:noWrap/>
            <w:hideMark/>
          </w:tcPr>
          <w:p w:rsidR="0009290F" w:rsidRPr="00467C27" w:rsidRDefault="0009290F" w:rsidP="0009290F">
            <w:pPr>
              <w:pStyle w:val="Heading4"/>
              <w:spacing w:before="0" w:after="80"/>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2015 n=646</w:t>
            </w:r>
          </w:p>
        </w:tc>
        <w:tc>
          <w:tcPr>
            <w:tcW w:w="1559" w:type="dxa"/>
            <w:noWrap/>
            <w:hideMark/>
          </w:tcPr>
          <w:p w:rsidR="0009290F" w:rsidRPr="00467C27" w:rsidRDefault="0009290F" w:rsidP="0009290F">
            <w:pPr>
              <w:pStyle w:val="Heading4"/>
              <w:spacing w:before="0" w:after="80"/>
              <w:jc w:val="center"/>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1%</w:t>
            </w:r>
          </w:p>
        </w:tc>
        <w:tc>
          <w:tcPr>
            <w:tcW w:w="1617" w:type="dxa"/>
            <w:noWrap/>
            <w:hideMark/>
          </w:tcPr>
          <w:p w:rsidR="0009290F" w:rsidRPr="00467C27" w:rsidRDefault="0009290F" w:rsidP="0009290F">
            <w:pPr>
              <w:pStyle w:val="Heading4"/>
              <w:spacing w:before="0" w:after="80"/>
              <w:jc w:val="center"/>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4%</w:t>
            </w:r>
          </w:p>
        </w:tc>
        <w:tc>
          <w:tcPr>
            <w:tcW w:w="1820" w:type="dxa"/>
            <w:noWrap/>
            <w:hideMark/>
          </w:tcPr>
          <w:p w:rsidR="0009290F" w:rsidRPr="00467C27" w:rsidRDefault="0009290F" w:rsidP="0009290F">
            <w:pPr>
              <w:pStyle w:val="Heading4"/>
              <w:spacing w:before="0" w:after="80"/>
              <w:jc w:val="center"/>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13%</w:t>
            </w:r>
          </w:p>
        </w:tc>
        <w:tc>
          <w:tcPr>
            <w:tcW w:w="1275" w:type="dxa"/>
            <w:noWrap/>
            <w:hideMark/>
          </w:tcPr>
          <w:p w:rsidR="0009290F" w:rsidRPr="00467C27" w:rsidRDefault="0009290F" w:rsidP="0009290F">
            <w:pPr>
              <w:pStyle w:val="Heading4"/>
              <w:spacing w:before="0" w:after="80"/>
              <w:jc w:val="center"/>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53%</w:t>
            </w:r>
          </w:p>
        </w:tc>
        <w:tc>
          <w:tcPr>
            <w:tcW w:w="1418" w:type="dxa"/>
            <w:noWrap/>
            <w:hideMark/>
          </w:tcPr>
          <w:p w:rsidR="0009290F" w:rsidRPr="00467C27" w:rsidRDefault="0009290F" w:rsidP="0009290F">
            <w:pPr>
              <w:pStyle w:val="Heading4"/>
              <w:spacing w:before="0" w:after="80"/>
              <w:jc w:val="center"/>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29%</w:t>
            </w:r>
          </w:p>
        </w:tc>
        <w:tc>
          <w:tcPr>
            <w:tcW w:w="1417" w:type="dxa"/>
            <w:noWrap/>
            <w:hideMark/>
          </w:tcPr>
          <w:p w:rsidR="0009290F" w:rsidRPr="00467C27" w:rsidRDefault="0009290F" w:rsidP="0009290F">
            <w:pPr>
              <w:pStyle w:val="Heading4"/>
              <w:spacing w:before="0" w:after="80"/>
              <w:jc w:val="center"/>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82%</w:t>
            </w:r>
          </w:p>
        </w:tc>
        <w:tc>
          <w:tcPr>
            <w:tcW w:w="1276" w:type="dxa"/>
            <w:shd w:val="clear" w:color="auto" w:fill="D9D9D9" w:themeFill="background1" w:themeFillShade="D9"/>
            <w:noWrap/>
            <w:hideMark/>
          </w:tcPr>
          <w:p w:rsidR="0009290F" w:rsidRPr="00467C27" w:rsidRDefault="0009290F" w:rsidP="0009290F">
            <w:pPr>
              <w:pStyle w:val="Heading4"/>
              <w:spacing w:before="0" w:after="80"/>
              <w:jc w:val="center"/>
              <w:outlineLvl w:val="3"/>
              <w:rPr>
                <w:rFonts w:asciiTheme="minorHAnsi" w:hAnsiTheme="minorHAnsi" w:cstheme="minorHAnsi"/>
                <w:b w:val="0"/>
                <w:color w:val="auto"/>
                <w:sz w:val="22"/>
              </w:rPr>
            </w:pPr>
          </w:p>
        </w:tc>
      </w:tr>
      <w:tr w:rsidR="0009290F" w:rsidRPr="00467C27" w:rsidTr="0009290F">
        <w:trPr>
          <w:trHeight w:val="276"/>
        </w:trPr>
        <w:tc>
          <w:tcPr>
            <w:tcW w:w="2749" w:type="dxa"/>
            <w:vMerge/>
            <w:hideMark/>
          </w:tcPr>
          <w:p w:rsidR="0009290F" w:rsidRPr="001651CF" w:rsidRDefault="0009290F" w:rsidP="0009290F">
            <w:pPr>
              <w:pStyle w:val="Heading4"/>
              <w:spacing w:before="0" w:after="80"/>
              <w:outlineLvl w:val="3"/>
              <w:rPr>
                <w:rFonts w:asciiTheme="minorHAnsi" w:hAnsiTheme="minorHAnsi" w:cstheme="minorHAnsi"/>
                <w:b w:val="0"/>
                <w:color w:val="auto"/>
                <w:sz w:val="20"/>
                <w:szCs w:val="20"/>
              </w:rPr>
            </w:pPr>
          </w:p>
        </w:tc>
        <w:tc>
          <w:tcPr>
            <w:tcW w:w="1612" w:type="dxa"/>
            <w:noWrap/>
            <w:hideMark/>
          </w:tcPr>
          <w:p w:rsidR="0009290F" w:rsidRPr="00467C27" w:rsidRDefault="0009290F" w:rsidP="0009290F">
            <w:pPr>
              <w:pStyle w:val="Heading4"/>
              <w:spacing w:before="0" w:after="80"/>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2016 n=637</w:t>
            </w:r>
          </w:p>
        </w:tc>
        <w:tc>
          <w:tcPr>
            <w:tcW w:w="1559" w:type="dxa"/>
            <w:noWrap/>
            <w:hideMark/>
          </w:tcPr>
          <w:p w:rsidR="0009290F" w:rsidRPr="00467C27" w:rsidRDefault="0009290F" w:rsidP="0009290F">
            <w:pPr>
              <w:pStyle w:val="Heading4"/>
              <w:spacing w:before="0" w:after="80"/>
              <w:jc w:val="center"/>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1%</w:t>
            </w:r>
          </w:p>
        </w:tc>
        <w:tc>
          <w:tcPr>
            <w:tcW w:w="1617" w:type="dxa"/>
            <w:noWrap/>
            <w:hideMark/>
          </w:tcPr>
          <w:p w:rsidR="0009290F" w:rsidRPr="00467C27" w:rsidRDefault="0009290F" w:rsidP="0009290F">
            <w:pPr>
              <w:pStyle w:val="Heading4"/>
              <w:spacing w:before="0" w:after="80"/>
              <w:jc w:val="center"/>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4%</w:t>
            </w:r>
          </w:p>
        </w:tc>
        <w:tc>
          <w:tcPr>
            <w:tcW w:w="1820" w:type="dxa"/>
            <w:noWrap/>
            <w:hideMark/>
          </w:tcPr>
          <w:p w:rsidR="0009290F" w:rsidRPr="00467C27" w:rsidRDefault="0009290F" w:rsidP="0009290F">
            <w:pPr>
              <w:pStyle w:val="Heading4"/>
              <w:spacing w:before="0" w:after="80"/>
              <w:jc w:val="center"/>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11%</w:t>
            </w:r>
          </w:p>
        </w:tc>
        <w:tc>
          <w:tcPr>
            <w:tcW w:w="1275" w:type="dxa"/>
            <w:noWrap/>
            <w:hideMark/>
          </w:tcPr>
          <w:p w:rsidR="0009290F" w:rsidRPr="00467C27" w:rsidRDefault="0009290F" w:rsidP="0009290F">
            <w:pPr>
              <w:pStyle w:val="Heading4"/>
              <w:spacing w:before="0" w:after="80"/>
              <w:jc w:val="center"/>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55%</w:t>
            </w:r>
          </w:p>
        </w:tc>
        <w:tc>
          <w:tcPr>
            <w:tcW w:w="1418" w:type="dxa"/>
            <w:noWrap/>
            <w:hideMark/>
          </w:tcPr>
          <w:p w:rsidR="0009290F" w:rsidRPr="00467C27" w:rsidRDefault="0009290F" w:rsidP="0009290F">
            <w:pPr>
              <w:pStyle w:val="Heading4"/>
              <w:spacing w:before="0" w:after="80"/>
              <w:jc w:val="center"/>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30%</w:t>
            </w:r>
          </w:p>
        </w:tc>
        <w:tc>
          <w:tcPr>
            <w:tcW w:w="1417" w:type="dxa"/>
            <w:noWrap/>
            <w:hideMark/>
          </w:tcPr>
          <w:p w:rsidR="0009290F" w:rsidRPr="00467C27" w:rsidRDefault="0009290F" w:rsidP="0009290F">
            <w:pPr>
              <w:pStyle w:val="Heading4"/>
              <w:spacing w:before="0" w:after="80"/>
              <w:jc w:val="center"/>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85%</w:t>
            </w:r>
          </w:p>
        </w:tc>
        <w:tc>
          <w:tcPr>
            <w:tcW w:w="1276" w:type="dxa"/>
            <w:shd w:val="clear" w:color="auto" w:fill="D9D9D9" w:themeFill="background1" w:themeFillShade="D9"/>
            <w:noWrap/>
            <w:hideMark/>
          </w:tcPr>
          <w:p w:rsidR="0009290F" w:rsidRPr="00467C27" w:rsidRDefault="0009290F" w:rsidP="0009290F">
            <w:pPr>
              <w:pStyle w:val="Heading4"/>
              <w:spacing w:before="0" w:after="80"/>
              <w:jc w:val="center"/>
              <w:outlineLvl w:val="3"/>
              <w:rPr>
                <w:rFonts w:asciiTheme="minorHAnsi" w:hAnsiTheme="minorHAnsi" w:cstheme="minorHAnsi"/>
                <w:b w:val="0"/>
                <w:color w:val="auto"/>
                <w:sz w:val="22"/>
              </w:rPr>
            </w:pPr>
          </w:p>
        </w:tc>
      </w:tr>
      <w:tr w:rsidR="0009290F" w:rsidRPr="00467C27" w:rsidTr="0009290F">
        <w:trPr>
          <w:trHeight w:val="276"/>
        </w:trPr>
        <w:tc>
          <w:tcPr>
            <w:tcW w:w="2749" w:type="dxa"/>
            <w:vMerge/>
            <w:hideMark/>
          </w:tcPr>
          <w:p w:rsidR="0009290F" w:rsidRPr="001651CF" w:rsidRDefault="0009290F" w:rsidP="0009290F">
            <w:pPr>
              <w:pStyle w:val="Heading4"/>
              <w:spacing w:before="0" w:after="80"/>
              <w:outlineLvl w:val="3"/>
              <w:rPr>
                <w:rFonts w:asciiTheme="minorHAnsi" w:hAnsiTheme="minorHAnsi" w:cstheme="minorHAnsi"/>
                <w:b w:val="0"/>
                <w:color w:val="auto"/>
                <w:sz w:val="20"/>
                <w:szCs w:val="20"/>
              </w:rPr>
            </w:pPr>
          </w:p>
        </w:tc>
        <w:tc>
          <w:tcPr>
            <w:tcW w:w="1612" w:type="dxa"/>
            <w:noWrap/>
            <w:hideMark/>
          </w:tcPr>
          <w:p w:rsidR="0009290F" w:rsidRPr="00467C27" w:rsidRDefault="0009290F" w:rsidP="0009290F">
            <w:pPr>
              <w:pStyle w:val="Heading4"/>
              <w:spacing w:before="0" w:after="80"/>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2017 n=632</w:t>
            </w:r>
          </w:p>
        </w:tc>
        <w:tc>
          <w:tcPr>
            <w:tcW w:w="1559" w:type="dxa"/>
            <w:noWrap/>
            <w:hideMark/>
          </w:tcPr>
          <w:p w:rsidR="0009290F" w:rsidRPr="00467C27" w:rsidRDefault="0009290F" w:rsidP="0009290F">
            <w:pPr>
              <w:pStyle w:val="Heading4"/>
              <w:spacing w:before="0" w:after="80"/>
              <w:jc w:val="center"/>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1%</w:t>
            </w:r>
          </w:p>
        </w:tc>
        <w:tc>
          <w:tcPr>
            <w:tcW w:w="1617" w:type="dxa"/>
            <w:noWrap/>
            <w:hideMark/>
          </w:tcPr>
          <w:p w:rsidR="0009290F" w:rsidRPr="00467C27" w:rsidRDefault="0009290F" w:rsidP="0009290F">
            <w:pPr>
              <w:pStyle w:val="Heading4"/>
              <w:spacing w:before="0" w:after="80"/>
              <w:jc w:val="center"/>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4%</w:t>
            </w:r>
          </w:p>
        </w:tc>
        <w:tc>
          <w:tcPr>
            <w:tcW w:w="1820" w:type="dxa"/>
            <w:noWrap/>
            <w:hideMark/>
          </w:tcPr>
          <w:p w:rsidR="0009290F" w:rsidRPr="00467C27" w:rsidRDefault="0009290F" w:rsidP="0009290F">
            <w:pPr>
              <w:pStyle w:val="Heading4"/>
              <w:spacing w:before="0" w:after="80"/>
              <w:jc w:val="center"/>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11%</w:t>
            </w:r>
          </w:p>
        </w:tc>
        <w:tc>
          <w:tcPr>
            <w:tcW w:w="1275" w:type="dxa"/>
            <w:noWrap/>
            <w:hideMark/>
          </w:tcPr>
          <w:p w:rsidR="0009290F" w:rsidRPr="00467C27" w:rsidRDefault="0009290F" w:rsidP="0009290F">
            <w:pPr>
              <w:pStyle w:val="Heading4"/>
              <w:spacing w:before="0" w:after="80"/>
              <w:jc w:val="center"/>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52%</w:t>
            </w:r>
          </w:p>
        </w:tc>
        <w:tc>
          <w:tcPr>
            <w:tcW w:w="1418" w:type="dxa"/>
            <w:noWrap/>
            <w:hideMark/>
          </w:tcPr>
          <w:p w:rsidR="0009290F" w:rsidRPr="00467C27" w:rsidRDefault="0009290F" w:rsidP="0009290F">
            <w:pPr>
              <w:pStyle w:val="Heading4"/>
              <w:spacing w:before="0" w:after="80"/>
              <w:jc w:val="center"/>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32%</w:t>
            </w:r>
          </w:p>
        </w:tc>
        <w:tc>
          <w:tcPr>
            <w:tcW w:w="1417" w:type="dxa"/>
            <w:noWrap/>
            <w:hideMark/>
          </w:tcPr>
          <w:p w:rsidR="0009290F" w:rsidRPr="00467C27" w:rsidRDefault="0009290F" w:rsidP="0009290F">
            <w:pPr>
              <w:pStyle w:val="Heading4"/>
              <w:spacing w:before="0" w:after="80"/>
              <w:jc w:val="center"/>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84%</w:t>
            </w:r>
          </w:p>
        </w:tc>
        <w:tc>
          <w:tcPr>
            <w:tcW w:w="1276" w:type="dxa"/>
            <w:shd w:val="clear" w:color="auto" w:fill="D9D9D9" w:themeFill="background1" w:themeFillShade="D9"/>
            <w:noWrap/>
            <w:hideMark/>
          </w:tcPr>
          <w:p w:rsidR="0009290F" w:rsidRPr="00467C27" w:rsidRDefault="0009290F" w:rsidP="0009290F">
            <w:pPr>
              <w:pStyle w:val="Heading4"/>
              <w:spacing w:before="0" w:after="80"/>
              <w:jc w:val="center"/>
              <w:outlineLvl w:val="3"/>
              <w:rPr>
                <w:rFonts w:asciiTheme="minorHAnsi" w:hAnsiTheme="minorHAnsi" w:cstheme="minorHAnsi"/>
                <w:b w:val="0"/>
                <w:color w:val="auto"/>
                <w:sz w:val="22"/>
              </w:rPr>
            </w:pPr>
          </w:p>
        </w:tc>
      </w:tr>
      <w:tr w:rsidR="0009290F" w:rsidRPr="00467C27" w:rsidTr="0009290F">
        <w:trPr>
          <w:trHeight w:val="276"/>
        </w:trPr>
        <w:tc>
          <w:tcPr>
            <w:tcW w:w="2749" w:type="dxa"/>
            <w:vMerge/>
            <w:hideMark/>
          </w:tcPr>
          <w:p w:rsidR="0009290F" w:rsidRPr="001651CF" w:rsidRDefault="0009290F" w:rsidP="0009290F">
            <w:pPr>
              <w:pStyle w:val="Heading4"/>
              <w:spacing w:before="0" w:after="80"/>
              <w:outlineLvl w:val="3"/>
              <w:rPr>
                <w:rFonts w:asciiTheme="minorHAnsi" w:hAnsiTheme="minorHAnsi" w:cstheme="minorHAnsi"/>
                <w:b w:val="0"/>
                <w:color w:val="auto"/>
                <w:sz w:val="20"/>
                <w:szCs w:val="20"/>
              </w:rPr>
            </w:pPr>
          </w:p>
        </w:tc>
        <w:tc>
          <w:tcPr>
            <w:tcW w:w="1612" w:type="dxa"/>
            <w:noWrap/>
            <w:hideMark/>
          </w:tcPr>
          <w:p w:rsidR="0009290F" w:rsidRPr="00467C27" w:rsidRDefault="0009290F" w:rsidP="0009290F">
            <w:pPr>
              <w:pStyle w:val="Heading4"/>
              <w:spacing w:before="0" w:after="80"/>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2018 n=910</w:t>
            </w:r>
          </w:p>
        </w:tc>
        <w:tc>
          <w:tcPr>
            <w:tcW w:w="1559" w:type="dxa"/>
            <w:noWrap/>
            <w:hideMark/>
          </w:tcPr>
          <w:p w:rsidR="0009290F" w:rsidRPr="00467C27" w:rsidRDefault="0009290F" w:rsidP="0009290F">
            <w:pPr>
              <w:pStyle w:val="Heading4"/>
              <w:spacing w:before="0" w:after="80"/>
              <w:jc w:val="center"/>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1%</w:t>
            </w:r>
          </w:p>
        </w:tc>
        <w:tc>
          <w:tcPr>
            <w:tcW w:w="1617" w:type="dxa"/>
            <w:noWrap/>
            <w:hideMark/>
          </w:tcPr>
          <w:p w:rsidR="0009290F" w:rsidRPr="00467C27" w:rsidRDefault="0009290F" w:rsidP="0009290F">
            <w:pPr>
              <w:pStyle w:val="Heading4"/>
              <w:spacing w:before="0" w:after="80"/>
              <w:jc w:val="center"/>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4%</w:t>
            </w:r>
          </w:p>
        </w:tc>
        <w:tc>
          <w:tcPr>
            <w:tcW w:w="1820" w:type="dxa"/>
            <w:noWrap/>
            <w:hideMark/>
          </w:tcPr>
          <w:p w:rsidR="0009290F" w:rsidRPr="00467C27" w:rsidRDefault="0009290F" w:rsidP="0009290F">
            <w:pPr>
              <w:pStyle w:val="Heading4"/>
              <w:spacing w:before="0" w:after="80"/>
              <w:jc w:val="center"/>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12%</w:t>
            </w:r>
          </w:p>
        </w:tc>
        <w:tc>
          <w:tcPr>
            <w:tcW w:w="1275" w:type="dxa"/>
            <w:noWrap/>
            <w:hideMark/>
          </w:tcPr>
          <w:p w:rsidR="0009290F" w:rsidRPr="00467C27" w:rsidRDefault="0009290F" w:rsidP="0009290F">
            <w:pPr>
              <w:pStyle w:val="Heading4"/>
              <w:spacing w:before="0" w:after="80"/>
              <w:jc w:val="center"/>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53%</w:t>
            </w:r>
          </w:p>
        </w:tc>
        <w:tc>
          <w:tcPr>
            <w:tcW w:w="1418" w:type="dxa"/>
            <w:noWrap/>
            <w:hideMark/>
          </w:tcPr>
          <w:p w:rsidR="0009290F" w:rsidRPr="00467C27" w:rsidRDefault="0009290F" w:rsidP="0009290F">
            <w:pPr>
              <w:pStyle w:val="Heading4"/>
              <w:spacing w:before="0" w:after="80"/>
              <w:jc w:val="center"/>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32%</w:t>
            </w:r>
          </w:p>
        </w:tc>
        <w:tc>
          <w:tcPr>
            <w:tcW w:w="1417" w:type="dxa"/>
            <w:noWrap/>
            <w:hideMark/>
          </w:tcPr>
          <w:p w:rsidR="0009290F" w:rsidRPr="00467C27" w:rsidRDefault="0009290F" w:rsidP="0009290F">
            <w:pPr>
              <w:pStyle w:val="Heading4"/>
              <w:spacing w:before="0" w:after="80"/>
              <w:jc w:val="center"/>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85%</w:t>
            </w:r>
          </w:p>
        </w:tc>
        <w:tc>
          <w:tcPr>
            <w:tcW w:w="1276" w:type="dxa"/>
            <w:shd w:val="clear" w:color="auto" w:fill="D9D9D9" w:themeFill="background1" w:themeFillShade="D9"/>
            <w:noWrap/>
            <w:hideMark/>
          </w:tcPr>
          <w:p w:rsidR="0009290F" w:rsidRPr="00467C27" w:rsidRDefault="0009290F" w:rsidP="0009290F">
            <w:pPr>
              <w:pStyle w:val="Heading4"/>
              <w:spacing w:before="0" w:after="80"/>
              <w:jc w:val="center"/>
              <w:outlineLvl w:val="3"/>
              <w:rPr>
                <w:rFonts w:asciiTheme="minorHAnsi" w:hAnsiTheme="minorHAnsi" w:cstheme="minorHAnsi"/>
                <w:b w:val="0"/>
                <w:color w:val="auto"/>
                <w:sz w:val="22"/>
              </w:rPr>
            </w:pPr>
          </w:p>
        </w:tc>
      </w:tr>
      <w:tr w:rsidR="0009290F" w:rsidRPr="00467C27" w:rsidTr="0009290F">
        <w:trPr>
          <w:trHeight w:val="276"/>
        </w:trPr>
        <w:tc>
          <w:tcPr>
            <w:tcW w:w="2749" w:type="dxa"/>
            <w:vMerge/>
            <w:hideMark/>
          </w:tcPr>
          <w:p w:rsidR="0009290F" w:rsidRPr="001651CF" w:rsidRDefault="0009290F" w:rsidP="0009290F">
            <w:pPr>
              <w:pStyle w:val="Heading4"/>
              <w:spacing w:before="0" w:after="80"/>
              <w:outlineLvl w:val="3"/>
              <w:rPr>
                <w:rFonts w:asciiTheme="minorHAnsi" w:hAnsiTheme="minorHAnsi" w:cstheme="minorHAnsi"/>
                <w:b w:val="0"/>
                <w:color w:val="auto"/>
                <w:sz w:val="20"/>
                <w:szCs w:val="20"/>
              </w:rPr>
            </w:pPr>
          </w:p>
        </w:tc>
        <w:tc>
          <w:tcPr>
            <w:tcW w:w="1612" w:type="dxa"/>
            <w:noWrap/>
            <w:hideMark/>
          </w:tcPr>
          <w:p w:rsidR="0009290F" w:rsidRPr="00467C27" w:rsidRDefault="0009290F" w:rsidP="0009290F">
            <w:pPr>
              <w:pStyle w:val="Heading4"/>
              <w:spacing w:before="0" w:after="80"/>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2019 n=428</w:t>
            </w:r>
          </w:p>
        </w:tc>
        <w:tc>
          <w:tcPr>
            <w:tcW w:w="1559" w:type="dxa"/>
            <w:noWrap/>
            <w:hideMark/>
          </w:tcPr>
          <w:p w:rsidR="0009290F" w:rsidRPr="00467C27" w:rsidRDefault="0009290F" w:rsidP="0009290F">
            <w:pPr>
              <w:pStyle w:val="Heading4"/>
              <w:spacing w:before="0" w:after="80"/>
              <w:jc w:val="center"/>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0%</w:t>
            </w:r>
          </w:p>
        </w:tc>
        <w:tc>
          <w:tcPr>
            <w:tcW w:w="1617" w:type="dxa"/>
            <w:noWrap/>
            <w:hideMark/>
          </w:tcPr>
          <w:p w:rsidR="0009290F" w:rsidRPr="00467C27" w:rsidRDefault="0009290F" w:rsidP="0009290F">
            <w:pPr>
              <w:pStyle w:val="Heading4"/>
              <w:spacing w:before="0" w:after="80"/>
              <w:jc w:val="center"/>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5%</w:t>
            </w:r>
          </w:p>
        </w:tc>
        <w:tc>
          <w:tcPr>
            <w:tcW w:w="1820" w:type="dxa"/>
            <w:noWrap/>
            <w:hideMark/>
          </w:tcPr>
          <w:p w:rsidR="0009290F" w:rsidRPr="00467C27" w:rsidRDefault="0009290F" w:rsidP="0009290F">
            <w:pPr>
              <w:pStyle w:val="Heading4"/>
              <w:spacing w:before="0" w:after="80"/>
              <w:jc w:val="center"/>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12%</w:t>
            </w:r>
          </w:p>
        </w:tc>
        <w:tc>
          <w:tcPr>
            <w:tcW w:w="1275" w:type="dxa"/>
            <w:noWrap/>
            <w:hideMark/>
          </w:tcPr>
          <w:p w:rsidR="0009290F" w:rsidRPr="00467C27" w:rsidRDefault="0009290F" w:rsidP="0009290F">
            <w:pPr>
              <w:pStyle w:val="Heading4"/>
              <w:spacing w:before="0" w:after="80"/>
              <w:jc w:val="center"/>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55%</w:t>
            </w:r>
          </w:p>
        </w:tc>
        <w:tc>
          <w:tcPr>
            <w:tcW w:w="1418" w:type="dxa"/>
            <w:noWrap/>
            <w:hideMark/>
          </w:tcPr>
          <w:p w:rsidR="0009290F" w:rsidRPr="00467C27" w:rsidRDefault="0009290F" w:rsidP="0009290F">
            <w:pPr>
              <w:pStyle w:val="Heading4"/>
              <w:spacing w:before="0" w:after="80"/>
              <w:jc w:val="center"/>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29%</w:t>
            </w:r>
          </w:p>
        </w:tc>
        <w:tc>
          <w:tcPr>
            <w:tcW w:w="1417" w:type="dxa"/>
            <w:noWrap/>
            <w:hideMark/>
          </w:tcPr>
          <w:p w:rsidR="0009290F" w:rsidRPr="00467C27" w:rsidRDefault="0009290F" w:rsidP="0009290F">
            <w:pPr>
              <w:pStyle w:val="Heading4"/>
              <w:spacing w:before="0" w:after="80"/>
              <w:jc w:val="center"/>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84%</w:t>
            </w:r>
          </w:p>
        </w:tc>
        <w:tc>
          <w:tcPr>
            <w:tcW w:w="1276" w:type="dxa"/>
            <w:shd w:val="clear" w:color="auto" w:fill="D9D9D9" w:themeFill="background1" w:themeFillShade="D9"/>
            <w:noWrap/>
            <w:hideMark/>
          </w:tcPr>
          <w:p w:rsidR="0009290F" w:rsidRPr="00467C27" w:rsidRDefault="0009290F" w:rsidP="0009290F">
            <w:pPr>
              <w:pStyle w:val="Heading4"/>
              <w:spacing w:before="0" w:after="80"/>
              <w:jc w:val="center"/>
              <w:outlineLvl w:val="3"/>
              <w:rPr>
                <w:rFonts w:asciiTheme="minorHAnsi" w:hAnsiTheme="minorHAnsi" w:cstheme="minorHAnsi"/>
                <w:b w:val="0"/>
                <w:color w:val="auto"/>
                <w:sz w:val="22"/>
              </w:rPr>
            </w:pPr>
          </w:p>
        </w:tc>
      </w:tr>
      <w:tr w:rsidR="0009290F" w:rsidRPr="00467C27" w:rsidTr="0009290F">
        <w:trPr>
          <w:trHeight w:val="276"/>
        </w:trPr>
        <w:tc>
          <w:tcPr>
            <w:tcW w:w="2749" w:type="dxa"/>
            <w:vMerge w:val="restart"/>
            <w:hideMark/>
          </w:tcPr>
          <w:p w:rsidR="0009290F" w:rsidRPr="001651CF" w:rsidRDefault="0009290F" w:rsidP="0009290F">
            <w:pPr>
              <w:pStyle w:val="Heading4"/>
              <w:spacing w:before="0" w:after="80"/>
              <w:outlineLvl w:val="3"/>
              <w:rPr>
                <w:rFonts w:asciiTheme="minorHAnsi" w:hAnsiTheme="minorHAnsi" w:cstheme="minorHAnsi"/>
                <w:color w:val="auto"/>
                <w:sz w:val="20"/>
                <w:szCs w:val="20"/>
              </w:rPr>
            </w:pPr>
            <w:r w:rsidRPr="001651CF">
              <w:rPr>
                <w:rFonts w:asciiTheme="minorHAnsi" w:hAnsiTheme="minorHAnsi" w:cstheme="minorHAnsi"/>
                <w:color w:val="auto"/>
                <w:sz w:val="20"/>
                <w:szCs w:val="20"/>
              </w:rPr>
              <w:t>The city's walking tracks</w:t>
            </w:r>
          </w:p>
        </w:tc>
        <w:tc>
          <w:tcPr>
            <w:tcW w:w="1612" w:type="dxa"/>
            <w:noWrap/>
            <w:hideMark/>
          </w:tcPr>
          <w:p w:rsidR="0009290F" w:rsidRPr="00467C27" w:rsidRDefault="0009290F" w:rsidP="0009290F">
            <w:pPr>
              <w:pStyle w:val="Heading4"/>
              <w:spacing w:before="0" w:after="80"/>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2015 n=529</w:t>
            </w:r>
          </w:p>
        </w:tc>
        <w:tc>
          <w:tcPr>
            <w:tcW w:w="1559" w:type="dxa"/>
            <w:noWrap/>
            <w:hideMark/>
          </w:tcPr>
          <w:p w:rsidR="0009290F" w:rsidRPr="00467C27" w:rsidRDefault="0009290F" w:rsidP="0009290F">
            <w:pPr>
              <w:pStyle w:val="Heading4"/>
              <w:spacing w:before="0" w:after="80"/>
              <w:jc w:val="center"/>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0%</w:t>
            </w:r>
          </w:p>
        </w:tc>
        <w:tc>
          <w:tcPr>
            <w:tcW w:w="1617" w:type="dxa"/>
            <w:noWrap/>
            <w:hideMark/>
          </w:tcPr>
          <w:p w:rsidR="0009290F" w:rsidRPr="00467C27" w:rsidRDefault="0009290F" w:rsidP="0009290F">
            <w:pPr>
              <w:pStyle w:val="Heading4"/>
              <w:spacing w:before="0" w:after="80"/>
              <w:jc w:val="center"/>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4%</w:t>
            </w:r>
          </w:p>
        </w:tc>
        <w:tc>
          <w:tcPr>
            <w:tcW w:w="1820" w:type="dxa"/>
            <w:noWrap/>
            <w:hideMark/>
          </w:tcPr>
          <w:p w:rsidR="0009290F" w:rsidRPr="00467C27" w:rsidRDefault="0009290F" w:rsidP="0009290F">
            <w:pPr>
              <w:pStyle w:val="Heading4"/>
              <w:spacing w:before="0" w:after="80"/>
              <w:jc w:val="center"/>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14%</w:t>
            </w:r>
          </w:p>
        </w:tc>
        <w:tc>
          <w:tcPr>
            <w:tcW w:w="1275" w:type="dxa"/>
            <w:noWrap/>
            <w:hideMark/>
          </w:tcPr>
          <w:p w:rsidR="0009290F" w:rsidRPr="00467C27" w:rsidRDefault="0009290F" w:rsidP="0009290F">
            <w:pPr>
              <w:pStyle w:val="Heading4"/>
              <w:spacing w:before="0" w:after="80"/>
              <w:jc w:val="center"/>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57%</w:t>
            </w:r>
          </w:p>
        </w:tc>
        <w:tc>
          <w:tcPr>
            <w:tcW w:w="1418" w:type="dxa"/>
            <w:noWrap/>
            <w:hideMark/>
          </w:tcPr>
          <w:p w:rsidR="0009290F" w:rsidRPr="00467C27" w:rsidRDefault="0009290F" w:rsidP="0009290F">
            <w:pPr>
              <w:pStyle w:val="Heading4"/>
              <w:spacing w:before="0" w:after="80"/>
              <w:jc w:val="center"/>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24%</w:t>
            </w:r>
          </w:p>
        </w:tc>
        <w:tc>
          <w:tcPr>
            <w:tcW w:w="1417" w:type="dxa"/>
            <w:noWrap/>
            <w:hideMark/>
          </w:tcPr>
          <w:p w:rsidR="0009290F" w:rsidRPr="00467C27" w:rsidRDefault="0009290F" w:rsidP="0009290F">
            <w:pPr>
              <w:pStyle w:val="Heading4"/>
              <w:spacing w:before="0" w:after="80"/>
              <w:jc w:val="center"/>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81%</w:t>
            </w:r>
          </w:p>
        </w:tc>
        <w:tc>
          <w:tcPr>
            <w:tcW w:w="1276" w:type="dxa"/>
            <w:shd w:val="clear" w:color="auto" w:fill="D9D9D9" w:themeFill="background1" w:themeFillShade="D9"/>
            <w:noWrap/>
            <w:hideMark/>
          </w:tcPr>
          <w:p w:rsidR="0009290F" w:rsidRPr="00467C27" w:rsidRDefault="0009290F" w:rsidP="0009290F">
            <w:pPr>
              <w:pStyle w:val="Heading4"/>
              <w:spacing w:before="0" w:after="80"/>
              <w:jc w:val="center"/>
              <w:outlineLvl w:val="3"/>
              <w:rPr>
                <w:rFonts w:asciiTheme="minorHAnsi" w:hAnsiTheme="minorHAnsi" w:cstheme="minorHAnsi"/>
                <w:b w:val="0"/>
                <w:color w:val="auto"/>
                <w:sz w:val="22"/>
              </w:rPr>
            </w:pPr>
          </w:p>
        </w:tc>
      </w:tr>
      <w:tr w:rsidR="0009290F" w:rsidRPr="00467C27" w:rsidTr="0009290F">
        <w:trPr>
          <w:trHeight w:val="276"/>
        </w:trPr>
        <w:tc>
          <w:tcPr>
            <w:tcW w:w="2749" w:type="dxa"/>
            <w:vMerge/>
            <w:hideMark/>
          </w:tcPr>
          <w:p w:rsidR="0009290F" w:rsidRPr="001651CF" w:rsidRDefault="0009290F" w:rsidP="0009290F">
            <w:pPr>
              <w:pStyle w:val="Heading4"/>
              <w:spacing w:before="0" w:after="80"/>
              <w:outlineLvl w:val="3"/>
              <w:rPr>
                <w:rFonts w:asciiTheme="minorHAnsi" w:hAnsiTheme="minorHAnsi" w:cstheme="minorHAnsi"/>
                <w:color w:val="auto"/>
                <w:sz w:val="20"/>
                <w:szCs w:val="20"/>
              </w:rPr>
            </w:pPr>
          </w:p>
        </w:tc>
        <w:tc>
          <w:tcPr>
            <w:tcW w:w="1612" w:type="dxa"/>
            <w:noWrap/>
            <w:hideMark/>
          </w:tcPr>
          <w:p w:rsidR="0009290F" w:rsidRPr="00467C27" w:rsidRDefault="0009290F" w:rsidP="0009290F">
            <w:pPr>
              <w:pStyle w:val="Heading4"/>
              <w:spacing w:before="0" w:after="80"/>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2016 n=517</w:t>
            </w:r>
          </w:p>
        </w:tc>
        <w:tc>
          <w:tcPr>
            <w:tcW w:w="1559" w:type="dxa"/>
            <w:noWrap/>
            <w:hideMark/>
          </w:tcPr>
          <w:p w:rsidR="0009290F" w:rsidRPr="00467C27" w:rsidRDefault="0009290F" w:rsidP="0009290F">
            <w:pPr>
              <w:pStyle w:val="Heading4"/>
              <w:spacing w:before="0" w:after="80"/>
              <w:jc w:val="center"/>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1%</w:t>
            </w:r>
          </w:p>
        </w:tc>
        <w:tc>
          <w:tcPr>
            <w:tcW w:w="1617" w:type="dxa"/>
            <w:noWrap/>
            <w:hideMark/>
          </w:tcPr>
          <w:p w:rsidR="0009290F" w:rsidRPr="00467C27" w:rsidRDefault="0009290F" w:rsidP="0009290F">
            <w:pPr>
              <w:pStyle w:val="Heading4"/>
              <w:spacing w:before="0" w:after="80"/>
              <w:jc w:val="center"/>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3%</w:t>
            </w:r>
          </w:p>
        </w:tc>
        <w:tc>
          <w:tcPr>
            <w:tcW w:w="1820" w:type="dxa"/>
            <w:noWrap/>
            <w:hideMark/>
          </w:tcPr>
          <w:p w:rsidR="0009290F" w:rsidRPr="00467C27" w:rsidRDefault="0009290F" w:rsidP="0009290F">
            <w:pPr>
              <w:pStyle w:val="Heading4"/>
              <w:spacing w:before="0" w:after="80"/>
              <w:jc w:val="center"/>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13%</w:t>
            </w:r>
          </w:p>
        </w:tc>
        <w:tc>
          <w:tcPr>
            <w:tcW w:w="1275" w:type="dxa"/>
            <w:noWrap/>
            <w:hideMark/>
          </w:tcPr>
          <w:p w:rsidR="0009290F" w:rsidRPr="00467C27" w:rsidRDefault="0009290F" w:rsidP="0009290F">
            <w:pPr>
              <w:pStyle w:val="Heading4"/>
              <w:spacing w:before="0" w:after="80"/>
              <w:jc w:val="center"/>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60%</w:t>
            </w:r>
          </w:p>
        </w:tc>
        <w:tc>
          <w:tcPr>
            <w:tcW w:w="1418" w:type="dxa"/>
            <w:noWrap/>
            <w:hideMark/>
          </w:tcPr>
          <w:p w:rsidR="0009290F" w:rsidRPr="00467C27" w:rsidRDefault="0009290F" w:rsidP="0009290F">
            <w:pPr>
              <w:pStyle w:val="Heading4"/>
              <w:spacing w:before="0" w:after="80"/>
              <w:jc w:val="center"/>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23%</w:t>
            </w:r>
          </w:p>
        </w:tc>
        <w:tc>
          <w:tcPr>
            <w:tcW w:w="1417" w:type="dxa"/>
            <w:noWrap/>
            <w:hideMark/>
          </w:tcPr>
          <w:p w:rsidR="0009290F" w:rsidRPr="00467C27" w:rsidRDefault="0009290F" w:rsidP="0009290F">
            <w:pPr>
              <w:pStyle w:val="Heading4"/>
              <w:spacing w:before="0" w:after="80"/>
              <w:jc w:val="center"/>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83%</w:t>
            </w:r>
          </w:p>
        </w:tc>
        <w:tc>
          <w:tcPr>
            <w:tcW w:w="1276" w:type="dxa"/>
            <w:shd w:val="clear" w:color="auto" w:fill="D9D9D9" w:themeFill="background1" w:themeFillShade="D9"/>
            <w:noWrap/>
            <w:hideMark/>
          </w:tcPr>
          <w:p w:rsidR="0009290F" w:rsidRPr="00467C27" w:rsidRDefault="0009290F" w:rsidP="0009290F">
            <w:pPr>
              <w:pStyle w:val="Heading4"/>
              <w:spacing w:before="0" w:after="80"/>
              <w:jc w:val="center"/>
              <w:outlineLvl w:val="3"/>
              <w:rPr>
                <w:rFonts w:asciiTheme="minorHAnsi" w:hAnsiTheme="minorHAnsi" w:cstheme="minorHAnsi"/>
                <w:b w:val="0"/>
                <w:color w:val="auto"/>
                <w:sz w:val="22"/>
              </w:rPr>
            </w:pPr>
          </w:p>
        </w:tc>
      </w:tr>
      <w:tr w:rsidR="0009290F" w:rsidRPr="00467C27" w:rsidTr="0009290F">
        <w:trPr>
          <w:trHeight w:val="276"/>
        </w:trPr>
        <w:tc>
          <w:tcPr>
            <w:tcW w:w="2749" w:type="dxa"/>
            <w:vMerge/>
            <w:hideMark/>
          </w:tcPr>
          <w:p w:rsidR="0009290F" w:rsidRPr="001651CF" w:rsidRDefault="0009290F" w:rsidP="0009290F">
            <w:pPr>
              <w:pStyle w:val="Heading4"/>
              <w:spacing w:before="0" w:after="80"/>
              <w:outlineLvl w:val="3"/>
              <w:rPr>
                <w:rFonts w:asciiTheme="minorHAnsi" w:hAnsiTheme="minorHAnsi" w:cstheme="minorHAnsi"/>
                <w:color w:val="auto"/>
                <w:sz w:val="20"/>
                <w:szCs w:val="20"/>
              </w:rPr>
            </w:pPr>
          </w:p>
        </w:tc>
        <w:tc>
          <w:tcPr>
            <w:tcW w:w="1612" w:type="dxa"/>
            <w:noWrap/>
            <w:hideMark/>
          </w:tcPr>
          <w:p w:rsidR="0009290F" w:rsidRPr="00467C27" w:rsidRDefault="0009290F" w:rsidP="0009290F">
            <w:pPr>
              <w:pStyle w:val="Heading4"/>
              <w:spacing w:before="0" w:after="80"/>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2017 n=521</w:t>
            </w:r>
          </w:p>
        </w:tc>
        <w:tc>
          <w:tcPr>
            <w:tcW w:w="1559" w:type="dxa"/>
            <w:noWrap/>
            <w:hideMark/>
          </w:tcPr>
          <w:p w:rsidR="0009290F" w:rsidRPr="00467C27" w:rsidRDefault="0009290F" w:rsidP="0009290F">
            <w:pPr>
              <w:pStyle w:val="Heading4"/>
              <w:spacing w:before="0" w:after="80"/>
              <w:jc w:val="center"/>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1%</w:t>
            </w:r>
          </w:p>
        </w:tc>
        <w:tc>
          <w:tcPr>
            <w:tcW w:w="1617" w:type="dxa"/>
            <w:noWrap/>
            <w:hideMark/>
          </w:tcPr>
          <w:p w:rsidR="0009290F" w:rsidRPr="00467C27" w:rsidRDefault="0009290F" w:rsidP="0009290F">
            <w:pPr>
              <w:pStyle w:val="Heading4"/>
              <w:spacing w:before="0" w:after="80"/>
              <w:jc w:val="center"/>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3%</w:t>
            </w:r>
          </w:p>
        </w:tc>
        <w:tc>
          <w:tcPr>
            <w:tcW w:w="1820" w:type="dxa"/>
            <w:noWrap/>
            <w:hideMark/>
          </w:tcPr>
          <w:p w:rsidR="0009290F" w:rsidRPr="00467C27" w:rsidRDefault="0009290F" w:rsidP="0009290F">
            <w:pPr>
              <w:pStyle w:val="Heading4"/>
              <w:spacing w:before="0" w:after="80"/>
              <w:jc w:val="center"/>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13%</w:t>
            </w:r>
          </w:p>
        </w:tc>
        <w:tc>
          <w:tcPr>
            <w:tcW w:w="1275" w:type="dxa"/>
            <w:noWrap/>
            <w:hideMark/>
          </w:tcPr>
          <w:p w:rsidR="0009290F" w:rsidRPr="00467C27" w:rsidRDefault="0009290F" w:rsidP="0009290F">
            <w:pPr>
              <w:pStyle w:val="Heading4"/>
              <w:spacing w:before="0" w:after="80"/>
              <w:jc w:val="center"/>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53%</w:t>
            </w:r>
          </w:p>
        </w:tc>
        <w:tc>
          <w:tcPr>
            <w:tcW w:w="1418" w:type="dxa"/>
            <w:noWrap/>
            <w:hideMark/>
          </w:tcPr>
          <w:p w:rsidR="0009290F" w:rsidRPr="00467C27" w:rsidRDefault="0009290F" w:rsidP="0009290F">
            <w:pPr>
              <w:pStyle w:val="Heading4"/>
              <w:spacing w:before="0" w:after="80"/>
              <w:jc w:val="center"/>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31%</w:t>
            </w:r>
          </w:p>
        </w:tc>
        <w:tc>
          <w:tcPr>
            <w:tcW w:w="1417" w:type="dxa"/>
            <w:noWrap/>
            <w:hideMark/>
          </w:tcPr>
          <w:p w:rsidR="0009290F" w:rsidRPr="00467C27" w:rsidRDefault="0009290F" w:rsidP="0009290F">
            <w:pPr>
              <w:pStyle w:val="Heading4"/>
              <w:spacing w:before="0" w:after="80"/>
              <w:jc w:val="center"/>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84%</w:t>
            </w:r>
          </w:p>
        </w:tc>
        <w:tc>
          <w:tcPr>
            <w:tcW w:w="1276" w:type="dxa"/>
            <w:shd w:val="clear" w:color="auto" w:fill="D9D9D9" w:themeFill="background1" w:themeFillShade="D9"/>
            <w:noWrap/>
            <w:hideMark/>
          </w:tcPr>
          <w:p w:rsidR="0009290F" w:rsidRPr="00467C27" w:rsidRDefault="0009290F" w:rsidP="0009290F">
            <w:pPr>
              <w:pStyle w:val="Heading4"/>
              <w:spacing w:before="0" w:after="80"/>
              <w:jc w:val="center"/>
              <w:outlineLvl w:val="3"/>
              <w:rPr>
                <w:rFonts w:asciiTheme="minorHAnsi" w:hAnsiTheme="minorHAnsi" w:cstheme="minorHAnsi"/>
                <w:b w:val="0"/>
                <w:color w:val="auto"/>
                <w:sz w:val="22"/>
              </w:rPr>
            </w:pPr>
          </w:p>
        </w:tc>
      </w:tr>
      <w:tr w:rsidR="0009290F" w:rsidRPr="00467C27" w:rsidTr="0009290F">
        <w:trPr>
          <w:trHeight w:val="276"/>
        </w:trPr>
        <w:tc>
          <w:tcPr>
            <w:tcW w:w="2749" w:type="dxa"/>
            <w:vMerge/>
            <w:hideMark/>
          </w:tcPr>
          <w:p w:rsidR="0009290F" w:rsidRPr="001651CF" w:rsidRDefault="0009290F" w:rsidP="0009290F">
            <w:pPr>
              <w:pStyle w:val="Heading4"/>
              <w:spacing w:before="0" w:after="80"/>
              <w:outlineLvl w:val="3"/>
              <w:rPr>
                <w:rFonts w:asciiTheme="minorHAnsi" w:hAnsiTheme="minorHAnsi" w:cstheme="minorHAnsi"/>
                <w:color w:val="auto"/>
                <w:sz w:val="20"/>
                <w:szCs w:val="20"/>
              </w:rPr>
            </w:pPr>
          </w:p>
        </w:tc>
        <w:tc>
          <w:tcPr>
            <w:tcW w:w="1612" w:type="dxa"/>
            <w:noWrap/>
            <w:hideMark/>
          </w:tcPr>
          <w:p w:rsidR="0009290F" w:rsidRPr="00467C27" w:rsidRDefault="0009290F" w:rsidP="0009290F">
            <w:pPr>
              <w:pStyle w:val="Heading4"/>
              <w:spacing w:before="0" w:after="80"/>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2018 n=756</w:t>
            </w:r>
          </w:p>
        </w:tc>
        <w:tc>
          <w:tcPr>
            <w:tcW w:w="1559" w:type="dxa"/>
            <w:noWrap/>
            <w:hideMark/>
          </w:tcPr>
          <w:p w:rsidR="0009290F" w:rsidRPr="00467C27" w:rsidRDefault="0009290F" w:rsidP="0009290F">
            <w:pPr>
              <w:pStyle w:val="Heading4"/>
              <w:spacing w:before="0" w:after="80"/>
              <w:jc w:val="center"/>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0.80%</w:t>
            </w:r>
          </w:p>
        </w:tc>
        <w:tc>
          <w:tcPr>
            <w:tcW w:w="1617" w:type="dxa"/>
            <w:noWrap/>
            <w:hideMark/>
          </w:tcPr>
          <w:p w:rsidR="0009290F" w:rsidRPr="00467C27" w:rsidRDefault="0009290F" w:rsidP="0009290F">
            <w:pPr>
              <w:pStyle w:val="Heading4"/>
              <w:spacing w:before="0" w:after="80"/>
              <w:jc w:val="center"/>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4.20%</w:t>
            </w:r>
          </w:p>
        </w:tc>
        <w:tc>
          <w:tcPr>
            <w:tcW w:w="1820" w:type="dxa"/>
            <w:noWrap/>
            <w:hideMark/>
          </w:tcPr>
          <w:p w:rsidR="0009290F" w:rsidRPr="00467C27" w:rsidRDefault="0009290F" w:rsidP="0009290F">
            <w:pPr>
              <w:pStyle w:val="Heading4"/>
              <w:spacing w:before="0" w:after="80"/>
              <w:jc w:val="center"/>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12.30%</w:t>
            </w:r>
          </w:p>
        </w:tc>
        <w:tc>
          <w:tcPr>
            <w:tcW w:w="1275" w:type="dxa"/>
            <w:noWrap/>
            <w:hideMark/>
          </w:tcPr>
          <w:p w:rsidR="0009290F" w:rsidRPr="00467C27" w:rsidRDefault="0009290F" w:rsidP="0009290F">
            <w:pPr>
              <w:pStyle w:val="Heading4"/>
              <w:spacing w:before="0" w:after="80"/>
              <w:jc w:val="center"/>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52.50%</w:t>
            </w:r>
          </w:p>
        </w:tc>
        <w:tc>
          <w:tcPr>
            <w:tcW w:w="1418" w:type="dxa"/>
            <w:noWrap/>
            <w:hideMark/>
          </w:tcPr>
          <w:p w:rsidR="0009290F" w:rsidRPr="00467C27" w:rsidRDefault="0009290F" w:rsidP="0009290F">
            <w:pPr>
              <w:pStyle w:val="Heading4"/>
              <w:spacing w:before="0" w:after="80"/>
              <w:jc w:val="center"/>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30.20%</w:t>
            </w:r>
          </w:p>
        </w:tc>
        <w:tc>
          <w:tcPr>
            <w:tcW w:w="1417" w:type="dxa"/>
            <w:noWrap/>
            <w:hideMark/>
          </w:tcPr>
          <w:p w:rsidR="0009290F" w:rsidRPr="00467C27" w:rsidRDefault="0009290F" w:rsidP="0009290F">
            <w:pPr>
              <w:pStyle w:val="Heading4"/>
              <w:spacing w:before="0" w:after="80"/>
              <w:jc w:val="center"/>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83%</w:t>
            </w:r>
          </w:p>
        </w:tc>
        <w:tc>
          <w:tcPr>
            <w:tcW w:w="1276" w:type="dxa"/>
            <w:shd w:val="clear" w:color="auto" w:fill="D9D9D9" w:themeFill="background1" w:themeFillShade="D9"/>
            <w:noWrap/>
            <w:hideMark/>
          </w:tcPr>
          <w:p w:rsidR="0009290F" w:rsidRPr="00467C27" w:rsidRDefault="0009290F" w:rsidP="0009290F">
            <w:pPr>
              <w:pStyle w:val="Heading4"/>
              <w:spacing w:before="0" w:after="80"/>
              <w:jc w:val="center"/>
              <w:outlineLvl w:val="3"/>
              <w:rPr>
                <w:rFonts w:asciiTheme="minorHAnsi" w:hAnsiTheme="minorHAnsi" w:cstheme="minorHAnsi"/>
                <w:b w:val="0"/>
                <w:color w:val="auto"/>
                <w:sz w:val="22"/>
              </w:rPr>
            </w:pPr>
          </w:p>
        </w:tc>
      </w:tr>
      <w:tr w:rsidR="0009290F" w:rsidRPr="00467C27" w:rsidTr="0009290F">
        <w:trPr>
          <w:trHeight w:val="276"/>
        </w:trPr>
        <w:tc>
          <w:tcPr>
            <w:tcW w:w="2749" w:type="dxa"/>
            <w:vMerge/>
            <w:hideMark/>
          </w:tcPr>
          <w:p w:rsidR="0009290F" w:rsidRPr="001651CF" w:rsidRDefault="0009290F" w:rsidP="0009290F">
            <w:pPr>
              <w:pStyle w:val="Heading4"/>
              <w:spacing w:before="0" w:after="80"/>
              <w:outlineLvl w:val="3"/>
              <w:rPr>
                <w:rFonts w:asciiTheme="minorHAnsi" w:hAnsiTheme="minorHAnsi" w:cstheme="minorHAnsi"/>
                <w:color w:val="auto"/>
                <w:sz w:val="20"/>
                <w:szCs w:val="20"/>
              </w:rPr>
            </w:pPr>
          </w:p>
        </w:tc>
        <w:tc>
          <w:tcPr>
            <w:tcW w:w="1612" w:type="dxa"/>
            <w:noWrap/>
            <w:hideMark/>
          </w:tcPr>
          <w:p w:rsidR="0009290F" w:rsidRPr="00467C27" w:rsidRDefault="0009290F" w:rsidP="0009290F">
            <w:pPr>
              <w:pStyle w:val="Heading4"/>
              <w:spacing w:before="0" w:after="80"/>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2019 n=378</w:t>
            </w:r>
          </w:p>
        </w:tc>
        <w:tc>
          <w:tcPr>
            <w:tcW w:w="1559" w:type="dxa"/>
            <w:noWrap/>
            <w:hideMark/>
          </w:tcPr>
          <w:p w:rsidR="0009290F" w:rsidRPr="00467C27" w:rsidRDefault="0009290F" w:rsidP="0009290F">
            <w:pPr>
              <w:pStyle w:val="Heading4"/>
              <w:spacing w:before="0" w:after="80"/>
              <w:jc w:val="center"/>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0.10%</w:t>
            </w:r>
          </w:p>
        </w:tc>
        <w:tc>
          <w:tcPr>
            <w:tcW w:w="1617" w:type="dxa"/>
            <w:noWrap/>
            <w:hideMark/>
          </w:tcPr>
          <w:p w:rsidR="0009290F" w:rsidRPr="00467C27" w:rsidRDefault="0009290F" w:rsidP="0009290F">
            <w:pPr>
              <w:pStyle w:val="Heading4"/>
              <w:spacing w:before="0" w:after="80"/>
              <w:jc w:val="center"/>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4.40%</w:t>
            </w:r>
          </w:p>
        </w:tc>
        <w:tc>
          <w:tcPr>
            <w:tcW w:w="1820" w:type="dxa"/>
            <w:noWrap/>
            <w:hideMark/>
          </w:tcPr>
          <w:p w:rsidR="0009290F" w:rsidRPr="00467C27" w:rsidRDefault="0009290F" w:rsidP="0009290F">
            <w:pPr>
              <w:pStyle w:val="Heading4"/>
              <w:spacing w:before="0" w:after="80"/>
              <w:jc w:val="center"/>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12.20%</w:t>
            </w:r>
          </w:p>
        </w:tc>
        <w:tc>
          <w:tcPr>
            <w:tcW w:w="1275" w:type="dxa"/>
            <w:noWrap/>
            <w:hideMark/>
          </w:tcPr>
          <w:p w:rsidR="0009290F" w:rsidRPr="00467C27" w:rsidRDefault="0009290F" w:rsidP="0009290F">
            <w:pPr>
              <w:pStyle w:val="Heading4"/>
              <w:spacing w:before="0" w:after="80"/>
              <w:jc w:val="center"/>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57.80%</w:t>
            </w:r>
          </w:p>
        </w:tc>
        <w:tc>
          <w:tcPr>
            <w:tcW w:w="1418" w:type="dxa"/>
            <w:noWrap/>
            <w:hideMark/>
          </w:tcPr>
          <w:p w:rsidR="0009290F" w:rsidRPr="00467C27" w:rsidRDefault="0009290F" w:rsidP="0009290F">
            <w:pPr>
              <w:pStyle w:val="Heading4"/>
              <w:spacing w:before="0" w:after="80"/>
              <w:jc w:val="center"/>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25.50%</w:t>
            </w:r>
          </w:p>
        </w:tc>
        <w:tc>
          <w:tcPr>
            <w:tcW w:w="1417" w:type="dxa"/>
            <w:noWrap/>
            <w:hideMark/>
          </w:tcPr>
          <w:p w:rsidR="0009290F" w:rsidRPr="00467C27" w:rsidRDefault="0009290F" w:rsidP="0009290F">
            <w:pPr>
              <w:pStyle w:val="Heading4"/>
              <w:spacing w:before="0" w:after="80"/>
              <w:jc w:val="center"/>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83%</w:t>
            </w:r>
          </w:p>
        </w:tc>
        <w:tc>
          <w:tcPr>
            <w:tcW w:w="1276" w:type="dxa"/>
            <w:shd w:val="clear" w:color="auto" w:fill="D9D9D9" w:themeFill="background1" w:themeFillShade="D9"/>
            <w:noWrap/>
            <w:hideMark/>
          </w:tcPr>
          <w:p w:rsidR="0009290F" w:rsidRPr="00467C27" w:rsidRDefault="0009290F" w:rsidP="0009290F">
            <w:pPr>
              <w:pStyle w:val="Heading4"/>
              <w:spacing w:before="0" w:after="80"/>
              <w:jc w:val="center"/>
              <w:outlineLvl w:val="3"/>
              <w:rPr>
                <w:rFonts w:asciiTheme="minorHAnsi" w:hAnsiTheme="minorHAnsi" w:cstheme="minorHAnsi"/>
                <w:b w:val="0"/>
                <w:color w:val="auto"/>
                <w:sz w:val="22"/>
              </w:rPr>
            </w:pPr>
          </w:p>
        </w:tc>
      </w:tr>
      <w:tr w:rsidR="0009290F" w:rsidRPr="00467C27" w:rsidTr="0009290F">
        <w:trPr>
          <w:trHeight w:val="131"/>
        </w:trPr>
        <w:tc>
          <w:tcPr>
            <w:tcW w:w="2749" w:type="dxa"/>
            <w:vMerge w:val="restart"/>
            <w:hideMark/>
          </w:tcPr>
          <w:p w:rsidR="0009290F" w:rsidRPr="001651CF" w:rsidRDefault="0009290F" w:rsidP="0009290F">
            <w:pPr>
              <w:pStyle w:val="Heading4"/>
              <w:spacing w:before="0" w:after="80"/>
              <w:outlineLvl w:val="3"/>
              <w:rPr>
                <w:rFonts w:asciiTheme="minorHAnsi" w:hAnsiTheme="minorHAnsi" w:cstheme="minorHAnsi"/>
                <w:color w:val="auto"/>
                <w:sz w:val="20"/>
                <w:szCs w:val="20"/>
              </w:rPr>
            </w:pPr>
            <w:r w:rsidRPr="001651CF">
              <w:rPr>
                <w:rFonts w:asciiTheme="minorHAnsi" w:hAnsiTheme="minorHAnsi" w:cstheme="minorHAnsi"/>
                <w:color w:val="auto"/>
                <w:sz w:val="20"/>
                <w:szCs w:val="20"/>
              </w:rPr>
              <w:t>Wellington City Council outdoor grass sportsfields</w:t>
            </w:r>
          </w:p>
        </w:tc>
        <w:tc>
          <w:tcPr>
            <w:tcW w:w="1612" w:type="dxa"/>
            <w:noWrap/>
            <w:hideMark/>
          </w:tcPr>
          <w:p w:rsidR="0009290F" w:rsidRPr="00467C27" w:rsidRDefault="0009290F" w:rsidP="0009290F">
            <w:pPr>
              <w:pStyle w:val="Heading4"/>
              <w:spacing w:before="0" w:after="80"/>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2015 n=351</w:t>
            </w:r>
          </w:p>
        </w:tc>
        <w:tc>
          <w:tcPr>
            <w:tcW w:w="1559" w:type="dxa"/>
            <w:noWrap/>
            <w:hideMark/>
          </w:tcPr>
          <w:p w:rsidR="0009290F" w:rsidRPr="00467C27" w:rsidRDefault="0009290F" w:rsidP="0009290F">
            <w:pPr>
              <w:pStyle w:val="Heading4"/>
              <w:spacing w:before="0" w:after="80"/>
              <w:jc w:val="center"/>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0%</w:t>
            </w:r>
          </w:p>
        </w:tc>
        <w:tc>
          <w:tcPr>
            <w:tcW w:w="1617" w:type="dxa"/>
            <w:noWrap/>
            <w:hideMark/>
          </w:tcPr>
          <w:p w:rsidR="0009290F" w:rsidRPr="00467C27" w:rsidRDefault="0009290F" w:rsidP="0009290F">
            <w:pPr>
              <w:pStyle w:val="Heading4"/>
              <w:spacing w:before="0" w:after="80"/>
              <w:jc w:val="center"/>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2%</w:t>
            </w:r>
          </w:p>
        </w:tc>
        <w:tc>
          <w:tcPr>
            <w:tcW w:w="1820" w:type="dxa"/>
            <w:noWrap/>
            <w:hideMark/>
          </w:tcPr>
          <w:p w:rsidR="0009290F" w:rsidRPr="00467C27" w:rsidRDefault="0009290F" w:rsidP="0009290F">
            <w:pPr>
              <w:pStyle w:val="Heading4"/>
              <w:spacing w:before="0" w:after="80"/>
              <w:jc w:val="center"/>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20%</w:t>
            </w:r>
          </w:p>
        </w:tc>
        <w:tc>
          <w:tcPr>
            <w:tcW w:w="1275" w:type="dxa"/>
            <w:noWrap/>
            <w:hideMark/>
          </w:tcPr>
          <w:p w:rsidR="0009290F" w:rsidRPr="00467C27" w:rsidRDefault="0009290F" w:rsidP="0009290F">
            <w:pPr>
              <w:pStyle w:val="Heading4"/>
              <w:spacing w:before="0" w:after="80"/>
              <w:jc w:val="center"/>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55%</w:t>
            </w:r>
          </w:p>
        </w:tc>
        <w:tc>
          <w:tcPr>
            <w:tcW w:w="1418" w:type="dxa"/>
            <w:noWrap/>
            <w:hideMark/>
          </w:tcPr>
          <w:p w:rsidR="0009290F" w:rsidRPr="00467C27" w:rsidRDefault="0009290F" w:rsidP="0009290F">
            <w:pPr>
              <w:pStyle w:val="Heading4"/>
              <w:spacing w:before="0" w:after="80"/>
              <w:jc w:val="center"/>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23%</w:t>
            </w:r>
          </w:p>
        </w:tc>
        <w:tc>
          <w:tcPr>
            <w:tcW w:w="1417" w:type="dxa"/>
            <w:noWrap/>
            <w:hideMark/>
          </w:tcPr>
          <w:p w:rsidR="0009290F" w:rsidRPr="00467C27" w:rsidRDefault="0009290F" w:rsidP="0009290F">
            <w:pPr>
              <w:pStyle w:val="Heading4"/>
              <w:spacing w:before="0" w:after="80"/>
              <w:jc w:val="center"/>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78%</w:t>
            </w:r>
          </w:p>
        </w:tc>
        <w:tc>
          <w:tcPr>
            <w:tcW w:w="1276" w:type="dxa"/>
            <w:shd w:val="clear" w:color="auto" w:fill="D9D9D9" w:themeFill="background1" w:themeFillShade="D9"/>
            <w:noWrap/>
            <w:hideMark/>
          </w:tcPr>
          <w:p w:rsidR="0009290F" w:rsidRPr="00467C27" w:rsidRDefault="0009290F" w:rsidP="0009290F">
            <w:pPr>
              <w:pStyle w:val="Heading4"/>
              <w:spacing w:before="0" w:after="80"/>
              <w:jc w:val="center"/>
              <w:outlineLvl w:val="3"/>
              <w:rPr>
                <w:rFonts w:asciiTheme="minorHAnsi" w:hAnsiTheme="minorHAnsi" w:cstheme="minorHAnsi"/>
                <w:b w:val="0"/>
                <w:color w:val="auto"/>
                <w:sz w:val="22"/>
              </w:rPr>
            </w:pPr>
          </w:p>
        </w:tc>
      </w:tr>
      <w:tr w:rsidR="0009290F" w:rsidRPr="00467C27" w:rsidTr="0009290F">
        <w:trPr>
          <w:trHeight w:val="276"/>
        </w:trPr>
        <w:tc>
          <w:tcPr>
            <w:tcW w:w="2749" w:type="dxa"/>
            <w:vMerge/>
            <w:hideMark/>
          </w:tcPr>
          <w:p w:rsidR="0009290F" w:rsidRPr="001651CF" w:rsidRDefault="0009290F" w:rsidP="0009290F">
            <w:pPr>
              <w:pStyle w:val="Heading4"/>
              <w:spacing w:before="0" w:after="80"/>
              <w:outlineLvl w:val="3"/>
              <w:rPr>
                <w:rFonts w:asciiTheme="minorHAnsi" w:hAnsiTheme="minorHAnsi" w:cstheme="minorHAnsi"/>
                <w:color w:val="auto"/>
                <w:sz w:val="20"/>
                <w:szCs w:val="20"/>
              </w:rPr>
            </w:pPr>
          </w:p>
        </w:tc>
        <w:tc>
          <w:tcPr>
            <w:tcW w:w="1612" w:type="dxa"/>
            <w:noWrap/>
            <w:hideMark/>
          </w:tcPr>
          <w:p w:rsidR="0009290F" w:rsidRPr="00467C27" w:rsidRDefault="0009290F" w:rsidP="0009290F">
            <w:pPr>
              <w:pStyle w:val="Heading4"/>
              <w:spacing w:before="0" w:after="80"/>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2016 n=348</w:t>
            </w:r>
          </w:p>
        </w:tc>
        <w:tc>
          <w:tcPr>
            <w:tcW w:w="1559" w:type="dxa"/>
            <w:noWrap/>
            <w:hideMark/>
          </w:tcPr>
          <w:p w:rsidR="0009290F" w:rsidRPr="00467C27" w:rsidRDefault="0009290F" w:rsidP="0009290F">
            <w:pPr>
              <w:pStyle w:val="Heading4"/>
              <w:spacing w:before="0" w:after="80"/>
              <w:jc w:val="center"/>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0%</w:t>
            </w:r>
          </w:p>
        </w:tc>
        <w:tc>
          <w:tcPr>
            <w:tcW w:w="1617" w:type="dxa"/>
            <w:noWrap/>
            <w:hideMark/>
          </w:tcPr>
          <w:p w:rsidR="0009290F" w:rsidRPr="00467C27" w:rsidRDefault="0009290F" w:rsidP="0009290F">
            <w:pPr>
              <w:pStyle w:val="Heading4"/>
              <w:spacing w:before="0" w:after="80"/>
              <w:jc w:val="center"/>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1%</w:t>
            </w:r>
          </w:p>
        </w:tc>
        <w:tc>
          <w:tcPr>
            <w:tcW w:w="1820" w:type="dxa"/>
            <w:noWrap/>
            <w:hideMark/>
          </w:tcPr>
          <w:p w:rsidR="0009290F" w:rsidRPr="00467C27" w:rsidRDefault="0009290F" w:rsidP="0009290F">
            <w:pPr>
              <w:pStyle w:val="Heading4"/>
              <w:spacing w:before="0" w:after="80"/>
              <w:jc w:val="center"/>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26%</w:t>
            </w:r>
          </w:p>
        </w:tc>
        <w:tc>
          <w:tcPr>
            <w:tcW w:w="1275" w:type="dxa"/>
            <w:noWrap/>
            <w:hideMark/>
          </w:tcPr>
          <w:p w:rsidR="0009290F" w:rsidRPr="00467C27" w:rsidRDefault="0009290F" w:rsidP="0009290F">
            <w:pPr>
              <w:pStyle w:val="Heading4"/>
              <w:spacing w:before="0" w:after="80"/>
              <w:jc w:val="center"/>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53%</w:t>
            </w:r>
          </w:p>
        </w:tc>
        <w:tc>
          <w:tcPr>
            <w:tcW w:w="1418" w:type="dxa"/>
            <w:noWrap/>
            <w:hideMark/>
          </w:tcPr>
          <w:p w:rsidR="0009290F" w:rsidRPr="00467C27" w:rsidRDefault="0009290F" w:rsidP="0009290F">
            <w:pPr>
              <w:pStyle w:val="Heading4"/>
              <w:spacing w:before="0" w:after="80"/>
              <w:jc w:val="center"/>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20%</w:t>
            </w:r>
          </w:p>
        </w:tc>
        <w:tc>
          <w:tcPr>
            <w:tcW w:w="1417" w:type="dxa"/>
            <w:noWrap/>
            <w:hideMark/>
          </w:tcPr>
          <w:p w:rsidR="0009290F" w:rsidRPr="00467C27" w:rsidRDefault="0009290F" w:rsidP="0009290F">
            <w:pPr>
              <w:pStyle w:val="Heading4"/>
              <w:spacing w:before="0" w:after="80"/>
              <w:jc w:val="center"/>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73%</w:t>
            </w:r>
          </w:p>
        </w:tc>
        <w:tc>
          <w:tcPr>
            <w:tcW w:w="1276" w:type="dxa"/>
            <w:shd w:val="clear" w:color="auto" w:fill="D9D9D9" w:themeFill="background1" w:themeFillShade="D9"/>
            <w:noWrap/>
            <w:hideMark/>
          </w:tcPr>
          <w:p w:rsidR="0009290F" w:rsidRPr="00467C27" w:rsidRDefault="0009290F" w:rsidP="0009290F">
            <w:pPr>
              <w:pStyle w:val="Heading4"/>
              <w:spacing w:before="0" w:after="80"/>
              <w:jc w:val="center"/>
              <w:outlineLvl w:val="3"/>
              <w:rPr>
                <w:rFonts w:asciiTheme="minorHAnsi" w:hAnsiTheme="minorHAnsi" w:cstheme="minorHAnsi"/>
                <w:b w:val="0"/>
                <w:color w:val="auto"/>
                <w:sz w:val="22"/>
              </w:rPr>
            </w:pPr>
          </w:p>
        </w:tc>
      </w:tr>
      <w:tr w:rsidR="0009290F" w:rsidRPr="00467C27" w:rsidTr="0009290F">
        <w:trPr>
          <w:trHeight w:val="276"/>
        </w:trPr>
        <w:tc>
          <w:tcPr>
            <w:tcW w:w="2749" w:type="dxa"/>
            <w:vMerge/>
            <w:hideMark/>
          </w:tcPr>
          <w:p w:rsidR="0009290F" w:rsidRPr="001651CF" w:rsidRDefault="0009290F" w:rsidP="0009290F">
            <w:pPr>
              <w:pStyle w:val="Heading4"/>
              <w:spacing w:before="0" w:after="80"/>
              <w:outlineLvl w:val="3"/>
              <w:rPr>
                <w:rFonts w:asciiTheme="minorHAnsi" w:hAnsiTheme="minorHAnsi" w:cstheme="minorHAnsi"/>
                <w:color w:val="auto"/>
                <w:sz w:val="20"/>
                <w:szCs w:val="20"/>
              </w:rPr>
            </w:pPr>
          </w:p>
        </w:tc>
        <w:tc>
          <w:tcPr>
            <w:tcW w:w="1612" w:type="dxa"/>
            <w:noWrap/>
            <w:hideMark/>
          </w:tcPr>
          <w:p w:rsidR="0009290F" w:rsidRPr="00467C27" w:rsidRDefault="0009290F" w:rsidP="0009290F">
            <w:pPr>
              <w:pStyle w:val="Heading4"/>
              <w:spacing w:before="0" w:after="80"/>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2017 n=344</w:t>
            </w:r>
          </w:p>
        </w:tc>
        <w:tc>
          <w:tcPr>
            <w:tcW w:w="1559" w:type="dxa"/>
            <w:noWrap/>
            <w:hideMark/>
          </w:tcPr>
          <w:p w:rsidR="0009290F" w:rsidRPr="00467C27" w:rsidRDefault="0009290F" w:rsidP="0009290F">
            <w:pPr>
              <w:pStyle w:val="Heading4"/>
              <w:spacing w:before="0" w:after="80"/>
              <w:jc w:val="center"/>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1%</w:t>
            </w:r>
          </w:p>
        </w:tc>
        <w:tc>
          <w:tcPr>
            <w:tcW w:w="1617" w:type="dxa"/>
            <w:noWrap/>
            <w:hideMark/>
          </w:tcPr>
          <w:p w:rsidR="0009290F" w:rsidRPr="00467C27" w:rsidRDefault="0009290F" w:rsidP="0009290F">
            <w:pPr>
              <w:pStyle w:val="Heading4"/>
              <w:spacing w:before="0" w:after="80"/>
              <w:jc w:val="center"/>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2%</w:t>
            </w:r>
          </w:p>
        </w:tc>
        <w:tc>
          <w:tcPr>
            <w:tcW w:w="1820" w:type="dxa"/>
            <w:noWrap/>
            <w:hideMark/>
          </w:tcPr>
          <w:p w:rsidR="0009290F" w:rsidRPr="00467C27" w:rsidRDefault="0009290F" w:rsidP="0009290F">
            <w:pPr>
              <w:pStyle w:val="Heading4"/>
              <w:spacing w:before="0" w:after="80"/>
              <w:jc w:val="center"/>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24%</w:t>
            </w:r>
          </w:p>
        </w:tc>
        <w:tc>
          <w:tcPr>
            <w:tcW w:w="1275" w:type="dxa"/>
            <w:noWrap/>
            <w:hideMark/>
          </w:tcPr>
          <w:p w:rsidR="0009290F" w:rsidRPr="00467C27" w:rsidRDefault="0009290F" w:rsidP="0009290F">
            <w:pPr>
              <w:pStyle w:val="Heading4"/>
              <w:spacing w:before="0" w:after="80"/>
              <w:jc w:val="center"/>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52%</w:t>
            </w:r>
          </w:p>
        </w:tc>
        <w:tc>
          <w:tcPr>
            <w:tcW w:w="1418" w:type="dxa"/>
            <w:noWrap/>
            <w:hideMark/>
          </w:tcPr>
          <w:p w:rsidR="0009290F" w:rsidRPr="00467C27" w:rsidRDefault="0009290F" w:rsidP="0009290F">
            <w:pPr>
              <w:pStyle w:val="Heading4"/>
              <w:spacing w:before="0" w:after="80"/>
              <w:jc w:val="center"/>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21%</w:t>
            </w:r>
          </w:p>
        </w:tc>
        <w:tc>
          <w:tcPr>
            <w:tcW w:w="1417" w:type="dxa"/>
            <w:noWrap/>
            <w:hideMark/>
          </w:tcPr>
          <w:p w:rsidR="0009290F" w:rsidRPr="00467C27" w:rsidRDefault="0009290F" w:rsidP="0009290F">
            <w:pPr>
              <w:pStyle w:val="Heading4"/>
              <w:spacing w:before="0" w:after="80"/>
              <w:jc w:val="center"/>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73%</w:t>
            </w:r>
          </w:p>
        </w:tc>
        <w:tc>
          <w:tcPr>
            <w:tcW w:w="1276" w:type="dxa"/>
            <w:shd w:val="clear" w:color="auto" w:fill="D9D9D9" w:themeFill="background1" w:themeFillShade="D9"/>
            <w:noWrap/>
            <w:hideMark/>
          </w:tcPr>
          <w:p w:rsidR="0009290F" w:rsidRPr="00467C27" w:rsidRDefault="0009290F" w:rsidP="0009290F">
            <w:pPr>
              <w:pStyle w:val="Heading4"/>
              <w:spacing w:before="0" w:after="80"/>
              <w:jc w:val="center"/>
              <w:outlineLvl w:val="3"/>
              <w:rPr>
                <w:rFonts w:asciiTheme="minorHAnsi" w:hAnsiTheme="minorHAnsi" w:cstheme="minorHAnsi"/>
                <w:b w:val="0"/>
                <w:color w:val="auto"/>
                <w:sz w:val="22"/>
              </w:rPr>
            </w:pPr>
          </w:p>
        </w:tc>
      </w:tr>
      <w:tr w:rsidR="0009290F" w:rsidRPr="00467C27" w:rsidTr="0009290F">
        <w:trPr>
          <w:trHeight w:val="276"/>
        </w:trPr>
        <w:tc>
          <w:tcPr>
            <w:tcW w:w="2749" w:type="dxa"/>
            <w:vMerge/>
            <w:hideMark/>
          </w:tcPr>
          <w:p w:rsidR="0009290F" w:rsidRPr="001651CF" w:rsidRDefault="0009290F" w:rsidP="0009290F">
            <w:pPr>
              <w:pStyle w:val="Heading4"/>
              <w:spacing w:before="0" w:after="80"/>
              <w:outlineLvl w:val="3"/>
              <w:rPr>
                <w:rFonts w:asciiTheme="minorHAnsi" w:hAnsiTheme="minorHAnsi" w:cstheme="minorHAnsi"/>
                <w:color w:val="auto"/>
                <w:sz w:val="20"/>
                <w:szCs w:val="20"/>
              </w:rPr>
            </w:pPr>
          </w:p>
        </w:tc>
        <w:tc>
          <w:tcPr>
            <w:tcW w:w="1612" w:type="dxa"/>
            <w:noWrap/>
            <w:hideMark/>
          </w:tcPr>
          <w:p w:rsidR="0009290F" w:rsidRPr="00467C27" w:rsidRDefault="0009290F" w:rsidP="0009290F">
            <w:pPr>
              <w:pStyle w:val="Heading4"/>
              <w:spacing w:before="0" w:after="80"/>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2018 n=514</w:t>
            </w:r>
          </w:p>
        </w:tc>
        <w:tc>
          <w:tcPr>
            <w:tcW w:w="1559" w:type="dxa"/>
            <w:noWrap/>
            <w:hideMark/>
          </w:tcPr>
          <w:p w:rsidR="0009290F" w:rsidRPr="00467C27" w:rsidRDefault="0009290F" w:rsidP="0009290F">
            <w:pPr>
              <w:pStyle w:val="Heading4"/>
              <w:spacing w:before="0" w:after="80"/>
              <w:jc w:val="center"/>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0%</w:t>
            </w:r>
          </w:p>
        </w:tc>
        <w:tc>
          <w:tcPr>
            <w:tcW w:w="1617" w:type="dxa"/>
            <w:noWrap/>
            <w:hideMark/>
          </w:tcPr>
          <w:p w:rsidR="0009290F" w:rsidRPr="00467C27" w:rsidRDefault="0009290F" w:rsidP="0009290F">
            <w:pPr>
              <w:pStyle w:val="Heading4"/>
              <w:spacing w:before="0" w:after="80"/>
              <w:jc w:val="center"/>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4%</w:t>
            </w:r>
          </w:p>
        </w:tc>
        <w:tc>
          <w:tcPr>
            <w:tcW w:w="1820" w:type="dxa"/>
            <w:noWrap/>
            <w:hideMark/>
          </w:tcPr>
          <w:p w:rsidR="0009290F" w:rsidRPr="00467C27" w:rsidRDefault="0009290F" w:rsidP="0009290F">
            <w:pPr>
              <w:pStyle w:val="Heading4"/>
              <w:spacing w:before="0" w:after="80"/>
              <w:jc w:val="center"/>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23%</w:t>
            </w:r>
          </w:p>
        </w:tc>
        <w:tc>
          <w:tcPr>
            <w:tcW w:w="1275" w:type="dxa"/>
            <w:noWrap/>
            <w:hideMark/>
          </w:tcPr>
          <w:p w:rsidR="0009290F" w:rsidRPr="00467C27" w:rsidRDefault="0009290F" w:rsidP="0009290F">
            <w:pPr>
              <w:pStyle w:val="Heading4"/>
              <w:spacing w:before="0" w:after="80"/>
              <w:jc w:val="center"/>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51%</w:t>
            </w:r>
          </w:p>
        </w:tc>
        <w:tc>
          <w:tcPr>
            <w:tcW w:w="1418" w:type="dxa"/>
            <w:noWrap/>
            <w:hideMark/>
          </w:tcPr>
          <w:p w:rsidR="0009290F" w:rsidRPr="00467C27" w:rsidRDefault="0009290F" w:rsidP="0009290F">
            <w:pPr>
              <w:pStyle w:val="Heading4"/>
              <w:spacing w:before="0" w:after="80"/>
              <w:jc w:val="center"/>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22%</w:t>
            </w:r>
          </w:p>
        </w:tc>
        <w:tc>
          <w:tcPr>
            <w:tcW w:w="1417" w:type="dxa"/>
            <w:noWrap/>
            <w:hideMark/>
          </w:tcPr>
          <w:p w:rsidR="0009290F" w:rsidRPr="00467C27" w:rsidRDefault="0009290F" w:rsidP="0009290F">
            <w:pPr>
              <w:pStyle w:val="Heading4"/>
              <w:spacing w:before="0" w:after="80"/>
              <w:jc w:val="center"/>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73%</w:t>
            </w:r>
          </w:p>
        </w:tc>
        <w:tc>
          <w:tcPr>
            <w:tcW w:w="1276" w:type="dxa"/>
            <w:shd w:val="clear" w:color="auto" w:fill="D9D9D9" w:themeFill="background1" w:themeFillShade="D9"/>
            <w:noWrap/>
            <w:hideMark/>
          </w:tcPr>
          <w:p w:rsidR="0009290F" w:rsidRPr="00467C27" w:rsidRDefault="0009290F" w:rsidP="0009290F">
            <w:pPr>
              <w:pStyle w:val="Heading4"/>
              <w:spacing w:before="0" w:after="80"/>
              <w:jc w:val="center"/>
              <w:outlineLvl w:val="3"/>
              <w:rPr>
                <w:rFonts w:asciiTheme="minorHAnsi" w:hAnsiTheme="minorHAnsi" w:cstheme="minorHAnsi"/>
                <w:b w:val="0"/>
                <w:color w:val="auto"/>
                <w:sz w:val="22"/>
              </w:rPr>
            </w:pPr>
          </w:p>
        </w:tc>
      </w:tr>
      <w:tr w:rsidR="0009290F" w:rsidRPr="00467C27" w:rsidTr="0009290F">
        <w:trPr>
          <w:trHeight w:val="276"/>
        </w:trPr>
        <w:tc>
          <w:tcPr>
            <w:tcW w:w="2749" w:type="dxa"/>
            <w:vMerge/>
            <w:hideMark/>
          </w:tcPr>
          <w:p w:rsidR="0009290F" w:rsidRPr="001651CF" w:rsidRDefault="0009290F" w:rsidP="0009290F">
            <w:pPr>
              <w:pStyle w:val="Heading4"/>
              <w:spacing w:before="0" w:after="80"/>
              <w:outlineLvl w:val="3"/>
              <w:rPr>
                <w:rFonts w:asciiTheme="minorHAnsi" w:hAnsiTheme="minorHAnsi" w:cstheme="minorHAnsi"/>
                <w:color w:val="auto"/>
                <w:sz w:val="20"/>
                <w:szCs w:val="20"/>
              </w:rPr>
            </w:pPr>
          </w:p>
        </w:tc>
        <w:tc>
          <w:tcPr>
            <w:tcW w:w="1612" w:type="dxa"/>
            <w:noWrap/>
            <w:hideMark/>
          </w:tcPr>
          <w:p w:rsidR="0009290F" w:rsidRPr="00467C27" w:rsidRDefault="0009290F" w:rsidP="0009290F">
            <w:pPr>
              <w:pStyle w:val="Heading4"/>
              <w:spacing w:before="0" w:after="80"/>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2019 n=149</w:t>
            </w:r>
          </w:p>
        </w:tc>
        <w:tc>
          <w:tcPr>
            <w:tcW w:w="1559" w:type="dxa"/>
            <w:noWrap/>
            <w:hideMark/>
          </w:tcPr>
          <w:p w:rsidR="0009290F" w:rsidRPr="00467C27" w:rsidRDefault="0009290F" w:rsidP="0009290F">
            <w:pPr>
              <w:pStyle w:val="Heading4"/>
              <w:spacing w:before="0" w:after="80"/>
              <w:jc w:val="center"/>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2%</w:t>
            </w:r>
          </w:p>
        </w:tc>
        <w:tc>
          <w:tcPr>
            <w:tcW w:w="1617" w:type="dxa"/>
            <w:noWrap/>
            <w:hideMark/>
          </w:tcPr>
          <w:p w:rsidR="0009290F" w:rsidRPr="00467C27" w:rsidRDefault="0009290F" w:rsidP="0009290F">
            <w:pPr>
              <w:pStyle w:val="Heading4"/>
              <w:spacing w:before="0" w:after="80"/>
              <w:jc w:val="center"/>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5%</w:t>
            </w:r>
          </w:p>
        </w:tc>
        <w:tc>
          <w:tcPr>
            <w:tcW w:w="1820" w:type="dxa"/>
            <w:noWrap/>
            <w:hideMark/>
          </w:tcPr>
          <w:p w:rsidR="0009290F" w:rsidRPr="00467C27" w:rsidRDefault="0009290F" w:rsidP="0009290F">
            <w:pPr>
              <w:pStyle w:val="Heading4"/>
              <w:spacing w:before="0" w:after="80"/>
              <w:jc w:val="center"/>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10%</w:t>
            </w:r>
          </w:p>
        </w:tc>
        <w:tc>
          <w:tcPr>
            <w:tcW w:w="1275" w:type="dxa"/>
            <w:noWrap/>
            <w:hideMark/>
          </w:tcPr>
          <w:p w:rsidR="0009290F" w:rsidRPr="00467C27" w:rsidRDefault="0009290F" w:rsidP="0009290F">
            <w:pPr>
              <w:pStyle w:val="Heading4"/>
              <w:spacing w:before="0" w:after="80"/>
              <w:jc w:val="center"/>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66%</w:t>
            </w:r>
          </w:p>
        </w:tc>
        <w:tc>
          <w:tcPr>
            <w:tcW w:w="1418" w:type="dxa"/>
            <w:noWrap/>
            <w:hideMark/>
          </w:tcPr>
          <w:p w:rsidR="0009290F" w:rsidRPr="00467C27" w:rsidRDefault="0009290F" w:rsidP="0009290F">
            <w:pPr>
              <w:pStyle w:val="Heading4"/>
              <w:spacing w:before="0" w:after="80"/>
              <w:jc w:val="center"/>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19%</w:t>
            </w:r>
          </w:p>
        </w:tc>
        <w:tc>
          <w:tcPr>
            <w:tcW w:w="1417" w:type="dxa"/>
            <w:noWrap/>
            <w:hideMark/>
          </w:tcPr>
          <w:p w:rsidR="0009290F" w:rsidRPr="00467C27" w:rsidRDefault="0009290F" w:rsidP="0009290F">
            <w:pPr>
              <w:pStyle w:val="Heading4"/>
              <w:spacing w:before="0" w:after="80"/>
              <w:jc w:val="center"/>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85%</w:t>
            </w:r>
          </w:p>
        </w:tc>
        <w:tc>
          <w:tcPr>
            <w:tcW w:w="1276" w:type="dxa"/>
            <w:shd w:val="clear" w:color="auto" w:fill="D9D9D9" w:themeFill="background1" w:themeFillShade="D9"/>
            <w:noWrap/>
            <w:hideMark/>
          </w:tcPr>
          <w:p w:rsidR="0009290F" w:rsidRPr="00467C27" w:rsidRDefault="0009290F" w:rsidP="0009290F">
            <w:pPr>
              <w:pStyle w:val="Heading4"/>
              <w:spacing w:before="0" w:after="80"/>
              <w:jc w:val="center"/>
              <w:outlineLvl w:val="3"/>
              <w:rPr>
                <w:rFonts w:asciiTheme="minorHAnsi" w:hAnsiTheme="minorHAnsi" w:cstheme="minorHAnsi"/>
                <w:b w:val="0"/>
                <w:color w:val="auto"/>
                <w:sz w:val="22"/>
              </w:rPr>
            </w:pPr>
          </w:p>
        </w:tc>
      </w:tr>
      <w:tr w:rsidR="0009290F" w:rsidRPr="00467C27" w:rsidTr="0009290F">
        <w:trPr>
          <w:trHeight w:val="151"/>
        </w:trPr>
        <w:tc>
          <w:tcPr>
            <w:tcW w:w="2749" w:type="dxa"/>
            <w:vMerge w:val="restart"/>
            <w:hideMark/>
          </w:tcPr>
          <w:p w:rsidR="0009290F" w:rsidRPr="001651CF" w:rsidRDefault="0009290F" w:rsidP="0009290F">
            <w:pPr>
              <w:pStyle w:val="Heading4"/>
              <w:spacing w:before="0" w:after="80"/>
              <w:outlineLvl w:val="3"/>
              <w:rPr>
                <w:rFonts w:asciiTheme="minorHAnsi" w:hAnsiTheme="minorHAnsi" w:cstheme="minorHAnsi"/>
                <w:color w:val="auto"/>
                <w:sz w:val="20"/>
                <w:szCs w:val="20"/>
              </w:rPr>
            </w:pPr>
            <w:r w:rsidRPr="001651CF">
              <w:rPr>
                <w:rFonts w:asciiTheme="minorHAnsi" w:hAnsiTheme="minorHAnsi" w:cstheme="minorHAnsi"/>
                <w:color w:val="auto"/>
                <w:sz w:val="20"/>
                <w:szCs w:val="20"/>
              </w:rPr>
              <w:t>A Wellington City Council sportsfield which has artificial turf</w:t>
            </w:r>
          </w:p>
        </w:tc>
        <w:tc>
          <w:tcPr>
            <w:tcW w:w="1612" w:type="dxa"/>
            <w:noWrap/>
            <w:hideMark/>
          </w:tcPr>
          <w:p w:rsidR="0009290F" w:rsidRPr="00467C27" w:rsidRDefault="0009290F" w:rsidP="0009290F">
            <w:pPr>
              <w:pStyle w:val="Heading4"/>
              <w:spacing w:before="0" w:after="80"/>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2015 n=464</w:t>
            </w:r>
          </w:p>
        </w:tc>
        <w:tc>
          <w:tcPr>
            <w:tcW w:w="1559" w:type="dxa"/>
            <w:noWrap/>
            <w:hideMark/>
          </w:tcPr>
          <w:p w:rsidR="0009290F" w:rsidRPr="00467C27" w:rsidRDefault="0009290F" w:rsidP="0009290F">
            <w:pPr>
              <w:pStyle w:val="Heading4"/>
              <w:spacing w:before="0" w:after="80"/>
              <w:jc w:val="center"/>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w:t>
            </w:r>
          </w:p>
        </w:tc>
        <w:tc>
          <w:tcPr>
            <w:tcW w:w="1617" w:type="dxa"/>
            <w:noWrap/>
            <w:hideMark/>
          </w:tcPr>
          <w:p w:rsidR="0009290F" w:rsidRPr="00467C27" w:rsidRDefault="0009290F" w:rsidP="0009290F">
            <w:pPr>
              <w:pStyle w:val="Heading4"/>
              <w:spacing w:before="0" w:after="80"/>
              <w:jc w:val="center"/>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1%</w:t>
            </w:r>
          </w:p>
        </w:tc>
        <w:tc>
          <w:tcPr>
            <w:tcW w:w="1820" w:type="dxa"/>
            <w:noWrap/>
            <w:hideMark/>
          </w:tcPr>
          <w:p w:rsidR="0009290F" w:rsidRPr="00467C27" w:rsidRDefault="0009290F" w:rsidP="0009290F">
            <w:pPr>
              <w:pStyle w:val="Heading4"/>
              <w:spacing w:before="0" w:after="80"/>
              <w:jc w:val="center"/>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14%</w:t>
            </w:r>
          </w:p>
        </w:tc>
        <w:tc>
          <w:tcPr>
            <w:tcW w:w="1275" w:type="dxa"/>
            <w:noWrap/>
            <w:hideMark/>
          </w:tcPr>
          <w:p w:rsidR="0009290F" w:rsidRPr="00467C27" w:rsidRDefault="0009290F" w:rsidP="0009290F">
            <w:pPr>
              <w:pStyle w:val="Heading4"/>
              <w:spacing w:before="0" w:after="80"/>
              <w:jc w:val="center"/>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38%</w:t>
            </w:r>
          </w:p>
        </w:tc>
        <w:tc>
          <w:tcPr>
            <w:tcW w:w="1418" w:type="dxa"/>
            <w:noWrap/>
            <w:hideMark/>
          </w:tcPr>
          <w:p w:rsidR="0009290F" w:rsidRPr="00467C27" w:rsidRDefault="0009290F" w:rsidP="0009290F">
            <w:pPr>
              <w:pStyle w:val="Heading4"/>
              <w:spacing w:before="0" w:after="80"/>
              <w:jc w:val="center"/>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47%</w:t>
            </w:r>
          </w:p>
        </w:tc>
        <w:tc>
          <w:tcPr>
            <w:tcW w:w="1417" w:type="dxa"/>
            <w:noWrap/>
            <w:hideMark/>
          </w:tcPr>
          <w:p w:rsidR="0009290F" w:rsidRPr="00467C27" w:rsidRDefault="0009290F" w:rsidP="0009290F">
            <w:pPr>
              <w:pStyle w:val="Heading4"/>
              <w:spacing w:before="0" w:after="80"/>
              <w:jc w:val="center"/>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85%</w:t>
            </w:r>
          </w:p>
        </w:tc>
        <w:tc>
          <w:tcPr>
            <w:tcW w:w="1276" w:type="dxa"/>
            <w:shd w:val="clear" w:color="auto" w:fill="D9D9D9" w:themeFill="background1" w:themeFillShade="D9"/>
            <w:noWrap/>
            <w:hideMark/>
          </w:tcPr>
          <w:p w:rsidR="0009290F" w:rsidRPr="00467C27" w:rsidRDefault="0009290F" w:rsidP="0009290F">
            <w:pPr>
              <w:pStyle w:val="Heading4"/>
              <w:spacing w:before="0" w:after="80"/>
              <w:jc w:val="center"/>
              <w:outlineLvl w:val="3"/>
              <w:rPr>
                <w:rFonts w:asciiTheme="minorHAnsi" w:hAnsiTheme="minorHAnsi" w:cstheme="minorHAnsi"/>
                <w:b w:val="0"/>
                <w:color w:val="auto"/>
                <w:sz w:val="22"/>
              </w:rPr>
            </w:pPr>
          </w:p>
        </w:tc>
      </w:tr>
      <w:tr w:rsidR="0009290F" w:rsidRPr="00467C27" w:rsidTr="0009290F">
        <w:trPr>
          <w:trHeight w:val="276"/>
        </w:trPr>
        <w:tc>
          <w:tcPr>
            <w:tcW w:w="2749" w:type="dxa"/>
            <w:vMerge/>
            <w:hideMark/>
          </w:tcPr>
          <w:p w:rsidR="0009290F" w:rsidRPr="00467C27" w:rsidRDefault="0009290F" w:rsidP="0009290F">
            <w:pPr>
              <w:pStyle w:val="Heading4"/>
              <w:spacing w:before="0" w:after="80"/>
              <w:outlineLvl w:val="3"/>
              <w:rPr>
                <w:rFonts w:asciiTheme="minorHAnsi" w:hAnsiTheme="minorHAnsi" w:cstheme="minorHAnsi"/>
                <w:b w:val="0"/>
                <w:color w:val="auto"/>
                <w:sz w:val="22"/>
              </w:rPr>
            </w:pPr>
          </w:p>
        </w:tc>
        <w:tc>
          <w:tcPr>
            <w:tcW w:w="1612" w:type="dxa"/>
            <w:noWrap/>
            <w:hideMark/>
          </w:tcPr>
          <w:p w:rsidR="0009290F" w:rsidRPr="00467C27" w:rsidRDefault="0009290F" w:rsidP="0009290F">
            <w:pPr>
              <w:pStyle w:val="Heading4"/>
              <w:spacing w:before="0" w:after="80"/>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2016 n=209</w:t>
            </w:r>
          </w:p>
        </w:tc>
        <w:tc>
          <w:tcPr>
            <w:tcW w:w="1559" w:type="dxa"/>
            <w:noWrap/>
            <w:hideMark/>
          </w:tcPr>
          <w:p w:rsidR="0009290F" w:rsidRPr="00467C27" w:rsidRDefault="0009290F" w:rsidP="0009290F">
            <w:pPr>
              <w:pStyle w:val="Heading4"/>
              <w:spacing w:before="0" w:after="80"/>
              <w:jc w:val="center"/>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w:t>
            </w:r>
          </w:p>
        </w:tc>
        <w:tc>
          <w:tcPr>
            <w:tcW w:w="1617" w:type="dxa"/>
            <w:noWrap/>
            <w:hideMark/>
          </w:tcPr>
          <w:p w:rsidR="0009290F" w:rsidRPr="00467C27" w:rsidRDefault="0009290F" w:rsidP="0009290F">
            <w:pPr>
              <w:pStyle w:val="Heading4"/>
              <w:spacing w:before="0" w:after="80"/>
              <w:jc w:val="center"/>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0%</w:t>
            </w:r>
          </w:p>
        </w:tc>
        <w:tc>
          <w:tcPr>
            <w:tcW w:w="1820" w:type="dxa"/>
            <w:noWrap/>
            <w:hideMark/>
          </w:tcPr>
          <w:p w:rsidR="0009290F" w:rsidRPr="00467C27" w:rsidRDefault="0009290F" w:rsidP="0009290F">
            <w:pPr>
              <w:pStyle w:val="Heading4"/>
              <w:spacing w:before="0" w:after="80"/>
              <w:jc w:val="center"/>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15%</w:t>
            </w:r>
          </w:p>
        </w:tc>
        <w:tc>
          <w:tcPr>
            <w:tcW w:w="1275" w:type="dxa"/>
            <w:noWrap/>
            <w:hideMark/>
          </w:tcPr>
          <w:p w:rsidR="0009290F" w:rsidRPr="00467C27" w:rsidRDefault="0009290F" w:rsidP="0009290F">
            <w:pPr>
              <w:pStyle w:val="Heading4"/>
              <w:spacing w:before="0" w:after="80"/>
              <w:jc w:val="center"/>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37%</w:t>
            </w:r>
          </w:p>
        </w:tc>
        <w:tc>
          <w:tcPr>
            <w:tcW w:w="1418" w:type="dxa"/>
            <w:noWrap/>
            <w:hideMark/>
          </w:tcPr>
          <w:p w:rsidR="0009290F" w:rsidRPr="00467C27" w:rsidRDefault="0009290F" w:rsidP="0009290F">
            <w:pPr>
              <w:pStyle w:val="Heading4"/>
              <w:spacing w:before="0" w:after="80"/>
              <w:jc w:val="center"/>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48%</w:t>
            </w:r>
          </w:p>
        </w:tc>
        <w:tc>
          <w:tcPr>
            <w:tcW w:w="1417" w:type="dxa"/>
            <w:noWrap/>
            <w:hideMark/>
          </w:tcPr>
          <w:p w:rsidR="0009290F" w:rsidRPr="00467C27" w:rsidRDefault="0009290F" w:rsidP="0009290F">
            <w:pPr>
              <w:pStyle w:val="Heading4"/>
              <w:spacing w:before="0" w:after="80"/>
              <w:jc w:val="center"/>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85%</w:t>
            </w:r>
          </w:p>
        </w:tc>
        <w:tc>
          <w:tcPr>
            <w:tcW w:w="1276" w:type="dxa"/>
            <w:shd w:val="clear" w:color="auto" w:fill="D9D9D9" w:themeFill="background1" w:themeFillShade="D9"/>
            <w:noWrap/>
            <w:hideMark/>
          </w:tcPr>
          <w:p w:rsidR="0009290F" w:rsidRPr="00467C27" w:rsidRDefault="0009290F" w:rsidP="0009290F">
            <w:pPr>
              <w:pStyle w:val="Heading4"/>
              <w:spacing w:before="0" w:after="80"/>
              <w:jc w:val="center"/>
              <w:outlineLvl w:val="3"/>
              <w:rPr>
                <w:rFonts w:asciiTheme="minorHAnsi" w:hAnsiTheme="minorHAnsi" w:cstheme="minorHAnsi"/>
                <w:b w:val="0"/>
                <w:color w:val="auto"/>
                <w:sz w:val="22"/>
              </w:rPr>
            </w:pPr>
          </w:p>
        </w:tc>
      </w:tr>
      <w:tr w:rsidR="0009290F" w:rsidRPr="00467C27" w:rsidTr="0009290F">
        <w:trPr>
          <w:trHeight w:val="276"/>
        </w:trPr>
        <w:tc>
          <w:tcPr>
            <w:tcW w:w="2749" w:type="dxa"/>
            <w:vMerge/>
            <w:hideMark/>
          </w:tcPr>
          <w:p w:rsidR="0009290F" w:rsidRPr="00467C27" w:rsidRDefault="0009290F" w:rsidP="0009290F">
            <w:pPr>
              <w:pStyle w:val="Heading4"/>
              <w:spacing w:before="0" w:after="80"/>
              <w:outlineLvl w:val="3"/>
              <w:rPr>
                <w:rFonts w:asciiTheme="minorHAnsi" w:hAnsiTheme="minorHAnsi" w:cstheme="minorHAnsi"/>
                <w:b w:val="0"/>
                <w:color w:val="auto"/>
                <w:sz w:val="22"/>
              </w:rPr>
            </w:pPr>
          </w:p>
        </w:tc>
        <w:tc>
          <w:tcPr>
            <w:tcW w:w="1612" w:type="dxa"/>
            <w:noWrap/>
            <w:hideMark/>
          </w:tcPr>
          <w:p w:rsidR="0009290F" w:rsidRPr="00467C27" w:rsidRDefault="0009290F" w:rsidP="0009290F">
            <w:pPr>
              <w:pStyle w:val="Heading4"/>
              <w:spacing w:before="0" w:after="80"/>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2017 n=175</w:t>
            </w:r>
          </w:p>
        </w:tc>
        <w:tc>
          <w:tcPr>
            <w:tcW w:w="1559" w:type="dxa"/>
            <w:noWrap/>
            <w:hideMark/>
          </w:tcPr>
          <w:p w:rsidR="0009290F" w:rsidRPr="00467C27" w:rsidRDefault="0009290F" w:rsidP="0009290F">
            <w:pPr>
              <w:pStyle w:val="Heading4"/>
              <w:spacing w:before="0" w:after="80"/>
              <w:jc w:val="center"/>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1%</w:t>
            </w:r>
          </w:p>
        </w:tc>
        <w:tc>
          <w:tcPr>
            <w:tcW w:w="1617" w:type="dxa"/>
            <w:noWrap/>
            <w:hideMark/>
          </w:tcPr>
          <w:p w:rsidR="0009290F" w:rsidRPr="00467C27" w:rsidRDefault="0009290F" w:rsidP="0009290F">
            <w:pPr>
              <w:pStyle w:val="Heading4"/>
              <w:spacing w:before="0" w:after="80"/>
              <w:jc w:val="center"/>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2%</w:t>
            </w:r>
          </w:p>
        </w:tc>
        <w:tc>
          <w:tcPr>
            <w:tcW w:w="1820" w:type="dxa"/>
            <w:noWrap/>
            <w:hideMark/>
          </w:tcPr>
          <w:p w:rsidR="0009290F" w:rsidRPr="00467C27" w:rsidRDefault="0009290F" w:rsidP="0009290F">
            <w:pPr>
              <w:pStyle w:val="Heading4"/>
              <w:spacing w:before="0" w:after="80"/>
              <w:jc w:val="center"/>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19%</w:t>
            </w:r>
          </w:p>
        </w:tc>
        <w:tc>
          <w:tcPr>
            <w:tcW w:w="1275" w:type="dxa"/>
            <w:noWrap/>
            <w:hideMark/>
          </w:tcPr>
          <w:p w:rsidR="0009290F" w:rsidRPr="00467C27" w:rsidRDefault="0009290F" w:rsidP="0009290F">
            <w:pPr>
              <w:pStyle w:val="Heading4"/>
              <w:spacing w:before="0" w:after="80"/>
              <w:jc w:val="center"/>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35%</w:t>
            </w:r>
          </w:p>
        </w:tc>
        <w:tc>
          <w:tcPr>
            <w:tcW w:w="1418" w:type="dxa"/>
            <w:noWrap/>
            <w:hideMark/>
          </w:tcPr>
          <w:p w:rsidR="0009290F" w:rsidRPr="00467C27" w:rsidRDefault="0009290F" w:rsidP="0009290F">
            <w:pPr>
              <w:pStyle w:val="Heading4"/>
              <w:spacing w:before="0" w:after="80"/>
              <w:jc w:val="center"/>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43%</w:t>
            </w:r>
          </w:p>
        </w:tc>
        <w:tc>
          <w:tcPr>
            <w:tcW w:w="1417" w:type="dxa"/>
            <w:noWrap/>
            <w:hideMark/>
          </w:tcPr>
          <w:p w:rsidR="0009290F" w:rsidRPr="00467C27" w:rsidRDefault="0009290F" w:rsidP="0009290F">
            <w:pPr>
              <w:pStyle w:val="Heading4"/>
              <w:spacing w:before="0" w:after="80"/>
              <w:jc w:val="center"/>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78%</w:t>
            </w:r>
          </w:p>
        </w:tc>
        <w:tc>
          <w:tcPr>
            <w:tcW w:w="1276" w:type="dxa"/>
            <w:noWrap/>
            <w:hideMark/>
          </w:tcPr>
          <w:p w:rsidR="0009290F" w:rsidRPr="00467C27" w:rsidRDefault="0009290F" w:rsidP="0009290F">
            <w:pPr>
              <w:pStyle w:val="Heading4"/>
              <w:spacing w:before="0" w:after="80"/>
              <w:jc w:val="center"/>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83%</w:t>
            </w:r>
          </w:p>
        </w:tc>
      </w:tr>
      <w:tr w:rsidR="0009290F" w:rsidRPr="00467C27" w:rsidTr="0009290F">
        <w:trPr>
          <w:trHeight w:val="276"/>
        </w:trPr>
        <w:tc>
          <w:tcPr>
            <w:tcW w:w="2749" w:type="dxa"/>
            <w:vMerge/>
            <w:hideMark/>
          </w:tcPr>
          <w:p w:rsidR="0009290F" w:rsidRPr="00467C27" w:rsidRDefault="0009290F" w:rsidP="0009290F">
            <w:pPr>
              <w:pStyle w:val="Heading4"/>
              <w:spacing w:before="0" w:after="80"/>
              <w:outlineLvl w:val="3"/>
              <w:rPr>
                <w:rFonts w:asciiTheme="minorHAnsi" w:hAnsiTheme="minorHAnsi" w:cstheme="minorHAnsi"/>
                <w:b w:val="0"/>
                <w:color w:val="auto"/>
                <w:sz w:val="22"/>
              </w:rPr>
            </w:pPr>
          </w:p>
        </w:tc>
        <w:tc>
          <w:tcPr>
            <w:tcW w:w="1612" w:type="dxa"/>
            <w:noWrap/>
            <w:hideMark/>
          </w:tcPr>
          <w:p w:rsidR="0009290F" w:rsidRPr="00467C27" w:rsidRDefault="0009290F" w:rsidP="0009290F">
            <w:pPr>
              <w:pStyle w:val="Heading4"/>
              <w:spacing w:before="0" w:after="80"/>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2018 n=273</w:t>
            </w:r>
          </w:p>
        </w:tc>
        <w:tc>
          <w:tcPr>
            <w:tcW w:w="1559" w:type="dxa"/>
            <w:noWrap/>
            <w:hideMark/>
          </w:tcPr>
          <w:p w:rsidR="0009290F" w:rsidRPr="00467C27" w:rsidRDefault="0009290F" w:rsidP="0009290F">
            <w:pPr>
              <w:pStyle w:val="Heading4"/>
              <w:spacing w:before="0" w:after="80"/>
              <w:jc w:val="center"/>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w:t>
            </w:r>
          </w:p>
        </w:tc>
        <w:tc>
          <w:tcPr>
            <w:tcW w:w="1617" w:type="dxa"/>
            <w:noWrap/>
            <w:hideMark/>
          </w:tcPr>
          <w:p w:rsidR="0009290F" w:rsidRPr="00467C27" w:rsidRDefault="0009290F" w:rsidP="0009290F">
            <w:pPr>
              <w:pStyle w:val="Heading4"/>
              <w:spacing w:before="0" w:after="80"/>
              <w:jc w:val="center"/>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3%</w:t>
            </w:r>
          </w:p>
        </w:tc>
        <w:tc>
          <w:tcPr>
            <w:tcW w:w="1820" w:type="dxa"/>
            <w:noWrap/>
            <w:hideMark/>
          </w:tcPr>
          <w:p w:rsidR="0009290F" w:rsidRPr="00467C27" w:rsidRDefault="0009290F" w:rsidP="0009290F">
            <w:pPr>
              <w:pStyle w:val="Heading4"/>
              <w:spacing w:before="0" w:after="80"/>
              <w:jc w:val="center"/>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16%</w:t>
            </w:r>
          </w:p>
        </w:tc>
        <w:tc>
          <w:tcPr>
            <w:tcW w:w="1275" w:type="dxa"/>
            <w:noWrap/>
            <w:hideMark/>
          </w:tcPr>
          <w:p w:rsidR="0009290F" w:rsidRPr="00467C27" w:rsidRDefault="0009290F" w:rsidP="0009290F">
            <w:pPr>
              <w:pStyle w:val="Heading4"/>
              <w:spacing w:before="0" w:after="80"/>
              <w:jc w:val="center"/>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45%</w:t>
            </w:r>
          </w:p>
        </w:tc>
        <w:tc>
          <w:tcPr>
            <w:tcW w:w="1418" w:type="dxa"/>
            <w:noWrap/>
            <w:hideMark/>
          </w:tcPr>
          <w:p w:rsidR="0009290F" w:rsidRPr="00467C27" w:rsidRDefault="0009290F" w:rsidP="0009290F">
            <w:pPr>
              <w:pStyle w:val="Heading4"/>
              <w:spacing w:before="0" w:after="80"/>
              <w:jc w:val="center"/>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36%</w:t>
            </w:r>
          </w:p>
        </w:tc>
        <w:tc>
          <w:tcPr>
            <w:tcW w:w="1417" w:type="dxa"/>
            <w:noWrap/>
            <w:hideMark/>
          </w:tcPr>
          <w:p w:rsidR="0009290F" w:rsidRPr="00467C27" w:rsidRDefault="0009290F" w:rsidP="0009290F">
            <w:pPr>
              <w:pStyle w:val="Heading4"/>
              <w:spacing w:before="0" w:after="80"/>
              <w:jc w:val="center"/>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81%</w:t>
            </w:r>
          </w:p>
        </w:tc>
        <w:tc>
          <w:tcPr>
            <w:tcW w:w="1276" w:type="dxa"/>
            <w:noWrap/>
            <w:hideMark/>
          </w:tcPr>
          <w:p w:rsidR="0009290F" w:rsidRPr="00467C27" w:rsidRDefault="0009290F" w:rsidP="0009290F">
            <w:pPr>
              <w:pStyle w:val="Heading4"/>
              <w:spacing w:before="0" w:after="80"/>
              <w:jc w:val="center"/>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84%</w:t>
            </w:r>
          </w:p>
        </w:tc>
      </w:tr>
      <w:tr w:rsidR="0009290F" w:rsidRPr="00467C27" w:rsidTr="0009290F">
        <w:trPr>
          <w:trHeight w:val="276"/>
        </w:trPr>
        <w:tc>
          <w:tcPr>
            <w:tcW w:w="2749" w:type="dxa"/>
            <w:vMerge/>
            <w:hideMark/>
          </w:tcPr>
          <w:p w:rsidR="0009290F" w:rsidRPr="00467C27" w:rsidRDefault="0009290F" w:rsidP="0009290F">
            <w:pPr>
              <w:pStyle w:val="Heading4"/>
              <w:spacing w:before="0" w:after="80"/>
              <w:outlineLvl w:val="3"/>
              <w:rPr>
                <w:rFonts w:asciiTheme="minorHAnsi" w:hAnsiTheme="minorHAnsi" w:cstheme="minorHAnsi"/>
                <w:b w:val="0"/>
                <w:color w:val="auto"/>
                <w:sz w:val="22"/>
              </w:rPr>
            </w:pPr>
          </w:p>
        </w:tc>
        <w:tc>
          <w:tcPr>
            <w:tcW w:w="1612" w:type="dxa"/>
            <w:noWrap/>
            <w:hideMark/>
          </w:tcPr>
          <w:p w:rsidR="0009290F" w:rsidRPr="00467C27" w:rsidRDefault="0009290F" w:rsidP="0009290F">
            <w:pPr>
              <w:pStyle w:val="Heading4"/>
              <w:spacing w:before="0" w:after="80"/>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2019 n=78</w:t>
            </w:r>
          </w:p>
        </w:tc>
        <w:tc>
          <w:tcPr>
            <w:tcW w:w="1559" w:type="dxa"/>
            <w:noWrap/>
            <w:hideMark/>
          </w:tcPr>
          <w:p w:rsidR="0009290F" w:rsidRPr="00467C27" w:rsidRDefault="0009290F" w:rsidP="0009290F">
            <w:pPr>
              <w:pStyle w:val="Heading4"/>
              <w:spacing w:before="0" w:after="80"/>
              <w:jc w:val="center"/>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2%</w:t>
            </w:r>
          </w:p>
        </w:tc>
        <w:tc>
          <w:tcPr>
            <w:tcW w:w="1617" w:type="dxa"/>
            <w:noWrap/>
            <w:hideMark/>
          </w:tcPr>
          <w:p w:rsidR="0009290F" w:rsidRPr="00467C27" w:rsidRDefault="0009290F" w:rsidP="0009290F">
            <w:pPr>
              <w:pStyle w:val="Heading4"/>
              <w:spacing w:before="0" w:after="80"/>
              <w:jc w:val="center"/>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2%</w:t>
            </w:r>
          </w:p>
        </w:tc>
        <w:tc>
          <w:tcPr>
            <w:tcW w:w="1820" w:type="dxa"/>
            <w:noWrap/>
            <w:hideMark/>
          </w:tcPr>
          <w:p w:rsidR="0009290F" w:rsidRPr="00467C27" w:rsidRDefault="0009290F" w:rsidP="0009290F">
            <w:pPr>
              <w:pStyle w:val="Heading4"/>
              <w:spacing w:before="0" w:after="80"/>
              <w:jc w:val="center"/>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4%</w:t>
            </w:r>
          </w:p>
        </w:tc>
        <w:tc>
          <w:tcPr>
            <w:tcW w:w="1275" w:type="dxa"/>
            <w:noWrap/>
            <w:hideMark/>
          </w:tcPr>
          <w:p w:rsidR="0009290F" w:rsidRPr="00467C27" w:rsidRDefault="0009290F" w:rsidP="0009290F">
            <w:pPr>
              <w:pStyle w:val="Heading4"/>
              <w:spacing w:before="0" w:after="80"/>
              <w:jc w:val="center"/>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45%</w:t>
            </w:r>
          </w:p>
        </w:tc>
        <w:tc>
          <w:tcPr>
            <w:tcW w:w="1418" w:type="dxa"/>
            <w:noWrap/>
            <w:hideMark/>
          </w:tcPr>
          <w:p w:rsidR="0009290F" w:rsidRPr="00467C27" w:rsidRDefault="0009290F" w:rsidP="0009290F">
            <w:pPr>
              <w:pStyle w:val="Heading4"/>
              <w:spacing w:before="0" w:after="80"/>
              <w:jc w:val="center"/>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47%</w:t>
            </w:r>
          </w:p>
        </w:tc>
        <w:tc>
          <w:tcPr>
            <w:tcW w:w="1417" w:type="dxa"/>
            <w:noWrap/>
            <w:hideMark/>
          </w:tcPr>
          <w:p w:rsidR="0009290F" w:rsidRPr="00467C27" w:rsidRDefault="0009290F" w:rsidP="0009290F">
            <w:pPr>
              <w:pStyle w:val="Heading4"/>
              <w:spacing w:before="0" w:after="80"/>
              <w:jc w:val="center"/>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92%</w:t>
            </w:r>
          </w:p>
        </w:tc>
        <w:tc>
          <w:tcPr>
            <w:tcW w:w="1276" w:type="dxa"/>
            <w:noWrap/>
            <w:hideMark/>
          </w:tcPr>
          <w:p w:rsidR="0009290F" w:rsidRPr="00467C27" w:rsidRDefault="0009290F" w:rsidP="0009290F">
            <w:pPr>
              <w:pStyle w:val="Heading4"/>
              <w:spacing w:before="0" w:after="80"/>
              <w:jc w:val="center"/>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87%</w:t>
            </w:r>
          </w:p>
        </w:tc>
      </w:tr>
    </w:tbl>
    <w:p w:rsidR="00B34E92" w:rsidRDefault="00B34E92" w:rsidP="00B34E92">
      <w:pPr>
        <w:spacing w:after="0"/>
      </w:pPr>
    </w:p>
    <w:p w:rsidR="00B34E92" w:rsidRPr="0009290F" w:rsidRDefault="008509B9" w:rsidP="0009290F">
      <w:pPr>
        <w:rPr>
          <w:rStyle w:val="00Text"/>
          <w:b w:val="0"/>
        </w:rPr>
        <w:sectPr w:rsidR="00B34E92" w:rsidRPr="0009290F" w:rsidSect="00435AB2">
          <w:type w:val="continuous"/>
          <w:pgSz w:w="16838" w:h="11906" w:orient="landscape"/>
          <w:pgMar w:top="993" w:right="1134" w:bottom="993" w:left="1440" w:header="426" w:footer="0" w:gutter="0"/>
          <w:cols w:space="708"/>
          <w:docGrid w:linePitch="360"/>
        </w:sectPr>
      </w:pPr>
      <w:r w:rsidRPr="0009290F">
        <w:rPr>
          <w:rStyle w:val="00Text"/>
          <w:b w:val="0"/>
        </w:rPr>
        <w:t>Source: RMS 2019</w:t>
      </w:r>
    </w:p>
    <w:p w:rsidR="00B34E92" w:rsidRPr="00B34E92" w:rsidRDefault="00B34E92" w:rsidP="00B34E92">
      <w:pPr>
        <w:ind w:left="360"/>
        <w:rPr>
          <w:rFonts w:cstheme="minorHAnsi"/>
          <w:b/>
        </w:rPr>
      </w:pPr>
    </w:p>
    <w:p w:rsidR="0009290F" w:rsidRDefault="0009290F">
      <w:pPr>
        <w:rPr>
          <w:rFonts w:cstheme="minorHAnsi"/>
          <w:b/>
        </w:rPr>
      </w:pPr>
      <w:r>
        <w:rPr>
          <w:rFonts w:cstheme="minorHAnsi"/>
          <w:b/>
        </w:rPr>
        <w:br w:type="page"/>
      </w:r>
    </w:p>
    <w:p w:rsidR="00030337" w:rsidRPr="000D372D" w:rsidRDefault="00030337" w:rsidP="002C7BF8">
      <w:pPr>
        <w:pStyle w:val="ListParagraph"/>
        <w:numPr>
          <w:ilvl w:val="0"/>
          <w:numId w:val="61"/>
        </w:numPr>
        <w:rPr>
          <w:rFonts w:cstheme="minorHAnsi"/>
          <w:b/>
        </w:rPr>
      </w:pPr>
      <w:r w:rsidRPr="000D372D">
        <w:rPr>
          <w:rFonts w:cstheme="minorHAnsi"/>
          <w:b/>
        </w:rPr>
        <w:lastRenderedPageBreak/>
        <w:t>Native bird counts</w:t>
      </w:r>
    </w:p>
    <w:p w:rsidR="00030337" w:rsidRDefault="00030337" w:rsidP="00030337">
      <w:pPr>
        <w:rPr>
          <w:rFonts w:cstheme="minorHAnsi"/>
        </w:rPr>
      </w:pPr>
      <w:r w:rsidRPr="00467C27">
        <w:rPr>
          <w:rFonts w:cstheme="minorHAnsi"/>
        </w:rPr>
        <w:t>This is the mean number of birds observed per bird count station for each native forest bird species that has been recorded in Wellington City.</w:t>
      </w:r>
    </w:p>
    <w:tbl>
      <w:tblPr>
        <w:tblStyle w:val="TableGrid"/>
        <w:tblW w:w="9839" w:type="dxa"/>
        <w:tblBorders>
          <w:top w:val="single" w:sz="4" w:space="0" w:color="00B050"/>
          <w:left w:val="none" w:sz="0" w:space="0" w:color="auto"/>
          <w:bottom w:val="single" w:sz="4" w:space="0" w:color="00B050"/>
          <w:right w:val="none" w:sz="0" w:space="0" w:color="auto"/>
          <w:insideH w:val="single" w:sz="4" w:space="0" w:color="00B050"/>
          <w:insideV w:val="single" w:sz="4" w:space="0" w:color="00B050"/>
        </w:tblBorders>
        <w:tblLayout w:type="fixed"/>
        <w:tblLook w:val="04A0" w:firstRow="1" w:lastRow="0" w:firstColumn="1" w:lastColumn="0" w:noHBand="0" w:noVBand="1"/>
      </w:tblPr>
      <w:tblGrid>
        <w:gridCol w:w="3215"/>
        <w:gridCol w:w="1558"/>
        <w:gridCol w:w="1688"/>
        <w:gridCol w:w="1948"/>
        <w:gridCol w:w="1430"/>
      </w:tblGrid>
      <w:tr w:rsidR="00030337" w:rsidRPr="00467C27" w:rsidTr="00030337">
        <w:trPr>
          <w:trHeight w:val="242"/>
        </w:trPr>
        <w:tc>
          <w:tcPr>
            <w:tcW w:w="3215" w:type="dxa"/>
            <w:vMerge w:val="restart"/>
            <w:tcBorders>
              <w:right w:val="single" w:sz="4" w:space="0" w:color="FFFFFF" w:themeColor="background1"/>
            </w:tcBorders>
            <w:shd w:val="clear" w:color="auto" w:fill="00B050"/>
            <w:hideMark/>
          </w:tcPr>
          <w:p w:rsidR="00030337" w:rsidRPr="00775E6E" w:rsidRDefault="00030337" w:rsidP="00C15E48">
            <w:pPr>
              <w:pStyle w:val="Heading4"/>
              <w:spacing w:before="0"/>
              <w:jc w:val="center"/>
              <w:outlineLvl w:val="3"/>
              <w:rPr>
                <w:rFonts w:asciiTheme="minorHAnsi" w:hAnsiTheme="minorHAnsi" w:cstheme="minorHAnsi"/>
                <w:b w:val="0"/>
                <w:color w:val="FFFFFF" w:themeColor="background1"/>
                <w:sz w:val="22"/>
              </w:rPr>
            </w:pPr>
            <w:r w:rsidRPr="00A622BE">
              <w:rPr>
                <w:rFonts w:asciiTheme="minorHAnsi" w:hAnsiTheme="minorHAnsi" w:cstheme="minorHAnsi"/>
                <w:color w:val="FFFFFF" w:themeColor="background1"/>
                <w:sz w:val="22"/>
              </w:rPr>
              <w:t>Species</w:t>
            </w:r>
          </w:p>
        </w:tc>
        <w:tc>
          <w:tcPr>
            <w:tcW w:w="6624" w:type="dxa"/>
            <w:gridSpan w:val="4"/>
            <w:tcBorders>
              <w:left w:val="single" w:sz="4" w:space="0" w:color="FFFFFF" w:themeColor="background1"/>
            </w:tcBorders>
            <w:shd w:val="clear" w:color="auto" w:fill="00B050"/>
            <w:noWrap/>
            <w:hideMark/>
          </w:tcPr>
          <w:p w:rsidR="00030337" w:rsidRPr="00775E6E" w:rsidRDefault="00030337" w:rsidP="00C15E48">
            <w:pPr>
              <w:pStyle w:val="Heading4"/>
              <w:spacing w:before="0"/>
              <w:jc w:val="center"/>
              <w:outlineLvl w:val="3"/>
              <w:rPr>
                <w:rFonts w:asciiTheme="minorHAnsi" w:hAnsiTheme="minorHAnsi" w:cstheme="minorHAnsi"/>
                <w:b w:val="0"/>
                <w:color w:val="FFFFFF" w:themeColor="background1"/>
                <w:sz w:val="22"/>
              </w:rPr>
            </w:pPr>
            <w:r w:rsidRPr="00775E6E">
              <w:rPr>
                <w:rFonts w:asciiTheme="minorHAnsi" w:hAnsiTheme="minorHAnsi" w:cstheme="minorHAnsi"/>
                <w:b w:val="0"/>
                <w:color w:val="FFFFFF" w:themeColor="background1"/>
                <w:sz w:val="22"/>
              </w:rPr>
              <w:t>Average number of birds observed at each station</w:t>
            </w:r>
          </w:p>
        </w:tc>
      </w:tr>
      <w:tr w:rsidR="00030337" w:rsidRPr="00467C27" w:rsidTr="00030337">
        <w:trPr>
          <w:trHeight w:val="242"/>
        </w:trPr>
        <w:tc>
          <w:tcPr>
            <w:tcW w:w="3215" w:type="dxa"/>
            <w:vMerge/>
            <w:tcBorders>
              <w:right w:val="single" w:sz="4" w:space="0" w:color="FFFFFF" w:themeColor="background1"/>
            </w:tcBorders>
            <w:shd w:val="clear" w:color="auto" w:fill="00B050"/>
            <w:hideMark/>
          </w:tcPr>
          <w:p w:rsidR="00030337" w:rsidRPr="00A622BE" w:rsidRDefault="00030337" w:rsidP="00C15E48">
            <w:pPr>
              <w:pStyle w:val="Heading4"/>
              <w:spacing w:before="0"/>
              <w:jc w:val="center"/>
              <w:outlineLvl w:val="3"/>
              <w:rPr>
                <w:rFonts w:asciiTheme="minorHAnsi" w:hAnsiTheme="minorHAnsi" w:cstheme="minorHAnsi"/>
                <w:color w:val="FFFFFF" w:themeColor="background1"/>
                <w:sz w:val="22"/>
              </w:rPr>
            </w:pPr>
          </w:p>
        </w:tc>
        <w:tc>
          <w:tcPr>
            <w:tcW w:w="1558" w:type="dxa"/>
            <w:tcBorders>
              <w:left w:val="single" w:sz="4" w:space="0" w:color="FFFFFF" w:themeColor="background1"/>
              <w:right w:val="single" w:sz="4" w:space="0" w:color="FFFFFF" w:themeColor="background1"/>
            </w:tcBorders>
            <w:shd w:val="clear" w:color="auto" w:fill="00B050"/>
            <w:noWrap/>
            <w:hideMark/>
          </w:tcPr>
          <w:p w:rsidR="00030337" w:rsidRPr="00A622BE" w:rsidRDefault="00030337" w:rsidP="00C15E48">
            <w:pPr>
              <w:pStyle w:val="Heading4"/>
              <w:spacing w:before="0"/>
              <w:jc w:val="center"/>
              <w:outlineLvl w:val="3"/>
              <w:rPr>
                <w:rFonts w:asciiTheme="minorHAnsi" w:hAnsiTheme="minorHAnsi" w:cstheme="minorHAnsi"/>
                <w:color w:val="FFFFFF" w:themeColor="background1"/>
                <w:sz w:val="22"/>
              </w:rPr>
            </w:pPr>
            <w:r w:rsidRPr="00A622BE">
              <w:rPr>
                <w:rFonts w:asciiTheme="minorHAnsi" w:hAnsiTheme="minorHAnsi" w:cstheme="minorHAnsi"/>
                <w:color w:val="FFFFFF" w:themeColor="background1"/>
                <w:sz w:val="22"/>
              </w:rPr>
              <w:t>2015</w:t>
            </w:r>
          </w:p>
        </w:tc>
        <w:tc>
          <w:tcPr>
            <w:tcW w:w="1688" w:type="dxa"/>
            <w:tcBorders>
              <w:left w:val="single" w:sz="4" w:space="0" w:color="FFFFFF" w:themeColor="background1"/>
              <w:right w:val="single" w:sz="4" w:space="0" w:color="FFFFFF" w:themeColor="background1"/>
            </w:tcBorders>
            <w:shd w:val="clear" w:color="auto" w:fill="00B050"/>
            <w:noWrap/>
            <w:hideMark/>
          </w:tcPr>
          <w:p w:rsidR="00030337" w:rsidRPr="00A622BE" w:rsidRDefault="00030337" w:rsidP="00C15E48">
            <w:pPr>
              <w:pStyle w:val="Heading4"/>
              <w:spacing w:before="0"/>
              <w:jc w:val="center"/>
              <w:outlineLvl w:val="3"/>
              <w:rPr>
                <w:rFonts w:asciiTheme="minorHAnsi" w:hAnsiTheme="minorHAnsi" w:cstheme="minorHAnsi"/>
                <w:color w:val="FFFFFF" w:themeColor="background1"/>
                <w:sz w:val="22"/>
              </w:rPr>
            </w:pPr>
            <w:r w:rsidRPr="00A622BE">
              <w:rPr>
                <w:rFonts w:asciiTheme="minorHAnsi" w:hAnsiTheme="minorHAnsi" w:cstheme="minorHAnsi"/>
                <w:color w:val="FFFFFF" w:themeColor="background1"/>
                <w:sz w:val="22"/>
              </w:rPr>
              <w:t>2016</w:t>
            </w:r>
          </w:p>
        </w:tc>
        <w:tc>
          <w:tcPr>
            <w:tcW w:w="1948" w:type="dxa"/>
            <w:tcBorders>
              <w:left w:val="single" w:sz="4" w:space="0" w:color="FFFFFF" w:themeColor="background1"/>
              <w:right w:val="single" w:sz="4" w:space="0" w:color="FFFFFF" w:themeColor="background1"/>
            </w:tcBorders>
            <w:shd w:val="clear" w:color="auto" w:fill="00B050"/>
            <w:noWrap/>
            <w:hideMark/>
          </w:tcPr>
          <w:p w:rsidR="00030337" w:rsidRPr="00A622BE" w:rsidRDefault="00030337" w:rsidP="00C15E48">
            <w:pPr>
              <w:pStyle w:val="Heading4"/>
              <w:spacing w:before="0"/>
              <w:jc w:val="center"/>
              <w:outlineLvl w:val="3"/>
              <w:rPr>
                <w:rFonts w:asciiTheme="minorHAnsi" w:hAnsiTheme="minorHAnsi" w:cstheme="minorHAnsi"/>
                <w:color w:val="FFFFFF" w:themeColor="background1"/>
                <w:sz w:val="22"/>
              </w:rPr>
            </w:pPr>
            <w:r w:rsidRPr="00A622BE">
              <w:rPr>
                <w:rFonts w:asciiTheme="minorHAnsi" w:hAnsiTheme="minorHAnsi" w:cstheme="minorHAnsi"/>
                <w:color w:val="FFFFFF" w:themeColor="background1"/>
                <w:sz w:val="22"/>
              </w:rPr>
              <w:t>2017</w:t>
            </w:r>
          </w:p>
        </w:tc>
        <w:tc>
          <w:tcPr>
            <w:tcW w:w="1430" w:type="dxa"/>
            <w:tcBorders>
              <w:left w:val="single" w:sz="4" w:space="0" w:color="FFFFFF" w:themeColor="background1"/>
            </w:tcBorders>
            <w:shd w:val="clear" w:color="auto" w:fill="00B050"/>
            <w:noWrap/>
            <w:hideMark/>
          </w:tcPr>
          <w:p w:rsidR="00030337" w:rsidRPr="00A622BE" w:rsidRDefault="00030337" w:rsidP="00C15E48">
            <w:pPr>
              <w:pStyle w:val="Heading4"/>
              <w:spacing w:before="0"/>
              <w:jc w:val="center"/>
              <w:outlineLvl w:val="3"/>
              <w:rPr>
                <w:rFonts w:asciiTheme="minorHAnsi" w:hAnsiTheme="minorHAnsi" w:cstheme="minorHAnsi"/>
                <w:color w:val="FFFFFF" w:themeColor="background1"/>
                <w:sz w:val="22"/>
              </w:rPr>
            </w:pPr>
            <w:r w:rsidRPr="00A622BE">
              <w:rPr>
                <w:rFonts w:asciiTheme="minorHAnsi" w:hAnsiTheme="minorHAnsi" w:cstheme="minorHAnsi"/>
                <w:color w:val="FFFFFF" w:themeColor="background1"/>
                <w:sz w:val="22"/>
              </w:rPr>
              <w:t>2018</w:t>
            </w:r>
          </w:p>
        </w:tc>
      </w:tr>
      <w:tr w:rsidR="00030337" w:rsidRPr="00467C27" w:rsidTr="00030337">
        <w:trPr>
          <w:trHeight w:val="242"/>
        </w:trPr>
        <w:tc>
          <w:tcPr>
            <w:tcW w:w="3215" w:type="dxa"/>
            <w:hideMark/>
          </w:tcPr>
          <w:p w:rsidR="00030337" w:rsidRPr="00467C27" w:rsidRDefault="00030337" w:rsidP="00C15E48">
            <w:pPr>
              <w:pStyle w:val="Heading4"/>
              <w:spacing w:before="0"/>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Silvereye</w:t>
            </w:r>
          </w:p>
        </w:tc>
        <w:tc>
          <w:tcPr>
            <w:tcW w:w="1558" w:type="dxa"/>
            <w:noWrap/>
            <w:hideMark/>
          </w:tcPr>
          <w:p w:rsidR="00030337" w:rsidRPr="00467C27" w:rsidRDefault="00030337" w:rsidP="00C15E48">
            <w:pPr>
              <w:pStyle w:val="Heading4"/>
              <w:spacing w:before="0"/>
              <w:jc w:val="center"/>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2.07</w:t>
            </w:r>
          </w:p>
        </w:tc>
        <w:tc>
          <w:tcPr>
            <w:tcW w:w="1688" w:type="dxa"/>
            <w:noWrap/>
            <w:hideMark/>
          </w:tcPr>
          <w:p w:rsidR="00030337" w:rsidRPr="00467C27" w:rsidRDefault="00030337" w:rsidP="00C15E48">
            <w:pPr>
              <w:pStyle w:val="Heading4"/>
              <w:spacing w:before="0"/>
              <w:jc w:val="center"/>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2.34</w:t>
            </w:r>
          </w:p>
        </w:tc>
        <w:tc>
          <w:tcPr>
            <w:tcW w:w="1948" w:type="dxa"/>
            <w:noWrap/>
            <w:hideMark/>
          </w:tcPr>
          <w:p w:rsidR="00030337" w:rsidRPr="00467C27" w:rsidRDefault="00030337" w:rsidP="00C15E48">
            <w:pPr>
              <w:pStyle w:val="Heading4"/>
              <w:spacing w:before="0"/>
              <w:jc w:val="center"/>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2.34</w:t>
            </w:r>
          </w:p>
        </w:tc>
        <w:tc>
          <w:tcPr>
            <w:tcW w:w="1430" w:type="dxa"/>
            <w:noWrap/>
            <w:hideMark/>
          </w:tcPr>
          <w:p w:rsidR="00030337" w:rsidRPr="00467C27" w:rsidRDefault="00030337" w:rsidP="00C15E48">
            <w:pPr>
              <w:pStyle w:val="Heading4"/>
              <w:spacing w:before="0"/>
              <w:jc w:val="center"/>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2.04</w:t>
            </w:r>
          </w:p>
        </w:tc>
      </w:tr>
      <w:tr w:rsidR="00030337" w:rsidRPr="00467C27" w:rsidTr="00030337">
        <w:trPr>
          <w:trHeight w:val="242"/>
        </w:trPr>
        <w:tc>
          <w:tcPr>
            <w:tcW w:w="3215" w:type="dxa"/>
            <w:hideMark/>
          </w:tcPr>
          <w:p w:rsidR="00030337" w:rsidRPr="00467C27" w:rsidRDefault="00030337" w:rsidP="00C15E48">
            <w:pPr>
              <w:pStyle w:val="Heading4"/>
              <w:spacing w:before="0"/>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Tui</w:t>
            </w:r>
          </w:p>
        </w:tc>
        <w:tc>
          <w:tcPr>
            <w:tcW w:w="1558" w:type="dxa"/>
            <w:noWrap/>
            <w:hideMark/>
          </w:tcPr>
          <w:p w:rsidR="00030337" w:rsidRPr="00467C27" w:rsidRDefault="00030337" w:rsidP="00C15E48">
            <w:pPr>
              <w:pStyle w:val="Heading4"/>
              <w:spacing w:before="0"/>
              <w:jc w:val="center"/>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2.61</w:t>
            </w:r>
          </w:p>
        </w:tc>
        <w:tc>
          <w:tcPr>
            <w:tcW w:w="1688" w:type="dxa"/>
            <w:noWrap/>
            <w:hideMark/>
          </w:tcPr>
          <w:p w:rsidR="00030337" w:rsidRPr="00467C27" w:rsidRDefault="00030337" w:rsidP="00C15E48">
            <w:pPr>
              <w:pStyle w:val="Heading4"/>
              <w:spacing w:before="0"/>
              <w:jc w:val="center"/>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2.37</w:t>
            </w:r>
          </w:p>
        </w:tc>
        <w:tc>
          <w:tcPr>
            <w:tcW w:w="1948" w:type="dxa"/>
            <w:noWrap/>
            <w:hideMark/>
          </w:tcPr>
          <w:p w:rsidR="00030337" w:rsidRPr="00467C27" w:rsidRDefault="00030337" w:rsidP="00C15E48">
            <w:pPr>
              <w:pStyle w:val="Heading4"/>
              <w:spacing w:before="0"/>
              <w:jc w:val="center"/>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2.07</w:t>
            </w:r>
          </w:p>
        </w:tc>
        <w:tc>
          <w:tcPr>
            <w:tcW w:w="1430" w:type="dxa"/>
            <w:noWrap/>
            <w:hideMark/>
          </w:tcPr>
          <w:p w:rsidR="00030337" w:rsidRPr="00467C27" w:rsidRDefault="00030337" w:rsidP="00C15E48">
            <w:pPr>
              <w:pStyle w:val="Heading4"/>
              <w:spacing w:before="0"/>
              <w:jc w:val="center"/>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2.5</w:t>
            </w:r>
          </w:p>
        </w:tc>
      </w:tr>
      <w:tr w:rsidR="00030337" w:rsidRPr="00467C27" w:rsidTr="00030337">
        <w:trPr>
          <w:trHeight w:val="242"/>
        </w:trPr>
        <w:tc>
          <w:tcPr>
            <w:tcW w:w="3215" w:type="dxa"/>
            <w:hideMark/>
          </w:tcPr>
          <w:p w:rsidR="00030337" w:rsidRPr="00467C27" w:rsidRDefault="00030337" w:rsidP="00C15E48">
            <w:pPr>
              <w:pStyle w:val="Heading4"/>
              <w:spacing w:before="0"/>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Grey warbler</w:t>
            </w:r>
          </w:p>
        </w:tc>
        <w:tc>
          <w:tcPr>
            <w:tcW w:w="1558" w:type="dxa"/>
            <w:noWrap/>
            <w:hideMark/>
          </w:tcPr>
          <w:p w:rsidR="00030337" w:rsidRPr="00467C27" w:rsidRDefault="00030337" w:rsidP="00C15E48">
            <w:pPr>
              <w:pStyle w:val="Heading4"/>
              <w:spacing w:before="0"/>
              <w:jc w:val="center"/>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1.45</w:t>
            </w:r>
          </w:p>
        </w:tc>
        <w:tc>
          <w:tcPr>
            <w:tcW w:w="1688" w:type="dxa"/>
            <w:noWrap/>
            <w:hideMark/>
          </w:tcPr>
          <w:p w:rsidR="00030337" w:rsidRPr="00467C27" w:rsidRDefault="00030337" w:rsidP="00C15E48">
            <w:pPr>
              <w:pStyle w:val="Heading4"/>
              <w:spacing w:before="0"/>
              <w:jc w:val="center"/>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1.07</w:t>
            </w:r>
          </w:p>
        </w:tc>
        <w:tc>
          <w:tcPr>
            <w:tcW w:w="1948" w:type="dxa"/>
            <w:noWrap/>
            <w:hideMark/>
          </w:tcPr>
          <w:p w:rsidR="00030337" w:rsidRPr="00467C27" w:rsidRDefault="00030337" w:rsidP="00C15E48">
            <w:pPr>
              <w:pStyle w:val="Heading4"/>
              <w:spacing w:before="0"/>
              <w:jc w:val="center"/>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1.29</w:t>
            </w:r>
          </w:p>
        </w:tc>
        <w:tc>
          <w:tcPr>
            <w:tcW w:w="1430" w:type="dxa"/>
            <w:noWrap/>
            <w:hideMark/>
          </w:tcPr>
          <w:p w:rsidR="00030337" w:rsidRPr="00467C27" w:rsidRDefault="00030337" w:rsidP="00C15E48">
            <w:pPr>
              <w:pStyle w:val="Heading4"/>
              <w:spacing w:before="0"/>
              <w:jc w:val="center"/>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1.26</w:t>
            </w:r>
          </w:p>
        </w:tc>
      </w:tr>
      <w:tr w:rsidR="00030337" w:rsidRPr="00467C27" w:rsidTr="00030337">
        <w:trPr>
          <w:trHeight w:val="242"/>
        </w:trPr>
        <w:tc>
          <w:tcPr>
            <w:tcW w:w="3215" w:type="dxa"/>
            <w:hideMark/>
          </w:tcPr>
          <w:p w:rsidR="00030337" w:rsidRPr="00467C27" w:rsidRDefault="00030337" w:rsidP="00C15E48">
            <w:pPr>
              <w:pStyle w:val="Heading4"/>
              <w:spacing w:before="0"/>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Fantail</w:t>
            </w:r>
          </w:p>
        </w:tc>
        <w:tc>
          <w:tcPr>
            <w:tcW w:w="1558" w:type="dxa"/>
            <w:noWrap/>
            <w:hideMark/>
          </w:tcPr>
          <w:p w:rsidR="00030337" w:rsidRPr="00467C27" w:rsidRDefault="00030337" w:rsidP="00C15E48">
            <w:pPr>
              <w:pStyle w:val="Heading4"/>
              <w:spacing w:before="0"/>
              <w:jc w:val="center"/>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0.22</w:t>
            </w:r>
          </w:p>
        </w:tc>
        <w:tc>
          <w:tcPr>
            <w:tcW w:w="1688" w:type="dxa"/>
            <w:noWrap/>
            <w:hideMark/>
          </w:tcPr>
          <w:p w:rsidR="00030337" w:rsidRPr="00467C27" w:rsidRDefault="00030337" w:rsidP="00C15E48">
            <w:pPr>
              <w:pStyle w:val="Heading4"/>
              <w:spacing w:before="0"/>
              <w:jc w:val="center"/>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0.29</w:t>
            </w:r>
          </w:p>
        </w:tc>
        <w:tc>
          <w:tcPr>
            <w:tcW w:w="1948" w:type="dxa"/>
            <w:noWrap/>
            <w:hideMark/>
          </w:tcPr>
          <w:p w:rsidR="00030337" w:rsidRPr="00467C27" w:rsidRDefault="00030337" w:rsidP="00C15E48">
            <w:pPr>
              <w:pStyle w:val="Heading4"/>
              <w:spacing w:before="0"/>
              <w:jc w:val="center"/>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0.35</w:t>
            </w:r>
          </w:p>
        </w:tc>
        <w:tc>
          <w:tcPr>
            <w:tcW w:w="1430" w:type="dxa"/>
            <w:noWrap/>
            <w:hideMark/>
          </w:tcPr>
          <w:p w:rsidR="00030337" w:rsidRPr="00467C27" w:rsidRDefault="00030337" w:rsidP="00C15E48">
            <w:pPr>
              <w:pStyle w:val="Heading4"/>
              <w:spacing w:before="0"/>
              <w:jc w:val="center"/>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0.36</w:t>
            </w:r>
          </w:p>
        </w:tc>
      </w:tr>
      <w:tr w:rsidR="00030337" w:rsidRPr="00467C27" w:rsidTr="00030337">
        <w:trPr>
          <w:trHeight w:val="242"/>
        </w:trPr>
        <w:tc>
          <w:tcPr>
            <w:tcW w:w="3215" w:type="dxa"/>
            <w:hideMark/>
          </w:tcPr>
          <w:p w:rsidR="00030337" w:rsidRPr="00467C27" w:rsidRDefault="00030337" w:rsidP="00C15E48">
            <w:pPr>
              <w:pStyle w:val="Heading4"/>
              <w:spacing w:before="0"/>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Shining cuckoo</w:t>
            </w:r>
          </w:p>
        </w:tc>
        <w:tc>
          <w:tcPr>
            <w:tcW w:w="1558" w:type="dxa"/>
            <w:noWrap/>
            <w:hideMark/>
          </w:tcPr>
          <w:p w:rsidR="00030337" w:rsidRPr="00467C27" w:rsidRDefault="00030337" w:rsidP="00C15E48">
            <w:pPr>
              <w:pStyle w:val="Heading4"/>
              <w:spacing w:before="0"/>
              <w:jc w:val="center"/>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0.19</w:t>
            </w:r>
          </w:p>
        </w:tc>
        <w:tc>
          <w:tcPr>
            <w:tcW w:w="1688" w:type="dxa"/>
            <w:noWrap/>
            <w:hideMark/>
          </w:tcPr>
          <w:p w:rsidR="00030337" w:rsidRPr="00467C27" w:rsidRDefault="00030337" w:rsidP="00C15E48">
            <w:pPr>
              <w:pStyle w:val="Heading4"/>
              <w:spacing w:before="0"/>
              <w:jc w:val="center"/>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0.2</w:t>
            </w:r>
          </w:p>
        </w:tc>
        <w:tc>
          <w:tcPr>
            <w:tcW w:w="1948" w:type="dxa"/>
            <w:noWrap/>
            <w:hideMark/>
          </w:tcPr>
          <w:p w:rsidR="00030337" w:rsidRPr="00467C27" w:rsidRDefault="00030337" w:rsidP="00C15E48">
            <w:pPr>
              <w:pStyle w:val="Heading4"/>
              <w:spacing w:before="0"/>
              <w:jc w:val="center"/>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0.23</w:t>
            </w:r>
          </w:p>
        </w:tc>
        <w:tc>
          <w:tcPr>
            <w:tcW w:w="1430" w:type="dxa"/>
            <w:noWrap/>
            <w:hideMark/>
          </w:tcPr>
          <w:p w:rsidR="00030337" w:rsidRPr="00467C27" w:rsidRDefault="00030337" w:rsidP="00C15E48">
            <w:pPr>
              <w:pStyle w:val="Heading4"/>
              <w:spacing w:before="0"/>
              <w:jc w:val="center"/>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0.22</w:t>
            </w:r>
          </w:p>
        </w:tc>
      </w:tr>
      <w:tr w:rsidR="00030337" w:rsidRPr="00467C27" w:rsidTr="00030337">
        <w:trPr>
          <w:trHeight w:val="242"/>
        </w:trPr>
        <w:tc>
          <w:tcPr>
            <w:tcW w:w="3215" w:type="dxa"/>
            <w:hideMark/>
          </w:tcPr>
          <w:p w:rsidR="00030337" w:rsidRPr="00467C27" w:rsidRDefault="00030337" w:rsidP="00C15E48">
            <w:pPr>
              <w:pStyle w:val="Heading4"/>
              <w:spacing w:before="0"/>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Kaka</w:t>
            </w:r>
          </w:p>
        </w:tc>
        <w:tc>
          <w:tcPr>
            <w:tcW w:w="1558" w:type="dxa"/>
            <w:noWrap/>
            <w:hideMark/>
          </w:tcPr>
          <w:p w:rsidR="00030337" w:rsidRPr="00467C27" w:rsidRDefault="00030337" w:rsidP="00C15E48">
            <w:pPr>
              <w:pStyle w:val="Heading4"/>
              <w:spacing w:before="0"/>
              <w:jc w:val="center"/>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0.24</w:t>
            </w:r>
          </w:p>
        </w:tc>
        <w:tc>
          <w:tcPr>
            <w:tcW w:w="1688" w:type="dxa"/>
            <w:noWrap/>
            <w:hideMark/>
          </w:tcPr>
          <w:p w:rsidR="00030337" w:rsidRPr="00467C27" w:rsidRDefault="00030337" w:rsidP="00C15E48">
            <w:pPr>
              <w:pStyle w:val="Heading4"/>
              <w:spacing w:before="0"/>
              <w:jc w:val="center"/>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0.15</w:t>
            </w:r>
          </w:p>
        </w:tc>
        <w:tc>
          <w:tcPr>
            <w:tcW w:w="1948" w:type="dxa"/>
            <w:noWrap/>
            <w:hideMark/>
          </w:tcPr>
          <w:p w:rsidR="00030337" w:rsidRPr="00467C27" w:rsidRDefault="00030337" w:rsidP="00C15E48">
            <w:pPr>
              <w:pStyle w:val="Heading4"/>
              <w:spacing w:before="0"/>
              <w:jc w:val="center"/>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0.22</w:t>
            </w:r>
          </w:p>
        </w:tc>
        <w:tc>
          <w:tcPr>
            <w:tcW w:w="1430" w:type="dxa"/>
            <w:noWrap/>
            <w:hideMark/>
          </w:tcPr>
          <w:p w:rsidR="00030337" w:rsidRPr="00467C27" w:rsidRDefault="00030337" w:rsidP="00C15E48">
            <w:pPr>
              <w:pStyle w:val="Heading4"/>
              <w:spacing w:before="0"/>
              <w:jc w:val="center"/>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0.27</w:t>
            </w:r>
          </w:p>
        </w:tc>
      </w:tr>
      <w:tr w:rsidR="00030337" w:rsidRPr="00467C27" w:rsidTr="00030337">
        <w:trPr>
          <w:trHeight w:val="242"/>
        </w:trPr>
        <w:tc>
          <w:tcPr>
            <w:tcW w:w="3215" w:type="dxa"/>
            <w:hideMark/>
          </w:tcPr>
          <w:p w:rsidR="00030337" w:rsidRPr="00467C27" w:rsidRDefault="00030337" w:rsidP="00C15E48">
            <w:pPr>
              <w:pStyle w:val="Heading4"/>
              <w:spacing w:before="0"/>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Kereru</w:t>
            </w:r>
          </w:p>
        </w:tc>
        <w:tc>
          <w:tcPr>
            <w:tcW w:w="1558" w:type="dxa"/>
            <w:noWrap/>
            <w:hideMark/>
          </w:tcPr>
          <w:p w:rsidR="00030337" w:rsidRPr="00467C27" w:rsidRDefault="00030337" w:rsidP="00C15E48">
            <w:pPr>
              <w:pStyle w:val="Heading4"/>
              <w:spacing w:before="0"/>
              <w:jc w:val="center"/>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0.08</w:t>
            </w:r>
          </w:p>
        </w:tc>
        <w:tc>
          <w:tcPr>
            <w:tcW w:w="1688" w:type="dxa"/>
            <w:noWrap/>
            <w:hideMark/>
          </w:tcPr>
          <w:p w:rsidR="00030337" w:rsidRPr="00467C27" w:rsidRDefault="00030337" w:rsidP="00C15E48">
            <w:pPr>
              <w:pStyle w:val="Heading4"/>
              <w:spacing w:before="0"/>
              <w:jc w:val="center"/>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0.18</w:t>
            </w:r>
          </w:p>
        </w:tc>
        <w:tc>
          <w:tcPr>
            <w:tcW w:w="1948" w:type="dxa"/>
            <w:noWrap/>
            <w:hideMark/>
          </w:tcPr>
          <w:p w:rsidR="00030337" w:rsidRPr="00467C27" w:rsidRDefault="00030337" w:rsidP="00C15E48">
            <w:pPr>
              <w:pStyle w:val="Heading4"/>
              <w:spacing w:before="0"/>
              <w:jc w:val="center"/>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0.13</w:t>
            </w:r>
          </w:p>
        </w:tc>
        <w:tc>
          <w:tcPr>
            <w:tcW w:w="1430" w:type="dxa"/>
            <w:noWrap/>
            <w:hideMark/>
          </w:tcPr>
          <w:p w:rsidR="00030337" w:rsidRPr="00467C27" w:rsidRDefault="00030337" w:rsidP="00C15E48">
            <w:pPr>
              <w:pStyle w:val="Heading4"/>
              <w:spacing w:before="0"/>
              <w:jc w:val="center"/>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0.13</w:t>
            </w:r>
          </w:p>
        </w:tc>
      </w:tr>
      <w:tr w:rsidR="00030337" w:rsidRPr="00467C27" w:rsidTr="00030337">
        <w:trPr>
          <w:trHeight w:val="242"/>
        </w:trPr>
        <w:tc>
          <w:tcPr>
            <w:tcW w:w="3215" w:type="dxa"/>
            <w:hideMark/>
          </w:tcPr>
          <w:p w:rsidR="00030337" w:rsidRPr="00467C27" w:rsidRDefault="00030337" w:rsidP="00C15E48">
            <w:pPr>
              <w:pStyle w:val="Heading4"/>
              <w:spacing w:before="0"/>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NI saddleback</w:t>
            </w:r>
          </w:p>
        </w:tc>
        <w:tc>
          <w:tcPr>
            <w:tcW w:w="1558" w:type="dxa"/>
            <w:noWrap/>
            <w:hideMark/>
          </w:tcPr>
          <w:p w:rsidR="00030337" w:rsidRPr="00467C27" w:rsidRDefault="00030337" w:rsidP="00C15E48">
            <w:pPr>
              <w:pStyle w:val="Heading4"/>
              <w:spacing w:before="0"/>
              <w:jc w:val="center"/>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0.06</w:t>
            </w:r>
          </w:p>
        </w:tc>
        <w:tc>
          <w:tcPr>
            <w:tcW w:w="1688" w:type="dxa"/>
            <w:noWrap/>
            <w:hideMark/>
          </w:tcPr>
          <w:p w:rsidR="00030337" w:rsidRPr="00467C27" w:rsidRDefault="00030337" w:rsidP="00C15E48">
            <w:pPr>
              <w:pStyle w:val="Heading4"/>
              <w:spacing w:before="0"/>
              <w:jc w:val="center"/>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0.06</w:t>
            </w:r>
          </w:p>
        </w:tc>
        <w:tc>
          <w:tcPr>
            <w:tcW w:w="1948" w:type="dxa"/>
            <w:noWrap/>
            <w:hideMark/>
          </w:tcPr>
          <w:p w:rsidR="00030337" w:rsidRPr="00467C27" w:rsidRDefault="00030337" w:rsidP="00C15E48">
            <w:pPr>
              <w:pStyle w:val="Heading4"/>
              <w:spacing w:before="0"/>
              <w:jc w:val="center"/>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0.1</w:t>
            </w:r>
          </w:p>
        </w:tc>
        <w:tc>
          <w:tcPr>
            <w:tcW w:w="1430" w:type="dxa"/>
            <w:noWrap/>
            <w:hideMark/>
          </w:tcPr>
          <w:p w:rsidR="00030337" w:rsidRPr="00467C27" w:rsidRDefault="00030337" w:rsidP="00C15E48">
            <w:pPr>
              <w:pStyle w:val="Heading4"/>
              <w:spacing w:before="0"/>
              <w:jc w:val="center"/>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0.09</w:t>
            </w:r>
          </w:p>
        </w:tc>
      </w:tr>
      <w:tr w:rsidR="00030337" w:rsidRPr="00467C27" w:rsidTr="00030337">
        <w:trPr>
          <w:trHeight w:val="242"/>
        </w:trPr>
        <w:tc>
          <w:tcPr>
            <w:tcW w:w="3215" w:type="dxa"/>
            <w:hideMark/>
          </w:tcPr>
          <w:p w:rsidR="00030337" w:rsidRPr="00467C27" w:rsidRDefault="00030337" w:rsidP="00C15E48">
            <w:pPr>
              <w:pStyle w:val="Heading4"/>
              <w:spacing w:before="0"/>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Whitehead</w:t>
            </w:r>
          </w:p>
        </w:tc>
        <w:tc>
          <w:tcPr>
            <w:tcW w:w="1558" w:type="dxa"/>
            <w:noWrap/>
            <w:hideMark/>
          </w:tcPr>
          <w:p w:rsidR="00030337" w:rsidRPr="00467C27" w:rsidRDefault="00030337" w:rsidP="00C15E48">
            <w:pPr>
              <w:pStyle w:val="Heading4"/>
              <w:spacing w:before="0"/>
              <w:jc w:val="center"/>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0.05</w:t>
            </w:r>
          </w:p>
        </w:tc>
        <w:tc>
          <w:tcPr>
            <w:tcW w:w="1688" w:type="dxa"/>
            <w:noWrap/>
            <w:hideMark/>
          </w:tcPr>
          <w:p w:rsidR="00030337" w:rsidRPr="00467C27" w:rsidRDefault="00030337" w:rsidP="00C15E48">
            <w:pPr>
              <w:pStyle w:val="Heading4"/>
              <w:spacing w:before="0"/>
              <w:jc w:val="center"/>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0.05</w:t>
            </w:r>
          </w:p>
        </w:tc>
        <w:tc>
          <w:tcPr>
            <w:tcW w:w="1948" w:type="dxa"/>
            <w:noWrap/>
            <w:hideMark/>
          </w:tcPr>
          <w:p w:rsidR="00030337" w:rsidRPr="00467C27" w:rsidRDefault="00030337" w:rsidP="00C15E48">
            <w:pPr>
              <w:pStyle w:val="Heading4"/>
              <w:spacing w:before="0"/>
              <w:jc w:val="center"/>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0.08</w:t>
            </w:r>
          </w:p>
        </w:tc>
        <w:tc>
          <w:tcPr>
            <w:tcW w:w="1430" w:type="dxa"/>
            <w:noWrap/>
            <w:hideMark/>
          </w:tcPr>
          <w:p w:rsidR="00030337" w:rsidRPr="00467C27" w:rsidRDefault="00030337" w:rsidP="00C15E48">
            <w:pPr>
              <w:pStyle w:val="Heading4"/>
              <w:spacing w:before="0"/>
              <w:jc w:val="center"/>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0.07</w:t>
            </w:r>
          </w:p>
        </w:tc>
      </w:tr>
      <w:tr w:rsidR="00030337" w:rsidRPr="00467C27" w:rsidTr="00030337">
        <w:trPr>
          <w:trHeight w:val="242"/>
        </w:trPr>
        <w:tc>
          <w:tcPr>
            <w:tcW w:w="3215" w:type="dxa"/>
            <w:hideMark/>
          </w:tcPr>
          <w:p w:rsidR="00030337" w:rsidRPr="00467C27" w:rsidRDefault="00030337" w:rsidP="00C15E48">
            <w:pPr>
              <w:pStyle w:val="Heading4"/>
              <w:spacing w:before="0"/>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NZ kingfisher</w:t>
            </w:r>
          </w:p>
        </w:tc>
        <w:tc>
          <w:tcPr>
            <w:tcW w:w="1558" w:type="dxa"/>
            <w:noWrap/>
            <w:hideMark/>
          </w:tcPr>
          <w:p w:rsidR="00030337" w:rsidRPr="00467C27" w:rsidRDefault="00030337" w:rsidP="00C15E48">
            <w:pPr>
              <w:pStyle w:val="Heading4"/>
              <w:spacing w:before="0"/>
              <w:jc w:val="center"/>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0.05</w:t>
            </w:r>
          </w:p>
        </w:tc>
        <w:tc>
          <w:tcPr>
            <w:tcW w:w="1688" w:type="dxa"/>
            <w:noWrap/>
            <w:hideMark/>
          </w:tcPr>
          <w:p w:rsidR="00030337" w:rsidRPr="00467C27" w:rsidRDefault="00030337" w:rsidP="00C15E48">
            <w:pPr>
              <w:pStyle w:val="Heading4"/>
              <w:spacing w:before="0"/>
              <w:jc w:val="center"/>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0.02</w:t>
            </w:r>
          </w:p>
        </w:tc>
        <w:tc>
          <w:tcPr>
            <w:tcW w:w="1948" w:type="dxa"/>
            <w:noWrap/>
            <w:hideMark/>
          </w:tcPr>
          <w:p w:rsidR="00030337" w:rsidRPr="00467C27" w:rsidRDefault="00030337" w:rsidP="00C15E48">
            <w:pPr>
              <w:pStyle w:val="Heading4"/>
              <w:spacing w:before="0"/>
              <w:jc w:val="center"/>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0.03</w:t>
            </w:r>
          </w:p>
        </w:tc>
        <w:tc>
          <w:tcPr>
            <w:tcW w:w="1430" w:type="dxa"/>
            <w:noWrap/>
            <w:hideMark/>
          </w:tcPr>
          <w:p w:rsidR="00030337" w:rsidRPr="00467C27" w:rsidRDefault="00030337" w:rsidP="00C15E48">
            <w:pPr>
              <w:pStyle w:val="Heading4"/>
              <w:spacing w:before="0"/>
              <w:jc w:val="center"/>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0.06</w:t>
            </w:r>
          </w:p>
        </w:tc>
      </w:tr>
      <w:tr w:rsidR="00030337" w:rsidRPr="00467C27" w:rsidTr="00030337">
        <w:trPr>
          <w:trHeight w:val="242"/>
        </w:trPr>
        <w:tc>
          <w:tcPr>
            <w:tcW w:w="3215" w:type="dxa"/>
            <w:hideMark/>
          </w:tcPr>
          <w:p w:rsidR="00030337" w:rsidRPr="00467C27" w:rsidRDefault="00030337" w:rsidP="00C15E48">
            <w:pPr>
              <w:pStyle w:val="Heading4"/>
              <w:spacing w:before="0"/>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Kakariki</w:t>
            </w:r>
          </w:p>
        </w:tc>
        <w:tc>
          <w:tcPr>
            <w:tcW w:w="1558" w:type="dxa"/>
            <w:noWrap/>
            <w:hideMark/>
          </w:tcPr>
          <w:p w:rsidR="00030337" w:rsidRPr="00467C27" w:rsidRDefault="00030337" w:rsidP="00C15E48">
            <w:pPr>
              <w:pStyle w:val="Heading4"/>
              <w:spacing w:before="0"/>
              <w:jc w:val="center"/>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0.09</w:t>
            </w:r>
          </w:p>
        </w:tc>
        <w:tc>
          <w:tcPr>
            <w:tcW w:w="1688" w:type="dxa"/>
            <w:noWrap/>
            <w:hideMark/>
          </w:tcPr>
          <w:p w:rsidR="00030337" w:rsidRPr="00467C27" w:rsidRDefault="00030337" w:rsidP="00C15E48">
            <w:pPr>
              <w:pStyle w:val="Heading4"/>
              <w:spacing w:before="0"/>
              <w:jc w:val="center"/>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0.07</w:t>
            </w:r>
          </w:p>
        </w:tc>
        <w:tc>
          <w:tcPr>
            <w:tcW w:w="1948" w:type="dxa"/>
            <w:noWrap/>
            <w:hideMark/>
          </w:tcPr>
          <w:p w:rsidR="00030337" w:rsidRPr="00467C27" w:rsidRDefault="00030337" w:rsidP="00C15E48">
            <w:pPr>
              <w:pStyle w:val="Heading4"/>
              <w:spacing w:before="0"/>
              <w:jc w:val="center"/>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0.06</w:t>
            </w:r>
          </w:p>
        </w:tc>
        <w:tc>
          <w:tcPr>
            <w:tcW w:w="1430" w:type="dxa"/>
            <w:noWrap/>
            <w:hideMark/>
          </w:tcPr>
          <w:p w:rsidR="00030337" w:rsidRPr="00467C27" w:rsidRDefault="00030337" w:rsidP="00C15E48">
            <w:pPr>
              <w:pStyle w:val="Heading4"/>
              <w:spacing w:before="0"/>
              <w:jc w:val="center"/>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0.08</w:t>
            </w:r>
          </w:p>
        </w:tc>
      </w:tr>
      <w:tr w:rsidR="00030337" w:rsidRPr="00467C27" w:rsidTr="00030337">
        <w:trPr>
          <w:trHeight w:val="242"/>
        </w:trPr>
        <w:tc>
          <w:tcPr>
            <w:tcW w:w="3215" w:type="dxa"/>
            <w:hideMark/>
          </w:tcPr>
          <w:p w:rsidR="00030337" w:rsidRPr="00467C27" w:rsidRDefault="00030337" w:rsidP="00C15E48">
            <w:pPr>
              <w:pStyle w:val="Heading4"/>
              <w:spacing w:before="0"/>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NI Robin</w:t>
            </w:r>
          </w:p>
        </w:tc>
        <w:tc>
          <w:tcPr>
            <w:tcW w:w="1558" w:type="dxa"/>
            <w:noWrap/>
            <w:hideMark/>
          </w:tcPr>
          <w:p w:rsidR="00030337" w:rsidRPr="00467C27" w:rsidRDefault="00030337" w:rsidP="00C15E48">
            <w:pPr>
              <w:pStyle w:val="Heading4"/>
              <w:spacing w:before="0"/>
              <w:jc w:val="center"/>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0.01</w:t>
            </w:r>
          </w:p>
        </w:tc>
        <w:tc>
          <w:tcPr>
            <w:tcW w:w="1688" w:type="dxa"/>
            <w:noWrap/>
            <w:hideMark/>
          </w:tcPr>
          <w:p w:rsidR="00030337" w:rsidRPr="00467C27" w:rsidRDefault="00030337" w:rsidP="00C15E48">
            <w:pPr>
              <w:pStyle w:val="Heading4"/>
              <w:spacing w:before="0"/>
              <w:jc w:val="center"/>
              <w:outlineLvl w:val="3"/>
              <w:rPr>
                <w:rFonts w:asciiTheme="minorHAnsi" w:hAnsiTheme="minorHAnsi" w:cstheme="minorHAnsi"/>
                <w:b w:val="0"/>
                <w:color w:val="auto"/>
                <w:sz w:val="22"/>
              </w:rPr>
            </w:pPr>
          </w:p>
        </w:tc>
        <w:tc>
          <w:tcPr>
            <w:tcW w:w="1948" w:type="dxa"/>
            <w:noWrap/>
            <w:hideMark/>
          </w:tcPr>
          <w:p w:rsidR="00030337" w:rsidRPr="00467C27" w:rsidRDefault="00030337" w:rsidP="00C15E48">
            <w:pPr>
              <w:pStyle w:val="Heading4"/>
              <w:spacing w:before="0"/>
              <w:jc w:val="center"/>
              <w:outlineLvl w:val="3"/>
              <w:rPr>
                <w:rFonts w:asciiTheme="minorHAnsi" w:hAnsiTheme="minorHAnsi" w:cstheme="minorHAnsi"/>
                <w:b w:val="0"/>
                <w:color w:val="auto"/>
                <w:sz w:val="22"/>
              </w:rPr>
            </w:pPr>
          </w:p>
        </w:tc>
        <w:tc>
          <w:tcPr>
            <w:tcW w:w="1430" w:type="dxa"/>
            <w:noWrap/>
            <w:hideMark/>
          </w:tcPr>
          <w:p w:rsidR="00030337" w:rsidRPr="00467C27" w:rsidRDefault="00030337" w:rsidP="00C15E48">
            <w:pPr>
              <w:pStyle w:val="Heading4"/>
              <w:spacing w:before="0"/>
              <w:jc w:val="center"/>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0.01</w:t>
            </w:r>
          </w:p>
        </w:tc>
      </w:tr>
      <w:tr w:rsidR="00030337" w:rsidRPr="00467C27" w:rsidTr="00030337">
        <w:trPr>
          <w:trHeight w:val="242"/>
        </w:trPr>
        <w:tc>
          <w:tcPr>
            <w:tcW w:w="3215" w:type="dxa"/>
            <w:hideMark/>
          </w:tcPr>
          <w:p w:rsidR="00030337" w:rsidRPr="00467C27" w:rsidRDefault="00030337" w:rsidP="00C15E48">
            <w:pPr>
              <w:pStyle w:val="Heading4"/>
              <w:spacing w:before="0"/>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Bellbird</w:t>
            </w:r>
          </w:p>
        </w:tc>
        <w:tc>
          <w:tcPr>
            <w:tcW w:w="1558" w:type="dxa"/>
            <w:noWrap/>
            <w:hideMark/>
          </w:tcPr>
          <w:p w:rsidR="00030337" w:rsidRPr="00467C27" w:rsidRDefault="00030337" w:rsidP="00C15E48">
            <w:pPr>
              <w:pStyle w:val="Heading4"/>
              <w:spacing w:before="0"/>
              <w:jc w:val="center"/>
              <w:outlineLvl w:val="3"/>
              <w:rPr>
                <w:rFonts w:asciiTheme="minorHAnsi" w:hAnsiTheme="minorHAnsi" w:cstheme="minorHAnsi"/>
                <w:b w:val="0"/>
                <w:color w:val="auto"/>
                <w:sz w:val="22"/>
              </w:rPr>
            </w:pPr>
          </w:p>
        </w:tc>
        <w:tc>
          <w:tcPr>
            <w:tcW w:w="1688" w:type="dxa"/>
            <w:noWrap/>
            <w:hideMark/>
          </w:tcPr>
          <w:p w:rsidR="00030337" w:rsidRPr="00467C27" w:rsidRDefault="00030337" w:rsidP="00C15E48">
            <w:pPr>
              <w:pStyle w:val="Heading4"/>
              <w:spacing w:before="0"/>
              <w:jc w:val="center"/>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0.01</w:t>
            </w:r>
          </w:p>
        </w:tc>
        <w:tc>
          <w:tcPr>
            <w:tcW w:w="1948" w:type="dxa"/>
            <w:noWrap/>
            <w:hideMark/>
          </w:tcPr>
          <w:p w:rsidR="00030337" w:rsidRPr="00467C27" w:rsidRDefault="00030337" w:rsidP="00C15E48">
            <w:pPr>
              <w:pStyle w:val="Heading4"/>
              <w:spacing w:before="0"/>
              <w:jc w:val="center"/>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0.03</w:t>
            </w:r>
          </w:p>
        </w:tc>
        <w:tc>
          <w:tcPr>
            <w:tcW w:w="1430" w:type="dxa"/>
            <w:noWrap/>
            <w:hideMark/>
          </w:tcPr>
          <w:p w:rsidR="00030337" w:rsidRPr="00467C27" w:rsidRDefault="00030337" w:rsidP="00C15E48">
            <w:pPr>
              <w:pStyle w:val="Heading4"/>
              <w:spacing w:before="0"/>
              <w:jc w:val="center"/>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0.01</w:t>
            </w:r>
          </w:p>
        </w:tc>
      </w:tr>
      <w:tr w:rsidR="00030337" w:rsidRPr="00467C27" w:rsidTr="00030337">
        <w:trPr>
          <w:trHeight w:val="242"/>
        </w:trPr>
        <w:tc>
          <w:tcPr>
            <w:tcW w:w="3215" w:type="dxa"/>
            <w:hideMark/>
          </w:tcPr>
          <w:p w:rsidR="00030337" w:rsidRPr="00467C27" w:rsidRDefault="00030337" w:rsidP="00C15E48">
            <w:pPr>
              <w:pStyle w:val="Heading4"/>
              <w:spacing w:before="0"/>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NZ falcon</w:t>
            </w:r>
          </w:p>
        </w:tc>
        <w:tc>
          <w:tcPr>
            <w:tcW w:w="1558" w:type="dxa"/>
            <w:noWrap/>
            <w:hideMark/>
          </w:tcPr>
          <w:p w:rsidR="00030337" w:rsidRPr="00467C27" w:rsidRDefault="00030337" w:rsidP="00C15E48">
            <w:pPr>
              <w:pStyle w:val="Heading4"/>
              <w:spacing w:before="0"/>
              <w:jc w:val="center"/>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0.01</w:t>
            </w:r>
          </w:p>
        </w:tc>
        <w:tc>
          <w:tcPr>
            <w:tcW w:w="1688" w:type="dxa"/>
            <w:noWrap/>
            <w:hideMark/>
          </w:tcPr>
          <w:p w:rsidR="00030337" w:rsidRPr="00467C27" w:rsidRDefault="00030337" w:rsidP="00C15E48">
            <w:pPr>
              <w:pStyle w:val="Heading4"/>
              <w:spacing w:before="0"/>
              <w:jc w:val="center"/>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0.01</w:t>
            </w:r>
          </w:p>
        </w:tc>
        <w:tc>
          <w:tcPr>
            <w:tcW w:w="1948" w:type="dxa"/>
            <w:noWrap/>
            <w:hideMark/>
          </w:tcPr>
          <w:p w:rsidR="00030337" w:rsidRPr="00467C27" w:rsidRDefault="00030337" w:rsidP="00C15E48">
            <w:pPr>
              <w:pStyle w:val="Heading4"/>
              <w:spacing w:before="0"/>
              <w:jc w:val="center"/>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0.01</w:t>
            </w:r>
          </w:p>
        </w:tc>
        <w:tc>
          <w:tcPr>
            <w:tcW w:w="1430" w:type="dxa"/>
            <w:noWrap/>
            <w:hideMark/>
          </w:tcPr>
          <w:p w:rsidR="00030337" w:rsidRPr="00467C27" w:rsidRDefault="00030337" w:rsidP="00C15E48">
            <w:pPr>
              <w:pStyle w:val="Heading4"/>
              <w:spacing w:before="0"/>
              <w:jc w:val="center"/>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0.01</w:t>
            </w:r>
          </w:p>
        </w:tc>
      </w:tr>
      <w:tr w:rsidR="00030337" w:rsidRPr="00467C27" w:rsidTr="00030337">
        <w:trPr>
          <w:trHeight w:val="242"/>
        </w:trPr>
        <w:tc>
          <w:tcPr>
            <w:tcW w:w="3215" w:type="dxa"/>
            <w:hideMark/>
          </w:tcPr>
          <w:p w:rsidR="00030337" w:rsidRPr="00467C27" w:rsidRDefault="00030337" w:rsidP="00C15E48">
            <w:pPr>
              <w:pStyle w:val="Heading4"/>
              <w:spacing w:before="0"/>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Tomtit</w:t>
            </w:r>
          </w:p>
        </w:tc>
        <w:tc>
          <w:tcPr>
            <w:tcW w:w="1558" w:type="dxa"/>
            <w:noWrap/>
            <w:hideMark/>
          </w:tcPr>
          <w:p w:rsidR="00030337" w:rsidRPr="00467C27" w:rsidRDefault="00030337" w:rsidP="00C15E48">
            <w:pPr>
              <w:pStyle w:val="Heading4"/>
              <w:spacing w:before="0"/>
              <w:jc w:val="center"/>
              <w:outlineLvl w:val="3"/>
              <w:rPr>
                <w:rFonts w:asciiTheme="minorHAnsi" w:hAnsiTheme="minorHAnsi" w:cstheme="minorHAnsi"/>
                <w:b w:val="0"/>
                <w:color w:val="auto"/>
                <w:sz w:val="22"/>
              </w:rPr>
            </w:pPr>
          </w:p>
        </w:tc>
        <w:tc>
          <w:tcPr>
            <w:tcW w:w="1688" w:type="dxa"/>
            <w:noWrap/>
            <w:hideMark/>
          </w:tcPr>
          <w:p w:rsidR="00030337" w:rsidRPr="00467C27" w:rsidRDefault="00030337" w:rsidP="00C15E48">
            <w:pPr>
              <w:pStyle w:val="Heading4"/>
              <w:spacing w:before="0"/>
              <w:jc w:val="center"/>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0.01</w:t>
            </w:r>
          </w:p>
        </w:tc>
        <w:tc>
          <w:tcPr>
            <w:tcW w:w="1948" w:type="dxa"/>
            <w:noWrap/>
            <w:hideMark/>
          </w:tcPr>
          <w:p w:rsidR="00030337" w:rsidRPr="00467C27" w:rsidRDefault="00030337" w:rsidP="00C15E48">
            <w:pPr>
              <w:pStyle w:val="Heading4"/>
              <w:spacing w:before="0"/>
              <w:jc w:val="center"/>
              <w:outlineLvl w:val="3"/>
              <w:rPr>
                <w:rFonts w:asciiTheme="minorHAnsi" w:hAnsiTheme="minorHAnsi" w:cstheme="minorHAnsi"/>
                <w:b w:val="0"/>
                <w:color w:val="auto"/>
                <w:sz w:val="22"/>
              </w:rPr>
            </w:pPr>
          </w:p>
        </w:tc>
        <w:tc>
          <w:tcPr>
            <w:tcW w:w="1430" w:type="dxa"/>
            <w:noWrap/>
            <w:hideMark/>
          </w:tcPr>
          <w:p w:rsidR="00030337" w:rsidRPr="00467C27" w:rsidRDefault="00030337" w:rsidP="00C15E48">
            <w:pPr>
              <w:pStyle w:val="Heading4"/>
              <w:spacing w:before="0"/>
              <w:jc w:val="center"/>
              <w:outlineLvl w:val="3"/>
              <w:rPr>
                <w:rFonts w:asciiTheme="minorHAnsi" w:hAnsiTheme="minorHAnsi" w:cstheme="minorHAnsi"/>
                <w:b w:val="0"/>
                <w:color w:val="auto"/>
                <w:sz w:val="22"/>
              </w:rPr>
            </w:pPr>
          </w:p>
        </w:tc>
      </w:tr>
      <w:tr w:rsidR="00030337" w:rsidRPr="00C15E48" w:rsidTr="00030337">
        <w:trPr>
          <w:trHeight w:val="242"/>
        </w:trPr>
        <w:tc>
          <w:tcPr>
            <w:tcW w:w="3215" w:type="dxa"/>
            <w:hideMark/>
          </w:tcPr>
          <w:p w:rsidR="00030337" w:rsidRPr="00C15E48" w:rsidRDefault="00030337" w:rsidP="00C15E48">
            <w:pPr>
              <w:pStyle w:val="Heading4"/>
              <w:spacing w:before="0"/>
              <w:outlineLvl w:val="3"/>
              <w:rPr>
                <w:rFonts w:asciiTheme="minorHAnsi" w:hAnsiTheme="minorHAnsi" w:cstheme="minorHAnsi"/>
                <w:color w:val="auto"/>
                <w:sz w:val="22"/>
              </w:rPr>
            </w:pPr>
            <w:r w:rsidRPr="00C15E48">
              <w:rPr>
                <w:rFonts w:asciiTheme="minorHAnsi" w:hAnsiTheme="minorHAnsi" w:cstheme="minorHAnsi"/>
                <w:color w:val="auto"/>
                <w:sz w:val="22"/>
              </w:rPr>
              <w:t>Count</w:t>
            </w:r>
          </w:p>
        </w:tc>
        <w:tc>
          <w:tcPr>
            <w:tcW w:w="1558" w:type="dxa"/>
            <w:noWrap/>
            <w:hideMark/>
          </w:tcPr>
          <w:p w:rsidR="00030337" w:rsidRPr="00C15E48" w:rsidRDefault="00030337" w:rsidP="00C15E48">
            <w:pPr>
              <w:pStyle w:val="Heading4"/>
              <w:spacing w:before="0"/>
              <w:jc w:val="center"/>
              <w:outlineLvl w:val="3"/>
              <w:rPr>
                <w:rFonts w:asciiTheme="minorHAnsi" w:hAnsiTheme="minorHAnsi" w:cstheme="minorHAnsi"/>
                <w:color w:val="auto"/>
                <w:sz w:val="22"/>
              </w:rPr>
            </w:pPr>
            <w:r w:rsidRPr="00C15E48">
              <w:rPr>
                <w:rFonts w:asciiTheme="minorHAnsi" w:hAnsiTheme="minorHAnsi" w:cstheme="minorHAnsi"/>
                <w:color w:val="auto"/>
                <w:sz w:val="22"/>
              </w:rPr>
              <w:t>13</w:t>
            </w:r>
          </w:p>
        </w:tc>
        <w:tc>
          <w:tcPr>
            <w:tcW w:w="1688" w:type="dxa"/>
            <w:noWrap/>
            <w:hideMark/>
          </w:tcPr>
          <w:p w:rsidR="00030337" w:rsidRPr="00C15E48" w:rsidRDefault="00030337" w:rsidP="00C15E48">
            <w:pPr>
              <w:pStyle w:val="Heading4"/>
              <w:spacing w:before="0"/>
              <w:jc w:val="center"/>
              <w:outlineLvl w:val="3"/>
              <w:rPr>
                <w:rFonts w:asciiTheme="minorHAnsi" w:hAnsiTheme="minorHAnsi" w:cstheme="minorHAnsi"/>
                <w:color w:val="auto"/>
                <w:sz w:val="22"/>
              </w:rPr>
            </w:pPr>
            <w:r w:rsidRPr="00C15E48">
              <w:rPr>
                <w:rFonts w:asciiTheme="minorHAnsi" w:hAnsiTheme="minorHAnsi" w:cstheme="minorHAnsi"/>
                <w:color w:val="auto"/>
                <w:sz w:val="22"/>
              </w:rPr>
              <w:t>14</w:t>
            </w:r>
          </w:p>
        </w:tc>
        <w:tc>
          <w:tcPr>
            <w:tcW w:w="1948" w:type="dxa"/>
            <w:noWrap/>
            <w:hideMark/>
          </w:tcPr>
          <w:p w:rsidR="00030337" w:rsidRPr="00C15E48" w:rsidRDefault="00030337" w:rsidP="00C15E48">
            <w:pPr>
              <w:pStyle w:val="Heading4"/>
              <w:spacing w:before="0"/>
              <w:jc w:val="center"/>
              <w:outlineLvl w:val="3"/>
              <w:rPr>
                <w:rFonts w:asciiTheme="minorHAnsi" w:hAnsiTheme="minorHAnsi" w:cstheme="minorHAnsi"/>
                <w:color w:val="auto"/>
                <w:sz w:val="22"/>
              </w:rPr>
            </w:pPr>
            <w:r w:rsidRPr="00C15E48">
              <w:rPr>
                <w:rFonts w:asciiTheme="minorHAnsi" w:hAnsiTheme="minorHAnsi" w:cstheme="minorHAnsi"/>
                <w:color w:val="auto"/>
                <w:sz w:val="22"/>
              </w:rPr>
              <w:t>13</w:t>
            </w:r>
          </w:p>
        </w:tc>
        <w:tc>
          <w:tcPr>
            <w:tcW w:w="1430" w:type="dxa"/>
            <w:noWrap/>
            <w:hideMark/>
          </w:tcPr>
          <w:p w:rsidR="00030337" w:rsidRPr="00C15E48" w:rsidRDefault="00030337" w:rsidP="00C15E48">
            <w:pPr>
              <w:pStyle w:val="Heading4"/>
              <w:spacing w:before="0"/>
              <w:jc w:val="center"/>
              <w:outlineLvl w:val="3"/>
              <w:rPr>
                <w:rFonts w:asciiTheme="minorHAnsi" w:hAnsiTheme="minorHAnsi" w:cstheme="minorHAnsi"/>
                <w:color w:val="auto"/>
                <w:sz w:val="22"/>
              </w:rPr>
            </w:pPr>
            <w:r w:rsidRPr="00C15E48">
              <w:rPr>
                <w:rFonts w:asciiTheme="minorHAnsi" w:hAnsiTheme="minorHAnsi" w:cstheme="minorHAnsi"/>
                <w:color w:val="auto"/>
                <w:sz w:val="22"/>
              </w:rPr>
              <w:t>14</w:t>
            </w:r>
          </w:p>
        </w:tc>
      </w:tr>
    </w:tbl>
    <w:p w:rsidR="00030337" w:rsidRDefault="00030337" w:rsidP="00030337">
      <w:pPr>
        <w:rPr>
          <w:rFonts w:cstheme="minorHAnsi"/>
        </w:rPr>
      </w:pPr>
    </w:p>
    <w:p w:rsidR="00C15E48" w:rsidRPr="0009290F" w:rsidRDefault="008509B9">
      <w:pPr>
        <w:rPr>
          <w:rFonts w:cstheme="minorHAnsi"/>
        </w:rPr>
      </w:pPr>
      <w:r w:rsidRPr="0009290F">
        <w:rPr>
          <w:rFonts w:cstheme="minorHAnsi"/>
        </w:rPr>
        <w:t xml:space="preserve">Source: WCC Parks, Sport and Recreation </w:t>
      </w:r>
      <w:r w:rsidR="00C15E48" w:rsidRPr="0009290F">
        <w:rPr>
          <w:rFonts w:cstheme="minorHAnsi"/>
        </w:rPr>
        <w:br w:type="page"/>
      </w:r>
    </w:p>
    <w:p w:rsidR="00030337" w:rsidRPr="000D372D" w:rsidRDefault="0083006D" w:rsidP="002C7BF8">
      <w:pPr>
        <w:pStyle w:val="ListParagraph"/>
        <w:numPr>
          <w:ilvl w:val="0"/>
          <w:numId w:val="61"/>
        </w:numPr>
        <w:rPr>
          <w:b/>
        </w:rPr>
      </w:pPr>
      <w:r w:rsidRPr="000D372D">
        <w:rPr>
          <w:rFonts w:cstheme="minorHAnsi"/>
          <w:b/>
        </w:rPr>
        <w:lastRenderedPageBreak/>
        <w:t>Freshwater biological health (macro invertebrates) – Makara, Karori, Kaiwharawhara, and Porirua streams, ideal &gt;100</w:t>
      </w:r>
    </w:p>
    <w:tbl>
      <w:tblPr>
        <w:tblStyle w:val="TableGrid"/>
        <w:tblW w:w="10740" w:type="dxa"/>
        <w:tblBorders>
          <w:top w:val="single" w:sz="4" w:space="0" w:color="00B050"/>
          <w:left w:val="none" w:sz="0" w:space="0" w:color="auto"/>
          <w:bottom w:val="single" w:sz="4" w:space="0" w:color="00B050"/>
          <w:right w:val="none" w:sz="0" w:space="0" w:color="auto"/>
          <w:insideH w:val="single" w:sz="4" w:space="0" w:color="00B050"/>
          <w:insideV w:val="single" w:sz="4" w:space="0" w:color="00B050"/>
        </w:tblBorders>
        <w:tblLayout w:type="fixed"/>
        <w:tblLook w:val="04A0" w:firstRow="1" w:lastRow="0" w:firstColumn="1" w:lastColumn="0" w:noHBand="0" w:noVBand="1"/>
      </w:tblPr>
      <w:tblGrid>
        <w:gridCol w:w="2431"/>
        <w:gridCol w:w="1893"/>
        <w:gridCol w:w="1305"/>
        <w:gridCol w:w="1850"/>
        <w:gridCol w:w="2048"/>
        <w:gridCol w:w="1213"/>
      </w:tblGrid>
      <w:tr w:rsidR="00030337" w:rsidRPr="00467C27" w:rsidTr="00030337">
        <w:trPr>
          <w:trHeight w:val="276"/>
        </w:trPr>
        <w:tc>
          <w:tcPr>
            <w:tcW w:w="2431" w:type="dxa"/>
            <w:tcBorders>
              <w:right w:val="single" w:sz="4" w:space="0" w:color="FFFFFF" w:themeColor="background1"/>
            </w:tcBorders>
            <w:shd w:val="clear" w:color="auto" w:fill="00B050"/>
            <w:noWrap/>
            <w:hideMark/>
          </w:tcPr>
          <w:p w:rsidR="00030337" w:rsidRPr="00E1344D" w:rsidRDefault="00030337" w:rsidP="00030337">
            <w:pPr>
              <w:pStyle w:val="Heading4"/>
              <w:jc w:val="center"/>
              <w:outlineLvl w:val="3"/>
              <w:rPr>
                <w:rFonts w:asciiTheme="minorHAnsi" w:hAnsiTheme="minorHAnsi" w:cstheme="minorHAnsi"/>
                <w:color w:val="FFFFFF" w:themeColor="background1"/>
                <w:sz w:val="22"/>
              </w:rPr>
            </w:pPr>
          </w:p>
        </w:tc>
        <w:tc>
          <w:tcPr>
            <w:tcW w:w="1893" w:type="dxa"/>
            <w:tcBorders>
              <w:left w:val="single" w:sz="4" w:space="0" w:color="FFFFFF" w:themeColor="background1"/>
              <w:right w:val="single" w:sz="4" w:space="0" w:color="FFFFFF" w:themeColor="background1"/>
            </w:tcBorders>
            <w:shd w:val="clear" w:color="auto" w:fill="00B050"/>
            <w:noWrap/>
            <w:hideMark/>
          </w:tcPr>
          <w:p w:rsidR="00030337" w:rsidRPr="00E1344D" w:rsidRDefault="00030337" w:rsidP="00030337">
            <w:pPr>
              <w:pStyle w:val="Heading4"/>
              <w:jc w:val="center"/>
              <w:outlineLvl w:val="3"/>
              <w:rPr>
                <w:rFonts w:asciiTheme="minorHAnsi" w:hAnsiTheme="minorHAnsi" w:cstheme="minorHAnsi"/>
                <w:color w:val="FFFFFF" w:themeColor="background1"/>
                <w:sz w:val="22"/>
              </w:rPr>
            </w:pPr>
            <w:r w:rsidRPr="00E1344D">
              <w:rPr>
                <w:rFonts w:asciiTheme="minorHAnsi" w:hAnsiTheme="minorHAnsi" w:cstheme="minorHAnsi"/>
                <w:color w:val="FFFFFF" w:themeColor="background1"/>
                <w:sz w:val="22"/>
              </w:rPr>
              <w:t>2013/14</w:t>
            </w:r>
          </w:p>
        </w:tc>
        <w:tc>
          <w:tcPr>
            <w:tcW w:w="1305" w:type="dxa"/>
            <w:tcBorders>
              <w:left w:val="single" w:sz="4" w:space="0" w:color="FFFFFF" w:themeColor="background1"/>
              <w:right w:val="single" w:sz="4" w:space="0" w:color="FFFFFF" w:themeColor="background1"/>
            </w:tcBorders>
            <w:shd w:val="clear" w:color="auto" w:fill="00B050"/>
            <w:noWrap/>
            <w:hideMark/>
          </w:tcPr>
          <w:p w:rsidR="00030337" w:rsidRPr="00E1344D" w:rsidRDefault="00030337" w:rsidP="00030337">
            <w:pPr>
              <w:pStyle w:val="Heading4"/>
              <w:jc w:val="center"/>
              <w:outlineLvl w:val="3"/>
              <w:rPr>
                <w:rFonts w:asciiTheme="minorHAnsi" w:hAnsiTheme="minorHAnsi" w:cstheme="minorHAnsi"/>
                <w:color w:val="FFFFFF" w:themeColor="background1"/>
                <w:sz w:val="22"/>
              </w:rPr>
            </w:pPr>
            <w:r w:rsidRPr="00E1344D">
              <w:rPr>
                <w:rFonts w:asciiTheme="minorHAnsi" w:hAnsiTheme="minorHAnsi" w:cstheme="minorHAnsi"/>
                <w:color w:val="FFFFFF" w:themeColor="background1"/>
                <w:sz w:val="22"/>
              </w:rPr>
              <w:t>2014/15</w:t>
            </w:r>
          </w:p>
        </w:tc>
        <w:tc>
          <w:tcPr>
            <w:tcW w:w="1850" w:type="dxa"/>
            <w:tcBorders>
              <w:left w:val="single" w:sz="4" w:space="0" w:color="FFFFFF" w:themeColor="background1"/>
              <w:right w:val="single" w:sz="4" w:space="0" w:color="FFFFFF" w:themeColor="background1"/>
            </w:tcBorders>
            <w:shd w:val="clear" w:color="auto" w:fill="00B050"/>
            <w:noWrap/>
            <w:hideMark/>
          </w:tcPr>
          <w:p w:rsidR="00030337" w:rsidRPr="00E1344D" w:rsidRDefault="00030337" w:rsidP="00030337">
            <w:pPr>
              <w:pStyle w:val="Heading4"/>
              <w:jc w:val="center"/>
              <w:outlineLvl w:val="3"/>
              <w:rPr>
                <w:rFonts w:asciiTheme="minorHAnsi" w:hAnsiTheme="minorHAnsi" w:cstheme="minorHAnsi"/>
                <w:color w:val="FFFFFF" w:themeColor="background1"/>
                <w:sz w:val="22"/>
              </w:rPr>
            </w:pPr>
            <w:r w:rsidRPr="00E1344D">
              <w:rPr>
                <w:rFonts w:asciiTheme="minorHAnsi" w:hAnsiTheme="minorHAnsi" w:cstheme="minorHAnsi"/>
                <w:color w:val="FFFFFF" w:themeColor="background1"/>
                <w:sz w:val="22"/>
              </w:rPr>
              <w:t>2015/16</w:t>
            </w:r>
          </w:p>
        </w:tc>
        <w:tc>
          <w:tcPr>
            <w:tcW w:w="2048" w:type="dxa"/>
            <w:tcBorders>
              <w:left w:val="single" w:sz="4" w:space="0" w:color="FFFFFF" w:themeColor="background1"/>
              <w:right w:val="single" w:sz="4" w:space="0" w:color="FFFFFF" w:themeColor="background1"/>
            </w:tcBorders>
            <w:shd w:val="clear" w:color="auto" w:fill="00B050"/>
            <w:noWrap/>
            <w:hideMark/>
          </w:tcPr>
          <w:p w:rsidR="00030337" w:rsidRPr="00E1344D" w:rsidRDefault="00030337" w:rsidP="00030337">
            <w:pPr>
              <w:pStyle w:val="Heading4"/>
              <w:jc w:val="center"/>
              <w:outlineLvl w:val="3"/>
              <w:rPr>
                <w:rFonts w:asciiTheme="minorHAnsi" w:hAnsiTheme="minorHAnsi" w:cstheme="minorHAnsi"/>
                <w:color w:val="FFFFFF" w:themeColor="background1"/>
                <w:sz w:val="22"/>
              </w:rPr>
            </w:pPr>
            <w:r w:rsidRPr="00E1344D">
              <w:rPr>
                <w:rFonts w:asciiTheme="minorHAnsi" w:hAnsiTheme="minorHAnsi" w:cstheme="minorHAnsi"/>
                <w:color w:val="FFFFFF" w:themeColor="background1"/>
                <w:sz w:val="22"/>
              </w:rPr>
              <w:t>2016/17</w:t>
            </w:r>
          </w:p>
        </w:tc>
        <w:tc>
          <w:tcPr>
            <w:tcW w:w="1213" w:type="dxa"/>
            <w:tcBorders>
              <w:left w:val="single" w:sz="4" w:space="0" w:color="FFFFFF" w:themeColor="background1"/>
            </w:tcBorders>
            <w:shd w:val="clear" w:color="auto" w:fill="00B050"/>
            <w:noWrap/>
            <w:hideMark/>
          </w:tcPr>
          <w:p w:rsidR="00030337" w:rsidRPr="00E1344D" w:rsidRDefault="00030337" w:rsidP="00030337">
            <w:pPr>
              <w:pStyle w:val="Heading4"/>
              <w:jc w:val="center"/>
              <w:outlineLvl w:val="3"/>
              <w:rPr>
                <w:rFonts w:asciiTheme="minorHAnsi" w:hAnsiTheme="minorHAnsi" w:cstheme="minorHAnsi"/>
                <w:color w:val="FFFFFF" w:themeColor="background1"/>
                <w:sz w:val="22"/>
              </w:rPr>
            </w:pPr>
            <w:r w:rsidRPr="00E1344D">
              <w:rPr>
                <w:rFonts w:asciiTheme="minorHAnsi" w:hAnsiTheme="minorHAnsi" w:cstheme="minorHAnsi"/>
                <w:color w:val="FFFFFF" w:themeColor="background1"/>
                <w:sz w:val="22"/>
              </w:rPr>
              <w:t>2017/18</w:t>
            </w:r>
          </w:p>
        </w:tc>
      </w:tr>
      <w:tr w:rsidR="00030337" w:rsidRPr="00467C27" w:rsidTr="00030337">
        <w:trPr>
          <w:trHeight w:val="552"/>
        </w:trPr>
        <w:tc>
          <w:tcPr>
            <w:tcW w:w="2431" w:type="dxa"/>
            <w:noWrap/>
            <w:hideMark/>
          </w:tcPr>
          <w:p w:rsidR="00030337" w:rsidRPr="00467C27" w:rsidRDefault="00030337" w:rsidP="00030337">
            <w:pPr>
              <w:pStyle w:val="Heading4"/>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Makara Stream</w:t>
            </w:r>
          </w:p>
        </w:tc>
        <w:tc>
          <w:tcPr>
            <w:tcW w:w="1893" w:type="dxa"/>
            <w:noWrap/>
            <w:hideMark/>
          </w:tcPr>
          <w:p w:rsidR="00030337" w:rsidRPr="00467C27" w:rsidRDefault="00030337" w:rsidP="00030337">
            <w:pPr>
              <w:pStyle w:val="Heading4"/>
              <w:jc w:val="center"/>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107</w:t>
            </w:r>
          </w:p>
        </w:tc>
        <w:tc>
          <w:tcPr>
            <w:tcW w:w="1305" w:type="dxa"/>
            <w:noWrap/>
            <w:hideMark/>
          </w:tcPr>
          <w:p w:rsidR="00030337" w:rsidRPr="00467C27" w:rsidRDefault="00030337" w:rsidP="00030337">
            <w:pPr>
              <w:pStyle w:val="Heading4"/>
              <w:jc w:val="center"/>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114</w:t>
            </w:r>
          </w:p>
        </w:tc>
        <w:tc>
          <w:tcPr>
            <w:tcW w:w="1850" w:type="dxa"/>
            <w:hideMark/>
          </w:tcPr>
          <w:p w:rsidR="00030337" w:rsidRPr="00467C27" w:rsidRDefault="00145BEF" w:rsidP="00030337">
            <w:pPr>
              <w:pStyle w:val="Heading4"/>
              <w:jc w:val="center"/>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Not</w:t>
            </w:r>
            <w:r w:rsidR="00030337" w:rsidRPr="00467C27">
              <w:rPr>
                <w:rFonts w:asciiTheme="minorHAnsi" w:hAnsiTheme="minorHAnsi" w:cstheme="minorHAnsi"/>
                <w:b w:val="0"/>
                <w:color w:val="auto"/>
                <w:sz w:val="22"/>
              </w:rPr>
              <w:t xml:space="preserve"> sampled</w:t>
            </w:r>
          </w:p>
        </w:tc>
        <w:tc>
          <w:tcPr>
            <w:tcW w:w="2048" w:type="dxa"/>
            <w:hideMark/>
          </w:tcPr>
          <w:p w:rsidR="00030337" w:rsidRPr="00467C27" w:rsidRDefault="00145BEF" w:rsidP="00030337">
            <w:pPr>
              <w:pStyle w:val="Heading4"/>
              <w:jc w:val="center"/>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Not</w:t>
            </w:r>
            <w:r w:rsidR="00030337" w:rsidRPr="00467C27">
              <w:rPr>
                <w:rFonts w:asciiTheme="minorHAnsi" w:hAnsiTheme="minorHAnsi" w:cstheme="minorHAnsi"/>
                <w:b w:val="0"/>
                <w:color w:val="auto"/>
                <w:sz w:val="22"/>
              </w:rPr>
              <w:t xml:space="preserve"> sampled</w:t>
            </w:r>
          </w:p>
        </w:tc>
        <w:tc>
          <w:tcPr>
            <w:tcW w:w="1213" w:type="dxa"/>
            <w:noWrap/>
            <w:hideMark/>
          </w:tcPr>
          <w:p w:rsidR="00030337" w:rsidRPr="00467C27" w:rsidRDefault="00030337" w:rsidP="00030337">
            <w:pPr>
              <w:pStyle w:val="Heading4"/>
              <w:jc w:val="center"/>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100</w:t>
            </w:r>
          </w:p>
        </w:tc>
      </w:tr>
      <w:tr w:rsidR="00030337" w:rsidRPr="00467C27" w:rsidTr="00030337">
        <w:trPr>
          <w:trHeight w:val="276"/>
        </w:trPr>
        <w:tc>
          <w:tcPr>
            <w:tcW w:w="2431" w:type="dxa"/>
            <w:noWrap/>
            <w:hideMark/>
          </w:tcPr>
          <w:p w:rsidR="00030337" w:rsidRPr="00467C27" w:rsidRDefault="00030337" w:rsidP="00030337">
            <w:pPr>
              <w:pStyle w:val="Heading4"/>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Karori Stream</w:t>
            </w:r>
          </w:p>
        </w:tc>
        <w:tc>
          <w:tcPr>
            <w:tcW w:w="1893" w:type="dxa"/>
            <w:noWrap/>
            <w:hideMark/>
          </w:tcPr>
          <w:p w:rsidR="00030337" w:rsidRPr="00467C27" w:rsidRDefault="00030337" w:rsidP="00030337">
            <w:pPr>
              <w:pStyle w:val="Heading4"/>
              <w:jc w:val="center"/>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92</w:t>
            </w:r>
          </w:p>
        </w:tc>
        <w:tc>
          <w:tcPr>
            <w:tcW w:w="1305" w:type="dxa"/>
            <w:noWrap/>
            <w:hideMark/>
          </w:tcPr>
          <w:p w:rsidR="00030337" w:rsidRPr="00467C27" w:rsidRDefault="00030337" w:rsidP="00030337">
            <w:pPr>
              <w:pStyle w:val="Heading4"/>
              <w:jc w:val="center"/>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85</w:t>
            </w:r>
          </w:p>
        </w:tc>
        <w:tc>
          <w:tcPr>
            <w:tcW w:w="1850" w:type="dxa"/>
            <w:noWrap/>
            <w:hideMark/>
          </w:tcPr>
          <w:p w:rsidR="00030337" w:rsidRPr="00467C27" w:rsidRDefault="00030337" w:rsidP="00030337">
            <w:pPr>
              <w:pStyle w:val="Heading4"/>
              <w:jc w:val="center"/>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85</w:t>
            </w:r>
          </w:p>
        </w:tc>
        <w:tc>
          <w:tcPr>
            <w:tcW w:w="2048" w:type="dxa"/>
            <w:noWrap/>
            <w:hideMark/>
          </w:tcPr>
          <w:p w:rsidR="00030337" w:rsidRPr="00467C27" w:rsidRDefault="00030337" w:rsidP="00030337">
            <w:pPr>
              <w:pStyle w:val="Heading4"/>
              <w:jc w:val="center"/>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93.1</w:t>
            </w:r>
          </w:p>
        </w:tc>
        <w:tc>
          <w:tcPr>
            <w:tcW w:w="1213" w:type="dxa"/>
            <w:noWrap/>
            <w:hideMark/>
          </w:tcPr>
          <w:p w:rsidR="00030337" w:rsidRPr="00467C27" w:rsidRDefault="00030337" w:rsidP="00030337">
            <w:pPr>
              <w:pStyle w:val="Heading4"/>
              <w:jc w:val="center"/>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98</w:t>
            </w:r>
          </w:p>
        </w:tc>
      </w:tr>
      <w:tr w:rsidR="00030337" w:rsidRPr="00467C27" w:rsidTr="00030337">
        <w:trPr>
          <w:trHeight w:val="276"/>
        </w:trPr>
        <w:tc>
          <w:tcPr>
            <w:tcW w:w="2431" w:type="dxa"/>
            <w:noWrap/>
            <w:hideMark/>
          </w:tcPr>
          <w:p w:rsidR="00030337" w:rsidRPr="00467C27" w:rsidRDefault="00030337" w:rsidP="00030337">
            <w:pPr>
              <w:pStyle w:val="Heading4"/>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Kaiwharawhara Stream</w:t>
            </w:r>
          </w:p>
        </w:tc>
        <w:tc>
          <w:tcPr>
            <w:tcW w:w="1893" w:type="dxa"/>
            <w:noWrap/>
            <w:hideMark/>
          </w:tcPr>
          <w:p w:rsidR="00030337" w:rsidRPr="00467C27" w:rsidRDefault="00030337" w:rsidP="00030337">
            <w:pPr>
              <w:pStyle w:val="Heading4"/>
              <w:jc w:val="center"/>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96</w:t>
            </w:r>
          </w:p>
        </w:tc>
        <w:tc>
          <w:tcPr>
            <w:tcW w:w="1305" w:type="dxa"/>
            <w:noWrap/>
            <w:hideMark/>
          </w:tcPr>
          <w:p w:rsidR="00030337" w:rsidRPr="00467C27" w:rsidRDefault="00030337" w:rsidP="00030337">
            <w:pPr>
              <w:pStyle w:val="Heading4"/>
              <w:jc w:val="center"/>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82</w:t>
            </w:r>
          </w:p>
        </w:tc>
        <w:tc>
          <w:tcPr>
            <w:tcW w:w="1850" w:type="dxa"/>
            <w:noWrap/>
            <w:hideMark/>
          </w:tcPr>
          <w:p w:rsidR="00030337" w:rsidRPr="00467C27" w:rsidRDefault="00030337" w:rsidP="00030337">
            <w:pPr>
              <w:pStyle w:val="Heading4"/>
              <w:jc w:val="center"/>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71</w:t>
            </w:r>
          </w:p>
        </w:tc>
        <w:tc>
          <w:tcPr>
            <w:tcW w:w="2048" w:type="dxa"/>
            <w:noWrap/>
            <w:hideMark/>
          </w:tcPr>
          <w:p w:rsidR="00030337" w:rsidRPr="00467C27" w:rsidRDefault="00030337" w:rsidP="00030337">
            <w:pPr>
              <w:pStyle w:val="Heading4"/>
              <w:jc w:val="center"/>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98.6</w:t>
            </w:r>
          </w:p>
        </w:tc>
        <w:tc>
          <w:tcPr>
            <w:tcW w:w="1213" w:type="dxa"/>
            <w:noWrap/>
            <w:hideMark/>
          </w:tcPr>
          <w:p w:rsidR="00030337" w:rsidRPr="00467C27" w:rsidRDefault="00030337" w:rsidP="00030337">
            <w:pPr>
              <w:pStyle w:val="Heading4"/>
              <w:jc w:val="center"/>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94</w:t>
            </w:r>
          </w:p>
        </w:tc>
      </w:tr>
      <w:tr w:rsidR="00030337" w:rsidRPr="00467C27" w:rsidTr="00030337">
        <w:trPr>
          <w:trHeight w:val="276"/>
        </w:trPr>
        <w:tc>
          <w:tcPr>
            <w:tcW w:w="2431" w:type="dxa"/>
            <w:noWrap/>
            <w:hideMark/>
          </w:tcPr>
          <w:p w:rsidR="00030337" w:rsidRPr="00467C27" w:rsidRDefault="00030337" w:rsidP="00030337">
            <w:pPr>
              <w:pStyle w:val="Heading4"/>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Porirua Stream (at milk depot)</w:t>
            </w:r>
          </w:p>
        </w:tc>
        <w:tc>
          <w:tcPr>
            <w:tcW w:w="1893" w:type="dxa"/>
            <w:noWrap/>
            <w:hideMark/>
          </w:tcPr>
          <w:p w:rsidR="00030337" w:rsidRPr="00467C27" w:rsidRDefault="00030337" w:rsidP="00030337">
            <w:pPr>
              <w:pStyle w:val="Heading4"/>
              <w:jc w:val="center"/>
              <w:outlineLvl w:val="3"/>
              <w:rPr>
                <w:rFonts w:asciiTheme="minorHAnsi" w:hAnsiTheme="minorHAnsi" w:cstheme="minorHAnsi"/>
                <w:b w:val="0"/>
                <w:color w:val="auto"/>
                <w:sz w:val="22"/>
              </w:rPr>
            </w:pPr>
          </w:p>
        </w:tc>
        <w:tc>
          <w:tcPr>
            <w:tcW w:w="1305" w:type="dxa"/>
            <w:noWrap/>
            <w:hideMark/>
          </w:tcPr>
          <w:p w:rsidR="00030337" w:rsidRPr="00467C27" w:rsidRDefault="00030337" w:rsidP="00030337">
            <w:pPr>
              <w:pStyle w:val="Heading4"/>
              <w:jc w:val="center"/>
              <w:outlineLvl w:val="3"/>
              <w:rPr>
                <w:rFonts w:asciiTheme="minorHAnsi" w:hAnsiTheme="minorHAnsi" w:cstheme="minorHAnsi"/>
                <w:b w:val="0"/>
                <w:color w:val="auto"/>
                <w:sz w:val="22"/>
              </w:rPr>
            </w:pPr>
          </w:p>
        </w:tc>
        <w:tc>
          <w:tcPr>
            <w:tcW w:w="1850" w:type="dxa"/>
            <w:noWrap/>
            <w:hideMark/>
          </w:tcPr>
          <w:p w:rsidR="00030337" w:rsidRPr="00467C27" w:rsidRDefault="00030337" w:rsidP="00030337">
            <w:pPr>
              <w:pStyle w:val="Heading4"/>
              <w:jc w:val="center"/>
              <w:outlineLvl w:val="3"/>
              <w:rPr>
                <w:rFonts w:asciiTheme="minorHAnsi" w:hAnsiTheme="minorHAnsi" w:cstheme="minorHAnsi"/>
                <w:b w:val="0"/>
                <w:color w:val="auto"/>
                <w:sz w:val="22"/>
              </w:rPr>
            </w:pPr>
          </w:p>
        </w:tc>
        <w:tc>
          <w:tcPr>
            <w:tcW w:w="2048" w:type="dxa"/>
            <w:noWrap/>
            <w:hideMark/>
          </w:tcPr>
          <w:p w:rsidR="00030337" w:rsidRPr="00467C27" w:rsidRDefault="00030337" w:rsidP="00030337">
            <w:pPr>
              <w:pStyle w:val="Heading4"/>
              <w:jc w:val="center"/>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98.1</w:t>
            </w:r>
          </w:p>
        </w:tc>
        <w:tc>
          <w:tcPr>
            <w:tcW w:w="1213" w:type="dxa"/>
            <w:noWrap/>
            <w:hideMark/>
          </w:tcPr>
          <w:p w:rsidR="00030337" w:rsidRPr="00467C27" w:rsidRDefault="00030337" w:rsidP="00030337">
            <w:pPr>
              <w:pStyle w:val="Heading4"/>
              <w:jc w:val="center"/>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86</w:t>
            </w:r>
          </w:p>
        </w:tc>
      </w:tr>
      <w:tr w:rsidR="00030337" w:rsidRPr="00467C27" w:rsidTr="00030337">
        <w:trPr>
          <w:trHeight w:val="276"/>
        </w:trPr>
        <w:tc>
          <w:tcPr>
            <w:tcW w:w="2431" w:type="dxa"/>
            <w:noWrap/>
            <w:hideMark/>
          </w:tcPr>
          <w:p w:rsidR="00030337" w:rsidRPr="00467C27" w:rsidRDefault="00030337" w:rsidP="00030337">
            <w:pPr>
              <w:pStyle w:val="Heading4"/>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Location of measure changes</w:t>
            </w:r>
          </w:p>
        </w:tc>
        <w:tc>
          <w:tcPr>
            <w:tcW w:w="1893" w:type="dxa"/>
            <w:noWrap/>
            <w:hideMark/>
          </w:tcPr>
          <w:p w:rsidR="00030337" w:rsidRPr="00467C27" w:rsidRDefault="00030337" w:rsidP="00030337">
            <w:pPr>
              <w:pStyle w:val="Heading4"/>
              <w:jc w:val="center"/>
              <w:outlineLvl w:val="3"/>
              <w:rPr>
                <w:rFonts w:asciiTheme="minorHAnsi" w:hAnsiTheme="minorHAnsi" w:cstheme="minorHAnsi"/>
                <w:b w:val="0"/>
                <w:color w:val="auto"/>
                <w:sz w:val="22"/>
              </w:rPr>
            </w:pPr>
          </w:p>
        </w:tc>
        <w:tc>
          <w:tcPr>
            <w:tcW w:w="1305" w:type="dxa"/>
            <w:noWrap/>
            <w:hideMark/>
          </w:tcPr>
          <w:p w:rsidR="00030337" w:rsidRPr="00467C27" w:rsidRDefault="00030337" w:rsidP="00030337">
            <w:pPr>
              <w:pStyle w:val="Heading4"/>
              <w:jc w:val="center"/>
              <w:outlineLvl w:val="3"/>
              <w:rPr>
                <w:rFonts w:asciiTheme="minorHAnsi" w:hAnsiTheme="minorHAnsi" w:cstheme="minorHAnsi"/>
                <w:b w:val="0"/>
                <w:color w:val="auto"/>
                <w:sz w:val="22"/>
              </w:rPr>
            </w:pPr>
          </w:p>
        </w:tc>
        <w:tc>
          <w:tcPr>
            <w:tcW w:w="1850" w:type="dxa"/>
            <w:noWrap/>
            <w:hideMark/>
          </w:tcPr>
          <w:p w:rsidR="00030337" w:rsidRPr="00467C27" w:rsidRDefault="00030337" w:rsidP="00030337">
            <w:pPr>
              <w:pStyle w:val="Heading4"/>
              <w:jc w:val="center"/>
              <w:outlineLvl w:val="3"/>
              <w:rPr>
                <w:rFonts w:asciiTheme="minorHAnsi" w:hAnsiTheme="minorHAnsi" w:cstheme="minorHAnsi"/>
                <w:b w:val="0"/>
                <w:color w:val="auto"/>
                <w:sz w:val="22"/>
              </w:rPr>
            </w:pPr>
          </w:p>
        </w:tc>
        <w:tc>
          <w:tcPr>
            <w:tcW w:w="2048" w:type="dxa"/>
            <w:noWrap/>
            <w:hideMark/>
          </w:tcPr>
          <w:p w:rsidR="00030337" w:rsidRPr="00467C27" w:rsidRDefault="00030337" w:rsidP="00030337">
            <w:pPr>
              <w:pStyle w:val="Heading4"/>
              <w:jc w:val="center"/>
              <w:outlineLvl w:val="3"/>
              <w:rPr>
                <w:rFonts w:asciiTheme="minorHAnsi" w:hAnsiTheme="minorHAnsi" w:cstheme="minorHAnsi"/>
                <w:b w:val="0"/>
                <w:color w:val="auto"/>
                <w:sz w:val="22"/>
              </w:rPr>
            </w:pPr>
          </w:p>
        </w:tc>
        <w:tc>
          <w:tcPr>
            <w:tcW w:w="1213" w:type="dxa"/>
            <w:noWrap/>
            <w:hideMark/>
          </w:tcPr>
          <w:p w:rsidR="00030337" w:rsidRPr="00467C27" w:rsidRDefault="00030337" w:rsidP="00030337">
            <w:pPr>
              <w:pStyle w:val="Heading4"/>
              <w:jc w:val="center"/>
              <w:outlineLvl w:val="3"/>
              <w:rPr>
                <w:rFonts w:asciiTheme="minorHAnsi" w:hAnsiTheme="minorHAnsi" w:cstheme="minorHAnsi"/>
                <w:b w:val="0"/>
                <w:color w:val="auto"/>
                <w:sz w:val="22"/>
              </w:rPr>
            </w:pPr>
          </w:p>
        </w:tc>
      </w:tr>
      <w:tr w:rsidR="00030337" w:rsidRPr="00467C27" w:rsidTr="00030337">
        <w:trPr>
          <w:trHeight w:val="276"/>
        </w:trPr>
        <w:tc>
          <w:tcPr>
            <w:tcW w:w="2431" w:type="dxa"/>
            <w:noWrap/>
            <w:hideMark/>
          </w:tcPr>
          <w:p w:rsidR="00030337" w:rsidRPr="00467C27" w:rsidRDefault="00030337" w:rsidP="00030337">
            <w:pPr>
              <w:pStyle w:val="Heading4"/>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 xml:space="preserve">Porirua Stream (Wall </w:t>
            </w:r>
            <w:proofErr w:type="gramStart"/>
            <w:r w:rsidRPr="00467C27">
              <w:rPr>
                <w:rFonts w:asciiTheme="minorHAnsi" w:hAnsiTheme="minorHAnsi" w:cstheme="minorHAnsi"/>
                <w:b w:val="0"/>
                <w:color w:val="auto"/>
                <w:sz w:val="22"/>
              </w:rPr>
              <w:t>park</w:t>
            </w:r>
            <w:proofErr w:type="gramEnd"/>
            <w:r w:rsidRPr="00467C27">
              <w:rPr>
                <w:rFonts w:asciiTheme="minorHAnsi" w:hAnsiTheme="minorHAnsi" w:cstheme="minorHAnsi"/>
                <w:b w:val="0"/>
                <w:color w:val="auto"/>
                <w:sz w:val="22"/>
              </w:rPr>
              <w:t>)</w:t>
            </w:r>
          </w:p>
        </w:tc>
        <w:tc>
          <w:tcPr>
            <w:tcW w:w="1893" w:type="dxa"/>
            <w:noWrap/>
            <w:hideMark/>
          </w:tcPr>
          <w:p w:rsidR="00030337" w:rsidRPr="00467C27" w:rsidRDefault="00030337" w:rsidP="00030337">
            <w:pPr>
              <w:pStyle w:val="Heading4"/>
              <w:jc w:val="center"/>
              <w:outlineLvl w:val="3"/>
              <w:rPr>
                <w:rFonts w:asciiTheme="minorHAnsi" w:hAnsiTheme="minorHAnsi" w:cstheme="minorHAnsi"/>
                <w:b w:val="0"/>
                <w:color w:val="auto"/>
                <w:sz w:val="22"/>
              </w:rPr>
            </w:pPr>
          </w:p>
        </w:tc>
        <w:tc>
          <w:tcPr>
            <w:tcW w:w="1305" w:type="dxa"/>
            <w:noWrap/>
            <w:hideMark/>
          </w:tcPr>
          <w:p w:rsidR="00030337" w:rsidRPr="00467C27" w:rsidRDefault="00030337" w:rsidP="00030337">
            <w:pPr>
              <w:pStyle w:val="Heading4"/>
              <w:jc w:val="center"/>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81</w:t>
            </w:r>
          </w:p>
        </w:tc>
        <w:tc>
          <w:tcPr>
            <w:tcW w:w="1850" w:type="dxa"/>
            <w:noWrap/>
            <w:hideMark/>
          </w:tcPr>
          <w:p w:rsidR="00030337" w:rsidRPr="00467C27" w:rsidRDefault="00030337" w:rsidP="00030337">
            <w:pPr>
              <w:pStyle w:val="Heading4"/>
              <w:jc w:val="center"/>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81</w:t>
            </w:r>
          </w:p>
        </w:tc>
        <w:tc>
          <w:tcPr>
            <w:tcW w:w="2048" w:type="dxa"/>
            <w:noWrap/>
            <w:hideMark/>
          </w:tcPr>
          <w:p w:rsidR="00030337" w:rsidRPr="00467C27" w:rsidRDefault="00030337" w:rsidP="00030337">
            <w:pPr>
              <w:pStyle w:val="Heading4"/>
              <w:jc w:val="center"/>
              <w:outlineLvl w:val="3"/>
              <w:rPr>
                <w:rFonts w:asciiTheme="minorHAnsi" w:hAnsiTheme="minorHAnsi" w:cstheme="minorHAnsi"/>
                <w:b w:val="0"/>
                <w:color w:val="auto"/>
                <w:sz w:val="22"/>
              </w:rPr>
            </w:pPr>
          </w:p>
        </w:tc>
        <w:tc>
          <w:tcPr>
            <w:tcW w:w="1213" w:type="dxa"/>
            <w:noWrap/>
            <w:hideMark/>
          </w:tcPr>
          <w:p w:rsidR="00030337" w:rsidRPr="00467C27" w:rsidRDefault="00030337" w:rsidP="00030337">
            <w:pPr>
              <w:pStyle w:val="Heading4"/>
              <w:jc w:val="center"/>
              <w:outlineLvl w:val="3"/>
              <w:rPr>
                <w:rFonts w:asciiTheme="minorHAnsi" w:hAnsiTheme="minorHAnsi" w:cstheme="minorHAnsi"/>
                <w:b w:val="0"/>
                <w:color w:val="auto"/>
                <w:sz w:val="22"/>
              </w:rPr>
            </w:pPr>
          </w:p>
        </w:tc>
      </w:tr>
      <w:tr w:rsidR="00030337" w:rsidRPr="00467C27" w:rsidTr="00030337">
        <w:trPr>
          <w:trHeight w:val="276"/>
        </w:trPr>
        <w:tc>
          <w:tcPr>
            <w:tcW w:w="2431" w:type="dxa"/>
            <w:noWrap/>
            <w:hideMark/>
          </w:tcPr>
          <w:p w:rsidR="00030337" w:rsidRPr="00467C27" w:rsidRDefault="00030337" w:rsidP="00030337">
            <w:pPr>
              <w:pStyle w:val="Heading4"/>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Porirua Stream (Glenside)</w:t>
            </w:r>
          </w:p>
        </w:tc>
        <w:tc>
          <w:tcPr>
            <w:tcW w:w="1893" w:type="dxa"/>
            <w:noWrap/>
            <w:hideMark/>
          </w:tcPr>
          <w:p w:rsidR="00030337" w:rsidRPr="00467C27" w:rsidRDefault="00030337" w:rsidP="00030337">
            <w:pPr>
              <w:pStyle w:val="Heading4"/>
              <w:jc w:val="center"/>
              <w:outlineLvl w:val="3"/>
              <w:rPr>
                <w:rFonts w:asciiTheme="minorHAnsi" w:hAnsiTheme="minorHAnsi" w:cstheme="minorHAnsi"/>
                <w:b w:val="0"/>
                <w:color w:val="auto"/>
                <w:sz w:val="22"/>
              </w:rPr>
            </w:pPr>
          </w:p>
        </w:tc>
        <w:tc>
          <w:tcPr>
            <w:tcW w:w="1305" w:type="dxa"/>
            <w:noWrap/>
            <w:hideMark/>
          </w:tcPr>
          <w:p w:rsidR="00030337" w:rsidRPr="00467C27" w:rsidRDefault="00030337" w:rsidP="00030337">
            <w:pPr>
              <w:pStyle w:val="Heading4"/>
              <w:jc w:val="center"/>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94</w:t>
            </w:r>
          </w:p>
        </w:tc>
        <w:tc>
          <w:tcPr>
            <w:tcW w:w="1850" w:type="dxa"/>
            <w:noWrap/>
            <w:hideMark/>
          </w:tcPr>
          <w:p w:rsidR="00030337" w:rsidRPr="00467C27" w:rsidRDefault="00030337" w:rsidP="00030337">
            <w:pPr>
              <w:pStyle w:val="Heading4"/>
              <w:jc w:val="center"/>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100</w:t>
            </w:r>
          </w:p>
        </w:tc>
        <w:tc>
          <w:tcPr>
            <w:tcW w:w="2048" w:type="dxa"/>
            <w:noWrap/>
            <w:hideMark/>
          </w:tcPr>
          <w:p w:rsidR="00030337" w:rsidRPr="00467C27" w:rsidRDefault="00030337" w:rsidP="00030337">
            <w:pPr>
              <w:pStyle w:val="Heading4"/>
              <w:jc w:val="center"/>
              <w:outlineLvl w:val="3"/>
              <w:rPr>
                <w:rFonts w:asciiTheme="minorHAnsi" w:hAnsiTheme="minorHAnsi" w:cstheme="minorHAnsi"/>
                <w:b w:val="0"/>
                <w:color w:val="auto"/>
                <w:sz w:val="22"/>
              </w:rPr>
            </w:pPr>
          </w:p>
        </w:tc>
        <w:tc>
          <w:tcPr>
            <w:tcW w:w="1213" w:type="dxa"/>
            <w:noWrap/>
            <w:hideMark/>
          </w:tcPr>
          <w:p w:rsidR="00030337" w:rsidRPr="00467C27" w:rsidRDefault="00030337" w:rsidP="00030337">
            <w:pPr>
              <w:pStyle w:val="Heading4"/>
              <w:jc w:val="center"/>
              <w:outlineLvl w:val="3"/>
              <w:rPr>
                <w:rFonts w:asciiTheme="minorHAnsi" w:hAnsiTheme="minorHAnsi" w:cstheme="minorHAnsi"/>
                <w:b w:val="0"/>
                <w:color w:val="auto"/>
                <w:sz w:val="22"/>
              </w:rPr>
            </w:pPr>
          </w:p>
        </w:tc>
      </w:tr>
      <w:tr w:rsidR="00030337" w:rsidRPr="00467C27" w:rsidTr="00030337">
        <w:trPr>
          <w:trHeight w:val="276"/>
        </w:trPr>
        <w:tc>
          <w:tcPr>
            <w:tcW w:w="2431" w:type="dxa"/>
            <w:noWrap/>
            <w:hideMark/>
          </w:tcPr>
          <w:p w:rsidR="00030337" w:rsidRPr="00467C27" w:rsidRDefault="00030337" w:rsidP="00030337">
            <w:pPr>
              <w:pStyle w:val="Heading4"/>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Average</w:t>
            </w:r>
          </w:p>
        </w:tc>
        <w:tc>
          <w:tcPr>
            <w:tcW w:w="1893" w:type="dxa"/>
            <w:noWrap/>
            <w:hideMark/>
          </w:tcPr>
          <w:p w:rsidR="00030337" w:rsidRPr="00467C27" w:rsidRDefault="00030337" w:rsidP="00030337">
            <w:pPr>
              <w:pStyle w:val="Heading4"/>
              <w:jc w:val="center"/>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98.3</w:t>
            </w:r>
          </w:p>
        </w:tc>
        <w:tc>
          <w:tcPr>
            <w:tcW w:w="1305" w:type="dxa"/>
            <w:noWrap/>
            <w:hideMark/>
          </w:tcPr>
          <w:p w:rsidR="00030337" w:rsidRPr="00467C27" w:rsidRDefault="00030337" w:rsidP="00030337">
            <w:pPr>
              <w:pStyle w:val="Heading4"/>
              <w:jc w:val="center"/>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91.2</w:t>
            </w:r>
          </w:p>
        </w:tc>
        <w:tc>
          <w:tcPr>
            <w:tcW w:w="1850" w:type="dxa"/>
            <w:noWrap/>
            <w:hideMark/>
          </w:tcPr>
          <w:p w:rsidR="00030337" w:rsidRPr="00467C27" w:rsidRDefault="00030337" w:rsidP="00030337">
            <w:pPr>
              <w:pStyle w:val="Heading4"/>
              <w:jc w:val="center"/>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84.25</w:t>
            </w:r>
          </w:p>
        </w:tc>
        <w:tc>
          <w:tcPr>
            <w:tcW w:w="2048" w:type="dxa"/>
            <w:noWrap/>
            <w:hideMark/>
          </w:tcPr>
          <w:p w:rsidR="00030337" w:rsidRPr="00467C27" w:rsidRDefault="00030337" w:rsidP="00030337">
            <w:pPr>
              <w:pStyle w:val="Heading4"/>
              <w:jc w:val="center"/>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96.6</w:t>
            </w:r>
          </w:p>
        </w:tc>
        <w:tc>
          <w:tcPr>
            <w:tcW w:w="1213" w:type="dxa"/>
            <w:noWrap/>
            <w:hideMark/>
          </w:tcPr>
          <w:p w:rsidR="00030337" w:rsidRPr="00467C27" w:rsidRDefault="00030337" w:rsidP="00030337">
            <w:pPr>
              <w:pStyle w:val="Heading4"/>
              <w:jc w:val="center"/>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94.5</w:t>
            </w:r>
          </w:p>
        </w:tc>
      </w:tr>
      <w:tr w:rsidR="00030337" w:rsidRPr="00467C27" w:rsidTr="00030337">
        <w:trPr>
          <w:trHeight w:val="276"/>
        </w:trPr>
        <w:tc>
          <w:tcPr>
            <w:tcW w:w="10740" w:type="dxa"/>
            <w:gridSpan w:val="6"/>
            <w:noWrap/>
          </w:tcPr>
          <w:p w:rsidR="00030337" w:rsidRPr="00467C27" w:rsidRDefault="00030337" w:rsidP="008509B9">
            <w:pPr>
              <w:pStyle w:val="Heading4"/>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Data for 2018/19 will be available in 2020</w:t>
            </w:r>
            <w:r>
              <w:rPr>
                <w:rFonts w:asciiTheme="minorHAnsi" w:hAnsiTheme="minorHAnsi" w:cstheme="minorHAnsi"/>
                <w:b w:val="0"/>
                <w:color w:val="auto"/>
                <w:sz w:val="22"/>
              </w:rPr>
              <w:t xml:space="preserve">. </w:t>
            </w:r>
            <w:r w:rsidRPr="00467C27">
              <w:rPr>
                <w:rFonts w:asciiTheme="minorHAnsi" w:hAnsiTheme="minorHAnsi" w:cstheme="minorHAnsi"/>
                <w:b w:val="0"/>
                <w:color w:val="auto"/>
                <w:sz w:val="22"/>
              </w:rPr>
              <w:t xml:space="preserve">The Macroinvertebrate Community Index (MCI), an index of sensitivity to a wide range of environmental variables, is used to assess stream health. </w:t>
            </w:r>
            <w:r w:rsidRPr="00CF2A5D">
              <w:rPr>
                <w:rFonts w:asciiTheme="minorHAnsi" w:hAnsiTheme="minorHAnsi" w:cstheme="minorHAnsi"/>
                <w:b w:val="0"/>
                <w:color w:val="auto"/>
                <w:sz w:val="22"/>
              </w:rPr>
              <w:t xml:space="preserve">As shown in the </w:t>
            </w:r>
            <w:r w:rsidR="008509B9">
              <w:rPr>
                <w:rFonts w:asciiTheme="minorHAnsi" w:hAnsiTheme="minorHAnsi" w:cstheme="minorHAnsi"/>
                <w:b w:val="0"/>
                <w:color w:val="auto"/>
                <w:sz w:val="22"/>
              </w:rPr>
              <w:t>following Waterway Health</w:t>
            </w:r>
            <w:r w:rsidR="008509B9" w:rsidRPr="00CF2A5D">
              <w:rPr>
                <w:rFonts w:asciiTheme="minorHAnsi" w:hAnsiTheme="minorHAnsi" w:cstheme="minorHAnsi"/>
                <w:b w:val="0"/>
                <w:color w:val="auto"/>
                <w:sz w:val="22"/>
              </w:rPr>
              <w:t xml:space="preserve"> </w:t>
            </w:r>
            <w:r w:rsidRPr="00CF2A5D">
              <w:rPr>
                <w:rFonts w:asciiTheme="minorHAnsi" w:hAnsiTheme="minorHAnsi" w:cstheme="minorHAnsi"/>
                <w:b w:val="0"/>
                <w:color w:val="auto"/>
                <w:sz w:val="22"/>
              </w:rPr>
              <w:t>table, the desired values vary depending on the river class. We aim to achiev</w:t>
            </w:r>
            <w:r>
              <w:rPr>
                <w:rFonts w:asciiTheme="minorHAnsi" w:hAnsiTheme="minorHAnsi" w:cstheme="minorHAnsi"/>
                <w:b w:val="0"/>
                <w:color w:val="auto"/>
                <w:sz w:val="22"/>
              </w:rPr>
              <w:t xml:space="preserve">e levels greater than 100 MCI. </w:t>
            </w:r>
            <w:r w:rsidRPr="00CF2A5D">
              <w:rPr>
                <w:rFonts w:asciiTheme="minorHAnsi" w:hAnsiTheme="minorHAnsi" w:cstheme="minorHAnsi"/>
                <w:b w:val="0"/>
                <w:color w:val="auto"/>
                <w:sz w:val="22"/>
              </w:rPr>
              <w:t xml:space="preserve">Increases in biological health were recorded for the two of the four streams above, </w:t>
            </w:r>
            <w:r w:rsidR="00145BEF">
              <w:rPr>
                <w:rFonts w:asciiTheme="minorHAnsi" w:hAnsiTheme="minorHAnsi" w:cstheme="minorHAnsi"/>
                <w:b w:val="0"/>
                <w:color w:val="auto"/>
                <w:sz w:val="22"/>
              </w:rPr>
              <w:t>but</w:t>
            </w:r>
            <w:r w:rsidR="00145BEF" w:rsidRPr="00CF2A5D">
              <w:rPr>
                <w:rFonts w:asciiTheme="minorHAnsi" w:hAnsiTheme="minorHAnsi" w:cstheme="minorHAnsi"/>
                <w:b w:val="0"/>
                <w:color w:val="auto"/>
                <w:sz w:val="22"/>
              </w:rPr>
              <w:t xml:space="preserve"> </w:t>
            </w:r>
            <w:r w:rsidRPr="00CF2A5D">
              <w:rPr>
                <w:rFonts w:asciiTheme="minorHAnsi" w:hAnsiTheme="minorHAnsi" w:cstheme="minorHAnsi"/>
                <w:b w:val="0"/>
                <w:color w:val="auto"/>
                <w:sz w:val="22"/>
              </w:rPr>
              <w:t>overall water quality was sti</w:t>
            </w:r>
            <w:r w:rsidR="00B34E92">
              <w:rPr>
                <w:rFonts w:asciiTheme="minorHAnsi" w:hAnsiTheme="minorHAnsi" w:cstheme="minorHAnsi"/>
                <w:b w:val="0"/>
                <w:color w:val="auto"/>
                <w:sz w:val="22"/>
              </w:rPr>
              <w:t>l</w:t>
            </w:r>
            <w:r w:rsidRPr="00CF2A5D">
              <w:rPr>
                <w:rFonts w:asciiTheme="minorHAnsi" w:hAnsiTheme="minorHAnsi" w:cstheme="minorHAnsi"/>
                <w:b w:val="0"/>
                <w:color w:val="auto"/>
                <w:sz w:val="22"/>
              </w:rPr>
              <w:t>l only fair.</w:t>
            </w:r>
            <w:r>
              <w:rPr>
                <w:rFonts w:asciiTheme="minorHAnsi" w:hAnsiTheme="minorHAnsi" w:cstheme="minorHAnsi"/>
                <w:b w:val="0"/>
                <w:color w:val="auto"/>
                <w:sz w:val="22"/>
              </w:rPr>
              <w:t xml:space="preserve"> </w:t>
            </w:r>
            <w:r w:rsidRPr="00CF2A5D">
              <w:rPr>
                <w:rFonts w:asciiTheme="minorHAnsi" w:hAnsiTheme="minorHAnsi" w:cstheme="minorHAnsi"/>
                <w:b w:val="0"/>
                <w:color w:val="auto"/>
                <w:sz w:val="22"/>
              </w:rPr>
              <w:t>Source: Greater Wellington Regional Council</w:t>
            </w:r>
            <w:r w:rsidR="00B34E92">
              <w:rPr>
                <w:rFonts w:asciiTheme="minorHAnsi" w:hAnsiTheme="minorHAnsi" w:cstheme="minorHAnsi"/>
                <w:b w:val="0"/>
                <w:color w:val="auto"/>
                <w:sz w:val="22"/>
              </w:rPr>
              <w:t xml:space="preserve"> (</w:t>
            </w:r>
            <w:r w:rsidR="00145BEF">
              <w:rPr>
                <w:rFonts w:asciiTheme="minorHAnsi" w:hAnsiTheme="minorHAnsi" w:cstheme="minorHAnsi"/>
                <w:b w:val="0"/>
                <w:color w:val="auto"/>
                <w:sz w:val="22"/>
              </w:rPr>
              <w:t>GWRC</w:t>
            </w:r>
            <w:r w:rsidR="00B34E92">
              <w:rPr>
                <w:rFonts w:asciiTheme="minorHAnsi" w:hAnsiTheme="minorHAnsi" w:cstheme="minorHAnsi"/>
                <w:b w:val="0"/>
                <w:color w:val="auto"/>
                <w:sz w:val="22"/>
              </w:rPr>
              <w:t>)</w:t>
            </w:r>
          </w:p>
        </w:tc>
      </w:tr>
    </w:tbl>
    <w:p w:rsidR="00030337" w:rsidRDefault="00030337" w:rsidP="00030337"/>
    <w:p w:rsidR="00570C2E" w:rsidRDefault="00570C2E">
      <w:pPr>
        <w:rPr>
          <w:rFonts w:cstheme="minorHAnsi"/>
        </w:rPr>
      </w:pPr>
      <w:r>
        <w:rPr>
          <w:rFonts w:cstheme="minorHAnsi"/>
        </w:rPr>
        <w:br w:type="page"/>
      </w:r>
    </w:p>
    <w:p w:rsidR="00570C2E" w:rsidRPr="000D372D" w:rsidRDefault="00570C2E" w:rsidP="002C7BF8">
      <w:pPr>
        <w:pStyle w:val="ListParagraph"/>
        <w:numPr>
          <w:ilvl w:val="0"/>
          <w:numId w:val="61"/>
        </w:numPr>
        <w:rPr>
          <w:b/>
        </w:rPr>
      </w:pPr>
      <w:r w:rsidRPr="000D372D">
        <w:rPr>
          <w:rFonts w:cstheme="minorHAnsi"/>
          <w:b/>
        </w:rPr>
        <w:lastRenderedPageBreak/>
        <w:t>Freshwater quality– Makara, Karori, Kaiwharawhara and Porirua streams</w:t>
      </w:r>
    </w:p>
    <w:p w:rsidR="008509B9" w:rsidRDefault="00570C2E" w:rsidP="00570C2E">
      <w:pPr>
        <w:ind w:left="426"/>
        <w:rPr>
          <w:rFonts w:cstheme="minorHAnsi"/>
        </w:rPr>
      </w:pPr>
      <w:r w:rsidRPr="00570C2E">
        <w:rPr>
          <w:rFonts w:cstheme="minorHAnsi"/>
        </w:rPr>
        <w:t xml:space="preserve">Fair equals three or four out of six variables (one of which must be dissolved oxygen) to meet guideline values. More information on river health monitoring can be found at </w:t>
      </w:r>
      <w:hyperlink r:id="rId21" w:history="1">
        <w:r w:rsidRPr="00570C2E">
          <w:rPr>
            <w:rStyle w:val="Hyperlink"/>
            <w:rFonts w:cstheme="minorHAnsi"/>
          </w:rPr>
          <w:t>http://www.gw.govt.nz/Annual-monitoring-reports</w:t>
        </w:r>
      </w:hyperlink>
      <w:r w:rsidRPr="00570C2E">
        <w:rPr>
          <w:rFonts w:cstheme="minorHAnsi"/>
        </w:rPr>
        <w:t>. Data for 2018/19 will be available in 2020</w:t>
      </w:r>
      <w:r w:rsidR="00145BEF">
        <w:rPr>
          <w:rFonts w:cstheme="minorHAnsi"/>
        </w:rPr>
        <w:t>.</w:t>
      </w:r>
      <w:r w:rsidRPr="00570C2E">
        <w:rPr>
          <w:rFonts w:cstheme="minorHAnsi"/>
        </w:rPr>
        <w:t xml:space="preserve"> </w:t>
      </w:r>
    </w:p>
    <w:p w:rsidR="00570C2E" w:rsidRPr="00570C2E" w:rsidRDefault="00570C2E" w:rsidP="00570C2E">
      <w:pPr>
        <w:ind w:left="426"/>
      </w:pPr>
      <w:r w:rsidRPr="00570C2E">
        <w:rPr>
          <w:rFonts w:cstheme="minorHAnsi"/>
        </w:rPr>
        <w:t>Source: Greater Wellington Regional Council</w:t>
      </w:r>
      <w:r w:rsidR="008509B9">
        <w:rPr>
          <w:rFonts w:cstheme="minorHAnsi"/>
        </w:rPr>
        <w:t xml:space="preserve"> (GWRC)</w:t>
      </w:r>
    </w:p>
    <w:tbl>
      <w:tblPr>
        <w:tblStyle w:val="TableGrid"/>
        <w:tblW w:w="11824" w:type="dxa"/>
        <w:tblInd w:w="250" w:type="dxa"/>
        <w:tblBorders>
          <w:top w:val="single" w:sz="4" w:space="0" w:color="00B050"/>
          <w:left w:val="none" w:sz="0" w:space="0" w:color="auto"/>
          <w:bottom w:val="single" w:sz="4" w:space="0" w:color="00B050"/>
          <w:right w:val="none" w:sz="0" w:space="0" w:color="auto"/>
          <w:insideH w:val="single" w:sz="4" w:space="0" w:color="00B050"/>
          <w:insideV w:val="single" w:sz="4" w:space="0" w:color="00B050"/>
        </w:tblBorders>
        <w:tblLayout w:type="fixed"/>
        <w:tblLook w:val="04A0" w:firstRow="1" w:lastRow="0" w:firstColumn="1" w:lastColumn="0" w:noHBand="0" w:noVBand="1"/>
      </w:tblPr>
      <w:tblGrid>
        <w:gridCol w:w="2430"/>
        <w:gridCol w:w="1893"/>
        <w:gridCol w:w="1930"/>
        <w:gridCol w:w="1652"/>
        <w:gridCol w:w="1621"/>
        <w:gridCol w:w="2298"/>
      </w:tblGrid>
      <w:tr w:rsidR="00030337" w:rsidRPr="00467C27" w:rsidTr="00570C2E">
        <w:trPr>
          <w:trHeight w:val="276"/>
        </w:trPr>
        <w:tc>
          <w:tcPr>
            <w:tcW w:w="2430" w:type="dxa"/>
            <w:tcBorders>
              <w:right w:val="single" w:sz="4" w:space="0" w:color="FFFFFF" w:themeColor="background1"/>
            </w:tcBorders>
            <w:shd w:val="clear" w:color="auto" w:fill="00B050"/>
            <w:hideMark/>
          </w:tcPr>
          <w:p w:rsidR="00030337" w:rsidRPr="00570C2E" w:rsidRDefault="00570C2E" w:rsidP="00570C2E">
            <w:pPr>
              <w:pStyle w:val="Heading4"/>
              <w:spacing w:before="0"/>
              <w:ind w:left="34"/>
              <w:outlineLvl w:val="3"/>
              <w:rPr>
                <w:rFonts w:asciiTheme="minorHAnsi" w:hAnsiTheme="minorHAnsi" w:cstheme="minorHAnsi"/>
                <w:color w:val="FFFFFF" w:themeColor="background1"/>
                <w:sz w:val="22"/>
              </w:rPr>
            </w:pPr>
            <w:r w:rsidRPr="00570C2E">
              <w:rPr>
                <w:rFonts w:asciiTheme="minorHAnsi" w:hAnsiTheme="minorHAnsi" w:cstheme="minorHAnsi"/>
                <w:color w:val="FFFFFF" w:themeColor="background1"/>
                <w:sz w:val="22"/>
              </w:rPr>
              <w:t xml:space="preserve">Freshwater </w:t>
            </w:r>
            <w:r>
              <w:rPr>
                <w:rFonts w:asciiTheme="minorHAnsi" w:hAnsiTheme="minorHAnsi" w:cstheme="minorHAnsi"/>
                <w:color w:val="FFFFFF" w:themeColor="background1"/>
                <w:sz w:val="22"/>
              </w:rPr>
              <w:t>Qual</w:t>
            </w:r>
            <w:r w:rsidRPr="00570C2E">
              <w:rPr>
                <w:rFonts w:asciiTheme="minorHAnsi" w:hAnsiTheme="minorHAnsi" w:cstheme="minorHAnsi"/>
                <w:color w:val="FFFFFF" w:themeColor="background1"/>
                <w:sz w:val="22"/>
              </w:rPr>
              <w:t>ity</w:t>
            </w:r>
          </w:p>
        </w:tc>
        <w:tc>
          <w:tcPr>
            <w:tcW w:w="1893" w:type="dxa"/>
            <w:tcBorders>
              <w:left w:val="single" w:sz="4" w:space="0" w:color="FFFFFF" w:themeColor="background1"/>
              <w:right w:val="single" w:sz="4" w:space="0" w:color="FFFFFF" w:themeColor="background1"/>
            </w:tcBorders>
            <w:shd w:val="clear" w:color="auto" w:fill="00B050"/>
            <w:noWrap/>
            <w:hideMark/>
          </w:tcPr>
          <w:p w:rsidR="00030337" w:rsidRPr="00FD126E" w:rsidRDefault="00030337" w:rsidP="00570C2E">
            <w:pPr>
              <w:pStyle w:val="Heading4"/>
              <w:spacing w:before="0"/>
              <w:outlineLvl w:val="3"/>
              <w:rPr>
                <w:rFonts w:asciiTheme="minorHAnsi" w:hAnsiTheme="minorHAnsi" w:cstheme="minorHAnsi"/>
                <w:b w:val="0"/>
                <w:color w:val="FFFFFF" w:themeColor="background1"/>
                <w:sz w:val="22"/>
              </w:rPr>
            </w:pPr>
            <w:r w:rsidRPr="00FD126E">
              <w:rPr>
                <w:rFonts w:asciiTheme="minorHAnsi" w:hAnsiTheme="minorHAnsi" w:cstheme="minorHAnsi"/>
                <w:b w:val="0"/>
                <w:color w:val="FFFFFF" w:themeColor="background1"/>
                <w:sz w:val="22"/>
              </w:rPr>
              <w:t>2013/14</w:t>
            </w:r>
          </w:p>
        </w:tc>
        <w:tc>
          <w:tcPr>
            <w:tcW w:w="1930" w:type="dxa"/>
            <w:tcBorders>
              <w:left w:val="single" w:sz="4" w:space="0" w:color="FFFFFF" w:themeColor="background1"/>
              <w:right w:val="single" w:sz="4" w:space="0" w:color="FFFFFF" w:themeColor="background1"/>
            </w:tcBorders>
            <w:shd w:val="clear" w:color="auto" w:fill="00B050"/>
            <w:noWrap/>
            <w:hideMark/>
          </w:tcPr>
          <w:p w:rsidR="00030337" w:rsidRPr="00FD126E" w:rsidRDefault="00030337" w:rsidP="00570C2E">
            <w:pPr>
              <w:pStyle w:val="Heading4"/>
              <w:spacing w:before="0"/>
              <w:outlineLvl w:val="3"/>
              <w:rPr>
                <w:rFonts w:asciiTheme="minorHAnsi" w:hAnsiTheme="minorHAnsi" w:cstheme="minorHAnsi"/>
                <w:b w:val="0"/>
                <w:color w:val="FFFFFF" w:themeColor="background1"/>
                <w:sz w:val="22"/>
              </w:rPr>
            </w:pPr>
            <w:r w:rsidRPr="00FD126E">
              <w:rPr>
                <w:rFonts w:asciiTheme="minorHAnsi" w:hAnsiTheme="minorHAnsi" w:cstheme="minorHAnsi"/>
                <w:b w:val="0"/>
                <w:color w:val="FFFFFF" w:themeColor="background1"/>
                <w:sz w:val="22"/>
              </w:rPr>
              <w:t>2014/15</w:t>
            </w:r>
          </w:p>
        </w:tc>
        <w:tc>
          <w:tcPr>
            <w:tcW w:w="1652" w:type="dxa"/>
            <w:tcBorders>
              <w:left w:val="single" w:sz="4" w:space="0" w:color="FFFFFF" w:themeColor="background1"/>
              <w:right w:val="single" w:sz="4" w:space="0" w:color="FFFFFF" w:themeColor="background1"/>
            </w:tcBorders>
            <w:shd w:val="clear" w:color="auto" w:fill="00B050"/>
            <w:noWrap/>
            <w:hideMark/>
          </w:tcPr>
          <w:p w:rsidR="00030337" w:rsidRPr="00FD126E" w:rsidRDefault="00030337" w:rsidP="00570C2E">
            <w:pPr>
              <w:pStyle w:val="Heading4"/>
              <w:spacing w:before="0"/>
              <w:outlineLvl w:val="3"/>
              <w:rPr>
                <w:rFonts w:asciiTheme="minorHAnsi" w:hAnsiTheme="minorHAnsi" w:cstheme="minorHAnsi"/>
                <w:b w:val="0"/>
                <w:color w:val="FFFFFF" w:themeColor="background1"/>
                <w:sz w:val="22"/>
              </w:rPr>
            </w:pPr>
            <w:r w:rsidRPr="00FD126E">
              <w:rPr>
                <w:rFonts w:asciiTheme="minorHAnsi" w:hAnsiTheme="minorHAnsi" w:cstheme="minorHAnsi"/>
                <w:b w:val="0"/>
                <w:color w:val="FFFFFF" w:themeColor="background1"/>
                <w:sz w:val="22"/>
              </w:rPr>
              <w:t>2015/16</w:t>
            </w:r>
          </w:p>
        </w:tc>
        <w:tc>
          <w:tcPr>
            <w:tcW w:w="1621" w:type="dxa"/>
            <w:tcBorders>
              <w:left w:val="single" w:sz="4" w:space="0" w:color="FFFFFF" w:themeColor="background1"/>
              <w:right w:val="single" w:sz="4" w:space="0" w:color="FFFFFF" w:themeColor="background1"/>
            </w:tcBorders>
            <w:shd w:val="clear" w:color="auto" w:fill="00B050"/>
            <w:noWrap/>
            <w:hideMark/>
          </w:tcPr>
          <w:p w:rsidR="00030337" w:rsidRPr="00FD126E" w:rsidRDefault="00030337" w:rsidP="00570C2E">
            <w:pPr>
              <w:pStyle w:val="Heading4"/>
              <w:spacing w:before="0"/>
              <w:outlineLvl w:val="3"/>
              <w:rPr>
                <w:rFonts w:asciiTheme="minorHAnsi" w:hAnsiTheme="minorHAnsi" w:cstheme="minorHAnsi"/>
                <w:b w:val="0"/>
                <w:color w:val="FFFFFF" w:themeColor="background1"/>
                <w:sz w:val="22"/>
              </w:rPr>
            </w:pPr>
            <w:r w:rsidRPr="00FD126E">
              <w:rPr>
                <w:rFonts w:asciiTheme="minorHAnsi" w:hAnsiTheme="minorHAnsi" w:cstheme="minorHAnsi"/>
                <w:b w:val="0"/>
                <w:color w:val="FFFFFF" w:themeColor="background1"/>
                <w:sz w:val="22"/>
              </w:rPr>
              <w:t>2016/17</w:t>
            </w:r>
          </w:p>
        </w:tc>
        <w:tc>
          <w:tcPr>
            <w:tcW w:w="2298" w:type="dxa"/>
            <w:tcBorders>
              <w:left w:val="single" w:sz="4" w:space="0" w:color="FFFFFF" w:themeColor="background1"/>
            </w:tcBorders>
            <w:shd w:val="clear" w:color="auto" w:fill="00B050"/>
            <w:noWrap/>
            <w:hideMark/>
          </w:tcPr>
          <w:p w:rsidR="00030337" w:rsidRPr="00FD126E" w:rsidRDefault="00030337" w:rsidP="00570C2E">
            <w:pPr>
              <w:pStyle w:val="Heading4"/>
              <w:spacing w:before="0"/>
              <w:outlineLvl w:val="3"/>
              <w:rPr>
                <w:rFonts w:asciiTheme="minorHAnsi" w:hAnsiTheme="minorHAnsi" w:cstheme="minorHAnsi"/>
                <w:b w:val="0"/>
                <w:color w:val="FFFFFF" w:themeColor="background1"/>
                <w:sz w:val="22"/>
              </w:rPr>
            </w:pPr>
            <w:r w:rsidRPr="00FD126E">
              <w:rPr>
                <w:rFonts w:asciiTheme="minorHAnsi" w:hAnsiTheme="minorHAnsi" w:cstheme="minorHAnsi"/>
                <w:b w:val="0"/>
                <w:color w:val="FFFFFF" w:themeColor="background1"/>
                <w:sz w:val="22"/>
              </w:rPr>
              <w:t>2017/18</w:t>
            </w:r>
          </w:p>
        </w:tc>
      </w:tr>
      <w:tr w:rsidR="00030337" w:rsidRPr="00467C27" w:rsidTr="00570C2E">
        <w:trPr>
          <w:trHeight w:val="552"/>
        </w:trPr>
        <w:tc>
          <w:tcPr>
            <w:tcW w:w="2430" w:type="dxa"/>
            <w:noWrap/>
            <w:hideMark/>
          </w:tcPr>
          <w:p w:rsidR="00030337" w:rsidRPr="00467C27" w:rsidRDefault="00030337" w:rsidP="00570C2E">
            <w:pPr>
              <w:pStyle w:val="Heading4"/>
              <w:spacing w:before="0"/>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Makara Stream</w:t>
            </w:r>
          </w:p>
        </w:tc>
        <w:tc>
          <w:tcPr>
            <w:tcW w:w="1893" w:type="dxa"/>
            <w:noWrap/>
            <w:hideMark/>
          </w:tcPr>
          <w:p w:rsidR="00030337" w:rsidRPr="00467C27" w:rsidRDefault="00030337" w:rsidP="00570C2E">
            <w:pPr>
              <w:pStyle w:val="Heading4"/>
              <w:spacing w:before="0"/>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Poor</w:t>
            </w:r>
          </w:p>
        </w:tc>
        <w:tc>
          <w:tcPr>
            <w:tcW w:w="1930" w:type="dxa"/>
            <w:noWrap/>
            <w:hideMark/>
          </w:tcPr>
          <w:p w:rsidR="00030337" w:rsidRPr="00467C27" w:rsidRDefault="00030337" w:rsidP="00570C2E">
            <w:pPr>
              <w:pStyle w:val="Heading4"/>
              <w:spacing w:before="0"/>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Fair</w:t>
            </w:r>
          </w:p>
        </w:tc>
        <w:tc>
          <w:tcPr>
            <w:tcW w:w="1652" w:type="dxa"/>
            <w:noWrap/>
            <w:hideMark/>
          </w:tcPr>
          <w:p w:rsidR="00030337" w:rsidRPr="00467C27" w:rsidRDefault="00030337" w:rsidP="00570C2E">
            <w:pPr>
              <w:pStyle w:val="Heading4"/>
              <w:spacing w:before="0"/>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Fair</w:t>
            </w:r>
          </w:p>
        </w:tc>
        <w:tc>
          <w:tcPr>
            <w:tcW w:w="1621" w:type="dxa"/>
            <w:hideMark/>
          </w:tcPr>
          <w:p w:rsidR="00030337" w:rsidRPr="00467C27" w:rsidRDefault="00030337" w:rsidP="00570C2E">
            <w:pPr>
              <w:pStyle w:val="Heading4"/>
              <w:spacing w:before="0"/>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Not sampled</w:t>
            </w:r>
          </w:p>
        </w:tc>
        <w:tc>
          <w:tcPr>
            <w:tcW w:w="2298" w:type="dxa"/>
            <w:noWrap/>
            <w:hideMark/>
          </w:tcPr>
          <w:p w:rsidR="00030337" w:rsidRPr="00467C27" w:rsidRDefault="00030337" w:rsidP="00570C2E">
            <w:pPr>
              <w:pStyle w:val="Heading4"/>
              <w:spacing w:before="0"/>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Fair</w:t>
            </w:r>
          </w:p>
        </w:tc>
      </w:tr>
      <w:tr w:rsidR="00030337" w:rsidRPr="00467C27" w:rsidTr="00570C2E">
        <w:trPr>
          <w:trHeight w:val="276"/>
        </w:trPr>
        <w:tc>
          <w:tcPr>
            <w:tcW w:w="2430" w:type="dxa"/>
            <w:noWrap/>
            <w:hideMark/>
          </w:tcPr>
          <w:p w:rsidR="00030337" w:rsidRPr="00467C27" w:rsidRDefault="00030337" w:rsidP="00570C2E">
            <w:pPr>
              <w:pStyle w:val="Heading4"/>
              <w:spacing w:before="0"/>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Karori Stream</w:t>
            </w:r>
          </w:p>
        </w:tc>
        <w:tc>
          <w:tcPr>
            <w:tcW w:w="1893" w:type="dxa"/>
            <w:noWrap/>
            <w:hideMark/>
          </w:tcPr>
          <w:p w:rsidR="00030337" w:rsidRPr="00467C27" w:rsidRDefault="00030337" w:rsidP="00570C2E">
            <w:pPr>
              <w:pStyle w:val="Heading4"/>
              <w:spacing w:before="0"/>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Poor</w:t>
            </w:r>
          </w:p>
        </w:tc>
        <w:tc>
          <w:tcPr>
            <w:tcW w:w="1930" w:type="dxa"/>
            <w:noWrap/>
            <w:hideMark/>
          </w:tcPr>
          <w:p w:rsidR="00030337" w:rsidRPr="00467C27" w:rsidRDefault="00030337" w:rsidP="00570C2E">
            <w:pPr>
              <w:pStyle w:val="Heading4"/>
              <w:spacing w:before="0"/>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Fair</w:t>
            </w:r>
          </w:p>
        </w:tc>
        <w:tc>
          <w:tcPr>
            <w:tcW w:w="1652" w:type="dxa"/>
            <w:noWrap/>
            <w:hideMark/>
          </w:tcPr>
          <w:p w:rsidR="00030337" w:rsidRPr="00467C27" w:rsidRDefault="00030337" w:rsidP="00570C2E">
            <w:pPr>
              <w:pStyle w:val="Heading4"/>
              <w:spacing w:before="0"/>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Fair</w:t>
            </w:r>
          </w:p>
        </w:tc>
        <w:tc>
          <w:tcPr>
            <w:tcW w:w="1621" w:type="dxa"/>
            <w:noWrap/>
            <w:hideMark/>
          </w:tcPr>
          <w:p w:rsidR="00030337" w:rsidRPr="00467C27" w:rsidRDefault="00030337" w:rsidP="00570C2E">
            <w:pPr>
              <w:pStyle w:val="Heading4"/>
              <w:spacing w:before="0"/>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Fair</w:t>
            </w:r>
          </w:p>
        </w:tc>
        <w:tc>
          <w:tcPr>
            <w:tcW w:w="2298" w:type="dxa"/>
            <w:noWrap/>
            <w:hideMark/>
          </w:tcPr>
          <w:p w:rsidR="00030337" w:rsidRPr="00467C27" w:rsidRDefault="00030337" w:rsidP="00570C2E">
            <w:pPr>
              <w:pStyle w:val="Heading4"/>
              <w:spacing w:before="0"/>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Fair</w:t>
            </w:r>
          </w:p>
        </w:tc>
      </w:tr>
      <w:tr w:rsidR="00030337" w:rsidRPr="00467C27" w:rsidTr="00570C2E">
        <w:trPr>
          <w:trHeight w:val="276"/>
        </w:trPr>
        <w:tc>
          <w:tcPr>
            <w:tcW w:w="2430" w:type="dxa"/>
            <w:noWrap/>
            <w:hideMark/>
          </w:tcPr>
          <w:p w:rsidR="00030337" w:rsidRPr="00467C27" w:rsidRDefault="00030337" w:rsidP="00570C2E">
            <w:pPr>
              <w:pStyle w:val="Heading4"/>
              <w:spacing w:before="0"/>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Kaiwharawhara Stream</w:t>
            </w:r>
          </w:p>
        </w:tc>
        <w:tc>
          <w:tcPr>
            <w:tcW w:w="1893" w:type="dxa"/>
            <w:noWrap/>
            <w:hideMark/>
          </w:tcPr>
          <w:p w:rsidR="00030337" w:rsidRPr="00467C27" w:rsidRDefault="00030337" w:rsidP="00570C2E">
            <w:pPr>
              <w:pStyle w:val="Heading4"/>
              <w:spacing w:before="0"/>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Fair</w:t>
            </w:r>
          </w:p>
        </w:tc>
        <w:tc>
          <w:tcPr>
            <w:tcW w:w="1930" w:type="dxa"/>
            <w:noWrap/>
            <w:hideMark/>
          </w:tcPr>
          <w:p w:rsidR="00030337" w:rsidRPr="00467C27" w:rsidRDefault="00030337" w:rsidP="00570C2E">
            <w:pPr>
              <w:pStyle w:val="Heading4"/>
              <w:spacing w:before="0"/>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Fair</w:t>
            </w:r>
          </w:p>
        </w:tc>
        <w:tc>
          <w:tcPr>
            <w:tcW w:w="1652" w:type="dxa"/>
            <w:noWrap/>
            <w:hideMark/>
          </w:tcPr>
          <w:p w:rsidR="00030337" w:rsidRPr="00467C27" w:rsidRDefault="00030337" w:rsidP="00570C2E">
            <w:pPr>
              <w:pStyle w:val="Heading4"/>
              <w:spacing w:before="0"/>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Fair</w:t>
            </w:r>
          </w:p>
        </w:tc>
        <w:tc>
          <w:tcPr>
            <w:tcW w:w="1621" w:type="dxa"/>
            <w:noWrap/>
            <w:hideMark/>
          </w:tcPr>
          <w:p w:rsidR="00030337" w:rsidRPr="00467C27" w:rsidRDefault="00030337" w:rsidP="00570C2E">
            <w:pPr>
              <w:pStyle w:val="Heading4"/>
              <w:spacing w:before="0"/>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Fair</w:t>
            </w:r>
          </w:p>
        </w:tc>
        <w:tc>
          <w:tcPr>
            <w:tcW w:w="2298" w:type="dxa"/>
            <w:noWrap/>
            <w:hideMark/>
          </w:tcPr>
          <w:p w:rsidR="00030337" w:rsidRPr="00467C27" w:rsidRDefault="00030337" w:rsidP="00570C2E">
            <w:pPr>
              <w:pStyle w:val="Heading4"/>
              <w:spacing w:before="0"/>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Fair</w:t>
            </w:r>
          </w:p>
        </w:tc>
      </w:tr>
      <w:tr w:rsidR="00030337" w:rsidRPr="00467C27" w:rsidTr="00570C2E">
        <w:trPr>
          <w:trHeight w:val="276"/>
        </w:trPr>
        <w:tc>
          <w:tcPr>
            <w:tcW w:w="2430" w:type="dxa"/>
            <w:noWrap/>
            <w:hideMark/>
          </w:tcPr>
          <w:p w:rsidR="00030337" w:rsidRPr="00467C27" w:rsidRDefault="00030337" w:rsidP="00570C2E">
            <w:pPr>
              <w:pStyle w:val="Heading4"/>
              <w:spacing w:before="0"/>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Porirua Stream</w:t>
            </w:r>
          </w:p>
        </w:tc>
        <w:tc>
          <w:tcPr>
            <w:tcW w:w="1893" w:type="dxa"/>
            <w:noWrap/>
            <w:hideMark/>
          </w:tcPr>
          <w:p w:rsidR="00030337" w:rsidRPr="00467C27" w:rsidRDefault="00030337" w:rsidP="00570C2E">
            <w:pPr>
              <w:pStyle w:val="Heading4"/>
              <w:spacing w:before="0"/>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NA</w:t>
            </w:r>
          </w:p>
        </w:tc>
        <w:tc>
          <w:tcPr>
            <w:tcW w:w="1930" w:type="dxa"/>
            <w:noWrap/>
            <w:hideMark/>
          </w:tcPr>
          <w:p w:rsidR="00030337" w:rsidRPr="00467C27" w:rsidRDefault="00030337" w:rsidP="00570C2E">
            <w:pPr>
              <w:pStyle w:val="Heading4"/>
              <w:spacing w:before="0"/>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Poor</w:t>
            </w:r>
          </w:p>
        </w:tc>
        <w:tc>
          <w:tcPr>
            <w:tcW w:w="1652" w:type="dxa"/>
            <w:noWrap/>
            <w:hideMark/>
          </w:tcPr>
          <w:p w:rsidR="00030337" w:rsidRPr="00467C27" w:rsidRDefault="00030337" w:rsidP="00570C2E">
            <w:pPr>
              <w:pStyle w:val="Heading4"/>
              <w:spacing w:before="0"/>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Fair</w:t>
            </w:r>
          </w:p>
        </w:tc>
        <w:tc>
          <w:tcPr>
            <w:tcW w:w="1621" w:type="dxa"/>
            <w:noWrap/>
            <w:hideMark/>
          </w:tcPr>
          <w:p w:rsidR="00030337" w:rsidRPr="00467C27" w:rsidRDefault="00030337" w:rsidP="00570C2E">
            <w:pPr>
              <w:pStyle w:val="Heading4"/>
              <w:spacing w:before="0"/>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Fair</w:t>
            </w:r>
          </w:p>
        </w:tc>
        <w:tc>
          <w:tcPr>
            <w:tcW w:w="2298" w:type="dxa"/>
            <w:noWrap/>
            <w:hideMark/>
          </w:tcPr>
          <w:p w:rsidR="00030337" w:rsidRPr="00467C27" w:rsidRDefault="00030337" w:rsidP="00570C2E">
            <w:pPr>
              <w:pStyle w:val="Heading4"/>
              <w:spacing w:before="0"/>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Fair</w:t>
            </w:r>
          </w:p>
        </w:tc>
      </w:tr>
    </w:tbl>
    <w:p w:rsidR="0009290F" w:rsidRDefault="0009290F"/>
    <w:p w:rsidR="008509B9" w:rsidRDefault="008509B9" w:rsidP="0009290F">
      <w:pPr>
        <w:ind w:left="142"/>
      </w:pPr>
      <w:r>
        <w:t>Waterway Health: plan outcomes</w:t>
      </w:r>
    </w:p>
    <w:tbl>
      <w:tblPr>
        <w:tblStyle w:val="TableGrid"/>
        <w:tblW w:w="11810" w:type="dxa"/>
        <w:tblInd w:w="250" w:type="dxa"/>
        <w:tblBorders>
          <w:top w:val="single" w:sz="4" w:space="0" w:color="00B050"/>
          <w:left w:val="none" w:sz="0" w:space="0" w:color="auto"/>
          <w:bottom w:val="single" w:sz="4" w:space="0" w:color="00B050"/>
          <w:right w:val="none" w:sz="0" w:space="0" w:color="auto"/>
          <w:insideH w:val="single" w:sz="4" w:space="0" w:color="00B050"/>
          <w:insideV w:val="single" w:sz="4" w:space="0" w:color="00B050"/>
        </w:tblBorders>
        <w:tblLayout w:type="fixed"/>
        <w:tblLook w:val="04A0" w:firstRow="1" w:lastRow="0" w:firstColumn="1" w:lastColumn="0" w:noHBand="0" w:noVBand="1"/>
      </w:tblPr>
      <w:tblGrid>
        <w:gridCol w:w="2430"/>
        <w:gridCol w:w="1893"/>
        <w:gridCol w:w="1916"/>
        <w:gridCol w:w="1638"/>
        <w:gridCol w:w="1680"/>
        <w:gridCol w:w="1078"/>
        <w:gridCol w:w="1175"/>
      </w:tblGrid>
      <w:tr w:rsidR="00030337" w:rsidRPr="00467C27" w:rsidTr="0009290F">
        <w:trPr>
          <w:trHeight w:val="276"/>
        </w:trPr>
        <w:tc>
          <w:tcPr>
            <w:tcW w:w="2430" w:type="dxa"/>
            <w:vMerge w:val="restart"/>
            <w:tcBorders>
              <w:right w:val="single" w:sz="4" w:space="0" w:color="FFFFFF" w:themeColor="background1"/>
            </w:tcBorders>
            <w:shd w:val="clear" w:color="auto" w:fill="00B050"/>
            <w:vAlign w:val="center"/>
            <w:hideMark/>
          </w:tcPr>
          <w:p w:rsidR="00030337" w:rsidRPr="00570C2E" w:rsidRDefault="008509B9" w:rsidP="00570C2E">
            <w:pPr>
              <w:pStyle w:val="Heading4"/>
              <w:spacing w:before="0"/>
              <w:jc w:val="center"/>
              <w:outlineLvl w:val="3"/>
              <w:rPr>
                <w:rFonts w:asciiTheme="minorHAnsi" w:hAnsiTheme="minorHAnsi" w:cstheme="minorHAnsi"/>
                <w:color w:val="FFFFFF" w:themeColor="background1"/>
                <w:sz w:val="22"/>
              </w:rPr>
            </w:pPr>
            <w:r>
              <w:rPr>
                <w:rFonts w:asciiTheme="minorHAnsi" w:hAnsiTheme="minorHAnsi" w:cstheme="minorHAnsi"/>
                <w:color w:val="FFFFFF" w:themeColor="background1"/>
                <w:sz w:val="22"/>
              </w:rPr>
              <w:t>River class</w:t>
            </w:r>
          </w:p>
        </w:tc>
        <w:tc>
          <w:tcPr>
            <w:tcW w:w="7127" w:type="dxa"/>
            <w:gridSpan w:val="4"/>
            <w:tcBorders>
              <w:left w:val="single" w:sz="4" w:space="0" w:color="FFFFFF" w:themeColor="background1"/>
              <w:bottom w:val="nil"/>
            </w:tcBorders>
            <w:shd w:val="clear" w:color="auto" w:fill="EAF1DD" w:themeFill="accent3" w:themeFillTint="33"/>
            <w:noWrap/>
            <w:hideMark/>
          </w:tcPr>
          <w:p w:rsidR="00030337" w:rsidRPr="00467C27" w:rsidRDefault="00030337" w:rsidP="00570C2E">
            <w:pPr>
              <w:pStyle w:val="Heading4"/>
              <w:spacing w:before="0"/>
              <w:jc w:val="center"/>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MCI quality class</w:t>
            </w:r>
            <w:r>
              <w:rPr>
                <w:rFonts w:asciiTheme="minorHAnsi" w:hAnsiTheme="minorHAnsi" w:cstheme="minorHAnsi"/>
                <w:b w:val="0"/>
                <w:color w:val="auto"/>
                <w:sz w:val="22"/>
              </w:rPr>
              <w:t xml:space="preserve"> </w:t>
            </w:r>
            <w:r w:rsidRPr="00467C27">
              <w:rPr>
                <w:rFonts w:asciiTheme="minorHAnsi" w:hAnsiTheme="minorHAnsi" w:cstheme="minorHAnsi"/>
                <w:b w:val="0"/>
                <w:color w:val="auto"/>
                <w:sz w:val="22"/>
              </w:rPr>
              <w:t>(MCI scores based on three year rolling mean)</w:t>
            </w:r>
          </w:p>
        </w:tc>
        <w:tc>
          <w:tcPr>
            <w:tcW w:w="2253" w:type="dxa"/>
            <w:gridSpan w:val="2"/>
            <w:tcBorders>
              <w:bottom w:val="nil"/>
            </w:tcBorders>
            <w:shd w:val="clear" w:color="auto" w:fill="EAF1DD" w:themeFill="accent3" w:themeFillTint="33"/>
            <w:noWrap/>
            <w:hideMark/>
          </w:tcPr>
          <w:p w:rsidR="00030337" w:rsidRPr="00467C27" w:rsidRDefault="00030337" w:rsidP="00570C2E">
            <w:pPr>
              <w:pStyle w:val="Heading4"/>
              <w:spacing w:before="0"/>
              <w:jc w:val="center"/>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Plan outcomes</w:t>
            </w:r>
          </w:p>
        </w:tc>
      </w:tr>
      <w:tr w:rsidR="00030337" w:rsidRPr="00467C27" w:rsidTr="0009290F">
        <w:trPr>
          <w:trHeight w:val="552"/>
        </w:trPr>
        <w:tc>
          <w:tcPr>
            <w:tcW w:w="2430" w:type="dxa"/>
            <w:vMerge/>
            <w:tcBorders>
              <w:right w:val="single" w:sz="4" w:space="0" w:color="FFFFFF" w:themeColor="background1"/>
            </w:tcBorders>
            <w:shd w:val="clear" w:color="auto" w:fill="00B050"/>
            <w:tcMar>
              <w:left w:w="28" w:type="dxa"/>
              <w:right w:w="28" w:type="dxa"/>
            </w:tcMar>
          </w:tcPr>
          <w:p w:rsidR="00030337" w:rsidRPr="00467C27" w:rsidRDefault="00030337" w:rsidP="00570C2E">
            <w:pPr>
              <w:pStyle w:val="Heading4"/>
              <w:spacing w:before="0"/>
              <w:outlineLvl w:val="3"/>
              <w:rPr>
                <w:rFonts w:asciiTheme="minorHAnsi" w:hAnsiTheme="minorHAnsi" w:cstheme="minorHAnsi"/>
                <w:b w:val="0"/>
                <w:color w:val="auto"/>
                <w:sz w:val="22"/>
              </w:rPr>
            </w:pPr>
          </w:p>
        </w:tc>
        <w:tc>
          <w:tcPr>
            <w:tcW w:w="1893" w:type="dxa"/>
            <w:tcBorders>
              <w:top w:val="nil"/>
              <w:left w:val="single" w:sz="4" w:space="0" w:color="FFFFFF" w:themeColor="background1"/>
              <w:bottom w:val="single" w:sz="4" w:space="0" w:color="00B050"/>
              <w:right w:val="single" w:sz="4" w:space="0" w:color="FFFFFF" w:themeColor="background1"/>
            </w:tcBorders>
            <w:shd w:val="clear" w:color="auto" w:fill="00B050"/>
            <w:tcMar>
              <w:left w:w="28" w:type="dxa"/>
              <w:right w:w="28" w:type="dxa"/>
            </w:tcMar>
            <w:vAlign w:val="bottom"/>
          </w:tcPr>
          <w:p w:rsidR="00030337" w:rsidRPr="00570C2E" w:rsidRDefault="00030337" w:rsidP="00570C2E">
            <w:pPr>
              <w:pStyle w:val="Heading4"/>
              <w:spacing w:before="0"/>
              <w:jc w:val="center"/>
              <w:outlineLvl w:val="3"/>
              <w:rPr>
                <w:rFonts w:asciiTheme="minorHAnsi" w:hAnsiTheme="minorHAnsi" w:cstheme="minorHAnsi"/>
                <w:b w:val="0"/>
                <w:color w:val="FFFFFF" w:themeColor="background1"/>
                <w:sz w:val="22"/>
              </w:rPr>
            </w:pPr>
            <w:r w:rsidRPr="00570C2E">
              <w:rPr>
                <w:rFonts w:asciiTheme="minorHAnsi" w:hAnsiTheme="minorHAnsi" w:cstheme="minorHAnsi"/>
                <w:b w:val="0"/>
                <w:color w:val="FFFFFF" w:themeColor="background1"/>
                <w:sz w:val="22"/>
              </w:rPr>
              <w:t>Poor</w:t>
            </w:r>
          </w:p>
        </w:tc>
        <w:tc>
          <w:tcPr>
            <w:tcW w:w="1916" w:type="dxa"/>
            <w:tcBorders>
              <w:top w:val="nil"/>
              <w:left w:val="single" w:sz="4" w:space="0" w:color="FFFFFF" w:themeColor="background1"/>
              <w:bottom w:val="single" w:sz="4" w:space="0" w:color="00B050"/>
              <w:right w:val="single" w:sz="4" w:space="0" w:color="FFFFFF" w:themeColor="background1"/>
            </w:tcBorders>
            <w:shd w:val="clear" w:color="auto" w:fill="00B050"/>
            <w:tcMar>
              <w:left w:w="28" w:type="dxa"/>
              <w:right w:w="28" w:type="dxa"/>
            </w:tcMar>
            <w:vAlign w:val="bottom"/>
          </w:tcPr>
          <w:p w:rsidR="00030337" w:rsidRPr="00570C2E" w:rsidRDefault="00030337" w:rsidP="00570C2E">
            <w:pPr>
              <w:pStyle w:val="Heading4"/>
              <w:spacing w:before="0"/>
              <w:jc w:val="center"/>
              <w:outlineLvl w:val="3"/>
              <w:rPr>
                <w:rFonts w:asciiTheme="minorHAnsi" w:hAnsiTheme="minorHAnsi" w:cstheme="minorHAnsi"/>
                <w:b w:val="0"/>
                <w:color w:val="FFFFFF" w:themeColor="background1"/>
                <w:sz w:val="22"/>
              </w:rPr>
            </w:pPr>
            <w:r w:rsidRPr="00570C2E">
              <w:rPr>
                <w:rFonts w:asciiTheme="minorHAnsi" w:hAnsiTheme="minorHAnsi" w:cstheme="minorHAnsi"/>
                <w:b w:val="0"/>
                <w:color w:val="FFFFFF" w:themeColor="background1"/>
                <w:sz w:val="22"/>
              </w:rPr>
              <w:t>Fair</w:t>
            </w:r>
          </w:p>
        </w:tc>
        <w:tc>
          <w:tcPr>
            <w:tcW w:w="1638" w:type="dxa"/>
            <w:tcBorders>
              <w:top w:val="nil"/>
              <w:left w:val="single" w:sz="4" w:space="0" w:color="FFFFFF" w:themeColor="background1"/>
              <w:bottom w:val="single" w:sz="4" w:space="0" w:color="00B050"/>
              <w:right w:val="single" w:sz="4" w:space="0" w:color="FFFFFF" w:themeColor="background1"/>
            </w:tcBorders>
            <w:shd w:val="clear" w:color="auto" w:fill="00B050"/>
            <w:tcMar>
              <w:left w:w="28" w:type="dxa"/>
              <w:right w:w="28" w:type="dxa"/>
            </w:tcMar>
            <w:vAlign w:val="bottom"/>
          </w:tcPr>
          <w:p w:rsidR="00030337" w:rsidRPr="00570C2E" w:rsidRDefault="00030337" w:rsidP="00570C2E">
            <w:pPr>
              <w:pStyle w:val="Heading4"/>
              <w:spacing w:before="0"/>
              <w:jc w:val="center"/>
              <w:outlineLvl w:val="3"/>
              <w:rPr>
                <w:rFonts w:asciiTheme="minorHAnsi" w:hAnsiTheme="minorHAnsi" w:cstheme="minorHAnsi"/>
                <w:b w:val="0"/>
                <w:color w:val="FFFFFF" w:themeColor="background1"/>
                <w:sz w:val="22"/>
              </w:rPr>
            </w:pPr>
            <w:r w:rsidRPr="00570C2E">
              <w:rPr>
                <w:rFonts w:asciiTheme="minorHAnsi" w:hAnsiTheme="minorHAnsi" w:cstheme="minorHAnsi"/>
                <w:b w:val="0"/>
                <w:color w:val="FFFFFF" w:themeColor="background1"/>
                <w:sz w:val="22"/>
              </w:rPr>
              <w:t>Good</w:t>
            </w:r>
          </w:p>
        </w:tc>
        <w:tc>
          <w:tcPr>
            <w:tcW w:w="1680" w:type="dxa"/>
            <w:tcBorders>
              <w:top w:val="nil"/>
              <w:left w:val="single" w:sz="4" w:space="0" w:color="FFFFFF" w:themeColor="background1"/>
              <w:bottom w:val="single" w:sz="4" w:space="0" w:color="00B050"/>
              <w:right w:val="single" w:sz="4" w:space="0" w:color="FFFFFF" w:themeColor="background1"/>
            </w:tcBorders>
            <w:shd w:val="clear" w:color="auto" w:fill="00B050"/>
            <w:tcMar>
              <w:left w:w="28" w:type="dxa"/>
              <w:right w:w="28" w:type="dxa"/>
            </w:tcMar>
            <w:vAlign w:val="bottom"/>
          </w:tcPr>
          <w:p w:rsidR="00030337" w:rsidRPr="00570C2E" w:rsidRDefault="00030337" w:rsidP="00570C2E">
            <w:pPr>
              <w:pStyle w:val="Heading4"/>
              <w:spacing w:before="0"/>
              <w:jc w:val="center"/>
              <w:outlineLvl w:val="3"/>
              <w:rPr>
                <w:rFonts w:asciiTheme="minorHAnsi" w:hAnsiTheme="minorHAnsi" w:cstheme="minorHAnsi"/>
                <w:b w:val="0"/>
                <w:color w:val="FFFFFF" w:themeColor="background1"/>
                <w:sz w:val="22"/>
              </w:rPr>
            </w:pPr>
            <w:r w:rsidRPr="00570C2E">
              <w:rPr>
                <w:rFonts w:asciiTheme="minorHAnsi" w:hAnsiTheme="minorHAnsi" w:cstheme="minorHAnsi"/>
                <w:b w:val="0"/>
                <w:color w:val="FFFFFF" w:themeColor="background1"/>
                <w:sz w:val="22"/>
              </w:rPr>
              <w:t>Excellent</w:t>
            </w:r>
          </w:p>
        </w:tc>
        <w:tc>
          <w:tcPr>
            <w:tcW w:w="1078" w:type="dxa"/>
            <w:tcBorders>
              <w:top w:val="nil"/>
              <w:left w:val="single" w:sz="4" w:space="0" w:color="FFFFFF" w:themeColor="background1"/>
              <w:bottom w:val="single" w:sz="4" w:space="0" w:color="00B050"/>
              <w:right w:val="single" w:sz="4" w:space="0" w:color="FFFFFF" w:themeColor="background1"/>
            </w:tcBorders>
            <w:shd w:val="clear" w:color="auto" w:fill="00B050"/>
            <w:tcMar>
              <w:left w:w="28" w:type="dxa"/>
              <w:right w:w="28" w:type="dxa"/>
            </w:tcMar>
            <w:vAlign w:val="bottom"/>
          </w:tcPr>
          <w:p w:rsidR="00030337" w:rsidRPr="00570C2E" w:rsidRDefault="00030337" w:rsidP="00570C2E">
            <w:pPr>
              <w:pStyle w:val="Heading4"/>
              <w:spacing w:before="0"/>
              <w:jc w:val="center"/>
              <w:outlineLvl w:val="3"/>
              <w:rPr>
                <w:rFonts w:asciiTheme="minorHAnsi" w:hAnsiTheme="minorHAnsi" w:cstheme="minorHAnsi"/>
                <w:b w:val="0"/>
                <w:color w:val="FFFFFF" w:themeColor="background1"/>
                <w:sz w:val="22"/>
              </w:rPr>
            </w:pPr>
            <w:r w:rsidRPr="00570C2E">
              <w:rPr>
                <w:rFonts w:asciiTheme="minorHAnsi" w:hAnsiTheme="minorHAnsi" w:cstheme="minorHAnsi"/>
                <w:b w:val="0"/>
                <w:color w:val="FFFFFF" w:themeColor="background1"/>
                <w:sz w:val="22"/>
              </w:rPr>
              <w:t>All rivers</w:t>
            </w:r>
          </w:p>
        </w:tc>
        <w:tc>
          <w:tcPr>
            <w:tcW w:w="1175" w:type="dxa"/>
            <w:tcBorders>
              <w:top w:val="nil"/>
              <w:left w:val="single" w:sz="4" w:space="0" w:color="FFFFFF" w:themeColor="background1"/>
              <w:bottom w:val="single" w:sz="4" w:space="0" w:color="00B050"/>
              <w:right w:val="single" w:sz="4" w:space="0" w:color="FFFFFF" w:themeColor="background1"/>
            </w:tcBorders>
            <w:shd w:val="clear" w:color="auto" w:fill="00B050"/>
            <w:tcMar>
              <w:left w:w="28" w:type="dxa"/>
              <w:right w:w="28" w:type="dxa"/>
            </w:tcMar>
            <w:vAlign w:val="bottom"/>
            <w:hideMark/>
          </w:tcPr>
          <w:p w:rsidR="00030337" w:rsidRPr="00570C2E" w:rsidRDefault="00030337" w:rsidP="00570C2E">
            <w:pPr>
              <w:pStyle w:val="Heading4"/>
              <w:spacing w:before="0"/>
              <w:jc w:val="center"/>
              <w:outlineLvl w:val="3"/>
              <w:rPr>
                <w:rFonts w:asciiTheme="minorHAnsi" w:hAnsiTheme="minorHAnsi" w:cstheme="minorHAnsi"/>
                <w:b w:val="0"/>
                <w:color w:val="FFFFFF" w:themeColor="background1"/>
                <w:sz w:val="22"/>
              </w:rPr>
            </w:pPr>
            <w:r w:rsidRPr="00570C2E">
              <w:rPr>
                <w:rFonts w:asciiTheme="minorHAnsi" w:hAnsiTheme="minorHAnsi" w:cstheme="minorHAnsi"/>
                <w:b w:val="0"/>
                <w:color w:val="FFFFFF" w:themeColor="background1"/>
                <w:sz w:val="22"/>
              </w:rPr>
              <w:t>Significant rivers</w:t>
            </w:r>
          </w:p>
        </w:tc>
      </w:tr>
      <w:tr w:rsidR="00030337" w:rsidRPr="00467C27" w:rsidTr="0009290F">
        <w:trPr>
          <w:trHeight w:val="276"/>
        </w:trPr>
        <w:tc>
          <w:tcPr>
            <w:tcW w:w="2430" w:type="dxa"/>
            <w:noWrap/>
            <w:hideMark/>
          </w:tcPr>
          <w:p w:rsidR="00030337" w:rsidRPr="00467C27" w:rsidRDefault="00030337" w:rsidP="002C7BF8">
            <w:pPr>
              <w:pStyle w:val="Heading4"/>
              <w:numPr>
                <w:ilvl w:val="0"/>
                <w:numId w:val="60"/>
              </w:numPr>
              <w:spacing w:before="0"/>
              <w:ind w:left="284" w:hanging="284"/>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Steep, hard sedimentary</w:t>
            </w:r>
          </w:p>
        </w:tc>
        <w:tc>
          <w:tcPr>
            <w:tcW w:w="1893" w:type="dxa"/>
            <w:tcBorders>
              <w:top w:val="single" w:sz="4" w:space="0" w:color="00B050"/>
            </w:tcBorders>
            <w:noWrap/>
            <w:hideMark/>
          </w:tcPr>
          <w:p w:rsidR="00030337" w:rsidRPr="00467C27" w:rsidRDefault="00030337" w:rsidP="00570C2E">
            <w:pPr>
              <w:pStyle w:val="Heading4"/>
              <w:spacing w:before="0"/>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&lt;110</w:t>
            </w:r>
          </w:p>
        </w:tc>
        <w:tc>
          <w:tcPr>
            <w:tcW w:w="1916" w:type="dxa"/>
            <w:tcBorders>
              <w:top w:val="single" w:sz="4" w:space="0" w:color="00B050"/>
            </w:tcBorders>
            <w:noWrap/>
            <w:hideMark/>
          </w:tcPr>
          <w:p w:rsidR="00030337" w:rsidRPr="00467C27" w:rsidRDefault="00030337" w:rsidP="00570C2E">
            <w:pPr>
              <w:pStyle w:val="Heading4"/>
              <w:spacing w:before="0"/>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110-120</w:t>
            </w:r>
          </w:p>
        </w:tc>
        <w:tc>
          <w:tcPr>
            <w:tcW w:w="1638" w:type="dxa"/>
            <w:tcBorders>
              <w:top w:val="single" w:sz="4" w:space="0" w:color="00B050"/>
            </w:tcBorders>
            <w:noWrap/>
            <w:hideMark/>
          </w:tcPr>
          <w:p w:rsidR="00030337" w:rsidRPr="00467C27" w:rsidRDefault="00030337" w:rsidP="00570C2E">
            <w:pPr>
              <w:pStyle w:val="Heading4"/>
              <w:spacing w:before="0"/>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120-130</w:t>
            </w:r>
          </w:p>
        </w:tc>
        <w:tc>
          <w:tcPr>
            <w:tcW w:w="1680" w:type="dxa"/>
            <w:tcBorders>
              <w:top w:val="single" w:sz="4" w:space="0" w:color="00B050"/>
            </w:tcBorders>
            <w:noWrap/>
            <w:hideMark/>
          </w:tcPr>
          <w:p w:rsidR="00030337" w:rsidRPr="00467C27" w:rsidRDefault="00030337" w:rsidP="00570C2E">
            <w:pPr>
              <w:pStyle w:val="Heading4"/>
              <w:spacing w:before="0"/>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≥130</w:t>
            </w:r>
          </w:p>
        </w:tc>
        <w:tc>
          <w:tcPr>
            <w:tcW w:w="1078" w:type="dxa"/>
            <w:tcBorders>
              <w:top w:val="single" w:sz="4" w:space="0" w:color="00B050"/>
            </w:tcBorders>
            <w:noWrap/>
            <w:hideMark/>
          </w:tcPr>
          <w:p w:rsidR="00030337" w:rsidRPr="00467C27" w:rsidRDefault="00030337" w:rsidP="00570C2E">
            <w:pPr>
              <w:pStyle w:val="Heading4"/>
              <w:spacing w:before="0"/>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≥120</w:t>
            </w:r>
          </w:p>
        </w:tc>
        <w:tc>
          <w:tcPr>
            <w:tcW w:w="1175" w:type="dxa"/>
            <w:tcBorders>
              <w:top w:val="single" w:sz="4" w:space="0" w:color="00B050"/>
            </w:tcBorders>
            <w:noWrap/>
            <w:hideMark/>
          </w:tcPr>
          <w:p w:rsidR="00030337" w:rsidRPr="00467C27" w:rsidRDefault="00030337" w:rsidP="00570C2E">
            <w:pPr>
              <w:pStyle w:val="Heading4"/>
              <w:spacing w:before="0"/>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≥130</w:t>
            </w:r>
          </w:p>
        </w:tc>
      </w:tr>
      <w:tr w:rsidR="00030337" w:rsidRPr="00467C27" w:rsidTr="0009290F">
        <w:trPr>
          <w:trHeight w:val="276"/>
        </w:trPr>
        <w:tc>
          <w:tcPr>
            <w:tcW w:w="2430" w:type="dxa"/>
            <w:noWrap/>
            <w:hideMark/>
          </w:tcPr>
          <w:p w:rsidR="00030337" w:rsidRPr="00467C27" w:rsidRDefault="00030337" w:rsidP="002C7BF8">
            <w:pPr>
              <w:pStyle w:val="Heading4"/>
              <w:numPr>
                <w:ilvl w:val="0"/>
                <w:numId w:val="60"/>
              </w:numPr>
              <w:spacing w:before="0"/>
              <w:ind w:left="284" w:hanging="284"/>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Mid-gradient, coastal and hard sedimentary</w:t>
            </w:r>
          </w:p>
        </w:tc>
        <w:tc>
          <w:tcPr>
            <w:tcW w:w="1893" w:type="dxa"/>
            <w:noWrap/>
            <w:hideMark/>
          </w:tcPr>
          <w:p w:rsidR="00030337" w:rsidRPr="00467C27" w:rsidRDefault="00030337" w:rsidP="00570C2E">
            <w:pPr>
              <w:pStyle w:val="Heading4"/>
              <w:spacing w:before="0"/>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&lt;80</w:t>
            </w:r>
          </w:p>
        </w:tc>
        <w:tc>
          <w:tcPr>
            <w:tcW w:w="1916" w:type="dxa"/>
            <w:noWrap/>
            <w:hideMark/>
          </w:tcPr>
          <w:p w:rsidR="00030337" w:rsidRPr="00467C27" w:rsidRDefault="00030337" w:rsidP="00570C2E">
            <w:pPr>
              <w:pStyle w:val="Heading4"/>
              <w:spacing w:before="0"/>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80-105</w:t>
            </w:r>
          </w:p>
        </w:tc>
        <w:tc>
          <w:tcPr>
            <w:tcW w:w="1638" w:type="dxa"/>
            <w:noWrap/>
            <w:hideMark/>
          </w:tcPr>
          <w:p w:rsidR="00030337" w:rsidRPr="00467C27" w:rsidRDefault="00030337" w:rsidP="00570C2E">
            <w:pPr>
              <w:pStyle w:val="Heading4"/>
              <w:spacing w:before="0"/>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105-130</w:t>
            </w:r>
          </w:p>
        </w:tc>
        <w:tc>
          <w:tcPr>
            <w:tcW w:w="1680" w:type="dxa"/>
            <w:noWrap/>
            <w:hideMark/>
          </w:tcPr>
          <w:p w:rsidR="00030337" w:rsidRPr="00467C27" w:rsidRDefault="00030337" w:rsidP="00570C2E">
            <w:pPr>
              <w:pStyle w:val="Heading4"/>
              <w:spacing w:before="0"/>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≥130</w:t>
            </w:r>
          </w:p>
        </w:tc>
        <w:tc>
          <w:tcPr>
            <w:tcW w:w="1078" w:type="dxa"/>
            <w:noWrap/>
            <w:hideMark/>
          </w:tcPr>
          <w:p w:rsidR="00030337" w:rsidRPr="00467C27" w:rsidRDefault="00030337" w:rsidP="00570C2E">
            <w:pPr>
              <w:pStyle w:val="Heading4"/>
              <w:spacing w:before="0"/>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≥105</w:t>
            </w:r>
          </w:p>
        </w:tc>
        <w:tc>
          <w:tcPr>
            <w:tcW w:w="1175" w:type="dxa"/>
            <w:noWrap/>
            <w:hideMark/>
          </w:tcPr>
          <w:p w:rsidR="00030337" w:rsidRPr="00467C27" w:rsidRDefault="00030337" w:rsidP="00570C2E">
            <w:pPr>
              <w:pStyle w:val="Heading4"/>
              <w:spacing w:before="0"/>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≥130</w:t>
            </w:r>
          </w:p>
        </w:tc>
      </w:tr>
      <w:tr w:rsidR="00030337" w:rsidRPr="00467C27" w:rsidTr="0009290F">
        <w:trPr>
          <w:trHeight w:val="276"/>
        </w:trPr>
        <w:tc>
          <w:tcPr>
            <w:tcW w:w="2430" w:type="dxa"/>
            <w:noWrap/>
            <w:hideMark/>
          </w:tcPr>
          <w:p w:rsidR="00030337" w:rsidRPr="00467C27" w:rsidRDefault="00030337" w:rsidP="00570C2E">
            <w:pPr>
              <w:pStyle w:val="Heading4"/>
              <w:spacing w:before="0"/>
              <w:outlineLvl w:val="3"/>
              <w:rPr>
                <w:rFonts w:asciiTheme="minorHAnsi" w:hAnsiTheme="minorHAnsi" w:cstheme="minorHAnsi"/>
                <w:b w:val="0"/>
                <w:color w:val="auto"/>
                <w:sz w:val="22"/>
              </w:rPr>
            </w:pPr>
            <w:r>
              <w:rPr>
                <w:rFonts w:asciiTheme="minorHAnsi" w:hAnsiTheme="minorHAnsi" w:cstheme="minorHAnsi"/>
                <w:b w:val="0"/>
                <w:color w:val="auto"/>
                <w:sz w:val="22"/>
              </w:rPr>
              <w:t xml:space="preserve">c. </w:t>
            </w:r>
            <w:r w:rsidRPr="00467C27">
              <w:rPr>
                <w:rFonts w:asciiTheme="minorHAnsi" w:hAnsiTheme="minorHAnsi" w:cstheme="minorHAnsi"/>
                <w:b w:val="0"/>
                <w:color w:val="auto"/>
                <w:sz w:val="22"/>
              </w:rPr>
              <w:t>Mid-gradient, soft sedimentary</w:t>
            </w:r>
          </w:p>
        </w:tc>
        <w:tc>
          <w:tcPr>
            <w:tcW w:w="1893" w:type="dxa"/>
            <w:noWrap/>
            <w:hideMark/>
          </w:tcPr>
          <w:p w:rsidR="00030337" w:rsidRPr="00467C27" w:rsidRDefault="00030337" w:rsidP="00570C2E">
            <w:pPr>
              <w:pStyle w:val="Heading4"/>
              <w:spacing w:before="0"/>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&lt;80</w:t>
            </w:r>
          </w:p>
        </w:tc>
        <w:tc>
          <w:tcPr>
            <w:tcW w:w="1916" w:type="dxa"/>
            <w:noWrap/>
            <w:hideMark/>
          </w:tcPr>
          <w:p w:rsidR="00030337" w:rsidRPr="00467C27" w:rsidRDefault="00030337" w:rsidP="00570C2E">
            <w:pPr>
              <w:pStyle w:val="Heading4"/>
              <w:spacing w:before="0"/>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80-105</w:t>
            </w:r>
          </w:p>
        </w:tc>
        <w:tc>
          <w:tcPr>
            <w:tcW w:w="1638" w:type="dxa"/>
            <w:noWrap/>
            <w:hideMark/>
          </w:tcPr>
          <w:p w:rsidR="00030337" w:rsidRPr="00467C27" w:rsidRDefault="00030337" w:rsidP="00570C2E">
            <w:pPr>
              <w:pStyle w:val="Heading4"/>
              <w:spacing w:before="0"/>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105-130</w:t>
            </w:r>
          </w:p>
        </w:tc>
        <w:tc>
          <w:tcPr>
            <w:tcW w:w="1680" w:type="dxa"/>
            <w:noWrap/>
            <w:hideMark/>
          </w:tcPr>
          <w:p w:rsidR="00030337" w:rsidRPr="00467C27" w:rsidRDefault="00030337" w:rsidP="00570C2E">
            <w:pPr>
              <w:pStyle w:val="Heading4"/>
              <w:spacing w:before="0"/>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≥130</w:t>
            </w:r>
          </w:p>
        </w:tc>
        <w:tc>
          <w:tcPr>
            <w:tcW w:w="1078" w:type="dxa"/>
            <w:noWrap/>
            <w:hideMark/>
          </w:tcPr>
          <w:p w:rsidR="00030337" w:rsidRPr="00467C27" w:rsidRDefault="00030337" w:rsidP="00570C2E">
            <w:pPr>
              <w:pStyle w:val="Heading4"/>
              <w:spacing w:before="0"/>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≥105</w:t>
            </w:r>
          </w:p>
        </w:tc>
        <w:tc>
          <w:tcPr>
            <w:tcW w:w="1175" w:type="dxa"/>
            <w:noWrap/>
            <w:hideMark/>
          </w:tcPr>
          <w:p w:rsidR="00030337" w:rsidRPr="00467C27" w:rsidRDefault="00030337" w:rsidP="00570C2E">
            <w:pPr>
              <w:pStyle w:val="Heading4"/>
              <w:spacing w:before="0"/>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≥130</w:t>
            </w:r>
          </w:p>
        </w:tc>
      </w:tr>
      <w:tr w:rsidR="00030337" w:rsidRPr="00467C27" w:rsidTr="0009290F">
        <w:trPr>
          <w:trHeight w:val="276"/>
        </w:trPr>
        <w:tc>
          <w:tcPr>
            <w:tcW w:w="2430" w:type="dxa"/>
            <w:noWrap/>
            <w:hideMark/>
          </w:tcPr>
          <w:p w:rsidR="00030337" w:rsidRPr="00467C27" w:rsidRDefault="00030337" w:rsidP="00570C2E">
            <w:pPr>
              <w:pStyle w:val="Heading4"/>
              <w:spacing w:before="0"/>
              <w:outlineLvl w:val="3"/>
              <w:rPr>
                <w:rFonts w:asciiTheme="minorHAnsi" w:hAnsiTheme="minorHAnsi" w:cstheme="minorHAnsi"/>
                <w:b w:val="0"/>
                <w:color w:val="auto"/>
                <w:sz w:val="22"/>
              </w:rPr>
            </w:pPr>
            <w:r>
              <w:rPr>
                <w:rFonts w:asciiTheme="minorHAnsi" w:hAnsiTheme="minorHAnsi" w:cstheme="minorHAnsi"/>
                <w:b w:val="0"/>
                <w:color w:val="auto"/>
                <w:sz w:val="22"/>
              </w:rPr>
              <w:t xml:space="preserve">d. </w:t>
            </w:r>
            <w:r w:rsidRPr="00467C27">
              <w:rPr>
                <w:rFonts w:asciiTheme="minorHAnsi" w:hAnsiTheme="minorHAnsi" w:cstheme="minorHAnsi"/>
                <w:b w:val="0"/>
                <w:color w:val="auto"/>
                <w:sz w:val="22"/>
              </w:rPr>
              <w:t>Lowland, draining ranges</w:t>
            </w:r>
          </w:p>
        </w:tc>
        <w:tc>
          <w:tcPr>
            <w:tcW w:w="1893" w:type="dxa"/>
            <w:noWrap/>
            <w:hideMark/>
          </w:tcPr>
          <w:p w:rsidR="00030337" w:rsidRPr="00467C27" w:rsidRDefault="00030337" w:rsidP="00570C2E">
            <w:pPr>
              <w:pStyle w:val="Heading4"/>
              <w:spacing w:before="0"/>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&lt;90</w:t>
            </w:r>
          </w:p>
        </w:tc>
        <w:tc>
          <w:tcPr>
            <w:tcW w:w="1916" w:type="dxa"/>
            <w:noWrap/>
            <w:hideMark/>
          </w:tcPr>
          <w:p w:rsidR="00030337" w:rsidRPr="00467C27" w:rsidRDefault="00030337" w:rsidP="00570C2E">
            <w:pPr>
              <w:pStyle w:val="Heading4"/>
              <w:spacing w:before="0"/>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90-110</w:t>
            </w:r>
          </w:p>
        </w:tc>
        <w:tc>
          <w:tcPr>
            <w:tcW w:w="1638" w:type="dxa"/>
            <w:noWrap/>
            <w:hideMark/>
          </w:tcPr>
          <w:p w:rsidR="00030337" w:rsidRPr="00467C27" w:rsidRDefault="00030337" w:rsidP="00570C2E">
            <w:pPr>
              <w:pStyle w:val="Heading4"/>
              <w:spacing w:before="0"/>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110-130</w:t>
            </w:r>
          </w:p>
        </w:tc>
        <w:tc>
          <w:tcPr>
            <w:tcW w:w="1680" w:type="dxa"/>
            <w:noWrap/>
            <w:hideMark/>
          </w:tcPr>
          <w:p w:rsidR="00030337" w:rsidRPr="00467C27" w:rsidRDefault="00030337" w:rsidP="00570C2E">
            <w:pPr>
              <w:pStyle w:val="Heading4"/>
              <w:spacing w:before="0"/>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≥130</w:t>
            </w:r>
          </w:p>
        </w:tc>
        <w:tc>
          <w:tcPr>
            <w:tcW w:w="1078" w:type="dxa"/>
            <w:noWrap/>
            <w:hideMark/>
          </w:tcPr>
          <w:p w:rsidR="00030337" w:rsidRPr="00467C27" w:rsidRDefault="00030337" w:rsidP="00570C2E">
            <w:pPr>
              <w:pStyle w:val="Heading4"/>
              <w:spacing w:before="0"/>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≥110</w:t>
            </w:r>
          </w:p>
        </w:tc>
        <w:tc>
          <w:tcPr>
            <w:tcW w:w="1175" w:type="dxa"/>
            <w:noWrap/>
            <w:hideMark/>
          </w:tcPr>
          <w:p w:rsidR="00030337" w:rsidRPr="00467C27" w:rsidRDefault="00030337" w:rsidP="00570C2E">
            <w:pPr>
              <w:pStyle w:val="Heading4"/>
              <w:spacing w:before="0"/>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≥130</w:t>
            </w:r>
          </w:p>
        </w:tc>
      </w:tr>
      <w:tr w:rsidR="00030337" w:rsidRPr="00467C27" w:rsidTr="0009290F">
        <w:trPr>
          <w:trHeight w:val="276"/>
        </w:trPr>
        <w:tc>
          <w:tcPr>
            <w:tcW w:w="2430" w:type="dxa"/>
            <w:noWrap/>
            <w:hideMark/>
          </w:tcPr>
          <w:p w:rsidR="00030337" w:rsidRPr="00467C27" w:rsidRDefault="00030337" w:rsidP="00570C2E">
            <w:pPr>
              <w:pStyle w:val="Heading4"/>
              <w:spacing w:before="0"/>
              <w:outlineLvl w:val="3"/>
              <w:rPr>
                <w:rFonts w:asciiTheme="minorHAnsi" w:hAnsiTheme="minorHAnsi" w:cstheme="minorHAnsi"/>
                <w:b w:val="0"/>
                <w:color w:val="auto"/>
                <w:sz w:val="22"/>
              </w:rPr>
            </w:pPr>
            <w:r>
              <w:rPr>
                <w:rFonts w:asciiTheme="minorHAnsi" w:hAnsiTheme="minorHAnsi" w:cstheme="minorHAnsi"/>
                <w:b w:val="0"/>
                <w:color w:val="auto"/>
                <w:sz w:val="22"/>
              </w:rPr>
              <w:t xml:space="preserve">e. </w:t>
            </w:r>
            <w:r w:rsidRPr="00467C27">
              <w:rPr>
                <w:rFonts w:asciiTheme="minorHAnsi" w:hAnsiTheme="minorHAnsi" w:cstheme="minorHAnsi"/>
                <w:b w:val="0"/>
                <w:color w:val="auto"/>
                <w:sz w:val="22"/>
              </w:rPr>
              <w:t>Lowland, large, draining plains and eastern Wairarapa</w:t>
            </w:r>
          </w:p>
        </w:tc>
        <w:tc>
          <w:tcPr>
            <w:tcW w:w="1893" w:type="dxa"/>
            <w:noWrap/>
            <w:hideMark/>
          </w:tcPr>
          <w:p w:rsidR="00030337" w:rsidRPr="00467C27" w:rsidRDefault="00030337" w:rsidP="00570C2E">
            <w:pPr>
              <w:pStyle w:val="Heading4"/>
              <w:spacing w:before="0"/>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&lt;80</w:t>
            </w:r>
          </w:p>
        </w:tc>
        <w:tc>
          <w:tcPr>
            <w:tcW w:w="1916" w:type="dxa"/>
            <w:noWrap/>
            <w:hideMark/>
          </w:tcPr>
          <w:p w:rsidR="00030337" w:rsidRPr="00467C27" w:rsidRDefault="00030337" w:rsidP="00570C2E">
            <w:pPr>
              <w:pStyle w:val="Heading4"/>
              <w:spacing w:before="0"/>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80-105</w:t>
            </w:r>
          </w:p>
        </w:tc>
        <w:tc>
          <w:tcPr>
            <w:tcW w:w="1638" w:type="dxa"/>
            <w:noWrap/>
            <w:hideMark/>
          </w:tcPr>
          <w:p w:rsidR="00030337" w:rsidRPr="00467C27" w:rsidRDefault="00030337" w:rsidP="00570C2E">
            <w:pPr>
              <w:pStyle w:val="Heading4"/>
              <w:spacing w:before="0"/>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100-120</w:t>
            </w:r>
          </w:p>
        </w:tc>
        <w:tc>
          <w:tcPr>
            <w:tcW w:w="1680" w:type="dxa"/>
            <w:noWrap/>
            <w:hideMark/>
          </w:tcPr>
          <w:p w:rsidR="00030337" w:rsidRPr="00467C27" w:rsidRDefault="00030337" w:rsidP="00570C2E">
            <w:pPr>
              <w:pStyle w:val="Heading4"/>
              <w:spacing w:before="0"/>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≥120</w:t>
            </w:r>
          </w:p>
        </w:tc>
        <w:tc>
          <w:tcPr>
            <w:tcW w:w="1078" w:type="dxa"/>
            <w:noWrap/>
            <w:hideMark/>
          </w:tcPr>
          <w:p w:rsidR="00030337" w:rsidRPr="00467C27" w:rsidRDefault="00030337" w:rsidP="00570C2E">
            <w:pPr>
              <w:pStyle w:val="Heading4"/>
              <w:spacing w:before="0"/>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≥100</w:t>
            </w:r>
          </w:p>
        </w:tc>
        <w:tc>
          <w:tcPr>
            <w:tcW w:w="1175" w:type="dxa"/>
            <w:noWrap/>
            <w:hideMark/>
          </w:tcPr>
          <w:p w:rsidR="00030337" w:rsidRPr="00467C27" w:rsidRDefault="00030337" w:rsidP="00570C2E">
            <w:pPr>
              <w:pStyle w:val="Heading4"/>
              <w:spacing w:before="0"/>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≥130</w:t>
            </w:r>
          </w:p>
        </w:tc>
      </w:tr>
      <w:tr w:rsidR="00030337" w:rsidRPr="00467C27" w:rsidTr="0009290F">
        <w:trPr>
          <w:trHeight w:val="276"/>
        </w:trPr>
        <w:tc>
          <w:tcPr>
            <w:tcW w:w="2430" w:type="dxa"/>
            <w:noWrap/>
            <w:hideMark/>
          </w:tcPr>
          <w:p w:rsidR="00030337" w:rsidRPr="00467C27" w:rsidRDefault="00030337" w:rsidP="00570C2E">
            <w:pPr>
              <w:pStyle w:val="Heading4"/>
              <w:spacing w:before="0"/>
              <w:outlineLvl w:val="3"/>
              <w:rPr>
                <w:rFonts w:asciiTheme="minorHAnsi" w:hAnsiTheme="minorHAnsi" w:cstheme="minorHAnsi"/>
                <w:b w:val="0"/>
                <w:color w:val="auto"/>
                <w:sz w:val="22"/>
              </w:rPr>
            </w:pPr>
            <w:r>
              <w:rPr>
                <w:rFonts w:asciiTheme="minorHAnsi" w:hAnsiTheme="minorHAnsi" w:cstheme="minorHAnsi"/>
                <w:b w:val="0"/>
                <w:color w:val="auto"/>
                <w:sz w:val="22"/>
              </w:rPr>
              <w:t xml:space="preserve">f. </w:t>
            </w:r>
            <w:r w:rsidRPr="00467C27">
              <w:rPr>
                <w:rFonts w:asciiTheme="minorHAnsi" w:hAnsiTheme="minorHAnsi" w:cstheme="minorHAnsi"/>
                <w:b w:val="0"/>
                <w:color w:val="auto"/>
                <w:sz w:val="22"/>
              </w:rPr>
              <w:t>Lowland, small</w:t>
            </w:r>
          </w:p>
        </w:tc>
        <w:tc>
          <w:tcPr>
            <w:tcW w:w="1893" w:type="dxa"/>
            <w:noWrap/>
            <w:hideMark/>
          </w:tcPr>
          <w:p w:rsidR="00030337" w:rsidRPr="00467C27" w:rsidRDefault="00030337" w:rsidP="00570C2E">
            <w:pPr>
              <w:pStyle w:val="Heading4"/>
              <w:spacing w:before="0"/>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&lt;80</w:t>
            </w:r>
          </w:p>
        </w:tc>
        <w:tc>
          <w:tcPr>
            <w:tcW w:w="1916" w:type="dxa"/>
            <w:noWrap/>
            <w:hideMark/>
          </w:tcPr>
          <w:p w:rsidR="00030337" w:rsidRPr="00467C27" w:rsidRDefault="00030337" w:rsidP="00570C2E">
            <w:pPr>
              <w:pStyle w:val="Heading4"/>
              <w:spacing w:before="0"/>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80-105</w:t>
            </w:r>
          </w:p>
        </w:tc>
        <w:tc>
          <w:tcPr>
            <w:tcW w:w="1638" w:type="dxa"/>
            <w:noWrap/>
            <w:hideMark/>
          </w:tcPr>
          <w:p w:rsidR="00030337" w:rsidRPr="00467C27" w:rsidRDefault="00030337" w:rsidP="00570C2E">
            <w:pPr>
              <w:pStyle w:val="Heading4"/>
              <w:spacing w:before="0"/>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100-120</w:t>
            </w:r>
          </w:p>
        </w:tc>
        <w:tc>
          <w:tcPr>
            <w:tcW w:w="1680" w:type="dxa"/>
            <w:noWrap/>
            <w:hideMark/>
          </w:tcPr>
          <w:p w:rsidR="00030337" w:rsidRPr="00467C27" w:rsidRDefault="00030337" w:rsidP="00570C2E">
            <w:pPr>
              <w:pStyle w:val="Heading4"/>
              <w:spacing w:before="0"/>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≥120</w:t>
            </w:r>
          </w:p>
        </w:tc>
        <w:tc>
          <w:tcPr>
            <w:tcW w:w="1078" w:type="dxa"/>
            <w:noWrap/>
            <w:hideMark/>
          </w:tcPr>
          <w:p w:rsidR="00030337" w:rsidRPr="00467C27" w:rsidRDefault="00030337" w:rsidP="00570C2E">
            <w:pPr>
              <w:pStyle w:val="Heading4"/>
              <w:spacing w:before="0"/>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≥100</w:t>
            </w:r>
          </w:p>
        </w:tc>
        <w:tc>
          <w:tcPr>
            <w:tcW w:w="1175" w:type="dxa"/>
            <w:noWrap/>
            <w:hideMark/>
          </w:tcPr>
          <w:p w:rsidR="00030337" w:rsidRPr="00467C27" w:rsidRDefault="00030337" w:rsidP="00570C2E">
            <w:pPr>
              <w:pStyle w:val="Heading4"/>
              <w:spacing w:before="0"/>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≥130</w:t>
            </w:r>
          </w:p>
        </w:tc>
      </w:tr>
    </w:tbl>
    <w:p w:rsidR="00030337" w:rsidRDefault="00030337" w:rsidP="00570C2E">
      <w:pPr>
        <w:rPr>
          <w:rFonts w:cstheme="minorHAnsi"/>
          <w:b/>
        </w:rPr>
      </w:pPr>
      <w:r w:rsidRPr="00467C27">
        <w:rPr>
          <w:rFonts w:cstheme="minorHAnsi"/>
          <w:b/>
        </w:rPr>
        <w:t>​</w:t>
      </w:r>
      <w:r w:rsidR="008509B9" w:rsidRPr="008509B9">
        <w:t xml:space="preserve"> </w:t>
      </w:r>
      <w:r w:rsidR="008509B9" w:rsidRPr="008509B9">
        <w:rPr>
          <w:rFonts w:cstheme="minorHAnsi"/>
          <w:b/>
        </w:rPr>
        <w:t>Source: Greater Wellington Regional Council (GWRC)</w:t>
      </w:r>
    </w:p>
    <w:p w:rsidR="00847B9E" w:rsidRDefault="00847B9E">
      <w:pPr>
        <w:rPr>
          <w:rFonts w:cstheme="minorHAnsi"/>
        </w:rPr>
      </w:pPr>
      <w:r>
        <w:rPr>
          <w:rFonts w:cstheme="minorHAnsi"/>
        </w:rPr>
        <w:br w:type="page"/>
      </w:r>
    </w:p>
    <w:p w:rsidR="00847B9E" w:rsidRPr="00847B9E" w:rsidRDefault="00847B9E" w:rsidP="002C7BF8">
      <w:pPr>
        <w:pStyle w:val="ListParagraph"/>
        <w:numPr>
          <w:ilvl w:val="0"/>
          <w:numId w:val="61"/>
        </w:numPr>
        <w:rPr>
          <w:b/>
        </w:rPr>
      </w:pPr>
      <w:r w:rsidRPr="00847B9E">
        <w:rPr>
          <w:rFonts w:cstheme="minorHAnsi"/>
          <w:b/>
        </w:rPr>
        <w:lastRenderedPageBreak/>
        <w:t>Residents who state they have taken regular action in the last year to reduce their greenhouse gas emissions</w:t>
      </w:r>
    </w:p>
    <w:p w:rsidR="00847B9E" w:rsidRPr="00847B9E" w:rsidRDefault="00847B9E" w:rsidP="00847B9E">
      <w:pPr>
        <w:ind w:left="709"/>
      </w:pPr>
      <w:r w:rsidRPr="00847B9E">
        <w:t xml:space="preserve">This is a new question in 2019. The reported result </w:t>
      </w:r>
      <w:r w:rsidR="00145BEF">
        <w:t xml:space="preserve">in </w:t>
      </w:r>
      <w:r w:rsidRPr="00847B9E">
        <w:t>2019 is 95%.</w:t>
      </w:r>
    </w:p>
    <w:tbl>
      <w:tblPr>
        <w:tblStyle w:val="TableGrid"/>
        <w:tblW w:w="11880" w:type="dxa"/>
        <w:tblBorders>
          <w:top w:val="single" w:sz="4" w:space="0" w:color="00B050"/>
          <w:left w:val="none" w:sz="0" w:space="0" w:color="auto"/>
          <w:bottom w:val="single" w:sz="4" w:space="0" w:color="00B050"/>
          <w:right w:val="none" w:sz="0" w:space="0" w:color="auto"/>
          <w:insideH w:val="single" w:sz="4" w:space="0" w:color="00B050"/>
          <w:insideV w:val="single" w:sz="4" w:space="0" w:color="00B050"/>
        </w:tblBorders>
        <w:tblLayout w:type="fixed"/>
        <w:tblLook w:val="04A0" w:firstRow="1" w:lastRow="0" w:firstColumn="1" w:lastColumn="0" w:noHBand="0" w:noVBand="1"/>
      </w:tblPr>
      <w:tblGrid>
        <w:gridCol w:w="9464"/>
        <w:gridCol w:w="9"/>
        <w:gridCol w:w="1305"/>
        <w:gridCol w:w="1102"/>
      </w:tblGrid>
      <w:tr w:rsidR="00030337" w:rsidRPr="00467C27" w:rsidTr="00030337">
        <w:trPr>
          <w:trHeight w:val="276"/>
        </w:trPr>
        <w:tc>
          <w:tcPr>
            <w:tcW w:w="9473" w:type="dxa"/>
            <w:gridSpan w:val="2"/>
            <w:tcBorders>
              <w:right w:val="single" w:sz="4" w:space="0" w:color="FFFFFF" w:themeColor="background1"/>
            </w:tcBorders>
            <w:shd w:val="clear" w:color="auto" w:fill="00B050"/>
            <w:noWrap/>
            <w:hideMark/>
          </w:tcPr>
          <w:p w:rsidR="00030337" w:rsidRPr="00847B9E" w:rsidRDefault="00030337" w:rsidP="00030337">
            <w:pPr>
              <w:pStyle w:val="Heading4"/>
              <w:outlineLvl w:val="3"/>
              <w:rPr>
                <w:rFonts w:asciiTheme="minorHAnsi" w:hAnsiTheme="minorHAnsi" w:cstheme="minorHAnsi"/>
                <w:color w:val="FFFFFF" w:themeColor="background1"/>
                <w:sz w:val="22"/>
              </w:rPr>
            </w:pPr>
            <w:r w:rsidRPr="00847B9E">
              <w:rPr>
                <w:rFonts w:asciiTheme="minorHAnsi" w:hAnsiTheme="minorHAnsi" w:cstheme="minorHAnsi"/>
                <w:color w:val="FFFFFF" w:themeColor="background1"/>
                <w:sz w:val="22"/>
              </w:rPr>
              <w:t>"We are concerned about climate change. What steps (if any) have you undertaken on an ongoing basis to reduce your emissions in the last 12 months?"</w:t>
            </w:r>
          </w:p>
        </w:tc>
        <w:tc>
          <w:tcPr>
            <w:tcW w:w="1305" w:type="dxa"/>
            <w:tcBorders>
              <w:left w:val="single" w:sz="4" w:space="0" w:color="FFFFFF" w:themeColor="background1"/>
              <w:right w:val="single" w:sz="4" w:space="0" w:color="FFFFFF" w:themeColor="background1"/>
            </w:tcBorders>
            <w:shd w:val="clear" w:color="auto" w:fill="00B050"/>
          </w:tcPr>
          <w:p w:rsidR="00030337" w:rsidRPr="00847B9E" w:rsidRDefault="00030337" w:rsidP="00030337">
            <w:pPr>
              <w:pStyle w:val="Heading4"/>
              <w:outlineLvl w:val="3"/>
              <w:rPr>
                <w:rFonts w:asciiTheme="minorHAnsi" w:hAnsiTheme="minorHAnsi" w:cstheme="minorHAnsi"/>
                <w:color w:val="FFFFFF" w:themeColor="background1"/>
                <w:sz w:val="22"/>
              </w:rPr>
            </w:pPr>
            <w:r w:rsidRPr="00847B9E">
              <w:rPr>
                <w:rFonts w:asciiTheme="minorHAnsi" w:hAnsiTheme="minorHAnsi" w:cstheme="minorHAnsi"/>
                <w:color w:val="FFFFFF" w:themeColor="background1"/>
                <w:sz w:val="22"/>
              </w:rPr>
              <w:t>Number</w:t>
            </w:r>
          </w:p>
        </w:tc>
        <w:tc>
          <w:tcPr>
            <w:tcW w:w="1102" w:type="dxa"/>
            <w:tcBorders>
              <w:left w:val="single" w:sz="4" w:space="0" w:color="FFFFFF" w:themeColor="background1"/>
            </w:tcBorders>
            <w:shd w:val="clear" w:color="auto" w:fill="00B050"/>
            <w:noWrap/>
            <w:hideMark/>
          </w:tcPr>
          <w:p w:rsidR="00030337" w:rsidRPr="00847B9E" w:rsidRDefault="00030337" w:rsidP="00030337">
            <w:pPr>
              <w:pStyle w:val="Heading4"/>
              <w:outlineLvl w:val="3"/>
              <w:rPr>
                <w:rFonts w:asciiTheme="minorHAnsi" w:hAnsiTheme="minorHAnsi" w:cstheme="minorHAnsi"/>
                <w:color w:val="FFFFFF" w:themeColor="background1"/>
                <w:sz w:val="22"/>
              </w:rPr>
            </w:pPr>
            <w:r w:rsidRPr="00847B9E">
              <w:rPr>
                <w:rFonts w:asciiTheme="minorHAnsi" w:hAnsiTheme="minorHAnsi" w:cstheme="minorHAnsi"/>
                <w:color w:val="FFFFFF" w:themeColor="background1"/>
                <w:sz w:val="22"/>
              </w:rPr>
              <w:t>Percent %</w:t>
            </w:r>
          </w:p>
        </w:tc>
      </w:tr>
      <w:tr w:rsidR="00030337" w:rsidRPr="00467C27" w:rsidTr="00030337">
        <w:trPr>
          <w:trHeight w:val="276"/>
        </w:trPr>
        <w:tc>
          <w:tcPr>
            <w:tcW w:w="9464" w:type="dxa"/>
            <w:noWrap/>
            <w:hideMark/>
          </w:tcPr>
          <w:p w:rsidR="00030337" w:rsidRPr="00467C27" w:rsidRDefault="00030337" w:rsidP="00145BEF">
            <w:pPr>
              <w:pStyle w:val="Heading4"/>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 xml:space="preserve">Transport emissions (e.g. </w:t>
            </w:r>
            <w:r w:rsidR="00145BEF">
              <w:rPr>
                <w:rFonts w:asciiTheme="minorHAnsi" w:hAnsiTheme="minorHAnsi" w:cstheme="minorHAnsi"/>
                <w:b w:val="0"/>
                <w:color w:val="auto"/>
                <w:sz w:val="22"/>
              </w:rPr>
              <w:t>d</w:t>
            </w:r>
            <w:r w:rsidRPr="00467C27">
              <w:rPr>
                <w:rFonts w:asciiTheme="minorHAnsi" w:hAnsiTheme="minorHAnsi" w:cstheme="minorHAnsi"/>
                <w:b w:val="0"/>
                <w:color w:val="auto"/>
                <w:sz w:val="22"/>
              </w:rPr>
              <w:t>riving and/or flying less...EV...)</w:t>
            </w:r>
          </w:p>
        </w:tc>
        <w:tc>
          <w:tcPr>
            <w:tcW w:w="1314" w:type="dxa"/>
            <w:gridSpan w:val="2"/>
            <w:noWrap/>
            <w:hideMark/>
          </w:tcPr>
          <w:p w:rsidR="00030337" w:rsidRPr="00467C27" w:rsidRDefault="00030337" w:rsidP="00030337">
            <w:pPr>
              <w:pStyle w:val="Heading4"/>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232</w:t>
            </w:r>
          </w:p>
        </w:tc>
        <w:tc>
          <w:tcPr>
            <w:tcW w:w="1102" w:type="dxa"/>
            <w:noWrap/>
            <w:hideMark/>
          </w:tcPr>
          <w:p w:rsidR="00030337" w:rsidRPr="00467C27" w:rsidRDefault="00030337" w:rsidP="00030337">
            <w:pPr>
              <w:pStyle w:val="Heading4"/>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50.2</w:t>
            </w:r>
          </w:p>
        </w:tc>
      </w:tr>
      <w:tr w:rsidR="00030337" w:rsidRPr="00467C27" w:rsidTr="00030337">
        <w:trPr>
          <w:trHeight w:val="276"/>
        </w:trPr>
        <w:tc>
          <w:tcPr>
            <w:tcW w:w="9464" w:type="dxa"/>
            <w:noWrap/>
            <w:hideMark/>
          </w:tcPr>
          <w:p w:rsidR="00030337" w:rsidRPr="00467C27" w:rsidRDefault="00030337" w:rsidP="00145BEF">
            <w:pPr>
              <w:pStyle w:val="Heading4"/>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 xml:space="preserve">Waste emissions (e.g. </w:t>
            </w:r>
            <w:r w:rsidR="00145BEF">
              <w:rPr>
                <w:rFonts w:asciiTheme="minorHAnsi" w:hAnsiTheme="minorHAnsi" w:cstheme="minorHAnsi"/>
                <w:b w:val="0"/>
                <w:color w:val="auto"/>
                <w:sz w:val="22"/>
              </w:rPr>
              <w:t>r</w:t>
            </w:r>
            <w:r w:rsidR="00145BEF" w:rsidRPr="00467C27">
              <w:rPr>
                <w:rFonts w:asciiTheme="minorHAnsi" w:hAnsiTheme="minorHAnsi" w:cstheme="minorHAnsi"/>
                <w:b w:val="0"/>
                <w:color w:val="auto"/>
                <w:sz w:val="22"/>
              </w:rPr>
              <w:t>educe</w:t>
            </w:r>
            <w:r w:rsidRPr="00467C27">
              <w:rPr>
                <w:rFonts w:asciiTheme="minorHAnsi" w:hAnsiTheme="minorHAnsi" w:cstheme="minorHAnsi"/>
                <w:b w:val="0"/>
                <w:color w:val="auto"/>
                <w:sz w:val="22"/>
              </w:rPr>
              <w:t>, re-use, recycle where possible)</w:t>
            </w:r>
          </w:p>
        </w:tc>
        <w:tc>
          <w:tcPr>
            <w:tcW w:w="1314" w:type="dxa"/>
            <w:gridSpan w:val="2"/>
            <w:noWrap/>
            <w:hideMark/>
          </w:tcPr>
          <w:p w:rsidR="00030337" w:rsidRPr="00467C27" w:rsidRDefault="00030337" w:rsidP="00030337">
            <w:pPr>
              <w:pStyle w:val="Heading4"/>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418</w:t>
            </w:r>
          </w:p>
        </w:tc>
        <w:tc>
          <w:tcPr>
            <w:tcW w:w="1102" w:type="dxa"/>
            <w:noWrap/>
            <w:hideMark/>
          </w:tcPr>
          <w:p w:rsidR="00030337" w:rsidRPr="00467C27" w:rsidRDefault="00030337" w:rsidP="00030337">
            <w:pPr>
              <w:pStyle w:val="Heading4"/>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90.5</w:t>
            </w:r>
          </w:p>
        </w:tc>
      </w:tr>
      <w:tr w:rsidR="00030337" w:rsidRPr="00467C27" w:rsidTr="00030337">
        <w:trPr>
          <w:trHeight w:val="276"/>
        </w:trPr>
        <w:tc>
          <w:tcPr>
            <w:tcW w:w="9464" w:type="dxa"/>
            <w:noWrap/>
            <w:hideMark/>
          </w:tcPr>
          <w:p w:rsidR="00030337" w:rsidRPr="00467C27" w:rsidRDefault="00030337" w:rsidP="00145BEF">
            <w:pPr>
              <w:pStyle w:val="Heading4"/>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 xml:space="preserve">Food emissions (e.g. </w:t>
            </w:r>
            <w:r w:rsidR="00145BEF">
              <w:rPr>
                <w:rFonts w:asciiTheme="minorHAnsi" w:hAnsiTheme="minorHAnsi" w:cstheme="minorHAnsi"/>
                <w:b w:val="0"/>
                <w:color w:val="auto"/>
                <w:sz w:val="22"/>
              </w:rPr>
              <w:t>b</w:t>
            </w:r>
            <w:r w:rsidR="00145BEF" w:rsidRPr="00467C27">
              <w:rPr>
                <w:rFonts w:asciiTheme="minorHAnsi" w:hAnsiTheme="minorHAnsi" w:cstheme="minorHAnsi"/>
                <w:b w:val="0"/>
                <w:color w:val="auto"/>
                <w:sz w:val="22"/>
              </w:rPr>
              <w:t xml:space="preserve">uying </w:t>
            </w:r>
            <w:r w:rsidRPr="00467C27">
              <w:rPr>
                <w:rFonts w:asciiTheme="minorHAnsi" w:hAnsiTheme="minorHAnsi" w:cstheme="minorHAnsi"/>
                <w:b w:val="0"/>
                <w:color w:val="auto"/>
                <w:sz w:val="22"/>
              </w:rPr>
              <w:t>locally, eating less meat, growing own food)</w:t>
            </w:r>
          </w:p>
        </w:tc>
        <w:tc>
          <w:tcPr>
            <w:tcW w:w="1314" w:type="dxa"/>
            <w:gridSpan w:val="2"/>
            <w:noWrap/>
            <w:hideMark/>
          </w:tcPr>
          <w:p w:rsidR="00030337" w:rsidRPr="00467C27" w:rsidRDefault="00030337" w:rsidP="00030337">
            <w:pPr>
              <w:pStyle w:val="Heading4"/>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288</w:t>
            </w:r>
          </w:p>
        </w:tc>
        <w:tc>
          <w:tcPr>
            <w:tcW w:w="1102" w:type="dxa"/>
            <w:noWrap/>
            <w:hideMark/>
          </w:tcPr>
          <w:p w:rsidR="00030337" w:rsidRPr="00467C27" w:rsidRDefault="00030337" w:rsidP="00030337">
            <w:pPr>
              <w:pStyle w:val="Heading4"/>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62.3</w:t>
            </w:r>
          </w:p>
        </w:tc>
      </w:tr>
      <w:tr w:rsidR="00030337" w:rsidRPr="00467C27" w:rsidTr="00030337">
        <w:trPr>
          <w:trHeight w:val="276"/>
        </w:trPr>
        <w:tc>
          <w:tcPr>
            <w:tcW w:w="9464" w:type="dxa"/>
            <w:noWrap/>
            <w:hideMark/>
          </w:tcPr>
          <w:p w:rsidR="00030337" w:rsidRPr="00467C27" w:rsidRDefault="00030337" w:rsidP="00145BEF">
            <w:pPr>
              <w:pStyle w:val="Heading4"/>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 xml:space="preserve">Energy emissions (e.g. </w:t>
            </w:r>
            <w:r w:rsidR="00145BEF">
              <w:rPr>
                <w:rFonts w:asciiTheme="minorHAnsi" w:hAnsiTheme="minorHAnsi" w:cstheme="minorHAnsi"/>
                <w:b w:val="0"/>
                <w:color w:val="auto"/>
                <w:sz w:val="22"/>
              </w:rPr>
              <w:t>u</w:t>
            </w:r>
            <w:r w:rsidR="00145BEF" w:rsidRPr="00467C27">
              <w:rPr>
                <w:rFonts w:asciiTheme="minorHAnsi" w:hAnsiTheme="minorHAnsi" w:cstheme="minorHAnsi"/>
                <w:b w:val="0"/>
                <w:color w:val="auto"/>
                <w:sz w:val="22"/>
              </w:rPr>
              <w:t xml:space="preserve">se </w:t>
            </w:r>
            <w:r w:rsidRPr="00467C27">
              <w:rPr>
                <w:rFonts w:asciiTheme="minorHAnsi" w:hAnsiTheme="minorHAnsi" w:cstheme="minorHAnsi"/>
                <w:b w:val="0"/>
                <w:color w:val="auto"/>
                <w:sz w:val="22"/>
              </w:rPr>
              <w:t>renewable energy, use smart-meter)</w:t>
            </w:r>
          </w:p>
        </w:tc>
        <w:tc>
          <w:tcPr>
            <w:tcW w:w="1314" w:type="dxa"/>
            <w:gridSpan w:val="2"/>
            <w:noWrap/>
            <w:hideMark/>
          </w:tcPr>
          <w:p w:rsidR="00030337" w:rsidRPr="00467C27" w:rsidRDefault="00030337" w:rsidP="00030337">
            <w:pPr>
              <w:pStyle w:val="Heading4"/>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122</w:t>
            </w:r>
          </w:p>
        </w:tc>
        <w:tc>
          <w:tcPr>
            <w:tcW w:w="1102" w:type="dxa"/>
            <w:noWrap/>
            <w:hideMark/>
          </w:tcPr>
          <w:p w:rsidR="00030337" w:rsidRPr="00467C27" w:rsidRDefault="00030337" w:rsidP="00030337">
            <w:pPr>
              <w:pStyle w:val="Heading4"/>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26.5</w:t>
            </w:r>
          </w:p>
        </w:tc>
      </w:tr>
      <w:tr w:rsidR="00030337" w:rsidRPr="00467C27" w:rsidTr="00030337">
        <w:trPr>
          <w:trHeight w:val="276"/>
        </w:trPr>
        <w:tc>
          <w:tcPr>
            <w:tcW w:w="9464" w:type="dxa"/>
            <w:noWrap/>
            <w:hideMark/>
          </w:tcPr>
          <w:p w:rsidR="00030337" w:rsidRPr="00467C27" w:rsidRDefault="00030337" w:rsidP="00030337">
            <w:pPr>
              <w:pStyle w:val="Heading4"/>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Anything else</w:t>
            </w:r>
          </w:p>
        </w:tc>
        <w:tc>
          <w:tcPr>
            <w:tcW w:w="1314" w:type="dxa"/>
            <w:gridSpan w:val="2"/>
            <w:noWrap/>
            <w:hideMark/>
          </w:tcPr>
          <w:p w:rsidR="00030337" w:rsidRPr="00467C27" w:rsidRDefault="00030337" w:rsidP="00030337">
            <w:pPr>
              <w:pStyle w:val="Heading4"/>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47</w:t>
            </w:r>
          </w:p>
        </w:tc>
        <w:tc>
          <w:tcPr>
            <w:tcW w:w="1102" w:type="dxa"/>
            <w:noWrap/>
            <w:hideMark/>
          </w:tcPr>
          <w:p w:rsidR="00030337" w:rsidRPr="00467C27" w:rsidRDefault="00030337" w:rsidP="00030337">
            <w:pPr>
              <w:pStyle w:val="Heading4"/>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10.2</w:t>
            </w:r>
          </w:p>
        </w:tc>
      </w:tr>
      <w:tr w:rsidR="00030337" w:rsidRPr="00467C27" w:rsidTr="00030337">
        <w:trPr>
          <w:trHeight w:val="276"/>
        </w:trPr>
        <w:tc>
          <w:tcPr>
            <w:tcW w:w="9464" w:type="dxa"/>
            <w:noWrap/>
            <w:hideMark/>
          </w:tcPr>
          <w:p w:rsidR="00030337" w:rsidRPr="00467C27" w:rsidRDefault="00030337" w:rsidP="00030337">
            <w:pPr>
              <w:pStyle w:val="Heading4"/>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None of these</w:t>
            </w:r>
          </w:p>
        </w:tc>
        <w:tc>
          <w:tcPr>
            <w:tcW w:w="1314" w:type="dxa"/>
            <w:gridSpan w:val="2"/>
            <w:noWrap/>
            <w:hideMark/>
          </w:tcPr>
          <w:p w:rsidR="00030337" w:rsidRPr="00467C27" w:rsidRDefault="00030337" w:rsidP="00030337">
            <w:pPr>
              <w:pStyle w:val="Heading4"/>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21</w:t>
            </w:r>
          </w:p>
        </w:tc>
        <w:tc>
          <w:tcPr>
            <w:tcW w:w="1102" w:type="dxa"/>
            <w:noWrap/>
            <w:hideMark/>
          </w:tcPr>
          <w:p w:rsidR="00030337" w:rsidRPr="00467C27" w:rsidRDefault="00030337" w:rsidP="00030337">
            <w:pPr>
              <w:pStyle w:val="Heading4"/>
              <w:outlineLvl w:val="3"/>
              <w:rPr>
                <w:rFonts w:asciiTheme="minorHAnsi" w:hAnsiTheme="minorHAnsi" w:cstheme="minorHAnsi"/>
                <w:b w:val="0"/>
                <w:color w:val="auto"/>
                <w:sz w:val="22"/>
              </w:rPr>
            </w:pPr>
            <w:r w:rsidRPr="00467C27">
              <w:rPr>
                <w:rFonts w:asciiTheme="minorHAnsi" w:hAnsiTheme="minorHAnsi" w:cstheme="minorHAnsi"/>
                <w:b w:val="0"/>
                <w:color w:val="auto"/>
                <w:sz w:val="22"/>
              </w:rPr>
              <w:t>4.6</w:t>
            </w:r>
          </w:p>
        </w:tc>
      </w:tr>
      <w:tr w:rsidR="00030337" w:rsidRPr="00467C27" w:rsidTr="00030337">
        <w:trPr>
          <w:trHeight w:val="276"/>
        </w:trPr>
        <w:tc>
          <w:tcPr>
            <w:tcW w:w="9464" w:type="dxa"/>
            <w:shd w:val="clear" w:color="auto" w:fill="EAF1DD" w:themeFill="accent3" w:themeFillTint="33"/>
            <w:noWrap/>
            <w:hideMark/>
          </w:tcPr>
          <w:p w:rsidR="00030337" w:rsidRPr="00CF2A5D" w:rsidRDefault="00030337" w:rsidP="00847B9E">
            <w:pPr>
              <w:pStyle w:val="Heading4"/>
              <w:outlineLvl w:val="3"/>
              <w:rPr>
                <w:rFonts w:asciiTheme="minorHAnsi" w:hAnsiTheme="minorHAnsi" w:cstheme="minorHAnsi"/>
                <w:color w:val="auto"/>
                <w:sz w:val="22"/>
              </w:rPr>
            </w:pPr>
            <w:r w:rsidRPr="00CF2A5D">
              <w:rPr>
                <w:rFonts w:asciiTheme="minorHAnsi" w:hAnsiTheme="minorHAnsi" w:cstheme="minorHAnsi"/>
                <w:color w:val="auto"/>
                <w:sz w:val="22"/>
              </w:rPr>
              <w:t>T</w:t>
            </w:r>
            <w:r w:rsidR="00847B9E">
              <w:rPr>
                <w:rFonts w:asciiTheme="minorHAnsi" w:hAnsiTheme="minorHAnsi" w:cstheme="minorHAnsi"/>
                <w:color w:val="auto"/>
                <w:sz w:val="22"/>
              </w:rPr>
              <w:t>otal</w:t>
            </w:r>
            <w:r w:rsidRPr="00CF2A5D">
              <w:rPr>
                <w:rFonts w:asciiTheme="minorHAnsi" w:hAnsiTheme="minorHAnsi" w:cstheme="minorHAnsi"/>
                <w:color w:val="auto"/>
                <w:sz w:val="22"/>
              </w:rPr>
              <w:t xml:space="preserve"> sample</w:t>
            </w:r>
          </w:p>
        </w:tc>
        <w:tc>
          <w:tcPr>
            <w:tcW w:w="1314" w:type="dxa"/>
            <w:gridSpan w:val="2"/>
            <w:shd w:val="clear" w:color="auto" w:fill="EAF1DD" w:themeFill="accent3" w:themeFillTint="33"/>
            <w:noWrap/>
            <w:hideMark/>
          </w:tcPr>
          <w:p w:rsidR="00030337" w:rsidRPr="00CF2A5D" w:rsidRDefault="00030337" w:rsidP="00030337">
            <w:pPr>
              <w:pStyle w:val="Heading4"/>
              <w:outlineLvl w:val="3"/>
              <w:rPr>
                <w:rFonts w:asciiTheme="minorHAnsi" w:hAnsiTheme="minorHAnsi" w:cstheme="minorHAnsi"/>
                <w:color w:val="auto"/>
                <w:sz w:val="22"/>
              </w:rPr>
            </w:pPr>
            <w:r w:rsidRPr="00CF2A5D">
              <w:rPr>
                <w:rFonts w:asciiTheme="minorHAnsi" w:hAnsiTheme="minorHAnsi" w:cstheme="minorHAnsi"/>
                <w:color w:val="auto"/>
                <w:sz w:val="22"/>
              </w:rPr>
              <w:t>462</w:t>
            </w:r>
          </w:p>
        </w:tc>
        <w:tc>
          <w:tcPr>
            <w:tcW w:w="1102" w:type="dxa"/>
            <w:shd w:val="clear" w:color="auto" w:fill="EAF1DD" w:themeFill="accent3" w:themeFillTint="33"/>
            <w:noWrap/>
            <w:hideMark/>
          </w:tcPr>
          <w:p w:rsidR="00030337" w:rsidRPr="00CF2A5D" w:rsidRDefault="00030337" w:rsidP="00030337">
            <w:pPr>
              <w:pStyle w:val="Heading4"/>
              <w:outlineLvl w:val="3"/>
              <w:rPr>
                <w:rFonts w:asciiTheme="minorHAnsi" w:hAnsiTheme="minorHAnsi" w:cstheme="minorHAnsi"/>
                <w:color w:val="auto"/>
                <w:sz w:val="22"/>
              </w:rPr>
            </w:pPr>
          </w:p>
        </w:tc>
      </w:tr>
      <w:tr w:rsidR="00030337" w:rsidRPr="00467C27" w:rsidTr="00030337">
        <w:trPr>
          <w:trHeight w:val="276"/>
        </w:trPr>
        <w:tc>
          <w:tcPr>
            <w:tcW w:w="9464" w:type="dxa"/>
            <w:shd w:val="clear" w:color="auto" w:fill="EAF1DD" w:themeFill="accent3" w:themeFillTint="33"/>
            <w:noWrap/>
            <w:hideMark/>
          </w:tcPr>
          <w:p w:rsidR="00030337" w:rsidRPr="00CF2A5D" w:rsidRDefault="0035697D" w:rsidP="00145BEF">
            <w:pPr>
              <w:pStyle w:val="Heading4"/>
              <w:outlineLvl w:val="3"/>
              <w:rPr>
                <w:rFonts w:asciiTheme="minorHAnsi" w:hAnsiTheme="minorHAnsi" w:cstheme="minorHAnsi"/>
                <w:color w:val="auto"/>
                <w:sz w:val="22"/>
              </w:rPr>
            </w:pPr>
            <w:r>
              <w:rPr>
                <w:rFonts w:asciiTheme="minorHAnsi" w:hAnsiTheme="minorHAnsi" w:cstheme="minorHAnsi"/>
                <w:color w:val="auto"/>
                <w:sz w:val="22"/>
              </w:rPr>
              <w:t xml:space="preserve">Total who have done </w:t>
            </w:r>
            <w:r w:rsidR="00E144CD">
              <w:rPr>
                <w:rFonts w:asciiTheme="minorHAnsi" w:hAnsiTheme="minorHAnsi" w:cstheme="minorHAnsi"/>
                <w:color w:val="auto"/>
                <w:sz w:val="22"/>
              </w:rPr>
              <w:t>“</w:t>
            </w:r>
            <w:r>
              <w:rPr>
                <w:rFonts w:asciiTheme="minorHAnsi" w:hAnsiTheme="minorHAnsi" w:cstheme="minorHAnsi"/>
                <w:color w:val="auto"/>
                <w:sz w:val="22"/>
              </w:rPr>
              <w:t>s</w:t>
            </w:r>
            <w:r w:rsidR="00847B9E">
              <w:rPr>
                <w:rFonts w:asciiTheme="minorHAnsi" w:hAnsiTheme="minorHAnsi" w:cstheme="minorHAnsi"/>
                <w:color w:val="auto"/>
                <w:sz w:val="22"/>
              </w:rPr>
              <w:t>omething</w:t>
            </w:r>
            <w:r w:rsidR="00E144CD">
              <w:rPr>
                <w:rFonts w:asciiTheme="minorHAnsi" w:hAnsiTheme="minorHAnsi" w:cstheme="minorHAnsi"/>
                <w:color w:val="auto"/>
                <w:sz w:val="22"/>
              </w:rPr>
              <w:t>”</w:t>
            </w:r>
            <w:r w:rsidR="00847B9E">
              <w:rPr>
                <w:rFonts w:asciiTheme="minorHAnsi" w:hAnsiTheme="minorHAnsi" w:cstheme="minorHAnsi"/>
                <w:color w:val="auto"/>
                <w:sz w:val="22"/>
              </w:rPr>
              <w:t xml:space="preserve"> (</w:t>
            </w:r>
            <w:r w:rsidR="00145BEF">
              <w:rPr>
                <w:rFonts w:asciiTheme="minorHAnsi" w:hAnsiTheme="minorHAnsi" w:cstheme="minorHAnsi"/>
                <w:color w:val="auto"/>
                <w:sz w:val="22"/>
              </w:rPr>
              <w:t xml:space="preserve">total </w:t>
            </w:r>
            <w:r w:rsidR="00847B9E">
              <w:rPr>
                <w:rFonts w:asciiTheme="minorHAnsi" w:hAnsiTheme="minorHAnsi" w:cstheme="minorHAnsi"/>
                <w:color w:val="auto"/>
                <w:sz w:val="22"/>
              </w:rPr>
              <w:t xml:space="preserve">sample </w:t>
            </w:r>
            <w:r w:rsidR="00145BEF">
              <w:rPr>
                <w:rFonts w:asciiTheme="minorHAnsi" w:hAnsiTheme="minorHAnsi" w:cstheme="minorHAnsi"/>
                <w:color w:val="auto"/>
                <w:sz w:val="22"/>
              </w:rPr>
              <w:t>minus</w:t>
            </w:r>
            <w:r w:rsidR="00145BEF" w:rsidRPr="00CF2A5D">
              <w:rPr>
                <w:rFonts w:asciiTheme="minorHAnsi" w:hAnsiTheme="minorHAnsi" w:cstheme="minorHAnsi"/>
                <w:color w:val="auto"/>
                <w:sz w:val="22"/>
              </w:rPr>
              <w:t xml:space="preserve"> </w:t>
            </w:r>
            <w:r w:rsidR="00030337" w:rsidRPr="00CF2A5D">
              <w:rPr>
                <w:rFonts w:asciiTheme="minorHAnsi" w:hAnsiTheme="minorHAnsi" w:cstheme="minorHAnsi"/>
                <w:color w:val="auto"/>
                <w:sz w:val="22"/>
              </w:rPr>
              <w:t>'none of these')</w:t>
            </w:r>
          </w:p>
        </w:tc>
        <w:tc>
          <w:tcPr>
            <w:tcW w:w="1314" w:type="dxa"/>
            <w:gridSpan w:val="2"/>
            <w:shd w:val="clear" w:color="auto" w:fill="EAF1DD" w:themeFill="accent3" w:themeFillTint="33"/>
            <w:noWrap/>
            <w:hideMark/>
          </w:tcPr>
          <w:p w:rsidR="00030337" w:rsidRPr="00CF2A5D" w:rsidRDefault="00030337" w:rsidP="00030337">
            <w:pPr>
              <w:pStyle w:val="Heading4"/>
              <w:outlineLvl w:val="3"/>
              <w:rPr>
                <w:rFonts w:asciiTheme="minorHAnsi" w:hAnsiTheme="minorHAnsi" w:cstheme="minorHAnsi"/>
                <w:color w:val="auto"/>
                <w:sz w:val="22"/>
              </w:rPr>
            </w:pPr>
            <w:r w:rsidRPr="00CF2A5D">
              <w:rPr>
                <w:rFonts w:asciiTheme="minorHAnsi" w:hAnsiTheme="minorHAnsi" w:cstheme="minorHAnsi"/>
                <w:color w:val="auto"/>
                <w:sz w:val="22"/>
              </w:rPr>
              <w:t>441</w:t>
            </w:r>
          </w:p>
        </w:tc>
        <w:tc>
          <w:tcPr>
            <w:tcW w:w="1102" w:type="dxa"/>
            <w:shd w:val="clear" w:color="auto" w:fill="EAF1DD" w:themeFill="accent3" w:themeFillTint="33"/>
            <w:noWrap/>
            <w:hideMark/>
          </w:tcPr>
          <w:p w:rsidR="00030337" w:rsidRPr="00CF2A5D" w:rsidRDefault="00030337" w:rsidP="00030337">
            <w:pPr>
              <w:pStyle w:val="Heading4"/>
              <w:outlineLvl w:val="3"/>
              <w:rPr>
                <w:rFonts w:asciiTheme="minorHAnsi" w:hAnsiTheme="minorHAnsi" w:cstheme="minorHAnsi"/>
                <w:color w:val="auto"/>
                <w:sz w:val="22"/>
              </w:rPr>
            </w:pPr>
            <w:r w:rsidRPr="00CF2A5D">
              <w:rPr>
                <w:rFonts w:asciiTheme="minorHAnsi" w:hAnsiTheme="minorHAnsi" w:cstheme="minorHAnsi"/>
                <w:color w:val="auto"/>
                <w:sz w:val="22"/>
              </w:rPr>
              <w:t>95%</w:t>
            </w:r>
          </w:p>
        </w:tc>
      </w:tr>
    </w:tbl>
    <w:p w:rsidR="00FD5E5C" w:rsidRPr="0009290F" w:rsidRDefault="0009290F" w:rsidP="0009290F">
      <w:pPr>
        <w:rPr>
          <w:rStyle w:val="00Text"/>
          <w:rFonts w:cstheme="minorHAnsi"/>
          <w:b w:val="0"/>
          <w:bCs w:val="0"/>
        </w:rPr>
        <w:sectPr w:rsidR="00FD5E5C" w:rsidRPr="0009290F" w:rsidSect="00435AB2">
          <w:type w:val="continuous"/>
          <w:pgSz w:w="16838" w:h="11906" w:orient="landscape"/>
          <w:pgMar w:top="993" w:right="1134" w:bottom="993" w:left="1440" w:header="426" w:footer="0" w:gutter="0"/>
          <w:cols w:space="708"/>
          <w:docGrid w:linePitch="360"/>
        </w:sectPr>
      </w:pPr>
      <w:r>
        <w:rPr>
          <w:rFonts w:cstheme="minorHAnsi"/>
        </w:rPr>
        <w:t xml:space="preserve">Source: RMS </w:t>
      </w:r>
    </w:p>
    <w:p w:rsidR="00FD5E5C" w:rsidRPr="00E27622" w:rsidRDefault="00FD5E5C" w:rsidP="00AA2122">
      <w:pPr>
        <w:pStyle w:val="Heading3"/>
        <w:rPr>
          <w:color w:val="00B050"/>
        </w:rPr>
      </w:pPr>
      <w:bookmarkStart w:id="190" w:name="3__Whanaketanga_ohanga_Economic_developm"/>
      <w:bookmarkStart w:id="191" w:name="_Toc19085825"/>
      <w:bookmarkEnd w:id="189"/>
      <w:bookmarkEnd w:id="190"/>
      <w:r w:rsidRPr="00E27622">
        <w:rPr>
          <w:color w:val="00B050"/>
        </w:rPr>
        <w:lastRenderedPageBreak/>
        <w:t>Makara vs Mother Nature</w:t>
      </w:r>
      <w:bookmarkEnd w:id="191"/>
    </w:p>
    <w:p w:rsidR="00FD5E5C" w:rsidRPr="00D5126A" w:rsidRDefault="00FD5E5C" w:rsidP="00FD5E5C">
      <w:pPr>
        <w:pStyle w:val="NormalWeb"/>
        <w:shd w:val="clear" w:color="auto" w:fill="FFFFFF"/>
        <w:spacing w:before="240" w:beforeAutospacing="0" w:after="240" w:afterAutospacing="0"/>
        <w:rPr>
          <w:rFonts w:ascii="Arial" w:hAnsi="Arial" w:cs="Arial"/>
          <w:color w:val="333333"/>
        </w:rPr>
      </w:pPr>
      <w:r w:rsidRPr="00D5126A">
        <w:rPr>
          <w:rFonts w:ascii="Arial" w:hAnsi="Arial" w:cs="Arial"/>
          <w:color w:val="333333"/>
        </w:rPr>
        <w:t xml:space="preserve">Perched </w:t>
      </w:r>
      <w:r w:rsidR="001D0755">
        <w:rPr>
          <w:rFonts w:ascii="Arial" w:hAnsi="Arial" w:cs="Arial"/>
          <w:color w:val="333333"/>
        </w:rPr>
        <w:t>at</w:t>
      </w:r>
      <w:r w:rsidR="001D0755" w:rsidRPr="00D5126A">
        <w:rPr>
          <w:rFonts w:ascii="Arial" w:hAnsi="Arial" w:cs="Arial"/>
          <w:color w:val="333333"/>
        </w:rPr>
        <w:t xml:space="preserve"> </w:t>
      </w:r>
      <w:r w:rsidRPr="00D5126A">
        <w:rPr>
          <w:rFonts w:ascii="Arial" w:hAnsi="Arial" w:cs="Arial"/>
          <w:color w:val="333333"/>
        </w:rPr>
        <w:t xml:space="preserve">the mouth of the Makara </w:t>
      </w:r>
      <w:r w:rsidR="00145BEF">
        <w:rPr>
          <w:rFonts w:ascii="Arial" w:hAnsi="Arial" w:cs="Arial"/>
          <w:color w:val="333333"/>
        </w:rPr>
        <w:t>S</w:t>
      </w:r>
      <w:r w:rsidR="00145BEF" w:rsidRPr="00D5126A">
        <w:rPr>
          <w:rFonts w:ascii="Arial" w:hAnsi="Arial" w:cs="Arial"/>
          <w:color w:val="333333"/>
        </w:rPr>
        <w:t>tream</w:t>
      </w:r>
      <w:r w:rsidRPr="00D5126A">
        <w:rPr>
          <w:rFonts w:ascii="Arial" w:hAnsi="Arial" w:cs="Arial"/>
          <w:color w:val="333333"/>
        </w:rPr>
        <w:t xml:space="preserve">, </w:t>
      </w:r>
      <w:r w:rsidR="00145BEF" w:rsidRPr="00D5126A">
        <w:rPr>
          <w:rFonts w:ascii="Arial" w:hAnsi="Arial" w:cs="Arial"/>
          <w:color w:val="333333"/>
        </w:rPr>
        <w:t xml:space="preserve">a half-hour drive from </w:t>
      </w:r>
      <w:r w:rsidR="001D0755">
        <w:rPr>
          <w:rFonts w:ascii="Arial" w:hAnsi="Arial" w:cs="Arial"/>
          <w:color w:val="333333"/>
        </w:rPr>
        <w:t xml:space="preserve">the </w:t>
      </w:r>
      <w:r w:rsidR="00145BEF" w:rsidRPr="00D5126A">
        <w:rPr>
          <w:rFonts w:ascii="Arial" w:hAnsi="Arial" w:cs="Arial"/>
          <w:color w:val="333333"/>
        </w:rPr>
        <w:t xml:space="preserve">central </w:t>
      </w:r>
      <w:r w:rsidR="001D0755">
        <w:rPr>
          <w:rFonts w:ascii="Arial" w:hAnsi="Arial" w:cs="Arial"/>
          <w:color w:val="333333"/>
        </w:rPr>
        <w:t>city,</w:t>
      </w:r>
      <w:r w:rsidR="00145BEF" w:rsidRPr="00D5126A">
        <w:rPr>
          <w:rFonts w:ascii="Arial" w:hAnsi="Arial" w:cs="Arial"/>
          <w:color w:val="333333"/>
        </w:rPr>
        <w:t xml:space="preserve"> </w:t>
      </w:r>
      <w:r w:rsidRPr="00D5126A">
        <w:rPr>
          <w:rFonts w:ascii="Arial" w:hAnsi="Arial" w:cs="Arial"/>
          <w:color w:val="333333"/>
        </w:rPr>
        <w:t>Makara Beach is a quiet coastal settlement.</w:t>
      </w:r>
    </w:p>
    <w:p w:rsidR="00FD5E5C" w:rsidRPr="00D5126A" w:rsidRDefault="00FD5E5C" w:rsidP="00FD5E5C">
      <w:pPr>
        <w:pStyle w:val="NormalWeb"/>
        <w:shd w:val="clear" w:color="auto" w:fill="FFFFFF"/>
        <w:spacing w:before="240" w:beforeAutospacing="0" w:after="240" w:afterAutospacing="0"/>
        <w:rPr>
          <w:rFonts w:ascii="Arial" w:hAnsi="Arial" w:cs="Arial"/>
          <w:color w:val="333333"/>
        </w:rPr>
      </w:pPr>
      <w:r w:rsidRPr="00D5126A">
        <w:rPr>
          <w:rFonts w:ascii="Arial" w:hAnsi="Arial" w:cs="Arial"/>
          <w:color w:val="333333"/>
        </w:rPr>
        <w:t>On sunny weekends and holidays it's a favourite spot for fishers, divers and walkers. It's not unusual to see 100 cars or more parked around the tiny village, which consists of 35 permanent homes.</w:t>
      </w:r>
    </w:p>
    <w:p w:rsidR="00FD5E5C" w:rsidRPr="00D5126A" w:rsidRDefault="00FD5E5C" w:rsidP="00FD5E5C">
      <w:pPr>
        <w:pStyle w:val="NormalWeb"/>
        <w:shd w:val="clear" w:color="auto" w:fill="FFFFFF"/>
        <w:spacing w:before="240" w:beforeAutospacing="0" w:after="240" w:afterAutospacing="0"/>
        <w:rPr>
          <w:rFonts w:ascii="Arial" w:hAnsi="Arial" w:cs="Arial"/>
          <w:color w:val="333333"/>
        </w:rPr>
      </w:pPr>
      <w:r w:rsidRPr="00D5126A">
        <w:rPr>
          <w:rFonts w:ascii="Arial" w:hAnsi="Arial" w:cs="Arial"/>
          <w:color w:val="333333"/>
        </w:rPr>
        <w:t>Positioned in a valley, exposed to high winds, and surrounded by water on three sides, the environment is wild, rugged and unpredictable. However</w:t>
      </w:r>
      <w:r w:rsidR="001D0755">
        <w:rPr>
          <w:rFonts w:ascii="Arial" w:hAnsi="Arial" w:cs="Arial"/>
          <w:color w:val="333333"/>
        </w:rPr>
        <w:t>,</w:t>
      </w:r>
      <w:r w:rsidRPr="00D5126A">
        <w:rPr>
          <w:rFonts w:ascii="Arial" w:hAnsi="Arial" w:cs="Arial"/>
          <w:color w:val="333333"/>
        </w:rPr>
        <w:t xml:space="preserve"> when the weather turns bad, Makara's greatest strength becomes its greatest weakness.</w:t>
      </w:r>
    </w:p>
    <w:p w:rsidR="00FD5E5C" w:rsidRPr="00D5126A" w:rsidRDefault="00FD5E5C" w:rsidP="00FD5E5C">
      <w:pPr>
        <w:pStyle w:val="NormalWeb"/>
        <w:shd w:val="clear" w:color="auto" w:fill="FFFFFF"/>
        <w:spacing w:before="240" w:beforeAutospacing="0" w:after="240" w:afterAutospacing="0"/>
        <w:rPr>
          <w:rFonts w:ascii="Arial" w:hAnsi="Arial" w:cs="Arial"/>
          <w:color w:val="333333"/>
        </w:rPr>
      </w:pPr>
      <w:r w:rsidRPr="00D5126A">
        <w:rPr>
          <w:rFonts w:ascii="Arial" w:hAnsi="Arial" w:cs="Arial"/>
          <w:color w:val="333333"/>
        </w:rPr>
        <w:t>In February 2018, the small community was hit hard by high winds, rain and a storm surge caused by ex-cyclone Gita. Overnight the sea poured into residents’ homes, battered down fences, and dumped debris throughout the village.</w:t>
      </w:r>
    </w:p>
    <w:p w:rsidR="00FD5E5C" w:rsidRPr="00D5126A" w:rsidRDefault="00FD5E5C" w:rsidP="00FD5E5C">
      <w:pPr>
        <w:pStyle w:val="NormalWeb"/>
        <w:shd w:val="clear" w:color="auto" w:fill="FFFFFF"/>
        <w:spacing w:before="240" w:beforeAutospacing="0" w:after="240" w:afterAutospacing="0"/>
        <w:rPr>
          <w:rFonts w:ascii="Arial" w:hAnsi="Arial" w:cs="Arial"/>
          <w:color w:val="333333"/>
        </w:rPr>
      </w:pPr>
      <w:r w:rsidRPr="00D5126A">
        <w:rPr>
          <w:rFonts w:ascii="Arial" w:hAnsi="Arial" w:cs="Arial"/>
          <w:color w:val="333333"/>
        </w:rPr>
        <w:t xml:space="preserve">In the aftermath the community realised that climate change made the possibility of a repeat experience highly likely. They knew they needed to adapt their community and village to make sure it lasts </w:t>
      </w:r>
      <w:r w:rsidR="009749D7" w:rsidRPr="00D5126A">
        <w:rPr>
          <w:rFonts w:ascii="Arial" w:hAnsi="Arial" w:cs="Arial"/>
          <w:color w:val="333333"/>
        </w:rPr>
        <w:t>into the future</w:t>
      </w:r>
      <w:r w:rsidRPr="00D5126A">
        <w:rPr>
          <w:rFonts w:ascii="Arial" w:hAnsi="Arial" w:cs="Arial"/>
          <w:color w:val="333333"/>
        </w:rPr>
        <w:t>.</w:t>
      </w:r>
    </w:p>
    <w:p w:rsidR="00FD5E5C" w:rsidRPr="00D5126A" w:rsidRDefault="00FD5E5C" w:rsidP="00FD5E5C">
      <w:pPr>
        <w:pStyle w:val="NormalWeb"/>
        <w:shd w:val="clear" w:color="auto" w:fill="FFFFFF"/>
        <w:spacing w:before="240" w:beforeAutospacing="0" w:after="240" w:afterAutospacing="0"/>
        <w:rPr>
          <w:rFonts w:ascii="Arial" w:hAnsi="Arial" w:cs="Arial"/>
          <w:color w:val="333333"/>
        </w:rPr>
      </w:pPr>
      <w:r w:rsidRPr="00D5126A">
        <w:rPr>
          <w:rFonts w:ascii="Arial" w:hAnsi="Arial" w:cs="Arial"/>
          <w:color w:val="333333"/>
        </w:rPr>
        <w:t xml:space="preserve">The community and Council formed The Makara Beach Project to develop </w:t>
      </w:r>
      <w:r w:rsidR="001D0755" w:rsidRPr="00D5126A">
        <w:rPr>
          <w:rFonts w:ascii="Arial" w:hAnsi="Arial" w:cs="Arial"/>
          <w:color w:val="333333"/>
        </w:rPr>
        <w:t>a recommendation</w:t>
      </w:r>
      <w:r w:rsidRPr="00D5126A">
        <w:rPr>
          <w:rFonts w:ascii="Arial" w:hAnsi="Arial" w:cs="Arial"/>
          <w:color w:val="333333"/>
        </w:rPr>
        <w:t xml:space="preserve"> for how they can prepare for and adapt to </w:t>
      </w:r>
      <w:r w:rsidR="001D0755" w:rsidRPr="00D5126A">
        <w:rPr>
          <w:rFonts w:ascii="Arial" w:hAnsi="Arial" w:cs="Arial"/>
          <w:color w:val="333333"/>
        </w:rPr>
        <w:t>sea</w:t>
      </w:r>
      <w:r w:rsidR="001D0755">
        <w:rPr>
          <w:rFonts w:ascii="Arial" w:hAnsi="Arial" w:cs="Arial"/>
          <w:color w:val="333333"/>
        </w:rPr>
        <w:t>-</w:t>
      </w:r>
      <w:r w:rsidRPr="00D5126A">
        <w:rPr>
          <w:rFonts w:ascii="Arial" w:hAnsi="Arial" w:cs="Arial"/>
          <w:color w:val="333333"/>
        </w:rPr>
        <w:t>level rise, storm surges and coastal erosion. The 17-person project team consisted of staff from Council, Department of Conservation, Meridian Energy, NIWA and Greater Wellington Regional Council, as well as Makara residents, visitors and the community board, scientists, engineers and mana whenua. For planning purposes, the project split Makara Beach into three hazard zones</w:t>
      </w:r>
      <w:r w:rsidR="001D0755">
        <w:rPr>
          <w:rFonts w:ascii="Arial" w:hAnsi="Arial" w:cs="Arial"/>
          <w:color w:val="333333"/>
        </w:rPr>
        <w:t>:</w:t>
      </w:r>
      <w:r w:rsidR="001D0755" w:rsidRPr="00D5126A">
        <w:rPr>
          <w:rFonts w:ascii="Arial" w:hAnsi="Arial" w:cs="Arial"/>
          <w:color w:val="333333"/>
        </w:rPr>
        <w:t xml:space="preserve"> </w:t>
      </w:r>
      <w:r w:rsidRPr="00D5126A">
        <w:rPr>
          <w:rFonts w:ascii="Arial" w:hAnsi="Arial" w:cs="Arial"/>
          <w:color w:val="333333"/>
        </w:rPr>
        <w:t>the estuary/lower river, the beach front, and the first part of the Makara Walkway</w:t>
      </w:r>
    </w:p>
    <w:p w:rsidR="00FD5E5C" w:rsidRPr="00D5126A" w:rsidRDefault="00FD5E5C" w:rsidP="00FD5E5C">
      <w:pPr>
        <w:spacing w:after="240" w:line="240" w:lineRule="auto"/>
        <w:rPr>
          <w:rFonts w:ascii="Arial" w:hAnsi="Arial" w:cs="Arial"/>
          <w:color w:val="333333"/>
        </w:rPr>
      </w:pPr>
      <w:r w:rsidRPr="00D5126A">
        <w:rPr>
          <w:rFonts w:ascii="Arial" w:eastAsia="Times New Roman" w:hAnsi="Arial" w:cs="Arial"/>
          <w:color w:val="333333"/>
          <w:szCs w:val="24"/>
          <w:lang w:eastAsia="en-NZ"/>
        </w:rPr>
        <w:t xml:space="preserve">Run over six months as a series of 2-3 hour workshops, consensus-driven community decision-making lay at the heart of the project.  They </w:t>
      </w:r>
      <w:r w:rsidRPr="00D5126A">
        <w:rPr>
          <w:rFonts w:ascii="Arial" w:hAnsi="Arial" w:cs="Arial"/>
          <w:color w:val="333333"/>
        </w:rPr>
        <w:t>heard from experts in climate science, hydrology, Māori history, ecology, insurance, engineering and economics.</w:t>
      </w:r>
    </w:p>
    <w:p w:rsidR="00FD5E5C" w:rsidRPr="00D5126A" w:rsidRDefault="00FD5E5C" w:rsidP="00FD5E5C">
      <w:pPr>
        <w:pStyle w:val="NormalWeb"/>
        <w:shd w:val="clear" w:color="auto" w:fill="FFFFFF"/>
        <w:spacing w:before="240" w:beforeAutospacing="0" w:after="240" w:afterAutospacing="0"/>
        <w:rPr>
          <w:rFonts w:ascii="Arial" w:hAnsi="Arial" w:cs="Arial"/>
          <w:color w:val="333333"/>
        </w:rPr>
      </w:pPr>
      <w:r w:rsidRPr="00D5126A">
        <w:rPr>
          <w:rFonts w:ascii="Arial" w:hAnsi="Arial" w:cs="Arial"/>
          <w:color w:val="333333"/>
        </w:rPr>
        <w:t>“This information, while heavy at times, gave everyone involved a good understanding of the type and frequency of the events that can be expected in the future,” said Programme Manager Jacqui Hastie.</w:t>
      </w:r>
    </w:p>
    <w:p w:rsidR="00FD5E5C" w:rsidRPr="00D5126A" w:rsidRDefault="00FD5E5C" w:rsidP="00FD5E5C">
      <w:pPr>
        <w:pStyle w:val="NormalWeb"/>
        <w:shd w:val="clear" w:color="auto" w:fill="FFFFFF"/>
        <w:spacing w:before="240" w:beforeAutospacing="0" w:after="240" w:afterAutospacing="0"/>
        <w:rPr>
          <w:rFonts w:ascii="Arial" w:hAnsi="Arial" w:cs="Arial"/>
          <w:color w:val="333333"/>
        </w:rPr>
      </w:pPr>
      <w:r w:rsidRPr="00D5126A">
        <w:rPr>
          <w:rFonts w:ascii="Arial" w:hAnsi="Arial" w:cs="Arial"/>
          <w:color w:val="333333"/>
        </w:rPr>
        <w:t>“We asked a lot of the team, they gave up a lot of their time, so it was important that we made the most of every meeting. We needed to be transparent with everything we discussed and agreed because essentially it needs to stand up to scrutiny for the next 100 years.”</w:t>
      </w:r>
    </w:p>
    <w:p w:rsidR="00FD5E5C" w:rsidRPr="00D5126A" w:rsidRDefault="00FD5E5C" w:rsidP="00FD5E5C">
      <w:pPr>
        <w:pStyle w:val="NormalWeb"/>
        <w:shd w:val="clear" w:color="auto" w:fill="FFFFFF"/>
        <w:spacing w:before="240" w:beforeAutospacing="0" w:after="240" w:afterAutospacing="0"/>
        <w:rPr>
          <w:rFonts w:ascii="Arial" w:hAnsi="Arial" w:cs="Arial"/>
          <w:color w:val="333333"/>
        </w:rPr>
      </w:pPr>
      <w:r w:rsidRPr="00D5126A">
        <w:rPr>
          <w:rFonts w:ascii="Arial" w:hAnsi="Arial" w:cs="Arial"/>
          <w:color w:val="333333"/>
        </w:rPr>
        <w:t>As well as the formal meetings, Council ran a community day for anyone interested, to drop in and see what had been going on.</w:t>
      </w:r>
    </w:p>
    <w:p w:rsidR="00FD5E5C" w:rsidRPr="00D5126A" w:rsidRDefault="00FD5E5C" w:rsidP="00FD5E5C">
      <w:pPr>
        <w:pStyle w:val="NormalWeb"/>
        <w:shd w:val="clear" w:color="auto" w:fill="FFFFFF"/>
        <w:spacing w:before="240" w:beforeAutospacing="0" w:after="240" w:afterAutospacing="0"/>
        <w:rPr>
          <w:rFonts w:ascii="Arial" w:hAnsi="Arial" w:cs="Arial"/>
          <w:color w:val="333333"/>
        </w:rPr>
      </w:pPr>
      <w:r w:rsidRPr="00D5126A">
        <w:rPr>
          <w:rFonts w:ascii="Arial" w:hAnsi="Arial" w:cs="Arial"/>
          <w:color w:val="333333"/>
        </w:rPr>
        <w:t xml:space="preserve">This was the opportunity for the team involved to share with the wider community what they had been learning over the past months. The hall was set up with story boards that explained the process, and </w:t>
      </w:r>
      <w:r w:rsidR="001D0755" w:rsidRPr="00D5126A">
        <w:rPr>
          <w:rFonts w:ascii="Arial" w:hAnsi="Arial" w:cs="Arial"/>
          <w:color w:val="333333"/>
        </w:rPr>
        <w:t>large</w:t>
      </w:r>
      <w:r w:rsidR="001D0755">
        <w:rPr>
          <w:rFonts w:ascii="Arial" w:hAnsi="Arial" w:cs="Arial"/>
          <w:color w:val="333333"/>
        </w:rPr>
        <w:t>-</w:t>
      </w:r>
      <w:r w:rsidRPr="00D5126A">
        <w:rPr>
          <w:rFonts w:ascii="Arial" w:hAnsi="Arial" w:cs="Arial"/>
          <w:color w:val="333333"/>
        </w:rPr>
        <w:t>scale photos and maps that illustrated the hazard zones and allowed people to discuss ideas about managing the risks.</w:t>
      </w:r>
    </w:p>
    <w:p w:rsidR="00FD5E5C" w:rsidRPr="00D5126A" w:rsidRDefault="00FD5E5C" w:rsidP="00FD5E5C">
      <w:pPr>
        <w:pStyle w:val="NormalWeb"/>
        <w:shd w:val="clear" w:color="auto" w:fill="FFFFFF"/>
        <w:spacing w:before="240" w:beforeAutospacing="0" w:after="240" w:afterAutospacing="0"/>
        <w:rPr>
          <w:rFonts w:ascii="Arial" w:hAnsi="Arial" w:cs="Arial"/>
          <w:color w:val="333333"/>
        </w:rPr>
      </w:pPr>
      <w:r w:rsidRPr="00D5126A">
        <w:rPr>
          <w:rFonts w:ascii="Arial" w:hAnsi="Arial" w:cs="Arial"/>
          <w:color w:val="333333"/>
        </w:rPr>
        <w:t>There was also an opportunity to experience sea-level rise using virtual reality devices and software; making the issue all the more real to the wider Makara community.</w:t>
      </w:r>
    </w:p>
    <w:p w:rsidR="00FD5E5C" w:rsidRPr="00D5126A" w:rsidRDefault="00FD5E5C" w:rsidP="00FD5E5C">
      <w:pPr>
        <w:pStyle w:val="NormalWeb"/>
        <w:shd w:val="clear" w:color="auto" w:fill="FFFFFF"/>
        <w:spacing w:before="240" w:beforeAutospacing="0" w:after="240" w:afterAutospacing="0"/>
        <w:rPr>
          <w:rFonts w:ascii="Arial" w:hAnsi="Arial" w:cs="Arial"/>
          <w:color w:val="333333"/>
        </w:rPr>
      </w:pPr>
      <w:r w:rsidRPr="00D5126A">
        <w:rPr>
          <w:rFonts w:ascii="Arial" w:hAnsi="Arial" w:cs="Arial"/>
          <w:color w:val="333333"/>
        </w:rPr>
        <w:t xml:space="preserve">The project team considered an extensive list of short, medium and </w:t>
      </w:r>
      <w:r w:rsidR="001D0755" w:rsidRPr="00D5126A">
        <w:rPr>
          <w:rFonts w:ascii="Arial" w:hAnsi="Arial" w:cs="Arial"/>
          <w:color w:val="333333"/>
        </w:rPr>
        <w:t>long</w:t>
      </w:r>
      <w:r w:rsidR="001D0755">
        <w:rPr>
          <w:rFonts w:ascii="Arial" w:hAnsi="Arial" w:cs="Arial"/>
          <w:color w:val="333333"/>
        </w:rPr>
        <w:t>-</w:t>
      </w:r>
      <w:r w:rsidRPr="00D5126A">
        <w:rPr>
          <w:rFonts w:ascii="Arial" w:hAnsi="Arial" w:cs="Arial"/>
          <w:color w:val="333333"/>
        </w:rPr>
        <w:t>term options against the environmental, cultural and social values of the wider community.</w:t>
      </w:r>
    </w:p>
    <w:p w:rsidR="00FD5E5C" w:rsidRPr="00D5126A" w:rsidRDefault="00FD5E5C" w:rsidP="00FD5E5C">
      <w:pPr>
        <w:pStyle w:val="NormalWeb"/>
        <w:shd w:val="clear" w:color="auto" w:fill="FFFFFF"/>
        <w:spacing w:before="240" w:beforeAutospacing="0" w:after="240" w:afterAutospacing="0"/>
        <w:rPr>
          <w:rFonts w:ascii="Arial" w:hAnsi="Arial" w:cs="Arial"/>
          <w:color w:val="333333"/>
        </w:rPr>
      </w:pPr>
      <w:r w:rsidRPr="00D5126A">
        <w:rPr>
          <w:rFonts w:ascii="Arial" w:hAnsi="Arial" w:cs="Arial"/>
          <w:color w:val="333333"/>
        </w:rPr>
        <w:t>The Makara community representatives then presented the recommendations to the Wellington City councillors.</w:t>
      </w:r>
    </w:p>
    <w:p w:rsidR="00FD5E5C" w:rsidRPr="00D5126A" w:rsidRDefault="00FD5E5C" w:rsidP="00FD5E5C">
      <w:pPr>
        <w:pStyle w:val="NormalWeb"/>
        <w:shd w:val="clear" w:color="auto" w:fill="FFFFFF"/>
        <w:spacing w:before="240" w:beforeAutospacing="0" w:after="240" w:afterAutospacing="0"/>
        <w:rPr>
          <w:rFonts w:ascii="Arial" w:hAnsi="Arial" w:cs="Arial"/>
          <w:color w:val="333333"/>
        </w:rPr>
      </w:pPr>
      <w:r w:rsidRPr="00D5126A">
        <w:rPr>
          <w:rFonts w:ascii="Arial" w:hAnsi="Arial" w:cs="Arial"/>
          <w:color w:val="333333"/>
        </w:rPr>
        <w:lastRenderedPageBreak/>
        <w:t xml:space="preserve">The final recommendations for the beach area are renourishment in the short and medium term, with a setback sea wall proposed in the 50 </w:t>
      </w:r>
      <w:r w:rsidR="001D0755">
        <w:rPr>
          <w:rFonts w:ascii="Arial" w:hAnsi="Arial" w:cs="Arial"/>
          <w:color w:val="333333"/>
        </w:rPr>
        <w:t>to</w:t>
      </w:r>
      <w:r w:rsidR="001D0755" w:rsidRPr="00D5126A">
        <w:rPr>
          <w:rFonts w:ascii="Arial" w:hAnsi="Arial" w:cs="Arial"/>
          <w:color w:val="333333"/>
        </w:rPr>
        <w:t xml:space="preserve"> </w:t>
      </w:r>
      <w:r w:rsidRPr="00D5126A">
        <w:rPr>
          <w:rFonts w:ascii="Arial" w:hAnsi="Arial" w:cs="Arial"/>
          <w:color w:val="333333"/>
        </w:rPr>
        <w:t>100</w:t>
      </w:r>
      <w:r w:rsidR="001D0755">
        <w:rPr>
          <w:rFonts w:ascii="Arial" w:hAnsi="Arial" w:cs="Arial"/>
          <w:color w:val="333333"/>
        </w:rPr>
        <w:t>-</w:t>
      </w:r>
      <w:r w:rsidRPr="00D5126A">
        <w:rPr>
          <w:rFonts w:ascii="Arial" w:hAnsi="Arial" w:cs="Arial"/>
          <w:color w:val="333333"/>
        </w:rPr>
        <w:t>year timeframe if necessary.</w:t>
      </w:r>
    </w:p>
    <w:p w:rsidR="00FD5E5C" w:rsidRPr="00D5126A" w:rsidRDefault="00FD5E5C" w:rsidP="00FD5E5C">
      <w:pPr>
        <w:pStyle w:val="NormalWeb"/>
        <w:shd w:val="clear" w:color="auto" w:fill="FFFFFF"/>
        <w:spacing w:before="240" w:beforeAutospacing="0" w:after="240" w:afterAutospacing="0"/>
        <w:rPr>
          <w:rFonts w:ascii="Arial" w:hAnsi="Arial" w:cs="Arial"/>
          <w:color w:val="333333"/>
        </w:rPr>
      </w:pPr>
      <w:r w:rsidRPr="00D5126A">
        <w:rPr>
          <w:rFonts w:ascii="Arial" w:hAnsi="Arial" w:cs="Arial"/>
          <w:color w:val="333333"/>
        </w:rPr>
        <w:t>The estuary will benefit from having the river mouth opened to allow for better flow</w:t>
      </w:r>
      <w:r w:rsidR="001D0755">
        <w:rPr>
          <w:rFonts w:ascii="Arial" w:hAnsi="Arial" w:cs="Arial"/>
          <w:color w:val="333333"/>
        </w:rPr>
        <w:t>,</w:t>
      </w:r>
      <w:r w:rsidRPr="00D5126A">
        <w:rPr>
          <w:rFonts w:ascii="Arial" w:hAnsi="Arial" w:cs="Arial"/>
          <w:color w:val="333333"/>
        </w:rPr>
        <w:t xml:space="preserve"> and in the 30 </w:t>
      </w:r>
      <w:r w:rsidR="001D0755">
        <w:rPr>
          <w:rFonts w:ascii="Arial" w:hAnsi="Arial" w:cs="Arial"/>
          <w:color w:val="333333"/>
        </w:rPr>
        <w:t xml:space="preserve">to </w:t>
      </w:r>
      <w:r w:rsidRPr="00D5126A">
        <w:rPr>
          <w:rFonts w:ascii="Arial" w:hAnsi="Arial" w:cs="Arial"/>
          <w:color w:val="333333"/>
        </w:rPr>
        <w:t>100</w:t>
      </w:r>
      <w:r w:rsidR="001D0755">
        <w:rPr>
          <w:rFonts w:ascii="Arial" w:hAnsi="Arial" w:cs="Arial"/>
          <w:color w:val="333333"/>
        </w:rPr>
        <w:t>-</w:t>
      </w:r>
      <w:r w:rsidRPr="00D5126A">
        <w:rPr>
          <w:rFonts w:ascii="Arial" w:hAnsi="Arial" w:cs="Arial"/>
          <w:color w:val="333333"/>
        </w:rPr>
        <w:t xml:space="preserve">year timeframe some reinforcing of the sides of the estuary will likely </w:t>
      </w:r>
      <w:proofErr w:type="gramStart"/>
      <w:r w:rsidRPr="00D5126A">
        <w:rPr>
          <w:rFonts w:ascii="Arial" w:hAnsi="Arial" w:cs="Arial"/>
          <w:color w:val="333333"/>
        </w:rPr>
        <w:t>be</w:t>
      </w:r>
      <w:proofErr w:type="gramEnd"/>
      <w:r w:rsidRPr="00D5126A">
        <w:rPr>
          <w:rFonts w:ascii="Arial" w:hAnsi="Arial" w:cs="Arial"/>
          <w:color w:val="333333"/>
        </w:rPr>
        <w:t xml:space="preserve"> needed and potentially increased.</w:t>
      </w:r>
    </w:p>
    <w:p w:rsidR="00FD5E5C" w:rsidRPr="00D5126A" w:rsidRDefault="00FD5E5C" w:rsidP="00FD5E5C">
      <w:pPr>
        <w:pStyle w:val="NormalWeb"/>
        <w:shd w:val="clear" w:color="auto" w:fill="FFFFFF"/>
        <w:spacing w:before="240" w:beforeAutospacing="0" w:after="240" w:afterAutospacing="0"/>
        <w:rPr>
          <w:rFonts w:ascii="Arial" w:hAnsi="Arial" w:cs="Arial"/>
          <w:color w:val="333333"/>
        </w:rPr>
      </w:pPr>
      <w:r w:rsidRPr="00D5126A">
        <w:rPr>
          <w:rFonts w:ascii="Arial" w:hAnsi="Arial" w:cs="Arial"/>
          <w:color w:val="333333"/>
        </w:rPr>
        <w:t>Some minor works are also already underway to help with the maintenance of the walkway track, but the understanding is erosion of this part of the track is inevitable.</w:t>
      </w:r>
    </w:p>
    <w:p w:rsidR="00FD5E5C" w:rsidRPr="00D5126A" w:rsidRDefault="00FD5E5C" w:rsidP="00FD5E5C">
      <w:pPr>
        <w:rPr>
          <w:rFonts w:ascii="Arial" w:hAnsi="Arial" w:cs="Arial"/>
        </w:rPr>
      </w:pPr>
    </w:p>
    <w:p w:rsidR="00406EF4" w:rsidRPr="00D5126A" w:rsidRDefault="00406EF4" w:rsidP="00406EF4">
      <w:pPr>
        <w:pStyle w:val="NormalWeb"/>
        <w:shd w:val="clear" w:color="auto" w:fill="FFFFFF"/>
        <w:spacing w:before="240" w:beforeAutospacing="0" w:after="240" w:afterAutospacing="0"/>
        <w:rPr>
          <w:rFonts w:ascii="Arial" w:hAnsi="Arial" w:cs="Arial"/>
          <w:color w:val="333333"/>
        </w:rPr>
      </w:pPr>
      <w:r w:rsidRPr="00D5126A">
        <w:rPr>
          <w:rFonts w:ascii="Arial" w:hAnsi="Arial" w:cs="Arial"/>
          <w:color w:val="333333"/>
        </w:rPr>
        <w:t xml:space="preserve"> </w:t>
      </w:r>
    </w:p>
    <w:p w:rsidR="007A7029" w:rsidRPr="00D5126A" w:rsidRDefault="007A7029" w:rsidP="007A7029">
      <w:pPr>
        <w:pStyle w:val="center"/>
        <w:shd w:val="clear" w:color="auto" w:fill="FFFFFF"/>
        <w:spacing w:before="0" w:beforeAutospacing="0"/>
        <w:jc w:val="center"/>
        <w:rPr>
          <w:rFonts w:ascii="Verdana" w:hAnsi="Verdana"/>
          <w:color w:val="333333"/>
          <w:sz w:val="18"/>
          <w:szCs w:val="18"/>
        </w:rPr>
      </w:pPr>
    </w:p>
    <w:p w:rsidR="00ED682C" w:rsidRPr="00D5126A" w:rsidRDefault="00ED682C">
      <w:pPr>
        <w:rPr>
          <w:b/>
          <w:bCs/>
          <w:sz w:val="34"/>
          <w:szCs w:val="34"/>
        </w:rPr>
      </w:pPr>
      <w:r w:rsidRPr="00D5126A">
        <w:br w:type="page"/>
      </w:r>
    </w:p>
    <w:p w:rsidR="00D56DAD" w:rsidRPr="0009290F" w:rsidRDefault="00D56DAD" w:rsidP="00D56DAD">
      <w:pPr>
        <w:pStyle w:val="Heading2"/>
        <w:rPr>
          <w:color w:val="FF9900"/>
        </w:rPr>
      </w:pPr>
      <w:bookmarkStart w:id="192" w:name="_Toc15571239"/>
      <w:bookmarkStart w:id="193" w:name="_Toc19085826"/>
      <w:bookmarkStart w:id="194" w:name="_Toc23758605"/>
      <w:r w:rsidRPr="0009290F">
        <w:rPr>
          <w:color w:val="FF9900"/>
        </w:rPr>
        <w:lastRenderedPageBreak/>
        <w:t xml:space="preserve">3 Whanaketanga ōhanga </w:t>
      </w:r>
      <w:bookmarkStart w:id="195" w:name="_Toc528234302"/>
      <w:bookmarkStart w:id="196" w:name="_Toc14178548"/>
      <w:r w:rsidRPr="0009290F">
        <w:rPr>
          <w:color w:val="FF9900"/>
        </w:rPr>
        <w:t>- Economic development</w:t>
      </w:r>
      <w:bookmarkEnd w:id="192"/>
      <w:bookmarkEnd w:id="193"/>
      <w:bookmarkEnd w:id="194"/>
      <w:bookmarkEnd w:id="195"/>
      <w:bookmarkEnd w:id="196"/>
    </w:p>
    <w:p w:rsidR="00D56DAD" w:rsidRPr="00D5126A" w:rsidRDefault="00D56DAD" w:rsidP="00D56DAD">
      <w:pPr>
        <w:pStyle w:val="Para003"/>
        <w:spacing w:before="240" w:line="240" w:lineRule="auto"/>
        <w:rPr>
          <w:rFonts w:ascii="Arial" w:hAnsi="Arial" w:cs="Arial"/>
        </w:rPr>
      </w:pPr>
      <w:r w:rsidRPr="00D5126A">
        <w:rPr>
          <w:rFonts w:ascii="Arial" w:hAnsi="Arial" w:cs="Arial"/>
        </w:rPr>
        <w:t>This chapter explains what we did and how we performed in our Economic portfolio of activities. This includes city promotions and business support.</w:t>
      </w:r>
    </w:p>
    <w:p w:rsidR="00CF44E9" w:rsidRPr="0009290F" w:rsidRDefault="00CF44E9" w:rsidP="00CF44E9">
      <w:pPr>
        <w:pStyle w:val="ListParagraph"/>
        <w:numPr>
          <w:ilvl w:val="0"/>
          <w:numId w:val="6"/>
        </w:numPr>
        <w:spacing w:before="240"/>
        <w:rPr>
          <w:rFonts w:ascii="Arial" w:eastAsia="Times New Roman" w:hAnsi="Arial"/>
        </w:rPr>
      </w:pPr>
      <w:r w:rsidRPr="0009290F">
        <w:rPr>
          <w:rFonts w:ascii="Arial" w:eastAsia="Times New Roman" w:hAnsi="Arial"/>
        </w:rPr>
        <w:t>$98,895 GDP per capita</w:t>
      </w:r>
    </w:p>
    <w:p w:rsidR="00CF44E9" w:rsidRPr="0009290F" w:rsidRDefault="00CF44E9" w:rsidP="00CF44E9">
      <w:pPr>
        <w:pStyle w:val="ListParagraph"/>
        <w:numPr>
          <w:ilvl w:val="0"/>
          <w:numId w:val="6"/>
        </w:numPr>
        <w:spacing w:before="240"/>
        <w:rPr>
          <w:rFonts w:ascii="Arial" w:eastAsia="Times New Roman" w:hAnsi="Arial"/>
        </w:rPr>
      </w:pPr>
      <w:r w:rsidRPr="0009290F">
        <w:rPr>
          <w:rFonts w:ascii="Arial" w:eastAsia="Times New Roman" w:hAnsi="Arial"/>
        </w:rPr>
        <w:t>207 Conferences held in Wellington</w:t>
      </w:r>
    </w:p>
    <w:p w:rsidR="00CF44E9" w:rsidRPr="0009290F" w:rsidRDefault="00CF44E9" w:rsidP="00CF44E9">
      <w:pPr>
        <w:pStyle w:val="ListParagraph"/>
        <w:numPr>
          <w:ilvl w:val="0"/>
          <w:numId w:val="6"/>
        </w:numPr>
        <w:spacing w:before="240"/>
        <w:rPr>
          <w:rFonts w:ascii="Arial" w:eastAsia="Times New Roman" w:hAnsi="Arial"/>
        </w:rPr>
      </w:pPr>
      <w:r w:rsidRPr="0009290F">
        <w:rPr>
          <w:rFonts w:ascii="Arial" w:eastAsia="Times New Roman" w:hAnsi="Arial"/>
        </w:rPr>
        <w:t>46,474 record crowd at Eminem concert</w:t>
      </w:r>
    </w:p>
    <w:p w:rsidR="00CF44E9" w:rsidRPr="0009290F" w:rsidRDefault="00CF44E9" w:rsidP="00CF44E9">
      <w:pPr>
        <w:pStyle w:val="ListParagraph"/>
        <w:numPr>
          <w:ilvl w:val="0"/>
          <w:numId w:val="6"/>
        </w:numPr>
        <w:spacing w:before="240"/>
        <w:rPr>
          <w:rFonts w:ascii="Arial" w:eastAsia="Times New Roman" w:hAnsi="Arial"/>
        </w:rPr>
      </w:pPr>
      <w:r w:rsidRPr="0009290F">
        <w:rPr>
          <w:rFonts w:ascii="Arial" w:eastAsia="Times New Roman" w:hAnsi="Arial"/>
        </w:rPr>
        <w:t>304 businesses represented across five Business Improvement Districts</w:t>
      </w:r>
    </w:p>
    <w:p w:rsidR="00CF44E9" w:rsidRPr="0009290F" w:rsidRDefault="00CF44E9" w:rsidP="00CF44E9">
      <w:pPr>
        <w:pStyle w:val="ListParagraph"/>
        <w:numPr>
          <w:ilvl w:val="0"/>
          <w:numId w:val="6"/>
        </w:numPr>
        <w:spacing w:before="240"/>
        <w:rPr>
          <w:rFonts w:ascii="Arial" w:eastAsia="Times New Roman" w:hAnsi="Arial"/>
        </w:rPr>
      </w:pPr>
      <w:r w:rsidRPr="0009290F">
        <w:rPr>
          <w:rFonts w:ascii="Arial" w:eastAsia="Times New Roman" w:hAnsi="Arial"/>
        </w:rPr>
        <w:t>2</w:t>
      </w:r>
      <w:r w:rsidR="004146BD" w:rsidRPr="0009290F">
        <w:rPr>
          <w:rFonts w:ascii="Arial" w:eastAsia="Times New Roman" w:hAnsi="Arial"/>
        </w:rPr>
        <w:t>,</w:t>
      </w:r>
      <w:r w:rsidRPr="0009290F">
        <w:rPr>
          <w:rFonts w:ascii="Arial" w:eastAsia="Times New Roman" w:hAnsi="Arial"/>
        </w:rPr>
        <w:t>201 people - average hourly foot traffic on Lambton Quay</w:t>
      </w:r>
    </w:p>
    <w:p w:rsidR="00D56DAD" w:rsidRPr="0009290F" w:rsidRDefault="00CF44E9" w:rsidP="00CF44E9">
      <w:pPr>
        <w:pStyle w:val="ListParagraph"/>
        <w:numPr>
          <w:ilvl w:val="0"/>
          <w:numId w:val="6"/>
        </w:numPr>
        <w:spacing w:before="240"/>
        <w:rPr>
          <w:rFonts w:ascii="Arial" w:eastAsia="Times New Roman" w:hAnsi="Arial"/>
        </w:rPr>
      </w:pPr>
      <w:r w:rsidRPr="0009290F">
        <w:rPr>
          <w:rFonts w:ascii="Arial" w:eastAsia="Times New Roman" w:hAnsi="Arial"/>
        </w:rPr>
        <w:t>$1,996,000 given from City Growth Fund</w:t>
      </w:r>
    </w:p>
    <w:p w:rsidR="00D56DAD" w:rsidRPr="0009290F" w:rsidRDefault="00D56DAD" w:rsidP="00AA2122">
      <w:pPr>
        <w:pStyle w:val="Heading3"/>
        <w:rPr>
          <w:color w:val="FF9900"/>
        </w:rPr>
      </w:pPr>
      <w:bookmarkStart w:id="197" w:name="_Toc19085827"/>
      <w:r w:rsidRPr="0009290F">
        <w:rPr>
          <w:color w:val="FF9900"/>
        </w:rPr>
        <w:t>Introduction</w:t>
      </w:r>
      <w:bookmarkEnd w:id="197"/>
    </w:p>
    <w:p w:rsidR="00D56DAD" w:rsidRPr="00D5126A" w:rsidRDefault="00D56DAD" w:rsidP="00D56DAD">
      <w:pPr>
        <w:pStyle w:val="Para003"/>
        <w:spacing w:before="240" w:line="240" w:lineRule="auto"/>
        <w:rPr>
          <w:rFonts w:ascii="Arial" w:hAnsi="Arial" w:cs="Arial"/>
        </w:rPr>
      </w:pPr>
      <w:r w:rsidRPr="00D5126A">
        <w:rPr>
          <w:rFonts w:ascii="Arial" w:hAnsi="Arial" w:cs="Arial"/>
        </w:rPr>
        <w:t>Wellington’s economic growth is supported by high-quality events and the promotion of tourism, attracting and supporting business activities, and exploring major economic development initiatives. Economic growth means Wellingtonians can continue to enjoy a high quality of life.</w:t>
      </w:r>
    </w:p>
    <w:p w:rsidR="00D56DAD" w:rsidRPr="00D5126A" w:rsidRDefault="00D56DAD" w:rsidP="00D56DAD">
      <w:pPr>
        <w:pStyle w:val="Para003"/>
        <w:spacing w:before="240" w:line="240" w:lineRule="auto"/>
        <w:rPr>
          <w:rFonts w:ascii="Arial" w:hAnsi="Arial" w:cs="Arial"/>
        </w:rPr>
      </w:pPr>
      <w:r w:rsidRPr="00D5126A">
        <w:rPr>
          <w:rFonts w:ascii="Arial" w:hAnsi="Arial" w:cs="Arial"/>
        </w:rPr>
        <w:t>In the past 12 months, through the support of Council, the city hosted several cultural and sports events and attracted growing numbers of visitors, particularly from overseas. Of particular note was the Eminem ‘Rapture’ concert held at Westpac Stadium, which broke attendance records with 46,474 fans and 56</w:t>
      </w:r>
      <w:r w:rsidR="00FA5A13">
        <w:rPr>
          <w:rFonts w:ascii="Arial" w:hAnsi="Arial" w:cs="Arial"/>
        </w:rPr>
        <w:t xml:space="preserve"> percent</w:t>
      </w:r>
      <w:r w:rsidR="00FA5A13" w:rsidRPr="00D5126A">
        <w:rPr>
          <w:rFonts w:ascii="Arial" w:hAnsi="Arial" w:cs="Arial"/>
        </w:rPr>
        <w:t xml:space="preserve"> </w:t>
      </w:r>
      <w:r w:rsidRPr="00D5126A">
        <w:rPr>
          <w:rFonts w:ascii="Arial" w:hAnsi="Arial" w:cs="Arial"/>
        </w:rPr>
        <w:t>tickets sold to out-of-region purchasers. Such events deliver significant economic and reputational benefit to the city.</w:t>
      </w:r>
    </w:p>
    <w:p w:rsidR="00D56DAD" w:rsidRPr="00D5126A" w:rsidRDefault="00D56DAD" w:rsidP="00D56DAD">
      <w:pPr>
        <w:pStyle w:val="Para003"/>
        <w:spacing w:before="240" w:line="240" w:lineRule="auto"/>
        <w:rPr>
          <w:rFonts w:ascii="Arial" w:hAnsi="Arial" w:cs="Arial"/>
        </w:rPr>
      </w:pPr>
      <w:r w:rsidRPr="00D5126A">
        <w:rPr>
          <w:rFonts w:ascii="Arial" w:hAnsi="Arial" w:cs="Arial"/>
        </w:rPr>
        <w:t xml:space="preserve">In addition to delivering a strong events programme, </w:t>
      </w:r>
      <w:r w:rsidR="00196932" w:rsidRPr="00D5126A">
        <w:rPr>
          <w:rFonts w:ascii="Arial" w:hAnsi="Arial" w:cs="Arial"/>
        </w:rPr>
        <w:t xml:space="preserve">the </w:t>
      </w:r>
      <w:r w:rsidRPr="00D5126A">
        <w:rPr>
          <w:rFonts w:ascii="Arial" w:hAnsi="Arial" w:cs="Arial"/>
        </w:rPr>
        <w:t>W</w:t>
      </w:r>
      <w:r w:rsidR="00196932" w:rsidRPr="00D5126A">
        <w:rPr>
          <w:rFonts w:ascii="Arial" w:hAnsi="Arial" w:cs="Arial"/>
        </w:rPr>
        <w:t xml:space="preserve">ellington </w:t>
      </w:r>
      <w:r w:rsidRPr="00D5126A">
        <w:rPr>
          <w:rFonts w:ascii="Arial" w:hAnsi="Arial" w:cs="Arial"/>
        </w:rPr>
        <w:t>R</w:t>
      </w:r>
      <w:r w:rsidR="00196932" w:rsidRPr="00D5126A">
        <w:rPr>
          <w:rFonts w:ascii="Arial" w:hAnsi="Arial" w:cs="Arial"/>
        </w:rPr>
        <w:t xml:space="preserve">egional </w:t>
      </w:r>
      <w:r w:rsidRPr="00D5126A">
        <w:rPr>
          <w:rFonts w:ascii="Arial" w:hAnsi="Arial" w:cs="Arial"/>
        </w:rPr>
        <w:t>E</w:t>
      </w:r>
      <w:r w:rsidR="00196932" w:rsidRPr="00D5126A">
        <w:rPr>
          <w:rFonts w:ascii="Arial" w:hAnsi="Arial" w:cs="Arial"/>
        </w:rPr>
        <w:t xml:space="preserve">conomic </w:t>
      </w:r>
      <w:r w:rsidRPr="00D5126A">
        <w:rPr>
          <w:rFonts w:ascii="Arial" w:hAnsi="Arial" w:cs="Arial"/>
        </w:rPr>
        <w:t>D</w:t>
      </w:r>
      <w:r w:rsidR="00196932" w:rsidRPr="00D5126A">
        <w:rPr>
          <w:rFonts w:ascii="Arial" w:hAnsi="Arial" w:cs="Arial"/>
        </w:rPr>
        <w:t xml:space="preserve">evelopment </w:t>
      </w:r>
      <w:r w:rsidRPr="00D5126A">
        <w:rPr>
          <w:rFonts w:ascii="Arial" w:hAnsi="Arial" w:cs="Arial"/>
        </w:rPr>
        <w:t>A</w:t>
      </w:r>
      <w:r w:rsidR="00196932" w:rsidRPr="00D5126A">
        <w:rPr>
          <w:rFonts w:ascii="Arial" w:hAnsi="Arial" w:cs="Arial"/>
        </w:rPr>
        <w:t>gency</w:t>
      </w:r>
      <w:r w:rsidRPr="00D5126A">
        <w:rPr>
          <w:rFonts w:ascii="Arial" w:hAnsi="Arial" w:cs="Arial"/>
        </w:rPr>
        <w:t>, which trades as WellingtonNZ, also continued to market Wellington as a destination, support Wellington businesses and organisations</w:t>
      </w:r>
      <w:r w:rsidR="00FA5A13">
        <w:rPr>
          <w:rFonts w:ascii="Arial" w:hAnsi="Arial" w:cs="Arial"/>
        </w:rPr>
        <w:t>.</w:t>
      </w:r>
      <w:r w:rsidRPr="00D5126A">
        <w:rPr>
          <w:rFonts w:ascii="Arial" w:hAnsi="Arial" w:cs="Arial"/>
        </w:rPr>
        <w:t xml:space="preserve"> </w:t>
      </w:r>
      <w:r w:rsidR="00FA5A13">
        <w:rPr>
          <w:rFonts w:ascii="Arial" w:hAnsi="Arial" w:cs="Arial"/>
        </w:rPr>
        <w:t>I</w:t>
      </w:r>
      <w:r w:rsidRPr="00D5126A">
        <w:rPr>
          <w:rFonts w:ascii="Arial" w:hAnsi="Arial" w:cs="Arial"/>
        </w:rPr>
        <w:t>ts subsidiary Creative HQ actively promoted and supported local entrepreneurship and innovation with accelerator and incubation programmes.</w:t>
      </w:r>
    </w:p>
    <w:p w:rsidR="00D56DAD" w:rsidRPr="00D5126A" w:rsidRDefault="00D56DAD" w:rsidP="00D56DAD">
      <w:pPr>
        <w:pStyle w:val="Para003"/>
        <w:spacing w:before="240" w:line="240" w:lineRule="auto"/>
        <w:rPr>
          <w:rFonts w:ascii="Arial" w:hAnsi="Arial" w:cs="Arial"/>
        </w:rPr>
      </w:pPr>
      <w:r w:rsidRPr="00D5126A">
        <w:rPr>
          <w:rFonts w:ascii="Arial" w:hAnsi="Arial" w:cs="Arial"/>
        </w:rPr>
        <w:t xml:space="preserve">Visitor spending exceeded $2.7 billion for the first time, aided by WellingtonNZ’s strong visitor marketing campaigns and partnerships with other key players in the culture, transport and hospitality sectors. </w:t>
      </w:r>
    </w:p>
    <w:p w:rsidR="00D56DAD" w:rsidRPr="00D5126A" w:rsidRDefault="00D56DAD" w:rsidP="00D56DAD">
      <w:pPr>
        <w:pStyle w:val="Para003"/>
        <w:spacing w:before="240" w:line="240" w:lineRule="auto"/>
        <w:rPr>
          <w:rFonts w:ascii="Arial" w:hAnsi="Arial" w:cs="Arial"/>
        </w:rPr>
      </w:pPr>
      <w:r w:rsidRPr="00D5126A">
        <w:rPr>
          <w:rFonts w:ascii="Arial" w:hAnsi="Arial" w:cs="Arial"/>
        </w:rPr>
        <w:t>In August 2018</w:t>
      </w:r>
      <w:r w:rsidR="00FA5A13">
        <w:rPr>
          <w:rFonts w:ascii="Arial" w:hAnsi="Arial" w:cs="Arial"/>
        </w:rPr>
        <w:t>,</w:t>
      </w:r>
      <w:r w:rsidRPr="00D5126A">
        <w:rPr>
          <w:rFonts w:ascii="Arial" w:hAnsi="Arial" w:cs="Arial"/>
        </w:rPr>
        <w:t xml:space="preserve"> Council </w:t>
      </w:r>
      <w:r w:rsidR="00CF44E9" w:rsidRPr="00D5126A">
        <w:rPr>
          <w:rFonts w:ascii="Arial" w:hAnsi="Arial" w:cs="Arial"/>
        </w:rPr>
        <w:t xml:space="preserve">and </w:t>
      </w:r>
      <w:r w:rsidRPr="00D5126A">
        <w:rPr>
          <w:rFonts w:ascii="Arial" w:hAnsi="Arial" w:cs="Arial"/>
        </w:rPr>
        <w:t xml:space="preserve">The Movie Museum Limited (TMML) </w:t>
      </w:r>
      <w:r w:rsidR="00CF44E9" w:rsidRPr="00D5126A">
        <w:rPr>
          <w:rFonts w:ascii="Arial" w:hAnsi="Arial" w:cs="Arial"/>
        </w:rPr>
        <w:t xml:space="preserve">mutually agreed to part ways </w:t>
      </w:r>
      <w:r w:rsidRPr="00D5126A">
        <w:rPr>
          <w:rFonts w:ascii="Arial" w:hAnsi="Arial" w:cs="Arial"/>
        </w:rPr>
        <w:t>on a joint project to build a Convention Centre which incorporated a Movie Museum. In December 2018</w:t>
      </w:r>
      <w:r w:rsidR="00FA5A13">
        <w:rPr>
          <w:rFonts w:ascii="Arial" w:hAnsi="Arial" w:cs="Arial"/>
        </w:rPr>
        <w:t>,</w:t>
      </w:r>
      <w:r w:rsidRPr="00D5126A">
        <w:rPr>
          <w:rFonts w:ascii="Arial" w:hAnsi="Arial" w:cs="Arial"/>
        </w:rPr>
        <w:t xml:space="preserve"> Council agreed to proceed with the construction of the Convention and Exhibition </w:t>
      </w:r>
      <w:r w:rsidR="00FA5A13">
        <w:rPr>
          <w:rFonts w:ascii="Arial" w:hAnsi="Arial" w:cs="Arial"/>
        </w:rPr>
        <w:t>C</w:t>
      </w:r>
      <w:r w:rsidR="00FA5A13" w:rsidRPr="00D5126A">
        <w:rPr>
          <w:rFonts w:ascii="Arial" w:hAnsi="Arial" w:cs="Arial"/>
        </w:rPr>
        <w:t xml:space="preserve">entre </w:t>
      </w:r>
      <w:r w:rsidRPr="00D5126A">
        <w:rPr>
          <w:rFonts w:ascii="Arial" w:hAnsi="Arial" w:cs="Arial"/>
        </w:rPr>
        <w:t>at a cost of $157.</w:t>
      </w:r>
      <w:r w:rsidR="00FA5A13" w:rsidRPr="00D5126A">
        <w:rPr>
          <w:rFonts w:ascii="Arial" w:hAnsi="Arial" w:cs="Arial"/>
        </w:rPr>
        <w:t>75</w:t>
      </w:r>
      <w:r w:rsidR="00FA5A13">
        <w:rPr>
          <w:rFonts w:ascii="Arial" w:hAnsi="Arial" w:cs="Arial"/>
        </w:rPr>
        <w:t xml:space="preserve"> million</w:t>
      </w:r>
      <w:r w:rsidRPr="00D5126A">
        <w:rPr>
          <w:rFonts w:ascii="Arial" w:hAnsi="Arial" w:cs="Arial"/>
        </w:rPr>
        <w:t xml:space="preserve">. We want Wellington to be a city that can host </w:t>
      </w:r>
      <w:r w:rsidR="00FA5A13" w:rsidRPr="00D5126A">
        <w:rPr>
          <w:rFonts w:ascii="Arial" w:hAnsi="Arial" w:cs="Arial"/>
        </w:rPr>
        <w:t>world</w:t>
      </w:r>
      <w:r w:rsidR="00FA5A13">
        <w:rPr>
          <w:rFonts w:ascii="Arial" w:hAnsi="Arial" w:cs="Arial"/>
        </w:rPr>
        <w:t>-</w:t>
      </w:r>
      <w:r w:rsidRPr="00D5126A">
        <w:rPr>
          <w:rFonts w:ascii="Arial" w:hAnsi="Arial" w:cs="Arial"/>
        </w:rPr>
        <w:t xml:space="preserve">class events that support, promote and showcase all of our local expertise and industry.  </w:t>
      </w:r>
    </w:p>
    <w:p w:rsidR="00544A00" w:rsidRPr="00D5126A" w:rsidRDefault="00D56DAD" w:rsidP="00544A00">
      <w:pPr>
        <w:pStyle w:val="Para003"/>
        <w:spacing w:before="240" w:line="240" w:lineRule="auto"/>
        <w:rPr>
          <w:rFonts w:ascii="Arial" w:hAnsi="Arial" w:cs="Arial"/>
        </w:rPr>
      </w:pPr>
      <w:r w:rsidRPr="00D5126A">
        <w:rPr>
          <w:rFonts w:ascii="Arial" w:hAnsi="Arial" w:cs="Arial"/>
        </w:rPr>
        <w:t>Our cultural and environmental attractions, such as Wellington Zoo and Zealandia, enjoyed a strong year and these activities contribute strongly to the economy and vibrancy of the city.</w:t>
      </w:r>
      <w:bookmarkStart w:id="198" w:name="3_1_Whakatairanga_taone___tautoko_a_paki"/>
    </w:p>
    <w:p w:rsidR="00544A00" w:rsidRPr="0009290F" w:rsidRDefault="00544A00" w:rsidP="00544A00">
      <w:pPr>
        <w:pStyle w:val="Heading3"/>
        <w:rPr>
          <w:color w:val="FF9900"/>
        </w:rPr>
      </w:pPr>
      <w:bookmarkStart w:id="199" w:name="_Toc19085828"/>
      <w:r w:rsidRPr="0009290F">
        <w:rPr>
          <w:color w:val="FF9900"/>
        </w:rPr>
        <w:t>Economic development performance story:</w:t>
      </w:r>
      <w:bookmarkEnd w:id="199"/>
    </w:p>
    <w:p w:rsidR="00544A00" w:rsidRPr="00D5126A" w:rsidRDefault="00544A00" w:rsidP="00544A00">
      <w:pPr>
        <w:pStyle w:val="Heading5"/>
      </w:pPr>
      <w:r w:rsidRPr="00D5126A">
        <w:t>Visitor spending record, but number of events down</w:t>
      </w:r>
    </w:p>
    <w:p w:rsidR="00544A00" w:rsidRPr="00D5126A" w:rsidRDefault="00544A00" w:rsidP="00544A00">
      <w:pPr>
        <w:pStyle w:val="Para003"/>
        <w:spacing w:before="240" w:line="240" w:lineRule="auto"/>
        <w:rPr>
          <w:rFonts w:ascii="Arial" w:hAnsi="Arial" w:cs="Arial"/>
        </w:rPr>
      </w:pPr>
      <w:r w:rsidRPr="00D5126A">
        <w:rPr>
          <w:rFonts w:ascii="Arial" w:hAnsi="Arial" w:cs="Arial"/>
        </w:rPr>
        <w:t xml:space="preserve">WellingtonNZ’s efforts to draw visitors to Wellington are paying off, thanks to digital marketing and partnerships with cultural, transport and hospitality organisations. In 2018/19, </w:t>
      </w:r>
      <w:r w:rsidRPr="00D5126A">
        <w:rPr>
          <w:rFonts w:ascii="Arial" w:hAnsi="Arial" w:cs="Arial"/>
        </w:rPr>
        <w:lastRenderedPageBreak/>
        <w:t xml:space="preserve">visitor spending exceeded $2.7 billion for the first time and return on investment increased to $22:$1 for visitor spend. However, the number of events in Wellington and our share of multi-day conferences </w:t>
      </w:r>
      <w:proofErr w:type="gramStart"/>
      <w:r w:rsidRPr="00D5126A">
        <w:rPr>
          <w:rFonts w:ascii="Arial" w:hAnsi="Arial" w:cs="Arial"/>
        </w:rPr>
        <w:t>was</w:t>
      </w:r>
      <w:proofErr w:type="gramEnd"/>
      <w:r w:rsidRPr="00D5126A">
        <w:rPr>
          <w:rFonts w:ascii="Arial" w:hAnsi="Arial" w:cs="Arial"/>
        </w:rPr>
        <w:t xml:space="preserve"> down because of the closure of several venues for earthquake strengthening.</w:t>
      </w:r>
    </w:p>
    <w:p w:rsidR="00544A00" w:rsidRPr="0009290F" w:rsidRDefault="00544A00" w:rsidP="00544A00">
      <w:pPr>
        <w:pStyle w:val="Heading4"/>
        <w:rPr>
          <w:color w:val="FF9900"/>
        </w:rPr>
      </w:pPr>
      <w:r w:rsidRPr="0009290F">
        <w:rPr>
          <w:color w:val="FF9900"/>
        </w:rPr>
        <w:t>Performance summary</w:t>
      </w:r>
    </w:p>
    <w:p w:rsidR="00544A00" w:rsidRPr="00D5126A" w:rsidRDefault="00544A00" w:rsidP="00544A00">
      <w:pPr>
        <w:pStyle w:val="Para034"/>
        <w:spacing w:before="0" w:after="0" w:line="240" w:lineRule="auto"/>
        <w:rPr>
          <w:rFonts w:ascii="Arial" w:hAnsi="Arial" w:cs="Arial"/>
        </w:rPr>
      </w:pPr>
      <w:r w:rsidRPr="00D5126A">
        <w:rPr>
          <w:rFonts w:ascii="Arial" w:hAnsi="Arial" w:cs="Arial"/>
        </w:rPr>
        <w:t xml:space="preserve">The following table is a summary of how well we performed against our agreed </w:t>
      </w:r>
      <w:r w:rsidR="002466CF" w:rsidRPr="00D5126A">
        <w:rPr>
          <w:rFonts w:ascii="Arial" w:hAnsi="Arial" w:cs="Arial"/>
        </w:rPr>
        <w:t xml:space="preserve">key </w:t>
      </w:r>
      <w:r w:rsidRPr="00D5126A">
        <w:rPr>
          <w:rFonts w:ascii="Arial" w:hAnsi="Arial" w:cs="Arial"/>
        </w:rPr>
        <w:t xml:space="preserve">performance measures for this activity area. </w:t>
      </w:r>
    </w:p>
    <w:p w:rsidR="00544A00" w:rsidRPr="00D5126A" w:rsidRDefault="00544A00" w:rsidP="00544A00">
      <w:pPr>
        <w:pStyle w:val="Para034"/>
        <w:spacing w:before="0" w:after="0" w:line="240" w:lineRule="auto"/>
        <w:rPr>
          <w:rFonts w:ascii="Arial" w:hAnsi="Arial" w:cs="Arial"/>
        </w:rPr>
      </w:pPr>
    </w:p>
    <w:tbl>
      <w:tblPr>
        <w:tblW w:w="8199" w:type="dxa"/>
        <w:tblInd w:w="108" w:type="dxa"/>
        <w:tblLayout w:type="fixed"/>
        <w:tblLook w:val="04A0" w:firstRow="1" w:lastRow="0" w:firstColumn="1" w:lastColumn="0" w:noHBand="0" w:noVBand="1"/>
      </w:tblPr>
      <w:tblGrid>
        <w:gridCol w:w="3686"/>
        <w:gridCol w:w="992"/>
        <w:gridCol w:w="993"/>
        <w:gridCol w:w="1275"/>
        <w:gridCol w:w="1253"/>
      </w:tblGrid>
      <w:tr w:rsidR="00294CB0" w:rsidRPr="00D5126A" w:rsidTr="005F6DB1">
        <w:trPr>
          <w:trHeight w:val="520"/>
        </w:trPr>
        <w:tc>
          <w:tcPr>
            <w:tcW w:w="3686" w:type="dxa"/>
            <w:tcBorders>
              <w:top w:val="nil"/>
              <w:left w:val="nil"/>
              <w:bottom w:val="nil"/>
              <w:right w:val="nil"/>
            </w:tcBorders>
            <w:shd w:val="clear" w:color="auto" w:fill="auto"/>
            <w:noWrap/>
            <w:vAlign w:val="center"/>
            <w:hideMark/>
          </w:tcPr>
          <w:p w:rsidR="00294CB0" w:rsidRPr="00D5126A" w:rsidRDefault="00294CB0" w:rsidP="00937653">
            <w:pPr>
              <w:spacing w:after="0" w:line="240" w:lineRule="auto"/>
              <w:jc w:val="center"/>
              <w:rPr>
                <w:rFonts w:eastAsia="Times New Roman" w:cstheme="minorHAnsi"/>
                <w:color w:val="000000"/>
                <w:sz w:val="20"/>
                <w:szCs w:val="20"/>
                <w:lang w:eastAsia="en-NZ"/>
              </w:rPr>
            </w:pPr>
          </w:p>
        </w:tc>
        <w:tc>
          <w:tcPr>
            <w:tcW w:w="992" w:type="dxa"/>
            <w:tcBorders>
              <w:top w:val="nil"/>
              <w:left w:val="nil"/>
              <w:bottom w:val="nil"/>
              <w:right w:val="nil"/>
            </w:tcBorders>
            <w:shd w:val="clear" w:color="auto" w:fill="auto"/>
            <w:noWrap/>
            <w:vAlign w:val="center"/>
            <w:hideMark/>
          </w:tcPr>
          <w:p w:rsidR="00294CB0" w:rsidRPr="0009290F" w:rsidRDefault="0009290F" w:rsidP="0009290F">
            <w:pPr>
              <w:spacing w:after="0" w:line="240" w:lineRule="auto"/>
              <w:jc w:val="center"/>
              <w:rPr>
                <w:rFonts w:ascii="Arial" w:eastAsia="Times New Roman" w:hAnsi="Arial" w:cs="Arial"/>
                <w:i/>
                <w:iCs/>
                <w:color w:val="000000"/>
                <w:szCs w:val="20"/>
                <w:lang w:eastAsia="en-NZ"/>
              </w:rPr>
            </w:pPr>
            <w:r>
              <w:rPr>
                <w:rFonts w:ascii="Arial" w:eastAsia="Times New Roman" w:hAnsi="Arial" w:cs="Arial"/>
                <w:i/>
                <w:iCs/>
                <w:color w:val="000000"/>
                <w:szCs w:val="20"/>
                <w:lang w:eastAsia="en-NZ"/>
              </w:rPr>
              <w:t>Not m</w:t>
            </w:r>
            <w:r w:rsidR="00294CB0" w:rsidRPr="00D5126A">
              <w:rPr>
                <w:rFonts w:ascii="Arial" w:eastAsia="Times New Roman" w:hAnsi="Arial" w:cs="Arial"/>
                <w:i/>
                <w:iCs/>
                <w:color w:val="000000"/>
                <w:szCs w:val="20"/>
                <w:lang w:eastAsia="en-NZ"/>
              </w:rPr>
              <w:t>et</w:t>
            </w:r>
          </w:p>
        </w:tc>
        <w:tc>
          <w:tcPr>
            <w:tcW w:w="993" w:type="dxa"/>
            <w:tcBorders>
              <w:top w:val="nil"/>
              <w:left w:val="nil"/>
              <w:bottom w:val="nil"/>
              <w:right w:val="nil"/>
            </w:tcBorders>
            <w:shd w:val="clear" w:color="auto" w:fill="auto"/>
            <w:noWrap/>
            <w:vAlign w:val="center"/>
            <w:hideMark/>
          </w:tcPr>
          <w:p w:rsidR="00294CB0" w:rsidRPr="00D5126A" w:rsidRDefault="00294CB0" w:rsidP="00FA5A13">
            <w:pPr>
              <w:spacing w:after="0" w:line="240" w:lineRule="auto"/>
              <w:jc w:val="center"/>
              <w:rPr>
                <w:rFonts w:ascii="Arial" w:eastAsia="Times New Roman" w:hAnsi="Arial" w:cs="Arial"/>
                <w:i/>
                <w:color w:val="000000"/>
                <w:szCs w:val="20"/>
                <w:lang w:eastAsia="en-NZ"/>
              </w:rPr>
            </w:pPr>
            <w:r>
              <w:rPr>
                <w:rFonts w:ascii="Arial" w:eastAsia="Times New Roman" w:hAnsi="Arial" w:cs="Arial"/>
                <w:i/>
                <w:color w:val="000000"/>
                <w:szCs w:val="20"/>
                <w:lang w:eastAsia="en-NZ"/>
              </w:rPr>
              <w:t>Within 10%</w:t>
            </w:r>
          </w:p>
        </w:tc>
        <w:tc>
          <w:tcPr>
            <w:tcW w:w="1275" w:type="dxa"/>
            <w:tcBorders>
              <w:top w:val="nil"/>
              <w:left w:val="nil"/>
              <w:bottom w:val="nil"/>
              <w:right w:val="nil"/>
            </w:tcBorders>
            <w:shd w:val="clear" w:color="auto" w:fill="auto"/>
            <w:noWrap/>
            <w:vAlign w:val="center"/>
            <w:hideMark/>
          </w:tcPr>
          <w:p w:rsidR="00294CB0" w:rsidRPr="0009290F" w:rsidRDefault="00294CB0" w:rsidP="0009290F">
            <w:pPr>
              <w:spacing w:after="0" w:line="240" w:lineRule="auto"/>
              <w:jc w:val="center"/>
              <w:rPr>
                <w:rFonts w:ascii="Arial" w:eastAsia="Times New Roman" w:hAnsi="Arial" w:cs="Arial"/>
                <w:i/>
                <w:iCs/>
                <w:color w:val="000000"/>
                <w:szCs w:val="20"/>
                <w:lang w:eastAsia="en-NZ"/>
              </w:rPr>
            </w:pPr>
            <w:r w:rsidRPr="00D5126A">
              <w:rPr>
                <w:rFonts w:ascii="Arial" w:eastAsia="Times New Roman" w:hAnsi="Arial" w:cs="Arial"/>
                <w:i/>
                <w:iCs/>
                <w:color w:val="000000"/>
                <w:szCs w:val="20"/>
                <w:lang w:eastAsia="en-NZ"/>
              </w:rPr>
              <w:t>Exceeded</w:t>
            </w:r>
          </w:p>
        </w:tc>
        <w:tc>
          <w:tcPr>
            <w:tcW w:w="1253" w:type="dxa"/>
            <w:tcBorders>
              <w:top w:val="nil"/>
              <w:left w:val="nil"/>
              <w:bottom w:val="nil"/>
              <w:right w:val="nil"/>
            </w:tcBorders>
            <w:shd w:val="clear" w:color="auto" w:fill="auto"/>
            <w:vAlign w:val="center"/>
          </w:tcPr>
          <w:p w:rsidR="00294CB0" w:rsidRPr="00D5126A" w:rsidRDefault="00294CB0" w:rsidP="00937653">
            <w:pPr>
              <w:spacing w:after="0" w:line="240" w:lineRule="auto"/>
              <w:jc w:val="center"/>
              <w:rPr>
                <w:rFonts w:eastAsia="Times New Roman" w:cstheme="minorHAnsi"/>
                <w:color w:val="000000"/>
                <w:szCs w:val="20"/>
                <w:lang w:eastAsia="en-NZ"/>
              </w:rPr>
            </w:pPr>
            <w:r w:rsidRPr="00D5126A">
              <w:rPr>
                <w:rFonts w:eastAsia="Times New Roman" w:cstheme="minorHAnsi"/>
                <w:color w:val="000000"/>
                <w:szCs w:val="20"/>
                <w:lang w:eastAsia="en-NZ"/>
              </w:rPr>
              <w:t>Total Measures</w:t>
            </w:r>
          </w:p>
        </w:tc>
      </w:tr>
      <w:tr w:rsidR="00294CB0" w:rsidRPr="00D5126A" w:rsidTr="0009290F">
        <w:trPr>
          <w:trHeight w:val="255"/>
        </w:trPr>
        <w:tc>
          <w:tcPr>
            <w:tcW w:w="3686" w:type="dxa"/>
            <w:tcBorders>
              <w:top w:val="nil"/>
              <w:left w:val="nil"/>
              <w:bottom w:val="nil"/>
              <w:right w:val="nil"/>
            </w:tcBorders>
            <w:shd w:val="clear" w:color="auto" w:fill="FF9900"/>
            <w:noWrap/>
            <w:vAlign w:val="bottom"/>
            <w:hideMark/>
          </w:tcPr>
          <w:p w:rsidR="00294CB0" w:rsidRPr="00D5126A" w:rsidRDefault="00294CB0" w:rsidP="006C2FEA">
            <w:pPr>
              <w:spacing w:after="0"/>
              <w:ind w:left="318" w:hanging="318"/>
              <w:rPr>
                <w:rFonts w:cstheme="minorHAnsi"/>
                <w:b/>
                <w:bCs/>
                <w:color w:val="FFFFFF" w:themeColor="background1"/>
                <w:sz w:val="24"/>
                <w:szCs w:val="20"/>
              </w:rPr>
            </w:pPr>
            <w:r w:rsidRPr="00D5126A">
              <w:rPr>
                <w:rFonts w:cstheme="minorHAnsi"/>
                <w:b/>
                <w:bCs/>
                <w:sz w:val="24"/>
                <w:szCs w:val="20"/>
              </w:rPr>
              <w:t>3. Whanaketanga ōhanga | Economic development</w:t>
            </w:r>
          </w:p>
        </w:tc>
        <w:tc>
          <w:tcPr>
            <w:tcW w:w="992" w:type="dxa"/>
            <w:tcBorders>
              <w:top w:val="nil"/>
              <w:left w:val="nil"/>
              <w:bottom w:val="nil"/>
              <w:right w:val="nil"/>
            </w:tcBorders>
            <w:shd w:val="clear" w:color="auto" w:fill="FF9900"/>
            <w:noWrap/>
            <w:vAlign w:val="bottom"/>
            <w:hideMark/>
          </w:tcPr>
          <w:p w:rsidR="00294CB0" w:rsidRPr="00D5126A" w:rsidRDefault="00294CB0" w:rsidP="00937653">
            <w:pPr>
              <w:spacing w:after="0"/>
              <w:jc w:val="center"/>
              <w:rPr>
                <w:rFonts w:cstheme="minorHAnsi"/>
                <w:color w:val="FFFFFF" w:themeColor="background1"/>
                <w:sz w:val="20"/>
                <w:szCs w:val="20"/>
              </w:rPr>
            </w:pPr>
          </w:p>
        </w:tc>
        <w:tc>
          <w:tcPr>
            <w:tcW w:w="993" w:type="dxa"/>
            <w:tcBorders>
              <w:top w:val="nil"/>
              <w:left w:val="nil"/>
              <w:bottom w:val="nil"/>
              <w:right w:val="nil"/>
            </w:tcBorders>
            <w:shd w:val="clear" w:color="auto" w:fill="FF9900"/>
            <w:noWrap/>
            <w:vAlign w:val="bottom"/>
            <w:hideMark/>
          </w:tcPr>
          <w:p w:rsidR="00294CB0" w:rsidRPr="00D5126A" w:rsidRDefault="00294CB0" w:rsidP="00937653">
            <w:pPr>
              <w:spacing w:after="0"/>
              <w:jc w:val="center"/>
              <w:rPr>
                <w:rFonts w:cstheme="minorHAnsi"/>
                <w:color w:val="FFFFFF" w:themeColor="background1"/>
                <w:sz w:val="20"/>
                <w:szCs w:val="20"/>
              </w:rPr>
            </w:pPr>
          </w:p>
        </w:tc>
        <w:tc>
          <w:tcPr>
            <w:tcW w:w="1275" w:type="dxa"/>
            <w:tcBorders>
              <w:top w:val="nil"/>
              <w:left w:val="nil"/>
              <w:bottom w:val="nil"/>
              <w:right w:val="nil"/>
            </w:tcBorders>
            <w:shd w:val="clear" w:color="auto" w:fill="FF9900"/>
            <w:noWrap/>
            <w:vAlign w:val="bottom"/>
            <w:hideMark/>
          </w:tcPr>
          <w:p w:rsidR="00294CB0" w:rsidRPr="00D5126A" w:rsidRDefault="00294CB0" w:rsidP="00937653">
            <w:pPr>
              <w:spacing w:after="0"/>
              <w:jc w:val="center"/>
              <w:rPr>
                <w:rFonts w:cstheme="minorHAnsi"/>
                <w:color w:val="FFFFFF" w:themeColor="background1"/>
                <w:sz w:val="20"/>
                <w:szCs w:val="20"/>
              </w:rPr>
            </w:pPr>
          </w:p>
        </w:tc>
        <w:tc>
          <w:tcPr>
            <w:tcW w:w="1253" w:type="dxa"/>
            <w:tcBorders>
              <w:top w:val="nil"/>
              <w:left w:val="nil"/>
              <w:bottom w:val="nil"/>
              <w:right w:val="nil"/>
            </w:tcBorders>
            <w:shd w:val="clear" w:color="auto" w:fill="FF9900"/>
            <w:noWrap/>
            <w:vAlign w:val="bottom"/>
            <w:hideMark/>
          </w:tcPr>
          <w:p w:rsidR="00294CB0" w:rsidRPr="00D5126A" w:rsidRDefault="00294CB0" w:rsidP="00937653">
            <w:pPr>
              <w:spacing w:after="0"/>
              <w:jc w:val="center"/>
              <w:rPr>
                <w:rFonts w:cstheme="minorHAnsi"/>
                <w:color w:val="FFFFFF" w:themeColor="background1"/>
                <w:sz w:val="20"/>
                <w:szCs w:val="20"/>
              </w:rPr>
            </w:pPr>
          </w:p>
        </w:tc>
      </w:tr>
      <w:tr w:rsidR="00294CB0" w:rsidRPr="00D5126A" w:rsidTr="005F6DB1">
        <w:trPr>
          <w:trHeight w:val="255"/>
        </w:trPr>
        <w:tc>
          <w:tcPr>
            <w:tcW w:w="3686" w:type="dxa"/>
            <w:tcBorders>
              <w:top w:val="nil"/>
              <w:left w:val="nil"/>
              <w:bottom w:val="single" w:sz="12" w:space="0" w:color="auto"/>
              <w:right w:val="nil"/>
            </w:tcBorders>
            <w:shd w:val="clear" w:color="auto" w:fill="FFFFFF" w:themeFill="background1"/>
            <w:noWrap/>
            <w:vAlign w:val="bottom"/>
            <w:hideMark/>
          </w:tcPr>
          <w:p w:rsidR="00294CB0" w:rsidRPr="00D5126A" w:rsidRDefault="00294CB0" w:rsidP="002578E0">
            <w:pPr>
              <w:spacing w:after="0"/>
              <w:ind w:left="669" w:hanging="352"/>
              <w:rPr>
                <w:rFonts w:cstheme="minorHAnsi"/>
                <w:bCs/>
                <w:sz w:val="20"/>
                <w:szCs w:val="20"/>
              </w:rPr>
            </w:pPr>
            <w:r w:rsidRPr="00D5126A">
              <w:rPr>
                <w:rFonts w:cstheme="minorHAnsi"/>
                <w:bCs/>
                <w:sz w:val="20"/>
                <w:szCs w:val="20"/>
              </w:rPr>
              <w:t>3.1 City promotions and business support</w:t>
            </w:r>
          </w:p>
        </w:tc>
        <w:tc>
          <w:tcPr>
            <w:tcW w:w="992" w:type="dxa"/>
            <w:tcBorders>
              <w:top w:val="nil"/>
              <w:left w:val="nil"/>
              <w:bottom w:val="single" w:sz="12" w:space="0" w:color="auto"/>
              <w:right w:val="nil"/>
            </w:tcBorders>
            <w:shd w:val="clear" w:color="auto" w:fill="FFFFFF" w:themeFill="background1"/>
            <w:noWrap/>
            <w:vAlign w:val="center"/>
            <w:hideMark/>
          </w:tcPr>
          <w:p w:rsidR="00294CB0" w:rsidRPr="00D5126A" w:rsidRDefault="00294CB0" w:rsidP="002578E0">
            <w:pPr>
              <w:spacing w:after="0"/>
              <w:jc w:val="center"/>
              <w:rPr>
                <w:rFonts w:cstheme="minorHAnsi"/>
                <w:b/>
                <w:sz w:val="24"/>
                <w:szCs w:val="20"/>
              </w:rPr>
            </w:pPr>
            <w:r w:rsidRPr="00D5126A">
              <w:rPr>
                <w:rFonts w:cstheme="minorHAnsi"/>
                <w:b/>
                <w:sz w:val="24"/>
                <w:szCs w:val="20"/>
              </w:rPr>
              <w:t>2</w:t>
            </w:r>
          </w:p>
        </w:tc>
        <w:tc>
          <w:tcPr>
            <w:tcW w:w="993" w:type="dxa"/>
            <w:tcBorders>
              <w:top w:val="nil"/>
              <w:left w:val="nil"/>
              <w:bottom w:val="single" w:sz="12" w:space="0" w:color="auto"/>
              <w:right w:val="nil"/>
            </w:tcBorders>
            <w:shd w:val="clear" w:color="auto" w:fill="FFFFFF" w:themeFill="background1"/>
            <w:noWrap/>
            <w:vAlign w:val="center"/>
            <w:hideMark/>
          </w:tcPr>
          <w:p w:rsidR="00294CB0" w:rsidRPr="00D5126A" w:rsidRDefault="00294CB0" w:rsidP="002578E0">
            <w:pPr>
              <w:spacing w:after="0"/>
              <w:jc w:val="center"/>
              <w:rPr>
                <w:rFonts w:cstheme="minorHAnsi"/>
                <w:b/>
                <w:sz w:val="24"/>
                <w:szCs w:val="20"/>
              </w:rPr>
            </w:pPr>
            <w:r>
              <w:rPr>
                <w:rFonts w:cstheme="minorHAnsi"/>
                <w:b/>
                <w:sz w:val="24"/>
                <w:szCs w:val="20"/>
              </w:rPr>
              <w:t>14</w:t>
            </w:r>
          </w:p>
        </w:tc>
        <w:tc>
          <w:tcPr>
            <w:tcW w:w="1275" w:type="dxa"/>
            <w:tcBorders>
              <w:top w:val="nil"/>
              <w:left w:val="nil"/>
              <w:bottom w:val="single" w:sz="12" w:space="0" w:color="auto"/>
              <w:right w:val="nil"/>
            </w:tcBorders>
            <w:shd w:val="clear" w:color="auto" w:fill="FFFFFF" w:themeFill="background1"/>
            <w:noWrap/>
            <w:vAlign w:val="center"/>
            <w:hideMark/>
          </w:tcPr>
          <w:p w:rsidR="00294CB0" w:rsidRPr="00D5126A" w:rsidRDefault="00294CB0" w:rsidP="002578E0">
            <w:pPr>
              <w:spacing w:after="0"/>
              <w:jc w:val="center"/>
              <w:rPr>
                <w:rFonts w:cstheme="minorHAnsi"/>
                <w:b/>
                <w:sz w:val="24"/>
                <w:szCs w:val="20"/>
              </w:rPr>
            </w:pPr>
            <w:r w:rsidRPr="00D5126A">
              <w:rPr>
                <w:rFonts w:cstheme="minorHAnsi"/>
                <w:b/>
                <w:sz w:val="24"/>
                <w:szCs w:val="20"/>
              </w:rPr>
              <w:t>1</w:t>
            </w:r>
          </w:p>
        </w:tc>
        <w:tc>
          <w:tcPr>
            <w:tcW w:w="1253" w:type="dxa"/>
            <w:tcBorders>
              <w:top w:val="nil"/>
              <w:left w:val="nil"/>
              <w:bottom w:val="single" w:sz="12" w:space="0" w:color="auto"/>
              <w:right w:val="nil"/>
            </w:tcBorders>
            <w:shd w:val="clear" w:color="auto" w:fill="FFFFFF" w:themeFill="background1"/>
            <w:noWrap/>
            <w:vAlign w:val="center"/>
            <w:hideMark/>
          </w:tcPr>
          <w:p w:rsidR="00294CB0" w:rsidRPr="00D5126A" w:rsidRDefault="00294CB0" w:rsidP="002578E0">
            <w:pPr>
              <w:spacing w:after="0"/>
              <w:jc w:val="center"/>
              <w:rPr>
                <w:rFonts w:cstheme="minorHAnsi"/>
                <w:b/>
                <w:sz w:val="24"/>
                <w:szCs w:val="20"/>
              </w:rPr>
            </w:pPr>
            <w:r w:rsidRPr="00D5126A">
              <w:rPr>
                <w:rFonts w:cstheme="minorHAnsi"/>
                <w:b/>
                <w:sz w:val="24"/>
                <w:szCs w:val="20"/>
              </w:rPr>
              <w:t>17</w:t>
            </w:r>
          </w:p>
        </w:tc>
      </w:tr>
      <w:tr w:rsidR="00294CB0" w:rsidRPr="00D5126A" w:rsidTr="005F6DB1">
        <w:trPr>
          <w:trHeight w:val="255"/>
        </w:trPr>
        <w:tc>
          <w:tcPr>
            <w:tcW w:w="3686" w:type="dxa"/>
            <w:tcBorders>
              <w:top w:val="single" w:sz="12" w:space="0" w:color="auto"/>
              <w:left w:val="nil"/>
              <w:bottom w:val="single" w:sz="12" w:space="0" w:color="auto"/>
              <w:right w:val="nil"/>
            </w:tcBorders>
            <w:shd w:val="clear" w:color="auto" w:fill="FDE9D9" w:themeFill="accent6" w:themeFillTint="33"/>
            <w:noWrap/>
            <w:vAlign w:val="bottom"/>
            <w:hideMark/>
          </w:tcPr>
          <w:p w:rsidR="00294CB0" w:rsidRPr="00D5126A" w:rsidRDefault="00294CB0" w:rsidP="00937653">
            <w:pPr>
              <w:spacing w:after="0"/>
              <w:rPr>
                <w:rFonts w:cstheme="minorHAnsi"/>
                <w:b/>
                <w:bCs/>
                <w:sz w:val="24"/>
                <w:szCs w:val="20"/>
              </w:rPr>
            </w:pPr>
            <w:r w:rsidRPr="00D5126A">
              <w:rPr>
                <w:rFonts w:cstheme="minorHAnsi"/>
                <w:b/>
                <w:bCs/>
                <w:sz w:val="24"/>
                <w:szCs w:val="20"/>
              </w:rPr>
              <w:t>Total measures</w:t>
            </w:r>
          </w:p>
        </w:tc>
        <w:tc>
          <w:tcPr>
            <w:tcW w:w="992" w:type="dxa"/>
            <w:tcBorders>
              <w:top w:val="single" w:sz="12" w:space="0" w:color="auto"/>
              <w:left w:val="nil"/>
              <w:bottom w:val="single" w:sz="12" w:space="0" w:color="auto"/>
              <w:right w:val="nil"/>
            </w:tcBorders>
            <w:shd w:val="clear" w:color="auto" w:fill="FDE9D9" w:themeFill="accent6" w:themeFillTint="33"/>
            <w:noWrap/>
            <w:vAlign w:val="center"/>
            <w:hideMark/>
          </w:tcPr>
          <w:p w:rsidR="00294CB0" w:rsidRPr="00D5126A" w:rsidRDefault="00294CB0" w:rsidP="002578E0">
            <w:pPr>
              <w:spacing w:after="0"/>
              <w:jc w:val="center"/>
              <w:rPr>
                <w:rFonts w:cstheme="minorHAnsi"/>
                <w:b/>
                <w:sz w:val="24"/>
                <w:szCs w:val="20"/>
              </w:rPr>
            </w:pPr>
            <w:r w:rsidRPr="00D5126A">
              <w:rPr>
                <w:rFonts w:cstheme="minorHAnsi"/>
                <w:b/>
                <w:sz w:val="24"/>
                <w:szCs w:val="20"/>
              </w:rPr>
              <w:t>2</w:t>
            </w:r>
          </w:p>
        </w:tc>
        <w:tc>
          <w:tcPr>
            <w:tcW w:w="993" w:type="dxa"/>
            <w:tcBorders>
              <w:top w:val="single" w:sz="12" w:space="0" w:color="auto"/>
              <w:left w:val="nil"/>
              <w:bottom w:val="single" w:sz="12" w:space="0" w:color="auto"/>
              <w:right w:val="nil"/>
            </w:tcBorders>
            <w:shd w:val="clear" w:color="auto" w:fill="FDE9D9" w:themeFill="accent6" w:themeFillTint="33"/>
            <w:noWrap/>
            <w:vAlign w:val="center"/>
            <w:hideMark/>
          </w:tcPr>
          <w:p w:rsidR="00294CB0" w:rsidRPr="00D5126A" w:rsidRDefault="00294CB0" w:rsidP="002578E0">
            <w:pPr>
              <w:spacing w:after="0"/>
              <w:jc w:val="center"/>
              <w:rPr>
                <w:rFonts w:cstheme="minorHAnsi"/>
                <w:b/>
                <w:sz w:val="24"/>
                <w:szCs w:val="20"/>
              </w:rPr>
            </w:pPr>
            <w:r>
              <w:rPr>
                <w:rFonts w:cstheme="minorHAnsi"/>
                <w:b/>
                <w:sz w:val="24"/>
                <w:szCs w:val="20"/>
              </w:rPr>
              <w:t>14</w:t>
            </w:r>
          </w:p>
        </w:tc>
        <w:tc>
          <w:tcPr>
            <w:tcW w:w="1275" w:type="dxa"/>
            <w:tcBorders>
              <w:top w:val="single" w:sz="12" w:space="0" w:color="auto"/>
              <w:left w:val="nil"/>
              <w:bottom w:val="single" w:sz="12" w:space="0" w:color="auto"/>
              <w:right w:val="nil"/>
            </w:tcBorders>
            <w:shd w:val="clear" w:color="auto" w:fill="FDE9D9" w:themeFill="accent6" w:themeFillTint="33"/>
            <w:noWrap/>
            <w:vAlign w:val="center"/>
            <w:hideMark/>
          </w:tcPr>
          <w:p w:rsidR="00294CB0" w:rsidRPr="00D5126A" w:rsidRDefault="00294CB0" w:rsidP="002578E0">
            <w:pPr>
              <w:spacing w:after="0"/>
              <w:jc w:val="center"/>
              <w:rPr>
                <w:rFonts w:cstheme="minorHAnsi"/>
                <w:b/>
                <w:sz w:val="24"/>
                <w:szCs w:val="20"/>
              </w:rPr>
            </w:pPr>
            <w:r w:rsidRPr="00D5126A">
              <w:rPr>
                <w:rFonts w:cstheme="minorHAnsi"/>
                <w:b/>
                <w:sz w:val="24"/>
                <w:szCs w:val="20"/>
              </w:rPr>
              <w:t>1</w:t>
            </w:r>
          </w:p>
        </w:tc>
        <w:tc>
          <w:tcPr>
            <w:tcW w:w="1253" w:type="dxa"/>
            <w:tcBorders>
              <w:top w:val="single" w:sz="12" w:space="0" w:color="auto"/>
              <w:left w:val="nil"/>
              <w:bottom w:val="single" w:sz="12" w:space="0" w:color="auto"/>
              <w:right w:val="nil"/>
            </w:tcBorders>
            <w:shd w:val="clear" w:color="auto" w:fill="FDE9D9" w:themeFill="accent6" w:themeFillTint="33"/>
            <w:noWrap/>
            <w:vAlign w:val="center"/>
            <w:hideMark/>
          </w:tcPr>
          <w:p w:rsidR="00294CB0" w:rsidRPr="00D5126A" w:rsidRDefault="00294CB0" w:rsidP="002578E0">
            <w:pPr>
              <w:spacing w:after="0"/>
              <w:jc w:val="center"/>
              <w:rPr>
                <w:rFonts w:cstheme="minorHAnsi"/>
                <w:b/>
                <w:sz w:val="24"/>
                <w:szCs w:val="20"/>
              </w:rPr>
            </w:pPr>
            <w:r w:rsidRPr="00D5126A">
              <w:rPr>
                <w:rFonts w:cstheme="minorHAnsi"/>
                <w:b/>
                <w:sz w:val="24"/>
                <w:szCs w:val="20"/>
              </w:rPr>
              <w:t>17</w:t>
            </w:r>
          </w:p>
        </w:tc>
      </w:tr>
    </w:tbl>
    <w:p w:rsidR="00544A00" w:rsidRPr="00D5126A" w:rsidRDefault="00544A00" w:rsidP="00544A00">
      <w:pPr>
        <w:rPr>
          <w:rStyle w:val="00Text"/>
          <w:b w:val="0"/>
        </w:rPr>
      </w:pPr>
    </w:p>
    <w:p w:rsidR="00D56DAD" w:rsidRPr="0009290F" w:rsidRDefault="00D56DAD" w:rsidP="00AA2122">
      <w:pPr>
        <w:pStyle w:val="Heading3"/>
        <w:rPr>
          <w:color w:val="FF9900"/>
        </w:rPr>
      </w:pPr>
      <w:bookmarkStart w:id="200" w:name="_Toc19085829"/>
      <w:r w:rsidRPr="0009290F">
        <w:rPr>
          <w:rStyle w:val="00Text"/>
          <w:b/>
          <w:color w:val="FF9900"/>
        </w:rPr>
        <w:t xml:space="preserve">3.1 Whakatairanga tāone - </w:t>
      </w:r>
      <w:r w:rsidRPr="0009290F">
        <w:rPr>
          <w:color w:val="FF9900"/>
        </w:rPr>
        <w:t>City promotions and business support</w:t>
      </w:r>
      <w:bookmarkEnd w:id="198"/>
      <w:bookmarkEnd w:id="200"/>
    </w:p>
    <w:p w:rsidR="00D56DAD" w:rsidRPr="0009290F" w:rsidRDefault="00D56DAD" w:rsidP="00846C1B">
      <w:pPr>
        <w:pStyle w:val="Heading4"/>
        <w:rPr>
          <w:color w:val="FF9900"/>
        </w:rPr>
      </w:pPr>
      <w:r w:rsidRPr="0009290F">
        <w:rPr>
          <w:color w:val="FF9900"/>
        </w:rPr>
        <w:t>What we did</w:t>
      </w:r>
    </w:p>
    <w:p w:rsidR="00D56DAD" w:rsidRPr="00D5126A" w:rsidRDefault="00D56DAD" w:rsidP="00961FC5">
      <w:pPr>
        <w:pStyle w:val="Heading5"/>
        <w:rPr>
          <w:rStyle w:val="00Text"/>
        </w:rPr>
      </w:pPr>
      <w:r w:rsidRPr="00D5126A">
        <w:rPr>
          <w:rStyle w:val="00Text"/>
        </w:rPr>
        <w:t>Convention and Exhibition Centre</w:t>
      </w:r>
    </w:p>
    <w:p w:rsidR="00D56DAD" w:rsidRPr="00D5126A" w:rsidRDefault="00D56DAD" w:rsidP="00D56DAD">
      <w:pPr>
        <w:rPr>
          <w:rStyle w:val="00Text"/>
          <w:rFonts w:ascii="Arial" w:hAnsi="Arial" w:cs="Arial"/>
          <w:b w:val="0"/>
        </w:rPr>
      </w:pPr>
      <w:r w:rsidRPr="00D5126A">
        <w:rPr>
          <w:rStyle w:val="00Text"/>
          <w:rFonts w:ascii="Arial" w:hAnsi="Arial" w:cs="Arial"/>
          <w:b w:val="0"/>
        </w:rPr>
        <w:t>Approval was granted for the construction of the Wellington Convention and Exhibition Centre (WCEC) in December 2018.  This long-awaited and much-needed project has since moved forward steadily with the lodging of the resource consent in March</w:t>
      </w:r>
      <w:r w:rsidR="00FA5A13">
        <w:rPr>
          <w:rStyle w:val="00Text"/>
          <w:rFonts w:ascii="Arial" w:hAnsi="Arial" w:cs="Arial"/>
          <w:b w:val="0"/>
        </w:rPr>
        <w:t>,</w:t>
      </w:r>
      <w:r w:rsidRPr="00D5126A">
        <w:rPr>
          <w:rStyle w:val="00Text"/>
          <w:rFonts w:ascii="Arial" w:hAnsi="Arial" w:cs="Arial"/>
          <w:b w:val="0"/>
        </w:rPr>
        <w:t xml:space="preserve"> which was approved in July 2019.  At the end of June the project was nearing completion of</w:t>
      </w:r>
      <w:r w:rsidR="00FA5A13">
        <w:rPr>
          <w:rStyle w:val="00Text"/>
          <w:rFonts w:ascii="Arial" w:hAnsi="Arial" w:cs="Arial"/>
          <w:b w:val="0"/>
        </w:rPr>
        <w:t xml:space="preserve"> the</w:t>
      </w:r>
      <w:r w:rsidRPr="00D5126A">
        <w:rPr>
          <w:rStyle w:val="00Text"/>
          <w:rFonts w:ascii="Arial" w:hAnsi="Arial" w:cs="Arial"/>
          <w:b w:val="0"/>
        </w:rPr>
        <w:t xml:space="preserve"> detailed design phase</w:t>
      </w:r>
      <w:r w:rsidR="00FA5A13">
        <w:rPr>
          <w:rStyle w:val="00Text"/>
          <w:rFonts w:ascii="Arial" w:hAnsi="Arial" w:cs="Arial"/>
          <w:b w:val="0"/>
        </w:rPr>
        <w:t>. T</w:t>
      </w:r>
      <w:r w:rsidR="00FA5A13" w:rsidRPr="00D5126A">
        <w:rPr>
          <w:rStyle w:val="00Text"/>
          <w:rFonts w:ascii="Arial" w:hAnsi="Arial" w:cs="Arial"/>
          <w:b w:val="0"/>
        </w:rPr>
        <w:t xml:space="preserve">he </w:t>
      </w:r>
      <w:r w:rsidRPr="00D5126A">
        <w:rPr>
          <w:rStyle w:val="00Text"/>
          <w:rFonts w:ascii="Arial" w:hAnsi="Arial" w:cs="Arial"/>
          <w:b w:val="0"/>
        </w:rPr>
        <w:t>first activities on the site commenced in July</w:t>
      </w:r>
      <w:r w:rsidR="00FA5A13">
        <w:rPr>
          <w:rStyle w:val="00Text"/>
          <w:rFonts w:ascii="Arial" w:hAnsi="Arial" w:cs="Arial"/>
          <w:b w:val="0"/>
        </w:rPr>
        <w:t>,</w:t>
      </w:r>
      <w:r w:rsidRPr="00D5126A">
        <w:rPr>
          <w:rStyle w:val="00Text"/>
          <w:rFonts w:ascii="Arial" w:hAnsi="Arial" w:cs="Arial"/>
          <w:b w:val="0"/>
        </w:rPr>
        <w:t xml:space="preserve"> with test piling works under</w:t>
      </w:r>
      <w:r w:rsidR="00FA5A13">
        <w:rPr>
          <w:rStyle w:val="00Text"/>
          <w:rFonts w:ascii="Arial" w:hAnsi="Arial" w:cs="Arial"/>
          <w:b w:val="0"/>
        </w:rPr>
        <w:t xml:space="preserve"> </w:t>
      </w:r>
      <w:r w:rsidRPr="00D5126A">
        <w:rPr>
          <w:rStyle w:val="00Text"/>
          <w:rFonts w:ascii="Arial" w:hAnsi="Arial" w:cs="Arial"/>
          <w:b w:val="0"/>
        </w:rPr>
        <w:t xml:space="preserve">way and the building consent lodged for the first stage of construction works. </w:t>
      </w:r>
    </w:p>
    <w:p w:rsidR="00D56DAD" w:rsidRPr="00D5126A" w:rsidRDefault="00D56DAD" w:rsidP="00D56DAD">
      <w:pPr>
        <w:rPr>
          <w:rStyle w:val="00Text"/>
          <w:rFonts w:ascii="Arial" w:hAnsi="Arial" w:cs="Arial"/>
          <w:b w:val="0"/>
        </w:rPr>
      </w:pPr>
      <w:r w:rsidRPr="00D5126A">
        <w:rPr>
          <w:rStyle w:val="00Text"/>
          <w:rFonts w:ascii="Arial" w:hAnsi="Arial" w:cs="Arial"/>
          <w:b w:val="0"/>
        </w:rPr>
        <w:t xml:space="preserve">The WCEC will become a stunning architectural landmark across the road from our national museum Te Papa. It will create new economic, cultural and social opportunities for Wellington as a place to host conferences and other business events in our nation’s capital, provide a platform to share ideas, connect with others, showcase expertise and thought-leadership, and demonstrate our manaakitanga.  </w:t>
      </w:r>
      <w:r w:rsidR="005B5F71" w:rsidRPr="00D5126A">
        <w:rPr>
          <w:rFonts w:ascii="Arial" w:hAnsi="Arial" w:cs="Arial"/>
        </w:rPr>
        <w:t xml:space="preserve">Once fully operating, the centre will contribute $44m to annual city GDP through maintaining current business and growing the city’s offering in conferences, business events and exhibitions. Through this it will support 554 additional jobs.  </w:t>
      </w:r>
      <w:r w:rsidRPr="00D5126A">
        <w:rPr>
          <w:rStyle w:val="00Text"/>
          <w:rFonts w:ascii="Arial" w:hAnsi="Arial" w:cs="Arial"/>
          <w:b w:val="0"/>
        </w:rPr>
        <w:t xml:space="preserve">WCEC will be a catalyst for the regeneration of the Te Aro precinct and will strengthen the pedestrian linkages between the </w:t>
      </w:r>
      <w:r w:rsidR="00FA5A13">
        <w:rPr>
          <w:rStyle w:val="00Text"/>
          <w:rFonts w:ascii="Arial" w:hAnsi="Arial" w:cs="Arial"/>
          <w:b w:val="0"/>
        </w:rPr>
        <w:t>w</w:t>
      </w:r>
      <w:r w:rsidR="00FA5A13" w:rsidRPr="00D5126A">
        <w:rPr>
          <w:rStyle w:val="00Text"/>
          <w:rFonts w:ascii="Arial" w:hAnsi="Arial" w:cs="Arial"/>
          <w:b w:val="0"/>
        </w:rPr>
        <w:t xml:space="preserve">aterfront </w:t>
      </w:r>
      <w:r w:rsidRPr="00D5126A">
        <w:rPr>
          <w:rStyle w:val="00Text"/>
          <w:rFonts w:ascii="Arial" w:hAnsi="Arial" w:cs="Arial"/>
          <w:b w:val="0"/>
        </w:rPr>
        <w:t xml:space="preserve">and Te Aro.  </w:t>
      </w:r>
    </w:p>
    <w:p w:rsidR="00D56DAD" w:rsidRPr="00D5126A" w:rsidRDefault="00D56DAD" w:rsidP="00961FC5">
      <w:pPr>
        <w:pStyle w:val="Heading5"/>
        <w:rPr>
          <w:rStyle w:val="00Text"/>
          <w:b w:val="0"/>
        </w:rPr>
      </w:pPr>
      <w:r w:rsidRPr="00D5126A">
        <w:rPr>
          <w:rStyle w:val="00Text"/>
        </w:rPr>
        <w:t>Indoor Arena</w:t>
      </w:r>
    </w:p>
    <w:p w:rsidR="00D56DAD" w:rsidRPr="00D5126A" w:rsidRDefault="00D56DAD" w:rsidP="00D56DAD">
      <w:pPr>
        <w:rPr>
          <w:rStyle w:val="00Text"/>
          <w:rFonts w:ascii="Arial" w:hAnsi="Arial" w:cs="Arial"/>
          <w:b w:val="0"/>
        </w:rPr>
      </w:pPr>
      <w:r w:rsidRPr="00D5126A">
        <w:rPr>
          <w:rStyle w:val="00Text"/>
          <w:rFonts w:ascii="Arial" w:hAnsi="Arial" w:cs="Arial"/>
          <w:b w:val="0"/>
        </w:rPr>
        <w:t xml:space="preserve">The past 12 months saw the completion of pre-feasibility on the indoor arena project and the identification of a preferred site for the arena.  The preferred location is on the commercial area of Centreport.  As Centreport advance their port planning processes following the damage from the Kaikoura earthquake it will become clearer whether there will be land available in this area and whether the site is suitable for an arena. </w:t>
      </w:r>
    </w:p>
    <w:p w:rsidR="00D56DAD" w:rsidRPr="00D5126A" w:rsidRDefault="00D56DAD" w:rsidP="00961FC5">
      <w:pPr>
        <w:pStyle w:val="Heading5"/>
      </w:pPr>
      <w:r w:rsidRPr="00D5126A">
        <w:lastRenderedPageBreak/>
        <w:t xml:space="preserve">Business Improvement Districts (BIDs) </w:t>
      </w:r>
    </w:p>
    <w:p w:rsidR="00D56DAD" w:rsidRPr="00D5126A" w:rsidRDefault="00D56DAD" w:rsidP="00D56DAD">
      <w:pPr>
        <w:rPr>
          <w:rFonts w:ascii="Arial" w:hAnsi="Arial" w:cs="Arial"/>
        </w:rPr>
      </w:pPr>
      <w:r w:rsidRPr="00D5126A">
        <w:rPr>
          <w:rFonts w:ascii="Arial" w:hAnsi="Arial" w:cs="Arial"/>
        </w:rPr>
        <w:t>Following a feasibility assessment</w:t>
      </w:r>
      <w:r w:rsidR="00CF44E9" w:rsidRPr="00D5126A">
        <w:rPr>
          <w:rFonts w:ascii="Arial" w:hAnsi="Arial" w:cs="Arial"/>
        </w:rPr>
        <w:t xml:space="preserve"> in 2018,</w:t>
      </w:r>
      <w:r w:rsidRPr="00D5126A">
        <w:rPr>
          <w:rFonts w:ascii="Arial" w:hAnsi="Arial" w:cs="Arial"/>
        </w:rPr>
        <w:t xml:space="preserve"> that supported a combined Karori BID, Marsden Village successfully led the establishment of the new and larger Karori Business Association, bringing together the Karori suburban shopping areas into one BID. The 2017 BID Forum identified the opportunity for BIDs to have a closer working relationship with each other. There has since been increased awareness among the BIDs that suburban areas share common challenges, for example</w:t>
      </w:r>
      <w:r w:rsidR="00FA5A13">
        <w:rPr>
          <w:rFonts w:ascii="Arial" w:hAnsi="Arial" w:cs="Arial"/>
        </w:rPr>
        <w:t>,</w:t>
      </w:r>
      <w:r w:rsidRPr="00D5126A">
        <w:rPr>
          <w:rFonts w:ascii="Arial" w:hAnsi="Arial" w:cs="Arial"/>
        </w:rPr>
        <w:t xml:space="preserve"> changing consumer buying patterns. In response the Council is making available, free of charge, consumer purchasing and demographic information for the BIDs to pass on to their members.</w:t>
      </w:r>
    </w:p>
    <w:p w:rsidR="00D56DAD" w:rsidRPr="00D5126A" w:rsidRDefault="00D56DAD" w:rsidP="00961FC5">
      <w:pPr>
        <w:pStyle w:val="Heading5"/>
        <w:rPr>
          <w:b/>
        </w:rPr>
      </w:pPr>
      <w:r w:rsidRPr="00D5126A">
        <w:t xml:space="preserve">Business Growth </w:t>
      </w:r>
    </w:p>
    <w:p w:rsidR="00D56DAD" w:rsidRPr="00D5126A" w:rsidRDefault="00D56DAD" w:rsidP="00D56DAD">
      <w:pPr>
        <w:rPr>
          <w:rFonts w:ascii="Arial" w:eastAsia="Times New Roman" w:hAnsi="Arial" w:cs="Arial"/>
          <w:b/>
          <w:bCs/>
          <w:szCs w:val="24"/>
        </w:rPr>
      </w:pPr>
      <w:r w:rsidRPr="00D5126A">
        <w:rPr>
          <w:rFonts w:ascii="Arial" w:eastAsia="Times New Roman" w:hAnsi="Arial" w:cs="Arial"/>
          <w:szCs w:val="24"/>
        </w:rPr>
        <w:t>The Regional Business Partner contract was extended by two years to June 2021, with contracting agencies NZTE and Callaghan Innovation very satisfied with WellingtonNZ’s delivery of business support services.</w:t>
      </w:r>
    </w:p>
    <w:p w:rsidR="00D56DAD" w:rsidRPr="00D5126A" w:rsidRDefault="00D56DAD" w:rsidP="00D56DAD">
      <w:pPr>
        <w:rPr>
          <w:rFonts w:ascii="Arial" w:eastAsia="Times New Roman" w:hAnsi="Arial" w:cs="Arial"/>
          <w:b/>
          <w:bCs/>
          <w:szCs w:val="24"/>
        </w:rPr>
      </w:pPr>
      <w:r w:rsidRPr="00D5126A">
        <w:rPr>
          <w:rFonts w:ascii="Arial" w:eastAsia="Times New Roman" w:hAnsi="Arial" w:cs="Arial"/>
          <w:szCs w:val="24"/>
        </w:rPr>
        <w:t xml:space="preserve">The WellingtonNZ team </w:t>
      </w:r>
      <w:proofErr w:type="gramStart"/>
      <w:r w:rsidRPr="00D5126A">
        <w:rPr>
          <w:rFonts w:ascii="Arial" w:eastAsia="Times New Roman" w:hAnsi="Arial" w:cs="Arial"/>
          <w:szCs w:val="24"/>
        </w:rPr>
        <w:t xml:space="preserve">provided </w:t>
      </w:r>
      <w:r w:rsidR="00FA5A13">
        <w:rPr>
          <w:rFonts w:ascii="Arial" w:eastAsia="Times New Roman" w:hAnsi="Arial" w:cs="Arial"/>
          <w:szCs w:val="24"/>
        </w:rPr>
        <w:t>”</w:t>
      </w:r>
      <w:proofErr w:type="gramEnd"/>
      <w:r w:rsidRPr="00D5126A">
        <w:rPr>
          <w:rFonts w:ascii="Arial" w:eastAsia="Times New Roman" w:hAnsi="Arial" w:cs="Arial"/>
          <w:szCs w:val="24"/>
        </w:rPr>
        <w:t>hands-on</w:t>
      </w:r>
      <w:r w:rsidR="00FA5A13">
        <w:rPr>
          <w:rFonts w:ascii="Arial" w:eastAsia="Times New Roman" w:hAnsi="Arial" w:cs="Arial"/>
          <w:szCs w:val="24"/>
        </w:rPr>
        <w:t>”</w:t>
      </w:r>
      <w:r w:rsidRPr="00D5126A">
        <w:rPr>
          <w:rFonts w:ascii="Arial" w:eastAsia="Times New Roman" w:hAnsi="Arial" w:cs="Arial"/>
          <w:szCs w:val="24"/>
        </w:rPr>
        <w:t xml:space="preserve"> support to 4</w:t>
      </w:r>
      <w:r w:rsidR="00175194" w:rsidRPr="00D5126A">
        <w:rPr>
          <w:rFonts w:ascii="Arial" w:eastAsia="Times New Roman" w:hAnsi="Arial" w:cs="Arial"/>
          <w:szCs w:val="24"/>
        </w:rPr>
        <w:t>72</w:t>
      </w:r>
      <w:r w:rsidRPr="00D5126A">
        <w:rPr>
          <w:rFonts w:ascii="Arial" w:eastAsia="Times New Roman" w:hAnsi="Arial" w:cs="Arial"/>
          <w:szCs w:val="24"/>
        </w:rPr>
        <w:t xml:space="preserve"> businesses across the region, with 62 percent of </w:t>
      </w:r>
      <w:r w:rsidR="00FA5A13">
        <w:rPr>
          <w:rFonts w:ascii="Arial" w:eastAsia="Times New Roman" w:hAnsi="Arial" w:cs="Arial"/>
          <w:szCs w:val="24"/>
        </w:rPr>
        <w:t>them</w:t>
      </w:r>
      <w:r w:rsidRPr="00D5126A">
        <w:rPr>
          <w:rFonts w:ascii="Arial" w:eastAsia="Times New Roman" w:hAnsi="Arial" w:cs="Arial"/>
          <w:szCs w:val="24"/>
        </w:rPr>
        <w:t xml:space="preserve"> located in Wellington City.</w:t>
      </w:r>
    </w:p>
    <w:p w:rsidR="00D56DAD" w:rsidRPr="00D5126A" w:rsidRDefault="00D56DAD" w:rsidP="00D56DAD">
      <w:pPr>
        <w:rPr>
          <w:rFonts w:ascii="Arial" w:eastAsia="Times New Roman" w:hAnsi="Arial" w:cs="Arial"/>
          <w:b/>
          <w:szCs w:val="24"/>
        </w:rPr>
      </w:pPr>
      <w:r w:rsidRPr="00D5126A">
        <w:rPr>
          <w:rFonts w:ascii="Arial" w:eastAsia="Times New Roman" w:hAnsi="Arial" w:cs="Arial"/>
          <w:szCs w:val="24"/>
        </w:rPr>
        <w:t xml:space="preserve">Callaghan Innovation grants worth a record $8.5 million were allocated for use on Wellington companies’ research and development. </w:t>
      </w:r>
    </w:p>
    <w:p w:rsidR="00D56DAD" w:rsidRPr="00D5126A" w:rsidRDefault="00D56DAD" w:rsidP="00961FC5">
      <w:pPr>
        <w:pStyle w:val="Heading5"/>
        <w:rPr>
          <w:rStyle w:val="00Text"/>
          <w:b w:val="0"/>
          <w:bCs w:val="0"/>
        </w:rPr>
      </w:pPr>
      <w:r w:rsidRPr="00D5126A">
        <w:rPr>
          <w:rStyle w:val="00Text"/>
        </w:rPr>
        <w:t>City promotion and events</w:t>
      </w:r>
    </w:p>
    <w:p w:rsidR="00D56DAD" w:rsidRPr="00D5126A" w:rsidRDefault="00D56DAD" w:rsidP="00D56DAD">
      <w:pPr>
        <w:pStyle w:val="Para010"/>
        <w:numPr>
          <w:ilvl w:val="0"/>
          <w:numId w:val="0"/>
        </w:numPr>
        <w:spacing w:line="240" w:lineRule="auto"/>
        <w:rPr>
          <w:rFonts w:ascii="Arial" w:hAnsi="Arial" w:cs="Arial"/>
        </w:rPr>
      </w:pPr>
      <w:r w:rsidRPr="00D5126A">
        <w:rPr>
          <w:rFonts w:ascii="Arial" w:hAnsi="Arial" w:cs="Arial"/>
        </w:rPr>
        <w:t xml:space="preserve">We supported the successful delivery of a wide and diverse range of events, from the World of Wearable Art, the record breaking Eminem Rapture concert and Beervana to the Terracotta Warriors and Te Matatini ki te Ao. The </w:t>
      </w:r>
      <w:proofErr w:type="gramStart"/>
      <w:r w:rsidRPr="00D5126A">
        <w:rPr>
          <w:rFonts w:ascii="Arial" w:hAnsi="Arial" w:cs="Arial"/>
        </w:rPr>
        <w:t>Summer</w:t>
      </w:r>
      <w:proofErr w:type="gramEnd"/>
      <w:r w:rsidRPr="00D5126A">
        <w:rPr>
          <w:rFonts w:ascii="Arial" w:hAnsi="Arial" w:cs="Arial"/>
        </w:rPr>
        <w:t xml:space="preserve"> season was particularly strong, bringing in an estimated $55 million in out-of-region spend to local businesses. </w:t>
      </w:r>
    </w:p>
    <w:p w:rsidR="00D56DAD" w:rsidRPr="00D5126A" w:rsidRDefault="00D56DAD" w:rsidP="00D56DAD">
      <w:pPr>
        <w:pStyle w:val="Para010"/>
        <w:numPr>
          <w:ilvl w:val="0"/>
          <w:numId w:val="0"/>
        </w:numPr>
        <w:spacing w:line="240" w:lineRule="auto"/>
        <w:rPr>
          <w:rFonts w:ascii="Arial" w:hAnsi="Arial" w:cs="Arial"/>
        </w:rPr>
      </w:pPr>
      <w:r w:rsidRPr="00D5126A">
        <w:rPr>
          <w:rFonts w:ascii="Arial" w:hAnsi="Arial" w:cs="Arial"/>
        </w:rPr>
        <w:t>Despite a challenging year with venue availability impacted by the closure of the St James for earthquake strengthening</w:t>
      </w:r>
      <w:r w:rsidR="00FA5A13">
        <w:rPr>
          <w:rFonts w:ascii="Arial" w:hAnsi="Arial" w:cs="Arial"/>
        </w:rPr>
        <w:t>,</w:t>
      </w:r>
      <w:r w:rsidRPr="00D5126A">
        <w:rPr>
          <w:rFonts w:ascii="Arial" w:hAnsi="Arial" w:cs="Arial"/>
        </w:rPr>
        <w:t xml:space="preserve"> the Venues Wellington team hosted more than 400 events across the civic venues, including sold out or close to sold out venues for West Side Story, Catherine Tate, Tash Sultana, Chicago, Orchestra Wellington’s Songs of Moana, Shihad, </w:t>
      </w:r>
      <w:r w:rsidR="00EC49F5" w:rsidRPr="00D5126A">
        <w:rPr>
          <w:rFonts w:ascii="Arial" w:hAnsi="Arial" w:cs="Arial"/>
        </w:rPr>
        <w:t xml:space="preserve">Bryan Ferry and Eddie Izard.  This also included 207 </w:t>
      </w:r>
      <w:r w:rsidRPr="00D5126A">
        <w:rPr>
          <w:rFonts w:ascii="Arial" w:hAnsi="Arial" w:cs="Arial"/>
        </w:rPr>
        <w:t xml:space="preserve">conferences. </w:t>
      </w:r>
    </w:p>
    <w:p w:rsidR="00D56DAD" w:rsidRPr="00D5126A" w:rsidRDefault="00D56DAD" w:rsidP="00D56DAD">
      <w:pPr>
        <w:pStyle w:val="Para010"/>
        <w:numPr>
          <w:ilvl w:val="0"/>
          <w:numId w:val="0"/>
        </w:numPr>
        <w:spacing w:line="240" w:lineRule="auto"/>
        <w:rPr>
          <w:rFonts w:ascii="Arial" w:hAnsi="Arial" w:cs="Arial"/>
        </w:rPr>
      </w:pPr>
      <w:r w:rsidRPr="00D5126A">
        <w:rPr>
          <w:rFonts w:ascii="Arial" w:hAnsi="Arial" w:cs="Arial"/>
        </w:rPr>
        <w:t>W</w:t>
      </w:r>
      <w:r w:rsidRPr="00D5126A">
        <w:rPr>
          <w:rFonts w:ascii="Arial" w:eastAsia="Times New Roman" w:hAnsi="Arial" w:cs="Arial"/>
          <w:szCs w:val="24"/>
        </w:rPr>
        <w:t>ellington</w:t>
      </w:r>
      <w:r w:rsidRPr="00D5126A">
        <w:rPr>
          <w:rFonts w:ascii="Arial" w:hAnsi="Arial" w:cs="Arial"/>
        </w:rPr>
        <w:t xml:space="preserve">NZ combined with Council’s City Events team to deliver numerous events in Wellington to support Te Matatini ki </w:t>
      </w:r>
      <w:proofErr w:type="gramStart"/>
      <w:r w:rsidRPr="00D5126A">
        <w:rPr>
          <w:rFonts w:ascii="Arial" w:hAnsi="Arial" w:cs="Arial"/>
        </w:rPr>
        <w:t>te</w:t>
      </w:r>
      <w:proofErr w:type="gramEnd"/>
      <w:r w:rsidRPr="00D5126A">
        <w:rPr>
          <w:rFonts w:ascii="Arial" w:hAnsi="Arial" w:cs="Arial"/>
        </w:rPr>
        <w:t xml:space="preserve"> Ao, the national kapa haka festival. It was the first time the festival had been held in Wellington city for more than 20 years and it was extremely well received, with more than 50,000 attending over four days.</w:t>
      </w:r>
    </w:p>
    <w:p w:rsidR="00196932" w:rsidRPr="00D5126A" w:rsidRDefault="00196932" w:rsidP="00D56DAD">
      <w:pPr>
        <w:pStyle w:val="Para010"/>
        <w:numPr>
          <w:ilvl w:val="0"/>
          <w:numId w:val="0"/>
        </w:numPr>
        <w:spacing w:line="240" w:lineRule="auto"/>
        <w:rPr>
          <w:rFonts w:ascii="Arial" w:hAnsi="Arial" w:cs="Arial"/>
        </w:rPr>
      </w:pPr>
      <w:r w:rsidRPr="00D5126A">
        <w:rPr>
          <w:rFonts w:ascii="Arial" w:hAnsi="Arial" w:cs="Arial"/>
        </w:rPr>
        <w:t>More information about WREDA (WellingtonNZ) can be found in Chapter 8: Counci</w:t>
      </w:r>
      <w:r w:rsidR="00CF44E9" w:rsidRPr="00D5126A">
        <w:rPr>
          <w:rFonts w:ascii="Arial" w:hAnsi="Arial" w:cs="Arial"/>
        </w:rPr>
        <w:t xml:space="preserve">l Controlled Organisations, pg </w:t>
      </w:r>
      <w:r w:rsidR="00E27622">
        <w:rPr>
          <w:rFonts w:ascii="Arial" w:hAnsi="Arial" w:cs="Arial"/>
        </w:rPr>
        <w:t>175</w:t>
      </w:r>
      <w:r w:rsidRPr="00D5126A">
        <w:rPr>
          <w:rFonts w:ascii="Arial" w:hAnsi="Arial" w:cs="Arial"/>
        </w:rPr>
        <w:t>.</w:t>
      </w:r>
    </w:p>
    <w:p w:rsidR="00D56DAD" w:rsidRPr="00D5126A" w:rsidRDefault="00D56DAD" w:rsidP="00961FC5">
      <w:pPr>
        <w:pStyle w:val="Heading5"/>
      </w:pPr>
      <w:r w:rsidRPr="00D5126A">
        <w:rPr>
          <w:rStyle w:val="00Text"/>
        </w:rPr>
        <w:t>Sports events</w:t>
      </w:r>
    </w:p>
    <w:p w:rsidR="00D56DAD" w:rsidRPr="00D5126A" w:rsidRDefault="00D56DAD" w:rsidP="00D56DAD">
      <w:pPr>
        <w:pStyle w:val="Para010"/>
        <w:numPr>
          <w:ilvl w:val="0"/>
          <w:numId w:val="0"/>
        </w:numPr>
        <w:spacing w:line="240" w:lineRule="auto"/>
        <w:rPr>
          <w:rFonts w:ascii="Arial" w:hAnsi="Arial" w:cs="Arial"/>
        </w:rPr>
      </w:pPr>
      <w:r w:rsidRPr="00D5126A">
        <w:rPr>
          <w:rFonts w:ascii="Arial" w:hAnsi="Arial" w:cs="Arial"/>
        </w:rPr>
        <w:t>It was a big year for sports events in the capital. Highlights included:</w:t>
      </w:r>
    </w:p>
    <w:p w:rsidR="00D56DAD" w:rsidRPr="00D5126A" w:rsidRDefault="00D56DAD" w:rsidP="006837C4">
      <w:pPr>
        <w:pStyle w:val="Para010"/>
        <w:numPr>
          <w:ilvl w:val="0"/>
          <w:numId w:val="6"/>
        </w:numPr>
        <w:spacing w:after="0" w:line="240" w:lineRule="auto"/>
        <w:rPr>
          <w:rFonts w:ascii="Arial" w:hAnsi="Arial" w:cs="Arial"/>
        </w:rPr>
      </w:pPr>
      <w:r w:rsidRPr="00D5126A">
        <w:rPr>
          <w:rFonts w:ascii="Arial" w:hAnsi="Arial" w:cs="Arial"/>
        </w:rPr>
        <w:t>Cricket tests against Sri Lanka and Bangladesh at the Basin Reserve, one-day internationals against India and a double header 20-20 game against India in which the White Ferns played before the Black Caps at Westpac Stadium</w:t>
      </w:r>
    </w:p>
    <w:p w:rsidR="00D56DAD" w:rsidRPr="00D5126A" w:rsidRDefault="00D56DAD" w:rsidP="006837C4">
      <w:pPr>
        <w:pStyle w:val="Para010"/>
        <w:numPr>
          <w:ilvl w:val="0"/>
          <w:numId w:val="6"/>
        </w:numPr>
        <w:spacing w:after="0" w:line="240" w:lineRule="auto"/>
        <w:rPr>
          <w:rFonts w:ascii="Arial" w:hAnsi="Arial" w:cs="Arial"/>
        </w:rPr>
      </w:pPr>
      <w:r w:rsidRPr="00D5126A">
        <w:rPr>
          <w:rFonts w:ascii="Arial" w:hAnsi="Arial" w:cs="Arial"/>
        </w:rPr>
        <w:t>All Black vs South Africa at Westpac Stadium</w:t>
      </w:r>
    </w:p>
    <w:p w:rsidR="00D56DAD" w:rsidRPr="00D5126A" w:rsidRDefault="00D56DAD" w:rsidP="006837C4">
      <w:pPr>
        <w:pStyle w:val="Para010"/>
        <w:numPr>
          <w:ilvl w:val="0"/>
          <w:numId w:val="6"/>
        </w:numPr>
        <w:spacing w:after="0" w:line="240" w:lineRule="auto"/>
        <w:rPr>
          <w:rFonts w:ascii="Arial" w:hAnsi="Arial" w:cs="Arial"/>
        </w:rPr>
      </w:pPr>
      <w:r w:rsidRPr="00D5126A">
        <w:rPr>
          <w:rFonts w:ascii="Arial" w:hAnsi="Arial" w:cs="Arial"/>
        </w:rPr>
        <w:t xml:space="preserve">Tall Blacks vs Syria </w:t>
      </w:r>
      <w:proofErr w:type="gramStart"/>
      <w:r w:rsidRPr="00D5126A">
        <w:rPr>
          <w:rFonts w:ascii="Arial" w:hAnsi="Arial" w:cs="Arial"/>
        </w:rPr>
        <w:t>basketball,</w:t>
      </w:r>
      <w:proofErr w:type="gramEnd"/>
      <w:r w:rsidRPr="00D5126A">
        <w:rPr>
          <w:rFonts w:ascii="Arial" w:hAnsi="Arial" w:cs="Arial"/>
        </w:rPr>
        <w:t xml:space="preserve"> and Breakers vs Illawarra Hawks.</w:t>
      </w:r>
    </w:p>
    <w:p w:rsidR="00D56DAD" w:rsidRPr="00D5126A" w:rsidRDefault="00D56DAD" w:rsidP="006837C4">
      <w:pPr>
        <w:pStyle w:val="Para010"/>
        <w:numPr>
          <w:ilvl w:val="0"/>
          <w:numId w:val="6"/>
        </w:numPr>
        <w:spacing w:after="0" w:line="240" w:lineRule="auto"/>
        <w:rPr>
          <w:rFonts w:ascii="Arial" w:hAnsi="Arial" w:cs="Arial"/>
        </w:rPr>
      </w:pPr>
      <w:r w:rsidRPr="00D5126A">
        <w:rPr>
          <w:rFonts w:ascii="Arial" w:hAnsi="Arial" w:cs="Arial"/>
        </w:rPr>
        <w:t>A Hurricanes Super Rugby quarter final</w:t>
      </w:r>
    </w:p>
    <w:p w:rsidR="00D56DAD" w:rsidRPr="00D5126A" w:rsidRDefault="00D56DAD" w:rsidP="006837C4">
      <w:pPr>
        <w:pStyle w:val="Para010"/>
        <w:numPr>
          <w:ilvl w:val="0"/>
          <w:numId w:val="6"/>
        </w:numPr>
        <w:spacing w:after="0" w:line="240" w:lineRule="auto"/>
        <w:rPr>
          <w:rFonts w:ascii="Arial" w:hAnsi="Arial" w:cs="Arial"/>
        </w:rPr>
      </w:pPr>
      <w:r w:rsidRPr="00D5126A">
        <w:rPr>
          <w:rFonts w:ascii="Arial" w:hAnsi="Arial" w:cs="Arial"/>
        </w:rPr>
        <w:t>We also held numerous regional, national and international tournaments at ASB Sports Centre</w:t>
      </w:r>
    </w:p>
    <w:p w:rsidR="00D56DAD" w:rsidRPr="00D5126A" w:rsidRDefault="00D56DAD" w:rsidP="00D56DAD">
      <w:pPr>
        <w:pStyle w:val="Para010"/>
        <w:numPr>
          <w:ilvl w:val="0"/>
          <w:numId w:val="0"/>
        </w:numPr>
        <w:spacing w:line="240" w:lineRule="auto"/>
        <w:rPr>
          <w:rFonts w:ascii="Arial" w:hAnsi="Arial" w:cs="Arial"/>
        </w:rPr>
      </w:pPr>
      <w:r w:rsidRPr="00D5126A">
        <w:rPr>
          <w:rFonts w:ascii="Arial" w:hAnsi="Arial" w:cs="Arial"/>
        </w:rPr>
        <w:t xml:space="preserve">More information can be found on the Events page of this report, </w:t>
      </w:r>
      <w:proofErr w:type="gramStart"/>
      <w:r w:rsidRPr="00E27622">
        <w:rPr>
          <w:rFonts w:ascii="Arial" w:hAnsi="Arial" w:cs="Arial"/>
        </w:rPr>
        <w:t xml:space="preserve">pg </w:t>
      </w:r>
      <w:r w:rsidR="00E27622" w:rsidRPr="00E27622">
        <w:rPr>
          <w:rFonts w:ascii="Arial" w:hAnsi="Arial" w:cs="Arial"/>
        </w:rPr>
        <w:t xml:space="preserve"> 35</w:t>
      </w:r>
      <w:proofErr w:type="gramEnd"/>
    </w:p>
    <w:p w:rsidR="00D56DAD" w:rsidRPr="00D5126A" w:rsidRDefault="00D56DAD" w:rsidP="00961FC5">
      <w:pPr>
        <w:pStyle w:val="Heading5"/>
        <w:rPr>
          <w:rStyle w:val="00Text"/>
          <w:b w:val="0"/>
        </w:rPr>
      </w:pPr>
      <w:r w:rsidRPr="00D5126A">
        <w:rPr>
          <w:rStyle w:val="00Text"/>
        </w:rPr>
        <w:lastRenderedPageBreak/>
        <w:t>City Growth Fund</w:t>
      </w:r>
    </w:p>
    <w:p w:rsidR="00D56DAD" w:rsidRPr="00D5126A" w:rsidRDefault="00196932" w:rsidP="00D56DAD">
      <w:pPr>
        <w:rPr>
          <w:rStyle w:val="00Text"/>
          <w:rFonts w:ascii="Arial" w:hAnsi="Arial" w:cs="Arial"/>
          <w:b w:val="0"/>
        </w:rPr>
      </w:pPr>
      <w:r w:rsidRPr="00D5126A">
        <w:rPr>
          <w:rStyle w:val="00Text"/>
          <w:rFonts w:ascii="Arial" w:hAnsi="Arial" w:cs="Arial"/>
          <w:b w:val="0"/>
        </w:rPr>
        <w:t xml:space="preserve">$1,996,000 in grants funding was allocated this financial year. </w:t>
      </w:r>
      <w:r w:rsidR="00D56DAD" w:rsidRPr="00D5126A">
        <w:rPr>
          <w:rStyle w:val="00Text"/>
          <w:rFonts w:ascii="Arial" w:hAnsi="Arial" w:cs="Arial"/>
          <w:b w:val="0"/>
        </w:rPr>
        <w:t xml:space="preserve">Highlights include support for the final year of the World War I centenary commemorations, which were well attended, the Eminem stadium concert, Creative HQ’s GovTech Lightning Lab programme, the Festival for the Future 2019, Doc Edge Festival, City Gallery’s Double Feature of Eva Rothschild and Semi-Conductor, the Pinkline Project, Second Unit, Take Ten programme, the new NZX signage, Terracotta Warriors, the Pride Parade and various sporting code sponsorships.  </w:t>
      </w:r>
    </w:p>
    <w:p w:rsidR="00D56DAD" w:rsidRPr="00D5126A" w:rsidRDefault="00D56DAD" w:rsidP="00D56DAD">
      <w:pPr>
        <w:rPr>
          <w:rStyle w:val="00Text"/>
          <w:rFonts w:ascii="Arial" w:hAnsi="Arial" w:cs="Arial"/>
          <w:b w:val="0"/>
        </w:rPr>
      </w:pPr>
      <w:r w:rsidRPr="00D5126A">
        <w:rPr>
          <w:rStyle w:val="00Text"/>
          <w:rFonts w:ascii="Arial" w:hAnsi="Arial" w:cs="Arial"/>
          <w:b w:val="0"/>
        </w:rPr>
        <w:t>These programmes, events and projects contribute strongly to the city economy and add to the vibrancy and reputation of the city.  The funding from the City Growth Fund in many cases is the difference between these events occurring or not.</w:t>
      </w:r>
    </w:p>
    <w:p w:rsidR="00D56DAD" w:rsidRPr="00D5126A" w:rsidRDefault="00D56DAD" w:rsidP="00961FC5">
      <w:pPr>
        <w:pStyle w:val="Heading5"/>
        <w:rPr>
          <w:rStyle w:val="00Text"/>
          <w:b w:val="0"/>
          <w:bCs w:val="0"/>
        </w:rPr>
      </w:pPr>
      <w:r w:rsidRPr="00D5126A">
        <w:rPr>
          <w:rStyle w:val="00Text"/>
        </w:rPr>
        <w:t>Additional grants</w:t>
      </w:r>
    </w:p>
    <w:p w:rsidR="00D56DAD" w:rsidRPr="00D5126A" w:rsidRDefault="00D56DAD" w:rsidP="00D56DAD">
      <w:pPr>
        <w:pStyle w:val="Para010"/>
        <w:numPr>
          <w:ilvl w:val="0"/>
          <w:numId w:val="0"/>
        </w:numPr>
        <w:spacing w:line="240" w:lineRule="auto"/>
        <w:rPr>
          <w:rFonts w:ascii="Arial" w:hAnsi="Arial" w:cs="Arial"/>
        </w:rPr>
      </w:pPr>
      <w:r w:rsidRPr="00D5126A">
        <w:rPr>
          <w:rFonts w:ascii="Arial" w:hAnsi="Arial" w:cs="Arial"/>
        </w:rPr>
        <w:t>A </w:t>
      </w:r>
      <w:r w:rsidR="005D7ADE" w:rsidRPr="00D5126A">
        <w:rPr>
          <w:rFonts w:ascii="Arial" w:hAnsi="Arial" w:cs="Arial"/>
        </w:rPr>
        <w:t xml:space="preserve">summary </w:t>
      </w:r>
      <w:r w:rsidRPr="00D5126A">
        <w:rPr>
          <w:rFonts w:ascii="Arial" w:hAnsi="Arial" w:cs="Arial"/>
        </w:rPr>
        <w:t xml:space="preserve">of the community </w:t>
      </w:r>
      <w:r w:rsidR="0087274F" w:rsidRPr="00D5126A">
        <w:rPr>
          <w:rFonts w:ascii="Arial" w:hAnsi="Arial" w:cs="Arial"/>
        </w:rPr>
        <w:t>grants we allocated is</w:t>
      </w:r>
      <w:r w:rsidRPr="00D5126A">
        <w:rPr>
          <w:rFonts w:ascii="Arial" w:hAnsi="Arial" w:cs="Arial"/>
        </w:rPr>
        <w:t xml:space="preserve"> on </w:t>
      </w:r>
      <w:r w:rsidRPr="00E27622">
        <w:rPr>
          <w:rFonts w:ascii="Arial" w:hAnsi="Arial" w:cs="Arial"/>
        </w:rPr>
        <w:t xml:space="preserve">pg </w:t>
      </w:r>
      <w:r w:rsidR="00E27622">
        <w:rPr>
          <w:rFonts w:ascii="Arial" w:hAnsi="Arial" w:cs="Arial"/>
        </w:rPr>
        <w:t>199</w:t>
      </w:r>
      <w:r w:rsidRPr="00D5126A">
        <w:rPr>
          <w:rFonts w:ascii="Arial" w:hAnsi="Arial" w:cs="Arial"/>
        </w:rPr>
        <w:t xml:space="preserve"> of this report.  We also provided subsidies for the use of venues managed by WellingtonNZ to events such as the Chinese New Year and Diwali festivals, as well as other cultural celebrations including the Japan and Korean festivals, the Big Sing and Sweet Adeline’s Barber Shop events.</w:t>
      </w:r>
    </w:p>
    <w:p w:rsidR="00D56DAD" w:rsidRPr="00D5126A" w:rsidRDefault="00D56DAD" w:rsidP="00AA2122">
      <w:pPr>
        <w:pStyle w:val="Heading3"/>
        <w:sectPr w:rsidR="00D56DAD" w:rsidRPr="00D5126A" w:rsidSect="00544A00">
          <w:pgSz w:w="11906" w:h="16838"/>
          <w:pgMar w:top="957" w:right="1416" w:bottom="1440" w:left="1418" w:header="567" w:footer="520" w:gutter="0"/>
          <w:cols w:space="708"/>
          <w:docGrid w:linePitch="360"/>
        </w:sectPr>
      </w:pPr>
      <w:bookmarkStart w:id="201" w:name="Economic_development_finances"/>
      <w:bookmarkStart w:id="202" w:name="_Toc11915649"/>
      <w:bookmarkStart w:id="203" w:name="_Toc13211847"/>
      <w:bookmarkStart w:id="204" w:name="_Toc14178550"/>
    </w:p>
    <w:p w:rsidR="00D56DAD" w:rsidRPr="00714A05" w:rsidRDefault="00D56DAD" w:rsidP="00A76B98">
      <w:pPr>
        <w:pStyle w:val="Heading3"/>
        <w:spacing w:before="0"/>
        <w:rPr>
          <w:color w:val="FF9900"/>
        </w:rPr>
      </w:pPr>
      <w:bookmarkStart w:id="205" w:name="_Toc19085830"/>
      <w:r w:rsidRPr="00714A05">
        <w:rPr>
          <w:color w:val="FF9900"/>
        </w:rPr>
        <w:lastRenderedPageBreak/>
        <w:t>Economic development finances</w:t>
      </w:r>
      <w:bookmarkEnd w:id="201"/>
      <w:bookmarkEnd w:id="202"/>
      <w:bookmarkEnd w:id="203"/>
      <w:bookmarkEnd w:id="204"/>
      <w:bookmarkEnd w:id="205"/>
    </w:p>
    <w:p w:rsidR="00D56DAD" w:rsidRPr="00D5126A" w:rsidRDefault="00D56DAD" w:rsidP="00961FC5">
      <w:pPr>
        <w:pStyle w:val="Heading5"/>
      </w:pPr>
      <w:r w:rsidRPr="00D5126A">
        <w:t>How it was funded</w:t>
      </w:r>
    </w:p>
    <w:p w:rsidR="00D56DAD" w:rsidRDefault="00D56DAD" w:rsidP="003D3A6A">
      <w:pPr>
        <w:pStyle w:val="NoSpacing"/>
        <w:rPr>
          <w:rFonts w:ascii="Arial" w:hAnsi="Arial" w:cs="Arial"/>
        </w:rPr>
      </w:pPr>
      <w:r w:rsidRPr="003D3A6A">
        <w:t>The majority of the economic development activities are paid for by commercial ratepayers, as this covers the cost of tourism promotion,</w:t>
      </w:r>
      <w:r w:rsidRPr="00D5126A">
        <w:rPr>
          <w:rFonts w:ascii="Arial" w:hAnsi="Arial" w:cs="Arial"/>
        </w:rPr>
        <w:t xml:space="preserve"> economic grants, and other activities that directly benefit the sector.</w:t>
      </w:r>
    </w:p>
    <w:p w:rsidR="00F5446D" w:rsidRPr="00D5126A" w:rsidRDefault="00F5446D" w:rsidP="00F5446D">
      <w:pPr>
        <w:pStyle w:val="Para003"/>
        <w:spacing w:before="240" w:line="240" w:lineRule="auto"/>
        <w:rPr>
          <w:rFonts w:ascii="Arial" w:hAnsi="Arial" w:cs="Arial"/>
        </w:rPr>
      </w:pPr>
      <w:r w:rsidRPr="00D5126A">
        <w:rPr>
          <w:rFonts w:ascii="Arial" w:hAnsi="Arial" w:cs="Arial"/>
        </w:rPr>
        <w:t>Detaile</w:t>
      </w:r>
      <w:r>
        <w:rPr>
          <w:rFonts w:ascii="Arial" w:hAnsi="Arial" w:cs="Arial"/>
        </w:rPr>
        <w:t xml:space="preserve">d information on funding on </w:t>
      </w:r>
      <w:r w:rsidRPr="00E27622">
        <w:rPr>
          <w:rFonts w:ascii="Arial" w:hAnsi="Arial" w:cs="Arial"/>
        </w:rPr>
        <w:t>pg</w:t>
      </w:r>
      <w:r>
        <w:rPr>
          <w:rFonts w:ascii="Arial" w:hAnsi="Arial" w:cs="Arial"/>
        </w:rPr>
        <w:t xml:space="preserve"> </w:t>
      </w:r>
      <w:r w:rsidR="00E27622">
        <w:rPr>
          <w:rFonts w:ascii="Arial" w:hAnsi="Arial" w:cs="Arial"/>
        </w:rPr>
        <w:t>328</w:t>
      </w:r>
      <w:r w:rsidRPr="00D5126A">
        <w:rPr>
          <w:rFonts w:ascii="Arial" w:hAnsi="Arial" w:cs="Arial"/>
        </w:rPr>
        <w:t xml:space="preserve"> of </w:t>
      </w:r>
      <w:r>
        <w:rPr>
          <w:rFonts w:ascii="Arial" w:hAnsi="Arial" w:cs="Arial"/>
        </w:rPr>
        <w:t xml:space="preserve">Section 5: </w:t>
      </w:r>
      <w:r w:rsidRPr="00D5126A">
        <w:rPr>
          <w:rFonts w:ascii="Arial" w:hAnsi="Arial" w:cs="Arial"/>
        </w:rPr>
        <w:t xml:space="preserve">Financial </w:t>
      </w:r>
      <w:r>
        <w:rPr>
          <w:rFonts w:ascii="Arial" w:hAnsi="Arial" w:cs="Arial"/>
        </w:rPr>
        <w:t xml:space="preserve">Statements </w:t>
      </w:r>
      <w:r w:rsidRPr="00D5126A">
        <w:rPr>
          <w:rFonts w:ascii="Arial" w:hAnsi="Arial" w:cs="Arial"/>
        </w:rPr>
        <w:t>section.</w:t>
      </w:r>
    </w:p>
    <w:p w:rsidR="00F5446D" w:rsidRPr="00D5126A" w:rsidRDefault="00F5446D" w:rsidP="003D3A6A">
      <w:pPr>
        <w:pStyle w:val="NoSpacing"/>
        <w:rPr>
          <w:rFonts w:ascii="Arial" w:hAnsi="Arial" w:cs="Arial"/>
        </w:rPr>
      </w:pPr>
    </w:p>
    <w:p w:rsidR="00D56DAD" w:rsidRPr="00714A05" w:rsidRDefault="00D56DAD" w:rsidP="00846C1B">
      <w:pPr>
        <w:pStyle w:val="Heading4"/>
        <w:rPr>
          <w:color w:val="FF9900"/>
        </w:rPr>
      </w:pPr>
      <w:r w:rsidRPr="00714A05">
        <w:rPr>
          <w:color w:val="FF9900"/>
        </w:rPr>
        <w:t>What it cost (operating expenditure $000)</w:t>
      </w:r>
    </w:p>
    <w:tbl>
      <w:tblPr>
        <w:tblW w:w="14459" w:type="dxa"/>
        <w:tblInd w:w="-176" w:type="dxa"/>
        <w:tblBorders>
          <w:top w:val="single" w:sz="4" w:space="0" w:color="F79646" w:themeColor="accent6"/>
          <w:bottom w:val="single" w:sz="4" w:space="0" w:color="F79646" w:themeColor="accent6"/>
          <w:insideH w:val="single" w:sz="4" w:space="0" w:color="F79646" w:themeColor="accent6"/>
          <w:insideV w:val="single" w:sz="4" w:space="0" w:color="F79646" w:themeColor="accent6"/>
        </w:tblBorders>
        <w:tblLayout w:type="fixed"/>
        <w:tblLook w:val="04A0" w:firstRow="1" w:lastRow="0" w:firstColumn="1" w:lastColumn="0" w:noHBand="0" w:noVBand="1"/>
      </w:tblPr>
      <w:tblGrid>
        <w:gridCol w:w="4112"/>
        <w:gridCol w:w="1253"/>
        <w:gridCol w:w="1253"/>
        <w:gridCol w:w="1253"/>
        <w:gridCol w:w="1253"/>
        <w:gridCol w:w="1254"/>
        <w:gridCol w:w="4081"/>
      </w:tblGrid>
      <w:tr w:rsidR="003D3A6A" w:rsidRPr="001244BB" w:rsidTr="00714A05">
        <w:trPr>
          <w:trHeight w:val="447"/>
          <w:tblHeader/>
        </w:trPr>
        <w:tc>
          <w:tcPr>
            <w:tcW w:w="4112" w:type="dxa"/>
            <w:tcBorders>
              <w:right w:val="single" w:sz="4" w:space="0" w:color="FFFFFF" w:themeColor="background1"/>
            </w:tcBorders>
            <w:shd w:val="clear" w:color="auto" w:fill="FF9900"/>
            <w:noWrap/>
            <w:vAlign w:val="bottom"/>
            <w:hideMark/>
          </w:tcPr>
          <w:p w:rsidR="003D3A6A" w:rsidRPr="001B5165" w:rsidRDefault="001B5165" w:rsidP="00184F69">
            <w:pPr>
              <w:spacing w:after="0" w:line="240" w:lineRule="auto"/>
              <w:rPr>
                <w:rFonts w:ascii="Arial" w:eastAsia="Times New Roman" w:hAnsi="Arial" w:cs="Arial"/>
                <w:b/>
                <w:color w:val="000000"/>
                <w:szCs w:val="24"/>
                <w:lang w:eastAsia="en-NZ"/>
              </w:rPr>
            </w:pPr>
            <w:r w:rsidRPr="001B5165">
              <w:rPr>
                <w:rFonts w:ascii="Arial" w:eastAsia="Times New Roman" w:hAnsi="Arial" w:cs="Arial"/>
                <w:b/>
                <w:color w:val="000000"/>
                <w:szCs w:val="24"/>
                <w:lang w:eastAsia="en-NZ"/>
              </w:rPr>
              <w:t>Economic Development</w:t>
            </w:r>
          </w:p>
        </w:tc>
        <w:tc>
          <w:tcPr>
            <w:tcW w:w="1253" w:type="dxa"/>
            <w:tcBorders>
              <w:left w:val="single" w:sz="4" w:space="0" w:color="FFFFFF" w:themeColor="background1"/>
              <w:right w:val="single" w:sz="4" w:space="0" w:color="FFFFFF" w:themeColor="background1"/>
            </w:tcBorders>
            <w:shd w:val="clear" w:color="auto" w:fill="FF9900"/>
            <w:vAlign w:val="bottom"/>
            <w:hideMark/>
          </w:tcPr>
          <w:p w:rsidR="003D3A6A" w:rsidRPr="001244BB" w:rsidRDefault="003D3A6A" w:rsidP="00714A05">
            <w:pPr>
              <w:spacing w:after="0" w:line="240" w:lineRule="auto"/>
              <w:jc w:val="center"/>
              <w:rPr>
                <w:rFonts w:ascii="Arial" w:eastAsia="Times New Roman" w:hAnsi="Arial" w:cs="Arial"/>
                <w:b/>
                <w:bCs/>
                <w:color w:val="000000"/>
                <w:sz w:val="20"/>
                <w:lang w:eastAsia="en-NZ"/>
              </w:rPr>
            </w:pPr>
            <w:r w:rsidRPr="001244BB">
              <w:rPr>
                <w:rFonts w:ascii="Arial" w:eastAsia="Times New Roman" w:hAnsi="Arial" w:cs="Arial"/>
                <w:b/>
                <w:bCs/>
                <w:color w:val="000000"/>
                <w:sz w:val="20"/>
                <w:lang w:eastAsia="en-NZ"/>
              </w:rPr>
              <w:t xml:space="preserve">2016/17 </w:t>
            </w:r>
            <w:r w:rsidRPr="001244BB">
              <w:rPr>
                <w:rFonts w:ascii="Arial" w:eastAsia="Times New Roman" w:hAnsi="Arial" w:cs="Arial"/>
                <w:b/>
                <w:bCs/>
                <w:color w:val="000000"/>
                <w:sz w:val="20"/>
                <w:lang w:eastAsia="en-NZ"/>
              </w:rPr>
              <w:br/>
              <w:t xml:space="preserve">Actual </w:t>
            </w:r>
          </w:p>
        </w:tc>
        <w:tc>
          <w:tcPr>
            <w:tcW w:w="1253" w:type="dxa"/>
            <w:tcBorders>
              <w:left w:val="single" w:sz="4" w:space="0" w:color="FFFFFF" w:themeColor="background1"/>
              <w:right w:val="single" w:sz="4" w:space="0" w:color="FFFFFF" w:themeColor="background1"/>
            </w:tcBorders>
            <w:shd w:val="clear" w:color="auto" w:fill="FF9900"/>
            <w:vAlign w:val="bottom"/>
            <w:hideMark/>
          </w:tcPr>
          <w:p w:rsidR="003D3A6A" w:rsidRPr="001244BB" w:rsidRDefault="003D3A6A" w:rsidP="00714A05">
            <w:pPr>
              <w:spacing w:after="0" w:line="240" w:lineRule="auto"/>
              <w:jc w:val="center"/>
              <w:rPr>
                <w:rFonts w:ascii="Arial" w:eastAsia="Times New Roman" w:hAnsi="Arial" w:cs="Arial"/>
                <w:b/>
                <w:bCs/>
                <w:color w:val="000000"/>
                <w:sz w:val="20"/>
                <w:lang w:eastAsia="en-NZ"/>
              </w:rPr>
            </w:pPr>
            <w:r w:rsidRPr="001244BB">
              <w:rPr>
                <w:rFonts w:ascii="Arial" w:eastAsia="Times New Roman" w:hAnsi="Arial" w:cs="Arial"/>
                <w:b/>
                <w:bCs/>
                <w:color w:val="000000"/>
                <w:sz w:val="20"/>
                <w:lang w:eastAsia="en-NZ"/>
              </w:rPr>
              <w:t xml:space="preserve">2017/18 </w:t>
            </w:r>
            <w:r w:rsidRPr="001244BB">
              <w:rPr>
                <w:rFonts w:ascii="Arial" w:eastAsia="Times New Roman" w:hAnsi="Arial" w:cs="Arial"/>
                <w:b/>
                <w:bCs/>
                <w:color w:val="000000"/>
                <w:sz w:val="20"/>
                <w:lang w:eastAsia="en-NZ"/>
              </w:rPr>
              <w:br/>
              <w:t xml:space="preserve">Actual </w:t>
            </w:r>
          </w:p>
        </w:tc>
        <w:tc>
          <w:tcPr>
            <w:tcW w:w="1253" w:type="dxa"/>
            <w:tcBorders>
              <w:left w:val="single" w:sz="4" w:space="0" w:color="FFFFFF" w:themeColor="background1"/>
              <w:right w:val="single" w:sz="4" w:space="0" w:color="FFFFFF" w:themeColor="background1"/>
            </w:tcBorders>
            <w:shd w:val="clear" w:color="auto" w:fill="FF9900"/>
            <w:vAlign w:val="bottom"/>
            <w:hideMark/>
          </w:tcPr>
          <w:p w:rsidR="003D3A6A" w:rsidRPr="001244BB" w:rsidRDefault="003D3A6A" w:rsidP="00714A05">
            <w:pPr>
              <w:spacing w:after="0" w:line="240" w:lineRule="auto"/>
              <w:jc w:val="center"/>
              <w:rPr>
                <w:rFonts w:ascii="Arial" w:eastAsia="Times New Roman" w:hAnsi="Arial" w:cs="Arial"/>
                <w:b/>
                <w:bCs/>
                <w:color w:val="000000"/>
                <w:sz w:val="20"/>
                <w:lang w:eastAsia="en-NZ"/>
              </w:rPr>
            </w:pPr>
            <w:r w:rsidRPr="001244BB">
              <w:rPr>
                <w:rFonts w:ascii="Arial" w:eastAsia="Times New Roman" w:hAnsi="Arial" w:cs="Arial"/>
                <w:b/>
                <w:bCs/>
                <w:color w:val="000000"/>
                <w:sz w:val="20"/>
                <w:lang w:eastAsia="en-NZ"/>
              </w:rPr>
              <w:t xml:space="preserve">2018/19 </w:t>
            </w:r>
            <w:r w:rsidRPr="001244BB">
              <w:rPr>
                <w:rFonts w:ascii="Arial" w:eastAsia="Times New Roman" w:hAnsi="Arial" w:cs="Arial"/>
                <w:b/>
                <w:bCs/>
                <w:color w:val="000000"/>
                <w:sz w:val="20"/>
                <w:lang w:eastAsia="en-NZ"/>
              </w:rPr>
              <w:br/>
              <w:t xml:space="preserve">Actual </w:t>
            </w:r>
          </w:p>
        </w:tc>
        <w:tc>
          <w:tcPr>
            <w:tcW w:w="1253" w:type="dxa"/>
            <w:tcBorders>
              <w:left w:val="single" w:sz="4" w:space="0" w:color="FFFFFF" w:themeColor="background1"/>
              <w:right w:val="single" w:sz="4" w:space="0" w:color="FFFFFF" w:themeColor="background1"/>
            </w:tcBorders>
            <w:shd w:val="clear" w:color="auto" w:fill="FF9900"/>
            <w:vAlign w:val="bottom"/>
            <w:hideMark/>
          </w:tcPr>
          <w:p w:rsidR="003D3A6A" w:rsidRPr="001244BB" w:rsidRDefault="00714A05" w:rsidP="00714A05">
            <w:pPr>
              <w:spacing w:after="0" w:line="240" w:lineRule="auto"/>
              <w:jc w:val="center"/>
              <w:rPr>
                <w:rFonts w:ascii="Arial" w:eastAsia="Times New Roman" w:hAnsi="Arial" w:cs="Arial"/>
                <w:b/>
                <w:bCs/>
                <w:color w:val="000000"/>
                <w:sz w:val="20"/>
                <w:lang w:eastAsia="en-NZ"/>
              </w:rPr>
            </w:pPr>
            <w:r w:rsidRPr="001244BB">
              <w:rPr>
                <w:rFonts w:ascii="Arial" w:eastAsia="Times New Roman" w:hAnsi="Arial" w:cs="Arial"/>
                <w:b/>
                <w:bCs/>
                <w:color w:val="000000"/>
                <w:sz w:val="20"/>
                <w:lang w:eastAsia="en-NZ"/>
              </w:rPr>
              <w:t xml:space="preserve">2018/19 </w:t>
            </w:r>
            <w:r>
              <w:rPr>
                <w:rFonts w:ascii="Arial" w:eastAsia="Times New Roman" w:hAnsi="Arial" w:cs="Arial"/>
                <w:b/>
                <w:bCs/>
                <w:color w:val="000000"/>
                <w:sz w:val="20"/>
                <w:lang w:eastAsia="en-NZ"/>
              </w:rPr>
              <w:t xml:space="preserve"> </w:t>
            </w:r>
            <w:r w:rsidR="003D3A6A" w:rsidRPr="001244BB">
              <w:rPr>
                <w:rFonts w:ascii="Arial" w:eastAsia="Times New Roman" w:hAnsi="Arial" w:cs="Arial"/>
                <w:b/>
                <w:bCs/>
                <w:color w:val="000000"/>
                <w:sz w:val="20"/>
                <w:lang w:eastAsia="en-NZ"/>
              </w:rPr>
              <w:t xml:space="preserve">Budget </w:t>
            </w:r>
          </w:p>
        </w:tc>
        <w:tc>
          <w:tcPr>
            <w:tcW w:w="1254" w:type="dxa"/>
            <w:tcBorders>
              <w:left w:val="single" w:sz="4" w:space="0" w:color="FFFFFF" w:themeColor="background1"/>
              <w:right w:val="single" w:sz="4" w:space="0" w:color="FFFFFF" w:themeColor="background1"/>
            </w:tcBorders>
            <w:shd w:val="clear" w:color="auto" w:fill="FF9900"/>
            <w:vAlign w:val="bottom"/>
            <w:hideMark/>
          </w:tcPr>
          <w:p w:rsidR="003D3A6A" w:rsidRPr="001244BB" w:rsidRDefault="00714A05" w:rsidP="00714A05">
            <w:pPr>
              <w:spacing w:after="0" w:line="240" w:lineRule="auto"/>
              <w:jc w:val="center"/>
              <w:rPr>
                <w:rFonts w:ascii="Arial" w:eastAsia="Times New Roman" w:hAnsi="Arial" w:cs="Arial"/>
                <w:b/>
                <w:bCs/>
                <w:color w:val="000000"/>
                <w:sz w:val="20"/>
                <w:lang w:eastAsia="en-NZ"/>
              </w:rPr>
            </w:pPr>
            <w:r w:rsidRPr="001244BB">
              <w:rPr>
                <w:rFonts w:ascii="Arial" w:eastAsia="Times New Roman" w:hAnsi="Arial" w:cs="Arial"/>
                <w:b/>
                <w:bCs/>
                <w:color w:val="000000"/>
                <w:sz w:val="20"/>
                <w:lang w:eastAsia="en-NZ"/>
              </w:rPr>
              <w:t xml:space="preserve">2018/19 </w:t>
            </w:r>
            <w:r>
              <w:rPr>
                <w:rFonts w:ascii="Arial" w:eastAsia="Times New Roman" w:hAnsi="Arial" w:cs="Arial"/>
                <w:b/>
                <w:bCs/>
                <w:color w:val="000000"/>
                <w:sz w:val="20"/>
                <w:lang w:eastAsia="en-NZ"/>
              </w:rPr>
              <w:t>Variance</w:t>
            </w:r>
          </w:p>
        </w:tc>
        <w:tc>
          <w:tcPr>
            <w:tcW w:w="4081" w:type="dxa"/>
            <w:tcBorders>
              <w:left w:val="single" w:sz="4" w:space="0" w:color="FFFFFF" w:themeColor="background1"/>
            </w:tcBorders>
            <w:shd w:val="clear" w:color="auto" w:fill="FF9900"/>
            <w:vAlign w:val="bottom"/>
            <w:hideMark/>
          </w:tcPr>
          <w:p w:rsidR="003D3A6A" w:rsidRPr="001244BB" w:rsidRDefault="003D3A6A" w:rsidP="00546A26">
            <w:pPr>
              <w:spacing w:after="0" w:line="240" w:lineRule="auto"/>
              <w:jc w:val="center"/>
              <w:rPr>
                <w:rFonts w:ascii="Arial" w:eastAsia="Times New Roman" w:hAnsi="Arial" w:cs="Arial"/>
                <w:b/>
                <w:bCs/>
                <w:color w:val="000000"/>
                <w:sz w:val="20"/>
                <w:lang w:eastAsia="en-NZ"/>
              </w:rPr>
            </w:pPr>
            <w:r w:rsidRPr="001244BB">
              <w:rPr>
                <w:rFonts w:ascii="Arial" w:eastAsia="Times New Roman" w:hAnsi="Arial" w:cs="Arial"/>
                <w:b/>
                <w:bCs/>
                <w:color w:val="000000"/>
                <w:sz w:val="20"/>
                <w:lang w:eastAsia="en-NZ"/>
              </w:rPr>
              <w:t>Variance commentary</w:t>
            </w:r>
          </w:p>
        </w:tc>
      </w:tr>
      <w:tr w:rsidR="003D3A6A" w:rsidRPr="001244BB" w:rsidTr="00C82098">
        <w:trPr>
          <w:trHeight w:val="300"/>
        </w:trPr>
        <w:tc>
          <w:tcPr>
            <w:tcW w:w="14459" w:type="dxa"/>
            <w:gridSpan w:val="7"/>
            <w:shd w:val="clear" w:color="auto" w:fill="FDE9D9" w:themeFill="accent6" w:themeFillTint="33"/>
            <w:noWrap/>
            <w:vAlign w:val="bottom"/>
            <w:hideMark/>
          </w:tcPr>
          <w:p w:rsidR="003D3A6A" w:rsidRPr="001244BB" w:rsidRDefault="003D3A6A" w:rsidP="0025274D">
            <w:pPr>
              <w:spacing w:after="0" w:line="240" w:lineRule="auto"/>
              <w:rPr>
                <w:rFonts w:ascii="Arial" w:eastAsia="Times New Roman" w:hAnsi="Arial" w:cs="Arial"/>
                <w:color w:val="000000"/>
                <w:sz w:val="20"/>
                <w:lang w:eastAsia="en-NZ"/>
              </w:rPr>
            </w:pPr>
            <w:r w:rsidRPr="001244BB">
              <w:rPr>
                <w:rFonts w:ascii="Arial" w:eastAsia="Times New Roman" w:hAnsi="Arial" w:cs="Arial"/>
                <w:b/>
                <w:bCs/>
                <w:color w:val="000000"/>
                <w:sz w:val="20"/>
                <w:lang w:eastAsia="en-NZ"/>
              </w:rPr>
              <w:t>3.1 City promotions and business support</w:t>
            </w:r>
          </w:p>
        </w:tc>
      </w:tr>
      <w:tr w:rsidR="003D3A6A" w:rsidRPr="001244BB" w:rsidTr="00C82098">
        <w:trPr>
          <w:trHeight w:val="510"/>
        </w:trPr>
        <w:tc>
          <w:tcPr>
            <w:tcW w:w="4112" w:type="dxa"/>
            <w:shd w:val="clear" w:color="auto" w:fill="auto"/>
            <w:noWrap/>
            <w:hideMark/>
          </w:tcPr>
          <w:p w:rsidR="003D3A6A" w:rsidRPr="001244BB" w:rsidRDefault="003D3A6A" w:rsidP="0025274D">
            <w:pPr>
              <w:spacing w:after="0" w:line="240" w:lineRule="auto"/>
              <w:rPr>
                <w:rFonts w:ascii="Arial" w:eastAsia="Times New Roman" w:hAnsi="Arial" w:cs="Arial"/>
                <w:color w:val="000000"/>
                <w:sz w:val="20"/>
                <w:lang w:eastAsia="en-NZ"/>
              </w:rPr>
            </w:pPr>
            <w:r w:rsidRPr="001244BB">
              <w:rPr>
                <w:rFonts w:ascii="Arial" w:eastAsia="Times New Roman" w:hAnsi="Arial" w:cs="Arial"/>
                <w:color w:val="000000"/>
                <w:sz w:val="20"/>
                <w:lang w:eastAsia="en-NZ"/>
              </w:rPr>
              <w:t>Expenditure</w:t>
            </w:r>
          </w:p>
        </w:tc>
        <w:tc>
          <w:tcPr>
            <w:tcW w:w="1253" w:type="dxa"/>
            <w:shd w:val="clear" w:color="auto" w:fill="auto"/>
            <w:noWrap/>
            <w:hideMark/>
          </w:tcPr>
          <w:p w:rsidR="003D3A6A" w:rsidRPr="001244BB" w:rsidRDefault="003D3A6A" w:rsidP="0025274D">
            <w:pPr>
              <w:spacing w:after="0" w:line="240" w:lineRule="auto"/>
              <w:jc w:val="right"/>
              <w:rPr>
                <w:rFonts w:ascii="Arial" w:eastAsia="Times New Roman" w:hAnsi="Arial" w:cs="Arial"/>
                <w:color w:val="000000"/>
                <w:sz w:val="20"/>
                <w:lang w:eastAsia="en-NZ"/>
              </w:rPr>
            </w:pPr>
            <w:r w:rsidRPr="001244BB">
              <w:rPr>
                <w:rFonts w:ascii="Arial" w:eastAsia="Times New Roman" w:hAnsi="Arial" w:cs="Arial"/>
                <w:color w:val="000000"/>
                <w:sz w:val="20"/>
                <w:lang w:eastAsia="en-NZ"/>
              </w:rPr>
              <w:t>42,434</w:t>
            </w:r>
          </w:p>
        </w:tc>
        <w:tc>
          <w:tcPr>
            <w:tcW w:w="1253" w:type="dxa"/>
            <w:shd w:val="clear" w:color="auto" w:fill="auto"/>
            <w:noWrap/>
            <w:hideMark/>
          </w:tcPr>
          <w:p w:rsidR="003D3A6A" w:rsidRPr="001244BB" w:rsidRDefault="006C5FB5" w:rsidP="0025274D">
            <w:pPr>
              <w:spacing w:after="0" w:line="240" w:lineRule="auto"/>
              <w:jc w:val="right"/>
              <w:rPr>
                <w:rFonts w:ascii="Arial" w:eastAsia="Times New Roman" w:hAnsi="Arial" w:cs="Arial"/>
                <w:color w:val="000000"/>
                <w:sz w:val="20"/>
                <w:lang w:eastAsia="en-NZ"/>
              </w:rPr>
            </w:pPr>
            <w:r>
              <w:rPr>
                <w:rFonts w:ascii="Arial" w:eastAsia="Times New Roman" w:hAnsi="Arial" w:cs="Arial"/>
                <w:color w:val="000000"/>
                <w:sz w:val="20"/>
                <w:lang w:eastAsia="en-NZ"/>
              </w:rPr>
              <w:t>37,051</w:t>
            </w:r>
          </w:p>
        </w:tc>
        <w:tc>
          <w:tcPr>
            <w:tcW w:w="1253" w:type="dxa"/>
            <w:shd w:val="clear" w:color="000000" w:fill="E8E8E8"/>
            <w:noWrap/>
            <w:hideMark/>
          </w:tcPr>
          <w:p w:rsidR="003D3A6A" w:rsidRPr="001244BB" w:rsidRDefault="001E281A" w:rsidP="0025274D">
            <w:pPr>
              <w:spacing w:after="0" w:line="240" w:lineRule="auto"/>
              <w:jc w:val="right"/>
              <w:rPr>
                <w:rFonts w:ascii="Arial" w:eastAsia="Times New Roman" w:hAnsi="Arial" w:cs="Arial"/>
                <w:color w:val="000000"/>
                <w:sz w:val="20"/>
                <w:lang w:eastAsia="en-NZ"/>
              </w:rPr>
            </w:pPr>
            <w:r>
              <w:rPr>
                <w:rFonts w:ascii="Arial" w:eastAsia="Times New Roman" w:hAnsi="Arial" w:cs="Arial"/>
                <w:color w:val="000000"/>
                <w:sz w:val="20"/>
                <w:lang w:eastAsia="en-NZ"/>
              </w:rPr>
              <w:t>34,954</w:t>
            </w:r>
          </w:p>
        </w:tc>
        <w:tc>
          <w:tcPr>
            <w:tcW w:w="1253" w:type="dxa"/>
            <w:shd w:val="clear" w:color="000000" w:fill="E8E8E8"/>
            <w:noWrap/>
            <w:hideMark/>
          </w:tcPr>
          <w:p w:rsidR="003D3A6A" w:rsidRPr="001244BB" w:rsidRDefault="003D3A6A" w:rsidP="0025274D">
            <w:pPr>
              <w:spacing w:after="0" w:line="240" w:lineRule="auto"/>
              <w:jc w:val="right"/>
              <w:rPr>
                <w:rFonts w:ascii="Arial" w:eastAsia="Times New Roman" w:hAnsi="Arial" w:cs="Arial"/>
                <w:color w:val="000000"/>
                <w:sz w:val="20"/>
                <w:lang w:eastAsia="en-NZ"/>
              </w:rPr>
            </w:pPr>
            <w:r w:rsidRPr="001244BB">
              <w:rPr>
                <w:rFonts w:ascii="Arial" w:eastAsia="Times New Roman" w:hAnsi="Arial" w:cs="Arial"/>
                <w:color w:val="000000"/>
                <w:sz w:val="20"/>
                <w:lang w:eastAsia="en-NZ"/>
              </w:rPr>
              <w:t>36,366</w:t>
            </w:r>
          </w:p>
        </w:tc>
        <w:tc>
          <w:tcPr>
            <w:tcW w:w="1254" w:type="dxa"/>
            <w:shd w:val="clear" w:color="000000" w:fill="E8E8E8"/>
            <w:noWrap/>
            <w:hideMark/>
          </w:tcPr>
          <w:p w:rsidR="003D3A6A" w:rsidRPr="001244BB" w:rsidRDefault="001E281A" w:rsidP="0025274D">
            <w:pPr>
              <w:spacing w:after="0" w:line="240" w:lineRule="auto"/>
              <w:jc w:val="right"/>
              <w:rPr>
                <w:rFonts w:ascii="Arial" w:eastAsia="Times New Roman" w:hAnsi="Arial" w:cs="Arial"/>
                <w:color w:val="000000"/>
                <w:sz w:val="20"/>
                <w:lang w:eastAsia="en-NZ"/>
              </w:rPr>
            </w:pPr>
            <w:r>
              <w:rPr>
                <w:rFonts w:ascii="Arial" w:eastAsia="Times New Roman" w:hAnsi="Arial" w:cs="Arial"/>
                <w:color w:val="000000"/>
                <w:sz w:val="20"/>
                <w:lang w:eastAsia="en-NZ"/>
              </w:rPr>
              <w:t>1,412</w:t>
            </w:r>
          </w:p>
        </w:tc>
        <w:tc>
          <w:tcPr>
            <w:tcW w:w="4081" w:type="dxa"/>
            <w:shd w:val="clear" w:color="auto" w:fill="auto"/>
            <w:vAlign w:val="bottom"/>
            <w:hideMark/>
          </w:tcPr>
          <w:p w:rsidR="003D3A6A" w:rsidRPr="001244BB" w:rsidRDefault="000319A5" w:rsidP="0025274D">
            <w:pPr>
              <w:spacing w:after="0" w:line="240" w:lineRule="auto"/>
              <w:rPr>
                <w:rFonts w:ascii="Arial" w:eastAsia="Times New Roman" w:hAnsi="Arial" w:cs="Arial"/>
                <w:color w:val="000000"/>
                <w:sz w:val="20"/>
                <w:lang w:eastAsia="en-NZ"/>
              </w:rPr>
            </w:pPr>
            <w:r w:rsidRPr="003006AA">
              <w:rPr>
                <w:rFonts w:ascii="Arial" w:eastAsia="Times New Roman" w:hAnsi="Arial" w:cs="Arial"/>
                <w:color w:val="000000"/>
                <w:sz w:val="20"/>
                <w:lang w:eastAsia="en-NZ"/>
              </w:rPr>
              <w:t xml:space="preserve">Under budget due to </w:t>
            </w:r>
            <w:r>
              <w:rPr>
                <w:rFonts w:ascii="Arial" w:eastAsia="Times New Roman" w:hAnsi="Arial" w:cs="Arial"/>
                <w:color w:val="000000"/>
                <w:sz w:val="20"/>
                <w:lang w:eastAsia="en-NZ"/>
              </w:rPr>
              <w:t>reduced costs arising from reduction in revenue programmes as a result of building closures for strengthening work.</w:t>
            </w:r>
          </w:p>
        </w:tc>
      </w:tr>
      <w:tr w:rsidR="003D3A6A" w:rsidRPr="001244BB" w:rsidTr="00714A05">
        <w:trPr>
          <w:trHeight w:val="279"/>
        </w:trPr>
        <w:tc>
          <w:tcPr>
            <w:tcW w:w="4112" w:type="dxa"/>
            <w:shd w:val="clear" w:color="auto" w:fill="auto"/>
            <w:noWrap/>
            <w:hideMark/>
          </w:tcPr>
          <w:p w:rsidR="003D3A6A" w:rsidRPr="001244BB" w:rsidRDefault="003D3A6A" w:rsidP="0025274D">
            <w:pPr>
              <w:spacing w:after="0" w:line="240" w:lineRule="auto"/>
              <w:rPr>
                <w:rFonts w:ascii="Arial" w:eastAsia="Times New Roman" w:hAnsi="Arial" w:cs="Arial"/>
                <w:color w:val="000000"/>
                <w:sz w:val="20"/>
                <w:lang w:eastAsia="en-NZ"/>
              </w:rPr>
            </w:pPr>
            <w:r w:rsidRPr="001244BB">
              <w:rPr>
                <w:rFonts w:ascii="Arial" w:eastAsia="Times New Roman" w:hAnsi="Arial" w:cs="Arial"/>
                <w:color w:val="000000"/>
                <w:sz w:val="20"/>
                <w:lang w:eastAsia="en-NZ"/>
              </w:rPr>
              <w:t>Revenue</w:t>
            </w:r>
          </w:p>
        </w:tc>
        <w:tc>
          <w:tcPr>
            <w:tcW w:w="1253" w:type="dxa"/>
            <w:shd w:val="clear" w:color="auto" w:fill="auto"/>
            <w:noWrap/>
            <w:hideMark/>
          </w:tcPr>
          <w:p w:rsidR="003D3A6A" w:rsidRPr="001244BB" w:rsidRDefault="003D3A6A" w:rsidP="0025274D">
            <w:pPr>
              <w:spacing w:after="0" w:line="240" w:lineRule="auto"/>
              <w:jc w:val="right"/>
              <w:rPr>
                <w:rFonts w:ascii="Arial" w:eastAsia="Times New Roman" w:hAnsi="Arial" w:cs="Arial"/>
                <w:color w:val="000000"/>
                <w:sz w:val="20"/>
                <w:lang w:eastAsia="en-NZ"/>
              </w:rPr>
            </w:pPr>
            <w:r w:rsidRPr="001244BB">
              <w:rPr>
                <w:rFonts w:ascii="Arial" w:eastAsia="Times New Roman" w:hAnsi="Arial" w:cs="Arial"/>
                <w:color w:val="000000"/>
                <w:sz w:val="20"/>
                <w:lang w:eastAsia="en-NZ"/>
              </w:rPr>
              <w:t>(14,541)</w:t>
            </w:r>
          </w:p>
        </w:tc>
        <w:tc>
          <w:tcPr>
            <w:tcW w:w="1253" w:type="dxa"/>
            <w:shd w:val="clear" w:color="auto" w:fill="auto"/>
            <w:noWrap/>
            <w:hideMark/>
          </w:tcPr>
          <w:p w:rsidR="003D3A6A" w:rsidRPr="001244BB" w:rsidRDefault="003D3A6A" w:rsidP="006C5FB5">
            <w:pPr>
              <w:spacing w:after="0" w:line="240" w:lineRule="auto"/>
              <w:jc w:val="right"/>
              <w:rPr>
                <w:rFonts w:ascii="Arial" w:eastAsia="Times New Roman" w:hAnsi="Arial" w:cs="Arial"/>
                <w:color w:val="000000"/>
                <w:sz w:val="20"/>
                <w:lang w:eastAsia="en-NZ"/>
              </w:rPr>
            </w:pPr>
            <w:r w:rsidRPr="001244BB">
              <w:rPr>
                <w:rFonts w:ascii="Arial" w:eastAsia="Times New Roman" w:hAnsi="Arial" w:cs="Arial"/>
                <w:color w:val="000000"/>
                <w:sz w:val="20"/>
                <w:lang w:eastAsia="en-NZ"/>
              </w:rPr>
              <w:t>(14,</w:t>
            </w:r>
            <w:r w:rsidR="006C5FB5" w:rsidRPr="001244BB">
              <w:rPr>
                <w:rFonts w:ascii="Arial" w:eastAsia="Times New Roman" w:hAnsi="Arial" w:cs="Arial"/>
                <w:color w:val="000000"/>
                <w:sz w:val="20"/>
                <w:lang w:eastAsia="en-NZ"/>
              </w:rPr>
              <w:t>0</w:t>
            </w:r>
            <w:r w:rsidR="006C5FB5">
              <w:rPr>
                <w:rFonts w:ascii="Arial" w:eastAsia="Times New Roman" w:hAnsi="Arial" w:cs="Arial"/>
                <w:color w:val="000000"/>
                <w:sz w:val="20"/>
                <w:lang w:eastAsia="en-NZ"/>
              </w:rPr>
              <w:t>40</w:t>
            </w:r>
            <w:r w:rsidRPr="001244BB">
              <w:rPr>
                <w:rFonts w:ascii="Arial" w:eastAsia="Times New Roman" w:hAnsi="Arial" w:cs="Arial"/>
                <w:color w:val="000000"/>
                <w:sz w:val="20"/>
                <w:lang w:eastAsia="en-NZ"/>
              </w:rPr>
              <w:t>)</w:t>
            </w:r>
          </w:p>
        </w:tc>
        <w:tc>
          <w:tcPr>
            <w:tcW w:w="1253" w:type="dxa"/>
            <w:shd w:val="clear" w:color="000000" w:fill="E8E8E8"/>
            <w:noWrap/>
            <w:hideMark/>
          </w:tcPr>
          <w:p w:rsidR="003D3A6A" w:rsidRPr="001244BB" w:rsidRDefault="001E281A" w:rsidP="0025274D">
            <w:pPr>
              <w:spacing w:after="0" w:line="240" w:lineRule="auto"/>
              <w:jc w:val="right"/>
              <w:rPr>
                <w:rFonts w:ascii="Arial" w:eastAsia="Times New Roman" w:hAnsi="Arial" w:cs="Arial"/>
                <w:color w:val="000000"/>
                <w:sz w:val="20"/>
                <w:lang w:eastAsia="en-NZ"/>
              </w:rPr>
            </w:pPr>
            <w:r>
              <w:rPr>
                <w:rFonts w:ascii="Arial" w:eastAsia="Times New Roman" w:hAnsi="Arial" w:cs="Arial"/>
                <w:color w:val="000000"/>
                <w:sz w:val="20"/>
                <w:lang w:eastAsia="en-NZ"/>
              </w:rPr>
              <w:t>(14,191)</w:t>
            </w:r>
          </w:p>
        </w:tc>
        <w:tc>
          <w:tcPr>
            <w:tcW w:w="1253" w:type="dxa"/>
            <w:shd w:val="clear" w:color="000000" w:fill="E8E8E8"/>
            <w:noWrap/>
            <w:hideMark/>
          </w:tcPr>
          <w:p w:rsidR="003D3A6A" w:rsidRPr="001244BB" w:rsidRDefault="003D3A6A" w:rsidP="0025274D">
            <w:pPr>
              <w:spacing w:after="0" w:line="240" w:lineRule="auto"/>
              <w:jc w:val="right"/>
              <w:rPr>
                <w:rFonts w:ascii="Arial" w:eastAsia="Times New Roman" w:hAnsi="Arial" w:cs="Arial"/>
                <w:color w:val="000000"/>
                <w:sz w:val="20"/>
                <w:lang w:eastAsia="en-NZ"/>
              </w:rPr>
            </w:pPr>
            <w:r w:rsidRPr="001244BB">
              <w:rPr>
                <w:rFonts w:ascii="Arial" w:eastAsia="Times New Roman" w:hAnsi="Arial" w:cs="Arial"/>
                <w:color w:val="000000"/>
                <w:sz w:val="20"/>
                <w:lang w:eastAsia="en-NZ"/>
              </w:rPr>
              <w:t>(14,643)</w:t>
            </w:r>
          </w:p>
        </w:tc>
        <w:tc>
          <w:tcPr>
            <w:tcW w:w="1254" w:type="dxa"/>
            <w:shd w:val="clear" w:color="000000" w:fill="E8E8E8"/>
            <w:noWrap/>
            <w:hideMark/>
          </w:tcPr>
          <w:p w:rsidR="003D3A6A" w:rsidRPr="001244BB" w:rsidRDefault="001E281A" w:rsidP="0025274D">
            <w:pPr>
              <w:spacing w:after="0" w:line="240" w:lineRule="auto"/>
              <w:jc w:val="right"/>
              <w:rPr>
                <w:rFonts w:ascii="Arial" w:eastAsia="Times New Roman" w:hAnsi="Arial" w:cs="Arial"/>
                <w:color w:val="000000"/>
                <w:sz w:val="20"/>
                <w:lang w:eastAsia="en-NZ"/>
              </w:rPr>
            </w:pPr>
            <w:r>
              <w:rPr>
                <w:rFonts w:ascii="Arial" w:eastAsia="Times New Roman" w:hAnsi="Arial" w:cs="Arial"/>
                <w:color w:val="000000"/>
                <w:sz w:val="20"/>
                <w:lang w:eastAsia="en-NZ"/>
              </w:rPr>
              <w:t>(451)</w:t>
            </w:r>
          </w:p>
        </w:tc>
        <w:tc>
          <w:tcPr>
            <w:tcW w:w="4081" w:type="dxa"/>
            <w:shd w:val="clear" w:color="auto" w:fill="auto"/>
            <w:vAlign w:val="bottom"/>
            <w:hideMark/>
          </w:tcPr>
          <w:p w:rsidR="003D3A6A" w:rsidRPr="001244BB" w:rsidRDefault="003D3A6A" w:rsidP="0025274D">
            <w:pPr>
              <w:spacing w:after="0" w:line="240" w:lineRule="auto"/>
              <w:rPr>
                <w:rFonts w:ascii="Arial" w:eastAsia="Times New Roman" w:hAnsi="Arial" w:cs="Arial"/>
                <w:color w:val="000000"/>
                <w:sz w:val="20"/>
                <w:lang w:eastAsia="en-NZ"/>
              </w:rPr>
            </w:pPr>
          </w:p>
        </w:tc>
      </w:tr>
      <w:tr w:rsidR="003D3A6A" w:rsidRPr="001244BB" w:rsidTr="00C82098">
        <w:trPr>
          <w:trHeight w:val="300"/>
        </w:trPr>
        <w:tc>
          <w:tcPr>
            <w:tcW w:w="4112" w:type="dxa"/>
            <w:shd w:val="clear" w:color="auto" w:fill="auto"/>
            <w:noWrap/>
            <w:hideMark/>
          </w:tcPr>
          <w:p w:rsidR="003D3A6A" w:rsidRPr="001244BB" w:rsidRDefault="003D3A6A" w:rsidP="0025274D">
            <w:pPr>
              <w:spacing w:after="0" w:line="240" w:lineRule="auto"/>
              <w:rPr>
                <w:rFonts w:ascii="Arial" w:eastAsia="Times New Roman" w:hAnsi="Arial" w:cs="Arial"/>
                <w:color w:val="000000"/>
                <w:sz w:val="20"/>
                <w:lang w:eastAsia="en-NZ"/>
              </w:rPr>
            </w:pPr>
            <w:r w:rsidRPr="001244BB">
              <w:rPr>
                <w:rFonts w:ascii="Arial" w:eastAsia="Times New Roman" w:hAnsi="Arial" w:cs="Arial"/>
                <w:color w:val="000000"/>
                <w:sz w:val="20"/>
                <w:lang w:eastAsia="en-NZ"/>
              </w:rPr>
              <w:t>Net Expenditure</w:t>
            </w:r>
          </w:p>
        </w:tc>
        <w:tc>
          <w:tcPr>
            <w:tcW w:w="1253" w:type="dxa"/>
            <w:shd w:val="clear" w:color="auto" w:fill="auto"/>
            <w:noWrap/>
            <w:hideMark/>
          </w:tcPr>
          <w:p w:rsidR="003D3A6A" w:rsidRPr="001244BB" w:rsidRDefault="003D3A6A" w:rsidP="0025274D">
            <w:pPr>
              <w:spacing w:after="0" w:line="240" w:lineRule="auto"/>
              <w:jc w:val="right"/>
              <w:rPr>
                <w:rFonts w:ascii="Arial" w:eastAsia="Times New Roman" w:hAnsi="Arial" w:cs="Arial"/>
                <w:color w:val="000000"/>
                <w:sz w:val="20"/>
                <w:lang w:eastAsia="en-NZ"/>
              </w:rPr>
            </w:pPr>
            <w:r w:rsidRPr="001244BB">
              <w:rPr>
                <w:rFonts w:ascii="Arial" w:eastAsia="Times New Roman" w:hAnsi="Arial" w:cs="Arial"/>
                <w:color w:val="000000"/>
                <w:sz w:val="20"/>
                <w:lang w:eastAsia="en-NZ"/>
              </w:rPr>
              <w:t>27,892</w:t>
            </w:r>
          </w:p>
        </w:tc>
        <w:tc>
          <w:tcPr>
            <w:tcW w:w="1253" w:type="dxa"/>
            <w:shd w:val="clear" w:color="auto" w:fill="auto"/>
            <w:noWrap/>
            <w:hideMark/>
          </w:tcPr>
          <w:p w:rsidR="003D3A6A" w:rsidRPr="001244BB" w:rsidRDefault="006C5FB5" w:rsidP="0025274D">
            <w:pPr>
              <w:spacing w:after="0" w:line="240" w:lineRule="auto"/>
              <w:jc w:val="right"/>
              <w:rPr>
                <w:rFonts w:ascii="Arial" w:eastAsia="Times New Roman" w:hAnsi="Arial" w:cs="Arial"/>
                <w:color w:val="000000"/>
                <w:sz w:val="20"/>
                <w:lang w:eastAsia="en-NZ"/>
              </w:rPr>
            </w:pPr>
            <w:r>
              <w:rPr>
                <w:rFonts w:ascii="Arial" w:eastAsia="Times New Roman" w:hAnsi="Arial" w:cs="Arial"/>
                <w:color w:val="000000"/>
                <w:sz w:val="20"/>
                <w:lang w:eastAsia="en-NZ"/>
              </w:rPr>
              <w:t>23,011</w:t>
            </w:r>
          </w:p>
        </w:tc>
        <w:tc>
          <w:tcPr>
            <w:tcW w:w="1253" w:type="dxa"/>
            <w:shd w:val="clear" w:color="000000" w:fill="E8E8E8"/>
            <w:noWrap/>
            <w:hideMark/>
          </w:tcPr>
          <w:p w:rsidR="003D3A6A" w:rsidRPr="001244BB" w:rsidRDefault="003D3A6A" w:rsidP="001E281A">
            <w:pPr>
              <w:spacing w:after="0" w:line="240" w:lineRule="auto"/>
              <w:jc w:val="right"/>
              <w:rPr>
                <w:rFonts w:ascii="Arial" w:eastAsia="Times New Roman" w:hAnsi="Arial" w:cs="Arial"/>
                <w:color w:val="000000"/>
                <w:sz w:val="20"/>
                <w:lang w:eastAsia="en-NZ"/>
              </w:rPr>
            </w:pPr>
            <w:r w:rsidRPr="001244BB">
              <w:rPr>
                <w:rFonts w:ascii="Arial" w:eastAsia="Times New Roman" w:hAnsi="Arial" w:cs="Arial"/>
                <w:color w:val="000000"/>
                <w:sz w:val="20"/>
                <w:lang w:eastAsia="en-NZ"/>
              </w:rPr>
              <w:t>20,</w:t>
            </w:r>
            <w:r w:rsidR="001E281A">
              <w:rPr>
                <w:rFonts w:ascii="Arial" w:eastAsia="Times New Roman" w:hAnsi="Arial" w:cs="Arial"/>
                <w:color w:val="000000"/>
                <w:sz w:val="20"/>
                <w:lang w:eastAsia="en-NZ"/>
              </w:rPr>
              <w:t>763</w:t>
            </w:r>
          </w:p>
        </w:tc>
        <w:tc>
          <w:tcPr>
            <w:tcW w:w="1253" w:type="dxa"/>
            <w:shd w:val="clear" w:color="000000" w:fill="E8E8E8"/>
            <w:noWrap/>
            <w:hideMark/>
          </w:tcPr>
          <w:p w:rsidR="003D3A6A" w:rsidRPr="001244BB" w:rsidRDefault="003D3A6A" w:rsidP="0025274D">
            <w:pPr>
              <w:spacing w:after="0" w:line="240" w:lineRule="auto"/>
              <w:jc w:val="right"/>
              <w:rPr>
                <w:rFonts w:ascii="Arial" w:eastAsia="Times New Roman" w:hAnsi="Arial" w:cs="Arial"/>
                <w:color w:val="000000"/>
                <w:sz w:val="20"/>
                <w:lang w:eastAsia="en-NZ"/>
              </w:rPr>
            </w:pPr>
            <w:r w:rsidRPr="001244BB">
              <w:rPr>
                <w:rFonts w:ascii="Arial" w:eastAsia="Times New Roman" w:hAnsi="Arial" w:cs="Arial"/>
                <w:color w:val="000000"/>
                <w:sz w:val="20"/>
                <w:lang w:eastAsia="en-NZ"/>
              </w:rPr>
              <w:t>21,723</w:t>
            </w:r>
          </w:p>
        </w:tc>
        <w:tc>
          <w:tcPr>
            <w:tcW w:w="1254" w:type="dxa"/>
            <w:shd w:val="clear" w:color="000000" w:fill="E8E8E8"/>
            <w:noWrap/>
            <w:hideMark/>
          </w:tcPr>
          <w:p w:rsidR="003D3A6A" w:rsidRPr="001244BB" w:rsidRDefault="001E281A" w:rsidP="001E281A">
            <w:pPr>
              <w:spacing w:after="0" w:line="240" w:lineRule="auto"/>
              <w:jc w:val="right"/>
              <w:rPr>
                <w:rFonts w:ascii="Arial" w:eastAsia="Times New Roman" w:hAnsi="Arial" w:cs="Arial"/>
                <w:color w:val="000000"/>
                <w:sz w:val="20"/>
                <w:lang w:eastAsia="en-NZ"/>
              </w:rPr>
            </w:pPr>
            <w:r w:rsidRPr="001244BB">
              <w:rPr>
                <w:rFonts w:ascii="Arial" w:eastAsia="Times New Roman" w:hAnsi="Arial" w:cs="Arial"/>
                <w:color w:val="000000"/>
                <w:sz w:val="20"/>
                <w:lang w:eastAsia="en-NZ"/>
              </w:rPr>
              <w:t>9</w:t>
            </w:r>
            <w:r>
              <w:rPr>
                <w:rFonts w:ascii="Arial" w:eastAsia="Times New Roman" w:hAnsi="Arial" w:cs="Arial"/>
                <w:color w:val="000000"/>
                <w:sz w:val="20"/>
                <w:lang w:eastAsia="en-NZ"/>
              </w:rPr>
              <w:t>60</w:t>
            </w:r>
          </w:p>
        </w:tc>
        <w:tc>
          <w:tcPr>
            <w:tcW w:w="4081" w:type="dxa"/>
            <w:shd w:val="clear" w:color="auto" w:fill="auto"/>
            <w:vAlign w:val="bottom"/>
            <w:hideMark/>
          </w:tcPr>
          <w:p w:rsidR="003D3A6A" w:rsidRPr="001244BB" w:rsidRDefault="003D3A6A" w:rsidP="0025274D">
            <w:pPr>
              <w:spacing w:after="0" w:line="240" w:lineRule="auto"/>
              <w:rPr>
                <w:rFonts w:ascii="Arial" w:eastAsia="Times New Roman" w:hAnsi="Arial" w:cs="Arial"/>
                <w:color w:val="000000"/>
                <w:sz w:val="20"/>
                <w:lang w:eastAsia="en-NZ"/>
              </w:rPr>
            </w:pPr>
            <w:r w:rsidRPr="001244BB">
              <w:rPr>
                <w:rFonts w:ascii="Arial" w:eastAsia="Times New Roman" w:hAnsi="Arial" w:cs="Arial"/>
                <w:color w:val="000000"/>
                <w:sz w:val="20"/>
                <w:lang w:eastAsia="en-NZ"/>
              </w:rPr>
              <w:t> </w:t>
            </w:r>
          </w:p>
        </w:tc>
      </w:tr>
      <w:tr w:rsidR="003D3A6A" w:rsidRPr="001244BB" w:rsidTr="00C82098">
        <w:trPr>
          <w:trHeight w:val="300"/>
        </w:trPr>
        <w:tc>
          <w:tcPr>
            <w:tcW w:w="4112" w:type="dxa"/>
            <w:shd w:val="clear" w:color="auto" w:fill="FBD4B4" w:themeFill="accent6" w:themeFillTint="66"/>
            <w:noWrap/>
            <w:vAlign w:val="bottom"/>
            <w:hideMark/>
          </w:tcPr>
          <w:p w:rsidR="003D3A6A" w:rsidRPr="001244BB" w:rsidRDefault="003D3A6A" w:rsidP="0025274D">
            <w:pPr>
              <w:spacing w:after="0" w:line="240" w:lineRule="auto"/>
              <w:rPr>
                <w:rFonts w:ascii="Arial" w:eastAsia="Times New Roman" w:hAnsi="Arial" w:cs="Arial"/>
                <w:b/>
                <w:bCs/>
                <w:color w:val="000000"/>
                <w:sz w:val="20"/>
                <w:lang w:eastAsia="en-NZ"/>
              </w:rPr>
            </w:pPr>
            <w:r w:rsidRPr="001244BB">
              <w:rPr>
                <w:rFonts w:ascii="Arial" w:eastAsia="Times New Roman" w:hAnsi="Arial" w:cs="Arial"/>
                <w:b/>
                <w:bCs/>
                <w:color w:val="000000"/>
                <w:sz w:val="20"/>
                <w:lang w:eastAsia="en-NZ"/>
              </w:rPr>
              <w:t>Economic Development Total</w:t>
            </w:r>
            <w:r>
              <w:rPr>
                <w:rFonts w:ascii="Arial" w:eastAsia="Times New Roman" w:hAnsi="Arial" w:cs="Arial"/>
                <w:b/>
                <w:bCs/>
                <w:color w:val="000000"/>
                <w:sz w:val="20"/>
                <w:lang w:eastAsia="en-NZ"/>
              </w:rPr>
              <w:t>:</w:t>
            </w:r>
          </w:p>
        </w:tc>
        <w:tc>
          <w:tcPr>
            <w:tcW w:w="1253" w:type="dxa"/>
            <w:shd w:val="clear" w:color="auto" w:fill="FBD4B4" w:themeFill="accent6" w:themeFillTint="66"/>
            <w:noWrap/>
            <w:hideMark/>
          </w:tcPr>
          <w:p w:rsidR="003D3A6A" w:rsidRPr="001244BB" w:rsidRDefault="003D3A6A" w:rsidP="0025274D">
            <w:pPr>
              <w:spacing w:after="0" w:line="240" w:lineRule="auto"/>
              <w:jc w:val="right"/>
              <w:rPr>
                <w:rFonts w:ascii="Arial" w:eastAsia="Times New Roman" w:hAnsi="Arial" w:cs="Arial"/>
                <w:color w:val="000000"/>
                <w:sz w:val="20"/>
                <w:lang w:eastAsia="en-NZ"/>
              </w:rPr>
            </w:pPr>
            <w:r w:rsidRPr="001244BB">
              <w:rPr>
                <w:rFonts w:ascii="Arial" w:eastAsia="Times New Roman" w:hAnsi="Arial" w:cs="Arial"/>
                <w:color w:val="000000"/>
                <w:sz w:val="20"/>
                <w:lang w:eastAsia="en-NZ"/>
              </w:rPr>
              <w:t> </w:t>
            </w:r>
          </w:p>
        </w:tc>
        <w:tc>
          <w:tcPr>
            <w:tcW w:w="1253" w:type="dxa"/>
            <w:shd w:val="clear" w:color="auto" w:fill="FBD4B4" w:themeFill="accent6" w:themeFillTint="66"/>
            <w:noWrap/>
            <w:hideMark/>
          </w:tcPr>
          <w:p w:rsidR="003D3A6A" w:rsidRPr="001244BB" w:rsidRDefault="003D3A6A" w:rsidP="0025274D">
            <w:pPr>
              <w:spacing w:after="0" w:line="240" w:lineRule="auto"/>
              <w:jc w:val="right"/>
              <w:rPr>
                <w:rFonts w:ascii="Arial" w:eastAsia="Times New Roman" w:hAnsi="Arial" w:cs="Arial"/>
                <w:color w:val="000000"/>
                <w:sz w:val="20"/>
                <w:lang w:eastAsia="en-NZ"/>
              </w:rPr>
            </w:pPr>
            <w:r w:rsidRPr="001244BB">
              <w:rPr>
                <w:rFonts w:ascii="Arial" w:eastAsia="Times New Roman" w:hAnsi="Arial" w:cs="Arial"/>
                <w:color w:val="000000"/>
                <w:sz w:val="20"/>
                <w:lang w:eastAsia="en-NZ"/>
              </w:rPr>
              <w:t> </w:t>
            </w:r>
          </w:p>
        </w:tc>
        <w:tc>
          <w:tcPr>
            <w:tcW w:w="1253" w:type="dxa"/>
            <w:shd w:val="clear" w:color="auto" w:fill="FBD4B4" w:themeFill="accent6" w:themeFillTint="66"/>
            <w:noWrap/>
            <w:hideMark/>
          </w:tcPr>
          <w:p w:rsidR="003D3A6A" w:rsidRPr="001244BB" w:rsidRDefault="003D3A6A" w:rsidP="0025274D">
            <w:pPr>
              <w:spacing w:after="0" w:line="240" w:lineRule="auto"/>
              <w:jc w:val="right"/>
              <w:rPr>
                <w:rFonts w:ascii="Arial" w:eastAsia="Times New Roman" w:hAnsi="Arial" w:cs="Arial"/>
                <w:color w:val="000000"/>
                <w:sz w:val="20"/>
                <w:lang w:eastAsia="en-NZ"/>
              </w:rPr>
            </w:pPr>
            <w:r w:rsidRPr="001244BB">
              <w:rPr>
                <w:rFonts w:ascii="Arial" w:eastAsia="Times New Roman" w:hAnsi="Arial" w:cs="Arial"/>
                <w:color w:val="000000"/>
                <w:sz w:val="20"/>
                <w:lang w:eastAsia="en-NZ"/>
              </w:rPr>
              <w:t> </w:t>
            </w:r>
          </w:p>
        </w:tc>
        <w:tc>
          <w:tcPr>
            <w:tcW w:w="1253" w:type="dxa"/>
            <w:shd w:val="clear" w:color="auto" w:fill="FBD4B4" w:themeFill="accent6" w:themeFillTint="66"/>
            <w:noWrap/>
            <w:hideMark/>
          </w:tcPr>
          <w:p w:rsidR="003D3A6A" w:rsidRPr="001244BB" w:rsidRDefault="003D3A6A" w:rsidP="0025274D">
            <w:pPr>
              <w:spacing w:after="0" w:line="240" w:lineRule="auto"/>
              <w:jc w:val="right"/>
              <w:rPr>
                <w:rFonts w:ascii="Arial" w:eastAsia="Times New Roman" w:hAnsi="Arial" w:cs="Arial"/>
                <w:color w:val="000000"/>
                <w:sz w:val="20"/>
                <w:lang w:eastAsia="en-NZ"/>
              </w:rPr>
            </w:pPr>
            <w:r w:rsidRPr="001244BB">
              <w:rPr>
                <w:rFonts w:ascii="Arial" w:eastAsia="Times New Roman" w:hAnsi="Arial" w:cs="Arial"/>
                <w:color w:val="000000"/>
                <w:sz w:val="20"/>
                <w:lang w:eastAsia="en-NZ"/>
              </w:rPr>
              <w:t> </w:t>
            </w:r>
          </w:p>
        </w:tc>
        <w:tc>
          <w:tcPr>
            <w:tcW w:w="1254" w:type="dxa"/>
            <w:shd w:val="clear" w:color="auto" w:fill="FBD4B4" w:themeFill="accent6" w:themeFillTint="66"/>
            <w:noWrap/>
            <w:hideMark/>
          </w:tcPr>
          <w:p w:rsidR="003D3A6A" w:rsidRPr="001244BB" w:rsidRDefault="003D3A6A" w:rsidP="0025274D">
            <w:pPr>
              <w:spacing w:after="0" w:line="240" w:lineRule="auto"/>
              <w:jc w:val="right"/>
              <w:rPr>
                <w:rFonts w:ascii="Arial" w:eastAsia="Times New Roman" w:hAnsi="Arial" w:cs="Arial"/>
                <w:color w:val="000000"/>
                <w:sz w:val="20"/>
                <w:lang w:eastAsia="en-NZ"/>
              </w:rPr>
            </w:pPr>
            <w:r w:rsidRPr="001244BB">
              <w:rPr>
                <w:rFonts w:ascii="Arial" w:eastAsia="Times New Roman" w:hAnsi="Arial" w:cs="Arial"/>
                <w:color w:val="000000"/>
                <w:sz w:val="20"/>
                <w:lang w:eastAsia="en-NZ"/>
              </w:rPr>
              <w:t> </w:t>
            </w:r>
          </w:p>
        </w:tc>
        <w:tc>
          <w:tcPr>
            <w:tcW w:w="4081" w:type="dxa"/>
            <w:shd w:val="clear" w:color="auto" w:fill="FBD4B4" w:themeFill="accent6" w:themeFillTint="66"/>
            <w:vAlign w:val="bottom"/>
            <w:hideMark/>
          </w:tcPr>
          <w:p w:rsidR="003D3A6A" w:rsidRPr="001244BB" w:rsidRDefault="003D3A6A" w:rsidP="0025274D">
            <w:pPr>
              <w:spacing w:after="0" w:line="240" w:lineRule="auto"/>
              <w:rPr>
                <w:rFonts w:ascii="Arial" w:eastAsia="Times New Roman" w:hAnsi="Arial" w:cs="Arial"/>
                <w:color w:val="000000"/>
                <w:sz w:val="20"/>
                <w:lang w:eastAsia="en-NZ"/>
              </w:rPr>
            </w:pPr>
          </w:p>
        </w:tc>
      </w:tr>
      <w:tr w:rsidR="003D3A6A" w:rsidRPr="001244BB" w:rsidTr="00C82098">
        <w:trPr>
          <w:trHeight w:val="300"/>
        </w:trPr>
        <w:tc>
          <w:tcPr>
            <w:tcW w:w="4112" w:type="dxa"/>
            <w:shd w:val="clear" w:color="auto" w:fill="auto"/>
            <w:noWrap/>
            <w:hideMark/>
          </w:tcPr>
          <w:p w:rsidR="003D3A6A" w:rsidRPr="009262B7" w:rsidRDefault="003D3A6A" w:rsidP="0025274D">
            <w:pPr>
              <w:spacing w:after="0" w:line="240" w:lineRule="auto"/>
              <w:rPr>
                <w:rFonts w:ascii="Arial" w:eastAsia="Times New Roman" w:hAnsi="Arial" w:cs="Arial"/>
                <w:b/>
                <w:color w:val="000000"/>
                <w:sz w:val="20"/>
                <w:lang w:eastAsia="en-NZ"/>
              </w:rPr>
            </w:pPr>
            <w:r w:rsidRPr="009262B7">
              <w:rPr>
                <w:rFonts w:ascii="Arial" w:eastAsia="Times New Roman" w:hAnsi="Arial" w:cs="Arial"/>
                <w:b/>
                <w:color w:val="000000"/>
                <w:sz w:val="20"/>
                <w:lang w:eastAsia="en-NZ"/>
              </w:rPr>
              <w:t>Expenditure</w:t>
            </w:r>
          </w:p>
        </w:tc>
        <w:tc>
          <w:tcPr>
            <w:tcW w:w="1253" w:type="dxa"/>
            <w:shd w:val="clear" w:color="auto" w:fill="auto"/>
            <w:noWrap/>
            <w:hideMark/>
          </w:tcPr>
          <w:p w:rsidR="003D3A6A" w:rsidRPr="009262B7" w:rsidRDefault="003D3A6A" w:rsidP="0025274D">
            <w:pPr>
              <w:spacing w:after="0" w:line="240" w:lineRule="auto"/>
              <w:jc w:val="right"/>
              <w:rPr>
                <w:rFonts w:ascii="Arial" w:eastAsia="Times New Roman" w:hAnsi="Arial" w:cs="Arial"/>
                <w:b/>
                <w:color w:val="000000"/>
                <w:sz w:val="20"/>
                <w:lang w:eastAsia="en-NZ"/>
              </w:rPr>
            </w:pPr>
            <w:r w:rsidRPr="009262B7">
              <w:rPr>
                <w:rFonts w:ascii="Arial" w:eastAsia="Times New Roman" w:hAnsi="Arial" w:cs="Arial"/>
                <w:b/>
                <w:color w:val="000000"/>
                <w:sz w:val="20"/>
                <w:lang w:eastAsia="en-NZ"/>
              </w:rPr>
              <w:t>42,434</w:t>
            </w:r>
          </w:p>
        </w:tc>
        <w:tc>
          <w:tcPr>
            <w:tcW w:w="1253" w:type="dxa"/>
            <w:shd w:val="clear" w:color="auto" w:fill="auto"/>
            <w:noWrap/>
            <w:hideMark/>
          </w:tcPr>
          <w:p w:rsidR="003D3A6A" w:rsidRPr="009262B7" w:rsidRDefault="006C5FB5" w:rsidP="0025274D">
            <w:pPr>
              <w:spacing w:after="0" w:line="240" w:lineRule="auto"/>
              <w:jc w:val="right"/>
              <w:rPr>
                <w:rFonts w:ascii="Arial" w:eastAsia="Times New Roman" w:hAnsi="Arial" w:cs="Arial"/>
                <w:b/>
                <w:color w:val="000000"/>
                <w:sz w:val="20"/>
                <w:lang w:eastAsia="en-NZ"/>
              </w:rPr>
            </w:pPr>
            <w:r>
              <w:rPr>
                <w:rFonts w:ascii="Arial" w:eastAsia="Times New Roman" w:hAnsi="Arial" w:cs="Arial"/>
                <w:b/>
                <w:color w:val="000000"/>
                <w:sz w:val="20"/>
                <w:lang w:eastAsia="en-NZ"/>
              </w:rPr>
              <w:t>37,051</w:t>
            </w:r>
          </w:p>
        </w:tc>
        <w:tc>
          <w:tcPr>
            <w:tcW w:w="1253" w:type="dxa"/>
            <w:shd w:val="clear" w:color="000000" w:fill="E8E8E8"/>
            <w:noWrap/>
            <w:hideMark/>
          </w:tcPr>
          <w:p w:rsidR="003D3A6A" w:rsidRPr="009262B7" w:rsidRDefault="001E281A" w:rsidP="0025274D">
            <w:pPr>
              <w:spacing w:after="0" w:line="240" w:lineRule="auto"/>
              <w:jc w:val="right"/>
              <w:rPr>
                <w:rFonts w:ascii="Arial" w:eastAsia="Times New Roman" w:hAnsi="Arial" w:cs="Arial"/>
                <w:b/>
                <w:color w:val="000000"/>
                <w:sz w:val="20"/>
                <w:lang w:eastAsia="en-NZ"/>
              </w:rPr>
            </w:pPr>
            <w:r>
              <w:rPr>
                <w:rFonts w:ascii="Arial" w:eastAsia="Times New Roman" w:hAnsi="Arial" w:cs="Arial"/>
                <w:b/>
                <w:color w:val="000000"/>
                <w:sz w:val="20"/>
                <w:lang w:eastAsia="en-NZ"/>
              </w:rPr>
              <w:t>34,954</w:t>
            </w:r>
          </w:p>
        </w:tc>
        <w:tc>
          <w:tcPr>
            <w:tcW w:w="1253" w:type="dxa"/>
            <w:shd w:val="clear" w:color="000000" w:fill="E8E8E8"/>
            <w:noWrap/>
            <w:hideMark/>
          </w:tcPr>
          <w:p w:rsidR="003D3A6A" w:rsidRPr="009262B7" w:rsidRDefault="003D3A6A" w:rsidP="0025274D">
            <w:pPr>
              <w:spacing w:after="0" w:line="240" w:lineRule="auto"/>
              <w:jc w:val="right"/>
              <w:rPr>
                <w:rFonts w:ascii="Arial" w:eastAsia="Times New Roman" w:hAnsi="Arial" w:cs="Arial"/>
                <w:b/>
                <w:color w:val="000000"/>
                <w:sz w:val="20"/>
                <w:lang w:eastAsia="en-NZ"/>
              </w:rPr>
            </w:pPr>
            <w:r w:rsidRPr="009262B7">
              <w:rPr>
                <w:rFonts w:ascii="Arial" w:eastAsia="Times New Roman" w:hAnsi="Arial" w:cs="Arial"/>
                <w:b/>
                <w:color w:val="000000"/>
                <w:sz w:val="20"/>
                <w:lang w:eastAsia="en-NZ"/>
              </w:rPr>
              <w:t>36,366</w:t>
            </w:r>
          </w:p>
        </w:tc>
        <w:tc>
          <w:tcPr>
            <w:tcW w:w="1254" w:type="dxa"/>
            <w:shd w:val="clear" w:color="000000" w:fill="E8E8E8"/>
            <w:noWrap/>
            <w:hideMark/>
          </w:tcPr>
          <w:p w:rsidR="003D3A6A" w:rsidRPr="009262B7" w:rsidRDefault="001E281A" w:rsidP="0025274D">
            <w:pPr>
              <w:spacing w:after="0" w:line="240" w:lineRule="auto"/>
              <w:jc w:val="right"/>
              <w:rPr>
                <w:rFonts w:ascii="Arial" w:eastAsia="Times New Roman" w:hAnsi="Arial" w:cs="Arial"/>
                <w:b/>
                <w:color w:val="000000"/>
                <w:sz w:val="20"/>
                <w:lang w:eastAsia="en-NZ"/>
              </w:rPr>
            </w:pPr>
            <w:r>
              <w:rPr>
                <w:rFonts w:ascii="Arial" w:eastAsia="Times New Roman" w:hAnsi="Arial" w:cs="Arial"/>
                <w:b/>
                <w:color w:val="000000"/>
                <w:sz w:val="20"/>
                <w:lang w:eastAsia="en-NZ"/>
              </w:rPr>
              <w:t>1,412</w:t>
            </w:r>
          </w:p>
        </w:tc>
        <w:tc>
          <w:tcPr>
            <w:tcW w:w="4081" w:type="dxa"/>
            <w:shd w:val="clear" w:color="auto" w:fill="auto"/>
            <w:vAlign w:val="bottom"/>
            <w:hideMark/>
          </w:tcPr>
          <w:p w:rsidR="003D3A6A" w:rsidRPr="001244BB" w:rsidRDefault="003D3A6A" w:rsidP="0025274D">
            <w:pPr>
              <w:spacing w:after="0" w:line="240" w:lineRule="auto"/>
              <w:rPr>
                <w:rFonts w:ascii="Arial" w:eastAsia="Times New Roman" w:hAnsi="Arial" w:cs="Arial"/>
                <w:color w:val="000000"/>
                <w:sz w:val="20"/>
                <w:lang w:eastAsia="en-NZ"/>
              </w:rPr>
            </w:pPr>
            <w:r w:rsidRPr="001244BB">
              <w:rPr>
                <w:rFonts w:ascii="Arial" w:eastAsia="Times New Roman" w:hAnsi="Arial" w:cs="Arial"/>
                <w:color w:val="000000"/>
                <w:sz w:val="20"/>
                <w:lang w:eastAsia="en-NZ"/>
              </w:rPr>
              <w:t>See above comment</w:t>
            </w:r>
          </w:p>
        </w:tc>
      </w:tr>
      <w:tr w:rsidR="003D3A6A" w:rsidRPr="001244BB" w:rsidTr="00C82098">
        <w:trPr>
          <w:trHeight w:val="300"/>
        </w:trPr>
        <w:tc>
          <w:tcPr>
            <w:tcW w:w="4112" w:type="dxa"/>
            <w:shd w:val="clear" w:color="auto" w:fill="auto"/>
            <w:noWrap/>
            <w:hideMark/>
          </w:tcPr>
          <w:p w:rsidR="003D3A6A" w:rsidRPr="009262B7" w:rsidRDefault="003D3A6A" w:rsidP="0025274D">
            <w:pPr>
              <w:spacing w:after="0" w:line="240" w:lineRule="auto"/>
              <w:rPr>
                <w:rFonts w:ascii="Arial" w:eastAsia="Times New Roman" w:hAnsi="Arial" w:cs="Arial"/>
                <w:b/>
                <w:color w:val="000000"/>
                <w:sz w:val="20"/>
                <w:lang w:eastAsia="en-NZ"/>
              </w:rPr>
            </w:pPr>
            <w:r w:rsidRPr="009262B7">
              <w:rPr>
                <w:rFonts w:ascii="Arial" w:eastAsia="Times New Roman" w:hAnsi="Arial" w:cs="Arial"/>
                <w:b/>
                <w:color w:val="000000"/>
                <w:sz w:val="20"/>
                <w:lang w:eastAsia="en-NZ"/>
              </w:rPr>
              <w:t>Revenue</w:t>
            </w:r>
          </w:p>
        </w:tc>
        <w:tc>
          <w:tcPr>
            <w:tcW w:w="1253" w:type="dxa"/>
            <w:shd w:val="clear" w:color="auto" w:fill="auto"/>
            <w:noWrap/>
            <w:hideMark/>
          </w:tcPr>
          <w:p w:rsidR="003D3A6A" w:rsidRPr="009262B7" w:rsidRDefault="003D3A6A" w:rsidP="0025274D">
            <w:pPr>
              <w:spacing w:after="0" w:line="240" w:lineRule="auto"/>
              <w:jc w:val="right"/>
              <w:rPr>
                <w:rFonts w:ascii="Arial" w:eastAsia="Times New Roman" w:hAnsi="Arial" w:cs="Arial"/>
                <w:b/>
                <w:color w:val="000000"/>
                <w:sz w:val="20"/>
                <w:lang w:eastAsia="en-NZ"/>
              </w:rPr>
            </w:pPr>
            <w:r w:rsidRPr="009262B7">
              <w:rPr>
                <w:rFonts w:ascii="Arial" w:eastAsia="Times New Roman" w:hAnsi="Arial" w:cs="Arial"/>
                <w:b/>
                <w:color w:val="000000"/>
                <w:sz w:val="20"/>
                <w:lang w:eastAsia="en-NZ"/>
              </w:rPr>
              <w:t>(14,541)</w:t>
            </w:r>
          </w:p>
        </w:tc>
        <w:tc>
          <w:tcPr>
            <w:tcW w:w="1253" w:type="dxa"/>
            <w:shd w:val="clear" w:color="auto" w:fill="auto"/>
            <w:noWrap/>
            <w:hideMark/>
          </w:tcPr>
          <w:p w:rsidR="003D3A6A" w:rsidRPr="009262B7" w:rsidRDefault="003D3A6A" w:rsidP="006C5FB5">
            <w:pPr>
              <w:spacing w:after="0" w:line="240" w:lineRule="auto"/>
              <w:jc w:val="right"/>
              <w:rPr>
                <w:rFonts w:ascii="Arial" w:eastAsia="Times New Roman" w:hAnsi="Arial" w:cs="Arial"/>
                <w:b/>
                <w:color w:val="000000"/>
                <w:sz w:val="20"/>
                <w:lang w:eastAsia="en-NZ"/>
              </w:rPr>
            </w:pPr>
            <w:r w:rsidRPr="009262B7">
              <w:rPr>
                <w:rFonts w:ascii="Arial" w:eastAsia="Times New Roman" w:hAnsi="Arial" w:cs="Arial"/>
                <w:b/>
                <w:color w:val="000000"/>
                <w:sz w:val="20"/>
                <w:lang w:eastAsia="en-NZ"/>
              </w:rPr>
              <w:t>(14,</w:t>
            </w:r>
            <w:r w:rsidR="006C5FB5">
              <w:rPr>
                <w:rFonts w:ascii="Arial" w:eastAsia="Times New Roman" w:hAnsi="Arial" w:cs="Arial"/>
                <w:b/>
                <w:color w:val="000000"/>
                <w:sz w:val="20"/>
                <w:lang w:eastAsia="en-NZ"/>
              </w:rPr>
              <w:t>040</w:t>
            </w:r>
            <w:r w:rsidRPr="009262B7">
              <w:rPr>
                <w:rFonts w:ascii="Arial" w:eastAsia="Times New Roman" w:hAnsi="Arial" w:cs="Arial"/>
                <w:b/>
                <w:color w:val="000000"/>
                <w:sz w:val="20"/>
                <w:lang w:eastAsia="en-NZ"/>
              </w:rPr>
              <w:t>)</w:t>
            </w:r>
          </w:p>
        </w:tc>
        <w:tc>
          <w:tcPr>
            <w:tcW w:w="1253" w:type="dxa"/>
            <w:shd w:val="clear" w:color="000000" w:fill="E8E8E8"/>
            <w:noWrap/>
            <w:hideMark/>
          </w:tcPr>
          <w:p w:rsidR="003D3A6A" w:rsidRPr="009262B7" w:rsidRDefault="001E281A" w:rsidP="0025274D">
            <w:pPr>
              <w:spacing w:after="0" w:line="240" w:lineRule="auto"/>
              <w:jc w:val="right"/>
              <w:rPr>
                <w:rFonts w:ascii="Arial" w:eastAsia="Times New Roman" w:hAnsi="Arial" w:cs="Arial"/>
                <w:b/>
                <w:color w:val="000000"/>
                <w:sz w:val="20"/>
                <w:lang w:eastAsia="en-NZ"/>
              </w:rPr>
            </w:pPr>
            <w:r>
              <w:rPr>
                <w:rFonts w:ascii="Arial" w:eastAsia="Times New Roman" w:hAnsi="Arial" w:cs="Arial"/>
                <w:b/>
                <w:color w:val="000000"/>
                <w:sz w:val="20"/>
                <w:lang w:eastAsia="en-NZ"/>
              </w:rPr>
              <w:t>(14,191)</w:t>
            </w:r>
          </w:p>
        </w:tc>
        <w:tc>
          <w:tcPr>
            <w:tcW w:w="1253" w:type="dxa"/>
            <w:shd w:val="clear" w:color="000000" w:fill="E8E8E8"/>
            <w:noWrap/>
            <w:hideMark/>
          </w:tcPr>
          <w:p w:rsidR="003D3A6A" w:rsidRPr="009262B7" w:rsidRDefault="003D3A6A" w:rsidP="0025274D">
            <w:pPr>
              <w:spacing w:after="0" w:line="240" w:lineRule="auto"/>
              <w:jc w:val="right"/>
              <w:rPr>
                <w:rFonts w:ascii="Arial" w:eastAsia="Times New Roman" w:hAnsi="Arial" w:cs="Arial"/>
                <w:b/>
                <w:color w:val="000000"/>
                <w:sz w:val="20"/>
                <w:lang w:eastAsia="en-NZ"/>
              </w:rPr>
            </w:pPr>
            <w:r w:rsidRPr="009262B7">
              <w:rPr>
                <w:rFonts w:ascii="Arial" w:eastAsia="Times New Roman" w:hAnsi="Arial" w:cs="Arial"/>
                <w:b/>
                <w:color w:val="000000"/>
                <w:sz w:val="20"/>
                <w:lang w:eastAsia="en-NZ"/>
              </w:rPr>
              <w:t>(14,643)</w:t>
            </w:r>
          </w:p>
        </w:tc>
        <w:tc>
          <w:tcPr>
            <w:tcW w:w="1254" w:type="dxa"/>
            <w:shd w:val="clear" w:color="000000" w:fill="E8E8E8"/>
            <w:noWrap/>
            <w:hideMark/>
          </w:tcPr>
          <w:p w:rsidR="003D3A6A" w:rsidRPr="009262B7" w:rsidRDefault="001E281A" w:rsidP="0025274D">
            <w:pPr>
              <w:spacing w:after="0" w:line="240" w:lineRule="auto"/>
              <w:jc w:val="right"/>
              <w:rPr>
                <w:rFonts w:ascii="Arial" w:eastAsia="Times New Roman" w:hAnsi="Arial" w:cs="Arial"/>
                <w:b/>
                <w:color w:val="000000"/>
                <w:sz w:val="20"/>
                <w:lang w:eastAsia="en-NZ"/>
              </w:rPr>
            </w:pPr>
            <w:r>
              <w:rPr>
                <w:rFonts w:ascii="Arial" w:eastAsia="Times New Roman" w:hAnsi="Arial" w:cs="Arial"/>
                <w:b/>
                <w:color w:val="000000"/>
                <w:sz w:val="20"/>
                <w:lang w:eastAsia="en-NZ"/>
              </w:rPr>
              <w:t>(451)</w:t>
            </w:r>
          </w:p>
        </w:tc>
        <w:tc>
          <w:tcPr>
            <w:tcW w:w="4081" w:type="dxa"/>
            <w:shd w:val="clear" w:color="auto" w:fill="auto"/>
            <w:vAlign w:val="bottom"/>
            <w:hideMark/>
          </w:tcPr>
          <w:p w:rsidR="003D3A6A" w:rsidRPr="001244BB" w:rsidRDefault="003D3A6A" w:rsidP="0025274D">
            <w:pPr>
              <w:spacing w:after="0" w:line="240" w:lineRule="auto"/>
              <w:rPr>
                <w:rFonts w:ascii="Arial" w:eastAsia="Times New Roman" w:hAnsi="Arial" w:cs="Arial"/>
                <w:color w:val="000000"/>
                <w:sz w:val="20"/>
                <w:lang w:eastAsia="en-NZ"/>
              </w:rPr>
            </w:pPr>
          </w:p>
        </w:tc>
      </w:tr>
      <w:tr w:rsidR="003D3A6A" w:rsidRPr="001244BB" w:rsidTr="00C82098">
        <w:trPr>
          <w:trHeight w:val="300"/>
        </w:trPr>
        <w:tc>
          <w:tcPr>
            <w:tcW w:w="4112" w:type="dxa"/>
            <w:shd w:val="clear" w:color="auto" w:fill="auto"/>
            <w:noWrap/>
            <w:hideMark/>
          </w:tcPr>
          <w:p w:rsidR="003D3A6A" w:rsidRPr="009262B7" w:rsidRDefault="003D3A6A" w:rsidP="0025274D">
            <w:pPr>
              <w:spacing w:after="0" w:line="240" w:lineRule="auto"/>
              <w:rPr>
                <w:rFonts w:ascii="Arial" w:eastAsia="Times New Roman" w:hAnsi="Arial" w:cs="Arial"/>
                <w:b/>
                <w:color w:val="000000"/>
                <w:sz w:val="20"/>
                <w:lang w:eastAsia="en-NZ"/>
              </w:rPr>
            </w:pPr>
            <w:r w:rsidRPr="009262B7">
              <w:rPr>
                <w:rFonts w:ascii="Arial" w:eastAsia="Times New Roman" w:hAnsi="Arial" w:cs="Arial"/>
                <w:b/>
                <w:color w:val="000000"/>
                <w:sz w:val="20"/>
                <w:lang w:eastAsia="en-NZ"/>
              </w:rPr>
              <w:t>Net Expenditure</w:t>
            </w:r>
          </w:p>
        </w:tc>
        <w:tc>
          <w:tcPr>
            <w:tcW w:w="1253" w:type="dxa"/>
            <w:shd w:val="clear" w:color="auto" w:fill="auto"/>
            <w:noWrap/>
            <w:hideMark/>
          </w:tcPr>
          <w:p w:rsidR="003D3A6A" w:rsidRPr="009262B7" w:rsidRDefault="003D3A6A" w:rsidP="0025274D">
            <w:pPr>
              <w:spacing w:after="0" w:line="240" w:lineRule="auto"/>
              <w:jc w:val="right"/>
              <w:rPr>
                <w:rFonts w:ascii="Arial" w:eastAsia="Times New Roman" w:hAnsi="Arial" w:cs="Arial"/>
                <w:b/>
                <w:color w:val="000000"/>
                <w:sz w:val="20"/>
                <w:lang w:eastAsia="en-NZ"/>
              </w:rPr>
            </w:pPr>
            <w:r w:rsidRPr="009262B7">
              <w:rPr>
                <w:rFonts w:ascii="Arial" w:eastAsia="Times New Roman" w:hAnsi="Arial" w:cs="Arial"/>
                <w:b/>
                <w:color w:val="000000"/>
                <w:sz w:val="20"/>
                <w:lang w:eastAsia="en-NZ"/>
              </w:rPr>
              <w:t>27,892</w:t>
            </w:r>
          </w:p>
        </w:tc>
        <w:tc>
          <w:tcPr>
            <w:tcW w:w="1253" w:type="dxa"/>
            <w:shd w:val="clear" w:color="auto" w:fill="auto"/>
            <w:noWrap/>
            <w:hideMark/>
          </w:tcPr>
          <w:p w:rsidR="003D3A6A" w:rsidRPr="009262B7" w:rsidRDefault="006C5FB5" w:rsidP="0025274D">
            <w:pPr>
              <w:spacing w:after="0" w:line="240" w:lineRule="auto"/>
              <w:jc w:val="right"/>
              <w:rPr>
                <w:rFonts w:ascii="Arial" w:eastAsia="Times New Roman" w:hAnsi="Arial" w:cs="Arial"/>
                <w:b/>
                <w:color w:val="000000"/>
                <w:sz w:val="20"/>
                <w:lang w:eastAsia="en-NZ"/>
              </w:rPr>
            </w:pPr>
            <w:r>
              <w:rPr>
                <w:rFonts w:ascii="Arial" w:eastAsia="Times New Roman" w:hAnsi="Arial" w:cs="Arial"/>
                <w:b/>
                <w:color w:val="000000"/>
                <w:sz w:val="20"/>
                <w:lang w:eastAsia="en-NZ"/>
              </w:rPr>
              <w:t>23,011</w:t>
            </w:r>
          </w:p>
        </w:tc>
        <w:tc>
          <w:tcPr>
            <w:tcW w:w="1253" w:type="dxa"/>
            <w:shd w:val="clear" w:color="000000" w:fill="E8E8E8"/>
            <w:noWrap/>
            <w:hideMark/>
          </w:tcPr>
          <w:p w:rsidR="003D3A6A" w:rsidRPr="009262B7" w:rsidRDefault="003D3A6A" w:rsidP="001E281A">
            <w:pPr>
              <w:spacing w:after="0" w:line="240" w:lineRule="auto"/>
              <w:jc w:val="right"/>
              <w:rPr>
                <w:rFonts w:ascii="Arial" w:eastAsia="Times New Roman" w:hAnsi="Arial" w:cs="Arial"/>
                <w:b/>
                <w:color w:val="000000"/>
                <w:sz w:val="20"/>
                <w:lang w:eastAsia="en-NZ"/>
              </w:rPr>
            </w:pPr>
            <w:r w:rsidRPr="009262B7">
              <w:rPr>
                <w:rFonts w:ascii="Arial" w:eastAsia="Times New Roman" w:hAnsi="Arial" w:cs="Arial"/>
                <w:b/>
                <w:color w:val="000000"/>
                <w:sz w:val="20"/>
                <w:lang w:eastAsia="en-NZ"/>
              </w:rPr>
              <w:t>20,</w:t>
            </w:r>
            <w:r w:rsidR="001E281A">
              <w:rPr>
                <w:rFonts w:ascii="Arial" w:eastAsia="Times New Roman" w:hAnsi="Arial" w:cs="Arial"/>
                <w:b/>
                <w:color w:val="000000"/>
                <w:sz w:val="20"/>
                <w:lang w:eastAsia="en-NZ"/>
              </w:rPr>
              <w:t>763</w:t>
            </w:r>
          </w:p>
        </w:tc>
        <w:tc>
          <w:tcPr>
            <w:tcW w:w="1253" w:type="dxa"/>
            <w:shd w:val="clear" w:color="000000" w:fill="E8E8E8"/>
            <w:noWrap/>
            <w:hideMark/>
          </w:tcPr>
          <w:p w:rsidR="003D3A6A" w:rsidRPr="009262B7" w:rsidRDefault="003D3A6A" w:rsidP="0025274D">
            <w:pPr>
              <w:spacing w:after="0" w:line="240" w:lineRule="auto"/>
              <w:jc w:val="right"/>
              <w:rPr>
                <w:rFonts w:ascii="Arial" w:eastAsia="Times New Roman" w:hAnsi="Arial" w:cs="Arial"/>
                <w:b/>
                <w:color w:val="000000"/>
                <w:sz w:val="20"/>
                <w:lang w:eastAsia="en-NZ"/>
              </w:rPr>
            </w:pPr>
            <w:r w:rsidRPr="009262B7">
              <w:rPr>
                <w:rFonts w:ascii="Arial" w:eastAsia="Times New Roman" w:hAnsi="Arial" w:cs="Arial"/>
                <w:b/>
                <w:color w:val="000000"/>
                <w:sz w:val="20"/>
                <w:lang w:eastAsia="en-NZ"/>
              </w:rPr>
              <w:t>21,723</w:t>
            </w:r>
          </w:p>
        </w:tc>
        <w:tc>
          <w:tcPr>
            <w:tcW w:w="1254" w:type="dxa"/>
            <w:shd w:val="clear" w:color="000000" w:fill="E8E8E8"/>
            <w:noWrap/>
            <w:hideMark/>
          </w:tcPr>
          <w:p w:rsidR="003D3A6A" w:rsidRPr="009262B7" w:rsidRDefault="001E281A" w:rsidP="001E281A">
            <w:pPr>
              <w:spacing w:after="0" w:line="240" w:lineRule="auto"/>
              <w:jc w:val="right"/>
              <w:rPr>
                <w:rFonts w:ascii="Arial" w:eastAsia="Times New Roman" w:hAnsi="Arial" w:cs="Arial"/>
                <w:b/>
                <w:color w:val="000000"/>
                <w:sz w:val="20"/>
                <w:lang w:eastAsia="en-NZ"/>
              </w:rPr>
            </w:pPr>
            <w:r w:rsidRPr="009262B7">
              <w:rPr>
                <w:rFonts w:ascii="Arial" w:eastAsia="Times New Roman" w:hAnsi="Arial" w:cs="Arial"/>
                <w:b/>
                <w:color w:val="000000"/>
                <w:sz w:val="20"/>
                <w:lang w:eastAsia="en-NZ"/>
              </w:rPr>
              <w:t>9</w:t>
            </w:r>
            <w:r>
              <w:rPr>
                <w:rFonts w:ascii="Arial" w:eastAsia="Times New Roman" w:hAnsi="Arial" w:cs="Arial"/>
                <w:b/>
                <w:color w:val="000000"/>
                <w:sz w:val="20"/>
                <w:lang w:eastAsia="en-NZ"/>
              </w:rPr>
              <w:t>60</w:t>
            </w:r>
          </w:p>
        </w:tc>
        <w:tc>
          <w:tcPr>
            <w:tcW w:w="4081" w:type="dxa"/>
            <w:shd w:val="clear" w:color="auto" w:fill="auto"/>
            <w:vAlign w:val="bottom"/>
            <w:hideMark/>
          </w:tcPr>
          <w:p w:rsidR="003D3A6A" w:rsidRPr="001244BB" w:rsidRDefault="003D3A6A" w:rsidP="0025274D">
            <w:pPr>
              <w:spacing w:after="0" w:line="240" w:lineRule="auto"/>
              <w:rPr>
                <w:rFonts w:ascii="Arial" w:eastAsia="Times New Roman" w:hAnsi="Arial" w:cs="Arial"/>
                <w:color w:val="000000"/>
                <w:sz w:val="20"/>
                <w:lang w:eastAsia="en-NZ"/>
              </w:rPr>
            </w:pPr>
            <w:r w:rsidRPr="001244BB">
              <w:rPr>
                <w:rFonts w:ascii="Arial" w:eastAsia="Times New Roman" w:hAnsi="Arial" w:cs="Arial"/>
                <w:color w:val="000000"/>
                <w:sz w:val="20"/>
                <w:lang w:eastAsia="en-NZ"/>
              </w:rPr>
              <w:t> </w:t>
            </w:r>
          </w:p>
        </w:tc>
      </w:tr>
    </w:tbl>
    <w:p w:rsidR="00D56DAD" w:rsidRPr="00D5126A" w:rsidRDefault="00D56DAD" w:rsidP="00846C1B">
      <w:pPr>
        <w:pStyle w:val="Heading4"/>
      </w:pPr>
      <w:r w:rsidRPr="00D5126A">
        <w:t>What it cost (capital expenditure $000)</w:t>
      </w:r>
    </w:p>
    <w:tbl>
      <w:tblPr>
        <w:tblW w:w="14318" w:type="dxa"/>
        <w:tblInd w:w="-176" w:type="dxa"/>
        <w:tblBorders>
          <w:top w:val="single" w:sz="4" w:space="0" w:color="F79646" w:themeColor="accent6"/>
          <w:bottom w:val="single" w:sz="4" w:space="0" w:color="F79646" w:themeColor="accent6"/>
          <w:insideH w:val="single" w:sz="4" w:space="0" w:color="F79646" w:themeColor="accent6"/>
          <w:insideV w:val="single" w:sz="4" w:space="0" w:color="F79646" w:themeColor="accent6"/>
        </w:tblBorders>
        <w:tblLayout w:type="fixed"/>
        <w:tblLook w:val="04A0" w:firstRow="1" w:lastRow="0" w:firstColumn="1" w:lastColumn="0" w:noHBand="0" w:noVBand="1"/>
      </w:tblPr>
      <w:tblGrid>
        <w:gridCol w:w="2836"/>
        <w:gridCol w:w="948"/>
        <w:gridCol w:w="966"/>
        <w:gridCol w:w="1148"/>
        <w:gridCol w:w="1190"/>
        <w:gridCol w:w="993"/>
        <w:gridCol w:w="992"/>
        <w:gridCol w:w="1276"/>
        <w:gridCol w:w="3969"/>
      </w:tblGrid>
      <w:tr w:rsidR="003D3A6A" w:rsidRPr="001244BB" w:rsidTr="00714A05">
        <w:trPr>
          <w:trHeight w:val="766"/>
          <w:tblHeader/>
        </w:trPr>
        <w:tc>
          <w:tcPr>
            <w:tcW w:w="2836" w:type="dxa"/>
            <w:tcBorders>
              <w:right w:val="single" w:sz="4" w:space="0" w:color="FFFFFF" w:themeColor="background1"/>
            </w:tcBorders>
            <w:shd w:val="clear" w:color="auto" w:fill="FF9900"/>
            <w:noWrap/>
            <w:vAlign w:val="bottom"/>
            <w:hideMark/>
          </w:tcPr>
          <w:p w:rsidR="003D3A6A" w:rsidRPr="001B5165" w:rsidRDefault="001B5165" w:rsidP="001B5165">
            <w:pPr>
              <w:spacing w:after="0" w:line="240" w:lineRule="auto"/>
              <w:rPr>
                <w:rFonts w:ascii="Arial" w:eastAsia="Times New Roman" w:hAnsi="Arial" w:cs="Arial"/>
                <w:bCs/>
                <w:color w:val="000000"/>
                <w:szCs w:val="24"/>
                <w:lang w:eastAsia="en-NZ"/>
              </w:rPr>
            </w:pPr>
            <w:bookmarkStart w:id="206" w:name="Economic_development_performance"/>
            <w:bookmarkStart w:id="207" w:name="_Toc11915650"/>
            <w:bookmarkStart w:id="208" w:name="_Toc13211848"/>
            <w:bookmarkStart w:id="209" w:name="_Toc14178551"/>
            <w:bookmarkStart w:id="210" w:name="_Toc19085831"/>
            <w:r w:rsidRPr="001B5165">
              <w:rPr>
                <w:rFonts w:ascii="Arial" w:eastAsia="Times New Roman" w:hAnsi="Arial" w:cs="Arial"/>
                <w:b/>
                <w:color w:val="000000"/>
                <w:szCs w:val="24"/>
                <w:lang w:eastAsia="en-NZ"/>
              </w:rPr>
              <w:t>Economic Development</w:t>
            </w:r>
          </w:p>
        </w:tc>
        <w:tc>
          <w:tcPr>
            <w:tcW w:w="948" w:type="dxa"/>
            <w:tcBorders>
              <w:left w:val="single" w:sz="4" w:space="0" w:color="FFFFFF" w:themeColor="background1"/>
              <w:right w:val="single" w:sz="4" w:space="0" w:color="FFFFFF" w:themeColor="background1"/>
            </w:tcBorders>
            <w:shd w:val="clear" w:color="auto" w:fill="FF9900"/>
            <w:vAlign w:val="bottom"/>
            <w:hideMark/>
          </w:tcPr>
          <w:p w:rsidR="003D3A6A" w:rsidRPr="001244BB" w:rsidRDefault="003D3A6A" w:rsidP="00714A05">
            <w:pPr>
              <w:spacing w:after="0" w:line="240" w:lineRule="auto"/>
              <w:jc w:val="center"/>
              <w:rPr>
                <w:rFonts w:ascii="Arial" w:eastAsia="Times New Roman" w:hAnsi="Arial" w:cs="Arial"/>
                <w:b/>
                <w:bCs/>
                <w:color w:val="333333"/>
                <w:sz w:val="20"/>
                <w:lang w:eastAsia="en-NZ"/>
              </w:rPr>
            </w:pPr>
            <w:r w:rsidRPr="001244BB">
              <w:rPr>
                <w:rFonts w:ascii="Arial" w:eastAsia="Times New Roman" w:hAnsi="Arial" w:cs="Arial"/>
                <w:b/>
                <w:bCs/>
                <w:color w:val="333333"/>
                <w:sz w:val="20"/>
                <w:lang w:eastAsia="en-NZ"/>
              </w:rPr>
              <w:t xml:space="preserve">2016/17 Actual </w:t>
            </w:r>
          </w:p>
        </w:tc>
        <w:tc>
          <w:tcPr>
            <w:tcW w:w="966" w:type="dxa"/>
            <w:tcBorders>
              <w:left w:val="single" w:sz="4" w:space="0" w:color="FFFFFF" w:themeColor="background1"/>
              <w:right w:val="single" w:sz="4" w:space="0" w:color="FFFFFF" w:themeColor="background1"/>
            </w:tcBorders>
            <w:shd w:val="clear" w:color="auto" w:fill="FF9900"/>
            <w:vAlign w:val="bottom"/>
            <w:hideMark/>
          </w:tcPr>
          <w:p w:rsidR="003D3A6A" w:rsidRPr="001244BB" w:rsidRDefault="003D3A6A" w:rsidP="00714A05">
            <w:pPr>
              <w:spacing w:after="0" w:line="240" w:lineRule="auto"/>
              <w:jc w:val="center"/>
              <w:rPr>
                <w:rFonts w:ascii="Arial" w:eastAsia="Times New Roman" w:hAnsi="Arial" w:cs="Arial"/>
                <w:b/>
                <w:bCs/>
                <w:color w:val="333333"/>
                <w:sz w:val="20"/>
                <w:lang w:eastAsia="en-NZ"/>
              </w:rPr>
            </w:pPr>
            <w:r w:rsidRPr="001244BB">
              <w:rPr>
                <w:rFonts w:ascii="Arial" w:eastAsia="Times New Roman" w:hAnsi="Arial" w:cs="Arial"/>
                <w:b/>
                <w:bCs/>
                <w:color w:val="333333"/>
                <w:sz w:val="20"/>
                <w:lang w:eastAsia="en-NZ"/>
              </w:rPr>
              <w:t xml:space="preserve">2017/18 Actual </w:t>
            </w:r>
          </w:p>
        </w:tc>
        <w:tc>
          <w:tcPr>
            <w:tcW w:w="1148" w:type="dxa"/>
            <w:tcBorders>
              <w:left w:val="single" w:sz="4" w:space="0" w:color="FFFFFF" w:themeColor="background1"/>
              <w:right w:val="single" w:sz="4" w:space="0" w:color="FFFFFF" w:themeColor="background1"/>
            </w:tcBorders>
            <w:shd w:val="clear" w:color="auto" w:fill="FF9900"/>
            <w:vAlign w:val="bottom"/>
            <w:hideMark/>
          </w:tcPr>
          <w:p w:rsidR="003D3A6A" w:rsidRPr="001244BB" w:rsidRDefault="00714A05" w:rsidP="00714A05">
            <w:pPr>
              <w:spacing w:after="0" w:line="240" w:lineRule="auto"/>
              <w:jc w:val="center"/>
              <w:rPr>
                <w:rFonts w:ascii="Arial" w:eastAsia="Times New Roman" w:hAnsi="Arial" w:cs="Arial"/>
                <w:b/>
                <w:bCs/>
                <w:color w:val="333333"/>
                <w:sz w:val="20"/>
                <w:lang w:eastAsia="en-NZ"/>
              </w:rPr>
            </w:pPr>
            <w:r>
              <w:rPr>
                <w:rFonts w:ascii="Arial" w:eastAsia="Times New Roman" w:hAnsi="Arial" w:cs="Arial"/>
                <w:b/>
                <w:bCs/>
                <w:color w:val="333333"/>
                <w:sz w:val="20"/>
                <w:lang w:eastAsia="en-NZ"/>
              </w:rPr>
              <w:t xml:space="preserve">2018/19 Long-term Plan </w:t>
            </w:r>
          </w:p>
        </w:tc>
        <w:tc>
          <w:tcPr>
            <w:tcW w:w="1190" w:type="dxa"/>
            <w:tcBorders>
              <w:left w:val="single" w:sz="4" w:space="0" w:color="FFFFFF" w:themeColor="background1"/>
              <w:right w:val="single" w:sz="4" w:space="0" w:color="FFFFFF" w:themeColor="background1"/>
            </w:tcBorders>
            <w:shd w:val="clear" w:color="auto" w:fill="FF9900"/>
            <w:vAlign w:val="bottom"/>
            <w:hideMark/>
          </w:tcPr>
          <w:p w:rsidR="003D3A6A" w:rsidRPr="001244BB" w:rsidRDefault="00714A05" w:rsidP="00714A05">
            <w:pPr>
              <w:spacing w:after="0" w:line="240" w:lineRule="auto"/>
              <w:jc w:val="center"/>
              <w:rPr>
                <w:rFonts w:ascii="Arial" w:eastAsia="Times New Roman" w:hAnsi="Arial" w:cs="Arial"/>
                <w:b/>
                <w:bCs/>
                <w:color w:val="333333"/>
                <w:sz w:val="20"/>
                <w:lang w:eastAsia="en-NZ"/>
              </w:rPr>
            </w:pPr>
            <w:r>
              <w:rPr>
                <w:rFonts w:ascii="Arial" w:eastAsia="Times New Roman" w:hAnsi="Arial" w:cs="Arial"/>
                <w:b/>
                <w:bCs/>
                <w:color w:val="333333"/>
                <w:sz w:val="20"/>
                <w:lang w:eastAsia="en-NZ"/>
              </w:rPr>
              <w:t>2018/19 Revisions</w:t>
            </w:r>
          </w:p>
        </w:tc>
        <w:tc>
          <w:tcPr>
            <w:tcW w:w="993" w:type="dxa"/>
            <w:tcBorders>
              <w:left w:val="single" w:sz="4" w:space="0" w:color="FFFFFF" w:themeColor="background1"/>
              <w:right w:val="single" w:sz="4" w:space="0" w:color="FFFFFF" w:themeColor="background1"/>
            </w:tcBorders>
            <w:shd w:val="clear" w:color="auto" w:fill="FF9900"/>
            <w:vAlign w:val="bottom"/>
            <w:hideMark/>
          </w:tcPr>
          <w:p w:rsidR="003D3A6A" w:rsidRPr="001244BB" w:rsidRDefault="00714A05" w:rsidP="00714A05">
            <w:pPr>
              <w:spacing w:after="0" w:line="240" w:lineRule="auto"/>
              <w:jc w:val="center"/>
              <w:rPr>
                <w:rFonts w:ascii="Arial" w:eastAsia="Times New Roman" w:hAnsi="Arial" w:cs="Arial"/>
                <w:b/>
                <w:bCs/>
                <w:color w:val="333333"/>
                <w:sz w:val="20"/>
                <w:lang w:eastAsia="en-NZ"/>
              </w:rPr>
            </w:pPr>
            <w:r>
              <w:rPr>
                <w:rFonts w:ascii="Arial" w:eastAsia="Times New Roman" w:hAnsi="Arial" w:cs="Arial"/>
                <w:b/>
                <w:bCs/>
                <w:color w:val="333333"/>
                <w:sz w:val="20"/>
                <w:lang w:eastAsia="en-NZ"/>
              </w:rPr>
              <w:t>2018/19 Actual</w:t>
            </w:r>
          </w:p>
        </w:tc>
        <w:tc>
          <w:tcPr>
            <w:tcW w:w="992" w:type="dxa"/>
            <w:tcBorders>
              <w:left w:val="single" w:sz="4" w:space="0" w:color="FFFFFF" w:themeColor="background1"/>
              <w:right w:val="single" w:sz="4" w:space="0" w:color="FFFFFF" w:themeColor="background1"/>
            </w:tcBorders>
            <w:shd w:val="clear" w:color="auto" w:fill="FF9900"/>
            <w:vAlign w:val="bottom"/>
            <w:hideMark/>
          </w:tcPr>
          <w:p w:rsidR="003D3A6A" w:rsidRPr="001244BB" w:rsidRDefault="00714A05" w:rsidP="00714A05">
            <w:pPr>
              <w:spacing w:after="0" w:line="240" w:lineRule="auto"/>
              <w:jc w:val="center"/>
              <w:rPr>
                <w:rFonts w:ascii="Arial" w:eastAsia="Times New Roman" w:hAnsi="Arial" w:cs="Arial"/>
                <w:b/>
                <w:bCs/>
                <w:color w:val="333333"/>
                <w:sz w:val="20"/>
                <w:lang w:eastAsia="en-NZ"/>
              </w:rPr>
            </w:pPr>
            <w:r>
              <w:rPr>
                <w:rFonts w:ascii="Arial" w:eastAsia="Times New Roman" w:hAnsi="Arial" w:cs="Arial"/>
                <w:b/>
                <w:bCs/>
                <w:color w:val="333333"/>
                <w:sz w:val="20"/>
                <w:lang w:eastAsia="en-NZ"/>
              </w:rPr>
              <w:t>2018/19 Revised budget</w:t>
            </w:r>
          </w:p>
        </w:tc>
        <w:tc>
          <w:tcPr>
            <w:tcW w:w="1276" w:type="dxa"/>
            <w:tcBorders>
              <w:left w:val="single" w:sz="4" w:space="0" w:color="FFFFFF" w:themeColor="background1"/>
              <w:right w:val="single" w:sz="4" w:space="0" w:color="FFFFFF" w:themeColor="background1"/>
            </w:tcBorders>
            <w:shd w:val="clear" w:color="auto" w:fill="FF9900"/>
            <w:vAlign w:val="bottom"/>
            <w:hideMark/>
          </w:tcPr>
          <w:p w:rsidR="003D3A6A" w:rsidRPr="001244BB" w:rsidRDefault="003D3A6A" w:rsidP="00714A05">
            <w:pPr>
              <w:spacing w:after="0" w:line="240" w:lineRule="auto"/>
              <w:jc w:val="center"/>
              <w:rPr>
                <w:rFonts w:ascii="Arial" w:eastAsia="Times New Roman" w:hAnsi="Arial" w:cs="Arial"/>
                <w:b/>
                <w:bCs/>
                <w:color w:val="333333"/>
                <w:sz w:val="20"/>
                <w:lang w:eastAsia="en-NZ"/>
              </w:rPr>
            </w:pPr>
            <w:r w:rsidRPr="001244BB">
              <w:rPr>
                <w:rFonts w:ascii="Arial" w:eastAsia="Times New Roman" w:hAnsi="Arial" w:cs="Arial"/>
                <w:b/>
                <w:bCs/>
                <w:color w:val="333333"/>
                <w:sz w:val="20"/>
                <w:lang w:eastAsia="en-NZ"/>
              </w:rPr>
              <w:t>2018</w:t>
            </w:r>
            <w:r w:rsidR="00714A05">
              <w:rPr>
                <w:rFonts w:ascii="Arial" w:eastAsia="Times New Roman" w:hAnsi="Arial" w:cs="Arial"/>
                <w:b/>
                <w:bCs/>
                <w:color w:val="333333"/>
                <w:sz w:val="20"/>
                <w:lang w:eastAsia="en-NZ"/>
              </w:rPr>
              <w:t>/19  Variance to revised budget</w:t>
            </w:r>
          </w:p>
        </w:tc>
        <w:tc>
          <w:tcPr>
            <w:tcW w:w="3969" w:type="dxa"/>
            <w:tcBorders>
              <w:left w:val="single" w:sz="4" w:space="0" w:color="FFFFFF" w:themeColor="background1"/>
            </w:tcBorders>
            <w:shd w:val="clear" w:color="auto" w:fill="FF9900"/>
            <w:noWrap/>
            <w:vAlign w:val="bottom"/>
            <w:hideMark/>
          </w:tcPr>
          <w:p w:rsidR="003D3A6A" w:rsidRPr="001244BB" w:rsidRDefault="003D3A6A" w:rsidP="00546A26">
            <w:pPr>
              <w:spacing w:after="0" w:line="240" w:lineRule="auto"/>
              <w:jc w:val="center"/>
              <w:rPr>
                <w:rFonts w:ascii="Arial" w:eastAsia="Times New Roman" w:hAnsi="Arial" w:cs="Arial"/>
                <w:b/>
                <w:bCs/>
                <w:color w:val="000000"/>
                <w:sz w:val="20"/>
                <w:lang w:eastAsia="en-NZ"/>
              </w:rPr>
            </w:pPr>
            <w:r w:rsidRPr="001244BB">
              <w:rPr>
                <w:rFonts w:ascii="Arial" w:eastAsia="Times New Roman" w:hAnsi="Arial" w:cs="Arial"/>
                <w:b/>
                <w:bCs/>
                <w:color w:val="000000"/>
                <w:sz w:val="20"/>
                <w:lang w:eastAsia="en-NZ"/>
              </w:rPr>
              <w:t>Variance Commentary</w:t>
            </w:r>
          </w:p>
        </w:tc>
      </w:tr>
      <w:tr w:rsidR="003D3A6A" w:rsidRPr="001244BB" w:rsidTr="001B5165">
        <w:trPr>
          <w:trHeight w:val="300"/>
        </w:trPr>
        <w:tc>
          <w:tcPr>
            <w:tcW w:w="14318" w:type="dxa"/>
            <w:gridSpan w:val="9"/>
            <w:shd w:val="clear" w:color="auto" w:fill="FDE9D9" w:themeFill="accent6" w:themeFillTint="33"/>
            <w:noWrap/>
            <w:vAlign w:val="bottom"/>
            <w:hideMark/>
          </w:tcPr>
          <w:p w:rsidR="003D3A6A" w:rsidRPr="003D3A6A" w:rsidRDefault="003D3A6A" w:rsidP="0025274D">
            <w:pPr>
              <w:spacing w:after="0" w:line="240" w:lineRule="auto"/>
              <w:rPr>
                <w:rFonts w:ascii="Arial" w:eastAsia="Times New Roman" w:hAnsi="Arial" w:cs="Arial"/>
                <w:color w:val="000000"/>
                <w:sz w:val="20"/>
                <w:lang w:eastAsia="en-NZ"/>
              </w:rPr>
            </w:pPr>
            <w:r w:rsidRPr="001244BB">
              <w:rPr>
                <w:rFonts w:ascii="Arial" w:eastAsia="Times New Roman" w:hAnsi="Arial" w:cs="Arial"/>
                <w:b/>
                <w:bCs/>
                <w:color w:val="000000"/>
                <w:sz w:val="20"/>
                <w:lang w:eastAsia="en-NZ"/>
              </w:rPr>
              <w:t>3.1 City promotions and business support</w:t>
            </w:r>
            <w:r w:rsidRPr="001244BB">
              <w:rPr>
                <w:rFonts w:ascii="Arial" w:eastAsia="Times New Roman" w:hAnsi="Arial" w:cs="Arial"/>
                <w:color w:val="000000"/>
                <w:sz w:val="20"/>
                <w:lang w:eastAsia="en-NZ"/>
              </w:rPr>
              <w:t> </w:t>
            </w:r>
          </w:p>
        </w:tc>
      </w:tr>
      <w:tr w:rsidR="003D3A6A" w:rsidRPr="001244BB" w:rsidTr="001B5165">
        <w:trPr>
          <w:trHeight w:val="310"/>
        </w:trPr>
        <w:tc>
          <w:tcPr>
            <w:tcW w:w="2836" w:type="dxa"/>
            <w:tcBorders>
              <w:bottom w:val="single" w:sz="4" w:space="0" w:color="F79646" w:themeColor="accent6"/>
            </w:tcBorders>
            <w:shd w:val="clear" w:color="auto" w:fill="auto"/>
            <w:noWrap/>
          </w:tcPr>
          <w:p w:rsidR="003D3A6A" w:rsidRPr="003D3A6A" w:rsidRDefault="003D3A6A" w:rsidP="003D3A6A">
            <w:pPr>
              <w:spacing w:after="0" w:line="240" w:lineRule="auto"/>
              <w:rPr>
                <w:rFonts w:ascii="Arial" w:eastAsia="Times New Roman" w:hAnsi="Arial" w:cs="Arial"/>
                <w:bCs/>
                <w:color w:val="000000"/>
                <w:sz w:val="20"/>
                <w:lang w:eastAsia="en-NZ"/>
              </w:rPr>
            </w:pPr>
            <w:r w:rsidRPr="003D3A6A">
              <w:rPr>
                <w:rFonts w:ascii="Arial" w:eastAsia="Times New Roman" w:hAnsi="Arial" w:cs="Arial"/>
                <w:bCs/>
                <w:color w:val="000000"/>
                <w:sz w:val="20"/>
                <w:lang w:eastAsia="en-NZ"/>
              </w:rPr>
              <w:t>Expenditure</w:t>
            </w:r>
          </w:p>
        </w:tc>
        <w:tc>
          <w:tcPr>
            <w:tcW w:w="948" w:type="dxa"/>
            <w:tcBorders>
              <w:bottom w:val="single" w:sz="4" w:space="0" w:color="F79646" w:themeColor="accent6"/>
            </w:tcBorders>
            <w:shd w:val="clear" w:color="auto" w:fill="auto"/>
            <w:noWrap/>
            <w:hideMark/>
          </w:tcPr>
          <w:p w:rsidR="003D3A6A" w:rsidRPr="001244BB" w:rsidRDefault="003D3A6A" w:rsidP="0025274D">
            <w:pPr>
              <w:spacing w:after="0" w:line="240" w:lineRule="auto"/>
              <w:jc w:val="right"/>
              <w:rPr>
                <w:rFonts w:ascii="Arial" w:eastAsia="Times New Roman" w:hAnsi="Arial" w:cs="Arial"/>
                <w:b/>
                <w:bCs/>
                <w:color w:val="000000"/>
                <w:sz w:val="20"/>
                <w:lang w:eastAsia="en-NZ"/>
              </w:rPr>
            </w:pPr>
            <w:r w:rsidRPr="001244BB">
              <w:rPr>
                <w:rFonts w:ascii="Arial" w:eastAsia="Times New Roman" w:hAnsi="Arial" w:cs="Arial"/>
                <w:b/>
                <w:bCs/>
                <w:color w:val="000000"/>
                <w:sz w:val="20"/>
                <w:lang w:eastAsia="en-NZ"/>
              </w:rPr>
              <w:t>886</w:t>
            </w:r>
          </w:p>
        </w:tc>
        <w:tc>
          <w:tcPr>
            <w:tcW w:w="966" w:type="dxa"/>
            <w:tcBorders>
              <w:bottom w:val="single" w:sz="4" w:space="0" w:color="F79646" w:themeColor="accent6"/>
            </w:tcBorders>
            <w:shd w:val="clear" w:color="auto" w:fill="auto"/>
            <w:noWrap/>
            <w:hideMark/>
          </w:tcPr>
          <w:p w:rsidR="003D3A6A" w:rsidRPr="001244BB" w:rsidRDefault="003D3A6A" w:rsidP="0025274D">
            <w:pPr>
              <w:spacing w:after="0" w:line="240" w:lineRule="auto"/>
              <w:jc w:val="right"/>
              <w:rPr>
                <w:rFonts w:ascii="Arial" w:eastAsia="Times New Roman" w:hAnsi="Arial" w:cs="Arial"/>
                <w:b/>
                <w:bCs/>
                <w:color w:val="000000"/>
                <w:sz w:val="20"/>
                <w:lang w:eastAsia="en-NZ"/>
              </w:rPr>
            </w:pPr>
            <w:r w:rsidRPr="001244BB">
              <w:rPr>
                <w:rFonts w:ascii="Arial" w:eastAsia="Times New Roman" w:hAnsi="Arial" w:cs="Arial"/>
                <w:b/>
                <w:bCs/>
                <w:color w:val="000000"/>
                <w:sz w:val="20"/>
                <w:lang w:eastAsia="en-NZ"/>
              </w:rPr>
              <w:t>599</w:t>
            </w:r>
          </w:p>
        </w:tc>
        <w:tc>
          <w:tcPr>
            <w:tcW w:w="1148" w:type="dxa"/>
            <w:tcBorders>
              <w:bottom w:val="single" w:sz="4" w:space="0" w:color="F79646" w:themeColor="accent6"/>
            </w:tcBorders>
            <w:shd w:val="clear" w:color="auto" w:fill="auto"/>
            <w:noWrap/>
            <w:hideMark/>
          </w:tcPr>
          <w:p w:rsidR="003D3A6A" w:rsidRPr="001244BB" w:rsidRDefault="003D3A6A" w:rsidP="0025274D">
            <w:pPr>
              <w:spacing w:after="0" w:line="240" w:lineRule="auto"/>
              <w:jc w:val="right"/>
              <w:rPr>
                <w:rFonts w:ascii="Arial" w:eastAsia="Times New Roman" w:hAnsi="Arial" w:cs="Arial"/>
                <w:b/>
                <w:bCs/>
                <w:color w:val="000000"/>
                <w:sz w:val="20"/>
                <w:lang w:eastAsia="en-NZ"/>
              </w:rPr>
            </w:pPr>
            <w:r w:rsidRPr="001244BB">
              <w:rPr>
                <w:rFonts w:ascii="Arial" w:eastAsia="Times New Roman" w:hAnsi="Arial" w:cs="Arial"/>
                <w:b/>
                <w:bCs/>
                <w:color w:val="000000"/>
                <w:sz w:val="20"/>
                <w:lang w:eastAsia="en-NZ"/>
              </w:rPr>
              <w:t>3,357</w:t>
            </w:r>
          </w:p>
        </w:tc>
        <w:tc>
          <w:tcPr>
            <w:tcW w:w="1190" w:type="dxa"/>
            <w:tcBorders>
              <w:bottom w:val="single" w:sz="4" w:space="0" w:color="F79646" w:themeColor="accent6"/>
            </w:tcBorders>
            <w:shd w:val="clear" w:color="auto" w:fill="auto"/>
            <w:noWrap/>
            <w:hideMark/>
          </w:tcPr>
          <w:p w:rsidR="003D3A6A" w:rsidRPr="001244BB" w:rsidRDefault="003D3A6A" w:rsidP="0025274D">
            <w:pPr>
              <w:spacing w:after="0" w:line="240" w:lineRule="auto"/>
              <w:jc w:val="right"/>
              <w:rPr>
                <w:rFonts w:ascii="Arial" w:eastAsia="Times New Roman" w:hAnsi="Arial" w:cs="Arial"/>
                <w:b/>
                <w:bCs/>
                <w:color w:val="000000"/>
                <w:sz w:val="20"/>
                <w:lang w:eastAsia="en-NZ"/>
              </w:rPr>
            </w:pPr>
            <w:r w:rsidRPr="001244BB">
              <w:rPr>
                <w:rFonts w:ascii="Arial" w:eastAsia="Times New Roman" w:hAnsi="Arial" w:cs="Arial"/>
                <w:b/>
                <w:bCs/>
                <w:color w:val="000000"/>
                <w:sz w:val="20"/>
                <w:lang w:eastAsia="en-NZ"/>
              </w:rPr>
              <w:t>293</w:t>
            </w:r>
          </w:p>
        </w:tc>
        <w:tc>
          <w:tcPr>
            <w:tcW w:w="993" w:type="dxa"/>
            <w:tcBorders>
              <w:bottom w:val="single" w:sz="4" w:space="0" w:color="F79646" w:themeColor="accent6"/>
            </w:tcBorders>
            <w:shd w:val="clear" w:color="000000" w:fill="E0E0E0"/>
            <w:noWrap/>
            <w:hideMark/>
          </w:tcPr>
          <w:p w:rsidR="003D3A6A" w:rsidRPr="001244BB" w:rsidRDefault="003D3A6A" w:rsidP="0025274D">
            <w:pPr>
              <w:spacing w:after="0" w:line="240" w:lineRule="auto"/>
              <w:jc w:val="right"/>
              <w:rPr>
                <w:rFonts w:ascii="Arial" w:eastAsia="Times New Roman" w:hAnsi="Arial" w:cs="Arial"/>
                <w:b/>
                <w:bCs/>
                <w:color w:val="000000"/>
                <w:sz w:val="20"/>
                <w:lang w:eastAsia="en-NZ"/>
              </w:rPr>
            </w:pPr>
            <w:r w:rsidRPr="001244BB">
              <w:rPr>
                <w:rFonts w:ascii="Arial" w:eastAsia="Times New Roman" w:hAnsi="Arial" w:cs="Arial"/>
                <w:b/>
                <w:bCs/>
                <w:color w:val="000000"/>
                <w:sz w:val="20"/>
                <w:lang w:eastAsia="en-NZ"/>
              </w:rPr>
              <w:t>738</w:t>
            </w:r>
          </w:p>
        </w:tc>
        <w:tc>
          <w:tcPr>
            <w:tcW w:w="992" w:type="dxa"/>
            <w:tcBorders>
              <w:bottom w:val="single" w:sz="4" w:space="0" w:color="F79646" w:themeColor="accent6"/>
            </w:tcBorders>
            <w:shd w:val="clear" w:color="000000" w:fill="E0E0E0"/>
            <w:noWrap/>
            <w:hideMark/>
          </w:tcPr>
          <w:p w:rsidR="003D3A6A" w:rsidRPr="001244BB" w:rsidRDefault="003D3A6A" w:rsidP="0025274D">
            <w:pPr>
              <w:spacing w:after="0" w:line="240" w:lineRule="auto"/>
              <w:jc w:val="right"/>
              <w:rPr>
                <w:rFonts w:ascii="Arial" w:eastAsia="Times New Roman" w:hAnsi="Arial" w:cs="Arial"/>
                <w:b/>
                <w:bCs/>
                <w:color w:val="000000"/>
                <w:sz w:val="20"/>
                <w:lang w:eastAsia="en-NZ"/>
              </w:rPr>
            </w:pPr>
            <w:r w:rsidRPr="001244BB">
              <w:rPr>
                <w:rFonts w:ascii="Arial" w:eastAsia="Times New Roman" w:hAnsi="Arial" w:cs="Arial"/>
                <w:b/>
                <w:bCs/>
                <w:color w:val="000000"/>
                <w:sz w:val="20"/>
                <w:lang w:eastAsia="en-NZ"/>
              </w:rPr>
              <w:t>3,650</w:t>
            </w:r>
          </w:p>
        </w:tc>
        <w:tc>
          <w:tcPr>
            <w:tcW w:w="1276" w:type="dxa"/>
            <w:tcBorders>
              <w:bottom w:val="single" w:sz="4" w:space="0" w:color="F79646" w:themeColor="accent6"/>
            </w:tcBorders>
            <w:shd w:val="clear" w:color="000000" w:fill="E0E0E0"/>
            <w:noWrap/>
            <w:hideMark/>
          </w:tcPr>
          <w:p w:rsidR="003D3A6A" w:rsidRPr="001244BB" w:rsidRDefault="003D3A6A" w:rsidP="0025274D">
            <w:pPr>
              <w:spacing w:after="0" w:line="240" w:lineRule="auto"/>
              <w:jc w:val="right"/>
              <w:rPr>
                <w:rFonts w:ascii="Arial" w:eastAsia="Times New Roman" w:hAnsi="Arial" w:cs="Arial"/>
                <w:b/>
                <w:bCs/>
                <w:color w:val="000000"/>
                <w:sz w:val="20"/>
                <w:lang w:eastAsia="en-NZ"/>
              </w:rPr>
            </w:pPr>
            <w:r w:rsidRPr="001244BB">
              <w:rPr>
                <w:rFonts w:ascii="Arial" w:eastAsia="Times New Roman" w:hAnsi="Arial" w:cs="Arial"/>
                <w:b/>
                <w:bCs/>
                <w:color w:val="000000"/>
                <w:sz w:val="20"/>
                <w:lang w:eastAsia="en-NZ"/>
              </w:rPr>
              <w:t>2,912</w:t>
            </w:r>
          </w:p>
        </w:tc>
        <w:tc>
          <w:tcPr>
            <w:tcW w:w="3969" w:type="dxa"/>
            <w:tcBorders>
              <w:bottom w:val="single" w:sz="4" w:space="0" w:color="F79646" w:themeColor="accent6"/>
            </w:tcBorders>
            <w:shd w:val="clear" w:color="auto" w:fill="auto"/>
            <w:vAlign w:val="bottom"/>
            <w:hideMark/>
          </w:tcPr>
          <w:p w:rsidR="003D3A6A" w:rsidRPr="001244BB" w:rsidRDefault="003D3A6A" w:rsidP="0025274D">
            <w:pPr>
              <w:spacing w:after="0" w:line="240" w:lineRule="auto"/>
              <w:rPr>
                <w:rFonts w:ascii="Arial" w:eastAsia="Times New Roman" w:hAnsi="Arial" w:cs="Arial"/>
                <w:color w:val="000000"/>
                <w:sz w:val="20"/>
                <w:lang w:eastAsia="en-NZ"/>
              </w:rPr>
            </w:pPr>
            <w:r w:rsidRPr="001244BB">
              <w:rPr>
                <w:rFonts w:ascii="Arial" w:eastAsia="Times New Roman" w:hAnsi="Arial" w:cs="Arial"/>
                <w:color w:val="000000"/>
                <w:sz w:val="20"/>
                <w:lang w:eastAsia="en-NZ"/>
              </w:rPr>
              <w:t>Under budget due to delays on the Opera House and St James earthquake strengthening work because of cost escalations and budget approvals, as well as the MFC membrane roof renewal.</w:t>
            </w:r>
          </w:p>
        </w:tc>
      </w:tr>
      <w:tr w:rsidR="003D3A6A" w:rsidRPr="001244BB" w:rsidTr="001B5165">
        <w:trPr>
          <w:trHeight w:val="80"/>
        </w:trPr>
        <w:tc>
          <w:tcPr>
            <w:tcW w:w="2836" w:type="dxa"/>
            <w:tcBorders>
              <w:right w:val="single" w:sz="4" w:space="0" w:color="FFFFFF" w:themeColor="background1"/>
            </w:tcBorders>
            <w:shd w:val="clear" w:color="auto" w:fill="FF9900"/>
            <w:noWrap/>
          </w:tcPr>
          <w:p w:rsidR="003D3A6A" w:rsidRPr="001244BB" w:rsidRDefault="003D3A6A" w:rsidP="0025274D">
            <w:pPr>
              <w:spacing w:after="0" w:line="240" w:lineRule="auto"/>
              <w:rPr>
                <w:rFonts w:ascii="Arial" w:eastAsia="Times New Roman" w:hAnsi="Arial" w:cs="Arial"/>
                <w:b/>
                <w:bCs/>
                <w:color w:val="000000"/>
                <w:sz w:val="20"/>
                <w:lang w:eastAsia="en-NZ"/>
              </w:rPr>
            </w:pPr>
            <w:r w:rsidRPr="001244BB">
              <w:rPr>
                <w:rFonts w:ascii="Arial" w:eastAsia="Times New Roman" w:hAnsi="Arial" w:cs="Arial"/>
                <w:b/>
                <w:bCs/>
                <w:color w:val="000000"/>
                <w:sz w:val="20"/>
                <w:lang w:eastAsia="en-NZ"/>
              </w:rPr>
              <w:t xml:space="preserve">Total </w:t>
            </w:r>
          </w:p>
        </w:tc>
        <w:tc>
          <w:tcPr>
            <w:tcW w:w="948" w:type="dxa"/>
            <w:tcBorders>
              <w:left w:val="single" w:sz="4" w:space="0" w:color="FFFFFF" w:themeColor="background1"/>
              <w:right w:val="single" w:sz="4" w:space="0" w:color="FFFFFF" w:themeColor="background1"/>
            </w:tcBorders>
            <w:shd w:val="clear" w:color="auto" w:fill="FF9900"/>
            <w:noWrap/>
          </w:tcPr>
          <w:p w:rsidR="003D3A6A" w:rsidRPr="001244BB" w:rsidRDefault="003D3A6A" w:rsidP="0025274D">
            <w:pPr>
              <w:spacing w:after="0" w:line="240" w:lineRule="auto"/>
              <w:jc w:val="right"/>
              <w:rPr>
                <w:rFonts w:ascii="Arial" w:eastAsia="Times New Roman" w:hAnsi="Arial" w:cs="Arial"/>
                <w:b/>
                <w:bCs/>
                <w:color w:val="000000"/>
                <w:sz w:val="20"/>
                <w:lang w:eastAsia="en-NZ"/>
              </w:rPr>
            </w:pPr>
            <w:r w:rsidRPr="001244BB">
              <w:rPr>
                <w:rFonts w:ascii="Arial" w:eastAsia="Times New Roman" w:hAnsi="Arial" w:cs="Arial"/>
                <w:b/>
                <w:bCs/>
                <w:color w:val="000000"/>
                <w:sz w:val="20"/>
                <w:lang w:eastAsia="en-NZ"/>
              </w:rPr>
              <w:t>886</w:t>
            </w:r>
          </w:p>
        </w:tc>
        <w:tc>
          <w:tcPr>
            <w:tcW w:w="966" w:type="dxa"/>
            <w:tcBorders>
              <w:left w:val="single" w:sz="4" w:space="0" w:color="FFFFFF" w:themeColor="background1"/>
              <w:right w:val="single" w:sz="4" w:space="0" w:color="FFFFFF" w:themeColor="background1"/>
            </w:tcBorders>
            <w:shd w:val="clear" w:color="auto" w:fill="FF9900"/>
            <w:noWrap/>
          </w:tcPr>
          <w:p w:rsidR="003D3A6A" w:rsidRPr="001244BB" w:rsidRDefault="003D3A6A" w:rsidP="0025274D">
            <w:pPr>
              <w:spacing w:after="0" w:line="240" w:lineRule="auto"/>
              <w:jc w:val="right"/>
              <w:rPr>
                <w:rFonts w:ascii="Arial" w:eastAsia="Times New Roman" w:hAnsi="Arial" w:cs="Arial"/>
                <w:b/>
                <w:bCs/>
                <w:color w:val="000000"/>
                <w:sz w:val="20"/>
                <w:lang w:eastAsia="en-NZ"/>
              </w:rPr>
            </w:pPr>
            <w:r w:rsidRPr="001244BB">
              <w:rPr>
                <w:rFonts w:ascii="Arial" w:eastAsia="Times New Roman" w:hAnsi="Arial" w:cs="Arial"/>
                <w:b/>
                <w:bCs/>
                <w:color w:val="000000"/>
                <w:sz w:val="20"/>
                <w:lang w:eastAsia="en-NZ"/>
              </w:rPr>
              <w:t>599</w:t>
            </w:r>
          </w:p>
        </w:tc>
        <w:tc>
          <w:tcPr>
            <w:tcW w:w="1148" w:type="dxa"/>
            <w:tcBorders>
              <w:left w:val="single" w:sz="4" w:space="0" w:color="FFFFFF" w:themeColor="background1"/>
              <w:right w:val="single" w:sz="4" w:space="0" w:color="FFFFFF" w:themeColor="background1"/>
            </w:tcBorders>
            <w:shd w:val="clear" w:color="auto" w:fill="FF9900"/>
            <w:noWrap/>
          </w:tcPr>
          <w:p w:rsidR="003D3A6A" w:rsidRPr="001244BB" w:rsidRDefault="003D3A6A" w:rsidP="0025274D">
            <w:pPr>
              <w:spacing w:after="0" w:line="240" w:lineRule="auto"/>
              <w:jc w:val="right"/>
              <w:rPr>
                <w:rFonts w:ascii="Arial" w:eastAsia="Times New Roman" w:hAnsi="Arial" w:cs="Arial"/>
                <w:b/>
                <w:bCs/>
                <w:color w:val="000000"/>
                <w:sz w:val="20"/>
                <w:lang w:eastAsia="en-NZ"/>
              </w:rPr>
            </w:pPr>
            <w:r w:rsidRPr="001244BB">
              <w:rPr>
                <w:rFonts w:ascii="Arial" w:eastAsia="Times New Roman" w:hAnsi="Arial" w:cs="Arial"/>
                <w:b/>
                <w:bCs/>
                <w:color w:val="000000"/>
                <w:sz w:val="20"/>
                <w:lang w:eastAsia="en-NZ"/>
              </w:rPr>
              <w:t>3,357</w:t>
            </w:r>
          </w:p>
        </w:tc>
        <w:tc>
          <w:tcPr>
            <w:tcW w:w="1190" w:type="dxa"/>
            <w:tcBorders>
              <w:left w:val="single" w:sz="4" w:space="0" w:color="FFFFFF" w:themeColor="background1"/>
              <w:right w:val="single" w:sz="4" w:space="0" w:color="FFFFFF" w:themeColor="background1"/>
            </w:tcBorders>
            <w:shd w:val="clear" w:color="auto" w:fill="FF9900"/>
            <w:noWrap/>
          </w:tcPr>
          <w:p w:rsidR="003D3A6A" w:rsidRPr="001244BB" w:rsidRDefault="003D3A6A" w:rsidP="0025274D">
            <w:pPr>
              <w:spacing w:after="0" w:line="240" w:lineRule="auto"/>
              <w:jc w:val="right"/>
              <w:rPr>
                <w:rFonts w:ascii="Arial" w:eastAsia="Times New Roman" w:hAnsi="Arial" w:cs="Arial"/>
                <w:b/>
                <w:bCs/>
                <w:color w:val="000000"/>
                <w:sz w:val="20"/>
                <w:lang w:eastAsia="en-NZ"/>
              </w:rPr>
            </w:pPr>
            <w:r w:rsidRPr="001244BB">
              <w:rPr>
                <w:rFonts w:ascii="Arial" w:eastAsia="Times New Roman" w:hAnsi="Arial" w:cs="Arial"/>
                <w:b/>
                <w:bCs/>
                <w:color w:val="000000"/>
                <w:sz w:val="20"/>
                <w:lang w:eastAsia="en-NZ"/>
              </w:rPr>
              <w:t>293</w:t>
            </w:r>
          </w:p>
        </w:tc>
        <w:tc>
          <w:tcPr>
            <w:tcW w:w="993" w:type="dxa"/>
            <w:tcBorders>
              <w:left w:val="single" w:sz="4" w:space="0" w:color="FFFFFF" w:themeColor="background1"/>
              <w:right w:val="single" w:sz="4" w:space="0" w:color="FFFFFF" w:themeColor="background1"/>
            </w:tcBorders>
            <w:shd w:val="clear" w:color="auto" w:fill="FF9900"/>
            <w:noWrap/>
          </w:tcPr>
          <w:p w:rsidR="003D3A6A" w:rsidRPr="001244BB" w:rsidRDefault="003D3A6A" w:rsidP="0025274D">
            <w:pPr>
              <w:spacing w:after="0" w:line="240" w:lineRule="auto"/>
              <w:jc w:val="right"/>
              <w:rPr>
                <w:rFonts w:ascii="Arial" w:eastAsia="Times New Roman" w:hAnsi="Arial" w:cs="Arial"/>
                <w:b/>
                <w:bCs/>
                <w:color w:val="000000"/>
                <w:sz w:val="20"/>
                <w:lang w:eastAsia="en-NZ"/>
              </w:rPr>
            </w:pPr>
            <w:r w:rsidRPr="001244BB">
              <w:rPr>
                <w:rFonts w:ascii="Arial" w:eastAsia="Times New Roman" w:hAnsi="Arial" w:cs="Arial"/>
                <w:b/>
                <w:bCs/>
                <w:color w:val="000000"/>
                <w:sz w:val="20"/>
                <w:lang w:eastAsia="en-NZ"/>
              </w:rPr>
              <w:t>738</w:t>
            </w:r>
          </w:p>
        </w:tc>
        <w:tc>
          <w:tcPr>
            <w:tcW w:w="992" w:type="dxa"/>
            <w:tcBorders>
              <w:left w:val="single" w:sz="4" w:space="0" w:color="FFFFFF" w:themeColor="background1"/>
              <w:right w:val="single" w:sz="4" w:space="0" w:color="FFFFFF" w:themeColor="background1"/>
            </w:tcBorders>
            <w:shd w:val="clear" w:color="auto" w:fill="FF9900"/>
            <w:noWrap/>
          </w:tcPr>
          <w:p w:rsidR="003D3A6A" w:rsidRPr="001244BB" w:rsidRDefault="003D3A6A" w:rsidP="0025274D">
            <w:pPr>
              <w:spacing w:after="0" w:line="240" w:lineRule="auto"/>
              <w:jc w:val="right"/>
              <w:rPr>
                <w:rFonts w:ascii="Arial" w:eastAsia="Times New Roman" w:hAnsi="Arial" w:cs="Arial"/>
                <w:b/>
                <w:bCs/>
                <w:color w:val="000000"/>
                <w:sz w:val="20"/>
                <w:lang w:eastAsia="en-NZ"/>
              </w:rPr>
            </w:pPr>
            <w:r w:rsidRPr="001244BB">
              <w:rPr>
                <w:rFonts w:ascii="Arial" w:eastAsia="Times New Roman" w:hAnsi="Arial" w:cs="Arial"/>
                <w:b/>
                <w:bCs/>
                <w:color w:val="000000"/>
                <w:sz w:val="20"/>
                <w:lang w:eastAsia="en-NZ"/>
              </w:rPr>
              <w:t>3,650</w:t>
            </w:r>
          </w:p>
        </w:tc>
        <w:tc>
          <w:tcPr>
            <w:tcW w:w="1276" w:type="dxa"/>
            <w:tcBorders>
              <w:left w:val="single" w:sz="4" w:space="0" w:color="FFFFFF" w:themeColor="background1"/>
              <w:right w:val="single" w:sz="4" w:space="0" w:color="FFFFFF" w:themeColor="background1"/>
            </w:tcBorders>
            <w:shd w:val="clear" w:color="auto" w:fill="FF9900"/>
            <w:noWrap/>
          </w:tcPr>
          <w:p w:rsidR="003D3A6A" w:rsidRPr="001244BB" w:rsidRDefault="003D3A6A" w:rsidP="0025274D">
            <w:pPr>
              <w:spacing w:after="0" w:line="240" w:lineRule="auto"/>
              <w:jc w:val="right"/>
              <w:rPr>
                <w:rFonts w:ascii="Arial" w:eastAsia="Times New Roman" w:hAnsi="Arial" w:cs="Arial"/>
                <w:b/>
                <w:bCs/>
                <w:color w:val="000000"/>
                <w:sz w:val="20"/>
                <w:lang w:eastAsia="en-NZ"/>
              </w:rPr>
            </w:pPr>
            <w:r w:rsidRPr="001244BB">
              <w:rPr>
                <w:rFonts w:ascii="Arial" w:eastAsia="Times New Roman" w:hAnsi="Arial" w:cs="Arial"/>
                <w:b/>
                <w:bCs/>
                <w:color w:val="000000"/>
                <w:sz w:val="20"/>
                <w:lang w:eastAsia="en-NZ"/>
              </w:rPr>
              <w:t>2,912</w:t>
            </w:r>
          </w:p>
        </w:tc>
        <w:tc>
          <w:tcPr>
            <w:tcW w:w="3969" w:type="dxa"/>
            <w:tcBorders>
              <w:left w:val="single" w:sz="4" w:space="0" w:color="FFFFFF" w:themeColor="background1"/>
            </w:tcBorders>
            <w:shd w:val="clear" w:color="auto" w:fill="FF9900"/>
            <w:vAlign w:val="bottom"/>
          </w:tcPr>
          <w:p w:rsidR="003D3A6A" w:rsidRPr="001244BB" w:rsidRDefault="003D3A6A" w:rsidP="0025274D">
            <w:pPr>
              <w:spacing w:after="0" w:line="240" w:lineRule="auto"/>
              <w:rPr>
                <w:rFonts w:ascii="Calibri" w:eastAsia="Times New Roman" w:hAnsi="Calibri" w:cs="Calibri"/>
                <w:color w:val="000000"/>
                <w:sz w:val="20"/>
                <w:lang w:eastAsia="en-NZ"/>
              </w:rPr>
            </w:pPr>
          </w:p>
        </w:tc>
      </w:tr>
    </w:tbl>
    <w:p w:rsidR="00D56DAD" w:rsidRPr="00510AC5" w:rsidRDefault="00D56DAD" w:rsidP="00AA2122">
      <w:pPr>
        <w:pStyle w:val="Heading3"/>
        <w:rPr>
          <w:color w:val="FF9900"/>
        </w:rPr>
      </w:pPr>
      <w:r w:rsidRPr="00510AC5">
        <w:rPr>
          <w:color w:val="FF9900"/>
        </w:rPr>
        <w:lastRenderedPageBreak/>
        <w:t>Economic development performance</w:t>
      </w:r>
      <w:bookmarkEnd w:id="206"/>
      <w:bookmarkEnd w:id="207"/>
      <w:bookmarkEnd w:id="208"/>
      <w:bookmarkEnd w:id="209"/>
      <w:bookmarkEnd w:id="210"/>
    </w:p>
    <w:p w:rsidR="00D56DAD" w:rsidRPr="00D5126A" w:rsidRDefault="00D56DAD" w:rsidP="00D56DAD">
      <w:pPr>
        <w:pStyle w:val="Para034"/>
        <w:spacing w:after="0" w:line="240" w:lineRule="auto"/>
        <w:rPr>
          <w:rFonts w:ascii="Arial" w:hAnsi="Arial" w:cs="Arial"/>
        </w:rPr>
      </w:pPr>
      <w:r w:rsidRPr="00D5126A">
        <w:rPr>
          <w:rFonts w:ascii="Arial" w:hAnsi="Arial" w:cs="Arial"/>
        </w:rPr>
        <w:t xml:space="preserve">The following section outlines our performance data: outcome indicators, performance measures and supplementary tables. </w:t>
      </w:r>
    </w:p>
    <w:p w:rsidR="00D56DAD" w:rsidRPr="00D5126A" w:rsidRDefault="00D56DAD" w:rsidP="00D56DAD">
      <w:pPr>
        <w:pStyle w:val="Para034"/>
        <w:spacing w:before="0" w:after="0" w:line="240" w:lineRule="auto"/>
        <w:rPr>
          <w:rFonts w:ascii="Arial" w:hAnsi="Arial" w:cs="Arial"/>
        </w:rPr>
      </w:pPr>
      <w:r w:rsidRPr="00D5126A">
        <w:rPr>
          <w:rFonts w:ascii="Arial" w:hAnsi="Arial" w:cs="Arial"/>
        </w:rPr>
        <w:t>We use outcome indicators to monitor our city over time, which provides information on trends that may influence our performance</w:t>
      </w:r>
      <w:r w:rsidR="00FA5A13">
        <w:rPr>
          <w:rFonts w:ascii="Arial" w:hAnsi="Arial" w:cs="Arial"/>
        </w:rPr>
        <w:t>,</w:t>
      </w:r>
      <w:r w:rsidRPr="00D5126A">
        <w:rPr>
          <w:rFonts w:ascii="Arial" w:hAnsi="Arial" w:cs="Arial"/>
        </w:rPr>
        <w:t xml:space="preserve"> including those outside our control. </w:t>
      </w:r>
    </w:p>
    <w:p w:rsidR="00D56DAD" w:rsidRPr="00D5126A" w:rsidRDefault="00D56DAD" w:rsidP="00D56DAD">
      <w:pPr>
        <w:pStyle w:val="Para034"/>
        <w:spacing w:before="0" w:after="0" w:line="240" w:lineRule="auto"/>
        <w:rPr>
          <w:rFonts w:ascii="Arial" w:hAnsi="Arial" w:cs="Arial"/>
        </w:rPr>
      </w:pPr>
      <w:r w:rsidRPr="00D5126A">
        <w:rPr>
          <w:rFonts w:ascii="Arial" w:hAnsi="Arial" w:cs="Arial"/>
        </w:rPr>
        <w:t>We use performance measures to track how well we are delivering services against targets as set out in the 10-year and annual plans.</w:t>
      </w:r>
    </w:p>
    <w:p w:rsidR="00D56DAD" w:rsidRPr="00D5126A" w:rsidRDefault="00D56DAD" w:rsidP="001D2EAA">
      <w:pPr>
        <w:pStyle w:val="Para034"/>
        <w:spacing w:before="0" w:after="0" w:line="240" w:lineRule="auto"/>
        <w:rPr>
          <w:rFonts w:ascii="Arial" w:hAnsi="Arial" w:cs="Arial"/>
        </w:rPr>
      </w:pPr>
      <w:r w:rsidRPr="00D5126A">
        <w:rPr>
          <w:rFonts w:ascii="Arial" w:hAnsi="Arial" w:cs="Arial"/>
        </w:rPr>
        <w:t xml:space="preserve">The Council undertakes the Residents’ Monitoring Survey (RMS) on an annual basis. The survey has a margin of error of </w:t>
      </w:r>
      <w:r w:rsidR="001D2EAA">
        <w:t>+/- 4.4% percent.</w:t>
      </w:r>
    </w:p>
    <w:p w:rsidR="00D56DAD" w:rsidRPr="00510AC5" w:rsidRDefault="00D56DAD" w:rsidP="00846C1B">
      <w:pPr>
        <w:pStyle w:val="Heading4"/>
        <w:rPr>
          <w:color w:val="FF9900"/>
        </w:rPr>
      </w:pPr>
      <w:r w:rsidRPr="00510AC5">
        <w:rPr>
          <w:color w:val="FF9900"/>
        </w:rPr>
        <w:t>Performance data – outcome indicators</w:t>
      </w:r>
    </w:p>
    <w:p w:rsidR="00D56DAD" w:rsidRPr="00D5126A" w:rsidRDefault="00D56DAD" w:rsidP="001D7232">
      <w:pPr>
        <w:pStyle w:val="Para034"/>
        <w:spacing w:before="0" w:line="240" w:lineRule="auto"/>
        <w:rPr>
          <w:rFonts w:ascii="Arial" w:hAnsi="Arial" w:cs="Arial"/>
        </w:rPr>
      </w:pPr>
      <w:r w:rsidRPr="00D5126A">
        <w:rPr>
          <w:rFonts w:ascii="Arial" w:hAnsi="Arial" w:cs="Arial"/>
        </w:rPr>
        <w:t xml:space="preserve">The following section outlines outcome indicators for the Economic development activity area. Outcome indicators do not have targets. </w:t>
      </w:r>
    </w:p>
    <w:tbl>
      <w:tblPr>
        <w:tblW w:w="14176" w:type="dxa"/>
        <w:tblInd w:w="-318" w:type="dxa"/>
        <w:tblBorders>
          <w:top w:val="single" w:sz="4" w:space="0" w:color="E36C0A" w:themeColor="accent6" w:themeShade="BF"/>
          <w:bottom w:val="single" w:sz="4" w:space="0" w:color="E36C0A" w:themeColor="accent6" w:themeShade="BF"/>
          <w:insideH w:val="single" w:sz="4" w:space="0" w:color="E36C0A" w:themeColor="accent6" w:themeShade="BF"/>
          <w:insideV w:val="single" w:sz="4" w:space="0" w:color="E36C0A" w:themeColor="accent6" w:themeShade="BF"/>
        </w:tblBorders>
        <w:tblLayout w:type="fixed"/>
        <w:tblLook w:val="04A0" w:firstRow="1" w:lastRow="0" w:firstColumn="1" w:lastColumn="0" w:noHBand="0" w:noVBand="1"/>
      </w:tblPr>
      <w:tblGrid>
        <w:gridCol w:w="2553"/>
        <w:gridCol w:w="1273"/>
        <w:gridCol w:w="1703"/>
        <w:gridCol w:w="1610"/>
        <w:gridCol w:w="11"/>
        <w:gridCol w:w="1767"/>
        <w:gridCol w:w="1766"/>
        <w:gridCol w:w="3493"/>
      </w:tblGrid>
      <w:tr w:rsidR="001D7232" w:rsidRPr="001244BB" w:rsidTr="00510AC5">
        <w:trPr>
          <w:trHeight w:val="259"/>
          <w:tblHeader/>
        </w:trPr>
        <w:tc>
          <w:tcPr>
            <w:tcW w:w="2553" w:type="dxa"/>
            <w:shd w:val="clear" w:color="auto" w:fill="FF9900"/>
            <w:hideMark/>
          </w:tcPr>
          <w:p w:rsidR="001D7232" w:rsidRPr="001244BB" w:rsidRDefault="001D7232" w:rsidP="0025274D">
            <w:pPr>
              <w:spacing w:after="0" w:line="240" w:lineRule="auto"/>
              <w:rPr>
                <w:rFonts w:eastAsia="Times New Roman" w:cstheme="minorHAnsi"/>
                <w:b/>
                <w:bCs/>
                <w:lang w:eastAsia="en-NZ"/>
              </w:rPr>
            </w:pPr>
            <w:r w:rsidRPr="001244BB">
              <w:rPr>
                <w:rFonts w:eastAsia="Times New Roman" w:cstheme="minorHAnsi"/>
                <w:b/>
                <w:bCs/>
                <w:lang w:eastAsia="en-NZ"/>
              </w:rPr>
              <w:t>Economic Development</w:t>
            </w:r>
          </w:p>
        </w:tc>
        <w:tc>
          <w:tcPr>
            <w:tcW w:w="1273" w:type="dxa"/>
            <w:shd w:val="clear" w:color="auto" w:fill="FF9900"/>
            <w:noWrap/>
            <w:hideMark/>
          </w:tcPr>
          <w:p w:rsidR="001D7232" w:rsidRPr="001244BB" w:rsidRDefault="001D7232" w:rsidP="0025274D">
            <w:pPr>
              <w:spacing w:after="0" w:line="240" w:lineRule="auto"/>
              <w:rPr>
                <w:rFonts w:eastAsia="Times New Roman" w:cstheme="minorHAnsi"/>
                <w:b/>
                <w:bCs/>
                <w:lang w:eastAsia="en-NZ"/>
              </w:rPr>
            </w:pPr>
            <w:r w:rsidRPr="001244BB">
              <w:rPr>
                <w:rFonts w:eastAsia="Times New Roman" w:cstheme="minorHAnsi"/>
                <w:b/>
                <w:bCs/>
                <w:lang w:eastAsia="en-NZ"/>
              </w:rPr>
              <w:t>Desired Trend</w:t>
            </w:r>
          </w:p>
        </w:tc>
        <w:tc>
          <w:tcPr>
            <w:tcW w:w="1703" w:type="dxa"/>
            <w:shd w:val="clear" w:color="auto" w:fill="FF9900"/>
            <w:noWrap/>
            <w:hideMark/>
          </w:tcPr>
          <w:p w:rsidR="001D7232" w:rsidRPr="001244BB" w:rsidRDefault="001D7232" w:rsidP="0025274D">
            <w:pPr>
              <w:spacing w:after="0" w:line="240" w:lineRule="auto"/>
              <w:rPr>
                <w:rFonts w:eastAsia="Times New Roman" w:cstheme="minorHAnsi"/>
                <w:b/>
                <w:bCs/>
                <w:lang w:eastAsia="en-NZ"/>
              </w:rPr>
            </w:pPr>
            <w:r w:rsidRPr="001244BB">
              <w:rPr>
                <w:rFonts w:eastAsia="Times New Roman" w:cstheme="minorHAnsi"/>
                <w:b/>
                <w:bCs/>
                <w:lang w:eastAsia="en-NZ"/>
              </w:rPr>
              <w:t>Source</w:t>
            </w:r>
          </w:p>
        </w:tc>
        <w:tc>
          <w:tcPr>
            <w:tcW w:w="1621" w:type="dxa"/>
            <w:gridSpan w:val="2"/>
            <w:shd w:val="clear" w:color="auto" w:fill="FF9900"/>
            <w:noWrap/>
            <w:hideMark/>
          </w:tcPr>
          <w:p w:rsidR="001D7232" w:rsidRPr="001244BB" w:rsidRDefault="001D7232" w:rsidP="0025274D">
            <w:pPr>
              <w:spacing w:after="0" w:line="240" w:lineRule="auto"/>
              <w:rPr>
                <w:rFonts w:eastAsia="Times New Roman" w:cstheme="minorHAnsi"/>
                <w:b/>
                <w:bCs/>
                <w:lang w:eastAsia="en-NZ"/>
              </w:rPr>
            </w:pPr>
            <w:r w:rsidRPr="001244BB">
              <w:rPr>
                <w:rFonts w:eastAsia="Times New Roman" w:cstheme="minorHAnsi"/>
                <w:b/>
                <w:bCs/>
                <w:lang w:eastAsia="en-NZ"/>
              </w:rPr>
              <w:t>2016/17</w:t>
            </w:r>
          </w:p>
        </w:tc>
        <w:tc>
          <w:tcPr>
            <w:tcW w:w="1767" w:type="dxa"/>
            <w:shd w:val="clear" w:color="auto" w:fill="FF9900"/>
            <w:noWrap/>
            <w:hideMark/>
          </w:tcPr>
          <w:p w:rsidR="001D7232" w:rsidRPr="001244BB" w:rsidRDefault="001D7232" w:rsidP="0025274D">
            <w:pPr>
              <w:spacing w:after="0" w:line="240" w:lineRule="auto"/>
              <w:rPr>
                <w:rFonts w:eastAsia="Times New Roman" w:cstheme="minorHAnsi"/>
                <w:b/>
                <w:bCs/>
                <w:lang w:eastAsia="en-NZ"/>
              </w:rPr>
            </w:pPr>
            <w:r w:rsidRPr="001244BB">
              <w:rPr>
                <w:rFonts w:eastAsia="Times New Roman" w:cstheme="minorHAnsi"/>
                <w:b/>
                <w:bCs/>
                <w:lang w:eastAsia="en-NZ"/>
              </w:rPr>
              <w:t>2017/18</w:t>
            </w:r>
          </w:p>
        </w:tc>
        <w:tc>
          <w:tcPr>
            <w:tcW w:w="1766" w:type="dxa"/>
            <w:shd w:val="clear" w:color="auto" w:fill="FF9900"/>
            <w:noWrap/>
            <w:hideMark/>
          </w:tcPr>
          <w:p w:rsidR="001D7232" w:rsidRPr="001244BB" w:rsidRDefault="001D7232" w:rsidP="0025274D">
            <w:pPr>
              <w:spacing w:after="0" w:line="240" w:lineRule="auto"/>
              <w:rPr>
                <w:rFonts w:eastAsia="Times New Roman" w:cstheme="minorHAnsi"/>
                <w:b/>
                <w:bCs/>
                <w:lang w:eastAsia="en-NZ"/>
              </w:rPr>
            </w:pPr>
            <w:r w:rsidRPr="001244BB">
              <w:rPr>
                <w:rFonts w:eastAsia="Times New Roman" w:cstheme="minorHAnsi"/>
                <w:b/>
                <w:bCs/>
                <w:lang w:eastAsia="en-NZ"/>
              </w:rPr>
              <w:t>2018/19</w:t>
            </w:r>
          </w:p>
        </w:tc>
        <w:tc>
          <w:tcPr>
            <w:tcW w:w="3493" w:type="dxa"/>
            <w:shd w:val="clear" w:color="auto" w:fill="FF9900"/>
          </w:tcPr>
          <w:p w:rsidR="001D7232" w:rsidRPr="001244BB" w:rsidRDefault="001D7232" w:rsidP="0025274D">
            <w:pPr>
              <w:spacing w:after="0" w:line="240" w:lineRule="auto"/>
              <w:rPr>
                <w:rFonts w:eastAsia="Times New Roman" w:cstheme="minorHAnsi"/>
                <w:b/>
                <w:bCs/>
                <w:lang w:eastAsia="en-NZ"/>
              </w:rPr>
            </w:pPr>
            <w:r w:rsidRPr="001244BB">
              <w:rPr>
                <w:rFonts w:eastAsia="Times New Roman" w:cstheme="minorHAnsi"/>
                <w:b/>
                <w:bCs/>
                <w:lang w:eastAsia="en-NZ"/>
              </w:rPr>
              <w:t>Comments</w:t>
            </w:r>
          </w:p>
        </w:tc>
      </w:tr>
      <w:tr w:rsidR="001D7232" w:rsidRPr="001244BB" w:rsidTr="00510AC5">
        <w:trPr>
          <w:trHeight w:val="255"/>
        </w:trPr>
        <w:tc>
          <w:tcPr>
            <w:tcW w:w="14176" w:type="dxa"/>
            <w:gridSpan w:val="8"/>
            <w:shd w:val="clear" w:color="auto" w:fill="FDE9D9" w:themeFill="accent6" w:themeFillTint="33"/>
            <w:hideMark/>
          </w:tcPr>
          <w:p w:rsidR="001D7232" w:rsidRPr="001244BB" w:rsidRDefault="001D7232" w:rsidP="0025274D">
            <w:pPr>
              <w:spacing w:after="0" w:line="240" w:lineRule="auto"/>
              <w:rPr>
                <w:rFonts w:eastAsia="Times New Roman" w:cstheme="minorHAnsi"/>
                <w:sz w:val="20"/>
                <w:szCs w:val="20"/>
                <w:lang w:eastAsia="en-NZ"/>
              </w:rPr>
            </w:pPr>
            <w:r w:rsidRPr="001244BB">
              <w:rPr>
                <w:rFonts w:eastAsia="Times New Roman" w:cstheme="minorHAnsi"/>
                <w:b/>
                <w:bCs/>
                <w:i/>
                <w:iCs/>
                <w:sz w:val="20"/>
                <w:szCs w:val="20"/>
                <w:lang w:eastAsia="en-NZ"/>
              </w:rPr>
              <w:t xml:space="preserve">Visitor and talent attraction </w:t>
            </w:r>
          </w:p>
        </w:tc>
      </w:tr>
      <w:tr w:rsidR="001D7232" w:rsidRPr="001244BB" w:rsidTr="00510AC5">
        <w:trPr>
          <w:trHeight w:val="255"/>
        </w:trPr>
        <w:tc>
          <w:tcPr>
            <w:tcW w:w="2553" w:type="dxa"/>
            <w:shd w:val="clear" w:color="auto" w:fill="auto"/>
            <w:hideMark/>
          </w:tcPr>
          <w:p w:rsidR="001D7232" w:rsidRPr="001244BB" w:rsidRDefault="001D7232" w:rsidP="0025274D">
            <w:pPr>
              <w:spacing w:after="0" w:line="240" w:lineRule="auto"/>
              <w:rPr>
                <w:rFonts w:eastAsia="Times New Roman" w:cstheme="minorHAnsi"/>
                <w:sz w:val="20"/>
                <w:szCs w:val="20"/>
                <w:lang w:eastAsia="en-NZ"/>
              </w:rPr>
            </w:pPr>
            <w:r w:rsidRPr="001244BB">
              <w:rPr>
                <w:rFonts w:eastAsia="Times New Roman" w:cstheme="minorHAnsi"/>
                <w:sz w:val="20"/>
                <w:szCs w:val="20"/>
                <w:lang w:eastAsia="en-NZ"/>
              </w:rPr>
              <w:t xml:space="preserve">Number of domestic visitors (guest nights) </w:t>
            </w:r>
          </w:p>
        </w:tc>
        <w:tc>
          <w:tcPr>
            <w:tcW w:w="1273" w:type="dxa"/>
            <w:shd w:val="clear" w:color="auto" w:fill="auto"/>
            <w:noWrap/>
            <w:hideMark/>
          </w:tcPr>
          <w:p w:rsidR="001D7232" w:rsidRPr="001244BB" w:rsidRDefault="001D7232" w:rsidP="0025274D">
            <w:pPr>
              <w:spacing w:after="0" w:line="240" w:lineRule="auto"/>
              <w:rPr>
                <w:rFonts w:eastAsia="Times New Roman" w:cstheme="minorHAnsi"/>
                <w:color w:val="000000"/>
                <w:sz w:val="20"/>
                <w:szCs w:val="20"/>
                <w:lang w:eastAsia="en-NZ"/>
              </w:rPr>
            </w:pPr>
            <w:r w:rsidRPr="001244BB">
              <w:rPr>
                <w:rFonts w:eastAsia="Times New Roman" w:cstheme="minorHAnsi"/>
                <w:color w:val="000000"/>
                <w:sz w:val="20"/>
                <w:szCs w:val="20"/>
                <w:lang w:eastAsia="en-NZ"/>
              </w:rPr>
              <w:t>Increasing</w:t>
            </w:r>
          </w:p>
        </w:tc>
        <w:tc>
          <w:tcPr>
            <w:tcW w:w="1703" w:type="dxa"/>
            <w:shd w:val="clear" w:color="auto" w:fill="auto"/>
            <w:noWrap/>
            <w:hideMark/>
          </w:tcPr>
          <w:p w:rsidR="001D7232" w:rsidRPr="001244BB" w:rsidRDefault="001D7232" w:rsidP="0025274D">
            <w:pPr>
              <w:spacing w:after="0" w:line="240" w:lineRule="auto"/>
              <w:rPr>
                <w:rFonts w:eastAsia="Times New Roman" w:cstheme="minorHAnsi"/>
                <w:color w:val="000000"/>
                <w:sz w:val="20"/>
                <w:szCs w:val="20"/>
                <w:lang w:eastAsia="en-NZ"/>
              </w:rPr>
            </w:pPr>
            <w:r w:rsidRPr="001244BB">
              <w:rPr>
                <w:rFonts w:eastAsia="Times New Roman" w:cstheme="minorHAnsi"/>
                <w:color w:val="000000"/>
                <w:sz w:val="20"/>
                <w:szCs w:val="20"/>
                <w:lang w:eastAsia="en-NZ"/>
              </w:rPr>
              <w:t>Research - StatisticsNZ</w:t>
            </w:r>
          </w:p>
        </w:tc>
        <w:tc>
          <w:tcPr>
            <w:tcW w:w="1621" w:type="dxa"/>
            <w:gridSpan w:val="2"/>
            <w:shd w:val="clear" w:color="auto" w:fill="auto"/>
            <w:noWrap/>
            <w:hideMark/>
          </w:tcPr>
          <w:p w:rsidR="001D7232" w:rsidRPr="001244BB" w:rsidRDefault="001D7232" w:rsidP="0025274D">
            <w:pPr>
              <w:spacing w:after="0" w:line="240" w:lineRule="auto"/>
              <w:jc w:val="right"/>
              <w:rPr>
                <w:rFonts w:eastAsia="Times New Roman" w:cstheme="minorHAnsi"/>
                <w:color w:val="000000"/>
                <w:sz w:val="20"/>
                <w:szCs w:val="20"/>
                <w:lang w:eastAsia="en-NZ"/>
              </w:rPr>
            </w:pPr>
            <w:r w:rsidRPr="001244BB">
              <w:rPr>
                <w:rFonts w:eastAsia="Times New Roman" w:cstheme="minorHAnsi"/>
                <w:color w:val="000000"/>
                <w:sz w:val="20"/>
                <w:szCs w:val="20"/>
                <w:lang w:eastAsia="en-NZ"/>
              </w:rPr>
              <w:t>1,465,917</w:t>
            </w:r>
          </w:p>
        </w:tc>
        <w:tc>
          <w:tcPr>
            <w:tcW w:w="1767" w:type="dxa"/>
            <w:shd w:val="clear" w:color="auto" w:fill="auto"/>
            <w:noWrap/>
            <w:hideMark/>
          </w:tcPr>
          <w:p w:rsidR="001D7232" w:rsidRPr="001244BB" w:rsidRDefault="001D7232" w:rsidP="0025274D">
            <w:pPr>
              <w:spacing w:after="0" w:line="240" w:lineRule="auto"/>
              <w:jc w:val="right"/>
              <w:rPr>
                <w:rFonts w:eastAsia="Times New Roman" w:cstheme="minorHAnsi"/>
                <w:color w:val="000000"/>
                <w:sz w:val="20"/>
                <w:szCs w:val="20"/>
                <w:lang w:eastAsia="en-NZ"/>
              </w:rPr>
            </w:pPr>
            <w:r w:rsidRPr="001244BB">
              <w:rPr>
                <w:rFonts w:eastAsia="Times New Roman" w:cstheme="minorHAnsi"/>
                <w:color w:val="000000"/>
                <w:sz w:val="20"/>
                <w:szCs w:val="20"/>
                <w:lang w:eastAsia="en-NZ"/>
              </w:rPr>
              <w:t>1,508,912</w:t>
            </w:r>
          </w:p>
        </w:tc>
        <w:tc>
          <w:tcPr>
            <w:tcW w:w="1766" w:type="dxa"/>
            <w:shd w:val="clear" w:color="auto" w:fill="auto"/>
            <w:noWrap/>
            <w:hideMark/>
          </w:tcPr>
          <w:p w:rsidR="001D7232" w:rsidRPr="001244BB" w:rsidRDefault="001D7232" w:rsidP="0025274D">
            <w:pPr>
              <w:spacing w:after="0" w:line="240" w:lineRule="auto"/>
              <w:jc w:val="right"/>
              <w:rPr>
                <w:rFonts w:eastAsia="Times New Roman" w:cstheme="minorHAnsi"/>
                <w:color w:val="000000"/>
                <w:sz w:val="20"/>
                <w:szCs w:val="20"/>
                <w:lang w:eastAsia="en-NZ"/>
              </w:rPr>
            </w:pPr>
            <w:r w:rsidRPr="001244BB">
              <w:rPr>
                <w:rFonts w:eastAsia="Times New Roman" w:cstheme="minorHAnsi"/>
                <w:color w:val="000000"/>
                <w:sz w:val="20"/>
                <w:szCs w:val="20"/>
                <w:lang w:eastAsia="en-NZ"/>
              </w:rPr>
              <w:t>1,624,042</w:t>
            </w:r>
          </w:p>
        </w:tc>
        <w:tc>
          <w:tcPr>
            <w:tcW w:w="3493" w:type="dxa"/>
            <w:shd w:val="clear" w:color="auto" w:fill="auto"/>
            <w:hideMark/>
          </w:tcPr>
          <w:p w:rsidR="001D7232" w:rsidRPr="001244BB" w:rsidRDefault="001D7232" w:rsidP="0025274D">
            <w:pPr>
              <w:spacing w:after="0" w:line="240" w:lineRule="auto"/>
              <w:rPr>
                <w:rFonts w:eastAsia="Times New Roman" w:cstheme="minorHAnsi"/>
                <w:color w:val="000000"/>
                <w:sz w:val="20"/>
                <w:szCs w:val="20"/>
                <w:lang w:eastAsia="en-NZ"/>
              </w:rPr>
            </w:pPr>
            <w:r w:rsidRPr="001244BB">
              <w:rPr>
                <w:rFonts w:eastAsia="Times New Roman" w:cstheme="minorHAnsi"/>
                <w:color w:val="000000"/>
                <w:sz w:val="20"/>
                <w:szCs w:val="20"/>
                <w:lang w:eastAsia="en-NZ"/>
              </w:rPr>
              <w:t>Positive trend</w:t>
            </w:r>
          </w:p>
        </w:tc>
      </w:tr>
      <w:tr w:rsidR="001D7232" w:rsidRPr="001244BB" w:rsidTr="00510AC5">
        <w:trPr>
          <w:trHeight w:val="80"/>
        </w:trPr>
        <w:tc>
          <w:tcPr>
            <w:tcW w:w="2553" w:type="dxa"/>
            <w:shd w:val="clear" w:color="auto" w:fill="auto"/>
            <w:hideMark/>
          </w:tcPr>
          <w:p w:rsidR="001D7232" w:rsidRPr="001244BB" w:rsidRDefault="001D7232" w:rsidP="0025274D">
            <w:pPr>
              <w:spacing w:after="0" w:line="240" w:lineRule="auto"/>
              <w:rPr>
                <w:rFonts w:eastAsia="Times New Roman" w:cstheme="minorHAnsi"/>
                <w:sz w:val="20"/>
                <w:szCs w:val="20"/>
                <w:lang w:eastAsia="en-NZ"/>
              </w:rPr>
            </w:pPr>
            <w:r w:rsidRPr="001244BB">
              <w:rPr>
                <w:rFonts w:eastAsia="Times New Roman" w:cstheme="minorHAnsi"/>
                <w:sz w:val="20"/>
                <w:szCs w:val="20"/>
                <w:lang w:eastAsia="en-NZ"/>
              </w:rPr>
              <w:t>Number of international visitors (guest nights)</w:t>
            </w:r>
          </w:p>
        </w:tc>
        <w:tc>
          <w:tcPr>
            <w:tcW w:w="1273" w:type="dxa"/>
            <w:shd w:val="clear" w:color="auto" w:fill="auto"/>
            <w:noWrap/>
            <w:hideMark/>
          </w:tcPr>
          <w:p w:rsidR="001D7232" w:rsidRPr="001244BB" w:rsidRDefault="001D7232" w:rsidP="0025274D">
            <w:pPr>
              <w:spacing w:after="0" w:line="240" w:lineRule="auto"/>
              <w:rPr>
                <w:rFonts w:eastAsia="Times New Roman" w:cstheme="minorHAnsi"/>
                <w:color w:val="000000"/>
                <w:sz w:val="20"/>
                <w:szCs w:val="20"/>
                <w:lang w:eastAsia="en-NZ"/>
              </w:rPr>
            </w:pPr>
          </w:p>
        </w:tc>
        <w:tc>
          <w:tcPr>
            <w:tcW w:w="1703" w:type="dxa"/>
            <w:shd w:val="clear" w:color="auto" w:fill="auto"/>
            <w:noWrap/>
            <w:hideMark/>
          </w:tcPr>
          <w:p w:rsidR="001D7232" w:rsidRPr="001244BB" w:rsidRDefault="001D7232" w:rsidP="0025274D">
            <w:pPr>
              <w:spacing w:after="0" w:line="240" w:lineRule="auto"/>
              <w:rPr>
                <w:rFonts w:eastAsia="Times New Roman" w:cstheme="minorHAnsi"/>
                <w:color w:val="000000"/>
                <w:sz w:val="20"/>
                <w:szCs w:val="20"/>
                <w:lang w:eastAsia="en-NZ"/>
              </w:rPr>
            </w:pPr>
            <w:r w:rsidRPr="001244BB">
              <w:rPr>
                <w:rFonts w:eastAsia="Times New Roman" w:cstheme="minorHAnsi"/>
                <w:color w:val="000000"/>
                <w:sz w:val="20"/>
                <w:szCs w:val="20"/>
                <w:lang w:eastAsia="en-NZ"/>
              </w:rPr>
              <w:t>Research - StatisticsNZ</w:t>
            </w:r>
          </w:p>
        </w:tc>
        <w:tc>
          <w:tcPr>
            <w:tcW w:w="1621" w:type="dxa"/>
            <w:gridSpan w:val="2"/>
            <w:shd w:val="clear" w:color="auto" w:fill="auto"/>
            <w:noWrap/>
            <w:hideMark/>
          </w:tcPr>
          <w:p w:rsidR="001D7232" w:rsidRPr="001244BB" w:rsidRDefault="001D7232" w:rsidP="0025274D">
            <w:pPr>
              <w:spacing w:after="0" w:line="240" w:lineRule="auto"/>
              <w:jc w:val="right"/>
              <w:rPr>
                <w:rFonts w:eastAsia="Times New Roman" w:cstheme="minorHAnsi"/>
                <w:color w:val="000000"/>
                <w:sz w:val="20"/>
                <w:szCs w:val="20"/>
                <w:lang w:eastAsia="en-NZ"/>
              </w:rPr>
            </w:pPr>
            <w:r w:rsidRPr="001244BB">
              <w:rPr>
                <w:rFonts w:eastAsia="Times New Roman" w:cstheme="minorHAnsi"/>
                <w:color w:val="000000"/>
                <w:sz w:val="20"/>
                <w:szCs w:val="20"/>
                <w:lang w:eastAsia="en-NZ"/>
              </w:rPr>
              <w:t>810,846</w:t>
            </w:r>
          </w:p>
        </w:tc>
        <w:tc>
          <w:tcPr>
            <w:tcW w:w="1767" w:type="dxa"/>
            <w:shd w:val="clear" w:color="auto" w:fill="auto"/>
            <w:noWrap/>
            <w:hideMark/>
          </w:tcPr>
          <w:p w:rsidR="001D7232" w:rsidRPr="001244BB" w:rsidRDefault="001D7232" w:rsidP="0025274D">
            <w:pPr>
              <w:spacing w:after="0" w:line="240" w:lineRule="auto"/>
              <w:jc w:val="right"/>
              <w:rPr>
                <w:rFonts w:eastAsia="Times New Roman" w:cstheme="minorHAnsi"/>
                <w:color w:val="000000"/>
                <w:sz w:val="20"/>
                <w:szCs w:val="20"/>
                <w:lang w:eastAsia="en-NZ"/>
              </w:rPr>
            </w:pPr>
            <w:r w:rsidRPr="001244BB">
              <w:rPr>
                <w:rFonts w:eastAsia="Times New Roman" w:cstheme="minorHAnsi"/>
                <w:color w:val="000000"/>
                <w:sz w:val="20"/>
                <w:szCs w:val="20"/>
                <w:lang w:eastAsia="en-NZ"/>
              </w:rPr>
              <w:t>809,530</w:t>
            </w:r>
          </w:p>
        </w:tc>
        <w:tc>
          <w:tcPr>
            <w:tcW w:w="1766" w:type="dxa"/>
            <w:shd w:val="clear" w:color="auto" w:fill="auto"/>
            <w:noWrap/>
            <w:hideMark/>
          </w:tcPr>
          <w:p w:rsidR="001D7232" w:rsidRPr="001244BB" w:rsidRDefault="001D7232" w:rsidP="0025274D">
            <w:pPr>
              <w:spacing w:after="0" w:line="240" w:lineRule="auto"/>
              <w:jc w:val="right"/>
              <w:rPr>
                <w:rFonts w:eastAsia="Times New Roman" w:cstheme="minorHAnsi"/>
                <w:color w:val="000000"/>
                <w:sz w:val="20"/>
                <w:szCs w:val="20"/>
                <w:lang w:eastAsia="en-NZ"/>
              </w:rPr>
            </w:pPr>
            <w:r w:rsidRPr="001244BB">
              <w:rPr>
                <w:rFonts w:eastAsia="Times New Roman" w:cstheme="minorHAnsi"/>
                <w:color w:val="000000"/>
                <w:sz w:val="20"/>
                <w:szCs w:val="20"/>
                <w:lang w:eastAsia="en-NZ"/>
              </w:rPr>
              <w:t>751,750</w:t>
            </w:r>
          </w:p>
        </w:tc>
        <w:tc>
          <w:tcPr>
            <w:tcW w:w="3493" w:type="dxa"/>
            <w:shd w:val="clear" w:color="auto" w:fill="auto"/>
            <w:hideMark/>
          </w:tcPr>
          <w:p w:rsidR="001D7232" w:rsidRPr="001244BB" w:rsidRDefault="001D7232" w:rsidP="0025274D">
            <w:pPr>
              <w:spacing w:after="0" w:line="240" w:lineRule="auto"/>
              <w:rPr>
                <w:rFonts w:eastAsia="Times New Roman" w:cstheme="minorHAnsi"/>
                <w:sz w:val="20"/>
                <w:szCs w:val="20"/>
                <w:lang w:eastAsia="en-NZ"/>
              </w:rPr>
            </w:pPr>
            <w:r w:rsidRPr="001244BB">
              <w:rPr>
                <w:rFonts w:eastAsia="Times New Roman" w:cstheme="minorHAnsi"/>
                <w:color w:val="000000"/>
                <w:sz w:val="20"/>
                <w:szCs w:val="20"/>
                <w:lang w:eastAsia="en-NZ"/>
              </w:rPr>
              <w:t>Negative trend. International guests spent fewer nights in hotels, motels, backpackers, and holiday parks compared with a year ago. This may indicate that international guests are choosing hosted or other accommodation not captured in the Stats NZ accommodation survey.</w:t>
            </w:r>
            <w:r w:rsidRPr="001244BB">
              <w:rPr>
                <w:rFonts w:eastAsia="Times New Roman" w:cstheme="minorHAnsi"/>
                <w:sz w:val="20"/>
                <w:szCs w:val="20"/>
                <w:lang w:eastAsia="en-NZ"/>
              </w:rPr>
              <w:tab/>
            </w:r>
          </w:p>
        </w:tc>
      </w:tr>
      <w:tr w:rsidR="001D7232" w:rsidRPr="001244BB" w:rsidTr="00510AC5">
        <w:trPr>
          <w:trHeight w:val="510"/>
        </w:trPr>
        <w:tc>
          <w:tcPr>
            <w:tcW w:w="2553" w:type="dxa"/>
            <w:shd w:val="clear" w:color="auto" w:fill="auto"/>
            <w:hideMark/>
          </w:tcPr>
          <w:p w:rsidR="001D7232" w:rsidRPr="001244BB" w:rsidRDefault="001D7232" w:rsidP="0025274D">
            <w:pPr>
              <w:spacing w:after="0" w:line="240" w:lineRule="auto"/>
              <w:rPr>
                <w:rFonts w:eastAsia="Times New Roman" w:cstheme="minorHAnsi"/>
                <w:sz w:val="20"/>
                <w:szCs w:val="20"/>
                <w:lang w:eastAsia="en-NZ"/>
              </w:rPr>
            </w:pPr>
            <w:r w:rsidRPr="001244BB">
              <w:rPr>
                <w:rFonts w:eastAsia="Times New Roman" w:cstheme="minorHAnsi"/>
                <w:sz w:val="20"/>
                <w:szCs w:val="20"/>
                <w:lang w:eastAsia="en-NZ"/>
              </w:rPr>
              <w:t>Average length of stay - international and domestic guest nights</w:t>
            </w:r>
          </w:p>
        </w:tc>
        <w:tc>
          <w:tcPr>
            <w:tcW w:w="1273" w:type="dxa"/>
            <w:shd w:val="clear" w:color="auto" w:fill="auto"/>
            <w:noWrap/>
            <w:hideMark/>
          </w:tcPr>
          <w:p w:rsidR="001D7232" w:rsidRPr="001244BB" w:rsidRDefault="001D7232" w:rsidP="0025274D">
            <w:pPr>
              <w:spacing w:after="0" w:line="240" w:lineRule="auto"/>
              <w:rPr>
                <w:rFonts w:eastAsia="Times New Roman" w:cstheme="minorHAnsi"/>
                <w:color w:val="000000"/>
                <w:sz w:val="20"/>
                <w:szCs w:val="20"/>
                <w:lang w:eastAsia="en-NZ"/>
              </w:rPr>
            </w:pPr>
          </w:p>
        </w:tc>
        <w:tc>
          <w:tcPr>
            <w:tcW w:w="1703" w:type="dxa"/>
            <w:shd w:val="clear" w:color="auto" w:fill="auto"/>
            <w:noWrap/>
            <w:hideMark/>
          </w:tcPr>
          <w:p w:rsidR="001D7232" w:rsidRPr="001244BB" w:rsidRDefault="001D7232" w:rsidP="0025274D">
            <w:pPr>
              <w:spacing w:after="0" w:line="240" w:lineRule="auto"/>
              <w:rPr>
                <w:rFonts w:eastAsia="Times New Roman" w:cstheme="minorHAnsi"/>
                <w:color w:val="000000"/>
                <w:sz w:val="20"/>
                <w:szCs w:val="20"/>
                <w:lang w:eastAsia="en-NZ"/>
              </w:rPr>
            </w:pPr>
            <w:r w:rsidRPr="001244BB">
              <w:rPr>
                <w:rFonts w:eastAsia="Times New Roman" w:cstheme="minorHAnsi"/>
                <w:color w:val="000000"/>
                <w:sz w:val="20"/>
                <w:szCs w:val="20"/>
                <w:lang w:eastAsia="en-NZ"/>
              </w:rPr>
              <w:t>Research - StatisticsNZ</w:t>
            </w:r>
          </w:p>
        </w:tc>
        <w:tc>
          <w:tcPr>
            <w:tcW w:w="1621" w:type="dxa"/>
            <w:gridSpan w:val="2"/>
            <w:shd w:val="clear" w:color="auto" w:fill="auto"/>
            <w:noWrap/>
            <w:hideMark/>
          </w:tcPr>
          <w:p w:rsidR="001D7232" w:rsidRPr="001244BB" w:rsidRDefault="001D7232" w:rsidP="0025274D">
            <w:pPr>
              <w:spacing w:after="0" w:line="240" w:lineRule="auto"/>
              <w:jc w:val="right"/>
              <w:rPr>
                <w:rFonts w:eastAsia="Times New Roman" w:cstheme="minorHAnsi"/>
                <w:color w:val="000000"/>
                <w:sz w:val="20"/>
                <w:szCs w:val="20"/>
                <w:lang w:eastAsia="en-NZ"/>
              </w:rPr>
            </w:pPr>
            <w:r w:rsidRPr="001244BB">
              <w:rPr>
                <w:rFonts w:eastAsia="Times New Roman" w:cstheme="minorHAnsi"/>
                <w:color w:val="000000"/>
                <w:sz w:val="20"/>
                <w:szCs w:val="20"/>
                <w:lang w:eastAsia="en-NZ"/>
              </w:rPr>
              <w:t>2.13</w:t>
            </w:r>
          </w:p>
        </w:tc>
        <w:tc>
          <w:tcPr>
            <w:tcW w:w="1767" w:type="dxa"/>
            <w:shd w:val="clear" w:color="auto" w:fill="auto"/>
            <w:noWrap/>
            <w:hideMark/>
          </w:tcPr>
          <w:p w:rsidR="001D7232" w:rsidRPr="001244BB" w:rsidRDefault="001D7232" w:rsidP="0025274D">
            <w:pPr>
              <w:spacing w:after="0" w:line="240" w:lineRule="auto"/>
              <w:jc w:val="right"/>
              <w:rPr>
                <w:rFonts w:eastAsia="Times New Roman" w:cstheme="minorHAnsi"/>
                <w:color w:val="000000"/>
                <w:sz w:val="20"/>
                <w:szCs w:val="20"/>
                <w:lang w:eastAsia="en-NZ"/>
              </w:rPr>
            </w:pPr>
            <w:r w:rsidRPr="001244BB">
              <w:rPr>
                <w:rFonts w:eastAsia="Times New Roman" w:cstheme="minorHAnsi"/>
                <w:color w:val="000000"/>
                <w:sz w:val="20"/>
                <w:szCs w:val="20"/>
                <w:lang w:eastAsia="en-NZ"/>
              </w:rPr>
              <w:t>2.12</w:t>
            </w:r>
          </w:p>
        </w:tc>
        <w:tc>
          <w:tcPr>
            <w:tcW w:w="1766" w:type="dxa"/>
            <w:shd w:val="clear" w:color="auto" w:fill="auto"/>
            <w:noWrap/>
            <w:hideMark/>
          </w:tcPr>
          <w:p w:rsidR="001D7232" w:rsidRPr="001244BB" w:rsidRDefault="001D7232" w:rsidP="0025274D">
            <w:pPr>
              <w:spacing w:after="0" w:line="240" w:lineRule="auto"/>
              <w:jc w:val="right"/>
              <w:rPr>
                <w:rFonts w:eastAsia="Times New Roman" w:cstheme="minorHAnsi"/>
                <w:color w:val="000000"/>
                <w:sz w:val="20"/>
                <w:szCs w:val="20"/>
                <w:lang w:eastAsia="en-NZ"/>
              </w:rPr>
            </w:pPr>
            <w:r w:rsidRPr="001244BB">
              <w:rPr>
                <w:rFonts w:eastAsia="Times New Roman" w:cstheme="minorHAnsi"/>
                <w:color w:val="000000"/>
                <w:sz w:val="20"/>
                <w:szCs w:val="20"/>
                <w:lang w:eastAsia="en-NZ"/>
              </w:rPr>
              <w:t>2.09</w:t>
            </w:r>
          </w:p>
        </w:tc>
        <w:tc>
          <w:tcPr>
            <w:tcW w:w="3493" w:type="dxa"/>
            <w:shd w:val="clear" w:color="auto" w:fill="auto"/>
            <w:noWrap/>
            <w:hideMark/>
          </w:tcPr>
          <w:p w:rsidR="001D7232" w:rsidRPr="001244BB" w:rsidRDefault="001D7232" w:rsidP="0025274D">
            <w:pPr>
              <w:spacing w:after="0" w:line="240" w:lineRule="auto"/>
              <w:rPr>
                <w:rFonts w:eastAsia="Times New Roman" w:cstheme="minorHAnsi"/>
                <w:color w:val="000000"/>
                <w:sz w:val="20"/>
                <w:szCs w:val="20"/>
                <w:lang w:eastAsia="en-NZ"/>
              </w:rPr>
            </w:pPr>
            <w:r w:rsidRPr="001244BB">
              <w:rPr>
                <w:rFonts w:eastAsia="Times New Roman" w:cstheme="minorHAnsi"/>
                <w:color w:val="000000"/>
                <w:sz w:val="20"/>
                <w:szCs w:val="20"/>
                <w:lang w:eastAsia="en-NZ"/>
              </w:rPr>
              <w:t>Negative trend</w:t>
            </w:r>
          </w:p>
        </w:tc>
      </w:tr>
      <w:tr w:rsidR="001D7232" w:rsidRPr="001244BB" w:rsidTr="00510AC5">
        <w:trPr>
          <w:trHeight w:val="510"/>
        </w:trPr>
        <w:tc>
          <w:tcPr>
            <w:tcW w:w="2553" w:type="dxa"/>
            <w:shd w:val="clear" w:color="auto" w:fill="auto"/>
            <w:hideMark/>
          </w:tcPr>
          <w:p w:rsidR="001D7232" w:rsidRPr="001244BB" w:rsidRDefault="001D7232" w:rsidP="0025274D">
            <w:pPr>
              <w:spacing w:after="0" w:line="240" w:lineRule="auto"/>
              <w:rPr>
                <w:rFonts w:eastAsia="Times New Roman" w:cstheme="minorHAnsi"/>
                <w:sz w:val="20"/>
                <w:szCs w:val="20"/>
                <w:lang w:eastAsia="en-NZ"/>
              </w:rPr>
            </w:pPr>
            <w:r w:rsidRPr="001244BB">
              <w:rPr>
                <w:rFonts w:eastAsia="Times New Roman" w:cstheme="minorHAnsi"/>
                <w:sz w:val="20"/>
                <w:szCs w:val="20"/>
                <w:lang w:eastAsia="en-NZ"/>
              </w:rPr>
              <w:t xml:space="preserve">Domestic airline passengers entering Wellington International Airport </w:t>
            </w:r>
          </w:p>
        </w:tc>
        <w:tc>
          <w:tcPr>
            <w:tcW w:w="1273" w:type="dxa"/>
            <w:shd w:val="clear" w:color="auto" w:fill="auto"/>
            <w:noWrap/>
            <w:hideMark/>
          </w:tcPr>
          <w:p w:rsidR="001D7232" w:rsidRPr="001244BB" w:rsidRDefault="001D7232" w:rsidP="0025274D">
            <w:pPr>
              <w:spacing w:after="0" w:line="240" w:lineRule="auto"/>
              <w:rPr>
                <w:rFonts w:eastAsia="Times New Roman" w:cstheme="minorHAnsi"/>
                <w:color w:val="000000"/>
                <w:sz w:val="20"/>
                <w:szCs w:val="20"/>
                <w:lang w:eastAsia="en-NZ"/>
              </w:rPr>
            </w:pPr>
            <w:r w:rsidRPr="001244BB">
              <w:rPr>
                <w:rFonts w:eastAsia="Times New Roman" w:cstheme="minorHAnsi"/>
                <w:color w:val="000000"/>
                <w:sz w:val="20"/>
                <w:szCs w:val="20"/>
                <w:lang w:eastAsia="en-NZ"/>
              </w:rPr>
              <w:t>Increasing</w:t>
            </w:r>
          </w:p>
        </w:tc>
        <w:tc>
          <w:tcPr>
            <w:tcW w:w="1703" w:type="dxa"/>
            <w:shd w:val="clear" w:color="auto" w:fill="auto"/>
            <w:noWrap/>
            <w:hideMark/>
          </w:tcPr>
          <w:p w:rsidR="001D7232" w:rsidRPr="001244BB" w:rsidRDefault="001D7232" w:rsidP="0025274D">
            <w:pPr>
              <w:spacing w:after="0" w:line="240" w:lineRule="auto"/>
              <w:rPr>
                <w:rFonts w:eastAsia="Times New Roman" w:cstheme="minorHAnsi"/>
                <w:color w:val="000000"/>
                <w:sz w:val="20"/>
                <w:szCs w:val="20"/>
                <w:lang w:eastAsia="en-NZ"/>
              </w:rPr>
            </w:pPr>
            <w:r w:rsidRPr="001244BB">
              <w:rPr>
                <w:rFonts w:eastAsia="Times New Roman" w:cstheme="minorHAnsi"/>
                <w:color w:val="000000"/>
                <w:sz w:val="20"/>
                <w:szCs w:val="20"/>
                <w:lang w:eastAsia="en-NZ"/>
              </w:rPr>
              <w:t>Research - Wellington Airport Limited</w:t>
            </w:r>
          </w:p>
        </w:tc>
        <w:tc>
          <w:tcPr>
            <w:tcW w:w="1621" w:type="dxa"/>
            <w:gridSpan w:val="2"/>
            <w:shd w:val="clear" w:color="auto" w:fill="auto"/>
            <w:noWrap/>
            <w:hideMark/>
          </w:tcPr>
          <w:p w:rsidR="001D7232" w:rsidRPr="001244BB" w:rsidRDefault="001D7232" w:rsidP="0025274D">
            <w:pPr>
              <w:spacing w:after="0" w:line="240" w:lineRule="auto"/>
              <w:jc w:val="right"/>
              <w:rPr>
                <w:rFonts w:eastAsia="Times New Roman" w:cstheme="minorHAnsi"/>
                <w:color w:val="000000"/>
                <w:sz w:val="20"/>
                <w:szCs w:val="20"/>
                <w:lang w:eastAsia="en-NZ"/>
              </w:rPr>
            </w:pPr>
            <w:r w:rsidRPr="001244BB">
              <w:rPr>
                <w:rFonts w:eastAsia="Times New Roman" w:cstheme="minorHAnsi"/>
                <w:color w:val="000000"/>
                <w:sz w:val="20"/>
                <w:szCs w:val="20"/>
                <w:lang w:eastAsia="en-NZ"/>
              </w:rPr>
              <w:t>5,121,757</w:t>
            </w:r>
          </w:p>
        </w:tc>
        <w:tc>
          <w:tcPr>
            <w:tcW w:w="1767" w:type="dxa"/>
            <w:shd w:val="clear" w:color="auto" w:fill="auto"/>
            <w:noWrap/>
            <w:hideMark/>
          </w:tcPr>
          <w:p w:rsidR="001D7232" w:rsidRPr="001244BB" w:rsidRDefault="001D7232" w:rsidP="0025274D">
            <w:pPr>
              <w:spacing w:after="0" w:line="240" w:lineRule="auto"/>
              <w:jc w:val="right"/>
              <w:rPr>
                <w:rFonts w:eastAsia="Times New Roman" w:cstheme="minorHAnsi"/>
                <w:color w:val="000000"/>
                <w:sz w:val="20"/>
                <w:szCs w:val="20"/>
                <w:lang w:eastAsia="en-NZ"/>
              </w:rPr>
            </w:pPr>
            <w:r w:rsidRPr="001244BB">
              <w:rPr>
                <w:rFonts w:eastAsia="Times New Roman" w:cstheme="minorHAnsi"/>
                <w:color w:val="000000"/>
                <w:sz w:val="20"/>
                <w:szCs w:val="20"/>
                <w:lang w:eastAsia="en-NZ"/>
              </w:rPr>
              <w:t xml:space="preserve">5,310,967 </w:t>
            </w:r>
          </w:p>
        </w:tc>
        <w:tc>
          <w:tcPr>
            <w:tcW w:w="1766" w:type="dxa"/>
            <w:shd w:val="clear" w:color="auto" w:fill="FFFFFF" w:themeFill="background1"/>
            <w:noWrap/>
            <w:hideMark/>
          </w:tcPr>
          <w:p w:rsidR="001D7232" w:rsidRPr="001244BB" w:rsidRDefault="001D7232" w:rsidP="0025274D">
            <w:pPr>
              <w:spacing w:after="0" w:line="240" w:lineRule="auto"/>
              <w:jc w:val="right"/>
              <w:rPr>
                <w:rFonts w:eastAsia="Times New Roman" w:cstheme="minorHAnsi"/>
                <w:color w:val="000000"/>
                <w:sz w:val="20"/>
                <w:szCs w:val="20"/>
                <w:lang w:eastAsia="en-NZ"/>
              </w:rPr>
            </w:pPr>
            <w:r w:rsidRPr="001244BB">
              <w:rPr>
                <w:rFonts w:eastAsia="Times New Roman" w:cstheme="minorHAnsi"/>
                <w:color w:val="000000"/>
                <w:sz w:val="20"/>
                <w:szCs w:val="20"/>
                <w:lang w:eastAsia="en-NZ"/>
              </w:rPr>
              <w:t xml:space="preserve"> 5,506,409 </w:t>
            </w:r>
          </w:p>
        </w:tc>
        <w:tc>
          <w:tcPr>
            <w:tcW w:w="3493" w:type="dxa"/>
            <w:shd w:val="clear" w:color="auto" w:fill="auto"/>
            <w:noWrap/>
            <w:hideMark/>
          </w:tcPr>
          <w:p w:rsidR="001D7232" w:rsidRPr="001244BB" w:rsidRDefault="001D7232" w:rsidP="0025274D">
            <w:pPr>
              <w:spacing w:after="0" w:line="240" w:lineRule="auto"/>
              <w:rPr>
                <w:rFonts w:eastAsia="Times New Roman" w:cstheme="minorHAnsi"/>
                <w:color w:val="000000"/>
                <w:sz w:val="20"/>
                <w:szCs w:val="20"/>
                <w:lang w:eastAsia="en-NZ"/>
              </w:rPr>
            </w:pPr>
            <w:r w:rsidRPr="001244BB">
              <w:rPr>
                <w:rFonts w:eastAsia="Times New Roman" w:cstheme="minorHAnsi"/>
                <w:color w:val="000000"/>
                <w:sz w:val="20"/>
                <w:szCs w:val="20"/>
                <w:lang w:eastAsia="en-NZ"/>
              </w:rPr>
              <w:t>Positive trend</w:t>
            </w:r>
          </w:p>
        </w:tc>
      </w:tr>
      <w:tr w:rsidR="001D7232" w:rsidRPr="001244BB" w:rsidTr="00510AC5">
        <w:trPr>
          <w:trHeight w:val="510"/>
        </w:trPr>
        <w:tc>
          <w:tcPr>
            <w:tcW w:w="2553" w:type="dxa"/>
            <w:shd w:val="clear" w:color="auto" w:fill="auto"/>
            <w:hideMark/>
          </w:tcPr>
          <w:p w:rsidR="001D7232" w:rsidRPr="001244BB" w:rsidRDefault="001D7232" w:rsidP="0025274D">
            <w:pPr>
              <w:spacing w:after="0" w:line="240" w:lineRule="auto"/>
              <w:rPr>
                <w:rFonts w:eastAsia="Times New Roman" w:cstheme="minorHAnsi"/>
                <w:sz w:val="20"/>
                <w:szCs w:val="20"/>
                <w:lang w:eastAsia="en-NZ"/>
              </w:rPr>
            </w:pPr>
            <w:r w:rsidRPr="001244BB">
              <w:rPr>
                <w:rFonts w:eastAsia="Times New Roman" w:cstheme="minorHAnsi"/>
                <w:sz w:val="20"/>
                <w:szCs w:val="20"/>
                <w:lang w:eastAsia="en-NZ"/>
              </w:rPr>
              <w:t xml:space="preserve">International airline passengers entering Wellington International Airport </w:t>
            </w:r>
          </w:p>
        </w:tc>
        <w:tc>
          <w:tcPr>
            <w:tcW w:w="1273" w:type="dxa"/>
            <w:shd w:val="clear" w:color="auto" w:fill="auto"/>
            <w:noWrap/>
            <w:hideMark/>
          </w:tcPr>
          <w:p w:rsidR="001D7232" w:rsidRPr="001244BB" w:rsidRDefault="001D7232" w:rsidP="0025274D">
            <w:pPr>
              <w:spacing w:after="0" w:line="240" w:lineRule="auto"/>
              <w:rPr>
                <w:rFonts w:eastAsia="Times New Roman" w:cstheme="minorHAnsi"/>
                <w:color w:val="000000"/>
                <w:sz w:val="20"/>
                <w:szCs w:val="20"/>
                <w:lang w:eastAsia="en-NZ"/>
              </w:rPr>
            </w:pPr>
          </w:p>
        </w:tc>
        <w:tc>
          <w:tcPr>
            <w:tcW w:w="1703" w:type="dxa"/>
            <w:shd w:val="clear" w:color="auto" w:fill="auto"/>
            <w:noWrap/>
            <w:hideMark/>
          </w:tcPr>
          <w:p w:rsidR="001D7232" w:rsidRPr="001244BB" w:rsidRDefault="001D7232" w:rsidP="0025274D">
            <w:pPr>
              <w:spacing w:after="0" w:line="240" w:lineRule="auto"/>
              <w:rPr>
                <w:rFonts w:eastAsia="Times New Roman" w:cstheme="minorHAnsi"/>
                <w:color w:val="000000"/>
                <w:sz w:val="20"/>
                <w:szCs w:val="20"/>
                <w:lang w:eastAsia="en-NZ"/>
              </w:rPr>
            </w:pPr>
            <w:r w:rsidRPr="001244BB">
              <w:rPr>
                <w:rFonts w:eastAsia="Times New Roman" w:cstheme="minorHAnsi"/>
                <w:color w:val="000000"/>
                <w:sz w:val="20"/>
                <w:szCs w:val="20"/>
                <w:lang w:eastAsia="en-NZ"/>
              </w:rPr>
              <w:t>Research - Wellington Airport Limited</w:t>
            </w:r>
          </w:p>
        </w:tc>
        <w:tc>
          <w:tcPr>
            <w:tcW w:w="1621" w:type="dxa"/>
            <w:gridSpan w:val="2"/>
            <w:shd w:val="clear" w:color="auto" w:fill="auto"/>
            <w:noWrap/>
            <w:hideMark/>
          </w:tcPr>
          <w:p w:rsidR="001D7232" w:rsidRPr="001244BB" w:rsidRDefault="001D7232" w:rsidP="0025274D">
            <w:pPr>
              <w:spacing w:after="0" w:line="240" w:lineRule="auto"/>
              <w:jc w:val="right"/>
              <w:rPr>
                <w:rFonts w:eastAsia="Times New Roman" w:cstheme="minorHAnsi"/>
                <w:color w:val="000000"/>
                <w:sz w:val="20"/>
                <w:szCs w:val="20"/>
                <w:lang w:eastAsia="en-NZ"/>
              </w:rPr>
            </w:pPr>
            <w:r w:rsidRPr="001244BB">
              <w:rPr>
                <w:rFonts w:eastAsia="Times New Roman" w:cstheme="minorHAnsi"/>
                <w:color w:val="000000"/>
                <w:sz w:val="20"/>
                <w:szCs w:val="20"/>
                <w:lang w:eastAsia="en-NZ"/>
              </w:rPr>
              <w:t>901,373</w:t>
            </w:r>
          </w:p>
        </w:tc>
        <w:tc>
          <w:tcPr>
            <w:tcW w:w="1767" w:type="dxa"/>
            <w:shd w:val="clear" w:color="auto" w:fill="auto"/>
            <w:noWrap/>
            <w:hideMark/>
          </w:tcPr>
          <w:p w:rsidR="001D7232" w:rsidRPr="001244BB" w:rsidRDefault="001D7232" w:rsidP="0025274D">
            <w:pPr>
              <w:spacing w:after="0" w:line="240" w:lineRule="auto"/>
              <w:jc w:val="right"/>
              <w:rPr>
                <w:rFonts w:eastAsia="Times New Roman" w:cstheme="minorHAnsi"/>
                <w:color w:val="000000"/>
                <w:sz w:val="20"/>
                <w:szCs w:val="20"/>
                <w:lang w:eastAsia="en-NZ"/>
              </w:rPr>
            </w:pPr>
            <w:r w:rsidRPr="001244BB">
              <w:rPr>
                <w:rFonts w:eastAsia="Times New Roman" w:cstheme="minorHAnsi"/>
                <w:color w:val="000000"/>
                <w:sz w:val="20"/>
                <w:szCs w:val="20"/>
                <w:lang w:eastAsia="en-NZ"/>
              </w:rPr>
              <w:t xml:space="preserve">902,622 </w:t>
            </w:r>
          </w:p>
        </w:tc>
        <w:tc>
          <w:tcPr>
            <w:tcW w:w="1766" w:type="dxa"/>
            <w:shd w:val="clear" w:color="auto" w:fill="FFFFFF" w:themeFill="background1"/>
            <w:noWrap/>
            <w:hideMark/>
          </w:tcPr>
          <w:p w:rsidR="001D7232" w:rsidRPr="001244BB" w:rsidRDefault="001D7232" w:rsidP="0025274D">
            <w:pPr>
              <w:spacing w:after="0" w:line="240" w:lineRule="auto"/>
              <w:jc w:val="right"/>
              <w:rPr>
                <w:rFonts w:eastAsia="Times New Roman" w:cstheme="minorHAnsi"/>
                <w:color w:val="000000"/>
                <w:sz w:val="20"/>
                <w:szCs w:val="20"/>
                <w:lang w:eastAsia="en-NZ"/>
              </w:rPr>
            </w:pPr>
            <w:r w:rsidRPr="001244BB">
              <w:rPr>
                <w:rFonts w:eastAsia="Times New Roman" w:cstheme="minorHAnsi"/>
                <w:color w:val="000000"/>
                <w:sz w:val="20"/>
                <w:szCs w:val="20"/>
                <w:lang w:eastAsia="en-NZ"/>
              </w:rPr>
              <w:t xml:space="preserve"> 935,526 </w:t>
            </w:r>
          </w:p>
        </w:tc>
        <w:tc>
          <w:tcPr>
            <w:tcW w:w="3493" w:type="dxa"/>
            <w:shd w:val="clear" w:color="auto" w:fill="auto"/>
            <w:noWrap/>
            <w:hideMark/>
          </w:tcPr>
          <w:p w:rsidR="001D7232" w:rsidRPr="001244BB" w:rsidRDefault="001D7232" w:rsidP="0025274D">
            <w:pPr>
              <w:spacing w:after="0" w:line="240" w:lineRule="auto"/>
              <w:rPr>
                <w:rFonts w:eastAsia="Times New Roman" w:cstheme="minorHAnsi"/>
                <w:color w:val="000000"/>
                <w:sz w:val="20"/>
                <w:szCs w:val="20"/>
                <w:lang w:eastAsia="en-NZ"/>
              </w:rPr>
            </w:pPr>
            <w:r w:rsidRPr="001244BB">
              <w:rPr>
                <w:rFonts w:eastAsia="Times New Roman" w:cstheme="minorHAnsi"/>
                <w:color w:val="000000"/>
                <w:sz w:val="20"/>
                <w:szCs w:val="20"/>
                <w:lang w:eastAsia="en-NZ"/>
              </w:rPr>
              <w:t>Positive trend</w:t>
            </w:r>
          </w:p>
        </w:tc>
      </w:tr>
      <w:tr w:rsidR="001D7232" w:rsidRPr="001244BB" w:rsidTr="00510AC5">
        <w:trPr>
          <w:trHeight w:val="255"/>
        </w:trPr>
        <w:tc>
          <w:tcPr>
            <w:tcW w:w="2553" w:type="dxa"/>
            <w:shd w:val="clear" w:color="auto" w:fill="auto"/>
            <w:hideMark/>
          </w:tcPr>
          <w:p w:rsidR="001D7232" w:rsidRPr="001244BB" w:rsidRDefault="001D7232" w:rsidP="0025274D">
            <w:pPr>
              <w:spacing w:after="0" w:line="240" w:lineRule="auto"/>
              <w:rPr>
                <w:rFonts w:eastAsia="Times New Roman" w:cstheme="minorHAnsi"/>
                <w:sz w:val="20"/>
                <w:szCs w:val="20"/>
                <w:lang w:eastAsia="en-NZ"/>
              </w:rPr>
            </w:pPr>
            <w:r w:rsidRPr="001244BB">
              <w:rPr>
                <w:rFonts w:eastAsia="Times New Roman" w:cstheme="minorHAnsi"/>
                <w:sz w:val="20"/>
                <w:szCs w:val="20"/>
                <w:lang w:eastAsia="en-NZ"/>
              </w:rPr>
              <w:t>Secondary (international) students enrolled</w:t>
            </w:r>
          </w:p>
        </w:tc>
        <w:tc>
          <w:tcPr>
            <w:tcW w:w="1273" w:type="dxa"/>
            <w:shd w:val="clear" w:color="auto" w:fill="auto"/>
            <w:noWrap/>
            <w:hideMark/>
          </w:tcPr>
          <w:p w:rsidR="001D7232" w:rsidRPr="001244BB" w:rsidRDefault="001D7232" w:rsidP="0025274D">
            <w:pPr>
              <w:spacing w:after="0" w:line="240" w:lineRule="auto"/>
              <w:rPr>
                <w:rFonts w:eastAsia="Times New Roman" w:cstheme="minorHAnsi"/>
                <w:color w:val="000000"/>
                <w:sz w:val="20"/>
                <w:szCs w:val="20"/>
                <w:lang w:eastAsia="en-NZ"/>
              </w:rPr>
            </w:pPr>
            <w:r w:rsidRPr="001244BB">
              <w:rPr>
                <w:rFonts w:eastAsia="Times New Roman" w:cstheme="minorHAnsi"/>
                <w:color w:val="000000"/>
                <w:sz w:val="20"/>
                <w:szCs w:val="20"/>
                <w:lang w:eastAsia="en-NZ"/>
              </w:rPr>
              <w:t>Increasing</w:t>
            </w:r>
          </w:p>
        </w:tc>
        <w:tc>
          <w:tcPr>
            <w:tcW w:w="1703" w:type="dxa"/>
            <w:shd w:val="clear" w:color="auto" w:fill="auto"/>
            <w:noWrap/>
            <w:hideMark/>
          </w:tcPr>
          <w:p w:rsidR="001D7232" w:rsidRPr="001244BB" w:rsidRDefault="001D7232" w:rsidP="0025274D">
            <w:pPr>
              <w:spacing w:after="0" w:line="240" w:lineRule="auto"/>
              <w:rPr>
                <w:rFonts w:eastAsia="Times New Roman" w:cstheme="minorHAnsi"/>
                <w:color w:val="000000"/>
                <w:sz w:val="20"/>
                <w:szCs w:val="20"/>
                <w:lang w:eastAsia="en-NZ"/>
              </w:rPr>
            </w:pPr>
            <w:r w:rsidRPr="001244BB">
              <w:rPr>
                <w:rFonts w:eastAsia="Times New Roman" w:cstheme="minorHAnsi"/>
                <w:color w:val="000000"/>
                <w:sz w:val="20"/>
                <w:szCs w:val="20"/>
                <w:lang w:eastAsia="en-NZ"/>
              </w:rPr>
              <w:t>WREDA/EducationNZ</w:t>
            </w:r>
          </w:p>
        </w:tc>
        <w:tc>
          <w:tcPr>
            <w:tcW w:w="1621" w:type="dxa"/>
            <w:gridSpan w:val="2"/>
            <w:shd w:val="clear" w:color="auto" w:fill="auto"/>
            <w:noWrap/>
            <w:hideMark/>
          </w:tcPr>
          <w:p w:rsidR="001D7232" w:rsidRPr="001244BB" w:rsidRDefault="001D7232" w:rsidP="0025274D">
            <w:pPr>
              <w:spacing w:after="0" w:line="240" w:lineRule="auto"/>
              <w:jc w:val="right"/>
              <w:rPr>
                <w:rFonts w:eastAsia="Times New Roman" w:cstheme="minorHAnsi"/>
                <w:color w:val="000000"/>
                <w:sz w:val="20"/>
                <w:szCs w:val="20"/>
                <w:lang w:eastAsia="en-NZ"/>
              </w:rPr>
            </w:pPr>
            <w:r w:rsidRPr="001244BB">
              <w:rPr>
                <w:rFonts w:eastAsia="Times New Roman" w:cstheme="minorHAnsi"/>
                <w:color w:val="000000"/>
                <w:sz w:val="20"/>
                <w:szCs w:val="20"/>
                <w:lang w:eastAsia="en-NZ"/>
              </w:rPr>
              <w:t xml:space="preserve">           1,287 </w:t>
            </w:r>
          </w:p>
        </w:tc>
        <w:tc>
          <w:tcPr>
            <w:tcW w:w="1767" w:type="dxa"/>
            <w:shd w:val="clear" w:color="auto" w:fill="auto"/>
            <w:noWrap/>
            <w:hideMark/>
          </w:tcPr>
          <w:p w:rsidR="001D7232" w:rsidRPr="001244BB" w:rsidRDefault="001D7232" w:rsidP="0025274D">
            <w:pPr>
              <w:spacing w:after="0" w:line="240" w:lineRule="auto"/>
              <w:jc w:val="right"/>
              <w:rPr>
                <w:rFonts w:eastAsia="Times New Roman" w:cstheme="minorHAnsi"/>
                <w:color w:val="000000"/>
                <w:sz w:val="20"/>
                <w:szCs w:val="20"/>
                <w:lang w:eastAsia="en-NZ"/>
              </w:rPr>
            </w:pPr>
            <w:r w:rsidRPr="001244BB">
              <w:rPr>
                <w:rFonts w:eastAsia="Times New Roman" w:cstheme="minorHAnsi"/>
                <w:color w:val="000000"/>
                <w:sz w:val="20"/>
                <w:szCs w:val="20"/>
                <w:lang w:eastAsia="en-NZ"/>
              </w:rPr>
              <w:t xml:space="preserve">1,314 </w:t>
            </w:r>
          </w:p>
        </w:tc>
        <w:tc>
          <w:tcPr>
            <w:tcW w:w="1766" w:type="dxa"/>
            <w:shd w:val="clear" w:color="auto" w:fill="auto"/>
            <w:noWrap/>
            <w:hideMark/>
          </w:tcPr>
          <w:p w:rsidR="001D7232" w:rsidRPr="001244BB" w:rsidRDefault="001D7232" w:rsidP="0025274D">
            <w:pPr>
              <w:spacing w:after="0" w:line="240" w:lineRule="auto"/>
              <w:jc w:val="right"/>
              <w:rPr>
                <w:rFonts w:eastAsia="Times New Roman" w:cstheme="minorHAnsi"/>
                <w:color w:val="000000"/>
                <w:sz w:val="20"/>
                <w:szCs w:val="20"/>
                <w:lang w:eastAsia="en-NZ"/>
              </w:rPr>
            </w:pPr>
            <w:r w:rsidRPr="001244BB">
              <w:rPr>
                <w:rFonts w:eastAsia="Times New Roman" w:cstheme="minorHAnsi"/>
                <w:color w:val="000000"/>
                <w:sz w:val="20"/>
                <w:szCs w:val="20"/>
                <w:lang w:eastAsia="en-NZ"/>
              </w:rPr>
              <w:t xml:space="preserve">1,385 </w:t>
            </w:r>
          </w:p>
        </w:tc>
        <w:tc>
          <w:tcPr>
            <w:tcW w:w="3493" w:type="dxa"/>
            <w:shd w:val="clear" w:color="auto" w:fill="auto"/>
            <w:noWrap/>
            <w:hideMark/>
          </w:tcPr>
          <w:p w:rsidR="001D7232" w:rsidRPr="001244BB" w:rsidRDefault="001D7232" w:rsidP="0025274D">
            <w:pPr>
              <w:spacing w:after="0" w:line="240" w:lineRule="auto"/>
              <w:rPr>
                <w:rFonts w:eastAsia="Times New Roman" w:cstheme="minorHAnsi"/>
                <w:color w:val="000000"/>
                <w:sz w:val="20"/>
                <w:szCs w:val="20"/>
                <w:lang w:eastAsia="en-NZ"/>
              </w:rPr>
            </w:pPr>
            <w:r w:rsidRPr="001244BB">
              <w:rPr>
                <w:rFonts w:eastAsia="Times New Roman" w:cstheme="minorHAnsi"/>
                <w:color w:val="000000"/>
                <w:sz w:val="20"/>
                <w:szCs w:val="20"/>
                <w:lang w:eastAsia="en-NZ"/>
              </w:rPr>
              <w:t>Positive trend</w:t>
            </w:r>
          </w:p>
        </w:tc>
      </w:tr>
      <w:tr w:rsidR="001D7232" w:rsidRPr="001244BB" w:rsidTr="00510AC5">
        <w:trPr>
          <w:trHeight w:val="278"/>
        </w:trPr>
        <w:tc>
          <w:tcPr>
            <w:tcW w:w="2553" w:type="dxa"/>
            <w:shd w:val="clear" w:color="auto" w:fill="auto"/>
            <w:hideMark/>
          </w:tcPr>
          <w:p w:rsidR="001D7232" w:rsidRPr="001244BB" w:rsidRDefault="001D7232" w:rsidP="0025274D">
            <w:pPr>
              <w:spacing w:after="0" w:line="240" w:lineRule="auto"/>
              <w:rPr>
                <w:rFonts w:eastAsia="Times New Roman" w:cstheme="minorHAnsi"/>
                <w:sz w:val="20"/>
                <w:szCs w:val="20"/>
                <w:lang w:eastAsia="en-NZ"/>
              </w:rPr>
            </w:pPr>
            <w:r w:rsidRPr="001244BB">
              <w:rPr>
                <w:rFonts w:eastAsia="Times New Roman" w:cstheme="minorHAnsi"/>
                <w:sz w:val="20"/>
                <w:szCs w:val="20"/>
                <w:lang w:eastAsia="en-NZ"/>
              </w:rPr>
              <w:t>Tertiary students enrolled total</w:t>
            </w:r>
          </w:p>
        </w:tc>
        <w:tc>
          <w:tcPr>
            <w:tcW w:w="1273" w:type="dxa"/>
            <w:shd w:val="clear" w:color="auto" w:fill="auto"/>
            <w:noWrap/>
            <w:hideMark/>
          </w:tcPr>
          <w:p w:rsidR="001D7232" w:rsidRPr="001244BB" w:rsidRDefault="001D7232" w:rsidP="0025274D">
            <w:pPr>
              <w:spacing w:after="0" w:line="240" w:lineRule="auto"/>
              <w:rPr>
                <w:rFonts w:eastAsia="Times New Roman" w:cstheme="minorHAnsi"/>
                <w:color w:val="000000"/>
                <w:sz w:val="20"/>
                <w:szCs w:val="20"/>
                <w:lang w:eastAsia="en-NZ"/>
              </w:rPr>
            </w:pPr>
            <w:r w:rsidRPr="001244BB">
              <w:rPr>
                <w:rFonts w:eastAsia="Times New Roman" w:cstheme="minorHAnsi"/>
                <w:color w:val="000000"/>
                <w:sz w:val="20"/>
                <w:szCs w:val="20"/>
                <w:lang w:eastAsia="en-NZ"/>
              </w:rPr>
              <w:t>Increasing</w:t>
            </w:r>
          </w:p>
        </w:tc>
        <w:tc>
          <w:tcPr>
            <w:tcW w:w="1703" w:type="dxa"/>
            <w:shd w:val="clear" w:color="auto" w:fill="auto"/>
            <w:noWrap/>
            <w:hideMark/>
          </w:tcPr>
          <w:p w:rsidR="001D7232" w:rsidRPr="001244BB" w:rsidRDefault="001D7232" w:rsidP="0025274D">
            <w:pPr>
              <w:spacing w:after="0" w:line="240" w:lineRule="auto"/>
              <w:rPr>
                <w:rFonts w:eastAsia="Times New Roman" w:cstheme="minorHAnsi"/>
                <w:color w:val="000000"/>
                <w:sz w:val="20"/>
                <w:szCs w:val="20"/>
                <w:lang w:eastAsia="en-NZ"/>
              </w:rPr>
            </w:pPr>
            <w:r w:rsidRPr="001244BB">
              <w:rPr>
                <w:rFonts w:eastAsia="Times New Roman" w:cstheme="minorHAnsi"/>
                <w:color w:val="000000"/>
                <w:sz w:val="20"/>
                <w:szCs w:val="20"/>
                <w:lang w:eastAsia="en-NZ"/>
              </w:rPr>
              <w:t>WREDA/EducationNZ</w:t>
            </w:r>
          </w:p>
        </w:tc>
        <w:tc>
          <w:tcPr>
            <w:tcW w:w="1621" w:type="dxa"/>
            <w:gridSpan w:val="2"/>
            <w:shd w:val="clear" w:color="auto" w:fill="auto"/>
            <w:noWrap/>
            <w:hideMark/>
          </w:tcPr>
          <w:p w:rsidR="001D7232" w:rsidRPr="001244BB" w:rsidRDefault="001D7232" w:rsidP="0025274D">
            <w:pPr>
              <w:spacing w:after="0" w:line="240" w:lineRule="auto"/>
              <w:jc w:val="right"/>
              <w:rPr>
                <w:rFonts w:eastAsia="Times New Roman" w:cstheme="minorHAnsi"/>
                <w:color w:val="000000"/>
                <w:sz w:val="20"/>
                <w:szCs w:val="20"/>
                <w:lang w:eastAsia="en-NZ"/>
              </w:rPr>
            </w:pPr>
            <w:r w:rsidRPr="001244BB">
              <w:rPr>
                <w:rFonts w:eastAsia="Times New Roman" w:cstheme="minorHAnsi"/>
                <w:color w:val="000000"/>
                <w:sz w:val="20"/>
                <w:szCs w:val="20"/>
                <w:lang w:eastAsia="en-NZ"/>
              </w:rPr>
              <w:t xml:space="preserve">        47,660 </w:t>
            </w:r>
          </w:p>
        </w:tc>
        <w:tc>
          <w:tcPr>
            <w:tcW w:w="1767" w:type="dxa"/>
            <w:shd w:val="clear" w:color="auto" w:fill="auto"/>
            <w:noWrap/>
            <w:hideMark/>
          </w:tcPr>
          <w:p w:rsidR="001D7232" w:rsidRPr="001244BB" w:rsidRDefault="001D7232" w:rsidP="0025274D">
            <w:pPr>
              <w:spacing w:after="0" w:line="240" w:lineRule="auto"/>
              <w:jc w:val="right"/>
              <w:rPr>
                <w:rFonts w:eastAsia="Times New Roman" w:cstheme="minorHAnsi"/>
                <w:color w:val="000000"/>
                <w:sz w:val="20"/>
                <w:szCs w:val="20"/>
                <w:lang w:eastAsia="en-NZ"/>
              </w:rPr>
            </w:pPr>
            <w:r w:rsidRPr="001244BB">
              <w:rPr>
                <w:rFonts w:eastAsia="Times New Roman" w:cstheme="minorHAnsi"/>
                <w:color w:val="000000"/>
                <w:sz w:val="20"/>
                <w:szCs w:val="20"/>
                <w:lang w:eastAsia="en-NZ"/>
              </w:rPr>
              <w:t xml:space="preserve">44,785 </w:t>
            </w:r>
          </w:p>
        </w:tc>
        <w:tc>
          <w:tcPr>
            <w:tcW w:w="1766" w:type="dxa"/>
            <w:shd w:val="clear" w:color="auto" w:fill="auto"/>
            <w:noWrap/>
            <w:hideMark/>
          </w:tcPr>
          <w:p w:rsidR="001D7232" w:rsidRPr="001244BB" w:rsidRDefault="001D7232" w:rsidP="0025274D">
            <w:pPr>
              <w:spacing w:after="0" w:line="240" w:lineRule="auto"/>
              <w:jc w:val="right"/>
              <w:rPr>
                <w:rFonts w:eastAsia="Times New Roman" w:cstheme="minorHAnsi"/>
                <w:color w:val="000000"/>
                <w:sz w:val="20"/>
                <w:szCs w:val="20"/>
                <w:lang w:eastAsia="en-NZ"/>
              </w:rPr>
            </w:pPr>
            <w:r w:rsidRPr="001244BB">
              <w:rPr>
                <w:rFonts w:eastAsia="Times New Roman" w:cstheme="minorHAnsi"/>
                <w:color w:val="000000"/>
                <w:sz w:val="20"/>
                <w:szCs w:val="20"/>
                <w:lang w:eastAsia="en-NZ"/>
              </w:rPr>
              <w:t xml:space="preserve">43,945 </w:t>
            </w:r>
          </w:p>
        </w:tc>
        <w:tc>
          <w:tcPr>
            <w:tcW w:w="3493" w:type="dxa"/>
            <w:shd w:val="clear" w:color="auto" w:fill="auto"/>
            <w:noWrap/>
            <w:hideMark/>
          </w:tcPr>
          <w:p w:rsidR="001D7232" w:rsidRPr="001244BB" w:rsidRDefault="001D7232" w:rsidP="0025274D">
            <w:pPr>
              <w:spacing w:after="0" w:line="240" w:lineRule="auto"/>
              <w:rPr>
                <w:rFonts w:eastAsia="Times New Roman" w:cstheme="minorHAnsi"/>
                <w:color w:val="000000"/>
                <w:sz w:val="20"/>
                <w:szCs w:val="20"/>
                <w:lang w:eastAsia="en-NZ"/>
              </w:rPr>
            </w:pPr>
            <w:r w:rsidRPr="001244BB">
              <w:rPr>
                <w:rFonts w:eastAsia="Times New Roman" w:cstheme="minorHAnsi"/>
                <w:color w:val="000000"/>
                <w:sz w:val="20"/>
                <w:szCs w:val="20"/>
                <w:lang w:eastAsia="en-NZ"/>
              </w:rPr>
              <w:t>Negative trend.</w:t>
            </w:r>
          </w:p>
        </w:tc>
      </w:tr>
      <w:tr w:rsidR="001D7232" w:rsidRPr="001244BB" w:rsidTr="00510AC5">
        <w:trPr>
          <w:trHeight w:val="255"/>
        </w:trPr>
        <w:tc>
          <w:tcPr>
            <w:tcW w:w="2553" w:type="dxa"/>
            <w:shd w:val="clear" w:color="auto" w:fill="auto"/>
            <w:hideMark/>
          </w:tcPr>
          <w:p w:rsidR="001D7232" w:rsidRPr="001244BB" w:rsidRDefault="001D7232" w:rsidP="0025274D">
            <w:pPr>
              <w:spacing w:after="0" w:line="240" w:lineRule="auto"/>
              <w:rPr>
                <w:rFonts w:eastAsia="Times New Roman" w:cstheme="minorHAnsi"/>
                <w:sz w:val="20"/>
                <w:szCs w:val="20"/>
                <w:lang w:eastAsia="en-NZ"/>
              </w:rPr>
            </w:pPr>
            <w:r w:rsidRPr="001244BB">
              <w:rPr>
                <w:rFonts w:eastAsia="Times New Roman" w:cstheme="minorHAnsi"/>
                <w:sz w:val="20"/>
                <w:szCs w:val="20"/>
                <w:lang w:eastAsia="en-NZ"/>
              </w:rPr>
              <w:t>Tertiary (international) students enrolled</w:t>
            </w:r>
          </w:p>
        </w:tc>
        <w:tc>
          <w:tcPr>
            <w:tcW w:w="1273" w:type="dxa"/>
            <w:shd w:val="clear" w:color="auto" w:fill="auto"/>
            <w:noWrap/>
            <w:hideMark/>
          </w:tcPr>
          <w:p w:rsidR="001D7232" w:rsidRPr="001244BB" w:rsidRDefault="001D7232" w:rsidP="0025274D">
            <w:pPr>
              <w:spacing w:after="0" w:line="240" w:lineRule="auto"/>
              <w:rPr>
                <w:rFonts w:eastAsia="Times New Roman" w:cstheme="minorHAnsi"/>
                <w:color w:val="000000"/>
                <w:sz w:val="20"/>
                <w:szCs w:val="20"/>
                <w:lang w:eastAsia="en-NZ"/>
              </w:rPr>
            </w:pPr>
            <w:r w:rsidRPr="001244BB">
              <w:rPr>
                <w:rFonts w:eastAsia="Times New Roman" w:cstheme="minorHAnsi"/>
                <w:color w:val="000000"/>
                <w:sz w:val="20"/>
                <w:szCs w:val="20"/>
                <w:lang w:eastAsia="en-NZ"/>
              </w:rPr>
              <w:t>Increasing</w:t>
            </w:r>
          </w:p>
        </w:tc>
        <w:tc>
          <w:tcPr>
            <w:tcW w:w="1703" w:type="dxa"/>
            <w:shd w:val="clear" w:color="auto" w:fill="auto"/>
            <w:noWrap/>
            <w:hideMark/>
          </w:tcPr>
          <w:p w:rsidR="001D7232" w:rsidRPr="001244BB" w:rsidRDefault="001D7232" w:rsidP="0025274D">
            <w:pPr>
              <w:spacing w:after="0" w:line="240" w:lineRule="auto"/>
              <w:rPr>
                <w:rFonts w:eastAsia="Times New Roman" w:cstheme="minorHAnsi"/>
                <w:color w:val="000000"/>
                <w:sz w:val="20"/>
                <w:szCs w:val="20"/>
                <w:lang w:eastAsia="en-NZ"/>
              </w:rPr>
            </w:pPr>
            <w:r w:rsidRPr="001244BB">
              <w:rPr>
                <w:rFonts w:eastAsia="Times New Roman" w:cstheme="minorHAnsi"/>
                <w:color w:val="000000"/>
                <w:sz w:val="20"/>
                <w:szCs w:val="20"/>
                <w:lang w:eastAsia="en-NZ"/>
              </w:rPr>
              <w:t>WREDA/EducationNZ</w:t>
            </w:r>
          </w:p>
        </w:tc>
        <w:tc>
          <w:tcPr>
            <w:tcW w:w="1621" w:type="dxa"/>
            <w:gridSpan w:val="2"/>
            <w:shd w:val="clear" w:color="auto" w:fill="auto"/>
            <w:noWrap/>
            <w:hideMark/>
          </w:tcPr>
          <w:p w:rsidR="001D7232" w:rsidRPr="001244BB" w:rsidRDefault="001D7232" w:rsidP="0025274D">
            <w:pPr>
              <w:spacing w:after="0" w:line="240" w:lineRule="auto"/>
              <w:jc w:val="right"/>
              <w:rPr>
                <w:rFonts w:eastAsia="Times New Roman" w:cstheme="minorHAnsi"/>
                <w:color w:val="000000"/>
                <w:sz w:val="20"/>
                <w:szCs w:val="20"/>
                <w:lang w:eastAsia="en-NZ"/>
              </w:rPr>
            </w:pPr>
            <w:r w:rsidRPr="001244BB">
              <w:rPr>
                <w:rFonts w:eastAsia="Times New Roman" w:cstheme="minorHAnsi"/>
                <w:color w:val="000000"/>
                <w:sz w:val="20"/>
                <w:szCs w:val="20"/>
                <w:lang w:eastAsia="en-NZ"/>
              </w:rPr>
              <w:t xml:space="preserve">           5,035 </w:t>
            </w:r>
          </w:p>
        </w:tc>
        <w:tc>
          <w:tcPr>
            <w:tcW w:w="1767" w:type="dxa"/>
            <w:shd w:val="clear" w:color="auto" w:fill="auto"/>
            <w:noWrap/>
            <w:hideMark/>
          </w:tcPr>
          <w:p w:rsidR="001D7232" w:rsidRPr="001244BB" w:rsidRDefault="001D7232" w:rsidP="0025274D">
            <w:pPr>
              <w:spacing w:after="0" w:line="240" w:lineRule="auto"/>
              <w:jc w:val="right"/>
              <w:rPr>
                <w:rFonts w:eastAsia="Times New Roman" w:cstheme="minorHAnsi"/>
                <w:color w:val="000000"/>
                <w:sz w:val="20"/>
                <w:szCs w:val="20"/>
                <w:lang w:eastAsia="en-NZ"/>
              </w:rPr>
            </w:pPr>
            <w:r w:rsidRPr="001244BB">
              <w:rPr>
                <w:rFonts w:eastAsia="Times New Roman" w:cstheme="minorHAnsi"/>
                <w:color w:val="000000"/>
                <w:sz w:val="20"/>
                <w:szCs w:val="20"/>
                <w:lang w:eastAsia="en-NZ"/>
              </w:rPr>
              <w:t xml:space="preserve">5,235 </w:t>
            </w:r>
          </w:p>
        </w:tc>
        <w:tc>
          <w:tcPr>
            <w:tcW w:w="1766" w:type="dxa"/>
            <w:shd w:val="clear" w:color="auto" w:fill="auto"/>
            <w:noWrap/>
            <w:hideMark/>
          </w:tcPr>
          <w:p w:rsidR="001D7232" w:rsidRPr="001244BB" w:rsidRDefault="001D7232" w:rsidP="0025274D">
            <w:pPr>
              <w:spacing w:after="0" w:line="240" w:lineRule="auto"/>
              <w:jc w:val="right"/>
              <w:rPr>
                <w:rFonts w:eastAsia="Times New Roman" w:cstheme="minorHAnsi"/>
                <w:color w:val="000000"/>
                <w:sz w:val="20"/>
                <w:szCs w:val="20"/>
                <w:lang w:eastAsia="en-NZ"/>
              </w:rPr>
            </w:pPr>
            <w:r w:rsidRPr="001244BB">
              <w:rPr>
                <w:rFonts w:eastAsia="Times New Roman" w:cstheme="minorHAnsi"/>
                <w:color w:val="000000"/>
                <w:sz w:val="20"/>
                <w:szCs w:val="20"/>
                <w:lang w:eastAsia="en-NZ"/>
              </w:rPr>
              <w:t xml:space="preserve">5,170 </w:t>
            </w:r>
          </w:p>
        </w:tc>
        <w:tc>
          <w:tcPr>
            <w:tcW w:w="3493" w:type="dxa"/>
            <w:shd w:val="clear" w:color="auto" w:fill="auto"/>
            <w:noWrap/>
            <w:hideMark/>
          </w:tcPr>
          <w:p w:rsidR="001D7232" w:rsidRPr="001244BB" w:rsidRDefault="00510AC5" w:rsidP="0025274D">
            <w:pPr>
              <w:spacing w:after="0" w:line="240" w:lineRule="auto"/>
              <w:rPr>
                <w:rFonts w:eastAsia="Times New Roman" w:cstheme="minorHAnsi"/>
                <w:color w:val="000000"/>
                <w:sz w:val="20"/>
                <w:szCs w:val="20"/>
                <w:lang w:eastAsia="en-NZ"/>
              </w:rPr>
            </w:pPr>
            <w:r>
              <w:rPr>
                <w:rFonts w:eastAsia="Times New Roman" w:cstheme="minorHAnsi"/>
                <w:color w:val="000000"/>
                <w:sz w:val="20"/>
                <w:szCs w:val="20"/>
                <w:lang w:eastAsia="en-NZ"/>
              </w:rPr>
              <w:t>No trend.</w:t>
            </w:r>
          </w:p>
        </w:tc>
      </w:tr>
      <w:tr w:rsidR="001D7232" w:rsidRPr="001244BB" w:rsidTr="00510AC5">
        <w:trPr>
          <w:trHeight w:val="255"/>
        </w:trPr>
        <w:tc>
          <w:tcPr>
            <w:tcW w:w="2553" w:type="dxa"/>
            <w:shd w:val="clear" w:color="auto" w:fill="auto"/>
            <w:hideMark/>
          </w:tcPr>
          <w:p w:rsidR="001D7232" w:rsidRPr="001244BB" w:rsidRDefault="001D7232" w:rsidP="0025274D">
            <w:pPr>
              <w:spacing w:after="0" w:line="240" w:lineRule="auto"/>
              <w:rPr>
                <w:rFonts w:eastAsia="Times New Roman" w:cstheme="minorHAnsi"/>
                <w:sz w:val="20"/>
                <w:szCs w:val="20"/>
                <w:lang w:eastAsia="en-NZ"/>
              </w:rPr>
            </w:pPr>
            <w:r w:rsidRPr="001244BB">
              <w:rPr>
                <w:rFonts w:eastAsia="Times New Roman" w:cstheme="minorHAnsi"/>
                <w:sz w:val="20"/>
                <w:szCs w:val="20"/>
                <w:lang w:eastAsia="en-NZ"/>
              </w:rPr>
              <w:lastRenderedPageBreak/>
              <w:t>Tertiary (domestic) students enrolled</w:t>
            </w:r>
          </w:p>
        </w:tc>
        <w:tc>
          <w:tcPr>
            <w:tcW w:w="1273" w:type="dxa"/>
            <w:shd w:val="clear" w:color="auto" w:fill="auto"/>
            <w:noWrap/>
            <w:hideMark/>
          </w:tcPr>
          <w:p w:rsidR="001D7232" w:rsidRPr="001244BB" w:rsidRDefault="001D7232" w:rsidP="0025274D">
            <w:pPr>
              <w:spacing w:after="0" w:line="240" w:lineRule="auto"/>
              <w:rPr>
                <w:rFonts w:eastAsia="Times New Roman" w:cstheme="minorHAnsi"/>
                <w:color w:val="000000"/>
                <w:sz w:val="20"/>
                <w:szCs w:val="20"/>
                <w:lang w:eastAsia="en-NZ"/>
              </w:rPr>
            </w:pPr>
            <w:r w:rsidRPr="001244BB">
              <w:rPr>
                <w:rFonts w:eastAsia="Times New Roman" w:cstheme="minorHAnsi"/>
                <w:color w:val="000000"/>
                <w:sz w:val="20"/>
                <w:szCs w:val="20"/>
                <w:lang w:eastAsia="en-NZ"/>
              </w:rPr>
              <w:t>Increasing</w:t>
            </w:r>
          </w:p>
        </w:tc>
        <w:tc>
          <w:tcPr>
            <w:tcW w:w="1703" w:type="dxa"/>
            <w:shd w:val="clear" w:color="auto" w:fill="auto"/>
            <w:noWrap/>
            <w:hideMark/>
          </w:tcPr>
          <w:p w:rsidR="001D7232" w:rsidRPr="001244BB" w:rsidRDefault="001D7232" w:rsidP="0025274D">
            <w:pPr>
              <w:spacing w:after="0" w:line="240" w:lineRule="auto"/>
              <w:rPr>
                <w:rFonts w:eastAsia="Times New Roman" w:cstheme="minorHAnsi"/>
                <w:color w:val="000000"/>
                <w:sz w:val="20"/>
                <w:szCs w:val="20"/>
                <w:lang w:eastAsia="en-NZ"/>
              </w:rPr>
            </w:pPr>
            <w:r w:rsidRPr="001244BB">
              <w:rPr>
                <w:rFonts w:eastAsia="Times New Roman" w:cstheme="minorHAnsi"/>
                <w:color w:val="000000"/>
                <w:sz w:val="20"/>
                <w:szCs w:val="20"/>
                <w:lang w:eastAsia="en-NZ"/>
              </w:rPr>
              <w:t>WREDA/EducationNZ</w:t>
            </w:r>
          </w:p>
        </w:tc>
        <w:tc>
          <w:tcPr>
            <w:tcW w:w="1621" w:type="dxa"/>
            <w:gridSpan w:val="2"/>
            <w:shd w:val="clear" w:color="auto" w:fill="auto"/>
            <w:noWrap/>
            <w:hideMark/>
          </w:tcPr>
          <w:p w:rsidR="001D7232" w:rsidRPr="001244BB" w:rsidRDefault="001D7232" w:rsidP="0025274D">
            <w:pPr>
              <w:spacing w:after="0" w:line="240" w:lineRule="auto"/>
              <w:jc w:val="right"/>
              <w:rPr>
                <w:rFonts w:eastAsia="Times New Roman" w:cstheme="minorHAnsi"/>
                <w:color w:val="000000"/>
                <w:sz w:val="20"/>
                <w:szCs w:val="20"/>
                <w:lang w:eastAsia="en-NZ"/>
              </w:rPr>
            </w:pPr>
            <w:r w:rsidRPr="001244BB">
              <w:rPr>
                <w:rFonts w:eastAsia="Times New Roman" w:cstheme="minorHAnsi"/>
                <w:color w:val="000000"/>
                <w:sz w:val="20"/>
                <w:szCs w:val="20"/>
                <w:lang w:eastAsia="en-NZ"/>
              </w:rPr>
              <w:t xml:space="preserve">        42,630 </w:t>
            </w:r>
          </w:p>
        </w:tc>
        <w:tc>
          <w:tcPr>
            <w:tcW w:w="1767" w:type="dxa"/>
            <w:shd w:val="clear" w:color="auto" w:fill="auto"/>
            <w:noWrap/>
            <w:hideMark/>
          </w:tcPr>
          <w:p w:rsidR="001D7232" w:rsidRPr="001244BB" w:rsidRDefault="001D7232" w:rsidP="0025274D">
            <w:pPr>
              <w:spacing w:after="0" w:line="240" w:lineRule="auto"/>
              <w:jc w:val="right"/>
              <w:rPr>
                <w:rFonts w:eastAsia="Times New Roman" w:cstheme="minorHAnsi"/>
                <w:color w:val="000000"/>
                <w:sz w:val="20"/>
                <w:szCs w:val="20"/>
                <w:lang w:eastAsia="en-NZ"/>
              </w:rPr>
            </w:pPr>
            <w:r w:rsidRPr="001244BB">
              <w:rPr>
                <w:rFonts w:eastAsia="Times New Roman" w:cstheme="minorHAnsi"/>
                <w:color w:val="000000"/>
                <w:sz w:val="20"/>
                <w:szCs w:val="20"/>
                <w:lang w:eastAsia="en-NZ"/>
              </w:rPr>
              <w:t xml:space="preserve">39,545 </w:t>
            </w:r>
          </w:p>
        </w:tc>
        <w:tc>
          <w:tcPr>
            <w:tcW w:w="1766" w:type="dxa"/>
            <w:shd w:val="clear" w:color="auto" w:fill="auto"/>
            <w:noWrap/>
            <w:hideMark/>
          </w:tcPr>
          <w:p w:rsidR="001D7232" w:rsidRPr="001244BB" w:rsidRDefault="001D7232" w:rsidP="0025274D">
            <w:pPr>
              <w:spacing w:after="0" w:line="240" w:lineRule="auto"/>
              <w:jc w:val="right"/>
              <w:rPr>
                <w:rFonts w:eastAsia="Times New Roman" w:cstheme="minorHAnsi"/>
                <w:color w:val="000000"/>
                <w:sz w:val="20"/>
                <w:szCs w:val="20"/>
                <w:lang w:eastAsia="en-NZ"/>
              </w:rPr>
            </w:pPr>
            <w:r w:rsidRPr="001244BB">
              <w:rPr>
                <w:rFonts w:eastAsia="Times New Roman" w:cstheme="minorHAnsi"/>
                <w:color w:val="000000"/>
                <w:sz w:val="20"/>
                <w:szCs w:val="20"/>
                <w:lang w:eastAsia="en-NZ"/>
              </w:rPr>
              <w:t xml:space="preserve">38,775 </w:t>
            </w:r>
          </w:p>
        </w:tc>
        <w:tc>
          <w:tcPr>
            <w:tcW w:w="3493" w:type="dxa"/>
            <w:shd w:val="clear" w:color="auto" w:fill="auto"/>
            <w:noWrap/>
            <w:hideMark/>
          </w:tcPr>
          <w:p w:rsidR="001D7232" w:rsidRPr="001244BB" w:rsidRDefault="001D7232" w:rsidP="0025274D">
            <w:pPr>
              <w:spacing w:after="0" w:line="240" w:lineRule="auto"/>
              <w:rPr>
                <w:rFonts w:eastAsia="Times New Roman" w:cstheme="minorHAnsi"/>
                <w:color w:val="000000"/>
                <w:sz w:val="20"/>
                <w:szCs w:val="20"/>
                <w:lang w:eastAsia="en-NZ"/>
              </w:rPr>
            </w:pPr>
            <w:r w:rsidRPr="001244BB">
              <w:rPr>
                <w:rFonts w:eastAsia="Times New Roman" w:cstheme="minorHAnsi"/>
                <w:color w:val="000000"/>
                <w:sz w:val="20"/>
                <w:szCs w:val="20"/>
                <w:lang w:eastAsia="en-NZ"/>
              </w:rPr>
              <w:t>Negative trend.</w:t>
            </w:r>
          </w:p>
        </w:tc>
      </w:tr>
      <w:tr w:rsidR="001D7232" w:rsidRPr="001244BB" w:rsidTr="00510AC5">
        <w:trPr>
          <w:trHeight w:val="1259"/>
        </w:trPr>
        <w:tc>
          <w:tcPr>
            <w:tcW w:w="2553" w:type="dxa"/>
            <w:shd w:val="clear" w:color="auto" w:fill="auto"/>
            <w:hideMark/>
          </w:tcPr>
          <w:p w:rsidR="001D7232" w:rsidRPr="001244BB" w:rsidRDefault="001D7232" w:rsidP="0025274D">
            <w:pPr>
              <w:spacing w:after="0" w:line="240" w:lineRule="auto"/>
              <w:rPr>
                <w:rFonts w:eastAsia="Times New Roman" w:cstheme="minorHAnsi"/>
                <w:sz w:val="20"/>
                <w:szCs w:val="20"/>
                <w:lang w:eastAsia="en-NZ"/>
              </w:rPr>
            </w:pPr>
            <w:r w:rsidRPr="001244BB">
              <w:rPr>
                <w:rFonts w:eastAsia="Times New Roman" w:cstheme="minorHAnsi"/>
                <w:sz w:val="20"/>
                <w:szCs w:val="20"/>
                <w:lang w:eastAsia="en-NZ"/>
              </w:rPr>
              <w:t>International air destinations</w:t>
            </w:r>
          </w:p>
        </w:tc>
        <w:tc>
          <w:tcPr>
            <w:tcW w:w="1273" w:type="dxa"/>
            <w:shd w:val="clear" w:color="auto" w:fill="auto"/>
            <w:noWrap/>
            <w:hideMark/>
          </w:tcPr>
          <w:p w:rsidR="001D7232" w:rsidRPr="001244BB" w:rsidRDefault="001D7232" w:rsidP="0025274D">
            <w:pPr>
              <w:spacing w:after="0" w:line="240" w:lineRule="auto"/>
              <w:rPr>
                <w:rFonts w:eastAsia="Times New Roman" w:cstheme="minorHAnsi"/>
                <w:color w:val="000000"/>
                <w:sz w:val="20"/>
                <w:szCs w:val="20"/>
                <w:lang w:eastAsia="en-NZ"/>
              </w:rPr>
            </w:pPr>
            <w:r w:rsidRPr="001244BB">
              <w:rPr>
                <w:rFonts w:eastAsia="Times New Roman" w:cstheme="minorHAnsi"/>
                <w:color w:val="000000"/>
                <w:sz w:val="20"/>
                <w:szCs w:val="20"/>
                <w:lang w:eastAsia="en-NZ"/>
              </w:rPr>
              <w:t>Increasing</w:t>
            </w:r>
          </w:p>
        </w:tc>
        <w:tc>
          <w:tcPr>
            <w:tcW w:w="1703" w:type="dxa"/>
            <w:shd w:val="clear" w:color="auto" w:fill="auto"/>
            <w:noWrap/>
            <w:hideMark/>
          </w:tcPr>
          <w:p w:rsidR="001D7232" w:rsidRPr="001244BB" w:rsidRDefault="001D7232" w:rsidP="0025274D">
            <w:pPr>
              <w:spacing w:after="0" w:line="240" w:lineRule="auto"/>
              <w:rPr>
                <w:rFonts w:eastAsia="Times New Roman" w:cstheme="minorHAnsi"/>
                <w:color w:val="000000"/>
                <w:sz w:val="20"/>
                <w:szCs w:val="20"/>
                <w:lang w:eastAsia="en-NZ"/>
              </w:rPr>
            </w:pPr>
            <w:r w:rsidRPr="001244BB">
              <w:rPr>
                <w:rFonts w:eastAsia="Times New Roman" w:cstheme="minorHAnsi"/>
                <w:color w:val="000000"/>
                <w:sz w:val="20"/>
                <w:szCs w:val="20"/>
                <w:lang w:eastAsia="en-NZ"/>
              </w:rPr>
              <w:t>Wellington Airport Limited</w:t>
            </w:r>
          </w:p>
        </w:tc>
        <w:tc>
          <w:tcPr>
            <w:tcW w:w="1621" w:type="dxa"/>
            <w:gridSpan w:val="2"/>
            <w:shd w:val="clear" w:color="auto" w:fill="auto"/>
            <w:noWrap/>
            <w:hideMark/>
          </w:tcPr>
          <w:p w:rsidR="001D7232" w:rsidRPr="001244BB" w:rsidRDefault="001D7232" w:rsidP="0025274D">
            <w:pPr>
              <w:spacing w:after="0" w:line="240" w:lineRule="auto"/>
              <w:jc w:val="right"/>
              <w:rPr>
                <w:rFonts w:eastAsia="Times New Roman" w:cstheme="minorHAnsi"/>
                <w:color w:val="000000"/>
                <w:sz w:val="20"/>
                <w:szCs w:val="20"/>
                <w:lang w:eastAsia="en-NZ"/>
              </w:rPr>
            </w:pPr>
          </w:p>
        </w:tc>
        <w:tc>
          <w:tcPr>
            <w:tcW w:w="1767" w:type="dxa"/>
            <w:shd w:val="clear" w:color="auto" w:fill="auto"/>
            <w:noWrap/>
            <w:hideMark/>
          </w:tcPr>
          <w:p w:rsidR="001D7232" w:rsidRPr="001244BB" w:rsidRDefault="001D7232" w:rsidP="0025274D">
            <w:pPr>
              <w:spacing w:after="0" w:line="240" w:lineRule="auto"/>
              <w:jc w:val="right"/>
              <w:rPr>
                <w:rFonts w:eastAsia="Times New Roman" w:cstheme="minorHAnsi"/>
                <w:color w:val="000000"/>
                <w:sz w:val="20"/>
                <w:szCs w:val="20"/>
                <w:lang w:eastAsia="en-NZ"/>
              </w:rPr>
            </w:pPr>
            <w:r w:rsidRPr="001244BB">
              <w:rPr>
                <w:rFonts w:eastAsia="Times New Roman" w:cstheme="minorHAnsi"/>
                <w:color w:val="000000"/>
                <w:sz w:val="20"/>
                <w:szCs w:val="20"/>
                <w:lang w:eastAsia="en-NZ"/>
              </w:rPr>
              <w:t>New</w:t>
            </w:r>
          </w:p>
        </w:tc>
        <w:tc>
          <w:tcPr>
            <w:tcW w:w="1766" w:type="dxa"/>
            <w:shd w:val="clear" w:color="auto" w:fill="auto"/>
            <w:hideMark/>
          </w:tcPr>
          <w:p w:rsidR="001D7232" w:rsidRPr="001244BB" w:rsidRDefault="001D7232" w:rsidP="0025274D">
            <w:pPr>
              <w:spacing w:after="0" w:line="240" w:lineRule="auto"/>
              <w:jc w:val="right"/>
              <w:rPr>
                <w:rFonts w:eastAsia="Times New Roman" w:cstheme="minorHAnsi"/>
                <w:color w:val="000000"/>
                <w:sz w:val="20"/>
                <w:szCs w:val="20"/>
                <w:lang w:eastAsia="en-NZ"/>
              </w:rPr>
            </w:pPr>
            <w:r w:rsidRPr="001244BB">
              <w:rPr>
                <w:rFonts w:eastAsia="Times New Roman" w:cstheme="minorHAnsi"/>
                <w:color w:val="000000"/>
                <w:sz w:val="20"/>
                <w:szCs w:val="20"/>
                <w:lang w:eastAsia="en-NZ"/>
              </w:rPr>
              <w:t>6</w:t>
            </w:r>
          </w:p>
        </w:tc>
        <w:tc>
          <w:tcPr>
            <w:tcW w:w="3493" w:type="dxa"/>
            <w:shd w:val="clear" w:color="auto" w:fill="auto"/>
            <w:noWrap/>
            <w:hideMark/>
          </w:tcPr>
          <w:p w:rsidR="001D7232" w:rsidRPr="001244BB" w:rsidRDefault="00510AC5" w:rsidP="0025274D">
            <w:pPr>
              <w:spacing w:after="0" w:line="240" w:lineRule="auto"/>
              <w:rPr>
                <w:rFonts w:eastAsia="Times New Roman" w:cstheme="minorHAnsi"/>
                <w:color w:val="000000"/>
                <w:sz w:val="20"/>
                <w:szCs w:val="20"/>
                <w:lang w:eastAsia="en-NZ"/>
              </w:rPr>
            </w:pPr>
            <w:r>
              <w:rPr>
                <w:rFonts w:eastAsia="Times New Roman" w:cstheme="minorHAnsi"/>
                <w:color w:val="000000"/>
                <w:sz w:val="20"/>
                <w:szCs w:val="20"/>
                <w:lang w:eastAsia="en-NZ"/>
              </w:rPr>
              <w:t xml:space="preserve">No trend. </w:t>
            </w:r>
            <w:r w:rsidR="001D7232" w:rsidRPr="001244BB">
              <w:rPr>
                <w:rFonts w:eastAsia="Times New Roman" w:cstheme="minorHAnsi"/>
                <w:color w:val="000000"/>
                <w:sz w:val="20"/>
                <w:szCs w:val="20"/>
                <w:lang w:eastAsia="en-NZ"/>
              </w:rPr>
              <w:t>There have been 6566 direct international flights to the following places: Sydney, Melbourne, Brisbane, the Gold Coast, Singapore (via Melbourne), and Fiji. This compares to 6282 for the same period last year.</w:t>
            </w:r>
          </w:p>
        </w:tc>
      </w:tr>
      <w:tr w:rsidR="001D7232" w:rsidRPr="001244BB" w:rsidTr="00510AC5">
        <w:trPr>
          <w:trHeight w:val="255"/>
        </w:trPr>
        <w:tc>
          <w:tcPr>
            <w:tcW w:w="14176" w:type="dxa"/>
            <w:gridSpan w:val="8"/>
            <w:shd w:val="clear" w:color="auto" w:fill="FDE9D9" w:themeFill="accent6" w:themeFillTint="33"/>
            <w:hideMark/>
          </w:tcPr>
          <w:p w:rsidR="001D7232" w:rsidRPr="001244BB" w:rsidRDefault="001D7232" w:rsidP="0025274D">
            <w:pPr>
              <w:spacing w:after="0" w:line="240" w:lineRule="auto"/>
              <w:rPr>
                <w:rFonts w:eastAsia="Times New Roman" w:cstheme="minorHAnsi"/>
                <w:color w:val="000000"/>
                <w:sz w:val="20"/>
                <w:szCs w:val="20"/>
                <w:lang w:eastAsia="en-NZ"/>
              </w:rPr>
            </w:pPr>
            <w:r w:rsidRPr="001244BB">
              <w:rPr>
                <w:rFonts w:eastAsia="Times New Roman" w:cstheme="minorHAnsi"/>
                <w:b/>
                <w:bCs/>
                <w:i/>
                <w:iCs/>
                <w:sz w:val="20"/>
                <w:szCs w:val="20"/>
                <w:lang w:eastAsia="en-NZ"/>
              </w:rPr>
              <w:t>Business support, attraction and retention</w:t>
            </w:r>
          </w:p>
        </w:tc>
      </w:tr>
      <w:tr w:rsidR="001D7232" w:rsidRPr="001244BB" w:rsidTr="00510AC5">
        <w:trPr>
          <w:trHeight w:val="278"/>
        </w:trPr>
        <w:tc>
          <w:tcPr>
            <w:tcW w:w="2553" w:type="dxa"/>
            <w:shd w:val="clear" w:color="auto" w:fill="auto"/>
            <w:hideMark/>
          </w:tcPr>
          <w:p w:rsidR="001D7232" w:rsidRPr="001244BB" w:rsidRDefault="001D7232" w:rsidP="0025274D">
            <w:pPr>
              <w:spacing w:after="0" w:line="240" w:lineRule="auto"/>
              <w:rPr>
                <w:rFonts w:eastAsia="Times New Roman" w:cstheme="minorHAnsi"/>
                <w:sz w:val="20"/>
                <w:szCs w:val="20"/>
                <w:lang w:eastAsia="en-NZ"/>
              </w:rPr>
            </w:pPr>
            <w:r w:rsidRPr="001244BB">
              <w:rPr>
                <w:rFonts w:eastAsia="Times New Roman" w:cstheme="minorHAnsi"/>
                <w:sz w:val="20"/>
                <w:szCs w:val="20"/>
                <w:lang w:eastAsia="en-NZ"/>
              </w:rPr>
              <w:t>Number of companies that are in New Zealand's top 200 companies  based in Wellington</w:t>
            </w:r>
          </w:p>
        </w:tc>
        <w:tc>
          <w:tcPr>
            <w:tcW w:w="1273" w:type="dxa"/>
            <w:shd w:val="clear" w:color="auto" w:fill="auto"/>
            <w:noWrap/>
            <w:hideMark/>
          </w:tcPr>
          <w:p w:rsidR="001D7232" w:rsidRPr="001244BB" w:rsidRDefault="001D7232" w:rsidP="0025274D">
            <w:pPr>
              <w:spacing w:after="0" w:line="240" w:lineRule="auto"/>
              <w:rPr>
                <w:rFonts w:eastAsia="Times New Roman" w:cstheme="minorHAnsi"/>
                <w:color w:val="000000"/>
                <w:sz w:val="20"/>
                <w:szCs w:val="20"/>
                <w:lang w:eastAsia="en-NZ"/>
              </w:rPr>
            </w:pPr>
            <w:r w:rsidRPr="001244BB">
              <w:rPr>
                <w:rFonts w:eastAsia="Times New Roman" w:cstheme="minorHAnsi"/>
                <w:color w:val="000000"/>
                <w:sz w:val="20"/>
                <w:szCs w:val="20"/>
                <w:lang w:eastAsia="en-NZ"/>
              </w:rPr>
              <w:t>Increasing</w:t>
            </w:r>
          </w:p>
        </w:tc>
        <w:tc>
          <w:tcPr>
            <w:tcW w:w="1703" w:type="dxa"/>
            <w:shd w:val="clear" w:color="auto" w:fill="auto"/>
            <w:noWrap/>
            <w:hideMark/>
          </w:tcPr>
          <w:p w:rsidR="001D7232" w:rsidRPr="001244BB" w:rsidRDefault="001D7232" w:rsidP="0025274D">
            <w:pPr>
              <w:spacing w:after="0" w:line="240" w:lineRule="auto"/>
              <w:rPr>
                <w:rFonts w:eastAsia="Times New Roman" w:cstheme="minorHAnsi"/>
                <w:color w:val="000000"/>
                <w:sz w:val="20"/>
                <w:szCs w:val="20"/>
                <w:lang w:eastAsia="en-NZ"/>
              </w:rPr>
            </w:pPr>
            <w:r w:rsidRPr="001244BB">
              <w:rPr>
                <w:rFonts w:eastAsia="Times New Roman" w:cstheme="minorHAnsi"/>
                <w:color w:val="000000"/>
                <w:sz w:val="20"/>
                <w:szCs w:val="20"/>
                <w:lang w:eastAsia="en-NZ"/>
              </w:rPr>
              <w:t>Research – Deliotte’s top 200</w:t>
            </w:r>
          </w:p>
        </w:tc>
        <w:tc>
          <w:tcPr>
            <w:tcW w:w="1621" w:type="dxa"/>
            <w:gridSpan w:val="2"/>
            <w:shd w:val="clear" w:color="auto" w:fill="auto"/>
            <w:noWrap/>
            <w:hideMark/>
          </w:tcPr>
          <w:p w:rsidR="001D7232" w:rsidRPr="001244BB" w:rsidRDefault="001D7232" w:rsidP="0025274D">
            <w:pPr>
              <w:spacing w:after="0" w:line="240" w:lineRule="auto"/>
              <w:jc w:val="right"/>
              <w:rPr>
                <w:rFonts w:eastAsia="Times New Roman" w:cstheme="minorHAnsi"/>
                <w:color w:val="000000"/>
                <w:sz w:val="20"/>
                <w:szCs w:val="20"/>
                <w:lang w:eastAsia="en-NZ"/>
              </w:rPr>
            </w:pPr>
            <w:r w:rsidRPr="001244BB">
              <w:rPr>
                <w:rFonts w:eastAsia="Times New Roman" w:cstheme="minorHAnsi"/>
                <w:color w:val="000000"/>
                <w:sz w:val="20"/>
                <w:szCs w:val="20"/>
                <w:lang w:eastAsia="en-NZ"/>
              </w:rPr>
              <w:t>21</w:t>
            </w:r>
          </w:p>
        </w:tc>
        <w:tc>
          <w:tcPr>
            <w:tcW w:w="1767" w:type="dxa"/>
            <w:shd w:val="clear" w:color="auto" w:fill="auto"/>
            <w:noWrap/>
            <w:hideMark/>
          </w:tcPr>
          <w:p w:rsidR="001D7232" w:rsidRPr="001244BB" w:rsidRDefault="001D7232" w:rsidP="0025274D">
            <w:pPr>
              <w:spacing w:after="0" w:line="240" w:lineRule="auto"/>
              <w:jc w:val="right"/>
              <w:rPr>
                <w:rFonts w:eastAsia="Times New Roman" w:cstheme="minorHAnsi"/>
                <w:color w:val="000000"/>
                <w:sz w:val="20"/>
                <w:szCs w:val="20"/>
                <w:lang w:eastAsia="en-NZ"/>
              </w:rPr>
            </w:pPr>
            <w:r w:rsidRPr="001244BB">
              <w:rPr>
                <w:rFonts w:eastAsia="Times New Roman" w:cstheme="minorHAnsi"/>
                <w:color w:val="000000"/>
                <w:sz w:val="20"/>
                <w:szCs w:val="20"/>
                <w:lang w:eastAsia="en-NZ"/>
              </w:rPr>
              <w:t>22</w:t>
            </w:r>
          </w:p>
        </w:tc>
        <w:tc>
          <w:tcPr>
            <w:tcW w:w="1766" w:type="dxa"/>
            <w:shd w:val="clear" w:color="auto" w:fill="auto"/>
            <w:hideMark/>
          </w:tcPr>
          <w:p w:rsidR="001D7232" w:rsidRPr="001244BB" w:rsidRDefault="001D7232" w:rsidP="0025274D">
            <w:pPr>
              <w:spacing w:after="0" w:line="240" w:lineRule="auto"/>
              <w:jc w:val="right"/>
              <w:rPr>
                <w:rFonts w:eastAsia="Times New Roman" w:cstheme="minorHAnsi"/>
                <w:color w:val="000000"/>
                <w:sz w:val="20"/>
                <w:szCs w:val="20"/>
                <w:lang w:eastAsia="en-NZ"/>
              </w:rPr>
            </w:pPr>
            <w:r w:rsidRPr="001244BB">
              <w:rPr>
                <w:rFonts w:eastAsia="Times New Roman" w:cstheme="minorHAnsi"/>
                <w:color w:val="000000"/>
                <w:sz w:val="20"/>
                <w:szCs w:val="20"/>
                <w:lang w:eastAsia="en-NZ"/>
              </w:rPr>
              <w:t xml:space="preserve">22 </w:t>
            </w:r>
          </w:p>
        </w:tc>
        <w:tc>
          <w:tcPr>
            <w:tcW w:w="3493" w:type="dxa"/>
            <w:shd w:val="clear" w:color="auto" w:fill="auto"/>
            <w:noWrap/>
            <w:hideMark/>
          </w:tcPr>
          <w:p w:rsidR="001D7232" w:rsidRPr="001244BB" w:rsidRDefault="00510AC5" w:rsidP="0025274D">
            <w:pPr>
              <w:spacing w:after="0" w:line="240" w:lineRule="auto"/>
              <w:rPr>
                <w:rFonts w:eastAsia="Times New Roman" w:cstheme="minorHAnsi"/>
                <w:color w:val="000000"/>
                <w:sz w:val="20"/>
                <w:szCs w:val="20"/>
                <w:lang w:eastAsia="en-NZ"/>
              </w:rPr>
            </w:pPr>
            <w:r>
              <w:rPr>
                <w:rFonts w:eastAsia="Times New Roman" w:cstheme="minorHAnsi"/>
                <w:color w:val="000000"/>
                <w:sz w:val="20"/>
                <w:szCs w:val="20"/>
                <w:lang w:eastAsia="en-NZ"/>
              </w:rPr>
              <w:t xml:space="preserve">No trend. </w:t>
            </w:r>
            <w:r w:rsidR="001D7232" w:rsidRPr="001244BB">
              <w:rPr>
                <w:rFonts w:eastAsia="Times New Roman" w:cstheme="minorHAnsi"/>
                <w:color w:val="000000"/>
                <w:sz w:val="20"/>
                <w:szCs w:val="20"/>
                <w:lang w:eastAsia="en-NZ"/>
              </w:rPr>
              <w:t>This includes two Wellington companies being added to the list and two removed from the top 200</w:t>
            </w:r>
          </w:p>
        </w:tc>
      </w:tr>
      <w:tr w:rsidR="001D7232" w:rsidRPr="001244BB" w:rsidTr="00510AC5">
        <w:trPr>
          <w:trHeight w:val="510"/>
        </w:trPr>
        <w:tc>
          <w:tcPr>
            <w:tcW w:w="2553" w:type="dxa"/>
            <w:shd w:val="clear" w:color="auto" w:fill="auto"/>
            <w:hideMark/>
          </w:tcPr>
          <w:p w:rsidR="001D7232" w:rsidRPr="001244BB" w:rsidRDefault="001D7232" w:rsidP="0025274D">
            <w:pPr>
              <w:spacing w:after="0" w:line="240" w:lineRule="auto"/>
              <w:rPr>
                <w:rFonts w:eastAsia="Times New Roman" w:cstheme="minorHAnsi"/>
                <w:sz w:val="20"/>
                <w:szCs w:val="20"/>
                <w:lang w:eastAsia="en-NZ"/>
              </w:rPr>
            </w:pPr>
            <w:r w:rsidRPr="001244BB">
              <w:rPr>
                <w:rFonts w:eastAsia="Times New Roman" w:cstheme="minorHAnsi"/>
                <w:sz w:val="20"/>
                <w:szCs w:val="20"/>
                <w:lang w:eastAsia="en-NZ"/>
              </w:rPr>
              <w:t>Business enterprises – births and growths (net growth in business)</w:t>
            </w:r>
          </w:p>
        </w:tc>
        <w:tc>
          <w:tcPr>
            <w:tcW w:w="1273" w:type="dxa"/>
            <w:shd w:val="clear" w:color="auto" w:fill="auto"/>
            <w:noWrap/>
            <w:hideMark/>
          </w:tcPr>
          <w:p w:rsidR="001D7232" w:rsidRPr="001244BB" w:rsidRDefault="001D7232" w:rsidP="0025274D">
            <w:pPr>
              <w:spacing w:after="0" w:line="240" w:lineRule="auto"/>
              <w:rPr>
                <w:rFonts w:eastAsia="Times New Roman" w:cstheme="minorHAnsi"/>
                <w:color w:val="000000"/>
                <w:sz w:val="20"/>
                <w:szCs w:val="20"/>
                <w:lang w:eastAsia="en-NZ"/>
              </w:rPr>
            </w:pPr>
            <w:r w:rsidRPr="001244BB">
              <w:rPr>
                <w:rFonts w:eastAsia="Times New Roman" w:cstheme="minorHAnsi"/>
                <w:color w:val="000000"/>
                <w:sz w:val="20"/>
                <w:szCs w:val="20"/>
                <w:lang w:eastAsia="en-NZ"/>
              </w:rPr>
              <w:t>Increasing</w:t>
            </w:r>
          </w:p>
        </w:tc>
        <w:tc>
          <w:tcPr>
            <w:tcW w:w="1703" w:type="dxa"/>
            <w:shd w:val="clear" w:color="auto" w:fill="auto"/>
            <w:noWrap/>
            <w:hideMark/>
          </w:tcPr>
          <w:p w:rsidR="001D7232" w:rsidRPr="001244BB" w:rsidRDefault="001D7232" w:rsidP="0025274D">
            <w:pPr>
              <w:spacing w:after="0" w:line="240" w:lineRule="auto"/>
              <w:rPr>
                <w:rFonts w:eastAsia="Times New Roman" w:cstheme="minorHAnsi"/>
                <w:color w:val="000000"/>
                <w:sz w:val="20"/>
                <w:szCs w:val="20"/>
                <w:lang w:eastAsia="en-NZ"/>
              </w:rPr>
            </w:pPr>
            <w:r w:rsidRPr="001244BB">
              <w:rPr>
                <w:rFonts w:eastAsia="Times New Roman" w:cstheme="minorHAnsi"/>
                <w:color w:val="000000"/>
                <w:sz w:val="20"/>
                <w:szCs w:val="20"/>
                <w:lang w:eastAsia="en-NZ"/>
              </w:rPr>
              <w:t>Research - Statistics NZ</w:t>
            </w:r>
          </w:p>
        </w:tc>
        <w:tc>
          <w:tcPr>
            <w:tcW w:w="1621" w:type="dxa"/>
            <w:gridSpan w:val="2"/>
            <w:shd w:val="clear" w:color="auto" w:fill="auto"/>
            <w:noWrap/>
            <w:hideMark/>
          </w:tcPr>
          <w:p w:rsidR="001D7232" w:rsidRPr="001244BB" w:rsidRDefault="001D7232" w:rsidP="0025274D">
            <w:pPr>
              <w:spacing w:after="0" w:line="240" w:lineRule="auto"/>
              <w:jc w:val="right"/>
              <w:rPr>
                <w:rFonts w:eastAsia="Times New Roman" w:cstheme="minorHAnsi"/>
                <w:color w:val="000000"/>
                <w:sz w:val="20"/>
                <w:szCs w:val="20"/>
                <w:lang w:eastAsia="en-NZ"/>
              </w:rPr>
            </w:pPr>
            <w:r w:rsidRPr="001244BB">
              <w:rPr>
                <w:rFonts w:eastAsia="Times New Roman" w:cstheme="minorHAnsi"/>
                <w:color w:val="000000"/>
                <w:sz w:val="20"/>
                <w:szCs w:val="20"/>
                <w:lang w:eastAsia="en-NZ"/>
              </w:rPr>
              <w:t>1.0%</w:t>
            </w:r>
          </w:p>
        </w:tc>
        <w:tc>
          <w:tcPr>
            <w:tcW w:w="1767" w:type="dxa"/>
            <w:shd w:val="clear" w:color="auto" w:fill="auto"/>
            <w:noWrap/>
            <w:hideMark/>
          </w:tcPr>
          <w:p w:rsidR="001D7232" w:rsidRPr="001244BB" w:rsidRDefault="001D7232" w:rsidP="0025274D">
            <w:pPr>
              <w:spacing w:after="0" w:line="240" w:lineRule="auto"/>
              <w:jc w:val="right"/>
              <w:rPr>
                <w:rFonts w:eastAsia="Times New Roman" w:cstheme="minorHAnsi"/>
                <w:color w:val="000000"/>
                <w:sz w:val="20"/>
                <w:szCs w:val="20"/>
                <w:lang w:eastAsia="en-NZ"/>
              </w:rPr>
            </w:pPr>
            <w:r w:rsidRPr="001244BB">
              <w:rPr>
                <w:rFonts w:eastAsia="Times New Roman" w:cstheme="minorHAnsi"/>
                <w:color w:val="000000"/>
                <w:sz w:val="20"/>
                <w:szCs w:val="20"/>
                <w:lang w:eastAsia="en-NZ"/>
              </w:rPr>
              <w:t>1.70%</w:t>
            </w:r>
          </w:p>
        </w:tc>
        <w:tc>
          <w:tcPr>
            <w:tcW w:w="1766" w:type="dxa"/>
            <w:shd w:val="clear" w:color="auto" w:fill="auto"/>
            <w:noWrap/>
            <w:hideMark/>
          </w:tcPr>
          <w:p w:rsidR="001D7232" w:rsidRPr="001244BB" w:rsidRDefault="001D7232" w:rsidP="0025274D">
            <w:pPr>
              <w:spacing w:after="0" w:line="240" w:lineRule="auto"/>
              <w:jc w:val="right"/>
              <w:rPr>
                <w:rFonts w:eastAsia="Times New Roman" w:cstheme="minorHAnsi"/>
                <w:color w:val="000000"/>
                <w:sz w:val="20"/>
                <w:szCs w:val="20"/>
                <w:lang w:eastAsia="en-NZ"/>
              </w:rPr>
            </w:pPr>
            <w:r w:rsidRPr="001244BB">
              <w:rPr>
                <w:rFonts w:eastAsia="Times New Roman" w:cstheme="minorHAnsi"/>
                <w:color w:val="000000"/>
                <w:sz w:val="20"/>
                <w:szCs w:val="20"/>
                <w:lang w:eastAsia="en-NZ"/>
              </w:rPr>
              <w:t>1.20%</w:t>
            </w:r>
          </w:p>
        </w:tc>
        <w:tc>
          <w:tcPr>
            <w:tcW w:w="3493" w:type="dxa"/>
            <w:shd w:val="clear" w:color="auto" w:fill="auto"/>
            <w:noWrap/>
            <w:hideMark/>
          </w:tcPr>
          <w:p w:rsidR="001D7232" w:rsidRPr="001244BB" w:rsidRDefault="00510AC5" w:rsidP="0025274D">
            <w:pPr>
              <w:spacing w:after="0" w:line="240" w:lineRule="auto"/>
              <w:rPr>
                <w:rFonts w:eastAsia="Times New Roman" w:cstheme="minorHAnsi"/>
                <w:color w:val="000000"/>
                <w:sz w:val="20"/>
                <w:szCs w:val="20"/>
                <w:lang w:eastAsia="en-NZ"/>
              </w:rPr>
            </w:pPr>
            <w:r>
              <w:rPr>
                <w:rFonts w:eastAsia="Times New Roman" w:cstheme="minorHAnsi"/>
                <w:color w:val="000000"/>
                <w:sz w:val="20"/>
                <w:szCs w:val="20"/>
                <w:lang w:eastAsia="en-NZ"/>
              </w:rPr>
              <w:t xml:space="preserve">No trend. </w:t>
            </w:r>
          </w:p>
        </w:tc>
      </w:tr>
      <w:tr w:rsidR="001D7232" w:rsidRPr="001244BB" w:rsidTr="00510AC5">
        <w:trPr>
          <w:trHeight w:val="255"/>
        </w:trPr>
        <w:tc>
          <w:tcPr>
            <w:tcW w:w="14176" w:type="dxa"/>
            <w:gridSpan w:val="8"/>
            <w:shd w:val="clear" w:color="auto" w:fill="FDE9D9" w:themeFill="accent6" w:themeFillTint="33"/>
            <w:hideMark/>
          </w:tcPr>
          <w:p w:rsidR="001D7232" w:rsidRPr="001244BB" w:rsidRDefault="001D7232" w:rsidP="0025274D">
            <w:pPr>
              <w:spacing w:after="0" w:line="240" w:lineRule="auto"/>
              <w:rPr>
                <w:rFonts w:eastAsia="Times New Roman" w:cstheme="minorHAnsi"/>
                <w:color w:val="000000"/>
                <w:sz w:val="20"/>
                <w:szCs w:val="20"/>
                <w:lang w:eastAsia="en-NZ"/>
              </w:rPr>
            </w:pPr>
            <w:r w:rsidRPr="001244BB">
              <w:rPr>
                <w:rFonts w:eastAsia="Times New Roman" w:cstheme="minorHAnsi"/>
                <w:b/>
                <w:bCs/>
                <w:i/>
                <w:iCs/>
                <w:sz w:val="20"/>
                <w:szCs w:val="20"/>
                <w:lang w:eastAsia="en-NZ"/>
              </w:rPr>
              <w:t>City vibrancy and economic performance</w:t>
            </w:r>
          </w:p>
        </w:tc>
      </w:tr>
      <w:tr w:rsidR="001D7232" w:rsidRPr="001244BB" w:rsidTr="00510AC5">
        <w:trPr>
          <w:trHeight w:val="766"/>
        </w:trPr>
        <w:tc>
          <w:tcPr>
            <w:tcW w:w="2553" w:type="dxa"/>
            <w:shd w:val="clear" w:color="auto" w:fill="auto"/>
            <w:hideMark/>
          </w:tcPr>
          <w:p w:rsidR="001D7232" w:rsidRPr="001244BB" w:rsidRDefault="001D7232" w:rsidP="0025274D">
            <w:pPr>
              <w:spacing w:after="0" w:line="240" w:lineRule="auto"/>
              <w:rPr>
                <w:rFonts w:eastAsia="Times New Roman" w:cstheme="minorHAnsi"/>
                <w:sz w:val="20"/>
                <w:szCs w:val="20"/>
                <w:lang w:eastAsia="en-NZ"/>
              </w:rPr>
            </w:pPr>
            <w:r w:rsidRPr="001244BB">
              <w:rPr>
                <w:rFonts w:eastAsia="Times New Roman" w:cstheme="minorHAnsi"/>
                <w:sz w:val="20"/>
                <w:szCs w:val="20"/>
                <w:lang w:eastAsia="en-NZ"/>
              </w:rPr>
              <w:t>Pedestrian counts – average of various Golden Mile sites</w:t>
            </w:r>
          </w:p>
        </w:tc>
        <w:tc>
          <w:tcPr>
            <w:tcW w:w="1273" w:type="dxa"/>
            <w:shd w:val="clear" w:color="auto" w:fill="auto"/>
            <w:noWrap/>
            <w:hideMark/>
          </w:tcPr>
          <w:p w:rsidR="001D7232" w:rsidRPr="001244BB" w:rsidRDefault="001D7232" w:rsidP="0025274D">
            <w:pPr>
              <w:spacing w:after="0" w:line="240" w:lineRule="auto"/>
              <w:rPr>
                <w:rFonts w:eastAsia="Times New Roman" w:cstheme="minorHAnsi"/>
                <w:color w:val="000000"/>
                <w:sz w:val="20"/>
                <w:szCs w:val="20"/>
                <w:lang w:eastAsia="en-NZ"/>
              </w:rPr>
            </w:pPr>
            <w:r w:rsidRPr="001244BB">
              <w:rPr>
                <w:rFonts w:eastAsia="Times New Roman" w:cstheme="minorHAnsi"/>
                <w:color w:val="000000"/>
                <w:sz w:val="20"/>
                <w:szCs w:val="20"/>
                <w:lang w:eastAsia="en-NZ"/>
              </w:rPr>
              <w:t>Increasing</w:t>
            </w:r>
          </w:p>
        </w:tc>
        <w:tc>
          <w:tcPr>
            <w:tcW w:w="1703" w:type="dxa"/>
            <w:shd w:val="clear" w:color="auto" w:fill="auto"/>
            <w:noWrap/>
            <w:hideMark/>
          </w:tcPr>
          <w:p w:rsidR="001D7232" w:rsidRPr="001244BB" w:rsidRDefault="001D7232" w:rsidP="0025274D">
            <w:pPr>
              <w:spacing w:after="0" w:line="240" w:lineRule="auto"/>
              <w:rPr>
                <w:rFonts w:eastAsia="Times New Roman" w:cstheme="minorHAnsi"/>
                <w:color w:val="000000"/>
                <w:sz w:val="20"/>
                <w:szCs w:val="20"/>
                <w:lang w:eastAsia="en-NZ"/>
              </w:rPr>
            </w:pPr>
            <w:r w:rsidRPr="001244BB">
              <w:rPr>
                <w:rFonts w:eastAsia="Times New Roman" w:cstheme="minorHAnsi"/>
                <w:color w:val="000000"/>
                <w:sz w:val="20"/>
                <w:szCs w:val="20"/>
                <w:lang w:eastAsia="en-NZ"/>
              </w:rPr>
              <w:t>Research - WCC Pedestrian survey</w:t>
            </w:r>
          </w:p>
        </w:tc>
        <w:tc>
          <w:tcPr>
            <w:tcW w:w="1621" w:type="dxa"/>
            <w:gridSpan w:val="2"/>
            <w:shd w:val="clear" w:color="auto" w:fill="auto"/>
            <w:noWrap/>
            <w:hideMark/>
          </w:tcPr>
          <w:p w:rsidR="001D7232" w:rsidRPr="001244BB" w:rsidRDefault="001D7232" w:rsidP="0025274D">
            <w:pPr>
              <w:spacing w:after="0" w:line="240" w:lineRule="auto"/>
              <w:jc w:val="right"/>
              <w:rPr>
                <w:rFonts w:eastAsia="Times New Roman" w:cstheme="minorHAnsi"/>
                <w:color w:val="000000"/>
                <w:sz w:val="20"/>
                <w:szCs w:val="20"/>
                <w:lang w:eastAsia="en-NZ"/>
              </w:rPr>
            </w:pPr>
            <w:r w:rsidRPr="001244BB">
              <w:rPr>
                <w:rFonts w:eastAsia="Times New Roman" w:cstheme="minorHAnsi"/>
                <w:color w:val="000000"/>
                <w:sz w:val="20"/>
                <w:szCs w:val="20"/>
                <w:lang w:eastAsia="en-NZ"/>
              </w:rPr>
              <w:t>2,153</w:t>
            </w:r>
          </w:p>
        </w:tc>
        <w:tc>
          <w:tcPr>
            <w:tcW w:w="1767" w:type="dxa"/>
            <w:shd w:val="clear" w:color="auto" w:fill="auto"/>
            <w:noWrap/>
            <w:hideMark/>
          </w:tcPr>
          <w:p w:rsidR="001D7232" w:rsidRPr="001244BB" w:rsidRDefault="001D7232" w:rsidP="0025274D">
            <w:pPr>
              <w:spacing w:after="0" w:line="240" w:lineRule="auto"/>
              <w:jc w:val="right"/>
              <w:rPr>
                <w:rFonts w:eastAsia="Times New Roman" w:cstheme="minorHAnsi"/>
                <w:color w:val="000000"/>
                <w:sz w:val="20"/>
                <w:szCs w:val="20"/>
                <w:lang w:eastAsia="en-NZ"/>
              </w:rPr>
            </w:pPr>
            <w:r w:rsidRPr="001244BB">
              <w:rPr>
                <w:rFonts w:eastAsia="Times New Roman" w:cstheme="minorHAnsi"/>
                <w:color w:val="000000"/>
                <w:sz w:val="20"/>
                <w:szCs w:val="20"/>
                <w:lang w:eastAsia="en-NZ"/>
              </w:rPr>
              <w:t>2,039</w:t>
            </w:r>
          </w:p>
        </w:tc>
        <w:tc>
          <w:tcPr>
            <w:tcW w:w="1766" w:type="dxa"/>
            <w:shd w:val="clear" w:color="auto" w:fill="auto"/>
            <w:noWrap/>
            <w:hideMark/>
          </w:tcPr>
          <w:p w:rsidR="001D7232" w:rsidRPr="001244BB" w:rsidRDefault="001D7232" w:rsidP="0025274D">
            <w:pPr>
              <w:spacing w:after="0" w:line="240" w:lineRule="auto"/>
              <w:jc w:val="right"/>
              <w:rPr>
                <w:rFonts w:eastAsia="Times New Roman" w:cstheme="minorHAnsi"/>
                <w:color w:val="000000"/>
                <w:sz w:val="20"/>
                <w:szCs w:val="20"/>
                <w:lang w:eastAsia="en-NZ"/>
              </w:rPr>
            </w:pPr>
            <w:r w:rsidRPr="001244BB">
              <w:rPr>
                <w:rFonts w:eastAsia="Times New Roman" w:cstheme="minorHAnsi"/>
                <w:color w:val="000000"/>
                <w:sz w:val="20"/>
                <w:szCs w:val="20"/>
                <w:lang w:eastAsia="en-NZ"/>
              </w:rPr>
              <w:t>2,201</w:t>
            </w:r>
          </w:p>
        </w:tc>
        <w:tc>
          <w:tcPr>
            <w:tcW w:w="3493" w:type="dxa"/>
            <w:shd w:val="clear" w:color="auto" w:fill="auto"/>
            <w:noWrap/>
            <w:hideMark/>
          </w:tcPr>
          <w:p w:rsidR="001D7232" w:rsidRPr="001244BB" w:rsidRDefault="00510AC5" w:rsidP="0025274D">
            <w:pPr>
              <w:spacing w:after="0" w:line="240" w:lineRule="auto"/>
              <w:rPr>
                <w:rFonts w:eastAsia="Times New Roman" w:cstheme="minorHAnsi"/>
                <w:color w:val="000000"/>
                <w:sz w:val="20"/>
                <w:szCs w:val="20"/>
                <w:lang w:eastAsia="en-NZ"/>
              </w:rPr>
            </w:pPr>
            <w:r>
              <w:rPr>
                <w:rFonts w:eastAsia="Times New Roman" w:cstheme="minorHAnsi"/>
                <w:color w:val="000000"/>
                <w:sz w:val="20"/>
                <w:szCs w:val="20"/>
                <w:lang w:eastAsia="en-NZ"/>
              </w:rPr>
              <w:t xml:space="preserve">No trend. </w:t>
            </w:r>
            <w:r w:rsidR="001D7232" w:rsidRPr="001244BB">
              <w:rPr>
                <w:rFonts w:eastAsia="Times New Roman" w:cstheme="minorHAnsi"/>
                <w:color w:val="000000"/>
                <w:sz w:val="20"/>
                <w:szCs w:val="20"/>
                <w:lang w:eastAsia="en-NZ"/>
              </w:rPr>
              <w:t>Based on the average hour of foot traffic on Lambton Quay, Mon-T</w:t>
            </w:r>
            <w:r w:rsidR="001D7232">
              <w:rPr>
                <w:rFonts w:eastAsia="Times New Roman" w:cstheme="minorHAnsi"/>
                <w:color w:val="000000"/>
                <w:sz w:val="20"/>
                <w:szCs w:val="20"/>
                <w:lang w:eastAsia="en-NZ"/>
              </w:rPr>
              <w:t>hurs, for 1 week in March 2019</w:t>
            </w:r>
          </w:p>
        </w:tc>
      </w:tr>
      <w:tr w:rsidR="001D7232" w:rsidRPr="001244BB" w:rsidTr="00510AC5">
        <w:trPr>
          <w:trHeight w:val="1020"/>
        </w:trPr>
        <w:tc>
          <w:tcPr>
            <w:tcW w:w="2553" w:type="dxa"/>
            <w:shd w:val="clear" w:color="auto" w:fill="auto"/>
            <w:hideMark/>
          </w:tcPr>
          <w:p w:rsidR="001D7232" w:rsidRPr="001244BB" w:rsidRDefault="001D7232" w:rsidP="0025274D">
            <w:pPr>
              <w:spacing w:after="0" w:line="240" w:lineRule="auto"/>
              <w:rPr>
                <w:rFonts w:eastAsia="Times New Roman" w:cstheme="minorHAnsi"/>
                <w:sz w:val="20"/>
                <w:szCs w:val="20"/>
                <w:lang w:eastAsia="en-NZ"/>
              </w:rPr>
            </w:pPr>
            <w:r w:rsidRPr="001244BB">
              <w:rPr>
                <w:rFonts w:eastAsia="Times New Roman" w:cstheme="minorHAnsi"/>
                <w:sz w:val="20"/>
                <w:szCs w:val="20"/>
                <w:lang w:eastAsia="en-NZ"/>
              </w:rPr>
              <w:t>Commercial building vacancy rates (80% code +) ​</w:t>
            </w:r>
          </w:p>
        </w:tc>
        <w:tc>
          <w:tcPr>
            <w:tcW w:w="1273" w:type="dxa"/>
            <w:shd w:val="clear" w:color="auto" w:fill="auto"/>
            <w:noWrap/>
            <w:hideMark/>
          </w:tcPr>
          <w:p w:rsidR="001D7232" w:rsidRPr="001244BB" w:rsidRDefault="001D7232" w:rsidP="0025274D">
            <w:pPr>
              <w:spacing w:after="0" w:line="240" w:lineRule="auto"/>
              <w:rPr>
                <w:rFonts w:eastAsia="Times New Roman" w:cstheme="minorHAnsi"/>
                <w:color w:val="000000"/>
                <w:sz w:val="20"/>
                <w:szCs w:val="20"/>
                <w:lang w:eastAsia="en-NZ"/>
              </w:rPr>
            </w:pPr>
            <w:r w:rsidRPr="001244BB">
              <w:rPr>
                <w:rFonts w:eastAsia="Times New Roman" w:cstheme="minorHAnsi"/>
                <w:color w:val="000000"/>
                <w:sz w:val="20"/>
                <w:szCs w:val="20"/>
                <w:lang w:eastAsia="en-NZ"/>
              </w:rPr>
              <w:t>Decreasing</w:t>
            </w:r>
          </w:p>
        </w:tc>
        <w:tc>
          <w:tcPr>
            <w:tcW w:w="1703" w:type="dxa"/>
            <w:shd w:val="clear" w:color="auto" w:fill="auto"/>
            <w:hideMark/>
          </w:tcPr>
          <w:p w:rsidR="001D7232" w:rsidRPr="001244BB" w:rsidRDefault="001D7232" w:rsidP="0025274D">
            <w:pPr>
              <w:spacing w:after="0" w:line="240" w:lineRule="auto"/>
              <w:rPr>
                <w:rFonts w:eastAsia="Times New Roman" w:cstheme="minorHAnsi"/>
                <w:color w:val="000000"/>
                <w:sz w:val="20"/>
                <w:szCs w:val="20"/>
                <w:lang w:eastAsia="en-NZ"/>
              </w:rPr>
            </w:pPr>
            <w:r w:rsidRPr="001244BB">
              <w:rPr>
                <w:rFonts w:eastAsia="Times New Roman" w:cstheme="minorHAnsi"/>
                <w:color w:val="000000"/>
                <w:sz w:val="20"/>
                <w:szCs w:val="20"/>
                <w:lang w:eastAsia="en-NZ"/>
              </w:rPr>
              <w:t xml:space="preserve">Research -Colliers International Research </w:t>
            </w:r>
          </w:p>
        </w:tc>
        <w:tc>
          <w:tcPr>
            <w:tcW w:w="1621" w:type="dxa"/>
            <w:gridSpan w:val="2"/>
            <w:shd w:val="clear" w:color="auto" w:fill="auto"/>
            <w:noWrap/>
            <w:hideMark/>
          </w:tcPr>
          <w:p w:rsidR="001D7232" w:rsidRPr="001244BB" w:rsidRDefault="001D7232" w:rsidP="0025274D">
            <w:pPr>
              <w:spacing w:after="0" w:line="240" w:lineRule="auto"/>
              <w:jc w:val="right"/>
              <w:rPr>
                <w:rFonts w:eastAsia="Times New Roman" w:cstheme="minorHAnsi"/>
                <w:color w:val="000000"/>
                <w:sz w:val="20"/>
                <w:szCs w:val="20"/>
                <w:lang w:eastAsia="en-NZ"/>
              </w:rPr>
            </w:pPr>
          </w:p>
        </w:tc>
        <w:tc>
          <w:tcPr>
            <w:tcW w:w="1767" w:type="dxa"/>
            <w:shd w:val="clear" w:color="auto" w:fill="auto"/>
            <w:noWrap/>
            <w:hideMark/>
          </w:tcPr>
          <w:p w:rsidR="001D7232" w:rsidRPr="001244BB" w:rsidRDefault="001D7232" w:rsidP="0025274D">
            <w:pPr>
              <w:spacing w:after="0" w:line="240" w:lineRule="auto"/>
              <w:jc w:val="right"/>
              <w:rPr>
                <w:rFonts w:eastAsia="Times New Roman" w:cstheme="minorHAnsi"/>
                <w:color w:val="000000"/>
                <w:sz w:val="20"/>
                <w:szCs w:val="20"/>
                <w:lang w:eastAsia="en-NZ"/>
              </w:rPr>
            </w:pPr>
            <w:r w:rsidRPr="001244BB">
              <w:rPr>
                <w:rFonts w:eastAsia="Times New Roman" w:cstheme="minorHAnsi"/>
                <w:color w:val="000000"/>
                <w:sz w:val="20"/>
                <w:szCs w:val="20"/>
                <w:lang w:eastAsia="en-NZ"/>
              </w:rPr>
              <w:t>New</w:t>
            </w:r>
          </w:p>
        </w:tc>
        <w:tc>
          <w:tcPr>
            <w:tcW w:w="1766" w:type="dxa"/>
            <w:shd w:val="clear" w:color="auto" w:fill="auto"/>
            <w:hideMark/>
          </w:tcPr>
          <w:p w:rsidR="001D7232" w:rsidRPr="001244BB" w:rsidRDefault="001D7232" w:rsidP="0025274D">
            <w:pPr>
              <w:spacing w:after="0" w:line="240" w:lineRule="auto"/>
              <w:jc w:val="right"/>
              <w:rPr>
                <w:rFonts w:eastAsia="Times New Roman" w:cstheme="minorHAnsi"/>
                <w:color w:val="000000"/>
                <w:sz w:val="20"/>
                <w:szCs w:val="20"/>
                <w:lang w:eastAsia="en-NZ"/>
              </w:rPr>
            </w:pPr>
            <w:r w:rsidRPr="001244BB">
              <w:rPr>
                <w:rFonts w:eastAsia="Times New Roman" w:cstheme="minorHAnsi"/>
                <w:color w:val="000000"/>
                <w:sz w:val="20"/>
                <w:szCs w:val="20"/>
                <w:lang w:eastAsia="en-NZ"/>
              </w:rPr>
              <w:t xml:space="preserve">Overall vacancy rates 6.2%, </w:t>
            </w:r>
            <w:r w:rsidRPr="001244BB">
              <w:rPr>
                <w:rFonts w:eastAsia="Times New Roman" w:cstheme="minorHAnsi"/>
                <w:color w:val="000000"/>
                <w:sz w:val="20"/>
                <w:szCs w:val="20"/>
                <w:lang w:eastAsia="en-NZ"/>
              </w:rPr>
              <w:br/>
              <w:t>total supply is at 1.39 million sqm</w:t>
            </w:r>
          </w:p>
        </w:tc>
        <w:tc>
          <w:tcPr>
            <w:tcW w:w="3493" w:type="dxa"/>
            <w:shd w:val="clear" w:color="auto" w:fill="auto"/>
            <w:noWrap/>
            <w:hideMark/>
          </w:tcPr>
          <w:p w:rsidR="001D7232" w:rsidRPr="001244BB" w:rsidRDefault="00510AC5" w:rsidP="0025274D">
            <w:pPr>
              <w:spacing w:after="0" w:line="240" w:lineRule="auto"/>
              <w:rPr>
                <w:rFonts w:eastAsia="Times New Roman" w:cstheme="minorHAnsi"/>
                <w:color w:val="000000"/>
                <w:sz w:val="20"/>
                <w:szCs w:val="20"/>
                <w:lang w:eastAsia="en-NZ"/>
              </w:rPr>
            </w:pPr>
            <w:r>
              <w:rPr>
                <w:rFonts w:eastAsia="Times New Roman" w:cstheme="minorHAnsi"/>
                <w:color w:val="000000"/>
                <w:sz w:val="20"/>
                <w:szCs w:val="20"/>
                <w:lang w:eastAsia="en-NZ"/>
              </w:rPr>
              <w:t xml:space="preserve">No trend. </w:t>
            </w:r>
          </w:p>
        </w:tc>
      </w:tr>
      <w:tr w:rsidR="001D7232" w:rsidRPr="001244BB" w:rsidTr="00510AC5">
        <w:trPr>
          <w:trHeight w:val="255"/>
        </w:trPr>
        <w:tc>
          <w:tcPr>
            <w:tcW w:w="14176" w:type="dxa"/>
            <w:gridSpan w:val="8"/>
            <w:shd w:val="clear" w:color="auto" w:fill="FDE9D9" w:themeFill="accent6" w:themeFillTint="33"/>
            <w:hideMark/>
          </w:tcPr>
          <w:p w:rsidR="001D7232" w:rsidRPr="001244BB" w:rsidRDefault="001D7232" w:rsidP="0025274D">
            <w:pPr>
              <w:spacing w:after="0" w:line="240" w:lineRule="auto"/>
              <w:rPr>
                <w:rFonts w:eastAsia="Times New Roman" w:cstheme="minorHAnsi"/>
                <w:sz w:val="20"/>
                <w:szCs w:val="20"/>
                <w:lang w:eastAsia="en-NZ"/>
              </w:rPr>
            </w:pPr>
            <w:r w:rsidRPr="001244BB">
              <w:rPr>
                <w:rFonts w:eastAsia="Times New Roman" w:cstheme="minorHAnsi"/>
                <w:b/>
                <w:bCs/>
                <w:i/>
                <w:iCs/>
                <w:sz w:val="20"/>
                <w:szCs w:val="20"/>
                <w:lang w:eastAsia="en-NZ"/>
              </w:rPr>
              <w:t>Economic performance</w:t>
            </w:r>
          </w:p>
        </w:tc>
      </w:tr>
      <w:tr w:rsidR="001D7232" w:rsidRPr="001244BB" w:rsidTr="00510AC5">
        <w:trPr>
          <w:trHeight w:val="1755"/>
        </w:trPr>
        <w:tc>
          <w:tcPr>
            <w:tcW w:w="2553" w:type="dxa"/>
            <w:shd w:val="clear" w:color="auto" w:fill="auto"/>
            <w:hideMark/>
          </w:tcPr>
          <w:p w:rsidR="001D7232" w:rsidRPr="001244BB" w:rsidRDefault="001D7232" w:rsidP="0025274D">
            <w:pPr>
              <w:spacing w:after="0" w:line="240" w:lineRule="auto"/>
              <w:rPr>
                <w:rFonts w:eastAsia="Times New Roman" w:cstheme="minorHAnsi"/>
                <w:sz w:val="20"/>
                <w:szCs w:val="20"/>
                <w:lang w:eastAsia="en-NZ"/>
              </w:rPr>
            </w:pPr>
            <w:r w:rsidRPr="001244BB">
              <w:rPr>
                <w:rFonts w:eastAsia="Times New Roman" w:cstheme="minorHAnsi"/>
                <w:sz w:val="20"/>
                <w:szCs w:val="20"/>
                <w:lang w:eastAsia="en-NZ"/>
              </w:rPr>
              <w:t>Labour force participation – this indicator measures the proportion of the working-age population that is in the labour force. The labour force includes all people who are either employed, or unemployed and looking for work.</w:t>
            </w:r>
          </w:p>
        </w:tc>
        <w:tc>
          <w:tcPr>
            <w:tcW w:w="1273" w:type="dxa"/>
            <w:shd w:val="clear" w:color="auto" w:fill="auto"/>
            <w:noWrap/>
            <w:hideMark/>
          </w:tcPr>
          <w:p w:rsidR="001D7232" w:rsidRPr="001244BB" w:rsidRDefault="001D7232" w:rsidP="0025274D">
            <w:pPr>
              <w:spacing w:after="0" w:line="240" w:lineRule="auto"/>
              <w:rPr>
                <w:rFonts w:eastAsia="Times New Roman" w:cstheme="minorHAnsi"/>
                <w:color w:val="000000"/>
                <w:sz w:val="20"/>
                <w:szCs w:val="20"/>
                <w:lang w:eastAsia="en-NZ"/>
              </w:rPr>
            </w:pPr>
            <w:r w:rsidRPr="001244BB">
              <w:rPr>
                <w:rFonts w:eastAsia="Times New Roman" w:cstheme="minorHAnsi"/>
                <w:color w:val="000000"/>
                <w:sz w:val="20"/>
                <w:szCs w:val="20"/>
                <w:lang w:eastAsia="en-NZ"/>
              </w:rPr>
              <w:t>Increasing</w:t>
            </w:r>
          </w:p>
        </w:tc>
        <w:tc>
          <w:tcPr>
            <w:tcW w:w="1703" w:type="dxa"/>
            <w:shd w:val="clear" w:color="auto" w:fill="auto"/>
            <w:noWrap/>
            <w:hideMark/>
          </w:tcPr>
          <w:p w:rsidR="001D7232" w:rsidRPr="001244BB" w:rsidRDefault="001D7232" w:rsidP="0025274D">
            <w:pPr>
              <w:spacing w:after="0" w:line="240" w:lineRule="auto"/>
              <w:rPr>
                <w:rFonts w:eastAsia="Times New Roman" w:cstheme="minorHAnsi"/>
                <w:color w:val="000000"/>
                <w:sz w:val="20"/>
                <w:szCs w:val="20"/>
                <w:lang w:eastAsia="en-NZ"/>
              </w:rPr>
            </w:pPr>
            <w:r w:rsidRPr="001244BB">
              <w:rPr>
                <w:rFonts w:eastAsia="Times New Roman" w:cstheme="minorHAnsi"/>
                <w:color w:val="000000"/>
                <w:sz w:val="20"/>
                <w:szCs w:val="20"/>
                <w:lang w:eastAsia="en-NZ"/>
              </w:rPr>
              <w:t>Research - Infometrics / ProfileIDNZ</w:t>
            </w:r>
          </w:p>
        </w:tc>
        <w:tc>
          <w:tcPr>
            <w:tcW w:w="1621" w:type="dxa"/>
            <w:gridSpan w:val="2"/>
            <w:shd w:val="clear" w:color="auto" w:fill="auto"/>
            <w:hideMark/>
          </w:tcPr>
          <w:p w:rsidR="001D7232" w:rsidRPr="001244BB" w:rsidRDefault="001D7232" w:rsidP="0025274D">
            <w:pPr>
              <w:spacing w:after="0" w:line="240" w:lineRule="auto"/>
              <w:jc w:val="right"/>
              <w:rPr>
                <w:rFonts w:eastAsia="Times New Roman" w:cstheme="minorHAnsi"/>
                <w:color w:val="000000"/>
                <w:sz w:val="20"/>
                <w:szCs w:val="20"/>
                <w:lang w:eastAsia="en-NZ"/>
              </w:rPr>
            </w:pPr>
            <w:r w:rsidRPr="001244BB">
              <w:rPr>
                <w:rFonts w:eastAsia="Times New Roman" w:cstheme="minorHAnsi"/>
                <w:color w:val="000000"/>
                <w:sz w:val="20"/>
                <w:szCs w:val="20"/>
                <w:lang w:eastAsia="en-NZ"/>
              </w:rPr>
              <w:t>2016 – 160,038 filled jobs; 1.8% change</w:t>
            </w:r>
          </w:p>
        </w:tc>
        <w:tc>
          <w:tcPr>
            <w:tcW w:w="1767" w:type="dxa"/>
            <w:shd w:val="clear" w:color="auto" w:fill="auto"/>
            <w:hideMark/>
          </w:tcPr>
          <w:p w:rsidR="001D7232" w:rsidRPr="001244BB" w:rsidRDefault="001D7232" w:rsidP="0025274D">
            <w:pPr>
              <w:spacing w:after="0" w:line="240" w:lineRule="auto"/>
              <w:jc w:val="right"/>
              <w:rPr>
                <w:rFonts w:eastAsia="Times New Roman" w:cstheme="minorHAnsi"/>
                <w:color w:val="000000"/>
                <w:sz w:val="20"/>
                <w:szCs w:val="20"/>
                <w:lang w:eastAsia="en-NZ"/>
              </w:rPr>
            </w:pPr>
            <w:r w:rsidRPr="001244BB">
              <w:rPr>
                <w:rFonts w:eastAsia="Times New Roman" w:cstheme="minorHAnsi"/>
                <w:color w:val="000000"/>
                <w:sz w:val="20"/>
                <w:szCs w:val="20"/>
                <w:lang w:eastAsia="en-NZ"/>
              </w:rPr>
              <w:t>2017 - 163,866 filled jobs; 2.4% change</w:t>
            </w:r>
          </w:p>
        </w:tc>
        <w:tc>
          <w:tcPr>
            <w:tcW w:w="1766" w:type="dxa"/>
            <w:shd w:val="clear" w:color="auto" w:fill="auto"/>
            <w:noWrap/>
            <w:hideMark/>
          </w:tcPr>
          <w:p w:rsidR="001D7232" w:rsidRPr="001244BB" w:rsidRDefault="001D7232" w:rsidP="0025274D">
            <w:pPr>
              <w:spacing w:after="0" w:line="240" w:lineRule="auto"/>
              <w:jc w:val="right"/>
              <w:rPr>
                <w:rFonts w:eastAsia="Times New Roman" w:cstheme="minorHAnsi"/>
                <w:color w:val="000000"/>
                <w:sz w:val="20"/>
                <w:szCs w:val="20"/>
                <w:lang w:eastAsia="en-NZ"/>
              </w:rPr>
            </w:pPr>
            <w:r w:rsidRPr="001244BB">
              <w:rPr>
                <w:rFonts w:eastAsia="Times New Roman" w:cstheme="minorHAnsi"/>
                <w:color w:val="000000"/>
                <w:sz w:val="20"/>
                <w:szCs w:val="20"/>
                <w:lang w:eastAsia="en-NZ"/>
              </w:rPr>
              <w:t>2018 - 167,989 filled jobs; 2.5% change</w:t>
            </w:r>
          </w:p>
        </w:tc>
        <w:tc>
          <w:tcPr>
            <w:tcW w:w="3493" w:type="dxa"/>
            <w:shd w:val="clear" w:color="auto" w:fill="auto"/>
            <w:noWrap/>
            <w:hideMark/>
          </w:tcPr>
          <w:p w:rsidR="001D7232" w:rsidRPr="001244BB" w:rsidRDefault="001D7232" w:rsidP="0025274D">
            <w:pPr>
              <w:spacing w:after="0" w:line="240" w:lineRule="auto"/>
              <w:rPr>
                <w:rFonts w:eastAsia="Times New Roman" w:cstheme="minorHAnsi"/>
                <w:color w:val="000000"/>
                <w:sz w:val="20"/>
                <w:szCs w:val="20"/>
                <w:lang w:eastAsia="en-NZ"/>
              </w:rPr>
            </w:pPr>
            <w:r w:rsidRPr="001244BB">
              <w:rPr>
                <w:rFonts w:eastAsia="Times New Roman" w:cstheme="minorHAnsi"/>
                <w:color w:val="000000"/>
                <w:sz w:val="20"/>
                <w:szCs w:val="20"/>
                <w:lang w:eastAsia="en-NZ"/>
              </w:rPr>
              <w:t>Positive trend</w:t>
            </w:r>
          </w:p>
        </w:tc>
      </w:tr>
      <w:tr w:rsidR="001D7232" w:rsidRPr="001244BB" w:rsidTr="00510AC5">
        <w:trPr>
          <w:trHeight w:val="1242"/>
        </w:trPr>
        <w:tc>
          <w:tcPr>
            <w:tcW w:w="2553" w:type="dxa"/>
            <w:shd w:val="clear" w:color="auto" w:fill="auto"/>
            <w:hideMark/>
          </w:tcPr>
          <w:p w:rsidR="001D7232" w:rsidRPr="001244BB" w:rsidRDefault="00650F5B" w:rsidP="00650F5B">
            <w:pPr>
              <w:spacing w:after="0" w:line="240" w:lineRule="auto"/>
              <w:rPr>
                <w:rFonts w:eastAsia="Times New Roman" w:cstheme="minorHAnsi"/>
                <w:color w:val="000000"/>
                <w:sz w:val="20"/>
                <w:szCs w:val="20"/>
                <w:lang w:eastAsia="en-NZ"/>
              </w:rPr>
            </w:pPr>
            <w:r>
              <w:rPr>
                <w:rFonts w:eastAsia="Times New Roman" w:cstheme="minorHAnsi"/>
                <w:color w:val="000000"/>
                <w:sz w:val="20"/>
                <w:szCs w:val="20"/>
                <w:lang w:eastAsia="en-NZ"/>
              </w:rPr>
              <w:lastRenderedPageBreak/>
              <w:t>Economic diversity</w:t>
            </w:r>
          </w:p>
        </w:tc>
        <w:tc>
          <w:tcPr>
            <w:tcW w:w="1273" w:type="dxa"/>
            <w:shd w:val="clear" w:color="auto" w:fill="auto"/>
            <w:noWrap/>
            <w:hideMark/>
          </w:tcPr>
          <w:p w:rsidR="001D7232" w:rsidRPr="001244BB" w:rsidRDefault="001D7232" w:rsidP="0025274D">
            <w:pPr>
              <w:spacing w:after="0" w:line="240" w:lineRule="auto"/>
              <w:rPr>
                <w:rFonts w:eastAsia="Times New Roman" w:cstheme="minorHAnsi"/>
                <w:color w:val="000000"/>
                <w:sz w:val="20"/>
                <w:szCs w:val="20"/>
                <w:lang w:eastAsia="en-NZ"/>
              </w:rPr>
            </w:pPr>
            <w:r w:rsidRPr="001244BB">
              <w:rPr>
                <w:rFonts w:eastAsia="Times New Roman" w:cstheme="minorHAnsi"/>
                <w:color w:val="000000"/>
                <w:sz w:val="20"/>
                <w:szCs w:val="20"/>
                <w:lang w:eastAsia="en-NZ"/>
              </w:rPr>
              <w:t>Increasing</w:t>
            </w:r>
          </w:p>
        </w:tc>
        <w:tc>
          <w:tcPr>
            <w:tcW w:w="1703" w:type="dxa"/>
            <w:shd w:val="clear" w:color="auto" w:fill="auto"/>
            <w:noWrap/>
            <w:hideMark/>
          </w:tcPr>
          <w:p w:rsidR="001D7232" w:rsidRPr="001244BB" w:rsidRDefault="001D7232" w:rsidP="0025274D">
            <w:pPr>
              <w:spacing w:after="0" w:line="240" w:lineRule="auto"/>
              <w:rPr>
                <w:rFonts w:eastAsia="Times New Roman" w:cstheme="minorHAnsi"/>
                <w:color w:val="000000"/>
                <w:sz w:val="20"/>
                <w:szCs w:val="20"/>
                <w:lang w:eastAsia="en-NZ"/>
              </w:rPr>
            </w:pPr>
            <w:r w:rsidRPr="001244BB">
              <w:rPr>
                <w:rFonts w:eastAsia="Times New Roman" w:cstheme="minorHAnsi"/>
                <w:color w:val="000000"/>
                <w:sz w:val="20"/>
                <w:szCs w:val="20"/>
                <w:lang w:eastAsia="en-NZ"/>
              </w:rPr>
              <w:t>Research - Infometrics / ProfileIDNZ</w:t>
            </w:r>
          </w:p>
        </w:tc>
        <w:tc>
          <w:tcPr>
            <w:tcW w:w="1621" w:type="dxa"/>
            <w:gridSpan w:val="2"/>
            <w:shd w:val="clear" w:color="auto" w:fill="auto"/>
            <w:noWrap/>
            <w:hideMark/>
          </w:tcPr>
          <w:p w:rsidR="001D7232" w:rsidRPr="001244BB" w:rsidRDefault="001D7232" w:rsidP="0025274D">
            <w:pPr>
              <w:spacing w:after="0" w:line="240" w:lineRule="auto"/>
              <w:jc w:val="right"/>
              <w:rPr>
                <w:rFonts w:eastAsia="Times New Roman" w:cstheme="minorHAnsi"/>
                <w:color w:val="000000"/>
                <w:sz w:val="20"/>
                <w:szCs w:val="20"/>
                <w:lang w:eastAsia="en-NZ"/>
              </w:rPr>
            </w:pPr>
            <w:r w:rsidRPr="001244BB">
              <w:rPr>
                <w:rFonts w:eastAsia="Times New Roman" w:cstheme="minorHAnsi"/>
                <w:color w:val="000000"/>
                <w:sz w:val="20"/>
                <w:szCs w:val="20"/>
                <w:lang w:eastAsia="en-NZ"/>
              </w:rPr>
              <w:t>HHI: 860</w:t>
            </w:r>
          </w:p>
        </w:tc>
        <w:tc>
          <w:tcPr>
            <w:tcW w:w="1767" w:type="dxa"/>
            <w:shd w:val="clear" w:color="auto" w:fill="auto"/>
            <w:noWrap/>
            <w:hideMark/>
          </w:tcPr>
          <w:p w:rsidR="001D7232" w:rsidRPr="001244BB" w:rsidRDefault="001D7232" w:rsidP="0025274D">
            <w:pPr>
              <w:spacing w:after="0" w:line="240" w:lineRule="auto"/>
              <w:jc w:val="right"/>
              <w:rPr>
                <w:rFonts w:eastAsia="Times New Roman" w:cstheme="minorHAnsi"/>
                <w:color w:val="000000"/>
                <w:sz w:val="20"/>
                <w:szCs w:val="20"/>
                <w:lang w:eastAsia="en-NZ"/>
              </w:rPr>
            </w:pPr>
            <w:r w:rsidRPr="001244BB">
              <w:rPr>
                <w:rFonts w:eastAsia="Times New Roman" w:cstheme="minorHAnsi"/>
                <w:color w:val="000000"/>
                <w:sz w:val="20"/>
                <w:szCs w:val="20"/>
                <w:lang w:eastAsia="en-NZ"/>
              </w:rPr>
              <w:t>HHI: 861</w:t>
            </w:r>
          </w:p>
        </w:tc>
        <w:tc>
          <w:tcPr>
            <w:tcW w:w="1766" w:type="dxa"/>
            <w:shd w:val="clear" w:color="auto" w:fill="auto"/>
            <w:noWrap/>
            <w:hideMark/>
          </w:tcPr>
          <w:p w:rsidR="001D7232" w:rsidRPr="001244BB" w:rsidRDefault="001D7232" w:rsidP="0025274D">
            <w:pPr>
              <w:spacing w:after="0" w:line="240" w:lineRule="auto"/>
              <w:jc w:val="right"/>
              <w:rPr>
                <w:rFonts w:eastAsia="Times New Roman" w:cstheme="minorHAnsi"/>
                <w:color w:val="000000"/>
                <w:sz w:val="20"/>
                <w:szCs w:val="20"/>
                <w:lang w:eastAsia="en-NZ"/>
              </w:rPr>
            </w:pPr>
            <w:r w:rsidRPr="001244BB">
              <w:rPr>
                <w:rFonts w:eastAsia="Times New Roman" w:cstheme="minorHAnsi"/>
                <w:color w:val="000000"/>
                <w:sz w:val="20"/>
                <w:szCs w:val="20"/>
                <w:lang w:eastAsia="en-NZ"/>
              </w:rPr>
              <w:t>HHI: 868</w:t>
            </w:r>
          </w:p>
        </w:tc>
        <w:tc>
          <w:tcPr>
            <w:tcW w:w="3493" w:type="dxa"/>
            <w:shd w:val="clear" w:color="auto" w:fill="auto"/>
            <w:noWrap/>
            <w:hideMark/>
          </w:tcPr>
          <w:p w:rsidR="001D7232" w:rsidRPr="001244BB" w:rsidRDefault="001D7232" w:rsidP="0025274D">
            <w:pPr>
              <w:spacing w:after="0" w:line="240" w:lineRule="auto"/>
              <w:rPr>
                <w:rFonts w:eastAsia="Times New Roman" w:cstheme="minorHAnsi"/>
                <w:color w:val="000000"/>
                <w:sz w:val="20"/>
                <w:szCs w:val="20"/>
                <w:lang w:eastAsia="en-NZ"/>
              </w:rPr>
            </w:pPr>
            <w:r w:rsidRPr="00764732">
              <w:rPr>
                <w:rFonts w:eastAsia="Times New Roman" w:cstheme="minorHAnsi"/>
                <w:color w:val="000000"/>
                <w:sz w:val="20"/>
                <w:szCs w:val="20"/>
                <w:lang w:eastAsia="en-NZ"/>
              </w:rPr>
              <w:t xml:space="preserve">Herfindahl Hirschman Index (HHI) – a </w:t>
            </w:r>
            <w:r w:rsidRPr="00764732">
              <w:rPr>
                <w:rStyle w:val="e24kjd"/>
                <w:rFonts w:ascii="Arial" w:hAnsi="Arial" w:cs="Arial"/>
                <w:color w:val="222222"/>
                <w:sz w:val="20"/>
                <w:szCs w:val="20"/>
              </w:rPr>
              <w:t>commonly accepted measure of market</w:t>
            </w:r>
            <w:r>
              <w:rPr>
                <w:rStyle w:val="e24kjd"/>
                <w:rFonts w:ascii="Arial" w:hAnsi="Arial" w:cs="Arial"/>
                <w:color w:val="222222"/>
                <w:sz w:val="21"/>
                <w:szCs w:val="21"/>
              </w:rPr>
              <w:t xml:space="preserve"> </w:t>
            </w:r>
            <w:r w:rsidRPr="00764732">
              <w:rPr>
                <w:rStyle w:val="e24kjd"/>
                <w:rFonts w:ascii="Arial" w:hAnsi="Arial" w:cs="Arial"/>
                <w:color w:val="222222"/>
                <w:sz w:val="20"/>
                <w:szCs w:val="20"/>
              </w:rPr>
              <w:t>concentration.</w:t>
            </w:r>
            <w:r>
              <w:rPr>
                <w:rFonts w:eastAsia="Times New Roman" w:cstheme="minorHAnsi"/>
                <w:color w:val="000000"/>
                <w:sz w:val="20"/>
                <w:szCs w:val="20"/>
                <w:lang w:eastAsia="en-NZ"/>
              </w:rPr>
              <w:t xml:space="preserve"> </w:t>
            </w:r>
            <w:r w:rsidRPr="001244BB">
              <w:rPr>
                <w:rFonts w:eastAsia="Times New Roman" w:cstheme="minorHAnsi"/>
                <w:color w:val="000000"/>
                <w:sz w:val="20"/>
                <w:szCs w:val="20"/>
                <w:lang w:eastAsia="en-NZ"/>
              </w:rPr>
              <w:t xml:space="preserve">The general rule is that if the index is less than 1,500 the concentration is low.  </w:t>
            </w:r>
            <w:r>
              <w:rPr>
                <w:rFonts w:eastAsia="Times New Roman" w:cstheme="minorHAnsi"/>
                <w:color w:val="000000"/>
                <w:sz w:val="20"/>
                <w:szCs w:val="20"/>
                <w:lang w:eastAsia="en-NZ"/>
              </w:rPr>
              <w:br/>
            </w:r>
            <w:r w:rsidRPr="001244BB">
              <w:rPr>
                <w:rFonts w:eastAsia="Times New Roman" w:cstheme="minorHAnsi"/>
                <w:color w:val="000000"/>
                <w:sz w:val="20"/>
                <w:szCs w:val="20"/>
                <w:lang w:eastAsia="en-NZ"/>
              </w:rPr>
              <w:t xml:space="preserve">The </w:t>
            </w:r>
            <w:r>
              <w:rPr>
                <w:rFonts w:eastAsia="Times New Roman" w:cstheme="minorHAnsi"/>
                <w:color w:val="000000"/>
                <w:sz w:val="20"/>
                <w:szCs w:val="20"/>
                <w:lang w:eastAsia="en-NZ"/>
              </w:rPr>
              <w:t>index</w:t>
            </w:r>
            <w:r w:rsidRPr="001244BB">
              <w:rPr>
                <w:rFonts w:eastAsia="Times New Roman" w:cstheme="minorHAnsi"/>
                <w:color w:val="000000"/>
                <w:sz w:val="20"/>
                <w:szCs w:val="20"/>
                <w:lang w:eastAsia="en-NZ"/>
              </w:rPr>
              <w:t xml:space="preserve"> is indicating that Wellington City has a low level of economic concentration</w:t>
            </w:r>
            <w:r w:rsidR="00FA5A13">
              <w:rPr>
                <w:rFonts w:eastAsia="Times New Roman" w:cstheme="minorHAnsi"/>
                <w:color w:val="000000"/>
                <w:sz w:val="20"/>
                <w:szCs w:val="20"/>
                <w:lang w:eastAsia="en-NZ"/>
              </w:rPr>
              <w:t>.</w:t>
            </w:r>
            <w:r w:rsidRPr="001244BB">
              <w:rPr>
                <w:rFonts w:eastAsia="Times New Roman" w:cstheme="minorHAnsi"/>
                <w:color w:val="000000"/>
                <w:sz w:val="20"/>
                <w:szCs w:val="20"/>
                <w:lang w:eastAsia="en-NZ"/>
              </w:rPr>
              <w:t xml:space="preserve"> </w:t>
            </w:r>
          </w:p>
        </w:tc>
      </w:tr>
      <w:tr w:rsidR="001D7232" w:rsidRPr="001244BB" w:rsidTr="00510AC5">
        <w:trPr>
          <w:trHeight w:val="861"/>
        </w:trPr>
        <w:tc>
          <w:tcPr>
            <w:tcW w:w="2553" w:type="dxa"/>
            <w:shd w:val="clear" w:color="auto" w:fill="auto"/>
            <w:hideMark/>
          </w:tcPr>
          <w:p w:rsidR="001D7232" w:rsidRPr="001244BB" w:rsidRDefault="001D7232" w:rsidP="0025274D">
            <w:pPr>
              <w:spacing w:after="0" w:line="240" w:lineRule="auto"/>
              <w:rPr>
                <w:rFonts w:eastAsia="Times New Roman" w:cstheme="minorHAnsi"/>
                <w:color w:val="000000"/>
                <w:sz w:val="20"/>
                <w:szCs w:val="20"/>
                <w:lang w:eastAsia="en-NZ"/>
              </w:rPr>
            </w:pPr>
            <w:r w:rsidRPr="001244BB">
              <w:rPr>
                <w:rFonts w:eastAsia="Times New Roman" w:cstheme="minorHAnsi"/>
                <w:color w:val="000000"/>
                <w:sz w:val="20"/>
                <w:szCs w:val="20"/>
                <w:lang w:eastAsia="en-NZ"/>
              </w:rPr>
              <w:t>Proportion of jobs in smart, knowledge-intensive industries</w:t>
            </w:r>
          </w:p>
        </w:tc>
        <w:tc>
          <w:tcPr>
            <w:tcW w:w="1273" w:type="dxa"/>
            <w:shd w:val="clear" w:color="auto" w:fill="auto"/>
            <w:noWrap/>
            <w:hideMark/>
          </w:tcPr>
          <w:p w:rsidR="001D7232" w:rsidRPr="001244BB" w:rsidRDefault="001D7232" w:rsidP="0025274D">
            <w:pPr>
              <w:spacing w:after="0" w:line="240" w:lineRule="auto"/>
              <w:rPr>
                <w:rFonts w:eastAsia="Times New Roman" w:cstheme="minorHAnsi"/>
                <w:color w:val="000000"/>
                <w:sz w:val="20"/>
                <w:szCs w:val="20"/>
                <w:lang w:eastAsia="en-NZ"/>
              </w:rPr>
            </w:pPr>
            <w:r w:rsidRPr="001244BB">
              <w:rPr>
                <w:rFonts w:eastAsia="Times New Roman" w:cstheme="minorHAnsi"/>
                <w:color w:val="000000"/>
                <w:sz w:val="20"/>
                <w:szCs w:val="20"/>
                <w:lang w:eastAsia="en-NZ"/>
              </w:rPr>
              <w:t>Increasing</w:t>
            </w:r>
          </w:p>
        </w:tc>
        <w:tc>
          <w:tcPr>
            <w:tcW w:w="1703" w:type="dxa"/>
            <w:shd w:val="clear" w:color="auto" w:fill="auto"/>
            <w:noWrap/>
            <w:hideMark/>
          </w:tcPr>
          <w:p w:rsidR="001D7232" w:rsidRPr="001244BB" w:rsidRDefault="001D7232" w:rsidP="0025274D">
            <w:pPr>
              <w:spacing w:after="0" w:line="240" w:lineRule="auto"/>
              <w:rPr>
                <w:rFonts w:eastAsia="Times New Roman" w:cstheme="minorHAnsi"/>
                <w:color w:val="000000"/>
                <w:sz w:val="20"/>
                <w:szCs w:val="20"/>
                <w:lang w:eastAsia="en-NZ"/>
              </w:rPr>
            </w:pPr>
            <w:r w:rsidRPr="001244BB">
              <w:rPr>
                <w:rFonts w:eastAsia="Times New Roman" w:cstheme="minorHAnsi"/>
                <w:color w:val="000000"/>
                <w:sz w:val="20"/>
                <w:szCs w:val="20"/>
                <w:lang w:eastAsia="en-NZ"/>
              </w:rPr>
              <w:t>Research - Infometrics / ProfileIDNZ</w:t>
            </w:r>
          </w:p>
        </w:tc>
        <w:tc>
          <w:tcPr>
            <w:tcW w:w="1621" w:type="dxa"/>
            <w:gridSpan w:val="2"/>
            <w:shd w:val="clear" w:color="auto" w:fill="auto"/>
            <w:hideMark/>
          </w:tcPr>
          <w:p w:rsidR="001D7232" w:rsidRPr="001244BB" w:rsidRDefault="001D7232" w:rsidP="0025274D">
            <w:pPr>
              <w:spacing w:after="0" w:line="240" w:lineRule="auto"/>
              <w:jc w:val="right"/>
              <w:rPr>
                <w:rFonts w:eastAsia="Times New Roman" w:cstheme="minorHAnsi"/>
                <w:color w:val="000000"/>
                <w:sz w:val="20"/>
                <w:szCs w:val="20"/>
                <w:lang w:eastAsia="en-NZ"/>
              </w:rPr>
            </w:pPr>
            <w:r w:rsidRPr="001244BB">
              <w:rPr>
                <w:rFonts w:cstheme="minorHAnsi"/>
                <w:sz w:val="20"/>
                <w:szCs w:val="20"/>
              </w:rPr>
              <w:t>2016 - 89,225 jobs in Wellington: 56% NZ: 32%</w:t>
            </w:r>
          </w:p>
        </w:tc>
        <w:tc>
          <w:tcPr>
            <w:tcW w:w="1767" w:type="dxa"/>
            <w:shd w:val="clear" w:color="auto" w:fill="auto"/>
            <w:hideMark/>
          </w:tcPr>
          <w:p w:rsidR="001D7232" w:rsidRPr="001244BB" w:rsidRDefault="001D7232" w:rsidP="0025274D">
            <w:pPr>
              <w:spacing w:after="0" w:line="240" w:lineRule="auto"/>
              <w:jc w:val="right"/>
              <w:rPr>
                <w:rFonts w:eastAsia="Times New Roman" w:cstheme="minorHAnsi"/>
                <w:color w:val="000000"/>
                <w:sz w:val="20"/>
                <w:szCs w:val="20"/>
                <w:lang w:eastAsia="en-NZ"/>
              </w:rPr>
            </w:pPr>
            <w:r w:rsidRPr="001244BB">
              <w:rPr>
                <w:rFonts w:cstheme="minorHAnsi"/>
                <w:sz w:val="20"/>
                <w:szCs w:val="20"/>
              </w:rPr>
              <w:t xml:space="preserve">2017 - 91,346 jobs in Wellington: 56%, NZ: 32% </w:t>
            </w:r>
          </w:p>
        </w:tc>
        <w:tc>
          <w:tcPr>
            <w:tcW w:w="1766" w:type="dxa"/>
            <w:shd w:val="clear" w:color="auto" w:fill="auto"/>
            <w:noWrap/>
            <w:hideMark/>
          </w:tcPr>
          <w:p w:rsidR="001D7232" w:rsidRPr="001244BB" w:rsidRDefault="001D7232" w:rsidP="0025274D">
            <w:pPr>
              <w:spacing w:after="0" w:line="240" w:lineRule="auto"/>
              <w:jc w:val="right"/>
              <w:rPr>
                <w:rFonts w:eastAsia="Times New Roman" w:cstheme="minorHAnsi"/>
                <w:color w:val="000000"/>
                <w:sz w:val="20"/>
                <w:szCs w:val="20"/>
                <w:lang w:eastAsia="en-NZ"/>
              </w:rPr>
            </w:pPr>
            <w:r w:rsidRPr="001244BB">
              <w:rPr>
                <w:rFonts w:cstheme="minorHAnsi"/>
                <w:sz w:val="20"/>
                <w:szCs w:val="20"/>
              </w:rPr>
              <w:t xml:space="preserve">2018 - 93,705 jobs in Wellington: 56% NZ: 32% </w:t>
            </w:r>
          </w:p>
        </w:tc>
        <w:tc>
          <w:tcPr>
            <w:tcW w:w="3493" w:type="dxa"/>
            <w:shd w:val="clear" w:color="auto" w:fill="auto"/>
            <w:noWrap/>
            <w:hideMark/>
          </w:tcPr>
          <w:p w:rsidR="001D7232" w:rsidRPr="001244BB" w:rsidRDefault="001D7232" w:rsidP="0025274D">
            <w:pPr>
              <w:spacing w:after="0" w:line="240" w:lineRule="auto"/>
              <w:rPr>
                <w:rFonts w:eastAsia="Times New Roman" w:cstheme="minorHAnsi"/>
                <w:color w:val="000000"/>
                <w:sz w:val="20"/>
                <w:szCs w:val="20"/>
                <w:lang w:eastAsia="en-NZ"/>
              </w:rPr>
            </w:pPr>
            <w:r w:rsidRPr="001244BB">
              <w:rPr>
                <w:rFonts w:eastAsia="Times New Roman" w:cstheme="minorHAnsi"/>
                <w:color w:val="000000"/>
                <w:sz w:val="20"/>
                <w:szCs w:val="20"/>
                <w:lang w:eastAsia="en-NZ"/>
              </w:rPr>
              <w:t xml:space="preserve">Proportion of the total Wellington City job market as number of jobs and percentage. Also compared to NZ. </w:t>
            </w:r>
          </w:p>
        </w:tc>
      </w:tr>
      <w:tr w:rsidR="001D7232" w:rsidRPr="001244BB" w:rsidTr="00510AC5">
        <w:trPr>
          <w:trHeight w:val="395"/>
        </w:trPr>
        <w:tc>
          <w:tcPr>
            <w:tcW w:w="2553" w:type="dxa"/>
            <w:shd w:val="clear" w:color="auto" w:fill="auto"/>
            <w:hideMark/>
          </w:tcPr>
          <w:p w:rsidR="001D7232" w:rsidRPr="001244BB" w:rsidRDefault="001D7232" w:rsidP="0025274D">
            <w:pPr>
              <w:spacing w:after="0" w:line="240" w:lineRule="auto"/>
              <w:rPr>
                <w:rFonts w:eastAsia="Times New Roman" w:cstheme="minorHAnsi"/>
                <w:color w:val="000000"/>
                <w:sz w:val="20"/>
                <w:szCs w:val="20"/>
                <w:lang w:eastAsia="en-NZ"/>
              </w:rPr>
            </w:pPr>
            <w:r w:rsidRPr="001244BB">
              <w:rPr>
                <w:rFonts w:eastAsia="Times New Roman" w:cstheme="minorHAnsi"/>
                <w:color w:val="000000"/>
                <w:sz w:val="20"/>
                <w:szCs w:val="20"/>
                <w:lang w:eastAsia="en-NZ"/>
              </w:rPr>
              <w:t>Unemployment rate – Wellington and New Zealand</w:t>
            </w:r>
          </w:p>
        </w:tc>
        <w:tc>
          <w:tcPr>
            <w:tcW w:w="1273" w:type="dxa"/>
            <w:shd w:val="clear" w:color="auto" w:fill="auto"/>
            <w:noWrap/>
            <w:hideMark/>
          </w:tcPr>
          <w:p w:rsidR="001D7232" w:rsidRPr="001244BB" w:rsidRDefault="001D7232" w:rsidP="0025274D">
            <w:pPr>
              <w:spacing w:after="0" w:line="240" w:lineRule="auto"/>
              <w:rPr>
                <w:rFonts w:eastAsia="Times New Roman" w:cstheme="minorHAnsi"/>
                <w:color w:val="000000"/>
                <w:sz w:val="20"/>
                <w:szCs w:val="20"/>
                <w:lang w:eastAsia="en-NZ"/>
              </w:rPr>
            </w:pPr>
            <w:r w:rsidRPr="001244BB">
              <w:rPr>
                <w:rFonts w:eastAsia="Times New Roman" w:cstheme="minorHAnsi"/>
                <w:color w:val="000000"/>
                <w:sz w:val="20"/>
                <w:szCs w:val="20"/>
                <w:lang w:eastAsia="en-NZ"/>
              </w:rPr>
              <w:t>Decreasing</w:t>
            </w:r>
          </w:p>
        </w:tc>
        <w:tc>
          <w:tcPr>
            <w:tcW w:w="1703" w:type="dxa"/>
            <w:shd w:val="clear" w:color="auto" w:fill="auto"/>
            <w:noWrap/>
            <w:hideMark/>
          </w:tcPr>
          <w:p w:rsidR="001D7232" w:rsidRPr="001244BB" w:rsidRDefault="001D7232" w:rsidP="0025274D">
            <w:pPr>
              <w:spacing w:after="0" w:line="240" w:lineRule="auto"/>
              <w:rPr>
                <w:rFonts w:eastAsia="Times New Roman" w:cstheme="minorHAnsi"/>
                <w:color w:val="000000"/>
                <w:sz w:val="20"/>
                <w:szCs w:val="20"/>
                <w:lang w:eastAsia="en-NZ"/>
              </w:rPr>
            </w:pPr>
            <w:r w:rsidRPr="001244BB">
              <w:rPr>
                <w:rFonts w:eastAsia="Times New Roman" w:cstheme="minorHAnsi"/>
                <w:color w:val="000000"/>
                <w:sz w:val="20"/>
                <w:szCs w:val="20"/>
                <w:lang w:eastAsia="en-NZ"/>
              </w:rPr>
              <w:t>Research - Infometrics / ProfileIDNZ</w:t>
            </w:r>
          </w:p>
        </w:tc>
        <w:tc>
          <w:tcPr>
            <w:tcW w:w="1621" w:type="dxa"/>
            <w:gridSpan w:val="2"/>
            <w:shd w:val="clear" w:color="auto" w:fill="auto"/>
          </w:tcPr>
          <w:p w:rsidR="001D7232" w:rsidRPr="001244BB" w:rsidRDefault="001D7232" w:rsidP="00FA5A13">
            <w:pPr>
              <w:spacing w:after="0" w:line="240" w:lineRule="auto"/>
              <w:jc w:val="right"/>
              <w:rPr>
                <w:rFonts w:eastAsia="Times New Roman" w:cstheme="minorHAnsi"/>
                <w:color w:val="000000"/>
                <w:sz w:val="20"/>
                <w:szCs w:val="20"/>
                <w:lang w:eastAsia="en-NZ"/>
              </w:rPr>
            </w:pPr>
            <w:r w:rsidRPr="001244BB">
              <w:rPr>
                <w:rFonts w:eastAsia="Times New Roman" w:cstheme="minorHAnsi"/>
                <w:color w:val="000000"/>
                <w:sz w:val="20"/>
                <w:szCs w:val="20"/>
                <w:lang w:eastAsia="en-NZ"/>
              </w:rPr>
              <w:t>2016 - Wellington5.1%; NZ 5.3%</w:t>
            </w:r>
          </w:p>
        </w:tc>
        <w:tc>
          <w:tcPr>
            <w:tcW w:w="1767" w:type="dxa"/>
            <w:shd w:val="clear" w:color="auto" w:fill="auto"/>
          </w:tcPr>
          <w:p w:rsidR="001D7232" w:rsidRPr="001244BB" w:rsidRDefault="001D7232" w:rsidP="00FA5A13">
            <w:pPr>
              <w:spacing w:after="0" w:line="240" w:lineRule="auto"/>
              <w:jc w:val="right"/>
              <w:rPr>
                <w:rFonts w:eastAsia="Times New Roman" w:cstheme="minorHAnsi"/>
                <w:color w:val="000000"/>
                <w:sz w:val="20"/>
                <w:szCs w:val="20"/>
                <w:lang w:eastAsia="en-NZ"/>
              </w:rPr>
            </w:pPr>
            <w:r w:rsidRPr="001244BB">
              <w:rPr>
                <w:rFonts w:eastAsia="Times New Roman" w:cstheme="minorHAnsi"/>
                <w:color w:val="000000"/>
                <w:sz w:val="20"/>
                <w:szCs w:val="20"/>
                <w:lang w:eastAsia="en-NZ"/>
              </w:rPr>
              <w:t>2017 - Wellington4.7%; NZ 5.0%</w:t>
            </w:r>
          </w:p>
        </w:tc>
        <w:tc>
          <w:tcPr>
            <w:tcW w:w="1766" w:type="dxa"/>
            <w:shd w:val="clear" w:color="auto" w:fill="auto"/>
            <w:noWrap/>
            <w:hideMark/>
          </w:tcPr>
          <w:p w:rsidR="001D7232" w:rsidRPr="001244BB" w:rsidRDefault="001D7232" w:rsidP="0025274D">
            <w:pPr>
              <w:spacing w:after="0" w:line="240" w:lineRule="auto"/>
              <w:jc w:val="right"/>
              <w:rPr>
                <w:rFonts w:eastAsia="Times New Roman" w:cstheme="minorHAnsi"/>
                <w:color w:val="000000"/>
                <w:sz w:val="20"/>
                <w:szCs w:val="20"/>
                <w:lang w:eastAsia="en-NZ"/>
              </w:rPr>
            </w:pPr>
            <w:r w:rsidRPr="001244BB">
              <w:rPr>
                <w:rFonts w:eastAsia="Times New Roman" w:cstheme="minorHAnsi"/>
                <w:color w:val="000000"/>
                <w:sz w:val="20"/>
                <w:szCs w:val="20"/>
                <w:lang w:eastAsia="en-NZ"/>
              </w:rPr>
              <w:t>2018 - Wellington 4.2%; NZ 4.6%</w:t>
            </w:r>
          </w:p>
        </w:tc>
        <w:tc>
          <w:tcPr>
            <w:tcW w:w="3493" w:type="dxa"/>
            <w:shd w:val="clear" w:color="auto" w:fill="auto"/>
            <w:noWrap/>
            <w:hideMark/>
          </w:tcPr>
          <w:p w:rsidR="001D7232" w:rsidRPr="001244BB" w:rsidRDefault="001D7232" w:rsidP="0025274D">
            <w:pPr>
              <w:spacing w:after="0" w:line="240" w:lineRule="auto"/>
              <w:rPr>
                <w:rFonts w:eastAsia="Times New Roman" w:cstheme="minorHAnsi"/>
                <w:color w:val="000000"/>
                <w:sz w:val="20"/>
                <w:szCs w:val="20"/>
                <w:lang w:eastAsia="en-NZ"/>
              </w:rPr>
            </w:pPr>
            <w:r w:rsidRPr="001244BB">
              <w:rPr>
                <w:rFonts w:eastAsia="Times New Roman" w:cstheme="minorHAnsi"/>
                <w:color w:val="000000"/>
                <w:sz w:val="20"/>
                <w:szCs w:val="20"/>
                <w:lang w:eastAsia="en-NZ"/>
              </w:rPr>
              <w:t>Positive trend</w:t>
            </w:r>
          </w:p>
        </w:tc>
      </w:tr>
      <w:tr w:rsidR="001D7232" w:rsidRPr="001244BB" w:rsidTr="00510AC5">
        <w:trPr>
          <w:trHeight w:val="818"/>
        </w:trPr>
        <w:tc>
          <w:tcPr>
            <w:tcW w:w="2553" w:type="dxa"/>
            <w:shd w:val="clear" w:color="auto" w:fill="auto"/>
            <w:hideMark/>
          </w:tcPr>
          <w:p w:rsidR="001D7232" w:rsidRPr="001244BB" w:rsidRDefault="001D7232" w:rsidP="0025274D">
            <w:pPr>
              <w:spacing w:after="0" w:line="240" w:lineRule="auto"/>
              <w:rPr>
                <w:rFonts w:eastAsia="Times New Roman" w:cstheme="minorHAnsi"/>
                <w:color w:val="000000"/>
                <w:sz w:val="20"/>
                <w:szCs w:val="20"/>
                <w:lang w:eastAsia="en-NZ"/>
              </w:rPr>
            </w:pPr>
            <w:r w:rsidRPr="001244BB">
              <w:rPr>
                <w:rFonts w:eastAsia="Times New Roman" w:cstheme="minorHAnsi"/>
                <w:color w:val="000000"/>
                <w:sz w:val="20"/>
                <w:szCs w:val="20"/>
                <w:lang w:eastAsia="en-NZ"/>
              </w:rPr>
              <w:t>Access to,  fibre broadband</w:t>
            </w:r>
          </w:p>
        </w:tc>
        <w:tc>
          <w:tcPr>
            <w:tcW w:w="1273" w:type="dxa"/>
            <w:shd w:val="clear" w:color="auto" w:fill="auto"/>
            <w:noWrap/>
            <w:hideMark/>
          </w:tcPr>
          <w:p w:rsidR="001D7232" w:rsidRPr="001244BB" w:rsidRDefault="001D7232" w:rsidP="0025274D">
            <w:pPr>
              <w:spacing w:after="0" w:line="240" w:lineRule="auto"/>
              <w:rPr>
                <w:rFonts w:eastAsia="Times New Roman" w:cstheme="minorHAnsi"/>
                <w:color w:val="000000"/>
                <w:sz w:val="20"/>
                <w:szCs w:val="20"/>
                <w:lang w:eastAsia="en-NZ"/>
              </w:rPr>
            </w:pPr>
            <w:r w:rsidRPr="001244BB">
              <w:rPr>
                <w:rFonts w:eastAsia="Times New Roman" w:cstheme="minorHAnsi"/>
                <w:color w:val="000000"/>
                <w:sz w:val="20"/>
                <w:szCs w:val="20"/>
                <w:lang w:eastAsia="en-NZ"/>
              </w:rPr>
              <w:t>Increasing</w:t>
            </w:r>
          </w:p>
        </w:tc>
        <w:tc>
          <w:tcPr>
            <w:tcW w:w="1703" w:type="dxa"/>
            <w:shd w:val="clear" w:color="auto" w:fill="auto"/>
            <w:noWrap/>
            <w:hideMark/>
          </w:tcPr>
          <w:p w:rsidR="001D7232" w:rsidRPr="001244BB" w:rsidRDefault="001D7232" w:rsidP="0025274D">
            <w:pPr>
              <w:spacing w:after="0" w:line="240" w:lineRule="auto"/>
              <w:rPr>
                <w:rFonts w:eastAsia="Times New Roman" w:cstheme="minorHAnsi"/>
                <w:color w:val="000000"/>
                <w:sz w:val="20"/>
                <w:szCs w:val="20"/>
                <w:lang w:eastAsia="en-NZ"/>
              </w:rPr>
            </w:pPr>
            <w:r w:rsidRPr="001244BB">
              <w:rPr>
                <w:rFonts w:eastAsia="Times New Roman" w:cstheme="minorHAnsi"/>
                <w:color w:val="000000"/>
                <w:sz w:val="20"/>
                <w:szCs w:val="20"/>
                <w:lang w:eastAsia="en-NZ"/>
              </w:rPr>
              <w:t>Research - MBIE</w:t>
            </w:r>
          </w:p>
        </w:tc>
        <w:tc>
          <w:tcPr>
            <w:tcW w:w="1621" w:type="dxa"/>
            <w:gridSpan w:val="2"/>
            <w:shd w:val="clear" w:color="auto" w:fill="auto"/>
            <w:noWrap/>
            <w:hideMark/>
          </w:tcPr>
          <w:p w:rsidR="001D7232" w:rsidRPr="001244BB" w:rsidRDefault="001D7232" w:rsidP="0025274D">
            <w:pPr>
              <w:spacing w:after="0" w:line="240" w:lineRule="auto"/>
              <w:jc w:val="right"/>
              <w:rPr>
                <w:rFonts w:eastAsia="Times New Roman" w:cstheme="minorHAnsi"/>
                <w:color w:val="000000"/>
                <w:sz w:val="20"/>
                <w:szCs w:val="20"/>
                <w:lang w:eastAsia="en-NZ"/>
              </w:rPr>
            </w:pPr>
            <w:r w:rsidRPr="001244BB">
              <w:rPr>
                <w:rFonts w:eastAsia="Times New Roman" w:cstheme="minorHAnsi"/>
                <w:color w:val="000000"/>
                <w:sz w:val="20"/>
                <w:szCs w:val="20"/>
                <w:lang w:eastAsia="en-NZ"/>
              </w:rPr>
              <w:t xml:space="preserve">As at June 2017, 119,464 users can connect </w:t>
            </w:r>
          </w:p>
        </w:tc>
        <w:tc>
          <w:tcPr>
            <w:tcW w:w="1767" w:type="dxa"/>
            <w:shd w:val="clear" w:color="auto" w:fill="auto"/>
            <w:hideMark/>
          </w:tcPr>
          <w:p w:rsidR="001D7232" w:rsidRPr="001244BB" w:rsidRDefault="001D7232" w:rsidP="0025274D">
            <w:pPr>
              <w:spacing w:after="0" w:line="240" w:lineRule="auto"/>
              <w:jc w:val="right"/>
              <w:rPr>
                <w:rFonts w:eastAsia="Times New Roman" w:cstheme="minorHAnsi"/>
                <w:color w:val="000000"/>
                <w:sz w:val="20"/>
                <w:szCs w:val="20"/>
                <w:lang w:eastAsia="en-NZ"/>
              </w:rPr>
            </w:pPr>
            <w:r w:rsidRPr="001244BB">
              <w:rPr>
                <w:rFonts w:eastAsia="Times New Roman" w:cstheme="minorHAnsi"/>
                <w:color w:val="000000"/>
                <w:sz w:val="20"/>
                <w:szCs w:val="20"/>
                <w:lang w:eastAsia="en-NZ"/>
              </w:rPr>
              <w:t xml:space="preserve">As at June 2018, 147,144 users can connect </w:t>
            </w:r>
          </w:p>
        </w:tc>
        <w:tc>
          <w:tcPr>
            <w:tcW w:w="1766" w:type="dxa"/>
            <w:shd w:val="clear" w:color="auto" w:fill="auto"/>
            <w:hideMark/>
          </w:tcPr>
          <w:p w:rsidR="001D7232" w:rsidRPr="001244BB" w:rsidRDefault="001D7232" w:rsidP="0025274D">
            <w:pPr>
              <w:spacing w:after="0" w:line="240" w:lineRule="auto"/>
              <w:jc w:val="right"/>
              <w:rPr>
                <w:rFonts w:eastAsia="Times New Roman" w:cstheme="minorHAnsi"/>
                <w:color w:val="000000"/>
                <w:sz w:val="20"/>
                <w:szCs w:val="20"/>
                <w:lang w:eastAsia="en-NZ"/>
              </w:rPr>
            </w:pPr>
            <w:r w:rsidRPr="001244BB">
              <w:rPr>
                <w:rFonts w:eastAsia="Times New Roman" w:cstheme="minorHAnsi"/>
                <w:color w:val="000000"/>
                <w:sz w:val="20"/>
                <w:szCs w:val="20"/>
                <w:lang w:eastAsia="en-NZ"/>
              </w:rPr>
              <w:t>As at March 2019, 158,636 users can connect</w:t>
            </w:r>
          </w:p>
        </w:tc>
        <w:tc>
          <w:tcPr>
            <w:tcW w:w="3493" w:type="dxa"/>
            <w:shd w:val="clear" w:color="auto" w:fill="auto"/>
            <w:noWrap/>
            <w:hideMark/>
          </w:tcPr>
          <w:p w:rsidR="001D7232" w:rsidRPr="001244BB" w:rsidRDefault="001D7232" w:rsidP="0025274D">
            <w:pPr>
              <w:spacing w:after="0" w:line="240" w:lineRule="auto"/>
              <w:rPr>
                <w:rFonts w:eastAsia="Times New Roman" w:cstheme="minorHAnsi"/>
                <w:color w:val="000000"/>
                <w:sz w:val="20"/>
                <w:szCs w:val="20"/>
                <w:lang w:eastAsia="en-NZ"/>
              </w:rPr>
            </w:pPr>
            <w:r w:rsidRPr="001244BB">
              <w:rPr>
                <w:rFonts w:eastAsia="Times New Roman" w:cstheme="minorHAnsi"/>
                <w:color w:val="000000"/>
                <w:sz w:val="20"/>
                <w:szCs w:val="20"/>
                <w:lang w:eastAsia="en-NZ"/>
              </w:rPr>
              <w:t>Positive trend.</w:t>
            </w:r>
          </w:p>
        </w:tc>
      </w:tr>
      <w:tr w:rsidR="001D7232" w:rsidRPr="001244BB" w:rsidTr="00510AC5">
        <w:trPr>
          <w:trHeight w:val="818"/>
        </w:trPr>
        <w:tc>
          <w:tcPr>
            <w:tcW w:w="2553" w:type="dxa"/>
            <w:shd w:val="clear" w:color="auto" w:fill="auto"/>
          </w:tcPr>
          <w:p w:rsidR="001D7232" w:rsidRPr="001244BB" w:rsidRDefault="001D7232" w:rsidP="0025274D">
            <w:pPr>
              <w:spacing w:after="0" w:line="240" w:lineRule="auto"/>
              <w:rPr>
                <w:rFonts w:eastAsia="Times New Roman" w:cstheme="minorHAnsi"/>
                <w:color w:val="000000"/>
                <w:sz w:val="20"/>
                <w:szCs w:val="20"/>
                <w:lang w:eastAsia="en-NZ"/>
              </w:rPr>
            </w:pPr>
            <w:r>
              <w:t>U</w:t>
            </w:r>
            <w:r w:rsidRPr="00181BE6">
              <w:t>ptake of, fibre broadband</w:t>
            </w:r>
          </w:p>
        </w:tc>
        <w:tc>
          <w:tcPr>
            <w:tcW w:w="1273" w:type="dxa"/>
            <w:shd w:val="clear" w:color="auto" w:fill="auto"/>
            <w:noWrap/>
          </w:tcPr>
          <w:p w:rsidR="001D7232" w:rsidRPr="001244BB" w:rsidRDefault="001D7232" w:rsidP="0025274D">
            <w:pPr>
              <w:spacing w:after="0" w:line="240" w:lineRule="auto"/>
              <w:rPr>
                <w:rFonts w:eastAsia="Times New Roman" w:cstheme="minorHAnsi"/>
                <w:color w:val="000000"/>
                <w:sz w:val="20"/>
                <w:szCs w:val="20"/>
                <w:lang w:eastAsia="en-NZ"/>
              </w:rPr>
            </w:pPr>
            <w:r w:rsidRPr="00181BE6">
              <w:t>Increasing</w:t>
            </w:r>
          </w:p>
        </w:tc>
        <w:tc>
          <w:tcPr>
            <w:tcW w:w="1703" w:type="dxa"/>
            <w:shd w:val="clear" w:color="auto" w:fill="auto"/>
            <w:noWrap/>
          </w:tcPr>
          <w:p w:rsidR="001D7232" w:rsidRPr="001244BB" w:rsidRDefault="001D7232" w:rsidP="0025274D">
            <w:pPr>
              <w:spacing w:after="0" w:line="240" w:lineRule="auto"/>
              <w:rPr>
                <w:rFonts w:eastAsia="Times New Roman" w:cstheme="minorHAnsi"/>
                <w:color w:val="000000"/>
                <w:sz w:val="20"/>
                <w:szCs w:val="20"/>
                <w:lang w:eastAsia="en-NZ"/>
              </w:rPr>
            </w:pPr>
            <w:r w:rsidRPr="00181BE6">
              <w:t>Research - MBIE</w:t>
            </w:r>
          </w:p>
        </w:tc>
        <w:tc>
          <w:tcPr>
            <w:tcW w:w="1621" w:type="dxa"/>
            <w:gridSpan w:val="2"/>
            <w:shd w:val="clear" w:color="auto" w:fill="auto"/>
            <w:noWrap/>
          </w:tcPr>
          <w:p w:rsidR="001D7232" w:rsidRPr="001244BB" w:rsidRDefault="001D7232" w:rsidP="0025274D">
            <w:pPr>
              <w:spacing w:after="0" w:line="240" w:lineRule="auto"/>
              <w:jc w:val="right"/>
              <w:rPr>
                <w:rFonts w:eastAsia="Times New Roman" w:cstheme="minorHAnsi"/>
                <w:color w:val="000000"/>
                <w:sz w:val="20"/>
                <w:szCs w:val="20"/>
                <w:lang w:eastAsia="en-NZ"/>
              </w:rPr>
            </w:pPr>
            <w:r w:rsidRPr="00181BE6">
              <w:t>As at June 2017, 28% uptake</w:t>
            </w:r>
          </w:p>
        </w:tc>
        <w:tc>
          <w:tcPr>
            <w:tcW w:w="1767" w:type="dxa"/>
            <w:shd w:val="clear" w:color="auto" w:fill="auto"/>
          </w:tcPr>
          <w:p w:rsidR="001D7232" w:rsidRPr="001244BB" w:rsidRDefault="001D7232" w:rsidP="0025274D">
            <w:pPr>
              <w:spacing w:after="0" w:line="240" w:lineRule="auto"/>
              <w:jc w:val="right"/>
              <w:rPr>
                <w:rFonts w:eastAsia="Times New Roman" w:cstheme="minorHAnsi"/>
                <w:color w:val="000000"/>
                <w:sz w:val="20"/>
                <w:szCs w:val="20"/>
                <w:lang w:eastAsia="en-NZ"/>
              </w:rPr>
            </w:pPr>
            <w:r w:rsidRPr="00181BE6">
              <w:t>As at June 2018, 34.4% uptake</w:t>
            </w:r>
          </w:p>
        </w:tc>
        <w:tc>
          <w:tcPr>
            <w:tcW w:w="1766" w:type="dxa"/>
            <w:shd w:val="clear" w:color="auto" w:fill="auto"/>
          </w:tcPr>
          <w:p w:rsidR="001D7232" w:rsidRPr="001244BB" w:rsidRDefault="001D7232" w:rsidP="0025274D">
            <w:pPr>
              <w:spacing w:after="0" w:line="240" w:lineRule="auto"/>
              <w:jc w:val="right"/>
              <w:rPr>
                <w:rFonts w:eastAsia="Times New Roman" w:cstheme="minorHAnsi"/>
                <w:color w:val="000000"/>
                <w:sz w:val="20"/>
                <w:szCs w:val="20"/>
                <w:lang w:eastAsia="en-NZ"/>
              </w:rPr>
            </w:pPr>
            <w:r w:rsidRPr="00181BE6">
              <w:t>As at March 2019 40.7% uptake</w:t>
            </w:r>
          </w:p>
        </w:tc>
        <w:tc>
          <w:tcPr>
            <w:tcW w:w="3493" w:type="dxa"/>
            <w:shd w:val="clear" w:color="auto" w:fill="auto"/>
            <w:noWrap/>
          </w:tcPr>
          <w:p w:rsidR="001D7232" w:rsidRPr="001244BB" w:rsidRDefault="001D7232" w:rsidP="0025274D">
            <w:pPr>
              <w:spacing w:after="0" w:line="240" w:lineRule="auto"/>
              <w:rPr>
                <w:rFonts w:eastAsia="Times New Roman" w:cstheme="minorHAnsi"/>
                <w:color w:val="000000"/>
                <w:sz w:val="20"/>
                <w:szCs w:val="20"/>
                <w:lang w:eastAsia="en-NZ"/>
              </w:rPr>
            </w:pPr>
            <w:r w:rsidRPr="00181BE6">
              <w:t>Positive trend.</w:t>
            </w:r>
          </w:p>
        </w:tc>
      </w:tr>
      <w:tr w:rsidR="001D7232" w:rsidRPr="001244BB" w:rsidTr="00510AC5">
        <w:trPr>
          <w:trHeight w:val="790"/>
        </w:trPr>
        <w:tc>
          <w:tcPr>
            <w:tcW w:w="2553" w:type="dxa"/>
            <w:shd w:val="clear" w:color="auto" w:fill="auto"/>
            <w:hideMark/>
          </w:tcPr>
          <w:p w:rsidR="001D7232" w:rsidRPr="001244BB" w:rsidRDefault="001D7232" w:rsidP="0025274D">
            <w:pPr>
              <w:spacing w:after="0" w:line="240" w:lineRule="auto"/>
              <w:rPr>
                <w:rFonts w:eastAsia="Times New Roman" w:cstheme="minorHAnsi"/>
                <w:color w:val="000000"/>
                <w:sz w:val="20"/>
                <w:szCs w:val="20"/>
                <w:lang w:eastAsia="en-NZ"/>
              </w:rPr>
            </w:pPr>
            <w:r w:rsidRPr="001244BB">
              <w:rPr>
                <w:rFonts w:eastAsia="Times New Roman" w:cstheme="minorHAnsi"/>
                <w:color w:val="000000"/>
                <w:sz w:val="20"/>
                <w:szCs w:val="20"/>
                <w:lang w:eastAsia="en-NZ"/>
              </w:rPr>
              <w:t>GDP per capita</w:t>
            </w:r>
          </w:p>
        </w:tc>
        <w:tc>
          <w:tcPr>
            <w:tcW w:w="1273" w:type="dxa"/>
            <w:shd w:val="clear" w:color="auto" w:fill="auto"/>
            <w:noWrap/>
            <w:hideMark/>
          </w:tcPr>
          <w:p w:rsidR="001D7232" w:rsidRPr="001244BB" w:rsidRDefault="001D7232" w:rsidP="0025274D">
            <w:pPr>
              <w:spacing w:after="0" w:line="240" w:lineRule="auto"/>
              <w:rPr>
                <w:rFonts w:eastAsia="Times New Roman" w:cstheme="minorHAnsi"/>
                <w:color w:val="000000"/>
                <w:sz w:val="20"/>
                <w:szCs w:val="20"/>
                <w:lang w:eastAsia="en-NZ"/>
              </w:rPr>
            </w:pPr>
            <w:r w:rsidRPr="001244BB">
              <w:rPr>
                <w:rFonts w:eastAsia="Times New Roman" w:cstheme="minorHAnsi"/>
                <w:color w:val="000000"/>
                <w:sz w:val="20"/>
                <w:szCs w:val="20"/>
                <w:lang w:eastAsia="en-NZ"/>
              </w:rPr>
              <w:t>Increasing</w:t>
            </w:r>
          </w:p>
        </w:tc>
        <w:tc>
          <w:tcPr>
            <w:tcW w:w="1703" w:type="dxa"/>
            <w:shd w:val="clear" w:color="auto" w:fill="auto"/>
            <w:noWrap/>
            <w:hideMark/>
          </w:tcPr>
          <w:p w:rsidR="001D7232" w:rsidRPr="001244BB" w:rsidRDefault="001D7232" w:rsidP="0025274D">
            <w:pPr>
              <w:spacing w:after="0" w:line="240" w:lineRule="auto"/>
              <w:rPr>
                <w:rFonts w:eastAsia="Times New Roman" w:cstheme="minorHAnsi"/>
                <w:color w:val="000000"/>
                <w:sz w:val="20"/>
                <w:szCs w:val="20"/>
                <w:lang w:eastAsia="en-NZ"/>
              </w:rPr>
            </w:pPr>
            <w:r w:rsidRPr="001244BB">
              <w:rPr>
                <w:rFonts w:eastAsia="Times New Roman" w:cstheme="minorHAnsi"/>
                <w:color w:val="000000"/>
                <w:sz w:val="20"/>
                <w:szCs w:val="20"/>
                <w:lang w:eastAsia="en-NZ"/>
              </w:rPr>
              <w:t>Research - Infometrics / ProfileIDNZ</w:t>
            </w:r>
          </w:p>
        </w:tc>
        <w:tc>
          <w:tcPr>
            <w:tcW w:w="1621" w:type="dxa"/>
            <w:gridSpan w:val="2"/>
            <w:shd w:val="clear" w:color="auto" w:fill="auto"/>
            <w:hideMark/>
          </w:tcPr>
          <w:p w:rsidR="001D7232" w:rsidRPr="001244BB" w:rsidRDefault="001D7232" w:rsidP="0025274D">
            <w:pPr>
              <w:spacing w:after="0" w:line="240" w:lineRule="auto"/>
              <w:jc w:val="right"/>
              <w:rPr>
                <w:rFonts w:eastAsia="Times New Roman" w:cstheme="minorHAnsi"/>
                <w:color w:val="000000"/>
                <w:sz w:val="20"/>
                <w:szCs w:val="20"/>
                <w:lang w:eastAsia="en-NZ"/>
              </w:rPr>
            </w:pPr>
            <w:r w:rsidRPr="001244BB">
              <w:rPr>
                <w:rFonts w:eastAsia="Times New Roman" w:cstheme="minorHAnsi"/>
                <w:color w:val="000000"/>
                <w:sz w:val="20"/>
                <w:szCs w:val="20"/>
                <w:lang w:eastAsia="en-NZ"/>
              </w:rPr>
              <w:t>2016 - $96,585 per capita. Overall GDP $20,080m</w:t>
            </w:r>
          </w:p>
        </w:tc>
        <w:tc>
          <w:tcPr>
            <w:tcW w:w="1767" w:type="dxa"/>
            <w:shd w:val="clear" w:color="auto" w:fill="auto"/>
            <w:hideMark/>
          </w:tcPr>
          <w:p w:rsidR="001D7232" w:rsidRPr="001244BB" w:rsidRDefault="001D7232" w:rsidP="0025274D">
            <w:pPr>
              <w:spacing w:after="0" w:line="240" w:lineRule="auto"/>
              <w:jc w:val="right"/>
              <w:rPr>
                <w:rFonts w:eastAsia="Times New Roman" w:cstheme="minorHAnsi"/>
                <w:color w:val="000000"/>
                <w:sz w:val="20"/>
                <w:szCs w:val="20"/>
                <w:lang w:eastAsia="en-NZ"/>
              </w:rPr>
            </w:pPr>
            <w:r w:rsidRPr="001244BB">
              <w:rPr>
                <w:rFonts w:eastAsia="Times New Roman" w:cstheme="minorHAnsi"/>
                <w:color w:val="000000"/>
                <w:sz w:val="20"/>
                <w:szCs w:val="20"/>
                <w:lang w:eastAsia="en-NZ"/>
              </w:rPr>
              <w:t>2017- $97,593 per capita. Overall GDP $20,758m</w:t>
            </w:r>
          </w:p>
        </w:tc>
        <w:tc>
          <w:tcPr>
            <w:tcW w:w="1766" w:type="dxa"/>
            <w:shd w:val="clear" w:color="auto" w:fill="auto"/>
            <w:noWrap/>
            <w:hideMark/>
          </w:tcPr>
          <w:p w:rsidR="001D7232" w:rsidRPr="001244BB" w:rsidRDefault="001D7232" w:rsidP="0025274D">
            <w:pPr>
              <w:spacing w:after="0" w:line="240" w:lineRule="auto"/>
              <w:jc w:val="right"/>
              <w:rPr>
                <w:rFonts w:eastAsia="Times New Roman" w:cstheme="minorHAnsi"/>
                <w:color w:val="000000"/>
                <w:sz w:val="20"/>
                <w:szCs w:val="20"/>
                <w:lang w:eastAsia="en-NZ"/>
              </w:rPr>
            </w:pPr>
            <w:r w:rsidRPr="001244BB">
              <w:rPr>
                <w:rFonts w:eastAsia="Times New Roman" w:cstheme="minorHAnsi"/>
                <w:color w:val="000000"/>
                <w:sz w:val="20"/>
                <w:szCs w:val="20"/>
                <w:lang w:eastAsia="en-NZ"/>
              </w:rPr>
              <w:t>2018 - $98,895 per capita; Overall GDP $21,391m</w:t>
            </w:r>
          </w:p>
        </w:tc>
        <w:tc>
          <w:tcPr>
            <w:tcW w:w="3493" w:type="dxa"/>
            <w:shd w:val="clear" w:color="auto" w:fill="auto"/>
            <w:noWrap/>
            <w:hideMark/>
          </w:tcPr>
          <w:p w:rsidR="001D7232" w:rsidRPr="001244BB" w:rsidRDefault="001D7232" w:rsidP="0025274D">
            <w:pPr>
              <w:spacing w:after="0" w:line="240" w:lineRule="auto"/>
              <w:rPr>
                <w:rFonts w:eastAsia="Times New Roman" w:cstheme="minorHAnsi"/>
                <w:color w:val="000000"/>
                <w:sz w:val="20"/>
                <w:szCs w:val="20"/>
                <w:lang w:eastAsia="en-NZ"/>
              </w:rPr>
            </w:pPr>
            <w:r w:rsidRPr="001244BB">
              <w:rPr>
                <w:rFonts w:eastAsia="Times New Roman" w:cstheme="minorHAnsi"/>
                <w:color w:val="000000"/>
                <w:sz w:val="20"/>
                <w:szCs w:val="20"/>
                <w:lang w:eastAsia="en-NZ"/>
              </w:rPr>
              <w:t>Positive trend</w:t>
            </w:r>
          </w:p>
        </w:tc>
      </w:tr>
      <w:tr w:rsidR="001D7232" w:rsidRPr="001244BB" w:rsidTr="00510AC5">
        <w:trPr>
          <w:trHeight w:val="510"/>
        </w:trPr>
        <w:tc>
          <w:tcPr>
            <w:tcW w:w="2553" w:type="dxa"/>
            <w:shd w:val="clear" w:color="auto" w:fill="auto"/>
            <w:hideMark/>
          </w:tcPr>
          <w:p w:rsidR="001D7232" w:rsidRPr="001244BB" w:rsidRDefault="001D7232" w:rsidP="0025274D">
            <w:pPr>
              <w:spacing w:after="0" w:line="240" w:lineRule="auto"/>
              <w:rPr>
                <w:rFonts w:eastAsia="Times New Roman" w:cstheme="minorHAnsi"/>
                <w:color w:val="000000"/>
                <w:sz w:val="20"/>
                <w:szCs w:val="20"/>
                <w:lang w:eastAsia="en-NZ"/>
              </w:rPr>
            </w:pPr>
            <w:r w:rsidRPr="001244BB">
              <w:rPr>
                <w:rFonts w:eastAsia="Times New Roman" w:cstheme="minorHAnsi"/>
                <w:color w:val="000000"/>
                <w:sz w:val="20"/>
                <w:szCs w:val="20"/>
                <w:lang w:eastAsia="en-NZ"/>
              </w:rPr>
              <w:t>Deprivation index – city residents and New Zealand average (most deprived deciles)</w:t>
            </w:r>
          </w:p>
        </w:tc>
        <w:tc>
          <w:tcPr>
            <w:tcW w:w="1273" w:type="dxa"/>
            <w:shd w:val="clear" w:color="auto" w:fill="auto"/>
            <w:noWrap/>
            <w:hideMark/>
          </w:tcPr>
          <w:p w:rsidR="001D7232" w:rsidRPr="001244BB" w:rsidRDefault="001D7232" w:rsidP="0025274D">
            <w:pPr>
              <w:spacing w:after="0" w:line="240" w:lineRule="auto"/>
              <w:rPr>
                <w:rFonts w:eastAsia="Times New Roman" w:cstheme="minorHAnsi"/>
                <w:color w:val="000000"/>
                <w:sz w:val="20"/>
                <w:szCs w:val="20"/>
                <w:lang w:eastAsia="en-NZ"/>
              </w:rPr>
            </w:pPr>
            <w:r w:rsidRPr="001244BB">
              <w:rPr>
                <w:rFonts w:eastAsia="Times New Roman" w:cstheme="minorHAnsi"/>
                <w:color w:val="000000"/>
                <w:sz w:val="20"/>
                <w:szCs w:val="20"/>
                <w:lang w:eastAsia="en-NZ"/>
              </w:rPr>
              <w:t>Decreasing</w:t>
            </w:r>
          </w:p>
        </w:tc>
        <w:tc>
          <w:tcPr>
            <w:tcW w:w="1703" w:type="dxa"/>
            <w:shd w:val="clear" w:color="auto" w:fill="auto"/>
            <w:noWrap/>
            <w:hideMark/>
          </w:tcPr>
          <w:p w:rsidR="001D7232" w:rsidRPr="001244BB" w:rsidRDefault="001D7232" w:rsidP="0025274D">
            <w:pPr>
              <w:spacing w:after="0" w:line="240" w:lineRule="auto"/>
              <w:rPr>
                <w:rFonts w:eastAsia="Times New Roman" w:cstheme="minorHAnsi"/>
                <w:color w:val="000000"/>
                <w:sz w:val="20"/>
                <w:szCs w:val="20"/>
                <w:lang w:eastAsia="en-NZ"/>
              </w:rPr>
            </w:pPr>
            <w:r w:rsidRPr="001244BB">
              <w:rPr>
                <w:rFonts w:eastAsia="Times New Roman" w:cstheme="minorHAnsi"/>
                <w:color w:val="000000"/>
                <w:sz w:val="20"/>
                <w:szCs w:val="20"/>
                <w:lang w:eastAsia="en-NZ"/>
              </w:rPr>
              <w:t>Research - Infometrics / ProfileIDNZ</w:t>
            </w:r>
          </w:p>
        </w:tc>
        <w:tc>
          <w:tcPr>
            <w:tcW w:w="8647" w:type="dxa"/>
            <w:gridSpan w:val="5"/>
            <w:shd w:val="clear" w:color="auto" w:fill="auto"/>
            <w:noWrap/>
            <w:hideMark/>
          </w:tcPr>
          <w:p w:rsidR="001D7232" w:rsidRPr="001244BB" w:rsidRDefault="001D7232" w:rsidP="0025274D">
            <w:pPr>
              <w:spacing w:after="0" w:line="240" w:lineRule="auto"/>
              <w:rPr>
                <w:rFonts w:eastAsia="Times New Roman" w:cstheme="minorHAnsi"/>
                <w:color w:val="000000"/>
                <w:sz w:val="20"/>
                <w:szCs w:val="20"/>
                <w:lang w:eastAsia="en-NZ"/>
              </w:rPr>
            </w:pPr>
            <w:r w:rsidRPr="001244BB">
              <w:rPr>
                <w:rFonts w:eastAsia="Times New Roman" w:cstheme="minorHAnsi"/>
                <w:color w:val="000000"/>
                <w:sz w:val="20"/>
                <w:szCs w:val="20"/>
                <w:lang w:eastAsia="en-NZ"/>
              </w:rPr>
              <w:t>In 2013, Wellington City Index was 947.  Nationally, equal proportions of the population (about 20%) live in each quintile. For Wellington 60% are in the least deprived areas. Kilbirnie had the highest deprivation score of 1,044.0 and Seatoun-Karaka Bays-Breaker Bay the lowest with 888.0.</w:t>
            </w:r>
          </w:p>
        </w:tc>
      </w:tr>
      <w:tr w:rsidR="001D7232" w:rsidRPr="001244BB" w:rsidTr="00510AC5">
        <w:trPr>
          <w:trHeight w:val="464"/>
        </w:trPr>
        <w:tc>
          <w:tcPr>
            <w:tcW w:w="2553" w:type="dxa"/>
            <w:shd w:val="clear" w:color="auto" w:fill="auto"/>
            <w:hideMark/>
          </w:tcPr>
          <w:p w:rsidR="001D7232" w:rsidRPr="001244BB" w:rsidRDefault="001D7232" w:rsidP="0025274D">
            <w:pPr>
              <w:spacing w:after="0" w:line="240" w:lineRule="auto"/>
              <w:rPr>
                <w:rFonts w:eastAsia="Times New Roman" w:cstheme="minorHAnsi"/>
                <w:color w:val="000000"/>
                <w:sz w:val="20"/>
                <w:szCs w:val="20"/>
                <w:lang w:eastAsia="en-NZ"/>
              </w:rPr>
            </w:pPr>
            <w:r w:rsidRPr="001244BB">
              <w:rPr>
                <w:rFonts w:eastAsia="Times New Roman" w:cstheme="minorHAnsi"/>
                <w:color w:val="000000"/>
                <w:sz w:val="20"/>
                <w:szCs w:val="20"/>
                <w:lang w:eastAsia="en-NZ"/>
              </w:rPr>
              <w:t xml:space="preserve">Income (average annual earnings) – income ($) per annum </w:t>
            </w:r>
          </w:p>
        </w:tc>
        <w:tc>
          <w:tcPr>
            <w:tcW w:w="1273" w:type="dxa"/>
            <w:shd w:val="clear" w:color="auto" w:fill="auto"/>
            <w:noWrap/>
            <w:hideMark/>
          </w:tcPr>
          <w:p w:rsidR="001D7232" w:rsidRPr="001244BB" w:rsidRDefault="001D7232" w:rsidP="0025274D">
            <w:pPr>
              <w:spacing w:after="0" w:line="240" w:lineRule="auto"/>
              <w:rPr>
                <w:rFonts w:eastAsia="Times New Roman" w:cstheme="minorHAnsi"/>
                <w:color w:val="000000"/>
                <w:sz w:val="20"/>
                <w:szCs w:val="20"/>
                <w:lang w:eastAsia="en-NZ"/>
              </w:rPr>
            </w:pPr>
            <w:r w:rsidRPr="001244BB">
              <w:rPr>
                <w:rFonts w:eastAsia="Times New Roman" w:cstheme="minorHAnsi"/>
                <w:color w:val="000000"/>
                <w:sz w:val="20"/>
                <w:szCs w:val="20"/>
                <w:lang w:eastAsia="en-NZ"/>
              </w:rPr>
              <w:t>Increasing</w:t>
            </w:r>
          </w:p>
        </w:tc>
        <w:tc>
          <w:tcPr>
            <w:tcW w:w="1703" w:type="dxa"/>
            <w:shd w:val="clear" w:color="auto" w:fill="auto"/>
            <w:noWrap/>
            <w:hideMark/>
          </w:tcPr>
          <w:p w:rsidR="001D7232" w:rsidRPr="001244BB" w:rsidRDefault="001D7232" w:rsidP="0025274D">
            <w:pPr>
              <w:spacing w:after="0" w:line="240" w:lineRule="auto"/>
              <w:rPr>
                <w:rFonts w:eastAsia="Times New Roman" w:cstheme="minorHAnsi"/>
                <w:color w:val="000000"/>
                <w:sz w:val="20"/>
                <w:szCs w:val="20"/>
                <w:lang w:eastAsia="en-NZ"/>
              </w:rPr>
            </w:pPr>
            <w:r w:rsidRPr="001244BB">
              <w:rPr>
                <w:rFonts w:eastAsia="Times New Roman" w:cstheme="minorHAnsi"/>
                <w:color w:val="000000"/>
                <w:sz w:val="20"/>
                <w:szCs w:val="20"/>
                <w:lang w:eastAsia="en-NZ"/>
              </w:rPr>
              <w:t>Research - Infometrics / ProfileIDNZ</w:t>
            </w:r>
          </w:p>
        </w:tc>
        <w:tc>
          <w:tcPr>
            <w:tcW w:w="1610" w:type="dxa"/>
            <w:shd w:val="clear" w:color="auto" w:fill="auto"/>
            <w:hideMark/>
          </w:tcPr>
          <w:p w:rsidR="001D7232" w:rsidRPr="001244BB" w:rsidRDefault="001D7232" w:rsidP="0025274D">
            <w:pPr>
              <w:spacing w:after="0" w:line="240" w:lineRule="auto"/>
              <w:jc w:val="right"/>
              <w:rPr>
                <w:rFonts w:eastAsia="Times New Roman" w:cstheme="minorHAnsi"/>
                <w:color w:val="000000"/>
                <w:sz w:val="20"/>
                <w:szCs w:val="20"/>
                <w:lang w:eastAsia="en-NZ"/>
              </w:rPr>
            </w:pPr>
            <w:r w:rsidRPr="001244BB">
              <w:rPr>
                <w:rFonts w:eastAsia="Times New Roman" w:cstheme="minorHAnsi"/>
                <w:color w:val="000000"/>
                <w:sz w:val="20"/>
                <w:szCs w:val="20"/>
                <w:lang w:eastAsia="en-NZ"/>
              </w:rPr>
              <w:t>2016 - $72,530</w:t>
            </w:r>
          </w:p>
        </w:tc>
        <w:tc>
          <w:tcPr>
            <w:tcW w:w="1778" w:type="dxa"/>
            <w:gridSpan w:val="2"/>
            <w:shd w:val="clear" w:color="auto" w:fill="auto"/>
            <w:hideMark/>
          </w:tcPr>
          <w:p w:rsidR="001D7232" w:rsidRPr="001244BB" w:rsidRDefault="001D7232" w:rsidP="0025274D">
            <w:pPr>
              <w:spacing w:after="0" w:line="240" w:lineRule="auto"/>
              <w:jc w:val="right"/>
              <w:rPr>
                <w:rFonts w:eastAsia="Times New Roman" w:cstheme="minorHAnsi"/>
                <w:color w:val="000000"/>
                <w:sz w:val="20"/>
                <w:szCs w:val="20"/>
                <w:lang w:eastAsia="en-NZ"/>
              </w:rPr>
            </w:pPr>
            <w:r w:rsidRPr="001244BB">
              <w:rPr>
                <w:rFonts w:eastAsia="Times New Roman" w:cstheme="minorHAnsi"/>
                <w:color w:val="000000"/>
                <w:sz w:val="20"/>
                <w:szCs w:val="20"/>
                <w:lang w:eastAsia="en-NZ"/>
              </w:rPr>
              <w:t xml:space="preserve">2017 - $73,530 </w:t>
            </w:r>
          </w:p>
        </w:tc>
        <w:tc>
          <w:tcPr>
            <w:tcW w:w="1766" w:type="dxa"/>
            <w:shd w:val="clear" w:color="auto" w:fill="auto"/>
            <w:noWrap/>
            <w:hideMark/>
          </w:tcPr>
          <w:p w:rsidR="001D7232" w:rsidRPr="001244BB" w:rsidRDefault="001D7232" w:rsidP="0025274D">
            <w:pPr>
              <w:spacing w:after="0" w:line="240" w:lineRule="auto"/>
              <w:jc w:val="right"/>
              <w:rPr>
                <w:rFonts w:eastAsia="Times New Roman" w:cstheme="minorHAnsi"/>
                <w:color w:val="000000"/>
                <w:sz w:val="20"/>
                <w:szCs w:val="20"/>
                <w:lang w:eastAsia="en-NZ"/>
              </w:rPr>
            </w:pPr>
            <w:r w:rsidRPr="001244BB">
              <w:rPr>
                <w:rFonts w:eastAsia="Times New Roman" w:cstheme="minorHAnsi"/>
                <w:color w:val="000000"/>
                <w:sz w:val="20"/>
                <w:szCs w:val="20"/>
                <w:lang w:eastAsia="en-NZ"/>
              </w:rPr>
              <w:t xml:space="preserve">2018 - $75,706 </w:t>
            </w:r>
          </w:p>
        </w:tc>
        <w:tc>
          <w:tcPr>
            <w:tcW w:w="3493" w:type="dxa"/>
            <w:shd w:val="clear" w:color="auto" w:fill="auto"/>
            <w:noWrap/>
            <w:hideMark/>
          </w:tcPr>
          <w:p w:rsidR="001D7232" w:rsidRPr="001244BB" w:rsidRDefault="001D7232" w:rsidP="0025274D">
            <w:pPr>
              <w:spacing w:after="0" w:line="240" w:lineRule="auto"/>
              <w:rPr>
                <w:rFonts w:eastAsia="Times New Roman" w:cstheme="minorHAnsi"/>
                <w:color w:val="000000"/>
                <w:sz w:val="20"/>
                <w:szCs w:val="20"/>
                <w:lang w:eastAsia="en-NZ"/>
              </w:rPr>
            </w:pPr>
            <w:r w:rsidRPr="001244BB">
              <w:rPr>
                <w:rFonts w:eastAsia="Times New Roman" w:cstheme="minorHAnsi"/>
                <w:color w:val="000000"/>
                <w:sz w:val="20"/>
                <w:szCs w:val="20"/>
                <w:lang w:eastAsia="en-NZ"/>
              </w:rPr>
              <w:t>Positive trend</w:t>
            </w:r>
          </w:p>
        </w:tc>
      </w:tr>
      <w:tr w:rsidR="001D7232" w:rsidRPr="001244BB" w:rsidTr="00510AC5">
        <w:trPr>
          <w:trHeight w:val="745"/>
        </w:trPr>
        <w:tc>
          <w:tcPr>
            <w:tcW w:w="2553" w:type="dxa"/>
            <w:shd w:val="clear" w:color="auto" w:fill="auto"/>
          </w:tcPr>
          <w:p w:rsidR="001D7232" w:rsidRPr="001244BB" w:rsidRDefault="001D7232" w:rsidP="0025274D">
            <w:pPr>
              <w:spacing w:after="0" w:line="240" w:lineRule="auto"/>
              <w:rPr>
                <w:rFonts w:eastAsia="Times New Roman" w:cstheme="minorHAnsi"/>
                <w:color w:val="000000"/>
                <w:sz w:val="20"/>
                <w:szCs w:val="20"/>
                <w:lang w:eastAsia="en-NZ"/>
              </w:rPr>
            </w:pPr>
            <w:r w:rsidRPr="001244BB">
              <w:rPr>
                <w:rFonts w:eastAsia="Times New Roman" w:cstheme="minorHAnsi"/>
                <w:color w:val="000000"/>
                <w:sz w:val="20"/>
                <w:szCs w:val="20"/>
                <w:lang w:eastAsia="en-NZ"/>
              </w:rPr>
              <w:t>Income (average annual earnings) – income % growth</w:t>
            </w:r>
          </w:p>
        </w:tc>
        <w:tc>
          <w:tcPr>
            <w:tcW w:w="1273" w:type="dxa"/>
            <w:shd w:val="clear" w:color="auto" w:fill="auto"/>
            <w:noWrap/>
          </w:tcPr>
          <w:p w:rsidR="001D7232" w:rsidRPr="001244BB" w:rsidRDefault="001D7232" w:rsidP="0025274D">
            <w:pPr>
              <w:spacing w:after="0" w:line="240" w:lineRule="auto"/>
              <w:rPr>
                <w:rFonts w:eastAsia="Times New Roman" w:cstheme="minorHAnsi"/>
                <w:color w:val="000000"/>
                <w:sz w:val="20"/>
                <w:szCs w:val="20"/>
                <w:lang w:eastAsia="en-NZ"/>
              </w:rPr>
            </w:pPr>
            <w:r w:rsidRPr="001244BB">
              <w:rPr>
                <w:rFonts w:eastAsia="Times New Roman" w:cstheme="minorHAnsi"/>
                <w:color w:val="000000"/>
                <w:sz w:val="20"/>
                <w:szCs w:val="20"/>
                <w:lang w:eastAsia="en-NZ"/>
              </w:rPr>
              <w:t>Increasing</w:t>
            </w:r>
          </w:p>
        </w:tc>
        <w:tc>
          <w:tcPr>
            <w:tcW w:w="1703" w:type="dxa"/>
            <w:shd w:val="clear" w:color="auto" w:fill="auto"/>
            <w:noWrap/>
          </w:tcPr>
          <w:p w:rsidR="001D7232" w:rsidRPr="001244BB" w:rsidRDefault="001D7232" w:rsidP="0025274D">
            <w:pPr>
              <w:spacing w:after="0" w:line="240" w:lineRule="auto"/>
              <w:rPr>
                <w:rFonts w:eastAsia="Times New Roman" w:cstheme="minorHAnsi"/>
                <w:color w:val="000000"/>
                <w:sz w:val="20"/>
                <w:szCs w:val="20"/>
                <w:lang w:eastAsia="en-NZ"/>
              </w:rPr>
            </w:pPr>
            <w:r w:rsidRPr="001244BB">
              <w:rPr>
                <w:rFonts w:eastAsia="Times New Roman" w:cstheme="minorHAnsi"/>
                <w:color w:val="000000"/>
                <w:sz w:val="20"/>
                <w:szCs w:val="20"/>
                <w:lang w:eastAsia="en-NZ"/>
              </w:rPr>
              <w:t>Research - Infometrics / ProfileIDNZ</w:t>
            </w:r>
          </w:p>
        </w:tc>
        <w:tc>
          <w:tcPr>
            <w:tcW w:w="1610" w:type="dxa"/>
            <w:shd w:val="clear" w:color="auto" w:fill="auto"/>
          </w:tcPr>
          <w:p w:rsidR="001D7232" w:rsidRPr="001244BB" w:rsidRDefault="001D7232" w:rsidP="00FA5A13">
            <w:pPr>
              <w:spacing w:after="0" w:line="240" w:lineRule="auto"/>
              <w:jc w:val="right"/>
              <w:rPr>
                <w:rFonts w:eastAsia="Times New Roman" w:cstheme="minorHAnsi"/>
                <w:color w:val="000000"/>
                <w:sz w:val="20"/>
                <w:szCs w:val="20"/>
                <w:lang w:eastAsia="en-NZ"/>
              </w:rPr>
            </w:pPr>
            <w:r w:rsidRPr="001244BB">
              <w:rPr>
                <w:rFonts w:eastAsia="Times New Roman" w:cstheme="minorHAnsi"/>
                <w:color w:val="000000"/>
                <w:sz w:val="20"/>
                <w:szCs w:val="20"/>
                <w:lang w:eastAsia="en-NZ"/>
              </w:rPr>
              <w:t>2016 – Wellington: 3.5% change. NZ: 3.1%</w:t>
            </w:r>
          </w:p>
        </w:tc>
        <w:tc>
          <w:tcPr>
            <w:tcW w:w="1778" w:type="dxa"/>
            <w:gridSpan w:val="2"/>
            <w:shd w:val="clear" w:color="auto" w:fill="auto"/>
          </w:tcPr>
          <w:p w:rsidR="001D7232" w:rsidRPr="001244BB" w:rsidRDefault="001D7232" w:rsidP="00FA5A13">
            <w:pPr>
              <w:spacing w:after="0" w:line="240" w:lineRule="auto"/>
              <w:jc w:val="right"/>
              <w:rPr>
                <w:rFonts w:eastAsia="Times New Roman" w:cstheme="minorHAnsi"/>
                <w:color w:val="000000"/>
                <w:sz w:val="20"/>
                <w:szCs w:val="20"/>
                <w:lang w:eastAsia="en-NZ"/>
              </w:rPr>
            </w:pPr>
            <w:r w:rsidRPr="001244BB">
              <w:rPr>
                <w:rFonts w:eastAsia="Times New Roman" w:cstheme="minorHAnsi"/>
                <w:color w:val="000000"/>
                <w:sz w:val="20"/>
                <w:szCs w:val="20"/>
                <w:lang w:eastAsia="en-NZ"/>
              </w:rPr>
              <w:t>2017 – Wellington: 1.4% change. NZ: 1.7%</w:t>
            </w:r>
          </w:p>
        </w:tc>
        <w:tc>
          <w:tcPr>
            <w:tcW w:w="1766" w:type="dxa"/>
            <w:shd w:val="clear" w:color="auto" w:fill="auto"/>
            <w:noWrap/>
          </w:tcPr>
          <w:p w:rsidR="001D7232" w:rsidRPr="001244BB" w:rsidRDefault="001D7232" w:rsidP="00FA5A13">
            <w:pPr>
              <w:spacing w:after="0" w:line="240" w:lineRule="auto"/>
              <w:jc w:val="right"/>
              <w:rPr>
                <w:rFonts w:eastAsia="Times New Roman" w:cstheme="minorHAnsi"/>
                <w:color w:val="000000"/>
                <w:sz w:val="20"/>
                <w:szCs w:val="20"/>
                <w:lang w:eastAsia="en-NZ"/>
              </w:rPr>
            </w:pPr>
            <w:r w:rsidRPr="001244BB">
              <w:rPr>
                <w:rFonts w:eastAsia="Times New Roman" w:cstheme="minorHAnsi"/>
                <w:color w:val="000000"/>
                <w:sz w:val="20"/>
                <w:szCs w:val="20"/>
                <w:lang w:eastAsia="en-NZ"/>
              </w:rPr>
              <w:t>2018 – Wellington: 3.0% change. NZ: 3.7%</w:t>
            </w:r>
          </w:p>
        </w:tc>
        <w:tc>
          <w:tcPr>
            <w:tcW w:w="3493" w:type="dxa"/>
            <w:shd w:val="clear" w:color="auto" w:fill="auto"/>
            <w:noWrap/>
          </w:tcPr>
          <w:p w:rsidR="001D7232" w:rsidRPr="001244BB" w:rsidRDefault="001D7232" w:rsidP="0025274D">
            <w:pPr>
              <w:spacing w:after="0" w:line="240" w:lineRule="auto"/>
              <w:rPr>
                <w:rFonts w:eastAsia="Times New Roman" w:cstheme="minorHAnsi"/>
                <w:color w:val="000000"/>
                <w:sz w:val="20"/>
                <w:szCs w:val="20"/>
                <w:lang w:eastAsia="en-NZ"/>
              </w:rPr>
            </w:pPr>
            <w:r w:rsidRPr="001244BB">
              <w:rPr>
                <w:rFonts w:eastAsia="Times New Roman" w:cstheme="minorHAnsi"/>
                <w:color w:val="000000"/>
                <w:sz w:val="20"/>
                <w:szCs w:val="20"/>
                <w:lang w:eastAsia="en-NZ"/>
              </w:rPr>
              <w:t>Negative trend: Wellington not keeping pace with national growth.</w:t>
            </w:r>
          </w:p>
        </w:tc>
      </w:tr>
      <w:tr w:rsidR="001D7232" w:rsidRPr="001244BB" w:rsidTr="00510AC5">
        <w:trPr>
          <w:trHeight w:val="745"/>
        </w:trPr>
        <w:tc>
          <w:tcPr>
            <w:tcW w:w="2553" w:type="dxa"/>
            <w:shd w:val="clear" w:color="auto" w:fill="auto"/>
            <w:hideMark/>
          </w:tcPr>
          <w:p w:rsidR="001D7232" w:rsidRPr="001244BB" w:rsidRDefault="001D7232" w:rsidP="0025274D">
            <w:pPr>
              <w:spacing w:after="0" w:line="240" w:lineRule="auto"/>
              <w:rPr>
                <w:rFonts w:eastAsia="Times New Roman" w:cstheme="minorHAnsi"/>
                <w:color w:val="000000"/>
                <w:sz w:val="20"/>
                <w:szCs w:val="20"/>
                <w:lang w:eastAsia="en-NZ"/>
              </w:rPr>
            </w:pPr>
            <w:r w:rsidRPr="001244BB">
              <w:rPr>
                <w:rFonts w:eastAsia="Times New Roman" w:cstheme="minorHAnsi"/>
                <w:color w:val="000000"/>
                <w:sz w:val="20"/>
                <w:szCs w:val="20"/>
                <w:lang w:eastAsia="en-NZ"/>
              </w:rPr>
              <w:t>Youth NEET (not in education, employment or training) – as a proportion of 15— 24 year-olds</w:t>
            </w:r>
          </w:p>
        </w:tc>
        <w:tc>
          <w:tcPr>
            <w:tcW w:w="1273" w:type="dxa"/>
            <w:shd w:val="clear" w:color="auto" w:fill="auto"/>
            <w:noWrap/>
            <w:hideMark/>
          </w:tcPr>
          <w:p w:rsidR="001D7232" w:rsidRPr="001244BB" w:rsidRDefault="001D7232" w:rsidP="0025274D">
            <w:pPr>
              <w:spacing w:after="0" w:line="240" w:lineRule="auto"/>
              <w:rPr>
                <w:rFonts w:eastAsia="Times New Roman" w:cstheme="minorHAnsi"/>
                <w:color w:val="000000"/>
                <w:sz w:val="20"/>
                <w:szCs w:val="20"/>
                <w:lang w:eastAsia="en-NZ"/>
              </w:rPr>
            </w:pPr>
            <w:r w:rsidRPr="001244BB">
              <w:rPr>
                <w:rFonts w:eastAsia="Times New Roman" w:cstheme="minorHAnsi"/>
                <w:color w:val="000000"/>
                <w:sz w:val="20"/>
                <w:szCs w:val="20"/>
                <w:lang w:eastAsia="en-NZ"/>
              </w:rPr>
              <w:t>Decreasing</w:t>
            </w:r>
          </w:p>
        </w:tc>
        <w:tc>
          <w:tcPr>
            <w:tcW w:w="1703" w:type="dxa"/>
            <w:shd w:val="clear" w:color="auto" w:fill="auto"/>
            <w:noWrap/>
            <w:hideMark/>
          </w:tcPr>
          <w:p w:rsidR="001D7232" w:rsidRPr="001244BB" w:rsidRDefault="001D7232" w:rsidP="0025274D">
            <w:pPr>
              <w:spacing w:after="0" w:line="240" w:lineRule="auto"/>
              <w:rPr>
                <w:rFonts w:eastAsia="Times New Roman" w:cstheme="minorHAnsi"/>
                <w:color w:val="000000"/>
                <w:sz w:val="20"/>
                <w:szCs w:val="20"/>
                <w:lang w:eastAsia="en-NZ"/>
              </w:rPr>
            </w:pPr>
            <w:r w:rsidRPr="001244BB">
              <w:rPr>
                <w:rFonts w:eastAsia="Times New Roman" w:cstheme="minorHAnsi"/>
                <w:color w:val="000000"/>
                <w:sz w:val="20"/>
                <w:szCs w:val="20"/>
                <w:lang w:eastAsia="en-NZ"/>
              </w:rPr>
              <w:t>Research - Infometrics / ProfileIDNZ</w:t>
            </w:r>
          </w:p>
        </w:tc>
        <w:tc>
          <w:tcPr>
            <w:tcW w:w="1610" w:type="dxa"/>
            <w:shd w:val="clear" w:color="auto" w:fill="auto"/>
          </w:tcPr>
          <w:p w:rsidR="001D7232" w:rsidRPr="001244BB" w:rsidRDefault="001D7232" w:rsidP="0025274D">
            <w:pPr>
              <w:spacing w:after="0" w:line="240" w:lineRule="auto"/>
              <w:jc w:val="right"/>
              <w:rPr>
                <w:rFonts w:eastAsia="Times New Roman" w:cstheme="minorHAnsi"/>
                <w:color w:val="000000"/>
                <w:sz w:val="20"/>
                <w:szCs w:val="20"/>
                <w:lang w:eastAsia="en-NZ"/>
              </w:rPr>
            </w:pPr>
            <w:r w:rsidRPr="001244BB">
              <w:rPr>
                <w:rFonts w:eastAsia="Times New Roman" w:cstheme="minorHAnsi"/>
                <w:color w:val="000000"/>
                <w:sz w:val="20"/>
                <w:szCs w:val="20"/>
                <w:lang w:eastAsia="en-NZ"/>
              </w:rPr>
              <w:t>2016 – Wellington City 7.4%. NZ: 11.5%</w:t>
            </w:r>
          </w:p>
        </w:tc>
        <w:tc>
          <w:tcPr>
            <w:tcW w:w="1778" w:type="dxa"/>
            <w:gridSpan w:val="2"/>
            <w:shd w:val="clear" w:color="auto" w:fill="auto"/>
          </w:tcPr>
          <w:p w:rsidR="001D7232" w:rsidRPr="001244BB" w:rsidRDefault="001D7232" w:rsidP="0025274D">
            <w:pPr>
              <w:spacing w:after="0" w:line="240" w:lineRule="auto"/>
              <w:jc w:val="right"/>
              <w:rPr>
                <w:rFonts w:eastAsia="Times New Roman" w:cstheme="minorHAnsi"/>
                <w:color w:val="000000"/>
                <w:sz w:val="20"/>
                <w:szCs w:val="20"/>
                <w:lang w:eastAsia="en-NZ"/>
              </w:rPr>
            </w:pPr>
            <w:r w:rsidRPr="001244BB">
              <w:rPr>
                <w:rFonts w:eastAsia="Times New Roman" w:cstheme="minorHAnsi"/>
                <w:color w:val="000000"/>
                <w:sz w:val="20"/>
                <w:szCs w:val="20"/>
                <w:lang w:eastAsia="en-NZ"/>
              </w:rPr>
              <w:t>2017 - Wellington City 8.4%; NZ 12.1%</w:t>
            </w:r>
          </w:p>
        </w:tc>
        <w:tc>
          <w:tcPr>
            <w:tcW w:w="1766" w:type="dxa"/>
            <w:shd w:val="clear" w:color="auto" w:fill="auto"/>
            <w:noWrap/>
            <w:hideMark/>
          </w:tcPr>
          <w:p w:rsidR="001D7232" w:rsidRPr="001244BB" w:rsidRDefault="001D7232" w:rsidP="0025274D">
            <w:pPr>
              <w:spacing w:after="0" w:line="240" w:lineRule="auto"/>
              <w:jc w:val="right"/>
              <w:rPr>
                <w:rFonts w:eastAsia="Times New Roman" w:cstheme="minorHAnsi"/>
                <w:color w:val="000000"/>
                <w:sz w:val="20"/>
                <w:szCs w:val="20"/>
                <w:lang w:eastAsia="en-NZ"/>
              </w:rPr>
            </w:pPr>
            <w:r w:rsidRPr="001244BB">
              <w:rPr>
                <w:rFonts w:eastAsia="Times New Roman" w:cstheme="minorHAnsi"/>
                <w:color w:val="000000"/>
                <w:sz w:val="20"/>
                <w:szCs w:val="20"/>
                <w:lang w:eastAsia="en-NZ"/>
              </w:rPr>
              <w:t>2018 - Wellington City 6.8%; NZ 11.7%</w:t>
            </w:r>
          </w:p>
        </w:tc>
        <w:tc>
          <w:tcPr>
            <w:tcW w:w="3493" w:type="dxa"/>
            <w:shd w:val="clear" w:color="auto" w:fill="auto"/>
            <w:noWrap/>
            <w:hideMark/>
          </w:tcPr>
          <w:p w:rsidR="001D7232" w:rsidRPr="001244BB" w:rsidRDefault="001D7232" w:rsidP="0025274D">
            <w:pPr>
              <w:spacing w:after="0" w:line="240" w:lineRule="auto"/>
              <w:rPr>
                <w:rFonts w:eastAsia="Times New Roman" w:cstheme="minorHAnsi"/>
                <w:color w:val="000000"/>
                <w:sz w:val="20"/>
                <w:szCs w:val="20"/>
                <w:lang w:eastAsia="en-NZ"/>
              </w:rPr>
            </w:pPr>
          </w:p>
        </w:tc>
      </w:tr>
      <w:tr w:rsidR="001D7232" w:rsidRPr="001244BB" w:rsidTr="00510AC5">
        <w:trPr>
          <w:trHeight w:val="255"/>
        </w:trPr>
        <w:tc>
          <w:tcPr>
            <w:tcW w:w="14176" w:type="dxa"/>
            <w:gridSpan w:val="8"/>
            <w:shd w:val="clear" w:color="auto" w:fill="FF9900"/>
            <w:hideMark/>
          </w:tcPr>
          <w:p w:rsidR="001D7232" w:rsidRPr="001244BB" w:rsidRDefault="001D7232" w:rsidP="0025274D">
            <w:pPr>
              <w:spacing w:after="0" w:line="240" w:lineRule="auto"/>
              <w:rPr>
                <w:rFonts w:eastAsia="Times New Roman" w:cstheme="minorHAnsi"/>
                <w:sz w:val="20"/>
                <w:szCs w:val="20"/>
                <w:lang w:eastAsia="en-NZ"/>
              </w:rPr>
            </w:pPr>
            <w:r w:rsidRPr="001244BB">
              <w:rPr>
                <w:rFonts w:eastAsia="Times New Roman" w:cstheme="minorHAnsi"/>
                <w:b/>
                <w:bCs/>
                <w:sz w:val="20"/>
                <w:szCs w:val="20"/>
                <w:lang w:eastAsia="en-NZ"/>
              </w:rPr>
              <w:lastRenderedPageBreak/>
              <w:t>What this tells us: </w:t>
            </w:r>
          </w:p>
        </w:tc>
      </w:tr>
      <w:tr w:rsidR="001D7232" w:rsidRPr="001244BB" w:rsidTr="00510AC5">
        <w:trPr>
          <w:trHeight w:val="255"/>
        </w:trPr>
        <w:tc>
          <w:tcPr>
            <w:tcW w:w="14176" w:type="dxa"/>
            <w:gridSpan w:val="8"/>
            <w:shd w:val="clear" w:color="auto" w:fill="auto"/>
            <w:hideMark/>
          </w:tcPr>
          <w:p w:rsidR="001D7232" w:rsidRPr="001244BB" w:rsidRDefault="001D7232" w:rsidP="0025274D">
            <w:pPr>
              <w:spacing w:after="0" w:line="240" w:lineRule="auto"/>
              <w:rPr>
                <w:rFonts w:eastAsia="Times New Roman" w:cstheme="minorHAnsi"/>
                <w:color w:val="000000"/>
                <w:sz w:val="20"/>
                <w:szCs w:val="20"/>
                <w:lang w:eastAsia="en-NZ"/>
              </w:rPr>
            </w:pPr>
            <w:r w:rsidRPr="001244BB">
              <w:rPr>
                <w:rFonts w:eastAsia="Times New Roman" w:cstheme="minorHAnsi"/>
                <w:color w:val="000000"/>
                <w:sz w:val="20"/>
                <w:szCs w:val="20"/>
                <w:lang w:eastAsia="en-NZ"/>
              </w:rPr>
              <w:t>How Wellington performs economically contributes to our city’s vibrancy and the quality of life it offers Wellingtonians. If we’re attracting and retaining visitors, talented new residents and business we can be confident that Wellington is a vibrant and desirable city to live in.</w:t>
            </w:r>
          </w:p>
        </w:tc>
      </w:tr>
    </w:tbl>
    <w:p w:rsidR="00D56DAD" w:rsidRPr="00D5126A" w:rsidRDefault="00D56DAD" w:rsidP="00846C1B">
      <w:pPr>
        <w:pStyle w:val="Heading4"/>
      </w:pPr>
      <w:r w:rsidRPr="00D5126A">
        <w:t>Performance data – Council performance measures</w:t>
      </w:r>
    </w:p>
    <w:p w:rsidR="00D56DAD" w:rsidRPr="00D5126A" w:rsidRDefault="00D56DAD" w:rsidP="00D56DAD">
      <w:pPr>
        <w:pStyle w:val="Para034"/>
        <w:spacing w:before="0" w:after="0" w:line="240" w:lineRule="auto"/>
        <w:rPr>
          <w:rFonts w:ascii="Arial" w:hAnsi="Arial" w:cs="Arial"/>
        </w:rPr>
      </w:pPr>
      <w:r w:rsidRPr="00D5126A">
        <w:rPr>
          <w:rFonts w:ascii="Arial" w:hAnsi="Arial" w:cs="Arial"/>
        </w:rPr>
        <w:t>The following section outlines Council performance measures for our Economic development services. It includes data for the last 3 years to show trends, and includes variances explanations for relevant areas.</w:t>
      </w:r>
    </w:p>
    <w:p w:rsidR="00D56DAD" w:rsidRPr="00D5126A" w:rsidRDefault="00D56DAD" w:rsidP="00D56DAD">
      <w:pPr>
        <w:spacing w:after="0"/>
        <w:rPr>
          <w:rStyle w:val="00Text"/>
          <w:rFonts w:ascii="Arial" w:hAnsi="Arial" w:cs="Arial"/>
        </w:rPr>
      </w:pPr>
      <w:bookmarkStart w:id="211" w:name="Case_study_Visitor_marketing_campaigns"/>
    </w:p>
    <w:tbl>
      <w:tblPr>
        <w:tblW w:w="14601" w:type="dxa"/>
        <w:tblInd w:w="-318" w:type="dxa"/>
        <w:tblBorders>
          <w:top w:val="single" w:sz="4" w:space="0" w:color="E36C0A" w:themeColor="accent6" w:themeShade="BF"/>
          <w:bottom w:val="single" w:sz="4" w:space="0" w:color="E36C0A" w:themeColor="accent6" w:themeShade="BF"/>
          <w:insideH w:val="single" w:sz="4" w:space="0" w:color="E36C0A" w:themeColor="accent6" w:themeShade="BF"/>
          <w:insideV w:val="single" w:sz="4" w:space="0" w:color="E36C0A" w:themeColor="accent6" w:themeShade="BF"/>
        </w:tblBorders>
        <w:tblLayout w:type="fixed"/>
        <w:tblLook w:val="04A0" w:firstRow="1" w:lastRow="0" w:firstColumn="1" w:lastColumn="0" w:noHBand="0" w:noVBand="1"/>
      </w:tblPr>
      <w:tblGrid>
        <w:gridCol w:w="3794"/>
        <w:gridCol w:w="9"/>
        <w:gridCol w:w="1443"/>
        <w:gridCol w:w="1417"/>
        <w:gridCol w:w="1276"/>
        <w:gridCol w:w="1418"/>
        <w:gridCol w:w="1134"/>
        <w:gridCol w:w="1134"/>
        <w:gridCol w:w="2976"/>
      </w:tblGrid>
      <w:tr w:rsidR="001D7232" w:rsidRPr="001244BB" w:rsidTr="00510AC5">
        <w:trPr>
          <w:trHeight w:val="510"/>
          <w:tblHeader/>
        </w:trPr>
        <w:tc>
          <w:tcPr>
            <w:tcW w:w="3794" w:type="dxa"/>
            <w:tcBorders>
              <w:bottom w:val="nil"/>
              <w:right w:val="single" w:sz="4" w:space="0" w:color="FFFFFF" w:themeColor="background1"/>
            </w:tcBorders>
            <w:shd w:val="clear" w:color="auto" w:fill="FF9900"/>
            <w:vAlign w:val="bottom"/>
            <w:hideMark/>
          </w:tcPr>
          <w:p w:rsidR="001D7232" w:rsidRPr="001244BB" w:rsidRDefault="001D7232" w:rsidP="0025274D">
            <w:pPr>
              <w:spacing w:after="0" w:line="240" w:lineRule="auto"/>
              <w:rPr>
                <w:rFonts w:eastAsia="Times New Roman" w:cstheme="minorHAnsi"/>
                <w:b/>
                <w:bCs/>
                <w:color w:val="FFFFFF" w:themeColor="background1"/>
                <w:lang w:eastAsia="en-NZ"/>
              </w:rPr>
            </w:pPr>
            <w:r w:rsidRPr="001244BB">
              <w:rPr>
                <w:rFonts w:eastAsia="Times New Roman" w:cstheme="minorHAnsi"/>
                <w:b/>
                <w:bCs/>
                <w:color w:val="FFFFFF" w:themeColor="background1"/>
                <w:lang w:eastAsia="en-NZ"/>
              </w:rPr>
              <w:t>Performance Measure</w:t>
            </w:r>
          </w:p>
        </w:tc>
        <w:tc>
          <w:tcPr>
            <w:tcW w:w="1452" w:type="dxa"/>
            <w:gridSpan w:val="2"/>
            <w:tcBorders>
              <w:left w:val="single" w:sz="4" w:space="0" w:color="FFFFFF" w:themeColor="background1"/>
              <w:bottom w:val="nil"/>
              <w:right w:val="single" w:sz="4" w:space="0" w:color="FFFFFF" w:themeColor="background1"/>
            </w:tcBorders>
            <w:shd w:val="clear" w:color="auto" w:fill="FF9900"/>
            <w:vAlign w:val="bottom"/>
            <w:hideMark/>
          </w:tcPr>
          <w:p w:rsidR="001D7232" w:rsidRPr="001244BB" w:rsidRDefault="001D7232" w:rsidP="0025274D">
            <w:pPr>
              <w:spacing w:after="0" w:line="240" w:lineRule="auto"/>
              <w:jc w:val="right"/>
              <w:rPr>
                <w:rFonts w:eastAsia="Times New Roman" w:cstheme="minorHAnsi"/>
                <w:b/>
                <w:bCs/>
                <w:color w:val="FFFFFF" w:themeColor="background1"/>
                <w:lang w:eastAsia="en-NZ"/>
              </w:rPr>
            </w:pPr>
            <w:r w:rsidRPr="001244BB">
              <w:rPr>
                <w:rFonts w:eastAsia="Times New Roman" w:cstheme="minorHAnsi"/>
                <w:b/>
                <w:bCs/>
                <w:color w:val="FFFFFF" w:themeColor="background1"/>
                <w:lang w:eastAsia="en-NZ"/>
              </w:rPr>
              <w:t>2016/17</w:t>
            </w:r>
            <w:r w:rsidRPr="001244BB">
              <w:rPr>
                <w:rFonts w:eastAsia="Times New Roman" w:cstheme="minorHAnsi"/>
                <w:b/>
                <w:bCs/>
                <w:color w:val="FFFFFF" w:themeColor="background1"/>
                <w:lang w:eastAsia="en-NZ"/>
              </w:rPr>
              <w:br/>
              <w:t>Actual</w:t>
            </w:r>
          </w:p>
        </w:tc>
        <w:tc>
          <w:tcPr>
            <w:tcW w:w="1417" w:type="dxa"/>
            <w:tcBorders>
              <w:left w:val="single" w:sz="4" w:space="0" w:color="FFFFFF" w:themeColor="background1"/>
              <w:bottom w:val="nil"/>
              <w:right w:val="single" w:sz="4" w:space="0" w:color="FFFFFF" w:themeColor="background1"/>
            </w:tcBorders>
            <w:shd w:val="clear" w:color="auto" w:fill="FF9900"/>
            <w:vAlign w:val="bottom"/>
            <w:hideMark/>
          </w:tcPr>
          <w:p w:rsidR="001D7232" w:rsidRPr="001244BB" w:rsidRDefault="001D7232" w:rsidP="0025274D">
            <w:pPr>
              <w:spacing w:after="0" w:line="240" w:lineRule="auto"/>
              <w:jc w:val="right"/>
              <w:rPr>
                <w:rFonts w:eastAsia="Times New Roman" w:cstheme="minorHAnsi"/>
                <w:b/>
                <w:bCs/>
                <w:color w:val="FFFFFF" w:themeColor="background1"/>
                <w:lang w:eastAsia="en-NZ"/>
              </w:rPr>
            </w:pPr>
            <w:r w:rsidRPr="001244BB">
              <w:rPr>
                <w:rFonts w:eastAsia="Times New Roman" w:cstheme="minorHAnsi"/>
                <w:b/>
                <w:bCs/>
                <w:color w:val="FFFFFF" w:themeColor="background1"/>
                <w:lang w:eastAsia="en-NZ"/>
              </w:rPr>
              <w:t>2017/18</w:t>
            </w:r>
            <w:r w:rsidRPr="001244BB">
              <w:rPr>
                <w:rFonts w:eastAsia="Times New Roman" w:cstheme="minorHAnsi"/>
                <w:b/>
                <w:bCs/>
                <w:color w:val="FFFFFF" w:themeColor="background1"/>
                <w:lang w:eastAsia="en-NZ"/>
              </w:rPr>
              <w:br/>
              <w:t>Actual</w:t>
            </w:r>
          </w:p>
        </w:tc>
        <w:tc>
          <w:tcPr>
            <w:tcW w:w="1276" w:type="dxa"/>
            <w:tcBorders>
              <w:left w:val="single" w:sz="4" w:space="0" w:color="FFFFFF" w:themeColor="background1"/>
              <w:bottom w:val="nil"/>
              <w:right w:val="single" w:sz="4" w:space="0" w:color="FFFFFF" w:themeColor="background1"/>
            </w:tcBorders>
            <w:shd w:val="clear" w:color="auto" w:fill="FF9900"/>
            <w:vAlign w:val="bottom"/>
            <w:hideMark/>
          </w:tcPr>
          <w:p w:rsidR="001D7232" w:rsidRPr="001244BB" w:rsidRDefault="001D7232" w:rsidP="0025274D">
            <w:pPr>
              <w:spacing w:after="0" w:line="240" w:lineRule="auto"/>
              <w:jc w:val="right"/>
              <w:rPr>
                <w:rFonts w:eastAsia="Times New Roman" w:cstheme="minorHAnsi"/>
                <w:b/>
                <w:bCs/>
                <w:color w:val="FFFFFF" w:themeColor="background1"/>
                <w:lang w:eastAsia="en-NZ"/>
              </w:rPr>
            </w:pPr>
            <w:r w:rsidRPr="001244BB">
              <w:rPr>
                <w:rFonts w:eastAsia="Times New Roman" w:cstheme="minorHAnsi"/>
                <w:b/>
                <w:bCs/>
                <w:color w:val="FFFFFF" w:themeColor="background1"/>
                <w:lang w:eastAsia="en-NZ"/>
              </w:rPr>
              <w:t>2018/19</w:t>
            </w:r>
            <w:r w:rsidRPr="001244BB">
              <w:rPr>
                <w:rFonts w:eastAsia="Times New Roman" w:cstheme="minorHAnsi"/>
                <w:b/>
                <w:bCs/>
                <w:color w:val="FFFFFF" w:themeColor="background1"/>
                <w:lang w:eastAsia="en-NZ"/>
              </w:rPr>
              <w:br/>
              <w:t>Actual</w:t>
            </w:r>
          </w:p>
        </w:tc>
        <w:tc>
          <w:tcPr>
            <w:tcW w:w="1418" w:type="dxa"/>
            <w:tcBorders>
              <w:left w:val="single" w:sz="4" w:space="0" w:color="FFFFFF" w:themeColor="background1"/>
              <w:bottom w:val="nil"/>
              <w:right w:val="single" w:sz="4" w:space="0" w:color="FFFFFF" w:themeColor="background1"/>
            </w:tcBorders>
            <w:shd w:val="clear" w:color="auto" w:fill="FF9900"/>
            <w:vAlign w:val="bottom"/>
            <w:hideMark/>
          </w:tcPr>
          <w:p w:rsidR="001D7232" w:rsidRPr="001244BB" w:rsidRDefault="001D7232" w:rsidP="0025274D">
            <w:pPr>
              <w:spacing w:after="0" w:line="240" w:lineRule="auto"/>
              <w:jc w:val="right"/>
              <w:rPr>
                <w:rFonts w:eastAsia="Times New Roman" w:cstheme="minorHAnsi"/>
                <w:b/>
                <w:bCs/>
                <w:color w:val="FFFFFF" w:themeColor="background1"/>
                <w:lang w:eastAsia="en-NZ"/>
              </w:rPr>
            </w:pPr>
            <w:r w:rsidRPr="001244BB">
              <w:rPr>
                <w:rFonts w:eastAsia="Times New Roman" w:cstheme="minorHAnsi"/>
                <w:b/>
                <w:bCs/>
                <w:color w:val="FFFFFF" w:themeColor="background1"/>
                <w:lang w:eastAsia="en-NZ"/>
              </w:rPr>
              <w:t>2018/19 Target</w:t>
            </w:r>
          </w:p>
        </w:tc>
        <w:tc>
          <w:tcPr>
            <w:tcW w:w="1134" w:type="dxa"/>
            <w:tcBorders>
              <w:left w:val="single" w:sz="4" w:space="0" w:color="FFFFFF" w:themeColor="background1"/>
              <w:bottom w:val="nil"/>
              <w:right w:val="single" w:sz="4" w:space="0" w:color="FFFFFF" w:themeColor="background1"/>
            </w:tcBorders>
            <w:shd w:val="clear" w:color="auto" w:fill="FF9900"/>
            <w:vAlign w:val="bottom"/>
            <w:hideMark/>
          </w:tcPr>
          <w:p w:rsidR="001D7232" w:rsidRPr="001244BB" w:rsidRDefault="001D7232" w:rsidP="0025274D">
            <w:pPr>
              <w:spacing w:after="0" w:line="240" w:lineRule="auto"/>
              <w:jc w:val="right"/>
              <w:rPr>
                <w:rFonts w:eastAsia="Times New Roman" w:cstheme="minorHAnsi"/>
                <w:b/>
                <w:bCs/>
                <w:color w:val="FFFFFF" w:themeColor="background1"/>
                <w:lang w:eastAsia="en-NZ"/>
              </w:rPr>
            </w:pPr>
            <w:r w:rsidRPr="001244BB">
              <w:rPr>
                <w:rFonts w:eastAsia="Times New Roman" w:cstheme="minorHAnsi"/>
                <w:b/>
                <w:bCs/>
                <w:color w:val="FFFFFF" w:themeColor="background1"/>
                <w:lang w:eastAsia="en-NZ"/>
              </w:rPr>
              <w:t>% Var.</w:t>
            </w:r>
          </w:p>
        </w:tc>
        <w:tc>
          <w:tcPr>
            <w:tcW w:w="1134" w:type="dxa"/>
            <w:tcBorders>
              <w:left w:val="single" w:sz="4" w:space="0" w:color="FFFFFF" w:themeColor="background1"/>
              <w:bottom w:val="nil"/>
              <w:right w:val="single" w:sz="4" w:space="0" w:color="FFFFFF" w:themeColor="background1"/>
            </w:tcBorders>
            <w:shd w:val="clear" w:color="auto" w:fill="FF9900"/>
            <w:vAlign w:val="bottom"/>
            <w:hideMark/>
          </w:tcPr>
          <w:p w:rsidR="001D7232" w:rsidRPr="001244BB" w:rsidRDefault="001D7232" w:rsidP="0025274D">
            <w:pPr>
              <w:spacing w:after="0" w:line="240" w:lineRule="auto"/>
              <w:jc w:val="right"/>
              <w:rPr>
                <w:rFonts w:eastAsia="Times New Roman" w:cstheme="minorHAnsi"/>
                <w:b/>
                <w:bCs/>
                <w:color w:val="FFFFFF" w:themeColor="background1"/>
                <w:lang w:eastAsia="en-NZ"/>
              </w:rPr>
            </w:pPr>
            <w:r>
              <w:rPr>
                <w:rFonts w:eastAsia="Times New Roman" w:cstheme="minorHAnsi"/>
                <w:b/>
                <w:bCs/>
                <w:color w:val="FFFFFF" w:themeColor="background1"/>
                <w:lang w:eastAsia="en-NZ"/>
              </w:rPr>
              <w:t>Status</w:t>
            </w:r>
          </w:p>
        </w:tc>
        <w:tc>
          <w:tcPr>
            <w:tcW w:w="2976" w:type="dxa"/>
            <w:tcBorders>
              <w:left w:val="single" w:sz="4" w:space="0" w:color="FFFFFF" w:themeColor="background1"/>
              <w:bottom w:val="nil"/>
            </w:tcBorders>
            <w:shd w:val="clear" w:color="auto" w:fill="FF9900"/>
            <w:vAlign w:val="bottom"/>
            <w:hideMark/>
          </w:tcPr>
          <w:p w:rsidR="001D7232" w:rsidRPr="001244BB" w:rsidRDefault="001D7232" w:rsidP="0025274D">
            <w:pPr>
              <w:spacing w:after="0" w:line="240" w:lineRule="auto"/>
              <w:rPr>
                <w:rFonts w:eastAsia="Times New Roman" w:cstheme="minorHAnsi"/>
                <w:b/>
                <w:bCs/>
                <w:color w:val="FFFFFF" w:themeColor="background1"/>
                <w:lang w:eastAsia="en-NZ"/>
              </w:rPr>
            </w:pPr>
            <w:r w:rsidRPr="001244BB">
              <w:rPr>
                <w:rFonts w:eastAsia="Times New Roman" w:cstheme="minorHAnsi"/>
                <w:b/>
                <w:bCs/>
                <w:color w:val="FFFFFF" w:themeColor="background1"/>
                <w:lang w:eastAsia="en-NZ"/>
              </w:rPr>
              <w:t>Comments</w:t>
            </w:r>
          </w:p>
        </w:tc>
      </w:tr>
      <w:tr w:rsidR="001D7232" w:rsidRPr="001244BB" w:rsidTr="00510AC5">
        <w:trPr>
          <w:trHeight w:val="390"/>
        </w:trPr>
        <w:tc>
          <w:tcPr>
            <w:tcW w:w="14601" w:type="dxa"/>
            <w:gridSpan w:val="9"/>
            <w:tcBorders>
              <w:top w:val="nil"/>
            </w:tcBorders>
            <w:shd w:val="clear" w:color="auto" w:fill="auto"/>
            <w:noWrap/>
            <w:hideMark/>
          </w:tcPr>
          <w:p w:rsidR="001D7232" w:rsidRPr="001244BB" w:rsidRDefault="001D7232" w:rsidP="0025274D">
            <w:pPr>
              <w:spacing w:after="0" w:line="240" w:lineRule="auto"/>
              <w:rPr>
                <w:rFonts w:eastAsia="Times New Roman" w:cstheme="minorHAnsi"/>
                <w:color w:val="000000"/>
                <w:sz w:val="20"/>
                <w:lang w:eastAsia="en-NZ"/>
              </w:rPr>
            </w:pPr>
            <w:r w:rsidRPr="001244BB">
              <w:rPr>
                <w:rFonts w:eastAsia="Times New Roman" w:cstheme="minorHAnsi"/>
                <w:b/>
                <w:bCs/>
                <w:color w:val="FF9900"/>
                <w:sz w:val="28"/>
                <w:szCs w:val="28"/>
                <w:lang w:eastAsia="en-NZ"/>
              </w:rPr>
              <w:t xml:space="preserve">3 Whanaketanga ōhanga | Economic Development </w:t>
            </w:r>
          </w:p>
        </w:tc>
      </w:tr>
      <w:tr w:rsidR="001D7232" w:rsidRPr="001244BB" w:rsidTr="00510AC5">
        <w:trPr>
          <w:trHeight w:val="255"/>
        </w:trPr>
        <w:tc>
          <w:tcPr>
            <w:tcW w:w="14601" w:type="dxa"/>
            <w:gridSpan w:val="9"/>
            <w:tcBorders>
              <w:bottom w:val="nil"/>
            </w:tcBorders>
            <w:shd w:val="clear" w:color="auto" w:fill="FF9900"/>
            <w:hideMark/>
          </w:tcPr>
          <w:p w:rsidR="001D7232" w:rsidRPr="001244BB" w:rsidRDefault="001D7232" w:rsidP="0025274D">
            <w:pPr>
              <w:spacing w:after="0" w:line="240" w:lineRule="auto"/>
              <w:rPr>
                <w:rFonts w:eastAsia="Times New Roman" w:cstheme="minorHAnsi"/>
                <w:color w:val="FFFFFF" w:themeColor="background1"/>
                <w:sz w:val="24"/>
                <w:lang w:eastAsia="en-NZ"/>
              </w:rPr>
            </w:pPr>
            <w:r w:rsidRPr="001244BB">
              <w:rPr>
                <w:rFonts w:eastAsia="Times New Roman" w:cstheme="minorHAnsi"/>
                <w:b/>
                <w:bCs/>
                <w:color w:val="FFFFFF" w:themeColor="background1"/>
                <w:sz w:val="24"/>
                <w:lang w:eastAsia="en-NZ"/>
              </w:rPr>
              <w:t>3.1 City promotions and business support </w:t>
            </w:r>
          </w:p>
        </w:tc>
      </w:tr>
      <w:tr w:rsidR="001D7232" w:rsidRPr="001244BB" w:rsidTr="00510AC5">
        <w:trPr>
          <w:trHeight w:val="255"/>
        </w:trPr>
        <w:tc>
          <w:tcPr>
            <w:tcW w:w="14601" w:type="dxa"/>
            <w:gridSpan w:val="9"/>
            <w:tcBorders>
              <w:top w:val="nil"/>
              <w:bottom w:val="nil"/>
            </w:tcBorders>
            <w:shd w:val="clear" w:color="auto" w:fill="FDE9D9" w:themeFill="accent6" w:themeFillTint="33"/>
            <w:hideMark/>
          </w:tcPr>
          <w:p w:rsidR="001D7232" w:rsidRPr="001244BB" w:rsidRDefault="001D7232" w:rsidP="0025274D">
            <w:pPr>
              <w:spacing w:after="0" w:line="240" w:lineRule="auto"/>
              <w:rPr>
                <w:rFonts w:eastAsia="Times New Roman" w:cstheme="minorHAnsi"/>
                <w:sz w:val="20"/>
                <w:lang w:eastAsia="en-NZ"/>
              </w:rPr>
            </w:pPr>
            <w:r w:rsidRPr="001244BB">
              <w:rPr>
                <w:rFonts w:eastAsia="Times New Roman" w:cstheme="minorHAnsi"/>
                <w:b/>
                <w:bCs/>
                <w:sz w:val="20"/>
                <w:lang w:eastAsia="en-NZ"/>
              </w:rPr>
              <w:t>Business Improvement Districts</w:t>
            </w:r>
          </w:p>
        </w:tc>
      </w:tr>
      <w:tr w:rsidR="001D7232" w:rsidRPr="001244BB" w:rsidTr="00510AC5">
        <w:trPr>
          <w:trHeight w:val="718"/>
        </w:trPr>
        <w:tc>
          <w:tcPr>
            <w:tcW w:w="3803" w:type="dxa"/>
            <w:gridSpan w:val="2"/>
            <w:tcBorders>
              <w:top w:val="nil"/>
              <w:bottom w:val="nil"/>
            </w:tcBorders>
            <w:shd w:val="clear" w:color="auto" w:fill="auto"/>
            <w:hideMark/>
          </w:tcPr>
          <w:p w:rsidR="001D7232" w:rsidRPr="001244BB" w:rsidRDefault="001D7232" w:rsidP="0025274D">
            <w:pPr>
              <w:spacing w:after="0" w:line="240" w:lineRule="auto"/>
              <w:rPr>
                <w:rFonts w:eastAsia="Times New Roman" w:cstheme="minorHAnsi"/>
                <w:color w:val="000000"/>
                <w:sz w:val="20"/>
                <w:lang w:eastAsia="en-NZ"/>
              </w:rPr>
            </w:pPr>
            <w:r w:rsidRPr="001244BB">
              <w:rPr>
                <w:rFonts w:eastAsia="Times New Roman" w:cstheme="minorHAnsi"/>
                <w:color w:val="000000"/>
                <w:sz w:val="20"/>
                <w:lang w:eastAsia="en-NZ"/>
              </w:rPr>
              <w:t>Total voluntary rates collected (from Business Improvement Districts) and distributed</w:t>
            </w:r>
          </w:p>
        </w:tc>
        <w:tc>
          <w:tcPr>
            <w:tcW w:w="1443" w:type="dxa"/>
            <w:tcBorders>
              <w:top w:val="nil"/>
              <w:bottom w:val="nil"/>
            </w:tcBorders>
            <w:shd w:val="clear" w:color="auto" w:fill="auto"/>
          </w:tcPr>
          <w:p w:rsidR="001D7232" w:rsidRPr="001244BB" w:rsidRDefault="001D7232" w:rsidP="0025274D">
            <w:pPr>
              <w:spacing w:after="0" w:line="240" w:lineRule="auto"/>
              <w:jc w:val="right"/>
              <w:rPr>
                <w:rFonts w:eastAsia="Times New Roman" w:cstheme="minorHAnsi"/>
                <w:color w:val="000000"/>
                <w:sz w:val="20"/>
                <w:lang w:eastAsia="en-NZ"/>
              </w:rPr>
            </w:pPr>
          </w:p>
        </w:tc>
        <w:tc>
          <w:tcPr>
            <w:tcW w:w="1417" w:type="dxa"/>
            <w:tcBorders>
              <w:top w:val="nil"/>
              <w:bottom w:val="nil"/>
            </w:tcBorders>
            <w:shd w:val="clear" w:color="auto" w:fill="auto"/>
            <w:noWrap/>
            <w:hideMark/>
          </w:tcPr>
          <w:p w:rsidR="001D7232" w:rsidRPr="001244BB" w:rsidRDefault="001D7232" w:rsidP="0025274D">
            <w:pPr>
              <w:spacing w:after="0" w:line="240" w:lineRule="auto"/>
              <w:jc w:val="right"/>
              <w:rPr>
                <w:rFonts w:eastAsia="Times New Roman" w:cstheme="minorHAnsi"/>
                <w:color w:val="000000"/>
                <w:sz w:val="20"/>
                <w:lang w:eastAsia="en-NZ"/>
              </w:rPr>
            </w:pPr>
            <w:r w:rsidRPr="001244BB">
              <w:rPr>
                <w:rFonts w:eastAsia="Times New Roman" w:cstheme="minorHAnsi"/>
                <w:color w:val="000000"/>
                <w:sz w:val="20"/>
                <w:lang w:eastAsia="en-NZ"/>
              </w:rPr>
              <w:t>new</w:t>
            </w:r>
          </w:p>
        </w:tc>
        <w:tc>
          <w:tcPr>
            <w:tcW w:w="1276" w:type="dxa"/>
            <w:tcBorders>
              <w:top w:val="nil"/>
              <w:bottom w:val="nil"/>
            </w:tcBorders>
            <w:shd w:val="clear" w:color="auto" w:fill="auto"/>
            <w:noWrap/>
            <w:hideMark/>
          </w:tcPr>
          <w:p w:rsidR="001D7232" w:rsidRPr="001244BB" w:rsidRDefault="001D7232" w:rsidP="0025274D">
            <w:pPr>
              <w:spacing w:after="0" w:line="240" w:lineRule="auto"/>
              <w:jc w:val="right"/>
              <w:rPr>
                <w:rFonts w:eastAsia="Times New Roman" w:cstheme="minorHAnsi"/>
                <w:color w:val="000000"/>
                <w:sz w:val="20"/>
                <w:lang w:eastAsia="en-NZ"/>
              </w:rPr>
            </w:pPr>
            <w:r w:rsidRPr="001244BB">
              <w:rPr>
                <w:rFonts w:eastAsia="Times New Roman" w:cstheme="minorHAnsi"/>
                <w:color w:val="000000"/>
                <w:sz w:val="20"/>
                <w:lang w:eastAsia="en-NZ"/>
              </w:rPr>
              <w:t>$  289,000</w:t>
            </w:r>
          </w:p>
        </w:tc>
        <w:tc>
          <w:tcPr>
            <w:tcW w:w="1418" w:type="dxa"/>
            <w:tcBorders>
              <w:top w:val="nil"/>
              <w:bottom w:val="nil"/>
            </w:tcBorders>
            <w:shd w:val="clear" w:color="000000" w:fill="D9D9D9"/>
            <w:hideMark/>
          </w:tcPr>
          <w:p w:rsidR="001D7232" w:rsidRPr="001244BB" w:rsidRDefault="001D7232" w:rsidP="0025274D">
            <w:pPr>
              <w:spacing w:after="0" w:line="240" w:lineRule="auto"/>
              <w:jc w:val="right"/>
              <w:rPr>
                <w:rFonts w:eastAsia="Times New Roman" w:cstheme="minorHAnsi"/>
                <w:color w:val="000000"/>
                <w:sz w:val="20"/>
                <w:lang w:eastAsia="en-NZ"/>
              </w:rPr>
            </w:pPr>
            <w:r w:rsidRPr="001244BB">
              <w:rPr>
                <w:rFonts w:eastAsia="Times New Roman" w:cstheme="minorHAnsi"/>
                <w:color w:val="000000"/>
                <w:sz w:val="20"/>
                <w:lang w:eastAsia="en-NZ"/>
              </w:rPr>
              <w:t>$289,000</w:t>
            </w:r>
          </w:p>
        </w:tc>
        <w:tc>
          <w:tcPr>
            <w:tcW w:w="1134" w:type="dxa"/>
            <w:tcBorders>
              <w:top w:val="nil"/>
              <w:bottom w:val="nil"/>
            </w:tcBorders>
            <w:shd w:val="clear" w:color="auto" w:fill="auto"/>
            <w:hideMark/>
          </w:tcPr>
          <w:p w:rsidR="001D7232" w:rsidRPr="001244BB" w:rsidRDefault="001D7232" w:rsidP="0025274D">
            <w:pPr>
              <w:spacing w:after="0" w:line="240" w:lineRule="auto"/>
              <w:jc w:val="right"/>
              <w:rPr>
                <w:rFonts w:eastAsia="Times New Roman" w:cstheme="minorHAnsi"/>
                <w:color w:val="000000"/>
                <w:sz w:val="20"/>
                <w:lang w:eastAsia="en-NZ"/>
              </w:rPr>
            </w:pPr>
            <w:r w:rsidRPr="001244BB">
              <w:rPr>
                <w:rFonts w:eastAsia="Times New Roman" w:cstheme="minorHAnsi"/>
                <w:color w:val="000000"/>
                <w:sz w:val="20"/>
                <w:lang w:eastAsia="en-NZ"/>
              </w:rPr>
              <w:t>0%</w:t>
            </w:r>
          </w:p>
        </w:tc>
        <w:tc>
          <w:tcPr>
            <w:tcW w:w="1134" w:type="dxa"/>
            <w:tcBorders>
              <w:top w:val="nil"/>
              <w:bottom w:val="nil"/>
            </w:tcBorders>
            <w:shd w:val="clear" w:color="auto" w:fill="auto"/>
            <w:hideMark/>
          </w:tcPr>
          <w:p w:rsidR="001D7232" w:rsidRPr="001244BB" w:rsidRDefault="00510AC5" w:rsidP="0025274D">
            <w:pPr>
              <w:spacing w:after="0" w:line="240" w:lineRule="auto"/>
              <w:jc w:val="right"/>
              <w:rPr>
                <w:rFonts w:eastAsia="Times New Roman" w:cstheme="minorHAnsi"/>
                <w:color w:val="000000"/>
                <w:sz w:val="20"/>
                <w:lang w:eastAsia="en-NZ"/>
              </w:rPr>
            </w:pPr>
            <w:r>
              <w:rPr>
                <w:rFonts w:eastAsia="Times New Roman" w:cstheme="minorHAnsi"/>
                <w:color w:val="000000"/>
                <w:sz w:val="20"/>
                <w:lang w:eastAsia="en-NZ"/>
              </w:rPr>
              <w:t>Within 10%</w:t>
            </w:r>
          </w:p>
        </w:tc>
        <w:tc>
          <w:tcPr>
            <w:tcW w:w="2976" w:type="dxa"/>
            <w:tcBorders>
              <w:top w:val="nil"/>
              <w:bottom w:val="nil"/>
            </w:tcBorders>
            <w:shd w:val="clear" w:color="auto" w:fill="auto"/>
          </w:tcPr>
          <w:p w:rsidR="001D7232" w:rsidRPr="001244BB" w:rsidRDefault="001D7232" w:rsidP="0025274D">
            <w:pPr>
              <w:spacing w:after="0" w:line="240" w:lineRule="auto"/>
              <w:rPr>
                <w:rFonts w:eastAsia="Times New Roman" w:cstheme="minorHAnsi"/>
                <w:color w:val="000000"/>
                <w:sz w:val="20"/>
                <w:lang w:eastAsia="en-NZ"/>
              </w:rPr>
            </w:pPr>
          </w:p>
        </w:tc>
      </w:tr>
      <w:tr w:rsidR="001D7232" w:rsidRPr="001244BB" w:rsidTr="00510AC5">
        <w:trPr>
          <w:trHeight w:val="315"/>
        </w:trPr>
        <w:tc>
          <w:tcPr>
            <w:tcW w:w="14601" w:type="dxa"/>
            <w:gridSpan w:val="9"/>
            <w:tcBorders>
              <w:top w:val="nil"/>
              <w:bottom w:val="nil"/>
            </w:tcBorders>
            <w:shd w:val="clear" w:color="auto" w:fill="FDE9D9" w:themeFill="accent6" w:themeFillTint="33"/>
            <w:vAlign w:val="center"/>
            <w:hideMark/>
          </w:tcPr>
          <w:p w:rsidR="001D7232" w:rsidRPr="001244BB" w:rsidRDefault="001D7232" w:rsidP="0025274D">
            <w:pPr>
              <w:spacing w:after="0" w:line="240" w:lineRule="auto"/>
              <w:rPr>
                <w:rFonts w:eastAsia="Times New Roman" w:cstheme="minorHAnsi"/>
                <w:b/>
                <w:bCs/>
                <w:sz w:val="20"/>
                <w:lang w:eastAsia="en-NZ"/>
              </w:rPr>
            </w:pPr>
            <w:r w:rsidRPr="001244BB">
              <w:rPr>
                <w:rFonts w:eastAsia="Times New Roman" w:cstheme="minorHAnsi"/>
                <w:b/>
                <w:bCs/>
                <w:sz w:val="20"/>
                <w:lang w:eastAsia="en-NZ"/>
              </w:rPr>
              <w:t>WREDA (WellingtonNZ)</w:t>
            </w:r>
          </w:p>
        </w:tc>
      </w:tr>
      <w:tr w:rsidR="001D7232" w:rsidRPr="001244BB" w:rsidTr="00510AC5">
        <w:trPr>
          <w:trHeight w:val="780"/>
        </w:trPr>
        <w:tc>
          <w:tcPr>
            <w:tcW w:w="3803" w:type="dxa"/>
            <w:gridSpan w:val="2"/>
            <w:tcBorders>
              <w:top w:val="nil"/>
            </w:tcBorders>
            <w:shd w:val="clear" w:color="auto" w:fill="auto"/>
            <w:hideMark/>
          </w:tcPr>
          <w:p w:rsidR="001D7232" w:rsidRPr="001244BB" w:rsidRDefault="001D7232" w:rsidP="0025274D">
            <w:pPr>
              <w:spacing w:after="0" w:line="240" w:lineRule="auto"/>
              <w:rPr>
                <w:rFonts w:eastAsia="Times New Roman" w:cstheme="minorHAnsi"/>
                <w:color w:val="000000"/>
                <w:sz w:val="20"/>
                <w:lang w:eastAsia="en-NZ"/>
              </w:rPr>
            </w:pPr>
            <w:r w:rsidRPr="001244BB">
              <w:rPr>
                <w:rFonts w:eastAsia="Times New Roman" w:cstheme="minorHAnsi"/>
                <w:color w:val="000000"/>
                <w:sz w:val="20"/>
                <w:lang w:eastAsia="en-NZ"/>
              </w:rPr>
              <w:t>Positively Wellington Tourism partnership funding</w:t>
            </w:r>
          </w:p>
        </w:tc>
        <w:tc>
          <w:tcPr>
            <w:tcW w:w="1443" w:type="dxa"/>
            <w:tcBorders>
              <w:top w:val="nil"/>
            </w:tcBorders>
            <w:shd w:val="clear" w:color="auto" w:fill="auto"/>
            <w:noWrap/>
            <w:hideMark/>
          </w:tcPr>
          <w:p w:rsidR="001D7232" w:rsidRPr="001244BB" w:rsidRDefault="001D7232" w:rsidP="0025274D">
            <w:pPr>
              <w:spacing w:after="0" w:line="240" w:lineRule="auto"/>
              <w:jc w:val="right"/>
              <w:rPr>
                <w:rFonts w:eastAsia="Times New Roman" w:cstheme="minorHAnsi"/>
                <w:color w:val="000000"/>
                <w:sz w:val="20"/>
                <w:lang w:eastAsia="en-NZ"/>
              </w:rPr>
            </w:pPr>
            <w:r w:rsidRPr="001244BB">
              <w:rPr>
                <w:rFonts w:eastAsia="Times New Roman" w:cstheme="minorHAnsi"/>
                <w:color w:val="000000"/>
                <w:sz w:val="20"/>
                <w:lang w:eastAsia="en-NZ"/>
              </w:rPr>
              <w:t>63%</w:t>
            </w:r>
          </w:p>
        </w:tc>
        <w:tc>
          <w:tcPr>
            <w:tcW w:w="1417" w:type="dxa"/>
            <w:tcBorders>
              <w:top w:val="nil"/>
            </w:tcBorders>
            <w:shd w:val="clear" w:color="auto" w:fill="auto"/>
            <w:noWrap/>
            <w:hideMark/>
          </w:tcPr>
          <w:p w:rsidR="001D7232" w:rsidRPr="001244BB" w:rsidRDefault="001D7232" w:rsidP="0025274D">
            <w:pPr>
              <w:spacing w:after="0" w:line="240" w:lineRule="auto"/>
              <w:jc w:val="right"/>
              <w:rPr>
                <w:rFonts w:eastAsia="Times New Roman" w:cstheme="minorHAnsi"/>
                <w:color w:val="000000"/>
                <w:sz w:val="20"/>
                <w:lang w:eastAsia="en-NZ"/>
              </w:rPr>
            </w:pPr>
            <w:r w:rsidRPr="001244BB">
              <w:rPr>
                <w:rFonts w:eastAsia="Times New Roman" w:cstheme="minorHAnsi"/>
                <w:color w:val="000000"/>
                <w:sz w:val="20"/>
                <w:lang w:eastAsia="en-NZ"/>
              </w:rPr>
              <w:t>52%</w:t>
            </w:r>
          </w:p>
        </w:tc>
        <w:tc>
          <w:tcPr>
            <w:tcW w:w="1276" w:type="dxa"/>
            <w:tcBorders>
              <w:top w:val="nil"/>
            </w:tcBorders>
            <w:shd w:val="clear" w:color="auto" w:fill="auto"/>
            <w:noWrap/>
            <w:hideMark/>
          </w:tcPr>
          <w:p w:rsidR="001D7232" w:rsidRPr="001244BB" w:rsidRDefault="001D7232" w:rsidP="0025274D">
            <w:pPr>
              <w:spacing w:after="0" w:line="240" w:lineRule="auto"/>
              <w:jc w:val="right"/>
              <w:rPr>
                <w:rFonts w:eastAsia="Times New Roman" w:cstheme="minorHAnsi"/>
                <w:color w:val="000000"/>
                <w:sz w:val="20"/>
                <w:lang w:eastAsia="en-NZ"/>
              </w:rPr>
            </w:pPr>
            <w:r w:rsidRPr="001244BB">
              <w:rPr>
                <w:rFonts w:eastAsia="Times New Roman" w:cstheme="minorHAnsi"/>
                <w:color w:val="000000"/>
                <w:sz w:val="20"/>
                <w:lang w:eastAsia="en-NZ"/>
              </w:rPr>
              <w:t>55%</w:t>
            </w:r>
          </w:p>
        </w:tc>
        <w:tc>
          <w:tcPr>
            <w:tcW w:w="1418" w:type="dxa"/>
            <w:tcBorders>
              <w:top w:val="nil"/>
            </w:tcBorders>
            <w:shd w:val="clear" w:color="000000" w:fill="D9D9D9"/>
            <w:hideMark/>
          </w:tcPr>
          <w:p w:rsidR="001D7232" w:rsidRPr="001244BB" w:rsidRDefault="001D7232" w:rsidP="0025274D">
            <w:pPr>
              <w:spacing w:after="0" w:line="240" w:lineRule="auto"/>
              <w:jc w:val="right"/>
              <w:rPr>
                <w:rFonts w:eastAsia="Times New Roman" w:cstheme="minorHAnsi"/>
                <w:color w:val="000000"/>
                <w:sz w:val="20"/>
                <w:lang w:eastAsia="en-NZ"/>
              </w:rPr>
            </w:pPr>
            <w:r w:rsidRPr="001244BB">
              <w:rPr>
                <w:rFonts w:eastAsia="Times New Roman" w:cstheme="minorHAnsi"/>
                <w:color w:val="000000"/>
                <w:sz w:val="20"/>
                <w:lang w:eastAsia="en-NZ"/>
              </w:rPr>
              <w:t>Maintain WCC funding at less than 50% of total income</w:t>
            </w:r>
          </w:p>
        </w:tc>
        <w:tc>
          <w:tcPr>
            <w:tcW w:w="1134" w:type="dxa"/>
            <w:tcBorders>
              <w:top w:val="nil"/>
            </w:tcBorders>
            <w:shd w:val="clear" w:color="auto" w:fill="auto"/>
            <w:hideMark/>
          </w:tcPr>
          <w:p w:rsidR="001D7232" w:rsidRPr="001244BB" w:rsidRDefault="001D7232" w:rsidP="0025274D">
            <w:pPr>
              <w:spacing w:after="0" w:line="240" w:lineRule="auto"/>
              <w:jc w:val="right"/>
              <w:rPr>
                <w:rFonts w:eastAsia="Times New Roman" w:cstheme="minorHAnsi"/>
                <w:color w:val="000000"/>
                <w:sz w:val="20"/>
                <w:lang w:eastAsia="en-NZ"/>
              </w:rPr>
            </w:pPr>
            <w:r w:rsidRPr="001244BB">
              <w:rPr>
                <w:rFonts w:eastAsia="Times New Roman" w:cstheme="minorHAnsi"/>
                <w:color w:val="000000"/>
                <w:sz w:val="20"/>
                <w:lang w:eastAsia="en-NZ"/>
              </w:rPr>
              <w:t>-10%</w:t>
            </w:r>
          </w:p>
        </w:tc>
        <w:tc>
          <w:tcPr>
            <w:tcW w:w="1134" w:type="dxa"/>
            <w:tcBorders>
              <w:top w:val="nil"/>
            </w:tcBorders>
            <w:shd w:val="clear" w:color="auto" w:fill="auto"/>
            <w:hideMark/>
          </w:tcPr>
          <w:p w:rsidR="001D7232" w:rsidRPr="001244BB" w:rsidRDefault="00510AC5" w:rsidP="0025274D">
            <w:pPr>
              <w:spacing w:after="0" w:line="240" w:lineRule="auto"/>
              <w:jc w:val="right"/>
              <w:rPr>
                <w:rFonts w:eastAsia="Times New Roman" w:cstheme="minorHAnsi"/>
                <w:color w:val="000000"/>
                <w:sz w:val="20"/>
                <w:lang w:eastAsia="en-NZ"/>
              </w:rPr>
            </w:pPr>
            <w:r>
              <w:rPr>
                <w:rFonts w:eastAsia="Times New Roman" w:cstheme="minorHAnsi"/>
                <w:color w:val="000000"/>
                <w:sz w:val="20"/>
                <w:lang w:eastAsia="en-NZ"/>
              </w:rPr>
              <w:t>Within 10%</w:t>
            </w:r>
          </w:p>
        </w:tc>
        <w:tc>
          <w:tcPr>
            <w:tcW w:w="2976" w:type="dxa"/>
            <w:tcBorders>
              <w:top w:val="nil"/>
            </w:tcBorders>
            <w:shd w:val="clear" w:color="auto" w:fill="FFFFFF" w:themeFill="background1"/>
            <w:hideMark/>
          </w:tcPr>
          <w:p w:rsidR="001D7232" w:rsidRPr="001244BB" w:rsidRDefault="001D7232" w:rsidP="0025274D">
            <w:pPr>
              <w:spacing w:after="0" w:line="240" w:lineRule="auto"/>
              <w:rPr>
                <w:rFonts w:eastAsia="Times New Roman" w:cstheme="minorHAnsi"/>
                <w:sz w:val="20"/>
                <w:lang w:eastAsia="en-NZ"/>
              </w:rPr>
            </w:pPr>
          </w:p>
        </w:tc>
      </w:tr>
      <w:tr w:rsidR="001D7232" w:rsidRPr="001244BB" w:rsidTr="00510AC5">
        <w:trPr>
          <w:trHeight w:val="270"/>
        </w:trPr>
        <w:tc>
          <w:tcPr>
            <w:tcW w:w="3803" w:type="dxa"/>
            <w:gridSpan w:val="2"/>
            <w:shd w:val="clear" w:color="auto" w:fill="auto"/>
            <w:hideMark/>
          </w:tcPr>
          <w:p w:rsidR="001D7232" w:rsidRPr="001244BB" w:rsidRDefault="001D7232" w:rsidP="0025274D">
            <w:pPr>
              <w:spacing w:after="0" w:line="240" w:lineRule="auto"/>
              <w:rPr>
                <w:rFonts w:eastAsia="Times New Roman" w:cstheme="minorHAnsi"/>
                <w:color w:val="000000"/>
                <w:sz w:val="20"/>
                <w:lang w:eastAsia="en-NZ"/>
              </w:rPr>
            </w:pPr>
            <w:r w:rsidRPr="001244BB">
              <w:rPr>
                <w:rFonts w:eastAsia="Times New Roman" w:cstheme="minorHAnsi"/>
                <w:color w:val="000000"/>
                <w:sz w:val="20"/>
                <w:lang w:eastAsia="en-NZ"/>
              </w:rPr>
              <w:t>Value of business events ($m)</w:t>
            </w:r>
          </w:p>
        </w:tc>
        <w:tc>
          <w:tcPr>
            <w:tcW w:w="1443" w:type="dxa"/>
            <w:shd w:val="clear" w:color="auto" w:fill="auto"/>
            <w:noWrap/>
            <w:hideMark/>
          </w:tcPr>
          <w:p w:rsidR="001D7232" w:rsidRPr="001244BB" w:rsidRDefault="001D7232" w:rsidP="0025274D">
            <w:pPr>
              <w:spacing w:after="0" w:line="240" w:lineRule="auto"/>
              <w:jc w:val="right"/>
              <w:rPr>
                <w:rFonts w:eastAsia="Times New Roman" w:cstheme="minorHAnsi"/>
                <w:color w:val="000000"/>
                <w:sz w:val="20"/>
                <w:lang w:eastAsia="en-NZ"/>
              </w:rPr>
            </w:pPr>
          </w:p>
        </w:tc>
        <w:tc>
          <w:tcPr>
            <w:tcW w:w="1417" w:type="dxa"/>
            <w:shd w:val="clear" w:color="auto" w:fill="auto"/>
            <w:noWrap/>
            <w:hideMark/>
          </w:tcPr>
          <w:p w:rsidR="001D7232" w:rsidRPr="001244BB" w:rsidRDefault="001D7232" w:rsidP="0025274D">
            <w:pPr>
              <w:spacing w:after="0" w:line="240" w:lineRule="auto"/>
              <w:jc w:val="right"/>
              <w:rPr>
                <w:rFonts w:eastAsia="Times New Roman" w:cstheme="minorHAnsi"/>
                <w:color w:val="000000"/>
                <w:sz w:val="20"/>
                <w:lang w:eastAsia="en-NZ"/>
              </w:rPr>
            </w:pPr>
            <w:r w:rsidRPr="001244BB">
              <w:rPr>
                <w:rFonts w:eastAsia="Times New Roman" w:cstheme="minorHAnsi"/>
                <w:color w:val="000000"/>
                <w:sz w:val="20"/>
                <w:lang w:eastAsia="en-NZ"/>
              </w:rPr>
              <w:t>New</w:t>
            </w:r>
          </w:p>
        </w:tc>
        <w:tc>
          <w:tcPr>
            <w:tcW w:w="1276" w:type="dxa"/>
            <w:shd w:val="clear" w:color="auto" w:fill="auto"/>
            <w:noWrap/>
            <w:hideMark/>
          </w:tcPr>
          <w:p w:rsidR="001D7232" w:rsidRPr="001244BB" w:rsidRDefault="001D7232" w:rsidP="0025274D">
            <w:pPr>
              <w:spacing w:after="0" w:line="240" w:lineRule="auto"/>
              <w:jc w:val="right"/>
              <w:rPr>
                <w:rFonts w:eastAsia="Times New Roman" w:cstheme="minorHAnsi"/>
                <w:color w:val="000000"/>
                <w:sz w:val="20"/>
                <w:lang w:eastAsia="en-NZ"/>
              </w:rPr>
            </w:pPr>
            <w:r w:rsidRPr="001244BB">
              <w:rPr>
                <w:rFonts w:eastAsia="Times New Roman" w:cstheme="minorHAnsi"/>
                <w:color w:val="000000"/>
                <w:sz w:val="20"/>
                <w:lang w:eastAsia="en-NZ"/>
              </w:rPr>
              <w:t>$19.3m</w:t>
            </w:r>
          </w:p>
        </w:tc>
        <w:tc>
          <w:tcPr>
            <w:tcW w:w="1418" w:type="dxa"/>
            <w:shd w:val="clear" w:color="000000" w:fill="D9D9D9"/>
            <w:hideMark/>
          </w:tcPr>
          <w:p w:rsidR="001D7232" w:rsidRPr="001244BB" w:rsidRDefault="001D7232" w:rsidP="0025274D">
            <w:pPr>
              <w:spacing w:after="0" w:line="240" w:lineRule="auto"/>
              <w:jc w:val="right"/>
              <w:rPr>
                <w:rFonts w:eastAsia="Times New Roman" w:cstheme="minorHAnsi"/>
                <w:color w:val="000000"/>
                <w:sz w:val="20"/>
                <w:lang w:eastAsia="en-NZ"/>
              </w:rPr>
            </w:pPr>
            <w:r w:rsidRPr="001244BB">
              <w:rPr>
                <w:rFonts w:eastAsia="Times New Roman" w:cstheme="minorHAnsi"/>
                <w:color w:val="000000"/>
                <w:sz w:val="20"/>
                <w:lang w:eastAsia="en-NZ"/>
              </w:rPr>
              <w:t>$25m</w:t>
            </w:r>
          </w:p>
        </w:tc>
        <w:tc>
          <w:tcPr>
            <w:tcW w:w="1134" w:type="dxa"/>
            <w:shd w:val="clear" w:color="auto" w:fill="auto"/>
            <w:hideMark/>
          </w:tcPr>
          <w:p w:rsidR="001D7232" w:rsidRPr="001244BB" w:rsidRDefault="001D7232" w:rsidP="0025274D">
            <w:pPr>
              <w:spacing w:after="0" w:line="240" w:lineRule="auto"/>
              <w:jc w:val="right"/>
              <w:rPr>
                <w:rFonts w:eastAsia="Times New Roman" w:cstheme="minorHAnsi"/>
                <w:sz w:val="20"/>
                <w:lang w:eastAsia="en-NZ"/>
              </w:rPr>
            </w:pPr>
            <w:r w:rsidRPr="001244BB">
              <w:rPr>
                <w:rFonts w:eastAsia="Times New Roman" w:cstheme="minorHAnsi"/>
                <w:sz w:val="20"/>
                <w:lang w:eastAsia="en-NZ"/>
              </w:rPr>
              <w:t>-23%</w:t>
            </w:r>
          </w:p>
        </w:tc>
        <w:tc>
          <w:tcPr>
            <w:tcW w:w="1134" w:type="dxa"/>
            <w:shd w:val="clear" w:color="auto" w:fill="auto"/>
            <w:hideMark/>
          </w:tcPr>
          <w:p w:rsidR="001D7232" w:rsidRPr="001244BB" w:rsidRDefault="001D7232" w:rsidP="0025274D">
            <w:pPr>
              <w:spacing w:after="0" w:line="240" w:lineRule="auto"/>
              <w:jc w:val="right"/>
              <w:rPr>
                <w:rFonts w:eastAsia="Times New Roman" w:cstheme="minorHAnsi"/>
                <w:sz w:val="20"/>
                <w:lang w:eastAsia="en-NZ"/>
              </w:rPr>
            </w:pPr>
            <w:r w:rsidRPr="001244BB">
              <w:rPr>
                <w:rFonts w:eastAsia="Times New Roman" w:cstheme="minorHAnsi"/>
                <w:sz w:val="20"/>
                <w:lang w:eastAsia="en-NZ"/>
              </w:rPr>
              <w:t>not met</w:t>
            </w:r>
          </w:p>
        </w:tc>
        <w:tc>
          <w:tcPr>
            <w:tcW w:w="2976" w:type="dxa"/>
            <w:shd w:val="clear" w:color="auto" w:fill="auto"/>
            <w:hideMark/>
          </w:tcPr>
          <w:p w:rsidR="001D7232" w:rsidRPr="001244BB" w:rsidRDefault="001D7232" w:rsidP="00FA5A13">
            <w:pPr>
              <w:spacing w:after="0" w:line="240" w:lineRule="auto"/>
              <w:rPr>
                <w:rFonts w:eastAsia="Times New Roman" w:cstheme="minorHAnsi"/>
                <w:color w:val="000000"/>
                <w:sz w:val="20"/>
                <w:lang w:eastAsia="en-NZ"/>
              </w:rPr>
            </w:pPr>
            <w:r w:rsidRPr="001244BB">
              <w:rPr>
                <w:rFonts w:eastAsia="Times New Roman" w:cstheme="minorHAnsi"/>
                <w:color w:val="000000"/>
                <w:sz w:val="20"/>
                <w:lang w:eastAsia="en-NZ"/>
              </w:rPr>
              <w:t xml:space="preserve">Wellington has </w:t>
            </w:r>
            <w:r w:rsidR="00FA5A13">
              <w:rPr>
                <w:rFonts w:eastAsia="Times New Roman" w:cstheme="minorHAnsi"/>
                <w:color w:val="000000"/>
                <w:sz w:val="20"/>
                <w:lang w:eastAsia="en-NZ"/>
              </w:rPr>
              <w:t>had</w:t>
            </w:r>
            <w:r w:rsidR="00FA5A13" w:rsidRPr="001244BB">
              <w:rPr>
                <w:rFonts w:eastAsia="Times New Roman" w:cstheme="minorHAnsi"/>
                <w:color w:val="000000"/>
                <w:sz w:val="20"/>
                <w:lang w:eastAsia="en-NZ"/>
              </w:rPr>
              <w:t xml:space="preserve"> </w:t>
            </w:r>
            <w:r w:rsidRPr="001244BB">
              <w:rPr>
                <w:rFonts w:eastAsia="Times New Roman" w:cstheme="minorHAnsi"/>
                <w:color w:val="000000"/>
                <w:sz w:val="20"/>
                <w:lang w:eastAsia="en-NZ"/>
              </w:rPr>
              <w:t xml:space="preserve">a reduction </w:t>
            </w:r>
            <w:r w:rsidR="00FA5A13">
              <w:rPr>
                <w:rFonts w:eastAsia="Times New Roman" w:cstheme="minorHAnsi"/>
                <w:color w:val="000000"/>
                <w:sz w:val="20"/>
                <w:lang w:eastAsia="en-NZ"/>
              </w:rPr>
              <w:t xml:space="preserve">in </w:t>
            </w:r>
            <w:r w:rsidRPr="001244BB">
              <w:rPr>
                <w:rFonts w:eastAsia="Times New Roman" w:cstheme="minorHAnsi"/>
                <w:color w:val="000000"/>
                <w:sz w:val="20"/>
                <w:lang w:eastAsia="en-NZ"/>
              </w:rPr>
              <w:t xml:space="preserve">business </w:t>
            </w:r>
            <w:proofErr w:type="gramStart"/>
            <w:r w:rsidRPr="001244BB">
              <w:rPr>
                <w:rFonts w:eastAsia="Times New Roman" w:cstheme="minorHAnsi"/>
                <w:color w:val="000000"/>
                <w:sz w:val="20"/>
                <w:lang w:eastAsia="en-NZ"/>
              </w:rPr>
              <w:t xml:space="preserve">events </w:t>
            </w:r>
            <w:r w:rsidR="00FA5A13">
              <w:rPr>
                <w:rFonts w:eastAsia="Times New Roman" w:cstheme="minorHAnsi"/>
                <w:color w:val="000000"/>
                <w:sz w:val="20"/>
                <w:lang w:eastAsia="en-NZ"/>
              </w:rPr>
              <w:t xml:space="preserve"> because</w:t>
            </w:r>
            <w:proofErr w:type="gramEnd"/>
            <w:r w:rsidR="00FA5A13">
              <w:rPr>
                <w:rFonts w:eastAsia="Times New Roman" w:cstheme="minorHAnsi"/>
                <w:color w:val="000000"/>
                <w:sz w:val="20"/>
                <w:lang w:eastAsia="en-NZ"/>
              </w:rPr>
              <w:t xml:space="preserve"> of </w:t>
            </w:r>
            <w:r w:rsidRPr="001244BB">
              <w:rPr>
                <w:rFonts w:eastAsia="Times New Roman" w:cstheme="minorHAnsi"/>
                <w:color w:val="000000"/>
                <w:sz w:val="20"/>
                <w:lang w:eastAsia="en-NZ"/>
              </w:rPr>
              <w:t xml:space="preserve">the closure of several venues </w:t>
            </w:r>
            <w:r w:rsidR="00FA5A13">
              <w:rPr>
                <w:rFonts w:eastAsia="Times New Roman" w:cstheme="minorHAnsi"/>
                <w:color w:val="000000"/>
                <w:sz w:val="20"/>
                <w:lang w:eastAsia="en-NZ"/>
              </w:rPr>
              <w:t>for</w:t>
            </w:r>
            <w:r w:rsidRPr="001244BB">
              <w:rPr>
                <w:rFonts w:eastAsia="Times New Roman" w:cstheme="minorHAnsi"/>
                <w:color w:val="000000"/>
                <w:sz w:val="20"/>
                <w:lang w:eastAsia="en-NZ"/>
              </w:rPr>
              <w:t xml:space="preserve"> seismic strengthening.</w:t>
            </w:r>
          </w:p>
        </w:tc>
      </w:tr>
      <w:tr w:rsidR="00510AC5" w:rsidRPr="001244BB" w:rsidTr="00510AC5">
        <w:trPr>
          <w:trHeight w:val="270"/>
        </w:trPr>
        <w:tc>
          <w:tcPr>
            <w:tcW w:w="3803" w:type="dxa"/>
            <w:gridSpan w:val="2"/>
            <w:shd w:val="clear" w:color="auto" w:fill="auto"/>
            <w:noWrap/>
            <w:hideMark/>
          </w:tcPr>
          <w:p w:rsidR="00510AC5" w:rsidRPr="001244BB" w:rsidRDefault="00510AC5" w:rsidP="00510AC5">
            <w:pPr>
              <w:spacing w:after="0" w:line="240" w:lineRule="auto"/>
              <w:rPr>
                <w:rFonts w:eastAsia="Times New Roman" w:cstheme="minorHAnsi"/>
                <w:color w:val="000000"/>
                <w:sz w:val="20"/>
                <w:lang w:eastAsia="en-NZ"/>
              </w:rPr>
            </w:pPr>
            <w:r w:rsidRPr="001244BB">
              <w:rPr>
                <w:rFonts w:eastAsia="Times New Roman" w:cstheme="minorHAnsi"/>
                <w:color w:val="000000"/>
                <w:sz w:val="20"/>
                <w:lang w:eastAsia="en-NZ"/>
              </w:rPr>
              <w:t>Total number of events held in Wellington</w:t>
            </w:r>
          </w:p>
        </w:tc>
        <w:tc>
          <w:tcPr>
            <w:tcW w:w="1443" w:type="dxa"/>
            <w:shd w:val="clear" w:color="auto" w:fill="FFFFFF" w:themeFill="background1"/>
            <w:noWrap/>
            <w:hideMark/>
          </w:tcPr>
          <w:p w:rsidR="00510AC5" w:rsidRPr="001244BB" w:rsidRDefault="00510AC5" w:rsidP="00510AC5">
            <w:pPr>
              <w:spacing w:after="0" w:line="240" w:lineRule="auto"/>
              <w:jc w:val="right"/>
              <w:rPr>
                <w:rFonts w:eastAsia="Times New Roman" w:cstheme="minorHAnsi"/>
                <w:color w:val="000000"/>
                <w:sz w:val="20"/>
                <w:lang w:eastAsia="en-NZ"/>
              </w:rPr>
            </w:pPr>
            <w:r w:rsidRPr="001244BB">
              <w:rPr>
                <w:rFonts w:eastAsia="Times New Roman" w:cstheme="minorHAnsi"/>
                <w:color w:val="000000"/>
                <w:sz w:val="20"/>
                <w:lang w:eastAsia="en-NZ"/>
              </w:rPr>
              <w:t>N/A</w:t>
            </w:r>
          </w:p>
        </w:tc>
        <w:tc>
          <w:tcPr>
            <w:tcW w:w="1417" w:type="dxa"/>
            <w:shd w:val="clear" w:color="auto" w:fill="auto"/>
            <w:noWrap/>
            <w:hideMark/>
          </w:tcPr>
          <w:p w:rsidR="00510AC5" w:rsidRPr="001244BB" w:rsidRDefault="00510AC5" w:rsidP="00510AC5">
            <w:pPr>
              <w:spacing w:after="0" w:line="240" w:lineRule="auto"/>
              <w:jc w:val="right"/>
              <w:rPr>
                <w:rFonts w:eastAsia="Times New Roman" w:cstheme="minorHAnsi"/>
                <w:color w:val="000000"/>
                <w:sz w:val="20"/>
                <w:lang w:eastAsia="en-NZ"/>
              </w:rPr>
            </w:pPr>
            <w:r w:rsidRPr="001244BB">
              <w:rPr>
                <w:rFonts w:eastAsia="Times New Roman" w:cstheme="minorHAnsi"/>
                <w:color w:val="000000"/>
                <w:sz w:val="20"/>
                <w:lang w:eastAsia="en-NZ"/>
              </w:rPr>
              <w:t>594</w:t>
            </w:r>
          </w:p>
        </w:tc>
        <w:tc>
          <w:tcPr>
            <w:tcW w:w="1276" w:type="dxa"/>
            <w:shd w:val="clear" w:color="auto" w:fill="auto"/>
            <w:noWrap/>
            <w:hideMark/>
          </w:tcPr>
          <w:p w:rsidR="00510AC5" w:rsidRPr="001244BB" w:rsidRDefault="00510AC5" w:rsidP="00510AC5">
            <w:pPr>
              <w:spacing w:after="0" w:line="240" w:lineRule="auto"/>
              <w:jc w:val="right"/>
              <w:rPr>
                <w:rFonts w:eastAsia="Times New Roman" w:cstheme="minorHAnsi"/>
                <w:color w:val="000000"/>
                <w:sz w:val="20"/>
                <w:lang w:eastAsia="en-NZ"/>
              </w:rPr>
            </w:pPr>
            <w:r w:rsidRPr="001244BB">
              <w:rPr>
                <w:rFonts w:eastAsia="Times New Roman" w:cstheme="minorHAnsi"/>
                <w:color w:val="000000"/>
                <w:sz w:val="20"/>
                <w:lang w:eastAsia="en-NZ"/>
              </w:rPr>
              <w:t>419</w:t>
            </w:r>
          </w:p>
        </w:tc>
        <w:tc>
          <w:tcPr>
            <w:tcW w:w="1418" w:type="dxa"/>
            <w:shd w:val="clear" w:color="000000" w:fill="D9D9D9"/>
            <w:hideMark/>
          </w:tcPr>
          <w:p w:rsidR="00510AC5" w:rsidRPr="001244BB" w:rsidRDefault="00510AC5" w:rsidP="00510AC5">
            <w:pPr>
              <w:spacing w:after="0" w:line="240" w:lineRule="auto"/>
              <w:jc w:val="right"/>
              <w:rPr>
                <w:rFonts w:eastAsia="Times New Roman" w:cstheme="minorHAnsi"/>
                <w:color w:val="000000"/>
                <w:sz w:val="20"/>
                <w:lang w:eastAsia="en-NZ"/>
              </w:rPr>
            </w:pPr>
            <w:r w:rsidRPr="001244BB">
              <w:rPr>
                <w:rFonts w:eastAsia="Times New Roman" w:cstheme="minorHAnsi"/>
                <w:color w:val="000000"/>
                <w:sz w:val="20"/>
                <w:lang w:eastAsia="en-NZ"/>
              </w:rPr>
              <w:t>440</w:t>
            </w:r>
          </w:p>
        </w:tc>
        <w:tc>
          <w:tcPr>
            <w:tcW w:w="1134" w:type="dxa"/>
            <w:shd w:val="clear" w:color="auto" w:fill="auto"/>
            <w:hideMark/>
          </w:tcPr>
          <w:p w:rsidR="00510AC5" w:rsidRPr="001244BB" w:rsidRDefault="00510AC5" w:rsidP="00510AC5">
            <w:pPr>
              <w:spacing w:after="0" w:line="240" w:lineRule="auto"/>
              <w:jc w:val="right"/>
              <w:rPr>
                <w:rFonts w:eastAsia="Times New Roman" w:cstheme="minorHAnsi"/>
                <w:color w:val="000000"/>
                <w:sz w:val="20"/>
                <w:lang w:eastAsia="en-NZ"/>
              </w:rPr>
            </w:pPr>
            <w:r w:rsidRPr="001244BB">
              <w:rPr>
                <w:rFonts w:eastAsia="Times New Roman" w:cstheme="minorHAnsi"/>
                <w:color w:val="000000"/>
                <w:sz w:val="20"/>
                <w:lang w:eastAsia="en-NZ"/>
              </w:rPr>
              <w:t>-5%</w:t>
            </w:r>
          </w:p>
        </w:tc>
        <w:tc>
          <w:tcPr>
            <w:tcW w:w="1134" w:type="dxa"/>
            <w:shd w:val="clear" w:color="auto" w:fill="auto"/>
            <w:hideMark/>
          </w:tcPr>
          <w:p w:rsidR="00510AC5" w:rsidRDefault="00510AC5" w:rsidP="00510AC5">
            <w:pPr>
              <w:spacing w:after="0"/>
              <w:jc w:val="right"/>
            </w:pPr>
            <w:r w:rsidRPr="00EA5A28">
              <w:rPr>
                <w:rFonts w:eastAsia="Times New Roman" w:cstheme="minorHAnsi"/>
                <w:color w:val="000000"/>
                <w:sz w:val="20"/>
                <w:lang w:eastAsia="en-NZ"/>
              </w:rPr>
              <w:t>Within 10%</w:t>
            </w:r>
          </w:p>
        </w:tc>
        <w:tc>
          <w:tcPr>
            <w:tcW w:w="2976" w:type="dxa"/>
            <w:shd w:val="clear" w:color="auto" w:fill="auto"/>
            <w:hideMark/>
          </w:tcPr>
          <w:p w:rsidR="00510AC5" w:rsidRPr="001244BB" w:rsidRDefault="00510AC5" w:rsidP="00510AC5">
            <w:pPr>
              <w:spacing w:after="0" w:line="240" w:lineRule="auto"/>
              <w:rPr>
                <w:rFonts w:eastAsia="Times New Roman" w:cstheme="minorHAnsi"/>
                <w:color w:val="000000"/>
                <w:sz w:val="20"/>
                <w:lang w:eastAsia="en-NZ"/>
              </w:rPr>
            </w:pPr>
          </w:p>
        </w:tc>
      </w:tr>
      <w:tr w:rsidR="00510AC5" w:rsidRPr="001244BB" w:rsidTr="00510AC5">
        <w:trPr>
          <w:trHeight w:val="270"/>
        </w:trPr>
        <w:tc>
          <w:tcPr>
            <w:tcW w:w="3803" w:type="dxa"/>
            <w:gridSpan w:val="2"/>
            <w:shd w:val="clear" w:color="auto" w:fill="auto"/>
            <w:hideMark/>
          </w:tcPr>
          <w:p w:rsidR="00510AC5" w:rsidRPr="001244BB" w:rsidRDefault="00510AC5" w:rsidP="00510AC5">
            <w:pPr>
              <w:spacing w:after="0" w:line="240" w:lineRule="auto"/>
              <w:rPr>
                <w:rFonts w:eastAsia="Times New Roman" w:cstheme="minorHAnsi"/>
                <w:color w:val="000000"/>
                <w:sz w:val="20"/>
                <w:lang w:eastAsia="en-NZ"/>
              </w:rPr>
            </w:pPr>
            <w:r w:rsidRPr="001244BB">
              <w:rPr>
                <w:rFonts w:eastAsia="Times New Roman" w:cstheme="minorHAnsi"/>
                <w:color w:val="000000"/>
                <w:sz w:val="20"/>
                <w:lang w:eastAsia="en-NZ"/>
              </w:rPr>
              <w:t>Wellington’s share of the multi</w:t>
            </w:r>
            <w:r>
              <w:rPr>
                <w:rFonts w:eastAsia="Times New Roman" w:cstheme="minorHAnsi"/>
                <w:color w:val="000000"/>
                <w:sz w:val="20"/>
                <w:lang w:eastAsia="en-NZ"/>
              </w:rPr>
              <w:t>-</w:t>
            </w:r>
            <w:r w:rsidRPr="001244BB">
              <w:rPr>
                <w:rFonts w:eastAsia="Times New Roman" w:cstheme="minorHAnsi"/>
                <w:color w:val="000000"/>
                <w:sz w:val="20"/>
                <w:lang w:eastAsia="en-NZ"/>
              </w:rPr>
              <w:t>day conferences</w:t>
            </w:r>
          </w:p>
        </w:tc>
        <w:tc>
          <w:tcPr>
            <w:tcW w:w="1443" w:type="dxa"/>
            <w:shd w:val="clear" w:color="auto" w:fill="auto"/>
            <w:noWrap/>
            <w:hideMark/>
          </w:tcPr>
          <w:p w:rsidR="00510AC5" w:rsidRPr="001244BB" w:rsidRDefault="00510AC5" w:rsidP="00510AC5">
            <w:pPr>
              <w:spacing w:after="0" w:line="240" w:lineRule="auto"/>
              <w:jc w:val="right"/>
              <w:rPr>
                <w:rFonts w:eastAsia="Times New Roman" w:cstheme="minorHAnsi"/>
                <w:color w:val="000000"/>
                <w:sz w:val="20"/>
                <w:lang w:eastAsia="en-NZ"/>
              </w:rPr>
            </w:pPr>
            <w:r w:rsidRPr="001244BB">
              <w:rPr>
                <w:rFonts w:eastAsia="Times New Roman" w:cstheme="minorHAnsi"/>
                <w:color w:val="000000"/>
                <w:sz w:val="20"/>
                <w:lang w:eastAsia="en-NZ"/>
              </w:rPr>
              <w:t>18%</w:t>
            </w:r>
          </w:p>
        </w:tc>
        <w:tc>
          <w:tcPr>
            <w:tcW w:w="1417" w:type="dxa"/>
            <w:shd w:val="clear" w:color="auto" w:fill="auto"/>
            <w:noWrap/>
            <w:hideMark/>
          </w:tcPr>
          <w:p w:rsidR="00510AC5" w:rsidRPr="001244BB" w:rsidRDefault="00510AC5" w:rsidP="00510AC5">
            <w:pPr>
              <w:spacing w:after="0" w:line="240" w:lineRule="auto"/>
              <w:jc w:val="right"/>
              <w:rPr>
                <w:rFonts w:eastAsia="Times New Roman" w:cstheme="minorHAnsi"/>
                <w:color w:val="000000"/>
                <w:sz w:val="20"/>
                <w:lang w:eastAsia="en-NZ"/>
              </w:rPr>
            </w:pPr>
            <w:r w:rsidRPr="001244BB">
              <w:rPr>
                <w:rFonts w:eastAsia="Times New Roman" w:cstheme="minorHAnsi"/>
                <w:color w:val="000000"/>
                <w:sz w:val="20"/>
                <w:lang w:eastAsia="en-NZ"/>
              </w:rPr>
              <w:t>20%</w:t>
            </w:r>
          </w:p>
        </w:tc>
        <w:tc>
          <w:tcPr>
            <w:tcW w:w="1276" w:type="dxa"/>
            <w:shd w:val="clear" w:color="auto" w:fill="auto"/>
            <w:noWrap/>
            <w:hideMark/>
          </w:tcPr>
          <w:p w:rsidR="00510AC5" w:rsidRPr="001244BB" w:rsidRDefault="00510AC5" w:rsidP="00510AC5">
            <w:pPr>
              <w:spacing w:after="0" w:line="240" w:lineRule="auto"/>
              <w:jc w:val="right"/>
              <w:rPr>
                <w:rFonts w:eastAsia="Times New Roman" w:cstheme="minorHAnsi"/>
                <w:color w:val="000000"/>
                <w:sz w:val="20"/>
                <w:lang w:eastAsia="en-NZ"/>
              </w:rPr>
            </w:pPr>
            <w:r w:rsidRPr="001244BB">
              <w:rPr>
                <w:rFonts w:eastAsia="Times New Roman" w:cstheme="minorHAnsi"/>
                <w:color w:val="000000"/>
                <w:sz w:val="20"/>
                <w:lang w:eastAsia="en-NZ"/>
              </w:rPr>
              <w:t>18%</w:t>
            </w:r>
          </w:p>
        </w:tc>
        <w:tc>
          <w:tcPr>
            <w:tcW w:w="1418" w:type="dxa"/>
            <w:shd w:val="clear" w:color="000000" w:fill="D9D9D9"/>
            <w:hideMark/>
          </w:tcPr>
          <w:p w:rsidR="00510AC5" w:rsidRPr="001244BB" w:rsidRDefault="00510AC5" w:rsidP="00510AC5">
            <w:pPr>
              <w:spacing w:after="0" w:line="240" w:lineRule="auto"/>
              <w:jc w:val="right"/>
              <w:rPr>
                <w:rFonts w:eastAsia="Times New Roman" w:cstheme="minorHAnsi"/>
                <w:color w:val="000000"/>
                <w:sz w:val="20"/>
                <w:lang w:eastAsia="en-NZ"/>
              </w:rPr>
            </w:pPr>
            <w:r w:rsidRPr="001244BB">
              <w:rPr>
                <w:rFonts w:eastAsia="Times New Roman" w:cstheme="minorHAnsi"/>
                <w:color w:val="000000"/>
                <w:sz w:val="20"/>
                <w:lang w:eastAsia="en-NZ"/>
              </w:rPr>
              <w:t>19%</w:t>
            </w:r>
          </w:p>
        </w:tc>
        <w:tc>
          <w:tcPr>
            <w:tcW w:w="1134" w:type="dxa"/>
            <w:shd w:val="clear" w:color="auto" w:fill="auto"/>
            <w:hideMark/>
          </w:tcPr>
          <w:p w:rsidR="00510AC5" w:rsidRPr="001244BB" w:rsidRDefault="00510AC5" w:rsidP="00510AC5">
            <w:pPr>
              <w:spacing w:after="0" w:line="240" w:lineRule="auto"/>
              <w:jc w:val="right"/>
              <w:rPr>
                <w:rFonts w:eastAsia="Times New Roman" w:cstheme="minorHAnsi"/>
                <w:color w:val="000000"/>
                <w:sz w:val="20"/>
                <w:lang w:eastAsia="en-NZ"/>
              </w:rPr>
            </w:pPr>
            <w:r w:rsidRPr="001244BB">
              <w:rPr>
                <w:rFonts w:eastAsia="Times New Roman" w:cstheme="minorHAnsi"/>
                <w:color w:val="000000"/>
                <w:sz w:val="20"/>
                <w:lang w:eastAsia="en-NZ"/>
              </w:rPr>
              <w:t>-5%</w:t>
            </w:r>
          </w:p>
        </w:tc>
        <w:tc>
          <w:tcPr>
            <w:tcW w:w="1134" w:type="dxa"/>
            <w:shd w:val="clear" w:color="auto" w:fill="auto"/>
            <w:hideMark/>
          </w:tcPr>
          <w:p w:rsidR="00510AC5" w:rsidRDefault="00510AC5" w:rsidP="00510AC5">
            <w:pPr>
              <w:spacing w:after="0"/>
              <w:jc w:val="right"/>
            </w:pPr>
            <w:r w:rsidRPr="00EA5A28">
              <w:rPr>
                <w:rFonts w:eastAsia="Times New Roman" w:cstheme="minorHAnsi"/>
                <w:color w:val="000000"/>
                <w:sz w:val="20"/>
                <w:lang w:eastAsia="en-NZ"/>
              </w:rPr>
              <w:t>Within 10%</w:t>
            </w:r>
          </w:p>
        </w:tc>
        <w:tc>
          <w:tcPr>
            <w:tcW w:w="2976" w:type="dxa"/>
            <w:shd w:val="clear" w:color="auto" w:fill="auto"/>
          </w:tcPr>
          <w:p w:rsidR="00510AC5" w:rsidRPr="001244BB" w:rsidRDefault="00510AC5" w:rsidP="00510AC5">
            <w:pPr>
              <w:spacing w:after="0" w:line="240" w:lineRule="auto"/>
              <w:rPr>
                <w:rFonts w:eastAsia="Times New Roman" w:cstheme="minorHAnsi"/>
                <w:color w:val="000000"/>
                <w:sz w:val="20"/>
                <w:lang w:eastAsia="en-NZ"/>
              </w:rPr>
            </w:pPr>
          </w:p>
        </w:tc>
      </w:tr>
      <w:tr w:rsidR="00510AC5" w:rsidRPr="001244BB" w:rsidTr="00510AC5">
        <w:trPr>
          <w:trHeight w:val="580"/>
        </w:trPr>
        <w:tc>
          <w:tcPr>
            <w:tcW w:w="3803" w:type="dxa"/>
            <w:gridSpan w:val="2"/>
            <w:shd w:val="clear" w:color="auto" w:fill="auto"/>
            <w:hideMark/>
          </w:tcPr>
          <w:p w:rsidR="00510AC5" w:rsidRPr="001244BB" w:rsidRDefault="00510AC5" w:rsidP="00510AC5">
            <w:pPr>
              <w:spacing w:after="0" w:line="240" w:lineRule="auto"/>
              <w:rPr>
                <w:rFonts w:eastAsia="Times New Roman" w:cstheme="minorHAnsi"/>
                <w:color w:val="000000"/>
                <w:sz w:val="20"/>
                <w:lang w:eastAsia="en-NZ"/>
              </w:rPr>
            </w:pPr>
            <w:r w:rsidRPr="001244BB">
              <w:rPr>
                <w:rFonts w:eastAsia="Times New Roman" w:cstheme="minorHAnsi"/>
                <w:color w:val="000000"/>
                <w:sz w:val="20"/>
                <w:lang w:eastAsia="en-NZ"/>
              </w:rPr>
              <w:t>Net permanent and long</w:t>
            </w:r>
            <w:r>
              <w:rPr>
                <w:rFonts w:eastAsia="Times New Roman" w:cstheme="minorHAnsi"/>
                <w:color w:val="000000"/>
                <w:sz w:val="20"/>
                <w:lang w:eastAsia="en-NZ"/>
              </w:rPr>
              <w:t>-</w:t>
            </w:r>
            <w:r w:rsidRPr="001244BB">
              <w:rPr>
                <w:rFonts w:eastAsia="Times New Roman" w:cstheme="minorHAnsi"/>
                <w:color w:val="000000"/>
                <w:sz w:val="20"/>
                <w:lang w:eastAsia="en-NZ"/>
              </w:rPr>
              <w:t>term arrivals</w:t>
            </w:r>
          </w:p>
        </w:tc>
        <w:tc>
          <w:tcPr>
            <w:tcW w:w="1443" w:type="dxa"/>
            <w:shd w:val="clear" w:color="auto" w:fill="auto"/>
            <w:noWrap/>
            <w:hideMark/>
          </w:tcPr>
          <w:p w:rsidR="00510AC5" w:rsidRPr="001244BB" w:rsidRDefault="00510AC5" w:rsidP="00510AC5">
            <w:pPr>
              <w:spacing w:after="0" w:line="240" w:lineRule="auto"/>
              <w:jc w:val="right"/>
              <w:rPr>
                <w:rFonts w:eastAsia="Times New Roman" w:cstheme="minorHAnsi"/>
                <w:color w:val="000000"/>
                <w:sz w:val="20"/>
                <w:lang w:eastAsia="en-NZ"/>
              </w:rPr>
            </w:pPr>
            <w:r w:rsidRPr="001244BB">
              <w:rPr>
                <w:rFonts w:eastAsia="Times New Roman" w:cstheme="minorHAnsi"/>
                <w:color w:val="000000"/>
                <w:sz w:val="20"/>
                <w:lang w:eastAsia="en-NZ"/>
              </w:rPr>
              <w:t>3,800</w:t>
            </w:r>
          </w:p>
        </w:tc>
        <w:tc>
          <w:tcPr>
            <w:tcW w:w="1417" w:type="dxa"/>
            <w:shd w:val="clear" w:color="auto" w:fill="auto"/>
            <w:noWrap/>
            <w:hideMark/>
          </w:tcPr>
          <w:p w:rsidR="00510AC5" w:rsidRPr="001244BB" w:rsidRDefault="00510AC5" w:rsidP="00510AC5">
            <w:pPr>
              <w:spacing w:after="0" w:line="240" w:lineRule="auto"/>
              <w:jc w:val="right"/>
              <w:rPr>
                <w:rFonts w:eastAsia="Times New Roman" w:cstheme="minorHAnsi"/>
                <w:color w:val="000000"/>
                <w:sz w:val="20"/>
                <w:lang w:eastAsia="en-NZ"/>
              </w:rPr>
            </w:pPr>
            <w:r w:rsidRPr="001244BB">
              <w:rPr>
                <w:rFonts w:eastAsia="Times New Roman" w:cstheme="minorHAnsi"/>
                <w:color w:val="000000"/>
                <w:sz w:val="20"/>
                <w:lang w:eastAsia="en-NZ"/>
              </w:rPr>
              <w:t>3,409</w:t>
            </w:r>
          </w:p>
        </w:tc>
        <w:tc>
          <w:tcPr>
            <w:tcW w:w="1276" w:type="dxa"/>
            <w:shd w:val="clear" w:color="auto" w:fill="auto"/>
            <w:noWrap/>
            <w:hideMark/>
          </w:tcPr>
          <w:p w:rsidR="00510AC5" w:rsidRPr="001244BB" w:rsidRDefault="00510AC5" w:rsidP="00510AC5">
            <w:pPr>
              <w:spacing w:after="0" w:line="240" w:lineRule="auto"/>
              <w:jc w:val="right"/>
              <w:rPr>
                <w:rFonts w:eastAsia="Times New Roman" w:cstheme="minorHAnsi"/>
                <w:color w:val="000000"/>
                <w:sz w:val="20"/>
                <w:lang w:eastAsia="en-NZ"/>
              </w:rPr>
            </w:pPr>
            <w:r w:rsidRPr="001244BB">
              <w:rPr>
                <w:rFonts w:eastAsia="Times New Roman" w:cstheme="minorHAnsi"/>
                <w:color w:val="000000"/>
                <w:sz w:val="20"/>
                <w:lang w:eastAsia="en-NZ"/>
              </w:rPr>
              <w:t>3,600</w:t>
            </w:r>
          </w:p>
        </w:tc>
        <w:tc>
          <w:tcPr>
            <w:tcW w:w="1418" w:type="dxa"/>
            <w:shd w:val="clear" w:color="000000" w:fill="D9D9D9"/>
            <w:hideMark/>
          </w:tcPr>
          <w:p w:rsidR="00510AC5" w:rsidRPr="001244BB" w:rsidRDefault="00510AC5" w:rsidP="00510AC5">
            <w:pPr>
              <w:spacing w:after="0" w:line="240" w:lineRule="auto"/>
              <w:jc w:val="right"/>
              <w:rPr>
                <w:rFonts w:eastAsia="Times New Roman" w:cstheme="minorHAnsi"/>
                <w:color w:val="000000"/>
                <w:sz w:val="20"/>
                <w:lang w:eastAsia="en-NZ"/>
              </w:rPr>
            </w:pPr>
            <w:r w:rsidRPr="001244BB">
              <w:rPr>
                <w:rFonts w:eastAsia="Times New Roman" w:cstheme="minorHAnsi"/>
                <w:color w:val="000000"/>
                <w:sz w:val="20"/>
                <w:lang w:eastAsia="en-NZ"/>
              </w:rPr>
              <w:t>3,650</w:t>
            </w:r>
          </w:p>
        </w:tc>
        <w:tc>
          <w:tcPr>
            <w:tcW w:w="1134" w:type="dxa"/>
            <w:shd w:val="clear" w:color="auto" w:fill="auto"/>
            <w:hideMark/>
          </w:tcPr>
          <w:p w:rsidR="00510AC5" w:rsidRPr="001244BB" w:rsidRDefault="00510AC5" w:rsidP="00510AC5">
            <w:pPr>
              <w:spacing w:after="0" w:line="240" w:lineRule="auto"/>
              <w:jc w:val="right"/>
              <w:rPr>
                <w:rFonts w:eastAsia="Times New Roman" w:cstheme="minorHAnsi"/>
                <w:color w:val="000000"/>
                <w:sz w:val="20"/>
                <w:lang w:eastAsia="en-NZ"/>
              </w:rPr>
            </w:pPr>
            <w:r w:rsidRPr="001244BB">
              <w:rPr>
                <w:rFonts w:eastAsia="Times New Roman" w:cstheme="minorHAnsi"/>
                <w:color w:val="000000"/>
                <w:sz w:val="20"/>
                <w:lang w:eastAsia="en-NZ"/>
              </w:rPr>
              <w:t>-1%</w:t>
            </w:r>
          </w:p>
        </w:tc>
        <w:tc>
          <w:tcPr>
            <w:tcW w:w="1134" w:type="dxa"/>
            <w:shd w:val="clear" w:color="auto" w:fill="auto"/>
            <w:hideMark/>
          </w:tcPr>
          <w:p w:rsidR="00510AC5" w:rsidRDefault="00510AC5" w:rsidP="00510AC5">
            <w:pPr>
              <w:spacing w:after="0"/>
              <w:jc w:val="right"/>
            </w:pPr>
            <w:r w:rsidRPr="00EA5A28">
              <w:rPr>
                <w:rFonts w:eastAsia="Times New Roman" w:cstheme="minorHAnsi"/>
                <w:color w:val="000000"/>
                <w:sz w:val="20"/>
                <w:lang w:eastAsia="en-NZ"/>
              </w:rPr>
              <w:t>Within 10%</w:t>
            </w:r>
          </w:p>
        </w:tc>
        <w:tc>
          <w:tcPr>
            <w:tcW w:w="2976" w:type="dxa"/>
            <w:shd w:val="clear" w:color="auto" w:fill="auto"/>
          </w:tcPr>
          <w:p w:rsidR="00510AC5" w:rsidRPr="001244BB" w:rsidRDefault="00510AC5" w:rsidP="00510AC5">
            <w:pPr>
              <w:spacing w:after="0" w:line="240" w:lineRule="auto"/>
              <w:rPr>
                <w:rFonts w:eastAsia="Times New Roman" w:cstheme="minorHAnsi"/>
                <w:color w:val="000000"/>
                <w:sz w:val="20"/>
                <w:lang w:eastAsia="en-NZ"/>
              </w:rPr>
            </w:pPr>
          </w:p>
        </w:tc>
      </w:tr>
      <w:tr w:rsidR="00510AC5" w:rsidRPr="001244BB" w:rsidTr="00510AC5">
        <w:trPr>
          <w:trHeight w:val="270"/>
        </w:trPr>
        <w:tc>
          <w:tcPr>
            <w:tcW w:w="3803" w:type="dxa"/>
            <w:gridSpan w:val="2"/>
            <w:shd w:val="clear" w:color="auto" w:fill="auto"/>
            <w:hideMark/>
          </w:tcPr>
          <w:p w:rsidR="00510AC5" w:rsidRPr="001244BB" w:rsidRDefault="00510AC5" w:rsidP="00510AC5">
            <w:pPr>
              <w:spacing w:after="0" w:line="240" w:lineRule="auto"/>
              <w:rPr>
                <w:rFonts w:eastAsia="Times New Roman" w:cstheme="minorHAnsi"/>
                <w:color w:val="000000"/>
                <w:sz w:val="20"/>
                <w:lang w:eastAsia="en-NZ"/>
              </w:rPr>
            </w:pPr>
            <w:r w:rsidRPr="001244BB">
              <w:rPr>
                <w:rFonts w:eastAsia="Times New Roman" w:cstheme="minorHAnsi"/>
                <w:color w:val="000000"/>
                <w:sz w:val="20"/>
                <w:lang w:eastAsia="en-NZ"/>
              </w:rPr>
              <w:t>Total visitor spend ($m)</w:t>
            </w:r>
          </w:p>
        </w:tc>
        <w:tc>
          <w:tcPr>
            <w:tcW w:w="1443" w:type="dxa"/>
            <w:shd w:val="clear" w:color="auto" w:fill="FFFFFF" w:themeFill="background1"/>
            <w:noWrap/>
            <w:hideMark/>
          </w:tcPr>
          <w:p w:rsidR="00510AC5" w:rsidRPr="001244BB" w:rsidRDefault="00510AC5" w:rsidP="00510AC5">
            <w:pPr>
              <w:spacing w:after="0" w:line="240" w:lineRule="auto"/>
              <w:jc w:val="right"/>
              <w:rPr>
                <w:rFonts w:eastAsia="Times New Roman" w:cstheme="minorHAnsi"/>
                <w:color w:val="000000"/>
                <w:sz w:val="20"/>
                <w:lang w:eastAsia="en-NZ"/>
              </w:rPr>
            </w:pPr>
            <w:r w:rsidRPr="001244BB">
              <w:rPr>
                <w:rFonts w:eastAsia="Times New Roman" w:cstheme="minorHAnsi"/>
                <w:color w:val="000000"/>
                <w:sz w:val="20"/>
                <w:lang w:eastAsia="en-NZ"/>
              </w:rPr>
              <w:t>$2.422</w:t>
            </w:r>
          </w:p>
        </w:tc>
        <w:tc>
          <w:tcPr>
            <w:tcW w:w="1417" w:type="dxa"/>
            <w:shd w:val="clear" w:color="auto" w:fill="FFFFFF" w:themeFill="background1"/>
            <w:noWrap/>
            <w:hideMark/>
          </w:tcPr>
          <w:p w:rsidR="00510AC5" w:rsidRPr="001244BB" w:rsidRDefault="00510AC5" w:rsidP="00510AC5">
            <w:pPr>
              <w:spacing w:after="0" w:line="240" w:lineRule="auto"/>
              <w:jc w:val="right"/>
              <w:rPr>
                <w:rFonts w:eastAsia="Times New Roman" w:cstheme="minorHAnsi"/>
                <w:color w:val="000000"/>
                <w:sz w:val="20"/>
                <w:lang w:eastAsia="en-NZ"/>
              </w:rPr>
            </w:pPr>
            <w:r w:rsidRPr="001244BB">
              <w:rPr>
                <w:rFonts w:eastAsia="Times New Roman" w:cstheme="minorHAnsi"/>
                <w:color w:val="000000"/>
                <w:sz w:val="20"/>
                <w:lang w:eastAsia="en-NZ"/>
              </w:rPr>
              <w:t>$2.530</w:t>
            </w:r>
          </w:p>
        </w:tc>
        <w:tc>
          <w:tcPr>
            <w:tcW w:w="1276" w:type="dxa"/>
            <w:shd w:val="clear" w:color="auto" w:fill="auto"/>
            <w:noWrap/>
            <w:hideMark/>
          </w:tcPr>
          <w:p w:rsidR="00510AC5" w:rsidRPr="001244BB" w:rsidRDefault="00510AC5" w:rsidP="00510AC5">
            <w:pPr>
              <w:spacing w:after="0" w:line="240" w:lineRule="auto"/>
              <w:jc w:val="right"/>
              <w:rPr>
                <w:rFonts w:eastAsia="Times New Roman" w:cstheme="minorHAnsi"/>
                <w:color w:val="000000"/>
                <w:sz w:val="20"/>
                <w:lang w:eastAsia="en-NZ"/>
              </w:rPr>
            </w:pPr>
            <w:r w:rsidRPr="001244BB">
              <w:rPr>
                <w:rFonts w:eastAsia="Times New Roman" w:cstheme="minorHAnsi"/>
                <w:color w:val="000000"/>
                <w:sz w:val="20"/>
                <w:lang w:eastAsia="en-NZ"/>
              </w:rPr>
              <w:t>$      2.702</w:t>
            </w:r>
          </w:p>
        </w:tc>
        <w:tc>
          <w:tcPr>
            <w:tcW w:w="1418" w:type="dxa"/>
            <w:shd w:val="clear" w:color="000000" w:fill="D9D9D9"/>
            <w:hideMark/>
          </w:tcPr>
          <w:p w:rsidR="00510AC5" w:rsidRPr="001244BB" w:rsidRDefault="00510AC5" w:rsidP="00510AC5">
            <w:pPr>
              <w:spacing w:after="0" w:line="240" w:lineRule="auto"/>
              <w:jc w:val="right"/>
              <w:rPr>
                <w:rFonts w:eastAsia="Times New Roman" w:cstheme="minorHAnsi"/>
                <w:color w:val="000000"/>
                <w:sz w:val="20"/>
                <w:lang w:eastAsia="en-NZ"/>
              </w:rPr>
            </w:pPr>
            <w:r w:rsidRPr="001244BB">
              <w:rPr>
                <w:rFonts w:eastAsia="Times New Roman" w:cstheme="minorHAnsi"/>
                <w:color w:val="000000"/>
                <w:sz w:val="20"/>
                <w:lang w:eastAsia="en-NZ"/>
              </w:rPr>
              <w:t>$2,640m</w:t>
            </w:r>
          </w:p>
        </w:tc>
        <w:tc>
          <w:tcPr>
            <w:tcW w:w="1134" w:type="dxa"/>
            <w:shd w:val="clear" w:color="auto" w:fill="auto"/>
            <w:hideMark/>
          </w:tcPr>
          <w:p w:rsidR="00510AC5" w:rsidRPr="001244BB" w:rsidRDefault="00510AC5" w:rsidP="00510AC5">
            <w:pPr>
              <w:spacing w:after="0" w:line="240" w:lineRule="auto"/>
              <w:jc w:val="right"/>
              <w:rPr>
                <w:rFonts w:eastAsia="Times New Roman" w:cstheme="minorHAnsi"/>
                <w:color w:val="000000"/>
                <w:sz w:val="20"/>
                <w:lang w:eastAsia="en-NZ"/>
              </w:rPr>
            </w:pPr>
            <w:r w:rsidRPr="001244BB">
              <w:rPr>
                <w:rFonts w:eastAsia="Times New Roman" w:cstheme="minorHAnsi"/>
                <w:color w:val="000000"/>
                <w:sz w:val="20"/>
                <w:lang w:eastAsia="en-NZ"/>
              </w:rPr>
              <w:t>2%</w:t>
            </w:r>
          </w:p>
        </w:tc>
        <w:tc>
          <w:tcPr>
            <w:tcW w:w="1134" w:type="dxa"/>
            <w:shd w:val="clear" w:color="auto" w:fill="auto"/>
            <w:hideMark/>
          </w:tcPr>
          <w:p w:rsidR="00510AC5" w:rsidRDefault="00510AC5" w:rsidP="00510AC5">
            <w:pPr>
              <w:spacing w:after="0"/>
              <w:jc w:val="right"/>
            </w:pPr>
            <w:r w:rsidRPr="00EA5A28">
              <w:rPr>
                <w:rFonts w:eastAsia="Times New Roman" w:cstheme="minorHAnsi"/>
                <w:color w:val="000000"/>
                <w:sz w:val="20"/>
                <w:lang w:eastAsia="en-NZ"/>
              </w:rPr>
              <w:t>Within 10%</w:t>
            </w:r>
          </w:p>
        </w:tc>
        <w:tc>
          <w:tcPr>
            <w:tcW w:w="2976" w:type="dxa"/>
            <w:shd w:val="clear" w:color="auto" w:fill="auto"/>
          </w:tcPr>
          <w:p w:rsidR="00510AC5" w:rsidRPr="001244BB" w:rsidRDefault="00510AC5" w:rsidP="00510AC5">
            <w:pPr>
              <w:spacing w:after="0" w:line="240" w:lineRule="auto"/>
              <w:rPr>
                <w:rFonts w:eastAsia="Times New Roman" w:cstheme="minorHAnsi"/>
                <w:color w:val="000000"/>
                <w:sz w:val="20"/>
                <w:lang w:eastAsia="en-NZ"/>
              </w:rPr>
            </w:pPr>
          </w:p>
        </w:tc>
      </w:tr>
      <w:tr w:rsidR="00510AC5" w:rsidRPr="001244BB" w:rsidTr="00510AC5">
        <w:trPr>
          <w:trHeight w:val="525"/>
        </w:trPr>
        <w:tc>
          <w:tcPr>
            <w:tcW w:w="3803" w:type="dxa"/>
            <w:gridSpan w:val="2"/>
            <w:shd w:val="clear" w:color="auto" w:fill="auto"/>
            <w:hideMark/>
          </w:tcPr>
          <w:p w:rsidR="00510AC5" w:rsidRPr="001244BB" w:rsidRDefault="00510AC5" w:rsidP="00510AC5">
            <w:pPr>
              <w:spacing w:after="0" w:line="240" w:lineRule="auto"/>
              <w:rPr>
                <w:rFonts w:eastAsia="Times New Roman" w:cstheme="minorHAnsi"/>
                <w:color w:val="000000"/>
                <w:sz w:val="20"/>
                <w:lang w:eastAsia="en-NZ"/>
              </w:rPr>
            </w:pPr>
            <w:r w:rsidRPr="001244BB">
              <w:rPr>
                <w:rFonts w:eastAsia="Times New Roman" w:cstheme="minorHAnsi"/>
                <w:color w:val="000000"/>
                <w:sz w:val="20"/>
                <w:lang w:eastAsia="en-NZ"/>
              </w:rPr>
              <w:t xml:space="preserve">Return on </w:t>
            </w:r>
            <w:r>
              <w:rPr>
                <w:rFonts w:eastAsia="Times New Roman" w:cstheme="minorHAnsi"/>
                <w:color w:val="000000"/>
                <w:sz w:val="20"/>
                <w:lang w:eastAsia="en-NZ"/>
              </w:rPr>
              <w:t>i</w:t>
            </w:r>
            <w:r w:rsidRPr="001244BB">
              <w:rPr>
                <w:rFonts w:eastAsia="Times New Roman" w:cstheme="minorHAnsi"/>
                <w:color w:val="000000"/>
                <w:sz w:val="20"/>
                <w:lang w:eastAsia="en-NZ"/>
              </w:rPr>
              <w:t>nvestment via out</w:t>
            </w:r>
            <w:r>
              <w:rPr>
                <w:rFonts w:eastAsia="Times New Roman" w:cstheme="minorHAnsi"/>
                <w:color w:val="000000"/>
                <w:sz w:val="20"/>
                <w:lang w:eastAsia="en-NZ"/>
              </w:rPr>
              <w:t>-</w:t>
            </w:r>
            <w:r w:rsidRPr="001244BB">
              <w:rPr>
                <w:rFonts w:eastAsia="Times New Roman" w:cstheme="minorHAnsi"/>
                <w:color w:val="000000"/>
                <w:sz w:val="20"/>
                <w:lang w:eastAsia="en-NZ"/>
              </w:rPr>
              <w:t>of</w:t>
            </w:r>
            <w:r>
              <w:rPr>
                <w:rFonts w:eastAsia="Times New Roman" w:cstheme="minorHAnsi"/>
                <w:color w:val="000000"/>
                <w:sz w:val="20"/>
                <w:lang w:eastAsia="en-NZ"/>
              </w:rPr>
              <w:t>-</w:t>
            </w:r>
            <w:r w:rsidRPr="001244BB">
              <w:rPr>
                <w:rFonts w:eastAsia="Times New Roman" w:cstheme="minorHAnsi"/>
                <w:color w:val="000000"/>
                <w:sz w:val="20"/>
                <w:lang w:eastAsia="en-NZ"/>
              </w:rPr>
              <w:t>Wellington spend</w:t>
            </w:r>
          </w:p>
        </w:tc>
        <w:tc>
          <w:tcPr>
            <w:tcW w:w="1443" w:type="dxa"/>
            <w:shd w:val="clear" w:color="auto" w:fill="FFFFFF" w:themeFill="background1"/>
            <w:noWrap/>
            <w:hideMark/>
          </w:tcPr>
          <w:p w:rsidR="00510AC5" w:rsidRPr="001244BB" w:rsidRDefault="00510AC5" w:rsidP="00510AC5">
            <w:pPr>
              <w:spacing w:after="0" w:line="240" w:lineRule="auto"/>
              <w:jc w:val="right"/>
              <w:rPr>
                <w:rFonts w:eastAsia="Times New Roman" w:cstheme="minorHAnsi"/>
                <w:color w:val="000000"/>
                <w:sz w:val="20"/>
                <w:lang w:eastAsia="en-NZ"/>
              </w:rPr>
            </w:pPr>
            <w:r w:rsidRPr="001244BB">
              <w:rPr>
                <w:rFonts w:eastAsia="Times New Roman" w:cstheme="minorHAnsi"/>
                <w:color w:val="000000"/>
                <w:sz w:val="20"/>
                <w:lang w:eastAsia="en-NZ"/>
              </w:rPr>
              <w:t>$21:$1</w:t>
            </w:r>
          </w:p>
        </w:tc>
        <w:tc>
          <w:tcPr>
            <w:tcW w:w="1417" w:type="dxa"/>
            <w:shd w:val="clear" w:color="auto" w:fill="FFFFFF" w:themeFill="background1"/>
            <w:noWrap/>
            <w:hideMark/>
          </w:tcPr>
          <w:p w:rsidR="00510AC5" w:rsidRPr="001244BB" w:rsidRDefault="00510AC5" w:rsidP="00510AC5">
            <w:pPr>
              <w:spacing w:after="0" w:line="240" w:lineRule="auto"/>
              <w:jc w:val="right"/>
              <w:rPr>
                <w:rFonts w:eastAsia="Times New Roman" w:cstheme="minorHAnsi"/>
                <w:color w:val="000000"/>
                <w:sz w:val="20"/>
                <w:lang w:eastAsia="en-NZ"/>
              </w:rPr>
            </w:pPr>
            <w:r w:rsidRPr="001244BB">
              <w:rPr>
                <w:rFonts w:eastAsia="Times New Roman" w:cstheme="minorHAnsi"/>
                <w:color w:val="000000"/>
                <w:sz w:val="20"/>
                <w:lang w:eastAsia="en-NZ"/>
              </w:rPr>
              <w:t>$21:$1</w:t>
            </w:r>
          </w:p>
        </w:tc>
        <w:tc>
          <w:tcPr>
            <w:tcW w:w="1276" w:type="dxa"/>
            <w:shd w:val="clear" w:color="auto" w:fill="FFFFFF" w:themeFill="background1"/>
            <w:noWrap/>
            <w:hideMark/>
          </w:tcPr>
          <w:p w:rsidR="00510AC5" w:rsidRPr="001244BB" w:rsidRDefault="00510AC5" w:rsidP="00510AC5">
            <w:pPr>
              <w:spacing w:after="0" w:line="240" w:lineRule="auto"/>
              <w:jc w:val="right"/>
              <w:rPr>
                <w:rFonts w:eastAsia="Times New Roman" w:cstheme="minorHAnsi"/>
                <w:color w:val="000000"/>
                <w:sz w:val="20"/>
                <w:lang w:eastAsia="en-NZ"/>
              </w:rPr>
            </w:pPr>
            <w:r w:rsidRPr="001244BB">
              <w:rPr>
                <w:rFonts w:eastAsia="Times New Roman" w:cstheme="minorHAnsi"/>
                <w:color w:val="000000"/>
                <w:sz w:val="20"/>
                <w:lang w:eastAsia="en-NZ"/>
              </w:rPr>
              <w:t>$22:$1</w:t>
            </w:r>
          </w:p>
        </w:tc>
        <w:tc>
          <w:tcPr>
            <w:tcW w:w="1418" w:type="dxa"/>
            <w:shd w:val="clear" w:color="000000" w:fill="D9D9D9"/>
            <w:hideMark/>
          </w:tcPr>
          <w:p w:rsidR="00510AC5" w:rsidRPr="001244BB" w:rsidRDefault="00510AC5" w:rsidP="00510AC5">
            <w:pPr>
              <w:spacing w:after="0" w:line="240" w:lineRule="auto"/>
              <w:jc w:val="right"/>
              <w:rPr>
                <w:rFonts w:eastAsia="Times New Roman" w:cstheme="minorHAnsi"/>
                <w:color w:val="000000"/>
                <w:sz w:val="20"/>
                <w:lang w:eastAsia="en-NZ"/>
              </w:rPr>
            </w:pPr>
          </w:p>
        </w:tc>
        <w:tc>
          <w:tcPr>
            <w:tcW w:w="1134" w:type="dxa"/>
            <w:shd w:val="clear" w:color="auto" w:fill="auto"/>
            <w:hideMark/>
          </w:tcPr>
          <w:p w:rsidR="00510AC5" w:rsidRPr="001244BB" w:rsidRDefault="00510AC5" w:rsidP="00510AC5">
            <w:pPr>
              <w:spacing w:after="0" w:line="240" w:lineRule="auto"/>
              <w:jc w:val="right"/>
              <w:rPr>
                <w:rFonts w:eastAsia="Times New Roman" w:cstheme="minorHAnsi"/>
                <w:color w:val="000000"/>
                <w:sz w:val="20"/>
                <w:lang w:eastAsia="en-NZ"/>
              </w:rPr>
            </w:pPr>
            <w:r w:rsidRPr="001244BB">
              <w:rPr>
                <w:rFonts w:eastAsia="Times New Roman" w:cstheme="minorHAnsi"/>
                <w:color w:val="000000"/>
                <w:sz w:val="20"/>
                <w:lang w:eastAsia="en-NZ"/>
              </w:rPr>
              <w:t>0%</w:t>
            </w:r>
          </w:p>
        </w:tc>
        <w:tc>
          <w:tcPr>
            <w:tcW w:w="1134" w:type="dxa"/>
            <w:shd w:val="clear" w:color="auto" w:fill="auto"/>
            <w:hideMark/>
          </w:tcPr>
          <w:p w:rsidR="00510AC5" w:rsidRDefault="00510AC5" w:rsidP="00510AC5">
            <w:pPr>
              <w:spacing w:after="0"/>
              <w:jc w:val="right"/>
            </w:pPr>
            <w:r w:rsidRPr="00EA5A28">
              <w:rPr>
                <w:rFonts w:eastAsia="Times New Roman" w:cstheme="minorHAnsi"/>
                <w:color w:val="000000"/>
                <w:sz w:val="20"/>
                <w:lang w:eastAsia="en-NZ"/>
              </w:rPr>
              <w:t>Within 10%</w:t>
            </w:r>
          </w:p>
        </w:tc>
        <w:tc>
          <w:tcPr>
            <w:tcW w:w="2976" w:type="dxa"/>
            <w:shd w:val="clear" w:color="auto" w:fill="FFFFFF" w:themeFill="background1"/>
          </w:tcPr>
          <w:p w:rsidR="00510AC5" w:rsidRPr="001244BB" w:rsidRDefault="00510AC5" w:rsidP="00510AC5">
            <w:pPr>
              <w:spacing w:after="0" w:line="240" w:lineRule="auto"/>
              <w:rPr>
                <w:rFonts w:eastAsia="Times New Roman" w:cstheme="minorHAnsi"/>
                <w:color w:val="000000"/>
                <w:sz w:val="20"/>
                <w:lang w:eastAsia="en-NZ"/>
              </w:rPr>
            </w:pPr>
          </w:p>
        </w:tc>
      </w:tr>
      <w:tr w:rsidR="001D7232" w:rsidRPr="001244BB" w:rsidTr="00510AC5">
        <w:trPr>
          <w:trHeight w:val="270"/>
        </w:trPr>
        <w:tc>
          <w:tcPr>
            <w:tcW w:w="3803" w:type="dxa"/>
            <w:gridSpan w:val="2"/>
            <w:shd w:val="clear" w:color="auto" w:fill="auto"/>
            <w:hideMark/>
          </w:tcPr>
          <w:p w:rsidR="001D7232" w:rsidRPr="001244BB" w:rsidRDefault="001D7232" w:rsidP="0025274D">
            <w:pPr>
              <w:spacing w:after="0" w:line="240" w:lineRule="auto"/>
              <w:rPr>
                <w:rFonts w:eastAsia="Times New Roman" w:cstheme="minorHAnsi"/>
                <w:color w:val="000000"/>
                <w:sz w:val="20"/>
                <w:lang w:eastAsia="en-NZ"/>
              </w:rPr>
            </w:pPr>
            <w:r w:rsidRPr="001244BB">
              <w:rPr>
                <w:rFonts w:eastAsia="Times New Roman" w:cstheme="minorHAnsi"/>
                <w:color w:val="000000"/>
                <w:sz w:val="20"/>
                <w:lang w:eastAsia="en-NZ"/>
              </w:rPr>
              <w:t>Total event attendance</w:t>
            </w:r>
          </w:p>
        </w:tc>
        <w:tc>
          <w:tcPr>
            <w:tcW w:w="1443" w:type="dxa"/>
            <w:shd w:val="clear" w:color="auto" w:fill="auto"/>
            <w:noWrap/>
            <w:hideMark/>
          </w:tcPr>
          <w:p w:rsidR="001D7232" w:rsidRPr="001244BB" w:rsidRDefault="001D7232" w:rsidP="0025274D">
            <w:pPr>
              <w:spacing w:after="0" w:line="240" w:lineRule="auto"/>
              <w:jc w:val="center"/>
              <w:rPr>
                <w:rFonts w:eastAsia="Times New Roman" w:cstheme="minorHAnsi"/>
                <w:color w:val="000000"/>
                <w:sz w:val="20"/>
                <w:lang w:eastAsia="en-NZ"/>
              </w:rPr>
            </w:pPr>
            <w:r w:rsidRPr="001244BB">
              <w:rPr>
                <w:rFonts w:eastAsia="Times New Roman" w:cstheme="minorHAnsi"/>
                <w:color w:val="000000"/>
                <w:sz w:val="20"/>
                <w:lang w:eastAsia="en-NZ"/>
              </w:rPr>
              <w:t>657,743</w:t>
            </w:r>
          </w:p>
        </w:tc>
        <w:tc>
          <w:tcPr>
            <w:tcW w:w="1417" w:type="dxa"/>
            <w:shd w:val="clear" w:color="auto" w:fill="auto"/>
            <w:noWrap/>
            <w:hideMark/>
          </w:tcPr>
          <w:p w:rsidR="001D7232" w:rsidRPr="001244BB" w:rsidRDefault="001D7232" w:rsidP="0025274D">
            <w:pPr>
              <w:spacing w:after="0" w:line="240" w:lineRule="auto"/>
              <w:jc w:val="right"/>
              <w:rPr>
                <w:rFonts w:eastAsia="Times New Roman" w:cstheme="minorHAnsi"/>
                <w:color w:val="000000"/>
                <w:sz w:val="20"/>
                <w:lang w:eastAsia="en-NZ"/>
              </w:rPr>
            </w:pPr>
            <w:r w:rsidRPr="001244BB">
              <w:rPr>
                <w:rFonts w:eastAsia="Times New Roman" w:cstheme="minorHAnsi"/>
                <w:color w:val="000000"/>
                <w:sz w:val="20"/>
                <w:lang w:eastAsia="en-NZ"/>
              </w:rPr>
              <w:t>733,962</w:t>
            </w:r>
          </w:p>
        </w:tc>
        <w:tc>
          <w:tcPr>
            <w:tcW w:w="1276" w:type="dxa"/>
            <w:shd w:val="clear" w:color="auto" w:fill="FFFFFF" w:themeFill="background1"/>
            <w:noWrap/>
            <w:hideMark/>
          </w:tcPr>
          <w:p w:rsidR="001D7232" w:rsidRPr="001244BB" w:rsidRDefault="001D7232" w:rsidP="0025274D">
            <w:pPr>
              <w:spacing w:after="0" w:line="240" w:lineRule="auto"/>
              <w:jc w:val="right"/>
              <w:rPr>
                <w:rFonts w:eastAsia="Times New Roman" w:cstheme="minorHAnsi"/>
                <w:color w:val="000000"/>
                <w:sz w:val="20"/>
                <w:lang w:eastAsia="en-NZ"/>
              </w:rPr>
            </w:pPr>
            <w:r w:rsidRPr="001244BB">
              <w:rPr>
                <w:rFonts w:eastAsia="Times New Roman" w:cstheme="minorHAnsi"/>
                <w:color w:val="000000"/>
                <w:sz w:val="20"/>
                <w:lang w:eastAsia="en-NZ"/>
              </w:rPr>
              <w:t>619,232</w:t>
            </w:r>
          </w:p>
        </w:tc>
        <w:tc>
          <w:tcPr>
            <w:tcW w:w="1418" w:type="dxa"/>
            <w:shd w:val="clear" w:color="000000" w:fill="D9D9D9"/>
            <w:hideMark/>
          </w:tcPr>
          <w:p w:rsidR="001D7232" w:rsidRPr="001244BB" w:rsidRDefault="001D7232" w:rsidP="0025274D">
            <w:pPr>
              <w:spacing w:after="0" w:line="240" w:lineRule="auto"/>
              <w:jc w:val="right"/>
              <w:rPr>
                <w:rFonts w:eastAsia="Times New Roman" w:cstheme="minorHAnsi"/>
                <w:color w:val="000000"/>
                <w:sz w:val="20"/>
                <w:lang w:eastAsia="en-NZ"/>
              </w:rPr>
            </w:pPr>
            <w:r w:rsidRPr="001244BB">
              <w:rPr>
                <w:rFonts w:eastAsia="Times New Roman" w:cstheme="minorHAnsi"/>
                <w:color w:val="000000"/>
                <w:sz w:val="20"/>
                <w:lang w:eastAsia="en-NZ"/>
              </w:rPr>
              <w:t>700,000</w:t>
            </w:r>
          </w:p>
        </w:tc>
        <w:tc>
          <w:tcPr>
            <w:tcW w:w="1134" w:type="dxa"/>
            <w:shd w:val="clear" w:color="auto" w:fill="auto"/>
            <w:hideMark/>
          </w:tcPr>
          <w:p w:rsidR="001D7232" w:rsidRPr="001244BB" w:rsidRDefault="001D7232" w:rsidP="0025274D">
            <w:pPr>
              <w:spacing w:after="0" w:line="240" w:lineRule="auto"/>
              <w:jc w:val="right"/>
              <w:rPr>
                <w:rFonts w:eastAsia="Times New Roman" w:cstheme="minorHAnsi"/>
                <w:color w:val="000000"/>
                <w:sz w:val="20"/>
                <w:lang w:eastAsia="en-NZ"/>
              </w:rPr>
            </w:pPr>
            <w:r w:rsidRPr="001244BB">
              <w:rPr>
                <w:rFonts w:eastAsia="Times New Roman" w:cstheme="minorHAnsi"/>
                <w:color w:val="000000"/>
                <w:sz w:val="20"/>
                <w:lang w:eastAsia="en-NZ"/>
              </w:rPr>
              <w:t>-12%</w:t>
            </w:r>
          </w:p>
        </w:tc>
        <w:tc>
          <w:tcPr>
            <w:tcW w:w="1134" w:type="dxa"/>
            <w:shd w:val="clear" w:color="auto" w:fill="auto"/>
            <w:hideMark/>
          </w:tcPr>
          <w:p w:rsidR="001D7232" w:rsidRPr="001244BB" w:rsidRDefault="001D7232" w:rsidP="0025274D">
            <w:pPr>
              <w:spacing w:after="0" w:line="240" w:lineRule="auto"/>
              <w:jc w:val="right"/>
              <w:rPr>
                <w:rFonts w:eastAsia="Times New Roman" w:cstheme="minorHAnsi"/>
                <w:color w:val="000000"/>
                <w:sz w:val="20"/>
                <w:lang w:eastAsia="en-NZ"/>
              </w:rPr>
            </w:pPr>
            <w:r w:rsidRPr="001244BB">
              <w:rPr>
                <w:rFonts w:eastAsia="Times New Roman" w:cstheme="minorHAnsi"/>
                <w:color w:val="000000"/>
                <w:sz w:val="20"/>
                <w:lang w:eastAsia="en-NZ"/>
              </w:rPr>
              <w:t>not met</w:t>
            </w:r>
          </w:p>
        </w:tc>
        <w:tc>
          <w:tcPr>
            <w:tcW w:w="2976" w:type="dxa"/>
            <w:shd w:val="clear" w:color="auto" w:fill="auto"/>
          </w:tcPr>
          <w:p w:rsidR="001D7232" w:rsidRPr="001244BB" w:rsidRDefault="001D7232" w:rsidP="0025274D">
            <w:pPr>
              <w:spacing w:after="0" w:line="240" w:lineRule="auto"/>
              <w:rPr>
                <w:rFonts w:eastAsia="Times New Roman" w:cstheme="minorHAnsi"/>
                <w:color w:val="000000"/>
                <w:sz w:val="20"/>
                <w:lang w:eastAsia="en-NZ"/>
              </w:rPr>
            </w:pPr>
            <w:r w:rsidRPr="00042928">
              <w:rPr>
                <w:rFonts w:eastAsia="Times New Roman" w:cstheme="minorHAnsi"/>
                <w:color w:val="000000"/>
                <w:sz w:val="20"/>
                <w:lang w:eastAsia="en-NZ"/>
              </w:rPr>
              <w:t xml:space="preserve">Previous year includes NZ </w:t>
            </w:r>
            <w:r w:rsidRPr="00042928">
              <w:rPr>
                <w:rFonts w:eastAsia="Times New Roman" w:cstheme="minorHAnsi"/>
                <w:color w:val="000000"/>
                <w:sz w:val="20"/>
                <w:lang w:eastAsia="en-NZ"/>
              </w:rPr>
              <w:lastRenderedPageBreak/>
              <w:t>Festival. While WCC supports these events, we are not responsible for delivering them.</w:t>
            </w:r>
          </w:p>
        </w:tc>
      </w:tr>
      <w:tr w:rsidR="00510AC5" w:rsidRPr="001244BB" w:rsidTr="00510AC5">
        <w:trPr>
          <w:trHeight w:val="270"/>
        </w:trPr>
        <w:tc>
          <w:tcPr>
            <w:tcW w:w="3803" w:type="dxa"/>
            <w:gridSpan w:val="2"/>
            <w:shd w:val="clear" w:color="auto" w:fill="auto"/>
            <w:hideMark/>
          </w:tcPr>
          <w:p w:rsidR="00510AC5" w:rsidRPr="001244BB" w:rsidRDefault="00510AC5" w:rsidP="00510AC5">
            <w:pPr>
              <w:spacing w:after="0" w:line="240" w:lineRule="auto"/>
              <w:rPr>
                <w:rFonts w:eastAsia="Times New Roman" w:cstheme="minorHAnsi"/>
                <w:color w:val="000000"/>
                <w:sz w:val="20"/>
                <w:lang w:eastAsia="en-NZ"/>
              </w:rPr>
            </w:pPr>
            <w:r w:rsidRPr="001244BB">
              <w:rPr>
                <w:rFonts w:eastAsia="Times New Roman" w:cstheme="minorHAnsi"/>
                <w:color w:val="000000"/>
                <w:sz w:val="20"/>
                <w:lang w:eastAsia="en-NZ"/>
              </w:rPr>
              <w:lastRenderedPageBreak/>
              <w:t>Lightning Lab participant investment raised</w:t>
            </w:r>
          </w:p>
        </w:tc>
        <w:tc>
          <w:tcPr>
            <w:tcW w:w="1443" w:type="dxa"/>
            <w:shd w:val="clear" w:color="auto" w:fill="auto"/>
            <w:noWrap/>
            <w:hideMark/>
          </w:tcPr>
          <w:p w:rsidR="00510AC5" w:rsidRPr="001244BB" w:rsidRDefault="00510AC5" w:rsidP="00510AC5">
            <w:pPr>
              <w:spacing w:after="0" w:line="240" w:lineRule="auto"/>
              <w:jc w:val="right"/>
              <w:rPr>
                <w:rFonts w:eastAsia="Times New Roman" w:cstheme="minorHAnsi"/>
                <w:color w:val="000000"/>
                <w:sz w:val="20"/>
                <w:lang w:eastAsia="en-NZ"/>
              </w:rPr>
            </w:pPr>
            <w:r w:rsidRPr="001244BB">
              <w:rPr>
                <w:rFonts w:eastAsia="Times New Roman" w:cstheme="minorHAnsi"/>
                <w:color w:val="000000"/>
                <w:sz w:val="20"/>
                <w:lang w:eastAsia="en-NZ"/>
              </w:rPr>
              <w:t>$5.7m</w:t>
            </w:r>
          </w:p>
        </w:tc>
        <w:tc>
          <w:tcPr>
            <w:tcW w:w="1417" w:type="dxa"/>
            <w:shd w:val="clear" w:color="auto" w:fill="auto"/>
            <w:noWrap/>
            <w:hideMark/>
          </w:tcPr>
          <w:p w:rsidR="00510AC5" w:rsidRPr="001244BB" w:rsidRDefault="00510AC5" w:rsidP="00510AC5">
            <w:pPr>
              <w:spacing w:after="0" w:line="240" w:lineRule="auto"/>
              <w:jc w:val="right"/>
              <w:rPr>
                <w:rFonts w:eastAsia="Times New Roman" w:cstheme="minorHAnsi"/>
                <w:color w:val="000000"/>
                <w:sz w:val="20"/>
                <w:lang w:eastAsia="en-NZ"/>
              </w:rPr>
            </w:pPr>
            <w:r w:rsidRPr="001244BB">
              <w:rPr>
                <w:rFonts w:eastAsia="Times New Roman" w:cstheme="minorHAnsi"/>
                <w:color w:val="000000"/>
                <w:sz w:val="20"/>
                <w:lang w:eastAsia="en-NZ"/>
              </w:rPr>
              <w:t>N/A</w:t>
            </w:r>
          </w:p>
        </w:tc>
        <w:tc>
          <w:tcPr>
            <w:tcW w:w="1276" w:type="dxa"/>
            <w:shd w:val="clear" w:color="auto" w:fill="FFFFFF" w:themeFill="background1"/>
            <w:noWrap/>
            <w:hideMark/>
          </w:tcPr>
          <w:p w:rsidR="00510AC5" w:rsidRPr="001244BB" w:rsidRDefault="00510AC5" w:rsidP="00510AC5">
            <w:pPr>
              <w:spacing w:after="0" w:line="240" w:lineRule="auto"/>
              <w:jc w:val="right"/>
              <w:rPr>
                <w:rFonts w:eastAsia="Times New Roman" w:cstheme="minorHAnsi"/>
                <w:color w:val="000000"/>
                <w:sz w:val="20"/>
                <w:lang w:eastAsia="en-NZ"/>
              </w:rPr>
            </w:pPr>
            <w:r w:rsidRPr="001244BB">
              <w:rPr>
                <w:rFonts w:eastAsia="Times New Roman" w:cstheme="minorHAnsi"/>
                <w:color w:val="000000"/>
                <w:sz w:val="20"/>
                <w:lang w:eastAsia="en-NZ"/>
              </w:rPr>
              <w:t>$14m</w:t>
            </w:r>
          </w:p>
        </w:tc>
        <w:tc>
          <w:tcPr>
            <w:tcW w:w="1418" w:type="dxa"/>
            <w:shd w:val="clear" w:color="000000" w:fill="D9D9D9"/>
            <w:hideMark/>
          </w:tcPr>
          <w:p w:rsidR="00510AC5" w:rsidRPr="001244BB" w:rsidRDefault="00510AC5" w:rsidP="00510AC5">
            <w:pPr>
              <w:spacing w:after="0" w:line="240" w:lineRule="auto"/>
              <w:jc w:val="right"/>
              <w:rPr>
                <w:rFonts w:eastAsia="Times New Roman" w:cstheme="minorHAnsi"/>
                <w:color w:val="000000"/>
                <w:sz w:val="20"/>
                <w:lang w:eastAsia="en-NZ"/>
              </w:rPr>
            </w:pPr>
            <w:r w:rsidRPr="001244BB">
              <w:rPr>
                <w:rFonts w:eastAsia="Times New Roman" w:cstheme="minorHAnsi"/>
                <w:color w:val="000000"/>
                <w:sz w:val="20"/>
                <w:lang w:eastAsia="en-NZ"/>
              </w:rPr>
              <w:t>Trend</w:t>
            </w:r>
          </w:p>
        </w:tc>
        <w:tc>
          <w:tcPr>
            <w:tcW w:w="1134" w:type="dxa"/>
            <w:shd w:val="clear" w:color="auto" w:fill="auto"/>
            <w:hideMark/>
          </w:tcPr>
          <w:p w:rsidR="00510AC5" w:rsidRPr="001244BB" w:rsidRDefault="00510AC5" w:rsidP="00510AC5">
            <w:pPr>
              <w:spacing w:after="0" w:line="240" w:lineRule="auto"/>
              <w:jc w:val="right"/>
              <w:rPr>
                <w:rFonts w:eastAsia="Times New Roman" w:cstheme="minorHAnsi"/>
                <w:color w:val="000000"/>
                <w:sz w:val="20"/>
                <w:lang w:eastAsia="en-NZ"/>
              </w:rPr>
            </w:pPr>
          </w:p>
        </w:tc>
        <w:tc>
          <w:tcPr>
            <w:tcW w:w="1134" w:type="dxa"/>
            <w:shd w:val="clear" w:color="auto" w:fill="auto"/>
            <w:hideMark/>
          </w:tcPr>
          <w:p w:rsidR="00510AC5" w:rsidRDefault="00510AC5" w:rsidP="00510AC5">
            <w:pPr>
              <w:spacing w:after="0"/>
              <w:jc w:val="right"/>
            </w:pPr>
            <w:r w:rsidRPr="003240E0">
              <w:rPr>
                <w:rFonts w:eastAsia="Times New Roman" w:cstheme="minorHAnsi"/>
                <w:color w:val="000000"/>
                <w:sz w:val="20"/>
                <w:lang w:eastAsia="en-NZ"/>
              </w:rPr>
              <w:t>Within 10%</w:t>
            </w:r>
          </w:p>
        </w:tc>
        <w:tc>
          <w:tcPr>
            <w:tcW w:w="2976" w:type="dxa"/>
            <w:shd w:val="clear" w:color="auto" w:fill="auto"/>
          </w:tcPr>
          <w:p w:rsidR="00510AC5" w:rsidRPr="001244BB" w:rsidRDefault="00510AC5" w:rsidP="00510AC5">
            <w:pPr>
              <w:spacing w:after="0" w:line="240" w:lineRule="auto"/>
              <w:rPr>
                <w:rFonts w:eastAsia="Times New Roman" w:cstheme="minorHAnsi"/>
                <w:color w:val="000000"/>
                <w:sz w:val="20"/>
                <w:lang w:eastAsia="en-NZ"/>
              </w:rPr>
            </w:pPr>
          </w:p>
        </w:tc>
      </w:tr>
      <w:tr w:rsidR="00510AC5" w:rsidRPr="001244BB" w:rsidTr="00510AC5">
        <w:trPr>
          <w:trHeight w:val="242"/>
        </w:trPr>
        <w:tc>
          <w:tcPr>
            <w:tcW w:w="3803" w:type="dxa"/>
            <w:gridSpan w:val="2"/>
            <w:shd w:val="clear" w:color="auto" w:fill="auto"/>
            <w:hideMark/>
          </w:tcPr>
          <w:p w:rsidR="00510AC5" w:rsidRPr="001244BB" w:rsidRDefault="00510AC5" w:rsidP="00510AC5">
            <w:pPr>
              <w:spacing w:after="0" w:line="240" w:lineRule="auto"/>
              <w:rPr>
                <w:rFonts w:eastAsia="Times New Roman" w:cstheme="minorHAnsi"/>
                <w:color w:val="000000"/>
                <w:sz w:val="20"/>
                <w:lang w:eastAsia="en-NZ"/>
              </w:rPr>
            </w:pPr>
            <w:r w:rsidRPr="001244BB">
              <w:rPr>
                <w:rFonts w:eastAsia="Times New Roman" w:cstheme="minorHAnsi"/>
                <w:color w:val="000000"/>
                <w:sz w:val="20"/>
                <w:lang w:eastAsia="en-NZ"/>
              </w:rPr>
              <w:t>Non-</w:t>
            </w:r>
            <w:r>
              <w:rPr>
                <w:rFonts w:eastAsia="Times New Roman" w:cstheme="minorHAnsi"/>
                <w:color w:val="000000"/>
                <w:sz w:val="20"/>
                <w:lang w:eastAsia="en-NZ"/>
              </w:rPr>
              <w:t>C</w:t>
            </w:r>
            <w:r w:rsidRPr="001244BB">
              <w:rPr>
                <w:rFonts w:eastAsia="Times New Roman" w:cstheme="minorHAnsi"/>
                <w:color w:val="000000"/>
                <w:sz w:val="20"/>
                <w:lang w:eastAsia="en-NZ"/>
              </w:rPr>
              <w:t>ouncil revenue ($000)</w:t>
            </w:r>
          </w:p>
        </w:tc>
        <w:tc>
          <w:tcPr>
            <w:tcW w:w="1443" w:type="dxa"/>
            <w:shd w:val="clear" w:color="auto" w:fill="auto"/>
            <w:noWrap/>
            <w:hideMark/>
          </w:tcPr>
          <w:p w:rsidR="00510AC5" w:rsidRPr="001244BB" w:rsidRDefault="00510AC5" w:rsidP="00510AC5">
            <w:pPr>
              <w:spacing w:after="0" w:line="240" w:lineRule="auto"/>
              <w:jc w:val="right"/>
              <w:rPr>
                <w:rFonts w:eastAsia="Times New Roman" w:cstheme="minorHAnsi"/>
                <w:color w:val="000000"/>
                <w:sz w:val="20"/>
                <w:lang w:eastAsia="en-NZ"/>
              </w:rPr>
            </w:pPr>
            <w:r w:rsidRPr="001244BB">
              <w:rPr>
                <w:rFonts w:eastAsia="Times New Roman" w:cstheme="minorHAnsi"/>
                <w:color w:val="000000"/>
                <w:sz w:val="20"/>
                <w:lang w:eastAsia="en-NZ"/>
              </w:rPr>
              <w:t>$14,229</w:t>
            </w:r>
          </w:p>
        </w:tc>
        <w:tc>
          <w:tcPr>
            <w:tcW w:w="1417" w:type="dxa"/>
            <w:shd w:val="clear" w:color="auto" w:fill="auto"/>
            <w:noWrap/>
            <w:hideMark/>
          </w:tcPr>
          <w:p w:rsidR="00510AC5" w:rsidRPr="001244BB" w:rsidRDefault="00510AC5" w:rsidP="00510AC5">
            <w:pPr>
              <w:spacing w:after="0" w:line="240" w:lineRule="auto"/>
              <w:jc w:val="right"/>
              <w:rPr>
                <w:rFonts w:eastAsia="Times New Roman" w:cstheme="minorHAnsi"/>
                <w:color w:val="000000"/>
                <w:sz w:val="20"/>
                <w:lang w:eastAsia="en-NZ"/>
              </w:rPr>
            </w:pPr>
            <w:r w:rsidRPr="001244BB">
              <w:rPr>
                <w:rFonts w:eastAsia="Times New Roman" w:cstheme="minorHAnsi"/>
                <w:color w:val="000000"/>
                <w:sz w:val="20"/>
                <w:lang w:eastAsia="en-NZ"/>
              </w:rPr>
              <w:t>$14,045</w:t>
            </w:r>
          </w:p>
        </w:tc>
        <w:tc>
          <w:tcPr>
            <w:tcW w:w="1276" w:type="dxa"/>
            <w:shd w:val="clear" w:color="auto" w:fill="auto"/>
            <w:noWrap/>
            <w:hideMark/>
          </w:tcPr>
          <w:p w:rsidR="00510AC5" w:rsidRPr="001244BB" w:rsidRDefault="00510AC5" w:rsidP="00510AC5">
            <w:pPr>
              <w:spacing w:after="0" w:line="240" w:lineRule="auto"/>
              <w:jc w:val="right"/>
              <w:rPr>
                <w:rFonts w:eastAsia="Times New Roman" w:cstheme="minorHAnsi"/>
                <w:color w:val="000000"/>
                <w:sz w:val="20"/>
                <w:lang w:eastAsia="en-NZ"/>
              </w:rPr>
            </w:pPr>
            <w:r w:rsidRPr="001244BB">
              <w:rPr>
                <w:rFonts w:eastAsia="Times New Roman" w:cstheme="minorHAnsi"/>
                <w:color w:val="000000"/>
                <w:sz w:val="20"/>
                <w:lang w:eastAsia="en-NZ"/>
              </w:rPr>
              <w:t>$14,825</w:t>
            </w:r>
          </w:p>
        </w:tc>
        <w:tc>
          <w:tcPr>
            <w:tcW w:w="1418" w:type="dxa"/>
            <w:shd w:val="clear" w:color="000000" w:fill="D9D9D9"/>
            <w:hideMark/>
          </w:tcPr>
          <w:p w:rsidR="00510AC5" w:rsidRPr="001244BB" w:rsidRDefault="00510AC5" w:rsidP="00510AC5">
            <w:pPr>
              <w:spacing w:after="0" w:line="240" w:lineRule="auto"/>
              <w:jc w:val="right"/>
              <w:rPr>
                <w:rFonts w:eastAsia="Times New Roman" w:cstheme="minorHAnsi"/>
                <w:color w:val="000000"/>
                <w:sz w:val="20"/>
                <w:lang w:eastAsia="en-NZ"/>
              </w:rPr>
            </w:pPr>
            <w:r w:rsidRPr="001244BB">
              <w:rPr>
                <w:rFonts w:eastAsia="Times New Roman" w:cstheme="minorHAnsi"/>
                <w:color w:val="000000"/>
                <w:sz w:val="20"/>
                <w:lang w:eastAsia="en-NZ"/>
              </w:rPr>
              <w:t>Trend</w:t>
            </w:r>
          </w:p>
        </w:tc>
        <w:tc>
          <w:tcPr>
            <w:tcW w:w="1134" w:type="dxa"/>
            <w:shd w:val="clear" w:color="auto" w:fill="auto"/>
            <w:hideMark/>
          </w:tcPr>
          <w:p w:rsidR="00510AC5" w:rsidRPr="001244BB" w:rsidRDefault="00510AC5" w:rsidP="00510AC5">
            <w:pPr>
              <w:spacing w:after="0" w:line="240" w:lineRule="auto"/>
              <w:jc w:val="right"/>
              <w:rPr>
                <w:rFonts w:eastAsia="Times New Roman" w:cstheme="minorHAnsi"/>
                <w:color w:val="000000"/>
                <w:sz w:val="20"/>
                <w:lang w:eastAsia="en-NZ"/>
              </w:rPr>
            </w:pPr>
            <w:r w:rsidRPr="001244BB">
              <w:rPr>
                <w:rFonts w:eastAsia="Times New Roman" w:cstheme="minorHAnsi"/>
                <w:color w:val="000000"/>
                <w:sz w:val="20"/>
                <w:lang w:eastAsia="en-NZ"/>
              </w:rPr>
              <w:t>6%</w:t>
            </w:r>
          </w:p>
        </w:tc>
        <w:tc>
          <w:tcPr>
            <w:tcW w:w="1134" w:type="dxa"/>
            <w:shd w:val="clear" w:color="auto" w:fill="auto"/>
            <w:hideMark/>
          </w:tcPr>
          <w:p w:rsidR="00510AC5" w:rsidRDefault="00510AC5" w:rsidP="00510AC5">
            <w:pPr>
              <w:spacing w:after="0"/>
              <w:jc w:val="right"/>
            </w:pPr>
            <w:r w:rsidRPr="003240E0">
              <w:rPr>
                <w:rFonts w:eastAsia="Times New Roman" w:cstheme="minorHAnsi"/>
                <w:color w:val="000000"/>
                <w:sz w:val="20"/>
                <w:lang w:eastAsia="en-NZ"/>
              </w:rPr>
              <w:t>Within 10%</w:t>
            </w:r>
          </w:p>
        </w:tc>
        <w:tc>
          <w:tcPr>
            <w:tcW w:w="2976" w:type="dxa"/>
            <w:shd w:val="clear" w:color="auto" w:fill="auto"/>
          </w:tcPr>
          <w:p w:rsidR="00510AC5" w:rsidRPr="001244BB" w:rsidRDefault="00510AC5" w:rsidP="00510AC5">
            <w:pPr>
              <w:spacing w:after="0" w:line="240" w:lineRule="auto"/>
              <w:rPr>
                <w:rFonts w:eastAsia="Times New Roman" w:cstheme="minorHAnsi"/>
                <w:color w:val="000000"/>
                <w:sz w:val="20"/>
                <w:lang w:eastAsia="en-NZ"/>
              </w:rPr>
            </w:pPr>
          </w:p>
        </w:tc>
      </w:tr>
      <w:tr w:rsidR="00510AC5" w:rsidRPr="001244BB" w:rsidTr="00510AC5">
        <w:trPr>
          <w:trHeight w:val="270"/>
        </w:trPr>
        <w:tc>
          <w:tcPr>
            <w:tcW w:w="3803" w:type="dxa"/>
            <w:gridSpan w:val="2"/>
            <w:shd w:val="clear" w:color="auto" w:fill="auto"/>
            <w:hideMark/>
          </w:tcPr>
          <w:p w:rsidR="00510AC5" w:rsidRPr="001244BB" w:rsidRDefault="00510AC5" w:rsidP="00510AC5">
            <w:pPr>
              <w:spacing w:after="0" w:line="240" w:lineRule="auto"/>
              <w:rPr>
                <w:rFonts w:eastAsia="Times New Roman" w:cstheme="minorHAnsi"/>
                <w:color w:val="000000"/>
                <w:sz w:val="20"/>
                <w:lang w:eastAsia="en-NZ"/>
              </w:rPr>
            </w:pPr>
            <w:r w:rsidRPr="001244BB">
              <w:rPr>
                <w:rFonts w:eastAsia="Times New Roman" w:cstheme="minorHAnsi"/>
                <w:color w:val="000000"/>
                <w:sz w:val="20"/>
                <w:lang w:eastAsia="en-NZ"/>
              </w:rPr>
              <w:t>WCC operating grants ($000)</w:t>
            </w:r>
          </w:p>
        </w:tc>
        <w:tc>
          <w:tcPr>
            <w:tcW w:w="1443" w:type="dxa"/>
            <w:shd w:val="clear" w:color="auto" w:fill="auto"/>
            <w:noWrap/>
            <w:hideMark/>
          </w:tcPr>
          <w:p w:rsidR="00510AC5" w:rsidRPr="001244BB" w:rsidRDefault="00510AC5" w:rsidP="00510AC5">
            <w:pPr>
              <w:spacing w:after="0" w:line="240" w:lineRule="auto"/>
              <w:jc w:val="right"/>
              <w:rPr>
                <w:rFonts w:eastAsia="Times New Roman" w:cstheme="minorHAnsi"/>
                <w:color w:val="000000"/>
                <w:sz w:val="20"/>
                <w:lang w:eastAsia="en-NZ"/>
              </w:rPr>
            </w:pPr>
            <w:r w:rsidRPr="001244BB">
              <w:rPr>
                <w:rFonts w:eastAsia="Times New Roman" w:cstheme="minorHAnsi"/>
                <w:color w:val="000000"/>
                <w:sz w:val="20"/>
                <w:lang w:eastAsia="en-NZ"/>
              </w:rPr>
              <w:t>$12,235</w:t>
            </w:r>
          </w:p>
        </w:tc>
        <w:tc>
          <w:tcPr>
            <w:tcW w:w="1417" w:type="dxa"/>
            <w:shd w:val="clear" w:color="auto" w:fill="auto"/>
            <w:noWrap/>
            <w:hideMark/>
          </w:tcPr>
          <w:p w:rsidR="00510AC5" w:rsidRPr="001244BB" w:rsidRDefault="00510AC5" w:rsidP="00510AC5">
            <w:pPr>
              <w:spacing w:after="0" w:line="240" w:lineRule="auto"/>
              <w:jc w:val="right"/>
              <w:rPr>
                <w:rFonts w:eastAsia="Times New Roman" w:cstheme="minorHAnsi"/>
                <w:color w:val="000000"/>
                <w:sz w:val="20"/>
                <w:lang w:eastAsia="en-NZ"/>
              </w:rPr>
            </w:pPr>
            <w:r w:rsidRPr="001244BB">
              <w:rPr>
                <w:rFonts w:eastAsia="Times New Roman" w:cstheme="minorHAnsi"/>
                <w:color w:val="000000"/>
                <w:sz w:val="20"/>
                <w:lang w:eastAsia="en-NZ"/>
              </w:rPr>
              <w:t>$12,783</w:t>
            </w:r>
          </w:p>
        </w:tc>
        <w:tc>
          <w:tcPr>
            <w:tcW w:w="1276" w:type="dxa"/>
            <w:shd w:val="clear" w:color="auto" w:fill="auto"/>
            <w:noWrap/>
            <w:hideMark/>
          </w:tcPr>
          <w:p w:rsidR="00510AC5" w:rsidRPr="001244BB" w:rsidRDefault="00510AC5" w:rsidP="00510AC5">
            <w:pPr>
              <w:spacing w:after="0" w:line="240" w:lineRule="auto"/>
              <w:jc w:val="right"/>
              <w:rPr>
                <w:rFonts w:eastAsia="Times New Roman" w:cstheme="minorHAnsi"/>
                <w:color w:val="000000"/>
                <w:sz w:val="20"/>
                <w:lang w:eastAsia="en-NZ"/>
              </w:rPr>
            </w:pPr>
            <w:r w:rsidRPr="001244BB">
              <w:rPr>
                <w:rFonts w:eastAsia="Times New Roman" w:cstheme="minorHAnsi"/>
                <w:color w:val="000000"/>
                <w:sz w:val="20"/>
                <w:lang w:eastAsia="en-NZ"/>
              </w:rPr>
              <w:t>$12,741</w:t>
            </w:r>
          </w:p>
        </w:tc>
        <w:tc>
          <w:tcPr>
            <w:tcW w:w="1418" w:type="dxa"/>
            <w:shd w:val="clear" w:color="000000" w:fill="D9D9D9"/>
            <w:hideMark/>
          </w:tcPr>
          <w:p w:rsidR="00510AC5" w:rsidRPr="001244BB" w:rsidRDefault="00510AC5" w:rsidP="00510AC5">
            <w:pPr>
              <w:spacing w:after="0" w:line="240" w:lineRule="auto"/>
              <w:jc w:val="right"/>
              <w:rPr>
                <w:rFonts w:eastAsia="Times New Roman" w:cstheme="minorHAnsi"/>
                <w:color w:val="000000"/>
                <w:sz w:val="20"/>
                <w:lang w:eastAsia="en-NZ"/>
              </w:rPr>
            </w:pPr>
            <w:r w:rsidRPr="001244BB">
              <w:rPr>
                <w:rFonts w:eastAsia="Times New Roman" w:cstheme="minorHAnsi"/>
                <w:color w:val="000000"/>
                <w:sz w:val="20"/>
                <w:lang w:eastAsia="en-NZ"/>
              </w:rPr>
              <w:t>Trend</w:t>
            </w:r>
          </w:p>
        </w:tc>
        <w:tc>
          <w:tcPr>
            <w:tcW w:w="1134" w:type="dxa"/>
            <w:shd w:val="clear" w:color="auto" w:fill="auto"/>
            <w:hideMark/>
          </w:tcPr>
          <w:p w:rsidR="00510AC5" w:rsidRPr="001244BB" w:rsidRDefault="00510AC5" w:rsidP="00510AC5">
            <w:pPr>
              <w:spacing w:after="0" w:line="240" w:lineRule="auto"/>
              <w:jc w:val="right"/>
              <w:rPr>
                <w:rFonts w:eastAsia="Times New Roman" w:cstheme="minorHAnsi"/>
                <w:color w:val="000000"/>
                <w:sz w:val="20"/>
                <w:lang w:eastAsia="en-NZ"/>
              </w:rPr>
            </w:pPr>
            <w:r w:rsidRPr="001244BB">
              <w:rPr>
                <w:rFonts w:eastAsia="Times New Roman" w:cstheme="minorHAnsi"/>
                <w:color w:val="000000"/>
                <w:sz w:val="20"/>
                <w:lang w:eastAsia="en-NZ"/>
              </w:rPr>
              <w:t>0%</w:t>
            </w:r>
          </w:p>
        </w:tc>
        <w:tc>
          <w:tcPr>
            <w:tcW w:w="1134" w:type="dxa"/>
            <w:shd w:val="clear" w:color="auto" w:fill="auto"/>
            <w:hideMark/>
          </w:tcPr>
          <w:p w:rsidR="00510AC5" w:rsidRDefault="00510AC5" w:rsidP="00510AC5">
            <w:pPr>
              <w:spacing w:after="0"/>
              <w:jc w:val="right"/>
            </w:pPr>
            <w:r w:rsidRPr="003240E0">
              <w:rPr>
                <w:rFonts w:eastAsia="Times New Roman" w:cstheme="minorHAnsi"/>
                <w:color w:val="000000"/>
                <w:sz w:val="20"/>
                <w:lang w:eastAsia="en-NZ"/>
              </w:rPr>
              <w:t>Within 10%</w:t>
            </w:r>
          </w:p>
        </w:tc>
        <w:tc>
          <w:tcPr>
            <w:tcW w:w="2976" w:type="dxa"/>
            <w:shd w:val="clear" w:color="auto" w:fill="auto"/>
          </w:tcPr>
          <w:p w:rsidR="00510AC5" w:rsidRPr="001244BB" w:rsidRDefault="00510AC5" w:rsidP="00510AC5">
            <w:pPr>
              <w:spacing w:after="0" w:line="240" w:lineRule="auto"/>
              <w:rPr>
                <w:rFonts w:eastAsia="Times New Roman" w:cstheme="minorHAnsi"/>
                <w:color w:val="000000"/>
                <w:sz w:val="20"/>
                <w:lang w:eastAsia="en-NZ"/>
              </w:rPr>
            </w:pPr>
          </w:p>
        </w:tc>
      </w:tr>
      <w:tr w:rsidR="00510AC5" w:rsidRPr="001244BB" w:rsidTr="00510AC5">
        <w:trPr>
          <w:trHeight w:val="270"/>
        </w:trPr>
        <w:tc>
          <w:tcPr>
            <w:tcW w:w="3803" w:type="dxa"/>
            <w:gridSpan w:val="2"/>
            <w:shd w:val="clear" w:color="auto" w:fill="auto"/>
            <w:hideMark/>
          </w:tcPr>
          <w:p w:rsidR="00510AC5" w:rsidRPr="001244BB" w:rsidRDefault="00510AC5" w:rsidP="00510AC5">
            <w:pPr>
              <w:spacing w:after="0" w:line="240" w:lineRule="auto"/>
              <w:rPr>
                <w:rFonts w:eastAsia="Times New Roman" w:cstheme="minorHAnsi"/>
                <w:color w:val="000000"/>
                <w:sz w:val="20"/>
                <w:lang w:eastAsia="en-NZ"/>
              </w:rPr>
            </w:pPr>
            <w:r w:rsidRPr="001244BB">
              <w:rPr>
                <w:rFonts w:eastAsia="Times New Roman" w:cstheme="minorHAnsi"/>
                <w:color w:val="000000"/>
                <w:sz w:val="20"/>
                <w:lang w:eastAsia="en-NZ"/>
              </w:rPr>
              <w:t>GWRC grants ($000)</w:t>
            </w:r>
          </w:p>
        </w:tc>
        <w:tc>
          <w:tcPr>
            <w:tcW w:w="1443" w:type="dxa"/>
            <w:shd w:val="clear" w:color="auto" w:fill="auto"/>
            <w:noWrap/>
            <w:hideMark/>
          </w:tcPr>
          <w:p w:rsidR="00510AC5" w:rsidRPr="001244BB" w:rsidRDefault="00510AC5" w:rsidP="00510AC5">
            <w:pPr>
              <w:spacing w:after="0" w:line="240" w:lineRule="auto"/>
              <w:jc w:val="right"/>
              <w:rPr>
                <w:rFonts w:eastAsia="Times New Roman" w:cstheme="minorHAnsi"/>
                <w:color w:val="000000"/>
                <w:sz w:val="20"/>
                <w:lang w:eastAsia="en-NZ"/>
              </w:rPr>
            </w:pPr>
            <w:r w:rsidRPr="001244BB">
              <w:rPr>
                <w:rFonts w:eastAsia="Times New Roman" w:cstheme="minorHAnsi"/>
                <w:color w:val="000000"/>
                <w:sz w:val="20"/>
                <w:lang w:eastAsia="en-NZ"/>
              </w:rPr>
              <w:t>$4,160</w:t>
            </w:r>
          </w:p>
        </w:tc>
        <w:tc>
          <w:tcPr>
            <w:tcW w:w="1417" w:type="dxa"/>
            <w:shd w:val="clear" w:color="auto" w:fill="auto"/>
            <w:noWrap/>
            <w:hideMark/>
          </w:tcPr>
          <w:p w:rsidR="00510AC5" w:rsidRPr="001244BB" w:rsidRDefault="00510AC5" w:rsidP="00510AC5">
            <w:pPr>
              <w:spacing w:after="0" w:line="240" w:lineRule="auto"/>
              <w:jc w:val="right"/>
              <w:rPr>
                <w:rFonts w:eastAsia="Times New Roman" w:cstheme="minorHAnsi"/>
                <w:color w:val="000000"/>
                <w:sz w:val="20"/>
                <w:lang w:eastAsia="en-NZ"/>
              </w:rPr>
            </w:pPr>
            <w:r w:rsidRPr="001244BB">
              <w:rPr>
                <w:rFonts w:eastAsia="Times New Roman" w:cstheme="minorHAnsi"/>
                <w:color w:val="000000"/>
                <w:sz w:val="20"/>
                <w:lang w:eastAsia="en-NZ"/>
              </w:rPr>
              <w:t>$ 4,225</w:t>
            </w:r>
          </w:p>
        </w:tc>
        <w:tc>
          <w:tcPr>
            <w:tcW w:w="1276" w:type="dxa"/>
            <w:shd w:val="clear" w:color="auto" w:fill="auto"/>
            <w:noWrap/>
            <w:hideMark/>
          </w:tcPr>
          <w:p w:rsidR="00510AC5" w:rsidRPr="001244BB" w:rsidRDefault="00510AC5" w:rsidP="00510AC5">
            <w:pPr>
              <w:spacing w:after="0" w:line="240" w:lineRule="auto"/>
              <w:jc w:val="right"/>
              <w:rPr>
                <w:rFonts w:eastAsia="Times New Roman" w:cstheme="minorHAnsi"/>
                <w:color w:val="000000"/>
                <w:sz w:val="20"/>
                <w:lang w:eastAsia="en-NZ"/>
              </w:rPr>
            </w:pPr>
            <w:r w:rsidRPr="001244BB">
              <w:rPr>
                <w:rFonts w:eastAsia="Times New Roman" w:cstheme="minorHAnsi"/>
                <w:color w:val="000000"/>
                <w:sz w:val="20"/>
                <w:lang w:eastAsia="en-NZ"/>
              </w:rPr>
              <w:t>$4,288</w:t>
            </w:r>
          </w:p>
        </w:tc>
        <w:tc>
          <w:tcPr>
            <w:tcW w:w="1418" w:type="dxa"/>
            <w:shd w:val="clear" w:color="000000" w:fill="D9D9D9"/>
            <w:hideMark/>
          </w:tcPr>
          <w:p w:rsidR="00510AC5" w:rsidRPr="001244BB" w:rsidRDefault="00510AC5" w:rsidP="00510AC5">
            <w:pPr>
              <w:spacing w:after="0" w:line="240" w:lineRule="auto"/>
              <w:jc w:val="right"/>
              <w:rPr>
                <w:rFonts w:eastAsia="Times New Roman" w:cstheme="minorHAnsi"/>
                <w:color w:val="000000"/>
                <w:sz w:val="20"/>
                <w:lang w:eastAsia="en-NZ"/>
              </w:rPr>
            </w:pPr>
            <w:r w:rsidRPr="001244BB">
              <w:rPr>
                <w:rFonts w:eastAsia="Times New Roman" w:cstheme="minorHAnsi"/>
                <w:color w:val="000000"/>
                <w:sz w:val="20"/>
                <w:lang w:eastAsia="en-NZ"/>
              </w:rPr>
              <w:t>Trend</w:t>
            </w:r>
          </w:p>
        </w:tc>
        <w:tc>
          <w:tcPr>
            <w:tcW w:w="1134" w:type="dxa"/>
            <w:shd w:val="clear" w:color="auto" w:fill="auto"/>
            <w:hideMark/>
          </w:tcPr>
          <w:p w:rsidR="00510AC5" w:rsidRPr="001244BB" w:rsidRDefault="00510AC5" w:rsidP="00510AC5">
            <w:pPr>
              <w:spacing w:after="0" w:line="240" w:lineRule="auto"/>
              <w:jc w:val="right"/>
              <w:rPr>
                <w:rFonts w:eastAsia="Times New Roman" w:cstheme="minorHAnsi"/>
                <w:color w:val="000000"/>
                <w:sz w:val="20"/>
                <w:lang w:eastAsia="en-NZ"/>
              </w:rPr>
            </w:pPr>
            <w:r w:rsidRPr="001244BB">
              <w:rPr>
                <w:rFonts w:eastAsia="Times New Roman" w:cstheme="minorHAnsi"/>
                <w:color w:val="000000"/>
                <w:sz w:val="20"/>
                <w:lang w:eastAsia="en-NZ"/>
              </w:rPr>
              <w:t>1%</w:t>
            </w:r>
          </w:p>
        </w:tc>
        <w:tc>
          <w:tcPr>
            <w:tcW w:w="1134" w:type="dxa"/>
            <w:shd w:val="clear" w:color="auto" w:fill="auto"/>
            <w:hideMark/>
          </w:tcPr>
          <w:p w:rsidR="00510AC5" w:rsidRDefault="00510AC5" w:rsidP="00510AC5">
            <w:pPr>
              <w:spacing w:after="0"/>
              <w:jc w:val="right"/>
            </w:pPr>
            <w:r w:rsidRPr="003240E0">
              <w:rPr>
                <w:rFonts w:eastAsia="Times New Roman" w:cstheme="minorHAnsi"/>
                <w:color w:val="000000"/>
                <w:sz w:val="20"/>
                <w:lang w:eastAsia="en-NZ"/>
              </w:rPr>
              <w:t>Within 10%</w:t>
            </w:r>
          </w:p>
        </w:tc>
        <w:tc>
          <w:tcPr>
            <w:tcW w:w="2976" w:type="dxa"/>
            <w:shd w:val="clear" w:color="auto" w:fill="auto"/>
          </w:tcPr>
          <w:p w:rsidR="00510AC5" w:rsidRPr="001244BB" w:rsidRDefault="00510AC5" w:rsidP="00510AC5">
            <w:pPr>
              <w:spacing w:after="0" w:line="240" w:lineRule="auto"/>
              <w:rPr>
                <w:rFonts w:eastAsia="Times New Roman" w:cstheme="minorHAnsi"/>
                <w:color w:val="000000"/>
                <w:sz w:val="20"/>
                <w:lang w:eastAsia="en-NZ"/>
              </w:rPr>
            </w:pPr>
          </w:p>
        </w:tc>
      </w:tr>
      <w:tr w:rsidR="00510AC5" w:rsidRPr="001244BB" w:rsidTr="00510AC5">
        <w:trPr>
          <w:trHeight w:val="338"/>
        </w:trPr>
        <w:tc>
          <w:tcPr>
            <w:tcW w:w="3803" w:type="dxa"/>
            <w:gridSpan w:val="2"/>
            <w:shd w:val="clear" w:color="auto" w:fill="auto"/>
            <w:hideMark/>
          </w:tcPr>
          <w:p w:rsidR="00510AC5" w:rsidRPr="001244BB" w:rsidRDefault="00510AC5" w:rsidP="00510AC5">
            <w:pPr>
              <w:spacing w:after="0" w:line="240" w:lineRule="auto"/>
              <w:rPr>
                <w:rFonts w:eastAsia="Times New Roman" w:cstheme="minorHAnsi"/>
                <w:color w:val="000000"/>
                <w:sz w:val="20"/>
                <w:lang w:eastAsia="en-NZ"/>
              </w:rPr>
            </w:pPr>
            <w:r w:rsidRPr="001244BB">
              <w:rPr>
                <w:rFonts w:eastAsia="Times New Roman" w:cstheme="minorHAnsi"/>
                <w:color w:val="000000"/>
                <w:sz w:val="20"/>
                <w:lang w:eastAsia="en-NZ"/>
              </w:rPr>
              <w:t>Total revenue ($000)</w:t>
            </w:r>
          </w:p>
        </w:tc>
        <w:tc>
          <w:tcPr>
            <w:tcW w:w="1443" w:type="dxa"/>
            <w:shd w:val="clear" w:color="auto" w:fill="auto"/>
            <w:noWrap/>
            <w:hideMark/>
          </w:tcPr>
          <w:p w:rsidR="00510AC5" w:rsidRPr="001244BB" w:rsidRDefault="00510AC5" w:rsidP="00510AC5">
            <w:pPr>
              <w:spacing w:after="0" w:line="240" w:lineRule="auto"/>
              <w:jc w:val="right"/>
              <w:rPr>
                <w:rFonts w:eastAsia="Times New Roman" w:cstheme="minorHAnsi"/>
                <w:color w:val="000000"/>
                <w:sz w:val="20"/>
                <w:lang w:eastAsia="en-NZ"/>
              </w:rPr>
            </w:pPr>
            <w:r w:rsidRPr="001244BB">
              <w:rPr>
                <w:rFonts w:eastAsia="Times New Roman" w:cstheme="minorHAnsi"/>
                <w:color w:val="000000"/>
                <w:sz w:val="20"/>
                <w:lang w:eastAsia="en-NZ"/>
              </w:rPr>
              <w:t>$  31,781</w:t>
            </w:r>
          </w:p>
        </w:tc>
        <w:tc>
          <w:tcPr>
            <w:tcW w:w="1417" w:type="dxa"/>
            <w:shd w:val="clear" w:color="auto" w:fill="auto"/>
            <w:noWrap/>
            <w:hideMark/>
          </w:tcPr>
          <w:p w:rsidR="00510AC5" w:rsidRPr="001244BB" w:rsidRDefault="00510AC5" w:rsidP="00510AC5">
            <w:pPr>
              <w:spacing w:after="0" w:line="240" w:lineRule="auto"/>
              <w:jc w:val="right"/>
              <w:rPr>
                <w:rFonts w:eastAsia="Times New Roman" w:cstheme="minorHAnsi"/>
                <w:color w:val="000000"/>
                <w:sz w:val="20"/>
                <w:lang w:eastAsia="en-NZ"/>
              </w:rPr>
            </w:pPr>
            <w:r w:rsidRPr="001244BB">
              <w:rPr>
                <w:rFonts w:eastAsia="Times New Roman" w:cstheme="minorHAnsi"/>
                <w:color w:val="000000"/>
                <w:sz w:val="20"/>
                <w:lang w:eastAsia="en-NZ"/>
              </w:rPr>
              <w:t>$  31,053</w:t>
            </w:r>
          </w:p>
        </w:tc>
        <w:tc>
          <w:tcPr>
            <w:tcW w:w="1276" w:type="dxa"/>
            <w:shd w:val="clear" w:color="auto" w:fill="auto"/>
            <w:noWrap/>
            <w:hideMark/>
          </w:tcPr>
          <w:p w:rsidR="00510AC5" w:rsidRPr="001244BB" w:rsidRDefault="00510AC5" w:rsidP="00510AC5">
            <w:pPr>
              <w:spacing w:after="0" w:line="240" w:lineRule="auto"/>
              <w:jc w:val="right"/>
              <w:rPr>
                <w:rFonts w:eastAsia="Times New Roman" w:cstheme="minorHAnsi"/>
                <w:color w:val="000000"/>
                <w:sz w:val="20"/>
                <w:lang w:eastAsia="en-NZ"/>
              </w:rPr>
            </w:pPr>
            <w:r w:rsidRPr="001244BB">
              <w:rPr>
                <w:rFonts w:eastAsia="Times New Roman" w:cstheme="minorHAnsi"/>
                <w:color w:val="000000"/>
                <w:sz w:val="20"/>
                <w:lang w:eastAsia="en-NZ"/>
              </w:rPr>
              <w:t>$    31,854</w:t>
            </w:r>
          </w:p>
        </w:tc>
        <w:tc>
          <w:tcPr>
            <w:tcW w:w="1418" w:type="dxa"/>
            <w:shd w:val="clear" w:color="000000" w:fill="D9D9D9"/>
            <w:hideMark/>
          </w:tcPr>
          <w:p w:rsidR="00510AC5" w:rsidRPr="001244BB" w:rsidRDefault="00510AC5" w:rsidP="00510AC5">
            <w:pPr>
              <w:spacing w:after="0" w:line="240" w:lineRule="auto"/>
              <w:jc w:val="right"/>
              <w:rPr>
                <w:rFonts w:eastAsia="Times New Roman" w:cstheme="minorHAnsi"/>
                <w:color w:val="000000"/>
                <w:sz w:val="20"/>
                <w:lang w:eastAsia="en-NZ"/>
              </w:rPr>
            </w:pPr>
            <w:r w:rsidRPr="001244BB">
              <w:rPr>
                <w:rFonts w:eastAsia="Times New Roman" w:cstheme="minorHAnsi"/>
                <w:color w:val="000000"/>
                <w:sz w:val="20"/>
                <w:lang w:eastAsia="en-NZ"/>
              </w:rPr>
              <w:t>Trend</w:t>
            </w:r>
          </w:p>
        </w:tc>
        <w:tc>
          <w:tcPr>
            <w:tcW w:w="1134" w:type="dxa"/>
            <w:shd w:val="clear" w:color="auto" w:fill="auto"/>
            <w:hideMark/>
          </w:tcPr>
          <w:p w:rsidR="00510AC5" w:rsidRPr="001244BB" w:rsidRDefault="00510AC5" w:rsidP="00510AC5">
            <w:pPr>
              <w:spacing w:after="0" w:line="240" w:lineRule="auto"/>
              <w:jc w:val="right"/>
              <w:rPr>
                <w:rFonts w:eastAsia="Times New Roman" w:cstheme="minorHAnsi"/>
                <w:color w:val="000000"/>
                <w:sz w:val="20"/>
                <w:lang w:eastAsia="en-NZ"/>
              </w:rPr>
            </w:pPr>
            <w:r w:rsidRPr="001244BB">
              <w:rPr>
                <w:rFonts w:eastAsia="Times New Roman" w:cstheme="minorHAnsi"/>
                <w:color w:val="000000"/>
                <w:sz w:val="20"/>
                <w:lang w:eastAsia="en-NZ"/>
              </w:rPr>
              <w:t>3%</w:t>
            </w:r>
          </w:p>
        </w:tc>
        <w:tc>
          <w:tcPr>
            <w:tcW w:w="1134" w:type="dxa"/>
            <w:shd w:val="clear" w:color="auto" w:fill="auto"/>
            <w:hideMark/>
          </w:tcPr>
          <w:p w:rsidR="00510AC5" w:rsidRDefault="00510AC5" w:rsidP="00510AC5">
            <w:pPr>
              <w:spacing w:after="0"/>
              <w:jc w:val="right"/>
            </w:pPr>
            <w:r w:rsidRPr="003240E0">
              <w:rPr>
                <w:rFonts w:eastAsia="Times New Roman" w:cstheme="minorHAnsi"/>
                <w:color w:val="000000"/>
                <w:sz w:val="20"/>
                <w:lang w:eastAsia="en-NZ"/>
              </w:rPr>
              <w:t>Within 10%</w:t>
            </w:r>
          </w:p>
        </w:tc>
        <w:tc>
          <w:tcPr>
            <w:tcW w:w="2976" w:type="dxa"/>
            <w:shd w:val="clear" w:color="auto" w:fill="auto"/>
          </w:tcPr>
          <w:p w:rsidR="00510AC5" w:rsidRPr="001244BB" w:rsidRDefault="00510AC5" w:rsidP="00510AC5">
            <w:pPr>
              <w:spacing w:after="0" w:line="240" w:lineRule="auto"/>
              <w:rPr>
                <w:rFonts w:eastAsia="Times New Roman" w:cstheme="minorHAnsi"/>
                <w:color w:val="000000"/>
                <w:sz w:val="20"/>
                <w:lang w:eastAsia="en-NZ"/>
              </w:rPr>
            </w:pPr>
          </w:p>
        </w:tc>
      </w:tr>
      <w:tr w:rsidR="00510AC5" w:rsidRPr="001244BB" w:rsidTr="00510AC5">
        <w:trPr>
          <w:trHeight w:val="270"/>
        </w:trPr>
        <w:tc>
          <w:tcPr>
            <w:tcW w:w="3803" w:type="dxa"/>
            <w:gridSpan w:val="2"/>
            <w:shd w:val="clear" w:color="auto" w:fill="auto"/>
            <w:hideMark/>
          </w:tcPr>
          <w:p w:rsidR="00510AC5" w:rsidRPr="001244BB" w:rsidRDefault="00510AC5" w:rsidP="00510AC5">
            <w:pPr>
              <w:spacing w:after="0" w:line="240" w:lineRule="auto"/>
              <w:rPr>
                <w:rFonts w:eastAsia="Times New Roman" w:cstheme="minorHAnsi"/>
                <w:color w:val="000000"/>
                <w:sz w:val="20"/>
                <w:lang w:eastAsia="en-NZ"/>
              </w:rPr>
            </w:pPr>
            <w:r w:rsidRPr="001244BB">
              <w:rPr>
                <w:rFonts w:eastAsia="Times New Roman" w:cstheme="minorHAnsi"/>
                <w:color w:val="000000"/>
                <w:sz w:val="20"/>
                <w:lang w:eastAsia="en-NZ"/>
              </w:rPr>
              <w:t>Operating costs ($000)</w:t>
            </w:r>
          </w:p>
        </w:tc>
        <w:tc>
          <w:tcPr>
            <w:tcW w:w="1443" w:type="dxa"/>
            <w:shd w:val="clear" w:color="auto" w:fill="auto"/>
            <w:noWrap/>
            <w:hideMark/>
          </w:tcPr>
          <w:p w:rsidR="00510AC5" w:rsidRPr="001244BB" w:rsidRDefault="00510AC5" w:rsidP="00510AC5">
            <w:pPr>
              <w:spacing w:after="0" w:line="240" w:lineRule="auto"/>
              <w:jc w:val="right"/>
              <w:rPr>
                <w:rFonts w:eastAsia="Times New Roman" w:cstheme="minorHAnsi"/>
                <w:color w:val="000000"/>
                <w:sz w:val="20"/>
                <w:lang w:eastAsia="en-NZ"/>
              </w:rPr>
            </w:pPr>
            <w:r w:rsidRPr="001244BB">
              <w:rPr>
                <w:rFonts w:eastAsia="Times New Roman" w:cstheme="minorHAnsi"/>
                <w:color w:val="000000"/>
                <w:sz w:val="20"/>
                <w:lang w:eastAsia="en-NZ"/>
              </w:rPr>
              <w:t>$  30,731</w:t>
            </w:r>
          </w:p>
        </w:tc>
        <w:tc>
          <w:tcPr>
            <w:tcW w:w="1417" w:type="dxa"/>
            <w:shd w:val="clear" w:color="auto" w:fill="auto"/>
            <w:noWrap/>
            <w:hideMark/>
          </w:tcPr>
          <w:p w:rsidR="00510AC5" w:rsidRPr="001244BB" w:rsidRDefault="00510AC5" w:rsidP="00510AC5">
            <w:pPr>
              <w:spacing w:after="0" w:line="240" w:lineRule="auto"/>
              <w:jc w:val="right"/>
              <w:rPr>
                <w:rFonts w:eastAsia="Times New Roman" w:cstheme="minorHAnsi"/>
                <w:color w:val="000000"/>
                <w:sz w:val="20"/>
                <w:lang w:eastAsia="en-NZ"/>
              </w:rPr>
            </w:pPr>
            <w:r w:rsidRPr="001244BB">
              <w:rPr>
                <w:rFonts w:eastAsia="Times New Roman" w:cstheme="minorHAnsi"/>
                <w:color w:val="000000"/>
                <w:sz w:val="20"/>
                <w:lang w:eastAsia="en-NZ"/>
              </w:rPr>
              <w:t>$  30,664</w:t>
            </w:r>
          </w:p>
        </w:tc>
        <w:tc>
          <w:tcPr>
            <w:tcW w:w="1276" w:type="dxa"/>
            <w:shd w:val="clear" w:color="auto" w:fill="auto"/>
            <w:noWrap/>
            <w:hideMark/>
          </w:tcPr>
          <w:p w:rsidR="00510AC5" w:rsidRPr="001244BB" w:rsidRDefault="00510AC5" w:rsidP="00510AC5">
            <w:pPr>
              <w:spacing w:after="0" w:line="240" w:lineRule="auto"/>
              <w:jc w:val="right"/>
              <w:rPr>
                <w:rFonts w:eastAsia="Times New Roman" w:cstheme="minorHAnsi"/>
                <w:color w:val="000000"/>
                <w:sz w:val="20"/>
                <w:lang w:eastAsia="en-NZ"/>
              </w:rPr>
            </w:pPr>
            <w:r w:rsidRPr="001244BB">
              <w:rPr>
                <w:rFonts w:eastAsia="Times New Roman" w:cstheme="minorHAnsi"/>
                <w:color w:val="000000"/>
                <w:sz w:val="20"/>
                <w:lang w:eastAsia="en-NZ"/>
              </w:rPr>
              <w:t>$    31,298</w:t>
            </w:r>
          </w:p>
        </w:tc>
        <w:tc>
          <w:tcPr>
            <w:tcW w:w="1418" w:type="dxa"/>
            <w:shd w:val="clear" w:color="000000" w:fill="D9D9D9"/>
            <w:hideMark/>
          </w:tcPr>
          <w:p w:rsidR="00510AC5" w:rsidRPr="001244BB" w:rsidRDefault="00510AC5" w:rsidP="00510AC5">
            <w:pPr>
              <w:spacing w:after="0" w:line="240" w:lineRule="auto"/>
              <w:jc w:val="right"/>
              <w:rPr>
                <w:rFonts w:eastAsia="Times New Roman" w:cstheme="minorHAnsi"/>
                <w:color w:val="000000"/>
                <w:sz w:val="20"/>
                <w:lang w:eastAsia="en-NZ"/>
              </w:rPr>
            </w:pPr>
            <w:r w:rsidRPr="001244BB">
              <w:rPr>
                <w:rFonts w:eastAsia="Times New Roman" w:cstheme="minorHAnsi"/>
                <w:color w:val="000000"/>
                <w:sz w:val="20"/>
                <w:lang w:eastAsia="en-NZ"/>
              </w:rPr>
              <w:t>Trend</w:t>
            </w:r>
          </w:p>
        </w:tc>
        <w:tc>
          <w:tcPr>
            <w:tcW w:w="1134" w:type="dxa"/>
            <w:shd w:val="clear" w:color="auto" w:fill="auto"/>
            <w:hideMark/>
          </w:tcPr>
          <w:p w:rsidR="00510AC5" w:rsidRPr="001244BB" w:rsidRDefault="00510AC5" w:rsidP="00510AC5">
            <w:pPr>
              <w:spacing w:after="0" w:line="240" w:lineRule="auto"/>
              <w:jc w:val="right"/>
              <w:rPr>
                <w:rFonts w:eastAsia="Times New Roman" w:cstheme="minorHAnsi"/>
                <w:color w:val="000000"/>
                <w:sz w:val="20"/>
                <w:lang w:eastAsia="en-NZ"/>
              </w:rPr>
            </w:pPr>
            <w:r w:rsidRPr="001244BB">
              <w:rPr>
                <w:rFonts w:eastAsia="Times New Roman" w:cstheme="minorHAnsi"/>
                <w:color w:val="000000"/>
                <w:sz w:val="20"/>
                <w:lang w:eastAsia="en-NZ"/>
              </w:rPr>
              <w:t>2%</w:t>
            </w:r>
          </w:p>
        </w:tc>
        <w:tc>
          <w:tcPr>
            <w:tcW w:w="1134" w:type="dxa"/>
            <w:shd w:val="clear" w:color="auto" w:fill="auto"/>
            <w:hideMark/>
          </w:tcPr>
          <w:p w:rsidR="00510AC5" w:rsidRDefault="00510AC5" w:rsidP="00510AC5">
            <w:pPr>
              <w:spacing w:after="0"/>
              <w:jc w:val="right"/>
            </w:pPr>
            <w:r w:rsidRPr="003240E0">
              <w:rPr>
                <w:rFonts w:eastAsia="Times New Roman" w:cstheme="minorHAnsi"/>
                <w:color w:val="000000"/>
                <w:sz w:val="20"/>
                <w:lang w:eastAsia="en-NZ"/>
              </w:rPr>
              <w:t>Within 10%</w:t>
            </w:r>
          </w:p>
        </w:tc>
        <w:tc>
          <w:tcPr>
            <w:tcW w:w="2976" w:type="dxa"/>
            <w:shd w:val="clear" w:color="auto" w:fill="auto"/>
          </w:tcPr>
          <w:p w:rsidR="00510AC5" w:rsidRPr="001244BB" w:rsidRDefault="00510AC5" w:rsidP="00510AC5">
            <w:pPr>
              <w:spacing w:after="0" w:line="240" w:lineRule="auto"/>
              <w:rPr>
                <w:rFonts w:eastAsia="Times New Roman" w:cstheme="minorHAnsi"/>
                <w:color w:val="000000"/>
                <w:sz w:val="20"/>
                <w:lang w:eastAsia="en-NZ"/>
              </w:rPr>
            </w:pPr>
          </w:p>
        </w:tc>
      </w:tr>
      <w:tr w:rsidR="001D7232" w:rsidRPr="001244BB" w:rsidTr="00510AC5">
        <w:trPr>
          <w:trHeight w:val="270"/>
        </w:trPr>
        <w:tc>
          <w:tcPr>
            <w:tcW w:w="3803" w:type="dxa"/>
            <w:gridSpan w:val="2"/>
            <w:shd w:val="clear" w:color="auto" w:fill="auto"/>
            <w:hideMark/>
          </w:tcPr>
          <w:p w:rsidR="001D7232" w:rsidRPr="001244BB" w:rsidRDefault="001D7232" w:rsidP="00886B18">
            <w:pPr>
              <w:spacing w:after="0" w:line="240" w:lineRule="auto"/>
              <w:rPr>
                <w:rFonts w:eastAsia="Times New Roman" w:cstheme="minorHAnsi"/>
                <w:color w:val="000000"/>
                <w:sz w:val="20"/>
                <w:lang w:eastAsia="en-NZ"/>
              </w:rPr>
            </w:pPr>
            <w:r w:rsidRPr="001244BB">
              <w:rPr>
                <w:rFonts w:eastAsia="Times New Roman" w:cstheme="minorHAnsi"/>
                <w:color w:val="000000"/>
                <w:sz w:val="20"/>
                <w:lang w:eastAsia="en-NZ"/>
              </w:rPr>
              <w:t>Net surplus/loss ($000)</w:t>
            </w:r>
          </w:p>
        </w:tc>
        <w:tc>
          <w:tcPr>
            <w:tcW w:w="1443" w:type="dxa"/>
            <w:shd w:val="clear" w:color="auto" w:fill="auto"/>
            <w:noWrap/>
            <w:hideMark/>
          </w:tcPr>
          <w:p w:rsidR="001D7232" w:rsidRPr="001244BB" w:rsidRDefault="001D7232" w:rsidP="0025274D">
            <w:pPr>
              <w:spacing w:after="0" w:line="240" w:lineRule="auto"/>
              <w:jc w:val="right"/>
              <w:rPr>
                <w:rFonts w:eastAsia="Times New Roman" w:cstheme="minorHAnsi"/>
                <w:color w:val="000000"/>
                <w:sz w:val="20"/>
                <w:lang w:eastAsia="en-NZ"/>
              </w:rPr>
            </w:pPr>
            <w:r w:rsidRPr="001244BB">
              <w:rPr>
                <w:rFonts w:eastAsia="Times New Roman" w:cstheme="minorHAnsi"/>
                <w:color w:val="000000"/>
                <w:sz w:val="20"/>
                <w:lang w:eastAsia="en-NZ"/>
              </w:rPr>
              <w:t>-$24</w:t>
            </w:r>
          </w:p>
        </w:tc>
        <w:tc>
          <w:tcPr>
            <w:tcW w:w="1417" w:type="dxa"/>
            <w:shd w:val="clear" w:color="auto" w:fill="auto"/>
            <w:noWrap/>
            <w:hideMark/>
          </w:tcPr>
          <w:p w:rsidR="001D7232" w:rsidRPr="001244BB" w:rsidRDefault="001D7232" w:rsidP="0025274D">
            <w:pPr>
              <w:spacing w:after="0" w:line="240" w:lineRule="auto"/>
              <w:jc w:val="right"/>
              <w:rPr>
                <w:rFonts w:eastAsia="Times New Roman" w:cstheme="minorHAnsi"/>
                <w:color w:val="000000"/>
                <w:sz w:val="20"/>
                <w:lang w:eastAsia="en-NZ"/>
              </w:rPr>
            </w:pPr>
            <w:r w:rsidRPr="001244BB">
              <w:rPr>
                <w:rFonts w:eastAsia="Times New Roman" w:cstheme="minorHAnsi"/>
                <w:color w:val="000000"/>
                <w:sz w:val="20"/>
                <w:lang w:eastAsia="en-NZ"/>
              </w:rPr>
              <w:t>$389</w:t>
            </w:r>
          </w:p>
        </w:tc>
        <w:tc>
          <w:tcPr>
            <w:tcW w:w="1276" w:type="dxa"/>
            <w:shd w:val="clear" w:color="auto" w:fill="auto"/>
            <w:noWrap/>
            <w:hideMark/>
          </w:tcPr>
          <w:p w:rsidR="001D7232" w:rsidRPr="001244BB" w:rsidRDefault="001D7232" w:rsidP="0025274D">
            <w:pPr>
              <w:spacing w:after="0" w:line="240" w:lineRule="auto"/>
              <w:jc w:val="right"/>
              <w:rPr>
                <w:rFonts w:eastAsia="Times New Roman" w:cstheme="minorHAnsi"/>
                <w:color w:val="000000"/>
                <w:sz w:val="20"/>
                <w:lang w:eastAsia="en-NZ"/>
              </w:rPr>
            </w:pPr>
            <w:r w:rsidRPr="001244BB">
              <w:rPr>
                <w:rFonts w:eastAsia="Times New Roman" w:cstheme="minorHAnsi"/>
                <w:color w:val="000000"/>
                <w:sz w:val="20"/>
                <w:lang w:eastAsia="en-NZ"/>
              </w:rPr>
              <w:t>$556</w:t>
            </w:r>
          </w:p>
        </w:tc>
        <w:tc>
          <w:tcPr>
            <w:tcW w:w="1418" w:type="dxa"/>
            <w:shd w:val="clear" w:color="000000" w:fill="D9D9D9"/>
            <w:hideMark/>
          </w:tcPr>
          <w:p w:rsidR="001D7232" w:rsidRPr="001244BB" w:rsidRDefault="001D7232" w:rsidP="0025274D">
            <w:pPr>
              <w:spacing w:after="0" w:line="240" w:lineRule="auto"/>
              <w:jc w:val="right"/>
              <w:rPr>
                <w:rFonts w:eastAsia="Times New Roman" w:cstheme="minorHAnsi"/>
                <w:color w:val="000000"/>
                <w:sz w:val="20"/>
                <w:lang w:eastAsia="en-NZ"/>
              </w:rPr>
            </w:pPr>
            <w:r w:rsidRPr="001244BB">
              <w:rPr>
                <w:rFonts w:eastAsia="Times New Roman" w:cstheme="minorHAnsi"/>
                <w:color w:val="000000"/>
                <w:sz w:val="20"/>
                <w:lang w:eastAsia="en-NZ"/>
              </w:rPr>
              <w:t>Trend</w:t>
            </w:r>
          </w:p>
        </w:tc>
        <w:tc>
          <w:tcPr>
            <w:tcW w:w="1134" w:type="dxa"/>
            <w:shd w:val="clear" w:color="auto" w:fill="auto"/>
            <w:hideMark/>
          </w:tcPr>
          <w:p w:rsidR="001D7232" w:rsidRPr="001244BB" w:rsidRDefault="001D7232" w:rsidP="0025274D">
            <w:pPr>
              <w:spacing w:after="0" w:line="240" w:lineRule="auto"/>
              <w:jc w:val="right"/>
              <w:rPr>
                <w:rFonts w:eastAsia="Times New Roman" w:cstheme="minorHAnsi"/>
                <w:color w:val="000000"/>
                <w:sz w:val="20"/>
                <w:lang w:eastAsia="en-NZ"/>
              </w:rPr>
            </w:pPr>
            <w:r w:rsidRPr="001244BB">
              <w:rPr>
                <w:rFonts w:eastAsia="Times New Roman" w:cstheme="minorHAnsi"/>
                <w:color w:val="000000"/>
                <w:sz w:val="20"/>
                <w:lang w:eastAsia="en-NZ"/>
              </w:rPr>
              <w:t>43%</w:t>
            </w:r>
          </w:p>
        </w:tc>
        <w:tc>
          <w:tcPr>
            <w:tcW w:w="1134" w:type="dxa"/>
            <w:shd w:val="clear" w:color="auto" w:fill="auto"/>
            <w:hideMark/>
          </w:tcPr>
          <w:p w:rsidR="001D7232" w:rsidRPr="001244BB" w:rsidRDefault="001D7232" w:rsidP="0025274D">
            <w:pPr>
              <w:spacing w:after="0" w:line="240" w:lineRule="auto"/>
              <w:jc w:val="right"/>
              <w:rPr>
                <w:rFonts w:eastAsia="Times New Roman" w:cstheme="minorHAnsi"/>
                <w:color w:val="000000"/>
                <w:sz w:val="20"/>
                <w:lang w:eastAsia="en-NZ"/>
              </w:rPr>
            </w:pPr>
            <w:r w:rsidRPr="001244BB">
              <w:rPr>
                <w:rFonts w:eastAsia="Times New Roman" w:cstheme="minorHAnsi"/>
                <w:color w:val="000000"/>
                <w:sz w:val="20"/>
                <w:lang w:eastAsia="en-NZ"/>
              </w:rPr>
              <w:t>exceeded</w:t>
            </w:r>
          </w:p>
        </w:tc>
        <w:tc>
          <w:tcPr>
            <w:tcW w:w="2976" w:type="dxa"/>
            <w:shd w:val="clear" w:color="auto" w:fill="FFFFFF" w:themeFill="background1"/>
            <w:hideMark/>
          </w:tcPr>
          <w:p w:rsidR="001D7232" w:rsidRPr="001244BB" w:rsidRDefault="001D7232" w:rsidP="0025274D">
            <w:pPr>
              <w:spacing w:after="0" w:line="240" w:lineRule="auto"/>
              <w:rPr>
                <w:rFonts w:eastAsia="Times New Roman" w:cstheme="minorHAnsi"/>
                <w:color w:val="000000"/>
                <w:sz w:val="20"/>
                <w:lang w:eastAsia="en-NZ"/>
              </w:rPr>
            </w:pPr>
            <w:r w:rsidRPr="001244BB">
              <w:rPr>
                <w:rFonts w:eastAsia="Times New Roman" w:cstheme="minorHAnsi"/>
                <w:color w:val="000000"/>
                <w:sz w:val="20"/>
                <w:lang w:eastAsia="en-NZ"/>
              </w:rPr>
              <w:t>Positive trend with good increase on previous  result</w:t>
            </w:r>
          </w:p>
        </w:tc>
      </w:tr>
      <w:tr w:rsidR="001D7232" w:rsidRPr="001244BB" w:rsidTr="00510AC5">
        <w:trPr>
          <w:trHeight w:val="780"/>
        </w:trPr>
        <w:tc>
          <w:tcPr>
            <w:tcW w:w="3803" w:type="dxa"/>
            <w:gridSpan w:val="2"/>
            <w:tcBorders>
              <w:bottom w:val="nil"/>
            </w:tcBorders>
            <w:shd w:val="clear" w:color="auto" w:fill="auto"/>
            <w:hideMark/>
          </w:tcPr>
          <w:p w:rsidR="001D7232" w:rsidRPr="001244BB" w:rsidRDefault="001D7232" w:rsidP="0025274D">
            <w:pPr>
              <w:spacing w:after="0" w:line="240" w:lineRule="auto"/>
              <w:rPr>
                <w:rFonts w:eastAsia="Times New Roman" w:cstheme="minorHAnsi"/>
                <w:color w:val="000000"/>
                <w:sz w:val="20"/>
                <w:lang w:eastAsia="en-NZ"/>
              </w:rPr>
            </w:pPr>
            <w:r w:rsidRPr="001244BB">
              <w:rPr>
                <w:rFonts w:eastAsia="Times New Roman" w:cstheme="minorHAnsi"/>
                <w:color w:val="000000"/>
                <w:sz w:val="20"/>
                <w:lang w:eastAsia="en-NZ"/>
              </w:rPr>
              <w:t>Number of actively supported businesses through regional business partner programme</w:t>
            </w:r>
          </w:p>
        </w:tc>
        <w:tc>
          <w:tcPr>
            <w:tcW w:w="1443" w:type="dxa"/>
            <w:tcBorders>
              <w:bottom w:val="nil"/>
            </w:tcBorders>
            <w:shd w:val="clear" w:color="auto" w:fill="auto"/>
            <w:noWrap/>
            <w:hideMark/>
          </w:tcPr>
          <w:p w:rsidR="001D7232" w:rsidRPr="001244BB" w:rsidRDefault="001D7232" w:rsidP="0025274D">
            <w:pPr>
              <w:spacing w:after="0" w:line="240" w:lineRule="auto"/>
              <w:jc w:val="right"/>
              <w:rPr>
                <w:rFonts w:eastAsia="Times New Roman" w:cstheme="minorHAnsi"/>
                <w:color w:val="000000"/>
                <w:sz w:val="20"/>
                <w:lang w:eastAsia="en-NZ"/>
              </w:rPr>
            </w:pPr>
          </w:p>
        </w:tc>
        <w:tc>
          <w:tcPr>
            <w:tcW w:w="1417" w:type="dxa"/>
            <w:tcBorders>
              <w:bottom w:val="nil"/>
            </w:tcBorders>
            <w:shd w:val="clear" w:color="auto" w:fill="auto"/>
            <w:noWrap/>
            <w:hideMark/>
          </w:tcPr>
          <w:p w:rsidR="001D7232" w:rsidRPr="001244BB" w:rsidRDefault="001D7232" w:rsidP="0025274D">
            <w:pPr>
              <w:spacing w:after="0" w:line="240" w:lineRule="auto"/>
              <w:jc w:val="right"/>
              <w:rPr>
                <w:rFonts w:eastAsia="Times New Roman" w:cstheme="minorHAnsi"/>
                <w:color w:val="000000"/>
                <w:sz w:val="20"/>
                <w:lang w:eastAsia="en-NZ"/>
              </w:rPr>
            </w:pPr>
            <w:r w:rsidRPr="001244BB">
              <w:rPr>
                <w:rFonts w:eastAsia="Times New Roman" w:cstheme="minorHAnsi"/>
                <w:color w:val="000000"/>
                <w:sz w:val="20"/>
                <w:lang w:eastAsia="en-NZ"/>
              </w:rPr>
              <w:t>New</w:t>
            </w:r>
          </w:p>
        </w:tc>
        <w:tc>
          <w:tcPr>
            <w:tcW w:w="1276" w:type="dxa"/>
            <w:tcBorders>
              <w:bottom w:val="nil"/>
            </w:tcBorders>
            <w:shd w:val="clear" w:color="auto" w:fill="auto"/>
            <w:noWrap/>
            <w:hideMark/>
          </w:tcPr>
          <w:p w:rsidR="001D7232" w:rsidRPr="001244BB" w:rsidRDefault="001D7232" w:rsidP="0025274D">
            <w:pPr>
              <w:spacing w:after="0" w:line="240" w:lineRule="auto"/>
              <w:jc w:val="right"/>
              <w:rPr>
                <w:rFonts w:eastAsia="Times New Roman" w:cstheme="minorHAnsi"/>
                <w:color w:val="000000"/>
                <w:sz w:val="20"/>
                <w:lang w:eastAsia="en-NZ"/>
              </w:rPr>
            </w:pPr>
            <w:r w:rsidRPr="001244BB">
              <w:rPr>
                <w:rFonts w:eastAsia="Times New Roman" w:cstheme="minorHAnsi"/>
                <w:color w:val="000000"/>
                <w:sz w:val="20"/>
                <w:lang w:eastAsia="en-NZ"/>
              </w:rPr>
              <w:t>472</w:t>
            </w:r>
          </w:p>
        </w:tc>
        <w:tc>
          <w:tcPr>
            <w:tcW w:w="1418" w:type="dxa"/>
            <w:tcBorders>
              <w:bottom w:val="nil"/>
            </w:tcBorders>
            <w:shd w:val="clear" w:color="000000" w:fill="D9D9D9"/>
            <w:hideMark/>
          </w:tcPr>
          <w:p w:rsidR="001D7232" w:rsidRPr="001244BB" w:rsidRDefault="001D7232" w:rsidP="0025274D">
            <w:pPr>
              <w:spacing w:after="0" w:line="240" w:lineRule="auto"/>
              <w:jc w:val="right"/>
              <w:rPr>
                <w:rFonts w:eastAsia="Times New Roman" w:cstheme="minorHAnsi"/>
                <w:color w:val="000000"/>
                <w:sz w:val="20"/>
                <w:lang w:eastAsia="en-NZ"/>
              </w:rPr>
            </w:pPr>
            <w:r w:rsidRPr="001244BB">
              <w:rPr>
                <w:rFonts w:eastAsia="Times New Roman" w:cstheme="minorHAnsi"/>
                <w:color w:val="000000"/>
                <w:sz w:val="20"/>
                <w:lang w:eastAsia="en-NZ"/>
              </w:rPr>
              <w:t>445</w:t>
            </w:r>
          </w:p>
        </w:tc>
        <w:tc>
          <w:tcPr>
            <w:tcW w:w="1134" w:type="dxa"/>
            <w:tcBorders>
              <w:bottom w:val="nil"/>
            </w:tcBorders>
            <w:shd w:val="clear" w:color="auto" w:fill="auto"/>
            <w:hideMark/>
          </w:tcPr>
          <w:p w:rsidR="001D7232" w:rsidRPr="001244BB" w:rsidRDefault="001D7232" w:rsidP="0025274D">
            <w:pPr>
              <w:spacing w:after="0" w:line="240" w:lineRule="auto"/>
              <w:jc w:val="right"/>
              <w:rPr>
                <w:rFonts w:eastAsia="Times New Roman" w:cstheme="minorHAnsi"/>
                <w:color w:val="000000"/>
                <w:sz w:val="20"/>
                <w:lang w:eastAsia="en-NZ"/>
              </w:rPr>
            </w:pPr>
            <w:r w:rsidRPr="001244BB">
              <w:rPr>
                <w:rFonts w:eastAsia="Times New Roman" w:cstheme="minorHAnsi"/>
                <w:color w:val="000000"/>
                <w:sz w:val="20"/>
                <w:lang w:eastAsia="en-NZ"/>
              </w:rPr>
              <w:t>6%</w:t>
            </w:r>
          </w:p>
        </w:tc>
        <w:tc>
          <w:tcPr>
            <w:tcW w:w="1134" w:type="dxa"/>
            <w:tcBorders>
              <w:bottom w:val="nil"/>
            </w:tcBorders>
            <w:shd w:val="clear" w:color="auto" w:fill="auto"/>
            <w:hideMark/>
          </w:tcPr>
          <w:p w:rsidR="001D7232" w:rsidRPr="001244BB" w:rsidRDefault="00510AC5" w:rsidP="0025274D">
            <w:pPr>
              <w:spacing w:after="0" w:line="240" w:lineRule="auto"/>
              <w:jc w:val="right"/>
              <w:rPr>
                <w:rFonts w:eastAsia="Times New Roman" w:cstheme="minorHAnsi"/>
                <w:color w:val="000000"/>
                <w:sz w:val="20"/>
                <w:lang w:eastAsia="en-NZ"/>
              </w:rPr>
            </w:pPr>
            <w:r>
              <w:rPr>
                <w:rFonts w:eastAsia="Times New Roman" w:cstheme="minorHAnsi"/>
                <w:color w:val="000000"/>
                <w:sz w:val="20"/>
                <w:lang w:eastAsia="en-NZ"/>
              </w:rPr>
              <w:t>Within 10%</w:t>
            </w:r>
          </w:p>
        </w:tc>
        <w:tc>
          <w:tcPr>
            <w:tcW w:w="2976" w:type="dxa"/>
            <w:tcBorders>
              <w:bottom w:val="nil"/>
            </w:tcBorders>
            <w:shd w:val="clear" w:color="auto" w:fill="auto"/>
          </w:tcPr>
          <w:p w:rsidR="001D7232" w:rsidRPr="001244BB" w:rsidRDefault="001D7232" w:rsidP="0025274D">
            <w:pPr>
              <w:spacing w:after="0" w:line="240" w:lineRule="auto"/>
              <w:rPr>
                <w:rFonts w:eastAsia="Times New Roman" w:cstheme="minorHAnsi"/>
                <w:color w:val="000000"/>
                <w:sz w:val="20"/>
                <w:lang w:eastAsia="en-NZ"/>
              </w:rPr>
            </w:pPr>
          </w:p>
        </w:tc>
      </w:tr>
      <w:tr w:rsidR="001D7232" w:rsidRPr="001244BB" w:rsidTr="00510AC5">
        <w:trPr>
          <w:trHeight w:val="200"/>
        </w:trPr>
        <w:tc>
          <w:tcPr>
            <w:tcW w:w="14601" w:type="dxa"/>
            <w:gridSpan w:val="9"/>
            <w:tcBorders>
              <w:top w:val="nil"/>
              <w:bottom w:val="nil"/>
            </w:tcBorders>
            <w:shd w:val="clear" w:color="auto" w:fill="FBD4B4" w:themeFill="accent6" w:themeFillTint="66"/>
          </w:tcPr>
          <w:p w:rsidR="001D7232" w:rsidRPr="001244BB" w:rsidRDefault="001D7232" w:rsidP="00510AC5">
            <w:pPr>
              <w:spacing w:after="0" w:line="240" w:lineRule="auto"/>
              <w:rPr>
                <w:rFonts w:eastAsia="Times New Roman" w:cstheme="minorHAnsi"/>
                <w:b/>
                <w:sz w:val="20"/>
                <w:lang w:eastAsia="en-NZ"/>
              </w:rPr>
            </w:pPr>
            <w:r w:rsidRPr="001244BB">
              <w:rPr>
                <w:rFonts w:eastAsia="Times New Roman" w:cstheme="minorHAnsi"/>
                <w:b/>
                <w:sz w:val="20"/>
                <w:lang w:eastAsia="en-NZ"/>
              </w:rPr>
              <w:t>Wellington Regional Stadium Trust</w:t>
            </w:r>
            <w:r w:rsidR="00510AC5">
              <w:rPr>
                <w:rFonts w:eastAsia="Times New Roman" w:cstheme="minorHAnsi"/>
                <w:b/>
                <w:sz w:val="20"/>
                <w:lang w:eastAsia="en-NZ"/>
              </w:rPr>
              <w:t xml:space="preserve"> – for the measures related to this trust refer to its Annual Report</w:t>
            </w:r>
          </w:p>
        </w:tc>
      </w:tr>
    </w:tbl>
    <w:p w:rsidR="00D56DAD" w:rsidRPr="00D5126A" w:rsidRDefault="00D56DAD" w:rsidP="00D56DAD">
      <w:pPr>
        <w:sectPr w:rsidR="00D56DAD" w:rsidRPr="00D5126A" w:rsidSect="00435AB2">
          <w:type w:val="continuous"/>
          <w:pgSz w:w="16838" w:h="11906" w:orient="landscape"/>
          <w:pgMar w:top="709" w:right="1440" w:bottom="851" w:left="1440" w:header="426" w:footer="0" w:gutter="0"/>
          <w:cols w:space="708"/>
          <w:docGrid w:linePitch="360"/>
        </w:sectPr>
      </w:pPr>
    </w:p>
    <w:p w:rsidR="00D56DAD" w:rsidRPr="00D5126A" w:rsidRDefault="00D56DAD" w:rsidP="00AA2122">
      <w:pPr>
        <w:pStyle w:val="Heading3"/>
        <w:rPr>
          <w:rStyle w:val="00Text"/>
        </w:rPr>
      </w:pPr>
      <w:bookmarkStart w:id="212" w:name="_Toc19085832"/>
      <w:bookmarkEnd w:id="211"/>
      <w:r w:rsidRPr="00D5126A">
        <w:rPr>
          <w:rStyle w:val="00Text"/>
        </w:rPr>
        <w:lastRenderedPageBreak/>
        <w:t>Innovating for a better public sector</w:t>
      </w:r>
      <w:bookmarkEnd w:id="212"/>
    </w:p>
    <w:p w:rsidR="00D56DAD" w:rsidRPr="00D5126A" w:rsidRDefault="00D56DAD" w:rsidP="00D56DAD">
      <w:pPr>
        <w:rPr>
          <w:rFonts w:ascii="Arial" w:hAnsi="Arial" w:cs="Arial"/>
          <w:szCs w:val="24"/>
        </w:rPr>
      </w:pPr>
      <w:bookmarkStart w:id="213" w:name="4__Oranga_ahurea_Cultural_wellbeingThis_"/>
      <w:bookmarkStart w:id="214" w:name="4__Oranga_ahurea_Cultural_wellbeing"/>
      <w:bookmarkEnd w:id="213"/>
      <w:bookmarkEnd w:id="214"/>
      <w:r w:rsidRPr="00D5126A">
        <w:rPr>
          <w:rFonts w:ascii="Arial" w:hAnsi="Arial" w:cs="Arial"/>
          <w:szCs w:val="24"/>
        </w:rPr>
        <w:t xml:space="preserve">Lightning Lab GovTech is a unique programme run by </w:t>
      </w:r>
      <w:r w:rsidR="00886B18">
        <w:rPr>
          <w:rFonts w:ascii="Arial" w:hAnsi="Arial" w:cs="Arial"/>
          <w:szCs w:val="24"/>
        </w:rPr>
        <w:t>C</w:t>
      </w:r>
      <w:r w:rsidR="00886B18" w:rsidRPr="00D5126A">
        <w:rPr>
          <w:rFonts w:ascii="Arial" w:hAnsi="Arial" w:cs="Arial"/>
          <w:szCs w:val="24"/>
        </w:rPr>
        <w:t>ouncil</w:t>
      </w:r>
      <w:r w:rsidRPr="00D5126A">
        <w:rPr>
          <w:rFonts w:ascii="Arial" w:hAnsi="Arial" w:cs="Arial"/>
          <w:szCs w:val="24"/>
        </w:rPr>
        <w:t xml:space="preserve">-controlled organisation, Creative HQ. The programme helps central, local and international government teams use proven innovation frameworks, methods and support to solve problems. </w:t>
      </w:r>
    </w:p>
    <w:p w:rsidR="00D56DAD" w:rsidRPr="00D5126A" w:rsidRDefault="00886B18" w:rsidP="00D56DAD">
      <w:pPr>
        <w:rPr>
          <w:rFonts w:ascii="Arial" w:hAnsi="Arial" w:cs="Arial"/>
          <w:szCs w:val="24"/>
        </w:rPr>
      </w:pPr>
      <w:r>
        <w:rPr>
          <w:rFonts w:ascii="Arial" w:hAnsi="Arial" w:cs="Arial"/>
          <w:szCs w:val="24"/>
        </w:rPr>
        <w:t xml:space="preserve">The </w:t>
      </w:r>
      <w:r w:rsidR="00D56DAD" w:rsidRPr="00D5126A">
        <w:rPr>
          <w:rFonts w:ascii="Arial" w:hAnsi="Arial" w:cs="Arial"/>
          <w:szCs w:val="24"/>
        </w:rPr>
        <w:t>Lightning Lab GovTech programme builds on the foundation created by Creative HQ’s previous GovTech acceleration programme, the “R9 Accelerator”</w:t>
      </w:r>
      <w:r>
        <w:rPr>
          <w:rFonts w:ascii="Arial" w:hAnsi="Arial" w:cs="Arial"/>
          <w:szCs w:val="24"/>
        </w:rPr>
        <w:t>,</w:t>
      </w:r>
      <w:r w:rsidR="00D56DAD" w:rsidRPr="00D5126A">
        <w:rPr>
          <w:rFonts w:ascii="Arial" w:hAnsi="Arial" w:cs="Arial"/>
          <w:szCs w:val="24"/>
        </w:rPr>
        <w:t xml:space="preserve"> which was run in partnership with the Ministry of Business, Innovation and Employment. In 2018, Creative HQ had the opportunity to carry on with this important work using their Lightning Lab brand and thus created “Lightning Lab GovTech”, a three-month acceleration programme de-risking the process of innovation so that government can experiment with new technology and new ways of working.</w:t>
      </w:r>
    </w:p>
    <w:p w:rsidR="00D56DAD" w:rsidRPr="00D5126A" w:rsidRDefault="00D56DAD" w:rsidP="00D56DAD">
      <w:pPr>
        <w:rPr>
          <w:rFonts w:ascii="Arial" w:hAnsi="Arial" w:cs="Arial"/>
          <w:szCs w:val="24"/>
        </w:rPr>
      </w:pPr>
      <w:r w:rsidRPr="00D5126A">
        <w:rPr>
          <w:rFonts w:ascii="Arial" w:hAnsi="Arial" w:cs="Arial"/>
          <w:szCs w:val="24"/>
        </w:rPr>
        <w:t xml:space="preserve">It is designed to help create a better, faster and more inclusive public sector. In the </w:t>
      </w:r>
      <w:r w:rsidR="00886B18">
        <w:rPr>
          <w:rFonts w:ascii="Arial" w:hAnsi="Arial" w:cs="Arial"/>
          <w:szCs w:val="24"/>
        </w:rPr>
        <w:t>three</w:t>
      </w:r>
      <w:r w:rsidRPr="00D5126A">
        <w:rPr>
          <w:rFonts w:ascii="Arial" w:hAnsi="Arial" w:cs="Arial"/>
          <w:szCs w:val="24"/>
        </w:rPr>
        <w:t>-month programme, teams push beyond incremental improvements to create breakthrough innovation that is inclusive and citizen focused.</w:t>
      </w:r>
    </w:p>
    <w:p w:rsidR="00D56DAD" w:rsidRPr="00D5126A" w:rsidRDefault="00D56DAD" w:rsidP="00D56DAD">
      <w:pPr>
        <w:rPr>
          <w:rFonts w:ascii="Arial" w:hAnsi="Arial" w:cs="Arial"/>
          <w:szCs w:val="24"/>
        </w:rPr>
      </w:pPr>
      <w:r w:rsidRPr="00D5126A">
        <w:rPr>
          <w:rFonts w:ascii="Arial" w:hAnsi="Arial" w:cs="Arial"/>
          <w:szCs w:val="24"/>
        </w:rPr>
        <w:t xml:space="preserve">“The programme is designed to help people who are working on complex problems solve those problems using a disciplined and structured approach. We believe the public sector already has the best and brightest working on these problems, Lightning Lab GovTech is about unleashing those solutions” says Programme Director Jonnie Haddon. </w:t>
      </w:r>
    </w:p>
    <w:p w:rsidR="00D56DAD" w:rsidRPr="00D5126A" w:rsidRDefault="00D56DAD" w:rsidP="00D56DAD">
      <w:pPr>
        <w:rPr>
          <w:rFonts w:ascii="Arial" w:hAnsi="Arial" w:cs="Arial"/>
          <w:szCs w:val="24"/>
        </w:rPr>
      </w:pPr>
      <w:r w:rsidRPr="00D5126A">
        <w:rPr>
          <w:rFonts w:ascii="Arial" w:hAnsi="Arial" w:cs="Arial"/>
          <w:szCs w:val="24"/>
        </w:rPr>
        <w:t xml:space="preserve">“The very nature of the programme is about being adaptive. People who come into the programme might come in with a very clear idea on what they think the solution is going to be but within the </w:t>
      </w:r>
      <w:r w:rsidR="00886B18">
        <w:rPr>
          <w:rFonts w:ascii="Arial" w:hAnsi="Arial" w:cs="Arial"/>
          <w:szCs w:val="24"/>
        </w:rPr>
        <w:t xml:space="preserve">three </w:t>
      </w:r>
      <w:r w:rsidRPr="00D5126A">
        <w:rPr>
          <w:rFonts w:ascii="Arial" w:hAnsi="Arial" w:cs="Arial"/>
          <w:szCs w:val="24"/>
        </w:rPr>
        <w:t>months they discover that their solution doesn’t work for their target market and so they need to come up with a new one.</w:t>
      </w:r>
    </w:p>
    <w:p w:rsidR="00D56DAD" w:rsidRPr="00D5126A" w:rsidRDefault="00D56DAD" w:rsidP="00D56DAD">
      <w:pPr>
        <w:rPr>
          <w:rFonts w:ascii="Arial" w:hAnsi="Arial" w:cs="Arial"/>
          <w:szCs w:val="24"/>
        </w:rPr>
      </w:pPr>
      <w:r w:rsidRPr="00D5126A">
        <w:rPr>
          <w:rFonts w:ascii="Arial" w:hAnsi="Arial" w:cs="Arial"/>
          <w:szCs w:val="24"/>
        </w:rPr>
        <w:t>“It’s a way for government to try a different way of working and creating opportunities for change</w:t>
      </w:r>
      <w:r w:rsidR="00886B18">
        <w:rPr>
          <w:rFonts w:ascii="Arial" w:hAnsi="Arial" w:cs="Arial"/>
          <w:szCs w:val="24"/>
        </w:rPr>
        <w:t>.</w:t>
      </w:r>
      <w:r w:rsidRPr="00D5126A">
        <w:rPr>
          <w:rFonts w:ascii="Arial" w:hAnsi="Arial" w:cs="Arial"/>
          <w:szCs w:val="24"/>
        </w:rPr>
        <w:t xml:space="preserve">” </w:t>
      </w:r>
    </w:p>
    <w:p w:rsidR="00D56DAD" w:rsidRPr="00D5126A" w:rsidRDefault="00D56DAD" w:rsidP="00D56DAD">
      <w:pPr>
        <w:rPr>
          <w:rFonts w:ascii="Arial" w:hAnsi="Arial" w:cs="Arial"/>
          <w:szCs w:val="24"/>
        </w:rPr>
      </w:pPr>
      <w:r w:rsidRPr="00D5126A">
        <w:rPr>
          <w:rFonts w:ascii="Arial" w:hAnsi="Arial" w:cs="Arial"/>
          <w:szCs w:val="24"/>
        </w:rPr>
        <w:t xml:space="preserve">In 2018, two teams from Wellington City Council fast-tracked two projects: Accessible Wellington and Unlocked (Housing). </w:t>
      </w:r>
    </w:p>
    <w:p w:rsidR="00D56DAD" w:rsidRPr="00D5126A" w:rsidRDefault="00D56DAD" w:rsidP="00D56DAD">
      <w:pPr>
        <w:rPr>
          <w:rFonts w:ascii="Arial" w:hAnsi="Arial" w:cs="Arial"/>
          <w:szCs w:val="24"/>
        </w:rPr>
      </w:pPr>
      <w:r w:rsidRPr="00D5126A">
        <w:rPr>
          <w:rFonts w:ascii="Arial" w:hAnsi="Arial" w:cs="Arial"/>
          <w:szCs w:val="24"/>
        </w:rPr>
        <w:t>Unlocked looked at the opportunities to make more homes possible in Wellington by educating landowners of the development potential of their land under current planning settings and brings together a range of information into one simple tool.</w:t>
      </w:r>
    </w:p>
    <w:p w:rsidR="00D56DAD" w:rsidRPr="00D5126A" w:rsidRDefault="00D56DAD" w:rsidP="00D56DAD">
      <w:pPr>
        <w:rPr>
          <w:rFonts w:ascii="Arial" w:hAnsi="Arial" w:cs="Arial"/>
          <w:szCs w:val="24"/>
        </w:rPr>
      </w:pPr>
      <w:r w:rsidRPr="00D5126A">
        <w:rPr>
          <w:rFonts w:ascii="Arial" w:hAnsi="Arial" w:cs="Arial"/>
          <w:szCs w:val="24"/>
        </w:rPr>
        <w:t xml:space="preserve">Housing Development Manager John McDonald says that the team “are now at a level they would not have been able to reach without [the accelerator]”. </w:t>
      </w:r>
    </w:p>
    <w:p w:rsidR="00D56DAD" w:rsidRPr="00D5126A" w:rsidRDefault="00D56DAD" w:rsidP="00D56DAD">
      <w:pPr>
        <w:rPr>
          <w:rFonts w:ascii="Arial" w:hAnsi="Arial" w:cs="Arial"/>
          <w:szCs w:val="24"/>
        </w:rPr>
      </w:pPr>
      <w:r w:rsidRPr="00D5126A">
        <w:rPr>
          <w:rFonts w:ascii="Arial" w:hAnsi="Arial" w:cs="Arial"/>
          <w:szCs w:val="24"/>
        </w:rPr>
        <w:t xml:space="preserve">Accessible Wellington concentrated on the </w:t>
      </w:r>
      <w:r w:rsidR="00886B18">
        <w:rPr>
          <w:rFonts w:ascii="Arial" w:hAnsi="Arial" w:cs="Arial"/>
          <w:szCs w:val="24"/>
        </w:rPr>
        <w:t>one in four</w:t>
      </w:r>
      <w:r w:rsidRPr="00D5126A">
        <w:rPr>
          <w:rFonts w:ascii="Arial" w:hAnsi="Arial" w:cs="Arial"/>
          <w:szCs w:val="24"/>
        </w:rPr>
        <w:t xml:space="preserve"> people in Wellington who have a disability or impairment</w:t>
      </w:r>
      <w:r w:rsidR="00057DB1">
        <w:rPr>
          <w:rFonts w:ascii="Arial" w:hAnsi="Arial" w:cs="Arial"/>
          <w:szCs w:val="24"/>
        </w:rPr>
        <w:t>,</w:t>
      </w:r>
      <w:r w:rsidRPr="00D5126A">
        <w:rPr>
          <w:rFonts w:ascii="Arial" w:hAnsi="Arial" w:cs="Arial"/>
          <w:szCs w:val="24"/>
        </w:rPr>
        <w:t xml:space="preserve"> meaning that they can’t participate fully in city life. The Accessibility Space aims to be a place that everyone can easily move around and access city services and gives people the power to live a barrier-free life.</w:t>
      </w:r>
    </w:p>
    <w:p w:rsidR="00B01F6C" w:rsidRPr="00D5126A" w:rsidRDefault="00B01F6C" w:rsidP="00B01F6C">
      <w:pPr>
        <w:rPr>
          <w:rFonts w:ascii="Arial" w:hAnsi="Arial" w:cs="Arial"/>
          <w:szCs w:val="24"/>
        </w:rPr>
      </w:pPr>
      <w:r w:rsidRPr="00D5126A">
        <w:rPr>
          <w:rFonts w:ascii="Arial" w:hAnsi="Arial" w:cs="Arial"/>
          <w:szCs w:val="24"/>
        </w:rPr>
        <w:t xml:space="preserve">Both are now running pilot programmes based on ideas generated within the Lightning Lab GovTech programme. </w:t>
      </w:r>
    </w:p>
    <w:p w:rsidR="00D56DAD" w:rsidRPr="00D5126A" w:rsidRDefault="00D56DAD" w:rsidP="00D56DAD">
      <w:pPr>
        <w:rPr>
          <w:rFonts w:ascii="Arial" w:hAnsi="Arial" w:cs="Arial"/>
          <w:szCs w:val="24"/>
        </w:rPr>
      </w:pPr>
      <w:r w:rsidRPr="00D5126A">
        <w:rPr>
          <w:rFonts w:ascii="Arial" w:hAnsi="Arial" w:cs="Arial"/>
          <w:szCs w:val="24"/>
        </w:rPr>
        <w:t xml:space="preserve">The final showcase event for the programme – Demo Day – brought together more than 23 government agencies and councils, who along with a 500+ strong </w:t>
      </w:r>
      <w:proofErr w:type="gramStart"/>
      <w:r w:rsidRPr="00D5126A">
        <w:rPr>
          <w:rFonts w:ascii="Arial" w:hAnsi="Arial" w:cs="Arial"/>
          <w:szCs w:val="24"/>
        </w:rPr>
        <w:t>audience,</w:t>
      </w:r>
      <w:proofErr w:type="gramEnd"/>
      <w:r w:rsidRPr="00D5126A">
        <w:rPr>
          <w:rFonts w:ascii="Arial" w:hAnsi="Arial" w:cs="Arial"/>
          <w:szCs w:val="24"/>
        </w:rPr>
        <w:t xml:space="preserve"> watched the 12 </w:t>
      </w:r>
      <w:r w:rsidRPr="00D5126A">
        <w:rPr>
          <w:rFonts w:ascii="Arial" w:hAnsi="Arial" w:cs="Arial"/>
          <w:szCs w:val="24"/>
        </w:rPr>
        <w:lastRenderedPageBreak/>
        <w:t xml:space="preserve">teams present their solution concepts. Ongoing funding resulted in </w:t>
      </w:r>
      <w:r w:rsidR="00057DB1">
        <w:rPr>
          <w:rFonts w:ascii="Arial" w:hAnsi="Arial" w:cs="Arial"/>
          <w:szCs w:val="24"/>
        </w:rPr>
        <w:t>eight</w:t>
      </w:r>
      <w:r w:rsidR="00057DB1" w:rsidRPr="00D5126A">
        <w:rPr>
          <w:rFonts w:ascii="Arial" w:hAnsi="Arial" w:cs="Arial"/>
          <w:szCs w:val="24"/>
        </w:rPr>
        <w:t xml:space="preserve"> </w:t>
      </w:r>
      <w:r w:rsidRPr="00D5126A">
        <w:rPr>
          <w:rFonts w:ascii="Arial" w:hAnsi="Arial" w:cs="Arial"/>
          <w:szCs w:val="24"/>
        </w:rPr>
        <w:t>out of the 12 projects being able to trial and build out their solutions to create real impact for New Zealand.</w:t>
      </w:r>
    </w:p>
    <w:p w:rsidR="00D56DAD" w:rsidRPr="00D5126A" w:rsidRDefault="00D56DAD" w:rsidP="00D56DAD">
      <w:pPr>
        <w:rPr>
          <w:rFonts w:ascii="Arial" w:hAnsi="Arial" w:cs="Arial"/>
          <w:szCs w:val="24"/>
        </w:rPr>
      </w:pPr>
      <w:r w:rsidRPr="00D5126A">
        <w:rPr>
          <w:rFonts w:ascii="Arial" w:hAnsi="Arial" w:cs="Arial"/>
          <w:szCs w:val="24"/>
        </w:rPr>
        <w:t>In August 2019</w:t>
      </w:r>
      <w:r w:rsidR="00057DB1">
        <w:rPr>
          <w:rFonts w:ascii="Arial" w:hAnsi="Arial" w:cs="Arial"/>
          <w:szCs w:val="24"/>
        </w:rPr>
        <w:t>,</w:t>
      </w:r>
      <w:r w:rsidRPr="00D5126A">
        <w:rPr>
          <w:rFonts w:ascii="Arial" w:hAnsi="Arial" w:cs="Arial"/>
          <w:szCs w:val="24"/>
        </w:rPr>
        <w:t xml:space="preserve"> the second cohort of Lightning Lab GovTech was launched by Mayor Justin Lester with 10 more initiatives looking to reshape our public sector. You can find out more at llgovtech.co.nz</w:t>
      </w:r>
    </w:p>
    <w:p w:rsidR="00D56DAD" w:rsidRPr="00D5126A" w:rsidRDefault="00D56DAD" w:rsidP="00D56DAD">
      <w:pPr>
        <w:rPr>
          <w:rFonts w:ascii="Arial" w:hAnsi="Arial" w:cs="Arial"/>
        </w:rPr>
      </w:pPr>
      <w:r w:rsidRPr="00D5126A">
        <w:rPr>
          <w:rFonts w:ascii="Arial" w:hAnsi="Arial" w:cs="Arial"/>
          <w:szCs w:val="24"/>
        </w:rPr>
        <w:t>Aside from the programme, GovTech brings about a huge opportunity for Wellington to position ourselves as global leaders in the GovTech space</w:t>
      </w:r>
      <w:r w:rsidR="00057DB1">
        <w:rPr>
          <w:rFonts w:ascii="Arial" w:hAnsi="Arial" w:cs="Arial"/>
          <w:szCs w:val="24"/>
        </w:rPr>
        <w:t>,</w:t>
      </w:r>
      <w:r w:rsidRPr="00D5126A">
        <w:rPr>
          <w:rFonts w:ascii="Arial" w:hAnsi="Arial" w:cs="Arial"/>
          <w:szCs w:val="24"/>
        </w:rPr>
        <w:t xml:space="preserve"> a market potentially worth $400</w:t>
      </w:r>
      <w:r w:rsidR="00057DB1">
        <w:rPr>
          <w:rFonts w:ascii="Arial" w:hAnsi="Arial" w:cs="Arial"/>
          <w:szCs w:val="24"/>
        </w:rPr>
        <w:t xml:space="preserve"> billion</w:t>
      </w:r>
      <w:r w:rsidRPr="00D5126A">
        <w:rPr>
          <w:rFonts w:ascii="Arial" w:hAnsi="Arial" w:cs="Arial"/>
          <w:szCs w:val="24"/>
        </w:rPr>
        <w:t xml:space="preserve"> globally. To this end, Creative HQ has set up the NZ GovTech Hub</w:t>
      </w:r>
      <w:r w:rsidR="00057DB1">
        <w:rPr>
          <w:rFonts w:ascii="Arial" w:hAnsi="Arial" w:cs="Arial"/>
          <w:szCs w:val="24"/>
        </w:rPr>
        <w:t>,</w:t>
      </w:r>
      <w:r w:rsidRPr="00D5126A">
        <w:rPr>
          <w:rFonts w:ascii="Arial" w:hAnsi="Arial" w:cs="Arial"/>
          <w:szCs w:val="24"/>
        </w:rPr>
        <w:t xml:space="preserve"> a neutral space for local and central government agencies to create breakthrough innovation.</w:t>
      </w:r>
    </w:p>
    <w:p w:rsidR="00ED682C" w:rsidRPr="00D5126A" w:rsidRDefault="00ED682C" w:rsidP="003A083B">
      <w:pPr>
        <w:rPr>
          <w:b/>
          <w:bCs/>
          <w:sz w:val="34"/>
          <w:szCs w:val="34"/>
        </w:rPr>
      </w:pPr>
      <w:r w:rsidRPr="00D5126A">
        <w:br w:type="page"/>
      </w:r>
    </w:p>
    <w:p w:rsidR="006B024A" w:rsidRPr="00297C6D" w:rsidRDefault="006B024A" w:rsidP="006B024A">
      <w:pPr>
        <w:pStyle w:val="Heading2"/>
        <w:rPr>
          <w:color w:val="FF0066"/>
        </w:rPr>
      </w:pPr>
      <w:bookmarkStart w:id="215" w:name="_Toc15571240"/>
      <w:bookmarkStart w:id="216" w:name="_Toc19085833"/>
      <w:bookmarkStart w:id="217" w:name="_Toc23758606"/>
      <w:r w:rsidRPr="00297C6D">
        <w:rPr>
          <w:color w:val="FF0066"/>
        </w:rPr>
        <w:lastRenderedPageBreak/>
        <w:t xml:space="preserve">4 Oranga ahurea - </w:t>
      </w:r>
      <w:bookmarkStart w:id="218" w:name="_Toc528234303"/>
      <w:bookmarkStart w:id="219" w:name="_Toc14178552"/>
      <w:r w:rsidRPr="00297C6D">
        <w:rPr>
          <w:color w:val="FF0066"/>
        </w:rPr>
        <w:t>Cultural wellbeing</w:t>
      </w:r>
      <w:bookmarkEnd w:id="215"/>
      <w:bookmarkEnd w:id="216"/>
      <w:bookmarkEnd w:id="217"/>
      <w:bookmarkEnd w:id="218"/>
      <w:bookmarkEnd w:id="219"/>
    </w:p>
    <w:p w:rsidR="006B024A" w:rsidRPr="00D5126A" w:rsidRDefault="006B024A" w:rsidP="006B024A">
      <w:pPr>
        <w:pStyle w:val="Para003"/>
        <w:spacing w:before="240" w:line="240" w:lineRule="auto"/>
        <w:rPr>
          <w:rFonts w:ascii="Arial" w:hAnsi="Arial" w:cs="Arial"/>
        </w:rPr>
      </w:pPr>
      <w:r w:rsidRPr="00D5126A">
        <w:rPr>
          <w:rFonts w:ascii="Arial" w:hAnsi="Arial" w:cs="Arial"/>
        </w:rPr>
        <w:t xml:space="preserve">This chapter explains what we did and how we performed in our Cultural </w:t>
      </w:r>
      <w:r w:rsidR="00642A42">
        <w:rPr>
          <w:rFonts w:ascii="Arial" w:hAnsi="Arial" w:cs="Arial"/>
        </w:rPr>
        <w:t>w</w:t>
      </w:r>
      <w:r w:rsidR="00642A42" w:rsidRPr="00D5126A">
        <w:rPr>
          <w:rFonts w:ascii="Arial" w:hAnsi="Arial" w:cs="Arial"/>
        </w:rPr>
        <w:t xml:space="preserve">ellbeing </w:t>
      </w:r>
      <w:r w:rsidRPr="00D5126A">
        <w:rPr>
          <w:rFonts w:ascii="Arial" w:hAnsi="Arial" w:cs="Arial"/>
        </w:rPr>
        <w:t>portfolio of activities. This includes arts and cultural activities.</w:t>
      </w:r>
    </w:p>
    <w:p w:rsidR="001244BB" w:rsidRPr="00297C6D" w:rsidRDefault="001244BB" w:rsidP="002C7BF8">
      <w:pPr>
        <w:pStyle w:val="ListParagraph"/>
        <w:numPr>
          <w:ilvl w:val="0"/>
          <w:numId w:val="78"/>
        </w:numPr>
        <w:rPr>
          <w:rFonts w:ascii="Arial" w:hAnsi="Arial" w:cs="Arial"/>
        </w:rPr>
      </w:pPr>
      <w:r w:rsidRPr="00297C6D">
        <w:rPr>
          <w:rFonts w:ascii="Arial" w:hAnsi="Arial" w:cs="Arial"/>
        </w:rPr>
        <w:t>353,804 attended events at Venues Wellington locations</w:t>
      </w:r>
    </w:p>
    <w:p w:rsidR="001244BB" w:rsidRPr="00297C6D" w:rsidRDefault="001244BB" w:rsidP="002C7BF8">
      <w:pPr>
        <w:pStyle w:val="ListParagraph"/>
        <w:numPr>
          <w:ilvl w:val="0"/>
          <w:numId w:val="78"/>
        </w:numPr>
        <w:rPr>
          <w:rFonts w:ascii="Arial" w:hAnsi="Arial" w:cs="Arial"/>
        </w:rPr>
      </w:pPr>
      <w:r w:rsidRPr="00297C6D">
        <w:rPr>
          <w:rFonts w:ascii="Arial" w:hAnsi="Arial" w:cs="Arial"/>
        </w:rPr>
        <w:t>31% of residents say Wellington is the cultural capital</w:t>
      </w:r>
    </w:p>
    <w:p w:rsidR="001244BB" w:rsidRPr="00297C6D" w:rsidRDefault="001244BB" w:rsidP="002C7BF8">
      <w:pPr>
        <w:pStyle w:val="ListParagraph"/>
        <w:numPr>
          <w:ilvl w:val="0"/>
          <w:numId w:val="78"/>
        </w:numPr>
        <w:rPr>
          <w:rFonts w:ascii="Arial" w:hAnsi="Arial" w:cs="Arial"/>
        </w:rPr>
      </w:pPr>
      <w:r w:rsidRPr="00297C6D">
        <w:rPr>
          <w:rFonts w:ascii="Arial" w:hAnsi="Arial" w:cs="Arial"/>
        </w:rPr>
        <w:t>9 new murals</w:t>
      </w:r>
    </w:p>
    <w:p w:rsidR="001244BB" w:rsidRPr="00297C6D" w:rsidRDefault="001244BB" w:rsidP="002C7BF8">
      <w:pPr>
        <w:pStyle w:val="ListParagraph"/>
        <w:numPr>
          <w:ilvl w:val="0"/>
          <w:numId w:val="78"/>
        </w:numPr>
        <w:rPr>
          <w:rFonts w:ascii="Arial" w:hAnsi="Arial" w:cs="Arial"/>
        </w:rPr>
      </w:pPr>
      <w:r w:rsidRPr="00297C6D">
        <w:t xml:space="preserve">770,320 </w:t>
      </w:r>
      <w:r w:rsidRPr="00297C6D">
        <w:rPr>
          <w:rFonts w:ascii="Arial" w:hAnsi="Arial" w:cs="Arial"/>
        </w:rPr>
        <w:t>Museum and gallery visitor numbers</w:t>
      </w:r>
    </w:p>
    <w:p w:rsidR="001244BB" w:rsidRPr="00297C6D" w:rsidRDefault="001244BB" w:rsidP="002C7BF8">
      <w:pPr>
        <w:pStyle w:val="ListParagraph"/>
        <w:numPr>
          <w:ilvl w:val="0"/>
          <w:numId w:val="78"/>
        </w:numPr>
        <w:rPr>
          <w:rFonts w:ascii="Arial" w:hAnsi="Arial" w:cs="Arial"/>
        </w:rPr>
      </w:pPr>
      <w:r w:rsidRPr="00297C6D">
        <w:t xml:space="preserve">$385,065 in grants </w:t>
      </w:r>
      <w:r w:rsidRPr="00297C6D">
        <w:rPr>
          <w:rFonts w:ascii="Arial" w:hAnsi="Arial" w:cs="Arial"/>
        </w:rPr>
        <w:t>through Arts and Culture Fund</w:t>
      </w:r>
    </w:p>
    <w:p w:rsidR="001244BB" w:rsidRPr="00297C6D" w:rsidRDefault="001244BB" w:rsidP="002C7BF8">
      <w:pPr>
        <w:pStyle w:val="ListParagraph"/>
        <w:numPr>
          <w:ilvl w:val="0"/>
          <w:numId w:val="78"/>
        </w:numPr>
        <w:rPr>
          <w:rFonts w:ascii="Arial" w:hAnsi="Arial" w:cs="Arial"/>
        </w:rPr>
      </w:pPr>
      <w:r w:rsidRPr="00297C6D">
        <w:rPr>
          <w:rFonts w:ascii="Arial" w:hAnsi="Arial" w:cs="Arial"/>
        </w:rPr>
        <w:t>81% of attendees satisfied with council delive</w:t>
      </w:r>
      <w:r w:rsidR="00297C6D" w:rsidRPr="00297C6D">
        <w:rPr>
          <w:rFonts w:ascii="Arial" w:hAnsi="Arial" w:cs="Arial"/>
        </w:rPr>
        <w:t>red arts and cultural festivals</w:t>
      </w:r>
    </w:p>
    <w:p w:rsidR="006B024A" w:rsidRPr="00297C6D" w:rsidRDefault="006B024A" w:rsidP="00AA2122">
      <w:pPr>
        <w:pStyle w:val="Heading3"/>
        <w:rPr>
          <w:color w:val="FF0066"/>
        </w:rPr>
      </w:pPr>
      <w:bookmarkStart w:id="220" w:name="_Toc19085834"/>
      <w:r w:rsidRPr="00297C6D">
        <w:rPr>
          <w:color w:val="FF0066"/>
        </w:rPr>
        <w:t>Introduction</w:t>
      </w:r>
      <w:bookmarkEnd w:id="220"/>
    </w:p>
    <w:p w:rsidR="001244BB" w:rsidRPr="00D5126A" w:rsidRDefault="001244BB" w:rsidP="001244BB">
      <w:pPr>
        <w:pStyle w:val="Para003"/>
        <w:spacing w:before="240" w:line="240" w:lineRule="auto"/>
        <w:rPr>
          <w:rFonts w:ascii="Arial" w:hAnsi="Arial" w:cs="Arial"/>
        </w:rPr>
      </w:pPr>
      <w:r w:rsidRPr="00D5126A">
        <w:rPr>
          <w:rFonts w:ascii="Arial" w:hAnsi="Arial" w:cs="Arial"/>
        </w:rPr>
        <w:t>Wellington is known as New Zealand’s most creative city, reflecting the presence here of national arts organisations and our vibrant culture and events in the city, with more than 10,000 people employed in the creative sectors.</w:t>
      </w:r>
    </w:p>
    <w:p w:rsidR="001244BB" w:rsidRPr="00D5126A" w:rsidRDefault="001244BB" w:rsidP="001244BB">
      <w:pPr>
        <w:pStyle w:val="Para003"/>
        <w:spacing w:before="240" w:line="240" w:lineRule="auto"/>
        <w:rPr>
          <w:rFonts w:ascii="Arial" w:hAnsi="Arial" w:cs="Arial"/>
        </w:rPr>
      </w:pPr>
      <w:r w:rsidRPr="00D5126A">
        <w:rPr>
          <w:rFonts w:ascii="Arial" w:hAnsi="Arial" w:cs="Arial"/>
        </w:rPr>
        <w:t>We continue to provide opportunities for cultural expression, as well as expand people’s minds and build engaged, curious communities. Research shows creativity promotes wellbeing. A culturally vibrant city where artists and cultural organisations are actively supported and that is attractive to visitors also has economic benefits.</w:t>
      </w:r>
    </w:p>
    <w:p w:rsidR="001244BB" w:rsidRPr="00D5126A" w:rsidRDefault="001244BB" w:rsidP="001244BB">
      <w:pPr>
        <w:pStyle w:val="Para003"/>
        <w:spacing w:before="240" w:line="240" w:lineRule="auto"/>
        <w:rPr>
          <w:rFonts w:ascii="Arial" w:hAnsi="Arial" w:cs="Arial"/>
        </w:rPr>
      </w:pPr>
      <w:r w:rsidRPr="00D5126A">
        <w:rPr>
          <w:rFonts w:ascii="Arial" w:hAnsi="Arial" w:cs="Arial"/>
        </w:rPr>
        <w:t>However, we know that we now have increased competition in enhancing Wellington’s reputation as New Zealand’s cultural capital, securing additional large-scale events to refresh the city’s cultural offering, and providing accessible, safe and fit-for-purpose venues for the arts.</w:t>
      </w:r>
    </w:p>
    <w:p w:rsidR="001244BB" w:rsidRPr="00D5126A" w:rsidRDefault="001244BB" w:rsidP="001244BB">
      <w:pPr>
        <w:pStyle w:val="Para003"/>
        <w:spacing w:before="240" w:line="240" w:lineRule="auto"/>
        <w:rPr>
          <w:rFonts w:ascii="Arial" w:hAnsi="Arial" w:cs="Arial"/>
        </w:rPr>
      </w:pPr>
      <w:r w:rsidRPr="00D5126A">
        <w:rPr>
          <w:rFonts w:ascii="Arial" w:hAnsi="Arial" w:cs="Arial"/>
        </w:rPr>
        <w:t>Over the past year, we focused on strengthening our buildings and our cultural programme. The strengthening of many of our venues is important, but a costly exercise. The Town Hall and St James Theatre will take time to complete and have caused disruption to tenants of the St James Theatre – the Royal New Zealand Ballet (RNZB) and the NZ Festival – as well as the regular users of both venues. The strengthening of institutions like the St James Theatre and the Town Hall has both cultural and economic benefits.</w:t>
      </w:r>
    </w:p>
    <w:p w:rsidR="001244BB" w:rsidRPr="00D5126A" w:rsidRDefault="001244BB" w:rsidP="001244BB">
      <w:pPr>
        <w:pStyle w:val="Para003"/>
        <w:spacing w:before="240" w:line="240" w:lineRule="auto"/>
        <w:rPr>
          <w:rFonts w:ascii="Arial" w:hAnsi="Arial" w:cs="Arial"/>
        </w:rPr>
      </w:pPr>
      <w:r w:rsidRPr="00D5126A">
        <w:rPr>
          <w:rFonts w:ascii="Arial" w:hAnsi="Arial" w:cs="Arial"/>
        </w:rPr>
        <w:t>Efforts will continue in the current financial year to carry the works through and continue to invest in and promote Wellington’s arts and events.</w:t>
      </w:r>
    </w:p>
    <w:p w:rsidR="001244BB" w:rsidRPr="00D5126A" w:rsidRDefault="001244BB" w:rsidP="001244BB">
      <w:pPr>
        <w:pStyle w:val="Para003"/>
        <w:spacing w:before="240" w:line="240" w:lineRule="auto"/>
        <w:rPr>
          <w:rFonts w:ascii="Arial" w:hAnsi="Arial" w:cs="Arial"/>
        </w:rPr>
      </w:pPr>
      <w:r w:rsidRPr="00D5126A">
        <w:rPr>
          <w:rFonts w:ascii="Arial" w:hAnsi="Arial" w:cs="Arial"/>
        </w:rPr>
        <w:t>This year we have consulted with stakeholders and started work on an overarching vision for creativity in the city. Attendance at new events like Matariki has been high and feedback from Wellingtonians has been positive.</w:t>
      </w:r>
    </w:p>
    <w:p w:rsidR="0093644E" w:rsidRPr="00297C6D" w:rsidRDefault="0093644E" w:rsidP="0093644E">
      <w:pPr>
        <w:pStyle w:val="Heading3"/>
        <w:rPr>
          <w:color w:val="FF0066"/>
        </w:rPr>
      </w:pPr>
      <w:bookmarkStart w:id="221" w:name="_Toc19085835"/>
      <w:r w:rsidRPr="00297C6D">
        <w:rPr>
          <w:color w:val="FF0066"/>
        </w:rPr>
        <w:t>Cultural wellbeing performance story:</w:t>
      </w:r>
      <w:bookmarkEnd w:id="221"/>
    </w:p>
    <w:p w:rsidR="00937653" w:rsidRPr="00D5126A" w:rsidRDefault="00937653" w:rsidP="00937653">
      <w:pPr>
        <w:pStyle w:val="Heading5"/>
      </w:pPr>
      <w:r w:rsidRPr="00D5126A">
        <w:t>Modest gains – challenges still being addressed</w:t>
      </w:r>
    </w:p>
    <w:p w:rsidR="00937653" w:rsidRPr="00D5126A" w:rsidRDefault="00937653" w:rsidP="00937653">
      <w:pPr>
        <w:pStyle w:val="Para003"/>
        <w:spacing w:before="240" w:line="240" w:lineRule="auto"/>
        <w:rPr>
          <w:rFonts w:ascii="Arial" w:hAnsi="Arial" w:cs="Arial"/>
        </w:rPr>
      </w:pPr>
      <w:r w:rsidRPr="00D5126A">
        <w:rPr>
          <w:rFonts w:ascii="Arial" w:hAnsi="Arial" w:cs="Arial"/>
        </w:rPr>
        <w:t xml:space="preserve">Residents continued to engage actively with the arts, with an increase in visitors to our museums and galleries and high satisfaction with Toi Pōneke. The number of residents who agree that Wellington has “a culturally rich and diverse arts scene” was a solid 90 percent. We also had an increase in performers and attendees at Council supported events in Venues Wellington locations. This was especially good after a drop in these areas last year. </w:t>
      </w:r>
    </w:p>
    <w:p w:rsidR="00937653" w:rsidRPr="00D5126A" w:rsidRDefault="00937653" w:rsidP="00937653">
      <w:pPr>
        <w:pStyle w:val="Para003"/>
        <w:spacing w:before="240" w:line="240" w:lineRule="auto"/>
        <w:rPr>
          <w:rFonts w:ascii="Arial" w:hAnsi="Arial" w:cs="Arial"/>
        </w:rPr>
      </w:pPr>
      <w:r w:rsidRPr="00D5126A">
        <w:rPr>
          <w:rFonts w:ascii="Arial" w:hAnsi="Arial" w:cs="Arial"/>
        </w:rPr>
        <w:lastRenderedPageBreak/>
        <w:t xml:space="preserve">However, challenges remain. There was a decrease in the number of residents who perceive Wellington is “the events capital of New Zealand”, down </w:t>
      </w:r>
      <w:r w:rsidR="00642A42">
        <w:rPr>
          <w:rFonts w:ascii="Arial" w:hAnsi="Arial" w:cs="Arial"/>
        </w:rPr>
        <w:t>nine</w:t>
      </w:r>
      <w:r w:rsidR="00642A42" w:rsidRPr="00D5126A">
        <w:rPr>
          <w:rFonts w:ascii="Arial" w:hAnsi="Arial" w:cs="Arial"/>
        </w:rPr>
        <w:t xml:space="preserve"> </w:t>
      </w:r>
      <w:r w:rsidRPr="00D5126A">
        <w:rPr>
          <w:rFonts w:ascii="Arial" w:hAnsi="Arial" w:cs="Arial"/>
        </w:rPr>
        <w:t>percentage points to 31</w:t>
      </w:r>
      <w:r w:rsidR="00642A42">
        <w:rPr>
          <w:rFonts w:ascii="Arial" w:hAnsi="Arial" w:cs="Arial"/>
        </w:rPr>
        <w:t>percent</w:t>
      </w:r>
      <w:r w:rsidR="00642A42" w:rsidRPr="00D5126A">
        <w:rPr>
          <w:rFonts w:ascii="Arial" w:hAnsi="Arial" w:cs="Arial"/>
        </w:rPr>
        <w:t xml:space="preserve">. </w:t>
      </w:r>
    </w:p>
    <w:p w:rsidR="00937653" w:rsidRPr="00297C6D" w:rsidRDefault="00937653" w:rsidP="00937653">
      <w:pPr>
        <w:pStyle w:val="Heading4"/>
        <w:rPr>
          <w:color w:val="FF0066"/>
        </w:rPr>
      </w:pPr>
      <w:r w:rsidRPr="00297C6D">
        <w:rPr>
          <w:color w:val="FF0066"/>
        </w:rPr>
        <w:t>Performance summary</w:t>
      </w:r>
    </w:p>
    <w:p w:rsidR="00937653" w:rsidRPr="00D5126A" w:rsidRDefault="00937653" w:rsidP="002466CF">
      <w:pPr>
        <w:pStyle w:val="Para034"/>
        <w:spacing w:before="0" w:line="240" w:lineRule="auto"/>
        <w:rPr>
          <w:rFonts w:ascii="Arial" w:hAnsi="Arial" w:cs="Arial"/>
        </w:rPr>
      </w:pPr>
      <w:r w:rsidRPr="00D5126A">
        <w:rPr>
          <w:rFonts w:ascii="Arial" w:hAnsi="Arial" w:cs="Arial"/>
        </w:rPr>
        <w:t xml:space="preserve">The following table is a summary of how well we performed against our agreed key performance measures for this activity area. </w:t>
      </w:r>
    </w:p>
    <w:tbl>
      <w:tblPr>
        <w:tblW w:w="8308" w:type="dxa"/>
        <w:tblInd w:w="108" w:type="dxa"/>
        <w:tblLayout w:type="fixed"/>
        <w:tblLook w:val="04A0" w:firstRow="1" w:lastRow="0" w:firstColumn="1" w:lastColumn="0" w:noHBand="0" w:noVBand="1"/>
      </w:tblPr>
      <w:tblGrid>
        <w:gridCol w:w="3544"/>
        <w:gridCol w:w="1189"/>
        <w:gridCol w:w="1023"/>
        <w:gridCol w:w="1357"/>
        <w:gridCol w:w="1195"/>
      </w:tblGrid>
      <w:tr w:rsidR="00294CB0" w:rsidRPr="00D5126A" w:rsidTr="00297C6D">
        <w:trPr>
          <w:trHeight w:val="457"/>
        </w:trPr>
        <w:tc>
          <w:tcPr>
            <w:tcW w:w="3544" w:type="dxa"/>
            <w:tcBorders>
              <w:top w:val="nil"/>
              <w:left w:val="nil"/>
              <w:bottom w:val="nil"/>
              <w:right w:val="nil"/>
            </w:tcBorders>
            <w:shd w:val="clear" w:color="auto" w:fill="auto"/>
            <w:noWrap/>
            <w:vAlign w:val="center"/>
            <w:hideMark/>
          </w:tcPr>
          <w:p w:rsidR="00294CB0" w:rsidRPr="00D5126A" w:rsidRDefault="00294CB0" w:rsidP="00937653">
            <w:pPr>
              <w:spacing w:after="0" w:line="240" w:lineRule="auto"/>
              <w:jc w:val="center"/>
              <w:rPr>
                <w:rFonts w:eastAsia="Times New Roman" w:cstheme="minorHAnsi"/>
                <w:color w:val="000000"/>
                <w:sz w:val="20"/>
                <w:szCs w:val="20"/>
                <w:lang w:eastAsia="en-NZ"/>
              </w:rPr>
            </w:pPr>
          </w:p>
        </w:tc>
        <w:tc>
          <w:tcPr>
            <w:tcW w:w="1189" w:type="dxa"/>
            <w:tcBorders>
              <w:top w:val="nil"/>
              <w:left w:val="nil"/>
              <w:bottom w:val="nil"/>
              <w:right w:val="nil"/>
            </w:tcBorders>
            <w:shd w:val="clear" w:color="auto" w:fill="auto"/>
            <w:noWrap/>
            <w:vAlign w:val="center"/>
            <w:hideMark/>
          </w:tcPr>
          <w:p w:rsidR="00294CB0" w:rsidRPr="00297C6D" w:rsidRDefault="00294CB0" w:rsidP="00297C6D">
            <w:pPr>
              <w:spacing w:after="0" w:line="240" w:lineRule="auto"/>
              <w:jc w:val="center"/>
              <w:rPr>
                <w:rFonts w:ascii="Arial" w:eastAsia="Times New Roman" w:hAnsi="Arial" w:cs="Arial"/>
                <w:i/>
                <w:iCs/>
                <w:color w:val="000000"/>
                <w:szCs w:val="20"/>
                <w:lang w:eastAsia="en-NZ"/>
              </w:rPr>
            </w:pPr>
            <w:r w:rsidRPr="00D5126A">
              <w:rPr>
                <w:rFonts w:ascii="Arial" w:eastAsia="Times New Roman" w:hAnsi="Arial" w:cs="Arial"/>
                <w:i/>
                <w:iCs/>
                <w:color w:val="000000"/>
                <w:szCs w:val="20"/>
                <w:lang w:eastAsia="en-NZ"/>
              </w:rPr>
              <w:t>Not met</w:t>
            </w:r>
          </w:p>
        </w:tc>
        <w:tc>
          <w:tcPr>
            <w:tcW w:w="1023" w:type="dxa"/>
            <w:tcBorders>
              <w:top w:val="nil"/>
              <w:left w:val="nil"/>
              <w:bottom w:val="nil"/>
              <w:right w:val="nil"/>
            </w:tcBorders>
            <w:shd w:val="clear" w:color="auto" w:fill="auto"/>
            <w:noWrap/>
            <w:vAlign w:val="center"/>
            <w:hideMark/>
          </w:tcPr>
          <w:p w:rsidR="00294CB0" w:rsidRPr="00D5126A" w:rsidRDefault="00294CB0" w:rsidP="00297C6D">
            <w:pPr>
              <w:spacing w:after="0" w:line="240" w:lineRule="auto"/>
              <w:jc w:val="center"/>
              <w:rPr>
                <w:rFonts w:ascii="Arial" w:eastAsia="Times New Roman" w:hAnsi="Arial" w:cs="Arial"/>
                <w:i/>
                <w:color w:val="000000"/>
                <w:szCs w:val="20"/>
                <w:lang w:eastAsia="en-NZ"/>
              </w:rPr>
            </w:pPr>
            <w:r>
              <w:rPr>
                <w:rFonts w:ascii="Arial" w:eastAsia="Times New Roman" w:hAnsi="Arial" w:cs="Arial"/>
                <w:i/>
                <w:color w:val="000000"/>
                <w:szCs w:val="20"/>
                <w:lang w:eastAsia="en-NZ"/>
              </w:rPr>
              <w:t>Within 10%</w:t>
            </w:r>
          </w:p>
        </w:tc>
        <w:tc>
          <w:tcPr>
            <w:tcW w:w="1357" w:type="dxa"/>
            <w:tcBorders>
              <w:top w:val="nil"/>
              <w:left w:val="nil"/>
              <w:bottom w:val="nil"/>
              <w:right w:val="nil"/>
            </w:tcBorders>
            <w:shd w:val="clear" w:color="auto" w:fill="auto"/>
            <w:noWrap/>
            <w:vAlign w:val="center"/>
            <w:hideMark/>
          </w:tcPr>
          <w:p w:rsidR="00294CB0" w:rsidRPr="00297C6D" w:rsidRDefault="00294CB0" w:rsidP="00297C6D">
            <w:pPr>
              <w:spacing w:after="0" w:line="240" w:lineRule="auto"/>
              <w:jc w:val="center"/>
              <w:rPr>
                <w:rFonts w:ascii="Arial" w:eastAsia="Times New Roman" w:hAnsi="Arial" w:cs="Arial"/>
                <w:i/>
                <w:iCs/>
                <w:color w:val="000000"/>
                <w:szCs w:val="20"/>
                <w:lang w:eastAsia="en-NZ"/>
              </w:rPr>
            </w:pPr>
            <w:r w:rsidRPr="00D5126A">
              <w:rPr>
                <w:rFonts w:ascii="Arial" w:eastAsia="Times New Roman" w:hAnsi="Arial" w:cs="Arial"/>
                <w:i/>
                <w:iCs/>
                <w:color w:val="000000"/>
                <w:szCs w:val="20"/>
                <w:lang w:eastAsia="en-NZ"/>
              </w:rPr>
              <w:t>Exceeded</w:t>
            </w:r>
          </w:p>
        </w:tc>
        <w:tc>
          <w:tcPr>
            <w:tcW w:w="1195" w:type="dxa"/>
            <w:tcBorders>
              <w:top w:val="nil"/>
              <w:left w:val="nil"/>
              <w:bottom w:val="nil"/>
              <w:right w:val="nil"/>
            </w:tcBorders>
            <w:shd w:val="clear" w:color="auto" w:fill="auto"/>
            <w:vAlign w:val="center"/>
          </w:tcPr>
          <w:p w:rsidR="00294CB0" w:rsidRPr="00D5126A" w:rsidRDefault="00294CB0" w:rsidP="00937653">
            <w:pPr>
              <w:spacing w:after="0" w:line="240" w:lineRule="auto"/>
              <w:jc w:val="center"/>
              <w:rPr>
                <w:rFonts w:eastAsia="Times New Roman" w:cstheme="minorHAnsi"/>
                <w:color w:val="000000"/>
                <w:szCs w:val="20"/>
                <w:lang w:eastAsia="en-NZ"/>
              </w:rPr>
            </w:pPr>
            <w:r w:rsidRPr="00D5126A">
              <w:rPr>
                <w:rFonts w:eastAsia="Times New Roman" w:cstheme="minorHAnsi"/>
                <w:color w:val="000000"/>
                <w:szCs w:val="20"/>
                <w:lang w:eastAsia="en-NZ"/>
              </w:rPr>
              <w:t>Total Measures</w:t>
            </w:r>
          </w:p>
        </w:tc>
      </w:tr>
      <w:tr w:rsidR="00294CB0" w:rsidRPr="00D5126A" w:rsidTr="00297C6D">
        <w:trPr>
          <w:trHeight w:val="255"/>
        </w:trPr>
        <w:tc>
          <w:tcPr>
            <w:tcW w:w="3544" w:type="dxa"/>
            <w:tcBorders>
              <w:top w:val="nil"/>
              <w:left w:val="nil"/>
              <w:bottom w:val="nil"/>
              <w:right w:val="nil"/>
            </w:tcBorders>
            <w:shd w:val="clear" w:color="auto" w:fill="FF3399"/>
            <w:noWrap/>
            <w:vAlign w:val="bottom"/>
            <w:hideMark/>
          </w:tcPr>
          <w:p w:rsidR="00294CB0" w:rsidRPr="00D5126A" w:rsidRDefault="00294CB0" w:rsidP="006C2FEA">
            <w:pPr>
              <w:spacing w:after="0"/>
              <w:ind w:left="318" w:hanging="284"/>
              <w:rPr>
                <w:rFonts w:cstheme="minorHAnsi"/>
                <w:b/>
                <w:bCs/>
                <w:color w:val="FFFFFF" w:themeColor="background1"/>
                <w:sz w:val="24"/>
                <w:szCs w:val="20"/>
              </w:rPr>
            </w:pPr>
            <w:r w:rsidRPr="00D5126A">
              <w:rPr>
                <w:rFonts w:cstheme="minorHAnsi"/>
                <w:b/>
                <w:bCs/>
                <w:color w:val="FFFFFF" w:themeColor="background1"/>
                <w:sz w:val="24"/>
                <w:szCs w:val="20"/>
              </w:rPr>
              <w:t>4. Oranga ahurea – Cultural wellbeing</w:t>
            </w:r>
          </w:p>
        </w:tc>
        <w:tc>
          <w:tcPr>
            <w:tcW w:w="1189" w:type="dxa"/>
            <w:tcBorders>
              <w:top w:val="nil"/>
              <w:left w:val="nil"/>
              <w:bottom w:val="nil"/>
              <w:right w:val="nil"/>
            </w:tcBorders>
            <w:shd w:val="clear" w:color="auto" w:fill="FF3399"/>
            <w:noWrap/>
            <w:vAlign w:val="bottom"/>
            <w:hideMark/>
          </w:tcPr>
          <w:p w:rsidR="00294CB0" w:rsidRPr="00D5126A" w:rsidRDefault="00294CB0" w:rsidP="00937653">
            <w:pPr>
              <w:spacing w:after="0"/>
              <w:jc w:val="center"/>
              <w:rPr>
                <w:rFonts w:cstheme="minorHAnsi"/>
                <w:color w:val="FFFFFF" w:themeColor="background1"/>
                <w:sz w:val="24"/>
                <w:szCs w:val="20"/>
              </w:rPr>
            </w:pPr>
          </w:p>
        </w:tc>
        <w:tc>
          <w:tcPr>
            <w:tcW w:w="1023" w:type="dxa"/>
            <w:tcBorders>
              <w:top w:val="nil"/>
              <w:left w:val="nil"/>
              <w:bottom w:val="nil"/>
              <w:right w:val="nil"/>
            </w:tcBorders>
            <w:shd w:val="clear" w:color="auto" w:fill="FF3399"/>
            <w:noWrap/>
            <w:vAlign w:val="bottom"/>
            <w:hideMark/>
          </w:tcPr>
          <w:p w:rsidR="00294CB0" w:rsidRPr="00D5126A" w:rsidRDefault="00294CB0" w:rsidP="00937653">
            <w:pPr>
              <w:spacing w:after="0"/>
              <w:jc w:val="center"/>
              <w:rPr>
                <w:rFonts w:cstheme="minorHAnsi"/>
                <w:color w:val="FFFFFF" w:themeColor="background1"/>
                <w:sz w:val="24"/>
                <w:szCs w:val="20"/>
              </w:rPr>
            </w:pPr>
          </w:p>
        </w:tc>
        <w:tc>
          <w:tcPr>
            <w:tcW w:w="1357" w:type="dxa"/>
            <w:tcBorders>
              <w:top w:val="nil"/>
              <w:left w:val="nil"/>
              <w:bottom w:val="nil"/>
              <w:right w:val="nil"/>
            </w:tcBorders>
            <w:shd w:val="clear" w:color="auto" w:fill="FF3399"/>
            <w:noWrap/>
            <w:vAlign w:val="bottom"/>
            <w:hideMark/>
          </w:tcPr>
          <w:p w:rsidR="00294CB0" w:rsidRPr="00D5126A" w:rsidRDefault="00294CB0" w:rsidP="00937653">
            <w:pPr>
              <w:spacing w:after="0"/>
              <w:jc w:val="center"/>
              <w:rPr>
                <w:rFonts w:cstheme="minorHAnsi"/>
                <w:color w:val="FFFFFF" w:themeColor="background1"/>
                <w:sz w:val="24"/>
                <w:szCs w:val="20"/>
              </w:rPr>
            </w:pPr>
          </w:p>
        </w:tc>
        <w:tc>
          <w:tcPr>
            <w:tcW w:w="1195" w:type="dxa"/>
            <w:tcBorders>
              <w:top w:val="nil"/>
              <w:left w:val="nil"/>
              <w:bottom w:val="nil"/>
              <w:right w:val="nil"/>
            </w:tcBorders>
            <w:shd w:val="clear" w:color="auto" w:fill="FF3399"/>
            <w:noWrap/>
            <w:vAlign w:val="bottom"/>
            <w:hideMark/>
          </w:tcPr>
          <w:p w:rsidR="00294CB0" w:rsidRPr="00D5126A" w:rsidRDefault="00294CB0" w:rsidP="00937653">
            <w:pPr>
              <w:spacing w:after="0"/>
              <w:jc w:val="center"/>
              <w:rPr>
                <w:rFonts w:cstheme="minorHAnsi"/>
                <w:color w:val="FFFFFF" w:themeColor="background1"/>
                <w:sz w:val="24"/>
                <w:szCs w:val="20"/>
              </w:rPr>
            </w:pPr>
          </w:p>
        </w:tc>
      </w:tr>
      <w:tr w:rsidR="00294CB0" w:rsidRPr="00D5126A" w:rsidTr="00297C6D">
        <w:trPr>
          <w:trHeight w:val="255"/>
        </w:trPr>
        <w:tc>
          <w:tcPr>
            <w:tcW w:w="3544" w:type="dxa"/>
            <w:tcBorders>
              <w:top w:val="nil"/>
              <w:left w:val="nil"/>
              <w:bottom w:val="single" w:sz="12" w:space="0" w:color="auto"/>
              <w:right w:val="nil"/>
            </w:tcBorders>
            <w:shd w:val="clear" w:color="auto" w:fill="FFFFFF" w:themeFill="background1"/>
            <w:noWrap/>
            <w:vAlign w:val="bottom"/>
            <w:hideMark/>
          </w:tcPr>
          <w:p w:rsidR="00294CB0" w:rsidRPr="00D5126A" w:rsidRDefault="00294CB0" w:rsidP="006C2FEA">
            <w:pPr>
              <w:spacing w:after="0"/>
              <w:ind w:left="601" w:hanging="318"/>
              <w:rPr>
                <w:rFonts w:cstheme="minorHAnsi"/>
                <w:bCs/>
                <w:sz w:val="20"/>
                <w:szCs w:val="20"/>
              </w:rPr>
            </w:pPr>
            <w:r w:rsidRPr="00D5126A">
              <w:rPr>
                <w:rFonts w:cstheme="minorHAnsi"/>
                <w:bCs/>
                <w:sz w:val="20"/>
                <w:szCs w:val="20"/>
              </w:rPr>
              <w:t>4.1 City promotions and business support</w:t>
            </w:r>
          </w:p>
        </w:tc>
        <w:tc>
          <w:tcPr>
            <w:tcW w:w="1189" w:type="dxa"/>
            <w:tcBorders>
              <w:top w:val="nil"/>
              <w:left w:val="nil"/>
              <w:bottom w:val="single" w:sz="12" w:space="0" w:color="auto"/>
              <w:right w:val="nil"/>
            </w:tcBorders>
            <w:shd w:val="clear" w:color="auto" w:fill="FFFFFF" w:themeFill="background1"/>
            <w:noWrap/>
            <w:vAlign w:val="bottom"/>
            <w:hideMark/>
          </w:tcPr>
          <w:p w:rsidR="00294CB0" w:rsidRPr="00D5126A" w:rsidRDefault="00294CB0" w:rsidP="00937653">
            <w:pPr>
              <w:spacing w:after="0"/>
              <w:jc w:val="center"/>
              <w:rPr>
                <w:rFonts w:cstheme="minorHAnsi"/>
                <w:b/>
                <w:sz w:val="24"/>
                <w:szCs w:val="20"/>
              </w:rPr>
            </w:pPr>
            <w:r w:rsidRPr="00D5126A">
              <w:rPr>
                <w:rFonts w:cstheme="minorHAnsi"/>
                <w:b/>
                <w:sz w:val="24"/>
                <w:szCs w:val="20"/>
              </w:rPr>
              <w:t>1</w:t>
            </w:r>
          </w:p>
        </w:tc>
        <w:tc>
          <w:tcPr>
            <w:tcW w:w="1023" w:type="dxa"/>
            <w:tcBorders>
              <w:top w:val="nil"/>
              <w:left w:val="nil"/>
              <w:bottom w:val="single" w:sz="12" w:space="0" w:color="auto"/>
              <w:right w:val="nil"/>
            </w:tcBorders>
            <w:shd w:val="clear" w:color="auto" w:fill="FFFFFF" w:themeFill="background1"/>
            <w:noWrap/>
            <w:vAlign w:val="bottom"/>
            <w:hideMark/>
          </w:tcPr>
          <w:p w:rsidR="00294CB0" w:rsidRPr="00D5126A" w:rsidRDefault="00294CB0" w:rsidP="00937653">
            <w:pPr>
              <w:spacing w:after="0"/>
              <w:jc w:val="center"/>
              <w:rPr>
                <w:rFonts w:cstheme="minorHAnsi"/>
                <w:b/>
                <w:sz w:val="24"/>
                <w:szCs w:val="20"/>
              </w:rPr>
            </w:pPr>
            <w:r>
              <w:rPr>
                <w:rFonts w:cstheme="minorHAnsi"/>
                <w:b/>
                <w:sz w:val="24"/>
                <w:szCs w:val="20"/>
              </w:rPr>
              <w:t>13</w:t>
            </w:r>
          </w:p>
        </w:tc>
        <w:tc>
          <w:tcPr>
            <w:tcW w:w="1357" w:type="dxa"/>
            <w:tcBorders>
              <w:top w:val="nil"/>
              <w:left w:val="nil"/>
              <w:bottom w:val="single" w:sz="12" w:space="0" w:color="auto"/>
              <w:right w:val="nil"/>
            </w:tcBorders>
            <w:shd w:val="clear" w:color="auto" w:fill="FFFFFF" w:themeFill="background1"/>
            <w:noWrap/>
            <w:vAlign w:val="bottom"/>
            <w:hideMark/>
          </w:tcPr>
          <w:p w:rsidR="00294CB0" w:rsidRPr="00D5126A" w:rsidRDefault="00294CB0" w:rsidP="00937653">
            <w:pPr>
              <w:spacing w:after="0"/>
              <w:jc w:val="center"/>
              <w:rPr>
                <w:rFonts w:cstheme="minorHAnsi"/>
                <w:b/>
                <w:sz w:val="24"/>
                <w:szCs w:val="20"/>
              </w:rPr>
            </w:pPr>
            <w:r w:rsidRPr="00D5126A">
              <w:rPr>
                <w:rFonts w:cstheme="minorHAnsi"/>
                <w:b/>
                <w:sz w:val="24"/>
                <w:szCs w:val="20"/>
              </w:rPr>
              <w:t>2</w:t>
            </w:r>
          </w:p>
        </w:tc>
        <w:tc>
          <w:tcPr>
            <w:tcW w:w="1195" w:type="dxa"/>
            <w:tcBorders>
              <w:top w:val="nil"/>
              <w:left w:val="nil"/>
              <w:bottom w:val="single" w:sz="12" w:space="0" w:color="auto"/>
              <w:right w:val="nil"/>
            </w:tcBorders>
            <w:shd w:val="clear" w:color="auto" w:fill="FFFFFF" w:themeFill="background1"/>
            <w:noWrap/>
            <w:vAlign w:val="bottom"/>
            <w:hideMark/>
          </w:tcPr>
          <w:p w:rsidR="00294CB0" w:rsidRPr="00D5126A" w:rsidRDefault="00294CB0" w:rsidP="00937653">
            <w:pPr>
              <w:spacing w:after="0"/>
              <w:jc w:val="center"/>
              <w:rPr>
                <w:rFonts w:cstheme="minorHAnsi"/>
                <w:b/>
                <w:sz w:val="24"/>
                <w:szCs w:val="20"/>
              </w:rPr>
            </w:pPr>
            <w:r w:rsidRPr="00D5126A">
              <w:rPr>
                <w:rFonts w:cstheme="minorHAnsi"/>
                <w:b/>
                <w:sz w:val="24"/>
                <w:szCs w:val="20"/>
              </w:rPr>
              <w:t>16</w:t>
            </w:r>
          </w:p>
        </w:tc>
      </w:tr>
      <w:tr w:rsidR="00294CB0" w:rsidRPr="00D5126A" w:rsidTr="00297C6D">
        <w:trPr>
          <w:trHeight w:val="255"/>
        </w:trPr>
        <w:tc>
          <w:tcPr>
            <w:tcW w:w="3544" w:type="dxa"/>
            <w:tcBorders>
              <w:top w:val="single" w:sz="12" w:space="0" w:color="auto"/>
              <w:left w:val="nil"/>
              <w:bottom w:val="single" w:sz="12" w:space="0" w:color="auto"/>
              <w:right w:val="nil"/>
            </w:tcBorders>
            <w:shd w:val="clear" w:color="auto" w:fill="FFCCFF"/>
            <w:noWrap/>
            <w:vAlign w:val="bottom"/>
            <w:hideMark/>
          </w:tcPr>
          <w:p w:rsidR="00294CB0" w:rsidRPr="00D5126A" w:rsidRDefault="00294CB0" w:rsidP="00937653">
            <w:pPr>
              <w:spacing w:after="0"/>
              <w:rPr>
                <w:rFonts w:cstheme="minorHAnsi"/>
                <w:b/>
                <w:bCs/>
                <w:sz w:val="24"/>
                <w:szCs w:val="20"/>
              </w:rPr>
            </w:pPr>
            <w:r w:rsidRPr="00D5126A">
              <w:rPr>
                <w:rFonts w:cstheme="minorHAnsi"/>
                <w:b/>
                <w:bCs/>
                <w:sz w:val="24"/>
                <w:szCs w:val="20"/>
              </w:rPr>
              <w:t>Total measures</w:t>
            </w:r>
          </w:p>
        </w:tc>
        <w:tc>
          <w:tcPr>
            <w:tcW w:w="1189" w:type="dxa"/>
            <w:tcBorders>
              <w:top w:val="single" w:sz="12" w:space="0" w:color="auto"/>
              <w:left w:val="nil"/>
              <w:bottom w:val="single" w:sz="12" w:space="0" w:color="auto"/>
              <w:right w:val="nil"/>
            </w:tcBorders>
            <w:shd w:val="clear" w:color="auto" w:fill="FFCCFF"/>
            <w:noWrap/>
            <w:vAlign w:val="bottom"/>
            <w:hideMark/>
          </w:tcPr>
          <w:p w:rsidR="00294CB0" w:rsidRPr="00D5126A" w:rsidRDefault="00294CB0" w:rsidP="00937653">
            <w:pPr>
              <w:spacing w:after="0"/>
              <w:jc w:val="center"/>
              <w:rPr>
                <w:rFonts w:cstheme="minorHAnsi"/>
                <w:b/>
                <w:sz w:val="24"/>
                <w:szCs w:val="20"/>
              </w:rPr>
            </w:pPr>
            <w:r w:rsidRPr="00D5126A">
              <w:rPr>
                <w:rFonts w:cstheme="minorHAnsi"/>
                <w:b/>
                <w:sz w:val="24"/>
                <w:szCs w:val="20"/>
              </w:rPr>
              <w:t>1</w:t>
            </w:r>
          </w:p>
        </w:tc>
        <w:tc>
          <w:tcPr>
            <w:tcW w:w="1023" w:type="dxa"/>
            <w:tcBorders>
              <w:top w:val="single" w:sz="12" w:space="0" w:color="auto"/>
              <w:left w:val="nil"/>
              <w:bottom w:val="single" w:sz="12" w:space="0" w:color="auto"/>
              <w:right w:val="nil"/>
            </w:tcBorders>
            <w:shd w:val="clear" w:color="auto" w:fill="FFCCFF"/>
            <w:noWrap/>
            <w:vAlign w:val="bottom"/>
            <w:hideMark/>
          </w:tcPr>
          <w:p w:rsidR="00294CB0" w:rsidRPr="00D5126A" w:rsidRDefault="00294CB0" w:rsidP="00937653">
            <w:pPr>
              <w:spacing w:after="0"/>
              <w:jc w:val="center"/>
              <w:rPr>
                <w:rFonts w:cstheme="minorHAnsi"/>
                <w:b/>
                <w:sz w:val="24"/>
                <w:szCs w:val="20"/>
              </w:rPr>
            </w:pPr>
            <w:r>
              <w:rPr>
                <w:rFonts w:cstheme="minorHAnsi"/>
                <w:b/>
                <w:sz w:val="24"/>
                <w:szCs w:val="20"/>
              </w:rPr>
              <w:t>13</w:t>
            </w:r>
          </w:p>
        </w:tc>
        <w:tc>
          <w:tcPr>
            <w:tcW w:w="1357" w:type="dxa"/>
            <w:tcBorders>
              <w:top w:val="single" w:sz="12" w:space="0" w:color="auto"/>
              <w:left w:val="nil"/>
              <w:bottom w:val="single" w:sz="12" w:space="0" w:color="auto"/>
              <w:right w:val="nil"/>
            </w:tcBorders>
            <w:shd w:val="clear" w:color="auto" w:fill="FFCCFF"/>
            <w:noWrap/>
            <w:vAlign w:val="bottom"/>
            <w:hideMark/>
          </w:tcPr>
          <w:p w:rsidR="00294CB0" w:rsidRPr="00D5126A" w:rsidRDefault="00294CB0" w:rsidP="00937653">
            <w:pPr>
              <w:spacing w:after="0"/>
              <w:jc w:val="center"/>
              <w:rPr>
                <w:rFonts w:cstheme="minorHAnsi"/>
                <w:b/>
                <w:sz w:val="24"/>
                <w:szCs w:val="20"/>
              </w:rPr>
            </w:pPr>
            <w:r w:rsidRPr="00D5126A">
              <w:rPr>
                <w:rFonts w:cstheme="minorHAnsi"/>
                <w:b/>
                <w:sz w:val="24"/>
                <w:szCs w:val="20"/>
              </w:rPr>
              <w:t>2</w:t>
            </w:r>
          </w:p>
        </w:tc>
        <w:tc>
          <w:tcPr>
            <w:tcW w:w="1195" w:type="dxa"/>
            <w:tcBorders>
              <w:top w:val="single" w:sz="12" w:space="0" w:color="auto"/>
              <w:left w:val="nil"/>
              <w:bottom w:val="single" w:sz="12" w:space="0" w:color="auto"/>
              <w:right w:val="nil"/>
            </w:tcBorders>
            <w:shd w:val="clear" w:color="auto" w:fill="FFCCFF"/>
            <w:noWrap/>
            <w:vAlign w:val="bottom"/>
            <w:hideMark/>
          </w:tcPr>
          <w:p w:rsidR="00294CB0" w:rsidRPr="00D5126A" w:rsidRDefault="00294CB0" w:rsidP="00937653">
            <w:pPr>
              <w:spacing w:after="0"/>
              <w:jc w:val="center"/>
              <w:rPr>
                <w:rFonts w:cstheme="minorHAnsi"/>
                <w:b/>
                <w:sz w:val="24"/>
                <w:szCs w:val="20"/>
              </w:rPr>
            </w:pPr>
            <w:r w:rsidRPr="00D5126A">
              <w:rPr>
                <w:rFonts w:cstheme="minorHAnsi"/>
                <w:b/>
                <w:sz w:val="24"/>
                <w:szCs w:val="20"/>
              </w:rPr>
              <w:t>16</w:t>
            </w:r>
          </w:p>
        </w:tc>
      </w:tr>
    </w:tbl>
    <w:p w:rsidR="006B024A" w:rsidRPr="00D5126A" w:rsidRDefault="006B024A" w:rsidP="006B024A">
      <w:pPr>
        <w:pStyle w:val="5Block"/>
        <w:spacing w:after="0" w:line="240" w:lineRule="auto"/>
        <w:rPr>
          <w:rFonts w:ascii="Arial" w:hAnsi="Arial" w:cs="Arial"/>
        </w:rPr>
      </w:pPr>
    </w:p>
    <w:p w:rsidR="006B024A" w:rsidRPr="00297C6D" w:rsidRDefault="006B024A" w:rsidP="00AA2122">
      <w:pPr>
        <w:pStyle w:val="Heading3"/>
        <w:rPr>
          <w:color w:val="FF0066"/>
        </w:rPr>
      </w:pPr>
      <w:bookmarkStart w:id="222" w:name="4_1_Ngohe_toi__ahurea_hoki_Arts_and_cult"/>
      <w:bookmarkStart w:id="223" w:name="_Toc19085836"/>
      <w:r w:rsidRPr="00297C6D">
        <w:rPr>
          <w:rStyle w:val="00Text"/>
          <w:b/>
          <w:color w:val="FF0066"/>
        </w:rPr>
        <w:t xml:space="preserve">4.1 Ngohe toi, ahurea hoki - </w:t>
      </w:r>
      <w:r w:rsidRPr="00297C6D">
        <w:rPr>
          <w:color w:val="FF0066"/>
        </w:rPr>
        <w:t>Arts and cultural activities</w:t>
      </w:r>
      <w:bookmarkEnd w:id="222"/>
      <w:bookmarkEnd w:id="223"/>
    </w:p>
    <w:p w:rsidR="006B024A" w:rsidRPr="00297C6D" w:rsidRDefault="006B024A" w:rsidP="00846C1B">
      <w:pPr>
        <w:pStyle w:val="Heading4"/>
        <w:rPr>
          <w:color w:val="FF0066"/>
        </w:rPr>
      </w:pPr>
      <w:r w:rsidRPr="00297C6D">
        <w:rPr>
          <w:color w:val="FF0066"/>
        </w:rPr>
        <w:t>What we did</w:t>
      </w:r>
    </w:p>
    <w:p w:rsidR="006B024A" w:rsidRPr="00D5126A" w:rsidRDefault="006B024A" w:rsidP="00961FC5">
      <w:pPr>
        <w:pStyle w:val="Heading5"/>
      </w:pPr>
      <w:r w:rsidRPr="00D5126A">
        <w:t>Cultural Funding</w:t>
      </w:r>
    </w:p>
    <w:p w:rsidR="006B024A" w:rsidRPr="00D5126A" w:rsidRDefault="006B024A" w:rsidP="006B024A">
      <w:pPr>
        <w:rPr>
          <w:rFonts w:ascii="Arial" w:hAnsi="Arial" w:cs="Arial"/>
        </w:rPr>
      </w:pPr>
      <w:r w:rsidRPr="00D5126A">
        <w:rPr>
          <w:rFonts w:ascii="Arial" w:hAnsi="Arial" w:cs="Arial"/>
        </w:rPr>
        <w:t xml:space="preserve">Through the three funding rounds of the Arts and Culture Fund, 84 applications were supported with funding. A total of $385,065 was allocated during the year. The average grant size was $4,584. Grants ranged from $15,000 to $600. We also introduced a new funding scheme within the Arts and Culture Fund called the Professional Performing Arts Fund. This fund support established performing arts organisations to develop and present new theatre and dance works in Wellington. This year </w:t>
      </w:r>
      <w:r w:rsidR="00642A42">
        <w:rPr>
          <w:rFonts w:ascii="Arial" w:hAnsi="Arial" w:cs="Arial"/>
        </w:rPr>
        <w:t>seven</w:t>
      </w:r>
      <w:r w:rsidR="00642A42" w:rsidRPr="00D5126A">
        <w:rPr>
          <w:rFonts w:ascii="Arial" w:hAnsi="Arial" w:cs="Arial"/>
        </w:rPr>
        <w:t xml:space="preserve"> </w:t>
      </w:r>
      <w:r w:rsidRPr="00D5126A">
        <w:rPr>
          <w:rFonts w:ascii="Arial" w:hAnsi="Arial" w:cs="Arial"/>
        </w:rPr>
        <w:t xml:space="preserve">applications were supported with a total of $75,000. Grants </w:t>
      </w:r>
      <w:r w:rsidR="001244BB" w:rsidRPr="00D5126A">
        <w:rPr>
          <w:rFonts w:ascii="Arial" w:hAnsi="Arial" w:cs="Arial"/>
        </w:rPr>
        <w:t xml:space="preserve">ranged from $5,000 to $14,400. </w:t>
      </w:r>
      <w:r w:rsidRPr="00D5126A">
        <w:rPr>
          <w:rFonts w:ascii="Arial" w:hAnsi="Arial" w:cs="Arial"/>
        </w:rPr>
        <w:t>In addition, we provided funding to arts and cultural events or programmes such as: the World of Wearable Art; Visa Wellington on a Plate; the NZ Festival; Te Matatini; the Professional Performing Arts Fund</w:t>
      </w:r>
      <w:r w:rsidR="00642A42">
        <w:rPr>
          <w:rFonts w:ascii="Arial" w:hAnsi="Arial" w:cs="Arial"/>
        </w:rPr>
        <w:t>;</w:t>
      </w:r>
      <w:r w:rsidRPr="00D5126A">
        <w:rPr>
          <w:rFonts w:ascii="Arial" w:hAnsi="Arial" w:cs="Arial"/>
        </w:rPr>
        <w:t xml:space="preserve"> and Circa Theatre. </w:t>
      </w:r>
    </w:p>
    <w:p w:rsidR="006B024A" w:rsidRPr="00D5126A" w:rsidRDefault="006B024A" w:rsidP="00961FC5">
      <w:pPr>
        <w:pStyle w:val="Heading5"/>
      </w:pPr>
      <w:r w:rsidRPr="00D5126A">
        <w:t>UNESCO Creative City Network</w:t>
      </w:r>
    </w:p>
    <w:p w:rsidR="006B024A" w:rsidRPr="00D5126A" w:rsidRDefault="006B024A" w:rsidP="006B024A">
      <w:pPr>
        <w:rPr>
          <w:rFonts w:ascii="Arial" w:hAnsi="Arial" w:cs="Arial"/>
          <w:u w:val="single"/>
        </w:rPr>
      </w:pPr>
      <w:r w:rsidRPr="00D5126A">
        <w:rPr>
          <w:rFonts w:ascii="Arial" w:hAnsi="Arial" w:cs="Arial"/>
        </w:rPr>
        <w:t xml:space="preserve">After consultation with a wide range of stakeholders, we have submitted an application to UNESCO to join the Creative City Network as a City of Film. Through the engagement and application process we gathered information on the historical and current film context in Wellington and identified areas of possible growth in this sector. </w:t>
      </w:r>
    </w:p>
    <w:p w:rsidR="006B024A" w:rsidRPr="00D5126A" w:rsidRDefault="006B024A" w:rsidP="00961FC5">
      <w:pPr>
        <w:pStyle w:val="Heading5"/>
      </w:pPr>
      <w:r w:rsidRPr="00D5126A">
        <w:t>City Cultural events</w:t>
      </w:r>
    </w:p>
    <w:p w:rsidR="006B024A" w:rsidRPr="00D5126A" w:rsidRDefault="006B024A" w:rsidP="006B024A">
      <w:pPr>
        <w:rPr>
          <w:rFonts w:ascii="Arial" w:hAnsi="Arial" w:cs="Arial"/>
        </w:rPr>
      </w:pPr>
      <w:r w:rsidRPr="00D5126A">
        <w:rPr>
          <w:rFonts w:ascii="Arial" w:hAnsi="Arial" w:cs="Arial"/>
        </w:rPr>
        <w:t>We developed and delivered city events and festivals such as A Very Welly Christmas Festival, Ahi Kā,  Sky Show, Gardens’ Magic, Te Rā o Waitangi, Pasifika Festival and Re-Cut. We also supported a range of community-led festivals, such as the Newtown Festival and Chinese New Year. Our events attracted audiences in the hundreds of thousands. After an inaugural Ahi Kā in 2018, we continued to grow this Matariki event into a nationally significant event.</w:t>
      </w:r>
    </w:p>
    <w:p w:rsidR="006B024A" w:rsidRPr="00D5126A" w:rsidRDefault="006B024A" w:rsidP="00961FC5">
      <w:pPr>
        <w:pStyle w:val="Heading5"/>
      </w:pPr>
      <w:r w:rsidRPr="00D5126A">
        <w:t>Strategic and Partnership projects</w:t>
      </w:r>
    </w:p>
    <w:p w:rsidR="006B024A" w:rsidRPr="00D5126A" w:rsidRDefault="001244BB" w:rsidP="006B024A">
      <w:pPr>
        <w:rPr>
          <w:rFonts w:ascii="Arial" w:hAnsi="Arial" w:cs="Arial"/>
        </w:rPr>
      </w:pPr>
      <w:r w:rsidRPr="00D5126A">
        <w:rPr>
          <w:rFonts w:ascii="Arial" w:hAnsi="Arial" w:cs="Arial"/>
        </w:rPr>
        <w:t xml:space="preserve">We were gifted the name Aho Tini for an expanded Capital of Culture initiative and this year have consulted with stakeholders and started work on an overarching vision for creativity in </w:t>
      </w:r>
      <w:r w:rsidRPr="00D5126A">
        <w:rPr>
          <w:rFonts w:ascii="Arial" w:hAnsi="Arial" w:cs="Arial"/>
        </w:rPr>
        <w:lastRenderedPageBreak/>
        <w:t xml:space="preserve">the city. </w:t>
      </w:r>
      <w:r w:rsidR="006B024A" w:rsidRPr="00D5126A">
        <w:rPr>
          <w:rFonts w:ascii="Arial" w:hAnsi="Arial" w:cs="Arial"/>
        </w:rPr>
        <w:t xml:space="preserve">We supported several </w:t>
      </w:r>
      <w:r w:rsidR="00642A42">
        <w:rPr>
          <w:rFonts w:ascii="Arial" w:hAnsi="Arial" w:cs="Arial"/>
        </w:rPr>
        <w:t>a</w:t>
      </w:r>
      <w:r w:rsidR="00642A42" w:rsidRPr="00D5126A">
        <w:rPr>
          <w:rFonts w:ascii="Arial" w:hAnsi="Arial" w:cs="Arial"/>
        </w:rPr>
        <w:t xml:space="preserve">rtist </w:t>
      </w:r>
      <w:r w:rsidR="00642A42">
        <w:rPr>
          <w:rFonts w:ascii="Arial" w:hAnsi="Arial" w:cs="Arial"/>
        </w:rPr>
        <w:t>r</w:t>
      </w:r>
      <w:r w:rsidR="00642A42" w:rsidRPr="00D5126A">
        <w:rPr>
          <w:rFonts w:ascii="Arial" w:hAnsi="Arial" w:cs="Arial"/>
        </w:rPr>
        <w:t>esidencies</w:t>
      </w:r>
      <w:r w:rsidR="006B024A" w:rsidRPr="00D5126A">
        <w:rPr>
          <w:rFonts w:ascii="Arial" w:hAnsi="Arial" w:cs="Arial"/>
        </w:rPr>
        <w:t>, including WARE and Te Whare Hera residencies. We welcomed Australian Aboriginal artist, Dean Cross</w:t>
      </w:r>
      <w:r w:rsidR="00642A42">
        <w:rPr>
          <w:rFonts w:ascii="Arial" w:hAnsi="Arial" w:cs="Arial"/>
        </w:rPr>
        <w:t>,</w:t>
      </w:r>
      <w:r w:rsidR="006B024A" w:rsidRPr="00D5126A">
        <w:rPr>
          <w:rFonts w:ascii="Arial" w:hAnsi="Arial" w:cs="Arial"/>
        </w:rPr>
        <w:t xml:space="preserve"> to Wellington as the inaugural Canberra-Wellington Sister City Indigenous Exchange Artist. We supported local Māori artist, Ana Iti, to go to Canberra for 6</w:t>
      </w:r>
      <w:r w:rsidR="00642A42">
        <w:rPr>
          <w:rFonts w:ascii="Arial" w:hAnsi="Arial" w:cs="Arial"/>
        </w:rPr>
        <w:t xml:space="preserve"> </w:t>
      </w:r>
      <w:r w:rsidR="006B024A" w:rsidRPr="00D5126A">
        <w:rPr>
          <w:rFonts w:ascii="Arial" w:hAnsi="Arial" w:cs="Arial"/>
        </w:rPr>
        <w:t xml:space="preserve">weeks as the Wellington Indigenous Exchange Artist. </w:t>
      </w:r>
    </w:p>
    <w:p w:rsidR="006B024A" w:rsidRPr="00D5126A" w:rsidRDefault="006B024A" w:rsidP="00961FC5">
      <w:pPr>
        <w:pStyle w:val="Heading5"/>
      </w:pPr>
      <w:r w:rsidRPr="00D5126A">
        <w:t>PakiTara-toi Art on Walls</w:t>
      </w:r>
    </w:p>
    <w:p w:rsidR="006B024A" w:rsidRPr="00D5126A" w:rsidRDefault="006B024A" w:rsidP="006B024A">
      <w:pPr>
        <w:rPr>
          <w:rFonts w:ascii="Arial" w:hAnsi="Arial" w:cs="Arial"/>
        </w:rPr>
      </w:pPr>
      <w:r w:rsidRPr="00D5126A">
        <w:rPr>
          <w:rFonts w:ascii="Arial" w:hAnsi="Arial" w:cs="Arial"/>
        </w:rPr>
        <w:t>We delivered an exciting programme of nine new murals in the city:</w:t>
      </w:r>
    </w:p>
    <w:p w:rsidR="006B024A" w:rsidRPr="00D5126A" w:rsidRDefault="00642A42" w:rsidP="006837C4">
      <w:pPr>
        <w:pStyle w:val="ListParagraph"/>
        <w:numPr>
          <w:ilvl w:val="0"/>
          <w:numId w:val="6"/>
        </w:numPr>
        <w:rPr>
          <w:rFonts w:ascii="Arial" w:hAnsi="Arial" w:cs="Arial"/>
        </w:rPr>
      </w:pPr>
      <w:r>
        <w:rPr>
          <w:rFonts w:ascii="Arial" w:hAnsi="Arial" w:cs="Arial"/>
        </w:rPr>
        <w:t>t</w:t>
      </w:r>
      <w:r w:rsidRPr="00D5126A">
        <w:rPr>
          <w:rFonts w:ascii="Arial" w:hAnsi="Arial" w:cs="Arial"/>
        </w:rPr>
        <w:t xml:space="preserve">wo </w:t>
      </w:r>
      <w:r w:rsidR="006B024A" w:rsidRPr="00D5126A">
        <w:rPr>
          <w:rFonts w:ascii="Arial" w:hAnsi="Arial" w:cs="Arial"/>
        </w:rPr>
        <w:t xml:space="preserve">new murals at the Airport Underpass by local </w:t>
      </w:r>
      <w:r>
        <w:rPr>
          <w:rFonts w:ascii="Arial" w:hAnsi="Arial" w:cs="Arial"/>
        </w:rPr>
        <w:t>a</w:t>
      </w:r>
      <w:r w:rsidRPr="00D5126A">
        <w:rPr>
          <w:rFonts w:ascii="Arial" w:hAnsi="Arial" w:cs="Arial"/>
        </w:rPr>
        <w:t>rtist</w:t>
      </w:r>
      <w:r w:rsidR="006B024A" w:rsidRPr="00D5126A">
        <w:rPr>
          <w:rFonts w:ascii="Arial" w:hAnsi="Arial" w:cs="Arial"/>
        </w:rPr>
        <w:t>, Sheyne Tuffery</w:t>
      </w:r>
      <w:r>
        <w:rPr>
          <w:rFonts w:ascii="Arial" w:hAnsi="Arial" w:cs="Arial"/>
        </w:rPr>
        <w:t>,</w:t>
      </w:r>
      <w:r w:rsidR="006B024A" w:rsidRPr="00D5126A">
        <w:rPr>
          <w:rFonts w:ascii="Arial" w:hAnsi="Arial" w:cs="Arial"/>
        </w:rPr>
        <w:t xml:space="preserve"> in collaboration with students at Rongotai College</w:t>
      </w:r>
    </w:p>
    <w:p w:rsidR="006B024A" w:rsidRPr="00D5126A" w:rsidRDefault="00642A42" w:rsidP="006837C4">
      <w:pPr>
        <w:pStyle w:val="ListParagraph"/>
        <w:numPr>
          <w:ilvl w:val="0"/>
          <w:numId w:val="6"/>
        </w:numPr>
        <w:rPr>
          <w:rFonts w:ascii="Arial" w:hAnsi="Arial" w:cs="Arial"/>
        </w:rPr>
      </w:pPr>
      <w:r>
        <w:rPr>
          <w:rFonts w:ascii="Arial" w:hAnsi="Arial" w:cs="Arial"/>
        </w:rPr>
        <w:t>t</w:t>
      </w:r>
      <w:r w:rsidRPr="00D5126A">
        <w:rPr>
          <w:rFonts w:ascii="Arial" w:hAnsi="Arial" w:cs="Arial"/>
        </w:rPr>
        <w:t xml:space="preserve">he </w:t>
      </w:r>
      <w:r w:rsidR="006B024A" w:rsidRPr="00D5126A">
        <w:rPr>
          <w:rFonts w:ascii="Arial" w:hAnsi="Arial" w:cs="Arial"/>
        </w:rPr>
        <w:t>Arlington Council Housing Complex mural  by local artists, Tien Wei Hee and Gwil Devey</w:t>
      </w:r>
    </w:p>
    <w:p w:rsidR="006B024A" w:rsidRPr="00D5126A" w:rsidRDefault="00642A42" w:rsidP="006837C4">
      <w:pPr>
        <w:pStyle w:val="ListParagraph"/>
        <w:numPr>
          <w:ilvl w:val="0"/>
          <w:numId w:val="6"/>
        </w:numPr>
        <w:rPr>
          <w:rFonts w:ascii="Arial" w:hAnsi="Arial" w:cs="Arial"/>
        </w:rPr>
      </w:pPr>
      <w:r>
        <w:rPr>
          <w:rFonts w:ascii="Arial" w:hAnsi="Arial" w:cs="Arial"/>
        </w:rPr>
        <w:t>a</w:t>
      </w:r>
      <w:r w:rsidRPr="00D5126A">
        <w:rPr>
          <w:rFonts w:ascii="Arial" w:hAnsi="Arial" w:cs="Arial"/>
        </w:rPr>
        <w:t xml:space="preserve"> </w:t>
      </w:r>
      <w:r w:rsidR="006B024A" w:rsidRPr="00D5126A">
        <w:rPr>
          <w:rFonts w:ascii="Arial" w:hAnsi="Arial" w:cs="Arial"/>
        </w:rPr>
        <w:t>series of murals on three containers in Wakefield Street by local artist Phoebe Morris</w:t>
      </w:r>
    </w:p>
    <w:p w:rsidR="006B024A" w:rsidRPr="00D5126A" w:rsidRDefault="00642A42" w:rsidP="006837C4">
      <w:pPr>
        <w:pStyle w:val="ListParagraph"/>
        <w:numPr>
          <w:ilvl w:val="0"/>
          <w:numId w:val="6"/>
        </w:numPr>
        <w:rPr>
          <w:rFonts w:ascii="Arial" w:hAnsi="Arial" w:cs="Arial"/>
        </w:rPr>
      </w:pPr>
      <w:r>
        <w:rPr>
          <w:rFonts w:ascii="Arial" w:hAnsi="Arial" w:cs="Arial"/>
        </w:rPr>
        <w:t>a</w:t>
      </w:r>
      <w:r w:rsidRPr="00D5126A">
        <w:rPr>
          <w:rFonts w:ascii="Arial" w:hAnsi="Arial" w:cs="Arial"/>
        </w:rPr>
        <w:t xml:space="preserve"> </w:t>
      </w:r>
      <w:r w:rsidR="006B024A" w:rsidRPr="00D5126A">
        <w:rPr>
          <w:rFonts w:ascii="Arial" w:hAnsi="Arial" w:cs="Arial"/>
        </w:rPr>
        <w:t>temporary artwork for the Town Hall hoarding in response to Te Matatini by Māori Artist, Reweti Arapere</w:t>
      </w:r>
    </w:p>
    <w:p w:rsidR="006B024A" w:rsidRPr="00D5126A" w:rsidRDefault="00642A42" w:rsidP="006837C4">
      <w:pPr>
        <w:pStyle w:val="ListParagraph"/>
        <w:numPr>
          <w:ilvl w:val="0"/>
          <w:numId w:val="6"/>
        </w:numPr>
        <w:rPr>
          <w:rFonts w:ascii="Arial" w:hAnsi="Arial" w:cs="Arial"/>
        </w:rPr>
      </w:pPr>
      <w:r>
        <w:rPr>
          <w:rFonts w:ascii="Arial" w:hAnsi="Arial" w:cs="Arial"/>
        </w:rPr>
        <w:t>a</w:t>
      </w:r>
      <w:r w:rsidRPr="00D5126A">
        <w:rPr>
          <w:rFonts w:ascii="Arial" w:hAnsi="Arial" w:cs="Arial"/>
        </w:rPr>
        <w:t xml:space="preserve"> </w:t>
      </w:r>
      <w:r w:rsidR="006B024A" w:rsidRPr="00D5126A">
        <w:rPr>
          <w:rFonts w:ascii="Arial" w:hAnsi="Arial" w:cs="Arial"/>
        </w:rPr>
        <w:t>community mural in Newtown by renowned Chilean muralist, Alfonso Pajarito</w:t>
      </w:r>
    </w:p>
    <w:p w:rsidR="006B024A" w:rsidRPr="00D5126A" w:rsidRDefault="00642A42" w:rsidP="006837C4">
      <w:pPr>
        <w:pStyle w:val="ListParagraph"/>
        <w:numPr>
          <w:ilvl w:val="0"/>
          <w:numId w:val="6"/>
        </w:numPr>
        <w:rPr>
          <w:rFonts w:ascii="Arial" w:hAnsi="Arial" w:cs="Arial"/>
        </w:rPr>
      </w:pPr>
      <w:r>
        <w:rPr>
          <w:rFonts w:ascii="Arial" w:hAnsi="Arial" w:cs="Arial"/>
        </w:rPr>
        <w:t>a</w:t>
      </w:r>
      <w:r w:rsidRPr="00D5126A">
        <w:rPr>
          <w:rFonts w:ascii="Arial" w:hAnsi="Arial" w:cs="Arial"/>
        </w:rPr>
        <w:t xml:space="preserve"> </w:t>
      </w:r>
      <w:r w:rsidR="006B024A" w:rsidRPr="00D5126A">
        <w:rPr>
          <w:rFonts w:ascii="Arial" w:hAnsi="Arial" w:cs="Arial"/>
        </w:rPr>
        <w:t>mural at the Linden Social Centre with students from Linden and Greenacres Schools by Ruth Roberson Taylor</w:t>
      </w:r>
    </w:p>
    <w:p w:rsidR="006B024A" w:rsidRPr="00D5126A" w:rsidRDefault="00642A42" w:rsidP="006837C4">
      <w:pPr>
        <w:pStyle w:val="ListParagraph"/>
        <w:numPr>
          <w:ilvl w:val="0"/>
          <w:numId w:val="6"/>
        </w:numPr>
        <w:rPr>
          <w:rFonts w:ascii="Arial" w:hAnsi="Arial" w:cs="Arial"/>
        </w:rPr>
      </w:pPr>
      <w:r>
        <w:rPr>
          <w:rFonts w:ascii="Arial" w:hAnsi="Arial" w:cs="Arial"/>
        </w:rPr>
        <w:t xml:space="preserve">a </w:t>
      </w:r>
      <w:r w:rsidR="006B024A" w:rsidRPr="00D5126A">
        <w:rPr>
          <w:rFonts w:ascii="Arial" w:hAnsi="Arial" w:cs="Arial"/>
        </w:rPr>
        <w:t>large-scale tribute mural</w:t>
      </w:r>
      <w:r>
        <w:rPr>
          <w:rFonts w:ascii="Arial" w:hAnsi="Arial" w:cs="Arial"/>
        </w:rPr>
        <w:t xml:space="preserve"> to</w:t>
      </w:r>
      <w:r w:rsidR="006B024A" w:rsidRPr="00D5126A">
        <w:rPr>
          <w:rFonts w:ascii="Arial" w:hAnsi="Arial" w:cs="Arial"/>
        </w:rPr>
        <w:t xml:space="preserve"> Rita Angus on the façade of the Dominion Building at Bond Street by Bruce Mahalski and Askew One</w:t>
      </w:r>
    </w:p>
    <w:p w:rsidR="006B024A" w:rsidRPr="00D5126A" w:rsidRDefault="00642A42" w:rsidP="006837C4">
      <w:pPr>
        <w:pStyle w:val="ListParagraph"/>
        <w:numPr>
          <w:ilvl w:val="0"/>
          <w:numId w:val="6"/>
        </w:numPr>
        <w:rPr>
          <w:rFonts w:ascii="Arial" w:hAnsi="Arial" w:cs="Arial"/>
        </w:rPr>
      </w:pPr>
      <w:r>
        <w:rPr>
          <w:rFonts w:ascii="Arial" w:hAnsi="Arial" w:cs="Arial"/>
        </w:rPr>
        <w:t>n</w:t>
      </w:r>
      <w:r w:rsidRPr="00D5126A">
        <w:rPr>
          <w:rFonts w:ascii="Arial" w:hAnsi="Arial" w:cs="Arial"/>
        </w:rPr>
        <w:t xml:space="preserve">ew </w:t>
      </w:r>
      <w:r w:rsidR="00251826" w:rsidRPr="00D5126A">
        <w:rPr>
          <w:rFonts w:ascii="Arial" w:hAnsi="Arial" w:cs="Arial"/>
        </w:rPr>
        <w:t>temporary public artworks for WAITUHI – a Matariki public art project by</w:t>
      </w:r>
      <w:r w:rsidR="00251826">
        <w:rPr>
          <w:rFonts w:ascii="Arial" w:hAnsi="Arial" w:cs="Arial"/>
        </w:rPr>
        <w:t xml:space="preserve"> Māori a</w:t>
      </w:r>
      <w:r w:rsidR="00251826" w:rsidRPr="00D5126A">
        <w:rPr>
          <w:rFonts w:ascii="Arial" w:hAnsi="Arial" w:cs="Arial"/>
        </w:rPr>
        <w:t>rtist</w:t>
      </w:r>
      <w:r w:rsidR="00251826">
        <w:rPr>
          <w:rFonts w:ascii="Arial" w:hAnsi="Arial" w:cs="Arial"/>
        </w:rPr>
        <w:t>s</w:t>
      </w:r>
      <w:r w:rsidR="00251826" w:rsidRPr="00D5126A">
        <w:rPr>
          <w:rFonts w:ascii="Arial" w:hAnsi="Arial" w:cs="Arial"/>
        </w:rPr>
        <w:t xml:space="preserve"> Maioha Kara and Matthew McIntyre</w:t>
      </w:r>
    </w:p>
    <w:p w:rsidR="006B024A" w:rsidRPr="00D5126A" w:rsidRDefault="006B024A" w:rsidP="00961FC5">
      <w:pPr>
        <w:pStyle w:val="Heading5"/>
      </w:pPr>
      <w:r w:rsidRPr="00D5126A">
        <w:t>Public art</w:t>
      </w:r>
    </w:p>
    <w:p w:rsidR="006B024A" w:rsidRPr="00D5126A" w:rsidRDefault="006B024A" w:rsidP="006B024A">
      <w:pPr>
        <w:rPr>
          <w:rFonts w:ascii="Arial" w:hAnsi="Arial" w:cs="Arial"/>
        </w:rPr>
      </w:pPr>
      <w:r w:rsidRPr="00D5126A">
        <w:rPr>
          <w:rFonts w:ascii="Arial" w:hAnsi="Arial" w:cs="Arial"/>
        </w:rPr>
        <w:t>This year has seen The Performance Arcade supporting more than 45 artists in creating 28 artworks for the February/March season</w:t>
      </w:r>
      <w:r w:rsidR="00642A42">
        <w:rPr>
          <w:rFonts w:ascii="Arial" w:hAnsi="Arial" w:cs="Arial"/>
        </w:rPr>
        <w:t>. A</w:t>
      </w:r>
      <w:r w:rsidRPr="00D5126A">
        <w:rPr>
          <w:rFonts w:ascii="Arial" w:hAnsi="Arial" w:cs="Arial"/>
        </w:rPr>
        <w:t xml:space="preserve">rtist Julian Priest </w:t>
      </w:r>
      <w:r w:rsidR="00642A42" w:rsidRPr="00D5126A">
        <w:rPr>
          <w:rFonts w:ascii="Arial" w:hAnsi="Arial" w:cs="Arial"/>
        </w:rPr>
        <w:t>sen</w:t>
      </w:r>
      <w:r w:rsidR="00642A42">
        <w:rPr>
          <w:rFonts w:ascii="Arial" w:hAnsi="Arial" w:cs="Arial"/>
        </w:rPr>
        <w:t>t</w:t>
      </w:r>
      <w:r w:rsidR="00642A42" w:rsidRPr="00D5126A">
        <w:rPr>
          <w:rFonts w:ascii="Arial" w:hAnsi="Arial" w:cs="Arial"/>
        </w:rPr>
        <w:t xml:space="preserve"> </w:t>
      </w:r>
      <w:r w:rsidRPr="00D5126A">
        <w:rPr>
          <w:rFonts w:ascii="Arial" w:hAnsi="Arial" w:cs="Arial"/>
        </w:rPr>
        <w:t xml:space="preserve">a satellite into low-earth orbit in conjunction with a public programme season at the Thomas King Observatory as part of his artist residency. </w:t>
      </w:r>
    </w:p>
    <w:p w:rsidR="006B024A" w:rsidRPr="00D5126A" w:rsidRDefault="006B024A" w:rsidP="006B024A">
      <w:pPr>
        <w:rPr>
          <w:rFonts w:ascii="Arial" w:hAnsi="Arial" w:cs="Arial"/>
        </w:rPr>
      </w:pPr>
      <w:r w:rsidRPr="00D5126A">
        <w:rPr>
          <w:rFonts w:ascii="Arial" w:hAnsi="Arial" w:cs="Arial"/>
        </w:rPr>
        <w:t>We’re also working with artists on large Council projects. Waitohi is commissioning Matthew McIntyre Wilson and Maureen Lander to create two artworks for the space</w:t>
      </w:r>
      <w:r w:rsidR="00642A42">
        <w:rPr>
          <w:rFonts w:ascii="Arial" w:hAnsi="Arial" w:cs="Arial"/>
        </w:rPr>
        <w:t>,</w:t>
      </w:r>
      <w:r w:rsidRPr="00D5126A">
        <w:rPr>
          <w:rFonts w:ascii="Arial" w:hAnsi="Arial" w:cs="Arial"/>
        </w:rPr>
        <w:t xml:space="preserve"> and artist Andrew Beck is working with the Urban Design team on the upcoming Swan and Garrett Laneway Upgrade.</w:t>
      </w:r>
    </w:p>
    <w:p w:rsidR="006B024A" w:rsidRPr="00D5126A" w:rsidRDefault="006B024A" w:rsidP="00961FC5">
      <w:pPr>
        <w:pStyle w:val="Heading5"/>
        <w:rPr>
          <w:rFonts w:eastAsia="Times New Roman"/>
          <w:lang w:eastAsia="en-NZ"/>
        </w:rPr>
      </w:pPr>
      <w:r w:rsidRPr="00D5126A">
        <w:rPr>
          <w:rFonts w:eastAsia="Times New Roman"/>
          <w:lang w:eastAsia="en-NZ"/>
        </w:rPr>
        <w:t>Toi Pōneke Arts Centre</w:t>
      </w:r>
    </w:p>
    <w:p w:rsidR="006B024A" w:rsidRPr="00D5126A" w:rsidRDefault="006B024A" w:rsidP="001244BB">
      <w:pPr>
        <w:spacing w:after="150" w:line="240" w:lineRule="auto"/>
        <w:rPr>
          <w:rFonts w:ascii="Arial" w:eastAsia="Times New Roman" w:hAnsi="Arial" w:cs="Arial"/>
        </w:rPr>
      </w:pPr>
      <w:r w:rsidRPr="00D5126A">
        <w:rPr>
          <w:rFonts w:ascii="Arial" w:eastAsia="Times New Roman" w:hAnsi="Arial" w:cs="Arial"/>
          <w:lang w:eastAsia="en-NZ"/>
        </w:rPr>
        <w:t xml:space="preserve">The programmes we supported covered visual art, dance, </w:t>
      </w:r>
      <w:proofErr w:type="gramStart"/>
      <w:r w:rsidRPr="00D5126A">
        <w:rPr>
          <w:rFonts w:ascii="Arial" w:eastAsia="Times New Roman" w:hAnsi="Arial" w:cs="Arial"/>
          <w:lang w:eastAsia="en-NZ"/>
        </w:rPr>
        <w:t>sound</w:t>
      </w:r>
      <w:proofErr w:type="gramEnd"/>
      <w:r w:rsidRPr="00D5126A">
        <w:rPr>
          <w:rFonts w:ascii="Arial" w:eastAsia="Times New Roman" w:hAnsi="Arial" w:cs="Arial"/>
          <w:lang w:eastAsia="en-NZ"/>
        </w:rPr>
        <w:t xml:space="preserve"> art and playwriting residencies. We hosted several artist talks and public programmes including our Seminar Programme – Professional Development and Business Skills for Artists. We delivered 13 exhibitions including an exhibition from our Wellington City Council’s City Art Collection, </w:t>
      </w:r>
      <w:r w:rsidRPr="00D5126A">
        <w:rPr>
          <w:rFonts w:ascii="Arial" w:eastAsia="Times New Roman" w:hAnsi="Arial" w:cs="Arial"/>
          <w:i/>
          <w:iCs/>
          <w:lang w:eastAsia="en-NZ"/>
        </w:rPr>
        <w:t>Haukāinga, True people/Home</w:t>
      </w:r>
      <w:r w:rsidRPr="00D5126A">
        <w:rPr>
          <w:rFonts w:ascii="Arial" w:eastAsia="Times New Roman" w:hAnsi="Arial" w:cs="Arial"/>
          <w:lang w:eastAsia="en-NZ"/>
        </w:rPr>
        <w:t xml:space="preserve"> opened by </w:t>
      </w:r>
      <w:r w:rsidRPr="00D5126A">
        <w:rPr>
          <w:rFonts w:ascii="Arial" w:eastAsia="Times New Roman" w:hAnsi="Arial" w:cs="Arial"/>
        </w:rPr>
        <w:t xml:space="preserve">Mayor Justin Lester. </w:t>
      </w:r>
    </w:p>
    <w:p w:rsidR="006B024A" w:rsidRPr="00D5126A" w:rsidRDefault="006B024A" w:rsidP="00961FC5">
      <w:pPr>
        <w:pStyle w:val="Heading5"/>
        <w:rPr>
          <w:rFonts w:eastAsia="Times New Roman"/>
          <w:lang w:eastAsia="en-NZ"/>
        </w:rPr>
      </w:pPr>
      <w:r w:rsidRPr="00D5126A">
        <w:rPr>
          <w:rFonts w:eastAsia="Times New Roman"/>
          <w:lang w:eastAsia="en-NZ"/>
        </w:rPr>
        <w:t>Arts Collection</w:t>
      </w:r>
    </w:p>
    <w:p w:rsidR="006B024A" w:rsidRPr="00D5126A" w:rsidRDefault="006B024A" w:rsidP="006B024A">
      <w:pPr>
        <w:rPr>
          <w:rFonts w:ascii="Arial" w:hAnsi="Arial" w:cs="Arial"/>
        </w:rPr>
      </w:pPr>
      <w:r w:rsidRPr="00D5126A">
        <w:rPr>
          <w:rFonts w:ascii="Arial" w:hAnsi="Arial" w:cs="Arial"/>
        </w:rPr>
        <w:t xml:space="preserve">We acquired 14 new artworks by local artists.  </w:t>
      </w:r>
      <w:r w:rsidR="00642A42">
        <w:rPr>
          <w:rFonts w:ascii="Arial" w:hAnsi="Arial" w:cs="Arial"/>
        </w:rPr>
        <w:t>The a</w:t>
      </w:r>
      <w:r w:rsidRPr="00D5126A">
        <w:rPr>
          <w:rFonts w:ascii="Arial" w:hAnsi="Arial" w:cs="Arial"/>
        </w:rPr>
        <w:t xml:space="preserve">rts </w:t>
      </w:r>
      <w:r w:rsidR="00642A42">
        <w:rPr>
          <w:rFonts w:ascii="Arial" w:hAnsi="Arial" w:cs="Arial"/>
        </w:rPr>
        <w:t>c</w:t>
      </w:r>
      <w:r w:rsidRPr="00D5126A">
        <w:rPr>
          <w:rFonts w:ascii="Arial" w:hAnsi="Arial" w:cs="Arial"/>
        </w:rPr>
        <w:t>ollection valuation increased in total value to $6</w:t>
      </w:r>
      <w:r w:rsidR="00642A42">
        <w:rPr>
          <w:rFonts w:ascii="Arial" w:hAnsi="Arial" w:cs="Arial"/>
        </w:rPr>
        <w:t xml:space="preserve"> </w:t>
      </w:r>
      <w:r w:rsidRPr="00D5126A">
        <w:rPr>
          <w:rFonts w:ascii="Arial" w:hAnsi="Arial" w:cs="Arial"/>
        </w:rPr>
        <w:t>million.</w:t>
      </w:r>
    </w:p>
    <w:p w:rsidR="006B024A" w:rsidRPr="00D5126A" w:rsidRDefault="006B024A" w:rsidP="006D54DC">
      <w:pPr>
        <w:pStyle w:val="Heading5"/>
        <w:rPr>
          <w:rFonts w:eastAsia="Arial"/>
        </w:rPr>
      </w:pPr>
      <w:bookmarkStart w:id="224" w:name="Cultural_wellbeing_finances"/>
      <w:bookmarkStart w:id="225" w:name="_Toc11915653"/>
      <w:bookmarkStart w:id="226" w:name="_Toc13211851"/>
      <w:bookmarkStart w:id="227" w:name="_Toc14178554"/>
      <w:r w:rsidRPr="00D5126A">
        <w:rPr>
          <w:rFonts w:eastAsia="Arial"/>
        </w:rPr>
        <w:t>Te Papa</w:t>
      </w:r>
    </w:p>
    <w:p w:rsidR="006B024A" w:rsidRPr="00D5126A" w:rsidRDefault="006B024A" w:rsidP="006B024A">
      <w:pPr>
        <w:rPr>
          <w:rFonts w:ascii="Arial" w:eastAsia="Arial" w:hAnsi="Arial"/>
        </w:rPr>
      </w:pPr>
      <w:r w:rsidRPr="00D5126A">
        <w:rPr>
          <w:rFonts w:ascii="Arial" w:eastAsia="Arial" w:hAnsi="Arial"/>
        </w:rPr>
        <w:t xml:space="preserve">The Council provides funding support to Te Papa as a key contributor to Wellington tourism, culture and economic wellbeing.  More than 1.5 million people visited the museum, with New </w:t>
      </w:r>
      <w:r w:rsidRPr="00D5126A">
        <w:rPr>
          <w:rFonts w:ascii="Arial" w:eastAsia="Arial" w:hAnsi="Arial"/>
        </w:rPr>
        <w:lastRenderedPageBreak/>
        <w:t xml:space="preserve">Zealanders from outside the Wellington region making up more than a quarter of visitors, and nearly half from overseas.  Numbers were highest from December through April, driven by cruise ship visits and the hugely successful </w:t>
      </w:r>
      <w:r w:rsidRPr="00D5126A">
        <w:rPr>
          <w:rFonts w:ascii="Arial" w:eastAsia="Arial" w:hAnsi="Arial"/>
          <w:i/>
        </w:rPr>
        <w:t>Terracotta Warriors</w:t>
      </w:r>
      <w:r w:rsidRPr="00D5126A">
        <w:rPr>
          <w:rFonts w:ascii="Arial" w:eastAsia="Arial" w:hAnsi="Arial"/>
        </w:rPr>
        <w:t xml:space="preserve"> exhibition.  Toi Art Gallery drew in over 50 percent of all museum visitors, and the </w:t>
      </w:r>
      <w:r w:rsidRPr="00D5126A">
        <w:rPr>
          <w:rFonts w:ascii="Arial" w:eastAsia="Arial" w:hAnsi="Arial"/>
          <w:i/>
        </w:rPr>
        <w:t>Gallipoli</w:t>
      </w:r>
      <w:r w:rsidRPr="00D5126A">
        <w:rPr>
          <w:rFonts w:ascii="Arial" w:eastAsia="Arial" w:hAnsi="Arial"/>
        </w:rPr>
        <w:t xml:space="preserve"> exhibition was extended for three more years due to </w:t>
      </w:r>
      <w:r w:rsidR="00642A42">
        <w:rPr>
          <w:rFonts w:ascii="Arial" w:eastAsia="Arial" w:hAnsi="Arial"/>
        </w:rPr>
        <w:t xml:space="preserve">its </w:t>
      </w:r>
      <w:r w:rsidRPr="00D5126A">
        <w:rPr>
          <w:rFonts w:ascii="Arial" w:eastAsia="Arial" w:hAnsi="Arial"/>
        </w:rPr>
        <w:t xml:space="preserve">ongoing popularity.  Te Papa’s $12 million renewal of the natural history exhibitions was completed in May 2019 with the opening of </w:t>
      </w:r>
      <w:r w:rsidRPr="00D5126A">
        <w:rPr>
          <w:rFonts w:ascii="Arial" w:eastAsia="Arial" w:hAnsi="Arial"/>
          <w:i/>
        </w:rPr>
        <w:t>Te Taiao | Nature</w:t>
      </w:r>
      <w:r w:rsidRPr="00D5126A">
        <w:rPr>
          <w:rFonts w:ascii="Arial" w:eastAsia="Arial" w:hAnsi="Arial"/>
        </w:rPr>
        <w:t xml:space="preserve">.  </w:t>
      </w:r>
    </w:p>
    <w:p w:rsidR="006B024A" w:rsidRPr="00D5126A" w:rsidRDefault="006B024A" w:rsidP="006D54DC">
      <w:pPr>
        <w:pStyle w:val="Heading5"/>
        <w:rPr>
          <w:rFonts w:eastAsia="Times New Roman"/>
        </w:rPr>
      </w:pPr>
      <w:r w:rsidRPr="00D5126A">
        <w:rPr>
          <w:rFonts w:eastAsia="Times New Roman"/>
        </w:rPr>
        <w:t xml:space="preserve">Wellington Museums Trust </w:t>
      </w:r>
    </w:p>
    <w:p w:rsidR="006B024A" w:rsidRPr="00D5126A" w:rsidRDefault="006B024A" w:rsidP="006B024A">
      <w:pPr>
        <w:rPr>
          <w:rFonts w:ascii="Arial" w:eastAsia="Times New Roman" w:hAnsi="Arial"/>
        </w:rPr>
      </w:pPr>
      <w:r w:rsidRPr="00D5126A">
        <w:rPr>
          <w:rFonts w:ascii="Arial" w:eastAsia="Times New Roman" w:hAnsi="Arial"/>
        </w:rPr>
        <w:t xml:space="preserve">The Museums Trust trades as Experience Wellington. It exceeded its total annual visitor target for four of its six venues – Wellington Museum, Cable Car Museum, Nairn Street Cottage and Space Place. </w:t>
      </w:r>
      <w:r w:rsidR="001244BB" w:rsidRPr="00D5126A">
        <w:rPr>
          <w:rFonts w:ascii="Arial" w:eastAsia="Times New Roman" w:hAnsi="Arial"/>
        </w:rPr>
        <w:t xml:space="preserve">The City Gallery fell short of target by 16,324 visitors, likely because of the closure of other buildings in Te Ngākau Civic Square. Capital E fell short of </w:t>
      </w:r>
      <w:r w:rsidR="00642A42">
        <w:rPr>
          <w:rFonts w:ascii="Arial" w:eastAsia="Times New Roman" w:hAnsi="Arial"/>
        </w:rPr>
        <w:t xml:space="preserve">its </w:t>
      </w:r>
      <w:r w:rsidR="001244BB" w:rsidRPr="00D5126A">
        <w:rPr>
          <w:rFonts w:ascii="Arial" w:eastAsia="Times New Roman" w:hAnsi="Arial"/>
        </w:rPr>
        <w:t xml:space="preserve">target by 20,485 visitors due to the cancellation of the LUX Light Festival, which normally brings about 30,000 people. </w:t>
      </w:r>
      <w:r w:rsidRPr="00D5126A">
        <w:rPr>
          <w:rFonts w:ascii="Arial" w:eastAsia="Times New Roman" w:hAnsi="Arial"/>
        </w:rPr>
        <w:t xml:space="preserve">Altogether, the six venues greeted 770,320 visitors, well above the target of 753,500. Successes include an increase in the </w:t>
      </w:r>
      <w:proofErr w:type="gramStart"/>
      <w:r w:rsidRPr="00D5126A">
        <w:rPr>
          <w:rFonts w:ascii="Arial" w:eastAsia="Times New Roman" w:hAnsi="Arial"/>
        </w:rPr>
        <w:t>te</w:t>
      </w:r>
      <w:proofErr w:type="gramEnd"/>
      <w:r w:rsidRPr="00D5126A">
        <w:rPr>
          <w:rFonts w:ascii="Arial" w:eastAsia="Times New Roman" w:hAnsi="Arial"/>
        </w:rPr>
        <w:t xml:space="preserve"> reo Māori events and exhibitions, including several for Matariki. </w:t>
      </w:r>
    </w:p>
    <w:p w:rsidR="006B024A" w:rsidRPr="00D5126A" w:rsidRDefault="006B024A" w:rsidP="006B024A">
      <w:pPr>
        <w:rPr>
          <w:rFonts w:ascii="Arial" w:eastAsia="Times New Roman" w:hAnsi="Arial"/>
        </w:rPr>
      </w:pPr>
      <w:r w:rsidRPr="00D5126A">
        <w:rPr>
          <w:rFonts w:ascii="Arial" w:eastAsia="Times New Roman" w:hAnsi="Arial"/>
        </w:rPr>
        <w:t xml:space="preserve">Staff also participated in the wānanga at Hongoeka Marae at a workshop on their commitment to Te Tiriti o Waitangi and the </w:t>
      </w:r>
      <w:r w:rsidR="00642A42">
        <w:rPr>
          <w:rFonts w:ascii="Arial" w:eastAsia="Times New Roman" w:hAnsi="Arial"/>
        </w:rPr>
        <w:t>T</w:t>
      </w:r>
      <w:r w:rsidR="00642A42" w:rsidRPr="00D5126A">
        <w:rPr>
          <w:rFonts w:ascii="Arial" w:eastAsia="Times New Roman" w:hAnsi="Arial"/>
        </w:rPr>
        <w:t xml:space="preserve">rust’s </w:t>
      </w:r>
      <w:r w:rsidRPr="00D5126A">
        <w:rPr>
          <w:rFonts w:ascii="Arial" w:eastAsia="Times New Roman" w:hAnsi="Arial"/>
        </w:rPr>
        <w:t xml:space="preserve">10-year goal to embrace </w:t>
      </w:r>
      <w:proofErr w:type="gramStart"/>
      <w:r w:rsidRPr="00D5126A">
        <w:rPr>
          <w:rFonts w:ascii="Arial" w:eastAsia="Times New Roman" w:hAnsi="Arial"/>
        </w:rPr>
        <w:t>te</w:t>
      </w:r>
      <w:proofErr w:type="gramEnd"/>
      <w:r w:rsidRPr="00D5126A">
        <w:rPr>
          <w:rFonts w:ascii="Arial" w:eastAsia="Times New Roman" w:hAnsi="Arial"/>
        </w:rPr>
        <w:t xml:space="preserve"> Ao Māori. There was also a significant uptake in </w:t>
      </w:r>
      <w:proofErr w:type="gramStart"/>
      <w:r w:rsidRPr="00D5126A">
        <w:rPr>
          <w:rFonts w:ascii="Arial" w:eastAsia="Times New Roman" w:hAnsi="Arial"/>
        </w:rPr>
        <w:t>te</w:t>
      </w:r>
      <w:proofErr w:type="gramEnd"/>
      <w:r w:rsidRPr="00D5126A">
        <w:rPr>
          <w:rFonts w:ascii="Arial" w:eastAsia="Times New Roman" w:hAnsi="Arial"/>
        </w:rPr>
        <w:t xml:space="preserve"> reo Māori learning, with 45</w:t>
      </w:r>
      <w:r w:rsidR="00642A42">
        <w:rPr>
          <w:rFonts w:ascii="Arial" w:eastAsia="Times New Roman" w:hAnsi="Arial"/>
        </w:rPr>
        <w:t xml:space="preserve"> percent</w:t>
      </w:r>
      <w:r w:rsidR="00642A42" w:rsidRPr="00D5126A">
        <w:rPr>
          <w:rFonts w:ascii="Arial" w:eastAsia="Times New Roman" w:hAnsi="Arial"/>
        </w:rPr>
        <w:t xml:space="preserve"> </w:t>
      </w:r>
      <w:r w:rsidRPr="00D5126A">
        <w:rPr>
          <w:rFonts w:ascii="Arial" w:eastAsia="Times New Roman" w:hAnsi="Arial"/>
        </w:rPr>
        <w:t xml:space="preserve">of the </w:t>
      </w:r>
      <w:r w:rsidR="00642A42">
        <w:rPr>
          <w:rFonts w:ascii="Arial" w:eastAsia="Times New Roman" w:hAnsi="Arial"/>
        </w:rPr>
        <w:t>T</w:t>
      </w:r>
      <w:r w:rsidR="00642A42" w:rsidRPr="00D5126A">
        <w:rPr>
          <w:rFonts w:ascii="Arial" w:eastAsia="Times New Roman" w:hAnsi="Arial"/>
        </w:rPr>
        <w:t xml:space="preserve">rust’s </w:t>
      </w:r>
      <w:r w:rsidRPr="00D5126A">
        <w:rPr>
          <w:rFonts w:ascii="Arial" w:eastAsia="Times New Roman" w:hAnsi="Arial"/>
        </w:rPr>
        <w:t>staff completing a course during the year.</w:t>
      </w:r>
    </w:p>
    <w:p w:rsidR="006B024A" w:rsidRPr="00D5126A" w:rsidRDefault="006B024A" w:rsidP="006B024A">
      <w:pPr>
        <w:rPr>
          <w:rFonts w:ascii="Arial" w:eastAsia="Times New Roman" w:hAnsi="Arial"/>
        </w:rPr>
      </w:pPr>
      <w:r w:rsidRPr="00D5126A">
        <w:rPr>
          <w:rFonts w:ascii="Arial" w:eastAsia="Times New Roman" w:hAnsi="Arial"/>
        </w:rPr>
        <w:t xml:space="preserve">The </w:t>
      </w:r>
      <w:r w:rsidR="00642A42">
        <w:rPr>
          <w:rFonts w:ascii="Arial" w:eastAsia="Times New Roman" w:hAnsi="Arial"/>
        </w:rPr>
        <w:t>T</w:t>
      </w:r>
      <w:r w:rsidR="00642A42" w:rsidRPr="00D5126A">
        <w:rPr>
          <w:rFonts w:ascii="Arial" w:eastAsia="Times New Roman" w:hAnsi="Arial"/>
        </w:rPr>
        <w:t>rust</w:t>
      </w:r>
      <w:r w:rsidR="00642A42">
        <w:rPr>
          <w:rFonts w:ascii="Arial" w:eastAsia="Times New Roman" w:hAnsi="Arial"/>
        </w:rPr>
        <w:t>:</w:t>
      </w:r>
      <w:r w:rsidR="00642A42" w:rsidRPr="00D5126A">
        <w:rPr>
          <w:rFonts w:ascii="Arial" w:eastAsia="Times New Roman" w:hAnsi="Arial"/>
        </w:rPr>
        <w:t xml:space="preserve"> </w:t>
      </w:r>
      <w:r w:rsidRPr="00D5126A">
        <w:rPr>
          <w:rFonts w:ascii="Arial" w:eastAsia="Times New Roman" w:hAnsi="Arial"/>
        </w:rPr>
        <w:t>delivered 564 experiences including 25 exhibitions</w:t>
      </w:r>
      <w:r w:rsidR="00642A42">
        <w:rPr>
          <w:rFonts w:ascii="Arial" w:eastAsia="Times New Roman" w:hAnsi="Arial"/>
        </w:rPr>
        <w:t xml:space="preserve"> and</w:t>
      </w:r>
      <w:r w:rsidR="00642A42" w:rsidRPr="00D5126A">
        <w:rPr>
          <w:rFonts w:ascii="Arial" w:eastAsia="Times New Roman" w:hAnsi="Arial"/>
        </w:rPr>
        <w:t xml:space="preserve"> </w:t>
      </w:r>
      <w:r w:rsidRPr="00D5126A">
        <w:rPr>
          <w:rFonts w:ascii="Arial" w:eastAsia="Times New Roman" w:hAnsi="Arial"/>
        </w:rPr>
        <w:t>17 theatre shows, four of which went on national tours, and three exhibitions toured to other New Zealand cities and towns; produced four publications; and presented more than 500 events and public programmes.</w:t>
      </w:r>
    </w:p>
    <w:p w:rsidR="006B024A" w:rsidRPr="00D5126A" w:rsidRDefault="006B024A" w:rsidP="006B024A">
      <w:pPr>
        <w:rPr>
          <w:rFonts w:ascii="Arial" w:eastAsia="Times New Roman" w:hAnsi="Arial"/>
        </w:rPr>
      </w:pPr>
      <w:r w:rsidRPr="00D5126A">
        <w:rPr>
          <w:rFonts w:ascii="Arial" w:eastAsia="Times New Roman" w:hAnsi="Arial"/>
        </w:rPr>
        <w:t xml:space="preserve">It opened the 9th Capital E National Arts Festival with the premier of Te Kuia me </w:t>
      </w:r>
      <w:proofErr w:type="gramStart"/>
      <w:r w:rsidRPr="00D5126A">
        <w:rPr>
          <w:rFonts w:ascii="Arial" w:eastAsia="Times New Roman" w:hAnsi="Arial"/>
        </w:rPr>
        <w:t>te</w:t>
      </w:r>
      <w:proofErr w:type="gramEnd"/>
      <w:r w:rsidRPr="00D5126A">
        <w:rPr>
          <w:rFonts w:ascii="Arial" w:eastAsia="Times New Roman" w:hAnsi="Arial"/>
        </w:rPr>
        <w:t xml:space="preserve"> Pūngāwerewere (The Kuia and the Spider), a full te reo Māori co-production with Taki Rua Theatre Company. The Festival sold more than 40,000 tickets to 11 shows representing Denmark, Australia and Japan</w:t>
      </w:r>
      <w:r w:rsidR="00642A42">
        <w:rPr>
          <w:rFonts w:ascii="Arial" w:eastAsia="Times New Roman" w:hAnsi="Arial"/>
        </w:rPr>
        <w:t>,</w:t>
      </w:r>
      <w:r w:rsidRPr="00D5126A">
        <w:rPr>
          <w:rFonts w:ascii="Arial" w:eastAsia="Times New Roman" w:hAnsi="Arial"/>
        </w:rPr>
        <w:t xml:space="preserve"> as well as New Zealand.</w:t>
      </w:r>
    </w:p>
    <w:p w:rsidR="006B024A" w:rsidRPr="00D5126A" w:rsidRDefault="006B024A" w:rsidP="006B024A">
      <w:pPr>
        <w:rPr>
          <w:rFonts w:ascii="Arial" w:eastAsia="Times New Roman" w:hAnsi="Arial"/>
        </w:rPr>
      </w:pPr>
      <w:r w:rsidRPr="00D5126A">
        <w:rPr>
          <w:rFonts w:ascii="Arial" w:eastAsia="Times New Roman" w:hAnsi="Arial"/>
        </w:rPr>
        <w:t>Makers came from far and wide to Wellington for New Zealand Aotearoa’s inaugural Maker Faire. More than 3000 people filled Shed 6 to experience everything from basket-weaving and robotics, to quilting and coding.</w:t>
      </w:r>
    </w:p>
    <w:p w:rsidR="006B024A" w:rsidRPr="00D5126A" w:rsidRDefault="006B024A" w:rsidP="006B024A">
      <w:pPr>
        <w:rPr>
          <w:rFonts w:ascii="Arial" w:eastAsia="Times New Roman" w:hAnsi="Arial"/>
        </w:rPr>
      </w:pPr>
      <w:r w:rsidRPr="00D5126A">
        <w:rPr>
          <w:rFonts w:ascii="Arial" w:eastAsia="Times New Roman" w:hAnsi="Arial"/>
        </w:rPr>
        <w:t xml:space="preserve">Three Family Days were held at </w:t>
      </w:r>
      <w:r w:rsidR="00642A42">
        <w:rPr>
          <w:rFonts w:ascii="Arial" w:eastAsia="Times New Roman" w:hAnsi="Arial"/>
        </w:rPr>
        <w:t xml:space="preserve">the </w:t>
      </w:r>
      <w:r w:rsidRPr="00D5126A">
        <w:rPr>
          <w:rFonts w:ascii="Arial" w:eastAsia="Times New Roman" w:hAnsi="Arial"/>
        </w:rPr>
        <w:t>City Gallery during three school holidays</w:t>
      </w:r>
      <w:r w:rsidR="001B4839">
        <w:rPr>
          <w:rFonts w:ascii="Arial" w:eastAsia="Times New Roman" w:hAnsi="Arial"/>
        </w:rPr>
        <w:t>,</w:t>
      </w:r>
      <w:r w:rsidRPr="00D5126A">
        <w:rPr>
          <w:rFonts w:ascii="Arial" w:eastAsia="Times New Roman" w:hAnsi="Arial"/>
        </w:rPr>
        <w:t xml:space="preserve"> with drop-in activities for the whole whanau inspired by the exhibitions on show. An international exhibition double feature was held: Eva Rothschild: Kosmos (6 April – 28 July 2019) and Semiconductor: The Technological Sublime (23 March – 14 July 2019).</w:t>
      </w:r>
    </w:p>
    <w:p w:rsidR="006B024A" w:rsidRPr="00D5126A" w:rsidRDefault="006B024A" w:rsidP="006B024A">
      <w:pPr>
        <w:rPr>
          <w:rFonts w:ascii="Arial" w:eastAsia="Times New Roman" w:hAnsi="Arial"/>
        </w:rPr>
      </w:pPr>
      <w:r w:rsidRPr="00D5126A">
        <w:rPr>
          <w:rFonts w:ascii="Arial" w:eastAsia="Times New Roman" w:hAnsi="Arial"/>
        </w:rPr>
        <w:t>Wellington Museum celebrated Suffrage 125 by working with Vinnies Re Sew and Voice Arts for the Suffrage in Stitches project</w:t>
      </w:r>
      <w:r w:rsidR="001B4839">
        <w:rPr>
          <w:rFonts w:ascii="Arial" w:eastAsia="Times New Roman" w:hAnsi="Arial"/>
        </w:rPr>
        <w:t>,</w:t>
      </w:r>
      <w:r w:rsidRPr="00D5126A">
        <w:rPr>
          <w:rFonts w:ascii="Arial" w:eastAsia="Times New Roman" w:hAnsi="Arial"/>
        </w:rPr>
        <w:t xml:space="preserve"> which has re-created and re-worked the Suffrage Petition in fabric and stitches.</w:t>
      </w:r>
    </w:p>
    <w:p w:rsidR="006B024A" w:rsidRPr="00D5126A" w:rsidRDefault="006B024A" w:rsidP="006B024A">
      <w:pPr>
        <w:rPr>
          <w:rFonts w:ascii="Arial" w:hAnsi="Arial" w:cs="Arial"/>
        </w:rPr>
        <w:sectPr w:rsidR="006B024A" w:rsidRPr="00D5126A" w:rsidSect="006B024A">
          <w:pgSz w:w="11906" w:h="16838"/>
          <w:pgMar w:top="1134" w:right="1416" w:bottom="1135" w:left="1418" w:header="709" w:footer="709" w:gutter="0"/>
          <w:cols w:space="708"/>
          <w:docGrid w:linePitch="360"/>
        </w:sectPr>
      </w:pPr>
    </w:p>
    <w:p w:rsidR="006B024A" w:rsidRPr="00297C6D" w:rsidRDefault="006B024A" w:rsidP="00AA2122">
      <w:pPr>
        <w:pStyle w:val="Heading3"/>
        <w:rPr>
          <w:color w:val="FF0066"/>
        </w:rPr>
      </w:pPr>
      <w:bookmarkStart w:id="228" w:name="_Toc19085837"/>
      <w:r w:rsidRPr="00297C6D">
        <w:rPr>
          <w:color w:val="FF0066"/>
        </w:rPr>
        <w:lastRenderedPageBreak/>
        <w:t>Cultural wellbeing finances</w:t>
      </w:r>
      <w:bookmarkEnd w:id="224"/>
      <w:bookmarkEnd w:id="225"/>
      <w:bookmarkEnd w:id="226"/>
      <w:bookmarkEnd w:id="227"/>
      <w:bookmarkEnd w:id="228"/>
    </w:p>
    <w:p w:rsidR="006B024A" w:rsidRPr="00D5126A" w:rsidRDefault="006B024A" w:rsidP="00961FC5">
      <w:pPr>
        <w:pStyle w:val="Heading5"/>
      </w:pPr>
      <w:r w:rsidRPr="00D5126A">
        <w:t>How it was funded</w:t>
      </w:r>
    </w:p>
    <w:p w:rsidR="006B024A" w:rsidRDefault="006B024A" w:rsidP="006B024A">
      <w:pPr>
        <w:pStyle w:val="Para003"/>
        <w:spacing w:before="240" w:line="240" w:lineRule="auto"/>
        <w:rPr>
          <w:rFonts w:ascii="Arial" w:hAnsi="Arial" w:cs="Arial"/>
        </w:rPr>
      </w:pPr>
      <w:r w:rsidRPr="00D5126A">
        <w:rPr>
          <w:rFonts w:ascii="Arial" w:hAnsi="Arial" w:cs="Arial"/>
        </w:rPr>
        <w:t>Services in this activity area are funded through a mixture of general and targeted rates and external grants and subsidies from non-Council sources.</w:t>
      </w:r>
    </w:p>
    <w:p w:rsidR="00F5446D" w:rsidRPr="00D5126A" w:rsidRDefault="00F5446D" w:rsidP="00F5446D">
      <w:pPr>
        <w:pStyle w:val="Para003"/>
        <w:spacing w:before="240" w:line="240" w:lineRule="auto"/>
        <w:rPr>
          <w:rFonts w:ascii="Arial" w:hAnsi="Arial" w:cs="Arial"/>
        </w:rPr>
      </w:pPr>
      <w:r w:rsidRPr="00D5126A">
        <w:rPr>
          <w:rFonts w:ascii="Arial" w:hAnsi="Arial" w:cs="Arial"/>
        </w:rPr>
        <w:t>Detaile</w:t>
      </w:r>
      <w:r>
        <w:rPr>
          <w:rFonts w:ascii="Arial" w:hAnsi="Arial" w:cs="Arial"/>
        </w:rPr>
        <w:t xml:space="preserve">d information on funding on </w:t>
      </w:r>
      <w:r w:rsidRPr="00E27622">
        <w:rPr>
          <w:rFonts w:ascii="Arial" w:hAnsi="Arial" w:cs="Arial"/>
        </w:rPr>
        <w:t xml:space="preserve">pg </w:t>
      </w:r>
      <w:r w:rsidR="00E27622">
        <w:rPr>
          <w:rFonts w:ascii="Arial" w:hAnsi="Arial" w:cs="Arial"/>
        </w:rPr>
        <w:t>328</w:t>
      </w:r>
      <w:r w:rsidRPr="00D5126A">
        <w:rPr>
          <w:rFonts w:ascii="Arial" w:hAnsi="Arial" w:cs="Arial"/>
        </w:rPr>
        <w:t xml:space="preserve"> of </w:t>
      </w:r>
      <w:r>
        <w:rPr>
          <w:rFonts w:ascii="Arial" w:hAnsi="Arial" w:cs="Arial"/>
        </w:rPr>
        <w:t xml:space="preserve">Section 5: </w:t>
      </w:r>
      <w:r w:rsidRPr="00D5126A">
        <w:rPr>
          <w:rFonts w:ascii="Arial" w:hAnsi="Arial" w:cs="Arial"/>
        </w:rPr>
        <w:t xml:space="preserve">Financial </w:t>
      </w:r>
      <w:r>
        <w:rPr>
          <w:rFonts w:ascii="Arial" w:hAnsi="Arial" w:cs="Arial"/>
        </w:rPr>
        <w:t xml:space="preserve">Statements </w:t>
      </w:r>
      <w:r w:rsidRPr="00D5126A">
        <w:rPr>
          <w:rFonts w:ascii="Arial" w:hAnsi="Arial" w:cs="Arial"/>
        </w:rPr>
        <w:t>section.</w:t>
      </w:r>
    </w:p>
    <w:p w:rsidR="006B024A" w:rsidRPr="00297C6D" w:rsidRDefault="006B024A" w:rsidP="00846C1B">
      <w:pPr>
        <w:pStyle w:val="Heading4"/>
        <w:rPr>
          <w:color w:val="FF0066"/>
        </w:rPr>
      </w:pPr>
      <w:r w:rsidRPr="00297C6D">
        <w:rPr>
          <w:color w:val="FF0066"/>
        </w:rPr>
        <w:t>What it cost (operating expenditure $000)</w:t>
      </w:r>
    </w:p>
    <w:tbl>
      <w:tblPr>
        <w:tblW w:w="14049" w:type="dxa"/>
        <w:tblInd w:w="93" w:type="dxa"/>
        <w:tblBorders>
          <w:top w:val="single" w:sz="4" w:space="0" w:color="FF3399"/>
          <w:bottom w:val="single" w:sz="4" w:space="0" w:color="FF3399"/>
          <w:insideH w:val="single" w:sz="4" w:space="0" w:color="FF3399"/>
          <w:insideV w:val="single" w:sz="4" w:space="0" w:color="FF3399"/>
        </w:tblBorders>
        <w:tblLook w:val="04A0" w:firstRow="1" w:lastRow="0" w:firstColumn="1" w:lastColumn="0" w:noHBand="0" w:noVBand="1"/>
      </w:tblPr>
      <w:tblGrid>
        <w:gridCol w:w="4540"/>
        <w:gridCol w:w="1180"/>
        <w:gridCol w:w="1200"/>
        <w:gridCol w:w="1200"/>
        <w:gridCol w:w="1200"/>
        <w:gridCol w:w="1200"/>
        <w:gridCol w:w="3529"/>
      </w:tblGrid>
      <w:tr w:rsidR="0097544C" w:rsidRPr="001244BB" w:rsidTr="00297C6D">
        <w:trPr>
          <w:trHeight w:val="296"/>
        </w:trPr>
        <w:tc>
          <w:tcPr>
            <w:tcW w:w="4540" w:type="dxa"/>
            <w:tcBorders>
              <w:right w:val="single" w:sz="4" w:space="0" w:color="FFFFFF" w:themeColor="background1"/>
            </w:tcBorders>
            <w:shd w:val="clear" w:color="auto" w:fill="FF3399"/>
            <w:noWrap/>
            <w:vAlign w:val="bottom"/>
            <w:hideMark/>
          </w:tcPr>
          <w:p w:rsidR="0097544C" w:rsidRPr="001B5165" w:rsidRDefault="0097544C" w:rsidP="001B5165">
            <w:pPr>
              <w:spacing w:after="0" w:line="240" w:lineRule="auto"/>
              <w:rPr>
                <w:rFonts w:ascii="Arial" w:eastAsia="Times New Roman" w:hAnsi="Arial" w:cs="Arial"/>
                <w:b/>
                <w:color w:val="FFFFFF" w:themeColor="background1"/>
                <w:szCs w:val="24"/>
                <w:lang w:eastAsia="en-NZ"/>
              </w:rPr>
            </w:pPr>
            <w:r w:rsidRPr="001244BB">
              <w:rPr>
                <w:rFonts w:ascii="Arial" w:eastAsia="Times New Roman" w:hAnsi="Arial" w:cs="Arial"/>
                <w:color w:val="FFFFFF" w:themeColor="background1"/>
                <w:szCs w:val="24"/>
                <w:lang w:eastAsia="en-NZ"/>
              </w:rPr>
              <w:t> </w:t>
            </w:r>
            <w:r w:rsidR="001B5165" w:rsidRPr="001B5165">
              <w:rPr>
                <w:rFonts w:ascii="Arial" w:eastAsia="Times New Roman" w:hAnsi="Arial" w:cs="Arial"/>
                <w:b/>
                <w:color w:val="FFFFFF" w:themeColor="background1"/>
                <w:szCs w:val="24"/>
                <w:lang w:eastAsia="en-NZ"/>
              </w:rPr>
              <w:t>Cultural Wellbeing</w:t>
            </w:r>
          </w:p>
        </w:tc>
        <w:tc>
          <w:tcPr>
            <w:tcW w:w="1180" w:type="dxa"/>
            <w:tcBorders>
              <w:left w:val="single" w:sz="4" w:space="0" w:color="FFFFFF" w:themeColor="background1"/>
              <w:right w:val="single" w:sz="4" w:space="0" w:color="FFFFFF" w:themeColor="background1"/>
            </w:tcBorders>
            <w:shd w:val="clear" w:color="auto" w:fill="FF3399"/>
            <w:vAlign w:val="bottom"/>
            <w:hideMark/>
          </w:tcPr>
          <w:p w:rsidR="0097544C" w:rsidRPr="001244BB" w:rsidRDefault="0097544C" w:rsidP="00B34E92">
            <w:pPr>
              <w:spacing w:after="0" w:line="240" w:lineRule="auto"/>
              <w:jc w:val="center"/>
              <w:rPr>
                <w:rFonts w:ascii="Arial" w:eastAsia="Times New Roman" w:hAnsi="Arial" w:cs="Arial"/>
                <w:b/>
                <w:bCs/>
                <w:color w:val="FFFFFF" w:themeColor="background1"/>
                <w:sz w:val="20"/>
                <w:lang w:eastAsia="en-NZ"/>
              </w:rPr>
            </w:pPr>
            <w:r w:rsidRPr="001244BB">
              <w:rPr>
                <w:rFonts w:ascii="Arial" w:eastAsia="Times New Roman" w:hAnsi="Arial" w:cs="Arial"/>
                <w:b/>
                <w:bCs/>
                <w:color w:val="FFFFFF" w:themeColor="background1"/>
                <w:sz w:val="20"/>
                <w:lang w:eastAsia="en-NZ"/>
              </w:rPr>
              <w:t xml:space="preserve">2016/17 </w:t>
            </w:r>
            <w:r w:rsidRPr="001244BB">
              <w:rPr>
                <w:rFonts w:ascii="Arial" w:eastAsia="Times New Roman" w:hAnsi="Arial" w:cs="Arial"/>
                <w:b/>
                <w:bCs/>
                <w:color w:val="FFFFFF" w:themeColor="background1"/>
                <w:sz w:val="20"/>
                <w:lang w:eastAsia="en-NZ"/>
              </w:rPr>
              <w:br/>
              <w:t>Actual)</w:t>
            </w:r>
          </w:p>
        </w:tc>
        <w:tc>
          <w:tcPr>
            <w:tcW w:w="1200" w:type="dxa"/>
            <w:tcBorders>
              <w:left w:val="single" w:sz="4" w:space="0" w:color="FFFFFF" w:themeColor="background1"/>
              <w:right w:val="single" w:sz="4" w:space="0" w:color="FFFFFF" w:themeColor="background1"/>
            </w:tcBorders>
            <w:shd w:val="clear" w:color="auto" w:fill="FF3399"/>
            <w:vAlign w:val="bottom"/>
            <w:hideMark/>
          </w:tcPr>
          <w:p w:rsidR="0097544C" w:rsidRPr="001244BB" w:rsidRDefault="0097544C" w:rsidP="00B34E92">
            <w:pPr>
              <w:spacing w:after="0" w:line="240" w:lineRule="auto"/>
              <w:jc w:val="center"/>
              <w:rPr>
                <w:rFonts w:ascii="Arial" w:eastAsia="Times New Roman" w:hAnsi="Arial" w:cs="Arial"/>
                <w:b/>
                <w:bCs/>
                <w:color w:val="FFFFFF" w:themeColor="background1"/>
                <w:sz w:val="20"/>
                <w:lang w:eastAsia="en-NZ"/>
              </w:rPr>
            </w:pPr>
            <w:r w:rsidRPr="001244BB">
              <w:rPr>
                <w:rFonts w:ascii="Arial" w:eastAsia="Times New Roman" w:hAnsi="Arial" w:cs="Arial"/>
                <w:b/>
                <w:bCs/>
                <w:color w:val="FFFFFF" w:themeColor="background1"/>
                <w:sz w:val="20"/>
                <w:lang w:eastAsia="en-NZ"/>
              </w:rPr>
              <w:t xml:space="preserve">2017/18 </w:t>
            </w:r>
            <w:r w:rsidRPr="001244BB">
              <w:rPr>
                <w:rFonts w:ascii="Arial" w:eastAsia="Times New Roman" w:hAnsi="Arial" w:cs="Arial"/>
                <w:b/>
                <w:bCs/>
                <w:color w:val="FFFFFF" w:themeColor="background1"/>
                <w:sz w:val="20"/>
                <w:lang w:eastAsia="en-NZ"/>
              </w:rPr>
              <w:br/>
              <w:t xml:space="preserve">Actual </w:t>
            </w:r>
          </w:p>
        </w:tc>
        <w:tc>
          <w:tcPr>
            <w:tcW w:w="1200" w:type="dxa"/>
            <w:tcBorders>
              <w:left w:val="single" w:sz="4" w:space="0" w:color="FFFFFF" w:themeColor="background1"/>
              <w:right w:val="single" w:sz="4" w:space="0" w:color="FFFFFF" w:themeColor="background1"/>
            </w:tcBorders>
            <w:shd w:val="clear" w:color="auto" w:fill="FF3399"/>
            <w:vAlign w:val="bottom"/>
            <w:hideMark/>
          </w:tcPr>
          <w:p w:rsidR="0097544C" w:rsidRPr="001244BB" w:rsidRDefault="00060BB3" w:rsidP="00B34E92">
            <w:pPr>
              <w:spacing w:after="0" w:line="240" w:lineRule="auto"/>
              <w:jc w:val="center"/>
              <w:rPr>
                <w:rFonts w:ascii="Arial" w:eastAsia="Times New Roman" w:hAnsi="Arial" w:cs="Arial"/>
                <w:b/>
                <w:bCs/>
                <w:color w:val="FFFFFF" w:themeColor="background1"/>
                <w:sz w:val="20"/>
                <w:lang w:eastAsia="en-NZ"/>
              </w:rPr>
            </w:pPr>
            <w:r>
              <w:rPr>
                <w:rFonts w:ascii="Arial" w:eastAsia="Times New Roman" w:hAnsi="Arial" w:cs="Arial"/>
                <w:b/>
                <w:bCs/>
                <w:color w:val="FFFFFF" w:themeColor="background1"/>
                <w:sz w:val="20"/>
                <w:lang w:eastAsia="en-NZ"/>
              </w:rPr>
              <w:t xml:space="preserve">2018/19 </w:t>
            </w:r>
            <w:r>
              <w:rPr>
                <w:rFonts w:ascii="Arial" w:eastAsia="Times New Roman" w:hAnsi="Arial" w:cs="Arial"/>
                <w:b/>
                <w:bCs/>
                <w:color w:val="FFFFFF" w:themeColor="background1"/>
                <w:sz w:val="20"/>
                <w:lang w:eastAsia="en-NZ"/>
              </w:rPr>
              <w:br/>
              <w:t>Actual</w:t>
            </w:r>
          </w:p>
        </w:tc>
        <w:tc>
          <w:tcPr>
            <w:tcW w:w="1200" w:type="dxa"/>
            <w:tcBorders>
              <w:left w:val="single" w:sz="4" w:space="0" w:color="FFFFFF" w:themeColor="background1"/>
              <w:right w:val="single" w:sz="4" w:space="0" w:color="FFFFFF" w:themeColor="background1"/>
            </w:tcBorders>
            <w:shd w:val="clear" w:color="auto" w:fill="FF3399"/>
            <w:vAlign w:val="bottom"/>
            <w:hideMark/>
          </w:tcPr>
          <w:p w:rsidR="0097544C" w:rsidRPr="001244BB" w:rsidRDefault="00297C6D" w:rsidP="00B34E92">
            <w:pPr>
              <w:spacing w:after="0" w:line="240" w:lineRule="auto"/>
              <w:jc w:val="center"/>
              <w:rPr>
                <w:rFonts w:ascii="Arial" w:eastAsia="Times New Roman" w:hAnsi="Arial" w:cs="Arial"/>
                <w:b/>
                <w:bCs/>
                <w:color w:val="FFFFFF" w:themeColor="background1"/>
                <w:sz w:val="20"/>
                <w:lang w:eastAsia="en-NZ"/>
              </w:rPr>
            </w:pPr>
            <w:r>
              <w:rPr>
                <w:rFonts w:ascii="Arial" w:eastAsia="Times New Roman" w:hAnsi="Arial" w:cs="Arial"/>
                <w:b/>
                <w:bCs/>
                <w:color w:val="FFFFFF" w:themeColor="background1"/>
                <w:sz w:val="20"/>
                <w:lang w:eastAsia="en-NZ"/>
              </w:rPr>
              <w:t>2018/19</w:t>
            </w:r>
            <w:r w:rsidR="0097544C" w:rsidRPr="001244BB">
              <w:rPr>
                <w:rFonts w:ascii="Arial" w:eastAsia="Times New Roman" w:hAnsi="Arial" w:cs="Arial"/>
                <w:b/>
                <w:bCs/>
                <w:color w:val="FFFFFF" w:themeColor="background1"/>
                <w:sz w:val="20"/>
                <w:lang w:eastAsia="en-NZ"/>
              </w:rPr>
              <w:t xml:space="preserve"> Budget </w:t>
            </w:r>
          </w:p>
        </w:tc>
        <w:tc>
          <w:tcPr>
            <w:tcW w:w="1200" w:type="dxa"/>
            <w:tcBorders>
              <w:left w:val="single" w:sz="4" w:space="0" w:color="FFFFFF" w:themeColor="background1"/>
              <w:right w:val="single" w:sz="4" w:space="0" w:color="FFFFFF" w:themeColor="background1"/>
            </w:tcBorders>
            <w:shd w:val="clear" w:color="auto" w:fill="FF3399"/>
            <w:vAlign w:val="bottom"/>
            <w:hideMark/>
          </w:tcPr>
          <w:p w:rsidR="00297C6D" w:rsidRDefault="00297C6D" w:rsidP="00297C6D">
            <w:pPr>
              <w:spacing w:after="0" w:line="240" w:lineRule="auto"/>
              <w:jc w:val="center"/>
              <w:rPr>
                <w:rFonts w:ascii="Arial" w:eastAsia="Times New Roman" w:hAnsi="Arial" w:cs="Arial"/>
                <w:b/>
                <w:bCs/>
                <w:color w:val="FFFFFF" w:themeColor="background1"/>
                <w:sz w:val="20"/>
                <w:lang w:eastAsia="en-NZ"/>
              </w:rPr>
            </w:pPr>
            <w:r>
              <w:rPr>
                <w:rFonts w:ascii="Arial" w:eastAsia="Times New Roman" w:hAnsi="Arial" w:cs="Arial"/>
                <w:b/>
                <w:bCs/>
                <w:color w:val="FFFFFF" w:themeColor="background1"/>
                <w:sz w:val="20"/>
                <w:lang w:eastAsia="en-NZ"/>
              </w:rPr>
              <w:t>2018/19</w:t>
            </w:r>
          </w:p>
          <w:p w:rsidR="0097544C" w:rsidRPr="001244BB" w:rsidRDefault="00297C6D" w:rsidP="00297C6D">
            <w:pPr>
              <w:spacing w:after="0" w:line="240" w:lineRule="auto"/>
              <w:jc w:val="center"/>
              <w:rPr>
                <w:rFonts w:ascii="Arial" w:eastAsia="Times New Roman" w:hAnsi="Arial" w:cs="Arial"/>
                <w:b/>
                <w:bCs/>
                <w:color w:val="FFFFFF" w:themeColor="background1"/>
                <w:sz w:val="20"/>
                <w:lang w:eastAsia="en-NZ"/>
              </w:rPr>
            </w:pPr>
            <w:r>
              <w:rPr>
                <w:rFonts w:ascii="Arial" w:eastAsia="Times New Roman" w:hAnsi="Arial" w:cs="Arial"/>
                <w:b/>
                <w:bCs/>
                <w:color w:val="FFFFFF" w:themeColor="background1"/>
                <w:sz w:val="20"/>
                <w:lang w:eastAsia="en-NZ"/>
              </w:rPr>
              <w:t>Variance</w:t>
            </w:r>
          </w:p>
        </w:tc>
        <w:tc>
          <w:tcPr>
            <w:tcW w:w="3529" w:type="dxa"/>
            <w:tcBorders>
              <w:left w:val="single" w:sz="4" w:space="0" w:color="FFFFFF" w:themeColor="background1"/>
            </w:tcBorders>
            <w:shd w:val="clear" w:color="auto" w:fill="FF3399"/>
            <w:vAlign w:val="bottom"/>
            <w:hideMark/>
          </w:tcPr>
          <w:p w:rsidR="0097544C" w:rsidRPr="001244BB" w:rsidRDefault="0097544C" w:rsidP="00546A26">
            <w:pPr>
              <w:spacing w:after="0" w:line="240" w:lineRule="auto"/>
              <w:jc w:val="center"/>
              <w:rPr>
                <w:rFonts w:ascii="Arial" w:eastAsia="Times New Roman" w:hAnsi="Arial" w:cs="Arial"/>
                <w:b/>
                <w:bCs/>
                <w:color w:val="FFFFFF" w:themeColor="background1"/>
                <w:sz w:val="20"/>
                <w:lang w:eastAsia="en-NZ"/>
              </w:rPr>
            </w:pPr>
            <w:r w:rsidRPr="001244BB">
              <w:rPr>
                <w:rFonts w:ascii="Arial" w:eastAsia="Times New Roman" w:hAnsi="Arial" w:cs="Arial"/>
                <w:b/>
                <w:bCs/>
                <w:color w:val="FFFFFF" w:themeColor="background1"/>
                <w:sz w:val="20"/>
                <w:lang w:eastAsia="en-NZ"/>
              </w:rPr>
              <w:t>Variance commentary</w:t>
            </w:r>
          </w:p>
        </w:tc>
      </w:tr>
      <w:tr w:rsidR="0097544C" w:rsidRPr="001244BB" w:rsidTr="0025274D">
        <w:trPr>
          <w:trHeight w:val="300"/>
        </w:trPr>
        <w:tc>
          <w:tcPr>
            <w:tcW w:w="4540" w:type="dxa"/>
            <w:shd w:val="clear" w:color="auto" w:fill="FFC9E4"/>
            <w:noWrap/>
            <w:vAlign w:val="bottom"/>
            <w:hideMark/>
          </w:tcPr>
          <w:p w:rsidR="0097544C" w:rsidRPr="001244BB" w:rsidRDefault="0097544C" w:rsidP="0025274D">
            <w:pPr>
              <w:spacing w:after="0" w:line="240" w:lineRule="auto"/>
              <w:rPr>
                <w:rFonts w:ascii="Arial" w:eastAsia="Times New Roman" w:hAnsi="Arial" w:cs="Arial"/>
                <w:b/>
                <w:bCs/>
                <w:color w:val="000000"/>
                <w:sz w:val="20"/>
                <w:lang w:eastAsia="en-NZ"/>
              </w:rPr>
            </w:pPr>
            <w:r w:rsidRPr="001244BB">
              <w:rPr>
                <w:rFonts w:ascii="Arial" w:eastAsia="Times New Roman" w:hAnsi="Arial" w:cs="Arial"/>
                <w:b/>
                <w:bCs/>
                <w:color w:val="000000"/>
                <w:sz w:val="20"/>
                <w:lang w:eastAsia="en-NZ"/>
              </w:rPr>
              <w:t>4.1 Arts and cultural activities</w:t>
            </w:r>
          </w:p>
        </w:tc>
        <w:tc>
          <w:tcPr>
            <w:tcW w:w="1180" w:type="dxa"/>
            <w:shd w:val="clear" w:color="auto" w:fill="FFC9E4"/>
            <w:noWrap/>
            <w:vAlign w:val="bottom"/>
            <w:hideMark/>
          </w:tcPr>
          <w:p w:rsidR="0097544C" w:rsidRPr="001244BB" w:rsidRDefault="0097544C" w:rsidP="0025274D">
            <w:pPr>
              <w:spacing w:after="0" w:line="240" w:lineRule="auto"/>
              <w:jc w:val="right"/>
              <w:rPr>
                <w:rFonts w:ascii="Arial" w:eastAsia="Times New Roman" w:hAnsi="Arial" w:cs="Arial"/>
                <w:color w:val="000000"/>
                <w:sz w:val="20"/>
                <w:lang w:eastAsia="en-NZ"/>
              </w:rPr>
            </w:pPr>
          </w:p>
        </w:tc>
        <w:tc>
          <w:tcPr>
            <w:tcW w:w="1200" w:type="dxa"/>
            <w:shd w:val="clear" w:color="auto" w:fill="FFC9E4"/>
            <w:noWrap/>
            <w:vAlign w:val="bottom"/>
            <w:hideMark/>
          </w:tcPr>
          <w:p w:rsidR="0097544C" w:rsidRPr="001244BB" w:rsidRDefault="0097544C" w:rsidP="0025274D">
            <w:pPr>
              <w:spacing w:after="0" w:line="240" w:lineRule="auto"/>
              <w:jc w:val="right"/>
              <w:rPr>
                <w:rFonts w:ascii="Arial" w:eastAsia="Times New Roman" w:hAnsi="Arial" w:cs="Arial"/>
                <w:color w:val="000000"/>
                <w:sz w:val="20"/>
                <w:lang w:eastAsia="en-NZ"/>
              </w:rPr>
            </w:pPr>
          </w:p>
        </w:tc>
        <w:tc>
          <w:tcPr>
            <w:tcW w:w="1200" w:type="dxa"/>
            <w:shd w:val="clear" w:color="auto" w:fill="FFC9E4"/>
            <w:noWrap/>
            <w:vAlign w:val="bottom"/>
            <w:hideMark/>
          </w:tcPr>
          <w:p w:rsidR="0097544C" w:rsidRPr="001244BB" w:rsidRDefault="0097544C" w:rsidP="0025274D">
            <w:pPr>
              <w:spacing w:after="0" w:line="240" w:lineRule="auto"/>
              <w:jc w:val="right"/>
              <w:rPr>
                <w:rFonts w:ascii="Arial" w:eastAsia="Times New Roman" w:hAnsi="Arial" w:cs="Arial"/>
                <w:color w:val="000000"/>
                <w:sz w:val="20"/>
                <w:lang w:eastAsia="en-NZ"/>
              </w:rPr>
            </w:pPr>
            <w:r w:rsidRPr="001244BB">
              <w:rPr>
                <w:rFonts w:ascii="Arial" w:eastAsia="Times New Roman" w:hAnsi="Arial" w:cs="Arial"/>
                <w:color w:val="000000"/>
                <w:sz w:val="20"/>
                <w:lang w:eastAsia="en-NZ"/>
              </w:rPr>
              <w:t> </w:t>
            </w:r>
          </w:p>
        </w:tc>
        <w:tc>
          <w:tcPr>
            <w:tcW w:w="1200" w:type="dxa"/>
            <w:shd w:val="clear" w:color="auto" w:fill="FFC9E4"/>
            <w:noWrap/>
            <w:vAlign w:val="bottom"/>
            <w:hideMark/>
          </w:tcPr>
          <w:p w:rsidR="0097544C" w:rsidRPr="001244BB" w:rsidRDefault="0097544C" w:rsidP="0025274D">
            <w:pPr>
              <w:spacing w:after="0" w:line="240" w:lineRule="auto"/>
              <w:jc w:val="right"/>
              <w:rPr>
                <w:rFonts w:ascii="Arial" w:eastAsia="Times New Roman" w:hAnsi="Arial" w:cs="Arial"/>
                <w:color w:val="000000"/>
                <w:sz w:val="20"/>
                <w:lang w:eastAsia="en-NZ"/>
              </w:rPr>
            </w:pPr>
            <w:r w:rsidRPr="001244BB">
              <w:rPr>
                <w:rFonts w:ascii="Arial" w:eastAsia="Times New Roman" w:hAnsi="Arial" w:cs="Arial"/>
                <w:color w:val="000000"/>
                <w:sz w:val="20"/>
                <w:lang w:eastAsia="en-NZ"/>
              </w:rPr>
              <w:t> </w:t>
            </w:r>
          </w:p>
        </w:tc>
        <w:tc>
          <w:tcPr>
            <w:tcW w:w="1200" w:type="dxa"/>
            <w:shd w:val="clear" w:color="auto" w:fill="FFC9E4"/>
            <w:noWrap/>
            <w:hideMark/>
          </w:tcPr>
          <w:p w:rsidR="0097544C" w:rsidRPr="001244BB" w:rsidRDefault="0097544C" w:rsidP="0025274D">
            <w:pPr>
              <w:spacing w:after="0" w:line="240" w:lineRule="auto"/>
              <w:jc w:val="right"/>
              <w:rPr>
                <w:rFonts w:ascii="Arial" w:eastAsia="Times New Roman" w:hAnsi="Arial" w:cs="Arial"/>
                <w:color w:val="000000"/>
                <w:sz w:val="20"/>
                <w:lang w:eastAsia="en-NZ"/>
              </w:rPr>
            </w:pPr>
            <w:r w:rsidRPr="001244BB">
              <w:rPr>
                <w:rFonts w:ascii="Arial" w:eastAsia="Times New Roman" w:hAnsi="Arial" w:cs="Arial"/>
                <w:color w:val="000000"/>
                <w:sz w:val="20"/>
                <w:lang w:eastAsia="en-NZ"/>
              </w:rPr>
              <w:t> </w:t>
            </w:r>
          </w:p>
        </w:tc>
        <w:tc>
          <w:tcPr>
            <w:tcW w:w="3529" w:type="dxa"/>
            <w:shd w:val="clear" w:color="auto" w:fill="FFC9E4"/>
            <w:vAlign w:val="bottom"/>
            <w:hideMark/>
          </w:tcPr>
          <w:p w:rsidR="0097544C" w:rsidRPr="001244BB" w:rsidRDefault="0097544C" w:rsidP="0025274D">
            <w:pPr>
              <w:spacing w:after="0" w:line="240" w:lineRule="auto"/>
              <w:rPr>
                <w:rFonts w:ascii="Arial" w:eastAsia="Times New Roman" w:hAnsi="Arial" w:cs="Arial"/>
                <w:color w:val="000000"/>
                <w:sz w:val="20"/>
                <w:lang w:eastAsia="en-NZ"/>
              </w:rPr>
            </w:pPr>
          </w:p>
        </w:tc>
      </w:tr>
      <w:tr w:rsidR="0097544C" w:rsidRPr="001244BB" w:rsidTr="0025274D">
        <w:trPr>
          <w:trHeight w:val="765"/>
        </w:trPr>
        <w:tc>
          <w:tcPr>
            <w:tcW w:w="4540" w:type="dxa"/>
            <w:shd w:val="clear" w:color="auto" w:fill="auto"/>
            <w:noWrap/>
            <w:hideMark/>
          </w:tcPr>
          <w:p w:rsidR="0097544C" w:rsidRPr="001244BB" w:rsidRDefault="0097544C" w:rsidP="0025274D">
            <w:pPr>
              <w:spacing w:after="0" w:line="240" w:lineRule="auto"/>
              <w:rPr>
                <w:rFonts w:ascii="Arial" w:eastAsia="Times New Roman" w:hAnsi="Arial" w:cs="Arial"/>
                <w:color w:val="000000"/>
                <w:sz w:val="20"/>
                <w:lang w:eastAsia="en-NZ"/>
              </w:rPr>
            </w:pPr>
            <w:r w:rsidRPr="001244BB">
              <w:rPr>
                <w:rFonts w:ascii="Arial" w:eastAsia="Times New Roman" w:hAnsi="Arial" w:cs="Arial"/>
                <w:color w:val="000000"/>
                <w:sz w:val="20"/>
                <w:lang w:eastAsia="en-NZ"/>
              </w:rPr>
              <w:t>Expenditure</w:t>
            </w:r>
          </w:p>
        </w:tc>
        <w:tc>
          <w:tcPr>
            <w:tcW w:w="1180" w:type="dxa"/>
            <w:shd w:val="clear" w:color="auto" w:fill="auto"/>
            <w:noWrap/>
            <w:hideMark/>
          </w:tcPr>
          <w:p w:rsidR="0097544C" w:rsidRPr="001244BB" w:rsidRDefault="0097544C" w:rsidP="0025274D">
            <w:pPr>
              <w:spacing w:after="0" w:line="240" w:lineRule="auto"/>
              <w:jc w:val="right"/>
              <w:rPr>
                <w:rFonts w:ascii="Arial" w:eastAsia="Times New Roman" w:hAnsi="Arial" w:cs="Arial"/>
                <w:color w:val="000000"/>
                <w:sz w:val="20"/>
                <w:lang w:eastAsia="en-NZ"/>
              </w:rPr>
            </w:pPr>
            <w:r w:rsidRPr="001244BB">
              <w:rPr>
                <w:rFonts w:ascii="Arial" w:eastAsia="Times New Roman" w:hAnsi="Arial" w:cs="Arial"/>
                <w:color w:val="000000"/>
                <w:sz w:val="20"/>
                <w:lang w:eastAsia="en-NZ"/>
              </w:rPr>
              <w:t>20,625</w:t>
            </w:r>
          </w:p>
        </w:tc>
        <w:tc>
          <w:tcPr>
            <w:tcW w:w="1200" w:type="dxa"/>
            <w:shd w:val="clear" w:color="auto" w:fill="auto"/>
            <w:noWrap/>
            <w:hideMark/>
          </w:tcPr>
          <w:p w:rsidR="0097544C" w:rsidRPr="001244BB" w:rsidRDefault="0097544C" w:rsidP="0025274D">
            <w:pPr>
              <w:spacing w:after="0" w:line="240" w:lineRule="auto"/>
              <w:jc w:val="right"/>
              <w:rPr>
                <w:rFonts w:ascii="Arial" w:eastAsia="Times New Roman" w:hAnsi="Arial" w:cs="Arial"/>
                <w:color w:val="000000"/>
                <w:sz w:val="20"/>
                <w:lang w:eastAsia="en-NZ"/>
              </w:rPr>
            </w:pPr>
            <w:r w:rsidRPr="001244BB">
              <w:rPr>
                <w:rFonts w:ascii="Arial" w:eastAsia="Times New Roman" w:hAnsi="Arial" w:cs="Arial"/>
                <w:color w:val="000000"/>
                <w:sz w:val="20"/>
                <w:lang w:eastAsia="en-NZ"/>
              </w:rPr>
              <w:t>21,256</w:t>
            </w:r>
          </w:p>
        </w:tc>
        <w:tc>
          <w:tcPr>
            <w:tcW w:w="1200" w:type="dxa"/>
            <w:shd w:val="clear" w:color="000000" w:fill="E8E8E8"/>
            <w:noWrap/>
            <w:hideMark/>
          </w:tcPr>
          <w:p w:rsidR="0097544C" w:rsidRPr="001244BB" w:rsidRDefault="0097544C" w:rsidP="0025274D">
            <w:pPr>
              <w:spacing w:after="0" w:line="240" w:lineRule="auto"/>
              <w:jc w:val="right"/>
              <w:rPr>
                <w:rFonts w:ascii="Arial" w:eastAsia="Times New Roman" w:hAnsi="Arial" w:cs="Arial"/>
                <w:color w:val="000000"/>
                <w:sz w:val="20"/>
                <w:lang w:eastAsia="en-NZ"/>
              </w:rPr>
            </w:pPr>
            <w:r w:rsidRPr="001244BB">
              <w:rPr>
                <w:rFonts w:ascii="Arial" w:eastAsia="Times New Roman" w:hAnsi="Arial" w:cs="Arial"/>
                <w:color w:val="000000"/>
                <w:sz w:val="20"/>
                <w:lang w:eastAsia="en-NZ"/>
              </w:rPr>
              <w:t>23,268</w:t>
            </w:r>
          </w:p>
        </w:tc>
        <w:tc>
          <w:tcPr>
            <w:tcW w:w="1200" w:type="dxa"/>
            <w:shd w:val="clear" w:color="000000" w:fill="E8E8E8"/>
            <w:noWrap/>
            <w:hideMark/>
          </w:tcPr>
          <w:p w:rsidR="0097544C" w:rsidRPr="001244BB" w:rsidRDefault="0097544C" w:rsidP="0025274D">
            <w:pPr>
              <w:spacing w:after="0" w:line="240" w:lineRule="auto"/>
              <w:jc w:val="right"/>
              <w:rPr>
                <w:rFonts w:ascii="Arial" w:eastAsia="Times New Roman" w:hAnsi="Arial" w:cs="Arial"/>
                <w:color w:val="000000"/>
                <w:sz w:val="20"/>
                <w:lang w:eastAsia="en-NZ"/>
              </w:rPr>
            </w:pPr>
            <w:r w:rsidRPr="001244BB">
              <w:rPr>
                <w:rFonts w:ascii="Arial" w:eastAsia="Times New Roman" w:hAnsi="Arial" w:cs="Arial"/>
                <w:color w:val="000000"/>
                <w:sz w:val="20"/>
                <w:lang w:eastAsia="en-NZ"/>
              </w:rPr>
              <w:t>22,766</w:t>
            </w:r>
          </w:p>
        </w:tc>
        <w:tc>
          <w:tcPr>
            <w:tcW w:w="1200" w:type="dxa"/>
            <w:shd w:val="clear" w:color="000000" w:fill="E8E8E8"/>
            <w:noWrap/>
            <w:hideMark/>
          </w:tcPr>
          <w:p w:rsidR="0097544C" w:rsidRPr="001244BB" w:rsidRDefault="0097544C" w:rsidP="00B34E92">
            <w:pPr>
              <w:spacing w:after="0" w:line="240" w:lineRule="auto"/>
              <w:jc w:val="right"/>
              <w:rPr>
                <w:rFonts w:ascii="Arial" w:eastAsia="Times New Roman" w:hAnsi="Arial" w:cs="Arial"/>
                <w:color w:val="000000"/>
                <w:sz w:val="20"/>
                <w:lang w:eastAsia="en-NZ"/>
              </w:rPr>
            </w:pPr>
            <w:r w:rsidRPr="001244BB">
              <w:rPr>
                <w:rFonts w:ascii="Arial" w:eastAsia="Times New Roman" w:hAnsi="Arial" w:cs="Arial"/>
                <w:color w:val="000000"/>
                <w:sz w:val="20"/>
                <w:lang w:eastAsia="en-NZ"/>
              </w:rPr>
              <w:t>(50</w:t>
            </w:r>
            <w:r w:rsidR="00B34E92">
              <w:rPr>
                <w:rFonts w:ascii="Arial" w:eastAsia="Times New Roman" w:hAnsi="Arial" w:cs="Arial"/>
                <w:color w:val="000000"/>
                <w:sz w:val="20"/>
                <w:lang w:eastAsia="en-NZ"/>
              </w:rPr>
              <w:t>2</w:t>
            </w:r>
            <w:r w:rsidRPr="001244BB">
              <w:rPr>
                <w:rFonts w:ascii="Arial" w:eastAsia="Times New Roman" w:hAnsi="Arial" w:cs="Arial"/>
                <w:color w:val="000000"/>
                <w:sz w:val="20"/>
                <w:lang w:eastAsia="en-NZ"/>
              </w:rPr>
              <w:t>)</w:t>
            </w:r>
          </w:p>
        </w:tc>
        <w:tc>
          <w:tcPr>
            <w:tcW w:w="3529" w:type="dxa"/>
            <w:shd w:val="clear" w:color="auto" w:fill="auto"/>
            <w:vAlign w:val="bottom"/>
            <w:hideMark/>
          </w:tcPr>
          <w:p w:rsidR="0097544C" w:rsidRPr="001244BB" w:rsidRDefault="0097544C" w:rsidP="001B4839">
            <w:pPr>
              <w:spacing w:after="0" w:line="240" w:lineRule="auto"/>
              <w:rPr>
                <w:rFonts w:ascii="Arial" w:eastAsia="Times New Roman" w:hAnsi="Arial" w:cs="Arial"/>
                <w:color w:val="000000"/>
                <w:sz w:val="20"/>
                <w:lang w:eastAsia="en-NZ"/>
              </w:rPr>
            </w:pPr>
            <w:r w:rsidRPr="001244BB">
              <w:rPr>
                <w:rFonts w:ascii="Arial" w:eastAsia="Times New Roman" w:hAnsi="Arial" w:cs="Arial"/>
                <w:color w:val="000000"/>
                <w:sz w:val="20"/>
                <w:lang w:eastAsia="en-NZ"/>
              </w:rPr>
              <w:t xml:space="preserve">Increased costs for the second and the delay </w:t>
            </w:r>
            <w:r w:rsidR="001B4839">
              <w:rPr>
                <w:rFonts w:ascii="Arial" w:eastAsia="Times New Roman" w:hAnsi="Arial" w:cs="Arial"/>
                <w:color w:val="000000"/>
                <w:sz w:val="20"/>
                <w:lang w:eastAsia="en-NZ"/>
              </w:rPr>
              <w:t>for</w:t>
            </w:r>
            <w:r w:rsidR="001B4839" w:rsidRPr="001244BB">
              <w:rPr>
                <w:rFonts w:ascii="Arial" w:eastAsia="Times New Roman" w:hAnsi="Arial" w:cs="Arial"/>
                <w:color w:val="000000"/>
                <w:sz w:val="20"/>
                <w:lang w:eastAsia="en-NZ"/>
              </w:rPr>
              <w:t xml:space="preserve"> </w:t>
            </w:r>
            <w:r w:rsidRPr="001244BB">
              <w:rPr>
                <w:rFonts w:ascii="Arial" w:eastAsia="Times New Roman" w:hAnsi="Arial" w:cs="Arial"/>
                <w:color w:val="000000"/>
                <w:sz w:val="20"/>
                <w:lang w:eastAsia="en-NZ"/>
              </w:rPr>
              <w:t xml:space="preserve">the first Matariki </w:t>
            </w:r>
            <w:r w:rsidR="001B4839">
              <w:rPr>
                <w:rFonts w:ascii="Arial" w:eastAsia="Times New Roman" w:hAnsi="Arial" w:cs="Arial"/>
                <w:color w:val="000000"/>
                <w:sz w:val="20"/>
                <w:lang w:eastAsia="en-NZ"/>
              </w:rPr>
              <w:t>S</w:t>
            </w:r>
            <w:r w:rsidR="001B4839" w:rsidRPr="001244BB">
              <w:rPr>
                <w:rFonts w:ascii="Arial" w:eastAsia="Times New Roman" w:hAnsi="Arial" w:cs="Arial"/>
                <w:color w:val="000000"/>
                <w:sz w:val="20"/>
                <w:lang w:eastAsia="en-NZ"/>
              </w:rPr>
              <w:t xml:space="preserve">ky </w:t>
            </w:r>
            <w:r w:rsidR="001B4839">
              <w:rPr>
                <w:rFonts w:ascii="Arial" w:eastAsia="Times New Roman" w:hAnsi="Arial" w:cs="Arial"/>
                <w:color w:val="000000"/>
                <w:sz w:val="20"/>
                <w:lang w:eastAsia="en-NZ"/>
              </w:rPr>
              <w:t>S</w:t>
            </w:r>
            <w:r w:rsidR="001B4839" w:rsidRPr="001244BB">
              <w:rPr>
                <w:rFonts w:ascii="Arial" w:eastAsia="Times New Roman" w:hAnsi="Arial" w:cs="Arial"/>
                <w:color w:val="000000"/>
                <w:sz w:val="20"/>
                <w:lang w:eastAsia="en-NZ"/>
              </w:rPr>
              <w:t>hows</w:t>
            </w:r>
            <w:r w:rsidR="001B4839">
              <w:rPr>
                <w:rFonts w:ascii="Arial" w:eastAsia="Times New Roman" w:hAnsi="Arial" w:cs="Arial"/>
                <w:color w:val="000000"/>
                <w:sz w:val="20"/>
                <w:lang w:eastAsia="en-NZ"/>
              </w:rPr>
              <w:t>,</w:t>
            </w:r>
            <w:r w:rsidR="001B4839" w:rsidRPr="001244BB">
              <w:rPr>
                <w:rFonts w:ascii="Arial" w:eastAsia="Times New Roman" w:hAnsi="Arial" w:cs="Arial"/>
                <w:color w:val="000000"/>
                <w:sz w:val="20"/>
                <w:lang w:eastAsia="en-NZ"/>
              </w:rPr>
              <w:t xml:space="preserve"> </w:t>
            </w:r>
            <w:r w:rsidRPr="001244BB">
              <w:rPr>
                <w:rFonts w:ascii="Arial" w:eastAsia="Times New Roman" w:hAnsi="Arial" w:cs="Arial"/>
                <w:color w:val="000000"/>
                <w:sz w:val="20"/>
                <w:lang w:eastAsia="en-NZ"/>
              </w:rPr>
              <w:t>as well as higher than planned grant expenses.</w:t>
            </w:r>
          </w:p>
        </w:tc>
      </w:tr>
      <w:tr w:rsidR="0097544C" w:rsidRPr="001244BB" w:rsidTr="0025274D">
        <w:trPr>
          <w:trHeight w:val="300"/>
        </w:trPr>
        <w:tc>
          <w:tcPr>
            <w:tcW w:w="4540" w:type="dxa"/>
            <w:shd w:val="clear" w:color="auto" w:fill="auto"/>
            <w:noWrap/>
            <w:hideMark/>
          </w:tcPr>
          <w:p w:rsidR="0097544C" w:rsidRPr="001244BB" w:rsidRDefault="0097544C" w:rsidP="0025274D">
            <w:pPr>
              <w:spacing w:after="0" w:line="240" w:lineRule="auto"/>
              <w:rPr>
                <w:rFonts w:ascii="Arial" w:eastAsia="Times New Roman" w:hAnsi="Arial" w:cs="Arial"/>
                <w:color w:val="000000"/>
                <w:sz w:val="20"/>
                <w:lang w:eastAsia="en-NZ"/>
              </w:rPr>
            </w:pPr>
            <w:r w:rsidRPr="001244BB">
              <w:rPr>
                <w:rFonts w:ascii="Arial" w:eastAsia="Times New Roman" w:hAnsi="Arial" w:cs="Arial"/>
                <w:color w:val="000000"/>
                <w:sz w:val="20"/>
                <w:lang w:eastAsia="en-NZ"/>
              </w:rPr>
              <w:t>Revenue</w:t>
            </w:r>
          </w:p>
        </w:tc>
        <w:tc>
          <w:tcPr>
            <w:tcW w:w="1180" w:type="dxa"/>
            <w:shd w:val="clear" w:color="auto" w:fill="auto"/>
            <w:noWrap/>
            <w:hideMark/>
          </w:tcPr>
          <w:p w:rsidR="0097544C" w:rsidRPr="001244BB" w:rsidRDefault="0097544C" w:rsidP="0025274D">
            <w:pPr>
              <w:spacing w:after="0" w:line="240" w:lineRule="auto"/>
              <w:jc w:val="right"/>
              <w:rPr>
                <w:rFonts w:ascii="Arial" w:eastAsia="Times New Roman" w:hAnsi="Arial" w:cs="Arial"/>
                <w:color w:val="000000"/>
                <w:sz w:val="20"/>
                <w:lang w:eastAsia="en-NZ"/>
              </w:rPr>
            </w:pPr>
            <w:r w:rsidRPr="001244BB">
              <w:rPr>
                <w:rFonts w:ascii="Arial" w:eastAsia="Times New Roman" w:hAnsi="Arial" w:cs="Arial"/>
                <w:color w:val="000000"/>
                <w:sz w:val="20"/>
                <w:lang w:eastAsia="en-NZ"/>
              </w:rPr>
              <w:t>(749)</w:t>
            </w:r>
          </w:p>
        </w:tc>
        <w:tc>
          <w:tcPr>
            <w:tcW w:w="1200" w:type="dxa"/>
            <w:shd w:val="clear" w:color="auto" w:fill="auto"/>
            <w:noWrap/>
            <w:hideMark/>
          </w:tcPr>
          <w:p w:rsidR="0097544C" w:rsidRPr="001244BB" w:rsidRDefault="0097544C" w:rsidP="006C5FB5">
            <w:pPr>
              <w:spacing w:after="0" w:line="240" w:lineRule="auto"/>
              <w:jc w:val="right"/>
              <w:rPr>
                <w:rFonts w:ascii="Arial" w:eastAsia="Times New Roman" w:hAnsi="Arial" w:cs="Arial"/>
                <w:color w:val="000000"/>
                <w:sz w:val="20"/>
                <w:lang w:eastAsia="en-NZ"/>
              </w:rPr>
            </w:pPr>
            <w:r w:rsidRPr="001244BB">
              <w:rPr>
                <w:rFonts w:ascii="Arial" w:eastAsia="Times New Roman" w:hAnsi="Arial" w:cs="Arial"/>
                <w:color w:val="000000"/>
                <w:sz w:val="20"/>
                <w:lang w:eastAsia="en-NZ"/>
              </w:rPr>
              <w:t>(</w:t>
            </w:r>
            <w:r w:rsidR="006C5FB5" w:rsidRPr="001244BB">
              <w:rPr>
                <w:rFonts w:ascii="Arial" w:eastAsia="Times New Roman" w:hAnsi="Arial" w:cs="Arial"/>
                <w:color w:val="000000"/>
                <w:sz w:val="20"/>
                <w:lang w:eastAsia="en-NZ"/>
              </w:rPr>
              <w:t>74</w:t>
            </w:r>
            <w:r w:rsidR="006C5FB5">
              <w:rPr>
                <w:rFonts w:ascii="Arial" w:eastAsia="Times New Roman" w:hAnsi="Arial" w:cs="Arial"/>
                <w:color w:val="000000"/>
                <w:sz w:val="20"/>
                <w:lang w:eastAsia="en-NZ"/>
              </w:rPr>
              <w:t>6</w:t>
            </w:r>
            <w:r w:rsidRPr="001244BB">
              <w:rPr>
                <w:rFonts w:ascii="Arial" w:eastAsia="Times New Roman" w:hAnsi="Arial" w:cs="Arial"/>
                <w:color w:val="000000"/>
                <w:sz w:val="20"/>
                <w:lang w:eastAsia="en-NZ"/>
              </w:rPr>
              <w:t>)</w:t>
            </w:r>
          </w:p>
        </w:tc>
        <w:tc>
          <w:tcPr>
            <w:tcW w:w="1200" w:type="dxa"/>
            <w:shd w:val="clear" w:color="000000" w:fill="E8E8E8"/>
            <w:noWrap/>
            <w:hideMark/>
          </w:tcPr>
          <w:p w:rsidR="0097544C" w:rsidRPr="001244BB" w:rsidRDefault="0097544C" w:rsidP="0025274D">
            <w:pPr>
              <w:spacing w:after="0" w:line="240" w:lineRule="auto"/>
              <w:jc w:val="right"/>
              <w:rPr>
                <w:rFonts w:ascii="Arial" w:eastAsia="Times New Roman" w:hAnsi="Arial" w:cs="Arial"/>
                <w:color w:val="000000"/>
                <w:sz w:val="20"/>
                <w:lang w:eastAsia="en-NZ"/>
              </w:rPr>
            </w:pPr>
            <w:r w:rsidRPr="001244BB">
              <w:rPr>
                <w:rFonts w:ascii="Arial" w:eastAsia="Times New Roman" w:hAnsi="Arial" w:cs="Arial"/>
                <w:color w:val="000000"/>
                <w:sz w:val="20"/>
                <w:lang w:eastAsia="en-NZ"/>
              </w:rPr>
              <w:t>(811)</w:t>
            </w:r>
          </w:p>
        </w:tc>
        <w:tc>
          <w:tcPr>
            <w:tcW w:w="1200" w:type="dxa"/>
            <w:shd w:val="clear" w:color="000000" w:fill="E8E8E8"/>
            <w:noWrap/>
            <w:hideMark/>
          </w:tcPr>
          <w:p w:rsidR="0097544C" w:rsidRPr="001244BB" w:rsidRDefault="0097544C" w:rsidP="0025274D">
            <w:pPr>
              <w:spacing w:after="0" w:line="240" w:lineRule="auto"/>
              <w:jc w:val="right"/>
              <w:rPr>
                <w:rFonts w:ascii="Arial" w:eastAsia="Times New Roman" w:hAnsi="Arial" w:cs="Arial"/>
                <w:color w:val="000000"/>
                <w:sz w:val="20"/>
                <w:lang w:eastAsia="en-NZ"/>
              </w:rPr>
            </w:pPr>
            <w:r w:rsidRPr="001244BB">
              <w:rPr>
                <w:rFonts w:ascii="Arial" w:eastAsia="Times New Roman" w:hAnsi="Arial" w:cs="Arial"/>
                <w:color w:val="000000"/>
                <w:sz w:val="20"/>
                <w:lang w:eastAsia="en-NZ"/>
              </w:rPr>
              <w:t>(1,026)</w:t>
            </w:r>
          </w:p>
        </w:tc>
        <w:tc>
          <w:tcPr>
            <w:tcW w:w="1200" w:type="dxa"/>
            <w:shd w:val="clear" w:color="000000" w:fill="E8E8E8"/>
            <w:noWrap/>
            <w:hideMark/>
          </w:tcPr>
          <w:p w:rsidR="0097544C" w:rsidRPr="001244BB" w:rsidRDefault="0097544C" w:rsidP="0025274D">
            <w:pPr>
              <w:spacing w:after="0" w:line="240" w:lineRule="auto"/>
              <w:jc w:val="right"/>
              <w:rPr>
                <w:rFonts w:ascii="Arial" w:eastAsia="Times New Roman" w:hAnsi="Arial" w:cs="Arial"/>
                <w:color w:val="000000"/>
                <w:sz w:val="20"/>
                <w:lang w:eastAsia="en-NZ"/>
              </w:rPr>
            </w:pPr>
            <w:r w:rsidRPr="001244BB">
              <w:rPr>
                <w:rFonts w:ascii="Arial" w:eastAsia="Times New Roman" w:hAnsi="Arial" w:cs="Arial"/>
                <w:color w:val="000000"/>
                <w:sz w:val="20"/>
                <w:lang w:eastAsia="en-NZ"/>
              </w:rPr>
              <w:t>(215)</w:t>
            </w:r>
          </w:p>
        </w:tc>
        <w:tc>
          <w:tcPr>
            <w:tcW w:w="3529" w:type="dxa"/>
            <w:shd w:val="clear" w:color="auto" w:fill="auto"/>
            <w:vAlign w:val="bottom"/>
            <w:hideMark/>
          </w:tcPr>
          <w:p w:rsidR="0097544C" w:rsidRPr="001244BB" w:rsidRDefault="0097544C" w:rsidP="0025274D">
            <w:pPr>
              <w:spacing w:after="0" w:line="240" w:lineRule="auto"/>
              <w:rPr>
                <w:rFonts w:ascii="Arial" w:eastAsia="Times New Roman" w:hAnsi="Arial" w:cs="Arial"/>
                <w:color w:val="000000"/>
                <w:sz w:val="20"/>
                <w:lang w:eastAsia="en-NZ"/>
              </w:rPr>
            </w:pPr>
          </w:p>
        </w:tc>
      </w:tr>
      <w:tr w:rsidR="0097544C" w:rsidRPr="001244BB" w:rsidTr="0025274D">
        <w:trPr>
          <w:trHeight w:val="300"/>
        </w:trPr>
        <w:tc>
          <w:tcPr>
            <w:tcW w:w="4540" w:type="dxa"/>
            <w:shd w:val="clear" w:color="auto" w:fill="auto"/>
            <w:noWrap/>
            <w:hideMark/>
          </w:tcPr>
          <w:p w:rsidR="0097544C" w:rsidRPr="001244BB" w:rsidRDefault="0097544C" w:rsidP="0025274D">
            <w:pPr>
              <w:spacing w:after="0" w:line="240" w:lineRule="auto"/>
              <w:rPr>
                <w:rFonts w:ascii="Arial" w:eastAsia="Times New Roman" w:hAnsi="Arial" w:cs="Arial"/>
                <w:color w:val="000000"/>
                <w:sz w:val="20"/>
                <w:lang w:eastAsia="en-NZ"/>
              </w:rPr>
            </w:pPr>
            <w:r w:rsidRPr="001244BB">
              <w:rPr>
                <w:rFonts w:ascii="Arial" w:eastAsia="Times New Roman" w:hAnsi="Arial" w:cs="Arial"/>
                <w:color w:val="000000"/>
                <w:sz w:val="20"/>
                <w:lang w:eastAsia="en-NZ"/>
              </w:rPr>
              <w:t>Net Expenditure</w:t>
            </w:r>
          </w:p>
        </w:tc>
        <w:tc>
          <w:tcPr>
            <w:tcW w:w="1180" w:type="dxa"/>
            <w:shd w:val="clear" w:color="auto" w:fill="auto"/>
            <w:noWrap/>
            <w:hideMark/>
          </w:tcPr>
          <w:p w:rsidR="0097544C" w:rsidRPr="001244BB" w:rsidRDefault="0097544C" w:rsidP="0025274D">
            <w:pPr>
              <w:spacing w:after="0" w:line="240" w:lineRule="auto"/>
              <w:jc w:val="right"/>
              <w:rPr>
                <w:rFonts w:ascii="Arial" w:eastAsia="Times New Roman" w:hAnsi="Arial" w:cs="Arial"/>
                <w:color w:val="000000"/>
                <w:sz w:val="20"/>
                <w:lang w:eastAsia="en-NZ"/>
              </w:rPr>
            </w:pPr>
            <w:r w:rsidRPr="001244BB">
              <w:rPr>
                <w:rFonts w:ascii="Arial" w:eastAsia="Times New Roman" w:hAnsi="Arial" w:cs="Arial"/>
                <w:color w:val="000000"/>
                <w:sz w:val="20"/>
                <w:lang w:eastAsia="en-NZ"/>
              </w:rPr>
              <w:t>19,877</w:t>
            </w:r>
          </w:p>
        </w:tc>
        <w:tc>
          <w:tcPr>
            <w:tcW w:w="1200" w:type="dxa"/>
            <w:shd w:val="clear" w:color="auto" w:fill="auto"/>
            <w:noWrap/>
            <w:hideMark/>
          </w:tcPr>
          <w:p w:rsidR="0097544C" w:rsidRPr="001244BB" w:rsidRDefault="0097544C" w:rsidP="006C5FB5">
            <w:pPr>
              <w:spacing w:after="0" w:line="240" w:lineRule="auto"/>
              <w:jc w:val="right"/>
              <w:rPr>
                <w:rFonts w:ascii="Arial" w:eastAsia="Times New Roman" w:hAnsi="Arial" w:cs="Arial"/>
                <w:color w:val="000000"/>
                <w:sz w:val="20"/>
                <w:lang w:eastAsia="en-NZ"/>
              </w:rPr>
            </w:pPr>
            <w:r w:rsidRPr="001244BB">
              <w:rPr>
                <w:rFonts w:ascii="Arial" w:eastAsia="Times New Roman" w:hAnsi="Arial" w:cs="Arial"/>
                <w:color w:val="000000"/>
                <w:sz w:val="20"/>
                <w:lang w:eastAsia="en-NZ"/>
              </w:rPr>
              <w:t>20,</w:t>
            </w:r>
            <w:r w:rsidR="006C5FB5" w:rsidRPr="001244BB">
              <w:rPr>
                <w:rFonts w:ascii="Arial" w:eastAsia="Times New Roman" w:hAnsi="Arial" w:cs="Arial"/>
                <w:color w:val="000000"/>
                <w:sz w:val="20"/>
                <w:lang w:eastAsia="en-NZ"/>
              </w:rPr>
              <w:t>5</w:t>
            </w:r>
            <w:r w:rsidR="006C5FB5">
              <w:rPr>
                <w:rFonts w:ascii="Arial" w:eastAsia="Times New Roman" w:hAnsi="Arial" w:cs="Arial"/>
                <w:color w:val="000000"/>
                <w:sz w:val="20"/>
                <w:lang w:eastAsia="en-NZ"/>
              </w:rPr>
              <w:t>10</w:t>
            </w:r>
          </w:p>
        </w:tc>
        <w:tc>
          <w:tcPr>
            <w:tcW w:w="1200" w:type="dxa"/>
            <w:shd w:val="clear" w:color="000000" w:fill="E8E8E8"/>
            <w:noWrap/>
            <w:hideMark/>
          </w:tcPr>
          <w:p w:rsidR="0097544C" w:rsidRPr="001244BB" w:rsidRDefault="0097544C" w:rsidP="0025274D">
            <w:pPr>
              <w:spacing w:after="0" w:line="240" w:lineRule="auto"/>
              <w:jc w:val="right"/>
              <w:rPr>
                <w:rFonts w:ascii="Arial" w:eastAsia="Times New Roman" w:hAnsi="Arial" w:cs="Arial"/>
                <w:color w:val="000000"/>
                <w:sz w:val="20"/>
                <w:lang w:eastAsia="en-NZ"/>
              </w:rPr>
            </w:pPr>
            <w:r w:rsidRPr="001244BB">
              <w:rPr>
                <w:rFonts w:ascii="Arial" w:eastAsia="Times New Roman" w:hAnsi="Arial" w:cs="Arial"/>
                <w:color w:val="000000"/>
                <w:sz w:val="20"/>
                <w:lang w:eastAsia="en-NZ"/>
              </w:rPr>
              <w:t>22,457</w:t>
            </w:r>
          </w:p>
        </w:tc>
        <w:tc>
          <w:tcPr>
            <w:tcW w:w="1200" w:type="dxa"/>
            <w:shd w:val="clear" w:color="000000" w:fill="E8E8E8"/>
            <w:noWrap/>
            <w:hideMark/>
          </w:tcPr>
          <w:p w:rsidR="0097544C" w:rsidRPr="001244BB" w:rsidRDefault="0097544C" w:rsidP="0025274D">
            <w:pPr>
              <w:spacing w:after="0" w:line="240" w:lineRule="auto"/>
              <w:jc w:val="right"/>
              <w:rPr>
                <w:rFonts w:ascii="Arial" w:eastAsia="Times New Roman" w:hAnsi="Arial" w:cs="Arial"/>
                <w:color w:val="000000"/>
                <w:sz w:val="20"/>
                <w:lang w:eastAsia="en-NZ"/>
              </w:rPr>
            </w:pPr>
            <w:r w:rsidRPr="001244BB">
              <w:rPr>
                <w:rFonts w:ascii="Arial" w:eastAsia="Times New Roman" w:hAnsi="Arial" w:cs="Arial"/>
                <w:color w:val="000000"/>
                <w:sz w:val="20"/>
                <w:lang w:eastAsia="en-NZ"/>
              </w:rPr>
              <w:t>21,740</w:t>
            </w:r>
          </w:p>
        </w:tc>
        <w:tc>
          <w:tcPr>
            <w:tcW w:w="1200" w:type="dxa"/>
            <w:shd w:val="clear" w:color="000000" w:fill="E8E8E8"/>
            <w:noWrap/>
            <w:hideMark/>
          </w:tcPr>
          <w:p w:rsidR="0097544C" w:rsidRPr="001244BB" w:rsidRDefault="0097544C" w:rsidP="0025274D">
            <w:pPr>
              <w:spacing w:after="0" w:line="240" w:lineRule="auto"/>
              <w:jc w:val="right"/>
              <w:rPr>
                <w:rFonts w:ascii="Arial" w:eastAsia="Times New Roman" w:hAnsi="Arial" w:cs="Arial"/>
                <w:color w:val="000000"/>
                <w:sz w:val="20"/>
                <w:lang w:eastAsia="en-NZ"/>
              </w:rPr>
            </w:pPr>
            <w:r w:rsidRPr="001244BB">
              <w:rPr>
                <w:rFonts w:ascii="Arial" w:eastAsia="Times New Roman" w:hAnsi="Arial" w:cs="Arial"/>
                <w:color w:val="000000"/>
                <w:sz w:val="20"/>
                <w:lang w:eastAsia="en-NZ"/>
              </w:rPr>
              <w:t>(717)</w:t>
            </w:r>
          </w:p>
        </w:tc>
        <w:tc>
          <w:tcPr>
            <w:tcW w:w="3529" w:type="dxa"/>
            <w:shd w:val="clear" w:color="auto" w:fill="auto"/>
            <w:vAlign w:val="bottom"/>
            <w:hideMark/>
          </w:tcPr>
          <w:p w:rsidR="0097544C" w:rsidRPr="001244BB" w:rsidRDefault="0097544C" w:rsidP="0025274D">
            <w:pPr>
              <w:spacing w:after="0" w:line="240" w:lineRule="auto"/>
              <w:rPr>
                <w:rFonts w:ascii="Arial" w:eastAsia="Times New Roman" w:hAnsi="Arial" w:cs="Arial"/>
                <w:color w:val="000000"/>
                <w:sz w:val="20"/>
                <w:lang w:eastAsia="en-NZ"/>
              </w:rPr>
            </w:pPr>
            <w:r w:rsidRPr="001244BB">
              <w:rPr>
                <w:rFonts w:ascii="Arial" w:eastAsia="Times New Roman" w:hAnsi="Arial" w:cs="Arial"/>
                <w:color w:val="000000"/>
                <w:sz w:val="20"/>
                <w:lang w:eastAsia="en-NZ"/>
              </w:rPr>
              <w:t> </w:t>
            </w:r>
          </w:p>
        </w:tc>
      </w:tr>
      <w:tr w:rsidR="0097544C" w:rsidRPr="001244BB" w:rsidTr="0025274D">
        <w:trPr>
          <w:trHeight w:val="300"/>
        </w:trPr>
        <w:tc>
          <w:tcPr>
            <w:tcW w:w="4540" w:type="dxa"/>
            <w:shd w:val="clear" w:color="auto" w:fill="FFC9E4"/>
            <w:noWrap/>
            <w:vAlign w:val="bottom"/>
            <w:hideMark/>
          </w:tcPr>
          <w:p w:rsidR="0097544C" w:rsidRPr="001244BB" w:rsidRDefault="0097544C" w:rsidP="0025274D">
            <w:pPr>
              <w:spacing w:after="0" w:line="240" w:lineRule="auto"/>
              <w:rPr>
                <w:rFonts w:ascii="Arial" w:eastAsia="Times New Roman" w:hAnsi="Arial" w:cs="Arial"/>
                <w:b/>
                <w:bCs/>
                <w:color w:val="000000"/>
                <w:sz w:val="20"/>
                <w:lang w:eastAsia="en-NZ"/>
              </w:rPr>
            </w:pPr>
            <w:r w:rsidRPr="001244BB">
              <w:rPr>
                <w:rFonts w:ascii="Arial" w:eastAsia="Times New Roman" w:hAnsi="Arial" w:cs="Arial"/>
                <w:b/>
                <w:bCs/>
                <w:color w:val="000000"/>
                <w:sz w:val="20"/>
                <w:lang w:eastAsia="en-NZ"/>
              </w:rPr>
              <w:t>Cultural Wellbeing Total</w:t>
            </w:r>
          </w:p>
        </w:tc>
        <w:tc>
          <w:tcPr>
            <w:tcW w:w="1180" w:type="dxa"/>
            <w:shd w:val="clear" w:color="auto" w:fill="FFC9E4"/>
            <w:noWrap/>
            <w:vAlign w:val="bottom"/>
          </w:tcPr>
          <w:p w:rsidR="0097544C" w:rsidRPr="001244BB" w:rsidRDefault="0097544C" w:rsidP="0025274D">
            <w:pPr>
              <w:spacing w:after="0" w:line="240" w:lineRule="auto"/>
              <w:jc w:val="right"/>
              <w:rPr>
                <w:rFonts w:ascii="Arial" w:eastAsia="Times New Roman" w:hAnsi="Arial" w:cs="Arial"/>
                <w:b/>
                <w:bCs/>
                <w:color w:val="000000"/>
                <w:sz w:val="20"/>
                <w:lang w:eastAsia="en-NZ"/>
              </w:rPr>
            </w:pPr>
          </w:p>
        </w:tc>
        <w:tc>
          <w:tcPr>
            <w:tcW w:w="1200" w:type="dxa"/>
            <w:shd w:val="clear" w:color="auto" w:fill="FFC9E4"/>
            <w:noWrap/>
            <w:vAlign w:val="bottom"/>
          </w:tcPr>
          <w:p w:rsidR="0097544C" w:rsidRPr="001244BB" w:rsidRDefault="0097544C" w:rsidP="0025274D">
            <w:pPr>
              <w:spacing w:after="0" w:line="240" w:lineRule="auto"/>
              <w:jc w:val="right"/>
              <w:rPr>
                <w:rFonts w:ascii="Arial" w:eastAsia="Times New Roman" w:hAnsi="Arial" w:cs="Arial"/>
                <w:b/>
                <w:bCs/>
                <w:color w:val="000000"/>
                <w:sz w:val="20"/>
                <w:lang w:eastAsia="en-NZ"/>
              </w:rPr>
            </w:pPr>
          </w:p>
        </w:tc>
        <w:tc>
          <w:tcPr>
            <w:tcW w:w="1200" w:type="dxa"/>
            <w:shd w:val="clear" w:color="auto" w:fill="FFC9E4"/>
            <w:noWrap/>
            <w:vAlign w:val="bottom"/>
          </w:tcPr>
          <w:p w:rsidR="0097544C" w:rsidRPr="001244BB" w:rsidRDefault="0097544C" w:rsidP="0025274D">
            <w:pPr>
              <w:spacing w:after="0" w:line="240" w:lineRule="auto"/>
              <w:jc w:val="right"/>
              <w:rPr>
                <w:rFonts w:ascii="Arial" w:eastAsia="Times New Roman" w:hAnsi="Arial" w:cs="Arial"/>
                <w:b/>
                <w:bCs/>
                <w:color w:val="000000"/>
                <w:sz w:val="20"/>
                <w:lang w:eastAsia="en-NZ"/>
              </w:rPr>
            </w:pPr>
          </w:p>
        </w:tc>
        <w:tc>
          <w:tcPr>
            <w:tcW w:w="1200" w:type="dxa"/>
            <w:shd w:val="clear" w:color="auto" w:fill="FFC9E4"/>
            <w:noWrap/>
            <w:vAlign w:val="bottom"/>
          </w:tcPr>
          <w:p w:rsidR="0097544C" w:rsidRPr="001244BB" w:rsidRDefault="0097544C" w:rsidP="0025274D">
            <w:pPr>
              <w:spacing w:after="0" w:line="240" w:lineRule="auto"/>
              <w:jc w:val="right"/>
              <w:rPr>
                <w:rFonts w:ascii="Arial" w:eastAsia="Times New Roman" w:hAnsi="Arial" w:cs="Arial"/>
                <w:b/>
                <w:bCs/>
                <w:color w:val="000000"/>
                <w:sz w:val="20"/>
                <w:lang w:eastAsia="en-NZ"/>
              </w:rPr>
            </w:pPr>
          </w:p>
        </w:tc>
        <w:tc>
          <w:tcPr>
            <w:tcW w:w="1200" w:type="dxa"/>
            <w:shd w:val="clear" w:color="auto" w:fill="FFC9E4"/>
            <w:noWrap/>
            <w:vAlign w:val="bottom"/>
          </w:tcPr>
          <w:p w:rsidR="0097544C" w:rsidRPr="001244BB" w:rsidRDefault="0097544C" w:rsidP="0025274D">
            <w:pPr>
              <w:spacing w:after="0" w:line="240" w:lineRule="auto"/>
              <w:jc w:val="right"/>
              <w:rPr>
                <w:rFonts w:ascii="Arial" w:eastAsia="Times New Roman" w:hAnsi="Arial" w:cs="Arial"/>
                <w:b/>
                <w:bCs/>
                <w:color w:val="000000"/>
                <w:sz w:val="20"/>
                <w:lang w:eastAsia="en-NZ"/>
              </w:rPr>
            </w:pPr>
          </w:p>
        </w:tc>
        <w:tc>
          <w:tcPr>
            <w:tcW w:w="3529" w:type="dxa"/>
            <w:shd w:val="clear" w:color="auto" w:fill="FFC9E4"/>
            <w:vAlign w:val="bottom"/>
            <w:hideMark/>
          </w:tcPr>
          <w:p w:rsidR="0097544C" w:rsidRPr="001244BB" w:rsidRDefault="0097544C" w:rsidP="0025274D">
            <w:pPr>
              <w:spacing w:after="0" w:line="240" w:lineRule="auto"/>
              <w:rPr>
                <w:rFonts w:ascii="Arial" w:eastAsia="Times New Roman" w:hAnsi="Arial" w:cs="Arial"/>
                <w:color w:val="000000"/>
                <w:sz w:val="20"/>
                <w:lang w:eastAsia="en-NZ"/>
              </w:rPr>
            </w:pPr>
          </w:p>
        </w:tc>
      </w:tr>
      <w:tr w:rsidR="0097544C" w:rsidRPr="001244BB" w:rsidTr="0025274D">
        <w:trPr>
          <w:trHeight w:val="300"/>
        </w:trPr>
        <w:tc>
          <w:tcPr>
            <w:tcW w:w="4540" w:type="dxa"/>
            <w:shd w:val="clear" w:color="auto" w:fill="auto"/>
            <w:noWrap/>
            <w:hideMark/>
          </w:tcPr>
          <w:p w:rsidR="0097544C" w:rsidRPr="001244BB" w:rsidRDefault="0097544C" w:rsidP="0025274D">
            <w:pPr>
              <w:spacing w:after="0" w:line="240" w:lineRule="auto"/>
              <w:rPr>
                <w:rFonts w:ascii="Arial" w:eastAsia="Times New Roman" w:hAnsi="Arial" w:cs="Arial"/>
                <w:color w:val="000000"/>
                <w:sz w:val="20"/>
                <w:lang w:eastAsia="en-NZ"/>
              </w:rPr>
            </w:pPr>
            <w:r w:rsidRPr="001244BB">
              <w:rPr>
                <w:rFonts w:ascii="Arial" w:eastAsia="Times New Roman" w:hAnsi="Arial" w:cs="Arial"/>
                <w:color w:val="000000"/>
                <w:sz w:val="20"/>
                <w:lang w:eastAsia="en-NZ"/>
              </w:rPr>
              <w:t>Expenditure</w:t>
            </w:r>
          </w:p>
        </w:tc>
        <w:tc>
          <w:tcPr>
            <w:tcW w:w="1180" w:type="dxa"/>
            <w:shd w:val="clear" w:color="auto" w:fill="auto"/>
            <w:noWrap/>
            <w:hideMark/>
          </w:tcPr>
          <w:p w:rsidR="0097544C" w:rsidRPr="001244BB" w:rsidRDefault="0097544C" w:rsidP="0025274D">
            <w:pPr>
              <w:spacing w:after="0" w:line="240" w:lineRule="auto"/>
              <w:jc w:val="right"/>
              <w:rPr>
                <w:rFonts w:ascii="Arial" w:eastAsia="Times New Roman" w:hAnsi="Arial" w:cs="Arial"/>
                <w:color w:val="000000"/>
                <w:sz w:val="20"/>
                <w:lang w:eastAsia="en-NZ"/>
              </w:rPr>
            </w:pPr>
            <w:r w:rsidRPr="001244BB">
              <w:rPr>
                <w:rFonts w:ascii="Arial" w:eastAsia="Times New Roman" w:hAnsi="Arial" w:cs="Arial"/>
                <w:color w:val="000000"/>
                <w:sz w:val="20"/>
                <w:lang w:eastAsia="en-NZ"/>
              </w:rPr>
              <w:t>20,625</w:t>
            </w:r>
          </w:p>
        </w:tc>
        <w:tc>
          <w:tcPr>
            <w:tcW w:w="1200" w:type="dxa"/>
            <w:shd w:val="clear" w:color="auto" w:fill="auto"/>
            <w:noWrap/>
            <w:hideMark/>
          </w:tcPr>
          <w:p w:rsidR="0097544C" w:rsidRPr="001244BB" w:rsidRDefault="0097544C" w:rsidP="0025274D">
            <w:pPr>
              <w:spacing w:after="0" w:line="240" w:lineRule="auto"/>
              <w:jc w:val="right"/>
              <w:rPr>
                <w:rFonts w:ascii="Arial" w:eastAsia="Times New Roman" w:hAnsi="Arial" w:cs="Arial"/>
                <w:color w:val="000000"/>
                <w:sz w:val="20"/>
                <w:lang w:eastAsia="en-NZ"/>
              </w:rPr>
            </w:pPr>
            <w:r w:rsidRPr="001244BB">
              <w:rPr>
                <w:rFonts w:ascii="Arial" w:eastAsia="Times New Roman" w:hAnsi="Arial" w:cs="Arial"/>
                <w:color w:val="000000"/>
                <w:sz w:val="20"/>
                <w:lang w:eastAsia="en-NZ"/>
              </w:rPr>
              <w:t>21,256</w:t>
            </w:r>
          </w:p>
        </w:tc>
        <w:tc>
          <w:tcPr>
            <w:tcW w:w="1200" w:type="dxa"/>
            <w:shd w:val="clear" w:color="000000" w:fill="E8E8E8"/>
            <w:noWrap/>
            <w:hideMark/>
          </w:tcPr>
          <w:p w:rsidR="0097544C" w:rsidRPr="001244BB" w:rsidRDefault="0097544C" w:rsidP="0025274D">
            <w:pPr>
              <w:spacing w:after="0" w:line="240" w:lineRule="auto"/>
              <w:jc w:val="right"/>
              <w:rPr>
                <w:rFonts w:ascii="Arial" w:eastAsia="Times New Roman" w:hAnsi="Arial" w:cs="Arial"/>
                <w:color w:val="000000"/>
                <w:sz w:val="20"/>
                <w:lang w:eastAsia="en-NZ"/>
              </w:rPr>
            </w:pPr>
            <w:r w:rsidRPr="001244BB">
              <w:rPr>
                <w:rFonts w:ascii="Arial" w:eastAsia="Times New Roman" w:hAnsi="Arial" w:cs="Arial"/>
                <w:color w:val="000000"/>
                <w:sz w:val="20"/>
                <w:lang w:eastAsia="en-NZ"/>
              </w:rPr>
              <w:t>23,268</w:t>
            </w:r>
          </w:p>
        </w:tc>
        <w:tc>
          <w:tcPr>
            <w:tcW w:w="1200" w:type="dxa"/>
            <w:shd w:val="clear" w:color="000000" w:fill="E8E8E8"/>
            <w:noWrap/>
            <w:hideMark/>
          </w:tcPr>
          <w:p w:rsidR="0097544C" w:rsidRPr="001244BB" w:rsidRDefault="0097544C" w:rsidP="0025274D">
            <w:pPr>
              <w:spacing w:after="0" w:line="240" w:lineRule="auto"/>
              <w:jc w:val="right"/>
              <w:rPr>
                <w:rFonts w:ascii="Arial" w:eastAsia="Times New Roman" w:hAnsi="Arial" w:cs="Arial"/>
                <w:color w:val="000000"/>
                <w:sz w:val="20"/>
                <w:lang w:eastAsia="en-NZ"/>
              </w:rPr>
            </w:pPr>
            <w:r w:rsidRPr="001244BB">
              <w:rPr>
                <w:rFonts w:ascii="Arial" w:eastAsia="Times New Roman" w:hAnsi="Arial" w:cs="Arial"/>
                <w:color w:val="000000"/>
                <w:sz w:val="20"/>
                <w:lang w:eastAsia="en-NZ"/>
              </w:rPr>
              <w:t>22,766</w:t>
            </w:r>
          </w:p>
        </w:tc>
        <w:tc>
          <w:tcPr>
            <w:tcW w:w="1200" w:type="dxa"/>
            <w:shd w:val="clear" w:color="000000" w:fill="E8E8E8"/>
            <w:noWrap/>
            <w:hideMark/>
          </w:tcPr>
          <w:p w:rsidR="0097544C" w:rsidRPr="001244BB" w:rsidRDefault="0097544C" w:rsidP="0025274D">
            <w:pPr>
              <w:spacing w:after="0" w:line="240" w:lineRule="auto"/>
              <w:jc w:val="right"/>
              <w:rPr>
                <w:rFonts w:ascii="Arial" w:eastAsia="Times New Roman" w:hAnsi="Arial" w:cs="Arial"/>
                <w:color w:val="000000"/>
                <w:sz w:val="20"/>
                <w:lang w:eastAsia="en-NZ"/>
              </w:rPr>
            </w:pPr>
            <w:r w:rsidRPr="001244BB">
              <w:rPr>
                <w:rFonts w:ascii="Arial" w:eastAsia="Times New Roman" w:hAnsi="Arial" w:cs="Arial"/>
                <w:color w:val="000000"/>
                <w:sz w:val="20"/>
                <w:lang w:eastAsia="en-NZ"/>
              </w:rPr>
              <w:t>(501)</w:t>
            </w:r>
          </w:p>
        </w:tc>
        <w:tc>
          <w:tcPr>
            <w:tcW w:w="3529" w:type="dxa"/>
            <w:shd w:val="clear" w:color="auto" w:fill="auto"/>
            <w:vAlign w:val="bottom"/>
            <w:hideMark/>
          </w:tcPr>
          <w:p w:rsidR="0097544C" w:rsidRPr="001244BB" w:rsidRDefault="0097544C" w:rsidP="0025274D">
            <w:pPr>
              <w:spacing w:after="0" w:line="240" w:lineRule="auto"/>
              <w:rPr>
                <w:rFonts w:ascii="Arial" w:eastAsia="Times New Roman" w:hAnsi="Arial" w:cs="Arial"/>
                <w:color w:val="000000"/>
                <w:sz w:val="20"/>
                <w:lang w:eastAsia="en-NZ"/>
              </w:rPr>
            </w:pPr>
            <w:r w:rsidRPr="001244BB">
              <w:rPr>
                <w:rFonts w:ascii="Arial" w:eastAsia="Times New Roman" w:hAnsi="Arial" w:cs="Arial"/>
                <w:color w:val="000000"/>
                <w:sz w:val="20"/>
                <w:lang w:eastAsia="en-NZ"/>
              </w:rPr>
              <w:t>See above comment</w:t>
            </w:r>
          </w:p>
        </w:tc>
      </w:tr>
      <w:tr w:rsidR="0097544C" w:rsidRPr="001244BB" w:rsidTr="0025274D">
        <w:trPr>
          <w:trHeight w:val="300"/>
        </w:trPr>
        <w:tc>
          <w:tcPr>
            <w:tcW w:w="4540" w:type="dxa"/>
            <w:shd w:val="clear" w:color="auto" w:fill="auto"/>
            <w:noWrap/>
            <w:hideMark/>
          </w:tcPr>
          <w:p w:rsidR="0097544C" w:rsidRPr="001244BB" w:rsidRDefault="0097544C" w:rsidP="0025274D">
            <w:pPr>
              <w:spacing w:after="0" w:line="240" w:lineRule="auto"/>
              <w:rPr>
                <w:rFonts w:ascii="Arial" w:eastAsia="Times New Roman" w:hAnsi="Arial" w:cs="Arial"/>
                <w:color w:val="000000"/>
                <w:sz w:val="20"/>
                <w:lang w:eastAsia="en-NZ"/>
              </w:rPr>
            </w:pPr>
            <w:r w:rsidRPr="001244BB">
              <w:rPr>
                <w:rFonts w:ascii="Arial" w:eastAsia="Times New Roman" w:hAnsi="Arial" w:cs="Arial"/>
                <w:color w:val="000000"/>
                <w:sz w:val="20"/>
                <w:lang w:eastAsia="en-NZ"/>
              </w:rPr>
              <w:t>Revenue</w:t>
            </w:r>
          </w:p>
        </w:tc>
        <w:tc>
          <w:tcPr>
            <w:tcW w:w="1180" w:type="dxa"/>
            <w:shd w:val="clear" w:color="auto" w:fill="auto"/>
            <w:noWrap/>
            <w:hideMark/>
          </w:tcPr>
          <w:p w:rsidR="0097544C" w:rsidRPr="001244BB" w:rsidRDefault="0097544C" w:rsidP="0025274D">
            <w:pPr>
              <w:spacing w:after="0" w:line="240" w:lineRule="auto"/>
              <w:jc w:val="right"/>
              <w:rPr>
                <w:rFonts w:ascii="Arial" w:eastAsia="Times New Roman" w:hAnsi="Arial" w:cs="Arial"/>
                <w:color w:val="000000"/>
                <w:sz w:val="20"/>
                <w:lang w:eastAsia="en-NZ"/>
              </w:rPr>
            </w:pPr>
            <w:r w:rsidRPr="001244BB">
              <w:rPr>
                <w:rFonts w:ascii="Arial" w:eastAsia="Times New Roman" w:hAnsi="Arial" w:cs="Arial"/>
                <w:color w:val="000000"/>
                <w:sz w:val="20"/>
                <w:lang w:eastAsia="en-NZ"/>
              </w:rPr>
              <w:t>(749)</w:t>
            </w:r>
          </w:p>
        </w:tc>
        <w:tc>
          <w:tcPr>
            <w:tcW w:w="1200" w:type="dxa"/>
            <w:shd w:val="clear" w:color="auto" w:fill="auto"/>
            <w:noWrap/>
            <w:hideMark/>
          </w:tcPr>
          <w:p w:rsidR="0097544C" w:rsidRPr="001244BB" w:rsidRDefault="0097544C" w:rsidP="006C5FB5">
            <w:pPr>
              <w:spacing w:after="0" w:line="240" w:lineRule="auto"/>
              <w:jc w:val="right"/>
              <w:rPr>
                <w:rFonts w:ascii="Arial" w:eastAsia="Times New Roman" w:hAnsi="Arial" w:cs="Arial"/>
                <w:color w:val="000000"/>
                <w:sz w:val="20"/>
                <w:lang w:eastAsia="en-NZ"/>
              </w:rPr>
            </w:pPr>
            <w:r w:rsidRPr="001244BB">
              <w:rPr>
                <w:rFonts w:ascii="Arial" w:eastAsia="Times New Roman" w:hAnsi="Arial" w:cs="Arial"/>
                <w:color w:val="000000"/>
                <w:sz w:val="20"/>
                <w:lang w:eastAsia="en-NZ"/>
              </w:rPr>
              <w:t>(</w:t>
            </w:r>
            <w:r w:rsidR="006C5FB5" w:rsidRPr="001244BB">
              <w:rPr>
                <w:rFonts w:ascii="Arial" w:eastAsia="Times New Roman" w:hAnsi="Arial" w:cs="Arial"/>
                <w:color w:val="000000"/>
                <w:sz w:val="20"/>
                <w:lang w:eastAsia="en-NZ"/>
              </w:rPr>
              <w:t>74</w:t>
            </w:r>
            <w:r w:rsidR="006C5FB5">
              <w:rPr>
                <w:rFonts w:ascii="Arial" w:eastAsia="Times New Roman" w:hAnsi="Arial" w:cs="Arial"/>
                <w:color w:val="000000"/>
                <w:sz w:val="20"/>
                <w:lang w:eastAsia="en-NZ"/>
              </w:rPr>
              <w:t>6</w:t>
            </w:r>
            <w:r w:rsidRPr="001244BB">
              <w:rPr>
                <w:rFonts w:ascii="Arial" w:eastAsia="Times New Roman" w:hAnsi="Arial" w:cs="Arial"/>
                <w:color w:val="000000"/>
                <w:sz w:val="20"/>
                <w:lang w:eastAsia="en-NZ"/>
              </w:rPr>
              <w:t>)</w:t>
            </w:r>
          </w:p>
        </w:tc>
        <w:tc>
          <w:tcPr>
            <w:tcW w:w="1200" w:type="dxa"/>
            <w:shd w:val="clear" w:color="000000" w:fill="E8E8E8"/>
            <w:noWrap/>
            <w:hideMark/>
          </w:tcPr>
          <w:p w:rsidR="0097544C" w:rsidRPr="001244BB" w:rsidRDefault="0097544C" w:rsidP="0025274D">
            <w:pPr>
              <w:spacing w:after="0" w:line="240" w:lineRule="auto"/>
              <w:jc w:val="right"/>
              <w:rPr>
                <w:rFonts w:ascii="Arial" w:eastAsia="Times New Roman" w:hAnsi="Arial" w:cs="Arial"/>
                <w:color w:val="000000"/>
                <w:sz w:val="20"/>
                <w:lang w:eastAsia="en-NZ"/>
              </w:rPr>
            </w:pPr>
            <w:r w:rsidRPr="001244BB">
              <w:rPr>
                <w:rFonts w:ascii="Arial" w:eastAsia="Times New Roman" w:hAnsi="Arial" w:cs="Arial"/>
                <w:color w:val="000000"/>
                <w:sz w:val="20"/>
                <w:lang w:eastAsia="en-NZ"/>
              </w:rPr>
              <w:t>(811)</w:t>
            </w:r>
          </w:p>
        </w:tc>
        <w:tc>
          <w:tcPr>
            <w:tcW w:w="1200" w:type="dxa"/>
            <w:shd w:val="clear" w:color="000000" w:fill="E8E8E8"/>
            <w:noWrap/>
            <w:hideMark/>
          </w:tcPr>
          <w:p w:rsidR="0097544C" w:rsidRPr="001244BB" w:rsidRDefault="0097544C" w:rsidP="0025274D">
            <w:pPr>
              <w:spacing w:after="0" w:line="240" w:lineRule="auto"/>
              <w:jc w:val="right"/>
              <w:rPr>
                <w:rFonts w:ascii="Arial" w:eastAsia="Times New Roman" w:hAnsi="Arial" w:cs="Arial"/>
                <w:color w:val="000000"/>
                <w:sz w:val="20"/>
                <w:lang w:eastAsia="en-NZ"/>
              </w:rPr>
            </w:pPr>
            <w:r w:rsidRPr="001244BB">
              <w:rPr>
                <w:rFonts w:ascii="Arial" w:eastAsia="Times New Roman" w:hAnsi="Arial" w:cs="Arial"/>
                <w:color w:val="000000"/>
                <w:sz w:val="20"/>
                <w:lang w:eastAsia="en-NZ"/>
              </w:rPr>
              <w:t>(1,026)</w:t>
            </w:r>
          </w:p>
        </w:tc>
        <w:tc>
          <w:tcPr>
            <w:tcW w:w="1200" w:type="dxa"/>
            <w:shd w:val="clear" w:color="000000" w:fill="E8E8E8"/>
            <w:noWrap/>
            <w:hideMark/>
          </w:tcPr>
          <w:p w:rsidR="0097544C" w:rsidRPr="001244BB" w:rsidRDefault="0097544C" w:rsidP="0025274D">
            <w:pPr>
              <w:spacing w:after="0" w:line="240" w:lineRule="auto"/>
              <w:jc w:val="right"/>
              <w:rPr>
                <w:rFonts w:ascii="Arial" w:eastAsia="Times New Roman" w:hAnsi="Arial" w:cs="Arial"/>
                <w:color w:val="000000"/>
                <w:sz w:val="20"/>
                <w:lang w:eastAsia="en-NZ"/>
              </w:rPr>
            </w:pPr>
            <w:r w:rsidRPr="001244BB">
              <w:rPr>
                <w:rFonts w:ascii="Arial" w:eastAsia="Times New Roman" w:hAnsi="Arial" w:cs="Arial"/>
                <w:color w:val="000000"/>
                <w:sz w:val="20"/>
                <w:lang w:eastAsia="en-NZ"/>
              </w:rPr>
              <w:t>(215)</w:t>
            </w:r>
          </w:p>
        </w:tc>
        <w:tc>
          <w:tcPr>
            <w:tcW w:w="3529" w:type="dxa"/>
            <w:shd w:val="clear" w:color="auto" w:fill="auto"/>
            <w:vAlign w:val="bottom"/>
            <w:hideMark/>
          </w:tcPr>
          <w:p w:rsidR="0097544C" w:rsidRPr="001244BB" w:rsidRDefault="0097544C" w:rsidP="0025274D">
            <w:pPr>
              <w:spacing w:after="0" w:line="240" w:lineRule="auto"/>
              <w:rPr>
                <w:rFonts w:ascii="Arial" w:eastAsia="Times New Roman" w:hAnsi="Arial" w:cs="Arial"/>
                <w:color w:val="000000"/>
                <w:sz w:val="20"/>
                <w:lang w:eastAsia="en-NZ"/>
              </w:rPr>
            </w:pPr>
          </w:p>
        </w:tc>
      </w:tr>
      <w:tr w:rsidR="0097544C" w:rsidRPr="001244BB" w:rsidTr="0025274D">
        <w:trPr>
          <w:trHeight w:val="300"/>
        </w:trPr>
        <w:tc>
          <w:tcPr>
            <w:tcW w:w="4540" w:type="dxa"/>
            <w:shd w:val="clear" w:color="auto" w:fill="auto"/>
            <w:noWrap/>
            <w:hideMark/>
          </w:tcPr>
          <w:p w:rsidR="0097544C" w:rsidRPr="001244BB" w:rsidRDefault="0097544C" w:rsidP="0025274D">
            <w:pPr>
              <w:spacing w:after="0" w:line="240" w:lineRule="auto"/>
              <w:rPr>
                <w:rFonts w:ascii="Arial" w:eastAsia="Times New Roman" w:hAnsi="Arial" w:cs="Arial"/>
                <w:color w:val="000000"/>
                <w:sz w:val="20"/>
                <w:lang w:eastAsia="en-NZ"/>
              </w:rPr>
            </w:pPr>
            <w:r w:rsidRPr="001244BB">
              <w:rPr>
                <w:rFonts w:ascii="Arial" w:eastAsia="Times New Roman" w:hAnsi="Arial" w:cs="Arial"/>
                <w:color w:val="000000"/>
                <w:sz w:val="20"/>
                <w:lang w:eastAsia="en-NZ"/>
              </w:rPr>
              <w:t>Net Expenditure</w:t>
            </w:r>
          </w:p>
        </w:tc>
        <w:tc>
          <w:tcPr>
            <w:tcW w:w="1180" w:type="dxa"/>
            <w:shd w:val="clear" w:color="auto" w:fill="auto"/>
            <w:noWrap/>
            <w:hideMark/>
          </w:tcPr>
          <w:p w:rsidR="0097544C" w:rsidRPr="001244BB" w:rsidRDefault="0097544C" w:rsidP="0025274D">
            <w:pPr>
              <w:spacing w:after="0" w:line="240" w:lineRule="auto"/>
              <w:jc w:val="right"/>
              <w:rPr>
                <w:rFonts w:ascii="Arial" w:eastAsia="Times New Roman" w:hAnsi="Arial" w:cs="Arial"/>
                <w:color w:val="000000"/>
                <w:sz w:val="20"/>
                <w:lang w:eastAsia="en-NZ"/>
              </w:rPr>
            </w:pPr>
            <w:r w:rsidRPr="001244BB">
              <w:rPr>
                <w:rFonts w:ascii="Arial" w:eastAsia="Times New Roman" w:hAnsi="Arial" w:cs="Arial"/>
                <w:color w:val="000000"/>
                <w:sz w:val="20"/>
                <w:lang w:eastAsia="en-NZ"/>
              </w:rPr>
              <w:t>19,877</w:t>
            </w:r>
          </w:p>
        </w:tc>
        <w:tc>
          <w:tcPr>
            <w:tcW w:w="1200" w:type="dxa"/>
            <w:shd w:val="clear" w:color="auto" w:fill="auto"/>
            <w:noWrap/>
            <w:hideMark/>
          </w:tcPr>
          <w:p w:rsidR="0097544C" w:rsidRPr="001244BB" w:rsidRDefault="0097544C" w:rsidP="006C5FB5">
            <w:pPr>
              <w:spacing w:after="0" w:line="240" w:lineRule="auto"/>
              <w:jc w:val="right"/>
              <w:rPr>
                <w:rFonts w:ascii="Arial" w:eastAsia="Times New Roman" w:hAnsi="Arial" w:cs="Arial"/>
                <w:color w:val="000000"/>
                <w:sz w:val="20"/>
                <w:lang w:eastAsia="en-NZ"/>
              </w:rPr>
            </w:pPr>
            <w:r w:rsidRPr="001244BB">
              <w:rPr>
                <w:rFonts w:ascii="Arial" w:eastAsia="Times New Roman" w:hAnsi="Arial" w:cs="Arial"/>
                <w:color w:val="000000"/>
                <w:sz w:val="20"/>
                <w:lang w:eastAsia="en-NZ"/>
              </w:rPr>
              <w:t>20,</w:t>
            </w:r>
            <w:r w:rsidR="006C5FB5" w:rsidRPr="001244BB">
              <w:rPr>
                <w:rFonts w:ascii="Arial" w:eastAsia="Times New Roman" w:hAnsi="Arial" w:cs="Arial"/>
                <w:color w:val="000000"/>
                <w:sz w:val="20"/>
                <w:lang w:eastAsia="en-NZ"/>
              </w:rPr>
              <w:t>5</w:t>
            </w:r>
            <w:r w:rsidR="006C5FB5">
              <w:rPr>
                <w:rFonts w:ascii="Arial" w:eastAsia="Times New Roman" w:hAnsi="Arial" w:cs="Arial"/>
                <w:color w:val="000000"/>
                <w:sz w:val="20"/>
                <w:lang w:eastAsia="en-NZ"/>
              </w:rPr>
              <w:t>10</w:t>
            </w:r>
          </w:p>
        </w:tc>
        <w:tc>
          <w:tcPr>
            <w:tcW w:w="1200" w:type="dxa"/>
            <w:shd w:val="clear" w:color="000000" w:fill="E8E8E8"/>
            <w:noWrap/>
            <w:hideMark/>
          </w:tcPr>
          <w:p w:rsidR="0097544C" w:rsidRPr="001244BB" w:rsidRDefault="0097544C" w:rsidP="0025274D">
            <w:pPr>
              <w:spacing w:after="0" w:line="240" w:lineRule="auto"/>
              <w:jc w:val="right"/>
              <w:rPr>
                <w:rFonts w:ascii="Arial" w:eastAsia="Times New Roman" w:hAnsi="Arial" w:cs="Arial"/>
                <w:color w:val="000000"/>
                <w:sz w:val="20"/>
                <w:lang w:eastAsia="en-NZ"/>
              </w:rPr>
            </w:pPr>
            <w:r w:rsidRPr="001244BB">
              <w:rPr>
                <w:rFonts w:ascii="Arial" w:eastAsia="Times New Roman" w:hAnsi="Arial" w:cs="Arial"/>
                <w:color w:val="000000"/>
                <w:sz w:val="20"/>
                <w:lang w:eastAsia="en-NZ"/>
              </w:rPr>
              <w:t>22,457</w:t>
            </w:r>
          </w:p>
        </w:tc>
        <w:tc>
          <w:tcPr>
            <w:tcW w:w="1200" w:type="dxa"/>
            <w:shd w:val="clear" w:color="000000" w:fill="E8E8E8"/>
            <w:noWrap/>
            <w:hideMark/>
          </w:tcPr>
          <w:p w:rsidR="0097544C" w:rsidRPr="001244BB" w:rsidRDefault="0097544C" w:rsidP="0025274D">
            <w:pPr>
              <w:spacing w:after="0" w:line="240" w:lineRule="auto"/>
              <w:jc w:val="right"/>
              <w:rPr>
                <w:rFonts w:ascii="Arial" w:eastAsia="Times New Roman" w:hAnsi="Arial" w:cs="Arial"/>
                <w:color w:val="000000"/>
                <w:sz w:val="20"/>
                <w:lang w:eastAsia="en-NZ"/>
              </w:rPr>
            </w:pPr>
            <w:r w:rsidRPr="001244BB">
              <w:rPr>
                <w:rFonts w:ascii="Arial" w:eastAsia="Times New Roman" w:hAnsi="Arial" w:cs="Arial"/>
                <w:color w:val="000000"/>
                <w:sz w:val="20"/>
                <w:lang w:eastAsia="en-NZ"/>
              </w:rPr>
              <w:t>21,740</w:t>
            </w:r>
          </w:p>
        </w:tc>
        <w:tc>
          <w:tcPr>
            <w:tcW w:w="1200" w:type="dxa"/>
            <w:shd w:val="clear" w:color="000000" w:fill="E8E8E8"/>
            <w:noWrap/>
            <w:hideMark/>
          </w:tcPr>
          <w:p w:rsidR="0097544C" w:rsidRPr="001244BB" w:rsidRDefault="0097544C" w:rsidP="0025274D">
            <w:pPr>
              <w:spacing w:after="0" w:line="240" w:lineRule="auto"/>
              <w:jc w:val="right"/>
              <w:rPr>
                <w:rFonts w:ascii="Arial" w:eastAsia="Times New Roman" w:hAnsi="Arial" w:cs="Arial"/>
                <w:color w:val="000000"/>
                <w:sz w:val="20"/>
                <w:lang w:eastAsia="en-NZ"/>
              </w:rPr>
            </w:pPr>
            <w:r w:rsidRPr="001244BB">
              <w:rPr>
                <w:rFonts w:ascii="Arial" w:eastAsia="Times New Roman" w:hAnsi="Arial" w:cs="Arial"/>
                <w:color w:val="000000"/>
                <w:sz w:val="20"/>
                <w:lang w:eastAsia="en-NZ"/>
              </w:rPr>
              <w:t>(717)</w:t>
            </w:r>
          </w:p>
        </w:tc>
        <w:tc>
          <w:tcPr>
            <w:tcW w:w="3529" w:type="dxa"/>
            <w:shd w:val="clear" w:color="auto" w:fill="auto"/>
            <w:vAlign w:val="bottom"/>
            <w:hideMark/>
          </w:tcPr>
          <w:p w:rsidR="0097544C" w:rsidRPr="001244BB" w:rsidRDefault="0097544C" w:rsidP="0025274D">
            <w:pPr>
              <w:spacing w:after="0" w:line="240" w:lineRule="auto"/>
              <w:rPr>
                <w:rFonts w:ascii="Arial" w:eastAsia="Times New Roman" w:hAnsi="Arial" w:cs="Arial"/>
                <w:color w:val="000000"/>
                <w:sz w:val="20"/>
                <w:lang w:eastAsia="en-NZ"/>
              </w:rPr>
            </w:pPr>
            <w:r w:rsidRPr="001244BB">
              <w:rPr>
                <w:rFonts w:ascii="Arial" w:eastAsia="Times New Roman" w:hAnsi="Arial" w:cs="Arial"/>
                <w:color w:val="000000"/>
                <w:sz w:val="20"/>
                <w:lang w:eastAsia="en-NZ"/>
              </w:rPr>
              <w:t> </w:t>
            </w:r>
          </w:p>
        </w:tc>
      </w:tr>
    </w:tbl>
    <w:p w:rsidR="006B024A" w:rsidRPr="00297C6D" w:rsidRDefault="006B024A" w:rsidP="00846C1B">
      <w:pPr>
        <w:pStyle w:val="Heading4"/>
        <w:rPr>
          <w:color w:val="FF0066"/>
        </w:rPr>
      </w:pPr>
      <w:r w:rsidRPr="00297C6D">
        <w:rPr>
          <w:color w:val="FF0066"/>
        </w:rPr>
        <w:t>What it cost (capital expenditure $000)</w:t>
      </w:r>
    </w:p>
    <w:tbl>
      <w:tblPr>
        <w:tblW w:w="14743" w:type="dxa"/>
        <w:tblInd w:w="-176" w:type="dxa"/>
        <w:tblBorders>
          <w:top w:val="single" w:sz="4" w:space="0" w:color="FF3399"/>
          <w:bottom w:val="single" w:sz="4" w:space="0" w:color="FF3399"/>
          <w:insideH w:val="single" w:sz="4" w:space="0" w:color="FF3399"/>
          <w:insideV w:val="single" w:sz="4" w:space="0" w:color="FF3399"/>
        </w:tblBorders>
        <w:tblLayout w:type="fixed"/>
        <w:tblLook w:val="04A0" w:firstRow="1" w:lastRow="0" w:firstColumn="1" w:lastColumn="0" w:noHBand="0" w:noVBand="1"/>
      </w:tblPr>
      <w:tblGrid>
        <w:gridCol w:w="3403"/>
        <w:gridCol w:w="997"/>
        <w:gridCol w:w="1064"/>
        <w:gridCol w:w="1077"/>
        <w:gridCol w:w="1260"/>
        <w:gridCol w:w="968"/>
        <w:gridCol w:w="1073"/>
        <w:gridCol w:w="1074"/>
        <w:gridCol w:w="3827"/>
      </w:tblGrid>
      <w:tr w:rsidR="00297C6D" w:rsidRPr="001244BB" w:rsidTr="00297C6D">
        <w:trPr>
          <w:trHeight w:val="824"/>
        </w:trPr>
        <w:tc>
          <w:tcPr>
            <w:tcW w:w="3403" w:type="dxa"/>
            <w:tcBorders>
              <w:right w:val="single" w:sz="4" w:space="0" w:color="FFFFFF" w:themeColor="background1"/>
            </w:tcBorders>
            <w:shd w:val="clear" w:color="auto" w:fill="FF3399"/>
            <w:noWrap/>
            <w:vAlign w:val="bottom"/>
            <w:hideMark/>
          </w:tcPr>
          <w:p w:rsidR="0097544C" w:rsidRPr="001244BB" w:rsidRDefault="0097544C" w:rsidP="0025274D">
            <w:pPr>
              <w:spacing w:after="0" w:line="240" w:lineRule="auto"/>
              <w:rPr>
                <w:rFonts w:ascii="Arial" w:eastAsia="Times New Roman" w:hAnsi="Arial" w:cs="Arial"/>
                <w:b/>
                <w:bCs/>
                <w:color w:val="FFFFFF" w:themeColor="background1"/>
                <w:szCs w:val="24"/>
                <w:lang w:eastAsia="en-NZ"/>
              </w:rPr>
            </w:pPr>
            <w:r w:rsidRPr="001244BB">
              <w:rPr>
                <w:rFonts w:ascii="Arial" w:eastAsia="Times New Roman" w:hAnsi="Arial" w:cs="Arial"/>
                <w:b/>
                <w:bCs/>
                <w:color w:val="FFFFFF" w:themeColor="background1"/>
                <w:szCs w:val="24"/>
                <w:lang w:eastAsia="en-NZ"/>
              </w:rPr>
              <w:t> </w:t>
            </w:r>
            <w:r w:rsidR="001B5165">
              <w:rPr>
                <w:rFonts w:ascii="Arial" w:eastAsia="Times New Roman" w:hAnsi="Arial" w:cs="Arial"/>
                <w:b/>
                <w:bCs/>
                <w:color w:val="FFFFFF" w:themeColor="background1"/>
                <w:szCs w:val="24"/>
                <w:lang w:eastAsia="en-NZ"/>
              </w:rPr>
              <w:t>Cultural Wellbeing</w:t>
            </w:r>
          </w:p>
        </w:tc>
        <w:tc>
          <w:tcPr>
            <w:tcW w:w="997" w:type="dxa"/>
            <w:tcBorders>
              <w:left w:val="single" w:sz="4" w:space="0" w:color="FFFFFF" w:themeColor="background1"/>
              <w:right w:val="single" w:sz="4" w:space="0" w:color="FFFFFF" w:themeColor="background1"/>
            </w:tcBorders>
            <w:shd w:val="clear" w:color="auto" w:fill="FF3399"/>
            <w:vAlign w:val="bottom"/>
            <w:hideMark/>
          </w:tcPr>
          <w:p w:rsidR="0097544C" w:rsidRPr="001244BB" w:rsidRDefault="0097544C" w:rsidP="00B34E92">
            <w:pPr>
              <w:spacing w:after="0" w:line="240" w:lineRule="auto"/>
              <w:jc w:val="center"/>
              <w:rPr>
                <w:rFonts w:ascii="Arial" w:eastAsia="Times New Roman" w:hAnsi="Arial" w:cs="Arial"/>
                <w:b/>
                <w:bCs/>
                <w:color w:val="FFFFFF" w:themeColor="background1"/>
                <w:sz w:val="20"/>
                <w:lang w:eastAsia="en-NZ"/>
              </w:rPr>
            </w:pPr>
            <w:r w:rsidRPr="001244BB">
              <w:rPr>
                <w:rFonts w:ascii="Arial" w:eastAsia="Times New Roman" w:hAnsi="Arial" w:cs="Arial"/>
                <w:b/>
                <w:bCs/>
                <w:color w:val="FFFFFF" w:themeColor="background1"/>
                <w:sz w:val="20"/>
                <w:lang w:eastAsia="en-NZ"/>
              </w:rPr>
              <w:t xml:space="preserve">2016/17 Actual </w:t>
            </w:r>
          </w:p>
        </w:tc>
        <w:tc>
          <w:tcPr>
            <w:tcW w:w="1064" w:type="dxa"/>
            <w:tcBorders>
              <w:left w:val="single" w:sz="4" w:space="0" w:color="FFFFFF" w:themeColor="background1"/>
              <w:right w:val="single" w:sz="4" w:space="0" w:color="FFFFFF" w:themeColor="background1"/>
            </w:tcBorders>
            <w:shd w:val="clear" w:color="auto" w:fill="FF3399"/>
            <w:vAlign w:val="bottom"/>
            <w:hideMark/>
          </w:tcPr>
          <w:p w:rsidR="0097544C" w:rsidRPr="001244BB" w:rsidRDefault="0097544C" w:rsidP="00B34E92">
            <w:pPr>
              <w:spacing w:after="0" w:line="240" w:lineRule="auto"/>
              <w:jc w:val="center"/>
              <w:rPr>
                <w:rFonts w:ascii="Arial" w:eastAsia="Times New Roman" w:hAnsi="Arial" w:cs="Arial"/>
                <w:b/>
                <w:bCs/>
                <w:color w:val="FFFFFF" w:themeColor="background1"/>
                <w:sz w:val="20"/>
                <w:lang w:eastAsia="en-NZ"/>
              </w:rPr>
            </w:pPr>
            <w:r w:rsidRPr="001244BB">
              <w:rPr>
                <w:rFonts w:ascii="Arial" w:eastAsia="Times New Roman" w:hAnsi="Arial" w:cs="Arial"/>
                <w:b/>
                <w:bCs/>
                <w:color w:val="FFFFFF" w:themeColor="background1"/>
                <w:sz w:val="20"/>
                <w:lang w:eastAsia="en-NZ"/>
              </w:rPr>
              <w:t xml:space="preserve">2017/18 Actual </w:t>
            </w:r>
          </w:p>
        </w:tc>
        <w:tc>
          <w:tcPr>
            <w:tcW w:w="1077" w:type="dxa"/>
            <w:tcBorders>
              <w:left w:val="single" w:sz="4" w:space="0" w:color="FFFFFF" w:themeColor="background1"/>
              <w:right w:val="single" w:sz="4" w:space="0" w:color="FFFFFF" w:themeColor="background1"/>
            </w:tcBorders>
            <w:shd w:val="clear" w:color="auto" w:fill="FF3399"/>
            <w:vAlign w:val="bottom"/>
            <w:hideMark/>
          </w:tcPr>
          <w:p w:rsidR="0097544C" w:rsidRPr="001244BB" w:rsidRDefault="0097544C" w:rsidP="00B34E92">
            <w:pPr>
              <w:spacing w:after="0" w:line="240" w:lineRule="auto"/>
              <w:jc w:val="center"/>
              <w:rPr>
                <w:rFonts w:ascii="Arial" w:eastAsia="Times New Roman" w:hAnsi="Arial" w:cs="Arial"/>
                <w:b/>
                <w:bCs/>
                <w:color w:val="FFFFFF" w:themeColor="background1"/>
                <w:sz w:val="20"/>
                <w:lang w:eastAsia="en-NZ"/>
              </w:rPr>
            </w:pPr>
            <w:r w:rsidRPr="001244BB">
              <w:rPr>
                <w:rFonts w:ascii="Arial" w:eastAsia="Times New Roman" w:hAnsi="Arial" w:cs="Arial"/>
                <w:b/>
                <w:bCs/>
                <w:color w:val="FFFFFF" w:themeColor="background1"/>
                <w:sz w:val="20"/>
                <w:lang w:eastAsia="en-NZ"/>
              </w:rPr>
              <w:t xml:space="preserve">2018/19 </w:t>
            </w:r>
            <w:r w:rsidR="00B34E92">
              <w:rPr>
                <w:rFonts w:ascii="Arial" w:eastAsia="Times New Roman" w:hAnsi="Arial" w:cs="Arial"/>
                <w:b/>
                <w:bCs/>
                <w:color w:val="FFFFFF" w:themeColor="background1"/>
                <w:sz w:val="20"/>
                <w:lang w:eastAsia="en-NZ"/>
              </w:rPr>
              <w:t>Budget</w:t>
            </w:r>
            <w:r w:rsidR="00297C6D">
              <w:rPr>
                <w:rFonts w:ascii="Arial" w:eastAsia="Times New Roman" w:hAnsi="Arial" w:cs="Arial"/>
                <w:b/>
                <w:bCs/>
                <w:color w:val="FFFFFF" w:themeColor="background1"/>
                <w:sz w:val="20"/>
                <w:lang w:eastAsia="en-NZ"/>
              </w:rPr>
              <w:t xml:space="preserve"> </w:t>
            </w:r>
          </w:p>
        </w:tc>
        <w:tc>
          <w:tcPr>
            <w:tcW w:w="1260" w:type="dxa"/>
            <w:tcBorders>
              <w:left w:val="single" w:sz="4" w:space="0" w:color="FFFFFF" w:themeColor="background1"/>
              <w:right w:val="single" w:sz="4" w:space="0" w:color="FFFFFF" w:themeColor="background1"/>
            </w:tcBorders>
            <w:shd w:val="clear" w:color="auto" w:fill="FF3399"/>
            <w:vAlign w:val="bottom"/>
            <w:hideMark/>
          </w:tcPr>
          <w:p w:rsidR="0097544C" w:rsidRPr="001244BB" w:rsidRDefault="00297C6D" w:rsidP="00B34E92">
            <w:pPr>
              <w:spacing w:after="0" w:line="240" w:lineRule="auto"/>
              <w:jc w:val="center"/>
              <w:rPr>
                <w:rFonts w:ascii="Arial" w:eastAsia="Times New Roman" w:hAnsi="Arial" w:cs="Arial"/>
                <w:b/>
                <w:bCs/>
                <w:color w:val="FFFFFF" w:themeColor="background1"/>
                <w:sz w:val="20"/>
                <w:lang w:eastAsia="en-NZ"/>
              </w:rPr>
            </w:pPr>
            <w:r>
              <w:rPr>
                <w:rFonts w:ascii="Arial" w:eastAsia="Times New Roman" w:hAnsi="Arial" w:cs="Arial"/>
                <w:b/>
                <w:bCs/>
                <w:color w:val="FFFFFF" w:themeColor="background1"/>
                <w:sz w:val="20"/>
                <w:lang w:eastAsia="en-NZ"/>
              </w:rPr>
              <w:t>2018/19 Revisions</w:t>
            </w:r>
          </w:p>
        </w:tc>
        <w:tc>
          <w:tcPr>
            <w:tcW w:w="968" w:type="dxa"/>
            <w:tcBorders>
              <w:left w:val="single" w:sz="4" w:space="0" w:color="FFFFFF" w:themeColor="background1"/>
              <w:right w:val="single" w:sz="4" w:space="0" w:color="FFFFFF" w:themeColor="background1"/>
            </w:tcBorders>
            <w:shd w:val="clear" w:color="auto" w:fill="FF3399"/>
            <w:vAlign w:val="bottom"/>
            <w:hideMark/>
          </w:tcPr>
          <w:p w:rsidR="0097544C" w:rsidRPr="001244BB" w:rsidRDefault="00297C6D" w:rsidP="00B34E92">
            <w:pPr>
              <w:spacing w:after="0" w:line="240" w:lineRule="auto"/>
              <w:jc w:val="center"/>
              <w:rPr>
                <w:rFonts w:ascii="Arial" w:eastAsia="Times New Roman" w:hAnsi="Arial" w:cs="Arial"/>
                <w:b/>
                <w:bCs/>
                <w:color w:val="FFFFFF" w:themeColor="background1"/>
                <w:sz w:val="20"/>
                <w:lang w:eastAsia="en-NZ"/>
              </w:rPr>
            </w:pPr>
            <w:r>
              <w:rPr>
                <w:rFonts w:ascii="Arial" w:eastAsia="Times New Roman" w:hAnsi="Arial" w:cs="Arial"/>
                <w:b/>
                <w:bCs/>
                <w:color w:val="FFFFFF" w:themeColor="background1"/>
                <w:sz w:val="20"/>
                <w:lang w:eastAsia="en-NZ"/>
              </w:rPr>
              <w:t>2018/19 Actual</w:t>
            </w:r>
          </w:p>
        </w:tc>
        <w:tc>
          <w:tcPr>
            <w:tcW w:w="1073" w:type="dxa"/>
            <w:tcBorders>
              <w:left w:val="single" w:sz="4" w:space="0" w:color="FFFFFF" w:themeColor="background1"/>
              <w:right w:val="single" w:sz="4" w:space="0" w:color="FFFFFF" w:themeColor="background1"/>
            </w:tcBorders>
            <w:shd w:val="clear" w:color="auto" w:fill="FF3399"/>
            <w:vAlign w:val="bottom"/>
            <w:hideMark/>
          </w:tcPr>
          <w:p w:rsidR="0097544C" w:rsidRPr="001244BB" w:rsidRDefault="00297C6D" w:rsidP="00B34E92">
            <w:pPr>
              <w:spacing w:after="0" w:line="240" w:lineRule="auto"/>
              <w:jc w:val="center"/>
              <w:rPr>
                <w:rFonts w:ascii="Arial" w:eastAsia="Times New Roman" w:hAnsi="Arial" w:cs="Arial"/>
                <w:b/>
                <w:bCs/>
                <w:color w:val="FFFFFF" w:themeColor="background1"/>
                <w:sz w:val="20"/>
                <w:lang w:eastAsia="en-NZ"/>
              </w:rPr>
            </w:pPr>
            <w:r>
              <w:rPr>
                <w:rFonts w:ascii="Arial" w:eastAsia="Times New Roman" w:hAnsi="Arial" w:cs="Arial"/>
                <w:b/>
                <w:bCs/>
                <w:color w:val="FFFFFF" w:themeColor="background1"/>
                <w:sz w:val="20"/>
                <w:lang w:eastAsia="en-NZ"/>
              </w:rPr>
              <w:t>2018/19 Revised budget</w:t>
            </w:r>
          </w:p>
        </w:tc>
        <w:tc>
          <w:tcPr>
            <w:tcW w:w="1074" w:type="dxa"/>
            <w:tcBorders>
              <w:left w:val="single" w:sz="4" w:space="0" w:color="FFFFFF" w:themeColor="background1"/>
              <w:right w:val="single" w:sz="4" w:space="0" w:color="FFFFFF" w:themeColor="background1"/>
            </w:tcBorders>
            <w:shd w:val="clear" w:color="auto" w:fill="FF3399"/>
            <w:vAlign w:val="bottom"/>
            <w:hideMark/>
          </w:tcPr>
          <w:p w:rsidR="0097544C" w:rsidRPr="001244BB" w:rsidRDefault="0097544C" w:rsidP="00B34E92">
            <w:pPr>
              <w:spacing w:after="0" w:line="240" w:lineRule="auto"/>
              <w:jc w:val="center"/>
              <w:rPr>
                <w:rFonts w:ascii="Arial" w:eastAsia="Times New Roman" w:hAnsi="Arial" w:cs="Arial"/>
                <w:b/>
                <w:bCs/>
                <w:color w:val="FFFFFF" w:themeColor="background1"/>
                <w:sz w:val="20"/>
                <w:lang w:eastAsia="en-NZ"/>
              </w:rPr>
            </w:pPr>
            <w:r w:rsidRPr="001244BB">
              <w:rPr>
                <w:rFonts w:ascii="Arial" w:eastAsia="Times New Roman" w:hAnsi="Arial" w:cs="Arial"/>
                <w:b/>
                <w:bCs/>
                <w:color w:val="FFFFFF" w:themeColor="background1"/>
                <w:sz w:val="20"/>
                <w:lang w:eastAsia="en-NZ"/>
              </w:rPr>
              <w:t>2018</w:t>
            </w:r>
            <w:r w:rsidR="00297C6D">
              <w:rPr>
                <w:rFonts w:ascii="Arial" w:eastAsia="Times New Roman" w:hAnsi="Arial" w:cs="Arial"/>
                <w:b/>
                <w:bCs/>
                <w:color w:val="FFFFFF" w:themeColor="background1"/>
                <w:sz w:val="20"/>
                <w:lang w:eastAsia="en-NZ"/>
              </w:rPr>
              <w:t>/19  Variance to revised budget</w:t>
            </w:r>
          </w:p>
        </w:tc>
        <w:tc>
          <w:tcPr>
            <w:tcW w:w="3827" w:type="dxa"/>
            <w:tcBorders>
              <w:left w:val="single" w:sz="4" w:space="0" w:color="FFFFFF" w:themeColor="background1"/>
            </w:tcBorders>
            <w:shd w:val="clear" w:color="auto" w:fill="FF3399"/>
            <w:noWrap/>
            <w:vAlign w:val="bottom"/>
            <w:hideMark/>
          </w:tcPr>
          <w:p w:rsidR="0097544C" w:rsidRPr="001244BB" w:rsidRDefault="0097544C" w:rsidP="00546A26">
            <w:pPr>
              <w:spacing w:after="0" w:line="240" w:lineRule="auto"/>
              <w:ind w:left="-1347" w:firstLine="830"/>
              <w:jc w:val="center"/>
              <w:rPr>
                <w:rFonts w:ascii="Arial" w:eastAsia="Times New Roman" w:hAnsi="Arial" w:cs="Arial"/>
                <w:b/>
                <w:bCs/>
                <w:color w:val="FFFFFF" w:themeColor="background1"/>
                <w:sz w:val="20"/>
                <w:lang w:eastAsia="en-NZ"/>
              </w:rPr>
            </w:pPr>
            <w:r w:rsidRPr="001244BB">
              <w:rPr>
                <w:rFonts w:ascii="Arial" w:eastAsia="Times New Roman" w:hAnsi="Arial" w:cs="Arial"/>
                <w:b/>
                <w:bCs/>
                <w:color w:val="FFFFFF" w:themeColor="background1"/>
                <w:sz w:val="20"/>
                <w:lang w:eastAsia="en-NZ"/>
              </w:rPr>
              <w:t>Variance Commentary</w:t>
            </w:r>
          </w:p>
        </w:tc>
      </w:tr>
      <w:tr w:rsidR="0097544C" w:rsidRPr="001244BB" w:rsidTr="00297C6D">
        <w:trPr>
          <w:trHeight w:val="180"/>
        </w:trPr>
        <w:tc>
          <w:tcPr>
            <w:tcW w:w="14743" w:type="dxa"/>
            <w:gridSpan w:val="9"/>
            <w:shd w:val="clear" w:color="auto" w:fill="FFC9E4"/>
            <w:noWrap/>
            <w:vAlign w:val="bottom"/>
            <w:hideMark/>
          </w:tcPr>
          <w:p w:rsidR="0097544C" w:rsidRPr="001244BB" w:rsidRDefault="0097544C" w:rsidP="0025274D">
            <w:pPr>
              <w:spacing w:after="0" w:line="240" w:lineRule="auto"/>
              <w:rPr>
                <w:rFonts w:ascii="Arial" w:eastAsia="Times New Roman" w:hAnsi="Arial" w:cs="Arial"/>
                <w:b/>
                <w:bCs/>
                <w:color w:val="000000"/>
                <w:sz w:val="20"/>
                <w:lang w:eastAsia="en-NZ"/>
              </w:rPr>
            </w:pPr>
            <w:r w:rsidRPr="001244BB">
              <w:rPr>
                <w:rFonts w:ascii="Arial" w:eastAsia="Times New Roman" w:hAnsi="Arial" w:cs="Arial"/>
                <w:b/>
                <w:bCs/>
                <w:color w:val="000000"/>
                <w:sz w:val="20"/>
                <w:lang w:eastAsia="en-NZ"/>
              </w:rPr>
              <w:t>4.1 Arts and cultural activities expenditure</w:t>
            </w:r>
          </w:p>
        </w:tc>
      </w:tr>
      <w:tr w:rsidR="0097544C" w:rsidRPr="001244BB" w:rsidTr="00297C6D">
        <w:trPr>
          <w:trHeight w:val="495"/>
        </w:trPr>
        <w:tc>
          <w:tcPr>
            <w:tcW w:w="3403" w:type="dxa"/>
            <w:shd w:val="clear" w:color="auto" w:fill="auto"/>
            <w:noWrap/>
            <w:vAlign w:val="center"/>
            <w:hideMark/>
          </w:tcPr>
          <w:p w:rsidR="0097544C" w:rsidRPr="001244BB" w:rsidRDefault="0097544C" w:rsidP="0025274D">
            <w:pPr>
              <w:spacing w:after="0" w:line="240" w:lineRule="auto"/>
              <w:rPr>
                <w:rFonts w:ascii="Arial" w:eastAsia="Times New Roman" w:hAnsi="Arial" w:cs="Arial"/>
                <w:b/>
                <w:bCs/>
                <w:color w:val="000000"/>
                <w:sz w:val="20"/>
                <w:lang w:eastAsia="en-NZ"/>
              </w:rPr>
            </w:pPr>
            <w:r w:rsidRPr="001244BB">
              <w:rPr>
                <w:rFonts w:ascii="Arial" w:eastAsia="Times New Roman" w:hAnsi="Arial" w:cs="Arial"/>
                <w:b/>
                <w:bCs/>
                <w:color w:val="000000"/>
                <w:sz w:val="20"/>
                <w:lang w:eastAsia="en-NZ"/>
              </w:rPr>
              <w:t>Cultural Wellbeing Total</w:t>
            </w:r>
          </w:p>
        </w:tc>
        <w:tc>
          <w:tcPr>
            <w:tcW w:w="997" w:type="dxa"/>
            <w:shd w:val="clear" w:color="auto" w:fill="auto"/>
            <w:noWrap/>
            <w:vAlign w:val="center"/>
            <w:hideMark/>
          </w:tcPr>
          <w:p w:rsidR="0097544C" w:rsidRPr="001244BB" w:rsidRDefault="0097544C" w:rsidP="0025274D">
            <w:pPr>
              <w:spacing w:after="0" w:line="240" w:lineRule="auto"/>
              <w:jc w:val="right"/>
              <w:rPr>
                <w:rFonts w:ascii="Arial" w:eastAsia="Times New Roman" w:hAnsi="Arial" w:cs="Arial"/>
                <w:b/>
                <w:bCs/>
                <w:color w:val="000000"/>
                <w:sz w:val="20"/>
                <w:lang w:eastAsia="en-NZ"/>
              </w:rPr>
            </w:pPr>
            <w:r w:rsidRPr="001244BB">
              <w:rPr>
                <w:rFonts w:ascii="Arial" w:eastAsia="Times New Roman" w:hAnsi="Arial" w:cs="Arial"/>
                <w:b/>
                <w:bCs/>
                <w:color w:val="000000"/>
                <w:sz w:val="20"/>
                <w:lang w:eastAsia="en-NZ"/>
              </w:rPr>
              <w:t>1,286</w:t>
            </w:r>
          </w:p>
        </w:tc>
        <w:tc>
          <w:tcPr>
            <w:tcW w:w="1064" w:type="dxa"/>
            <w:shd w:val="clear" w:color="auto" w:fill="auto"/>
            <w:noWrap/>
            <w:vAlign w:val="center"/>
            <w:hideMark/>
          </w:tcPr>
          <w:p w:rsidR="0097544C" w:rsidRPr="001244BB" w:rsidRDefault="0097544C" w:rsidP="0025274D">
            <w:pPr>
              <w:spacing w:after="0" w:line="240" w:lineRule="auto"/>
              <w:jc w:val="right"/>
              <w:rPr>
                <w:rFonts w:ascii="Arial" w:eastAsia="Times New Roman" w:hAnsi="Arial" w:cs="Arial"/>
                <w:b/>
                <w:bCs/>
                <w:color w:val="000000"/>
                <w:sz w:val="20"/>
                <w:lang w:eastAsia="en-NZ"/>
              </w:rPr>
            </w:pPr>
            <w:r w:rsidRPr="001244BB">
              <w:rPr>
                <w:rFonts w:ascii="Arial" w:eastAsia="Times New Roman" w:hAnsi="Arial" w:cs="Arial"/>
                <w:b/>
                <w:bCs/>
                <w:color w:val="000000"/>
                <w:sz w:val="20"/>
                <w:lang w:eastAsia="en-NZ"/>
              </w:rPr>
              <w:t>443</w:t>
            </w:r>
          </w:p>
        </w:tc>
        <w:tc>
          <w:tcPr>
            <w:tcW w:w="1077" w:type="dxa"/>
            <w:shd w:val="clear" w:color="auto" w:fill="auto"/>
            <w:noWrap/>
            <w:vAlign w:val="center"/>
            <w:hideMark/>
          </w:tcPr>
          <w:p w:rsidR="0097544C" w:rsidRPr="001244BB" w:rsidRDefault="0097544C" w:rsidP="0025274D">
            <w:pPr>
              <w:spacing w:after="0" w:line="240" w:lineRule="auto"/>
              <w:jc w:val="right"/>
              <w:rPr>
                <w:rFonts w:ascii="Arial" w:eastAsia="Times New Roman" w:hAnsi="Arial" w:cs="Arial"/>
                <w:b/>
                <w:bCs/>
                <w:color w:val="000000"/>
                <w:sz w:val="20"/>
                <w:lang w:eastAsia="en-NZ"/>
              </w:rPr>
            </w:pPr>
            <w:r w:rsidRPr="001244BB">
              <w:rPr>
                <w:rFonts w:ascii="Arial" w:eastAsia="Times New Roman" w:hAnsi="Arial" w:cs="Arial"/>
                <w:b/>
                <w:bCs/>
                <w:color w:val="000000"/>
                <w:sz w:val="20"/>
                <w:lang w:eastAsia="en-NZ"/>
              </w:rPr>
              <w:t>906</w:t>
            </w:r>
          </w:p>
        </w:tc>
        <w:tc>
          <w:tcPr>
            <w:tcW w:w="1260" w:type="dxa"/>
            <w:shd w:val="clear" w:color="auto" w:fill="auto"/>
            <w:noWrap/>
            <w:vAlign w:val="center"/>
            <w:hideMark/>
          </w:tcPr>
          <w:p w:rsidR="0097544C" w:rsidRPr="001244BB" w:rsidRDefault="00B34E92" w:rsidP="00B34E92">
            <w:pPr>
              <w:spacing w:after="0" w:line="240" w:lineRule="auto"/>
              <w:jc w:val="right"/>
              <w:rPr>
                <w:rFonts w:ascii="Arial" w:eastAsia="Times New Roman" w:hAnsi="Arial" w:cs="Arial"/>
                <w:b/>
                <w:bCs/>
                <w:color w:val="000000"/>
                <w:sz w:val="20"/>
                <w:lang w:eastAsia="en-NZ"/>
              </w:rPr>
            </w:pPr>
            <w:r w:rsidRPr="001244BB">
              <w:rPr>
                <w:rFonts w:ascii="Arial" w:eastAsia="Times New Roman" w:hAnsi="Arial" w:cs="Arial"/>
                <w:b/>
                <w:bCs/>
                <w:color w:val="000000"/>
                <w:sz w:val="20"/>
                <w:lang w:eastAsia="en-NZ"/>
              </w:rPr>
              <w:t>89</w:t>
            </w:r>
            <w:r>
              <w:rPr>
                <w:rFonts w:ascii="Arial" w:eastAsia="Times New Roman" w:hAnsi="Arial" w:cs="Arial"/>
                <w:b/>
                <w:bCs/>
                <w:color w:val="000000"/>
                <w:sz w:val="20"/>
                <w:lang w:eastAsia="en-NZ"/>
              </w:rPr>
              <w:t>5</w:t>
            </w:r>
          </w:p>
        </w:tc>
        <w:tc>
          <w:tcPr>
            <w:tcW w:w="968" w:type="dxa"/>
            <w:shd w:val="clear" w:color="auto" w:fill="auto"/>
            <w:noWrap/>
            <w:vAlign w:val="center"/>
            <w:hideMark/>
          </w:tcPr>
          <w:p w:rsidR="0097544C" w:rsidRPr="001244BB" w:rsidRDefault="0097544C" w:rsidP="0025274D">
            <w:pPr>
              <w:spacing w:after="0" w:line="240" w:lineRule="auto"/>
              <w:jc w:val="right"/>
              <w:rPr>
                <w:rFonts w:ascii="Arial" w:eastAsia="Times New Roman" w:hAnsi="Arial" w:cs="Arial"/>
                <w:b/>
                <w:bCs/>
                <w:color w:val="000000"/>
                <w:sz w:val="20"/>
                <w:lang w:eastAsia="en-NZ"/>
              </w:rPr>
            </w:pPr>
            <w:r w:rsidRPr="001244BB">
              <w:rPr>
                <w:rFonts w:ascii="Arial" w:eastAsia="Times New Roman" w:hAnsi="Arial" w:cs="Arial"/>
                <w:b/>
                <w:bCs/>
                <w:color w:val="000000"/>
                <w:sz w:val="20"/>
                <w:lang w:eastAsia="en-NZ"/>
              </w:rPr>
              <w:t>4,145</w:t>
            </w:r>
          </w:p>
        </w:tc>
        <w:tc>
          <w:tcPr>
            <w:tcW w:w="1073" w:type="dxa"/>
            <w:shd w:val="clear" w:color="auto" w:fill="auto"/>
            <w:noWrap/>
            <w:vAlign w:val="center"/>
            <w:hideMark/>
          </w:tcPr>
          <w:p w:rsidR="0097544C" w:rsidRPr="001244BB" w:rsidRDefault="0097544C" w:rsidP="00B34E92">
            <w:pPr>
              <w:spacing w:after="0" w:line="240" w:lineRule="auto"/>
              <w:jc w:val="right"/>
              <w:rPr>
                <w:rFonts w:ascii="Arial" w:eastAsia="Times New Roman" w:hAnsi="Arial" w:cs="Arial"/>
                <w:b/>
                <w:bCs/>
                <w:color w:val="000000"/>
                <w:sz w:val="20"/>
                <w:lang w:eastAsia="en-NZ"/>
              </w:rPr>
            </w:pPr>
            <w:r w:rsidRPr="001244BB">
              <w:rPr>
                <w:rFonts w:ascii="Arial" w:eastAsia="Times New Roman" w:hAnsi="Arial" w:cs="Arial"/>
                <w:b/>
                <w:bCs/>
                <w:color w:val="000000"/>
                <w:sz w:val="20"/>
                <w:lang w:eastAsia="en-NZ"/>
              </w:rPr>
              <w:t>1,</w:t>
            </w:r>
            <w:r w:rsidR="00B34E92" w:rsidRPr="001244BB">
              <w:rPr>
                <w:rFonts w:ascii="Arial" w:eastAsia="Times New Roman" w:hAnsi="Arial" w:cs="Arial"/>
                <w:b/>
                <w:bCs/>
                <w:color w:val="000000"/>
                <w:sz w:val="20"/>
                <w:lang w:eastAsia="en-NZ"/>
              </w:rPr>
              <w:t>80</w:t>
            </w:r>
            <w:r w:rsidR="00B34E92">
              <w:rPr>
                <w:rFonts w:ascii="Arial" w:eastAsia="Times New Roman" w:hAnsi="Arial" w:cs="Arial"/>
                <w:b/>
                <w:bCs/>
                <w:color w:val="000000"/>
                <w:sz w:val="20"/>
                <w:lang w:eastAsia="en-NZ"/>
              </w:rPr>
              <w:t>1</w:t>
            </w:r>
          </w:p>
        </w:tc>
        <w:tc>
          <w:tcPr>
            <w:tcW w:w="1074" w:type="dxa"/>
            <w:shd w:val="clear" w:color="auto" w:fill="auto"/>
            <w:noWrap/>
            <w:vAlign w:val="center"/>
            <w:hideMark/>
          </w:tcPr>
          <w:p w:rsidR="0097544C" w:rsidRPr="001244BB" w:rsidRDefault="0097544C" w:rsidP="0025274D">
            <w:pPr>
              <w:spacing w:after="0" w:line="240" w:lineRule="auto"/>
              <w:jc w:val="right"/>
              <w:rPr>
                <w:rFonts w:ascii="Arial" w:eastAsia="Times New Roman" w:hAnsi="Arial" w:cs="Arial"/>
                <w:b/>
                <w:bCs/>
                <w:color w:val="000000"/>
                <w:sz w:val="20"/>
                <w:lang w:eastAsia="en-NZ"/>
              </w:rPr>
            </w:pPr>
            <w:r w:rsidRPr="001244BB">
              <w:rPr>
                <w:rFonts w:ascii="Arial" w:eastAsia="Times New Roman" w:hAnsi="Arial" w:cs="Arial"/>
                <w:b/>
                <w:bCs/>
                <w:color w:val="000000"/>
                <w:sz w:val="20"/>
                <w:lang w:eastAsia="en-NZ"/>
              </w:rPr>
              <w:t>(2,344)</w:t>
            </w:r>
          </w:p>
        </w:tc>
        <w:tc>
          <w:tcPr>
            <w:tcW w:w="3827" w:type="dxa"/>
            <w:shd w:val="clear" w:color="auto" w:fill="auto"/>
            <w:vAlign w:val="bottom"/>
            <w:hideMark/>
          </w:tcPr>
          <w:p w:rsidR="0097544C" w:rsidRPr="001244BB" w:rsidRDefault="00947005" w:rsidP="0025274D">
            <w:pPr>
              <w:spacing w:after="0" w:line="240" w:lineRule="auto"/>
              <w:rPr>
                <w:rFonts w:eastAsia="Times New Roman" w:cstheme="minorHAnsi"/>
                <w:color w:val="000000"/>
                <w:sz w:val="20"/>
                <w:lang w:eastAsia="en-NZ"/>
              </w:rPr>
            </w:pPr>
            <w:r w:rsidRPr="001D57F9">
              <w:rPr>
                <w:rFonts w:eastAsia="Times New Roman" w:cstheme="minorHAnsi"/>
                <w:color w:val="000000"/>
                <w:sz w:val="20"/>
                <w:lang w:eastAsia="en-NZ"/>
              </w:rPr>
              <w:t xml:space="preserve">Over budget due to the </w:t>
            </w:r>
            <w:r>
              <w:rPr>
                <w:rFonts w:eastAsia="Times New Roman" w:cstheme="minorHAnsi"/>
                <w:color w:val="000000"/>
                <w:sz w:val="20"/>
                <w:lang w:eastAsia="en-NZ"/>
              </w:rPr>
              <w:t xml:space="preserve">re-phasing of </w:t>
            </w:r>
            <w:r w:rsidRPr="001D57F9">
              <w:rPr>
                <w:rFonts w:eastAsia="Times New Roman" w:cstheme="minorHAnsi"/>
                <w:color w:val="000000"/>
                <w:sz w:val="20"/>
                <w:lang w:eastAsia="en-NZ"/>
              </w:rPr>
              <w:t xml:space="preserve">Convention Centre work </w:t>
            </w:r>
            <w:r>
              <w:rPr>
                <w:rFonts w:eastAsia="Times New Roman" w:cstheme="minorHAnsi"/>
                <w:color w:val="000000"/>
                <w:sz w:val="20"/>
                <w:lang w:eastAsia="en-NZ"/>
              </w:rPr>
              <w:t>creating a timing difference with the budgeted amount.</w:t>
            </w:r>
          </w:p>
        </w:tc>
      </w:tr>
    </w:tbl>
    <w:p w:rsidR="006B024A" w:rsidRPr="00D5126A" w:rsidRDefault="006B024A" w:rsidP="006B024A">
      <w:pPr>
        <w:pStyle w:val="5Block"/>
        <w:spacing w:after="0" w:line="240" w:lineRule="auto"/>
        <w:rPr>
          <w:rFonts w:ascii="Arial" w:hAnsi="Arial" w:cs="Arial"/>
        </w:rPr>
      </w:pPr>
    </w:p>
    <w:p w:rsidR="006B024A" w:rsidRPr="00531EA3" w:rsidRDefault="006B024A" w:rsidP="00AA2122">
      <w:pPr>
        <w:pStyle w:val="Heading3"/>
        <w:rPr>
          <w:color w:val="FF0066"/>
        </w:rPr>
      </w:pPr>
      <w:bookmarkStart w:id="229" w:name="Cultural_wellbeing_performance"/>
      <w:bookmarkStart w:id="230" w:name="_Toc11915654"/>
      <w:bookmarkStart w:id="231" w:name="_Toc13211852"/>
      <w:bookmarkStart w:id="232" w:name="_Toc14178555"/>
      <w:bookmarkStart w:id="233" w:name="_Toc19085838"/>
      <w:r w:rsidRPr="00531EA3">
        <w:rPr>
          <w:color w:val="FF0066"/>
        </w:rPr>
        <w:lastRenderedPageBreak/>
        <w:t>Cultural wellbeing performance</w:t>
      </w:r>
      <w:bookmarkEnd w:id="229"/>
      <w:bookmarkEnd w:id="230"/>
      <w:bookmarkEnd w:id="231"/>
      <w:bookmarkEnd w:id="232"/>
      <w:bookmarkEnd w:id="233"/>
    </w:p>
    <w:p w:rsidR="006B024A" w:rsidRPr="00D5126A" w:rsidRDefault="006B024A" w:rsidP="006B024A">
      <w:pPr>
        <w:pStyle w:val="Para034"/>
        <w:spacing w:before="0" w:after="0" w:line="240" w:lineRule="auto"/>
        <w:rPr>
          <w:rFonts w:ascii="Arial" w:hAnsi="Arial" w:cs="Arial"/>
        </w:rPr>
      </w:pPr>
      <w:r w:rsidRPr="00D5126A">
        <w:rPr>
          <w:rFonts w:ascii="Arial" w:hAnsi="Arial" w:cs="Arial"/>
        </w:rPr>
        <w:t xml:space="preserve">The following section outlines our performance data: outcome indicators, performance measures and supplementary tables. </w:t>
      </w:r>
    </w:p>
    <w:p w:rsidR="006B024A" w:rsidRPr="00D5126A" w:rsidRDefault="006B024A" w:rsidP="006B024A">
      <w:pPr>
        <w:pStyle w:val="Para034"/>
        <w:spacing w:before="0" w:after="0" w:line="240" w:lineRule="auto"/>
        <w:rPr>
          <w:rFonts w:ascii="Arial" w:hAnsi="Arial" w:cs="Arial"/>
        </w:rPr>
      </w:pPr>
      <w:r w:rsidRPr="00D5126A">
        <w:rPr>
          <w:rFonts w:ascii="Arial" w:hAnsi="Arial" w:cs="Arial"/>
        </w:rPr>
        <w:t>We use outcome indicators to monitor our city over time, which provides information on trends that may influence our performance</w:t>
      </w:r>
      <w:r w:rsidR="001B4839">
        <w:rPr>
          <w:rFonts w:ascii="Arial" w:hAnsi="Arial" w:cs="Arial"/>
        </w:rPr>
        <w:t>,</w:t>
      </w:r>
      <w:r w:rsidRPr="00D5126A">
        <w:rPr>
          <w:rFonts w:ascii="Arial" w:hAnsi="Arial" w:cs="Arial"/>
        </w:rPr>
        <w:t xml:space="preserve"> including those outside our control. </w:t>
      </w:r>
    </w:p>
    <w:p w:rsidR="006B024A" w:rsidRPr="00D5126A" w:rsidRDefault="006B024A" w:rsidP="006B024A">
      <w:pPr>
        <w:pStyle w:val="Para034"/>
        <w:spacing w:before="0" w:after="0" w:line="240" w:lineRule="auto"/>
        <w:rPr>
          <w:rFonts w:ascii="Arial" w:hAnsi="Arial" w:cs="Arial"/>
        </w:rPr>
      </w:pPr>
      <w:r w:rsidRPr="00D5126A">
        <w:rPr>
          <w:rFonts w:ascii="Arial" w:hAnsi="Arial" w:cs="Arial"/>
        </w:rPr>
        <w:t xml:space="preserve">We use performance measures to track how well we are delivering services against targets as set out in the 10-year and annual plans. </w:t>
      </w:r>
    </w:p>
    <w:p w:rsidR="006B024A" w:rsidRPr="00D5126A" w:rsidRDefault="006B024A" w:rsidP="006B024A">
      <w:pPr>
        <w:pStyle w:val="Para034"/>
        <w:spacing w:before="0" w:after="0" w:line="240" w:lineRule="auto"/>
        <w:rPr>
          <w:rFonts w:ascii="Arial" w:hAnsi="Arial" w:cs="Arial"/>
        </w:rPr>
      </w:pPr>
      <w:r w:rsidRPr="00D5126A">
        <w:rPr>
          <w:rFonts w:ascii="Arial" w:hAnsi="Arial" w:cs="Arial"/>
        </w:rPr>
        <w:t xml:space="preserve">The Council undertakes the Residents’ Monitoring Survey (RMS) on an annual basis. The survey has a margin of error of </w:t>
      </w:r>
      <w:r w:rsidR="001D2EAA">
        <w:t>+/- 4.4% percent.</w:t>
      </w:r>
    </w:p>
    <w:p w:rsidR="006B024A" w:rsidRPr="00531EA3" w:rsidRDefault="006B024A" w:rsidP="00846C1B">
      <w:pPr>
        <w:pStyle w:val="Heading4"/>
        <w:rPr>
          <w:color w:val="FF0066"/>
        </w:rPr>
      </w:pPr>
      <w:r w:rsidRPr="00531EA3">
        <w:rPr>
          <w:color w:val="FF0066"/>
        </w:rPr>
        <w:t>Performance data – outcome indicators</w:t>
      </w:r>
    </w:p>
    <w:p w:rsidR="006B024A" w:rsidRDefault="006B024A" w:rsidP="006B024A">
      <w:pPr>
        <w:pStyle w:val="Para034"/>
        <w:spacing w:before="0" w:after="0" w:line="240" w:lineRule="auto"/>
        <w:rPr>
          <w:rFonts w:ascii="Arial" w:hAnsi="Arial" w:cs="Arial"/>
        </w:rPr>
      </w:pPr>
      <w:r w:rsidRPr="00D5126A">
        <w:rPr>
          <w:rFonts w:ascii="Arial" w:hAnsi="Arial" w:cs="Arial"/>
        </w:rPr>
        <w:t xml:space="preserve">The following section outlines outcome indicators for the Cultural wellbeing activity area. Outcome indicators do not have targets. </w:t>
      </w:r>
    </w:p>
    <w:p w:rsidR="00B34E92" w:rsidRPr="00D5126A" w:rsidRDefault="00B34E92" w:rsidP="006B024A">
      <w:pPr>
        <w:pStyle w:val="Para034"/>
        <w:spacing w:before="0" w:after="0" w:line="240" w:lineRule="auto"/>
        <w:rPr>
          <w:rFonts w:ascii="Arial" w:hAnsi="Arial" w:cs="Arial"/>
        </w:rPr>
      </w:pPr>
      <w:r>
        <w:rPr>
          <w:rFonts w:ascii="Arial" w:hAnsi="Arial" w:cs="Arial"/>
        </w:rPr>
        <w:t>Of the twelve outcome indicators we monitor, only one indicator displayed a negative trend.</w:t>
      </w:r>
    </w:p>
    <w:tbl>
      <w:tblPr>
        <w:tblW w:w="13892" w:type="dxa"/>
        <w:tblInd w:w="108" w:type="dxa"/>
        <w:tblBorders>
          <w:top w:val="single" w:sz="4" w:space="0" w:color="FF3399"/>
          <w:left w:val="single" w:sz="4" w:space="0" w:color="FF3399"/>
          <w:bottom w:val="single" w:sz="4" w:space="0" w:color="FF3399"/>
          <w:right w:val="single" w:sz="4" w:space="0" w:color="FF3399"/>
          <w:insideH w:val="single" w:sz="4" w:space="0" w:color="FF3399"/>
          <w:insideV w:val="single" w:sz="4" w:space="0" w:color="FF3399"/>
        </w:tblBorders>
        <w:tblLayout w:type="fixed"/>
        <w:tblLook w:val="04A0" w:firstRow="1" w:lastRow="0" w:firstColumn="1" w:lastColumn="0" w:noHBand="0" w:noVBand="1"/>
      </w:tblPr>
      <w:tblGrid>
        <w:gridCol w:w="4395"/>
        <w:gridCol w:w="1275"/>
        <w:gridCol w:w="1843"/>
        <w:gridCol w:w="1370"/>
        <w:gridCol w:w="1370"/>
        <w:gridCol w:w="1371"/>
        <w:gridCol w:w="2268"/>
      </w:tblGrid>
      <w:tr w:rsidR="0097544C" w:rsidRPr="001244BB" w:rsidTr="0097544C">
        <w:trPr>
          <w:trHeight w:val="259"/>
          <w:tblHeader/>
        </w:trPr>
        <w:tc>
          <w:tcPr>
            <w:tcW w:w="4395" w:type="dxa"/>
            <w:tcBorders>
              <w:top w:val="single" w:sz="4" w:space="0" w:color="FFFFFF" w:themeColor="background1"/>
              <w:left w:val="nil"/>
              <w:bottom w:val="nil"/>
              <w:right w:val="single" w:sz="4" w:space="0" w:color="FFFFFF" w:themeColor="background1"/>
            </w:tcBorders>
            <w:shd w:val="clear" w:color="auto" w:fill="FF3399"/>
            <w:hideMark/>
          </w:tcPr>
          <w:p w:rsidR="0097544C" w:rsidRPr="001244BB" w:rsidRDefault="0097544C" w:rsidP="0025274D">
            <w:pPr>
              <w:spacing w:after="0" w:line="240" w:lineRule="auto"/>
              <w:rPr>
                <w:rFonts w:eastAsia="Times New Roman" w:cstheme="minorHAnsi"/>
                <w:b/>
                <w:bCs/>
                <w:color w:val="FFFFFF" w:themeColor="background1"/>
                <w:lang w:eastAsia="en-NZ"/>
              </w:rPr>
            </w:pPr>
            <w:r w:rsidRPr="001244BB">
              <w:rPr>
                <w:rFonts w:eastAsia="Times New Roman" w:cstheme="minorHAnsi"/>
                <w:b/>
                <w:bCs/>
                <w:color w:val="FFFFFF" w:themeColor="background1"/>
                <w:lang w:eastAsia="en-NZ"/>
              </w:rPr>
              <w:t>Cultural Wellbeing</w:t>
            </w:r>
          </w:p>
        </w:tc>
        <w:tc>
          <w:tcPr>
            <w:tcW w:w="1275" w:type="dxa"/>
            <w:tcBorders>
              <w:top w:val="single" w:sz="4" w:space="0" w:color="FFFFFF" w:themeColor="background1"/>
              <w:left w:val="single" w:sz="4" w:space="0" w:color="FFFFFF" w:themeColor="background1"/>
              <w:bottom w:val="nil"/>
              <w:right w:val="single" w:sz="4" w:space="0" w:color="FFFFFF" w:themeColor="background1"/>
            </w:tcBorders>
            <w:shd w:val="clear" w:color="auto" w:fill="FF3399"/>
            <w:noWrap/>
            <w:hideMark/>
          </w:tcPr>
          <w:p w:rsidR="0097544C" w:rsidRPr="001244BB" w:rsidRDefault="0097544C" w:rsidP="0025274D">
            <w:pPr>
              <w:spacing w:after="0" w:line="240" w:lineRule="auto"/>
              <w:rPr>
                <w:rFonts w:eastAsia="Times New Roman" w:cstheme="minorHAnsi"/>
                <w:b/>
                <w:bCs/>
                <w:color w:val="FFFFFF" w:themeColor="background1"/>
                <w:lang w:eastAsia="en-NZ"/>
              </w:rPr>
            </w:pPr>
            <w:r w:rsidRPr="001244BB">
              <w:rPr>
                <w:rFonts w:eastAsia="Times New Roman" w:cstheme="minorHAnsi"/>
                <w:b/>
                <w:bCs/>
                <w:color w:val="FFFFFF" w:themeColor="background1"/>
                <w:lang w:eastAsia="en-NZ"/>
              </w:rPr>
              <w:t>Desired Trend</w:t>
            </w:r>
          </w:p>
        </w:tc>
        <w:tc>
          <w:tcPr>
            <w:tcW w:w="1843" w:type="dxa"/>
            <w:tcBorders>
              <w:top w:val="single" w:sz="4" w:space="0" w:color="FFFFFF" w:themeColor="background1"/>
              <w:left w:val="single" w:sz="4" w:space="0" w:color="FFFFFF" w:themeColor="background1"/>
              <w:bottom w:val="nil"/>
              <w:right w:val="single" w:sz="4" w:space="0" w:color="FFFFFF" w:themeColor="background1"/>
            </w:tcBorders>
            <w:shd w:val="clear" w:color="auto" w:fill="FF3399"/>
            <w:noWrap/>
            <w:hideMark/>
          </w:tcPr>
          <w:p w:rsidR="0097544C" w:rsidRPr="001244BB" w:rsidRDefault="0097544C" w:rsidP="0025274D">
            <w:pPr>
              <w:spacing w:after="0" w:line="240" w:lineRule="auto"/>
              <w:rPr>
                <w:rFonts w:eastAsia="Times New Roman" w:cstheme="minorHAnsi"/>
                <w:b/>
                <w:bCs/>
                <w:color w:val="FFFFFF" w:themeColor="background1"/>
                <w:lang w:eastAsia="en-NZ"/>
              </w:rPr>
            </w:pPr>
            <w:r w:rsidRPr="001244BB">
              <w:rPr>
                <w:rFonts w:eastAsia="Times New Roman" w:cstheme="minorHAnsi"/>
                <w:b/>
                <w:bCs/>
                <w:color w:val="FFFFFF" w:themeColor="background1"/>
                <w:lang w:eastAsia="en-NZ"/>
              </w:rPr>
              <w:t>Source</w:t>
            </w:r>
          </w:p>
        </w:tc>
        <w:tc>
          <w:tcPr>
            <w:tcW w:w="1370" w:type="dxa"/>
            <w:tcBorders>
              <w:top w:val="single" w:sz="4" w:space="0" w:color="FFFFFF" w:themeColor="background1"/>
              <w:left w:val="single" w:sz="4" w:space="0" w:color="FFFFFF" w:themeColor="background1"/>
              <w:bottom w:val="nil"/>
              <w:right w:val="single" w:sz="4" w:space="0" w:color="FFFFFF" w:themeColor="background1"/>
            </w:tcBorders>
            <w:shd w:val="clear" w:color="auto" w:fill="FF3399"/>
            <w:noWrap/>
            <w:hideMark/>
          </w:tcPr>
          <w:p w:rsidR="0097544C" w:rsidRPr="001244BB" w:rsidRDefault="0097544C" w:rsidP="0025274D">
            <w:pPr>
              <w:spacing w:after="0" w:line="240" w:lineRule="auto"/>
              <w:rPr>
                <w:rFonts w:eastAsia="Times New Roman" w:cstheme="minorHAnsi"/>
                <w:b/>
                <w:bCs/>
                <w:color w:val="FFFFFF" w:themeColor="background1"/>
                <w:lang w:eastAsia="en-NZ"/>
              </w:rPr>
            </w:pPr>
            <w:r w:rsidRPr="001244BB">
              <w:rPr>
                <w:rFonts w:eastAsia="Times New Roman" w:cstheme="minorHAnsi"/>
                <w:b/>
                <w:bCs/>
                <w:color w:val="FFFFFF" w:themeColor="background1"/>
                <w:lang w:eastAsia="en-NZ"/>
              </w:rPr>
              <w:t>2016/17</w:t>
            </w:r>
          </w:p>
        </w:tc>
        <w:tc>
          <w:tcPr>
            <w:tcW w:w="1370" w:type="dxa"/>
            <w:tcBorders>
              <w:top w:val="single" w:sz="4" w:space="0" w:color="FFFFFF" w:themeColor="background1"/>
              <w:left w:val="single" w:sz="4" w:space="0" w:color="FFFFFF" w:themeColor="background1"/>
              <w:bottom w:val="nil"/>
              <w:right w:val="single" w:sz="4" w:space="0" w:color="FFFFFF" w:themeColor="background1"/>
            </w:tcBorders>
            <w:shd w:val="clear" w:color="auto" w:fill="FF3399"/>
            <w:noWrap/>
            <w:hideMark/>
          </w:tcPr>
          <w:p w:rsidR="0097544C" w:rsidRPr="001244BB" w:rsidRDefault="0097544C" w:rsidP="0025274D">
            <w:pPr>
              <w:spacing w:after="0" w:line="240" w:lineRule="auto"/>
              <w:rPr>
                <w:rFonts w:eastAsia="Times New Roman" w:cstheme="minorHAnsi"/>
                <w:b/>
                <w:bCs/>
                <w:color w:val="FFFFFF" w:themeColor="background1"/>
                <w:lang w:eastAsia="en-NZ"/>
              </w:rPr>
            </w:pPr>
            <w:r w:rsidRPr="001244BB">
              <w:rPr>
                <w:rFonts w:eastAsia="Times New Roman" w:cstheme="minorHAnsi"/>
                <w:b/>
                <w:bCs/>
                <w:color w:val="FFFFFF" w:themeColor="background1"/>
                <w:lang w:eastAsia="en-NZ"/>
              </w:rPr>
              <w:t>2017/18</w:t>
            </w:r>
          </w:p>
        </w:tc>
        <w:tc>
          <w:tcPr>
            <w:tcW w:w="1371" w:type="dxa"/>
            <w:tcBorders>
              <w:top w:val="single" w:sz="4" w:space="0" w:color="FFFFFF" w:themeColor="background1"/>
              <w:left w:val="single" w:sz="4" w:space="0" w:color="FFFFFF" w:themeColor="background1"/>
              <w:bottom w:val="nil"/>
              <w:right w:val="single" w:sz="4" w:space="0" w:color="FFFFFF" w:themeColor="background1"/>
            </w:tcBorders>
            <w:shd w:val="clear" w:color="auto" w:fill="FF3399"/>
            <w:noWrap/>
            <w:hideMark/>
          </w:tcPr>
          <w:p w:rsidR="0097544C" w:rsidRPr="001244BB" w:rsidRDefault="0097544C" w:rsidP="0025274D">
            <w:pPr>
              <w:spacing w:after="0" w:line="240" w:lineRule="auto"/>
              <w:rPr>
                <w:rFonts w:eastAsia="Times New Roman" w:cstheme="minorHAnsi"/>
                <w:b/>
                <w:bCs/>
                <w:color w:val="FFFFFF" w:themeColor="background1"/>
                <w:lang w:eastAsia="en-NZ"/>
              </w:rPr>
            </w:pPr>
            <w:r w:rsidRPr="001244BB">
              <w:rPr>
                <w:rFonts w:eastAsia="Times New Roman" w:cstheme="minorHAnsi"/>
                <w:b/>
                <w:bCs/>
                <w:color w:val="FFFFFF" w:themeColor="background1"/>
                <w:lang w:eastAsia="en-NZ"/>
              </w:rPr>
              <w:t>2018/19</w:t>
            </w:r>
          </w:p>
        </w:tc>
        <w:tc>
          <w:tcPr>
            <w:tcW w:w="2268" w:type="dxa"/>
            <w:tcBorders>
              <w:top w:val="single" w:sz="4" w:space="0" w:color="FFFFFF" w:themeColor="background1"/>
              <w:left w:val="single" w:sz="4" w:space="0" w:color="FFFFFF" w:themeColor="background1"/>
              <w:bottom w:val="nil"/>
              <w:right w:val="nil"/>
            </w:tcBorders>
            <w:shd w:val="clear" w:color="auto" w:fill="FF3399"/>
          </w:tcPr>
          <w:p w:rsidR="0097544C" w:rsidRPr="001244BB" w:rsidRDefault="0097544C" w:rsidP="0025274D">
            <w:pPr>
              <w:spacing w:after="0" w:line="240" w:lineRule="auto"/>
              <w:rPr>
                <w:rFonts w:eastAsia="Times New Roman" w:cstheme="minorHAnsi"/>
                <w:b/>
                <w:bCs/>
                <w:color w:val="FFFFFF" w:themeColor="background1"/>
                <w:lang w:eastAsia="en-NZ"/>
              </w:rPr>
            </w:pPr>
            <w:r>
              <w:rPr>
                <w:rFonts w:eastAsia="Times New Roman" w:cstheme="minorHAnsi"/>
                <w:b/>
                <w:bCs/>
                <w:color w:val="FFFFFF" w:themeColor="background1"/>
                <w:lang w:eastAsia="en-NZ"/>
              </w:rPr>
              <w:t>Comments</w:t>
            </w:r>
          </w:p>
        </w:tc>
      </w:tr>
      <w:tr w:rsidR="0097544C" w:rsidRPr="001244BB" w:rsidTr="0097544C">
        <w:trPr>
          <w:trHeight w:val="255"/>
        </w:trPr>
        <w:tc>
          <w:tcPr>
            <w:tcW w:w="13892" w:type="dxa"/>
            <w:gridSpan w:val="7"/>
            <w:tcBorders>
              <w:top w:val="nil"/>
              <w:left w:val="nil"/>
              <w:bottom w:val="nil"/>
              <w:right w:val="nil"/>
            </w:tcBorders>
            <w:shd w:val="clear" w:color="auto" w:fill="FFCCFF"/>
            <w:hideMark/>
          </w:tcPr>
          <w:p w:rsidR="0097544C" w:rsidRPr="001244BB" w:rsidRDefault="0097544C" w:rsidP="0025274D">
            <w:pPr>
              <w:spacing w:after="0" w:line="240" w:lineRule="auto"/>
              <w:rPr>
                <w:rFonts w:eastAsia="Times New Roman" w:cstheme="minorHAnsi"/>
                <w:sz w:val="20"/>
                <w:szCs w:val="20"/>
                <w:lang w:eastAsia="en-NZ"/>
              </w:rPr>
            </w:pPr>
            <w:r w:rsidRPr="001244BB">
              <w:rPr>
                <w:rFonts w:eastAsia="Times New Roman" w:cstheme="minorHAnsi"/>
                <w:b/>
                <w:bCs/>
                <w:i/>
                <w:iCs/>
                <w:sz w:val="20"/>
                <w:szCs w:val="20"/>
                <w:lang w:eastAsia="en-NZ"/>
              </w:rPr>
              <w:t>Cultural reputation, participation and vibrancy</w:t>
            </w:r>
          </w:p>
        </w:tc>
      </w:tr>
      <w:tr w:rsidR="0097544C" w:rsidRPr="001244BB" w:rsidTr="0097544C">
        <w:trPr>
          <w:trHeight w:val="510"/>
        </w:trPr>
        <w:tc>
          <w:tcPr>
            <w:tcW w:w="4395" w:type="dxa"/>
            <w:tcBorders>
              <w:top w:val="nil"/>
              <w:left w:val="nil"/>
            </w:tcBorders>
            <w:shd w:val="clear" w:color="auto" w:fill="auto"/>
            <w:hideMark/>
          </w:tcPr>
          <w:p w:rsidR="0097544C" w:rsidRPr="001244BB" w:rsidRDefault="0097544C" w:rsidP="0025274D">
            <w:pPr>
              <w:spacing w:after="0" w:line="240" w:lineRule="auto"/>
              <w:rPr>
                <w:rFonts w:eastAsia="Times New Roman" w:cstheme="minorHAnsi"/>
                <w:sz w:val="20"/>
                <w:szCs w:val="20"/>
                <w:lang w:eastAsia="en-NZ"/>
              </w:rPr>
            </w:pPr>
            <w:r w:rsidRPr="001244BB">
              <w:rPr>
                <w:rFonts w:eastAsia="Times New Roman" w:cstheme="minorHAnsi"/>
                <w:sz w:val="20"/>
                <w:szCs w:val="20"/>
                <w:lang w:eastAsia="en-NZ"/>
              </w:rPr>
              <w:t>Residents’ frequency of engagement in cultural and arts activities</w:t>
            </w:r>
          </w:p>
        </w:tc>
        <w:tc>
          <w:tcPr>
            <w:tcW w:w="1275" w:type="dxa"/>
            <w:tcBorders>
              <w:top w:val="nil"/>
            </w:tcBorders>
            <w:shd w:val="clear" w:color="auto" w:fill="auto"/>
            <w:noWrap/>
            <w:hideMark/>
          </w:tcPr>
          <w:p w:rsidR="0097544C" w:rsidRPr="001244BB" w:rsidRDefault="0097544C" w:rsidP="0025274D">
            <w:pPr>
              <w:spacing w:after="0" w:line="240" w:lineRule="auto"/>
              <w:rPr>
                <w:rFonts w:eastAsia="Times New Roman" w:cstheme="minorHAnsi"/>
                <w:color w:val="000000"/>
                <w:sz w:val="20"/>
                <w:szCs w:val="20"/>
                <w:lang w:eastAsia="en-NZ"/>
              </w:rPr>
            </w:pPr>
            <w:r w:rsidRPr="001244BB">
              <w:rPr>
                <w:rFonts w:eastAsia="Times New Roman" w:cstheme="minorHAnsi"/>
                <w:color w:val="000000"/>
                <w:sz w:val="20"/>
                <w:szCs w:val="20"/>
                <w:lang w:eastAsia="en-NZ"/>
              </w:rPr>
              <w:t>Increasing</w:t>
            </w:r>
          </w:p>
        </w:tc>
        <w:tc>
          <w:tcPr>
            <w:tcW w:w="1843" w:type="dxa"/>
            <w:tcBorders>
              <w:top w:val="nil"/>
            </w:tcBorders>
            <w:shd w:val="clear" w:color="auto" w:fill="auto"/>
            <w:noWrap/>
            <w:hideMark/>
          </w:tcPr>
          <w:p w:rsidR="0097544C" w:rsidRPr="001244BB" w:rsidRDefault="0097544C" w:rsidP="0025274D">
            <w:pPr>
              <w:spacing w:after="0" w:line="240" w:lineRule="auto"/>
              <w:rPr>
                <w:rFonts w:eastAsia="Times New Roman" w:cstheme="minorHAnsi"/>
                <w:color w:val="000000"/>
                <w:sz w:val="20"/>
                <w:szCs w:val="20"/>
                <w:lang w:eastAsia="en-NZ"/>
              </w:rPr>
            </w:pPr>
            <w:r w:rsidRPr="001244BB">
              <w:rPr>
                <w:rFonts w:eastAsia="Times New Roman" w:cstheme="minorHAnsi"/>
                <w:color w:val="000000"/>
                <w:sz w:val="20"/>
                <w:szCs w:val="20"/>
                <w:lang w:eastAsia="en-NZ"/>
              </w:rPr>
              <w:t>WCC RMS 2019</w:t>
            </w:r>
          </w:p>
        </w:tc>
        <w:tc>
          <w:tcPr>
            <w:tcW w:w="1370" w:type="dxa"/>
            <w:tcBorders>
              <w:top w:val="nil"/>
            </w:tcBorders>
            <w:shd w:val="clear" w:color="auto" w:fill="auto"/>
            <w:vAlign w:val="center"/>
            <w:hideMark/>
          </w:tcPr>
          <w:p w:rsidR="0097544C" w:rsidRPr="001244BB" w:rsidRDefault="0097544C" w:rsidP="0025274D">
            <w:pPr>
              <w:spacing w:after="0" w:line="240" w:lineRule="auto"/>
              <w:jc w:val="right"/>
              <w:rPr>
                <w:rFonts w:eastAsia="Times New Roman" w:cstheme="minorHAnsi"/>
                <w:color w:val="000000"/>
                <w:sz w:val="20"/>
                <w:szCs w:val="20"/>
                <w:lang w:eastAsia="en-NZ"/>
              </w:rPr>
            </w:pPr>
            <w:r>
              <w:rPr>
                <w:rFonts w:eastAsia="Times New Roman" w:cstheme="minorHAnsi"/>
                <w:color w:val="000000"/>
                <w:sz w:val="20"/>
                <w:szCs w:val="20"/>
                <w:lang w:eastAsia="en-NZ"/>
              </w:rPr>
              <w:t>88</w:t>
            </w:r>
            <w:r w:rsidRPr="001244BB">
              <w:rPr>
                <w:rFonts w:eastAsia="Times New Roman" w:cstheme="minorHAnsi"/>
                <w:color w:val="000000"/>
                <w:sz w:val="20"/>
                <w:szCs w:val="20"/>
                <w:lang w:eastAsia="en-NZ"/>
              </w:rPr>
              <w:t>%</w:t>
            </w:r>
          </w:p>
        </w:tc>
        <w:tc>
          <w:tcPr>
            <w:tcW w:w="1370" w:type="dxa"/>
            <w:tcBorders>
              <w:top w:val="nil"/>
            </w:tcBorders>
            <w:shd w:val="clear" w:color="auto" w:fill="auto"/>
            <w:vAlign w:val="center"/>
            <w:hideMark/>
          </w:tcPr>
          <w:p w:rsidR="0097544C" w:rsidRPr="001244BB" w:rsidRDefault="0097544C" w:rsidP="0025274D">
            <w:pPr>
              <w:spacing w:after="0" w:line="240" w:lineRule="auto"/>
              <w:jc w:val="right"/>
              <w:rPr>
                <w:rFonts w:eastAsia="Times New Roman" w:cstheme="minorHAnsi"/>
                <w:color w:val="000000"/>
                <w:sz w:val="20"/>
                <w:szCs w:val="20"/>
                <w:lang w:eastAsia="en-NZ"/>
              </w:rPr>
            </w:pPr>
            <w:r>
              <w:rPr>
                <w:rFonts w:eastAsia="Times New Roman" w:cstheme="minorHAnsi"/>
                <w:color w:val="000000"/>
                <w:sz w:val="20"/>
                <w:szCs w:val="20"/>
                <w:lang w:eastAsia="en-NZ"/>
              </w:rPr>
              <w:t>90</w:t>
            </w:r>
            <w:r w:rsidRPr="001244BB">
              <w:rPr>
                <w:rFonts w:eastAsia="Times New Roman" w:cstheme="minorHAnsi"/>
                <w:color w:val="000000"/>
                <w:sz w:val="20"/>
                <w:szCs w:val="20"/>
                <w:lang w:eastAsia="en-NZ"/>
              </w:rPr>
              <w:t>%</w:t>
            </w:r>
          </w:p>
        </w:tc>
        <w:tc>
          <w:tcPr>
            <w:tcW w:w="1371" w:type="dxa"/>
            <w:tcBorders>
              <w:top w:val="nil"/>
            </w:tcBorders>
            <w:shd w:val="clear" w:color="auto" w:fill="auto"/>
            <w:vAlign w:val="center"/>
            <w:hideMark/>
          </w:tcPr>
          <w:p w:rsidR="0097544C" w:rsidRPr="001244BB" w:rsidRDefault="0097544C" w:rsidP="0025274D">
            <w:pPr>
              <w:spacing w:after="0" w:line="240" w:lineRule="auto"/>
              <w:jc w:val="right"/>
              <w:rPr>
                <w:rFonts w:eastAsia="Times New Roman" w:cstheme="minorHAnsi"/>
                <w:color w:val="000000"/>
                <w:sz w:val="20"/>
                <w:szCs w:val="20"/>
                <w:lang w:eastAsia="en-NZ"/>
              </w:rPr>
            </w:pPr>
            <w:r>
              <w:rPr>
                <w:rFonts w:eastAsia="Times New Roman" w:cstheme="minorHAnsi"/>
                <w:color w:val="000000"/>
                <w:sz w:val="20"/>
                <w:szCs w:val="20"/>
                <w:lang w:eastAsia="en-NZ"/>
              </w:rPr>
              <w:t>86</w:t>
            </w:r>
            <w:r w:rsidRPr="001244BB">
              <w:rPr>
                <w:rFonts w:eastAsia="Times New Roman" w:cstheme="minorHAnsi"/>
                <w:color w:val="000000"/>
                <w:sz w:val="20"/>
                <w:szCs w:val="20"/>
                <w:lang w:eastAsia="en-NZ"/>
              </w:rPr>
              <w:t>%</w:t>
            </w:r>
          </w:p>
        </w:tc>
        <w:tc>
          <w:tcPr>
            <w:tcW w:w="2268" w:type="dxa"/>
            <w:tcBorders>
              <w:top w:val="nil"/>
              <w:right w:val="nil"/>
            </w:tcBorders>
          </w:tcPr>
          <w:p w:rsidR="0097544C" w:rsidRPr="001244BB" w:rsidDel="00042928" w:rsidRDefault="0097544C" w:rsidP="0025274D">
            <w:pPr>
              <w:spacing w:after="0" w:line="240" w:lineRule="auto"/>
              <w:jc w:val="right"/>
              <w:rPr>
                <w:rFonts w:eastAsia="Times New Roman" w:cstheme="minorHAnsi"/>
                <w:color w:val="000000"/>
                <w:sz w:val="20"/>
                <w:szCs w:val="20"/>
                <w:lang w:eastAsia="en-NZ"/>
              </w:rPr>
            </w:pPr>
            <w:r>
              <w:rPr>
                <w:rFonts w:eastAsia="Times New Roman" w:cstheme="minorHAnsi"/>
                <w:color w:val="000000"/>
                <w:sz w:val="20"/>
                <w:szCs w:val="20"/>
                <w:lang w:eastAsia="en-NZ"/>
              </w:rPr>
              <w:t>See supplementary tables</w:t>
            </w:r>
          </w:p>
        </w:tc>
      </w:tr>
      <w:tr w:rsidR="0097544C" w:rsidRPr="001244BB" w:rsidTr="0097544C">
        <w:trPr>
          <w:trHeight w:val="510"/>
        </w:trPr>
        <w:tc>
          <w:tcPr>
            <w:tcW w:w="4395" w:type="dxa"/>
            <w:tcBorders>
              <w:left w:val="nil"/>
            </w:tcBorders>
            <w:shd w:val="clear" w:color="auto" w:fill="auto"/>
            <w:hideMark/>
          </w:tcPr>
          <w:p w:rsidR="0097544C" w:rsidRPr="001244BB" w:rsidRDefault="0097544C" w:rsidP="0025274D">
            <w:pPr>
              <w:spacing w:after="0" w:line="240" w:lineRule="auto"/>
              <w:rPr>
                <w:rFonts w:eastAsia="Times New Roman" w:cstheme="minorHAnsi"/>
                <w:sz w:val="20"/>
                <w:szCs w:val="20"/>
                <w:lang w:eastAsia="en-NZ"/>
              </w:rPr>
            </w:pPr>
            <w:r w:rsidRPr="001244BB">
              <w:rPr>
                <w:rFonts w:eastAsia="Times New Roman" w:cstheme="minorHAnsi"/>
                <w:sz w:val="20"/>
                <w:szCs w:val="20"/>
                <w:lang w:eastAsia="en-NZ"/>
              </w:rPr>
              <w:t>New Zealanders’ and residents’ perceptions that “Wellington has a culturally rich and diverse arts scene”</w:t>
            </w:r>
          </w:p>
        </w:tc>
        <w:tc>
          <w:tcPr>
            <w:tcW w:w="1275" w:type="dxa"/>
            <w:shd w:val="clear" w:color="auto" w:fill="auto"/>
            <w:noWrap/>
            <w:hideMark/>
          </w:tcPr>
          <w:p w:rsidR="0097544C" w:rsidRPr="001244BB" w:rsidRDefault="0097544C" w:rsidP="0025274D">
            <w:pPr>
              <w:spacing w:after="0" w:line="240" w:lineRule="auto"/>
              <w:rPr>
                <w:rFonts w:eastAsia="Times New Roman" w:cstheme="minorHAnsi"/>
                <w:color w:val="000000"/>
                <w:sz w:val="20"/>
                <w:szCs w:val="20"/>
                <w:lang w:eastAsia="en-NZ"/>
              </w:rPr>
            </w:pPr>
            <w:r w:rsidRPr="001244BB">
              <w:rPr>
                <w:rFonts w:eastAsia="Times New Roman" w:cstheme="minorHAnsi"/>
                <w:color w:val="000000"/>
                <w:sz w:val="20"/>
                <w:szCs w:val="20"/>
                <w:lang w:eastAsia="en-NZ"/>
              </w:rPr>
              <w:t>Increasing</w:t>
            </w:r>
          </w:p>
        </w:tc>
        <w:tc>
          <w:tcPr>
            <w:tcW w:w="1843" w:type="dxa"/>
            <w:shd w:val="clear" w:color="auto" w:fill="auto"/>
            <w:noWrap/>
            <w:hideMark/>
          </w:tcPr>
          <w:p w:rsidR="0097544C" w:rsidRPr="001244BB" w:rsidRDefault="0097544C" w:rsidP="0025274D">
            <w:pPr>
              <w:spacing w:after="0" w:line="240" w:lineRule="auto"/>
              <w:rPr>
                <w:rFonts w:eastAsia="Times New Roman" w:cstheme="minorHAnsi"/>
                <w:color w:val="000000"/>
                <w:sz w:val="20"/>
                <w:szCs w:val="20"/>
                <w:lang w:eastAsia="en-NZ"/>
              </w:rPr>
            </w:pPr>
            <w:r w:rsidRPr="001244BB">
              <w:rPr>
                <w:rFonts w:eastAsia="Times New Roman" w:cstheme="minorHAnsi"/>
                <w:color w:val="000000"/>
                <w:sz w:val="20"/>
                <w:szCs w:val="20"/>
                <w:lang w:eastAsia="en-NZ"/>
              </w:rPr>
              <w:t>WCC Research</w:t>
            </w:r>
          </w:p>
        </w:tc>
        <w:tc>
          <w:tcPr>
            <w:tcW w:w="1370" w:type="dxa"/>
            <w:shd w:val="clear" w:color="auto" w:fill="auto"/>
            <w:noWrap/>
            <w:hideMark/>
          </w:tcPr>
          <w:p w:rsidR="0097544C" w:rsidRDefault="0097544C" w:rsidP="0025274D">
            <w:pPr>
              <w:spacing w:after="0" w:line="240" w:lineRule="auto"/>
              <w:jc w:val="right"/>
              <w:rPr>
                <w:rFonts w:eastAsia="Times New Roman" w:cstheme="minorHAnsi"/>
                <w:color w:val="000000"/>
                <w:sz w:val="20"/>
                <w:szCs w:val="20"/>
                <w:lang w:eastAsia="en-NZ"/>
              </w:rPr>
            </w:pPr>
            <w:r w:rsidRPr="001244BB">
              <w:rPr>
                <w:rFonts w:eastAsia="Times New Roman" w:cstheme="minorHAnsi"/>
                <w:color w:val="000000"/>
                <w:sz w:val="20"/>
                <w:szCs w:val="20"/>
                <w:lang w:eastAsia="en-NZ"/>
              </w:rPr>
              <w:t xml:space="preserve">NZ (79%); </w:t>
            </w:r>
          </w:p>
          <w:p w:rsidR="0097544C" w:rsidRPr="001244BB" w:rsidRDefault="0097544C" w:rsidP="0025274D">
            <w:pPr>
              <w:spacing w:after="0" w:line="240" w:lineRule="auto"/>
              <w:jc w:val="right"/>
              <w:rPr>
                <w:rFonts w:eastAsia="Times New Roman" w:cstheme="minorHAnsi"/>
                <w:color w:val="000000"/>
                <w:sz w:val="20"/>
                <w:szCs w:val="20"/>
                <w:lang w:eastAsia="en-NZ"/>
              </w:rPr>
            </w:pPr>
          </w:p>
        </w:tc>
        <w:tc>
          <w:tcPr>
            <w:tcW w:w="1370" w:type="dxa"/>
            <w:shd w:val="clear" w:color="auto" w:fill="auto"/>
            <w:noWrap/>
            <w:hideMark/>
          </w:tcPr>
          <w:p w:rsidR="0097544C" w:rsidRDefault="0097544C" w:rsidP="0025274D">
            <w:pPr>
              <w:spacing w:after="0" w:line="240" w:lineRule="auto"/>
              <w:jc w:val="right"/>
              <w:rPr>
                <w:rFonts w:eastAsia="Times New Roman" w:cstheme="minorHAnsi"/>
                <w:color w:val="000000"/>
                <w:sz w:val="20"/>
                <w:szCs w:val="20"/>
                <w:lang w:eastAsia="en-NZ"/>
              </w:rPr>
            </w:pPr>
            <w:r w:rsidRPr="001244BB">
              <w:rPr>
                <w:rFonts w:eastAsia="Times New Roman" w:cstheme="minorHAnsi"/>
                <w:color w:val="000000"/>
                <w:sz w:val="20"/>
                <w:szCs w:val="20"/>
                <w:lang w:eastAsia="en-NZ"/>
              </w:rPr>
              <w:t xml:space="preserve">NZ (79%); </w:t>
            </w:r>
          </w:p>
          <w:p w:rsidR="0097544C" w:rsidRPr="001244BB" w:rsidRDefault="0097544C" w:rsidP="0025274D">
            <w:pPr>
              <w:spacing w:after="0" w:line="240" w:lineRule="auto"/>
              <w:jc w:val="right"/>
              <w:rPr>
                <w:rFonts w:eastAsia="Times New Roman" w:cstheme="minorHAnsi"/>
                <w:color w:val="000000"/>
                <w:sz w:val="20"/>
                <w:szCs w:val="20"/>
                <w:lang w:eastAsia="en-NZ"/>
              </w:rPr>
            </w:pPr>
          </w:p>
        </w:tc>
        <w:tc>
          <w:tcPr>
            <w:tcW w:w="1371" w:type="dxa"/>
            <w:shd w:val="clear" w:color="auto" w:fill="auto"/>
            <w:noWrap/>
            <w:hideMark/>
          </w:tcPr>
          <w:p w:rsidR="0097544C" w:rsidRDefault="0097544C" w:rsidP="0025274D">
            <w:pPr>
              <w:spacing w:after="0" w:line="240" w:lineRule="auto"/>
              <w:jc w:val="right"/>
              <w:rPr>
                <w:rFonts w:eastAsia="Times New Roman" w:cstheme="minorHAnsi"/>
                <w:color w:val="000000"/>
                <w:sz w:val="20"/>
                <w:szCs w:val="20"/>
                <w:lang w:eastAsia="en-NZ"/>
              </w:rPr>
            </w:pPr>
            <w:r w:rsidRPr="001244BB">
              <w:rPr>
                <w:rFonts w:eastAsia="Times New Roman" w:cstheme="minorHAnsi"/>
                <w:color w:val="000000"/>
                <w:sz w:val="20"/>
                <w:szCs w:val="20"/>
                <w:lang w:eastAsia="en-NZ"/>
              </w:rPr>
              <w:t xml:space="preserve">NZ (80%); </w:t>
            </w:r>
          </w:p>
          <w:p w:rsidR="0097544C" w:rsidRPr="001244BB" w:rsidRDefault="0097544C" w:rsidP="0025274D">
            <w:pPr>
              <w:spacing w:after="0" w:line="240" w:lineRule="auto"/>
              <w:jc w:val="right"/>
              <w:rPr>
                <w:rFonts w:eastAsia="Times New Roman" w:cstheme="minorHAnsi"/>
                <w:color w:val="000000"/>
                <w:sz w:val="20"/>
                <w:szCs w:val="20"/>
                <w:lang w:eastAsia="en-NZ"/>
              </w:rPr>
            </w:pPr>
          </w:p>
        </w:tc>
        <w:tc>
          <w:tcPr>
            <w:tcW w:w="2268" w:type="dxa"/>
            <w:tcBorders>
              <w:right w:val="nil"/>
            </w:tcBorders>
          </w:tcPr>
          <w:p w:rsidR="0097544C" w:rsidRPr="001244BB" w:rsidRDefault="00531EA3" w:rsidP="0025274D">
            <w:pPr>
              <w:spacing w:after="0" w:line="240" w:lineRule="auto"/>
              <w:jc w:val="right"/>
              <w:rPr>
                <w:rFonts w:eastAsia="Times New Roman" w:cstheme="minorHAnsi"/>
                <w:color w:val="000000"/>
                <w:sz w:val="20"/>
                <w:szCs w:val="20"/>
                <w:lang w:eastAsia="en-NZ"/>
              </w:rPr>
            </w:pPr>
            <w:r>
              <w:rPr>
                <w:rFonts w:eastAsia="Times New Roman" w:cstheme="minorHAnsi"/>
                <w:color w:val="000000"/>
                <w:sz w:val="20"/>
                <w:szCs w:val="20"/>
                <w:lang w:eastAsia="en-NZ"/>
              </w:rPr>
              <w:t>No trend</w:t>
            </w:r>
          </w:p>
        </w:tc>
      </w:tr>
      <w:tr w:rsidR="0022119B" w:rsidRPr="001244BB" w:rsidTr="0097544C">
        <w:trPr>
          <w:trHeight w:val="510"/>
        </w:trPr>
        <w:tc>
          <w:tcPr>
            <w:tcW w:w="4395" w:type="dxa"/>
            <w:tcBorders>
              <w:left w:val="nil"/>
            </w:tcBorders>
            <w:shd w:val="clear" w:color="auto" w:fill="auto"/>
          </w:tcPr>
          <w:p w:rsidR="0022119B" w:rsidRPr="001244BB" w:rsidRDefault="0022119B" w:rsidP="0025274D">
            <w:pPr>
              <w:spacing w:after="0" w:line="240" w:lineRule="auto"/>
              <w:rPr>
                <w:rFonts w:eastAsia="Times New Roman" w:cstheme="minorHAnsi"/>
                <w:sz w:val="20"/>
                <w:szCs w:val="20"/>
                <w:lang w:eastAsia="en-NZ"/>
              </w:rPr>
            </w:pPr>
          </w:p>
        </w:tc>
        <w:tc>
          <w:tcPr>
            <w:tcW w:w="1275" w:type="dxa"/>
            <w:shd w:val="clear" w:color="auto" w:fill="auto"/>
            <w:noWrap/>
          </w:tcPr>
          <w:p w:rsidR="0022119B" w:rsidRPr="001244BB" w:rsidRDefault="0022119B" w:rsidP="0025274D">
            <w:pPr>
              <w:spacing w:after="0" w:line="240" w:lineRule="auto"/>
              <w:rPr>
                <w:rFonts w:eastAsia="Times New Roman" w:cstheme="minorHAnsi"/>
                <w:color w:val="000000"/>
                <w:sz w:val="20"/>
                <w:szCs w:val="20"/>
                <w:lang w:eastAsia="en-NZ"/>
              </w:rPr>
            </w:pPr>
          </w:p>
        </w:tc>
        <w:tc>
          <w:tcPr>
            <w:tcW w:w="1843" w:type="dxa"/>
            <w:shd w:val="clear" w:color="auto" w:fill="auto"/>
            <w:noWrap/>
          </w:tcPr>
          <w:p w:rsidR="0022119B" w:rsidRPr="001244BB" w:rsidRDefault="0022119B" w:rsidP="0025274D">
            <w:pPr>
              <w:spacing w:after="0" w:line="240" w:lineRule="auto"/>
              <w:rPr>
                <w:rFonts w:eastAsia="Times New Roman" w:cstheme="minorHAnsi"/>
                <w:color w:val="000000"/>
                <w:sz w:val="20"/>
                <w:szCs w:val="20"/>
                <w:lang w:eastAsia="en-NZ"/>
              </w:rPr>
            </w:pPr>
          </w:p>
        </w:tc>
        <w:tc>
          <w:tcPr>
            <w:tcW w:w="1370" w:type="dxa"/>
            <w:shd w:val="clear" w:color="auto" w:fill="auto"/>
            <w:noWrap/>
          </w:tcPr>
          <w:p w:rsidR="0047425C" w:rsidRDefault="0022119B" w:rsidP="0025274D">
            <w:pPr>
              <w:spacing w:after="0" w:line="240" w:lineRule="auto"/>
              <w:jc w:val="right"/>
              <w:rPr>
                <w:rFonts w:eastAsia="Times New Roman" w:cstheme="minorHAnsi"/>
                <w:color w:val="000000"/>
                <w:sz w:val="20"/>
                <w:szCs w:val="20"/>
                <w:lang w:eastAsia="en-NZ"/>
              </w:rPr>
            </w:pPr>
            <w:r w:rsidRPr="001244BB">
              <w:rPr>
                <w:rFonts w:eastAsia="Times New Roman" w:cstheme="minorHAnsi"/>
                <w:color w:val="000000"/>
                <w:sz w:val="20"/>
                <w:szCs w:val="20"/>
                <w:lang w:eastAsia="en-NZ"/>
              </w:rPr>
              <w:t xml:space="preserve">Residents </w:t>
            </w:r>
          </w:p>
          <w:p w:rsidR="0047425C" w:rsidRDefault="0047425C" w:rsidP="0025274D">
            <w:pPr>
              <w:spacing w:after="0" w:line="240" w:lineRule="auto"/>
              <w:jc w:val="right"/>
              <w:rPr>
                <w:rFonts w:eastAsia="Times New Roman" w:cstheme="minorHAnsi"/>
                <w:color w:val="000000"/>
                <w:sz w:val="20"/>
                <w:szCs w:val="20"/>
                <w:lang w:eastAsia="en-NZ"/>
              </w:rPr>
            </w:pPr>
          </w:p>
          <w:p w:rsidR="0022119B" w:rsidRPr="001244BB" w:rsidRDefault="0022119B" w:rsidP="0025274D">
            <w:pPr>
              <w:spacing w:after="0" w:line="240" w:lineRule="auto"/>
              <w:jc w:val="right"/>
              <w:rPr>
                <w:rFonts w:eastAsia="Times New Roman" w:cstheme="minorHAnsi"/>
                <w:color w:val="000000"/>
                <w:sz w:val="20"/>
                <w:szCs w:val="20"/>
                <w:lang w:eastAsia="en-NZ"/>
              </w:rPr>
            </w:pPr>
            <w:r w:rsidRPr="001244BB">
              <w:rPr>
                <w:rFonts w:eastAsia="Times New Roman" w:cstheme="minorHAnsi"/>
                <w:color w:val="000000"/>
                <w:sz w:val="20"/>
                <w:szCs w:val="20"/>
                <w:lang w:eastAsia="en-NZ"/>
              </w:rPr>
              <w:t>(90%)</w:t>
            </w:r>
          </w:p>
        </w:tc>
        <w:tc>
          <w:tcPr>
            <w:tcW w:w="1370" w:type="dxa"/>
            <w:shd w:val="clear" w:color="auto" w:fill="auto"/>
            <w:noWrap/>
          </w:tcPr>
          <w:p w:rsidR="0022119B" w:rsidRPr="001244BB" w:rsidRDefault="0022119B" w:rsidP="0025274D">
            <w:pPr>
              <w:spacing w:after="0" w:line="240" w:lineRule="auto"/>
              <w:jc w:val="right"/>
              <w:rPr>
                <w:rFonts w:eastAsia="Times New Roman" w:cstheme="minorHAnsi"/>
                <w:color w:val="000000"/>
                <w:sz w:val="20"/>
                <w:szCs w:val="20"/>
                <w:lang w:eastAsia="en-NZ"/>
              </w:rPr>
            </w:pPr>
            <w:r w:rsidRPr="001244BB">
              <w:rPr>
                <w:rFonts w:eastAsia="Times New Roman" w:cstheme="minorHAnsi"/>
                <w:color w:val="000000"/>
                <w:sz w:val="20"/>
                <w:szCs w:val="20"/>
                <w:lang w:eastAsia="en-NZ"/>
              </w:rPr>
              <w:t>Residents (93%)</w:t>
            </w:r>
          </w:p>
        </w:tc>
        <w:tc>
          <w:tcPr>
            <w:tcW w:w="1371" w:type="dxa"/>
            <w:shd w:val="clear" w:color="auto" w:fill="auto"/>
            <w:noWrap/>
          </w:tcPr>
          <w:p w:rsidR="0022119B" w:rsidRPr="001244BB" w:rsidRDefault="0022119B" w:rsidP="0025274D">
            <w:pPr>
              <w:spacing w:after="0" w:line="240" w:lineRule="auto"/>
              <w:jc w:val="right"/>
              <w:rPr>
                <w:rFonts w:eastAsia="Times New Roman" w:cstheme="minorHAnsi"/>
                <w:color w:val="000000"/>
                <w:sz w:val="20"/>
                <w:szCs w:val="20"/>
                <w:lang w:eastAsia="en-NZ"/>
              </w:rPr>
            </w:pPr>
            <w:r w:rsidRPr="001244BB">
              <w:rPr>
                <w:rFonts w:eastAsia="Times New Roman" w:cstheme="minorHAnsi"/>
                <w:color w:val="000000"/>
                <w:sz w:val="20"/>
                <w:szCs w:val="20"/>
                <w:lang w:eastAsia="en-NZ"/>
              </w:rPr>
              <w:t>Residents (90%)</w:t>
            </w:r>
          </w:p>
        </w:tc>
        <w:tc>
          <w:tcPr>
            <w:tcW w:w="2268" w:type="dxa"/>
            <w:tcBorders>
              <w:right w:val="nil"/>
            </w:tcBorders>
          </w:tcPr>
          <w:p w:rsidR="0022119B" w:rsidRPr="001244BB" w:rsidRDefault="0022119B" w:rsidP="0025274D">
            <w:pPr>
              <w:spacing w:after="0" w:line="240" w:lineRule="auto"/>
              <w:jc w:val="right"/>
              <w:rPr>
                <w:rFonts w:eastAsia="Times New Roman" w:cstheme="minorHAnsi"/>
                <w:color w:val="000000"/>
                <w:sz w:val="20"/>
                <w:szCs w:val="20"/>
                <w:lang w:eastAsia="en-NZ"/>
              </w:rPr>
            </w:pPr>
            <w:r>
              <w:rPr>
                <w:rFonts w:eastAsia="Times New Roman" w:cstheme="minorHAnsi"/>
                <w:color w:val="000000"/>
                <w:sz w:val="20"/>
                <w:szCs w:val="20"/>
                <w:lang w:eastAsia="en-NZ"/>
              </w:rPr>
              <w:t>No trend</w:t>
            </w:r>
          </w:p>
        </w:tc>
      </w:tr>
      <w:tr w:rsidR="0022119B" w:rsidRPr="001244BB" w:rsidTr="0022119B">
        <w:trPr>
          <w:trHeight w:val="755"/>
        </w:trPr>
        <w:tc>
          <w:tcPr>
            <w:tcW w:w="4395" w:type="dxa"/>
            <w:tcBorders>
              <w:left w:val="nil"/>
            </w:tcBorders>
            <w:shd w:val="clear" w:color="auto" w:fill="auto"/>
            <w:hideMark/>
          </w:tcPr>
          <w:p w:rsidR="0022119B" w:rsidRPr="001244BB" w:rsidRDefault="0022119B" w:rsidP="0025274D">
            <w:pPr>
              <w:spacing w:after="0" w:line="240" w:lineRule="auto"/>
              <w:rPr>
                <w:rFonts w:eastAsia="Times New Roman" w:cstheme="minorHAnsi"/>
                <w:sz w:val="20"/>
                <w:szCs w:val="20"/>
                <w:lang w:eastAsia="en-NZ"/>
              </w:rPr>
            </w:pPr>
            <w:r w:rsidRPr="001244BB">
              <w:rPr>
                <w:rFonts w:eastAsia="Times New Roman" w:cstheme="minorHAnsi"/>
                <w:sz w:val="20"/>
                <w:szCs w:val="20"/>
                <w:lang w:eastAsia="en-NZ"/>
              </w:rPr>
              <w:t>New Zealanders’ and residents’ perceptions that “Wellington is the events capital of New Zealand”</w:t>
            </w:r>
          </w:p>
        </w:tc>
        <w:tc>
          <w:tcPr>
            <w:tcW w:w="1275" w:type="dxa"/>
            <w:shd w:val="clear" w:color="auto" w:fill="auto"/>
            <w:noWrap/>
            <w:hideMark/>
          </w:tcPr>
          <w:p w:rsidR="0022119B" w:rsidRPr="001244BB" w:rsidRDefault="0022119B" w:rsidP="0025274D">
            <w:pPr>
              <w:spacing w:after="0" w:line="240" w:lineRule="auto"/>
              <w:rPr>
                <w:rFonts w:eastAsia="Times New Roman" w:cstheme="minorHAnsi"/>
                <w:color w:val="000000"/>
                <w:sz w:val="20"/>
                <w:szCs w:val="20"/>
                <w:lang w:eastAsia="en-NZ"/>
              </w:rPr>
            </w:pPr>
            <w:r w:rsidRPr="001244BB">
              <w:rPr>
                <w:rFonts w:eastAsia="Times New Roman" w:cstheme="minorHAnsi"/>
                <w:color w:val="000000"/>
                <w:sz w:val="20"/>
                <w:szCs w:val="20"/>
                <w:lang w:eastAsia="en-NZ"/>
              </w:rPr>
              <w:t>Increasing</w:t>
            </w:r>
          </w:p>
        </w:tc>
        <w:tc>
          <w:tcPr>
            <w:tcW w:w="1843" w:type="dxa"/>
            <w:shd w:val="clear" w:color="auto" w:fill="auto"/>
            <w:noWrap/>
            <w:hideMark/>
          </w:tcPr>
          <w:p w:rsidR="0022119B" w:rsidRPr="001244BB" w:rsidRDefault="0022119B" w:rsidP="0025274D">
            <w:pPr>
              <w:spacing w:after="0" w:line="240" w:lineRule="auto"/>
              <w:rPr>
                <w:rFonts w:eastAsia="Times New Roman" w:cstheme="minorHAnsi"/>
                <w:color w:val="000000"/>
                <w:sz w:val="20"/>
                <w:szCs w:val="20"/>
                <w:lang w:eastAsia="en-NZ"/>
              </w:rPr>
            </w:pPr>
            <w:r w:rsidRPr="001244BB">
              <w:rPr>
                <w:rFonts w:eastAsia="Times New Roman" w:cstheme="minorHAnsi"/>
                <w:color w:val="000000"/>
                <w:sz w:val="20"/>
                <w:szCs w:val="20"/>
                <w:lang w:eastAsia="en-NZ"/>
              </w:rPr>
              <w:t>WCC Research</w:t>
            </w:r>
          </w:p>
        </w:tc>
        <w:tc>
          <w:tcPr>
            <w:tcW w:w="1370" w:type="dxa"/>
            <w:shd w:val="clear" w:color="auto" w:fill="auto"/>
            <w:noWrap/>
            <w:hideMark/>
          </w:tcPr>
          <w:p w:rsidR="0022119B" w:rsidRDefault="0022119B" w:rsidP="0025274D">
            <w:pPr>
              <w:spacing w:after="0" w:line="240" w:lineRule="auto"/>
              <w:jc w:val="right"/>
              <w:rPr>
                <w:rFonts w:eastAsia="Times New Roman" w:cstheme="minorHAnsi"/>
                <w:color w:val="000000"/>
                <w:sz w:val="20"/>
                <w:szCs w:val="20"/>
                <w:lang w:eastAsia="en-NZ"/>
              </w:rPr>
            </w:pPr>
            <w:r w:rsidRPr="001244BB">
              <w:rPr>
                <w:rFonts w:eastAsia="Times New Roman" w:cstheme="minorHAnsi"/>
                <w:color w:val="000000"/>
                <w:sz w:val="20"/>
                <w:szCs w:val="20"/>
                <w:lang w:eastAsia="en-NZ"/>
              </w:rPr>
              <w:t xml:space="preserve">NZ (34%); </w:t>
            </w:r>
          </w:p>
          <w:p w:rsidR="0022119B" w:rsidRPr="001244BB" w:rsidRDefault="0022119B" w:rsidP="0022119B">
            <w:pPr>
              <w:spacing w:after="0" w:line="240" w:lineRule="auto"/>
              <w:jc w:val="right"/>
              <w:rPr>
                <w:rFonts w:eastAsia="Times New Roman" w:cstheme="minorHAnsi"/>
                <w:color w:val="000000"/>
                <w:sz w:val="20"/>
                <w:szCs w:val="20"/>
                <w:lang w:eastAsia="en-NZ"/>
              </w:rPr>
            </w:pPr>
          </w:p>
        </w:tc>
        <w:tc>
          <w:tcPr>
            <w:tcW w:w="1370" w:type="dxa"/>
            <w:shd w:val="clear" w:color="auto" w:fill="auto"/>
          </w:tcPr>
          <w:p w:rsidR="0022119B" w:rsidRDefault="0022119B" w:rsidP="0025274D">
            <w:pPr>
              <w:spacing w:after="0" w:line="240" w:lineRule="auto"/>
              <w:jc w:val="right"/>
              <w:rPr>
                <w:rFonts w:eastAsia="Times New Roman" w:cstheme="minorHAnsi"/>
                <w:color w:val="000000"/>
                <w:sz w:val="20"/>
                <w:szCs w:val="20"/>
                <w:lang w:eastAsia="en-NZ"/>
              </w:rPr>
            </w:pPr>
            <w:r w:rsidRPr="001244BB">
              <w:rPr>
                <w:rFonts w:eastAsia="Times New Roman" w:cstheme="minorHAnsi"/>
                <w:color w:val="000000"/>
                <w:sz w:val="20"/>
                <w:szCs w:val="20"/>
                <w:lang w:eastAsia="en-NZ"/>
              </w:rPr>
              <w:t xml:space="preserve">NZ (39%); </w:t>
            </w:r>
          </w:p>
          <w:p w:rsidR="0022119B" w:rsidRPr="001244BB" w:rsidRDefault="0022119B" w:rsidP="0025274D">
            <w:pPr>
              <w:spacing w:after="0" w:line="240" w:lineRule="auto"/>
              <w:jc w:val="right"/>
              <w:rPr>
                <w:rFonts w:eastAsia="Times New Roman" w:cstheme="minorHAnsi"/>
                <w:color w:val="000000"/>
                <w:sz w:val="20"/>
                <w:szCs w:val="20"/>
                <w:lang w:eastAsia="en-NZ"/>
              </w:rPr>
            </w:pPr>
          </w:p>
          <w:p w:rsidR="0022119B" w:rsidRPr="001244BB" w:rsidRDefault="0022119B" w:rsidP="0025274D">
            <w:pPr>
              <w:spacing w:after="0" w:line="240" w:lineRule="auto"/>
              <w:jc w:val="right"/>
              <w:rPr>
                <w:rFonts w:eastAsia="Times New Roman" w:cstheme="minorHAnsi"/>
                <w:color w:val="000000"/>
                <w:sz w:val="20"/>
                <w:szCs w:val="20"/>
                <w:lang w:eastAsia="en-NZ"/>
              </w:rPr>
            </w:pPr>
          </w:p>
        </w:tc>
        <w:tc>
          <w:tcPr>
            <w:tcW w:w="1371" w:type="dxa"/>
            <w:shd w:val="clear" w:color="auto" w:fill="auto"/>
          </w:tcPr>
          <w:p w:rsidR="0022119B" w:rsidRDefault="0022119B" w:rsidP="0025274D">
            <w:pPr>
              <w:spacing w:after="0" w:line="240" w:lineRule="auto"/>
              <w:jc w:val="right"/>
              <w:rPr>
                <w:rFonts w:eastAsia="Times New Roman" w:cstheme="minorHAnsi"/>
                <w:color w:val="000000"/>
                <w:sz w:val="20"/>
                <w:szCs w:val="20"/>
                <w:lang w:eastAsia="en-NZ"/>
              </w:rPr>
            </w:pPr>
            <w:r w:rsidRPr="001244BB">
              <w:rPr>
                <w:rFonts w:eastAsia="Times New Roman" w:cstheme="minorHAnsi"/>
                <w:color w:val="000000"/>
                <w:sz w:val="20"/>
                <w:szCs w:val="20"/>
                <w:lang w:eastAsia="en-NZ"/>
              </w:rPr>
              <w:t xml:space="preserve">NZ (38%); </w:t>
            </w:r>
          </w:p>
          <w:p w:rsidR="0022119B" w:rsidRPr="001244BB" w:rsidRDefault="0022119B" w:rsidP="0025274D">
            <w:pPr>
              <w:spacing w:after="0" w:line="240" w:lineRule="auto"/>
              <w:jc w:val="right"/>
              <w:rPr>
                <w:rFonts w:eastAsia="Times New Roman" w:cstheme="minorHAnsi"/>
                <w:color w:val="000000"/>
                <w:sz w:val="20"/>
                <w:szCs w:val="20"/>
                <w:lang w:eastAsia="en-NZ"/>
              </w:rPr>
            </w:pPr>
          </w:p>
        </w:tc>
        <w:tc>
          <w:tcPr>
            <w:tcW w:w="2268" w:type="dxa"/>
            <w:tcBorders>
              <w:right w:val="nil"/>
            </w:tcBorders>
          </w:tcPr>
          <w:p w:rsidR="0022119B" w:rsidRPr="001244BB" w:rsidRDefault="0022119B" w:rsidP="00531EA3">
            <w:pPr>
              <w:spacing w:after="0" w:line="240" w:lineRule="auto"/>
              <w:jc w:val="right"/>
              <w:rPr>
                <w:rFonts w:eastAsia="Times New Roman" w:cstheme="minorHAnsi"/>
                <w:color w:val="000000"/>
                <w:sz w:val="20"/>
                <w:szCs w:val="20"/>
                <w:lang w:eastAsia="en-NZ"/>
              </w:rPr>
            </w:pPr>
            <w:r>
              <w:rPr>
                <w:rFonts w:eastAsia="Times New Roman" w:cstheme="minorHAnsi"/>
                <w:color w:val="000000"/>
                <w:sz w:val="20"/>
                <w:szCs w:val="20"/>
                <w:lang w:eastAsia="en-NZ"/>
              </w:rPr>
              <w:t>No trend</w:t>
            </w:r>
          </w:p>
        </w:tc>
      </w:tr>
      <w:tr w:rsidR="0022119B" w:rsidRPr="001244BB" w:rsidTr="00531EA3">
        <w:trPr>
          <w:trHeight w:val="456"/>
        </w:trPr>
        <w:tc>
          <w:tcPr>
            <w:tcW w:w="4395" w:type="dxa"/>
            <w:tcBorders>
              <w:left w:val="nil"/>
            </w:tcBorders>
            <w:shd w:val="clear" w:color="auto" w:fill="auto"/>
          </w:tcPr>
          <w:p w:rsidR="0022119B" w:rsidRPr="001244BB" w:rsidRDefault="0022119B" w:rsidP="0025274D">
            <w:pPr>
              <w:spacing w:after="0" w:line="240" w:lineRule="auto"/>
              <w:rPr>
                <w:rFonts w:eastAsia="Times New Roman" w:cstheme="minorHAnsi"/>
                <w:sz w:val="20"/>
                <w:szCs w:val="20"/>
                <w:lang w:eastAsia="en-NZ"/>
              </w:rPr>
            </w:pPr>
          </w:p>
        </w:tc>
        <w:tc>
          <w:tcPr>
            <w:tcW w:w="1275" w:type="dxa"/>
            <w:shd w:val="clear" w:color="auto" w:fill="auto"/>
            <w:noWrap/>
          </w:tcPr>
          <w:p w:rsidR="0022119B" w:rsidRPr="001244BB" w:rsidRDefault="0022119B" w:rsidP="0025274D">
            <w:pPr>
              <w:spacing w:after="0" w:line="240" w:lineRule="auto"/>
              <w:rPr>
                <w:rFonts w:eastAsia="Times New Roman" w:cstheme="minorHAnsi"/>
                <w:color w:val="000000"/>
                <w:sz w:val="20"/>
                <w:szCs w:val="20"/>
                <w:lang w:eastAsia="en-NZ"/>
              </w:rPr>
            </w:pPr>
          </w:p>
        </w:tc>
        <w:tc>
          <w:tcPr>
            <w:tcW w:w="1843" w:type="dxa"/>
            <w:shd w:val="clear" w:color="auto" w:fill="auto"/>
            <w:noWrap/>
          </w:tcPr>
          <w:p w:rsidR="0022119B" w:rsidRPr="001244BB" w:rsidRDefault="0022119B" w:rsidP="0025274D">
            <w:pPr>
              <w:spacing w:after="0" w:line="240" w:lineRule="auto"/>
              <w:rPr>
                <w:rFonts w:eastAsia="Times New Roman" w:cstheme="minorHAnsi"/>
                <w:color w:val="000000"/>
                <w:sz w:val="20"/>
                <w:szCs w:val="20"/>
                <w:lang w:eastAsia="en-NZ"/>
              </w:rPr>
            </w:pPr>
          </w:p>
        </w:tc>
        <w:tc>
          <w:tcPr>
            <w:tcW w:w="1370" w:type="dxa"/>
            <w:shd w:val="clear" w:color="auto" w:fill="auto"/>
            <w:noWrap/>
          </w:tcPr>
          <w:p w:rsidR="0022119B" w:rsidRPr="001244BB" w:rsidRDefault="0022119B" w:rsidP="0025274D">
            <w:pPr>
              <w:spacing w:after="0" w:line="240" w:lineRule="auto"/>
              <w:jc w:val="right"/>
              <w:rPr>
                <w:rFonts w:eastAsia="Times New Roman" w:cstheme="minorHAnsi"/>
                <w:color w:val="000000"/>
                <w:sz w:val="20"/>
                <w:szCs w:val="20"/>
                <w:lang w:eastAsia="en-NZ"/>
              </w:rPr>
            </w:pPr>
            <w:r w:rsidRPr="001244BB">
              <w:rPr>
                <w:rFonts w:eastAsia="Times New Roman" w:cstheme="minorHAnsi"/>
                <w:color w:val="000000"/>
                <w:sz w:val="20"/>
                <w:szCs w:val="20"/>
                <w:lang w:eastAsia="en-NZ"/>
              </w:rPr>
              <w:t>Residents (47%)</w:t>
            </w:r>
          </w:p>
        </w:tc>
        <w:tc>
          <w:tcPr>
            <w:tcW w:w="1370" w:type="dxa"/>
            <w:shd w:val="clear" w:color="auto" w:fill="auto"/>
          </w:tcPr>
          <w:p w:rsidR="0022119B" w:rsidRPr="001244BB" w:rsidRDefault="0022119B" w:rsidP="0025274D">
            <w:pPr>
              <w:spacing w:after="0" w:line="240" w:lineRule="auto"/>
              <w:jc w:val="right"/>
              <w:rPr>
                <w:rFonts w:eastAsia="Times New Roman" w:cstheme="minorHAnsi"/>
                <w:color w:val="000000"/>
                <w:sz w:val="20"/>
                <w:szCs w:val="20"/>
                <w:lang w:eastAsia="en-NZ"/>
              </w:rPr>
            </w:pPr>
            <w:r w:rsidRPr="001244BB">
              <w:rPr>
                <w:rFonts w:eastAsia="Times New Roman" w:cstheme="minorHAnsi"/>
                <w:color w:val="000000"/>
                <w:sz w:val="20"/>
                <w:szCs w:val="20"/>
                <w:lang w:eastAsia="en-NZ"/>
              </w:rPr>
              <w:t>Residents (42%)</w:t>
            </w:r>
          </w:p>
        </w:tc>
        <w:tc>
          <w:tcPr>
            <w:tcW w:w="1371" w:type="dxa"/>
            <w:shd w:val="clear" w:color="auto" w:fill="auto"/>
          </w:tcPr>
          <w:p w:rsidR="0022119B" w:rsidRPr="001244BB" w:rsidRDefault="0022119B" w:rsidP="0025274D">
            <w:pPr>
              <w:spacing w:after="0" w:line="240" w:lineRule="auto"/>
              <w:jc w:val="right"/>
              <w:rPr>
                <w:rFonts w:eastAsia="Times New Roman" w:cstheme="minorHAnsi"/>
                <w:color w:val="000000"/>
                <w:sz w:val="20"/>
                <w:szCs w:val="20"/>
                <w:lang w:eastAsia="en-NZ"/>
              </w:rPr>
            </w:pPr>
            <w:r w:rsidRPr="001244BB">
              <w:rPr>
                <w:rFonts w:eastAsia="Times New Roman" w:cstheme="minorHAnsi"/>
                <w:color w:val="000000"/>
                <w:sz w:val="20"/>
                <w:szCs w:val="20"/>
                <w:lang w:eastAsia="en-NZ"/>
              </w:rPr>
              <w:t>Residents (31%)</w:t>
            </w:r>
          </w:p>
        </w:tc>
        <w:tc>
          <w:tcPr>
            <w:tcW w:w="2268" w:type="dxa"/>
            <w:tcBorders>
              <w:right w:val="nil"/>
            </w:tcBorders>
          </w:tcPr>
          <w:p w:rsidR="0022119B" w:rsidRDefault="0022119B" w:rsidP="0025274D">
            <w:pPr>
              <w:spacing w:after="0" w:line="240" w:lineRule="auto"/>
              <w:jc w:val="right"/>
              <w:rPr>
                <w:rFonts w:eastAsia="Times New Roman" w:cstheme="minorHAnsi"/>
                <w:color w:val="000000"/>
                <w:sz w:val="20"/>
                <w:szCs w:val="20"/>
                <w:lang w:eastAsia="en-NZ"/>
              </w:rPr>
            </w:pPr>
            <w:r>
              <w:rPr>
                <w:rFonts w:eastAsia="Times New Roman" w:cstheme="minorHAnsi"/>
                <w:color w:val="000000"/>
                <w:sz w:val="20"/>
                <w:szCs w:val="20"/>
                <w:lang w:eastAsia="en-NZ"/>
              </w:rPr>
              <w:t>Negative trend</w:t>
            </w:r>
          </w:p>
        </w:tc>
      </w:tr>
      <w:tr w:rsidR="0097544C" w:rsidRPr="001244BB" w:rsidTr="0097544C">
        <w:trPr>
          <w:trHeight w:val="255"/>
        </w:trPr>
        <w:tc>
          <w:tcPr>
            <w:tcW w:w="13892" w:type="dxa"/>
            <w:gridSpan w:val="7"/>
            <w:tcBorders>
              <w:top w:val="nil"/>
              <w:left w:val="nil"/>
              <w:bottom w:val="nil"/>
              <w:right w:val="nil"/>
            </w:tcBorders>
            <w:shd w:val="clear" w:color="auto" w:fill="FFCCFF"/>
            <w:hideMark/>
          </w:tcPr>
          <w:p w:rsidR="0097544C" w:rsidRPr="001244BB" w:rsidRDefault="0097544C" w:rsidP="0025274D">
            <w:pPr>
              <w:spacing w:after="0" w:line="240" w:lineRule="auto"/>
              <w:rPr>
                <w:rFonts w:eastAsia="Times New Roman" w:cstheme="minorHAnsi"/>
                <w:sz w:val="20"/>
                <w:szCs w:val="20"/>
                <w:lang w:eastAsia="en-NZ"/>
              </w:rPr>
            </w:pPr>
            <w:r w:rsidRPr="001244BB">
              <w:rPr>
                <w:rFonts w:eastAsia="Times New Roman" w:cstheme="minorHAnsi"/>
                <w:b/>
                <w:bCs/>
                <w:i/>
                <w:iCs/>
                <w:sz w:val="20"/>
                <w:szCs w:val="20"/>
                <w:lang w:eastAsia="en-NZ"/>
              </w:rPr>
              <w:t>Cultural attraction and event investment success</w:t>
            </w:r>
          </w:p>
        </w:tc>
      </w:tr>
      <w:tr w:rsidR="0097544C" w:rsidRPr="001244BB" w:rsidTr="0097544C">
        <w:trPr>
          <w:trHeight w:val="255"/>
        </w:trPr>
        <w:tc>
          <w:tcPr>
            <w:tcW w:w="4395" w:type="dxa"/>
            <w:tcBorders>
              <w:top w:val="nil"/>
              <w:left w:val="nil"/>
            </w:tcBorders>
            <w:shd w:val="clear" w:color="auto" w:fill="auto"/>
            <w:hideMark/>
          </w:tcPr>
          <w:p w:rsidR="0097544C" w:rsidRPr="001244BB" w:rsidRDefault="0097544C" w:rsidP="0025274D">
            <w:pPr>
              <w:spacing w:after="0" w:line="240" w:lineRule="auto"/>
              <w:rPr>
                <w:rFonts w:eastAsia="Times New Roman" w:cstheme="minorHAnsi"/>
                <w:sz w:val="20"/>
                <w:szCs w:val="20"/>
                <w:lang w:eastAsia="en-NZ"/>
              </w:rPr>
            </w:pPr>
            <w:r w:rsidRPr="001244BB">
              <w:rPr>
                <w:rFonts w:eastAsia="Times New Roman" w:cstheme="minorHAnsi"/>
                <w:sz w:val="20"/>
                <w:szCs w:val="20"/>
                <w:lang w:eastAsia="en-NZ"/>
              </w:rPr>
              <w:t>Te Papa visitors – total visitors</w:t>
            </w:r>
          </w:p>
        </w:tc>
        <w:tc>
          <w:tcPr>
            <w:tcW w:w="1275" w:type="dxa"/>
            <w:tcBorders>
              <w:top w:val="nil"/>
            </w:tcBorders>
            <w:shd w:val="clear" w:color="auto" w:fill="auto"/>
            <w:noWrap/>
            <w:hideMark/>
          </w:tcPr>
          <w:p w:rsidR="0097544C" w:rsidRPr="001244BB" w:rsidRDefault="0097544C" w:rsidP="0025274D">
            <w:pPr>
              <w:spacing w:after="0" w:line="240" w:lineRule="auto"/>
              <w:rPr>
                <w:rFonts w:eastAsia="Times New Roman" w:cstheme="minorHAnsi"/>
                <w:color w:val="000000"/>
                <w:sz w:val="20"/>
                <w:szCs w:val="20"/>
                <w:lang w:eastAsia="en-NZ"/>
              </w:rPr>
            </w:pPr>
            <w:r w:rsidRPr="001244BB">
              <w:rPr>
                <w:rFonts w:eastAsia="Times New Roman" w:cstheme="minorHAnsi"/>
                <w:color w:val="000000"/>
                <w:sz w:val="20"/>
                <w:szCs w:val="20"/>
                <w:lang w:eastAsia="en-NZ"/>
              </w:rPr>
              <w:t>Increasing</w:t>
            </w:r>
          </w:p>
        </w:tc>
        <w:tc>
          <w:tcPr>
            <w:tcW w:w="1843" w:type="dxa"/>
            <w:tcBorders>
              <w:top w:val="nil"/>
            </w:tcBorders>
            <w:shd w:val="clear" w:color="auto" w:fill="auto"/>
            <w:noWrap/>
            <w:hideMark/>
          </w:tcPr>
          <w:p w:rsidR="0097544C" w:rsidRPr="001244BB" w:rsidRDefault="0097544C" w:rsidP="0025274D">
            <w:pPr>
              <w:spacing w:after="0" w:line="240" w:lineRule="auto"/>
              <w:rPr>
                <w:rFonts w:eastAsia="Times New Roman" w:cstheme="minorHAnsi"/>
                <w:color w:val="000000"/>
                <w:sz w:val="20"/>
                <w:szCs w:val="20"/>
                <w:lang w:eastAsia="en-NZ"/>
              </w:rPr>
            </w:pPr>
            <w:r w:rsidRPr="001244BB">
              <w:rPr>
                <w:rFonts w:eastAsia="Times New Roman" w:cstheme="minorHAnsi"/>
                <w:color w:val="000000"/>
                <w:sz w:val="20"/>
                <w:szCs w:val="20"/>
                <w:lang w:eastAsia="en-NZ"/>
              </w:rPr>
              <w:t>Te Papa</w:t>
            </w:r>
          </w:p>
        </w:tc>
        <w:tc>
          <w:tcPr>
            <w:tcW w:w="1370" w:type="dxa"/>
            <w:tcBorders>
              <w:top w:val="nil"/>
            </w:tcBorders>
            <w:shd w:val="clear" w:color="auto" w:fill="auto"/>
            <w:noWrap/>
            <w:hideMark/>
          </w:tcPr>
          <w:p w:rsidR="0097544C" w:rsidRPr="001244BB" w:rsidRDefault="0097544C" w:rsidP="0025274D">
            <w:pPr>
              <w:spacing w:after="0" w:line="240" w:lineRule="auto"/>
              <w:jc w:val="right"/>
              <w:rPr>
                <w:rFonts w:eastAsia="Times New Roman" w:cstheme="minorHAnsi"/>
                <w:color w:val="000000"/>
                <w:sz w:val="20"/>
                <w:szCs w:val="20"/>
                <w:lang w:eastAsia="en-NZ"/>
              </w:rPr>
            </w:pPr>
            <w:r w:rsidRPr="001244BB">
              <w:rPr>
                <w:rFonts w:eastAsia="Times New Roman" w:cstheme="minorHAnsi"/>
                <w:color w:val="000000"/>
                <w:sz w:val="20"/>
                <w:szCs w:val="20"/>
                <w:lang w:eastAsia="en-NZ"/>
              </w:rPr>
              <w:t xml:space="preserve">   1,578,292 </w:t>
            </w:r>
          </w:p>
        </w:tc>
        <w:tc>
          <w:tcPr>
            <w:tcW w:w="1370" w:type="dxa"/>
            <w:tcBorders>
              <w:top w:val="nil"/>
            </w:tcBorders>
            <w:shd w:val="clear" w:color="auto" w:fill="auto"/>
            <w:noWrap/>
            <w:hideMark/>
          </w:tcPr>
          <w:p w:rsidR="0097544C" w:rsidRPr="001244BB" w:rsidRDefault="0097544C" w:rsidP="0025274D">
            <w:pPr>
              <w:spacing w:after="0" w:line="240" w:lineRule="auto"/>
              <w:jc w:val="right"/>
              <w:rPr>
                <w:rFonts w:eastAsia="Times New Roman" w:cstheme="minorHAnsi"/>
                <w:color w:val="000000"/>
                <w:sz w:val="20"/>
                <w:szCs w:val="20"/>
                <w:lang w:eastAsia="en-NZ"/>
              </w:rPr>
            </w:pPr>
            <w:r w:rsidRPr="001244BB">
              <w:rPr>
                <w:rFonts w:eastAsia="Times New Roman" w:cstheme="minorHAnsi"/>
                <w:color w:val="000000"/>
                <w:sz w:val="20"/>
                <w:szCs w:val="20"/>
                <w:lang w:eastAsia="en-NZ"/>
              </w:rPr>
              <w:t xml:space="preserve">1,514,896 </w:t>
            </w:r>
          </w:p>
        </w:tc>
        <w:tc>
          <w:tcPr>
            <w:tcW w:w="1371" w:type="dxa"/>
            <w:tcBorders>
              <w:top w:val="nil"/>
            </w:tcBorders>
            <w:shd w:val="clear" w:color="auto" w:fill="auto"/>
            <w:noWrap/>
            <w:hideMark/>
          </w:tcPr>
          <w:p w:rsidR="0097544C" w:rsidRPr="001244BB" w:rsidRDefault="0097544C" w:rsidP="0025274D">
            <w:pPr>
              <w:spacing w:after="0" w:line="240" w:lineRule="auto"/>
              <w:jc w:val="right"/>
              <w:rPr>
                <w:rFonts w:eastAsia="Times New Roman" w:cstheme="minorHAnsi"/>
                <w:color w:val="000000"/>
                <w:sz w:val="20"/>
                <w:szCs w:val="20"/>
                <w:lang w:eastAsia="en-NZ"/>
              </w:rPr>
            </w:pPr>
            <w:r w:rsidRPr="001244BB">
              <w:rPr>
                <w:rFonts w:eastAsia="Times New Roman" w:cstheme="minorHAnsi"/>
                <w:color w:val="000000"/>
                <w:sz w:val="20"/>
                <w:szCs w:val="20"/>
                <w:lang w:eastAsia="en-NZ"/>
              </w:rPr>
              <w:t xml:space="preserve">1,548,646 </w:t>
            </w:r>
          </w:p>
        </w:tc>
        <w:tc>
          <w:tcPr>
            <w:tcW w:w="2268" w:type="dxa"/>
            <w:tcBorders>
              <w:top w:val="nil"/>
              <w:right w:val="nil"/>
            </w:tcBorders>
          </w:tcPr>
          <w:p w:rsidR="0097544C" w:rsidRPr="001244BB" w:rsidRDefault="00531EA3" w:rsidP="0025274D">
            <w:pPr>
              <w:spacing w:after="0" w:line="240" w:lineRule="auto"/>
              <w:jc w:val="right"/>
              <w:rPr>
                <w:rFonts w:eastAsia="Times New Roman" w:cstheme="minorHAnsi"/>
                <w:color w:val="000000"/>
                <w:sz w:val="20"/>
                <w:szCs w:val="20"/>
                <w:lang w:eastAsia="en-NZ"/>
              </w:rPr>
            </w:pPr>
            <w:r>
              <w:rPr>
                <w:rFonts w:eastAsia="Times New Roman" w:cstheme="minorHAnsi"/>
                <w:color w:val="000000"/>
                <w:sz w:val="20"/>
                <w:szCs w:val="20"/>
                <w:lang w:eastAsia="en-NZ"/>
              </w:rPr>
              <w:t>No trend</w:t>
            </w:r>
          </w:p>
        </w:tc>
      </w:tr>
      <w:tr w:rsidR="0097544C" w:rsidRPr="001244BB" w:rsidTr="0097544C">
        <w:trPr>
          <w:trHeight w:val="255"/>
        </w:trPr>
        <w:tc>
          <w:tcPr>
            <w:tcW w:w="4395" w:type="dxa"/>
            <w:tcBorders>
              <w:left w:val="nil"/>
            </w:tcBorders>
            <w:shd w:val="clear" w:color="auto" w:fill="auto"/>
            <w:hideMark/>
          </w:tcPr>
          <w:p w:rsidR="0097544C" w:rsidRPr="001244BB" w:rsidRDefault="0097544C" w:rsidP="0025274D">
            <w:pPr>
              <w:spacing w:after="0" w:line="240" w:lineRule="auto"/>
              <w:rPr>
                <w:rFonts w:eastAsia="Times New Roman" w:cstheme="minorHAnsi"/>
                <w:sz w:val="20"/>
                <w:szCs w:val="20"/>
                <w:lang w:eastAsia="en-NZ"/>
              </w:rPr>
            </w:pPr>
            <w:r w:rsidRPr="001244BB">
              <w:rPr>
                <w:rFonts w:eastAsia="Times New Roman" w:cstheme="minorHAnsi"/>
                <w:sz w:val="20"/>
                <w:szCs w:val="20"/>
                <w:lang w:eastAsia="en-NZ"/>
              </w:rPr>
              <w:t>Te Papa visitors – overseas visitors</w:t>
            </w:r>
          </w:p>
        </w:tc>
        <w:tc>
          <w:tcPr>
            <w:tcW w:w="1275" w:type="dxa"/>
            <w:shd w:val="clear" w:color="auto" w:fill="auto"/>
            <w:noWrap/>
            <w:hideMark/>
          </w:tcPr>
          <w:p w:rsidR="0097544C" w:rsidRPr="001244BB" w:rsidRDefault="0097544C" w:rsidP="0025274D">
            <w:pPr>
              <w:spacing w:after="0" w:line="240" w:lineRule="auto"/>
              <w:rPr>
                <w:rFonts w:eastAsia="Times New Roman" w:cstheme="minorHAnsi"/>
                <w:color w:val="000000"/>
                <w:sz w:val="20"/>
                <w:szCs w:val="20"/>
                <w:lang w:eastAsia="en-NZ"/>
              </w:rPr>
            </w:pPr>
            <w:r w:rsidRPr="001244BB">
              <w:rPr>
                <w:rFonts w:eastAsia="Times New Roman" w:cstheme="minorHAnsi"/>
                <w:color w:val="000000"/>
                <w:sz w:val="20"/>
                <w:szCs w:val="20"/>
                <w:lang w:eastAsia="en-NZ"/>
              </w:rPr>
              <w:t>Increasing</w:t>
            </w:r>
          </w:p>
        </w:tc>
        <w:tc>
          <w:tcPr>
            <w:tcW w:w="1843" w:type="dxa"/>
            <w:shd w:val="clear" w:color="auto" w:fill="auto"/>
            <w:noWrap/>
            <w:hideMark/>
          </w:tcPr>
          <w:p w:rsidR="0097544C" w:rsidRPr="001244BB" w:rsidRDefault="0097544C" w:rsidP="0025274D">
            <w:pPr>
              <w:spacing w:after="0" w:line="240" w:lineRule="auto"/>
              <w:rPr>
                <w:rFonts w:eastAsia="Times New Roman" w:cstheme="minorHAnsi"/>
                <w:color w:val="000000"/>
                <w:sz w:val="20"/>
                <w:szCs w:val="20"/>
                <w:lang w:eastAsia="en-NZ"/>
              </w:rPr>
            </w:pPr>
            <w:r w:rsidRPr="001244BB">
              <w:rPr>
                <w:rFonts w:eastAsia="Times New Roman" w:cstheme="minorHAnsi"/>
                <w:color w:val="000000"/>
                <w:sz w:val="20"/>
                <w:szCs w:val="20"/>
                <w:lang w:eastAsia="en-NZ"/>
              </w:rPr>
              <w:t>Te Papa</w:t>
            </w:r>
          </w:p>
        </w:tc>
        <w:tc>
          <w:tcPr>
            <w:tcW w:w="1370" w:type="dxa"/>
            <w:shd w:val="clear" w:color="auto" w:fill="auto"/>
            <w:noWrap/>
            <w:hideMark/>
          </w:tcPr>
          <w:p w:rsidR="0097544C" w:rsidRPr="001244BB" w:rsidRDefault="0097544C" w:rsidP="0025274D">
            <w:pPr>
              <w:spacing w:after="0" w:line="240" w:lineRule="auto"/>
              <w:jc w:val="right"/>
              <w:rPr>
                <w:rFonts w:eastAsia="Times New Roman" w:cstheme="minorHAnsi"/>
                <w:color w:val="000000"/>
                <w:sz w:val="20"/>
                <w:szCs w:val="20"/>
                <w:lang w:eastAsia="en-NZ"/>
              </w:rPr>
            </w:pPr>
            <w:r w:rsidRPr="001244BB">
              <w:rPr>
                <w:rFonts w:eastAsia="Times New Roman" w:cstheme="minorHAnsi"/>
                <w:color w:val="000000"/>
                <w:sz w:val="20"/>
                <w:szCs w:val="20"/>
                <w:lang w:eastAsia="en-NZ"/>
              </w:rPr>
              <w:t xml:space="preserve">      718,081 </w:t>
            </w:r>
          </w:p>
        </w:tc>
        <w:tc>
          <w:tcPr>
            <w:tcW w:w="1370" w:type="dxa"/>
            <w:shd w:val="clear" w:color="auto" w:fill="auto"/>
            <w:noWrap/>
            <w:hideMark/>
          </w:tcPr>
          <w:p w:rsidR="0097544C" w:rsidRPr="001244BB" w:rsidRDefault="0097544C" w:rsidP="0025274D">
            <w:pPr>
              <w:spacing w:after="0" w:line="240" w:lineRule="auto"/>
              <w:jc w:val="right"/>
              <w:rPr>
                <w:rFonts w:eastAsia="Times New Roman" w:cstheme="minorHAnsi"/>
                <w:color w:val="000000"/>
                <w:sz w:val="20"/>
                <w:szCs w:val="20"/>
                <w:lang w:eastAsia="en-NZ"/>
              </w:rPr>
            </w:pPr>
            <w:r w:rsidRPr="001244BB">
              <w:rPr>
                <w:rFonts w:eastAsia="Times New Roman" w:cstheme="minorHAnsi"/>
                <w:color w:val="000000"/>
                <w:sz w:val="20"/>
                <w:szCs w:val="20"/>
                <w:lang w:eastAsia="en-NZ"/>
              </w:rPr>
              <w:t xml:space="preserve">758,695 </w:t>
            </w:r>
          </w:p>
        </w:tc>
        <w:tc>
          <w:tcPr>
            <w:tcW w:w="1371" w:type="dxa"/>
            <w:shd w:val="clear" w:color="auto" w:fill="auto"/>
            <w:noWrap/>
            <w:hideMark/>
          </w:tcPr>
          <w:p w:rsidR="0097544C" w:rsidRPr="001244BB" w:rsidRDefault="0097544C" w:rsidP="0025274D">
            <w:pPr>
              <w:spacing w:after="0" w:line="240" w:lineRule="auto"/>
              <w:jc w:val="right"/>
              <w:rPr>
                <w:rFonts w:eastAsia="Times New Roman" w:cstheme="minorHAnsi"/>
                <w:color w:val="000000"/>
                <w:sz w:val="20"/>
                <w:szCs w:val="20"/>
                <w:lang w:eastAsia="en-NZ"/>
              </w:rPr>
            </w:pPr>
            <w:r w:rsidRPr="001244BB">
              <w:rPr>
                <w:rFonts w:eastAsia="Times New Roman" w:cstheme="minorHAnsi"/>
                <w:color w:val="000000"/>
                <w:sz w:val="20"/>
                <w:szCs w:val="20"/>
                <w:lang w:eastAsia="en-NZ"/>
              </w:rPr>
              <w:t xml:space="preserve">732,738 </w:t>
            </w:r>
          </w:p>
        </w:tc>
        <w:tc>
          <w:tcPr>
            <w:tcW w:w="2268" w:type="dxa"/>
            <w:tcBorders>
              <w:right w:val="nil"/>
            </w:tcBorders>
          </w:tcPr>
          <w:p w:rsidR="0097544C" w:rsidRPr="001244BB" w:rsidRDefault="00531EA3" w:rsidP="0025274D">
            <w:pPr>
              <w:spacing w:after="0" w:line="240" w:lineRule="auto"/>
              <w:jc w:val="right"/>
              <w:rPr>
                <w:rFonts w:eastAsia="Times New Roman" w:cstheme="minorHAnsi"/>
                <w:color w:val="000000"/>
                <w:sz w:val="20"/>
                <w:szCs w:val="20"/>
                <w:lang w:eastAsia="en-NZ"/>
              </w:rPr>
            </w:pPr>
            <w:r>
              <w:rPr>
                <w:rFonts w:eastAsia="Times New Roman" w:cstheme="minorHAnsi"/>
                <w:color w:val="000000"/>
                <w:sz w:val="20"/>
                <w:szCs w:val="20"/>
                <w:lang w:eastAsia="en-NZ"/>
              </w:rPr>
              <w:t>No trend</w:t>
            </w:r>
          </w:p>
        </w:tc>
      </w:tr>
      <w:tr w:rsidR="0097544C" w:rsidRPr="001244BB" w:rsidTr="0097544C">
        <w:trPr>
          <w:trHeight w:val="278"/>
        </w:trPr>
        <w:tc>
          <w:tcPr>
            <w:tcW w:w="4395" w:type="dxa"/>
            <w:tcBorders>
              <w:left w:val="nil"/>
            </w:tcBorders>
            <w:shd w:val="clear" w:color="auto" w:fill="auto"/>
            <w:hideMark/>
          </w:tcPr>
          <w:p w:rsidR="0097544C" w:rsidRPr="001244BB" w:rsidRDefault="0097544C" w:rsidP="0025274D">
            <w:pPr>
              <w:spacing w:after="0" w:line="240" w:lineRule="auto"/>
              <w:rPr>
                <w:rFonts w:eastAsia="Times New Roman" w:cstheme="minorHAnsi"/>
                <w:sz w:val="20"/>
                <w:szCs w:val="20"/>
                <w:lang w:eastAsia="en-NZ"/>
              </w:rPr>
            </w:pPr>
            <w:r w:rsidRPr="001244BB">
              <w:rPr>
                <w:rFonts w:eastAsia="Times New Roman" w:cstheme="minorHAnsi"/>
                <w:sz w:val="20"/>
                <w:szCs w:val="20"/>
                <w:lang w:eastAsia="en-NZ"/>
              </w:rPr>
              <w:t>Te Papa visitors – New Zealand visitors from outside the region</w:t>
            </w:r>
          </w:p>
        </w:tc>
        <w:tc>
          <w:tcPr>
            <w:tcW w:w="1275" w:type="dxa"/>
            <w:shd w:val="clear" w:color="auto" w:fill="auto"/>
            <w:noWrap/>
            <w:hideMark/>
          </w:tcPr>
          <w:p w:rsidR="0097544C" w:rsidRPr="001244BB" w:rsidRDefault="0097544C" w:rsidP="0025274D">
            <w:pPr>
              <w:spacing w:after="0" w:line="240" w:lineRule="auto"/>
              <w:rPr>
                <w:rFonts w:eastAsia="Times New Roman" w:cstheme="minorHAnsi"/>
                <w:color w:val="000000"/>
                <w:sz w:val="20"/>
                <w:szCs w:val="20"/>
                <w:lang w:eastAsia="en-NZ"/>
              </w:rPr>
            </w:pPr>
            <w:r w:rsidRPr="001244BB">
              <w:rPr>
                <w:rFonts w:eastAsia="Times New Roman" w:cstheme="minorHAnsi"/>
                <w:color w:val="000000"/>
                <w:sz w:val="20"/>
                <w:szCs w:val="20"/>
                <w:lang w:eastAsia="en-NZ"/>
              </w:rPr>
              <w:t>Increasing</w:t>
            </w:r>
          </w:p>
        </w:tc>
        <w:tc>
          <w:tcPr>
            <w:tcW w:w="1843" w:type="dxa"/>
            <w:shd w:val="clear" w:color="auto" w:fill="auto"/>
            <w:noWrap/>
            <w:hideMark/>
          </w:tcPr>
          <w:p w:rsidR="0097544C" w:rsidRPr="001244BB" w:rsidRDefault="0097544C" w:rsidP="0025274D">
            <w:pPr>
              <w:spacing w:after="0" w:line="240" w:lineRule="auto"/>
              <w:rPr>
                <w:rFonts w:eastAsia="Times New Roman" w:cstheme="minorHAnsi"/>
                <w:color w:val="000000"/>
                <w:sz w:val="20"/>
                <w:szCs w:val="20"/>
                <w:lang w:eastAsia="en-NZ"/>
              </w:rPr>
            </w:pPr>
            <w:r w:rsidRPr="001244BB">
              <w:rPr>
                <w:rFonts w:eastAsia="Times New Roman" w:cstheme="minorHAnsi"/>
                <w:color w:val="000000"/>
                <w:sz w:val="20"/>
                <w:szCs w:val="20"/>
                <w:lang w:eastAsia="en-NZ"/>
              </w:rPr>
              <w:t>Te Papa</w:t>
            </w:r>
          </w:p>
        </w:tc>
        <w:tc>
          <w:tcPr>
            <w:tcW w:w="1370" w:type="dxa"/>
            <w:shd w:val="clear" w:color="auto" w:fill="auto"/>
            <w:noWrap/>
            <w:hideMark/>
          </w:tcPr>
          <w:p w:rsidR="0097544C" w:rsidRPr="001244BB" w:rsidRDefault="0097544C" w:rsidP="0025274D">
            <w:pPr>
              <w:spacing w:after="0" w:line="240" w:lineRule="auto"/>
              <w:jc w:val="right"/>
              <w:rPr>
                <w:rFonts w:eastAsia="Times New Roman" w:cstheme="minorHAnsi"/>
                <w:color w:val="000000"/>
                <w:sz w:val="20"/>
                <w:szCs w:val="20"/>
                <w:lang w:eastAsia="en-NZ"/>
              </w:rPr>
            </w:pPr>
            <w:r w:rsidRPr="001244BB">
              <w:rPr>
                <w:rFonts w:eastAsia="Times New Roman" w:cstheme="minorHAnsi"/>
                <w:color w:val="000000"/>
                <w:sz w:val="20"/>
                <w:szCs w:val="20"/>
                <w:lang w:eastAsia="en-NZ"/>
              </w:rPr>
              <w:t xml:space="preserve">      483,995 </w:t>
            </w:r>
          </w:p>
        </w:tc>
        <w:tc>
          <w:tcPr>
            <w:tcW w:w="1370" w:type="dxa"/>
            <w:shd w:val="clear" w:color="auto" w:fill="auto"/>
            <w:noWrap/>
            <w:hideMark/>
          </w:tcPr>
          <w:p w:rsidR="0097544C" w:rsidRPr="001244BB" w:rsidRDefault="0097544C" w:rsidP="0025274D">
            <w:pPr>
              <w:spacing w:after="0" w:line="240" w:lineRule="auto"/>
              <w:jc w:val="right"/>
              <w:rPr>
                <w:rFonts w:eastAsia="Times New Roman" w:cstheme="minorHAnsi"/>
                <w:color w:val="000000"/>
                <w:sz w:val="20"/>
                <w:szCs w:val="20"/>
                <w:lang w:eastAsia="en-NZ"/>
              </w:rPr>
            </w:pPr>
            <w:r w:rsidRPr="001244BB">
              <w:rPr>
                <w:rFonts w:eastAsia="Times New Roman" w:cstheme="minorHAnsi"/>
                <w:color w:val="000000"/>
                <w:sz w:val="20"/>
                <w:szCs w:val="20"/>
                <w:lang w:eastAsia="en-NZ"/>
              </w:rPr>
              <w:t xml:space="preserve">420,195 </w:t>
            </w:r>
          </w:p>
        </w:tc>
        <w:tc>
          <w:tcPr>
            <w:tcW w:w="1371" w:type="dxa"/>
            <w:shd w:val="clear" w:color="auto" w:fill="auto"/>
            <w:noWrap/>
            <w:hideMark/>
          </w:tcPr>
          <w:p w:rsidR="0097544C" w:rsidRPr="001244BB" w:rsidRDefault="0097544C" w:rsidP="0025274D">
            <w:pPr>
              <w:spacing w:after="0" w:line="240" w:lineRule="auto"/>
              <w:jc w:val="right"/>
              <w:rPr>
                <w:rFonts w:eastAsia="Times New Roman" w:cstheme="minorHAnsi"/>
                <w:color w:val="000000"/>
                <w:sz w:val="20"/>
                <w:szCs w:val="20"/>
                <w:lang w:eastAsia="en-NZ"/>
              </w:rPr>
            </w:pPr>
            <w:r w:rsidRPr="001244BB">
              <w:rPr>
                <w:rFonts w:eastAsia="Times New Roman" w:cstheme="minorHAnsi"/>
                <w:color w:val="000000"/>
                <w:sz w:val="20"/>
                <w:szCs w:val="20"/>
                <w:lang w:eastAsia="en-NZ"/>
              </w:rPr>
              <w:t xml:space="preserve">429,697 </w:t>
            </w:r>
          </w:p>
        </w:tc>
        <w:tc>
          <w:tcPr>
            <w:tcW w:w="2268" w:type="dxa"/>
            <w:tcBorders>
              <w:right w:val="nil"/>
            </w:tcBorders>
          </w:tcPr>
          <w:p w:rsidR="0097544C" w:rsidRPr="001244BB" w:rsidRDefault="00531EA3" w:rsidP="0025274D">
            <w:pPr>
              <w:spacing w:after="0" w:line="240" w:lineRule="auto"/>
              <w:jc w:val="right"/>
              <w:rPr>
                <w:rFonts w:eastAsia="Times New Roman" w:cstheme="minorHAnsi"/>
                <w:color w:val="000000"/>
                <w:sz w:val="20"/>
                <w:szCs w:val="20"/>
                <w:lang w:eastAsia="en-NZ"/>
              </w:rPr>
            </w:pPr>
            <w:r>
              <w:rPr>
                <w:rFonts w:eastAsia="Times New Roman" w:cstheme="minorHAnsi"/>
                <w:color w:val="000000"/>
                <w:sz w:val="20"/>
                <w:szCs w:val="20"/>
                <w:lang w:eastAsia="en-NZ"/>
              </w:rPr>
              <w:t>No trend</w:t>
            </w:r>
          </w:p>
        </w:tc>
      </w:tr>
      <w:tr w:rsidR="0097544C" w:rsidRPr="001244BB" w:rsidTr="0097544C">
        <w:trPr>
          <w:trHeight w:val="255"/>
        </w:trPr>
        <w:tc>
          <w:tcPr>
            <w:tcW w:w="4395" w:type="dxa"/>
            <w:tcBorders>
              <w:left w:val="nil"/>
            </w:tcBorders>
            <w:shd w:val="clear" w:color="auto" w:fill="auto"/>
            <w:hideMark/>
          </w:tcPr>
          <w:p w:rsidR="0097544C" w:rsidRPr="001244BB" w:rsidRDefault="0097544C" w:rsidP="007946F9">
            <w:pPr>
              <w:spacing w:after="0" w:line="240" w:lineRule="auto"/>
              <w:rPr>
                <w:rFonts w:eastAsia="Times New Roman" w:cstheme="minorHAnsi"/>
                <w:sz w:val="20"/>
                <w:szCs w:val="20"/>
                <w:lang w:eastAsia="en-NZ"/>
              </w:rPr>
            </w:pPr>
            <w:r w:rsidRPr="001244BB">
              <w:rPr>
                <w:rFonts w:eastAsia="Times New Roman" w:cstheme="minorHAnsi"/>
                <w:sz w:val="20"/>
                <w:szCs w:val="20"/>
                <w:lang w:eastAsia="en-NZ"/>
              </w:rPr>
              <w:t>Customer (%) satisfaction with the New Zealand Festival (</w:t>
            </w:r>
            <w:r w:rsidR="007946F9">
              <w:rPr>
                <w:rFonts w:eastAsia="Times New Roman" w:cstheme="minorHAnsi"/>
                <w:sz w:val="20"/>
                <w:szCs w:val="20"/>
                <w:lang w:eastAsia="en-NZ"/>
              </w:rPr>
              <w:t>held every two years</w:t>
            </w:r>
            <w:r w:rsidRPr="001244BB">
              <w:rPr>
                <w:rFonts w:eastAsia="Times New Roman" w:cstheme="minorHAnsi"/>
                <w:sz w:val="20"/>
                <w:szCs w:val="20"/>
                <w:lang w:eastAsia="en-NZ"/>
              </w:rPr>
              <w:t>)</w:t>
            </w:r>
          </w:p>
        </w:tc>
        <w:tc>
          <w:tcPr>
            <w:tcW w:w="1275" w:type="dxa"/>
            <w:shd w:val="clear" w:color="auto" w:fill="auto"/>
            <w:noWrap/>
            <w:hideMark/>
          </w:tcPr>
          <w:p w:rsidR="0097544C" w:rsidRPr="001244BB" w:rsidRDefault="0097544C" w:rsidP="0025274D">
            <w:pPr>
              <w:spacing w:after="0" w:line="240" w:lineRule="auto"/>
              <w:rPr>
                <w:rFonts w:eastAsia="Times New Roman" w:cstheme="minorHAnsi"/>
                <w:color w:val="000000"/>
                <w:sz w:val="20"/>
                <w:szCs w:val="20"/>
                <w:lang w:eastAsia="en-NZ"/>
              </w:rPr>
            </w:pPr>
            <w:r w:rsidRPr="001244BB">
              <w:rPr>
                <w:rFonts w:eastAsia="Times New Roman" w:cstheme="minorHAnsi"/>
                <w:color w:val="000000"/>
                <w:sz w:val="20"/>
                <w:szCs w:val="20"/>
                <w:lang w:eastAsia="en-NZ"/>
              </w:rPr>
              <w:t>Increasing</w:t>
            </w:r>
          </w:p>
        </w:tc>
        <w:tc>
          <w:tcPr>
            <w:tcW w:w="1843" w:type="dxa"/>
            <w:shd w:val="clear" w:color="auto" w:fill="auto"/>
            <w:noWrap/>
            <w:hideMark/>
          </w:tcPr>
          <w:p w:rsidR="0097544C" w:rsidRPr="001244BB" w:rsidRDefault="0097544C" w:rsidP="0025274D">
            <w:pPr>
              <w:spacing w:after="0" w:line="240" w:lineRule="auto"/>
              <w:rPr>
                <w:rFonts w:eastAsia="Times New Roman" w:cstheme="minorHAnsi"/>
                <w:color w:val="000000"/>
                <w:sz w:val="20"/>
                <w:szCs w:val="20"/>
                <w:lang w:eastAsia="en-NZ"/>
              </w:rPr>
            </w:pPr>
            <w:r w:rsidRPr="001244BB">
              <w:rPr>
                <w:rFonts w:eastAsia="Times New Roman" w:cstheme="minorHAnsi"/>
                <w:color w:val="000000"/>
                <w:sz w:val="20"/>
                <w:szCs w:val="20"/>
                <w:lang w:eastAsia="en-NZ"/>
              </w:rPr>
              <w:t>Research - Nielsens/WREDA</w:t>
            </w:r>
          </w:p>
        </w:tc>
        <w:tc>
          <w:tcPr>
            <w:tcW w:w="1370" w:type="dxa"/>
            <w:shd w:val="clear" w:color="auto" w:fill="auto"/>
            <w:noWrap/>
            <w:hideMark/>
          </w:tcPr>
          <w:p w:rsidR="0097544C" w:rsidRPr="001244BB" w:rsidRDefault="0097544C" w:rsidP="0025274D">
            <w:pPr>
              <w:spacing w:after="0" w:line="240" w:lineRule="auto"/>
              <w:jc w:val="right"/>
              <w:rPr>
                <w:rFonts w:eastAsia="Times New Roman" w:cstheme="minorHAnsi"/>
                <w:color w:val="000000"/>
                <w:sz w:val="20"/>
                <w:szCs w:val="20"/>
                <w:lang w:eastAsia="en-NZ"/>
              </w:rPr>
            </w:pPr>
            <w:r w:rsidRPr="001244BB">
              <w:rPr>
                <w:rFonts w:eastAsia="Times New Roman" w:cstheme="minorHAnsi"/>
                <w:color w:val="000000"/>
                <w:sz w:val="20"/>
                <w:szCs w:val="20"/>
                <w:lang w:eastAsia="en-NZ"/>
              </w:rPr>
              <w:t>No festival</w:t>
            </w:r>
          </w:p>
        </w:tc>
        <w:tc>
          <w:tcPr>
            <w:tcW w:w="1370" w:type="dxa"/>
            <w:shd w:val="clear" w:color="auto" w:fill="auto"/>
            <w:noWrap/>
            <w:hideMark/>
          </w:tcPr>
          <w:p w:rsidR="0097544C" w:rsidRPr="001244BB" w:rsidRDefault="0097544C" w:rsidP="0025274D">
            <w:pPr>
              <w:spacing w:after="0" w:line="240" w:lineRule="auto"/>
              <w:jc w:val="right"/>
              <w:rPr>
                <w:rFonts w:eastAsia="Times New Roman" w:cstheme="minorHAnsi"/>
                <w:color w:val="000000"/>
                <w:sz w:val="20"/>
                <w:szCs w:val="20"/>
                <w:lang w:eastAsia="en-NZ"/>
              </w:rPr>
            </w:pPr>
            <w:r w:rsidRPr="001244BB">
              <w:rPr>
                <w:rFonts w:eastAsia="Times New Roman" w:cstheme="minorHAnsi"/>
                <w:color w:val="000000"/>
                <w:sz w:val="20"/>
                <w:szCs w:val="20"/>
                <w:lang w:eastAsia="en-NZ"/>
              </w:rPr>
              <w:t>88%</w:t>
            </w:r>
          </w:p>
        </w:tc>
        <w:tc>
          <w:tcPr>
            <w:tcW w:w="1371" w:type="dxa"/>
            <w:shd w:val="clear" w:color="auto" w:fill="auto"/>
            <w:noWrap/>
            <w:hideMark/>
          </w:tcPr>
          <w:p w:rsidR="0097544C" w:rsidRPr="001244BB" w:rsidRDefault="0097544C" w:rsidP="0097544C">
            <w:pPr>
              <w:spacing w:after="0" w:line="240" w:lineRule="auto"/>
              <w:jc w:val="right"/>
              <w:rPr>
                <w:rFonts w:eastAsia="Times New Roman" w:cstheme="minorHAnsi"/>
                <w:color w:val="000000"/>
                <w:sz w:val="20"/>
                <w:szCs w:val="20"/>
                <w:lang w:eastAsia="en-NZ"/>
              </w:rPr>
            </w:pPr>
            <w:r w:rsidRPr="001244BB">
              <w:rPr>
                <w:rFonts w:eastAsia="Times New Roman" w:cstheme="minorHAnsi"/>
                <w:color w:val="000000"/>
                <w:sz w:val="20"/>
                <w:szCs w:val="20"/>
                <w:lang w:eastAsia="en-NZ"/>
              </w:rPr>
              <w:t xml:space="preserve">No festival </w:t>
            </w:r>
          </w:p>
        </w:tc>
        <w:tc>
          <w:tcPr>
            <w:tcW w:w="2268" w:type="dxa"/>
            <w:tcBorders>
              <w:right w:val="nil"/>
            </w:tcBorders>
          </w:tcPr>
          <w:p w:rsidR="0097544C" w:rsidRPr="001244BB" w:rsidRDefault="00531EA3" w:rsidP="0025274D">
            <w:pPr>
              <w:spacing w:after="0" w:line="240" w:lineRule="auto"/>
              <w:jc w:val="right"/>
              <w:rPr>
                <w:rFonts w:eastAsia="Times New Roman" w:cstheme="minorHAnsi"/>
                <w:color w:val="000000"/>
                <w:sz w:val="20"/>
                <w:szCs w:val="20"/>
                <w:lang w:eastAsia="en-NZ"/>
              </w:rPr>
            </w:pPr>
            <w:r>
              <w:rPr>
                <w:rFonts w:eastAsia="Times New Roman" w:cstheme="minorHAnsi"/>
                <w:color w:val="000000"/>
                <w:sz w:val="20"/>
                <w:szCs w:val="20"/>
                <w:lang w:eastAsia="en-NZ"/>
              </w:rPr>
              <w:t>No trend</w:t>
            </w:r>
          </w:p>
        </w:tc>
      </w:tr>
      <w:tr w:rsidR="0097544C" w:rsidRPr="001244BB" w:rsidTr="0097544C">
        <w:trPr>
          <w:trHeight w:val="510"/>
        </w:trPr>
        <w:tc>
          <w:tcPr>
            <w:tcW w:w="4395" w:type="dxa"/>
            <w:tcBorders>
              <w:left w:val="nil"/>
            </w:tcBorders>
            <w:shd w:val="clear" w:color="auto" w:fill="auto"/>
            <w:hideMark/>
          </w:tcPr>
          <w:p w:rsidR="0097544C" w:rsidRPr="001244BB" w:rsidRDefault="0097544C" w:rsidP="0036301C">
            <w:pPr>
              <w:spacing w:after="0" w:line="240" w:lineRule="auto"/>
              <w:rPr>
                <w:rFonts w:eastAsia="Times New Roman" w:cstheme="minorHAnsi"/>
                <w:color w:val="000000"/>
                <w:sz w:val="20"/>
                <w:szCs w:val="20"/>
                <w:lang w:eastAsia="en-NZ"/>
              </w:rPr>
            </w:pPr>
            <w:r w:rsidRPr="001244BB">
              <w:rPr>
                <w:rFonts w:eastAsia="Times New Roman" w:cstheme="minorHAnsi"/>
                <w:color w:val="000000"/>
                <w:sz w:val="20"/>
                <w:szCs w:val="20"/>
                <w:lang w:eastAsia="en-NZ"/>
              </w:rPr>
              <w:t>Total visits to museums and galleries</w:t>
            </w:r>
            <w:r w:rsidR="0036301C">
              <w:rPr>
                <w:rFonts w:eastAsia="Times New Roman" w:cstheme="minorHAnsi"/>
                <w:color w:val="000000"/>
                <w:sz w:val="20"/>
                <w:szCs w:val="20"/>
                <w:lang w:eastAsia="en-NZ"/>
              </w:rPr>
              <w:t xml:space="preserve">, </w:t>
            </w:r>
            <w:r w:rsidRPr="001244BB">
              <w:rPr>
                <w:rFonts w:eastAsia="Times New Roman" w:cstheme="minorHAnsi"/>
                <w:color w:val="000000"/>
                <w:sz w:val="20"/>
                <w:szCs w:val="20"/>
                <w:lang w:eastAsia="en-NZ"/>
              </w:rPr>
              <w:t>including Carter Observatory</w:t>
            </w:r>
          </w:p>
        </w:tc>
        <w:tc>
          <w:tcPr>
            <w:tcW w:w="1275" w:type="dxa"/>
            <w:shd w:val="clear" w:color="auto" w:fill="auto"/>
            <w:noWrap/>
            <w:hideMark/>
          </w:tcPr>
          <w:p w:rsidR="0097544C" w:rsidRPr="001244BB" w:rsidRDefault="0097544C" w:rsidP="0025274D">
            <w:pPr>
              <w:spacing w:after="0" w:line="240" w:lineRule="auto"/>
              <w:rPr>
                <w:rFonts w:eastAsia="Times New Roman" w:cstheme="minorHAnsi"/>
                <w:color w:val="000000"/>
                <w:sz w:val="20"/>
                <w:szCs w:val="20"/>
                <w:lang w:eastAsia="en-NZ"/>
              </w:rPr>
            </w:pPr>
            <w:r w:rsidRPr="001244BB">
              <w:rPr>
                <w:rFonts w:eastAsia="Times New Roman" w:cstheme="minorHAnsi"/>
                <w:color w:val="000000"/>
                <w:sz w:val="20"/>
                <w:szCs w:val="20"/>
                <w:lang w:eastAsia="en-NZ"/>
              </w:rPr>
              <w:t>Increasing</w:t>
            </w:r>
          </w:p>
        </w:tc>
        <w:tc>
          <w:tcPr>
            <w:tcW w:w="1843" w:type="dxa"/>
            <w:shd w:val="clear" w:color="auto" w:fill="auto"/>
            <w:noWrap/>
            <w:hideMark/>
          </w:tcPr>
          <w:p w:rsidR="0097544C" w:rsidRPr="001244BB" w:rsidRDefault="0097544C" w:rsidP="0025274D">
            <w:pPr>
              <w:spacing w:after="0" w:line="240" w:lineRule="auto"/>
              <w:rPr>
                <w:rFonts w:eastAsia="Times New Roman" w:cstheme="minorHAnsi"/>
                <w:color w:val="000000"/>
                <w:sz w:val="20"/>
                <w:szCs w:val="20"/>
                <w:lang w:eastAsia="en-NZ"/>
              </w:rPr>
            </w:pPr>
            <w:r w:rsidRPr="001244BB">
              <w:rPr>
                <w:rFonts w:eastAsia="Times New Roman" w:cstheme="minorHAnsi"/>
                <w:color w:val="000000"/>
                <w:sz w:val="20"/>
                <w:szCs w:val="20"/>
                <w:lang w:eastAsia="en-NZ"/>
              </w:rPr>
              <w:t>Wellington Museums Trust</w:t>
            </w:r>
          </w:p>
        </w:tc>
        <w:tc>
          <w:tcPr>
            <w:tcW w:w="1370" w:type="dxa"/>
            <w:shd w:val="clear" w:color="auto" w:fill="auto"/>
            <w:noWrap/>
            <w:hideMark/>
          </w:tcPr>
          <w:p w:rsidR="0097544C" w:rsidRPr="001244BB" w:rsidRDefault="0097544C" w:rsidP="0025274D">
            <w:pPr>
              <w:spacing w:after="0" w:line="240" w:lineRule="auto"/>
              <w:jc w:val="right"/>
              <w:rPr>
                <w:rFonts w:eastAsia="Times New Roman" w:cstheme="minorHAnsi"/>
                <w:color w:val="000000"/>
                <w:sz w:val="20"/>
                <w:szCs w:val="20"/>
                <w:lang w:eastAsia="en-NZ"/>
              </w:rPr>
            </w:pPr>
            <w:r w:rsidRPr="001244BB">
              <w:rPr>
                <w:rFonts w:eastAsia="Times New Roman" w:cstheme="minorHAnsi"/>
                <w:color w:val="000000"/>
                <w:sz w:val="20"/>
                <w:szCs w:val="20"/>
                <w:lang w:eastAsia="en-NZ"/>
              </w:rPr>
              <w:t xml:space="preserve">      780,414 </w:t>
            </w:r>
          </w:p>
        </w:tc>
        <w:tc>
          <w:tcPr>
            <w:tcW w:w="1370" w:type="dxa"/>
            <w:shd w:val="clear" w:color="auto" w:fill="auto"/>
            <w:noWrap/>
            <w:hideMark/>
          </w:tcPr>
          <w:p w:rsidR="0097544C" w:rsidRPr="001244BB" w:rsidRDefault="0097544C" w:rsidP="0025274D">
            <w:pPr>
              <w:spacing w:after="0" w:line="240" w:lineRule="auto"/>
              <w:jc w:val="right"/>
              <w:rPr>
                <w:rFonts w:eastAsia="Times New Roman" w:cstheme="minorHAnsi"/>
                <w:color w:val="000000"/>
                <w:sz w:val="20"/>
                <w:szCs w:val="20"/>
                <w:lang w:eastAsia="en-NZ"/>
              </w:rPr>
            </w:pPr>
            <w:r w:rsidRPr="001244BB">
              <w:rPr>
                <w:rFonts w:eastAsia="Times New Roman" w:cstheme="minorHAnsi"/>
                <w:color w:val="000000"/>
                <w:sz w:val="20"/>
                <w:szCs w:val="20"/>
                <w:lang w:eastAsia="en-NZ"/>
              </w:rPr>
              <w:t xml:space="preserve">725,214 </w:t>
            </w:r>
          </w:p>
        </w:tc>
        <w:tc>
          <w:tcPr>
            <w:tcW w:w="1371" w:type="dxa"/>
            <w:shd w:val="clear" w:color="auto" w:fill="auto"/>
            <w:noWrap/>
            <w:hideMark/>
          </w:tcPr>
          <w:p w:rsidR="0097544C" w:rsidRPr="001244BB" w:rsidRDefault="0097544C" w:rsidP="0025274D">
            <w:pPr>
              <w:spacing w:after="0" w:line="240" w:lineRule="auto"/>
              <w:jc w:val="right"/>
              <w:rPr>
                <w:rFonts w:eastAsia="Times New Roman" w:cstheme="minorHAnsi"/>
                <w:color w:val="000000"/>
                <w:sz w:val="20"/>
                <w:szCs w:val="20"/>
                <w:lang w:eastAsia="en-NZ"/>
              </w:rPr>
            </w:pPr>
            <w:r w:rsidRPr="001244BB">
              <w:rPr>
                <w:rFonts w:eastAsia="Times New Roman" w:cstheme="minorHAnsi"/>
                <w:color w:val="000000"/>
                <w:sz w:val="20"/>
                <w:szCs w:val="20"/>
                <w:lang w:eastAsia="en-NZ"/>
              </w:rPr>
              <w:t>770,320</w:t>
            </w:r>
          </w:p>
          <w:p w:rsidR="0097544C" w:rsidRPr="001244BB" w:rsidRDefault="0097544C" w:rsidP="0025274D">
            <w:pPr>
              <w:spacing w:after="0" w:line="240" w:lineRule="auto"/>
              <w:jc w:val="right"/>
              <w:rPr>
                <w:rFonts w:eastAsia="Times New Roman" w:cstheme="minorHAnsi"/>
                <w:color w:val="000000"/>
                <w:sz w:val="20"/>
                <w:szCs w:val="20"/>
                <w:lang w:eastAsia="en-NZ"/>
              </w:rPr>
            </w:pPr>
          </w:p>
        </w:tc>
        <w:tc>
          <w:tcPr>
            <w:tcW w:w="2268" w:type="dxa"/>
            <w:tcBorders>
              <w:right w:val="nil"/>
            </w:tcBorders>
          </w:tcPr>
          <w:p w:rsidR="0097544C" w:rsidRPr="001244BB" w:rsidRDefault="00D35437" w:rsidP="00546A26">
            <w:pPr>
              <w:spacing w:after="0" w:line="240" w:lineRule="auto"/>
              <w:jc w:val="right"/>
              <w:rPr>
                <w:rFonts w:eastAsia="Times New Roman" w:cstheme="minorHAnsi"/>
                <w:color w:val="000000"/>
                <w:sz w:val="20"/>
                <w:szCs w:val="20"/>
                <w:lang w:eastAsia="en-NZ"/>
              </w:rPr>
            </w:pPr>
            <w:r>
              <w:rPr>
                <w:rFonts w:eastAsia="Times New Roman" w:cstheme="minorHAnsi"/>
                <w:color w:val="000000"/>
                <w:sz w:val="20"/>
                <w:szCs w:val="20"/>
                <w:lang w:eastAsia="en-NZ"/>
              </w:rPr>
              <w:t xml:space="preserve">No trend. </w:t>
            </w:r>
            <w:r w:rsidR="0097544C" w:rsidRPr="001244BB">
              <w:rPr>
                <w:rFonts w:eastAsia="Times New Roman" w:cstheme="minorHAnsi"/>
                <w:color w:val="000000"/>
                <w:sz w:val="20"/>
                <w:szCs w:val="20"/>
                <w:lang w:eastAsia="en-NZ"/>
              </w:rPr>
              <w:t>See performance measures</w:t>
            </w:r>
            <w:r w:rsidR="0097544C">
              <w:rPr>
                <w:rFonts w:eastAsia="Times New Roman" w:cstheme="minorHAnsi"/>
                <w:color w:val="000000"/>
                <w:sz w:val="20"/>
                <w:szCs w:val="20"/>
                <w:lang w:eastAsia="en-NZ"/>
              </w:rPr>
              <w:t xml:space="preserve"> for breakdown</w:t>
            </w:r>
          </w:p>
        </w:tc>
      </w:tr>
      <w:tr w:rsidR="0097544C" w:rsidRPr="001244BB" w:rsidTr="0097544C">
        <w:trPr>
          <w:trHeight w:val="510"/>
        </w:trPr>
        <w:tc>
          <w:tcPr>
            <w:tcW w:w="4395" w:type="dxa"/>
            <w:tcBorders>
              <w:left w:val="nil"/>
            </w:tcBorders>
            <w:shd w:val="clear" w:color="auto" w:fill="auto"/>
            <w:hideMark/>
          </w:tcPr>
          <w:p w:rsidR="0097544C" w:rsidRPr="001244BB" w:rsidRDefault="0097544C" w:rsidP="0036301C">
            <w:pPr>
              <w:spacing w:after="0" w:line="240" w:lineRule="auto"/>
              <w:rPr>
                <w:rFonts w:eastAsia="Times New Roman" w:cstheme="minorHAnsi"/>
                <w:color w:val="000000"/>
                <w:sz w:val="20"/>
                <w:szCs w:val="20"/>
                <w:lang w:eastAsia="en-NZ"/>
              </w:rPr>
            </w:pPr>
            <w:r w:rsidRPr="001244BB">
              <w:rPr>
                <w:rFonts w:eastAsia="Times New Roman" w:cstheme="minorHAnsi"/>
                <w:color w:val="000000"/>
                <w:sz w:val="20"/>
                <w:szCs w:val="20"/>
                <w:lang w:eastAsia="en-NZ"/>
              </w:rPr>
              <w:lastRenderedPageBreak/>
              <w:t xml:space="preserve">Community access to venues subsidy: </w:t>
            </w:r>
            <w:r w:rsidR="0036301C">
              <w:rPr>
                <w:rFonts w:eastAsia="Times New Roman" w:cstheme="minorHAnsi"/>
                <w:color w:val="000000"/>
                <w:sz w:val="20"/>
                <w:szCs w:val="20"/>
                <w:lang w:eastAsia="en-NZ"/>
              </w:rPr>
              <w:t>t</w:t>
            </w:r>
            <w:r w:rsidR="0036301C" w:rsidRPr="001244BB">
              <w:rPr>
                <w:rFonts w:eastAsia="Times New Roman" w:cstheme="minorHAnsi"/>
                <w:color w:val="000000"/>
                <w:sz w:val="20"/>
                <w:szCs w:val="20"/>
                <w:lang w:eastAsia="en-NZ"/>
              </w:rPr>
              <w:t xml:space="preserve">otal </w:t>
            </w:r>
            <w:r w:rsidRPr="001244BB">
              <w:rPr>
                <w:rFonts w:eastAsia="Times New Roman" w:cstheme="minorHAnsi"/>
                <w:color w:val="000000"/>
                <w:sz w:val="20"/>
                <w:szCs w:val="20"/>
                <w:lang w:eastAsia="en-NZ"/>
              </w:rPr>
              <w:t>numbers of performers at supported events</w:t>
            </w:r>
          </w:p>
        </w:tc>
        <w:tc>
          <w:tcPr>
            <w:tcW w:w="1275" w:type="dxa"/>
            <w:shd w:val="clear" w:color="auto" w:fill="auto"/>
            <w:noWrap/>
            <w:hideMark/>
          </w:tcPr>
          <w:p w:rsidR="0097544C" w:rsidRPr="001244BB" w:rsidRDefault="0097544C" w:rsidP="0025274D">
            <w:pPr>
              <w:spacing w:after="0" w:line="240" w:lineRule="auto"/>
              <w:rPr>
                <w:rFonts w:eastAsia="Times New Roman" w:cstheme="minorHAnsi"/>
                <w:color w:val="000000"/>
                <w:sz w:val="20"/>
                <w:szCs w:val="20"/>
                <w:lang w:eastAsia="en-NZ"/>
              </w:rPr>
            </w:pPr>
            <w:r w:rsidRPr="001244BB">
              <w:rPr>
                <w:rFonts w:eastAsia="Times New Roman" w:cstheme="minorHAnsi"/>
                <w:color w:val="000000"/>
                <w:sz w:val="20"/>
                <w:szCs w:val="20"/>
                <w:lang w:eastAsia="en-NZ"/>
              </w:rPr>
              <w:t>Increasing</w:t>
            </w:r>
          </w:p>
        </w:tc>
        <w:tc>
          <w:tcPr>
            <w:tcW w:w="1843" w:type="dxa"/>
            <w:shd w:val="clear" w:color="auto" w:fill="auto"/>
            <w:noWrap/>
            <w:hideMark/>
          </w:tcPr>
          <w:p w:rsidR="0097544C" w:rsidRPr="001244BB" w:rsidRDefault="0097544C" w:rsidP="0025274D">
            <w:pPr>
              <w:spacing w:after="0" w:line="240" w:lineRule="auto"/>
              <w:rPr>
                <w:rFonts w:eastAsia="Times New Roman" w:cstheme="minorHAnsi"/>
                <w:color w:val="000000"/>
                <w:sz w:val="20"/>
                <w:szCs w:val="20"/>
                <w:lang w:eastAsia="en-NZ"/>
              </w:rPr>
            </w:pPr>
            <w:r w:rsidRPr="001244BB">
              <w:rPr>
                <w:rFonts w:eastAsia="Times New Roman" w:cstheme="minorHAnsi"/>
                <w:color w:val="000000"/>
                <w:sz w:val="20"/>
                <w:szCs w:val="20"/>
                <w:lang w:eastAsia="en-NZ"/>
              </w:rPr>
              <w:t>WCC Community Services/ grants</w:t>
            </w:r>
          </w:p>
        </w:tc>
        <w:tc>
          <w:tcPr>
            <w:tcW w:w="1370" w:type="dxa"/>
            <w:shd w:val="clear" w:color="auto" w:fill="auto"/>
            <w:noWrap/>
            <w:hideMark/>
          </w:tcPr>
          <w:p w:rsidR="0097544C" w:rsidRPr="001244BB" w:rsidRDefault="0097544C" w:rsidP="0025274D">
            <w:pPr>
              <w:spacing w:after="0" w:line="240" w:lineRule="auto"/>
              <w:jc w:val="right"/>
              <w:rPr>
                <w:rFonts w:eastAsia="Times New Roman" w:cstheme="minorHAnsi"/>
                <w:color w:val="000000"/>
                <w:sz w:val="20"/>
                <w:szCs w:val="20"/>
                <w:lang w:eastAsia="en-NZ"/>
              </w:rPr>
            </w:pPr>
            <w:r w:rsidRPr="001244BB">
              <w:rPr>
                <w:rFonts w:eastAsia="Times New Roman" w:cstheme="minorHAnsi"/>
                <w:color w:val="000000"/>
                <w:sz w:val="20"/>
                <w:szCs w:val="20"/>
                <w:lang w:eastAsia="en-NZ"/>
              </w:rPr>
              <w:t xml:space="preserve">        19,149 </w:t>
            </w:r>
          </w:p>
        </w:tc>
        <w:tc>
          <w:tcPr>
            <w:tcW w:w="1370" w:type="dxa"/>
            <w:shd w:val="clear" w:color="auto" w:fill="auto"/>
            <w:noWrap/>
            <w:hideMark/>
          </w:tcPr>
          <w:p w:rsidR="0097544C" w:rsidRPr="001244BB" w:rsidRDefault="0097544C" w:rsidP="0025274D">
            <w:pPr>
              <w:spacing w:after="0" w:line="240" w:lineRule="auto"/>
              <w:jc w:val="right"/>
              <w:rPr>
                <w:rFonts w:eastAsia="Times New Roman" w:cstheme="minorHAnsi"/>
                <w:color w:val="000000"/>
                <w:sz w:val="20"/>
                <w:szCs w:val="20"/>
                <w:lang w:eastAsia="en-NZ"/>
              </w:rPr>
            </w:pPr>
            <w:r w:rsidRPr="001244BB">
              <w:rPr>
                <w:rFonts w:eastAsia="Times New Roman" w:cstheme="minorHAnsi"/>
                <w:color w:val="000000"/>
                <w:sz w:val="20"/>
                <w:szCs w:val="20"/>
                <w:lang w:eastAsia="en-NZ"/>
              </w:rPr>
              <w:t xml:space="preserve">5,084 </w:t>
            </w:r>
          </w:p>
        </w:tc>
        <w:tc>
          <w:tcPr>
            <w:tcW w:w="1371" w:type="dxa"/>
            <w:shd w:val="clear" w:color="auto" w:fill="auto"/>
            <w:noWrap/>
            <w:hideMark/>
          </w:tcPr>
          <w:p w:rsidR="0097544C" w:rsidRPr="001244BB" w:rsidRDefault="0097544C" w:rsidP="0025274D">
            <w:pPr>
              <w:spacing w:after="0" w:line="240" w:lineRule="auto"/>
              <w:jc w:val="right"/>
              <w:rPr>
                <w:rFonts w:eastAsia="Times New Roman" w:cstheme="minorHAnsi"/>
                <w:sz w:val="20"/>
                <w:szCs w:val="20"/>
                <w:lang w:eastAsia="en-NZ"/>
              </w:rPr>
            </w:pPr>
            <w:r w:rsidRPr="001244BB">
              <w:rPr>
                <w:rFonts w:eastAsia="Times New Roman" w:cstheme="minorHAnsi"/>
                <w:sz w:val="20"/>
                <w:szCs w:val="20"/>
                <w:lang w:eastAsia="en-NZ"/>
              </w:rPr>
              <w:t xml:space="preserve">13,551 </w:t>
            </w:r>
          </w:p>
        </w:tc>
        <w:tc>
          <w:tcPr>
            <w:tcW w:w="2268" w:type="dxa"/>
            <w:tcBorders>
              <w:right w:val="nil"/>
            </w:tcBorders>
          </w:tcPr>
          <w:p w:rsidR="0097544C" w:rsidRPr="001244BB" w:rsidRDefault="00531EA3" w:rsidP="0025274D">
            <w:pPr>
              <w:spacing w:after="0" w:line="240" w:lineRule="auto"/>
              <w:jc w:val="right"/>
              <w:rPr>
                <w:rFonts w:eastAsia="Times New Roman" w:cstheme="minorHAnsi"/>
                <w:sz w:val="20"/>
                <w:szCs w:val="20"/>
                <w:lang w:eastAsia="en-NZ"/>
              </w:rPr>
            </w:pPr>
            <w:r>
              <w:rPr>
                <w:rFonts w:eastAsia="Times New Roman" w:cstheme="minorHAnsi"/>
                <w:color w:val="000000"/>
                <w:sz w:val="20"/>
                <w:szCs w:val="20"/>
                <w:lang w:eastAsia="en-NZ"/>
              </w:rPr>
              <w:t>No trend</w:t>
            </w:r>
          </w:p>
        </w:tc>
      </w:tr>
      <w:tr w:rsidR="0097544C" w:rsidRPr="001244BB" w:rsidTr="0097544C">
        <w:trPr>
          <w:trHeight w:val="278"/>
        </w:trPr>
        <w:tc>
          <w:tcPr>
            <w:tcW w:w="4395" w:type="dxa"/>
            <w:tcBorders>
              <w:left w:val="nil"/>
            </w:tcBorders>
            <w:shd w:val="clear" w:color="auto" w:fill="auto"/>
            <w:hideMark/>
          </w:tcPr>
          <w:p w:rsidR="0097544C" w:rsidRPr="001244BB" w:rsidRDefault="0097544C" w:rsidP="0036301C">
            <w:pPr>
              <w:spacing w:after="0" w:line="240" w:lineRule="auto"/>
              <w:rPr>
                <w:rFonts w:eastAsia="Times New Roman" w:cstheme="minorHAnsi"/>
                <w:color w:val="000000"/>
                <w:sz w:val="20"/>
                <w:szCs w:val="20"/>
                <w:lang w:eastAsia="en-NZ"/>
              </w:rPr>
            </w:pPr>
            <w:r w:rsidRPr="001244BB">
              <w:rPr>
                <w:rFonts w:eastAsia="Times New Roman" w:cstheme="minorHAnsi"/>
                <w:color w:val="000000"/>
                <w:sz w:val="20"/>
                <w:szCs w:val="20"/>
                <w:lang w:eastAsia="en-NZ"/>
              </w:rPr>
              <w:t xml:space="preserve">Community access to venues subsidy: </w:t>
            </w:r>
            <w:r w:rsidR="0036301C">
              <w:rPr>
                <w:rFonts w:eastAsia="Times New Roman" w:cstheme="minorHAnsi"/>
                <w:color w:val="000000"/>
                <w:sz w:val="20"/>
                <w:szCs w:val="20"/>
                <w:lang w:eastAsia="en-NZ"/>
              </w:rPr>
              <w:t>t</w:t>
            </w:r>
            <w:r w:rsidR="0036301C" w:rsidRPr="001244BB">
              <w:rPr>
                <w:rFonts w:eastAsia="Times New Roman" w:cstheme="minorHAnsi"/>
                <w:color w:val="000000"/>
                <w:sz w:val="20"/>
                <w:szCs w:val="20"/>
                <w:lang w:eastAsia="en-NZ"/>
              </w:rPr>
              <w:t xml:space="preserve">otal </w:t>
            </w:r>
            <w:r w:rsidRPr="001244BB">
              <w:rPr>
                <w:rFonts w:eastAsia="Times New Roman" w:cstheme="minorHAnsi"/>
                <w:color w:val="000000"/>
                <w:sz w:val="20"/>
                <w:szCs w:val="20"/>
                <w:lang w:eastAsia="en-NZ"/>
              </w:rPr>
              <w:t>numbers of attendees at supported events</w:t>
            </w:r>
          </w:p>
        </w:tc>
        <w:tc>
          <w:tcPr>
            <w:tcW w:w="1275" w:type="dxa"/>
            <w:shd w:val="clear" w:color="auto" w:fill="auto"/>
            <w:noWrap/>
            <w:hideMark/>
          </w:tcPr>
          <w:p w:rsidR="0097544C" w:rsidRPr="001244BB" w:rsidRDefault="0097544C" w:rsidP="0025274D">
            <w:pPr>
              <w:spacing w:after="0" w:line="240" w:lineRule="auto"/>
              <w:rPr>
                <w:rFonts w:eastAsia="Times New Roman" w:cstheme="minorHAnsi"/>
                <w:color w:val="000000"/>
                <w:sz w:val="20"/>
                <w:szCs w:val="20"/>
                <w:lang w:eastAsia="en-NZ"/>
              </w:rPr>
            </w:pPr>
            <w:r w:rsidRPr="001244BB">
              <w:rPr>
                <w:rFonts w:eastAsia="Times New Roman" w:cstheme="minorHAnsi"/>
                <w:color w:val="000000"/>
                <w:sz w:val="20"/>
                <w:szCs w:val="20"/>
                <w:lang w:eastAsia="en-NZ"/>
              </w:rPr>
              <w:t>Increasing</w:t>
            </w:r>
          </w:p>
        </w:tc>
        <w:tc>
          <w:tcPr>
            <w:tcW w:w="1843" w:type="dxa"/>
            <w:shd w:val="clear" w:color="auto" w:fill="auto"/>
            <w:noWrap/>
            <w:hideMark/>
          </w:tcPr>
          <w:p w:rsidR="0097544C" w:rsidRPr="001244BB" w:rsidRDefault="0097544C" w:rsidP="0025274D">
            <w:pPr>
              <w:spacing w:after="0" w:line="240" w:lineRule="auto"/>
              <w:rPr>
                <w:rFonts w:eastAsia="Times New Roman" w:cstheme="minorHAnsi"/>
                <w:color w:val="000000"/>
                <w:sz w:val="20"/>
                <w:szCs w:val="20"/>
                <w:lang w:eastAsia="en-NZ"/>
              </w:rPr>
            </w:pPr>
            <w:r w:rsidRPr="001244BB">
              <w:rPr>
                <w:rFonts w:eastAsia="Times New Roman" w:cstheme="minorHAnsi"/>
                <w:color w:val="000000"/>
                <w:sz w:val="20"/>
                <w:szCs w:val="20"/>
                <w:lang w:eastAsia="en-NZ"/>
              </w:rPr>
              <w:t>WCC Community Services/ grants</w:t>
            </w:r>
          </w:p>
        </w:tc>
        <w:tc>
          <w:tcPr>
            <w:tcW w:w="1370" w:type="dxa"/>
            <w:shd w:val="clear" w:color="auto" w:fill="auto"/>
            <w:noWrap/>
            <w:hideMark/>
          </w:tcPr>
          <w:p w:rsidR="0097544C" w:rsidRPr="001244BB" w:rsidRDefault="0097544C" w:rsidP="0025274D">
            <w:pPr>
              <w:spacing w:after="0" w:line="240" w:lineRule="auto"/>
              <w:jc w:val="right"/>
              <w:rPr>
                <w:rFonts w:eastAsia="Times New Roman" w:cstheme="minorHAnsi"/>
                <w:color w:val="000000"/>
                <w:sz w:val="20"/>
                <w:szCs w:val="20"/>
                <w:lang w:eastAsia="en-NZ"/>
              </w:rPr>
            </w:pPr>
            <w:r w:rsidRPr="001244BB">
              <w:rPr>
                <w:rFonts w:eastAsia="Times New Roman" w:cstheme="minorHAnsi"/>
                <w:color w:val="000000"/>
                <w:sz w:val="20"/>
                <w:szCs w:val="20"/>
                <w:lang w:eastAsia="en-NZ"/>
              </w:rPr>
              <w:t xml:space="preserve">      144,053 </w:t>
            </w:r>
          </w:p>
        </w:tc>
        <w:tc>
          <w:tcPr>
            <w:tcW w:w="1370" w:type="dxa"/>
            <w:shd w:val="clear" w:color="auto" w:fill="auto"/>
            <w:noWrap/>
            <w:hideMark/>
          </w:tcPr>
          <w:p w:rsidR="0097544C" w:rsidRPr="001244BB" w:rsidRDefault="0097544C" w:rsidP="0025274D">
            <w:pPr>
              <w:spacing w:after="0" w:line="240" w:lineRule="auto"/>
              <w:jc w:val="right"/>
              <w:rPr>
                <w:rFonts w:eastAsia="Times New Roman" w:cstheme="minorHAnsi"/>
                <w:color w:val="000000"/>
                <w:sz w:val="20"/>
                <w:szCs w:val="20"/>
                <w:lang w:eastAsia="en-NZ"/>
              </w:rPr>
            </w:pPr>
            <w:r w:rsidRPr="001244BB">
              <w:rPr>
                <w:rFonts w:eastAsia="Times New Roman" w:cstheme="minorHAnsi"/>
                <w:color w:val="000000"/>
                <w:sz w:val="20"/>
                <w:szCs w:val="20"/>
                <w:lang w:eastAsia="en-NZ"/>
              </w:rPr>
              <w:t xml:space="preserve">89,118 </w:t>
            </w:r>
          </w:p>
        </w:tc>
        <w:tc>
          <w:tcPr>
            <w:tcW w:w="1371" w:type="dxa"/>
            <w:shd w:val="clear" w:color="auto" w:fill="auto"/>
            <w:noWrap/>
            <w:hideMark/>
          </w:tcPr>
          <w:p w:rsidR="0097544C" w:rsidRPr="001244BB" w:rsidRDefault="0097544C" w:rsidP="0025274D">
            <w:pPr>
              <w:spacing w:after="0" w:line="240" w:lineRule="auto"/>
              <w:jc w:val="right"/>
              <w:rPr>
                <w:rFonts w:eastAsia="Times New Roman" w:cstheme="minorHAnsi"/>
                <w:sz w:val="20"/>
                <w:szCs w:val="20"/>
                <w:lang w:eastAsia="en-NZ"/>
              </w:rPr>
            </w:pPr>
            <w:r w:rsidRPr="001244BB">
              <w:rPr>
                <w:rFonts w:eastAsia="Times New Roman" w:cstheme="minorHAnsi"/>
                <w:sz w:val="20"/>
                <w:szCs w:val="20"/>
                <w:lang w:eastAsia="en-NZ"/>
              </w:rPr>
              <w:t xml:space="preserve">153,543 </w:t>
            </w:r>
          </w:p>
        </w:tc>
        <w:tc>
          <w:tcPr>
            <w:tcW w:w="2268" w:type="dxa"/>
            <w:tcBorders>
              <w:right w:val="nil"/>
            </w:tcBorders>
          </w:tcPr>
          <w:p w:rsidR="0097544C" w:rsidRPr="001244BB" w:rsidRDefault="00531EA3" w:rsidP="0025274D">
            <w:pPr>
              <w:spacing w:after="0" w:line="240" w:lineRule="auto"/>
              <w:jc w:val="right"/>
              <w:rPr>
                <w:rFonts w:eastAsia="Times New Roman" w:cstheme="minorHAnsi"/>
                <w:sz w:val="20"/>
                <w:szCs w:val="20"/>
                <w:lang w:eastAsia="en-NZ"/>
              </w:rPr>
            </w:pPr>
            <w:r>
              <w:rPr>
                <w:rFonts w:eastAsia="Times New Roman" w:cstheme="minorHAnsi"/>
                <w:color w:val="000000"/>
                <w:sz w:val="20"/>
                <w:szCs w:val="20"/>
                <w:lang w:eastAsia="en-NZ"/>
              </w:rPr>
              <w:t>No trend</w:t>
            </w:r>
          </w:p>
        </w:tc>
      </w:tr>
      <w:tr w:rsidR="0097544C" w:rsidRPr="001244BB" w:rsidTr="0097544C">
        <w:trPr>
          <w:trHeight w:val="255"/>
        </w:trPr>
        <w:tc>
          <w:tcPr>
            <w:tcW w:w="4395" w:type="dxa"/>
            <w:tcBorders>
              <w:left w:val="nil"/>
            </w:tcBorders>
            <w:shd w:val="clear" w:color="auto" w:fill="FF3399"/>
            <w:hideMark/>
          </w:tcPr>
          <w:p w:rsidR="0097544C" w:rsidRPr="001244BB" w:rsidRDefault="0097544C" w:rsidP="0025274D">
            <w:pPr>
              <w:spacing w:after="0" w:line="240" w:lineRule="auto"/>
              <w:rPr>
                <w:rFonts w:eastAsia="Times New Roman" w:cstheme="minorHAnsi"/>
                <w:b/>
                <w:bCs/>
                <w:color w:val="FFFFFF"/>
                <w:sz w:val="20"/>
                <w:szCs w:val="20"/>
                <w:lang w:eastAsia="en-NZ"/>
              </w:rPr>
            </w:pPr>
            <w:r w:rsidRPr="001244BB">
              <w:rPr>
                <w:rFonts w:eastAsia="Times New Roman" w:cstheme="minorHAnsi"/>
                <w:b/>
                <w:bCs/>
                <w:color w:val="FFFFFF"/>
                <w:sz w:val="20"/>
                <w:szCs w:val="20"/>
                <w:lang w:eastAsia="en-NZ"/>
              </w:rPr>
              <w:t>What this tells us:</w:t>
            </w:r>
          </w:p>
        </w:tc>
        <w:tc>
          <w:tcPr>
            <w:tcW w:w="1275" w:type="dxa"/>
            <w:shd w:val="clear" w:color="auto" w:fill="FF3399"/>
            <w:hideMark/>
          </w:tcPr>
          <w:p w:rsidR="0097544C" w:rsidRPr="001244BB" w:rsidRDefault="0097544C" w:rsidP="0025274D">
            <w:pPr>
              <w:spacing w:after="0" w:line="240" w:lineRule="auto"/>
              <w:rPr>
                <w:rFonts w:eastAsia="Times New Roman" w:cstheme="minorHAnsi"/>
                <w:b/>
                <w:bCs/>
                <w:color w:val="FFFFFF"/>
                <w:sz w:val="20"/>
                <w:szCs w:val="20"/>
                <w:lang w:eastAsia="en-NZ"/>
              </w:rPr>
            </w:pPr>
            <w:r w:rsidRPr="001244BB">
              <w:rPr>
                <w:rFonts w:eastAsia="Times New Roman" w:cstheme="minorHAnsi"/>
                <w:b/>
                <w:bCs/>
                <w:color w:val="FFFFFF"/>
                <w:sz w:val="20"/>
                <w:szCs w:val="20"/>
                <w:lang w:eastAsia="en-NZ"/>
              </w:rPr>
              <w:t> </w:t>
            </w:r>
          </w:p>
        </w:tc>
        <w:tc>
          <w:tcPr>
            <w:tcW w:w="1843" w:type="dxa"/>
            <w:shd w:val="clear" w:color="auto" w:fill="FF3399"/>
            <w:hideMark/>
          </w:tcPr>
          <w:p w:rsidR="0097544C" w:rsidRPr="001244BB" w:rsidRDefault="0097544C" w:rsidP="0025274D">
            <w:pPr>
              <w:spacing w:after="0" w:line="240" w:lineRule="auto"/>
              <w:jc w:val="right"/>
              <w:rPr>
                <w:rFonts w:eastAsia="Times New Roman" w:cstheme="minorHAnsi"/>
                <w:b/>
                <w:bCs/>
                <w:color w:val="FFFFFF"/>
                <w:sz w:val="20"/>
                <w:szCs w:val="20"/>
                <w:lang w:eastAsia="en-NZ"/>
              </w:rPr>
            </w:pPr>
            <w:r w:rsidRPr="001244BB">
              <w:rPr>
                <w:rFonts w:eastAsia="Times New Roman" w:cstheme="minorHAnsi"/>
                <w:b/>
                <w:bCs/>
                <w:color w:val="FFFFFF"/>
                <w:sz w:val="20"/>
                <w:szCs w:val="20"/>
                <w:lang w:eastAsia="en-NZ"/>
              </w:rPr>
              <w:t> </w:t>
            </w:r>
          </w:p>
        </w:tc>
        <w:tc>
          <w:tcPr>
            <w:tcW w:w="1370" w:type="dxa"/>
            <w:shd w:val="clear" w:color="auto" w:fill="FF3399"/>
            <w:hideMark/>
          </w:tcPr>
          <w:p w:rsidR="0097544C" w:rsidRPr="001244BB" w:rsidRDefault="0097544C" w:rsidP="0025274D">
            <w:pPr>
              <w:spacing w:after="0" w:line="240" w:lineRule="auto"/>
              <w:jc w:val="right"/>
              <w:rPr>
                <w:rFonts w:eastAsia="Times New Roman" w:cstheme="minorHAnsi"/>
                <w:b/>
                <w:bCs/>
                <w:color w:val="FFFFFF"/>
                <w:sz w:val="20"/>
                <w:szCs w:val="20"/>
                <w:lang w:eastAsia="en-NZ"/>
              </w:rPr>
            </w:pPr>
            <w:r w:rsidRPr="001244BB">
              <w:rPr>
                <w:rFonts w:eastAsia="Times New Roman" w:cstheme="minorHAnsi"/>
                <w:b/>
                <w:bCs/>
                <w:color w:val="FFFFFF"/>
                <w:sz w:val="20"/>
                <w:szCs w:val="20"/>
                <w:lang w:eastAsia="en-NZ"/>
              </w:rPr>
              <w:t> </w:t>
            </w:r>
          </w:p>
        </w:tc>
        <w:tc>
          <w:tcPr>
            <w:tcW w:w="1370" w:type="dxa"/>
            <w:shd w:val="clear" w:color="auto" w:fill="FF3399"/>
            <w:hideMark/>
          </w:tcPr>
          <w:p w:rsidR="0097544C" w:rsidRPr="001244BB" w:rsidRDefault="0097544C" w:rsidP="0025274D">
            <w:pPr>
              <w:spacing w:after="0" w:line="240" w:lineRule="auto"/>
              <w:jc w:val="right"/>
              <w:rPr>
                <w:rFonts w:eastAsia="Times New Roman" w:cstheme="minorHAnsi"/>
                <w:b/>
                <w:bCs/>
                <w:color w:val="FFFFFF"/>
                <w:sz w:val="20"/>
                <w:szCs w:val="20"/>
                <w:lang w:eastAsia="en-NZ"/>
              </w:rPr>
            </w:pPr>
            <w:r w:rsidRPr="001244BB">
              <w:rPr>
                <w:rFonts w:eastAsia="Times New Roman" w:cstheme="minorHAnsi"/>
                <w:b/>
                <w:bCs/>
                <w:color w:val="FFFFFF"/>
                <w:sz w:val="20"/>
                <w:szCs w:val="20"/>
                <w:lang w:eastAsia="en-NZ"/>
              </w:rPr>
              <w:t> </w:t>
            </w:r>
          </w:p>
        </w:tc>
        <w:tc>
          <w:tcPr>
            <w:tcW w:w="1371" w:type="dxa"/>
            <w:shd w:val="clear" w:color="auto" w:fill="FF3399"/>
            <w:hideMark/>
          </w:tcPr>
          <w:p w:rsidR="0097544C" w:rsidRPr="001244BB" w:rsidRDefault="0097544C" w:rsidP="0025274D">
            <w:pPr>
              <w:spacing w:after="0" w:line="240" w:lineRule="auto"/>
              <w:jc w:val="right"/>
              <w:rPr>
                <w:rFonts w:eastAsia="Times New Roman" w:cstheme="minorHAnsi"/>
                <w:b/>
                <w:bCs/>
                <w:color w:val="FFFFFF"/>
                <w:sz w:val="20"/>
                <w:szCs w:val="20"/>
                <w:lang w:eastAsia="en-NZ"/>
              </w:rPr>
            </w:pPr>
          </w:p>
        </w:tc>
        <w:tc>
          <w:tcPr>
            <w:tcW w:w="2268" w:type="dxa"/>
            <w:tcBorders>
              <w:right w:val="nil"/>
            </w:tcBorders>
            <w:shd w:val="clear" w:color="auto" w:fill="FF3399"/>
          </w:tcPr>
          <w:p w:rsidR="0097544C" w:rsidRPr="001244BB" w:rsidRDefault="0097544C" w:rsidP="0025274D">
            <w:pPr>
              <w:spacing w:after="0" w:line="240" w:lineRule="auto"/>
              <w:jc w:val="right"/>
              <w:rPr>
                <w:rFonts w:eastAsia="Times New Roman" w:cstheme="minorHAnsi"/>
                <w:b/>
                <w:bCs/>
                <w:color w:val="FFFFFF"/>
                <w:sz w:val="20"/>
                <w:szCs w:val="20"/>
                <w:lang w:eastAsia="en-NZ"/>
              </w:rPr>
            </w:pPr>
          </w:p>
        </w:tc>
      </w:tr>
      <w:tr w:rsidR="0097544C" w:rsidRPr="001244BB" w:rsidTr="0097544C">
        <w:trPr>
          <w:trHeight w:val="255"/>
        </w:trPr>
        <w:tc>
          <w:tcPr>
            <w:tcW w:w="13892" w:type="dxa"/>
            <w:gridSpan w:val="7"/>
            <w:tcBorders>
              <w:left w:val="nil"/>
              <w:right w:val="nil"/>
            </w:tcBorders>
            <w:shd w:val="clear" w:color="auto" w:fill="auto"/>
            <w:hideMark/>
          </w:tcPr>
          <w:p w:rsidR="0097544C" w:rsidRPr="001244BB" w:rsidRDefault="0097544C" w:rsidP="0025274D">
            <w:pPr>
              <w:spacing w:after="0" w:line="240" w:lineRule="auto"/>
              <w:rPr>
                <w:rFonts w:eastAsia="Times New Roman" w:cstheme="minorHAnsi"/>
                <w:color w:val="000000"/>
                <w:sz w:val="20"/>
                <w:szCs w:val="20"/>
                <w:lang w:eastAsia="en-NZ"/>
              </w:rPr>
            </w:pPr>
            <w:r w:rsidRPr="001244BB">
              <w:rPr>
                <w:rFonts w:eastAsia="Times New Roman" w:cstheme="minorHAnsi"/>
                <w:color w:val="000000"/>
                <w:sz w:val="20"/>
                <w:szCs w:val="20"/>
                <w:lang w:eastAsia="en-NZ"/>
              </w:rPr>
              <w:t xml:space="preserve">If our city’s events are well attended by both Wellingtonians and visitors, it is an indicator that our city is vibrant and providing opportunities for people to connect with each other. This in turn leads to a city that provides a high quality of life. </w:t>
            </w:r>
          </w:p>
        </w:tc>
      </w:tr>
    </w:tbl>
    <w:p w:rsidR="006B024A" w:rsidRPr="00750803" w:rsidRDefault="006B024A" w:rsidP="00846C1B">
      <w:pPr>
        <w:pStyle w:val="Heading4"/>
        <w:rPr>
          <w:color w:val="FF0066"/>
        </w:rPr>
      </w:pPr>
      <w:r w:rsidRPr="00750803">
        <w:rPr>
          <w:color w:val="FF0066"/>
        </w:rPr>
        <w:t>Performance data – Council performance measures</w:t>
      </w:r>
    </w:p>
    <w:p w:rsidR="006B024A" w:rsidRPr="00D5126A" w:rsidRDefault="006B024A" w:rsidP="006B024A">
      <w:pPr>
        <w:pStyle w:val="Para034"/>
        <w:spacing w:before="0" w:after="0" w:line="240" w:lineRule="auto"/>
        <w:rPr>
          <w:rFonts w:ascii="Arial" w:hAnsi="Arial" w:cs="Arial"/>
        </w:rPr>
      </w:pPr>
      <w:r w:rsidRPr="00D5126A">
        <w:rPr>
          <w:rFonts w:ascii="Arial" w:hAnsi="Arial" w:cs="Arial"/>
        </w:rPr>
        <w:t>The following section outlines Council performance measures for our Cultural wellbeing services. It includes data for the last 3 years to show trends, and includes variances explanations for relevant areas.</w:t>
      </w:r>
    </w:p>
    <w:p w:rsidR="006B024A" w:rsidRPr="00D5126A" w:rsidRDefault="006B024A" w:rsidP="006B024A">
      <w:pPr>
        <w:pStyle w:val="5Block"/>
        <w:spacing w:after="0" w:line="240" w:lineRule="auto"/>
        <w:rPr>
          <w:rFonts w:ascii="Arial" w:hAnsi="Arial" w:cs="Arial"/>
        </w:rPr>
      </w:pPr>
    </w:p>
    <w:tbl>
      <w:tblPr>
        <w:tblW w:w="14175" w:type="dxa"/>
        <w:tblInd w:w="108" w:type="dxa"/>
        <w:tblLayout w:type="fixed"/>
        <w:tblLook w:val="04A0" w:firstRow="1" w:lastRow="0" w:firstColumn="1" w:lastColumn="0" w:noHBand="0" w:noVBand="1"/>
      </w:tblPr>
      <w:tblGrid>
        <w:gridCol w:w="3686"/>
        <w:gridCol w:w="1276"/>
        <w:gridCol w:w="1134"/>
        <w:gridCol w:w="1134"/>
        <w:gridCol w:w="1134"/>
        <w:gridCol w:w="708"/>
        <w:gridCol w:w="1276"/>
        <w:gridCol w:w="3827"/>
      </w:tblGrid>
      <w:tr w:rsidR="00FA1738" w:rsidRPr="001244BB" w:rsidTr="00FA1738">
        <w:trPr>
          <w:trHeight w:val="510"/>
          <w:tblHeader/>
        </w:trPr>
        <w:tc>
          <w:tcPr>
            <w:tcW w:w="3686" w:type="dxa"/>
            <w:tcBorders>
              <w:top w:val="single" w:sz="4" w:space="0" w:color="FFFFFF" w:themeColor="background1"/>
              <w:left w:val="nil"/>
              <w:bottom w:val="single" w:sz="4" w:space="0" w:color="FFFFFF" w:themeColor="background1"/>
              <w:right w:val="single" w:sz="4" w:space="0" w:color="FFFFFF" w:themeColor="background1"/>
            </w:tcBorders>
            <w:shd w:val="clear" w:color="auto" w:fill="FF3399"/>
            <w:hideMark/>
          </w:tcPr>
          <w:p w:rsidR="00FA1738" w:rsidRPr="001244BB" w:rsidRDefault="00FA1738" w:rsidP="0025274D">
            <w:pPr>
              <w:spacing w:after="0" w:line="240" w:lineRule="auto"/>
              <w:rPr>
                <w:rFonts w:eastAsia="Times New Roman" w:cstheme="minorHAnsi"/>
                <w:b/>
                <w:bCs/>
                <w:color w:val="FFFFFF" w:themeColor="background1"/>
                <w:lang w:eastAsia="en-NZ"/>
              </w:rPr>
            </w:pPr>
            <w:r w:rsidRPr="001244BB">
              <w:rPr>
                <w:rFonts w:eastAsia="Times New Roman" w:cstheme="minorHAnsi"/>
                <w:b/>
                <w:bCs/>
                <w:color w:val="FFFFFF" w:themeColor="background1"/>
                <w:lang w:eastAsia="en-NZ"/>
              </w:rPr>
              <w:t>Performance measure</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3399"/>
            <w:hideMark/>
          </w:tcPr>
          <w:p w:rsidR="00FA1738" w:rsidRPr="001244BB" w:rsidRDefault="00FA1738" w:rsidP="0025274D">
            <w:pPr>
              <w:spacing w:after="0" w:line="240" w:lineRule="auto"/>
              <w:jc w:val="right"/>
              <w:rPr>
                <w:rFonts w:eastAsia="Times New Roman" w:cstheme="minorHAnsi"/>
                <w:b/>
                <w:bCs/>
                <w:color w:val="FFFFFF" w:themeColor="background1"/>
                <w:lang w:eastAsia="en-NZ"/>
              </w:rPr>
            </w:pPr>
            <w:r w:rsidRPr="001244BB">
              <w:rPr>
                <w:rFonts w:eastAsia="Times New Roman" w:cstheme="minorHAnsi"/>
                <w:b/>
                <w:bCs/>
                <w:color w:val="FFFFFF" w:themeColor="background1"/>
                <w:lang w:eastAsia="en-NZ"/>
              </w:rPr>
              <w:t>2016/17</w:t>
            </w:r>
            <w:r w:rsidRPr="001244BB">
              <w:rPr>
                <w:rFonts w:eastAsia="Times New Roman" w:cstheme="minorHAnsi"/>
                <w:b/>
                <w:bCs/>
                <w:color w:val="FFFFFF" w:themeColor="background1"/>
                <w:lang w:eastAsia="en-NZ"/>
              </w:rPr>
              <w:br/>
              <w:t>Actual</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3399"/>
            <w:hideMark/>
          </w:tcPr>
          <w:p w:rsidR="00FA1738" w:rsidRPr="001244BB" w:rsidRDefault="00FA1738" w:rsidP="0025274D">
            <w:pPr>
              <w:spacing w:after="0" w:line="240" w:lineRule="auto"/>
              <w:jc w:val="right"/>
              <w:rPr>
                <w:rFonts w:eastAsia="Times New Roman" w:cstheme="minorHAnsi"/>
                <w:b/>
                <w:bCs/>
                <w:color w:val="FFFFFF" w:themeColor="background1"/>
                <w:lang w:eastAsia="en-NZ"/>
              </w:rPr>
            </w:pPr>
            <w:r w:rsidRPr="001244BB">
              <w:rPr>
                <w:rFonts w:eastAsia="Times New Roman" w:cstheme="minorHAnsi"/>
                <w:b/>
                <w:bCs/>
                <w:color w:val="FFFFFF" w:themeColor="background1"/>
                <w:lang w:eastAsia="en-NZ"/>
              </w:rPr>
              <w:t>2017/18</w:t>
            </w:r>
            <w:r w:rsidRPr="001244BB">
              <w:rPr>
                <w:rFonts w:eastAsia="Times New Roman" w:cstheme="minorHAnsi"/>
                <w:b/>
                <w:bCs/>
                <w:color w:val="FFFFFF" w:themeColor="background1"/>
                <w:lang w:eastAsia="en-NZ"/>
              </w:rPr>
              <w:br/>
              <w:t>Actual</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3399"/>
            <w:hideMark/>
          </w:tcPr>
          <w:p w:rsidR="00FA1738" w:rsidRPr="001244BB" w:rsidRDefault="00FA1738" w:rsidP="0025274D">
            <w:pPr>
              <w:spacing w:after="0" w:line="240" w:lineRule="auto"/>
              <w:jc w:val="right"/>
              <w:rPr>
                <w:rFonts w:eastAsia="Times New Roman" w:cstheme="minorHAnsi"/>
                <w:b/>
                <w:bCs/>
                <w:color w:val="FFFFFF" w:themeColor="background1"/>
                <w:lang w:eastAsia="en-NZ"/>
              </w:rPr>
            </w:pPr>
            <w:r w:rsidRPr="001244BB">
              <w:rPr>
                <w:rFonts w:eastAsia="Times New Roman" w:cstheme="minorHAnsi"/>
                <w:b/>
                <w:bCs/>
                <w:color w:val="FFFFFF" w:themeColor="background1"/>
                <w:lang w:eastAsia="en-NZ"/>
              </w:rPr>
              <w:t>2018/19</w:t>
            </w:r>
            <w:r w:rsidRPr="001244BB">
              <w:rPr>
                <w:rFonts w:eastAsia="Times New Roman" w:cstheme="minorHAnsi"/>
                <w:b/>
                <w:bCs/>
                <w:color w:val="FFFFFF" w:themeColor="background1"/>
                <w:lang w:eastAsia="en-NZ"/>
              </w:rPr>
              <w:br/>
              <w:t>Actual</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3399"/>
            <w:hideMark/>
          </w:tcPr>
          <w:p w:rsidR="00FA1738" w:rsidRPr="001244BB" w:rsidRDefault="00FA1738" w:rsidP="0025274D">
            <w:pPr>
              <w:spacing w:after="0" w:line="240" w:lineRule="auto"/>
              <w:rPr>
                <w:rFonts w:eastAsia="Times New Roman" w:cstheme="minorHAnsi"/>
                <w:b/>
                <w:bCs/>
                <w:color w:val="FFFFFF" w:themeColor="background1"/>
                <w:lang w:eastAsia="en-NZ"/>
              </w:rPr>
            </w:pPr>
            <w:r w:rsidRPr="001244BB">
              <w:rPr>
                <w:rFonts w:eastAsia="Times New Roman" w:cstheme="minorHAnsi"/>
                <w:b/>
                <w:bCs/>
                <w:color w:val="FFFFFF" w:themeColor="background1"/>
                <w:lang w:eastAsia="en-NZ"/>
              </w:rPr>
              <w:t>2018/19 Target</w:t>
            </w:r>
          </w:p>
        </w:tc>
        <w:tc>
          <w:tcPr>
            <w:tcW w:w="7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3399"/>
            <w:hideMark/>
          </w:tcPr>
          <w:p w:rsidR="00FA1738" w:rsidRPr="001244BB" w:rsidRDefault="00FA1738" w:rsidP="0025274D">
            <w:pPr>
              <w:spacing w:after="0" w:line="240" w:lineRule="auto"/>
              <w:rPr>
                <w:rFonts w:eastAsia="Times New Roman" w:cstheme="minorHAnsi"/>
                <w:b/>
                <w:bCs/>
                <w:color w:val="FFFFFF" w:themeColor="background1"/>
                <w:lang w:eastAsia="en-NZ"/>
              </w:rPr>
            </w:pPr>
            <w:r w:rsidRPr="001244BB">
              <w:rPr>
                <w:rFonts w:eastAsia="Times New Roman" w:cstheme="minorHAnsi"/>
                <w:b/>
                <w:bCs/>
                <w:color w:val="FFFFFF" w:themeColor="background1"/>
                <w:lang w:eastAsia="en-NZ"/>
              </w:rPr>
              <w:t>% Var.</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3399"/>
            <w:hideMark/>
          </w:tcPr>
          <w:p w:rsidR="00FA1738" w:rsidRPr="001244BB" w:rsidRDefault="00FA1738" w:rsidP="0025274D">
            <w:pPr>
              <w:spacing w:after="0" w:line="240" w:lineRule="auto"/>
              <w:rPr>
                <w:rFonts w:eastAsia="Times New Roman" w:cstheme="minorHAnsi"/>
                <w:b/>
                <w:bCs/>
                <w:color w:val="FFFFFF" w:themeColor="background1"/>
                <w:lang w:eastAsia="en-NZ"/>
              </w:rPr>
            </w:pPr>
            <w:r w:rsidRPr="001244BB">
              <w:rPr>
                <w:rFonts w:eastAsia="Times New Roman" w:cstheme="minorHAnsi"/>
                <w:b/>
                <w:bCs/>
                <w:color w:val="FFFFFF" w:themeColor="background1"/>
                <w:lang w:eastAsia="en-NZ"/>
              </w:rPr>
              <w:t>Icon</w:t>
            </w:r>
          </w:p>
        </w:tc>
        <w:tc>
          <w:tcPr>
            <w:tcW w:w="3827" w:type="dxa"/>
            <w:tcBorders>
              <w:top w:val="single" w:sz="4" w:space="0" w:color="FFFFFF" w:themeColor="background1"/>
              <w:left w:val="single" w:sz="4" w:space="0" w:color="FFFFFF" w:themeColor="background1"/>
              <w:bottom w:val="single" w:sz="4" w:space="0" w:color="FFFFFF" w:themeColor="background1"/>
              <w:right w:val="single" w:sz="4" w:space="0" w:color="808080"/>
            </w:tcBorders>
            <w:shd w:val="clear" w:color="auto" w:fill="FF3399"/>
            <w:hideMark/>
          </w:tcPr>
          <w:p w:rsidR="00FA1738" w:rsidRPr="001244BB" w:rsidRDefault="00FA1738" w:rsidP="0025274D">
            <w:pPr>
              <w:spacing w:after="0" w:line="240" w:lineRule="auto"/>
              <w:rPr>
                <w:rFonts w:eastAsia="Times New Roman" w:cstheme="minorHAnsi"/>
                <w:b/>
                <w:bCs/>
                <w:color w:val="FFFFFF" w:themeColor="background1"/>
                <w:lang w:eastAsia="en-NZ"/>
              </w:rPr>
            </w:pPr>
            <w:r w:rsidRPr="001244BB">
              <w:rPr>
                <w:rFonts w:eastAsia="Times New Roman" w:cstheme="minorHAnsi"/>
                <w:b/>
                <w:bCs/>
                <w:color w:val="FFFFFF" w:themeColor="background1"/>
                <w:lang w:eastAsia="en-NZ"/>
              </w:rPr>
              <w:t xml:space="preserve">Comments </w:t>
            </w:r>
          </w:p>
        </w:tc>
      </w:tr>
      <w:tr w:rsidR="00FA1738" w:rsidRPr="001244BB" w:rsidTr="00FA1738">
        <w:trPr>
          <w:trHeight w:val="390"/>
        </w:trPr>
        <w:tc>
          <w:tcPr>
            <w:tcW w:w="14175" w:type="dxa"/>
            <w:gridSpan w:val="8"/>
            <w:tcBorders>
              <w:top w:val="single" w:sz="4" w:space="0" w:color="FFFFFF" w:themeColor="background1"/>
              <w:left w:val="nil"/>
              <w:bottom w:val="nil"/>
              <w:right w:val="nil"/>
            </w:tcBorders>
            <w:shd w:val="clear" w:color="auto" w:fill="auto"/>
            <w:hideMark/>
          </w:tcPr>
          <w:p w:rsidR="00FA1738" w:rsidRPr="001244BB" w:rsidRDefault="00FA1738" w:rsidP="0025274D">
            <w:pPr>
              <w:spacing w:after="0" w:line="240" w:lineRule="auto"/>
              <w:rPr>
                <w:rFonts w:eastAsia="Times New Roman" w:cstheme="minorHAnsi"/>
                <w:color w:val="000000"/>
                <w:sz w:val="20"/>
                <w:lang w:eastAsia="en-NZ"/>
              </w:rPr>
            </w:pPr>
            <w:r w:rsidRPr="001244BB">
              <w:rPr>
                <w:rFonts w:eastAsia="Times New Roman" w:cstheme="minorHAnsi"/>
                <w:b/>
                <w:bCs/>
                <w:color w:val="FF3399"/>
                <w:sz w:val="28"/>
                <w:szCs w:val="28"/>
                <w:lang w:eastAsia="en-NZ"/>
              </w:rPr>
              <w:t>4. Oranga ahurea | Cultural wellbeing</w:t>
            </w:r>
          </w:p>
        </w:tc>
      </w:tr>
      <w:tr w:rsidR="00FA1738" w:rsidRPr="001244BB" w:rsidTr="00FA1738">
        <w:trPr>
          <w:trHeight w:val="255"/>
        </w:trPr>
        <w:tc>
          <w:tcPr>
            <w:tcW w:w="14175" w:type="dxa"/>
            <w:gridSpan w:val="8"/>
            <w:tcBorders>
              <w:top w:val="nil"/>
              <w:left w:val="nil"/>
              <w:bottom w:val="nil"/>
              <w:right w:val="nil"/>
            </w:tcBorders>
            <w:shd w:val="clear" w:color="auto" w:fill="FF3399"/>
            <w:hideMark/>
          </w:tcPr>
          <w:p w:rsidR="00FA1738" w:rsidRPr="001244BB" w:rsidRDefault="00FA1738" w:rsidP="0025274D">
            <w:pPr>
              <w:spacing w:after="0" w:line="240" w:lineRule="auto"/>
              <w:rPr>
                <w:rFonts w:eastAsia="Times New Roman" w:cstheme="minorHAnsi"/>
                <w:color w:val="000000"/>
                <w:sz w:val="20"/>
                <w:lang w:eastAsia="en-NZ"/>
              </w:rPr>
            </w:pPr>
            <w:r w:rsidRPr="001244BB">
              <w:rPr>
                <w:rFonts w:eastAsia="Times New Roman" w:cstheme="minorHAnsi"/>
                <w:b/>
                <w:bCs/>
                <w:color w:val="FFFFFF"/>
                <w:lang w:eastAsia="en-NZ"/>
              </w:rPr>
              <w:t>4.1 Arts and cultural activities</w:t>
            </w:r>
            <w:r w:rsidRPr="001244BB">
              <w:rPr>
                <w:rFonts w:eastAsia="Times New Roman" w:cstheme="minorHAnsi"/>
                <w:b/>
                <w:bCs/>
                <w:color w:val="FFFFFF"/>
                <w:sz w:val="20"/>
                <w:lang w:eastAsia="en-NZ"/>
              </w:rPr>
              <w:t> </w:t>
            </w:r>
          </w:p>
        </w:tc>
      </w:tr>
      <w:tr w:rsidR="00857FA4" w:rsidRPr="00857FA4" w:rsidTr="00FA1738">
        <w:trPr>
          <w:trHeight w:val="315"/>
        </w:trPr>
        <w:tc>
          <w:tcPr>
            <w:tcW w:w="14175" w:type="dxa"/>
            <w:gridSpan w:val="8"/>
            <w:tcBorders>
              <w:top w:val="nil"/>
              <w:left w:val="nil"/>
              <w:bottom w:val="single" w:sz="4" w:space="0" w:color="FF3399"/>
              <w:right w:val="nil"/>
            </w:tcBorders>
            <w:shd w:val="clear" w:color="auto" w:fill="FFC9E4"/>
            <w:hideMark/>
          </w:tcPr>
          <w:p w:rsidR="00FA1738" w:rsidRPr="00857FA4" w:rsidRDefault="00FA1738" w:rsidP="0025274D">
            <w:pPr>
              <w:spacing w:after="0" w:line="240" w:lineRule="auto"/>
              <w:rPr>
                <w:rFonts w:eastAsia="Times New Roman" w:cstheme="minorHAnsi"/>
                <w:sz w:val="20"/>
                <w:lang w:eastAsia="en-NZ"/>
              </w:rPr>
            </w:pPr>
            <w:r w:rsidRPr="00857FA4">
              <w:rPr>
                <w:rFonts w:eastAsia="Times New Roman" w:cstheme="minorHAnsi"/>
                <w:b/>
                <w:lang w:eastAsia="en-NZ"/>
              </w:rPr>
              <w:t>High quality events</w:t>
            </w:r>
            <w:r w:rsidRPr="00857FA4">
              <w:rPr>
                <w:rFonts w:eastAsia="Times New Roman" w:cstheme="minorHAnsi"/>
                <w:lang w:eastAsia="en-NZ"/>
              </w:rPr>
              <w:t> </w:t>
            </w:r>
          </w:p>
        </w:tc>
      </w:tr>
      <w:tr w:rsidR="00FA1738" w:rsidRPr="001244BB" w:rsidTr="00FA1738">
        <w:trPr>
          <w:trHeight w:val="525"/>
        </w:trPr>
        <w:tc>
          <w:tcPr>
            <w:tcW w:w="3686" w:type="dxa"/>
            <w:tcBorders>
              <w:top w:val="single" w:sz="4" w:space="0" w:color="FF3399"/>
              <w:left w:val="nil"/>
              <w:bottom w:val="single" w:sz="4" w:space="0" w:color="FF3399"/>
              <w:right w:val="single" w:sz="4" w:space="0" w:color="FF3399"/>
            </w:tcBorders>
            <w:shd w:val="clear" w:color="auto" w:fill="auto"/>
            <w:hideMark/>
          </w:tcPr>
          <w:p w:rsidR="00FA1738" w:rsidRPr="001244BB" w:rsidRDefault="00FA1738" w:rsidP="0025274D">
            <w:pPr>
              <w:spacing w:after="0" w:line="240" w:lineRule="auto"/>
              <w:rPr>
                <w:rFonts w:eastAsia="Times New Roman" w:cstheme="minorHAnsi"/>
                <w:color w:val="000000"/>
                <w:sz w:val="20"/>
                <w:lang w:eastAsia="en-NZ"/>
              </w:rPr>
            </w:pPr>
            <w:r w:rsidRPr="001244BB">
              <w:rPr>
                <w:rFonts w:eastAsia="Times New Roman" w:cstheme="minorHAnsi"/>
                <w:color w:val="000000"/>
                <w:sz w:val="20"/>
                <w:lang w:eastAsia="en-NZ"/>
              </w:rPr>
              <w:t>Attendees (%) satisfied with Council-delivered arts and cultural festivals</w:t>
            </w:r>
          </w:p>
        </w:tc>
        <w:tc>
          <w:tcPr>
            <w:tcW w:w="1276" w:type="dxa"/>
            <w:tcBorders>
              <w:top w:val="single" w:sz="4" w:space="0" w:color="FF3399"/>
              <w:left w:val="single" w:sz="4" w:space="0" w:color="FF3399"/>
              <w:bottom w:val="single" w:sz="4" w:space="0" w:color="FF3399"/>
              <w:right w:val="single" w:sz="4" w:space="0" w:color="FF3399"/>
            </w:tcBorders>
            <w:shd w:val="clear" w:color="auto" w:fill="auto"/>
            <w:noWrap/>
            <w:hideMark/>
          </w:tcPr>
          <w:p w:rsidR="00FA1738" w:rsidRPr="001244BB" w:rsidRDefault="00FA1738" w:rsidP="0025274D">
            <w:pPr>
              <w:spacing w:after="0" w:line="240" w:lineRule="auto"/>
              <w:jc w:val="right"/>
              <w:rPr>
                <w:rFonts w:eastAsia="Times New Roman" w:cstheme="minorHAnsi"/>
                <w:color w:val="000000"/>
                <w:sz w:val="20"/>
                <w:lang w:eastAsia="en-NZ"/>
              </w:rPr>
            </w:pPr>
            <w:r>
              <w:rPr>
                <w:rFonts w:eastAsia="Times New Roman" w:cstheme="minorHAnsi"/>
                <w:color w:val="000000"/>
                <w:sz w:val="20"/>
                <w:lang w:eastAsia="en-NZ"/>
              </w:rPr>
              <w:t>81</w:t>
            </w:r>
            <w:r w:rsidRPr="001244BB">
              <w:rPr>
                <w:rFonts w:eastAsia="Times New Roman" w:cstheme="minorHAnsi"/>
                <w:color w:val="000000"/>
                <w:sz w:val="20"/>
                <w:lang w:eastAsia="en-NZ"/>
              </w:rPr>
              <w:t>%</w:t>
            </w:r>
          </w:p>
        </w:tc>
        <w:tc>
          <w:tcPr>
            <w:tcW w:w="1134" w:type="dxa"/>
            <w:tcBorders>
              <w:top w:val="single" w:sz="4" w:space="0" w:color="FF3399"/>
              <w:left w:val="single" w:sz="4" w:space="0" w:color="FF3399"/>
              <w:bottom w:val="single" w:sz="4" w:space="0" w:color="FF3399"/>
              <w:right w:val="single" w:sz="4" w:space="0" w:color="FF3399"/>
            </w:tcBorders>
            <w:shd w:val="clear" w:color="auto" w:fill="auto"/>
            <w:noWrap/>
            <w:hideMark/>
          </w:tcPr>
          <w:p w:rsidR="00FA1738" w:rsidRPr="001244BB" w:rsidRDefault="00FA1738" w:rsidP="0025274D">
            <w:pPr>
              <w:spacing w:after="0" w:line="240" w:lineRule="auto"/>
              <w:jc w:val="right"/>
              <w:rPr>
                <w:rFonts w:eastAsia="Times New Roman" w:cstheme="minorHAnsi"/>
                <w:color w:val="000000"/>
                <w:sz w:val="20"/>
                <w:lang w:eastAsia="en-NZ"/>
              </w:rPr>
            </w:pPr>
            <w:r>
              <w:rPr>
                <w:rFonts w:eastAsia="Times New Roman" w:cstheme="minorHAnsi"/>
                <w:color w:val="000000"/>
                <w:sz w:val="20"/>
                <w:lang w:eastAsia="en-NZ"/>
              </w:rPr>
              <w:t>82</w:t>
            </w:r>
            <w:r w:rsidRPr="001244BB">
              <w:rPr>
                <w:rFonts w:eastAsia="Times New Roman" w:cstheme="minorHAnsi"/>
                <w:color w:val="000000"/>
                <w:sz w:val="20"/>
                <w:lang w:eastAsia="en-NZ"/>
              </w:rPr>
              <w:t>%</w:t>
            </w:r>
          </w:p>
        </w:tc>
        <w:tc>
          <w:tcPr>
            <w:tcW w:w="1134" w:type="dxa"/>
            <w:tcBorders>
              <w:top w:val="single" w:sz="4" w:space="0" w:color="FF3399"/>
              <w:left w:val="single" w:sz="4" w:space="0" w:color="FF3399"/>
              <w:bottom w:val="single" w:sz="4" w:space="0" w:color="FF3399"/>
              <w:right w:val="single" w:sz="4" w:space="0" w:color="FF3399"/>
            </w:tcBorders>
            <w:shd w:val="clear" w:color="auto" w:fill="auto"/>
            <w:noWrap/>
            <w:hideMark/>
          </w:tcPr>
          <w:p w:rsidR="00FA1738" w:rsidRPr="001244BB" w:rsidRDefault="00FA1738" w:rsidP="0025274D">
            <w:pPr>
              <w:spacing w:after="0" w:line="240" w:lineRule="auto"/>
              <w:jc w:val="right"/>
              <w:rPr>
                <w:rFonts w:eastAsia="Times New Roman" w:cstheme="minorHAnsi"/>
                <w:color w:val="000000"/>
                <w:sz w:val="20"/>
                <w:lang w:eastAsia="en-NZ"/>
              </w:rPr>
            </w:pPr>
            <w:r w:rsidRPr="001244BB">
              <w:rPr>
                <w:rFonts w:eastAsia="Times New Roman" w:cstheme="minorHAnsi"/>
                <w:color w:val="000000"/>
                <w:sz w:val="20"/>
                <w:lang w:eastAsia="en-NZ"/>
              </w:rPr>
              <w:t>81%</w:t>
            </w:r>
          </w:p>
        </w:tc>
        <w:tc>
          <w:tcPr>
            <w:tcW w:w="1134" w:type="dxa"/>
            <w:tcBorders>
              <w:top w:val="single" w:sz="4" w:space="0" w:color="FF3399"/>
              <w:left w:val="single" w:sz="4" w:space="0" w:color="FF3399"/>
              <w:bottom w:val="single" w:sz="4" w:space="0" w:color="FF3399"/>
              <w:right w:val="single" w:sz="4" w:space="0" w:color="FF3399"/>
            </w:tcBorders>
            <w:shd w:val="clear" w:color="000000" w:fill="D9D9D9"/>
            <w:hideMark/>
          </w:tcPr>
          <w:p w:rsidR="00FA1738" w:rsidRPr="001244BB" w:rsidRDefault="00FA1738" w:rsidP="0025274D">
            <w:pPr>
              <w:spacing w:after="0" w:line="240" w:lineRule="auto"/>
              <w:jc w:val="right"/>
              <w:rPr>
                <w:rFonts w:eastAsia="Times New Roman" w:cstheme="minorHAnsi"/>
                <w:color w:val="000000"/>
                <w:sz w:val="20"/>
                <w:lang w:eastAsia="en-NZ"/>
              </w:rPr>
            </w:pPr>
            <w:r w:rsidRPr="001244BB">
              <w:rPr>
                <w:rFonts w:eastAsia="Times New Roman" w:cstheme="minorHAnsi"/>
                <w:color w:val="000000"/>
                <w:sz w:val="20"/>
                <w:lang w:eastAsia="en-NZ"/>
              </w:rPr>
              <w:t>90%</w:t>
            </w:r>
          </w:p>
        </w:tc>
        <w:tc>
          <w:tcPr>
            <w:tcW w:w="708" w:type="dxa"/>
            <w:tcBorders>
              <w:top w:val="single" w:sz="4" w:space="0" w:color="FF3399"/>
              <w:left w:val="single" w:sz="4" w:space="0" w:color="FF3399"/>
              <w:bottom w:val="single" w:sz="4" w:space="0" w:color="FF3399"/>
              <w:right w:val="single" w:sz="4" w:space="0" w:color="FF3399"/>
            </w:tcBorders>
            <w:shd w:val="clear" w:color="auto" w:fill="auto"/>
            <w:hideMark/>
          </w:tcPr>
          <w:p w:rsidR="00FA1738" w:rsidRPr="001244BB" w:rsidRDefault="00FA1738" w:rsidP="0025274D">
            <w:pPr>
              <w:spacing w:after="0" w:line="240" w:lineRule="auto"/>
              <w:jc w:val="right"/>
              <w:rPr>
                <w:rFonts w:eastAsia="Times New Roman" w:cstheme="minorHAnsi"/>
                <w:color w:val="000000"/>
                <w:sz w:val="20"/>
                <w:lang w:eastAsia="en-NZ"/>
              </w:rPr>
            </w:pPr>
            <w:r w:rsidRPr="001244BB">
              <w:rPr>
                <w:rFonts w:eastAsia="Times New Roman" w:cstheme="minorHAnsi"/>
                <w:color w:val="000000"/>
                <w:sz w:val="20"/>
                <w:lang w:eastAsia="en-NZ"/>
              </w:rPr>
              <w:t>-10%</w:t>
            </w:r>
          </w:p>
        </w:tc>
        <w:tc>
          <w:tcPr>
            <w:tcW w:w="1276" w:type="dxa"/>
            <w:tcBorders>
              <w:top w:val="single" w:sz="4" w:space="0" w:color="FF3399"/>
              <w:left w:val="single" w:sz="4" w:space="0" w:color="FF3399"/>
              <w:bottom w:val="single" w:sz="4" w:space="0" w:color="FF3399"/>
              <w:right w:val="single" w:sz="4" w:space="0" w:color="FF3399"/>
            </w:tcBorders>
            <w:shd w:val="clear" w:color="auto" w:fill="auto"/>
            <w:hideMark/>
          </w:tcPr>
          <w:p w:rsidR="00FA1738" w:rsidRPr="001244BB" w:rsidRDefault="00D35437" w:rsidP="0025274D">
            <w:pPr>
              <w:spacing w:after="0" w:line="240" w:lineRule="auto"/>
              <w:jc w:val="right"/>
              <w:rPr>
                <w:rFonts w:eastAsia="Times New Roman" w:cstheme="minorHAnsi"/>
                <w:color w:val="000000"/>
                <w:sz w:val="20"/>
                <w:lang w:eastAsia="en-NZ"/>
              </w:rPr>
            </w:pPr>
            <w:r>
              <w:rPr>
                <w:rFonts w:eastAsia="Times New Roman" w:cstheme="minorHAnsi"/>
                <w:color w:val="000000"/>
                <w:sz w:val="20"/>
                <w:lang w:eastAsia="en-NZ"/>
              </w:rPr>
              <w:t>Within 10%</w:t>
            </w:r>
          </w:p>
        </w:tc>
        <w:tc>
          <w:tcPr>
            <w:tcW w:w="3827" w:type="dxa"/>
            <w:tcBorders>
              <w:top w:val="single" w:sz="4" w:space="0" w:color="FF3399"/>
              <w:left w:val="single" w:sz="4" w:space="0" w:color="FF3399"/>
              <w:bottom w:val="single" w:sz="4" w:space="0" w:color="FF3399"/>
              <w:right w:val="nil"/>
            </w:tcBorders>
            <w:shd w:val="clear" w:color="auto" w:fill="auto"/>
          </w:tcPr>
          <w:p w:rsidR="00FA1738" w:rsidRPr="001244BB" w:rsidRDefault="00FA1738" w:rsidP="0025274D">
            <w:pPr>
              <w:spacing w:after="0" w:line="240" w:lineRule="auto"/>
              <w:rPr>
                <w:rFonts w:eastAsia="Times New Roman" w:cstheme="minorHAnsi"/>
                <w:color w:val="000000"/>
                <w:sz w:val="20"/>
                <w:lang w:eastAsia="en-NZ"/>
              </w:rPr>
            </w:pPr>
          </w:p>
        </w:tc>
      </w:tr>
      <w:tr w:rsidR="00FA1738" w:rsidRPr="001244BB" w:rsidTr="00FA1738">
        <w:trPr>
          <w:trHeight w:val="525"/>
        </w:trPr>
        <w:tc>
          <w:tcPr>
            <w:tcW w:w="3686" w:type="dxa"/>
            <w:tcBorders>
              <w:top w:val="single" w:sz="4" w:space="0" w:color="FF3399"/>
              <w:left w:val="nil"/>
              <w:bottom w:val="single" w:sz="4" w:space="0" w:color="FF3399"/>
              <w:right w:val="single" w:sz="4" w:space="0" w:color="FF3399"/>
            </w:tcBorders>
            <w:shd w:val="clear" w:color="auto" w:fill="auto"/>
            <w:hideMark/>
          </w:tcPr>
          <w:p w:rsidR="00FA1738" w:rsidRPr="001244BB" w:rsidRDefault="00FA1738" w:rsidP="0025274D">
            <w:pPr>
              <w:spacing w:after="0" w:line="240" w:lineRule="auto"/>
              <w:rPr>
                <w:rFonts w:eastAsia="Times New Roman" w:cstheme="minorHAnsi"/>
                <w:color w:val="000000"/>
                <w:sz w:val="20"/>
                <w:lang w:eastAsia="en-NZ"/>
              </w:rPr>
            </w:pPr>
            <w:r w:rsidRPr="001244BB">
              <w:rPr>
                <w:rFonts w:eastAsia="Times New Roman" w:cstheme="minorHAnsi"/>
                <w:color w:val="000000"/>
                <w:sz w:val="20"/>
                <w:lang w:eastAsia="en-NZ"/>
              </w:rPr>
              <w:t>Estimated attendance at WCC-supported and delivered events.</w:t>
            </w:r>
          </w:p>
        </w:tc>
        <w:tc>
          <w:tcPr>
            <w:tcW w:w="1276" w:type="dxa"/>
            <w:tcBorders>
              <w:top w:val="single" w:sz="4" w:space="0" w:color="FF3399"/>
              <w:left w:val="single" w:sz="4" w:space="0" w:color="FF3399"/>
              <w:bottom w:val="single" w:sz="4" w:space="0" w:color="FF3399"/>
              <w:right w:val="single" w:sz="4" w:space="0" w:color="FF3399"/>
            </w:tcBorders>
            <w:shd w:val="clear" w:color="auto" w:fill="auto"/>
            <w:noWrap/>
            <w:hideMark/>
          </w:tcPr>
          <w:p w:rsidR="00FA1738" w:rsidRPr="001244BB" w:rsidRDefault="00FA1738" w:rsidP="0025274D">
            <w:pPr>
              <w:spacing w:after="0" w:line="240" w:lineRule="auto"/>
              <w:jc w:val="right"/>
              <w:rPr>
                <w:rFonts w:eastAsia="Times New Roman" w:cstheme="minorHAnsi"/>
                <w:color w:val="000000"/>
                <w:sz w:val="20"/>
                <w:lang w:eastAsia="en-NZ"/>
              </w:rPr>
            </w:pPr>
            <w:r w:rsidRPr="001244BB">
              <w:rPr>
                <w:rFonts w:eastAsia="Times New Roman" w:cstheme="minorHAnsi"/>
                <w:color w:val="000000"/>
                <w:sz w:val="20"/>
                <w:lang w:eastAsia="en-NZ"/>
              </w:rPr>
              <w:t>657,743</w:t>
            </w:r>
          </w:p>
        </w:tc>
        <w:tc>
          <w:tcPr>
            <w:tcW w:w="1134" w:type="dxa"/>
            <w:tcBorders>
              <w:top w:val="single" w:sz="4" w:space="0" w:color="FF3399"/>
              <w:left w:val="single" w:sz="4" w:space="0" w:color="FF3399"/>
              <w:bottom w:val="single" w:sz="4" w:space="0" w:color="FF3399"/>
              <w:right w:val="single" w:sz="4" w:space="0" w:color="FF3399"/>
            </w:tcBorders>
            <w:shd w:val="clear" w:color="auto" w:fill="auto"/>
            <w:noWrap/>
            <w:hideMark/>
          </w:tcPr>
          <w:p w:rsidR="00FA1738" w:rsidRPr="001244BB" w:rsidRDefault="00FA1738" w:rsidP="0025274D">
            <w:pPr>
              <w:spacing w:after="0" w:line="240" w:lineRule="auto"/>
              <w:jc w:val="right"/>
              <w:rPr>
                <w:rFonts w:eastAsia="Times New Roman" w:cstheme="minorHAnsi"/>
                <w:color w:val="000000"/>
                <w:sz w:val="20"/>
                <w:lang w:eastAsia="en-NZ"/>
              </w:rPr>
            </w:pPr>
            <w:r w:rsidRPr="001244BB">
              <w:rPr>
                <w:rFonts w:eastAsia="Times New Roman" w:cstheme="minorHAnsi"/>
                <w:color w:val="000000"/>
                <w:sz w:val="20"/>
                <w:lang w:eastAsia="en-NZ"/>
              </w:rPr>
              <w:t xml:space="preserve">   733,962 </w:t>
            </w:r>
          </w:p>
        </w:tc>
        <w:tc>
          <w:tcPr>
            <w:tcW w:w="1134" w:type="dxa"/>
            <w:tcBorders>
              <w:top w:val="single" w:sz="4" w:space="0" w:color="FF3399"/>
              <w:left w:val="single" w:sz="4" w:space="0" w:color="FF3399"/>
              <w:bottom w:val="single" w:sz="4" w:space="0" w:color="FF3399"/>
              <w:right w:val="single" w:sz="4" w:space="0" w:color="FF3399"/>
            </w:tcBorders>
            <w:shd w:val="clear" w:color="auto" w:fill="FFFFFF" w:themeFill="background1"/>
            <w:noWrap/>
            <w:hideMark/>
          </w:tcPr>
          <w:p w:rsidR="00FA1738" w:rsidRPr="001244BB" w:rsidRDefault="00FA1738" w:rsidP="0025274D">
            <w:pPr>
              <w:spacing w:after="0" w:line="240" w:lineRule="auto"/>
              <w:jc w:val="right"/>
              <w:rPr>
                <w:rFonts w:eastAsia="Times New Roman" w:cstheme="minorHAnsi"/>
                <w:color w:val="000000"/>
                <w:sz w:val="20"/>
                <w:lang w:eastAsia="en-NZ"/>
              </w:rPr>
            </w:pPr>
            <w:r w:rsidRPr="001244BB">
              <w:rPr>
                <w:rFonts w:eastAsia="Times New Roman" w:cstheme="minorHAnsi"/>
                <w:color w:val="000000"/>
                <w:sz w:val="20"/>
                <w:lang w:eastAsia="en-NZ"/>
              </w:rPr>
              <w:t>619,232</w:t>
            </w:r>
          </w:p>
        </w:tc>
        <w:tc>
          <w:tcPr>
            <w:tcW w:w="1134" w:type="dxa"/>
            <w:tcBorders>
              <w:top w:val="single" w:sz="4" w:space="0" w:color="FF3399"/>
              <w:left w:val="single" w:sz="4" w:space="0" w:color="FF3399"/>
              <w:bottom w:val="single" w:sz="4" w:space="0" w:color="FF3399"/>
              <w:right w:val="single" w:sz="4" w:space="0" w:color="FF3399"/>
            </w:tcBorders>
            <w:shd w:val="clear" w:color="000000" w:fill="D9D9D9"/>
            <w:hideMark/>
          </w:tcPr>
          <w:p w:rsidR="00FA1738" w:rsidRPr="001244BB" w:rsidRDefault="00FA1738" w:rsidP="0025274D">
            <w:pPr>
              <w:spacing w:after="0" w:line="240" w:lineRule="auto"/>
              <w:jc w:val="right"/>
              <w:rPr>
                <w:rFonts w:eastAsia="Times New Roman" w:cstheme="minorHAnsi"/>
                <w:color w:val="000000"/>
                <w:sz w:val="20"/>
                <w:lang w:eastAsia="en-NZ"/>
              </w:rPr>
            </w:pPr>
            <w:r w:rsidRPr="001244BB">
              <w:rPr>
                <w:rFonts w:eastAsia="Times New Roman" w:cstheme="minorHAnsi"/>
                <w:color w:val="000000"/>
                <w:sz w:val="20"/>
                <w:lang w:eastAsia="en-NZ"/>
              </w:rPr>
              <w:t xml:space="preserve">Trend </w:t>
            </w:r>
          </w:p>
        </w:tc>
        <w:tc>
          <w:tcPr>
            <w:tcW w:w="708" w:type="dxa"/>
            <w:tcBorders>
              <w:top w:val="single" w:sz="4" w:space="0" w:color="FF3399"/>
              <w:left w:val="single" w:sz="4" w:space="0" w:color="FF3399"/>
              <w:bottom w:val="single" w:sz="4" w:space="0" w:color="FF3399"/>
              <w:right w:val="single" w:sz="4" w:space="0" w:color="FF3399"/>
            </w:tcBorders>
            <w:shd w:val="clear" w:color="auto" w:fill="auto"/>
            <w:hideMark/>
          </w:tcPr>
          <w:p w:rsidR="00FA1738" w:rsidRPr="001244BB" w:rsidRDefault="00FA1738" w:rsidP="0025274D">
            <w:pPr>
              <w:spacing w:after="0" w:line="240" w:lineRule="auto"/>
              <w:jc w:val="right"/>
              <w:rPr>
                <w:rFonts w:eastAsia="Times New Roman" w:cstheme="minorHAnsi"/>
                <w:color w:val="000000"/>
                <w:sz w:val="20"/>
                <w:lang w:eastAsia="en-NZ"/>
              </w:rPr>
            </w:pPr>
          </w:p>
        </w:tc>
        <w:tc>
          <w:tcPr>
            <w:tcW w:w="1276" w:type="dxa"/>
            <w:tcBorders>
              <w:top w:val="single" w:sz="4" w:space="0" w:color="FF3399"/>
              <w:left w:val="single" w:sz="4" w:space="0" w:color="FF3399"/>
              <w:bottom w:val="single" w:sz="4" w:space="0" w:color="FF3399"/>
              <w:right w:val="single" w:sz="4" w:space="0" w:color="FF3399"/>
            </w:tcBorders>
            <w:shd w:val="clear" w:color="auto" w:fill="auto"/>
          </w:tcPr>
          <w:p w:rsidR="00FA1738" w:rsidRPr="001244BB" w:rsidRDefault="00D35437" w:rsidP="0025274D">
            <w:pPr>
              <w:spacing w:after="0" w:line="240" w:lineRule="auto"/>
              <w:jc w:val="right"/>
              <w:rPr>
                <w:rFonts w:eastAsia="Times New Roman" w:cstheme="minorHAnsi"/>
                <w:color w:val="000000"/>
                <w:sz w:val="20"/>
                <w:lang w:eastAsia="en-NZ"/>
              </w:rPr>
            </w:pPr>
            <w:r>
              <w:rPr>
                <w:rFonts w:eastAsia="Times New Roman" w:cstheme="minorHAnsi"/>
                <w:color w:val="000000"/>
                <w:sz w:val="20"/>
                <w:lang w:eastAsia="en-NZ"/>
              </w:rPr>
              <w:t>Within 10%</w:t>
            </w:r>
          </w:p>
        </w:tc>
        <w:tc>
          <w:tcPr>
            <w:tcW w:w="3827" w:type="dxa"/>
            <w:tcBorders>
              <w:top w:val="single" w:sz="4" w:space="0" w:color="FF3399"/>
              <w:left w:val="single" w:sz="4" w:space="0" w:color="FF3399"/>
              <w:bottom w:val="single" w:sz="4" w:space="0" w:color="FF3399"/>
              <w:right w:val="nil"/>
            </w:tcBorders>
            <w:shd w:val="clear" w:color="auto" w:fill="auto"/>
            <w:hideMark/>
          </w:tcPr>
          <w:p w:rsidR="00FA1738" w:rsidRPr="001244BB" w:rsidRDefault="00FA1738" w:rsidP="0025274D">
            <w:pPr>
              <w:spacing w:after="0" w:line="240" w:lineRule="auto"/>
              <w:rPr>
                <w:rFonts w:eastAsia="Times New Roman" w:cstheme="minorHAnsi"/>
                <w:color w:val="000000"/>
                <w:sz w:val="20"/>
                <w:lang w:eastAsia="en-NZ"/>
              </w:rPr>
            </w:pPr>
            <w:r w:rsidRPr="00A76CEA">
              <w:rPr>
                <w:rFonts w:eastAsia="Times New Roman" w:cstheme="minorHAnsi"/>
                <w:color w:val="000000"/>
                <w:sz w:val="20"/>
                <w:lang w:eastAsia="en-NZ"/>
              </w:rPr>
              <w:t>Previous year includes NZ Festival. While WCC supports these events, we are not responsible for delivering them.</w:t>
            </w:r>
          </w:p>
        </w:tc>
      </w:tr>
      <w:tr w:rsidR="00857FA4" w:rsidRPr="00857FA4" w:rsidTr="00FA1738">
        <w:trPr>
          <w:trHeight w:val="315"/>
        </w:trPr>
        <w:tc>
          <w:tcPr>
            <w:tcW w:w="14175" w:type="dxa"/>
            <w:gridSpan w:val="8"/>
            <w:tcBorders>
              <w:top w:val="single" w:sz="4" w:space="0" w:color="FF3399"/>
              <w:left w:val="nil"/>
              <w:bottom w:val="single" w:sz="4" w:space="0" w:color="FF3399"/>
              <w:right w:val="nil"/>
            </w:tcBorders>
            <w:shd w:val="clear" w:color="auto" w:fill="FFC9E4"/>
            <w:hideMark/>
          </w:tcPr>
          <w:p w:rsidR="00FA1738" w:rsidRPr="00857FA4" w:rsidRDefault="00FA1738" w:rsidP="0025274D">
            <w:pPr>
              <w:spacing w:after="0" w:line="240" w:lineRule="auto"/>
              <w:rPr>
                <w:rFonts w:eastAsia="Times New Roman" w:cstheme="minorHAnsi"/>
                <w:b/>
                <w:sz w:val="20"/>
                <w:lang w:eastAsia="en-NZ"/>
              </w:rPr>
            </w:pPr>
            <w:r w:rsidRPr="00857FA4">
              <w:rPr>
                <w:rFonts w:eastAsia="Times New Roman" w:cstheme="minorHAnsi"/>
                <w:b/>
                <w:lang w:eastAsia="en-NZ"/>
              </w:rPr>
              <w:t>Arts and cultural sector support </w:t>
            </w:r>
          </w:p>
        </w:tc>
      </w:tr>
      <w:tr w:rsidR="00857FA4" w:rsidRPr="00857FA4" w:rsidTr="00FA1738">
        <w:trPr>
          <w:trHeight w:val="499"/>
        </w:trPr>
        <w:tc>
          <w:tcPr>
            <w:tcW w:w="3686" w:type="dxa"/>
            <w:tcBorders>
              <w:top w:val="single" w:sz="4" w:space="0" w:color="FF3399"/>
              <w:left w:val="nil"/>
              <w:bottom w:val="single" w:sz="4" w:space="0" w:color="FF3399"/>
              <w:right w:val="single" w:sz="4" w:space="0" w:color="FF3399"/>
            </w:tcBorders>
            <w:shd w:val="clear" w:color="auto" w:fill="auto"/>
            <w:hideMark/>
          </w:tcPr>
          <w:p w:rsidR="00D35437" w:rsidRPr="00857FA4" w:rsidRDefault="00D35437" w:rsidP="0025274D">
            <w:pPr>
              <w:spacing w:after="0" w:line="240" w:lineRule="auto"/>
              <w:rPr>
                <w:rFonts w:eastAsia="Times New Roman" w:cstheme="minorHAnsi"/>
                <w:sz w:val="20"/>
                <w:lang w:eastAsia="en-NZ"/>
              </w:rPr>
            </w:pPr>
            <w:r w:rsidRPr="00857FA4">
              <w:rPr>
                <w:rFonts w:eastAsia="Times New Roman" w:cstheme="minorHAnsi"/>
                <w:sz w:val="20"/>
                <w:lang w:eastAsia="en-NZ"/>
              </w:rPr>
              <w:t>Users (%) satisfied with Toi Pōneke facilities and services</w:t>
            </w:r>
          </w:p>
        </w:tc>
        <w:tc>
          <w:tcPr>
            <w:tcW w:w="1276" w:type="dxa"/>
            <w:tcBorders>
              <w:top w:val="single" w:sz="4" w:space="0" w:color="FF3399"/>
              <w:left w:val="single" w:sz="4" w:space="0" w:color="FF3399"/>
              <w:bottom w:val="single" w:sz="4" w:space="0" w:color="FF3399"/>
              <w:right w:val="single" w:sz="4" w:space="0" w:color="FF3399"/>
            </w:tcBorders>
            <w:shd w:val="clear" w:color="auto" w:fill="auto"/>
            <w:noWrap/>
            <w:hideMark/>
          </w:tcPr>
          <w:p w:rsidR="00D35437" w:rsidRPr="00857FA4" w:rsidRDefault="00D35437" w:rsidP="0025274D">
            <w:pPr>
              <w:spacing w:after="0" w:line="240" w:lineRule="auto"/>
              <w:jc w:val="right"/>
              <w:rPr>
                <w:rFonts w:eastAsia="Times New Roman" w:cstheme="minorHAnsi"/>
                <w:sz w:val="20"/>
                <w:lang w:eastAsia="en-NZ"/>
              </w:rPr>
            </w:pPr>
            <w:r w:rsidRPr="00857FA4">
              <w:rPr>
                <w:rFonts w:eastAsia="Times New Roman" w:cstheme="minorHAnsi"/>
                <w:sz w:val="20"/>
                <w:lang w:eastAsia="en-NZ"/>
              </w:rPr>
              <w:t>90%</w:t>
            </w:r>
          </w:p>
        </w:tc>
        <w:tc>
          <w:tcPr>
            <w:tcW w:w="1134" w:type="dxa"/>
            <w:tcBorders>
              <w:top w:val="single" w:sz="4" w:space="0" w:color="FF3399"/>
              <w:left w:val="single" w:sz="4" w:space="0" w:color="FF3399"/>
              <w:bottom w:val="single" w:sz="4" w:space="0" w:color="FF3399"/>
              <w:right w:val="single" w:sz="4" w:space="0" w:color="FF3399"/>
            </w:tcBorders>
            <w:shd w:val="clear" w:color="auto" w:fill="FFFFFF" w:themeFill="background1"/>
            <w:noWrap/>
            <w:hideMark/>
          </w:tcPr>
          <w:p w:rsidR="00D35437" w:rsidRPr="00857FA4" w:rsidRDefault="00D35437" w:rsidP="0025274D">
            <w:pPr>
              <w:spacing w:after="0" w:line="240" w:lineRule="auto"/>
              <w:jc w:val="right"/>
              <w:rPr>
                <w:rFonts w:eastAsia="Times New Roman" w:cstheme="minorHAnsi"/>
                <w:sz w:val="20"/>
                <w:lang w:eastAsia="en-NZ"/>
              </w:rPr>
            </w:pPr>
            <w:r w:rsidRPr="00857FA4">
              <w:rPr>
                <w:rFonts w:eastAsia="Times New Roman" w:cstheme="minorHAnsi"/>
                <w:sz w:val="20"/>
                <w:lang w:eastAsia="en-NZ"/>
              </w:rPr>
              <w:t>89%</w:t>
            </w:r>
          </w:p>
        </w:tc>
        <w:tc>
          <w:tcPr>
            <w:tcW w:w="1134" w:type="dxa"/>
            <w:tcBorders>
              <w:top w:val="single" w:sz="4" w:space="0" w:color="FF3399"/>
              <w:left w:val="single" w:sz="4" w:space="0" w:color="FF3399"/>
              <w:bottom w:val="single" w:sz="4" w:space="0" w:color="FF3399"/>
              <w:right w:val="single" w:sz="4" w:space="0" w:color="FF3399"/>
            </w:tcBorders>
            <w:shd w:val="clear" w:color="auto" w:fill="auto"/>
            <w:noWrap/>
            <w:hideMark/>
          </w:tcPr>
          <w:p w:rsidR="00D35437" w:rsidRPr="00857FA4" w:rsidRDefault="00D35437" w:rsidP="0025274D">
            <w:pPr>
              <w:spacing w:after="0" w:line="240" w:lineRule="auto"/>
              <w:jc w:val="right"/>
              <w:rPr>
                <w:rFonts w:eastAsia="Times New Roman" w:cstheme="minorHAnsi"/>
                <w:sz w:val="20"/>
                <w:lang w:eastAsia="en-NZ"/>
              </w:rPr>
            </w:pPr>
            <w:r w:rsidRPr="00857FA4">
              <w:rPr>
                <w:rFonts w:eastAsia="Times New Roman" w:cstheme="minorHAnsi"/>
                <w:sz w:val="20"/>
                <w:lang w:eastAsia="en-NZ"/>
              </w:rPr>
              <w:t>84%</w:t>
            </w:r>
          </w:p>
        </w:tc>
        <w:tc>
          <w:tcPr>
            <w:tcW w:w="1134" w:type="dxa"/>
            <w:tcBorders>
              <w:top w:val="single" w:sz="4" w:space="0" w:color="FF3399"/>
              <w:left w:val="single" w:sz="4" w:space="0" w:color="FF3399"/>
              <w:bottom w:val="single" w:sz="4" w:space="0" w:color="FF3399"/>
              <w:right w:val="single" w:sz="4" w:space="0" w:color="FF3399"/>
            </w:tcBorders>
            <w:shd w:val="clear" w:color="000000" w:fill="D9D9D9"/>
            <w:hideMark/>
          </w:tcPr>
          <w:p w:rsidR="00D35437" w:rsidRPr="00857FA4" w:rsidRDefault="00D35437" w:rsidP="0025274D">
            <w:pPr>
              <w:spacing w:after="0" w:line="240" w:lineRule="auto"/>
              <w:jc w:val="right"/>
              <w:rPr>
                <w:rFonts w:eastAsia="Times New Roman" w:cstheme="minorHAnsi"/>
                <w:sz w:val="20"/>
                <w:lang w:eastAsia="en-NZ"/>
              </w:rPr>
            </w:pPr>
            <w:r w:rsidRPr="00857FA4">
              <w:rPr>
                <w:rFonts w:eastAsia="Times New Roman" w:cstheme="minorHAnsi"/>
                <w:sz w:val="20"/>
                <w:lang w:eastAsia="en-NZ"/>
              </w:rPr>
              <w:t>90%</w:t>
            </w:r>
          </w:p>
        </w:tc>
        <w:tc>
          <w:tcPr>
            <w:tcW w:w="708" w:type="dxa"/>
            <w:tcBorders>
              <w:top w:val="single" w:sz="4" w:space="0" w:color="FF3399"/>
              <w:left w:val="single" w:sz="4" w:space="0" w:color="FF3399"/>
              <w:bottom w:val="single" w:sz="4" w:space="0" w:color="FF3399"/>
              <w:right w:val="single" w:sz="4" w:space="0" w:color="FF3399"/>
            </w:tcBorders>
            <w:shd w:val="clear" w:color="auto" w:fill="auto"/>
            <w:hideMark/>
          </w:tcPr>
          <w:p w:rsidR="00D35437" w:rsidRPr="00857FA4" w:rsidRDefault="00D35437" w:rsidP="0025274D">
            <w:pPr>
              <w:spacing w:after="0" w:line="240" w:lineRule="auto"/>
              <w:jc w:val="right"/>
              <w:rPr>
                <w:rFonts w:eastAsia="Times New Roman" w:cstheme="minorHAnsi"/>
                <w:sz w:val="20"/>
                <w:lang w:eastAsia="en-NZ"/>
              </w:rPr>
            </w:pPr>
            <w:r w:rsidRPr="00857FA4">
              <w:rPr>
                <w:rFonts w:eastAsia="Times New Roman" w:cstheme="minorHAnsi"/>
                <w:sz w:val="20"/>
                <w:lang w:eastAsia="en-NZ"/>
              </w:rPr>
              <w:t>-7%</w:t>
            </w:r>
          </w:p>
        </w:tc>
        <w:tc>
          <w:tcPr>
            <w:tcW w:w="1276" w:type="dxa"/>
            <w:tcBorders>
              <w:top w:val="single" w:sz="4" w:space="0" w:color="FF3399"/>
              <w:left w:val="single" w:sz="4" w:space="0" w:color="FF3399"/>
              <w:bottom w:val="single" w:sz="4" w:space="0" w:color="FF3399"/>
              <w:right w:val="single" w:sz="4" w:space="0" w:color="FF3399"/>
            </w:tcBorders>
            <w:shd w:val="clear" w:color="auto" w:fill="auto"/>
            <w:hideMark/>
          </w:tcPr>
          <w:p w:rsidR="00D35437" w:rsidRPr="00857FA4" w:rsidRDefault="00D35437">
            <w:r w:rsidRPr="00857FA4">
              <w:rPr>
                <w:rFonts w:eastAsia="Times New Roman" w:cstheme="minorHAnsi"/>
                <w:sz w:val="20"/>
                <w:lang w:eastAsia="en-NZ"/>
              </w:rPr>
              <w:t>Within 10%</w:t>
            </w:r>
          </w:p>
        </w:tc>
        <w:tc>
          <w:tcPr>
            <w:tcW w:w="3827" w:type="dxa"/>
            <w:tcBorders>
              <w:top w:val="single" w:sz="4" w:space="0" w:color="FF3399"/>
              <w:left w:val="single" w:sz="4" w:space="0" w:color="FF3399"/>
              <w:bottom w:val="single" w:sz="4" w:space="0" w:color="FF3399"/>
              <w:right w:val="nil"/>
            </w:tcBorders>
            <w:shd w:val="clear" w:color="auto" w:fill="auto"/>
          </w:tcPr>
          <w:p w:rsidR="00D35437" w:rsidRPr="00857FA4" w:rsidRDefault="00D35437" w:rsidP="0025274D">
            <w:pPr>
              <w:spacing w:after="0" w:line="240" w:lineRule="auto"/>
              <w:rPr>
                <w:rFonts w:eastAsia="Times New Roman" w:cstheme="minorHAnsi"/>
                <w:sz w:val="20"/>
                <w:lang w:eastAsia="en-NZ"/>
              </w:rPr>
            </w:pPr>
          </w:p>
        </w:tc>
      </w:tr>
      <w:tr w:rsidR="00D35437" w:rsidRPr="001244BB" w:rsidTr="00FA1738">
        <w:trPr>
          <w:trHeight w:val="269"/>
        </w:trPr>
        <w:tc>
          <w:tcPr>
            <w:tcW w:w="3686" w:type="dxa"/>
            <w:tcBorders>
              <w:top w:val="single" w:sz="4" w:space="0" w:color="FF3399"/>
              <w:left w:val="nil"/>
              <w:bottom w:val="single" w:sz="4" w:space="0" w:color="FF3399"/>
              <w:right w:val="single" w:sz="4" w:space="0" w:color="FF3399"/>
            </w:tcBorders>
            <w:shd w:val="clear" w:color="auto" w:fill="auto"/>
            <w:hideMark/>
          </w:tcPr>
          <w:p w:rsidR="00D35437" w:rsidRPr="001244BB" w:rsidRDefault="00D35437" w:rsidP="0025274D">
            <w:pPr>
              <w:spacing w:after="0" w:line="240" w:lineRule="auto"/>
              <w:rPr>
                <w:rFonts w:eastAsia="Times New Roman" w:cstheme="minorHAnsi"/>
                <w:color w:val="000000"/>
                <w:sz w:val="20"/>
                <w:lang w:eastAsia="en-NZ"/>
              </w:rPr>
            </w:pPr>
            <w:r w:rsidRPr="001244BB">
              <w:rPr>
                <w:rFonts w:eastAsia="Times New Roman" w:cstheme="minorHAnsi"/>
                <w:color w:val="000000"/>
                <w:sz w:val="20"/>
                <w:lang w:eastAsia="en-NZ"/>
              </w:rPr>
              <w:t>Users (%) satisfied with Toi Pōneke staff</w:t>
            </w:r>
          </w:p>
        </w:tc>
        <w:tc>
          <w:tcPr>
            <w:tcW w:w="1276" w:type="dxa"/>
            <w:tcBorders>
              <w:top w:val="single" w:sz="4" w:space="0" w:color="FF3399"/>
              <w:left w:val="single" w:sz="4" w:space="0" w:color="FF3399"/>
              <w:bottom w:val="single" w:sz="4" w:space="0" w:color="FF3399"/>
              <w:right w:val="single" w:sz="4" w:space="0" w:color="FF3399"/>
            </w:tcBorders>
            <w:shd w:val="clear" w:color="auto" w:fill="auto"/>
            <w:noWrap/>
            <w:hideMark/>
          </w:tcPr>
          <w:p w:rsidR="00D35437" w:rsidRPr="001244BB" w:rsidRDefault="00D35437" w:rsidP="0025274D">
            <w:pPr>
              <w:spacing w:after="0" w:line="240" w:lineRule="auto"/>
              <w:jc w:val="right"/>
              <w:rPr>
                <w:rFonts w:eastAsia="Times New Roman" w:cstheme="minorHAnsi"/>
                <w:color w:val="000000"/>
                <w:sz w:val="20"/>
                <w:lang w:eastAsia="en-NZ"/>
              </w:rPr>
            </w:pPr>
            <w:r>
              <w:rPr>
                <w:rFonts w:eastAsia="Times New Roman" w:cstheme="minorHAnsi"/>
                <w:color w:val="000000"/>
                <w:sz w:val="20"/>
                <w:lang w:eastAsia="en-NZ"/>
              </w:rPr>
              <w:t>89%</w:t>
            </w:r>
          </w:p>
        </w:tc>
        <w:tc>
          <w:tcPr>
            <w:tcW w:w="1134" w:type="dxa"/>
            <w:tcBorders>
              <w:top w:val="single" w:sz="4" w:space="0" w:color="FF3399"/>
              <w:left w:val="single" w:sz="4" w:space="0" w:color="FF3399"/>
              <w:bottom w:val="single" w:sz="4" w:space="0" w:color="FF3399"/>
              <w:right w:val="single" w:sz="4" w:space="0" w:color="FF3399"/>
            </w:tcBorders>
            <w:shd w:val="clear" w:color="auto" w:fill="FFFFFF" w:themeFill="background1"/>
            <w:noWrap/>
            <w:hideMark/>
          </w:tcPr>
          <w:p w:rsidR="00D35437" w:rsidRPr="001244BB" w:rsidRDefault="00D35437" w:rsidP="0025274D">
            <w:pPr>
              <w:spacing w:after="0" w:line="240" w:lineRule="auto"/>
              <w:jc w:val="right"/>
              <w:rPr>
                <w:rFonts w:eastAsia="Times New Roman" w:cstheme="minorHAnsi"/>
                <w:color w:val="000000"/>
                <w:sz w:val="20"/>
                <w:lang w:eastAsia="en-NZ"/>
              </w:rPr>
            </w:pPr>
            <w:r>
              <w:rPr>
                <w:rFonts w:eastAsia="Times New Roman" w:cstheme="minorHAnsi"/>
                <w:color w:val="000000"/>
                <w:sz w:val="20"/>
                <w:lang w:eastAsia="en-NZ"/>
              </w:rPr>
              <w:t>98%</w:t>
            </w:r>
          </w:p>
        </w:tc>
        <w:tc>
          <w:tcPr>
            <w:tcW w:w="1134" w:type="dxa"/>
            <w:tcBorders>
              <w:top w:val="single" w:sz="4" w:space="0" w:color="FF3399"/>
              <w:left w:val="single" w:sz="4" w:space="0" w:color="FF3399"/>
              <w:bottom w:val="single" w:sz="4" w:space="0" w:color="FF3399"/>
              <w:right w:val="single" w:sz="4" w:space="0" w:color="FF3399"/>
            </w:tcBorders>
            <w:shd w:val="clear" w:color="auto" w:fill="auto"/>
            <w:noWrap/>
            <w:hideMark/>
          </w:tcPr>
          <w:p w:rsidR="00D35437" w:rsidRPr="001244BB" w:rsidRDefault="00D35437" w:rsidP="0025274D">
            <w:pPr>
              <w:spacing w:after="0" w:line="240" w:lineRule="auto"/>
              <w:jc w:val="right"/>
              <w:rPr>
                <w:rFonts w:eastAsia="Times New Roman" w:cstheme="minorHAnsi"/>
                <w:color w:val="000000"/>
                <w:sz w:val="20"/>
                <w:lang w:eastAsia="en-NZ"/>
              </w:rPr>
            </w:pPr>
            <w:r>
              <w:rPr>
                <w:rFonts w:eastAsia="Times New Roman" w:cstheme="minorHAnsi"/>
                <w:color w:val="000000"/>
                <w:sz w:val="20"/>
                <w:lang w:eastAsia="en-NZ"/>
              </w:rPr>
              <w:t>88</w:t>
            </w:r>
            <w:r w:rsidRPr="001244BB">
              <w:rPr>
                <w:rFonts w:eastAsia="Times New Roman" w:cstheme="minorHAnsi"/>
                <w:color w:val="000000"/>
                <w:sz w:val="20"/>
                <w:lang w:eastAsia="en-NZ"/>
              </w:rPr>
              <w:t>%</w:t>
            </w:r>
          </w:p>
        </w:tc>
        <w:tc>
          <w:tcPr>
            <w:tcW w:w="1134" w:type="dxa"/>
            <w:tcBorders>
              <w:top w:val="single" w:sz="4" w:space="0" w:color="FF3399"/>
              <w:left w:val="single" w:sz="4" w:space="0" w:color="FF3399"/>
              <w:bottom w:val="single" w:sz="4" w:space="0" w:color="FF3399"/>
              <w:right w:val="single" w:sz="4" w:space="0" w:color="FF3399"/>
            </w:tcBorders>
            <w:shd w:val="clear" w:color="000000" w:fill="D9D9D9"/>
            <w:hideMark/>
          </w:tcPr>
          <w:p w:rsidR="00D35437" w:rsidRPr="001244BB" w:rsidRDefault="00D35437" w:rsidP="0025274D">
            <w:pPr>
              <w:spacing w:after="0" w:line="240" w:lineRule="auto"/>
              <w:jc w:val="right"/>
              <w:rPr>
                <w:rFonts w:eastAsia="Times New Roman" w:cstheme="minorHAnsi"/>
                <w:color w:val="000000"/>
                <w:sz w:val="20"/>
                <w:lang w:eastAsia="en-NZ"/>
              </w:rPr>
            </w:pPr>
            <w:r w:rsidRPr="001244BB">
              <w:rPr>
                <w:rFonts w:eastAsia="Times New Roman" w:cstheme="minorHAnsi"/>
                <w:color w:val="000000"/>
                <w:sz w:val="20"/>
                <w:lang w:eastAsia="en-NZ"/>
              </w:rPr>
              <w:t>90% </w:t>
            </w:r>
          </w:p>
        </w:tc>
        <w:tc>
          <w:tcPr>
            <w:tcW w:w="708" w:type="dxa"/>
            <w:tcBorders>
              <w:top w:val="single" w:sz="4" w:space="0" w:color="FF3399"/>
              <w:left w:val="single" w:sz="4" w:space="0" w:color="FF3399"/>
              <w:bottom w:val="single" w:sz="4" w:space="0" w:color="FF3399"/>
              <w:right w:val="single" w:sz="4" w:space="0" w:color="FF3399"/>
            </w:tcBorders>
            <w:shd w:val="clear" w:color="auto" w:fill="auto"/>
            <w:hideMark/>
          </w:tcPr>
          <w:p w:rsidR="00D35437" w:rsidRPr="001244BB" w:rsidRDefault="00D35437" w:rsidP="0025274D">
            <w:pPr>
              <w:spacing w:after="0" w:line="240" w:lineRule="auto"/>
              <w:jc w:val="right"/>
              <w:rPr>
                <w:rFonts w:eastAsia="Times New Roman" w:cstheme="minorHAnsi"/>
                <w:color w:val="000000"/>
                <w:sz w:val="20"/>
                <w:lang w:eastAsia="en-NZ"/>
              </w:rPr>
            </w:pPr>
            <w:r>
              <w:rPr>
                <w:rFonts w:eastAsia="Times New Roman" w:cstheme="minorHAnsi"/>
                <w:color w:val="000000"/>
                <w:sz w:val="20"/>
                <w:lang w:eastAsia="en-NZ"/>
              </w:rPr>
              <w:t>-2</w:t>
            </w:r>
            <w:r w:rsidRPr="001244BB">
              <w:rPr>
                <w:rFonts w:eastAsia="Times New Roman" w:cstheme="minorHAnsi"/>
                <w:color w:val="000000"/>
                <w:sz w:val="20"/>
                <w:lang w:eastAsia="en-NZ"/>
              </w:rPr>
              <w:t>%</w:t>
            </w:r>
          </w:p>
        </w:tc>
        <w:tc>
          <w:tcPr>
            <w:tcW w:w="1276" w:type="dxa"/>
            <w:tcBorders>
              <w:top w:val="single" w:sz="4" w:space="0" w:color="FF3399"/>
              <w:left w:val="single" w:sz="4" w:space="0" w:color="FF3399"/>
              <w:bottom w:val="single" w:sz="4" w:space="0" w:color="FF3399"/>
              <w:right w:val="single" w:sz="4" w:space="0" w:color="FF3399"/>
            </w:tcBorders>
            <w:shd w:val="clear" w:color="auto" w:fill="auto"/>
            <w:hideMark/>
          </w:tcPr>
          <w:p w:rsidR="00D35437" w:rsidRDefault="00D35437">
            <w:r w:rsidRPr="004C2E1A">
              <w:rPr>
                <w:rFonts w:eastAsia="Times New Roman" w:cstheme="minorHAnsi"/>
                <w:color w:val="000000"/>
                <w:sz w:val="20"/>
                <w:lang w:eastAsia="en-NZ"/>
              </w:rPr>
              <w:t>Within 10%</w:t>
            </w:r>
          </w:p>
        </w:tc>
        <w:tc>
          <w:tcPr>
            <w:tcW w:w="3827" w:type="dxa"/>
            <w:tcBorders>
              <w:top w:val="single" w:sz="4" w:space="0" w:color="FF3399"/>
              <w:left w:val="single" w:sz="4" w:space="0" w:color="FF3399"/>
              <w:bottom w:val="single" w:sz="4" w:space="0" w:color="FF3399"/>
              <w:right w:val="nil"/>
            </w:tcBorders>
            <w:shd w:val="clear" w:color="auto" w:fill="auto"/>
          </w:tcPr>
          <w:p w:rsidR="00D35437" w:rsidRPr="001244BB" w:rsidRDefault="00D35437" w:rsidP="0025274D">
            <w:pPr>
              <w:spacing w:after="0" w:line="240" w:lineRule="auto"/>
              <w:rPr>
                <w:rFonts w:eastAsia="Times New Roman" w:cstheme="minorHAnsi"/>
                <w:color w:val="000000"/>
                <w:sz w:val="20"/>
                <w:lang w:eastAsia="en-NZ"/>
              </w:rPr>
            </w:pPr>
          </w:p>
        </w:tc>
      </w:tr>
      <w:tr w:rsidR="00857FA4" w:rsidRPr="00857FA4" w:rsidTr="00FA1738">
        <w:trPr>
          <w:trHeight w:val="315"/>
        </w:trPr>
        <w:tc>
          <w:tcPr>
            <w:tcW w:w="14175" w:type="dxa"/>
            <w:gridSpan w:val="8"/>
            <w:tcBorders>
              <w:top w:val="single" w:sz="4" w:space="0" w:color="FF3399"/>
              <w:left w:val="nil"/>
              <w:bottom w:val="single" w:sz="4" w:space="0" w:color="FF3399"/>
              <w:right w:val="nil"/>
            </w:tcBorders>
            <w:shd w:val="clear" w:color="auto" w:fill="FFC9E4"/>
            <w:hideMark/>
          </w:tcPr>
          <w:p w:rsidR="00FA1738" w:rsidRPr="00857FA4" w:rsidRDefault="00FA1738" w:rsidP="0025274D">
            <w:pPr>
              <w:spacing w:after="0" w:line="240" w:lineRule="auto"/>
              <w:rPr>
                <w:rFonts w:eastAsia="Times New Roman" w:cstheme="minorHAnsi"/>
                <w:b/>
                <w:lang w:eastAsia="en-NZ"/>
              </w:rPr>
            </w:pPr>
            <w:r w:rsidRPr="00857FA4">
              <w:rPr>
                <w:rFonts w:eastAsia="Times New Roman" w:cstheme="minorHAnsi"/>
                <w:b/>
                <w:lang w:eastAsia="en-NZ"/>
              </w:rPr>
              <w:t>Funding Success </w:t>
            </w:r>
          </w:p>
        </w:tc>
      </w:tr>
      <w:tr w:rsidR="00FA1738" w:rsidRPr="001244BB" w:rsidTr="00FA1738">
        <w:trPr>
          <w:trHeight w:val="525"/>
        </w:trPr>
        <w:tc>
          <w:tcPr>
            <w:tcW w:w="3686" w:type="dxa"/>
            <w:tcBorders>
              <w:top w:val="single" w:sz="4" w:space="0" w:color="FF3399"/>
              <w:left w:val="nil"/>
              <w:bottom w:val="single" w:sz="4" w:space="0" w:color="FF3399"/>
              <w:right w:val="single" w:sz="4" w:space="0" w:color="FF3399"/>
            </w:tcBorders>
            <w:shd w:val="clear" w:color="auto" w:fill="auto"/>
            <w:hideMark/>
          </w:tcPr>
          <w:p w:rsidR="00FA1738" w:rsidRPr="001244BB" w:rsidRDefault="00FA1738" w:rsidP="0025274D">
            <w:pPr>
              <w:spacing w:after="0" w:line="240" w:lineRule="auto"/>
              <w:rPr>
                <w:rFonts w:eastAsia="Times New Roman" w:cstheme="minorHAnsi"/>
                <w:color w:val="000000"/>
                <w:sz w:val="20"/>
                <w:lang w:eastAsia="en-NZ"/>
              </w:rPr>
            </w:pPr>
            <w:r w:rsidRPr="001244BB">
              <w:rPr>
                <w:rFonts w:eastAsia="Times New Roman" w:cstheme="minorHAnsi"/>
                <w:color w:val="000000"/>
                <w:sz w:val="20"/>
                <w:lang w:eastAsia="en-NZ"/>
              </w:rPr>
              <w:t>Grant outcomes (%) achieved (through funded outcomes – four out of five - being met) - Arts and Culture Fund</w:t>
            </w:r>
          </w:p>
        </w:tc>
        <w:tc>
          <w:tcPr>
            <w:tcW w:w="1276" w:type="dxa"/>
            <w:tcBorders>
              <w:top w:val="single" w:sz="4" w:space="0" w:color="FF3399"/>
              <w:left w:val="single" w:sz="4" w:space="0" w:color="FF3399"/>
              <w:bottom w:val="single" w:sz="4" w:space="0" w:color="FF3399"/>
              <w:right w:val="single" w:sz="4" w:space="0" w:color="FF3399"/>
            </w:tcBorders>
            <w:shd w:val="clear" w:color="auto" w:fill="auto"/>
          </w:tcPr>
          <w:p w:rsidR="00FA1738" w:rsidRPr="001244BB" w:rsidRDefault="00FA1738" w:rsidP="0025274D">
            <w:pPr>
              <w:spacing w:after="0" w:line="240" w:lineRule="auto"/>
              <w:jc w:val="right"/>
              <w:rPr>
                <w:rFonts w:eastAsia="Times New Roman" w:cstheme="minorHAnsi"/>
                <w:color w:val="000000"/>
                <w:sz w:val="20"/>
                <w:lang w:eastAsia="en-NZ"/>
              </w:rPr>
            </w:pPr>
            <w:r w:rsidRPr="001244BB">
              <w:rPr>
                <w:rFonts w:eastAsia="Times New Roman" w:cstheme="minorHAnsi"/>
                <w:color w:val="000000"/>
                <w:sz w:val="20"/>
                <w:lang w:eastAsia="en-NZ"/>
              </w:rPr>
              <w:t>75%</w:t>
            </w:r>
          </w:p>
        </w:tc>
        <w:tc>
          <w:tcPr>
            <w:tcW w:w="1134" w:type="dxa"/>
            <w:tcBorders>
              <w:top w:val="single" w:sz="4" w:space="0" w:color="FF3399"/>
              <w:left w:val="single" w:sz="4" w:space="0" w:color="FF3399"/>
              <w:bottom w:val="single" w:sz="4" w:space="0" w:color="FF3399"/>
              <w:right w:val="single" w:sz="4" w:space="0" w:color="FF3399"/>
            </w:tcBorders>
            <w:shd w:val="clear" w:color="auto" w:fill="auto"/>
          </w:tcPr>
          <w:p w:rsidR="00FA1738" w:rsidRPr="001244BB" w:rsidRDefault="00FA1738" w:rsidP="0025274D">
            <w:pPr>
              <w:spacing w:after="0" w:line="240" w:lineRule="auto"/>
              <w:jc w:val="right"/>
              <w:rPr>
                <w:rFonts w:eastAsia="Times New Roman" w:cstheme="minorHAnsi"/>
                <w:color w:val="000000"/>
                <w:sz w:val="20"/>
                <w:lang w:eastAsia="en-NZ"/>
              </w:rPr>
            </w:pPr>
            <w:r w:rsidRPr="001244BB">
              <w:rPr>
                <w:rFonts w:eastAsia="Times New Roman" w:cstheme="minorHAnsi"/>
                <w:color w:val="000000"/>
                <w:sz w:val="20"/>
                <w:lang w:eastAsia="en-NZ"/>
              </w:rPr>
              <w:t>93%</w:t>
            </w:r>
          </w:p>
        </w:tc>
        <w:tc>
          <w:tcPr>
            <w:tcW w:w="1134" w:type="dxa"/>
            <w:tcBorders>
              <w:top w:val="single" w:sz="4" w:space="0" w:color="FF3399"/>
              <w:left w:val="single" w:sz="4" w:space="0" w:color="FF3399"/>
              <w:bottom w:val="single" w:sz="4" w:space="0" w:color="FF3399"/>
              <w:right w:val="single" w:sz="4" w:space="0" w:color="FF3399"/>
            </w:tcBorders>
            <w:shd w:val="clear" w:color="auto" w:fill="FFFFFF" w:themeFill="background1"/>
            <w:noWrap/>
            <w:hideMark/>
          </w:tcPr>
          <w:p w:rsidR="00FA1738" w:rsidRPr="001244BB" w:rsidRDefault="00FA1738" w:rsidP="0025274D">
            <w:pPr>
              <w:spacing w:after="0" w:line="240" w:lineRule="auto"/>
              <w:jc w:val="right"/>
              <w:rPr>
                <w:rFonts w:eastAsia="Times New Roman" w:cstheme="minorHAnsi"/>
                <w:color w:val="000000"/>
                <w:sz w:val="20"/>
                <w:lang w:eastAsia="en-NZ"/>
              </w:rPr>
            </w:pPr>
            <w:r w:rsidRPr="001244BB">
              <w:rPr>
                <w:rFonts w:eastAsia="Times New Roman" w:cstheme="minorHAnsi"/>
                <w:color w:val="000000"/>
                <w:sz w:val="20"/>
                <w:lang w:eastAsia="en-NZ"/>
              </w:rPr>
              <w:t>92%</w:t>
            </w:r>
          </w:p>
        </w:tc>
        <w:tc>
          <w:tcPr>
            <w:tcW w:w="1134" w:type="dxa"/>
            <w:tcBorders>
              <w:top w:val="single" w:sz="4" w:space="0" w:color="FF3399"/>
              <w:left w:val="single" w:sz="4" w:space="0" w:color="FF3399"/>
              <w:bottom w:val="single" w:sz="4" w:space="0" w:color="FF3399"/>
              <w:right w:val="single" w:sz="4" w:space="0" w:color="FF3399"/>
            </w:tcBorders>
            <w:shd w:val="clear" w:color="000000" w:fill="D9D9D9"/>
            <w:hideMark/>
          </w:tcPr>
          <w:p w:rsidR="00FA1738" w:rsidRPr="001244BB" w:rsidRDefault="00FA1738" w:rsidP="0025274D">
            <w:pPr>
              <w:spacing w:after="0" w:line="240" w:lineRule="auto"/>
              <w:jc w:val="right"/>
              <w:rPr>
                <w:rFonts w:eastAsia="Times New Roman" w:cstheme="minorHAnsi"/>
                <w:color w:val="000000"/>
                <w:sz w:val="20"/>
                <w:lang w:eastAsia="en-NZ"/>
              </w:rPr>
            </w:pPr>
            <w:r w:rsidRPr="001244BB">
              <w:rPr>
                <w:rFonts w:eastAsia="Times New Roman" w:cstheme="minorHAnsi"/>
                <w:color w:val="000000"/>
                <w:sz w:val="20"/>
                <w:lang w:eastAsia="en-NZ"/>
              </w:rPr>
              <w:t>80%</w:t>
            </w:r>
          </w:p>
        </w:tc>
        <w:tc>
          <w:tcPr>
            <w:tcW w:w="708" w:type="dxa"/>
            <w:tcBorders>
              <w:top w:val="single" w:sz="4" w:space="0" w:color="FF3399"/>
              <w:left w:val="single" w:sz="4" w:space="0" w:color="FF3399"/>
              <w:bottom w:val="single" w:sz="4" w:space="0" w:color="FF3399"/>
              <w:right w:val="single" w:sz="4" w:space="0" w:color="FF3399"/>
            </w:tcBorders>
            <w:shd w:val="clear" w:color="auto" w:fill="auto"/>
            <w:hideMark/>
          </w:tcPr>
          <w:p w:rsidR="00FA1738" w:rsidRPr="001244BB" w:rsidRDefault="00FA1738" w:rsidP="0025274D">
            <w:pPr>
              <w:spacing w:after="0" w:line="240" w:lineRule="auto"/>
              <w:jc w:val="right"/>
              <w:rPr>
                <w:rFonts w:eastAsia="Times New Roman" w:cstheme="minorHAnsi"/>
                <w:color w:val="000000"/>
                <w:sz w:val="20"/>
                <w:lang w:eastAsia="en-NZ"/>
              </w:rPr>
            </w:pPr>
            <w:r w:rsidRPr="001244BB">
              <w:rPr>
                <w:rFonts w:eastAsia="Times New Roman" w:cstheme="minorHAnsi"/>
                <w:color w:val="000000"/>
                <w:sz w:val="20"/>
                <w:lang w:eastAsia="en-NZ"/>
              </w:rPr>
              <w:t>15%</w:t>
            </w:r>
          </w:p>
        </w:tc>
        <w:tc>
          <w:tcPr>
            <w:tcW w:w="1276" w:type="dxa"/>
            <w:tcBorders>
              <w:top w:val="single" w:sz="4" w:space="0" w:color="FF3399"/>
              <w:left w:val="single" w:sz="4" w:space="0" w:color="FF3399"/>
              <w:bottom w:val="single" w:sz="4" w:space="0" w:color="FF3399"/>
              <w:right w:val="single" w:sz="4" w:space="0" w:color="FF3399"/>
            </w:tcBorders>
            <w:shd w:val="clear" w:color="auto" w:fill="auto"/>
            <w:hideMark/>
          </w:tcPr>
          <w:p w:rsidR="00FA1738" w:rsidRPr="001244BB" w:rsidRDefault="00FA1738" w:rsidP="0025274D">
            <w:pPr>
              <w:spacing w:after="0" w:line="240" w:lineRule="auto"/>
              <w:jc w:val="right"/>
              <w:rPr>
                <w:rFonts w:eastAsia="Times New Roman" w:cstheme="minorHAnsi"/>
                <w:color w:val="000000"/>
                <w:sz w:val="20"/>
                <w:lang w:eastAsia="en-NZ"/>
              </w:rPr>
            </w:pPr>
            <w:r w:rsidRPr="001244BB">
              <w:rPr>
                <w:rFonts w:eastAsia="Times New Roman" w:cstheme="minorHAnsi"/>
                <w:color w:val="000000"/>
                <w:sz w:val="20"/>
                <w:lang w:eastAsia="en-NZ"/>
              </w:rPr>
              <w:t>exceeded</w:t>
            </w:r>
          </w:p>
        </w:tc>
        <w:tc>
          <w:tcPr>
            <w:tcW w:w="3827" w:type="dxa"/>
            <w:tcBorders>
              <w:top w:val="single" w:sz="4" w:space="0" w:color="FF3399"/>
              <w:left w:val="single" w:sz="4" w:space="0" w:color="FF3399"/>
              <w:bottom w:val="single" w:sz="4" w:space="0" w:color="FF3399"/>
              <w:right w:val="nil"/>
            </w:tcBorders>
            <w:shd w:val="clear" w:color="auto" w:fill="auto"/>
            <w:hideMark/>
          </w:tcPr>
          <w:p w:rsidR="00FA1738" w:rsidRPr="001244BB" w:rsidRDefault="00FA1738" w:rsidP="0036301C">
            <w:pPr>
              <w:spacing w:after="0" w:line="240" w:lineRule="auto"/>
              <w:rPr>
                <w:rFonts w:eastAsia="Times New Roman" w:cstheme="minorHAnsi"/>
                <w:color w:val="000000"/>
                <w:sz w:val="20"/>
                <w:lang w:eastAsia="en-NZ"/>
              </w:rPr>
            </w:pPr>
            <w:r w:rsidRPr="001244BB">
              <w:rPr>
                <w:rFonts w:eastAsia="Times New Roman" w:cstheme="minorHAnsi"/>
                <w:color w:val="000000"/>
                <w:sz w:val="20"/>
                <w:lang w:eastAsia="en-NZ"/>
              </w:rPr>
              <w:t>This reflects on how successful the projects are based on reporting against outcomes</w:t>
            </w:r>
            <w:r w:rsidR="0036301C">
              <w:rPr>
                <w:rFonts w:eastAsia="Times New Roman" w:cstheme="minorHAnsi"/>
                <w:color w:val="000000"/>
                <w:sz w:val="20"/>
                <w:lang w:eastAsia="en-NZ"/>
              </w:rPr>
              <w:t xml:space="preserve">, </w:t>
            </w:r>
            <w:r w:rsidRPr="001244BB">
              <w:rPr>
                <w:rFonts w:eastAsia="Times New Roman" w:cstheme="minorHAnsi"/>
                <w:color w:val="000000"/>
                <w:sz w:val="20"/>
                <w:lang w:eastAsia="en-NZ"/>
              </w:rPr>
              <w:t>which form part of funding agreements</w:t>
            </w:r>
            <w:r w:rsidR="0036301C">
              <w:rPr>
                <w:rFonts w:eastAsia="Times New Roman" w:cstheme="minorHAnsi"/>
                <w:color w:val="000000"/>
                <w:sz w:val="20"/>
                <w:lang w:eastAsia="en-NZ"/>
              </w:rPr>
              <w:t>. T</w:t>
            </w:r>
            <w:r w:rsidRPr="001244BB">
              <w:rPr>
                <w:rFonts w:eastAsia="Times New Roman" w:cstheme="minorHAnsi"/>
                <w:color w:val="000000"/>
                <w:sz w:val="20"/>
                <w:lang w:eastAsia="en-NZ"/>
              </w:rPr>
              <w:t xml:space="preserve">hese are moderated by </w:t>
            </w:r>
            <w:r w:rsidR="0036301C">
              <w:rPr>
                <w:rFonts w:eastAsia="Times New Roman" w:cstheme="minorHAnsi"/>
                <w:color w:val="000000"/>
                <w:sz w:val="20"/>
                <w:lang w:eastAsia="en-NZ"/>
              </w:rPr>
              <w:t>Council o</w:t>
            </w:r>
            <w:r w:rsidR="0036301C" w:rsidRPr="001244BB">
              <w:rPr>
                <w:rFonts w:eastAsia="Times New Roman" w:cstheme="minorHAnsi"/>
                <w:color w:val="000000"/>
                <w:sz w:val="20"/>
                <w:lang w:eastAsia="en-NZ"/>
              </w:rPr>
              <w:t xml:space="preserve">fficers </w:t>
            </w:r>
            <w:r w:rsidRPr="001244BB">
              <w:rPr>
                <w:rFonts w:eastAsia="Times New Roman" w:cstheme="minorHAnsi"/>
                <w:color w:val="000000"/>
                <w:sz w:val="20"/>
                <w:lang w:eastAsia="en-NZ"/>
              </w:rPr>
              <w:t>as subject matter experts – rating 72 out of 78 outcomes achieved.</w:t>
            </w:r>
          </w:p>
        </w:tc>
      </w:tr>
      <w:tr w:rsidR="00857FA4" w:rsidRPr="00857FA4" w:rsidTr="00FA1738">
        <w:trPr>
          <w:trHeight w:val="315"/>
        </w:trPr>
        <w:tc>
          <w:tcPr>
            <w:tcW w:w="14175" w:type="dxa"/>
            <w:gridSpan w:val="8"/>
            <w:tcBorders>
              <w:top w:val="single" w:sz="4" w:space="0" w:color="FF3399"/>
              <w:left w:val="nil"/>
              <w:bottom w:val="single" w:sz="4" w:space="0" w:color="FF3399"/>
              <w:right w:val="nil"/>
            </w:tcBorders>
            <w:shd w:val="clear" w:color="auto" w:fill="FFC9E4"/>
            <w:hideMark/>
          </w:tcPr>
          <w:p w:rsidR="00FA1738" w:rsidRPr="00857FA4" w:rsidRDefault="005D6D1F" w:rsidP="0025274D">
            <w:pPr>
              <w:spacing w:after="0" w:line="240" w:lineRule="auto"/>
              <w:rPr>
                <w:rFonts w:eastAsia="Times New Roman" w:cstheme="minorHAnsi"/>
                <w:b/>
                <w:sz w:val="20"/>
                <w:lang w:eastAsia="en-NZ"/>
              </w:rPr>
            </w:pPr>
            <w:hyperlink r:id="rId22" w:anchor="RANGE!_ftn2" w:history="1">
              <w:r w:rsidR="00FA1738" w:rsidRPr="00857FA4">
                <w:rPr>
                  <w:rFonts w:eastAsia="Times New Roman" w:cstheme="minorHAnsi"/>
                  <w:b/>
                  <w:lang w:eastAsia="en-NZ"/>
                </w:rPr>
                <w:t>Wellington Museums Trust – utilisation</w:t>
              </w:r>
            </w:hyperlink>
            <w:r w:rsidR="00FA1738" w:rsidRPr="00857FA4">
              <w:rPr>
                <w:rFonts w:eastAsia="Times New Roman" w:cstheme="minorHAnsi"/>
                <w:b/>
                <w:lang w:eastAsia="en-NZ"/>
              </w:rPr>
              <w:t> </w:t>
            </w:r>
          </w:p>
        </w:tc>
      </w:tr>
      <w:tr w:rsidR="00D35437" w:rsidRPr="001244BB" w:rsidTr="00FA1738">
        <w:trPr>
          <w:trHeight w:val="255"/>
        </w:trPr>
        <w:tc>
          <w:tcPr>
            <w:tcW w:w="3686" w:type="dxa"/>
            <w:tcBorders>
              <w:top w:val="single" w:sz="4" w:space="0" w:color="FF3399"/>
              <w:left w:val="nil"/>
              <w:bottom w:val="single" w:sz="4" w:space="0" w:color="FF3399"/>
              <w:right w:val="single" w:sz="4" w:space="0" w:color="FF3399"/>
            </w:tcBorders>
            <w:shd w:val="clear" w:color="auto" w:fill="auto"/>
            <w:hideMark/>
          </w:tcPr>
          <w:p w:rsidR="00D35437" w:rsidRPr="001244BB" w:rsidRDefault="00D35437" w:rsidP="0025274D">
            <w:pPr>
              <w:spacing w:after="0" w:line="240" w:lineRule="auto"/>
              <w:rPr>
                <w:rFonts w:eastAsia="Times New Roman" w:cstheme="minorHAnsi"/>
                <w:color w:val="000000"/>
                <w:sz w:val="20"/>
                <w:lang w:eastAsia="en-NZ"/>
              </w:rPr>
            </w:pPr>
            <w:r w:rsidRPr="001244BB">
              <w:rPr>
                <w:rFonts w:eastAsia="Times New Roman" w:cstheme="minorHAnsi"/>
                <w:color w:val="000000"/>
                <w:sz w:val="20"/>
                <w:lang w:eastAsia="en-NZ"/>
              </w:rPr>
              <w:t>Total visitors Museums Trust:</w:t>
            </w:r>
          </w:p>
        </w:tc>
        <w:tc>
          <w:tcPr>
            <w:tcW w:w="1276" w:type="dxa"/>
            <w:tcBorders>
              <w:top w:val="single" w:sz="4" w:space="0" w:color="FF3399"/>
              <w:left w:val="single" w:sz="4" w:space="0" w:color="FF3399"/>
              <w:bottom w:val="single" w:sz="4" w:space="0" w:color="FF3399"/>
              <w:right w:val="single" w:sz="4" w:space="0" w:color="FF3399"/>
            </w:tcBorders>
            <w:shd w:val="clear" w:color="auto" w:fill="auto"/>
            <w:noWrap/>
            <w:hideMark/>
          </w:tcPr>
          <w:p w:rsidR="00D35437" w:rsidRPr="001244BB" w:rsidRDefault="00D35437" w:rsidP="0025274D">
            <w:pPr>
              <w:spacing w:after="0" w:line="240" w:lineRule="auto"/>
              <w:jc w:val="right"/>
              <w:rPr>
                <w:rFonts w:eastAsia="Times New Roman" w:cstheme="minorHAnsi"/>
                <w:color w:val="000000"/>
                <w:sz w:val="20"/>
                <w:lang w:eastAsia="en-NZ"/>
              </w:rPr>
            </w:pPr>
            <w:r w:rsidRPr="001244BB">
              <w:rPr>
                <w:rFonts w:eastAsia="Times New Roman" w:cstheme="minorHAnsi"/>
                <w:color w:val="000000"/>
                <w:sz w:val="20"/>
                <w:lang w:eastAsia="en-NZ"/>
              </w:rPr>
              <w:t xml:space="preserve">   780,414 </w:t>
            </w:r>
          </w:p>
        </w:tc>
        <w:tc>
          <w:tcPr>
            <w:tcW w:w="1134" w:type="dxa"/>
            <w:tcBorders>
              <w:top w:val="single" w:sz="4" w:space="0" w:color="FF3399"/>
              <w:left w:val="single" w:sz="4" w:space="0" w:color="FF3399"/>
              <w:bottom w:val="single" w:sz="4" w:space="0" w:color="FF3399"/>
              <w:right w:val="single" w:sz="4" w:space="0" w:color="FF3399"/>
            </w:tcBorders>
            <w:shd w:val="clear" w:color="auto" w:fill="auto"/>
            <w:noWrap/>
            <w:hideMark/>
          </w:tcPr>
          <w:p w:rsidR="00D35437" w:rsidRPr="001244BB" w:rsidRDefault="00D35437" w:rsidP="0025274D">
            <w:pPr>
              <w:spacing w:after="0" w:line="240" w:lineRule="auto"/>
              <w:jc w:val="right"/>
              <w:rPr>
                <w:rFonts w:eastAsia="Times New Roman" w:cstheme="minorHAnsi"/>
                <w:color w:val="000000"/>
                <w:sz w:val="20"/>
                <w:lang w:eastAsia="en-NZ"/>
              </w:rPr>
            </w:pPr>
            <w:r w:rsidRPr="001244BB">
              <w:rPr>
                <w:rFonts w:eastAsia="Times New Roman" w:cstheme="minorHAnsi"/>
                <w:color w:val="000000"/>
                <w:sz w:val="20"/>
                <w:lang w:eastAsia="en-NZ"/>
              </w:rPr>
              <w:t xml:space="preserve">   725,214 </w:t>
            </w:r>
          </w:p>
        </w:tc>
        <w:tc>
          <w:tcPr>
            <w:tcW w:w="1134" w:type="dxa"/>
            <w:tcBorders>
              <w:top w:val="single" w:sz="4" w:space="0" w:color="FF3399"/>
              <w:left w:val="single" w:sz="4" w:space="0" w:color="FF3399"/>
              <w:bottom w:val="single" w:sz="4" w:space="0" w:color="FF3399"/>
              <w:right w:val="single" w:sz="4" w:space="0" w:color="FF3399"/>
            </w:tcBorders>
            <w:shd w:val="clear" w:color="auto" w:fill="auto"/>
            <w:noWrap/>
            <w:hideMark/>
          </w:tcPr>
          <w:p w:rsidR="00D35437" w:rsidRPr="001244BB" w:rsidRDefault="00D35437" w:rsidP="0025274D">
            <w:pPr>
              <w:spacing w:after="0" w:line="240" w:lineRule="auto"/>
              <w:jc w:val="right"/>
              <w:rPr>
                <w:rFonts w:eastAsia="Times New Roman" w:cstheme="minorHAnsi"/>
                <w:color w:val="000000"/>
                <w:sz w:val="20"/>
                <w:lang w:eastAsia="en-NZ"/>
              </w:rPr>
            </w:pPr>
            <w:r w:rsidRPr="001244BB">
              <w:rPr>
                <w:rFonts w:eastAsia="Times New Roman" w:cstheme="minorHAnsi"/>
                <w:color w:val="000000"/>
                <w:sz w:val="20"/>
                <w:lang w:eastAsia="en-NZ"/>
              </w:rPr>
              <w:t xml:space="preserve">   770,320 </w:t>
            </w:r>
          </w:p>
        </w:tc>
        <w:tc>
          <w:tcPr>
            <w:tcW w:w="1134" w:type="dxa"/>
            <w:tcBorders>
              <w:top w:val="single" w:sz="4" w:space="0" w:color="FF3399"/>
              <w:left w:val="single" w:sz="4" w:space="0" w:color="FF3399"/>
              <w:bottom w:val="single" w:sz="4" w:space="0" w:color="FF3399"/>
              <w:right w:val="single" w:sz="4" w:space="0" w:color="FF3399"/>
            </w:tcBorders>
            <w:shd w:val="clear" w:color="000000" w:fill="D9D9D9"/>
            <w:hideMark/>
          </w:tcPr>
          <w:p w:rsidR="00D35437" w:rsidRPr="001244BB" w:rsidRDefault="00D35437" w:rsidP="0025274D">
            <w:pPr>
              <w:spacing w:after="0" w:line="240" w:lineRule="auto"/>
              <w:jc w:val="right"/>
              <w:rPr>
                <w:rFonts w:eastAsia="Times New Roman" w:cstheme="minorHAnsi"/>
                <w:color w:val="000000"/>
                <w:sz w:val="20"/>
                <w:lang w:eastAsia="en-NZ"/>
              </w:rPr>
            </w:pPr>
            <w:r w:rsidRPr="001244BB">
              <w:rPr>
                <w:rFonts w:eastAsia="Times New Roman" w:cstheme="minorHAnsi"/>
                <w:color w:val="000000"/>
                <w:sz w:val="20"/>
                <w:lang w:eastAsia="en-NZ"/>
              </w:rPr>
              <w:t>753,500</w:t>
            </w:r>
          </w:p>
        </w:tc>
        <w:tc>
          <w:tcPr>
            <w:tcW w:w="708" w:type="dxa"/>
            <w:tcBorders>
              <w:top w:val="single" w:sz="4" w:space="0" w:color="FF3399"/>
              <w:left w:val="single" w:sz="4" w:space="0" w:color="FF3399"/>
              <w:bottom w:val="single" w:sz="4" w:space="0" w:color="FF3399"/>
              <w:right w:val="single" w:sz="4" w:space="0" w:color="FF3399"/>
            </w:tcBorders>
            <w:shd w:val="clear" w:color="auto" w:fill="auto"/>
            <w:hideMark/>
          </w:tcPr>
          <w:p w:rsidR="00D35437" w:rsidRPr="001244BB" w:rsidRDefault="00D35437" w:rsidP="0025274D">
            <w:pPr>
              <w:spacing w:after="0" w:line="240" w:lineRule="auto"/>
              <w:jc w:val="right"/>
              <w:rPr>
                <w:rFonts w:eastAsia="Times New Roman" w:cstheme="minorHAnsi"/>
                <w:color w:val="000000"/>
                <w:sz w:val="20"/>
                <w:lang w:eastAsia="en-NZ"/>
              </w:rPr>
            </w:pPr>
            <w:r w:rsidRPr="001244BB">
              <w:rPr>
                <w:rFonts w:eastAsia="Times New Roman" w:cstheme="minorHAnsi"/>
                <w:color w:val="000000"/>
                <w:sz w:val="20"/>
                <w:lang w:eastAsia="en-NZ"/>
              </w:rPr>
              <w:t>2%</w:t>
            </w:r>
          </w:p>
        </w:tc>
        <w:tc>
          <w:tcPr>
            <w:tcW w:w="1276" w:type="dxa"/>
            <w:tcBorders>
              <w:top w:val="single" w:sz="4" w:space="0" w:color="FF3399"/>
              <w:left w:val="single" w:sz="4" w:space="0" w:color="FF3399"/>
              <w:bottom w:val="single" w:sz="4" w:space="0" w:color="FF3399"/>
              <w:right w:val="single" w:sz="4" w:space="0" w:color="FF3399"/>
            </w:tcBorders>
            <w:shd w:val="clear" w:color="auto" w:fill="auto"/>
            <w:hideMark/>
          </w:tcPr>
          <w:p w:rsidR="00D35437" w:rsidRDefault="00D35437">
            <w:r w:rsidRPr="00877A8E">
              <w:rPr>
                <w:rFonts w:eastAsia="Times New Roman" w:cstheme="minorHAnsi"/>
                <w:color w:val="000000"/>
                <w:sz w:val="20"/>
                <w:lang w:eastAsia="en-NZ"/>
              </w:rPr>
              <w:t>Within 10%</w:t>
            </w:r>
          </w:p>
        </w:tc>
        <w:tc>
          <w:tcPr>
            <w:tcW w:w="3827" w:type="dxa"/>
            <w:tcBorders>
              <w:top w:val="single" w:sz="4" w:space="0" w:color="FF3399"/>
              <w:left w:val="single" w:sz="4" w:space="0" w:color="FF3399"/>
              <w:bottom w:val="single" w:sz="4" w:space="0" w:color="FF3399"/>
              <w:right w:val="nil"/>
            </w:tcBorders>
            <w:shd w:val="clear" w:color="auto" w:fill="auto"/>
            <w:hideMark/>
          </w:tcPr>
          <w:p w:rsidR="00D35437" w:rsidRPr="001244BB" w:rsidRDefault="00D35437" w:rsidP="0025274D">
            <w:pPr>
              <w:spacing w:after="0" w:line="240" w:lineRule="auto"/>
              <w:jc w:val="right"/>
              <w:rPr>
                <w:rFonts w:eastAsia="Times New Roman" w:cstheme="minorHAnsi"/>
                <w:color w:val="000000"/>
                <w:sz w:val="20"/>
                <w:lang w:eastAsia="en-NZ"/>
              </w:rPr>
            </w:pPr>
          </w:p>
        </w:tc>
      </w:tr>
      <w:tr w:rsidR="00D35437" w:rsidRPr="001244BB" w:rsidTr="00FA1738">
        <w:trPr>
          <w:trHeight w:val="255"/>
        </w:trPr>
        <w:tc>
          <w:tcPr>
            <w:tcW w:w="3686" w:type="dxa"/>
            <w:tcBorders>
              <w:top w:val="single" w:sz="4" w:space="0" w:color="FF3399"/>
              <w:left w:val="nil"/>
              <w:bottom w:val="single" w:sz="4" w:space="0" w:color="FF3399"/>
              <w:right w:val="single" w:sz="4" w:space="0" w:color="FF3399"/>
            </w:tcBorders>
            <w:shd w:val="clear" w:color="auto" w:fill="auto"/>
            <w:hideMark/>
          </w:tcPr>
          <w:p w:rsidR="00D35437" w:rsidRPr="001244BB" w:rsidRDefault="00D35437" w:rsidP="0025274D">
            <w:pPr>
              <w:spacing w:after="0" w:line="240" w:lineRule="auto"/>
              <w:rPr>
                <w:rFonts w:eastAsia="Times New Roman" w:cstheme="minorHAnsi"/>
                <w:color w:val="000000"/>
                <w:sz w:val="20"/>
                <w:lang w:eastAsia="en-NZ"/>
              </w:rPr>
            </w:pPr>
            <w:r w:rsidRPr="001244BB">
              <w:rPr>
                <w:rFonts w:eastAsia="Times New Roman" w:cstheme="minorHAnsi"/>
                <w:color w:val="000000"/>
                <w:sz w:val="20"/>
                <w:lang w:eastAsia="en-NZ"/>
              </w:rPr>
              <w:t>City Gallery Wellington</w:t>
            </w:r>
          </w:p>
        </w:tc>
        <w:tc>
          <w:tcPr>
            <w:tcW w:w="1276" w:type="dxa"/>
            <w:tcBorders>
              <w:top w:val="single" w:sz="4" w:space="0" w:color="FF3399"/>
              <w:left w:val="single" w:sz="4" w:space="0" w:color="FF3399"/>
              <w:bottom w:val="single" w:sz="4" w:space="0" w:color="FF3399"/>
              <w:right w:val="single" w:sz="4" w:space="0" w:color="FF3399"/>
            </w:tcBorders>
            <w:shd w:val="clear" w:color="auto" w:fill="auto"/>
            <w:noWrap/>
            <w:hideMark/>
          </w:tcPr>
          <w:p w:rsidR="00D35437" w:rsidRPr="001244BB" w:rsidRDefault="00D35437" w:rsidP="0025274D">
            <w:pPr>
              <w:spacing w:after="0" w:line="240" w:lineRule="auto"/>
              <w:jc w:val="right"/>
              <w:rPr>
                <w:rFonts w:eastAsia="Times New Roman" w:cstheme="minorHAnsi"/>
                <w:color w:val="000000"/>
                <w:sz w:val="20"/>
                <w:lang w:eastAsia="en-NZ"/>
              </w:rPr>
            </w:pPr>
            <w:r w:rsidRPr="001244BB">
              <w:rPr>
                <w:rFonts w:eastAsia="Times New Roman" w:cstheme="minorHAnsi"/>
                <w:color w:val="000000"/>
                <w:sz w:val="20"/>
                <w:lang w:eastAsia="en-NZ"/>
              </w:rPr>
              <w:t xml:space="preserve">   180,616 </w:t>
            </w:r>
          </w:p>
        </w:tc>
        <w:tc>
          <w:tcPr>
            <w:tcW w:w="1134" w:type="dxa"/>
            <w:tcBorders>
              <w:top w:val="single" w:sz="4" w:space="0" w:color="FF3399"/>
              <w:left w:val="single" w:sz="4" w:space="0" w:color="FF3399"/>
              <w:bottom w:val="single" w:sz="4" w:space="0" w:color="FF3399"/>
              <w:right w:val="single" w:sz="4" w:space="0" w:color="FF3399"/>
            </w:tcBorders>
            <w:shd w:val="clear" w:color="auto" w:fill="auto"/>
            <w:noWrap/>
            <w:hideMark/>
          </w:tcPr>
          <w:p w:rsidR="00D35437" w:rsidRPr="001244BB" w:rsidRDefault="00D35437" w:rsidP="0025274D">
            <w:pPr>
              <w:spacing w:after="0" w:line="240" w:lineRule="auto"/>
              <w:jc w:val="right"/>
              <w:rPr>
                <w:rFonts w:eastAsia="Times New Roman" w:cstheme="minorHAnsi"/>
                <w:color w:val="000000"/>
                <w:sz w:val="20"/>
                <w:lang w:eastAsia="en-NZ"/>
              </w:rPr>
            </w:pPr>
            <w:r w:rsidRPr="001244BB">
              <w:rPr>
                <w:rFonts w:eastAsia="Times New Roman" w:cstheme="minorHAnsi"/>
                <w:color w:val="000000"/>
                <w:sz w:val="20"/>
                <w:lang w:eastAsia="en-NZ"/>
              </w:rPr>
              <w:t xml:space="preserve">   153,194 </w:t>
            </w:r>
          </w:p>
        </w:tc>
        <w:tc>
          <w:tcPr>
            <w:tcW w:w="1134" w:type="dxa"/>
            <w:tcBorders>
              <w:top w:val="single" w:sz="4" w:space="0" w:color="FF3399"/>
              <w:left w:val="single" w:sz="4" w:space="0" w:color="FF3399"/>
              <w:bottom w:val="single" w:sz="4" w:space="0" w:color="FF3399"/>
              <w:right w:val="single" w:sz="4" w:space="0" w:color="FF3399"/>
            </w:tcBorders>
            <w:shd w:val="clear" w:color="auto" w:fill="auto"/>
            <w:noWrap/>
            <w:hideMark/>
          </w:tcPr>
          <w:p w:rsidR="00D35437" w:rsidRPr="001244BB" w:rsidRDefault="00D35437" w:rsidP="0025274D">
            <w:pPr>
              <w:spacing w:after="0" w:line="240" w:lineRule="auto"/>
              <w:jc w:val="right"/>
              <w:rPr>
                <w:rFonts w:eastAsia="Times New Roman" w:cstheme="minorHAnsi"/>
                <w:color w:val="000000"/>
                <w:sz w:val="20"/>
                <w:lang w:eastAsia="en-NZ"/>
              </w:rPr>
            </w:pPr>
            <w:r w:rsidRPr="001244BB">
              <w:rPr>
                <w:rFonts w:eastAsia="Times New Roman" w:cstheme="minorHAnsi"/>
                <w:color w:val="000000"/>
                <w:sz w:val="20"/>
                <w:lang w:eastAsia="en-NZ"/>
              </w:rPr>
              <w:t xml:space="preserve">   153,676 </w:t>
            </w:r>
          </w:p>
        </w:tc>
        <w:tc>
          <w:tcPr>
            <w:tcW w:w="1134" w:type="dxa"/>
            <w:tcBorders>
              <w:top w:val="single" w:sz="4" w:space="0" w:color="FF3399"/>
              <w:left w:val="single" w:sz="4" w:space="0" w:color="FF3399"/>
              <w:bottom w:val="single" w:sz="4" w:space="0" w:color="FF3399"/>
              <w:right w:val="single" w:sz="4" w:space="0" w:color="FF3399"/>
            </w:tcBorders>
            <w:shd w:val="clear" w:color="000000" w:fill="D9D9D9"/>
            <w:hideMark/>
          </w:tcPr>
          <w:p w:rsidR="00D35437" w:rsidRPr="001244BB" w:rsidRDefault="00D35437" w:rsidP="0025274D">
            <w:pPr>
              <w:spacing w:after="0" w:line="240" w:lineRule="auto"/>
              <w:jc w:val="right"/>
              <w:rPr>
                <w:rFonts w:eastAsia="Times New Roman" w:cstheme="minorHAnsi"/>
                <w:color w:val="000000"/>
                <w:sz w:val="20"/>
                <w:lang w:eastAsia="en-NZ"/>
              </w:rPr>
            </w:pPr>
            <w:r w:rsidRPr="001244BB">
              <w:rPr>
                <w:rFonts w:eastAsia="Times New Roman" w:cstheme="minorHAnsi"/>
                <w:color w:val="000000"/>
                <w:sz w:val="20"/>
                <w:lang w:eastAsia="en-NZ"/>
              </w:rPr>
              <w:t>170,000</w:t>
            </w:r>
          </w:p>
        </w:tc>
        <w:tc>
          <w:tcPr>
            <w:tcW w:w="708" w:type="dxa"/>
            <w:tcBorders>
              <w:top w:val="single" w:sz="4" w:space="0" w:color="FF3399"/>
              <w:left w:val="single" w:sz="4" w:space="0" w:color="FF3399"/>
              <w:bottom w:val="single" w:sz="4" w:space="0" w:color="FF3399"/>
              <w:right w:val="single" w:sz="4" w:space="0" w:color="FF3399"/>
            </w:tcBorders>
            <w:shd w:val="clear" w:color="auto" w:fill="auto"/>
            <w:hideMark/>
          </w:tcPr>
          <w:p w:rsidR="00D35437" w:rsidRPr="001244BB" w:rsidRDefault="00D35437" w:rsidP="0025274D">
            <w:pPr>
              <w:spacing w:after="0" w:line="240" w:lineRule="auto"/>
              <w:jc w:val="right"/>
              <w:rPr>
                <w:rFonts w:eastAsia="Times New Roman" w:cstheme="minorHAnsi"/>
                <w:sz w:val="20"/>
                <w:lang w:eastAsia="en-NZ"/>
              </w:rPr>
            </w:pPr>
            <w:r w:rsidRPr="001244BB">
              <w:rPr>
                <w:rFonts w:eastAsia="Times New Roman" w:cstheme="minorHAnsi"/>
                <w:sz w:val="20"/>
                <w:lang w:eastAsia="en-NZ"/>
              </w:rPr>
              <w:t>-10%</w:t>
            </w:r>
          </w:p>
        </w:tc>
        <w:tc>
          <w:tcPr>
            <w:tcW w:w="1276" w:type="dxa"/>
            <w:tcBorders>
              <w:top w:val="single" w:sz="4" w:space="0" w:color="FF3399"/>
              <w:left w:val="single" w:sz="4" w:space="0" w:color="FF3399"/>
              <w:bottom w:val="single" w:sz="4" w:space="0" w:color="FF3399"/>
              <w:right w:val="single" w:sz="4" w:space="0" w:color="FF3399"/>
            </w:tcBorders>
            <w:shd w:val="clear" w:color="auto" w:fill="auto"/>
            <w:hideMark/>
          </w:tcPr>
          <w:p w:rsidR="00D35437" w:rsidRDefault="00D35437">
            <w:r w:rsidRPr="00877A8E">
              <w:rPr>
                <w:rFonts w:eastAsia="Times New Roman" w:cstheme="minorHAnsi"/>
                <w:color w:val="000000"/>
                <w:sz w:val="20"/>
                <w:lang w:eastAsia="en-NZ"/>
              </w:rPr>
              <w:t>Within 10%</w:t>
            </w:r>
          </w:p>
        </w:tc>
        <w:tc>
          <w:tcPr>
            <w:tcW w:w="3827" w:type="dxa"/>
            <w:tcBorders>
              <w:top w:val="single" w:sz="4" w:space="0" w:color="FF3399"/>
              <w:left w:val="single" w:sz="4" w:space="0" w:color="FF3399"/>
              <w:bottom w:val="single" w:sz="4" w:space="0" w:color="FF3399"/>
              <w:right w:val="nil"/>
            </w:tcBorders>
            <w:shd w:val="clear" w:color="auto" w:fill="auto"/>
          </w:tcPr>
          <w:p w:rsidR="00D35437" w:rsidRPr="001244BB" w:rsidRDefault="00D35437" w:rsidP="0025274D">
            <w:pPr>
              <w:spacing w:after="0" w:line="240" w:lineRule="auto"/>
              <w:jc w:val="right"/>
              <w:rPr>
                <w:rFonts w:eastAsia="Times New Roman" w:cstheme="minorHAnsi"/>
                <w:color w:val="000000"/>
                <w:sz w:val="20"/>
                <w:lang w:eastAsia="en-NZ"/>
              </w:rPr>
            </w:pPr>
          </w:p>
        </w:tc>
      </w:tr>
      <w:tr w:rsidR="00D35437" w:rsidRPr="001244BB" w:rsidTr="00FA1738">
        <w:trPr>
          <w:trHeight w:val="255"/>
        </w:trPr>
        <w:tc>
          <w:tcPr>
            <w:tcW w:w="3686" w:type="dxa"/>
            <w:tcBorders>
              <w:top w:val="single" w:sz="4" w:space="0" w:color="FF3399"/>
              <w:left w:val="nil"/>
              <w:bottom w:val="single" w:sz="4" w:space="0" w:color="FF3399"/>
              <w:right w:val="single" w:sz="4" w:space="0" w:color="FF3399"/>
            </w:tcBorders>
            <w:shd w:val="clear" w:color="auto" w:fill="auto"/>
            <w:hideMark/>
          </w:tcPr>
          <w:p w:rsidR="00D35437" w:rsidRPr="001244BB" w:rsidRDefault="00D35437" w:rsidP="0025274D">
            <w:pPr>
              <w:spacing w:after="0" w:line="240" w:lineRule="auto"/>
              <w:rPr>
                <w:rFonts w:eastAsia="Times New Roman" w:cstheme="minorHAnsi"/>
                <w:color w:val="000000"/>
                <w:sz w:val="20"/>
                <w:lang w:eastAsia="en-NZ"/>
              </w:rPr>
            </w:pPr>
            <w:r w:rsidRPr="001244BB">
              <w:rPr>
                <w:rFonts w:eastAsia="Times New Roman" w:cstheme="minorHAnsi"/>
                <w:color w:val="000000"/>
                <w:sz w:val="20"/>
                <w:lang w:eastAsia="en-NZ"/>
              </w:rPr>
              <w:t>Wellington Museum</w:t>
            </w:r>
          </w:p>
        </w:tc>
        <w:tc>
          <w:tcPr>
            <w:tcW w:w="1276" w:type="dxa"/>
            <w:tcBorders>
              <w:top w:val="single" w:sz="4" w:space="0" w:color="FF3399"/>
              <w:left w:val="single" w:sz="4" w:space="0" w:color="FF3399"/>
              <w:bottom w:val="single" w:sz="4" w:space="0" w:color="FF3399"/>
              <w:right w:val="single" w:sz="4" w:space="0" w:color="FF3399"/>
            </w:tcBorders>
            <w:shd w:val="clear" w:color="auto" w:fill="auto"/>
            <w:noWrap/>
            <w:hideMark/>
          </w:tcPr>
          <w:p w:rsidR="00D35437" w:rsidRPr="001244BB" w:rsidRDefault="00D35437" w:rsidP="0025274D">
            <w:pPr>
              <w:spacing w:after="0" w:line="240" w:lineRule="auto"/>
              <w:jc w:val="right"/>
              <w:rPr>
                <w:rFonts w:eastAsia="Times New Roman" w:cstheme="minorHAnsi"/>
                <w:color w:val="000000"/>
                <w:sz w:val="20"/>
                <w:lang w:eastAsia="en-NZ"/>
              </w:rPr>
            </w:pPr>
            <w:r w:rsidRPr="001244BB">
              <w:rPr>
                <w:rFonts w:eastAsia="Times New Roman" w:cstheme="minorHAnsi"/>
                <w:color w:val="000000"/>
                <w:sz w:val="20"/>
                <w:lang w:eastAsia="en-NZ"/>
              </w:rPr>
              <w:t xml:space="preserve">   138,956 </w:t>
            </w:r>
          </w:p>
        </w:tc>
        <w:tc>
          <w:tcPr>
            <w:tcW w:w="1134" w:type="dxa"/>
            <w:tcBorders>
              <w:top w:val="single" w:sz="4" w:space="0" w:color="FF3399"/>
              <w:left w:val="single" w:sz="4" w:space="0" w:color="FF3399"/>
              <w:bottom w:val="single" w:sz="4" w:space="0" w:color="FF3399"/>
              <w:right w:val="single" w:sz="4" w:space="0" w:color="FF3399"/>
            </w:tcBorders>
            <w:shd w:val="clear" w:color="auto" w:fill="auto"/>
            <w:noWrap/>
            <w:hideMark/>
          </w:tcPr>
          <w:p w:rsidR="00D35437" w:rsidRPr="001244BB" w:rsidRDefault="00D35437" w:rsidP="0025274D">
            <w:pPr>
              <w:spacing w:after="0" w:line="240" w:lineRule="auto"/>
              <w:jc w:val="right"/>
              <w:rPr>
                <w:rFonts w:eastAsia="Times New Roman" w:cstheme="minorHAnsi"/>
                <w:color w:val="000000"/>
                <w:sz w:val="20"/>
                <w:lang w:eastAsia="en-NZ"/>
              </w:rPr>
            </w:pPr>
            <w:r w:rsidRPr="001244BB">
              <w:rPr>
                <w:rFonts w:eastAsia="Times New Roman" w:cstheme="minorHAnsi"/>
                <w:color w:val="000000"/>
                <w:sz w:val="20"/>
                <w:lang w:eastAsia="en-NZ"/>
              </w:rPr>
              <w:t xml:space="preserve">   127,413 </w:t>
            </w:r>
          </w:p>
        </w:tc>
        <w:tc>
          <w:tcPr>
            <w:tcW w:w="1134" w:type="dxa"/>
            <w:tcBorders>
              <w:top w:val="single" w:sz="4" w:space="0" w:color="FF3399"/>
              <w:left w:val="single" w:sz="4" w:space="0" w:color="FF3399"/>
              <w:bottom w:val="single" w:sz="4" w:space="0" w:color="FF3399"/>
              <w:right w:val="single" w:sz="4" w:space="0" w:color="FF3399"/>
            </w:tcBorders>
            <w:shd w:val="clear" w:color="auto" w:fill="auto"/>
            <w:noWrap/>
            <w:hideMark/>
          </w:tcPr>
          <w:p w:rsidR="00D35437" w:rsidRPr="001244BB" w:rsidRDefault="00D35437" w:rsidP="0025274D">
            <w:pPr>
              <w:spacing w:after="0" w:line="240" w:lineRule="auto"/>
              <w:jc w:val="right"/>
              <w:rPr>
                <w:rFonts w:eastAsia="Times New Roman" w:cstheme="minorHAnsi"/>
                <w:color w:val="000000"/>
                <w:sz w:val="20"/>
                <w:lang w:eastAsia="en-NZ"/>
              </w:rPr>
            </w:pPr>
            <w:r w:rsidRPr="001244BB">
              <w:rPr>
                <w:rFonts w:eastAsia="Times New Roman" w:cstheme="minorHAnsi"/>
                <w:color w:val="000000"/>
                <w:sz w:val="20"/>
                <w:lang w:eastAsia="en-NZ"/>
              </w:rPr>
              <w:t xml:space="preserve">   132,953 </w:t>
            </w:r>
          </w:p>
        </w:tc>
        <w:tc>
          <w:tcPr>
            <w:tcW w:w="1134" w:type="dxa"/>
            <w:tcBorders>
              <w:top w:val="single" w:sz="4" w:space="0" w:color="FF3399"/>
              <w:left w:val="single" w:sz="4" w:space="0" w:color="FF3399"/>
              <w:bottom w:val="single" w:sz="4" w:space="0" w:color="FF3399"/>
              <w:right w:val="single" w:sz="4" w:space="0" w:color="FF3399"/>
            </w:tcBorders>
            <w:shd w:val="clear" w:color="000000" w:fill="D9D9D9"/>
            <w:hideMark/>
          </w:tcPr>
          <w:p w:rsidR="00D35437" w:rsidRPr="001244BB" w:rsidRDefault="00D35437" w:rsidP="0025274D">
            <w:pPr>
              <w:spacing w:after="0" w:line="240" w:lineRule="auto"/>
              <w:jc w:val="right"/>
              <w:rPr>
                <w:rFonts w:eastAsia="Times New Roman" w:cstheme="minorHAnsi"/>
                <w:color w:val="000000"/>
                <w:sz w:val="20"/>
                <w:lang w:eastAsia="en-NZ"/>
              </w:rPr>
            </w:pPr>
            <w:r w:rsidRPr="001244BB">
              <w:rPr>
                <w:rFonts w:eastAsia="Times New Roman" w:cstheme="minorHAnsi"/>
                <w:color w:val="000000"/>
                <w:sz w:val="20"/>
                <w:lang w:eastAsia="en-NZ"/>
              </w:rPr>
              <w:t>132,000</w:t>
            </w:r>
          </w:p>
        </w:tc>
        <w:tc>
          <w:tcPr>
            <w:tcW w:w="708" w:type="dxa"/>
            <w:tcBorders>
              <w:top w:val="single" w:sz="4" w:space="0" w:color="FF3399"/>
              <w:left w:val="single" w:sz="4" w:space="0" w:color="FF3399"/>
              <w:bottom w:val="single" w:sz="4" w:space="0" w:color="FF3399"/>
              <w:right w:val="single" w:sz="4" w:space="0" w:color="FF3399"/>
            </w:tcBorders>
            <w:shd w:val="clear" w:color="auto" w:fill="auto"/>
            <w:hideMark/>
          </w:tcPr>
          <w:p w:rsidR="00D35437" w:rsidRPr="001244BB" w:rsidRDefault="00D35437" w:rsidP="0025274D">
            <w:pPr>
              <w:spacing w:after="0" w:line="240" w:lineRule="auto"/>
              <w:jc w:val="right"/>
              <w:rPr>
                <w:rFonts w:eastAsia="Times New Roman" w:cstheme="minorHAnsi"/>
                <w:color w:val="000000"/>
                <w:sz w:val="20"/>
                <w:lang w:eastAsia="en-NZ"/>
              </w:rPr>
            </w:pPr>
            <w:r w:rsidRPr="001244BB">
              <w:rPr>
                <w:rFonts w:eastAsia="Times New Roman" w:cstheme="minorHAnsi"/>
                <w:color w:val="000000"/>
                <w:sz w:val="20"/>
                <w:lang w:eastAsia="en-NZ"/>
              </w:rPr>
              <w:t>1%</w:t>
            </w:r>
          </w:p>
        </w:tc>
        <w:tc>
          <w:tcPr>
            <w:tcW w:w="1276" w:type="dxa"/>
            <w:tcBorders>
              <w:top w:val="single" w:sz="4" w:space="0" w:color="FF3399"/>
              <w:left w:val="single" w:sz="4" w:space="0" w:color="FF3399"/>
              <w:bottom w:val="single" w:sz="4" w:space="0" w:color="FF3399"/>
              <w:right w:val="single" w:sz="4" w:space="0" w:color="FF3399"/>
            </w:tcBorders>
            <w:shd w:val="clear" w:color="auto" w:fill="auto"/>
            <w:hideMark/>
          </w:tcPr>
          <w:p w:rsidR="00D35437" w:rsidRDefault="00D35437">
            <w:r w:rsidRPr="00877A8E">
              <w:rPr>
                <w:rFonts w:eastAsia="Times New Roman" w:cstheme="minorHAnsi"/>
                <w:color w:val="000000"/>
                <w:sz w:val="20"/>
                <w:lang w:eastAsia="en-NZ"/>
              </w:rPr>
              <w:t>Within 10%</w:t>
            </w:r>
          </w:p>
        </w:tc>
        <w:tc>
          <w:tcPr>
            <w:tcW w:w="3827" w:type="dxa"/>
            <w:tcBorders>
              <w:top w:val="single" w:sz="4" w:space="0" w:color="FF3399"/>
              <w:left w:val="single" w:sz="4" w:space="0" w:color="FF3399"/>
              <w:bottom w:val="single" w:sz="4" w:space="0" w:color="FF3399"/>
              <w:right w:val="nil"/>
            </w:tcBorders>
            <w:shd w:val="clear" w:color="auto" w:fill="auto"/>
          </w:tcPr>
          <w:p w:rsidR="00D35437" w:rsidRPr="001244BB" w:rsidRDefault="00D35437" w:rsidP="0025274D">
            <w:pPr>
              <w:spacing w:after="0" w:line="240" w:lineRule="auto"/>
              <w:jc w:val="right"/>
              <w:rPr>
                <w:rFonts w:eastAsia="Times New Roman" w:cstheme="minorHAnsi"/>
                <w:color w:val="000000"/>
                <w:sz w:val="20"/>
                <w:lang w:eastAsia="en-NZ"/>
              </w:rPr>
            </w:pPr>
          </w:p>
        </w:tc>
      </w:tr>
      <w:tr w:rsidR="00FA1738" w:rsidRPr="001244BB" w:rsidTr="00FA1738">
        <w:trPr>
          <w:trHeight w:val="255"/>
        </w:trPr>
        <w:tc>
          <w:tcPr>
            <w:tcW w:w="3686" w:type="dxa"/>
            <w:tcBorders>
              <w:top w:val="single" w:sz="4" w:space="0" w:color="FF3399"/>
              <w:left w:val="nil"/>
              <w:bottom w:val="single" w:sz="4" w:space="0" w:color="FF3399"/>
              <w:right w:val="single" w:sz="4" w:space="0" w:color="FF3399"/>
            </w:tcBorders>
            <w:shd w:val="clear" w:color="auto" w:fill="auto"/>
            <w:hideMark/>
          </w:tcPr>
          <w:p w:rsidR="00FA1738" w:rsidRPr="001244BB" w:rsidRDefault="00FA1738" w:rsidP="0025274D">
            <w:pPr>
              <w:spacing w:after="0" w:line="240" w:lineRule="auto"/>
              <w:rPr>
                <w:rFonts w:eastAsia="Times New Roman" w:cstheme="minorHAnsi"/>
                <w:color w:val="000000"/>
                <w:sz w:val="20"/>
                <w:lang w:eastAsia="en-NZ"/>
              </w:rPr>
            </w:pPr>
            <w:r w:rsidRPr="001244BB">
              <w:rPr>
                <w:rFonts w:eastAsia="Times New Roman" w:cstheme="minorHAnsi"/>
                <w:color w:val="000000"/>
                <w:sz w:val="20"/>
                <w:lang w:eastAsia="en-NZ"/>
              </w:rPr>
              <w:t>Cable Car Museum</w:t>
            </w:r>
          </w:p>
        </w:tc>
        <w:tc>
          <w:tcPr>
            <w:tcW w:w="1276" w:type="dxa"/>
            <w:tcBorders>
              <w:top w:val="single" w:sz="4" w:space="0" w:color="FF3399"/>
              <w:left w:val="single" w:sz="4" w:space="0" w:color="FF3399"/>
              <w:bottom w:val="single" w:sz="4" w:space="0" w:color="FF3399"/>
              <w:right w:val="single" w:sz="4" w:space="0" w:color="FF3399"/>
            </w:tcBorders>
            <w:shd w:val="clear" w:color="auto" w:fill="auto"/>
            <w:noWrap/>
            <w:hideMark/>
          </w:tcPr>
          <w:p w:rsidR="00FA1738" w:rsidRPr="001244BB" w:rsidRDefault="00FA1738" w:rsidP="0025274D">
            <w:pPr>
              <w:spacing w:after="0" w:line="240" w:lineRule="auto"/>
              <w:jc w:val="right"/>
              <w:rPr>
                <w:rFonts w:eastAsia="Times New Roman" w:cstheme="minorHAnsi"/>
                <w:color w:val="000000"/>
                <w:sz w:val="20"/>
                <w:lang w:eastAsia="en-NZ"/>
              </w:rPr>
            </w:pPr>
            <w:r w:rsidRPr="001244BB">
              <w:rPr>
                <w:rFonts w:eastAsia="Times New Roman" w:cstheme="minorHAnsi"/>
                <w:color w:val="000000"/>
                <w:sz w:val="20"/>
                <w:lang w:eastAsia="en-NZ"/>
              </w:rPr>
              <w:t xml:space="preserve">   242,250 </w:t>
            </w:r>
          </w:p>
        </w:tc>
        <w:tc>
          <w:tcPr>
            <w:tcW w:w="1134" w:type="dxa"/>
            <w:tcBorders>
              <w:top w:val="single" w:sz="4" w:space="0" w:color="FF3399"/>
              <w:left w:val="single" w:sz="4" w:space="0" w:color="FF3399"/>
              <w:bottom w:val="single" w:sz="4" w:space="0" w:color="FF3399"/>
              <w:right w:val="single" w:sz="4" w:space="0" w:color="FF3399"/>
            </w:tcBorders>
            <w:shd w:val="clear" w:color="auto" w:fill="auto"/>
            <w:noWrap/>
            <w:hideMark/>
          </w:tcPr>
          <w:p w:rsidR="00FA1738" w:rsidRPr="001244BB" w:rsidRDefault="00FA1738" w:rsidP="0025274D">
            <w:pPr>
              <w:spacing w:after="0" w:line="240" w:lineRule="auto"/>
              <w:jc w:val="right"/>
              <w:rPr>
                <w:rFonts w:eastAsia="Times New Roman" w:cstheme="minorHAnsi"/>
                <w:color w:val="000000"/>
                <w:sz w:val="20"/>
                <w:lang w:eastAsia="en-NZ"/>
              </w:rPr>
            </w:pPr>
            <w:r w:rsidRPr="001244BB">
              <w:rPr>
                <w:rFonts w:eastAsia="Times New Roman" w:cstheme="minorHAnsi"/>
                <w:color w:val="000000"/>
                <w:sz w:val="20"/>
                <w:lang w:eastAsia="en-NZ"/>
              </w:rPr>
              <w:t xml:space="preserve">   269,028 </w:t>
            </w:r>
          </w:p>
        </w:tc>
        <w:tc>
          <w:tcPr>
            <w:tcW w:w="1134" w:type="dxa"/>
            <w:tcBorders>
              <w:top w:val="single" w:sz="4" w:space="0" w:color="FF3399"/>
              <w:left w:val="single" w:sz="4" w:space="0" w:color="FF3399"/>
              <w:bottom w:val="single" w:sz="4" w:space="0" w:color="FF3399"/>
              <w:right w:val="single" w:sz="4" w:space="0" w:color="FF3399"/>
            </w:tcBorders>
            <w:shd w:val="clear" w:color="auto" w:fill="auto"/>
            <w:noWrap/>
            <w:hideMark/>
          </w:tcPr>
          <w:p w:rsidR="00FA1738" w:rsidRPr="001244BB" w:rsidRDefault="00FA1738" w:rsidP="0025274D">
            <w:pPr>
              <w:spacing w:after="0" w:line="240" w:lineRule="auto"/>
              <w:jc w:val="right"/>
              <w:rPr>
                <w:rFonts w:eastAsia="Times New Roman" w:cstheme="minorHAnsi"/>
                <w:color w:val="000000"/>
                <w:sz w:val="20"/>
                <w:lang w:eastAsia="en-NZ"/>
              </w:rPr>
            </w:pPr>
            <w:r w:rsidRPr="001244BB">
              <w:rPr>
                <w:rFonts w:eastAsia="Times New Roman" w:cstheme="minorHAnsi"/>
                <w:color w:val="000000"/>
                <w:sz w:val="20"/>
                <w:lang w:eastAsia="en-NZ"/>
              </w:rPr>
              <w:t xml:space="preserve">   288,889 </w:t>
            </w:r>
          </w:p>
        </w:tc>
        <w:tc>
          <w:tcPr>
            <w:tcW w:w="1134" w:type="dxa"/>
            <w:tcBorders>
              <w:top w:val="single" w:sz="4" w:space="0" w:color="FF3399"/>
              <w:left w:val="single" w:sz="4" w:space="0" w:color="FF3399"/>
              <w:bottom w:val="single" w:sz="4" w:space="0" w:color="FF3399"/>
              <w:right w:val="single" w:sz="4" w:space="0" w:color="FF3399"/>
            </w:tcBorders>
            <w:shd w:val="clear" w:color="000000" w:fill="D9D9D9"/>
            <w:hideMark/>
          </w:tcPr>
          <w:p w:rsidR="00FA1738" w:rsidRPr="001244BB" w:rsidRDefault="00FA1738" w:rsidP="0025274D">
            <w:pPr>
              <w:spacing w:after="0" w:line="240" w:lineRule="auto"/>
              <w:jc w:val="right"/>
              <w:rPr>
                <w:rFonts w:eastAsia="Times New Roman" w:cstheme="minorHAnsi"/>
                <w:color w:val="000000"/>
                <w:sz w:val="20"/>
                <w:lang w:eastAsia="en-NZ"/>
              </w:rPr>
            </w:pPr>
            <w:r w:rsidRPr="001244BB">
              <w:rPr>
                <w:rFonts w:eastAsia="Times New Roman" w:cstheme="minorHAnsi"/>
                <w:color w:val="000000"/>
                <w:sz w:val="20"/>
                <w:lang w:eastAsia="en-NZ"/>
              </w:rPr>
              <w:t>237,000</w:t>
            </w:r>
          </w:p>
        </w:tc>
        <w:tc>
          <w:tcPr>
            <w:tcW w:w="708" w:type="dxa"/>
            <w:tcBorders>
              <w:top w:val="single" w:sz="4" w:space="0" w:color="FF3399"/>
              <w:left w:val="single" w:sz="4" w:space="0" w:color="FF3399"/>
              <w:bottom w:val="single" w:sz="4" w:space="0" w:color="FF3399"/>
              <w:right w:val="single" w:sz="4" w:space="0" w:color="FF3399"/>
            </w:tcBorders>
            <w:shd w:val="clear" w:color="auto" w:fill="auto"/>
            <w:hideMark/>
          </w:tcPr>
          <w:p w:rsidR="00FA1738" w:rsidRPr="001244BB" w:rsidRDefault="00FA1738" w:rsidP="0025274D">
            <w:pPr>
              <w:spacing w:after="0" w:line="240" w:lineRule="auto"/>
              <w:jc w:val="right"/>
              <w:rPr>
                <w:rFonts w:eastAsia="Times New Roman" w:cstheme="minorHAnsi"/>
                <w:color w:val="000000"/>
                <w:sz w:val="20"/>
                <w:lang w:eastAsia="en-NZ"/>
              </w:rPr>
            </w:pPr>
            <w:r w:rsidRPr="001244BB">
              <w:rPr>
                <w:rFonts w:eastAsia="Times New Roman" w:cstheme="minorHAnsi"/>
                <w:color w:val="000000"/>
                <w:sz w:val="20"/>
                <w:lang w:eastAsia="en-NZ"/>
              </w:rPr>
              <w:t>22%</w:t>
            </w:r>
          </w:p>
        </w:tc>
        <w:tc>
          <w:tcPr>
            <w:tcW w:w="1276" w:type="dxa"/>
            <w:tcBorders>
              <w:top w:val="single" w:sz="4" w:space="0" w:color="FF3399"/>
              <w:left w:val="single" w:sz="4" w:space="0" w:color="FF3399"/>
              <w:bottom w:val="single" w:sz="4" w:space="0" w:color="FF3399"/>
              <w:right w:val="single" w:sz="4" w:space="0" w:color="FF3399"/>
            </w:tcBorders>
            <w:shd w:val="clear" w:color="auto" w:fill="auto"/>
            <w:hideMark/>
          </w:tcPr>
          <w:p w:rsidR="00FA1738" w:rsidRPr="001244BB" w:rsidRDefault="00FA1738" w:rsidP="0025274D">
            <w:pPr>
              <w:spacing w:after="0" w:line="240" w:lineRule="auto"/>
              <w:jc w:val="right"/>
              <w:rPr>
                <w:rFonts w:eastAsia="Times New Roman" w:cstheme="minorHAnsi"/>
                <w:color w:val="000000"/>
                <w:sz w:val="20"/>
                <w:lang w:eastAsia="en-NZ"/>
              </w:rPr>
            </w:pPr>
            <w:r w:rsidRPr="001244BB">
              <w:rPr>
                <w:rFonts w:eastAsia="Times New Roman" w:cstheme="minorHAnsi"/>
                <w:color w:val="000000"/>
                <w:sz w:val="20"/>
                <w:lang w:eastAsia="en-NZ"/>
              </w:rPr>
              <w:t>exceeded</w:t>
            </w:r>
          </w:p>
        </w:tc>
        <w:tc>
          <w:tcPr>
            <w:tcW w:w="3827" w:type="dxa"/>
            <w:tcBorders>
              <w:top w:val="single" w:sz="4" w:space="0" w:color="FF3399"/>
              <w:left w:val="single" w:sz="4" w:space="0" w:color="FF3399"/>
              <w:bottom w:val="single" w:sz="4" w:space="0" w:color="FF3399"/>
              <w:right w:val="nil"/>
            </w:tcBorders>
            <w:shd w:val="clear" w:color="auto" w:fill="auto"/>
          </w:tcPr>
          <w:p w:rsidR="00FA1738" w:rsidRPr="001244BB" w:rsidRDefault="00FA1738" w:rsidP="0025274D">
            <w:pPr>
              <w:spacing w:after="0" w:line="240" w:lineRule="auto"/>
              <w:jc w:val="right"/>
              <w:rPr>
                <w:rFonts w:eastAsia="Times New Roman" w:cstheme="minorHAnsi"/>
                <w:color w:val="000000"/>
                <w:sz w:val="20"/>
                <w:lang w:eastAsia="en-NZ"/>
              </w:rPr>
            </w:pPr>
            <w:r w:rsidRPr="00A76CEA">
              <w:rPr>
                <w:rFonts w:eastAsia="Times New Roman" w:cstheme="minorHAnsi"/>
                <w:color w:val="000000"/>
                <w:sz w:val="20"/>
                <w:lang w:eastAsia="en-NZ"/>
              </w:rPr>
              <w:t>High numbers of cruise ship visitors and tourists.</w:t>
            </w:r>
          </w:p>
        </w:tc>
      </w:tr>
      <w:tr w:rsidR="00FA1738" w:rsidRPr="001244BB" w:rsidTr="006C5FB5">
        <w:trPr>
          <w:trHeight w:val="255"/>
        </w:trPr>
        <w:tc>
          <w:tcPr>
            <w:tcW w:w="3686" w:type="dxa"/>
            <w:tcBorders>
              <w:top w:val="single" w:sz="4" w:space="0" w:color="FF3399"/>
              <w:left w:val="nil"/>
              <w:bottom w:val="single" w:sz="4" w:space="0" w:color="FF3399"/>
              <w:right w:val="single" w:sz="4" w:space="0" w:color="FF3399"/>
            </w:tcBorders>
            <w:shd w:val="clear" w:color="auto" w:fill="auto"/>
            <w:hideMark/>
          </w:tcPr>
          <w:p w:rsidR="00FA1738" w:rsidRPr="001244BB" w:rsidRDefault="00FA1738" w:rsidP="0025274D">
            <w:pPr>
              <w:spacing w:after="0" w:line="240" w:lineRule="auto"/>
              <w:rPr>
                <w:rFonts w:eastAsia="Times New Roman" w:cstheme="minorHAnsi"/>
                <w:color w:val="000000"/>
                <w:sz w:val="20"/>
                <w:lang w:eastAsia="en-NZ"/>
              </w:rPr>
            </w:pPr>
            <w:r w:rsidRPr="001244BB">
              <w:rPr>
                <w:rFonts w:eastAsia="Times New Roman" w:cstheme="minorHAnsi"/>
                <w:color w:val="000000"/>
                <w:sz w:val="20"/>
                <w:lang w:eastAsia="en-NZ"/>
              </w:rPr>
              <w:t>Nairn Street Cottage</w:t>
            </w:r>
          </w:p>
        </w:tc>
        <w:tc>
          <w:tcPr>
            <w:tcW w:w="1276" w:type="dxa"/>
            <w:tcBorders>
              <w:top w:val="single" w:sz="4" w:space="0" w:color="FF3399"/>
              <w:left w:val="single" w:sz="4" w:space="0" w:color="FF3399"/>
              <w:bottom w:val="single" w:sz="4" w:space="0" w:color="FF3399"/>
              <w:right w:val="single" w:sz="4" w:space="0" w:color="FF3399"/>
            </w:tcBorders>
            <w:shd w:val="clear" w:color="auto" w:fill="auto"/>
            <w:noWrap/>
            <w:hideMark/>
          </w:tcPr>
          <w:p w:rsidR="00FA1738" w:rsidRPr="001244BB" w:rsidRDefault="00FA1738" w:rsidP="0025274D">
            <w:pPr>
              <w:spacing w:after="0" w:line="240" w:lineRule="auto"/>
              <w:jc w:val="right"/>
              <w:rPr>
                <w:rFonts w:eastAsia="Times New Roman" w:cstheme="minorHAnsi"/>
                <w:color w:val="000000"/>
                <w:sz w:val="20"/>
                <w:lang w:eastAsia="en-NZ"/>
              </w:rPr>
            </w:pPr>
            <w:r w:rsidRPr="001244BB">
              <w:rPr>
                <w:rFonts w:eastAsia="Times New Roman" w:cstheme="minorHAnsi"/>
                <w:color w:val="000000"/>
                <w:sz w:val="20"/>
                <w:lang w:eastAsia="en-NZ"/>
              </w:rPr>
              <w:t xml:space="preserve">        2,614 </w:t>
            </w:r>
          </w:p>
        </w:tc>
        <w:tc>
          <w:tcPr>
            <w:tcW w:w="1134" w:type="dxa"/>
            <w:tcBorders>
              <w:top w:val="single" w:sz="4" w:space="0" w:color="FF3399"/>
              <w:left w:val="single" w:sz="4" w:space="0" w:color="FF3399"/>
              <w:bottom w:val="single" w:sz="4" w:space="0" w:color="FF3399"/>
              <w:right w:val="single" w:sz="4" w:space="0" w:color="FF3399"/>
            </w:tcBorders>
            <w:shd w:val="clear" w:color="auto" w:fill="auto"/>
            <w:noWrap/>
            <w:hideMark/>
          </w:tcPr>
          <w:p w:rsidR="00FA1738" w:rsidRPr="001244BB" w:rsidRDefault="006C5FB5" w:rsidP="006C5FB5">
            <w:pPr>
              <w:spacing w:after="0" w:line="240" w:lineRule="auto"/>
              <w:jc w:val="right"/>
              <w:rPr>
                <w:rFonts w:eastAsia="Times New Roman" w:cstheme="minorHAnsi"/>
                <w:color w:val="000000"/>
                <w:sz w:val="20"/>
                <w:lang w:eastAsia="en-NZ"/>
              </w:rPr>
            </w:pPr>
            <w:r>
              <w:rPr>
                <w:rFonts w:eastAsia="Times New Roman" w:cstheme="minorHAnsi"/>
                <w:color w:val="000000"/>
                <w:sz w:val="20"/>
                <w:lang w:eastAsia="en-NZ"/>
              </w:rPr>
              <w:t xml:space="preserve"> </w:t>
            </w:r>
            <w:r w:rsidR="00FA1738" w:rsidRPr="001244BB">
              <w:rPr>
                <w:rFonts w:eastAsia="Times New Roman" w:cstheme="minorHAnsi"/>
                <w:color w:val="000000"/>
                <w:sz w:val="20"/>
                <w:lang w:eastAsia="en-NZ"/>
              </w:rPr>
              <w:t xml:space="preserve">1,724 </w:t>
            </w:r>
          </w:p>
        </w:tc>
        <w:tc>
          <w:tcPr>
            <w:tcW w:w="1134" w:type="dxa"/>
            <w:tcBorders>
              <w:top w:val="single" w:sz="4" w:space="0" w:color="FF3399"/>
              <w:left w:val="single" w:sz="4" w:space="0" w:color="FF3399"/>
              <w:bottom w:val="single" w:sz="4" w:space="0" w:color="FF3399"/>
              <w:right w:val="single" w:sz="4" w:space="0" w:color="FF3399"/>
            </w:tcBorders>
            <w:shd w:val="clear" w:color="auto" w:fill="auto"/>
            <w:noWrap/>
            <w:hideMark/>
          </w:tcPr>
          <w:p w:rsidR="00FA1738" w:rsidRPr="001244BB" w:rsidRDefault="00FA1738" w:rsidP="006C5FB5">
            <w:pPr>
              <w:spacing w:after="0" w:line="240" w:lineRule="auto"/>
              <w:jc w:val="right"/>
              <w:rPr>
                <w:rFonts w:eastAsia="Times New Roman" w:cstheme="minorHAnsi"/>
                <w:color w:val="000000"/>
                <w:sz w:val="20"/>
                <w:lang w:eastAsia="en-NZ"/>
              </w:rPr>
            </w:pPr>
            <w:r w:rsidRPr="001244BB">
              <w:rPr>
                <w:rFonts w:eastAsia="Times New Roman" w:cstheme="minorHAnsi"/>
                <w:color w:val="000000"/>
                <w:sz w:val="20"/>
                <w:lang w:eastAsia="en-NZ"/>
              </w:rPr>
              <w:t xml:space="preserve">2,104 </w:t>
            </w:r>
          </w:p>
        </w:tc>
        <w:tc>
          <w:tcPr>
            <w:tcW w:w="1134" w:type="dxa"/>
            <w:tcBorders>
              <w:top w:val="single" w:sz="4" w:space="0" w:color="FF3399"/>
              <w:left w:val="single" w:sz="4" w:space="0" w:color="FF3399"/>
              <w:bottom w:val="single" w:sz="4" w:space="0" w:color="FF3399"/>
              <w:right w:val="single" w:sz="4" w:space="0" w:color="FF3399"/>
            </w:tcBorders>
            <w:shd w:val="clear" w:color="000000" w:fill="D9D9D9"/>
            <w:hideMark/>
          </w:tcPr>
          <w:p w:rsidR="00FA1738" w:rsidRPr="001244BB" w:rsidRDefault="00FA1738" w:rsidP="0025274D">
            <w:pPr>
              <w:spacing w:after="0" w:line="240" w:lineRule="auto"/>
              <w:jc w:val="right"/>
              <w:rPr>
                <w:rFonts w:eastAsia="Times New Roman" w:cstheme="minorHAnsi"/>
                <w:color w:val="000000"/>
                <w:sz w:val="20"/>
                <w:lang w:eastAsia="en-NZ"/>
              </w:rPr>
            </w:pPr>
            <w:r w:rsidRPr="001244BB">
              <w:rPr>
                <w:rFonts w:eastAsia="Times New Roman" w:cstheme="minorHAnsi"/>
                <w:color w:val="000000"/>
                <w:sz w:val="20"/>
                <w:lang w:eastAsia="en-NZ"/>
              </w:rPr>
              <w:t>2,000</w:t>
            </w:r>
          </w:p>
        </w:tc>
        <w:tc>
          <w:tcPr>
            <w:tcW w:w="708" w:type="dxa"/>
            <w:tcBorders>
              <w:top w:val="single" w:sz="4" w:space="0" w:color="FF3399"/>
              <w:left w:val="single" w:sz="4" w:space="0" w:color="FF3399"/>
              <w:bottom w:val="single" w:sz="4" w:space="0" w:color="FF3399"/>
              <w:right w:val="single" w:sz="4" w:space="0" w:color="FF3399"/>
            </w:tcBorders>
            <w:shd w:val="clear" w:color="auto" w:fill="auto"/>
            <w:hideMark/>
          </w:tcPr>
          <w:p w:rsidR="00FA1738" w:rsidRPr="001244BB" w:rsidRDefault="00FA1738" w:rsidP="0025274D">
            <w:pPr>
              <w:spacing w:after="0" w:line="240" w:lineRule="auto"/>
              <w:jc w:val="right"/>
              <w:rPr>
                <w:rFonts w:eastAsia="Times New Roman" w:cstheme="minorHAnsi"/>
                <w:color w:val="000000"/>
                <w:sz w:val="20"/>
                <w:lang w:eastAsia="en-NZ"/>
              </w:rPr>
            </w:pPr>
            <w:r w:rsidRPr="001244BB">
              <w:rPr>
                <w:rFonts w:eastAsia="Times New Roman" w:cstheme="minorHAnsi"/>
                <w:color w:val="000000"/>
                <w:sz w:val="20"/>
                <w:lang w:eastAsia="en-NZ"/>
              </w:rPr>
              <w:t>5%</w:t>
            </w:r>
          </w:p>
        </w:tc>
        <w:tc>
          <w:tcPr>
            <w:tcW w:w="1276" w:type="dxa"/>
            <w:tcBorders>
              <w:top w:val="single" w:sz="4" w:space="0" w:color="FF3399"/>
              <w:left w:val="single" w:sz="4" w:space="0" w:color="FF3399"/>
              <w:bottom w:val="single" w:sz="4" w:space="0" w:color="FF3399"/>
              <w:right w:val="single" w:sz="4" w:space="0" w:color="FF3399"/>
            </w:tcBorders>
            <w:shd w:val="clear" w:color="auto" w:fill="auto"/>
            <w:hideMark/>
          </w:tcPr>
          <w:p w:rsidR="00FA1738" w:rsidRPr="001244BB" w:rsidRDefault="00D35437" w:rsidP="0025274D">
            <w:pPr>
              <w:spacing w:after="0" w:line="240" w:lineRule="auto"/>
              <w:jc w:val="right"/>
              <w:rPr>
                <w:rFonts w:eastAsia="Times New Roman" w:cstheme="minorHAnsi"/>
                <w:color w:val="000000"/>
                <w:sz w:val="20"/>
                <w:lang w:eastAsia="en-NZ"/>
              </w:rPr>
            </w:pPr>
            <w:r>
              <w:rPr>
                <w:rFonts w:eastAsia="Times New Roman" w:cstheme="minorHAnsi"/>
                <w:color w:val="000000"/>
                <w:sz w:val="20"/>
                <w:lang w:eastAsia="en-NZ"/>
              </w:rPr>
              <w:t>Within 10%</w:t>
            </w:r>
          </w:p>
        </w:tc>
        <w:tc>
          <w:tcPr>
            <w:tcW w:w="3827" w:type="dxa"/>
            <w:tcBorders>
              <w:top w:val="single" w:sz="4" w:space="0" w:color="FF3399"/>
              <w:left w:val="single" w:sz="4" w:space="0" w:color="FF3399"/>
              <w:bottom w:val="single" w:sz="4" w:space="0" w:color="FF3399"/>
              <w:right w:val="nil"/>
            </w:tcBorders>
            <w:shd w:val="clear" w:color="auto" w:fill="auto"/>
          </w:tcPr>
          <w:p w:rsidR="00FA1738" w:rsidRPr="001244BB" w:rsidRDefault="00FA1738" w:rsidP="0025274D">
            <w:pPr>
              <w:spacing w:after="0" w:line="240" w:lineRule="auto"/>
              <w:jc w:val="right"/>
              <w:rPr>
                <w:rFonts w:eastAsia="Times New Roman" w:cstheme="minorHAnsi"/>
                <w:color w:val="000000"/>
                <w:sz w:val="20"/>
                <w:lang w:eastAsia="en-NZ"/>
              </w:rPr>
            </w:pPr>
          </w:p>
        </w:tc>
      </w:tr>
      <w:tr w:rsidR="00FA1738" w:rsidRPr="001244BB" w:rsidTr="00FA1738">
        <w:trPr>
          <w:trHeight w:val="255"/>
        </w:trPr>
        <w:tc>
          <w:tcPr>
            <w:tcW w:w="3686" w:type="dxa"/>
            <w:tcBorders>
              <w:top w:val="single" w:sz="4" w:space="0" w:color="FF3399"/>
              <w:left w:val="nil"/>
              <w:bottom w:val="single" w:sz="4" w:space="0" w:color="FF3399"/>
              <w:right w:val="single" w:sz="4" w:space="0" w:color="FF3399"/>
            </w:tcBorders>
            <w:shd w:val="clear" w:color="auto" w:fill="auto"/>
            <w:hideMark/>
          </w:tcPr>
          <w:p w:rsidR="00FA1738" w:rsidRPr="001244BB" w:rsidRDefault="00FA1738" w:rsidP="0025274D">
            <w:pPr>
              <w:spacing w:after="0" w:line="240" w:lineRule="auto"/>
              <w:rPr>
                <w:rFonts w:eastAsia="Times New Roman" w:cstheme="minorHAnsi"/>
                <w:color w:val="000000"/>
                <w:sz w:val="20"/>
                <w:lang w:eastAsia="en-NZ"/>
              </w:rPr>
            </w:pPr>
            <w:r w:rsidRPr="001244BB">
              <w:rPr>
                <w:rFonts w:eastAsia="Times New Roman" w:cstheme="minorHAnsi"/>
                <w:color w:val="000000"/>
                <w:sz w:val="20"/>
                <w:lang w:eastAsia="en-NZ"/>
              </w:rPr>
              <w:t>Capital E</w:t>
            </w:r>
          </w:p>
        </w:tc>
        <w:tc>
          <w:tcPr>
            <w:tcW w:w="1276" w:type="dxa"/>
            <w:tcBorders>
              <w:top w:val="single" w:sz="4" w:space="0" w:color="FF3399"/>
              <w:left w:val="single" w:sz="4" w:space="0" w:color="FF3399"/>
              <w:bottom w:val="single" w:sz="4" w:space="0" w:color="FF3399"/>
              <w:right w:val="single" w:sz="4" w:space="0" w:color="FF3399"/>
            </w:tcBorders>
            <w:shd w:val="clear" w:color="auto" w:fill="auto"/>
            <w:noWrap/>
            <w:hideMark/>
          </w:tcPr>
          <w:p w:rsidR="00FA1738" w:rsidRPr="001244BB" w:rsidRDefault="00FA1738" w:rsidP="0025274D">
            <w:pPr>
              <w:spacing w:after="0" w:line="240" w:lineRule="auto"/>
              <w:jc w:val="right"/>
              <w:rPr>
                <w:rFonts w:eastAsia="Times New Roman" w:cstheme="minorHAnsi"/>
                <w:color w:val="000000"/>
                <w:sz w:val="20"/>
                <w:lang w:eastAsia="en-NZ"/>
              </w:rPr>
            </w:pPr>
            <w:r w:rsidRPr="001244BB">
              <w:rPr>
                <w:rFonts w:eastAsia="Times New Roman" w:cstheme="minorHAnsi"/>
                <w:color w:val="000000"/>
                <w:sz w:val="20"/>
                <w:lang w:eastAsia="en-NZ"/>
              </w:rPr>
              <w:t xml:space="preserve">   161,869 </w:t>
            </w:r>
          </w:p>
        </w:tc>
        <w:tc>
          <w:tcPr>
            <w:tcW w:w="1134" w:type="dxa"/>
            <w:tcBorders>
              <w:top w:val="single" w:sz="4" w:space="0" w:color="FF3399"/>
              <w:left w:val="single" w:sz="4" w:space="0" w:color="FF3399"/>
              <w:bottom w:val="single" w:sz="4" w:space="0" w:color="FF3399"/>
              <w:right w:val="single" w:sz="4" w:space="0" w:color="FF3399"/>
            </w:tcBorders>
            <w:shd w:val="clear" w:color="auto" w:fill="auto"/>
            <w:noWrap/>
            <w:hideMark/>
          </w:tcPr>
          <w:p w:rsidR="00FA1738" w:rsidRPr="001244BB" w:rsidRDefault="00FA1738" w:rsidP="0025274D">
            <w:pPr>
              <w:spacing w:after="0" w:line="240" w:lineRule="auto"/>
              <w:jc w:val="right"/>
              <w:rPr>
                <w:rFonts w:eastAsia="Times New Roman" w:cstheme="minorHAnsi"/>
                <w:color w:val="000000"/>
                <w:sz w:val="20"/>
                <w:lang w:eastAsia="en-NZ"/>
              </w:rPr>
            </w:pPr>
            <w:r w:rsidRPr="001244BB">
              <w:rPr>
                <w:rFonts w:eastAsia="Times New Roman" w:cstheme="minorHAnsi"/>
                <w:color w:val="000000"/>
                <w:sz w:val="20"/>
                <w:lang w:eastAsia="en-NZ"/>
              </w:rPr>
              <w:t xml:space="preserve">   113,414 </w:t>
            </w:r>
          </w:p>
        </w:tc>
        <w:tc>
          <w:tcPr>
            <w:tcW w:w="1134" w:type="dxa"/>
            <w:tcBorders>
              <w:top w:val="single" w:sz="4" w:space="0" w:color="FF3399"/>
              <w:left w:val="single" w:sz="4" w:space="0" w:color="FF3399"/>
              <w:bottom w:val="single" w:sz="4" w:space="0" w:color="FF3399"/>
              <w:right w:val="single" w:sz="4" w:space="0" w:color="FF3399"/>
            </w:tcBorders>
            <w:shd w:val="clear" w:color="auto" w:fill="auto"/>
            <w:noWrap/>
            <w:hideMark/>
          </w:tcPr>
          <w:p w:rsidR="00FA1738" w:rsidRPr="001244BB" w:rsidRDefault="00FA1738" w:rsidP="0025274D">
            <w:pPr>
              <w:spacing w:after="0" w:line="240" w:lineRule="auto"/>
              <w:jc w:val="right"/>
              <w:rPr>
                <w:rFonts w:eastAsia="Times New Roman" w:cstheme="minorHAnsi"/>
                <w:color w:val="000000"/>
                <w:sz w:val="20"/>
                <w:lang w:eastAsia="en-NZ"/>
              </w:rPr>
            </w:pPr>
            <w:r w:rsidRPr="001244BB">
              <w:rPr>
                <w:rFonts w:eastAsia="Times New Roman" w:cstheme="minorHAnsi"/>
                <w:color w:val="000000"/>
                <w:sz w:val="20"/>
                <w:lang w:eastAsia="en-NZ"/>
              </w:rPr>
              <w:t xml:space="preserve">   137,015 </w:t>
            </w:r>
          </w:p>
        </w:tc>
        <w:tc>
          <w:tcPr>
            <w:tcW w:w="1134" w:type="dxa"/>
            <w:tcBorders>
              <w:top w:val="single" w:sz="4" w:space="0" w:color="FF3399"/>
              <w:left w:val="single" w:sz="4" w:space="0" w:color="FF3399"/>
              <w:bottom w:val="single" w:sz="4" w:space="0" w:color="FF3399"/>
              <w:right w:val="single" w:sz="4" w:space="0" w:color="FF3399"/>
            </w:tcBorders>
            <w:shd w:val="clear" w:color="000000" w:fill="D9D9D9"/>
            <w:hideMark/>
          </w:tcPr>
          <w:p w:rsidR="00FA1738" w:rsidRPr="001244BB" w:rsidRDefault="00FA1738" w:rsidP="0025274D">
            <w:pPr>
              <w:spacing w:after="0" w:line="240" w:lineRule="auto"/>
              <w:jc w:val="right"/>
              <w:rPr>
                <w:rFonts w:eastAsia="Times New Roman" w:cstheme="minorHAnsi"/>
                <w:color w:val="000000"/>
                <w:sz w:val="20"/>
                <w:lang w:eastAsia="en-NZ"/>
              </w:rPr>
            </w:pPr>
            <w:r w:rsidRPr="001244BB">
              <w:rPr>
                <w:rFonts w:eastAsia="Times New Roman" w:cstheme="minorHAnsi"/>
                <w:color w:val="000000"/>
                <w:sz w:val="20"/>
                <w:lang w:eastAsia="en-NZ"/>
              </w:rPr>
              <w:t>157,500</w:t>
            </w:r>
          </w:p>
        </w:tc>
        <w:tc>
          <w:tcPr>
            <w:tcW w:w="708" w:type="dxa"/>
            <w:tcBorders>
              <w:top w:val="single" w:sz="4" w:space="0" w:color="FF3399"/>
              <w:left w:val="single" w:sz="4" w:space="0" w:color="FF3399"/>
              <w:bottom w:val="single" w:sz="4" w:space="0" w:color="FF3399"/>
              <w:right w:val="single" w:sz="4" w:space="0" w:color="FF3399"/>
            </w:tcBorders>
            <w:shd w:val="clear" w:color="auto" w:fill="auto"/>
            <w:hideMark/>
          </w:tcPr>
          <w:p w:rsidR="00FA1738" w:rsidRPr="001244BB" w:rsidRDefault="00FA1738" w:rsidP="0025274D">
            <w:pPr>
              <w:spacing w:after="0" w:line="240" w:lineRule="auto"/>
              <w:jc w:val="right"/>
              <w:rPr>
                <w:rFonts w:eastAsia="Times New Roman" w:cstheme="minorHAnsi"/>
                <w:sz w:val="20"/>
                <w:lang w:eastAsia="en-NZ"/>
              </w:rPr>
            </w:pPr>
            <w:r w:rsidRPr="001244BB">
              <w:rPr>
                <w:rFonts w:eastAsia="Times New Roman" w:cstheme="minorHAnsi"/>
                <w:sz w:val="20"/>
                <w:lang w:eastAsia="en-NZ"/>
              </w:rPr>
              <w:t>-13%</w:t>
            </w:r>
          </w:p>
        </w:tc>
        <w:tc>
          <w:tcPr>
            <w:tcW w:w="1276" w:type="dxa"/>
            <w:tcBorders>
              <w:top w:val="single" w:sz="4" w:space="0" w:color="FF3399"/>
              <w:left w:val="single" w:sz="4" w:space="0" w:color="FF3399"/>
              <w:bottom w:val="single" w:sz="4" w:space="0" w:color="FF3399"/>
              <w:right w:val="single" w:sz="4" w:space="0" w:color="FF3399"/>
            </w:tcBorders>
            <w:shd w:val="clear" w:color="auto" w:fill="auto"/>
            <w:hideMark/>
          </w:tcPr>
          <w:p w:rsidR="00FA1738" w:rsidRPr="001244BB" w:rsidRDefault="00FA1738" w:rsidP="0025274D">
            <w:pPr>
              <w:spacing w:after="0" w:line="240" w:lineRule="auto"/>
              <w:jc w:val="right"/>
              <w:rPr>
                <w:rFonts w:eastAsia="Times New Roman" w:cstheme="minorHAnsi"/>
                <w:sz w:val="20"/>
                <w:lang w:eastAsia="en-NZ"/>
              </w:rPr>
            </w:pPr>
            <w:r w:rsidRPr="001244BB">
              <w:rPr>
                <w:rFonts w:eastAsia="Times New Roman" w:cstheme="minorHAnsi"/>
                <w:sz w:val="20"/>
                <w:lang w:eastAsia="en-NZ"/>
              </w:rPr>
              <w:t>not met</w:t>
            </w:r>
          </w:p>
        </w:tc>
        <w:tc>
          <w:tcPr>
            <w:tcW w:w="3827" w:type="dxa"/>
            <w:tcBorders>
              <w:top w:val="single" w:sz="4" w:space="0" w:color="FF3399"/>
              <w:left w:val="single" w:sz="4" w:space="0" w:color="FF3399"/>
              <w:bottom w:val="single" w:sz="4" w:space="0" w:color="FF3399"/>
              <w:right w:val="nil"/>
            </w:tcBorders>
            <w:shd w:val="clear" w:color="auto" w:fill="auto"/>
          </w:tcPr>
          <w:p w:rsidR="00FA1738" w:rsidRPr="001244BB" w:rsidRDefault="003F42D9" w:rsidP="003F42D9">
            <w:pPr>
              <w:spacing w:after="0" w:line="240" w:lineRule="auto"/>
              <w:jc w:val="right"/>
              <w:rPr>
                <w:rFonts w:eastAsia="Times New Roman" w:cstheme="minorHAnsi"/>
                <w:color w:val="000000"/>
                <w:sz w:val="20"/>
                <w:lang w:eastAsia="en-NZ"/>
              </w:rPr>
            </w:pPr>
            <w:r w:rsidRPr="003F42D9">
              <w:rPr>
                <w:rFonts w:eastAsia="Times New Roman" w:cstheme="minorHAnsi"/>
                <w:color w:val="000000"/>
                <w:sz w:val="20"/>
                <w:lang w:eastAsia="en-NZ"/>
              </w:rPr>
              <w:t xml:space="preserve">The main contributor to this </w:t>
            </w:r>
            <w:r>
              <w:rPr>
                <w:rFonts w:eastAsia="Times New Roman" w:cstheme="minorHAnsi"/>
                <w:color w:val="000000"/>
                <w:sz w:val="20"/>
                <w:lang w:eastAsia="en-NZ"/>
              </w:rPr>
              <w:t xml:space="preserve">variance </w:t>
            </w:r>
            <w:r w:rsidRPr="003F42D9">
              <w:rPr>
                <w:rFonts w:eastAsia="Times New Roman" w:cstheme="minorHAnsi"/>
                <w:color w:val="000000"/>
                <w:sz w:val="20"/>
                <w:lang w:eastAsia="en-NZ"/>
              </w:rPr>
              <w:t xml:space="preserve">was the cancellation of the 2019 LUX Light Festival which </w:t>
            </w:r>
            <w:r>
              <w:rPr>
                <w:rFonts w:eastAsia="Times New Roman" w:cstheme="minorHAnsi"/>
                <w:color w:val="000000"/>
                <w:sz w:val="20"/>
                <w:lang w:eastAsia="en-NZ"/>
              </w:rPr>
              <w:t>was</w:t>
            </w:r>
            <w:r w:rsidRPr="003F42D9">
              <w:rPr>
                <w:rFonts w:eastAsia="Times New Roman" w:cstheme="minorHAnsi"/>
                <w:color w:val="000000"/>
                <w:sz w:val="20"/>
                <w:lang w:eastAsia="en-NZ"/>
              </w:rPr>
              <w:t xml:space="preserve"> included in our visitor calculation at around 30K visits based on the 2018 result for LUX.</w:t>
            </w:r>
          </w:p>
        </w:tc>
      </w:tr>
      <w:tr w:rsidR="00FA1738" w:rsidRPr="001244BB" w:rsidTr="006C5FB5">
        <w:trPr>
          <w:trHeight w:val="270"/>
        </w:trPr>
        <w:tc>
          <w:tcPr>
            <w:tcW w:w="3686" w:type="dxa"/>
            <w:tcBorders>
              <w:top w:val="single" w:sz="4" w:space="0" w:color="FF3399"/>
              <w:left w:val="nil"/>
              <w:bottom w:val="single" w:sz="4" w:space="0" w:color="FF3399"/>
              <w:right w:val="single" w:sz="4" w:space="0" w:color="FF3399"/>
            </w:tcBorders>
            <w:shd w:val="clear" w:color="auto" w:fill="auto"/>
            <w:hideMark/>
          </w:tcPr>
          <w:p w:rsidR="00FA1738" w:rsidRPr="001244BB" w:rsidRDefault="00FA1738" w:rsidP="0025274D">
            <w:pPr>
              <w:spacing w:after="0" w:line="240" w:lineRule="auto"/>
              <w:rPr>
                <w:rFonts w:eastAsia="Times New Roman" w:cstheme="minorHAnsi"/>
                <w:color w:val="000000"/>
                <w:sz w:val="20"/>
                <w:lang w:eastAsia="en-NZ"/>
              </w:rPr>
            </w:pPr>
            <w:r w:rsidRPr="001244BB">
              <w:rPr>
                <w:rFonts w:eastAsia="Times New Roman" w:cstheme="minorHAnsi"/>
                <w:color w:val="000000"/>
                <w:sz w:val="20"/>
                <w:lang w:eastAsia="en-NZ"/>
              </w:rPr>
              <w:t>Space Place</w:t>
            </w:r>
          </w:p>
        </w:tc>
        <w:tc>
          <w:tcPr>
            <w:tcW w:w="1276" w:type="dxa"/>
            <w:tcBorders>
              <w:top w:val="single" w:sz="4" w:space="0" w:color="FF3399"/>
              <w:left w:val="single" w:sz="4" w:space="0" w:color="FF3399"/>
              <w:bottom w:val="single" w:sz="4" w:space="0" w:color="FF3399"/>
              <w:right w:val="single" w:sz="4" w:space="0" w:color="FF3399"/>
            </w:tcBorders>
            <w:shd w:val="clear" w:color="auto" w:fill="auto"/>
            <w:noWrap/>
            <w:hideMark/>
          </w:tcPr>
          <w:p w:rsidR="00FA1738" w:rsidRPr="001244BB" w:rsidRDefault="00FA1738" w:rsidP="0025274D">
            <w:pPr>
              <w:spacing w:after="0" w:line="240" w:lineRule="auto"/>
              <w:jc w:val="right"/>
              <w:rPr>
                <w:rFonts w:eastAsia="Times New Roman" w:cstheme="minorHAnsi"/>
                <w:color w:val="000000"/>
                <w:sz w:val="20"/>
                <w:lang w:eastAsia="en-NZ"/>
              </w:rPr>
            </w:pPr>
            <w:r w:rsidRPr="001244BB">
              <w:rPr>
                <w:rFonts w:eastAsia="Times New Roman" w:cstheme="minorHAnsi"/>
                <w:color w:val="000000"/>
                <w:sz w:val="20"/>
                <w:lang w:eastAsia="en-NZ"/>
              </w:rPr>
              <w:t xml:space="preserve">      54,109 </w:t>
            </w:r>
          </w:p>
        </w:tc>
        <w:tc>
          <w:tcPr>
            <w:tcW w:w="1134" w:type="dxa"/>
            <w:tcBorders>
              <w:top w:val="single" w:sz="4" w:space="0" w:color="FF3399"/>
              <w:left w:val="single" w:sz="4" w:space="0" w:color="FF3399"/>
              <w:bottom w:val="single" w:sz="4" w:space="0" w:color="FF3399"/>
              <w:right w:val="single" w:sz="4" w:space="0" w:color="FF3399"/>
            </w:tcBorders>
            <w:shd w:val="clear" w:color="auto" w:fill="auto"/>
            <w:noWrap/>
            <w:hideMark/>
          </w:tcPr>
          <w:p w:rsidR="00FA1738" w:rsidRPr="001244BB" w:rsidRDefault="00FA1738" w:rsidP="006C5FB5">
            <w:pPr>
              <w:spacing w:after="0" w:line="240" w:lineRule="auto"/>
              <w:jc w:val="right"/>
              <w:rPr>
                <w:rFonts w:eastAsia="Times New Roman" w:cstheme="minorHAnsi"/>
                <w:color w:val="000000"/>
                <w:sz w:val="20"/>
                <w:lang w:eastAsia="en-NZ"/>
              </w:rPr>
            </w:pPr>
            <w:r w:rsidRPr="001244BB">
              <w:rPr>
                <w:rFonts w:eastAsia="Times New Roman" w:cstheme="minorHAnsi"/>
                <w:color w:val="000000"/>
                <w:sz w:val="20"/>
                <w:lang w:eastAsia="en-NZ"/>
              </w:rPr>
              <w:t xml:space="preserve">60,441 </w:t>
            </w:r>
          </w:p>
        </w:tc>
        <w:tc>
          <w:tcPr>
            <w:tcW w:w="1134" w:type="dxa"/>
            <w:tcBorders>
              <w:top w:val="single" w:sz="4" w:space="0" w:color="FF3399"/>
              <w:left w:val="single" w:sz="4" w:space="0" w:color="FF3399"/>
              <w:bottom w:val="single" w:sz="4" w:space="0" w:color="FF3399"/>
              <w:right w:val="single" w:sz="4" w:space="0" w:color="FF3399"/>
            </w:tcBorders>
            <w:shd w:val="clear" w:color="auto" w:fill="auto"/>
            <w:noWrap/>
            <w:hideMark/>
          </w:tcPr>
          <w:p w:rsidR="00FA1738" w:rsidRPr="001244BB" w:rsidRDefault="00FA1738" w:rsidP="006C5FB5">
            <w:pPr>
              <w:spacing w:after="0" w:line="240" w:lineRule="auto"/>
              <w:jc w:val="right"/>
              <w:rPr>
                <w:rFonts w:eastAsia="Times New Roman" w:cstheme="minorHAnsi"/>
                <w:color w:val="000000"/>
                <w:sz w:val="20"/>
                <w:lang w:eastAsia="en-NZ"/>
              </w:rPr>
            </w:pPr>
            <w:r w:rsidRPr="001244BB">
              <w:rPr>
                <w:rFonts w:eastAsia="Times New Roman" w:cstheme="minorHAnsi"/>
                <w:color w:val="000000"/>
                <w:sz w:val="20"/>
                <w:lang w:eastAsia="en-NZ"/>
              </w:rPr>
              <w:t xml:space="preserve">55,683 </w:t>
            </w:r>
          </w:p>
        </w:tc>
        <w:tc>
          <w:tcPr>
            <w:tcW w:w="1134" w:type="dxa"/>
            <w:tcBorders>
              <w:top w:val="single" w:sz="4" w:space="0" w:color="FF3399"/>
              <w:left w:val="single" w:sz="4" w:space="0" w:color="FF3399"/>
              <w:bottom w:val="single" w:sz="4" w:space="0" w:color="FF3399"/>
              <w:right w:val="single" w:sz="4" w:space="0" w:color="FF3399"/>
            </w:tcBorders>
            <w:shd w:val="clear" w:color="000000" w:fill="D9D9D9"/>
            <w:hideMark/>
          </w:tcPr>
          <w:p w:rsidR="00FA1738" w:rsidRPr="001244BB" w:rsidRDefault="00FA1738" w:rsidP="0025274D">
            <w:pPr>
              <w:spacing w:after="0" w:line="240" w:lineRule="auto"/>
              <w:jc w:val="right"/>
              <w:rPr>
                <w:rFonts w:eastAsia="Times New Roman" w:cstheme="minorHAnsi"/>
                <w:color w:val="000000"/>
                <w:sz w:val="20"/>
                <w:lang w:eastAsia="en-NZ"/>
              </w:rPr>
            </w:pPr>
            <w:r w:rsidRPr="001244BB">
              <w:rPr>
                <w:rFonts w:eastAsia="Times New Roman" w:cstheme="minorHAnsi"/>
                <w:color w:val="000000"/>
                <w:sz w:val="20"/>
                <w:lang w:eastAsia="en-NZ"/>
              </w:rPr>
              <w:t>55,000</w:t>
            </w:r>
          </w:p>
        </w:tc>
        <w:tc>
          <w:tcPr>
            <w:tcW w:w="708" w:type="dxa"/>
            <w:tcBorders>
              <w:top w:val="single" w:sz="4" w:space="0" w:color="FF3399"/>
              <w:left w:val="single" w:sz="4" w:space="0" w:color="FF3399"/>
              <w:bottom w:val="single" w:sz="4" w:space="0" w:color="FF3399"/>
              <w:right w:val="single" w:sz="4" w:space="0" w:color="FF3399"/>
            </w:tcBorders>
            <w:shd w:val="clear" w:color="auto" w:fill="auto"/>
            <w:hideMark/>
          </w:tcPr>
          <w:p w:rsidR="00FA1738" w:rsidRPr="001244BB" w:rsidRDefault="00FA1738" w:rsidP="0025274D">
            <w:pPr>
              <w:spacing w:after="0" w:line="240" w:lineRule="auto"/>
              <w:jc w:val="right"/>
              <w:rPr>
                <w:rFonts w:eastAsia="Times New Roman" w:cstheme="minorHAnsi"/>
                <w:color w:val="000000"/>
                <w:sz w:val="20"/>
                <w:lang w:eastAsia="en-NZ"/>
              </w:rPr>
            </w:pPr>
            <w:r w:rsidRPr="001244BB">
              <w:rPr>
                <w:rFonts w:eastAsia="Times New Roman" w:cstheme="minorHAnsi"/>
                <w:color w:val="000000"/>
                <w:sz w:val="20"/>
                <w:lang w:eastAsia="en-NZ"/>
              </w:rPr>
              <w:t>1%</w:t>
            </w:r>
          </w:p>
        </w:tc>
        <w:tc>
          <w:tcPr>
            <w:tcW w:w="1276" w:type="dxa"/>
            <w:tcBorders>
              <w:top w:val="single" w:sz="4" w:space="0" w:color="FF3399"/>
              <w:left w:val="single" w:sz="4" w:space="0" w:color="FF3399"/>
              <w:bottom w:val="single" w:sz="4" w:space="0" w:color="FF3399"/>
              <w:right w:val="single" w:sz="4" w:space="0" w:color="FF3399"/>
            </w:tcBorders>
            <w:shd w:val="clear" w:color="auto" w:fill="auto"/>
            <w:hideMark/>
          </w:tcPr>
          <w:p w:rsidR="00FA1738" w:rsidRPr="001244BB" w:rsidRDefault="00D35437" w:rsidP="0025274D">
            <w:pPr>
              <w:spacing w:after="0" w:line="240" w:lineRule="auto"/>
              <w:jc w:val="right"/>
              <w:rPr>
                <w:rFonts w:eastAsia="Times New Roman" w:cstheme="minorHAnsi"/>
                <w:color w:val="000000"/>
                <w:sz w:val="20"/>
                <w:lang w:eastAsia="en-NZ"/>
              </w:rPr>
            </w:pPr>
            <w:r>
              <w:rPr>
                <w:rFonts w:eastAsia="Times New Roman" w:cstheme="minorHAnsi"/>
                <w:color w:val="000000"/>
                <w:sz w:val="20"/>
                <w:lang w:eastAsia="en-NZ"/>
              </w:rPr>
              <w:t>Within 10%</w:t>
            </w:r>
          </w:p>
        </w:tc>
        <w:tc>
          <w:tcPr>
            <w:tcW w:w="3827" w:type="dxa"/>
            <w:tcBorders>
              <w:top w:val="single" w:sz="4" w:space="0" w:color="FF3399"/>
              <w:left w:val="single" w:sz="4" w:space="0" w:color="FF3399"/>
              <w:bottom w:val="single" w:sz="4" w:space="0" w:color="FF3399"/>
              <w:right w:val="nil"/>
            </w:tcBorders>
            <w:shd w:val="clear" w:color="auto" w:fill="auto"/>
          </w:tcPr>
          <w:p w:rsidR="00FA1738" w:rsidRPr="001244BB" w:rsidRDefault="00FA1738" w:rsidP="0025274D">
            <w:pPr>
              <w:spacing w:after="0" w:line="240" w:lineRule="auto"/>
              <w:jc w:val="right"/>
              <w:rPr>
                <w:rFonts w:eastAsia="Times New Roman" w:cstheme="minorHAnsi"/>
                <w:color w:val="000000"/>
                <w:sz w:val="20"/>
                <w:lang w:eastAsia="en-NZ"/>
              </w:rPr>
            </w:pPr>
          </w:p>
        </w:tc>
      </w:tr>
      <w:tr w:rsidR="00857FA4" w:rsidRPr="00857FA4" w:rsidTr="00FA1738">
        <w:trPr>
          <w:trHeight w:val="315"/>
        </w:trPr>
        <w:tc>
          <w:tcPr>
            <w:tcW w:w="14175" w:type="dxa"/>
            <w:gridSpan w:val="8"/>
            <w:tcBorders>
              <w:top w:val="single" w:sz="4" w:space="0" w:color="FF3399"/>
              <w:bottom w:val="single" w:sz="4" w:space="0" w:color="FF3399"/>
              <w:right w:val="nil"/>
            </w:tcBorders>
            <w:shd w:val="clear" w:color="auto" w:fill="FFC9E4"/>
            <w:hideMark/>
          </w:tcPr>
          <w:p w:rsidR="00FA1738" w:rsidRPr="00857FA4" w:rsidRDefault="00FA1738" w:rsidP="0025274D">
            <w:pPr>
              <w:spacing w:after="0" w:line="240" w:lineRule="auto"/>
              <w:rPr>
                <w:rFonts w:eastAsia="Times New Roman" w:cstheme="minorHAnsi"/>
                <w:b/>
                <w:sz w:val="20"/>
                <w:lang w:eastAsia="en-NZ"/>
              </w:rPr>
            </w:pPr>
            <w:r w:rsidRPr="00857FA4">
              <w:rPr>
                <w:rFonts w:eastAsia="Times New Roman" w:cstheme="minorHAnsi"/>
                <w:b/>
                <w:lang w:eastAsia="en-NZ"/>
              </w:rPr>
              <w:t>Wellington Museums Trust</w:t>
            </w:r>
            <w:r w:rsidR="0022119B" w:rsidRPr="00857FA4">
              <w:rPr>
                <w:rFonts w:eastAsia="Times New Roman" w:cstheme="minorHAnsi"/>
                <w:b/>
                <w:lang w:eastAsia="en-NZ"/>
              </w:rPr>
              <w:t>*</w:t>
            </w:r>
            <w:r w:rsidRPr="00857FA4">
              <w:rPr>
                <w:rFonts w:eastAsia="Times New Roman" w:cstheme="minorHAnsi"/>
                <w:b/>
                <w:lang w:eastAsia="en-NZ"/>
              </w:rPr>
              <w:t xml:space="preserve"> - Funding support </w:t>
            </w:r>
          </w:p>
        </w:tc>
      </w:tr>
      <w:tr w:rsidR="00D35437" w:rsidRPr="00FA1738" w:rsidTr="00FA1738">
        <w:trPr>
          <w:trHeight w:val="255"/>
        </w:trPr>
        <w:tc>
          <w:tcPr>
            <w:tcW w:w="3686" w:type="dxa"/>
            <w:tcBorders>
              <w:top w:val="single" w:sz="4" w:space="0" w:color="FF3399"/>
              <w:left w:val="nil"/>
              <w:bottom w:val="single" w:sz="4" w:space="0" w:color="FF3399"/>
              <w:right w:val="single" w:sz="4" w:space="0" w:color="FF3399"/>
            </w:tcBorders>
            <w:shd w:val="clear" w:color="auto" w:fill="auto"/>
            <w:hideMark/>
          </w:tcPr>
          <w:p w:rsidR="00D35437" w:rsidRPr="001244BB" w:rsidRDefault="00D35437" w:rsidP="0025274D">
            <w:pPr>
              <w:spacing w:after="0" w:line="240" w:lineRule="auto"/>
              <w:rPr>
                <w:rFonts w:eastAsia="Times New Roman" w:cstheme="minorHAnsi"/>
                <w:color w:val="000000"/>
                <w:sz w:val="20"/>
                <w:lang w:eastAsia="en-NZ"/>
              </w:rPr>
            </w:pPr>
            <w:r w:rsidRPr="001244BB">
              <w:rPr>
                <w:rFonts w:eastAsia="Times New Roman" w:cstheme="minorHAnsi"/>
                <w:color w:val="000000"/>
                <w:sz w:val="20"/>
                <w:lang w:eastAsia="en-NZ"/>
              </w:rPr>
              <w:t>Full WCC subsidy per visit</w:t>
            </w:r>
          </w:p>
        </w:tc>
        <w:tc>
          <w:tcPr>
            <w:tcW w:w="1276" w:type="dxa"/>
            <w:tcBorders>
              <w:top w:val="single" w:sz="4" w:space="0" w:color="FF3399"/>
              <w:left w:val="single" w:sz="4" w:space="0" w:color="FF3399"/>
              <w:bottom w:val="single" w:sz="4" w:space="0" w:color="FF3399"/>
              <w:right w:val="single" w:sz="4" w:space="0" w:color="FF3399"/>
            </w:tcBorders>
            <w:shd w:val="clear" w:color="auto" w:fill="auto"/>
            <w:hideMark/>
          </w:tcPr>
          <w:p w:rsidR="00D35437" w:rsidRPr="001244BB" w:rsidRDefault="00D35437" w:rsidP="0025274D">
            <w:pPr>
              <w:spacing w:after="0" w:line="240" w:lineRule="auto"/>
              <w:jc w:val="right"/>
              <w:rPr>
                <w:rFonts w:eastAsia="Times New Roman" w:cstheme="minorHAnsi"/>
                <w:color w:val="000000"/>
                <w:sz w:val="20"/>
                <w:lang w:eastAsia="en-NZ"/>
              </w:rPr>
            </w:pPr>
            <w:r w:rsidRPr="001244BB">
              <w:rPr>
                <w:rFonts w:eastAsia="Times New Roman" w:cstheme="minorHAnsi"/>
                <w:color w:val="000000"/>
                <w:sz w:val="20"/>
                <w:lang w:eastAsia="en-NZ"/>
              </w:rPr>
              <w:t>$12.28</w:t>
            </w:r>
          </w:p>
        </w:tc>
        <w:tc>
          <w:tcPr>
            <w:tcW w:w="1134" w:type="dxa"/>
            <w:tcBorders>
              <w:top w:val="single" w:sz="4" w:space="0" w:color="FF3399"/>
              <w:left w:val="single" w:sz="4" w:space="0" w:color="FF3399"/>
              <w:bottom w:val="single" w:sz="4" w:space="0" w:color="FF3399"/>
              <w:right w:val="single" w:sz="4" w:space="0" w:color="FF3399"/>
            </w:tcBorders>
            <w:shd w:val="clear" w:color="auto" w:fill="auto"/>
            <w:noWrap/>
            <w:hideMark/>
          </w:tcPr>
          <w:p w:rsidR="00D35437" w:rsidRPr="001244BB" w:rsidRDefault="00D35437" w:rsidP="0025274D">
            <w:pPr>
              <w:spacing w:after="0" w:line="240" w:lineRule="auto"/>
              <w:jc w:val="right"/>
              <w:rPr>
                <w:rFonts w:eastAsia="Times New Roman" w:cstheme="minorHAnsi"/>
                <w:color w:val="000000"/>
                <w:sz w:val="20"/>
                <w:lang w:eastAsia="en-NZ"/>
              </w:rPr>
            </w:pPr>
            <w:r w:rsidRPr="001244BB">
              <w:rPr>
                <w:rFonts w:eastAsia="Times New Roman" w:cstheme="minorHAnsi"/>
                <w:color w:val="000000"/>
                <w:sz w:val="20"/>
                <w:lang w:eastAsia="en-NZ"/>
              </w:rPr>
              <w:t>$13.33</w:t>
            </w:r>
          </w:p>
        </w:tc>
        <w:tc>
          <w:tcPr>
            <w:tcW w:w="1134" w:type="dxa"/>
            <w:tcBorders>
              <w:top w:val="single" w:sz="4" w:space="0" w:color="FF3399"/>
              <w:left w:val="single" w:sz="4" w:space="0" w:color="FF3399"/>
              <w:bottom w:val="single" w:sz="4" w:space="0" w:color="FF3399"/>
              <w:right w:val="single" w:sz="4" w:space="0" w:color="FF3399"/>
            </w:tcBorders>
            <w:shd w:val="clear" w:color="auto" w:fill="FFFFFF" w:themeFill="background1"/>
            <w:noWrap/>
            <w:hideMark/>
          </w:tcPr>
          <w:p w:rsidR="00D35437" w:rsidRPr="001244BB" w:rsidRDefault="00D35437" w:rsidP="0025274D">
            <w:pPr>
              <w:spacing w:after="0" w:line="240" w:lineRule="auto"/>
              <w:jc w:val="right"/>
              <w:rPr>
                <w:rFonts w:eastAsia="Times New Roman" w:cstheme="minorHAnsi"/>
                <w:color w:val="000000"/>
                <w:sz w:val="20"/>
                <w:lang w:eastAsia="en-NZ"/>
              </w:rPr>
            </w:pPr>
            <w:r w:rsidRPr="001244BB">
              <w:rPr>
                <w:rFonts w:eastAsia="Times New Roman" w:cstheme="minorHAnsi"/>
                <w:color w:val="000000"/>
                <w:sz w:val="20"/>
                <w:lang w:eastAsia="en-NZ"/>
              </w:rPr>
              <w:t>$12.16</w:t>
            </w:r>
          </w:p>
        </w:tc>
        <w:tc>
          <w:tcPr>
            <w:tcW w:w="1134" w:type="dxa"/>
            <w:tcBorders>
              <w:top w:val="single" w:sz="4" w:space="0" w:color="FF3399"/>
              <w:left w:val="single" w:sz="4" w:space="0" w:color="FF3399"/>
              <w:bottom w:val="single" w:sz="4" w:space="0" w:color="FF3399"/>
              <w:right w:val="single" w:sz="4" w:space="0" w:color="FF3399"/>
            </w:tcBorders>
            <w:shd w:val="clear" w:color="000000" w:fill="D9D9D9"/>
            <w:hideMark/>
          </w:tcPr>
          <w:p w:rsidR="00D35437" w:rsidRPr="001244BB" w:rsidRDefault="00D35437" w:rsidP="0025274D">
            <w:pPr>
              <w:spacing w:after="0" w:line="240" w:lineRule="auto"/>
              <w:jc w:val="right"/>
              <w:rPr>
                <w:rFonts w:eastAsia="Times New Roman" w:cstheme="minorHAnsi"/>
                <w:color w:val="000000"/>
                <w:sz w:val="20"/>
                <w:lang w:eastAsia="en-NZ"/>
              </w:rPr>
            </w:pPr>
            <w:r w:rsidRPr="001244BB">
              <w:rPr>
                <w:rFonts w:eastAsia="Times New Roman" w:cstheme="minorHAnsi"/>
                <w:color w:val="000000"/>
                <w:sz w:val="20"/>
                <w:lang w:eastAsia="en-NZ"/>
              </w:rPr>
              <w:t>$12.49</w:t>
            </w:r>
            <w:r>
              <w:rPr>
                <w:rFonts w:eastAsia="Times New Roman" w:cstheme="minorHAnsi"/>
                <w:color w:val="000000"/>
                <w:sz w:val="20"/>
                <w:lang w:eastAsia="en-NZ"/>
              </w:rPr>
              <w:t>*</w:t>
            </w:r>
          </w:p>
        </w:tc>
        <w:tc>
          <w:tcPr>
            <w:tcW w:w="708" w:type="dxa"/>
            <w:tcBorders>
              <w:top w:val="single" w:sz="4" w:space="0" w:color="FF3399"/>
              <w:left w:val="single" w:sz="4" w:space="0" w:color="FF3399"/>
              <w:bottom w:val="single" w:sz="4" w:space="0" w:color="FF3399"/>
              <w:right w:val="single" w:sz="4" w:space="0" w:color="FF3399"/>
            </w:tcBorders>
            <w:shd w:val="clear" w:color="auto" w:fill="auto"/>
            <w:hideMark/>
          </w:tcPr>
          <w:p w:rsidR="00D35437" w:rsidRPr="001244BB" w:rsidRDefault="00D35437" w:rsidP="0025274D">
            <w:pPr>
              <w:spacing w:after="0" w:line="240" w:lineRule="auto"/>
              <w:jc w:val="right"/>
              <w:rPr>
                <w:rFonts w:eastAsia="Times New Roman" w:cstheme="minorHAnsi"/>
                <w:color w:val="000000"/>
                <w:sz w:val="20"/>
                <w:lang w:eastAsia="en-NZ"/>
              </w:rPr>
            </w:pPr>
            <w:r w:rsidRPr="001244BB">
              <w:rPr>
                <w:rFonts w:eastAsia="Times New Roman" w:cstheme="minorHAnsi"/>
                <w:color w:val="000000"/>
                <w:sz w:val="20"/>
                <w:lang w:eastAsia="en-NZ"/>
              </w:rPr>
              <w:t>3%</w:t>
            </w:r>
          </w:p>
        </w:tc>
        <w:tc>
          <w:tcPr>
            <w:tcW w:w="1276" w:type="dxa"/>
            <w:tcBorders>
              <w:top w:val="single" w:sz="4" w:space="0" w:color="FF3399"/>
              <w:left w:val="single" w:sz="4" w:space="0" w:color="FF3399"/>
              <w:bottom w:val="single" w:sz="4" w:space="0" w:color="FF3399"/>
              <w:right w:val="single" w:sz="4" w:space="0" w:color="FF3399"/>
            </w:tcBorders>
            <w:shd w:val="clear" w:color="auto" w:fill="auto"/>
            <w:hideMark/>
          </w:tcPr>
          <w:p w:rsidR="00D35437" w:rsidRDefault="00D35437">
            <w:r w:rsidRPr="007E18E8">
              <w:rPr>
                <w:rFonts w:eastAsia="Times New Roman" w:cstheme="minorHAnsi"/>
                <w:color w:val="000000"/>
                <w:sz w:val="20"/>
                <w:lang w:eastAsia="en-NZ"/>
              </w:rPr>
              <w:t>Within 10%</w:t>
            </w:r>
          </w:p>
        </w:tc>
        <w:tc>
          <w:tcPr>
            <w:tcW w:w="3827" w:type="dxa"/>
            <w:tcBorders>
              <w:top w:val="single" w:sz="4" w:space="0" w:color="FF3399"/>
              <w:left w:val="single" w:sz="4" w:space="0" w:color="FF3399"/>
              <w:bottom w:val="single" w:sz="4" w:space="0" w:color="FF3399"/>
              <w:right w:val="nil"/>
            </w:tcBorders>
            <w:shd w:val="clear" w:color="auto" w:fill="auto"/>
          </w:tcPr>
          <w:p w:rsidR="00D35437" w:rsidRPr="00FA1738" w:rsidRDefault="00D35437" w:rsidP="0025274D">
            <w:pPr>
              <w:spacing w:after="0" w:line="240" w:lineRule="auto"/>
              <w:jc w:val="right"/>
              <w:rPr>
                <w:rFonts w:eastAsia="Times New Roman" w:cstheme="minorHAnsi"/>
                <w:sz w:val="20"/>
                <w:lang w:eastAsia="en-NZ"/>
              </w:rPr>
            </w:pPr>
            <w:r w:rsidRPr="00FA1738">
              <w:rPr>
                <w:rFonts w:eastAsia="Times New Roman" w:cstheme="minorHAnsi"/>
                <w:sz w:val="20"/>
                <w:lang w:eastAsia="en-NZ"/>
              </w:rPr>
              <w:t>See supplementary tables</w:t>
            </w:r>
          </w:p>
        </w:tc>
      </w:tr>
      <w:tr w:rsidR="00D35437" w:rsidRPr="001244BB" w:rsidTr="00FA1738">
        <w:trPr>
          <w:trHeight w:val="270"/>
        </w:trPr>
        <w:tc>
          <w:tcPr>
            <w:tcW w:w="3686" w:type="dxa"/>
            <w:tcBorders>
              <w:top w:val="single" w:sz="4" w:space="0" w:color="FF3399"/>
              <w:left w:val="nil"/>
              <w:bottom w:val="single" w:sz="4" w:space="0" w:color="FF3399"/>
              <w:right w:val="single" w:sz="4" w:space="0" w:color="FF3399"/>
            </w:tcBorders>
            <w:shd w:val="clear" w:color="auto" w:fill="auto"/>
            <w:hideMark/>
          </w:tcPr>
          <w:p w:rsidR="00D35437" w:rsidRPr="001244BB" w:rsidRDefault="00D35437" w:rsidP="0025274D">
            <w:pPr>
              <w:spacing w:after="0" w:line="240" w:lineRule="auto"/>
              <w:rPr>
                <w:rFonts w:eastAsia="Times New Roman" w:cstheme="minorHAnsi"/>
                <w:color w:val="000000"/>
                <w:sz w:val="20"/>
                <w:lang w:eastAsia="en-NZ"/>
              </w:rPr>
            </w:pPr>
            <w:r w:rsidRPr="001244BB">
              <w:rPr>
                <w:rFonts w:eastAsia="Times New Roman" w:cstheme="minorHAnsi"/>
                <w:color w:val="000000"/>
                <w:sz w:val="20"/>
                <w:lang w:eastAsia="en-NZ"/>
              </w:rPr>
              <w:t>Non-Council Revenue (trading and fundraising $000)</w:t>
            </w:r>
          </w:p>
        </w:tc>
        <w:tc>
          <w:tcPr>
            <w:tcW w:w="1276" w:type="dxa"/>
            <w:tcBorders>
              <w:top w:val="single" w:sz="4" w:space="0" w:color="FF3399"/>
              <w:left w:val="single" w:sz="4" w:space="0" w:color="FF3399"/>
              <w:bottom w:val="single" w:sz="4" w:space="0" w:color="FF3399"/>
              <w:right w:val="single" w:sz="4" w:space="0" w:color="FF3399"/>
            </w:tcBorders>
            <w:shd w:val="clear" w:color="auto" w:fill="auto"/>
            <w:noWrap/>
            <w:hideMark/>
          </w:tcPr>
          <w:p w:rsidR="00D35437" w:rsidRPr="001244BB" w:rsidRDefault="00D35437" w:rsidP="0025274D">
            <w:pPr>
              <w:spacing w:after="0" w:line="240" w:lineRule="auto"/>
              <w:jc w:val="right"/>
              <w:rPr>
                <w:rFonts w:eastAsia="Times New Roman" w:cstheme="minorHAnsi"/>
                <w:color w:val="000000"/>
                <w:sz w:val="20"/>
                <w:lang w:eastAsia="en-NZ"/>
              </w:rPr>
            </w:pPr>
            <w:r>
              <w:rPr>
                <w:rFonts w:eastAsia="Times New Roman" w:cstheme="minorHAnsi"/>
                <w:color w:val="000000"/>
                <w:sz w:val="20"/>
                <w:lang w:eastAsia="en-NZ"/>
              </w:rPr>
              <w:t>NA</w:t>
            </w:r>
          </w:p>
        </w:tc>
        <w:tc>
          <w:tcPr>
            <w:tcW w:w="1134" w:type="dxa"/>
            <w:tcBorders>
              <w:top w:val="single" w:sz="4" w:space="0" w:color="FF3399"/>
              <w:left w:val="single" w:sz="4" w:space="0" w:color="FF3399"/>
              <w:bottom w:val="single" w:sz="4" w:space="0" w:color="FF3399"/>
              <w:right w:val="single" w:sz="4" w:space="0" w:color="FF3399"/>
            </w:tcBorders>
            <w:shd w:val="clear" w:color="auto" w:fill="auto"/>
            <w:noWrap/>
            <w:hideMark/>
          </w:tcPr>
          <w:p w:rsidR="00D35437" w:rsidRPr="001244BB" w:rsidRDefault="00D35437" w:rsidP="0025274D">
            <w:pPr>
              <w:spacing w:after="0" w:line="240" w:lineRule="auto"/>
              <w:jc w:val="right"/>
              <w:rPr>
                <w:rFonts w:eastAsia="Times New Roman" w:cstheme="minorHAnsi"/>
                <w:color w:val="000000"/>
                <w:sz w:val="20"/>
                <w:lang w:eastAsia="en-NZ"/>
              </w:rPr>
            </w:pPr>
            <w:r w:rsidRPr="001244BB">
              <w:rPr>
                <w:rFonts w:eastAsia="Times New Roman" w:cstheme="minorHAnsi"/>
                <w:color w:val="000000"/>
                <w:sz w:val="20"/>
                <w:lang w:eastAsia="en-NZ"/>
              </w:rPr>
              <w:t>$3,834</w:t>
            </w:r>
          </w:p>
        </w:tc>
        <w:tc>
          <w:tcPr>
            <w:tcW w:w="1134" w:type="dxa"/>
            <w:tcBorders>
              <w:top w:val="single" w:sz="4" w:space="0" w:color="FF3399"/>
              <w:left w:val="single" w:sz="4" w:space="0" w:color="FF3399"/>
              <w:bottom w:val="single" w:sz="4" w:space="0" w:color="FF3399"/>
              <w:right w:val="single" w:sz="4" w:space="0" w:color="FF3399"/>
            </w:tcBorders>
            <w:shd w:val="clear" w:color="auto" w:fill="FFFFFF" w:themeFill="background1"/>
            <w:noWrap/>
            <w:hideMark/>
          </w:tcPr>
          <w:p w:rsidR="00D35437" w:rsidRPr="001244BB" w:rsidRDefault="00D35437" w:rsidP="0025274D">
            <w:pPr>
              <w:spacing w:after="0" w:line="240" w:lineRule="auto"/>
              <w:jc w:val="right"/>
              <w:rPr>
                <w:rFonts w:eastAsia="Times New Roman" w:cstheme="minorHAnsi"/>
                <w:color w:val="000000"/>
                <w:sz w:val="20"/>
                <w:lang w:eastAsia="en-NZ"/>
              </w:rPr>
            </w:pPr>
            <w:r w:rsidRPr="001244BB">
              <w:rPr>
                <w:rFonts w:eastAsia="Times New Roman" w:cstheme="minorHAnsi"/>
                <w:color w:val="000000"/>
                <w:sz w:val="20"/>
                <w:lang w:eastAsia="en-NZ"/>
              </w:rPr>
              <w:t xml:space="preserve">$4,305        </w:t>
            </w:r>
          </w:p>
        </w:tc>
        <w:tc>
          <w:tcPr>
            <w:tcW w:w="1134" w:type="dxa"/>
            <w:tcBorders>
              <w:top w:val="single" w:sz="4" w:space="0" w:color="FF3399"/>
              <w:left w:val="single" w:sz="4" w:space="0" w:color="FF3399"/>
              <w:bottom w:val="single" w:sz="4" w:space="0" w:color="FF3399"/>
              <w:right w:val="single" w:sz="4" w:space="0" w:color="FF3399"/>
            </w:tcBorders>
            <w:shd w:val="clear" w:color="000000" w:fill="D9D9D9"/>
            <w:hideMark/>
          </w:tcPr>
          <w:p w:rsidR="00D35437" w:rsidRPr="001244BB" w:rsidRDefault="00D35437" w:rsidP="0025274D">
            <w:pPr>
              <w:spacing w:after="0" w:line="240" w:lineRule="auto"/>
              <w:jc w:val="right"/>
              <w:rPr>
                <w:rFonts w:eastAsia="Times New Roman" w:cstheme="minorHAnsi"/>
                <w:color w:val="000000"/>
                <w:sz w:val="20"/>
                <w:lang w:eastAsia="en-NZ"/>
              </w:rPr>
            </w:pPr>
            <w:r w:rsidRPr="001244BB">
              <w:rPr>
                <w:rFonts w:eastAsia="Times New Roman" w:cstheme="minorHAnsi"/>
                <w:color w:val="000000"/>
                <w:sz w:val="20"/>
                <w:lang w:eastAsia="en-NZ"/>
              </w:rPr>
              <w:t>$4,079</w:t>
            </w:r>
          </w:p>
        </w:tc>
        <w:tc>
          <w:tcPr>
            <w:tcW w:w="708" w:type="dxa"/>
            <w:tcBorders>
              <w:top w:val="single" w:sz="4" w:space="0" w:color="FF3399"/>
              <w:left w:val="single" w:sz="4" w:space="0" w:color="FF3399"/>
              <w:bottom w:val="single" w:sz="4" w:space="0" w:color="FF3399"/>
              <w:right w:val="single" w:sz="4" w:space="0" w:color="FF3399"/>
            </w:tcBorders>
            <w:shd w:val="clear" w:color="auto" w:fill="auto"/>
            <w:hideMark/>
          </w:tcPr>
          <w:p w:rsidR="00D35437" w:rsidRPr="001244BB" w:rsidRDefault="00D35437" w:rsidP="0025274D">
            <w:pPr>
              <w:spacing w:after="0" w:line="240" w:lineRule="auto"/>
              <w:jc w:val="right"/>
              <w:rPr>
                <w:rFonts w:eastAsia="Times New Roman" w:cstheme="minorHAnsi"/>
                <w:color w:val="000000"/>
                <w:sz w:val="20"/>
                <w:lang w:eastAsia="en-NZ"/>
              </w:rPr>
            </w:pPr>
            <w:r w:rsidRPr="001244BB">
              <w:rPr>
                <w:rFonts w:eastAsia="Times New Roman" w:cstheme="minorHAnsi"/>
                <w:color w:val="000000"/>
                <w:sz w:val="20"/>
                <w:lang w:eastAsia="en-NZ"/>
              </w:rPr>
              <w:t>6%</w:t>
            </w:r>
          </w:p>
        </w:tc>
        <w:tc>
          <w:tcPr>
            <w:tcW w:w="1276" w:type="dxa"/>
            <w:tcBorders>
              <w:top w:val="single" w:sz="4" w:space="0" w:color="FF3399"/>
              <w:left w:val="single" w:sz="4" w:space="0" w:color="FF3399"/>
              <w:bottom w:val="single" w:sz="4" w:space="0" w:color="FF3399"/>
              <w:right w:val="single" w:sz="4" w:space="0" w:color="FF3399"/>
            </w:tcBorders>
            <w:shd w:val="clear" w:color="auto" w:fill="auto"/>
            <w:hideMark/>
          </w:tcPr>
          <w:p w:rsidR="00D35437" w:rsidRDefault="00D35437">
            <w:r w:rsidRPr="007E18E8">
              <w:rPr>
                <w:rFonts w:eastAsia="Times New Roman" w:cstheme="minorHAnsi"/>
                <w:color w:val="000000"/>
                <w:sz w:val="20"/>
                <w:lang w:eastAsia="en-NZ"/>
              </w:rPr>
              <w:t>Within 10%</w:t>
            </w:r>
          </w:p>
        </w:tc>
        <w:tc>
          <w:tcPr>
            <w:tcW w:w="3827" w:type="dxa"/>
            <w:tcBorders>
              <w:top w:val="single" w:sz="4" w:space="0" w:color="FF3399"/>
              <w:left w:val="single" w:sz="4" w:space="0" w:color="FF3399"/>
              <w:bottom w:val="single" w:sz="4" w:space="0" w:color="FF3399"/>
              <w:right w:val="nil"/>
            </w:tcBorders>
            <w:shd w:val="clear" w:color="auto" w:fill="auto"/>
          </w:tcPr>
          <w:p w:rsidR="00D35437" w:rsidRPr="001244BB" w:rsidRDefault="00D35437" w:rsidP="0025274D">
            <w:pPr>
              <w:spacing w:after="0" w:line="240" w:lineRule="auto"/>
              <w:jc w:val="right"/>
              <w:rPr>
                <w:rFonts w:eastAsia="Times New Roman" w:cstheme="minorHAnsi"/>
                <w:color w:val="000000"/>
                <w:sz w:val="20"/>
                <w:lang w:eastAsia="en-NZ"/>
              </w:rPr>
            </w:pPr>
          </w:p>
        </w:tc>
      </w:tr>
      <w:tr w:rsidR="00D35437" w:rsidRPr="001244BB" w:rsidTr="00FA1738">
        <w:trPr>
          <w:trHeight w:val="270"/>
        </w:trPr>
        <w:tc>
          <w:tcPr>
            <w:tcW w:w="3686" w:type="dxa"/>
            <w:tcBorders>
              <w:top w:val="single" w:sz="4" w:space="0" w:color="FF3399"/>
              <w:left w:val="nil"/>
              <w:bottom w:val="single" w:sz="4" w:space="0" w:color="FF3399"/>
              <w:right w:val="single" w:sz="4" w:space="0" w:color="FF3399"/>
            </w:tcBorders>
            <w:shd w:val="clear" w:color="auto" w:fill="auto"/>
            <w:hideMark/>
          </w:tcPr>
          <w:p w:rsidR="00D35437" w:rsidRPr="001244BB" w:rsidRDefault="00D35437" w:rsidP="0025274D">
            <w:pPr>
              <w:spacing w:after="0" w:line="240" w:lineRule="auto"/>
              <w:rPr>
                <w:rFonts w:eastAsia="Times New Roman" w:cstheme="minorHAnsi"/>
                <w:color w:val="000000"/>
                <w:sz w:val="20"/>
                <w:lang w:eastAsia="en-NZ"/>
              </w:rPr>
            </w:pPr>
            <w:r w:rsidRPr="001244BB">
              <w:rPr>
                <w:rFonts w:eastAsia="Times New Roman" w:cstheme="minorHAnsi"/>
                <w:color w:val="000000"/>
                <w:sz w:val="20"/>
                <w:lang w:eastAsia="en-NZ"/>
              </w:rPr>
              <w:t>Total ownership cost to Council</w:t>
            </w:r>
          </w:p>
        </w:tc>
        <w:tc>
          <w:tcPr>
            <w:tcW w:w="1276" w:type="dxa"/>
            <w:tcBorders>
              <w:top w:val="single" w:sz="4" w:space="0" w:color="FF3399"/>
              <w:left w:val="single" w:sz="4" w:space="0" w:color="FF3399"/>
              <w:bottom w:val="single" w:sz="4" w:space="0" w:color="FF3399"/>
              <w:right w:val="single" w:sz="4" w:space="0" w:color="FF3399"/>
            </w:tcBorders>
            <w:shd w:val="clear" w:color="auto" w:fill="auto"/>
            <w:noWrap/>
            <w:hideMark/>
          </w:tcPr>
          <w:p w:rsidR="00D35437" w:rsidRPr="001244BB" w:rsidRDefault="00D35437" w:rsidP="0025274D">
            <w:pPr>
              <w:spacing w:after="0" w:line="240" w:lineRule="auto"/>
              <w:jc w:val="right"/>
              <w:rPr>
                <w:rFonts w:eastAsia="Times New Roman" w:cstheme="minorHAnsi"/>
                <w:color w:val="000000"/>
                <w:sz w:val="20"/>
                <w:lang w:eastAsia="en-NZ"/>
              </w:rPr>
            </w:pPr>
            <w:r w:rsidRPr="001244BB">
              <w:rPr>
                <w:rFonts w:eastAsia="Times New Roman" w:cstheme="minorHAnsi"/>
                <w:color w:val="000000"/>
                <w:sz w:val="20"/>
                <w:lang w:eastAsia="en-NZ"/>
              </w:rPr>
              <w:t>$9,581</w:t>
            </w:r>
          </w:p>
        </w:tc>
        <w:tc>
          <w:tcPr>
            <w:tcW w:w="1134" w:type="dxa"/>
            <w:tcBorders>
              <w:top w:val="single" w:sz="4" w:space="0" w:color="FF3399"/>
              <w:left w:val="single" w:sz="4" w:space="0" w:color="FF3399"/>
              <w:bottom w:val="single" w:sz="4" w:space="0" w:color="FF3399"/>
              <w:right w:val="single" w:sz="4" w:space="0" w:color="FF3399"/>
            </w:tcBorders>
            <w:shd w:val="clear" w:color="auto" w:fill="auto"/>
            <w:noWrap/>
            <w:hideMark/>
          </w:tcPr>
          <w:p w:rsidR="00D35437" w:rsidRPr="001244BB" w:rsidRDefault="00D35437" w:rsidP="0025274D">
            <w:pPr>
              <w:spacing w:after="0" w:line="240" w:lineRule="auto"/>
              <w:jc w:val="right"/>
              <w:rPr>
                <w:rFonts w:eastAsia="Times New Roman" w:cstheme="minorHAnsi"/>
                <w:color w:val="000000"/>
                <w:sz w:val="20"/>
                <w:lang w:eastAsia="en-NZ"/>
              </w:rPr>
            </w:pPr>
            <w:r w:rsidRPr="001244BB">
              <w:rPr>
                <w:rFonts w:eastAsia="Times New Roman" w:cstheme="minorHAnsi"/>
                <w:color w:val="000000"/>
                <w:sz w:val="20"/>
                <w:lang w:eastAsia="en-NZ"/>
              </w:rPr>
              <w:t>$9,561</w:t>
            </w:r>
          </w:p>
        </w:tc>
        <w:tc>
          <w:tcPr>
            <w:tcW w:w="1134" w:type="dxa"/>
            <w:tcBorders>
              <w:top w:val="single" w:sz="4" w:space="0" w:color="FF3399"/>
              <w:left w:val="single" w:sz="4" w:space="0" w:color="FF3399"/>
              <w:bottom w:val="single" w:sz="4" w:space="0" w:color="FF3399"/>
              <w:right w:val="single" w:sz="4" w:space="0" w:color="FF3399"/>
            </w:tcBorders>
            <w:shd w:val="clear" w:color="auto" w:fill="FFFFFF" w:themeFill="background1"/>
            <w:noWrap/>
            <w:hideMark/>
          </w:tcPr>
          <w:p w:rsidR="00D35437" w:rsidRPr="001244BB" w:rsidRDefault="00D35437" w:rsidP="0025274D">
            <w:pPr>
              <w:spacing w:after="0" w:line="240" w:lineRule="auto"/>
              <w:jc w:val="right"/>
              <w:rPr>
                <w:rFonts w:eastAsia="Times New Roman" w:cstheme="minorHAnsi"/>
                <w:color w:val="000000"/>
                <w:sz w:val="20"/>
                <w:lang w:eastAsia="en-NZ"/>
              </w:rPr>
            </w:pPr>
            <w:r w:rsidRPr="001244BB">
              <w:rPr>
                <w:rFonts w:eastAsia="Times New Roman" w:cstheme="minorHAnsi"/>
                <w:color w:val="000000"/>
                <w:sz w:val="20"/>
                <w:lang w:eastAsia="en-NZ"/>
              </w:rPr>
              <w:t>$9,180</w:t>
            </w:r>
          </w:p>
        </w:tc>
        <w:tc>
          <w:tcPr>
            <w:tcW w:w="1134" w:type="dxa"/>
            <w:tcBorders>
              <w:top w:val="single" w:sz="4" w:space="0" w:color="FF3399"/>
              <w:left w:val="single" w:sz="4" w:space="0" w:color="FF3399"/>
              <w:bottom w:val="single" w:sz="4" w:space="0" w:color="FF3399"/>
              <w:right w:val="single" w:sz="4" w:space="0" w:color="FF3399"/>
            </w:tcBorders>
            <w:shd w:val="clear" w:color="000000" w:fill="D9D9D9"/>
            <w:hideMark/>
          </w:tcPr>
          <w:p w:rsidR="00D35437" w:rsidRPr="001244BB" w:rsidRDefault="00D35437" w:rsidP="0025274D">
            <w:pPr>
              <w:spacing w:after="0" w:line="240" w:lineRule="auto"/>
              <w:jc w:val="right"/>
              <w:rPr>
                <w:rFonts w:eastAsia="Times New Roman" w:cstheme="minorHAnsi"/>
                <w:color w:val="000000"/>
                <w:sz w:val="20"/>
                <w:lang w:eastAsia="en-NZ"/>
              </w:rPr>
            </w:pPr>
            <w:r w:rsidRPr="001244BB">
              <w:rPr>
                <w:rFonts w:eastAsia="Times New Roman" w:cstheme="minorHAnsi"/>
                <w:color w:val="000000"/>
                <w:sz w:val="20"/>
                <w:lang w:eastAsia="en-NZ"/>
              </w:rPr>
              <w:t>Trend</w:t>
            </w:r>
          </w:p>
        </w:tc>
        <w:tc>
          <w:tcPr>
            <w:tcW w:w="708" w:type="dxa"/>
            <w:tcBorders>
              <w:top w:val="single" w:sz="4" w:space="0" w:color="FF3399"/>
              <w:left w:val="single" w:sz="4" w:space="0" w:color="FF3399"/>
              <w:bottom w:val="single" w:sz="4" w:space="0" w:color="FF3399"/>
              <w:right w:val="single" w:sz="4" w:space="0" w:color="FF3399"/>
            </w:tcBorders>
            <w:shd w:val="clear" w:color="auto" w:fill="auto"/>
          </w:tcPr>
          <w:p w:rsidR="00D35437" w:rsidRPr="001244BB" w:rsidRDefault="00D35437" w:rsidP="0025274D">
            <w:pPr>
              <w:spacing w:after="0" w:line="240" w:lineRule="auto"/>
              <w:jc w:val="right"/>
              <w:rPr>
                <w:rFonts w:eastAsia="Times New Roman" w:cstheme="minorHAnsi"/>
                <w:color w:val="000000"/>
                <w:sz w:val="20"/>
                <w:lang w:eastAsia="en-NZ"/>
              </w:rPr>
            </w:pPr>
          </w:p>
        </w:tc>
        <w:tc>
          <w:tcPr>
            <w:tcW w:w="1276" w:type="dxa"/>
            <w:tcBorders>
              <w:top w:val="single" w:sz="4" w:space="0" w:color="FF3399"/>
              <w:left w:val="single" w:sz="4" w:space="0" w:color="FF3399"/>
              <w:bottom w:val="single" w:sz="4" w:space="0" w:color="FF3399"/>
              <w:right w:val="single" w:sz="4" w:space="0" w:color="FF3399"/>
            </w:tcBorders>
            <w:shd w:val="clear" w:color="auto" w:fill="auto"/>
          </w:tcPr>
          <w:p w:rsidR="00D35437" w:rsidRDefault="00D35437">
            <w:r w:rsidRPr="007E18E8">
              <w:rPr>
                <w:rFonts w:eastAsia="Times New Roman" w:cstheme="minorHAnsi"/>
                <w:color w:val="000000"/>
                <w:sz w:val="20"/>
                <w:lang w:eastAsia="en-NZ"/>
              </w:rPr>
              <w:t>Within 10%</w:t>
            </w:r>
          </w:p>
        </w:tc>
        <w:tc>
          <w:tcPr>
            <w:tcW w:w="3827" w:type="dxa"/>
            <w:tcBorders>
              <w:top w:val="single" w:sz="4" w:space="0" w:color="FF3399"/>
              <w:left w:val="single" w:sz="4" w:space="0" w:color="FF3399"/>
              <w:bottom w:val="single" w:sz="4" w:space="0" w:color="FF3399"/>
              <w:right w:val="nil"/>
            </w:tcBorders>
            <w:shd w:val="clear" w:color="auto" w:fill="auto"/>
          </w:tcPr>
          <w:p w:rsidR="00D35437" w:rsidRPr="001244BB" w:rsidRDefault="00D35437" w:rsidP="0025274D">
            <w:pPr>
              <w:spacing w:after="0" w:line="240" w:lineRule="auto"/>
              <w:jc w:val="right"/>
              <w:rPr>
                <w:rFonts w:eastAsia="Times New Roman" w:cstheme="minorHAnsi"/>
                <w:color w:val="000000"/>
                <w:sz w:val="20"/>
                <w:lang w:eastAsia="en-NZ"/>
              </w:rPr>
            </w:pPr>
          </w:p>
        </w:tc>
      </w:tr>
      <w:tr w:rsidR="00D35437" w:rsidRPr="001244BB" w:rsidTr="00FA1738">
        <w:trPr>
          <w:trHeight w:val="525"/>
        </w:trPr>
        <w:tc>
          <w:tcPr>
            <w:tcW w:w="3686" w:type="dxa"/>
            <w:tcBorders>
              <w:top w:val="single" w:sz="4" w:space="0" w:color="FF3399"/>
              <w:left w:val="nil"/>
              <w:bottom w:val="single" w:sz="4" w:space="0" w:color="FF3399"/>
              <w:right w:val="single" w:sz="4" w:space="0" w:color="FF3399"/>
            </w:tcBorders>
            <w:shd w:val="clear" w:color="auto" w:fill="auto"/>
            <w:hideMark/>
          </w:tcPr>
          <w:p w:rsidR="00D35437" w:rsidRPr="001244BB" w:rsidRDefault="00D35437" w:rsidP="0025274D">
            <w:pPr>
              <w:spacing w:after="0" w:line="240" w:lineRule="auto"/>
              <w:rPr>
                <w:rFonts w:eastAsia="Times New Roman" w:cstheme="minorHAnsi"/>
                <w:color w:val="000000"/>
                <w:sz w:val="20"/>
                <w:lang w:eastAsia="en-NZ"/>
              </w:rPr>
            </w:pPr>
            <w:r w:rsidRPr="001244BB">
              <w:rPr>
                <w:rFonts w:eastAsia="Times New Roman" w:cstheme="minorHAnsi"/>
                <w:color w:val="000000"/>
                <w:sz w:val="20"/>
                <w:lang w:eastAsia="en-NZ"/>
              </w:rPr>
              <w:t>Percentage of visitors who rate the quality of their experience (good or very good)</w:t>
            </w:r>
          </w:p>
        </w:tc>
        <w:tc>
          <w:tcPr>
            <w:tcW w:w="1276" w:type="dxa"/>
            <w:tcBorders>
              <w:top w:val="single" w:sz="4" w:space="0" w:color="FF3399"/>
              <w:left w:val="single" w:sz="4" w:space="0" w:color="FF3399"/>
              <w:bottom w:val="single" w:sz="4" w:space="0" w:color="FF3399"/>
              <w:right w:val="single" w:sz="4" w:space="0" w:color="FF3399"/>
            </w:tcBorders>
            <w:shd w:val="clear" w:color="auto" w:fill="auto"/>
          </w:tcPr>
          <w:p w:rsidR="00D35437" w:rsidRPr="001244BB" w:rsidRDefault="00D35437" w:rsidP="002929C5">
            <w:pPr>
              <w:spacing w:after="0" w:line="240" w:lineRule="auto"/>
              <w:jc w:val="right"/>
              <w:rPr>
                <w:rFonts w:eastAsia="Times New Roman" w:cstheme="minorHAnsi"/>
                <w:color w:val="000000"/>
                <w:sz w:val="20"/>
                <w:lang w:eastAsia="en-NZ"/>
              </w:rPr>
            </w:pPr>
            <w:r w:rsidRPr="001244BB">
              <w:rPr>
                <w:rFonts w:eastAsia="Times New Roman" w:cstheme="minorHAnsi"/>
                <w:color w:val="000000"/>
                <w:sz w:val="20"/>
                <w:lang w:eastAsia="en-NZ"/>
              </w:rPr>
              <w:t>93%</w:t>
            </w:r>
          </w:p>
        </w:tc>
        <w:tc>
          <w:tcPr>
            <w:tcW w:w="1134" w:type="dxa"/>
            <w:tcBorders>
              <w:top w:val="single" w:sz="4" w:space="0" w:color="FF3399"/>
              <w:left w:val="single" w:sz="4" w:space="0" w:color="FF3399"/>
              <w:bottom w:val="single" w:sz="4" w:space="0" w:color="FF3399"/>
              <w:right w:val="single" w:sz="4" w:space="0" w:color="FF3399"/>
            </w:tcBorders>
            <w:shd w:val="clear" w:color="auto" w:fill="auto"/>
            <w:noWrap/>
            <w:hideMark/>
          </w:tcPr>
          <w:p w:rsidR="00D35437" w:rsidRPr="001244BB" w:rsidRDefault="00D35437" w:rsidP="0025274D">
            <w:pPr>
              <w:spacing w:after="0" w:line="240" w:lineRule="auto"/>
              <w:jc w:val="right"/>
              <w:rPr>
                <w:rFonts w:eastAsia="Times New Roman" w:cstheme="minorHAnsi"/>
                <w:color w:val="000000"/>
                <w:sz w:val="20"/>
                <w:lang w:eastAsia="en-NZ"/>
              </w:rPr>
            </w:pPr>
            <w:r w:rsidRPr="001244BB">
              <w:rPr>
                <w:rFonts w:eastAsia="Times New Roman" w:cstheme="minorHAnsi"/>
                <w:color w:val="000000"/>
                <w:sz w:val="20"/>
                <w:lang w:eastAsia="en-NZ"/>
              </w:rPr>
              <w:t>93%</w:t>
            </w:r>
          </w:p>
        </w:tc>
        <w:tc>
          <w:tcPr>
            <w:tcW w:w="1134" w:type="dxa"/>
            <w:tcBorders>
              <w:top w:val="single" w:sz="4" w:space="0" w:color="FF3399"/>
              <w:left w:val="single" w:sz="4" w:space="0" w:color="FF3399"/>
              <w:bottom w:val="single" w:sz="4" w:space="0" w:color="FF3399"/>
              <w:right w:val="single" w:sz="4" w:space="0" w:color="FF3399"/>
            </w:tcBorders>
            <w:shd w:val="clear" w:color="auto" w:fill="FFFFFF" w:themeFill="background1"/>
            <w:noWrap/>
            <w:hideMark/>
          </w:tcPr>
          <w:p w:rsidR="00D35437" w:rsidRPr="001244BB" w:rsidRDefault="00D35437" w:rsidP="0025274D">
            <w:pPr>
              <w:spacing w:after="0" w:line="240" w:lineRule="auto"/>
              <w:jc w:val="right"/>
              <w:rPr>
                <w:rFonts w:eastAsia="Times New Roman" w:cstheme="minorHAnsi"/>
                <w:color w:val="000000"/>
                <w:sz w:val="20"/>
                <w:lang w:eastAsia="en-NZ"/>
              </w:rPr>
            </w:pPr>
            <w:r w:rsidRPr="001244BB">
              <w:rPr>
                <w:rFonts w:eastAsia="Times New Roman" w:cstheme="minorHAnsi"/>
                <w:color w:val="000000"/>
                <w:sz w:val="20"/>
                <w:lang w:eastAsia="en-NZ"/>
              </w:rPr>
              <w:t>91%</w:t>
            </w:r>
          </w:p>
        </w:tc>
        <w:tc>
          <w:tcPr>
            <w:tcW w:w="1134" w:type="dxa"/>
            <w:tcBorders>
              <w:top w:val="single" w:sz="4" w:space="0" w:color="FF3399"/>
              <w:left w:val="single" w:sz="4" w:space="0" w:color="FF3399"/>
              <w:bottom w:val="single" w:sz="4" w:space="0" w:color="FF3399"/>
              <w:right w:val="single" w:sz="4" w:space="0" w:color="FF3399"/>
            </w:tcBorders>
            <w:shd w:val="clear" w:color="000000" w:fill="D9D9D9"/>
            <w:hideMark/>
          </w:tcPr>
          <w:p w:rsidR="00D35437" w:rsidRPr="001244BB" w:rsidRDefault="00D35437" w:rsidP="0025274D">
            <w:pPr>
              <w:spacing w:after="0" w:line="240" w:lineRule="auto"/>
              <w:jc w:val="right"/>
              <w:rPr>
                <w:rFonts w:eastAsia="Times New Roman" w:cstheme="minorHAnsi"/>
                <w:color w:val="000000"/>
                <w:sz w:val="20"/>
                <w:lang w:eastAsia="en-NZ"/>
              </w:rPr>
            </w:pPr>
            <w:r w:rsidRPr="001244BB">
              <w:rPr>
                <w:rFonts w:eastAsia="Times New Roman" w:cstheme="minorHAnsi"/>
                <w:color w:val="000000"/>
                <w:sz w:val="20"/>
                <w:lang w:eastAsia="en-NZ"/>
              </w:rPr>
              <w:t>90%</w:t>
            </w:r>
          </w:p>
        </w:tc>
        <w:tc>
          <w:tcPr>
            <w:tcW w:w="708" w:type="dxa"/>
            <w:tcBorders>
              <w:top w:val="single" w:sz="4" w:space="0" w:color="FF3399"/>
              <w:left w:val="single" w:sz="4" w:space="0" w:color="FF3399"/>
              <w:bottom w:val="single" w:sz="4" w:space="0" w:color="FF3399"/>
              <w:right w:val="single" w:sz="4" w:space="0" w:color="FF3399"/>
            </w:tcBorders>
            <w:shd w:val="clear" w:color="auto" w:fill="auto"/>
            <w:hideMark/>
          </w:tcPr>
          <w:p w:rsidR="00D35437" w:rsidRPr="001244BB" w:rsidRDefault="00D35437" w:rsidP="0025274D">
            <w:pPr>
              <w:spacing w:after="0" w:line="240" w:lineRule="auto"/>
              <w:jc w:val="right"/>
              <w:rPr>
                <w:rFonts w:eastAsia="Times New Roman" w:cstheme="minorHAnsi"/>
                <w:color w:val="000000"/>
                <w:sz w:val="20"/>
                <w:lang w:eastAsia="en-NZ"/>
              </w:rPr>
            </w:pPr>
            <w:r w:rsidRPr="001244BB">
              <w:rPr>
                <w:rFonts w:eastAsia="Times New Roman" w:cstheme="minorHAnsi"/>
                <w:color w:val="000000"/>
                <w:sz w:val="20"/>
                <w:lang w:eastAsia="en-NZ"/>
              </w:rPr>
              <w:t>1%</w:t>
            </w:r>
          </w:p>
        </w:tc>
        <w:tc>
          <w:tcPr>
            <w:tcW w:w="1276" w:type="dxa"/>
            <w:tcBorders>
              <w:top w:val="single" w:sz="4" w:space="0" w:color="FF3399"/>
              <w:left w:val="single" w:sz="4" w:space="0" w:color="FF3399"/>
              <w:bottom w:val="single" w:sz="4" w:space="0" w:color="FF3399"/>
              <w:right w:val="single" w:sz="4" w:space="0" w:color="FF3399"/>
            </w:tcBorders>
            <w:shd w:val="clear" w:color="auto" w:fill="auto"/>
            <w:hideMark/>
          </w:tcPr>
          <w:p w:rsidR="00D35437" w:rsidRDefault="00D35437">
            <w:r w:rsidRPr="007E18E8">
              <w:rPr>
                <w:rFonts w:eastAsia="Times New Roman" w:cstheme="minorHAnsi"/>
                <w:color w:val="000000"/>
                <w:sz w:val="20"/>
                <w:lang w:eastAsia="en-NZ"/>
              </w:rPr>
              <w:t>Within 10%</w:t>
            </w:r>
          </w:p>
        </w:tc>
        <w:tc>
          <w:tcPr>
            <w:tcW w:w="3827" w:type="dxa"/>
            <w:tcBorders>
              <w:top w:val="single" w:sz="4" w:space="0" w:color="FF3399"/>
              <w:left w:val="single" w:sz="4" w:space="0" w:color="FF3399"/>
              <w:bottom w:val="single" w:sz="4" w:space="0" w:color="FF3399"/>
              <w:right w:val="nil"/>
            </w:tcBorders>
            <w:shd w:val="clear" w:color="auto" w:fill="auto"/>
          </w:tcPr>
          <w:p w:rsidR="00D35437" w:rsidRPr="001244BB" w:rsidRDefault="00D35437" w:rsidP="0025274D">
            <w:pPr>
              <w:spacing w:after="0" w:line="240" w:lineRule="auto"/>
              <w:jc w:val="right"/>
              <w:rPr>
                <w:rFonts w:eastAsia="Times New Roman" w:cstheme="minorHAnsi"/>
                <w:color w:val="000000"/>
                <w:sz w:val="20"/>
                <w:lang w:eastAsia="en-NZ"/>
              </w:rPr>
            </w:pPr>
            <w:r>
              <w:rPr>
                <w:rFonts w:eastAsia="Times New Roman" w:cstheme="minorHAnsi"/>
                <w:color w:val="000000"/>
                <w:sz w:val="20"/>
                <w:lang w:eastAsia="en-NZ"/>
              </w:rPr>
              <w:t>See supplementary tables</w:t>
            </w:r>
          </w:p>
        </w:tc>
      </w:tr>
    </w:tbl>
    <w:p w:rsidR="00135A2C" w:rsidRPr="00D5126A" w:rsidRDefault="0022119B" w:rsidP="0022119B">
      <w:pPr>
        <w:pStyle w:val="5Block"/>
        <w:spacing w:after="0" w:line="240" w:lineRule="auto"/>
        <w:rPr>
          <w:rFonts w:ascii="Arial" w:hAnsi="Arial" w:cs="Arial"/>
        </w:rPr>
      </w:pPr>
      <w:r>
        <w:rPr>
          <w:rFonts w:ascii="Arial" w:hAnsi="Arial" w:cs="Arial"/>
        </w:rPr>
        <w:t>*Targets for Council Controlled Organisations such as Wellington Museums Trust are set annually as agreed in the Statements of Intent. These may differ from targets published in the Long-term Plan and Annual Plans.</w:t>
      </w:r>
    </w:p>
    <w:p w:rsidR="00135A2C" w:rsidRPr="00D5126A" w:rsidRDefault="00135A2C" w:rsidP="00135A2C">
      <w:r w:rsidRPr="00D5126A">
        <w:br w:type="page"/>
      </w:r>
    </w:p>
    <w:p w:rsidR="00135A2C" w:rsidRPr="00750803" w:rsidRDefault="00135A2C" w:rsidP="00135A2C">
      <w:pPr>
        <w:pStyle w:val="Heading4"/>
        <w:rPr>
          <w:color w:val="FF0066"/>
        </w:rPr>
      </w:pPr>
      <w:r w:rsidRPr="00750803">
        <w:rPr>
          <w:color w:val="FF0066"/>
        </w:rPr>
        <w:lastRenderedPageBreak/>
        <w:t xml:space="preserve">Supplementary </w:t>
      </w:r>
      <w:r w:rsidR="0037005B" w:rsidRPr="00750803">
        <w:rPr>
          <w:color w:val="FF0066"/>
        </w:rPr>
        <w:t>p</w:t>
      </w:r>
      <w:r w:rsidRPr="00750803">
        <w:rPr>
          <w:color w:val="FF0066"/>
        </w:rPr>
        <w:t xml:space="preserve">erformance </w:t>
      </w:r>
      <w:r w:rsidR="0037005B" w:rsidRPr="00750803">
        <w:rPr>
          <w:color w:val="FF0066"/>
        </w:rPr>
        <w:t>tables</w:t>
      </w:r>
      <w:r w:rsidRPr="00750803">
        <w:rPr>
          <w:color w:val="FF0066"/>
        </w:rPr>
        <w:t xml:space="preserve"> </w:t>
      </w:r>
    </w:p>
    <w:p w:rsidR="00B5292B" w:rsidRDefault="00B5292B" w:rsidP="00B5292B">
      <w:pPr>
        <w:pStyle w:val="NoSpacing"/>
      </w:pPr>
    </w:p>
    <w:p w:rsidR="006658C7" w:rsidRDefault="006658C7" w:rsidP="00B5292B">
      <w:pPr>
        <w:pStyle w:val="NoSpacing"/>
        <w:sectPr w:rsidR="006658C7" w:rsidSect="001D57F9">
          <w:type w:val="continuous"/>
          <w:pgSz w:w="16838" w:h="11906" w:orient="landscape"/>
          <w:pgMar w:top="1135" w:right="1440" w:bottom="993" w:left="1440" w:header="709" w:footer="270" w:gutter="0"/>
          <w:cols w:space="708"/>
          <w:docGrid w:linePitch="360"/>
        </w:sectPr>
      </w:pPr>
    </w:p>
    <w:p w:rsidR="0025274D" w:rsidRDefault="00B5292B" w:rsidP="002C7BF8">
      <w:pPr>
        <w:pStyle w:val="NoSpacing"/>
        <w:numPr>
          <w:ilvl w:val="0"/>
          <w:numId w:val="62"/>
        </w:numPr>
        <w:ind w:left="426"/>
      </w:pPr>
      <w:r w:rsidRPr="004C1FEC">
        <w:rPr>
          <w:b/>
        </w:rPr>
        <w:lastRenderedPageBreak/>
        <w:t>Residents' frequency of engagement in cultural and arts activities</w:t>
      </w:r>
      <w:r>
        <w:t xml:space="preserve"> - </w:t>
      </w:r>
      <w:r w:rsidRPr="0025274D">
        <w:t>The result published (</w:t>
      </w:r>
      <w:r>
        <w:t>86</w:t>
      </w:r>
      <w:r w:rsidRPr="0025274D">
        <w:t>%) is total of residents who have engaged in activities at least once in the</w:t>
      </w:r>
      <w:r>
        <w:t xml:space="preserve"> last year and more frequently.</w:t>
      </w:r>
    </w:p>
    <w:tbl>
      <w:tblPr>
        <w:tblStyle w:val="TableGrid"/>
        <w:tblW w:w="0" w:type="auto"/>
        <w:tblLook w:val="04A0" w:firstRow="1" w:lastRow="0" w:firstColumn="1" w:lastColumn="0" w:noHBand="0" w:noVBand="1"/>
      </w:tblPr>
      <w:tblGrid>
        <w:gridCol w:w="3077"/>
        <w:gridCol w:w="752"/>
        <w:gridCol w:w="753"/>
        <w:gridCol w:w="753"/>
        <w:gridCol w:w="753"/>
        <w:gridCol w:w="753"/>
      </w:tblGrid>
      <w:tr w:rsidR="0025274D" w:rsidRPr="00D73845" w:rsidTr="0025274D">
        <w:trPr>
          <w:trHeight w:val="312"/>
        </w:trPr>
        <w:tc>
          <w:tcPr>
            <w:tcW w:w="4460" w:type="dxa"/>
            <w:tcBorders>
              <w:top w:val="single" w:sz="4" w:space="0" w:color="FFFFFF" w:themeColor="background1"/>
              <w:left w:val="nil"/>
              <w:bottom w:val="single" w:sz="4" w:space="0" w:color="FFFFFF" w:themeColor="background1"/>
              <w:right w:val="single" w:sz="4" w:space="0" w:color="FFFFFF" w:themeColor="background1"/>
            </w:tcBorders>
            <w:shd w:val="clear" w:color="auto" w:fill="FF3399"/>
            <w:noWrap/>
            <w:hideMark/>
          </w:tcPr>
          <w:p w:rsidR="0025274D" w:rsidRPr="004F4923" w:rsidRDefault="0025274D" w:rsidP="00B5292B"/>
        </w:tc>
        <w:tc>
          <w:tcPr>
            <w:tcW w:w="10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3399"/>
            <w:noWrap/>
            <w:vAlign w:val="center"/>
            <w:hideMark/>
          </w:tcPr>
          <w:p w:rsidR="0025274D" w:rsidRPr="004F4923" w:rsidRDefault="0025274D" w:rsidP="0025274D">
            <w:pPr>
              <w:rPr>
                <w:b/>
                <w:bCs/>
                <w:color w:val="FFFFFF" w:themeColor="background1"/>
              </w:rPr>
            </w:pPr>
            <w:r w:rsidRPr="004F4923">
              <w:rPr>
                <w:b/>
                <w:bCs/>
                <w:color w:val="FFFFFF" w:themeColor="background1"/>
              </w:rPr>
              <w:t>2015</w:t>
            </w:r>
          </w:p>
        </w:tc>
        <w:tc>
          <w:tcPr>
            <w:tcW w:w="10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3399"/>
            <w:noWrap/>
            <w:vAlign w:val="center"/>
            <w:hideMark/>
          </w:tcPr>
          <w:p w:rsidR="0025274D" w:rsidRPr="004F4923" w:rsidRDefault="0025274D" w:rsidP="0025274D">
            <w:pPr>
              <w:rPr>
                <w:b/>
                <w:bCs/>
                <w:color w:val="FFFFFF" w:themeColor="background1"/>
              </w:rPr>
            </w:pPr>
            <w:r w:rsidRPr="004F4923">
              <w:rPr>
                <w:b/>
                <w:bCs/>
                <w:color w:val="FFFFFF" w:themeColor="background1"/>
              </w:rPr>
              <w:t>2016</w:t>
            </w:r>
          </w:p>
        </w:tc>
        <w:tc>
          <w:tcPr>
            <w:tcW w:w="10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3399"/>
            <w:noWrap/>
            <w:vAlign w:val="center"/>
            <w:hideMark/>
          </w:tcPr>
          <w:p w:rsidR="0025274D" w:rsidRPr="004F4923" w:rsidRDefault="0025274D" w:rsidP="0025274D">
            <w:pPr>
              <w:rPr>
                <w:b/>
                <w:bCs/>
                <w:color w:val="FFFFFF" w:themeColor="background1"/>
              </w:rPr>
            </w:pPr>
            <w:r w:rsidRPr="004F4923">
              <w:rPr>
                <w:b/>
                <w:bCs/>
                <w:color w:val="FFFFFF" w:themeColor="background1"/>
              </w:rPr>
              <w:t>2017</w:t>
            </w:r>
          </w:p>
        </w:tc>
        <w:tc>
          <w:tcPr>
            <w:tcW w:w="10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3399"/>
            <w:noWrap/>
            <w:vAlign w:val="center"/>
            <w:hideMark/>
          </w:tcPr>
          <w:p w:rsidR="0025274D" w:rsidRPr="004F4923" w:rsidRDefault="0025274D" w:rsidP="0025274D">
            <w:pPr>
              <w:rPr>
                <w:b/>
                <w:bCs/>
                <w:color w:val="FFFFFF" w:themeColor="background1"/>
              </w:rPr>
            </w:pPr>
            <w:r w:rsidRPr="004F4923">
              <w:rPr>
                <w:b/>
                <w:bCs/>
                <w:color w:val="FFFFFF" w:themeColor="background1"/>
              </w:rPr>
              <w:t>2018</w:t>
            </w:r>
          </w:p>
        </w:tc>
        <w:tc>
          <w:tcPr>
            <w:tcW w:w="10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3399"/>
            <w:noWrap/>
            <w:vAlign w:val="center"/>
            <w:hideMark/>
          </w:tcPr>
          <w:p w:rsidR="0025274D" w:rsidRPr="004F4923" w:rsidRDefault="0025274D" w:rsidP="0025274D">
            <w:pPr>
              <w:rPr>
                <w:b/>
                <w:bCs/>
                <w:color w:val="FFFFFF" w:themeColor="background1"/>
              </w:rPr>
            </w:pPr>
            <w:r w:rsidRPr="004F4923">
              <w:rPr>
                <w:b/>
                <w:bCs/>
                <w:color w:val="FFFFFF" w:themeColor="background1"/>
              </w:rPr>
              <w:t>2019</w:t>
            </w:r>
          </w:p>
        </w:tc>
      </w:tr>
      <w:tr w:rsidR="0025274D" w:rsidRPr="00D73845" w:rsidTr="0025274D">
        <w:trPr>
          <w:trHeight w:val="312"/>
        </w:trPr>
        <w:tc>
          <w:tcPr>
            <w:tcW w:w="4460" w:type="dxa"/>
            <w:tcBorders>
              <w:top w:val="single" w:sz="4" w:space="0" w:color="FF3399"/>
              <w:left w:val="nil"/>
              <w:bottom w:val="single" w:sz="4" w:space="0" w:color="FF3399"/>
              <w:right w:val="single" w:sz="4" w:space="0" w:color="FF3399"/>
            </w:tcBorders>
            <w:noWrap/>
            <w:hideMark/>
          </w:tcPr>
          <w:p w:rsidR="0025274D" w:rsidRPr="00D73845" w:rsidRDefault="0025274D" w:rsidP="0025274D">
            <w:r w:rsidRPr="00D73845">
              <w:t>At least once a week</w:t>
            </w:r>
          </w:p>
        </w:tc>
        <w:tc>
          <w:tcPr>
            <w:tcW w:w="1012" w:type="dxa"/>
            <w:tcBorders>
              <w:top w:val="single" w:sz="4" w:space="0" w:color="FF3399"/>
              <w:left w:val="single" w:sz="4" w:space="0" w:color="FF3399"/>
              <w:bottom w:val="single" w:sz="4" w:space="0" w:color="FF3399"/>
              <w:right w:val="single" w:sz="4" w:space="0" w:color="FF3399"/>
            </w:tcBorders>
            <w:noWrap/>
            <w:hideMark/>
          </w:tcPr>
          <w:p w:rsidR="0025274D" w:rsidRPr="00D73845" w:rsidRDefault="0025274D" w:rsidP="0025274D">
            <w:r w:rsidRPr="00D73845">
              <w:t>9%</w:t>
            </w:r>
          </w:p>
        </w:tc>
        <w:tc>
          <w:tcPr>
            <w:tcW w:w="1012" w:type="dxa"/>
            <w:tcBorders>
              <w:top w:val="single" w:sz="4" w:space="0" w:color="FF3399"/>
              <w:left w:val="single" w:sz="4" w:space="0" w:color="FF3399"/>
              <w:bottom w:val="single" w:sz="4" w:space="0" w:color="FF3399"/>
              <w:right w:val="single" w:sz="4" w:space="0" w:color="FF3399"/>
            </w:tcBorders>
            <w:noWrap/>
            <w:hideMark/>
          </w:tcPr>
          <w:p w:rsidR="0025274D" w:rsidRPr="00D73845" w:rsidRDefault="0025274D" w:rsidP="0025274D">
            <w:r w:rsidRPr="00D73845">
              <w:t>6%</w:t>
            </w:r>
          </w:p>
        </w:tc>
        <w:tc>
          <w:tcPr>
            <w:tcW w:w="1012" w:type="dxa"/>
            <w:tcBorders>
              <w:top w:val="single" w:sz="4" w:space="0" w:color="FF3399"/>
              <w:left w:val="single" w:sz="4" w:space="0" w:color="FF3399"/>
              <w:bottom w:val="single" w:sz="4" w:space="0" w:color="FF3399"/>
              <w:right w:val="single" w:sz="4" w:space="0" w:color="FF3399"/>
            </w:tcBorders>
            <w:noWrap/>
            <w:hideMark/>
          </w:tcPr>
          <w:p w:rsidR="0025274D" w:rsidRPr="00D73845" w:rsidRDefault="0025274D" w:rsidP="0025274D">
            <w:r w:rsidRPr="00D73845">
              <w:t>8%</w:t>
            </w:r>
          </w:p>
        </w:tc>
        <w:tc>
          <w:tcPr>
            <w:tcW w:w="1012" w:type="dxa"/>
            <w:tcBorders>
              <w:top w:val="single" w:sz="4" w:space="0" w:color="FF3399"/>
              <w:left w:val="single" w:sz="4" w:space="0" w:color="FF3399"/>
              <w:bottom w:val="single" w:sz="4" w:space="0" w:color="FF3399"/>
              <w:right w:val="single" w:sz="4" w:space="0" w:color="FF3399"/>
            </w:tcBorders>
            <w:noWrap/>
            <w:hideMark/>
          </w:tcPr>
          <w:p w:rsidR="0025274D" w:rsidRPr="00D73845" w:rsidRDefault="0025274D" w:rsidP="0025274D">
            <w:r w:rsidRPr="00D73845">
              <w:t>9%</w:t>
            </w:r>
          </w:p>
        </w:tc>
        <w:tc>
          <w:tcPr>
            <w:tcW w:w="1012" w:type="dxa"/>
            <w:tcBorders>
              <w:top w:val="single" w:sz="4" w:space="0" w:color="FF3399"/>
              <w:left w:val="single" w:sz="4" w:space="0" w:color="FF3399"/>
              <w:bottom w:val="single" w:sz="4" w:space="0" w:color="FF3399"/>
              <w:right w:val="single" w:sz="4" w:space="0" w:color="FF3399"/>
            </w:tcBorders>
            <w:noWrap/>
            <w:hideMark/>
          </w:tcPr>
          <w:p w:rsidR="0025274D" w:rsidRPr="00D73845" w:rsidRDefault="0025274D" w:rsidP="0025274D">
            <w:r w:rsidRPr="00D73845">
              <w:t>7%</w:t>
            </w:r>
          </w:p>
        </w:tc>
      </w:tr>
      <w:tr w:rsidR="0025274D" w:rsidRPr="00D73845" w:rsidTr="0025274D">
        <w:trPr>
          <w:trHeight w:val="312"/>
        </w:trPr>
        <w:tc>
          <w:tcPr>
            <w:tcW w:w="4460" w:type="dxa"/>
            <w:tcBorders>
              <w:top w:val="single" w:sz="4" w:space="0" w:color="FF3399"/>
              <w:left w:val="nil"/>
              <w:bottom w:val="single" w:sz="4" w:space="0" w:color="FF3399"/>
              <w:right w:val="single" w:sz="4" w:space="0" w:color="FF3399"/>
            </w:tcBorders>
            <w:noWrap/>
            <w:hideMark/>
          </w:tcPr>
          <w:p w:rsidR="0025274D" w:rsidRPr="00D73845" w:rsidRDefault="0025274D" w:rsidP="0025274D">
            <w:r w:rsidRPr="00D73845">
              <w:t>At least once a month</w:t>
            </w:r>
          </w:p>
        </w:tc>
        <w:tc>
          <w:tcPr>
            <w:tcW w:w="1012" w:type="dxa"/>
            <w:tcBorders>
              <w:top w:val="single" w:sz="4" w:space="0" w:color="FF3399"/>
              <w:left w:val="single" w:sz="4" w:space="0" w:color="FF3399"/>
              <w:bottom w:val="single" w:sz="4" w:space="0" w:color="FF3399"/>
              <w:right w:val="single" w:sz="4" w:space="0" w:color="FF3399"/>
            </w:tcBorders>
            <w:noWrap/>
            <w:hideMark/>
          </w:tcPr>
          <w:p w:rsidR="0025274D" w:rsidRPr="00D73845" w:rsidRDefault="0025274D" w:rsidP="0025274D">
            <w:r w:rsidRPr="00D73845">
              <w:t>34%</w:t>
            </w:r>
          </w:p>
        </w:tc>
        <w:tc>
          <w:tcPr>
            <w:tcW w:w="1012" w:type="dxa"/>
            <w:tcBorders>
              <w:top w:val="single" w:sz="4" w:space="0" w:color="FF3399"/>
              <w:left w:val="single" w:sz="4" w:space="0" w:color="FF3399"/>
              <w:bottom w:val="single" w:sz="4" w:space="0" w:color="FF3399"/>
              <w:right w:val="single" w:sz="4" w:space="0" w:color="FF3399"/>
            </w:tcBorders>
            <w:noWrap/>
            <w:hideMark/>
          </w:tcPr>
          <w:p w:rsidR="0025274D" w:rsidRPr="00D73845" w:rsidRDefault="0025274D" w:rsidP="0025274D">
            <w:r w:rsidRPr="00D73845">
              <w:t>32%</w:t>
            </w:r>
          </w:p>
        </w:tc>
        <w:tc>
          <w:tcPr>
            <w:tcW w:w="1012" w:type="dxa"/>
            <w:tcBorders>
              <w:top w:val="single" w:sz="4" w:space="0" w:color="FF3399"/>
              <w:left w:val="single" w:sz="4" w:space="0" w:color="FF3399"/>
              <w:bottom w:val="single" w:sz="4" w:space="0" w:color="FF3399"/>
              <w:right w:val="single" w:sz="4" w:space="0" w:color="FF3399"/>
            </w:tcBorders>
            <w:noWrap/>
            <w:hideMark/>
          </w:tcPr>
          <w:p w:rsidR="0025274D" w:rsidRPr="00D73845" w:rsidRDefault="0025274D" w:rsidP="0025274D">
            <w:r w:rsidRPr="00D73845">
              <w:t>35%</w:t>
            </w:r>
          </w:p>
        </w:tc>
        <w:tc>
          <w:tcPr>
            <w:tcW w:w="1012" w:type="dxa"/>
            <w:tcBorders>
              <w:top w:val="single" w:sz="4" w:space="0" w:color="FF3399"/>
              <w:left w:val="single" w:sz="4" w:space="0" w:color="FF3399"/>
              <w:bottom w:val="single" w:sz="4" w:space="0" w:color="FF3399"/>
              <w:right w:val="single" w:sz="4" w:space="0" w:color="FF3399"/>
            </w:tcBorders>
            <w:noWrap/>
            <w:hideMark/>
          </w:tcPr>
          <w:p w:rsidR="0025274D" w:rsidRPr="00D73845" w:rsidRDefault="0025274D" w:rsidP="0025274D">
            <w:r w:rsidRPr="00D73845">
              <w:t>40%</w:t>
            </w:r>
          </w:p>
        </w:tc>
        <w:tc>
          <w:tcPr>
            <w:tcW w:w="1012" w:type="dxa"/>
            <w:tcBorders>
              <w:top w:val="single" w:sz="4" w:space="0" w:color="FF3399"/>
              <w:left w:val="single" w:sz="4" w:space="0" w:color="FF3399"/>
              <w:bottom w:val="single" w:sz="4" w:space="0" w:color="FF3399"/>
              <w:right w:val="single" w:sz="4" w:space="0" w:color="FF3399"/>
            </w:tcBorders>
            <w:noWrap/>
            <w:hideMark/>
          </w:tcPr>
          <w:p w:rsidR="0025274D" w:rsidRPr="00D73845" w:rsidRDefault="0025274D" w:rsidP="0025274D">
            <w:r w:rsidRPr="00D73845">
              <w:t>37%</w:t>
            </w:r>
          </w:p>
        </w:tc>
      </w:tr>
      <w:tr w:rsidR="0025274D" w:rsidRPr="00D73845" w:rsidTr="0025274D">
        <w:trPr>
          <w:trHeight w:val="312"/>
        </w:trPr>
        <w:tc>
          <w:tcPr>
            <w:tcW w:w="4460" w:type="dxa"/>
            <w:tcBorders>
              <w:top w:val="single" w:sz="4" w:space="0" w:color="FF3399"/>
              <w:left w:val="nil"/>
              <w:bottom w:val="single" w:sz="4" w:space="0" w:color="FF3399"/>
              <w:right w:val="single" w:sz="4" w:space="0" w:color="FF3399"/>
            </w:tcBorders>
            <w:noWrap/>
            <w:hideMark/>
          </w:tcPr>
          <w:p w:rsidR="0025274D" w:rsidRPr="00D73845" w:rsidRDefault="0025274D" w:rsidP="0025274D">
            <w:r w:rsidRPr="00D73845">
              <w:t xml:space="preserve">Once every six months </w:t>
            </w:r>
          </w:p>
        </w:tc>
        <w:tc>
          <w:tcPr>
            <w:tcW w:w="1012" w:type="dxa"/>
            <w:tcBorders>
              <w:top w:val="single" w:sz="4" w:space="0" w:color="FF3399"/>
              <w:left w:val="single" w:sz="4" w:space="0" w:color="FF3399"/>
              <w:bottom w:val="single" w:sz="4" w:space="0" w:color="FF3399"/>
              <w:right w:val="single" w:sz="4" w:space="0" w:color="FF3399"/>
            </w:tcBorders>
            <w:noWrap/>
            <w:hideMark/>
          </w:tcPr>
          <w:p w:rsidR="0025274D" w:rsidRPr="00D73845" w:rsidRDefault="0025274D" w:rsidP="0025274D">
            <w:r w:rsidRPr="00D73845">
              <w:t>33%</w:t>
            </w:r>
          </w:p>
        </w:tc>
        <w:tc>
          <w:tcPr>
            <w:tcW w:w="1012" w:type="dxa"/>
            <w:tcBorders>
              <w:top w:val="single" w:sz="4" w:space="0" w:color="FF3399"/>
              <w:left w:val="single" w:sz="4" w:space="0" w:color="FF3399"/>
              <w:bottom w:val="single" w:sz="4" w:space="0" w:color="FF3399"/>
              <w:right w:val="single" w:sz="4" w:space="0" w:color="FF3399"/>
            </w:tcBorders>
            <w:noWrap/>
            <w:hideMark/>
          </w:tcPr>
          <w:p w:rsidR="0025274D" w:rsidRPr="00D73845" w:rsidRDefault="0025274D" w:rsidP="0025274D">
            <w:r w:rsidRPr="00D73845">
              <w:t>35%</w:t>
            </w:r>
          </w:p>
        </w:tc>
        <w:tc>
          <w:tcPr>
            <w:tcW w:w="1012" w:type="dxa"/>
            <w:tcBorders>
              <w:top w:val="single" w:sz="4" w:space="0" w:color="FF3399"/>
              <w:left w:val="single" w:sz="4" w:space="0" w:color="FF3399"/>
              <w:bottom w:val="single" w:sz="4" w:space="0" w:color="FF3399"/>
              <w:right w:val="single" w:sz="4" w:space="0" w:color="FF3399"/>
            </w:tcBorders>
            <w:noWrap/>
            <w:hideMark/>
          </w:tcPr>
          <w:p w:rsidR="0025274D" w:rsidRPr="00D73845" w:rsidRDefault="0025274D" w:rsidP="0025274D">
            <w:r w:rsidRPr="00D73845">
              <w:t>32%</w:t>
            </w:r>
          </w:p>
        </w:tc>
        <w:tc>
          <w:tcPr>
            <w:tcW w:w="1012" w:type="dxa"/>
            <w:tcBorders>
              <w:top w:val="single" w:sz="4" w:space="0" w:color="FF3399"/>
              <w:left w:val="single" w:sz="4" w:space="0" w:color="FF3399"/>
              <w:bottom w:val="single" w:sz="4" w:space="0" w:color="FF3399"/>
              <w:right w:val="single" w:sz="4" w:space="0" w:color="FF3399"/>
            </w:tcBorders>
            <w:noWrap/>
            <w:hideMark/>
          </w:tcPr>
          <w:p w:rsidR="0025274D" w:rsidRPr="00D73845" w:rsidRDefault="0025274D" w:rsidP="0025274D">
            <w:r w:rsidRPr="00D73845">
              <w:t>31%</w:t>
            </w:r>
          </w:p>
        </w:tc>
        <w:tc>
          <w:tcPr>
            <w:tcW w:w="1012" w:type="dxa"/>
            <w:tcBorders>
              <w:top w:val="single" w:sz="4" w:space="0" w:color="FF3399"/>
              <w:left w:val="single" w:sz="4" w:space="0" w:color="FF3399"/>
              <w:bottom w:val="single" w:sz="4" w:space="0" w:color="FF3399"/>
              <w:right w:val="single" w:sz="4" w:space="0" w:color="FF3399"/>
            </w:tcBorders>
            <w:noWrap/>
            <w:hideMark/>
          </w:tcPr>
          <w:p w:rsidR="0025274D" w:rsidRPr="00D73845" w:rsidRDefault="0025274D" w:rsidP="0025274D">
            <w:r w:rsidRPr="00D73845">
              <w:t>32%</w:t>
            </w:r>
          </w:p>
        </w:tc>
      </w:tr>
      <w:tr w:rsidR="0025274D" w:rsidRPr="00D73845" w:rsidTr="0025274D">
        <w:trPr>
          <w:trHeight w:val="312"/>
        </w:trPr>
        <w:tc>
          <w:tcPr>
            <w:tcW w:w="4460" w:type="dxa"/>
            <w:tcBorders>
              <w:top w:val="single" w:sz="4" w:space="0" w:color="FF3399"/>
              <w:left w:val="nil"/>
              <w:bottom w:val="single" w:sz="4" w:space="0" w:color="FF3399"/>
              <w:right w:val="single" w:sz="4" w:space="0" w:color="FF3399"/>
            </w:tcBorders>
            <w:noWrap/>
            <w:hideMark/>
          </w:tcPr>
          <w:p w:rsidR="0025274D" w:rsidRPr="00D73845" w:rsidRDefault="0025274D" w:rsidP="0025274D">
            <w:r w:rsidRPr="00D73845">
              <w:t>At least once a year</w:t>
            </w:r>
          </w:p>
        </w:tc>
        <w:tc>
          <w:tcPr>
            <w:tcW w:w="1012" w:type="dxa"/>
            <w:tcBorders>
              <w:top w:val="single" w:sz="4" w:space="0" w:color="FF3399"/>
              <w:left w:val="single" w:sz="4" w:space="0" w:color="FF3399"/>
              <w:bottom w:val="single" w:sz="4" w:space="0" w:color="FF3399"/>
              <w:right w:val="single" w:sz="4" w:space="0" w:color="FF3399"/>
            </w:tcBorders>
            <w:noWrap/>
            <w:hideMark/>
          </w:tcPr>
          <w:p w:rsidR="0025274D" w:rsidRPr="00D73845" w:rsidRDefault="0025274D" w:rsidP="0025274D">
            <w:r w:rsidRPr="00D73845">
              <w:t>11%</w:t>
            </w:r>
          </w:p>
        </w:tc>
        <w:tc>
          <w:tcPr>
            <w:tcW w:w="1012" w:type="dxa"/>
            <w:tcBorders>
              <w:top w:val="single" w:sz="4" w:space="0" w:color="FF3399"/>
              <w:left w:val="single" w:sz="4" w:space="0" w:color="FF3399"/>
              <w:bottom w:val="single" w:sz="4" w:space="0" w:color="FF3399"/>
              <w:right w:val="single" w:sz="4" w:space="0" w:color="FF3399"/>
            </w:tcBorders>
            <w:noWrap/>
            <w:hideMark/>
          </w:tcPr>
          <w:p w:rsidR="0025274D" w:rsidRPr="00D73845" w:rsidRDefault="0025274D" w:rsidP="0025274D">
            <w:r w:rsidRPr="00D73845">
              <w:t>15%</w:t>
            </w:r>
          </w:p>
        </w:tc>
        <w:tc>
          <w:tcPr>
            <w:tcW w:w="1012" w:type="dxa"/>
            <w:tcBorders>
              <w:top w:val="single" w:sz="4" w:space="0" w:color="FF3399"/>
              <w:left w:val="single" w:sz="4" w:space="0" w:color="FF3399"/>
              <w:bottom w:val="single" w:sz="4" w:space="0" w:color="FF3399"/>
              <w:right w:val="single" w:sz="4" w:space="0" w:color="FF3399"/>
            </w:tcBorders>
            <w:noWrap/>
            <w:hideMark/>
          </w:tcPr>
          <w:p w:rsidR="0025274D" w:rsidRPr="00D73845" w:rsidRDefault="0025274D" w:rsidP="0025274D">
            <w:r w:rsidRPr="00D73845">
              <w:t>13%</w:t>
            </w:r>
          </w:p>
        </w:tc>
        <w:tc>
          <w:tcPr>
            <w:tcW w:w="1012" w:type="dxa"/>
            <w:tcBorders>
              <w:top w:val="single" w:sz="4" w:space="0" w:color="FF3399"/>
              <w:left w:val="single" w:sz="4" w:space="0" w:color="FF3399"/>
              <w:bottom w:val="single" w:sz="4" w:space="0" w:color="FF3399"/>
              <w:right w:val="single" w:sz="4" w:space="0" w:color="FF3399"/>
            </w:tcBorders>
            <w:noWrap/>
            <w:hideMark/>
          </w:tcPr>
          <w:p w:rsidR="0025274D" w:rsidRPr="00D73845" w:rsidRDefault="0025274D" w:rsidP="0025274D">
            <w:r w:rsidRPr="00D73845">
              <w:t>10%</w:t>
            </w:r>
          </w:p>
        </w:tc>
        <w:tc>
          <w:tcPr>
            <w:tcW w:w="1012" w:type="dxa"/>
            <w:tcBorders>
              <w:top w:val="single" w:sz="4" w:space="0" w:color="FF3399"/>
              <w:left w:val="single" w:sz="4" w:space="0" w:color="FF3399"/>
              <w:bottom w:val="single" w:sz="4" w:space="0" w:color="FF3399"/>
              <w:right w:val="single" w:sz="4" w:space="0" w:color="FF3399"/>
            </w:tcBorders>
            <w:noWrap/>
            <w:hideMark/>
          </w:tcPr>
          <w:p w:rsidR="0025274D" w:rsidRPr="00D73845" w:rsidRDefault="0025274D" w:rsidP="0025274D">
            <w:r w:rsidRPr="00D73845">
              <w:t>12%</w:t>
            </w:r>
          </w:p>
        </w:tc>
      </w:tr>
      <w:tr w:rsidR="0025274D" w:rsidRPr="00D73845" w:rsidTr="0025274D">
        <w:trPr>
          <w:trHeight w:val="276"/>
        </w:trPr>
        <w:tc>
          <w:tcPr>
            <w:tcW w:w="4460" w:type="dxa"/>
            <w:tcBorders>
              <w:top w:val="single" w:sz="4" w:space="0" w:color="FF3399"/>
              <w:left w:val="nil"/>
              <w:bottom w:val="single" w:sz="4" w:space="0" w:color="FF3399"/>
              <w:right w:val="single" w:sz="4" w:space="0" w:color="FF3399"/>
            </w:tcBorders>
            <w:noWrap/>
            <w:hideMark/>
          </w:tcPr>
          <w:p w:rsidR="0025274D" w:rsidRPr="00D73845" w:rsidRDefault="0025274D" w:rsidP="0025274D">
            <w:r w:rsidRPr="00D73845">
              <w:t>Less often</w:t>
            </w:r>
          </w:p>
        </w:tc>
        <w:tc>
          <w:tcPr>
            <w:tcW w:w="1012" w:type="dxa"/>
            <w:tcBorders>
              <w:top w:val="single" w:sz="4" w:space="0" w:color="FF3399"/>
              <w:left w:val="single" w:sz="4" w:space="0" w:color="FF3399"/>
              <w:bottom w:val="single" w:sz="4" w:space="0" w:color="FF3399"/>
              <w:right w:val="single" w:sz="4" w:space="0" w:color="FF3399"/>
            </w:tcBorders>
            <w:noWrap/>
            <w:hideMark/>
          </w:tcPr>
          <w:p w:rsidR="0025274D" w:rsidRPr="00D73845" w:rsidRDefault="0025274D" w:rsidP="0025274D">
            <w:r w:rsidRPr="00D73845">
              <w:t>9%</w:t>
            </w:r>
          </w:p>
        </w:tc>
        <w:tc>
          <w:tcPr>
            <w:tcW w:w="1012" w:type="dxa"/>
            <w:tcBorders>
              <w:top w:val="single" w:sz="4" w:space="0" w:color="FF3399"/>
              <w:left w:val="single" w:sz="4" w:space="0" w:color="FF3399"/>
              <w:bottom w:val="single" w:sz="4" w:space="0" w:color="FF3399"/>
              <w:right w:val="single" w:sz="4" w:space="0" w:color="FF3399"/>
            </w:tcBorders>
            <w:noWrap/>
            <w:hideMark/>
          </w:tcPr>
          <w:p w:rsidR="0025274D" w:rsidRPr="00D73845" w:rsidRDefault="0025274D" w:rsidP="0025274D">
            <w:r w:rsidRPr="00D73845">
              <w:t>9%</w:t>
            </w:r>
          </w:p>
        </w:tc>
        <w:tc>
          <w:tcPr>
            <w:tcW w:w="1012" w:type="dxa"/>
            <w:tcBorders>
              <w:top w:val="single" w:sz="4" w:space="0" w:color="FF3399"/>
              <w:left w:val="single" w:sz="4" w:space="0" w:color="FF3399"/>
              <w:bottom w:val="single" w:sz="4" w:space="0" w:color="FF3399"/>
              <w:right w:val="single" w:sz="4" w:space="0" w:color="FF3399"/>
            </w:tcBorders>
            <w:noWrap/>
            <w:hideMark/>
          </w:tcPr>
          <w:p w:rsidR="0025274D" w:rsidRPr="00D73845" w:rsidRDefault="0025274D" w:rsidP="0025274D">
            <w:r w:rsidRPr="00D73845">
              <w:t>9%</w:t>
            </w:r>
          </w:p>
        </w:tc>
        <w:tc>
          <w:tcPr>
            <w:tcW w:w="1012" w:type="dxa"/>
            <w:tcBorders>
              <w:top w:val="single" w:sz="4" w:space="0" w:color="FF3399"/>
              <w:left w:val="single" w:sz="4" w:space="0" w:color="FF3399"/>
              <w:bottom w:val="single" w:sz="4" w:space="0" w:color="FF3399"/>
              <w:right w:val="single" w:sz="4" w:space="0" w:color="FF3399"/>
            </w:tcBorders>
            <w:noWrap/>
            <w:hideMark/>
          </w:tcPr>
          <w:p w:rsidR="0025274D" w:rsidRPr="00D73845" w:rsidRDefault="0025274D" w:rsidP="0025274D">
            <w:r w:rsidRPr="00D73845">
              <w:t>6%</w:t>
            </w:r>
          </w:p>
        </w:tc>
        <w:tc>
          <w:tcPr>
            <w:tcW w:w="1012" w:type="dxa"/>
            <w:tcBorders>
              <w:top w:val="single" w:sz="4" w:space="0" w:color="FF3399"/>
              <w:left w:val="single" w:sz="4" w:space="0" w:color="FF3399"/>
              <w:bottom w:val="single" w:sz="4" w:space="0" w:color="FF3399"/>
              <w:right w:val="single" w:sz="4" w:space="0" w:color="FF3399"/>
            </w:tcBorders>
            <w:noWrap/>
            <w:hideMark/>
          </w:tcPr>
          <w:p w:rsidR="0025274D" w:rsidRPr="00D73845" w:rsidRDefault="0025274D" w:rsidP="0025274D">
            <w:r w:rsidRPr="00D73845">
              <w:t>9%</w:t>
            </w:r>
          </w:p>
        </w:tc>
      </w:tr>
      <w:tr w:rsidR="0025274D" w:rsidRPr="00D73845" w:rsidTr="0025274D">
        <w:trPr>
          <w:trHeight w:val="324"/>
        </w:trPr>
        <w:tc>
          <w:tcPr>
            <w:tcW w:w="4460" w:type="dxa"/>
            <w:tcBorders>
              <w:top w:val="single" w:sz="4" w:space="0" w:color="FF3399"/>
              <w:left w:val="nil"/>
              <w:bottom w:val="single" w:sz="4" w:space="0" w:color="FF3399"/>
              <w:right w:val="single" w:sz="4" w:space="0" w:color="FF3399"/>
            </w:tcBorders>
            <w:noWrap/>
            <w:hideMark/>
          </w:tcPr>
          <w:p w:rsidR="0025274D" w:rsidRPr="00D73845" w:rsidRDefault="0025274D" w:rsidP="0025274D">
            <w:r w:rsidRPr="00D73845">
              <w:t>Never</w:t>
            </w:r>
          </w:p>
        </w:tc>
        <w:tc>
          <w:tcPr>
            <w:tcW w:w="1012" w:type="dxa"/>
            <w:tcBorders>
              <w:top w:val="single" w:sz="4" w:space="0" w:color="FF3399"/>
              <w:left w:val="single" w:sz="4" w:space="0" w:color="FF3399"/>
              <w:bottom w:val="single" w:sz="4" w:space="0" w:color="FF3399"/>
              <w:right w:val="single" w:sz="4" w:space="0" w:color="FF3399"/>
            </w:tcBorders>
            <w:noWrap/>
            <w:hideMark/>
          </w:tcPr>
          <w:p w:rsidR="0025274D" w:rsidRPr="00D73845" w:rsidRDefault="0025274D" w:rsidP="0025274D">
            <w:r w:rsidRPr="00D73845">
              <w:t>3%</w:t>
            </w:r>
          </w:p>
        </w:tc>
        <w:tc>
          <w:tcPr>
            <w:tcW w:w="1012" w:type="dxa"/>
            <w:tcBorders>
              <w:top w:val="single" w:sz="4" w:space="0" w:color="FF3399"/>
              <w:left w:val="single" w:sz="4" w:space="0" w:color="FF3399"/>
              <w:bottom w:val="single" w:sz="4" w:space="0" w:color="FF3399"/>
              <w:right w:val="single" w:sz="4" w:space="0" w:color="FF3399"/>
            </w:tcBorders>
            <w:noWrap/>
            <w:hideMark/>
          </w:tcPr>
          <w:p w:rsidR="0025274D" w:rsidRPr="00D73845" w:rsidRDefault="0025274D" w:rsidP="0025274D">
            <w:r w:rsidRPr="00D73845">
              <w:t>3%</w:t>
            </w:r>
          </w:p>
        </w:tc>
        <w:tc>
          <w:tcPr>
            <w:tcW w:w="1012" w:type="dxa"/>
            <w:tcBorders>
              <w:top w:val="single" w:sz="4" w:space="0" w:color="FF3399"/>
              <w:left w:val="single" w:sz="4" w:space="0" w:color="FF3399"/>
              <w:bottom w:val="single" w:sz="4" w:space="0" w:color="FF3399"/>
              <w:right w:val="single" w:sz="4" w:space="0" w:color="FF3399"/>
            </w:tcBorders>
            <w:noWrap/>
            <w:hideMark/>
          </w:tcPr>
          <w:p w:rsidR="0025274D" w:rsidRPr="00D73845" w:rsidRDefault="0025274D" w:rsidP="0025274D">
            <w:r w:rsidRPr="00D73845">
              <w:t>2%</w:t>
            </w:r>
          </w:p>
        </w:tc>
        <w:tc>
          <w:tcPr>
            <w:tcW w:w="1012" w:type="dxa"/>
            <w:tcBorders>
              <w:top w:val="single" w:sz="4" w:space="0" w:color="FF3399"/>
              <w:left w:val="single" w:sz="4" w:space="0" w:color="FF3399"/>
              <w:bottom w:val="single" w:sz="4" w:space="0" w:color="FF3399"/>
              <w:right w:val="single" w:sz="4" w:space="0" w:color="FF3399"/>
            </w:tcBorders>
            <w:noWrap/>
            <w:hideMark/>
          </w:tcPr>
          <w:p w:rsidR="0025274D" w:rsidRPr="00D73845" w:rsidRDefault="0025274D" w:rsidP="0025274D">
            <w:r w:rsidRPr="00D73845">
              <w:t>3%</w:t>
            </w:r>
          </w:p>
        </w:tc>
        <w:tc>
          <w:tcPr>
            <w:tcW w:w="1012" w:type="dxa"/>
            <w:tcBorders>
              <w:top w:val="single" w:sz="4" w:space="0" w:color="FF3399"/>
              <w:left w:val="single" w:sz="4" w:space="0" w:color="FF3399"/>
              <w:bottom w:val="single" w:sz="4" w:space="0" w:color="FF3399"/>
              <w:right w:val="single" w:sz="4" w:space="0" w:color="FF3399"/>
            </w:tcBorders>
            <w:noWrap/>
            <w:hideMark/>
          </w:tcPr>
          <w:p w:rsidR="0025274D" w:rsidRPr="00D73845" w:rsidRDefault="0025274D" w:rsidP="0025274D">
            <w:r w:rsidRPr="00D73845">
              <w:t>4%</w:t>
            </w:r>
          </w:p>
        </w:tc>
      </w:tr>
      <w:tr w:rsidR="0025274D" w:rsidRPr="00D73845" w:rsidTr="0022119B">
        <w:trPr>
          <w:trHeight w:val="276"/>
        </w:trPr>
        <w:tc>
          <w:tcPr>
            <w:tcW w:w="4460" w:type="dxa"/>
            <w:tcBorders>
              <w:top w:val="single" w:sz="4" w:space="0" w:color="FF3399"/>
              <w:left w:val="nil"/>
              <w:bottom w:val="single" w:sz="4" w:space="0" w:color="FF3399"/>
              <w:right w:val="single" w:sz="4" w:space="0" w:color="FF3399"/>
            </w:tcBorders>
            <w:noWrap/>
            <w:hideMark/>
          </w:tcPr>
          <w:p w:rsidR="0025274D" w:rsidRPr="00D73845" w:rsidRDefault="0025274D" w:rsidP="0025274D">
            <w:r w:rsidRPr="00D73845">
              <w:t>Don't know</w:t>
            </w:r>
          </w:p>
        </w:tc>
        <w:tc>
          <w:tcPr>
            <w:tcW w:w="1012" w:type="dxa"/>
            <w:tcBorders>
              <w:top w:val="single" w:sz="4" w:space="0" w:color="FF3399"/>
              <w:left w:val="single" w:sz="4" w:space="0" w:color="FF3399"/>
              <w:bottom w:val="single" w:sz="4" w:space="0" w:color="FF3399"/>
              <w:right w:val="single" w:sz="4" w:space="0" w:color="FF3399"/>
            </w:tcBorders>
            <w:noWrap/>
            <w:hideMark/>
          </w:tcPr>
          <w:p w:rsidR="0025274D" w:rsidRPr="00D73845" w:rsidRDefault="0025274D" w:rsidP="0025274D">
            <w:r w:rsidRPr="00D73845">
              <w:t>1%</w:t>
            </w:r>
          </w:p>
        </w:tc>
        <w:tc>
          <w:tcPr>
            <w:tcW w:w="1012" w:type="dxa"/>
            <w:tcBorders>
              <w:top w:val="single" w:sz="4" w:space="0" w:color="FF3399"/>
              <w:left w:val="single" w:sz="4" w:space="0" w:color="FF3399"/>
              <w:bottom w:val="single" w:sz="4" w:space="0" w:color="FF3399"/>
              <w:right w:val="single" w:sz="4" w:space="0" w:color="FF3399"/>
            </w:tcBorders>
            <w:noWrap/>
            <w:hideMark/>
          </w:tcPr>
          <w:p w:rsidR="0025274D" w:rsidRPr="00D73845" w:rsidRDefault="0025274D" w:rsidP="0025274D">
            <w:r w:rsidRPr="00D73845">
              <w:t>1%</w:t>
            </w:r>
          </w:p>
        </w:tc>
        <w:tc>
          <w:tcPr>
            <w:tcW w:w="1012" w:type="dxa"/>
            <w:tcBorders>
              <w:top w:val="single" w:sz="4" w:space="0" w:color="FF3399"/>
              <w:left w:val="single" w:sz="4" w:space="0" w:color="FF3399"/>
              <w:bottom w:val="single" w:sz="4" w:space="0" w:color="FF3399"/>
              <w:right w:val="single" w:sz="4" w:space="0" w:color="FF3399"/>
            </w:tcBorders>
            <w:noWrap/>
            <w:hideMark/>
          </w:tcPr>
          <w:p w:rsidR="0025274D" w:rsidRPr="00D73845" w:rsidRDefault="0025274D" w:rsidP="0025274D">
            <w:r w:rsidRPr="00D73845">
              <w:t>1%</w:t>
            </w:r>
          </w:p>
        </w:tc>
        <w:tc>
          <w:tcPr>
            <w:tcW w:w="1012" w:type="dxa"/>
            <w:tcBorders>
              <w:top w:val="single" w:sz="4" w:space="0" w:color="FF3399"/>
              <w:left w:val="single" w:sz="4" w:space="0" w:color="FF3399"/>
              <w:bottom w:val="single" w:sz="4" w:space="0" w:color="FF3399"/>
              <w:right w:val="single" w:sz="4" w:space="0" w:color="FF3399"/>
            </w:tcBorders>
            <w:noWrap/>
            <w:hideMark/>
          </w:tcPr>
          <w:p w:rsidR="0025274D" w:rsidRPr="00D73845" w:rsidRDefault="0025274D" w:rsidP="0025274D">
            <w:r w:rsidRPr="00D73845">
              <w:t>1%</w:t>
            </w:r>
          </w:p>
        </w:tc>
        <w:tc>
          <w:tcPr>
            <w:tcW w:w="1012" w:type="dxa"/>
            <w:tcBorders>
              <w:top w:val="single" w:sz="4" w:space="0" w:color="FF3399"/>
              <w:left w:val="single" w:sz="4" w:space="0" w:color="FF3399"/>
              <w:bottom w:val="single" w:sz="4" w:space="0" w:color="FF3399"/>
              <w:right w:val="single" w:sz="4" w:space="0" w:color="FF3399"/>
            </w:tcBorders>
            <w:noWrap/>
            <w:hideMark/>
          </w:tcPr>
          <w:p w:rsidR="0025274D" w:rsidRPr="00D73845" w:rsidRDefault="0025274D" w:rsidP="0025274D">
            <w:r w:rsidRPr="00D73845">
              <w:t>1%</w:t>
            </w:r>
          </w:p>
        </w:tc>
      </w:tr>
      <w:tr w:rsidR="0025274D" w:rsidRPr="00D73845" w:rsidTr="0022119B">
        <w:trPr>
          <w:trHeight w:val="276"/>
        </w:trPr>
        <w:tc>
          <w:tcPr>
            <w:tcW w:w="4460" w:type="dxa"/>
            <w:tcBorders>
              <w:top w:val="single" w:sz="4" w:space="0" w:color="FF3399"/>
              <w:left w:val="nil"/>
              <w:bottom w:val="single" w:sz="4" w:space="0" w:color="FF3399"/>
              <w:right w:val="single" w:sz="4" w:space="0" w:color="FF3399"/>
            </w:tcBorders>
            <w:noWrap/>
            <w:hideMark/>
          </w:tcPr>
          <w:p w:rsidR="0025274D" w:rsidRPr="00D73845" w:rsidRDefault="0025274D" w:rsidP="0025274D">
            <w:r w:rsidRPr="00D73845">
              <w:t xml:space="preserve">Total of at least yearly and more frequently </w:t>
            </w:r>
          </w:p>
        </w:tc>
        <w:tc>
          <w:tcPr>
            <w:tcW w:w="1012" w:type="dxa"/>
            <w:tcBorders>
              <w:top w:val="single" w:sz="4" w:space="0" w:color="FF3399"/>
              <w:left w:val="single" w:sz="4" w:space="0" w:color="FF3399"/>
              <w:bottom w:val="single" w:sz="4" w:space="0" w:color="FF3399"/>
              <w:right w:val="single" w:sz="4" w:space="0" w:color="FF3399"/>
            </w:tcBorders>
            <w:noWrap/>
            <w:hideMark/>
          </w:tcPr>
          <w:p w:rsidR="0025274D" w:rsidRPr="00D73845" w:rsidRDefault="0025274D" w:rsidP="0025274D">
            <w:r w:rsidRPr="00D73845">
              <w:t>87%</w:t>
            </w:r>
          </w:p>
        </w:tc>
        <w:tc>
          <w:tcPr>
            <w:tcW w:w="1012" w:type="dxa"/>
            <w:tcBorders>
              <w:top w:val="single" w:sz="4" w:space="0" w:color="FF3399"/>
              <w:left w:val="single" w:sz="4" w:space="0" w:color="FF3399"/>
              <w:bottom w:val="single" w:sz="4" w:space="0" w:color="FF3399"/>
              <w:right w:val="single" w:sz="4" w:space="0" w:color="FF3399"/>
            </w:tcBorders>
            <w:noWrap/>
            <w:hideMark/>
          </w:tcPr>
          <w:p w:rsidR="0025274D" w:rsidRPr="00D73845" w:rsidRDefault="0025274D" w:rsidP="0025274D">
            <w:r w:rsidRPr="00D73845">
              <w:t>88%</w:t>
            </w:r>
          </w:p>
        </w:tc>
        <w:tc>
          <w:tcPr>
            <w:tcW w:w="1012" w:type="dxa"/>
            <w:tcBorders>
              <w:top w:val="single" w:sz="4" w:space="0" w:color="FF3399"/>
              <w:left w:val="single" w:sz="4" w:space="0" w:color="FF3399"/>
              <w:bottom w:val="single" w:sz="4" w:space="0" w:color="FF3399"/>
              <w:right w:val="single" w:sz="4" w:space="0" w:color="FF3399"/>
            </w:tcBorders>
            <w:noWrap/>
            <w:hideMark/>
          </w:tcPr>
          <w:p w:rsidR="0025274D" w:rsidRPr="00D73845" w:rsidRDefault="0025274D" w:rsidP="0025274D">
            <w:r w:rsidRPr="00D73845">
              <w:t>88%</w:t>
            </w:r>
          </w:p>
        </w:tc>
        <w:tc>
          <w:tcPr>
            <w:tcW w:w="1012" w:type="dxa"/>
            <w:tcBorders>
              <w:top w:val="single" w:sz="4" w:space="0" w:color="FF3399"/>
              <w:left w:val="single" w:sz="4" w:space="0" w:color="FF3399"/>
              <w:bottom w:val="single" w:sz="4" w:space="0" w:color="FF3399"/>
              <w:right w:val="single" w:sz="4" w:space="0" w:color="FF3399"/>
            </w:tcBorders>
            <w:noWrap/>
            <w:hideMark/>
          </w:tcPr>
          <w:p w:rsidR="0025274D" w:rsidRPr="00D73845" w:rsidRDefault="0025274D" w:rsidP="008A55DD">
            <w:r w:rsidRPr="00D73845">
              <w:t>90%</w:t>
            </w:r>
          </w:p>
        </w:tc>
        <w:tc>
          <w:tcPr>
            <w:tcW w:w="1012" w:type="dxa"/>
            <w:tcBorders>
              <w:top w:val="single" w:sz="4" w:space="0" w:color="FF3399"/>
              <w:left w:val="single" w:sz="4" w:space="0" w:color="FF3399"/>
              <w:bottom w:val="single" w:sz="4" w:space="0" w:color="FF3399"/>
              <w:right w:val="single" w:sz="4" w:space="0" w:color="FF3399"/>
            </w:tcBorders>
            <w:shd w:val="pct5" w:color="auto" w:fill="auto"/>
            <w:noWrap/>
            <w:hideMark/>
          </w:tcPr>
          <w:p w:rsidR="0025274D" w:rsidRPr="00D73845" w:rsidRDefault="0025274D" w:rsidP="008A55DD">
            <w:r w:rsidRPr="00D73845">
              <w:t>86%</w:t>
            </w:r>
          </w:p>
        </w:tc>
      </w:tr>
      <w:tr w:rsidR="0025274D" w:rsidRPr="00D73845" w:rsidTr="0025274D">
        <w:trPr>
          <w:trHeight w:val="276"/>
        </w:trPr>
        <w:tc>
          <w:tcPr>
            <w:tcW w:w="9520" w:type="dxa"/>
            <w:gridSpan w:val="6"/>
            <w:tcBorders>
              <w:top w:val="single" w:sz="4" w:space="0" w:color="FF3399"/>
              <w:left w:val="nil"/>
              <w:bottom w:val="single" w:sz="4" w:space="0" w:color="FF3399"/>
              <w:right w:val="single" w:sz="4" w:space="0" w:color="FF3399"/>
            </w:tcBorders>
            <w:noWrap/>
            <w:hideMark/>
          </w:tcPr>
          <w:p w:rsidR="0025274D" w:rsidRPr="00ED3F9F" w:rsidRDefault="0025274D" w:rsidP="0036301C">
            <w:pPr>
              <w:rPr>
                <w:i/>
              </w:rPr>
            </w:pPr>
            <w:r w:rsidRPr="00ED3F9F">
              <w:rPr>
                <w:i/>
              </w:rPr>
              <w:t xml:space="preserve">Source: Wellington City Council </w:t>
            </w:r>
            <w:r w:rsidR="0036301C">
              <w:rPr>
                <w:i/>
              </w:rPr>
              <w:t>RMS</w:t>
            </w:r>
            <w:r w:rsidRPr="00ED3F9F">
              <w:rPr>
                <w:i/>
              </w:rPr>
              <w:t xml:space="preserve"> </w:t>
            </w:r>
          </w:p>
        </w:tc>
      </w:tr>
    </w:tbl>
    <w:p w:rsidR="006B024A" w:rsidRDefault="006B024A" w:rsidP="006B024A">
      <w:pPr>
        <w:pStyle w:val="5Block"/>
        <w:spacing w:after="0" w:line="240" w:lineRule="auto"/>
        <w:rPr>
          <w:rFonts w:ascii="Arial" w:hAnsi="Arial" w:cs="Arial"/>
        </w:rPr>
      </w:pPr>
    </w:p>
    <w:p w:rsidR="0025274D" w:rsidRPr="00B5292B" w:rsidRDefault="0025274D" w:rsidP="002C7BF8">
      <w:pPr>
        <w:pStyle w:val="ListParagraph"/>
        <w:numPr>
          <w:ilvl w:val="0"/>
          <w:numId w:val="62"/>
        </w:numPr>
        <w:spacing w:after="0"/>
        <w:rPr>
          <w:rFonts w:ascii="Arial" w:hAnsi="Arial" w:cs="Arial"/>
          <w:b/>
        </w:rPr>
      </w:pPr>
      <w:r w:rsidRPr="00B5292B">
        <w:rPr>
          <w:b/>
        </w:rPr>
        <w:t>Wellington Museums Trust - Funding support</w:t>
      </w:r>
    </w:p>
    <w:tbl>
      <w:tblPr>
        <w:tblStyle w:val="TableGrid10"/>
        <w:tblW w:w="0" w:type="auto"/>
        <w:tblLook w:val="04A0" w:firstRow="1" w:lastRow="0" w:firstColumn="1" w:lastColumn="0" w:noHBand="0" w:noVBand="1"/>
      </w:tblPr>
      <w:tblGrid>
        <w:gridCol w:w="2396"/>
        <w:gridCol w:w="889"/>
        <w:gridCol w:w="889"/>
        <w:gridCol w:w="889"/>
        <w:gridCol w:w="889"/>
      </w:tblGrid>
      <w:tr w:rsidR="0022119B" w:rsidRPr="00D73845" w:rsidTr="0022119B">
        <w:trPr>
          <w:trHeight w:val="552"/>
        </w:trPr>
        <w:tc>
          <w:tcPr>
            <w:tcW w:w="2396" w:type="dxa"/>
            <w:tcBorders>
              <w:top w:val="single" w:sz="4" w:space="0" w:color="FF3399"/>
              <w:left w:val="nil"/>
              <w:bottom w:val="single" w:sz="4" w:space="0" w:color="FF3399"/>
              <w:right w:val="single" w:sz="4" w:space="0" w:color="FF3399"/>
            </w:tcBorders>
          </w:tcPr>
          <w:p w:rsidR="0022119B" w:rsidRPr="00D73845" w:rsidRDefault="0022119B" w:rsidP="0025274D"/>
        </w:tc>
        <w:tc>
          <w:tcPr>
            <w:tcW w:w="889" w:type="dxa"/>
            <w:tcBorders>
              <w:top w:val="single" w:sz="4" w:space="0" w:color="FF3399"/>
              <w:left w:val="single" w:sz="4" w:space="0" w:color="FF3399"/>
              <w:bottom w:val="single" w:sz="4" w:space="0" w:color="FF3399"/>
              <w:right w:val="single" w:sz="4" w:space="0" w:color="FF3399"/>
            </w:tcBorders>
          </w:tcPr>
          <w:p w:rsidR="0022119B" w:rsidRPr="00D73845" w:rsidRDefault="0022119B" w:rsidP="0025274D">
            <w:r>
              <w:t>16/17</w:t>
            </w:r>
          </w:p>
        </w:tc>
        <w:tc>
          <w:tcPr>
            <w:tcW w:w="889" w:type="dxa"/>
            <w:tcBorders>
              <w:top w:val="single" w:sz="4" w:space="0" w:color="FF3399"/>
              <w:left w:val="single" w:sz="4" w:space="0" w:color="FF3399"/>
              <w:bottom w:val="single" w:sz="4" w:space="0" w:color="FF3399"/>
              <w:right w:val="single" w:sz="4" w:space="0" w:color="FF3399"/>
            </w:tcBorders>
          </w:tcPr>
          <w:p w:rsidR="0022119B" w:rsidRPr="00D73845" w:rsidRDefault="0022119B" w:rsidP="0025274D">
            <w:r>
              <w:t>17/18</w:t>
            </w:r>
          </w:p>
        </w:tc>
        <w:tc>
          <w:tcPr>
            <w:tcW w:w="889" w:type="dxa"/>
            <w:tcBorders>
              <w:top w:val="single" w:sz="4" w:space="0" w:color="FF3399"/>
              <w:left w:val="single" w:sz="4" w:space="0" w:color="FF3399"/>
              <w:bottom w:val="single" w:sz="4" w:space="0" w:color="FF3399"/>
              <w:right w:val="single" w:sz="4" w:space="0" w:color="FF3399"/>
            </w:tcBorders>
          </w:tcPr>
          <w:p w:rsidR="0022119B" w:rsidRPr="00D73845" w:rsidRDefault="0022119B" w:rsidP="0025274D">
            <w:r>
              <w:t>18/19</w:t>
            </w:r>
          </w:p>
        </w:tc>
        <w:tc>
          <w:tcPr>
            <w:tcW w:w="889" w:type="dxa"/>
            <w:tcBorders>
              <w:top w:val="single" w:sz="4" w:space="0" w:color="FF3399"/>
              <w:left w:val="single" w:sz="4" w:space="0" w:color="FF3399"/>
              <w:bottom w:val="single" w:sz="4" w:space="0" w:color="FF3399"/>
              <w:right w:val="single" w:sz="4" w:space="0" w:color="FF3399"/>
            </w:tcBorders>
          </w:tcPr>
          <w:p w:rsidR="0022119B" w:rsidRPr="00D73845" w:rsidRDefault="0022119B" w:rsidP="0025274D">
            <w:r>
              <w:t>18/19 Target</w:t>
            </w:r>
          </w:p>
        </w:tc>
      </w:tr>
      <w:tr w:rsidR="0022119B" w:rsidRPr="00D73845" w:rsidTr="0022119B">
        <w:trPr>
          <w:trHeight w:val="552"/>
        </w:trPr>
        <w:tc>
          <w:tcPr>
            <w:tcW w:w="2396" w:type="dxa"/>
            <w:tcBorders>
              <w:top w:val="single" w:sz="4" w:space="0" w:color="FF3399"/>
              <w:left w:val="nil"/>
              <w:bottom w:val="single" w:sz="4" w:space="0" w:color="FF3399"/>
              <w:right w:val="single" w:sz="4" w:space="0" w:color="FF3399"/>
            </w:tcBorders>
            <w:hideMark/>
          </w:tcPr>
          <w:p w:rsidR="0022119B" w:rsidRPr="00D73845" w:rsidRDefault="0022119B" w:rsidP="0025274D">
            <w:r w:rsidRPr="00D73845">
              <w:t>Full cost to Council per visitor (average subsidy)</w:t>
            </w:r>
          </w:p>
        </w:tc>
        <w:tc>
          <w:tcPr>
            <w:tcW w:w="889" w:type="dxa"/>
            <w:tcBorders>
              <w:top w:val="single" w:sz="4" w:space="0" w:color="FF3399"/>
              <w:left w:val="single" w:sz="4" w:space="0" w:color="FF3399"/>
              <w:bottom w:val="single" w:sz="4" w:space="0" w:color="FF3399"/>
              <w:right w:val="single" w:sz="4" w:space="0" w:color="FF3399"/>
            </w:tcBorders>
            <w:hideMark/>
          </w:tcPr>
          <w:p w:rsidR="0022119B" w:rsidRPr="00D73845" w:rsidRDefault="0022119B" w:rsidP="0025274D">
            <w:r w:rsidRPr="00D73845">
              <w:t>$12.28</w:t>
            </w:r>
          </w:p>
        </w:tc>
        <w:tc>
          <w:tcPr>
            <w:tcW w:w="889" w:type="dxa"/>
            <w:tcBorders>
              <w:top w:val="single" w:sz="4" w:space="0" w:color="FF3399"/>
              <w:left w:val="single" w:sz="4" w:space="0" w:color="FF3399"/>
              <w:bottom w:val="single" w:sz="4" w:space="0" w:color="FF3399"/>
              <w:right w:val="single" w:sz="4" w:space="0" w:color="FF3399"/>
            </w:tcBorders>
            <w:hideMark/>
          </w:tcPr>
          <w:p w:rsidR="0022119B" w:rsidRPr="00D73845" w:rsidRDefault="0022119B" w:rsidP="0025274D">
            <w:r w:rsidRPr="00D73845">
              <w:t>$13.33</w:t>
            </w:r>
          </w:p>
        </w:tc>
        <w:tc>
          <w:tcPr>
            <w:tcW w:w="889" w:type="dxa"/>
            <w:tcBorders>
              <w:top w:val="single" w:sz="4" w:space="0" w:color="FF3399"/>
              <w:left w:val="single" w:sz="4" w:space="0" w:color="FF3399"/>
              <w:bottom w:val="single" w:sz="4" w:space="0" w:color="FF3399"/>
              <w:right w:val="single" w:sz="4" w:space="0" w:color="FF3399"/>
            </w:tcBorders>
            <w:shd w:val="pct10" w:color="auto" w:fill="auto"/>
            <w:hideMark/>
          </w:tcPr>
          <w:p w:rsidR="0022119B" w:rsidRPr="00D73845" w:rsidRDefault="0022119B" w:rsidP="0025274D">
            <w:r w:rsidRPr="00D73845">
              <w:t>$12.16</w:t>
            </w:r>
          </w:p>
        </w:tc>
        <w:tc>
          <w:tcPr>
            <w:tcW w:w="889" w:type="dxa"/>
            <w:tcBorders>
              <w:top w:val="single" w:sz="4" w:space="0" w:color="FF3399"/>
              <w:left w:val="single" w:sz="4" w:space="0" w:color="FF3399"/>
              <w:bottom w:val="single" w:sz="4" w:space="0" w:color="FF3399"/>
              <w:right w:val="single" w:sz="4" w:space="0" w:color="FF3399"/>
            </w:tcBorders>
            <w:shd w:val="pct10" w:color="auto" w:fill="auto"/>
            <w:hideMark/>
          </w:tcPr>
          <w:p w:rsidR="0022119B" w:rsidRPr="00D73845" w:rsidRDefault="0022119B" w:rsidP="0025274D">
            <w:r w:rsidRPr="00D73845">
              <w:t>$12.49</w:t>
            </w:r>
          </w:p>
        </w:tc>
      </w:tr>
      <w:tr w:rsidR="0022119B" w:rsidRPr="00D73845" w:rsidTr="0022119B">
        <w:trPr>
          <w:trHeight w:val="276"/>
        </w:trPr>
        <w:tc>
          <w:tcPr>
            <w:tcW w:w="2396" w:type="dxa"/>
            <w:tcBorders>
              <w:top w:val="single" w:sz="4" w:space="0" w:color="FF3399"/>
              <w:left w:val="nil"/>
              <w:bottom w:val="single" w:sz="4" w:space="0" w:color="FF3399"/>
              <w:right w:val="single" w:sz="4" w:space="0" w:color="FF3399"/>
            </w:tcBorders>
            <w:hideMark/>
          </w:tcPr>
          <w:p w:rsidR="0022119B" w:rsidRPr="00D73845" w:rsidRDefault="0022119B" w:rsidP="0025274D">
            <w:r>
              <w:t xml:space="preserve">  </w:t>
            </w:r>
            <w:r w:rsidRPr="00D73845">
              <w:t>City Gallery Wellington</w:t>
            </w:r>
          </w:p>
        </w:tc>
        <w:tc>
          <w:tcPr>
            <w:tcW w:w="889" w:type="dxa"/>
            <w:tcBorders>
              <w:top w:val="single" w:sz="4" w:space="0" w:color="FF3399"/>
              <w:left w:val="single" w:sz="4" w:space="0" w:color="FF3399"/>
              <w:bottom w:val="single" w:sz="4" w:space="0" w:color="FF3399"/>
              <w:right w:val="single" w:sz="4" w:space="0" w:color="FF3399"/>
            </w:tcBorders>
            <w:hideMark/>
          </w:tcPr>
          <w:p w:rsidR="0022119B" w:rsidRPr="00D73845" w:rsidRDefault="0022119B" w:rsidP="0025274D">
            <w:r w:rsidRPr="00D73845">
              <w:t> </w:t>
            </w:r>
          </w:p>
        </w:tc>
        <w:tc>
          <w:tcPr>
            <w:tcW w:w="889" w:type="dxa"/>
            <w:tcBorders>
              <w:top w:val="single" w:sz="4" w:space="0" w:color="FF3399"/>
              <w:left w:val="single" w:sz="4" w:space="0" w:color="FF3399"/>
              <w:bottom w:val="single" w:sz="4" w:space="0" w:color="FF3399"/>
              <w:right w:val="single" w:sz="4" w:space="0" w:color="FF3399"/>
            </w:tcBorders>
            <w:hideMark/>
          </w:tcPr>
          <w:p w:rsidR="0022119B" w:rsidRPr="00D73845" w:rsidRDefault="0022119B" w:rsidP="0025274D">
            <w:r w:rsidRPr="00D73845">
              <w:t>$15.10</w:t>
            </w:r>
          </w:p>
        </w:tc>
        <w:tc>
          <w:tcPr>
            <w:tcW w:w="889" w:type="dxa"/>
            <w:tcBorders>
              <w:top w:val="single" w:sz="4" w:space="0" w:color="FF3399"/>
              <w:left w:val="single" w:sz="4" w:space="0" w:color="FF3399"/>
              <w:bottom w:val="single" w:sz="4" w:space="0" w:color="FF3399"/>
              <w:right w:val="single" w:sz="4" w:space="0" w:color="FF3399"/>
            </w:tcBorders>
            <w:shd w:val="pct10" w:color="auto" w:fill="auto"/>
            <w:hideMark/>
          </w:tcPr>
          <w:p w:rsidR="0022119B" w:rsidRPr="00D73845" w:rsidRDefault="0022119B" w:rsidP="0025274D">
            <w:r w:rsidRPr="00D73845">
              <w:t>$19.20</w:t>
            </w:r>
          </w:p>
        </w:tc>
        <w:tc>
          <w:tcPr>
            <w:tcW w:w="889" w:type="dxa"/>
            <w:tcBorders>
              <w:top w:val="single" w:sz="4" w:space="0" w:color="FF3399"/>
              <w:left w:val="single" w:sz="4" w:space="0" w:color="FF3399"/>
              <w:bottom w:val="single" w:sz="4" w:space="0" w:color="FF3399"/>
              <w:right w:val="single" w:sz="4" w:space="0" w:color="FF3399"/>
            </w:tcBorders>
            <w:shd w:val="pct10" w:color="auto" w:fill="auto"/>
            <w:hideMark/>
          </w:tcPr>
          <w:p w:rsidR="0022119B" w:rsidRPr="00D73845" w:rsidRDefault="0022119B" w:rsidP="0025274D">
            <w:r w:rsidRPr="00D73845">
              <w:t>$16.05</w:t>
            </w:r>
          </w:p>
        </w:tc>
      </w:tr>
      <w:tr w:rsidR="0022119B" w:rsidRPr="00D73845" w:rsidTr="0022119B">
        <w:trPr>
          <w:trHeight w:val="828"/>
        </w:trPr>
        <w:tc>
          <w:tcPr>
            <w:tcW w:w="2396" w:type="dxa"/>
            <w:tcBorders>
              <w:top w:val="single" w:sz="4" w:space="0" w:color="FF3399"/>
              <w:left w:val="nil"/>
              <w:bottom w:val="single" w:sz="4" w:space="0" w:color="FF3399"/>
              <w:right w:val="single" w:sz="4" w:space="0" w:color="FF3399"/>
            </w:tcBorders>
            <w:hideMark/>
          </w:tcPr>
          <w:p w:rsidR="0022119B" w:rsidRPr="00D73845" w:rsidRDefault="0022119B" w:rsidP="0025274D">
            <w:r>
              <w:t xml:space="preserve">  </w:t>
            </w:r>
            <w:r w:rsidRPr="00D73845">
              <w:t>Museums Wellington (including Wellington Museum, Cable Car Museum and Nairn St Cottage)</w:t>
            </w:r>
          </w:p>
        </w:tc>
        <w:tc>
          <w:tcPr>
            <w:tcW w:w="889" w:type="dxa"/>
            <w:tcBorders>
              <w:top w:val="single" w:sz="4" w:space="0" w:color="FF3399"/>
              <w:left w:val="single" w:sz="4" w:space="0" w:color="FF3399"/>
              <w:bottom w:val="single" w:sz="4" w:space="0" w:color="FF3399"/>
              <w:right w:val="single" w:sz="4" w:space="0" w:color="FF3399"/>
            </w:tcBorders>
            <w:hideMark/>
          </w:tcPr>
          <w:p w:rsidR="0022119B" w:rsidRPr="00D73845" w:rsidRDefault="0022119B" w:rsidP="0025274D">
            <w:r w:rsidRPr="00D73845">
              <w:t> </w:t>
            </w:r>
          </w:p>
        </w:tc>
        <w:tc>
          <w:tcPr>
            <w:tcW w:w="889" w:type="dxa"/>
            <w:tcBorders>
              <w:top w:val="single" w:sz="4" w:space="0" w:color="FF3399"/>
              <w:left w:val="single" w:sz="4" w:space="0" w:color="FF3399"/>
              <w:bottom w:val="single" w:sz="4" w:space="0" w:color="FF3399"/>
              <w:right w:val="single" w:sz="4" w:space="0" w:color="FF3399"/>
            </w:tcBorders>
            <w:hideMark/>
          </w:tcPr>
          <w:p w:rsidR="0022119B" w:rsidRPr="00D73845" w:rsidRDefault="0022119B" w:rsidP="0025274D">
            <w:r w:rsidRPr="00D73845">
              <w:t>$6.91</w:t>
            </w:r>
          </w:p>
        </w:tc>
        <w:tc>
          <w:tcPr>
            <w:tcW w:w="889" w:type="dxa"/>
            <w:tcBorders>
              <w:top w:val="single" w:sz="4" w:space="0" w:color="FF3399"/>
              <w:left w:val="single" w:sz="4" w:space="0" w:color="FF3399"/>
              <w:bottom w:val="single" w:sz="4" w:space="0" w:color="FF3399"/>
              <w:right w:val="single" w:sz="4" w:space="0" w:color="FF3399"/>
            </w:tcBorders>
            <w:shd w:val="pct10" w:color="auto" w:fill="auto"/>
            <w:hideMark/>
          </w:tcPr>
          <w:p w:rsidR="0022119B" w:rsidRPr="00D73845" w:rsidRDefault="0022119B" w:rsidP="0025274D">
            <w:r w:rsidRPr="00D73845">
              <w:t>$4.48</w:t>
            </w:r>
          </w:p>
        </w:tc>
        <w:tc>
          <w:tcPr>
            <w:tcW w:w="889" w:type="dxa"/>
            <w:tcBorders>
              <w:top w:val="single" w:sz="4" w:space="0" w:color="FF3399"/>
              <w:left w:val="single" w:sz="4" w:space="0" w:color="FF3399"/>
              <w:bottom w:val="single" w:sz="4" w:space="0" w:color="FF3399"/>
              <w:right w:val="single" w:sz="4" w:space="0" w:color="FF3399"/>
            </w:tcBorders>
            <w:shd w:val="pct10" w:color="auto" w:fill="auto"/>
            <w:hideMark/>
          </w:tcPr>
          <w:p w:rsidR="0022119B" w:rsidRPr="00D73845" w:rsidRDefault="0022119B" w:rsidP="0025274D">
            <w:r w:rsidRPr="00D73845">
              <w:t>$7.42</w:t>
            </w:r>
          </w:p>
        </w:tc>
      </w:tr>
      <w:tr w:rsidR="0022119B" w:rsidRPr="00D73845" w:rsidTr="0022119B">
        <w:trPr>
          <w:trHeight w:val="276"/>
        </w:trPr>
        <w:tc>
          <w:tcPr>
            <w:tcW w:w="2396" w:type="dxa"/>
            <w:tcBorders>
              <w:top w:val="single" w:sz="4" w:space="0" w:color="FF3399"/>
              <w:left w:val="nil"/>
              <w:bottom w:val="single" w:sz="4" w:space="0" w:color="FF3399"/>
              <w:right w:val="single" w:sz="4" w:space="0" w:color="FF3399"/>
            </w:tcBorders>
            <w:hideMark/>
          </w:tcPr>
          <w:p w:rsidR="0022119B" w:rsidRPr="00D73845" w:rsidRDefault="0022119B" w:rsidP="0025274D">
            <w:r>
              <w:t xml:space="preserve">  </w:t>
            </w:r>
            <w:r w:rsidRPr="00D73845">
              <w:t>Capital E</w:t>
            </w:r>
          </w:p>
        </w:tc>
        <w:tc>
          <w:tcPr>
            <w:tcW w:w="889" w:type="dxa"/>
            <w:tcBorders>
              <w:top w:val="single" w:sz="4" w:space="0" w:color="FF3399"/>
              <w:left w:val="single" w:sz="4" w:space="0" w:color="FF3399"/>
              <w:bottom w:val="single" w:sz="4" w:space="0" w:color="FF3399"/>
              <w:right w:val="single" w:sz="4" w:space="0" w:color="FF3399"/>
            </w:tcBorders>
            <w:hideMark/>
          </w:tcPr>
          <w:p w:rsidR="0022119B" w:rsidRPr="00D73845" w:rsidRDefault="0022119B" w:rsidP="0025274D">
            <w:r w:rsidRPr="00D73845">
              <w:t> </w:t>
            </w:r>
          </w:p>
        </w:tc>
        <w:tc>
          <w:tcPr>
            <w:tcW w:w="889" w:type="dxa"/>
            <w:tcBorders>
              <w:top w:val="single" w:sz="4" w:space="0" w:color="FF3399"/>
              <w:left w:val="single" w:sz="4" w:space="0" w:color="FF3399"/>
              <w:bottom w:val="single" w:sz="4" w:space="0" w:color="FF3399"/>
              <w:right w:val="single" w:sz="4" w:space="0" w:color="FF3399"/>
            </w:tcBorders>
            <w:hideMark/>
          </w:tcPr>
          <w:p w:rsidR="0022119B" w:rsidRPr="00D73845" w:rsidRDefault="0022119B" w:rsidP="0025274D">
            <w:r w:rsidRPr="00D73845">
              <w:t>$12.22</w:t>
            </w:r>
          </w:p>
        </w:tc>
        <w:tc>
          <w:tcPr>
            <w:tcW w:w="889" w:type="dxa"/>
            <w:tcBorders>
              <w:top w:val="single" w:sz="4" w:space="0" w:color="FF3399"/>
              <w:left w:val="single" w:sz="4" w:space="0" w:color="FF3399"/>
              <w:bottom w:val="single" w:sz="4" w:space="0" w:color="FF3399"/>
              <w:right w:val="single" w:sz="4" w:space="0" w:color="FF3399"/>
            </w:tcBorders>
            <w:shd w:val="pct10" w:color="auto" w:fill="auto"/>
            <w:hideMark/>
          </w:tcPr>
          <w:p w:rsidR="0022119B" w:rsidRPr="00D73845" w:rsidRDefault="0022119B" w:rsidP="0025274D">
            <w:r w:rsidRPr="00D73845">
              <w:t>$12.20</w:t>
            </w:r>
          </w:p>
        </w:tc>
        <w:tc>
          <w:tcPr>
            <w:tcW w:w="889" w:type="dxa"/>
            <w:tcBorders>
              <w:top w:val="single" w:sz="4" w:space="0" w:color="FF3399"/>
              <w:left w:val="single" w:sz="4" w:space="0" w:color="FF3399"/>
              <w:bottom w:val="single" w:sz="4" w:space="0" w:color="FF3399"/>
              <w:right w:val="single" w:sz="4" w:space="0" w:color="FF3399"/>
            </w:tcBorders>
            <w:shd w:val="pct10" w:color="auto" w:fill="auto"/>
            <w:hideMark/>
          </w:tcPr>
          <w:p w:rsidR="0022119B" w:rsidRPr="00D73845" w:rsidRDefault="0022119B" w:rsidP="0025274D">
            <w:r w:rsidRPr="00D73845">
              <w:t>$14.91</w:t>
            </w:r>
          </w:p>
        </w:tc>
      </w:tr>
      <w:tr w:rsidR="0022119B" w:rsidRPr="00D73845" w:rsidTr="0022119B">
        <w:trPr>
          <w:trHeight w:val="276"/>
        </w:trPr>
        <w:tc>
          <w:tcPr>
            <w:tcW w:w="2396" w:type="dxa"/>
            <w:tcBorders>
              <w:top w:val="single" w:sz="4" w:space="0" w:color="FF3399"/>
              <w:left w:val="nil"/>
              <w:bottom w:val="single" w:sz="4" w:space="0" w:color="FF3399"/>
              <w:right w:val="single" w:sz="4" w:space="0" w:color="FF3399"/>
            </w:tcBorders>
            <w:hideMark/>
          </w:tcPr>
          <w:p w:rsidR="0022119B" w:rsidRPr="00D73845" w:rsidRDefault="0022119B" w:rsidP="0025274D">
            <w:r>
              <w:t xml:space="preserve">  </w:t>
            </w:r>
            <w:r w:rsidRPr="00D73845">
              <w:t>Space Place</w:t>
            </w:r>
          </w:p>
        </w:tc>
        <w:tc>
          <w:tcPr>
            <w:tcW w:w="889" w:type="dxa"/>
            <w:tcBorders>
              <w:top w:val="single" w:sz="4" w:space="0" w:color="FF3399"/>
              <w:left w:val="single" w:sz="4" w:space="0" w:color="FF3399"/>
              <w:bottom w:val="single" w:sz="4" w:space="0" w:color="FF3399"/>
              <w:right w:val="single" w:sz="4" w:space="0" w:color="FF3399"/>
            </w:tcBorders>
            <w:hideMark/>
          </w:tcPr>
          <w:p w:rsidR="0022119B" w:rsidRPr="00D73845" w:rsidRDefault="0022119B" w:rsidP="0025274D">
            <w:r w:rsidRPr="00D73845">
              <w:t> </w:t>
            </w:r>
          </w:p>
        </w:tc>
        <w:tc>
          <w:tcPr>
            <w:tcW w:w="889" w:type="dxa"/>
            <w:tcBorders>
              <w:top w:val="single" w:sz="4" w:space="0" w:color="FF3399"/>
              <w:left w:val="single" w:sz="4" w:space="0" w:color="FF3399"/>
              <w:bottom w:val="single" w:sz="4" w:space="0" w:color="FF3399"/>
              <w:right w:val="single" w:sz="4" w:space="0" w:color="FF3399"/>
            </w:tcBorders>
            <w:hideMark/>
          </w:tcPr>
          <w:p w:rsidR="0022119B" w:rsidRPr="00D73845" w:rsidRDefault="0022119B" w:rsidP="0025274D">
            <w:r w:rsidRPr="00D73845">
              <w:t>$14.94</w:t>
            </w:r>
          </w:p>
        </w:tc>
        <w:tc>
          <w:tcPr>
            <w:tcW w:w="889" w:type="dxa"/>
            <w:tcBorders>
              <w:top w:val="single" w:sz="4" w:space="0" w:color="FF3399"/>
              <w:left w:val="single" w:sz="4" w:space="0" w:color="FF3399"/>
              <w:bottom w:val="single" w:sz="4" w:space="0" w:color="FF3399"/>
              <w:right w:val="single" w:sz="4" w:space="0" w:color="FF3399"/>
            </w:tcBorders>
            <w:shd w:val="pct10" w:color="auto" w:fill="auto"/>
            <w:hideMark/>
          </w:tcPr>
          <w:p w:rsidR="0022119B" w:rsidRPr="00D73845" w:rsidRDefault="0022119B" w:rsidP="0025274D">
            <w:r w:rsidRPr="00D73845">
              <w:t>$18.97</w:t>
            </w:r>
          </w:p>
        </w:tc>
        <w:tc>
          <w:tcPr>
            <w:tcW w:w="889" w:type="dxa"/>
            <w:tcBorders>
              <w:top w:val="single" w:sz="4" w:space="0" w:color="FF3399"/>
              <w:left w:val="single" w:sz="4" w:space="0" w:color="FF3399"/>
              <w:bottom w:val="single" w:sz="4" w:space="0" w:color="FF3399"/>
              <w:right w:val="single" w:sz="4" w:space="0" w:color="FF3399"/>
            </w:tcBorders>
            <w:shd w:val="pct10" w:color="auto" w:fill="auto"/>
            <w:hideMark/>
          </w:tcPr>
          <w:p w:rsidR="0022119B" w:rsidRPr="00D73845" w:rsidRDefault="0022119B" w:rsidP="0025274D">
            <w:r w:rsidRPr="00D73845">
              <w:t>$14.22</w:t>
            </w:r>
          </w:p>
        </w:tc>
      </w:tr>
      <w:tr w:rsidR="0025274D" w:rsidRPr="00D73845" w:rsidTr="00D35437">
        <w:trPr>
          <w:trHeight w:val="276"/>
        </w:trPr>
        <w:tc>
          <w:tcPr>
            <w:tcW w:w="5952" w:type="dxa"/>
            <w:gridSpan w:val="5"/>
            <w:tcBorders>
              <w:top w:val="single" w:sz="4" w:space="0" w:color="FF3399"/>
              <w:left w:val="nil"/>
              <w:bottom w:val="single" w:sz="4" w:space="0" w:color="FF3399"/>
              <w:right w:val="single" w:sz="4" w:space="0" w:color="FF3399"/>
            </w:tcBorders>
            <w:noWrap/>
            <w:hideMark/>
          </w:tcPr>
          <w:p w:rsidR="0025274D" w:rsidRPr="00ED3F9F" w:rsidRDefault="0025274D" w:rsidP="0025274D">
            <w:pPr>
              <w:rPr>
                <w:i/>
              </w:rPr>
            </w:pPr>
            <w:r w:rsidRPr="00ED3F9F">
              <w:rPr>
                <w:i/>
              </w:rPr>
              <w:t xml:space="preserve">Source: Wellington Museum Trust </w:t>
            </w:r>
          </w:p>
        </w:tc>
      </w:tr>
    </w:tbl>
    <w:p w:rsidR="0025274D" w:rsidRDefault="0025274D" w:rsidP="006B024A">
      <w:pPr>
        <w:pStyle w:val="5Block"/>
        <w:spacing w:after="0" w:line="240" w:lineRule="auto"/>
        <w:rPr>
          <w:rFonts w:ascii="Arial" w:hAnsi="Arial" w:cs="Arial"/>
        </w:rPr>
      </w:pPr>
    </w:p>
    <w:p w:rsidR="0025274D" w:rsidRDefault="00650F5B" w:rsidP="002C7BF8">
      <w:pPr>
        <w:pStyle w:val="5Block"/>
        <w:numPr>
          <w:ilvl w:val="0"/>
          <w:numId w:val="62"/>
        </w:numPr>
        <w:spacing w:after="0" w:line="240" w:lineRule="auto"/>
        <w:rPr>
          <w:rFonts w:ascii="Arial" w:hAnsi="Arial" w:cs="Arial"/>
          <w:b/>
        </w:rPr>
      </w:pPr>
      <w:r w:rsidRPr="00650F5B">
        <w:rPr>
          <w:rFonts w:ascii="Arial" w:hAnsi="Arial" w:cs="Arial"/>
          <w:b/>
        </w:rPr>
        <w:t>Percentage of visitors who rate the quality of their experience (good or very good)</w:t>
      </w:r>
    </w:p>
    <w:tbl>
      <w:tblPr>
        <w:tblStyle w:val="TableGrid"/>
        <w:tblW w:w="6894" w:type="dxa"/>
        <w:tblLook w:val="04A0" w:firstRow="1" w:lastRow="0" w:firstColumn="1" w:lastColumn="0" w:noHBand="0" w:noVBand="1"/>
      </w:tblPr>
      <w:tblGrid>
        <w:gridCol w:w="3077"/>
        <w:gridCol w:w="779"/>
        <w:gridCol w:w="753"/>
        <w:gridCol w:w="779"/>
        <w:gridCol w:w="753"/>
        <w:gridCol w:w="753"/>
      </w:tblGrid>
      <w:tr w:rsidR="00650F5B" w:rsidRPr="00D73845" w:rsidTr="00B5292B">
        <w:trPr>
          <w:trHeight w:val="312"/>
        </w:trPr>
        <w:tc>
          <w:tcPr>
            <w:tcW w:w="3077" w:type="dxa"/>
            <w:tcBorders>
              <w:top w:val="single" w:sz="4" w:space="0" w:color="FFFFFF" w:themeColor="background1"/>
              <w:left w:val="nil"/>
              <w:bottom w:val="single" w:sz="4" w:space="0" w:color="FFFFFF" w:themeColor="background1"/>
              <w:right w:val="single" w:sz="4" w:space="0" w:color="FFFFFF" w:themeColor="background1"/>
            </w:tcBorders>
            <w:shd w:val="clear" w:color="auto" w:fill="FF3399"/>
            <w:noWrap/>
            <w:hideMark/>
          </w:tcPr>
          <w:p w:rsidR="00650F5B" w:rsidRPr="004F4923" w:rsidRDefault="00650F5B" w:rsidP="004106CD">
            <w:pPr>
              <w:rPr>
                <w:color w:val="FFFFFF" w:themeColor="background1"/>
              </w:rPr>
            </w:pPr>
          </w:p>
        </w:tc>
        <w:tc>
          <w:tcPr>
            <w:tcW w:w="7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3399"/>
            <w:noWrap/>
            <w:vAlign w:val="center"/>
            <w:hideMark/>
          </w:tcPr>
          <w:p w:rsidR="00650F5B" w:rsidRPr="004F4923" w:rsidRDefault="00650F5B" w:rsidP="004106CD">
            <w:pPr>
              <w:rPr>
                <w:b/>
                <w:bCs/>
                <w:color w:val="FFFFFF" w:themeColor="background1"/>
              </w:rPr>
            </w:pPr>
            <w:r w:rsidRPr="004F4923">
              <w:rPr>
                <w:b/>
                <w:bCs/>
                <w:color w:val="FFFFFF" w:themeColor="background1"/>
              </w:rPr>
              <w:t>2015</w:t>
            </w:r>
          </w:p>
        </w:tc>
        <w:tc>
          <w:tcPr>
            <w:tcW w:w="7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3399"/>
            <w:noWrap/>
            <w:vAlign w:val="center"/>
            <w:hideMark/>
          </w:tcPr>
          <w:p w:rsidR="00650F5B" w:rsidRPr="004F4923" w:rsidRDefault="00650F5B" w:rsidP="004106CD">
            <w:pPr>
              <w:rPr>
                <w:b/>
                <w:bCs/>
                <w:color w:val="FFFFFF" w:themeColor="background1"/>
              </w:rPr>
            </w:pPr>
            <w:r w:rsidRPr="004F4923">
              <w:rPr>
                <w:b/>
                <w:bCs/>
                <w:color w:val="FFFFFF" w:themeColor="background1"/>
              </w:rPr>
              <w:t>2016</w:t>
            </w:r>
          </w:p>
        </w:tc>
        <w:tc>
          <w:tcPr>
            <w:tcW w:w="7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3399"/>
            <w:noWrap/>
            <w:vAlign w:val="center"/>
            <w:hideMark/>
          </w:tcPr>
          <w:p w:rsidR="00650F5B" w:rsidRPr="004F4923" w:rsidRDefault="00650F5B" w:rsidP="004106CD">
            <w:pPr>
              <w:rPr>
                <w:b/>
                <w:bCs/>
                <w:color w:val="FFFFFF" w:themeColor="background1"/>
              </w:rPr>
            </w:pPr>
            <w:r w:rsidRPr="004F4923">
              <w:rPr>
                <w:b/>
                <w:bCs/>
                <w:color w:val="FFFFFF" w:themeColor="background1"/>
              </w:rPr>
              <w:t>2017</w:t>
            </w:r>
          </w:p>
        </w:tc>
        <w:tc>
          <w:tcPr>
            <w:tcW w:w="7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3399"/>
            <w:noWrap/>
            <w:vAlign w:val="center"/>
            <w:hideMark/>
          </w:tcPr>
          <w:p w:rsidR="00650F5B" w:rsidRPr="004F4923" w:rsidRDefault="00650F5B" w:rsidP="004106CD">
            <w:pPr>
              <w:rPr>
                <w:b/>
                <w:bCs/>
                <w:color w:val="FFFFFF" w:themeColor="background1"/>
              </w:rPr>
            </w:pPr>
            <w:r w:rsidRPr="004F4923">
              <w:rPr>
                <w:b/>
                <w:bCs/>
                <w:color w:val="FFFFFF" w:themeColor="background1"/>
              </w:rPr>
              <w:t>2018</w:t>
            </w:r>
          </w:p>
        </w:tc>
        <w:tc>
          <w:tcPr>
            <w:tcW w:w="7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3399"/>
            <w:noWrap/>
            <w:vAlign w:val="center"/>
            <w:hideMark/>
          </w:tcPr>
          <w:p w:rsidR="00650F5B" w:rsidRPr="004F4923" w:rsidRDefault="00650F5B" w:rsidP="004106CD">
            <w:pPr>
              <w:rPr>
                <w:b/>
                <w:bCs/>
                <w:color w:val="FFFFFF" w:themeColor="background1"/>
              </w:rPr>
            </w:pPr>
            <w:r w:rsidRPr="004F4923">
              <w:rPr>
                <w:b/>
                <w:bCs/>
                <w:color w:val="FFFFFF" w:themeColor="background1"/>
              </w:rPr>
              <w:t>2019</w:t>
            </w:r>
          </w:p>
        </w:tc>
      </w:tr>
      <w:tr w:rsidR="00B5292B" w:rsidRPr="00D73845" w:rsidTr="00B5292B">
        <w:trPr>
          <w:trHeight w:val="276"/>
        </w:trPr>
        <w:tc>
          <w:tcPr>
            <w:tcW w:w="3077" w:type="dxa"/>
            <w:tcBorders>
              <w:top w:val="single" w:sz="4" w:space="0" w:color="FF3399"/>
              <w:left w:val="nil"/>
              <w:bottom w:val="single" w:sz="4" w:space="0" w:color="FF3399"/>
              <w:right w:val="single" w:sz="4" w:space="0" w:color="FF3399"/>
            </w:tcBorders>
            <w:noWrap/>
            <w:hideMark/>
          </w:tcPr>
          <w:p w:rsidR="00B5292B" w:rsidRPr="00D73845" w:rsidRDefault="00B5292B" w:rsidP="004106CD">
            <w:r w:rsidRPr="00D73845">
              <w:t>Cable Car Museum</w:t>
            </w:r>
          </w:p>
        </w:tc>
        <w:tc>
          <w:tcPr>
            <w:tcW w:w="779" w:type="dxa"/>
            <w:tcBorders>
              <w:top w:val="single" w:sz="4" w:space="0" w:color="FF3399"/>
              <w:left w:val="single" w:sz="4" w:space="0" w:color="FF3399"/>
              <w:bottom w:val="single" w:sz="4" w:space="0" w:color="FF3399"/>
              <w:right w:val="single" w:sz="4" w:space="0" w:color="FF3399"/>
            </w:tcBorders>
            <w:noWrap/>
            <w:hideMark/>
          </w:tcPr>
          <w:p w:rsidR="00B5292B" w:rsidRPr="00D73845" w:rsidRDefault="00B5292B" w:rsidP="004106CD">
            <w:r w:rsidRPr="00D73845">
              <w:t>89%</w:t>
            </w:r>
          </w:p>
        </w:tc>
        <w:tc>
          <w:tcPr>
            <w:tcW w:w="753" w:type="dxa"/>
            <w:tcBorders>
              <w:top w:val="single" w:sz="4" w:space="0" w:color="FF3399"/>
              <w:left w:val="single" w:sz="4" w:space="0" w:color="FF3399"/>
              <w:bottom w:val="single" w:sz="4" w:space="0" w:color="FF3399"/>
              <w:right w:val="single" w:sz="4" w:space="0" w:color="FF3399"/>
            </w:tcBorders>
            <w:noWrap/>
            <w:hideMark/>
          </w:tcPr>
          <w:p w:rsidR="00B5292B" w:rsidRPr="00D73845" w:rsidRDefault="00B5292B" w:rsidP="004106CD">
            <w:r w:rsidRPr="00D73845">
              <w:t>89%</w:t>
            </w:r>
          </w:p>
        </w:tc>
        <w:tc>
          <w:tcPr>
            <w:tcW w:w="779" w:type="dxa"/>
            <w:tcBorders>
              <w:top w:val="single" w:sz="4" w:space="0" w:color="FF3399"/>
              <w:left w:val="single" w:sz="4" w:space="0" w:color="FF3399"/>
              <w:bottom w:val="single" w:sz="4" w:space="0" w:color="FF3399"/>
              <w:right w:val="single" w:sz="4" w:space="0" w:color="FF3399"/>
            </w:tcBorders>
            <w:noWrap/>
            <w:hideMark/>
          </w:tcPr>
          <w:p w:rsidR="00B5292B" w:rsidRPr="00D73845" w:rsidRDefault="00B5292B" w:rsidP="004106CD">
            <w:r w:rsidRPr="00D73845">
              <w:t>89%</w:t>
            </w:r>
          </w:p>
        </w:tc>
        <w:tc>
          <w:tcPr>
            <w:tcW w:w="753" w:type="dxa"/>
            <w:tcBorders>
              <w:top w:val="single" w:sz="4" w:space="0" w:color="FF3399"/>
              <w:left w:val="single" w:sz="4" w:space="0" w:color="FF3399"/>
              <w:bottom w:val="single" w:sz="4" w:space="0" w:color="FF3399"/>
              <w:right w:val="single" w:sz="4" w:space="0" w:color="FF3399"/>
            </w:tcBorders>
            <w:noWrap/>
            <w:hideMark/>
          </w:tcPr>
          <w:p w:rsidR="00B5292B" w:rsidRPr="00D73845" w:rsidRDefault="00B5292B" w:rsidP="004106CD">
            <w:r w:rsidRPr="00D73845">
              <w:t>91%</w:t>
            </w:r>
          </w:p>
        </w:tc>
        <w:tc>
          <w:tcPr>
            <w:tcW w:w="753" w:type="dxa"/>
            <w:tcBorders>
              <w:top w:val="single" w:sz="4" w:space="0" w:color="FF3399"/>
              <w:left w:val="single" w:sz="4" w:space="0" w:color="FF3399"/>
              <w:bottom w:val="single" w:sz="4" w:space="0" w:color="FF3399"/>
              <w:right w:val="single" w:sz="4" w:space="0" w:color="FF3399"/>
            </w:tcBorders>
            <w:noWrap/>
            <w:hideMark/>
          </w:tcPr>
          <w:p w:rsidR="00B5292B" w:rsidRPr="00D73845" w:rsidRDefault="00B5292B" w:rsidP="004106CD">
            <w:r w:rsidRPr="00D73845">
              <w:t>89%</w:t>
            </w:r>
          </w:p>
        </w:tc>
      </w:tr>
      <w:tr w:rsidR="00B5292B" w:rsidRPr="00D73845" w:rsidTr="00B5292B">
        <w:trPr>
          <w:trHeight w:val="276"/>
        </w:trPr>
        <w:tc>
          <w:tcPr>
            <w:tcW w:w="3077" w:type="dxa"/>
            <w:tcBorders>
              <w:top w:val="single" w:sz="4" w:space="0" w:color="FF3399"/>
              <w:left w:val="nil"/>
              <w:bottom w:val="single" w:sz="4" w:space="0" w:color="FF3399"/>
              <w:right w:val="single" w:sz="4" w:space="0" w:color="FF3399"/>
            </w:tcBorders>
            <w:noWrap/>
            <w:hideMark/>
          </w:tcPr>
          <w:p w:rsidR="00B5292B" w:rsidRPr="00D73845" w:rsidRDefault="00B5292B" w:rsidP="004106CD">
            <w:r w:rsidRPr="00D73845">
              <w:t>Capital E</w:t>
            </w:r>
          </w:p>
        </w:tc>
        <w:tc>
          <w:tcPr>
            <w:tcW w:w="779" w:type="dxa"/>
            <w:tcBorders>
              <w:top w:val="single" w:sz="4" w:space="0" w:color="FF3399"/>
              <w:left w:val="single" w:sz="4" w:space="0" w:color="FF3399"/>
              <w:bottom w:val="single" w:sz="4" w:space="0" w:color="FF3399"/>
              <w:right w:val="single" w:sz="4" w:space="0" w:color="FF3399"/>
            </w:tcBorders>
            <w:noWrap/>
            <w:hideMark/>
          </w:tcPr>
          <w:p w:rsidR="00B5292B" w:rsidRPr="00D73845" w:rsidRDefault="00B5292B" w:rsidP="004106CD">
            <w:r w:rsidRPr="00D73845">
              <w:t>94%</w:t>
            </w:r>
          </w:p>
        </w:tc>
        <w:tc>
          <w:tcPr>
            <w:tcW w:w="753" w:type="dxa"/>
            <w:tcBorders>
              <w:top w:val="single" w:sz="4" w:space="0" w:color="FF3399"/>
              <w:left w:val="single" w:sz="4" w:space="0" w:color="FF3399"/>
              <w:bottom w:val="single" w:sz="4" w:space="0" w:color="FF3399"/>
              <w:right w:val="single" w:sz="4" w:space="0" w:color="FF3399"/>
            </w:tcBorders>
            <w:noWrap/>
            <w:hideMark/>
          </w:tcPr>
          <w:p w:rsidR="00B5292B" w:rsidRPr="00D73845" w:rsidRDefault="00B5292B" w:rsidP="004106CD">
            <w:r w:rsidRPr="00D73845">
              <w:t>94%</w:t>
            </w:r>
          </w:p>
        </w:tc>
        <w:tc>
          <w:tcPr>
            <w:tcW w:w="779" w:type="dxa"/>
            <w:tcBorders>
              <w:top w:val="single" w:sz="4" w:space="0" w:color="FF3399"/>
              <w:left w:val="single" w:sz="4" w:space="0" w:color="FF3399"/>
              <w:bottom w:val="single" w:sz="4" w:space="0" w:color="FF3399"/>
              <w:right w:val="single" w:sz="4" w:space="0" w:color="FF3399"/>
            </w:tcBorders>
            <w:noWrap/>
            <w:hideMark/>
          </w:tcPr>
          <w:p w:rsidR="00B5292B" w:rsidRPr="00D73845" w:rsidRDefault="00B5292B" w:rsidP="004106CD">
            <w:r w:rsidRPr="00D73845">
              <w:t>91%</w:t>
            </w:r>
          </w:p>
        </w:tc>
        <w:tc>
          <w:tcPr>
            <w:tcW w:w="753" w:type="dxa"/>
            <w:tcBorders>
              <w:top w:val="single" w:sz="4" w:space="0" w:color="FF3399"/>
              <w:left w:val="single" w:sz="4" w:space="0" w:color="FF3399"/>
              <w:bottom w:val="single" w:sz="4" w:space="0" w:color="FF3399"/>
              <w:right w:val="single" w:sz="4" w:space="0" w:color="FF3399"/>
            </w:tcBorders>
            <w:noWrap/>
            <w:hideMark/>
          </w:tcPr>
          <w:p w:rsidR="00B5292B" w:rsidRPr="00D73845" w:rsidRDefault="00B5292B" w:rsidP="004106CD">
            <w:r w:rsidRPr="00D73845">
              <w:t>93%</w:t>
            </w:r>
          </w:p>
        </w:tc>
        <w:tc>
          <w:tcPr>
            <w:tcW w:w="753" w:type="dxa"/>
            <w:tcBorders>
              <w:top w:val="single" w:sz="4" w:space="0" w:color="FF3399"/>
              <w:left w:val="single" w:sz="4" w:space="0" w:color="FF3399"/>
              <w:bottom w:val="single" w:sz="4" w:space="0" w:color="FF3399"/>
              <w:right w:val="single" w:sz="4" w:space="0" w:color="FF3399"/>
            </w:tcBorders>
            <w:noWrap/>
            <w:hideMark/>
          </w:tcPr>
          <w:p w:rsidR="00B5292B" w:rsidRPr="00D73845" w:rsidRDefault="00B5292B" w:rsidP="004106CD">
            <w:r w:rsidRPr="00D73845">
              <w:t>95%</w:t>
            </w:r>
          </w:p>
        </w:tc>
      </w:tr>
      <w:tr w:rsidR="00B5292B" w:rsidRPr="00D73845" w:rsidTr="00B5292B">
        <w:trPr>
          <w:trHeight w:val="276"/>
        </w:trPr>
        <w:tc>
          <w:tcPr>
            <w:tcW w:w="3077" w:type="dxa"/>
            <w:tcBorders>
              <w:top w:val="single" w:sz="4" w:space="0" w:color="FF3399"/>
              <w:left w:val="nil"/>
              <w:bottom w:val="single" w:sz="4" w:space="0" w:color="FF3399"/>
              <w:right w:val="single" w:sz="4" w:space="0" w:color="FF3399"/>
            </w:tcBorders>
            <w:noWrap/>
            <w:hideMark/>
          </w:tcPr>
          <w:p w:rsidR="00B5292B" w:rsidRPr="00D73845" w:rsidRDefault="00B5292B" w:rsidP="004106CD">
            <w:r w:rsidRPr="00D73845">
              <w:t>Space Place at Carter Observatory</w:t>
            </w:r>
          </w:p>
        </w:tc>
        <w:tc>
          <w:tcPr>
            <w:tcW w:w="779" w:type="dxa"/>
            <w:tcBorders>
              <w:top w:val="single" w:sz="4" w:space="0" w:color="FF3399"/>
              <w:left w:val="single" w:sz="4" w:space="0" w:color="FF3399"/>
              <w:bottom w:val="single" w:sz="4" w:space="0" w:color="FF3399"/>
              <w:right w:val="single" w:sz="4" w:space="0" w:color="FF3399"/>
            </w:tcBorders>
            <w:noWrap/>
            <w:hideMark/>
          </w:tcPr>
          <w:p w:rsidR="00B5292B" w:rsidRPr="00D73845" w:rsidRDefault="00B5292B" w:rsidP="004106CD">
            <w:r w:rsidRPr="00D73845">
              <w:t>96%</w:t>
            </w:r>
          </w:p>
        </w:tc>
        <w:tc>
          <w:tcPr>
            <w:tcW w:w="753" w:type="dxa"/>
            <w:tcBorders>
              <w:top w:val="single" w:sz="4" w:space="0" w:color="FF3399"/>
              <w:left w:val="single" w:sz="4" w:space="0" w:color="FF3399"/>
              <w:bottom w:val="single" w:sz="4" w:space="0" w:color="FF3399"/>
              <w:right w:val="single" w:sz="4" w:space="0" w:color="FF3399"/>
            </w:tcBorders>
            <w:noWrap/>
            <w:hideMark/>
          </w:tcPr>
          <w:p w:rsidR="00B5292B" w:rsidRPr="00D73845" w:rsidRDefault="00B5292B" w:rsidP="004106CD">
            <w:r w:rsidRPr="00D73845">
              <w:t>99%</w:t>
            </w:r>
          </w:p>
        </w:tc>
        <w:tc>
          <w:tcPr>
            <w:tcW w:w="779" w:type="dxa"/>
            <w:tcBorders>
              <w:top w:val="single" w:sz="4" w:space="0" w:color="FF3399"/>
              <w:left w:val="single" w:sz="4" w:space="0" w:color="FF3399"/>
              <w:bottom w:val="single" w:sz="4" w:space="0" w:color="FF3399"/>
              <w:right w:val="single" w:sz="4" w:space="0" w:color="FF3399"/>
            </w:tcBorders>
            <w:noWrap/>
            <w:hideMark/>
          </w:tcPr>
          <w:p w:rsidR="00B5292B" w:rsidRPr="00D73845" w:rsidRDefault="00B5292B" w:rsidP="004106CD">
            <w:r w:rsidRPr="00D73845">
              <w:t>100%</w:t>
            </w:r>
          </w:p>
        </w:tc>
        <w:tc>
          <w:tcPr>
            <w:tcW w:w="753" w:type="dxa"/>
            <w:tcBorders>
              <w:top w:val="single" w:sz="4" w:space="0" w:color="FF3399"/>
              <w:left w:val="single" w:sz="4" w:space="0" w:color="FF3399"/>
              <w:bottom w:val="single" w:sz="4" w:space="0" w:color="FF3399"/>
              <w:right w:val="single" w:sz="4" w:space="0" w:color="FF3399"/>
            </w:tcBorders>
            <w:noWrap/>
            <w:hideMark/>
          </w:tcPr>
          <w:p w:rsidR="00B5292B" w:rsidRPr="00D73845" w:rsidRDefault="00B5292B" w:rsidP="004106CD">
            <w:r w:rsidRPr="00D73845">
              <w:t>95%</w:t>
            </w:r>
          </w:p>
        </w:tc>
        <w:tc>
          <w:tcPr>
            <w:tcW w:w="753" w:type="dxa"/>
            <w:tcBorders>
              <w:top w:val="single" w:sz="4" w:space="0" w:color="FF3399"/>
              <w:left w:val="single" w:sz="4" w:space="0" w:color="FF3399"/>
              <w:bottom w:val="single" w:sz="4" w:space="0" w:color="FF3399"/>
              <w:right w:val="single" w:sz="4" w:space="0" w:color="FF3399"/>
            </w:tcBorders>
            <w:noWrap/>
            <w:hideMark/>
          </w:tcPr>
          <w:p w:rsidR="00B5292B" w:rsidRPr="00D73845" w:rsidRDefault="00B5292B" w:rsidP="004106CD">
            <w:r w:rsidRPr="00D73845">
              <w:t>92%</w:t>
            </w:r>
          </w:p>
        </w:tc>
      </w:tr>
      <w:tr w:rsidR="00B5292B" w:rsidRPr="00D73845" w:rsidTr="00B5292B">
        <w:trPr>
          <w:trHeight w:val="276"/>
        </w:trPr>
        <w:tc>
          <w:tcPr>
            <w:tcW w:w="3077" w:type="dxa"/>
            <w:tcBorders>
              <w:top w:val="single" w:sz="4" w:space="0" w:color="FF3399"/>
              <w:left w:val="nil"/>
              <w:bottom w:val="single" w:sz="4" w:space="0" w:color="FF3399"/>
              <w:right w:val="single" w:sz="4" w:space="0" w:color="FF3399"/>
            </w:tcBorders>
            <w:noWrap/>
            <w:hideMark/>
          </w:tcPr>
          <w:p w:rsidR="00B5292B" w:rsidRPr="00D73845" w:rsidRDefault="00B5292B" w:rsidP="004106CD">
            <w:r w:rsidRPr="00D73845">
              <w:t>City Gallery Wellington Te Whare Toi</w:t>
            </w:r>
          </w:p>
        </w:tc>
        <w:tc>
          <w:tcPr>
            <w:tcW w:w="779" w:type="dxa"/>
            <w:tcBorders>
              <w:top w:val="single" w:sz="4" w:space="0" w:color="FF3399"/>
              <w:left w:val="single" w:sz="4" w:space="0" w:color="FF3399"/>
              <w:bottom w:val="single" w:sz="4" w:space="0" w:color="FF3399"/>
              <w:right w:val="single" w:sz="4" w:space="0" w:color="FF3399"/>
            </w:tcBorders>
            <w:noWrap/>
            <w:hideMark/>
          </w:tcPr>
          <w:p w:rsidR="00B5292B" w:rsidRPr="00D73845" w:rsidRDefault="00B5292B" w:rsidP="004106CD">
            <w:r w:rsidRPr="00D73845">
              <w:t>96%</w:t>
            </w:r>
          </w:p>
        </w:tc>
        <w:tc>
          <w:tcPr>
            <w:tcW w:w="753" w:type="dxa"/>
            <w:tcBorders>
              <w:top w:val="single" w:sz="4" w:space="0" w:color="FF3399"/>
              <w:left w:val="single" w:sz="4" w:space="0" w:color="FF3399"/>
              <w:bottom w:val="single" w:sz="4" w:space="0" w:color="FF3399"/>
              <w:right w:val="single" w:sz="4" w:space="0" w:color="FF3399"/>
            </w:tcBorders>
            <w:noWrap/>
            <w:hideMark/>
          </w:tcPr>
          <w:p w:rsidR="00B5292B" w:rsidRPr="00D73845" w:rsidRDefault="00B5292B" w:rsidP="004106CD">
            <w:r w:rsidRPr="00D73845">
              <w:t>93%</w:t>
            </w:r>
          </w:p>
        </w:tc>
        <w:tc>
          <w:tcPr>
            <w:tcW w:w="779" w:type="dxa"/>
            <w:tcBorders>
              <w:top w:val="single" w:sz="4" w:space="0" w:color="FF3399"/>
              <w:left w:val="single" w:sz="4" w:space="0" w:color="FF3399"/>
              <w:bottom w:val="single" w:sz="4" w:space="0" w:color="FF3399"/>
              <w:right w:val="single" w:sz="4" w:space="0" w:color="FF3399"/>
            </w:tcBorders>
            <w:noWrap/>
            <w:hideMark/>
          </w:tcPr>
          <w:p w:rsidR="00B5292B" w:rsidRPr="00D73845" w:rsidRDefault="00B5292B" w:rsidP="004106CD">
            <w:r w:rsidRPr="00D73845">
              <w:t>95%</w:t>
            </w:r>
          </w:p>
        </w:tc>
        <w:tc>
          <w:tcPr>
            <w:tcW w:w="753" w:type="dxa"/>
            <w:tcBorders>
              <w:top w:val="single" w:sz="4" w:space="0" w:color="FF3399"/>
              <w:left w:val="single" w:sz="4" w:space="0" w:color="FF3399"/>
              <w:bottom w:val="single" w:sz="4" w:space="0" w:color="FF3399"/>
              <w:right w:val="single" w:sz="4" w:space="0" w:color="FF3399"/>
            </w:tcBorders>
            <w:noWrap/>
            <w:hideMark/>
          </w:tcPr>
          <w:p w:rsidR="00B5292B" w:rsidRPr="00D73845" w:rsidRDefault="00B5292B" w:rsidP="004106CD">
            <w:r w:rsidRPr="00D73845">
              <w:t>95%</w:t>
            </w:r>
          </w:p>
        </w:tc>
        <w:tc>
          <w:tcPr>
            <w:tcW w:w="753" w:type="dxa"/>
            <w:tcBorders>
              <w:top w:val="single" w:sz="4" w:space="0" w:color="FF3399"/>
              <w:left w:val="single" w:sz="4" w:space="0" w:color="FF3399"/>
              <w:bottom w:val="single" w:sz="4" w:space="0" w:color="FF3399"/>
              <w:right w:val="single" w:sz="4" w:space="0" w:color="FF3399"/>
            </w:tcBorders>
            <w:noWrap/>
            <w:hideMark/>
          </w:tcPr>
          <w:p w:rsidR="00B5292B" w:rsidRPr="00D73845" w:rsidRDefault="00B5292B" w:rsidP="004106CD">
            <w:r w:rsidRPr="00D73845">
              <w:t>95%</w:t>
            </w:r>
          </w:p>
        </w:tc>
      </w:tr>
      <w:tr w:rsidR="00B5292B" w:rsidRPr="00D73845" w:rsidTr="00B5292B">
        <w:trPr>
          <w:trHeight w:val="276"/>
        </w:trPr>
        <w:tc>
          <w:tcPr>
            <w:tcW w:w="3077" w:type="dxa"/>
            <w:tcBorders>
              <w:top w:val="single" w:sz="4" w:space="0" w:color="FF3399"/>
              <w:left w:val="single" w:sz="4" w:space="0" w:color="FF3399"/>
              <w:bottom w:val="single" w:sz="4" w:space="0" w:color="FF3399"/>
              <w:right w:val="single" w:sz="4" w:space="0" w:color="FF3399"/>
            </w:tcBorders>
            <w:noWrap/>
            <w:hideMark/>
          </w:tcPr>
          <w:p w:rsidR="00B5292B" w:rsidRPr="00D73845" w:rsidRDefault="00B5292B" w:rsidP="004106CD">
            <w:r w:rsidRPr="00D73845">
              <w:t>Nairn Street Cottage Museum</w:t>
            </w:r>
          </w:p>
        </w:tc>
        <w:tc>
          <w:tcPr>
            <w:tcW w:w="779" w:type="dxa"/>
            <w:tcBorders>
              <w:top w:val="single" w:sz="4" w:space="0" w:color="FF3399"/>
              <w:left w:val="single" w:sz="4" w:space="0" w:color="FF3399"/>
              <w:bottom w:val="single" w:sz="4" w:space="0" w:color="FF3399"/>
              <w:right w:val="single" w:sz="4" w:space="0" w:color="FF3399"/>
            </w:tcBorders>
            <w:noWrap/>
            <w:hideMark/>
          </w:tcPr>
          <w:p w:rsidR="00B5292B" w:rsidRPr="00D73845" w:rsidRDefault="00B5292B" w:rsidP="004106CD">
            <w:r w:rsidRPr="00D73845">
              <w:t>91%</w:t>
            </w:r>
          </w:p>
        </w:tc>
        <w:tc>
          <w:tcPr>
            <w:tcW w:w="753" w:type="dxa"/>
            <w:tcBorders>
              <w:top w:val="single" w:sz="4" w:space="0" w:color="FF3399"/>
              <w:left w:val="single" w:sz="4" w:space="0" w:color="FF3399"/>
              <w:bottom w:val="single" w:sz="4" w:space="0" w:color="FF3399"/>
              <w:right w:val="single" w:sz="4" w:space="0" w:color="FF3399"/>
            </w:tcBorders>
            <w:noWrap/>
            <w:hideMark/>
          </w:tcPr>
          <w:p w:rsidR="00B5292B" w:rsidRPr="00D73845" w:rsidRDefault="00B5292B" w:rsidP="004106CD">
            <w:r w:rsidRPr="00D73845">
              <w:t>91%</w:t>
            </w:r>
          </w:p>
        </w:tc>
        <w:tc>
          <w:tcPr>
            <w:tcW w:w="779" w:type="dxa"/>
            <w:tcBorders>
              <w:top w:val="single" w:sz="4" w:space="0" w:color="FF3399"/>
              <w:left w:val="single" w:sz="4" w:space="0" w:color="FF3399"/>
              <w:bottom w:val="single" w:sz="4" w:space="0" w:color="FF3399"/>
              <w:right w:val="single" w:sz="4" w:space="0" w:color="FF3399"/>
            </w:tcBorders>
            <w:noWrap/>
            <w:hideMark/>
          </w:tcPr>
          <w:p w:rsidR="00B5292B" w:rsidRPr="00D73845" w:rsidRDefault="00B5292B" w:rsidP="004106CD">
            <w:r w:rsidRPr="00D73845">
              <w:t>100%</w:t>
            </w:r>
          </w:p>
        </w:tc>
        <w:tc>
          <w:tcPr>
            <w:tcW w:w="753" w:type="dxa"/>
            <w:tcBorders>
              <w:top w:val="single" w:sz="4" w:space="0" w:color="FF3399"/>
              <w:left w:val="single" w:sz="4" w:space="0" w:color="FF3399"/>
              <w:bottom w:val="single" w:sz="4" w:space="0" w:color="FF3399"/>
              <w:right w:val="single" w:sz="4" w:space="0" w:color="FF3399"/>
            </w:tcBorders>
            <w:noWrap/>
            <w:hideMark/>
          </w:tcPr>
          <w:p w:rsidR="00B5292B" w:rsidRPr="00D73845" w:rsidRDefault="00B5292B" w:rsidP="004106CD">
            <w:r w:rsidRPr="00D73845">
              <w:t>96%</w:t>
            </w:r>
          </w:p>
        </w:tc>
        <w:tc>
          <w:tcPr>
            <w:tcW w:w="753" w:type="dxa"/>
            <w:tcBorders>
              <w:top w:val="single" w:sz="4" w:space="0" w:color="FF3399"/>
              <w:left w:val="single" w:sz="4" w:space="0" w:color="FF3399"/>
              <w:bottom w:val="single" w:sz="4" w:space="0" w:color="FF3399"/>
              <w:right w:val="single" w:sz="4" w:space="0" w:color="FF3399"/>
            </w:tcBorders>
            <w:noWrap/>
            <w:hideMark/>
          </w:tcPr>
          <w:p w:rsidR="00B5292B" w:rsidRPr="00D73845" w:rsidRDefault="00B5292B" w:rsidP="004106CD">
            <w:r w:rsidRPr="00D73845">
              <w:t>94%</w:t>
            </w:r>
          </w:p>
        </w:tc>
      </w:tr>
      <w:tr w:rsidR="00B5292B" w:rsidRPr="00D73845" w:rsidTr="00B5292B">
        <w:trPr>
          <w:trHeight w:val="276"/>
        </w:trPr>
        <w:tc>
          <w:tcPr>
            <w:tcW w:w="3077" w:type="dxa"/>
            <w:tcBorders>
              <w:top w:val="single" w:sz="4" w:space="0" w:color="FF3399"/>
              <w:left w:val="single" w:sz="4" w:space="0" w:color="FF3399"/>
              <w:bottom w:val="single" w:sz="4" w:space="0" w:color="FF3399"/>
              <w:right w:val="single" w:sz="4" w:space="0" w:color="FF3399"/>
            </w:tcBorders>
            <w:noWrap/>
            <w:hideMark/>
          </w:tcPr>
          <w:p w:rsidR="00B5292B" w:rsidRPr="00D73845" w:rsidRDefault="00B5292B" w:rsidP="004106CD">
            <w:r w:rsidRPr="00D73845">
              <w:t>Wellington Museum</w:t>
            </w:r>
          </w:p>
        </w:tc>
        <w:tc>
          <w:tcPr>
            <w:tcW w:w="779" w:type="dxa"/>
            <w:tcBorders>
              <w:top w:val="single" w:sz="4" w:space="0" w:color="FF3399"/>
              <w:left w:val="single" w:sz="4" w:space="0" w:color="FF3399"/>
              <w:bottom w:val="single" w:sz="4" w:space="0" w:color="FF3399"/>
              <w:right w:val="single" w:sz="4" w:space="0" w:color="FF3399"/>
            </w:tcBorders>
            <w:noWrap/>
            <w:hideMark/>
          </w:tcPr>
          <w:p w:rsidR="00B5292B" w:rsidRPr="00D73845" w:rsidRDefault="00B5292B" w:rsidP="004106CD">
            <w:r w:rsidRPr="00D73845">
              <w:t>95%</w:t>
            </w:r>
          </w:p>
        </w:tc>
        <w:tc>
          <w:tcPr>
            <w:tcW w:w="753" w:type="dxa"/>
            <w:tcBorders>
              <w:top w:val="single" w:sz="4" w:space="0" w:color="FF3399"/>
              <w:left w:val="single" w:sz="4" w:space="0" w:color="FF3399"/>
              <w:bottom w:val="single" w:sz="4" w:space="0" w:color="FF3399"/>
              <w:right w:val="single" w:sz="4" w:space="0" w:color="FF3399"/>
            </w:tcBorders>
            <w:noWrap/>
            <w:hideMark/>
          </w:tcPr>
          <w:p w:rsidR="00B5292B" w:rsidRPr="00D73845" w:rsidRDefault="00B5292B" w:rsidP="004106CD">
            <w:r w:rsidRPr="00D73845">
              <w:t>98%</w:t>
            </w:r>
          </w:p>
        </w:tc>
        <w:tc>
          <w:tcPr>
            <w:tcW w:w="779" w:type="dxa"/>
            <w:tcBorders>
              <w:top w:val="single" w:sz="4" w:space="0" w:color="FF3399"/>
              <w:left w:val="single" w:sz="4" w:space="0" w:color="FF3399"/>
              <w:bottom w:val="single" w:sz="4" w:space="0" w:color="FF3399"/>
              <w:right w:val="single" w:sz="4" w:space="0" w:color="FF3399"/>
            </w:tcBorders>
            <w:noWrap/>
            <w:hideMark/>
          </w:tcPr>
          <w:p w:rsidR="00B5292B" w:rsidRPr="00D73845" w:rsidRDefault="00B5292B" w:rsidP="004106CD">
            <w:r w:rsidRPr="00D73845">
              <w:t>96%</w:t>
            </w:r>
          </w:p>
        </w:tc>
        <w:tc>
          <w:tcPr>
            <w:tcW w:w="753" w:type="dxa"/>
            <w:tcBorders>
              <w:top w:val="single" w:sz="4" w:space="0" w:color="FF3399"/>
              <w:left w:val="single" w:sz="4" w:space="0" w:color="FF3399"/>
              <w:bottom w:val="single" w:sz="4" w:space="0" w:color="FF3399"/>
              <w:right w:val="single" w:sz="4" w:space="0" w:color="FF3399"/>
            </w:tcBorders>
            <w:noWrap/>
            <w:hideMark/>
          </w:tcPr>
          <w:p w:rsidR="00B5292B" w:rsidRPr="00D73845" w:rsidRDefault="00B5292B" w:rsidP="004106CD">
            <w:r w:rsidRPr="00D73845">
              <w:t>97%</w:t>
            </w:r>
          </w:p>
        </w:tc>
        <w:tc>
          <w:tcPr>
            <w:tcW w:w="753" w:type="dxa"/>
            <w:tcBorders>
              <w:top w:val="single" w:sz="4" w:space="0" w:color="FF3399"/>
              <w:left w:val="single" w:sz="4" w:space="0" w:color="FF3399"/>
              <w:bottom w:val="single" w:sz="4" w:space="0" w:color="FF3399"/>
              <w:right w:val="single" w:sz="4" w:space="0" w:color="FF3399"/>
            </w:tcBorders>
            <w:noWrap/>
            <w:hideMark/>
          </w:tcPr>
          <w:p w:rsidR="00B5292B" w:rsidRPr="00D73845" w:rsidRDefault="00B5292B" w:rsidP="004106CD">
            <w:r w:rsidRPr="00D73845">
              <w:t>97%</w:t>
            </w:r>
          </w:p>
        </w:tc>
      </w:tr>
      <w:tr w:rsidR="00B5292B" w:rsidRPr="00D73845" w:rsidTr="0022119B">
        <w:trPr>
          <w:trHeight w:val="276"/>
        </w:trPr>
        <w:tc>
          <w:tcPr>
            <w:tcW w:w="3077" w:type="dxa"/>
            <w:tcBorders>
              <w:top w:val="single" w:sz="4" w:space="0" w:color="FF3399"/>
              <w:left w:val="single" w:sz="4" w:space="0" w:color="FF3399"/>
              <w:bottom w:val="single" w:sz="4" w:space="0" w:color="FF3399"/>
              <w:right w:val="single" w:sz="4" w:space="0" w:color="FF3399"/>
            </w:tcBorders>
            <w:noWrap/>
            <w:hideMark/>
          </w:tcPr>
          <w:p w:rsidR="00B5292B" w:rsidRPr="00D73845" w:rsidRDefault="00B5292B" w:rsidP="004106CD">
            <w:r w:rsidRPr="00D73845">
              <w:t>New Zealand Cricket Museum</w:t>
            </w:r>
          </w:p>
        </w:tc>
        <w:tc>
          <w:tcPr>
            <w:tcW w:w="779" w:type="dxa"/>
            <w:tcBorders>
              <w:top w:val="single" w:sz="4" w:space="0" w:color="FF3399"/>
              <w:left w:val="single" w:sz="4" w:space="0" w:color="FF3399"/>
              <w:bottom w:val="single" w:sz="4" w:space="0" w:color="FF3399"/>
              <w:right w:val="single" w:sz="4" w:space="0" w:color="FF3399"/>
            </w:tcBorders>
            <w:noWrap/>
            <w:hideMark/>
          </w:tcPr>
          <w:p w:rsidR="00B5292B" w:rsidRPr="00D73845" w:rsidRDefault="00B5292B" w:rsidP="004106CD">
            <w:r w:rsidRPr="00D73845">
              <w:t>100%</w:t>
            </w:r>
          </w:p>
        </w:tc>
        <w:tc>
          <w:tcPr>
            <w:tcW w:w="753" w:type="dxa"/>
            <w:tcBorders>
              <w:top w:val="single" w:sz="4" w:space="0" w:color="FF3399"/>
              <w:left w:val="single" w:sz="4" w:space="0" w:color="FF3399"/>
              <w:bottom w:val="single" w:sz="4" w:space="0" w:color="FF3399"/>
              <w:right w:val="single" w:sz="4" w:space="0" w:color="FF3399"/>
            </w:tcBorders>
            <w:noWrap/>
            <w:hideMark/>
          </w:tcPr>
          <w:p w:rsidR="00B5292B" w:rsidRPr="00D73845" w:rsidRDefault="00B5292B" w:rsidP="004106CD">
            <w:r w:rsidRPr="00D73845">
              <w:t>71%</w:t>
            </w:r>
          </w:p>
        </w:tc>
        <w:tc>
          <w:tcPr>
            <w:tcW w:w="779" w:type="dxa"/>
            <w:tcBorders>
              <w:top w:val="single" w:sz="4" w:space="0" w:color="FF3399"/>
              <w:left w:val="single" w:sz="4" w:space="0" w:color="FF3399"/>
              <w:bottom w:val="single" w:sz="4" w:space="0" w:color="FF3399"/>
              <w:right w:val="single" w:sz="4" w:space="0" w:color="FF3399"/>
            </w:tcBorders>
            <w:noWrap/>
            <w:hideMark/>
          </w:tcPr>
          <w:p w:rsidR="00B5292B" w:rsidRPr="00D73845" w:rsidRDefault="00B5292B" w:rsidP="004106CD">
            <w:r w:rsidRPr="00D73845">
              <w:t>77%</w:t>
            </w:r>
          </w:p>
        </w:tc>
        <w:tc>
          <w:tcPr>
            <w:tcW w:w="753" w:type="dxa"/>
            <w:tcBorders>
              <w:top w:val="single" w:sz="4" w:space="0" w:color="FF3399"/>
              <w:left w:val="single" w:sz="4" w:space="0" w:color="FF3399"/>
              <w:bottom w:val="single" w:sz="4" w:space="0" w:color="FF3399"/>
              <w:right w:val="single" w:sz="4" w:space="0" w:color="FF3399"/>
            </w:tcBorders>
            <w:noWrap/>
            <w:hideMark/>
          </w:tcPr>
          <w:p w:rsidR="00B5292B" w:rsidRPr="00D73845" w:rsidRDefault="00B5292B" w:rsidP="004106CD">
            <w:r w:rsidRPr="00D73845">
              <w:t>82%</w:t>
            </w:r>
          </w:p>
        </w:tc>
        <w:tc>
          <w:tcPr>
            <w:tcW w:w="753" w:type="dxa"/>
            <w:tcBorders>
              <w:top w:val="single" w:sz="4" w:space="0" w:color="FF3399"/>
              <w:left w:val="single" w:sz="4" w:space="0" w:color="FF3399"/>
              <w:bottom w:val="single" w:sz="4" w:space="0" w:color="FF3399"/>
              <w:right w:val="single" w:sz="4" w:space="0" w:color="FF3399"/>
            </w:tcBorders>
            <w:noWrap/>
            <w:hideMark/>
          </w:tcPr>
          <w:p w:rsidR="00B5292B" w:rsidRPr="00D73845" w:rsidRDefault="00B5292B" w:rsidP="004106CD">
            <w:r w:rsidRPr="00D73845">
              <w:t>78%</w:t>
            </w:r>
          </w:p>
        </w:tc>
      </w:tr>
      <w:tr w:rsidR="00B5292B" w:rsidRPr="00D73845" w:rsidTr="0022119B">
        <w:trPr>
          <w:trHeight w:val="276"/>
        </w:trPr>
        <w:tc>
          <w:tcPr>
            <w:tcW w:w="3077" w:type="dxa"/>
            <w:tcBorders>
              <w:top w:val="single" w:sz="4" w:space="0" w:color="FF3399"/>
              <w:left w:val="single" w:sz="4" w:space="0" w:color="FF3399"/>
              <w:bottom w:val="single" w:sz="4" w:space="0" w:color="FF3399"/>
              <w:right w:val="single" w:sz="4" w:space="0" w:color="FF3399"/>
            </w:tcBorders>
            <w:noWrap/>
            <w:hideMark/>
          </w:tcPr>
          <w:p w:rsidR="00B5292B" w:rsidRPr="00D73845" w:rsidRDefault="00B5292B" w:rsidP="004106CD">
            <w:r w:rsidRPr="00D73845">
              <w:t>Average</w:t>
            </w:r>
          </w:p>
        </w:tc>
        <w:tc>
          <w:tcPr>
            <w:tcW w:w="779" w:type="dxa"/>
            <w:tcBorders>
              <w:top w:val="single" w:sz="4" w:space="0" w:color="FF3399"/>
              <w:left w:val="single" w:sz="4" w:space="0" w:color="FF3399"/>
              <w:bottom w:val="single" w:sz="4" w:space="0" w:color="FF3399"/>
              <w:right w:val="single" w:sz="4" w:space="0" w:color="FF3399"/>
            </w:tcBorders>
            <w:noWrap/>
            <w:hideMark/>
          </w:tcPr>
          <w:p w:rsidR="00B5292B" w:rsidRPr="00D73845" w:rsidRDefault="00B5292B" w:rsidP="004106CD">
            <w:r w:rsidRPr="00D73845">
              <w:t>94%</w:t>
            </w:r>
          </w:p>
        </w:tc>
        <w:tc>
          <w:tcPr>
            <w:tcW w:w="753" w:type="dxa"/>
            <w:tcBorders>
              <w:top w:val="single" w:sz="4" w:space="0" w:color="FF3399"/>
              <w:left w:val="single" w:sz="4" w:space="0" w:color="FF3399"/>
              <w:bottom w:val="single" w:sz="4" w:space="0" w:color="FF3399"/>
              <w:right w:val="single" w:sz="4" w:space="0" w:color="FF3399"/>
            </w:tcBorders>
            <w:noWrap/>
            <w:hideMark/>
          </w:tcPr>
          <w:p w:rsidR="00B5292B" w:rsidRPr="00D73845" w:rsidRDefault="00B5292B" w:rsidP="004106CD">
            <w:r w:rsidRPr="00D73845">
              <w:t>91%</w:t>
            </w:r>
          </w:p>
        </w:tc>
        <w:tc>
          <w:tcPr>
            <w:tcW w:w="779" w:type="dxa"/>
            <w:tcBorders>
              <w:top w:val="single" w:sz="4" w:space="0" w:color="FF3399"/>
              <w:left w:val="single" w:sz="4" w:space="0" w:color="FF3399"/>
              <w:bottom w:val="single" w:sz="4" w:space="0" w:color="FF3399"/>
              <w:right w:val="single" w:sz="4" w:space="0" w:color="FF3399"/>
            </w:tcBorders>
            <w:noWrap/>
            <w:hideMark/>
          </w:tcPr>
          <w:p w:rsidR="00B5292B" w:rsidRPr="00D73845" w:rsidRDefault="00B5292B" w:rsidP="004106CD">
            <w:r w:rsidRPr="00D73845">
              <w:t>93%</w:t>
            </w:r>
          </w:p>
        </w:tc>
        <w:tc>
          <w:tcPr>
            <w:tcW w:w="753" w:type="dxa"/>
            <w:tcBorders>
              <w:top w:val="single" w:sz="4" w:space="0" w:color="FF3399"/>
              <w:left w:val="single" w:sz="4" w:space="0" w:color="FF3399"/>
              <w:bottom w:val="single" w:sz="4" w:space="0" w:color="FF3399"/>
              <w:right w:val="single" w:sz="4" w:space="0" w:color="FF3399"/>
            </w:tcBorders>
            <w:noWrap/>
            <w:hideMark/>
          </w:tcPr>
          <w:p w:rsidR="00B5292B" w:rsidRPr="00D73845" w:rsidRDefault="00B5292B" w:rsidP="004106CD">
            <w:r w:rsidRPr="00D73845">
              <w:t>93%</w:t>
            </w:r>
          </w:p>
        </w:tc>
        <w:tc>
          <w:tcPr>
            <w:tcW w:w="753" w:type="dxa"/>
            <w:tcBorders>
              <w:top w:val="single" w:sz="4" w:space="0" w:color="FF3399"/>
              <w:left w:val="single" w:sz="4" w:space="0" w:color="FF3399"/>
              <w:bottom w:val="single" w:sz="4" w:space="0" w:color="FF3399"/>
              <w:right w:val="single" w:sz="4" w:space="0" w:color="FF3399"/>
            </w:tcBorders>
            <w:shd w:val="pct5" w:color="auto" w:fill="auto"/>
            <w:noWrap/>
            <w:hideMark/>
          </w:tcPr>
          <w:p w:rsidR="00B5292B" w:rsidRPr="00D73845" w:rsidRDefault="00B5292B" w:rsidP="004106CD">
            <w:r w:rsidRPr="00D73845">
              <w:t>91%</w:t>
            </w:r>
          </w:p>
        </w:tc>
      </w:tr>
      <w:tr w:rsidR="00B5292B" w:rsidRPr="00D73845" w:rsidTr="00B5292B">
        <w:trPr>
          <w:trHeight w:val="276"/>
        </w:trPr>
        <w:tc>
          <w:tcPr>
            <w:tcW w:w="6894" w:type="dxa"/>
            <w:gridSpan w:val="6"/>
            <w:tcBorders>
              <w:top w:val="single" w:sz="4" w:space="0" w:color="FF3399"/>
              <w:left w:val="single" w:sz="4" w:space="0" w:color="FF3399"/>
              <w:bottom w:val="single" w:sz="4" w:space="0" w:color="FF3399"/>
              <w:right w:val="single" w:sz="4" w:space="0" w:color="FF3399"/>
            </w:tcBorders>
            <w:noWrap/>
            <w:hideMark/>
          </w:tcPr>
          <w:p w:rsidR="00B5292B" w:rsidRPr="00ED3F9F" w:rsidRDefault="00B5292B" w:rsidP="0036301C">
            <w:pPr>
              <w:rPr>
                <w:i/>
              </w:rPr>
            </w:pPr>
            <w:r w:rsidRPr="00ED3F9F">
              <w:rPr>
                <w:i/>
              </w:rPr>
              <w:t xml:space="preserve">Source: Wellington City Council </w:t>
            </w:r>
            <w:r w:rsidR="0036301C">
              <w:rPr>
                <w:i/>
              </w:rPr>
              <w:t xml:space="preserve"> RMS</w:t>
            </w:r>
            <w:r w:rsidRPr="00ED3F9F">
              <w:rPr>
                <w:i/>
              </w:rPr>
              <w:t xml:space="preserve"> </w:t>
            </w:r>
          </w:p>
        </w:tc>
      </w:tr>
    </w:tbl>
    <w:p w:rsidR="00650F5B" w:rsidRPr="00650F5B" w:rsidRDefault="00650F5B" w:rsidP="00650F5B">
      <w:pPr>
        <w:pStyle w:val="5Block"/>
        <w:spacing w:after="0" w:line="240" w:lineRule="auto"/>
        <w:rPr>
          <w:rFonts w:ascii="Arial" w:hAnsi="Arial" w:cs="Arial"/>
          <w:b/>
        </w:rPr>
        <w:sectPr w:rsidR="00650F5B" w:rsidRPr="00650F5B" w:rsidSect="00B5292B">
          <w:type w:val="continuous"/>
          <w:pgSz w:w="16838" w:h="11906" w:orient="landscape"/>
          <w:pgMar w:top="1135" w:right="1440" w:bottom="993" w:left="1440" w:header="709" w:footer="270" w:gutter="0"/>
          <w:cols w:num="2" w:space="708"/>
          <w:docGrid w:linePitch="360"/>
        </w:sectPr>
      </w:pPr>
    </w:p>
    <w:p w:rsidR="002D452C" w:rsidRPr="00750803" w:rsidRDefault="00CD385B" w:rsidP="00D35437">
      <w:pPr>
        <w:pStyle w:val="Heading3"/>
        <w:spacing w:before="0"/>
        <w:rPr>
          <w:color w:val="FF0066"/>
        </w:rPr>
      </w:pPr>
      <w:bookmarkStart w:id="234" w:name="_Toc19085839"/>
      <w:r w:rsidRPr="00750803">
        <w:rPr>
          <w:color w:val="FF0066"/>
        </w:rPr>
        <w:lastRenderedPageBreak/>
        <w:t>Celebrating the winter months</w:t>
      </w:r>
      <w:bookmarkEnd w:id="234"/>
    </w:p>
    <w:p w:rsidR="008029FE" w:rsidRPr="00D5126A" w:rsidRDefault="008029FE" w:rsidP="008029FE">
      <w:pPr>
        <w:pStyle w:val="NoSpacing"/>
        <w:rPr>
          <w:rFonts w:cstheme="minorHAnsi"/>
          <w:i/>
          <w:sz w:val="24"/>
          <w:szCs w:val="24"/>
        </w:rPr>
      </w:pPr>
    </w:p>
    <w:p w:rsidR="002F51D8" w:rsidRPr="00D5126A" w:rsidRDefault="002F51D8" w:rsidP="00CD385B">
      <w:r w:rsidRPr="00D5126A">
        <w:t xml:space="preserve">Winter months can often be the time that cities hibernate, when residents hide indoors until the sun and warmth return again in September. However, there has been a concerted effort to increase the event offerings in winter in Wellington, first with the popular Visa Wellington on A Plate festival and now with a </w:t>
      </w:r>
      <w:r w:rsidR="006B68A4">
        <w:t>new season of free events based around Matariki</w:t>
      </w:r>
      <w:r w:rsidRPr="00D5126A">
        <w:t>.</w:t>
      </w:r>
    </w:p>
    <w:p w:rsidR="002F51D8" w:rsidRPr="00D5126A" w:rsidRDefault="002F51D8" w:rsidP="002F51D8">
      <w:r w:rsidRPr="00D5126A">
        <w:t>Wellington City Council wants Wellington to be the national leader in championing and celebrating Māori traditions for Matariki</w:t>
      </w:r>
      <w:r w:rsidR="007C10C2" w:rsidRPr="00D5126A">
        <w:t xml:space="preserve"> (Māori New Year)</w:t>
      </w:r>
      <w:r w:rsidRPr="00D5126A">
        <w:t xml:space="preserve"> through arts and culture.  </w:t>
      </w:r>
    </w:p>
    <w:p w:rsidR="002F51D8" w:rsidRPr="00D5126A" w:rsidRDefault="002F51D8" w:rsidP="002F51D8">
      <w:r w:rsidRPr="00D5126A">
        <w:t>“We want to be the place to celebrate Matariki, and to do that in a very Wellington way</w:t>
      </w:r>
      <w:r w:rsidR="0036301C">
        <w:t>,</w:t>
      </w:r>
      <w:r w:rsidRPr="00D5126A">
        <w:t xml:space="preserve"> by creating a meaningful, enlightening, accessible, interactive community experience</w:t>
      </w:r>
      <w:r w:rsidR="0036301C">
        <w:t>s that are</w:t>
      </w:r>
      <w:r w:rsidRPr="00D5126A">
        <w:t xml:space="preserve"> expressed with integrity, creativity and </w:t>
      </w:r>
      <w:r w:rsidR="0036301C">
        <w:t xml:space="preserve">have </w:t>
      </w:r>
      <w:r w:rsidRPr="00D5126A">
        <w:t xml:space="preserve">high production values. This year saw us a step closer to becoming that place,” </w:t>
      </w:r>
      <w:r w:rsidR="006B68A4">
        <w:t xml:space="preserve">Manager City Arts and Events </w:t>
      </w:r>
      <w:r w:rsidR="006B68A4" w:rsidRPr="006B68A4">
        <w:rPr>
          <w:lang w:eastAsia="en-NZ"/>
        </w:rPr>
        <w:t>Natasha Petkovic-Jeremic</w:t>
      </w:r>
      <w:r w:rsidR="006B68A4">
        <w:rPr>
          <w:lang w:eastAsia="en-NZ"/>
        </w:rPr>
        <w:t xml:space="preserve"> says.</w:t>
      </w:r>
    </w:p>
    <w:p w:rsidR="002F51D8" w:rsidRPr="00D5126A" w:rsidRDefault="002F51D8" w:rsidP="00CD385B">
      <w:r w:rsidRPr="00D5126A">
        <w:t>Thousands of people enjoyed the events that opened in June with six ReC</w:t>
      </w:r>
      <w:r w:rsidR="008029FE" w:rsidRPr="00D5126A">
        <w:t xml:space="preserve">ut shows over two nights in Cuba Mall. This was followed by the new Matariki signature event Ahi </w:t>
      </w:r>
      <w:r w:rsidRPr="00D5126A">
        <w:t>Kā along the waterfront,</w:t>
      </w:r>
      <w:r w:rsidR="008029FE" w:rsidRPr="00D5126A">
        <w:t xml:space="preserve"> five nights of the Mana Moana </w:t>
      </w:r>
      <w:r w:rsidRPr="00D5126A">
        <w:t>water screen on Whairepo lagoon,</w:t>
      </w:r>
      <w:r w:rsidR="008029FE" w:rsidRPr="00D5126A">
        <w:t xml:space="preserve"> the Wellingt</w:t>
      </w:r>
      <w:r w:rsidR="00680037">
        <w:t>on Sky Show on the harbour and four</w:t>
      </w:r>
      <w:r w:rsidR="008029FE" w:rsidRPr="00D5126A">
        <w:t xml:space="preserve"> ReCut shows over two nights </w:t>
      </w:r>
      <w:r w:rsidRPr="00D5126A">
        <w:t>at North</w:t>
      </w:r>
      <w:r w:rsidR="008029FE" w:rsidRPr="00D5126A">
        <w:t xml:space="preserve"> Kumutoto </w:t>
      </w:r>
      <w:r w:rsidRPr="00D5126A">
        <w:t xml:space="preserve">plaza </w:t>
      </w:r>
      <w:r w:rsidR="008029FE" w:rsidRPr="00D5126A">
        <w:t xml:space="preserve">in early August. </w:t>
      </w:r>
    </w:p>
    <w:p w:rsidR="007C10C2" w:rsidRPr="00D5126A" w:rsidRDefault="00680037" w:rsidP="007C10C2">
      <w:r>
        <w:t>A</w:t>
      </w:r>
      <w:r w:rsidR="002F51D8" w:rsidRPr="00D5126A">
        <w:t>t</w:t>
      </w:r>
      <w:r w:rsidR="008029FE" w:rsidRPr="00D5126A">
        <w:t xml:space="preserve"> the </w:t>
      </w:r>
      <w:r w:rsidR="002F51D8" w:rsidRPr="00D5126A">
        <w:t xml:space="preserve">heart of the season </w:t>
      </w:r>
      <w:proofErr w:type="gramStart"/>
      <w:r w:rsidR="002F51D8" w:rsidRPr="00D5126A">
        <w:t>is</w:t>
      </w:r>
      <w:proofErr w:type="gramEnd"/>
      <w:r w:rsidR="002F51D8" w:rsidRPr="00D5126A">
        <w:t xml:space="preserve"> Matariki</w:t>
      </w:r>
      <w:r w:rsidR="008029FE" w:rsidRPr="00D5126A">
        <w:t xml:space="preserve"> and our new signature</w:t>
      </w:r>
      <w:r w:rsidR="007C10C2" w:rsidRPr="00D5126A">
        <w:t xml:space="preserve"> celebration </w:t>
      </w:r>
      <w:r w:rsidR="002F51D8" w:rsidRPr="00D5126A">
        <w:t>Ahi Kā</w:t>
      </w:r>
      <w:r w:rsidR="007C10C2" w:rsidRPr="00D5126A">
        <w:t>, which means</w:t>
      </w:r>
      <w:r w:rsidR="002F51D8" w:rsidRPr="00D5126A">
        <w:t xml:space="preserve"> the burning home fires</w:t>
      </w:r>
      <w:r w:rsidR="0036301C">
        <w:t>,</w:t>
      </w:r>
      <w:r w:rsidR="002F51D8" w:rsidRPr="00D5126A">
        <w:t xml:space="preserve"> recognising the importance of your </w:t>
      </w:r>
      <w:r w:rsidR="007C10C2" w:rsidRPr="00D5126A">
        <w:t>kāinga (home),</w:t>
      </w:r>
      <w:r w:rsidR="002F51D8" w:rsidRPr="00D5126A">
        <w:t xml:space="preserve"> </w:t>
      </w:r>
      <w:r w:rsidR="007C10C2" w:rsidRPr="00D5126A">
        <w:t>whā</w:t>
      </w:r>
      <w:r w:rsidR="002F51D8" w:rsidRPr="00D5126A">
        <w:t xml:space="preserve">nau </w:t>
      </w:r>
      <w:r w:rsidR="007C10C2" w:rsidRPr="00D5126A">
        <w:t xml:space="preserve">(family) </w:t>
      </w:r>
      <w:r w:rsidR="002F51D8" w:rsidRPr="00D5126A">
        <w:t>and kai</w:t>
      </w:r>
      <w:r w:rsidR="007C10C2" w:rsidRPr="00D5126A">
        <w:t xml:space="preserve"> (food).</w:t>
      </w:r>
      <w:r w:rsidR="00D35437">
        <w:t xml:space="preserve"> </w:t>
      </w:r>
      <w:r w:rsidR="007C10C2" w:rsidRPr="00D5126A">
        <w:t>Whairepo Lagoon, the Wharewaka</w:t>
      </w:r>
      <w:r>
        <w:t>, Te Papa</w:t>
      </w:r>
      <w:r w:rsidR="007C10C2" w:rsidRPr="00D5126A">
        <w:t xml:space="preserve"> and Odlins Plaza were chose</w:t>
      </w:r>
      <w:r>
        <w:t>n as the location for the event</w:t>
      </w:r>
      <w:r w:rsidR="007C10C2" w:rsidRPr="00D5126A">
        <w:t xml:space="preserve"> because they are significant as where our land, streams and sea meet historic infrastructure and places of Māori and national cultural and artistic importance.</w:t>
      </w:r>
    </w:p>
    <w:p w:rsidR="007C10C2" w:rsidRPr="00D5126A" w:rsidRDefault="007C10C2" w:rsidP="007C10C2">
      <w:r w:rsidRPr="00D5126A">
        <w:t>On June 21 2019, Wellington City Council events team, in partnership with iwi mana whenua and regional entities, presented a magical night of fire and light, food, friends and whānau</w:t>
      </w:r>
      <w:r w:rsidR="0036301C">
        <w:t xml:space="preserve">, </w:t>
      </w:r>
      <w:r w:rsidRPr="00D5126A">
        <w:t xml:space="preserve">built on themes of reflection, renewal and respect for people and place. </w:t>
      </w:r>
    </w:p>
    <w:p w:rsidR="007C10C2" w:rsidRPr="00D5126A" w:rsidRDefault="007C10C2" w:rsidP="007C10C2">
      <w:r w:rsidRPr="00D5126A">
        <w:t>There was something for everyone</w:t>
      </w:r>
      <w:r w:rsidR="0036301C">
        <w:t>,</w:t>
      </w:r>
      <w:r w:rsidRPr="00D5126A">
        <w:t xml:space="preserve"> from hāngi, toasted marshmallows and fire on the water, to midwinter bonfires, Aotearoa’s finest Māori performers and storytellers, and a beautiful children’s light sculpture parade. </w:t>
      </w:r>
    </w:p>
    <w:p w:rsidR="007C10C2" w:rsidRPr="00D5126A" w:rsidRDefault="007C10C2" w:rsidP="00CD385B">
      <w:r w:rsidRPr="00D5126A">
        <w:t>“</w:t>
      </w:r>
      <w:r w:rsidR="008029FE" w:rsidRPr="00D5126A">
        <w:t xml:space="preserve">The new winter events are made possible because of the support of local iwi, communities and businesses; </w:t>
      </w:r>
      <w:r w:rsidRPr="00D5126A">
        <w:t xml:space="preserve">the </w:t>
      </w:r>
      <w:r w:rsidR="008029FE" w:rsidRPr="00D5126A">
        <w:t>strength of cros</w:t>
      </w:r>
      <w:r w:rsidRPr="00D5126A">
        <w:t xml:space="preserve">s organisational relationships, </w:t>
      </w:r>
      <w:r w:rsidR="008029FE" w:rsidRPr="00D5126A">
        <w:t xml:space="preserve">and the wealth of </w:t>
      </w:r>
      <w:r w:rsidRPr="00D5126A">
        <w:t xml:space="preserve">talent in the </w:t>
      </w:r>
      <w:r w:rsidRPr="00680037">
        <w:t xml:space="preserve">capital,” </w:t>
      </w:r>
      <w:r w:rsidR="00680037" w:rsidRPr="00680037">
        <w:t>Manager Events Delivery David Daniela says</w:t>
      </w:r>
      <w:r w:rsidRPr="00680037">
        <w:t>.</w:t>
      </w:r>
      <w:r w:rsidRPr="00D5126A">
        <w:t xml:space="preserve"> </w:t>
      </w:r>
    </w:p>
    <w:p w:rsidR="008029FE" w:rsidRPr="00D5126A" w:rsidRDefault="007C10C2" w:rsidP="00CD385B">
      <w:r w:rsidRPr="00D5126A">
        <w:t>“</w:t>
      </w:r>
      <w:r w:rsidR="008029FE" w:rsidRPr="00D5126A">
        <w:t xml:space="preserve">By working together, we have the ability to produce high quality meaningful experiences that </w:t>
      </w:r>
      <w:r w:rsidR="00680037">
        <w:t>strengthen our identity, tell our stories and showcase our people</w:t>
      </w:r>
      <w:r w:rsidR="008029FE" w:rsidRPr="00D5126A">
        <w:t>.</w:t>
      </w:r>
      <w:r w:rsidRPr="00D5126A">
        <w:t>”</w:t>
      </w:r>
    </w:p>
    <w:p w:rsidR="008029FE" w:rsidRPr="00D5126A" w:rsidRDefault="008029FE" w:rsidP="00CD385B">
      <w:pPr>
        <w:rPr>
          <w:color w:val="000000" w:themeColor="text1"/>
        </w:rPr>
      </w:pPr>
      <w:r w:rsidRPr="00D5126A">
        <w:rPr>
          <w:color w:val="000000" w:themeColor="text1"/>
        </w:rPr>
        <w:t xml:space="preserve">Silver Scroll finalist Anthonie Tonnon, who performs internationally and across </w:t>
      </w:r>
      <w:r w:rsidR="0036301C">
        <w:rPr>
          <w:color w:val="000000" w:themeColor="text1"/>
        </w:rPr>
        <w:t>New Zealand</w:t>
      </w:r>
      <w:r w:rsidRPr="00D5126A">
        <w:rPr>
          <w:color w:val="000000" w:themeColor="text1"/>
        </w:rPr>
        <w:t xml:space="preserve">, </w:t>
      </w:r>
      <w:r w:rsidR="007C10C2" w:rsidRPr="00D5126A">
        <w:rPr>
          <w:color w:val="000000" w:themeColor="text1"/>
        </w:rPr>
        <w:t>performed at the ReCut and said</w:t>
      </w:r>
      <w:r w:rsidRPr="00D5126A">
        <w:rPr>
          <w:color w:val="000000" w:themeColor="text1"/>
        </w:rPr>
        <w:t xml:space="preserve">: </w:t>
      </w:r>
      <w:r w:rsidR="007C10C2" w:rsidRPr="00D5126A">
        <w:rPr>
          <w:color w:val="000000" w:themeColor="text1"/>
        </w:rPr>
        <w:t>“</w:t>
      </w:r>
      <w:r w:rsidRPr="00D5126A">
        <w:rPr>
          <w:color w:val="000000" w:themeColor="text1"/>
        </w:rPr>
        <w:t>This is why Wellington is the arts and events capital</w:t>
      </w:r>
      <w:r w:rsidR="007C10C2" w:rsidRPr="00D5126A">
        <w:rPr>
          <w:color w:val="000000" w:themeColor="text1"/>
        </w:rPr>
        <w:t xml:space="preserve"> of New Zealand”.</w:t>
      </w:r>
    </w:p>
    <w:p w:rsidR="007C10C2" w:rsidRPr="00D5126A" w:rsidRDefault="007C10C2" w:rsidP="00CD385B">
      <w:pPr>
        <w:rPr>
          <w:color w:val="000000" w:themeColor="text1"/>
        </w:rPr>
      </w:pPr>
      <w:r w:rsidRPr="00D5126A">
        <w:rPr>
          <w:color w:val="000000" w:themeColor="text1"/>
        </w:rPr>
        <w:t xml:space="preserve">We also had feedback submitted through our </w:t>
      </w:r>
      <w:r w:rsidR="008029FE" w:rsidRPr="00D5126A">
        <w:rPr>
          <w:color w:val="000000" w:themeColor="text1"/>
        </w:rPr>
        <w:t xml:space="preserve">Call Centre by a </w:t>
      </w:r>
      <w:r w:rsidRPr="00D5126A">
        <w:rPr>
          <w:color w:val="000000" w:themeColor="text1"/>
        </w:rPr>
        <w:t>resident, who said</w:t>
      </w:r>
      <w:r w:rsidR="008029FE" w:rsidRPr="00D5126A">
        <w:rPr>
          <w:color w:val="000000" w:themeColor="text1"/>
        </w:rPr>
        <w:t xml:space="preserve">: </w:t>
      </w:r>
      <w:r w:rsidRPr="00D5126A">
        <w:rPr>
          <w:color w:val="000000" w:themeColor="text1"/>
        </w:rPr>
        <w:t>“</w:t>
      </w:r>
      <w:r w:rsidR="008029FE" w:rsidRPr="00D5126A">
        <w:rPr>
          <w:color w:val="000000" w:themeColor="text1"/>
        </w:rPr>
        <w:t>I moved to Wellington a year ago and I just wanted to say how fantastic all the events are that you put on or support during the year. I have been so impressed by the variety of things to get involved in here, the little magazine you produce, the ever changing activities and promotion of them.</w:t>
      </w:r>
    </w:p>
    <w:p w:rsidR="00CD385B" w:rsidRPr="00D5126A" w:rsidRDefault="007C10C2" w:rsidP="00CD385B">
      <w:r w:rsidRPr="00D5126A">
        <w:rPr>
          <w:color w:val="000000" w:themeColor="text1"/>
        </w:rPr>
        <w:t>“</w:t>
      </w:r>
      <w:r w:rsidR="008029FE" w:rsidRPr="00D5126A">
        <w:rPr>
          <w:color w:val="000000" w:themeColor="text1"/>
        </w:rPr>
        <w:t xml:space="preserve">It is one of the main reasons </w:t>
      </w:r>
      <w:r w:rsidRPr="00D5126A">
        <w:rPr>
          <w:color w:val="000000" w:themeColor="text1"/>
        </w:rPr>
        <w:t>I have settled in here so well and I</w:t>
      </w:r>
      <w:r w:rsidR="008029FE" w:rsidRPr="00D5126A">
        <w:rPr>
          <w:color w:val="000000" w:themeColor="text1"/>
        </w:rPr>
        <w:t xml:space="preserve"> am enjoying living in Wellington so much. So I just wanted to say thank you</w:t>
      </w:r>
      <w:r w:rsidRPr="00D5126A">
        <w:rPr>
          <w:color w:val="000000" w:themeColor="text1"/>
        </w:rPr>
        <w:t>.”</w:t>
      </w:r>
      <w:r w:rsidR="00CD385B" w:rsidRPr="00D5126A">
        <w:br w:type="page"/>
      </w:r>
    </w:p>
    <w:p w:rsidR="00B27C37" w:rsidRPr="000271D0" w:rsidRDefault="006D54DC" w:rsidP="00810293">
      <w:pPr>
        <w:pStyle w:val="Heading2"/>
        <w:rPr>
          <w:color w:val="009999"/>
        </w:rPr>
      </w:pPr>
      <w:bookmarkStart w:id="235" w:name="_Toc19085840"/>
      <w:bookmarkStart w:id="236" w:name="_Toc23758607"/>
      <w:r w:rsidRPr="000271D0">
        <w:rPr>
          <w:color w:val="009999"/>
        </w:rPr>
        <w:lastRenderedPageBreak/>
        <w:t xml:space="preserve">5 </w:t>
      </w:r>
      <w:r w:rsidR="00A3111E" w:rsidRPr="000271D0">
        <w:rPr>
          <w:color w:val="009999"/>
        </w:rPr>
        <w:t>Kaupapa Pāpori me ngā Mahi a Rēhia</w:t>
      </w:r>
      <w:bookmarkStart w:id="237" w:name="_Toc528234304"/>
      <w:bookmarkStart w:id="238" w:name="_Toc14178556"/>
      <w:r w:rsidR="00FE73C3" w:rsidRPr="000271D0">
        <w:rPr>
          <w:color w:val="009999"/>
        </w:rPr>
        <w:t xml:space="preserve"> </w:t>
      </w:r>
      <w:r w:rsidR="004A13E1" w:rsidRPr="000271D0">
        <w:rPr>
          <w:color w:val="009999"/>
        </w:rPr>
        <w:t xml:space="preserve">- </w:t>
      </w:r>
      <w:r w:rsidR="00A3111E" w:rsidRPr="000271D0">
        <w:rPr>
          <w:color w:val="009999"/>
        </w:rPr>
        <w:t xml:space="preserve">Social and </w:t>
      </w:r>
      <w:r w:rsidR="004A13E1" w:rsidRPr="000271D0">
        <w:rPr>
          <w:color w:val="009999"/>
        </w:rPr>
        <w:t>R</w:t>
      </w:r>
      <w:r w:rsidR="00A3111E" w:rsidRPr="000271D0">
        <w:rPr>
          <w:color w:val="009999"/>
        </w:rPr>
        <w:t>ecreation</w:t>
      </w:r>
      <w:bookmarkEnd w:id="235"/>
      <w:bookmarkEnd w:id="236"/>
      <w:bookmarkEnd w:id="237"/>
      <w:bookmarkEnd w:id="238"/>
    </w:p>
    <w:p w:rsidR="00B27C37" w:rsidRPr="00D5126A" w:rsidRDefault="00096C20" w:rsidP="00295C18">
      <w:pPr>
        <w:pStyle w:val="Para003"/>
        <w:spacing w:before="240" w:line="240" w:lineRule="auto"/>
      </w:pPr>
      <w:r w:rsidRPr="00D5126A">
        <w:t xml:space="preserve">This chapter explains what we did and how we performed in our </w:t>
      </w:r>
      <w:r w:rsidR="00EB420E" w:rsidRPr="00D5126A">
        <w:t>Social and Recreation</w:t>
      </w:r>
      <w:r w:rsidRPr="00D5126A">
        <w:t xml:space="preserve"> portfolio of activities. This </w:t>
      </w:r>
      <w:r w:rsidR="00A3111E" w:rsidRPr="00D5126A">
        <w:t>includes recreation promotion and support, community support, and public health and safety.</w:t>
      </w:r>
    </w:p>
    <w:p w:rsidR="00C07F94" w:rsidRPr="000271D0" w:rsidRDefault="00C07F94" w:rsidP="002C7BF8">
      <w:pPr>
        <w:pStyle w:val="ListParagraph"/>
        <w:numPr>
          <w:ilvl w:val="0"/>
          <w:numId w:val="79"/>
        </w:numPr>
        <w:rPr>
          <w:rFonts w:ascii="Arial" w:hAnsi="Arial" w:cs="Arial"/>
        </w:rPr>
      </w:pPr>
      <w:r w:rsidRPr="000271D0">
        <w:rPr>
          <w:rFonts w:ascii="Arial" w:hAnsi="Arial" w:cs="Arial"/>
        </w:rPr>
        <w:t>357.2kms of tracks</w:t>
      </w:r>
    </w:p>
    <w:p w:rsidR="00C07F94" w:rsidRPr="000271D0" w:rsidRDefault="00C07F94" w:rsidP="002C7BF8">
      <w:pPr>
        <w:pStyle w:val="ListParagraph"/>
        <w:numPr>
          <w:ilvl w:val="0"/>
          <w:numId w:val="79"/>
        </w:numPr>
        <w:rPr>
          <w:rFonts w:ascii="Arial" w:hAnsi="Arial" w:cs="Arial"/>
        </w:rPr>
      </w:pPr>
      <w:r w:rsidRPr="000271D0">
        <w:rPr>
          <w:rFonts w:ascii="Arial" w:hAnsi="Arial" w:cs="Arial"/>
        </w:rPr>
        <w:t>96% Social housing occupancy.</w:t>
      </w:r>
    </w:p>
    <w:p w:rsidR="00C07F94" w:rsidRPr="000271D0" w:rsidRDefault="00C07F94" w:rsidP="002C7BF8">
      <w:pPr>
        <w:pStyle w:val="ListParagraph"/>
        <w:numPr>
          <w:ilvl w:val="0"/>
          <w:numId w:val="79"/>
        </w:numPr>
        <w:rPr>
          <w:rFonts w:ascii="Arial" w:hAnsi="Arial" w:cs="Arial"/>
        </w:rPr>
      </w:pPr>
      <w:r w:rsidRPr="000271D0">
        <w:rPr>
          <w:rFonts w:ascii="Arial" w:hAnsi="Arial" w:cs="Arial"/>
        </w:rPr>
        <w:t>11,897 dogs registered</w:t>
      </w:r>
    </w:p>
    <w:p w:rsidR="00C07F94" w:rsidRPr="000271D0" w:rsidRDefault="00C07F94" w:rsidP="002C7BF8">
      <w:pPr>
        <w:pStyle w:val="ListParagraph"/>
        <w:numPr>
          <w:ilvl w:val="0"/>
          <w:numId w:val="79"/>
        </w:numPr>
        <w:rPr>
          <w:rFonts w:ascii="Arial" w:hAnsi="Arial" w:cs="Arial"/>
        </w:rPr>
      </w:pPr>
      <w:r w:rsidRPr="000271D0">
        <w:rPr>
          <w:rFonts w:eastAsia="Times New Roman"/>
        </w:rPr>
        <w:t>2,021,003 physical visits to our l</w:t>
      </w:r>
      <w:r w:rsidRPr="000271D0">
        <w:rPr>
          <w:rFonts w:ascii="Arial" w:hAnsi="Arial" w:cs="Arial"/>
        </w:rPr>
        <w:t>ibraries</w:t>
      </w:r>
    </w:p>
    <w:p w:rsidR="00C07F94" w:rsidRPr="000271D0" w:rsidRDefault="00C07F94" w:rsidP="002C7BF8">
      <w:pPr>
        <w:pStyle w:val="ListParagraph"/>
        <w:numPr>
          <w:ilvl w:val="0"/>
          <w:numId w:val="79"/>
        </w:numPr>
        <w:rPr>
          <w:rFonts w:ascii="Arial" w:hAnsi="Arial" w:cs="Arial"/>
        </w:rPr>
      </w:pPr>
      <w:r w:rsidRPr="000271D0">
        <w:rPr>
          <w:iCs/>
        </w:rPr>
        <w:t xml:space="preserve">1,256,024 </w:t>
      </w:r>
      <w:r w:rsidRPr="000271D0">
        <w:rPr>
          <w:rFonts w:ascii="Arial" w:hAnsi="Arial" w:cs="Arial"/>
        </w:rPr>
        <w:t>Swimming pool visits</w:t>
      </w:r>
    </w:p>
    <w:p w:rsidR="00C07F94" w:rsidRPr="000271D0" w:rsidRDefault="00C07F94" w:rsidP="002C7BF8">
      <w:pPr>
        <w:pStyle w:val="ListParagraph"/>
        <w:numPr>
          <w:ilvl w:val="0"/>
          <w:numId w:val="79"/>
        </w:numPr>
        <w:rPr>
          <w:rFonts w:ascii="Arial" w:hAnsi="Arial" w:cs="Arial"/>
        </w:rPr>
      </w:pPr>
      <w:r w:rsidRPr="000271D0">
        <w:rPr>
          <w:rFonts w:ascii="Arial" w:hAnsi="Arial" w:cs="Arial"/>
        </w:rPr>
        <w:t>5 millionth cus</w:t>
      </w:r>
      <w:r w:rsidR="000271D0">
        <w:rPr>
          <w:rFonts w:ascii="Arial" w:hAnsi="Arial" w:cs="Arial"/>
        </w:rPr>
        <w:t>tomer through ASB Sports Centre</w:t>
      </w:r>
    </w:p>
    <w:p w:rsidR="00B27C37" w:rsidRPr="000271D0" w:rsidRDefault="00A3111E" w:rsidP="00AA2122">
      <w:pPr>
        <w:pStyle w:val="Heading3"/>
        <w:rPr>
          <w:color w:val="009999"/>
        </w:rPr>
      </w:pPr>
      <w:bookmarkStart w:id="239" w:name="_Toc19085841"/>
      <w:r w:rsidRPr="000271D0">
        <w:rPr>
          <w:color w:val="009999"/>
        </w:rPr>
        <w:t>Introduction</w:t>
      </w:r>
      <w:bookmarkEnd w:id="239"/>
    </w:p>
    <w:p w:rsidR="00B27C37" w:rsidRPr="00D5126A" w:rsidRDefault="00A3111E" w:rsidP="00295C18">
      <w:pPr>
        <w:pStyle w:val="Para003"/>
        <w:spacing w:before="240" w:line="240" w:lineRule="auto"/>
      </w:pPr>
      <w:r w:rsidRPr="00D5126A">
        <w:t xml:space="preserve">People are at the heart of everything we do, from providing shelter and support to our most vulnerable residents to investing in infrastructure such as halls and sportsgrounds to meet community needs. </w:t>
      </w:r>
      <w:r w:rsidR="00EB420E" w:rsidRPr="00D5126A">
        <w:t>Our focus in this area is on recreation provision, social initiatives and community support, and public health and safety.</w:t>
      </w:r>
    </w:p>
    <w:p w:rsidR="00B27C37" w:rsidRPr="00D5126A" w:rsidRDefault="00EB420E" w:rsidP="00295C18">
      <w:pPr>
        <w:pStyle w:val="Para003"/>
        <w:spacing w:before="240" w:line="240" w:lineRule="auto"/>
      </w:pPr>
      <w:r w:rsidRPr="00D5126A">
        <w:t>We aim to develop</w:t>
      </w:r>
      <w:r w:rsidR="00A3111E" w:rsidRPr="00D5126A">
        <w:t xml:space="preserve"> highly liveable, </w:t>
      </w:r>
      <w:r w:rsidRPr="00D5126A">
        <w:t xml:space="preserve">safe and inclusive communities </w:t>
      </w:r>
      <w:r w:rsidR="00A3111E" w:rsidRPr="00D5126A">
        <w:t>to encourage active and healthy lifestyles, enable participation in sporting and other group activities, deliver quality recreation and social services, provide access to housing for those in need, and carry out our public health functions.</w:t>
      </w:r>
      <w:r w:rsidRPr="00D5126A">
        <w:t xml:space="preserve"> </w:t>
      </w:r>
    </w:p>
    <w:p w:rsidR="00B27C37" w:rsidRPr="00D5126A" w:rsidRDefault="00A3111E" w:rsidP="00295C18">
      <w:pPr>
        <w:pStyle w:val="Para003"/>
        <w:spacing w:before="240" w:line="240" w:lineRule="auto"/>
      </w:pPr>
      <w:r w:rsidRPr="00D5126A">
        <w:t xml:space="preserve">Many organisations contribute to </w:t>
      </w:r>
      <w:r w:rsidR="00EB420E" w:rsidRPr="00D5126A">
        <w:t xml:space="preserve">the </w:t>
      </w:r>
      <w:r w:rsidRPr="00D5126A">
        <w:t>health and safety</w:t>
      </w:r>
      <w:r w:rsidR="00EB420E" w:rsidRPr="00D5126A">
        <w:t xml:space="preserve"> of our residents</w:t>
      </w:r>
      <w:r w:rsidRPr="00D5126A">
        <w:t>, and to</w:t>
      </w:r>
      <w:r w:rsidR="00EB420E" w:rsidRPr="00D5126A">
        <w:t xml:space="preserve"> our</w:t>
      </w:r>
      <w:r w:rsidRPr="00D5126A">
        <w:t xml:space="preserve"> community strength. The Council’s approach includes supporting those organisations by playing </w:t>
      </w:r>
      <w:proofErr w:type="gramStart"/>
      <w:r w:rsidRPr="00D5126A">
        <w:t xml:space="preserve">a </w:t>
      </w:r>
      <w:r w:rsidR="009F1214" w:rsidRPr="00D5126A">
        <w:t>facilitation</w:t>
      </w:r>
      <w:proofErr w:type="gramEnd"/>
      <w:r w:rsidRPr="00D5126A">
        <w:t xml:space="preserve"> and funding role. We </w:t>
      </w:r>
      <w:r w:rsidR="00EB420E" w:rsidRPr="00D5126A">
        <w:t xml:space="preserve">also </w:t>
      </w:r>
      <w:r w:rsidRPr="00D5126A">
        <w:t>manage and maintain swimming pools, sportsgrounds and playgrounds, and community halls and centres.</w:t>
      </w:r>
    </w:p>
    <w:p w:rsidR="00866222" w:rsidRPr="00D5126A" w:rsidRDefault="00EB420E" w:rsidP="00866222">
      <w:pPr>
        <w:pStyle w:val="Para003"/>
        <w:spacing w:before="240" w:line="240" w:lineRule="auto"/>
      </w:pPr>
      <w:r w:rsidRPr="00D5126A">
        <w:t xml:space="preserve">However, we increasingly need to adapt to </w:t>
      </w:r>
      <w:r w:rsidR="00A3111E" w:rsidRPr="00D5126A">
        <w:t>changing recreational patterns and balanc</w:t>
      </w:r>
      <w:r w:rsidRPr="00D5126A">
        <w:t>e</w:t>
      </w:r>
      <w:r w:rsidR="00A3111E" w:rsidRPr="00D5126A">
        <w:t xml:space="preserve"> rising community demand</w:t>
      </w:r>
      <w:r w:rsidRPr="00D5126A">
        <w:t>s</w:t>
      </w:r>
      <w:r w:rsidR="00A3111E" w:rsidRPr="00D5126A">
        <w:t xml:space="preserve"> and expectations of services against the pressure on costs to ratepayers. We also need to address a rise in street begging and homelessness and the needs of an ageing and increasingly diverse population.</w:t>
      </w:r>
      <w:bookmarkStart w:id="240" w:name="5_1_Whakatairanga_mahi_a_rehia_Recreatio"/>
    </w:p>
    <w:p w:rsidR="00866222" w:rsidRPr="000271D0" w:rsidRDefault="00866222" w:rsidP="00866222">
      <w:pPr>
        <w:pStyle w:val="Heading3"/>
        <w:rPr>
          <w:color w:val="009999"/>
        </w:rPr>
      </w:pPr>
      <w:bookmarkStart w:id="241" w:name="_Toc19085842"/>
      <w:r w:rsidRPr="000271D0">
        <w:rPr>
          <w:color w:val="009999"/>
        </w:rPr>
        <w:t>Social and recreation performance story</w:t>
      </w:r>
      <w:bookmarkEnd w:id="241"/>
    </w:p>
    <w:p w:rsidR="00866222" w:rsidRPr="00D5126A" w:rsidRDefault="00866222" w:rsidP="00866222">
      <w:pPr>
        <w:pStyle w:val="Heading5"/>
      </w:pPr>
      <w:r w:rsidRPr="00D5126A">
        <w:rPr>
          <w:rFonts w:eastAsiaTheme="minorEastAsia"/>
        </w:rPr>
        <w:t xml:space="preserve">Recreation facility use and satisfaction increases </w:t>
      </w:r>
    </w:p>
    <w:p w:rsidR="00866222" w:rsidRPr="00D5126A" w:rsidRDefault="00866222" w:rsidP="00866222">
      <w:r w:rsidRPr="00D5126A">
        <w:t xml:space="preserve">The number of visits to Council swimming pools and recreation centres increased last year with the ASB Sports Centre welcoming its </w:t>
      </w:r>
      <w:r w:rsidR="005608B1">
        <w:t>5</w:t>
      </w:r>
      <w:r w:rsidR="005608B1" w:rsidRPr="00D5126A">
        <w:t xml:space="preserve"> </w:t>
      </w:r>
      <w:r w:rsidRPr="00D5126A">
        <w:t xml:space="preserve">millionth visitor since opening in 2011. User satisfaction also increased across all types of recreation facilities including pools, recreation centres, artificial and grass </w:t>
      </w:r>
      <w:r w:rsidR="005608B1" w:rsidRPr="00D5126A">
        <w:t>sport</w:t>
      </w:r>
      <w:r w:rsidR="005608B1">
        <w:t>s</w:t>
      </w:r>
      <w:r w:rsidRPr="00D5126A">
        <w:t>fields.</w:t>
      </w:r>
    </w:p>
    <w:p w:rsidR="00866222" w:rsidRPr="00D5126A" w:rsidRDefault="00866222" w:rsidP="00866222">
      <w:r w:rsidRPr="00D5126A">
        <w:t>In 2018</w:t>
      </w:r>
      <w:r w:rsidR="005608B1">
        <w:t>,</w:t>
      </w:r>
      <w:r w:rsidRPr="00D5126A">
        <w:t xml:space="preserve"> we begun measuring residents</w:t>
      </w:r>
      <w:r w:rsidR="005608B1">
        <w:t>’</w:t>
      </w:r>
      <w:r w:rsidRPr="00D5126A">
        <w:t xml:space="preserve"> perception of swimming pool affordability</w:t>
      </w:r>
      <w:r w:rsidR="005608B1">
        <w:t>,</w:t>
      </w:r>
      <w:r w:rsidRPr="00D5126A">
        <w:t xml:space="preserve"> with 85</w:t>
      </w:r>
      <w:r w:rsidR="005608B1">
        <w:t>percent</w:t>
      </w:r>
      <w:r w:rsidR="005608B1" w:rsidRPr="00D5126A">
        <w:t xml:space="preserve"> </w:t>
      </w:r>
      <w:r w:rsidRPr="00D5126A">
        <w:t xml:space="preserve">of residents agreeing pool admission </w:t>
      </w:r>
      <w:proofErr w:type="gramStart"/>
      <w:r w:rsidRPr="00D5126A">
        <w:t>is</w:t>
      </w:r>
      <w:proofErr w:type="gramEnd"/>
      <w:r w:rsidRPr="00D5126A">
        <w:t xml:space="preserve"> affordable. There was also an increased move towards informal recreation, rather than traditional club sports. This year only 38</w:t>
      </w:r>
      <w:r w:rsidR="005A7143">
        <w:t xml:space="preserve"> percent</w:t>
      </w:r>
      <w:r w:rsidR="005A7143" w:rsidRPr="00D5126A">
        <w:t xml:space="preserve"> </w:t>
      </w:r>
      <w:r w:rsidRPr="00D5126A">
        <w:t>of residents reported participating in formal sport such as competitive or club sports, while 74</w:t>
      </w:r>
      <w:r w:rsidR="005A7143">
        <w:t>percent</w:t>
      </w:r>
      <w:r w:rsidR="005A7143" w:rsidRPr="00D5126A">
        <w:t xml:space="preserve"> </w:t>
      </w:r>
      <w:r w:rsidRPr="00D5126A">
        <w:t>of residents reported participating in informal sport and recreation such as walking and biking.</w:t>
      </w:r>
    </w:p>
    <w:p w:rsidR="00866222" w:rsidRPr="00D5126A" w:rsidRDefault="00866222" w:rsidP="00866222">
      <w:pPr>
        <w:rPr>
          <w:rFonts w:ascii="Arial" w:hAnsi="Arial" w:cs="Arial"/>
        </w:rPr>
      </w:pPr>
      <w:r w:rsidRPr="00D5126A">
        <w:rPr>
          <w:rFonts w:ascii="Arial" w:hAnsi="Arial" w:cs="Arial"/>
        </w:rPr>
        <w:lastRenderedPageBreak/>
        <w:t>We also recorded high satisfaction in our libraries and our social housing services and facilities. However, the closure of the Central Library did impact our libraries</w:t>
      </w:r>
      <w:r w:rsidR="00076BD2">
        <w:rPr>
          <w:rFonts w:ascii="Arial" w:hAnsi="Arial" w:cs="Arial"/>
        </w:rPr>
        <w:t>’</w:t>
      </w:r>
      <w:r w:rsidRPr="00D5126A">
        <w:rPr>
          <w:rFonts w:ascii="Arial" w:hAnsi="Arial" w:cs="Arial"/>
        </w:rPr>
        <w:t xml:space="preserve"> performance, including physical visits to libraries and satisfaction with the collection. </w:t>
      </w:r>
    </w:p>
    <w:p w:rsidR="00866222" w:rsidRPr="000271D0" w:rsidRDefault="00866222" w:rsidP="00866222">
      <w:pPr>
        <w:pStyle w:val="Heading4"/>
        <w:rPr>
          <w:color w:val="009999"/>
        </w:rPr>
      </w:pPr>
      <w:r w:rsidRPr="000271D0">
        <w:rPr>
          <w:color w:val="009999"/>
        </w:rPr>
        <w:t>Performance summary</w:t>
      </w:r>
    </w:p>
    <w:p w:rsidR="00866222" w:rsidRPr="00D5126A" w:rsidRDefault="00866222" w:rsidP="00866222">
      <w:pPr>
        <w:pStyle w:val="Para034"/>
        <w:spacing w:line="240" w:lineRule="auto"/>
        <w:rPr>
          <w:rFonts w:ascii="Arial" w:hAnsi="Arial" w:cs="Arial"/>
        </w:rPr>
      </w:pPr>
      <w:r w:rsidRPr="00D5126A">
        <w:rPr>
          <w:rFonts w:ascii="Arial" w:hAnsi="Arial" w:cs="Arial"/>
        </w:rPr>
        <w:t xml:space="preserve">The following table is a summary of how well we performed against our agreed key performance measures for this activity area. </w:t>
      </w:r>
    </w:p>
    <w:tbl>
      <w:tblPr>
        <w:tblW w:w="9639" w:type="dxa"/>
        <w:tblInd w:w="-34" w:type="dxa"/>
        <w:tblLayout w:type="fixed"/>
        <w:tblLook w:val="04A0" w:firstRow="1" w:lastRow="0" w:firstColumn="1" w:lastColumn="0" w:noHBand="0" w:noVBand="1"/>
      </w:tblPr>
      <w:tblGrid>
        <w:gridCol w:w="3969"/>
        <w:gridCol w:w="993"/>
        <w:gridCol w:w="1020"/>
        <w:gridCol w:w="1247"/>
        <w:gridCol w:w="1134"/>
        <w:gridCol w:w="1276"/>
      </w:tblGrid>
      <w:tr w:rsidR="00294CB0" w:rsidRPr="00D5126A" w:rsidTr="000271D0">
        <w:trPr>
          <w:trHeight w:val="339"/>
        </w:trPr>
        <w:tc>
          <w:tcPr>
            <w:tcW w:w="3969" w:type="dxa"/>
            <w:tcBorders>
              <w:top w:val="nil"/>
              <w:left w:val="nil"/>
              <w:bottom w:val="nil"/>
              <w:right w:val="nil"/>
            </w:tcBorders>
            <w:shd w:val="clear" w:color="auto" w:fill="auto"/>
            <w:noWrap/>
            <w:vAlign w:val="center"/>
            <w:hideMark/>
          </w:tcPr>
          <w:p w:rsidR="00294CB0" w:rsidRPr="00D5126A" w:rsidRDefault="00294CB0" w:rsidP="00866222">
            <w:pPr>
              <w:spacing w:after="0" w:line="240" w:lineRule="auto"/>
              <w:ind w:left="33" w:hanging="33"/>
              <w:jc w:val="center"/>
              <w:rPr>
                <w:rFonts w:ascii="Arial" w:eastAsia="Times New Roman" w:hAnsi="Arial" w:cs="Arial"/>
                <w:color w:val="000000"/>
                <w:sz w:val="20"/>
                <w:szCs w:val="20"/>
                <w:lang w:eastAsia="en-NZ"/>
              </w:rPr>
            </w:pPr>
          </w:p>
        </w:tc>
        <w:tc>
          <w:tcPr>
            <w:tcW w:w="993" w:type="dxa"/>
            <w:tcBorders>
              <w:top w:val="nil"/>
              <w:left w:val="nil"/>
              <w:bottom w:val="nil"/>
              <w:right w:val="nil"/>
            </w:tcBorders>
            <w:shd w:val="clear" w:color="auto" w:fill="auto"/>
            <w:noWrap/>
            <w:vAlign w:val="center"/>
            <w:hideMark/>
          </w:tcPr>
          <w:p w:rsidR="00294CB0" w:rsidRPr="000271D0" w:rsidRDefault="00294CB0" w:rsidP="000271D0">
            <w:pPr>
              <w:spacing w:after="0" w:line="240" w:lineRule="auto"/>
              <w:jc w:val="center"/>
              <w:rPr>
                <w:rFonts w:ascii="Arial" w:eastAsia="Times New Roman" w:hAnsi="Arial" w:cs="Arial"/>
                <w:i/>
                <w:iCs/>
                <w:color w:val="000000"/>
                <w:szCs w:val="20"/>
                <w:lang w:eastAsia="en-NZ"/>
              </w:rPr>
            </w:pPr>
            <w:r w:rsidRPr="00D5126A">
              <w:rPr>
                <w:rFonts w:ascii="Arial" w:eastAsia="Times New Roman" w:hAnsi="Arial" w:cs="Arial"/>
                <w:i/>
                <w:iCs/>
                <w:color w:val="000000"/>
                <w:szCs w:val="20"/>
                <w:lang w:eastAsia="en-NZ"/>
              </w:rPr>
              <w:t>Not met</w:t>
            </w:r>
          </w:p>
        </w:tc>
        <w:tc>
          <w:tcPr>
            <w:tcW w:w="1020" w:type="dxa"/>
            <w:tcBorders>
              <w:top w:val="nil"/>
              <w:left w:val="nil"/>
              <w:bottom w:val="nil"/>
              <w:right w:val="nil"/>
            </w:tcBorders>
            <w:shd w:val="clear" w:color="auto" w:fill="auto"/>
            <w:noWrap/>
            <w:vAlign w:val="center"/>
            <w:hideMark/>
          </w:tcPr>
          <w:p w:rsidR="005C6473" w:rsidRPr="00D5126A" w:rsidRDefault="00294CB0" w:rsidP="000271D0">
            <w:pPr>
              <w:spacing w:after="0" w:line="240" w:lineRule="auto"/>
              <w:jc w:val="center"/>
              <w:rPr>
                <w:rFonts w:ascii="Arial" w:eastAsia="Times New Roman" w:hAnsi="Arial" w:cs="Arial"/>
                <w:i/>
                <w:color w:val="000000"/>
                <w:szCs w:val="20"/>
                <w:lang w:eastAsia="en-NZ"/>
              </w:rPr>
            </w:pPr>
            <w:r>
              <w:rPr>
                <w:rFonts w:ascii="Arial" w:eastAsia="Times New Roman" w:hAnsi="Arial" w:cs="Arial"/>
                <w:i/>
                <w:color w:val="000000"/>
                <w:szCs w:val="20"/>
                <w:lang w:eastAsia="en-NZ"/>
              </w:rPr>
              <w:t>Within 10%</w:t>
            </w:r>
          </w:p>
        </w:tc>
        <w:tc>
          <w:tcPr>
            <w:tcW w:w="1247" w:type="dxa"/>
            <w:tcBorders>
              <w:top w:val="nil"/>
              <w:left w:val="nil"/>
              <w:bottom w:val="nil"/>
              <w:right w:val="nil"/>
            </w:tcBorders>
            <w:shd w:val="clear" w:color="auto" w:fill="auto"/>
            <w:noWrap/>
            <w:vAlign w:val="center"/>
            <w:hideMark/>
          </w:tcPr>
          <w:p w:rsidR="00294CB0" w:rsidRPr="000271D0" w:rsidRDefault="00294CB0" w:rsidP="000271D0">
            <w:pPr>
              <w:spacing w:after="0" w:line="240" w:lineRule="auto"/>
              <w:jc w:val="center"/>
              <w:rPr>
                <w:rFonts w:ascii="Arial" w:eastAsia="Times New Roman" w:hAnsi="Arial" w:cs="Arial"/>
                <w:i/>
                <w:iCs/>
                <w:color w:val="000000"/>
                <w:szCs w:val="20"/>
                <w:lang w:eastAsia="en-NZ"/>
              </w:rPr>
            </w:pPr>
            <w:r w:rsidRPr="00D5126A">
              <w:rPr>
                <w:rFonts w:ascii="Arial" w:eastAsia="Times New Roman" w:hAnsi="Arial" w:cs="Arial"/>
                <w:i/>
                <w:iCs/>
                <w:color w:val="000000"/>
                <w:szCs w:val="20"/>
                <w:lang w:eastAsia="en-NZ"/>
              </w:rPr>
              <w:t>Exceeded</w:t>
            </w:r>
          </w:p>
        </w:tc>
        <w:tc>
          <w:tcPr>
            <w:tcW w:w="1134" w:type="dxa"/>
            <w:tcBorders>
              <w:top w:val="nil"/>
              <w:left w:val="nil"/>
              <w:bottom w:val="nil"/>
              <w:right w:val="nil"/>
            </w:tcBorders>
            <w:shd w:val="clear" w:color="auto" w:fill="auto"/>
            <w:vAlign w:val="center"/>
            <w:hideMark/>
          </w:tcPr>
          <w:p w:rsidR="005C6473" w:rsidRPr="00D5126A" w:rsidRDefault="00294CB0" w:rsidP="000271D0">
            <w:pPr>
              <w:spacing w:after="0" w:line="240" w:lineRule="auto"/>
              <w:jc w:val="center"/>
              <w:rPr>
                <w:rFonts w:ascii="Arial" w:eastAsia="Times New Roman" w:hAnsi="Arial" w:cs="Arial"/>
                <w:i/>
                <w:color w:val="000000"/>
                <w:szCs w:val="20"/>
                <w:lang w:eastAsia="en-NZ"/>
              </w:rPr>
            </w:pPr>
            <w:r w:rsidRPr="00D5126A">
              <w:rPr>
                <w:rFonts w:ascii="Arial" w:eastAsia="Times New Roman" w:hAnsi="Arial" w:cs="Arial"/>
                <w:i/>
                <w:color w:val="000000"/>
                <w:szCs w:val="20"/>
                <w:lang w:eastAsia="en-NZ"/>
              </w:rPr>
              <w:t>Baseline</w:t>
            </w:r>
          </w:p>
        </w:tc>
        <w:tc>
          <w:tcPr>
            <w:tcW w:w="1276" w:type="dxa"/>
            <w:tcBorders>
              <w:top w:val="nil"/>
              <w:left w:val="nil"/>
              <w:bottom w:val="nil"/>
              <w:right w:val="nil"/>
            </w:tcBorders>
            <w:shd w:val="clear" w:color="auto" w:fill="auto"/>
            <w:vAlign w:val="center"/>
          </w:tcPr>
          <w:p w:rsidR="00294CB0" w:rsidRPr="00D5126A" w:rsidRDefault="00294CB0" w:rsidP="0035318B">
            <w:pPr>
              <w:spacing w:after="0" w:line="240" w:lineRule="auto"/>
              <w:jc w:val="center"/>
              <w:rPr>
                <w:rFonts w:ascii="Arial" w:eastAsia="Times New Roman" w:hAnsi="Arial" w:cs="Arial"/>
                <w:color w:val="000000"/>
                <w:szCs w:val="20"/>
                <w:lang w:eastAsia="en-NZ"/>
              </w:rPr>
            </w:pPr>
            <w:r w:rsidRPr="00D5126A">
              <w:rPr>
                <w:rFonts w:ascii="Arial" w:eastAsia="Times New Roman" w:hAnsi="Arial" w:cs="Arial"/>
                <w:color w:val="000000"/>
                <w:szCs w:val="20"/>
                <w:lang w:eastAsia="en-NZ"/>
              </w:rPr>
              <w:t>Total Measures</w:t>
            </w:r>
          </w:p>
        </w:tc>
      </w:tr>
      <w:tr w:rsidR="00294CB0" w:rsidRPr="00D5126A" w:rsidTr="000271D0">
        <w:trPr>
          <w:trHeight w:val="255"/>
        </w:trPr>
        <w:tc>
          <w:tcPr>
            <w:tcW w:w="3969" w:type="dxa"/>
            <w:tcBorders>
              <w:top w:val="nil"/>
              <w:left w:val="nil"/>
              <w:bottom w:val="nil"/>
              <w:right w:val="nil"/>
            </w:tcBorders>
            <w:shd w:val="clear" w:color="auto" w:fill="009999"/>
            <w:noWrap/>
            <w:vAlign w:val="bottom"/>
          </w:tcPr>
          <w:p w:rsidR="00294CB0" w:rsidRPr="00D5126A" w:rsidRDefault="00294CB0" w:rsidP="002718E7">
            <w:pPr>
              <w:spacing w:after="0"/>
              <w:ind w:left="263" w:hanging="263"/>
              <w:rPr>
                <w:rFonts w:cstheme="minorHAnsi"/>
                <w:b/>
                <w:bCs/>
                <w:color w:val="FFFFFF" w:themeColor="background1"/>
                <w:sz w:val="24"/>
                <w:szCs w:val="20"/>
              </w:rPr>
            </w:pPr>
            <w:r w:rsidRPr="00D5126A">
              <w:rPr>
                <w:rFonts w:cstheme="minorHAnsi"/>
                <w:b/>
                <w:bCs/>
                <w:color w:val="FFFFFF" w:themeColor="background1"/>
                <w:sz w:val="24"/>
                <w:szCs w:val="20"/>
              </w:rPr>
              <w:t>5. Kaupapa Pāpori me ngā Mahi a Rēhia | Social and recreation</w:t>
            </w:r>
          </w:p>
        </w:tc>
        <w:tc>
          <w:tcPr>
            <w:tcW w:w="993" w:type="dxa"/>
            <w:tcBorders>
              <w:top w:val="nil"/>
              <w:left w:val="nil"/>
              <w:bottom w:val="nil"/>
              <w:right w:val="nil"/>
            </w:tcBorders>
            <w:shd w:val="clear" w:color="auto" w:fill="009999"/>
            <w:noWrap/>
            <w:vAlign w:val="bottom"/>
          </w:tcPr>
          <w:p w:rsidR="00294CB0" w:rsidRPr="00D5126A" w:rsidRDefault="00294CB0" w:rsidP="00506FE3">
            <w:pPr>
              <w:spacing w:after="0"/>
              <w:jc w:val="center"/>
              <w:rPr>
                <w:rFonts w:cstheme="minorHAnsi"/>
                <w:color w:val="FFFFFF" w:themeColor="background1"/>
                <w:sz w:val="24"/>
                <w:szCs w:val="20"/>
              </w:rPr>
            </w:pPr>
          </w:p>
        </w:tc>
        <w:tc>
          <w:tcPr>
            <w:tcW w:w="1020" w:type="dxa"/>
            <w:tcBorders>
              <w:top w:val="nil"/>
              <w:left w:val="nil"/>
              <w:bottom w:val="nil"/>
              <w:right w:val="nil"/>
            </w:tcBorders>
            <w:shd w:val="clear" w:color="auto" w:fill="009999"/>
            <w:noWrap/>
            <w:vAlign w:val="bottom"/>
          </w:tcPr>
          <w:p w:rsidR="00294CB0" w:rsidRPr="00D5126A" w:rsidRDefault="00294CB0" w:rsidP="00506FE3">
            <w:pPr>
              <w:spacing w:after="0"/>
              <w:jc w:val="center"/>
              <w:rPr>
                <w:rFonts w:cstheme="minorHAnsi"/>
                <w:color w:val="FFFFFF" w:themeColor="background1"/>
                <w:sz w:val="24"/>
                <w:szCs w:val="20"/>
              </w:rPr>
            </w:pPr>
          </w:p>
        </w:tc>
        <w:tc>
          <w:tcPr>
            <w:tcW w:w="1247" w:type="dxa"/>
            <w:tcBorders>
              <w:top w:val="nil"/>
              <w:left w:val="nil"/>
              <w:bottom w:val="nil"/>
              <w:right w:val="nil"/>
            </w:tcBorders>
            <w:shd w:val="clear" w:color="auto" w:fill="009999"/>
            <w:noWrap/>
            <w:vAlign w:val="bottom"/>
          </w:tcPr>
          <w:p w:rsidR="00294CB0" w:rsidRPr="00D5126A" w:rsidRDefault="00294CB0" w:rsidP="00506FE3">
            <w:pPr>
              <w:spacing w:after="0"/>
              <w:jc w:val="center"/>
              <w:rPr>
                <w:rFonts w:cstheme="minorHAnsi"/>
                <w:color w:val="FFFFFF" w:themeColor="background1"/>
                <w:sz w:val="24"/>
                <w:szCs w:val="20"/>
              </w:rPr>
            </w:pPr>
          </w:p>
        </w:tc>
        <w:tc>
          <w:tcPr>
            <w:tcW w:w="1134" w:type="dxa"/>
            <w:tcBorders>
              <w:top w:val="nil"/>
              <w:left w:val="nil"/>
              <w:bottom w:val="nil"/>
              <w:right w:val="nil"/>
            </w:tcBorders>
            <w:shd w:val="clear" w:color="auto" w:fill="009999"/>
            <w:noWrap/>
            <w:vAlign w:val="bottom"/>
          </w:tcPr>
          <w:p w:rsidR="00294CB0" w:rsidRPr="00D5126A" w:rsidRDefault="00294CB0" w:rsidP="00506FE3">
            <w:pPr>
              <w:spacing w:after="0"/>
              <w:jc w:val="center"/>
              <w:rPr>
                <w:rFonts w:cstheme="minorHAnsi"/>
                <w:color w:val="FFFFFF" w:themeColor="background1"/>
                <w:sz w:val="24"/>
                <w:szCs w:val="20"/>
              </w:rPr>
            </w:pPr>
          </w:p>
        </w:tc>
        <w:tc>
          <w:tcPr>
            <w:tcW w:w="1276" w:type="dxa"/>
            <w:tcBorders>
              <w:top w:val="nil"/>
              <w:left w:val="nil"/>
              <w:bottom w:val="nil"/>
              <w:right w:val="nil"/>
            </w:tcBorders>
            <w:shd w:val="clear" w:color="auto" w:fill="009999"/>
            <w:noWrap/>
            <w:vAlign w:val="bottom"/>
          </w:tcPr>
          <w:p w:rsidR="00294CB0" w:rsidRPr="00D5126A" w:rsidRDefault="00294CB0" w:rsidP="00506FE3">
            <w:pPr>
              <w:spacing w:after="0"/>
              <w:jc w:val="center"/>
              <w:rPr>
                <w:rFonts w:cstheme="minorHAnsi"/>
                <w:color w:val="FFFFFF" w:themeColor="background1"/>
                <w:sz w:val="24"/>
                <w:szCs w:val="20"/>
              </w:rPr>
            </w:pPr>
          </w:p>
        </w:tc>
      </w:tr>
      <w:tr w:rsidR="00294CB0" w:rsidRPr="00D5126A" w:rsidTr="000271D0">
        <w:trPr>
          <w:trHeight w:val="255"/>
        </w:trPr>
        <w:tc>
          <w:tcPr>
            <w:tcW w:w="3969" w:type="dxa"/>
            <w:tcBorders>
              <w:top w:val="nil"/>
              <w:left w:val="nil"/>
              <w:bottom w:val="nil"/>
              <w:right w:val="nil"/>
            </w:tcBorders>
            <w:shd w:val="clear" w:color="auto" w:fill="auto"/>
            <w:noWrap/>
            <w:vAlign w:val="bottom"/>
          </w:tcPr>
          <w:p w:rsidR="00294CB0" w:rsidRPr="00D5126A" w:rsidRDefault="00294CB0" w:rsidP="002718E7">
            <w:pPr>
              <w:spacing w:after="0"/>
              <w:ind w:left="317"/>
              <w:rPr>
                <w:rFonts w:cstheme="minorHAnsi"/>
                <w:bCs/>
                <w:sz w:val="20"/>
                <w:szCs w:val="20"/>
              </w:rPr>
            </w:pPr>
            <w:r w:rsidRPr="00D5126A">
              <w:rPr>
                <w:rFonts w:cstheme="minorHAnsi"/>
                <w:bCs/>
                <w:sz w:val="20"/>
                <w:szCs w:val="20"/>
              </w:rPr>
              <w:t>5.1 Recreation promotion and support</w:t>
            </w:r>
          </w:p>
        </w:tc>
        <w:tc>
          <w:tcPr>
            <w:tcW w:w="993" w:type="dxa"/>
            <w:tcBorders>
              <w:top w:val="nil"/>
              <w:left w:val="nil"/>
              <w:bottom w:val="nil"/>
              <w:right w:val="nil"/>
            </w:tcBorders>
            <w:shd w:val="clear" w:color="auto" w:fill="auto"/>
            <w:noWrap/>
            <w:vAlign w:val="bottom"/>
          </w:tcPr>
          <w:p w:rsidR="00294CB0" w:rsidRPr="00D5126A" w:rsidRDefault="00294CB0" w:rsidP="00506FE3">
            <w:pPr>
              <w:spacing w:after="0"/>
              <w:jc w:val="center"/>
              <w:rPr>
                <w:rFonts w:cstheme="minorHAnsi"/>
                <w:b/>
                <w:sz w:val="24"/>
                <w:szCs w:val="20"/>
              </w:rPr>
            </w:pPr>
            <w:r w:rsidRPr="00D5126A">
              <w:rPr>
                <w:rFonts w:cstheme="minorHAnsi"/>
                <w:b/>
                <w:sz w:val="24"/>
                <w:szCs w:val="20"/>
              </w:rPr>
              <w:t>4</w:t>
            </w:r>
          </w:p>
        </w:tc>
        <w:tc>
          <w:tcPr>
            <w:tcW w:w="1020" w:type="dxa"/>
            <w:tcBorders>
              <w:top w:val="nil"/>
              <w:left w:val="nil"/>
              <w:bottom w:val="nil"/>
              <w:right w:val="nil"/>
            </w:tcBorders>
            <w:shd w:val="clear" w:color="auto" w:fill="auto"/>
            <w:noWrap/>
            <w:vAlign w:val="bottom"/>
          </w:tcPr>
          <w:p w:rsidR="00294CB0" w:rsidRPr="00D5126A" w:rsidRDefault="00294CB0" w:rsidP="00506FE3">
            <w:pPr>
              <w:spacing w:after="0"/>
              <w:jc w:val="center"/>
              <w:rPr>
                <w:rFonts w:cstheme="minorHAnsi"/>
                <w:b/>
                <w:sz w:val="24"/>
                <w:szCs w:val="20"/>
              </w:rPr>
            </w:pPr>
            <w:r>
              <w:rPr>
                <w:rFonts w:cstheme="minorHAnsi"/>
                <w:b/>
                <w:sz w:val="24"/>
                <w:szCs w:val="20"/>
              </w:rPr>
              <w:t>26</w:t>
            </w:r>
          </w:p>
        </w:tc>
        <w:tc>
          <w:tcPr>
            <w:tcW w:w="1247" w:type="dxa"/>
            <w:tcBorders>
              <w:top w:val="nil"/>
              <w:left w:val="nil"/>
              <w:bottom w:val="nil"/>
              <w:right w:val="nil"/>
            </w:tcBorders>
            <w:shd w:val="clear" w:color="auto" w:fill="auto"/>
            <w:noWrap/>
            <w:vAlign w:val="bottom"/>
          </w:tcPr>
          <w:p w:rsidR="00294CB0" w:rsidRPr="00D5126A" w:rsidRDefault="00294CB0" w:rsidP="00506FE3">
            <w:pPr>
              <w:spacing w:after="0"/>
              <w:jc w:val="center"/>
              <w:rPr>
                <w:rFonts w:cstheme="minorHAnsi"/>
                <w:b/>
                <w:sz w:val="24"/>
                <w:szCs w:val="20"/>
              </w:rPr>
            </w:pPr>
            <w:r w:rsidRPr="00D5126A">
              <w:rPr>
                <w:rFonts w:cstheme="minorHAnsi"/>
                <w:b/>
                <w:sz w:val="24"/>
                <w:szCs w:val="20"/>
              </w:rPr>
              <w:t>7</w:t>
            </w:r>
          </w:p>
        </w:tc>
        <w:tc>
          <w:tcPr>
            <w:tcW w:w="1134" w:type="dxa"/>
            <w:tcBorders>
              <w:top w:val="nil"/>
              <w:left w:val="nil"/>
              <w:bottom w:val="nil"/>
              <w:right w:val="nil"/>
            </w:tcBorders>
            <w:shd w:val="clear" w:color="auto" w:fill="auto"/>
            <w:noWrap/>
            <w:vAlign w:val="bottom"/>
          </w:tcPr>
          <w:p w:rsidR="00294CB0" w:rsidRPr="00D5126A" w:rsidRDefault="00294CB0" w:rsidP="00506FE3">
            <w:pPr>
              <w:spacing w:after="0"/>
              <w:jc w:val="center"/>
              <w:rPr>
                <w:rFonts w:cstheme="minorHAnsi"/>
                <w:b/>
                <w:sz w:val="24"/>
                <w:szCs w:val="20"/>
              </w:rPr>
            </w:pPr>
            <w:r w:rsidRPr="00D5126A">
              <w:rPr>
                <w:rFonts w:cstheme="minorHAnsi"/>
                <w:b/>
                <w:sz w:val="24"/>
                <w:szCs w:val="20"/>
              </w:rPr>
              <w:t>6</w:t>
            </w:r>
          </w:p>
        </w:tc>
        <w:tc>
          <w:tcPr>
            <w:tcW w:w="1276" w:type="dxa"/>
            <w:tcBorders>
              <w:top w:val="nil"/>
              <w:left w:val="nil"/>
              <w:bottom w:val="nil"/>
              <w:right w:val="nil"/>
            </w:tcBorders>
            <w:shd w:val="clear" w:color="auto" w:fill="auto"/>
            <w:noWrap/>
            <w:vAlign w:val="bottom"/>
          </w:tcPr>
          <w:p w:rsidR="00294CB0" w:rsidRPr="00D5126A" w:rsidRDefault="00294CB0" w:rsidP="00506FE3">
            <w:pPr>
              <w:spacing w:after="0"/>
              <w:jc w:val="center"/>
              <w:rPr>
                <w:rFonts w:cstheme="minorHAnsi"/>
                <w:b/>
                <w:sz w:val="24"/>
                <w:szCs w:val="20"/>
              </w:rPr>
            </w:pPr>
            <w:r w:rsidRPr="00D5126A">
              <w:rPr>
                <w:rFonts w:cstheme="minorHAnsi"/>
                <w:b/>
                <w:sz w:val="24"/>
                <w:szCs w:val="20"/>
              </w:rPr>
              <w:t>43</w:t>
            </w:r>
          </w:p>
        </w:tc>
      </w:tr>
      <w:tr w:rsidR="00294CB0" w:rsidRPr="00D5126A" w:rsidTr="000271D0">
        <w:trPr>
          <w:trHeight w:val="255"/>
        </w:trPr>
        <w:tc>
          <w:tcPr>
            <w:tcW w:w="3969" w:type="dxa"/>
            <w:tcBorders>
              <w:top w:val="nil"/>
              <w:left w:val="nil"/>
              <w:bottom w:val="nil"/>
              <w:right w:val="nil"/>
            </w:tcBorders>
            <w:shd w:val="clear" w:color="auto" w:fill="auto"/>
            <w:noWrap/>
            <w:vAlign w:val="bottom"/>
          </w:tcPr>
          <w:p w:rsidR="00294CB0" w:rsidRPr="00D5126A" w:rsidRDefault="00294CB0" w:rsidP="002718E7">
            <w:pPr>
              <w:spacing w:after="0"/>
              <w:ind w:left="317"/>
              <w:rPr>
                <w:rFonts w:cstheme="minorHAnsi"/>
                <w:bCs/>
                <w:sz w:val="20"/>
                <w:szCs w:val="20"/>
              </w:rPr>
            </w:pPr>
            <w:r w:rsidRPr="00D5126A">
              <w:rPr>
                <w:rFonts w:cstheme="minorHAnsi"/>
                <w:bCs/>
                <w:sz w:val="20"/>
                <w:szCs w:val="20"/>
              </w:rPr>
              <w:t>5.2 Community Support</w:t>
            </w:r>
          </w:p>
        </w:tc>
        <w:tc>
          <w:tcPr>
            <w:tcW w:w="993" w:type="dxa"/>
            <w:tcBorders>
              <w:top w:val="nil"/>
              <w:left w:val="nil"/>
              <w:bottom w:val="nil"/>
              <w:right w:val="nil"/>
            </w:tcBorders>
            <w:shd w:val="clear" w:color="auto" w:fill="auto"/>
            <w:noWrap/>
            <w:vAlign w:val="bottom"/>
          </w:tcPr>
          <w:p w:rsidR="00294CB0" w:rsidRPr="00D5126A" w:rsidRDefault="00294CB0" w:rsidP="00506FE3">
            <w:pPr>
              <w:spacing w:after="0"/>
              <w:jc w:val="center"/>
              <w:rPr>
                <w:rFonts w:cstheme="minorHAnsi"/>
                <w:b/>
                <w:sz w:val="24"/>
                <w:szCs w:val="20"/>
              </w:rPr>
            </w:pPr>
            <w:r w:rsidRPr="00D5126A">
              <w:rPr>
                <w:rFonts w:cstheme="minorHAnsi"/>
                <w:b/>
                <w:sz w:val="24"/>
                <w:szCs w:val="20"/>
              </w:rPr>
              <w:t>4</w:t>
            </w:r>
          </w:p>
        </w:tc>
        <w:tc>
          <w:tcPr>
            <w:tcW w:w="1020" w:type="dxa"/>
            <w:tcBorders>
              <w:top w:val="nil"/>
              <w:left w:val="nil"/>
              <w:bottom w:val="nil"/>
              <w:right w:val="nil"/>
            </w:tcBorders>
            <w:shd w:val="clear" w:color="auto" w:fill="auto"/>
            <w:noWrap/>
            <w:vAlign w:val="bottom"/>
          </w:tcPr>
          <w:p w:rsidR="00294CB0" w:rsidRPr="00D5126A" w:rsidRDefault="00294CB0" w:rsidP="00506FE3">
            <w:pPr>
              <w:spacing w:after="0"/>
              <w:jc w:val="center"/>
              <w:rPr>
                <w:rFonts w:cstheme="minorHAnsi"/>
                <w:b/>
                <w:sz w:val="24"/>
                <w:szCs w:val="20"/>
              </w:rPr>
            </w:pPr>
            <w:r>
              <w:rPr>
                <w:rFonts w:cstheme="minorHAnsi"/>
                <w:b/>
                <w:sz w:val="24"/>
                <w:szCs w:val="20"/>
              </w:rPr>
              <w:t>8</w:t>
            </w:r>
          </w:p>
        </w:tc>
        <w:tc>
          <w:tcPr>
            <w:tcW w:w="1247" w:type="dxa"/>
            <w:tcBorders>
              <w:top w:val="nil"/>
              <w:left w:val="nil"/>
              <w:bottom w:val="nil"/>
              <w:right w:val="nil"/>
            </w:tcBorders>
            <w:shd w:val="clear" w:color="auto" w:fill="auto"/>
            <w:noWrap/>
            <w:vAlign w:val="bottom"/>
          </w:tcPr>
          <w:p w:rsidR="00294CB0" w:rsidRPr="00D5126A" w:rsidRDefault="00294CB0" w:rsidP="00506FE3">
            <w:pPr>
              <w:spacing w:after="0"/>
              <w:jc w:val="center"/>
              <w:rPr>
                <w:rFonts w:cstheme="minorHAnsi"/>
                <w:b/>
                <w:sz w:val="24"/>
                <w:szCs w:val="20"/>
              </w:rPr>
            </w:pPr>
            <w:r w:rsidRPr="00D5126A">
              <w:rPr>
                <w:rFonts w:cstheme="minorHAnsi"/>
                <w:b/>
                <w:sz w:val="24"/>
                <w:szCs w:val="20"/>
              </w:rPr>
              <w:t>5</w:t>
            </w:r>
          </w:p>
        </w:tc>
        <w:tc>
          <w:tcPr>
            <w:tcW w:w="1134" w:type="dxa"/>
            <w:tcBorders>
              <w:top w:val="nil"/>
              <w:left w:val="nil"/>
              <w:bottom w:val="nil"/>
              <w:right w:val="nil"/>
            </w:tcBorders>
            <w:shd w:val="clear" w:color="auto" w:fill="auto"/>
            <w:noWrap/>
            <w:vAlign w:val="bottom"/>
          </w:tcPr>
          <w:p w:rsidR="00294CB0" w:rsidRPr="00D5126A" w:rsidRDefault="00294CB0" w:rsidP="00506FE3">
            <w:pPr>
              <w:spacing w:after="0"/>
              <w:jc w:val="center"/>
              <w:rPr>
                <w:rFonts w:cstheme="minorHAnsi"/>
                <w:b/>
                <w:sz w:val="24"/>
                <w:szCs w:val="20"/>
              </w:rPr>
            </w:pPr>
            <w:r w:rsidRPr="00D5126A">
              <w:rPr>
                <w:rFonts w:cstheme="minorHAnsi"/>
                <w:b/>
                <w:sz w:val="24"/>
                <w:szCs w:val="20"/>
              </w:rPr>
              <w:t>7</w:t>
            </w:r>
          </w:p>
        </w:tc>
        <w:tc>
          <w:tcPr>
            <w:tcW w:w="1276" w:type="dxa"/>
            <w:tcBorders>
              <w:top w:val="nil"/>
              <w:left w:val="nil"/>
              <w:bottom w:val="nil"/>
              <w:right w:val="nil"/>
            </w:tcBorders>
            <w:shd w:val="clear" w:color="auto" w:fill="auto"/>
            <w:noWrap/>
            <w:vAlign w:val="bottom"/>
          </w:tcPr>
          <w:p w:rsidR="00294CB0" w:rsidRPr="00D5126A" w:rsidRDefault="00294CB0" w:rsidP="00506FE3">
            <w:pPr>
              <w:spacing w:after="0"/>
              <w:jc w:val="center"/>
              <w:rPr>
                <w:rFonts w:cstheme="minorHAnsi"/>
                <w:b/>
                <w:sz w:val="24"/>
                <w:szCs w:val="20"/>
              </w:rPr>
            </w:pPr>
            <w:r w:rsidRPr="00D5126A">
              <w:rPr>
                <w:rFonts w:cstheme="minorHAnsi"/>
                <w:b/>
                <w:sz w:val="24"/>
                <w:szCs w:val="20"/>
              </w:rPr>
              <w:t>24</w:t>
            </w:r>
          </w:p>
        </w:tc>
      </w:tr>
      <w:tr w:rsidR="00294CB0" w:rsidRPr="00D5126A" w:rsidTr="000271D0">
        <w:trPr>
          <w:trHeight w:val="255"/>
        </w:trPr>
        <w:tc>
          <w:tcPr>
            <w:tcW w:w="3969" w:type="dxa"/>
            <w:tcBorders>
              <w:top w:val="nil"/>
              <w:left w:val="nil"/>
              <w:bottom w:val="single" w:sz="12" w:space="0" w:color="auto"/>
              <w:right w:val="nil"/>
            </w:tcBorders>
            <w:shd w:val="clear" w:color="auto" w:fill="auto"/>
            <w:noWrap/>
            <w:vAlign w:val="bottom"/>
          </w:tcPr>
          <w:p w:rsidR="00294CB0" w:rsidRPr="00D5126A" w:rsidRDefault="00294CB0" w:rsidP="002718E7">
            <w:pPr>
              <w:spacing w:after="0"/>
              <w:ind w:left="317"/>
              <w:rPr>
                <w:rFonts w:cstheme="minorHAnsi"/>
                <w:bCs/>
                <w:sz w:val="20"/>
                <w:szCs w:val="20"/>
              </w:rPr>
            </w:pPr>
            <w:r w:rsidRPr="00D5126A">
              <w:rPr>
                <w:rFonts w:cstheme="minorHAnsi"/>
                <w:bCs/>
                <w:sz w:val="20"/>
                <w:szCs w:val="20"/>
              </w:rPr>
              <w:t>5.3 Public health and safety</w:t>
            </w:r>
          </w:p>
        </w:tc>
        <w:tc>
          <w:tcPr>
            <w:tcW w:w="993" w:type="dxa"/>
            <w:tcBorders>
              <w:top w:val="nil"/>
              <w:left w:val="nil"/>
              <w:bottom w:val="single" w:sz="12" w:space="0" w:color="auto"/>
              <w:right w:val="nil"/>
            </w:tcBorders>
            <w:shd w:val="clear" w:color="auto" w:fill="auto"/>
            <w:noWrap/>
            <w:vAlign w:val="bottom"/>
          </w:tcPr>
          <w:p w:rsidR="00294CB0" w:rsidRPr="00D5126A" w:rsidRDefault="00294CB0" w:rsidP="00506FE3">
            <w:pPr>
              <w:spacing w:after="0"/>
              <w:jc w:val="center"/>
              <w:rPr>
                <w:rFonts w:cstheme="minorHAnsi"/>
                <w:b/>
                <w:sz w:val="24"/>
                <w:szCs w:val="20"/>
              </w:rPr>
            </w:pPr>
            <w:r w:rsidRPr="00D5126A">
              <w:rPr>
                <w:rFonts w:cstheme="minorHAnsi"/>
                <w:b/>
                <w:sz w:val="24"/>
                <w:szCs w:val="20"/>
              </w:rPr>
              <w:t>1</w:t>
            </w:r>
          </w:p>
        </w:tc>
        <w:tc>
          <w:tcPr>
            <w:tcW w:w="1020" w:type="dxa"/>
            <w:tcBorders>
              <w:top w:val="nil"/>
              <w:left w:val="nil"/>
              <w:bottom w:val="single" w:sz="12" w:space="0" w:color="auto"/>
              <w:right w:val="nil"/>
            </w:tcBorders>
            <w:shd w:val="clear" w:color="auto" w:fill="auto"/>
            <w:noWrap/>
            <w:vAlign w:val="bottom"/>
          </w:tcPr>
          <w:p w:rsidR="00294CB0" w:rsidRPr="00D5126A" w:rsidRDefault="00294CB0" w:rsidP="00506FE3">
            <w:pPr>
              <w:spacing w:after="0"/>
              <w:jc w:val="center"/>
              <w:rPr>
                <w:rFonts w:cstheme="minorHAnsi"/>
                <w:b/>
                <w:sz w:val="24"/>
                <w:szCs w:val="20"/>
              </w:rPr>
            </w:pPr>
            <w:r>
              <w:rPr>
                <w:rFonts w:cstheme="minorHAnsi"/>
                <w:b/>
                <w:sz w:val="24"/>
                <w:szCs w:val="20"/>
              </w:rPr>
              <w:t>6</w:t>
            </w:r>
          </w:p>
        </w:tc>
        <w:tc>
          <w:tcPr>
            <w:tcW w:w="1247" w:type="dxa"/>
            <w:tcBorders>
              <w:top w:val="nil"/>
              <w:left w:val="nil"/>
              <w:bottom w:val="single" w:sz="12" w:space="0" w:color="auto"/>
              <w:right w:val="nil"/>
            </w:tcBorders>
            <w:shd w:val="clear" w:color="auto" w:fill="auto"/>
            <w:noWrap/>
            <w:vAlign w:val="bottom"/>
          </w:tcPr>
          <w:p w:rsidR="00294CB0" w:rsidRPr="00D5126A" w:rsidRDefault="00294CB0" w:rsidP="00506FE3">
            <w:pPr>
              <w:spacing w:after="0"/>
              <w:jc w:val="center"/>
              <w:rPr>
                <w:rFonts w:cstheme="minorHAnsi"/>
                <w:b/>
                <w:sz w:val="24"/>
                <w:szCs w:val="20"/>
              </w:rPr>
            </w:pPr>
            <w:r w:rsidRPr="00D5126A">
              <w:rPr>
                <w:rFonts w:cstheme="minorHAnsi"/>
                <w:b/>
                <w:sz w:val="24"/>
                <w:szCs w:val="20"/>
              </w:rPr>
              <w:t>2</w:t>
            </w:r>
          </w:p>
        </w:tc>
        <w:tc>
          <w:tcPr>
            <w:tcW w:w="1134" w:type="dxa"/>
            <w:tcBorders>
              <w:top w:val="nil"/>
              <w:left w:val="nil"/>
              <w:bottom w:val="single" w:sz="12" w:space="0" w:color="auto"/>
              <w:right w:val="nil"/>
            </w:tcBorders>
            <w:shd w:val="clear" w:color="auto" w:fill="auto"/>
            <w:noWrap/>
            <w:vAlign w:val="bottom"/>
          </w:tcPr>
          <w:p w:rsidR="00294CB0" w:rsidRPr="00D5126A" w:rsidRDefault="00294CB0" w:rsidP="00506FE3">
            <w:pPr>
              <w:spacing w:after="0"/>
              <w:jc w:val="center"/>
              <w:rPr>
                <w:rFonts w:cstheme="minorHAnsi"/>
                <w:b/>
                <w:sz w:val="24"/>
                <w:szCs w:val="20"/>
              </w:rPr>
            </w:pPr>
          </w:p>
        </w:tc>
        <w:tc>
          <w:tcPr>
            <w:tcW w:w="1276" w:type="dxa"/>
            <w:tcBorders>
              <w:top w:val="nil"/>
              <w:left w:val="nil"/>
              <w:bottom w:val="single" w:sz="12" w:space="0" w:color="auto"/>
              <w:right w:val="nil"/>
            </w:tcBorders>
            <w:shd w:val="clear" w:color="auto" w:fill="auto"/>
            <w:noWrap/>
            <w:vAlign w:val="bottom"/>
          </w:tcPr>
          <w:p w:rsidR="00294CB0" w:rsidRPr="00D5126A" w:rsidRDefault="00294CB0" w:rsidP="00506FE3">
            <w:pPr>
              <w:spacing w:after="0"/>
              <w:jc w:val="center"/>
              <w:rPr>
                <w:rFonts w:cstheme="minorHAnsi"/>
                <w:b/>
                <w:sz w:val="24"/>
                <w:szCs w:val="20"/>
              </w:rPr>
            </w:pPr>
            <w:r w:rsidRPr="00D5126A">
              <w:rPr>
                <w:rFonts w:cstheme="minorHAnsi"/>
                <w:b/>
                <w:sz w:val="24"/>
                <w:szCs w:val="20"/>
              </w:rPr>
              <w:t>9</w:t>
            </w:r>
          </w:p>
        </w:tc>
      </w:tr>
      <w:tr w:rsidR="00294CB0" w:rsidRPr="00D5126A" w:rsidTr="000271D0">
        <w:trPr>
          <w:trHeight w:val="255"/>
        </w:trPr>
        <w:tc>
          <w:tcPr>
            <w:tcW w:w="3969" w:type="dxa"/>
            <w:tcBorders>
              <w:top w:val="single" w:sz="12" w:space="0" w:color="auto"/>
              <w:left w:val="nil"/>
              <w:bottom w:val="single" w:sz="12" w:space="0" w:color="auto"/>
              <w:right w:val="nil"/>
            </w:tcBorders>
            <w:shd w:val="clear" w:color="auto" w:fill="DAEEF3" w:themeFill="accent5" w:themeFillTint="33"/>
            <w:noWrap/>
            <w:vAlign w:val="bottom"/>
          </w:tcPr>
          <w:p w:rsidR="00294CB0" w:rsidRPr="00D5126A" w:rsidRDefault="00294CB0" w:rsidP="00506FE3">
            <w:pPr>
              <w:spacing w:after="0"/>
              <w:rPr>
                <w:rFonts w:cstheme="minorHAnsi"/>
                <w:b/>
                <w:bCs/>
                <w:sz w:val="24"/>
                <w:szCs w:val="20"/>
              </w:rPr>
            </w:pPr>
            <w:r w:rsidRPr="00D5126A">
              <w:rPr>
                <w:rFonts w:cstheme="minorHAnsi"/>
                <w:b/>
                <w:bCs/>
                <w:sz w:val="24"/>
                <w:szCs w:val="20"/>
              </w:rPr>
              <w:t>Total measures</w:t>
            </w:r>
          </w:p>
        </w:tc>
        <w:tc>
          <w:tcPr>
            <w:tcW w:w="993" w:type="dxa"/>
            <w:tcBorders>
              <w:top w:val="single" w:sz="12" w:space="0" w:color="auto"/>
              <w:left w:val="nil"/>
              <w:bottom w:val="single" w:sz="12" w:space="0" w:color="auto"/>
              <w:right w:val="nil"/>
            </w:tcBorders>
            <w:shd w:val="clear" w:color="auto" w:fill="DAEEF3" w:themeFill="accent5" w:themeFillTint="33"/>
            <w:noWrap/>
            <w:vAlign w:val="bottom"/>
          </w:tcPr>
          <w:p w:rsidR="00294CB0" w:rsidRPr="00D5126A" w:rsidRDefault="00294CB0" w:rsidP="00506FE3">
            <w:pPr>
              <w:spacing w:after="0"/>
              <w:jc w:val="center"/>
              <w:rPr>
                <w:rFonts w:cstheme="minorHAnsi"/>
                <w:b/>
                <w:sz w:val="24"/>
                <w:szCs w:val="20"/>
              </w:rPr>
            </w:pPr>
            <w:r w:rsidRPr="00D5126A">
              <w:rPr>
                <w:rFonts w:cstheme="minorHAnsi"/>
                <w:b/>
                <w:sz w:val="24"/>
                <w:szCs w:val="20"/>
              </w:rPr>
              <w:t>9</w:t>
            </w:r>
          </w:p>
        </w:tc>
        <w:tc>
          <w:tcPr>
            <w:tcW w:w="1020" w:type="dxa"/>
            <w:tcBorders>
              <w:top w:val="single" w:sz="12" w:space="0" w:color="auto"/>
              <w:left w:val="nil"/>
              <w:bottom w:val="single" w:sz="12" w:space="0" w:color="auto"/>
              <w:right w:val="nil"/>
            </w:tcBorders>
            <w:shd w:val="clear" w:color="auto" w:fill="DAEEF3" w:themeFill="accent5" w:themeFillTint="33"/>
            <w:noWrap/>
            <w:vAlign w:val="bottom"/>
          </w:tcPr>
          <w:p w:rsidR="00294CB0" w:rsidRPr="00D5126A" w:rsidRDefault="005C6473" w:rsidP="00506FE3">
            <w:pPr>
              <w:spacing w:after="0"/>
              <w:jc w:val="center"/>
              <w:rPr>
                <w:rFonts w:cstheme="minorHAnsi"/>
                <w:b/>
                <w:sz w:val="24"/>
                <w:szCs w:val="20"/>
              </w:rPr>
            </w:pPr>
            <w:r>
              <w:rPr>
                <w:rFonts w:cstheme="minorHAnsi"/>
                <w:b/>
                <w:sz w:val="24"/>
                <w:szCs w:val="20"/>
              </w:rPr>
              <w:t>40</w:t>
            </w:r>
          </w:p>
        </w:tc>
        <w:tc>
          <w:tcPr>
            <w:tcW w:w="1247" w:type="dxa"/>
            <w:tcBorders>
              <w:top w:val="single" w:sz="12" w:space="0" w:color="auto"/>
              <w:left w:val="nil"/>
              <w:bottom w:val="single" w:sz="12" w:space="0" w:color="auto"/>
              <w:right w:val="nil"/>
            </w:tcBorders>
            <w:shd w:val="clear" w:color="auto" w:fill="DAEEF3" w:themeFill="accent5" w:themeFillTint="33"/>
            <w:noWrap/>
            <w:vAlign w:val="bottom"/>
          </w:tcPr>
          <w:p w:rsidR="00294CB0" w:rsidRPr="00D5126A" w:rsidRDefault="00294CB0" w:rsidP="00506FE3">
            <w:pPr>
              <w:spacing w:after="0"/>
              <w:jc w:val="center"/>
              <w:rPr>
                <w:rFonts w:cstheme="minorHAnsi"/>
                <w:b/>
                <w:sz w:val="24"/>
                <w:szCs w:val="20"/>
              </w:rPr>
            </w:pPr>
            <w:r w:rsidRPr="00D5126A">
              <w:rPr>
                <w:rFonts w:cstheme="minorHAnsi"/>
                <w:b/>
                <w:sz w:val="24"/>
                <w:szCs w:val="20"/>
              </w:rPr>
              <w:t>14</w:t>
            </w:r>
          </w:p>
        </w:tc>
        <w:tc>
          <w:tcPr>
            <w:tcW w:w="1134" w:type="dxa"/>
            <w:tcBorders>
              <w:top w:val="single" w:sz="12" w:space="0" w:color="auto"/>
              <w:left w:val="nil"/>
              <w:bottom w:val="single" w:sz="12" w:space="0" w:color="auto"/>
              <w:right w:val="nil"/>
            </w:tcBorders>
            <w:shd w:val="clear" w:color="auto" w:fill="DAEEF3" w:themeFill="accent5" w:themeFillTint="33"/>
            <w:noWrap/>
            <w:vAlign w:val="bottom"/>
          </w:tcPr>
          <w:p w:rsidR="00294CB0" w:rsidRPr="00D5126A" w:rsidRDefault="00294CB0" w:rsidP="00506FE3">
            <w:pPr>
              <w:spacing w:after="0"/>
              <w:jc w:val="center"/>
              <w:rPr>
                <w:rFonts w:cstheme="minorHAnsi"/>
                <w:b/>
                <w:sz w:val="24"/>
                <w:szCs w:val="20"/>
              </w:rPr>
            </w:pPr>
            <w:r w:rsidRPr="00D5126A">
              <w:rPr>
                <w:rFonts w:cstheme="minorHAnsi"/>
                <w:b/>
                <w:sz w:val="24"/>
                <w:szCs w:val="20"/>
              </w:rPr>
              <w:t>13</w:t>
            </w:r>
          </w:p>
        </w:tc>
        <w:tc>
          <w:tcPr>
            <w:tcW w:w="1276" w:type="dxa"/>
            <w:tcBorders>
              <w:top w:val="single" w:sz="12" w:space="0" w:color="auto"/>
              <w:left w:val="nil"/>
              <w:bottom w:val="single" w:sz="12" w:space="0" w:color="auto"/>
              <w:right w:val="nil"/>
            </w:tcBorders>
            <w:shd w:val="clear" w:color="auto" w:fill="DAEEF3" w:themeFill="accent5" w:themeFillTint="33"/>
            <w:noWrap/>
            <w:vAlign w:val="bottom"/>
          </w:tcPr>
          <w:p w:rsidR="00294CB0" w:rsidRPr="00D5126A" w:rsidRDefault="00294CB0" w:rsidP="00506FE3">
            <w:pPr>
              <w:spacing w:after="0"/>
              <w:jc w:val="center"/>
              <w:rPr>
                <w:rFonts w:cstheme="minorHAnsi"/>
                <w:b/>
                <w:sz w:val="24"/>
                <w:szCs w:val="20"/>
              </w:rPr>
            </w:pPr>
            <w:r w:rsidRPr="00D5126A">
              <w:rPr>
                <w:rFonts w:cstheme="minorHAnsi"/>
                <w:b/>
                <w:sz w:val="24"/>
                <w:szCs w:val="20"/>
              </w:rPr>
              <w:t>76</w:t>
            </w:r>
          </w:p>
        </w:tc>
      </w:tr>
    </w:tbl>
    <w:p w:rsidR="00B27C37" w:rsidRPr="000271D0" w:rsidRDefault="00EB420E" w:rsidP="00AA2122">
      <w:pPr>
        <w:pStyle w:val="Heading3"/>
        <w:rPr>
          <w:color w:val="009999"/>
        </w:rPr>
      </w:pPr>
      <w:bookmarkStart w:id="242" w:name="_Toc19085843"/>
      <w:r w:rsidRPr="000271D0">
        <w:rPr>
          <w:rStyle w:val="00Text"/>
          <w:b/>
          <w:color w:val="009999"/>
        </w:rPr>
        <w:t>5.1 Whakatairanga mahi ā rēhia</w:t>
      </w:r>
      <w:r w:rsidR="00FD4F15" w:rsidRPr="000271D0">
        <w:rPr>
          <w:rStyle w:val="00Text"/>
          <w:b/>
          <w:color w:val="009999"/>
        </w:rPr>
        <w:t xml:space="preserve"> - </w:t>
      </w:r>
      <w:r w:rsidR="00A3111E" w:rsidRPr="000271D0">
        <w:rPr>
          <w:color w:val="009999"/>
        </w:rPr>
        <w:t>Recreation promotion and support</w:t>
      </w:r>
      <w:bookmarkEnd w:id="240"/>
      <w:bookmarkEnd w:id="242"/>
    </w:p>
    <w:p w:rsidR="00B27C37" w:rsidRPr="000271D0" w:rsidRDefault="00344669" w:rsidP="00846C1B">
      <w:pPr>
        <w:pStyle w:val="Heading4"/>
        <w:rPr>
          <w:color w:val="009999"/>
        </w:rPr>
      </w:pPr>
      <w:r w:rsidRPr="000271D0">
        <w:rPr>
          <w:color w:val="009999"/>
        </w:rPr>
        <w:t>What we did</w:t>
      </w:r>
    </w:p>
    <w:p w:rsidR="00287E3E" w:rsidRPr="00D5126A" w:rsidRDefault="00287E3E" w:rsidP="00287E3E">
      <w:pPr>
        <w:pStyle w:val="Heading5"/>
        <w:rPr>
          <w:rFonts w:eastAsia="Times New Roman"/>
        </w:rPr>
      </w:pPr>
      <w:bookmarkStart w:id="243" w:name="5_2_Tautoko_hapori_Community_support"/>
      <w:r w:rsidRPr="00D5126A">
        <w:rPr>
          <w:rFonts w:eastAsia="Times New Roman"/>
        </w:rPr>
        <w:t>Alex Moore Sport and Community Hub</w:t>
      </w:r>
    </w:p>
    <w:p w:rsidR="00287E3E" w:rsidRPr="00D5126A" w:rsidRDefault="00287E3E" w:rsidP="00287E3E">
      <w:pPr>
        <w:rPr>
          <w:rFonts w:eastAsia="Times New Roman"/>
        </w:rPr>
      </w:pPr>
      <w:r w:rsidRPr="00D5126A">
        <w:rPr>
          <w:rFonts w:eastAsia="Times New Roman"/>
        </w:rPr>
        <w:t xml:space="preserve">Work continues on the Alex Moore Sport and Community Hub, with the six foundation clubs signing a Heads of Agreement in December 2018 and agreeing to partner with Council on the development of a new hub building on the park. Council will project manage the build and own the building which will be leased back to AMPSCI for a </w:t>
      </w:r>
      <w:r w:rsidR="00076BD2" w:rsidRPr="00D5126A">
        <w:rPr>
          <w:rFonts w:eastAsia="Times New Roman"/>
        </w:rPr>
        <w:t>33</w:t>
      </w:r>
      <w:r w:rsidR="00076BD2">
        <w:rPr>
          <w:rFonts w:eastAsia="Times New Roman"/>
        </w:rPr>
        <w:t>-</w:t>
      </w:r>
      <w:r w:rsidRPr="00D5126A">
        <w:rPr>
          <w:rFonts w:eastAsia="Times New Roman"/>
        </w:rPr>
        <w:t>year period (3 x 11 year rights of renewals). Construction is due to begin in early 2020.</w:t>
      </w:r>
    </w:p>
    <w:p w:rsidR="00287E3E" w:rsidRPr="00D5126A" w:rsidRDefault="00287E3E" w:rsidP="00287E3E">
      <w:pPr>
        <w:pStyle w:val="Heading5"/>
        <w:rPr>
          <w:rFonts w:eastAsia="Times New Roman"/>
        </w:rPr>
      </w:pPr>
      <w:r w:rsidRPr="00D5126A">
        <w:rPr>
          <w:rFonts w:eastAsia="Times New Roman"/>
        </w:rPr>
        <w:t>LeisureCard Review</w:t>
      </w:r>
    </w:p>
    <w:p w:rsidR="00023DA1" w:rsidRPr="00D5126A" w:rsidRDefault="00287E3E" w:rsidP="00023DA1">
      <w:pPr>
        <w:rPr>
          <w:rFonts w:ascii="Arial" w:eastAsia="Times New Roman" w:hAnsi="Arial" w:cs="Arial"/>
          <w:bCs/>
        </w:rPr>
      </w:pPr>
      <w:r w:rsidRPr="00D5126A">
        <w:rPr>
          <w:rFonts w:ascii="Arial" w:eastAsia="Times New Roman" w:hAnsi="Arial" w:cs="Arial"/>
          <w:bCs/>
        </w:rPr>
        <w:t>In June 2019 a review of the LeisureCard</w:t>
      </w:r>
      <w:r w:rsidR="00BF663E">
        <w:rPr>
          <w:rFonts w:ascii="Arial" w:eastAsia="Times New Roman" w:hAnsi="Arial" w:cs="Arial"/>
          <w:bCs/>
        </w:rPr>
        <w:t>,</w:t>
      </w:r>
      <w:r w:rsidRPr="00D5126A">
        <w:rPr>
          <w:rFonts w:ascii="Arial" w:eastAsia="Times New Roman" w:hAnsi="Arial" w:cs="Arial"/>
          <w:bCs/>
        </w:rPr>
        <w:t xml:space="preserve"> Council’s discount policy for recreation services</w:t>
      </w:r>
      <w:r w:rsidR="00BF663E">
        <w:rPr>
          <w:rFonts w:ascii="Arial" w:eastAsia="Times New Roman" w:hAnsi="Arial" w:cs="Arial"/>
          <w:bCs/>
        </w:rPr>
        <w:t>,</w:t>
      </w:r>
      <w:r w:rsidRPr="00D5126A">
        <w:rPr>
          <w:rFonts w:ascii="Arial" w:eastAsia="Times New Roman" w:hAnsi="Arial" w:cs="Arial"/>
          <w:bCs/>
        </w:rPr>
        <w:t xml:space="preserve"> was undertaken with Councillors agreeing to several recommendations designed to ensure it better targets people for who cost is a barrier to accessing services. This includes forming partnerships with agencies such as Change Makers, Red Cross and Sport Wellington to offer the LeisureCard to their clients.</w:t>
      </w:r>
    </w:p>
    <w:p w:rsidR="00023DA1" w:rsidRPr="00D5126A" w:rsidRDefault="00287E3E" w:rsidP="00023DA1">
      <w:pPr>
        <w:pStyle w:val="Heading5"/>
        <w:rPr>
          <w:rFonts w:eastAsia="Times New Roman"/>
        </w:rPr>
      </w:pPr>
      <w:r w:rsidRPr="00D5126A">
        <w:rPr>
          <w:rFonts w:eastAsia="Times New Roman"/>
        </w:rPr>
        <w:t>Renouf Tennis Centre</w:t>
      </w:r>
    </w:p>
    <w:p w:rsidR="00287E3E" w:rsidRPr="00D5126A" w:rsidRDefault="00A61897" w:rsidP="00287E3E">
      <w:pPr>
        <w:rPr>
          <w:rFonts w:ascii="Arial" w:eastAsia="Times New Roman" w:hAnsi="Arial" w:cs="Arial"/>
          <w:bCs/>
        </w:rPr>
      </w:pPr>
      <w:r>
        <w:rPr>
          <w:rFonts w:ascii="Arial" w:eastAsia="Times New Roman" w:hAnsi="Arial" w:cs="Arial"/>
          <w:bCs/>
        </w:rPr>
        <w:t>Work started on the Renou</w:t>
      </w:r>
      <w:r w:rsidR="00287E3E" w:rsidRPr="00D5126A">
        <w:rPr>
          <w:rFonts w:ascii="Arial" w:eastAsia="Times New Roman" w:hAnsi="Arial" w:cs="Arial"/>
          <w:bCs/>
        </w:rPr>
        <w:t>f Tennis Centre redevelopment in April. It has been partially funded through the WCC Sport Partnership Fund. The work includes finishing the refurbishment of the changing rooms by late 2019 in time for the Wellington Open and replacing the roof in 2020.</w:t>
      </w:r>
    </w:p>
    <w:p w:rsidR="00287E3E" w:rsidRPr="00D5126A" w:rsidRDefault="00287E3E" w:rsidP="00287E3E">
      <w:pPr>
        <w:pStyle w:val="Heading5"/>
        <w:rPr>
          <w:rFonts w:eastAsia="Times New Roman"/>
        </w:rPr>
      </w:pPr>
      <w:r w:rsidRPr="00D5126A">
        <w:rPr>
          <w:rFonts w:eastAsia="Times New Roman"/>
        </w:rPr>
        <w:t xml:space="preserve">Playgrounds </w:t>
      </w:r>
    </w:p>
    <w:p w:rsidR="00C07F94" w:rsidRPr="00D5126A" w:rsidRDefault="00C07F94" w:rsidP="00C07F94">
      <w:r w:rsidRPr="00D5126A">
        <w:t>We completed the renewal of five neighbourhood playgrounds: the Glamorgan Play Area in Northland, Taylor Park &amp; Larsen Park Play Areas in Tawa, Jeypore Play Area in Berhampore and Seatoun Park Play Area. We installed a new rainbow slide at the Khandallah Park Play Area</w:t>
      </w:r>
      <w:r w:rsidR="00BF663E">
        <w:t>,</w:t>
      </w:r>
      <w:r w:rsidRPr="00D5126A">
        <w:t xml:space="preserve"> which has proved extremely popular with the community and we built a new community playground at Wakefield Park in Berhampore/Island Bay.</w:t>
      </w:r>
    </w:p>
    <w:p w:rsidR="00C07F94" w:rsidRPr="00D5126A" w:rsidRDefault="00C07F94" w:rsidP="00C07F94">
      <w:r w:rsidRPr="00D5126A">
        <w:lastRenderedPageBreak/>
        <w:t xml:space="preserve">We engaged with local children </w:t>
      </w:r>
      <w:r w:rsidR="00BF663E">
        <w:t>about</w:t>
      </w:r>
      <w:r w:rsidR="00BF663E" w:rsidRPr="00D5126A">
        <w:t xml:space="preserve"> </w:t>
      </w:r>
      <w:r w:rsidRPr="00D5126A">
        <w:t xml:space="preserve">the upgrade for the Wall Street Park in Linden, to get them involved and thinking about design and equipment. Staff from our Urban Design and Parks, Sport &amp; Recreation teams worked with the children to complete surveys, get ideas by visiting other playgrounds, attend a design workshop and complete a spatial layout. The design will be finalised and the new playground built in the next financial year. </w:t>
      </w:r>
    </w:p>
    <w:p w:rsidR="00287E3E" w:rsidRPr="00D5126A" w:rsidRDefault="00287E3E" w:rsidP="00287E3E">
      <w:pPr>
        <w:pStyle w:val="Heading5"/>
        <w:rPr>
          <w:rFonts w:eastAsia="Times New Roman"/>
        </w:rPr>
      </w:pPr>
      <w:r w:rsidRPr="00D5126A">
        <w:rPr>
          <w:rFonts w:eastAsia="Times New Roman"/>
        </w:rPr>
        <w:t>Building Work</w:t>
      </w:r>
    </w:p>
    <w:p w:rsidR="00287E3E" w:rsidRPr="00D5126A" w:rsidRDefault="00287E3E" w:rsidP="00287E3E">
      <w:pPr>
        <w:rPr>
          <w:rFonts w:ascii="Arial" w:eastAsia="Times New Roman" w:hAnsi="Arial" w:cs="Arial"/>
          <w:bCs/>
        </w:rPr>
      </w:pPr>
      <w:r w:rsidRPr="00D5126A">
        <w:rPr>
          <w:rFonts w:ascii="Arial" w:eastAsia="Times New Roman" w:hAnsi="Arial" w:cs="Arial"/>
          <w:bCs/>
        </w:rPr>
        <w:t xml:space="preserve">We completed an upgrade at Tawa Pool which included new energy efficient LED lighting, new family changing cubicles, and improvements to existing changing rooms. We worked with the Tawa Swim Club to renew their clubrooms and increase availability for wider community use. </w:t>
      </w:r>
    </w:p>
    <w:p w:rsidR="00030ADB" w:rsidRPr="00D5126A" w:rsidRDefault="00030ADB" w:rsidP="00287E3E">
      <w:pPr>
        <w:pStyle w:val="Heading5"/>
        <w:rPr>
          <w:rFonts w:ascii="Arial" w:eastAsia="Times New Roman" w:hAnsi="Arial" w:cs="Arial"/>
          <w:bCs/>
        </w:rPr>
      </w:pPr>
      <w:r w:rsidRPr="00D5126A">
        <w:rPr>
          <w:rFonts w:ascii="Arial" w:eastAsia="Times New Roman" w:hAnsi="Arial" w:cs="Arial"/>
          <w:bCs/>
        </w:rPr>
        <w:t xml:space="preserve">After the completion of the new Lyall Bay Surf Club building, we demolished the old clubhouse on Lyall Bay beach. The area will be planted during the winter planting season with dune plants. </w:t>
      </w:r>
    </w:p>
    <w:p w:rsidR="00287E3E" w:rsidRPr="00D5126A" w:rsidRDefault="00287E3E" w:rsidP="00287E3E">
      <w:pPr>
        <w:pStyle w:val="Heading5"/>
        <w:rPr>
          <w:rFonts w:eastAsia="Times New Roman"/>
          <w:b/>
        </w:rPr>
      </w:pPr>
      <w:r w:rsidRPr="00D5126A">
        <w:rPr>
          <w:rFonts w:eastAsia="Times New Roman"/>
        </w:rPr>
        <w:t>ASB Sports Centre</w:t>
      </w:r>
    </w:p>
    <w:p w:rsidR="00287E3E" w:rsidRPr="00D5126A" w:rsidRDefault="00287E3E" w:rsidP="00287E3E">
      <w:pPr>
        <w:rPr>
          <w:rFonts w:eastAsia="Times New Roman"/>
        </w:rPr>
      </w:pPr>
      <w:r w:rsidRPr="00D5126A">
        <w:rPr>
          <w:rFonts w:eastAsia="Times New Roman"/>
        </w:rPr>
        <w:t>Since it opened in 2011, the centre has drawn an increasing number of people. Attendance in 2013/14 was 606,000 and it has continued to increase year on year, reaching 917,168 in 2018/19. The centre has hosted many national and international events including the World Indoor Archery Championships. This year the centre celebrated its 5 millionth customer, a great milestone to reach in under a decade.</w:t>
      </w:r>
    </w:p>
    <w:p w:rsidR="00287E3E" w:rsidRPr="00D5126A" w:rsidRDefault="00287E3E" w:rsidP="00287E3E">
      <w:pPr>
        <w:pStyle w:val="Heading5"/>
        <w:rPr>
          <w:rFonts w:eastAsia="Times New Roman"/>
        </w:rPr>
      </w:pPr>
      <w:r w:rsidRPr="00D5126A">
        <w:rPr>
          <w:rFonts w:eastAsia="Times New Roman"/>
        </w:rPr>
        <w:t>Basin Reserve</w:t>
      </w:r>
    </w:p>
    <w:p w:rsidR="00287E3E" w:rsidRPr="00D5126A" w:rsidRDefault="00287E3E" w:rsidP="00287E3E">
      <w:pPr>
        <w:rPr>
          <w:rFonts w:eastAsia="Times New Roman"/>
        </w:rPr>
      </w:pPr>
      <w:r w:rsidRPr="00D5126A">
        <w:rPr>
          <w:rFonts w:eastAsia="Times New Roman"/>
        </w:rPr>
        <w:t xml:space="preserve">In May 2018, the Council made the decision to strengthen and upgrade the Museum Stand. This work commenced in the 2018/19 financial year. When completed, the Museum Stand will provide a home to the New Zealand Cricket Museum and office accommodation for Cricket Wellington, with the former Cricket Wellington offices being relocated to Zealandia to provide them with </w:t>
      </w:r>
      <w:r w:rsidR="00BF663E" w:rsidRPr="00D5126A">
        <w:rPr>
          <w:rFonts w:eastAsia="Times New Roman"/>
        </w:rPr>
        <w:t>much</w:t>
      </w:r>
      <w:r w:rsidR="00BF663E">
        <w:rPr>
          <w:rFonts w:eastAsia="Times New Roman"/>
        </w:rPr>
        <w:t>-</w:t>
      </w:r>
      <w:r w:rsidRPr="00D5126A">
        <w:rPr>
          <w:rFonts w:eastAsia="Times New Roman"/>
        </w:rPr>
        <w:t>needed space for staff.</w:t>
      </w:r>
    </w:p>
    <w:p w:rsidR="00287E3E" w:rsidRPr="00D5126A" w:rsidRDefault="00287E3E" w:rsidP="00287E3E">
      <w:pPr>
        <w:rPr>
          <w:rFonts w:ascii="Arial" w:eastAsia="Times New Roman" w:hAnsi="Arial" w:cs="Arial"/>
        </w:rPr>
      </w:pPr>
      <w:r w:rsidRPr="00D5126A">
        <w:rPr>
          <w:rFonts w:ascii="Arial" w:eastAsia="Times New Roman" w:hAnsi="Arial" w:cs="Arial"/>
        </w:rPr>
        <w:t>The Basin Reserve continues to be a very well utilised sporting venue. In 2018/19, the Basin Reserve hosted 97 event days, 100 practise days and 53 functions.</w:t>
      </w:r>
      <w:r w:rsidRPr="00D5126A">
        <w:rPr>
          <w:rFonts w:ascii="Calibri" w:eastAsia="Times New Roman" w:hAnsi="Calibri" w:cs="Calibri"/>
        </w:rPr>
        <w:t xml:space="preserve"> </w:t>
      </w:r>
      <w:r w:rsidRPr="00D5126A">
        <w:rPr>
          <w:rFonts w:ascii="Arial" w:eastAsia="Times New Roman" w:hAnsi="Arial" w:cs="Arial"/>
        </w:rPr>
        <w:t xml:space="preserve">Key activities included: </w:t>
      </w:r>
    </w:p>
    <w:p w:rsidR="00287E3E" w:rsidRPr="00D5126A" w:rsidRDefault="00287E3E" w:rsidP="002C7BF8">
      <w:pPr>
        <w:numPr>
          <w:ilvl w:val="0"/>
          <w:numId w:val="13"/>
        </w:numPr>
        <w:contextualSpacing/>
        <w:rPr>
          <w:rFonts w:ascii="Arial" w:eastAsia="Times New Roman" w:hAnsi="Arial" w:cs="Arial"/>
          <w:b/>
          <w:bCs/>
        </w:rPr>
      </w:pPr>
      <w:r w:rsidRPr="00D5126A">
        <w:rPr>
          <w:rFonts w:ascii="Arial" w:eastAsia="Times New Roman" w:hAnsi="Arial" w:cs="Arial"/>
        </w:rPr>
        <w:t>A partnership with Wellington Rugby and Capital Football to host 12 junior rugby and 12 junior girls’ football events during winter. More than 100 games were played with just under 5000 children involved.</w:t>
      </w:r>
    </w:p>
    <w:p w:rsidR="00287E3E" w:rsidRPr="00D5126A" w:rsidRDefault="00287E3E" w:rsidP="002C7BF8">
      <w:pPr>
        <w:numPr>
          <w:ilvl w:val="0"/>
          <w:numId w:val="13"/>
        </w:numPr>
        <w:contextualSpacing/>
        <w:rPr>
          <w:rFonts w:ascii="Arial" w:eastAsia="Times New Roman" w:hAnsi="Arial" w:cs="Arial"/>
          <w:b/>
          <w:bCs/>
        </w:rPr>
      </w:pPr>
      <w:r w:rsidRPr="00D5126A">
        <w:rPr>
          <w:rFonts w:ascii="Arial" w:eastAsia="Times New Roman" w:hAnsi="Arial" w:cs="Arial"/>
        </w:rPr>
        <w:t>Hosting the Wellington City Cou</w:t>
      </w:r>
      <w:r w:rsidR="00030ADB" w:rsidRPr="00D5126A">
        <w:rPr>
          <w:rFonts w:ascii="Arial" w:eastAsia="Times New Roman" w:hAnsi="Arial" w:cs="Arial"/>
        </w:rPr>
        <w:t xml:space="preserve">ncil vigil on 17 March 2019 for </w:t>
      </w:r>
      <w:r w:rsidRPr="00D5126A">
        <w:rPr>
          <w:rFonts w:ascii="Arial" w:eastAsia="Times New Roman" w:hAnsi="Arial" w:cs="Arial"/>
        </w:rPr>
        <w:t>the</w:t>
      </w:r>
      <w:r w:rsidR="00030ADB" w:rsidRPr="00D5126A">
        <w:rPr>
          <w:rFonts w:ascii="Arial" w:eastAsia="Times New Roman" w:hAnsi="Arial" w:cs="Arial"/>
        </w:rPr>
        <w:t xml:space="preserve"> victims </w:t>
      </w:r>
      <w:r w:rsidRPr="00D5126A">
        <w:rPr>
          <w:rFonts w:ascii="Arial" w:eastAsia="Times New Roman" w:hAnsi="Arial" w:cs="Arial"/>
        </w:rPr>
        <w:t>of</w:t>
      </w:r>
      <w:r w:rsidR="00030ADB" w:rsidRPr="00D5126A">
        <w:rPr>
          <w:rFonts w:ascii="Arial" w:eastAsia="Times New Roman" w:hAnsi="Arial" w:cs="Arial"/>
        </w:rPr>
        <w:t xml:space="preserve"> the Christchurch Terror </w:t>
      </w:r>
      <w:r w:rsidRPr="00D5126A">
        <w:rPr>
          <w:rFonts w:ascii="Arial" w:eastAsia="Times New Roman" w:hAnsi="Arial" w:cs="Arial"/>
        </w:rPr>
        <w:t xml:space="preserve">Attacks. </w:t>
      </w:r>
    </w:p>
    <w:p w:rsidR="00287E3E" w:rsidRPr="00D5126A" w:rsidRDefault="00287E3E" w:rsidP="002C7BF8">
      <w:pPr>
        <w:numPr>
          <w:ilvl w:val="0"/>
          <w:numId w:val="13"/>
        </w:numPr>
        <w:contextualSpacing/>
        <w:jc w:val="both"/>
        <w:rPr>
          <w:rFonts w:ascii="Arial" w:eastAsia="Times New Roman" w:hAnsi="Arial" w:cs="Arial"/>
          <w:b/>
          <w:bCs/>
        </w:rPr>
      </w:pPr>
      <w:r w:rsidRPr="00D5126A">
        <w:rPr>
          <w:rFonts w:ascii="Arial" w:eastAsia="Times New Roman" w:hAnsi="Arial" w:cs="Arial"/>
        </w:rPr>
        <w:t>Night Noodle Markets, attracting a crowd of approximately 80,000 people over the week.</w:t>
      </w:r>
    </w:p>
    <w:p w:rsidR="00287E3E" w:rsidRPr="00D5126A" w:rsidRDefault="00287E3E" w:rsidP="002C7BF8">
      <w:pPr>
        <w:numPr>
          <w:ilvl w:val="0"/>
          <w:numId w:val="13"/>
        </w:numPr>
        <w:contextualSpacing/>
        <w:jc w:val="both"/>
        <w:rPr>
          <w:rFonts w:ascii="Arial" w:eastAsia="Times New Roman" w:hAnsi="Arial" w:cs="Arial"/>
          <w:b/>
          <w:bCs/>
        </w:rPr>
      </w:pPr>
      <w:r w:rsidRPr="00D5126A">
        <w:rPr>
          <w:rFonts w:ascii="Arial" w:eastAsia="Times New Roman" w:hAnsi="Arial" w:cs="Arial"/>
        </w:rPr>
        <w:t xml:space="preserve">Beers at the Basin, a popular festival that showcases Wellington’s craft beer industry, was held on 1 December 2018, attracting a sell-out crowd of 5800.  </w:t>
      </w:r>
    </w:p>
    <w:p w:rsidR="00287E3E" w:rsidRPr="00D5126A" w:rsidRDefault="00287E3E" w:rsidP="002C7BF8">
      <w:pPr>
        <w:numPr>
          <w:ilvl w:val="0"/>
          <w:numId w:val="13"/>
        </w:numPr>
        <w:contextualSpacing/>
        <w:jc w:val="both"/>
        <w:rPr>
          <w:rFonts w:ascii="Arial" w:eastAsia="Times New Roman" w:hAnsi="Arial" w:cs="Arial"/>
          <w:b/>
          <w:bCs/>
        </w:rPr>
      </w:pPr>
      <w:r w:rsidRPr="00D5126A">
        <w:rPr>
          <w:rFonts w:ascii="Arial" w:eastAsia="Times New Roman" w:hAnsi="Arial" w:cs="Arial"/>
        </w:rPr>
        <w:t>As the home of Cricket Wellington and the home ground of the Wellington Firebirds in the Plunket Shield, Ford Trophy and Men’s Super-Smash, as well as the Wellington Blaze in the Hallyburton Johnston Shield and Women’s Super-Smash, the Basin Reserve hosted a total 34 games of domestic cricket and 100 practi</w:t>
      </w:r>
      <w:r w:rsidR="00BF663E">
        <w:rPr>
          <w:rFonts w:ascii="Arial" w:eastAsia="Times New Roman" w:hAnsi="Arial" w:cs="Arial"/>
        </w:rPr>
        <w:t>c</w:t>
      </w:r>
      <w:r w:rsidRPr="00D5126A">
        <w:rPr>
          <w:rFonts w:ascii="Arial" w:eastAsia="Times New Roman" w:hAnsi="Arial" w:cs="Arial"/>
        </w:rPr>
        <w:t xml:space="preserve">e days. A key feature of the 2018/19 season was the Super Smash men's and women’s double headers. </w:t>
      </w:r>
    </w:p>
    <w:p w:rsidR="00287E3E" w:rsidRPr="00D5126A" w:rsidRDefault="00287E3E" w:rsidP="002C7BF8">
      <w:pPr>
        <w:numPr>
          <w:ilvl w:val="1"/>
          <w:numId w:val="13"/>
        </w:numPr>
        <w:contextualSpacing/>
        <w:jc w:val="both"/>
        <w:rPr>
          <w:rFonts w:ascii="Arial" w:eastAsia="Times New Roman" w:hAnsi="Arial" w:cs="Arial"/>
          <w:b/>
          <w:bCs/>
        </w:rPr>
      </w:pPr>
      <w:r w:rsidRPr="00D5126A">
        <w:rPr>
          <w:rFonts w:ascii="Arial" w:eastAsia="Times New Roman" w:hAnsi="Arial" w:cs="Arial"/>
        </w:rPr>
        <w:t xml:space="preserve">Cricket Wellington also delivered the “Fill the Basin” event on 6 January 2019 that attracted the largest crowd in the history of domestic women’s cricket and the largest men's crowd since 2011 (outside of finals). The day attracted the largest television viewing audience of the 2018/19 Super-Smash season. </w:t>
      </w:r>
    </w:p>
    <w:p w:rsidR="00287E3E" w:rsidRPr="00D5126A" w:rsidRDefault="00287E3E" w:rsidP="002C7BF8">
      <w:pPr>
        <w:numPr>
          <w:ilvl w:val="0"/>
          <w:numId w:val="13"/>
        </w:numPr>
        <w:spacing w:line="240" w:lineRule="auto"/>
        <w:contextualSpacing/>
        <w:rPr>
          <w:rFonts w:ascii="Arial" w:eastAsia="Times New Roman" w:hAnsi="Arial" w:cs="Arial"/>
        </w:rPr>
      </w:pPr>
      <w:r w:rsidRPr="00D5126A">
        <w:rPr>
          <w:rFonts w:ascii="Arial" w:eastAsia="Times New Roman" w:hAnsi="Arial" w:cs="Arial"/>
        </w:rPr>
        <w:t xml:space="preserve">Two Blackcaps </w:t>
      </w:r>
      <w:r w:rsidR="0084527B">
        <w:rPr>
          <w:rFonts w:ascii="Arial" w:eastAsia="Times New Roman" w:hAnsi="Arial" w:cs="Arial"/>
        </w:rPr>
        <w:t>t</w:t>
      </w:r>
      <w:r w:rsidR="0084527B" w:rsidRPr="00D5126A">
        <w:rPr>
          <w:rFonts w:ascii="Arial" w:eastAsia="Times New Roman" w:hAnsi="Arial" w:cs="Arial"/>
        </w:rPr>
        <w:t xml:space="preserve">est </w:t>
      </w:r>
      <w:r w:rsidR="0084527B">
        <w:rPr>
          <w:rFonts w:ascii="Arial" w:eastAsia="Times New Roman" w:hAnsi="Arial" w:cs="Arial"/>
        </w:rPr>
        <w:t>m</w:t>
      </w:r>
      <w:r w:rsidR="0084527B" w:rsidRPr="00D5126A">
        <w:rPr>
          <w:rFonts w:ascii="Arial" w:eastAsia="Times New Roman" w:hAnsi="Arial" w:cs="Arial"/>
        </w:rPr>
        <w:t>atches</w:t>
      </w:r>
      <w:r w:rsidRPr="00D5126A">
        <w:rPr>
          <w:rFonts w:ascii="Arial" w:eastAsia="Times New Roman" w:hAnsi="Arial" w:cs="Arial"/>
        </w:rPr>
        <w:t xml:space="preserve">, including the first test of the New Zealand summer vs Sri Lanka, 15 – 19 December. The Basin pitch received a good rating from the International </w:t>
      </w:r>
      <w:r w:rsidRPr="00D5126A">
        <w:rPr>
          <w:rFonts w:ascii="Arial" w:eastAsia="Times New Roman" w:hAnsi="Arial" w:cs="Arial"/>
        </w:rPr>
        <w:lastRenderedPageBreak/>
        <w:t>Cricket Council (ICC) and a strong crowd of 10,877 attended. The second game saw the Blackcaps beat Bangladesh in the second test match of that series, held from 8 – 12 March. The Basin pitch again received a good rating from the ICC.</w:t>
      </w:r>
    </w:p>
    <w:p w:rsidR="00287E3E" w:rsidRPr="00D5126A" w:rsidRDefault="00287E3E" w:rsidP="00287E3E">
      <w:pPr>
        <w:pStyle w:val="Heading5"/>
        <w:rPr>
          <w:rFonts w:eastAsia="Times New Roman"/>
        </w:rPr>
      </w:pPr>
      <w:r w:rsidRPr="00D5126A">
        <w:rPr>
          <w:rFonts w:eastAsia="Times New Roman"/>
        </w:rPr>
        <w:t>Swimming pools</w:t>
      </w:r>
    </w:p>
    <w:p w:rsidR="0088066C" w:rsidRPr="00D5126A" w:rsidRDefault="00287E3E" w:rsidP="00287E3E">
      <w:pPr>
        <w:rPr>
          <w:iCs/>
        </w:rPr>
      </w:pPr>
      <w:r w:rsidRPr="00D5126A">
        <w:rPr>
          <w:rFonts w:ascii="Arial" w:eastAsia="Times New Roman" w:hAnsi="Arial" w:cs="Arial"/>
          <w:iCs/>
        </w:rPr>
        <w:t>A total of 1,256,024 swimming pool visits were recorded during the year, which is a slight increase (19,855) over the previous year.  In April we held the New Zealand National Age Group Championships at the Wellington Regional Aquatic Centre. We completed a maintenance closure at Tawa Pool</w:t>
      </w:r>
      <w:r w:rsidR="0084527B">
        <w:rPr>
          <w:rFonts w:ascii="Arial" w:eastAsia="Times New Roman" w:hAnsi="Arial" w:cs="Arial"/>
          <w:iCs/>
        </w:rPr>
        <w:t>,</w:t>
      </w:r>
      <w:r w:rsidRPr="00D5126A">
        <w:rPr>
          <w:rFonts w:ascii="Arial" w:eastAsia="Times New Roman" w:hAnsi="Arial" w:cs="Arial"/>
          <w:iCs/>
        </w:rPr>
        <w:t xml:space="preserve"> which included building new family changing cubicles and upgrading and refreshing the Tawa Swim Clubrooms. The community are now able to book and use this space.</w:t>
      </w:r>
      <w:r w:rsidRPr="00D5126A">
        <w:rPr>
          <w:rFonts w:ascii="Arial" w:eastAsia="Times New Roman" w:hAnsi="Arial" w:cs="Arial"/>
          <w:iCs/>
          <w:color w:val="1F497D"/>
        </w:rPr>
        <w:t xml:space="preserve"> </w:t>
      </w:r>
      <w:r w:rsidRPr="00D5126A">
        <w:rPr>
          <w:rFonts w:ascii="Arial" w:eastAsia="Times New Roman" w:hAnsi="Arial" w:cs="Arial"/>
          <w:iCs/>
        </w:rPr>
        <w:t>Visits to the summer pools in Thorndon and Khandallah were high again this year due to good weather, and Thorndon recorded the highest number of visitors in January on record with more than 12,000 over the month.</w:t>
      </w:r>
      <w:r w:rsidR="0088066C" w:rsidRPr="00D5126A">
        <w:rPr>
          <w:iCs/>
        </w:rPr>
        <w:t xml:space="preserve"> </w:t>
      </w:r>
    </w:p>
    <w:p w:rsidR="00B27C37" w:rsidRPr="00750803" w:rsidRDefault="00A3111E" w:rsidP="00AA2122">
      <w:pPr>
        <w:pStyle w:val="Heading3"/>
        <w:rPr>
          <w:rStyle w:val="00Text"/>
          <w:color w:val="009999"/>
        </w:rPr>
      </w:pPr>
      <w:bookmarkStart w:id="244" w:name="_Toc19085844"/>
      <w:r w:rsidRPr="00750803">
        <w:rPr>
          <w:color w:val="009999"/>
        </w:rPr>
        <w:t xml:space="preserve">5.2 Tautoko hāpori </w:t>
      </w:r>
      <w:r w:rsidR="00AF3CCB" w:rsidRPr="00750803">
        <w:rPr>
          <w:color w:val="009999"/>
        </w:rPr>
        <w:t xml:space="preserve">- </w:t>
      </w:r>
      <w:r w:rsidRPr="00750803">
        <w:rPr>
          <w:rStyle w:val="00Text"/>
          <w:color w:val="009999"/>
        </w:rPr>
        <w:t>Community support</w:t>
      </w:r>
      <w:bookmarkEnd w:id="243"/>
      <w:bookmarkEnd w:id="244"/>
    </w:p>
    <w:p w:rsidR="00B27C37" w:rsidRPr="00750803" w:rsidRDefault="00A4787A" w:rsidP="00846C1B">
      <w:pPr>
        <w:pStyle w:val="Heading4"/>
        <w:rPr>
          <w:color w:val="009999"/>
        </w:rPr>
      </w:pPr>
      <w:r w:rsidRPr="00750803">
        <w:rPr>
          <w:color w:val="009999"/>
        </w:rPr>
        <w:t>What we did</w:t>
      </w:r>
    </w:p>
    <w:p w:rsidR="00A4787A" w:rsidRPr="00D5126A" w:rsidRDefault="00A3111E" w:rsidP="00DF1306">
      <w:pPr>
        <w:pStyle w:val="Heading5"/>
        <w:rPr>
          <w:rStyle w:val="00Text"/>
          <w:b w:val="0"/>
          <w:bCs w:val="0"/>
        </w:rPr>
      </w:pPr>
      <w:r w:rsidRPr="00D5126A">
        <w:rPr>
          <w:rStyle w:val="00Text"/>
          <w:b w:val="0"/>
          <w:bCs w:val="0"/>
        </w:rPr>
        <w:t>Libraries</w:t>
      </w:r>
    </w:p>
    <w:p w:rsidR="00DF1306" w:rsidRPr="00D5126A" w:rsidRDefault="00DF1306" w:rsidP="00DF1306">
      <w:pPr>
        <w:rPr>
          <w:rFonts w:eastAsia="Times New Roman"/>
        </w:rPr>
      </w:pPr>
      <w:r w:rsidRPr="00D5126A">
        <w:rPr>
          <w:rFonts w:eastAsia="Times New Roman"/>
        </w:rPr>
        <w:t xml:space="preserve">We welcomed 2,021,003 visitors to our libraries this financial year, a decrease on last year because of the closure of the Central Library. However, online items borrowed from the e-Library collection increased 35 percent to 475,745. There were 4.8 million visits to the library website, 1.6 million over the target.  This target was exceeded due to including usage of the Wellington Central Library </w:t>
      </w:r>
      <w:r w:rsidR="00E868DF" w:rsidRPr="00D5126A">
        <w:rPr>
          <w:rFonts w:eastAsia="Times New Roman"/>
        </w:rPr>
        <w:t>mini</w:t>
      </w:r>
      <w:r w:rsidR="00E868DF">
        <w:rPr>
          <w:rFonts w:eastAsia="Times New Roman"/>
        </w:rPr>
        <w:t>-</w:t>
      </w:r>
      <w:r w:rsidRPr="00D5126A">
        <w:rPr>
          <w:rFonts w:eastAsia="Times New Roman"/>
        </w:rPr>
        <w:t>app as visits to the library website.</w:t>
      </w:r>
    </w:p>
    <w:p w:rsidR="00DF1306" w:rsidRPr="00D5126A" w:rsidRDefault="00DF1306" w:rsidP="00DF1306">
      <w:pPr>
        <w:rPr>
          <w:rFonts w:eastAsia="Times New Roman"/>
        </w:rPr>
      </w:pPr>
      <w:r w:rsidRPr="00D5126A">
        <w:rPr>
          <w:rFonts w:eastAsia="Times New Roman"/>
        </w:rPr>
        <w:t xml:space="preserve">Progress on the Waitohi Johnsonville hub building continued across the year.  New books are now being processed and staff employed to design new programmes.  Matthew McIntyre Wilson and Maureen Lander have been commissioned to create two artworks for the space and we tendered for the new </w:t>
      </w:r>
      <w:r w:rsidR="00E868DF" w:rsidRPr="00D5126A">
        <w:rPr>
          <w:rFonts w:eastAsia="Times New Roman"/>
        </w:rPr>
        <w:t>caf</w:t>
      </w:r>
      <w:r w:rsidR="00E868DF">
        <w:rPr>
          <w:rFonts w:eastAsia="Times New Roman"/>
        </w:rPr>
        <w:t>e</w:t>
      </w:r>
      <w:r w:rsidR="00E868DF" w:rsidRPr="00D5126A">
        <w:rPr>
          <w:rFonts w:eastAsia="Times New Roman"/>
        </w:rPr>
        <w:t xml:space="preserve"> </w:t>
      </w:r>
      <w:r w:rsidRPr="00D5126A">
        <w:rPr>
          <w:rFonts w:eastAsia="Times New Roman"/>
        </w:rPr>
        <w:t xml:space="preserve">contract. </w:t>
      </w:r>
      <w:r w:rsidR="00030ADB" w:rsidRPr="00D5126A">
        <w:rPr>
          <w:rFonts w:eastAsia="Times New Roman"/>
        </w:rPr>
        <w:t>The building is due to open in December 2019.</w:t>
      </w:r>
    </w:p>
    <w:p w:rsidR="00DF1306" w:rsidRPr="00D5126A" w:rsidRDefault="00DF1306" w:rsidP="00DF1306">
      <w:pPr>
        <w:rPr>
          <w:rFonts w:eastAsia="Times New Roman"/>
        </w:rPr>
      </w:pPr>
      <w:r w:rsidRPr="00D5126A">
        <w:rPr>
          <w:rFonts w:eastAsia="Times New Roman"/>
        </w:rPr>
        <w:t>There were more than 450,000 online visits to the Wellington heritage images database Recollect, which is developed and maintained by the library.</w:t>
      </w:r>
    </w:p>
    <w:p w:rsidR="00DF1306" w:rsidRPr="00D5126A" w:rsidRDefault="00DF1306" w:rsidP="00DF1306">
      <w:pPr>
        <w:rPr>
          <w:rFonts w:eastAsia="Times New Roman"/>
        </w:rPr>
      </w:pPr>
      <w:r w:rsidRPr="00D5126A">
        <w:rPr>
          <w:rFonts w:eastAsia="Times New Roman"/>
        </w:rPr>
        <w:t xml:space="preserve">However, this year the Central Library was closed on </w:t>
      </w:r>
      <w:r w:rsidR="00E868DF">
        <w:rPr>
          <w:rFonts w:eastAsia="Times New Roman"/>
        </w:rPr>
        <w:t>19</w:t>
      </w:r>
      <w:r w:rsidR="00E868DF" w:rsidRPr="00D5126A">
        <w:rPr>
          <w:rFonts w:eastAsia="Times New Roman"/>
        </w:rPr>
        <w:t xml:space="preserve"> </w:t>
      </w:r>
      <w:r w:rsidRPr="00D5126A">
        <w:rPr>
          <w:rFonts w:eastAsia="Times New Roman"/>
        </w:rPr>
        <w:t xml:space="preserve">March because of engineering advice about how the building would perform in the event of a significant earthquake. </w:t>
      </w:r>
      <w:proofErr w:type="gramStart"/>
      <w:r w:rsidRPr="00D5126A">
        <w:rPr>
          <w:rFonts w:eastAsia="Times New Roman"/>
        </w:rPr>
        <w:t>Staff are</w:t>
      </w:r>
      <w:proofErr w:type="gramEnd"/>
      <w:r w:rsidRPr="00D5126A">
        <w:rPr>
          <w:rFonts w:eastAsia="Times New Roman"/>
        </w:rPr>
        <w:t xml:space="preserve"> continuing to work hard to develop ways </w:t>
      </w:r>
      <w:r w:rsidR="00E868DF">
        <w:rPr>
          <w:rFonts w:eastAsia="Times New Roman"/>
        </w:rPr>
        <w:t xml:space="preserve">for </w:t>
      </w:r>
      <w:r w:rsidRPr="00D5126A">
        <w:rPr>
          <w:rFonts w:eastAsia="Times New Roman"/>
        </w:rPr>
        <w:t xml:space="preserve">customers </w:t>
      </w:r>
      <w:r w:rsidR="00E868DF">
        <w:rPr>
          <w:rFonts w:eastAsia="Times New Roman"/>
        </w:rPr>
        <w:t xml:space="preserve">to </w:t>
      </w:r>
      <w:r w:rsidRPr="00D5126A">
        <w:rPr>
          <w:rFonts w:eastAsia="Times New Roman"/>
        </w:rPr>
        <w:t xml:space="preserve">access library services in the central city and </w:t>
      </w:r>
      <w:r w:rsidR="00E868DF">
        <w:rPr>
          <w:rFonts w:eastAsia="Times New Roman"/>
        </w:rPr>
        <w:t xml:space="preserve">on </w:t>
      </w:r>
      <w:r w:rsidRPr="00D5126A">
        <w:rPr>
          <w:rFonts w:eastAsia="Times New Roman"/>
        </w:rPr>
        <w:t>plan</w:t>
      </w:r>
      <w:r w:rsidR="00DE11BC" w:rsidRPr="00D5126A">
        <w:rPr>
          <w:rFonts w:eastAsia="Times New Roman"/>
        </w:rPr>
        <w:t>s</w:t>
      </w:r>
      <w:r w:rsidRPr="00D5126A">
        <w:rPr>
          <w:rFonts w:eastAsia="Times New Roman"/>
        </w:rPr>
        <w:t xml:space="preserve"> for the library collection to be accessible.</w:t>
      </w:r>
    </w:p>
    <w:p w:rsidR="00030ADB" w:rsidRPr="00D5126A" w:rsidRDefault="00030ADB" w:rsidP="00030ADB">
      <w:pPr>
        <w:rPr>
          <w:rFonts w:eastAsia="Times New Roman"/>
        </w:rPr>
      </w:pPr>
      <w:r w:rsidRPr="00D5126A">
        <w:rPr>
          <w:rFonts w:eastAsia="Times New Roman"/>
        </w:rPr>
        <w:t xml:space="preserve">The first of our replacement pop-up library services was developed in conjunction with our Service Centre. On </w:t>
      </w:r>
      <w:r w:rsidR="00E868DF">
        <w:rPr>
          <w:rFonts w:eastAsia="Times New Roman"/>
        </w:rPr>
        <w:t>28</w:t>
      </w:r>
      <w:r w:rsidR="00E868DF" w:rsidRPr="00D5126A">
        <w:rPr>
          <w:rFonts w:eastAsia="Times New Roman"/>
        </w:rPr>
        <w:t xml:space="preserve"> </w:t>
      </w:r>
      <w:r w:rsidRPr="00D5126A">
        <w:rPr>
          <w:rFonts w:eastAsia="Times New Roman"/>
        </w:rPr>
        <w:t xml:space="preserve">May we opened Arapaki Manners Library and Service Centre at 12 Manners Street. This is a joint library and Council Service Centre facility and represents a new way of working for staff.  There are roughly 7500 library items available to borrow including children’s collection, fiction, non-fiction and AV items, plus internet access computers and some casual seating.  Library hours were also temporarily extended at branches in the suburbs, including longer weekend hours. These were amended on </w:t>
      </w:r>
      <w:r w:rsidR="00E868DF">
        <w:rPr>
          <w:rFonts w:eastAsia="Times New Roman"/>
        </w:rPr>
        <w:t xml:space="preserve">1 </w:t>
      </w:r>
      <w:r w:rsidRPr="00D5126A">
        <w:rPr>
          <w:rFonts w:eastAsia="Times New Roman"/>
        </w:rPr>
        <w:t xml:space="preserve">July to reflect central city services returning, </w:t>
      </w:r>
      <w:r w:rsidR="00E868DF">
        <w:rPr>
          <w:rFonts w:eastAsia="Times New Roman"/>
        </w:rPr>
        <w:t>but</w:t>
      </w:r>
      <w:r w:rsidR="00E868DF" w:rsidRPr="00D5126A">
        <w:rPr>
          <w:rFonts w:eastAsia="Times New Roman"/>
        </w:rPr>
        <w:t xml:space="preserve"> </w:t>
      </w:r>
      <w:r w:rsidRPr="00D5126A">
        <w:rPr>
          <w:rFonts w:eastAsia="Times New Roman"/>
        </w:rPr>
        <w:t>some of the longer hours remained at the bigger branch libraries.</w:t>
      </w:r>
    </w:p>
    <w:p w:rsidR="00DF1306" w:rsidRPr="00D5126A" w:rsidRDefault="00DF1306" w:rsidP="00DF1306">
      <w:pPr>
        <w:rPr>
          <w:rFonts w:eastAsia="Times New Roman"/>
        </w:rPr>
      </w:pPr>
      <w:r w:rsidRPr="00D5126A">
        <w:rPr>
          <w:rFonts w:eastAsia="Times New Roman"/>
        </w:rPr>
        <w:t xml:space="preserve">To support customers begin the journey of Wellington becoming a </w:t>
      </w:r>
      <w:proofErr w:type="gramStart"/>
      <w:r w:rsidRPr="00D5126A">
        <w:rPr>
          <w:rFonts w:eastAsia="Times New Roman"/>
        </w:rPr>
        <w:t>te</w:t>
      </w:r>
      <w:proofErr w:type="gramEnd"/>
      <w:r w:rsidRPr="00D5126A">
        <w:rPr>
          <w:rFonts w:eastAsia="Times New Roman"/>
        </w:rPr>
        <w:t xml:space="preserve"> reo Māori speaking community we started He Timotimo – re reo Māori tutorials each week. </w:t>
      </w:r>
    </w:p>
    <w:p w:rsidR="00DF1306" w:rsidRPr="00750803" w:rsidRDefault="00715BE8" w:rsidP="00DF1306">
      <w:pPr>
        <w:rPr>
          <w:rFonts w:eastAsia="Times New Roman"/>
        </w:rPr>
      </w:pPr>
      <w:r w:rsidRPr="00750803">
        <w:rPr>
          <w:rFonts w:eastAsia="Times New Roman"/>
        </w:rPr>
        <w:t xml:space="preserve">Further Reading: http://www.wcl.govt.nz/help/central-closure-faqs.html and the case study at </w:t>
      </w:r>
      <w:r w:rsidR="00905F5B" w:rsidRPr="00750803">
        <w:rPr>
          <w:rFonts w:eastAsia="Times New Roman"/>
        </w:rPr>
        <w:t>t</w:t>
      </w:r>
      <w:r w:rsidR="00750803">
        <w:rPr>
          <w:rFonts w:eastAsia="Times New Roman"/>
        </w:rPr>
        <w:t>he end of this chapter.</w:t>
      </w:r>
    </w:p>
    <w:p w:rsidR="00DF1306" w:rsidRPr="00D5126A" w:rsidRDefault="00DF1306" w:rsidP="00DF1306">
      <w:pPr>
        <w:pStyle w:val="Heading5"/>
        <w:rPr>
          <w:rFonts w:eastAsia="Times New Roman"/>
        </w:rPr>
      </w:pPr>
      <w:r w:rsidRPr="00D5126A">
        <w:rPr>
          <w:rFonts w:eastAsia="Times New Roman"/>
        </w:rPr>
        <w:lastRenderedPageBreak/>
        <w:t xml:space="preserve">Homelessness and Begging </w:t>
      </w:r>
    </w:p>
    <w:p w:rsidR="00DF1306" w:rsidRPr="00D5126A" w:rsidRDefault="00DF1306" w:rsidP="00DF1306">
      <w:pPr>
        <w:rPr>
          <w:rFonts w:eastAsia="Times New Roman"/>
        </w:rPr>
      </w:pPr>
      <w:r w:rsidRPr="00D5126A">
        <w:rPr>
          <w:rFonts w:eastAsia="Times New Roman"/>
        </w:rPr>
        <w:t>We have been working with our central government and community partners to identify and respond to the conditions that are causing Wellingtonians to become homeless.  We have continued to advance the Te Mahana strategy to end homelessness by supporting a range of services and responses, including the Housing First programmes now active in Wellington.</w:t>
      </w:r>
    </w:p>
    <w:p w:rsidR="00FD0F71" w:rsidRPr="00D5126A" w:rsidRDefault="00DF1306" w:rsidP="00FD0F71">
      <w:pPr>
        <w:rPr>
          <w:rFonts w:eastAsia="Times New Roman"/>
        </w:rPr>
      </w:pPr>
      <w:r w:rsidRPr="00D5126A">
        <w:rPr>
          <w:rFonts w:eastAsia="Times New Roman"/>
        </w:rPr>
        <w:t xml:space="preserve">We want to support the most vulnerable members of our communities – those who are homeless and/or begging – as well as considering the broader concerns of residents, business owners and visitors. </w:t>
      </w:r>
      <w:r w:rsidR="00FD0F71" w:rsidRPr="00D5126A">
        <w:rPr>
          <w:rFonts w:eastAsia="Times New Roman"/>
        </w:rPr>
        <w:t xml:space="preserve">The Wellington City Council’s Ending Homelessness Strategy, Te Mahana, is to ensure that periods of homelessness are rare, brief and non-recurring. DCM and its collaborative partners have signed the Housing First contract with Housing and Urban Development (HUD) and are beginning to deliver this service. </w:t>
      </w:r>
    </w:p>
    <w:p w:rsidR="00FD0F71" w:rsidRPr="00D5126A" w:rsidRDefault="00FD0F71" w:rsidP="00FD0F71">
      <w:pPr>
        <w:rPr>
          <w:rFonts w:eastAsia="Times New Roman"/>
        </w:rPr>
      </w:pPr>
      <w:r w:rsidRPr="00D5126A">
        <w:rPr>
          <w:rFonts w:eastAsia="Times New Roman"/>
        </w:rPr>
        <w:t xml:space="preserve">We are also supporting </w:t>
      </w:r>
      <w:r w:rsidR="00E868DF">
        <w:rPr>
          <w:rFonts w:eastAsia="Times New Roman"/>
        </w:rPr>
        <w:t>several</w:t>
      </w:r>
      <w:r w:rsidRPr="00D5126A">
        <w:rPr>
          <w:rFonts w:eastAsia="Times New Roman"/>
        </w:rPr>
        <w:t xml:space="preserve"> agencies to provide support for the street community. This is through the meaningful activity programme where individuals are supported into pathways that provide training/upskilling or day activities.</w:t>
      </w:r>
    </w:p>
    <w:p w:rsidR="00FD0F71" w:rsidRPr="00D5126A" w:rsidRDefault="00FD0F71" w:rsidP="00FD0F71">
      <w:pPr>
        <w:pStyle w:val="Heading6"/>
        <w:rPr>
          <w:rFonts w:eastAsia="Times New Roman"/>
        </w:rPr>
      </w:pPr>
      <w:r w:rsidRPr="00D5126A">
        <w:rPr>
          <w:rFonts w:eastAsia="Times New Roman"/>
        </w:rPr>
        <w:t>Outreach</w:t>
      </w:r>
    </w:p>
    <w:p w:rsidR="00FD0F71" w:rsidRPr="00D5126A" w:rsidRDefault="00FD0F71" w:rsidP="00FD0F71">
      <w:pPr>
        <w:rPr>
          <w:rFonts w:eastAsia="Times New Roman"/>
        </w:rPr>
      </w:pPr>
      <w:r w:rsidRPr="00D5126A">
        <w:rPr>
          <w:rFonts w:eastAsia="Times New Roman"/>
        </w:rPr>
        <w:t xml:space="preserve">Our assertive outreach programme is about engagement with people sleeping rough and begging so they do not fall through gaps within services.  </w:t>
      </w:r>
    </w:p>
    <w:p w:rsidR="00FD0F71" w:rsidRPr="00D5126A" w:rsidRDefault="00FD0F71" w:rsidP="00FD0F71">
      <w:pPr>
        <w:rPr>
          <w:rFonts w:eastAsia="Times New Roman"/>
        </w:rPr>
      </w:pPr>
      <w:r w:rsidRPr="00D5126A">
        <w:rPr>
          <w:rFonts w:eastAsia="Times New Roman"/>
        </w:rPr>
        <w:t xml:space="preserve">Outreach </w:t>
      </w:r>
      <w:r w:rsidR="00D026A9">
        <w:rPr>
          <w:rFonts w:eastAsia="Times New Roman"/>
        </w:rPr>
        <w:t xml:space="preserve">has </w:t>
      </w:r>
      <w:r w:rsidRPr="00D5126A">
        <w:rPr>
          <w:rFonts w:eastAsia="Times New Roman"/>
        </w:rPr>
        <w:t>engaged with 126 people sleeping rough and street begging between January and June 2019</w:t>
      </w:r>
      <w:r w:rsidR="00D026A9">
        <w:rPr>
          <w:rFonts w:eastAsia="Times New Roman"/>
        </w:rPr>
        <w:t>, and</w:t>
      </w:r>
      <w:r w:rsidR="00D026A9" w:rsidRPr="00D5126A">
        <w:rPr>
          <w:rFonts w:eastAsia="Times New Roman"/>
        </w:rPr>
        <w:t xml:space="preserve"> </w:t>
      </w:r>
      <w:r w:rsidRPr="00D5126A">
        <w:rPr>
          <w:rFonts w:eastAsia="Times New Roman"/>
        </w:rPr>
        <w:t>this was on average 32 people a month (many of the 126 were seen across multiple months). The 126 includes:</w:t>
      </w:r>
    </w:p>
    <w:p w:rsidR="00FD0F71" w:rsidRPr="00D026A9" w:rsidRDefault="00FD0F71" w:rsidP="002C7BF8">
      <w:pPr>
        <w:pStyle w:val="ListParagraph"/>
        <w:numPr>
          <w:ilvl w:val="0"/>
          <w:numId w:val="58"/>
        </w:numPr>
        <w:rPr>
          <w:rFonts w:eastAsia="Times New Roman"/>
        </w:rPr>
      </w:pPr>
      <w:r w:rsidRPr="00D5126A">
        <w:rPr>
          <w:rFonts w:eastAsia="Times New Roman"/>
        </w:rPr>
        <w:t xml:space="preserve">104 people (over the </w:t>
      </w:r>
      <w:r w:rsidR="00D026A9" w:rsidRPr="00D5126A">
        <w:rPr>
          <w:rFonts w:eastAsia="Times New Roman"/>
        </w:rPr>
        <w:t>6</w:t>
      </w:r>
      <w:r w:rsidR="00D026A9">
        <w:rPr>
          <w:rFonts w:eastAsia="Times New Roman"/>
        </w:rPr>
        <w:t>-</w:t>
      </w:r>
      <w:r w:rsidRPr="00D5126A">
        <w:rPr>
          <w:rFonts w:eastAsia="Times New Roman"/>
        </w:rPr>
        <w:t xml:space="preserve">month period) were known to sleep rough. </w:t>
      </w:r>
      <w:r w:rsidR="00D026A9">
        <w:rPr>
          <w:rFonts w:eastAsia="Times New Roman"/>
        </w:rPr>
        <w:t xml:space="preserve">Of them, </w:t>
      </w:r>
      <w:r w:rsidRPr="00D026A9">
        <w:rPr>
          <w:rFonts w:eastAsia="Times New Roman"/>
        </w:rPr>
        <w:t>51 were known to rough sleep only</w:t>
      </w:r>
      <w:r w:rsidR="00D026A9" w:rsidRPr="00D026A9">
        <w:rPr>
          <w:rFonts w:eastAsia="Times New Roman"/>
        </w:rPr>
        <w:t>,</w:t>
      </w:r>
      <w:r w:rsidRPr="00D026A9">
        <w:rPr>
          <w:rFonts w:eastAsia="Times New Roman"/>
        </w:rPr>
        <w:t xml:space="preserve"> while 53 were also seen street begging </w:t>
      </w:r>
    </w:p>
    <w:p w:rsidR="00D026A9" w:rsidRDefault="00FD0F71" w:rsidP="002C7BF8">
      <w:pPr>
        <w:pStyle w:val="ListParagraph"/>
        <w:numPr>
          <w:ilvl w:val="0"/>
          <w:numId w:val="58"/>
        </w:numPr>
        <w:rPr>
          <w:rFonts w:eastAsia="Times New Roman"/>
        </w:rPr>
      </w:pPr>
      <w:r w:rsidRPr="00D5126A">
        <w:rPr>
          <w:rFonts w:eastAsia="Times New Roman"/>
        </w:rPr>
        <w:t>22 further people were known to street beg only.</w:t>
      </w:r>
    </w:p>
    <w:p w:rsidR="00FD0F71" w:rsidRPr="00D5126A" w:rsidRDefault="00FD0F71" w:rsidP="002C7BF8">
      <w:pPr>
        <w:pStyle w:val="ListParagraph"/>
        <w:numPr>
          <w:ilvl w:val="0"/>
          <w:numId w:val="58"/>
        </w:numPr>
        <w:rPr>
          <w:rFonts w:eastAsia="Times New Roman"/>
        </w:rPr>
      </w:pPr>
      <w:r w:rsidRPr="00D5126A">
        <w:rPr>
          <w:rFonts w:eastAsia="Times New Roman"/>
        </w:rPr>
        <w:t>53 people were seen rough sleeping and street begging, making 75 in total seen street begging in the period.</w:t>
      </w:r>
    </w:p>
    <w:p w:rsidR="00FD0F71" w:rsidRPr="00D5126A" w:rsidRDefault="00FD0F71" w:rsidP="00FD0F71">
      <w:pPr>
        <w:rPr>
          <w:rFonts w:eastAsia="Times New Roman"/>
        </w:rPr>
      </w:pPr>
      <w:r w:rsidRPr="00D5126A">
        <w:rPr>
          <w:rFonts w:eastAsia="Times New Roman"/>
        </w:rPr>
        <w:t xml:space="preserve">Outreach </w:t>
      </w:r>
      <w:r w:rsidR="00D026A9">
        <w:rPr>
          <w:rFonts w:eastAsia="Times New Roman"/>
        </w:rPr>
        <w:t>has</w:t>
      </w:r>
      <w:r w:rsidR="00D026A9" w:rsidRPr="00D5126A">
        <w:rPr>
          <w:rFonts w:eastAsia="Times New Roman"/>
        </w:rPr>
        <w:t xml:space="preserve"> </w:t>
      </w:r>
      <w:r w:rsidRPr="00D5126A">
        <w:rPr>
          <w:rFonts w:eastAsia="Times New Roman"/>
        </w:rPr>
        <w:t xml:space="preserve">responded to 96 notifications since February.  </w:t>
      </w:r>
    </w:p>
    <w:p w:rsidR="00540D44" w:rsidRPr="00D5126A" w:rsidRDefault="00FD0F71" w:rsidP="00540D44">
      <w:pPr>
        <w:rPr>
          <w:rFonts w:eastAsia="Times New Roman"/>
        </w:rPr>
      </w:pPr>
      <w:r w:rsidRPr="00D5126A">
        <w:rPr>
          <w:rFonts w:eastAsia="Times New Roman"/>
        </w:rPr>
        <w:t xml:space="preserve">The number of notifications has reduced over the months, with less than half in June (13) compared with February (28). </w:t>
      </w:r>
      <w:r w:rsidR="00BF7843">
        <w:rPr>
          <w:rFonts w:eastAsia="Times New Roman"/>
        </w:rPr>
        <w:t xml:space="preserve">This is viewed as meaning </w:t>
      </w:r>
      <w:r w:rsidR="00540D44" w:rsidRPr="00D5126A">
        <w:rPr>
          <w:rFonts w:eastAsia="Times New Roman"/>
        </w:rPr>
        <w:t xml:space="preserve">issues </w:t>
      </w:r>
      <w:r w:rsidR="00BF7843">
        <w:rPr>
          <w:rFonts w:eastAsia="Times New Roman"/>
        </w:rPr>
        <w:t xml:space="preserve">are </w:t>
      </w:r>
      <w:r w:rsidR="00540D44" w:rsidRPr="00D5126A">
        <w:rPr>
          <w:rFonts w:eastAsia="Times New Roman"/>
        </w:rPr>
        <w:t>being resolved.</w:t>
      </w:r>
    </w:p>
    <w:p w:rsidR="00DF1306" w:rsidRPr="00D5126A" w:rsidRDefault="00DF1306" w:rsidP="00540D44">
      <w:pPr>
        <w:pStyle w:val="Heading5"/>
        <w:rPr>
          <w:rFonts w:eastAsia="Times New Roman"/>
        </w:rPr>
      </w:pPr>
      <w:r w:rsidRPr="00D5126A">
        <w:rPr>
          <w:rFonts w:eastAsia="Times New Roman"/>
        </w:rPr>
        <w:t>Assisting refugees</w:t>
      </w:r>
    </w:p>
    <w:p w:rsidR="00DF1306" w:rsidRDefault="00DF1306" w:rsidP="00DF1306">
      <w:pPr>
        <w:rPr>
          <w:rFonts w:eastAsia="Times New Roman"/>
        </w:rPr>
      </w:pPr>
      <w:r w:rsidRPr="00D5126A">
        <w:rPr>
          <w:rFonts w:eastAsia="Times New Roman"/>
        </w:rPr>
        <w:t xml:space="preserve">We produced </w:t>
      </w:r>
      <w:r w:rsidR="00ED6C9F">
        <w:rPr>
          <w:rFonts w:eastAsia="Times New Roman"/>
        </w:rPr>
        <w:t>”</w:t>
      </w:r>
      <w:r w:rsidRPr="00D5126A">
        <w:rPr>
          <w:rFonts w:eastAsia="Times New Roman"/>
        </w:rPr>
        <w:t xml:space="preserve">Welcome to </w:t>
      </w:r>
      <w:r w:rsidR="00ED6C9F" w:rsidRPr="00D5126A">
        <w:rPr>
          <w:rFonts w:eastAsia="Times New Roman"/>
        </w:rPr>
        <w:t>Wellington</w:t>
      </w:r>
      <w:r w:rsidR="00ED6C9F">
        <w:rPr>
          <w:rFonts w:eastAsia="Times New Roman"/>
        </w:rPr>
        <w:t>”</w:t>
      </w:r>
      <w:r w:rsidR="00ED6C9F" w:rsidRPr="00D5126A">
        <w:rPr>
          <w:rFonts w:eastAsia="Times New Roman"/>
        </w:rPr>
        <w:t xml:space="preserve"> </w:t>
      </w:r>
      <w:r w:rsidRPr="00D5126A">
        <w:rPr>
          <w:rFonts w:eastAsia="Times New Roman"/>
        </w:rPr>
        <w:t xml:space="preserve">information packs with translated material to refugees arriving into </w:t>
      </w:r>
      <w:r w:rsidR="00ED6C9F">
        <w:rPr>
          <w:rFonts w:eastAsia="Times New Roman"/>
        </w:rPr>
        <w:t>the city</w:t>
      </w:r>
      <w:r w:rsidR="00ED6C9F" w:rsidRPr="00D5126A">
        <w:rPr>
          <w:rFonts w:eastAsia="Times New Roman"/>
        </w:rPr>
        <w:t xml:space="preserve"> </w:t>
      </w:r>
      <w:r w:rsidRPr="00D5126A">
        <w:rPr>
          <w:rFonts w:eastAsia="Times New Roman"/>
        </w:rPr>
        <w:t>in an additional eight languages including Oromo, Tamil, Karen, Tigrinya, Kurdish, Dari, Chin and Somali, and continued our partnership with Red Cross to distribute these to families arriving and settling in Wellington.</w:t>
      </w:r>
    </w:p>
    <w:p w:rsidR="009929A5" w:rsidRDefault="009929A5" w:rsidP="009929A5">
      <w:pPr>
        <w:pStyle w:val="Heading5"/>
      </w:pPr>
      <w:r>
        <w:t>Linden Social Centre</w:t>
      </w:r>
    </w:p>
    <w:p w:rsidR="009929A5" w:rsidRDefault="009929A5" w:rsidP="009929A5">
      <w:r>
        <w:t>The Linden Social Centre was reactivated and staffed in response to locals wanting to rejuvenate their community. Consultation and engagement with the community has resulted in a number of priority initiatives being undertaken including:</w:t>
      </w:r>
    </w:p>
    <w:p w:rsidR="009929A5" w:rsidRPr="009929A5" w:rsidRDefault="009929A5" w:rsidP="002C7BF8">
      <w:pPr>
        <w:pStyle w:val="ListParagraph"/>
        <w:numPr>
          <w:ilvl w:val="0"/>
          <w:numId w:val="59"/>
        </w:numPr>
      </w:pPr>
      <w:r w:rsidRPr="009929A5">
        <w:rPr>
          <w:bCs/>
        </w:rPr>
        <w:t>Beautify Linden</w:t>
      </w:r>
      <w:r w:rsidRPr="009929A5">
        <w:t>: involving the local school children in street art activities, murals, a bike fix-it station and the upgrade of Wall Park</w:t>
      </w:r>
    </w:p>
    <w:p w:rsidR="009929A5" w:rsidRPr="009929A5" w:rsidRDefault="009929A5" w:rsidP="002C7BF8">
      <w:pPr>
        <w:pStyle w:val="ListParagraph"/>
        <w:numPr>
          <w:ilvl w:val="0"/>
          <w:numId w:val="59"/>
        </w:numPr>
      </w:pPr>
      <w:r w:rsidRPr="009929A5">
        <w:rPr>
          <w:bCs/>
        </w:rPr>
        <w:t>Linden Youth</w:t>
      </w:r>
      <w:r w:rsidRPr="009929A5">
        <w:t>: including an after-school programme at Linden School, youth empowerment programmes with Challenge 2000 and Te Awhina Roopu, and a school lunch project</w:t>
      </w:r>
    </w:p>
    <w:p w:rsidR="009929A5" w:rsidRPr="009929A5" w:rsidRDefault="009929A5" w:rsidP="002C7BF8">
      <w:pPr>
        <w:pStyle w:val="ListParagraph"/>
        <w:numPr>
          <w:ilvl w:val="0"/>
          <w:numId w:val="59"/>
        </w:numPr>
      </w:pPr>
      <w:r w:rsidRPr="009929A5">
        <w:rPr>
          <w:bCs/>
        </w:rPr>
        <w:lastRenderedPageBreak/>
        <w:t>Linden Health and Well-being</w:t>
      </w:r>
      <w:r w:rsidRPr="009929A5">
        <w:t>: involving a series of initiatives based on the Māori health model of Te Whare Tapa Whā</w:t>
      </w:r>
    </w:p>
    <w:p w:rsidR="00937F93" w:rsidRPr="00D5126A" w:rsidRDefault="00A3111E" w:rsidP="00DE11BC">
      <w:pPr>
        <w:pStyle w:val="Heading5"/>
      </w:pPr>
      <w:r w:rsidRPr="00D5126A">
        <w:rPr>
          <w:rStyle w:val="00Text"/>
          <w:b w:val="0"/>
          <w:bCs w:val="0"/>
        </w:rPr>
        <w:t>City Housing</w:t>
      </w:r>
    </w:p>
    <w:p w:rsidR="00DE11BC" w:rsidRPr="00D5126A" w:rsidRDefault="00DE11BC" w:rsidP="00DE11BC">
      <w:r w:rsidRPr="00D5126A">
        <w:t xml:space="preserve">This year we have worked towards our goal of “All Wellingtonians well-housed” and a key activity has been putting the resources and infrastructure in place for us to undertake a full condition assessment of our 2000unit City Housing portfolio.  This work will allow us to better plan and track the next five years of maintenance for our properties. </w:t>
      </w:r>
    </w:p>
    <w:p w:rsidR="00937F93" w:rsidRPr="00D5126A" w:rsidRDefault="00937F93" w:rsidP="00937F93">
      <w:pPr>
        <w:pStyle w:val="Para003"/>
        <w:spacing w:before="240" w:line="240" w:lineRule="auto"/>
      </w:pPr>
      <w:r w:rsidRPr="00D5126A">
        <w:t xml:space="preserve">In the wake of </w:t>
      </w:r>
      <w:r w:rsidR="0051585F" w:rsidRPr="00D5126A">
        <w:t xml:space="preserve">the Christchurch shootings in March, </w:t>
      </w:r>
      <w:r w:rsidRPr="00D5126A">
        <w:t xml:space="preserve">City Housing worked with Housing </w:t>
      </w:r>
      <w:r w:rsidR="00ED6C9F">
        <w:t>NZ</w:t>
      </w:r>
      <w:r w:rsidRPr="00D5126A">
        <w:t xml:space="preserve"> to run a large Food of Nations event. This event brought together </w:t>
      </w:r>
      <w:r w:rsidR="0051585F" w:rsidRPr="00D5126A">
        <w:t>more than</w:t>
      </w:r>
      <w:r w:rsidRPr="00D5126A">
        <w:t xml:space="preserve"> 100 people from a wide range of backgrounds to celebrate their diverse cultures through food, song and dance.</w:t>
      </w:r>
    </w:p>
    <w:p w:rsidR="00937F93" w:rsidRPr="00D5126A" w:rsidRDefault="0051585F" w:rsidP="00937F93">
      <w:pPr>
        <w:rPr>
          <w:rFonts w:ascii="Arial" w:hAnsi="Arial" w:cs="Arial"/>
          <w:szCs w:val="24"/>
        </w:rPr>
      </w:pPr>
      <w:r w:rsidRPr="00D5126A">
        <w:rPr>
          <w:rFonts w:ascii="Arial" w:hAnsi="Arial" w:cs="Arial"/>
          <w:szCs w:val="24"/>
        </w:rPr>
        <w:t xml:space="preserve">Our apartments at Arlington </w:t>
      </w:r>
      <w:r w:rsidR="005F18FC" w:rsidRPr="00D5126A">
        <w:rPr>
          <w:rFonts w:ascii="Arial" w:hAnsi="Arial" w:cs="Arial"/>
          <w:szCs w:val="24"/>
        </w:rPr>
        <w:t>s</w:t>
      </w:r>
      <w:r w:rsidRPr="00D5126A">
        <w:rPr>
          <w:rFonts w:ascii="Arial" w:hAnsi="Arial" w:cs="Arial"/>
          <w:szCs w:val="24"/>
        </w:rPr>
        <w:t xml:space="preserve">ite 2 were completed and were gifted the name </w:t>
      </w:r>
      <w:r w:rsidR="00937F93" w:rsidRPr="00D5126A">
        <w:rPr>
          <w:rFonts w:ascii="Arial" w:hAnsi="Arial" w:cs="Arial"/>
          <w:szCs w:val="24"/>
        </w:rPr>
        <w:t xml:space="preserve">Te Māra </w:t>
      </w:r>
      <w:r w:rsidRPr="00D5126A">
        <w:rPr>
          <w:rFonts w:ascii="Arial" w:hAnsi="Arial" w:cs="Arial"/>
          <w:szCs w:val="24"/>
        </w:rPr>
        <w:t>from mana whenua. This has added</w:t>
      </w:r>
      <w:r w:rsidR="00937F93" w:rsidRPr="00D5126A">
        <w:rPr>
          <w:rFonts w:ascii="Arial" w:hAnsi="Arial" w:cs="Arial"/>
          <w:szCs w:val="24"/>
        </w:rPr>
        <w:t xml:space="preserve"> 104 units of modern, dry </w:t>
      </w:r>
      <w:r w:rsidRPr="00D5126A">
        <w:rPr>
          <w:rFonts w:ascii="Arial" w:hAnsi="Arial" w:cs="Arial"/>
          <w:szCs w:val="24"/>
        </w:rPr>
        <w:t xml:space="preserve">social </w:t>
      </w:r>
      <w:r w:rsidR="00937F93" w:rsidRPr="00D5126A">
        <w:rPr>
          <w:rFonts w:ascii="Arial" w:hAnsi="Arial" w:cs="Arial"/>
          <w:szCs w:val="24"/>
        </w:rPr>
        <w:t>housin</w:t>
      </w:r>
      <w:r w:rsidRPr="00D5126A">
        <w:rPr>
          <w:rFonts w:ascii="Arial" w:hAnsi="Arial" w:cs="Arial"/>
          <w:szCs w:val="24"/>
        </w:rPr>
        <w:t xml:space="preserve">g for the city, </w:t>
      </w:r>
      <w:r w:rsidR="00937F93" w:rsidRPr="00D5126A">
        <w:rPr>
          <w:rFonts w:ascii="Arial" w:hAnsi="Arial" w:cs="Arial"/>
          <w:szCs w:val="24"/>
        </w:rPr>
        <w:t>where 57 poor quality apartments used to stand.</w:t>
      </w:r>
      <w:r w:rsidRPr="00D5126A">
        <w:rPr>
          <w:rFonts w:ascii="Arial" w:hAnsi="Arial" w:cs="Arial"/>
          <w:szCs w:val="24"/>
        </w:rPr>
        <w:t xml:space="preserve"> </w:t>
      </w:r>
    </w:p>
    <w:p w:rsidR="00937F93" w:rsidRPr="00D5126A" w:rsidRDefault="0051585F" w:rsidP="003631E3">
      <w:pPr>
        <w:pStyle w:val="Heading6"/>
      </w:pPr>
      <w:r w:rsidRPr="00D5126A">
        <w:t>Adapting the way we work</w:t>
      </w:r>
    </w:p>
    <w:p w:rsidR="0051585F" w:rsidRPr="00D5126A" w:rsidRDefault="008019B3" w:rsidP="0051585F">
      <w:r w:rsidRPr="00D5126A">
        <w:t xml:space="preserve">During the year our tenancy services have changed the way they work with our customers to develop better relationships. </w:t>
      </w:r>
      <w:r w:rsidR="005F18FC" w:rsidRPr="00D5126A">
        <w:t>Our tenants told us they wanted one</w:t>
      </w:r>
      <w:r w:rsidR="0051585F" w:rsidRPr="00D5126A">
        <w:t xml:space="preserve"> person they could work with on all aspects of their tenancy. Our team </w:t>
      </w:r>
      <w:r w:rsidRPr="00D5126A">
        <w:t xml:space="preserve">also </w:t>
      </w:r>
      <w:r w:rsidR="0051585F" w:rsidRPr="00D5126A">
        <w:t>told us that they wanted to spend more time in the community with their customers getting to know them and helping them with any problems they had.</w:t>
      </w:r>
    </w:p>
    <w:p w:rsidR="0051585F" w:rsidRPr="00D5126A" w:rsidRDefault="008019B3" w:rsidP="0051585F">
      <w:r w:rsidRPr="00D5126A">
        <w:t>Under our new tenancy management model, o</w:t>
      </w:r>
      <w:r w:rsidR="0051585F" w:rsidRPr="00D5126A">
        <w:t xml:space="preserve">ur team </w:t>
      </w:r>
      <w:r w:rsidR="005F18FC" w:rsidRPr="00D5126A">
        <w:t>are now divided into</w:t>
      </w:r>
      <w:r w:rsidR="0051585F" w:rsidRPr="00D5126A">
        <w:t xml:space="preserve"> geographical area where they </w:t>
      </w:r>
      <w:r w:rsidR="005F18FC" w:rsidRPr="00D5126A">
        <w:t>are able to get</w:t>
      </w:r>
      <w:r w:rsidR="0051585F" w:rsidRPr="00D5126A">
        <w:t xml:space="preserve"> to know the tenants they serve and work with them on everything from solving neighbour disputes to helping them hold events and BBQs. For the tenants</w:t>
      </w:r>
      <w:r w:rsidR="00ED6C9F">
        <w:t>,</w:t>
      </w:r>
      <w:r w:rsidR="0051585F" w:rsidRPr="00D5126A">
        <w:t xml:space="preserve"> this </w:t>
      </w:r>
      <w:r w:rsidR="005F18FC" w:rsidRPr="00D5126A">
        <w:t>enables them to</w:t>
      </w:r>
      <w:r w:rsidR="0051585F" w:rsidRPr="00D5126A">
        <w:t xml:space="preserve"> build a relationship with someone they kn</w:t>
      </w:r>
      <w:r w:rsidR="005F18FC" w:rsidRPr="00D5126A">
        <w:t>o</w:t>
      </w:r>
      <w:r w:rsidR="0051585F" w:rsidRPr="00D5126A">
        <w:t xml:space="preserve">w, who </w:t>
      </w:r>
      <w:r w:rsidR="005F18FC" w:rsidRPr="00D5126A">
        <w:t>i</w:t>
      </w:r>
      <w:r w:rsidR="0051585F" w:rsidRPr="00D5126A">
        <w:t>s familiar with the area</w:t>
      </w:r>
      <w:r w:rsidRPr="00D5126A">
        <w:t xml:space="preserve"> and the people who live there.</w:t>
      </w:r>
      <w:r w:rsidRPr="00D5126A">
        <w:rPr>
          <w:rFonts w:ascii="Arial" w:hAnsi="Arial" w:cs="Arial"/>
          <w:szCs w:val="24"/>
        </w:rPr>
        <w:t xml:space="preserve"> This model is now in place.</w:t>
      </w:r>
    </w:p>
    <w:p w:rsidR="00B27C37" w:rsidRPr="00750803" w:rsidRDefault="00DF5A99" w:rsidP="00AA2122">
      <w:pPr>
        <w:pStyle w:val="Heading3"/>
        <w:rPr>
          <w:rStyle w:val="00Text"/>
          <w:color w:val="009999"/>
        </w:rPr>
      </w:pPr>
      <w:bookmarkStart w:id="245" w:name="5_3_Hauora_haumaru_tumatanui_Public_heal"/>
      <w:bookmarkStart w:id="246" w:name="_Toc19085845"/>
      <w:r w:rsidRPr="00750803">
        <w:rPr>
          <w:color w:val="009999"/>
        </w:rPr>
        <w:t>5.3 Hauora/haumaru tūmatanui</w:t>
      </w:r>
      <w:r w:rsidR="003A4F70" w:rsidRPr="00750803">
        <w:rPr>
          <w:color w:val="009999"/>
        </w:rPr>
        <w:t xml:space="preserve"> - </w:t>
      </w:r>
      <w:r w:rsidR="00A3111E" w:rsidRPr="00750803">
        <w:rPr>
          <w:rStyle w:val="00Text"/>
          <w:color w:val="009999"/>
        </w:rPr>
        <w:t>Public health and safety</w:t>
      </w:r>
      <w:bookmarkEnd w:id="245"/>
      <w:bookmarkEnd w:id="246"/>
    </w:p>
    <w:p w:rsidR="00B27C37" w:rsidRPr="00750803" w:rsidRDefault="00344669" w:rsidP="00846C1B">
      <w:pPr>
        <w:pStyle w:val="Heading4"/>
        <w:rPr>
          <w:color w:val="009999"/>
        </w:rPr>
      </w:pPr>
      <w:r w:rsidRPr="00750803">
        <w:rPr>
          <w:color w:val="009999"/>
        </w:rPr>
        <w:t>What we did</w:t>
      </w:r>
      <w:r w:rsidR="00DF5A99" w:rsidRPr="00750803">
        <w:rPr>
          <w:color w:val="009999"/>
        </w:rPr>
        <w:t xml:space="preserve"> </w:t>
      </w:r>
    </w:p>
    <w:p w:rsidR="00DF1306" w:rsidRPr="00D5126A" w:rsidRDefault="00DF1306" w:rsidP="00DF1306">
      <w:pPr>
        <w:pStyle w:val="Heading5"/>
      </w:pPr>
      <w:r w:rsidRPr="00D5126A">
        <w:t>Harm reduction</w:t>
      </w:r>
    </w:p>
    <w:p w:rsidR="00DF1306" w:rsidRPr="00D5126A" w:rsidRDefault="00DF1306" w:rsidP="00DF1306">
      <w:pPr>
        <w:rPr>
          <w:rFonts w:eastAsia="Times New Roman"/>
        </w:rPr>
      </w:pPr>
      <w:r w:rsidRPr="00D5126A">
        <w:rPr>
          <w:rFonts w:eastAsia="Times New Roman"/>
        </w:rPr>
        <w:t xml:space="preserve">We have continued to fund key organisations delivering programmes and services that prevent sexual and family violence. These include Wellington Sexual Abuse HELP, the Sexual Abuse Prevention Network and Women’s Refuge. </w:t>
      </w:r>
    </w:p>
    <w:p w:rsidR="00DF1306" w:rsidRPr="00D5126A" w:rsidRDefault="00DF1306" w:rsidP="00DF1306">
      <w:pPr>
        <w:rPr>
          <w:rFonts w:eastAsia="Times New Roman"/>
        </w:rPr>
      </w:pPr>
      <w:r w:rsidRPr="00D5126A">
        <w:rPr>
          <w:rFonts w:eastAsia="Times New Roman"/>
        </w:rPr>
        <w:t xml:space="preserve">In partnership with NZ Police, Victoria University of Wellington Students’ Association (VUWSA), Massey Wellington Students’ Association (MAWSA), the Sexual Abuse Prevention Network, and Hospitality NZ we have continued to support the Don’t Guess the Yes Campaign. The campaign is designed to raise awareness about consent through training of venue staff and a social media campaign to encourage open discussion. </w:t>
      </w:r>
    </w:p>
    <w:p w:rsidR="00DF1306" w:rsidRPr="00D5126A" w:rsidRDefault="00DF1306" w:rsidP="00DF1306">
      <w:pPr>
        <w:rPr>
          <w:rFonts w:eastAsia="Times New Roman"/>
        </w:rPr>
      </w:pPr>
      <w:r w:rsidRPr="00D5126A">
        <w:rPr>
          <w:rFonts w:eastAsia="Times New Roman"/>
        </w:rPr>
        <w:t xml:space="preserve">We also funded the Te Rito Wellington Family Violence Network to bring the global “No More” campaign to Wellington – challenging attitudes about family violence and encouraging those affected to seek assistance.  </w:t>
      </w:r>
    </w:p>
    <w:p w:rsidR="00DF1306" w:rsidRPr="00D5126A" w:rsidRDefault="00DF1306" w:rsidP="00DF1306">
      <w:pPr>
        <w:pStyle w:val="Heading5"/>
      </w:pPr>
      <w:r w:rsidRPr="00D5126A">
        <w:t>CCTV</w:t>
      </w:r>
    </w:p>
    <w:p w:rsidR="00DF1306" w:rsidRPr="00D5126A" w:rsidRDefault="00DF1306" w:rsidP="00DF1306">
      <w:pPr>
        <w:rPr>
          <w:rFonts w:eastAsia="Times New Roman"/>
        </w:rPr>
      </w:pPr>
      <w:r w:rsidRPr="00D5126A">
        <w:rPr>
          <w:rFonts w:eastAsia="Times New Roman"/>
        </w:rPr>
        <w:t xml:space="preserve">Our camera network continues to grow as we develop stronger relationships with the police and police volunteers, while expanding the reach of our network into Kilbirnie. Our processes have </w:t>
      </w:r>
      <w:r w:rsidRPr="00D5126A">
        <w:rPr>
          <w:rFonts w:eastAsia="Times New Roman"/>
        </w:rPr>
        <w:lastRenderedPageBreak/>
        <w:t xml:space="preserve">also been streamlined to ensure faster processing of requests and enhancing our commitment improved safety.    </w:t>
      </w:r>
    </w:p>
    <w:p w:rsidR="00DF1306" w:rsidRPr="00D5126A" w:rsidRDefault="00DF1306" w:rsidP="00DF1306">
      <w:pPr>
        <w:pStyle w:val="Heading5"/>
      </w:pPr>
      <w:r w:rsidRPr="00D5126A">
        <w:t xml:space="preserve">Community Safety Plans </w:t>
      </w:r>
    </w:p>
    <w:p w:rsidR="00DF1306" w:rsidRPr="00D5126A" w:rsidRDefault="00DF1306" w:rsidP="00DF1306">
      <w:pPr>
        <w:rPr>
          <w:rFonts w:eastAsia="Times New Roman"/>
        </w:rPr>
      </w:pPr>
      <w:r w:rsidRPr="00D5126A">
        <w:rPr>
          <w:rFonts w:eastAsia="Times New Roman"/>
        </w:rPr>
        <w:t>Through a co-design approach, Community Safety Plans are being developed with the Linden community. Students from Linden Primary School participated in a safety audit of their neighbourhood</w:t>
      </w:r>
      <w:r w:rsidR="00ED6C9F">
        <w:rPr>
          <w:rFonts w:eastAsia="Times New Roman"/>
        </w:rPr>
        <w:t>,</w:t>
      </w:r>
      <w:r w:rsidRPr="00D5126A">
        <w:rPr>
          <w:rFonts w:eastAsia="Times New Roman"/>
        </w:rPr>
        <w:t xml:space="preserve"> which included creating a report based on what they love about their community. We also had excellent feedback around the perceptions of safety in Linden which was followed up with a well-attended Safety Workshop.</w:t>
      </w:r>
    </w:p>
    <w:p w:rsidR="00DF1306" w:rsidRPr="00D5126A" w:rsidRDefault="00DF1306" w:rsidP="00DF1306">
      <w:pPr>
        <w:rPr>
          <w:rFonts w:eastAsia="Times New Roman"/>
        </w:rPr>
      </w:pPr>
      <w:r w:rsidRPr="00D5126A">
        <w:rPr>
          <w:rFonts w:eastAsia="Times New Roman"/>
        </w:rPr>
        <w:t>In partnership with the Kilbirnie BID and community centre are progressing similar pla</w:t>
      </w:r>
      <w:r w:rsidR="00750803">
        <w:rPr>
          <w:rFonts w:eastAsia="Times New Roman"/>
        </w:rPr>
        <w:t xml:space="preserve">ns for </w:t>
      </w:r>
      <w:proofErr w:type="gramStart"/>
      <w:r w:rsidR="00750803">
        <w:rPr>
          <w:rFonts w:eastAsia="Times New Roman"/>
        </w:rPr>
        <w:t>an</w:t>
      </w:r>
      <w:proofErr w:type="gramEnd"/>
      <w:r w:rsidR="00750803">
        <w:rPr>
          <w:rFonts w:eastAsia="Times New Roman"/>
        </w:rPr>
        <w:t xml:space="preserve"> to ensure these are a</w:t>
      </w:r>
      <w:r w:rsidRPr="00D5126A">
        <w:rPr>
          <w:rFonts w:eastAsia="Times New Roman"/>
        </w:rPr>
        <w:t xml:space="preserve"> </w:t>
      </w:r>
      <w:r w:rsidR="00ED6C9F" w:rsidRPr="00D5126A">
        <w:rPr>
          <w:rFonts w:eastAsia="Times New Roman"/>
        </w:rPr>
        <w:t>community</w:t>
      </w:r>
      <w:r w:rsidR="00ED6C9F">
        <w:rPr>
          <w:rFonts w:eastAsia="Times New Roman"/>
        </w:rPr>
        <w:t>-</w:t>
      </w:r>
      <w:r w:rsidRPr="00D5126A">
        <w:rPr>
          <w:rFonts w:eastAsia="Times New Roman"/>
        </w:rPr>
        <w:t>led endeavour. A survey that has been developed specifically for Kilbirne will go out later this year and will help to guide the focus of the Safety Plans.</w:t>
      </w:r>
    </w:p>
    <w:p w:rsidR="00DF1306" w:rsidRPr="00D5126A" w:rsidRDefault="00DF1306" w:rsidP="00DF1306">
      <w:pPr>
        <w:pStyle w:val="Heading5"/>
      </w:pPr>
      <w:r w:rsidRPr="00D5126A">
        <w:t>Food Businesses</w:t>
      </w:r>
    </w:p>
    <w:p w:rsidR="00DF1306" w:rsidRPr="00D5126A" w:rsidRDefault="00DF1306" w:rsidP="00DF1306">
      <w:pPr>
        <w:rPr>
          <w:rFonts w:eastAsia="Times New Roman"/>
        </w:rPr>
      </w:pPr>
      <w:r w:rsidRPr="00D5126A">
        <w:rPr>
          <w:rFonts w:eastAsia="Times New Roman"/>
        </w:rPr>
        <w:t xml:space="preserve">The deadline for all food businesses to be signed up to the Food Act was the end of March 2019. This year marked the end of a three-year transition period from the old legislation.  We met the deadline and are happy that all food businesses understand the requirements of the new Act. </w:t>
      </w:r>
    </w:p>
    <w:p w:rsidR="00DF1306" w:rsidRPr="00D5126A" w:rsidRDefault="00DF1306" w:rsidP="00DF1306">
      <w:pPr>
        <w:pStyle w:val="Heading5"/>
      </w:pPr>
      <w:r w:rsidRPr="00D5126A">
        <w:t xml:space="preserve">Dog Ownership </w:t>
      </w:r>
    </w:p>
    <w:p w:rsidR="00DF1306" w:rsidRPr="00D5126A" w:rsidRDefault="00DF1306" w:rsidP="00DF1306">
      <w:pPr>
        <w:rPr>
          <w:rFonts w:eastAsia="Times New Roman"/>
        </w:rPr>
      </w:pPr>
      <w:r w:rsidRPr="00D5126A">
        <w:rPr>
          <w:rFonts w:eastAsia="Times New Roman"/>
        </w:rPr>
        <w:t xml:space="preserve">We ran more successful in house training courses for responsible dog owners. </w:t>
      </w:r>
      <w:r w:rsidR="00ED6C9F">
        <w:rPr>
          <w:rFonts w:eastAsia="Times New Roman"/>
        </w:rPr>
        <w:t>T</w:t>
      </w:r>
      <w:r w:rsidRPr="00D5126A">
        <w:rPr>
          <w:rFonts w:eastAsia="Times New Roman"/>
        </w:rPr>
        <w:t>o accommodate as many people as possible we held two Saturday sessions</w:t>
      </w:r>
      <w:r w:rsidR="00ED6C9F">
        <w:rPr>
          <w:rFonts w:eastAsia="Times New Roman"/>
        </w:rPr>
        <w:t xml:space="preserve">, </w:t>
      </w:r>
      <w:r w:rsidRPr="00D5126A">
        <w:rPr>
          <w:rFonts w:eastAsia="Times New Roman"/>
        </w:rPr>
        <w:t xml:space="preserve">in Kilbirnie and Churton Park, with a further evening session at Strathmore </w:t>
      </w:r>
      <w:r w:rsidR="00ED6C9F">
        <w:rPr>
          <w:rFonts w:eastAsia="Times New Roman"/>
        </w:rPr>
        <w:t>C</w:t>
      </w:r>
      <w:r w:rsidR="00ED6C9F" w:rsidRPr="00D5126A">
        <w:rPr>
          <w:rFonts w:eastAsia="Times New Roman"/>
        </w:rPr>
        <w:t xml:space="preserve">ommunity </w:t>
      </w:r>
      <w:r w:rsidRPr="00D5126A">
        <w:rPr>
          <w:rFonts w:eastAsia="Times New Roman"/>
        </w:rPr>
        <w:t>Centre.  We set up a dog owners</w:t>
      </w:r>
      <w:r w:rsidR="00ED6C9F">
        <w:rPr>
          <w:rFonts w:eastAsia="Times New Roman"/>
        </w:rPr>
        <w:t>’</w:t>
      </w:r>
      <w:r w:rsidRPr="00D5126A">
        <w:rPr>
          <w:rFonts w:eastAsia="Times New Roman"/>
        </w:rPr>
        <w:t xml:space="preserve"> discussion group and meet quarterly with councillors and representatives from the </w:t>
      </w:r>
      <w:r w:rsidR="00ED6C9F" w:rsidRPr="00D5126A">
        <w:rPr>
          <w:rFonts w:eastAsia="Times New Roman"/>
        </w:rPr>
        <w:t>dog</w:t>
      </w:r>
      <w:r w:rsidR="00ED6C9F">
        <w:rPr>
          <w:rFonts w:eastAsia="Times New Roman"/>
        </w:rPr>
        <w:t>-</w:t>
      </w:r>
      <w:r w:rsidR="00ED6C9F" w:rsidRPr="00D5126A">
        <w:rPr>
          <w:rFonts w:eastAsia="Times New Roman"/>
        </w:rPr>
        <w:t>own</w:t>
      </w:r>
      <w:r w:rsidR="00ED6C9F">
        <w:rPr>
          <w:rFonts w:eastAsia="Times New Roman"/>
        </w:rPr>
        <w:t>er</w:t>
      </w:r>
      <w:r w:rsidR="00ED6C9F" w:rsidRPr="00D5126A">
        <w:rPr>
          <w:rFonts w:eastAsia="Times New Roman"/>
        </w:rPr>
        <w:t xml:space="preserve"> </w:t>
      </w:r>
      <w:r w:rsidRPr="00D5126A">
        <w:rPr>
          <w:rFonts w:eastAsia="Times New Roman"/>
        </w:rPr>
        <w:t>community to discuss several issues.</w:t>
      </w:r>
    </w:p>
    <w:p w:rsidR="00DF1306" w:rsidRPr="00D5126A" w:rsidRDefault="00DF1306" w:rsidP="00DF1306">
      <w:pPr>
        <w:pStyle w:val="Heading5"/>
      </w:pPr>
      <w:r w:rsidRPr="00D5126A">
        <w:t>Alcohol Licensing </w:t>
      </w:r>
    </w:p>
    <w:p w:rsidR="00DF1306" w:rsidRPr="00D5126A" w:rsidRDefault="00DF1306" w:rsidP="00DF1306">
      <w:pPr>
        <w:rPr>
          <w:rFonts w:eastAsia="Times New Roman"/>
        </w:rPr>
      </w:pPr>
      <w:r w:rsidRPr="00D5126A">
        <w:rPr>
          <w:rFonts w:eastAsia="Times New Roman"/>
        </w:rPr>
        <w:t xml:space="preserve">This year we re-recruited our District Licencing Committee (DLC) members for a further </w:t>
      </w:r>
      <w:r w:rsidR="00217FB7">
        <w:rPr>
          <w:rFonts w:eastAsia="Times New Roman"/>
        </w:rPr>
        <w:t>five</w:t>
      </w:r>
      <w:r w:rsidR="00217FB7" w:rsidRPr="00D5126A">
        <w:rPr>
          <w:rFonts w:eastAsia="Times New Roman"/>
        </w:rPr>
        <w:t xml:space="preserve"> </w:t>
      </w:r>
      <w:r w:rsidRPr="00D5126A">
        <w:rPr>
          <w:rFonts w:eastAsia="Times New Roman"/>
        </w:rPr>
        <w:t xml:space="preserve">years.  We increased the number of our Commissioners from </w:t>
      </w:r>
      <w:r w:rsidR="00217FB7">
        <w:rPr>
          <w:rFonts w:eastAsia="Times New Roman"/>
        </w:rPr>
        <w:t>three to four</w:t>
      </w:r>
      <w:r w:rsidRPr="00D5126A">
        <w:rPr>
          <w:rFonts w:eastAsia="Times New Roman"/>
        </w:rPr>
        <w:t xml:space="preserve"> and a new committee member was engaged to replace an existing member who decided to leave.  </w:t>
      </w:r>
    </w:p>
    <w:p w:rsidR="00DF1306" w:rsidRPr="00D5126A" w:rsidRDefault="00DF1306" w:rsidP="00DF1306">
      <w:pPr>
        <w:rPr>
          <w:rFonts w:eastAsia="Times New Roman"/>
        </w:rPr>
      </w:pPr>
      <w:r w:rsidRPr="00D5126A">
        <w:rPr>
          <w:rFonts w:eastAsia="Times New Roman"/>
        </w:rPr>
        <w:t xml:space="preserve">We granted 78 new on-licences and 10 new off-licences. There were no new club licences.  We also issued 697 managers certificates and 284 special licences. </w:t>
      </w:r>
    </w:p>
    <w:p w:rsidR="00C367A0" w:rsidRPr="00D5126A" w:rsidRDefault="00DF1306" w:rsidP="00DF1306">
      <w:pPr>
        <w:rPr>
          <w:rFonts w:eastAsia="Times New Roman"/>
        </w:rPr>
        <w:sectPr w:rsidR="00C367A0" w:rsidRPr="00D5126A" w:rsidSect="00D35437">
          <w:pgSz w:w="11906" w:h="16838"/>
          <w:pgMar w:top="993" w:right="1274" w:bottom="1276" w:left="1276" w:header="709" w:footer="65" w:gutter="0"/>
          <w:cols w:space="708"/>
          <w:docGrid w:linePitch="360"/>
        </w:sectPr>
      </w:pPr>
      <w:r w:rsidRPr="00D5126A">
        <w:rPr>
          <w:rFonts w:eastAsia="Times New Roman"/>
        </w:rPr>
        <w:t xml:space="preserve">We held 17 DLC hearings – 11 for new premises and </w:t>
      </w:r>
      <w:r w:rsidR="00217FB7">
        <w:rPr>
          <w:rFonts w:eastAsia="Times New Roman"/>
        </w:rPr>
        <w:t>six</w:t>
      </w:r>
      <w:r w:rsidR="00217FB7" w:rsidRPr="00D5126A">
        <w:rPr>
          <w:rFonts w:eastAsia="Times New Roman"/>
        </w:rPr>
        <w:t xml:space="preserve"> </w:t>
      </w:r>
      <w:r w:rsidRPr="00D5126A">
        <w:rPr>
          <w:rFonts w:eastAsia="Times New Roman"/>
        </w:rPr>
        <w:t xml:space="preserve">for duty managers. An appeal was made against a decision by DLC relating to the renewal of an off-licence for Capital Liquor – a bottle store in the </w:t>
      </w:r>
      <w:r w:rsidR="00217FB7">
        <w:rPr>
          <w:rFonts w:eastAsia="Times New Roman"/>
        </w:rPr>
        <w:t>central city</w:t>
      </w:r>
      <w:r w:rsidRPr="00D5126A">
        <w:rPr>
          <w:rFonts w:eastAsia="Times New Roman"/>
        </w:rPr>
        <w:t>.  The appeal was against the condition that the store closes at 6pm.  The Alcohol Regulatory Licensing Authority dismissed the appeal and the applicant appealed to the High Court</w:t>
      </w:r>
      <w:r w:rsidR="00217FB7">
        <w:rPr>
          <w:rFonts w:eastAsia="Times New Roman"/>
        </w:rPr>
        <w:t>,</w:t>
      </w:r>
      <w:r w:rsidRPr="00D5126A">
        <w:rPr>
          <w:rFonts w:eastAsia="Times New Roman"/>
        </w:rPr>
        <w:t xml:space="preserve"> which also dismissed the appeal.</w:t>
      </w:r>
    </w:p>
    <w:p w:rsidR="00066652" w:rsidRPr="00750803" w:rsidRDefault="00066652" w:rsidP="00AA2122">
      <w:pPr>
        <w:pStyle w:val="Heading3"/>
        <w:rPr>
          <w:color w:val="009999"/>
        </w:rPr>
      </w:pPr>
      <w:bookmarkStart w:id="247" w:name="_Toc19085846"/>
      <w:r w:rsidRPr="00750803">
        <w:rPr>
          <w:color w:val="009999"/>
        </w:rPr>
        <w:lastRenderedPageBreak/>
        <w:t>Social and recreation finances</w:t>
      </w:r>
      <w:bookmarkEnd w:id="247"/>
    </w:p>
    <w:p w:rsidR="00066652" w:rsidRPr="00D5126A" w:rsidRDefault="00066652" w:rsidP="00066652">
      <w:pPr>
        <w:pStyle w:val="Heading5"/>
      </w:pPr>
      <w:r w:rsidRPr="00D5126A">
        <w:t>How it was funded</w:t>
      </w:r>
    </w:p>
    <w:p w:rsidR="003973F8" w:rsidRPr="00D5126A" w:rsidRDefault="00066652" w:rsidP="003973F8">
      <w:pPr>
        <w:pStyle w:val="Para003"/>
        <w:spacing w:before="240" w:line="240" w:lineRule="auto"/>
        <w:rPr>
          <w:rFonts w:ascii="Arial" w:hAnsi="Arial" w:cs="Arial"/>
        </w:rPr>
      </w:pPr>
      <w:r w:rsidRPr="00D5126A">
        <w:rPr>
          <w:rFonts w:ascii="Arial" w:hAnsi="Arial" w:cs="Arial"/>
        </w:rPr>
        <w:t>Services in this activity area are funded through a mixture of general rates and user charges.</w:t>
      </w:r>
      <w:r w:rsidR="003973F8">
        <w:rPr>
          <w:rFonts w:ascii="Arial" w:hAnsi="Arial" w:cs="Arial"/>
        </w:rPr>
        <w:t xml:space="preserve"> </w:t>
      </w:r>
      <w:r w:rsidR="003973F8" w:rsidRPr="00D5126A">
        <w:rPr>
          <w:rFonts w:ascii="Arial" w:hAnsi="Arial" w:cs="Arial"/>
        </w:rPr>
        <w:t>Detaile</w:t>
      </w:r>
      <w:r w:rsidR="003973F8">
        <w:rPr>
          <w:rFonts w:ascii="Arial" w:hAnsi="Arial" w:cs="Arial"/>
        </w:rPr>
        <w:t xml:space="preserve">d information on funding on pg </w:t>
      </w:r>
      <w:r w:rsidR="00E27622">
        <w:rPr>
          <w:rFonts w:ascii="Arial" w:hAnsi="Arial" w:cs="Arial"/>
        </w:rPr>
        <w:t>328</w:t>
      </w:r>
      <w:r w:rsidR="003973F8" w:rsidRPr="00D5126A">
        <w:rPr>
          <w:rFonts w:ascii="Arial" w:hAnsi="Arial" w:cs="Arial"/>
        </w:rPr>
        <w:t xml:space="preserve"> of </w:t>
      </w:r>
      <w:r w:rsidR="003973F8">
        <w:rPr>
          <w:rFonts w:ascii="Arial" w:hAnsi="Arial" w:cs="Arial"/>
        </w:rPr>
        <w:t xml:space="preserve">Section 5: </w:t>
      </w:r>
      <w:r w:rsidR="003973F8" w:rsidRPr="00D5126A">
        <w:rPr>
          <w:rFonts w:ascii="Arial" w:hAnsi="Arial" w:cs="Arial"/>
        </w:rPr>
        <w:t xml:space="preserve">Financial </w:t>
      </w:r>
      <w:r w:rsidR="003973F8">
        <w:rPr>
          <w:rFonts w:ascii="Arial" w:hAnsi="Arial" w:cs="Arial"/>
        </w:rPr>
        <w:t xml:space="preserve">Statements </w:t>
      </w:r>
      <w:r w:rsidR="003973F8" w:rsidRPr="00D5126A">
        <w:rPr>
          <w:rFonts w:ascii="Arial" w:hAnsi="Arial" w:cs="Arial"/>
        </w:rPr>
        <w:t>section.</w:t>
      </w:r>
    </w:p>
    <w:p w:rsidR="00066652" w:rsidRPr="00750803" w:rsidRDefault="00066652" w:rsidP="00846C1B">
      <w:pPr>
        <w:pStyle w:val="Heading4"/>
        <w:rPr>
          <w:color w:val="009999"/>
        </w:rPr>
      </w:pPr>
      <w:r w:rsidRPr="00750803">
        <w:rPr>
          <w:color w:val="009999"/>
        </w:rPr>
        <w:t>What it cost (operating expenditure $000)</w:t>
      </w:r>
    </w:p>
    <w:tbl>
      <w:tblPr>
        <w:tblW w:w="13907" w:type="dxa"/>
        <w:tblInd w:w="93" w:type="dxa"/>
        <w:tblBorders>
          <w:top w:val="single" w:sz="4" w:space="0" w:color="215868" w:themeColor="accent5" w:themeShade="80"/>
          <w:left w:val="single" w:sz="4" w:space="0" w:color="215868" w:themeColor="accent5" w:themeShade="80"/>
          <w:bottom w:val="single" w:sz="4" w:space="0" w:color="215868" w:themeColor="accent5" w:themeShade="80"/>
          <w:right w:val="single" w:sz="4" w:space="0" w:color="215868" w:themeColor="accent5" w:themeShade="80"/>
          <w:insideH w:val="single" w:sz="4" w:space="0" w:color="215868" w:themeColor="accent5" w:themeShade="80"/>
          <w:insideV w:val="single" w:sz="4" w:space="0" w:color="215868" w:themeColor="accent5" w:themeShade="80"/>
        </w:tblBorders>
        <w:tblLook w:val="04A0" w:firstRow="1" w:lastRow="0" w:firstColumn="1" w:lastColumn="0" w:noHBand="0" w:noVBand="1"/>
      </w:tblPr>
      <w:tblGrid>
        <w:gridCol w:w="4540"/>
        <w:gridCol w:w="1012"/>
        <w:gridCol w:w="1012"/>
        <w:gridCol w:w="1012"/>
        <w:gridCol w:w="1012"/>
        <w:gridCol w:w="1134"/>
        <w:gridCol w:w="4185"/>
      </w:tblGrid>
      <w:tr w:rsidR="00546A26" w:rsidRPr="001244BB" w:rsidTr="00060BB3">
        <w:trPr>
          <w:trHeight w:val="504"/>
        </w:trPr>
        <w:tc>
          <w:tcPr>
            <w:tcW w:w="4540" w:type="dxa"/>
            <w:tcBorders>
              <w:top w:val="single" w:sz="4" w:space="0" w:color="FFFFFF" w:themeColor="background1"/>
              <w:left w:val="nil"/>
              <w:bottom w:val="nil"/>
              <w:right w:val="single" w:sz="4" w:space="0" w:color="FFFFFF" w:themeColor="background1"/>
            </w:tcBorders>
            <w:shd w:val="clear" w:color="auto" w:fill="009999"/>
            <w:noWrap/>
            <w:vAlign w:val="bottom"/>
            <w:hideMark/>
          </w:tcPr>
          <w:p w:rsidR="00546A26" w:rsidRPr="008F0B0E" w:rsidRDefault="001B5165" w:rsidP="001B5165">
            <w:pPr>
              <w:spacing w:after="0" w:line="240" w:lineRule="auto"/>
              <w:rPr>
                <w:rFonts w:ascii="Arial" w:eastAsia="Times New Roman" w:hAnsi="Arial" w:cs="Arial"/>
                <w:color w:val="FFFFFF" w:themeColor="background1"/>
                <w:szCs w:val="24"/>
                <w:lang w:eastAsia="en-NZ"/>
              </w:rPr>
            </w:pPr>
            <w:r>
              <w:rPr>
                <w:rFonts w:ascii="Arial" w:eastAsia="Times New Roman" w:hAnsi="Arial" w:cs="Arial"/>
                <w:b/>
                <w:bCs/>
                <w:color w:val="FFFFFF" w:themeColor="background1"/>
                <w:szCs w:val="24"/>
                <w:lang w:eastAsia="en-NZ"/>
              </w:rPr>
              <w:t>Social and Recreation</w:t>
            </w:r>
          </w:p>
        </w:tc>
        <w:tc>
          <w:tcPr>
            <w:tcW w:w="961" w:type="dxa"/>
            <w:tcBorders>
              <w:top w:val="single" w:sz="4" w:space="0" w:color="FFFFFF" w:themeColor="background1"/>
              <w:left w:val="single" w:sz="4" w:space="0" w:color="FFFFFF" w:themeColor="background1"/>
              <w:bottom w:val="nil"/>
              <w:right w:val="single" w:sz="4" w:space="0" w:color="FFFFFF" w:themeColor="background1"/>
            </w:tcBorders>
            <w:shd w:val="clear" w:color="auto" w:fill="009999"/>
            <w:vAlign w:val="bottom"/>
            <w:hideMark/>
          </w:tcPr>
          <w:p w:rsidR="00546A26" w:rsidRPr="00546A26" w:rsidRDefault="00060BB3" w:rsidP="00060BB3">
            <w:pPr>
              <w:spacing w:after="0" w:line="240" w:lineRule="auto"/>
              <w:jc w:val="center"/>
              <w:rPr>
                <w:rFonts w:ascii="Arial" w:eastAsia="Times New Roman" w:hAnsi="Arial" w:cs="Arial"/>
                <w:b/>
                <w:bCs/>
                <w:color w:val="FFFFFF" w:themeColor="background1"/>
                <w:lang w:eastAsia="en-NZ"/>
              </w:rPr>
            </w:pPr>
            <w:r>
              <w:rPr>
                <w:rFonts w:ascii="Arial" w:eastAsia="Times New Roman" w:hAnsi="Arial" w:cs="Arial"/>
                <w:b/>
                <w:bCs/>
                <w:color w:val="FFFFFF" w:themeColor="background1"/>
                <w:lang w:eastAsia="en-NZ"/>
              </w:rPr>
              <w:t xml:space="preserve">2016/17 </w:t>
            </w:r>
            <w:r>
              <w:rPr>
                <w:rFonts w:ascii="Arial" w:eastAsia="Times New Roman" w:hAnsi="Arial" w:cs="Arial"/>
                <w:b/>
                <w:bCs/>
                <w:color w:val="FFFFFF" w:themeColor="background1"/>
                <w:lang w:eastAsia="en-NZ"/>
              </w:rPr>
              <w:br/>
              <w:t>Actual</w:t>
            </w:r>
          </w:p>
        </w:tc>
        <w:tc>
          <w:tcPr>
            <w:tcW w:w="961" w:type="dxa"/>
            <w:tcBorders>
              <w:top w:val="single" w:sz="4" w:space="0" w:color="FFFFFF" w:themeColor="background1"/>
              <w:left w:val="single" w:sz="4" w:space="0" w:color="FFFFFF" w:themeColor="background1"/>
              <w:bottom w:val="nil"/>
              <w:right w:val="single" w:sz="4" w:space="0" w:color="FFFFFF" w:themeColor="background1"/>
            </w:tcBorders>
            <w:shd w:val="clear" w:color="auto" w:fill="009999"/>
            <w:vAlign w:val="bottom"/>
            <w:hideMark/>
          </w:tcPr>
          <w:p w:rsidR="00546A26" w:rsidRPr="00546A26" w:rsidRDefault="00060BB3" w:rsidP="00060BB3">
            <w:pPr>
              <w:spacing w:after="0" w:line="240" w:lineRule="auto"/>
              <w:jc w:val="center"/>
              <w:rPr>
                <w:rFonts w:ascii="Arial" w:eastAsia="Times New Roman" w:hAnsi="Arial" w:cs="Arial"/>
                <w:b/>
                <w:bCs/>
                <w:color w:val="FFFFFF" w:themeColor="background1"/>
                <w:lang w:eastAsia="en-NZ"/>
              </w:rPr>
            </w:pPr>
            <w:r>
              <w:rPr>
                <w:rFonts w:ascii="Arial" w:eastAsia="Times New Roman" w:hAnsi="Arial" w:cs="Arial"/>
                <w:b/>
                <w:bCs/>
                <w:color w:val="FFFFFF" w:themeColor="background1"/>
                <w:lang w:eastAsia="en-NZ"/>
              </w:rPr>
              <w:t xml:space="preserve">2017/18 </w:t>
            </w:r>
            <w:r>
              <w:rPr>
                <w:rFonts w:ascii="Arial" w:eastAsia="Times New Roman" w:hAnsi="Arial" w:cs="Arial"/>
                <w:b/>
                <w:bCs/>
                <w:color w:val="FFFFFF" w:themeColor="background1"/>
                <w:lang w:eastAsia="en-NZ"/>
              </w:rPr>
              <w:br/>
              <w:t>Actual</w:t>
            </w:r>
          </w:p>
        </w:tc>
        <w:tc>
          <w:tcPr>
            <w:tcW w:w="961" w:type="dxa"/>
            <w:tcBorders>
              <w:top w:val="single" w:sz="4" w:space="0" w:color="FFFFFF" w:themeColor="background1"/>
              <w:left w:val="single" w:sz="4" w:space="0" w:color="FFFFFF" w:themeColor="background1"/>
              <w:bottom w:val="nil"/>
              <w:right w:val="single" w:sz="4" w:space="0" w:color="FFFFFF" w:themeColor="background1"/>
            </w:tcBorders>
            <w:shd w:val="clear" w:color="auto" w:fill="009999"/>
            <w:vAlign w:val="bottom"/>
            <w:hideMark/>
          </w:tcPr>
          <w:p w:rsidR="00546A26" w:rsidRPr="00546A26" w:rsidRDefault="00060BB3" w:rsidP="00060BB3">
            <w:pPr>
              <w:spacing w:after="0" w:line="240" w:lineRule="auto"/>
              <w:jc w:val="center"/>
              <w:rPr>
                <w:rFonts w:ascii="Arial" w:eastAsia="Times New Roman" w:hAnsi="Arial" w:cs="Arial"/>
                <w:b/>
                <w:bCs/>
                <w:color w:val="FFFFFF" w:themeColor="background1"/>
                <w:lang w:eastAsia="en-NZ"/>
              </w:rPr>
            </w:pPr>
            <w:r>
              <w:rPr>
                <w:rFonts w:ascii="Arial" w:eastAsia="Times New Roman" w:hAnsi="Arial" w:cs="Arial"/>
                <w:b/>
                <w:bCs/>
                <w:color w:val="FFFFFF" w:themeColor="background1"/>
                <w:lang w:eastAsia="en-NZ"/>
              </w:rPr>
              <w:t xml:space="preserve">2018/19 </w:t>
            </w:r>
            <w:r>
              <w:rPr>
                <w:rFonts w:ascii="Arial" w:eastAsia="Times New Roman" w:hAnsi="Arial" w:cs="Arial"/>
                <w:b/>
                <w:bCs/>
                <w:color w:val="FFFFFF" w:themeColor="background1"/>
                <w:lang w:eastAsia="en-NZ"/>
              </w:rPr>
              <w:br/>
              <w:t>Actual</w:t>
            </w:r>
          </w:p>
        </w:tc>
        <w:tc>
          <w:tcPr>
            <w:tcW w:w="961" w:type="dxa"/>
            <w:tcBorders>
              <w:top w:val="single" w:sz="4" w:space="0" w:color="FFFFFF" w:themeColor="background1"/>
              <w:left w:val="single" w:sz="4" w:space="0" w:color="FFFFFF" w:themeColor="background1"/>
              <w:bottom w:val="nil"/>
              <w:right w:val="single" w:sz="4" w:space="0" w:color="FFFFFF" w:themeColor="background1"/>
            </w:tcBorders>
            <w:shd w:val="clear" w:color="auto" w:fill="009999"/>
            <w:vAlign w:val="bottom"/>
            <w:hideMark/>
          </w:tcPr>
          <w:p w:rsidR="00546A26" w:rsidRPr="00546A26" w:rsidRDefault="00546A26" w:rsidP="00060BB3">
            <w:pPr>
              <w:spacing w:after="0" w:line="240" w:lineRule="auto"/>
              <w:jc w:val="center"/>
              <w:rPr>
                <w:rFonts w:ascii="Arial" w:eastAsia="Times New Roman" w:hAnsi="Arial" w:cs="Arial"/>
                <w:b/>
                <w:bCs/>
                <w:color w:val="FFFFFF" w:themeColor="background1"/>
                <w:lang w:eastAsia="en-NZ"/>
              </w:rPr>
            </w:pPr>
            <w:r w:rsidRPr="00546A26">
              <w:rPr>
                <w:rFonts w:ascii="Arial" w:eastAsia="Times New Roman" w:hAnsi="Arial" w:cs="Arial"/>
                <w:b/>
                <w:bCs/>
                <w:color w:val="FFFFFF" w:themeColor="background1"/>
                <w:lang w:eastAsia="en-NZ"/>
              </w:rPr>
              <w:t>2018</w:t>
            </w:r>
            <w:r w:rsidR="00060BB3">
              <w:rPr>
                <w:rFonts w:ascii="Arial" w:eastAsia="Times New Roman" w:hAnsi="Arial" w:cs="Arial"/>
                <w:b/>
                <w:bCs/>
                <w:color w:val="FFFFFF" w:themeColor="background1"/>
                <w:lang w:eastAsia="en-NZ"/>
              </w:rPr>
              <w:t>/19</w:t>
            </w:r>
            <w:r w:rsidRPr="00546A26">
              <w:rPr>
                <w:rFonts w:ascii="Arial" w:eastAsia="Times New Roman" w:hAnsi="Arial" w:cs="Arial"/>
                <w:b/>
                <w:bCs/>
                <w:color w:val="FFFFFF" w:themeColor="background1"/>
                <w:lang w:eastAsia="en-NZ"/>
              </w:rPr>
              <w:t xml:space="preserve"> </w:t>
            </w:r>
            <w:r w:rsidR="00060BB3">
              <w:rPr>
                <w:rFonts w:ascii="Arial" w:eastAsia="Times New Roman" w:hAnsi="Arial" w:cs="Arial"/>
                <w:b/>
                <w:bCs/>
                <w:color w:val="FFFFFF" w:themeColor="background1"/>
                <w:lang w:eastAsia="en-NZ"/>
              </w:rPr>
              <w:t>Budget</w:t>
            </w:r>
          </w:p>
        </w:tc>
        <w:tc>
          <w:tcPr>
            <w:tcW w:w="1050" w:type="dxa"/>
            <w:tcBorders>
              <w:top w:val="single" w:sz="4" w:space="0" w:color="FFFFFF" w:themeColor="background1"/>
              <w:left w:val="single" w:sz="4" w:space="0" w:color="FFFFFF" w:themeColor="background1"/>
              <w:bottom w:val="nil"/>
              <w:right w:val="single" w:sz="4" w:space="0" w:color="FFFFFF" w:themeColor="background1"/>
            </w:tcBorders>
            <w:shd w:val="clear" w:color="auto" w:fill="009999"/>
            <w:vAlign w:val="bottom"/>
            <w:hideMark/>
          </w:tcPr>
          <w:p w:rsidR="00546A26" w:rsidRPr="00546A26" w:rsidRDefault="00060BB3" w:rsidP="00060BB3">
            <w:pPr>
              <w:spacing w:after="0" w:line="240" w:lineRule="auto"/>
              <w:jc w:val="center"/>
              <w:rPr>
                <w:rFonts w:ascii="Arial" w:eastAsia="Times New Roman" w:hAnsi="Arial" w:cs="Arial"/>
                <w:b/>
                <w:bCs/>
                <w:color w:val="FFFFFF" w:themeColor="background1"/>
                <w:lang w:eastAsia="en-NZ"/>
              </w:rPr>
            </w:pPr>
            <w:r>
              <w:rPr>
                <w:rFonts w:ascii="Arial" w:eastAsia="Times New Roman" w:hAnsi="Arial" w:cs="Arial"/>
                <w:b/>
                <w:bCs/>
                <w:color w:val="FFFFFF" w:themeColor="background1"/>
                <w:lang w:eastAsia="en-NZ"/>
              </w:rPr>
              <w:t>2018/19 Variance</w:t>
            </w:r>
          </w:p>
        </w:tc>
        <w:tc>
          <w:tcPr>
            <w:tcW w:w="4473" w:type="dxa"/>
            <w:tcBorders>
              <w:top w:val="single" w:sz="4" w:space="0" w:color="FFFFFF" w:themeColor="background1"/>
              <w:left w:val="single" w:sz="4" w:space="0" w:color="FFFFFF" w:themeColor="background1"/>
              <w:bottom w:val="nil"/>
              <w:right w:val="nil"/>
            </w:tcBorders>
            <w:shd w:val="clear" w:color="auto" w:fill="009999"/>
            <w:vAlign w:val="bottom"/>
            <w:hideMark/>
          </w:tcPr>
          <w:p w:rsidR="00546A26" w:rsidRPr="00546A26" w:rsidRDefault="00546A26" w:rsidP="00546A26">
            <w:pPr>
              <w:spacing w:after="0" w:line="240" w:lineRule="auto"/>
              <w:jc w:val="center"/>
              <w:rPr>
                <w:rFonts w:ascii="Arial" w:eastAsia="Times New Roman" w:hAnsi="Arial" w:cs="Arial"/>
                <w:b/>
                <w:bCs/>
                <w:color w:val="FFFFFF" w:themeColor="background1"/>
                <w:lang w:eastAsia="en-NZ"/>
              </w:rPr>
            </w:pPr>
            <w:r w:rsidRPr="00546A26">
              <w:rPr>
                <w:rFonts w:ascii="Arial" w:eastAsia="Times New Roman" w:hAnsi="Arial" w:cs="Arial"/>
                <w:b/>
                <w:bCs/>
                <w:color w:val="FFFFFF" w:themeColor="background1"/>
                <w:lang w:eastAsia="en-NZ"/>
              </w:rPr>
              <w:t>Variance commentary</w:t>
            </w:r>
          </w:p>
        </w:tc>
      </w:tr>
      <w:tr w:rsidR="00546A26" w:rsidRPr="001244BB" w:rsidTr="004106CD">
        <w:trPr>
          <w:trHeight w:val="300"/>
        </w:trPr>
        <w:tc>
          <w:tcPr>
            <w:tcW w:w="13907" w:type="dxa"/>
            <w:gridSpan w:val="7"/>
            <w:tcBorders>
              <w:top w:val="nil"/>
              <w:left w:val="nil"/>
              <w:bottom w:val="nil"/>
              <w:right w:val="nil"/>
            </w:tcBorders>
            <w:shd w:val="clear" w:color="auto" w:fill="DAEEF3" w:themeFill="accent5" w:themeFillTint="33"/>
            <w:noWrap/>
            <w:vAlign w:val="bottom"/>
            <w:hideMark/>
          </w:tcPr>
          <w:p w:rsidR="00546A26" w:rsidRPr="001244BB" w:rsidRDefault="00546A26" w:rsidP="004106CD">
            <w:pPr>
              <w:spacing w:after="0" w:line="240" w:lineRule="auto"/>
              <w:rPr>
                <w:rFonts w:ascii="Arial" w:eastAsia="Times New Roman" w:hAnsi="Arial" w:cs="Arial"/>
                <w:color w:val="000000"/>
                <w:sz w:val="20"/>
                <w:lang w:eastAsia="en-NZ"/>
              </w:rPr>
            </w:pPr>
            <w:r w:rsidRPr="001244BB">
              <w:rPr>
                <w:rFonts w:ascii="Arial" w:eastAsia="Times New Roman" w:hAnsi="Arial" w:cs="Arial"/>
                <w:b/>
                <w:bCs/>
                <w:color w:val="000000"/>
                <w:sz w:val="20"/>
                <w:lang w:eastAsia="en-NZ"/>
              </w:rPr>
              <w:t>5.1 Recreation promotion and support</w:t>
            </w:r>
          </w:p>
        </w:tc>
      </w:tr>
      <w:tr w:rsidR="00546A26" w:rsidRPr="001244BB" w:rsidTr="004106CD">
        <w:trPr>
          <w:trHeight w:val="510"/>
        </w:trPr>
        <w:tc>
          <w:tcPr>
            <w:tcW w:w="4540" w:type="dxa"/>
            <w:tcBorders>
              <w:top w:val="nil"/>
              <w:left w:val="nil"/>
            </w:tcBorders>
            <w:shd w:val="clear" w:color="auto" w:fill="auto"/>
            <w:noWrap/>
            <w:hideMark/>
          </w:tcPr>
          <w:p w:rsidR="00546A26" w:rsidRPr="001244BB" w:rsidRDefault="00546A26" w:rsidP="004106CD">
            <w:pPr>
              <w:spacing w:after="0" w:line="240" w:lineRule="auto"/>
              <w:rPr>
                <w:rFonts w:ascii="Arial" w:eastAsia="Times New Roman" w:hAnsi="Arial" w:cs="Arial"/>
                <w:color w:val="000000"/>
                <w:sz w:val="20"/>
                <w:lang w:eastAsia="en-NZ"/>
              </w:rPr>
            </w:pPr>
            <w:r w:rsidRPr="001244BB">
              <w:rPr>
                <w:rFonts w:ascii="Arial" w:eastAsia="Times New Roman" w:hAnsi="Arial" w:cs="Arial"/>
                <w:color w:val="000000"/>
                <w:sz w:val="20"/>
                <w:lang w:eastAsia="en-NZ"/>
              </w:rPr>
              <w:t>Expenditure</w:t>
            </w:r>
          </w:p>
        </w:tc>
        <w:tc>
          <w:tcPr>
            <w:tcW w:w="961" w:type="dxa"/>
            <w:tcBorders>
              <w:top w:val="nil"/>
            </w:tcBorders>
            <w:shd w:val="clear" w:color="auto" w:fill="auto"/>
            <w:noWrap/>
            <w:hideMark/>
          </w:tcPr>
          <w:p w:rsidR="00546A26" w:rsidRPr="001244BB" w:rsidRDefault="00546A26" w:rsidP="004106CD">
            <w:pPr>
              <w:spacing w:after="0" w:line="240" w:lineRule="auto"/>
              <w:jc w:val="right"/>
              <w:rPr>
                <w:rFonts w:ascii="Arial" w:eastAsia="Times New Roman" w:hAnsi="Arial" w:cs="Arial"/>
                <w:color w:val="000000"/>
                <w:sz w:val="20"/>
                <w:lang w:eastAsia="en-NZ"/>
              </w:rPr>
            </w:pPr>
            <w:r w:rsidRPr="001244BB">
              <w:rPr>
                <w:rFonts w:ascii="Arial" w:eastAsia="Times New Roman" w:hAnsi="Arial" w:cs="Arial"/>
                <w:color w:val="000000"/>
                <w:sz w:val="20"/>
                <w:lang w:eastAsia="en-NZ"/>
              </w:rPr>
              <w:t>38,493</w:t>
            </w:r>
          </w:p>
        </w:tc>
        <w:tc>
          <w:tcPr>
            <w:tcW w:w="961" w:type="dxa"/>
            <w:tcBorders>
              <w:top w:val="nil"/>
            </w:tcBorders>
            <w:shd w:val="clear" w:color="auto" w:fill="auto"/>
            <w:noWrap/>
            <w:hideMark/>
          </w:tcPr>
          <w:p w:rsidR="00546A26" w:rsidRPr="001244BB" w:rsidRDefault="00546A26" w:rsidP="006C5FB5">
            <w:pPr>
              <w:spacing w:after="0" w:line="240" w:lineRule="auto"/>
              <w:jc w:val="right"/>
              <w:rPr>
                <w:rFonts w:ascii="Arial" w:eastAsia="Times New Roman" w:hAnsi="Arial" w:cs="Arial"/>
                <w:color w:val="000000"/>
                <w:sz w:val="20"/>
                <w:lang w:eastAsia="en-NZ"/>
              </w:rPr>
            </w:pPr>
            <w:r w:rsidRPr="001244BB">
              <w:rPr>
                <w:rFonts w:ascii="Arial" w:eastAsia="Times New Roman" w:hAnsi="Arial" w:cs="Arial"/>
                <w:color w:val="000000"/>
                <w:sz w:val="20"/>
                <w:lang w:eastAsia="en-NZ"/>
              </w:rPr>
              <w:t>42,</w:t>
            </w:r>
            <w:r w:rsidR="006C5FB5" w:rsidRPr="001244BB">
              <w:rPr>
                <w:rFonts w:ascii="Arial" w:eastAsia="Times New Roman" w:hAnsi="Arial" w:cs="Arial"/>
                <w:color w:val="000000"/>
                <w:sz w:val="20"/>
                <w:lang w:eastAsia="en-NZ"/>
              </w:rPr>
              <w:t>06</w:t>
            </w:r>
            <w:r w:rsidR="006C5FB5">
              <w:rPr>
                <w:rFonts w:ascii="Arial" w:eastAsia="Times New Roman" w:hAnsi="Arial" w:cs="Arial"/>
                <w:color w:val="000000"/>
                <w:sz w:val="20"/>
                <w:lang w:eastAsia="en-NZ"/>
              </w:rPr>
              <w:t>9</w:t>
            </w:r>
          </w:p>
        </w:tc>
        <w:tc>
          <w:tcPr>
            <w:tcW w:w="961" w:type="dxa"/>
            <w:tcBorders>
              <w:top w:val="nil"/>
            </w:tcBorders>
            <w:shd w:val="clear" w:color="000000" w:fill="E8E8E8"/>
            <w:noWrap/>
            <w:hideMark/>
          </w:tcPr>
          <w:p w:rsidR="00546A26" w:rsidRPr="001244BB" w:rsidRDefault="00546A26" w:rsidP="004106CD">
            <w:pPr>
              <w:spacing w:after="0" w:line="240" w:lineRule="auto"/>
              <w:jc w:val="right"/>
              <w:rPr>
                <w:rFonts w:ascii="Arial" w:eastAsia="Times New Roman" w:hAnsi="Arial" w:cs="Arial"/>
                <w:color w:val="000000"/>
                <w:sz w:val="20"/>
                <w:lang w:eastAsia="en-NZ"/>
              </w:rPr>
            </w:pPr>
            <w:r w:rsidRPr="001244BB">
              <w:rPr>
                <w:rFonts w:ascii="Arial" w:eastAsia="Times New Roman" w:hAnsi="Arial" w:cs="Arial"/>
                <w:color w:val="000000"/>
                <w:sz w:val="20"/>
                <w:lang w:eastAsia="en-NZ"/>
              </w:rPr>
              <w:t>43,767</w:t>
            </w:r>
          </w:p>
        </w:tc>
        <w:tc>
          <w:tcPr>
            <w:tcW w:w="961" w:type="dxa"/>
            <w:tcBorders>
              <w:top w:val="nil"/>
            </w:tcBorders>
            <w:shd w:val="clear" w:color="000000" w:fill="E8E8E8"/>
            <w:noWrap/>
            <w:hideMark/>
          </w:tcPr>
          <w:p w:rsidR="00546A26" w:rsidRPr="001244BB" w:rsidRDefault="00546A26" w:rsidP="004106CD">
            <w:pPr>
              <w:spacing w:after="0" w:line="240" w:lineRule="auto"/>
              <w:jc w:val="right"/>
              <w:rPr>
                <w:rFonts w:ascii="Arial" w:eastAsia="Times New Roman" w:hAnsi="Arial" w:cs="Arial"/>
                <w:color w:val="000000"/>
                <w:sz w:val="20"/>
                <w:lang w:eastAsia="en-NZ"/>
              </w:rPr>
            </w:pPr>
            <w:r w:rsidRPr="001244BB">
              <w:rPr>
                <w:rFonts w:ascii="Arial" w:eastAsia="Times New Roman" w:hAnsi="Arial" w:cs="Arial"/>
                <w:color w:val="000000"/>
                <w:sz w:val="20"/>
                <w:lang w:eastAsia="en-NZ"/>
              </w:rPr>
              <w:t>42,519</w:t>
            </w:r>
          </w:p>
        </w:tc>
        <w:tc>
          <w:tcPr>
            <w:tcW w:w="1050" w:type="dxa"/>
            <w:tcBorders>
              <w:top w:val="nil"/>
            </w:tcBorders>
            <w:shd w:val="clear" w:color="000000" w:fill="E8E8E8"/>
            <w:noWrap/>
            <w:hideMark/>
          </w:tcPr>
          <w:p w:rsidR="00546A26" w:rsidRPr="001244BB" w:rsidRDefault="00546A26" w:rsidP="004106CD">
            <w:pPr>
              <w:spacing w:after="0" w:line="240" w:lineRule="auto"/>
              <w:jc w:val="right"/>
              <w:rPr>
                <w:rFonts w:ascii="Arial" w:eastAsia="Times New Roman" w:hAnsi="Arial" w:cs="Arial"/>
                <w:color w:val="000000"/>
                <w:sz w:val="20"/>
                <w:lang w:eastAsia="en-NZ"/>
              </w:rPr>
            </w:pPr>
            <w:r w:rsidRPr="001244BB">
              <w:rPr>
                <w:rFonts w:ascii="Arial" w:eastAsia="Times New Roman" w:hAnsi="Arial" w:cs="Arial"/>
                <w:color w:val="000000"/>
                <w:sz w:val="20"/>
                <w:lang w:eastAsia="en-NZ"/>
              </w:rPr>
              <w:t>(1,248)</w:t>
            </w:r>
          </w:p>
        </w:tc>
        <w:tc>
          <w:tcPr>
            <w:tcW w:w="4473" w:type="dxa"/>
            <w:tcBorders>
              <w:top w:val="nil"/>
              <w:right w:val="nil"/>
            </w:tcBorders>
            <w:shd w:val="clear" w:color="auto" w:fill="auto"/>
            <w:vAlign w:val="bottom"/>
            <w:hideMark/>
          </w:tcPr>
          <w:p w:rsidR="00546A26" w:rsidRPr="001244BB" w:rsidRDefault="00546A26" w:rsidP="004106CD">
            <w:pPr>
              <w:spacing w:after="0" w:line="240" w:lineRule="auto"/>
              <w:rPr>
                <w:rFonts w:ascii="Arial" w:eastAsia="Times New Roman" w:hAnsi="Arial" w:cs="Arial"/>
                <w:color w:val="000000"/>
                <w:sz w:val="20"/>
                <w:lang w:eastAsia="en-NZ"/>
              </w:rPr>
            </w:pPr>
            <w:r w:rsidRPr="001244BB">
              <w:rPr>
                <w:rFonts w:ascii="Arial" w:eastAsia="Times New Roman" w:hAnsi="Arial" w:cs="Arial"/>
                <w:color w:val="000000"/>
                <w:sz w:val="20"/>
                <w:lang w:eastAsia="en-NZ"/>
              </w:rPr>
              <w:t>Predominantly in relation to increased depreciation due to property revaluations</w:t>
            </w:r>
          </w:p>
        </w:tc>
      </w:tr>
      <w:tr w:rsidR="00546A26" w:rsidRPr="001244BB" w:rsidTr="004106CD">
        <w:trPr>
          <w:trHeight w:val="300"/>
        </w:trPr>
        <w:tc>
          <w:tcPr>
            <w:tcW w:w="4540" w:type="dxa"/>
            <w:tcBorders>
              <w:left w:val="nil"/>
            </w:tcBorders>
            <w:shd w:val="clear" w:color="auto" w:fill="auto"/>
            <w:noWrap/>
            <w:hideMark/>
          </w:tcPr>
          <w:p w:rsidR="00546A26" w:rsidRPr="001244BB" w:rsidRDefault="00546A26" w:rsidP="004106CD">
            <w:pPr>
              <w:spacing w:after="0" w:line="240" w:lineRule="auto"/>
              <w:rPr>
                <w:rFonts w:ascii="Arial" w:eastAsia="Times New Roman" w:hAnsi="Arial" w:cs="Arial"/>
                <w:color w:val="000000"/>
                <w:sz w:val="20"/>
                <w:lang w:eastAsia="en-NZ"/>
              </w:rPr>
            </w:pPr>
            <w:r w:rsidRPr="001244BB">
              <w:rPr>
                <w:rFonts w:ascii="Arial" w:eastAsia="Times New Roman" w:hAnsi="Arial" w:cs="Arial"/>
                <w:color w:val="000000"/>
                <w:sz w:val="20"/>
                <w:lang w:eastAsia="en-NZ"/>
              </w:rPr>
              <w:t>Revenue</w:t>
            </w:r>
          </w:p>
        </w:tc>
        <w:tc>
          <w:tcPr>
            <w:tcW w:w="961" w:type="dxa"/>
            <w:shd w:val="clear" w:color="auto" w:fill="auto"/>
            <w:noWrap/>
            <w:hideMark/>
          </w:tcPr>
          <w:p w:rsidR="00546A26" w:rsidRPr="001244BB" w:rsidRDefault="00546A26" w:rsidP="004106CD">
            <w:pPr>
              <w:spacing w:after="0" w:line="240" w:lineRule="auto"/>
              <w:jc w:val="right"/>
              <w:rPr>
                <w:rFonts w:ascii="Arial" w:eastAsia="Times New Roman" w:hAnsi="Arial" w:cs="Arial"/>
                <w:color w:val="000000"/>
                <w:sz w:val="20"/>
                <w:lang w:eastAsia="en-NZ"/>
              </w:rPr>
            </w:pPr>
            <w:r w:rsidRPr="001244BB">
              <w:rPr>
                <w:rFonts w:ascii="Arial" w:eastAsia="Times New Roman" w:hAnsi="Arial" w:cs="Arial"/>
                <w:color w:val="000000"/>
                <w:sz w:val="20"/>
                <w:lang w:eastAsia="en-NZ"/>
              </w:rPr>
              <w:t>(11,831)</w:t>
            </w:r>
          </w:p>
        </w:tc>
        <w:tc>
          <w:tcPr>
            <w:tcW w:w="961" w:type="dxa"/>
            <w:shd w:val="clear" w:color="auto" w:fill="auto"/>
            <w:noWrap/>
            <w:hideMark/>
          </w:tcPr>
          <w:p w:rsidR="00546A26" w:rsidRPr="001244BB" w:rsidRDefault="00546A26" w:rsidP="006C5FB5">
            <w:pPr>
              <w:spacing w:after="0" w:line="240" w:lineRule="auto"/>
              <w:jc w:val="right"/>
              <w:rPr>
                <w:rFonts w:ascii="Arial" w:eastAsia="Times New Roman" w:hAnsi="Arial" w:cs="Arial"/>
                <w:color w:val="000000"/>
                <w:sz w:val="20"/>
                <w:lang w:eastAsia="en-NZ"/>
              </w:rPr>
            </w:pPr>
            <w:r w:rsidRPr="001244BB">
              <w:rPr>
                <w:rFonts w:ascii="Arial" w:eastAsia="Times New Roman" w:hAnsi="Arial" w:cs="Arial"/>
                <w:color w:val="000000"/>
                <w:sz w:val="20"/>
                <w:lang w:eastAsia="en-NZ"/>
              </w:rPr>
              <w:t>(11,</w:t>
            </w:r>
            <w:r w:rsidR="006C5FB5" w:rsidRPr="001244BB">
              <w:rPr>
                <w:rFonts w:ascii="Arial" w:eastAsia="Times New Roman" w:hAnsi="Arial" w:cs="Arial"/>
                <w:color w:val="000000"/>
                <w:sz w:val="20"/>
                <w:lang w:eastAsia="en-NZ"/>
              </w:rPr>
              <w:t>71</w:t>
            </w:r>
            <w:r w:rsidR="006C5FB5">
              <w:rPr>
                <w:rFonts w:ascii="Arial" w:eastAsia="Times New Roman" w:hAnsi="Arial" w:cs="Arial"/>
                <w:color w:val="000000"/>
                <w:sz w:val="20"/>
                <w:lang w:eastAsia="en-NZ"/>
              </w:rPr>
              <w:t>0</w:t>
            </w:r>
            <w:r w:rsidRPr="001244BB">
              <w:rPr>
                <w:rFonts w:ascii="Arial" w:eastAsia="Times New Roman" w:hAnsi="Arial" w:cs="Arial"/>
                <w:color w:val="000000"/>
                <w:sz w:val="20"/>
                <w:lang w:eastAsia="en-NZ"/>
              </w:rPr>
              <w:t>)</w:t>
            </w:r>
          </w:p>
        </w:tc>
        <w:tc>
          <w:tcPr>
            <w:tcW w:w="961" w:type="dxa"/>
            <w:shd w:val="clear" w:color="000000" w:fill="E8E8E8"/>
            <w:noWrap/>
            <w:hideMark/>
          </w:tcPr>
          <w:p w:rsidR="00546A26" w:rsidRPr="001244BB" w:rsidRDefault="00546A26" w:rsidP="004106CD">
            <w:pPr>
              <w:spacing w:after="0" w:line="240" w:lineRule="auto"/>
              <w:jc w:val="right"/>
              <w:rPr>
                <w:rFonts w:ascii="Arial" w:eastAsia="Times New Roman" w:hAnsi="Arial" w:cs="Arial"/>
                <w:color w:val="000000"/>
                <w:sz w:val="20"/>
                <w:lang w:eastAsia="en-NZ"/>
              </w:rPr>
            </w:pPr>
            <w:r w:rsidRPr="001244BB">
              <w:rPr>
                <w:rFonts w:ascii="Arial" w:eastAsia="Times New Roman" w:hAnsi="Arial" w:cs="Arial"/>
                <w:color w:val="000000"/>
                <w:sz w:val="20"/>
                <w:lang w:eastAsia="en-NZ"/>
              </w:rPr>
              <w:t>(11,980)</w:t>
            </w:r>
          </w:p>
        </w:tc>
        <w:tc>
          <w:tcPr>
            <w:tcW w:w="961" w:type="dxa"/>
            <w:shd w:val="clear" w:color="000000" w:fill="E8E8E8"/>
            <w:noWrap/>
            <w:hideMark/>
          </w:tcPr>
          <w:p w:rsidR="00546A26" w:rsidRPr="001244BB" w:rsidRDefault="00546A26" w:rsidP="004106CD">
            <w:pPr>
              <w:spacing w:after="0" w:line="240" w:lineRule="auto"/>
              <w:jc w:val="right"/>
              <w:rPr>
                <w:rFonts w:ascii="Arial" w:eastAsia="Times New Roman" w:hAnsi="Arial" w:cs="Arial"/>
                <w:color w:val="000000"/>
                <w:sz w:val="20"/>
                <w:lang w:eastAsia="en-NZ"/>
              </w:rPr>
            </w:pPr>
            <w:r w:rsidRPr="001244BB">
              <w:rPr>
                <w:rFonts w:ascii="Arial" w:eastAsia="Times New Roman" w:hAnsi="Arial" w:cs="Arial"/>
                <w:color w:val="000000"/>
                <w:sz w:val="20"/>
                <w:lang w:eastAsia="en-NZ"/>
              </w:rPr>
              <w:t>(11,741)</w:t>
            </w:r>
          </w:p>
        </w:tc>
        <w:tc>
          <w:tcPr>
            <w:tcW w:w="1050" w:type="dxa"/>
            <w:shd w:val="clear" w:color="000000" w:fill="E8E8E8"/>
            <w:noWrap/>
            <w:hideMark/>
          </w:tcPr>
          <w:p w:rsidR="00546A26" w:rsidRPr="001244BB" w:rsidRDefault="00546A26" w:rsidP="004106CD">
            <w:pPr>
              <w:spacing w:after="0" w:line="240" w:lineRule="auto"/>
              <w:jc w:val="right"/>
              <w:rPr>
                <w:rFonts w:ascii="Arial" w:eastAsia="Times New Roman" w:hAnsi="Arial" w:cs="Arial"/>
                <w:color w:val="000000"/>
                <w:sz w:val="20"/>
                <w:lang w:eastAsia="en-NZ"/>
              </w:rPr>
            </w:pPr>
            <w:r w:rsidRPr="001244BB">
              <w:rPr>
                <w:rFonts w:ascii="Arial" w:eastAsia="Times New Roman" w:hAnsi="Arial" w:cs="Arial"/>
                <w:color w:val="000000"/>
                <w:sz w:val="20"/>
                <w:lang w:eastAsia="en-NZ"/>
              </w:rPr>
              <w:t>239</w:t>
            </w:r>
          </w:p>
        </w:tc>
        <w:tc>
          <w:tcPr>
            <w:tcW w:w="4473" w:type="dxa"/>
            <w:tcBorders>
              <w:right w:val="nil"/>
            </w:tcBorders>
            <w:shd w:val="clear" w:color="auto" w:fill="auto"/>
            <w:vAlign w:val="bottom"/>
            <w:hideMark/>
          </w:tcPr>
          <w:p w:rsidR="00546A26" w:rsidRPr="001244BB" w:rsidRDefault="00546A26" w:rsidP="004106CD">
            <w:pPr>
              <w:spacing w:after="0" w:line="240" w:lineRule="auto"/>
              <w:rPr>
                <w:rFonts w:ascii="Arial" w:eastAsia="Times New Roman" w:hAnsi="Arial" w:cs="Arial"/>
                <w:color w:val="000000"/>
                <w:sz w:val="20"/>
                <w:lang w:eastAsia="en-NZ"/>
              </w:rPr>
            </w:pPr>
          </w:p>
        </w:tc>
      </w:tr>
      <w:tr w:rsidR="00546A26" w:rsidRPr="001244BB" w:rsidTr="004106CD">
        <w:trPr>
          <w:trHeight w:val="300"/>
        </w:trPr>
        <w:tc>
          <w:tcPr>
            <w:tcW w:w="4540" w:type="dxa"/>
            <w:tcBorders>
              <w:left w:val="nil"/>
              <w:bottom w:val="nil"/>
            </w:tcBorders>
            <w:shd w:val="clear" w:color="auto" w:fill="auto"/>
            <w:noWrap/>
            <w:hideMark/>
          </w:tcPr>
          <w:p w:rsidR="00546A26" w:rsidRPr="001244BB" w:rsidRDefault="00546A26" w:rsidP="004106CD">
            <w:pPr>
              <w:spacing w:after="0" w:line="240" w:lineRule="auto"/>
              <w:rPr>
                <w:rFonts w:ascii="Arial" w:eastAsia="Times New Roman" w:hAnsi="Arial" w:cs="Arial"/>
                <w:color w:val="000000"/>
                <w:sz w:val="20"/>
                <w:lang w:eastAsia="en-NZ"/>
              </w:rPr>
            </w:pPr>
            <w:r w:rsidRPr="001244BB">
              <w:rPr>
                <w:rFonts w:ascii="Arial" w:eastAsia="Times New Roman" w:hAnsi="Arial" w:cs="Arial"/>
                <w:color w:val="000000"/>
                <w:sz w:val="20"/>
                <w:lang w:eastAsia="en-NZ"/>
              </w:rPr>
              <w:t>Net Expenditure</w:t>
            </w:r>
          </w:p>
        </w:tc>
        <w:tc>
          <w:tcPr>
            <w:tcW w:w="961" w:type="dxa"/>
            <w:tcBorders>
              <w:bottom w:val="nil"/>
            </w:tcBorders>
            <w:shd w:val="clear" w:color="auto" w:fill="auto"/>
            <w:noWrap/>
            <w:hideMark/>
          </w:tcPr>
          <w:p w:rsidR="00546A26" w:rsidRPr="001244BB" w:rsidRDefault="00546A26" w:rsidP="004106CD">
            <w:pPr>
              <w:spacing w:after="0" w:line="240" w:lineRule="auto"/>
              <w:jc w:val="right"/>
              <w:rPr>
                <w:rFonts w:ascii="Arial" w:eastAsia="Times New Roman" w:hAnsi="Arial" w:cs="Arial"/>
                <w:color w:val="000000"/>
                <w:sz w:val="20"/>
                <w:lang w:eastAsia="en-NZ"/>
              </w:rPr>
            </w:pPr>
            <w:r w:rsidRPr="001244BB">
              <w:rPr>
                <w:rFonts w:ascii="Arial" w:eastAsia="Times New Roman" w:hAnsi="Arial" w:cs="Arial"/>
                <w:color w:val="000000"/>
                <w:sz w:val="20"/>
                <w:lang w:eastAsia="en-NZ"/>
              </w:rPr>
              <w:t>26,662</w:t>
            </w:r>
          </w:p>
        </w:tc>
        <w:tc>
          <w:tcPr>
            <w:tcW w:w="961" w:type="dxa"/>
            <w:tcBorders>
              <w:bottom w:val="nil"/>
            </w:tcBorders>
            <w:shd w:val="clear" w:color="auto" w:fill="auto"/>
            <w:noWrap/>
            <w:hideMark/>
          </w:tcPr>
          <w:p w:rsidR="00546A26" w:rsidRPr="001244BB" w:rsidRDefault="00546A26" w:rsidP="006C5FB5">
            <w:pPr>
              <w:spacing w:after="0" w:line="240" w:lineRule="auto"/>
              <w:jc w:val="right"/>
              <w:rPr>
                <w:rFonts w:ascii="Arial" w:eastAsia="Times New Roman" w:hAnsi="Arial" w:cs="Arial"/>
                <w:color w:val="000000"/>
                <w:sz w:val="20"/>
                <w:lang w:eastAsia="en-NZ"/>
              </w:rPr>
            </w:pPr>
            <w:r w:rsidRPr="001244BB">
              <w:rPr>
                <w:rFonts w:ascii="Arial" w:eastAsia="Times New Roman" w:hAnsi="Arial" w:cs="Arial"/>
                <w:color w:val="000000"/>
                <w:sz w:val="20"/>
                <w:lang w:eastAsia="en-NZ"/>
              </w:rPr>
              <w:t>30,</w:t>
            </w:r>
            <w:r w:rsidR="006C5FB5" w:rsidRPr="001244BB">
              <w:rPr>
                <w:rFonts w:ascii="Arial" w:eastAsia="Times New Roman" w:hAnsi="Arial" w:cs="Arial"/>
                <w:color w:val="000000"/>
                <w:sz w:val="20"/>
                <w:lang w:eastAsia="en-NZ"/>
              </w:rPr>
              <w:t>35</w:t>
            </w:r>
            <w:r w:rsidR="006C5FB5">
              <w:rPr>
                <w:rFonts w:ascii="Arial" w:eastAsia="Times New Roman" w:hAnsi="Arial" w:cs="Arial"/>
                <w:color w:val="000000"/>
                <w:sz w:val="20"/>
                <w:lang w:eastAsia="en-NZ"/>
              </w:rPr>
              <w:t>9</w:t>
            </w:r>
          </w:p>
        </w:tc>
        <w:tc>
          <w:tcPr>
            <w:tcW w:w="961" w:type="dxa"/>
            <w:tcBorders>
              <w:bottom w:val="nil"/>
            </w:tcBorders>
            <w:shd w:val="clear" w:color="000000" w:fill="E8E8E8"/>
            <w:noWrap/>
            <w:hideMark/>
          </w:tcPr>
          <w:p w:rsidR="00546A26" w:rsidRPr="001244BB" w:rsidRDefault="00546A26" w:rsidP="004106CD">
            <w:pPr>
              <w:spacing w:after="0" w:line="240" w:lineRule="auto"/>
              <w:jc w:val="right"/>
              <w:rPr>
                <w:rFonts w:ascii="Arial" w:eastAsia="Times New Roman" w:hAnsi="Arial" w:cs="Arial"/>
                <w:color w:val="000000"/>
                <w:sz w:val="20"/>
                <w:lang w:eastAsia="en-NZ"/>
              </w:rPr>
            </w:pPr>
            <w:r w:rsidRPr="001244BB">
              <w:rPr>
                <w:rFonts w:ascii="Arial" w:eastAsia="Times New Roman" w:hAnsi="Arial" w:cs="Arial"/>
                <w:color w:val="000000"/>
                <w:sz w:val="20"/>
                <w:lang w:eastAsia="en-NZ"/>
              </w:rPr>
              <w:t>31,787</w:t>
            </w:r>
          </w:p>
        </w:tc>
        <w:tc>
          <w:tcPr>
            <w:tcW w:w="961" w:type="dxa"/>
            <w:tcBorders>
              <w:bottom w:val="nil"/>
            </w:tcBorders>
            <w:shd w:val="clear" w:color="000000" w:fill="E8E8E8"/>
            <w:noWrap/>
            <w:hideMark/>
          </w:tcPr>
          <w:p w:rsidR="00546A26" w:rsidRPr="001244BB" w:rsidRDefault="00546A26" w:rsidP="004106CD">
            <w:pPr>
              <w:spacing w:after="0" w:line="240" w:lineRule="auto"/>
              <w:jc w:val="right"/>
              <w:rPr>
                <w:rFonts w:ascii="Arial" w:eastAsia="Times New Roman" w:hAnsi="Arial" w:cs="Arial"/>
                <w:color w:val="000000"/>
                <w:sz w:val="20"/>
                <w:lang w:eastAsia="en-NZ"/>
              </w:rPr>
            </w:pPr>
            <w:r w:rsidRPr="001244BB">
              <w:rPr>
                <w:rFonts w:ascii="Arial" w:eastAsia="Times New Roman" w:hAnsi="Arial" w:cs="Arial"/>
                <w:color w:val="000000"/>
                <w:sz w:val="20"/>
                <w:lang w:eastAsia="en-NZ"/>
              </w:rPr>
              <w:t>30,779</w:t>
            </w:r>
          </w:p>
        </w:tc>
        <w:tc>
          <w:tcPr>
            <w:tcW w:w="1050" w:type="dxa"/>
            <w:tcBorders>
              <w:bottom w:val="nil"/>
            </w:tcBorders>
            <w:shd w:val="clear" w:color="000000" w:fill="E8E8E8"/>
            <w:noWrap/>
            <w:hideMark/>
          </w:tcPr>
          <w:p w:rsidR="00546A26" w:rsidRPr="001244BB" w:rsidRDefault="00546A26" w:rsidP="004106CD">
            <w:pPr>
              <w:spacing w:after="0" w:line="240" w:lineRule="auto"/>
              <w:jc w:val="right"/>
              <w:rPr>
                <w:rFonts w:ascii="Arial" w:eastAsia="Times New Roman" w:hAnsi="Arial" w:cs="Arial"/>
                <w:color w:val="000000"/>
                <w:sz w:val="20"/>
                <w:lang w:eastAsia="en-NZ"/>
              </w:rPr>
            </w:pPr>
            <w:r w:rsidRPr="001244BB">
              <w:rPr>
                <w:rFonts w:ascii="Arial" w:eastAsia="Times New Roman" w:hAnsi="Arial" w:cs="Arial"/>
                <w:color w:val="000000"/>
                <w:sz w:val="20"/>
                <w:lang w:eastAsia="en-NZ"/>
              </w:rPr>
              <w:t>(1,009)</w:t>
            </w:r>
          </w:p>
        </w:tc>
        <w:tc>
          <w:tcPr>
            <w:tcW w:w="4473" w:type="dxa"/>
            <w:tcBorders>
              <w:bottom w:val="nil"/>
              <w:right w:val="nil"/>
            </w:tcBorders>
            <w:shd w:val="clear" w:color="auto" w:fill="auto"/>
            <w:vAlign w:val="bottom"/>
            <w:hideMark/>
          </w:tcPr>
          <w:p w:rsidR="00546A26" w:rsidRPr="001244BB" w:rsidRDefault="00546A26" w:rsidP="004106CD">
            <w:pPr>
              <w:spacing w:after="0" w:line="240" w:lineRule="auto"/>
              <w:rPr>
                <w:rFonts w:ascii="Arial" w:eastAsia="Times New Roman" w:hAnsi="Arial" w:cs="Arial"/>
                <w:color w:val="000000"/>
                <w:sz w:val="20"/>
                <w:lang w:eastAsia="en-NZ"/>
              </w:rPr>
            </w:pPr>
            <w:r w:rsidRPr="001244BB">
              <w:rPr>
                <w:rFonts w:ascii="Arial" w:eastAsia="Times New Roman" w:hAnsi="Arial" w:cs="Arial"/>
                <w:color w:val="000000"/>
                <w:sz w:val="20"/>
                <w:lang w:eastAsia="en-NZ"/>
              </w:rPr>
              <w:t> </w:t>
            </w:r>
          </w:p>
        </w:tc>
      </w:tr>
      <w:tr w:rsidR="00546A26" w:rsidRPr="001244BB" w:rsidTr="004106CD">
        <w:trPr>
          <w:trHeight w:val="300"/>
        </w:trPr>
        <w:tc>
          <w:tcPr>
            <w:tcW w:w="13907" w:type="dxa"/>
            <w:gridSpan w:val="7"/>
            <w:tcBorders>
              <w:top w:val="nil"/>
              <w:left w:val="nil"/>
              <w:bottom w:val="nil"/>
              <w:right w:val="nil"/>
            </w:tcBorders>
            <w:shd w:val="clear" w:color="auto" w:fill="DAEEF3" w:themeFill="accent5" w:themeFillTint="33"/>
            <w:noWrap/>
            <w:vAlign w:val="bottom"/>
            <w:hideMark/>
          </w:tcPr>
          <w:p w:rsidR="00546A26" w:rsidRPr="001244BB" w:rsidRDefault="00546A26" w:rsidP="004106CD">
            <w:pPr>
              <w:spacing w:after="0" w:line="240" w:lineRule="auto"/>
              <w:rPr>
                <w:rFonts w:ascii="Arial" w:eastAsia="Times New Roman" w:hAnsi="Arial" w:cs="Arial"/>
                <w:color w:val="000000"/>
                <w:sz w:val="20"/>
                <w:lang w:eastAsia="en-NZ"/>
              </w:rPr>
            </w:pPr>
            <w:r w:rsidRPr="001244BB">
              <w:rPr>
                <w:rFonts w:ascii="Arial" w:eastAsia="Times New Roman" w:hAnsi="Arial" w:cs="Arial"/>
                <w:b/>
                <w:bCs/>
                <w:color w:val="000000"/>
                <w:sz w:val="20"/>
                <w:lang w:eastAsia="en-NZ"/>
              </w:rPr>
              <w:t>5.2 Community support</w:t>
            </w:r>
          </w:p>
        </w:tc>
      </w:tr>
      <w:tr w:rsidR="00546A26" w:rsidRPr="001244BB" w:rsidTr="004106CD">
        <w:trPr>
          <w:trHeight w:val="300"/>
        </w:trPr>
        <w:tc>
          <w:tcPr>
            <w:tcW w:w="4540" w:type="dxa"/>
            <w:tcBorders>
              <w:top w:val="nil"/>
              <w:left w:val="nil"/>
            </w:tcBorders>
            <w:shd w:val="clear" w:color="auto" w:fill="auto"/>
            <w:noWrap/>
            <w:hideMark/>
          </w:tcPr>
          <w:p w:rsidR="00546A26" w:rsidRPr="001244BB" w:rsidRDefault="00546A26" w:rsidP="004106CD">
            <w:pPr>
              <w:spacing w:after="0" w:line="240" w:lineRule="auto"/>
              <w:rPr>
                <w:rFonts w:ascii="Arial" w:eastAsia="Times New Roman" w:hAnsi="Arial" w:cs="Arial"/>
                <w:color w:val="000000"/>
                <w:sz w:val="20"/>
                <w:lang w:eastAsia="en-NZ"/>
              </w:rPr>
            </w:pPr>
            <w:r w:rsidRPr="001244BB">
              <w:rPr>
                <w:rFonts w:ascii="Arial" w:eastAsia="Times New Roman" w:hAnsi="Arial" w:cs="Arial"/>
                <w:color w:val="000000"/>
                <w:sz w:val="20"/>
                <w:lang w:eastAsia="en-NZ"/>
              </w:rPr>
              <w:t>Expenditure</w:t>
            </w:r>
          </w:p>
        </w:tc>
        <w:tc>
          <w:tcPr>
            <w:tcW w:w="961" w:type="dxa"/>
            <w:tcBorders>
              <w:top w:val="nil"/>
            </w:tcBorders>
            <w:shd w:val="clear" w:color="auto" w:fill="auto"/>
            <w:noWrap/>
            <w:hideMark/>
          </w:tcPr>
          <w:p w:rsidR="00546A26" w:rsidRPr="001244BB" w:rsidRDefault="00546A26" w:rsidP="004106CD">
            <w:pPr>
              <w:spacing w:after="0" w:line="240" w:lineRule="auto"/>
              <w:jc w:val="right"/>
              <w:rPr>
                <w:rFonts w:ascii="Arial" w:eastAsia="Times New Roman" w:hAnsi="Arial" w:cs="Arial"/>
                <w:color w:val="000000"/>
                <w:sz w:val="20"/>
                <w:lang w:eastAsia="en-NZ"/>
              </w:rPr>
            </w:pPr>
            <w:r w:rsidRPr="001244BB">
              <w:rPr>
                <w:rFonts w:ascii="Arial" w:eastAsia="Times New Roman" w:hAnsi="Arial" w:cs="Arial"/>
                <w:color w:val="000000"/>
                <w:sz w:val="20"/>
                <w:lang w:eastAsia="en-NZ"/>
              </w:rPr>
              <w:t>56,009</w:t>
            </w:r>
          </w:p>
        </w:tc>
        <w:tc>
          <w:tcPr>
            <w:tcW w:w="961" w:type="dxa"/>
            <w:tcBorders>
              <w:top w:val="nil"/>
            </w:tcBorders>
            <w:shd w:val="clear" w:color="auto" w:fill="auto"/>
            <w:noWrap/>
            <w:hideMark/>
          </w:tcPr>
          <w:p w:rsidR="00546A26" w:rsidRPr="001244BB" w:rsidRDefault="00546A26" w:rsidP="004106CD">
            <w:pPr>
              <w:spacing w:after="0" w:line="240" w:lineRule="auto"/>
              <w:jc w:val="right"/>
              <w:rPr>
                <w:rFonts w:ascii="Arial" w:eastAsia="Times New Roman" w:hAnsi="Arial" w:cs="Arial"/>
                <w:color w:val="000000"/>
                <w:sz w:val="20"/>
                <w:lang w:eastAsia="en-NZ"/>
              </w:rPr>
            </w:pPr>
            <w:r w:rsidRPr="001244BB">
              <w:rPr>
                <w:rFonts w:ascii="Arial" w:eastAsia="Times New Roman" w:hAnsi="Arial" w:cs="Arial"/>
                <w:color w:val="000000"/>
                <w:sz w:val="20"/>
                <w:lang w:eastAsia="en-NZ"/>
              </w:rPr>
              <w:t>56,751</w:t>
            </w:r>
          </w:p>
        </w:tc>
        <w:tc>
          <w:tcPr>
            <w:tcW w:w="961" w:type="dxa"/>
            <w:tcBorders>
              <w:top w:val="nil"/>
            </w:tcBorders>
            <w:shd w:val="clear" w:color="000000" w:fill="E8E8E8"/>
            <w:noWrap/>
            <w:hideMark/>
          </w:tcPr>
          <w:p w:rsidR="00546A26" w:rsidRPr="001244BB" w:rsidRDefault="00546A26" w:rsidP="004106CD">
            <w:pPr>
              <w:spacing w:after="0" w:line="240" w:lineRule="auto"/>
              <w:jc w:val="right"/>
              <w:rPr>
                <w:rFonts w:ascii="Arial" w:eastAsia="Times New Roman" w:hAnsi="Arial" w:cs="Arial"/>
                <w:color w:val="000000"/>
                <w:sz w:val="20"/>
                <w:lang w:eastAsia="en-NZ"/>
              </w:rPr>
            </w:pPr>
            <w:r w:rsidRPr="001244BB">
              <w:rPr>
                <w:rFonts w:ascii="Arial" w:eastAsia="Times New Roman" w:hAnsi="Arial" w:cs="Arial"/>
                <w:color w:val="000000"/>
                <w:sz w:val="20"/>
                <w:lang w:eastAsia="en-NZ"/>
              </w:rPr>
              <w:t>74,134</w:t>
            </w:r>
          </w:p>
        </w:tc>
        <w:tc>
          <w:tcPr>
            <w:tcW w:w="961" w:type="dxa"/>
            <w:tcBorders>
              <w:top w:val="nil"/>
            </w:tcBorders>
            <w:shd w:val="clear" w:color="000000" w:fill="E8E8E8"/>
            <w:noWrap/>
            <w:hideMark/>
          </w:tcPr>
          <w:p w:rsidR="00546A26" w:rsidRPr="001244BB" w:rsidRDefault="00546A26" w:rsidP="004106CD">
            <w:pPr>
              <w:spacing w:after="0" w:line="240" w:lineRule="auto"/>
              <w:jc w:val="right"/>
              <w:rPr>
                <w:rFonts w:ascii="Arial" w:eastAsia="Times New Roman" w:hAnsi="Arial" w:cs="Arial"/>
                <w:color w:val="000000"/>
                <w:sz w:val="20"/>
                <w:lang w:eastAsia="en-NZ"/>
              </w:rPr>
            </w:pPr>
            <w:r w:rsidRPr="001244BB">
              <w:rPr>
                <w:rFonts w:ascii="Arial" w:eastAsia="Times New Roman" w:hAnsi="Arial" w:cs="Arial"/>
                <w:color w:val="000000"/>
                <w:sz w:val="20"/>
                <w:lang w:eastAsia="en-NZ"/>
              </w:rPr>
              <w:t>61,718</w:t>
            </w:r>
          </w:p>
        </w:tc>
        <w:tc>
          <w:tcPr>
            <w:tcW w:w="1050" w:type="dxa"/>
            <w:tcBorders>
              <w:top w:val="nil"/>
            </w:tcBorders>
            <w:shd w:val="clear" w:color="000000" w:fill="E8E8E8"/>
            <w:noWrap/>
            <w:hideMark/>
          </w:tcPr>
          <w:p w:rsidR="00546A26" w:rsidRPr="001244BB" w:rsidRDefault="00546A26" w:rsidP="004106CD">
            <w:pPr>
              <w:spacing w:after="0" w:line="240" w:lineRule="auto"/>
              <w:jc w:val="right"/>
              <w:rPr>
                <w:rFonts w:ascii="Arial" w:eastAsia="Times New Roman" w:hAnsi="Arial" w:cs="Arial"/>
                <w:color w:val="000000"/>
                <w:sz w:val="20"/>
                <w:lang w:eastAsia="en-NZ"/>
              </w:rPr>
            </w:pPr>
            <w:r w:rsidRPr="001244BB">
              <w:rPr>
                <w:rFonts w:ascii="Arial" w:eastAsia="Times New Roman" w:hAnsi="Arial" w:cs="Arial"/>
                <w:color w:val="000000"/>
                <w:sz w:val="20"/>
                <w:lang w:eastAsia="en-NZ"/>
              </w:rPr>
              <w:t>(12,416)</w:t>
            </w:r>
          </w:p>
        </w:tc>
        <w:tc>
          <w:tcPr>
            <w:tcW w:w="4473" w:type="dxa"/>
            <w:tcBorders>
              <w:top w:val="nil"/>
              <w:right w:val="nil"/>
            </w:tcBorders>
            <w:shd w:val="clear" w:color="auto" w:fill="auto"/>
            <w:vAlign w:val="bottom"/>
            <w:hideMark/>
          </w:tcPr>
          <w:p w:rsidR="00546A26" w:rsidRPr="001244BB" w:rsidRDefault="00552BE4" w:rsidP="00217FB7">
            <w:pPr>
              <w:spacing w:after="0" w:line="240" w:lineRule="auto"/>
              <w:rPr>
                <w:rFonts w:ascii="Arial" w:eastAsia="Times New Roman" w:hAnsi="Arial" w:cs="Arial"/>
                <w:color w:val="000000"/>
                <w:sz w:val="20"/>
                <w:lang w:eastAsia="en-NZ"/>
              </w:rPr>
            </w:pPr>
            <w:r>
              <w:rPr>
                <w:rFonts w:ascii="Arial" w:eastAsia="Times New Roman" w:hAnsi="Arial" w:cs="Arial"/>
                <w:color w:val="000000"/>
                <w:sz w:val="20"/>
                <w:lang w:eastAsia="en-NZ"/>
              </w:rPr>
              <w:t xml:space="preserve">Higher costs associated with enabling the release of Deed of Grant with the Crown in relation to the </w:t>
            </w:r>
            <w:r w:rsidR="00217FB7">
              <w:rPr>
                <w:rFonts w:ascii="Arial" w:eastAsia="Times New Roman" w:hAnsi="Arial" w:cs="Arial"/>
                <w:color w:val="000000"/>
                <w:sz w:val="20"/>
                <w:lang w:eastAsia="en-NZ"/>
              </w:rPr>
              <w:t>long-</w:t>
            </w:r>
            <w:r>
              <w:rPr>
                <w:rFonts w:ascii="Arial" w:eastAsia="Times New Roman" w:hAnsi="Arial" w:cs="Arial"/>
                <w:color w:val="000000"/>
                <w:sz w:val="20"/>
                <w:lang w:eastAsia="en-NZ"/>
              </w:rPr>
              <w:t>term leasing of Arlington sites 1 and 3.</w:t>
            </w:r>
          </w:p>
        </w:tc>
      </w:tr>
      <w:tr w:rsidR="00546A26" w:rsidRPr="001244BB" w:rsidTr="004106CD">
        <w:trPr>
          <w:trHeight w:val="300"/>
        </w:trPr>
        <w:tc>
          <w:tcPr>
            <w:tcW w:w="4540" w:type="dxa"/>
            <w:tcBorders>
              <w:left w:val="nil"/>
            </w:tcBorders>
            <w:shd w:val="clear" w:color="auto" w:fill="auto"/>
            <w:noWrap/>
            <w:hideMark/>
          </w:tcPr>
          <w:p w:rsidR="00546A26" w:rsidRPr="001244BB" w:rsidRDefault="00546A26" w:rsidP="004106CD">
            <w:pPr>
              <w:spacing w:after="0" w:line="240" w:lineRule="auto"/>
              <w:rPr>
                <w:rFonts w:ascii="Arial" w:eastAsia="Times New Roman" w:hAnsi="Arial" w:cs="Arial"/>
                <w:color w:val="000000"/>
                <w:sz w:val="20"/>
                <w:lang w:eastAsia="en-NZ"/>
              </w:rPr>
            </w:pPr>
            <w:r w:rsidRPr="001244BB">
              <w:rPr>
                <w:rFonts w:ascii="Arial" w:eastAsia="Times New Roman" w:hAnsi="Arial" w:cs="Arial"/>
                <w:color w:val="000000"/>
                <w:sz w:val="20"/>
                <w:lang w:eastAsia="en-NZ"/>
              </w:rPr>
              <w:t>Revenue</w:t>
            </w:r>
          </w:p>
        </w:tc>
        <w:tc>
          <w:tcPr>
            <w:tcW w:w="961" w:type="dxa"/>
            <w:shd w:val="clear" w:color="auto" w:fill="auto"/>
            <w:noWrap/>
            <w:hideMark/>
          </w:tcPr>
          <w:p w:rsidR="00546A26" w:rsidRPr="001244BB" w:rsidRDefault="00546A26" w:rsidP="004106CD">
            <w:pPr>
              <w:spacing w:after="0" w:line="240" w:lineRule="auto"/>
              <w:jc w:val="right"/>
              <w:rPr>
                <w:rFonts w:ascii="Arial" w:eastAsia="Times New Roman" w:hAnsi="Arial" w:cs="Arial"/>
                <w:color w:val="000000"/>
                <w:sz w:val="20"/>
                <w:lang w:eastAsia="en-NZ"/>
              </w:rPr>
            </w:pPr>
            <w:r w:rsidRPr="001244BB">
              <w:rPr>
                <w:rFonts w:ascii="Arial" w:eastAsia="Times New Roman" w:hAnsi="Arial" w:cs="Arial"/>
                <w:color w:val="000000"/>
                <w:sz w:val="20"/>
                <w:lang w:eastAsia="en-NZ"/>
              </w:rPr>
              <w:t>(37,315)</w:t>
            </w:r>
          </w:p>
        </w:tc>
        <w:tc>
          <w:tcPr>
            <w:tcW w:w="961" w:type="dxa"/>
            <w:shd w:val="clear" w:color="auto" w:fill="auto"/>
            <w:noWrap/>
            <w:hideMark/>
          </w:tcPr>
          <w:p w:rsidR="00546A26" w:rsidRPr="001244BB" w:rsidRDefault="00546A26" w:rsidP="006C5FB5">
            <w:pPr>
              <w:spacing w:after="0" w:line="240" w:lineRule="auto"/>
              <w:jc w:val="right"/>
              <w:rPr>
                <w:rFonts w:ascii="Arial" w:eastAsia="Times New Roman" w:hAnsi="Arial" w:cs="Arial"/>
                <w:color w:val="000000"/>
                <w:sz w:val="20"/>
                <w:lang w:eastAsia="en-NZ"/>
              </w:rPr>
            </w:pPr>
            <w:r w:rsidRPr="001244BB">
              <w:rPr>
                <w:rFonts w:ascii="Arial" w:eastAsia="Times New Roman" w:hAnsi="Arial" w:cs="Arial"/>
                <w:color w:val="000000"/>
                <w:sz w:val="20"/>
                <w:lang w:eastAsia="en-NZ"/>
              </w:rPr>
              <w:t>(38,</w:t>
            </w:r>
            <w:r w:rsidR="006C5FB5" w:rsidRPr="001244BB">
              <w:rPr>
                <w:rFonts w:ascii="Arial" w:eastAsia="Times New Roman" w:hAnsi="Arial" w:cs="Arial"/>
                <w:color w:val="000000"/>
                <w:sz w:val="20"/>
                <w:lang w:eastAsia="en-NZ"/>
              </w:rPr>
              <w:t>08</w:t>
            </w:r>
            <w:r w:rsidR="006C5FB5">
              <w:rPr>
                <w:rFonts w:ascii="Arial" w:eastAsia="Times New Roman" w:hAnsi="Arial" w:cs="Arial"/>
                <w:color w:val="000000"/>
                <w:sz w:val="20"/>
                <w:lang w:eastAsia="en-NZ"/>
              </w:rPr>
              <w:t>7</w:t>
            </w:r>
            <w:r w:rsidRPr="001244BB">
              <w:rPr>
                <w:rFonts w:ascii="Arial" w:eastAsia="Times New Roman" w:hAnsi="Arial" w:cs="Arial"/>
                <w:color w:val="000000"/>
                <w:sz w:val="20"/>
                <w:lang w:eastAsia="en-NZ"/>
              </w:rPr>
              <w:t>)</w:t>
            </w:r>
          </w:p>
        </w:tc>
        <w:tc>
          <w:tcPr>
            <w:tcW w:w="961" w:type="dxa"/>
            <w:shd w:val="clear" w:color="000000" w:fill="E8E8E8"/>
            <w:noWrap/>
            <w:hideMark/>
          </w:tcPr>
          <w:p w:rsidR="00546A26" w:rsidRPr="001244BB" w:rsidRDefault="00546A26" w:rsidP="004106CD">
            <w:pPr>
              <w:spacing w:after="0" w:line="240" w:lineRule="auto"/>
              <w:jc w:val="right"/>
              <w:rPr>
                <w:rFonts w:ascii="Arial" w:eastAsia="Times New Roman" w:hAnsi="Arial" w:cs="Arial"/>
                <w:color w:val="000000"/>
                <w:sz w:val="20"/>
                <w:lang w:eastAsia="en-NZ"/>
              </w:rPr>
            </w:pPr>
            <w:r w:rsidRPr="001244BB">
              <w:rPr>
                <w:rFonts w:ascii="Arial" w:eastAsia="Times New Roman" w:hAnsi="Arial" w:cs="Arial"/>
                <w:color w:val="000000"/>
                <w:sz w:val="20"/>
                <w:lang w:eastAsia="en-NZ"/>
              </w:rPr>
              <w:t>(24,675)</w:t>
            </w:r>
          </w:p>
        </w:tc>
        <w:tc>
          <w:tcPr>
            <w:tcW w:w="961" w:type="dxa"/>
            <w:shd w:val="clear" w:color="000000" w:fill="E8E8E8"/>
            <w:noWrap/>
            <w:hideMark/>
          </w:tcPr>
          <w:p w:rsidR="00546A26" w:rsidRPr="001244BB" w:rsidRDefault="00546A26" w:rsidP="004106CD">
            <w:pPr>
              <w:spacing w:after="0" w:line="240" w:lineRule="auto"/>
              <w:jc w:val="right"/>
              <w:rPr>
                <w:rFonts w:ascii="Arial" w:eastAsia="Times New Roman" w:hAnsi="Arial" w:cs="Arial"/>
                <w:color w:val="000000"/>
                <w:sz w:val="20"/>
                <w:lang w:eastAsia="en-NZ"/>
              </w:rPr>
            </w:pPr>
            <w:r w:rsidRPr="001244BB">
              <w:rPr>
                <w:rFonts w:ascii="Arial" w:eastAsia="Times New Roman" w:hAnsi="Arial" w:cs="Arial"/>
                <w:color w:val="000000"/>
                <w:sz w:val="20"/>
                <w:lang w:eastAsia="en-NZ"/>
              </w:rPr>
              <w:t>(24,306)</w:t>
            </w:r>
          </w:p>
        </w:tc>
        <w:tc>
          <w:tcPr>
            <w:tcW w:w="1050" w:type="dxa"/>
            <w:shd w:val="clear" w:color="000000" w:fill="E8E8E8"/>
            <w:noWrap/>
            <w:hideMark/>
          </w:tcPr>
          <w:p w:rsidR="00546A26" w:rsidRPr="001244BB" w:rsidRDefault="00546A26" w:rsidP="004106CD">
            <w:pPr>
              <w:spacing w:after="0" w:line="240" w:lineRule="auto"/>
              <w:jc w:val="right"/>
              <w:rPr>
                <w:rFonts w:ascii="Arial" w:eastAsia="Times New Roman" w:hAnsi="Arial" w:cs="Arial"/>
                <w:color w:val="000000"/>
                <w:sz w:val="20"/>
                <w:lang w:eastAsia="en-NZ"/>
              </w:rPr>
            </w:pPr>
            <w:r w:rsidRPr="001244BB">
              <w:rPr>
                <w:rFonts w:ascii="Arial" w:eastAsia="Times New Roman" w:hAnsi="Arial" w:cs="Arial"/>
                <w:color w:val="000000"/>
                <w:sz w:val="20"/>
                <w:lang w:eastAsia="en-NZ"/>
              </w:rPr>
              <w:t>369</w:t>
            </w:r>
          </w:p>
        </w:tc>
        <w:tc>
          <w:tcPr>
            <w:tcW w:w="4473" w:type="dxa"/>
            <w:tcBorders>
              <w:right w:val="nil"/>
            </w:tcBorders>
            <w:shd w:val="clear" w:color="auto" w:fill="auto"/>
            <w:vAlign w:val="bottom"/>
            <w:hideMark/>
          </w:tcPr>
          <w:p w:rsidR="00546A26" w:rsidRPr="001244BB" w:rsidRDefault="00546A26" w:rsidP="004106CD">
            <w:pPr>
              <w:spacing w:after="0" w:line="240" w:lineRule="auto"/>
              <w:rPr>
                <w:rFonts w:ascii="Arial" w:eastAsia="Times New Roman" w:hAnsi="Arial" w:cs="Arial"/>
                <w:color w:val="000000"/>
                <w:sz w:val="20"/>
                <w:lang w:eastAsia="en-NZ"/>
              </w:rPr>
            </w:pPr>
          </w:p>
        </w:tc>
      </w:tr>
      <w:tr w:rsidR="00546A26" w:rsidRPr="001244BB" w:rsidTr="004106CD">
        <w:trPr>
          <w:trHeight w:val="300"/>
        </w:trPr>
        <w:tc>
          <w:tcPr>
            <w:tcW w:w="4540" w:type="dxa"/>
            <w:tcBorders>
              <w:left w:val="nil"/>
              <w:bottom w:val="nil"/>
            </w:tcBorders>
            <w:shd w:val="clear" w:color="auto" w:fill="auto"/>
            <w:noWrap/>
            <w:hideMark/>
          </w:tcPr>
          <w:p w:rsidR="00546A26" w:rsidRPr="001244BB" w:rsidRDefault="00546A26" w:rsidP="004106CD">
            <w:pPr>
              <w:spacing w:after="0" w:line="240" w:lineRule="auto"/>
              <w:rPr>
                <w:rFonts w:ascii="Arial" w:eastAsia="Times New Roman" w:hAnsi="Arial" w:cs="Arial"/>
                <w:color w:val="000000"/>
                <w:sz w:val="20"/>
                <w:lang w:eastAsia="en-NZ"/>
              </w:rPr>
            </w:pPr>
            <w:r w:rsidRPr="001244BB">
              <w:rPr>
                <w:rFonts w:ascii="Arial" w:eastAsia="Times New Roman" w:hAnsi="Arial" w:cs="Arial"/>
                <w:color w:val="000000"/>
                <w:sz w:val="20"/>
                <w:lang w:eastAsia="en-NZ"/>
              </w:rPr>
              <w:t>Net Expenditure</w:t>
            </w:r>
          </w:p>
        </w:tc>
        <w:tc>
          <w:tcPr>
            <w:tcW w:w="961" w:type="dxa"/>
            <w:tcBorders>
              <w:bottom w:val="nil"/>
            </w:tcBorders>
            <w:shd w:val="clear" w:color="auto" w:fill="auto"/>
            <w:noWrap/>
            <w:hideMark/>
          </w:tcPr>
          <w:p w:rsidR="00546A26" w:rsidRPr="001244BB" w:rsidRDefault="00546A26" w:rsidP="004106CD">
            <w:pPr>
              <w:spacing w:after="0" w:line="240" w:lineRule="auto"/>
              <w:jc w:val="right"/>
              <w:rPr>
                <w:rFonts w:ascii="Arial" w:eastAsia="Times New Roman" w:hAnsi="Arial" w:cs="Arial"/>
                <w:color w:val="000000"/>
                <w:sz w:val="20"/>
                <w:lang w:eastAsia="en-NZ"/>
              </w:rPr>
            </w:pPr>
            <w:r w:rsidRPr="001244BB">
              <w:rPr>
                <w:rFonts w:ascii="Arial" w:eastAsia="Times New Roman" w:hAnsi="Arial" w:cs="Arial"/>
                <w:color w:val="000000"/>
                <w:sz w:val="20"/>
                <w:lang w:eastAsia="en-NZ"/>
              </w:rPr>
              <w:t>18,694</w:t>
            </w:r>
          </w:p>
        </w:tc>
        <w:tc>
          <w:tcPr>
            <w:tcW w:w="961" w:type="dxa"/>
            <w:tcBorders>
              <w:bottom w:val="nil"/>
            </w:tcBorders>
            <w:shd w:val="clear" w:color="auto" w:fill="auto"/>
            <w:noWrap/>
            <w:hideMark/>
          </w:tcPr>
          <w:p w:rsidR="00546A26" w:rsidRPr="001244BB" w:rsidRDefault="00546A26" w:rsidP="004106CD">
            <w:pPr>
              <w:spacing w:after="0" w:line="240" w:lineRule="auto"/>
              <w:jc w:val="right"/>
              <w:rPr>
                <w:rFonts w:ascii="Arial" w:eastAsia="Times New Roman" w:hAnsi="Arial" w:cs="Arial"/>
                <w:color w:val="000000"/>
                <w:sz w:val="20"/>
                <w:lang w:eastAsia="en-NZ"/>
              </w:rPr>
            </w:pPr>
            <w:r w:rsidRPr="001244BB">
              <w:rPr>
                <w:rFonts w:ascii="Arial" w:eastAsia="Times New Roman" w:hAnsi="Arial" w:cs="Arial"/>
                <w:color w:val="000000"/>
                <w:sz w:val="20"/>
                <w:lang w:eastAsia="en-NZ"/>
              </w:rPr>
              <w:t>18,664</w:t>
            </w:r>
          </w:p>
        </w:tc>
        <w:tc>
          <w:tcPr>
            <w:tcW w:w="961" w:type="dxa"/>
            <w:tcBorders>
              <w:bottom w:val="nil"/>
            </w:tcBorders>
            <w:shd w:val="clear" w:color="000000" w:fill="E8E8E8"/>
            <w:noWrap/>
            <w:hideMark/>
          </w:tcPr>
          <w:p w:rsidR="00546A26" w:rsidRPr="001244BB" w:rsidRDefault="00546A26" w:rsidP="004106CD">
            <w:pPr>
              <w:spacing w:after="0" w:line="240" w:lineRule="auto"/>
              <w:jc w:val="right"/>
              <w:rPr>
                <w:rFonts w:ascii="Arial" w:eastAsia="Times New Roman" w:hAnsi="Arial" w:cs="Arial"/>
                <w:color w:val="000000"/>
                <w:sz w:val="20"/>
                <w:lang w:eastAsia="en-NZ"/>
              </w:rPr>
            </w:pPr>
            <w:r w:rsidRPr="001244BB">
              <w:rPr>
                <w:rFonts w:ascii="Arial" w:eastAsia="Times New Roman" w:hAnsi="Arial" w:cs="Arial"/>
                <w:color w:val="000000"/>
                <w:sz w:val="20"/>
                <w:lang w:eastAsia="en-NZ"/>
              </w:rPr>
              <w:t>49,459</w:t>
            </w:r>
          </w:p>
        </w:tc>
        <w:tc>
          <w:tcPr>
            <w:tcW w:w="961" w:type="dxa"/>
            <w:tcBorders>
              <w:bottom w:val="nil"/>
            </w:tcBorders>
            <w:shd w:val="clear" w:color="000000" w:fill="E8E8E8"/>
            <w:noWrap/>
            <w:hideMark/>
          </w:tcPr>
          <w:p w:rsidR="00546A26" w:rsidRPr="001244BB" w:rsidRDefault="00546A26" w:rsidP="004106CD">
            <w:pPr>
              <w:spacing w:after="0" w:line="240" w:lineRule="auto"/>
              <w:jc w:val="right"/>
              <w:rPr>
                <w:rFonts w:ascii="Arial" w:eastAsia="Times New Roman" w:hAnsi="Arial" w:cs="Arial"/>
                <w:color w:val="000000"/>
                <w:sz w:val="20"/>
                <w:lang w:eastAsia="en-NZ"/>
              </w:rPr>
            </w:pPr>
            <w:r w:rsidRPr="001244BB">
              <w:rPr>
                <w:rFonts w:ascii="Arial" w:eastAsia="Times New Roman" w:hAnsi="Arial" w:cs="Arial"/>
                <w:color w:val="000000"/>
                <w:sz w:val="20"/>
                <w:lang w:eastAsia="en-NZ"/>
              </w:rPr>
              <w:t>37,412</w:t>
            </w:r>
          </w:p>
        </w:tc>
        <w:tc>
          <w:tcPr>
            <w:tcW w:w="1050" w:type="dxa"/>
            <w:tcBorders>
              <w:bottom w:val="nil"/>
            </w:tcBorders>
            <w:shd w:val="clear" w:color="000000" w:fill="E8E8E8"/>
            <w:noWrap/>
            <w:hideMark/>
          </w:tcPr>
          <w:p w:rsidR="00546A26" w:rsidRPr="001244BB" w:rsidRDefault="00546A26" w:rsidP="004106CD">
            <w:pPr>
              <w:spacing w:after="0" w:line="240" w:lineRule="auto"/>
              <w:jc w:val="right"/>
              <w:rPr>
                <w:rFonts w:ascii="Arial" w:eastAsia="Times New Roman" w:hAnsi="Arial" w:cs="Arial"/>
                <w:color w:val="000000"/>
                <w:sz w:val="20"/>
                <w:lang w:eastAsia="en-NZ"/>
              </w:rPr>
            </w:pPr>
            <w:r w:rsidRPr="001244BB">
              <w:rPr>
                <w:rFonts w:ascii="Arial" w:eastAsia="Times New Roman" w:hAnsi="Arial" w:cs="Arial"/>
                <w:color w:val="000000"/>
                <w:sz w:val="20"/>
                <w:lang w:eastAsia="en-NZ"/>
              </w:rPr>
              <w:t>(12,047)</w:t>
            </w:r>
          </w:p>
        </w:tc>
        <w:tc>
          <w:tcPr>
            <w:tcW w:w="4473" w:type="dxa"/>
            <w:tcBorders>
              <w:bottom w:val="nil"/>
              <w:right w:val="nil"/>
            </w:tcBorders>
            <w:shd w:val="clear" w:color="auto" w:fill="auto"/>
            <w:vAlign w:val="bottom"/>
            <w:hideMark/>
          </w:tcPr>
          <w:p w:rsidR="00546A26" w:rsidRPr="001244BB" w:rsidRDefault="00546A26" w:rsidP="004106CD">
            <w:pPr>
              <w:spacing w:after="0" w:line="240" w:lineRule="auto"/>
              <w:rPr>
                <w:rFonts w:ascii="Arial" w:eastAsia="Times New Roman" w:hAnsi="Arial" w:cs="Arial"/>
                <w:color w:val="000000"/>
                <w:sz w:val="20"/>
                <w:lang w:eastAsia="en-NZ"/>
              </w:rPr>
            </w:pPr>
            <w:r w:rsidRPr="001244BB">
              <w:rPr>
                <w:rFonts w:ascii="Arial" w:eastAsia="Times New Roman" w:hAnsi="Arial" w:cs="Arial"/>
                <w:color w:val="000000"/>
                <w:sz w:val="20"/>
                <w:lang w:eastAsia="en-NZ"/>
              </w:rPr>
              <w:t> </w:t>
            </w:r>
          </w:p>
        </w:tc>
      </w:tr>
      <w:tr w:rsidR="00546A26" w:rsidRPr="001244BB" w:rsidTr="004106CD">
        <w:trPr>
          <w:trHeight w:val="287"/>
        </w:trPr>
        <w:tc>
          <w:tcPr>
            <w:tcW w:w="13907" w:type="dxa"/>
            <w:gridSpan w:val="7"/>
            <w:tcBorders>
              <w:top w:val="nil"/>
              <w:left w:val="nil"/>
              <w:bottom w:val="nil"/>
              <w:right w:val="nil"/>
            </w:tcBorders>
            <w:shd w:val="clear" w:color="auto" w:fill="DAEEF3" w:themeFill="accent5" w:themeFillTint="33"/>
            <w:noWrap/>
            <w:vAlign w:val="bottom"/>
            <w:hideMark/>
          </w:tcPr>
          <w:p w:rsidR="00546A26" w:rsidRPr="001244BB" w:rsidRDefault="00546A26" w:rsidP="004106CD">
            <w:pPr>
              <w:spacing w:after="0" w:line="240" w:lineRule="auto"/>
              <w:rPr>
                <w:rFonts w:ascii="Arial" w:eastAsia="Times New Roman" w:hAnsi="Arial" w:cs="Arial"/>
                <w:color w:val="000000"/>
                <w:sz w:val="20"/>
                <w:lang w:eastAsia="en-NZ"/>
              </w:rPr>
            </w:pPr>
            <w:r w:rsidRPr="001244BB">
              <w:rPr>
                <w:rFonts w:ascii="Arial" w:eastAsia="Times New Roman" w:hAnsi="Arial" w:cs="Arial"/>
                <w:b/>
                <w:bCs/>
                <w:color w:val="000000"/>
                <w:sz w:val="20"/>
                <w:lang w:eastAsia="en-NZ"/>
              </w:rPr>
              <w:t>5.3 Public health and safety</w:t>
            </w:r>
          </w:p>
        </w:tc>
      </w:tr>
      <w:tr w:rsidR="00546A26" w:rsidRPr="001244BB" w:rsidTr="004106CD">
        <w:trPr>
          <w:trHeight w:val="300"/>
        </w:trPr>
        <w:tc>
          <w:tcPr>
            <w:tcW w:w="4540" w:type="dxa"/>
            <w:tcBorders>
              <w:top w:val="nil"/>
              <w:left w:val="nil"/>
            </w:tcBorders>
            <w:shd w:val="clear" w:color="auto" w:fill="auto"/>
            <w:noWrap/>
            <w:hideMark/>
          </w:tcPr>
          <w:p w:rsidR="00546A26" w:rsidRPr="001244BB" w:rsidRDefault="00546A26" w:rsidP="004106CD">
            <w:pPr>
              <w:spacing w:after="0" w:line="240" w:lineRule="auto"/>
              <w:rPr>
                <w:rFonts w:ascii="Arial" w:eastAsia="Times New Roman" w:hAnsi="Arial" w:cs="Arial"/>
                <w:color w:val="000000"/>
                <w:sz w:val="20"/>
                <w:lang w:eastAsia="en-NZ"/>
              </w:rPr>
            </w:pPr>
            <w:r w:rsidRPr="001244BB">
              <w:rPr>
                <w:rFonts w:ascii="Arial" w:eastAsia="Times New Roman" w:hAnsi="Arial" w:cs="Arial"/>
                <w:color w:val="000000"/>
                <w:sz w:val="20"/>
                <w:lang w:eastAsia="en-NZ"/>
              </w:rPr>
              <w:t>Expenditure</w:t>
            </w:r>
          </w:p>
        </w:tc>
        <w:tc>
          <w:tcPr>
            <w:tcW w:w="961" w:type="dxa"/>
            <w:tcBorders>
              <w:top w:val="nil"/>
            </w:tcBorders>
            <w:shd w:val="clear" w:color="auto" w:fill="auto"/>
            <w:noWrap/>
            <w:hideMark/>
          </w:tcPr>
          <w:p w:rsidR="00546A26" w:rsidRPr="001244BB" w:rsidRDefault="00546A26" w:rsidP="004106CD">
            <w:pPr>
              <w:spacing w:after="0" w:line="240" w:lineRule="auto"/>
              <w:jc w:val="right"/>
              <w:rPr>
                <w:rFonts w:ascii="Arial" w:eastAsia="Times New Roman" w:hAnsi="Arial" w:cs="Arial"/>
                <w:color w:val="000000"/>
                <w:sz w:val="20"/>
                <w:lang w:eastAsia="en-NZ"/>
              </w:rPr>
            </w:pPr>
            <w:r w:rsidRPr="001244BB">
              <w:rPr>
                <w:rFonts w:ascii="Arial" w:eastAsia="Times New Roman" w:hAnsi="Arial" w:cs="Arial"/>
                <w:color w:val="000000"/>
                <w:sz w:val="20"/>
                <w:lang w:eastAsia="en-NZ"/>
              </w:rPr>
              <w:t>18,155</w:t>
            </w:r>
          </w:p>
        </w:tc>
        <w:tc>
          <w:tcPr>
            <w:tcW w:w="961" w:type="dxa"/>
            <w:tcBorders>
              <w:top w:val="nil"/>
            </w:tcBorders>
            <w:shd w:val="clear" w:color="auto" w:fill="auto"/>
            <w:noWrap/>
            <w:hideMark/>
          </w:tcPr>
          <w:p w:rsidR="00546A26" w:rsidRPr="001244BB" w:rsidRDefault="00546A26" w:rsidP="006C5FB5">
            <w:pPr>
              <w:spacing w:after="0" w:line="240" w:lineRule="auto"/>
              <w:jc w:val="right"/>
              <w:rPr>
                <w:rFonts w:ascii="Arial" w:eastAsia="Times New Roman" w:hAnsi="Arial" w:cs="Arial"/>
                <w:color w:val="000000"/>
                <w:sz w:val="20"/>
                <w:lang w:eastAsia="en-NZ"/>
              </w:rPr>
            </w:pPr>
            <w:r w:rsidRPr="001244BB">
              <w:rPr>
                <w:rFonts w:ascii="Arial" w:eastAsia="Times New Roman" w:hAnsi="Arial" w:cs="Arial"/>
                <w:color w:val="000000"/>
                <w:sz w:val="20"/>
                <w:lang w:eastAsia="en-NZ"/>
              </w:rPr>
              <w:t>16,</w:t>
            </w:r>
            <w:r w:rsidR="006C5FB5" w:rsidRPr="001244BB">
              <w:rPr>
                <w:rFonts w:ascii="Arial" w:eastAsia="Times New Roman" w:hAnsi="Arial" w:cs="Arial"/>
                <w:color w:val="000000"/>
                <w:sz w:val="20"/>
                <w:lang w:eastAsia="en-NZ"/>
              </w:rPr>
              <w:t>53</w:t>
            </w:r>
            <w:r w:rsidR="006C5FB5">
              <w:rPr>
                <w:rFonts w:ascii="Arial" w:eastAsia="Times New Roman" w:hAnsi="Arial" w:cs="Arial"/>
                <w:color w:val="000000"/>
                <w:sz w:val="20"/>
                <w:lang w:eastAsia="en-NZ"/>
              </w:rPr>
              <w:t>8</w:t>
            </w:r>
          </w:p>
        </w:tc>
        <w:tc>
          <w:tcPr>
            <w:tcW w:w="961" w:type="dxa"/>
            <w:tcBorders>
              <w:top w:val="nil"/>
            </w:tcBorders>
            <w:shd w:val="clear" w:color="000000" w:fill="E8E8E8"/>
            <w:noWrap/>
            <w:hideMark/>
          </w:tcPr>
          <w:p w:rsidR="00546A26" w:rsidRPr="001244BB" w:rsidRDefault="00546A26" w:rsidP="004106CD">
            <w:pPr>
              <w:spacing w:after="0" w:line="240" w:lineRule="auto"/>
              <w:jc w:val="right"/>
              <w:rPr>
                <w:rFonts w:ascii="Arial" w:eastAsia="Times New Roman" w:hAnsi="Arial" w:cs="Arial"/>
                <w:color w:val="000000"/>
                <w:sz w:val="20"/>
                <w:lang w:eastAsia="en-NZ"/>
              </w:rPr>
            </w:pPr>
            <w:r w:rsidRPr="001244BB">
              <w:rPr>
                <w:rFonts w:ascii="Arial" w:eastAsia="Times New Roman" w:hAnsi="Arial" w:cs="Arial"/>
                <w:color w:val="000000"/>
                <w:sz w:val="20"/>
                <w:lang w:eastAsia="en-NZ"/>
              </w:rPr>
              <w:t>16,816</w:t>
            </w:r>
          </w:p>
        </w:tc>
        <w:tc>
          <w:tcPr>
            <w:tcW w:w="961" w:type="dxa"/>
            <w:tcBorders>
              <w:top w:val="nil"/>
            </w:tcBorders>
            <w:shd w:val="clear" w:color="000000" w:fill="E8E8E8"/>
            <w:noWrap/>
            <w:hideMark/>
          </w:tcPr>
          <w:p w:rsidR="00546A26" w:rsidRPr="001244BB" w:rsidRDefault="00546A26" w:rsidP="004106CD">
            <w:pPr>
              <w:spacing w:after="0" w:line="240" w:lineRule="auto"/>
              <w:jc w:val="right"/>
              <w:rPr>
                <w:rFonts w:ascii="Arial" w:eastAsia="Times New Roman" w:hAnsi="Arial" w:cs="Arial"/>
                <w:color w:val="000000"/>
                <w:sz w:val="20"/>
                <w:lang w:eastAsia="en-NZ"/>
              </w:rPr>
            </w:pPr>
            <w:r w:rsidRPr="001244BB">
              <w:rPr>
                <w:rFonts w:ascii="Arial" w:eastAsia="Times New Roman" w:hAnsi="Arial" w:cs="Arial"/>
                <w:color w:val="000000"/>
                <w:sz w:val="20"/>
                <w:lang w:eastAsia="en-NZ"/>
              </w:rPr>
              <w:t>16,766</w:t>
            </w:r>
          </w:p>
        </w:tc>
        <w:tc>
          <w:tcPr>
            <w:tcW w:w="1050" w:type="dxa"/>
            <w:tcBorders>
              <w:top w:val="nil"/>
            </w:tcBorders>
            <w:shd w:val="clear" w:color="000000" w:fill="E8E8E8"/>
            <w:noWrap/>
            <w:hideMark/>
          </w:tcPr>
          <w:p w:rsidR="00546A26" w:rsidRPr="001244BB" w:rsidRDefault="00546A26" w:rsidP="004106CD">
            <w:pPr>
              <w:spacing w:after="0" w:line="240" w:lineRule="auto"/>
              <w:jc w:val="right"/>
              <w:rPr>
                <w:rFonts w:ascii="Arial" w:eastAsia="Times New Roman" w:hAnsi="Arial" w:cs="Arial"/>
                <w:color w:val="000000"/>
                <w:sz w:val="20"/>
                <w:lang w:eastAsia="en-NZ"/>
              </w:rPr>
            </w:pPr>
            <w:r w:rsidRPr="001244BB">
              <w:rPr>
                <w:rFonts w:ascii="Arial" w:eastAsia="Times New Roman" w:hAnsi="Arial" w:cs="Arial"/>
                <w:color w:val="000000"/>
                <w:sz w:val="20"/>
                <w:lang w:eastAsia="en-NZ"/>
              </w:rPr>
              <w:t>(49)</w:t>
            </w:r>
          </w:p>
        </w:tc>
        <w:tc>
          <w:tcPr>
            <w:tcW w:w="4473" w:type="dxa"/>
            <w:tcBorders>
              <w:top w:val="nil"/>
              <w:right w:val="nil"/>
            </w:tcBorders>
            <w:shd w:val="clear" w:color="auto" w:fill="auto"/>
            <w:vAlign w:val="bottom"/>
            <w:hideMark/>
          </w:tcPr>
          <w:p w:rsidR="00546A26" w:rsidRPr="001244BB" w:rsidRDefault="00546A26" w:rsidP="004106CD">
            <w:pPr>
              <w:spacing w:after="0" w:line="240" w:lineRule="auto"/>
              <w:rPr>
                <w:rFonts w:ascii="Arial" w:eastAsia="Times New Roman" w:hAnsi="Arial" w:cs="Arial"/>
                <w:color w:val="000000"/>
                <w:sz w:val="20"/>
                <w:lang w:eastAsia="en-NZ"/>
              </w:rPr>
            </w:pPr>
          </w:p>
        </w:tc>
      </w:tr>
      <w:tr w:rsidR="00546A26" w:rsidRPr="001244BB" w:rsidTr="004106CD">
        <w:trPr>
          <w:trHeight w:val="300"/>
        </w:trPr>
        <w:tc>
          <w:tcPr>
            <w:tcW w:w="4540" w:type="dxa"/>
            <w:tcBorders>
              <w:left w:val="nil"/>
            </w:tcBorders>
            <w:shd w:val="clear" w:color="auto" w:fill="auto"/>
            <w:noWrap/>
            <w:hideMark/>
          </w:tcPr>
          <w:p w:rsidR="00546A26" w:rsidRPr="001244BB" w:rsidRDefault="00546A26" w:rsidP="004106CD">
            <w:pPr>
              <w:spacing w:after="0" w:line="240" w:lineRule="auto"/>
              <w:rPr>
                <w:rFonts w:ascii="Arial" w:eastAsia="Times New Roman" w:hAnsi="Arial" w:cs="Arial"/>
                <w:color w:val="000000"/>
                <w:sz w:val="20"/>
                <w:lang w:eastAsia="en-NZ"/>
              </w:rPr>
            </w:pPr>
            <w:r w:rsidRPr="001244BB">
              <w:rPr>
                <w:rFonts w:ascii="Arial" w:eastAsia="Times New Roman" w:hAnsi="Arial" w:cs="Arial"/>
                <w:color w:val="000000"/>
                <w:sz w:val="20"/>
                <w:lang w:eastAsia="en-NZ"/>
              </w:rPr>
              <w:t>Revenue</w:t>
            </w:r>
          </w:p>
        </w:tc>
        <w:tc>
          <w:tcPr>
            <w:tcW w:w="961" w:type="dxa"/>
            <w:shd w:val="clear" w:color="auto" w:fill="auto"/>
            <w:noWrap/>
            <w:hideMark/>
          </w:tcPr>
          <w:p w:rsidR="00546A26" w:rsidRPr="001244BB" w:rsidRDefault="00546A26" w:rsidP="004106CD">
            <w:pPr>
              <w:spacing w:after="0" w:line="240" w:lineRule="auto"/>
              <w:jc w:val="right"/>
              <w:rPr>
                <w:rFonts w:ascii="Arial" w:eastAsia="Times New Roman" w:hAnsi="Arial" w:cs="Arial"/>
                <w:color w:val="000000"/>
                <w:sz w:val="20"/>
                <w:lang w:eastAsia="en-NZ"/>
              </w:rPr>
            </w:pPr>
            <w:r w:rsidRPr="001244BB">
              <w:rPr>
                <w:rFonts w:ascii="Arial" w:eastAsia="Times New Roman" w:hAnsi="Arial" w:cs="Arial"/>
                <w:color w:val="000000"/>
                <w:sz w:val="20"/>
                <w:lang w:eastAsia="en-NZ"/>
              </w:rPr>
              <w:t>(6,453)</w:t>
            </w:r>
          </w:p>
        </w:tc>
        <w:tc>
          <w:tcPr>
            <w:tcW w:w="961" w:type="dxa"/>
            <w:shd w:val="clear" w:color="auto" w:fill="auto"/>
            <w:noWrap/>
            <w:hideMark/>
          </w:tcPr>
          <w:p w:rsidR="00546A26" w:rsidRPr="001244BB" w:rsidRDefault="00546A26" w:rsidP="006C5FB5">
            <w:pPr>
              <w:spacing w:after="0" w:line="240" w:lineRule="auto"/>
              <w:jc w:val="right"/>
              <w:rPr>
                <w:rFonts w:ascii="Arial" w:eastAsia="Times New Roman" w:hAnsi="Arial" w:cs="Arial"/>
                <w:color w:val="000000"/>
                <w:sz w:val="20"/>
                <w:lang w:eastAsia="en-NZ"/>
              </w:rPr>
            </w:pPr>
            <w:r w:rsidRPr="001244BB">
              <w:rPr>
                <w:rFonts w:ascii="Arial" w:eastAsia="Times New Roman" w:hAnsi="Arial" w:cs="Arial"/>
                <w:color w:val="000000"/>
                <w:sz w:val="20"/>
                <w:lang w:eastAsia="en-NZ"/>
              </w:rPr>
              <w:t>(4,</w:t>
            </w:r>
            <w:r w:rsidR="006C5FB5" w:rsidRPr="001244BB">
              <w:rPr>
                <w:rFonts w:ascii="Arial" w:eastAsia="Times New Roman" w:hAnsi="Arial" w:cs="Arial"/>
                <w:color w:val="000000"/>
                <w:sz w:val="20"/>
                <w:lang w:eastAsia="en-NZ"/>
              </w:rPr>
              <w:t>3</w:t>
            </w:r>
            <w:r w:rsidR="006C5FB5">
              <w:rPr>
                <w:rFonts w:ascii="Arial" w:eastAsia="Times New Roman" w:hAnsi="Arial" w:cs="Arial"/>
                <w:color w:val="000000"/>
                <w:sz w:val="20"/>
                <w:lang w:eastAsia="en-NZ"/>
              </w:rPr>
              <w:t>3</w:t>
            </w:r>
            <w:r w:rsidR="006C5FB5" w:rsidRPr="001244BB">
              <w:rPr>
                <w:rFonts w:ascii="Arial" w:eastAsia="Times New Roman" w:hAnsi="Arial" w:cs="Arial"/>
                <w:color w:val="000000"/>
                <w:sz w:val="20"/>
                <w:lang w:eastAsia="en-NZ"/>
              </w:rPr>
              <w:t>9</w:t>
            </w:r>
            <w:r w:rsidRPr="001244BB">
              <w:rPr>
                <w:rFonts w:ascii="Arial" w:eastAsia="Times New Roman" w:hAnsi="Arial" w:cs="Arial"/>
                <w:color w:val="000000"/>
                <w:sz w:val="20"/>
                <w:lang w:eastAsia="en-NZ"/>
              </w:rPr>
              <w:t>)</w:t>
            </w:r>
          </w:p>
        </w:tc>
        <w:tc>
          <w:tcPr>
            <w:tcW w:w="961" w:type="dxa"/>
            <w:shd w:val="clear" w:color="000000" w:fill="E8E8E8"/>
            <w:noWrap/>
            <w:hideMark/>
          </w:tcPr>
          <w:p w:rsidR="00546A26" w:rsidRPr="001244BB" w:rsidRDefault="00546A26" w:rsidP="004106CD">
            <w:pPr>
              <w:spacing w:after="0" w:line="240" w:lineRule="auto"/>
              <w:jc w:val="right"/>
              <w:rPr>
                <w:rFonts w:ascii="Arial" w:eastAsia="Times New Roman" w:hAnsi="Arial" w:cs="Arial"/>
                <w:color w:val="000000"/>
                <w:sz w:val="20"/>
                <w:lang w:eastAsia="en-NZ"/>
              </w:rPr>
            </w:pPr>
            <w:r w:rsidRPr="001244BB">
              <w:rPr>
                <w:rFonts w:ascii="Arial" w:eastAsia="Times New Roman" w:hAnsi="Arial" w:cs="Arial"/>
                <w:color w:val="000000"/>
                <w:sz w:val="20"/>
                <w:lang w:eastAsia="en-NZ"/>
              </w:rPr>
              <w:t>(4,143)</w:t>
            </w:r>
          </w:p>
        </w:tc>
        <w:tc>
          <w:tcPr>
            <w:tcW w:w="961" w:type="dxa"/>
            <w:shd w:val="clear" w:color="000000" w:fill="E8E8E8"/>
            <w:noWrap/>
            <w:hideMark/>
          </w:tcPr>
          <w:p w:rsidR="00546A26" w:rsidRPr="001244BB" w:rsidRDefault="00546A26" w:rsidP="004106CD">
            <w:pPr>
              <w:spacing w:after="0" w:line="240" w:lineRule="auto"/>
              <w:jc w:val="right"/>
              <w:rPr>
                <w:rFonts w:ascii="Arial" w:eastAsia="Times New Roman" w:hAnsi="Arial" w:cs="Arial"/>
                <w:color w:val="000000"/>
                <w:sz w:val="20"/>
                <w:lang w:eastAsia="en-NZ"/>
              </w:rPr>
            </w:pPr>
            <w:r w:rsidRPr="001244BB">
              <w:rPr>
                <w:rFonts w:ascii="Arial" w:eastAsia="Times New Roman" w:hAnsi="Arial" w:cs="Arial"/>
                <w:color w:val="000000"/>
                <w:sz w:val="20"/>
                <w:lang w:eastAsia="en-NZ"/>
              </w:rPr>
              <w:t>(4,519)</w:t>
            </w:r>
          </w:p>
        </w:tc>
        <w:tc>
          <w:tcPr>
            <w:tcW w:w="1050" w:type="dxa"/>
            <w:shd w:val="clear" w:color="000000" w:fill="E8E8E8"/>
            <w:noWrap/>
            <w:hideMark/>
          </w:tcPr>
          <w:p w:rsidR="00546A26" w:rsidRPr="001244BB" w:rsidRDefault="00546A26" w:rsidP="004106CD">
            <w:pPr>
              <w:spacing w:after="0" w:line="240" w:lineRule="auto"/>
              <w:jc w:val="right"/>
              <w:rPr>
                <w:rFonts w:ascii="Arial" w:eastAsia="Times New Roman" w:hAnsi="Arial" w:cs="Arial"/>
                <w:color w:val="000000"/>
                <w:sz w:val="20"/>
                <w:lang w:eastAsia="en-NZ"/>
              </w:rPr>
            </w:pPr>
            <w:r w:rsidRPr="001244BB">
              <w:rPr>
                <w:rFonts w:ascii="Arial" w:eastAsia="Times New Roman" w:hAnsi="Arial" w:cs="Arial"/>
                <w:color w:val="000000"/>
                <w:sz w:val="20"/>
                <w:lang w:eastAsia="en-NZ"/>
              </w:rPr>
              <w:t>(376)</w:t>
            </w:r>
          </w:p>
        </w:tc>
        <w:tc>
          <w:tcPr>
            <w:tcW w:w="4473" w:type="dxa"/>
            <w:tcBorders>
              <w:right w:val="nil"/>
            </w:tcBorders>
            <w:shd w:val="clear" w:color="auto" w:fill="auto"/>
            <w:vAlign w:val="bottom"/>
            <w:hideMark/>
          </w:tcPr>
          <w:p w:rsidR="00546A26" w:rsidRPr="001244BB" w:rsidRDefault="00546A26" w:rsidP="004106CD">
            <w:pPr>
              <w:spacing w:after="0" w:line="240" w:lineRule="auto"/>
              <w:rPr>
                <w:rFonts w:ascii="Arial" w:eastAsia="Times New Roman" w:hAnsi="Arial" w:cs="Arial"/>
                <w:color w:val="000000"/>
                <w:sz w:val="20"/>
                <w:lang w:eastAsia="en-NZ"/>
              </w:rPr>
            </w:pPr>
          </w:p>
        </w:tc>
      </w:tr>
      <w:tr w:rsidR="00546A26" w:rsidRPr="001244BB" w:rsidTr="004106CD">
        <w:trPr>
          <w:trHeight w:val="300"/>
        </w:trPr>
        <w:tc>
          <w:tcPr>
            <w:tcW w:w="4540" w:type="dxa"/>
            <w:tcBorders>
              <w:left w:val="nil"/>
              <w:bottom w:val="nil"/>
            </w:tcBorders>
            <w:shd w:val="clear" w:color="auto" w:fill="auto"/>
            <w:noWrap/>
            <w:hideMark/>
          </w:tcPr>
          <w:p w:rsidR="00546A26" w:rsidRPr="001244BB" w:rsidRDefault="00546A26" w:rsidP="004106CD">
            <w:pPr>
              <w:spacing w:after="0" w:line="240" w:lineRule="auto"/>
              <w:rPr>
                <w:rFonts w:ascii="Arial" w:eastAsia="Times New Roman" w:hAnsi="Arial" w:cs="Arial"/>
                <w:color w:val="000000"/>
                <w:sz w:val="20"/>
                <w:lang w:eastAsia="en-NZ"/>
              </w:rPr>
            </w:pPr>
            <w:r w:rsidRPr="001244BB">
              <w:rPr>
                <w:rFonts w:ascii="Arial" w:eastAsia="Times New Roman" w:hAnsi="Arial" w:cs="Arial"/>
                <w:color w:val="000000"/>
                <w:sz w:val="20"/>
                <w:lang w:eastAsia="en-NZ"/>
              </w:rPr>
              <w:t>Net Expenditure</w:t>
            </w:r>
          </w:p>
        </w:tc>
        <w:tc>
          <w:tcPr>
            <w:tcW w:w="961" w:type="dxa"/>
            <w:tcBorders>
              <w:bottom w:val="nil"/>
            </w:tcBorders>
            <w:shd w:val="clear" w:color="auto" w:fill="auto"/>
            <w:noWrap/>
            <w:hideMark/>
          </w:tcPr>
          <w:p w:rsidR="00546A26" w:rsidRPr="001244BB" w:rsidRDefault="00546A26" w:rsidP="004106CD">
            <w:pPr>
              <w:spacing w:after="0" w:line="240" w:lineRule="auto"/>
              <w:jc w:val="right"/>
              <w:rPr>
                <w:rFonts w:ascii="Arial" w:eastAsia="Times New Roman" w:hAnsi="Arial" w:cs="Arial"/>
                <w:color w:val="000000"/>
                <w:sz w:val="20"/>
                <w:lang w:eastAsia="en-NZ"/>
              </w:rPr>
            </w:pPr>
            <w:r w:rsidRPr="001244BB">
              <w:rPr>
                <w:rFonts w:ascii="Arial" w:eastAsia="Times New Roman" w:hAnsi="Arial" w:cs="Arial"/>
                <w:color w:val="000000"/>
                <w:sz w:val="20"/>
                <w:lang w:eastAsia="en-NZ"/>
              </w:rPr>
              <w:t>11,702</w:t>
            </w:r>
          </w:p>
        </w:tc>
        <w:tc>
          <w:tcPr>
            <w:tcW w:w="961" w:type="dxa"/>
            <w:tcBorders>
              <w:bottom w:val="nil"/>
            </w:tcBorders>
            <w:shd w:val="clear" w:color="auto" w:fill="auto"/>
            <w:noWrap/>
            <w:hideMark/>
          </w:tcPr>
          <w:p w:rsidR="00546A26" w:rsidRPr="001244BB" w:rsidRDefault="00546A26" w:rsidP="006C5FB5">
            <w:pPr>
              <w:spacing w:after="0" w:line="240" w:lineRule="auto"/>
              <w:jc w:val="right"/>
              <w:rPr>
                <w:rFonts w:ascii="Arial" w:eastAsia="Times New Roman" w:hAnsi="Arial" w:cs="Arial"/>
                <w:color w:val="000000"/>
                <w:sz w:val="20"/>
                <w:lang w:eastAsia="en-NZ"/>
              </w:rPr>
            </w:pPr>
            <w:r w:rsidRPr="001244BB">
              <w:rPr>
                <w:rFonts w:ascii="Arial" w:eastAsia="Times New Roman" w:hAnsi="Arial" w:cs="Arial"/>
                <w:color w:val="000000"/>
                <w:sz w:val="20"/>
                <w:lang w:eastAsia="en-NZ"/>
              </w:rPr>
              <w:t>12,</w:t>
            </w:r>
            <w:r w:rsidR="006C5FB5">
              <w:rPr>
                <w:rFonts w:ascii="Arial" w:eastAsia="Times New Roman" w:hAnsi="Arial" w:cs="Arial"/>
                <w:color w:val="000000"/>
                <w:sz w:val="20"/>
                <w:lang w:eastAsia="en-NZ"/>
              </w:rPr>
              <w:t>199</w:t>
            </w:r>
          </w:p>
        </w:tc>
        <w:tc>
          <w:tcPr>
            <w:tcW w:w="961" w:type="dxa"/>
            <w:tcBorders>
              <w:bottom w:val="nil"/>
            </w:tcBorders>
            <w:shd w:val="clear" w:color="000000" w:fill="E8E8E8"/>
            <w:noWrap/>
            <w:hideMark/>
          </w:tcPr>
          <w:p w:rsidR="00546A26" w:rsidRPr="001244BB" w:rsidRDefault="00546A26" w:rsidP="004106CD">
            <w:pPr>
              <w:spacing w:after="0" w:line="240" w:lineRule="auto"/>
              <w:jc w:val="right"/>
              <w:rPr>
                <w:rFonts w:ascii="Arial" w:eastAsia="Times New Roman" w:hAnsi="Arial" w:cs="Arial"/>
                <w:color w:val="000000"/>
                <w:sz w:val="20"/>
                <w:lang w:eastAsia="en-NZ"/>
              </w:rPr>
            </w:pPr>
            <w:r w:rsidRPr="001244BB">
              <w:rPr>
                <w:rFonts w:ascii="Arial" w:eastAsia="Times New Roman" w:hAnsi="Arial" w:cs="Arial"/>
                <w:color w:val="000000"/>
                <w:sz w:val="20"/>
                <w:lang w:eastAsia="en-NZ"/>
              </w:rPr>
              <w:t>12,673</w:t>
            </w:r>
          </w:p>
        </w:tc>
        <w:tc>
          <w:tcPr>
            <w:tcW w:w="961" w:type="dxa"/>
            <w:tcBorders>
              <w:bottom w:val="nil"/>
            </w:tcBorders>
            <w:shd w:val="clear" w:color="000000" w:fill="E8E8E8"/>
            <w:noWrap/>
            <w:hideMark/>
          </w:tcPr>
          <w:p w:rsidR="00546A26" w:rsidRPr="001244BB" w:rsidRDefault="00546A26" w:rsidP="004106CD">
            <w:pPr>
              <w:spacing w:after="0" w:line="240" w:lineRule="auto"/>
              <w:jc w:val="right"/>
              <w:rPr>
                <w:rFonts w:ascii="Arial" w:eastAsia="Times New Roman" w:hAnsi="Arial" w:cs="Arial"/>
                <w:color w:val="000000"/>
                <w:sz w:val="20"/>
                <w:lang w:eastAsia="en-NZ"/>
              </w:rPr>
            </w:pPr>
            <w:r w:rsidRPr="001244BB">
              <w:rPr>
                <w:rFonts w:ascii="Arial" w:eastAsia="Times New Roman" w:hAnsi="Arial" w:cs="Arial"/>
                <w:color w:val="000000"/>
                <w:sz w:val="20"/>
                <w:lang w:eastAsia="en-NZ"/>
              </w:rPr>
              <w:t>12,247</w:t>
            </w:r>
          </w:p>
        </w:tc>
        <w:tc>
          <w:tcPr>
            <w:tcW w:w="1050" w:type="dxa"/>
            <w:tcBorders>
              <w:bottom w:val="nil"/>
            </w:tcBorders>
            <w:shd w:val="clear" w:color="000000" w:fill="E8E8E8"/>
            <w:noWrap/>
            <w:hideMark/>
          </w:tcPr>
          <w:p w:rsidR="00546A26" w:rsidRPr="001244BB" w:rsidRDefault="00546A26" w:rsidP="004106CD">
            <w:pPr>
              <w:spacing w:after="0" w:line="240" w:lineRule="auto"/>
              <w:jc w:val="right"/>
              <w:rPr>
                <w:rFonts w:ascii="Arial" w:eastAsia="Times New Roman" w:hAnsi="Arial" w:cs="Arial"/>
                <w:color w:val="000000"/>
                <w:sz w:val="20"/>
                <w:lang w:eastAsia="en-NZ"/>
              </w:rPr>
            </w:pPr>
            <w:r w:rsidRPr="001244BB">
              <w:rPr>
                <w:rFonts w:ascii="Arial" w:eastAsia="Times New Roman" w:hAnsi="Arial" w:cs="Arial"/>
                <w:color w:val="000000"/>
                <w:sz w:val="20"/>
                <w:lang w:eastAsia="en-NZ"/>
              </w:rPr>
              <w:t>(426)</w:t>
            </w:r>
          </w:p>
        </w:tc>
        <w:tc>
          <w:tcPr>
            <w:tcW w:w="4473" w:type="dxa"/>
            <w:tcBorders>
              <w:bottom w:val="nil"/>
              <w:right w:val="nil"/>
            </w:tcBorders>
            <w:shd w:val="clear" w:color="auto" w:fill="auto"/>
            <w:vAlign w:val="bottom"/>
            <w:hideMark/>
          </w:tcPr>
          <w:p w:rsidR="00546A26" w:rsidRPr="001244BB" w:rsidRDefault="00546A26" w:rsidP="004106CD">
            <w:pPr>
              <w:spacing w:after="0" w:line="240" w:lineRule="auto"/>
              <w:rPr>
                <w:rFonts w:ascii="Arial" w:eastAsia="Times New Roman" w:hAnsi="Arial" w:cs="Arial"/>
                <w:color w:val="000000"/>
                <w:sz w:val="20"/>
                <w:lang w:eastAsia="en-NZ"/>
              </w:rPr>
            </w:pPr>
            <w:r w:rsidRPr="001244BB">
              <w:rPr>
                <w:rFonts w:ascii="Arial" w:eastAsia="Times New Roman" w:hAnsi="Arial" w:cs="Arial"/>
                <w:color w:val="000000"/>
                <w:sz w:val="20"/>
                <w:lang w:eastAsia="en-NZ"/>
              </w:rPr>
              <w:t> </w:t>
            </w:r>
          </w:p>
        </w:tc>
      </w:tr>
      <w:tr w:rsidR="00546A26" w:rsidRPr="001244BB" w:rsidTr="004106CD">
        <w:trPr>
          <w:trHeight w:val="300"/>
        </w:trPr>
        <w:tc>
          <w:tcPr>
            <w:tcW w:w="13907" w:type="dxa"/>
            <w:gridSpan w:val="7"/>
            <w:tcBorders>
              <w:top w:val="nil"/>
              <w:left w:val="nil"/>
              <w:bottom w:val="nil"/>
              <w:right w:val="nil"/>
            </w:tcBorders>
            <w:shd w:val="clear" w:color="auto" w:fill="DAEEF3" w:themeFill="accent5" w:themeFillTint="33"/>
            <w:noWrap/>
            <w:vAlign w:val="bottom"/>
            <w:hideMark/>
          </w:tcPr>
          <w:p w:rsidR="00546A26" w:rsidRPr="008F0B0E" w:rsidRDefault="00546A26" w:rsidP="004106CD">
            <w:pPr>
              <w:spacing w:after="0" w:line="240" w:lineRule="auto"/>
              <w:rPr>
                <w:rFonts w:ascii="Arial" w:eastAsia="Times New Roman" w:hAnsi="Arial" w:cs="Arial"/>
                <w:b/>
                <w:bCs/>
                <w:color w:val="000000"/>
                <w:sz w:val="20"/>
                <w:lang w:eastAsia="en-NZ"/>
              </w:rPr>
            </w:pPr>
            <w:r>
              <w:rPr>
                <w:rFonts w:ascii="Arial" w:eastAsia="Times New Roman" w:hAnsi="Arial" w:cs="Arial"/>
                <w:b/>
                <w:bCs/>
                <w:color w:val="000000"/>
                <w:sz w:val="20"/>
                <w:lang w:eastAsia="en-NZ"/>
              </w:rPr>
              <w:t>Social a</w:t>
            </w:r>
            <w:r w:rsidRPr="001244BB">
              <w:rPr>
                <w:rFonts w:ascii="Arial" w:eastAsia="Times New Roman" w:hAnsi="Arial" w:cs="Arial"/>
                <w:b/>
                <w:bCs/>
                <w:color w:val="000000"/>
                <w:sz w:val="20"/>
                <w:lang w:eastAsia="en-NZ"/>
              </w:rPr>
              <w:t>nd Recreation Total</w:t>
            </w:r>
          </w:p>
        </w:tc>
      </w:tr>
      <w:tr w:rsidR="00546A26" w:rsidRPr="001244BB" w:rsidTr="004106CD">
        <w:trPr>
          <w:trHeight w:val="300"/>
        </w:trPr>
        <w:tc>
          <w:tcPr>
            <w:tcW w:w="4540" w:type="dxa"/>
            <w:tcBorders>
              <w:top w:val="nil"/>
              <w:left w:val="nil"/>
            </w:tcBorders>
            <w:shd w:val="clear" w:color="auto" w:fill="auto"/>
            <w:noWrap/>
            <w:hideMark/>
          </w:tcPr>
          <w:p w:rsidR="00546A26" w:rsidRPr="001244BB" w:rsidRDefault="00546A26" w:rsidP="004106CD">
            <w:pPr>
              <w:spacing w:after="0" w:line="240" w:lineRule="auto"/>
              <w:rPr>
                <w:rFonts w:ascii="Arial" w:eastAsia="Times New Roman" w:hAnsi="Arial" w:cs="Arial"/>
                <w:color w:val="000000"/>
                <w:sz w:val="20"/>
                <w:lang w:eastAsia="en-NZ"/>
              </w:rPr>
            </w:pPr>
            <w:r w:rsidRPr="001244BB">
              <w:rPr>
                <w:rFonts w:ascii="Arial" w:eastAsia="Times New Roman" w:hAnsi="Arial" w:cs="Arial"/>
                <w:color w:val="000000"/>
                <w:sz w:val="20"/>
                <w:lang w:eastAsia="en-NZ"/>
              </w:rPr>
              <w:t>Expenditure</w:t>
            </w:r>
          </w:p>
        </w:tc>
        <w:tc>
          <w:tcPr>
            <w:tcW w:w="961" w:type="dxa"/>
            <w:tcBorders>
              <w:top w:val="nil"/>
            </w:tcBorders>
            <w:shd w:val="clear" w:color="auto" w:fill="auto"/>
            <w:noWrap/>
            <w:hideMark/>
          </w:tcPr>
          <w:p w:rsidR="00546A26" w:rsidRPr="001244BB" w:rsidRDefault="00546A26" w:rsidP="004106CD">
            <w:pPr>
              <w:spacing w:after="0" w:line="240" w:lineRule="auto"/>
              <w:jc w:val="right"/>
              <w:rPr>
                <w:rFonts w:ascii="Arial" w:eastAsia="Times New Roman" w:hAnsi="Arial" w:cs="Arial"/>
                <w:color w:val="000000"/>
                <w:sz w:val="20"/>
                <w:lang w:eastAsia="en-NZ"/>
              </w:rPr>
            </w:pPr>
            <w:r w:rsidRPr="001244BB">
              <w:rPr>
                <w:rFonts w:ascii="Arial" w:eastAsia="Times New Roman" w:hAnsi="Arial" w:cs="Arial"/>
                <w:color w:val="000000"/>
                <w:sz w:val="20"/>
                <w:lang w:eastAsia="en-NZ"/>
              </w:rPr>
              <w:t>112,657</w:t>
            </w:r>
          </w:p>
        </w:tc>
        <w:tc>
          <w:tcPr>
            <w:tcW w:w="961" w:type="dxa"/>
            <w:tcBorders>
              <w:top w:val="nil"/>
            </w:tcBorders>
            <w:shd w:val="clear" w:color="auto" w:fill="auto"/>
            <w:noWrap/>
            <w:hideMark/>
          </w:tcPr>
          <w:p w:rsidR="00546A26" w:rsidRPr="001244BB" w:rsidRDefault="00546A26" w:rsidP="006C5FB5">
            <w:pPr>
              <w:spacing w:after="0" w:line="240" w:lineRule="auto"/>
              <w:jc w:val="right"/>
              <w:rPr>
                <w:rFonts w:ascii="Arial" w:eastAsia="Times New Roman" w:hAnsi="Arial" w:cs="Arial"/>
                <w:color w:val="000000"/>
                <w:sz w:val="20"/>
                <w:lang w:eastAsia="en-NZ"/>
              </w:rPr>
            </w:pPr>
            <w:r w:rsidRPr="001244BB">
              <w:rPr>
                <w:rFonts w:ascii="Arial" w:eastAsia="Times New Roman" w:hAnsi="Arial" w:cs="Arial"/>
                <w:color w:val="000000"/>
                <w:sz w:val="20"/>
                <w:lang w:eastAsia="en-NZ"/>
              </w:rPr>
              <w:t>115,</w:t>
            </w:r>
            <w:r w:rsidR="006C5FB5" w:rsidRPr="001244BB">
              <w:rPr>
                <w:rFonts w:ascii="Arial" w:eastAsia="Times New Roman" w:hAnsi="Arial" w:cs="Arial"/>
                <w:color w:val="000000"/>
                <w:sz w:val="20"/>
                <w:lang w:eastAsia="en-NZ"/>
              </w:rPr>
              <w:t>35</w:t>
            </w:r>
            <w:r w:rsidR="006C5FB5">
              <w:rPr>
                <w:rFonts w:ascii="Arial" w:eastAsia="Times New Roman" w:hAnsi="Arial" w:cs="Arial"/>
                <w:color w:val="000000"/>
                <w:sz w:val="20"/>
                <w:lang w:eastAsia="en-NZ"/>
              </w:rPr>
              <w:t>8</w:t>
            </w:r>
          </w:p>
        </w:tc>
        <w:tc>
          <w:tcPr>
            <w:tcW w:w="961" w:type="dxa"/>
            <w:tcBorders>
              <w:top w:val="nil"/>
            </w:tcBorders>
            <w:shd w:val="clear" w:color="000000" w:fill="E8E8E8"/>
            <w:noWrap/>
            <w:hideMark/>
          </w:tcPr>
          <w:p w:rsidR="00546A26" w:rsidRPr="001244BB" w:rsidRDefault="00546A26" w:rsidP="004106CD">
            <w:pPr>
              <w:spacing w:after="0" w:line="240" w:lineRule="auto"/>
              <w:jc w:val="right"/>
              <w:rPr>
                <w:rFonts w:ascii="Arial" w:eastAsia="Times New Roman" w:hAnsi="Arial" w:cs="Arial"/>
                <w:color w:val="000000"/>
                <w:sz w:val="20"/>
                <w:lang w:eastAsia="en-NZ"/>
              </w:rPr>
            </w:pPr>
            <w:r w:rsidRPr="001244BB">
              <w:rPr>
                <w:rFonts w:ascii="Arial" w:eastAsia="Times New Roman" w:hAnsi="Arial" w:cs="Arial"/>
                <w:color w:val="000000"/>
                <w:sz w:val="20"/>
                <w:lang w:eastAsia="en-NZ"/>
              </w:rPr>
              <w:t>134,717</w:t>
            </w:r>
          </w:p>
        </w:tc>
        <w:tc>
          <w:tcPr>
            <w:tcW w:w="961" w:type="dxa"/>
            <w:tcBorders>
              <w:top w:val="nil"/>
            </w:tcBorders>
            <w:shd w:val="clear" w:color="000000" w:fill="E8E8E8"/>
            <w:noWrap/>
            <w:hideMark/>
          </w:tcPr>
          <w:p w:rsidR="00546A26" w:rsidRPr="001244BB" w:rsidRDefault="00546A26" w:rsidP="004106CD">
            <w:pPr>
              <w:spacing w:after="0" w:line="240" w:lineRule="auto"/>
              <w:jc w:val="right"/>
              <w:rPr>
                <w:rFonts w:ascii="Arial" w:eastAsia="Times New Roman" w:hAnsi="Arial" w:cs="Arial"/>
                <w:color w:val="000000"/>
                <w:sz w:val="20"/>
                <w:lang w:eastAsia="en-NZ"/>
              </w:rPr>
            </w:pPr>
            <w:r w:rsidRPr="001244BB">
              <w:rPr>
                <w:rFonts w:ascii="Arial" w:eastAsia="Times New Roman" w:hAnsi="Arial" w:cs="Arial"/>
                <w:color w:val="000000"/>
                <w:sz w:val="20"/>
                <w:lang w:eastAsia="en-NZ"/>
              </w:rPr>
              <w:t>121,004</w:t>
            </w:r>
          </w:p>
        </w:tc>
        <w:tc>
          <w:tcPr>
            <w:tcW w:w="1050" w:type="dxa"/>
            <w:tcBorders>
              <w:top w:val="nil"/>
            </w:tcBorders>
            <w:shd w:val="clear" w:color="000000" w:fill="E8E8E8"/>
            <w:noWrap/>
            <w:hideMark/>
          </w:tcPr>
          <w:p w:rsidR="00546A26" w:rsidRPr="001244BB" w:rsidRDefault="00546A26" w:rsidP="004106CD">
            <w:pPr>
              <w:spacing w:after="0" w:line="240" w:lineRule="auto"/>
              <w:jc w:val="right"/>
              <w:rPr>
                <w:rFonts w:ascii="Arial" w:eastAsia="Times New Roman" w:hAnsi="Arial" w:cs="Arial"/>
                <w:color w:val="000000"/>
                <w:sz w:val="20"/>
                <w:lang w:eastAsia="en-NZ"/>
              </w:rPr>
            </w:pPr>
            <w:r w:rsidRPr="001244BB">
              <w:rPr>
                <w:rFonts w:ascii="Arial" w:eastAsia="Times New Roman" w:hAnsi="Arial" w:cs="Arial"/>
                <w:color w:val="000000"/>
                <w:sz w:val="20"/>
                <w:lang w:eastAsia="en-NZ"/>
              </w:rPr>
              <w:t>(13,713)</w:t>
            </w:r>
          </w:p>
        </w:tc>
        <w:tc>
          <w:tcPr>
            <w:tcW w:w="4473" w:type="dxa"/>
            <w:tcBorders>
              <w:top w:val="nil"/>
              <w:right w:val="nil"/>
            </w:tcBorders>
            <w:shd w:val="clear" w:color="auto" w:fill="auto"/>
            <w:vAlign w:val="bottom"/>
            <w:hideMark/>
          </w:tcPr>
          <w:p w:rsidR="00546A26" w:rsidRPr="001244BB" w:rsidRDefault="00546A26" w:rsidP="004106CD">
            <w:pPr>
              <w:spacing w:after="0" w:line="240" w:lineRule="auto"/>
              <w:rPr>
                <w:rFonts w:ascii="Arial" w:eastAsia="Times New Roman" w:hAnsi="Arial" w:cs="Arial"/>
                <w:color w:val="000000"/>
                <w:sz w:val="20"/>
                <w:lang w:eastAsia="en-NZ"/>
              </w:rPr>
            </w:pPr>
          </w:p>
        </w:tc>
      </w:tr>
      <w:tr w:rsidR="00546A26" w:rsidRPr="001244BB" w:rsidTr="004106CD">
        <w:trPr>
          <w:trHeight w:val="300"/>
        </w:trPr>
        <w:tc>
          <w:tcPr>
            <w:tcW w:w="4540" w:type="dxa"/>
            <w:tcBorders>
              <w:left w:val="nil"/>
            </w:tcBorders>
            <w:shd w:val="clear" w:color="auto" w:fill="auto"/>
            <w:noWrap/>
            <w:hideMark/>
          </w:tcPr>
          <w:p w:rsidR="00546A26" w:rsidRPr="001244BB" w:rsidRDefault="00546A26" w:rsidP="004106CD">
            <w:pPr>
              <w:spacing w:after="0" w:line="240" w:lineRule="auto"/>
              <w:rPr>
                <w:rFonts w:ascii="Arial" w:eastAsia="Times New Roman" w:hAnsi="Arial" w:cs="Arial"/>
                <w:color w:val="000000"/>
                <w:sz w:val="20"/>
                <w:lang w:eastAsia="en-NZ"/>
              </w:rPr>
            </w:pPr>
            <w:r w:rsidRPr="001244BB">
              <w:rPr>
                <w:rFonts w:ascii="Arial" w:eastAsia="Times New Roman" w:hAnsi="Arial" w:cs="Arial"/>
                <w:color w:val="000000"/>
                <w:sz w:val="20"/>
                <w:lang w:eastAsia="en-NZ"/>
              </w:rPr>
              <w:t>Revenue</w:t>
            </w:r>
          </w:p>
        </w:tc>
        <w:tc>
          <w:tcPr>
            <w:tcW w:w="961" w:type="dxa"/>
            <w:shd w:val="clear" w:color="auto" w:fill="auto"/>
            <w:noWrap/>
            <w:hideMark/>
          </w:tcPr>
          <w:p w:rsidR="00546A26" w:rsidRPr="001244BB" w:rsidRDefault="00546A26" w:rsidP="004106CD">
            <w:pPr>
              <w:spacing w:after="0" w:line="240" w:lineRule="auto"/>
              <w:jc w:val="right"/>
              <w:rPr>
                <w:rFonts w:ascii="Arial" w:eastAsia="Times New Roman" w:hAnsi="Arial" w:cs="Arial"/>
                <w:color w:val="000000"/>
                <w:sz w:val="20"/>
                <w:lang w:eastAsia="en-NZ"/>
              </w:rPr>
            </w:pPr>
            <w:r w:rsidRPr="001244BB">
              <w:rPr>
                <w:rFonts w:ascii="Arial" w:eastAsia="Times New Roman" w:hAnsi="Arial" w:cs="Arial"/>
                <w:color w:val="000000"/>
                <w:sz w:val="20"/>
                <w:lang w:eastAsia="en-NZ"/>
              </w:rPr>
              <w:t>(55,599)</w:t>
            </w:r>
          </w:p>
        </w:tc>
        <w:tc>
          <w:tcPr>
            <w:tcW w:w="961" w:type="dxa"/>
            <w:shd w:val="clear" w:color="auto" w:fill="auto"/>
            <w:noWrap/>
            <w:hideMark/>
          </w:tcPr>
          <w:p w:rsidR="00546A26" w:rsidRPr="001244BB" w:rsidRDefault="00546A26" w:rsidP="006C5FB5">
            <w:pPr>
              <w:spacing w:after="0" w:line="240" w:lineRule="auto"/>
              <w:jc w:val="right"/>
              <w:rPr>
                <w:rFonts w:ascii="Arial" w:eastAsia="Times New Roman" w:hAnsi="Arial" w:cs="Arial"/>
                <w:color w:val="000000"/>
                <w:sz w:val="20"/>
                <w:lang w:eastAsia="en-NZ"/>
              </w:rPr>
            </w:pPr>
            <w:r w:rsidRPr="001244BB">
              <w:rPr>
                <w:rFonts w:ascii="Arial" w:eastAsia="Times New Roman" w:hAnsi="Arial" w:cs="Arial"/>
                <w:color w:val="000000"/>
                <w:sz w:val="20"/>
                <w:lang w:eastAsia="en-NZ"/>
              </w:rPr>
              <w:t>(54,</w:t>
            </w:r>
            <w:r w:rsidR="006C5FB5" w:rsidRPr="001244BB">
              <w:rPr>
                <w:rFonts w:ascii="Arial" w:eastAsia="Times New Roman" w:hAnsi="Arial" w:cs="Arial"/>
                <w:color w:val="000000"/>
                <w:sz w:val="20"/>
                <w:lang w:eastAsia="en-NZ"/>
              </w:rPr>
              <w:t>1</w:t>
            </w:r>
            <w:r w:rsidR="006C5FB5">
              <w:rPr>
                <w:rFonts w:ascii="Arial" w:eastAsia="Times New Roman" w:hAnsi="Arial" w:cs="Arial"/>
                <w:color w:val="000000"/>
                <w:sz w:val="20"/>
                <w:lang w:eastAsia="en-NZ"/>
              </w:rPr>
              <w:t>36</w:t>
            </w:r>
            <w:r w:rsidRPr="001244BB">
              <w:rPr>
                <w:rFonts w:ascii="Arial" w:eastAsia="Times New Roman" w:hAnsi="Arial" w:cs="Arial"/>
                <w:color w:val="000000"/>
                <w:sz w:val="20"/>
                <w:lang w:eastAsia="en-NZ"/>
              </w:rPr>
              <w:t>)</w:t>
            </w:r>
          </w:p>
        </w:tc>
        <w:tc>
          <w:tcPr>
            <w:tcW w:w="961" w:type="dxa"/>
            <w:shd w:val="clear" w:color="000000" w:fill="E8E8E8"/>
            <w:noWrap/>
            <w:hideMark/>
          </w:tcPr>
          <w:p w:rsidR="00546A26" w:rsidRPr="001244BB" w:rsidRDefault="00546A26" w:rsidP="004106CD">
            <w:pPr>
              <w:spacing w:after="0" w:line="240" w:lineRule="auto"/>
              <w:jc w:val="right"/>
              <w:rPr>
                <w:rFonts w:ascii="Arial" w:eastAsia="Times New Roman" w:hAnsi="Arial" w:cs="Arial"/>
                <w:color w:val="000000"/>
                <w:sz w:val="20"/>
                <w:lang w:eastAsia="en-NZ"/>
              </w:rPr>
            </w:pPr>
            <w:r w:rsidRPr="001244BB">
              <w:rPr>
                <w:rFonts w:ascii="Arial" w:eastAsia="Times New Roman" w:hAnsi="Arial" w:cs="Arial"/>
                <w:color w:val="000000"/>
                <w:sz w:val="20"/>
                <w:lang w:eastAsia="en-NZ"/>
              </w:rPr>
              <w:t>(40,798)</w:t>
            </w:r>
          </w:p>
        </w:tc>
        <w:tc>
          <w:tcPr>
            <w:tcW w:w="961" w:type="dxa"/>
            <w:shd w:val="clear" w:color="000000" w:fill="E8E8E8"/>
            <w:noWrap/>
            <w:hideMark/>
          </w:tcPr>
          <w:p w:rsidR="00546A26" w:rsidRPr="001244BB" w:rsidRDefault="00546A26" w:rsidP="004106CD">
            <w:pPr>
              <w:spacing w:after="0" w:line="240" w:lineRule="auto"/>
              <w:jc w:val="right"/>
              <w:rPr>
                <w:rFonts w:ascii="Arial" w:eastAsia="Times New Roman" w:hAnsi="Arial" w:cs="Arial"/>
                <w:color w:val="000000"/>
                <w:sz w:val="20"/>
                <w:lang w:eastAsia="en-NZ"/>
              </w:rPr>
            </w:pPr>
            <w:r w:rsidRPr="001244BB">
              <w:rPr>
                <w:rFonts w:ascii="Arial" w:eastAsia="Times New Roman" w:hAnsi="Arial" w:cs="Arial"/>
                <w:color w:val="000000"/>
                <w:sz w:val="20"/>
                <w:lang w:eastAsia="en-NZ"/>
              </w:rPr>
              <w:t>(40,566)</w:t>
            </w:r>
          </w:p>
        </w:tc>
        <w:tc>
          <w:tcPr>
            <w:tcW w:w="1050" w:type="dxa"/>
            <w:shd w:val="clear" w:color="000000" w:fill="E8E8E8"/>
            <w:noWrap/>
            <w:hideMark/>
          </w:tcPr>
          <w:p w:rsidR="00546A26" w:rsidRPr="001244BB" w:rsidRDefault="00546A26" w:rsidP="004106CD">
            <w:pPr>
              <w:spacing w:after="0" w:line="240" w:lineRule="auto"/>
              <w:jc w:val="right"/>
              <w:rPr>
                <w:rFonts w:ascii="Arial" w:eastAsia="Times New Roman" w:hAnsi="Arial" w:cs="Arial"/>
                <w:color w:val="000000"/>
                <w:sz w:val="20"/>
                <w:lang w:eastAsia="en-NZ"/>
              </w:rPr>
            </w:pPr>
            <w:r w:rsidRPr="001244BB">
              <w:rPr>
                <w:rFonts w:ascii="Arial" w:eastAsia="Times New Roman" w:hAnsi="Arial" w:cs="Arial"/>
                <w:color w:val="000000"/>
                <w:sz w:val="20"/>
                <w:lang w:eastAsia="en-NZ"/>
              </w:rPr>
              <w:t>232</w:t>
            </w:r>
          </w:p>
        </w:tc>
        <w:tc>
          <w:tcPr>
            <w:tcW w:w="4473" w:type="dxa"/>
            <w:tcBorders>
              <w:right w:val="nil"/>
            </w:tcBorders>
            <w:shd w:val="clear" w:color="auto" w:fill="auto"/>
            <w:vAlign w:val="bottom"/>
            <w:hideMark/>
          </w:tcPr>
          <w:p w:rsidR="00546A26" w:rsidRPr="001244BB" w:rsidRDefault="00546A26" w:rsidP="004106CD">
            <w:pPr>
              <w:spacing w:after="0" w:line="240" w:lineRule="auto"/>
              <w:rPr>
                <w:rFonts w:ascii="Arial" w:eastAsia="Times New Roman" w:hAnsi="Arial" w:cs="Arial"/>
                <w:color w:val="000000"/>
                <w:sz w:val="20"/>
                <w:lang w:eastAsia="en-NZ"/>
              </w:rPr>
            </w:pPr>
          </w:p>
        </w:tc>
      </w:tr>
      <w:tr w:rsidR="00546A26" w:rsidRPr="001244BB" w:rsidTr="004106CD">
        <w:trPr>
          <w:trHeight w:val="300"/>
        </w:trPr>
        <w:tc>
          <w:tcPr>
            <w:tcW w:w="4540" w:type="dxa"/>
            <w:tcBorders>
              <w:left w:val="nil"/>
            </w:tcBorders>
            <w:shd w:val="clear" w:color="auto" w:fill="auto"/>
            <w:noWrap/>
            <w:hideMark/>
          </w:tcPr>
          <w:p w:rsidR="00546A26" w:rsidRPr="001244BB" w:rsidRDefault="00546A26" w:rsidP="004106CD">
            <w:pPr>
              <w:spacing w:after="0" w:line="240" w:lineRule="auto"/>
              <w:rPr>
                <w:rFonts w:ascii="Arial" w:eastAsia="Times New Roman" w:hAnsi="Arial" w:cs="Arial"/>
                <w:color w:val="000000"/>
                <w:sz w:val="20"/>
                <w:lang w:eastAsia="en-NZ"/>
              </w:rPr>
            </w:pPr>
            <w:r w:rsidRPr="001244BB">
              <w:rPr>
                <w:rFonts w:ascii="Arial" w:eastAsia="Times New Roman" w:hAnsi="Arial" w:cs="Arial"/>
                <w:color w:val="000000"/>
                <w:sz w:val="20"/>
                <w:lang w:eastAsia="en-NZ"/>
              </w:rPr>
              <w:t>Net Expenditure</w:t>
            </w:r>
          </w:p>
        </w:tc>
        <w:tc>
          <w:tcPr>
            <w:tcW w:w="961" w:type="dxa"/>
            <w:shd w:val="clear" w:color="auto" w:fill="auto"/>
            <w:noWrap/>
            <w:hideMark/>
          </w:tcPr>
          <w:p w:rsidR="00546A26" w:rsidRPr="001244BB" w:rsidRDefault="00546A26" w:rsidP="004106CD">
            <w:pPr>
              <w:spacing w:after="0" w:line="240" w:lineRule="auto"/>
              <w:jc w:val="right"/>
              <w:rPr>
                <w:rFonts w:ascii="Arial" w:eastAsia="Times New Roman" w:hAnsi="Arial" w:cs="Arial"/>
                <w:color w:val="000000"/>
                <w:sz w:val="20"/>
                <w:lang w:eastAsia="en-NZ"/>
              </w:rPr>
            </w:pPr>
            <w:r w:rsidRPr="001244BB">
              <w:rPr>
                <w:rFonts w:ascii="Arial" w:eastAsia="Times New Roman" w:hAnsi="Arial" w:cs="Arial"/>
                <w:color w:val="000000"/>
                <w:sz w:val="20"/>
                <w:lang w:eastAsia="en-NZ"/>
              </w:rPr>
              <w:t>57,058</w:t>
            </w:r>
          </w:p>
        </w:tc>
        <w:tc>
          <w:tcPr>
            <w:tcW w:w="961" w:type="dxa"/>
            <w:shd w:val="clear" w:color="auto" w:fill="auto"/>
            <w:noWrap/>
            <w:hideMark/>
          </w:tcPr>
          <w:p w:rsidR="00546A26" w:rsidRPr="001244BB" w:rsidRDefault="00546A26" w:rsidP="006C5FB5">
            <w:pPr>
              <w:spacing w:after="0" w:line="240" w:lineRule="auto"/>
              <w:jc w:val="right"/>
              <w:rPr>
                <w:rFonts w:ascii="Arial" w:eastAsia="Times New Roman" w:hAnsi="Arial" w:cs="Arial"/>
                <w:color w:val="000000"/>
                <w:sz w:val="20"/>
                <w:lang w:eastAsia="en-NZ"/>
              </w:rPr>
            </w:pPr>
            <w:r w:rsidRPr="001244BB">
              <w:rPr>
                <w:rFonts w:ascii="Arial" w:eastAsia="Times New Roman" w:hAnsi="Arial" w:cs="Arial"/>
                <w:color w:val="000000"/>
                <w:sz w:val="20"/>
                <w:lang w:eastAsia="en-NZ"/>
              </w:rPr>
              <w:t>61,</w:t>
            </w:r>
            <w:r w:rsidR="006C5FB5" w:rsidRPr="001244BB">
              <w:rPr>
                <w:rFonts w:ascii="Arial" w:eastAsia="Times New Roman" w:hAnsi="Arial" w:cs="Arial"/>
                <w:color w:val="000000"/>
                <w:sz w:val="20"/>
                <w:lang w:eastAsia="en-NZ"/>
              </w:rPr>
              <w:t>22</w:t>
            </w:r>
            <w:r w:rsidR="006C5FB5">
              <w:rPr>
                <w:rFonts w:ascii="Arial" w:eastAsia="Times New Roman" w:hAnsi="Arial" w:cs="Arial"/>
                <w:color w:val="000000"/>
                <w:sz w:val="20"/>
                <w:lang w:eastAsia="en-NZ"/>
              </w:rPr>
              <w:t>2</w:t>
            </w:r>
          </w:p>
        </w:tc>
        <w:tc>
          <w:tcPr>
            <w:tcW w:w="961" w:type="dxa"/>
            <w:shd w:val="clear" w:color="000000" w:fill="E8E8E8"/>
            <w:noWrap/>
            <w:hideMark/>
          </w:tcPr>
          <w:p w:rsidR="00546A26" w:rsidRPr="001244BB" w:rsidRDefault="00546A26" w:rsidP="004106CD">
            <w:pPr>
              <w:spacing w:after="0" w:line="240" w:lineRule="auto"/>
              <w:jc w:val="right"/>
              <w:rPr>
                <w:rFonts w:ascii="Arial" w:eastAsia="Times New Roman" w:hAnsi="Arial" w:cs="Arial"/>
                <w:color w:val="000000"/>
                <w:sz w:val="20"/>
                <w:lang w:eastAsia="en-NZ"/>
              </w:rPr>
            </w:pPr>
            <w:r w:rsidRPr="001244BB">
              <w:rPr>
                <w:rFonts w:ascii="Arial" w:eastAsia="Times New Roman" w:hAnsi="Arial" w:cs="Arial"/>
                <w:color w:val="000000"/>
                <w:sz w:val="20"/>
                <w:lang w:eastAsia="en-NZ"/>
              </w:rPr>
              <w:t>93,919</w:t>
            </w:r>
          </w:p>
        </w:tc>
        <w:tc>
          <w:tcPr>
            <w:tcW w:w="961" w:type="dxa"/>
            <w:shd w:val="clear" w:color="000000" w:fill="E8E8E8"/>
            <w:noWrap/>
            <w:hideMark/>
          </w:tcPr>
          <w:p w:rsidR="00546A26" w:rsidRPr="001244BB" w:rsidRDefault="00546A26" w:rsidP="004106CD">
            <w:pPr>
              <w:spacing w:after="0" w:line="240" w:lineRule="auto"/>
              <w:jc w:val="right"/>
              <w:rPr>
                <w:rFonts w:ascii="Arial" w:eastAsia="Times New Roman" w:hAnsi="Arial" w:cs="Arial"/>
                <w:color w:val="000000"/>
                <w:sz w:val="20"/>
                <w:lang w:eastAsia="en-NZ"/>
              </w:rPr>
            </w:pPr>
            <w:r w:rsidRPr="001244BB">
              <w:rPr>
                <w:rFonts w:ascii="Arial" w:eastAsia="Times New Roman" w:hAnsi="Arial" w:cs="Arial"/>
                <w:color w:val="000000"/>
                <w:sz w:val="20"/>
                <w:lang w:eastAsia="en-NZ"/>
              </w:rPr>
              <w:t>80,438</w:t>
            </w:r>
          </w:p>
        </w:tc>
        <w:tc>
          <w:tcPr>
            <w:tcW w:w="1050" w:type="dxa"/>
            <w:shd w:val="clear" w:color="000000" w:fill="E8E8E8"/>
            <w:noWrap/>
            <w:hideMark/>
          </w:tcPr>
          <w:p w:rsidR="00546A26" w:rsidRPr="001244BB" w:rsidRDefault="00546A26" w:rsidP="004106CD">
            <w:pPr>
              <w:spacing w:after="0" w:line="240" w:lineRule="auto"/>
              <w:jc w:val="right"/>
              <w:rPr>
                <w:rFonts w:ascii="Arial" w:eastAsia="Times New Roman" w:hAnsi="Arial" w:cs="Arial"/>
                <w:color w:val="000000"/>
                <w:sz w:val="20"/>
                <w:lang w:eastAsia="en-NZ"/>
              </w:rPr>
            </w:pPr>
            <w:r w:rsidRPr="001244BB">
              <w:rPr>
                <w:rFonts w:ascii="Arial" w:eastAsia="Times New Roman" w:hAnsi="Arial" w:cs="Arial"/>
                <w:color w:val="000000"/>
                <w:sz w:val="20"/>
                <w:lang w:eastAsia="en-NZ"/>
              </w:rPr>
              <w:t>(13,481)</w:t>
            </w:r>
          </w:p>
        </w:tc>
        <w:tc>
          <w:tcPr>
            <w:tcW w:w="4473" w:type="dxa"/>
            <w:tcBorders>
              <w:right w:val="nil"/>
            </w:tcBorders>
            <w:shd w:val="clear" w:color="auto" w:fill="auto"/>
            <w:vAlign w:val="bottom"/>
            <w:hideMark/>
          </w:tcPr>
          <w:p w:rsidR="00546A26" w:rsidRPr="001244BB" w:rsidRDefault="00546A26" w:rsidP="004106CD">
            <w:pPr>
              <w:spacing w:after="0" w:line="240" w:lineRule="auto"/>
              <w:rPr>
                <w:rFonts w:ascii="Arial" w:eastAsia="Times New Roman" w:hAnsi="Arial" w:cs="Arial"/>
                <w:color w:val="000000"/>
                <w:sz w:val="20"/>
                <w:lang w:eastAsia="en-NZ"/>
              </w:rPr>
            </w:pPr>
            <w:r w:rsidRPr="001244BB">
              <w:rPr>
                <w:rFonts w:ascii="Arial" w:eastAsia="Times New Roman" w:hAnsi="Arial" w:cs="Arial"/>
                <w:color w:val="000000"/>
                <w:sz w:val="20"/>
                <w:lang w:eastAsia="en-NZ"/>
              </w:rPr>
              <w:t> </w:t>
            </w:r>
          </w:p>
        </w:tc>
      </w:tr>
    </w:tbl>
    <w:p w:rsidR="00066652" w:rsidRPr="005F209F" w:rsidRDefault="00066652" w:rsidP="00846C1B">
      <w:pPr>
        <w:pStyle w:val="Heading4"/>
        <w:rPr>
          <w:color w:val="009999"/>
        </w:rPr>
      </w:pPr>
      <w:r w:rsidRPr="005F209F">
        <w:rPr>
          <w:color w:val="009999"/>
        </w:rPr>
        <w:lastRenderedPageBreak/>
        <w:t>What it cost (capital expenditure $000)</w:t>
      </w:r>
    </w:p>
    <w:tbl>
      <w:tblPr>
        <w:tblW w:w="13907" w:type="dxa"/>
        <w:tblInd w:w="93" w:type="dxa"/>
        <w:tblBorders>
          <w:top w:val="single" w:sz="4" w:space="0" w:color="215868" w:themeColor="accent5" w:themeShade="80"/>
          <w:bottom w:val="single" w:sz="4" w:space="0" w:color="215868" w:themeColor="accent5" w:themeShade="80"/>
          <w:insideH w:val="single" w:sz="4" w:space="0" w:color="215868" w:themeColor="accent5" w:themeShade="80"/>
          <w:insideV w:val="single" w:sz="4" w:space="0" w:color="215868" w:themeColor="accent5" w:themeShade="80"/>
        </w:tblBorders>
        <w:tblLook w:val="04A0" w:firstRow="1" w:lastRow="0" w:firstColumn="1" w:lastColumn="0" w:noHBand="0" w:noVBand="1"/>
      </w:tblPr>
      <w:tblGrid>
        <w:gridCol w:w="4300"/>
        <w:gridCol w:w="960"/>
        <w:gridCol w:w="939"/>
        <w:gridCol w:w="939"/>
        <w:gridCol w:w="1161"/>
        <w:gridCol w:w="939"/>
        <w:gridCol w:w="984"/>
        <w:gridCol w:w="1068"/>
        <w:gridCol w:w="2617"/>
      </w:tblGrid>
      <w:tr w:rsidR="00546A26" w:rsidRPr="001244BB" w:rsidTr="00060BB3">
        <w:trPr>
          <w:trHeight w:val="1029"/>
        </w:trPr>
        <w:tc>
          <w:tcPr>
            <w:tcW w:w="4300" w:type="dxa"/>
            <w:tcBorders>
              <w:bottom w:val="nil"/>
              <w:right w:val="single" w:sz="4" w:space="0" w:color="FFFFFF" w:themeColor="background1"/>
            </w:tcBorders>
            <w:shd w:val="clear" w:color="auto" w:fill="009999"/>
            <w:noWrap/>
            <w:vAlign w:val="bottom"/>
            <w:hideMark/>
          </w:tcPr>
          <w:p w:rsidR="00546A26" w:rsidRPr="008F0B0E" w:rsidRDefault="00546A26" w:rsidP="004106CD">
            <w:pPr>
              <w:spacing w:after="0" w:line="240" w:lineRule="auto"/>
              <w:rPr>
                <w:rFonts w:ascii="Arial" w:eastAsia="Times New Roman" w:hAnsi="Arial" w:cs="Arial"/>
                <w:b/>
                <w:bCs/>
                <w:color w:val="FFFFFF" w:themeColor="background1"/>
                <w:szCs w:val="24"/>
                <w:lang w:eastAsia="en-NZ"/>
              </w:rPr>
            </w:pPr>
            <w:r w:rsidRPr="008F0B0E">
              <w:rPr>
                <w:rFonts w:ascii="Arial" w:eastAsia="Times New Roman" w:hAnsi="Arial" w:cs="Arial"/>
                <w:b/>
                <w:bCs/>
                <w:color w:val="FFFFFF" w:themeColor="background1"/>
                <w:szCs w:val="24"/>
                <w:lang w:eastAsia="en-NZ"/>
              </w:rPr>
              <w:t> </w:t>
            </w:r>
            <w:r w:rsidR="00184F69">
              <w:rPr>
                <w:rFonts w:ascii="Arial" w:eastAsia="Times New Roman" w:hAnsi="Arial" w:cs="Arial"/>
                <w:b/>
                <w:bCs/>
                <w:color w:val="FFFFFF" w:themeColor="background1"/>
                <w:szCs w:val="24"/>
                <w:lang w:eastAsia="en-NZ"/>
              </w:rPr>
              <w:t>Social and Recreation</w:t>
            </w:r>
          </w:p>
        </w:tc>
        <w:tc>
          <w:tcPr>
            <w:tcW w:w="960" w:type="dxa"/>
            <w:tcBorders>
              <w:left w:val="single" w:sz="4" w:space="0" w:color="FFFFFF" w:themeColor="background1"/>
              <w:bottom w:val="single" w:sz="4" w:space="0" w:color="FFFFFF" w:themeColor="background1"/>
              <w:right w:val="single" w:sz="4" w:space="0" w:color="FFFFFF" w:themeColor="background1"/>
            </w:tcBorders>
            <w:shd w:val="clear" w:color="auto" w:fill="009999"/>
            <w:vAlign w:val="bottom"/>
            <w:hideMark/>
          </w:tcPr>
          <w:p w:rsidR="00546A26" w:rsidRPr="008F0B0E" w:rsidRDefault="00546A26" w:rsidP="00060BB3">
            <w:pPr>
              <w:spacing w:after="0" w:line="240" w:lineRule="auto"/>
              <w:jc w:val="center"/>
              <w:rPr>
                <w:rFonts w:ascii="Arial" w:eastAsia="Times New Roman" w:hAnsi="Arial" w:cs="Arial"/>
                <w:b/>
                <w:bCs/>
                <w:color w:val="FFFFFF" w:themeColor="background1"/>
                <w:sz w:val="20"/>
                <w:lang w:eastAsia="en-NZ"/>
              </w:rPr>
            </w:pPr>
            <w:r w:rsidRPr="008F0B0E">
              <w:rPr>
                <w:rFonts w:ascii="Arial" w:eastAsia="Times New Roman" w:hAnsi="Arial" w:cs="Arial"/>
                <w:b/>
                <w:bCs/>
                <w:color w:val="FFFFFF" w:themeColor="background1"/>
                <w:sz w:val="20"/>
                <w:lang w:eastAsia="en-NZ"/>
              </w:rPr>
              <w:t xml:space="preserve">2016/17 Actual </w:t>
            </w:r>
          </w:p>
        </w:tc>
        <w:tc>
          <w:tcPr>
            <w:tcW w:w="939" w:type="dxa"/>
            <w:tcBorders>
              <w:left w:val="single" w:sz="4" w:space="0" w:color="FFFFFF" w:themeColor="background1"/>
              <w:bottom w:val="single" w:sz="4" w:space="0" w:color="FFFFFF" w:themeColor="background1"/>
              <w:right w:val="single" w:sz="4" w:space="0" w:color="FFFFFF" w:themeColor="background1"/>
            </w:tcBorders>
            <w:shd w:val="clear" w:color="auto" w:fill="009999"/>
            <w:vAlign w:val="bottom"/>
            <w:hideMark/>
          </w:tcPr>
          <w:p w:rsidR="00546A26" w:rsidRPr="008F0B0E" w:rsidRDefault="00546A26" w:rsidP="00060BB3">
            <w:pPr>
              <w:spacing w:after="0" w:line="240" w:lineRule="auto"/>
              <w:jc w:val="center"/>
              <w:rPr>
                <w:rFonts w:ascii="Arial" w:eastAsia="Times New Roman" w:hAnsi="Arial" w:cs="Arial"/>
                <w:b/>
                <w:bCs/>
                <w:color w:val="FFFFFF" w:themeColor="background1"/>
                <w:sz w:val="20"/>
                <w:lang w:eastAsia="en-NZ"/>
              </w:rPr>
            </w:pPr>
            <w:r w:rsidRPr="008F0B0E">
              <w:rPr>
                <w:rFonts w:ascii="Arial" w:eastAsia="Times New Roman" w:hAnsi="Arial" w:cs="Arial"/>
                <w:b/>
                <w:bCs/>
                <w:color w:val="FFFFFF" w:themeColor="background1"/>
                <w:sz w:val="20"/>
                <w:lang w:eastAsia="en-NZ"/>
              </w:rPr>
              <w:t xml:space="preserve">2017/18 Actual </w:t>
            </w:r>
          </w:p>
        </w:tc>
        <w:tc>
          <w:tcPr>
            <w:tcW w:w="939" w:type="dxa"/>
            <w:tcBorders>
              <w:left w:val="single" w:sz="4" w:space="0" w:color="FFFFFF" w:themeColor="background1"/>
              <w:bottom w:val="single" w:sz="4" w:space="0" w:color="FFFFFF" w:themeColor="background1"/>
              <w:right w:val="single" w:sz="4" w:space="0" w:color="FFFFFF" w:themeColor="background1"/>
            </w:tcBorders>
            <w:shd w:val="clear" w:color="auto" w:fill="009999"/>
            <w:vAlign w:val="bottom"/>
            <w:hideMark/>
          </w:tcPr>
          <w:p w:rsidR="00546A26" w:rsidRPr="008F0B0E" w:rsidRDefault="00060BB3" w:rsidP="00060BB3">
            <w:pPr>
              <w:spacing w:after="0" w:line="240" w:lineRule="auto"/>
              <w:jc w:val="center"/>
              <w:rPr>
                <w:rFonts w:ascii="Arial" w:eastAsia="Times New Roman" w:hAnsi="Arial" w:cs="Arial"/>
                <w:b/>
                <w:bCs/>
                <w:color w:val="FFFFFF" w:themeColor="background1"/>
                <w:sz w:val="20"/>
                <w:lang w:eastAsia="en-NZ"/>
              </w:rPr>
            </w:pPr>
            <w:r>
              <w:rPr>
                <w:rFonts w:ascii="Arial" w:eastAsia="Times New Roman" w:hAnsi="Arial" w:cs="Arial"/>
                <w:b/>
                <w:bCs/>
                <w:color w:val="FFFFFF" w:themeColor="background1"/>
                <w:sz w:val="20"/>
                <w:lang w:eastAsia="en-NZ"/>
              </w:rPr>
              <w:t xml:space="preserve">2018/19 Budget </w:t>
            </w:r>
          </w:p>
        </w:tc>
        <w:tc>
          <w:tcPr>
            <w:tcW w:w="1161" w:type="dxa"/>
            <w:tcBorders>
              <w:left w:val="single" w:sz="4" w:space="0" w:color="FFFFFF" w:themeColor="background1"/>
              <w:bottom w:val="single" w:sz="4" w:space="0" w:color="FFFFFF" w:themeColor="background1"/>
              <w:right w:val="single" w:sz="4" w:space="0" w:color="FFFFFF" w:themeColor="background1"/>
            </w:tcBorders>
            <w:shd w:val="clear" w:color="auto" w:fill="009999"/>
            <w:vAlign w:val="bottom"/>
            <w:hideMark/>
          </w:tcPr>
          <w:p w:rsidR="00546A26" w:rsidRPr="008F0B0E" w:rsidRDefault="00060BB3" w:rsidP="00060BB3">
            <w:pPr>
              <w:spacing w:after="0" w:line="240" w:lineRule="auto"/>
              <w:jc w:val="center"/>
              <w:rPr>
                <w:rFonts w:ascii="Arial" w:eastAsia="Times New Roman" w:hAnsi="Arial" w:cs="Arial"/>
                <w:b/>
                <w:bCs/>
                <w:color w:val="FFFFFF" w:themeColor="background1"/>
                <w:sz w:val="20"/>
                <w:lang w:eastAsia="en-NZ"/>
              </w:rPr>
            </w:pPr>
            <w:r>
              <w:rPr>
                <w:rFonts w:ascii="Arial" w:eastAsia="Times New Roman" w:hAnsi="Arial" w:cs="Arial"/>
                <w:b/>
                <w:bCs/>
                <w:color w:val="FFFFFF" w:themeColor="background1"/>
                <w:sz w:val="20"/>
                <w:lang w:eastAsia="en-NZ"/>
              </w:rPr>
              <w:t>2018/19 Revisions</w:t>
            </w:r>
          </w:p>
        </w:tc>
        <w:tc>
          <w:tcPr>
            <w:tcW w:w="939" w:type="dxa"/>
            <w:tcBorders>
              <w:left w:val="single" w:sz="4" w:space="0" w:color="FFFFFF" w:themeColor="background1"/>
              <w:bottom w:val="single" w:sz="4" w:space="0" w:color="FFFFFF" w:themeColor="background1"/>
              <w:right w:val="single" w:sz="4" w:space="0" w:color="FFFFFF" w:themeColor="background1"/>
            </w:tcBorders>
            <w:shd w:val="clear" w:color="auto" w:fill="009999"/>
            <w:vAlign w:val="bottom"/>
            <w:hideMark/>
          </w:tcPr>
          <w:p w:rsidR="00546A26" w:rsidRPr="008F0B0E" w:rsidRDefault="00060BB3" w:rsidP="00060BB3">
            <w:pPr>
              <w:spacing w:after="0" w:line="240" w:lineRule="auto"/>
              <w:jc w:val="center"/>
              <w:rPr>
                <w:rFonts w:ascii="Arial" w:eastAsia="Times New Roman" w:hAnsi="Arial" w:cs="Arial"/>
                <w:b/>
                <w:bCs/>
                <w:color w:val="FFFFFF" w:themeColor="background1"/>
                <w:sz w:val="20"/>
                <w:lang w:eastAsia="en-NZ"/>
              </w:rPr>
            </w:pPr>
            <w:r>
              <w:rPr>
                <w:rFonts w:ascii="Arial" w:eastAsia="Times New Roman" w:hAnsi="Arial" w:cs="Arial"/>
                <w:b/>
                <w:bCs/>
                <w:color w:val="FFFFFF" w:themeColor="background1"/>
                <w:sz w:val="20"/>
                <w:lang w:eastAsia="en-NZ"/>
              </w:rPr>
              <w:t>2018/19 Actual</w:t>
            </w:r>
          </w:p>
        </w:tc>
        <w:tc>
          <w:tcPr>
            <w:tcW w:w="984" w:type="dxa"/>
            <w:tcBorders>
              <w:left w:val="single" w:sz="4" w:space="0" w:color="FFFFFF" w:themeColor="background1"/>
              <w:bottom w:val="single" w:sz="4" w:space="0" w:color="FFFFFF" w:themeColor="background1"/>
              <w:right w:val="single" w:sz="4" w:space="0" w:color="FFFFFF" w:themeColor="background1"/>
            </w:tcBorders>
            <w:shd w:val="clear" w:color="auto" w:fill="009999"/>
            <w:vAlign w:val="bottom"/>
            <w:hideMark/>
          </w:tcPr>
          <w:p w:rsidR="00546A26" w:rsidRPr="008F0B0E" w:rsidRDefault="00546A26" w:rsidP="00060BB3">
            <w:pPr>
              <w:spacing w:after="0" w:line="240" w:lineRule="auto"/>
              <w:jc w:val="center"/>
              <w:rPr>
                <w:rFonts w:ascii="Arial" w:eastAsia="Times New Roman" w:hAnsi="Arial" w:cs="Arial"/>
                <w:b/>
                <w:bCs/>
                <w:color w:val="FFFFFF" w:themeColor="background1"/>
                <w:sz w:val="20"/>
                <w:lang w:eastAsia="en-NZ"/>
              </w:rPr>
            </w:pPr>
            <w:r w:rsidRPr="008F0B0E">
              <w:rPr>
                <w:rFonts w:ascii="Arial" w:eastAsia="Times New Roman" w:hAnsi="Arial" w:cs="Arial"/>
                <w:b/>
                <w:bCs/>
                <w:color w:val="FFFFFF" w:themeColor="background1"/>
                <w:sz w:val="20"/>
                <w:lang w:eastAsia="en-NZ"/>
              </w:rPr>
              <w:t>2018/19 Revised budg</w:t>
            </w:r>
            <w:r w:rsidR="00060BB3">
              <w:rPr>
                <w:rFonts w:ascii="Arial" w:eastAsia="Times New Roman" w:hAnsi="Arial" w:cs="Arial"/>
                <w:b/>
                <w:bCs/>
                <w:color w:val="FFFFFF" w:themeColor="background1"/>
                <w:sz w:val="20"/>
                <w:lang w:eastAsia="en-NZ"/>
              </w:rPr>
              <w:t>et</w:t>
            </w:r>
          </w:p>
        </w:tc>
        <w:tc>
          <w:tcPr>
            <w:tcW w:w="1068" w:type="dxa"/>
            <w:tcBorders>
              <w:left w:val="single" w:sz="4" w:space="0" w:color="FFFFFF" w:themeColor="background1"/>
              <w:bottom w:val="single" w:sz="4" w:space="0" w:color="FFFFFF" w:themeColor="background1"/>
              <w:right w:val="single" w:sz="4" w:space="0" w:color="FFFFFF" w:themeColor="background1"/>
            </w:tcBorders>
            <w:shd w:val="clear" w:color="auto" w:fill="009999"/>
            <w:vAlign w:val="bottom"/>
            <w:hideMark/>
          </w:tcPr>
          <w:p w:rsidR="00546A26" w:rsidRPr="008F0B0E" w:rsidRDefault="00546A26" w:rsidP="00060BB3">
            <w:pPr>
              <w:spacing w:after="0" w:line="240" w:lineRule="auto"/>
              <w:jc w:val="center"/>
              <w:rPr>
                <w:rFonts w:ascii="Arial" w:eastAsia="Times New Roman" w:hAnsi="Arial" w:cs="Arial"/>
                <w:b/>
                <w:bCs/>
                <w:color w:val="FFFFFF" w:themeColor="background1"/>
                <w:sz w:val="20"/>
                <w:lang w:eastAsia="en-NZ"/>
              </w:rPr>
            </w:pPr>
            <w:r w:rsidRPr="008F0B0E">
              <w:rPr>
                <w:rFonts w:ascii="Arial" w:eastAsia="Times New Roman" w:hAnsi="Arial" w:cs="Arial"/>
                <w:b/>
                <w:bCs/>
                <w:color w:val="FFFFFF" w:themeColor="background1"/>
                <w:sz w:val="20"/>
                <w:lang w:eastAsia="en-NZ"/>
              </w:rPr>
              <w:t>2018</w:t>
            </w:r>
            <w:r w:rsidR="00060BB3">
              <w:rPr>
                <w:rFonts w:ascii="Arial" w:eastAsia="Times New Roman" w:hAnsi="Arial" w:cs="Arial"/>
                <w:b/>
                <w:bCs/>
                <w:color w:val="FFFFFF" w:themeColor="background1"/>
                <w:sz w:val="20"/>
                <w:lang w:eastAsia="en-NZ"/>
              </w:rPr>
              <w:t>/19  Variance to revised budget</w:t>
            </w:r>
          </w:p>
        </w:tc>
        <w:tc>
          <w:tcPr>
            <w:tcW w:w="2617" w:type="dxa"/>
            <w:tcBorders>
              <w:left w:val="single" w:sz="4" w:space="0" w:color="FFFFFF" w:themeColor="background1"/>
              <w:bottom w:val="single" w:sz="4" w:space="0" w:color="FFFFFF" w:themeColor="background1"/>
            </w:tcBorders>
            <w:shd w:val="clear" w:color="auto" w:fill="009999"/>
            <w:noWrap/>
            <w:vAlign w:val="bottom"/>
            <w:hideMark/>
          </w:tcPr>
          <w:p w:rsidR="00546A26" w:rsidRPr="008F0B0E" w:rsidRDefault="00546A26" w:rsidP="00880F56">
            <w:pPr>
              <w:spacing w:after="0" w:line="240" w:lineRule="auto"/>
              <w:jc w:val="center"/>
              <w:rPr>
                <w:rFonts w:ascii="Arial" w:eastAsia="Times New Roman" w:hAnsi="Arial" w:cs="Arial"/>
                <w:b/>
                <w:bCs/>
                <w:color w:val="FFFFFF" w:themeColor="background1"/>
                <w:sz w:val="20"/>
                <w:lang w:eastAsia="en-NZ"/>
              </w:rPr>
            </w:pPr>
            <w:r w:rsidRPr="008F0B0E">
              <w:rPr>
                <w:rFonts w:ascii="Arial" w:eastAsia="Times New Roman" w:hAnsi="Arial" w:cs="Arial"/>
                <w:b/>
                <w:bCs/>
                <w:color w:val="FFFFFF" w:themeColor="background1"/>
                <w:sz w:val="20"/>
                <w:lang w:eastAsia="en-NZ"/>
              </w:rPr>
              <w:t>Variance Commentary</w:t>
            </w:r>
          </w:p>
        </w:tc>
      </w:tr>
      <w:tr w:rsidR="00546A26" w:rsidRPr="001244BB" w:rsidTr="004106CD">
        <w:trPr>
          <w:trHeight w:val="300"/>
        </w:trPr>
        <w:tc>
          <w:tcPr>
            <w:tcW w:w="4300" w:type="dxa"/>
            <w:tcBorders>
              <w:top w:val="nil"/>
              <w:bottom w:val="nil"/>
              <w:right w:val="nil"/>
            </w:tcBorders>
            <w:shd w:val="clear" w:color="auto" w:fill="B6DDE8" w:themeFill="accent5" w:themeFillTint="66"/>
            <w:noWrap/>
            <w:vAlign w:val="bottom"/>
            <w:hideMark/>
          </w:tcPr>
          <w:p w:rsidR="00546A26" w:rsidRPr="001244BB" w:rsidRDefault="00546A26" w:rsidP="004106CD">
            <w:pPr>
              <w:spacing w:after="0" w:line="240" w:lineRule="auto"/>
              <w:rPr>
                <w:rFonts w:ascii="Arial" w:eastAsia="Times New Roman" w:hAnsi="Arial" w:cs="Arial"/>
                <w:b/>
                <w:bCs/>
                <w:color w:val="000000"/>
                <w:sz w:val="20"/>
                <w:lang w:eastAsia="en-NZ"/>
              </w:rPr>
            </w:pPr>
            <w:r w:rsidRPr="001244BB">
              <w:rPr>
                <w:rFonts w:ascii="Arial" w:eastAsia="Times New Roman" w:hAnsi="Arial" w:cs="Arial"/>
                <w:b/>
                <w:bCs/>
                <w:color w:val="000000"/>
                <w:sz w:val="20"/>
                <w:lang w:eastAsia="en-NZ"/>
              </w:rPr>
              <w:t>5.1 Recreation promotion and support</w:t>
            </w:r>
          </w:p>
        </w:tc>
        <w:tc>
          <w:tcPr>
            <w:tcW w:w="960" w:type="dxa"/>
            <w:tcBorders>
              <w:top w:val="single" w:sz="4" w:space="0" w:color="FFFFFF" w:themeColor="background1"/>
              <w:left w:val="nil"/>
            </w:tcBorders>
            <w:shd w:val="clear" w:color="auto" w:fill="B6DDE8" w:themeFill="accent5" w:themeFillTint="66"/>
            <w:noWrap/>
            <w:vAlign w:val="bottom"/>
            <w:hideMark/>
          </w:tcPr>
          <w:p w:rsidR="00546A26" w:rsidRPr="001244BB" w:rsidRDefault="00546A26" w:rsidP="004106CD">
            <w:pPr>
              <w:spacing w:after="0" w:line="240" w:lineRule="auto"/>
              <w:rPr>
                <w:rFonts w:ascii="Arial" w:eastAsia="Times New Roman" w:hAnsi="Arial" w:cs="Arial"/>
                <w:color w:val="000000"/>
                <w:sz w:val="20"/>
                <w:lang w:eastAsia="en-NZ"/>
              </w:rPr>
            </w:pPr>
          </w:p>
        </w:tc>
        <w:tc>
          <w:tcPr>
            <w:tcW w:w="939" w:type="dxa"/>
            <w:tcBorders>
              <w:top w:val="single" w:sz="4" w:space="0" w:color="FFFFFF" w:themeColor="background1"/>
            </w:tcBorders>
            <w:shd w:val="clear" w:color="auto" w:fill="B6DDE8" w:themeFill="accent5" w:themeFillTint="66"/>
            <w:noWrap/>
            <w:vAlign w:val="bottom"/>
            <w:hideMark/>
          </w:tcPr>
          <w:p w:rsidR="00546A26" w:rsidRPr="001244BB" w:rsidRDefault="00546A26" w:rsidP="004106CD">
            <w:pPr>
              <w:spacing w:after="0" w:line="240" w:lineRule="auto"/>
              <w:rPr>
                <w:rFonts w:ascii="Arial" w:eastAsia="Times New Roman" w:hAnsi="Arial" w:cs="Arial"/>
                <w:color w:val="000000"/>
                <w:sz w:val="20"/>
                <w:lang w:eastAsia="en-NZ"/>
              </w:rPr>
            </w:pPr>
          </w:p>
        </w:tc>
        <w:tc>
          <w:tcPr>
            <w:tcW w:w="939" w:type="dxa"/>
            <w:tcBorders>
              <w:top w:val="single" w:sz="4" w:space="0" w:color="FFFFFF" w:themeColor="background1"/>
            </w:tcBorders>
            <w:shd w:val="clear" w:color="auto" w:fill="B6DDE8" w:themeFill="accent5" w:themeFillTint="66"/>
            <w:noWrap/>
            <w:vAlign w:val="bottom"/>
            <w:hideMark/>
          </w:tcPr>
          <w:p w:rsidR="00546A26" w:rsidRPr="001244BB" w:rsidRDefault="00546A26" w:rsidP="004106CD">
            <w:pPr>
              <w:spacing w:after="0" w:line="240" w:lineRule="auto"/>
              <w:rPr>
                <w:rFonts w:ascii="Arial" w:eastAsia="Times New Roman" w:hAnsi="Arial" w:cs="Arial"/>
                <w:color w:val="000000"/>
                <w:sz w:val="20"/>
                <w:lang w:eastAsia="en-NZ"/>
              </w:rPr>
            </w:pPr>
          </w:p>
        </w:tc>
        <w:tc>
          <w:tcPr>
            <w:tcW w:w="1161" w:type="dxa"/>
            <w:tcBorders>
              <w:top w:val="single" w:sz="4" w:space="0" w:color="FFFFFF" w:themeColor="background1"/>
            </w:tcBorders>
            <w:shd w:val="clear" w:color="auto" w:fill="B6DDE8" w:themeFill="accent5" w:themeFillTint="66"/>
            <w:noWrap/>
            <w:vAlign w:val="bottom"/>
            <w:hideMark/>
          </w:tcPr>
          <w:p w:rsidR="00546A26" w:rsidRPr="001244BB" w:rsidRDefault="00546A26" w:rsidP="004106CD">
            <w:pPr>
              <w:spacing w:after="0" w:line="240" w:lineRule="auto"/>
              <w:rPr>
                <w:rFonts w:ascii="Arial" w:eastAsia="Times New Roman" w:hAnsi="Arial" w:cs="Arial"/>
                <w:color w:val="000000"/>
                <w:sz w:val="20"/>
                <w:lang w:eastAsia="en-NZ"/>
              </w:rPr>
            </w:pPr>
          </w:p>
        </w:tc>
        <w:tc>
          <w:tcPr>
            <w:tcW w:w="939" w:type="dxa"/>
            <w:tcBorders>
              <w:top w:val="single" w:sz="4" w:space="0" w:color="FFFFFF" w:themeColor="background1"/>
            </w:tcBorders>
            <w:shd w:val="clear" w:color="auto" w:fill="B6DDE8" w:themeFill="accent5" w:themeFillTint="66"/>
            <w:noWrap/>
            <w:vAlign w:val="bottom"/>
            <w:hideMark/>
          </w:tcPr>
          <w:p w:rsidR="00546A26" w:rsidRPr="001244BB" w:rsidRDefault="00546A26" w:rsidP="004106CD">
            <w:pPr>
              <w:spacing w:after="0" w:line="240" w:lineRule="auto"/>
              <w:rPr>
                <w:rFonts w:ascii="Arial" w:eastAsia="Times New Roman" w:hAnsi="Arial" w:cs="Arial"/>
                <w:color w:val="000000"/>
                <w:sz w:val="20"/>
                <w:lang w:eastAsia="en-NZ"/>
              </w:rPr>
            </w:pPr>
            <w:r w:rsidRPr="001244BB">
              <w:rPr>
                <w:rFonts w:ascii="Arial" w:eastAsia="Times New Roman" w:hAnsi="Arial" w:cs="Arial"/>
                <w:color w:val="000000"/>
                <w:sz w:val="20"/>
                <w:lang w:eastAsia="en-NZ"/>
              </w:rPr>
              <w:t> </w:t>
            </w:r>
          </w:p>
        </w:tc>
        <w:tc>
          <w:tcPr>
            <w:tcW w:w="984" w:type="dxa"/>
            <w:tcBorders>
              <w:top w:val="single" w:sz="4" w:space="0" w:color="FFFFFF" w:themeColor="background1"/>
            </w:tcBorders>
            <w:shd w:val="clear" w:color="auto" w:fill="B6DDE8" w:themeFill="accent5" w:themeFillTint="66"/>
            <w:noWrap/>
            <w:vAlign w:val="bottom"/>
            <w:hideMark/>
          </w:tcPr>
          <w:p w:rsidR="00546A26" w:rsidRPr="001244BB" w:rsidRDefault="00546A26" w:rsidP="004106CD">
            <w:pPr>
              <w:spacing w:after="0" w:line="240" w:lineRule="auto"/>
              <w:rPr>
                <w:rFonts w:ascii="Arial" w:eastAsia="Times New Roman" w:hAnsi="Arial" w:cs="Arial"/>
                <w:color w:val="000000"/>
                <w:sz w:val="20"/>
                <w:lang w:eastAsia="en-NZ"/>
              </w:rPr>
            </w:pPr>
            <w:r w:rsidRPr="001244BB">
              <w:rPr>
                <w:rFonts w:ascii="Arial" w:eastAsia="Times New Roman" w:hAnsi="Arial" w:cs="Arial"/>
                <w:color w:val="000000"/>
                <w:sz w:val="20"/>
                <w:lang w:eastAsia="en-NZ"/>
              </w:rPr>
              <w:t> </w:t>
            </w:r>
          </w:p>
        </w:tc>
        <w:tc>
          <w:tcPr>
            <w:tcW w:w="1068" w:type="dxa"/>
            <w:tcBorders>
              <w:top w:val="single" w:sz="4" w:space="0" w:color="FFFFFF" w:themeColor="background1"/>
            </w:tcBorders>
            <w:shd w:val="clear" w:color="auto" w:fill="B6DDE8" w:themeFill="accent5" w:themeFillTint="66"/>
            <w:noWrap/>
            <w:vAlign w:val="bottom"/>
            <w:hideMark/>
          </w:tcPr>
          <w:p w:rsidR="00546A26" w:rsidRPr="001244BB" w:rsidRDefault="00546A26" w:rsidP="004106CD">
            <w:pPr>
              <w:spacing w:after="0" w:line="240" w:lineRule="auto"/>
              <w:rPr>
                <w:rFonts w:ascii="Arial" w:eastAsia="Times New Roman" w:hAnsi="Arial" w:cs="Arial"/>
                <w:color w:val="000000"/>
                <w:sz w:val="20"/>
                <w:lang w:eastAsia="en-NZ"/>
              </w:rPr>
            </w:pPr>
            <w:r w:rsidRPr="001244BB">
              <w:rPr>
                <w:rFonts w:ascii="Arial" w:eastAsia="Times New Roman" w:hAnsi="Arial" w:cs="Arial"/>
                <w:color w:val="000000"/>
                <w:sz w:val="20"/>
                <w:lang w:eastAsia="en-NZ"/>
              </w:rPr>
              <w:t> </w:t>
            </w:r>
          </w:p>
        </w:tc>
        <w:tc>
          <w:tcPr>
            <w:tcW w:w="2617" w:type="dxa"/>
            <w:tcBorders>
              <w:top w:val="single" w:sz="4" w:space="0" w:color="FFFFFF" w:themeColor="background1"/>
            </w:tcBorders>
            <w:shd w:val="clear" w:color="auto" w:fill="B6DDE8" w:themeFill="accent5" w:themeFillTint="66"/>
            <w:vAlign w:val="bottom"/>
            <w:hideMark/>
          </w:tcPr>
          <w:p w:rsidR="00546A26" w:rsidRPr="001244BB" w:rsidRDefault="00546A26" w:rsidP="004106CD">
            <w:pPr>
              <w:spacing w:after="0" w:line="240" w:lineRule="auto"/>
              <w:rPr>
                <w:rFonts w:ascii="Calibri" w:eastAsia="Times New Roman" w:hAnsi="Calibri" w:cs="Calibri"/>
                <w:color w:val="000000"/>
                <w:sz w:val="20"/>
                <w:lang w:eastAsia="en-NZ"/>
              </w:rPr>
            </w:pPr>
          </w:p>
        </w:tc>
      </w:tr>
      <w:tr w:rsidR="00546A26" w:rsidRPr="001244BB" w:rsidTr="004106CD">
        <w:trPr>
          <w:trHeight w:val="300"/>
        </w:trPr>
        <w:tc>
          <w:tcPr>
            <w:tcW w:w="4300" w:type="dxa"/>
            <w:tcBorders>
              <w:top w:val="nil"/>
              <w:bottom w:val="nil"/>
            </w:tcBorders>
            <w:shd w:val="clear" w:color="auto" w:fill="auto"/>
            <w:noWrap/>
            <w:hideMark/>
          </w:tcPr>
          <w:p w:rsidR="00546A26" w:rsidRPr="001244BB" w:rsidRDefault="00546A26" w:rsidP="004106CD">
            <w:pPr>
              <w:spacing w:after="0" w:line="240" w:lineRule="auto"/>
              <w:ind w:firstLineChars="100" w:firstLine="200"/>
              <w:rPr>
                <w:rFonts w:ascii="Arial" w:eastAsia="Times New Roman" w:hAnsi="Arial" w:cs="Arial"/>
                <w:color w:val="000000"/>
                <w:sz w:val="20"/>
                <w:lang w:eastAsia="en-NZ"/>
              </w:rPr>
            </w:pPr>
            <w:r w:rsidRPr="001244BB">
              <w:rPr>
                <w:rFonts w:ascii="Arial" w:eastAsia="Times New Roman" w:hAnsi="Arial" w:cs="Arial"/>
                <w:color w:val="000000"/>
                <w:sz w:val="20"/>
                <w:lang w:eastAsia="en-NZ"/>
              </w:rPr>
              <w:t>Expenditure</w:t>
            </w:r>
          </w:p>
        </w:tc>
        <w:tc>
          <w:tcPr>
            <w:tcW w:w="960" w:type="dxa"/>
            <w:shd w:val="clear" w:color="auto" w:fill="auto"/>
            <w:noWrap/>
            <w:hideMark/>
          </w:tcPr>
          <w:p w:rsidR="00546A26" w:rsidRPr="001244BB" w:rsidRDefault="00546A26" w:rsidP="004106CD">
            <w:pPr>
              <w:spacing w:after="0" w:line="240" w:lineRule="auto"/>
              <w:jc w:val="right"/>
              <w:rPr>
                <w:rFonts w:ascii="Arial" w:eastAsia="Times New Roman" w:hAnsi="Arial" w:cs="Arial"/>
                <w:color w:val="000000"/>
                <w:sz w:val="20"/>
                <w:lang w:eastAsia="en-NZ"/>
              </w:rPr>
            </w:pPr>
            <w:r w:rsidRPr="001244BB">
              <w:rPr>
                <w:rFonts w:ascii="Arial" w:eastAsia="Times New Roman" w:hAnsi="Arial" w:cs="Arial"/>
                <w:color w:val="000000"/>
                <w:sz w:val="20"/>
                <w:lang w:eastAsia="en-NZ"/>
              </w:rPr>
              <w:t>8,708</w:t>
            </w:r>
          </w:p>
        </w:tc>
        <w:tc>
          <w:tcPr>
            <w:tcW w:w="939" w:type="dxa"/>
            <w:shd w:val="clear" w:color="auto" w:fill="auto"/>
            <w:noWrap/>
            <w:hideMark/>
          </w:tcPr>
          <w:p w:rsidR="00546A26" w:rsidRPr="001244BB" w:rsidRDefault="00546A26" w:rsidP="004106CD">
            <w:pPr>
              <w:spacing w:after="0" w:line="240" w:lineRule="auto"/>
              <w:jc w:val="right"/>
              <w:rPr>
                <w:rFonts w:ascii="Arial" w:eastAsia="Times New Roman" w:hAnsi="Arial" w:cs="Arial"/>
                <w:color w:val="000000"/>
                <w:sz w:val="20"/>
                <w:lang w:eastAsia="en-NZ"/>
              </w:rPr>
            </w:pPr>
            <w:r w:rsidRPr="001244BB">
              <w:rPr>
                <w:rFonts w:ascii="Arial" w:eastAsia="Times New Roman" w:hAnsi="Arial" w:cs="Arial"/>
                <w:color w:val="000000"/>
                <w:sz w:val="20"/>
                <w:lang w:eastAsia="en-NZ"/>
              </w:rPr>
              <w:t>6,529</w:t>
            </w:r>
          </w:p>
        </w:tc>
        <w:tc>
          <w:tcPr>
            <w:tcW w:w="939" w:type="dxa"/>
            <w:shd w:val="clear" w:color="auto" w:fill="auto"/>
            <w:noWrap/>
            <w:hideMark/>
          </w:tcPr>
          <w:p w:rsidR="00546A26" w:rsidRPr="001244BB" w:rsidRDefault="00546A26" w:rsidP="004106CD">
            <w:pPr>
              <w:spacing w:after="0" w:line="240" w:lineRule="auto"/>
              <w:jc w:val="right"/>
              <w:rPr>
                <w:rFonts w:ascii="Arial" w:eastAsia="Times New Roman" w:hAnsi="Arial" w:cs="Arial"/>
                <w:color w:val="000000"/>
                <w:sz w:val="20"/>
                <w:lang w:eastAsia="en-NZ"/>
              </w:rPr>
            </w:pPr>
            <w:r w:rsidRPr="001244BB">
              <w:rPr>
                <w:rFonts w:ascii="Arial" w:eastAsia="Times New Roman" w:hAnsi="Arial" w:cs="Arial"/>
                <w:color w:val="000000"/>
                <w:sz w:val="20"/>
                <w:lang w:eastAsia="en-NZ"/>
              </w:rPr>
              <w:t>7,928</w:t>
            </w:r>
          </w:p>
        </w:tc>
        <w:tc>
          <w:tcPr>
            <w:tcW w:w="1161" w:type="dxa"/>
            <w:shd w:val="clear" w:color="auto" w:fill="auto"/>
            <w:noWrap/>
            <w:hideMark/>
          </w:tcPr>
          <w:p w:rsidR="00546A26" w:rsidRPr="001244BB" w:rsidRDefault="00546A26" w:rsidP="004106CD">
            <w:pPr>
              <w:spacing w:after="0" w:line="240" w:lineRule="auto"/>
              <w:jc w:val="right"/>
              <w:rPr>
                <w:rFonts w:ascii="Arial" w:eastAsia="Times New Roman" w:hAnsi="Arial" w:cs="Arial"/>
                <w:color w:val="000000"/>
                <w:sz w:val="20"/>
                <w:lang w:eastAsia="en-NZ"/>
              </w:rPr>
            </w:pPr>
            <w:r w:rsidRPr="001244BB">
              <w:rPr>
                <w:rFonts w:ascii="Arial" w:eastAsia="Times New Roman" w:hAnsi="Arial" w:cs="Arial"/>
                <w:color w:val="000000"/>
                <w:sz w:val="20"/>
                <w:lang w:eastAsia="en-NZ"/>
              </w:rPr>
              <w:t>565</w:t>
            </w:r>
          </w:p>
        </w:tc>
        <w:tc>
          <w:tcPr>
            <w:tcW w:w="939" w:type="dxa"/>
            <w:shd w:val="clear" w:color="000000" w:fill="E0E0E0"/>
            <w:noWrap/>
            <w:hideMark/>
          </w:tcPr>
          <w:p w:rsidR="00546A26" w:rsidRPr="001244BB" w:rsidRDefault="00546A26" w:rsidP="004106CD">
            <w:pPr>
              <w:spacing w:after="0" w:line="240" w:lineRule="auto"/>
              <w:jc w:val="right"/>
              <w:rPr>
                <w:rFonts w:ascii="Arial" w:eastAsia="Times New Roman" w:hAnsi="Arial" w:cs="Arial"/>
                <w:color w:val="000000"/>
                <w:sz w:val="20"/>
                <w:lang w:eastAsia="en-NZ"/>
              </w:rPr>
            </w:pPr>
            <w:r w:rsidRPr="001244BB">
              <w:rPr>
                <w:rFonts w:ascii="Arial" w:eastAsia="Times New Roman" w:hAnsi="Arial" w:cs="Arial"/>
                <w:color w:val="000000"/>
                <w:sz w:val="20"/>
                <w:lang w:eastAsia="en-NZ"/>
              </w:rPr>
              <w:t>7,188</w:t>
            </w:r>
          </w:p>
        </w:tc>
        <w:tc>
          <w:tcPr>
            <w:tcW w:w="984" w:type="dxa"/>
            <w:shd w:val="clear" w:color="000000" w:fill="E0E0E0"/>
            <w:noWrap/>
            <w:hideMark/>
          </w:tcPr>
          <w:p w:rsidR="00546A26" w:rsidRPr="001244BB" w:rsidRDefault="00546A26" w:rsidP="004106CD">
            <w:pPr>
              <w:spacing w:after="0" w:line="240" w:lineRule="auto"/>
              <w:jc w:val="right"/>
              <w:rPr>
                <w:rFonts w:ascii="Arial" w:eastAsia="Times New Roman" w:hAnsi="Arial" w:cs="Arial"/>
                <w:color w:val="000000"/>
                <w:sz w:val="20"/>
                <w:lang w:eastAsia="en-NZ"/>
              </w:rPr>
            </w:pPr>
            <w:r w:rsidRPr="001244BB">
              <w:rPr>
                <w:rFonts w:ascii="Arial" w:eastAsia="Times New Roman" w:hAnsi="Arial" w:cs="Arial"/>
                <w:color w:val="000000"/>
                <w:sz w:val="20"/>
                <w:lang w:eastAsia="en-NZ"/>
              </w:rPr>
              <w:t>8,492</w:t>
            </w:r>
          </w:p>
        </w:tc>
        <w:tc>
          <w:tcPr>
            <w:tcW w:w="1068" w:type="dxa"/>
            <w:shd w:val="clear" w:color="000000" w:fill="E0E0E0"/>
            <w:noWrap/>
            <w:hideMark/>
          </w:tcPr>
          <w:p w:rsidR="00546A26" w:rsidRPr="001244BB" w:rsidRDefault="00546A26" w:rsidP="004106CD">
            <w:pPr>
              <w:spacing w:after="0" w:line="240" w:lineRule="auto"/>
              <w:jc w:val="right"/>
              <w:rPr>
                <w:rFonts w:ascii="Arial" w:eastAsia="Times New Roman" w:hAnsi="Arial" w:cs="Arial"/>
                <w:color w:val="000000"/>
                <w:sz w:val="20"/>
                <w:lang w:eastAsia="en-NZ"/>
              </w:rPr>
            </w:pPr>
            <w:r w:rsidRPr="001244BB">
              <w:rPr>
                <w:rFonts w:ascii="Arial" w:eastAsia="Times New Roman" w:hAnsi="Arial" w:cs="Arial"/>
                <w:color w:val="000000"/>
                <w:sz w:val="20"/>
                <w:lang w:eastAsia="en-NZ"/>
              </w:rPr>
              <w:t>1,304</w:t>
            </w:r>
          </w:p>
        </w:tc>
        <w:tc>
          <w:tcPr>
            <w:tcW w:w="2617" w:type="dxa"/>
            <w:shd w:val="clear" w:color="auto" w:fill="auto"/>
            <w:vAlign w:val="bottom"/>
            <w:hideMark/>
          </w:tcPr>
          <w:p w:rsidR="00546A26" w:rsidRPr="001244BB" w:rsidRDefault="00546A26" w:rsidP="004106CD">
            <w:pPr>
              <w:spacing w:after="0" w:line="240" w:lineRule="auto"/>
              <w:rPr>
                <w:rFonts w:eastAsia="Times New Roman" w:cstheme="minorHAnsi"/>
                <w:color w:val="000000"/>
                <w:sz w:val="20"/>
                <w:lang w:eastAsia="en-NZ"/>
              </w:rPr>
            </w:pPr>
            <w:r w:rsidRPr="001244BB">
              <w:rPr>
                <w:rFonts w:eastAsia="Times New Roman" w:cstheme="minorHAnsi"/>
                <w:color w:val="000000"/>
                <w:sz w:val="20"/>
                <w:lang w:eastAsia="en-NZ"/>
              </w:rPr>
              <w:t>Under budget due to re-prioritising of works programme</w:t>
            </w:r>
          </w:p>
        </w:tc>
      </w:tr>
      <w:tr w:rsidR="00546A26" w:rsidRPr="001244BB" w:rsidTr="004106CD">
        <w:trPr>
          <w:trHeight w:val="300"/>
        </w:trPr>
        <w:tc>
          <w:tcPr>
            <w:tcW w:w="4300" w:type="dxa"/>
            <w:tcBorders>
              <w:top w:val="nil"/>
              <w:bottom w:val="nil"/>
              <w:right w:val="nil"/>
            </w:tcBorders>
            <w:shd w:val="clear" w:color="auto" w:fill="B6DDE8" w:themeFill="accent5" w:themeFillTint="66"/>
            <w:noWrap/>
            <w:vAlign w:val="bottom"/>
            <w:hideMark/>
          </w:tcPr>
          <w:p w:rsidR="00546A26" w:rsidRPr="001244BB" w:rsidRDefault="00546A26" w:rsidP="004106CD">
            <w:pPr>
              <w:spacing w:after="0" w:line="240" w:lineRule="auto"/>
              <w:rPr>
                <w:rFonts w:ascii="Arial" w:eastAsia="Times New Roman" w:hAnsi="Arial" w:cs="Arial"/>
                <w:b/>
                <w:bCs/>
                <w:color w:val="000000"/>
                <w:sz w:val="20"/>
                <w:lang w:eastAsia="en-NZ"/>
              </w:rPr>
            </w:pPr>
            <w:r w:rsidRPr="001244BB">
              <w:rPr>
                <w:rFonts w:ascii="Arial" w:eastAsia="Times New Roman" w:hAnsi="Arial" w:cs="Arial"/>
                <w:b/>
                <w:bCs/>
                <w:color w:val="000000"/>
                <w:sz w:val="20"/>
                <w:lang w:eastAsia="en-NZ"/>
              </w:rPr>
              <w:t>5.2 Community support</w:t>
            </w:r>
          </w:p>
        </w:tc>
        <w:tc>
          <w:tcPr>
            <w:tcW w:w="960" w:type="dxa"/>
            <w:tcBorders>
              <w:left w:val="nil"/>
            </w:tcBorders>
            <w:shd w:val="clear" w:color="auto" w:fill="B6DDE8" w:themeFill="accent5" w:themeFillTint="66"/>
            <w:noWrap/>
            <w:vAlign w:val="bottom"/>
            <w:hideMark/>
          </w:tcPr>
          <w:p w:rsidR="00546A26" w:rsidRPr="001244BB" w:rsidRDefault="00546A26" w:rsidP="004106CD">
            <w:pPr>
              <w:spacing w:after="0" w:line="240" w:lineRule="auto"/>
              <w:rPr>
                <w:rFonts w:ascii="Arial" w:eastAsia="Times New Roman" w:hAnsi="Arial" w:cs="Arial"/>
                <w:color w:val="000000"/>
                <w:sz w:val="20"/>
                <w:lang w:eastAsia="en-NZ"/>
              </w:rPr>
            </w:pPr>
          </w:p>
        </w:tc>
        <w:tc>
          <w:tcPr>
            <w:tcW w:w="939" w:type="dxa"/>
            <w:shd w:val="clear" w:color="auto" w:fill="B6DDE8" w:themeFill="accent5" w:themeFillTint="66"/>
            <w:noWrap/>
            <w:vAlign w:val="bottom"/>
            <w:hideMark/>
          </w:tcPr>
          <w:p w:rsidR="00546A26" w:rsidRPr="001244BB" w:rsidRDefault="00546A26" w:rsidP="004106CD">
            <w:pPr>
              <w:spacing w:after="0" w:line="240" w:lineRule="auto"/>
              <w:rPr>
                <w:rFonts w:ascii="Arial" w:eastAsia="Times New Roman" w:hAnsi="Arial" w:cs="Arial"/>
                <w:color w:val="000000"/>
                <w:sz w:val="20"/>
                <w:lang w:eastAsia="en-NZ"/>
              </w:rPr>
            </w:pPr>
          </w:p>
        </w:tc>
        <w:tc>
          <w:tcPr>
            <w:tcW w:w="939" w:type="dxa"/>
            <w:shd w:val="clear" w:color="auto" w:fill="B6DDE8" w:themeFill="accent5" w:themeFillTint="66"/>
            <w:noWrap/>
            <w:vAlign w:val="bottom"/>
            <w:hideMark/>
          </w:tcPr>
          <w:p w:rsidR="00546A26" w:rsidRPr="001244BB" w:rsidRDefault="00546A26" w:rsidP="004106CD">
            <w:pPr>
              <w:spacing w:after="0" w:line="240" w:lineRule="auto"/>
              <w:rPr>
                <w:rFonts w:ascii="Arial" w:eastAsia="Times New Roman" w:hAnsi="Arial" w:cs="Arial"/>
                <w:color w:val="000000"/>
                <w:sz w:val="20"/>
                <w:lang w:eastAsia="en-NZ"/>
              </w:rPr>
            </w:pPr>
          </w:p>
        </w:tc>
        <w:tc>
          <w:tcPr>
            <w:tcW w:w="1161" w:type="dxa"/>
            <w:shd w:val="clear" w:color="auto" w:fill="B6DDE8" w:themeFill="accent5" w:themeFillTint="66"/>
            <w:noWrap/>
            <w:vAlign w:val="bottom"/>
            <w:hideMark/>
          </w:tcPr>
          <w:p w:rsidR="00546A26" w:rsidRPr="001244BB" w:rsidRDefault="00546A26" w:rsidP="004106CD">
            <w:pPr>
              <w:spacing w:after="0" w:line="240" w:lineRule="auto"/>
              <w:rPr>
                <w:rFonts w:ascii="Arial" w:eastAsia="Times New Roman" w:hAnsi="Arial" w:cs="Arial"/>
                <w:color w:val="000000"/>
                <w:sz w:val="20"/>
                <w:lang w:eastAsia="en-NZ"/>
              </w:rPr>
            </w:pPr>
          </w:p>
        </w:tc>
        <w:tc>
          <w:tcPr>
            <w:tcW w:w="939" w:type="dxa"/>
            <w:shd w:val="clear" w:color="auto" w:fill="B6DDE8" w:themeFill="accent5" w:themeFillTint="66"/>
            <w:noWrap/>
            <w:vAlign w:val="bottom"/>
            <w:hideMark/>
          </w:tcPr>
          <w:p w:rsidR="00546A26" w:rsidRPr="001244BB" w:rsidRDefault="00546A26" w:rsidP="004106CD">
            <w:pPr>
              <w:spacing w:after="0" w:line="240" w:lineRule="auto"/>
              <w:rPr>
                <w:rFonts w:ascii="Arial" w:eastAsia="Times New Roman" w:hAnsi="Arial" w:cs="Arial"/>
                <w:color w:val="000000"/>
                <w:sz w:val="20"/>
                <w:lang w:eastAsia="en-NZ"/>
              </w:rPr>
            </w:pPr>
            <w:r w:rsidRPr="001244BB">
              <w:rPr>
                <w:rFonts w:ascii="Arial" w:eastAsia="Times New Roman" w:hAnsi="Arial" w:cs="Arial"/>
                <w:color w:val="000000"/>
                <w:sz w:val="20"/>
                <w:lang w:eastAsia="en-NZ"/>
              </w:rPr>
              <w:t> </w:t>
            </w:r>
          </w:p>
        </w:tc>
        <w:tc>
          <w:tcPr>
            <w:tcW w:w="984" w:type="dxa"/>
            <w:shd w:val="clear" w:color="auto" w:fill="B6DDE8" w:themeFill="accent5" w:themeFillTint="66"/>
            <w:noWrap/>
            <w:vAlign w:val="bottom"/>
            <w:hideMark/>
          </w:tcPr>
          <w:p w:rsidR="00546A26" w:rsidRPr="001244BB" w:rsidRDefault="00546A26" w:rsidP="004106CD">
            <w:pPr>
              <w:spacing w:after="0" w:line="240" w:lineRule="auto"/>
              <w:rPr>
                <w:rFonts w:ascii="Arial" w:eastAsia="Times New Roman" w:hAnsi="Arial" w:cs="Arial"/>
                <w:color w:val="000000"/>
                <w:sz w:val="20"/>
                <w:lang w:eastAsia="en-NZ"/>
              </w:rPr>
            </w:pPr>
            <w:r w:rsidRPr="001244BB">
              <w:rPr>
                <w:rFonts w:ascii="Arial" w:eastAsia="Times New Roman" w:hAnsi="Arial" w:cs="Arial"/>
                <w:color w:val="000000"/>
                <w:sz w:val="20"/>
                <w:lang w:eastAsia="en-NZ"/>
              </w:rPr>
              <w:t> </w:t>
            </w:r>
          </w:p>
        </w:tc>
        <w:tc>
          <w:tcPr>
            <w:tcW w:w="1068" w:type="dxa"/>
            <w:shd w:val="clear" w:color="auto" w:fill="B6DDE8" w:themeFill="accent5" w:themeFillTint="66"/>
            <w:noWrap/>
            <w:vAlign w:val="bottom"/>
            <w:hideMark/>
          </w:tcPr>
          <w:p w:rsidR="00546A26" w:rsidRPr="001244BB" w:rsidRDefault="00546A26" w:rsidP="004106CD">
            <w:pPr>
              <w:spacing w:after="0" w:line="240" w:lineRule="auto"/>
              <w:rPr>
                <w:rFonts w:ascii="Arial" w:eastAsia="Times New Roman" w:hAnsi="Arial" w:cs="Arial"/>
                <w:color w:val="000000"/>
                <w:sz w:val="20"/>
                <w:lang w:eastAsia="en-NZ"/>
              </w:rPr>
            </w:pPr>
            <w:r w:rsidRPr="001244BB">
              <w:rPr>
                <w:rFonts w:ascii="Arial" w:eastAsia="Times New Roman" w:hAnsi="Arial" w:cs="Arial"/>
                <w:color w:val="000000"/>
                <w:sz w:val="20"/>
                <w:lang w:eastAsia="en-NZ"/>
              </w:rPr>
              <w:t> </w:t>
            </w:r>
          </w:p>
        </w:tc>
        <w:tc>
          <w:tcPr>
            <w:tcW w:w="2617" w:type="dxa"/>
            <w:shd w:val="clear" w:color="auto" w:fill="B6DDE8" w:themeFill="accent5" w:themeFillTint="66"/>
            <w:vAlign w:val="bottom"/>
            <w:hideMark/>
          </w:tcPr>
          <w:p w:rsidR="00546A26" w:rsidRPr="001244BB" w:rsidRDefault="00546A26" w:rsidP="004106CD">
            <w:pPr>
              <w:spacing w:after="0" w:line="240" w:lineRule="auto"/>
              <w:rPr>
                <w:rFonts w:eastAsia="Times New Roman" w:cstheme="minorHAnsi"/>
                <w:color w:val="000000"/>
                <w:sz w:val="20"/>
                <w:lang w:eastAsia="en-NZ"/>
              </w:rPr>
            </w:pPr>
          </w:p>
        </w:tc>
      </w:tr>
      <w:tr w:rsidR="00546A26" w:rsidRPr="001244BB" w:rsidTr="004106CD">
        <w:trPr>
          <w:trHeight w:val="510"/>
        </w:trPr>
        <w:tc>
          <w:tcPr>
            <w:tcW w:w="4300" w:type="dxa"/>
            <w:tcBorders>
              <w:top w:val="nil"/>
              <w:bottom w:val="nil"/>
            </w:tcBorders>
            <w:shd w:val="clear" w:color="auto" w:fill="auto"/>
            <w:noWrap/>
            <w:hideMark/>
          </w:tcPr>
          <w:p w:rsidR="00546A26" w:rsidRPr="001244BB" w:rsidRDefault="00546A26" w:rsidP="004106CD">
            <w:pPr>
              <w:spacing w:after="0" w:line="240" w:lineRule="auto"/>
              <w:ind w:firstLineChars="100" w:firstLine="200"/>
              <w:rPr>
                <w:rFonts w:ascii="Arial" w:eastAsia="Times New Roman" w:hAnsi="Arial" w:cs="Arial"/>
                <w:color w:val="000000"/>
                <w:sz w:val="20"/>
                <w:lang w:eastAsia="en-NZ"/>
              </w:rPr>
            </w:pPr>
            <w:r w:rsidRPr="001244BB">
              <w:rPr>
                <w:rFonts w:ascii="Arial" w:eastAsia="Times New Roman" w:hAnsi="Arial" w:cs="Arial"/>
                <w:color w:val="000000"/>
                <w:sz w:val="20"/>
                <w:lang w:eastAsia="en-NZ"/>
              </w:rPr>
              <w:t>Expenditure</w:t>
            </w:r>
          </w:p>
        </w:tc>
        <w:tc>
          <w:tcPr>
            <w:tcW w:w="960" w:type="dxa"/>
            <w:shd w:val="clear" w:color="auto" w:fill="auto"/>
            <w:noWrap/>
            <w:hideMark/>
          </w:tcPr>
          <w:p w:rsidR="00546A26" w:rsidRPr="001244BB" w:rsidRDefault="00546A26" w:rsidP="004106CD">
            <w:pPr>
              <w:spacing w:after="0" w:line="240" w:lineRule="auto"/>
              <w:jc w:val="right"/>
              <w:rPr>
                <w:rFonts w:ascii="Arial" w:eastAsia="Times New Roman" w:hAnsi="Arial" w:cs="Arial"/>
                <w:color w:val="000000"/>
                <w:sz w:val="20"/>
                <w:lang w:eastAsia="en-NZ"/>
              </w:rPr>
            </w:pPr>
            <w:r w:rsidRPr="001244BB">
              <w:rPr>
                <w:rFonts w:ascii="Arial" w:eastAsia="Times New Roman" w:hAnsi="Arial" w:cs="Arial"/>
                <w:color w:val="000000"/>
                <w:sz w:val="20"/>
                <w:lang w:eastAsia="en-NZ"/>
              </w:rPr>
              <w:t>18,756</w:t>
            </w:r>
          </w:p>
        </w:tc>
        <w:tc>
          <w:tcPr>
            <w:tcW w:w="939" w:type="dxa"/>
            <w:shd w:val="clear" w:color="auto" w:fill="auto"/>
            <w:noWrap/>
            <w:hideMark/>
          </w:tcPr>
          <w:p w:rsidR="00546A26" w:rsidRPr="001244BB" w:rsidRDefault="00546A26" w:rsidP="004106CD">
            <w:pPr>
              <w:spacing w:after="0" w:line="240" w:lineRule="auto"/>
              <w:jc w:val="right"/>
              <w:rPr>
                <w:rFonts w:ascii="Arial" w:eastAsia="Times New Roman" w:hAnsi="Arial" w:cs="Arial"/>
                <w:color w:val="000000"/>
                <w:sz w:val="20"/>
                <w:lang w:eastAsia="en-NZ"/>
              </w:rPr>
            </w:pPr>
            <w:r w:rsidRPr="001244BB">
              <w:rPr>
                <w:rFonts w:ascii="Arial" w:eastAsia="Times New Roman" w:hAnsi="Arial" w:cs="Arial"/>
                <w:color w:val="000000"/>
                <w:sz w:val="20"/>
                <w:lang w:eastAsia="en-NZ"/>
              </w:rPr>
              <w:t>32,725</w:t>
            </w:r>
          </w:p>
        </w:tc>
        <w:tc>
          <w:tcPr>
            <w:tcW w:w="939" w:type="dxa"/>
            <w:shd w:val="clear" w:color="auto" w:fill="auto"/>
            <w:noWrap/>
            <w:hideMark/>
          </w:tcPr>
          <w:p w:rsidR="00546A26" w:rsidRPr="001244BB" w:rsidRDefault="00546A26" w:rsidP="004106CD">
            <w:pPr>
              <w:spacing w:after="0" w:line="240" w:lineRule="auto"/>
              <w:jc w:val="right"/>
              <w:rPr>
                <w:rFonts w:ascii="Arial" w:eastAsia="Times New Roman" w:hAnsi="Arial" w:cs="Arial"/>
                <w:color w:val="000000"/>
                <w:sz w:val="20"/>
                <w:lang w:eastAsia="en-NZ"/>
              </w:rPr>
            </w:pPr>
            <w:r w:rsidRPr="001244BB">
              <w:rPr>
                <w:rFonts w:ascii="Arial" w:eastAsia="Times New Roman" w:hAnsi="Arial" w:cs="Arial"/>
                <w:color w:val="000000"/>
                <w:sz w:val="20"/>
                <w:lang w:eastAsia="en-NZ"/>
              </w:rPr>
              <w:t>29,399</w:t>
            </w:r>
          </w:p>
        </w:tc>
        <w:tc>
          <w:tcPr>
            <w:tcW w:w="1161" w:type="dxa"/>
            <w:shd w:val="clear" w:color="auto" w:fill="auto"/>
            <w:noWrap/>
            <w:hideMark/>
          </w:tcPr>
          <w:p w:rsidR="00546A26" w:rsidRPr="001244BB" w:rsidRDefault="00546A26" w:rsidP="004106CD">
            <w:pPr>
              <w:spacing w:after="0" w:line="240" w:lineRule="auto"/>
              <w:jc w:val="right"/>
              <w:rPr>
                <w:rFonts w:ascii="Arial" w:eastAsia="Times New Roman" w:hAnsi="Arial" w:cs="Arial"/>
                <w:color w:val="000000"/>
                <w:sz w:val="20"/>
                <w:lang w:eastAsia="en-NZ"/>
              </w:rPr>
            </w:pPr>
            <w:r w:rsidRPr="001244BB">
              <w:rPr>
                <w:rFonts w:ascii="Arial" w:eastAsia="Times New Roman" w:hAnsi="Arial" w:cs="Arial"/>
                <w:color w:val="000000"/>
                <w:sz w:val="20"/>
                <w:lang w:eastAsia="en-NZ"/>
              </w:rPr>
              <w:t>955</w:t>
            </w:r>
          </w:p>
        </w:tc>
        <w:tc>
          <w:tcPr>
            <w:tcW w:w="939" w:type="dxa"/>
            <w:shd w:val="clear" w:color="000000" w:fill="E0E0E0"/>
            <w:noWrap/>
            <w:hideMark/>
          </w:tcPr>
          <w:p w:rsidR="00546A26" w:rsidRPr="001244BB" w:rsidRDefault="00546A26" w:rsidP="004106CD">
            <w:pPr>
              <w:spacing w:after="0" w:line="240" w:lineRule="auto"/>
              <w:jc w:val="right"/>
              <w:rPr>
                <w:rFonts w:ascii="Arial" w:eastAsia="Times New Roman" w:hAnsi="Arial" w:cs="Arial"/>
                <w:color w:val="000000"/>
                <w:sz w:val="20"/>
                <w:lang w:eastAsia="en-NZ"/>
              </w:rPr>
            </w:pPr>
            <w:r w:rsidRPr="001244BB">
              <w:rPr>
                <w:rFonts w:ascii="Arial" w:eastAsia="Times New Roman" w:hAnsi="Arial" w:cs="Arial"/>
                <w:color w:val="000000"/>
                <w:sz w:val="20"/>
                <w:lang w:eastAsia="en-NZ"/>
              </w:rPr>
              <w:t>21,139</w:t>
            </w:r>
          </w:p>
        </w:tc>
        <w:tc>
          <w:tcPr>
            <w:tcW w:w="984" w:type="dxa"/>
            <w:shd w:val="clear" w:color="000000" w:fill="E0E0E0"/>
            <w:noWrap/>
            <w:hideMark/>
          </w:tcPr>
          <w:p w:rsidR="00546A26" w:rsidRPr="001244BB" w:rsidRDefault="00546A26" w:rsidP="004106CD">
            <w:pPr>
              <w:spacing w:after="0" w:line="240" w:lineRule="auto"/>
              <w:jc w:val="right"/>
              <w:rPr>
                <w:rFonts w:ascii="Arial" w:eastAsia="Times New Roman" w:hAnsi="Arial" w:cs="Arial"/>
                <w:color w:val="000000"/>
                <w:sz w:val="20"/>
                <w:lang w:eastAsia="en-NZ"/>
              </w:rPr>
            </w:pPr>
            <w:r w:rsidRPr="001244BB">
              <w:rPr>
                <w:rFonts w:ascii="Arial" w:eastAsia="Times New Roman" w:hAnsi="Arial" w:cs="Arial"/>
                <w:color w:val="000000"/>
                <w:sz w:val="20"/>
                <w:lang w:eastAsia="en-NZ"/>
              </w:rPr>
              <w:t>30,354</w:t>
            </w:r>
          </w:p>
        </w:tc>
        <w:tc>
          <w:tcPr>
            <w:tcW w:w="1068" w:type="dxa"/>
            <w:shd w:val="clear" w:color="000000" w:fill="E0E0E0"/>
            <w:noWrap/>
            <w:hideMark/>
          </w:tcPr>
          <w:p w:rsidR="00546A26" w:rsidRPr="001244BB" w:rsidRDefault="00546A26" w:rsidP="004106CD">
            <w:pPr>
              <w:spacing w:after="0" w:line="240" w:lineRule="auto"/>
              <w:jc w:val="right"/>
              <w:rPr>
                <w:rFonts w:ascii="Arial" w:eastAsia="Times New Roman" w:hAnsi="Arial" w:cs="Arial"/>
                <w:color w:val="000000"/>
                <w:sz w:val="20"/>
                <w:lang w:eastAsia="en-NZ"/>
              </w:rPr>
            </w:pPr>
            <w:r w:rsidRPr="001244BB">
              <w:rPr>
                <w:rFonts w:ascii="Arial" w:eastAsia="Times New Roman" w:hAnsi="Arial" w:cs="Arial"/>
                <w:color w:val="000000"/>
                <w:sz w:val="20"/>
                <w:lang w:eastAsia="en-NZ"/>
              </w:rPr>
              <w:t>9,215</w:t>
            </w:r>
          </w:p>
        </w:tc>
        <w:tc>
          <w:tcPr>
            <w:tcW w:w="2617" w:type="dxa"/>
            <w:shd w:val="clear" w:color="auto" w:fill="auto"/>
            <w:vAlign w:val="bottom"/>
            <w:hideMark/>
          </w:tcPr>
          <w:p w:rsidR="00546A26" w:rsidRPr="001244BB" w:rsidRDefault="00546A26" w:rsidP="004106CD">
            <w:pPr>
              <w:spacing w:after="0" w:line="240" w:lineRule="auto"/>
              <w:rPr>
                <w:rFonts w:eastAsia="Times New Roman" w:cstheme="minorHAnsi"/>
                <w:color w:val="000000"/>
                <w:sz w:val="20"/>
                <w:lang w:eastAsia="en-NZ"/>
              </w:rPr>
            </w:pPr>
            <w:r w:rsidRPr="001244BB">
              <w:rPr>
                <w:rFonts w:eastAsia="Times New Roman" w:cstheme="minorHAnsi"/>
                <w:color w:val="000000"/>
                <w:sz w:val="20"/>
                <w:lang w:eastAsia="en-NZ"/>
              </w:rPr>
              <w:t>Under budget due to re-scheduling the community centre upgrades to deliver procurement savings</w:t>
            </w:r>
          </w:p>
        </w:tc>
      </w:tr>
      <w:tr w:rsidR="00546A26" w:rsidRPr="001244BB" w:rsidTr="004106CD">
        <w:trPr>
          <w:trHeight w:val="300"/>
        </w:trPr>
        <w:tc>
          <w:tcPr>
            <w:tcW w:w="4300" w:type="dxa"/>
            <w:tcBorders>
              <w:top w:val="nil"/>
              <w:bottom w:val="nil"/>
              <w:right w:val="nil"/>
            </w:tcBorders>
            <w:shd w:val="clear" w:color="auto" w:fill="B6DDE8" w:themeFill="accent5" w:themeFillTint="66"/>
            <w:noWrap/>
            <w:vAlign w:val="bottom"/>
            <w:hideMark/>
          </w:tcPr>
          <w:p w:rsidR="00546A26" w:rsidRPr="001244BB" w:rsidRDefault="00546A26" w:rsidP="004106CD">
            <w:pPr>
              <w:spacing w:after="0" w:line="240" w:lineRule="auto"/>
              <w:rPr>
                <w:rFonts w:ascii="Arial" w:eastAsia="Times New Roman" w:hAnsi="Arial" w:cs="Arial"/>
                <w:b/>
                <w:bCs/>
                <w:color w:val="000000"/>
                <w:sz w:val="20"/>
                <w:lang w:eastAsia="en-NZ"/>
              </w:rPr>
            </w:pPr>
            <w:r w:rsidRPr="001244BB">
              <w:rPr>
                <w:rFonts w:ascii="Arial" w:eastAsia="Times New Roman" w:hAnsi="Arial" w:cs="Arial"/>
                <w:b/>
                <w:bCs/>
                <w:color w:val="000000"/>
                <w:sz w:val="20"/>
                <w:lang w:eastAsia="en-NZ"/>
              </w:rPr>
              <w:t>5.3 Public health and safety</w:t>
            </w:r>
          </w:p>
        </w:tc>
        <w:tc>
          <w:tcPr>
            <w:tcW w:w="960" w:type="dxa"/>
            <w:tcBorders>
              <w:left w:val="nil"/>
            </w:tcBorders>
            <w:shd w:val="clear" w:color="auto" w:fill="B6DDE8" w:themeFill="accent5" w:themeFillTint="66"/>
            <w:noWrap/>
            <w:vAlign w:val="bottom"/>
            <w:hideMark/>
          </w:tcPr>
          <w:p w:rsidR="00546A26" w:rsidRPr="001244BB" w:rsidRDefault="00546A26" w:rsidP="004106CD">
            <w:pPr>
              <w:spacing w:after="0" w:line="240" w:lineRule="auto"/>
              <w:rPr>
                <w:rFonts w:ascii="Arial" w:eastAsia="Times New Roman" w:hAnsi="Arial" w:cs="Arial"/>
                <w:color w:val="000000"/>
                <w:sz w:val="20"/>
                <w:lang w:eastAsia="en-NZ"/>
              </w:rPr>
            </w:pPr>
          </w:p>
        </w:tc>
        <w:tc>
          <w:tcPr>
            <w:tcW w:w="939" w:type="dxa"/>
            <w:shd w:val="clear" w:color="auto" w:fill="B6DDE8" w:themeFill="accent5" w:themeFillTint="66"/>
            <w:noWrap/>
            <w:vAlign w:val="bottom"/>
            <w:hideMark/>
          </w:tcPr>
          <w:p w:rsidR="00546A26" w:rsidRPr="001244BB" w:rsidRDefault="00546A26" w:rsidP="004106CD">
            <w:pPr>
              <w:spacing w:after="0" w:line="240" w:lineRule="auto"/>
              <w:rPr>
                <w:rFonts w:ascii="Arial" w:eastAsia="Times New Roman" w:hAnsi="Arial" w:cs="Arial"/>
                <w:color w:val="000000"/>
                <w:sz w:val="20"/>
                <w:lang w:eastAsia="en-NZ"/>
              </w:rPr>
            </w:pPr>
          </w:p>
        </w:tc>
        <w:tc>
          <w:tcPr>
            <w:tcW w:w="939" w:type="dxa"/>
            <w:shd w:val="clear" w:color="auto" w:fill="B6DDE8" w:themeFill="accent5" w:themeFillTint="66"/>
            <w:noWrap/>
            <w:vAlign w:val="bottom"/>
            <w:hideMark/>
          </w:tcPr>
          <w:p w:rsidR="00546A26" w:rsidRPr="001244BB" w:rsidRDefault="00546A26" w:rsidP="004106CD">
            <w:pPr>
              <w:spacing w:after="0" w:line="240" w:lineRule="auto"/>
              <w:rPr>
                <w:rFonts w:ascii="Arial" w:eastAsia="Times New Roman" w:hAnsi="Arial" w:cs="Arial"/>
                <w:color w:val="000000"/>
                <w:sz w:val="20"/>
                <w:lang w:eastAsia="en-NZ"/>
              </w:rPr>
            </w:pPr>
          </w:p>
        </w:tc>
        <w:tc>
          <w:tcPr>
            <w:tcW w:w="1161" w:type="dxa"/>
            <w:shd w:val="clear" w:color="auto" w:fill="B6DDE8" w:themeFill="accent5" w:themeFillTint="66"/>
            <w:noWrap/>
            <w:vAlign w:val="bottom"/>
            <w:hideMark/>
          </w:tcPr>
          <w:p w:rsidR="00546A26" w:rsidRPr="001244BB" w:rsidRDefault="00546A26" w:rsidP="004106CD">
            <w:pPr>
              <w:spacing w:after="0" w:line="240" w:lineRule="auto"/>
              <w:rPr>
                <w:rFonts w:ascii="Arial" w:eastAsia="Times New Roman" w:hAnsi="Arial" w:cs="Arial"/>
                <w:color w:val="000000"/>
                <w:sz w:val="20"/>
                <w:lang w:eastAsia="en-NZ"/>
              </w:rPr>
            </w:pPr>
          </w:p>
        </w:tc>
        <w:tc>
          <w:tcPr>
            <w:tcW w:w="939" w:type="dxa"/>
            <w:shd w:val="clear" w:color="auto" w:fill="B6DDE8" w:themeFill="accent5" w:themeFillTint="66"/>
            <w:noWrap/>
            <w:vAlign w:val="bottom"/>
            <w:hideMark/>
          </w:tcPr>
          <w:p w:rsidR="00546A26" w:rsidRPr="001244BB" w:rsidRDefault="00546A26" w:rsidP="004106CD">
            <w:pPr>
              <w:spacing w:after="0" w:line="240" w:lineRule="auto"/>
              <w:rPr>
                <w:rFonts w:ascii="Arial" w:eastAsia="Times New Roman" w:hAnsi="Arial" w:cs="Arial"/>
                <w:color w:val="000000"/>
                <w:sz w:val="20"/>
                <w:lang w:eastAsia="en-NZ"/>
              </w:rPr>
            </w:pPr>
            <w:r w:rsidRPr="001244BB">
              <w:rPr>
                <w:rFonts w:ascii="Arial" w:eastAsia="Times New Roman" w:hAnsi="Arial" w:cs="Arial"/>
                <w:color w:val="000000"/>
                <w:sz w:val="20"/>
                <w:lang w:eastAsia="en-NZ"/>
              </w:rPr>
              <w:t> </w:t>
            </w:r>
          </w:p>
        </w:tc>
        <w:tc>
          <w:tcPr>
            <w:tcW w:w="984" w:type="dxa"/>
            <w:shd w:val="clear" w:color="auto" w:fill="B6DDE8" w:themeFill="accent5" w:themeFillTint="66"/>
            <w:noWrap/>
            <w:vAlign w:val="bottom"/>
            <w:hideMark/>
          </w:tcPr>
          <w:p w:rsidR="00546A26" w:rsidRPr="001244BB" w:rsidRDefault="00546A26" w:rsidP="004106CD">
            <w:pPr>
              <w:spacing w:after="0" w:line="240" w:lineRule="auto"/>
              <w:rPr>
                <w:rFonts w:ascii="Arial" w:eastAsia="Times New Roman" w:hAnsi="Arial" w:cs="Arial"/>
                <w:color w:val="000000"/>
                <w:sz w:val="20"/>
                <w:lang w:eastAsia="en-NZ"/>
              </w:rPr>
            </w:pPr>
            <w:r w:rsidRPr="001244BB">
              <w:rPr>
                <w:rFonts w:ascii="Arial" w:eastAsia="Times New Roman" w:hAnsi="Arial" w:cs="Arial"/>
                <w:color w:val="000000"/>
                <w:sz w:val="20"/>
                <w:lang w:eastAsia="en-NZ"/>
              </w:rPr>
              <w:t> </w:t>
            </w:r>
          </w:p>
        </w:tc>
        <w:tc>
          <w:tcPr>
            <w:tcW w:w="1068" w:type="dxa"/>
            <w:shd w:val="clear" w:color="auto" w:fill="B6DDE8" w:themeFill="accent5" w:themeFillTint="66"/>
            <w:noWrap/>
            <w:vAlign w:val="bottom"/>
            <w:hideMark/>
          </w:tcPr>
          <w:p w:rsidR="00546A26" w:rsidRPr="001244BB" w:rsidRDefault="00546A26" w:rsidP="004106CD">
            <w:pPr>
              <w:spacing w:after="0" w:line="240" w:lineRule="auto"/>
              <w:rPr>
                <w:rFonts w:ascii="Arial" w:eastAsia="Times New Roman" w:hAnsi="Arial" w:cs="Arial"/>
                <w:color w:val="000000"/>
                <w:sz w:val="20"/>
                <w:lang w:eastAsia="en-NZ"/>
              </w:rPr>
            </w:pPr>
            <w:r w:rsidRPr="001244BB">
              <w:rPr>
                <w:rFonts w:ascii="Arial" w:eastAsia="Times New Roman" w:hAnsi="Arial" w:cs="Arial"/>
                <w:color w:val="000000"/>
                <w:sz w:val="20"/>
                <w:lang w:eastAsia="en-NZ"/>
              </w:rPr>
              <w:t> </w:t>
            </w:r>
          </w:p>
        </w:tc>
        <w:tc>
          <w:tcPr>
            <w:tcW w:w="2617" w:type="dxa"/>
            <w:shd w:val="clear" w:color="auto" w:fill="B6DDE8" w:themeFill="accent5" w:themeFillTint="66"/>
            <w:vAlign w:val="bottom"/>
            <w:hideMark/>
          </w:tcPr>
          <w:p w:rsidR="00546A26" w:rsidRPr="001244BB" w:rsidRDefault="00546A26" w:rsidP="004106CD">
            <w:pPr>
              <w:spacing w:after="0" w:line="240" w:lineRule="auto"/>
              <w:rPr>
                <w:rFonts w:eastAsia="Times New Roman" w:cstheme="minorHAnsi"/>
                <w:color w:val="000000"/>
                <w:sz w:val="20"/>
                <w:lang w:eastAsia="en-NZ"/>
              </w:rPr>
            </w:pPr>
          </w:p>
        </w:tc>
      </w:tr>
      <w:tr w:rsidR="00546A26" w:rsidRPr="001244BB" w:rsidTr="004106CD">
        <w:trPr>
          <w:trHeight w:val="510"/>
        </w:trPr>
        <w:tc>
          <w:tcPr>
            <w:tcW w:w="4300" w:type="dxa"/>
            <w:tcBorders>
              <w:top w:val="nil"/>
              <w:bottom w:val="nil"/>
            </w:tcBorders>
            <w:shd w:val="clear" w:color="auto" w:fill="auto"/>
            <w:noWrap/>
            <w:hideMark/>
          </w:tcPr>
          <w:p w:rsidR="00546A26" w:rsidRPr="001244BB" w:rsidRDefault="00546A26" w:rsidP="004106CD">
            <w:pPr>
              <w:spacing w:after="0" w:line="240" w:lineRule="auto"/>
              <w:ind w:firstLineChars="100" w:firstLine="200"/>
              <w:rPr>
                <w:rFonts w:ascii="Arial" w:eastAsia="Times New Roman" w:hAnsi="Arial" w:cs="Arial"/>
                <w:color w:val="000000"/>
                <w:sz w:val="20"/>
                <w:lang w:eastAsia="en-NZ"/>
              </w:rPr>
            </w:pPr>
            <w:r w:rsidRPr="001244BB">
              <w:rPr>
                <w:rFonts w:ascii="Arial" w:eastAsia="Times New Roman" w:hAnsi="Arial" w:cs="Arial"/>
                <w:color w:val="000000"/>
                <w:sz w:val="20"/>
                <w:lang w:eastAsia="en-NZ"/>
              </w:rPr>
              <w:t>Expenditure</w:t>
            </w:r>
          </w:p>
        </w:tc>
        <w:tc>
          <w:tcPr>
            <w:tcW w:w="960" w:type="dxa"/>
            <w:shd w:val="clear" w:color="auto" w:fill="auto"/>
            <w:noWrap/>
            <w:hideMark/>
          </w:tcPr>
          <w:p w:rsidR="00546A26" w:rsidRPr="001244BB" w:rsidRDefault="00546A26" w:rsidP="004106CD">
            <w:pPr>
              <w:spacing w:after="0" w:line="240" w:lineRule="auto"/>
              <w:jc w:val="right"/>
              <w:rPr>
                <w:rFonts w:ascii="Arial" w:eastAsia="Times New Roman" w:hAnsi="Arial" w:cs="Arial"/>
                <w:color w:val="000000"/>
                <w:sz w:val="20"/>
                <w:lang w:eastAsia="en-NZ"/>
              </w:rPr>
            </w:pPr>
            <w:r w:rsidRPr="001244BB">
              <w:rPr>
                <w:rFonts w:ascii="Arial" w:eastAsia="Times New Roman" w:hAnsi="Arial" w:cs="Arial"/>
                <w:color w:val="000000"/>
                <w:sz w:val="20"/>
                <w:lang w:eastAsia="en-NZ"/>
              </w:rPr>
              <w:t>2,721</w:t>
            </w:r>
          </w:p>
        </w:tc>
        <w:tc>
          <w:tcPr>
            <w:tcW w:w="939" w:type="dxa"/>
            <w:shd w:val="clear" w:color="auto" w:fill="auto"/>
            <w:noWrap/>
            <w:hideMark/>
          </w:tcPr>
          <w:p w:rsidR="00546A26" w:rsidRPr="001244BB" w:rsidRDefault="00546A26" w:rsidP="004106CD">
            <w:pPr>
              <w:spacing w:after="0" w:line="240" w:lineRule="auto"/>
              <w:jc w:val="right"/>
              <w:rPr>
                <w:rFonts w:ascii="Arial" w:eastAsia="Times New Roman" w:hAnsi="Arial" w:cs="Arial"/>
                <w:color w:val="000000"/>
                <w:sz w:val="20"/>
                <w:lang w:eastAsia="en-NZ"/>
              </w:rPr>
            </w:pPr>
            <w:r w:rsidRPr="001244BB">
              <w:rPr>
                <w:rFonts w:ascii="Arial" w:eastAsia="Times New Roman" w:hAnsi="Arial" w:cs="Arial"/>
                <w:color w:val="000000"/>
                <w:sz w:val="20"/>
                <w:lang w:eastAsia="en-NZ"/>
              </w:rPr>
              <w:t>999</w:t>
            </w:r>
          </w:p>
        </w:tc>
        <w:tc>
          <w:tcPr>
            <w:tcW w:w="939" w:type="dxa"/>
            <w:shd w:val="clear" w:color="auto" w:fill="auto"/>
            <w:noWrap/>
            <w:hideMark/>
          </w:tcPr>
          <w:p w:rsidR="00546A26" w:rsidRPr="001244BB" w:rsidRDefault="00546A26" w:rsidP="004106CD">
            <w:pPr>
              <w:spacing w:after="0" w:line="240" w:lineRule="auto"/>
              <w:jc w:val="right"/>
              <w:rPr>
                <w:rFonts w:ascii="Arial" w:eastAsia="Times New Roman" w:hAnsi="Arial" w:cs="Arial"/>
                <w:color w:val="000000"/>
                <w:sz w:val="20"/>
                <w:lang w:eastAsia="en-NZ"/>
              </w:rPr>
            </w:pPr>
            <w:r w:rsidRPr="001244BB">
              <w:rPr>
                <w:rFonts w:ascii="Arial" w:eastAsia="Times New Roman" w:hAnsi="Arial" w:cs="Arial"/>
                <w:color w:val="000000"/>
                <w:sz w:val="20"/>
                <w:lang w:eastAsia="en-NZ"/>
              </w:rPr>
              <w:t>2,366</w:t>
            </w:r>
          </w:p>
        </w:tc>
        <w:tc>
          <w:tcPr>
            <w:tcW w:w="1161" w:type="dxa"/>
            <w:shd w:val="clear" w:color="auto" w:fill="auto"/>
            <w:noWrap/>
            <w:hideMark/>
          </w:tcPr>
          <w:p w:rsidR="00546A26" w:rsidRPr="001244BB" w:rsidRDefault="00546A26" w:rsidP="004106CD">
            <w:pPr>
              <w:spacing w:after="0" w:line="240" w:lineRule="auto"/>
              <w:jc w:val="right"/>
              <w:rPr>
                <w:rFonts w:ascii="Arial" w:eastAsia="Times New Roman" w:hAnsi="Arial" w:cs="Arial"/>
                <w:color w:val="000000"/>
                <w:sz w:val="20"/>
                <w:lang w:eastAsia="en-NZ"/>
              </w:rPr>
            </w:pPr>
            <w:r w:rsidRPr="001244BB">
              <w:rPr>
                <w:rFonts w:ascii="Arial" w:eastAsia="Times New Roman" w:hAnsi="Arial" w:cs="Arial"/>
                <w:color w:val="000000"/>
                <w:sz w:val="20"/>
                <w:lang w:eastAsia="en-NZ"/>
              </w:rPr>
              <w:t>(64)</w:t>
            </w:r>
          </w:p>
        </w:tc>
        <w:tc>
          <w:tcPr>
            <w:tcW w:w="939" w:type="dxa"/>
            <w:shd w:val="clear" w:color="000000" w:fill="E0E0E0"/>
            <w:noWrap/>
            <w:hideMark/>
          </w:tcPr>
          <w:p w:rsidR="00546A26" w:rsidRPr="001244BB" w:rsidRDefault="00546A26" w:rsidP="004106CD">
            <w:pPr>
              <w:spacing w:after="0" w:line="240" w:lineRule="auto"/>
              <w:jc w:val="right"/>
              <w:rPr>
                <w:rFonts w:ascii="Arial" w:eastAsia="Times New Roman" w:hAnsi="Arial" w:cs="Arial"/>
                <w:color w:val="000000"/>
                <w:sz w:val="20"/>
                <w:lang w:eastAsia="en-NZ"/>
              </w:rPr>
            </w:pPr>
            <w:r w:rsidRPr="001244BB">
              <w:rPr>
                <w:rFonts w:ascii="Arial" w:eastAsia="Times New Roman" w:hAnsi="Arial" w:cs="Arial"/>
                <w:color w:val="000000"/>
                <w:sz w:val="20"/>
                <w:lang w:eastAsia="en-NZ"/>
              </w:rPr>
              <w:t>1,698</w:t>
            </w:r>
          </w:p>
        </w:tc>
        <w:tc>
          <w:tcPr>
            <w:tcW w:w="984" w:type="dxa"/>
            <w:shd w:val="clear" w:color="000000" w:fill="E0E0E0"/>
            <w:noWrap/>
            <w:hideMark/>
          </w:tcPr>
          <w:p w:rsidR="00546A26" w:rsidRPr="001244BB" w:rsidRDefault="00546A26" w:rsidP="004106CD">
            <w:pPr>
              <w:spacing w:after="0" w:line="240" w:lineRule="auto"/>
              <w:jc w:val="right"/>
              <w:rPr>
                <w:rFonts w:ascii="Arial" w:eastAsia="Times New Roman" w:hAnsi="Arial" w:cs="Arial"/>
                <w:color w:val="000000"/>
                <w:sz w:val="20"/>
                <w:lang w:eastAsia="en-NZ"/>
              </w:rPr>
            </w:pPr>
            <w:r w:rsidRPr="001244BB">
              <w:rPr>
                <w:rFonts w:ascii="Arial" w:eastAsia="Times New Roman" w:hAnsi="Arial" w:cs="Arial"/>
                <w:color w:val="000000"/>
                <w:sz w:val="20"/>
                <w:lang w:eastAsia="en-NZ"/>
              </w:rPr>
              <w:t>2,302</w:t>
            </w:r>
          </w:p>
        </w:tc>
        <w:tc>
          <w:tcPr>
            <w:tcW w:w="1068" w:type="dxa"/>
            <w:shd w:val="clear" w:color="000000" w:fill="E0E0E0"/>
            <w:noWrap/>
            <w:hideMark/>
          </w:tcPr>
          <w:p w:rsidR="00546A26" w:rsidRPr="001244BB" w:rsidRDefault="00546A26" w:rsidP="004106CD">
            <w:pPr>
              <w:spacing w:after="0" w:line="240" w:lineRule="auto"/>
              <w:jc w:val="right"/>
              <w:rPr>
                <w:rFonts w:ascii="Arial" w:eastAsia="Times New Roman" w:hAnsi="Arial" w:cs="Arial"/>
                <w:color w:val="000000"/>
                <w:sz w:val="20"/>
                <w:lang w:eastAsia="en-NZ"/>
              </w:rPr>
            </w:pPr>
            <w:r w:rsidRPr="001244BB">
              <w:rPr>
                <w:rFonts w:ascii="Arial" w:eastAsia="Times New Roman" w:hAnsi="Arial" w:cs="Arial"/>
                <w:color w:val="000000"/>
                <w:sz w:val="20"/>
                <w:lang w:eastAsia="en-NZ"/>
              </w:rPr>
              <w:t>604</w:t>
            </w:r>
          </w:p>
        </w:tc>
        <w:tc>
          <w:tcPr>
            <w:tcW w:w="2617" w:type="dxa"/>
            <w:shd w:val="clear" w:color="auto" w:fill="auto"/>
            <w:vAlign w:val="bottom"/>
            <w:hideMark/>
          </w:tcPr>
          <w:p w:rsidR="00546A26" w:rsidRPr="001244BB" w:rsidRDefault="00546A26" w:rsidP="004106CD">
            <w:pPr>
              <w:spacing w:after="0" w:line="240" w:lineRule="auto"/>
              <w:rPr>
                <w:rFonts w:eastAsia="Times New Roman" w:cstheme="minorHAnsi"/>
                <w:color w:val="000000"/>
                <w:sz w:val="20"/>
                <w:lang w:eastAsia="en-NZ"/>
              </w:rPr>
            </w:pPr>
            <w:r w:rsidRPr="001244BB">
              <w:rPr>
                <w:rFonts w:eastAsia="Times New Roman" w:cstheme="minorHAnsi"/>
                <w:color w:val="000000"/>
                <w:sz w:val="20"/>
                <w:lang w:eastAsia="en-NZ"/>
              </w:rPr>
              <w:t>Under budget due to re-prioritising the public toilet renewals timing</w:t>
            </w:r>
          </w:p>
        </w:tc>
      </w:tr>
      <w:tr w:rsidR="00546A26" w:rsidRPr="001244BB" w:rsidTr="004106CD">
        <w:trPr>
          <w:trHeight w:val="300"/>
        </w:trPr>
        <w:tc>
          <w:tcPr>
            <w:tcW w:w="4300" w:type="dxa"/>
            <w:tcBorders>
              <w:top w:val="nil"/>
              <w:bottom w:val="nil"/>
              <w:right w:val="nil"/>
            </w:tcBorders>
            <w:shd w:val="clear" w:color="auto" w:fill="B6DDE8" w:themeFill="accent5" w:themeFillTint="66"/>
            <w:noWrap/>
            <w:vAlign w:val="bottom"/>
            <w:hideMark/>
          </w:tcPr>
          <w:p w:rsidR="00546A26" w:rsidRPr="001244BB" w:rsidRDefault="00546A26" w:rsidP="00546A26">
            <w:pPr>
              <w:spacing w:after="0" w:line="240" w:lineRule="auto"/>
              <w:rPr>
                <w:rFonts w:ascii="Arial" w:eastAsia="Times New Roman" w:hAnsi="Arial" w:cs="Arial"/>
                <w:b/>
                <w:bCs/>
                <w:color w:val="000000"/>
                <w:sz w:val="20"/>
                <w:lang w:eastAsia="en-NZ"/>
              </w:rPr>
            </w:pPr>
            <w:r w:rsidRPr="001244BB">
              <w:rPr>
                <w:rFonts w:ascii="Arial" w:eastAsia="Times New Roman" w:hAnsi="Arial" w:cs="Arial"/>
                <w:b/>
                <w:bCs/>
                <w:color w:val="000000"/>
                <w:sz w:val="20"/>
                <w:lang w:eastAsia="en-NZ"/>
              </w:rPr>
              <w:t xml:space="preserve">Social </w:t>
            </w:r>
            <w:r>
              <w:rPr>
                <w:rFonts w:ascii="Arial" w:eastAsia="Times New Roman" w:hAnsi="Arial" w:cs="Arial"/>
                <w:b/>
                <w:bCs/>
                <w:color w:val="000000"/>
                <w:sz w:val="20"/>
                <w:lang w:eastAsia="en-NZ"/>
              </w:rPr>
              <w:t>a</w:t>
            </w:r>
            <w:r w:rsidRPr="001244BB">
              <w:rPr>
                <w:rFonts w:ascii="Arial" w:eastAsia="Times New Roman" w:hAnsi="Arial" w:cs="Arial"/>
                <w:b/>
                <w:bCs/>
                <w:color w:val="000000"/>
                <w:sz w:val="20"/>
                <w:lang w:eastAsia="en-NZ"/>
              </w:rPr>
              <w:t>nd Recreation Total</w:t>
            </w:r>
          </w:p>
        </w:tc>
        <w:tc>
          <w:tcPr>
            <w:tcW w:w="960" w:type="dxa"/>
            <w:tcBorders>
              <w:left w:val="nil"/>
            </w:tcBorders>
            <w:shd w:val="clear" w:color="auto" w:fill="B6DDE8" w:themeFill="accent5" w:themeFillTint="66"/>
            <w:noWrap/>
            <w:hideMark/>
          </w:tcPr>
          <w:p w:rsidR="00546A26" w:rsidRPr="001244BB" w:rsidRDefault="00546A26" w:rsidP="004106CD">
            <w:pPr>
              <w:spacing w:after="0" w:line="240" w:lineRule="auto"/>
              <w:jc w:val="right"/>
              <w:rPr>
                <w:rFonts w:ascii="Arial" w:eastAsia="Times New Roman" w:hAnsi="Arial" w:cs="Arial"/>
                <w:b/>
                <w:bCs/>
                <w:color w:val="000000"/>
                <w:sz w:val="20"/>
                <w:lang w:eastAsia="en-NZ"/>
              </w:rPr>
            </w:pPr>
            <w:r w:rsidRPr="001244BB">
              <w:rPr>
                <w:rFonts w:ascii="Arial" w:eastAsia="Times New Roman" w:hAnsi="Arial" w:cs="Arial"/>
                <w:b/>
                <w:bCs/>
                <w:color w:val="000000"/>
                <w:sz w:val="20"/>
                <w:lang w:eastAsia="en-NZ"/>
              </w:rPr>
              <w:t>30,186</w:t>
            </w:r>
          </w:p>
        </w:tc>
        <w:tc>
          <w:tcPr>
            <w:tcW w:w="939" w:type="dxa"/>
            <w:shd w:val="clear" w:color="auto" w:fill="B6DDE8" w:themeFill="accent5" w:themeFillTint="66"/>
            <w:noWrap/>
            <w:hideMark/>
          </w:tcPr>
          <w:p w:rsidR="00546A26" w:rsidRPr="001244BB" w:rsidRDefault="00546A26" w:rsidP="004106CD">
            <w:pPr>
              <w:spacing w:after="0" w:line="240" w:lineRule="auto"/>
              <w:jc w:val="right"/>
              <w:rPr>
                <w:rFonts w:ascii="Arial" w:eastAsia="Times New Roman" w:hAnsi="Arial" w:cs="Arial"/>
                <w:b/>
                <w:bCs/>
                <w:color w:val="000000"/>
                <w:sz w:val="20"/>
                <w:lang w:eastAsia="en-NZ"/>
              </w:rPr>
            </w:pPr>
            <w:r w:rsidRPr="001244BB">
              <w:rPr>
                <w:rFonts w:ascii="Arial" w:eastAsia="Times New Roman" w:hAnsi="Arial" w:cs="Arial"/>
                <w:b/>
                <w:bCs/>
                <w:color w:val="000000"/>
                <w:sz w:val="20"/>
                <w:lang w:eastAsia="en-NZ"/>
              </w:rPr>
              <w:t>40,253</w:t>
            </w:r>
          </w:p>
        </w:tc>
        <w:tc>
          <w:tcPr>
            <w:tcW w:w="939" w:type="dxa"/>
            <w:shd w:val="clear" w:color="auto" w:fill="B6DDE8" w:themeFill="accent5" w:themeFillTint="66"/>
            <w:noWrap/>
            <w:hideMark/>
          </w:tcPr>
          <w:p w:rsidR="00546A26" w:rsidRPr="001244BB" w:rsidRDefault="00546A26" w:rsidP="004106CD">
            <w:pPr>
              <w:spacing w:after="0" w:line="240" w:lineRule="auto"/>
              <w:jc w:val="right"/>
              <w:rPr>
                <w:rFonts w:ascii="Arial" w:eastAsia="Times New Roman" w:hAnsi="Arial" w:cs="Arial"/>
                <w:b/>
                <w:bCs/>
                <w:color w:val="000000"/>
                <w:sz w:val="20"/>
                <w:lang w:eastAsia="en-NZ"/>
              </w:rPr>
            </w:pPr>
            <w:r w:rsidRPr="001244BB">
              <w:rPr>
                <w:rFonts w:ascii="Arial" w:eastAsia="Times New Roman" w:hAnsi="Arial" w:cs="Arial"/>
                <w:b/>
                <w:bCs/>
                <w:color w:val="000000"/>
                <w:sz w:val="20"/>
                <w:lang w:eastAsia="en-NZ"/>
              </w:rPr>
              <w:t>39,693</w:t>
            </w:r>
          </w:p>
        </w:tc>
        <w:tc>
          <w:tcPr>
            <w:tcW w:w="1161" w:type="dxa"/>
            <w:shd w:val="clear" w:color="auto" w:fill="B6DDE8" w:themeFill="accent5" w:themeFillTint="66"/>
            <w:noWrap/>
            <w:hideMark/>
          </w:tcPr>
          <w:p w:rsidR="00546A26" w:rsidRPr="001244BB" w:rsidRDefault="00546A26" w:rsidP="004106CD">
            <w:pPr>
              <w:spacing w:after="0" w:line="240" w:lineRule="auto"/>
              <w:jc w:val="right"/>
              <w:rPr>
                <w:rFonts w:ascii="Arial" w:eastAsia="Times New Roman" w:hAnsi="Arial" w:cs="Arial"/>
                <w:b/>
                <w:bCs/>
                <w:color w:val="000000"/>
                <w:sz w:val="20"/>
                <w:lang w:eastAsia="en-NZ"/>
              </w:rPr>
            </w:pPr>
            <w:r w:rsidRPr="001244BB">
              <w:rPr>
                <w:rFonts w:ascii="Arial" w:eastAsia="Times New Roman" w:hAnsi="Arial" w:cs="Arial"/>
                <w:b/>
                <w:bCs/>
                <w:color w:val="000000"/>
                <w:sz w:val="20"/>
                <w:lang w:eastAsia="en-NZ"/>
              </w:rPr>
              <w:t>1,456</w:t>
            </w:r>
          </w:p>
        </w:tc>
        <w:tc>
          <w:tcPr>
            <w:tcW w:w="939" w:type="dxa"/>
            <w:shd w:val="clear" w:color="auto" w:fill="B6DDE8" w:themeFill="accent5" w:themeFillTint="66"/>
            <w:noWrap/>
            <w:hideMark/>
          </w:tcPr>
          <w:p w:rsidR="00546A26" w:rsidRPr="001244BB" w:rsidRDefault="00546A26" w:rsidP="004106CD">
            <w:pPr>
              <w:spacing w:after="0" w:line="240" w:lineRule="auto"/>
              <w:jc w:val="right"/>
              <w:rPr>
                <w:rFonts w:ascii="Arial" w:eastAsia="Times New Roman" w:hAnsi="Arial" w:cs="Arial"/>
                <w:b/>
                <w:bCs/>
                <w:color w:val="000000"/>
                <w:sz w:val="20"/>
                <w:lang w:eastAsia="en-NZ"/>
              </w:rPr>
            </w:pPr>
            <w:r w:rsidRPr="001244BB">
              <w:rPr>
                <w:rFonts w:ascii="Arial" w:eastAsia="Times New Roman" w:hAnsi="Arial" w:cs="Arial"/>
                <w:b/>
                <w:bCs/>
                <w:color w:val="000000"/>
                <w:sz w:val="20"/>
                <w:lang w:eastAsia="en-NZ"/>
              </w:rPr>
              <w:t>30,025</w:t>
            </w:r>
          </w:p>
        </w:tc>
        <w:tc>
          <w:tcPr>
            <w:tcW w:w="984" w:type="dxa"/>
            <w:shd w:val="clear" w:color="auto" w:fill="B6DDE8" w:themeFill="accent5" w:themeFillTint="66"/>
            <w:noWrap/>
            <w:hideMark/>
          </w:tcPr>
          <w:p w:rsidR="00546A26" w:rsidRPr="001244BB" w:rsidRDefault="00546A26" w:rsidP="004106CD">
            <w:pPr>
              <w:spacing w:after="0" w:line="240" w:lineRule="auto"/>
              <w:jc w:val="right"/>
              <w:rPr>
                <w:rFonts w:ascii="Arial" w:eastAsia="Times New Roman" w:hAnsi="Arial" w:cs="Arial"/>
                <w:b/>
                <w:bCs/>
                <w:color w:val="000000"/>
                <w:sz w:val="20"/>
                <w:lang w:eastAsia="en-NZ"/>
              </w:rPr>
            </w:pPr>
            <w:r w:rsidRPr="001244BB">
              <w:rPr>
                <w:rFonts w:ascii="Arial" w:eastAsia="Times New Roman" w:hAnsi="Arial" w:cs="Arial"/>
                <w:b/>
                <w:bCs/>
                <w:color w:val="000000"/>
                <w:sz w:val="20"/>
                <w:lang w:eastAsia="en-NZ"/>
              </w:rPr>
              <w:t>41,149</w:t>
            </w:r>
          </w:p>
        </w:tc>
        <w:tc>
          <w:tcPr>
            <w:tcW w:w="1068" w:type="dxa"/>
            <w:shd w:val="clear" w:color="auto" w:fill="B6DDE8" w:themeFill="accent5" w:themeFillTint="66"/>
            <w:noWrap/>
            <w:hideMark/>
          </w:tcPr>
          <w:p w:rsidR="00546A26" w:rsidRPr="001244BB" w:rsidRDefault="00546A26" w:rsidP="004106CD">
            <w:pPr>
              <w:spacing w:after="0" w:line="240" w:lineRule="auto"/>
              <w:jc w:val="right"/>
              <w:rPr>
                <w:rFonts w:ascii="Arial" w:eastAsia="Times New Roman" w:hAnsi="Arial" w:cs="Arial"/>
                <w:b/>
                <w:bCs/>
                <w:color w:val="000000"/>
                <w:sz w:val="20"/>
                <w:lang w:eastAsia="en-NZ"/>
              </w:rPr>
            </w:pPr>
            <w:r w:rsidRPr="001244BB">
              <w:rPr>
                <w:rFonts w:ascii="Arial" w:eastAsia="Times New Roman" w:hAnsi="Arial" w:cs="Arial"/>
                <w:b/>
                <w:bCs/>
                <w:color w:val="000000"/>
                <w:sz w:val="20"/>
                <w:lang w:eastAsia="en-NZ"/>
              </w:rPr>
              <w:t>11,124</w:t>
            </w:r>
          </w:p>
        </w:tc>
        <w:tc>
          <w:tcPr>
            <w:tcW w:w="2617" w:type="dxa"/>
            <w:shd w:val="clear" w:color="auto" w:fill="B6DDE8" w:themeFill="accent5" w:themeFillTint="66"/>
            <w:vAlign w:val="bottom"/>
            <w:hideMark/>
          </w:tcPr>
          <w:p w:rsidR="00546A26" w:rsidRPr="001244BB" w:rsidRDefault="00546A26" w:rsidP="004106CD">
            <w:pPr>
              <w:spacing w:after="0" w:line="240" w:lineRule="auto"/>
              <w:rPr>
                <w:rFonts w:ascii="Calibri" w:eastAsia="Times New Roman" w:hAnsi="Calibri" w:cs="Calibri"/>
                <w:color w:val="000000"/>
                <w:sz w:val="20"/>
                <w:lang w:eastAsia="en-NZ"/>
              </w:rPr>
            </w:pPr>
            <w:r w:rsidRPr="001244BB">
              <w:rPr>
                <w:rFonts w:ascii="Calibri" w:eastAsia="Times New Roman" w:hAnsi="Calibri" w:cs="Calibri"/>
                <w:color w:val="000000"/>
                <w:sz w:val="20"/>
                <w:lang w:eastAsia="en-NZ"/>
              </w:rPr>
              <w:t> </w:t>
            </w:r>
          </w:p>
        </w:tc>
      </w:tr>
    </w:tbl>
    <w:p w:rsidR="00066652" w:rsidRPr="00D5126A" w:rsidRDefault="00066652" w:rsidP="00066652">
      <w:pPr>
        <w:pStyle w:val="5Block"/>
        <w:spacing w:after="0" w:line="240" w:lineRule="auto"/>
        <w:rPr>
          <w:rFonts w:ascii="Arial" w:hAnsi="Arial" w:cs="Arial"/>
        </w:rPr>
      </w:pPr>
    </w:p>
    <w:p w:rsidR="00066652" w:rsidRPr="005F209F" w:rsidRDefault="00066652" w:rsidP="00AA2122">
      <w:pPr>
        <w:pStyle w:val="Heading3"/>
        <w:rPr>
          <w:color w:val="009999"/>
        </w:rPr>
      </w:pPr>
      <w:bookmarkStart w:id="248" w:name="Social_and_recreation_performance"/>
      <w:bookmarkStart w:id="249" w:name="_Toc11915658"/>
      <w:bookmarkStart w:id="250" w:name="_Toc13211856"/>
      <w:bookmarkStart w:id="251" w:name="_Toc14178559"/>
      <w:bookmarkStart w:id="252" w:name="_Toc19085847"/>
      <w:r w:rsidRPr="005F209F">
        <w:rPr>
          <w:color w:val="009999"/>
        </w:rPr>
        <w:t>Social and recreation performance</w:t>
      </w:r>
      <w:bookmarkEnd w:id="248"/>
      <w:bookmarkEnd w:id="249"/>
      <w:bookmarkEnd w:id="250"/>
      <w:bookmarkEnd w:id="251"/>
      <w:bookmarkEnd w:id="252"/>
    </w:p>
    <w:p w:rsidR="00066652" w:rsidRPr="00D5126A" w:rsidRDefault="00066652" w:rsidP="00066652">
      <w:pPr>
        <w:rPr>
          <w:rFonts w:ascii="Arial" w:hAnsi="Arial" w:cs="Arial"/>
        </w:rPr>
      </w:pPr>
      <w:r w:rsidRPr="00D5126A">
        <w:rPr>
          <w:rFonts w:ascii="Arial" w:hAnsi="Arial" w:cs="Arial"/>
        </w:rPr>
        <w:t>The following section outlines our performance data: outcome indicators, performance measures and supplementary tables.</w:t>
      </w:r>
    </w:p>
    <w:p w:rsidR="00066652" w:rsidRPr="00D5126A" w:rsidRDefault="00066652" w:rsidP="00066652">
      <w:pPr>
        <w:rPr>
          <w:rFonts w:ascii="Arial" w:hAnsi="Arial" w:cs="Arial"/>
        </w:rPr>
      </w:pPr>
      <w:r w:rsidRPr="00D5126A">
        <w:rPr>
          <w:rFonts w:ascii="Arial" w:hAnsi="Arial" w:cs="Arial"/>
        </w:rPr>
        <w:t>We use outcome indicators to monitor our city over time, which provides information on trends that may influence our performance including</w:t>
      </w:r>
      <w:r w:rsidR="00FC355A">
        <w:rPr>
          <w:rFonts w:ascii="Arial" w:hAnsi="Arial" w:cs="Arial"/>
        </w:rPr>
        <w:t>,</w:t>
      </w:r>
      <w:r w:rsidRPr="00D5126A">
        <w:rPr>
          <w:rFonts w:ascii="Arial" w:hAnsi="Arial" w:cs="Arial"/>
        </w:rPr>
        <w:t xml:space="preserve"> those outside our control.</w:t>
      </w:r>
    </w:p>
    <w:p w:rsidR="00066652" w:rsidRPr="00D5126A" w:rsidRDefault="00066652" w:rsidP="00066652">
      <w:pPr>
        <w:rPr>
          <w:rFonts w:ascii="Arial" w:hAnsi="Arial" w:cs="Arial"/>
        </w:rPr>
      </w:pPr>
      <w:r w:rsidRPr="00D5126A">
        <w:rPr>
          <w:rFonts w:ascii="Arial" w:hAnsi="Arial" w:cs="Arial"/>
        </w:rPr>
        <w:t>We use performance measures to track how well we are delivering services against targets as set out in the 10-year and annual plans.</w:t>
      </w:r>
    </w:p>
    <w:p w:rsidR="00066652" w:rsidRPr="00D5126A" w:rsidRDefault="00066652" w:rsidP="00066652">
      <w:pPr>
        <w:rPr>
          <w:rFonts w:ascii="Arial" w:hAnsi="Arial" w:cs="Arial"/>
        </w:rPr>
      </w:pPr>
      <w:r w:rsidRPr="00D5126A">
        <w:rPr>
          <w:rFonts w:ascii="Arial" w:hAnsi="Arial" w:cs="Arial"/>
        </w:rPr>
        <w:t xml:space="preserve">The Council undertakes the Residents’ Monitoring Survey (RMS) on an annual basis. The survey has a margin of error of </w:t>
      </w:r>
      <w:r w:rsidR="001D2EAA">
        <w:t>+/- 4.4% percent.</w:t>
      </w:r>
    </w:p>
    <w:p w:rsidR="00066652" w:rsidRPr="005F209F" w:rsidRDefault="00066652" w:rsidP="00846C1B">
      <w:pPr>
        <w:pStyle w:val="Heading4"/>
        <w:rPr>
          <w:color w:val="009999"/>
        </w:rPr>
      </w:pPr>
      <w:r w:rsidRPr="005F209F">
        <w:rPr>
          <w:color w:val="009999"/>
        </w:rPr>
        <w:t>Performance data – outcome indicators</w:t>
      </w:r>
    </w:p>
    <w:p w:rsidR="00066652" w:rsidRPr="00D5126A" w:rsidRDefault="00066652" w:rsidP="00066652">
      <w:pPr>
        <w:pStyle w:val="Para034"/>
        <w:spacing w:line="240" w:lineRule="auto"/>
        <w:rPr>
          <w:rFonts w:ascii="Arial" w:hAnsi="Arial" w:cs="Arial"/>
        </w:rPr>
      </w:pPr>
      <w:r w:rsidRPr="00D5126A">
        <w:rPr>
          <w:rFonts w:ascii="Arial" w:hAnsi="Arial" w:cs="Arial"/>
        </w:rPr>
        <w:t>The following section outlines outcome indicators for the Social and Recreation activity area. Outcome indicators do not have</w:t>
      </w:r>
      <w:r w:rsidR="0015012F" w:rsidRPr="00D5126A">
        <w:rPr>
          <w:rFonts w:ascii="Arial" w:hAnsi="Arial" w:cs="Arial"/>
        </w:rPr>
        <w:t xml:space="preserve"> targets</w:t>
      </w:r>
      <w:r w:rsidRPr="00D5126A">
        <w:rPr>
          <w:rFonts w:ascii="Arial" w:hAnsi="Arial" w:cs="Arial"/>
        </w:rPr>
        <w:t xml:space="preserve">. </w:t>
      </w:r>
    </w:p>
    <w:tbl>
      <w:tblPr>
        <w:tblW w:w="14459" w:type="dxa"/>
        <w:tblInd w:w="-176" w:type="dxa"/>
        <w:tblBorders>
          <w:top w:val="single" w:sz="4" w:space="0" w:color="215868" w:themeColor="accent5" w:themeShade="80"/>
          <w:left w:val="single" w:sz="4" w:space="0" w:color="215868" w:themeColor="accent5" w:themeShade="80"/>
          <w:bottom w:val="single" w:sz="4" w:space="0" w:color="215868" w:themeColor="accent5" w:themeShade="80"/>
          <w:right w:val="single" w:sz="4" w:space="0" w:color="215868" w:themeColor="accent5" w:themeShade="80"/>
          <w:insideH w:val="single" w:sz="4" w:space="0" w:color="215868" w:themeColor="accent5" w:themeShade="80"/>
          <w:insideV w:val="single" w:sz="4" w:space="0" w:color="215868" w:themeColor="accent5" w:themeShade="80"/>
        </w:tblBorders>
        <w:shd w:val="clear" w:color="auto" w:fill="009999"/>
        <w:tblLayout w:type="fixed"/>
        <w:tblLook w:val="04A0" w:firstRow="1" w:lastRow="0" w:firstColumn="1" w:lastColumn="0" w:noHBand="0" w:noVBand="1"/>
      </w:tblPr>
      <w:tblGrid>
        <w:gridCol w:w="3545"/>
        <w:gridCol w:w="1233"/>
        <w:gridCol w:w="1176"/>
        <w:gridCol w:w="1843"/>
        <w:gridCol w:w="1843"/>
        <w:gridCol w:w="1843"/>
        <w:gridCol w:w="2976"/>
      </w:tblGrid>
      <w:tr w:rsidR="00546A26" w:rsidRPr="00424AFD" w:rsidTr="00424AFD">
        <w:trPr>
          <w:trHeight w:val="259"/>
          <w:tblHeader/>
        </w:trPr>
        <w:tc>
          <w:tcPr>
            <w:tcW w:w="3545" w:type="dxa"/>
            <w:tcBorders>
              <w:left w:val="single" w:sz="4" w:space="0" w:color="FFFFFF" w:themeColor="background1"/>
              <w:bottom w:val="nil"/>
              <w:right w:val="single" w:sz="4" w:space="0" w:color="FFFFFF" w:themeColor="background1"/>
            </w:tcBorders>
            <w:shd w:val="clear" w:color="auto" w:fill="009999"/>
            <w:vAlign w:val="bottom"/>
            <w:hideMark/>
          </w:tcPr>
          <w:p w:rsidR="00546A26" w:rsidRPr="00424AFD" w:rsidRDefault="00546A26" w:rsidP="00424AFD">
            <w:pPr>
              <w:spacing w:after="0" w:line="240" w:lineRule="auto"/>
              <w:rPr>
                <w:rFonts w:eastAsia="Times New Roman" w:cstheme="minorHAnsi"/>
                <w:b/>
                <w:bCs/>
                <w:color w:val="FFFFFF" w:themeColor="background1"/>
                <w:sz w:val="24"/>
                <w:lang w:eastAsia="en-NZ"/>
              </w:rPr>
            </w:pPr>
            <w:bookmarkStart w:id="253" w:name="Performance_data___Council_performance_m"/>
            <w:r w:rsidRPr="00424AFD">
              <w:rPr>
                <w:rFonts w:eastAsia="Times New Roman" w:cstheme="minorHAnsi"/>
                <w:b/>
                <w:bCs/>
                <w:color w:val="FFFFFF" w:themeColor="background1"/>
                <w:sz w:val="24"/>
                <w:lang w:eastAsia="en-NZ"/>
              </w:rPr>
              <w:lastRenderedPageBreak/>
              <w:t>Social &amp; Recreation</w:t>
            </w:r>
          </w:p>
        </w:tc>
        <w:tc>
          <w:tcPr>
            <w:tcW w:w="1233" w:type="dxa"/>
            <w:tcBorders>
              <w:left w:val="single" w:sz="4" w:space="0" w:color="FFFFFF" w:themeColor="background1"/>
              <w:bottom w:val="nil"/>
              <w:right w:val="single" w:sz="4" w:space="0" w:color="FFFFFF" w:themeColor="background1"/>
            </w:tcBorders>
            <w:shd w:val="clear" w:color="auto" w:fill="009999"/>
            <w:noWrap/>
            <w:vAlign w:val="bottom"/>
            <w:hideMark/>
          </w:tcPr>
          <w:p w:rsidR="00546A26" w:rsidRPr="00424AFD" w:rsidRDefault="00546A26" w:rsidP="00424AFD">
            <w:pPr>
              <w:spacing w:after="0" w:line="240" w:lineRule="auto"/>
              <w:jc w:val="center"/>
              <w:rPr>
                <w:rFonts w:eastAsia="Times New Roman" w:cstheme="minorHAnsi"/>
                <w:b/>
                <w:bCs/>
                <w:color w:val="FFFFFF" w:themeColor="background1"/>
                <w:sz w:val="24"/>
                <w:lang w:eastAsia="en-NZ"/>
              </w:rPr>
            </w:pPr>
            <w:r w:rsidRPr="00424AFD">
              <w:rPr>
                <w:rFonts w:eastAsia="Times New Roman" w:cstheme="minorHAnsi"/>
                <w:b/>
                <w:bCs/>
                <w:color w:val="FFFFFF" w:themeColor="background1"/>
                <w:sz w:val="24"/>
                <w:lang w:eastAsia="en-NZ"/>
              </w:rPr>
              <w:t>Desired Trend</w:t>
            </w:r>
          </w:p>
        </w:tc>
        <w:tc>
          <w:tcPr>
            <w:tcW w:w="1176" w:type="dxa"/>
            <w:tcBorders>
              <w:left w:val="single" w:sz="4" w:space="0" w:color="FFFFFF" w:themeColor="background1"/>
              <w:bottom w:val="nil"/>
              <w:right w:val="single" w:sz="4" w:space="0" w:color="FFFFFF" w:themeColor="background1"/>
            </w:tcBorders>
            <w:shd w:val="clear" w:color="auto" w:fill="009999"/>
            <w:noWrap/>
            <w:vAlign w:val="bottom"/>
            <w:hideMark/>
          </w:tcPr>
          <w:p w:rsidR="00546A26" w:rsidRPr="00424AFD" w:rsidRDefault="00546A26" w:rsidP="00424AFD">
            <w:pPr>
              <w:spacing w:after="0" w:line="240" w:lineRule="auto"/>
              <w:jc w:val="center"/>
              <w:rPr>
                <w:rFonts w:eastAsia="Times New Roman" w:cstheme="minorHAnsi"/>
                <w:b/>
                <w:bCs/>
                <w:color w:val="FFFFFF" w:themeColor="background1"/>
                <w:sz w:val="24"/>
                <w:lang w:eastAsia="en-NZ"/>
              </w:rPr>
            </w:pPr>
            <w:r w:rsidRPr="00424AFD">
              <w:rPr>
                <w:rFonts w:eastAsia="Times New Roman" w:cstheme="minorHAnsi"/>
                <w:b/>
                <w:bCs/>
                <w:color w:val="FFFFFF" w:themeColor="background1"/>
                <w:sz w:val="24"/>
                <w:lang w:eastAsia="en-NZ"/>
              </w:rPr>
              <w:t>Source</w:t>
            </w:r>
          </w:p>
        </w:tc>
        <w:tc>
          <w:tcPr>
            <w:tcW w:w="1843" w:type="dxa"/>
            <w:tcBorders>
              <w:left w:val="single" w:sz="4" w:space="0" w:color="FFFFFF" w:themeColor="background1"/>
              <w:bottom w:val="nil"/>
              <w:right w:val="single" w:sz="4" w:space="0" w:color="FFFFFF" w:themeColor="background1"/>
            </w:tcBorders>
            <w:shd w:val="clear" w:color="auto" w:fill="009999"/>
            <w:noWrap/>
            <w:vAlign w:val="bottom"/>
            <w:hideMark/>
          </w:tcPr>
          <w:p w:rsidR="00546A26" w:rsidRPr="00424AFD" w:rsidRDefault="00546A26" w:rsidP="00424AFD">
            <w:pPr>
              <w:spacing w:after="0" w:line="240" w:lineRule="auto"/>
              <w:jc w:val="center"/>
              <w:rPr>
                <w:rFonts w:eastAsia="Times New Roman" w:cstheme="minorHAnsi"/>
                <w:b/>
                <w:bCs/>
                <w:color w:val="FFFFFF" w:themeColor="background1"/>
                <w:sz w:val="24"/>
                <w:lang w:eastAsia="en-NZ"/>
              </w:rPr>
            </w:pPr>
            <w:r w:rsidRPr="00424AFD">
              <w:rPr>
                <w:rFonts w:eastAsia="Times New Roman" w:cstheme="minorHAnsi"/>
                <w:b/>
                <w:bCs/>
                <w:color w:val="FFFFFF" w:themeColor="background1"/>
                <w:sz w:val="24"/>
                <w:lang w:eastAsia="en-NZ"/>
              </w:rPr>
              <w:t>2016/17</w:t>
            </w:r>
          </w:p>
        </w:tc>
        <w:tc>
          <w:tcPr>
            <w:tcW w:w="1843" w:type="dxa"/>
            <w:tcBorders>
              <w:left w:val="single" w:sz="4" w:space="0" w:color="FFFFFF" w:themeColor="background1"/>
              <w:bottom w:val="nil"/>
              <w:right w:val="single" w:sz="4" w:space="0" w:color="FFFFFF" w:themeColor="background1"/>
            </w:tcBorders>
            <w:shd w:val="clear" w:color="auto" w:fill="009999"/>
            <w:noWrap/>
            <w:vAlign w:val="bottom"/>
            <w:hideMark/>
          </w:tcPr>
          <w:p w:rsidR="00546A26" w:rsidRPr="00424AFD" w:rsidRDefault="00546A26" w:rsidP="00424AFD">
            <w:pPr>
              <w:spacing w:after="0" w:line="240" w:lineRule="auto"/>
              <w:jc w:val="center"/>
              <w:rPr>
                <w:rFonts w:eastAsia="Times New Roman" w:cstheme="minorHAnsi"/>
                <w:b/>
                <w:bCs/>
                <w:color w:val="FFFFFF" w:themeColor="background1"/>
                <w:sz w:val="24"/>
                <w:lang w:eastAsia="en-NZ"/>
              </w:rPr>
            </w:pPr>
            <w:r w:rsidRPr="00424AFD">
              <w:rPr>
                <w:rFonts w:eastAsia="Times New Roman" w:cstheme="minorHAnsi"/>
                <w:b/>
                <w:bCs/>
                <w:color w:val="FFFFFF" w:themeColor="background1"/>
                <w:sz w:val="24"/>
                <w:lang w:eastAsia="en-NZ"/>
              </w:rPr>
              <w:t>2017/18</w:t>
            </w:r>
          </w:p>
        </w:tc>
        <w:tc>
          <w:tcPr>
            <w:tcW w:w="1843" w:type="dxa"/>
            <w:tcBorders>
              <w:left w:val="single" w:sz="4" w:space="0" w:color="FFFFFF" w:themeColor="background1"/>
              <w:bottom w:val="nil"/>
              <w:right w:val="single" w:sz="4" w:space="0" w:color="FFFFFF" w:themeColor="background1"/>
            </w:tcBorders>
            <w:shd w:val="clear" w:color="auto" w:fill="009999"/>
            <w:noWrap/>
            <w:vAlign w:val="bottom"/>
            <w:hideMark/>
          </w:tcPr>
          <w:p w:rsidR="00546A26" w:rsidRPr="00424AFD" w:rsidRDefault="00546A26" w:rsidP="00424AFD">
            <w:pPr>
              <w:spacing w:after="0" w:line="240" w:lineRule="auto"/>
              <w:jc w:val="center"/>
              <w:rPr>
                <w:rFonts w:eastAsia="Times New Roman" w:cstheme="minorHAnsi"/>
                <w:b/>
                <w:bCs/>
                <w:color w:val="FFFFFF" w:themeColor="background1"/>
                <w:sz w:val="24"/>
                <w:lang w:eastAsia="en-NZ"/>
              </w:rPr>
            </w:pPr>
            <w:r w:rsidRPr="00424AFD">
              <w:rPr>
                <w:rFonts w:eastAsia="Times New Roman" w:cstheme="minorHAnsi"/>
                <w:b/>
                <w:bCs/>
                <w:color w:val="FFFFFF" w:themeColor="background1"/>
                <w:sz w:val="24"/>
                <w:lang w:eastAsia="en-NZ"/>
              </w:rPr>
              <w:t>2018/19</w:t>
            </w:r>
          </w:p>
        </w:tc>
        <w:tc>
          <w:tcPr>
            <w:tcW w:w="2976" w:type="dxa"/>
            <w:tcBorders>
              <w:left w:val="single" w:sz="4" w:space="0" w:color="FFFFFF" w:themeColor="background1"/>
              <w:bottom w:val="nil"/>
              <w:right w:val="single" w:sz="4" w:space="0" w:color="FFFFFF" w:themeColor="background1"/>
            </w:tcBorders>
            <w:shd w:val="clear" w:color="auto" w:fill="009999"/>
            <w:vAlign w:val="bottom"/>
          </w:tcPr>
          <w:p w:rsidR="00546A26" w:rsidRPr="00424AFD" w:rsidRDefault="00546A26" w:rsidP="00424AFD">
            <w:pPr>
              <w:spacing w:after="0" w:line="240" w:lineRule="auto"/>
              <w:rPr>
                <w:rFonts w:eastAsia="Times New Roman" w:cstheme="minorHAnsi"/>
                <w:b/>
                <w:bCs/>
                <w:color w:val="FFFFFF" w:themeColor="background1"/>
                <w:sz w:val="24"/>
                <w:lang w:eastAsia="en-NZ"/>
              </w:rPr>
            </w:pPr>
            <w:r w:rsidRPr="00424AFD">
              <w:rPr>
                <w:rFonts w:eastAsia="Times New Roman" w:cstheme="minorHAnsi"/>
                <w:b/>
                <w:bCs/>
                <w:color w:val="FFFFFF" w:themeColor="background1"/>
                <w:sz w:val="24"/>
                <w:lang w:eastAsia="en-NZ"/>
              </w:rPr>
              <w:t>Comments</w:t>
            </w:r>
          </w:p>
        </w:tc>
      </w:tr>
      <w:tr w:rsidR="00546A26" w:rsidRPr="008B0A7E" w:rsidTr="004106CD">
        <w:tblPrEx>
          <w:shd w:val="clear" w:color="auto" w:fill="auto"/>
        </w:tblPrEx>
        <w:trPr>
          <w:trHeight w:val="255"/>
        </w:trPr>
        <w:tc>
          <w:tcPr>
            <w:tcW w:w="14459" w:type="dxa"/>
            <w:gridSpan w:val="7"/>
            <w:tcBorders>
              <w:top w:val="nil"/>
              <w:left w:val="nil"/>
              <w:bottom w:val="nil"/>
              <w:right w:val="nil"/>
            </w:tcBorders>
            <w:shd w:val="clear" w:color="auto" w:fill="DAEEF3" w:themeFill="accent5" w:themeFillTint="33"/>
            <w:hideMark/>
          </w:tcPr>
          <w:p w:rsidR="00546A26" w:rsidRPr="00CA4713" w:rsidRDefault="00546A26" w:rsidP="004106CD">
            <w:pPr>
              <w:spacing w:after="0" w:line="240" w:lineRule="auto"/>
              <w:rPr>
                <w:rFonts w:eastAsia="Times New Roman" w:cstheme="minorHAnsi"/>
                <w:color w:val="000000" w:themeColor="text1"/>
                <w:sz w:val="20"/>
                <w:szCs w:val="20"/>
                <w:lang w:eastAsia="en-NZ"/>
              </w:rPr>
            </w:pPr>
            <w:r w:rsidRPr="00CA4713">
              <w:rPr>
                <w:rFonts w:eastAsia="Times New Roman" w:cstheme="minorHAnsi"/>
                <w:b/>
                <w:bCs/>
                <w:i/>
                <w:iCs/>
                <w:color w:val="000000" w:themeColor="text1"/>
                <w:sz w:val="20"/>
                <w:szCs w:val="20"/>
                <w:lang w:eastAsia="en-NZ"/>
              </w:rPr>
              <w:t>Access to and participation in recreation and leisure</w:t>
            </w:r>
          </w:p>
        </w:tc>
      </w:tr>
      <w:tr w:rsidR="00546A26" w:rsidRPr="008B0A7E" w:rsidTr="004106CD">
        <w:tblPrEx>
          <w:shd w:val="clear" w:color="auto" w:fill="auto"/>
        </w:tblPrEx>
        <w:trPr>
          <w:trHeight w:val="1530"/>
        </w:trPr>
        <w:tc>
          <w:tcPr>
            <w:tcW w:w="3545" w:type="dxa"/>
            <w:tcBorders>
              <w:top w:val="nil"/>
            </w:tcBorders>
            <w:shd w:val="clear" w:color="auto" w:fill="auto"/>
            <w:hideMark/>
          </w:tcPr>
          <w:p w:rsidR="00546A26" w:rsidRPr="00CA4713" w:rsidRDefault="00546A26" w:rsidP="004106CD">
            <w:pPr>
              <w:spacing w:after="0" w:line="240" w:lineRule="auto"/>
              <w:rPr>
                <w:rFonts w:eastAsia="Times New Roman" w:cstheme="minorHAnsi"/>
                <w:color w:val="000000"/>
                <w:sz w:val="20"/>
                <w:szCs w:val="20"/>
                <w:lang w:eastAsia="en-NZ"/>
              </w:rPr>
            </w:pPr>
            <w:r w:rsidRPr="00CA4713">
              <w:rPr>
                <w:rFonts w:eastAsia="Times New Roman" w:cstheme="minorHAnsi"/>
                <w:color w:val="000000"/>
                <w:sz w:val="20"/>
                <w:szCs w:val="20"/>
                <w:lang w:eastAsia="en-NZ"/>
              </w:rPr>
              <w:t>% of residents who use Council pools, recreation centres, libraries or other leisure facilities</w:t>
            </w:r>
          </w:p>
        </w:tc>
        <w:tc>
          <w:tcPr>
            <w:tcW w:w="1233" w:type="dxa"/>
            <w:tcBorders>
              <w:top w:val="nil"/>
            </w:tcBorders>
            <w:shd w:val="clear" w:color="auto" w:fill="auto"/>
            <w:noWrap/>
            <w:hideMark/>
          </w:tcPr>
          <w:p w:rsidR="00546A26" w:rsidRPr="00CA4713" w:rsidRDefault="00546A26" w:rsidP="004106CD">
            <w:pPr>
              <w:spacing w:after="0" w:line="240" w:lineRule="auto"/>
              <w:rPr>
                <w:rFonts w:eastAsia="Times New Roman" w:cstheme="minorHAnsi"/>
                <w:color w:val="000000"/>
                <w:sz w:val="20"/>
                <w:szCs w:val="20"/>
                <w:lang w:eastAsia="en-NZ"/>
              </w:rPr>
            </w:pPr>
            <w:r w:rsidRPr="00CA4713">
              <w:rPr>
                <w:rFonts w:eastAsia="Times New Roman" w:cstheme="minorHAnsi"/>
                <w:color w:val="000000"/>
                <w:sz w:val="20"/>
                <w:szCs w:val="20"/>
                <w:lang w:eastAsia="en-NZ"/>
              </w:rPr>
              <w:t>Increasing</w:t>
            </w:r>
          </w:p>
        </w:tc>
        <w:tc>
          <w:tcPr>
            <w:tcW w:w="1176" w:type="dxa"/>
            <w:tcBorders>
              <w:top w:val="nil"/>
            </w:tcBorders>
            <w:shd w:val="clear" w:color="auto" w:fill="auto"/>
            <w:noWrap/>
            <w:hideMark/>
          </w:tcPr>
          <w:p w:rsidR="00546A26" w:rsidRPr="00CA4713" w:rsidRDefault="00546A26" w:rsidP="004106CD">
            <w:pPr>
              <w:spacing w:after="0" w:line="240" w:lineRule="auto"/>
              <w:rPr>
                <w:rFonts w:eastAsia="Times New Roman" w:cstheme="minorHAnsi"/>
                <w:color w:val="000000"/>
                <w:sz w:val="20"/>
                <w:szCs w:val="20"/>
                <w:lang w:eastAsia="en-NZ"/>
              </w:rPr>
            </w:pPr>
            <w:r w:rsidRPr="00CA4713">
              <w:rPr>
                <w:rFonts w:eastAsia="Times New Roman" w:cstheme="minorHAnsi"/>
                <w:color w:val="000000"/>
                <w:sz w:val="20"/>
                <w:szCs w:val="20"/>
                <w:lang w:eastAsia="en-NZ"/>
              </w:rPr>
              <w:t>WCC RMS 2019</w:t>
            </w:r>
          </w:p>
        </w:tc>
        <w:tc>
          <w:tcPr>
            <w:tcW w:w="1843" w:type="dxa"/>
            <w:tcBorders>
              <w:top w:val="nil"/>
            </w:tcBorders>
            <w:shd w:val="clear" w:color="auto" w:fill="auto"/>
            <w:noWrap/>
            <w:hideMark/>
          </w:tcPr>
          <w:p w:rsidR="00546A26" w:rsidRPr="00CA4713" w:rsidRDefault="00546A26" w:rsidP="004106CD">
            <w:pPr>
              <w:spacing w:after="0" w:line="240" w:lineRule="auto"/>
              <w:jc w:val="right"/>
              <w:rPr>
                <w:rFonts w:eastAsia="Times New Roman" w:cstheme="minorHAnsi"/>
                <w:color w:val="000000"/>
                <w:sz w:val="20"/>
                <w:szCs w:val="20"/>
                <w:lang w:eastAsia="en-NZ"/>
              </w:rPr>
            </w:pPr>
            <w:r w:rsidRPr="00CA4713">
              <w:rPr>
                <w:rFonts w:eastAsia="Times New Roman" w:cstheme="minorHAnsi"/>
                <w:color w:val="000000"/>
                <w:sz w:val="20"/>
                <w:szCs w:val="20"/>
                <w:lang w:eastAsia="en-NZ"/>
              </w:rPr>
              <w:t>Pools 35%</w:t>
            </w:r>
          </w:p>
        </w:tc>
        <w:tc>
          <w:tcPr>
            <w:tcW w:w="1843" w:type="dxa"/>
            <w:tcBorders>
              <w:top w:val="nil"/>
            </w:tcBorders>
            <w:shd w:val="clear" w:color="auto" w:fill="auto"/>
            <w:noWrap/>
            <w:hideMark/>
          </w:tcPr>
          <w:p w:rsidR="00546A26" w:rsidRPr="00CA4713" w:rsidRDefault="00546A26" w:rsidP="004106CD">
            <w:pPr>
              <w:spacing w:after="0" w:line="240" w:lineRule="auto"/>
              <w:jc w:val="right"/>
              <w:rPr>
                <w:rFonts w:eastAsia="Times New Roman" w:cstheme="minorHAnsi"/>
                <w:color w:val="000000"/>
                <w:sz w:val="20"/>
                <w:szCs w:val="20"/>
                <w:lang w:eastAsia="en-NZ"/>
              </w:rPr>
            </w:pPr>
            <w:r w:rsidRPr="00CA4713">
              <w:rPr>
                <w:rFonts w:eastAsia="Times New Roman" w:cstheme="minorHAnsi"/>
                <w:color w:val="000000"/>
                <w:sz w:val="20"/>
                <w:szCs w:val="20"/>
                <w:lang w:eastAsia="en-NZ"/>
              </w:rPr>
              <w:t>Pools 44%</w:t>
            </w:r>
          </w:p>
        </w:tc>
        <w:tc>
          <w:tcPr>
            <w:tcW w:w="1843" w:type="dxa"/>
            <w:tcBorders>
              <w:top w:val="nil"/>
            </w:tcBorders>
            <w:shd w:val="clear" w:color="auto" w:fill="auto"/>
            <w:hideMark/>
          </w:tcPr>
          <w:p w:rsidR="00546A26" w:rsidRPr="00CA4713" w:rsidRDefault="00546A26" w:rsidP="004106CD">
            <w:pPr>
              <w:spacing w:after="0" w:line="240" w:lineRule="auto"/>
              <w:jc w:val="right"/>
              <w:rPr>
                <w:rFonts w:eastAsia="Times New Roman" w:cstheme="minorHAnsi"/>
                <w:color w:val="000000"/>
                <w:sz w:val="20"/>
                <w:szCs w:val="20"/>
                <w:lang w:eastAsia="en-NZ"/>
              </w:rPr>
            </w:pPr>
            <w:r w:rsidRPr="00CA4713">
              <w:rPr>
                <w:rFonts w:eastAsia="Times New Roman" w:cstheme="minorHAnsi"/>
                <w:color w:val="000000"/>
                <w:sz w:val="20"/>
                <w:szCs w:val="20"/>
                <w:lang w:eastAsia="en-NZ"/>
              </w:rPr>
              <w:t>Pools 42%; Rec centres 39%; Libraries 73%; Leisure facilities 25%;  Community halls 21.4%</w:t>
            </w:r>
          </w:p>
        </w:tc>
        <w:tc>
          <w:tcPr>
            <w:tcW w:w="2976" w:type="dxa"/>
            <w:tcBorders>
              <w:top w:val="nil"/>
            </w:tcBorders>
            <w:shd w:val="clear" w:color="auto" w:fill="auto"/>
            <w:hideMark/>
          </w:tcPr>
          <w:p w:rsidR="00546A26" w:rsidRPr="00CA4713" w:rsidRDefault="005F209F" w:rsidP="00546A26">
            <w:pPr>
              <w:spacing w:after="0" w:line="240" w:lineRule="auto"/>
              <w:rPr>
                <w:rFonts w:eastAsia="Times New Roman" w:cstheme="minorHAnsi"/>
                <w:color w:val="000000"/>
                <w:sz w:val="20"/>
                <w:szCs w:val="20"/>
                <w:lang w:eastAsia="en-NZ"/>
              </w:rPr>
            </w:pPr>
            <w:r>
              <w:rPr>
                <w:rFonts w:eastAsia="Times New Roman" w:cstheme="minorHAnsi"/>
                <w:sz w:val="20"/>
                <w:szCs w:val="20"/>
                <w:lang w:eastAsia="en-NZ"/>
              </w:rPr>
              <w:t xml:space="preserve">No trend. </w:t>
            </w:r>
            <w:r w:rsidR="00546A26" w:rsidRPr="00546A26">
              <w:rPr>
                <w:rFonts w:eastAsia="Times New Roman" w:cstheme="minorHAnsi"/>
                <w:sz w:val="20"/>
                <w:szCs w:val="20"/>
                <w:lang w:eastAsia="en-NZ"/>
              </w:rPr>
              <w:t>See supplementary tables</w:t>
            </w:r>
          </w:p>
        </w:tc>
      </w:tr>
      <w:tr w:rsidR="00546A26" w:rsidRPr="008B0A7E" w:rsidTr="004106CD">
        <w:tblPrEx>
          <w:shd w:val="clear" w:color="auto" w:fill="auto"/>
        </w:tblPrEx>
        <w:trPr>
          <w:trHeight w:val="510"/>
        </w:trPr>
        <w:tc>
          <w:tcPr>
            <w:tcW w:w="3545" w:type="dxa"/>
            <w:shd w:val="clear" w:color="auto" w:fill="auto"/>
            <w:hideMark/>
          </w:tcPr>
          <w:p w:rsidR="00546A26" w:rsidRPr="00CA4713" w:rsidRDefault="00546A26" w:rsidP="004106CD">
            <w:pPr>
              <w:spacing w:after="0" w:line="240" w:lineRule="auto"/>
              <w:rPr>
                <w:rFonts w:eastAsia="Times New Roman" w:cstheme="minorHAnsi"/>
                <w:color w:val="000000"/>
                <w:sz w:val="20"/>
                <w:szCs w:val="20"/>
                <w:lang w:eastAsia="en-NZ"/>
              </w:rPr>
            </w:pPr>
            <w:r w:rsidRPr="00CA4713">
              <w:rPr>
                <w:rFonts w:eastAsia="Times New Roman" w:cstheme="minorHAnsi"/>
                <w:color w:val="000000"/>
                <w:sz w:val="20"/>
                <w:szCs w:val="20"/>
                <w:lang w:eastAsia="en-NZ"/>
              </w:rPr>
              <w:t>Residents’ perceptions that Wellington offers a wide range of recreation activities</w:t>
            </w:r>
          </w:p>
        </w:tc>
        <w:tc>
          <w:tcPr>
            <w:tcW w:w="1233" w:type="dxa"/>
            <w:shd w:val="clear" w:color="auto" w:fill="auto"/>
            <w:noWrap/>
            <w:hideMark/>
          </w:tcPr>
          <w:p w:rsidR="00546A26" w:rsidRPr="00CA4713" w:rsidRDefault="00546A26" w:rsidP="004106CD">
            <w:pPr>
              <w:spacing w:after="0" w:line="240" w:lineRule="auto"/>
              <w:rPr>
                <w:rFonts w:eastAsia="Times New Roman" w:cstheme="minorHAnsi"/>
                <w:color w:val="000000"/>
                <w:sz w:val="20"/>
                <w:szCs w:val="20"/>
                <w:lang w:eastAsia="en-NZ"/>
              </w:rPr>
            </w:pPr>
            <w:r w:rsidRPr="00CA4713">
              <w:rPr>
                <w:rFonts w:eastAsia="Times New Roman" w:cstheme="minorHAnsi"/>
                <w:color w:val="000000"/>
                <w:sz w:val="20"/>
                <w:szCs w:val="20"/>
                <w:lang w:eastAsia="en-NZ"/>
              </w:rPr>
              <w:t xml:space="preserve">Maintain </w:t>
            </w:r>
          </w:p>
        </w:tc>
        <w:tc>
          <w:tcPr>
            <w:tcW w:w="1176" w:type="dxa"/>
            <w:shd w:val="clear" w:color="auto" w:fill="auto"/>
            <w:noWrap/>
            <w:hideMark/>
          </w:tcPr>
          <w:p w:rsidR="00546A26" w:rsidRPr="00CA4713" w:rsidRDefault="00546A26" w:rsidP="004106CD">
            <w:pPr>
              <w:spacing w:after="0" w:line="240" w:lineRule="auto"/>
              <w:rPr>
                <w:rFonts w:eastAsia="Times New Roman" w:cstheme="minorHAnsi"/>
                <w:color w:val="000000"/>
                <w:sz w:val="20"/>
                <w:szCs w:val="20"/>
                <w:lang w:eastAsia="en-NZ"/>
              </w:rPr>
            </w:pPr>
            <w:r w:rsidRPr="00CA4713">
              <w:rPr>
                <w:rFonts w:eastAsia="Times New Roman" w:cstheme="minorHAnsi"/>
                <w:color w:val="000000"/>
                <w:sz w:val="20"/>
                <w:szCs w:val="20"/>
                <w:lang w:eastAsia="en-NZ"/>
              </w:rPr>
              <w:t>WCC RMS 2019</w:t>
            </w:r>
          </w:p>
        </w:tc>
        <w:tc>
          <w:tcPr>
            <w:tcW w:w="1843" w:type="dxa"/>
            <w:shd w:val="clear" w:color="auto" w:fill="auto"/>
            <w:noWrap/>
            <w:hideMark/>
          </w:tcPr>
          <w:p w:rsidR="00546A26" w:rsidRPr="00CA4713" w:rsidRDefault="00546A26" w:rsidP="004106CD">
            <w:pPr>
              <w:spacing w:after="0" w:line="240" w:lineRule="auto"/>
              <w:jc w:val="right"/>
              <w:rPr>
                <w:rFonts w:eastAsia="Times New Roman" w:cstheme="minorHAnsi"/>
                <w:color w:val="000000"/>
                <w:sz w:val="20"/>
                <w:szCs w:val="20"/>
                <w:lang w:eastAsia="en-NZ"/>
              </w:rPr>
            </w:pPr>
            <w:r w:rsidRPr="00CA4713">
              <w:rPr>
                <w:rFonts w:eastAsia="Times New Roman" w:cstheme="minorHAnsi"/>
                <w:color w:val="000000"/>
                <w:sz w:val="20"/>
                <w:szCs w:val="20"/>
                <w:lang w:eastAsia="en-NZ"/>
              </w:rPr>
              <w:t>85%</w:t>
            </w:r>
          </w:p>
        </w:tc>
        <w:tc>
          <w:tcPr>
            <w:tcW w:w="1843" w:type="dxa"/>
            <w:shd w:val="clear" w:color="auto" w:fill="auto"/>
            <w:noWrap/>
            <w:hideMark/>
          </w:tcPr>
          <w:p w:rsidR="00546A26" w:rsidRPr="00CA4713" w:rsidRDefault="00546A26" w:rsidP="004106CD">
            <w:pPr>
              <w:spacing w:after="0" w:line="240" w:lineRule="auto"/>
              <w:jc w:val="right"/>
              <w:rPr>
                <w:rFonts w:eastAsia="Times New Roman" w:cstheme="minorHAnsi"/>
                <w:color w:val="000000"/>
                <w:sz w:val="20"/>
                <w:szCs w:val="20"/>
                <w:lang w:eastAsia="en-NZ"/>
              </w:rPr>
            </w:pPr>
            <w:r w:rsidRPr="00CA4713">
              <w:rPr>
                <w:rFonts w:eastAsia="Times New Roman" w:cstheme="minorHAnsi"/>
                <w:color w:val="000000"/>
                <w:sz w:val="20"/>
                <w:szCs w:val="20"/>
                <w:lang w:eastAsia="en-NZ"/>
              </w:rPr>
              <w:t>79%</w:t>
            </w:r>
          </w:p>
        </w:tc>
        <w:tc>
          <w:tcPr>
            <w:tcW w:w="1843" w:type="dxa"/>
            <w:shd w:val="clear" w:color="auto" w:fill="auto"/>
            <w:noWrap/>
            <w:hideMark/>
          </w:tcPr>
          <w:p w:rsidR="00546A26" w:rsidRPr="00CA4713" w:rsidRDefault="00546A26" w:rsidP="004106CD">
            <w:pPr>
              <w:spacing w:after="0" w:line="240" w:lineRule="auto"/>
              <w:jc w:val="right"/>
              <w:rPr>
                <w:rFonts w:eastAsia="Times New Roman" w:cstheme="minorHAnsi"/>
                <w:color w:val="000000"/>
                <w:sz w:val="20"/>
                <w:szCs w:val="20"/>
                <w:lang w:eastAsia="en-NZ"/>
              </w:rPr>
            </w:pPr>
            <w:r w:rsidRPr="00CA4713">
              <w:rPr>
                <w:rFonts w:eastAsia="Times New Roman" w:cstheme="minorHAnsi"/>
                <w:color w:val="000000"/>
                <w:sz w:val="20"/>
                <w:szCs w:val="20"/>
                <w:lang w:eastAsia="en-NZ"/>
              </w:rPr>
              <w:t>81%</w:t>
            </w:r>
          </w:p>
        </w:tc>
        <w:tc>
          <w:tcPr>
            <w:tcW w:w="2976" w:type="dxa"/>
            <w:shd w:val="clear" w:color="auto" w:fill="auto"/>
            <w:hideMark/>
          </w:tcPr>
          <w:p w:rsidR="00546A26" w:rsidRPr="00CA4713" w:rsidRDefault="005F209F" w:rsidP="004106CD">
            <w:pPr>
              <w:spacing w:after="0" w:line="240" w:lineRule="auto"/>
              <w:rPr>
                <w:rFonts w:eastAsia="Times New Roman" w:cstheme="minorHAnsi"/>
                <w:color w:val="000000"/>
                <w:sz w:val="20"/>
                <w:szCs w:val="20"/>
                <w:lang w:eastAsia="en-NZ"/>
              </w:rPr>
            </w:pPr>
            <w:r>
              <w:rPr>
                <w:rFonts w:eastAsia="Times New Roman" w:cstheme="minorHAnsi"/>
                <w:color w:val="000000"/>
                <w:sz w:val="20"/>
                <w:szCs w:val="20"/>
                <w:lang w:eastAsia="en-NZ"/>
              </w:rPr>
              <w:t xml:space="preserve">No trend. </w:t>
            </w:r>
          </w:p>
        </w:tc>
      </w:tr>
      <w:tr w:rsidR="00546A26" w:rsidRPr="008B0A7E" w:rsidTr="004106CD">
        <w:tblPrEx>
          <w:shd w:val="clear" w:color="auto" w:fill="auto"/>
        </w:tblPrEx>
        <w:trPr>
          <w:trHeight w:val="465"/>
        </w:trPr>
        <w:tc>
          <w:tcPr>
            <w:tcW w:w="3545" w:type="dxa"/>
            <w:shd w:val="clear" w:color="auto" w:fill="auto"/>
            <w:hideMark/>
          </w:tcPr>
          <w:p w:rsidR="00546A26" w:rsidRPr="00CA4713" w:rsidRDefault="00546A26" w:rsidP="004106CD">
            <w:pPr>
              <w:spacing w:after="0" w:line="240" w:lineRule="auto"/>
              <w:rPr>
                <w:rFonts w:eastAsia="Times New Roman" w:cstheme="minorHAnsi"/>
                <w:color w:val="000000"/>
                <w:sz w:val="20"/>
                <w:szCs w:val="20"/>
                <w:lang w:eastAsia="en-NZ"/>
              </w:rPr>
            </w:pPr>
            <w:r w:rsidRPr="00CA4713">
              <w:rPr>
                <w:rFonts w:eastAsia="Times New Roman" w:cstheme="minorHAnsi"/>
                <w:color w:val="000000"/>
                <w:sz w:val="20"/>
                <w:szCs w:val="20"/>
                <w:lang w:eastAsia="en-NZ"/>
              </w:rPr>
              <w:t>Residents’ frequency of physical activity</w:t>
            </w:r>
          </w:p>
        </w:tc>
        <w:tc>
          <w:tcPr>
            <w:tcW w:w="1233" w:type="dxa"/>
            <w:shd w:val="clear" w:color="auto" w:fill="auto"/>
            <w:noWrap/>
            <w:hideMark/>
          </w:tcPr>
          <w:p w:rsidR="00546A26" w:rsidRPr="00CA4713" w:rsidRDefault="00546A26" w:rsidP="004106CD">
            <w:pPr>
              <w:spacing w:after="0" w:line="240" w:lineRule="auto"/>
              <w:rPr>
                <w:rFonts w:eastAsia="Times New Roman" w:cstheme="minorHAnsi"/>
                <w:color w:val="000000"/>
                <w:sz w:val="20"/>
                <w:szCs w:val="20"/>
                <w:lang w:eastAsia="en-NZ"/>
              </w:rPr>
            </w:pPr>
            <w:r w:rsidRPr="00CA4713">
              <w:rPr>
                <w:rFonts w:eastAsia="Times New Roman" w:cstheme="minorHAnsi"/>
                <w:color w:val="000000"/>
                <w:sz w:val="20"/>
                <w:szCs w:val="20"/>
                <w:lang w:eastAsia="en-NZ"/>
              </w:rPr>
              <w:t>Increasing</w:t>
            </w:r>
          </w:p>
        </w:tc>
        <w:tc>
          <w:tcPr>
            <w:tcW w:w="1176" w:type="dxa"/>
            <w:shd w:val="clear" w:color="auto" w:fill="auto"/>
            <w:noWrap/>
            <w:hideMark/>
          </w:tcPr>
          <w:p w:rsidR="00546A26" w:rsidRPr="00CA4713" w:rsidRDefault="00546A26" w:rsidP="004106CD">
            <w:pPr>
              <w:spacing w:after="0" w:line="240" w:lineRule="auto"/>
              <w:rPr>
                <w:rFonts w:eastAsia="Times New Roman" w:cstheme="minorHAnsi"/>
                <w:color w:val="000000"/>
                <w:sz w:val="20"/>
                <w:szCs w:val="20"/>
                <w:lang w:eastAsia="en-NZ"/>
              </w:rPr>
            </w:pPr>
            <w:r w:rsidRPr="00CA4713">
              <w:rPr>
                <w:rFonts w:eastAsia="Times New Roman" w:cstheme="minorHAnsi"/>
                <w:color w:val="000000"/>
                <w:sz w:val="20"/>
                <w:szCs w:val="20"/>
                <w:lang w:eastAsia="en-NZ"/>
              </w:rPr>
              <w:t>WCC RMS 2019</w:t>
            </w:r>
          </w:p>
        </w:tc>
        <w:tc>
          <w:tcPr>
            <w:tcW w:w="1843" w:type="dxa"/>
            <w:shd w:val="clear" w:color="auto" w:fill="auto"/>
            <w:noWrap/>
            <w:hideMark/>
          </w:tcPr>
          <w:p w:rsidR="00546A26" w:rsidRPr="00CA4713" w:rsidRDefault="00B7196E" w:rsidP="004106CD">
            <w:pPr>
              <w:spacing w:after="0" w:line="240" w:lineRule="auto"/>
              <w:jc w:val="right"/>
              <w:rPr>
                <w:rFonts w:eastAsia="Times New Roman" w:cstheme="minorHAnsi"/>
                <w:color w:val="000000"/>
                <w:sz w:val="20"/>
                <w:szCs w:val="20"/>
                <w:lang w:eastAsia="en-NZ"/>
              </w:rPr>
            </w:pPr>
            <w:r>
              <w:rPr>
                <w:rFonts w:eastAsia="Times New Roman" w:cstheme="minorHAnsi"/>
                <w:color w:val="000000"/>
                <w:sz w:val="20"/>
                <w:szCs w:val="20"/>
                <w:lang w:eastAsia="en-NZ"/>
              </w:rPr>
              <w:t>73%</w:t>
            </w:r>
          </w:p>
        </w:tc>
        <w:tc>
          <w:tcPr>
            <w:tcW w:w="1843" w:type="dxa"/>
            <w:shd w:val="clear" w:color="auto" w:fill="auto"/>
            <w:noWrap/>
            <w:hideMark/>
          </w:tcPr>
          <w:p w:rsidR="00546A26" w:rsidRPr="00CA4713" w:rsidRDefault="00546A26" w:rsidP="004106CD">
            <w:pPr>
              <w:spacing w:after="0" w:line="240" w:lineRule="auto"/>
              <w:jc w:val="right"/>
              <w:rPr>
                <w:rFonts w:eastAsia="Times New Roman" w:cstheme="minorHAnsi"/>
                <w:color w:val="000000"/>
                <w:sz w:val="20"/>
                <w:szCs w:val="20"/>
                <w:lang w:eastAsia="en-NZ"/>
              </w:rPr>
            </w:pPr>
            <w:r w:rsidRPr="00CA4713">
              <w:rPr>
                <w:rFonts w:eastAsia="Times New Roman" w:cstheme="minorHAnsi"/>
                <w:color w:val="000000"/>
                <w:sz w:val="20"/>
                <w:szCs w:val="20"/>
                <w:lang w:eastAsia="en-NZ"/>
              </w:rPr>
              <w:t>74%</w:t>
            </w:r>
          </w:p>
        </w:tc>
        <w:tc>
          <w:tcPr>
            <w:tcW w:w="1843" w:type="dxa"/>
            <w:shd w:val="clear" w:color="auto" w:fill="auto"/>
            <w:noWrap/>
            <w:hideMark/>
          </w:tcPr>
          <w:p w:rsidR="00546A26" w:rsidRPr="00CA4713" w:rsidRDefault="00546A26" w:rsidP="004106CD">
            <w:pPr>
              <w:spacing w:after="0" w:line="240" w:lineRule="auto"/>
              <w:jc w:val="right"/>
              <w:rPr>
                <w:rFonts w:eastAsia="Times New Roman" w:cstheme="minorHAnsi"/>
                <w:color w:val="000000"/>
                <w:sz w:val="20"/>
                <w:szCs w:val="20"/>
                <w:lang w:eastAsia="en-NZ"/>
              </w:rPr>
            </w:pPr>
            <w:r>
              <w:rPr>
                <w:rFonts w:eastAsia="Times New Roman" w:cstheme="minorHAnsi"/>
                <w:color w:val="000000"/>
                <w:sz w:val="20"/>
                <w:szCs w:val="20"/>
                <w:lang w:eastAsia="en-NZ"/>
              </w:rPr>
              <w:t>70</w:t>
            </w:r>
            <w:r w:rsidRPr="00CA4713">
              <w:rPr>
                <w:rFonts w:eastAsia="Times New Roman" w:cstheme="minorHAnsi"/>
                <w:color w:val="000000"/>
                <w:sz w:val="20"/>
                <w:szCs w:val="20"/>
                <w:lang w:eastAsia="en-NZ"/>
              </w:rPr>
              <w:t>%</w:t>
            </w:r>
          </w:p>
        </w:tc>
        <w:tc>
          <w:tcPr>
            <w:tcW w:w="2976" w:type="dxa"/>
            <w:shd w:val="clear" w:color="auto" w:fill="auto"/>
            <w:hideMark/>
          </w:tcPr>
          <w:p w:rsidR="00546A26" w:rsidRPr="00CA4713" w:rsidRDefault="005F209F" w:rsidP="004106CD">
            <w:pPr>
              <w:spacing w:after="0" w:line="240" w:lineRule="auto"/>
              <w:rPr>
                <w:rFonts w:eastAsia="Times New Roman" w:cstheme="minorHAnsi"/>
                <w:color w:val="000000"/>
                <w:sz w:val="20"/>
                <w:szCs w:val="20"/>
                <w:lang w:eastAsia="en-NZ"/>
              </w:rPr>
            </w:pPr>
            <w:r>
              <w:rPr>
                <w:rFonts w:eastAsia="Times New Roman" w:cstheme="minorHAnsi"/>
                <w:color w:val="000000"/>
                <w:sz w:val="20"/>
                <w:szCs w:val="20"/>
                <w:lang w:eastAsia="en-NZ"/>
              </w:rPr>
              <w:t xml:space="preserve">No trend. </w:t>
            </w:r>
            <w:r w:rsidR="00546A26" w:rsidRPr="00546A26">
              <w:rPr>
                <w:rFonts w:eastAsia="Times New Roman" w:cstheme="minorHAnsi"/>
                <w:sz w:val="20"/>
                <w:szCs w:val="20"/>
                <w:lang w:eastAsia="en-NZ"/>
              </w:rPr>
              <w:t>See supplementary tables</w:t>
            </w:r>
          </w:p>
        </w:tc>
      </w:tr>
      <w:tr w:rsidR="00546A26" w:rsidRPr="008B0A7E" w:rsidTr="004106CD">
        <w:tblPrEx>
          <w:shd w:val="clear" w:color="auto" w:fill="auto"/>
        </w:tblPrEx>
        <w:trPr>
          <w:trHeight w:val="987"/>
        </w:trPr>
        <w:tc>
          <w:tcPr>
            <w:tcW w:w="3545" w:type="dxa"/>
            <w:tcBorders>
              <w:bottom w:val="nil"/>
            </w:tcBorders>
            <w:shd w:val="clear" w:color="auto" w:fill="auto"/>
            <w:hideMark/>
          </w:tcPr>
          <w:p w:rsidR="00546A26" w:rsidRPr="00CA4713" w:rsidRDefault="00546A26" w:rsidP="004106CD">
            <w:pPr>
              <w:spacing w:after="0" w:line="240" w:lineRule="auto"/>
              <w:rPr>
                <w:rFonts w:eastAsia="Times New Roman" w:cstheme="minorHAnsi"/>
                <w:color w:val="000000"/>
                <w:sz w:val="20"/>
                <w:szCs w:val="20"/>
                <w:lang w:eastAsia="en-NZ"/>
              </w:rPr>
            </w:pPr>
            <w:r w:rsidRPr="00CA4713">
              <w:rPr>
                <w:rFonts w:eastAsia="Times New Roman" w:cstheme="minorHAnsi"/>
                <w:color w:val="000000"/>
                <w:sz w:val="20"/>
                <w:szCs w:val="20"/>
                <w:lang w:eastAsia="en-NZ"/>
              </w:rPr>
              <w:t>Residents’ perceptions that there are barriers to participating in recreation activities</w:t>
            </w:r>
          </w:p>
        </w:tc>
        <w:tc>
          <w:tcPr>
            <w:tcW w:w="1233" w:type="dxa"/>
            <w:tcBorders>
              <w:bottom w:val="nil"/>
            </w:tcBorders>
            <w:shd w:val="clear" w:color="auto" w:fill="auto"/>
            <w:noWrap/>
            <w:hideMark/>
          </w:tcPr>
          <w:p w:rsidR="00546A26" w:rsidRPr="00CA4713" w:rsidRDefault="00546A26" w:rsidP="004106CD">
            <w:pPr>
              <w:spacing w:after="0" w:line="240" w:lineRule="auto"/>
              <w:rPr>
                <w:rFonts w:eastAsia="Times New Roman" w:cstheme="minorHAnsi"/>
                <w:color w:val="000000"/>
                <w:sz w:val="20"/>
                <w:szCs w:val="20"/>
                <w:lang w:eastAsia="en-NZ"/>
              </w:rPr>
            </w:pPr>
            <w:r w:rsidRPr="00CA4713">
              <w:rPr>
                <w:rFonts w:eastAsia="Times New Roman" w:cstheme="minorHAnsi"/>
                <w:color w:val="000000"/>
                <w:sz w:val="20"/>
                <w:szCs w:val="20"/>
                <w:lang w:eastAsia="en-NZ"/>
              </w:rPr>
              <w:t>Decreasing</w:t>
            </w:r>
          </w:p>
        </w:tc>
        <w:tc>
          <w:tcPr>
            <w:tcW w:w="1176" w:type="dxa"/>
            <w:tcBorders>
              <w:bottom w:val="nil"/>
            </w:tcBorders>
            <w:shd w:val="clear" w:color="auto" w:fill="auto"/>
            <w:noWrap/>
            <w:hideMark/>
          </w:tcPr>
          <w:p w:rsidR="00546A26" w:rsidRPr="00CA4713" w:rsidRDefault="00546A26" w:rsidP="004106CD">
            <w:pPr>
              <w:spacing w:after="0" w:line="240" w:lineRule="auto"/>
              <w:rPr>
                <w:rFonts w:eastAsia="Times New Roman" w:cstheme="minorHAnsi"/>
                <w:color w:val="000000"/>
                <w:sz w:val="20"/>
                <w:szCs w:val="20"/>
                <w:lang w:eastAsia="en-NZ"/>
              </w:rPr>
            </w:pPr>
            <w:r w:rsidRPr="00CA4713">
              <w:rPr>
                <w:rFonts w:eastAsia="Times New Roman" w:cstheme="minorHAnsi"/>
                <w:color w:val="000000"/>
                <w:sz w:val="20"/>
                <w:szCs w:val="20"/>
                <w:lang w:eastAsia="en-NZ"/>
              </w:rPr>
              <w:t>WCC RMS 2019</w:t>
            </w:r>
          </w:p>
        </w:tc>
        <w:tc>
          <w:tcPr>
            <w:tcW w:w="1843" w:type="dxa"/>
            <w:tcBorders>
              <w:bottom w:val="nil"/>
            </w:tcBorders>
            <w:shd w:val="clear" w:color="auto" w:fill="auto"/>
            <w:hideMark/>
          </w:tcPr>
          <w:p w:rsidR="00546A26" w:rsidRPr="00CA4713" w:rsidRDefault="00546A26" w:rsidP="004106CD">
            <w:pPr>
              <w:spacing w:after="0" w:line="240" w:lineRule="auto"/>
              <w:rPr>
                <w:rFonts w:eastAsia="Times New Roman" w:cstheme="minorHAnsi"/>
                <w:color w:val="000000"/>
                <w:sz w:val="20"/>
                <w:szCs w:val="20"/>
                <w:lang w:eastAsia="en-NZ"/>
              </w:rPr>
            </w:pPr>
          </w:p>
        </w:tc>
        <w:tc>
          <w:tcPr>
            <w:tcW w:w="1843" w:type="dxa"/>
            <w:tcBorders>
              <w:bottom w:val="nil"/>
            </w:tcBorders>
            <w:shd w:val="clear" w:color="auto" w:fill="auto"/>
            <w:hideMark/>
          </w:tcPr>
          <w:p w:rsidR="00546A26" w:rsidRPr="00CA4713" w:rsidRDefault="00546A26" w:rsidP="004106CD">
            <w:pPr>
              <w:spacing w:after="0" w:line="240" w:lineRule="auto"/>
              <w:rPr>
                <w:rFonts w:eastAsia="Times New Roman" w:cstheme="minorHAnsi"/>
                <w:color w:val="000000"/>
                <w:sz w:val="20"/>
                <w:szCs w:val="20"/>
                <w:lang w:eastAsia="en-NZ"/>
              </w:rPr>
            </w:pPr>
            <w:r w:rsidRPr="00CA4713">
              <w:rPr>
                <w:rFonts w:eastAsia="Times New Roman" w:cstheme="minorHAnsi"/>
                <w:color w:val="000000"/>
                <w:sz w:val="20"/>
                <w:szCs w:val="20"/>
                <w:lang w:eastAsia="en-NZ"/>
              </w:rPr>
              <w:t>Organisation-led (84%); Participant-led (81%)</w:t>
            </w:r>
          </w:p>
        </w:tc>
        <w:tc>
          <w:tcPr>
            <w:tcW w:w="1843" w:type="dxa"/>
            <w:tcBorders>
              <w:bottom w:val="nil"/>
            </w:tcBorders>
            <w:shd w:val="clear" w:color="auto" w:fill="auto"/>
            <w:hideMark/>
          </w:tcPr>
          <w:p w:rsidR="00546A26" w:rsidRPr="00CA4713" w:rsidRDefault="00546A26" w:rsidP="004106CD">
            <w:pPr>
              <w:spacing w:after="0" w:line="240" w:lineRule="auto"/>
              <w:rPr>
                <w:rFonts w:eastAsia="Times New Roman" w:cstheme="minorHAnsi"/>
                <w:color w:val="000000"/>
                <w:sz w:val="20"/>
                <w:szCs w:val="20"/>
                <w:lang w:eastAsia="en-NZ"/>
              </w:rPr>
            </w:pPr>
            <w:r w:rsidRPr="00CA4713">
              <w:rPr>
                <w:rFonts w:eastAsia="Times New Roman" w:cstheme="minorHAnsi"/>
                <w:color w:val="000000"/>
                <w:sz w:val="20"/>
                <w:szCs w:val="20"/>
                <w:lang w:eastAsia="en-NZ"/>
              </w:rPr>
              <w:t xml:space="preserve">Organisation-led (81%); </w:t>
            </w:r>
            <w:r w:rsidRPr="00CA4713">
              <w:rPr>
                <w:rFonts w:eastAsia="Times New Roman" w:cstheme="minorHAnsi"/>
                <w:color w:val="000000"/>
                <w:sz w:val="20"/>
                <w:szCs w:val="20"/>
                <w:lang w:eastAsia="en-NZ"/>
              </w:rPr>
              <w:br/>
              <w:t>Participant-led (75%)</w:t>
            </w:r>
          </w:p>
        </w:tc>
        <w:tc>
          <w:tcPr>
            <w:tcW w:w="2976" w:type="dxa"/>
            <w:tcBorders>
              <w:bottom w:val="nil"/>
            </w:tcBorders>
            <w:shd w:val="clear" w:color="auto" w:fill="auto"/>
            <w:hideMark/>
          </w:tcPr>
          <w:p w:rsidR="00546A26" w:rsidRPr="00CA4713" w:rsidRDefault="005F209F" w:rsidP="004106CD">
            <w:pPr>
              <w:spacing w:after="0" w:line="240" w:lineRule="auto"/>
              <w:rPr>
                <w:rFonts w:eastAsia="Times New Roman" w:cstheme="minorHAnsi"/>
                <w:color w:val="000000"/>
                <w:sz w:val="20"/>
                <w:szCs w:val="20"/>
                <w:lang w:eastAsia="en-NZ"/>
              </w:rPr>
            </w:pPr>
            <w:r>
              <w:rPr>
                <w:rFonts w:eastAsia="Times New Roman" w:cstheme="minorHAnsi"/>
                <w:sz w:val="20"/>
                <w:szCs w:val="20"/>
                <w:lang w:eastAsia="en-NZ"/>
              </w:rPr>
              <w:t xml:space="preserve">Positive trend. </w:t>
            </w:r>
            <w:r w:rsidR="00546A26" w:rsidRPr="00546A26">
              <w:rPr>
                <w:rFonts w:eastAsia="Times New Roman" w:cstheme="minorHAnsi"/>
                <w:sz w:val="20"/>
                <w:szCs w:val="20"/>
                <w:lang w:eastAsia="en-NZ"/>
              </w:rPr>
              <w:t>See supplementary tables</w:t>
            </w:r>
            <w:r w:rsidR="00546A26" w:rsidRPr="00CA4713">
              <w:rPr>
                <w:rFonts w:eastAsia="Times New Roman" w:cstheme="minorHAnsi"/>
                <w:color w:val="000000"/>
                <w:sz w:val="20"/>
                <w:szCs w:val="20"/>
                <w:lang w:eastAsia="en-NZ"/>
              </w:rPr>
              <w:t xml:space="preserve"> </w:t>
            </w:r>
          </w:p>
        </w:tc>
      </w:tr>
      <w:tr w:rsidR="00546A26" w:rsidRPr="008B0A7E" w:rsidTr="004106CD">
        <w:tblPrEx>
          <w:shd w:val="clear" w:color="auto" w:fill="auto"/>
        </w:tblPrEx>
        <w:trPr>
          <w:trHeight w:val="255"/>
        </w:trPr>
        <w:tc>
          <w:tcPr>
            <w:tcW w:w="14459" w:type="dxa"/>
            <w:gridSpan w:val="7"/>
            <w:tcBorders>
              <w:top w:val="nil"/>
              <w:left w:val="nil"/>
              <w:bottom w:val="nil"/>
              <w:right w:val="nil"/>
            </w:tcBorders>
            <w:shd w:val="clear" w:color="auto" w:fill="DAEEF3" w:themeFill="accent5" w:themeFillTint="33"/>
            <w:hideMark/>
          </w:tcPr>
          <w:p w:rsidR="00546A26" w:rsidRPr="00CA4713" w:rsidRDefault="00546A26" w:rsidP="004106CD">
            <w:pPr>
              <w:spacing w:after="0" w:line="240" w:lineRule="auto"/>
              <w:rPr>
                <w:rFonts w:eastAsia="Times New Roman" w:cstheme="minorHAnsi"/>
                <w:color w:val="000000" w:themeColor="text1"/>
                <w:sz w:val="20"/>
                <w:szCs w:val="20"/>
                <w:lang w:eastAsia="en-NZ"/>
              </w:rPr>
            </w:pPr>
            <w:r w:rsidRPr="00CA4713">
              <w:rPr>
                <w:rFonts w:eastAsia="Times New Roman" w:cstheme="minorHAnsi"/>
                <w:b/>
                <w:bCs/>
                <w:i/>
                <w:iCs/>
                <w:color w:val="000000" w:themeColor="text1"/>
                <w:sz w:val="20"/>
                <w:szCs w:val="20"/>
                <w:lang w:eastAsia="en-NZ"/>
              </w:rPr>
              <w:t>Residents’ health and wellbeing outcomes</w:t>
            </w:r>
            <w:r w:rsidRPr="00CA4713">
              <w:rPr>
                <w:rFonts w:eastAsia="Times New Roman" w:cstheme="minorHAnsi"/>
                <w:color w:val="000000" w:themeColor="text1"/>
                <w:sz w:val="20"/>
                <w:szCs w:val="20"/>
                <w:lang w:eastAsia="en-NZ"/>
              </w:rPr>
              <w:t> </w:t>
            </w:r>
          </w:p>
        </w:tc>
      </w:tr>
      <w:tr w:rsidR="00546A26" w:rsidRPr="008B0A7E" w:rsidTr="004106CD">
        <w:tblPrEx>
          <w:shd w:val="clear" w:color="auto" w:fill="auto"/>
        </w:tblPrEx>
        <w:trPr>
          <w:trHeight w:val="765"/>
        </w:trPr>
        <w:tc>
          <w:tcPr>
            <w:tcW w:w="3545" w:type="dxa"/>
            <w:tcBorders>
              <w:top w:val="nil"/>
            </w:tcBorders>
            <w:shd w:val="clear" w:color="auto" w:fill="auto"/>
            <w:hideMark/>
          </w:tcPr>
          <w:p w:rsidR="00546A26" w:rsidRPr="00CA4713" w:rsidRDefault="00546A26" w:rsidP="004106CD">
            <w:pPr>
              <w:spacing w:after="0" w:line="240" w:lineRule="auto"/>
              <w:rPr>
                <w:rFonts w:eastAsia="Times New Roman" w:cstheme="minorHAnsi"/>
                <w:color w:val="000000"/>
                <w:sz w:val="20"/>
                <w:szCs w:val="20"/>
                <w:lang w:eastAsia="en-NZ"/>
              </w:rPr>
            </w:pPr>
            <w:r w:rsidRPr="00CA4713">
              <w:rPr>
                <w:rFonts w:eastAsia="Times New Roman" w:cstheme="minorHAnsi"/>
                <w:color w:val="000000"/>
                <w:sz w:val="20"/>
                <w:szCs w:val="20"/>
                <w:lang w:eastAsia="en-NZ"/>
              </w:rPr>
              <w:t>Social housing tenants who report good quality of life</w:t>
            </w:r>
          </w:p>
        </w:tc>
        <w:tc>
          <w:tcPr>
            <w:tcW w:w="1233" w:type="dxa"/>
            <w:tcBorders>
              <w:top w:val="nil"/>
            </w:tcBorders>
            <w:shd w:val="clear" w:color="auto" w:fill="auto"/>
            <w:noWrap/>
            <w:hideMark/>
          </w:tcPr>
          <w:p w:rsidR="00546A26" w:rsidRPr="00CA4713" w:rsidRDefault="00546A26" w:rsidP="004106CD">
            <w:pPr>
              <w:spacing w:after="0" w:line="240" w:lineRule="auto"/>
              <w:rPr>
                <w:rFonts w:eastAsia="Times New Roman" w:cstheme="minorHAnsi"/>
                <w:color w:val="000000"/>
                <w:sz w:val="20"/>
                <w:szCs w:val="20"/>
                <w:lang w:eastAsia="en-NZ"/>
              </w:rPr>
            </w:pPr>
            <w:r w:rsidRPr="00CA4713">
              <w:rPr>
                <w:rFonts w:eastAsia="Times New Roman" w:cstheme="minorHAnsi"/>
                <w:color w:val="000000"/>
                <w:sz w:val="20"/>
                <w:szCs w:val="20"/>
                <w:lang w:eastAsia="en-NZ"/>
              </w:rPr>
              <w:t>Increasing</w:t>
            </w:r>
          </w:p>
        </w:tc>
        <w:tc>
          <w:tcPr>
            <w:tcW w:w="1176" w:type="dxa"/>
            <w:tcBorders>
              <w:top w:val="nil"/>
            </w:tcBorders>
            <w:shd w:val="clear" w:color="auto" w:fill="auto"/>
            <w:noWrap/>
            <w:hideMark/>
          </w:tcPr>
          <w:p w:rsidR="00546A26" w:rsidRPr="00CA4713" w:rsidRDefault="00546A26" w:rsidP="004106CD">
            <w:pPr>
              <w:spacing w:after="0" w:line="240" w:lineRule="auto"/>
              <w:rPr>
                <w:rFonts w:eastAsia="Times New Roman" w:cstheme="minorHAnsi"/>
                <w:color w:val="000000"/>
                <w:sz w:val="20"/>
                <w:szCs w:val="20"/>
                <w:lang w:eastAsia="en-NZ"/>
              </w:rPr>
            </w:pPr>
            <w:r w:rsidRPr="00CA4713">
              <w:rPr>
                <w:rFonts w:eastAsia="Times New Roman" w:cstheme="minorHAnsi"/>
                <w:color w:val="000000"/>
                <w:sz w:val="20"/>
                <w:szCs w:val="20"/>
                <w:lang w:eastAsia="en-NZ"/>
              </w:rPr>
              <w:t>Research - WCC Housing Tenants Survey</w:t>
            </w:r>
          </w:p>
        </w:tc>
        <w:tc>
          <w:tcPr>
            <w:tcW w:w="1843" w:type="dxa"/>
            <w:tcBorders>
              <w:top w:val="nil"/>
            </w:tcBorders>
            <w:shd w:val="clear" w:color="auto" w:fill="auto"/>
            <w:noWrap/>
            <w:hideMark/>
          </w:tcPr>
          <w:p w:rsidR="00546A26" w:rsidRPr="00CA4713" w:rsidRDefault="00546A26" w:rsidP="004106CD">
            <w:pPr>
              <w:spacing w:after="0" w:line="240" w:lineRule="auto"/>
              <w:jc w:val="right"/>
              <w:rPr>
                <w:rFonts w:eastAsia="Times New Roman" w:cstheme="minorHAnsi"/>
                <w:color w:val="000000"/>
                <w:sz w:val="20"/>
                <w:szCs w:val="20"/>
                <w:lang w:eastAsia="en-NZ"/>
              </w:rPr>
            </w:pPr>
          </w:p>
        </w:tc>
        <w:tc>
          <w:tcPr>
            <w:tcW w:w="1843" w:type="dxa"/>
            <w:tcBorders>
              <w:top w:val="nil"/>
            </w:tcBorders>
            <w:shd w:val="clear" w:color="auto" w:fill="auto"/>
            <w:noWrap/>
            <w:hideMark/>
          </w:tcPr>
          <w:p w:rsidR="00546A26" w:rsidRPr="00CA4713" w:rsidRDefault="00546A26" w:rsidP="004106CD">
            <w:pPr>
              <w:spacing w:after="0" w:line="240" w:lineRule="auto"/>
              <w:jc w:val="right"/>
              <w:rPr>
                <w:rFonts w:eastAsia="Times New Roman" w:cstheme="minorHAnsi"/>
                <w:color w:val="000000"/>
                <w:sz w:val="20"/>
                <w:szCs w:val="20"/>
                <w:lang w:eastAsia="en-NZ"/>
              </w:rPr>
            </w:pPr>
            <w:r w:rsidRPr="00CA4713">
              <w:rPr>
                <w:rFonts w:eastAsia="Times New Roman" w:cstheme="minorHAnsi"/>
                <w:color w:val="000000"/>
                <w:sz w:val="20"/>
                <w:szCs w:val="20"/>
                <w:lang w:eastAsia="en-NZ"/>
              </w:rPr>
              <w:t>New</w:t>
            </w:r>
          </w:p>
        </w:tc>
        <w:tc>
          <w:tcPr>
            <w:tcW w:w="1843" w:type="dxa"/>
            <w:tcBorders>
              <w:top w:val="nil"/>
            </w:tcBorders>
            <w:shd w:val="clear" w:color="auto" w:fill="auto"/>
            <w:hideMark/>
          </w:tcPr>
          <w:p w:rsidR="00546A26" w:rsidRPr="00CA4713" w:rsidRDefault="00546A26" w:rsidP="004106CD">
            <w:pPr>
              <w:spacing w:after="0" w:line="240" w:lineRule="auto"/>
              <w:jc w:val="right"/>
              <w:rPr>
                <w:rFonts w:eastAsia="Times New Roman" w:cstheme="minorHAnsi"/>
                <w:color w:val="000000"/>
                <w:sz w:val="20"/>
                <w:szCs w:val="20"/>
                <w:lang w:eastAsia="en-NZ"/>
              </w:rPr>
            </w:pPr>
            <w:r w:rsidRPr="00CA4713">
              <w:rPr>
                <w:rFonts w:eastAsia="Times New Roman" w:cstheme="minorHAnsi"/>
                <w:color w:val="000000"/>
                <w:sz w:val="20"/>
                <w:szCs w:val="20"/>
                <w:lang w:eastAsia="en-NZ"/>
              </w:rPr>
              <w:t xml:space="preserve">77% </w:t>
            </w:r>
          </w:p>
        </w:tc>
        <w:tc>
          <w:tcPr>
            <w:tcW w:w="2976" w:type="dxa"/>
            <w:tcBorders>
              <w:top w:val="nil"/>
            </w:tcBorders>
            <w:shd w:val="clear" w:color="auto" w:fill="auto"/>
            <w:hideMark/>
          </w:tcPr>
          <w:p w:rsidR="00546A26" w:rsidRPr="00CA4713" w:rsidRDefault="005F209F" w:rsidP="004106CD">
            <w:pPr>
              <w:spacing w:after="0" w:line="240" w:lineRule="auto"/>
              <w:rPr>
                <w:rFonts w:eastAsia="Times New Roman" w:cstheme="minorHAnsi"/>
                <w:color w:val="000000"/>
                <w:sz w:val="20"/>
                <w:szCs w:val="20"/>
                <w:lang w:eastAsia="en-NZ"/>
              </w:rPr>
            </w:pPr>
            <w:r>
              <w:rPr>
                <w:rFonts w:eastAsia="Times New Roman" w:cstheme="minorHAnsi"/>
                <w:color w:val="000000"/>
                <w:sz w:val="20"/>
                <w:szCs w:val="20"/>
                <w:lang w:eastAsia="en-NZ"/>
              </w:rPr>
              <w:t xml:space="preserve">No trend. </w:t>
            </w:r>
            <w:r w:rsidR="00546A26" w:rsidRPr="00CA4713">
              <w:rPr>
                <w:rFonts w:eastAsia="Times New Roman" w:cstheme="minorHAnsi"/>
                <w:color w:val="000000"/>
                <w:sz w:val="20"/>
                <w:szCs w:val="20"/>
                <w:lang w:eastAsia="en-NZ"/>
              </w:rPr>
              <w:t>Total of "extremely good", "very good" and "good"</w:t>
            </w:r>
          </w:p>
        </w:tc>
      </w:tr>
      <w:tr w:rsidR="00546A26" w:rsidRPr="008B0A7E" w:rsidTr="004106CD">
        <w:tblPrEx>
          <w:shd w:val="clear" w:color="auto" w:fill="auto"/>
        </w:tblPrEx>
        <w:trPr>
          <w:trHeight w:val="1020"/>
        </w:trPr>
        <w:tc>
          <w:tcPr>
            <w:tcW w:w="3545" w:type="dxa"/>
            <w:shd w:val="clear" w:color="auto" w:fill="auto"/>
            <w:hideMark/>
          </w:tcPr>
          <w:p w:rsidR="00546A26" w:rsidRPr="00CA4713" w:rsidRDefault="00546A26" w:rsidP="004106CD">
            <w:pPr>
              <w:spacing w:after="0" w:line="240" w:lineRule="auto"/>
              <w:rPr>
                <w:rFonts w:eastAsia="Times New Roman" w:cstheme="minorHAnsi"/>
                <w:color w:val="000000"/>
                <w:sz w:val="20"/>
                <w:szCs w:val="20"/>
                <w:lang w:eastAsia="en-NZ"/>
              </w:rPr>
            </w:pPr>
            <w:r w:rsidRPr="00CA4713">
              <w:rPr>
                <w:rFonts w:eastAsia="Times New Roman" w:cstheme="minorHAnsi"/>
                <w:color w:val="000000"/>
                <w:sz w:val="20"/>
                <w:szCs w:val="20"/>
                <w:lang w:eastAsia="en-NZ"/>
              </w:rPr>
              <w:t>Activity levels, obesity/health</w:t>
            </w:r>
          </w:p>
        </w:tc>
        <w:tc>
          <w:tcPr>
            <w:tcW w:w="1233" w:type="dxa"/>
            <w:shd w:val="clear" w:color="auto" w:fill="auto"/>
            <w:noWrap/>
            <w:hideMark/>
          </w:tcPr>
          <w:p w:rsidR="00546A26" w:rsidRPr="00CA4713" w:rsidRDefault="00546A26" w:rsidP="004106CD">
            <w:pPr>
              <w:spacing w:after="0" w:line="240" w:lineRule="auto"/>
              <w:rPr>
                <w:rFonts w:eastAsia="Times New Roman" w:cstheme="minorHAnsi"/>
                <w:color w:val="000000"/>
                <w:sz w:val="20"/>
                <w:szCs w:val="20"/>
                <w:lang w:eastAsia="en-NZ"/>
              </w:rPr>
            </w:pPr>
            <w:r w:rsidRPr="00CA4713">
              <w:rPr>
                <w:rFonts w:eastAsia="Times New Roman" w:cstheme="minorHAnsi"/>
                <w:color w:val="000000"/>
                <w:sz w:val="20"/>
                <w:szCs w:val="20"/>
                <w:lang w:eastAsia="en-NZ"/>
              </w:rPr>
              <w:t>Increasing</w:t>
            </w:r>
          </w:p>
        </w:tc>
        <w:tc>
          <w:tcPr>
            <w:tcW w:w="1176" w:type="dxa"/>
            <w:shd w:val="clear" w:color="auto" w:fill="auto"/>
            <w:noWrap/>
            <w:hideMark/>
          </w:tcPr>
          <w:p w:rsidR="00546A26" w:rsidRPr="00CA4713" w:rsidRDefault="00546A26" w:rsidP="004106CD">
            <w:pPr>
              <w:spacing w:after="0" w:line="240" w:lineRule="auto"/>
              <w:rPr>
                <w:rFonts w:eastAsia="Times New Roman" w:cstheme="minorHAnsi"/>
                <w:color w:val="000000"/>
                <w:sz w:val="20"/>
                <w:szCs w:val="20"/>
                <w:lang w:eastAsia="en-NZ"/>
              </w:rPr>
            </w:pPr>
            <w:r w:rsidRPr="00CA4713">
              <w:rPr>
                <w:rFonts w:eastAsia="Times New Roman" w:cstheme="minorHAnsi"/>
                <w:color w:val="000000"/>
                <w:sz w:val="20"/>
                <w:szCs w:val="20"/>
                <w:lang w:eastAsia="en-NZ"/>
              </w:rPr>
              <w:t>Research -Ministry of Health</w:t>
            </w:r>
          </w:p>
        </w:tc>
        <w:tc>
          <w:tcPr>
            <w:tcW w:w="1843" w:type="dxa"/>
            <w:shd w:val="clear" w:color="auto" w:fill="auto"/>
            <w:hideMark/>
          </w:tcPr>
          <w:p w:rsidR="00546A26" w:rsidRPr="00CA4713" w:rsidRDefault="00546A26" w:rsidP="004106CD">
            <w:pPr>
              <w:spacing w:after="0" w:line="240" w:lineRule="auto"/>
              <w:jc w:val="right"/>
              <w:rPr>
                <w:rFonts w:eastAsia="Times New Roman" w:cstheme="minorHAnsi"/>
                <w:color w:val="000000"/>
                <w:sz w:val="20"/>
                <w:szCs w:val="20"/>
                <w:lang w:eastAsia="en-NZ"/>
              </w:rPr>
            </w:pPr>
            <w:r w:rsidRPr="00CA4713">
              <w:rPr>
                <w:rFonts w:eastAsia="Times New Roman" w:cstheme="minorHAnsi"/>
                <w:color w:val="000000"/>
                <w:sz w:val="20"/>
                <w:szCs w:val="20"/>
                <w:lang w:eastAsia="en-NZ"/>
              </w:rPr>
              <w:t>n/a</w:t>
            </w:r>
          </w:p>
        </w:tc>
        <w:tc>
          <w:tcPr>
            <w:tcW w:w="1843" w:type="dxa"/>
            <w:shd w:val="clear" w:color="auto" w:fill="auto"/>
            <w:noWrap/>
            <w:hideMark/>
          </w:tcPr>
          <w:p w:rsidR="00546A26" w:rsidRPr="00CA4713" w:rsidRDefault="00546A26" w:rsidP="004106CD">
            <w:pPr>
              <w:spacing w:after="0" w:line="240" w:lineRule="auto"/>
              <w:jc w:val="right"/>
              <w:rPr>
                <w:rFonts w:eastAsia="Times New Roman" w:cstheme="minorHAnsi"/>
                <w:color w:val="000000"/>
                <w:sz w:val="20"/>
                <w:szCs w:val="20"/>
                <w:lang w:eastAsia="en-NZ"/>
              </w:rPr>
            </w:pPr>
            <w:r w:rsidRPr="00CA4713">
              <w:rPr>
                <w:rFonts w:eastAsia="Times New Roman" w:cstheme="minorHAnsi"/>
                <w:color w:val="000000"/>
                <w:sz w:val="20"/>
                <w:szCs w:val="20"/>
                <w:lang w:eastAsia="en-NZ"/>
              </w:rPr>
              <w:t>2017 - 77% adults participate in average of 5.3 hours per week</w:t>
            </w:r>
          </w:p>
        </w:tc>
        <w:tc>
          <w:tcPr>
            <w:tcW w:w="1843" w:type="dxa"/>
            <w:shd w:val="clear" w:color="auto" w:fill="auto"/>
            <w:noWrap/>
            <w:hideMark/>
          </w:tcPr>
          <w:p w:rsidR="00546A26" w:rsidRPr="00CA4713" w:rsidRDefault="00546A26" w:rsidP="004106CD">
            <w:pPr>
              <w:spacing w:after="0" w:line="240" w:lineRule="auto"/>
              <w:jc w:val="right"/>
              <w:rPr>
                <w:rFonts w:eastAsia="Times New Roman" w:cstheme="minorHAnsi"/>
                <w:color w:val="000000"/>
                <w:sz w:val="20"/>
                <w:szCs w:val="20"/>
                <w:lang w:eastAsia="en-NZ"/>
              </w:rPr>
            </w:pPr>
            <w:r w:rsidRPr="00CA4713">
              <w:rPr>
                <w:rFonts w:eastAsia="Times New Roman" w:cstheme="minorHAnsi"/>
                <w:color w:val="000000"/>
                <w:sz w:val="20"/>
                <w:szCs w:val="20"/>
                <w:lang w:eastAsia="en-NZ"/>
              </w:rPr>
              <w:t>2019 data not available</w:t>
            </w:r>
          </w:p>
        </w:tc>
        <w:tc>
          <w:tcPr>
            <w:tcW w:w="2976" w:type="dxa"/>
            <w:shd w:val="clear" w:color="auto" w:fill="auto"/>
            <w:hideMark/>
          </w:tcPr>
          <w:p w:rsidR="00546A26" w:rsidRPr="00CA4713" w:rsidRDefault="005F209F" w:rsidP="00FC355A">
            <w:pPr>
              <w:spacing w:after="0" w:line="240" w:lineRule="auto"/>
              <w:rPr>
                <w:rFonts w:eastAsia="Times New Roman" w:cstheme="minorHAnsi"/>
                <w:color w:val="000000"/>
                <w:sz w:val="20"/>
                <w:szCs w:val="20"/>
                <w:lang w:eastAsia="en-NZ"/>
              </w:rPr>
            </w:pPr>
            <w:r>
              <w:rPr>
                <w:rFonts w:eastAsia="Times New Roman" w:cstheme="minorHAnsi"/>
                <w:color w:val="000000"/>
                <w:sz w:val="20"/>
                <w:szCs w:val="20"/>
                <w:lang w:eastAsia="en-NZ"/>
              </w:rPr>
              <w:t xml:space="preserve">No trend. </w:t>
            </w:r>
            <w:r w:rsidR="00546A26" w:rsidRPr="00CA4713">
              <w:rPr>
                <w:rFonts w:eastAsia="Times New Roman" w:cstheme="minorHAnsi"/>
                <w:color w:val="000000"/>
                <w:sz w:val="20"/>
                <w:szCs w:val="20"/>
                <w:lang w:eastAsia="en-NZ"/>
              </w:rPr>
              <w:t xml:space="preserve">2017 - </w:t>
            </w:r>
            <w:r w:rsidR="00FC355A">
              <w:rPr>
                <w:rFonts w:eastAsia="Times New Roman" w:cstheme="minorHAnsi"/>
                <w:color w:val="000000"/>
                <w:sz w:val="20"/>
                <w:szCs w:val="20"/>
                <w:lang w:eastAsia="en-NZ"/>
              </w:rPr>
              <w:t>“</w:t>
            </w:r>
            <w:r w:rsidR="00FC355A" w:rsidRPr="00CA4713">
              <w:rPr>
                <w:rFonts w:eastAsia="Times New Roman" w:cstheme="minorHAnsi"/>
                <w:color w:val="000000"/>
                <w:sz w:val="20"/>
                <w:szCs w:val="20"/>
                <w:lang w:eastAsia="en-NZ"/>
              </w:rPr>
              <w:t>Wellington Region</w:t>
            </w:r>
            <w:r w:rsidR="00FC355A">
              <w:rPr>
                <w:rFonts w:eastAsia="Times New Roman" w:cstheme="minorHAnsi"/>
                <w:color w:val="000000"/>
                <w:sz w:val="20"/>
                <w:szCs w:val="20"/>
                <w:lang w:eastAsia="en-NZ"/>
              </w:rPr>
              <w:t>”</w:t>
            </w:r>
            <w:r w:rsidR="00FC355A" w:rsidRPr="00CA4713">
              <w:rPr>
                <w:rFonts w:eastAsia="Times New Roman" w:cstheme="minorHAnsi"/>
                <w:color w:val="000000"/>
                <w:sz w:val="20"/>
                <w:szCs w:val="20"/>
                <w:lang w:eastAsia="en-NZ"/>
              </w:rPr>
              <w:t xml:space="preserve"> </w:t>
            </w:r>
            <w:r w:rsidR="00546A26" w:rsidRPr="00CA4713">
              <w:rPr>
                <w:rFonts w:eastAsia="Times New Roman" w:cstheme="minorHAnsi"/>
                <w:color w:val="000000"/>
                <w:sz w:val="20"/>
                <w:szCs w:val="20"/>
                <w:lang w:eastAsia="en-NZ"/>
              </w:rPr>
              <w:t xml:space="preserve">data only. </w:t>
            </w:r>
          </w:p>
        </w:tc>
      </w:tr>
      <w:tr w:rsidR="00546A26" w:rsidRPr="008B0A7E" w:rsidTr="004106CD">
        <w:tblPrEx>
          <w:shd w:val="clear" w:color="auto" w:fill="auto"/>
        </w:tblPrEx>
        <w:trPr>
          <w:trHeight w:val="974"/>
        </w:trPr>
        <w:tc>
          <w:tcPr>
            <w:tcW w:w="3545" w:type="dxa"/>
            <w:tcBorders>
              <w:bottom w:val="nil"/>
            </w:tcBorders>
            <w:shd w:val="clear" w:color="auto" w:fill="auto"/>
            <w:hideMark/>
          </w:tcPr>
          <w:p w:rsidR="00546A26" w:rsidRPr="00CA4713" w:rsidRDefault="00546A26" w:rsidP="004106CD">
            <w:pPr>
              <w:spacing w:after="0" w:line="240" w:lineRule="auto"/>
              <w:rPr>
                <w:rFonts w:eastAsia="Times New Roman" w:cstheme="minorHAnsi"/>
                <w:color w:val="000000"/>
                <w:sz w:val="20"/>
                <w:szCs w:val="20"/>
                <w:lang w:eastAsia="en-NZ"/>
              </w:rPr>
            </w:pPr>
            <w:r w:rsidRPr="00CA4713">
              <w:rPr>
                <w:rFonts w:eastAsia="Times New Roman" w:cstheme="minorHAnsi"/>
                <w:color w:val="000000"/>
                <w:sz w:val="20"/>
                <w:szCs w:val="20"/>
                <w:lang w:eastAsia="en-NZ"/>
              </w:rPr>
              <w:t>Youth participation in sport and recreation</w:t>
            </w:r>
          </w:p>
        </w:tc>
        <w:tc>
          <w:tcPr>
            <w:tcW w:w="1233" w:type="dxa"/>
            <w:tcBorders>
              <w:bottom w:val="nil"/>
            </w:tcBorders>
            <w:shd w:val="clear" w:color="auto" w:fill="auto"/>
            <w:noWrap/>
            <w:hideMark/>
          </w:tcPr>
          <w:p w:rsidR="00546A26" w:rsidRPr="00CA4713" w:rsidRDefault="00546A26" w:rsidP="004106CD">
            <w:pPr>
              <w:spacing w:after="0" w:line="240" w:lineRule="auto"/>
              <w:rPr>
                <w:rFonts w:eastAsia="Times New Roman" w:cstheme="minorHAnsi"/>
                <w:color w:val="000000"/>
                <w:sz w:val="20"/>
                <w:szCs w:val="20"/>
                <w:lang w:eastAsia="en-NZ"/>
              </w:rPr>
            </w:pPr>
            <w:r w:rsidRPr="00CA4713">
              <w:rPr>
                <w:rFonts w:eastAsia="Times New Roman" w:cstheme="minorHAnsi"/>
                <w:color w:val="000000"/>
                <w:sz w:val="20"/>
                <w:szCs w:val="20"/>
                <w:lang w:eastAsia="en-NZ"/>
              </w:rPr>
              <w:t>Increasing</w:t>
            </w:r>
          </w:p>
        </w:tc>
        <w:tc>
          <w:tcPr>
            <w:tcW w:w="1176" w:type="dxa"/>
            <w:tcBorders>
              <w:bottom w:val="nil"/>
            </w:tcBorders>
            <w:shd w:val="clear" w:color="auto" w:fill="auto"/>
            <w:noWrap/>
            <w:hideMark/>
          </w:tcPr>
          <w:p w:rsidR="00546A26" w:rsidRPr="00CA4713" w:rsidRDefault="00546A26" w:rsidP="004106CD">
            <w:pPr>
              <w:spacing w:after="0" w:line="240" w:lineRule="auto"/>
              <w:rPr>
                <w:rFonts w:eastAsia="Times New Roman" w:cstheme="minorHAnsi"/>
                <w:color w:val="000000"/>
                <w:sz w:val="20"/>
                <w:szCs w:val="20"/>
                <w:lang w:eastAsia="en-NZ"/>
              </w:rPr>
            </w:pPr>
            <w:r w:rsidRPr="00CA4713">
              <w:rPr>
                <w:rFonts w:eastAsia="Times New Roman" w:cstheme="minorHAnsi"/>
                <w:color w:val="000000"/>
                <w:sz w:val="20"/>
                <w:szCs w:val="20"/>
                <w:lang w:eastAsia="en-NZ"/>
              </w:rPr>
              <w:t>Research -Ministry of Health</w:t>
            </w:r>
          </w:p>
        </w:tc>
        <w:tc>
          <w:tcPr>
            <w:tcW w:w="1843" w:type="dxa"/>
            <w:tcBorders>
              <w:bottom w:val="nil"/>
            </w:tcBorders>
            <w:shd w:val="clear" w:color="auto" w:fill="auto"/>
            <w:hideMark/>
          </w:tcPr>
          <w:p w:rsidR="00546A26" w:rsidRPr="00CA4713" w:rsidRDefault="00546A26" w:rsidP="004106CD">
            <w:pPr>
              <w:spacing w:after="0" w:line="240" w:lineRule="auto"/>
              <w:jc w:val="right"/>
              <w:rPr>
                <w:rFonts w:eastAsia="Times New Roman" w:cstheme="minorHAnsi"/>
                <w:color w:val="000000"/>
                <w:sz w:val="20"/>
                <w:szCs w:val="20"/>
                <w:lang w:eastAsia="en-NZ"/>
              </w:rPr>
            </w:pPr>
            <w:r w:rsidRPr="00CA4713">
              <w:rPr>
                <w:rFonts w:eastAsia="Times New Roman" w:cstheme="minorHAnsi"/>
                <w:color w:val="000000"/>
                <w:sz w:val="20"/>
                <w:szCs w:val="20"/>
                <w:lang w:eastAsia="en-NZ"/>
              </w:rPr>
              <w:t>n/a</w:t>
            </w:r>
          </w:p>
        </w:tc>
        <w:tc>
          <w:tcPr>
            <w:tcW w:w="1843" w:type="dxa"/>
            <w:tcBorders>
              <w:bottom w:val="nil"/>
            </w:tcBorders>
            <w:shd w:val="clear" w:color="auto" w:fill="auto"/>
            <w:noWrap/>
            <w:hideMark/>
          </w:tcPr>
          <w:p w:rsidR="00546A26" w:rsidRPr="00CA4713" w:rsidRDefault="00546A26" w:rsidP="004106CD">
            <w:pPr>
              <w:spacing w:after="0" w:line="240" w:lineRule="auto"/>
              <w:jc w:val="right"/>
              <w:rPr>
                <w:rFonts w:eastAsia="Times New Roman" w:cstheme="minorHAnsi"/>
                <w:color w:val="000000"/>
                <w:sz w:val="20"/>
                <w:szCs w:val="20"/>
                <w:lang w:eastAsia="en-NZ"/>
              </w:rPr>
            </w:pPr>
            <w:r w:rsidRPr="00CA4713">
              <w:rPr>
                <w:rFonts w:eastAsia="Times New Roman" w:cstheme="minorHAnsi"/>
                <w:color w:val="000000"/>
                <w:sz w:val="20"/>
                <w:szCs w:val="20"/>
                <w:lang w:eastAsia="en-NZ"/>
              </w:rPr>
              <w:t>2017- 96% 5-17yrs participate in average of 10.4 hours per week</w:t>
            </w:r>
          </w:p>
        </w:tc>
        <w:tc>
          <w:tcPr>
            <w:tcW w:w="1843" w:type="dxa"/>
            <w:tcBorders>
              <w:bottom w:val="nil"/>
            </w:tcBorders>
            <w:shd w:val="clear" w:color="auto" w:fill="auto"/>
            <w:noWrap/>
            <w:hideMark/>
          </w:tcPr>
          <w:p w:rsidR="00546A26" w:rsidRPr="00CA4713" w:rsidRDefault="00546A26" w:rsidP="004106CD">
            <w:pPr>
              <w:spacing w:after="0" w:line="240" w:lineRule="auto"/>
              <w:jc w:val="right"/>
              <w:rPr>
                <w:rFonts w:eastAsia="Times New Roman" w:cstheme="minorHAnsi"/>
                <w:color w:val="000000"/>
                <w:sz w:val="20"/>
                <w:szCs w:val="20"/>
                <w:lang w:eastAsia="en-NZ"/>
              </w:rPr>
            </w:pPr>
            <w:r w:rsidRPr="00CA4713">
              <w:rPr>
                <w:rFonts w:eastAsia="Times New Roman" w:cstheme="minorHAnsi"/>
                <w:color w:val="000000"/>
                <w:sz w:val="20"/>
                <w:szCs w:val="20"/>
                <w:lang w:eastAsia="en-NZ"/>
              </w:rPr>
              <w:t>2019 data not available</w:t>
            </w:r>
          </w:p>
        </w:tc>
        <w:tc>
          <w:tcPr>
            <w:tcW w:w="2976" w:type="dxa"/>
            <w:tcBorders>
              <w:bottom w:val="nil"/>
            </w:tcBorders>
            <w:shd w:val="clear" w:color="auto" w:fill="auto"/>
            <w:hideMark/>
          </w:tcPr>
          <w:p w:rsidR="00546A26" w:rsidRPr="00CA4713" w:rsidRDefault="005F209F" w:rsidP="00FC355A">
            <w:pPr>
              <w:spacing w:after="0" w:line="240" w:lineRule="auto"/>
              <w:rPr>
                <w:rFonts w:eastAsia="Times New Roman" w:cstheme="minorHAnsi"/>
                <w:color w:val="000000"/>
                <w:sz w:val="20"/>
                <w:szCs w:val="20"/>
                <w:lang w:eastAsia="en-NZ"/>
              </w:rPr>
            </w:pPr>
            <w:r>
              <w:rPr>
                <w:rFonts w:eastAsia="Times New Roman" w:cstheme="minorHAnsi"/>
                <w:color w:val="000000"/>
                <w:sz w:val="20"/>
                <w:szCs w:val="20"/>
                <w:lang w:eastAsia="en-NZ"/>
              </w:rPr>
              <w:t xml:space="preserve">No trend.  </w:t>
            </w:r>
            <w:r w:rsidR="00546A26" w:rsidRPr="00CA4713">
              <w:rPr>
                <w:rFonts w:eastAsia="Times New Roman" w:cstheme="minorHAnsi"/>
                <w:color w:val="000000"/>
                <w:sz w:val="20"/>
                <w:szCs w:val="20"/>
                <w:lang w:eastAsia="en-NZ"/>
              </w:rPr>
              <w:t xml:space="preserve">2017 - </w:t>
            </w:r>
            <w:r w:rsidR="00FC355A">
              <w:rPr>
                <w:rFonts w:eastAsia="Times New Roman" w:cstheme="minorHAnsi"/>
                <w:color w:val="000000"/>
                <w:sz w:val="20"/>
                <w:szCs w:val="20"/>
                <w:lang w:eastAsia="en-NZ"/>
              </w:rPr>
              <w:t>“</w:t>
            </w:r>
            <w:r w:rsidR="00FC355A" w:rsidRPr="00CA4713">
              <w:rPr>
                <w:rFonts w:eastAsia="Times New Roman" w:cstheme="minorHAnsi"/>
                <w:color w:val="000000"/>
                <w:sz w:val="20"/>
                <w:szCs w:val="20"/>
                <w:lang w:eastAsia="en-NZ"/>
              </w:rPr>
              <w:t>Wellington Region</w:t>
            </w:r>
            <w:r w:rsidR="00FC355A">
              <w:rPr>
                <w:rFonts w:eastAsia="Times New Roman" w:cstheme="minorHAnsi"/>
                <w:color w:val="000000"/>
                <w:sz w:val="20"/>
                <w:szCs w:val="20"/>
                <w:lang w:eastAsia="en-NZ"/>
              </w:rPr>
              <w:t>”</w:t>
            </w:r>
            <w:r w:rsidR="00FC355A" w:rsidRPr="00CA4713">
              <w:rPr>
                <w:rFonts w:eastAsia="Times New Roman" w:cstheme="minorHAnsi"/>
                <w:color w:val="000000"/>
                <w:sz w:val="20"/>
                <w:szCs w:val="20"/>
                <w:lang w:eastAsia="en-NZ"/>
              </w:rPr>
              <w:t xml:space="preserve"> </w:t>
            </w:r>
            <w:r w:rsidR="00546A26" w:rsidRPr="00CA4713">
              <w:rPr>
                <w:rFonts w:eastAsia="Times New Roman" w:cstheme="minorHAnsi"/>
                <w:color w:val="000000"/>
                <w:sz w:val="20"/>
                <w:szCs w:val="20"/>
                <w:lang w:eastAsia="en-NZ"/>
              </w:rPr>
              <w:t>data only.</w:t>
            </w:r>
          </w:p>
        </w:tc>
      </w:tr>
      <w:tr w:rsidR="00546A26" w:rsidRPr="008B0A7E" w:rsidTr="004106CD">
        <w:tblPrEx>
          <w:shd w:val="clear" w:color="auto" w:fill="auto"/>
        </w:tblPrEx>
        <w:trPr>
          <w:trHeight w:val="255"/>
        </w:trPr>
        <w:tc>
          <w:tcPr>
            <w:tcW w:w="14459" w:type="dxa"/>
            <w:gridSpan w:val="7"/>
            <w:tcBorders>
              <w:top w:val="nil"/>
              <w:left w:val="nil"/>
              <w:bottom w:val="nil"/>
              <w:right w:val="nil"/>
            </w:tcBorders>
            <w:shd w:val="clear" w:color="auto" w:fill="DAEEF3" w:themeFill="accent5" w:themeFillTint="33"/>
            <w:hideMark/>
          </w:tcPr>
          <w:p w:rsidR="00546A26" w:rsidRPr="00CA4713" w:rsidRDefault="00546A26" w:rsidP="004106CD">
            <w:pPr>
              <w:spacing w:after="0" w:line="240" w:lineRule="auto"/>
              <w:rPr>
                <w:rFonts w:eastAsia="Times New Roman" w:cstheme="minorHAnsi"/>
                <w:color w:val="000000" w:themeColor="text1"/>
                <w:sz w:val="20"/>
                <w:szCs w:val="20"/>
                <w:lang w:eastAsia="en-NZ"/>
              </w:rPr>
            </w:pPr>
            <w:r w:rsidRPr="00CA4713">
              <w:rPr>
                <w:rFonts w:eastAsia="Times New Roman" w:cstheme="minorHAnsi"/>
                <w:b/>
                <w:bCs/>
                <w:i/>
                <w:iCs/>
                <w:color w:val="000000" w:themeColor="text1"/>
                <w:sz w:val="20"/>
                <w:szCs w:val="20"/>
                <w:lang w:eastAsia="en-NZ"/>
              </w:rPr>
              <w:t>Resilient and cohesive communities and neighbourhoods</w:t>
            </w:r>
          </w:p>
        </w:tc>
      </w:tr>
      <w:tr w:rsidR="00546A26" w:rsidRPr="008B0A7E" w:rsidTr="004106CD">
        <w:tblPrEx>
          <w:shd w:val="clear" w:color="auto" w:fill="auto"/>
        </w:tblPrEx>
        <w:trPr>
          <w:trHeight w:val="510"/>
        </w:trPr>
        <w:tc>
          <w:tcPr>
            <w:tcW w:w="3545" w:type="dxa"/>
            <w:tcBorders>
              <w:top w:val="nil"/>
            </w:tcBorders>
            <w:shd w:val="clear" w:color="auto" w:fill="auto"/>
            <w:hideMark/>
          </w:tcPr>
          <w:p w:rsidR="00546A26" w:rsidRPr="00CA4713" w:rsidRDefault="00546A26" w:rsidP="004106CD">
            <w:pPr>
              <w:spacing w:after="0" w:line="240" w:lineRule="auto"/>
              <w:rPr>
                <w:rFonts w:eastAsia="Times New Roman" w:cstheme="minorHAnsi"/>
                <w:color w:val="000000"/>
                <w:sz w:val="20"/>
                <w:szCs w:val="20"/>
                <w:lang w:eastAsia="en-NZ"/>
              </w:rPr>
            </w:pPr>
            <w:r w:rsidRPr="00CA4713">
              <w:rPr>
                <w:rFonts w:eastAsia="Times New Roman" w:cstheme="minorHAnsi"/>
                <w:color w:val="000000"/>
                <w:sz w:val="20"/>
                <w:szCs w:val="20"/>
                <w:lang w:eastAsia="en-NZ"/>
              </w:rPr>
              <w:t>Residents’ importance of sense of community in local neighbourhood</w:t>
            </w:r>
          </w:p>
        </w:tc>
        <w:tc>
          <w:tcPr>
            <w:tcW w:w="1233" w:type="dxa"/>
            <w:tcBorders>
              <w:top w:val="nil"/>
            </w:tcBorders>
            <w:shd w:val="clear" w:color="auto" w:fill="auto"/>
            <w:noWrap/>
            <w:hideMark/>
          </w:tcPr>
          <w:p w:rsidR="00546A26" w:rsidRPr="00CA4713" w:rsidRDefault="00546A26" w:rsidP="004106CD">
            <w:pPr>
              <w:spacing w:after="0" w:line="240" w:lineRule="auto"/>
              <w:rPr>
                <w:rFonts w:eastAsia="Times New Roman" w:cstheme="minorHAnsi"/>
                <w:color w:val="000000"/>
                <w:sz w:val="20"/>
                <w:szCs w:val="20"/>
                <w:lang w:eastAsia="en-NZ"/>
              </w:rPr>
            </w:pPr>
            <w:r w:rsidRPr="00CA4713">
              <w:rPr>
                <w:rFonts w:eastAsia="Times New Roman" w:cstheme="minorHAnsi"/>
                <w:color w:val="000000"/>
                <w:sz w:val="20"/>
                <w:szCs w:val="20"/>
                <w:lang w:eastAsia="en-NZ"/>
              </w:rPr>
              <w:t>Increasing</w:t>
            </w:r>
          </w:p>
        </w:tc>
        <w:tc>
          <w:tcPr>
            <w:tcW w:w="1176" w:type="dxa"/>
            <w:tcBorders>
              <w:top w:val="nil"/>
            </w:tcBorders>
            <w:shd w:val="clear" w:color="auto" w:fill="auto"/>
            <w:noWrap/>
            <w:hideMark/>
          </w:tcPr>
          <w:p w:rsidR="00546A26" w:rsidRPr="00CA4713" w:rsidRDefault="00546A26" w:rsidP="004106CD">
            <w:pPr>
              <w:spacing w:after="0" w:line="240" w:lineRule="auto"/>
              <w:rPr>
                <w:rFonts w:eastAsia="Times New Roman" w:cstheme="minorHAnsi"/>
                <w:color w:val="000000"/>
                <w:sz w:val="20"/>
                <w:szCs w:val="20"/>
                <w:lang w:eastAsia="en-NZ"/>
              </w:rPr>
            </w:pPr>
            <w:r w:rsidRPr="00CA4713">
              <w:rPr>
                <w:rFonts w:eastAsia="Times New Roman" w:cstheme="minorHAnsi"/>
                <w:color w:val="000000"/>
                <w:sz w:val="20"/>
                <w:szCs w:val="20"/>
                <w:lang w:eastAsia="en-NZ"/>
              </w:rPr>
              <w:t>WCC RMS 2019</w:t>
            </w:r>
          </w:p>
        </w:tc>
        <w:tc>
          <w:tcPr>
            <w:tcW w:w="1843" w:type="dxa"/>
            <w:tcBorders>
              <w:top w:val="nil"/>
            </w:tcBorders>
            <w:shd w:val="clear" w:color="auto" w:fill="auto"/>
            <w:noWrap/>
            <w:hideMark/>
          </w:tcPr>
          <w:p w:rsidR="00546A26" w:rsidRPr="00CA4713" w:rsidRDefault="00546A26" w:rsidP="004106CD">
            <w:pPr>
              <w:spacing w:after="0" w:line="240" w:lineRule="auto"/>
              <w:jc w:val="right"/>
              <w:rPr>
                <w:rFonts w:eastAsia="Times New Roman" w:cstheme="minorHAnsi"/>
                <w:color w:val="000000"/>
                <w:sz w:val="20"/>
                <w:szCs w:val="20"/>
                <w:lang w:eastAsia="en-NZ"/>
              </w:rPr>
            </w:pPr>
          </w:p>
        </w:tc>
        <w:tc>
          <w:tcPr>
            <w:tcW w:w="1843" w:type="dxa"/>
            <w:tcBorders>
              <w:top w:val="nil"/>
            </w:tcBorders>
            <w:shd w:val="clear" w:color="auto" w:fill="auto"/>
            <w:noWrap/>
            <w:hideMark/>
          </w:tcPr>
          <w:p w:rsidR="00546A26" w:rsidRPr="00CA4713" w:rsidRDefault="00546A26" w:rsidP="004106CD">
            <w:pPr>
              <w:spacing w:after="0" w:line="240" w:lineRule="auto"/>
              <w:jc w:val="right"/>
              <w:rPr>
                <w:rFonts w:eastAsia="Times New Roman" w:cstheme="minorHAnsi"/>
                <w:color w:val="000000"/>
                <w:sz w:val="20"/>
                <w:szCs w:val="20"/>
                <w:lang w:eastAsia="en-NZ"/>
              </w:rPr>
            </w:pPr>
            <w:r w:rsidRPr="00CA4713">
              <w:rPr>
                <w:rFonts w:eastAsia="Times New Roman" w:cstheme="minorHAnsi"/>
                <w:color w:val="000000"/>
                <w:sz w:val="20"/>
                <w:szCs w:val="20"/>
                <w:lang w:eastAsia="en-NZ"/>
              </w:rPr>
              <w:t>New</w:t>
            </w:r>
          </w:p>
        </w:tc>
        <w:tc>
          <w:tcPr>
            <w:tcW w:w="1843" w:type="dxa"/>
            <w:tcBorders>
              <w:top w:val="nil"/>
            </w:tcBorders>
            <w:shd w:val="clear" w:color="auto" w:fill="auto"/>
            <w:noWrap/>
            <w:hideMark/>
          </w:tcPr>
          <w:p w:rsidR="00546A26" w:rsidRPr="00CA4713" w:rsidRDefault="00546A26" w:rsidP="004106CD">
            <w:pPr>
              <w:spacing w:after="0" w:line="240" w:lineRule="auto"/>
              <w:jc w:val="right"/>
              <w:rPr>
                <w:rFonts w:eastAsia="Times New Roman" w:cstheme="minorHAnsi"/>
                <w:color w:val="000000"/>
                <w:sz w:val="20"/>
                <w:szCs w:val="20"/>
                <w:lang w:eastAsia="en-NZ"/>
              </w:rPr>
            </w:pPr>
            <w:r w:rsidRPr="00CA4713">
              <w:rPr>
                <w:rFonts w:eastAsia="Times New Roman" w:cstheme="minorHAnsi"/>
                <w:color w:val="000000"/>
                <w:sz w:val="20"/>
                <w:szCs w:val="20"/>
                <w:lang w:eastAsia="en-NZ"/>
              </w:rPr>
              <w:t>75%</w:t>
            </w:r>
          </w:p>
        </w:tc>
        <w:tc>
          <w:tcPr>
            <w:tcW w:w="2976" w:type="dxa"/>
            <w:tcBorders>
              <w:top w:val="nil"/>
            </w:tcBorders>
            <w:shd w:val="clear" w:color="auto" w:fill="auto"/>
            <w:hideMark/>
          </w:tcPr>
          <w:p w:rsidR="00546A26" w:rsidRPr="00CA4713" w:rsidRDefault="005F209F" w:rsidP="004106CD">
            <w:pPr>
              <w:spacing w:after="0" w:line="240" w:lineRule="auto"/>
              <w:rPr>
                <w:rFonts w:eastAsia="Times New Roman" w:cstheme="minorHAnsi"/>
                <w:color w:val="000000"/>
                <w:sz w:val="20"/>
                <w:szCs w:val="20"/>
                <w:lang w:eastAsia="en-NZ"/>
              </w:rPr>
            </w:pPr>
            <w:r>
              <w:rPr>
                <w:rFonts w:eastAsia="Times New Roman" w:cstheme="minorHAnsi"/>
                <w:color w:val="000000"/>
                <w:sz w:val="20"/>
                <w:szCs w:val="20"/>
                <w:lang w:eastAsia="en-NZ"/>
              </w:rPr>
              <w:t>No trend.</w:t>
            </w:r>
          </w:p>
        </w:tc>
      </w:tr>
      <w:tr w:rsidR="00546A26" w:rsidRPr="008B0A7E" w:rsidTr="004106CD">
        <w:trPr>
          <w:trHeight w:val="255"/>
        </w:trPr>
        <w:tc>
          <w:tcPr>
            <w:tcW w:w="3545" w:type="dxa"/>
            <w:shd w:val="clear" w:color="auto" w:fill="auto"/>
            <w:hideMark/>
          </w:tcPr>
          <w:p w:rsidR="00546A26" w:rsidRPr="00CA4713" w:rsidRDefault="00546A26" w:rsidP="004106CD">
            <w:pPr>
              <w:spacing w:after="0" w:line="240" w:lineRule="auto"/>
              <w:rPr>
                <w:rFonts w:eastAsia="Times New Roman" w:cstheme="minorHAnsi"/>
                <w:color w:val="000000"/>
                <w:sz w:val="20"/>
                <w:szCs w:val="20"/>
                <w:lang w:eastAsia="en-NZ"/>
              </w:rPr>
            </w:pPr>
            <w:r w:rsidRPr="00CA4713">
              <w:rPr>
                <w:rFonts w:eastAsia="Times New Roman" w:cstheme="minorHAnsi"/>
                <w:color w:val="000000"/>
                <w:sz w:val="20"/>
                <w:szCs w:val="20"/>
                <w:lang w:eastAsia="en-NZ"/>
              </w:rPr>
              <w:t xml:space="preserve">Residents’ engaging in neighbourly </w:t>
            </w:r>
            <w:r w:rsidRPr="00CA4713">
              <w:rPr>
                <w:rFonts w:eastAsia="Times New Roman" w:cstheme="minorHAnsi"/>
                <w:color w:val="000000"/>
                <w:sz w:val="20"/>
                <w:szCs w:val="20"/>
                <w:lang w:eastAsia="en-NZ"/>
              </w:rPr>
              <w:lastRenderedPageBreak/>
              <w:t>actions</w:t>
            </w:r>
          </w:p>
        </w:tc>
        <w:tc>
          <w:tcPr>
            <w:tcW w:w="1233" w:type="dxa"/>
            <w:shd w:val="clear" w:color="auto" w:fill="auto"/>
            <w:noWrap/>
            <w:hideMark/>
          </w:tcPr>
          <w:p w:rsidR="00546A26" w:rsidRPr="00CA4713" w:rsidRDefault="00546A26" w:rsidP="004106CD">
            <w:pPr>
              <w:spacing w:after="0" w:line="240" w:lineRule="auto"/>
              <w:rPr>
                <w:rFonts w:eastAsia="Times New Roman" w:cstheme="minorHAnsi"/>
                <w:color w:val="000000"/>
                <w:sz w:val="20"/>
                <w:szCs w:val="20"/>
                <w:lang w:eastAsia="en-NZ"/>
              </w:rPr>
            </w:pPr>
            <w:r w:rsidRPr="00CA4713">
              <w:rPr>
                <w:rFonts w:eastAsia="Times New Roman" w:cstheme="minorHAnsi"/>
                <w:color w:val="000000"/>
                <w:sz w:val="20"/>
                <w:szCs w:val="20"/>
                <w:lang w:eastAsia="en-NZ"/>
              </w:rPr>
              <w:lastRenderedPageBreak/>
              <w:t>Increasing</w:t>
            </w:r>
          </w:p>
        </w:tc>
        <w:tc>
          <w:tcPr>
            <w:tcW w:w="1176" w:type="dxa"/>
            <w:shd w:val="clear" w:color="auto" w:fill="auto"/>
            <w:noWrap/>
            <w:hideMark/>
          </w:tcPr>
          <w:p w:rsidR="00546A26" w:rsidRPr="00CA4713" w:rsidRDefault="00546A26" w:rsidP="004106CD">
            <w:pPr>
              <w:spacing w:after="0" w:line="240" w:lineRule="auto"/>
              <w:rPr>
                <w:rFonts w:eastAsia="Times New Roman" w:cstheme="minorHAnsi"/>
                <w:color w:val="000000"/>
                <w:sz w:val="20"/>
                <w:szCs w:val="20"/>
                <w:lang w:eastAsia="en-NZ"/>
              </w:rPr>
            </w:pPr>
            <w:r w:rsidRPr="00CA4713">
              <w:rPr>
                <w:rFonts w:eastAsia="Times New Roman" w:cstheme="minorHAnsi"/>
                <w:color w:val="000000"/>
                <w:sz w:val="20"/>
                <w:szCs w:val="20"/>
                <w:lang w:eastAsia="en-NZ"/>
              </w:rPr>
              <w:t xml:space="preserve">WCC </w:t>
            </w:r>
            <w:r w:rsidRPr="00CA4713">
              <w:rPr>
                <w:rFonts w:eastAsia="Times New Roman" w:cstheme="minorHAnsi"/>
                <w:color w:val="000000"/>
                <w:sz w:val="20"/>
                <w:szCs w:val="20"/>
                <w:lang w:eastAsia="en-NZ"/>
              </w:rPr>
              <w:lastRenderedPageBreak/>
              <w:t>RMS 2019</w:t>
            </w:r>
          </w:p>
        </w:tc>
        <w:tc>
          <w:tcPr>
            <w:tcW w:w="1843" w:type="dxa"/>
            <w:shd w:val="clear" w:color="auto" w:fill="auto"/>
            <w:noWrap/>
            <w:hideMark/>
          </w:tcPr>
          <w:p w:rsidR="00546A26" w:rsidRPr="00CA4713" w:rsidRDefault="00546A26" w:rsidP="004106CD">
            <w:pPr>
              <w:spacing w:after="0" w:line="240" w:lineRule="auto"/>
              <w:jc w:val="right"/>
              <w:rPr>
                <w:rFonts w:eastAsia="Times New Roman" w:cstheme="minorHAnsi"/>
                <w:color w:val="000000"/>
                <w:sz w:val="20"/>
                <w:szCs w:val="20"/>
                <w:lang w:eastAsia="en-NZ"/>
              </w:rPr>
            </w:pPr>
            <w:r>
              <w:rPr>
                <w:rFonts w:eastAsia="Times New Roman" w:cstheme="minorHAnsi"/>
                <w:color w:val="000000"/>
                <w:sz w:val="20"/>
                <w:szCs w:val="20"/>
                <w:lang w:eastAsia="en-NZ"/>
              </w:rPr>
              <w:lastRenderedPageBreak/>
              <w:t>90%</w:t>
            </w:r>
          </w:p>
        </w:tc>
        <w:tc>
          <w:tcPr>
            <w:tcW w:w="1843" w:type="dxa"/>
            <w:shd w:val="clear" w:color="auto" w:fill="auto"/>
            <w:noWrap/>
          </w:tcPr>
          <w:p w:rsidR="00546A26" w:rsidRPr="00CA4713" w:rsidRDefault="00546A26" w:rsidP="004106CD">
            <w:pPr>
              <w:spacing w:after="0" w:line="240" w:lineRule="auto"/>
              <w:jc w:val="right"/>
              <w:rPr>
                <w:rFonts w:eastAsia="Times New Roman" w:cstheme="minorHAnsi"/>
                <w:color w:val="000000"/>
                <w:sz w:val="20"/>
                <w:szCs w:val="20"/>
                <w:lang w:eastAsia="en-NZ"/>
              </w:rPr>
            </w:pPr>
            <w:r>
              <w:rPr>
                <w:rFonts w:eastAsia="Times New Roman" w:cstheme="minorHAnsi"/>
                <w:color w:val="000000"/>
                <w:sz w:val="20"/>
                <w:szCs w:val="20"/>
                <w:lang w:eastAsia="en-NZ"/>
              </w:rPr>
              <w:t>91%</w:t>
            </w:r>
          </w:p>
        </w:tc>
        <w:tc>
          <w:tcPr>
            <w:tcW w:w="1843" w:type="dxa"/>
            <w:shd w:val="clear" w:color="auto" w:fill="auto"/>
            <w:noWrap/>
            <w:hideMark/>
          </w:tcPr>
          <w:p w:rsidR="00546A26" w:rsidRPr="00CA4713" w:rsidRDefault="00546A26" w:rsidP="004106CD">
            <w:pPr>
              <w:spacing w:after="0" w:line="240" w:lineRule="auto"/>
              <w:jc w:val="right"/>
              <w:rPr>
                <w:rFonts w:eastAsia="Times New Roman" w:cstheme="minorHAnsi"/>
                <w:color w:val="000000"/>
                <w:sz w:val="20"/>
                <w:szCs w:val="20"/>
                <w:lang w:eastAsia="en-NZ"/>
              </w:rPr>
            </w:pPr>
            <w:r w:rsidRPr="00CA4713">
              <w:rPr>
                <w:rFonts w:eastAsia="Times New Roman" w:cstheme="minorHAnsi"/>
                <w:color w:val="000000"/>
                <w:sz w:val="20"/>
                <w:szCs w:val="20"/>
                <w:lang w:eastAsia="en-NZ"/>
              </w:rPr>
              <w:t>91%</w:t>
            </w:r>
          </w:p>
        </w:tc>
        <w:tc>
          <w:tcPr>
            <w:tcW w:w="2976" w:type="dxa"/>
            <w:shd w:val="clear" w:color="auto" w:fill="auto"/>
            <w:hideMark/>
          </w:tcPr>
          <w:p w:rsidR="00546A26" w:rsidRPr="00CA4713" w:rsidRDefault="005F209F" w:rsidP="004106CD">
            <w:pPr>
              <w:spacing w:after="0" w:line="240" w:lineRule="auto"/>
              <w:rPr>
                <w:rFonts w:eastAsia="Times New Roman" w:cstheme="minorHAnsi"/>
                <w:b/>
                <w:color w:val="000000"/>
                <w:sz w:val="20"/>
                <w:szCs w:val="20"/>
                <w:lang w:eastAsia="en-NZ"/>
              </w:rPr>
            </w:pPr>
            <w:r>
              <w:rPr>
                <w:rFonts w:eastAsia="Times New Roman" w:cstheme="minorHAnsi"/>
                <w:color w:val="000000"/>
                <w:sz w:val="20"/>
                <w:szCs w:val="20"/>
                <w:lang w:eastAsia="en-NZ"/>
              </w:rPr>
              <w:t xml:space="preserve">No trend. </w:t>
            </w:r>
            <w:r w:rsidR="00546A26" w:rsidRPr="00546A26">
              <w:rPr>
                <w:rFonts w:eastAsia="Times New Roman" w:cstheme="minorHAnsi"/>
                <w:sz w:val="20"/>
                <w:szCs w:val="20"/>
                <w:lang w:eastAsia="en-NZ"/>
              </w:rPr>
              <w:t xml:space="preserve">See supplementary </w:t>
            </w:r>
            <w:r w:rsidR="00546A26" w:rsidRPr="00546A26">
              <w:rPr>
                <w:rFonts w:eastAsia="Times New Roman" w:cstheme="minorHAnsi"/>
                <w:sz w:val="20"/>
                <w:szCs w:val="20"/>
                <w:lang w:eastAsia="en-NZ"/>
              </w:rPr>
              <w:lastRenderedPageBreak/>
              <w:t>tables</w:t>
            </w:r>
          </w:p>
        </w:tc>
      </w:tr>
      <w:tr w:rsidR="00546A26" w:rsidRPr="008B0A7E" w:rsidTr="004106CD">
        <w:tblPrEx>
          <w:shd w:val="clear" w:color="auto" w:fill="auto"/>
        </w:tblPrEx>
        <w:trPr>
          <w:trHeight w:val="765"/>
        </w:trPr>
        <w:tc>
          <w:tcPr>
            <w:tcW w:w="3545" w:type="dxa"/>
            <w:shd w:val="clear" w:color="auto" w:fill="auto"/>
            <w:hideMark/>
          </w:tcPr>
          <w:p w:rsidR="00546A26" w:rsidRPr="00CA4713" w:rsidRDefault="00546A26" w:rsidP="004106CD">
            <w:pPr>
              <w:spacing w:after="0" w:line="240" w:lineRule="auto"/>
              <w:rPr>
                <w:rFonts w:eastAsia="Times New Roman" w:cstheme="minorHAnsi"/>
                <w:color w:val="000000"/>
                <w:sz w:val="20"/>
                <w:szCs w:val="20"/>
                <w:lang w:eastAsia="en-NZ"/>
              </w:rPr>
            </w:pPr>
            <w:r w:rsidRPr="00CA4713">
              <w:rPr>
                <w:rFonts w:eastAsia="Times New Roman" w:cstheme="minorHAnsi"/>
                <w:color w:val="000000"/>
                <w:sz w:val="20"/>
                <w:szCs w:val="20"/>
                <w:lang w:eastAsia="en-NZ"/>
              </w:rPr>
              <w:lastRenderedPageBreak/>
              <w:t>Proportion of residents who feel they could rely on their neighbours for support following a natural disaster or other significant event</w:t>
            </w:r>
          </w:p>
        </w:tc>
        <w:tc>
          <w:tcPr>
            <w:tcW w:w="1233" w:type="dxa"/>
            <w:shd w:val="clear" w:color="auto" w:fill="auto"/>
            <w:noWrap/>
            <w:hideMark/>
          </w:tcPr>
          <w:p w:rsidR="00546A26" w:rsidRPr="00CA4713" w:rsidRDefault="00546A26" w:rsidP="004106CD">
            <w:pPr>
              <w:spacing w:after="0" w:line="240" w:lineRule="auto"/>
              <w:rPr>
                <w:rFonts w:eastAsia="Times New Roman" w:cstheme="minorHAnsi"/>
                <w:color w:val="000000"/>
                <w:sz w:val="20"/>
                <w:szCs w:val="20"/>
                <w:lang w:eastAsia="en-NZ"/>
              </w:rPr>
            </w:pPr>
            <w:r w:rsidRPr="00CA4713">
              <w:rPr>
                <w:rFonts w:eastAsia="Times New Roman" w:cstheme="minorHAnsi"/>
                <w:color w:val="000000"/>
                <w:sz w:val="20"/>
                <w:szCs w:val="20"/>
                <w:lang w:eastAsia="en-NZ"/>
              </w:rPr>
              <w:t>Increasing</w:t>
            </w:r>
          </w:p>
        </w:tc>
        <w:tc>
          <w:tcPr>
            <w:tcW w:w="1176" w:type="dxa"/>
            <w:shd w:val="clear" w:color="auto" w:fill="auto"/>
            <w:noWrap/>
            <w:hideMark/>
          </w:tcPr>
          <w:p w:rsidR="00546A26" w:rsidRPr="00CA4713" w:rsidRDefault="00546A26" w:rsidP="004106CD">
            <w:pPr>
              <w:spacing w:after="0" w:line="240" w:lineRule="auto"/>
              <w:rPr>
                <w:rFonts w:eastAsia="Times New Roman" w:cstheme="minorHAnsi"/>
                <w:color w:val="000000"/>
                <w:sz w:val="20"/>
                <w:szCs w:val="20"/>
                <w:lang w:eastAsia="en-NZ"/>
              </w:rPr>
            </w:pPr>
            <w:r w:rsidRPr="00CA4713">
              <w:rPr>
                <w:rFonts w:eastAsia="Times New Roman" w:cstheme="minorHAnsi"/>
                <w:color w:val="000000"/>
                <w:sz w:val="20"/>
                <w:szCs w:val="20"/>
                <w:lang w:eastAsia="en-NZ"/>
              </w:rPr>
              <w:t>WCC RMS 2019</w:t>
            </w:r>
          </w:p>
        </w:tc>
        <w:tc>
          <w:tcPr>
            <w:tcW w:w="1843" w:type="dxa"/>
            <w:shd w:val="clear" w:color="auto" w:fill="auto"/>
            <w:noWrap/>
            <w:hideMark/>
          </w:tcPr>
          <w:p w:rsidR="00546A26" w:rsidRPr="00CA4713" w:rsidRDefault="00546A26" w:rsidP="004106CD">
            <w:pPr>
              <w:spacing w:after="0" w:line="240" w:lineRule="auto"/>
              <w:jc w:val="right"/>
              <w:rPr>
                <w:rFonts w:eastAsia="Times New Roman" w:cstheme="minorHAnsi"/>
                <w:color w:val="000000"/>
                <w:sz w:val="20"/>
                <w:szCs w:val="20"/>
                <w:lang w:eastAsia="en-NZ"/>
              </w:rPr>
            </w:pPr>
          </w:p>
        </w:tc>
        <w:tc>
          <w:tcPr>
            <w:tcW w:w="1843" w:type="dxa"/>
            <w:shd w:val="clear" w:color="auto" w:fill="auto"/>
            <w:noWrap/>
            <w:hideMark/>
          </w:tcPr>
          <w:p w:rsidR="00546A26" w:rsidRPr="00CA4713" w:rsidRDefault="00546A26" w:rsidP="004106CD">
            <w:pPr>
              <w:spacing w:after="0" w:line="240" w:lineRule="auto"/>
              <w:jc w:val="right"/>
              <w:rPr>
                <w:rFonts w:eastAsia="Times New Roman" w:cstheme="minorHAnsi"/>
                <w:color w:val="000000"/>
                <w:sz w:val="20"/>
                <w:szCs w:val="20"/>
                <w:lang w:eastAsia="en-NZ"/>
              </w:rPr>
            </w:pPr>
            <w:r w:rsidRPr="00CA4713">
              <w:rPr>
                <w:rFonts w:eastAsia="Times New Roman" w:cstheme="minorHAnsi"/>
                <w:color w:val="000000"/>
                <w:sz w:val="20"/>
                <w:szCs w:val="20"/>
                <w:lang w:eastAsia="en-NZ"/>
              </w:rPr>
              <w:t>New</w:t>
            </w:r>
          </w:p>
        </w:tc>
        <w:tc>
          <w:tcPr>
            <w:tcW w:w="1843" w:type="dxa"/>
            <w:shd w:val="clear" w:color="auto" w:fill="auto"/>
            <w:noWrap/>
            <w:hideMark/>
          </w:tcPr>
          <w:p w:rsidR="00546A26" w:rsidRPr="00CA4713" w:rsidRDefault="00546A26" w:rsidP="004106CD">
            <w:pPr>
              <w:spacing w:after="0" w:line="240" w:lineRule="auto"/>
              <w:jc w:val="right"/>
              <w:rPr>
                <w:rFonts w:eastAsia="Times New Roman" w:cstheme="minorHAnsi"/>
                <w:color w:val="000000"/>
                <w:sz w:val="20"/>
                <w:szCs w:val="20"/>
                <w:lang w:eastAsia="en-NZ"/>
              </w:rPr>
            </w:pPr>
            <w:r w:rsidRPr="00CA4713">
              <w:rPr>
                <w:rFonts w:eastAsia="Times New Roman" w:cstheme="minorHAnsi"/>
                <w:color w:val="000000"/>
                <w:sz w:val="20"/>
                <w:szCs w:val="20"/>
                <w:lang w:eastAsia="en-NZ"/>
              </w:rPr>
              <w:t>69.6%</w:t>
            </w:r>
          </w:p>
        </w:tc>
        <w:tc>
          <w:tcPr>
            <w:tcW w:w="2976" w:type="dxa"/>
            <w:shd w:val="clear" w:color="auto" w:fill="auto"/>
            <w:hideMark/>
          </w:tcPr>
          <w:p w:rsidR="00546A26" w:rsidRPr="00CA4713" w:rsidRDefault="005F209F" w:rsidP="004106CD">
            <w:pPr>
              <w:spacing w:after="0" w:line="240" w:lineRule="auto"/>
              <w:rPr>
                <w:rFonts w:eastAsia="Times New Roman" w:cstheme="minorHAnsi"/>
                <w:color w:val="000000"/>
                <w:sz w:val="20"/>
                <w:szCs w:val="20"/>
                <w:lang w:eastAsia="en-NZ"/>
              </w:rPr>
            </w:pPr>
            <w:r>
              <w:rPr>
                <w:rFonts w:eastAsia="Times New Roman" w:cstheme="minorHAnsi"/>
                <w:color w:val="000000"/>
                <w:sz w:val="20"/>
                <w:szCs w:val="20"/>
                <w:lang w:eastAsia="en-NZ"/>
              </w:rPr>
              <w:t>No trend.</w:t>
            </w:r>
          </w:p>
        </w:tc>
      </w:tr>
      <w:tr w:rsidR="00546A26" w:rsidRPr="008B0A7E" w:rsidTr="004106CD">
        <w:tblPrEx>
          <w:shd w:val="clear" w:color="auto" w:fill="auto"/>
        </w:tblPrEx>
        <w:trPr>
          <w:trHeight w:val="510"/>
        </w:trPr>
        <w:tc>
          <w:tcPr>
            <w:tcW w:w="3545" w:type="dxa"/>
            <w:shd w:val="clear" w:color="auto" w:fill="auto"/>
            <w:hideMark/>
          </w:tcPr>
          <w:p w:rsidR="00546A26" w:rsidRPr="00CA4713" w:rsidRDefault="00546A26" w:rsidP="004106CD">
            <w:pPr>
              <w:spacing w:after="0" w:line="240" w:lineRule="auto"/>
              <w:rPr>
                <w:rFonts w:eastAsia="Times New Roman" w:cstheme="minorHAnsi"/>
                <w:color w:val="000000"/>
                <w:sz w:val="20"/>
                <w:szCs w:val="20"/>
                <w:lang w:eastAsia="en-NZ"/>
              </w:rPr>
            </w:pPr>
            <w:r w:rsidRPr="00CA4713">
              <w:rPr>
                <w:rFonts w:eastAsia="Times New Roman" w:cstheme="minorHAnsi"/>
                <w:color w:val="000000"/>
                <w:sz w:val="20"/>
                <w:szCs w:val="20"/>
                <w:lang w:eastAsia="en-NZ"/>
              </w:rPr>
              <w:t>Social capital – residents’ response to “I have strong social or community networks that I can draw on in Wellington”</w:t>
            </w:r>
          </w:p>
        </w:tc>
        <w:tc>
          <w:tcPr>
            <w:tcW w:w="1233" w:type="dxa"/>
            <w:shd w:val="clear" w:color="auto" w:fill="auto"/>
            <w:noWrap/>
            <w:hideMark/>
          </w:tcPr>
          <w:p w:rsidR="00546A26" w:rsidRPr="00CA4713" w:rsidRDefault="00546A26" w:rsidP="004106CD">
            <w:pPr>
              <w:spacing w:after="0" w:line="240" w:lineRule="auto"/>
              <w:rPr>
                <w:rFonts w:eastAsia="Times New Roman" w:cstheme="minorHAnsi"/>
                <w:color w:val="000000"/>
                <w:sz w:val="20"/>
                <w:szCs w:val="20"/>
                <w:lang w:eastAsia="en-NZ"/>
              </w:rPr>
            </w:pPr>
            <w:r w:rsidRPr="00CA4713">
              <w:rPr>
                <w:rFonts w:eastAsia="Times New Roman" w:cstheme="minorHAnsi"/>
                <w:color w:val="000000"/>
                <w:sz w:val="20"/>
                <w:szCs w:val="20"/>
                <w:lang w:eastAsia="en-NZ"/>
              </w:rPr>
              <w:t>Increasing</w:t>
            </w:r>
          </w:p>
        </w:tc>
        <w:tc>
          <w:tcPr>
            <w:tcW w:w="1176" w:type="dxa"/>
            <w:shd w:val="clear" w:color="auto" w:fill="auto"/>
            <w:noWrap/>
            <w:hideMark/>
          </w:tcPr>
          <w:p w:rsidR="00546A26" w:rsidRPr="00CA4713" w:rsidRDefault="00546A26" w:rsidP="004106CD">
            <w:pPr>
              <w:spacing w:after="0" w:line="240" w:lineRule="auto"/>
              <w:rPr>
                <w:rFonts w:eastAsia="Times New Roman" w:cstheme="minorHAnsi"/>
                <w:color w:val="000000"/>
                <w:sz w:val="20"/>
                <w:szCs w:val="20"/>
                <w:lang w:eastAsia="en-NZ"/>
              </w:rPr>
            </w:pPr>
            <w:r w:rsidRPr="00CA4713">
              <w:rPr>
                <w:rFonts w:eastAsia="Times New Roman" w:cstheme="minorHAnsi"/>
                <w:color w:val="000000"/>
                <w:sz w:val="20"/>
                <w:szCs w:val="20"/>
                <w:lang w:eastAsia="en-NZ"/>
              </w:rPr>
              <w:t>WCC RMS 2019</w:t>
            </w:r>
          </w:p>
        </w:tc>
        <w:tc>
          <w:tcPr>
            <w:tcW w:w="1843" w:type="dxa"/>
            <w:shd w:val="clear" w:color="auto" w:fill="auto"/>
            <w:noWrap/>
            <w:hideMark/>
          </w:tcPr>
          <w:p w:rsidR="00546A26" w:rsidRPr="00CA4713" w:rsidRDefault="00546A26" w:rsidP="004106CD">
            <w:pPr>
              <w:spacing w:after="0" w:line="240" w:lineRule="auto"/>
              <w:jc w:val="right"/>
              <w:rPr>
                <w:rFonts w:eastAsia="Times New Roman" w:cstheme="minorHAnsi"/>
                <w:color w:val="000000"/>
                <w:sz w:val="20"/>
                <w:szCs w:val="20"/>
                <w:lang w:eastAsia="en-NZ"/>
              </w:rPr>
            </w:pPr>
          </w:p>
        </w:tc>
        <w:tc>
          <w:tcPr>
            <w:tcW w:w="1843" w:type="dxa"/>
            <w:shd w:val="clear" w:color="auto" w:fill="auto"/>
            <w:noWrap/>
            <w:hideMark/>
          </w:tcPr>
          <w:p w:rsidR="00546A26" w:rsidRPr="00CA4713" w:rsidRDefault="00546A26" w:rsidP="004106CD">
            <w:pPr>
              <w:spacing w:after="0" w:line="240" w:lineRule="auto"/>
              <w:jc w:val="right"/>
              <w:rPr>
                <w:rFonts w:eastAsia="Times New Roman" w:cstheme="minorHAnsi"/>
                <w:color w:val="000000"/>
                <w:sz w:val="20"/>
                <w:szCs w:val="20"/>
                <w:lang w:eastAsia="en-NZ"/>
              </w:rPr>
            </w:pPr>
            <w:r w:rsidRPr="00CA4713">
              <w:rPr>
                <w:rFonts w:eastAsia="Times New Roman" w:cstheme="minorHAnsi"/>
                <w:color w:val="000000"/>
                <w:sz w:val="20"/>
                <w:szCs w:val="20"/>
                <w:lang w:eastAsia="en-NZ"/>
              </w:rPr>
              <w:t>New</w:t>
            </w:r>
          </w:p>
        </w:tc>
        <w:tc>
          <w:tcPr>
            <w:tcW w:w="1843" w:type="dxa"/>
            <w:shd w:val="clear" w:color="auto" w:fill="auto"/>
            <w:noWrap/>
            <w:hideMark/>
          </w:tcPr>
          <w:p w:rsidR="00546A26" w:rsidRPr="00CA4713" w:rsidRDefault="00546A26" w:rsidP="004106CD">
            <w:pPr>
              <w:spacing w:after="0" w:line="240" w:lineRule="auto"/>
              <w:jc w:val="right"/>
              <w:rPr>
                <w:rFonts w:eastAsia="Times New Roman" w:cstheme="minorHAnsi"/>
                <w:color w:val="000000"/>
                <w:sz w:val="20"/>
                <w:szCs w:val="20"/>
                <w:lang w:eastAsia="en-NZ"/>
              </w:rPr>
            </w:pPr>
            <w:r w:rsidRPr="00CA4713">
              <w:rPr>
                <w:rFonts w:eastAsia="Times New Roman" w:cstheme="minorHAnsi"/>
                <w:color w:val="000000"/>
                <w:sz w:val="20"/>
                <w:szCs w:val="20"/>
                <w:lang w:eastAsia="en-NZ"/>
              </w:rPr>
              <w:t>63.6%</w:t>
            </w:r>
          </w:p>
        </w:tc>
        <w:tc>
          <w:tcPr>
            <w:tcW w:w="2976" w:type="dxa"/>
            <w:shd w:val="clear" w:color="auto" w:fill="auto"/>
            <w:hideMark/>
          </w:tcPr>
          <w:p w:rsidR="00546A26" w:rsidRPr="00CA4713" w:rsidRDefault="005F209F" w:rsidP="004106CD">
            <w:pPr>
              <w:spacing w:after="0" w:line="240" w:lineRule="auto"/>
              <w:rPr>
                <w:rFonts w:eastAsia="Times New Roman" w:cstheme="minorHAnsi"/>
                <w:color w:val="000000"/>
                <w:sz w:val="20"/>
                <w:szCs w:val="20"/>
                <w:lang w:eastAsia="en-NZ"/>
              </w:rPr>
            </w:pPr>
            <w:r>
              <w:rPr>
                <w:rFonts w:eastAsia="Times New Roman" w:cstheme="minorHAnsi"/>
                <w:color w:val="000000"/>
                <w:sz w:val="20"/>
                <w:szCs w:val="20"/>
                <w:lang w:eastAsia="en-NZ"/>
              </w:rPr>
              <w:t xml:space="preserve">No trend. </w:t>
            </w:r>
            <w:r w:rsidR="00546A26" w:rsidRPr="00CA4713">
              <w:rPr>
                <w:rFonts w:eastAsia="Times New Roman" w:cstheme="minorHAnsi"/>
                <w:color w:val="000000"/>
                <w:sz w:val="20"/>
                <w:szCs w:val="20"/>
                <w:lang w:eastAsia="en-NZ"/>
              </w:rPr>
              <w:t>Based on agreement on a 5-point scale</w:t>
            </w:r>
          </w:p>
        </w:tc>
      </w:tr>
      <w:tr w:rsidR="00546A26" w:rsidRPr="008B0A7E" w:rsidTr="004106CD">
        <w:tblPrEx>
          <w:shd w:val="clear" w:color="auto" w:fill="auto"/>
        </w:tblPrEx>
        <w:trPr>
          <w:trHeight w:val="769"/>
        </w:trPr>
        <w:tc>
          <w:tcPr>
            <w:tcW w:w="3545" w:type="dxa"/>
            <w:tcBorders>
              <w:bottom w:val="nil"/>
            </w:tcBorders>
            <w:shd w:val="clear" w:color="auto" w:fill="auto"/>
            <w:hideMark/>
          </w:tcPr>
          <w:p w:rsidR="00546A26" w:rsidRPr="00CA4713" w:rsidRDefault="00546A26" w:rsidP="004106CD">
            <w:pPr>
              <w:spacing w:after="0" w:line="240" w:lineRule="auto"/>
              <w:rPr>
                <w:rFonts w:eastAsia="Times New Roman" w:cstheme="minorHAnsi"/>
                <w:color w:val="000000"/>
                <w:sz w:val="20"/>
                <w:lang w:eastAsia="en-NZ"/>
              </w:rPr>
            </w:pPr>
            <w:r w:rsidRPr="00CA4713">
              <w:rPr>
                <w:rFonts w:eastAsia="Times New Roman" w:cstheme="minorHAnsi"/>
                <w:color w:val="000000"/>
                <w:sz w:val="20"/>
                <w:lang w:eastAsia="en-NZ"/>
              </w:rPr>
              <w:t>Diversity - residents valuing diversity</w:t>
            </w:r>
          </w:p>
        </w:tc>
        <w:tc>
          <w:tcPr>
            <w:tcW w:w="1233" w:type="dxa"/>
            <w:tcBorders>
              <w:bottom w:val="nil"/>
            </w:tcBorders>
            <w:shd w:val="clear" w:color="auto" w:fill="auto"/>
            <w:noWrap/>
            <w:hideMark/>
          </w:tcPr>
          <w:p w:rsidR="00546A26" w:rsidRPr="00CA4713" w:rsidRDefault="00546A26" w:rsidP="004106CD">
            <w:pPr>
              <w:spacing w:after="0" w:line="240" w:lineRule="auto"/>
              <w:rPr>
                <w:rFonts w:eastAsia="Times New Roman" w:cstheme="minorHAnsi"/>
                <w:color w:val="000000"/>
                <w:sz w:val="20"/>
                <w:lang w:eastAsia="en-NZ"/>
              </w:rPr>
            </w:pPr>
            <w:r w:rsidRPr="00CA4713">
              <w:rPr>
                <w:rFonts w:eastAsia="Times New Roman" w:cstheme="minorHAnsi"/>
                <w:color w:val="000000"/>
                <w:sz w:val="20"/>
                <w:lang w:eastAsia="en-NZ"/>
              </w:rPr>
              <w:t>Increasing</w:t>
            </w:r>
          </w:p>
        </w:tc>
        <w:tc>
          <w:tcPr>
            <w:tcW w:w="1176" w:type="dxa"/>
            <w:tcBorders>
              <w:bottom w:val="nil"/>
            </w:tcBorders>
            <w:shd w:val="clear" w:color="auto" w:fill="auto"/>
            <w:noWrap/>
            <w:hideMark/>
          </w:tcPr>
          <w:p w:rsidR="00546A26" w:rsidRPr="00CA4713" w:rsidRDefault="00546A26" w:rsidP="004106CD">
            <w:pPr>
              <w:spacing w:after="0" w:line="240" w:lineRule="auto"/>
              <w:rPr>
                <w:rFonts w:eastAsia="Times New Roman" w:cstheme="minorHAnsi"/>
                <w:color w:val="000000"/>
                <w:sz w:val="20"/>
                <w:lang w:eastAsia="en-NZ"/>
              </w:rPr>
            </w:pPr>
            <w:r w:rsidRPr="00CA4713">
              <w:rPr>
                <w:rFonts w:eastAsia="Times New Roman" w:cstheme="minorHAnsi"/>
                <w:color w:val="000000"/>
                <w:sz w:val="20"/>
                <w:lang w:eastAsia="en-NZ"/>
              </w:rPr>
              <w:t>WCC RMS 2019</w:t>
            </w:r>
          </w:p>
        </w:tc>
        <w:tc>
          <w:tcPr>
            <w:tcW w:w="1843" w:type="dxa"/>
            <w:tcBorders>
              <w:bottom w:val="nil"/>
            </w:tcBorders>
            <w:shd w:val="clear" w:color="auto" w:fill="auto"/>
            <w:noWrap/>
            <w:hideMark/>
          </w:tcPr>
          <w:p w:rsidR="00546A26" w:rsidRPr="00CA4713" w:rsidRDefault="00546A26" w:rsidP="004106CD">
            <w:pPr>
              <w:spacing w:after="0" w:line="240" w:lineRule="auto"/>
              <w:jc w:val="right"/>
              <w:rPr>
                <w:rFonts w:eastAsia="Times New Roman" w:cstheme="minorHAnsi"/>
                <w:color w:val="000000"/>
                <w:sz w:val="20"/>
                <w:lang w:eastAsia="en-NZ"/>
              </w:rPr>
            </w:pPr>
            <w:r>
              <w:rPr>
                <w:rFonts w:eastAsia="Times New Roman" w:cstheme="minorHAnsi"/>
                <w:color w:val="000000"/>
                <w:sz w:val="20"/>
                <w:lang w:eastAsia="en-NZ"/>
              </w:rPr>
              <w:t>80%</w:t>
            </w:r>
          </w:p>
        </w:tc>
        <w:tc>
          <w:tcPr>
            <w:tcW w:w="1843" w:type="dxa"/>
            <w:tcBorders>
              <w:bottom w:val="nil"/>
            </w:tcBorders>
            <w:shd w:val="clear" w:color="auto" w:fill="auto"/>
            <w:noWrap/>
            <w:hideMark/>
          </w:tcPr>
          <w:p w:rsidR="00546A26" w:rsidRPr="00CA4713" w:rsidRDefault="00546A26" w:rsidP="004106CD">
            <w:pPr>
              <w:spacing w:after="0" w:line="240" w:lineRule="auto"/>
              <w:jc w:val="right"/>
              <w:rPr>
                <w:rFonts w:eastAsia="Times New Roman" w:cstheme="minorHAnsi"/>
                <w:color w:val="000000"/>
                <w:sz w:val="20"/>
                <w:lang w:eastAsia="en-NZ"/>
              </w:rPr>
            </w:pPr>
            <w:r>
              <w:rPr>
                <w:rFonts w:eastAsia="Times New Roman" w:cstheme="minorHAnsi"/>
                <w:color w:val="000000"/>
                <w:sz w:val="20"/>
                <w:lang w:eastAsia="en-NZ"/>
              </w:rPr>
              <w:t>81%</w:t>
            </w:r>
          </w:p>
        </w:tc>
        <w:tc>
          <w:tcPr>
            <w:tcW w:w="1843" w:type="dxa"/>
            <w:tcBorders>
              <w:bottom w:val="nil"/>
            </w:tcBorders>
            <w:shd w:val="clear" w:color="auto" w:fill="auto"/>
            <w:hideMark/>
          </w:tcPr>
          <w:p w:rsidR="00546A26" w:rsidRPr="00CA4713" w:rsidRDefault="00546A26" w:rsidP="004106CD">
            <w:pPr>
              <w:spacing w:after="0" w:line="240" w:lineRule="auto"/>
              <w:jc w:val="right"/>
              <w:rPr>
                <w:rFonts w:eastAsia="Times New Roman" w:cstheme="minorHAnsi"/>
                <w:color w:val="000000"/>
                <w:sz w:val="20"/>
                <w:lang w:eastAsia="en-NZ"/>
              </w:rPr>
            </w:pPr>
            <w:r w:rsidRPr="00CA4713">
              <w:rPr>
                <w:rFonts w:eastAsia="Times New Roman" w:cstheme="minorHAnsi"/>
                <w:color w:val="000000"/>
                <w:sz w:val="20"/>
                <w:lang w:eastAsia="en-NZ"/>
              </w:rPr>
              <w:t>82.6% agreed</w:t>
            </w:r>
          </w:p>
        </w:tc>
        <w:tc>
          <w:tcPr>
            <w:tcW w:w="2976" w:type="dxa"/>
            <w:tcBorders>
              <w:bottom w:val="nil"/>
            </w:tcBorders>
          </w:tcPr>
          <w:p w:rsidR="00546A26" w:rsidRPr="00CA4713" w:rsidRDefault="00546A26" w:rsidP="004106CD">
            <w:pPr>
              <w:spacing w:after="0" w:line="240" w:lineRule="auto"/>
              <w:rPr>
                <w:rFonts w:eastAsia="Times New Roman" w:cstheme="minorHAnsi"/>
                <w:color w:val="000000"/>
                <w:sz w:val="20"/>
                <w:lang w:eastAsia="en-NZ"/>
              </w:rPr>
            </w:pPr>
            <w:r>
              <w:rPr>
                <w:rFonts w:eastAsia="Times New Roman" w:cstheme="minorHAnsi"/>
                <w:color w:val="000000"/>
                <w:sz w:val="20"/>
                <w:lang w:eastAsia="en-NZ"/>
              </w:rPr>
              <w:t>Positive trend</w:t>
            </w:r>
            <w:r w:rsidR="00FC355A">
              <w:rPr>
                <w:rFonts w:eastAsia="Times New Roman" w:cstheme="minorHAnsi"/>
                <w:color w:val="000000"/>
                <w:sz w:val="20"/>
                <w:lang w:eastAsia="en-NZ"/>
              </w:rPr>
              <w:t>.</w:t>
            </w:r>
            <w:r>
              <w:rPr>
                <w:rFonts w:eastAsia="Times New Roman" w:cstheme="minorHAnsi"/>
                <w:color w:val="000000"/>
                <w:sz w:val="20"/>
                <w:lang w:eastAsia="en-NZ"/>
              </w:rPr>
              <w:t xml:space="preserve"> </w:t>
            </w:r>
            <w:r w:rsidRPr="00CA4713">
              <w:rPr>
                <w:rFonts w:eastAsia="Times New Roman" w:cstheme="minorHAnsi"/>
                <w:color w:val="000000"/>
                <w:sz w:val="20"/>
                <w:lang w:eastAsia="en-NZ"/>
              </w:rPr>
              <w:t xml:space="preserve">Based on </w:t>
            </w:r>
            <w:r w:rsidR="00FC355A">
              <w:rPr>
                <w:rFonts w:eastAsia="Times New Roman" w:cstheme="minorHAnsi"/>
                <w:color w:val="000000"/>
                <w:sz w:val="20"/>
                <w:lang w:eastAsia="en-NZ"/>
              </w:rPr>
              <w:t>“</w:t>
            </w:r>
            <w:r w:rsidRPr="00CA4713">
              <w:rPr>
                <w:rFonts w:eastAsia="Times New Roman" w:cstheme="minorHAnsi"/>
                <w:color w:val="000000"/>
                <w:sz w:val="20"/>
                <w:lang w:eastAsia="en-NZ"/>
              </w:rPr>
              <w:t>Residents valuing diversity: multiculturalism makes the city a better/much better place to live</w:t>
            </w:r>
            <w:r w:rsidR="00FC355A">
              <w:rPr>
                <w:rFonts w:eastAsia="Times New Roman" w:cstheme="minorHAnsi"/>
                <w:color w:val="000000"/>
                <w:sz w:val="20"/>
                <w:lang w:eastAsia="en-NZ"/>
              </w:rPr>
              <w:t>”</w:t>
            </w:r>
          </w:p>
        </w:tc>
      </w:tr>
      <w:tr w:rsidR="00546A26" w:rsidRPr="008B0A7E" w:rsidTr="004106CD">
        <w:tblPrEx>
          <w:shd w:val="clear" w:color="auto" w:fill="auto"/>
        </w:tblPrEx>
        <w:trPr>
          <w:trHeight w:val="255"/>
        </w:trPr>
        <w:tc>
          <w:tcPr>
            <w:tcW w:w="14459" w:type="dxa"/>
            <w:gridSpan w:val="7"/>
            <w:tcBorders>
              <w:top w:val="nil"/>
              <w:left w:val="nil"/>
              <w:bottom w:val="nil"/>
              <w:right w:val="nil"/>
            </w:tcBorders>
            <w:shd w:val="clear" w:color="auto" w:fill="DAEEF3" w:themeFill="accent5" w:themeFillTint="33"/>
            <w:hideMark/>
          </w:tcPr>
          <w:p w:rsidR="00546A26" w:rsidRPr="00CA4713" w:rsidRDefault="00546A26" w:rsidP="004106CD">
            <w:pPr>
              <w:spacing w:after="0" w:line="240" w:lineRule="auto"/>
              <w:rPr>
                <w:rFonts w:eastAsia="Times New Roman" w:cstheme="minorHAnsi"/>
                <w:color w:val="000000" w:themeColor="text1"/>
                <w:sz w:val="20"/>
                <w:szCs w:val="20"/>
                <w:lang w:eastAsia="en-NZ"/>
              </w:rPr>
            </w:pPr>
            <w:r w:rsidRPr="00CA4713">
              <w:rPr>
                <w:rFonts w:eastAsia="Times New Roman" w:cstheme="minorHAnsi"/>
                <w:b/>
                <w:bCs/>
                <w:i/>
                <w:iCs/>
                <w:color w:val="000000" w:themeColor="text1"/>
                <w:sz w:val="20"/>
                <w:szCs w:val="20"/>
                <w:lang w:eastAsia="en-NZ"/>
              </w:rPr>
              <w:t>Public health and safety</w:t>
            </w:r>
          </w:p>
        </w:tc>
      </w:tr>
      <w:tr w:rsidR="00546A26" w:rsidRPr="008B0A7E" w:rsidTr="004106CD">
        <w:tblPrEx>
          <w:shd w:val="clear" w:color="auto" w:fill="auto"/>
        </w:tblPrEx>
        <w:trPr>
          <w:trHeight w:val="510"/>
        </w:trPr>
        <w:tc>
          <w:tcPr>
            <w:tcW w:w="3545" w:type="dxa"/>
            <w:tcBorders>
              <w:top w:val="nil"/>
            </w:tcBorders>
            <w:shd w:val="clear" w:color="auto" w:fill="auto"/>
            <w:hideMark/>
          </w:tcPr>
          <w:p w:rsidR="00546A26" w:rsidRPr="00CA4713" w:rsidRDefault="00546A26" w:rsidP="004106CD">
            <w:pPr>
              <w:spacing w:after="0" w:line="240" w:lineRule="auto"/>
              <w:rPr>
                <w:rFonts w:eastAsia="Times New Roman" w:cstheme="minorHAnsi"/>
                <w:color w:val="000000"/>
                <w:sz w:val="20"/>
                <w:szCs w:val="20"/>
                <w:lang w:eastAsia="en-NZ"/>
              </w:rPr>
            </w:pPr>
            <w:r w:rsidRPr="00CA4713">
              <w:rPr>
                <w:rFonts w:eastAsia="Times New Roman" w:cstheme="minorHAnsi"/>
                <w:color w:val="000000"/>
                <w:sz w:val="20"/>
                <w:szCs w:val="20"/>
                <w:lang w:eastAsia="en-NZ"/>
              </w:rPr>
              <w:t xml:space="preserve">Residents’ perceptions – city and community safety issues of </w:t>
            </w:r>
            <w:r w:rsidRPr="00314490">
              <w:rPr>
                <w:rFonts w:eastAsia="Times New Roman" w:cstheme="minorHAnsi"/>
                <w:b/>
                <w:i/>
                <w:color w:val="000000"/>
                <w:sz w:val="20"/>
                <w:szCs w:val="20"/>
                <w:lang w:eastAsia="en-NZ"/>
              </w:rPr>
              <w:t>most concern</w:t>
            </w:r>
          </w:p>
        </w:tc>
        <w:tc>
          <w:tcPr>
            <w:tcW w:w="1233" w:type="dxa"/>
            <w:tcBorders>
              <w:top w:val="nil"/>
            </w:tcBorders>
            <w:shd w:val="clear" w:color="auto" w:fill="auto"/>
            <w:noWrap/>
            <w:hideMark/>
          </w:tcPr>
          <w:p w:rsidR="00546A26" w:rsidRPr="00CA4713" w:rsidRDefault="00546A26" w:rsidP="004106CD">
            <w:pPr>
              <w:spacing w:after="0" w:line="240" w:lineRule="auto"/>
              <w:rPr>
                <w:rFonts w:eastAsia="Times New Roman" w:cstheme="minorHAnsi"/>
                <w:color w:val="000000"/>
                <w:sz w:val="20"/>
                <w:szCs w:val="20"/>
                <w:lang w:eastAsia="en-NZ"/>
              </w:rPr>
            </w:pPr>
            <w:r w:rsidRPr="00CA4713">
              <w:rPr>
                <w:rFonts w:eastAsia="Times New Roman" w:cstheme="minorHAnsi"/>
                <w:color w:val="000000"/>
                <w:sz w:val="20"/>
                <w:szCs w:val="20"/>
                <w:lang w:eastAsia="en-NZ"/>
              </w:rPr>
              <w:t>Decreasing safety issues</w:t>
            </w:r>
          </w:p>
        </w:tc>
        <w:tc>
          <w:tcPr>
            <w:tcW w:w="1176" w:type="dxa"/>
            <w:tcBorders>
              <w:top w:val="nil"/>
            </w:tcBorders>
            <w:shd w:val="clear" w:color="auto" w:fill="auto"/>
            <w:noWrap/>
            <w:hideMark/>
          </w:tcPr>
          <w:p w:rsidR="00546A26" w:rsidRPr="00CA4713" w:rsidRDefault="00546A26" w:rsidP="004106CD">
            <w:pPr>
              <w:spacing w:after="0" w:line="240" w:lineRule="auto"/>
              <w:rPr>
                <w:rFonts w:eastAsia="Times New Roman" w:cstheme="minorHAnsi"/>
                <w:color w:val="000000"/>
                <w:sz w:val="20"/>
                <w:szCs w:val="20"/>
                <w:lang w:eastAsia="en-NZ"/>
              </w:rPr>
            </w:pPr>
            <w:r w:rsidRPr="00CA4713">
              <w:rPr>
                <w:rFonts w:eastAsia="Times New Roman" w:cstheme="minorHAnsi"/>
                <w:color w:val="000000"/>
                <w:sz w:val="20"/>
                <w:szCs w:val="20"/>
                <w:lang w:eastAsia="en-NZ"/>
              </w:rPr>
              <w:t>WCC RMS 2019</w:t>
            </w:r>
          </w:p>
        </w:tc>
        <w:tc>
          <w:tcPr>
            <w:tcW w:w="1843" w:type="dxa"/>
            <w:tcBorders>
              <w:top w:val="nil"/>
            </w:tcBorders>
            <w:shd w:val="clear" w:color="auto" w:fill="auto"/>
            <w:hideMark/>
          </w:tcPr>
          <w:p w:rsidR="00546A26" w:rsidRPr="00CA4713" w:rsidRDefault="00546A26" w:rsidP="004106CD">
            <w:pPr>
              <w:spacing w:after="0" w:line="240" w:lineRule="auto"/>
              <w:jc w:val="right"/>
              <w:rPr>
                <w:rFonts w:eastAsia="Times New Roman" w:cstheme="minorHAnsi"/>
                <w:color w:val="000000"/>
                <w:sz w:val="20"/>
                <w:szCs w:val="20"/>
                <w:lang w:eastAsia="en-NZ"/>
              </w:rPr>
            </w:pPr>
          </w:p>
        </w:tc>
        <w:tc>
          <w:tcPr>
            <w:tcW w:w="1843" w:type="dxa"/>
            <w:tcBorders>
              <w:top w:val="nil"/>
            </w:tcBorders>
            <w:shd w:val="clear" w:color="auto" w:fill="auto"/>
            <w:hideMark/>
          </w:tcPr>
          <w:p w:rsidR="00546A26" w:rsidRPr="00CA4713" w:rsidRDefault="00546A26" w:rsidP="004106CD">
            <w:pPr>
              <w:spacing w:after="0" w:line="240" w:lineRule="auto"/>
              <w:jc w:val="right"/>
              <w:rPr>
                <w:rFonts w:eastAsia="Times New Roman" w:cstheme="minorHAnsi"/>
                <w:color w:val="000000"/>
                <w:sz w:val="20"/>
                <w:szCs w:val="20"/>
                <w:lang w:eastAsia="en-NZ"/>
              </w:rPr>
            </w:pPr>
            <w:r w:rsidRPr="00CA4713">
              <w:rPr>
                <w:rFonts w:eastAsia="Times New Roman" w:cstheme="minorHAnsi"/>
                <w:color w:val="000000"/>
                <w:sz w:val="20"/>
                <w:szCs w:val="20"/>
                <w:lang w:eastAsia="en-NZ"/>
              </w:rPr>
              <w:t>56% say begging of concern</w:t>
            </w:r>
          </w:p>
        </w:tc>
        <w:tc>
          <w:tcPr>
            <w:tcW w:w="1843" w:type="dxa"/>
            <w:tcBorders>
              <w:top w:val="nil"/>
            </w:tcBorders>
            <w:shd w:val="clear" w:color="auto" w:fill="auto"/>
            <w:hideMark/>
          </w:tcPr>
          <w:p w:rsidR="00546A26" w:rsidRPr="00CA4713" w:rsidRDefault="00546A26" w:rsidP="004106CD">
            <w:pPr>
              <w:spacing w:after="0" w:line="240" w:lineRule="auto"/>
              <w:jc w:val="right"/>
              <w:rPr>
                <w:rFonts w:eastAsia="Times New Roman" w:cstheme="minorHAnsi"/>
                <w:color w:val="000000"/>
                <w:sz w:val="20"/>
                <w:szCs w:val="20"/>
                <w:lang w:eastAsia="en-NZ"/>
              </w:rPr>
            </w:pPr>
            <w:r w:rsidRPr="00CA4713">
              <w:rPr>
                <w:rFonts w:eastAsia="Times New Roman" w:cstheme="minorHAnsi"/>
                <w:color w:val="000000"/>
                <w:sz w:val="20"/>
                <w:szCs w:val="20"/>
                <w:lang w:eastAsia="en-NZ"/>
              </w:rPr>
              <w:t>61% say poorly lit or dark public areas a concern</w:t>
            </w:r>
          </w:p>
        </w:tc>
        <w:tc>
          <w:tcPr>
            <w:tcW w:w="2976" w:type="dxa"/>
            <w:tcBorders>
              <w:top w:val="nil"/>
            </w:tcBorders>
            <w:shd w:val="clear" w:color="auto" w:fill="auto"/>
            <w:hideMark/>
          </w:tcPr>
          <w:p w:rsidR="00546A26" w:rsidRPr="00314490" w:rsidRDefault="005F209F" w:rsidP="004106CD">
            <w:pPr>
              <w:spacing w:after="0" w:line="240" w:lineRule="auto"/>
              <w:rPr>
                <w:rFonts w:eastAsia="Times New Roman" w:cstheme="minorHAnsi"/>
                <w:color w:val="000000" w:themeColor="text1"/>
                <w:sz w:val="20"/>
                <w:szCs w:val="20"/>
                <w:lang w:eastAsia="en-NZ"/>
              </w:rPr>
            </w:pPr>
            <w:r>
              <w:rPr>
                <w:rFonts w:eastAsia="Times New Roman" w:cstheme="minorHAnsi"/>
                <w:color w:val="000000" w:themeColor="text1"/>
                <w:sz w:val="20"/>
                <w:szCs w:val="20"/>
                <w:lang w:eastAsia="en-NZ"/>
              </w:rPr>
              <w:t>Negative trend.</w:t>
            </w:r>
          </w:p>
        </w:tc>
      </w:tr>
      <w:tr w:rsidR="00546A26" w:rsidRPr="008B0A7E" w:rsidTr="004106CD">
        <w:tblPrEx>
          <w:shd w:val="clear" w:color="auto" w:fill="auto"/>
        </w:tblPrEx>
        <w:trPr>
          <w:trHeight w:val="1275"/>
        </w:trPr>
        <w:tc>
          <w:tcPr>
            <w:tcW w:w="3545" w:type="dxa"/>
            <w:shd w:val="clear" w:color="auto" w:fill="auto"/>
            <w:hideMark/>
          </w:tcPr>
          <w:p w:rsidR="00546A26" w:rsidRPr="00CA4713" w:rsidRDefault="00546A26" w:rsidP="004106CD">
            <w:pPr>
              <w:spacing w:after="0" w:line="240" w:lineRule="auto"/>
              <w:rPr>
                <w:rFonts w:eastAsia="Times New Roman" w:cstheme="minorHAnsi"/>
                <w:color w:val="000000"/>
                <w:sz w:val="20"/>
                <w:szCs w:val="20"/>
                <w:lang w:eastAsia="en-NZ"/>
              </w:rPr>
            </w:pPr>
            <w:r w:rsidRPr="00CA4713">
              <w:rPr>
                <w:rFonts w:eastAsia="Times New Roman" w:cstheme="minorHAnsi"/>
                <w:color w:val="000000"/>
                <w:sz w:val="20"/>
                <w:szCs w:val="20"/>
                <w:lang w:eastAsia="en-NZ"/>
              </w:rPr>
              <w:t>Residents with access to emergency items at home and workplace/place of education/other daily destination</w:t>
            </w:r>
          </w:p>
        </w:tc>
        <w:tc>
          <w:tcPr>
            <w:tcW w:w="1233" w:type="dxa"/>
            <w:shd w:val="clear" w:color="auto" w:fill="auto"/>
            <w:noWrap/>
            <w:hideMark/>
          </w:tcPr>
          <w:p w:rsidR="00546A26" w:rsidRPr="00CA4713" w:rsidRDefault="00546A26" w:rsidP="004106CD">
            <w:pPr>
              <w:spacing w:after="0" w:line="240" w:lineRule="auto"/>
              <w:rPr>
                <w:rFonts w:eastAsia="Times New Roman" w:cstheme="minorHAnsi"/>
                <w:color w:val="000000"/>
                <w:sz w:val="20"/>
                <w:szCs w:val="20"/>
                <w:lang w:eastAsia="en-NZ"/>
              </w:rPr>
            </w:pPr>
            <w:r w:rsidRPr="00CA4713">
              <w:rPr>
                <w:rFonts w:eastAsia="Times New Roman" w:cstheme="minorHAnsi"/>
                <w:color w:val="000000"/>
                <w:sz w:val="20"/>
                <w:szCs w:val="20"/>
                <w:lang w:eastAsia="en-NZ"/>
              </w:rPr>
              <w:t>Increasing</w:t>
            </w:r>
          </w:p>
        </w:tc>
        <w:tc>
          <w:tcPr>
            <w:tcW w:w="1176" w:type="dxa"/>
            <w:shd w:val="clear" w:color="auto" w:fill="auto"/>
            <w:noWrap/>
            <w:hideMark/>
          </w:tcPr>
          <w:p w:rsidR="00546A26" w:rsidRPr="00CA4713" w:rsidRDefault="00546A26" w:rsidP="004106CD">
            <w:pPr>
              <w:spacing w:after="0" w:line="240" w:lineRule="auto"/>
              <w:rPr>
                <w:rFonts w:eastAsia="Times New Roman" w:cstheme="minorHAnsi"/>
                <w:color w:val="000000"/>
                <w:sz w:val="20"/>
                <w:szCs w:val="20"/>
                <w:lang w:eastAsia="en-NZ"/>
              </w:rPr>
            </w:pPr>
            <w:r w:rsidRPr="00CA4713">
              <w:rPr>
                <w:rFonts w:eastAsia="Times New Roman" w:cstheme="minorHAnsi"/>
                <w:color w:val="000000"/>
                <w:sz w:val="20"/>
                <w:szCs w:val="20"/>
                <w:lang w:eastAsia="en-NZ"/>
              </w:rPr>
              <w:t>WCC RMS 2019</w:t>
            </w:r>
          </w:p>
        </w:tc>
        <w:tc>
          <w:tcPr>
            <w:tcW w:w="1843" w:type="dxa"/>
            <w:shd w:val="clear" w:color="auto" w:fill="auto"/>
            <w:hideMark/>
          </w:tcPr>
          <w:p w:rsidR="00546A26" w:rsidRPr="00CA4713" w:rsidRDefault="00546A26" w:rsidP="004106CD">
            <w:pPr>
              <w:spacing w:after="0" w:line="240" w:lineRule="auto"/>
              <w:jc w:val="right"/>
              <w:rPr>
                <w:rFonts w:eastAsia="Times New Roman" w:cstheme="minorHAnsi"/>
                <w:color w:val="000000"/>
                <w:sz w:val="20"/>
                <w:szCs w:val="20"/>
                <w:lang w:eastAsia="en-NZ"/>
              </w:rPr>
            </w:pPr>
            <w:r w:rsidRPr="00CA4713">
              <w:rPr>
                <w:rFonts w:eastAsia="Times New Roman" w:cstheme="minorHAnsi"/>
                <w:color w:val="000000"/>
                <w:sz w:val="20"/>
                <w:szCs w:val="20"/>
                <w:lang w:eastAsia="en-NZ"/>
              </w:rPr>
              <w:t>At home (85%)</w:t>
            </w:r>
          </w:p>
        </w:tc>
        <w:tc>
          <w:tcPr>
            <w:tcW w:w="1843" w:type="dxa"/>
            <w:shd w:val="clear" w:color="auto" w:fill="auto"/>
            <w:hideMark/>
          </w:tcPr>
          <w:p w:rsidR="00546A26" w:rsidRPr="00CA4713" w:rsidRDefault="00546A26" w:rsidP="004106CD">
            <w:pPr>
              <w:spacing w:after="0" w:line="240" w:lineRule="auto"/>
              <w:jc w:val="right"/>
              <w:rPr>
                <w:rFonts w:eastAsia="Times New Roman" w:cstheme="minorHAnsi"/>
                <w:color w:val="000000"/>
                <w:sz w:val="20"/>
                <w:szCs w:val="20"/>
                <w:lang w:eastAsia="en-NZ"/>
              </w:rPr>
            </w:pPr>
            <w:r w:rsidRPr="00CA4713">
              <w:rPr>
                <w:rFonts w:eastAsia="Times New Roman" w:cstheme="minorHAnsi"/>
                <w:color w:val="000000"/>
                <w:sz w:val="20"/>
                <w:szCs w:val="20"/>
                <w:lang w:eastAsia="en-NZ"/>
              </w:rPr>
              <w:t>At home (83%); At work (</w:t>
            </w:r>
            <w:r>
              <w:rPr>
                <w:rFonts w:eastAsia="Times New Roman" w:cstheme="minorHAnsi"/>
                <w:color w:val="000000"/>
                <w:sz w:val="20"/>
                <w:szCs w:val="20"/>
                <w:lang w:eastAsia="en-NZ"/>
              </w:rPr>
              <w:t>75</w:t>
            </w:r>
            <w:r w:rsidRPr="00CA4713">
              <w:rPr>
                <w:rFonts w:eastAsia="Times New Roman" w:cstheme="minorHAnsi"/>
                <w:color w:val="000000"/>
                <w:sz w:val="20"/>
                <w:szCs w:val="20"/>
                <w:lang w:eastAsia="en-NZ"/>
              </w:rPr>
              <w:t>%); At place of education (</w:t>
            </w:r>
            <w:r>
              <w:rPr>
                <w:rFonts w:eastAsia="Times New Roman" w:cstheme="minorHAnsi"/>
                <w:color w:val="000000"/>
                <w:sz w:val="20"/>
                <w:szCs w:val="20"/>
                <w:lang w:eastAsia="en-NZ"/>
              </w:rPr>
              <w:t>59</w:t>
            </w:r>
            <w:r w:rsidRPr="00CA4713">
              <w:rPr>
                <w:rFonts w:eastAsia="Times New Roman" w:cstheme="minorHAnsi"/>
                <w:color w:val="000000"/>
                <w:sz w:val="20"/>
                <w:szCs w:val="20"/>
                <w:lang w:eastAsia="en-NZ"/>
              </w:rPr>
              <w:t>%)</w:t>
            </w:r>
          </w:p>
        </w:tc>
        <w:tc>
          <w:tcPr>
            <w:tcW w:w="1843" w:type="dxa"/>
            <w:shd w:val="clear" w:color="auto" w:fill="auto"/>
            <w:hideMark/>
          </w:tcPr>
          <w:p w:rsidR="00546A26" w:rsidRPr="00CA4713" w:rsidRDefault="00546A26" w:rsidP="004106CD">
            <w:pPr>
              <w:spacing w:after="0" w:line="240" w:lineRule="auto"/>
              <w:jc w:val="right"/>
              <w:rPr>
                <w:rFonts w:eastAsia="Times New Roman" w:cstheme="minorHAnsi"/>
                <w:color w:val="000000"/>
                <w:sz w:val="20"/>
                <w:szCs w:val="20"/>
                <w:lang w:eastAsia="en-NZ"/>
              </w:rPr>
            </w:pPr>
            <w:r w:rsidRPr="00CA4713">
              <w:rPr>
                <w:rFonts w:eastAsia="Times New Roman" w:cstheme="minorHAnsi"/>
                <w:color w:val="000000"/>
                <w:sz w:val="20"/>
                <w:szCs w:val="20"/>
                <w:lang w:eastAsia="en-NZ"/>
              </w:rPr>
              <w:t xml:space="preserve">At home (84%); At work (77%); At place of education (46%); In motor vehicle (33%); </w:t>
            </w:r>
          </w:p>
          <w:p w:rsidR="00546A26" w:rsidRPr="00CA4713" w:rsidRDefault="00546A26" w:rsidP="004106CD">
            <w:pPr>
              <w:spacing w:after="0" w:line="240" w:lineRule="auto"/>
              <w:jc w:val="right"/>
              <w:rPr>
                <w:rFonts w:eastAsia="Times New Roman" w:cstheme="minorHAnsi"/>
                <w:color w:val="000000"/>
                <w:sz w:val="20"/>
                <w:szCs w:val="20"/>
                <w:lang w:eastAsia="en-NZ"/>
              </w:rPr>
            </w:pPr>
            <w:r w:rsidRPr="00CA4713">
              <w:rPr>
                <w:rFonts w:eastAsia="Times New Roman" w:cstheme="minorHAnsi"/>
                <w:color w:val="000000"/>
                <w:sz w:val="20"/>
                <w:szCs w:val="20"/>
                <w:lang w:eastAsia="en-NZ"/>
              </w:rPr>
              <w:t>Other daily destination (10%)</w:t>
            </w:r>
          </w:p>
        </w:tc>
        <w:tc>
          <w:tcPr>
            <w:tcW w:w="2976" w:type="dxa"/>
            <w:shd w:val="clear" w:color="auto" w:fill="auto"/>
            <w:hideMark/>
          </w:tcPr>
          <w:p w:rsidR="00546A26" w:rsidRPr="00314490" w:rsidRDefault="005F209F" w:rsidP="004106CD">
            <w:pPr>
              <w:spacing w:after="0" w:line="240" w:lineRule="auto"/>
              <w:rPr>
                <w:rFonts w:eastAsia="Times New Roman" w:cstheme="minorHAnsi"/>
                <w:color w:val="000000" w:themeColor="text1"/>
                <w:sz w:val="20"/>
                <w:szCs w:val="20"/>
                <w:lang w:eastAsia="en-NZ"/>
              </w:rPr>
            </w:pPr>
            <w:r>
              <w:rPr>
                <w:rFonts w:eastAsia="Times New Roman" w:cstheme="minorHAnsi"/>
                <w:color w:val="000000"/>
                <w:sz w:val="20"/>
                <w:szCs w:val="20"/>
                <w:lang w:eastAsia="en-NZ"/>
              </w:rPr>
              <w:t xml:space="preserve">No trend. </w:t>
            </w:r>
            <w:r w:rsidR="00546A26" w:rsidRPr="00314490">
              <w:rPr>
                <w:rFonts w:eastAsia="Times New Roman" w:cstheme="minorHAnsi"/>
                <w:color w:val="000000" w:themeColor="text1"/>
                <w:sz w:val="20"/>
                <w:szCs w:val="20"/>
                <w:lang w:eastAsia="en-NZ"/>
              </w:rPr>
              <w:t>Percentage is based on reduced number of respondents due to excluding not applicable.</w:t>
            </w:r>
          </w:p>
        </w:tc>
      </w:tr>
      <w:tr w:rsidR="00546A26" w:rsidRPr="008B0A7E" w:rsidTr="004106CD">
        <w:tblPrEx>
          <w:shd w:val="clear" w:color="auto" w:fill="auto"/>
        </w:tblPrEx>
        <w:trPr>
          <w:trHeight w:val="255"/>
        </w:trPr>
        <w:tc>
          <w:tcPr>
            <w:tcW w:w="3545" w:type="dxa"/>
            <w:shd w:val="clear" w:color="auto" w:fill="009999"/>
            <w:hideMark/>
          </w:tcPr>
          <w:p w:rsidR="00546A26" w:rsidRPr="00CA4713" w:rsidRDefault="00546A26" w:rsidP="004106CD">
            <w:pPr>
              <w:spacing w:after="0" w:line="240" w:lineRule="auto"/>
              <w:rPr>
                <w:rFonts w:eastAsia="Times New Roman" w:cstheme="minorHAnsi"/>
                <w:b/>
                <w:bCs/>
                <w:color w:val="FFFFFF"/>
                <w:sz w:val="20"/>
                <w:szCs w:val="20"/>
                <w:lang w:eastAsia="en-NZ"/>
              </w:rPr>
            </w:pPr>
            <w:r w:rsidRPr="00CA4713">
              <w:rPr>
                <w:rFonts w:eastAsia="Times New Roman" w:cstheme="minorHAnsi"/>
                <w:b/>
                <w:bCs/>
                <w:color w:val="FFFFFF"/>
                <w:sz w:val="20"/>
                <w:szCs w:val="20"/>
                <w:lang w:eastAsia="en-NZ"/>
              </w:rPr>
              <w:t>What this tells us:</w:t>
            </w:r>
          </w:p>
        </w:tc>
        <w:tc>
          <w:tcPr>
            <w:tcW w:w="1233" w:type="dxa"/>
            <w:shd w:val="clear" w:color="auto" w:fill="009999"/>
            <w:hideMark/>
          </w:tcPr>
          <w:p w:rsidR="00546A26" w:rsidRPr="00CA4713" w:rsidRDefault="00546A26" w:rsidP="004106CD">
            <w:pPr>
              <w:spacing w:after="0" w:line="240" w:lineRule="auto"/>
              <w:rPr>
                <w:rFonts w:eastAsia="Times New Roman" w:cstheme="minorHAnsi"/>
                <w:b/>
                <w:bCs/>
                <w:color w:val="FFFFFF"/>
                <w:sz w:val="20"/>
                <w:szCs w:val="20"/>
                <w:lang w:eastAsia="en-NZ"/>
              </w:rPr>
            </w:pPr>
            <w:r w:rsidRPr="00CA4713">
              <w:rPr>
                <w:rFonts w:eastAsia="Times New Roman" w:cstheme="minorHAnsi"/>
                <w:b/>
                <w:bCs/>
                <w:color w:val="FFFFFF"/>
                <w:sz w:val="20"/>
                <w:szCs w:val="20"/>
                <w:lang w:eastAsia="en-NZ"/>
              </w:rPr>
              <w:t> </w:t>
            </w:r>
          </w:p>
        </w:tc>
        <w:tc>
          <w:tcPr>
            <w:tcW w:w="1176" w:type="dxa"/>
            <w:shd w:val="clear" w:color="auto" w:fill="009999"/>
            <w:hideMark/>
          </w:tcPr>
          <w:p w:rsidR="00546A26" w:rsidRPr="00CA4713" w:rsidRDefault="00546A26" w:rsidP="004106CD">
            <w:pPr>
              <w:spacing w:after="0" w:line="240" w:lineRule="auto"/>
              <w:rPr>
                <w:rFonts w:eastAsia="Times New Roman" w:cstheme="minorHAnsi"/>
                <w:b/>
                <w:bCs/>
                <w:color w:val="FFFFFF"/>
                <w:sz w:val="20"/>
                <w:szCs w:val="20"/>
                <w:lang w:eastAsia="en-NZ"/>
              </w:rPr>
            </w:pPr>
            <w:r w:rsidRPr="00CA4713">
              <w:rPr>
                <w:rFonts w:eastAsia="Times New Roman" w:cstheme="minorHAnsi"/>
                <w:b/>
                <w:bCs/>
                <w:color w:val="FFFFFF"/>
                <w:sz w:val="20"/>
                <w:szCs w:val="20"/>
                <w:lang w:eastAsia="en-NZ"/>
              </w:rPr>
              <w:t> </w:t>
            </w:r>
          </w:p>
        </w:tc>
        <w:tc>
          <w:tcPr>
            <w:tcW w:w="1843" w:type="dxa"/>
            <w:shd w:val="clear" w:color="auto" w:fill="009999"/>
            <w:hideMark/>
          </w:tcPr>
          <w:p w:rsidR="00546A26" w:rsidRPr="00CA4713" w:rsidRDefault="00546A26" w:rsidP="004106CD">
            <w:pPr>
              <w:spacing w:after="0" w:line="240" w:lineRule="auto"/>
              <w:rPr>
                <w:rFonts w:eastAsia="Times New Roman" w:cstheme="minorHAnsi"/>
                <w:b/>
                <w:bCs/>
                <w:color w:val="FFFFFF"/>
                <w:sz w:val="20"/>
                <w:szCs w:val="20"/>
                <w:lang w:eastAsia="en-NZ"/>
              </w:rPr>
            </w:pPr>
            <w:r w:rsidRPr="00CA4713">
              <w:rPr>
                <w:rFonts w:eastAsia="Times New Roman" w:cstheme="minorHAnsi"/>
                <w:b/>
                <w:bCs/>
                <w:color w:val="FFFFFF"/>
                <w:sz w:val="20"/>
                <w:szCs w:val="20"/>
                <w:lang w:eastAsia="en-NZ"/>
              </w:rPr>
              <w:t> </w:t>
            </w:r>
          </w:p>
        </w:tc>
        <w:tc>
          <w:tcPr>
            <w:tcW w:w="1843" w:type="dxa"/>
            <w:shd w:val="clear" w:color="auto" w:fill="009999"/>
            <w:hideMark/>
          </w:tcPr>
          <w:p w:rsidR="00546A26" w:rsidRPr="00CA4713" w:rsidRDefault="00546A26" w:rsidP="004106CD">
            <w:pPr>
              <w:spacing w:after="0" w:line="240" w:lineRule="auto"/>
              <w:rPr>
                <w:rFonts w:eastAsia="Times New Roman" w:cstheme="minorHAnsi"/>
                <w:b/>
                <w:bCs/>
                <w:color w:val="FFFFFF"/>
                <w:sz w:val="20"/>
                <w:szCs w:val="20"/>
                <w:lang w:eastAsia="en-NZ"/>
              </w:rPr>
            </w:pPr>
            <w:r w:rsidRPr="00CA4713">
              <w:rPr>
                <w:rFonts w:eastAsia="Times New Roman" w:cstheme="minorHAnsi"/>
                <w:b/>
                <w:bCs/>
                <w:color w:val="FFFFFF"/>
                <w:sz w:val="20"/>
                <w:szCs w:val="20"/>
                <w:lang w:eastAsia="en-NZ"/>
              </w:rPr>
              <w:t> </w:t>
            </w:r>
          </w:p>
        </w:tc>
        <w:tc>
          <w:tcPr>
            <w:tcW w:w="1843" w:type="dxa"/>
            <w:shd w:val="clear" w:color="auto" w:fill="009999"/>
            <w:hideMark/>
          </w:tcPr>
          <w:p w:rsidR="00546A26" w:rsidRPr="00CA4713" w:rsidRDefault="00546A26" w:rsidP="004106CD">
            <w:pPr>
              <w:spacing w:after="0" w:line="240" w:lineRule="auto"/>
              <w:rPr>
                <w:rFonts w:eastAsia="Times New Roman" w:cstheme="minorHAnsi"/>
                <w:b/>
                <w:bCs/>
                <w:color w:val="FFFFFF"/>
                <w:sz w:val="20"/>
                <w:szCs w:val="20"/>
                <w:lang w:eastAsia="en-NZ"/>
              </w:rPr>
            </w:pPr>
          </w:p>
        </w:tc>
        <w:tc>
          <w:tcPr>
            <w:tcW w:w="2976" w:type="dxa"/>
            <w:shd w:val="clear" w:color="auto" w:fill="009999"/>
            <w:hideMark/>
          </w:tcPr>
          <w:p w:rsidR="00546A26" w:rsidRPr="00CA4713" w:rsidRDefault="00546A26" w:rsidP="004106CD">
            <w:pPr>
              <w:spacing w:after="0" w:line="240" w:lineRule="auto"/>
              <w:rPr>
                <w:rFonts w:eastAsia="Times New Roman" w:cstheme="minorHAnsi"/>
                <w:color w:val="000000"/>
                <w:sz w:val="20"/>
                <w:szCs w:val="20"/>
                <w:lang w:eastAsia="en-NZ"/>
              </w:rPr>
            </w:pPr>
          </w:p>
        </w:tc>
      </w:tr>
      <w:tr w:rsidR="00546A26" w:rsidRPr="008B0A7E" w:rsidTr="004106CD">
        <w:tblPrEx>
          <w:shd w:val="clear" w:color="auto" w:fill="auto"/>
        </w:tblPrEx>
        <w:trPr>
          <w:trHeight w:val="232"/>
        </w:trPr>
        <w:tc>
          <w:tcPr>
            <w:tcW w:w="14459" w:type="dxa"/>
            <w:gridSpan w:val="7"/>
            <w:shd w:val="clear" w:color="auto" w:fill="auto"/>
            <w:hideMark/>
          </w:tcPr>
          <w:p w:rsidR="00546A26" w:rsidRPr="00CA4713" w:rsidRDefault="00546A26" w:rsidP="004106CD">
            <w:pPr>
              <w:spacing w:after="0" w:line="240" w:lineRule="auto"/>
              <w:rPr>
                <w:rFonts w:eastAsia="Times New Roman" w:cstheme="minorHAnsi"/>
                <w:color w:val="000000"/>
                <w:sz w:val="20"/>
                <w:szCs w:val="20"/>
                <w:lang w:eastAsia="en-NZ"/>
              </w:rPr>
            </w:pPr>
            <w:r w:rsidRPr="00CA4713">
              <w:rPr>
                <w:rFonts w:eastAsia="Times New Roman" w:cstheme="minorHAnsi"/>
                <w:color w:val="000000"/>
                <w:sz w:val="20"/>
                <w:szCs w:val="20"/>
                <w:lang w:eastAsia="en-NZ"/>
              </w:rPr>
              <w:t>Desirable trends in these outcome measures would mean that Wellingtonians have a high quality of life, are fit, happy and accepted.</w:t>
            </w:r>
          </w:p>
        </w:tc>
      </w:tr>
    </w:tbl>
    <w:p w:rsidR="00066652" w:rsidRPr="005F209F" w:rsidRDefault="00066652" w:rsidP="00846C1B">
      <w:pPr>
        <w:pStyle w:val="Heading4"/>
        <w:rPr>
          <w:color w:val="009999"/>
        </w:rPr>
      </w:pPr>
      <w:r w:rsidRPr="005F209F">
        <w:rPr>
          <w:color w:val="009999"/>
        </w:rPr>
        <w:t xml:space="preserve">Performance data – Council performance measures </w:t>
      </w:r>
      <w:bookmarkEnd w:id="253"/>
    </w:p>
    <w:p w:rsidR="00066652" w:rsidRPr="00D5126A" w:rsidRDefault="00066652" w:rsidP="00066652">
      <w:pPr>
        <w:pStyle w:val="Para034"/>
        <w:spacing w:line="240" w:lineRule="auto"/>
        <w:rPr>
          <w:rFonts w:ascii="Arial" w:hAnsi="Arial" w:cs="Arial"/>
        </w:rPr>
      </w:pPr>
      <w:r w:rsidRPr="00D5126A">
        <w:rPr>
          <w:rFonts w:ascii="Arial" w:hAnsi="Arial" w:cs="Arial"/>
        </w:rPr>
        <w:t>The following section outlines Council performance measures for our Social and Recreation services. It includes data for the last 3 years to show trends, and includes variances explanations for relevant areas.</w:t>
      </w:r>
    </w:p>
    <w:tbl>
      <w:tblPr>
        <w:tblW w:w="15451" w:type="dxa"/>
        <w:tblInd w:w="-601" w:type="dxa"/>
        <w:tblBorders>
          <w:top w:val="single" w:sz="4" w:space="0" w:color="009999"/>
          <w:bottom w:val="single" w:sz="4" w:space="0" w:color="009999"/>
          <w:insideH w:val="single" w:sz="4" w:space="0" w:color="009999"/>
          <w:insideV w:val="single" w:sz="4" w:space="0" w:color="009999"/>
        </w:tblBorders>
        <w:tblLayout w:type="fixed"/>
        <w:tblLook w:val="04A0" w:firstRow="1" w:lastRow="0" w:firstColumn="1" w:lastColumn="0" w:noHBand="0" w:noVBand="1"/>
      </w:tblPr>
      <w:tblGrid>
        <w:gridCol w:w="4375"/>
        <w:gridCol w:w="12"/>
        <w:gridCol w:w="7"/>
        <w:gridCol w:w="14"/>
        <w:gridCol w:w="1113"/>
        <w:gridCol w:w="23"/>
        <w:gridCol w:w="1176"/>
        <w:gridCol w:w="33"/>
        <w:gridCol w:w="13"/>
        <w:gridCol w:w="1178"/>
        <w:gridCol w:w="15"/>
        <w:gridCol w:w="19"/>
        <w:gridCol w:w="1106"/>
        <w:gridCol w:w="14"/>
        <w:gridCol w:w="15"/>
        <w:gridCol w:w="770"/>
        <w:gridCol w:w="15"/>
        <w:gridCol w:w="8"/>
        <w:gridCol w:w="9"/>
        <w:gridCol w:w="1284"/>
        <w:gridCol w:w="4252"/>
      </w:tblGrid>
      <w:tr w:rsidR="00546A26" w:rsidRPr="00CA4713" w:rsidTr="009C3D9F">
        <w:trPr>
          <w:trHeight w:val="510"/>
          <w:tblHeader/>
        </w:trPr>
        <w:tc>
          <w:tcPr>
            <w:tcW w:w="4394" w:type="dxa"/>
            <w:gridSpan w:val="3"/>
            <w:tcBorders>
              <w:right w:val="single" w:sz="4" w:space="0" w:color="FFFFFF" w:themeColor="background1"/>
            </w:tcBorders>
            <w:shd w:val="clear" w:color="auto" w:fill="009999"/>
            <w:vAlign w:val="bottom"/>
            <w:hideMark/>
          </w:tcPr>
          <w:p w:rsidR="00546A26" w:rsidRPr="00CA4713" w:rsidRDefault="00546A26" w:rsidP="004106CD">
            <w:pPr>
              <w:spacing w:after="0" w:line="240" w:lineRule="auto"/>
              <w:rPr>
                <w:rFonts w:eastAsia="Times New Roman" w:cstheme="minorHAnsi"/>
                <w:b/>
                <w:bCs/>
                <w:color w:val="FFFFFF" w:themeColor="background1"/>
                <w:lang w:eastAsia="en-NZ"/>
              </w:rPr>
            </w:pPr>
            <w:bookmarkStart w:id="254" w:name="Case_study_Connecting_city_communities"/>
            <w:r w:rsidRPr="00CA4713">
              <w:rPr>
                <w:rFonts w:eastAsia="Times New Roman" w:cstheme="minorHAnsi"/>
                <w:b/>
                <w:bCs/>
                <w:color w:val="FFFFFF" w:themeColor="background1"/>
                <w:lang w:eastAsia="en-NZ"/>
              </w:rPr>
              <w:t>Performance Measure</w:t>
            </w:r>
          </w:p>
        </w:tc>
        <w:tc>
          <w:tcPr>
            <w:tcW w:w="1127" w:type="dxa"/>
            <w:gridSpan w:val="2"/>
            <w:tcBorders>
              <w:left w:val="single" w:sz="4" w:space="0" w:color="FFFFFF" w:themeColor="background1"/>
              <w:right w:val="single" w:sz="4" w:space="0" w:color="FFFFFF" w:themeColor="background1"/>
            </w:tcBorders>
            <w:shd w:val="clear" w:color="auto" w:fill="009999"/>
            <w:vAlign w:val="bottom"/>
            <w:hideMark/>
          </w:tcPr>
          <w:p w:rsidR="00546A26" w:rsidRPr="00CA4713" w:rsidRDefault="00546A26" w:rsidP="004106CD">
            <w:pPr>
              <w:spacing w:after="0" w:line="240" w:lineRule="auto"/>
              <w:jc w:val="right"/>
              <w:rPr>
                <w:rFonts w:eastAsia="Times New Roman" w:cstheme="minorHAnsi"/>
                <w:b/>
                <w:bCs/>
                <w:color w:val="FFFFFF" w:themeColor="background1"/>
                <w:lang w:eastAsia="en-NZ"/>
              </w:rPr>
            </w:pPr>
            <w:r w:rsidRPr="00CA4713">
              <w:rPr>
                <w:rFonts w:eastAsia="Times New Roman" w:cstheme="minorHAnsi"/>
                <w:b/>
                <w:bCs/>
                <w:color w:val="FFFFFF" w:themeColor="background1"/>
                <w:lang w:eastAsia="en-NZ"/>
              </w:rPr>
              <w:t>2016/17</w:t>
            </w:r>
            <w:r w:rsidRPr="00CA4713">
              <w:rPr>
                <w:rFonts w:eastAsia="Times New Roman" w:cstheme="minorHAnsi"/>
                <w:b/>
                <w:bCs/>
                <w:color w:val="FFFFFF" w:themeColor="background1"/>
                <w:lang w:eastAsia="en-NZ"/>
              </w:rPr>
              <w:br/>
              <w:t>Actual</w:t>
            </w:r>
          </w:p>
        </w:tc>
        <w:tc>
          <w:tcPr>
            <w:tcW w:w="1199" w:type="dxa"/>
            <w:gridSpan w:val="2"/>
            <w:tcBorders>
              <w:left w:val="single" w:sz="4" w:space="0" w:color="FFFFFF" w:themeColor="background1"/>
              <w:right w:val="single" w:sz="4" w:space="0" w:color="FFFFFF" w:themeColor="background1"/>
            </w:tcBorders>
            <w:shd w:val="clear" w:color="auto" w:fill="009999"/>
            <w:vAlign w:val="bottom"/>
            <w:hideMark/>
          </w:tcPr>
          <w:p w:rsidR="00546A26" w:rsidRPr="00CA4713" w:rsidRDefault="00546A26" w:rsidP="004106CD">
            <w:pPr>
              <w:spacing w:after="0" w:line="240" w:lineRule="auto"/>
              <w:jc w:val="right"/>
              <w:rPr>
                <w:rFonts w:eastAsia="Times New Roman" w:cstheme="minorHAnsi"/>
                <w:b/>
                <w:bCs/>
                <w:color w:val="FFFFFF" w:themeColor="background1"/>
                <w:lang w:eastAsia="en-NZ"/>
              </w:rPr>
            </w:pPr>
            <w:r w:rsidRPr="00CA4713">
              <w:rPr>
                <w:rFonts w:eastAsia="Times New Roman" w:cstheme="minorHAnsi"/>
                <w:b/>
                <w:bCs/>
                <w:color w:val="FFFFFF" w:themeColor="background1"/>
                <w:lang w:eastAsia="en-NZ"/>
              </w:rPr>
              <w:t>2017/18</w:t>
            </w:r>
            <w:r w:rsidRPr="00CA4713">
              <w:rPr>
                <w:rFonts w:eastAsia="Times New Roman" w:cstheme="minorHAnsi"/>
                <w:b/>
                <w:bCs/>
                <w:color w:val="FFFFFF" w:themeColor="background1"/>
                <w:lang w:eastAsia="en-NZ"/>
              </w:rPr>
              <w:br/>
              <w:t>Actual</w:t>
            </w:r>
          </w:p>
        </w:tc>
        <w:tc>
          <w:tcPr>
            <w:tcW w:w="1258" w:type="dxa"/>
            <w:gridSpan w:val="5"/>
            <w:tcBorders>
              <w:left w:val="single" w:sz="4" w:space="0" w:color="FFFFFF" w:themeColor="background1"/>
              <w:right w:val="single" w:sz="4" w:space="0" w:color="FFFFFF" w:themeColor="background1"/>
            </w:tcBorders>
            <w:shd w:val="clear" w:color="auto" w:fill="009999"/>
            <w:vAlign w:val="bottom"/>
            <w:hideMark/>
          </w:tcPr>
          <w:p w:rsidR="00546A26" w:rsidRPr="00CA4713" w:rsidRDefault="00546A26" w:rsidP="004106CD">
            <w:pPr>
              <w:spacing w:after="0" w:line="240" w:lineRule="auto"/>
              <w:jc w:val="right"/>
              <w:rPr>
                <w:rFonts w:eastAsia="Times New Roman" w:cstheme="minorHAnsi"/>
                <w:b/>
                <w:bCs/>
                <w:color w:val="FFFFFF" w:themeColor="background1"/>
                <w:lang w:eastAsia="en-NZ"/>
              </w:rPr>
            </w:pPr>
            <w:r w:rsidRPr="00CA4713">
              <w:rPr>
                <w:rFonts w:eastAsia="Times New Roman" w:cstheme="minorHAnsi"/>
                <w:b/>
                <w:bCs/>
                <w:color w:val="FFFFFF" w:themeColor="background1"/>
                <w:lang w:eastAsia="en-NZ"/>
              </w:rPr>
              <w:t>2018/19</w:t>
            </w:r>
            <w:r w:rsidRPr="00CA4713">
              <w:rPr>
                <w:rFonts w:eastAsia="Times New Roman" w:cstheme="minorHAnsi"/>
                <w:b/>
                <w:bCs/>
                <w:color w:val="FFFFFF" w:themeColor="background1"/>
                <w:lang w:eastAsia="en-NZ"/>
              </w:rPr>
              <w:br/>
              <w:t>Actual</w:t>
            </w:r>
          </w:p>
        </w:tc>
        <w:tc>
          <w:tcPr>
            <w:tcW w:w="1135" w:type="dxa"/>
            <w:gridSpan w:val="3"/>
            <w:tcBorders>
              <w:left w:val="single" w:sz="4" w:space="0" w:color="FFFFFF" w:themeColor="background1"/>
              <w:right w:val="single" w:sz="4" w:space="0" w:color="FFFFFF" w:themeColor="background1"/>
            </w:tcBorders>
            <w:shd w:val="clear" w:color="auto" w:fill="009999"/>
            <w:vAlign w:val="bottom"/>
            <w:hideMark/>
          </w:tcPr>
          <w:p w:rsidR="00546A26" w:rsidRPr="00CA4713" w:rsidRDefault="00546A26" w:rsidP="004106CD">
            <w:pPr>
              <w:spacing w:after="0" w:line="240" w:lineRule="auto"/>
              <w:jc w:val="right"/>
              <w:rPr>
                <w:rFonts w:eastAsia="Times New Roman" w:cstheme="minorHAnsi"/>
                <w:b/>
                <w:bCs/>
                <w:color w:val="FFFFFF" w:themeColor="background1"/>
                <w:lang w:eastAsia="en-NZ"/>
              </w:rPr>
            </w:pPr>
            <w:r w:rsidRPr="00CA4713">
              <w:rPr>
                <w:rFonts w:eastAsia="Times New Roman" w:cstheme="minorHAnsi"/>
                <w:b/>
                <w:bCs/>
                <w:color w:val="FFFFFF" w:themeColor="background1"/>
                <w:lang w:eastAsia="en-NZ"/>
              </w:rPr>
              <w:t>2018/19 Target</w:t>
            </w:r>
          </w:p>
        </w:tc>
        <w:tc>
          <w:tcPr>
            <w:tcW w:w="785" w:type="dxa"/>
            <w:gridSpan w:val="2"/>
            <w:tcBorders>
              <w:left w:val="single" w:sz="4" w:space="0" w:color="FFFFFF" w:themeColor="background1"/>
              <w:right w:val="single" w:sz="4" w:space="0" w:color="FFFFFF" w:themeColor="background1"/>
            </w:tcBorders>
            <w:shd w:val="clear" w:color="auto" w:fill="009999"/>
            <w:vAlign w:val="bottom"/>
            <w:hideMark/>
          </w:tcPr>
          <w:p w:rsidR="00546A26" w:rsidRPr="00CA4713" w:rsidRDefault="00546A26" w:rsidP="004106CD">
            <w:pPr>
              <w:spacing w:after="0" w:line="240" w:lineRule="auto"/>
              <w:jc w:val="right"/>
              <w:rPr>
                <w:rFonts w:eastAsia="Times New Roman" w:cstheme="minorHAnsi"/>
                <w:b/>
                <w:bCs/>
                <w:color w:val="FFFFFF" w:themeColor="background1"/>
                <w:lang w:eastAsia="en-NZ"/>
              </w:rPr>
            </w:pPr>
            <w:r w:rsidRPr="00CA4713">
              <w:rPr>
                <w:rFonts w:eastAsia="Times New Roman" w:cstheme="minorHAnsi"/>
                <w:b/>
                <w:bCs/>
                <w:color w:val="FFFFFF" w:themeColor="background1"/>
                <w:lang w:eastAsia="en-NZ"/>
              </w:rPr>
              <w:t>% Var.</w:t>
            </w:r>
          </w:p>
        </w:tc>
        <w:tc>
          <w:tcPr>
            <w:tcW w:w="1301" w:type="dxa"/>
            <w:gridSpan w:val="3"/>
            <w:tcBorders>
              <w:left w:val="single" w:sz="4" w:space="0" w:color="FFFFFF" w:themeColor="background1"/>
              <w:right w:val="single" w:sz="4" w:space="0" w:color="FFFFFF" w:themeColor="background1"/>
            </w:tcBorders>
            <w:shd w:val="clear" w:color="auto" w:fill="009999"/>
            <w:vAlign w:val="bottom"/>
            <w:hideMark/>
          </w:tcPr>
          <w:p w:rsidR="00546A26" w:rsidRPr="00CA4713" w:rsidRDefault="009C3D9F" w:rsidP="004106CD">
            <w:pPr>
              <w:spacing w:after="0" w:line="240" w:lineRule="auto"/>
              <w:jc w:val="right"/>
              <w:rPr>
                <w:rFonts w:eastAsia="Times New Roman" w:cstheme="minorHAnsi"/>
                <w:b/>
                <w:bCs/>
                <w:color w:val="FFFFFF" w:themeColor="background1"/>
                <w:lang w:eastAsia="en-NZ"/>
              </w:rPr>
            </w:pPr>
            <w:r>
              <w:rPr>
                <w:rFonts w:eastAsia="Times New Roman" w:cstheme="minorHAnsi"/>
                <w:b/>
                <w:bCs/>
                <w:color w:val="FFFFFF" w:themeColor="background1"/>
                <w:lang w:eastAsia="en-NZ"/>
              </w:rPr>
              <w:t>Status</w:t>
            </w:r>
          </w:p>
        </w:tc>
        <w:tc>
          <w:tcPr>
            <w:tcW w:w="4252" w:type="dxa"/>
            <w:tcBorders>
              <w:left w:val="single" w:sz="4" w:space="0" w:color="FFFFFF" w:themeColor="background1"/>
            </w:tcBorders>
            <w:shd w:val="clear" w:color="auto" w:fill="009999"/>
            <w:vAlign w:val="bottom"/>
            <w:hideMark/>
          </w:tcPr>
          <w:p w:rsidR="00546A26" w:rsidRPr="00CA4713" w:rsidRDefault="00546A26" w:rsidP="004106CD">
            <w:pPr>
              <w:spacing w:after="0" w:line="240" w:lineRule="auto"/>
              <w:rPr>
                <w:rFonts w:eastAsia="Times New Roman" w:cstheme="minorHAnsi"/>
                <w:b/>
                <w:bCs/>
                <w:color w:val="FFFFFF" w:themeColor="background1"/>
                <w:lang w:eastAsia="en-NZ"/>
              </w:rPr>
            </w:pPr>
            <w:r w:rsidRPr="00CA4713">
              <w:rPr>
                <w:rFonts w:eastAsia="Times New Roman" w:cstheme="minorHAnsi"/>
                <w:b/>
                <w:bCs/>
                <w:color w:val="FFFFFF" w:themeColor="background1"/>
                <w:lang w:eastAsia="en-NZ"/>
              </w:rPr>
              <w:t xml:space="preserve">Comments </w:t>
            </w:r>
          </w:p>
        </w:tc>
      </w:tr>
      <w:tr w:rsidR="00546A26" w:rsidRPr="00CA4713" w:rsidTr="009C3D9F">
        <w:trPr>
          <w:trHeight w:val="301"/>
        </w:trPr>
        <w:tc>
          <w:tcPr>
            <w:tcW w:w="15451" w:type="dxa"/>
            <w:gridSpan w:val="21"/>
            <w:shd w:val="clear" w:color="auto" w:fill="auto"/>
            <w:hideMark/>
          </w:tcPr>
          <w:p w:rsidR="00546A26" w:rsidRPr="00CA4713" w:rsidRDefault="00546A26" w:rsidP="004106CD">
            <w:pPr>
              <w:spacing w:after="0" w:line="240" w:lineRule="auto"/>
              <w:rPr>
                <w:rFonts w:eastAsia="Times New Roman" w:cstheme="minorHAnsi"/>
                <w:color w:val="009999"/>
                <w:sz w:val="20"/>
                <w:lang w:eastAsia="en-NZ"/>
              </w:rPr>
            </w:pPr>
            <w:r w:rsidRPr="00CA4713">
              <w:rPr>
                <w:rFonts w:eastAsia="Times New Roman" w:cstheme="minorHAnsi"/>
                <w:b/>
                <w:bCs/>
                <w:color w:val="009999"/>
                <w:sz w:val="28"/>
                <w:szCs w:val="28"/>
                <w:lang w:eastAsia="en-NZ"/>
              </w:rPr>
              <w:lastRenderedPageBreak/>
              <w:t>Kaupapa Pāpori me ngā Mahi a Rēhia | Social and recreation</w:t>
            </w:r>
          </w:p>
        </w:tc>
      </w:tr>
      <w:tr w:rsidR="00546A26" w:rsidRPr="00CA4713" w:rsidTr="009C3D9F">
        <w:trPr>
          <w:trHeight w:val="255"/>
        </w:trPr>
        <w:tc>
          <w:tcPr>
            <w:tcW w:w="15451" w:type="dxa"/>
            <w:gridSpan w:val="21"/>
            <w:tcBorders>
              <w:bottom w:val="nil"/>
            </w:tcBorders>
            <w:shd w:val="clear" w:color="auto" w:fill="009999"/>
            <w:hideMark/>
          </w:tcPr>
          <w:p w:rsidR="00546A26" w:rsidRPr="00CA4713" w:rsidRDefault="00546A26" w:rsidP="004106CD">
            <w:pPr>
              <w:spacing w:after="0" w:line="240" w:lineRule="auto"/>
              <w:rPr>
                <w:rFonts w:eastAsia="Times New Roman" w:cstheme="minorHAnsi"/>
                <w:color w:val="000000"/>
                <w:sz w:val="24"/>
                <w:lang w:eastAsia="en-NZ"/>
              </w:rPr>
            </w:pPr>
            <w:r w:rsidRPr="00CA4713">
              <w:rPr>
                <w:rFonts w:eastAsia="Times New Roman" w:cstheme="minorHAnsi"/>
                <w:b/>
                <w:bCs/>
                <w:color w:val="FFFFFF"/>
                <w:sz w:val="24"/>
                <w:lang w:eastAsia="en-NZ"/>
              </w:rPr>
              <w:t>5.1 Recreation promotion and support  </w:t>
            </w:r>
          </w:p>
        </w:tc>
      </w:tr>
      <w:tr w:rsidR="00546A26" w:rsidRPr="00CA4713" w:rsidTr="009C3D9F">
        <w:trPr>
          <w:trHeight w:val="315"/>
        </w:trPr>
        <w:tc>
          <w:tcPr>
            <w:tcW w:w="15451" w:type="dxa"/>
            <w:gridSpan w:val="21"/>
            <w:tcBorders>
              <w:top w:val="nil"/>
              <w:bottom w:val="nil"/>
            </w:tcBorders>
            <w:shd w:val="clear" w:color="auto" w:fill="DAEEF3" w:themeFill="accent5" w:themeFillTint="33"/>
            <w:hideMark/>
          </w:tcPr>
          <w:p w:rsidR="00546A26" w:rsidRPr="00F45CA3" w:rsidRDefault="00B701E7" w:rsidP="00B701E7">
            <w:pPr>
              <w:spacing w:after="0" w:line="240" w:lineRule="auto"/>
              <w:rPr>
                <w:rFonts w:eastAsia="Times New Roman" w:cstheme="minorHAnsi"/>
                <w:b/>
                <w:color w:val="000000" w:themeColor="text1"/>
                <w:sz w:val="20"/>
                <w:szCs w:val="20"/>
                <w:lang w:eastAsia="en-NZ"/>
              </w:rPr>
            </w:pPr>
            <w:r w:rsidRPr="00F45CA3">
              <w:rPr>
                <w:rFonts w:eastAsia="Times New Roman" w:cstheme="minorHAnsi"/>
                <w:b/>
                <w:color w:val="000000" w:themeColor="text1"/>
                <w:sz w:val="20"/>
                <w:szCs w:val="20"/>
                <w:lang w:eastAsia="en-NZ"/>
              </w:rPr>
              <w:t>High</w:t>
            </w:r>
            <w:r>
              <w:rPr>
                <w:rFonts w:eastAsia="Times New Roman" w:cstheme="minorHAnsi"/>
                <w:b/>
                <w:color w:val="000000" w:themeColor="text1"/>
                <w:sz w:val="20"/>
                <w:szCs w:val="20"/>
                <w:lang w:eastAsia="en-NZ"/>
              </w:rPr>
              <w:t>-</w:t>
            </w:r>
            <w:r w:rsidR="00546A26" w:rsidRPr="00F45CA3">
              <w:rPr>
                <w:rFonts w:eastAsia="Times New Roman" w:cstheme="minorHAnsi"/>
                <w:b/>
                <w:color w:val="000000" w:themeColor="text1"/>
                <w:sz w:val="20"/>
                <w:szCs w:val="20"/>
                <w:lang w:eastAsia="en-NZ"/>
              </w:rPr>
              <w:t>quality experience</w:t>
            </w:r>
          </w:p>
        </w:tc>
      </w:tr>
      <w:tr w:rsidR="00546A26" w:rsidRPr="00CA4713" w:rsidTr="009C3D9F">
        <w:trPr>
          <w:trHeight w:val="525"/>
        </w:trPr>
        <w:tc>
          <w:tcPr>
            <w:tcW w:w="4387" w:type="dxa"/>
            <w:gridSpan w:val="2"/>
            <w:tcBorders>
              <w:top w:val="nil"/>
            </w:tcBorders>
            <w:shd w:val="clear" w:color="auto" w:fill="auto"/>
            <w:hideMark/>
          </w:tcPr>
          <w:p w:rsidR="00546A26" w:rsidRPr="00CA4713" w:rsidRDefault="00546A26" w:rsidP="005F209F">
            <w:pPr>
              <w:spacing w:after="0" w:line="240" w:lineRule="auto"/>
              <w:rPr>
                <w:rFonts w:eastAsia="Times New Roman" w:cstheme="minorHAnsi"/>
                <w:color w:val="000000"/>
                <w:sz w:val="20"/>
                <w:lang w:eastAsia="en-NZ"/>
              </w:rPr>
            </w:pPr>
            <w:r w:rsidRPr="00CA4713">
              <w:rPr>
                <w:rFonts w:eastAsia="Times New Roman" w:cstheme="minorHAnsi"/>
                <w:color w:val="000000"/>
                <w:sz w:val="20"/>
                <w:lang w:eastAsia="en-NZ"/>
              </w:rPr>
              <w:t>User satisfaction (%) - pools</w:t>
            </w:r>
          </w:p>
        </w:tc>
        <w:tc>
          <w:tcPr>
            <w:tcW w:w="1134" w:type="dxa"/>
            <w:gridSpan w:val="3"/>
            <w:tcBorders>
              <w:top w:val="nil"/>
            </w:tcBorders>
            <w:shd w:val="clear" w:color="auto" w:fill="auto"/>
            <w:noWrap/>
            <w:hideMark/>
          </w:tcPr>
          <w:p w:rsidR="00546A26" w:rsidRPr="00CA4713" w:rsidRDefault="00546A26" w:rsidP="005F209F">
            <w:pPr>
              <w:spacing w:after="0" w:line="240" w:lineRule="auto"/>
              <w:jc w:val="right"/>
              <w:rPr>
                <w:rFonts w:eastAsia="Times New Roman" w:cstheme="minorHAnsi"/>
                <w:color w:val="000000"/>
                <w:sz w:val="20"/>
                <w:lang w:eastAsia="en-NZ"/>
              </w:rPr>
            </w:pPr>
            <w:r w:rsidRPr="00CA4713">
              <w:rPr>
                <w:rFonts w:eastAsia="Times New Roman" w:cstheme="minorHAnsi"/>
                <w:color w:val="000000"/>
                <w:sz w:val="20"/>
                <w:lang w:eastAsia="en-NZ"/>
              </w:rPr>
              <w:t>87%</w:t>
            </w:r>
          </w:p>
        </w:tc>
        <w:tc>
          <w:tcPr>
            <w:tcW w:w="1199" w:type="dxa"/>
            <w:gridSpan w:val="2"/>
            <w:tcBorders>
              <w:top w:val="nil"/>
            </w:tcBorders>
            <w:shd w:val="clear" w:color="auto" w:fill="auto"/>
            <w:noWrap/>
            <w:hideMark/>
          </w:tcPr>
          <w:p w:rsidR="00546A26" w:rsidRPr="00CA4713" w:rsidRDefault="00546A26" w:rsidP="005F209F">
            <w:pPr>
              <w:spacing w:after="0" w:line="240" w:lineRule="auto"/>
              <w:jc w:val="right"/>
              <w:rPr>
                <w:rFonts w:eastAsia="Times New Roman" w:cstheme="minorHAnsi"/>
                <w:color w:val="000000"/>
                <w:sz w:val="20"/>
                <w:lang w:eastAsia="en-NZ"/>
              </w:rPr>
            </w:pPr>
            <w:r w:rsidRPr="00CA4713">
              <w:rPr>
                <w:rFonts w:eastAsia="Times New Roman" w:cstheme="minorHAnsi"/>
                <w:color w:val="000000"/>
                <w:sz w:val="20"/>
                <w:lang w:eastAsia="en-NZ"/>
              </w:rPr>
              <w:t>90%</w:t>
            </w:r>
          </w:p>
        </w:tc>
        <w:tc>
          <w:tcPr>
            <w:tcW w:w="1258" w:type="dxa"/>
            <w:gridSpan w:val="5"/>
            <w:tcBorders>
              <w:top w:val="nil"/>
            </w:tcBorders>
            <w:shd w:val="clear" w:color="auto" w:fill="auto"/>
            <w:noWrap/>
            <w:hideMark/>
          </w:tcPr>
          <w:p w:rsidR="00546A26" w:rsidRPr="00CA4713" w:rsidRDefault="00546A26" w:rsidP="005F209F">
            <w:pPr>
              <w:spacing w:after="0" w:line="240" w:lineRule="auto"/>
              <w:jc w:val="right"/>
              <w:rPr>
                <w:rFonts w:eastAsia="Times New Roman" w:cstheme="minorHAnsi"/>
                <w:color w:val="000000"/>
                <w:sz w:val="20"/>
                <w:lang w:eastAsia="en-NZ"/>
              </w:rPr>
            </w:pPr>
            <w:r w:rsidRPr="00CA4713">
              <w:rPr>
                <w:rFonts w:eastAsia="Times New Roman" w:cstheme="minorHAnsi"/>
                <w:color w:val="000000"/>
                <w:sz w:val="20"/>
                <w:lang w:eastAsia="en-NZ"/>
              </w:rPr>
              <w:t>97%</w:t>
            </w:r>
          </w:p>
        </w:tc>
        <w:tc>
          <w:tcPr>
            <w:tcW w:w="1135" w:type="dxa"/>
            <w:gridSpan w:val="3"/>
            <w:tcBorders>
              <w:top w:val="nil"/>
            </w:tcBorders>
            <w:shd w:val="clear" w:color="000000" w:fill="D9D9D9"/>
            <w:hideMark/>
          </w:tcPr>
          <w:p w:rsidR="00546A26" w:rsidRPr="00CA4713" w:rsidRDefault="00546A26" w:rsidP="005F209F">
            <w:pPr>
              <w:spacing w:after="0" w:line="240" w:lineRule="auto"/>
              <w:jc w:val="right"/>
              <w:rPr>
                <w:rFonts w:eastAsia="Times New Roman" w:cstheme="minorHAnsi"/>
                <w:color w:val="000000"/>
                <w:sz w:val="20"/>
                <w:lang w:eastAsia="en-NZ"/>
              </w:rPr>
            </w:pPr>
            <w:r w:rsidRPr="00CA4713">
              <w:rPr>
                <w:rFonts w:eastAsia="Times New Roman" w:cstheme="minorHAnsi"/>
                <w:color w:val="000000"/>
                <w:sz w:val="20"/>
                <w:lang w:eastAsia="en-NZ"/>
              </w:rPr>
              <w:t>90%</w:t>
            </w:r>
          </w:p>
        </w:tc>
        <w:tc>
          <w:tcPr>
            <w:tcW w:w="785" w:type="dxa"/>
            <w:gridSpan w:val="2"/>
            <w:tcBorders>
              <w:top w:val="nil"/>
            </w:tcBorders>
            <w:shd w:val="clear" w:color="auto" w:fill="auto"/>
            <w:hideMark/>
          </w:tcPr>
          <w:p w:rsidR="00546A26" w:rsidRPr="00CA4713" w:rsidRDefault="00546A26" w:rsidP="005F209F">
            <w:pPr>
              <w:spacing w:after="0" w:line="240" w:lineRule="auto"/>
              <w:jc w:val="right"/>
              <w:rPr>
                <w:rFonts w:eastAsia="Times New Roman" w:cstheme="minorHAnsi"/>
                <w:color w:val="000000"/>
                <w:sz w:val="20"/>
                <w:lang w:eastAsia="en-NZ"/>
              </w:rPr>
            </w:pPr>
            <w:r w:rsidRPr="00CA4713">
              <w:rPr>
                <w:rFonts w:eastAsia="Times New Roman" w:cstheme="minorHAnsi"/>
                <w:color w:val="000000"/>
                <w:sz w:val="20"/>
                <w:lang w:eastAsia="en-NZ"/>
              </w:rPr>
              <w:t>8%</w:t>
            </w:r>
          </w:p>
        </w:tc>
        <w:tc>
          <w:tcPr>
            <w:tcW w:w="1301" w:type="dxa"/>
            <w:gridSpan w:val="3"/>
            <w:tcBorders>
              <w:top w:val="nil"/>
            </w:tcBorders>
            <w:shd w:val="clear" w:color="auto" w:fill="auto"/>
            <w:hideMark/>
          </w:tcPr>
          <w:p w:rsidR="00546A26" w:rsidRPr="00CA4713" w:rsidRDefault="005F209F" w:rsidP="005F209F">
            <w:pPr>
              <w:spacing w:after="0" w:line="240" w:lineRule="auto"/>
              <w:jc w:val="right"/>
              <w:rPr>
                <w:rFonts w:eastAsia="Times New Roman" w:cstheme="minorHAnsi"/>
                <w:color w:val="000000"/>
                <w:sz w:val="20"/>
                <w:lang w:eastAsia="en-NZ"/>
              </w:rPr>
            </w:pPr>
            <w:r>
              <w:rPr>
                <w:rFonts w:eastAsia="Times New Roman" w:cstheme="minorHAnsi"/>
                <w:color w:val="000000"/>
                <w:sz w:val="20"/>
                <w:lang w:eastAsia="en-NZ"/>
              </w:rPr>
              <w:t>Within 10%</w:t>
            </w:r>
          </w:p>
        </w:tc>
        <w:tc>
          <w:tcPr>
            <w:tcW w:w="4252" w:type="dxa"/>
            <w:tcBorders>
              <w:top w:val="nil"/>
            </w:tcBorders>
            <w:shd w:val="clear" w:color="auto" w:fill="auto"/>
            <w:hideMark/>
          </w:tcPr>
          <w:p w:rsidR="00546A26" w:rsidRPr="00CA4713" w:rsidRDefault="00546A26" w:rsidP="005F209F">
            <w:pPr>
              <w:spacing w:after="0" w:line="240" w:lineRule="auto"/>
              <w:rPr>
                <w:rFonts w:eastAsia="Times New Roman" w:cstheme="minorHAnsi"/>
                <w:color w:val="000000"/>
                <w:sz w:val="20"/>
                <w:lang w:eastAsia="en-NZ"/>
              </w:rPr>
            </w:pPr>
          </w:p>
        </w:tc>
      </w:tr>
      <w:tr w:rsidR="005F209F" w:rsidRPr="00CA4713" w:rsidTr="009C3D9F">
        <w:trPr>
          <w:trHeight w:val="525"/>
        </w:trPr>
        <w:tc>
          <w:tcPr>
            <w:tcW w:w="4387" w:type="dxa"/>
            <w:gridSpan w:val="2"/>
            <w:shd w:val="clear" w:color="auto" w:fill="auto"/>
            <w:hideMark/>
          </w:tcPr>
          <w:p w:rsidR="005F209F" w:rsidRPr="00CA4713" w:rsidRDefault="005F209F" w:rsidP="005F209F">
            <w:pPr>
              <w:spacing w:after="0" w:line="240" w:lineRule="auto"/>
              <w:rPr>
                <w:rFonts w:eastAsia="Times New Roman" w:cstheme="minorHAnsi"/>
                <w:color w:val="000000"/>
                <w:sz w:val="20"/>
                <w:lang w:eastAsia="en-NZ"/>
              </w:rPr>
            </w:pPr>
            <w:r w:rsidRPr="00CA4713">
              <w:rPr>
                <w:rFonts w:eastAsia="Times New Roman" w:cstheme="minorHAnsi"/>
                <w:color w:val="000000"/>
                <w:sz w:val="20"/>
                <w:lang w:eastAsia="en-NZ"/>
              </w:rPr>
              <w:t>User satisfaction (%) - recreation centres including ASB Sports Centre</w:t>
            </w:r>
          </w:p>
        </w:tc>
        <w:tc>
          <w:tcPr>
            <w:tcW w:w="1134" w:type="dxa"/>
            <w:gridSpan w:val="3"/>
            <w:shd w:val="clear" w:color="auto" w:fill="auto"/>
            <w:noWrap/>
            <w:hideMark/>
          </w:tcPr>
          <w:p w:rsidR="005F209F" w:rsidRPr="00CA4713" w:rsidRDefault="005F209F" w:rsidP="005F209F">
            <w:pPr>
              <w:spacing w:after="0" w:line="240" w:lineRule="auto"/>
              <w:jc w:val="right"/>
              <w:rPr>
                <w:rFonts w:eastAsia="Times New Roman" w:cstheme="minorHAnsi"/>
                <w:color w:val="000000"/>
                <w:sz w:val="20"/>
                <w:lang w:eastAsia="en-NZ"/>
              </w:rPr>
            </w:pPr>
            <w:r w:rsidRPr="00CA4713">
              <w:rPr>
                <w:rFonts w:eastAsia="Times New Roman" w:cstheme="minorHAnsi"/>
                <w:color w:val="000000"/>
                <w:sz w:val="20"/>
                <w:lang w:eastAsia="en-NZ"/>
              </w:rPr>
              <w:t>88%</w:t>
            </w:r>
          </w:p>
        </w:tc>
        <w:tc>
          <w:tcPr>
            <w:tcW w:w="1199" w:type="dxa"/>
            <w:gridSpan w:val="2"/>
            <w:shd w:val="clear" w:color="auto" w:fill="auto"/>
            <w:noWrap/>
            <w:hideMark/>
          </w:tcPr>
          <w:p w:rsidR="005F209F" w:rsidRPr="00CA4713" w:rsidRDefault="005F209F" w:rsidP="005F209F">
            <w:pPr>
              <w:spacing w:after="0" w:line="240" w:lineRule="auto"/>
              <w:jc w:val="right"/>
              <w:rPr>
                <w:rFonts w:eastAsia="Times New Roman" w:cstheme="minorHAnsi"/>
                <w:color w:val="000000"/>
                <w:sz w:val="20"/>
                <w:lang w:eastAsia="en-NZ"/>
              </w:rPr>
            </w:pPr>
            <w:r w:rsidRPr="00CA4713">
              <w:rPr>
                <w:rFonts w:eastAsia="Times New Roman" w:cstheme="minorHAnsi"/>
                <w:color w:val="000000"/>
                <w:sz w:val="20"/>
                <w:lang w:eastAsia="en-NZ"/>
              </w:rPr>
              <w:t>86%</w:t>
            </w:r>
          </w:p>
        </w:tc>
        <w:tc>
          <w:tcPr>
            <w:tcW w:w="1258" w:type="dxa"/>
            <w:gridSpan w:val="5"/>
            <w:shd w:val="clear" w:color="auto" w:fill="auto"/>
            <w:noWrap/>
            <w:hideMark/>
          </w:tcPr>
          <w:p w:rsidR="005F209F" w:rsidRPr="00CA4713" w:rsidRDefault="005F209F" w:rsidP="005F209F">
            <w:pPr>
              <w:spacing w:after="0" w:line="240" w:lineRule="auto"/>
              <w:jc w:val="right"/>
              <w:rPr>
                <w:rFonts w:eastAsia="Times New Roman" w:cstheme="minorHAnsi"/>
                <w:color w:val="000000"/>
                <w:sz w:val="20"/>
                <w:lang w:eastAsia="en-NZ"/>
              </w:rPr>
            </w:pPr>
            <w:r w:rsidRPr="00CA4713">
              <w:rPr>
                <w:rFonts w:eastAsia="Times New Roman" w:cstheme="minorHAnsi"/>
                <w:color w:val="000000"/>
                <w:sz w:val="20"/>
                <w:lang w:eastAsia="en-NZ"/>
              </w:rPr>
              <w:t>93%</w:t>
            </w:r>
          </w:p>
        </w:tc>
        <w:tc>
          <w:tcPr>
            <w:tcW w:w="1135" w:type="dxa"/>
            <w:gridSpan w:val="3"/>
            <w:shd w:val="clear" w:color="000000" w:fill="D9D9D9"/>
            <w:hideMark/>
          </w:tcPr>
          <w:p w:rsidR="005F209F" w:rsidRPr="00CA4713" w:rsidRDefault="005F209F" w:rsidP="005F209F">
            <w:pPr>
              <w:spacing w:after="0" w:line="240" w:lineRule="auto"/>
              <w:jc w:val="right"/>
              <w:rPr>
                <w:rFonts w:eastAsia="Times New Roman" w:cstheme="minorHAnsi"/>
                <w:color w:val="000000"/>
                <w:sz w:val="20"/>
                <w:lang w:eastAsia="en-NZ"/>
              </w:rPr>
            </w:pPr>
            <w:r w:rsidRPr="00CA4713">
              <w:rPr>
                <w:rFonts w:eastAsia="Times New Roman" w:cstheme="minorHAnsi"/>
                <w:color w:val="000000"/>
                <w:sz w:val="20"/>
                <w:lang w:eastAsia="en-NZ"/>
              </w:rPr>
              <w:t>90%</w:t>
            </w:r>
          </w:p>
        </w:tc>
        <w:tc>
          <w:tcPr>
            <w:tcW w:w="785" w:type="dxa"/>
            <w:gridSpan w:val="2"/>
            <w:shd w:val="clear" w:color="auto" w:fill="auto"/>
            <w:hideMark/>
          </w:tcPr>
          <w:p w:rsidR="005F209F" w:rsidRPr="00CA4713" w:rsidRDefault="005F209F" w:rsidP="005F209F">
            <w:pPr>
              <w:spacing w:after="0" w:line="240" w:lineRule="auto"/>
              <w:jc w:val="right"/>
              <w:rPr>
                <w:rFonts w:eastAsia="Times New Roman" w:cstheme="minorHAnsi"/>
                <w:color w:val="000000"/>
                <w:sz w:val="20"/>
                <w:lang w:eastAsia="en-NZ"/>
              </w:rPr>
            </w:pPr>
            <w:r w:rsidRPr="00CA4713">
              <w:rPr>
                <w:rFonts w:eastAsia="Times New Roman" w:cstheme="minorHAnsi"/>
                <w:color w:val="000000"/>
                <w:sz w:val="20"/>
                <w:lang w:eastAsia="en-NZ"/>
              </w:rPr>
              <w:t>3%</w:t>
            </w:r>
          </w:p>
        </w:tc>
        <w:tc>
          <w:tcPr>
            <w:tcW w:w="1301" w:type="dxa"/>
            <w:gridSpan w:val="3"/>
            <w:shd w:val="clear" w:color="auto" w:fill="auto"/>
            <w:hideMark/>
          </w:tcPr>
          <w:p w:rsidR="005F209F" w:rsidRDefault="005F209F" w:rsidP="005F209F">
            <w:pPr>
              <w:spacing w:after="0" w:line="240" w:lineRule="auto"/>
              <w:jc w:val="right"/>
            </w:pPr>
            <w:r w:rsidRPr="009043AC">
              <w:rPr>
                <w:rFonts w:eastAsia="Times New Roman" w:cstheme="minorHAnsi"/>
                <w:color w:val="000000"/>
                <w:sz w:val="20"/>
                <w:lang w:eastAsia="en-NZ"/>
              </w:rPr>
              <w:t>Within 10%</w:t>
            </w:r>
          </w:p>
        </w:tc>
        <w:tc>
          <w:tcPr>
            <w:tcW w:w="4252" w:type="dxa"/>
            <w:shd w:val="clear" w:color="auto" w:fill="auto"/>
            <w:hideMark/>
          </w:tcPr>
          <w:p w:rsidR="005F209F" w:rsidRPr="00CA4713" w:rsidRDefault="005F209F" w:rsidP="005F209F">
            <w:pPr>
              <w:spacing w:after="0" w:line="240" w:lineRule="auto"/>
              <w:rPr>
                <w:rFonts w:eastAsia="Times New Roman" w:cstheme="minorHAnsi"/>
                <w:color w:val="000000"/>
                <w:sz w:val="20"/>
                <w:lang w:eastAsia="en-NZ"/>
              </w:rPr>
            </w:pPr>
            <w:r w:rsidRPr="00546A26">
              <w:rPr>
                <w:rFonts w:eastAsia="Times New Roman" w:cstheme="minorHAnsi"/>
                <w:sz w:val="20"/>
                <w:szCs w:val="20"/>
                <w:lang w:eastAsia="en-NZ"/>
              </w:rPr>
              <w:t>See supplementary tables</w:t>
            </w:r>
          </w:p>
        </w:tc>
      </w:tr>
      <w:tr w:rsidR="005F209F" w:rsidRPr="00CA4713" w:rsidTr="009C3D9F">
        <w:trPr>
          <w:trHeight w:val="270"/>
        </w:trPr>
        <w:tc>
          <w:tcPr>
            <w:tcW w:w="4387" w:type="dxa"/>
            <w:gridSpan w:val="2"/>
            <w:shd w:val="clear" w:color="auto" w:fill="auto"/>
            <w:hideMark/>
          </w:tcPr>
          <w:p w:rsidR="005F209F" w:rsidRPr="00CA4713" w:rsidRDefault="005F209F" w:rsidP="005F209F">
            <w:pPr>
              <w:spacing w:after="0" w:line="240" w:lineRule="auto"/>
              <w:rPr>
                <w:rFonts w:eastAsia="Times New Roman" w:cstheme="minorHAnsi"/>
                <w:color w:val="000000"/>
                <w:sz w:val="20"/>
                <w:lang w:eastAsia="en-NZ"/>
              </w:rPr>
            </w:pPr>
            <w:r w:rsidRPr="00CA4713">
              <w:rPr>
                <w:rFonts w:eastAsia="Times New Roman" w:cstheme="minorHAnsi"/>
                <w:color w:val="000000"/>
                <w:sz w:val="20"/>
                <w:lang w:eastAsia="en-NZ"/>
              </w:rPr>
              <w:t>User satisfaction (%) - sportsfields (grass)</w:t>
            </w:r>
          </w:p>
        </w:tc>
        <w:tc>
          <w:tcPr>
            <w:tcW w:w="1134" w:type="dxa"/>
            <w:gridSpan w:val="3"/>
            <w:shd w:val="clear" w:color="auto" w:fill="auto"/>
            <w:noWrap/>
            <w:hideMark/>
          </w:tcPr>
          <w:p w:rsidR="005F209F" w:rsidRPr="00CA4713" w:rsidRDefault="005F209F" w:rsidP="005F209F">
            <w:pPr>
              <w:spacing w:after="0" w:line="240" w:lineRule="auto"/>
              <w:jc w:val="right"/>
              <w:rPr>
                <w:rFonts w:eastAsia="Times New Roman" w:cstheme="minorHAnsi"/>
                <w:color w:val="000000"/>
                <w:sz w:val="20"/>
                <w:lang w:eastAsia="en-NZ"/>
              </w:rPr>
            </w:pPr>
            <w:r w:rsidRPr="00CA4713">
              <w:rPr>
                <w:rFonts w:eastAsia="Times New Roman" w:cstheme="minorHAnsi"/>
                <w:color w:val="000000"/>
                <w:sz w:val="20"/>
                <w:lang w:eastAsia="en-NZ"/>
              </w:rPr>
              <w:t>72%</w:t>
            </w:r>
          </w:p>
        </w:tc>
        <w:tc>
          <w:tcPr>
            <w:tcW w:w="1199" w:type="dxa"/>
            <w:gridSpan w:val="2"/>
            <w:shd w:val="clear" w:color="auto" w:fill="auto"/>
            <w:noWrap/>
            <w:hideMark/>
          </w:tcPr>
          <w:p w:rsidR="005F209F" w:rsidRPr="00CA4713" w:rsidRDefault="005F209F" w:rsidP="005F209F">
            <w:pPr>
              <w:spacing w:after="0" w:line="240" w:lineRule="auto"/>
              <w:jc w:val="right"/>
              <w:rPr>
                <w:rFonts w:eastAsia="Times New Roman" w:cstheme="minorHAnsi"/>
                <w:color w:val="000000"/>
                <w:sz w:val="20"/>
                <w:lang w:eastAsia="en-NZ"/>
              </w:rPr>
            </w:pPr>
            <w:r w:rsidRPr="00CA4713">
              <w:rPr>
                <w:rFonts w:eastAsia="Times New Roman" w:cstheme="minorHAnsi"/>
                <w:color w:val="000000"/>
                <w:sz w:val="20"/>
                <w:lang w:eastAsia="en-NZ"/>
              </w:rPr>
              <w:t>73%</w:t>
            </w:r>
          </w:p>
        </w:tc>
        <w:tc>
          <w:tcPr>
            <w:tcW w:w="1258" w:type="dxa"/>
            <w:gridSpan w:val="5"/>
            <w:shd w:val="clear" w:color="auto" w:fill="auto"/>
            <w:noWrap/>
            <w:hideMark/>
          </w:tcPr>
          <w:p w:rsidR="005F209F" w:rsidRPr="00CA4713" w:rsidRDefault="005F209F" w:rsidP="005F209F">
            <w:pPr>
              <w:spacing w:after="0" w:line="240" w:lineRule="auto"/>
              <w:jc w:val="right"/>
              <w:rPr>
                <w:rFonts w:eastAsia="Times New Roman" w:cstheme="minorHAnsi"/>
                <w:color w:val="000000"/>
                <w:sz w:val="20"/>
                <w:lang w:eastAsia="en-NZ"/>
              </w:rPr>
            </w:pPr>
            <w:r w:rsidRPr="00CA4713">
              <w:rPr>
                <w:rFonts w:eastAsia="Times New Roman" w:cstheme="minorHAnsi"/>
                <w:color w:val="000000"/>
                <w:sz w:val="20"/>
                <w:lang w:eastAsia="en-NZ"/>
              </w:rPr>
              <w:t>84%</w:t>
            </w:r>
          </w:p>
        </w:tc>
        <w:tc>
          <w:tcPr>
            <w:tcW w:w="1135" w:type="dxa"/>
            <w:gridSpan w:val="3"/>
            <w:shd w:val="clear" w:color="000000" w:fill="D9D9D9"/>
            <w:hideMark/>
          </w:tcPr>
          <w:p w:rsidR="005F209F" w:rsidRPr="00CA4713" w:rsidRDefault="005F209F" w:rsidP="005F209F">
            <w:pPr>
              <w:spacing w:after="0" w:line="240" w:lineRule="auto"/>
              <w:jc w:val="right"/>
              <w:rPr>
                <w:rFonts w:eastAsia="Times New Roman" w:cstheme="minorHAnsi"/>
                <w:color w:val="000000"/>
                <w:sz w:val="20"/>
                <w:lang w:eastAsia="en-NZ"/>
              </w:rPr>
            </w:pPr>
            <w:r w:rsidRPr="00CA4713">
              <w:rPr>
                <w:rFonts w:eastAsia="Times New Roman" w:cstheme="minorHAnsi"/>
                <w:color w:val="000000"/>
                <w:sz w:val="20"/>
                <w:lang w:eastAsia="en-NZ"/>
              </w:rPr>
              <w:t>85%</w:t>
            </w:r>
          </w:p>
        </w:tc>
        <w:tc>
          <w:tcPr>
            <w:tcW w:w="785" w:type="dxa"/>
            <w:gridSpan w:val="2"/>
            <w:shd w:val="clear" w:color="auto" w:fill="auto"/>
            <w:hideMark/>
          </w:tcPr>
          <w:p w:rsidR="005F209F" w:rsidRPr="00CA4713" w:rsidRDefault="005F209F" w:rsidP="005F209F">
            <w:pPr>
              <w:spacing w:after="0" w:line="240" w:lineRule="auto"/>
              <w:jc w:val="right"/>
              <w:rPr>
                <w:rFonts w:eastAsia="Times New Roman" w:cstheme="minorHAnsi"/>
                <w:color w:val="000000"/>
                <w:sz w:val="20"/>
                <w:lang w:eastAsia="en-NZ"/>
              </w:rPr>
            </w:pPr>
            <w:r w:rsidRPr="00CA4713">
              <w:rPr>
                <w:rFonts w:eastAsia="Times New Roman" w:cstheme="minorHAnsi"/>
                <w:color w:val="000000"/>
                <w:sz w:val="20"/>
                <w:lang w:eastAsia="en-NZ"/>
              </w:rPr>
              <w:t>-1%</w:t>
            </w:r>
          </w:p>
        </w:tc>
        <w:tc>
          <w:tcPr>
            <w:tcW w:w="1301" w:type="dxa"/>
            <w:gridSpan w:val="3"/>
            <w:shd w:val="clear" w:color="auto" w:fill="auto"/>
            <w:hideMark/>
          </w:tcPr>
          <w:p w:rsidR="005F209F" w:rsidRDefault="005F209F" w:rsidP="005F209F">
            <w:pPr>
              <w:spacing w:after="0" w:line="240" w:lineRule="auto"/>
              <w:jc w:val="right"/>
            </w:pPr>
            <w:r w:rsidRPr="009043AC">
              <w:rPr>
                <w:rFonts w:eastAsia="Times New Roman" w:cstheme="minorHAnsi"/>
                <w:color w:val="000000"/>
                <w:sz w:val="20"/>
                <w:lang w:eastAsia="en-NZ"/>
              </w:rPr>
              <w:t>Within 10%</w:t>
            </w:r>
          </w:p>
        </w:tc>
        <w:tc>
          <w:tcPr>
            <w:tcW w:w="4252" w:type="dxa"/>
            <w:shd w:val="clear" w:color="auto" w:fill="auto"/>
            <w:hideMark/>
          </w:tcPr>
          <w:p w:rsidR="005F209F" w:rsidRPr="00CA4713" w:rsidRDefault="005F209F" w:rsidP="005F209F">
            <w:pPr>
              <w:spacing w:after="0" w:line="240" w:lineRule="auto"/>
              <w:rPr>
                <w:rFonts w:eastAsia="Times New Roman" w:cstheme="minorHAnsi"/>
                <w:color w:val="000000"/>
                <w:sz w:val="20"/>
                <w:lang w:eastAsia="en-NZ"/>
              </w:rPr>
            </w:pPr>
          </w:p>
        </w:tc>
      </w:tr>
      <w:tr w:rsidR="005F209F" w:rsidRPr="00CA4713" w:rsidTr="009C3D9F">
        <w:trPr>
          <w:trHeight w:val="253"/>
        </w:trPr>
        <w:tc>
          <w:tcPr>
            <w:tcW w:w="4387" w:type="dxa"/>
            <w:gridSpan w:val="2"/>
            <w:shd w:val="clear" w:color="auto" w:fill="auto"/>
            <w:hideMark/>
          </w:tcPr>
          <w:p w:rsidR="005F209F" w:rsidRPr="00CA4713" w:rsidRDefault="005F209F" w:rsidP="005F209F">
            <w:pPr>
              <w:spacing w:after="0" w:line="240" w:lineRule="auto"/>
              <w:rPr>
                <w:rFonts w:eastAsia="Times New Roman" w:cstheme="minorHAnsi"/>
                <w:color w:val="000000"/>
                <w:sz w:val="20"/>
                <w:lang w:eastAsia="en-NZ"/>
              </w:rPr>
            </w:pPr>
            <w:r w:rsidRPr="00CA4713">
              <w:rPr>
                <w:rFonts w:eastAsia="Times New Roman" w:cstheme="minorHAnsi"/>
                <w:color w:val="000000"/>
                <w:sz w:val="20"/>
                <w:lang w:eastAsia="en-NZ"/>
              </w:rPr>
              <w:t>User satisfaction (%) - sportsfields (artificial)</w:t>
            </w:r>
          </w:p>
        </w:tc>
        <w:tc>
          <w:tcPr>
            <w:tcW w:w="1134" w:type="dxa"/>
            <w:gridSpan w:val="3"/>
            <w:shd w:val="clear" w:color="auto" w:fill="auto"/>
            <w:noWrap/>
            <w:hideMark/>
          </w:tcPr>
          <w:p w:rsidR="005F209F" w:rsidRPr="00CA4713" w:rsidRDefault="005F209F" w:rsidP="005F209F">
            <w:pPr>
              <w:spacing w:after="0" w:line="240" w:lineRule="auto"/>
              <w:jc w:val="right"/>
              <w:rPr>
                <w:rFonts w:eastAsia="Times New Roman" w:cstheme="minorHAnsi"/>
                <w:color w:val="000000"/>
                <w:sz w:val="20"/>
                <w:lang w:eastAsia="en-NZ"/>
              </w:rPr>
            </w:pPr>
            <w:r w:rsidRPr="00CA4713">
              <w:rPr>
                <w:rFonts w:eastAsia="Times New Roman" w:cstheme="minorHAnsi"/>
                <w:color w:val="000000"/>
                <w:sz w:val="20"/>
                <w:lang w:eastAsia="en-NZ"/>
              </w:rPr>
              <w:t>78%</w:t>
            </w:r>
          </w:p>
        </w:tc>
        <w:tc>
          <w:tcPr>
            <w:tcW w:w="1199" w:type="dxa"/>
            <w:gridSpan w:val="2"/>
            <w:shd w:val="clear" w:color="auto" w:fill="auto"/>
            <w:noWrap/>
            <w:hideMark/>
          </w:tcPr>
          <w:p w:rsidR="005F209F" w:rsidRPr="00CA4713" w:rsidRDefault="005F209F" w:rsidP="005F209F">
            <w:pPr>
              <w:spacing w:after="0" w:line="240" w:lineRule="auto"/>
              <w:jc w:val="right"/>
              <w:rPr>
                <w:rFonts w:eastAsia="Times New Roman" w:cstheme="minorHAnsi"/>
                <w:color w:val="000000"/>
                <w:sz w:val="20"/>
                <w:lang w:eastAsia="en-NZ"/>
              </w:rPr>
            </w:pPr>
            <w:r w:rsidRPr="00CA4713">
              <w:rPr>
                <w:rFonts w:eastAsia="Times New Roman" w:cstheme="minorHAnsi"/>
                <w:color w:val="000000"/>
                <w:sz w:val="20"/>
                <w:lang w:eastAsia="en-NZ"/>
              </w:rPr>
              <w:t>81%</w:t>
            </w:r>
          </w:p>
        </w:tc>
        <w:tc>
          <w:tcPr>
            <w:tcW w:w="1258" w:type="dxa"/>
            <w:gridSpan w:val="5"/>
            <w:shd w:val="clear" w:color="auto" w:fill="auto"/>
            <w:noWrap/>
            <w:hideMark/>
          </w:tcPr>
          <w:p w:rsidR="005F209F" w:rsidRPr="00CA4713" w:rsidRDefault="005F209F" w:rsidP="005F209F">
            <w:pPr>
              <w:spacing w:after="0" w:line="240" w:lineRule="auto"/>
              <w:jc w:val="right"/>
              <w:rPr>
                <w:rFonts w:eastAsia="Times New Roman" w:cstheme="minorHAnsi"/>
                <w:color w:val="000000"/>
                <w:sz w:val="20"/>
                <w:lang w:eastAsia="en-NZ"/>
              </w:rPr>
            </w:pPr>
            <w:r w:rsidRPr="00CA4713">
              <w:rPr>
                <w:rFonts w:eastAsia="Times New Roman" w:cstheme="minorHAnsi"/>
                <w:color w:val="000000"/>
                <w:sz w:val="20"/>
                <w:lang w:eastAsia="en-NZ"/>
              </w:rPr>
              <w:t>91%</w:t>
            </w:r>
          </w:p>
        </w:tc>
        <w:tc>
          <w:tcPr>
            <w:tcW w:w="1135" w:type="dxa"/>
            <w:gridSpan w:val="3"/>
            <w:shd w:val="clear" w:color="000000" w:fill="D9D9D9"/>
            <w:hideMark/>
          </w:tcPr>
          <w:p w:rsidR="005F209F" w:rsidRPr="00CA4713" w:rsidRDefault="005F209F" w:rsidP="005F209F">
            <w:pPr>
              <w:spacing w:after="0" w:line="240" w:lineRule="auto"/>
              <w:jc w:val="right"/>
              <w:rPr>
                <w:rFonts w:eastAsia="Times New Roman" w:cstheme="minorHAnsi"/>
                <w:color w:val="000000"/>
                <w:sz w:val="20"/>
                <w:lang w:eastAsia="en-NZ"/>
              </w:rPr>
            </w:pPr>
            <w:r w:rsidRPr="00CA4713">
              <w:rPr>
                <w:rFonts w:eastAsia="Times New Roman" w:cstheme="minorHAnsi"/>
                <w:color w:val="000000"/>
                <w:sz w:val="20"/>
                <w:lang w:eastAsia="en-NZ"/>
              </w:rPr>
              <w:t>85%</w:t>
            </w:r>
          </w:p>
        </w:tc>
        <w:tc>
          <w:tcPr>
            <w:tcW w:w="785" w:type="dxa"/>
            <w:gridSpan w:val="2"/>
            <w:shd w:val="clear" w:color="auto" w:fill="auto"/>
            <w:hideMark/>
          </w:tcPr>
          <w:p w:rsidR="005F209F" w:rsidRPr="00CA4713" w:rsidRDefault="005F209F" w:rsidP="005F209F">
            <w:pPr>
              <w:spacing w:after="0" w:line="240" w:lineRule="auto"/>
              <w:jc w:val="right"/>
              <w:rPr>
                <w:rFonts w:eastAsia="Times New Roman" w:cstheme="minorHAnsi"/>
                <w:color w:val="000000"/>
                <w:sz w:val="20"/>
                <w:lang w:eastAsia="en-NZ"/>
              </w:rPr>
            </w:pPr>
            <w:r w:rsidRPr="00CA4713">
              <w:rPr>
                <w:rFonts w:eastAsia="Times New Roman" w:cstheme="minorHAnsi"/>
                <w:color w:val="000000"/>
                <w:sz w:val="20"/>
                <w:lang w:eastAsia="en-NZ"/>
              </w:rPr>
              <w:t>7%</w:t>
            </w:r>
          </w:p>
        </w:tc>
        <w:tc>
          <w:tcPr>
            <w:tcW w:w="1301" w:type="dxa"/>
            <w:gridSpan w:val="3"/>
            <w:shd w:val="clear" w:color="auto" w:fill="auto"/>
            <w:hideMark/>
          </w:tcPr>
          <w:p w:rsidR="005F209F" w:rsidRDefault="005F209F" w:rsidP="005F209F">
            <w:pPr>
              <w:spacing w:after="0" w:line="240" w:lineRule="auto"/>
              <w:jc w:val="right"/>
            </w:pPr>
            <w:r w:rsidRPr="009043AC">
              <w:rPr>
                <w:rFonts w:eastAsia="Times New Roman" w:cstheme="minorHAnsi"/>
                <w:color w:val="000000"/>
                <w:sz w:val="20"/>
                <w:lang w:eastAsia="en-NZ"/>
              </w:rPr>
              <w:t>Within 10%</w:t>
            </w:r>
          </w:p>
        </w:tc>
        <w:tc>
          <w:tcPr>
            <w:tcW w:w="4252" w:type="dxa"/>
            <w:shd w:val="clear" w:color="auto" w:fill="auto"/>
            <w:hideMark/>
          </w:tcPr>
          <w:p w:rsidR="005F209F" w:rsidRPr="00CA4713" w:rsidRDefault="005F209F" w:rsidP="005F209F">
            <w:pPr>
              <w:spacing w:after="0" w:line="240" w:lineRule="auto"/>
              <w:rPr>
                <w:rFonts w:eastAsia="Times New Roman" w:cstheme="minorHAnsi"/>
                <w:color w:val="000000"/>
                <w:sz w:val="20"/>
                <w:lang w:eastAsia="en-NZ"/>
              </w:rPr>
            </w:pPr>
          </w:p>
        </w:tc>
      </w:tr>
      <w:tr w:rsidR="005F209F" w:rsidRPr="00CA4713" w:rsidTr="009C3D9F">
        <w:trPr>
          <w:trHeight w:val="270"/>
        </w:trPr>
        <w:tc>
          <w:tcPr>
            <w:tcW w:w="4387" w:type="dxa"/>
            <w:gridSpan w:val="2"/>
            <w:shd w:val="clear" w:color="auto" w:fill="auto"/>
            <w:hideMark/>
          </w:tcPr>
          <w:p w:rsidR="005F209F" w:rsidRPr="00CA4713" w:rsidRDefault="005F209F" w:rsidP="005F209F">
            <w:pPr>
              <w:spacing w:after="0" w:line="240" w:lineRule="auto"/>
              <w:rPr>
                <w:rFonts w:eastAsia="Times New Roman" w:cstheme="minorHAnsi"/>
                <w:color w:val="000000"/>
                <w:sz w:val="20"/>
                <w:lang w:eastAsia="en-NZ"/>
              </w:rPr>
            </w:pPr>
            <w:r w:rsidRPr="00CA4713">
              <w:rPr>
                <w:rFonts w:eastAsia="Times New Roman" w:cstheme="minorHAnsi"/>
                <w:color w:val="000000"/>
                <w:sz w:val="20"/>
                <w:lang w:eastAsia="en-NZ"/>
              </w:rPr>
              <w:t>Scheduled sports games and trainings (%) that take place (all sportsfields winter)</w:t>
            </w:r>
          </w:p>
        </w:tc>
        <w:tc>
          <w:tcPr>
            <w:tcW w:w="1134" w:type="dxa"/>
            <w:gridSpan w:val="3"/>
            <w:shd w:val="clear" w:color="auto" w:fill="auto"/>
            <w:noWrap/>
            <w:hideMark/>
          </w:tcPr>
          <w:p w:rsidR="005F209F" w:rsidRPr="00CA4713" w:rsidRDefault="005F209F" w:rsidP="005F209F">
            <w:pPr>
              <w:spacing w:after="0" w:line="240" w:lineRule="auto"/>
              <w:jc w:val="right"/>
              <w:rPr>
                <w:rFonts w:eastAsia="Times New Roman" w:cstheme="minorHAnsi"/>
                <w:color w:val="000000"/>
                <w:sz w:val="20"/>
                <w:lang w:eastAsia="en-NZ"/>
              </w:rPr>
            </w:pPr>
            <w:r w:rsidRPr="00CA4713">
              <w:rPr>
                <w:rFonts w:eastAsia="Times New Roman" w:cstheme="minorHAnsi"/>
                <w:color w:val="000000"/>
                <w:sz w:val="20"/>
                <w:lang w:eastAsia="en-NZ"/>
              </w:rPr>
              <w:t>84%</w:t>
            </w:r>
          </w:p>
        </w:tc>
        <w:tc>
          <w:tcPr>
            <w:tcW w:w="1199" w:type="dxa"/>
            <w:gridSpan w:val="2"/>
            <w:shd w:val="clear" w:color="auto" w:fill="auto"/>
            <w:noWrap/>
            <w:hideMark/>
          </w:tcPr>
          <w:p w:rsidR="005F209F" w:rsidRPr="00CA4713" w:rsidRDefault="005F209F" w:rsidP="005F209F">
            <w:pPr>
              <w:spacing w:after="0" w:line="240" w:lineRule="auto"/>
              <w:jc w:val="right"/>
              <w:rPr>
                <w:rFonts w:eastAsia="Times New Roman" w:cstheme="minorHAnsi"/>
                <w:color w:val="000000"/>
                <w:sz w:val="20"/>
                <w:lang w:eastAsia="en-NZ"/>
              </w:rPr>
            </w:pPr>
            <w:r w:rsidRPr="00CA4713">
              <w:rPr>
                <w:rFonts w:eastAsia="Times New Roman" w:cstheme="minorHAnsi"/>
                <w:color w:val="000000"/>
                <w:sz w:val="20"/>
                <w:lang w:eastAsia="en-NZ"/>
              </w:rPr>
              <w:t>71%</w:t>
            </w:r>
          </w:p>
        </w:tc>
        <w:tc>
          <w:tcPr>
            <w:tcW w:w="1258" w:type="dxa"/>
            <w:gridSpan w:val="5"/>
            <w:shd w:val="clear" w:color="auto" w:fill="auto"/>
            <w:noWrap/>
            <w:hideMark/>
          </w:tcPr>
          <w:p w:rsidR="005F209F" w:rsidRPr="00CA4713" w:rsidRDefault="005F209F" w:rsidP="005F209F">
            <w:pPr>
              <w:spacing w:after="0" w:line="240" w:lineRule="auto"/>
              <w:jc w:val="right"/>
              <w:rPr>
                <w:rFonts w:eastAsia="Times New Roman" w:cstheme="minorHAnsi"/>
                <w:color w:val="000000"/>
                <w:sz w:val="20"/>
                <w:lang w:eastAsia="en-NZ"/>
              </w:rPr>
            </w:pPr>
            <w:r w:rsidRPr="00CA4713">
              <w:rPr>
                <w:rFonts w:eastAsia="Times New Roman" w:cstheme="minorHAnsi"/>
                <w:color w:val="000000"/>
                <w:sz w:val="20"/>
                <w:lang w:eastAsia="en-NZ"/>
              </w:rPr>
              <w:t>87%</w:t>
            </w:r>
          </w:p>
        </w:tc>
        <w:tc>
          <w:tcPr>
            <w:tcW w:w="1135" w:type="dxa"/>
            <w:gridSpan w:val="3"/>
            <w:shd w:val="clear" w:color="000000" w:fill="D9D9D9"/>
            <w:hideMark/>
          </w:tcPr>
          <w:p w:rsidR="005F209F" w:rsidRPr="00CA4713" w:rsidRDefault="005F209F" w:rsidP="005F209F">
            <w:pPr>
              <w:spacing w:after="0" w:line="240" w:lineRule="auto"/>
              <w:jc w:val="right"/>
              <w:rPr>
                <w:rFonts w:eastAsia="Times New Roman" w:cstheme="minorHAnsi"/>
                <w:color w:val="000000"/>
                <w:sz w:val="20"/>
                <w:lang w:eastAsia="en-NZ"/>
              </w:rPr>
            </w:pPr>
            <w:r w:rsidRPr="00CA4713">
              <w:rPr>
                <w:rFonts w:eastAsia="Times New Roman" w:cstheme="minorHAnsi"/>
                <w:color w:val="000000"/>
                <w:sz w:val="20"/>
                <w:lang w:eastAsia="en-NZ"/>
              </w:rPr>
              <w:t>Baseline</w:t>
            </w:r>
          </w:p>
        </w:tc>
        <w:tc>
          <w:tcPr>
            <w:tcW w:w="785" w:type="dxa"/>
            <w:gridSpan w:val="2"/>
            <w:shd w:val="clear" w:color="auto" w:fill="auto"/>
            <w:hideMark/>
          </w:tcPr>
          <w:p w:rsidR="005F209F" w:rsidRPr="00CA4713" w:rsidRDefault="005F209F" w:rsidP="005F209F">
            <w:pPr>
              <w:spacing w:after="0" w:line="240" w:lineRule="auto"/>
              <w:jc w:val="right"/>
              <w:rPr>
                <w:rFonts w:eastAsia="Times New Roman" w:cstheme="minorHAnsi"/>
                <w:color w:val="000000"/>
                <w:sz w:val="20"/>
                <w:lang w:eastAsia="en-NZ"/>
              </w:rPr>
            </w:pPr>
          </w:p>
        </w:tc>
        <w:tc>
          <w:tcPr>
            <w:tcW w:w="1301" w:type="dxa"/>
            <w:gridSpan w:val="3"/>
            <w:shd w:val="clear" w:color="auto" w:fill="auto"/>
            <w:hideMark/>
          </w:tcPr>
          <w:p w:rsidR="005F209F" w:rsidRDefault="005F209F" w:rsidP="005F209F">
            <w:pPr>
              <w:spacing w:after="0" w:line="240" w:lineRule="auto"/>
              <w:jc w:val="right"/>
            </w:pPr>
            <w:r w:rsidRPr="009043AC">
              <w:rPr>
                <w:rFonts w:eastAsia="Times New Roman" w:cstheme="minorHAnsi"/>
                <w:color w:val="000000"/>
                <w:sz w:val="20"/>
                <w:lang w:eastAsia="en-NZ"/>
              </w:rPr>
              <w:t>Within 10%</w:t>
            </w:r>
          </w:p>
        </w:tc>
        <w:tc>
          <w:tcPr>
            <w:tcW w:w="4252" w:type="dxa"/>
            <w:shd w:val="clear" w:color="auto" w:fill="auto"/>
          </w:tcPr>
          <w:p w:rsidR="005F209F" w:rsidRPr="00CA4713" w:rsidRDefault="005F209F" w:rsidP="005F209F">
            <w:pPr>
              <w:spacing w:after="0" w:line="240" w:lineRule="auto"/>
              <w:jc w:val="right"/>
              <w:rPr>
                <w:rFonts w:eastAsia="Times New Roman" w:cstheme="minorHAnsi"/>
                <w:color w:val="000000"/>
                <w:sz w:val="20"/>
                <w:lang w:eastAsia="en-NZ"/>
              </w:rPr>
            </w:pPr>
          </w:p>
        </w:tc>
      </w:tr>
      <w:tr w:rsidR="005F209F" w:rsidRPr="00CA4713" w:rsidTr="009C3D9F">
        <w:trPr>
          <w:trHeight w:val="270"/>
        </w:trPr>
        <w:tc>
          <w:tcPr>
            <w:tcW w:w="4387" w:type="dxa"/>
            <w:gridSpan w:val="2"/>
            <w:tcBorders>
              <w:bottom w:val="nil"/>
            </w:tcBorders>
            <w:shd w:val="clear" w:color="auto" w:fill="auto"/>
            <w:hideMark/>
          </w:tcPr>
          <w:p w:rsidR="005F209F" w:rsidRPr="00CA4713" w:rsidRDefault="005F209F" w:rsidP="005F209F">
            <w:pPr>
              <w:spacing w:after="0" w:line="240" w:lineRule="auto"/>
              <w:rPr>
                <w:rFonts w:eastAsia="Times New Roman" w:cstheme="minorHAnsi"/>
                <w:color w:val="000000"/>
                <w:sz w:val="20"/>
                <w:lang w:eastAsia="en-NZ"/>
              </w:rPr>
            </w:pPr>
            <w:r w:rsidRPr="00CA4713">
              <w:rPr>
                <w:rFonts w:eastAsia="Times New Roman" w:cstheme="minorHAnsi"/>
                <w:color w:val="000000"/>
                <w:sz w:val="20"/>
                <w:lang w:eastAsia="en-NZ"/>
              </w:rPr>
              <w:t>Scheduled sports games and trainings (%) that take place (all sportsfields summer)</w:t>
            </w:r>
          </w:p>
        </w:tc>
        <w:tc>
          <w:tcPr>
            <w:tcW w:w="1134" w:type="dxa"/>
            <w:gridSpan w:val="3"/>
            <w:tcBorders>
              <w:bottom w:val="nil"/>
            </w:tcBorders>
            <w:shd w:val="clear" w:color="auto" w:fill="auto"/>
            <w:noWrap/>
            <w:hideMark/>
          </w:tcPr>
          <w:p w:rsidR="005F209F" w:rsidRPr="00CA4713" w:rsidRDefault="005F209F" w:rsidP="005F209F">
            <w:pPr>
              <w:spacing w:after="0" w:line="240" w:lineRule="auto"/>
              <w:jc w:val="right"/>
              <w:rPr>
                <w:rFonts w:eastAsia="Times New Roman" w:cstheme="minorHAnsi"/>
                <w:color w:val="000000"/>
                <w:sz w:val="20"/>
                <w:lang w:eastAsia="en-NZ"/>
              </w:rPr>
            </w:pPr>
            <w:r w:rsidRPr="00CA4713">
              <w:rPr>
                <w:rFonts w:eastAsia="Times New Roman" w:cstheme="minorHAnsi"/>
                <w:color w:val="000000"/>
                <w:sz w:val="20"/>
                <w:lang w:eastAsia="en-NZ"/>
              </w:rPr>
              <w:t>92%</w:t>
            </w:r>
          </w:p>
        </w:tc>
        <w:tc>
          <w:tcPr>
            <w:tcW w:w="1199" w:type="dxa"/>
            <w:gridSpan w:val="2"/>
            <w:tcBorders>
              <w:bottom w:val="nil"/>
            </w:tcBorders>
            <w:shd w:val="clear" w:color="auto" w:fill="auto"/>
            <w:noWrap/>
            <w:hideMark/>
          </w:tcPr>
          <w:p w:rsidR="005F209F" w:rsidRPr="00CA4713" w:rsidRDefault="005F209F" w:rsidP="005F209F">
            <w:pPr>
              <w:spacing w:after="0" w:line="240" w:lineRule="auto"/>
              <w:jc w:val="right"/>
              <w:rPr>
                <w:rFonts w:eastAsia="Times New Roman" w:cstheme="minorHAnsi"/>
                <w:color w:val="000000"/>
                <w:sz w:val="20"/>
                <w:lang w:eastAsia="en-NZ"/>
              </w:rPr>
            </w:pPr>
            <w:r w:rsidRPr="00CA4713">
              <w:rPr>
                <w:rFonts w:eastAsia="Times New Roman" w:cstheme="minorHAnsi"/>
                <w:color w:val="000000"/>
                <w:sz w:val="20"/>
                <w:lang w:eastAsia="en-NZ"/>
              </w:rPr>
              <w:t>97%</w:t>
            </w:r>
          </w:p>
        </w:tc>
        <w:tc>
          <w:tcPr>
            <w:tcW w:w="1258" w:type="dxa"/>
            <w:gridSpan w:val="5"/>
            <w:tcBorders>
              <w:bottom w:val="nil"/>
            </w:tcBorders>
            <w:shd w:val="clear" w:color="auto" w:fill="auto"/>
            <w:noWrap/>
            <w:hideMark/>
          </w:tcPr>
          <w:p w:rsidR="005F209F" w:rsidRPr="00CA4713" w:rsidRDefault="005F209F" w:rsidP="005F209F">
            <w:pPr>
              <w:spacing w:after="0" w:line="240" w:lineRule="auto"/>
              <w:jc w:val="right"/>
              <w:rPr>
                <w:rFonts w:eastAsia="Times New Roman" w:cstheme="minorHAnsi"/>
                <w:color w:val="000000"/>
                <w:sz w:val="20"/>
                <w:lang w:eastAsia="en-NZ"/>
              </w:rPr>
            </w:pPr>
            <w:r w:rsidRPr="00CA4713">
              <w:rPr>
                <w:rFonts w:eastAsia="Times New Roman" w:cstheme="minorHAnsi"/>
                <w:color w:val="000000"/>
                <w:sz w:val="20"/>
                <w:lang w:eastAsia="en-NZ"/>
              </w:rPr>
              <w:t>98%</w:t>
            </w:r>
          </w:p>
        </w:tc>
        <w:tc>
          <w:tcPr>
            <w:tcW w:w="1135" w:type="dxa"/>
            <w:gridSpan w:val="3"/>
            <w:tcBorders>
              <w:bottom w:val="nil"/>
            </w:tcBorders>
            <w:shd w:val="clear" w:color="000000" w:fill="D9D9D9"/>
            <w:hideMark/>
          </w:tcPr>
          <w:p w:rsidR="005F209F" w:rsidRPr="00CA4713" w:rsidRDefault="005F209F" w:rsidP="005F209F">
            <w:pPr>
              <w:spacing w:after="0" w:line="240" w:lineRule="auto"/>
              <w:jc w:val="right"/>
              <w:rPr>
                <w:rFonts w:eastAsia="Times New Roman" w:cstheme="minorHAnsi"/>
                <w:color w:val="000000"/>
                <w:sz w:val="20"/>
                <w:lang w:eastAsia="en-NZ"/>
              </w:rPr>
            </w:pPr>
            <w:r w:rsidRPr="00CA4713">
              <w:rPr>
                <w:rFonts w:eastAsia="Times New Roman" w:cstheme="minorHAnsi"/>
                <w:color w:val="000000"/>
                <w:sz w:val="20"/>
                <w:lang w:eastAsia="en-NZ"/>
              </w:rPr>
              <w:t>Baseline</w:t>
            </w:r>
          </w:p>
        </w:tc>
        <w:tc>
          <w:tcPr>
            <w:tcW w:w="785" w:type="dxa"/>
            <w:gridSpan w:val="2"/>
            <w:tcBorders>
              <w:bottom w:val="nil"/>
            </w:tcBorders>
            <w:shd w:val="clear" w:color="auto" w:fill="auto"/>
            <w:hideMark/>
          </w:tcPr>
          <w:p w:rsidR="005F209F" w:rsidRPr="00CA4713" w:rsidRDefault="005F209F" w:rsidP="005F209F">
            <w:pPr>
              <w:spacing w:after="0" w:line="240" w:lineRule="auto"/>
              <w:jc w:val="right"/>
              <w:rPr>
                <w:rFonts w:eastAsia="Times New Roman" w:cstheme="minorHAnsi"/>
                <w:color w:val="000000"/>
                <w:sz w:val="20"/>
                <w:lang w:eastAsia="en-NZ"/>
              </w:rPr>
            </w:pPr>
          </w:p>
        </w:tc>
        <w:tc>
          <w:tcPr>
            <w:tcW w:w="1301" w:type="dxa"/>
            <w:gridSpan w:val="3"/>
            <w:tcBorders>
              <w:bottom w:val="nil"/>
            </w:tcBorders>
            <w:shd w:val="clear" w:color="auto" w:fill="auto"/>
            <w:hideMark/>
          </w:tcPr>
          <w:p w:rsidR="005F209F" w:rsidRDefault="005F209F" w:rsidP="005F209F">
            <w:pPr>
              <w:spacing w:after="0" w:line="240" w:lineRule="auto"/>
              <w:jc w:val="right"/>
            </w:pPr>
            <w:r w:rsidRPr="009043AC">
              <w:rPr>
                <w:rFonts w:eastAsia="Times New Roman" w:cstheme="minorHAnsi"/>
                <w:color w:val="000000"/>
                <w:sz w:val="20"/>
                <w:lang w:eastAsia="en-NZ"/>
              </w:rPr>
              <w:t>Within 10%</w:t>
            </w:r>
          </w:p>
        </w:tc>
        <w:tc>
          <w:tcPr>
            <w:tcW w:w="4252" w:type="dxa"/>
            <w:tcBorders>
              <w:bottom w:val="nil"/>
            </w:tcBorders>
            <w:shd w:val="clear" w:color="auto" w:fill="auto"/>
          </w:tcPr>
          <w:p w:rsidR="005F209F" w:rsidRPr="00CA4713" w:rsidRDefault="005F209F" w:rsidP="005F209F">
            <w:pPr>
              <w:spacing w:after="0" w:line="240" w:lineRule="auto"/>
              <w:jc w:val="right"/>
              <w:rPr>
                <w:rFonts w:eastAsia="Times New Roman" w:cstheme="minorHAnsi"/>
                <w:color w:val="000000"/>
                <w:sz w:val="20"/>
                <w:lang w:eastAsia="en-NZ"/>
              </w:rPr>
            </w:pPr>
          </w:p>
        </w:tc>
      </w:tr>
      <w:tr w:rsidR="00546A26" w:rsidRPr="00CA4713" w:rsidTr="009C3D9F">
        <w:trPr>
          <w:trHeight w:val="315"/>
        </w:trPr>
        <w:tc>
          <w:tcPr>
            <w:tcW w:w="15451" w:type="dxa"/>
            <w:gridSpan w:val="21"/>
            <w:tcBorders>
              <w:top w:val="nil"/>
              <w:bottom w:val="nil"/>
            </w:tcBorders>
            <w:shd w:val="clear" w:color="auto" w:fill="DAEEF3" w:themeFill="accent5" w:themeFillTint="33"/>
            <w:hideMark/>
          </w:tcPr>
          <w:p w:rsidR="00546A26" w:rsidRPr="00CA4713" w:rsidRDefault="00546A26" w:rsidP="004106CD">
            <w:pPr>
              <w:spacing w:after="0" w:line="240" w:lineRule="auto"/>
              <w:rPr>
                <w:rFonts w:eastAsia="Times New Roman" w:cstheme="minorHAnsi"/>
                <w:b/>
                <w:color w:val="000000" w:themeColor="text1"/>
                <w:lang w:eastAsia="en-NZ"/>
              </w:rPr>
            </w:pPr>
            <w:r w:rsidRPr="00CA4713">
              <w:rPr>
                <w:rFonts w:eastAsia="Times New Roman" w:cstheme="minorHAnsi"/>
                <w:b/>
                <w:color w:val="000000" w:themeColor="text1"/>
                <w:lang w:eastAsia="en-NZ"/>
              </w:rPr>
              <w:t>Utilisation </w:t>
            </w:r>
          </w:p>
        </w:tc>
      </w:tr>
      <w:tr w:rsidR="00546A26" w:rsidRPr="00CA4713" w:rsidTr="009C3D9F">
        <w:trPr>
          <w:trHeight w:val="270"/>
        </w:trPr>
        <w:tc>
          <w:tcPr>
            <w:tcW w:w="4387" w:type="dxa"/>
            <w:gridSpan w:val="2"/>
            <w:tcBorders>
              <w:top w:val="nil"/>
            </w:tcBorders>
            <w:shd w:val="clear" w:color="auto" w:fill="auto"/>
            <w:hideMark/>
          </w:tcPr>
          <w:p w:rsidR="00546A26" w:rsidRPr="00CA4713" w:rsidRDefault="00546A26" w:rsidP="004106CD">
            <w:pPr>
              <w:spacing w:after="0" w:line="240" w:lineRule="auto"/>
              <w:rPr>
                <w:rFonts w:eastAsia="Times New Roman" w:cstheme="minorHAnsi"/>
                <w:color w:val="000000"/>
                <w:sz w:val="20"/>
                <w:lang w:eastAsia="en-NZ"/>
              </w:rPr>
            </w:pPr>
            <w:r w:rsidRPr="00CA4713">
              <w:rPr>
                <w:rFonts w:eastAsia="Times New Roman" w:cstheme="minorHAnsi"/>
                <w:color w:val="000000"/>
                <w:sz w:val="20"/>
                <w:lang w:eastAsia="en-NZ"/>
              </w:rPr>
              <w:t>Artificial sports-field (%) utilisation - peak winter</w:t>
            </w:r>
          </w:p>
        </w:tc>
        <w:tc>
          <w:tcPr>
            <w:tcW w:w="1134" w:type="dxa"/>
            <w:gridSpan w:val="3"/>
            <w:tcBorders>
              <w:top w:val="nil"/>
            </w:tcBorders>
            <w:shd w:val="clear" w:color="auto" w:fill="auto"/>
            <w:noWrap/>
            <w:hideMark/>
          </w:tcPr>
          <w:p w:rsidR="00546A26" w:rsidRPr="00CA4713" w:rsidRDefault="00546A26" w:rsidP="004106CD">
            <w:pPr>
              <w:spacing w:after="0" w:line="240" w:lineRule="auto"/>
              <w:jc w:val="right"/>
              <w:rPr>
                <w:rFonts w:eastAsia="Times New Roman" w:cstheme="minorHAnsi"/>
                <w:color w:val="000000"/>
                <w:sz w:val="20"/>
                <w:lang w:eastAsia="en-NZ"/>
              </w:rPr>
            </w:pPr>
            <w:r w:rsidRPr="00CA4713">
              <w:rPr>
                <w:rFonts w:eastAsia="Times New Roman" w:cstheme="minorHAnsi"/>
                <w:color w:val="000000"/>
                <w:sz w:val="20"/>
                <w:lang w:eastAsia="en-NZ"/>
              </w:rPr>
              <w:t>79%</w:t>
            </w:r>
          </w:p>
        </w:tc>
        <w:tc>
          <w:tcPr>
            <w:tcW w:w="1199" w:type="dxa"/>
            <w:gridSpan w:val="2"/>
            <w:tcBorders>
              <w:top w:val="nil"/>
            </w:tcBorders>
            <w:shd w:val="clear" w:color="auto" w:fill="auto"/>
            <w:noWrap/>
            <w:hideMark/>
          </w:tcPr>
          <w:p w:rsidR="00546A26" w:rsidRPr="00CA4713" w:rsidRDefault="00546A26" w:rsidP="004106CD">
            <w:pPr>
              <w:spacing w:after="0" w:line="240" w:lineRule="auto"/>
              <w:jc w:val="right"/>
              <w:rPr>
                <w:rFonts w:eastAsia="Times New Roman" w:cstheme="minorHAnsi"/>
                <w:color w:val="000000"/>
                <w:sz w:val="20"/>
                <w:lang w:eastAsia="en-NZ"/>
              </w:rPr>
            </w:pPr>
            <w:r w:rsidRPr="00CA4713">
              <w:rPr>
                <w:rFonts w:eastAsia="Times New Roman" w:cstheme="minorHAnsi"/>
                <w:color w:val="000000"/>
                <w:sz w:val="20"/>
                <w:lang w:eastAsia="en-NZ"/>
              </w:rPr>
              <w:t>79%</w:t>
            </w:r>
          </w:p>
        </w:tc>
        <w:tc>
          <w:tcPr>
            <w:tcW w:w="1239" w:type="dxa"/>
            <w:gridSpan w:val="4"/>
            <w:tcBorders>
              <w:top w:val="nil"/>
            </w:tcBorders>
            <w:shd w:val="clear" w:color="auto" w:fill="auto"/>
            <w:noWrap/>
            <w:hideMark/>
          </w:tcPr>
          <w:p w:rsidR="00546A26" w:rsidRPr="00CA4713" w:rsidRDefault="00546A26" w:rsidP="004106CD">
            <w:pPr>
              <w:spacing w:after="0" w:line="240" w:lineRule="auto"/>
              <w:jc w:val="right"/>
              <w:rPr>
                <w:rFonts w:eastAsia="Times New Roman" w:cstheme="minorHAnsi"/>
                <w:color w:val="000000"/>
                <w:sz w:val="20"/>
                <w:lang w:eastAsia="en-NZ"/>
              </w:rPr>
            </w:pPr>
            <w:r w:rsidRPr="00CA4713">
              <w:rPr>
                <w:rFonts w:eastAsia="Times New Roman" w:cstheme="minorHAnsi"/>
                <w:color w:val="000000"/>
                <w:sz w:val="20"/>
                <w:lang w:eastAsia="en-NZ"/>
              </w:rPr>
              <w:t>82%</w:t>
            </w:r>
          </w:p>
        </w:tc>
        <w:tc>
          <w:tcPr>
            <w:tcW w:w="1154" w:type="dxa"/>
            <w:gridSpan w:val="4"/>
            <w:tcBorders>
              <w:top w:val="nil"/>
            </w:tcBorders>
            <w:shd w:val="clear" w:color="000000" w:fill="D9D9D9"/>
            <w:hideMark/>
          </w:tcPr>
          <w:p w:rsidR="00546A26" w:rsidRPr="00CA4713" w:rsidRDefault="00546A26" w:rsidP="004106CD">
            <w:pPr>
              <w:spacing w:after="0" w:line="240" w:lineRule="auto"/>
              <w:jc w:val="right"/>
              <w:rPr>
                <w:rFonts w:eastAsia="Times New Roman" w:cstheme="minorHAnsi"/>
                <w:color w:val="000000"/>
                <w:sz w:val="20"/>
                <w:lang w:eastAsia="en-NZ"/>
              </w:rPr>
            </w:pPr>
            <w:r w:rsidRPr="00CA4713">
              <w:rPr>
                <w:rFonts w:eastAsia="Times New Roman" w:cstheme="minorHAnsi"/>
                <w:color w:val="000000"/>
                <w:sz w:val="20"/>
                <w:lang w:eastAsia="en-NZ"/>
              </w:rPr>
              <w:t>80%</w:t>
            </w:r>
          </w:p>
        </w:tc>
        <w:tc>
          <w:tcPr>
            <w:tcW w:w="793" w:type="dxa"/>
            <w:gridSpan w:val="3"/>
            <w:tcBorders>
              <w:top w:val="nil"/>
            </w:tcBorders>
            <w:shd w:val="clear" w:color="auto" w:fill="auto"/>
            <w:hideMark/>
          </w:tcPr>
          <w:p w:rsidR="00546A26" w:rsidRPr="00CA4713" w:rsidRDefault="00546A26" w:rsidP="004106CD">
            <w:pPr>
              <w:spacing w:after="0" w:line="240" w:lineRule="auto"/>
              <w:jc w:val="right"/>
              <w:rPr>
                <w:rFonts w:eastAsia="Times New Roman" w:cstheme="minorHAnsi"/>
                <w:color w:val="000000"/>
                <w:sz w:val="20"/>
                <w:lang w:eastAsia="en-NZ"/>
              </w:rPr>
            </w:pPr>
            <w:r w:rsidRPr="00CA4713">
              <w:rPr>
                <w:rFonts w:eastAsia="Times New Roman" w:cstheme="minorHAnsi"/>
                <w:color w:val="000000"/>
                <w:sz w:val="20"/>
                <w:lang w:eastAsia="en-NZ"/>
              </w:rPr>
              <w:t>2%</w:t>
            </w:r>
          </w:p>
        </w:tc>
        <w:tc>
          <w:tcPr>
            <w:tcW w:w="1293" w:type="dxa"/>
            <w:gridSpan w:val="2"/>
            <w:tcBorders>
              <w:top w:val="nil"/>
            </w:tcBorders>
            <w:shd w:val="clear" w:color="auto" w:fill="auto"/>
            <w:hideMark/>
          </w:tcPr>
          <w:p w:rsidR="00546A26" w:rsidRPr="00CA4713" w:rsidRDefault="005F209F" w:rsidP="004106CD">
            <w:pPr>
              <w:spacing w:after="0" w:line="240" w:lineRule="auto"/>
              <w:jc w:val="right"/>
              <w:rPr>
                <w:rFonts w:eastAsia="Times New Roman" w:cstheme="minorHAnsi"/>
                <w:color w:val="000000"/>
                <w:sz w:val="20"/>
                <w:lang w:eastAsia="en-NZ"/>
              </w:rPr>
            </w:pPr>
            <w:r>
              <w:rPr>
                <w:rFonts w:eastAsia="Times New Roman" w:cstheme="minorHAnsi"/>
                <w:color w:val="000000"/>
                <w:sz w:val="20"/>
                <w:lang w:eastAsia="en-NZ"/>
              </w:rPr>
              <w:t>Within 10%</w:t>
            </w:r>
          </w:p>
        </w:tc>
        <w:tc>
          <w:tcPr>
            <w:tcW w:w="4252" w:type="dxa"/>
            <w:tcBorders>
              <w:top w:val="nil"/>
            </w:tcBorders>
            <w:shd w:val="clear" w:color="auto" w:fill="auto"/>
          </w:tcPr>
          <w:p w:rsidR="00546A26" w:rsidRPr="00CA4713" w:rsidRDefault="00546A26" w:rsidP="004106CD">
            <w:pPr>
              <w:spacing w:after="0" w:line="240" w:lineRule="auto"/>
              <w:jc w:val="right"/>
              <w:rPr>
                <w:rFonts w:eastAsia="Times New Roman" w:cstheme="minorHAnsi"/>
                <w:color w:val="000000"/>
                <w:sz w:val="20"/>
                <w:lang w:eastAsia="en-NZ"/>
              </w:rPr>
            </w:pPr>
          </w:p>
        </w:tc>
      </w:tr>
      <w:tr w:rsidR="00546A26" w:rsidRPr="00CA4713" w:rsidTr="009C3D9F">
        <w:trPr>
          <w:trHeight w:val="525"/>
        </w:trPr>
        <w:tc>
          <w:tcPr>
            <w:tcW w:w="4387" w:type="dxa"/>
            <w:gridSpan w:val="2"/>
            <w:shd w:val="clear" w:color="auto" w:fill="auto"/>
            <w:hideMark/>
          </w:tcPr>
          <w:p w:rsidR="00546A26" w:rsidRPr="00CA4713" w:rsidRDefault="00546A26" w:rsidP="004106CD">
            <w:pPr>
              <w:spacing w:after="0" w:line="240" w:lineRule="auto"/>
              <w:rPr>
                <w:rFonts w:eastAsia="Times New Roman" w:cstheme="minorHAnsi"/>
                <w:color w:val="000000"/>
                <w:sz w:val="20"/>
                <w:lang w:eastAsia="en-NZ"/>
              </w:rPr>
            </w:pPr>
            <w:r w:rsidRPr="00CA4713">
              <w:rPr>
                <w:rFonts w:eastAsia="Times New Roman" w:cstheme="minorHAnsi"/>
                <w:color w:val="000000"/>
                <w:sz w:val="20"/>
                <w:lang w:eastAsia="en-NZ"/>
              </w:rPr>
              <w:t xml:space="preserve">Artificial sports-field (%) utilisation - peak summer </w:t>
            </w:r>
          </w:p>
        </w:tc>
        <w:tc>
          <w:tcPr>
            <w:tcW w:w="1134" w:type="dxa"/>
            <w:gridSpan w:val="3"/>
            <w:shd w:val="clear" w:color="auto" w:fill="auto"/>
            <w:noWrap/>
            <w:hideMark/>
          </w:tcPr>
          <w:p w:rsidR="00546A26" w:rsidRPr="00CA4713" w:rsidRDefault="00546A26" w:rsidP="004106CD">
            <w:pPr>
              <w:spacing w:after="0" w:line="240" w:lineRule="auto"/>
              <w:jc w:val="right"/>
              <w:rPr>
                <w:rFonts w:eastAsia="Times New Roman" w:cstheme="minorHAnsi"/>
                <w:color w:val="000000"/>
                <w:sz w:val="20"/>
                <w:lang w:eastAsia="en-NZ"/>
              </w:rPr>
            </w:pPr>
            <w:r w:rsidRPr="00CA4713">
              <w:rPr>
                <w:rFonts w:eastAsia="Times New Roman" w:cstheme="minorHAnsi"/>
                <w:color w:val="000000"/>
                <w:sz w:val="20"/>
                <w:lang w:eastAsia="en-NZ"/>
              </w:rPr>
              <w:t>34%</w:t>
            </w:r>
          </w:p>
        </w:tc>
        <w:tc>
          <w:tcPr>
            <w:tcW w:w="1199" w:type="dxa"/>
            <w:gridSpan w:val="2"/>
            <w:shd w:val="clear" w:color="auto" w:fill="auto"/>
            <w:noWrap/>
            <w:hideMark/>
          </w:tcPr>
          <w:p w:rsidR="00546A26" w:rsidRPr="00CA4713" w:rsidRDefault="00546A26" w:rsidP="004106CD">
            <w:pPr>
              <w:spacing w:after="0" w:line="240" w:lineRule="auto"/>
              <w:jc w:val="right"/>
              <w:rPr>
                <w:rFonts w:eastAsia="Times New Roman" w:cstheme="minorHAnsi"/>
                <w:color w:val="000000"/>
                <w:sz w:val="20"/>
                <w:lang w:eastAsia="en-NZ"/>
              </w:rPr>
            </w:pPr>
            <w:r w:rsidRPr="00CA4713">
              <w:rPr>
                <w:rFonts w:eastAsia="Times New Roman" w:cstheme="minorHAnsi"/>
                <w:color w:val="000000"/>
                <w:sz w:val="20"/>
                <w:lang w:eastAsia="en-NZ"/>
              </w:rPr>
              <w:t>39%</w:t>
            </w:r>
          </w:p>
        </w:tc>
        <w:tc>
          <w:tcPr>
            <w:tcW w:w="1258" w:type="dxa"/>
            <w:gridSpan w:val="5"/>
            <w:shd w:val="clear" w:color="auto" w:fill="auto"/>
            <w:noWrap/>
            <w:hideMark/>
          </w:tcPr>
          <w:p w:rsidR="00546A26" w:rsidRPr="00CA4713" w:rsidRDefault="00546A26" w:rsidP="004106CD">
            <w:pPr>
              <w:spacing w:after="0" w:line="240" w:lineRule="auto"/>
              <w:jc w:val="right"/>
              <w:rPr>
                <w:rFonts w:eastAsia="Times New Roman" w:cstheme="minorHAnsi"/>
                <w:color w:val="000000"/>
                <w:sz w:val="20"/>
                <w:lang w:eastAsia="en-NZ"/>
              </w:rPr>
            </w:pPr>
            <w:r w:rsidRPr="00CA4713">
              <w:rPr>
                <w:rFonts w:eastAsia="Times New Roman" w:cstheme="minorHAnsi"/>
                <w:color w:val="000000"/>
                <w:sz w:val="20"/>
                <w:lang w:eastAsia="en-NZ"/>
              </w:rPr>
              <w:t>29%</w:t>
            </w:r>
          </w:p>
        </w:tc>
        <w:tc>
          <w:tcPr>
            <w:tcW w:w="1120" w:type="dxa"/>
            <w:gridSpan w:val="2"/>
            <w:shd w:val="clear" w:color="000000" w:fill="D9D9D9"/>
            <w:hideMark/>
          </w:tcPr>
          <w:p w:rsidR="00546A26" w:rsidRPr="00CA4713" w:rsidRDefault="00546A26" w:rsidP="004106CD">
            <w:pPr>
              <w:spacing w:after="0" w:line="240" w:lineRule="auto"/>
              <w:jc w:val="right"/>
              <w:rPr>
                <w:rFonts w:eastAsia="Times New Roman" w:cstheme="minorHAnsi"/>
                <w:color w:val="000000"/>
                <w:sz w:val="20"/>
                <w:lang w:eastAsia="en-NZ"/>
              </w:rPr>
            </w:pPr>
            <w:r w:rsidRPr="00CA4713">
              <w:rPr>
                <w:rFonts w:eastAsia="Times New Roman" w:cstheme="minorHAnsi"/>
                <w:color w:val="000000"/>
                <w:sz w:val="20"/>
                <w:lang w:eastAsia="en-NZ"/>
              </w:rPr>
              <w:t>40%</w:t>
            </w:r>
          </w:p>
        </w:tc>
        <w:tc>
          <w:tcPr>
            <w:tcW w:w="800" w:type="dxa"/>
            <w:gridSpan w:val="3"/>
            <w:shd w:val="clear" w:color="auto" w:fill="auto"/>
            <w:hideMark/>
          </w:tcPr>
          <w:p w:rsidR="00546A26" w:rsidRPr="00CA4713" w:rsidRDefault="00546A26" w:rsidP="004106CD">
            <w:pPr>
              <w:spacing w:after="0" w:line="240" w:lineRule="auto"/>
              <w:jc w:val="right"/>
              <w:rPr>
                <w:rFonts w:eastAsia="Times New Roman" w:cstheme="minorHAnsi"/>
                <w:color w:val="000000" w:themeColor="text1"/>
                <w:sz w:val="20"/>
                <w:lang w:eastAsia="en-NZ"/>
              </w:rPr>
            </w:pPr>
            <w:r w:rsidRPr="00CA4713">
              <w:rPr>
                <w:rFonts w:eastAsia="Times New Roman" w:cstheme="minorHAnsi"/>
                <w:color w:val="000000" w:themeColor="text1"/>
                <w:sz w:val="20"/>
                <w:lang w:eastAsia="en-NZ"/>
              </w:rPr>
              <w:t>-28%</w:t>
            </w:r>
          </w:p>
        </w:tc>
        <w:tc>
          <w:tcPr>
            <w:tcW w:w="1301" w:type="dxa"/>
            <w:gridSpan w:val="3"/>
            <w:shd w:val="clear" w:color="auto" w:fill="auto"/>
            <w:hideMark/>
          </w:tcPr>
          <w:p w:rsidR="00546A26" w:rsidRPr="00CA4713" w:rsidRDefault="00546A26" w:rsidP="004106CD">
            <w:pPr>
              <w:spacing w:after="0" w:line="240" w:lineRule="auto"/>
              <w:jc w:val="right"/>
              <w:rPr>
                <w:rFonts w:eastAsia="Times New Roman" w:cstheme="minorHAnsi"/>
                <w:color w:val="000000" w:themeColor="text1"/>
                <w:sz w:val="20"/>
                <w:lang w:eastAsia="en-NZ"/>
              </w:rPr>
            </w:pPr>
            <w:r w:rsidRPr="00CA4713">
              <w:rPr>
                <w:rFonts w:eastAsia="Times New Roman" w:cstheme="minorHAnsi"/>
                <w:color w:val="000000" w:themeColor="text1"/>
                <w:sz w:val="20"/>
                <w:lang w:eastAsia="en-NZ"/>
              </w:rPr>
              <w:t>not met</w:t>
            </w:r>
          </w:p>
        </w:tc>
        <w:tc>
          <w:tcPr>
            <w:tcW w:w="4252" w:type="dxa"/>
            <w:shd w:val="clear" w:color="auto" w:fill="auto"/>
            <w:hideMark/>
          </w:tcPr>
          <w:p w:rsidR="00546A26" w:rsidRPr="00CA4713" w:rsidRDefault="00546A26" w:rsidP="004106CD">
            <w:pPr>
              <w:spacing w:after="0" w:line="240" w:lineRule="auto"/>
              <w:rPr>
                <w:rFonts w:eastAsia="Times New Roman" w:cstheme="minorHAnsi"/>
                <w:color w:val="000000"/>
                <w:sz w:val="20"/>
                <w:lang w:eastAsia="en-NZ"/>
              </w:rPr>
            </w:pPr>
            <w:r w:rsidRPr="00CA4713">
              <w:rPr>
                <w:rFonts w:eastAsia="Times New Roman" w:cstheme="minorHAnsi"/>
                <w:color w:val="000000"/>
                <w:sz w:val="20"/>
                <w:lang w:eastAsia="en-NZ"/>
              </w:rPr>
              <w:t>This year we had reduced bookings for our Touch Rugby competitions which decreased utilisation. We will continue to work with sporting groups and codes to look for ongoing opportunities to use the fields during the summer months.</w:t>
            </w:r>
          </w:p>
        </w:tc>
      </w:tr>
      <w:tr w:rsidR="00546A26" w:rsidRPr="00CA4713" w:rsidTr="009C3D9F">
        <w:trPr>
          <w:trHeight w:val="525"/>
        </w:trPr>
        <w:tc>
          <w:tcPr>
            <w:tcW w:w="4387" w:type="dxa"/>
            <w:gridSpan w:val="2"/>
            <w:shd w:val="clear" w:color="auto" w:fill="auto"/>
            <w:hideMark/>
          </w:tcPr>
          <w:p w:rsidR="00546A26" w:rsidRPr="00CA4713" w:rsidRDefault="00546A26" w:rsidP="004106CD">
            <w:pPr>
              <w:spacing w:after="0" w:line="240" w:lineRule="auto"/>
              <w:rPr>
                <w:rFonts w:eastAsia="Times New Roman" w:cstheme="minorHAnsi"/>
                <w:color w:val="000000"/>
                <w:sz w:val="20"/>
                <w:lang w:eastAsia="en-NZ"/>
              </w:rPr>
            </w:pPr>
            <w:r w:rsidRPr="00CA4713">
              <w:rPr>
                <w:rFonts w:eastAsia="Times New Roman" w:cstheme="minorHAnsi"/>
                <w:color w:val="000000"/>
                <w:sz w:val="20"/>
                <w:lang w:eastAsia="en-NZ"/>
              </w:rPr>
              <w:t>Artificial sports-field (%) utilisation - off-peak winter</w:t>
            </w:r>
          </w:p>
        </w:tc>
        <w:tc>
          <w:tcPr>
            <w:tcW w:w="1134" w:type="dxa"/>
            <w:gridSpan w:val="3"/>
            <w:shd w:val="clear" w:color="auto" w:fill="auto"/>
            <w:noWrap/>
            <w:hideMark/>
          </w:tcPr>
          <w:p w:rsidR="00546A26" w:rsidRPr="00CA4713" w:rsidRDefault="00546A26" w:rsidP="004106CD">
            <w:pPr>
              <w:spacing w:after="0" w:line="240" w:lineRule="auto"/>
              <w:jc w:val="right"/>
              <w:rPr>
                <w:rFonts w:eastAsia="Times New Roman" w:cstheme="minorHAnsi"/>
                <w:color w:val="000000"/>
                <w:sz w:val="20"/>
                <w:lang w:eastAsia="en-NZ"/>
              </w:rPr>
            </w:pPr>
            <w:r w:rsidRPr="00CA4713">
              <w:rPr>
                <w:rFonts w:eastAsia="Times New Roman" w:cstheme="minorHAnsi"/>
                <w:color w:val="000000"/>
                <w:sz w:val="20"/>
                <w:lang w:eastAsia="en-NZ"/>
              </w:rPr>
              <w:t>19%</w:t>
            </w:r>
          </w:p>
        </w:tc>
        <w:tc>
          <w:tcPr>
            <w:tcW w:w="1199" w:type="dxa"/>
            <w:gridSpan w:val="2"/>
            <w:shd w:val="clear" w:color="auto" w:fill="auto"/>
            <w:noWrap/>
            <w:hideMark/>
          </w:tcPr>
          <w:p w:rsidR="00546A26" w:rsidRPr="00CA4713" w:rsidRDefault="00546A26" w:rsidP="004106CD">
            <w:pPr>
              <w:spacing w:after="0" w:line="240" w:lineRule="auto"/>
              <w:jc w:val="right"/>
              <w:rPr>
                <w:rFonts w:eastAsia="Times New Roman" w:cstheme="minorHAnsi"/>
                <w:color w:val="000000"/>
                <w:sz w:val="20"/>
                <w:lang w:eastAsia="en-NZ"/>
              </w:rPr>
            </w:pPr>
            <w:r w:rsidRPr="00CA4713">
              <w:rPr>
                <w:rFonts w:eastAsia="Times New Roman" w:cstheme="minorHAnsi"/>
                <w:color w:val="000000"/>
                <w:sz w:val="20"/>
                <w:lang w:eastAsia="en-NZ"/>
              </w:rPr>
              <w:t>16%</w:t>
            </w:r>
          </w:p>
        </w:tc>
        <w:tc>
          <w:tcPr>
            <w:tcW w:w="1258" w:type="dxa"/>
            <w:gridSpan w:val="5"/>
            <w:shd w:val="clear" w:color="auto" w:fill="auto"/>
            <w:noWrap/>
            <w:hideMark/>
          </w:tcPr>
          <w:p w:rsidR="00546A26" w:rsidRPr="00CA4713" w:rsidRDefault="00546A26" w:rsidP="004106CD">
            <w:pPr>
              <w:spacing w:after="0" w:line="240" w:lineRule="auto"/>
              <w:jc w:val="right"/>
              <w:rPr>
                <w:rFonts w:eastAsia="Times New Roman" w:cstheme="minorHAnsi"/>
                <w:color w:val="000000"/>
                <w:sz w:val="20"/>
                <w:lang w:eastAsia="en-NZ"/>
              </w:rPr>
            </w:pPr>
            <w:r w:rsidRPr="00CA4713">
              <w:rPr>
                <w:rFonts w:eastAsia="Times New Roman" w:cstheme="minorHAnsi"/>
                <w:color w:val="000000"/>
                <w:sz w:val="20"/>
                <w:lang w:eastAsia="en-NZ"/>
              </w:rPr>
              <w:t>18%</w:t>
            </w:r>
          </w:p>
        </w:tc>
        <w:tc>
          <w:tcPr>
            <w:tcW w:w="1120" w:type="dxa"/>
            <w:gridSpan w:val="2"/>
            <w:shd w:val="clear" w:color="000000" w:fill="D9D9D9"/>
            <w:hideMark/>
          </w:tcPr>
          <w:p w:rsidR="00546A26" w:rsidRPr="00CA4713" w:rsidRDefault="00546A26" w:rsidP="004106CD">
            <w:pPr>
              <w:spacing w:after="0" w:line="240" w:lineRule="auto"/>
              <w:jc w:val="right"/>
              <w:rPr>
                <w:rFonts w:eastAsia="Times New Roman" w:cstheme="minorHAnsi"/>
                <w:color w:val="000000"/>
                <w:sz w:val="20"/>
                <w:lang w:eastAsia="en-NZ"/>
              </w:rPr>
            </w:pPr>
            <w:r w:rsidRPr="00CA4713">
              <w:rPr>
                <w:rFonts w:eastAsia="Times New Roman" w:cstheme="minorHAnsi"/>
                <w:color w:val="000000"/>
                <w:sz w:val="20"/>
                <w:lang w:eastAsia="en-NZ"/>
              </w:rPr>
              <w:t>25%</w:t>
            </w:r>
          </w:p>
        </w:tc>
        <w:tc>
          <w:tcPr>
            <w:tcW w:w="800" w:type="dxa"/>
            <w:gridSpan w:val="3"/>
            <w:shd w:val="clear" w:color="auto" w:fill="auto"/>
            <w:hideMark/>
          </w:tcPr>
          <w:p w:rsidR="00546A26" w:rsidRPr="00CA4713" w:rsidRDefault="00546A26" w:rsidP="004106CD">
            <w:pPr>
              <w:spacing w:after="0" w:line="240" w:lineRule="auto"/>
              <w:jc w:val="right"/>
              <w:rPr>
                <w:rFonts w:eastAsia="Times New Roman" w:cstheme="minorHAnsi"/>
                <w:color w:val="000000" w:themeColor="text1"/>
                <w:sz w:val="20"/>
                <w:lang w:eastAsia="en-NZ"/>
              </w:rPr>
            </w:pPr>
            <w:r w:rsidRPr="00CA4713">
              <w:rPr>
                <w:rFonts w:eastAsia="Times New Roman" w:cstheme="minorHAnsi"/>
                <w:color w:val="000000" w:themeColor="text1"/>
                <w:sz w:val="20"/>
                <w:lang w:eastAsia="en-NZ"/>
              </w:rPr>
              <w:t>-28%</w:t>
            </w:r>
          </w:p>
        </w:tc>
        <w:tc>
          <w:tcPr>
            <w:tcW w:w="1301" w:type="dxa"/>
            <w:gridSpan w:val="3"/>
            <w:shd w:val="clear" w:color="auto" w:fill="auto"/>
            <w:hideMark/>
          </w:tcPr>
          <w:p w:rsidR="00546A26" w:rsidRPr="00CA4713" w:rsidRDefault="00546A26" w:rsidP="004106CD">
            <w:pPr>
              <w:spacing w:after="0" w:line="240" w:lineRule="auto"/>
              <w:jc w:val="right"/>
              <w:rPr>
                <w:rFonts w:eastAsia="Times New Roman" w:cstheme="minorHAnsi"/>
                <w:color w:val="000000" w:themeColor="text1"/>
                <w:sz w:val="20"/>
                <w:lang w:eastAsia="en-NZ"/>
              </w:rPr>
            </w:pPr>
            <w:r w:rsidRPr="00CA4713">
              <w:rPr>
                <w:rFonts w:eastAsia="Times New Roman" w:cstheme="minorHAnsi"/>
                <w:color w:val="000000" w:themeColor="text1"/>
                <w:sz w:val="20"/>
                <w:lang w:eastAsia="en-NZ"/>
              </w:rPr>
              <w:t>not met</w:t>
            </w:r>
          </w:p>
        </w:tc>
        <w:tc>
          <w:tcPr>
            <w:tcW w:w="4252" w:type="dxa"/>
            <w:shd w:val="clear" w:color="auto" w:fill="auto"/>
            <w:hideMark/>
          </w:tcPr>
          <w:p w:rsidR="00546A26" w:rsidRPr="00CA4713" w:rsidRDefault="00B701E7" w:rsidP="00B701E7">
            <w:pPr>
              <w:spacing w:after="0" w:line="240" w:lineRule="auto"/>
              <w:rPr>
                <w:rFonts w:eastAsia="Times New Roman" w:cstheme="minorHAnsi"/>
                <w:color w:val="000000"/>
                <w:sz w:val="20"/>
                <w:lang w:eastAsia="en-NZ"/>
              </w:rPr>
            </w:pPr>
            <w:r w:rsidRPr="00CA4713">
              <w:rPr>
                <w:rFonts w:cstheme="minorHAnsi"/>
                <w:color w:val="000000"/>
                <w:sz w:val="20"/>
                <w:szCs w:val="20"/>
              </w:rPr>
              <w:t>Off</w:t>
            </w:r>
            <w:r>
              <w:rPr>
                <w:rFonts w:cstheme="minorHAnsi"/>
                <w:color w:val="000000"/>
                <w:sz w:val="20"/>
                <w:szCs w:val="20"/>
              </w:rPr>
              <w:t>-</w:t>
            </w:r>
            <w:r w:rsidR="00546A26" w:rsidRPr="00CA4713">
              <w:rPr>
                <w:rFonts w:cstheme="minorHAnsi"/>
                <w:color w:val="000000"/>
                <w:sz w:val="20"/>
                <w:szCs w:val="20"/>
              </w:rPr>
              <w:t>peak hours on artificial turfs remain challenging to book. Our result this year has improved from last year.</w:t>
            </w:r>
          </w:p>
        </w:tc>
      </w:tr>
      <w:tr w:rsidR="00546A26" w:rsidRPr="00CA4713" w:rsidTr="009C3D9F">
        <w:trPr>
          <w:trHeight w:val="270"/>
        </w:trPr>
        <w:tc>
          <w:tcPr>
            <w:tcW w:w="4387" w:type="dxa"/>
            <w:gridSpan w:val="2"/>
            <w:shd w:val="clear" w:color="auto" w:fill="auto"/>
            <w:hideMark/>
          </w:tcPr>
          <w:p w:rsidR="00546A26" w:rsidRPr="00CA4713" w:rsidRDefault="00546A26" w:rsidP="004106CD">
            <w:pPr>
              <w:spacing w:after="0" w:line="240" w:lineRule="auto"/>
              <w:rPr>
                <w:rFonts w:eastAsia="Times New Roman" w:cstheme="minorHAnsi"/>
                <w:color w:val="000000"/>
                <w:sz w:val="20"/>
                <w:lang w:eastAsia="en-NZ"/>
              </w:rPr>
            </w:pPr>
            <w:r w:rsidRPr="00CA4713">
              <w:rPr>
                <w:rFonts w:eastAsia="Times New Roman" w:cstheme="minorHAnsi"/>
                <w:color w:val="000000"/>
                <w:sz w:val="20"/>
                <w:lang w:eastAsia="en-NZ"/>
              </w:rPr>
              <w:t>Artificial sports-field (%) utilisation - off-peak summer</w:t>
            </w:r>
          </w:p>
        </w:tc>
        <w:tc>
          <w:tcPr>
            <w:tcW w:w="1134" w:type="dxa"/>
            <w:gridSpan w:val="3"/>
            <w:shd w:val="clear" w:color="auto" w:fill="auto"/>
            <w:noWrap/>
            <w:hideMark/>
          </w:tcPr>
          <w:p w:rsidR="00546A26" w:rsidRPr="00CA4713" w:rsidRDefault="00546A26" w:rsidP="004106CD">
            <w:pPr>
              <w:spacing w:after="0" w:line="240" w:lineRule="auto"/>
              <w:jc w:val="right"/>
              <w:rPr>
                <w:rFonts w:eastAsia="Times New Roman" w:cstheme="minorHAnsi"/>
                <w:color w:val="000000"/>
                <w:sz w:val="20"/>
                <w:lang w:eastAsia="en-NZ"/>
              </w:rPr>
            </w:pPr>
            <w:r w:rsidRPr="00CA4713">
              <w:rPr>
                <w:rFonts w:eastAsia="Times New Roman" w:cstheme="minorHAnsi"/>
                <w:color w:val="000000"/>
                <w:sz w:val="20"/>
                <w:lang w:eastAsia="en-NZ"/>
              </w:rPr>
              <w:t>8%</w:t>
            </w:r>
          </w:p>
        </w:tc>
        <w:tc>
          <w:tcPr>
            <w:tcW w:w="1245" w:type="dxa"/>
            <w:gridSpan w:val="4"/>
            <w:shd w:val="clear" w:color="auto" w:fill="auto"/>
            <w:noWrap/>
            <w:hideMark/>
          </w:tcPr>
          <w:p w:rsidR="00546A26" w:rsidRPr="00CA4713" w:rsidRDefault="00546A26" w:rsidP="004106CD">
            <w:pPr>
              <w:spacing w:after="0" w:line="240" w:lineRule="auto"/>
              <w:jc w:val="right"/>
              <w:rPr>
                <w:rFonts w:eastAsia="Times New Roman" w:cstheme="minorHAnsi"/>
                <w:color w:val="000000"/>
                <w:sz w:val="20"/>
                <w:lang w:eastAsia="en-NZ"/>
              </w:rPr>
            </w:pPr>
            <w:r w:rsidRPr="00CA4713">
              <w:rPr>
                <w:rFonts w:eastAsia="Times New Roman" w:cstheme="minorHAnsi"/>
                <w:color w:val="000000"/>
                <w:sz w:val="20"/>
                <w:lang w:eastAsia="en-NZ"/>
              </w:rPr>
              <w:t>9%</w:t>
            </w:r>
          </w:p>
        </w:tc>
        <w:tc>
          <w:tcPr>
            <w:tcW w:w="1212" w:type="dxa"/>
            <w:gridSpan w:val="3"/>
            <w:shd w:val="clear" w:color="auto" w:fill="auto"/>
            <w:noWrap/>
            <w:hideMark/>
          </w:tcPr>
          <w:p w:rsidR="00546A26" w:rsidRPr="00CA4713" w:rsidRDefault="00546A26" w:rsidP="004106CD">
            <w:pPr>
              <w:spacing w:after="0" w:line="240" w:lineRule="auto"/>
              <w:jc w:val="right"/>
              <w:rPr>
                <w:rFonts w:eastAsia="Times New Roman" w:cstheme="minorHAnsi"/>
                <w:color w:val="000000"/>
                <w:sz w:val="20"/>
                <w:lang w:eastAsia="en-NZ"/>
              </w:rPr>
            </w:pPr>
            <w:r w:rsidRPr="00CA4713">
              <w:rPr>
                <w:rFonts w:eastAsia="Times New Roman" w:cstheme="minorHAnsi"/>
                <w:color w:val="000000"/>
                <w:sz w:val="20"/>
                <w:lang w:eastAsia="en-NZ"/>
              </w:rPr>
              <w:t>9%</w:t>
            </w:r>
          </w:p>
        </w:tc>
        <w:tc>
          <w:tcPr>
            <w:tcW w:w="1120" w:type="dxa"/>
            <w:gridSpan w:val="2"/>
            <w:shd w:val="clear" w:color="000000" w:fill="D9D9D9"/>
            <w:hideMark/>
          </w:tcPr>
          <w:p w:rsidR="00546A26" w:rsidRPr="00CA4713" w:rsidRDefault="00546A26" w:rsidP="004106CD">
            <w:pPr>
              <w:spacing w:after="0" w:line="240" w:lineRule="auto"/>
              <w:jc w:val="right"/>
              <w:rPr>
                <w:rFonts w:eastAsia="Times New Roman" w:cstheme="minorHAnsi"/>
                <w:color w:val="000000"/>
                <w:sz w:val="20"/>
                <w:lang w:eastAsia="en-NZ"/>
              </w:rPr>
            </w:pPr>
            <w:r w:rsidRPr="00CA4713">
              <w:rPr>
                <w:rFonts w:eastAsia="Times New Roman" w:cstheme="minorHAnsi"/>
                <w:color w:val="000000"/>
                <w:sz w:val="20"/>
                <w:lang w:eastAsia="en-NZ"/>
              </w:rPr>
              <w:t>20%</w:t>
            </w:r>
          </w:p>
        </w:tc>
        <w:tc>
          <w:tcPr>
            <w:tcW w:w="800" w:type="dxa"/>
            <w:gridSpan w:val="3"/>
            <w:shd w:val="clear" w:color="auto" w:fill="auto"/>
            <w:hideMark/>
          </w:tcPr>
          <w:p w:rsidR="00546A26" w:rsidRPr="00CA4713" w:rsidRDefault="00546A26" w:rsidP="004106CD">
            <w:pPr>
              <w:spacing w:after="0" w:line="240" w:lineRule="auto"/>
              <w:jc w:val="right"/>
              <w:rPr>
                <w:rFonts w:eastAsia="Times New Roman" w:cstheme="minorHAnsi"/>
                <w:color w:val="000000" w:themeColor="text1"/>
                <w:sz w:val="20"/>
                <w:lang w:eastAsia="en-NZ"/>
              </w:rPr>
            </w:pPr>
            <w:r w:rsidRPr="00CA4713">
              <w:rPr>
                <w:rFonts w:eastAsia="Times New Roman" w:cstheme="minorHAnsi"/>
                <w:color w:val="000000" w:themeColor="text1"/>
                <w:sz w:val="20"/>
                <w:lang w:eastAsia="en-NZ"/>
              </w:rPr>
              <w:t>-55%</w:t>
            </w:r>
          </w:p>
        </w:tc>
        <w:tc>
          <w:tcPr>
            <w:tcW w:w="1301" w:type="dxa"/>
            <w:gridSpan w:val="3"/>
            <w:shd w:val="clear" w:color="auto" w:fill="auto"/>
            <w:hideMark/>
          </w:tcPr>
          <w:p w:rsidR="00546A26" w:rsidRPr="00CA4713" w:rsidRDefault="00546A26" w:rsidP="004106CD">
            <w:pPr>
              <w:spacing w:after="0" w:line="240" w:lineRule="auto"/>
              <w:jc w:val="right"/>
              <w:rPr>
                <w:rFonts w:eastAsia="Times New Roman" w:cstheme="minorHAnsi"/>
                <w:color w:val="000000" w:themeColor="text1"/>
                <w:sz w:val="20"/>
                <w:lang w:eastAsia="en-NZ"/>
              </w:rPr>
            </w:pPr>
            <w:r w:rsidRPr="00CA4713">
              <w:rPr>
                <w:rFonts w:eastAsia="Times New Roman" w:cstheme="minorHAnsi"/>
                <w:color w:val="000000" w:themeColor="text1"/>
                <w:sz w:val="20"/>
                <w:lang w:eastAsia="en-NZ"/>
              </w:rPr>
              <w:t>not met</w:t>
            </w:r>
          </w:p>
        </w:tc>
        <w:tc>
          <w:tcPr>
            <w:tcW w:w="4252" w:type="dxa"/>
            <w:shd w:val="clear" w:color="auto" w:fill="auto"/>
            <w:hideMark/>
          </w:tcPr>
          <w:p w:rsidR="00546A26" w:rsidRPr="00CA4713" w:rsidRDefault="00B701E7" w:rsidP="00B701E7">
            <w:pPr>
              <w:spacing w:after="0" w:line="240" w:lineRule="auto"/>
              <w:rPr>
                <w:rFonts w:eastAsia="Times New Roman" w:cstheme="minorHAnsi"/>
                <w:color w:val="000000"/>
                <w:sz w:val="20"/>
                <w:lang w:eastAsia="en-NZ"/>
              </w:rPr>
            </w:pPr>
            <w:r w:rsidRPr="00CA4713">
              <w:rPr>
                <w:rFonts w:cstheme="minorHAnsi"/>
                <w:color w:val="000000"/>
                <w:sz w:val="20"/>
                <w:szCs w:val="20"/>
              </w:rPr>
              <w:t>Off</w:t>
            </w:r>
            <w:r>
              <w:rPr>
                <w:rFonts w:cstheme="minorHAnsi"/>
                <w:color w:val="000000"/>
                <w:sz w:val="20"/>
                <w:szCs w:val="20"/>
              </w:rPr>
              <w:t>-</w:t>
            </w:r>
            <w:r w:rsidR="00546A26" w:rsidRPr="00CA4713">
              <w:rPr>
                <w:rFonts w:cstheme="minorHAnsi"/>
                <w:color w:val="000000"/>
                <w:sz w:val="20"/>
                <w:szCs w:val="20"/>
              </w:rPr>
              <w:t xml:space="preserve">peak hours, especially in the summer continue to be challenging to fill. The opening of the new Terawhiti Artificial meant there were more available artificial hours than previous years, and while these had low utilisation during </w:t>
            </w:r>
            <w:r w:rsidRPr="00CA4713">
              <w:rPr>
                <w:rFonts w:cstheme="minorHAnsi"/>
                <w:color w:val="000000"/>
                <w:sz w:val="20"/>
                <w:szCs w:val="20"/>
              </w:rPr>
              <w:t>off</w:t>
            </w:r>
            <w:r>
              <w:rPr>
                <w:rFonts w:cstheme="minorHAnsi"/>
                <w:color w:val="000000"/>
                <w:sz w:val="20"/>
                <w:szCs w:val="20"/>
              </w:rPr>
              <w:t>-</w:t>
            </w:r>
            <w:r w:rsidR="00546A26" w:rsidRPr="00CA4713">
              <w:rPr>
                <w:rFonts w:cstheme="minorHAnsi"/>
                <w:color w:val="000000"/>
                <w:sz w:val="20"/>
                <w:szCs w:val="20"/>
              </w:rPr>
              <w:t>peak hours, our result is the same as last year.</w:t>
            </w:r>
          </w:p>
        </w:tc>
      </w:tr>
      <w:tr w:rsidR="005F209F" w:rsidRPr="00CA4713" w:rsidTr="009C3D9F">
        <w:trPr>
          <w:trHeight w:val="270"/>
        </w:trPr>
        <w:tc>
          <w:tcPr>
            <w:tcW w:w="4387" w:type="dxa"/>
            <w:gridSpan w:val="2"/>
            <w:shd w:val="clear" w:color="auto" w:fill="auto"/>
            <w:hideMark/>
          </w:tcPr>
          <w:p w:rsidR="005F209F" w:rsidRPr="00CA4713" w:rsidRDefault="005F209F" w:rsidP="005F209F">
            <w:pPr>
              <w:spacing w:after="0" w:line="240" w:lineRule="auto"/>
              <w:rPr>
                <w:rFonts w:eastAsia="Times New Roman" w:cstheme="minorHAnsi"/>
                <w:color w:val="000000"/>
                <w:sz w:val="20"/>
                <w:lang w:eastAsia="en-NZ"/>
              </w:rPr>
            </w:pPr>
            <w:r w:rsidRPr="00CA4713">
              <w:rPr>
                <w:rFonts w:eastAsia="Times New Roman" w:cstheme="minorHAnsi"/>
                <w:color w:val="000000"/>
                <w:sz w:val="20"/>
                <w:lang w:eastAsia="en-NZ"/>
              </w:rPr>
              <w:t>Swimming pool visits (total)</w:t>
            </w:r>
          </w:p>
        </w:tc>
        <w:tc>
          <w:tcPr>
            <w:tcW w:w="1134" w:type="dxa"/>
            <w:gridSpan w:val="3"/>
            <w:shd w:val="clear" w:color="auto" w:fill="auto"/>
            <w:noWrap/>
            <w:hideMark/>
          </w:tcPr>
          <w:p w:rsidR="005F209F" w:rsidRPr="00CA4713" w:rsidRDefault="005F209F" w:rsidP="005F209F">
            <w:pPr>
              <w:spacing w:after="0" w:line="240" w:lineRule="auto"/>
              <w:jc w:val="right"/>
              <w:rPr>
                <w:rFonts w:eastAsia="Times New Roman" w:cstheme="minorHAnsi"/>
                <w:color w:val="000000"/>
                <w:sz w:val="20"/>
                <w:lang w:eastAsia="en-NZ"/>
              </w:rPr>
            </w:pPr>
            <w:r w:rsidRPr="00CA4713">
              <w:rPr>
                <w:rFonts w:eastAsia="Times New Roman" w:cstheme="minorHAnsi"/>
                <w:color w:val="000000"/>
                <w:sz w:val="20"/>
                <w:lang w:eastAsia="en-NZ"/>
              </w:rPr>
              <w:t xml:space="preserve">1,318,555 </w:t>
            </w:r>
          </w:p>
        </w:tc>
        <w:tc>
          <w:tcPr>
            <w:tcW w:w="1245" w:type="dxa"/>
            <w:gridSpan w:val="4"/>
            <w:shd w:val="clear" w:color="auto" w:fill="auto"/>
            <w:noWrap/>
            <w:hideMark/>
          </w:tcPr>
          <w:p w:rsidR="005F209F" w:rsidRPr="00CA4713" w:rsidRDefault="005F209F" w:rsidP="005F209F">
            <w:pPr>
              <w:spacing w:after="0" w:line="240" w:lineRule="auto"/>
              <w:jc w:val="right"/>
              <w:rPr>
                <w:rFonts w:eastAsia="Times New Roman" w:cstheme="minorHAnsi"/>
                <w:color w:val="000000"/>
                <w:sz w:val="20"/>
                <w:lang w:eastAsia="en-NZ"/>
              </w:rPr>
            </w:pPr>
            <w:r w:rsidRPr="00CA4713">
              <w:rPr>
                <w:rFonts w:eastAsia="Times New Roman" w:cstheme="minorHAnsi"/>
                <w:color w:val="000000"/>
                <w:sz w:val="20"/>
                <w:lang w:eastAsia="en-NZ"/>
              </w:rPr>
              <w:t xml:space="preserve">1,236,169 </w:t>
            </w:r>
          </w:p>
        </w:tc>
        <w:tc>
          <w:tcPr>
            <w:tcW w:w="1212" w:type="dxa"/>
            <w:gridSpan w:val="3"/>
            <w:shd w:val="clear" w:color="auto" w:fill="auto"/>
            <w:noWrap/>
            <w:hideMark/>
          </w:tcPr>
          <w:p w:rsidR="005F209F" w:rsidRPr="00CA4713" w:rsidRDefault="005F209F" w:rsidP="005F209F">
            <w:pPr>
              <w:spacing w:after="0" w:line="240" w:lineRule="auto"/>
              <w:jc w:val="right"/>
              <w:rPr>
                <w:rFonts w:eastAsia="Times New Roman" w:cstheme="minorHAnsi"/>
                <w:color w:val="000000"/>
                <w:sz w:val="20"/>
                <w:lang w:eastAsia="en-NZ"/>
              </w:rPr>
            </w:pPr>
            <w:r w:rsidRPr="00CA4713">
              <w:rPr>
                <w:rFonts w:eastAsia="Times New Roman" w:cstheme="minorHAnsi"/>
                <w:color w:val="000000"/>
                <w:sz w:val="20"/>
                <w:lang w:eastAsia="en-NZ"/>
              </w:rPr>
              <w:t xml:space="preserve">1,256,024 </w:t>
            </w:r>
          </w:p>
        </w:tc>
        <w:tc>
          <w:tcPr>
            <w:tcW w:w="1120" w:type="dxa"/>
            <w:gridSpan w:val="2"/>
            <w:shd w:val="clear" w:color="000000" w:fill="D9D9D9"/>
            <w:hideMark/>
          </w:tcPr>
          <w:p w:rsidR="005F209F" w:rsidRPr="00CA4713" w:rsidRDefault="005F209F" w:rsidP="005F209F">
            <w:pPr>
              <w:spacing w:after="0" w:line="240" w:lineRule="auto"/>
              <w:jc w:val="right"/>
              <w:rPr>
                <w:rFonts w:eastAsia="Times New Roman" w:cstheme="minorHAnsi"/>
                <w:color w:val="000000"/>
                <w:sz w:val="20"/>
                <w:lang w:eastAsia="en-NZ"/>
              </w:rPr>
            </w:pPr>
            <w:r w:rsidRPr="00CA4713">
              <w:rPr>
                <w:rFonts w:eastAsia="Times New Roman" w:cstheme="minorHAnsi"/>
                <w:color w:val="000000"/>
                <w:sz w:val="20"/>
                <w:lang w:eastAsia="en-NZ"/>
              </w:rPr>
              <w:t>1,318,000</w:t>
            </w:r>
          </w:p>
        </w:tc>
        <w:tc>
          <w:tcPr>
            <w:tcW w:w="800" w:type="dxa"/>
            <w:gridSpan w:val="3"/>
            <w:shd w:val="clear" w:color="auto" w:fill="auto"/>
            <w:hideMark/>
          </w:tcPr>
          <w:p w:rsidR="005F209F" w:rsidRPr="00CA4713" w:rsidRDefault="005F209F" w:rsidP="005F209F">
            <w:pPr>
              <w:spacing w:after="0" w:line="240" w:lineRule="auto"/>
              <w:jc w:val="right"/>
              <w:rPr>
                <w:rFonts w:eastAsia="Times New Roman" w:cstheme="minorHAnsi"/>
                <w:color w:val="000000"/>
                <w:sz w:val="20"/>
                <w:lang w:eastAsia="en-NZ"/>
              </w:rPr>
            </w:pPr>
            <w:r w:rsidRPr="00CA4713">
              <w:rPr>
                <w:rFonts w:eastAsia="Times New Roman" w:cstheme="minorHAnsi"/>
                <w:color w:val="000000"/>
                <w:sz w:val="20"/>
                <w:lang w:eastAsia="en-NZ"/>
              </w:rPr>
              <w:t>-5%</w:t>
            </w:r>
          </w:p>
        </w:tc>
        <w:tc>
          <w:tcPr>
            <w:tcW w:w="1301" w:type="dxa"/>
            <w:gridSpan w:val="3"/>
            <w:shd w:val="clear" w:color="auto" w:fill="auto"/>
            <w:hideMark/>
          </w:tcPr>
          <w:p w:rsidR="005F209F" w:rsidRDefault="005F209F" w:rsidP="005F209F">
            <w:pPr>
              <w:spacing w:after="0"/>
              <w:jc w:val="right"/>
            </w:pPr>
            <w:r w:rsidRPr="00822EC2">
              <w:rPr>
                <w:rFonts w:eastAsia="Times New Roman" w:cstheme="minorHAnsi"/>
                <w:color w:val="000000"/>
                <w:sz w:val="20"/>
                <w:lang w:eastAsia="en-NZ"/>
              </w:rPr>
              <w:t>Within 10%</w:t>
            </w:r>
          </w:p>
        </w:tc>
        <w:tc>
          <w:tcPr>
            <w:tcW w:w="4252" w:type="dxa"/>
            <w:shd w:val="clear" w:color="auto" w:fill="auto"/>
          </w:tcPr>
          <w:p w:rsidR="005F209F" w:rsidRPr="00CA4713" w:rsidRDefault="005F209F" w:rsidP="005F209F">
            <w:pPr>
              <w:spacing w:after="0" w:line="240" w:lineRule="auto"/>
              <w:jc w:val="right"/>
              <w:rPr>
                <w:rFonts w:eastAsia="Times New Roman" w:cstheme="minorHAnsi"/>
                <w:color w:val="000000"/>
                <w:sz w:val="20"/>
                <w:lang w:eastAsia="en-NZ"/>
              </w:rPr>
            </w:pPr>
          </w:p>
        </w:tc>
      </w:tr>
      <w:tr w:rsidR="005F209F" w:rsidRPr="00CA4713" w:rsidTr="009C3D9F">
        <w:trPr>
          <w:trHeight w:val="270"/>
        </w:trPr>
        <w:tc>
          <w:tcPr>
            <w:tcW w:w="4387" w:type="dxa"/>
            <w:gridSpan w:val="2"/>
            <w:shd w:val="clear" w:color="auto" w:fill="auto"/>
            <w:hideMark/>
          </w:tcPr>
          <w:p w:rsidR="005F209F" w:rsidRPr="00CA4713" w:rsidRDefault="005F209F" w:rsidP="005F209F">
            <w:pPr>
              <w:spacing w:after="0" w:line="240" w:lineRule="auto"/>
              <w:rPr>
                <w:rFonts w:eastAsia="Times New Roman" w:cstheme="minorHAnsi"/>
                <w:color w:val="000000"/>
                <w:sz w:val="20"/>
                <w:lang w:eastAsia="en-NZ"/>
              </w:rPr>
            </w:pPr>
            <w:r w:rsidRPr="00CA4713">
              <w:rPr>
                <w:rFonts w:eastAsia="Times New Roman" w:cstheme="minorHAnsi"/>
                <w:color w:val="000000"/>
                <w:sz w:val="20"/>
                <w:lang w:eastAsia="en-NZ"/>
              </w:rPr>
              <w:t>WRAC</w:t>
            </w:r>
          </w:p>
        </w:tc>
        <w:tc>
          <w:tcPr>
            <w:tcW w:w="1134" w:type="dxa"/>
            <w:gridSpan w:val="3"/>
            <w:shd w:val="clear" w:color="auto" w:fill="FFFFFF" w:themeFill="background1"/>
            <w:noWrap/>
            <w:hideMark/>
          </w:tcPr>
          <w:p w:rsidR="005F209F" w:rsidRPr="00CA4713" w:rsidRDefault="005F209F" w:rsidP="005F209F">
            <w:pPr>
              <w:spacing w:after="0" w:line="240" w:lineRule="auto"/>
              <w:jc w:val="right"/>
              <w:rPr>
                <w:rFonts w:eastAsia="Times New Roman" w:cstheme="minorHAnsi"/>
                <w:color w:val="000000"/>
                <w:sz w:val="20"/>
                <w:lang w:eastAsia="en-NZ"/>
              </w:rPr>
            </w:pPr>
            <w:r w:rsidRPr="00CA4713">
              <w:rPr>
                <w:rFonts w:eastAsia="Times New Roman" w:cstheme="minorHAnsi"/>
                <w:color w:val="000000"/>
                <w:sz w:val="20"/>
                <w:lang w:eastAsia="en-NZ"/>
              </w:rPr>
              <w:t>618,286 </w:t>
            </w:r>
          </w:p>
        </w:tc>
        <w:tc>
          <w:tcPr>
            <w:tcW w:w="1245" w:type="dxa"/>
            <w:gridSpan w:val="4"/>
            <w:shd w:val="clear" w:color="auto" w:fill="FFFFFF" w:themeFill="background1"/>
            <w:noWrap/>
            <w:hideMark/>
          </w:tcPr>
          <w:p w:rsidR="005F209F" w:rsidRPr="00CA4713" w:rsidRDefault="005F209F" w:rsidP="005F209F">
            <w:pPr>
              <w:spacing w:after="0" w:line="240" w:lineRule="auto"/>
              <w:jc w:val="right"/>
              <w:rPr>
                <w:rFonts w:eastAsia="Times New Roman" w:cstheme="minorHAnsi"/>
                <w:color w:val="000000"/>
                <w:sz w:val="20"/>
                <w:lang w:eastAsia="en-NZ"/>
              </w:rPr>
            </w:pPr>
            <w:r w:rsidRPr="00CA4713">
              <w:rPr>
                <w:rFonts w:eastAsia="Times New Roman" w:cstheme="minorHAnsi"/>
                <w:color w:val="000000"/>
                <w:sz w:val="20"/>
                <w:lang w:eastAsia="en-NZ"/>
              </w:rPr>
              <w:t>554,182</w:t>
            </w:r>
          </w:p>
        </w:tc>
        <w:tc>
          <w:tcPr>
            <w:tcW w:w="1212" w:type="dxa"/>
            <w:gridSpan w:val="3"/>
            <w:shd w:val="clear" w:color="auto" w:fill="auto"/>
            <w:noWrap/>
            <w:hideMark/>
          </w:tcPr>
          <w:p w:rsidR="005F209F" w:rsidRPr="00CA4713" w:rsidRDefault="005F209F" w:rsidP="005F209F">
            <w:pPr>
              <w:spacing w:after="0" w:line="240" w:lineRule="auto"/>
              <w:jc w:val="right"/>
              <w:rPr>
                <w:rFonts w:eastAsia="Times New Roman" w:cstheme="minorHAnsi"/>
                <w:color w:val="000000"/>
                <w:sz w:val="20"/>
                <w:lang w:eastAsia="en-NZ"/>
              </w:rPr>
            </w:pPr>
            <w:r w:rsidRPr="00CA4713">
              <w:rPr>
                <w:rFonts w:eastAsia="Times New Roman" w:cstheme="minorHAnsi"/>
                <w:color w:val="000000"/>
                <w:sz w:val="20"/>
                <w:lang w:eastAsia="en-NZ"/>
              </w:rPr>
              <w:t>576,082</w:t>
            </w:r>
          </w:p>
        </w:tc>
        <w:tc>
          <w:tcPr>
            <w:tcW w:w="1120" w:type="dxa"/>
            <w:gridSpan w:val="2"/>
            <w:shd w:val="clear" w:color="000000" w:fill="D9D9D9"/>
            <w:hideMark/>
          </w:tcPr>
          <w:p w:rsidR="005F209F" w:rsidRPr="00CA4713" w:rsidRDefault="005F209F" w:rsidP="005F209F">
            <w:pPr>
              <w:spacing w:after="0" w:line="240" w:lineRule="auto"/>
              <w:jc w:val="right"/>
              <w:rPr>
                <w:rFonts w:eastAsia="Times New Roman" w:cstheme="minorHAnsi"/>
                <w:color w:val="000000"/>
                <w:sz w:val="20"/>
                <w:lang w:eastAsia="en-NZ"/>
              </w:rPr>
            </w:pPr>
            <w:r w:rsidRPr="00CA4713">
              <w:rPr>
                <w:rFonts w:eastAsia="Times New Roman" w:cstheme="minorHAnsi"/>
                <w:color w:val="000000"/>
                <w:sz w:val="20"/>
                <w:lang w:eastAsia="en-NZ"/>
              </w:rPr>
              <w:t>599,871</w:t>
            </w:r>
          </w:p>
        </w:tc>
        <w:tc>
          <w:tcPr>
            <w:tcW w:w="800" w:type="dxa"/>
            <w:gridSpan w:val="3"/>
            <w:shd w:val="clear" w:color="auto" w:fill="auto"/>
            <w:hideMark/>
          </w:tcPr>
          <w:p w:rsidR="005F209F" w:rsidRPr="00CA4713" w:rsidRDefault="005F209F" w:rsidP="005F209F">
            <w:pPr>
              <w:spacing w:after="0" w:line="240" w:lineRule="auto"/>
              <w:jc w:val="right"/>
              <w:rPr>
                <w:rFonts w:eastAsia="Times New Roman" w:cstheme="minorHAnsi"/>
                <w:color w:val="000000"/>
                <w:sz w:val="20"/>
                <w:lang w:eastAsia="en-NZ"/>
              </w:rPr>
            </w:pPr>
            <w:r w:rsidRPr="00CA4713">
              <w:rPr>
                <w:rFonts w:eastAsia="Times New Roman" w:cstheme="minorHAnsi"/>
                <w:color w:val="000000"/>
                <w:sz w:val="20"/>
                <w:lang w:eastAsia="en-NZ"/>
              </w:rPr>
              <w:t>-4%</w:t>
            </w:r>
          </w:p>
        </w:tc>
        <w:tc>
          <w:tcPr>
            <w:tcW w:w="1301" w:type="dxa"/>
            <w:gridSpan w:val="3"/>
            <w:shd w:val="clear" w:color="auto" w:fill="auto"/>
            <w:hideMark/>
          </w:tcPr>
          <w:p w:rsidR="005F209F" w:rsidRDefault="005F209F" w:rsidP="005F209F">
            <w:pPr>
              <w:spacing w:after="0"/>
              <w:jc w:val="right"/>
            </w:pPr>
            <w:r w:rsidRPr="00822EC2">
              <w:rPr>
                <w:rFonts w:eastAsia="Times New Roman" w:cstheme="minorHAnsi"/>
                <w:color w:val="000000"/>
                <w:sz w:val="20"/>
                <w:lang w:eastAsia="en-NZ"/>
              </w:rPr>
              <w:t>Within 10%</w:t>
            </w:r>
          </w:p>
        </w:tc>
        <w:tc>
          <w:tcPr>
            <w:tcW w:w="4252" w:type="dxa"/>
            <w:shd w:val="clear" w:color="auto" w:fill="auto"/>
          </w:tcPr>
          <w:p w:rsidR="005F209F" w:rsidRPr="00CA4713" w:rsidRDefault="005F209F" w:rsidP="005F209F">
            <w:pPr>
              <w:spacing w:after="0" w:line="240" w:lineRule="auto"/>
              <w:jc w:val="right"/>
              <w:rPr>
                <w:rFonts w:eastAsia="Times New Roman" w:cstheme="minorHAnsi"/>
                <w:color w:val="000000"/>
                <w:sz w:val="20"/>
                <w:lang w:eastAsia="en-NZ"/>
              </w:rPr>
            </w:pPr>
          </w:p>
        </w:tc>
      </w:tr>
      <w:tr w:rsidR="005F209F" w:rsidRPr="00CA4713" w:rsidTr="009C3D9F">
        <w:trPr>
          <w:trHeight w:val="270"/>
        </w:trPr>
        <w:tc>
          <w:tcPr>
            <w:tcW w:w="4387" w:type="dxa"/>
            <w:gridSpan w:val="2"/>
            <w:shd w:val="clear" w:color="auto" w:fill="auto"/>
            <w:hideMark/>
          </w:tcPr>
          <w:p w:rsidR="005F209F" w:rsidRPr="00CA4713" w:rsidRDefault="005F209F" w:rsidP="005F209F">
            <w:pPr>
              <w:spacing w:after="0" w:line="240" w:lineRule="auto"/>
              <w:rPr>
                <w:rFonts w:eastAsia="Times New Roman" w:cstheme="minorHAnsi"/>
                <w:color w:val="000000"/>
                <w:sz w:val="20"/>
                <w:lang w:eastAsia="en-NZ"/>
              </w:rPr>
            </w:pPr>
            <w:r w:rsidRPr="00CA4713">
              <w:rPr>
                <w:rFonts w:eastAsia="Times New Roman" w:cstheme="minorHAnsi"/>
                <w:color w:val="000000"/>
                <w:sz w:val="20"/>
                <w:lang w:eastAsia="en-NZ"/>
              </w:rPr>
              <w:lastRenderedPageBreak/>
              <w:t>Tawa</w:t>
            </w:r>
          </w:p>
        </w:tc>
        <w:tc>
          <w:tcPr>
            <w:tcW w:w="1134" w:type="dxa"/>
            <w:gridSpan w:val="3"/>
            <w:shd w:val="clear" w:color="auto" w:fill="FFFFFF" w:themeFill="background1"/>
            <w:noWrap/>
            <w:hideMark/>
          </w:tcPr>
          <w:p w:rsidR="005F209F" w:rsidRPr="00CA4713" w:rsidRDefault="005F209F" w:rsidP="005F209F">
            <w:pPr>
              <w:spacing w:after="0" w:line="240" w:lineRule="auto"/>
              <w:jc w:val="right"/>
              <w:rPr>
                <w:rFonts w:eastAsia="Times New Roman" w:cstheme="minorHAnsi"/>
                <w:color w:val="000000"/>
                <w:sz w:val="20"/>
                <w:lang w:eastAsia="en-NZ"/>
              </w:rPr>
            </w:pPr>
            <w:r w:rsidRPr="00CA4713">
              <w:rPr>
                <w:rFonts w:eastAsia="Times New Roman" w:cstheme="minorHAnsi"/>
                <w:color w:val="000000"/>
                <w:sz w:val="20"/>
                <w:lang w:eastAsia="en-NZ"/>
              </w:rPr>
              <w:t>80,534 </w:t>
            </w:r>
          </w:p>
        </w:tc>
        <w:tc>
          <w:tcPr>
            <w:tcW w:w="1245" w:type="dxa"/>
            <w:gridSpan w:val="4"/>
            <w:shd w:val="clear" w:color="auto" w:fill="FFFFFF" w:themeFill="background1"/>
            <w:noWrap/>
            <w:hideMark/>
          </w:tcPr>
          <w:p w:rsidR="005F209F" w:rsidRPr="00CA4713" w:rsidRDefault="005F209F" w:rsidP="005F209F">
            <w:pPr>
              <w:spacing w:after="0" w:line="240" w:lineRule="auto"/>
              <w:jc w:val="right"/>
              <w:rPr>
                <w:rFonts w:eastAsia="Times New Roman" w:cstheme="minorHAnsi"/>
                <w:color w:val="000000"/>
                <w:sz w:val="20"/>
                <w:lang w:eastAsia="en-NZ"/>
              </w:rPr>
            </w:pPr>
            <w:r w:rsidRPr="00CA4713">
              <w:rPr>
                <w:rFonts w:eastAsia="Times New Roman" w:cstheme="minorHAnsi"/>
                <w:color w:val="000000"/>
                <w:sz w:val="20"/>
                <w:lang w:eastAsia="en-NZ"/>
              </w:rPr>
              <w:t>86,040</w:t>
            </w:r>
          </w:p>
        </w:tc>
        <w:tc>
          <w:tcPr>
            <w:tcW w:w="1212" w:type="dxa"/>
            <w:gridSpan w:val="3"/>
            <w:shd w:val="clear" w:color="auto" w:fill="auto"/>
            <w:noWrap/>
            <w:hideMark/>
          </w:tcPr>
          <w:p w:rsidR="005F209F" w:rsidRPr="00CA4713" w:rsidRDefault="005F209F" w:rsidP="005F209F">
            <w:pPr>
              <w:spacing w:after="0" w:line="240" w:lineRule="auto"/>
              <w:jc w:val="right"/>
              <w:rPr>
                <w:rFonts w:eastAsia="Times New Roman" w:cstheme="minorHAnsi"/>
                <w:color w:val="000000"/>
                <w:sz w:val="20"/>
                <w:lang w:eastAsia="en-NZ"/>
              </w:rPr>
            </w:pPr>
            <w:r w:rsidRPr="00CA4713">
              <w:rPr>
                <w:rFonts w:eastAsia="Times New Roman" w:cstheme="minorHAnsi"/>
                <w:color w:val="000000"/>
                <w:sz w:val="20"/>
                <w:lang w:eastAsia="en-NZ"/>
              </w:rPr>
              <w:t xml:space="preserve">70,806 </w:t>
            </w:r>
          </w:p>
        </w:tc>
        <w:tc>
          <w:tcPr>
            <w:tcW w:w="1120" w:type="dxa"/>
            <w:gridSpan w:val="2"/>
            <w:shd w:val="clear" w:color="000000" w:fill="D9D9D9"/>
            <w:hideMark/>
          </w:tcPr>
          <w:p w:rsidR="005F209F" w:rsidRPr="00CA4713" w:rsidRDefault="005F209F" w:rsidP="005F209F">
            <w:pPr>
              <w:spacing w:after="0" w:line="240" w:lineRule="auto"/>
              <w:jc w:val="right"/>
              <w:rPr>
                <w:rFonts w:eastAsia="Times New Roman" w:cstheme="minorHAnsi"/>
                <w:color w:val="000000"/>
                <w:sz w:val="20"/>
                <w:lang w:eastAsia="en-NZ"/>
              </w:rPr>
            </w:pPr>
            <w:r w:rsidRPr="00CA4713">
              <w:rPr>
                <w:rFonts w:eastAsia="Times New Roman" w:cstheme="minorHAnsi"/>
                <w:color w:val="000000"/>
                <w:sz w:val="20"/>
                <w:lang w:eastAsia="en-NZ"/>
              </w:rPr>
              <w:t>73,565</w:t>
            </w:r>
          </w:p>
        </w:tc>
        <w:tc>
          <w:tcPr>
            <w:tcW w:w="800" w:type="dxa"/>
            <w:gridSpan w:val="3"/>
            <w:shd w:val="clear" w:color="auto" w:fill="auto"/>
            <w:hideMark/>
          </w:tcPr>
          <w:p w:rsidR="005F209F" w:rsidRPr="00CA4713" w:rsidRDefault="005F209F" w:rsidP="005F209F">
            <w:pPr>
              <w:spacing w:after="0" w:line="240" w:lineRule="auto"/>
              <w:jc w:val="right"/>
              <w:rPr>
                <w:rFonts w:eastAsia="Times New Roman" w:cstheme="minorHAnsi"/>
                <w:color w:val="000000"/>
                <w:sz w:val="20"/>
                <w:lang w:eastAsia="en-NZ"/>
              </w:rPr>
            </w:pPr>
            <w:r w:rsidRPr="00CA4713">
              <w:rPr>
                <w:rFonts w:eastAsia="Times New Roman" w:cstheme="minorHAnsi"/>
                <w:color w:val="000000"/>
                <w:sz w:val="20"/>
                <w:lang w:eastAsia="en-NZ"/>
              </w:rPr>
              <w:t>-4%</w:t>
            </w:r>
          </w:p>
        </w:tc>
        <w:tc>
          <w:tcPr>
            <w:tcW w:w="1301" w:type="dxa"/>
            <w:gridSpan w:val="3"/>
            <w:shd w:val="clear" w:color="auto" w:fill="auto"/>
            <w:hideMark/>
          </w:tcPr>
          <w:p w:rsidR="005F209F" w:rsidRDefault="005F209F" w:rsidP="005F209F">
            <w:pPr>
              <w:spacing w:after="0"/>
              <w:jc w:val="right"/>
            </w:pPr>
            <w:r w:rsidRPr="00822EC2">
              <w:rPr>
                <w:rFonts w:eastAsia="Times New Roman" w:cstheme="minorHAnsi"/>
                <w:color w:val="000000"/>
                <w:sz w:val="20"/>
                <w:lang w:eastAsia="en-NZ"/>
              </w:rPr>
              <w:t>Within 10%</w:t>
            </w:r>
          </w:p>
        </w:tc>
        <w:tc>
          <w:tcPr>
            <w:tcW w:w="4252" w:type="dxa"/>
            <w:shd w:val="clear" w:color="auto" w:fill="auto"/>
          </w:tcPr>
          <w:p w:rsidR="005F209F" w:rsidRPr="00CA4713" w:rsidRDefault="005F209F" w:rsidP="005F209F">
            <w:pPr>
              <w:spacing w:after="0" w:line="240" w:lineRule="auto"/>
              <w:jc w:val="right"/>
              <w:rPr>
                <w:rFonts w:eastAsia="Times New Roman" w:cstheme="minorHAnsi"/>
                <w:color w:val="000000"/>
                <w:sz w:val="20"/>
                <w:lang w:eastAsia="en-NZ"/>
              </w:rPr>
            </w:pPr>
          </w:p>
        </w:tc>
      </w:tr>
      <w:tr w:rsidR="005F209F" w:rsidRPr="00CA4713" w:rsidTr="009C3D9F">
        <w:trPr>
          <w:trHeight w:val="293"/>
        </w:trPr>
        <w:tc>
          <w:tcPr>
            <w:tcW w:w="4387" w:type="dxa"/>
            <w:gridSpan w:val="2"/>
            <w:shd w:val="clear" w:color="auto" w:fill="FFFFFF" w:themeFill="background1"/>
            <w:hideMark/>
          </w:tcPr>
          <w:p w:rsidR="005F209F" w:rsidRPr="00CA4713" w:rsidRDefault="005F209F" w:rsidP="005F209F">
            <w:pPr>
              <w:spacing w:after="0" w:line="240" w:lineRule="auto"/>
              <w:rPr>
                <w:rFonts w:eastAsia="Times New Roman" w:cstheme="minorHAnsi"/>
                <w:color w:val="000000"/>
                <w:sz w:val="20"/>
                <w:lang w:eastAsia="en-NZ"/>
              </w:rPr>
            </w:pPr>
            <w:r w:rsidRPr="00CA4713">
              <w:rPr>
                <w:rFonts w:eastAsia="Times New Roman" w:cstheme="minorHAnsi"/>
                <w:color w:val="000000"/>
                <w:sz w:val="20"/>
                <w:lang w:eastAsia="en-NZ"/>
              </w:rPr>
              <w:t>Freyberg</w:t>
            </w:r>
          </w:p>
        </w:tc>
        <w:tc>
          <w:tcPr>
            <w:tcW w:w="1134" w:type="dxa"/>
            <w:gridSpan w:val="3"/>
            <w:shd w:val="clear" w:color="auto" w:fill="FFFFFF" w:themeFill="background1"/>
            <w:noWrap/>
            <w:hideMark/>
          </w:tcPr>
          <w:p w:rsidR="005F209F" w:rsidRPr="00CA4713" w:rsidRDefault="005F209F" w:rsidP="005F209F">
            <w:pPr>
              <w:spacing w:after="0" w:line="240" w:lineRule="auto"/>
              <w:jc w:val="right"/>
              <w:rPr>
                <w:rFonts w:eastAsia="Times New Roman" w:cstheme="minorHAnsi"/>
                <w:color w:val="000000"/>
                <w:sz w:val="20"/>
                <w:lang w:eastAsia="en-NZ"/>
              </w:rPr>
            </w:pPr>
            <w:r w:rsidRPr="00CA4713">
              <w:rPr>
                <w:rFonts w:eastAsia="Times New Roman" w:cstheme="minorHAnsi"/>
                <w:color w:val="000000"/>
                <w:sz w:val="20"/>
                <w:lang w:eastAsia="en-NZ"/>
              </w:rPr>
              <w:t>191,464 </w:t>
            </w:r>
          </w:p>
        </w:tc>
        <w:tc>
          <w:tcPr>
            <w:tcW w:w="1245" w:type="dxa"/>
            <w:gridSpan w:val="4"/>
            <w:shd w:val="clear" w:color="auto" w:fill="FFFFFF" w:themeFill="background1"/>
            <w:noWrap/>
            <w:hideMark/>
          </w:tcPr>
          <w:p w:rsidR="005F209F" w:rsidRPr="00CA4713" w:rsidRDefault="005F209F" w:rsidP="005F209F">
            <w:pPr>
              <w:spacing w:after="0" w:line="240" w:lineRule="auto"/>
              <w:jc w:val="right"/>
              <w:rPr>
                <w:rFonts w:eastAsia="Times New Roman" w:cstheme="minorHAnsi"/>
                <w:color w:val="000000"/>
                <w:sz w:val="20"/>
                <w:lang w:eastAsia="en-NZ"/>
              </w:rPr>
            </w:pPr>
            <w:r w:rsidRPr="00CA4713">
              <w:rPr>
                <w:rFonts w:eastAsia="Times New Roman" w:cstheme="minorHAnsi"/>
                <w:color w:val="000000"/>
                <w:sz w:val="20"/>
                <w:lang w:eastAsia="en-NZ"/>
              </w:rPr>
              <w:t>203,903</w:t>
            </w:r>
          </w:p>
        </w:tc>
        <w:tc>
          <w:tcPr>
            <w:tcW w:w="1212" w:type="dxa"/>
            <w:gridSpan w:val="3"/>
            <w:shd w:val="clear" w:color="auto" w:fill="FFFFFF" w:themeFill="background1"/>
            <w:noWrap/>
            <w:hideMark/>
          </w:tcPr>
          <w:p w:rsidR="005F209F" w:rsidRPr="00CA4713" w:rsidRDefault="005F209F" w:rsidP="005F209F">
            <w:pPr>
              <w:spacing w:after="0" w:line="240" w:lineRule="auto"/>
              <w:jc w:val="right"/>
              <w:rPr>
                <w:rFonts w:eastAsia="Times New Roman" w:cstheme="minorHAnsi"/>
                <w:color w:val="000000"/>
                <w:sz w:val="20"/>
                <w:lang w:eastAsia="en-NZ"/>
              </w:rPr>
            </w:pPr>
            <w:r w:rsidRPr="00CA4713">
              <w:rPr>
                <w:rFonts w:eastAsia="Times New Roman" w:cstheme="minorHAnsi"/>
                <w:color w:val="000000"/>
                <w:sz w:val="20"/>
                <w:lang w:eastAsia="en-NZ"/>
              </w:rPr>
              <w:t xml:space="preserve">216,145 </w:t>
            </w:r>
          </w:p>
        </w:tc>
        <w:tc>
          <w:tcPr>
            <w:tcW w:w="1120" w:type="dxa"/>
            <w:gridSpan w:val="2"/>
            <w:shd w:val="clear" w:color="auto" w:fill="D9D9D9" w:themeFill="background1" w:themeFillShade="D9"/>
            <w:hideMark/>
          </w:tcPr>
          <w:p w:rsidR="005F209F" w:rsidRPr="00CA4713" w:rsidRDefault="005F209F" w:rsidP="005F209F">
            <w:pPr>
              <w:spacing w:after="0" w:line="240" w:lineRule="auto"/>
              <w:jc w:val="right"/>
              <w:rPr>
                <w:rFonts w:eastAsia="Times New Roman" w:cstheme="minorHAnsi"/>
                <w:color w:val="000000"/>
                <w:sz w:val="20"/>
                <w:lang w:eastAsia="en-NZ"/>
              </w:rPr>
            </w:pPr>
            <w:r w:rsidRPr="00CA4713">
              <w:rPr>
                <w:rFonts w:eastAsia="Times New Roman" w:cstheme="minorHAnsi"/>
                <w:color w:val="000000"/>
                <w:sz w:val="20"/>
                <w:lang w:eastAsia="en-NZ"/>
              </w:rPr>
              <w:t>203,903</w:t>
            </w:r>
          </w:p>
        </w:tc>
        <w:tc>
          <w:tcPr>
            <w:tcW w:w="800" w:type="dxa"/>
            <w:gridSpan w:val="3"/>
            <w:shd w:val="clear" w:color="auto" w:fill="FFFFFF" w:themeFill="background1"/>
            <w:hideMark/>
          </w:tcPr>
          <w:p w:rsidR="005F209F" w:rsidRPr="00CA4713" w:rsidRDefault="005F209F" w:rsidP="005F209F">
            <w:pPr>
              <w:spacing w:after="0" w:line="240" w:lineRule="auto"/>
              <w:jc w:val="right"/>
              <w:rPr>
                <w:rFonts w:eastAsia="Times New Roman" w:cstheme="minorHAnsi"/>
                <w:color w:val="000000"/>
                <w:sz w:val="20"/>
                <w:lang w:eastAsia="en-NZ"/>
              </w:rPr>
            </w:pPr>
            <w:r w:rsidRPr="00CA4713">
              <w:rPr>
                <w:rFonts w:eastAsia="Times New Roman" w:cstheme="minorHAnsi"/>
                <w:color w:val="000000"/>
                <w:sz w:val="20"/>
                <w:lang w:eastAsia="en-NZ"/>
              </w:rPr>
              <w:t>6%</w:t>
            </w:r>
          </w:p>
        </w:tc>
        <w:tc>
          <w:tcPr>
            <w:tcW w:w="1301" w:type="dxa"/>
            <w:gridSpan w:val="3"/>
            <w:shd w:val="clear" w:color="auto" w:fill="FFFFFF" w:themeFill="background1"/>
            <w:hideMark/>
          </w:tcPr>
          <w:p w:rsidR="005F209F" w:rsidRDefault="005F209F" w:rsidP="005F209F">
            <w:pPr>
              <w:spacing w:after="0"/>
              <w:jc w:val="right"/>
            </w:pPr>
            <w:r w:rsidRPr="00822EC2">
              <w:rPr>
                <w:rFonts w:eastAsia="Times New Roman" w:cstheme="minorHAnsi"/>
                <w:color w:val="000000"/>
                <w:sz w:val="20"/>
                <w:lang w:eastAsia="en-NZ"/>
              </w:rPr>
              <w:t>Within 10%</w:t>
            </w:r>
          </w:p>
        </w:tc>
        <w:tc>
          <w:tcPr>
            <w:tcW w:w="4252" w:type="dxa"/>
            <w:shd w:val="clear" w:color="auto" w:fill="FFFFFF" w:themeFill="background1"/>
            <w:hideMark/>
          </w:tcPr>
          <w:p w:rsidR="005F209F" w:rsidRPr="00CA4713" w:rsidRDefault="005F209F" w:rsidP="005F209F">
            <w:pPr>
              <w:spacing w:after="0" w:line="240" w:lineRule="auto"/>
              <w:jc w:val="right"/>
              <w:rPr>
                <w:rFonts w:eastAsia="Times New Roman" w:cstheme="minorHAnsi"/>
                <w:color w:val="000000"/>
                <w:sz w:val="20"/>
                <w:lang w:eastAsia="en-NZ"/>
              </w:rPr>
            </w:pPr>
          </w:p>
        </w:tc>
      </w:tr>
      <w:tr w:rsidR="00546A26" w:rsidRPr="00CA4713" w:rsidTr="009C3D9F">
        <w:trPr>
          <w:trHeight w:val="270"/>
        </w:trPr>
        <w:tc>
          <w:tcPr>
            <w:tcW w:w="4387" w:type="dxa"/>
            <w:gridSpan w:val="2"/>
            <w:shd w:val="clear" w:color="auto" w:fill="auto"/>
            <w:hideMark/>
          </w:tcPr>
          <w:p w:rsidR="00546A26" w:rsidRPr="00CA4713" w:rsidRDefault="00546A26" w:rsidP="004106CD">
            <w:pPr>
              <w:spacing w:after="0" w:line="240" w:lineRule="auto"/>
              <w:rPr>
                <w:rFonts w:eastAsia="Times New Roman" w:cstheme="minorHAnsi"/>
                <w:color w:val="000000"/>
                <w:sz w:val="20"/>
                <w:lang w:eastAsia="en-NZ"/>
              </w:rPr>
            </w:pPr>
            <w:r w:rsidRPr="00CA4713">
              <w:rPr>
                <w:rFonts w:eastAsia="Times New Roman" w:cstheme="minorHAnsi"/>
                <w:color w:val="000000"/>
                <w:sz w:val="20"/>
                <w:lang w:eastAsia="en-NZ"/>
              </w:rPr>
              <w:t>Keith Spry</w:t>
            </w:r>
          </w:p>
        </w:tc>
        <w:tc>
          <w:tcPr>
            <w:tcW w:w="1134" w:type="dxa"/>
            <w:gridSpan w:val="3"/>
            <w:shd w:val="clear" w:color="auto" w:fill="FFFFFF" w:themeFill="background1"/>
            <w:noWrap/>
            <w:hideMark/>
          </w:tcPr>
          <w:p w:rsidR="00546A26" w:rsidRPr="00CA4713" w:rsidRDefault="00546A26" w:rsidP="004106CD">
            <w:pPr>
              <w:spacing w:after="0" w:line="240" w:lineRule="auto"/>
              <w:jc w:val="right"/>
              <w:rPr>
                <w:rFonts w:eastAsia="Times New Roman" w:cstheme="minorHAnsi"/>
                <w:color w:val="000000"/>
                <w:sz w:val="20"/>
                <w:lang w:eastAsia="en-NZ"/>
              </w:rPr>
            </w:pPr>
            <w:r w:rsidRPr="00CA4713">
              <w:rPr>
                <w:rFonts w:eastAsia="Times New Roman" w:cstheme="minorHAnsi"/>
                <w:color w:val="000000"/>
                <w:sz w:val="20"/>
                <w:lang w:eastAsia="en-NZ"/>
              </w:rPr>
              <w:t>209,754 </w:t>
            </w:r>
          </w:p>
        </w:tc>
        <w:tc>
          <w:tcPr>
            <w:tcW w:w="1245" w:type="dxa"/>
            <w:gridSpan w:val="4"/>
            <w:shd w:val="clear" w:color="auto" w:fill="FFFFFF" w:themeFill="background1"/>
            <w:noWrap/>
            <w:hideMark/>
          </w:tcPr>
          <w:p w:rsidR="00546A26" w:rsidRPr="00CA4713" w:rsidRDefault="00546A26" w:rsidP="004106CD">
            <w:pPr>
              <w:spacing w:after="0" w:line="240" w:lineRule="auto"/>
              <w:jc w:val="right"/>
              <w:rPr>
                <w:rFonts w:eastAsia="Times New Roman" w:cstheme="minorHAnsi"/>
                <w:color w:val="000000"/>
                <w:sz w:val="20"/>
                <w:lang w:eastAsia="en-NZ"/>
              </w:rPr>
            </w:pPr>
            <w:r w:rsidRPr="00CA4713">
              <w:rPr>
                <w:rFonts w:eastAsia="Times New Roman" w:cstheme="minorHAnsi"/>
                <w:color w:val="000000"/>
                <w:sz w:val="20"/>
                <w:lang w:eastAsia="en-NZ"/>
              </w:rPr>
              <w:t>201,835</w:t>
            </w:r>
          </w:p>
        </w:tc>
        <w:tc>
          <w:tcPr>
            <w:tcW w:w="1212" w:type="dxa"/>
            <w:gridSpan w:val="3"/>
            <w:shd w:val="clear" w:color="auto" w:fill="auto"/>
            <w:noWrap/>
            <w:hideMark/>
          </w:tcPr>
          <w:p w:rsidR="00546A26" w:rsidRPr="00CA4713" w:rsidRDefault="00546A26" w:rsidP="004106CD">
            <w:pPr>
              <w:spacing w:after="0" w:line="240" w:lineRule="auto"/>
              <w:jc w:val="right"/>
              <w:rPr>
                <w:rFonts w:eastAsia="Times New Roman" w:cstheme="minorHAnsi"/>
                <w:color w:val="000000"/>
                <w:sz w:val="20"/>
                <w:lang w:eastAsia="en-NZ"/>
              </w:rPr>
            </w:pPr>
            <w:r w:rsidRPr="00CA4713">
              <w:rPr>
                <w:rFonts w:eastAsia="Times New Roman" w:cstheme="minorHAnsi"/>
                <w:color w:val="000000"/>
                <w:sz w:val="20"/>
                <w:lang w:eastAsia="en-NZ"/>
              </w:rPr>
              <w:t xml:space="preserve">175,122 </w:t>
            </w:r>
          </w:p>
        </w:tc>
        <w:tc>
          <w:tcPr>
            <w:tcW w:w="1120" w:type="dxa"/>
            <w:gridSpan w:val="2"/>
            <w:shd w:val="clear" w:color="000000" w:fill="D9D9D9"/>
            <w:hideMark/>
          </w:tcPr>
          <w:p w:rsidR="00546A26" w:rsidRPr="00CA4713" w:rsidRDefault="00546A26" w:rsidP="004106CD">
            <w:pPr>
              <w:spacing w:after="0" w:line="240" w:lineRule="auto"/>
              <w:jc w:val="right"/>
              <w:rPr>
                <w:rFonts w:eastAsia="Times New Roman" w:cstheme="minorHAnsi"/>
                <w:color w:val="000000"/>
                <w:sz w:val="20"/>
                <w:lang w:eastAsia="en-NZ"/>
              </w:rPr>
            </w:pPr>
            <w:r w:rsidRPr="00CA4713">
              <w:rPr>
                <w:rFonts w:eastAsia="Times New Roman" w:cstheme="minorHAnsi"/>
                <w:color w:val="000000"/>
                <w:sz w:val="20"/>
                <w:lang w:eastAsia="en-NZ"/>
              </w:rPr>
              <w:t>217,425</w:t>
            </w:r>
          </w:p>
        </w:tc>
        <w:tc>
          <w:tcPr>
            <w:tcW w:w="800" w:type="dxa"/>
            <w:gridSpan w:val="3"/>
            <w:shd w:val="clear" w:color="auto" w:fill="auto"/>
            <w:hideMark/>
          </w:tcPr>
          <w:p w:rsidR="00546A26" w:rsidRPr="00CA4713" w:rsidRDefault="00546A26" w:rsidP="004106CD">
            <w:pPr>
              <w:spacing w:after="0" w:line="240" w:lineRule="auto"/>
              <w:jc w:val="right"/>
              <w:rPr>
                <w:rFonts w:eastAsia="Times New Roman" w:cstheme="minorHAnsi"/>
                <w:color w:val="000000" w:themeColor="text1"/>
                <w:sz w:val="20"/>
                <w:lang w:eastAsia="en-NZ"/>
              </w:rPr>
            </w:pPr>
            <w:r w:rsidRPr="00CA4713">
              <w:rPr>
                <w:rFonts w:eastAsia="Times New Roman" w:cstheme="minorHAnsi"/>
                <w:color w:val="000000" w:themeColor="text1"/>
                <w:sz w:val="20"/>
                <w:lang w:eastAsia="en-NZ"/>
              </w:rPr>
              <w:t>-19%</w:t>
            </w:r>
          </w:p>
        </w:tc>
        <w:tc>
          <w:tcPr>
            <w:tcW w:w="1301" w:type="dxa"/>
            <w:gridSpan w:val="3"/>
            <w:shd w:val="clear" w:color="auto" w:fill="auto"/>
            <w:hideMark/>
          </w:tcPr>
          <w:p w:rsidR="00546A26" w:rsidRPr="00CA4713" w:rsidRDefault="00546A26" w:rsidP="005F209F">
            <w:pPr>
              <w:spacing w:after="0" w:line="240" w:lineRule="auto"/>
              <w:jc w:val="right"/>
              <w:rPr>
                <w:rFonts w:eastAsia="Times New Roman" w:cstheme="minorHAnsi"/>
                <w:color w:val="000000" w:themeColor="text1"/>
                <w:sz w:val="20"/>
                <w:lang w:eastAsia="en-NZ"/>
              </w:rPr>
            </w:pPr>
            <w:r w:rsidRPr="00CA4713">
              <w:rPr>
                <w:rFonts w:eastAsia="Times New Roman" w:cstheme="minorHAnsi"/>
                <w:color w:val="000000" w:themeColor="text1"/>
                <w:sz w:val="20"/>
                <w:lang w:eastAsia="en-NZ"/>
              </w:rPr>
              <w:t>not met</w:t>
            </w:r>
          </w:p>
        </w:tc>
        <w:tc>
          <w:tcPr>
            <w:tcW w:w="4252" w:type="dxa"/>
            <w:shd w:val="clear" w:color="auto" w:fill="auto"/>
            <w:hideMark/>
          </w:tcPr>
          <w:p w:rsidR="00546A26" w:rsidRPr="00CA4713" w:rsidRDefault="00546A26" w:rsidP="004106CD">
            <w:pPr>
              <w:spacing w:after="0" w:line="240" w:lineRule="auto"/>
              <w:rPr>
                <w:rFonts w:eastAsia="Times New Roman" w:cstheme="minorHAnsi"/>
                <w:color w:val="000000"/>
                <w:sz w:val="20"/>
                <w:lang w:eastAsia="en-NZ"/>
              </w:rPr>
            </w:pPr>
            <w:r w:rsidRPr="00CA4713">
              <w:rPr>
                <w:rFonts w:cstheme="minorHAnsi"/>
                <w:color w:val="000000"/>
                <w:sz w:val="20"/>
                <w:szCs w:val="20"/>
              </w:rPr>
              <w:t>Attendance at the pool continues to be affected by the construction of Waitohi. There has been a big impact on customers being able to find parking and this has seen a reduction in the number of people visiting the pool, particularly in the last quarter. This is expected to continue through until December 2019, when the construction work is due to be completed.</w:t>
            </w:r>
          </w:p>
        </w:tc>
      </w:tr>
      <w:tr w:rsidR="00546A26" w:rsidRPr="00CA4713" w:rsidTr="009C3D9F">
        <w:trPr>
          <w:trHeight w:val="270"/>
        </w:trPr>
        <w:tc>
          <w:tcPr>
            <w:tcW w:w="4387" w:type="dxa"/>
            <w:gridSpan w:val="2"/>
            <w:shd w:val="clear" w:color="auto" w:fill="auto"/>
            <w:hideMark/>
          </w:tcPr>
          <w:p w:rsidR="00546A26" w:rsidRPr="00CA4713" w:rsidRDefault="00546A26" w:rsidP="004106CD">
            <w:pPr>
              <w:spacing w:after="0" w:line="240" w:lineRule="auto"/>
              <w:rPr>
                <w:rFonts w:eastAsia="Times New Roman" w:cstheme="minorHAnsi"/>
                <w:color w:val="000000"/>
                <w:sz w:val="20"/>
                <w:lang w:eastAsia="en-NZ"/>
              </w:rPr>
            </w:pPr>
            <w:r w:rsidRPr="00CA4713">
              <w:rPr>
                <w:rFonts w:eastAsia="Times New Roman" w:cstheme="minorHAnsi"/>
                <w:color w:val="000000"/>
                <w:sz w:val="20"/>
                <w:lang w:eastAsia="en-NZ"/>
              </w:rPr>
              <w:t>Karori</w:t>
            </w:r>
          </w:p>
        </w:tc>
        <w:tc>
          <w:tcPr>
            <w:tcW w:w="1134" w:type="dxa"/>
            <w:gridSpan w:val="3"/>
            <w:shd w:val="clear" w:color="auto" w:fill="FFFFFF" w:themeFill="background1"/>
            <w:noWrap/>
            <w:hideMark/>
          </w:tcPr>
          <w:p w:rsidR="00546A26" w:rsidRPr="00CA4713" w:rsidRDefault="00546A26" w:rsidP="004106CD">
            <w:pPr>
              <w:tabs>
                <w:tab w:val="center" w:pos="478"/>
                <w:tab w:val="right" w:pos="957"/>
              </w:tabs>
              <w:spacing w:after="0" w:line="240" w:lineRule="auto"/>
              <w:rPr>
                <w:rFonts w:eastAsia="Times New Roman" w:cstheme="minorHAnsi"/>
                <w:color w:val="000000"/>
                <w:sz w:val="20"/>
                <w:lang w:eastAsia="en-NZ"/>
              </w:rPr>
            </w:pPr>
            <w:r w:rsidRPr="00CA4713">
              <w:rPr>
                <w:rFonts w:eastAsia="Times New Roman" w:cstheme="minorHAnsi"/>
                <w:color w:val="000000"/>
                <w:sz w:val="20"/>
                <w:lang w:eastAsia="en-NZ"/>
              </w:rPr>
              <w:tab/>
              <w:t>178,352</w:t>
            </w:r>
            <w:r w:rsidRPr="00CA4713">
              <w:rPr>
                <w:rFonts w:eastAsia="Times New Roman" w:cstheme="minorHAnsi"/>
                <w:color w:val="000000"/>
                <w:sz w:val="20"/>
                <w:lang w:eastAsia="en-NZ"/>
              </w:rPr>
              <w:tab/>
              <w:t> </w:t>
            </w:r>
          </w:p>
        </w:tc>
        <w:tc>
          <w:tcPr>
            <w:tcW w:w="1245" w:type="dxa"/>
            <w:gridSpan w:val="4"/>
            <w:shd w:val="clear" w:color="auto" w:fill="FFFFFF" w:themeFill="background1"/>
            <w:noWrap/>
            <w:hideMark/>
          </w:tcPr>
          <w:p w:rsidR="00546A26" w:rsidRPr="00CA4713" w:rsidRDefault="00546A26" w:rsidP="004106CD">
            <w:pPr>
              <w:spacing w:after="0" w:line="240" w:lineRule="auto"/>
              <w:jc w:val="right"/>
              <w:rPr>
                <w:rFonts w:eastAsia="Times New Roman" w:cstheme="minorHAnsi"/>
                <w:color w:val="000000"/>
                <w:sz w:val="20"/>
                <w:lang w:eastAsia="en-NZ"/>
              </w:rPr>
            </w:pPr>
            <w:r w:rsidRPr="00CA4713">
              <w:rPr>
                <w:rFonts w:eastAsia="Times New Roman" w:cstheme="minorHAnsi"/>
                <w:color w:val="000000"/>
                <w:sz w:val="20"/>
                <w:lang w:eastAsia="en-NZ"/>
              </w:rPr>
              <w:t>128,036</w:t>
            </w:r>
          </w:p>
        </w:tc>
        <w:tc>
          <w:tcPr>
            <w:tcW w:w="1212" w:type="dxa"/>
            <w:gridSpan w:val="3"/>
            <w:shd w:val="clear" w:color="auto" w:fill="auto"/>
            <w:noWrap/>
            <w:hideMark/>
          </w:tcPr>
          <w:p w:rsidR="00546A26" w:rsidRPr="00CA4713" w:rsidRDefault="00546A26" w:rsidP="004106CD">
            <w:pPr>
              <w:spacing w:after="0" w:line="240" w:lineRule="auto"/>
              <w:jc w:val="right"/>
              <w:rPr>
                <w:rFonts w:eastAsia="Times New Roman" w:cstheme="minorHAnsi"/>
                <w:color w:val="000000"/>
                <w:sz w:val="20"/>
                <w:lang w:eastAsia="en-NZ"/>
              </w:rPr>
            </w:pPr>
            <w:r w:rsidRPr="00CA4713">
              <w:rPr>
                <w:rFonts w:eastAsia="Times New Roman" w:cstheme="minorHAnsi"/>
                <w:color w:val="000000"/>
                <w:sz w:val="20"/>
                <w:lang w:eastAsia="en-NZ"/>
              </w:rPr>
              <w:t xml:space="preserve">164,487 </w:t>
            </w:r>
          </w:p>
        </w:tc>
        <w:tc>
          <w:tcPr>
            <w:tcW w:w="1120" w:type="dxa"/>
            <w:gridSpan w:val="2"/>
            <w:shd w:val="clear" w:color="000000" w:fill="D9D9D9"/>
            <w:hideMark/>
          </w:tcPr>
          <w:p w:rsidR="00546A26" w:rsidRPr="00CA4713" w:rsidRDefault="00546A26" w:rsidP="004106CD">
            <w:pPr>
              <w:spacing w:after="0" w:line="240" w:lineRule="auto"/>
              <w:jc w:val="right"/>
              <w:rPr>
                <w:rFonts w:eastAsia="Times New Roman" w:cstheme="minorHAnsi"/>
                <w:color w:val="000000"/>
                <w:sz w:val="20"/>
                <w:lang w:eastAsia="en-NZ"/>
              </w:rPr>
            </w:pPr>
            <w:r w:rsidRPr="00CA4713">
              <w:rPr>
                <w:rFonts w:eastAsia="Times New Roman" w:cstheme="minorHAnsi"/>
                <w:color w:val="000000"/>
                <w:sz w:val="20"/>
                <w:lang w:eastAsia="en-NZ"/>
              </w:rPr>
              <w:t>176,388</w:t>
            </w:r>
          </w:p>
        </w:tc>
        <w:tc>
          <w:tcPr>
            <w:tcW w:w="800" w:type="dxa"/>
            <w:gridSpan w:val="3"/>
            <w:shd w:val="clear" w:color="auto" w:fill="auto"/>
            <w:hideMark/>
          </w:tcPr>
          <w:p w:rsidR="00546A26" w:rsidRPr="00CA4713" w:rsidRDefault="00546A26" w:rsidP="004106CD">
            <w:pPr>
              <w:spacing w:after="0" w:line="240" w:lineRule="auto"/>
              <w:jc w:val="right"/>
              <w:rPr>
                <w:rFonts w:eastAsia="Times New Roman" w:cstheme="minorHAnsi"/>
                <w:color w:val="000000"/>
                <w:sz w:val="20"/>
                <w:lang w:eastAsia="en-NZ"/>
              </w:rPr>
            </w:pPr>
            <w:r w:rsidRPr="00CA4713">
              <w:rPr>
                <w:rFonts w:eastAsia="Times New Roman" w:cstheme="minorHAnsi"/>
                <w:color w:val="000000"/>
                <w:sz w:val="20"/>
                <w:lang w:eastAsia="en-NZ"/>
              </w:rPr>
              <w:t>-7%</w:t>
            </w:r>
          </w:p>
        </w:tc>
        <w:tc>
          <w:tcPr>
            <w:tcW w:w="1301" w:type="dxa"/>
            <w:gridSpan w:val="3"/>
            <w:shd w:val="clear" w:color="auto" w:fill="auto"/>
            <w:hideMark/>
          </w:tcPr>
          <w:p w:rsidR="00546A26" w:rsidRPr="00CA4713" w:rsidRDefault="005F209F" w:rsidP="005F209F">
            <w:pPr>
              <w:spacing w:after="0" w:line="240" w:lineRule="auto"/>
              <w:jc w:val="right"/>
              <w:rPr>
                <w:rFonts w:eastAsia="Times New Roman" w:cstheme="minorHAnsi"/>
                <w:color w:val="000000"/>
                <w:sz w:val="20"/>
                <w:lang w:eastAsia="en-NZ"/>
              </w:rPr>
            </w:pPr>
            <w:r>
              <w:rPr>
                <w:rFonts w:eastAsia="Times New Roman" w:cstheme="minorHAnsi"/>
                <w:color w:val="000000"/>
                <w:sz w:val="20"/>
                <w:lang w:eastAsia="en-NZ"/>
              </w:rPr>
              <w:t>Within 10%</w:t>
            </w:r>
          </w:p>
        </w:tc>
        <w:tc>
          <w:tcPr>
            <w:tcW w:w="4252" w:type="dxa"/>
            <w:shd w:val="clear" w:color="auto" w:fill="auto"/>
            <w:hideMark/>
          </w:tcPr>
          <w:p w:rsidR="00546A26" w:rsidRPr="00CA4713" w:rsidRDefault="00546A26" w:rsidP="004106CD">
            <w:pPr>
              <w:spacing w:after="0" w:line="240" w:lineRule="auto"/>
              <w:jc w:val="right"/>
              <w:rPr>
                <w:rFonts w:eastAsia="Times New Roman" w:cstheme="minorHAnsi"/>
                <w:color w:val="000000"/>
                <w:sz w:val="20"/>
                <w:lang w:eastAsia="en-NZ"/>
              </w:rPr>
            </w:pPr>
          </w:p>
        </w:tc>
      </w:tr>
      <w:tr w:rsidR="00546A26" w:rsidRPr="00CA4713" w:rsidTr="009C3D9F">
        <w:trPr>
          <w:trHeight w:val="270"/>
        </w:trPr>
        <w:tc>
          <w:tcPr>
            <w:tcW w:w="4387" w:type="dxa"/>
            <w:gridSpan w:val="2"/>
            <w:shd w:val="clear" w:color="auto" w:fill="auto"/>
            <w:hideMark/>
          </w:tcPr>
          <w:p w:rsidR="00546A26" w:rsidRPr="00CA4713" w:rsidRDefault="00546A26" w:rsidP="004106CD">
            <w:pPr>
              <w:spacing w:after="0" w:line="240" w:lineRule="auto"/>
              <w:rPr>
                <w:rFonts w:eastAsia="Times New Roman" w:cstheme="minorHAnsi"/>
                <w:color w:val="000000"/>
                <w:sz w:val="20"/>
                <w:lang w:eastAsia="en-NZ"/>
              </w:rPr>
            </w:pPr>
            <w:r w:rsidRPr="00CA4713">
              <w:rPr>
                <w:rFonts w:eastAsia="Times New Roman" w:cstheme="minorHAnsi"/>
                <w:color w:val="000000"/>
                <w:sz w:val="20"/>
                <w:lang w:eastAsia="en-NZ"/>
              </w:rPr>
              <w:t>Thorndon</w:t>
            </w:r>
          </w:p>
        </w:tc>
        <w:tc>
          <w:tcPr>
            <w:tcW w:w="1134" w:type="dxa"/>
            <w:gridSpan w:val="3"/>
            <w:shd w:val="clear" w:color="auto" w:fill="FFFFFF" w:themeFill="background1"/>
            <w:noWrap/>
            <w:hideMark/>
          </w:tcPr>
          <w:p w:rsidR="00546A26" w:rsidRPr="00CA4713" w:rsidRDefault="00546A26" w:rsidP="004106CD">
            <w:pPr>
              <w:spacing w:after="0" w:line="240" w:lineRule="auto"/>
              <w:jc w:val="right"/>
              <w:rPr>
                <w:rFonts w:eastAsia="Times New Roman" w:cstheme="minorHAnsi"/>
                <w:color w:val="000000"/>
                <w:sz w:val="20"/>
                <w:lang w:eastAsia="en-NZ"/>
              </w:rPr>
            </w:pPr>
            <w:r w:rsidRPr="00CA4713">
              <w:rPr>
                <w:rFonts w:eastAsia="Times New Roman" w:cstheme="minorHAnsi"/>
                <w:color w:val="000000"/>
                <w:sz w:val="20"/>
                <w:lang w:eastAsia="en-NZ"/>
              </w:rPr>
              <w:t>32,721 </w:t>
            </w:r>
          </w:p>
        </w:tc>
        <w:tc>
          <w:tcPr>
            <w:tcW w:w="1245" w:type="dxa"/>
            <w:gridSpan w:val="4"/>
            <w:shd w:val="clear" w:color="auto" w:fill="FFFFFF" w:themeFill="background1"/>
            <w:noWrap/>
            <w:hideMark/>
          </w:tcPr>
          <w:p w:rsidR="00546A26" w:rsidRPr="00CA4713" w:rsidRDefault="00546A26" w:rsidP="004106CD">
            <w:pPr>
              <w:spacing w:after="0" w:line="240" w:lineRule="auto"/>
              <w:jc w:val="right"/>
              <w:rPr>
                <w:rFonts w:eastAsia="Times New Roman" w:cstheme="minorHAnsi"/>
                <w:color w:val="000000"/>
                <w:sz w:val="20"/>
                <w:lang w:eastAsia="en-NZ"/>
              </w:rPr>
            </w:pPr>
            <w:r w:rsidRPr="00CA4713">
              <w:rPr>
                <w:rFonts w:eastAsia="Times New Roman" w:cstheme="minorHAnsi"/>
                <w:color w:val="000000"/>
                <w:sz w:val="20"/>
                <w:lang w:eastAsia="en-NZ"/>
              </w:rPr>
              <w:t>42,526</w:t>
            </w:r>
          </w:p>
        </w:tc>
        <w:tc>
          <w:tcPr>
            <w:tcW w:w="1212" w:type="dxa"/>
            <w:gridSpan w:val="3"/>
            <w:shd w:val="clear" w:color="auto" w:fill="auto"/>
            <w:noWrap/>
            <w:hideMark/>
          </w:tcPr>
          <w:p w:rsidR="00546A26" w:rsidRPr="00CA4713" w:rsidRDefault="00546A26" w:rsidP="004106CD">
            <w:pPr>
              <w:spacing w:after="0" w:line="240" w:lineRule="auto"/>
              <w:jc w:val="right"/>
              <w:rPr>
                <w:rFonts w:eastAsia="Times New Roman" w:cstheme="minorHAnsi"/>
                <w:color w:val="000000"/>
                <w:sz w:val="20"/>
                <w:lang w:eastAsia="en-NZ"/>
              </w:rPr>
            </w:pPr>
            <w:r w:rsidRPr="00CA4713">
              <w:rPr>
                <w:rFonts w:eastAsia="Times New Roman" w:cstheme="minorHAnsi"/>
                <w:color w:val="000000"/>
                <w:sz w:val="20"/>
                <w:lang w:eastAsia="en-NZ"/>
              </w:rPr>
              <w:t xml:space="preserve">39,237 </w:t>
            </w:r>
          </w:p>
        </w:tc>
        <w:tc>
          <w:tcPr>
            <w:tcW w:w="1120" w:type="dxa"/>
            <w:gridSpan w:val="2"/>
            <w:shd w:val="clear" w:color="000000" w:fill="D9D9D9"/>
            <w:hideMark/>
          </w:tcPr>
          <w:p w:rsidR="00546A26" w:rsidRPr="00CA4713" w:rsidRDefault="00546A26" w:rsidP="004106CD">
            <w:pPr>
              <w:spacing w:after="0" w:line="240" w:lineRule="auto"/>
              <w:jc w:val="right"/>
              <w:rPr>
                <w:rFonts w:eastAsia="Times New Roman" w:cstheme="minorHAnsi"/>
                <w:color w:val="000000"/>
                <w:sz w:val="20"/>
                <w:lang w:eastAsia="en-NZ"/>
              </w:rPr>
            </w:pPr>
            <w:r w:rsidRPr="00CA4713">
              <w:rPr>
                <w:rFonts w:eastAsia="Times New Roman" w:cstheme="minorHAnsi"/>
                <w:color w:val="000000"/>
                <w:sz w:val="20"/>
                <w:lang w:eastAsia="en-NZ"/>
              </w:rPr>
              <w:t>33,720</w:t>
            </w:r>
          </w:p>
        </w:tc>
        <w:tc>
          <w:tcPr>
            <w:tcW w:w="800" w:type="dxa"/>
            <w:gridSpan w:val="3"/>
            <w:shd w:val="clear" w:color="auto" w:fill="auto"/>
            <w:hideMark/>
          </w:tcPr>
          <w:p w:rsidR="00546A26" w:rsidRPr="00CA4713" w:rsidRDefault="00546A26" w:rsidP="004106CD">
            <w:pPr>
              <w:spacing w:after="0" w:line="240" w:lineRule="auto"/>
              <w:jc w:val="right"/>
              <w:rPr>
                <w:rFonts w:eastAsia="Times New Roman" w:cstheme="minorHAnsi"/>
                <w:color w:val="000000"/>
                <w:sz w:val="20"/>
                <w:lang w:eastAsia="en-NZ"/>
              </w:rPr>
            </w:pPr>
            <w:r w:rsidRPr="00CA4713">
              <w:rPr>
                <w:rFonts w:eastAsia="Times New Roman" w:cstheme="minorHAnsi"/>
                <w:color w:val="000000"/>
                <w:sz w:val="20"/>
                <w:lang w:eastAsia="en-NZ"/>
              </w:rPr>
              <w:t>16%</w:t>
            </w:r>
          </w:p>
        </w:tc>
        <w:tc>
          <w:tcPr>
            <w:tcW w:w="1301" w:type="dxa"/>
            <w:gridSpan w:val="3"/>
            <w:shd w:val="clear" w:color="auto" w:fill="auto"/>
            <w:hideMark/>
          </w:tcPr>
          <w:p w:rsidR="00546A26" w:rsidRPr="00CA4713" w:rsidRDefault="00546A26" w:rsidP="005F209F">
            <w:pPr>
              <w:spacing w:after="0" w:line="240" w:lineRule="auto"/>
              <w:jc w:val="right"/>
              <w:rPr>
                <w:rFonts w:eastAsia="Times New Roman" w:cstheme="minorHAnsi"/>
                <w:color w:val="000000"/>
                <w:sz w:val="20"/>
                <w:lang w:eastAsia="en-NZ"/>
              </w:rPr>
            </w:pPr>
            <w:r w:rsidRPr="00CA4713">
              <w:rPr>
                <w:rFonts w:eastAsia="Times New Roman" w:cstheme="minorHAnsi"/>
                <w:color w:val="000000"/>
                <w:sz w:val="20"/>
                <w:lang w:eastAsia="en-NZ"/>
              </w:rPr>
              <w:t>exceeded</w:t>
            </w:r>
          </w:p>
        </w:tc>
        <w:tc>
          <w:tcPr>
            <w:tcW w:w="4252" w:type="dxa"/>
            <w:shd w:val="clear" w:color="auto" w:fill="auto"/>
            <w:hideMark/>
          </w:tcPr>
          <w:p w:rsidR="00546A26" w:rsidRPr="00CA4713" w:rsidRDefault="00546A26" w:rsidP="004106CD">
            <w:pPr>
              <w:spacing w:after="0" w:line="240" w:lineRule="auto"/>
              <w:rPr>
                <w:rFonts w:eastAsia="Times New Roman" w:cstheme="minorHAnsi"/>
                <w:color w:val="000000"/>
                <w:sz w:val="20"/>
                <w:lang w:eastAsia="en-NZ"/>
              </w:rPr>
            </w:pPr>
            <w:r w:rsidRPr="00CA4713">
              <w:rPr>
                <w:rFonts w:eastAsia="Times New Roman" w:cstheme="minorHAnsi"/>
                <w:color w:val="000000"/>
                <w:sz w:val="20"/>
                <w:lang w:eastAsia="en-NZ"/>
              </w:rPr>
              <w:t>Overall</w:t>
            </w:r>
            <w:r w:rsidR="00B701E7">
              <w:rPr>
                <w:rFonts w:eastAsia="Times New Roman" w:cstheme="minorHAnsi"/>
                <w:color w:val="000000"/>
                <w:sz w:val="20"/>
                <w:lang w:eastAsia="en-NZ"/>
              </w:rPr>
              <w:t>,</w:t>
            </w:r>
            <w:r w:rsidRPr="00CA4713">
              <w:rPr>
                <w:rFonts w:eastAsia="Times New Roman" w:cstheme="minorHAnsi"/>
                <w:color w:val="000000"/>
                <w:sz w:val="20"/>
                <w:lang w:eastAsia="en-NZ"/>
              </w:rPr>
              <w:t xml:space="preserve"> we had high attendance at the pool due to a good summer. January saw record attendance for the month, with more than 12,000 visitors.</w:t>
            </w:r>
          </w:p>
        </w:tc>
      </w:tr>
      <w:tr w:rsidR="005F209F" w:rsidRPr="00CA4713" w:rsidTr="009C3D9F">
        <w:trPr>
          <w:trHeight w:val="217"/>
        </w:trPr>
        <w:tc>
          <w:tcPr>
            <w:tcW w:w="4387" w:type="dxa"/>
            <w:gridSpan w:val="2"/>
            <w:shd w:val="clear" w:color="auto" w:fill="auto"/>
            <w:hideMark/>
          </w:tcPr>
          <w:p w:rsidR="005F209F" w:rsidRPr="00CA4713" w:rsidRDefault="005F209F" w:rsidP="005F209F">
            <w:pPr>
              <w:spacing w:after="0" w:line="240" w:lineRule="auto"/>
              <w:rPr>
                <w:rFonts w:eastAsia="Times New Roman" w:cstheme="minorHAnsi"/>
                <w:color w:val="000000"/>
                <w:sz w:val="20"/>
                <w:lang w:eastAsia="en-NZ"/>
              </w:rPr>
            </w:pPr>
            <w:r w:rsidRPr="00CA4713">
              <w:rPr>
                <w:rFonts w:eastAsia="Times New Roman" w:cstheme="minorHAnsi"/>
                <w:color w:val="000000"/>
                <w:sz w:val="20"/>
                <w:lang w:eastAsia="en-NZ"/>
              </w:rPr>
              <w:t>Khandallah</w:t>
            </w:r>
          </w:p>
        </w:tc>
        <w:tc>
          <w:tcPr>
            <w:tcW w:w="1134" w:type="dxa"/>
            <w:gridSpan w:val="3"/>
            <w:shd w:val="clear" w:color="auto" w:fill="FFFFFF" w:themeFill="background1"/>
            <w:noWrap/>
            <w:hideMark/>
          </w:tcPr>
          <w:p w:rsidR="005F209F" w:rsidRPr="00CA4713" w:rsidRDefault="005F209F" w:rsidP="005F209F">
            <w:pPr>
              <w:spacing w:after="0" w:line="240" w:lineRule="auto"/>
              <w:jc w:val="right"/>
              <w:rPr>
                <w:rFonts w:eastAsia="Times New Roman" w:cstheme="minorHAnsi"/>
                <w:color w:val="000000"/>
                <w:sz w:val="20"/>
                <w:lang w:eastAsia="en-NZ"/>
              </w:rPr>
            </w:pPr>
            <w:r w:rsidRPr="00CA4713">
              <w:rPr>
                <w:rFonts w:eastAsia="Times New Roman" w:cstheme="minorHAnsi"/>
                <w:color w:val="000000"/>
                <w:sz w:val="20"/>
                <w:lang w:eastAsia="en-NZ"/>
              </w:rPr>
              <w:t>7,444 </w:t>
            </w:r>
          </w:p>
        </w:tc>
        <w:tc>
          <w:tcPr>
            <w:tcW w:w="1245" w:type="dxa"/>
            <w:gridSpan w:val="4"/>
            <w:shd w:val="clear" w:color="auto" w:fill="FFFFFF" w:themeFill="background1"/>
            <w:noWrap/>
            <w:hideMark/>
          </w:tcPr>
          <w:p w:rsidR="005F209F" w:rsidRPr="00CA4713" w:rsidRDefault="005F209F" w:rsidP="005F209F">
            <w:pPr>
              <w:spacing w:after="0" w:line="240" w:lineRule="auto"/>
              <w:jc w:val="right"/>
              <w:rPr>
                <w:rFonts w:eastAsia="Times New Roman" w:cstheme="minorHAnsi"/>
                <w:color w:val="000000"/>
                <w:sz w:val="20"/>
                <w:lang w:eastAsia="en-NZ"/>
              </w:rPr>
            </w:pPr>
            <w:r w:rsidRPr="00CA4713">
              <w:rPr>
                <w:rFonts w:eastAsia="Times New Roman" w:cstheme="minorHAnsi"/>
                <w:color w:val="000000"/>
                <w:sz w:val="20"/>
                <w:lang w:eastAsia="en-NZ"/>
              </w:rPr>
              <w:t>19,467</w:t>
            </w:r>
          </w:p>
        </w:tc>
        <w:tc>
          <w:tcPr>
            <w:tcW w:w="1212" w:type="dxa"/>
            <w:gridSpan w:val="3"/>
            <w:shd w:val="clear" w:color="auto" w:fill="auto"/>
            <w:noWrap/>
            <w:hideMark/>
          </w:tcPr>
          <w:p w:rsidR="005F209F" w:rsidRPr="00CA4713" w:rsidRDefault="005F209F" w:rsidP="005F209F">
            <w:pPr>
              <w:spacing w:after="0" w:line="240" w:lineRule="auto"/>
              <w:jc w:val="right"/>
              <w:rPr>
                <w:rFonts w:eastAsia="Times New Roman" w:cstheme="minorHAnsi"/>
                <w:color w:val="000000"/>
                <w:sz w:val="20"/>
                <w:lang w:eastAsia="en-NZ"/>
              </w:rPr>
            </w:pPr>
            <w:r w:rsidRPr="00CA4713">
              <w:rPr>
                <w:rFonts w:eastAsia="Times New Roman" w:cstheme="minorHAnsi"/>
                <w:color w:val="000000"/>
                <w:sz w:val="20"/>
                <w:lang w:eastAsia="en-NZ"/>
              </w:rPr>
              <w:t xml:space="preserve">14,145 </w:t>
            </w:r>
          </w:p>
        </w:tc>
        <w:tc>
          <w:tcPr>
            <w:tcW w:w="1120" w:type="dxa"/>
            <w:gridSpan w:val="2"/>
            <w:shd w:val="clear" w:color="000000" w:fill="D9D9D9"/>
            <w:hideMark/>
          </w:tcPr>
          <w:p w:rsidR="005F209F" w:rsidRPr="00CA4713" w:rsidRDefault="005F209F" w:rsidP="005F209F">
            <w:pPr>
              <w:spacing w:after="0" w:line="240" w:lineRule="auto"/>
              <w:jc w:val="right"/>
              <w:rPr>
                <w:rFonts w:eastAsia="Times New Roman" w:cstheme="minorHAnsi"/>
                <w:color w:val="000000"/>
                <w:sz w:val="20"/>
                <w:lang w:eastAsia="en-NZ"/>
              </w:rPr>
            </w:pPr>
            <w:r w:rsidRPr="00CA4713">
              <w:rPr>
                <w:rFonts w:eastAsia="Times New Roman" w:cstheme="minorHAnsi"/>
                <w:color w:val="000000"/>
                <w:sz w:val="20"/>
                <w:lang w:eastAsia="en-NZ"/>
              </w:rPr>
              <w:t>13,598</w:t>
            </w:r>
          </w:p>
        </w:tc>
        <w:tc>
          <w:tcPr>
            <w:tcW w:w="800" w:type="dxa"/>
            <w:gridSpan w:val="3"/>
            <w:shd w:val="clear" w:color="auto" w:fill="auto"/>
            <w:hideMark/>
          </w:tcPr>
          <w:p w:rsidR="005F209F" w:rsidRPr="00CA4713" w:rsidRDefault="005F209F" w:rsidP="005F209F">
            <w:pPr>
              <w:spacing w:after="0" w:line="240" w:lineRule="auto"/>
              <w:jc w:val="right"/>
              <w:rPr>
                <w:rFonts w:eastAsia="Times New Roman" w:cstheme="minorHAnsi"/>
                <w:color w:val="000000"/>
                <w:sz w:val="20"/>
                <w:lang w:eastAsia="en-NZ"/>
              </w:rPr>
            </w:pPr>
            <w:r w:rsidRPr="00CA4713">
              <w:rPr>
                <w:rFonts w:eastAsia="Times New Roman" w:cstheme="minorHAnsi"/>
                <w:color w:val="000000"/>
                <w:sz w:val="20"/>
                <w:lang w:eastAsia="en-NZ"/>
              </w:rPr>
              <w:t>4%</w:t>
            </w:r>
          </w:p>
        </w:tc>
        <w:tc>
          <w:tcPr>
            <w:tcW w:w="1301" w:type="dxa"/>
            <w:gridSpan w:val="3"/>
            <w:shd w:val="clear" w:color="auto" w:fill="auto"/>
            <w:hideMark/>
          </w:tcPr>
          <w:p w:rsidR="005F209F" w:rsidRDefault="005F209F" w:rsidP="005F209F">
            <w:pPr>
              <w:spacing w:after="0"/>
              <w:jc w:val="right"/>
            </w:pPr>
            <w:r w:rsidRPr="00493253">
              <w:rPr>
                <w:rFonts w:eastAsia="Times New Roman" w:cstheme="minorHAnsi"/>
                <w:color w:val="000000"/>
                <w:sz w:val="20"/>
                <w:lang w:eastAsia="en-NZ"/>
              </w:rPr>
              <w:t>Within 10%</w:t>
            </w:r>
          </w:p>
        </w:tc>
        <w:tc>
          <w:tcPr>
            <w:tcW w:w="4252" w:type="dxa"/>
            <w:shd w:val="clear" w:color="auto" w:fill="auto"/>
          </w:tcPr>
          <w:p w:rsidR="005F209F" w:rsidRPr="00CA4713" w:rsidRDefault="005F209F" w:rsidP="005F209F">
            <w:pPr>
              <w:spacing w:after="0" w:line="240" w:lineRule="auto"/>
              <w:jc w:val="right"/>
              <w:rPr>
                <w:rFonts w:eastAsia="Times New Roman" w:cstheme="minorHAnsi"/>
                <w:color w:val="000000"/>
                <w:sz w:val="20"/>
                <w:lang w:eastAsia="en-NZ"/>
              </w:rPr>
            </w:pPr>
          </w:p>
        </w:tc>
      </w:tr>
      <w:tr w:rsidR="005F209F" w:rsidRPr="00CA4713" w:rsidTr="009C3D9F">
        <w:trPr>
          <w:trHeight w:val="270"/>
        </w:trPr>
        <w:tc>
          <w:tcPr>
            <w:tcW w:w="4387" w:type="dxa"/>
            <w:gridSpan w:val="2"/>
            <w:shd w:val="clear" w:color="auto" w:fill="auto"/>
            <w:hideMark/>
          </w:tcPr>
          <w:p w:rsidR="005F209F" w:rsidRPr="00CA4713" w:rsidRDefault="005F209F" w:rsidP="005F209F">
            <w:pPr>
              <w:spacing w:after="0" w:line="240" w:lineRule="auto"/>
              <w:rPr>
                <w:rFonts w:eastAsia="Times New Roman" w:cstheme="minorHAnsi"/>
                <w:color w:val="000000"/>
                <w:sz w:val="20"/>
                <w:lang w:eastAsia="en-NZ"/>
              </w:rPr>
            </w:pPr>
            <w:proofErr w:type="gramStart"/>
            <w:r w:rsidRPr="00CA4713">
              <w:rPr>
                <w:rFonts w:eastAsia="Times New Roman" w:cstheme="minorHAnsi"/>
                <w:color w:val="000000"/>
                <w:sz w:val="20"/>
                <w:lang w:eastAsia="en-NZ"/>
              </w:rPr>
              <w:t>Marinas</w:t>
            </w:r>
            <w:proofErr w:type="gramEnd"/>
            <w:r w:rsidRPr="00CA4713">
              <w:rPr>
                <w:rFonts w:eastAsia="Times New Roman" w:cstheme="minorHAnsi"/>
                <w:color w:val="000000"/>
                <w:sz w:val="20"/>
                <w:lang w:eastAsia="en-NZ"/>
              </w:rPr>
              <w:t xml:space="preserve"> occupancy (%)</w:t>
            </w:r>
          </w:p>
        </w:tc>
        <w:tc>
          <w:tcPr>
            <w:tcW w:w="1134" w:type="dxa"/>
            <w:gridSpan w:val="3"/>
            <w:shd w:val="clear" w:color="auto" w:fill="auto"/>
            <w:noWrap/>
            <w:hideMark/>
          </w:tcPr>
          <w:p w:rsidR="005F209F" w:rsidRPr="00CA4713" w:rsidRDefault="005F209F" w:rsidP="005F209F">
            <w:pPr>
              <w:spacing w:after="0" w:line="240" w:lineRule="auto"/>
              <w:jc w:val="right"/>
              <w:rPr>
                <w:rFonts w:eastAsia="Times New Roman" w:cstheme="minorHAnsi"/>
                <w:color w:val="000000"/>
                <w:sz w:val="20"/>
                <w:lang w:eastAsia="en-NZ"/>
              </w:rPr>
            </w:pPr>
            <w:r w:rsidRPr="00CA4713">
              <w:rPr>
                <w:rFonts w:eastAsia="Times New Roman" w:cstheme="minorHAnsi"/>
                <w:color w:val="000000"/>
                <w:sz w:val="20"/>
                <w:lang w:eastAsia="en-NZ"/>
              </w:rPr>
              <w:t>98%</w:t>
            </w:r>
          </w:p>
        </w:tc>
        <w:tc>
          <w:tcPr>
            <w:tcW w:w="1245" w:type="dxa"/>
            <w:gridSpan w:val="4"/>
            <w:shd w:val="clear" w:color="auto" w:fill="auto"/>
            <w:noWrap/>
            <w:hideMark/>
          </w:tcPr>
          <w:p w:rsidR="005F209F" w:rsidRPr="00CA4713" w:rsidRDefault="005F209F" w:rsidP="005F209F">
            <w:pPr>
              <w:spacing w:after="0" w:line="240" w:lineRule="auto"/>
              <w:jc w:val="right"/>
              <w:rPr>
                <w:rFonts w:eastAsia="Times New Roman" w:cstheme="minorHAnsi"/>
                <w:color w:val="000000"/>
                <w:sz w:val="20"/>
                <w:lang w:eastAsia="en-NZ"/>
              </w:rPr>
            </w:pPr>
            <w:r w:rsidRPr="00CA4713">
              <w:rPr>
                <w:rFonts w:eastAsia="Times New Roman" w:cstheme="minorHAnsi"/>
                <w:color w:val="000000"/>
                <w:sz w:val="20"/>
                <w:lang w:eastAsia="en-NZ"/>
              </w:rPr>
              <w:t>98%</w:t>
            </w:r>
          </w:p>
        </w:tc>
        <w:tc>
          <w:tcPr>
            <w:tcW w:w="1212" w:type="dxa"/>
            <w:gridSpan w:val="3"/>
            <w:shd w:val="clear" w:color="auto" w:fill="auto"/>
            <w:noWrap/>
            <w:hideMark/>
          </w:tcPr>
          <w:p w:rsidR="005F209F" w:rsidRPr="00CA4713" w:rsidRDefault="005F209F" w:rsidP="005F209F">
            <w:pPr>
              <w:spacing w:after="0" w:line="240" w:lineRule="auto"/>
              <w:jc w:val="right"/>
              <w:rPr>
                <w:rFonts w:eastAsia="Times New Roman" w:cstheme="minorHAnsi"/>
                <w:color w:val="000000"/>
                <w:sz w:val="20"/>
                <w:lang w:eastAsia="en-NZ"/>
              </w:rPr>
            </w:pPr>
            <w:r w:rsidRPr="00CA4713">
              <w:rPr>
                <w:rFonts w:eastAsia="Times New Roman" w:cstheme="minorHAnsi"/>
                <w:color w:val="000000"/>
                <w:sz w:val="20"/>
                <w:lang w:eastAsia="en-NZ"/>
              </w:rPr>
              <w:t>98%</w:t>
            </w:r>
          </w:p>
        </w:tc>
        <w:tc>
          <w:tcPr>
            <w:tcW w:w="1120" w:type="dxa"/>
            <w:gridSpan w:val="2"/>
            <w:shd w:val="clear" w:color="000000" w:fill="D9D9D9"/>
            <w:hideMark/>
          </w:tcPr>
          <w:p w:rsidR="005F209F" w:rsidRPr="00CA4713" w:rsidRDefault="005F209F" w:rsidP="005F209F">
            <w:pPr>
              <w:spacing w:after="0" w:line="240" w:lineRule="auto"/>
              <w:jc w:val="right"/>
              <w:rPr>
                <w:rFonts w:eastAsia="Times New Roman" w:cstheme="minorHAnsi"/>
                <w:color w:val="000000"/>
                <w:sz w:val="20"/>
                <w:lang w:eastAsia="en-NZ"/>
              </w:rPr>
            </w:pPr>
            <w:r w:rsidRPr="00CA4713">
              <w:rPr>
                <w:rFonts w:eastAsia="Times New Roman" w:cstheme="minorHAnsi"/>
                <w:color w:val="000000"/>
                <w:sz w:val="20"/>
                <w:lang w:eastAsia="en-NZ"/>
              </w:rPr>
              <w:t>96%</w:t>
            </w:r>
          </w:p>
        </w:tc>
        <w:tc>
          <w:tcPr>
            <w:tcW w:w="800" w:type="dxa"/>
            <w:gridSpan w:val="3"/>
            <w:shd w:val="clear" w:color="auto" w:fill="auto"/>
            <w:hideMark/>
          </w:tcPr>
          <w:p w:rsidR="005F209F" w:rsidRPr="00CA4713" w:rsidRDefault="005F209F" w:rsidP="005F209F">
            <w:pPr>
              <w:spacing w:after="0" w:line="240" w:lineRule="auto"/>
              <w:jc w:val="right"/>
              <w:rPr>
                <w:rFonts w:eastAsia="Times New Roman" w:cstheme="minorHAnsi"/>
                <w:color w:val="000000"/>
                <w:sz w:val="20"/>
                <w:lang w:eastAsia="en-NZ"/>
              </w:rPr>
            </w:pPr>
            <w:r w:rsidRPr="00CA4713">
              <w:rPr>
                <w:rFonts w:eastAsia="Times New Roman" w:cstheme="minorHAnsi"/>
                <w:color w:val="000000"/>
                <w:sz w:val="20"/>
                <w:lang w:eastAsia="en-NZ"/>
              </w:rPr>
              <w:t>2%</w:t>
            </w:r>
          </w:p>
        </w:tc>
        <w:tc>
          <w:tcPr>
            <w:tcW w:w="1301" w:type="dxa"/>
            <w:gridSpan w:val="3"/>
            <w:shd w:val="clear" w:color="auto" w:fill="FFFFFF" w:themeFill="background1"/>
            <w:hideMark/>
          </w:tcPr>
          <w:p w:rsidR="005F209F" w:rsidRDefault="005F209F" w:rsidP="005F209F">
            <w:pPr>
              <w:spacing w:after="0"/>
              <w:jc w:val="right"/>
            </w:pPr>
            <w:r w:rsidRPr="00493253">
              <w:rPr>
                <w:rFonts w:eastAsia="Times New Roman" w:cstheme="minorHAnsi"/>
                <w:color w:val="000000"/>
                <w:sz w:val="20"/>
                <w:lang w:eastAsia="en-NZ"/>
              </w:rPr>
              <w:t>Within 10%</w:t>
            </w:r>
          </w:p>
        </w:tc>
        <w:tc>
          <w:tcPr>
            <w:tcW w:w="4252" w:type="dxa"/>
            <w:shd w:val="clear" w:color="auto" w:fill="auto"/>
          </w:tcPr>
          <w:p w:rsidR="005F209F" w:rsidRPr="00CA4713" w:rsidRDefault="005F209F" w:rsidP="005F209F">
            <w:pPr>
              <w:spacing w:after="0" w:line="240" w:lineRule="auto"/>
              <w:jc w:val="right"/>
              <w:rPr>
                <w:rFonts w:eastAsia="Times New Roman" w:cstheme="minorHAnsi"/>
                <w:color w:val="000000"/>
                <w:sz w:val="20"/>
                <w:lang w:eastAsia="en-NZ"/>
              </w:rPr>
            </w:pPr>
          </w:p>
        </w:tc>
      </w:tr>
      <w:tr w:rsidR="00546A26" w:rsidRPr="00CA4713" w:rsidTr="009C3D9F">
        <w:trPr>
          <w:trHeight w:val="270"/>
        </w:trPr>
        <w:tc>
          <w:tcPr>
            <w:tcW w:w="4387" w:type="dxa"/>
            <w:gridSpan w:val="2"/>
            <w:shd w:val="clear" w:color="auto" w:fill="auto"/>
            <w:hideMark/>
          </w:tcPr>
          <w:p w:rsidR="00546A26" w:rsidRPr="00CA4713" w:rsidRDefault="00546A26" w:rsidP="004106CD">
            <w:pPr>
              <w:spacing w:after="0" w:line="240" w:lineRule="auto"/>
              <w:rPr>
                <w:rFonts w:eastAsia="Times New Roman" w:cstheme="minorHAnsi"/>
                <w:color w:val="000000"/>
                <w:sz w:val="20"/>
                <w:lang w:eastAsia="en-NZ"/>
              </w:rPr>
            </w:pPr>
            <w:r w:rsidRPr="00CA4713">
              <w:rPr>
                <w:rFonts w:eastAsia="Times New Roman" w:cstheme="minorHAnsi"/>
                <w:color w:val="000000"/>
                <w:sz w:val="20"/>
                <w:lang w:eastAsia="en-NZ"/>
              </w:rPr>
              <w:t>Recreation centre visits, including ASB Sports Centre</w:t>
            </w:r>
          </w:p>
        </w:tc>
        <w:tc>
          <w:tcPr>
            <w:tcW w:w="1134" w:type="dxa"/>
            <w:gridSpan w:val="3"/>
            <w:shd w:val="clear" w:color="auto" w:fill="auto"/>
            <w:noWrap/>
            <w:hideMark/>
          </w:tcPr>
          <w:p w:rsidR="00546A26" w:rsidRPr="00CA4713" w:rsidRDefault="00546A26" w:rsidP="004106CD">
            <w:pPr>
              <w:spacing w:after="0" w:line="240" w:lineRule="auto"/>
              <w:jc w:val="right"/>
              <w:rPr>
                <w:rFonts w:eastAsia="Times New Roman" w:cstheme="minorHAnsi"/>
                <w:color w:val="000000"/>
                <w:sz w:val="20"/>
                <w:lang w:eastAsia="en-NZ"/>
              </w:rPr>
            </w:pPr>
            <w:r w:rsidRPr="00CA4713">
              <w:rPr>
                <w:rFonts w:eastAsia="Times New Roman" w:cstheme="minorHAnsi"/>
                <w:color w:val="000000"/>
                <w:sz w:val="20"/>
                <w:lang w:eastAsia="en-NZ"/>
              </w:rPr>
              <w:t xml:space="preserve">1,223,588 </w:t>
            </w:r>
          </w:p>
        </w:tc>
        <w:tc>
          <w:tcPr>
            <w:tcW w:w="1245" w:type="dxa"/>
            <w:gridSpan w:val="4"/>
            <w:shd w:val="clear" w:color="auto" w:fill="auto"/>
            <w:noWrap/>
            <w:hideMark/>
          </w:tcPr>
          <w:p w:rsidR="00546A26" w:rsidRPr="00CA4713" w:rsidRDefault="00546A26" w:rsidP="004106CD">
            <w:pPr>
              <w:spacing w:after="0" w:line="240" w:lineRule="auto"/>
              <w:jc w:val="right"/>
              <w:rPr>
                <w:rFonts w:eastAsia="Times New Roman" w:cstheme="minorHAnsi"/>
                <w:color w:val="000000"/>
                <w:sz w:val="20"/>
                <w:lang w:eastAsia="en-NZ"/>
              </w:rPr>
            </w:pPr>
            <w:r w:rsidRPr="00CA4713">
              <w:rPr>
                <w:rFonts w:eastAsia="Times New Roman" w:cstheme="minorHAnsi"/>
                <w:color w:val="000000"/>
                <w:sz w:val="20"/>
                <w:lang w:eastAsia="en-NZ"/>
              </w:rPr>
              <w:t xml:space="preserve">1,206,688 </w:t>
            </w:r>
          </w:p>
        </w:tc>
        <w:tc>
          <w:tcPr>
            <w:tcW w:w="1212" w:type="dxa"/>
            <w:gridSpan w:val="3"/>
            <w:shd w:val="clear" w:color="auto" w:fill="auto"/>
            <w:noWrap/>
            <w:hideMark/>
          </w:tcPr>
          <w:p w:rsidR="00546A26" w:rsidRPr="00CA4713" w:rsidRDefault="00546A26" w:rsidP="004106CD">
            <w:pPr>
              <w:spacing w:after="0" w:line="240" w:lineRule="auto"/>
              <w:jc w:val="right"/>
              <w:rPr>
                <w:rFonts w:eastAsia="Times New Roman" w:cstheme="minorHAnsi"/>
                <w:color w:val="000000"/>
                <w:sz w:val="20"/>
                <w:lang w:eastAsia="en-NZ"/>
              </w:rPr>
            </w:pPr>
            <w:r w:rsidRPr="00CA4713">
              <w:rPr>
                <w:rFonts w:eastAsia="Times New Roman" w:cstheme="minorHAnsi"/>
                <w:color w:val="000000"/>
                <w:sz w:val="20"/>
                <w:lang w:eastAsia="en-NZ"/>
              </w:rPr>
              <w:t xml:space="preserve">1,288,196 </w:t>
            </w:r>
          </w:p>
        </w:tc>
        <w:tc>
          <w:tcPr>
            <w:tcW w:w="1120" w:type="dxa"/>
            <w:gridSpan w:val="2"/>
            <w:shd w:val="clear" w:color="000000" w:fill="D9D9D9"/>
            <w:hideMark/>
          </w:tcPr>
          <w:p w:rsidR="00546A26" w:rsidRPr="00CA4713" w:rsidRDefault="00546A26" w:rsidP="004106CD">
            <w:pPr>
              <w:spacing w:after="0" w:line="240" w:lineRule="auto"/>
              <w:jc w:val="right"/>
              <w:rPr>
                <w:rFonts w:eastAsia="Times New Roman" w:cstheme="minorHAnsi"/>
                <w:color w:val="000000"/>
                <w:sz w:val="20"/>
                <w:lang w:eastAsia="en-NZ"/>
              </w:rPr>
            </w:pPr>
            <w:r w:rsidRPr="00CA4713">
              <w:rPr>
                <w:rFonts w:eastAsia="Times New Roman" w:cstheme="minorHAnsi"/>
                <w:color w:val="000000"/>
                <w:sz w:val="20"/>
                <w:lang w:eastAsia="en-NZ"/>
              </w:rPr>
              <w:t>1,155,000</w:t>
            </w:r>
          </w:p>
        </w:tc>
        <w:tc>
          <w:tcPr>
            <w:tcW w:w="800" w:type="dxa"/>
            <w:gridSpan w:val="3"/>
            <w:shd w:val="clear" w:color="auto" w:fill="auto"/>
            <w:hideMark/>
          </w:tcPr>
          <w:p w:rsidR="00546A26" w:rsidRPr="00CA4713" w:rsidRDefault="00546A26" w:rsidP="004106CD">
            <w:pPr>
              <w:spacing w:after="0" w:line="240" w:lineRule="auto"/>
              <w:jc w:val="right"/>
              <w:rPr>
                <w:rFonts w:eastAsia="Times New Roman" w:cstheme="minorHAnsi"/>
                <w:color w:val="000000"/>
                <w:sz w:val="20"/>
                <w:lang w:eastAsia="en-NZ"/>
              </w:rPr>
            </w:pPr>
            <w:r w:rsidRPr="00CA4713">
              <w:rPr>
                <w:rFonts w:eastAsia="Times New Roman" w:cstheme="minorHAnsi"/>
                <w:color w:val="000000"/>
                <w:sz w:val="20"/>
                <w:lang w:eastAsia="en-NZ"/>
              </w:rPr>
              <w:t>12%</w:t>
            </w:r>
          </w:p>
        </w:tc>
        <w:tc>
          <w:tcPr>
            <w:tcW w:w="1301" w:type="dxa"/>
            <w:gridSpan w:val="3"/>
            <w:shd w:val="clear" w:color="auto" w:fill="auto"/>
            <w:hideMark/>
          </w:tcPr>
          <w:p w:rsidR="00546A26" w:rsidRPr="00CA4713" w:rsidRDefault="00546A26" w:rsidP="004106CD">
            <w:pPr>
              <w:spacing w:after="0" w:line="240" w:lineRule="auto"/>
              <w:jc w:val="center"/>
              <w:rPr>
                <w:rFonts w:eastAsia="Times New Roman" w:cstheme="minorHAnsi"/>
                <w:color w:val="000000"/>
                <w:sz w:val="20"/>
                <w:lang w:eastAsia="en-NZ"/>
              </w:rPr>
            </w:pPr>
            <w:r w:rsidRPr="00CA4713">
              <w:rPr>
                <w:rFonts w:eastAsia="Times New Roman" w:cstheme="minorHAnsi"/>
                <w:color w:val="000000"/>
                <w:sz w:val="20"/>
                <w:lang w:eastAsia="en-NZ"/>
              </w:rPr>
              <w:t>exceeded</w:t>
            </w:r>
          </w:p>
          <w:p w:rsidR="00546A26" w:rsidRPr="00CA4713" w:rsidRDefault="00546A26" w:rsidP="004106CD">
            <w:pPr>
              <w:spacing w:after="0" w:line="240" w:lineRule="auto"/>
              <w:jc w:val="center"/>
              <w:rPr>
                <w:rFonts w:eastAsia="Times New Roman" w:cstheme="minorHAnsi"/>
                <w:color w:val="000000"/>
                <w:sz w:val="20"/>
                <w:lang w:eastAsia="en-NZ"/>
              </w:rPr>
            </w:pPr>
          </w:p>
        </w:tc>
        <w:tc>
          <w:tcPr>
            <w:tcW w:w="4252" w:type="dxa"/>
            <w:shd w:val="clear" w:color="auto" w:fill="auto"/>
            <w:hideMark/>
          </w:tcPr>
          <w:p w:rsidR="00546A26" w:rsidRPr="00CA4713" w:rsidRDefault="00546A26" w:rsidP="00B701E7">
            <w:pPr>
              <w:spacing w:after="0" w:line="240" w:lineRule="auto"/>
              <w:rPr>
                <w:rFonts w:eastAsia="Times New Roman" w:cstheme="minorHAnsi"/>
                <w:color w:val="000000"/>
                <w:sz w:val="20"/>
                <w:lang w:eastAsia="en-NZ"/>
              </w:rPr>
            </w:pPr>
            <w:r w:rsidRPr="00CA4713">
              <w:rPr>
                <w:rFonts w:cstheme="minorHAnsi"/>
                <w:color w:val="000000"/>
                <w:sz w:val="20"/>
                <w:szCs w:val="20"/>
              </w:rPr>
              <w:t xml:space="preserve">Strong performance continues across all of the Community Recreation Centres </w:t>
            </w:r>
            <w:r w:rsidR="00B701E7">
              <w:rPr>
                <w:rFonts w:cstheme="minorHAnsi"/>
                <w:color w:val="000000"/>
                <w:sz w:val="20"/>
                <w:szCs w:val="20"/>
              </w:rPr>
              <w:t>and</w:t>
            </w:r>
            <w:r w:rsidR="00B701E7" w:rsidRPr="00CA4713">
              <w:rPr>
                <w:rFonts w:cstheme="minorHAnsi"/>
                <w:color w:val="000000"/>
                <w:sz w:val="20"/>
                <w:szCs w:val="20"/>
              </w:rPr>
              <w:t xml:space="preserve"> </w:t>
            </w:r>
            <w:r w:rsidRPr="00CA4713">
              <w:rPr>
                <w:rFonts w:cstheme="minorHAnsi"/>
                <w:color w:val="000000"/>
                <w:sz w:val="20"/>
                <w:szCs w:val="20"/>
              </w:rPr>
              <w:t>the ASB Sports Centre</w:t>
            </w:r>
          </w:p>
        </w:tc>
      </w:tr>
      <w:tr w:rsidR="005F209F" w:rsidRPr="00CA4713" w:rsidTr="009C3D9F">
        <w:trPr>
          <w:trHeight w:val="270"/>
        </w:trPr>
        <w:tc>
          <w:tcPr>
            <w:tcW w:w="4387" w:type="dxa"/>
            <w:gridSpan w:val="2"/>
            <w:shd w:val="clear" w:color="auto" w:fill="auto"/>
            <w:hideMark/>
          </w:tcPr>
          <w:p w:rsidR="005F209F" w:rsidRPr="00CA4713" w:rsidRDefault="005F209F" w:rsidP="005F209F">
            <w:pPr>
              <w:spacing w:after="0" w:line="240" w:lineRule="auto"/>
              <w:rPr>
                <w:rFonts w:eastAsia="Times New Roman" w:cstheme="minorHAnsi"/>
                <w:color w:val="000000"/>
                <w:sz w:val="20"/>
                <w:lang w:eastAsia="en-NZ"/>
              </w:rPr>
            </w:pPr>
            <w:r w:rsidRPr="00CA4713">
              <w:rPr>
                <w:rFonts w:eastAsia="Times New Roman" w:cstheme="minorHAnsi"/>
                <w:color w:val="000000"/>
                <w:sz w:val="20"/>
                <w:lang w:eastAsia="en-NZ"/>
              </w:rPr>
              <w:t>Karori Rec Centre</w:t>
            </w:r>
          </w:p>
        </w:tc>
        <w:tc>
          <w:tcPr>
            <w:tcW w:w="1134" w:type="dxa"/>
            <w:gridSpan w:val="3"/>
            <w:shd w:val="clear" w:color="auto" w:fill="FFFFFF" w:themeFill="background1"/>
            <w:noWrap/>
            <w:hideMark/>
          </w:tcPr>
          <w:p w:rsidR="005F209F" w:rsidRPr="00CA4713" w:rsidRDefault="005F209F" w:rsidP="005F209F">
            <w:pPr>
              <w:spacing w:after="0" w:line="240" w:lineRule="auto"/>
              <w:jc w:val="right"/>
              <w:rPr>
                <w:rFonts w:cstheme="minorHAnsi"/>
                <w:color w:val="000000"/>
                <w:sz w:val="20"/>
                <w:szCs w:val="20"/>
              </w:rPr>
            </w:pPr>
            <w:r w:rsidRPr="00CA4713">
              <w:rPr>
                <w:rFonts w:cstheme="minorHAnsi"/>
                <w:color w:val="000000"/>
                <w:sz w:val="20"/>
                <w:szCs w:val="20"/>
              </w:rPr>
              <w:t>111,836</w:t>
            </w:r>
          </w:p>
        </w:tc>
        <w:tc>
          <w:tcPr>
            <w:tcW w:w="1245" w:type="dxa"/>
            <w:gridSpan w:val="4"/>
            <w:shd w:val="clear" w:color="auto" w:fill="FFFFFF" w:themeFill="background1"/>
            <w:noWrap/>
            <w:hideMark/>
          </w:tcPr>
          <w:p w:rsidR="005F209F" w:rsidRPr="00CA4713" w:rsidRDefault="005F209F" w:rsidP="005F209F">
            <w:pPr>
              <w:spacing w:after="0" w:line="240" w:lineRule="auto"/>
              <w:jc w:val="right"/>
              <w:rPr>
                <w:rFonts w:cstheme="minorHAnsi"/>
                <w:color w:val="000000"/>
                <w:sz w:val="20"/>
                <w:szCs w:val="20"/>
              </w:rPr>
            </w:pPr>
            <w:r w:rsidRPr="00CA4713">
              <w:rPr>
                <w:rFonts w:cstheme="minorHAnsi"/>
                <w:color w:val="000000"/>
                <w:sz w:val="20"/>
                <w:szCs w:val="20"/>
              </w:rPr>
              <w:t>97,857</w:t>
            </w:r>
          </w:p>
        </w:tc>
        <w:tc>
          <w:tcPr>
            <w:tcW w:w="1212" w:type="dxa"/>
            <w:gridSpan w:val="3"/>
            <w:shd w:val="clear" w:color="auto" w:fill="auto"/>
            <w:noWrap/>
            <w:hideMark/>
          </w:tcPr>
          <w:p w:rsidR="005F209F" w:rsidRPr="00CA4713" w:rsidRDefault="005F209F" w:rsidP="005F209F">
            <w:pPr>
              <w:spacing w:after="0" w:line="240" w:lineRule="auto"/>
              <w:jc w:val="right"/>
              <w:rPr>
                <w:rFonts w:cstheme="minorHAnsi"/>
                <w:color w:val="000000"/>
                <w:sz w:val="20"/>
                <w:szCs w:val="20"/>
              </w:rPr>
            </w:pPr>
            <w:r w:rsidRPr="00CA4713">
              <w:rPr>
                <w:rFonts w:cstheme="minorHAnsi"/>
                <w:color w:val="000000"/>
                <w:sz w:val="20"/>
                <w:szCs w:val="20"/>
              </w:rPr>
              <w:t xml:space="preserve">100,414 </w:t>
            </w:r>
          </w:p>
        </w:tc>
        <w:tc>
          <w:tcPr>
            <w:tcW w:w="1120" w:type="dxa"/>
            <w:gridSpan w:val="2"/>
            <w:shd w:val="clear" w:color="000000" w:fill="D9D9D9"/>
            <w:hideMark/>
          </w:tcPr>
          <w:p w:rsidR="005F209F" w:rsidRPr="00CA4713" w:rsidRDefault="005F209F" w:rsidP="005F209F">
            <w:pPr>
              <w:spacing w:after="0" w:line="240" w:lineRule="auto"/>
              <w:jc w:val="right"/>
              <w:rPr>
                <w:rFonts w:eastAsia="Times New Roman" w:cstheme="minorHAnsi"/>
                <w:color w:val="000000"/>
                <w:sz w:val="20"/>
                <w:lang w:eastAsia="en-NZ"/>
              </w:rPr>
            </w:pPr>
            <w:r w:rsidRPr="00CA4713">
              <w:rPr>
                <w:rFonts w:eastAsia="Times New Roman" w:cstheme="minorHAnsi"/>
                <w:color w:val="000000"/>
                <w:sz w:val="20"/>
                <w:lang w:eastAsia="en-NZ"/>
              </w:rPr>
              <w:t>105,000</w:t>
            </w:r>
          </w:p>
        </w:tc>
        <w:tc>
          <w:tcPr>
            <w:tcW w:w="800" w:type="dxa"/>
            <w:gridSpan w:val="3"/>
            <w:shd w:val="clear" w:color="auto" w:fill="auto"/>
            <w:hideMark/>
          </w:tcPr>
          <w:p w:rsidR="005F209F" w:rsidRPr="00CA4713" w:rsidRDefault="005F209F" w:rsidP="005F209F">
            <w:pPr>
              <w:spacing w:after="0" w:line="240" w:lineRule="auto"/>
              <w:jc w:val="right"/>
              <w:rPr>
                <w:rFonts w:eastAsia="Times New Roman" w:cstheme="minorHAnsi"/>
                <w:color w:val="000000"/>
                <w:sz w:val="20"/>
                <w:lang w:eastAsia="en-NZ"/>
              </w:rPr>
            </w:pPr>
            <w:r w:rsidRPr="00CA4713">
              <w:rPr>
                <w:rFonts w:eastAsia="Times New Roman" w:cstheme="minorHAnsi"/>
                <w:color w:val="000000"/>
                <w:sz w:val="20"/>
                <w:lang w:eastAsia="en-NZ"/>
              </w:rPr>
              <w:t>-4%</w:t>
            </w:r>
          </w:p>
        </w:tc>
        <w:tc>
          <w:tcPr>
            <w:tcW w:w="1301" w:type="dxa"/>
            <w:gridSpan w:val="3"/>
            <w:shd w:val="clear" w:color="auto" w:fill="auto"/>
            <w:hideMark/>
          </w:tcPr>
          <w:p w:rsidR="005F209F" w:rsidRDefault="005F209F" w:rsidP="005F209F">
            <w:pPr>
              <w:spacing w:after="0"/>
              <w:jc w:val="right"/>
            </w:pPr>
            <w:r w:rsidRPr="006E0E61">
              <w:rPr>
                <w:rFonts w:eastAsia="Times New Roman" w:cstheme="minorHAnsi"/>
                <w:color w:val="000000"/>
                <w:sz w:val="20"/>
                <w:lang w:eastAsia="en-NZ"/>
              </w:rPr>
              <w:t>Within 10%</w:t>
            </w:r>
          </w:p>
        </w:tc>
        <w:tc>
          <w:tcPr>
            <w:tcW w:w="4252" w:type="dxa"/>
            <w:shd w:val="clear" w:color="auto" w:fill="auto"/>
          </w:tcPr>
          <w:p w:rsidR="005F209F" w:rsidRPr="00CA4713" w:rsidRDefault="005F209F" w:rsidP="005F209F">
            <w:pPr>
              <w:spacing w:after="0" w:line="240" w:lineRule="auto"/>
              <w:jc w:val="right"/>
              <w:rPr>
                <w:rFonts w:eastAsia="Times New Roman" w:cstheme="minorHAnsi"/>
                <w:color w:val="000000"/>
                <w:sz w:val="20"/>
                <w:lang w:eastAsia="en-NZ"/>
              </w:rPr>
            </w:pPr>
          </w:p>
        </w:tc>
      </w:tr>
      <w:tr w:rsidR="005F209F" w:rsidRPr="00CA4713" w:rsidTr="009C3D9F">
        <w:trPr>
          <w:trHeight w:val="270"/>
        </w:trPr>
        <w:tc>
          <w:tcPr>
            <w:tcW w:w="4387" w:type="dxa"/>
            <w:gridSpan w:val="2"/>
            <w:shd w:val="clear" w:color="auto" w:fill="auto"/>
            <w:hideMark/>
          </w:tcPr>
          <w:p w:rsidR="005F209F" w:rsidRPr="00CA4713" w:rsidRDefault="005F209F" w:rsidP="005F209F">
            <w:pPr>
              <w:spacing w:after="0" w:line="240" w:lineRule="auto"/>
              <w:rPr>
                <w:rFonts w:eastAsia="Times New Roman" w:cstheme="minorHAnsi"/>
                <w:color w:val="000000"/>
                <w:sz w:val="20"/>
                <w:lang w:eastAsia="en-NZ"/>
              </w:rPr>
            </w:pPr>
            <w:r w:rsidRPr="00CA4713">
              <w:rPr>
                <w:rFonts w:eastAsia="Times New Roman" w:cstheme="minorHAnsi"/>
                <w:color w:val="000000"/>
                <w:sz w:val="20"/>
                <w:lang w:eastAsia="en-NZ"/>
              </w:rPr>
              <w:t>Kilbirnie Rec Centre</w:t>
            </w:r>
          </w:p>
        </w:tc>
        <w:tc>
          <w:tcPr>
            <w:tcW w:w="1134" w:type="dxa"/>
            <w:gridSpan w:val="3"/>
            <w:shd w:val="clear" w:color="auto" w:fill="FFFFFF" w:themeFill="background1"/>
            <w:noWrap/>
            <w:hideMark/>
          </w:tcPr>
          <w:p w:rsidR="005F209F" w:rsidRPr="00CA4713" w:rsidRDefault="005F209F" w:rsidP="005F209F">
            <w:pPr>
              <w:spacing w:after="0" w:line="240" w:lineRule="auto"/>
              <w:jc w:val="right"/>
              <w:rPr>
                <w:rFonts w:cstheme="minorHAnsi"/>
                <w:color w:val="000000"/>
                <w:sz w:val="20"/>
                <w:szCs w:val="20"/>
              </w:rPr>
            </w:pPr>
            <w:r w:rsidRPr="00CA4713">
              <w:rPr>
                <w:rFonts w:cstheme="minorHAnsi"/>
                <w:color w:val="000000"/>
                <w:sz w:val="20"/>
                <w:szCs w:val="20"/>
              </w:rPr>
              <w:t>92,966</w:t>
            </w:r>
          </w:p>
        </w:tc>
        <w:tc>
          <w:tcPr>
            <w:tcW w:w="1245" w:type="dxa"/>
            <w:gridSpan w:val="4"/>
            <w:shd w:val="clear" w:color="auto" w:fill="FFFFFF" w:themeFill="background1"/>
            <w:noWrap/>
            <w:hideMark/>
          </w:tcPr>
          <w:p w:rsidR="005F209F" w:rsidRPr="00CA4713" w:rsidRDefault="005F209F" w:rsidP="005F209F">
            <w:pPr>
              <w:spacing w:after="0" w:line="240" w:lineRule="auto"/>
              <w:jc w:val="right"/>
              <w:rPr>
                <w:rFonts w:cstheme="minorHAnsi"/>
                <w:color w:val="000000"/>
                <w:sz w:val="20"/>
                <w:szCs w:val="20"/>
              </w:rPr>
            </w:pPr>
            <w:r w:rsidRPr="00CA4713">
              <w:rPr>
                <w:rFonts w:cstheme="minorHAnsi"/>
                <w:color w:val="000000"/>
                <w:sz w:val="20"/>
                <w:szCs w:val="20"/>
              </w:rPr>
              <w:t>78,069</w:t>
            </w:r>
          </w:p>
        </w:tc>
        <w:tc>
          <w:tcPr>
            <w:tcW w:w="1212" w:type="dxa"/>
            <w:gridSpan w:val="3"/>
            <w:shd w:val="clear" w:color="auto" w:fill="auto"/>
            <w:noWrap/>
            <w:hideMark/>
          </w:tcPr>
          <w:p w:rsidR="005F209F" w:rsidRPr="00CA4713" w:rsidRDefault="005F209F" w:rsidP="005F209F">
            <w:pPr>
              <w:spacing w:after="0" w:line="240" w:lineRule="auto"/>
              <w:jc w:val="right"/>
              <w:rPr>
                <w:rFonts w:cstheme="minorHAnsi"/>
                <w:color w:val="000000"/>
                <w:sz w:val="20"/>
                <w:szCs w:val="20"/>
              </w:rPr>
            </w:pPr>
            <w:r w:rsidRPr="00CA4713">
              <w:rPr>
                <w:rFonts w:cstheme="minorHAnsi"/>
                <w:color w:val="000000"/>
                <w:sz w:val="20"/>
                <w:szCs w:val="20"/>
              </w:rPr>
              <w:t xml:space="preserve">84,776 </w:t>
            </w:r>
          </w:p>
        </w:tc>
        <w:tc>
          <w:tcPr>
            <w:tcW w:w="1120" w:type="dxa"/>
            <w:gridSpan w:val="2"/>
            <w:shd w:val="clear" w:color="000000" w:fill="D9D9D9"/>
            <w:hideMark/>
          </w:tcPr>
          <w:p w:rsidR="005F209F" w:rsidRPr="00CA4713" w:rsidRDefault="005F209F" w:rsidP="005F209F">
            <w:pPr>
              <w:spacing w:after="0" w:line="240" w:lineRule="auto"/>
              <w:jc w:val="right"/>
              <w:rPr>
                <w:rFonts w:eastAsia="Times New Roman" w:cstheme="minorHAnsi"/>
                <w:color w:val="000000"/>
                <w:sz w:val="20"/>
                <w:lang w:eastAsia="en-NZ"/>
              </w:rPr>
            </w:pPr>
            <w:r w:rsidRPr="00CA4713">
              <w:rPr>
                <w:rFonts w:eastAsia="Times New Roman" w:cstheme="minorHAnsi"/>
                <w:color w:val="000000"/>
                <w:sz w:val="20"/>
                <w:lang w:eastAsia="en-NZ"/>
              </w:rPr>
              <w:t>81,000</w:t>
            </w:r>
          </w:p>
        </w:tc>
        <w:tc>
          <w:tcPr>
            <w:tcW w:w="800" w:type="dxa"/>
            <w:gridSpan w:val="3"/>
            <w:shd w:val="clear" w:color="auto" w:fill="auto"/>
            <w:hideMark/>
          </w:tcPr>
          <w:p w:rsidR="005F209F" w:rsidRPr="00CA4713" w:rsidRDefault="005F209F" w:rsidP="005F209F">
            <w:pPr>
              <w:spacing w:after="0" w:line="240" w:lineRule="auto"/>
              <w:jc w:val="right"/>
              <w:rPr>
                <w:rFonts w:eastAsia="Times New Roman" w:cstheme="minorHAnsi"/>
                <w:color w:val="000000"/>
                <w:sz w:val="20"/>
                <w:lang w:eastAsia="en-NZ"/>
              </w:rPr>
            </w:pPr>
            <w:r w:rsidRPr="00CA4713">
              <w:rPr>
                <w:rFonts w:eastAsia="Times New Roman" w:cstheme="minorHAnsi"/>
                <w:color w:val="000000"/>
                <w:sz w:val="20"/>
                <w:lang w:eastAsia="en-NZ"/>
              </w:rPr>
              <w:t>5%</w:t>
            </w:r>
          </w:p>
        </w:tc>
        <w:tc>
          <w:tcPr>
            <w:tcW w:w="1301" w:type="dxa"/>
            <w:gridSpan w:val="3"/>
            <w:shd w:val="clear" w:color="auto" w:fill="auto"/>
            <w:hideMark/>
          </w:tcPr>
          <w:p w:rsidR="005F209F" w:rsidRDefault="005F209F" w:rsidP="005F209F">
            <w:pPr>
              <w:spacing w:after="0"/>
              <w:jc w:val="right"/>
            </w:pPr>
            <w:r w:rsidRPr="006E0E61">
              <w:rPr>
                <w:rFonts w:eastAsia="Times New Roman" w:cstheme="minorHAnsi"/>
                <w:color w:val="000000"/>
                <w:sz w:val="20"/>
                <w:lang w:eastAsia="en-NZ"/>
              </w:rPr>
              <w:t>Within 10%</w:t>
            </w:r>
          </w:p>
        </w:tc>
        <w:tc>
          <w:tcPr>
            <w:tcW w:w="4252" w:type="dxa"/>
            <w:shd w:val="clear" w:color="auto" w:fill="auto"/>
          </w:tcPr>
          <w:p w:rsidR="005F209F" w:rsidRPr="00CA4713" w:rsidRDefault="005F209F" w:rsidP="005F209F">
            <w:pPr>
              <w:spacing w:after="0" w:line="240" w:lineRule="auto"/>
              <w:jc w:val="right"/>
              <w:rPr>
                <w:rFonts w:eastAsia="Times New Roman" w:cstheme="minorHAnsi"/>
                <w:color w:val="000000"/>
                <w:sz w:val="20"/>
                <w:lang w:eastAsia="en-NZ"/>
              </w:rPr>
            </w:pPr>
          </w:p>
        </w:tc>
      </w:tr>
      <w:tr w:rsidR="005F209F" w:rsidRPr="00CA4713" w:rsidTr="009C3D9F">
        <w:trPr>
          <w:trHeight w:val="270"/>
        </w:trPr>
        <w:tc>
          <w:tcPr>
            <w:tcW w:w="4387" w:type="dxa"/>
            <w:gridSpan w:val="2"/>
            <w:shd w:val="clear" w:color="auto" w:fill="auto"/>
            <w:hideMark/>
          </w:tcPr>
          <w:p w:rsidR="005F209F" w:rsidRPr="00CA4713" w:rsidRDefault="005F209F" w:rsidP="005F209F">
            <w:pPr>
              <w:spacing w:after="0" w:line="240" w:lineRule="auto"/>
              <w:rPr>
                <w:rFonts w:eastAsia="Times New Roman" w:cstheme="minorHAnsi"/>
                <w:color w:val="000000"/>
                <w:sz w:val="20"/>
                <w:lang w:eastAsia="en-NZ"/>
              </w:rPr>
            </w:pPr>
            <w:r w:rsidRPr="00CA4713">
              <w:rPr>
                <w:rFonts w:eastAsia="Times New Roman" w:cstheme="minorHAnsi"/>
                <w:color w:val="000000"/>
                <w:sz w:val="20"/>
                <w:lang w:eastAsia="en-NZ"/>
              </w:rPr>
              <w:t>Nairnville Rec Centre</w:t>
            </w:r>
          </w:p>
        </w:tc>
        <w:tc>
          <w:tcPr>
            <w:tcW w:w="1134" w:type="dxa"/>
            <w:gridSpan w:val="3"/>
            <w:shd w:val="clear" w:color="auto" w:fill="FFFFFF" w:themeFill="background1"/>
            <w:noWrap/>
            <w:hideMark/>
          </w:tcPr>
          <w:p w:rsidR="005F209F" w:rsidRPr="00CA4713" w:rsidRDefault="005F209F" w:rsidP="005F209F">
            <w:pPr>
              <w:spacing w:after="0" w:line="240" w:lineRule="auto"/>
              <w:jc w:val="right"/>
              <w:rPr>
                <w:rFonts w:cstheme="minorHAnsi"/>
                <w:color w:val="000000"/>
                <w:sz w:val="20"/>
                <w:szCs w:val="20"/>
              </w:rPr>
            </w:pPr>
            <w:r w:rsidRPr="00CA4713">
              <w:rPr>
                <w:rFonts w:cstheme="minorHAnsi"/>
                <w:color w:val="000000"/>
                <w:sz w:val="20"/>
                <w:szCs w:val="20"/>
              </w:rPr>
              <w:t>162,189</w:t>
            </w:r>
          </w:p>
        </w:tc>
        <w:tc>
          <w:tcPr>
            <w:tcW w:w="1245" w:type="dxa"/>
            <w:gridSpan w:val="4"/>
            <w:shd w:val="clear" w:color="auto" w:fill="FFFFFF" w:themeFill="background1"/>
            <w:noWrap/>
            <w:hideMark/>
          </w:tcPr>
          <w:p w:rsidR="005F209F" w:rsidRPr="00CA4713" w:rsidRDefault="005F209F" w:rsidP="005F209F">
            <w:pPr>
              <w:spacing w:after="0" w:line="240" w:lineRule="auto"/>
              <w:jc w:val="right"/>
              <w:rPr>
                <w:rFonts w:cstheme="minorHAnsi"/>
                <w:color w:val="000000"/>
                <w:sz w:val="20"/>
                <w:szCs w:val="20"/>
              </w:rPr>
            </w:pPr>
            <w:r w:rsidRPr="00CA4713">
              <w:rPr>
                <w:rFonts w:cstheme="minorHAnsi"/>
                <w:color w:val="000000"/>
                <w:sz w:val="20"/>
                <w:szCs w:val="20"/>
              </w:rPr>
              <w:t>141,898</w:t>
            </w:r>
          </w:p>
        </w:tc>
        <w:tc>
          <w:tcPr>
            <w:tcW w:w="1212" w:type="dxa"/>
            <w:gridSpan w:val="3"/>
            <w:shd w:val="clear" w:color="auto" w:fill="auto"/>
            <w:noWrap/>
            <w:hideMark/>
          </w:tcPr>
          <w:p w:rsidR="005F209F" w:rsidRPr="00CA4713" w:rsidRDefault="005F209F" w:rsidP="005F209F">
            <w:pPr>
              <w:spacing w:after="0" w:line="240" w:lineRule="auto"/>
              <w:jc w:val="right"/>
              <w:rPr>
                <w:rFonts w:cstheme="minorHAnsi"/>
                <w:color w:val="000000"/>
                <w:sz w:val="20"/>
                <w:szCs w:val="20"/>
              </w:rPr>
            </w:pPr>
            <w:r w:rsidRPr="00CA4713">
              <w:rPr>
                <w:rFonts w:cstheme="minorHAnsi"/>
                <w:color w:val="000000"/>
                <w:sz w:val="20"/>
                <w:szCs w:val="20"/>
              </w:rPr>
              <w:t xml:space="preserve">158,949 </w:t>
            </w:r>
          </w:p>
        </w:tc>
        <w:tc>
          <w:tcPr>
            <w:tcW w:w="1120" w:type="dxa"/>
            <w:gridSpan w:val="2"/>
            <w:shd w:val="clear" w:color="000000" w:fill="D9D9D9"/>
            <w:hideMark/>
          </w:tcPr>
          <w:p w:rsidR="005F209F" w:rsidRPr="00CA4713" w:rsidRDefault="005F209F" w:rsidP="005F209F">
            <w:pPr>
              <w:spacing w:after="0" w:line="240" w:lineRule="auto"/>
              <w:jc w:val="right"/>
              <w:rPr>
                <w:rFonts w:eastAsia="Times New Roman" w:cstheme="minorHAnsi"/>
                <w:color w:val="000000"/>
                <w:sz w:val="20"/>
                <w:lang w:eastAsia="en-NZ"/>
              </w:rPr>
            </w:pPr>
            <w:r w:rsidRPr="00CA4713">
              <w:rPr>
                <w:rFonts w:eastAsia="Times New Roman" w:cstheme="minorHAnsi"/>
                <w:color w:val="000000"/>
                <w:sz w:val="20"/>
                <w:lang w:eastAsia="en-NZ"/>
              </w:rPr>
              <w:t>145,000</w:t>
            </w:r>
          </w:p>
        </w:tc>
        <w:tc>
          <w:tcPr>
            <w:tcW w:w="800" w:type="dxa"/>
            <w:gridSpan w:val="3"/>
            <w:shd w:val="clear" w:color="auto" w:fill="auto"/>
            <w:hideMark/>
          </w:tcPr>
          <w:p w:rsidR="005F209F" w:rsidRPr="00CA4713" w:rsidRDefault="005F209F" w:rsidP="005F209F">
            <w:pPr>
              <w:spacing w:after="0" w:line="240" w:lineRule="auto"/>
              <w:jc w:val="right"/>
              <w:rPr>
                <w:rFonts w:eastAsia="Times New Roman" w:cstheme="minorHAnsi"/>
                <w:color w:val="000000"/>
                <w:sz w:val="20"/>
                <w:lang w:eastAsia="en-NZ"/>
              </w:rPr>
            </w:pPr>
            <w:r w:rsidRPr="00CA4713">
              <w:rPr>
                <w:rFonts w:eastAsia="Times New Roman" w:cstheme="minorHAnsi"/>
                <w:color w:val="000000"/>
                <w:sz w:val="20"/>
                <w:lang w:eastAsia="en-NZ"/>
              </w:rPr>
              <w:t>10%</w:t>
            </w:r>
          </w:p>
        </w:tc>
        <w:tc>
          <w:tcPr>
            <w:tcW w:w="1301" w:type="dxa"/>
            <w:gridSpan w:val="3"/>
            <w:shd w:val="clear" w:color="auto" w:fill="auto"/>
            <w:hideMark/>
          </w:tcPr>
          <w:p w:rsidR="005F209F" w:rsidRDefault="005F209F" w:rsidP="005F209F">
            <w:pPr>
              <w:spacing w:after="0"/>
              <w:jc w:val="right"/>
            </w:pPr>
            <w:r w:rsidRPr="006E0E61">
              <w:rPr>
                <w:rFonts w:eastAsia="Times New Roman" w:cstheme="minorHAnsi"/>
                <w:color w:val="000000"/>
                <w:sz w:val="20"/>
                <w:lang w:eastAsia="en-NZ"/>
              </w:rPr>
              <w:t>Within 10%</w:t>
            </w:r>
          </w:p>
        </w:tc>
        <w:tc>
          <w:tcPr>
            <w:tcW w:w="4252" w:type="dxa"/>
            <w:shd w:val="clear" w:color="auto" w:fill="auto"/>
          </w:tcPr>
          <w:p w:rsidR="005F209F" w:rsidRPr="00CA4713" w:rsidRDefault="005F209F" w:rsidP="005F209F">
            <w:pPr>
              <w:spacing w:after="0" w:line="240" w:lineRule="auto"/>
              <w:jc w:val="right"/>
              <w:rPr>
                <w:rFonts w:eastAsia="Times New Roman" w:cstheme="minorHAnsi"/>
                <w:color w:val="000000"/>
                <w:sz w:val="20"/>
                <w:lang w:eastAsia="en-NZ"/>
              </w:rPr>
            </w:pPr>
          </w:p>
        </w:tc>
      </w:tr>
      <w:tr w:rsidR="00546A26" w:rsidRPr="00CA4713" w:rsidTr="009C3D9F">
        <w:trPr>
          <w:trHeight w:val="270"/>
        </w:trPr>
        <w:tc>
          <w:tcPr>
            <w:tcW w:w="4387" w:type="dxa"/>
            <w:gridSpan w:val="2"/>
            <w:shd w:val="clear" w:color="auto" w:fill="auto"/>
            <w:hideMark/>
          </w:tcPr>
          <w:p w:rsidR="00546A26" w:rsidRPr="00CA4713" w:rsidRDefault="00546A26" w:rsidP="004106CD">
            <w:pPr>
              <w:spacing w:after="0" w:line="240" w:lineRule="auto"/>
              <w:rPr>
                <w:rFonts w:eastAsia="Times New Roman" w:cstheme="minorHAnsi"/>
                <w:color w:val="000000"/>
                <w:sz w:val="20"/>
                <w:lang w:eastAsia="en-NZ"/>
              </w:rPr>
            </w:pPr>
            <w:r w:rsidRPr="00CA4713">
              <w:rPr>
                <w:rFonts w:eastAsia="Times New Roman" w:cstheme="minorHAnsi"/>
                <w:color w:val="000000"/>
                <w:sz w:val="20"/>
                <w:lang w:eastAsia="en-NZ"/>
              </w:rPr>
              <w:t>Tawa Rec Centre</w:t>
            </w:r>
          </w:p>
        </w:tc>
        <w:tc>
          <w:tcPr>
            <w:tcW w:w="1134" w:type="dxa"/>
            <w:gridSpan w:val="3"/>
            <w:shd w:val="clear" w:color="auto" w:fill="FFFFFF" w:themeFill="background1"/>
            <w:noWrap/>
            <w:hideMark/>
          </w:tcPr>
          <w:p w:rsidR="00546A26" w:rsidRPr="00CA4713" w:rsidRDefault="00546A26" w:rsidP="004106CD">
            <w:pPr>
              <w:spacing w:after="0" w:line="240" w:lineRule="auto"/>
              <w:jc w:val="right"/>
              <w:rPr>
                <w:rFonts w:cstheme="minorHAnsi"/>
                <w:color w:val="000000"/>
                <w:sz w:val="20"/>
                <w:szCs w:val="20"/>
              </w:rPr>
            </w:pPr>
            <w:r w:rsidRPr="00CA4713">
              <w:rPr>
                <w:rFonts w:cstheme="minorHAnsi"/>
                <w:color w:val="000000"/>
                <w:sz w:val="20"/>
                <w:szCs w:val="20"/>
              </w:rPr>
              <w:t>26,475</w:t>
            </w:r>
          </w:p>
        </w:tc>
        <w:tc>
          <w:tcPr>
            <w:tcW w:w="1245" w:type="dxa"/>
            <w:gridSpan w:val="4"/>
            <w:shd w:val="clear" w:color="auto" w:fill="FFFFFF" w:themeFill="background1"/>
            <w:noWrap/>
            <w:hideMark/>
          </w:tcPr>
          <w:p w:rsidR="00546A26" w:rsidRPr="00CA4713" w:rsidRDefault="00546A26" w:rsidP="004106CD">
            <w:pPr>
              <w:spacing w:after="0" w:line="240" w:lineRule="auto"/>
              <w:jc w:val="right"/>
              <w:rPr>
                <w:rFonts w:cstheme="minorHAnsi"/>
                <w:color w:val="000000"/>
                <w:sz w:val="20"/>
                <w:szCs w:val="20"/>
              </w:rPr>
            </w:pPr>
            <w:r w:rsidRPr="00CA4713">
              <w:rPr>
                <w:rFonts w:cstheme="minorHAnsi"/>
                <w:color w:val="000000"/>
                <w:sz w:val="20"/>
                <w:szCs w:val="20"/>
              </w:rPr>
              <w:t>22,315</w:t>
            </w:r>
          </w:p>
        </w:tc>
        <w:tc>
          <w:tcPr>
            <w:tcW w:w="1212" w:type="dxa"/>
            <w:gridSpan w:val="3"/>
            <w:shd w:val="clear" w:color="auto" w:fill="auto"/>
            <w:noWrap/>
            <w:hideMark/>
          </w:tcPr>
          <w:p w:rsidR="00546A26" w:rsidRPr="00CA4713" w:rsidRDefault="00546A26" w:rsidP="004106CD">
            <w:pPr>
              <w:spacing w:after="0" w:line="240" w:lineRule="auto"/>
              <w:jc w:val="right"/>
              <w:rPr>
                <w:rFonts w:cstheme="minorHAnsi"/>
                <w:color w:val="000000"/>
                <w:sz w:val="20"/>
                <w:szCs w:val="20"/>
              </w:rPr>
            </w:pPr>
            <w:r w:rsidRPr="00CA4713">
              <w:rPr>
                <w:rFonts w:cstheme="minorHAnsi"/>
                <w:color w:val="000000"/>
                <w:sz w:val="20"/>
                <w:szCs w:val="20"/>
              </w:rPr>
              <w:t xml:space="preserve">26,888 </w:t>
            </w:r>
          </w:p>
        </w:tc>
        <w:tc>
          <w:tcPr>
            <w:tcW w:w="1120" w:type="dxa"/>
            <w:gridSpan w:val="2"/>
            <w:shd w:val="clear" w:color="000000" w:fill="D9D9D9"/>
            <w:hideMark/>
          </w:tcPr>
          <w:p w:rsidR="00546A26" w:rsidRPr="00CA4713" w:rsidRDefault="00546A26" w:rsidP="004106CD">
            <w:pPr>
              <w:spacing w:after="0" w:line="240" w:lineRule="auto"/>
              <w:jc w:val="right"/>
              <w:rPr>
                <w:rFonts w:eastAsia="Times New Roman" w:cstheme="minorHAnsi"/>
                <w:color w:val="000000"/>
                <w:sz w:val="20"/>
                <w:lang w:eastAsia="en-NZ"/>
              </w:rPr>
            </w:pPr>
            <w:r w:rsidRPr="00CA4713">
              <w:rPr>
                <w:rFonts w:eastAsia="Times New Roman" w:cstheme="minorHAnsi"/>
                <w:color w:val="000000"/>
                <w:sz w:val="20"/>
                <w:lang w:eastAsia="en-NZ"/>
              </w:rPr>
              <w:t>26,700</w:t>
            </w:r>
          </w:p>
        </w:tc>
        <w:tc>
          <w:tcPr>
            <w:tcW w:w="800" w:type="dxa"/>
            <w:gridSpan w:val="3"/>
            <w:shd w:val="clear" w:color="auto" w:fill="auto"/>
            <w:hideMark/>
          </w:tcPr>
          <w:p w:rsidR="00546A26" w:rsidRPr="00CA4713" w:rsidRDefault="00546A26" w:rsidP="004106CD">
            <w:pPr>
              <w:spacing w:after="0" w:line="240" w:lineRule="auto"/>
              <w:jc w:val="right"/>
              <w:rPr>
                <w:rFonts w:eastAsia="Times New Roman" w:cstheme="minorHAnsi"/>
                <w:color w:val="000000"/>
                <w:sz w:val="20"/>
                <w:lang w:eastAsia="en-NZ"/>
              </w:rPr>
            </w:pPr>
            <w:r w:rsidRPr="00CA4713">
              <w:rPr>
                <w:rFonts w:eastAsia="Times New Roman" w:cstheme="minorHAnsi"/>
                <w:color w:val="000000"/>
                <w:sz w:val="20"/>
                <w:lang w:eastAsia="en-NZ"/>
              </w:rPr>
              <w:t>1%</w:t>
            </w:r>
          </w:p>
        </w:tc>
        <w:tc>
          <w:tcPr>
            <w:tcW w:w="1301" w:type="dxa"/>
            <w:gridSpan w:val="3"/>
            <w:shd w:val="clear" w:color="auto" w:fill="auto"/>
            <w:hideMark/>
          </w:tcPr>
          <w:p w:rsidR="00546A26" w:rsidRPr="00CA4713" w:rsidRDefault="005F209F" w:rsidP="005F209F">
            <w:pPr>
              <w:spacing w:after="0" w:line="240" w:lineRule="auto"/>
              <w:jc w:val="right"/>
              <w:rPr>
                <w:rFonts w:cstheme="minorHAnsi"/>
              </w:rPr>
            </w:pPr>
            <w:r>
              <w:rPr>
                <w:rFonts w:eastAsia="Times New Roman" w:cstheme="minorHAnsi"/>
                <w:color w:val="000000"/>
                <w:sz w:val="20"/>
                <w:lang w:eastAsia="en-NZ"/>
              </w:rPr>
              <w:t>Within 10%</w:t>
            </w:r>
          </w:p>
        </w:tc>
        <w:tc>
          <w:tcPr>
            <w:tcW w:w="4252" w:type="dxa"/>
            <w:shd w:val="clear" w:color="auto" w:fill="auto"/>
          </w:tcPr>
          <w:p w:rsidR="00546A26" w:rsidRPr="00CA4713" w:rsidRDefault="00546A26" w:rsidP="004106CD">
            <w:pPr>
              <w:spacing w:after="0" w:line="240" w:lineRule="auto"/>
              <w:jc w:val="right"/>
              <w:rPr>
                <w:rFonts w:eastAsia="Times New Roman" w:cstheme="minorHAnsi"/>
                <w:color w:val="000000"/>
                <w:sz w:val="20"/>
                <w:lang w:eastAsia="en-NZ"/>
              </w:rPr>
            </w:pPr>
          </w:p>
        </w:tc>
      </w:tr>
      <w:tr w:rsidR="00546A26" w:rsidRPr="00CA4713" w:rsidTr="009C3D9F">
        <w:trPr>
          <w:trHeight w:val="270"/>
        </w:trPr>
        <w:tc>
          <w:tcPr>
            <w:tcW w:w="4387" w:type="dxa"/>
            <w:gridSpan w:val="2"/>
            <w:shd w:val="clear" w:color="auto" w:fill="auto"/>
            <w:hideMark/>
          </w:tcPr>
          <w:p w:rsidR="00546A26" w:rsidRPr="00CA4713" w:rsidRDefault="00546A26" w:rsidP="004106CD">
            <w:pPr>
              <w:spacing w:after="0" w:line="240" w:lineRule="auto"/>
              <w:rPr>
                <w:rFonts w:eastAsia="Times New Roman" w:cstheme="minorHAnsi"/>
                <w:color w:val="000000"/>
                <w:sz w:val="20"/>
                <w:lang w:eastAsia="en-NZ"/>
              </w:rPr>
            </w:pPr>
            <w:r w:rsidRPr="00CA4713">
              <w:rPr>
                <w:rFonts w:eastAsia="Times New Roman" w:cstheme="minorHAnsi"/>
                <w:color w:val="000000"/>
                <w:sz w:val="20"/>
                <w:lang w:eastAsia="en-NZ"/>
              </w:rPr>
              <w:t>ASB Sports Centre</w:t>
            </w:r>
          </w:p>
        </w:tc>
        <w:tc>
          <w:tcPr>
            <w:tcW w:w="1134" w:type="dxa"/>
            <w:gridSpan w:val="3"/>
            <w:shd w:val="clear" w:color="auto" w:fill="FFFFFF" w:themeFill="background1"/>
            <w:noWrap/>
            <w:hideMark/>
          </w:tcPr>
          <w:p w:rsidR="00546A26" w:rsidRPr="00CA4713" w:rsidRDefault="00546A26" w:rsidP="004106CD">
            <w:pPr>
              <w:spacing w:after="0" w:line="240" w:lineRule="auto"/>
              <w:jc w:val="right"/>
              <w:rPr>
                <w:rFonts w:cstheme="minorHAnsi"/>
                <w:color w:val="000000"/>
                <w:sz w:val="20"/>
                <w:szCs w:val="20"/>
              </w:rPr>
            </w:pPr>
            <w:r w:rsidRPr="00CA4713">
              <w:rPr>
                <w:rFonts w:cstheme="minorHAnsi"/>
                <w:color w:val="000000"/>
                <w:sz w:val="20"/>
                <w:szCs w:val="20"/>
              </w:rPr>
              <w:t>830,122</w:t>
            </w:r>
          </w:p>
        </w:tc>
        <w:tc>
          <w:tcPr>
            <w:tcW w:w="1245" w:type="dxa"/>
            <w:gridSpan w:val="4"/>
            <w:shd w:val="clear" w:color="auto" w:fill="FFFFFF" w:themeFill="background1"/>
            <w:noWrap/>
            <w:hideMark/>
          </w:tcPr>
          <w:p w:rsidR="00546A26" w:rsidRPr="00CA4713" w:rsidRDefault="00546A26" w:rsidP="004106CD">
            <w:pPr>
              <w:spacing w:after="0" w:line="240" w:lineRule="auto"/>
              <w:jc w:val="right"/>
              <w:rPr>
                <w:rFonts w:cstheme="minorHAnsi"/>
                <w:color w:val="000000"/>
                <w:sz w:val="20"/>
                <w:szCs w:val="20"/>
              </w:rPr>
            </w:pPr>
            <w:r w:rsidRPr="00CA4713">
              <w:rPr>
                <w:rFonts w:cstheme="minorHAnsi"/>
                <w:color w:val="000000"/>
                <w:sz w:val="20"/>
                <w:szCs w:val="20"/>
              </w:rPr>
              <w:t>866,549</w:t>
            </w:r>
          </w:p>
        </w:tc>
        <w:tc>
          <w:tcPr>
            <w:tcW w:w="1212" w:type="dxa"/>
            <w:gridSpan w:val="3"/>
            <w:shd w:val="clear" w:color="auto" w:fill="auto"/>
            <w:noWrap/>
            <w:hideMark/>
          </w:tcPr>
          <w:p w:rsidR="00546A26" w:rsidRPr="00CA4713" w:rsidRDefault="00546A26" w:rsidP="004106CD">
            <w:pPr>
              <w:spacing w:after="0" w:line="240" w:lineRule="auto"/>
              <w:jc w:val="right"/>
              <w:rPr>
                <w:rFonts w:cstheme="minorHAnsi"/>
                <w:color w:val="000000"/>
                <w:sz w:val="20"/>
                <w:szCs w:val="20"/>
              </w:rPr>
            </w:pPr>
            <w:r w:rsidRPr="00CA4713">
              <w:rPr>
                <w:rFonts w:cstheme="minorHAnsi"/>
                <w:color w:val="000000"/>
                <w:sz w:val="20"/>
                <w:szCs w:val="20"/>
              </w:rPr>
              <w:t xml:space="preserve">917,169 </w:t>
            </w:r>
          </w:p>
        </w:tc>
        <w:tc>
          <w:tcPr>
            <w:tcW w:w="1120" w:type="dxa"/>
            <w:gridSpan w:val="2"/>
            <w:shd w:val="clear" w:color="000000" w:fill="D9D9D9"/>
            <w:hideMark/>
          </w:tcPr>
          <w:p w:rsidR="00546A26" w:rsidRPr="00CA4713" w:rsidRDefault="00546A26" w:rsidP="004106CD">
            <w:pPr>
              <w:spacing w:after="0" w:line="240" w:lineRule="auto"/>
              <w:jc w:val="right"/>
              <w:rPr>
                <w:rFonts w:eastAsia="Times New Roman" w:cstheme="minorHAnsi"/>
                <w:color w:val="000000"/>
                <w:sz w:val="20"/>
                <w:lang w:eastAsia="en-NZ"/>
              </w:rPr>
            </w:pPr>
            <w:r w:rsidRPr="00CA4713">
              <w:rPr>
                <w:rFonts w:eastAsia="Times New Roman" w:cstheme="minorHAnsi"/>
                <w:color w:val="000000"/>
                <w:sz w:val="20"/>
                <w:lang w:eastAsia="en-NZ"/>
              </w:rPr>
              <w:t>797,225</w:t>
            </w:r>
          </w:p>
        </w:tc>
        <w:tc>
          <w:tcPr>
            <w:tcW w:w="800" w:type="dxa"/>
            <w:gridSpan w:val="3"/>
            <w:shd w:val="clear" w:color="auto" w:fill="auto"/>
            <w:hideMark/>
          </w:tcPr>
          <w:p w:rsidR="00546A26" w:rsidRPr="00CA4713" w:rsidRDefault="00546A26" w:rsidP="004106CD">
            <w:pPr>
              <w:spacing w:after="0" w:line="240" w:lineRule="auto"/>
              <w:jc w:val="right"/>
              <w:rPr>
                <w:rFonts w:eastAsia="Times New Roman" w:cstheme="minorHAnsi"/>
                <w:color w:val="000000"/>
                <w:sz w:val="20"/>
                <w:lang w:eastAsia="en-NZ"/>
              </w:rPr>
            </w:pPr>
            <w:r w:rsidRPr="00CA4713">
              <w:rPr>
                <w:rFonts w:eastAsia="Times New Roman" w:cstheme="minorHAnsi"/>
                <w:color w:val="000000"/>
                <w:sz w:val="20"/>
                <w:lang w:eastAsia="en-NZ"/>
              </w:rPr>
              <w:t>15%</w:t>
            </w:r>
          </w:p>
        </w:tc>
        <w:tc>
          <w:tcPr>
            <w:tcW w:w="1301" w:type="dxa"/>
            <w:gridSpan w:val="3"/>
            <w:shd w:val="clear" w:color="auto" w:fill="auto"/>
            <w:hideMark/>
          </w:tcPr>
          <w:p w:rsidR="00546A26" w:rsidRPr="00CA4713" w:rsidRDefault="00546A26" w:rsidP="004106CD">
            <w:pPr>
              <w:spacing w:after="0" w:line="240" w:lineRule="auto"/>
              <w:jc w:val="center"/>
              <w:rPr>
                <w:rFonts w:eastAsia="Times New Roman" w:cstheme="minorHAnsi"/>
                <w:color w:val="000000"/>
                <w:sz w:val="20"/>
                <w:lang w:eastAsia="en-NZ"/>
              </w:rPr>
            </w:pPr>
            <w:r w:rsidRPr="00CA4713">
              <w:rPr>
                <w:rFonts w:eastAsia="Times New Roman" w:cstheme="minorHAnsi"/>
                <w:color w:val="000000"/>
                <w:sz w:val="20"/>
                <w:lang w:eastAsia="en-NZ"/>
              </w:rPr>
              <w:t>exceeded</w:t>
            </w:r>
          </w:p>
        </w:tc>
        <w:tc>
          <w:tcPr>
            <w:tcW w:w="4252" w:type="dxa"/>
            <w:shd w:val="clear" w:color="auto" w:fill="auto"/>
            <w:hideMark/>
          </w:tcPr>
          <w:p w:rsidR="00546A26" w:rsidRPr="00CA4713" w:rsidRDefault="00546A26" w:rsidP="004106CD">
            <w:pPr>
              <w:spacing w:after="0" w:line="240" w:lineRule="auto"/>
              <w:rPr>
                <w:rFonts w:cstheme="minorHAnsi"/>
                <w:color w:val="000000"/>
                <w:sz w:val="20"/>
                <w:szCs w:val="20"/>
              </w:rPr>
            </w:pPr>
            <w:r w:rsidRPr="00CA4713">
              <w:rPr>
                <w:rFonts w:cstheme="minorHAnsi"/>
                <w:color w:val="000000"/>
                <w:sz w:val="20"/>
                <w:szCs w:val="20"/>
              </w:rPr>
              <w:t xml:space="preserve">Strong performance and growth continues. This year saw the 5 millionth customer visit the centre since its opening in 2011 </w:t>
            </w:r>
          </w:p>
        </w:tc>
      </w:tr>
      <w:tr w:rsidR="00546A26" w:rsidRPr="00CA4713" w:rsidTr="009C3D9F">
        <w:trPr>
          <w:trHeight w:val="270"/>
        </w:trPr>
        <w:tc>
          <w:tcPr>
            <w:tcW w:w="4387" w:type="dxa"/>
            <w:gridSpan w:val="2"/>
            <w:shd w:val="clear" w:color="auto" w:fill="auto"/>
            <w:hideMark/>
          </w:tcPr>
          <w:p w:rsidR="00546A26" w:rsidRPr="00CA4713" w:rsidRDefault="00546A26" w:rsidP="004106CD">
            <w:pPr>
              <w:spacing w:after="0" w:line="240" w:lineRule="auto"/>
              <w:rPr>
                <w:rFonts w:eastAsia="Times New Roman" w:cstheme="minorHAnsi"/>
                <w:color w:val="000000"/>
                <w:sz w:val="20"/>
                <w:lang w:eastAsia="en-NZ"/>
              </w:rPr>
            </w:pPr>
            <w:r w:rsidRPr="00CA4713">
              <w:rPr>
                <w:rFonts w:eastAsia="Times New Roman" w:cstheme="minorHAnsi"/>
                <w:color w:val="000000"/>
                <w:sz w:val="20"/>
                <w:lang w:eastAsia="en-NZ"/>
              </w:rPr>
              <w:t>ASB Sports Centre court space utilisation (%) - peak</w:t>
            </w:r>
          </w:p>
        </w:tc>
        <w:tc>
          <w:tcPr>
            <w:tcW w:w="1134" w:type="dxa"/>
            <w:gridSpan w:val="3"/>
            <w:shd w:val="clear" w:color="auto" w:fill="auto"/>
            <w:noWrap/>
            <w:hideMark/>
          </w:tcPr>
          <w:p w:rsidR="00546A26" w:rsidRPr="00CA4713" w:rsidRDefault="00546A26" w:rsidP="004106CD">
            <w:pPr>
              <w:spacing w:after="0" w:line="240" w:lineRule="auto"/>
              <w:jc w:val="right"/>
              <w:rPr>
                <w:rFonts w:eastAsia="Times New Roman" w:cstheme="minorHAnsi"/>
                <w:color w:val="000000"/>
                <w:sz w:val="20"/>
                <w:lang w:eastAsia="en-NZ"/>
              </w:rPr>
            </w:pPr>
            <w:r w:rsidRPr="00CA4713">
              <w:rPr>
                <w:rFonts w:eastAsia="Times New Roman" w:cstheme="minorHAnsi"/>
                <w:color w:val="000000"/>
                <w:sz w:val="20"/>
                <w:lang w:eastAsia="en-NZ"/>
              </w:rPr>
              <w:t>56%</w:t>
            </w:r>
          </w:p>
        </w:tc>
        <w:tc>
          <w:tcPr>
            <w:tcW w:w="1245" w:type="dxa"/>
            <w:gridSpan w:val="4"/>
            <w:shd w:val="clear" w:color="auto" w:fill="auto"/>
            <w:noWrap/>
            <w:hideMark/>
          </w:tcPr>
          <w:p w:rsidR="00546A26" w:rsidRPr="00CA4713" w:rsidRDefault="00546A26" w:rsidP="004106CD">
            <w:pPr>
              <w:spacing w:after="0" w:line="240" w:lineRule="auto"/>
              <w:jc w:val="right"/>
              <w:rPr>
                <w:rFonts w:eastAsia="Times New Roman" w:cstheme="minorHAnsi"/>
                <w:color w:val="000000"/>
                <w:sz w:val="20"/>
                <w:lang w:eastAsia="en-NZ"/>
              </w:rPr>
            </w:pPr>
            <w:r w:rsidRPr="00CA4713">
              <w:rPr>
                <w:rFonts w:eastAsia="Times New Roman" w:cstheme="minorHAnsi"/>
                <w:color w:val="000000"/>
                <w:sz w:val="20"/>
                <w:lang w:eastAsia="en-NZ"/>
              </w:rPr>
              <w:t>58%</w:t>
            </w:r>
          </w:p>
        </w:tc>
        <w:tc>
          <w:tcPr>
            <w:tcW w:w="1212" w:type="dxa"/>
            <w:gridSpan w:val="3"/>
            <w:shd w:val="clear" w:color="auto" w:fill="auto"/>
            <w:noWrap/>
            <w:hideMark/>
          </w:tcPr>
          <w:p w:rsidR="00546A26" w:rsidRPr="00CA4713" w:rsidRDefault="00546A26" w:rsidP="004106CD">
            <w:pPr>
              <w:spacing w:after="0" w:line="240" w:lineRule="auto"/>
              <w:jc w:val="right"/>
              <w:rPr>
                <w:rFonts w:eastAsia="Times New Roman" w:cstheme="minorHAnsi"/>
                <w:color w:val="000000"/>
                <w:sz w:val="20"/>
                <w:lang w:eastAsia="en-NZ"/>
              </w:rPr>
            </w:pPr>
            <w:r w:rsidRPr="00CA4713">
              <w:rPr>
                <w:rFonts w:eastAsia="Times New Roman" w:cstheme="minorHAnsi"/>
                <w:color w:val="000000"/>
                <w:sz w:val="20"/>
                <w:lang w:eastAsia="en-NZ"/>
              </w:rPr>
              <w:t>65%</w:t>
            </w:r>
          </w:p>
        </w:tc>
        <w:tc>
          <w:tcPr>
            <w:tcW w:w="1120" w:type="dxa"/>
            <w:gridSpan w:val="2"/>
            <w:shd w:val="clear" w:color="000000" w:fill="D9D9D9"/>
            <w:hideMark/>
          </w:tcPr>
          <w:p w:rsidR="00546A26" w:rsidRPr="00CA4713" w:rsidRDefault="00546A26" w:rsidP="004106CD">
            <w:pPr>
              <w:spacing w:after="0" w:line="240" w:lineRule="auto"/>
              <w:jc w:val="right"/>
              <w:rPr>
                <w:rFonts w:eastAsia="Times New Roman" w:cstheme="minorHAnsi"/>
                <w:color w:val="000000"/>
                <w:sz w:val="20"/>
                <w:lang w:eastAsia="en-NZ"/>
              </w:rPr>
            </w:pPr>
            <w:r w:rsidRPr="00CA4713">
              <w:rPr>
                <w:rFonts w:eastAsia="Times New Roman" w:cstheme="minorHAnsi"/>
                <w:color w:val="000000"/>
                <w:sz w:val="20"/>
                <w:lang w:eastAsia="en-NZ"/>
              </w:rPr>
              <w:t>65%</w:t>
            </w:r>
          </w:p>
        </w:tc>
        <w:tc>
          <w:tcPr>
            <w:tcW w:w="800" w:type="dxa"/>
            <w:gridSpan w:val="3"/>
            <w:shd w:val="clear" w:color="auto" w:fill="auto"/>
            <w:hideMark/>
          </w:tcPr>
          <w:p w:rsidR="00546A26" w:rsidRPr="00CA4713" w:rsidRDefault="00546A26" w:rsidP="004106CD">
            <w:pPr>
              <w:spacing w:after="0" w:line="240" w:lineRule="auto"/>
              <w:jc w:val="right"/>
              <w:rPr>
                <w:rFonts w:eastAsia="Times New Roman" w:cstheme="minorHAnsi"/>
                <w:color w:val="000000"/>
                <w:sz w:val="20"/>
                <w:lang w:eastAsia="en-NZ"/>
              </w:rPr>
            </w:pPr>
            <w:r w:rsidRPr="00CA4713">
              <w:rPr>
                <w:rFonts w:eastAsia="Times New Roman" w:cstheme="minorHAnsi"/>
                <w:color w:val="000000"/>
                <w:sz w:val="20"/>
                <w:lang w:eastAsia="en-NZ"/>
              </w:rPr>
              <w:t>0%</w:t>
            </w:r>
          </w:p>
        </w:tc>
        <w:tc>
          <w:tcPr>
            <w:tcW w:w="1301" w:type="dxa"/>
            <w:gridSpan w:val="3"/>
            <w:shd w:val="clear" w:color="auto" w:fill="auto"/>
            <w:hideMark/>
          </w:tcPr>
          <w:p w:rsidR="00546A26" w:rsidRPr="00CA4713" w:rsidRDefault="005F209F" w:rsidP="005F209F">
            <w:pPr>
              <w:spacing w:after="0" w:line="240" w:lineRule="auto"/>
              <w:jc w:val="right"/>
              <w:rPr>
                <w:rFonts w:eastAsia="Times New Roman" w:cstheme="minorHAnsi"/>
                <w:color w:val="000000"/>
                <w:sz w:val="20"/>
                <w:lang w:eastAsia="en-NZ"/>
              </w:rPr>
            </w:pPr>
            <w:r>
              <w:rPr>
                <w:rFonts w:eastAsia="Times New Roman" w:cstheme="minorHAnsi"/>
                <w:color w:val="000000"/>
                <w:sz w:val="20"/>
                <w:lang w:eastAsia="en-NZ"/>
              </w:rPr>
              <w:t>Within 10%</w:t>
            </w:r>
          </w:p>
        </w:tc>
        <w:tc>
          <w:tcPr>
            <w:tcW w:w="4252" w:type="dxa"/>
            <w:shd w:val="clear" w:color="auto" w:fill="auto"/>
          </w:tcPr>
          <w:p w:rsidR="00546A26" w:rsidRPr="00CA4713" w:rsidRDefault="00546A26" w:rsidP="004106CD">
            <w:pPr>
              <w:spacing w:after="0" w:line="240" w:lineRule="auto"/>
              <w:jc w:val="right"/>
              <w:rPr>
                <w:rFonts w:eastAsia="Times New Roman" w:cstheme="minorHAnsi"/>
                <w:color w:val="000000"/>
                <w:sz w:val="20"/>
                <w:lang w:eastAsia="en-NZ"/>
              </w:rPr>
            </w:pPr>
          </w:p>
        </w:tc>
      </w:tr>
      <w:tr w:rsidR="00546A26" w:rsidRPr="00CA4713" w:rsidTr="009C3D9F">
        <w:trPr>
          <w:trHeight w:val="77"/>
        </w:trPr>
        <w:tc>
          <w:tcPr>
            <w:tcW w:w="4387" w:type="dxa"/>
            <w:gridSpan w:val="2"/>
            <w:shd w:val="clear" w:color="auto" w:fill="auto"/>
            <w:hideMark/>
          </w:tcPr>
          <w:p w:rsidR="00546A26" w:rsidRPr="00CA4713" w:rsidRDefault="00546A26" w:rsidP="004106CD">
            <w:pPr>
              <w:spacing w:after="0" w:line="240" w:lineRule="auto"/>
              <w:rPr>
                <w:rFonts w:eastAsia="Times New Roman" w:cstheme="minorHAnsi"/>
                <w:color w:val="000000"/>
                <w:sz w:val="20"/>
                <w:lang w:eastAsia="en-NZ"/>
              </w:rPr>
            </w:pPr>
            <w:r w:rsidRPr="00CA4713">
              <w:rPr>
                <w:rFonts w:eastAsia="Times New Roman" w:cstheme="minorHAnsi"/>
                <w:color w:val="000000"/>
                <w:sz w:val="20"/>
                <w:lang w:eastAsia="en-NZ"/>
              </w:rPr>
              <w:t>ASB Sports Centre court space utilisation (%) - off-peak</w:t>
            </w:r>
          </w:p>
        </w:tc>
        <w:tc>
          <w:tcPr>
            <w:tcW w:w="1134" w:type="dxa"/>
            <w:gridSpan w:val="3"/>
            <w:shd w:val="clear" w:color="auto" w:fill="auto"/>
            <w:noWrap/>
            <w:hideMark/>
          </w:tcPr>
          <w:p w:rsidR="00546A26" w:rsidRPr="00CA4713" w:rsidRDefault="00546A26" w:rsidP="004106CD">
            <w:pPr>
              <w:spacing w:after="0" w:line="240" w:lineRule="auto"/>
              <w:jc w:val="right"/>
              <w:rPr>
                <w:rFonts w:eastAsia="Times New Roman" w:cstheme="minorHAnsi"/>
                <w:color w:val="000000"/>
                <w:sz w:val="20"/>
                <w:lang w:eastAsia="en-NZ"/>
              </w:rPr>
            </w:pPr>
          </w:p>
        </w:tc>
        <w:tc>
          <w:tcPr>
            <w:tcW w:w="1245" w:type="dxa"/>
            <w:gridSpan w:val="4"/>
            <w:shd w:val="clear" w:color="auto" w:fill="auto"/>
            <w:noWrap/>
            <w:hideMark/>
          </w:tcPr>
          <w:p w:rsidR="00546A26" w:rsidRPr="00CA4713" w:rsidRDefault="00546A26" w:rsidP="004106CD">
            <w:pPr>
              <w:spacing w:after="0" w:line="240" w:lineRule="auto"/>
              <w:jc w:val="right"/>
              <w:rPr>
                <w:rFonts w:eastAsia="Times New Roman" w:cstheme="minorHAnsi"/>
                <w:color w:val="000000"/>
                <w:sz w:val="20"/>
                <w:lang w:eastAsia="en-NZ"/>
              </w:rPr>
            </w:pPr>
            <w:r w:rsidRPr="00CA4713">
              <w:rPr>
                <w:rFonts w:eastAsia="Times New Roman" w:cstheme="minorHAnsi"/>
                <w:color w:val="000000"/>
                <w:sz w:val="20"/>
                <w:lang w:eastAsia="en-NZ"/>
              </w:rPr>
              <w:t>New</w:t>
            </w:r>
          </w:p>
        </w:tc>
        <w:tc>
          <w:tcPr>
            <w:tcW w:w="1212" w:type="dxa"/>
            <w:gridSpan w:val="3"/>
            <w:shd w:val="clear" w:color="auto" w:fill="auto"/>
            <w:noWrap/>
            <w:hideMark/>
          </w:tcPr>
          <w:p w:rsidR="00546A26" w:rsidRPr="00CA4713" w:rsidRDefault="00546A26" w:rsidP="004106CD">
            <w:pPr>
              <w:spacing w:after="0" w:line="240" w:lineRule="auto"/>
              <w:jc w:val="right"/>
              <w:rPr>
                <w:rFonts w:eastAsia="Times New Roman" w:cstheme="minorHAnsi"/>
                <w:color w:val="000000"/>
                <w:sz w:val="20"/>
                <w:lang w:eastAsia="en-NZ"/>
              </w:rPr>
            </w:pPr>
            <w:r w:rsidRPr="00CA4713">
              <w:rPr>
                <w:rFonts w:eastAsia="Times New Roman" w:cstheme="minorHAnsi"/>
                <w:color w:val="000000"/>
                <w:sz w:val="20"/>
                <w:lang w:eastAsia="en-NZ"/>
              </w:rPr>
              <w:t>59%</w:t>
            </w:r>
          </w:p>
        </w:tc>
        <w:tc>
          <w:tcPr>
            <w:tcW w:w="1120" w:type="dxa"/>
            <w:gridSpan w:val="2"/>
            <w:shd w:val="clear" w:color="000000" w:fill="D9D9D9"/>
            <w:hideMark/>
          </w:tcPr>
          <w:p w:rsidR="00546A26" w:rsidRPr="00CA4713" w:rsidRDefault="00546A26" w:rsidP="004106CD">
            <w:pPr>
              <w:spacing w:after="0" w:line="240" w:lineRule="auto"/>
              <w:jc w:val="right"/>
              <w:rPr>
                <w:rFonts w:eastAsia="Times New Roman" w:cstheme="minorHAnsi"/>
                <w:color w:val="000000"/>
                <w:sz w:val="20"/>
                <w:lang w:eastAsia="en-NZ"/>
              </w:rPr>
            </w:pPr>
            <w:r w:rsidRPr="00CA4713">
              <w:rPr>
                <w:rFonts w:eastAsia="Times New Roman" w:cstheme="minorHAnsi"/>
                <w:color w:val="000000"/>
                <w:sz w:val="20"/>
                <w:lang w:eastAsia="en-NZ"/>
              </w:rPr>
              <w:t>50%</w:t>
            </w:r>
          </w:p>
        </w:tc>
        <w:tc>
          <w:tcPr>
            <w:tcW w:w="800" w:type="dxa"/>
            <w:gridSpan w:val="3"/>
            <w:shd w:val="clear" w:color="auto" w:fill="auto"/>
            <w:hideMark/>
          </w:tcPr>
          <w:p w:rsidR="00546A26" w:rsidRPr="00CA4713" w:rsidRDefault="00546A26" w:rsidP="004106CD">
            <w:pPr>
              <w:spacing w:after="0" w:line="240" w:lineRule="auto"/>
              <w:jc w:val="right"/>
              <w:rPr>
                <w:rFonts w:eastAsia="Times New Roman" w:cstheme="minorHAnsi"/>
                <w:color w:val="000000"/>
                <w:sz w:val="20"/>
                <w:lang w:eastAsia="en-NZ"/>
              </w:rPr>
            </w:pPr>
            <w:r w:rsidRPr="00CA4713">
              <w:rPr>
                <w:rFonts w:eastAsia="Times New Roman" w:cstheme="minorHAnsi"/>
                <w:color w:val="000000"/>
                <w:sz w:val="20"/>
                <w:lang w:eastAsia="en-NZ"/>
              </w:rPr>
              <w:t>18%</w:t>
            </w:r>
          </w:p>
        </w:tc>
        <w:tc>
          <w:tcPr>
            <w:tcW w:w="1301" w:type="dxa"/>
            <w:gridSpan w:val="3"/>
            <w:shd w:val="clear" w:color="auto" w:fill="auto"/>
            <w:hideMark/>
          </w:tcPr>
          <w:p w:rsidR="00546A26" w:rsidRPr="00CA4713" w:rsidRDefault="00546A26" w:rsidP="004106CD">
            <w:pPr>
              <w:spacing w:after="0" w:line="240" w:lineRule="auto"/>
              <w:jc w:val="center"/>
              <w:rPr>
                <w:rFonts w:eastAsia="Times New Roman" w:cstheme="minorHAnsi"/>
                <w:color w:val="000000"/>
                <w:sz w:val="20"/>
                <w:lang w:eastAsia="en-NZ"/>
              </w:rPr>
            </w:pPr>
            <w:r w:rsidRPr="00CA4713">
              <w:rPr>
                <w:rFonts w:eastAsia="Times New Roman" w:cstheme="minorHAnsi"/>
                <w:color w:val="000000"/>
                <w:sz w:val="20"/>
                <w:lang w:eastAsia="en-NZ"/>
              </w:rPr>
              <w:t>exceeded</w:t>
            </w:r>
          </w:p>
          <w:p w:rsidR="00546A26" w:rsidRPr="00CA4713" w:rsidRDefault="00546A26" w:rsidP="004106CD">
            <w:pPr>
              <w:spacing w:after="0" w:line="240" w:lineRule="auto"/>
              <w:jc w:val="center"/>
              <w:rPr>
                <w:rFonts w:eastAsia="Times New Roman" w:cstheme="minorHAnsi"/>
                <w:color w:val="000000"/>
                <w:sz w:val="20"/>
                <w:lang w:eastAsia="en-NZ"/>
              </w:rPr>
            </w:pPr>
          </w:p>
        </w:tc>
        <w:tc>
          <w:tcPr>
            <w:tcW w:w="4252" w:type="dxa"/>
            <w:shd w:val="clear" w:color="auto" w:fill="auto"/>
            <w:hideMark/>
          </w:tcPr>
          <w:p w:rsidR="00546A26" w:rsidRPr="00CA4713" w:rsidRDefault="00546A26" w:rsidP="004106CD">
            <w:pPr>
              <w:spacing w:after="0" w:line="240" w:lineRule="auto"/>
              <w:rPr>
                <w:rFonts w:eastAsia="Times New Roman" w:cstheme="minorHAnsi"/>
                <w:color w:val="000000"/>
                <w:sz w:val="20"/>
                <w:lang w:eastAsia="en-NZ"/>
              </w:rPr>
            </w:pPr>
            <w:r w:rsidRPr="00CA4713">
              <w:rPr>
                <w:rFonts w:eastAsia="Times New Roman" w:cstheme="minorHAnsi"/>
                <w:color w:val="000000"/>
                <w:sz w:val="20"/>
                <w:lang w:eastAsia="en-NZ"/>
              </w:rPr>
              <w:t>Previously reported as total now split into peak and off peak.</w:t>
            </w:r>
          </w:p>
        </w:tc>
      </w:tr>
      <w:tr w:rsidR="00546A26" w:rsidRPr="00CA4713" w:rsidTr="009C3D9F">
        <w:trPr>
          <w:trHeight w:val="217"/>
        </w:trPr>
        <w:tc>
          <w:tcPr>
            <w:tcW w:w="4387" w:type="dxa"/>
            <w:gridSpan w:val="2"/>
            <w:shd w:val="clear" w:color="auto" w:fill="auto"/>
            <w:hideMark/>
          </w:tcPr>
          <w:p w:rsidR="00546A26" w:rsidRPr="00CA4713" w:rsidRDefault="00546A26" w:rsidP="004106CD">
            <w:pPr>
              <w:spacing w:after="0" w:line="240" w:lineRule="auto"/>
              <w:rPr>
                <w:rFonts w:eastAsia="Times New Roman" w:cstheme="minorHAnsi"/>
                <w:color w:val="000000"/>
                <w:sz w:val="20"/>
                <w:lang w:eastAsia="en-NZ"/>
              </w:rPr>
            </w:pPr>
            <w:r w:rsidRPr="00CA4713">
              <w:rPr>
                <w:rFonts w:eastAsia="Times New Roman" w:cstheme="minorHAnsi"/>
                <w:color w:val="000000"/>
                <w:sz w:val="20"/>
                <w:lang w:eastAsia="en-NZ"/>
              </w:rPr>
              <w:t>Number of uses of LeisureCard</w:t>
            </w:r>
          </w:p>
        </w:tc>
        <w:tc>
          <w:tcPr>
            <w:tcW w:w="1134" w:type="dxa"/>
            <w:gridSpan w:val="3"/>
            <w:shd w:val="clear" w:color="auto" w:fill="auto"/>
            <w:noWrap/>
            <w:hideMark/>
          </w:tcPr>
          <w:p w:rsidR="00546A26" w:rsidRPr="00CA4713" w:rsidRDefault="00546A26" w:rsidP="004106CD">
            <w:pPr>
              <w:spacing w:after="0" w:line="240" w:lineRule="auto"/>
              <w:jc w:val="right"/>
              <w:rPr>
                <w:rFonts w:eastAsia="Times New Roman" w:cstheme="minorHAnsi"/>
                <w:color w:val="000000"/>
                <w:sz w:val="20"/>
                <w:lang w:eastAsia="en-NZ"/>
              </w:rPr>
            </w:pPr>
            <w:r w:rsidRPr="00CA4713">
              <w:rPr>
                <w:rFonts w:eastAsia="Times New Roman" w:cstheme="minorHAnsi"/>
                <w:color w:val="000000"/>
                <w:sz w:val="20"/>
                <w:lang w:eastAsia="en-NZ"/>
              </w:rPr>
              <w:t xml:space="preserve">141,763 </w:t>
            </w:r>
          </w:p>
        </w:tc>
        <w:tc>
          <w:tcPr>
            <w:tcW w:w="1245" w:type="dxa"/>
            <w:gridSpan w:val="4"/>
            <w:shd w:val="clear" w:color="auto" w:fill="auto"/>
            <w:noWrap/>
            <w:hideMark/>
          </w:tcPr>
          <w:p w:rsidR="00546A26" w:rsidRPr="00CA4713" w:rsidRDefault="00546A26" w:rsidP="004106CD">
            <w:pPr>
              <w:spacing w:after="0" w:line="240" w:lineRule="auto"/>
              <w:jc w:val="right"/>
              <w:rPr>
                <w:rFonts w:eastAsia="Times New Roman" w:cstheme="minorHAnsi"/>
                <w:color w:val="000000"/>
                <w:sz w:val="20"/>
                <w:lang w:eastAsia="en-NZ"/>
              </w:rPr>
            </w:pPr>
            <w:r w:rsidRPr="00CA4713">
              <w:rPr>
                <w:rFonts w:eastAsia="Times New Roman" w:cstheme="minorHAnsi"/>
                <w:color w:val="000000"/>
                <w:sz w:val="20"/>
                <w:lang w:eastAsia="en-NZ"/>
              </w:rPr>
              <w:t xml:space="preserve">150,166 </w:t>
            </w:r>
          </w:p>
        </w:tc>
        <w:tc>
          <w:tcPr>
            <w:tcW w:w="1212" w:type="dxa"/>
            <w:gridSpan w:val="3"/>
            <w:shd w:val="clear" w:color="auto" w:fill="auto"/>
            <w:noWrap/>
            <w:hideMark/>
          </w:tcPr>
          <w:p w:rsidR="00546A26" w:rsidRPr="00CA4713" w:rsidRDefault="00546A26" w:rsidP="004106CD">
            <w:pPr>
              <w:spacing w:after="0" w:line="240" w:lineRule="auto"/>
              <w:jc w:val="right"/>
              <w:rPr>
                <w:rFonts w:eastAsia="Times New Roman" w:cstheme="minorHAnsi"/>
                <w:color w:val="000000"/>
                <w:sz w:val="20"/>
                <w:lang w:eastAsia="en-NZ"/>
              </w:rPr>
            </w:pPr>
            <w:r w:rsidRPr="00CA4713">
              <w:rPr>
                <w:rFonts w:eastAsia="Times New Roman" w:cstheme="minorHAnsi"/>
                <w:color w:val="000000"/>
                <w:sz w:val="20"/>
                <w:lang w:eastAsia="en-NZ"/>
              </w:rPr>
              <w:t xml:space="preserve">156,195 </w:t>
            </w:r>
          </w:p>
        </w:tc>
        <w:tc>
          <w:tcPr>
            <w:tcW w:w="1120" w:type="dxa"/>
            <w:gridSpan w:val="2"/>
            <w:shd w:val="clear" w:color="000000" w:fill="D9D9D9"/>
            <w:hideMark/>
          </w:tcPr>
          <w:p w:rsidR="00546A26" w:rsidRPr="00CA4713" w:rsidRDefault="00546A26" w:rsidP="004106CD">
            <w:pPr>
              <w:spacing w:after="0" w:line="240" w:lineRule="auto"/>
              <w:jc w:val="right"/>
              <w:rPr>
                <w:rFonts w:eastAsia="Times New Roman" w:cstheme="minorHAnsi"/>
                <w:color w:val="000000"/>
                <w:sz w:val="20"/>
                <w:lang w:eastAsia="en-NZ"/>
              </w:rPr>
            </w:pPr>
            <w:r w:rsidRPr="00CA4713">
              <w:rPr>
                <w:rFonts w:eastAsia="Times New Roman" w:cstheme="minorHAnsi"/>
                <w:color w:val="000000"/>
                <w:sz w:val="20"/>
                <w:lang w:eastAsia="en-NZ"/>
              </w:rPr>
              <w:t>142,000</w:t>
            </w:r>
          </w:p>
        </w:tc>
        <w:tc>
          <w:tcPr>
            <w:tcW w:w="800" w:type="dxa"/>
            <w:gridSpan w:val="3"/>
            <w:shd w:val="clear" w:color="auto" w:fill="auto"/>
            <w:hideMark/>
          </w:tcPr>
          <w:p w:rsidR="00546A26" w:rsidRPr="00CA4713" w:rsidRDefault="00546A26" w:rsidP="004106CD">
            <w:pPr>
              <w:spacing w:after="0" w:line="240" w:lineRule="auto"/>
              <w:jc w:val="right"/>
              <w:rPr>
                <w:rFonts w:eastAsia="Times New Roman" w:cstheme="minorHAnsi"/>
                <w:color w:val="000000"/>
                <w:sz w:val="20"/>
                <w:lang w:eastAsia="en-NZ"/>
              </w:rPr>
            </w:pPr>
            <w:r w:rsidRPr="00CA4713">
              <w:rPr>
                <w:rFonts w:eastAsia="Times New Roman" w:cstheme="minorHAnsi"/>
                <w:color w:val="000000"/>
                <w:sz w:val="20"/>
                <w:lang w:eastAsia="en-NZ"/>
              </w:rPr>
              <w:t>10%</w:t>
            </w:r>
          </w:p>
        </w:tc>
        <w:tc>
          <w:tcPr>
            <w:tcW w:w="1301" w:type="dxa"/>
            <w:gridSpan w:val="3"/>
            <w:shd w:val="clear" w:color="auto" w:fill="auto"/>
            <w:hideMark/>
          </w:tcPr>
          <w:p w:rsidR="00546A26" w:rsidRPr="00CA4713" w:rsidRDefault="005F209F" w:rsidP="005F209F">
            <w:pPr>
              <w:spacing w:after="0" w:line="240" w:lineRule="auto"/>
              <w:jc w:val="right"/>
              <w:rPr>
                <w:rFonts w:cstheme="minorHAnsi"/>
              </w:rPr>
            </w:pPr>
            <w:r>
              <w:rPr>
                <w:rFonts w:eastAsia="Times New Roman" w:cstheme="minorHAnsi"/>
                <w:color w:val="000000"/>
                <w:sz w:val="20"/>
                <w:lang w:eastAsia="en-NZ"/>
              </w:rPr>
              <w:t>Within 10%</w:t>
            </w:r>
          </w:p>
        </w:tc>
        <w:tc>
          <w:tcPr>
            <w:tcW w:w="4252" w:type="dxa"/>
            <w:shd w:val="clear" w:color="auto" w:fill="auto"/>
            <w:hideMark/>
          </w:tcPr>
          <w:p w:rsidR="00546A26" w:rsidRPr="00CA4713" w:rsidRDefault="00546A26" w:rsidP="004106CD">
            <w:pPr>
              <w:spacing w:after="0" w:line="240" w:lineRule="auto"/>
              <w:jc w:val="right"/>
              <w:rPr>
                <w:rFonts w:eastAsia="Times New Roman" w:cstheme="minorHAnsi"/>
                <w:color w:val="000000"/>
                <w:sz w:val="20"/>
                <w:lang w:eastAsia="en-NZ"/>
              </w:rPr>
            </w:pPr>
          </w:p>
        </w:tc>
      </w:tr>
      <w:tr w:rsidR="00546A26" w:rsidRPr="00CA4713" w:rsidTr="009C3D9F">
        <w:trPr>
          <w:trHeight w:val="270"/>
        </w:trPr>
        <w:tc>
          <w:tcPr>
            <w:tcW w:w="4387" w:type="dxa"/>
            <w:gridSpan w:val="2"/>
            <w:tcBorders>
              <w:bottom w:val="nil"/>
            </w:tcBorders>
            <w:shd w:val="clear" w:color="auto" w:fill="auto"/>
            <w:hideMark/>
          </w:tcPr>
          <w:p w:rsidR="00546A26" w:rsidRPr="00CA4713" w:rsidRDefault="00546A26" w:rsidP="00B701E7">
            <w:pPr>
              <w:spacing w:after="0" w:line="240" w:lineRule="auto"/>
              <w:rPr>
                <w:rFonts w:eastAsia="Times New Roman" w:cstheme="minorHAnsi"/>
                <w:color w:val="000000"/>
                <w:sz w:val="20"/>
                <w:lang w:eastAsia="en-NZ"/>
              </w:rPr>
            </w:pPr>
            <w:r w:rsidRPr="00CA4713">
              <w:rPr>
                <w:rFonts w:eastAsia="Times New Roman" w:cstheme="minorHAnsi"/>
                <w:color w:val="000000"/>
                <w:sz w:val="20"/>
                <w:lang w:eastAsia="en-NZ"/>
              </w:rPr>
              <w:t xml:space="preserve">Berhampore Golf </w:t>
            </w:r>
            <w:r w:rsidR="00B701E7">
              <w:rPr>
                <w:rFonts w:eastAsia="Times New Roman" w:cstheme="minorHAnsi"/>
                <w:color w:val="000000"/>
                <w:sz w:val="20"/>
                <w:lang w:eastAsia="en-NZ"/>
              </w:rPr>
              <w:t>C</w:t>
            </w:r>
            <w:r w:rsidR="00B701E7" w:rsidRPr="00CA4713">
              <w:rPr>
                <w:rFonts w:eastAsia="Times New Roman" w:cstheme="minorHAnsi"/>
                <w:color w:val="000000"/>
                <w:sz w:val="20"/>
                <w:lang w:eastAsia="en-NZ"/>
              </w:rPr>
              <w:t xml:space="preserve">ourse </w:t>
            </w:r>
            <w:r w:rsidRPr="00CA4713">
              <w:rPr>
                <w:rFonts w:eastAsia="Times New Roman" w:cstheme="minorHAnsi"/>
                <w:color w:val="000000"/>
                <w:sz w:val="20"/>
                <w:lang w:eastAsia="en-NZ"/>
              </w:rPr>
              <w:t xml:space="preserve">users </w:t>
            </w:r>
          </w:p>
        </w:tc>
        <w:tc>
          <w:tcPr>
            <w:tcW w:w="1134" w:type="dxa"/>
            <w:gridSpan w:val="3"/>
            <w:tcBorders>
              <w:bottom w:val="nil"/>
            </w:tcBorders>
            <w:shd w:val="clear" w:color="auto" w:fill="auto"/>
            <w:hideMark/>
          </w:tcPr>
          <w:p w:rsidR="00546A26" w:rsidRPr="00CA4713" w:rsidRDefault="00546A26" w:rsidP="004106CD">
            <w:pPr>
              <w:spacing w:after="0" w:line="240" w:lineRule="auto"/>
              <w:jc w:val="right"/>
              <w:rPr>
                <w:rFonts w:eastAsia="Times New Roman" w:cstheme="minorHAnsi"/>
                <w:color w:val="000000"/>
                <w:sz w:val="20"/>
                <w:lang w:eastAsia="en-NZ"/>
              </w:rPr>
            </w:pPr>
          </w:p>
        </w:tc>
        <w:tc>
          <w:tcPr>
            <w:tcW w:w="1245" w:type="dxa"/>
            <w:gridSpan w:val="4"/>
            <w:tcBorders>
              <w:bottom w:val="nil"/>
            </w:tcBorders>
            <w:shd w:val="clear" w:color="auto" w:fill="auto"/>
            <w:noWrap/>
            <w:hideMark/>
          </w:tcPr>
          <w:p w:rsidR="00546A26" w:rsidRPr="00CA4713" w:rsidRDefault="00546A26" w:rsidP="004106CD">
            <w:pPr>
              <w:spacing w:after="0" w:line="240" w:lineRule="auto"/>
              <w:jc w:val="right"/>
              <w:rPr>
                <w:rFonts w:eastAsia="Times New Roman" w:cstheme="minorHAnsi"/>
                <w:color w:val="000000"/>
                <w:sz w:val="20"/>
                <w:lang w:eastAsia="en-NZ"/>
              </w:rPr>
            </w:pPr>
            <w:r w:rsidRPr="00CA4713">
              <w:rPr>
                <w:rFonts w:eastAsia="Times New Roman" w:cstheme="minorHAnsi"/>
                <w:color w:val="000000"/>
                <w:sz w:val="20"/>
                <w:lang w:eastAsia="en-NZ"/>
              </w:rPr>
              <w:t>New</w:t>
            </w:r>
          </w:p>
        </w:tc>
        <w:tc>
          <w:tcPr>
            <w:tcW w:w="1212" w:type="dxa"/>
            <w:gridSpan w:val="3"/>
            <w:tcBorders>
              <w:bottom w:val="nil"/>
            </w:tcBorders>
            <w:shd w:val="clear" w:color="auto" w:fill="auto"/>
            <w:noWrap/>
            <w:hideMark/>
          </w:tcPr>
          <w:p w:rsidR="00546A26" w:rsidRPr="00CA4713" w:rsidRDefault="00546A26" w:rsidP="004106CD">
            <w:pPr>
              <w:spacing w:after="0" w:line="240" w:lineRule="auto"/>
              <w:jc w:val="right"/>
              <w:rPr>
                <w:rFonts w:eastAsia="Times New Roman" w:cstheme="minorHAnsi"/>
                <w:color w:val="000000"/>
                <w:sz w:val="20"/>
                <w:lang w:eastAsia="en-NZ"/>
              </w:rPr>
            </w:pPr>
            <w:r w:rsidRPr="00CA4713">
              <w:rPr>
                <w:rFonts w:eastAsia="Times New Roman" w:cstheme="minorHAnsi"/>
                <w:color w:val="000000"/>
                <w:sz w:val="20"/>
                <w:lang w:eastAsia="en-NZ"/>
              </w:rPr>
              <w:t xml:space="preserve">1,773 </w:t>
            </w:r>
          </w:p>
        </w:tc>
        <w:tc>
          <w:tcPr>
            <w:tcW w:w="1120" w:type="dxa"/>
            <w:gridSpan w:val="2"/>
            <w:tcBorders>
              <w:bottom w:val="nil"/>
            </w:tcBorders>
            <w:shd w:val="clear" w:color="000000" w:fill="D9D9D9"/>
            <w:hideMark/>
          </w:tcPr>
          <w:p w:rsidR="00546A26" w:rsidRPr="00CA4713" w:rsidRDefault="00546A26" w:rsidP="004106CD">
            <w:pPr>
              <w:spacing w:after="0" w:line="240" w:lineRule="auto"/>
              <w:jc w:val="right"/>
              <w:rPr>
                <w:rFonts w:eastAsia="Times New Roman" w:cstheme="minorHAnsi"/>
                <w:color w:val="000000"/>
                <w:sz w:val="20"/>
                <w:lang w:eastAsia="en-NZ"/>
              </w:rPr>
            </w:pPr>
            <w:r w:rsidRPr="00CA4713">
              <w:rPr>
                <w:rFonts w:eastAsia="Times New Roman" w:cstheme="minorHAnsi"/>
                <w:color w:val="000000"/>
                <w:sz w:val="20"/>
                <w:lang w:eastAsia="en-NZ"/>
              </w:rPr>
              <w:t>Baseline</w:t>
            </w:r>
          </w:p>
        </w:tc>
        <w:tc>
          <w:tcPr>
            <w:tcW w:w="800" w:type="dxa"/>
            <w:gridSpan w:val="3"/>
            <w:tcBorders>
              <w:bottom w:val="nil"/>
            </w:tcBorders>
            <w:shd w:val="clear" w:color="auto" w:fill="auto"/>
          </w:tcPr>
          <w:p w:rsidR="00546A26" w:rsidRPr="00CA4713" w:rsidRDefault="00546A26" w:rsidP="004106CD">
            <w:pPr>
              <w:spacing w:after="0" w:line="240" w:lineRule="auto"/>
              <w:jc w:val="right"/>
              <w:rPr>
                <w:rFonts w:eastAsia="Times New Roman" w:cstheme="minorHAnsi"/>
                <w:color w:val="000000"/>
                <w:sz w:val="20"/>
                <w:lang w:eastAsia="en-NZ"/>
              </w:rPr>
            </w:pPr>
          </w:p>
        </w:tc>
        <w:tc>
          <w:tcPr>
            <w:tcW w:w="1301" w:type="dxa"/>
            <w:gridSpan w:val="3"/>
            <w:tcBorders>
              <w:bottom w:val="nil"/>
            </w:tcBorders>
            <w:shd w:val="clear" w:color="auto" w:fill="auto"/>
          </w:tcPr>
          <w:p w:rsidR="00546A26" w:rsidRPr="00CA4713" w:rsidRDefault="00546A26" w:rsidP="004106CD">
            <w:pPr>
              <w:spacing w:after="0" w:line="240" w:lineRule="auto"/>
              <w:jc w:val="center"/>
              <w:rPr>
                <w:rFonts w:cstheme="minorHAnsi"/>
              </w:rPr>
            </w:pPr>
          </w:p>
        </w:tc>
        <w:tc>
          <w:tcPr>
            <w:tcW w:w="4252" w:type="dxa"/>
            <w:tcBorders>
              <w:bottom w:val="nil"/>
            </w:tcBorders>
            <w:shd w:val="clear" w:color="auto" w:fill="auto"/>
          </w:tcPr>
          <w:p w:rsidR="00546A26" w:rsidRPr="00CA4713" w:rsidRDefault="00546A26" w:rsidP="004106CD">
            <w:pPr>
              <w:spacing w:after="0" w:line="240" w:lineRule="auto"/>
              <w:jc w:val="right"/>
              <w:rPr>
                <w:rFonts w:eastAsia="Times New Roman" w:cstheme="minorHAnsi"/>
                <w:color w:val="000000"/>
                <w:sz w:val="20"/>
                <w:lang w:eastAsia="en-NZ"/>
              </w:rPr>
            </w:pPr>
          </w:p>
        </w:tc>
      </w:tr>
      <w:tr w:rsidR="00546A26" w:rsidRPr="00CA4713" w:rsidTr="009C3D9F">
        <w:trPr>
          <w:trHeight w:val="315"/>
        </w:trPr>
        <w:tc>
          <w:tcPr>
            <w:tcW w:w="15451" w:type="dxa"/>
            <w:gridSpan w:val="21"/>
            <w:tcBorders>
              <w:top w:val="nil"/>
              <w:bottom w:val="nil"/>
            </w:tcBorders>
            <w:shd w:val="clear" w:color="auto" w:fill="DAEEF3" w:themeFill="accent5" w:themeFillTint="33"/>
            <w:hideMark/>
          </w:tcPr>
          <w:p w:rsidR="00546A26" w:rsidRPr="00F45CA3" w:rsidRDefault="00546A26" w:rsidP="004106CD">
            <w:pPr>
              <w:spacing w:after="0" w:line="240" w:lineRule="auto"/>
              <w:rPr>
                <w:rFonts w:eastAsia="Times New Roman" w:cstheme="minorHAnsi"/>
                <w:b/>
                <w:color w:val="000000" w:themeColor="text1"/>
                <w:sz w:val="20"/>
                <w:szCs w:val="20"/>
                <w:lang w:eastAsia="en-NZ"/>
              </w:rPr>
            </w:pPr>
            <w:r w:rsidRPr="00F45CA3">
              <w:rPr>
                <w:rFonts w:eastAsia="Times New Roman" w:cstheme="minorHAnsi"/>
                <w:b/>
                <w:color w:val="000000" w:themeColor="text1"/>
                <w:sz w:val="20"/>
                <w:szCs w:val="20"/>
                <w:lang w:eastAsia="en-NZ"/>
              </w:rPr>
              <w:lastRenderedPageBreak/>
              <w:t>Affordability</w:t>
            </w:r>
          </w:p>
        </w:tc>
      </w:tr>
      <w:tr w:rsidR="00546A26" w:rsidRPr="00CA4713" w:rsidTr="009C3D9F">
        <w:trPr>
          <w:trHeight w:val="270"/>
        </w:trPr>
        <w:tc>
          <w:tcPr>
            <w:tcW w:w="4394" w:type="dxa"/>
            <w:gridSpan w:val="3"/>
            <w:tcBorders>
              <w:top w:val="nil"/>
            </w:tcBorders>
            <w:shd w:val="clear" w:color="auto" w:fill="auto"/>
            <w:hideMark/>
          </w:tcPr>
          <w:p w:rsidR="00546A26" w:rsidRPr="00CA4713" w:rsidRDefault="00546A26" w:rsidP="004106CD">
            <w:pPr>
              <w:spacing w:after="0" w:line="240" w:lineRule="auto"/>
              <w:rPr>
                <w:rFonts w:eastAsia="Times New Roman" w:cstheme="minorHAnsi"/>
                <w:color w:val="000000"/>
                <w:sz w:val="20"/>
                <w:lang w:eastAsia="en-NZ"/>
              </w:rPr>
            </w:pPr>
            <w:r w:rsidRPr="00CA4713">
              <w:rPr>
                <w:rFonts w:eastAsia="Times New Roman" w:cstheme="minorHAnsi"/>
                <w:color w:val="000000"/>
                <w:sz w:val="20"/>
                <w:lang w:eastAsia="en-NZ"/>
              </w:rPr>
              <w:t>Residents' perception that pool admission charges are affordable</w:t>
            </w:r>
          </w:p>
        </w:tc>
        <w:tc>
          <w:tcPr>
            <w:tcW w:w="1127" w:type="dxa"/>
            <w:gridSpan w:val="2"/>
            <w:tcBorders>
              <w:top w:val="nil"/>
            </w:tcBorders>
            <w:shd w:val="clear" w:color="auto" w:fill="auto"/>
          </w:tcPr>
          <w:p w:rsidR="00546A26" w:rsidRPr="00CA4713" w:rsidRDefault="00546A26" w:rsidP="004106CD">
            <w:pPr>
              <w:spacing w:after="0" w:line="240" w:lineRule="auto"/>
              <w:rPr>
                <w:rFonts w:eastAsia="Times New Roman" w:cstheme="minorHAnsi"/>
                <w:color w:val="000000"/>
                <w:sz w:val="20"/>
                <w:lang w:eastAsia="en-NZ"/>
              </w:rPr>
            </w:pPr>
          </w:p>
        </w:tc>
        <w:tc>
          <w:tcPr>
            <w:tcW w:w="1199" w:type="dxa"/>
            <w:gridSpan w:val="2"/>
            <w:tcBorders>
              <w:top w:val="nil"/>
            </w:tcBorders>
            <w:shd w:val="clear" w:color="auto" w:fill="auto"/>
            <w:noWrap/>
            <w:hideMark/>
          </w:tcPr>
          <w:p w:rsidR="00546A26" w:rsidRPr="00CA4713" w:rsidRDefault="00546A26" w:rsidP="004106CD">
            <w:pPr>
              <w:spacing w:after="0" w:line="240" w:lineRule="auto"/>
              <w:jc w:val="right"/>
              <w:rPr>
                <w:rFonts w:eastAsia="Times New Roman" w:cstheme="minorHAnsi"/>
                <w:color w:val="000000"/>
                <w:sz w:val="20"/>
                <w:lang w:eastAsia="en-NZ"/>
              </w:rPr>
            </w:pPr>
            <w:r w:rsidRPr="00CA4713">
              <w:rPr>
                <w:rFonts w:eastAsia="Times New Roman" w:cstheme="minorHAnsi"/>
                <w:color w:val="000000"/>
                <w:sz w:val="20"/>
                <w:lang w:eastAsia="en-NZ"/>
              </w:rPr>
              <w:t>new</w:t>
            </w:r>
          </w:p>
        </w:tc>
        <w:tc>
          <w:tcPr>
            <w:tcW w:w="1258" w:type="dxa"/>
            <w:gridSpan w:val="5"/>
            <w:tcBorders>
              <w:top w:val="nil"/>
            </w:tcBorders>
            <w:shd w:val="clear" w:color="auto" w:fill="auto"/>
            <w:noWrap/>
            <w:hideMark/>
          </w:tcPr>
          <w:p w:rsidR="00546A26" w:rsidRPr="00CA4713" w:rsidRDefault="00750654" w:rsidP="004106CD">
            <w:pPr>
              <w:spacing w:after="0" w:line="240" w:lineRule="auto"/>
              <w:jc w:val="right"/>
              <w:rPr>
                <w:rFonts w:eastAsia="Times New Roman" w:cstheme="minorHAnsi"/>
                <w:color w:val="000000"/>
                <w:sz w:val="20"/>
                <w:lang w:eastAsia="en-NZ"/>
              </w:rPr>
            </w:pPr>
            <w:r>
              <w:rPr>
                <w:rFonts w:eastAsia="Times New Roman" w:cstheme="minorHAnsi"/>
                <w:color w:val="000000"/>
                <w:sz w:val="20"/>
                <w:lang w:eastAsia="en-NZ"/>
              </w:rPr>
              <w:t>59.9</w:t>
            </w:r>
            <w:r w:rsidR="00546A26" w:rsidRPr="00CA4713">
              <w:rPr>
                <w:rFonts w:eastAsia="Times New Roman" w:cstheme="minorHAnsi"/>
                <w:color w:val="000000"/>
                <w:sz w:val="20"/>
                <w:lang w:eastAsia="en-NZ"/>
              </w:rPr>
              <w:t>%</w:t>
            </w:r>
          </w:p>
        </w:tc>
        <w:tc>
          <w:tcPr>
            <w:tcW w:w="1106" w:type="dxa"/>
            <w:tcBorders>
              <w:top w:val="nil"/>
            </w:tcBorders>
            <w:shd w:val="clear" w:color="000000" w:fill="D9D9D9"/>
            <w:hideMark/>
          </w:tcPr>
          <w:p w:rsidR="00546A26" w:rsidRPr="00CA4713" w:rsidRDefault="00546A26" w:rsidP="004106CD">
            <w:pPr>
              <w:spacing w:after="0" w:line="240" w:lineRule="auto"/>
              <w:jc w:val="right"/>
              <w:rPr>
                <w:rFonts w:eastAsia="Times New Roman" w:cstheme="minorHAnsi"/>
                <w:color w:val="000000"/>
                <w:sz w:val="20"/>
                <w:lang w:eastAsia="en-NZ"/>
              </w:rPr>
            </w:pPr>
            <w:r w:rsidRPr="00CA4713">
              <w:rPr>
                <w:rFonts w:eastAsia="Times New Roman" w:cstheme="minorHAnsi"/>
                <w:color w:val="000000"/>
                <w:sz w:val="20"/>
                <w:lang w:eastAsia="en-NZ"/>
              </w:rPr>
              <w:t>Baseline</w:t>
            </w:r>
          </w:p>
        </w:tc>
        <w:tc>
          <w:tcPr>
            <w:tcW w:w="814" w:type="dxa"/>
            <w:gridSpan w:val="4"/>
            <w:tcBorders>
              <w:top w:val="nil"/>
            </w:tcBorders>
            <w:shd w:val="clear" w:color="auto" w:fill="auto"/>
            <w:hideMark/>
          </w:tcPr>
          <w:p w:rsidR="00546A26" w:rsidRPr="00CA4713" w:rsidRDefault="00546A26" w:rsidP="004106CD">
            <w:pPr>
              <w:spacing w:after="0" w:line="240" w:lineRule="auto"/>
              <w:jc w:val="right"/>
              <w:rPr>
                <w:rFonts w:eastAsia="Times New Roman" w:cstheme="minorHAnsi"/>
                <w:color w:val="000000"/>
                <w:sz w:val="20"/>
                <w:lang w:eastAsia="en-NZ"/>
              </w:rPr>
            </w:pPr>
          </w:p>
        </w:tc>
        <w:tc>
          <w:tcPr>
            <w:tcW w:w="1301" w:type="dxa"/>
            <w:gridSpan w:val="3"/>
            <w:tcBorders>
              <w:top w:val="nil"/>
            </w:tcBorders>
            <w:shd w:val="clear" w:color="auto" w:fill="auto"/>
            <w:hideMark/>
          </w:tcPr>
          <w:p w:rsidR="00546A26" w:rsidRPr="00CA4713" w:rsidRDefault="00546A26" w:rsidP="004106CD">
            <w:pPr>
              <w:spacing w:after="0" w:line="240" w:lineRule="auto"/>
              <w:jc w:val="center"/>
              <w:rPr>
                <w:rFonts w:eastAsia="Times New Roman" w:cstheme="minorHAnsi"/>
                <w:color w:val="000000"/>
                <w:sz w:val="20"/>
                <w:lang w:eastAsia="en-NZ"/>
              </w:rPr>
            </w:pPr>
          </w:p>
        </w:tc>
        <w:tc>
          <w:tcPr>
            <w:tcW w:w="4252" w:type="dxa"/>
            <w:tcBorders>
              <w:top w:val="nil"/>
            </w:tcBorders>
            <w:shd w:val="clear" w:color="auto" w:fill="auto"/>
            <w:hideMark/>
          </w:tcPr>
          <w:p w:rsidR="00546A26" w:rsidRPr="00CA4713" w:rsidRDefault="00546A26" w:rsidP="004106CD">
            <w:pPr>
              <w:spacing w:after="0" w:line="240" w:lineRule="auto"/>
              <w:jc w:val="right"/>
              <w:rPr>
                <w:rFonts w:eastAsia="Times New Roman" w:cstheme="minorHAnsi"/>
                <w:color w:val="000000"/>
                <w:sz w:val="20"/>
                <w:lang w:eastAsia="en-NZ"/>
              </w:rPr>
            </w:pPr>
          </w:p>
        </w:tc>
      </w:tr>
      <w:tr w:rsidR="00546A26" w:rsidRPr="00CA4713" w:rsidTr="009C3D9F">
        <w:trPr>
          <w:trHeight w:val="270"/>
        </w:trPr>
        <w:tc>
          <w:tcPr>
            <w:tcW w:w="4394" w:type="dxa"/>
            <w:gridSpan w:val="3"/>
            <w:shd w:val="clear" w:color="auto" w:fill="auto"/>
            <w:hideMark/>
          </w:tcPr>
          <w:p w:rsidR="00546A26" w:rsidRPr="00CA4713" w:rsidRDefault="00546A26" w:rsidP="004106CD">
            <w:pPr>
              <w:spacing w:after="0" w:line="240" w:lineRule="auto"/>
              <w:rPr>
                <w:rFonts w:eastAsia="Times New Roman" w:cstheme="minorHAnsi"/>
                <w:color w:val="000000"/>
                <w:sz w:val="20"/>
                <w:lang w:eastAsia="en-NZ"/>
              </w:rPr>
            </w:pPr>
            <w:r w:rsidRPr="00CA4713">
              <w:rPr>
                <w:rFonts w:eastAsia="Times New Roman" w:cstheme="minorHAnsi"/>
                <w:color w:val="000000"/>
                <w:sz w:val="20"/>
                <w:lang w:eastAsia="en-NZ"/>
              </w:rPr>
              <w:t>Ratepayer subsidy per swim</w:t>
            </w:r>
          </w:p>
        </w:tc>
        <w:tc>
          <w:tcPr>
            <w:tcW w:w="1127" w:type="dxa"/>
            <w:gridSpan w:val="2"/>
            <w:shd w:val="clear" w:color="auto" w:fill="auto"/>
          </w:tcPr>
          <w:p w:rsidR="00546A26" w:rsidRPr="00CA4713" w:rsidRDefault="00546A26" w:rsidP="004106CD">
            <w:pPr>
              <w:spacing w:after="0" w:line="240" w:lineRule="auto"/>
              <w:rPr>
                <w:rFonts w:eastAsia="Times New Roman" w:cstheme="minorHAnsi"/>
                <w:color w:val="000000"/>
                <w:sz w:val="20"/>
                <w:lang w:eastAsia="en-NZ"/>
              </w:rPr>
            </w:pPr>
          </w:p>
        </w:tc>
        <w:tc>
          <w:tcPr>
            <w:tcW w:w="1199" w:type="dxa"/>
            <w:gridSpan w:val="2"/>
            <w:shd w:val="clear" w:color="auto" w:fill="auto"/>
            <w:noWrap/>
            <w:hideMark/>
          </w:tcPr>
          <w:p w:rsidR="00546A26" w:rsidRPr="00CA4713" w:rsidRDefault="00546A26" w:rsidP="004106CD">
            <w:pPr>
              <w:spacing w:after="0" w:line="240" w:lineRule="auto"/>
              <w:jc w:val="right"/>
              <w:rPr>
                <w:rFonts w:eastAsia="Times New Roman" w:cstheme="minorHAnsi"/>
                <w:color w:val="000000"/>
                <w:sz w:val="20"/>
                <w:lang w:eastAsia="en-NZ"/>
              </w:rPr>
            </w:pPr>
            <w:r w:rsidRPr="00CA4713">
              <w:rPr>
                <w:rFonts w:eastAsia="Times New Roman" w:cstheme="minorHAnsi"/>
                <w:color w:val="000000"/>
                <w:sz w:val="20"/>
                <w:lang w:eastAsia="en-NZ"/>
              </w:rPr>
              <w:t>new</w:t>
            </w:r>
          </w:p>
        </w:tc>
        <w:tc>
          <w:tcPr>
            <w:tcW w:w="1258" w:type="dxa"/>
            <w:gridSpan w:val="5"/>
            <w:shd w:val="clear" w:color="auto" w:fill="FFFFFF" w:themeFill="background1"/>
            <w:noWrap/>
            <w:hideMark/>
          </w:tcPr>
          <w:p w:rsidR="00546A26" w:rsidRPr="00CA4713" w:rsidRDefault="00546A26" w:rsidP="004106CD">
            <w:pPr>
              <w:spacing w:after="0" w:line="240" w:lineRule="auto"/>
              <w:jc w:val="right"/>
              <w:rPr>
                <w:rFonts w:eastAsia="Times New Roman" w:cstheme="minorHAnsi"/>
                <w:color w:val="000000"/>
                <w:sz w:val="20"/>
                <w:lang w:eastAsia="en-NZ"/>
              </w:rPr>
            </w:pPr>
            <w:r w:rsidRPr="00CA4713">
              <w:rPr>
                <w:rFonts w:eastAsia="Times New Roman" w:cstheme="minorHAnsi"/>
                <w:color w:val="000000"/>
                <w:sz w:val="20"/>
                <w:lang w:eastAsia="en-NZ"/>
              </w:rPr>
              <w:t>$13.60</w:t>
            </w:r>
          </w:p>
        </w:tc>
        <w:tc>
          <w:tcPr>
            <w:tcW w:w="1106" w:type="dxa"/>
            <w:shd w:val="clear" w:color="000000" w:fill="D9D9D9"/>
            <w:hideMark/>
          </w:tcPr>
          <w:p w:rsidR="00546A26" w:rsidRPr="00CA4713" w:rsidRDefault="00546A26" w:rsidP="004106CD">
            <w:pPr>
              <w:spacing w:after="0" w:line="240" w:lineRule="auto"/>
              <w:jc w:val="right"/>
              <w:rPr>
                <w:rFonts w:eastAsia="Times New Roman" w:cstheme="minorHAnsi"/>
                <w:color w:val="000000"/>
                <w:sz w:val="20"/>
                <w:lang w:eastAsia="en-NZ"/>
              </w:rPr>
            </w:pPr>
            <w:r w:rsidRPr="00CA4713">
              <w:rPr>
                <w:rFonts w:eastAsia="Times New Roman" w:cstheme="minorHAnsi"/>
                <w:color w:val="000000"/>
                <w:sz w:val="20"/>
                <w:lang w:eastAsia="en-NZ"/>
              </w:rPr>
              <w:t>Baseline</w:t>
            </w:r>
          </w:p>
        </w:tc>
        <w:tc>
          <w:tcPr>
            <w:tcW w:w="814" w:type="dxa"/>
            <w:gridSpan w:val="4"/>
            <w:shd w:val="clear" w:color="auto" w:fill="auto"/>
            <w:hideMark/>
          </w:tcPr>
          <w:p w:rsidR="00546A26" w:rsidRPr="00CA4713" w:rsidRDefault="00546A26" w:rsidP="004106CD">
            <w:pPr>
              <w:spacing w:after="0" w:line="240" w:lineRule="auto"/>
              <w:jc w:val="right"/>
              <w:rPr>
                <w:rFonts w:eastAsia="Times New Roman" w:cstheme="minorHAnsi"/>
                <w:color w:val="000000"/>
                <w:sz w:val="20"/>
                <w:lang w:eastAsia="en-NZ"/>
              </w:rPr>
            </w:pPr>
          </w:p>
        </w:tc>
        <w:tc>
          <w:tcPr>
            <w:tcW w:w="1301" w:type="dxa"/>
            <w:gridSpan w:val="3"/>
            <w:shd w:val="clear" w:color="auto" w:fill="auto"/>
            <w:hideMark/>
          </w:tcPr>
          <w:p w:rsidR="00546A26" w:rsidRPr="00CA4713" w:rsidRDefault="00546A26" w:rsidP="004106CD">
            <w:pPr>
              <w:spacing w:after="0" w:line="240" w:lineRule="auto"/>
              <w:jc w:val="center"/>
              <w:rPr>
                <w:rFonts w:eastAsia="Times New Roman" w:cstheme="minorHAnsi"/>
                <w:color w:val="000000"/>
                <w:sz w:val="20"/>
                <w:lang w:eastAsia="en-NZ"/>
              </w:rPr>
            </w:pPr>
          </w:p>
        </w:tc>
        <w:tc>
          <w:tcPr>
            <w:tcW w:w="4252" w:type="dxa"/>
            <w:shd w:val="clear" w:color="auto" w:fill="FFFFFF" w:themeFill="background1"/>
            <w:hideMark/>
          </w:tcPr>
          <w:p w:rsidR="00546A26" w:rsidRPr="00CA4713" w:rsidRDefault="00546A26" w:rsidP="004106CD">
            <w:pPr>
              <w:spacing w:after="0" w:line="240" w:lineRule="auto"/>
              <w:rPr>
                <w:rFonts w:eastAsia="Times New Roman" w:cstheme="minorHAnsi"/>
                <w:color w:val="000000"/>
                <w:sz w:val="20"/>
                <w:lang w:eastAsia="en-NZ"/>
              </w:rPr>
            </w:pPr>
          </w:p>
        </w:tc>
      </w:tr>
      <w:tr w:rsidR="00546A26" w:rsidRPr="00CA4713" w:rsidTr="009C3D9F">
        <w:trPr>
          <w:trHeight w:val="270"/>
        </w:trPr>
        <w:tc>
          <w:tcPr>
            <w:tcW w:w="4394" w:type="dxa"/>
            <w:gridSpan w:val="3"/>
            <w:tcBorders>
              <w:bottom w:val="nil"/>
            </w:tcBorders>
            <w:shd w:val="clear" w:color="auto" w:fill="auto"/>
            <w:hideMark/>
          </w:tcPr>
          <w:p w:rsidR="00546A26" w:rsidRPr="00CA4713" w:rsidRDefault="00546A26" w:rsidP="004106CD">
            <w:pPr>
              <w:spacing w:after="0" w:line="240" w:lineRule="auto"/>
              <w:rPr>
                <w:rFonts w:eastAsia="Times New Roman" w:cstheme="minorHAnsi"/>
                <w:color w:val="000000"/>
                <w:sz w:val="20"/>
                <w:lang w:eastAsia="en-NZ"/>
              </w:rPr>
            </w:pPr>
            <w:r w:rsidRPr="00CA4713">
              <w:rPr>
                <w:rFonts w:eastAsia="Times New Roman" w:cstheme="minorHAnsi"/>
                <w:color w:val="000000"/>
                <w:sz w:val="20"/>
                <w:lang w:eastAsia="en-NZ"/>
              </w:rPr>
              <w:t>Ratepayer subsidy per court/hour (ASB Sports Centre)</w:t>
            </w:r>
          </w:p>
        </w:tc>
        <w:tc>
          <w:tcPr>
            <w:tcW w:w="1127" w:type="dxa"/>
            <w:gridSpan w:val="2"/>
            <w:tcBorders>
              <w:bottom w:val="nil"/>
            </w:tcBorders>
            <w:shd w:val="clear" w:color="auto" w:fill="auto"/>
          </w:tcPr>
          <w:p w:rsidR="00546A26" w:rsidRPr="00CA4713" w:rsidRDefault="00546A26" w:rsidP="004106CD">
            <w:pPr>
              <w:spacing w:after="0" w:line="240" w:lineRule="auto"/>
              <w:rPr>
                <w:rFonts w:eastAsia="Times New Roman" w:cstheme="minorHAnsi"/>
                <w:color w:val="000000"/>
                <w:sz w:val="20"/>
                <w:lang w:eastAsia="en-NZ"/>
              </w:rPr>
            </w:pPr>
          </w:p>
        </w:tc>
        <w:tc>
          <w:tcPr>
            <w:tcW w:w="1199" w:type="dxa"/>
            <w:gridSpan w:val="2"/>
            <w:tcBorders>
              <w:bottom w:val="nil"/>
            </w:tcBorders>
            <w:shd w:val="clear" w:color="auto" w:fill="auto"/>
            <w:noWrap/>
            <w:hideMark/>
          </w:tcPr>
          <w:p w:rsidR="00546A26" w:rsidRPr="00CA4713" w:rsidRDefault="00546A26" w:rsidP="004106CD">
            <w:pPr>
              <w:spacing w:after="0" w:line="240" w:lineRule="auto"/>
              <w:jc w:val="right"/>
              <w:rPr>
                <w:rFonts w:eastAsia="Times New Roman" w:cstheme="minorHAnsi"/>
                <w:color w:val="000000"/>
                <w:sz w:val="20"/>
                <w:lang w:eastAsia="en-NZ"/>
              </w:rPr>
            </w:pPr>
            <w:r w:rsidRPr="00CA4713">
              <w:rPr>
                <w:rFonts w:eastAsia="Times New Roman" w:cstheme="minorHAnsi"/>
                <w:color w:val="000000"/>
                <w:sz w:val="20"/>
                <w:lang w:eastAsia="en-NZ"/>
              </w:rPr>
              <w:t>new</w:t>
            </w:r>
          </w:p>
        </w:tc>
        <w:tc>
          <w:tcPr>
            <w:tcW w:w="1258" w:type="dxa"/>
            <w:gridSpan w:val="5"/>
            <w:tcBorders>
              <w:bottom w:val="nil"/>
            </w:tcBorders>
            <w:shd w:val="clear" w:color="auto" w:fill="FFFFFF" w:themeFill="background1"/>
            <w:noWrap/>
            <w:hideMark/>
          </w:tcPr>
          <w:p w:rsidR="00546A26" w:rsidRPr="00CA4713" w:rsidRDefault="00546A26" w:rsidP="004106CD">
            <w:pPr>
              <w:spacing w:after="0" w:line="240" w:lineRule="auto"/>
              <w:jc w:val="right"/>
              <w:rPr>
                <w:rFonts w:eastAsia="Times New Roman" w:cstheme="minorHAnsi"/>
                <w:color w:val="000000"/>
                <w:sz w:val="20"/>
                <w:lang w:eastAsia="en-NZ"/>
              </w:rPr>
            </w:pPr>
            <w:r w:rsidRPr="00CA4713">
              <w:rPr>
                <w:rFonts w:eastAsia="Times New Roman" w:cstheme="minorHAnsi"/>
                <w:color w:val="000000"/>
                <w:sz w:val="20"/>
                <w:lang w:eastAsia="en-NZ"/>
              </w:rPr>
              <w:t>$6.25</w:t>
            </w:r>
          </w:p>
        </w:tc>
        <w:tc>
          <w:tcPr>
            <w:tcW w:w="1106" w:type="dxa"/>
            <w:tcBorders>
              <w:bottom w:val="nil"/>
            </w:tcBorders>
            <w:shd w:val="clear" w:color="000000" w:fill="D9D9D9"/>
            <w:hideMark/>
          </w:tcPr>
          <w:p w:rsidR="00546A26" w:rsidRPr="00CA4713" w:rsidRDefault="00546A26" w:rsidP="004106CD">
            <w:pPr>
              <w:spacing w:after="0" w:line="240" w:lineRule="auto"/>
              <w:jc w:val="right"/>
              <w:rPr>
                <w:rFonts w:eastAsia="Times New Roman" w:cstheme="minorHAnsi"/>
                <w:color w:val="000000"/>
                <w:sz w:val="20"/>
                <w:lang w:eastAsia="en-NZ"/>
              </w:rPr>
            </w:pPr>
            <w:r w:rsidRPr="00CA4713">
              <w:rPr>
                <w:rFonts w:eastAsia="Times New Roman" w:cstheme="minorHAnsi"/>
                <w:color w:val="000000"/>
                <w:sz w:val="20"/>
                <w:lang w:eastAsia="en-NZ"/>
              </w:rPr>
              <w:t>Baseline</w:t>
            </w:r>
          </w:p>
        </w:tc>
        <w:tc>
          <w:tcPr>
            <w:tcW w:w="814" w:type="dxa"/>
            <w:gridSpan w:val="4"/>
            <w:tcBorders>
              <w:bottom w:val="nil"/>
            </w:tcBorders>
            <w:shd w:val="clear" w:color="auto" w:fill="auto"/>
            <w:hideMark/>
          </w:tcPr>
          <w:p w:rsidR="00546A26" w:rsidRPr="00CA4713" w:rsidRDefault="00546A26" w:rsidP="004106CD">
            <w:pPr>
              <w:spacing w:after="0" w:line="240" w:lineRule="auto"/>
              <w:jc w:val="right"/>
              <w:rPr>
                <w:rFonts w:eastAsia="Times New Roman" w:cstheme="minorHAnsi"/>
                <w:color w:val="000000"/>
                <w:sz w:val="20"/>
                <w:lang w:eastAsia="en-NZ"/>
              </w:rPr>
            </w:pPr>
          </w:p>
        </w:tc>
        <w:tc>
          <w:tcPr>
            <w:tcW w:w="1301" w:type="dxa"/>
            <w:gridSpan w:val="3"/>
            <w:tcBorders>
              <w:bottom w:val="nil"/>
            </w:tcBorders>
            <w:shd w:val="clear" w:color="auto" w:fill="auto"/>
            <w:hideMark/>
          </w:tcPr>
          <w:p w:rsidR="00546A26" w:rsidRPr="00CA4713" w:rsidRDefault="00546A26" w:rsidP="004106CD">
            <w:pPr>
              <w:spacing w:after="0" w:line="240" w:lineRule="auto"/>
              <w:jc w:val="center"/>
              <w:rPr>
                <w:rFonts w:eastAsia="Times New Roman" w:cstheme="minorHAnsi"/>
                <w:color w:val="000000"/>
                <w:sz w:val="20"/>
                <w:lang w:eastAsia="en-NZ"/>
              </w:rPr>
            </w:pPr>
          </w:p>
        </w:tc>
        <w:tc>
          <w:tcPr>
            <w:tcW w:w="4252" w:type="dxa"/>
            <w:tcBorders>
              <w:bottom w:val="nil"/>
            </w:tcBorders>
            <w:shd w:val="clear" w:color="auto" w:fill="FFFFFF" w:themeFill="background1"/>
            <w:hideMark/>
          </w:tcPr>
          <w:p w:rsidR="00546A26" w:rsidRPr="00CA4713" w:rsidRDefault="00546A26" w:rsidP="004106CD">
            <w:pPr>
              <w:spacing w:after="0" w:line="240" w:lineRule="auto"/>
              <w:rPr>
                <w:rFonts w:eastAsia="Times New Roman" w:cstheme="minorHAnsi"/>
                <w:color w:val="000000"/>
                <w:sz w:val="20"/>
                <w:lang w:eastAsia="en-NZ"/>
              </w:rPr>
            </w:pPr>
          </w:p>
        </w:tc>
      </w:tr>
      <w:tr w:rsidR="00546A26" w:rsidRPr="00CA4713" w:rsidTr="009C3D9F">
        <w:trPr>
          <w:trHeight w:val="315"/>
        </w:trPr>
        <w:tc>
          <w:tcPr>
            <w:tcW w:w="15451" w:type="dxa"/>
            <w:gridSpan w:val="21"/>
            <w:tcBorders>
              <w:top w:val="nil"/>
              <w:bottom w:val="nil"/>
            </w:tcBorders>
            <w:shd w:val="clear" w:color="auto" w:fill="DAEEF3" w:themeFill="accent5" w:themeFillTint="33"/>
            <w:hideMark/>
          </w:tcPr>
          <w:p w:rsidR="00546A26" w:rsidRPr="00F45CA3" w:rsidRDefault="00546A26" w:rsidP="004106CD">
            <w:pPr>
              <w:spacing w:after="0" w:line="240" w:lineRule="auto"/>
              <w:rPr>
                <w:rFonts w:eastAsia="Times New Roman" w:cstheme="minorHAnsi"/>
                <w:b/>
                <w:color w:val="000000" w:themeColor="text1"/>
                <w:sz w:val="20"/>
                <w:szCs w:val="20"/>
                <w:lang w:eastAsia="en-NZ"/>
              </w:rPr>
            </w:pPr>
            <w:r w:rsidRPr="00F45CA3">
              <w:rPr>
                <w:rFonts w:eastAsia="Times New Roman" w:cstheme="minorHAnsi"/>
                <w:b/>
                <w:color w:val="000000" w:themeColor="text1"/>
                <w:sz w:val="20"/>
                <w:szCs w:val="20"/>
                <w:lang w:eastAsia="en-NZ"/>
              </w:rPr>
              <w:t>City recreation promotion</w:t>
            </w:r>
          </w:p>
        </w:tc>
      </w:tr>
      <w:tr w:rsidR="00546A26" w:rsidRPr="00CA4713" w:rsidTr="009C3D9F">
        <w:trPr>
          <w:trHeight w:val="336"/>
        </w:trPr>
        <w:tc>
          <w:tcPr>
            <w:tcW w:w="4375" w:type="dxa"/>
            <w:tcBorders>
              <w:top w:val="nil"/>
            </w:tcBorders>
            <w:shd w:val="clear" w:color="auto" w:fill="auto"/>
            <w:hideMark/>
          </w:tcPr>
          <w:p w:rsidR="00546A26" w:rsidRPr="00CA4713" w:rsidRDefault="00546A26" w:rsidP="004106CD">
            <w:pPr>
              <w:spacing w:after="0" w:line="240" w:lineRule="auto"/>
              <w:rPr>
                <w:rFonts w:eastAsia="Times New Roman" w:cstheme="minorHAnsi"/>
                <w:color w:val="000000"/>
                <w:sz w:val="20"/>
                <w:lang w:eastAsia="en-NZ"/>
              </w:rPr>
            </w:pPr>
            <w:r w:rsidRPr="00CA4713">
              <w:rPr>
                <w:rFonts w:eastAsia="Times New Roman" w:cstheme="minorHAnsi"/>
                <w:color w:val="000000"/>
                <w:sz w:val="20"/>
                <w:lang w:eastAsia="en-NZ"/>
              </w:rPr>
              <w:t>Number of international and national events at Council recreation facilities and estimated attendees</w:t>
            </w:r>
          </w:p>
        </w:tc>
        <w:tc>
          <w:tcPr>
            <w:tcW w:w="1169" w:type="dxa"/>
            <w:gridSpan w:val="5"/>
            <w:tcBorders>
              <w:top w:val="nil"/>
            </w:tcBorders>
            <w:shd w:val="clear" w:color="auto" w:fill="auto"/>
            <w:noWrap/>
            <w:hideMark/>
          </w:tcPr>
          <w:p w:rsidR="00546A26" w:rsidRPr="00CA4713" w:rsidRDefault="00546A26" w:rsidP="004106CD">
            <w:pPr>
              <w:spacing w:after="0" w:line="240" w:lineRule="auto"/>
              <w:jc w:val="right"/>
              <w:rPr>
                <w:rFonts w:eastAsia="Times New Roman" w:cstheme="minorHAnsi"/>
                <w:color w:val="000000"/>
                <w:sz w:val="20"/>
                <w:lang w:eastAsia="en-NZ"/>
              </w:rPr>
            </w:pPr>
          </w:p>
        </w:tc>
        <w:tc>
          <w:tcPr>
            <w:tcW w:w="1176" w:type="dxa"/>
            <w:tcBorders>
              <w:top w:val="nil"/>
            </w:tcBorders>
            <w:shd w:val="clear" w:color="auto" w:fill="auto"/>
            <w:noWrap/>
            <w:hideMark/>
          </w:tcPr>
          <w:p w:rsidR="00546A26" w:rsidRPr="00CA4713" w:rsidRDefault="00546A26" w:rsidP="004106CD">
            <w:pPr>
              <w:spacing w:after="0" w:line="240" w:lineRule="auto"/>
              <w:jc w:val="right"/>
              <w:rPr>
                <w:rFonts w:eastAsia="Times New Roman" w:cstheme="minorHAnsi"/>
                <w:color w:val="000000"/>
                <w:sz w:val="20"/>
                <w:lang w:eastAsia="en-NZ"/>
              </w:rPr>
            </w:pPr>
            <w:r w:rsidRPr="00CA4713">
              <w:rPr>
                <w:rFonts w:eastAsia="Times New Roman" w:cstheme="minorHAnsi"/>
                <w:color w:val="000000"/>
                <w:sz w:val="20"/>
                <w:lang w:eastAsia="en-NZ"/>
              </w:rPr>
              <w:t>new</w:t>
            </w:r>
          </w:p>
        </w:tc>
        <w:tc>
          <w:tcPr>
            <w:tcW w:w="1258" w:type="dxa"/>
            <w:gridSpan w:val="5"/>
            <w:tcBorders>
              <w:top w:val="nil"/>
            </w:tcBorders>
            <w:shd w:val="clear" w:color="auto" w:fill="auto"/>
            <w:noWrap/>
            <w:hideMark/>
          </w:tcPr>
          <w:p w:rsidR="00546A26" w:rsidRPr="00CA4713" w:rsidRDefault="00546A26" w:rsidP="004106CD">
            <w:pPr>
              <w:spacing w:after="0" w:line="240" w:lineRule="auto"/>
              <w:jc w:val="right"/>
              <w:rPr>
                <w:rFonts w:eastAsia="Times New Roman" w:cstheme="minorHAnsi"/>
                <w:color w:val="000000"/>
                <w:sz w:val="20"/>
                <w:lang w:eastAsia="en-NZ"/>
              </w:rPr>
            </w:pPr>
            <w:r w:rsidRPr="00CA4713">
              <w:rPr>
                <w:rFonts w:eastAsia="Times New Roman" w:cstheme="minorHAnsi"/>
                <w:color w:val="000000"/>
                <w:sz w:val="20"/>
                <w:lang w:eastAsia="en-NZ"/>
              </w:rPr>
              <w:t xml:space="preserve">19 </w:t>
            </w:r>
          </w:p>
        </w:tc>
        <w:tc>
          <w:tcPr>
            <w:tcW w:w="1106" w:type="dxa"/>
            <w:tcBorders>
              <w:top w:val="nil"/>
            </w:tcBorders>
            <w:shd w:val="clear" w:color="000000" w:fill="D9D9D9"/>
            <w:hideMark/>
          </w:tcPr>
          <w:p w:rsidR="00546A26" w:rsidRPr="00CA4713" w:rsidRDefault="00546A26" w:rsidP="004106CD">
            <w:pPr>
              <w:spacing w:after="0" w:line="240" w:lineRule="auto"/>
              <w:jc w:val="right"/>
              <w:rPr>
                <w:rFonts w:eastAsia="Times New Roman" w:cstheme="minorHAnsi"/>
                <w:color w:val="000000"/>
                <w:sz w:val="20"/>
                <w:lang w:eastAsia="en-NZ"/>
              </w:rPr>
            </w:pPr>
            <w:r w:rsidRPr="00CA4713">
              <w:rPr>
                <w:rFonts w:eastAsia="Times New Roman" w:cstheme="minorHAnsi"/>
                <w:color w:val="000000"/>
                <w:sz w:val="20"/>
                <w:lang w:eastAsia="en-NZ"/>
              </w:rPr>
              <w:t>Baseline</w:t>
            </w:r>
          </w:p>
        </w:tc>
        <w:tc>
          <w:tcPr>
            <w:tcW w:w="814" w:type="dxa"/>
            <w:gridSpan w:val="4"/>
            <w:tcBorders>
              <w:top w:val="nil"/>
            </w:tcBorders>
            <w:shd w:val="clear" w:color="auto" w:fill="auto"/>
            <w:hideMark/>
          </w:tcPr>
          <w:p w:rsidR="00546A26" w:rsidRPr="00CA4713" w:rsidRDefault="00546A26" w:rsidP="004106CD">
            <w:pPr>
              <w:spacing w:after="0" w:line="240" w:lineRule="auto"/>
              <w:jc w:val="center"/>
              <w:rPr>
                <w:rFonts w:eastAsia="Times New Roman" w:cstheme="minorHAnsi"/>
                <w:color w:val="000000"/>
                <w:sz w:val="20"/>
                <w:lang w:eastAsia="en-NZ"/>
              </w:rPr>
            </w:pPr>
          </w:p>
        </w:tc>
        <w:tc>
          <w:tcPr>
            <w:tcW w:w="1301" w:type="dxa"/>
            <w:gridSpan w:val="3"/>
            <w:tcBorders>
              <w:top w:val="nil"/>
            </w:tcBorders>
            <w:shd w:val="clear" w:color="auto" w:fill="auto"/>
            <w:hideMark/>
          </w:tcPr>
          <w:p w:rsidR="00546A26" w:rsidRPr="00CA4713" w:rsidRDefault="00546A26" w:rsidP="004106CD">
            <w:pPr>
              <w:rPr>
                <w:rFonts w:cstheme="minorHAnsi"/>
              </w:rPr>
            </w:pPr>
          </w:p>
        </w:tc>
        <w:tc>
          <w:tcPr>
            <w:tcW w:w="4252" w:type="dxa"/>
            <w:tcBorders>
              <w:top w:val="nil"/>
            </w:tcBorders>
            <w:shd w:val="clear" w:color="auto" w:fill="auto"/>
            <w:hideMark/>
          </w:tcPr>
          <w:p w:rsidR="00546A26" w:rsidRPr="00CA4713" w:rsidRDefault="00546A26" w:rsidP="004106CD">
            <w:pPr>
              <w:spacing w:after="0" w:line="240" w:lineRule="auto"/>
              <w:rPr>
                <w:rFonts w:eastAsia="Times New Roman" w:cstheme="minorHAnsi"/>
                <w:color w:val="000000"/>
                <w:sz w:val="20"/>
                <w:lang w:eastAsia="en-NZ"/>
              </w:rPr>
            </w:pPr>
          </w:p>
        </w:tc>
      </w:tr>
      <w:tr w:rsidR="00546A26" w:rsidRPr="00CA4713" w:rsidTr="009C3D9F">
        <w:trPr>
          <w:trHeight w:val="525"/>
        </w:trPr>
        <w:tc>
          <w:tcPr>
            <w:tcW w:w="4375" w:type="dxa"/>
            <w:tcBorders>
              <w:bottom w:val="nil"/>
            </w:tcBorders>
            <w:shd w:val="clear" w:color="auto" w:fill="auto"/>
            <w:hideMark/>
          </w:tcPr>
          <w:p w:rsidR="00546A26" w:rsidRPr="00CA4713" w:rsidRDefault="00546A26" w:rsidP="004106CD">
            <w:pPr>
              <w:spacing w:after="0" w:line="240" w:lineRule="auto"/>
              <w:rPr>
                <w:rFonts w:eastAsia="Times New Roman" w:cstheme="minorHAnsi"/>
                <w:color w:val="000000"/>
                <w:sz w:val="20"/>
                <w:lang w:eastAsia="en-NZ"/>
              </w:rPr>
            </w:pPr>
            <w:r w:rsidRPr="00CA4713">
              <w:rPr>
                <w:rFonts w:eastAsia="Times New Roman" w:cstheme="minorHAnsi"/>
                <w:color w:val="000000"/>
                <w:sz w:val="20"/>
                <w:lang w:eastAsia="en-NZ"/>
              </w:rPr>
              <w:t xml:space="preserve">Estimated attendees at international and national events at Council recreation facilities </w:t>
            </w:r>
          </w:p>
        </w:tc>
        <w:tc>
          <w:tcPr>
            <w:tcW w:w="1169" w:type="dxa"/>
            <w:gridSpan w:val="5"/>
            <w:tcBorders>
              <w:bottom w:val="nil"/>
            </w:tcBorders>
            <w:shd w:val="clear" w:color="auto" w:fill="auto"/>
            <w:noWrap/>
            <w:hideMark/>
          </w:tcPr>
          <w:p w:rsidR="00546A26" w:rsidRPr="00CA4713" w:rsidRDefault="00546A26" w:rsidP="004106CD">
            <w:pPr>
              <w:spacing w:after="0" w:line="240" w:lineRule="auto"/>
              <w:jc w:val="right"/>
              <w:rPr>
                <w:rFonts w:eastAsia="Times New Roman" w:cstheme="minorHAnsi"/>
                <w:color w:val="000000"/>
                <w:sz w:val="20"/>
                <w:lang w:eastAsia="en-NZ"/>
              </w:rPr>
            </w:pPr>
          </w:p>
        </w:tc>
        <w:tc>
          <w:tcPr>
            <w:tcW w:w="1176" w:type="dxa"/>
            <w:tcBorders>
              <w:bottom w:val="nil"/>
            </w:tcBorders>
            <w:shd w:val="clear" w:color="auto" w:fill="auto"/>
            <w:noWrap/>
            <w:hideMark/>
          </w:tcPr>
          <w:p w:rsidR="00546A26" w:rsidRPr="00CA4713" w:rsidRDefault="00546A26" w:rsidP="004106CD">
            <w:pPr>
              <w:spacing w:after="0" w:line="240" w:lineRule="auto"/>
              <w:jc w:val="right"/>
              <w:rPr>
                <w:rFonts w:eastAsia="Times New Roman" w:cstheme="minorHAnsi"/>
                <w:color w:val="000000"/>
                <w:sz w:val="20"/>
                <w:lang w:eastAsia="en-NZ"/>
              </w:rPr>
            </w:pPr>
            <w:r w:rsidRPr="00CA4713">
              <w:rPr>
                <w:rFonts w:eastAsia="Times New Roman" w:cstheme="minorHAnsi"/>
                <w:color w:val="000000"/>
                <w:sz w:val="20"/>
                <w:lang w:eastAsia="en-NZ"/>
              </w:rPr>
              <w:t>new</w:t>
            </w:r>
          </w:p>
        </w:tc>
        <w:tc>
          <w:tcPr>
            <w:tcW w:w="1258" w:type="dxa"/>
            <w:gridSpan w:val="5"/>
            <w:tcBorders>
              <w:bottom w:val="nil"/>
            </w:tcBorders>
            <w:shd w:val="clear" w:color="auto" w:fill="auto"/>
            <w:noWrap/>
            <w:hideMark/>
          </w:tcPr>
          <w:p w:rsidR="00546A26" w:rsidRPr="00CA4713" w:rsidRDefault="00546A26" w:rsidP="004106CD">
            <w:pPr>
              <w:spacing w:after="0" w:line="240" w:lineRule="auto"/>
              <w:jc w:val="right"/>
              <w:rPr>
                <w:rFonts w:eastAsia="Times New Roman" w:cstheme="minorHAnsi"/>
                <w:color w:val="000000"/>
                <w:sz w:val="20"/>
                <w:lang w:eastAsia="en-NZ"/>
              </w:rPr>
            </w:pPr>
            <w:r w:rsidRPr="00CA4713">
              <w:rPr>
                <w:rFonts w:eastAsia="Times New Roman" w:cstheme="minorHAnsi"/>
                <w:color w:val="000000"/>
                <w:sz w:val="20"/>
                <w:lang w:eastAsia="en-NZ"/>
              </w:rPr>
              <w:t xml:space="preserve">60,654 </w:t>
            </w:r>
          </w:p>
        </w:tc>
        <w:tc>
          <w:tcPr>
            <w:tcW w:w="1106" w:type="dxa"/>
            <w:tcBorders>
              <w:bottom w:val="nil"/>
            </w:tcBorders>
            <w:shd w:val="clear" w:color="000000" w:fill="D9D9D9"/>
            <w:hideMark/>
          </w:tcPr>
          <w:p w:rsidR="00546A26" w:rsidRPr="00CA4713" w:rsidRDefault="00546A26" w:rsidP="004106CD">
            <w:pPr>
              <w:spacing w:after="0" w:line="240" w:lineRule="auto"/>
              <w:jc w:val="right"/>
              <w:rPr>
                <w:rFonts w:eastAsia="Times New Roman" w:cstheme="minorHAnsi"/>
                <w:color w:val="000000"/>
                <w:sz w:val="20"/>
                <w:lang w:eastAsia="en-NZ"/>
              </w:rPr>
            </w:pPr>
            <w:r w:rsidRPr="00CA4713">
              <w:rPr>
                <w:rFonts w:eastAsia="Times New Roman" w:cstheme="minorHAnsi"/>
                <w:color w:val="000000"/>
                <w:sz w:val="20"/>
                <w:lang w:eastAsia="en-NZ"/>
              </w:rPr>
              <w:t>Baseline</w:t>
            </w:r>
          </w:p>
        </w:tc>
        <w:tc>
          <w:tcPr>
            <w:tcW w:w="814" w:type="dxa"/>
            <w:gridSpan w:val="4"/>
            <w:tcBorders>
              <w:bottom w:val="nil"/>
            </w:tcBorders>
            <w:shd w:val="clear" w:color="auto" w:fill="auto"/>
            <w:hideMark/>
          </w:tcPr>
          <w:p w:rsidR="00546A26" w:rsidRPr="00CA4713" w:rsidRDefault="00546A26" w:rsidP="004106CD">
            <w:pPr>
              <w:spacing w:after="0" w:line="240" w:lineRule="auto"/>
              <w:jc w:val="center"/>
              <w:rPr>
                <w:rFonts w:eastAsia="Times New Roman" w:cstheme="minorHAnsi"/>
                <w:color w:val="000000"/>
                <w:sz w:val="20"/>
                <w:lang w:eastAsia="en-NZ"/>
              </w:rPr>
            </w:pPr>
          </w:p>
        </w:tc>
        <w:tc>
          <w:tcPr>
            <w:tcW w:w="1301" w:type="dxa"/>
            <w:gridSpan w:val="3"/>
            <w:tcBorders>
              <w:bottom w:val="nil"/>
            </w:tcBorders>
            <w:shd w:val="clear" w:color="auto" w:fill="auto"/>
            <w:hideMark/>
          </w:tcPr>
          <w:p w:rsidR="00546A26" w:rsidRPr="00CA4713" w:rsidRDefault="00546A26" w:rsidP="004106CD">
            <w:pPr>
              <w:jc w:val="center"/>
              <w:rPr>
                <w:rFonts w:cstheme="minorHAnsi"/>
              </w:rPr>
            </w:pPr>
          </w:p>
        </w:tc>
        <w:tc>
          <w:tcPr>
            <w:tcW w:w="4252" w:type="dxa"/>
            <w:tcBorders>
              <w:bottom w:val="nil"/>
            </w:tcBorders>
            <w:shd w:val="clear" w:color="auto" w:fill="auto"/>
          </w:tcPr>
          <w:p w:rsidR="00546A26" w:rsidRPr="00CA4713" w:rsidRDefault="00546A26" w:rsidP="004106CD">
            <w:pPr>
              <w:spacing w:after="0" w:line="240" w:lineRule="auto"/>
              <w:rPr>
                <w:rFonts w:eastAsia="Times New Roman" w:cstheme="minorHAnsi"/>
                <w:color w:val="000000"/>
                <w:sz w:val="20"/>
                <w:lang w:eastAsia="en-NZ"/>
              </w:rPr>
            </w:pPr>
          </w:p>
        </w:tc>
      </w:tr>
      <w:tr w:rsidR="00546A26" w:rsidRPr="00CA4713" w:rsidTr="009C3D9F">
        <w:trPr>
          <w:trHeight w:val="315"/>
        </w:trPr>
        <w:tc>
          <w:tcPr>
            <w:tcW w:w="15451" w:type="dxa"/>
            <w:gridSpan w:val="21"/>
            <w:tcBorders>
              <w:top w:val="nil"/>
              <w:bottom w:val="nil"/>
            </w:tcBorders>
            <w:shd w:val="clear" w:color="auto" w:fill="DAEEF3" w:themeFill="accent5" w:themeFillTint="33"/>
            <w:hideMark/>
          </w:tcPr>
          <w:p w:rsidR="00546A26" w:rsidRPr="00F45CA3" w:rsidRDefault="00546A26" w:rsidP="004106CD">
            <w:pPr>
              <w:spacing w:after="0" w:line="240" w:lineRule="auto"/>
              <w:rPr>
                <w:rFonts w:eastAsia="Times New Roman" w:cstheme="minorHAnsi"/>
                <w:b/>
                <w:color w:val="000000" w:themeColor="text1"/>
                <w:sz w:val="20"/>
                <w:szCs w:val="20"/>
                <w:lang w:eastAsia="en-NZ"/>
              </w:rPr>
            </w:pPr>
            <w:r w:rsidRPr="00F45CA3">
              <w:rPr>
                <w:rFonts w:eastAsia="Times New Roman" w:cstheme="minorHAnsi"/>
                <w:b/>
                <w:color w:val="000000" w:themeColor="text1"/>
                <w:sz w:val="20"/>
                <w:szCs w:val="20"/>
                <w:lang w:eastAsia="en-NZ"/>
              </w:rPr>
              <w:t>Basin Reserve Trust </w:t>
            </w:r>
          </w:p>
        </w:tc>
      </w:tr>
      <w:tr w:rsidR="00546A26" w:rsidRPr="00CA4713" w:rsidTr="009C3D9F">
        <w:trPr>
          <w:trHeight w:val="343"/>
        </w:trPr>
        <w:tc>
          <w:tcPr>
            <w:tcW w:w="4394" w:type="dxa"/>
            <w:gridSpan w:val="3"/>
            <w:tcBorders>
              <w:top w:val="nil"/>
            </w:tcBorders>
            <w:shd w:val="clear" w:color="auto" w:fill="auto"/>
            <w:hideMark/>
          </w:tcPr>
          <w:p w:rsidR="00546A26" w:rsidRPr="00CA4713" w:rsidRDefault="00546A26" w:rsidP="004106CD">
            <w:pPr>
              <w:spacing w:after="0" w:line="240" w:lineRule="auto"/>
              <w:rPr>
                <w:rFonts w:eastAsia="Times New Roman" w:cstheme="minorHAnsi"/>
                <w:color w:val="000000"/>
                <w:sz w:val="20"/>
                <w:lang w:eastAsia="en-NZ"/>
              </w:rPr>
            </w:pPr>
            <w:r w:rsidRPr="00CA4713">
              <w:rPr>
                <w:rFonts w:eastAsia="Times New Roman" w:cstheme="minorHAnsi"/>
                <w:color w:val="000000"/>
                <w:sz w:val="20"/>
                <w:lang w:eastAsia="en-NZ"/>
              </w:rPr>
              <w:t>Basin Reserve - Total event days (excluding practice days)</w:t>
            </w:r>
          </w:p>
        </w:tc>
        <w:tc>
          <w:tcPr>
            <w:tcW w:w="1150" w:type="dxa"/>
            <w:gridSpan w:val="3"/>
            <w:tcBorders>
              <w:top w:val="nil"/>
            </w:tcBorders>
            <w:shd w:val="clear" w:color="auto" w:fill="auto"/>
            <w:noWrap/>
            <w:hideMark/>
          </w:tcPr>
          <w:p w:rsidR="00546A26" w:rsidRPr="00CA4713" w:rsidRDefault="00546A26" w:rsidP="004106CD">
            <w:pPr>
              <w:spacing w:after="0" w:line="240" w:lineRule="auto"/>
              <w:jc w:val="right"/>
              <w:rPr>
                <w:rFonts w:eastAsia="Times New Roman" w:cstheme="minorHAnsi"/>
                <w:color w:val="000000"/>
                <w:sz w:val="20"/>
                <w:lang w:eastAsia="en-NZ"/>
              </w:rPr>
            </w:pPr>
            <w:r w:rsidRPr="00CA4713">
              <w:rPr>
                <w:rFonts w:eastAsia="Times New Roman" w:cstheme="minorHAnsi"/>
                <w:color w:val="000000"/>
                <w:sz w:val="20"/>
                <w:lang w:eastAsia="en-NZ"/>
              </w:rPr>
              <w:t>59</w:t>
            </w:r>
          </w:p>
        </w:tc>
        <w:tc>
          <w:tcPr>
            <w:tcW w:w="1176" w:type="dxa"/>
            <w:tcBorders>
              <w:top w:val="nil"/>
            </w:tcBorders>
            <w:shd w:val="clear" w:color="auto" w:fill="auto"/>
            <w:noWrap/>
            <w:hideMark/>
          </w:tcPr>
          <w:p w:rsidR="00546A26" w:rsidRPr="00CA4713" w:rsidRDefault="00546A26" w:rsidP="004106CD">
            <w:pPr>
              <w:spacing w:after="0" w:line="240" w:lineRule="auto"/>
              <w:jc w:val="right"/>
              <w:rPr>
                <w:rFonts w:eastAsia="Times New Roman" w:cstheme="minorHAnsi"/>
                <w:color w:val="000000"/>
                <w:sz w:val="20"/>
                <w:lang w:eastAsia="en-NZ"/>
              </w:rPr>
            </w:pPr>
            <w:r w:rsidRPr="00CA4713">
              <w:rPr>
                <w:rFonts w:eastAsia="Times New Roman" w:cstheme="minorHAnsi"/>
                <w:color w:val="000000"/>
                <w:sz w:val="20"/>
                <w:lang w:eastAsia="en-NZ"/>
              </w:rPr>
              <w:t>87</w:t>
            </w:r>
          </w:p>
        </w:tc>
        <w:tc>
          <w:tcPr>
            <w:tcW w:w="1258" w:type="dxa"/>
            <w:gridSpan w:val="5"/>
            <w:tcBorders>
              <w:top w:val="nil"/>
            </w:tcBorders>
            <w:shd w:val="clear" w:color="auto" w:fill="auto"/>
            <w:noWrap/>
            <w:hideMark/>
          </w:tcPr>
          <w:p w:rsidR="00546A26" w:rsidRPr="00CA4713" w:rsidRDefault="00546A26" w:rsidP="004106CD">
            <w:pPr>
              <w:spacing w:after="0" w:line="240" w:lineRule="auto"/>
              <w:jc w:val="right"/>
              <w:rPr>
                <w:rFonts w:eastAsia="Times New Roman" w:cstheme="minorHAnsi"/>
                <w:color w:val="000000"/>
                <w:sz w:val="20"/>
                <w:lang w:eastAsia="en-NZ"/>
              </w:rPr>
            </w:pPr>
            <w:r w:rsidRPr="00CA4713">
              <w:rPr>
                <w:rFonts w:eastAsia="Times New Roman" w:cstheme="minorHAnsi"/>
                <w:color w:val="000000"/>
                <w:sz w:val="20"/>
                <w:lang w:eastAsia="en-NZ"/>
              </w:rPr>
              <w:t xml:space="preserve">97 </w:t>
            </w:r>
          </w:p>
        </w:tc>
        <w:tc>
          <w:tcPr>
            <w:tcW w:w="1106" w:type="dxa"/>
            <w:tcBorders>
              <w:top w:val="nil"/>
            </w:tcBorders>
            <w:shd w:val="clear" w:color="000000" w:fill="D9D9D9"/>
            <w:hideMark/>
          </w:tcPr>
          <w:p w:rsidR="00546A26" w:rsidRPr="00CA4713" w:rsidRDefault="00546A26" w:rsidP="004106CD">
            <w:pPr>
              <w:spacing w:after="0" w:line="240" w:lineRule="auto"/>
              <w:jc w:val="right"/>
              <w:rPr>
                <w:rFonts w:eastAsia="Times New Roman" w:cstheme="minorHAnsi"/>
                <w:color w:val="000000"/>
                <w:sz w:val="20"/>
                <w:lang w:eastAsia="en-NZ"/>
              </w:rPr>
            </w:pPr>
            <w:r w:rsidRPr="00CA4713">
              <w:rPr>
                <w:rFonts w:eastAsia="Times New Roman" w:cstheme="minorHAnsi"/>
                <w:color w:val="000000"/>
                <w:sz w:val="20"/>
                <w:lang w:eastAsia="en-NZ"/>
              </w:rPr>
              <w:t>89</w:t>
            </w:r>
          </w:p>
        </w:tc>
        <w:tc>
          <w:tcPr>
            <w:tcW w:w="822" w:type="dxa"/>
            <w:gridSpan w:val="5"/>
            <w:tcBorders>
              <w:top w:val="nil"/>
            </w:tcBorders>
            <w:shd w:val="clear" w:color="auto" w:fill="auto"/>
            <w:hideMark/>
          </w:tcPr>
          <w:p w:rsidR="00546A26" w:rsidRPr="00CA4713" w:rsidRDefault="00546A26" w:rsidP="004106CD">
            <w:pPr>
              <w:spacing w:after="0" w:line="240" w:lineRule="auto"/>
              <w:jc w:val="center"/>
              <w:rPr>
                <w:rFonts w:eastAsia="Times New Roman" w:cstheme="minorHAnsi"/>
                <w:color w:val="000000"/>
                <w:sz w:val="20"/>
                <w:lang w:eastAsia="en-NZ"/>
              </w:rPr>
            </w:pPr>
            <w:r w:rsidRPr="00CA4713">
              <w:rPr>
                <w:rFonts w:eastAsia="Times New Roman" w:cstheme="minorHAnsi"/>
                <w:color w:val="000000"/>
                <w:sz w:val="20"/>
                <w:lang w:eastAsia="en-NZ"/>
              </w:rPr>
              <w:t>9%</w:t>
            </w:r>
          </w:p>
        </w:tc>
        <w:tc>
          <w:tcPr>
            <w:tcW w:w="1293" w:type="dxa"/>
            <w:gridSpan w:val="2"/>
            <w:tcBorders>
              <w:top w:val="nil"/>
            </w:tcBorders>
            <w:shd w:val="clear" w:color="auto" w:fill="auto"/>
            <w:hideMark/>
          </w:tcPr>
          <w:p w:rsidR="00546A26" w:rsidRPr="00CA4713" w:rsidRDefault="009C3D9F" w:rsidP="009C3D9F">
            <w:pPr>
              <w:spacing w:after="0" w:line="240" w:lineRule="auto"/>
              <w:jc w:val="right"/>
              <w:rPr>
                <w:rFonts w:eastAsia="Times New Roman" w:cstheme="minorHAnsi"/>
                <w:color w:val="000000"/>
                <w:sz w:val="20"/>
                <w:lang w:eastAsia="en-NZ"/>
              </w:rPr>
            </w:pPr>
            <w:r>
              <w:rPr>
                <w:rFonts w:eastAsia="Times New Roman" w:cstheme="minorHAnsi"/>
                <w:color w:val="000000"/>
                <w:sz w:val="20"/>
                <w:lang w:eastAsia="en-NZ"/>
              </w:rPr>
              <w:t>Within 10%</w:t>
            </w:r>
          </w:p>
        </w:tc>
        <w:tc>
          <w:tcPr>
            <w:tcW w:w="4252" w:type="dxa"/>
            <w:tcBorders>
              <w:top w:val="nil"/>
            </w:tcBorders>
            <w:shd w:val="clear" w:color="auto" w:fill="auto"/>
          </w:tcPr>
          <w:p w:rsidR="00546A26" w:rsidRPr="00CA4713" w:rsidRDefault="00546A26" w:rsidP="004106CD">
            <w:pPr>
              <w:spacing w:after="0" w:line="240" w:lineRule="auto"/>
              <w:jc w:val="right"/>
              <w:rPr>
                <w:rFonts w:eastAsia="Times New Roman" w:cstheme="minorHAnsi"/>
                <w:color w:val="000000"/>
                <w:sz w:val="20"/>
                <w:lang w:eastAsia="en-NZ"/>
              </w:rPr>
            </w:pPr>
          </w:p>
        </w:tc>
      </w:tr>
      <w:tr w:rsidR="00546A26" w:rsidRPr="00CA4713" w:rsidTr="009C3D9F">
        <w:trPr>
          <w:trHeight w:val="77"/>
        </w:trPr>
        <w:tc>
          <w:tcPr>
            <w:tcW w:w="4394" w:type="dxa"/>
            <w:gridSpan w:val="3"/>
            <w:shd w:val="clear" w:color="auto" w:fill="auto"/>
            <w:hideMark/>
          </w:tcPr>
          <w:p w:rsidR="00546A26" w:rsidRPr="00CA4713" w:rsidRDefault="00546A26" w:rsidP="004106CD">
            <w:pPr>
              <w:spacing w:after="0" w:line="240" w:lineRule="auto"/>
              <w:rPr>
                <w:rFonts w:eastAsia="Times New Roman" w:cstheme="minorHAnsi"/>
                <w:color w:val="000000"/>
                <w:sz w:val="20"/>
                <w:lang w:eastAsia="en-NZ"/>
              </w:rPr>
            </w:pPr>
            <w:r w:rsidRPr="00CA4713">
              <w:rPr>
                <w:rFonts w:eastAsia="Times New Roman" w:cstheme="minorHAnsi"/>
                <w:color w:val="000000"/>
                <w:sz w:val="20"/>
                <w:lang w:eastAsia="en-NZ"/>
              </w:rPr>
              <w:t>Attendance at all events</w:t>
            </w:r>
          </w:p>
        </w:tc>
        <w:tc>
          <w:tcPr>
            <w:tcW w:w="1150" w:type="dxa"/>
            <w:gridSpan w:val="3"/>
            <w:shd w:val="clear" w:color="auto" w:fill="auto"/>
            <w:noWrap/>
            <w:hideMark/>
          </w:tcPr>
          <w:p w:rsidR="00546A26" w:rsidRPr="00CA4713" w:rsidRDefault="00546A26" w:rsidP="004106CD">
            <w:pPr>
              <w:spacing w:after="0" w:line="240" w:lineRule="auto"/>
              <w:jc w:val="right"/>
              <w:rPr>
                <w:rFonts w:eastAsia="Times New Roman" w:cstheme="minorHAnsi"/>
                <w:color w:val="000000"/>
                <w:sz w:val="20"/>
                <w:lang w:eastAsia="en-NZ"/>
              </w:rPr>
            </w:pPr>
            <w:r w:rsidRPr="00CA4713">
              <w:rPr>
                <w:rFonts w:eastAsia="Times New Roman" w:cstheme="minorHAnsi"/>
                <w:color w:val="000000"/>
                <w:sz w:val="20"/>
                <w:lang w:eastAsia="en-NZ"/>
              </w:rPr>
              <w:t xml:space="preserve">37,336 </w:t>
            </w:r>
          </w:p>
        </w:tc>
        <w:tc>
          <w:tcPr>
            <w:tcW w:w="1176" w:type="dxa"/>
            <w:shd w:val="clear" w:color="auto" w:fill="auto"/>
            <w:noWrap/>
            <w:hideMark/>
          </w:tcPr>
          <w:p w:rsidR="00546A26" w:rsidRPr="00CA4713" w:rsidRDefault="00546A26" w:rsidP="004106CD">
            <w:pPr>
              <w:spacing w:after="0" w:line="240" w:lineRule="auto"/>
              <w:jc w:val="right"/>
              <w:rPr>
                <w:rFonts w:eastAsia="Times New Roman" w:cstheme="minorHAnsi"/>
                <w:color w:val="000000"/>
                <w:sz w:val="20"/>
                <w:lang w:eastAsia="en-NZ"/>
              </w:rPr>
            </w:pPr>
            <w:r w:rsidRPr="00CA4713">
              <w:rPr>
                <w:rFonts w:eastAsia="Times New Roman" w:cstheme="minorHAnsi"/>
                <w:color w:val="000000"/>
                <w:sz w:val="20"/>
                <w:lang w:eastAsia="en-NZ"/>
              </w:rPr>
              <w:t xml:space="preserve">37,362 </w:t>
            </w:r>
          </w:p>
        </w:tc>
        <w:tc>
          <w:tcPr>
            <w:tcW w:w="1258" w:type="dxa"/>
            <w:gridSpan w:val="5"/>
            <w:shd w:val="clear" w:color="auto" w:fill="auto"/>
            <w:noWrap/>
            <w:hideMark/>
          </w:tcPr>
          <w:p w:rsidR="00546A26" w:rsidRPr="00CA4713" w:rsidRDefault="00546A26" w:rsidP="004106CD">
            <w:pPr>
              <w:spacing w:after="0" w:line="240" w:lineRule="auto"/>
              <w:jc w:val="right"/>
              <w:rPr>
                <w:rFonts w:eastAsia="Times New Roman" w:cstheme="minorHAnsi"/>
                <w:color w:val="000000"/>
                <w:sz w:val="20"/>
                <w:lang w:eastAsia="en-NZ"/>
              </w:rPr>
            </w:pPr>
            <w:r w:rsidRPr="00CA4713">
              <w:rPr>
                <w:rFonts w:eastAsia="Times New Roman" w:cstheme="minorHAnsi"/>
                <w:color w:val="000000"/>
                <w:sz w:val="20"/>
                <w:lang w:eastAsia="en-NZ"/>
              </w:rPr>
              <w:t xml:space="preserve">134,858 </w:t>
            </w:r>
          </w:p>
        </w:tc>
        <w:tc>
          <w:tcPr>
            <w:tcW w:w="1106" w:type="dxa"/>
            <w:shd w:val="clear" w:color="000000" w:fill="D9D9D9"/>
            <w:hideMark/>
          </w:tcPr>
          <w:p w:rsidR="00546A26" w:rsidRPr="00CA4713" w:rsidRDefault="00546A26" w:rsidP="004106CD">
            <w:pPr>
              <w:spacing w:after="0" w:line="240" w:lineRule="auto"/>
              <w:jc w:val="right"/>
              <w:rPr>
                <w:rFonts w:eastAsia="Times New Roman" w:cstheme="minorHAnsi"/>
                <w:color w:val="000000"/>
                <w:sz w:val="20"/>
                <w:lang w:eastAsia="en-NZ"/>
              </w:rPr>
            </w:pPr>
            <w:r w:rsidRPr="00CA4713">
              <w:rPr>
                <w:rFonts w:eastAsia="Times New Roman" w:cstheme="minorHAnsi"/>
                <w:color w:val="000000"/>
                <w:sz w:val="20"/>
                <w:lang w:eastAsia="en-NZ"/>
              </w:rPr>
              <w:t>41,000</w:t>
            </w:r>
          </w:p>
        </w:tc>
        <w:tc>
          <w:tcPr>
            <w:tcW w:w="822" w:type="dxa"/>
            <w:gridSpan w:val="5"/>
            <w:shd w:val="clear" w:color="auto" w:fill="auto"/>
            <w:hideMark/>
          </w:tcPr>
          <w:p w:rsidR="00546A26" w:rsidRPr="00CA4713" w:rsidRDefault="00546A26" w:rsidP="004106CD">
            <w:pPr>
              <w:spacing w:after="0" w:line="240" w:lineRule="auto"/>
              <w:jc w:val="center"/>
              <w:rPr>
                <w:rFonts w:eastAsia="Times New Roman" w:cstheme="minorHAnsi"/>
                <w:color w:val="000000"/>
                <w:sz w:val="20"/>
                <w:lang w:eastAsia="en-NZ"/>
              </w:rPr>
            </w:pPr>
            <w:r w:rsidRPr="00CA4713">
              <w:rPr>
                <w:rFonts w:eastAsia="Times New Roman" w:cstheme="minorHAnsi"/>
                <w:color w:val="000000"/>
                <w:sz w:val="20"/>
                <w:lang w:eastAsia="en-NZ"/>
              </w:rPr>
              <w:t>229%</w:t>
            </w:r>
          </w:p>
        </w:tc>
        <w:tc>
          <w:tcPr>
            <w:tcW w:w="1293" w:type="dxa"/>
            <w:gridSpan w:val="2"/>
            <w:shd w:val="clear" w:color="auto" w:fill="auto"/>
            <w:hideMark/>
          </w:tcPr>
          <w:p w:rsidR="00546A26" w:rsidRPr="00CA4713" w:rsidRDefault="00546A26" w:rsidP="004106CD">
            <w:pPr>
              <w:spacing w:after="0"/>
              <w:jc w:val="center"/>
              <w:rPr>
                <w:rFonts w:cstheme="minorHAnsi"/>
              </w:rPr>
            </w:pPr>
            <w:r w:rsidRPr="00CA4713">
              <w:rPr>
                <w:rFonts w:eastAsia="Times New Roman" w:cstheme="minorHAnsi"/>
                <w:color w:val="000000"/>
                <w:sz w:val="20"/>
                <w:lang w:eastAsia="en-NZ"/>
              </w:rPr>
              <w:t>exceeded</w:t>
            </w:r>
          </w:p>
        </w:tc>
        <w:tc>
          <w:tcPr>
            <w:tcW w:w="4252" w:type="dxa"/>
            <w:shd w:val="clear" w:color="auto" w:fill="auto"/>
            <w:hideMark/>
          </w:tcPr>
          <w:p w:rsidR="00546A26" w:rsidRPr="00CA4713" w:rsidRDefault="00546A26" w:rsidP="00B7196E">
            <w:pPr>
              <w:spacing w:after="0" w:line="240" w:lineRule="auto"/>
              <w:rPr>
                <w:rFonts w:eastAsia="Times New Roman" w:cstheme="minorHAnsi"/>
                <w:color w:val="000000"/>
                <w:sz w:val="20"/>
                <w:lang w:eastAsia="en-NZ"/>
              </w:rPr>
            </w:pPr>
            <w:r w:rsidRPr="00CA4713">
              <w:rPr>
                <w:rFonts w:eastAsia="Times New Roman" w:cstheme="minorHAnsi"/>
                <w:color w:val="000000"/>
                <w:sz w:val="20"/>
                <w:lang w:eastAsia="en-NZ"/>
              </w:rPr>
              <w:t xml:space="preserve">Includes 11,000 attendees at vigil for Christchurch mosque attacks and 80,000 over </w:t>
            </w:r>
            <w:r w:rsidR="00B7196E">
              <w:rPr>
                <w:rFonts w:eastAsia="Times New Roman" w:cstheme="minorHAnsi"/>
                <w:color w:val="000000"/>
                <w:sz w:val="20"/>
                <w:lang w:eastAsia="en-NZ"/>
              </w:rPr>
              <w:t>two</w:t>
            </w:r>
            <w:r w:rsidRPr="00CA4713">
              <w:rPr>
                <w:rFonts w:eastAsia="Times New Roman" w:cstheme="minorHAnsi"/>
                <w:color w:val="000000"/>
                <w:sz w:val="20"/>
                <w:lang w:eastAsia="en-NZ"/>
              </w:rPr>
              <w:t xml:space="preserve"> week</w:t>
            </w:r>
            <w:r w:rsidR="00B7196E">
              <w:rPr>
                <w:rFonts w:eastAsia="Times New Roman" w:cstheme="minorHAnsi"/>
                <w:color w:val="000000"/>
                <w:sz w:val="20"/>
                <w:lang w:eastAsia="en-NZ"/>
              </w:rPr>
              <w:t>s</w:t>
            </w:r>
            <w:r w:rsidRPr="00CA4713">
              <w:rPr>
                <w:rFonts w:eastAsia="Times New Roman" w:cstheme="minorHAnsi"/>
                <w:color w:val="000000"/>
                <w:sz w:val="20"/>
                <w:lang w:eastAsia="en-NZ"/>
              </w:rPr>
              <w:t xml:space="preserve"> for Night Noodle Markets.</w:t>
            </w:r>
          </w:p>
        </w:tc>
      </w:tr>
      <w:tr w:rsidR="00546A26" w:rsidRPr="00CA4713" w:rsidTr="009C3D9F">
        <w:trPr>
          <w:trHeight w:val="270"/>
        </w:trPr>
        <w:tc>
          <w:tcPr>
            <w:tcW w:w="4394" w:type="dxa"/>
            <w:gridSpan w:val="3"/>
            <w:shd w:val="clear" w:color="auto" w:fill="auto"/>
            <w:hideMark/>
          </w:tcPr>
          <w:p w:rsidR="00546A26" w:rsidRPr="00CA4713" w:rsidRDefault="00546A26" w:rsidP="004106CD">
            <w:pPr>
              <w:spacing w:after="0" w:line="240" w:lineRule="auto"/>
              <w:rPr>
                <w:rFonts w:eastAsia="Times New Roman" w:cstheme="minorHAnsi"/>
                <w:color w:val="000000"/>
                <w:sz w:val="20"/>
                <w:lang w:eastAsia="en-NZ"/>
              </w:rPr>
            </w:pPr>
            <w:r w:rsidRPr="00CA4713">
              <w:rPr>
                <w:rFonts w:eastAsia="Times New Roman" w:cstheme="minorHAnsi"/>
                <w:color w:val="000000"/>
                <w:sz w:val="20"/>
                <w:lang w:eastAsia="en-NZ"/>
              </w:rPr>
              <w:t>Practice facility usage days</w:t>
            </w:r>
          </w:p>
        </w:tc>
        <w:tc>
          <w:tcPr>
            <w:tcW w:w="1150" w:type="dxa"/>
            <w:gridSpan w:val="3"/>
            <w:shd w:val="clear" w:color="auto" w:fill="auto"/>
            <w:noWrap/>
            <w:hideMark/>
          </w:tcPr>
          <w:p w:rsidR="00546A26" w:rsidRPr="00CA4713" w:rsidRDefault="00546A26" w:rsidP="004106CD">
            <w:pPr>
              <w:spacing w:after="0" w:line="240" w:lineRule="auto"/>
              <w:jc w:val="right"/>
              <w:rPr>
                <w:rFonts w:eastAsia="Times New Roman" w:cstheme="minorHAnsi"/>
                <w:color w:val="000000"/>
                <w:sz w:val="20"/>
                <w:lang w:eastAsia="en-NZ"/>
              </w:rPr>
            </w:pPr>
            <w:r w:rsidRPr="00CA4713">
              <w:rPr>
                <w:rFonts w:eastAsia="Times New Roman" w:cstheme="minorHAnsi"/>
                <w:color w:val="000000"/>
                <w:sz w:val="20"/>
                <w:lang w:eastAsia="en-NZ"/>
              </w:rPr>
              <w:t>147</w:t>
            </w:r>
          </w:p>
        </w:tc>
        <w:tc>
          <w:tcPr>
            <w:tcW w:w="1176" w:type="dxa"/>
            <w:shd w:val="clear" w:color="auto" w:fill="auto"/>
            <w:noWrap/>
            <w:hideMark/>
          </w:tcPr>
          <w:p w:rsidR="00546A26" w:rsidRPr="00CA4713" w:rsidRDefault="00546A26" w:rsidP="004106CD">
            <w:pPr>
              <w:spacing w:after="0" w:line="240" w:lineRule="auto"/>
              <w:jc w:val="right"/>
              <w:rPr>
                <w:rFonts w:eastAsia="Times New Roman" w:cstheme="minorHAnsi"/>
                <w:color w:val="000000"/>
                <w:sz w:val="20"/>
                <w:lang w:eastAsia="en-NZ"/>
              </w:rPr>
            </w:pPr>
            <w:r w:rsidRPr="00CA4713">
              <w:rPr>
                <w:rFonts w:eastAsia="Times New Roman" w:cstheme="minorHAnsi"/>
                <w:color w:val="000000"/>
                <w:sz w:val="20"/>
                <w:lang w:eastAsia="en-NZ"/>
              </w:rPr>
              <w:t>95</w:t>
            </w:r>
          </w:p>
        </w:tc>
        <w:tc>
          <w:tcPr>
            <w:tcW w:w="1258" w:type="dxa"/>
            <w:gridSpan w:val="5"/>
            <w:shd w:val="clear" w:color="auto" w:fill="auto"/>
            <w:noWrap/>
            <w:hideMark/>
          </w:tcPr>
          <w:p w:rsidR="00546A26" w:rsidRPr="00CA4713" w:rsidRDefault="00546A26" w:rsidP="004106CD">
            <w:pPr>
              <w:spacing w:after="0" w:line="240" w:lineRule="auto"/>
              <w:jc w:val="right"/>
              <w:rPr>
                <w:rFonts w:eastAsia="Times New Roman" w:cstheme="minorHAnsi"/>
                <w:color w:val="000000"/>
                <w:sz w:val="20"/>
                <w:lang w:eastAsia="en-NZ"/>
              </w:rPr>
            </w:pPr>
            <w:r w:rsidRPr="00CA4713">
              <w:rPr>
                <w:rFonts w:eastAsia="Times New Roman" w:cstheme="minorHAnsi"/>
                <w:color w:val="000000"/>
                <w:sz w:val="20"/>
                <w:lang w:eastAsia="en-NZ"/>
              </w:rPr>
              <w:t xml:space="preserve">122 </w:t>
            </w:r>
          </w:p>
        </w:tc>
        <w:tc>
          <w:tcPr>
            <w:tcW w:w="1106" w:type="dxa"/>
            <w:shd w:val="clear" w:color="000000" w:fill="D9D9D9"/>
            <w:hideMark/>
          </w:tcPr>
          <w:p w:rsidR="00546A26" w:rsidRPr="00CA4713" w:rsidRDefault="00546A26" w:rsidP="004106CD">
            <w:pPr>
              <w:spacing w:after="0" w:line="240" w:lineRule="auto"/>
              <w:jc w:val="right"/>
              <w:rPr>
                <w:rFonts w:eastAsia="Times New Roman" w:cstheme="minorHAnsi"/>
                <w:color w:val="000000"/>
                <w:sz w:val="20"/>
                <w:lang w:eastAsia="en-NZ"/>
              </w:rPr>
            </w:pPr>
            <w:r w:rsidRPr="00CA4713">
              <w:rPr>
                <w:rFonts w:eastAsia="Times New Roman" w:cstheme="minorHAnsi"/>
                <w:color w:val="000000"/>
                <w:sz w:val="20"/>
                <w:lang w:eastAsia="en-NZ"/>
              </w:rPr>
              <w:t>100</w:t>
            </w:r>
          </w:p>
        </w:tc>
        <w:tc>
          <w:tcPr>
            <w:tcW w:w="822" w:type="dxa"/>
            <w:gridSpan w:val="5"/>
            <w:shd w:val="clear" w:color="auto" w:fill="auto"/>
            <w:hideMark/>
          </w:tcPr>
          <w:p w:rsidR="00546A26" w:rsidRPr="00CA4713" w:rsidRDefault="00546A26" w:rsidP="004106CD">
            <w:pPr>
              <w:spacing w:after="0" w:line="240" w:lineRule="auto"/>
              <w:jc w:val="center"/>
              <w:rPr>
                <w:rFonts w:eastAsia="Times New Roman" w:cstheme="minorHAnsi"/>
                <w:color w:val="000000"/>
                <w:sz w:val="20"/>
                <w:lang w:eastAsia="en-NZ"/>
              </w:rPr>
            </w:pPr>
            <w:r w:rsidRPr="00CA4713">
              <w:rPr>
                <w:rFonts w:eastAsia="Times New Roman" w:cstheme="minorHAnsi"/>
                <w:color w:val="000000"/>
                <w:sz w:val="20"/>
                <w:lang w:eastAsia="en-NZ"/>
              </w:rPr>
              <w:t>22%</w:t>
            </w:r>
          </w:p>
        </w:tc>
        <w:tc>
          <w:tcPr>
            <w:tcW w:w="1293" w:type="dxa"/>
            <w:gridSpan w:val="2"/>
            <w:shd w:val="clear" w:color="auto" w:fill="auto"/>
            <w:hideMark/>
          </w:tcPr>
          <w:p w:rsidR="00546A26" w:rsidRPr="00CA4713" w:rsidRDefault="00546A26" w:rsidP="004106CD">
            <w:pPr>
              <w:spacing w:after="0"/>
              <w:jc w:val="center"/>
              <w:rPr>
                <w:rFonts w:cstheme="minorHAnsi"/>
              </w:rPr>
            </w:pPr>
            <w:r w:rsidRPr="00CA4713">
              <w:rPr>
                <w:rFonts w:eastAsia="Times New Roman" w:cstheme="minorHAnsi"/>
                <w:color w:val="000000"/>
                <w:sz w:val="20"/>
                <w:lang w:eastAsia="en-NZ"/>
              </w:rPr>
              <w:t>exceeded</w:t>
            </w:r>
          </w:p>
        </w:tc>
        <w:tc>
          <w:tcPr>
            <w:tcW w:w="4252" w:type="dxa"/>
            <w:shd w:val="clear" w:color="auto" w:fill="auto"/>
          </w:tcPr>
          <w:p w:rsidR="00546A26" w:rsidRPr="00CA4713" w:rsidRDefault="00B7196E" w:rsidP="00CC5A44">
            <w:pPr>
              <w:spacing w:after="0" w:line="240" w:lineRule="auto"/>
              <w:rPr>
                <w:rFonts w:eastAsia="Times New Roman" w:cstheme="minorHAnsi"/>
                <w:color w:val="000000"/>
                <w:sz w:val="20"/>
                <w:lang w:eastAsia="en-NZ"/>
              </w:rPr>
            </w:pPr>
            <w:r w:rsidRPr="00B7196E">
              <w:rPr>
                <w:rFonts w:eastAsia="Times New Roman" w:cstheme="minorHAnsi"/>
                <w:color w:val="000000"/>
                <w:sz w:val="20"/>
                <w:lang w:eastAsia="en-NZ"/>
              </w:rPr>
              <w:t xml:space="preserve">The groundstaff were able to accommodate more </w:t>
            </w:r>
            <w:proofErr w:type="gramStart"/>
            <w:r w:rsidRPr="00B7196E">
              <w:rPr>
                <w:rFonts w:eastAsia="Times New Roman" w:cstheme="minorHAnsi"/>
                <w:color w:val="000000"/>
                <w:sz w:val="20"/>
                <w:lang w:eastAsia="en-NZ"/>
              </w:rPr>
              <w:t>trainings</w:t>
            </w:r>
            <w:proofErr w:type="gramEnd"/>
            <w:r w:rsidRPr="00B7196E">
              <w:rPr>
                <w:rFonts w:eastAsia="Times New Roman" w:cstheme="minorHAnsi"/>
                <w:color w:val="000000"/>
                <w:sz w:val="20"/>
                <w:lang w:eastAsia="en-NZ"/>
              </w:rPr>
              <w:t xml:space="preserve"> for sides outside of the high-performance sides of the Firebirds and Blaze</w:t>
            </w:r>
            <w:r>
              <w:rPr>
                <w:rFonts w:eastAsia="Times New Roman" w:cstheme="minorHAnsi"/>
                <w:color w:val="000000"/>
                <w:sz w:val="20"/>
                <w:lang w:eastAsia="en-NZ"/>
              </w:rPr>
              <w:t>.</w:t>
            </w:r>
            <w:r w:rsidRPr="00B7196E">
              <w:rPr>
                <w:rFonts w:eastAsia="Times New Roman" w:cstheme="minorHAnsi"/>
                <w:color w:val="000000"/>
                <w:sz w:val="20"/>
                <w:lang w:eastAsia="en-NZ"/>
              </w:rPr>
              <w:t xml:space="preserve"> </w:t>
            </w:r>
          </w:p>
        </w:tc>
      </w:tr>
      <w:tr w:rsidR="00546A26" w:rsidRPr="00CA4713" w:rsidTr="009C3D9F">
        <w:trPr>
          <w:trHeight w:val="270"/>
        </w:trPr>
        <w:tc>
          <w:tcPr>
            <w:tcW w:w="4394" w:type="dxa"/>
            <w:gridSpan w:val="3"/>
            <w:shd w:val="clear" w:color="auto" w:fill="auto"/>
            <w:hideMark/>
          </w:tcPr>
          <w:p w:rsidR="00546A26" w:rsidRPr="00CA4713" w:rsidRDefault="00546A26" w:rsidP="004106CD">
            <w:pPr>
              <w:spacing w:after="0" w:line="240" w:lineRule="auto"/>
              <w:rPr>
                <w:rFonts w:eastAsia="Times New Roman" w:cstheme="minorHAnsi"/>
                <w:color w:val="000000"/>
                <w:sz w:val="20"/>
                <w:lang w:eastAsia="en-NZ"/>
              </w:rPr>
            </w:pPr>
            <w:r w:rsidRPr="00CA4713">
              <w:rPr>
                <w:rFonts w:eastAsia="Times New Roman" w:cstheme="minorHAnsi"/>
                <w:color w:val="000000"/>
                <w:sz w:val="20"/>
                <w:lang w:eastAsia="en-NZ"/>
              </w:rPr>
              <w:t>Number of function days</w:t>
            </w:r>
          </w:p>
        </w:tc>
        <w:tc>
          <w:tcPr>
            <w:tcW w:w="1150" w:type="dxa"/>
            <w:gridSpan w:val="3"/>
            <w:shd w:val="clear" w:color="auto" w:fill="auto"/>
            <w:noWrap/>
            <w:hideMark/>
          </w:tcPr>
          <w:p w:rsidR="00546A26" w:rsidRPr="00CA4713" w:rsidRDefault="00546A26" w:rsidP="004106CD">
            <w:pPr>
              <w:spacing w:after="0" w:line="240" w:lineRule="auto"/>
              <w:jc w:val="right"/>
              <w:rPr>
                <w:rFonts w:eastAsia="Times New Roman" w:cstheme="minorHAnsi"/>
                <w:color w:val="000000"/>
                <w:sz w:val="20"/>
                <w:lang w:eastAsia="en-NZ"/>
              </w:rPr>
            </w:pPr>
            <w:r w:rsidRPr="00CA4713">
              <w:rPr>
                <w:rFonts w:eastAsia="Times New Roman" w:cstheme="minorHAnsi"/>
                <w:color w:val="000000"/>
                <w:sz w:val="20"/>
                <w:lang w:eastAsia="en-NZ"/>
              </w:rPr>
              <w:t>8</w:t>
            </w:r>
          </w:p>
        </w:tc>
        <w:tc>
          <w:tcPr>
            <w:tcW w:w="1176" w:type="dxa"/>
            <w:shd w:val="clear" w:color="auto" w:fill="auto"/>
            <w:noWrap/>
            <w:hideMark/>
          </w:tcPr>
          <w:p w:rsidR="00546A26" w:rsidRPr="00CA4713" w:rsidRDefault="00546A26" w:rsidP="004106CD">
            <w:pPr>
              <w:spacing w:after="0" w:line="240" w:lineRule="auto"/>
              <w:jc w:val="right"/>
              <w:rPr>
                <w:rFonts w:eastAsia="Times New Roman" w:cstheme="minorHAnsi"/>
                <w:color w:val="000000"/>
                <w:sz w:val="20"/>
                <w:lang w:eastAsia="en-NZ"/>
              </w:rPr>
            </w:pPr>
            <w:r w:rsidRPr="00CA4713">
              <w:rPr>
                <w:rFonts w:eastAsia="Times New Roman" w:cstheme="minorHAnsi"/>
                <w:color w:val="000000"/>
                <w:sz w:val="20"/>
                <w:lang w:eastAsia="en-NZ"/>
              </w:rPr>
              <w:t>20</w:t>
            </w:r>
          </w:p>
        </w:tc>
        <w:tc>
          <w:tcPr>
            <w:tcW w:w="1258" w:type="dxa"/>
            <w:gridSpan w:val="5"/>
            <w:shd w:val="clear" w:color="auto" w:fill="auto"/>
            <w:noWrap/>
            <w:hideMark/>
          </w:tcPr>
          <w:p w:rsidR="00546A26" w:rsidRPr="00CA4713" w:rsidRDefault="00546A26" w:rsidP="004106CD">
            <w:pPr>
              <w:spacing w:after="0" w:line="240" w:lineRule="auto"/>
              <w:jc w:val="right"/>
              <w:rPr>
                <w:rFonts w:eastAsia="Times New Roman" w:cstheme="minorHAnsi"/>
                <w:color w:val="000000"/>
                <w:sz w:val="20"/>
                <w:lang w:eastAsia="en-NZ"/>
              </w:rPr>
            </w:pPr>
            <w:r w:rsidRPr="00CA4713">
              <w:rPr>
                <w:rFonts w:eastAsia="Times New Roman" w:cstheme="minorHAnsi"/>
                <w:color w:val="000000"/>
                <w:sz w:val="20"/>
                <w:lang w:eastAsia="en-NZ"/>
              </w:rPr>
              <w:t xml:space="preserve">53 </w:t>
            </w:r>
          </w:p>
        </w:tc>
        <w:tc>
          <w:tcPr>
            <w:tcW w:w="1106" w:type="dxa"/>
            <w:shd w:val="clear" w:color="000000" w:fill="D9D9D9"/>
            <w:hideMark/>
          </w:tcPr>
          <w:p w:rsidR="00546A26" w:rsidRPr="00CA4713" w:rsidRDefault="00546A26" w:rsidP="004106CD">
            <w:pPr>
              <w:spacing w:after="0" w:line="240" w:lineRule="auto"/>
              <w:jc w:val="right"/>
              <w:rPr>
                <w:rFonts w:eastAsia="Times New Roman" w:cstheme="minorHAnsi"/>
                <w:color w:val="000000"/>
                <w:sz w:val="20"/>
                <w:lang w:eastAsia="en-NZ"/>
              </w:rPr>
            </w:pPr>
            <w:r w:rsidRPr="00CA4713">
              <w:rPr>
                <w:rFonts w:eastAsia="Times New Roman" w:cstheme="minorHAnsi"/>
                <w:color w:val="000000"/>
                <w:sz w:val="20"/>
                <w:lang w:eastAsia="en-NZ"/>
              </w:rPr>
              <w:t>18</w:t>
            </w:r>
          </w:p>
        </w:tc>
        <w:tc>
          <w:tcPr>
            <w:tcW w:w="822" w:type="dxa"/>
            <w:gridSpan w:val="5"/>
            <w:shd w:val="clear" w:color="auto" w:fill="auto"/>
            <w:hideMark/>
          </w:tcPr>
          <w:p w:rsidR="00546A26" w:rsidRPr="00CA4713" w:rsidRDefault="00546A26" w:rsidP="004106CD">
            <w:pPr>
              <w:spacing w:after="0" w:line="240" w:lineRule="auto"/>
              <w:jc w:val="center"/>
              <w:rPr>
                <w:rFonts w:eastAsia="Times New Roman" w:cstheme="minorHAnsi"/>
                <w:color w:val="000000"/>
                <w:sz w:val="20"/>
                <w:lang w:eastAsia="en-NZ"/>
              </w:rPr>
            </w:pPr>
            <w:r w:rsidRPr="00CA4713">
              <w:rPr>
                <w:rFonts w:eastAsia="Times New Roman" w:cstheme="minorHAnsi"/>
                <w:color w:val="000000"/>
                <w:sz w:val="20"/>
                <w:lang w:eastAsia="en-NZ"/>
              </w:rPr>
              <w:t>194%</w:t>
            </w:r>
          </w:p>
        </w:tc>
        <w:tc>
          <w:tcPr>
            <w:tcW w:w="1293" w:type="dxa"/>
            <w:gridSpan w:val="2"/>
            <w:shd w:val="clear" w:color="auto" w:fill="auto"/>
            <w:hideMark/>
          </w:tcPr>
          <w:p w:rsidR="00546A26" w:rsidRPr="00CA4713" w:rsidRDefault="00546A26" w:rsidP="004106CD">
            <w:pPr>
              <w:spacing w:after="0"/>
              <w:jc w:val="center"/>
              <w:rPr>
                <w:rFonts w:cstheme="minorHAnsi"/>
              </w:rPr>
            </w:pPr>
            <w:r w:rsidRPr="00CA4713">
              <w:rPr>
                <w:rFonts w:eastAsia="Times New Roman" w:cstheme="minorHAnsi"/>
                <w:color w:val="000000"/>
                <w:sz w:val="20"/>
                <w:lang w:eastAsia="en-NZ"/>
              </w:rPr>
              <w:t>exceeded</w:t>
            </w:r>
          </w:p>
        </w:tc>
        <w:tc>
          <w:tcPr>
            <w:tcW w:w="4252" w:type="dxa"/>
            <w:shd w:val="clear" w:color="auto" w:fill="auto"/>
          </w:tcPr>
          <w:p w:rsidR="00546A26" w:rsidRPr="00CA4713" w:rsidRDefault="00B7196E" w:rsidP="00CC5A44">
            <w:pPr>
              <w:spacing w:after="0" w:line="240" w:lineRule="auto"/>
              <w:rPr>
                <w:rFonts w:eastAsia="Times New Roman" w:cstheme="minorHAnsi"/>
                <w:color w:val="000000"/>
                <w:sz w:val="20"/>
                <w:lang w:eastAsia="en-NZ"/>
              </w:rPr>
            </w:pPr>
            <w:r w:rsidRPr="00B7196E">
              <w:rPr>
                <w:rFonts w:eastAsia="Times New Roman" w:cstheme="minorHAnsi"/>
                <w:color w:val="000000"/>
                <w:sz w:val="20"/>
                <w:lang w:eastAsia="en-NZ"/>
              </w:rPr>
              <w:t xml:space="preserve">With the </w:t>
            </w:r>
            <w:r w:rsidR="00B701E7">
              <w:rPr>
                <w:rFonts w:eastAsia="Times New Roman" w:cstheme="minorHAnsi"/>
                <w:color w:val="000000"/>
                <w:sz w:val="20"/>
                <w:lang w:eastAsia="en-NZ"/>
              </w:rPr>
              <w:t>i</w:t>
            </w:r>
            <w:r w:rsidRPr="00B7196E">
              <w:rPr>
                <w:rFonts w:eastAsia="Times New Roman" w:cstheme="minorHAnsi"/>
                <w:color w:val="000000"/>
                <w:sz w:val="20"/>
                <w:lang w:eastAsia="en-NZ"/>
              </w:rPr>
              <w:t xml:space="preserve">nternal works fully completed in the RA Vance Stand, the function areas </w:t>
            </w:r>
            <w:r>
              <w:rPr>
                <w:rFonts w:eastAsia="Times New Roman" w:cstheme="minorHAnsi"/>
                <w:color w:val="000000"/>
                <w:sz w:val="20"/>
                <w:lang w:eastAsia="en-NZ"/>
              </w:rPr>
              <w:t>were</w:t>
            </w:r>
            <w:r w:rsidRPr="00B7196E">
              <w:rPr>
                <w:rFonts w:eastAsia="Times New Roman" w:cstheme="minorHAnsi"/>
                <w:color w:val="000000"/>
                <w:sz w:val="20"/>
                <w:lang w:eastAsia="en-NZ"/>
              </w:rPr>
              <w:t xml:space="preserve"> more attractive to hirers and clients</w:t>
            </w:r>
          </w:p>
        </w:tc>
      </w:tr>
      <w:tr w:rsidR="009C3D9F" w:rsidRPr="00CA4713" w:rsidTr="009C3D9F">
        <w:trPr>
          <w:trHeight w:val="270"/>
        </w:trPr>
        <w:tc>
          <w:tcPr>
            <w:tcW w:w="4394" w:type="dxa"/>
            <w:gridSpan w:val="3"/>
            <w:shd w:val="clear" w:color="auto" w:fill="auto"/>
            <w:hideMark/>
          </w:tcPr>
          <w:p w:rsidR="009C3D9F" w:rsidRPr="00CA4713" w:rsidRDefault="009C3D9F" w:rsidP="009C3D9F">
            <w:pPr>
              <w:spacing w:after="0" w:line="240" w:lineRule="auto"/>
              <w:rPr>
                <w:rFonts w:eastAsia="Times New Roman" w:cstheme="minorHAnsi"/>
                <w:color w:val="000000"/>
                <w:sz w:val="20"/>
                <w:lang w:eastAsia="en-NZ"/>
              </w:rPr>
            </w:pPr>
            <w:r w:rsidRPr="00CA4713">
              <w:rPr>
                <w:rFonts w:eastAsia="Times New Roman" w:cstheme="minorHAnsi"/>
                <w:color w:val="000000"/>
                <w:sz w:val="20"/>
                <w:lang w:eastAsia="en-NZ"/>
              </w:rPr>
              <w:t>Event income</w:t>
            </w:r>
          </w:p>
        </w:tc>
        <w:tc>
          <w:tcPr>
            <w:tcW w:w="1150" w:type="dxa"/>
            <w:gridSpan w:val="3"/>
            <w:shd w:val="clear" w:color="auto" w:fill="auto"/>
            <w:noWrap/>
            <w:hideMark/>
          </w:tcPr>
          <w:p w:rsidR="009C3D9F" w:rsidRPr="00CA4713" w:rsidRDefault="009C3D9F" w:rsidP="009C3D9F">
            <w:pPr>
              <w:spacing w:after="0" w:line="240" w:lineRule="auto"/>
              <w:jc w:val="right"/>
              <w:rPr>
                <w:rFonts w:eastAsia="Times New Roman" w:cstheme="minorHAnsi"/>
                <w:color w:val="000000"/>
                <w:sz w:val="20"/>
                <w:lang w:eastAsia="en-NZ"/>
              </w:rPr>
            </w:pPr>
            <w:r w:rsidRPr="00CA4713">
              <w:rPr>
                <w:rFonts w:eastAsia="Times New Roman" w:cstheme="minorHAnsi"/>
                <w:color w:val="000000"/>
                <w:sz w:val="20"/>
                <w:lang w:eastAsia="en-NZ"/>
              </w:rPr>
              <w:t xml:space="preserve"> $206,600 </w:t>
            </w:r>
          </w:p>
        </w:tc>
        <w:tc>
          <w:tcPr>
            <w:tcW w:w="1176" w:type="dxa"/>
            <w:shd w:val="clear" w:color="auto" w:fill="auto"/>
            <w:noWrap/>
            <w:hideMark/>
          </w:tcPr>
          <w:p w:rsidR="009C3D9F" w:rsidRPr="00CA4713" w:rsidRDefault="009C3D9F" w:rsidP="009C3D9F">
            <w:pPr>
              <w:spacing w:after="0" w:line="240" w:lineRule="auto"/>
              <w:jc w:val="right"/>
              <w:rPr>
                <w:rFonts w:eastAsia="Times New Roman" w:cstheme="minorHAnsi"/>
                <w:color w:val="000000"/>
                <w:sz w:val="20"/>
                <w:lang w:eastAsia="en-NZ"/>
              </w:rPr>
            </w:pPr>
            <w:r w:rsidRPr="00CA4713">
              <w:rPr>
                <w:rFonts w:eastAsia="Times New Roman" w:cstheme="minorHAnsi"/>
                <w:color w:val="000000"/>
                <w:sz w:val="20"/>
                <w:lang w:eastAsia="en-NZ"/>
              </w:rPr>
              <w:t>$290,250</w:t>
            </w:r>
          </w:p>
        </w:tc>
        <w:tc>
          <w:tcPr>
            <w:tcW w:w="1258" w:type="dxa"/>
            <w:gridSpan w:val="5"/>
            <w:shd w:val="clear" w:color="auto" w:fill="auto"/>
            <w:noWrap/>
            <w:hideMark/>
          </w:tcPr>
          <w:p w:rsidR="009C3D9F" w:rsidRPr="00CA4713" w:rsidRDefault="009C3D9F" w:rsidP="009C3D9F">
            <w:pPr>
              <w:spacing w:after="0" w:line="240" w:lineRule="auto"/>
              <w:jc w:val="right"/>
              <w:rPr>
                <w:rFonts w:eastAsia="Times New Roman" w:cstheme="minorHAnsi"/>
                <w:color w:val="000000"/>
                <w:sz w:val="20"/>
                <w:lang w:eastAsia="en-NZ"/>
              </w:rPr>
            </w:pPr>
            <w:r w:rsidRPr="00CA4713">
              <w:rPr>
                <w:rFonts w:eastAsia="Times New Roman" w:cstheme="minorHAnsi"/>
                <w:color w:val="000000"/>
                <w:sz w:val="20"/>
                <w:lang w:eastAsia="en-NZ"/>
              </w:rPr>
              <w:t xml:space="preserve">$258,282 </w:t>
            </w:r>
          </w:p>
        </w:tc>
        <w:tc>
          <w:tcPr>
            <w:tcW w:w="1106" w:type="dxa"/>
            <w:shd w:val="clear" w:color="000000" w:fill="D9D9D9"/>
            <w:hideMark/>
          </w:tcPr>
          <w:p w:rsidR="009C3D9F" w:rsidRPr="00CA4713" w:rsidRDefault="009C3D9F" w:rsidP="009C3D9F">
            <w:pPr>
              <w:spacing w:after="0" w:line="240" w:lineRule="auto"/>
              <w:jc w:val="right"/>
              <w:rPr>
                <w:rFonts w:eastAsia="Times New Roman" w:cstheme="minorHAnsi"/>
                <w:color w:val="000000"/>
                <w:sz w:val="20"/>
                <w:lang w:eastAsia="en-NZ"/>
              </w:rPr>
            </w:pPr>
            <w:r w:rsidRPr="00CA4713">
              <w:rPr>
                <w:rFonts w:eastAsia="Times New Roman" w:cstheme="minorHAnsi"/>
                <w:color w:val="000000"/>
                <w:sz w:val="20"/>
                <w:lang w:eastAsia="en-NZ"/>
              </w:rPr>
              <w:t>Trend</w:t>
            </w:r>
          </w:p>
        </w:tc>
        <w:tc>
          <w:tcPr>
            <w:tcW w:w="822" w:type="dxa"/>
            <w:gridSpan w:val="5"/>
            <w:shd w:val="clear" w:color="auto" w:fill="auto"/>
          </w:tcPr>
          <w:p w:rsidR="009C3D9F" w:rsidRPr="00CA4713" w:rsidRDefault="009C3D9F" w:rsidP="009C3D9F">
            <w:pPr>
              <w:spacing w:after="0" w:line="240" w:lineRule="auto"/>
              <w:jc w:val="center"/>
              <w:rPr>
                <w:rFonts w:eastAsia="Times New Roman" w:cstheme="minorHAnsi"/>
                <w:color w:val="000000"/>
                <w:sz w:val="20"/>
                <w:lang w:eastAsia="en-NZ"/>
              </w:rPr>
            </w:pPr>
          </w:p>
        </w:tc>
        <w:tc>
          <w:tcPr>
            <w:tcW w:w="1293" w:type="dxa"/>
            <w:gridSpan w:val="2"/>
            <w:shd w:val="clear" w:color="auto" w:fill="auto"/>
            <w:hideMark/>
          </w:tcPr>
          <w:p w:rsidR="009C3D9F" w:rsidRDefault="009C3D9F" w:rsidP="009C3D9F">
            <w:pPr>
              <w:spacing w:after="0"/>
              <w:jc w:val="right"/>
            </w:pPr>
            <w:r w:rsidRPr="0049523F">
              <w:rPr>
                <w:rFonts w:eastAsia="Times New Roman" w:cstheme="minorHAnsi"/>
                <w:color w:val="000000"/>
                <w:sz w:val="20"/>
                <w:lang w:eastAsia="en-NZ"/>
              </w:rPr>
              <w:t>Within 10%</w:t>
            </w:r>
          </w:p>
        </w:tc>
        <w:tc>
          <w:tcPr>
            <w:tcW w:w="4252" w:type="dxa"/>
            <w:shd w:val="clear" w:color="auto" w:fill="auto"/>
          </w:tcPr>
          <w:p w:rsidR="009C3D9F" w:rsidRPr="00CA4713" w:rsidRDefault="009C3D9F" w:rsidP="009C3D9F">
            <w:pPr>
              <w:spacing w:after="0" w:line="240" w:lineRule="auto"/>
              <w:jc w:val="right"/>
              <w:rPr>
                <w:rFonts w:eastAsia="Times New Roman" w:cstheme="minorHAnsi"/>
                <w:color w:val="000000"/>
                <w:sz w:val="20"/>
                <w:lang w:eastAsia="en-NZ"/>
              </w:rPr>
            </w:pPr>
          </w:p>
        </w:tc>
      </w:tr>
      <w:tr w:rsidR="009C3D9F" w:rsidRPr="00CA4713" w:rsidTr="009C3D9F">
        <w:trPr>
          <w:trHeight w:val="270"/>
        </w:trPr>
        <w:tc>
          <w:tcPr>
            <w:tcW w:w="4394" w:type="dxa"/>
            <w:gridSpan w:val="3"/>
            <w:shd w:val="clear" w:color="auto" w:fill="auto"/>
            <w:hideMark/>
          </w:tcPr>
          <w:p w:rsidR="009C3D9F" w:rsidRPr="00CA4713" w:rsidRDefault="009C3D9F" w:rsidP="009C3D9F">
            <w:pPr>
              <w:spacing w:after="0" w:line="240" w:lineRule="auto"/>
              <w:rPr>
                <w:rFonts w:eastAsia="Times New Roman" w:cstheme="minorHAnsi"/>
                <w:color w:val="000000"/>
                <w:sz w:val="20"/>
                <w:lang w:eastAsia="en-NZ"/>
              </w:rPr>
            </w:pPr>
            <w:r w:rsidRPr="00CA4713">
              <w:rPr>
                <w:rFonts w:eastAsia="Times New Roman" w:cstheme="minorHAnsi"/>
                <w:color w:val="000000"/>
                <w:sz w:val="20"/>
                <w:lang w:eastAsia="en-NZ"/>
              </w:rPr>
              <w:t>Operational grant per attendance</w:t>
            </w:r>
          </w:p>
        </w:tc>
        <w:tc>
          <w:tcPr>
            <w:tcW w:w="1150" w:type="dxa"/>
            <w:gridSpan w:val="3"/>
            <w:shd w:val="clear" w:color="auto" w:fill="auto"/>
            <w:noWrap/>
            <w:hideMark/>
          </w:tcPr>
          <w:p w:rsidR="009C3D9F" w:rsidRPr="00CA4713" w:rsidRDefault="009C3D9F" w:rsidP="009C3D9F">
            <w:pPr>
              <w:spacing w:after="0" w:line="240" w:lineRule="auto"/>
              <w:jc w:val="right"/>
              <w:rPr>
                <w:rFonts w:eastAsia="Times New Roman" w:cstheme="minorHAnsi"/>
                <w:color w:val="000000"/>
                <w:sz w:val="20"/>
                <w:lang w:eastAsia="en-NZ"/>
              </w:rPr>
            </w:pPr>
            <w:r w:rsidRPr="00CA4713">
              <w:rPr>
                <w:rFonts w:eastAsia="Times New Roman" w:cstheme="minorHAnsi"/>
                <w:color w:val="000000"/>
                <w:sz w:val="20"/>
                <w:lang w:eastAsia="en-NZ"/>
              </w:rPr>
              <w:t xml:space="preserve">$10.26 </w:t>
            </w:r>
          </w:p>
        </w:tc>
        <w:tc>
          <w:tcPr>
            <w:tcW w:w="1176" w:type="dxa"/>
            <w:shd w:val="clear" w:color="auto" w:fill="auto"/>
            <w:noWrap/>
            <w:hideMark/>
          </w:tcPr>
          <w:p w:rsidR="009C3D9F" w:rsidRPr="00CA4713" w:rsidRDefault="009C3D9F" w:rsidP="009C3D9F">
            <w:pPr>
              <w:spacing w:after="0" w:line="240" w:lineRule="auto"/>
              <w:jc w:val="right"/>
              <w:rPr>
                <w:rFonts w:eastAsia="Times New Roman" w:cstheme="minorHAnsi"/>
                <w:color w:val="000000"/>
                <w:sz w:val="20"/>
                <w:lang w:eastAsia="en-NZ"/>
              </w:rPr>
            </w:pPr>
            <w:r w:rsidRPr="00CA4713">
              <w:rPr>
                <w:rFonts w:eastAsia="Times New Roman" w:cstheme="minorHAnsi"/>
                <w:color w:val="000000"/>
                <w:sz w:val="20"/>
                <w:lang w:eastAsia="en-NZ"/>
              </w:rPr>
              <w:t>$10.68</w:t>
            </w:r>
          </w:p>
        </w:tc>
        <w:tc>
          <w:tcPr>
            <w:tcW w:w="1258" w:type="dxa"/>
            <w:gridSpan w:val="5"/>
            <w:shd w:val="clear" w:color="auto" w:fill="auto"/>
            <w:noWrap/>
            <w:hideMark/>
          </w:tcPr>
          <w:p w:rsidR="009C3D9F" w:rsidRPr="00CA4713" w:rsidRDefault="009C3D9F" w:rsidP="009C3D9F">
            <w:pPr>
              <w:spacing w:after="0" w:line="240" w:lineRule="auto"/>
              <w:jc w:val="right"/>
              <w:rPr>
                <w:rFonts w:eastAsia="Times New Roman" w:cstheme="minorHAnsi"/>
                <w:color w:val="000000"/>
                <w:sz w:val="20"/>
                <w:lang w:eastAsia="en-NZ"/>
              </w:rPr>
            </w:pPr>
            <w:r w:rsidRPr="00CA4713">
              <w:rPr>
                <w:rFonts w:eastAsia="Times New Roman" w:cstheme="minorHAnsi"/>
                <w:color w:val="000000"/>
                <w:sz w:val="20"/>
                <w:lang w:eastAsia="en-NZ"/>
              </w:rPr>
              <w:t>$3.09</w:t>
            </w:r>
          </w:p>
        </w:tc>
        <w:tc>
          <w:tcPr>
            <w:tcW w:w="1106" w:type="dxa"/>
            <w:shd w:val="clear" w:color="000000" w:fill="D9D9D9"/>
            <w:hideMark/>
          </w:tcPr>
          <w:p w:rsidR="009C3D9F" w:rsidRPr="00CA4713" w:rsidRDefault="009C3D9F" w:rsidP="009C3D9F">
            <w:pPr>
              <w:spacing w:after="0" w:line="240" w:lineRule="auto"/>
              <w:jc w:val="right"/>
              <w:rPr>
                <w:rFonts w:eastAsia="Times New Roman" w:cstheme="minorHAnsi"/>
                <w:color w:val="000000"/>
                <w:sz w:val="20"/>
                <w:lang w:eastAsia="en-NZ"/>
              </w:rPr>
            </w:pPr>
            <w:r w:rsidRPr="00CA4713">
              <w:rPr>
                <w:rFonts w:eastAsia="Times New Roman" w:cstheme="minorHAnsi"/>
                <w:color w:val="000000"/>
                <w:sz w:val="20"/>
                <w:lang w:eastAsia="en-NZ"/>
              </w:rPr>
              <w:t>Trend</w:t>
            </w:r>
          </w:p>
        </w:tc>
        <w:tc>
          <w:tcPr>
            <w:tcW w:w="822" w:type="dxa"/>
            <w:gridSpan w:val="5"/>
            <w:shd w:val="clear" w:color="auto" w:fill="auto"/>
          </w:tcPr>
          <w:p w:rsidR="009C3D9F" w:rsidRPr="00CA4713" w:rsidRDefault="009C3D9F" w:rsidP="009C3D9F">
            <w:pPr>
              <w:spacing w:after="0" w:line="240" w:lineRule="auto"/>
              <w:jc w:val="center"/>
              <w:rPr>
                <w:rFonts w:eastAsia="Times New Roman" w:cstheme="minorHAnsi"/>
                <w:color w:val="000000"/>
                <w:sz w:val="20"/>
                <w:lang w:eastAsia="en-NZ"/>
              </w:rPr>
            </w:pPr>
          </w:p>
        </w:tc>
        <w:tc>
          <w:tcPr>
            <w:tcW w:w="1293" w:type="dxa"/>
            <w:gridSpan w:val="2"/>
            <w:shd w:val="clear" w:color="auto" w:fill="auto"/>
            <w:hideMark/>
          </w:tcPr>
          <w:p w:rsidR="009C3D9F" w:rsidRDefault="009C3D9F" w:rsidP="009C3D9F">
            <w:pPr>
              <w:spacing w:after="0"/>
              <w:jc w:val="right"/>
            </w:pPr>
            <w:r w:rsidRPr="0049523F">
              <w:rPr>
                <w:rFonts w:eastAsia="Times New Roman" w:cstheme="minorHAnsi"/>
                <w:color w:val="000000"/>
                <w:sz w:val="20"/>
                <w:lang w:eastAsia="en-NZ"/>
              </w:rPr>
              <w:t>Within 10%</w:t>
            </w:r>
          </w:p>
        </w:tc>
        <w:tc>
          <w:tcPr>
            <w:tcW w:w="4252" w:type="dxa"/>
            <w:shd w:val="clear" w:color="auto" w:fill="auto"/>
            <w:hideMark/>
          </w:tcPr>
          <w:p w:rsidR="009C3D9F" w:rsidRPr="00CA4713" w:rsidRDefault="009C3D9F" w:rsidP="009C3D9F">
            <w:pPr>
              <w:spacing w:after="0" w:line="240" w:lineRule="auto"/>
              <w:rPr>
                <w:rFonts w:eastAsia="Times New Roman" w:cstheme="minorHAnsi"/>
                <w:color w:val="000000"/>
                <w:sz w:val="20"/>
                <w:lang w:eastAsia="en-NZ"/>
              </w:rPr>
            </w:pPr>
            <w:r w:rsidRPr="00CA4713">
              <w:rPr>
                <w:rFonts w:cstheme="minorHAnsi"/>
                <w:color w:val="000000"/>
                <w:sz w:val="20"/>
                <w:szCs w:val="20"/>
              </w:rPr>
              <w:t>Average is lower because of the increase in event attendees</w:t>
            </w:r>
          </w:p>
        </w:tc>
      </w:tr>
      <w:tr w:rsidR="00546A26" w:rsidRPr="00CA4713" w:rsidTr="009C3D9F">
        <w:trPr>
          <w:trHeight w:val="270"/>
        </w:trPr>
        <w:tc>
          <w:tcPr>
            <w:tcW w:w="4394" w:type="dxa"/>
            <w:gridSpan w:val="3"/>
            <w:shd w:val="clear" w:color="auto" w:fill="auto"/>
            <w:hideMark/>
          </w:tcPr>
          <w:p w:rsidR="00546A26" w:rsidRPr="00CA4713" w:rsidRDefault="00546A26" w:rsidP="004106CD">
            <w:pPr>
              <w:spacing w:after="0" w:line="240" w:lineRule="auto"/>
              <w:rPr>
                <w:rFonts w:eastAsia="Times New Roman" w:cstheme="minorHAnsi"/>
                <w:color w:val="000000"/>
                <w:sz w:val="20"/>
                <w:lang w:eastAsia="en-NZ"/>
              </w:rPr>
            </w:pPr>
            <w:r w:rsidRPr="00CA4713">
              <w:rPr>
                <w:rFonts w:eastAsia="Times New Roman" w:cstheme="minorHAnsi"/>
                <w:color w:val="000000"/>
                <w:sz w:val="20"/>
                <w:lang w:eastAsia="en-NZ"/>
              </w:rPr>
              <w:t>Non-council revenue earned ($000)</w:t>
            </w:r>
          </w:p>
        </w:tc>
        <w:tc>
          <w:tcPr>
            <w:tcW w:w="1150" w:type="dxa"/>
            <w:gridSpan w:val="3"/>
            <w:shd w:val="clear" w:color="auto" w:fill="auto"/>
            <w:noWrap/>
            <w:hideMark/>
          </w:tcPr>
          <w:p w:rsidR="00546A26" w:rsidRPr="00CA4713" w:rsidRDefault="00546A26" w:rsidP="004106CD">
            <w:pPr>
              <w:spacing w:after="0" w:line="240" w:lineRule="auto"/>
              <w:jc w:val="right"/>
              <w:rPr>
                <w:rFonts w:eastAsia="Times New Roman" w:cstheme="minorHAnsi"/>
                <w:color w:val="000000"/>
                <w:sz w:val="20"/>
                <w:lang w:eastAsia="en-NZ"/>
              </w:rPr>
            </w:pPr>
            <w:r w:rsidRPr="00CA4713">
              <w:rPr>
                <w:rFonts w:eastAsia="Times New Roman" w:cstheme="minorHAnsi"/>
                <w:color w:val="000000"/>
                <w:sz w:val="20"/>
                <w:lang w:eastAsia="en-NZ"/>
              </w:rPr>
              <w:t>$356</w:t>
            </w:r>
          </w:p>
        </w:tc>
        <w:tc>
          <w:tcPr>
            <w:tcW w:w="1176" w:type="dxa"/>
            <w:shd w:val="clear" w:color="auto" w:fill="auto"/>
            <w:noWrap/>
            <w:hideMark/>
          </w:tcPr>
          <w:p w:rsidR="00546A26" w:rsidRPr="00CA4713" w:rsidRDefault="00546A26" w:rsidP="004106CD">
            <w:pPr>
              <w:spacing w:after="0" w:line="240" w:lineRule="auto"/>
              <w:jc w:val="right"/>
              <w:rPr>
                <w:rFonts w:eastAsia="Times New Roman" w:cstheme="minorHAnsi"/>
                <w:color w:val="000000"/>
                <w:sz w:val="20"/>
                <w:lang w:eastAsia="en-NZ"/>
              </w:rPr>
            </w:pPr>
            <w:r w:rsidRPr="00CA4713">
              <w:rPr>
                <w:rFonts w:eastAsia="Times New Roman" w:cstheme="minorHAnsi"/>
                <w:color w:val="000000"/>
                <w:sz w:val="20"/>
                <w:lang w:eastAsia="en-NZ"/>
              </w:rPr>
              <w:t>$316</w:t>
            </w:r>
          </w:p>
        </w:tc>
        <w:tc>
          <w:tcPr>
            <w:tcW w:w="1258" w:type="dxa"/>
            <w:gridSpan w:val="5"/>
            <w:shd w:val="clear" w:color="auto" w:fill="FFFFFF" w:themeFill="background1"/>
            <w:noWrap/>
            <w:hideMark/>
          </w:tcPr>
          <w:p w:rsidR="00546A26" w:rsidRPr="00CA4713" w:rsidRDefault="00546A26" w:rsidP="004106CD">
            <w:pPr>
              <w:spacing w:after="0" w:line="240" w:lineRule="auto"/>
              <w:jc w:val="right"/>
              <w:rPr>
                <w:rFonts w:eastAsia="Times New Roman" w:cstheme="minorHAnsi"/>
                <w:color w:val="000000"/>
                <w:sz w:val="20"/>
                <w:lang w:eastAsia="en-NZ"/>
              </w:rPr>
            </w:pPr>
            <w:r w:rsidRPr="00CA4713">
              <w:rPr>
                <w:rFonts w:eastAsia="Times New Roman" w:cstheme="minorHAnsi"/>
                <w:color w:val="000000"/>
                <w:sz w:val="20"/>
                <w:lang w:eastAsia="en-NZ"/>
              </w:rPr>
              <w:t>$290</w:t>
            </w:r>
          </w:p>
        </w:tc>
        <w:tc>
          <w:tcPr>
            <w:tcW w:w="1106" w:type="dxa"/>
            <w:shd w:val="clear" w:color="000000" w:fill="D9D9D9"/>
            <w:hideMark/>
          </w:tcPr>
          <w:p w:rsidR="00546A26" w:rsidRPr="00CA4713" w:rsidRDefault="00546A26" w:rsidP="004106CD">
            <w:pPr>
              <w:spacing w:after="0" w:line="240" w:lineRule="auto"/>
              <w:jc w:val="right"/>
              <w:rPr>
                <w:rFonts w:eastAsia="Times New Roman" w:cstheme="minorHAnsi"/>
                <w:color w:val="000000"/>
                <w:sz w:val="20"/>
                <w:lang w:eastAsia="en-NZ"/>
              </w:rPr>
            </w:pPr>
            <w:r w:rsidRPr="00CA4713">
              <w:rPr>
                <w:rFonts w:eastAsia="Times New Roman" w:cstheme="minorHAnsi"/>
                <w:color w:val="000000"/>
                <w:sz w:val="20"/>
                <w:lang w:eastAsia="en-NZ"/>
              </w:rPr>
              <w:t>Trend</w:t>
            </w:r>
          </w:p>
        </w:tc>
        <w:tc>
          <w:tcPr>
            <w:tcW w:w="822" w:type="dxa"/>
            <w:gridSpan w:val="5"/>
            <w:shd w:val="clear" w:color="auto" w:fill="auto"/>
            <w:hideMark/>
          </w:tcPr>
          <w:p w:rsidR="00546A26" w:rsidRPr="00CA4713" w:rsidRDefault="009C3D9F" w:rsidP="004106CD">
            <w:pPr>
              <w:spacing w:after="0" w:line="240" w:lineRule="auto"/>
              <w:jc w:val="center"/>
              <w:rPr>
                <w:rFonts w:eastAsia="Times New Roman" w:cstheme="minorHAnsi"/>
                <w:color w:val="000000"/>
                <w:sz w:val="20"/>
                <w:lang w:eastAsia="en-NZ"/>
              </w:rPr>
            </w:pPr>
            <w:r>
              <w:rPr>
                <w:rFonts w:eastAsia="Times New Roman" w:cstheme="minorHAnsi"/>
                <w:color w:val="000000"/>
                <w:sz w:val="20"/>
                <w:lang w:eastAsia="en-NZ"/>
              </w:rPr>
              <w:t>-8%</w:t>
            </w:r>
          </w:p>
        </w:tc>
        <w:tc>
          <w:tcPr>
            <w:tcW w:w="1293" w:type="dxa"/>
            <w:gridSpan w:val="2"/>
            <w:shd w:val="clear" w:color="auto" w:fill="auto"/>
            <w:hideMark/>
          </w:tcPr>
          <w:p w:rsidR="00546A26" w:rsidRPr="00CA4713" w:rsidRDefault="009C3D9F" w:rsidP="009C3D9F">
            <w:pPr>
              <w:spacing w:after="0" w:line="240" w:lineRule="auto"/>
              <w:jc w:val="right"/>
              <w:rPr>
                <w:rFonts w:eastAsia="Times New Roman" w:cstheme="minorHAnsi"/>
                <w:color w:val="000000"/>
                <w:sz w:val="20"/>
                <w:lang w:eastAsia="en-NZ"/>
              </w:rPr>
            </w:pPr>
            <w:r>
              <w:rPr>
                <w:rFonts w:eastAsia="Times New Roman" w:cstheme="minorHAnsi"/>
                <w:color w:val="000000"/>
                <w:sz w:val="20"/>
                <w:lang w:eastAsia="en-NZ"/>
              </w:rPr>
              <w:t>Within 10%</w:t>
            </w:r>
          </w:p>
        </w:tc>
        <w:tc>
          <w:tcPr>
            <w:tcW w:w="4252" w:type="dxa"/>
            <w:shd w:val="clear" w:color="auto" w:fill="auto"/>
          </w:tcPr>
          <w:p w:rsidR="00546A26" w:rsidRPr="00CA4713" w:rsidRDefault="00546A26" w:rsidP="004106CD">
            <w:pPr>
              <w:spacing w:after="0" w:line="240" w:lineRule="auto"/>
              <w:jc w:val="right"/>
              <w:rPr>
                <w:rFonts w:eastAsia="Times New Roman" w:cstheme="minorHAnsi"/>
                <w:color w:val="000000"/>
                <w:sz w:val="20"/>
                <w:lang w:eastAsia="en-NZ"/>
              </w:rPr>
            </w:pPr>
          </w:p>
        </w:tc>
      </w:tr>
      <w:tr w:rsidR="009C3D9F" w:rsidRPr="00CA4713" w:rsidTr="009C3D9F">
        <w:trPr>
          <w:trHeight w:val="270"/>
        </w:trPr>
        <w:tc>
          <w:tcPr>
            <w:tcW w:w="4394" w:type="dxa"/>
            <w:gridSpan w:val="3"/>
            <w:shd w:val="clear" w:color="auto" w:fill="auto"/>
            <w:hideMark/>
          </w:tcPr>
          <w:p w:rsidR="009C3D9F" w:rsidRPr="00CA4713" w:rsidRDefault="009C3D9F" w:rsidP="009C3D9F">
            <w:pPr>
              <w:spacing w:after="0" w:line="240" w:lineRule="auto"/>
              <w:rPr>
                <w:rFonts w:eastAsia="Times New Roman" w:cstheme="minorHAnsi"/>
                <w:color w:val="000000"/>
                <w:sz w:val="20"/>
                <w:lang w:eastAsia="en-NZ"/>
              </w:rPr>
            </w:pPr>
            <w:r w:rsidRPr="00CA4713">
              <w:rPr>
                <w:rFonts w:eastAsia="Times New Roman" w:cstheme="minorHAnsi"/>
                <w:color w:val="000000"/>
                <w:sz w:val="20"/>
                <w:lang w:eastAsia="en-NZ"/>
              </w:rPr>
              <w:t>Council operating grant ($000)</w:t>
            </w:r>
          </w:p>
        </w:tc>
        <w:tc>
          <w:tcPr>
            <w:tcW w:w="1150" w:type="dxa"/>
            <w:gridSpan w:val="3"/>
            <w:shd w:val="clear" w:color="auto" w:fill="auto"/>
            <w:noWrap/>
            <w:hideMark/>
          </w:tcPr>
          <w:p w:rsidR="009C3D9F" w:rsidRPr="00CA4713" w:rsidRDefault="009C3D9F" w:rsidP="009C3D9F">
            <w:pPr>
              <w:spacing w:after="0" w:line="240" w:lineRule="auto"/>
              <w:jc w:val="right"/>
              <w:rPr>
                <w:rFonts w:eastAsia="Times New Roman" w:cstheme="minorHAnsi"/>
                <w:color w:val="000000"/>
                <w:sz w:val="20"/>
                <w:lang w:eastAsia="en-NZ"/>
              </w:rPr>
            </w:pPr>
            <w:r w:rsidRPr="00CA4713">
              <w:rPr>
                <w:rFonts w:eastAsia="Times New Roman" w:cstheme="minorHAnsi"/>
                <w:color w:val="000000"/>
                <w:sz w:val="20"/>
                <w:lang w:eastAsia="en-NZ"/>
              </w:rPr>
              <w:t>$633</w:t>
            </w:r>
          </w:p>
        </w:tc>
        <w:tc>
          <w:tcPr>
            <w:tcW w:w="1176" w:type="dxa"/>
            <w:shd w:val="clear" w:color="auto" w:fill="auto"/>
            <w:noWrap/>
            <w:hideMark/>
          </w:tcPr>
          <w:p w:rsidR="009C3D9F" w:rsidRPr="00CA4713" w:rsidRDefault="009C3D9F" w:rsidP="009C3D9F">
            <w:pPr>
              <w:spacing w:after="0" w:line="240" w:lineRule="auto"/>
              <w:jc w:val="right"/>
              <w:rPr>
                <w:rFonts w:eastAsia="Times New Roman" w:cstheme="minorHAnsi"/>
                <w:color w:val="000000"/>
                <w:sz w:val="20"/>
                <w:lang w:eastAsia="en-NZ"/>
              </w:rPr>
            </w:pPr>
            <w:r w:rsidRPr="00CA4713">
              <w:rPr>
                <w:rFonts w:eastAsia="Times New Roman" w:cstheme="minorHAnsi"/>
                <w:color w:val="000000"/>
                <w:sz w:val="20"/>
                <w:lang w:eastAsia="en-NZ"/>
              </w:rPr>
              <w:t>$649</w:t>
            </w:r>
          </w:p>
        </w:tc>
        <w:tc>
          <w:tcPr>
            <w:tcW w:w="1258" w:type="dxa"/>
            <w:gridSpan w:val="5"/>
            <w:shd w:val="clear" w:color="auto" w:fill="FFFFFF" w:themeFill="background1"/>
            <w:noWrap/>
            <w:hideMark/>
          </w:tcPr>
          <w:p w:rsidR="009C3D9F" w:rsidRPr="00CA4713" w:rsidRDefault="009C3D9F" w:rsidP="009C3D9F">
            <w:pPr>
              <w:spacing w:after="0" w:line="240" w:lineRule="auto"/>
              <w:jc w:val="right"/>
              <w:rPr>
                <w:rFonts w:eastAsia="Times New Roman" w:cstheme="minorHAnsi"/>
                <w:color w:val="000000"/>
                <w:sz w:val="20"/>
                <w:lang w:eastAsia="en-NZ"/>
              </w:rPr>
            </w:pPr>
            <w:r w:rsidRPr="00CA4713">
              <w:rPr>
                <w:rFonts w:eastAsia="Times New Roman" w:cstheme="minorHAnsi"/>
                <w:color w:val="000000"/>
                <w:sz w:val="20"/>
                <w:lang w:eastAsia="en-NZ"/>
              </w:rPr>
              <w:t>$667</w:t>
            </w:r>
          </w:p>
        </w:tc>
        <w:tc>
          <w:tcPr>
            <w:tcW w:w="1106" w:type="dxa"/>
            <w:shd w:val="clear" w:color="000000" w:fill="D9D9D9"/>
            <w:hideMark/>
          </w:tcPr>
          <w:p w:rsidR="009C3D9F" w:rsidRPr="00CA4713" w:rsidRDefault="009C3D9F" w:rsidP="009C3D9F">
            <w:pPr>
              <w:spacing w:after="0" w:line="240" w:lineRule="auto"/>
              <w:jc w:val="right"/>
              <w:rPr>
                <w:rFonts w:eastAsia="Times New Roman" w:cstheme="minorHAnsi"/>
                <w:color w:val="000000"/>
                <w:sz w:val="20"/>
                <w:lang w:eastAsia="en-NZ"/>
              </w:rPr>
            </w:pPr>
            <w:r w:rsidRPr="00CA4713">
              <w:rPr>
                <w:rFonts w:eastAsia="Times New Roman" w:cstheme="minorHAnsi"/>
                <w:color w:val="000000"/>
                <w:sz w:val="20"/>
                <w:lang w:eastAsia="en-NZ"/>
              </w:rPr>
              <w:t xml:space="preserve"> $        659 </w:t>
            </w:r>
          </w:p>
        </w:tc>
        <w:tc>
          <w:tcPr>
            <w:tcW w:w="822" w:type="dxa"/>
            <w:gridSpan w:val="5"/>
            <w:shd w:val="clear" w:color="auto" w:fill="auto"/>
            <w:hideMark/>
          </w:tcPr>
          <w:p w:rsidR="009C3D9F" w:rsidRPr="00CA4713" w:rsidRDefault="009C3D9F" w:rsidP="009C3D9F">
            <w:pPr>
              <w:spacing w:after="0" w:line="240" w:lineRule="auto"/>
              <w:jc w:val="center"/>
              <w:rPr>
                <w:rFonts w:eastAsia="Times New Roman" w:cstheme="minorHAnsi"/>
                <w:color w:val="000000"/>
                <w:sz w:val="20"/>
                <w:lang w:eastAsia="en-NZ"/>
              </w:rPr>
            </w:pPr>
            <w:r w:rsidRPr="00CA4713">
              <w:rPr>
                <w:rFonts w:eastAsia="Times New Roman" w:cstheme="minorHAnsi"/>
                <w:color w:val="000000"/>
                <w:sz w:val="20"/>
                <w:lang w:eastAsia="en-NZ"/>
              </w:rPr>
              <w:t>-1%</w:t>
            </w:r>
          </w:p>
        </w:tc>
        <w:tc>
          <w:tcPr>
            <w:tcW w:w="1293" w:type="dxa"/>
            <w:gridSpan w:val="2"/>
            <w:shd w:val="clear" w:color="auto" w:fill="auto"/>
            <w:hideMark/>
          </w:tcPr>
          <w:p w:rsidR="009C3D9F" w:rsidRDefault="009C3D9F" w:rsidP="009C3D9F">
            <w:pPr>
              <w:spacing w:after="0"/>
              <w:jc w:val="right"/>
            </w:pPr>
            <w:r w:rsidRPr="00C8703B">
              <w:rPr>
                <w:rFonts w:eastAsia="Times New Roman" w:cstheme="minorHAnsi"/>
                <w:color w:val="000000"/>
                <w:sz w:val="20"/>
                <w:lang w:eastAsia="en-NZ"/>
              </w:rPr>
              <w:t>Within 10%</w:t>
            </w:r>
          </w:p>
        </w:tc>
        <w:tc>
          <w:tcPr>
            <w:tcW w:w="4252" w:type="dxa"/>
            <w:shd w:val="clear" w:color="auto" w:fill="auto"/>
          </w:tcPr>
          <w:p w:rsidR="009C3D9F" w:rsidRPr="00CA4713" w:rsidRDefault="009C3D9F" w:rsidP="009C3D9F">
            <w:pPr>
              <w:spacing w:after="0" w:line="240" w:lineRule="auto"/>
              <w:jc w:val="right"/>
              <w:rPr>
                <w:rFonts w:eastAsia="Times New Roman" w:cstheme="minorHAnsi"/>
                <w:color w:val="000000"/>
                <w:sz w:val="20"/>
                <w:lang w:eastAsia="en-NZ"/>
              </w:rPr>
            </w:pPr>
          </w:p>
        </w:tc>
      </w:tr>
      <w:tr w:rsidR="009C3D9F" w:rsidRPr="00CA4713" w:rsidTr="009C3D9F">
        <w:trPr>
          <w:trHeight w:val="270"/>
        </w:trPr>
        <w:tc>
          <w:tcPr>
            <w:tcW w:w="4394" w:type="dxa"/>
            <w:gridSpan w:val="3"/>
            <w:shd w:val="clear" w:color="auto" w:fill="auto"/>
            <w:hideMark/>
          </w:tcPr>
          <w:p w:rsidR="009C3D9F" w:rsidRPr="00CA4713" w:rsidRDefault="009C3D9F" w:rsidP="009C3D9F">
            <w:pPr>
              <w:spacing w:after="0" w:line="240" w:lineRule="auto"/>
              <w:rPr>
                <w:rFonts w:eastAsia="Times New Roman" w:cstheme="minorHAnsi"/>
                <w:color w:val="000000"/>
                <w:sz w:val="20"/>
                <w:lang w:eastAsia="en-NZ"/>
              </w:rPr>
            </w:pPr>
            <w:r w:rsidRPr="00CA4713">
              <w:rPr>
                <w:rFonts w:eastAsia="Times New Roman" w:cstheme="minorHAnsi"/>
                <w:color w:val="000000"/>
                <w:sz w:val="20"/>
                <w:lang w:eastAsia="en-NZ"/>
              </w:rPr>
              <w:t>Total revenue earned ($000)</w:t>
            </w:r>
          </w:p>
        </w:tc>
        <w:tc>
          <w:tcPr>
            <w:tcW w:w="1150" w:type="dxa"/>
            <w:gridSpan w:val="3"/>
            <w:shd w:val="clear" w:color="auto" w:fill="auto"/>
            <w:noWrap/>
            <w:hideMark/>
          </w:tcPr>
          <w:p w:rsidR="009C3D9F" w:rsidRPr="00CA4713" w:rsidRDefault="009C3D9F" w:rsidP="009C3D9F">
            <w:pPr>
              <w:spacing w:after="0" w:line="240" w:lineRule="auto"/>
              <w:jc w:val="right"/>
              <w:rPr>
                <w:rFonts w:eastAsia="Times New Roman" w:cstheme="minorHAnsi"/>
                <w:color w:val="000000"/>
                <w:sz w:val="20"/>
                <w:lang w:eastAsia="en-NZ"/>
              </w:rPr>
            </w:pPr>
            <w:r w:rsidRPr="00CA4713">
              <w:rPr>
                <w:rFonts w:eastAsia="Times New Roman" w:cstheme="minorHAnsi"/>
                <w:color w:val="000000"/>
                <w:sz w:val="20"/>
                <w:lang w:eastAsia="en-NZ"/>
              </w:rPr>
              <w:t>$989</w:t>
            </w:r>
          </w:p>
        </w:tc>
        <w:tc>
          <w:tcPr>
            <w:tcW w:w="1176" w:type="dxa"/>
            <w:shd w:val="clear" w:color="auto" w:fill="auto"/>
            <w:noWrap/>
            <w:hideMark/>
          </w:tcPr>
          <w:p w:rsidR="009C3D9F" w:rsidRPr="00CA4713" w:rsidRDefault="009C3D9F" w:rsidP="009C3D9F">
            <w:pPr>
              <w:spacing w:after="0" w:line="240" w:lineRule="auto"/>
              <w:jc w:val="right"/>
              <w:rPr>
                <w:rFonts w:eastAsia="Times New Roman" w:cstheme="minorHAnsi"/>
                <w:color w:val="000000"/>
                <w:sz w:val="20"/>
                <w:lang w:eastAsia="en-NZ"/>
              </w:rPr>
            </w:pPr>
            <w:r w:rsidRPr="00CA4713">
              <w:rPr>
                <w:rFonts w:eastAsia="Times New Roman" w:cstheme="minorHAnsi"/>
                <w:color w:val="000000"/>
                <w:sz w:val="20"/>
                <w:lang w:eastAsia="en-NZ"/>
              </w:rPr>
              <w:t>$965</w:t>
            </w:r>
          </w:p>
        </w:tc>
        <w:tc>
          <w:tcPr>
            <w:tcW w:w="1258" w:type="dxa"/>
            <w:gridSpan w:val="5"/>
            <w:shd w:val="clear" w:color="auto" w:fill="FFFFFF" w:themeFill="background1"/>
            <w:noWrap/>
            <w:hideMark/>
          </w:tcPr>
          <w:p w:rsidR="009C3D9F" w:rsidRPr="00CA4713" w:rsidRDefault="009C3D9F" w:rsidP="009C3D9F">
            <w:pPr>
              <w:spacing w:after="0" w:line="240" w:lineRule="auto"/>
              <w:jc w:val="right"/>
              <w:rPr>
                <w:rFonts w:eastAsia="Times New Roman" w:cstheme="minorHAnsi"/>
                <w:color w:val="000000"/>
                <w:sz w:val="20"/>
                <w:lang w:eastAsia="en-NZ"/>
              </w:rPr>
            </w:pPr>
            <w:r w:rsidRPr="00CA4713">
              <w:rPr>
                <w:rFonts w:eastAsia="Times New Roman" w:cstheme="minorHAnsi"/>
                <w:color w:val="000000"/>
                <w:sz w:val="20"/>
                <w:lang w:eastAsia="en-NZ"/>
              </w:rPr>
              <w:t>$957</w:t>
            </w:r>
          </w:p>
        </w:tc>
        <w:tc>
          <w:tcPr>
            <w:tcW w:w="1106" w:type="dxa"/>
            <w:shd w:val="clear" w:color="000000" w:fill="D9D9D9"/>
            <w:hideMark/>
          </w:tcPr>
          <w:p w:rsidR="009C3D9F" w:rsidRPr="00CA4713" w:rsidRDefault="009C3D9F" w:rsidP="009C3D9F">
            <w:pPr>
              <w:spacing w:after="0" w:line="240" w:lineRule="auto"/>
              <w:jc w:val="right"/>
              <w:rPr>
                <w:rFonts w:eastAsia="Times New Roman" w:cstheme="minorHAnsi"/>
                <w:color w:val="000000"/>
                <w:sz w:val="20"/>
                <w:lang w:eastAsia="en-NZ"/>
              </w:rPr>
            </w:pPr>
            <w:r w:rsidRPr="00CA4713">
              <w:rPr>
                <w:rFonts w:eastAsia="Times New Roman" w:cstheme="minorHAnsi"/>
                <w:color w:val="000000"/>
                <w:sz w:val="20"/>
                <w:lang w:eastAsia="en-NZ"/>
              </w:rPr>
              <w:t xml:space="preserve"> $     1,005 </w:t>
            </w:r>
          </w:p>
        </w:tc>
        <w:tc>
          <w:tcPr>
            <w:tcW w:w="822" w:type="dxa"/>
            <w:gridSpan w:val="5"/>
            <w:shd w:val="clear" w:color="auto" w:fill="auto"/>
            <w:hideMark/>
          </w:tcPr>
          <w:p w:rsidR="009C3D9F" w:rsidRPr="00CA4713" w:rsidRDefault="009C3D9F" w:rsidP="009C3D9F">
            <w:pPr>
              <w:spacing w:after="0" w:line="240" w:lineRule="auto"/>
              <w:jc w:val="center"/>
              <w:rPr>
                <w:rFonts w:eastAsia="Times New Roman" w:cstheme="minorHAnsi"/>
                <w:color w:val="000000"/>
                <w:sz w:val="20"/>
                <w:lang w:eastAsia="en-NZ"/>
              </w:rPr>
            </w:pPr>
            <w:r w:rsidRPr="00CA4713">
              <w:rPr>
                <w:rFonts w:eastAsia="Times New Roman" w:cstheme="minorHAnsi"/>
                <w:color w:val="000000"/>
                <w:sz w:val="20"/>
                <w:lang w:eastAsia="en-NZ"/>
              </w:rPr>
              <w:t>-5%</w:t>
            </w:r>
          </w:p>
        </w:tc>
        <w:tc>
          <w:tcPr>
            <w:tcW w:w="1293" w:type="dxa"/>
            <w:gridSpan w:val="2"/>
            <w:shd w:val="clear" w:color="auto" w:fill="auto"/>
            <w:hideMark/>
          </w:tcPr>
          <w:p w:rsidR="009C3D9F" w:rsidRDefault="009C3D9F" w:rsidP="009C3D9F">
            <w:pPr>
              <w:spacing w:after="0"/>
              <w:jc w:val="right"/>
            </w:pPr>
            <w:r w:rsidRPr="00C8703B">
              <w:rPr>
                <w:rFonts w:eastAsia="Times New Roman" w:cstheme="minorHAnsi"/>
                <w:color w:val="000000"/>
                <w:sz w:val="20"/>
                <w:lang w:eastAsia="en-NZ"/>
              </w:rPr>
              <w:t>Within 10%</w:t>
            </w:r>
          </w:p>
        </w:tc>
        <w:tc>
          <w:tcPr>
            <w:tcW w:w="4252" w:type="dxa"/>
            <w:shd w:val="clear" w:color="auto" w:fill="auto"/>
          </w:tcPr>
          <w:p w:rsidR="009C3D9F" w:rsidRPr="00CA4713" w:rsidRDefault="009C3D9F" w:rsidP="009C3D9F">
            <w:pPr>
              <w:spacing w:after="0" w:line="240" w:lineRule="auto"/>
              <w:jc w:val="right"/>
              <w:rPr>
                <w:rFonts w:eastAsia="Times New Roman" w:cstheme="minorHAnsi"/>
                <w:color w:val="000000"/>
                <w:sz w:val="20"/>
                <w:lang w:eastAsia="en-NZ"/>
              </w:rPr>
            </w:pPr>
          </w:p>
        </w:tc>
      </w:tr>
      <w:tr w:rsidR="004106CD" w:rsidRPr="00CA4713" w:rsidTr="009C3D9F">
        <w:trPr>
          <w:trHeight w:val="255"/>
        </w:trPr>
        <w:tc>
          <w:tcPr>
            <w:tcW w:w="4394" w:type="dxa"/>
            <w:gridSpan w:val="3"/>
            <w:tcBorders>
              <w:bottom w:val="nil"/>
            </w:tcBorders>
            <w:shd w:val="clear" w:color="auto" w:fill="009999"/>
            <w:hideMark/>
          </w:tcPr>
          <w:p w:rsidR="00546A26" w:rsidRPr="00CA4713" w:rsidRDefault="00546A26" w:rsidP="004106CD">
            <w:pPr>
              <w:spacing w:after="0" w:line="240" w:lineRule="auto"/>
              <w:rPr>
                <w:rFonts w:eastAsia="Times New Roman" w:cstheme="minorHAnsi"/>
                <w:b/>
                <w:bCs/>
                <w:color w:val="FFFFFF"/>
                <w:sz w:val="24"/>
                <w:lang w:eastAsia="en-NZ"/>
              </w:rPr>
            </w:pPr>
            <w:r w:rsidRPr="00CA4713">
              <w:rPr>
                <w:rFonts w:eastAsia="Times New Roman" w:cstheme="minorHAnsi"/>
                <w:b/>
                <w:bCs/>
                <w:color w:val="FFFFFF"/>
                <w:sz w:val="24"/>
                <w:lang w:eastAsia="en-NZ"/>
              </w:rPr>
              <w:t>5.2 Community Support</w:t>
            </w:r>
          </w:p>
        </w:tc>
        <w:tc>
          <w:tcPr>
            <w:tcW w:w="1150" w:type="dxa"/>
            <w:gridSpan w:val="3"/>
            <w:tcBorders>
              <w:bottom w:val="nil"/>
            </w:tcBorders>
            <w:shd w:val="clear" w:color="auto" w:fill="009999"/>
            <w:noWrap/>
            <w:hideMark/>
          </w:tcPr>
          <w:p w:rsidR="00546A26" w:rsidRPr="00CA4713" w:rsidRDefault="00546A26" w:rsidP="004106CD">
            <w:pPr>
              <w:spacing w:after="0" w:line="240" w:lineRule="auto"/>
              <w:jc w:val="right"/>
              <w:rPr>
                <w:rFonts w:eastAsia="Times New Roman" w:cstheme="minorHAnsi"/>
                <w:color w:val="000000"/>
                <w:sz w:val="24"/>
                <w:lang w:eastAsia="en-NZ"/>
              </w:rPr>
            </w:pPr>
          </w:p>
        </w:tc>
        <w:tc>
          <w:tcPr>
            <w:tcW w:w="1176" w:type="dxa"/>
            <w:tcBorders>
              <w:bottom w:val="nil"/>
            </w:tcBorders>
            <w:shd w:val="clear" w:color="auto" w:fill="009999"/>
            <w:noWrap/>
            <w:hideMark/>
          </w:tcPr>
          <w:p w:rsidR="00546A26" w:rsidRPr="00CA4713" w:rsidRDefault="00546A26" w:rsidP="004106CD">
            <w:pPr>
              <w:spacing w:after="0" w:line="240" w:lineRule="auto"/>
              <w:jc w:val="right"/>
              <w:rPr>
                <w:rFonts w:eastAsia="Times New Roman" w:cstheme="minorHAnsi"/>
                <w:color w:val="000000"/>
                <w:sz w:val="24"/>
                <w:lang w:eastAsia="en-NZ"/>
              </w:rPr>
            </w:pPr>
          </w:p>
        </w:tc>
        <w:tc>
          <w:tcPr>
            <w:tcW w:w="1258" w:type="dxa"/>
            <w:gridSpan w:val="5"/>
            <w:tcBorders>
              <w:bottom w:val="nil"/>
            </w:tcBorders>
            <w:shd w:val="clear" w:color="auto" w:fill="009999"/>
            <w:noWrap/>
            <w:hideMark/>
          </w:tcPr>
          <w:p w:rsidR="00546A26" w:rsidRPr="00CA4713" w:rsidRDefault="00546A26" w:rsidP="004106CD">
            <w:pPr>
              <w:spacing w:after="0" w:line="240" w:lineRule="auto"/>
              <w:jc w:val="right"/>
              <w:rPr>
                <w:rFonts w:eastAsia="Times New Roman" w:cstheme="minorHAnsi"/>
                <w:color w:val="000000"/>
                <w:sz w:val="24"/>
                <w:lang w:eastAsia="en-NZ"/>
              </w:rPr>
            </w:pPr>
          </w:p>
        </w:tc>
        <w:tc>
          <w:tcPr>
            <w:tcW w:w="1106" w:type="dxa"/>
            <w:tcBorders>
              <w:bottom w:val="nil"/>
            </w:tcBorders>
            <w:shd w:val="clear" w:color="auto" w:fill="009999"/>
            <w:hideMark/>
          </w:tcPr>
          <w:p w:rsidR="00546A26" w:rsidRPr="00CA4713" w:rsidRDefault="00546A26" w:rsidP="004106CD">
            <w:pPr>
              <w:spacing w:after="0" w:line="240" w:lineRule="auto"/>
              <w:rPr>
                <w:rFonts w:eastAsia="Times New Roman" w:cstheme="minorHAnsi"/>
                <w:b/>
                <w:bCs/>
                <w:color w:val="FFFFFF"/>
                <w:sz w:val="24"/>
                <w:lang w:eastAsia="en-NZ"/>
              </w:rPr>
            </w:pPr>
            <w:r w:rsidRPr="00CA4713">
              <w:rPr>
                <w:rFonts w:eastAsia="Times New Roman" w:cstheme="minorHAnsi"/>
                <w:b/>
                <w:bCs/>
                <w:color w:val="FFFFFF"/>
                <w:sz w:val="24"/>
                <w:lang w:eastAsia="en-NZ"/>
              </w:rPr>
              <w:t> </w:t>
            </w:r>
          </w:p>
        </w:tc>
        <w:tc>
          <w:tcPr>
            <w:tcW w:w="822" w:type="dxa"/>
            <w:gridSpan w:val="5"/>
            <w:tcBorders>
              <w:bottom w:val="nil"/>
            </w:tcBorders>
            <w:shd w:val="clear" w:color="auto" w:fill="009999"/>
            <w:hideMark/>
          </w:tcPr>
          <w:p w:rsidR="00546A26" w:rsidRPr="00CA4713" w:rsidRDefault="00546A26" w:rsidP="004106CD">
            <w:pPr>
              <w:spacing w:after="0" w:line="240" w:lineRule="auto"/>
              <w:jc w:val="center"/>
              <w:rPr>
                <w:rFonts w:eastAsia="Times New Roman" w:cstheme="minorHAnsi"/>
                <w:b/>
                <w:bCs/>
                <w:color w:val="FFFFFF"/>
                <w:sz w:val="24"/>
                <w:lang w:eastAsia="en-NZ"/>
              </w:rPr>
            </w:pPr>
          </w:p>
        </w:tc>
        <w:tc>
          <w:tcPr>
            <w:tcW w:w="1293" w:type="dxa"/>
            <w:gridSpan w:val="2"/>
            <w:tcBorders>
              <w:bottom w:val="nil"/>
            </w:tcBorders>
            <w:shd w:val="clear" w:color="auto" w:fill="009999"/>
            <w:hideMark/>
          </w:tcPr>
          <w:p w:rsidR="00546A26" w:rsidRPr="00CA4713" w:rsidRDefault="00546A26" w:rsidP="004106CD">
            <w:pPr>
              <w:spacing w:after="0" w:line="240" w:lineRule="auto"/>
              <w:jc w:val="center"/>
              <w:rPr>
                <w:rFonts w:eastAsia="Times New Roman" w:cstheme="minorHAnsi"/>
                <w:b/>
                <w:bCs/>
                <w:color w:val="FFFFFF"/>
                <w:sz w:val="24"/>
                <w:lang w:eastAsia="en-NZ"/>
              </w:rPr>
            </w:pPr>
          </w:p>
        </w:tc>
        <w:tc>
          <w:tcPr>
            <w:tcW w:w="4252" w:type="dxa"/>
            <w:tcBorders>
              <w:bottom w:val="nil"/>
            </w:tcBorders>
            <w:shd w:val="clear" w:color="auto" w:fill="009999"/>
            <w:hideMark/>
          </w:tcPr>
          <w:p w:rsidR="00546A26" w:rsidRPr="00CA4713" w:rsidRDefault="00546A26" w:rsidP="004106CD">
            <w:pPr>
              <w:spacing w:after="0" w:line="240" w:lineRule="auto"/>
              <w:rPr>
                <w:rFonts w:eastAsia="Times New Roman" w:cstheme="minorHAnsi"/>
                <w:color w:val="000000"/>
                <w:sz w:val="24"/>
                <w:lang w:eastAsia="en-NZ"/>
              </w:rPr>
            </w:pPr>
          </w:p>
        </w:tc>
      </w:tr>
      <w:tr w:rsidR="00546A26" w:rsidRPr="00CA4713" w:rsidTr="009C3D9F">
        <w:trPr>
          <w:trHeight w:val="315"/>
        </w:trPr>
        <w:tc>
          <w:tcPr>
            <w:tcW w:w="15451" w:type="dxa"/>
            <w:gridSpan w:val="21"/>
            <w:tcBorders>
              <w:top w:val="nil"/>
              <w:bottom w:val="single" w:sz="4" w:space="0" w:color="FFFFFF" w:themeColor="background1"/>
            </w:tcBorders>
            <w:shd w:val="clear" w:color="auto" w:fill="DAEEF3" w:themeFill="accent5" w:themeFillTint="33"/>
            <w:hideMark/>
          </w:tcPr>
          <w:p w:rsidR="00546A26" w:rsidRPr="00407579" w:rsidRDefault="00546A26" w:rsidP="004106CD">
            <w:pPr>
              <w:spacing w:after="0" w:line="240" w:lineRule="auto"/>
              <w:rPr>
                <w:rFonts w:eastAsia="Times New Roman" w:cstheme="minorHAnsi"/>
                <w:b/>
                <w:color w:val="000000" w:themeColor="text1"/>
                <w:sz w:val="20"/>
                <w:szCs w:val="20"/>
                <w:lang w:eastAsia="en-NZ"/>
              </w:rPr>
            </w:pPr>
            <w:r w:rsidRPr="00F45CA3">
              <w:rPr>
                <w:rFonts w:eastAsia="Times New Roman" w:cstheme="minorHAnsi"/>
                <w:b/>
                <w:color w:val="000000" w:themeColor="text1"/>
                <w:sz w:val="20"/>
                <w:szCs w:val="20"/>
                <w:lang w:eastAsia="en-NZ"/>
              </w:rPr>
              <w:t>Libraries experience</w:t>
            </w:r>
          </w:p>
        </w:tc>
      </w:tr>
      <w:tr w:rsidR="00546A26" w:rsidRPr="00CA4713" w:rsidTr="009C3D9F">
        <w:trPr>
          <w:trHeight w:val="203"/>
        </w:trPr>
        <w:tc>
          <w:tcPr>
            <w:tcW w:w="4394" w:type="dxa"/>
            <w:gridSpan w:val="3"/>
            <w:tcBorders>
              <w:top w:val="single" w:sz="4" w:space="0" w:color="FFFFFF" w:themeColor="background1"/>
            </w:tcBorders>
            <w:shd w:val="clear" w:color="auto" w:fill="auto"/>
            <w:hideMark/>
          </w:tcPr>
          <w:p w:rsidR="00546A26" w:rsidRPr="00CA4713" w:rsidRDefault="00546A26" w:rsidP="004106CD">
            <w:pPr>
              <w:spacing w:after="0" w:line="240" w:lineRule="auto"/>
              <w:rPr>
                <w:rFonts w:eastAsia="Times New Roman" w:cstheme="minorHAnsi"/>
                <w:color w:val="000000"/>
                <w:sz w:val="20"/>
                <w:lang w:eastAsia="en-NZ"/>
              </w:rPr>
            </w:pPr>
            <w:r w:rsidRPr="00CA4713">
              <w:rPr>
                <w:rFonts w:eastAsia="Times New Roman" w:cstheme="minorHAnsi"/>
                <w:color w:val="000000"/>
                <w:sz w:val="20"/>
                <w:lang w:eastAsia="en-NZ"/>
              </w:rPr>
              <w:lastRenderedPageBreak/>
              <w:t>User satisfaction (%) with library services</w:t>
            </w:r>
          </w:p>
        </w:tc>
        <w:tc>
          <w:tcPr>
            <w:tcW w:w="1150" w:type="dxa"/>
            <w:gridSpan w:val="3"/>
            <w:tcBorders>
              <w:top w:val="single" w:sz="4" w:space="0" w:color="FFFFFF" w:themeColor="background1"/>
            </w:tcBorders>
            <w:shd w:val="clear" w:color="auto" w:fill="auto"/>
            <w:noWrap/>
            <w:hideMark/>
          </w:tcPr>
          <w:p w:rsidR="00546A26" w:rsidRPr="00CA4713" w:rsidRDefault="00546A26" w:rsidP="004106CD">
            <w:pPr>
              <w:spacing w:after="0" w:line="240" w:lineRule="auto"/>
              <w:jc w:val="right"/>
              <w:rPr>
                <w:rFonts w:eastAsia="Times New Roman" w:cstheme="minorHAnsi"/>
                <w:color w:val="000000"/>
                <w:sz w:val="20"/>
                <w:lang w:eastAsia="en-NZ"/>
              </w:rPr>
            </w:pPr>
          </w:p>
        </w:tc>
        <w:tc>
          <w:tcPr>
            <w:tcW w:w="1176" w:type="dxa"/>
            <w:tcBorders>
              <w:top w:val="single" w:sz="4" w:space="0" w:color="FFFFFF" w:themeColor="background1"/>
            </w:tcBorders>
            <w:shd w:val="clear" w:color="auto" w:fill="auto"/>
            <w:noWrap/>
            <w:hideMark/>
          </w:tcPr>
          <w:p w:rsidR="00546A26" w:rsidRPr="00CA4713" w:rsidRDefault="00546A26" w:rsidP="004106CD">
            <w:pPr>
              <w:spacing w:after="0" w:line="240" w:lineRule="auto"/>
              <w:jc w:val="right"/>
              <w:rPr>
                <w:rFonts w:eastAsia="Times New Roman" w:cstheme="minorHAnsi"/>
                <w:color w:val="000000"/>
                <w:sz w:val="20"/>
                <w:lang w:eastAsia="en-NZ"/>
              </w:rPr>
            </w:pPr>
            <w:r w:rsidRPr="00CA4713">
              <w:rPr>
                <w:rFonts w:eastAsia="Times New Roman" w:cstheme="minorHAnsi"/>
                <w:color w:val="000000"/>
                <w:sz w:val="20"/>
                <w:lang w:eastAsia="en-NZ"/>
              </w:rPr>
              <w:t>New</w:t>
            </w:r>
          </w:p>
        </w:tc>
        <w:tc>
          <w:tcPr>
            <w:tcW w:w="1258" w:type="dxa"/>
            <w:gridSpan w:val="5"/>
            <w:tcBorders>
              <w:top w:val="single" w:sz="4" w:space="0" w:color="FFFFFF" w:themeColor="background1"/>
            </w:tcBorders>
            <w:shd w:val="clear" w:color="auto" w:fill="auto"/>
            <w:noWrap/>
            <w:hideMark/>
          </w:tcPr>
          <w:p w:rsidR="00546A26" w:rsidRPr="00CA4713" w:rsidRDefault="00546A26" w:rsidP="004106CD">
            <w:pPr>
              <w:spacing w:after="0" w:line="240" w:lineRule="auto"/>
              <w:jc w:val="right"/>
              <w:rPr>
                <w:rFonts w:eastAsia="Times New Roman" w:cstheme="minorHAnsi"/>
                <w:color w:val="000000"/>
                <w:sz w:val="20"/>
                <w:lang w:eastAsia="en-NZ"/>
              </w:rPr>
            </w:pPr>
            <w:r w:rsidRPr="00CA4713">
              <w:rPr>
                <w:rFonts w:eastAsia="Times New Roman" w:cstheme="minorHAnsi"/>
                <w:color w:val="000000"/>
                <w:sz w:val="20"/>
                <w:lang w:eastAsia="en-NZ"/>
              </w:rPr>
              <w:t>90%</w:t>
            </w:r>
          </w:p>
        </w:tc>
        <w:tc>
          <w:tcPr>
            <w:tcW w:w="1106" w:type="dxa"/>
            <w:tcBorders>
              <w:top w:val="single" w:sz="4" w:space="0" w:color="FFFFFF" w:themeColor="background1"/>
            </w:tcBorders>
            <w:shd w:val="clear" w:color="000000" w:fill="D9D9D9"/>
            <w:hideMark/>
          </w:tcPr>
          <w:p w:rsidR="00546A26" w:rsidRPr="00CA4713" w:rsidRDefault="00546A26" w:rsidP="004106CD">
            <w:pPr>
              <w:spacing w:after="0" w:line="240" w:lineRule="auto"/>
              <w:jc w:val="right"/>
              <w:rPr>
                <w:rFonts w:eastAsia="Times New Roman" w:cstheme="minorHAnsi"/>
                <w:color w:val="000000"/>
                <w:sz w:val="20"/>
                <w:lang w:eastAsia="en-NZ"/>
              </w:rPr>
            </w:pPr>
            <w:r w:rsidRPr="00CA4713">
              <w:rPr>
                <w:rFonts w:eastAsia="Times New Roman" w:cstheme="minorHAnsi"/>
                <w:color w:val="000000"/>
                <w:sz w:val="20"/>
                <w:lang w:eastAsia="en-NZ"/>
              </w:rPr>
              <w:t>90%</w:t>
            </w:r>
          </w:p>
        </w:tc>
        <w:tc>
          <w:tcPr>
            <w:tcW w:w="831" w:type="dxa"/>
            <w:gridSpan w:val="6"/>
            <w:tcBorders>
              <w:top w:val="single" w:sz="4" w:space="0" w:color="FFFFFF" w:themeColor="background1"/>
            </w:tcBorders>
            <w:shd w:val="clear" w:color="auto" w:fill="auto"/>
            <w:hideMark/>
          </w:tcPr>
          <w:p w:rsidR="00546A26" w:rsidRPr="00CA4713" w:rsidRDefault="00546A26" w:rsidP="004106CD">
            <w:pPr>
              <w:spacing w:after="0" w:line="240" w:lineRule="auto"/>
              <w:jc w:val="center"/>
              <w:rPr>
                <w:rFonts w:eastAsia="Times New Roman" w:cstheme="minorHAnsi"/>
                <w:color w:val="000000"/>
                <w:sz w:val="20"/>
                <w:lang w:eastAsia="en-NZ"/>
              </w:rPr>
            </w:pPr>
            <w:r w:rsidRPr="00CA4713">
              <w:rPr>
                <w:rFonts w:eastAsia="Times New Roman" w:cstheme="minorHAnsi"/>
                <w:color w:val="000000"/>
                <w:sz w:val="20"/>
                <w:lang w:eastAsia="en-NZ"/>
              </w:rPr>
              <w:t>0%</w:t>
            </w:r>
          </w:p>
        </w:tc>
        <w:tc>
          <w:tcPr>
            <w:tcW w:w="1284" w:type="dxa"/>
            <w:tcBorders>
              <w:top w:val="single" w:sz="4" w:space="0" w:color="FFFFFF" w:themeColor="background1"/>
            </w:tcBorders>
            <w:shd w:val="clear" w:color="auto" w:fill="auto"/>
            <w:hideMark/>
          </w:tcPr>
          <w:p w:rsidR="00546A26" w:rsidRPr="00CA4713" w:rsidRDefault="009C3D9F" w:rsidP="009C3D9F">
            <w:pPr>
              <w:spacing w:after="0"/>
              <w:jc w:val="right"/>
              <w:rPr>
                <w:rFonts w:cstheme="minorHAnsi"/>
              </w:rPr>
            </w:pPr>
            <w:r>
              <w:rPr>
                <w:rFonts w:eastAsia="Times New Roman" w:cstheme="minorHAnsi"/>
                <w:color w:val="000000"/>
                <w:sz w:val="20"/>
                <w:lang w:eastAsia="en-NZ"/>
              </w:rPr>
              <w:t>Within 10%</w:t>
            </w:r>
          </w:p>
        </w:tc>
        <w:tc>
          <w:tcPr>
            <w:tcW w:w="4252" w:type="dxa"/>
            <w:tcBorders>
              <w:top w:val="single" w:sz="4" w:space="0" w:color="FFFFFF" w:themeColor="background1"/>
            </w:tcBorders>
            <w:shd w:val="clear" w:color="auto" w:fill="auto"/>
            <w:hideMark/>
          </w:tcPr>
          <w:p w:rsidR="00546A26" w:rsidRPr="00CA4713" w:rsidRDefault="00546A26" w:rsidP="004106CD">
            <w:pPr>
              <w:spacing w:after="0" w:line="240" w:lineRule="auto"/>
              <w:rPr>
                <w:rFonts w:eastAsia="Times New Roman" w:cstheme="minorHAnsi"/>
                <w:color w:val="000000"/>
                <w:sz w:val="20"/>
                <w:lang w:eastAsia="en-NZ"/>
              </w:rPr>
            </w:pPr>
          </w:p>
        </w:tc>
      </w:tr>
      <w:tr w:rsidR="00546A26" w:rsidRPr="00CA4713" w:rsidTr="009C3D9F">
        <w:trPr>
          <w:trHeight w:val="270"/>
        </w:trPr>
        <w:tc>
          <w:tcPr>
            <w:tcW w:w="4394" w:type="dxa"/>
            <w:gridSpan w:val="3"/>
            <w:shd w:val="clear" w:color="auto" w:fill="auto"/>
            <w:hideMark/>
          </w:tcPr>
          <w:p w:rsidR="00546A26" w:rsidRPr="00CA4713" w:rsidRDefault="00546A26" w:rsidP="004106CD">
            <w:pPr>
              <w:spacing w:after="0" w:line="240" w:lineRule="auto"/>
              <w:rPr>
                <w:rFonts w:eastAsia="Times New Roman" w:cstheme="minorHAnsi"/>
                <w:color w:val="000000"/>
                <w:sz w:val="20"/>
                <w:lang w:eastAsia="en-NZ"/>
              </w:rPr>
            </w:pPr>
            <w:r w:rsidRPr="00CA4713">
              <w:rPr>
                <w:rFonts w:eastAsia="Times New Roman" w:cstheme="minorHAnsi"/>
                <w:color w:val="000000"/>
                <w:sz w:val="20"/>
                <w:lang w:eastAsia="en-NZ"/>
              </w:rPr>
              <w:t>User satisfaction (%) with library facilities</w:t>
            </w:r>
          </w:p>
        </w:tc>
        <w:tc>
          <w:tcPr>
            <w:tcW w:w="1150" w:type="dxa"/>
            <w:gridSpan w:val="3"/>
            <w:shd w:val="clear" w:color="auto" w:fill="auto"/>
          </w:tcPr>
          <w:p w:rsidR="00546A26" w:rsidRPr="00CA4713" w:rsidRDefault="00546A26" w:rsidP="004106CD">
            <w:pPr>
              <w:spacing w:after="0" w:line="240" w:lineRule="auto"/>
              <w:rPr>
                <w:rFonts w:eastAsia="Times New Roman" w:cstheme="minorHAnsi"/>
                <w:color w:val="000000"/>
                <w:sz w:val="20"/>
                <w:lang w:eastAsia="en-NZ"/>
              </w:rPr>
            </w:pPr>
          </w:p>
        </w:tc>
        <w:tc>
          <w:tcPr>
            <w:tcW w:w="1176" w:type="dxa"/>
            <w:shd w:val="clear" w:color="auto" w:fill="auto"/>
            <w:noWrap/>
            <w:hideMark/>
          </w:tcPr>
          <w:p w:rsidR="00546A26" w:rsidRPr="00CA4713" w:rsidRDefault="00546A26" w:rsidP="004106CD">
            <w:pPr>
              <w:spacing w:after="0" w:line="240" w:lineRule="auto"/>
              <w:jc w:val="right"/>
              <w:rPr>
                <w:rFonts w:eastAsia="Times New Roman" w:cstheme="minorHAnsi"/>
                <w:color w:val="000000"/>
                <w:sz w:val="20"/>
                <w:lang w:eastAsia="en-NZ"/>
              </w:rPr>
            </w:pPr>
            <w:r w:rsidRPr="00CA4713">
              <w:rPr>
                <w:rFonts w:eastAsia="Times New Roman" w:cstheme="minorHAnsi"/>
                <w:color w:val="000000"/>
                <w:sz w:val="20"/>
                <w:lang w:eastAsia="en-NZ"/>
              </w:rPr>
              <w:t>New</w:t>
            </w:r>
          </w:p>
        </w:tc>
        <w:tc>
          <w:tcPr>
            <w:tcW w:w="1258" w:type="dxa"/>
            <w:gridSpan w:val="5"/>
            <w:shd w:val="clear" w:color="auto" w:fill="auto"/>
            <w:noWrap/>
            <w:hideMark/>
          </w:tcPr>
          <w:p w:rsidR="00546A26" w:rsidRPr="00CA4713" w:rsidRDefault="00546A26" w:rsidP="004106CD">
            <w:pPr>
              <w:spacing w:after="0" w:line="240" w:lineRule="auto"/>
              <w:jc w:val="right"/>
              <w:rPr>
                <w:rFonts w:eastAsia="Times New Roman" w:cstheme="minorHAnsi"/>
                <w:color w:val="000000"/>
                <w:sz w:val="20"/>
                <w:lang w:eastAsia="en-NZ"/>
              </w:rPr>
            </w:pPr>
            <w:r w:rsidRPr="00CA4713">
              <w:rPr>
                <w:rFonts w:eastAsia="Times New Roman" w:cstheme="minorHAnsi"/>
                <w:color w:val="000000"/>
                <w:sz w:val="20"/>
                <w:lang w:eastAsia="en-NZ"/>
              </w:rPr>
              <w:t>80%</w:t>
            </w:r>
          </w:p>
        </w:tc>
        <w:tc>
          <w:tcPr>
            <w:tcW w:w="1106" w:type="dxa"/>
            <w:shd w:val="clear" w:color="000000" w:fill="D9D9D9"/>
            <w:hideMark/>
          </w:tcPr>
          <w:p w:rsidR="00546A26" w:rsidRPr="00CA4713" w:rsidRDefault="00546A26" w:rsidP="004106CD">
            <w:pPr>
              <w:spacing w:after="0" w:line="240" w:lineRule="auto"/>
              <w:jc w:val="right"/>
              <w:rPr>
                <w:rFonts w:eastAsia="Times New Roman" w:cstheme="minorHAnsi"/>
                <w:color w:val="000000"/>
                <w:sz w:val="20"/>
                <w:lang w:eastAsia="en-NZ"/>
              </w:rPr>
            </w:pPr>
            <w:r w:rsidRPr="00CA4713">
              <w:rPr>
                <w:rFonts w:eastAsia="Times New Roman" w:cstheme="minorHAnsi"/>
                <w:color w:val="000000"/>
                <w:sz w:val="20"/>
                <w:lang w:eastAsia="en-NZ"/>
              </w:rPr>
              <w:t>Baseline</w:t>
            </w:r>
          </w:p>
        </w:tc>
        <w:tc>
          <w:tcPr>
            <w:tcW w:w="831" w:type="dxa"/>
            <w:gridSpan w:val="6"/>
            <w:shd w:val="clear" w:color="auto" w:fill="auto"/>
            <w:hideMark/>
          </w:tcPr>
          <w:p w:rsidR="00546A26" w:rsidRPr="00CA4713" w:rsidRDefault="00546A26" w:rsidP="004106CD">
            <w:pPr>
              <w:spacing w:after="0" w:line="240" w:lineRule="auto"/>
              <w:jc w:val="center"/>
              <w:rPr>
                <w:rFonts w:eastAsia="Times New Roman" w:cstheme="minorHAnsi"/>
                <w:color w:val="000000"/>
                <w:sz w:val="20"/>
                <w:lang w:eastAsia="en-NZ"/>
              </w:rPr>
            </w:pPr>
          </w:p>
        </w:tc>
        <w:tc>
          <w:tcPr>
            <w:tcW w:w="1284" w:type="dxa"/>
            <w:shd w:val="clear" w:color="auto" w:fill="auto"/>
            <w:hideMark/>
          </w:tcPr>
          <w:p w:rsidR="00546A26" w:rsidRPr="00CA4713" w:rsidRDefault="00546A26" w:rsidP="004106CD">
            <w:pPr>
              <w:spacing w:after="0"/>
              <w:jc w:val="center"/>
              <w:rPr>
                <w:rFonts w:cstheme="minorHAnsi"/>
              </w:rPr>
            </w:pPr>
          </w:p>
        </w:tc>
        <w:tc>
          <w:tcPr>
            <w:tcW w:w="4252" w:type="dxa"/>
            <w:shd w:val="clear" w:color="auto" w:fill="auto"/>
            <w:hideMark/>
          </w:tcPr>
          <w:p w:rsidR="00546A26" w:rsidRPr="00CA4713" w:rsidRDefault="00546A26" w:rsidP="00B701E7">
            <w:pPr>
              <w:spacing w:after="0" w:line="240" w:lineRule="auto"/>
              <w:rPr>
                <w:rFonts w:eastAsia="Times New Roman" w:cstheme="minorHAnsi"/>
                <w:color w:val="000000"/>
                <w:sz w:val="20"/>
                <w:lang w:eastAsia="en-NZ"/>
              </w:rPr>
            </w:pPr>
            <w:r w:rsidRPr="00CA4713">
              <w:rPr>
                <w:rFonts w:cstheme="minorHAnsi"/>
                <w:color w:val="000000"/>
                <w:sz w:val="20"/>
                <w:szCs w:val="20"/>
              </w:rPr>
              <w:t>This is a new question in the library users</w:t>
            </w:r>
            <w:r w:rsidR="00B701E7">
              <w:rPr>
                <w:rFonts w:cstheme="minorHAnsi"/>
                <w:color w:val="000000"/>
                <w:sz w:val="20"/>
                <w:szCs w:val="20"/>
              </w:rPr>
              <w:t>’</w:t>
            </w:r>
            <w:r w:rsidRPr="00CA4713">
              <w:rPr>
                <w:rFonts w:cstheme="minorHAnsi"/>
                <w:color w:val="000000"/>
                <w:sz w:val="20"/>
                <w:szCs w:val="20"/>
              </w:rPr>
              <w:t xml:space="preserve"> survey. It was conducted at the same time as the Central Library closure. In the </w:t>
            </w:r>
            <w:r w:rsidR="00B701E7">
              <w:rPr>
                <w:rFonts w:cstheme="minorHAnsi"/>
                <w:color w:val="000000"/>
                <w:sz w:val="20"/>
                <w:szCs w:val="20"/>
              </w:rPr>
              <w:t>r</w:t>
            </w:r>
            <w:r w:rsidR="00B701E7" w:rsidRPr="00CA4713">
              <w:rPr>
                <w:rFonts w:cstheme="minorHAnsi"/>
                <w:color w:val="000000"/>
                <w:sz w:val="20"/>
                <w:szCs w:val="20"/>
              </w:rPr>
              <w:t>esident</w:t>
            </w:r>
            <w:r w:rsidR="00B701E7">
              <w:rPr>
                <w:rFonts w:cstheme="minorHAnsi"/>
                <w:color w:val="000000"/>
                <w:sz w:val="20"/>
                <w:szCs w:val="20"/>
              </w:rPr>
              <w:t>s’</w:t>
            </w:r>
            <w:r w:rsidR="00B701E7" w:rsidRPr="00CA4713">
              <w:rPr>
                <w:rFonts w:cstheme="minorHAnsi"/>
                <w:color w:val="000000"/>
                <w:sz w:val="20"/>
                <w:szCs w:val="20"/>
              </w:rPr>
              <w:t xml:space="preserve"> </w:t>
            </w:r>
            <w:r w:rsidRPr="00CA4713">
              <w:rPr>
                <w:rFonts w:cstheme="minorHAnsi"/>
                <w:color w:val="000000"/>
                <w:sz w:val="20"/>
                <w:szCs w:val="20"/>
              </w:rPr>
              <w:t>survey many expressed concern over the closure.</w:t>
            </w:r>
          </w:p>
        </w:tc>
      </w:tr>
      <w:tr w:rsidR="00546A26" w:rsidRPr="00CA4713" w:rsidTr="009C3D9F">
        <w:trPr>
          <w:trHeight w:val="270"/>
        </w:trPr>
        <w:tc>
          <w:tcPr>
            <w:tcW w:w="4394" w:type="dxa"/>
            <w:gridSpan w:val="3"/>
            <w:tcBorders>
              <w:bottom w:val="single" w:sz="4" w:space="0" w:color="009999"/>
            </w:tcBorders>
            <w:shd w:val="clear" w:color="auto" w:fill="auto"/>
            <w:hideMark/>
          </w:tcPr>
          <w:p w:rsidR="00546A26" w:rsidRPr="00CA4713" w:rsidRDefault="00546A26" w:rsidP="004106CD">
            <w:pPr>
              <w:spacing w:after="0" w:line="240" w:lineRule="auto"/>
              <w:rPr>
                <w:rFonts w:eastAsia="Times New Roman" w:cstheme="minorHAnsi"/>
                <w:color w:val="000000"/>
                <w:sz w:val="20"/>
                <w:lang w:eastAsia="en-NZ"/>
              </w:rPr>
            </w:pPr>
            <w:r w:rsidRPr="00CA4713">
              <w:rPr>
                <w:rFonts w:eastAsia="Times New Roman" w:cstheme="minorHAnsi"/>
                <w:color w:val="000000"/>
                <w:sz w:val="20"/>
                <w:lang w:eastAsia="en-NZ"/>
              </w:rPr>
              <w:t>User satisfaction (%) with library collection (physical)</w:t>
            </w:r>
          </w:p>
        </w:tc>
        <w:tc>
          <w:tcPr>
            <w:tcW w:w="1150" w:type="dxa"/>
            <w:gridSpan w:val="3"/>
            <w:tcBorders>
              <w:bottom w:val="single" w:sz="4" w:space="0" w:color="009999"/>
            </w:tcBorders>
            <w:shd w:val="clear" w:color="auto" w:fill="auto"/>
          </w:tcPr>
          <w:p w:rsidR="00546A26" w:rsidRPr="00CA4713" w:rsidRDefault="00546A26" w:rsidP="004106CD">
            <w:pPr>
              <w:spacing w:after="0" w:line="240" w:lineRule="auto"/>
              <w:rPr>
                <w:rFonts w:eastAsia="Times New Roman" w:cstheme="minorHAnsi"/>
                <w:color w:val="000000"/>
                <w:sz w:val="20"/>
                <w:lang w:eastAsia="en-NZ"/>
              </w:rPr>
            </w:pPr>
          </w:p>
        </w:tc>
        <w:tc>
          <w:tcPr>
            <w:tcW w:w="1176" w:type="dxa"/>
            <w:tcBorders>
              <w:bottom w:val="single" w:sz="4" w:space="0" w:color="009999"/>
            </w:tcBorders>
            <w:shd w:val="clear" w:color="auto" w:fill="auto"/>
            <w:noWrap/>
            <w:hideMark/>
          </w:tcPr>
          <w:p w:rsidR="00546A26" w:rsidRPr="00CA4713" w:rsidRDefault="00546A26" w:rsidP="004106CD">
            <w:pPr>
              <w:spacing w:after="0" w:line="240" w:lineRule="auto"/>
              <w:jc w:val="right"/>
              <w:rPr>
                <w:rFonts w:eastAsia="Times New Roman" w:cstheme="minorHAnsi"/>
                <w:color w:val="000000"/>
                <w:sz w:val="20"/>
                <w:lang w:eastAsia="en-NZ"/>
              </w:rPr>
            </w:pPr>
            <w:r w:rsidRPr="00CA4713">
              <w:rPr>
                <w:rFonts w:eastAsia="Times New Roman" w:cstheme="minorHAnsi"/>
                <w:color w:val="000000"/>
                <w:sz w:val="20"/>
                <w:lang w:eastAsia="en-NZ"/>
              </w:rPr>
              <w:t>New</w:t>
            </w:r>
          </w:p>
        </w:tc>
        <w:tc>
          <w:tcPr>
            <w:tcW w:w="1258" w:type="dxa"/>
            <w:gridSpan w:val="5"/>
            <w:tcBorders>
              <w:bottom w:val="single" w:sz="4" w:space="0" w:color="009999"/>
            </w:tcBorders>
            <w:shd w:val="clear" w:color="auto" w:fill="auto"/>
            <w:noWrap/>
            <w:hideMark/>
          </w:tcPr>
          <w:p w:rsidR="00546A26" w:rsidRPr="00CA4713" w:rsidRDefault="00546A26" w:rsidP="004106CD">
            <w:pPr>
              <w:spacing w:after="0" w:line="240" w:lineRule="auto"/>
              <w:jc w:val="right"/>
              <w:rPr>
                <w:rFonts w:eastAsia="Times New Roman" w:cstheme="minorHAnsi"/>
                <w:color w:val="000000"/>
                <w:sz w:val="20"/>
                <w:lang w:eastAsia="en-NZ"/>
              </w:rPr>
            </w:pPr>
            <w:r w:rsidRPr="00CA4713">
              <w:rPr>
                <w:rFonts w:eastAsia="Times New Roman" w:cstheme="minorHAnsi"/>
                <w:color w:val="000000"/>
                <w:sz w:val="20"/>
                <w:lang w:eastAsia="en-NZ"/>
              </w:rPr>
              <w:t>86%</w:t>
            </w:r>
          </w:p>
        </w:tc>
        <w:tc>
          <w:tcPr>
            <w:tcW w:w="1106" w:type="dxa"/>
            <w:tcBorders>
              <w:bottom w:val="single" w:sz="4" w:space="0" w:color="009999"/>
            </w:tcBorders>
            <w:shd w:val="clear" w:color="000000" w:fill="D9D9D9"/>
            <w:hideMark/>
          </w:tcPr>
          <w:p w:rsidR="00546A26" w:rsidRPr="00CA4713" w:rsidRDefault="00546A26" w:rsidP="004106CD">
            <w:pPr>
              <w:spacing w:after="0" w:line="240" w:lineRule="auto"/>
              <w:jc w:val="right"/>
              <w:rPr>
                <w:rFonts w:eastAsia="Times New Roman" w:cstheme="minorHAnsi"/>
                <w:color w:val="000000"/>
                <w:sz w:val="20"/>
                <w:lang w:eastAsia="en-NZ"/>
              </w:rPr>
            </w:pPr>
            <w:r w:rsidRPr="00CA4713">
              <w:rPr>
                <w:rFonts w:eastAsia="Times New Roman" w:cstheme="minorHAnsi"/>
                <w:color w:val="000000"/>
                <w:sz w:val="20"/>
                <w:lang w:eastAsia="en-NZ"/>
              </w:rPr>
              <w:t>75%</w:t>
            </w:r>
          </w:p>
        </w:tc>
        <w:tc>
          <w:tcPr>
            <w:tcW w:w="831" w:type="dxa"/>
            <w:gridSpan w:val="6"/>
            <w:tcBorders>
              <w:bottom w:val="single" w:sz="4" w:space="0" w:color="009999"/>
            </w:tcBorders>
            <w:shd w:val="clear" w:color="auto" w:fill="auto"/>
            <w:hideMark/>
          </w:tcPr>
          <w:p w:rsidR="00546A26" w:rsidRPr="00CA4713" w:rsidRDefault="00546A26" w:rsidP="004106CD">
            <w:pPr>
              <w:spacing w:after="0" w:line="240" w:lineRule="auto"/>
              <w:jc w:val="center"/>
              <w:rPr>
                <w:rFonts w:eastAsia="Times New Roman" w:cstheme="minorHAnsi"/>
                <w:color w:val="000000"/>
                <w:sz w:val="20"/>
                <w:lang w:eastAsia="en-NZ"/>
              </w:rPr>
            </w:pPr>
            <w:r w:rsidRPr="00CA4713">
              <w:rPr>
                <w:rFonts w:eastAsia="Times New Roman" w:cstheme="minorHAnsi"/>
                <w:color w:val="000000"/>
                <w:sz w:val="20"/>
                <w:lang w:eastAsia="en-NZ"/>
              </w:rPr>
              <w:t>15%</w:t>
            </w:r>
          </w:p>
        </w:tc>
        <w:tc>
          <w:tcPr>
            <w:tcW w:w="1284" w:type="dxa"/>
            <w:tcBorders>
              <w:bottom w:val="single" w:sz="4" w:space="0" w:color="009999"/>
            </w:tcBorders>
            <w:shd w:val="clear" w:color="auto" w:fill="auto"/>
            <w:hideMark/>
          </w:tcPr>
          <w:p w:rsidR="00546A26" w:rsidRPr="00CA4713" w:rsidRDefault="00546A26" w:rsidP="009C3D9F">
            <w:pPr>
              <w:spacing w:after="0" w:line="240" w:lineRule="auto"/>
              <w:jc w:val="right"/>
              <w:rPr>
                <w:rFonts w:eastAsia="Times New Roman" w:cstheme="minorHAnsi"/>
                <w:color w:val="000000"/>
                <w:sz w:val="20"/>
                <w:lang w:eastAsia="en-NZ"/>
              </w:rPr>
            </w:pPr>
            <w:r w:rsidRPr="00CA4713">
              <w:rPr>
                <w:rFonts w:eastAsia="Times New Roman" w:cstheme="minorHAnsi"/>
                <w:color w:val="000000"/>
                <w:sz w:val="20"/>
                <w:lang w:eastAsia="en-NZ"/>
              </w:rPr>
              <w:t>exceeded</w:t>
            </w:r>
          </w:p>
        </w:tc>
        <w:tc>
          <w:tcPr>
            <w:tcW w:w="4252" w:type="dxa"/>
            <w:tcBorders>
              <w:bottom w:val="single" w:sz="4" w:space="0" w:color="009999"/>
            </w:tcBorders>
            <w:shd w:val="clear" w:color="auto" w:fill="auto"/>
            <w:hideMark/>
          </w:tcPr>
          <w:p w:rsidR="00546A26" w:rsidRPr="00CA4713" w:rsidRDefault="00546A26" w:rsidP="004106CD">
            <w:pPr>
              <w:spacing w:after="0" w:line="240" w:lineRule="auto"/>
              <w:rPr>
                <w:rFonts w:cstheme="minorHAnsi"/>
                <w:color w:val="000000"/>
                <w:sz w:val="20"/>
                <w:szCs w:val="20"/>
              </w:rPr>
            </w:pPr>
            <w:r w:rsidRPr="00CA4713">
              <w:rPr>
                <w:rFonts w:cstheme="minorHAnsi"/>
                <w:color w:val="000000"/>
                <w:sz w:val="20"/>
                <w:szCs w:val="20"/>
              </w:rPr>
              <w:t>Although ahead of target, the results of survey may include impact of closure of Central Library that happened at the time the survey was conducted.</w:t>
            </w:r>
          </w:p>
        </w:tc>
      </w:tr>
      <w:tr w:rsidR="00546A26" w:rsidRPr="00CA4713" w:rsidTr="009C3D9F">
        <w:trPr>
          <w:trHeight w:val="270"/>
        </w:trPr>
        <w:tc>
          <w:tcPr>
            <w:tcW w:w="4394" w:type="dxa"/>
            <w:gridSpan w:val="3"/>
            <w:tcBorders>
              <w:bottom w:val="single" w:sz="4" w:space="0" w:color="FFFFFF" w:themeColor="background1"/>
            </w:tcBorders>
            <w:shd w:val="clear" w:color="auto" w:fill="auto"/>
            <w:hideMark/>
          </w:tcPr>
          <w:p w:rsidR="00546A26" w:rsidRPr="00CA4713" w:rsidRDefault="00546A26" w:rsidP="00B701E7">
            <w:pPr>
              <w:spacing w:after="0" w:line="240" w:lineRule="auto"/>
              <w:rPr>
                <w:rFonts w:eastAsia="Times New Roman" w:cstheme="minorHAnsi"/>
                <w:color w:val="000000"/>
                <w:sz w:val="20"/>
                <w:lang w:eastAsia="en-NZ"/>
              </w:rPr>
            </w:pPr>
            <w:r w:rsidRPr="00CA4713">
              <w:rPr>
                <w:rFonts w:eastAsia="Times New Roman" w:cstheme="minorHAnsi"/>
                <w:color w:val="000000"/>
                <w:sz w:val="20"/>
                <w:lang w:eastAsia="en-NZ"/>
              </w:rPr>
              <w:t>User satisfaction (%) with library collection (e-</w:t>
            </w:r>
            <w:r w:rsidR="00B701E7">
              <w:rPr>
                <w:rFonts w:eastAsia="Times New Roman" w:cstheme="minorHAnsi"/>
                <w:color w:val="000000"/>
                <w:sz w:val="20"/>
                <w:lang w:eastAsia="en-NZ"/>
              </w:rPr>
              <w:t>L</w:t>
            </w:r>
            <w:r w:rsidR="00B701E7" w:rsidRPr="00CA4713">
              <w:rPr>
                <w:rFonts w:eastAsia="Times New Roman" w:cstheme="minorHAnsi"/>
                <w:color w:val="000000"/>
                <w:sz w:val="20"/>
                <w:lang w:eastAsia="en-NZ"/>
              </w:rPr>
              <w:t>ibrary</w:t>
            </w:r>
            <w:r w:rsidRPr="00CA4713">
              <w:rPr>
                <w:rFonts w:eastAsia="Times New Roman" w:cstheme="minorHAnsi"/>
                <w:color w:val="000000"/>
                <w:sz w:val="20"/>
                <w:lang w:eastAsia="en-NZ"/>
              </w:rPr>
              <w:t>)</w:t>
            </w:r>
          </w:p>
        </w:tc>
        <w:tc>
          <w:tcPr>
            <w:tcW w:w="1150" w:type="dxa"/>
            <w:gridSpan w:val="3"/>
            <w:tcBorders>
              <w:bottom w:val="single" w:sz="4" w:space="0" w:color="FFFFFF" w:themeColor="background1"/>
            </w:tcBorders>
            <w:shd w:val="clear" w:color="auto" w:fill="auto"/>
          </w:tcPr>
          <w:p w:rsidR="00546A26" w:rsidRPr="00CA4713" w:rsidRDefault="00546A26" w:rsidP="004106CD">
            <w:pPr>
              <w:spacing w:after="0" w:line="240" w:lineRule="auto"/>
              <w:jc w:val="right"/>
              <w:rPr>
                <w:rFonts w:eastAsia="Times New Roman" w:cstheme="minorHAnsi"/>
                <w:color w:val="000000"/>
                <w:sz w:val="20"/>
                <w:lang w:eastAsia="en-NZ"/>
              </w:rPr>
            </w:pPr>
            <w:r w:rsidRPr="00CA4713">
              <w:rPr>
                <w:rFonts w:eastAsia="Times New Roman" w:cstheme="minorHAnsi"/>
                <w:color w:val="000000"/>
                <w:sz w:val="20"/>
                <w:lang w:eastAsia="en-NZ"/>
              </w:rPr>
              <w:t>86%</w:t>
            </w:r>
          </w:p>
        </w:tc>
        <w:tc>
          <w:tcPr>
            <w:tcW w:w="1176" w:type="dxa"/>
            <w:tcBorders>
              <w:bottom w:val="single" w:sz="4" w:space="0" w:color="FFFFFF" w:themeColor="background1"/>
            </w:tcBorders>
            <w:shd w:val="clear" w:color="auto" w:fill="auto"/>
            <w:noWrap/>
            <w:hideMark/>
          </w:tcPr>
          <w:p w:rsidR="00546A26" w:rsidRPr="00CA4713" w:rsidRDefault="00546A26" w:rsidP="004106CD">
            <w:pPr>
              <w:spacing w:after="0" w:line="240" w:lineRule="auto"/>
              <w:jc w:val="right"/>
              <w:rPr>
                <w:rFonts w:eastAsia="Times New Roman" w:cstheme="minorHAnsi"/>
                <w:color w:val="000000"/>
                <w:sz w:val="20"/>
                <w:lang w:eastAsia="en-NZ"/>
              </w:rPr>
            </w:pPr>
            <w:r w:rsidRPr="00CA4713">
              <w:rPr>
                <w:rFonts w:eastAsia="Times New Roman" w:cstheme="minorHAnsi"/>
                <w:color w:val="000000"/>
                <w:sz w:val="20"/>
                <w:lang w:eastAsia="en-NZ"/>
              </w:rPr>
              <w:t>86%</w:t>
            </w:r>
          </w:p>
        </w:tc>
        <w:tc>
          <w:tcPr>
            <w:tcW w:w="1258" w:type="dxa"/>
            <w:gridSpan w:val="5"/>
            <w:tcBorders>
              <w:bottom w:val="single" w:sz="4" w:space="0" w:color="FFFFFF" w:themeColor="background1"/>
            </w:tcBorders>
            <w:shd w:val="clear" w:color="auto" w:fill="auto"/>
            <w:noWrap/>
            <w:hideMark/>
          </w:tcPr>
          <w:p w:rsidR="00546A26" w:rsidRPr="00CA4713" w:rsidRDefault="00546A26" w:rsidP="004106CD">
            <w:pPr>
              <w:spacing w:after="0" w:line="240" w:lineRule="auto"/>
              <w:jc w:val="right"/>
              <w:rPr>
                <w:rFonts w:eastAsia="Times New Roman" w:cstheme="minorHAnsi"/>
                <w:color w:val="000000"/>
                <w:sz w:val="20"/>
                <w:lang w:eastAsia="en-NZ"/>
              </w:rPr>
            </w:pPr>
            <w:r w:rsidRPr="00CA4713">
              <w:rPr>
                <w:rFonts w:eastAsia="Times New Roman" w:cstheme="minorHAnsi"/>
                <w:color w:val="000000"/>
                <w:sz w:val="20"/>
                <w:lang w:eastAsia="en-NZ"/>
              </w:rPr>
              <w:t>69%</w:t>
            </w:r>
          </w:p>
        </w:tc>
        <w:tc>
          <w:tcPr>
            <w:tcW w:w="1106" w:type="dxa"/>
            <w:tcBorders>
              <w:bottom w:val="single" w:sz="4" w:space="0" w:color="FFFFFF" w:themeColor="background1"/>
            </w:tcBorders>
            <w:shd w:val="clear" w:color="000000" w:fill="D9D9D9"/>
            <w:hideMark/>
          </w:tcPr>
          <w:p w:rsidR="00546A26" w:rsidRPr="00CA4713" w:rsidRDefault="00546A26" w:rsidP="004106CD">
            <w:pPr>
              <w:spacing w:after="0" w:line="240" w:lineRule="auto"/>
              <w:jc w:val="right"/>
              <w:rPr>
                <w:rFonts w:eastAsia="Times New Roman" w:cstheme="minorHAnsi"/>
                <w:color w:val="000000"/>
                <w:sz w:val="20"/>
                <w:lang w:eastAsia="en-NZ"/>
              </w:rPr>
            </w:pPr>
            <w:r w:rsidRPr="00CA4713">
              <w:rPr>
                <w:rFonts w:eastAsia="Times New Roman" w:cstheme="minorHAnsi"/>
                <w:color w:val="000000"/>
                <w:sz w:val="20"/>
                <w:lang w:eastAsia="en-NZ"/>
              </w:rPr>
              <w:t>80%</w:t>
            </w:r>
          </w:p>
        </w:tc>
        <w:tc>
          <w:tcPr>
            <w:tcW w:w="831" w:type="dxa"/>
            <w:gridSpan w:val="6"/>
            <w:tcBorders>
              <w:bottom w:val="single" w:sz="4" w:space="0" w:color="FFFFFF" w:themeColor="background1"/>
            </w:tcBorders>
            <w:shd w:val="clear" w:color="auto" w:fill="auto"/>
            <w:hideMark/>
          </w:tcPr>
          <w:p w:rsidR="00546A26" w:rsidRPr="00CA4713" w:rsidRDefault="00546A26" w:rsidP="004106CD">
            <w:pPr>
              <w:spacing w:after="0" w:line="240" w:lineRule="auto"/>
              <w:jc w:val="center"/>
              <w:rPr>
                <w:rFonts w:eastAsia="Times New Roman" w:cstheme="minorHAnsi"/>
                <w:color w:val="000000"/>
                <w:sz w:val="20"/>
                <w:lang w:eastAsia="en-NZ"/>
              </w:rPr>
            </w:pPr>
            <w:r w:rsidRPr="00CA4713">
              <w:rPr>
                <w:rFonts w:eastAsia="Times New Roman" w:cstheme="minorHAnsi"/>
                <w:color w:val="000000"/>
                <w:sz w:val="20"/>
                <w:lang w:eastAsia="en-NZ"/>
              </w:rPr>
              <w:t>-14%</w:t>
            </w:r>
          </w:p>
        </w:tc>
        <w:tc>
          <w:tcPr>
            <w:tcW w:w="1284" w:type="dxa"/>
            <w:tcBorders>
              <w:bottom w:val="single" w:sz="4" w:space="0" w:color="FFFFFF" w:themeColor="background1"/>
            </w:tcBorders>
            <w:shd w:val="clear" w:color="auto" w:fill="auto"/>
            <w:hideMark/>
          </w:tcPr>
          <w:p w:rsidR="00546A26" w:rsidRPr="00CA4713" w:rsidRDefault="00546A26" w:rsidP="009C3D9F">
            <w:pPr>
              <w:spacing w:after="0" w:line="240" w:lineRule="auto"/>
              <w:jc w:val="right"/>
              <w:rPr>
                <w:rFonts w:eastAsia="Times New Roman" w:cstheme="minorHAnsi"/>
                <w:color w:val="000000"/>
                <w:sz w:val="20"/>
                <w:lang w:eastAsia="en-NZ"/>
              </w:rPr>
            </w:pPr>
            <w:r w:rsidRPr="00CA4713">
              <w:rPr>
                <w:rFonts w:eastAsia="Times New Roman" w:cstheme="minorHAnsi"/>
                <w:color w:val="000000"/>
                <w:sz w:val="20"/>
                <w:lang w:eastAsia="en-NZ"/>
              </w:rPr>
              <w:t>not met</w:t>
            </w:r>
          </w:p>
        </w:tc>
        <w:tc>
          <w:tcPr>
            <w:tcW w:w="4252" w:type="dxa"/>
            <w:tcBorders>
              <w:bottom w:val="single" w:sz="4" w:space="0" w:color="FFFFFF" w:themeColor="background1"/>
            </w:tcBorders>
            <w:shd w:val="clear" w:color="auto" w:fill="auto"/>
          </w:tcPr>
          <w:p w:rsidR="00546A26" w:rsidRPr="00CA4713" w:rsidRDefault="00546A26" w:rsidP="004106CD">
            <w:pPr>
              <w:spacing w:after="0" w:line="240" w:lineRule="auto"/>
              <w:rPr>
                <w:rFonts w:eastAsia="Times New Roman" w:cstheme="minorHAnsi"/>
                <w:color w:val="000000"/>
                <w:sz w:val="20"/>
                <w:lang w:eastAsia="en-NZ"/>
              </w:rPr>
            </w:pPr>
            <w:r w:rsidRPr="00CA4713">
              <w:rPr>
                <w:rFonts w:eastAsia="Times New Roman" w:cstheme="minorHAnsi"/>
                <w:color w:val="000000"/>
                <w:sz w:val="20"/>
                <w:lang w:eastAsia="en-NZ"/>
              </w:rPr>
              <w:t xml:space="preserve">Results of survey should not be compared with previous results because of impact of closure of Central Library </w:t>
            </w:r>
            <w:r w:rsidRPr="00CA4713">
              <w:rPr>
                <w:rFonts w:cstheme="minorHAnsi"/>
                <w:color w:val="000000"/>
                <w:sz w:val="20"/>
                <w:szCs w:val="20"/>
              </w:rPr>
              <w:t xml:space="preserve">that happened </w:t>
            </w:r>
            <w:r w:rsidRPr="00CA4713">
              <w:rPr>
                <w:rFonts w:eastAsia="Times New Roman" w:cstheme="minorHAnsi"/>
                <w:color w:val="000000"/>
                <w:sz w:val="20"/>
                <w:lang w:eastAsia="en-NZ"/>
              </w:rPr>
              <w:t>at the time the survey was conducted.</w:t>
            </w:r>
          </w:p>
        </w:tc>
      </w:tr>
      <w:tr w:rsidR="00546A26" w:rsidRPr="00CA4713" w:rsidTr="009C3D9F">
        <w:trPr>
          <w:trHeight w:val="315"/>
        </w:trPr>
        <w:tc>
          <w:tcPr>
            <w:tcW w:w="15451" w:type="dxa"/>
            <w:gridSpan w:val="21"/>
            <w:tcBorders>
              <w:top w:val="single" w:sz="4" w:space="0" w:color="FFFFFF" w:themeColor="background1"/>
              <w:bottom w:val="single" w:sz="4" w:space="0" w:color="FFFFFF" w:themeColor="background1"/>
            </w:tcBorders>
            <w:shd w:val="clear" w:color="auto" w:fill="DAEEF3" w:themeFill="accent5" w:themeFillTint="33"/>
            <w:hideMark/>
          </w:tcPr>
          <w:p w:rsidR="00546A26" w:rsidRPr="00407579" w:rsidRDefault="00546A26" w:rsidP="009C3D9F">
            <w:pPr>
              <w:spacing w:after="0" w:line="240" w:lineRule="auto"/>
              <w:rPr>
                <w:rFonts w:eastAsia="Times New Roman" w:cstheme="minorHAnsi"/>
                <w:b/>
                <w:color w:val="000000" w:themeColor="text1"/>
                <w:sz w:val="20"/>
                <w:szCs w:val="20"/>
                <w:lang w:eastAsia="en-NZ"/>
              </w:rPr>
            </w:pPr>
            <w:r w:rsidRPr="00F45CA3">
              <w:rPr>
                <w:rFonts w:eastAsia="Times New Roman" w:cstheme="minorHAnsi"/>
                <w:b/>
                <w:color w:val="000000" w:themeColor="text1"/>
                <w:sz w:val="20"/>
                <w:szCs w:val="20"/>
                <w:lang w:eastAsia="en-NZ"/>
              </w:rPr>
              <w:t>Libraries utilisation</w:t>
            </w:r>
          </w:p>
        </w:tc>
      </w:tr>
      <w:tr w:rsidR="00546A26" w:rsidRPr="00CA4713" w:rsidTr="009C3D9F">
        <w:trPr>
          <w:trHeight w:val="77"/>
        </w:trPr>
        <w:tc>
          <w:tcPr>
            <w:tcW w:w="4394" w:type="dxa"/>
            <w:gridSpan w:val="3"/>
            <w:tcBorders>
              <w:top w:val="single" w:sz="4" w:space="0" w:color="FFFFFF" w:themeColor="background1"/>
            </w:tcBorders>
            <w:shd w:val="clear" w:color="auto" w:fill="auto"/>
            <w:hideMark/>
          </w:tcPr>
          <w:p w:rsidR="00546A26" w:rsidRPr="00CA4713" w:rsidRDefault="00546A26" w:rsidP="004106CD">
            <w:pPr>
              <w:spacing w:after="0" w:line="240" w:lineRule="auto"/>
              <w:rPr>
                <w:rFonts w:eastAsia="Times New Roman" w:cstheme="minorHAnsi"/>
                <w:color w:val="000000"/>
                <w:sz w:val="20"/>
                <w:lang w:eastAsia="en-NZ"/>
              </w:rPr>
            </w:pPr>
            <w:r w:rsidRPr="00CA4713">
              <w:rPr>
                <w:rFonts w:eastAsia="Times New Roman" w:cstheme="minorHAnsi"/>
                <w:color w:val="000000"/>
                <w:sz w:val="20"/>
                <w:lang w:eastAsia="en-NZ"/>
              </w:rPr>
              <w:t>Library items issued (physical)</w:t>
            </w:r>
          </w:p>
        </w:tc>
        <w:tc>
          <w:tcPr>
            <w:tcW w:w="1150" w:type="dxa"/>
            <w:gridSpan w:val="3"/>
            <w:tcBorders>
              <w:top w:val="single" w:sz="4" w:space="0" w:color="FFFFFF" w:themeColor="background1"/>
            </w:tcBorders>
            <w:shd w:val="clear" w:color="auto" w:fill="auto"/>
            <w:noWrap/>
            <w:hideMark/>
          </w:tcPr>
          <w:p w:rsidR="00546A26" w:rsidRPr="00CA4713" w:rsidRDefault="00546A26" w:rsidP="004106CD">
            <w:pPr>
              <w:spacing w:after="0" w:line="240" w:lineRule="auto"/>
              <w:jc w:val="right"/>
              <w:rPr>
                <w:rFonts w:eastAsia="Times New Roman" w:cstheme="minorHAnsi"/>
                <w:color w:val="000000"/>
                <w:sz w:val="20"/>
                <w:lang w:eastAsia="en-NZ"/>
              </w:rPr>
            </w:pPr>
            <w:r w:rsidRPr="00CA4713">
              <w:rPr>
                <w:rFonts w:eastAsia="Times New Roman" w:cstheme="minorHAnsi"/>
                <w:color w:val="000000"/>
                <w:sz w:val="20"/>
                <w:lang w:eastAsia="en-NZ"/>
              </w:rPr>
              <w:t xml:space="preserve">2,811,921 </w:t>
            </w:r>
          </w:p>
        </w:tc>
        <w:tc>
          <w:tcPr>
            <w:tcW w:w="1176" w:type="dxa"/>
            <w:tcBorders>
              <w:top w:val="single" w:sz="4" w:space="0" w:color="FFFFFF" w:themeColor="background1"/>
            </w:tcBorders>
            <w:shd w:val="clear" w:color="auto" w:fill="auto"/>
            <w:noWrap/>
            <w:hideMark/>
          </w:tcPr>
          <w:p w:rsidR="00546A26" w:rsidRPr="00CA4713" w:rsidRDefault="00546A26" w:rsidP="004106CD">
            <w:pPr>
              <w:spacing w:after="0" w:line="240" w:lineRule="auto"/>
              <w:jc w:val="right"/>
              <w:rPr>
                <w:rFonts w:eastAsia="Times New Roman" w:cstheme="minorHAnsi"/>
                <w:color w:val="000000"/>
                <w:sz w:val="20"/>
                <w:lang w:eastAsia="en-NZ"/>
              </w:rPr>
            </w:pPr>
            <w:r w:rsidRPr="00CA4713">
              <w:rPr>
                <w:rFonts w:eastAsia="Times New Roman" w:cstheme="minorHAnsi"/>
                <w:color w:val="000000"/>
                <w:sz w:val="20"/>
                <w:lang w:eastAsia="en-NZ"/>
              </w:rPr>
              <w:t xml:space="preserve">2,815,744 </w:t>
            </w:r>
          </w:p>
        </w:tc>
        <w:tc>
          <w:tcPr>
            <w:tcW w:w="1258" w:type="dxa"/>
            <w:gridSpan w:val="5"/>
            <w:tcBorders>
              <w:top w:val="single" w:sz="4" w:space="0" w:color="FFFFFF" w:themeColor="background1"/>
            </w:tcBorders>
            <w:shd w:val="clear" w:color="auto" w:fill="auto"/>
            <w:noWrap/>
            <w:hideMark/>
          </w:tcPr>
          <w:p w:rsidR="00546A26" w:rsidRPr="00CA4713" w:rsidRDefault="00546A26" w:rsidP="004106CD">
            <w:pPr>
              <w:spacing w:after="0" w:line="240" w:lineRule="auto"/>
              <w:jc w:val="right"/>
              <w:rPr>
                <w:rFonts w:eastAsia="Times New Roman" w:cstheme="minorHAnsi"/>
                <w:color w:val="000000"/>
                <w:sz w:val="20"/>
                <w:lang w:eastAsia="en-NZ"/>
              </w:rPr>
            </w:pPr>
            <w:r w:rsidRPr="00CA4713">
              <w:rPr>
                <w:rFonts w:eastAsia="Times New Roman" w:cstheme="minorHAnsi"/>
                <w:color w:val="000000"/>
                <w:sz w:val="20"/>
                <w:lang w:eastAsia="en-NZ"/>
              </w:rPr>
              <w:t xml:space="preserve">2,244,761 </w:t>
            </w:r>
          </w:p>
        </w:tc>
        <w:tc>
          <w:tcPr>
            <w:tcW w:w="1106" w:type="dxa"/>
            <w:tcBorders>
              <w:top w:val="single" w:sz="4" w:space="0" w:color="FFFFFF" w:themeColor="background1"/>
            </w:tcBorders>
            <w:shd w:val="clear" w:color="000000" w:fill="D9D9D9"/>
            <w:hideMark/>
          </w:tcPr>
          <w:p w:rsidR="00546A26" w:rsidRPr="00CA4713" w:rsidRDefault="00546A26" w:rsidP="004106CD">
            <w:pPr>
              <w:spacing w:after="0" w:line="240" w:lineRule="auto"/>
              <w:jc w:val="right"/>
              <w:rPr>
                <w:rFonts w:eastAsia="Times New Roman" w:cstheme="minorHAnsi"/>
                <w:color w:val="000000"/>
                <w:sz w:val="20"/>
                <w:lang w:eastAsia="en-NZ"/>
              </w:rPr>
            </w:pPr>
            <w:r w:rsidRPr="00CA4713">
              <w:rPr>
                <w:rFonts w:eastAsia="Times New Roman" w:cstheme="minorHAnsi"/>
                <w:color w:val="000000"/>
                <w:sz w:val="20"/>
                <w:lang w:eastAsia="en-NZ"/>
              </w:rPr>
              <w:t>Baseline</w:t>
            </w:r>
          </w:p>
        </w:tc>
        <w:tc>
          <w:tcPr>
            <w:tcW w:w="822" w:type="dxa"/>
            <w:gridSpan w:val="5"/>
            <w:tcBorders>
              <w:top w:val="single" w:sz="4" w:space="0" w:color="FFFFFF" w:themeColor="background1"/>
            </w:tcBorders>
            <w:shd w:val="clear" w:color="auto" w:fill="auto"/>
            <w:hideMark/>
          </w:tcPr>
          <w:p w:rsidR="00546A26" w:rsidRPr="00CA4713" w:rsidRDefault="009C3D9F" w:rsidP="004106CD">
            <w:pPr>
              <w:spacing w:after="0" w:line="240" w:lineRule="auto"/>
              <w:jc w:val="center"/>
              <w:rPr>
                <w:rFonts w:eastAsia="Times New Roman" w:cstheme="minorHAnsi"/>
                <w:color w:val="000000"/>
                <w:sz w:val="20"/>
                <w:lang w:eastAsia="en-NZ"/>
              </w:rPr>
            </w:pPr>
            <w:r>
              <w:rPr>
                <w:rFonts w:eastAsia="Times New Roman" w:cstheme="minorHAnsi"/>
                <w:color w:val="000000"/>
                <w:sz w:val="20"/>
                <w:lang w:eastAsia="en-NZ"/>
              </w:rPr>
              <w:t>-20%</w:t>
            </w:r>
          </w:p>
        </w:tc>
        <w:tc>
          <w:tcPr>
            <w:tcW w:w="1293" w:type="dxa"/>
            <w:gridSpan w:val="2"/>
            <w:tcBorders>
              <w:top w:val="single" w:sz="4" w:space="0" w:color="FFFFFF" w:themeColor="background1"/>
            </w:tcBorders>
            <w:shd w:val="clear" w:color="auto" w:fill="auto"/>
            <w:hideMark/>
          </w:tcPr>
          <w:p w:rsidR="00546A26" w:rsidRPr="00CA4713" w:rsidRDefault="009C3D9F" w:rsidP="009C3D9F">
            <w:pPr>
              <w:spacing w:after="0" w:line="240" w:lineRule="auto"/>
              <w:jc w:val="right"/>
              <w:rPr>
                <w:rFonts w:eastAsia="Times New Roman" w:cstheme="minorHAnsi"/>
                <w:color w:val="000000"/>
                <w:sz w:val="20"/>
                <w:lang w:eastAsia="en-NZ"/>
              </w:rPr>
            </w:pPr>
            <w:r>
              <w:rPr>
                <w:rFonts w:eastAsia="Times New Roman" w:cstheme="minorHAnsi"/>
                <w:color w:val="000000"/>
                <w:sz w:val="20"/>
                <w:lang w:eastAsia="en-NZ"/>
              </w:rPr>
              <w:t>not met</w:t>
            </w:r>
          </w:p>
        </w:tc>
        <w:tc>
          <w:tcPr>
            <w:tcW w:w="4252" w:type="dxa"/>
            <w:tcBorders>
              <w:top w:val="single" w:sz="4" w:space="0" w:color="FFFFFF" w:themeColor="background1"/>
            </w:tcBorders>
            <w:shd w:val="clear" w:color="auto" w:fill="auto"/>
            <w:hideMark/>
          </w:tcPr>
          <w:p w:rsidR="00546A26" w:rsidRPr="00CA4713" w:rsidRDefault="00546A26" w:rsidP="004106CD">
            <w:pPr>
              <w:spacing w:after="0" w:line="240" w:lineRule="auto"/>
              <w:rPr>
                <w:rFonts w:eastAsia="Times New Roman" w:cstheme="minorHAnsi"/>
                <w:color w:val="000000"/>
                <w:sz w:val="20"/>
                <w:lang w:eastAsia="en-NZ"/>
              </w:rPr>
            </w:pPr>
          </w:p>
        </w:tc>
      </w:tr>
      <w:tr w:rsidR="00546A26" w:rsidRPr="00CA4713" w:rsidTr="009C3D9F">
        <w:trPr>
          <w:trHeight w:val="322"/>
        </w:trPr>
        <w:tc>
          <w:tcPr>
            <w:tcW w:w="4394" w:type="dxa"/>
            <w:gridSpan w:val="3"/>
            <w:shd w:val="clear" w:color="auto" w:fill="auto"/>
            <w:hideMark/>
          </w:tcPr>
          <w:p w:rsidR="00546A26" w:rsidRPr="00CA4713" w:rsidRDefault="00546A26" w:rsidP="00B701E7">
            <w:pPr>
              <w:spacing w:after="0" w:line="240" w:lineRule="auto"/>
              <w:rPr>
                <w:rFonts w:eastAsia="Times New Roman" w:cstheme="minorHAnsi"/>
                <w:color w:val="000000"/>
                <w:sz w:val="20"/>
                <w:lang w:eastAsia="en-NZ"/>
              </w:rPr>
            </w:pPr>
            <w:r w:rsidRPr="00CA4713">
              <w:rPr>
                <w:rFonts w:eastAsia="Times New Roman" w:cstheme="minorHAnsi"/>
                <w:color w:val="000000"/>
                <w:sz w:val="20"/>
                <w:lang w:eastAsia="en-NZ"/>
              </w:rPr>
              <w:t>Library items issued (e-</w:t>
            </w:r>
            <w:r w:rsidR="00B701E7">
              <w:rPr>
                <w:rFonts w:eastAsia="Times New Roman" w:cstheme="minorHAnsi"/>
                <w:color w:val="000000"/>
                <w:sz w:val="20"/>
                <w:lang w:eastAsia="en-NZ"/>
              </w:rPr>
              <w:t>L</w:t>
            </w:r>
            <w:r w:rsidR="00B701E7" w:rsidRPr="00CA4713">
              <w:rPr>
                <w:rFonts w:eastAsia="Times New Roman" w:cstheme="minorHAnsi"/>
                <w:color w:val="000000"/>
                <w:sz w:val="20"/>
                <w:lang w:eastAsia="en-NZ"/>
              </w:rPr>
              <w:t>ibrary</w:t>
            </w:r>
            <w:r w:rsidRPr="00CA4713">
              <w:rPr>
                <w:rFonts w:eastAsia="Times New Roman" w:cstheme="minorHAnsi"/>
                <w:color w:val="000000"/>
                <w:sz w:val="20"/>
                <w:lang w:eastAsia="en-NZ"/>
              </w:rPr>
              <w:t>)</w:t>
            </w:r>
          </w:p>
        </w:tc>
        <w:tc>
          <w:tcPr>
            <w:tcW w:w="1150" w:type="dxa"/>
            <w:gridSpan w:val="3"/>
            <w:shd w:val="clear" w:color="auto" w:fill="auto"/>
          </w:tcPr>
          <w:p w:rsidR="00546A26" w:rsidRPr="00CA4713" w:rsidRDefault="00546A26" w:rsidP="004106CD">
            <w:pPr>
              <w:spacing w:after="0" w:line="240" w:lineRule="auto"/>
              <w:rPr>
                <w:rFonts w:eastAsia="Times New Roman" w:cstheme="minorHAnsi"/>
                <w:color w:val="000000"/>
                <w:sz w:val="20"/>
                <w:lang w:eastAsia="en-NZ"/>
              </w:rPr>
            </w:pPr>
          </w:p>
        </w:tc>
        <w:tc>
          <w:tcPr>
            <w:tcW w:w="1176" w:type="dxa"/>
            <w:shd w:val="clear" w:color="auto" w:fill="auto"/>
            <w:noWrap/>
            <w:hideMark/>
          </w:tcPr>
          <w:p w:rsidR="00546A26" w:rsidRPr="00CA4713" w:rsidRDefault="00546A26" w:rsidP="004106CD">
            <w:pPr>
              <w:spacing w:after="0" w:line="240" w:lineRule="auto"/>
              <w:jc w:val="right"/>
              <w:rPr>
                <w:rFonts w:eastAsia="Times New Roman" w:cstheme="minorHAnsi"/>
                <w:color w:val="000000"/>
                <w:sz w:val="20"/>
                <w:lang w:eastAsia="en-NZ"/>
              </w:rPr>
            </w:pPr>
            <w:r w:rsidRPr="00CA4713">
              <w:rPr>
                <w:rFonts w:eastAsia="Times New Roman" w:cstheme="minorHAnsi"/>
                <w:color w:val="000000"/>
                <w:sz w:val="20"/>
                <w:lang w:eastAsia="en-NZ"/>
              </w:rPr>
              <w:t xml:space="preserve"> New </w:t>
            </w:r>
          </w:p>
        </w:tc>
        <w:tc>
          <w:tcPr>
            <w:tcW w:w="1258" w:type="dxa"/>
            <w:gridSpan w:val="5"/>
            <w:shd w:val="clear" w:color="auto" w:fill="auto"/>
            <w:noWrap/>
            <w:hideMark/>
          </w:tcPr>
          <w:p w:rsidR="00546A26" w:rsidRPr="00CA4713" w:rsidRDefault="00546A26" w:rsidP="004106CD">
            <w:pPr>
              <w:spacing w:after="0" w:line="240" w:lineRule="auto"/>
              <w:jc w:val="right"/>
              <w:rPr>
                <w:rFonts w:eastAsia="Times New Roman" w:cstheme="minorHAnsi"/>
                <w:color w:val="000000"/>
                <w:sz w:val="20"/>
                <w:lang w:eastAsia="en-NZ"/>
              </w:rPr>
            </w:pPr>
            <w:r w:rsidRPr="00CA4713">
              <w:rPr>
                <w:rFonts w:eastAsia="Times New Roman" w:cstheme="minorHAnsi"/>
                <w:color w:val="000000"/>
                <w:sz w:val="20"/>
                <w:lang w:eastAsia="en-NZ"/>
              </w:rPr>
              <w:t xml:space="preserve">475,745 </w:t>
            </w:r>
          </w:p>
        </w:tc>
        <w:tc>
          <w:tcPr>
            <w:tcW w:w="1106" w:type="dxa"/>
            <w:shd w:val="clear" w:color="000000" w:fill="D9D9D9"/>
            <w:hideMark/>
          </w:tcPr>
          <w:p w:rsidR="00546A26" w:rsidRPr="00CA4713" w:rsidRDefault="00546A26" w:rsidP="004106CD">
            <w:pPr>
              <w:spacing w:after="0" w:line="240" w:lineRule="auto"/>
              <w:jc w:val="right"/>
              <w:rPr>
                <w:rFonts w:eastAsia="Times New Roman" w:cstheme="minorHAnsi"/>
                <w:color w:val="000000"/>
                <w:sz w:val="20"/>
                <w:lang w:eastAsia="en-NZ"/>
              </w:rPr>
            </w:pPr>
            <w:r w:rsidRPr="00CA4713">
              <w:rPr>
                <w:rFonts w:eastAsia="Times New Roman" w:cstheme="minorHAnsi"/>
                <w:color w:val="000000"/>
                <w:sz w:val="20"/>
                <w:lang w:eastAsia="en-NZ"/>
              </w:rPr>
              <w:t>320,000</w:t>
            </w:r>
          </w:p>
        </w:tc>
        <w:tc>
          <w:tcPr>
            <w:tcW w:w="822" w:type="dxa"/>
            <w:gridSpan w:val="5"/>
            <w:shd w:val="clear" w:color="auto" w:fill="auto"/>
            <w:hideMark/>
          </w:tcPr>
          <w:p w:rsidR="00546A26" w:rsidRPr="00CA4713" w:rsidRDefault="00546A26" w:rsidP="004106CD">
            <w:pPr>
              <w:spacing w:after="0" w:line="240" w:lineRule="auto"/>
              <w:jc w:val="center"/>
              <w:rPr>
                <w:rFonts w:eastAsia="Times New Roman" w:cstheme="minorHAnsi"/>
                <w:color w:val="000000"/>
                <w:sz w:val="20"/>
                <w:lang w:eastAsia="en-NZ"/>
              </w:rPr>
            </w:pPr>
            <w:r w:rsidRPr="00CA4713">
              <w:rPr>
                <w:rFonts w:eastAsia="Times New Roman" w:cstheme="minorHAnsi"/>
                <w:color w:val="000000"/>
                <w:sz w:val="20"/>
                <w:lang w:eastAsia="en-NZ"/>
              </w:rPr>
              <w:t>49%</w:t>
            </w:r>
          </w:p>
        </w:tc>
        <w:tc>
          <w:tcPr>
            <w:tcW w:w="1293" w:type="dxa"/>
            <w:gridSpan w:val="2"/>
            <w:shd w:val="clear" w:color="auto" w:fill="auto"/>
            <w:hideMark/>
          </w:tcPr>
          <w:p w:rsidR="00546A26" w:rsidRPr="00CA4713" w:rsidRDefault="00546A26" w:rsidP="004106CD">
            <w:pPr>
              <w:spacing w:after="0" w:line="240" w:lineRule="auto"/>
              <w:jc w:val="center"/>
              <w:rPr>
                <w:rFonts w:eastAsia="Times New Roman" w:cstheme="minorHAnsi"/>
                <w:color w:val="000000"/>
                <w:sz w:val="20"/>
                <w:lang w:eastAsia="en-NZ"/>
              </w:rPr>
            </w:pPr>
            <w:r w:rsidRPr="00CA4713">
              <w:rPr>
                <w:rFonts w:eastAsia="Times New Roman" w:cstheme="minorHAnsi"/>
                <w:color w:val="000000"/>
                <w:sz w:val="20"/>
                <w:lang w:eastAsia="en-NZ"/>
              </w:rPr>
              <w:t>exceeded</w:t>
            </w:r>
          </w:p>
        </w:tc>
        <w:tc>
          <w:tcPr>
            <w:tcW w:w="4252" w:type="dxa"/>
            <w:shd w:val="clear" w:color="auto" w:fill="auto"/>
            <w:hideMark/>
          </w:tcPr>
          <w:p w:rsidR="00546A26" w:rsidRPr="00CA4713" w:rsidRDefault="00546A26" w:rsidP="004106CD">
            <w:pPr>
              <w:spacing w:after="0" w:line="240" w:lineRule="auto"/>
              <w:rPr>
                <w:rFonts w:eastAsia="Times New Roman" w:cstheme="minorHAnsi"/>
                <w:color w:val="000000"/>
                <w:sz w:val="20"/>
                <w:lang w:eastAsia="en-NZ"/>
              </w:rPr>
            </w:pPr>
            <w:r w:rsidRPr="00CA4713">
              <w:rPr>
                <w:rFonts w:cstheme="minorHAnsi"/>
                <w:color w:val="000000"/>
                <w:sz w:val="20"/>
                <w:szCs w:val="20"/>
              </w:rPr>
              <w:t>Although ahead of target, the results of survey may include impact of closure of Central Library that happened at the time the survey was conducted.</w:t>
            </w:r>
          </w:p>
        </w:tc>
      </w:tr>
      <w:tr w:rsidR="00546A26" w:rsidRPr="00CA4713" w:rsidTr="009C3D9F">
        <w:trPr>
          <w:trHeight w:val="270"/>
        </w:trPr>
        <w:tc>
          <w:tcPr>
            <w:tcW w:w="4394" w:type="dxa"/>
            <w:gridSpan w:val="3"/>
            <w:shd w:val="clear" w:color="auto" w:fill="auto"/>
            <w:hideMark/>
          </w:tcPr>
          <w:p w:rsidR="00546A26" w:rsidRPr="00CA4713" w:rsidRDefault="00546A26" w:rsidP="004106CD">
            <w:pPr>
              <w:spacing w:after="0" w:line="240" w:lineRule="auto"/>
              <w:rPr>
                <w:rFonts w:eastAsia="Times New Roman" w:cstheme="minorHAnsi"/>
                <w:color w:val="000000"/>
                <w:sz w:val="20"/>
                <w:lang w:eastAsia="en-NZ"/>
              </w:rPr>
            </w:pPr>
            <w:r w:rsidRPr="00CA4713">
              <w:rPr>
                <w:rFonts w:eastAsia="Times New Roman" w:cstheme="minorHAnsi"/>
                <w:color w:val="000000"/>
                <w:sz w:val="20"/>
                <w:lang w:eastAsia="en-NZ"/>
              </w:rPr>
              <w:t>Estimates of attendees of library programmes</w:t>
            </w:r>
          </w:p>
        </w:tc>
        <w:tc>
          <w:tcPr>
            <w:tcW w:w="1150" w:type="dxa"/>
            <w:gridSpan w:val="3"/>
            <w:shd w:val="clear" w:color="auto" w:fill="auto"/>
          </w:tcPr>
          <w:p w:rsidR="00546A26" w:rsidRPr="00CA4713" w:rsidRDefault="00546A26" w:rsidP="004106CD">
            <w:pPr>
              <w:spacing w:after="0" w:line="240" w:lineRule="auto"/>
              <w:rPr>
                <w:rFonts w:eastAsia="Times New Roman" w:cstheme="minorHAnsi"/>
                <w:color w:val="000000"/>
                <w:sz w:val="20"/>
                <w:lang w:eastAsia="en-NZ"/>
              </w:rPr>
            </w:pPr>
          </w:p>
        </w:tc>
        <w:tc>
          <w:tcPr>
            <w:tcW w:w="1176" w:type="dxa"/>
            <w:shd w:val="clear" w:color="auto" w:fill="auto"/>
            <w:noWrap/>
            <w:hideMark/>
          </w:tcPr>
          <w:p w:rsidR="00546A26" w:rsidRPr="00CA4713" w:rsidRDefault="00546A26" w:rsidP="004106CD">
            <w:pPr>
              <w:spacing w:after="0" w:line="240" w:lineRule="auto"/>
              <w:jc w:val="right"/>
              <w:rPr>
                <w:rFonts w:eastAsia="Times New Roman" w:cstheme="minorHAnsi"/>
                <w:color w:val="000000"/>
                <w:sz w:val="20"/>
                <w:lang w:eastAsia="en-NZ"/>
              </w:rPr>
            </w:pPr>
            <w:r w:rsidRPr="00CA4713">
              <w:rPr>
                <w:rFonts w:eastAsia="Times New Roman" w:cstheme="minorHAnsi"/>
                <w:color w:val="000000"/>
                <w:sz w:val="20"/>
                <w:lang w:eastAsia="en-NZ"/>
              </w:rPr>
              <w:t>New</w:t>
            </w:r>
          </w:p>
        </w:tc>
        <w:tc>
          <w:tcPr>
            <w:tcW w:w="1258" w:type="dxa"/>
            <w:gridSpan w:val="5"/>
            <w:shd w:val="clear" w:color="auto" w:fill="auto"/>
            <w:noWrap/>
            <w:hideMark/>
          </w:tcPr>
          <w:p w:rsidR="00546A26" w:rsidRPr="00CA4713" w:rsidRDefault="00546A26" w:rsidP="004106CD">
            <w:pPr>
              <w:spacing w:after="0" w:line="240" w:lineRule="auto"/>
              <w:jc w:val="right"/>
              <w:rPr>
                <w:rFonts w:eastAsia="Times New Roman" w:cstheme="minorHAnsi"/>
                <w:color w:val="000000"/>
                <w:sz w:val="20"/>
                <w:lang w:eastAsia="en-NZ"/>
              </w:rPr>
            </w:pPr>
            <w:r w:rsidRPr="00CA4713">
              <w:rPr>
                <w:rFonts w:eastAsia="Times New Roman" w:cstheme="minorHAnsi"/>
                <w:color w:val="000000"/>
                <w:sz w:val="20"/>
                <w:lang w:eastAsia="en-NZ"/>
              </w:rPr>
              <w:t xml:space="preserve">71,717 </w:t>
            </w:r>
          </w:p>
        </w:tc>
        <w:tc>
          <w:tcPr>
            <w:tcW w:w="1106" w:type="dxa"/>
            <w:shd w:val="clear" w:color="000000" w:fill="D9D9D9"/>
            <w:hideMark/>
          </w:tcPr>
          <w:p w:rsidR="00546A26" w:rsidRPr="00CA4713" w:rsidRDefault="00546A26" w:rsidP="004106CD">
            <w:pPr>
              <w:spacing w:after="0" w:line="240" w:lineRule="auto"/>
              <w:jc w:val="right"/>
              <w:rPr>
                <w:rFonts w:eastAsia="Times New Roman" w:cstheme="minorHAnsi"/>
                <w:color w:val="000000"/>
                <w:sz w:val="20"/>
                <w:lang w:eastAsia="en-NZ"/>
              </w:rPr>
            </w:pPr>
            <w:r w:rsidRPr="00CA4713">
              <w:rPr>
                <w:rFonts w:eastAsia="Times New Roman" w:cstheme="minorHAnsi"/>
                <w:color w:val="000000"/>
                <w:sz w:val="20"/>
                <w:lang w:eastAsia="en-NZ"/>
              </w:rPr>
              <w:t>74,000</w:t>
            </w:r>
          </w:p>
        </w:tc>
        <w:tc>
          <w:tcPr>
            <w:tcW w:w="822" w:type="dxa"/>
            <w:gridSpan w:val="5"/>
            <w:shd w:val="clear" w:color="auto" w:fill="auto"/>
            <w:hideMark/>
          </w:tcPr>
          <w:p w:rsidR="00546A26" w:rsidRPr="00CA4713" w:rsidRDefault="00546A26" w:rsidP="004106CD">
            <w:pPr>
              <w:spacing w:after="0" w:line="240" w:lineRule="auto"/>
              <w:jc w:val="center"/>
              <w:rPr>
                <w:rFonts w:eastAsia="Times New Roman" w:cstheme="minorHAnsi"/>
                <w:color w:val="000000"/>
                <w:sz w:val="20"/>
                <w:lang w:eastAsia="en-NZ"/>
              </w:rPr>
            </w:pPr>
            <w:r w:rsidRPr="00CA4713">
              <w:rPr>
                <w:rFonts w:eastAsia="Times New Roman" w:cstheme="minorHAnsi"/>
                <w:color w:val="000000"/>
                <w:sz w:val="20"/>
                <w:lang w:eastAsia="en-NZ"/>
              </w:rPr>
              <w:t>-3%</w:t>
            </w:r>
          </w:p>
        </w:tc>
        <w:tc>
          <w:tcPr>
            <w:tcW w:w="1293" w:type="dxa"/>
            <w:gridSpan w:val="2"/>
            <w:shd w:val="clear" w:color="auto" w:fill="auto"/>
            <w:hideMark/>
          </w:tcPr>
          <w:p w:rsidR="00546A26" w:rsidRPr="00CA4713" w:rsidRDefault="009C3D9F" w:rsidP="009C3D9F">
            <w:pPr>
              <w:spacing w:after="0" w:line="240" w:lineRule="auto"/>
              <w:jc w:val="right"/>
              <w:rPr>
                <w:rFonts w:eastAsia="Times New Roman" w:cstheme="minorHAnsi"/>
                <w:color w:val="000000"/>
                <w:sz w:val="20"/>
                <w:lang w:eastAsia="en-NZ"/>
              </w:rPr>
            </w:pPr>
            <w:r>
              <w:rPr>
                <w:rFonts w:eastAsia="Times New Roman" w:cstheme="minorHAnsi"/>
                <w:color w:val="000000"/>
                <w:sz w:val="20"/>
                <w:lang w:eastAsia="en-NZ"/>
              </w:rPr>
              <w:t>Within 10%</w:t>
            </w:r>
          </w:p>
        </w:tc>
        <w:tc>
          <w:tcPr>
            <w:tcW w:w="4252" w:type="dxa"/>
            <w:shd w:val="clear" w:color="auto" w:fill="auto"/>
            <w:hideMark/>
          </w:tcPr>
          <w:p w:rsidR="00546A26" w:rsidRPr="00CA4713" w:rsidRDefault="00546A26" w:rsidP="004106CD">
            <w:pPr>
              <w:spacing w:after="0" w:line="240" w:lineRule="auto"/>
              <w:rPr>
                <w:rFonts w:eastAsia="Times New Roman" w:cstheme="minorHAnsi"/>
                <w:color w:val="000000"/>
                <w:sz w:val="20"/>
                <w:lang w:eastAsia="en-NZ"/>
              </w:rPr>
            </w:pPr>
          </w:p>
        </w:tc>
      </w:tr>
      <w:tr w:rsidR="00546A26" w:rsidRPr="00CA4713" w:rsidTr="009C3D9F">
        <w:trPr>
          <w:trHeight w:val="270"/>
        </w:trPr>
        <w:tc>
          <w:tcPr>
            <w:tcW w:w="4394" w:type="dxa"/>
            <w:gridSpan w:val="3"/>
            <w:shd w:val="clear" w:color="auto" w:fill="auto"/>
            <w:hideMark/>
          </w:tcPr>
          <w:p w:rsidR="00546A26" w:rsidRPr="00CA4713" w:rsidRDefault="00546A26" w:rsidP="004106CD">
            <w:pPr>
              <w:spacing w:after="0" w:line="240" w:lineRule="auto"/>
              <w:rPr>
                <w:rFonts w:eastAsia="Times New Roman" w:cstheme="minorHAnsi"/>
                <w:color w:val="000000"/>
                <w:sz w:val="20"/>
                <w:lang w:eastAsia="en-NZ"/>
              </w:rPr>
            </w:pPr>
            <w:r w:rsidRPr="00CA4713">
              <w:rPr>
                <w:rFonts w:eastAsia="Times New Roman" w:cstheme="minorHAnsi"/>
                <w:color w:val="000000"/>
                <w:sz w:val="20"/>
                <w:lang w:eastAsia="en-NZ"/>
              </w:rPr>
              <w:t>Library physical visits</w:t>
            </w:r>
          </w:p>
        </w:tc>
        <w:tc>
          <w:tcPr>
            <w:tcW w:w="1150" w:type="dxa"/>
            <w:gridSpan w:val="3"/>
            <w:shd w:val="clear" w:color="auto" w:fill="auto"/>
            <w:noWrap/>
            <w:hideMark/>
          </w:tcPr>
          <w:p w:rsidR="00546A26" w:rsidRPr="00CA4713" w:rsidRDefault="00546A26" w:rsidP="004106CD">
            <w:pPr>
              <w:spacing w:after="0" w:line="240" w:lineRule="auto"/>
              <w:jc w:val="right"/>
              <w:rPr>
                <w:rFonts w:eastAsia="Times New Roman" w:cstheme="minorHAnsi"/>
                <w:color w:val="000000"/>
                <w:sz w:val="20"/>
                <w:lang w:eastAsia="en-NZ"/>
              </w:rPr>
            </w:pPr>
            <w:r w:rsidRPr="00CA4713">
              <w:rPr>
                <w:rFonts w:eastAsia="Times New Roman" w:cstheme="minorHAnsi"/>
                <w:color w:val="000000"/>
                <w:sz w:val="20"/>
                <w:lang w:eastAsia="en-NZ"/>
              </w:rPr>
              <w:t xml:space="preserve">2,159,555 </w:t>
            </w:r>
          </w:p>
        </w:tc>
        <w:tc>
          <w:tcPr>
            <w:tcW w:w="1176" w:type="dxa"/>
            <w:shd w:val="clear" w:color="auto" w:fill="auto"/>
            <w:noWrap/>
            <w:hideMark/>
          </w:tcPr>
          <w:p w:rsidR="00546A26" w:rsidRPr="00CA4713" w:rsidRDefault="00546A26" w:rsidP="004106CD">
            <w:pPr>
              <w:spacing w:after="0" w:line="240" w:lineRule="auto"/>
              <w:jc w:val="right"/>
              <w:rPr>
                <w:rFonts w:eastAsia="Times New Roman" w:cstheme="minorHAnsi"/>
                <w:color w:val="000000"/>
                <w:sz w:val="20"/>
                <w:lang w:eastAsia="en-NZ"/>
              </w:rPr>
            </w:pPr>
            <w:r w:rsidRPr="00CA4713">
              <w:rPr>
                <w:rFonts w:eastAsia="Times New Roman" w:cstheme="minorHAnsi"/>
                <w:color w:val="000000"/>
                <w:sz w:val="20"/>
                <w:lang w:eastAsia="en-NZ"/>
              </w:rPr>
              <w:t xml:space="preserve">2,440,718 </w:t>
            </w:r>
          </w:p>
        </w:tc>
        <w:tc>
          <w:tcPr>
            <w:tcW w:w="1258" w:type="dxa"/>
            <w:gridSpan w:val="5"/>
            <w:shd w:val="clear" w:color="auto" w:fill="auto"/>
            <w:noWrap/>
            <w:hideMark/>
          </w:tcPr>
          <w:p w:rsidR="00546A26" w:rsidRPr="00CA4713" w:rsidRDefault="00546A26" w:rsidP="004106CD">
            <w:pPr>
              <w:spacing w:after="0" w:line="240" w:lineRule="auto"/>
              <w:jc w:val="right"/>
              <w:rPr>
                <w:rFonts w:eastAsia="Times New Roman" w:cstheme="minorHAnsi"/>
                <w:color w:val="000000"/>
                <w:sz w:val="20"/>
                <w:lang w:eastAsia="en-NZ"/>
              </w:rPr>
            </w:pPr>
            <w:r w:rsidRPr="00CA4713">
              <w:rPr>
                <w:rFonts w:eastAsia="Times New Roman" w:cstheme="minorHAnsi"/>
                <w:color w:val="000000"/>
                <w:sz w:val="20"/>
                <w:lang w:eastAsia="en-NZ"/>
              </w:rPr>
              <w:t xml:space="preserve">2,021,003 </w:t>
            </w:r>
          </w:p>
        </w:tc>
        <w:tc>
          <w:tcPr>
            <w:tcW w:w="1106" w:type="dxa"/>
            <w:shd w:val="clear" w:color="000000" w:fill="D9D9D9"/>
            <w:hideMark/>
          </w:tcPr>
          <w:p w:rsidR="00546A26" w:rsidRPr="00CA4713" w:rsidRDefault="00546A26" w:rsidP="004106CD">
            <w:pPr>
              <w:spacing w:after="0" w:line="240" w:lineRule="auto"/>
              <w:jc w:val="right"/>
              <w:rPr>
                <w:rFonts w:eastAsia="Times New Roman" w:cstheme="minorHAnsi"/>
                <w:color w:val="000000"/>
                <w:sz w:val="20"/>
                <w:lang w:eastAsia="en-NZ"/>
              </w:rPr>
            </w:pPr>
            <w:r w:rsidRPr="00CA4713">
              <w:rPr>
                <w:rFonts w:eastAsia="Times New Roman" w:cstheme="minorHAnsi"/>
                <w:color w:val="000000"/>
                <w:sz w:val="20"/>
                <w:lang w:eastAsia="en-NZ"/>
              </w:rPr>
              <w:t>2,500,000</w:t>
            </w:r>
          </w:p>
        </w:tc>
        <w:tc>
          <w:tcPr>
            <w:tcW w:w="822" w:type="dxa"/>
            <w:gridSpan w:val="5"/>
            <w:shd w:val="clear" w:color="auto" w:fill="auto"/>
            <w:hideMark/>
          </w:tcPr>
          <w:p w:rsidR="00546A26" w:rsidRPr="00CA4713" w:rsidRDefault="00546A26" w:rsidP="004106CD">
            <w:pPr>
              <w:spacing w:after="0" w:line="240" w:lineRule="auto"/>
              <w:jc w:val="center"/>
              <w:rPr>
                <w:rFonts w:eastAsia="Times New Roman" w:cstheme="minorHAnsi"/>
                <w:color w:val="000000"/>
                <w:sz w:val="20"/>
                <w:lang w:eastAsia="en-NZ"/>
              </w:rPr>
            </w:pPr>
            <w:r w:rsidRPr="00CA4713">
              <w:rPr>
                <w:rFonts w:eastAsia="Times New Roman" w:cstheme="minorHAnsi"/>
                <w:color w:val="000000"/>
                <w:sz w:val="20"/>
                <w:lang w:eastAsia="en-NZ"/>
              </w:rPr>
              <w:t>-19%</w:t>
            </w:r>
          </w:p>
        </w:tc>
        <w:tc>
          <w:tcPr>
            <w:tcW w:w="1293" w:type="dxa"/>
            <w:gridSpan w:val="2"/>
            <w:shd w:val="clear" w:color="auto" w:fill="auto"/>
            <w:hideMark/>
          </w:tcPr>
          <w:p w:rsidR="00546A26" w:rsidRPr="00CA4713" w:rsidRDefault="00546A26" w:rsidP="009C3D9F">
            <w:pPr>
              <w:spacing w:after="0" w:line="240" w:lineRule="auto"/>
              <w:jc w:val="right"/>
              <w:rPr>
                <w:rFonts w:eastAsia="Times New Roman" w:cstheme="minorHAnsi"/>
                <w:color w:val="000000"/>
                <w:sz w:val="20"/>
                <w:lang w:eastAsia="en-NZ"/>
              </w:rPr>
            </w:pPr>
            <w:r w:rsidRPr="00CA4713">
              <w:rPr>
                <w:rFonts w:eastAsia="Times New Roman" w:cstheme="minorHAnsi"/>
                <w:color w:val="000000"/>
                <w:sz w:val="20"/>
                <w:lang w:eastAsia="en-NZ"/>
              </w:rPr>
              <w:t>not met</w:t>
            </w:r>
          </w:p>
        </w:tc>
        <w:tc>
          <w:tcPr>
            <w:tcW w:w="4252" w:type="dxa"/>
            <w:shd w:val="clear" w:color="auto" w:fill="auto"/>
            <w:hideMark/>
          </w:tcPr>
          <w:p w:rsidR="00546A26" w:rsidRPr="00CA4713" w:rsidRDefault="00546A26" w:rsidP="004106CD">
            <w:pPr>
              <w:spacing w:after="0" w:line="240" w:lineRule="auto"/>
              <w:rPr>
                <w:rFonts w:eastAsia="Times New Roman" w:cstheme="minorHAnsi"/>
                <w:color w:val="000000"/>
                <w:sz w:val="20"/>
                <w:lang w:eastAsia="en-NZ"/>
              </w:rPr>
            </w:pPr>
            <w:r w:rsidRPr="00CA4713">
              <w:rPr>
                <w:rFonts w:cstheme="minorHAnsi"/>
                <w:color w:val="000000"/>
                <w:sz w:val="20"/>
                <w:szCs w:val="20"/>
              </w:rPr>
              <w:t>Results of survey should not be compared with previous results because of impact of closure of Central Library that happened at the time the survey was conducted.</w:t>
            </w:r>
          </w:p>
        </w:tc>
      </w:tr>
      <w:tr w:rsidR="00546A26" w:rsidRPr="00CA4713" w:rsidTr="009C3D9F">
        <w:trPr>
          <w:trHeight w:val="270"/>
        </w:trPr>
        <w:tc>
          <w:tcPr>
            <w:tcW w:w="4394" w:type="dxa"/>
            <w:gridSpan w:val="3"/>
            <w:shd w:val="clear" w:color="auto" w:fill="auto"/>
            <w:hideMark/>
          </w:tcPr>
          <w:p w:rsidR="00546A26" w:rsidRPr="00CA4713" w:rsidRDefault="00546A26" w:rsidP="004106CD">
            <w:pPr>
              <w:spacing w:after="0" w:line="240" w:lineRule="auto"/>
              <w:rPr>
                <w:rFonts w:eastAsia="Times New Roman" w:cstheme="minorHAnsi"/>
                <w:color w:val="000000"/>
                <w:sz w:val="20"/>
                <w:lang w:eastAsia="en-NZ"/>
              </w:rPr>
            </w:pPr>
            <w:r w:rsidRPr="00CA4713">
              <w:rPr>
                <w:rFonts w:eastAsia="Times New Roman" w:cstheme="minorHAnsi"/>
                <w:color w:val="000000"/>
                <w:sz w:val="20"/>
                <w:lang w:eastAsia="en-NZ"/>
              </w:rPr>
              <w:t>Library website visits</w:t>
            </w:r>
          </w:p>
        </w:tc>
        <w:tc>
          <w:tcPr>
            <w:tcW w:w="1150" w:type="dxa"/>
            <w:gridSpan w:val="3"/>
            <w:shd w:val="clear" w:color="auto" w:fill="auto"/>
            <w:noWrap/>
            <w:hideMark/>
          </w:tcPr>
          <w:p w:rsidR="00546A26" w:rsidRPr="00CA4713" w:rsidRDefault="00546A26" w:rsidP="004106CD">
            <w:pPr>
              <w:spacing w:after="0" w:line="240" w:lineRule="auto"/>
              <w:jc w:val="right"/>
              <w:rPr>
                <w:rFonts w:eastAsia="Times New Roman" w:cstheme="minorHAnsi"/>
                <w:color w:val="000000"/>
                <w:sz w:val="20"/>
                <w:lang w:eastAsia="en-NZ"/>
              </w:rPr>
            </w:pPr>
            <w:r w:rsidRPr="00CA4713">
              <w:rPr>
                <w:rFonts w:eastAsia="Times New Roman" w:cstheme="minorHAnsi"/>
                <w:color w:val="000000"/>
                <w:sz w:val="20"/>
                <w:lang w:eastAsia="en-NZ"/>
              </w:rPr>
              <w:t xml:space="preserve">3,939,631 </w:t>
            </w:r>
          </w:p>
        </w:tc>
        <w:tc>
          <w:tcPr>
            <w:tcW w:w="1176" w:type="dxa"/>
            <w:shd w:val="clear" w:color="auto" w:fill="auto"/>
            <w:noWrap/>
            <w:hideMark/>
          </w:tcPr>
          <w:p w:rsidR="00546A26" w:rsidRPr="00CA4713" w:rsidRDefault="00546A26" w:rsidP="004106CD">
            <w:pPr>
              <w:spacing w:after="0" w:line="240" w:lineRule="auto"/>
              <w:jc w:val="right"/>
              <w:rPr>
                <w:rFonts w:eastAsia="Times New Roman" w:cstheme="minorHAnsi"/>
                <w:color w:val="000000"/>
                <w:sz w:val="20"/>
                <w:lang w:eastAsia="en-NZ"/>
              </w:rPr>
            </w:pPr>
            <w:r w:rsidRPr="00CA4713">
              <w:rPr>
                <w:rFonts w:eastAsia="Times New Roman" w:cstheme="minorHAnsi"/>
                <w:color w:val="000000"/>
                <w:sz w:val="20"/>
                <w:lang w:eastAsia="en-NZ"/>
              </w:rPr>
              <w:t xml:space="preserve">3,887,484 </w:t>
            </w:r>
          </w:p>
        </w:tc>
        <w:tc>
          <w:tcPr>
            <w:tcW w:w="1258" w:type="dxa"/>
            <w:gridSpan w:val="5"/>
            <w:shd w:val="clear" w:color="auto" w:fill="auto"/>
            <w:noWrap/>
            <w:hideMark/>
          </w:tcPr>
          <w:p w:rsidR="00546A26" w:rsidRPr="00CA4713" w:rsidRDefault="00546A26" w:rsidP="004106CD">
            <w:pPr>
              <w:spacing w:after="0" w:line="240" w:lineRule="auto"/>
              <w:jc w:val="right"/>
              <w:rPr>
                <w:rFonts w:eastAsia="Times New Roman" w:cstheme="minorHAnsi"/>
                <w:color w:val="000000"/>
                <w:sz w:val="20"/>
                <w:lang w:eastAsia="en-NZ"/>
              </w:rPr>
            </w:pPr>
            <w:r w:rsidRPr="00CA4713">
              <w:rPr>
                <w:rFonts w:eastAsia="Times New Roman" w:cstheme="minorHAnsi"/>
                <w:color w:val="000000"/>
                <w:sz w:val="20"/>
                <w:lang w:eastAsia="en-NZ"/>
              </w:rPr>
              <w:t xml:space="preserve">4,840,980 </w:t>
            </w:r>
          </w:p>
        </w:tc>
        <w:tc>
          <w:tcPr>
            <w:tcW w:w="1106" w:type="dxa"/>
            <w:shd w:val="clear" w:color="000000" w:fill="D9D9D9"/>
            <w:hideMark/>
          </w:tcPr>
          <w:p w:rsidR="00546A26" w:rsidRPr="00CA4713" w:rsidRDefault="00546A26" w:rsidP="004106CD">
            <w:pPr>
              <w:spacing w:after="0" w:line="240" w:lineRule="auto"/>
              <w:jc w:val="right"/>
              <w:rPr>
                <w:rFonts w:eastAsia="Times New Roman" w:cstheme="minorHAnsi"/>
                <w:color w:val="000000"/>
                <w:sz w:val="20"/>
                <w:lang w:eastAsia="en-NZ"/>
              </w:rPr>
            </w:pPr>
            <w:r w:rsidRPr="00CA4713">
              <w:rPr>
                <w:rFonts w:eastAsia="Times New Roman" w:cstheme="minorHAnsi"/>
                <w:color w:val="000000"/>
                <w:sz w:val="20"/>
                <w:lang w:eastAsia="en-NZ"/>
              </w:rPr>
              <w:t>3,200,000</w:t>
            </w:r>
          </w:p>
        </w:tc>
        <w:tc>
          <w:tcPr>
            <w:tcW w:w="822" w:type="dxa"/>
            <w:gridSpan w:val="5"/>
            <w:shd w:val="clear" w:color="auto" w:fill="auto"/>
            <w:hideMark/>
          </w:tcPr>
          <w:p w:rsidR="00546A26" w:rsidRPr="00CA4713" w:rsidRDefault="00546A26" w:rsidP="004106CD">
            <w:pPr>
              <w:spacing w:after="0" w:line="240" w:lineRule="auto"/>
              <w:jc w:val="center"/>
              <w:rPr>
                <w:rFonts w:eastAsia="Times New Roman" w:cstheme="minorHAnsi"/>
                <w:color w:val="000000"/>
                <w:sz w:val="20"/>
                <w:lang w:eastAsia="en-NZ"/>
              </w:rPr>
            </w:pPr>
            <w:r w:rsidRPr="00CA4713">
              <w:rPr>
                <w:rFonts w:eastAsia="Times New Roman" w:cstheme="minorHAnsi"/>
                <w:color w:val="000000"/>
                <w:sz w:val="20"/>
                <w:lang w:eastAsia="en-NZ"/>
              </w:rPr>
              <w:t>51%</w:t>
            </w:r>
          </w:p>
        </w:tc>
        <w:tc>
          <w:tcPr>
            <w:tcW w:w="1293" w:type="dxa"/>
            <w:gridSpan w:val="2"/>
            <w:shd w:val="clear" w:color="auto" w:fill="auto"/>
            <w:hideMark/>
          </w:tcPr>
          <w:p w:rsidR="00546A26" w:rsidRPr="00CA4713" w:rsidRDefault="00546A26" w:rsidP="009C3D9F">
            <w:pPr>
              <w:spacing w:after="0" w:line="240" w:lineRule="auto"/>
              <w:jc w:val="right"/>
              <w:rPr>
                <w:rFonts w:eastAsia="Times New Roman" w:cstheme="minorHAnsi"/>
                <w:color w:val="000000"/>
                <w:sz w:val="20"/>
                <w:lang w:eastAsia="en-NZ"/>
              </w:rPr>
            </w:pPr>
            <w:r w:rsidRPr="00CA4713">
              <w:rPr>
                <w:rFonts w:eastAsia="Times New Roman" w:cstheme="minorHAnsi"/>
                <w:color w:val="000000"/>
                <w:sz w:val="20"/>
                <w:lang w:eastAsia="en-NZ"/>
              </w:rPr>
              <w:t>exceeded</w:t>
            </w:r>
          </w:p>
        </w:tc>
        <w:tc>
          <w:tcPr>
            <w:tcW w:w="4252" w:type="dxa"/>
            <w:shd w:val="clear" w:color="auto" w:fill="auto"/>
            <w:hideMark/>
          </w:tcPr>
          <w:p w:rsidR="00546A26" w:rsidRPr="00CA4713" w:rsidRDefault="00546A26" w:rsidP="004106CD">
            <w:pPr>
              <w:spacing w:after="0" w:line="240" w:lineRule="auto"/>
              <w:rPr>
                <w:rFonts w:eastAsia="Times New Roman" w:cstheme="minorHAnsi"/>
                <w:b/>
                <w:color w:val="000000"/>
                <w:sz w:val="20"/>
                <w:lang w:eastAsia="en-NZ"/>
              </w:rPr>
            </w:pPr>
            <w:r w:rsidRPr="00CA4713">
              <w:rPr>
                <w:rFonts w:cstheme="minorHAnsi"/>
                <w:color w:val="000000"/>
                <w:sz w:val="20"/>
                <w:szCs w:val="20"/>
              </w:rPr>
              <w:t>Results of survey should not be compared with previous results because of impact of closure of Central Library that happened at the time the survey was conducted.</w:t>
            </w:r>
          </w:p>
        </w:tc>
      </w:tr>
      <w:tr w:rsidR="00546A26" w:rsidRPr="00CA4713" w:rsidTr="009C3D9F">
        <w:trPr>
          <w:trHeight w:val="1035"/>
        </w:trPr>
        <w:tc>
          <w:tcPr>
            <w:tcW w:w="4394" w:type="dxa"/>
            <w:gridSpan w:val="3"/>
            <w:tcBorders>
              <w:bottom w:val="nil"/>
            </w:tcBorders>
            <w:shd w:val="clear" w:color="auto" w:fill="auto"/>
            <w:hideMark/>
          </w:tcPr>
          <w:p w:rsidR="00546A26" w:rsidRPr="00CA4713" w:rsidRDefault="00546A26" w:rsidP="004106CD">
            <w:pPr>
              <w:spacing w:after="0" w:line="240" w:lineRule="auto"/>
              <w:rPr>
                <w:rFonts w:eastAsia="Times New Roman" w:cstheme="minorHAnsi"/>
                <w:color w:val="000000"/>
                <w:sz w:val="20"/>
                <w:lang w:eastAsia="en-NZ"/>
              </w:rPr>
            </w:pPr>
            <w:r w:rsidRPr="00CA4713">
              <w:rPr>
                <w:rFonts w:eastAsia="Times New Roman" w:cstheme="minorHAnsi"/>
                <w:color w:val="000000"/>
                <w:sz w:val="20"/>
                <w:lang w:eastAsia="en-NZ"/>
              </w:rPr>
              <w:t>Residents (%) who are active library users</w:t>
            </w:r>
          </w:p>
        </w:tc>
        <w:tc>
          <w:tcPr>
            <w:tcW w:w="1150" w:type="dxa"/>
            <w:gridSpan w:val="3"/>
            <w:tcBorders>
              <w:bottom w:val="nil"/>
            </w:tcBorders>
            <w:shd w:val="clear" w:color="auto" w:fill="auto"/>
            <w:noWrap/>
            <w:hideMark/>
          </w:tcPr>
          <w:p w:rsidR="00546A26" w:rsidRPr="00CA4713" w:rsidRDefault="00546A26" w:rsidP="004106CD">
            <w:pPr>
              <w:spacing w:after="0" w:line="240" w:lineRule="auto"/>
              <w:jc w:val="right"/>
              <w:rPr>
                <w:rFonts w:eastAsia="Times New Roman" w:cstheme="minorHAnsi"/>
                <w:color w:val="000000"/>
                <w:sz w:val="20"/>
                <w:lang w:eastAsia="en-NZ"/>
              </w:rPr>
            </w:pPr>
          </w:p>
        </w:tc>
        <w:tc>
          <w:tcPr>
            <w:tcW w:w="1176" w:type="dxa"/>
            <w:tcBorders>
              <w:bottom w:val="nil"/>
            </w:tcBorders>
            <w:shd w:val="clear" w:color="auto" w:fill="auto"/>
          </w:tcPr>
          <w:p w:rsidR="00546A26" w:rsidRPr="00CA4713" w:rsidRDefault="00546A26" w:rsidP="004106CD">
            <w:pPr>
              <w:spacing w:after="0" w:line="240" w:lineRule="auto"/>
              <w:jc w:val="right"/>
              <w:rPr>
                <w:rFonts w:eastAsia="Times New Roman" w:cstheme="minorHAnsi"/>
                <w:color w:val="000000"/>
                <w:sz w:val="20"/>
                <w:lang w:eastAsia="en-NZ"/>
              </w:rPr>
            </w:pPr>
          </w:p>
        </w:tc>
        <w:tc>
          <w:tcPr>
            <w:tcW w:w="1258" w:type="dxa"/>
            <w:gridSpan w:val="5"/>
            <w:tcBorders>
              <w:bottom w:val="nil"/>
            </w:tcBorders>
            <w:shd w:val="clear" w:color="auto" w:fill="FFFFFF" w:themeFill="background1"/>
            <w:hideMark/>
          </w:tcPr>
          <w:p w:rsidR="00546A26" w:rsidRPr="00CA4713" w:rsidRDefault="00546A26" w:rsidP="004106CD">
            <w:pPr>
              <w:spacing w:after="0" w:line="240" w:lineRule="auto"/>
              <w:jc w:val="right"/>
              <w:rPr>
                <w:rFonts w:eastAsia="Times New Roman" w:cstheme="minorHAnsi"/>
                <w:color w:val="000000"/>
                <w:sz w:val="20"/>
                <w:lang w:eastAsia="en-NZ"/>
              </w:rPr>
            </w:pPr>
            <w:r>
              <w:rPr>
                <w:rFonts w:eastAsia="Times New Roman" w:cstheme="minorHAnsi"/>
                <w:color w:val="000000"/>
                <w:sz w:val="20"/>
                <w:lang w:eastAsia="en-NZ"/>
              </w:rPr>
              <w:t>52</w:t>
            </w:r>
            <w:r w:rsidRPr="00CA4713">
              <w:rPr>
                <w:rFonts w:eastAsia="Times New Roman" w:cstheme="minorHAnsi"/>
                <w:color w:val="000000"/>
                <w:sz w:val="20"/>
                <w:lang w:eastAsia="en-NZ"/>
              </w:rPr>
              <w:t>%</w:t>
            </w:r>
          </w:p>
        </w:tc>
        <w:tc>
          <w:tcPr>
            <w:tcW w:w="1106" w:type="dxa"/>
            <w:tcBorders>
              <w:bottom w:val="nil"/>
            </w:tcBorders>
            <w:shd w:val="clear" w:color="000000" w:fill="D9D9D9"/>
          </w:tcPr>
          <w:p w:rsidR="00546A26" w:rsidRPr="00CA4713" w:rsidRDefault="00546A26" w:rsidP="004106CD">
            <w:pPr>
              <w:spacing w:after="0" w:line="240" w:lineRule="auto"/>
              <w:jc w:val="right"/>
              <w:rPr>
                <w:rFonts w:eastAsia="Times New Roman" w:cstheme="minorHAnsi"/>
                <w:color w:val="000000"/>
                <w:sz w:val="20"/>
                <w:lang w:eastAsia="en-NZ"/>
              </w:rPr>
            </w:pPr>
            <w:r w:rsidRPr="00CA4713">
              <w:rPr>
                <w:rFonts w:eastAsia="Times New Roman" w:cstheme="minorHAnsi"/>
                <w:color w:val="000000"/>
                <w:sz w:val="20"/>
                <w:lang w:eastAsia="en-NZ"/>
              </w:rPr>
              <w:t>75%</w:t>
            </w:r>
          </w:p>
        </w:tc>
        <w:tc>
          <w:tcPr>
            <w:tcW w:w="822" w:type="dxa"/>
            <w:gridSpan w:val="5"/>
            <w:tcBorders>
              <w:bottom w:val="nil"/>
            </w:tcBorders>
            <w:shd w:val="clear" w:color="auto" w:fill="auto"/>
            <w:hideMark/>
          </w:tcPr>
          <w:p w:rsidR="00546A26" w:rsidRPr="00CA4713" w:rsidRDefault="00546A26" w:rsidP="004106CD">
            <w:pPr>
              <w:spacing w:after="0" w:line="240" w:lineRule="auto"/>
              <w:jc w:val="center"/>
              <w:rPr>
                <w:rFonts w:eastAsia="Times New Roman" w:cstheme="minorHAnsi"/>
                <w:color w:val="000000"/>
                <w:sz w:val="20"/>
                <w:lang w:eastAsia="en-NZ"/>
              </w:rPr>
            </w:pPr>
            <w:r w:rsidRPr="00CA4713">
              <w:rPr>
                <w:rFonts w:eastAsia="Times New Roman" w:cstheme="minorHAnsi"/>
                <w:color w:val="000000"/>
                <w:sz w:val="20"/>
                <w:lang w:eastAsia="en-NZ"/>
              </w:rPr>
              <w:t>-31%</w:t>
            </w:r>
          </w:p>
        </w:tc>
        <w:tc>
          <w:tcPr>
            <w:tcW w:w="1293" w:type="dxa"/>
            <w:gridSpan w:val="2"/>
            <w:tcBorders>
              <w:bottom w:val="nil"/>
            </w:tcBorders>
            <w:shd w:val="clear" w:color="auto" w:fill="auto"/>
            <w:hideMark/>
          </w:tcPr>
          <w:p w:rsidR="00546A26" w:rsidRPr="00CA4713" w:rsidRDefault="00546A26" w:rsidP="009C3D9F">
            <w:pPr>
              <w:spacing w:after="0" w:line="240" w:lineRule="auto"/>
              <w:jc w:val="right"/>
              <w:rPr>
                <w:rFonts w:eastAsia="Times New Roman" w:cstheme="minorHAnsi"/>
                <w:color w:val="000000"/>
                <w:sz w:val="20"/>
                <w:lang w:eastAsia="en-NZ"/>
              </w:rPr>
            </w:pPr>
            <w:r w:rsidRPr="00CA4713">
              <w:rPr>
                <w:rFonts w:eastAsia="Times New Roman" w:cstheme="minorHAnsi"/>
                <w:color w:val="000000"/>
                <w:sz w:val="20"/>
                <w:lang w:eastAsia="en-NZ"/>
              </w:rPr>
              <w:t>not met</w:t>
            </w:r>
          </w:p>
        </w:tc>
        <w:tc>
          <w:tcPr>
            <w:tcW w:w="4252" w:type="dxa"/>
            <w:tcBorders>
              <w:bottom w:val="nil"/>
            </w:tcBorders>
            <w:shd w:val="clear" w:color="auto" w:fill="auto"/>
            <w:hideMark/>
          </w:tcPr>
          <w:p w:rsidR="00546A26" w:rsidRPr="00CA4713" w:rsidRDefault="00546A26" w:rsidP="00B701E7">
            <w:pPr>
              <w:spacing w:after="0" w:line="240" w:lineRule="auto"/>
              <w:rPr>
                <w:rFonts w:eastAsia="Times New Roman" w:cstheme="minorHAnsi"/>
                <w:color w:val="000000"/>
                <w:sz w:val="20"/>
                <w:lang w:eastAsia="en-NZ"/>
              </w:rPr>
            </w:pPr>
            <w:r w:rsidRPr="009F39E1">
              <w:rPr>
                <w:rFonts w:eastAsia="Times New Roman" w:cstheme="minorHAnsi"/>
                <w:color w:val="000000"/>
                <w:sz w:val="20"/>
                <w:lang w:eastAsia="en-NZ"/>
              </w:rPr>
              <w:t>See supplementary tables.  Previous years have reported residents who have used a public library in the last 12 months</w:t>
            </w:r>
            <w:r w:rsidR="00B701E7">
              <w:rPr>
                <w:rFonts w:eastAsia="Times New Roman" w:cstheme="minorHAnsi"/>
                <w:color w:val="000000"/>
                <w:sz w:val="20"/>
                <w:lang w:eastAsia="en-NZ"/>
              </w:rPr>
              <w:t>. A</w:t>
            </w:r>
            <w:r w:rsidRPr="009F39E1">
              <w:rPr>
                <w:rFonts w:eastAsia="Times New Roman" w:cstheme="minorHAnsi"/>
                <w:color w:val="000000"/>
                <w:sz w:val="20"/>
                <w:lang w:eastAsia="en-NZ"/>
              </w:rPr>
              <w:t xml:space="preserve"> target for active use wi</w:t>
            </w:r>
            <w:r w:rsidR="004106CD">
              <w:rPr>
                <w:rFonts w:eastAsia="Times New Roman" w:cstheme="minorHAnsi"/>
                <w:color w:val="000000"/>
                <w:sz w:val="20"/>
                <w:lang w:eastAsia="en-NZ"/>
              </w:rPr>
              <w:t>l</w:t>
            </w:r>
            <w:r w:rsidRPr="009F39E1">
              <w:rPr>
                <w:rFonts w:eastAsia="Times New Roman" w:cstheme="minorHAnsi"/>
                <w:color w:val="000000"/>
                <w:sz w:val="20"/>
                <w:lang w:eastAsia="en-NZ"/>
              </w:rPr>
              <w:t>l be revised in line with other library targets.</w:t>
            </w:r>
          </w:p>
        </w:tc>
      </w:tr>
      <w:tr w:rsidR="00546A26" w:rsidRPr="00CA4713" w:rsidTr="009C3D9F">
        <w:trPr>
          <w:trHeight w:val="315"/>
        </w:trPr>
        <w:tc>
          <w:tcPr>
            <w:tcW w:w="15451" w:type="dxa"/>
            <w:gridSpan w:val="21"/>
            <w:tcBorders>
              <w:top w:val="nil"/>
              <w:bottom w:val="nil"/>
            </w:tcBorders>
            <w:shd w:val="clear" w:color="auto" w:fill="DAEEF3" w:themeFill="accent5" w:themeFillTint="33"/>
            <w:hideMark/>
          </w:tcPr>
          <w:p w:rsidR="00546A26" w:rsidRPr="00F45CA3" w:rsidRDefault="00546A26" w:rsidP="004106CD">
            <w:pPr>
              <w:spacing w:after="0" w:line="240" w:lineRule="auto"/>
              <w:rPr>
                <w:rFonts w:eastAsia="Times New Roman" w:cstheme="minorHAnsi"/>
                <w:b/>
                <w:color w:val="000000" w:themeColor="text1"/>
                <w:sz w:val="20"/>
                <w:szCs w:val="20"/>
                <w:lang w:eastAsia="en-NZ"/>
              </w:rPr>
            </w:pPr>
            <w:r w:rsidRPr="00F45CA3">
              <w:rPr>
                <w:rFonts w:eastAsia="Times New Roman" w:cstheme="minorHAnsi"/>
                <w:b/>
                <w:color w:val="000000" w:themeColor="text1"/>
                <w:sz w:val="20"/>
                <w:szCs w:val="20"/>
                <w:lang w:eastAsia="en-NZ"/>
              </w:rPr>
              <w:t>Libraries amenity</w:t>
            </w:r>
          </w:p>
        </w:tc>
      </w:tr>
      <w:tr w:rsidR="00546A26" w:rsidRPr="00CA4713" w:rsidTr="009C3D9F">
        <w:trPr>
          <w:trHeight w:val="270"/>
        </w:trPr>
        <w:tc>
          <w:tcPr>
            <w:tcW w:w="4394" w:type="dxa"/>
            <w:gridSpan w:val="3"/>
            <w:tcBorders>
              <w:top w:val="nil"/>
            </w:tcBorders>
            <w:shd w:val="clear" w:color="auto" w:fill="auto"/>
            <w:hideMark/>
          </w:tcPr>
          <w:p w:rsidR="00546A26" w:rsidRPr="00CA4713" w:rsidRDefault="00546A26" w:rsidP="004106CD">
            <w:pPr>
              <w:spacing w:after="0" w:line="240" w:lineRule="auto"/>
              <w:rPr>
                <w:rFonts w:eastAsia="Times New Roman" w:cstheme="minorHAnsi"/>
                <w:color w:val="000000"/>
                <w:sz w:val="20"/>
                <w:lang w:eastAsia="en-NZ"/>
              </w:rPr>
            </w:pPr>
            <w:r w:rsidRPr="00CA4713">
              <w:rPr>
                <w:rFonts w:eastAsia="Times New Roman" w:cstheme="minorHAnsi"/>
                <w:color w:val="000000"/>
                <w:sz w:val="20"/>
                <w:lang w:eastAsia="en-NZ"/>
              </w:rPr>
              <w:lastRenderedPageBreak/>
              <w:t>Customers (%) who think the library helped them to gain new knowledge and skills</w:t>
            </w:r>
          </w:p>
        </w:tc>
        <w:tc>
          <w:tcPr>
            <w:tcW w:w="1150" w:type="dxa"/>
            <w:gridSpan w:val="3"/>
            <w:tcBorders>
              <w:top w:val="nil"/>
            </w:tcBorders>
            <w:shd w:val="clear" w:color="auto" w:fill="auto"/>
          </w:tcPr>
          <w:p w:rsidR="00546A26" w:rsidRPr="00CA4713" w:rsidRDefault="00546A26" w:rsidP="004106CD">
            <w:pPr>
              <w:spacing w:after="0" w:line="240" w:lineRule="auto"/>
              <w:rPr>
                <w:rFonts w:eastAsia="Times New Roman" w:cstheme="minorHAnsi"/>
                <w:color w:val="000000"/>
                <w:sz w:val="20"/>
                <w:lang w:eastAsia="en-NZ"/>
              </w:rPr>
            </w:pPr>
          </w:p>
        </w:tc>
        <w:tc>
          <w:tcPr>
            <w:tcW w:w="1222" w:type="dxa"/>
            <w:gridSpan w:val="3"/>
            <w:tcBorders>
              <w:top w:val="nil"/>
            </w:tcBorders>
            <w:shd w:val="clear" w:color="auto" w:fill="auto"/>
            <w:noWrap/>
            <w:hideMark/>
          </w:tcPr>
          <w:p w:rsidR="00546A26" w:rsidRPr="00CA4713" w:rsidRDefault="00546A26" w:rsidP="004106CD">
            <w:pPr>
              <w:spacing w:after="0" w:line="240" w:lineRule="auto"/>
              <w:jc w:val="right"/>
              <w:rPr>
                <w:rFonts w:eastAsia="Times New Roman" w:cstheme="minorHAnsi"/>
                <w:color w:val="000000"/>
                <w:sz w:val="20"/>
                <w:lang w:eastAsia="en-NZ"/>
              </w:rPr>
            </w:pPr>
            <w:r w:rsidRPr="00CA4713">
              <w:rPr>
                <w:rFonts w:eastAsia="Times New Roman" w:cstheme="minorHAnsi"/>
                <w:color w:val="000000"/>
                <w:sz w:val="20"/>
                <w:lang w:eastAsia="en-NZ"/>
              </w:rPr>
              <w:t>New</w:t>
            </w:r>
          </w:p>
        </w:tc>
        <w:tc>
          <w:tcPr>
            <w:tcW w:w="1212" w:type="dxa"/>
            <w:gridSpan w:val="3"/>
            <w:tcBorders>
              <w:top w:val="nil"/>
            </w:tcBorders>
            <w:shd w:val="clear" w:color="auto" w:fill="auto"/>
            <w:noWrap/>
            <w:hideMark/>
          </w:tcPr>
          <w:p w:rsidR="00546A26" w:rsidRPr="00CA4713" w:rsidRDefault="00546A26" w:rsidP="004106CD">
            <w:pPr>
              <w:spacing w:after="0" w:line="240" w:lineRule="auto"/>
              <w:jc w:val="right"/>
              <w:rPr>
                <w:rFonts w:eastAsia="Times New Roman" w:cstheme="minorHAnsi"/>
                <w:color w:val="000000"/>
                <w:sz w:val="20"/>
                <w:lang w:eastAsia="en-NZ"/>
              </w:rPr>
            </w:pPr>
            <w:r w:rsidRPr="00CA4713">
              <w:rPr>
                <w:rFonts w:eastAsia="Times New Roman" w:cstheme="minorHAnsi"/>
                <w:color w:val="000000"/>
                <w:sz w:val="20"/>
                <w:lang w:eastAsia="en-NZ"/>
              </w:rPr>
              <w:t>72%</w:t>
            </w:r>
          </w:p>
        </w:tc>
        <w:tc>
          <w:tcPr>
            <w:tcW w:w="1120" w:type="dxa"/>
            <w:gridSpan w:val="2"/>
            <w:tcBorders>
              <w:top w:val="nil"/>
            </w:tcBorders>
            <w:shd w:val="clear" w:color="000000" w:fill="D9D9D9"/>
            <w:hideMark/>
          </w:tcPr>
          <w:p w:rsidR="00546A26" w:rsidRPr="00CA4713" w:rsidRDefault="00546A26" w:rsidP="004106CD">
            <w:pPr>
              <w:spacing w:after="0" w:line="240" w:lineRule="auto"/>
              <w:jc w:val="right"/>
              <w:rPr>
                <w:rFonts w:eastAsia="Times New Roman" w:cstheme="minorHAnsi"/>
                <w:color w:val="000000"/>
                <w:sz w:val="20"/>
                <w:lang w:eastAsia="en-NZ"/>
              </w:rPr>
            </w:pPr>
            <w:r w:rsidRPr="00CA4713">
              <w:rPr>
                <w:rFonts w:eastAsia="Times New Roman" w:cstheme="minorHAnsi"/>
                <w:color w:val="000000"/>
                <w:sz w:val="20"/>
                <w:lang w:eastAsia="en-NZ"/>
              </w:rPr>
              <w:t>Baseline</w:t>
            </w:r>
          </w:p>
        </w:tc>
        <w:tc>
          <w:tcPr>
            <w:tcW w:w="808" w:type="dxa"/>
            <w:gridSpan w:val="4"/>
            <w:tcBorders>
              <w:top w:val="nil"/>
            </w:tcBorders>
            <w:shd w:val="clear" w:color="auto" w:fill="auto"/>
            <w:hideMark/>
          </w:tcPr>
          <w:p w:rsidR="00546A26" w:rsidRPr="00CA4713" w:rsidRDefault="00546A26" w:rsidP="004106CD">
            <w:pPr>
              <w:spacing w:after="0" w:line="240" w:lineRule="auto"/>
              <w:jc w:val="center"/>
              <w:rPr>
                <w:rFonts w:eastAsia="Times New Roman" w:cstheme="minorHAnsi"/>
                <w:color w:val="000000"/>
                <w:sz w:val="20"/>
                <w:lang w:eastAsia="en-NZ"/>
              </w:rPr>
            </w:pPr>
          </w:p>
        </w:tc>
        <w:tc>
          <w:tcPr>
            <w:tcW w:w="1293" w:type="dxa"/>
            <w:gridSpan w:val="2"/>
            <w:tcBorders>
              <w:top w:val="nil"/>
            </w:tcBorders>
            <w:shd w:val="clear" w:color="auto" w:fill="auto"/>
            <w:hideMark/>
          </w:tcPr>
          <w:p w:rsidR="00546A26" w:rsidRPr="00CA4713" w:rsidRDefault="00546A26" w:rsidP="004106CD">
            <w:pPr>
              <w:jc w:val="center"/>
              <w:rPr>
                <w:rFonts w:cstheme="minorHAnsi"/>
              </w:rPr>
            </w:pPr>
          </w:p>
        </w:tc>
        <w:tc>
          <w:tcPr>
            <w:tcW w:w="4252" w:type="dxa"/>
            <w:tcBorders>
              <w:top w:val="nil"/>
            </w:tcBorders>
            <w:shd w:val="clear" w:color="auto" w:fill="auto"/>
          </w:tcPr>
          <w:p w:rsidR="00546A26" w:rsidRPr="00CA4713" w:rsidRDefault="00546A26" w:rsidP="004106CD">
            <w:pPr>
              <w:spacing w:after="0" w:line="240" w:lineRule="auto"/>
              <w:jc w:val="right"/>
              <w:rPr>
                <w:rFonts w:eastAsia="Times New Roman" w:cstheme="minorHAnsi"/>
                <w:color w:val="000000"/>
                <w:sz w:val="20"/>
                <w:lang w:eastAsia="en-NZ"/>
              </w:rPr>
            </w:pPr>
          </w:p>
        </w:tc>
      </w:tr>
      <w:tr w:rsidR="00546A26" w:rsidRPr="00CA4713" w:rsidTr="009C3D9F">
        <w:trPr>
          <w:trHeight w:val="270"/>
        </w:trPr>
        <w:tc>
          <w:tcPr>
            <w:tcW w:w="4394" w:type="dxa"/>
            <w:gridSpan w:val="3"/>
            <w:shd w:val="clear" w:color="auto" w:fill="auto"/>
            <w:hideMark/>
          </w:tcPr>
          <w:p w:rsidR="00546A26" w:rsidRPr="00CA4713" w:rsidRDefault="00546A26" w:rsidP="004106CD">
            <w:pPr>
              <w:spacing w:after="0" w:line="240" w:lineRule="auto"/>
              <w:rPr>
                <w:rFonts w:eastAsia="Times New Roman" w:cstheme="minorHAnsi"/>
                <w:color w:val="000000"/>
                <w:sz w:val="20"/>
                <w:lang w:eastAsia="en-NZ"/>
              </w:rPr>
            </w:pPr>
            <w:r w:rsidRPr="00CA4713">
              <w:rPr>
                <w:rFonts w:eastAsia="Times New Roman" w:cstheme="minorHAnsi"/>
                <w:color w:val="000000"/>
                <w:sz w:val="20"/>
                <w:lang w:eastAsia="en-NZ"/>
              </w:rPr>
              <w:t>Customers (%) who think the library helped them to connect with others and ideas</w:t>
            </w:r>
          </w:p>
        </w:tc>
        <w:tc>
          <w:tcPr>
            <w:tcW w:w="1150" w:type="dxa"/>
            <w:gridSpan w:val="3"/>
            <w:shd w:val="clear" w:color="auto" w:fill="auto"/>
          </w:tcPr>
          <w:p w:rsidR="00546A26" w:rsidRPr="00CA4713" w:rsidRDefault="00546A26" w:rsidP="004106CD">
            <w:pPr>
              <w:spacing w:after="0" w:line="240" w:lineRule="auto"/>
              <w:rPr>
                <w:rFonts w:eastAsia="Times New Roman" w:cstheme="minorHAnsi"/>
                <w:color w:val="000000"/>
                <w:sz w:val="20"/>
                <w:lang w:eastAsia="en-NZ"/>
              </w:rPr>
            </w:pPr>
          </w:p>
        </w:tc>
        <w:tc>
          <w:tcPr>
            <w:tcW w:w="1222" w:type="dxa"/>
            <w:gridSpan w:val="3"/>
            <w:shd w:val="clear" w:color="auto" w:fill="auto"/>
            <w:noWrap/>
            <w:hideMark/>
          </w:tcPr>
          <w:p w:rsidR="00546A26" w:rsidRPr="00CA4713" w:rsidRDefault="00546A26" w:rsidP="004106CD">
            <w:pPr>
              <w:spacing w:after="0" w:line="240" w:lineRule="auto"/>
              <w:jc w:val="right"/>
              <w:rPr>
                <w:rFonts w:eastAsia="Times New Roman" w:cstheme="minorHAnsi"/>
                <w:color w:val="000000"/>
                <w:sz w:val="20"/>
                <w:lang w:eastAsia="en-NZ"/>
              </w:rPr>
            </w:pPr>
            <w:r w:rsidRPr="00CA4713">
              <w:rPr>
                <w:rFonts w:eastAsia="Times New Roman" w:cstheme="minorHAnsi"/>
                <w:color w:val="000000"/>
                <w:sz w:val="20"/>
                <w:lang w:eastAsia="en-NZ"/>
              </w:rPr>
              <w:t>New</w:t>
            </w:r>
          </w:p>
        </w:tc>
        <w:tc>
          <w:tcPr>
            <w:tcW w:w="1212" w:type="dxa"/>
            <w:gridSpan w:val="3"/>
            <w:shd w:val="clear" w:color="auto" w:fill="auto"/>
            <w:noWrap/>
            <w:hideMark/>
          </w:tcPr>
          <w:p w:rsidR="00546A26" w:rsidRPr="00CA4713" w:rsidRDefault="00546A26" w:rsidP="004106CD">
            <w:pPr>
              <w:spacing w:after="0" w:line="240" w:lineRule="auto"/>
              <w:jc w:val="right"/>
              <w:rPr>
                <w:rFonts w:eastAsia="Times New Roman" w:cstheme="minorHAnsi"/>
                <w:color w:val="000000"/>
                <w:sz w:val="20"/>
                <w:lang w:eastAsia="en-NZ"/>
              </w:rPr>
            </w:pPr>
            <w:r w:rsidRPr="00CA4713">
              <w:rPr>
                <w:rFonts w:eastAsia="Times New Roman" w:cstheme="minorHAnsi"/>
                <w:color w:val="000000"/>
                <w:sz w:val="20"/>
                <w:lang w:eastAsia="en-NZ"/>
              </w:rPr>
              <w:t>53%</w:t>
            </w:r>
          </w:p>
        </w:tc>
        <w:tc>
          <w:tcPr>
            <w:tcW w:w="1120" w:type="dxa"/>
            <w:gridSpan w:val="2"/>
            <w:shd w:val="clear" w:color="000000" w:fill="D9D9D9"/>
            <w:hideMark/>
          </w:tcPr>
          <w:p w:rsidR="00546A26" w:rsidRPr="00CA4713" w:rsidRDefault="00546A26" w:rsidP="004106CD">
            <w:pPr>
              <w:spacing w:after="0" w:line="240" w:lineRule="auto"/>
              <w:jc w:val="right"/>
              <w:rPr>
                <w:rFonts w:eastAsia="Times New Roman" w:cstheme="minorHAnsi"/>
                <w:color w:val="000000"/>
                <w:sz w:val="20"/>
                <w:lang w:eastAsia="en-NZ"/>
              </w:rPr>
            </w:pPr>
            <w:r w:rsidRPr="00CA4713">
              <w:rPr>
                <w:rFonts w:eastAsia="Times New Roman" w:cstheme="minorHAnsi"/>
                <w:color w:val="000000"/>
                <w:sz w:val="20"/>
                <w:lang w:eastAsia="en-NZ"/>
              </w:rPr>
              <w:t>Baseline</w:t>
            </w:r>
          </w:p>
        </w:tc>
        <w:tc>
          <w:tcPr>
            <w:tcW w:w="808" w:type="dxa"/>
            <w:gridSpan w:val="4"/>
            <w:shd w:val="clear" w:color="auto" w:fill="auto"/>
            <w:hideMark/>
          </w:tcPr>
          <w:p w:rsidR="00546A26" w:rsidRPr="00CA4713" w:rsidRDefault="00546A26" w:rsidP="004106CD">
            <w:pPr>
              <w:spacing w:after="0" w:line="240" w:lineRule="auto"/>
              <w:jc w:val="center"/>
              <w:rPr>
                <w:rFonts w:eastAsia="Times New Roman" w:cstheme="minorHAnsi"/>
                <w:color w:val="000000"/>
                <w:sz w:val="20"/>
                <w:lang w:eastAsia="en-NZ"/>
              </w:rPr>
            </w:pPr>
          </w:p>
        </w:tc>
        <w:tc>
          <w:tcPr>
            <w:tcW w:w="1293" w:type="dxa"/>
            <w:gridSpan w:val="2"/>
            <w:shd w:val="clear" w:color="auto" w:fill="auto"/>
            <w:hideMark/>
          </w:tcPr>
          <w:p w:rsidR="00546A26" w:rsidRPr="00CA4713" w:rsidRDefault="00546A26" w:rsidP="004106CD">
            <w:pPr>
              <w:jc w:val="center"/>
              <w:rPr>
                <w:rFonts w:cstheme="minorHAnsi"/>
              </w:rPr>
            </w:pPr>
          </w:p>
        </w:tc>
        <w:tc>
          <w:tcPr>
            <w:tcW w:w="4252" w:type="dxa"/>
            <w:shd w:val="clear" w:color="auto" w:fill="auto"/>
          </w:tcPr>
          <w:p w:rsidR="00546A26" w:rsidRPr="00CA4713" w:rsidRDefault="00546A26" w:rsidP="004106CD">
            <w:pPr>
              <w:spacing w:after="0" w:line="240" w:lineRule="auto"/>
              <w:jc w:val="right"/>
              <w:rPr>
                <w:rFonts w:eastAsia="Times New Roman" w:cstheme="minorHAnsi"/>
                <w:color w:val="000000"/>
                <w:sz w:val="20"/>
                <w:lang w:eastAsia="en-NZ"/>
              </w:rPr>
            </w:pPr>
          </w:p>
        </w:tc>
      </w:tr>
      <w:tr w:rsidR="00546A26" w:rsidRPr="00CA4713" w:rsidTr="009C3D9F">
        <w:trPr>
          <w:trHeight w:val="525"/>
        </w:trPr>
        <w:tc>
          <w:tcPr>
            <w:tcW w:w="4394" w:type="dxa"/>
            <w:gridSpan w:val="3"/>
            <w:shd w:val="clear" w:color="auto" w:fill="auto"/>
            <w:hideMark/>
          </w:tcPr>
          <w:p w:rsidR="00546A26" w:rsidRPr="00CA4713" w:rsidRDefault="00546A26" w:rsidP="004106CD">
            <w:pPr>
              <w:spacing w:after="0" w:line="240" w:lineRule="auto"/>
              <w:rPr>
                <w:rFonts w:eastAsia="Times New Roman" w:cstheme="minorHAnsi"/>
                <w:color w:val="000000"/>
                <w:sz w:val="20"/>
                <w:lang w:eastAsia="en-NZ"/>
              </w:rPr>
            </w:pPr>
            <w:r w:rsidRPr="00CA4713">
              <w:rPr>
                <w:rFonts w:eastAsia="Times New Roman" w:cstheme="minorHAnsi"/>
                <w:color w:val="000000"/>
                <w:sz w:val="20"/>
                <w:lang w:eastAsia="en-NZ"/>
              </w:rPr>
              <w:t>Customers (%) who think the library helped them to improve their job and earning potential</w:t>
            </w:r>
          </w:p>
        </w:tc>
        <w:tc>
          <w:tcPr>
            <w:tcW w:w="1150" w:type="dxa"/>
            <w:gridSpan w:val="3"/>
            <w:shd w:val="clear" w:color="auto" w:fill="auto"/>
          </w:tcPr>
          <w:p w:rsidR="00546A26" w:rsidRPr="00CA4713" w:rsidRDefault="00546A26" w:rsidP="004106CD">
            <w:pPr>
              <w:spacing w:after="0" w:line="240" w:lineRule="auto"/>
              <w:rPr>
                <w:rFonts w:eastAsia="Times New Roman" w:cstheme="minorHAnsi"/>
                <w:color w:val="000000"/>
                <w:sz w:val="20"/>
                <w:lang w:eastAsia="en-NZ"/>
              </w:rPr>
            </w:pPr>
          </w:p>
        </w:tc>
        <w:tc>
          <w:tcPr>
            <w:tcW w:w="1222" w:type="dxa"/>
            <w:gridSpan w:val="3"/>
            <w:shd w:val="clear" w:color="auto" w:fill="auto"/>
            <w:noWrap/>
            <w:hideMark/>
          </w:tcPr>
          <w:p w:rsidR="00546A26" w:rsidRPr="00CA4713" w:rsidRDefault="00546A26" w:rsidP="004106CD">
            <w:pPr>
              <w:spacing w:after="0" w:line="240" w:lineRule="auto"/>
              <w:jc w:val="right"/>
              <w:rPr>
                <w:rFonts w:eastAsia="Times New Roman" w:cstheme="minorHAnsi"/>
                <w:color w:val="000000"/>
                <w:sz w:val="20"/>
                <w:lang w:eastAsia="en-NZ"/>
              </w:rPr>
            </w:pPr>
            <w:r w:rsidRPr="00CA4713">
              <w:rPr>
                <w:rFonts w:eastAsia="Times New Roman" w:cstheme="minorHAnsi"/>
                <w:color w:val="000000"/>
                <w:sz w:val="20"/>
                <w:lang w:eastAsia="en-NZ"/>
              </w:rPr>
              <w:t>New</w:t>
            </w:r>
          </w:p>
        </w:tc>
        <w:tc>
          <w:tcPr>
            <w:tcW w:w="1212" w:type="dxa"/>
            <w:gridSpan w:val="3"/>
            <w:shd w:val="clear" w:color="auto" w:fill="auto"/>
            <w:noWrap/>
            <w:hideMark/>
          </w:tcPr>
          <w:p w:rsidR="00546A26" w:rsidRPr="00CA4713" w:rsidRDefault="00546A26" w:rsidP="004106CD">
            <w:pPr>
              <w:spacing w:after="0" w:line="240" w:lineRule="auto"/>
              <w:jc w:val="right"/>
              <w:rPr>
                <w:rFonts w:eastAsia="Times New Roman" w:cstheme="minorHAnsi"/>
                <w:color w:val="000000"/>
                <w:sz w:val="20"/>
                <w:lang w:eastAsia="en-NZ"/>
              </w:rPr>
            </w:pPr>
            <w:r w:rsidRPr="00CA4713">
              <w:rPr>
                <w:rFonts w:eastAsia="Times New Roman" w:cstheme="minorHAnsi"/>
                <w:color w:val="000000"/>
                <w:sz w:val="20"/>
                <w:lang w:eastAsia="en-NZ"/>
              </w:rPr>
              <w:t>26%</w:t>
            </w:r>
          </w:p>
        </w:tc>
        <w:tc>
          <w:tcPr>
            <w:tcW w:w="1120" w:type="dxa"/>
            <w:gridSpan w:val="2"/>
            <w:shd w:val="clear" w:color="000000" w:fill="D9D9D9"/>
            <w:hideMark/>
          </w:tcPr>
          <w:p w:rsidR="00546A26" w:rsidRPr="00CA4713" w:rsidRDefault="00546A26" w:rsidP="004106CD">
            <w:pPr>
              <w:spacing w:after="0" w:line="240" w:lineRule="auto"/>
              <w:jc w:val="right"/>
              <w:rPr>
                <w:rFonts w:eastAsia="Times New Roman" w:cstheme="minorHAnsi"/>
                <w:color w:val="000000"/>
                <w:sz w:val="20"/>
                <w:lang w:eastAsia="en-NZ"/>
              </w:rPr>
            </w:pPr>
            <w:r w:rsidRPr="00CA4713">
              <w:rPr>
                <w:rFonts w:eastAsia="Times New Roman" w:cstheme="minorHAnsi"/>
                <w:color w:val="000000"/>
                <w:sz w:val="20"/>
                <w:lang w:eastAsia="en-NZ"/>
              </w:rPr>
              <w:t>Baseline</w:t>
            </w:r>
          </w:p>
        </w:tc>
        <w:tc>
          <w:tcPr>
            <w:tcW w:w="808" w:type="dxa"/>
            <w:gridSpan w:val="4"/>
            <w:shd w:val="clear" w:color="auto" w:fill="auto"/>
            <w:hideMark/>
          </w:tcPr>
          <w:p w:rsidR="00546A26" w:rsidRPr="00CA4713" w:rsidRDefault="00546A26" w:rsidP="004106CD">
            <w:pPr>
              <w:spacing w:after="0" w:line="240" w:lineRule="auto"/>
              <w:jc w:val="center"/>
              <w:rPr>
                <w:rFonts w:eastAsia="Times New Roman" w:cstheme="minorHAnsi"/>
                <w:color w:val="000000"/>
                <w:sz w:val="20"/>
                <w:lang w:eastAsia="en-NZ"/>
              </w:rPr>
            </w:pPr>
          </w:p>
        </w:tc>
        <w:tc>
          <w:tcPr>
            <w:tcW w:w="1293" w:type="dxa"/>
            <w:gridSpan w:val="2"/>
            <w:shd w:val="clear" w:color="auto" w:fill="auto"/>
            <w:hideMark/>
          </w:tcPr>
          <w:p w:rsidR="00546A26" w:rsidRPr="00CA4713" w:rsidRDefault="00546A26" w:rsidP="004106CD">
            <w:pPr>
              <w:jc w:val="center"/>
              <w:rPr>
                <w:rFonts w:cstheme="minorHAnsi"/>
              </w:rPr>
            </w:pPr>
          </w:p>
        </w:tc>
        <w:tc>
          <w:tcPr>
            <w:tcW w:w="4252" w:type="dxa"/>
            <w:shd w:val="clear" w:color="auto" w:fill="auto"/>
          </w:tcPr>
          <w:p w:rsidR="00546A26" w:rsidRPr="00CA4713" w:rsidRDefault="00546A26" w:rsidP="004106CD">
            <w:pPr>
              <w:spacing w:after="0" w:line="240" w:lineRule="auto"/>
              <w:jc w:val="right"/>
              <w:rPr>
                <w:rFonts w:eastAsia="Times New Roman" w:cstheme="minorHAnsi"/>
                <w:color w:val="000000"/>
                <w:sz w:val="20"/>
                <w:lang w:eastAsia="en-NZ"/>
              </w:rPr>
            </w:pPr>
          </w:p>
        </w:tc>
      </w:tr>
      <w:tr w:rsidR="00546A26" w:rsidRPr="00CA4713" w:rsidTr="009C3D9F">
        <w:trPr>
          <w:trHeight w:val="525"/>
        </w:trPr>
        <w:tc>
          <w:tcPr>
            <w:tcW w:w="4394" w:type="dxa"/>
            <w:gridSpan w:val="3"/>
            <w:tcBorders>
              <w:bottom w:val="nil"/>
            </w:tcBorders>
            <w:shd w:val="clear" w:color="auto" w:fill="auto"/>
            <w:hideMark/>
          </w:tcPr>
          <w:p w:rsidR="00546A26" w:rsidRPr="00CA4713" w:rsidRDefault="00546A26" w:rsidP="004106CD">
            <w:pPr>
              <w:spacing w:after="0" w:line="240" w:lineRule="auto"/>
              <w:rPr>
                <w:rFonts w:eastAsia="Times New Roman" w:cstheme="minorHAnsi"/>
                <w:color w:val="000000"/>
                <w:sz w:val="20"/>
                <w:lang w:eastAsia="en-NZ"/>
              </w:rPr>
            </w:pPr>
            <w:r w:rsidRPr="00CA4713">
              <w:rPr>
                <w:rFonts w:eastAsia="Times New Roman" w:cstheme="minorHAnsi"/>
                <w:color w:val="000000"/>
                <w:sz w:val="20"/>
                <w:lang w:eastAsia="en-NZ"/>
              </w:rPr>
              <w:t xml:space="preserve">Customers (%) who think the library contributed to their sense of belonging in the community </w:t>
            </w:r>
          </w:p>
        </w:tc>
        <w:tc>
          <w:tcPr>
            <w:tcW w:w="1150" w:type="dxa"/>
            <w:gridSpan w:val="3"/>
            <w:tcBorders>
              <w:bottom w:val="nil"/>
            </w:tcBorders>
            <w:shd w:val="clear" w:color="auto" w:fill="auto"/>
          </w:tcPr>
          <w:p w:rsidR="00546A26" w:rsidRPr="00CA4713" w:rsidRDefault="00546A26" w:rsidP="004106CD">
            <w:pPr>
              <w:spacing w:after="0" w:line="240" w:lineRule="auto"/>
              <w:rPr>
                <w:rFonts w:eastAsia="Times New Roman" w:cstheme="minorHAnsi"/>
                <w:color w:val="000000"/>
                <w:sz w:val="20"/>
                <w:lang w:eastAsia="en-NZ"/>
              </w:rPr>
            </w:pPr>
          </w:p>
        </w:tc>
        <w:tc>
          <w:tcPr>
            <w:tcW w:w="1222" w:type="dxa"/>
            <w:gridSpan w:val="3"/>
            <w:tcBorders>
              <w:bottom w:val="nil"/>
            </w:tcBorders>
            <w:shd w:val="clear" w:color="auto" w:fill="auto"/>
            <w:noWrap/>
            <w:hideMark/>
          </w:tcPr>
          <w:p w:rsidR="00546A26" w:rsidRPr="00CA4713" w:rsidRDefault="00546A26" w:rsidP="004106CD">
            <w:pPr>
              <w:spacing w:after="0" w:line="240" w:lineRule="auto"/>
              <w:jc w:val="right"/>
              <w:rPr>
                <w:rFonts w:eastAsia="Times New Roman" w:cstheme="minorHAnsi"/>
                <w:color w:val="000000"/>
                <w:sz w:val="20"/>
                <w:lang w:eastAsia="en-NZ"/>
              </w:rPr>
            </w:pPr>
            <w:r w:rsidRPr="00CA4713">
              <w:rPr>
                <w:rFonts w:eastAsia="Times New Roman" w:cstheme="minorHAnsi"/>
                <w:color w:val="000000"/>
                <w:sz w:val="20"/>
                <w:lang w:eastAsia="en-NZ"/>
              </w:rPr>
              <w:t>New</w:t>
            </w:r>
          </w:p>
        </w:tc>
        <w:tc>
          <w:tcPr>
            <w:tcW w:w="1212" w:type="dxa"/>
            <w:gridSpan w:val="3"/>
            <w:tcBorders>
              <w:bottom w:val="nil"/>
            </w:tcBorders>
            <w:shd w:val="clear" w:color="auto" w:fill="auto"/>
            <w:noWrap/>
            <w:hideMark/>
          </w:tcPr>
          <w:p w:rsidR="00546A26" w:rsidRPr="00CA4713" w:rsidRDefault="00546A26" w:rsidP="004106CD">
            <w:pPr>
              <w:spacing w:after="0" w:line="240" w:lineRule="auto"/>
              <w:jc w:val="right"/>
              <w:rPr>
                <w:rFonts w:eastAsia="Times New Roman" w:cstheme="minorHAnsi"/>
                <w:color w:val="000000"/>
                <w:sz w:val="20"/>
                <w:lang w:eastAsia="en-NZ"/>
              </w:rPr>
            </w:pPr>
            <w:r w:rsidRPr="00CA4713">
              <w:rPr>
                <w:rFonts w:eastAsia="Times New Roman" w:cstheme="minorHAnsi"/>
                <w:color w:val="000000"/>
                <w:sz w:val="20"/>
                <w:lang w:eastAsia="en-NZ"/>
              </w:rPr>
              <w:t>66</w:t>
            </w:r>
            <w:r w:rsidR="00750654">
              <w:rPr>
                <w:rFonts w:eastAsia="Times New Roman" w:cstheme="minorHAnsi"/>
                <w:color w:val="000000"/>
                <w:sz w:val="20"/>
                <w:lang w:eastAsia="en-NZ"/>
              </w:rPr>
              <w:t>.6</w:t>
            </w:r>
            <w:r w:rsidRPr="00CA4713">
              <w:rPr>
                <w:rFonts w:eastAsia="Times New Roman" w:cstheme="minorHAnsi"/>
                <w:color w:val="000000"/>
                <w:sz w:val="20"/>
                <w:lang w:eastAsia="en-NZ"/>
              </w:rPr>
              <w:t>%</w:t>
            </w:r>
          </w:p>
        </w:tc>
        <w:tc>
          <w:tcPr>
            <w:tcW w:w="1120" w:type="dxa"/>
            <w:gridSpan w:val="2"/>
            <w:tcBorders>
              <w:bottom w:val="nil"/>
            </w:tcBorders>
            <w:shd w:val="clear" w:color="000000" w:fill="D9D9D9"/>
            <w:hideMark/>
          </w:tcPr>
          <w:p w:rsidR="00546A26" w:rsidRPr="00CA4713" w:rsidRDefault="00546A26" w:rsidP="004106CD">
            <w:pPr>
              <w:spacing w:after="0" w:line="240" w:lineRule="auto"/>
              <w:jc w:val="right"/>
              <w:rPr>
                <w:rFonts w:eastAsia="Times New Roman" w:cstheme="minorHAnsi"/>
                <w:color w:val="000000"/>
                <w:sz w:val="20"/>
                <w:lang w:eastAsia="en-NZ"/>
              </w:rPr>
            </w:pPr>
            <w:r w:rsidRPr="00CA4713">
              <w:rPr>
                <w:rFonts w:eastAsia="Times New Roman" w:cstheme="minorHAnsi"/>
                <w:color w:val="000000"/>
                <w:sz w:val="20"/>
                <w:lang w:eastAsia="en-NZ"/>
              </w:rPr>
              <w:t>Baseline</w:t>
            </w:r>
          </w:p>
        </w:tc>
        <w:tc>
          <w:tcPr>
            <w:tcW w:w="808" w:type="dxa"/>
            <w:gridSpan w:val="4"/>
            <w:tcBorders>
              <w:bottom w:val="nil"/>
            </w:tcBorders>
            <w:shd w:val="clear" w:color="auto" w:fill="auto"/>
            <w:hideMark/>
          </w:tcPr>
          <w:p w:rsidR="00546A26" w:rsidRPr="00CA4713" w:rsidRDefault="00546A26" w:rsidP="004106CD">
            <w:pPr>
              <w:spacing w:after="0" w:line="240" w:lineRule="auto"/>
              <w:jc w:val="center"/>
              <w:rPr>
                <w:rFonts w:eastAsia="Times New Roman" w:cstheme="minorHAnsi"/>
                <w:color w:val="000000"/>
                <w:sz w:val="20"/>
                <w:lang w:eastAsia="en-NZ"/>
              </w:rPr>
            </w:pPr>
          </w:p>
        </w:tc>
        <w:tc>
          <w:tcPr>
            <w:tcW w:w="1293" w:type="dxa"/>
            <w:gridSpan w:val="2"/>
            <w:tcBorders>
              <w:bottom w:val="nil"/>
            </w:tcBorders>
            <w:shd w:val="clear" w:color="auto" w:fill="auto"/>
            <w:hideMark/>
          </w:tcPr>
          <w:p w:rsidR="00546A26" w:rsidRPr="00CA4713" w:rsidRDefault="00546A26" w:rsidP="004106CD">
            <w:pPr>
              <w:jc w:val="center"/>
              <w:rPr>
                <w:rFonts w:cstheme="minorHAnsi"/>
              </w:rPr>
            </w:pPr>
          </w:p>
        </w:tc>
        <w:tc>
          <w:tcPr>
            <w:tcW w:w="4252" w:type="dxa"/>
            <w:tcBorders>
              <w:bottom w:val="nil"/>
            </w:tcBorders>
            <w:shd w:val="clear" w:color="auto" w:fill="auto"/>
            <w:hideMark/>
          </w:tcPr>
          <w:p w:rsidR="00546A26" w:rsidRPr="00CA4713" w:rsidRDefault="00546A26" w:rsidP="004106CD">
            <w:pPr>
              <w:spacing w:after="0" w:line="240" w:lineRule="auto"/>
              <w:jc w:val="right"/>
              <w:rPr>
                <w:rFonts w:eastAsia="Times New Roman" w:cstheme="minorHAnsi"/>
                <w:color w:val="000000"/>
                <w:sz w:val="20"/>
                <w:lang w:eastAsia="en-NZ"/>
              </w:rPr>
            </w:pPr>
          </w:p>
        </w:tc>
      </w:tr>
      <w:tr w:rsidR="00546A26" w:rsidRPr="00CA4713" w:rsidTr="009C3D9F">
        <w:trPr>
          <w:trHeight w:val="315"/>
        </w:trPr>
        <w:tc>
          <w:tcPr>
            <w:tcW w:w="15451" w:type="dxa"/>
            <w:gridSpan w:val="21"/>
            <w:tcBorders>
              <w:top w:val="nil"/>
              <w:bottom w:val="nil"/>
            </w:tcBorders>
            <w:shd w:val="clear" w:color="auto" w:fill="DAEEF3" w:themeFill="accent5" w:themeFillTint="33"/>
            <w:hideMark/>
          </w:tcPr>
          <w:p w:rsidR="00546A26" w:rsidRPr="00F45CA3" w:rsidRDefault="00546A26" w:rsidP="004106CD">
            <w:pPr>
              <w:spacing w:after="0" w:line="240" w:lineRule="auto"/>
              <w:rPr>
                <w:rFonts w:eastAsia="Times New Roman" w:cstheme="minorHAnsi"/>
                <w:b/>
                <w:color w:val="000000" w:themeColor="text1"/>
                <w:sz w:val="20"/>
                <w:szCs w:val="20"/>
                <w:lang w:eastAsia="en-NZ"/>
              </w:rPr>
            </w:pPr>
            <w:r w:rsidRPr="00F45CA3">
              <w:rPr>
                <w:rFonts w:eastAsia="Times New Roman" w:cstheme="minorHAnsi"/>
                <w:b/>
                <w:color w:val="000000" w:themeColor="text1"/>
                <w:sz w:val="20"/>
                <w:szCs w:val="20"/>
                <w:lang w:eastAsia="en-NZ"/>
              </w:rPr>
              <w:t>Libraries affordability</w:t>
            </w:r>
          </w:p>
        </w:tc>
      </w:tr>
      <w:tr w:rsidR="00546A26" w:rsidRPr="00CA4713" w:rsidTr="009C3D9F">
        <w:trPr>
          <w:trHeight w:val="314"/>
        </w:trPr>
        <w:tc>
          <w:tcPr>
            <w:tcW w:w="4394" w:type="dxa"/>
            <w:gridSpan w:val="3"/>
            <w:tcBorders>
              <w:top w:val="nil"/>
              <w:bottom w:val="single" w:sz="4" w:space="0" w:color="009999"/>
            </w:tcBorders>
            <w:shd w:val="clear" w:color="auto" w:fill="auto"/>
            <w:hideMark/>
          </w:tcPr>
          <w:p w:rsidR="00546A26" w:rsidRPr="00CA4713" w:rsidRDefault="00546A26" w:rsidP="004106CD">
            <w:pPr>
              <w:spacing w:after="0" w:line="240" w:lineRule="auto"/>
              <w:rPr>
                <w:rFonts w:eastAsia="Times New Roman" w:cstheme="minorHAnsi"/>
                <w:color w:val="000000"/>
                <w:sz w:val="20"/>
                <w:lang w:eastAsia="en-NZ"/>
              </w:rPr>
            </w:pPr>
            <w:r w:rsidRPr="00CA4713">
              <w:rPr>
                <w:rFonts w:eastAsia="Times New Roman" w:cstheme="minorHAnsi"/>
                <w:color w:val="000000"/>
                <w:sz w:val="20"/>
                <w:lang w:eastAsia="en-NZ"/>
              </w:rPr>
              <w:t>Cost to the ratepayer per library transaction</w:t>
            </w:r>
          </w:p>
        </w:tc>
        <w:tc>
          <w:tcPr>
            <w:tcW w:w="1150" w:type="dxa"/>
            <w:gridSpan w:val="3"/>
            <w:tcBorders>
              <w:top w:val="nil"/>
              <w:bottom w:val="single" w:sz="4" w:space="0" w:color="009999"/>
            </w:tcBorders>
            <w:shd w:val="clear" w:color="auto" w:fill="auto"/>
            <w:hideMark/>
          </w:tcPr>
          <w:p w:rsidR="00546A26" w:rsidRPr="00CA4713" w:rsidRDefault="00546A26" w:rsidP="004106CD">
            <w:pPr>
              <w:spacing w:after="0" w:line="240" w:lineRule="auto"/>
              <w:jc w:val="right"/>
              <w:rPr>
                <w:rFonts w:eastAsia="Times New Roman" w:cstheme="minorHAnsi"/>
                <w:color w:val="000000"/>
                <w:sz w:val="20"/>
                <w:lang w:eastAsia="en-NZ"/>
              </w:rPr>
            </w:pPr>
          </w:p>
        </w:tc>
        <w:tc>
          <w:tcPr>
            <w:tcW w:w="1176" w:type="dxa"/>
            <w:tcBorders>
              <w:top w:val="nil"/>
              <w:bottom w:val="single" w:sz="4" w:space="0" w:color="009999"/>
            </w:tcBorders>
            <w:shd w:val="clear" w:color="auto" w:fill="auto"/>
            <w:noWrap/>
            <w:hideMark/>
          </w:tcPr>
          <w:p w:rsidR="00546A26" w:rsidRPr="00CA4713" w:rsidRDefault="00546A26" w:rsidP="004106CD">
            <w:pPr>
              <w:spacing w:after="0" w:line="240" w:lineRule="auto"/>
              <w:jc w:val="right"/>
              <w:rPr>
                <w:rFonts w:eastAsia="Times New Roman" w:cstheme="minorHAnsi"/>
                <w:color w:val="000000"/>
                <w:sz w:val="20"/>
                <w:lang w:eastAsia="en-NZ"/>
              </w:rPr>
            </w:pPr>
            <w:r w:rsidRPr="00CA4713">
              <w:rPr>
                <w:rFonts w:eastAsia="Times New Roman" w:cstheme="minorHAnsi"/>
                <w:color w:val="000000"/>
                <w:sz w:val="20"/>
                <w:lang w:eastAsia="en-NZ"/>
              </w:rPr>
              <w:t>New</w:t>
            </w:r>
          </w:p>
        </w:tc>
        <w:tc>
          <w:tcPr>
            <w:tcW w:w="1224" w:type="dxa"/>
            <w:gridSpan w:val="3"/>
            <w:tcBorders>
              <w:top w:val="nil"/>
              <w:bottom w:val="single" w:sz="4" w:space="0" w:color="009999"/>
            </w:tcBorders>
            <w:shd w:val="clear" w:color="auto" w:fill="auto"/>
            <w:noWrap/>
            <w:hideMark/>
          </w:tcPr>
          <w:p w:rsidR="00546A26" w:rsidRPr="00CA4713" w:rsidRDefault="00546A26" w:rsidP="004106CD">
            <w:pPr>
              <w:spacing w:after="0" w:line="240" w:lineRule="auto"/>
              <w:jc w:val="right"/>
              <w:rPr>
                <w:rFonts w:eastAsia="Times New Roman" w:cstheme="minorHAnsi"/>
                <w:color w:val="000000"/>
                <w:sz w:val="20"/>
                <w:lang w:eastAsia="en-NZ"/>
              </w:rPr>
            </w:pPr>
            <w:r w:rsidRPr="00CA4713">
              <w:rPr>
                <w:rFonts w:eastAsia="Times New Roman" w:cstheme="minorHAnsi"/>
                <w:color w:val="000000"/>
                <w:sz w:val="20"/>
                <w:lang w:eastAsia="en-NZ"/>
              </w:rPr>
              <w:t>$2.39</w:t>
            </w:r>
          </w:p>
        </w:tc>
        <w:tc>
          <w:tcPr>
            <w:tcW w:w="1154" w:type="dxa"/>
            <w:gridSpan w:val="4"/>
            <w:tcBorders>
              <w:top w:val="nil"/>
              <w:bottom w:val="single" w:sz="4" w:space="0" w:color="009999"/>
            </w:tcBorders>
            <w:shd w:val="clear" w:color="000000" w:fill="D9D9D9"/>
            <w:hideMark/>
          </w:tcPr>
          <w:p w:rsidR="00546A26" w:rsidRPr="00CA4713" w:rsidRDefault="00546A26" w:rsidP="004106CD">
            <w:pPr>
              <w:spacing w:after="0" w:line="240" w:lineRule="auto"/>
              <w:jc w:val="right"/>
              <w:rPr>
                <w:rFonts w:eastAsia="Times New Roman" w:cstheme="minorHAnsi"/>
                <w:color w:val="000000"/>
                <w:sz w:val="20"/>
                <w:lang w:eastAsia="en-NZ"/>
              </w:rPr>
            </w:pPr>
            <w:r w:rsidRPr="00CA4713">
              <w:rPr>
                <w:rFonts w:eastAsia="Times New Roman" w:cstheme="minorHAnsi"/>
                <w:color w:val="000000"/>
                <w:sz w:val="20"/>
                <w:lang w:eastAsia="en-NZ"/>
              </w:rPr>
              <w:t>Baseline</w:t>
            </w:r>
          </w:p>
        </w:tc>
        <w:tc>
          <w:tcPr>
            <w:tcW w:w="785" w:type="dxa"/>
            <w:gridSpan w:val="2"/>
            <w:tcBorders>
              <w:top w:val="nil"/>
              <w:bottom w:val="single" w:sz="4" w:space="0" w:color="009999"/>
            </w:tcBorders>
            <w:shd w:val="clear" w:color="auto" w:fill="auto"/>
            <w:hideMark/>
          </w:tcPr>
          <w:p w:rsidR="00546A26" w:rsidRPr="00CA4713" w:rsidRDefault="00546A26" w:rsidP="004106CD">
            <w:pPr>
              <w:spacing w:after="0" w:line="240" w:lineRule="auto"/>
              <w:jc w:val="center"/>
              <w:rPr>
                <w:rFonts w:eastAsia="Times New Roman" w:cstheme="minorHAnsi"/>
                <w:color w:val="000000"/>
                <w:sz w:val="20"/>
                <w:lang w:eastAsia="en-NZ"/>
              </w:rPr>
            </w:pPr>
          </w:p>
        </w:tc>
        <w:tc>
          <w:tcPr>
            <w:tcW w:w="1316" w:type="dxa"/>
            <w:gridSpan w:val="4"/>
            <w:tcBorders>
              <w:top w:val="nil"/>
              <w:bottom w:val="single" w:sz="4" w:space="0" w:color="009999"/>
            </w:tcBorders>
            <w:shd w:val="clear" w:color="auto" w:fill="auto"/>
            <w:hideMark/>
          </w:tcPr>
          <w:p w:rsidR="00546A26" w:rsidRPr="00CA4713" w:rsidRDefault="00546A26" w:rsidP="004106CD">
            <w:pPr>
              <w:spacing w:after="0" w:line="240" w:lineRule="auto"/>
              <w:jc w:val="center"/>
              <w:rPr>
                <w:rFonts w:eastAsia="Times New Roman" w:cstheme="minorHAnsi"/>
                <w:color w:val="000000"/>
                <w:sz w:val="20"/>
                <w:lang w:eastAsia="en-NZ"/>
              </w:rPr>
            </w:pPr>
          </w:p>
        </w:tc>
        <w:tc>
          <w:tcPr>
            <w:tcW w:w="4252" w:type="dxa"/>
            <w:tcBorders>
              <w:top w:val="nil"/>
              <w:bottom w:val="single" w:sz="4" w:space="0" w:color="009999"/>
            </w:tcBorders>
            <w:shd w:val="clear" w:color="auto" w:fill="auto"/>
            <w:hideMark/>
          </w:tcPr>
          <w:p w:rsidR="00546A26" w:rsidRPr="00CA4713" w:rsidRDefault="00546A26" w:rsidP="004106CD">
            <w:pPr>
              <w:spacing w:after="0" w:line="240" w:lineRule="auto"/>
              <w:rPr>
                <w:rFonts w:eastAsia="Times New Roman" w:cstheme="minorHAnsi"/>
                <w:color w:val="000000"/>
                <w:sz w:val="20"/>
                <w:lang w:eastAsia="en-NZ"/>
              </w:rPr>
            </w:pPr>
          </w:p>
        </w:tc>
      </w:tr>
      <w:tr w:rsidR="00546A26" w:rsidRPr="00CA4713" w:rsidTr="009C3D9F">
        <w:trPr>
          <w:trHeight w:val="567"/>
        </w:trPr>
        <w:tc>
          <w:tcPr>
            <w:tcW w:w="4394" w:type="dxa"/>
            <w:gridSpan w:val="3"/>
            <w:tcBorders>
              <w:bottom w:val="single" w:sz="4" w:space="0" w:color="FFFFFF" w:themeColor="background1"/>
            </w:tcBorders>
            <w:shd w:val="clear" w:color="auto" w:fill="auto"/>
            <w:hideMark/>
          </w:tcPr>
          <w:p w:rsidR="00546A26" w:rsidRPr="00CA4713" w:rsidRDefault="00546A26" w:rsidP="004106CD">
            <w:pPr>
              <w:spacing w:after="0" w:line="240" w:lineRule="auto"/>
              <w:rPr>
                <w:rFonts w:eastAsia="Times New Roman" w:cstheme="minorHAnsi"/>
                <w:color w:val="000000"/>
                <w:sz w:val="20"/>
                <w:lang w:eastAsia="en-NZ"/>
              </w:rPr>
            </w:pPr>
            <w:r w:rsidRPr="00CA4713">
              <w:rPr>
                <w:rFonts w:eastAsia="Times New Roman" w:cstheme="minorHAnsi"/>
                <w:color w:val="000000"/>
                <w:sz w:val="20"/>
                <w:lang w:eastAsia="en-NZ"/>
              </w:rPr>
              <w:t>Occupancy (%) of Council community centres and halls</w:t>
            </w:r>
          </w:p>
        </w:tc>
        <w:tc>
          <w:tcPr>
            <w:tcW w:w="1150" w:type="dxa"/>
            <w:gridSpan w:val="3"/>
            <w:tcBorders>
              <w:bottom w:val="single" w:sz="4" w:space="0" w:color="FFFFFF" w:themeColor="background1"/>
            </w:tcBorders>
            <w:shd w:val="clear" w:color="auto" w:fill="auto"/>
            <w:noWrap/>
            <w:hideMark/>
          </w:tcPr>
          <w:p w:rsidR="00546A26" w:rsidRPr="00CA4713" w:rsidRDefault="00546A26" w:rsidP="004106CD">
            <w:pPr>
              <w:spacing w:after="0" w:line="240" w:lineRule="auto"/>
              <w:jc w:val="right"/>
              <w:rPr>
                <w:rFonts w:eastAsia="Times New Roman" w:cstheme="minorHAnsi"/>
                <w:color w:val="000000"/>
                <w:sz w:val="20"/>
                <w:lang w:eastAsia="en-NZ"/>
              </w:rPr>
            </w:pPr>
            <w:r w:rsidRPr="00CA4713">
              <w:rPr>
                <w:rFonts w:eastAsia="Times New Roman" w:cstheme="minorHAnsi"/>
                <w:color w:val="000000"/>
                <w:sz w:val="20"/>
                <w:lang w:eastAsia="en-NZ"/>
              </w:rPr>
              <w:t>45%</w:t>
            </w:r>
          </w:p>
        </w:tc>
        <w:tc>
          <w:tcPr>
            <w:tcW w:w="1176" w:type="dxa"/>
            <w:tcBorders>
              <w:bottom w:val="single" w:sz="4" w:space="0" w:color="FFFFFF" w:themeColor="background1"/>
            </w:tcBorders>
            <w:shd w:val="clear" w:color="auto" w:fill="auto"/>
            <w:noWrap/>
            <w:hideMark/>
          </w:tcPr>
          <w:p w:rsidR="00546A26" w:rsidRPr="00CA4713" w:rsidRDefault="00546A26" w:rsidP="004106CD">
            <w:pPr>
              <w:spacing w:after="0" w:line="240" w:lineRule="auto"/>
              <w:jc w:val="right"/>
              <w:rPr>
                <w:rFonts w:eastAsia="Times New Roman" w:cstheme="minorHAnsi"/>
                <w:color w:val="000000"/>
                <w:sz w:val="20"/>
                <w:lang w:eastAsia="en-NZ"/>
              </w:rPr>
            </w:pPr>
            <w:r w:rsidRPr="00CA4713">
              <w:rPr>
                <w:rFonts w:eastAsia="Times New Roman" w:cstheme="minorHAnsi"/>
                <w:color w:val="000000"/>
                <w:sz w:val="20"/>
                <w:lang w:eastAsia="en-NZ"/>
              </w:rPr>
              <w:t>42%</w:t>
            </w:r>
          </w:p>
        </w:tc>
        <w:tc>
          <w:tcPr>
            <w:tcW w:w="1224" w:type="dxa"/>
            <w:gridSpan w:val="3"/>
            <w:tcBorders>
              <w:bottom w:val="single" w:sz="4" w:space="0" w:color="FFFFFF" w:themeColor="background1"/>
            </w:tcBorders>
            <w:shd w:val="clear" w:color="auto" w:fill="auto"/>
            <w:noWrap/>
            <w:hideMark/>
          </w:tcPr>
          <w:p w:rsidR="00546A26" w:rsidRPr="00CA4713" w:rsidRDefault="00546A26" w:rsidP="004106CD">
            <w:pPr>
              <w:spacing w:after="0" w:line="240" w:lineRule="auto"/>
              <w:jc w:val="right"/>
              <w:rPr>
                <w:rFonts w:eastAsia="Times New Roman" w:cstheme="minorHAnsi"/>
                <w:color w:val="000000"/>
                <w:sz w:val="20"/>
                <w:lang w:eastAsia="en-NZ"/>
              </w:rPr>
            </w:pPr>
            <w:r w:rsidRPr="00CA4713">
              <w:rPr>
                <w:rFonts w:eastAsia="Times New Roman" w:cstheme="minorHAnsi"/>
                <w:color w:val="000000"/>
                <w:sz w:val="20"/>
                <w:lang w:eastAsia="en-NZ"/>
              </w:rPr>
              <w:t>42%</w:t>
            </w:r>
          </w:p>
        </w:tc>
        <w:tc>
          <w:tcPr>
            <w:tcW w:w="1154" w:type="dxa"/>
            <w:gridSpan w:val="4"/>
            <w:tcBorders>
              <w:bottom w:val="single" w:sz="4" w:space="0" w:color="FFFFFF" w:themeColor="background1"/>
            </w:tcBorders>
            <w:shd w:val="clear" w:color="000000" w:fill="D9D9D9"/>
            <w:hideMark/>
          </w:tcPr>
          <w:p w:rsidR="00546A26" w:rsidRPr="00CA4713" w:rsidRDefault="00546A26" w:rsidP="004106CD">
            <w:pPr>
              <w:spacing w:after="0" w:line="240" w:lineRule="auto"/>
              <w:jc w:val="right"/>
              <w:rPr>
                <w:rFonts w:eastAsia="Times New Roman" w:cstheme="minorHAnsi"/>
                <w:color w:val="000000"/>
                <w:sz w:val="20"/>
                <w:lang w:eastAsia="en-NZ"/>
              </w:rPr>
            </w:pPr>
            <w:r w:rsidRPr="00CA4713">
              <w:rPr>
                <w:rFonts w:eastAsia="Times New Roman" w:cstheme="minorHAnsi"/>
                <w:color w:val="000000"/>
                <w:sz w:val="20"/>
                <w:lang w:eastAsia="en-NZ"/>
              </w:rPr>
              <w:t>45%</w:t>
            </w:r>
          </w:p>
        </w:tc>
        <w:tc>
          <w:tcPr>
            <w:tcW w:w="785" w:type="dxa"/>
            <w:gridSpan w:val="2"/>
            <w:tcBorders>
              <w:bottom w:val="single" w:sz="4" w:space="0" w:color="FFFFFF" w:themeColor="background1"/>
            </w:tcBorders>
            <w:shd w:val="clear" w:color="auto" w:fill="auto"/>
            <w:hideMark/>
          </w:tcPr>
          <w:p w:rsidR="00546A26" w:rsidRPr="00CA4713" w:rsidRDefault="00546A26" w:rsidP="004106CD">
            <w:pPr>
              <w:spacing w:after="0" w:line="240" w:lineRule="auto"/>
              <w:jc w:val="center"/>
              <w:rPr>
                <w:rFonts w:eastAsia="Times New Roman" w:cstheme="minorHAnsi"/>
                <w:color w:val="000000"/>
                <w:sz w:val="20"/>
                <w:lang w:eastAsia="en-NZ"/>
              </w:rPr>
            </w:pPr>
            <w:r w:rsidRPr="00CA4713">
              <w:rPr>
                <w:rFonts w:eastAsia="Times New Roman" w:cstheme="minorHAnsi"/>
                <w:color w:val="000000"/>
                <w:sz w:val="20"/>
                <w:lang w:eastAsia="en-NZ"/>
              </w:rPr>
              <w:t>-7%</w:t>
            </w:r>
          </w:p>
        </w:tc>
        <w:tc>
          <w:tcPr>
            <w:tcW w:w="1316" w:type="dxa"/>
            <w:gridSpan w:val="4"/>
            <w:tcBorders>
              <w:bottom w:val="single" w:sz="4" w:space="0" w:color="FFFFFF" w:themeColor="background1"/>
            </w:tcBorders>
            <w:shd w:val="clear" w:color="auto" w:fill="auto"/>
            <w:hideMark/>
          </w:tcPr>
          <w:p w:rsidR="00546A26" w:rsidRPr="00CA4713" w:rsidRDefault="009C3D9F" w:rsidP="009C3D9F">
            <w:pPr>
              <w:spacing w:after="0" w:line="240" w:lineRule="auto"/>
              <w:jc w:val="right"/>
              <w:rPr>
                <w:rFonts w:eastAsia="Times New Roman" w:cstheme="minorHAnsi"/>
                <w:color w:val="000000"/>
                <w:sz w:val="20"/>
                <w:lang w:eastAsia="en-NZ"/>
              </w:rPr>
            </w:pPr>
            <w:r>
              <w:rPr>
                <w:rFonts w:eastAsia="Times New Roman" w:cstheme="minorHAnsi"/>
                <w:color w:val="000000"/>
                <w:sz w:val="20"/>
                <w:lang w:eastAsia="en-NZ"/>
              </w:rPr>
              <w:t>Within 10%</w:t>
            </w:r>
          </w:p>
        </w:tc>
        <w:tc>
          <w:tcPr>
            <w:tcW w:w="4252" w:type="dxa"/>
            <w:tcBorders>
              <w:bottom w:val="single" w:sz="4" w:space="0" w:color="FFFFFF" w:themeColor="background1"/>
            </w:tcBorders>
            <w:shd w:val="clear" w:color="auto" w:fill="auto"/>
            <w:hideMark/>
          </w:tcPr>
          <w:p w:rsidR="00546A26" w:rsidRPr="00CA4713" w:rsidRDefault="00546A26" w:rsidP="004106CD">
            <w:pPr>
              <w:spacing w:after="0" w:line="240" w:lineRule="auto"/>
              <w:jc w:val="right"/>
              <w:rPr>
                <w:rFonts w:eastAsia="Times New Roman" w:cstheme="minorHAnsi"/>
                <w:color w:val="000000"/>
                <w:sz w:val="20"/>
                <w:lang w:eastAsia="en-NZ"/>
              </w:rPr>
            </w:pPr>
          </w:p>
        </w:tc>
      </w:tr>
      <w:tr w:rsidR="004106CD" w:rsidRPr="00CA4713" w:rsidTr="009C3D9F">
        <w:trPr>
          <w:trHeight w:val="315"/>
        </w:trPr>
        <w:tc>
          <w:tcPr>
            <w:tcW w:w="4394" w:type="dxa"/>
            <w:gridSpan w:val="3"/>
            <w:tcBorders>
              <w:top w:val="single" w:sz="4" w:space="0" w:color="FFFFFF" w:themeColor="background1"/>
              <w:bottom w:val="single" w:sz="4" w:space="0" w:color="FFFFFF" w:themeColor="background1"/>
              <w:right w:val="nil"/>
            </w:tcBorders>
            <w:shd w:val="clear" w:color="auto" w:fill="DAEEF3" w:themeFill="accent5" w:themeFillTint="33"/>
            <w:hideMark/>
          </w:tcPr>
          <w:p w:rsidR="00546A26" w:rsidRPr="00F45CA3" w:rsidRDefault="00546A26" w:rsidP="004106CD">
            <w:pPr>
              <w:spacing w:after="0" w:line="240" w:lineRule="auto"/>
              <w:rPr>
                <w:rFonts w:eastAsia="Times New Roman" w:cstheme="minorHAnsi"/>
                <w:b/>
                <w:color w:val="000000" w:themeColor="text1"/>
                <w:sz w:val="20"/>
                <w:szCs w:val="20"/>
                <w:lang w:eastAsia="en-NZ"/>
              </w:rPr>
            </w:pPr>
            <w:r w:rsidRPr="00F45CA3">
              <w:rPr>
                <w:rFonts w:eastAsia="Times New Roman" w:cstheme="minorHAnsi"/>
                <w:b/>
                <w:color w:val="000000" w:themeColor="text1"/>
                <w:sz w:val="20"/>
                <w:szCs w:val="20"/>
                <w:lang w:eastAsia="en-NZ"/>
              </w:rPr>
              <w:t>Community advocacy</w:t>
            </w:r>
          </w:p>
        </w:tc>
        <w:tc>
          <w:tcPr>
            <w:tcW w:w="1150" w:type="dxa"/>
            <w:gridSpan w:val="3"/>
            <w:tcBorders>
              <w:top w:val="single" w:sz="4" w:space="0" w:color="FFFFFF" w:themeColor="background1"/>
              <w:left w:val="nil"/>
              <w:bottom w:val="single" w:sz="4" w:space="0" w:color="FFFFFF" w:themeColor="background1"/>
            </w:tcBorders>
            <w:shd w:val="clear" w:color="auto" w:fill="DAEEF3" w:themeFill="accent5" w:themeFillTint="33"/>
            <w:noWrap/>
            <w:hideMark/>
          </w:tcPr>
          <w:p w:rsidR="00546A26" w:rsidRPr="00CA4713" w:rsidRDefault="00546A26" w:rsidP="004106CD">
            <w:pPr>
              <w:spacing w:after="0" w:line="240" w:lineRule="auto"/>
              <w:jc w:val="right"/>
              <w:rPr>
                <w:rFonts w:eastAsia="Times New Roman" w:cstheme="minorHAnsi"/>
                <w:b/>
                <w:color w:val="000000" w:themeColor="text1"/>
                <w:sz w:val="20"/>
                <w:lang w:eastAsia="en-NZ"/>
              </w:rPr>
            </w:pPr>
          </w:p>
        </w:tc>
        <w:tc>
          <w:tcPr>
            <w:tcW w:w="1176" w:type="dxa"/>
            <w:tcBorders>
              <w:top w:val="single" w:sz="4" w:space="0" w:color="FFFFFF" w:themeColor="background1"/>
              <w:bottom w:val="single" w:sz="4" w:space="0" w:color="FFFFFF" w:themeColor="background1"/>
            </w:tcBorders>
            <w:shd w:val="clear" w:color="auto" w:fill="DAEEF3" w:themeFill="accent5" w:themeFillTint="33"/>
            <w:noWrap/>
            <w:hideMark/>
          </w:tcPr>
          <w:p w:rsidR="00546A26" w:rsidRPr="00CA4713" w:rsidRDefault="00546A26" w:rsidP="004106CD">
            <w:pPr>
              <w:spacing w:after="0" w:line="240" w:lineRule="auto"/>
              <w:jc w:val="right"/>
              <w:rPr>
                <w:rFonts w:eastAsia="Times New Roman" w:cstheme="minorHAnsi"/>
                <w:b/>
                <w:color w:val="000000" w:themeColor="text1"/>
                <w:sz w:val="20"/>
                <w:lang w:eastAsia="en-NZ"/>
              </w:rPr>
            </w:pPr>
          </w:p>
        </w:tc>
        <w:tc>
          <w:tcPr>
            <w:tcW w:w="1224" w:type="dxa"/>
            <w:gridSpan w:val="3"/>
            <w:tcBorders>
              <w:top w:val="single" w:sz="4" w:space="0" w:color="FFFFFF" w:themeColor="background1"/>
              <w:bottom w:val="single" w:sz="4" w:space="0" w:color="FFFFFF" w:themeColor="background1"/>
            </w:tcBorders>
            <w:shd w:val="clear" w:color="auto" w:fill="DAEEF3" w:themeFill="accent5" w:themeFillTint="33"/>
            <w:noWrap/>
            <w:hideMark/>
          </w:tcPr>
          <w:p w:rsidR="00546A26" w:rsidRPr="00CA4713" w:rsidRDefault="00546A26" w:rsidP="004106CD">
            <w:pPr>
              <w:spacing w:after="0" w:line="240" w:lineRule="auto"/>
              <w:jc w:val="right"/>
              <w:rPr>
                <w:rFonts w:eastAsia="Times New Roman" w:cstheme="minorHAnsi"/>
                <w:b/>
                <w:color w:val="000000" w:themeColor="text1"/>
                <w:sz w:val="20"/>
                <w:lang w:eastAsia="en-NZ"/>
              </w:rPr>
            </w:pPr>
          </w:p>
        </w:tc>
        <w:tc>
          <w:tcPr>
            <w:tcW w:w="1154" w:type="dxa"/>
            <w:gridSpan w:val="4"/>
            <w:tcBorders>
              <w:top w:val="single" w:sz="4" w:space="0" w:color="FFFFFF" w:themeColor="background1"/>
              <w:bottom w:val="single" w:sz="4" w:space="0" w:color="FFFFFF" w:themeColor="background1"/>
            </w:tcBorders>
            <w:shd w:val="clear" w:color="auto" w:fill="DAEEF3" w:themeFill="accent5" w:themeFillTint="33"/>
            <w:hideMark/>
          </w:tcPr>
          <w:p w:rsidR="00546A26" w:rsidRPr="00CA4713" w:rsidRDefault="00546A26" w:rsidP="004106CD">
            <w:pPr>
              <w:spacing w:after="0" w:line="240" w:lineRule="auto"/>
              <w:rPr>
                <w:rFonts w:eastAsia="Times New Roman" w:cstheme="minorHAnsi"/>
                <w:b/>
                <w:color w:val="000000" w:themeColor="text1"/>
                <w:lang w:eastAsia="en-NZ"/>
              </w:rPr>
            </w:pPr>
            <w:r w:rsidRPr="00CA4713">
              <w:rPr>
                <w:rFonts w:eastAsia="Times New Roman" w:cstheme="minorHAnsi"/>
                <w:b/>
                <w:color w:val="000000" w:themeColor="text1"/>
                <w:lang w:eastAsia="en-NZ"/>
              </w:rPr>
              <w:t> </w:t>
            </w:r>
          </w:p>
        </w:tc>
        <w:tc>
          <w:tcPr>
            <w:tcW w:w="785" w:type="dxa"/>
            <w:gridSpan w:val="2"/>
            <w:tcBorders>
              <w:top w:val="single" w:sz="4" w:space="0" w:color="FFFFFF" w:themeColor="background1"/>
              <w:bottom w:val="single" w:sz="4" w:space="0" w:color="FFFFFF" w:themeColor="background1"/>
            </w:tcBorders>
            <w:shd w:val="clear" w:color="auto" w:fill="DAEEF3" w:themeFill="accent5" w:themeFillTint="33"/>
            <w:hideMark/>
          </w:tcPr>
          <w:p w:rsidR="00546A26" w:rsidRPr="00CA4713" w:rsidRDefault="00546A26" w:rsidP="004106CD">
            <w:pPr>
              <w:spacing w:after="0" w:line="240" w:lineRule="auto"/>
              <w:jc w:val="center"/>
              <w:rPr>
                <w:rFonts w:eastAsia="Times New Roman" w:cstheme="minorHAnsi"/>
                <w:b/>
                <w:color w:val="000000" w:themeColor="text1"/>
                <w:sz w:val="20"/>
                <w:lang w:eastAsia="en-NZ"/>
              </w:rPr>
            </w:pPr>
          </w:p>
        </w:tc>
        <w:tc>
          <w:tcPr>
            <w:tcW w:w="1316" w:type="dxa"/>
            <w:gridSpan w:val="4"/>
            <w:tcBorders>
              <w:top w:val="single" w:sz="4" w:space="0" w:color="FFFFFF" w:themeColor="background1"/>
              <w:bottom w:val="single" w:sz="4" w:space="0" w:color="FFFFFF" w:themeColor="background1"/>
            </w:tcBorders>
            <w:shd w:val="clear" w:color="auto" w:fill="DAEEF3" w:themeFill="accent5" w:themeFillTint="33"/>
            <w:hideMark/>
          </w:tcPr>
          <w:p w:rsidR="00546A26" w:rsidRPr="00CA4713" w:rsidRDefault="00546A26" w:rsidP="004106CD">
            <w:pPr>
              <w:spacing w:after="0" w:line="240" w:lineRule="auto"/>
              <w:jc w:val="center"/>
              <w:rPr>
                <w:rFonts w:eastAsia="Times New Roman" w:cstheme="minorHAnsi"/>
                <w:b/>
                <w:color w:val="000000" w:themeColor="text1"/>
                <w:lang w:eastAsia="en-NZ"/>
              </w:rPr>
            </w:pPr>
          </w:p>
        </w:tc>
        <w:tc>
          <w:tcPr>
            <w:tcW w:w="4252" w:type="dxa"/>
            <w:tcBorders>
              <w:top w:val="single" w:sz="4" w:space="0" w:color="FFFFFF" w:themeColor="background1"/>
              <w:bottom w:val="single" w:sz="4" w:space="0" w:color="FFFFFF" w:themeColor="background1"/>
            </w:tcBorders>
            <w:shd w:val="clear" w:color="auto" w:fill="DAEEF3" w:themeFill="accent5" w:themeFillTint="33"/>
            <w:hideMark/>
          </w:tcPr>
          <w:p w:rsidR="00546A26" w:rsidRPr="00CA4713" w:rsidRDefault="00546A26" w:rsidP="004106CD">
            <w:pPr>
              <w:spacing w:after="0" w:line="240" w:lineRule="auto"/>
              <w:rPr>
                <w:rFonts w:eastAsia="Times New Roman" w:cstheme="minorHAnsi"/>
                <w:b/>
                <w:color w:val="000000" w:themeColor="text1"/>
                <w:sz w:val="20"/>
                <w:lang w:eastAsia="en-NZ"/>
              </w:rPr>
            </w:pPr>
          </w:p>
        </w:tc>
      </w:tr>
      <w:tr w:rsidR="00546A26" w:rsidRPr="00CA4713" w:rsidTr="009C3D9F">
        <w:trPr>
          <w:trHeight w:val="367"/>
        </w:trPr>
        <w:tc>
          <w:tcPr>
            <w:tcW w:w="4394" w:type="dxa"/>
            <w:gridSpan w:val="3"/>
            <w:tcBorders>
              <w:top w:val="single" w:sz="4" w:space="0" w:color="FFFFFF" w:themeColor="background1"/>
              <w:bottom w:val="nil"/>
            </w:tcBorders>
            <w:shd w:val="clear" w:color="auto" w:fill="auto"/>
            <w:hideMark/>
          </w:tcPr>
          <w:p w:rsidR="00546A26" w:rsidRPr="00CA4713" w:rsidRDefault="00546A26" w:rsidP="004106CD">
            <w:pPr>
              <w:spacing w:after="0" w:line="240" w:lineRule="auto"/>
              <w:rPr>
                <w:rFonts w:eastAsia="Times New Roman" w:cstheme="minorHAnsi"/>
                <w:color w:val="000000"/>
                <w:sz w:val="20"/>
                <w:lang w:eastAsia="en-NZ"/>
              </w:rPr>
            </w:pPr>
            <w:r w:rsidRPr="00CA4713">
              <w:rPr>
                <w:rFonts w:eastAsia="Times New Roman" w:cstheme="minorHAnsi"/>
                <w:color w:val="000000"/>
                <w:sz w:val="20"/>
                <w:lang w:eastAsia="en-NZ"/>
              </w:rPr>
              <w:t>Homelessness - % of known street homeless people supported by agencies</w:t>
            </w:r>
          </w:p>
        </w:tc>
        <w:tc>
          <w:tcPr>
            <w:tcW w:w="1150" w:type="dxa"/>
            <w:gridSpan w:val="3"/>
            <w:tcBorders>
              <w:top w:val="single" w:sz="4" w:space="0" w:color="FFFFFF" w:themeColor="background1"/>
              <w:bottom w:val="nil"/>
            </w:tcBorders>
            <w:shd w:val="clear" w:color="auto" w:fill="auto"/>
            <w:hideMark/>
          </w:tcPr>
          <w:p w:rsidR="00546A26" w:rsidRPr="00CA4713" w:rsidRDefault="00546A26" w:rsidP="004106CD">
            <w:pPr>
              <w:spacing w:after="0" w:line="240" w:lineRule="auto"/>
              <w:jc w:val="right"/>
              <w:rPr>
                <w:rFonts w:eastAsia="Times New Roman" w:cstheme="minorHAnsi"/>
                <w:color w:val="000000"/>
                <w:sz w:val="20"/>
                <w:lang w:eastAsia="en-NZ"/>
              </w:rPr>
            </w:pPr>
          </w:p>
        </w:tc>
        <w:tc>
          <w:tcPr>
            <w:tcW w:w="1176" w:type="dxa"/>
            <w:tcBorders>
              <w:top w:val="single" w:sz="4" w:space="0" w:color="FFFFFF" w:themeColor="background1"/>
              <w:bottom w:val="nil"/>
            </w:tcBorders>
            <w:shd w:val="clear" w:color="auto" w:fill="auto"/>
            <w:noWrap/>
            <w:hideMark/>
          </w:tcPr>
          <w:p w:rsidR="00546A26" w:rsidRPr="00CA4713" w:rsidRDefault="00546A26" w:rsidP="004106CD">
            <w:pPr>
              <w:spacing w:after="0" w:line="240" w:lineRule="auto"/>
              <w:jc w:val="right"/>
              <w:rPr>
                <w:rFonts w:eastAsia="Times New Roman" w:cstheme="minorHAnsi"/>
                <w:color w:val="000000"/>
                <w:sz w:val="20"/>
                <w:lang w:eastAsia="en-NZ"/>
              </w:rPr>
            </w:pPr>
          </w:p>
        </w:tc>
        <w:tc>
          <w:tcPr>
            <w:tcW w:w="1224" w:type="dxa"/>
            <w:gridSpan w:val="3"/>
            <w:tcBorders>
              <w:top w:val="single" w:sz="4" w:space="0" w:color="FFFFFF" w:themeColor="background1"/>
              <w:bottom w:val="nil"/>
            </w:tcBorders>
            <w:shd w:val="clear" w:color="auto" w:fill="auto"/>
            <w:noWrap/>
            <w:hideMark/>
          </w:tcPr>
          <w:p w:rsidR="00546A26" w:rsidRPr="00CA4713" w:rsidRDefault="00546A26" w:rsidP="004106CD">
            <w:pPr>
              <w:spacing w:after="0" w:line="240" w:lineRule="auto"/>
              <w:jc w:val="right"/>
              <w:rPr>
                <w:rFonts w:eastAsia="Times New Roman" w:cstheme="minorHAnsi"/>
                <w:color w:val="000000"/>
                <w:sz w:val="20"/>
                <w:lang w:eastAsia="en-NZ"/>
              </w:rPr>
            </w:pPr>
            <w:r w:rsidRPr="00CA4713">
              <w:rPr>
                <w:rFonts w:eastAsia="Times New Roman" w:cstheme="minorHAnsi"/>
                <w:color w:val="000000"/>
                <w:sz w:val="20"/>
                <w:lang w:eastAsia="en-NZ"/>
              </w:rPr>
              <w:t>Not able to be reported at this time</w:t>
            </w:r>
          </w:p>
        </w:tc>
        <w:tc>
          <w:tcPr>
            <w:tcW w:w="1154" w:type="dxa"/>
            <w:gridSpan w:val="4"/>
            <w:tcBorders>
              <w:top w:val="single" w:sz="4" w:space="0" w:color="FFFFFF" w:themeColor="background1"/>
              <w:bottom w:val="nil"/>
            </w:tcBorders>
            <w:shd w:val="clear" w:color="000000" w:fill="D9D9D9"/>
            <w:hideMark/>
          </w:tcPr>
          <w:p w:rsidR="00546A26" w:rsidRPr="00CA4713" w:rsidRDefault="00546A26" w:rsidP="004106CD">
            <w:pPr>
              <w:spacing w:after="0" w:line="240" w:lineRule="auto"/>
              <w:jc w:val="right"/>
              <w:rPr>
                <w:rFonts w:eastAsia="Times New Roman" w:cstheme="minorHAnsi"/>
                <w:color w:val="000000"/>
                <w:sz w:val="20"/>
                <w:lang w:eastAsia="en-NZ"/>
              </w:rPr>
            </w:pPr>
            <w:r w:rsidRPr="00CA4713">
              <w:rPr>
                <w:rFonts w:eastAsia="Times New Roman" w:cstheme="minorHAnsi"/>
                <w:color w:val="000000"/>
                <w:sz w:val="20"/>
                <w:lang w:eastAsia="en-NZ"/>
              </w:rPr>
              <w:t>Baseline</w:t>
            </w:r>
          </w:p>
        </w:tc>
        <w:tc>
          <w:tcPr>
            <w:tcW w:w="785" w:type="dxa"/>
            <w:gridSpan w:val="2"/>
            <w:tcBorders>
              <w:top w:val="single" w:sz="4" w:space="0" w:color="FFFFFF" w:themeColor="background1"/>
              <w:bottom w:val="nil"/>
            </w:tcBorders>
            <w:shd w:val="clear" w:color="auto" w:fill="auto"/>
            <w:hideMark/>
          </w:tcPr>
          <w:p w:rsidR="00546A26" w:rsidRPr="00CA4713" w:rsidRDefault="00546A26" w:rsidP="004106CD">
            <w:pPr>
              <w:spacing w:after="0" w:line="240" w:lineRule="auto"/>
              <w:jc w:val="center"/>
              <w:rPr>
                <w:rFonts w:eastAsia="Times New Roman" w:cstheme="minorHAnsi"/>
                <w:color w:val="000000"/>
                <w:sz w:val="20"/>
                <w:lang w:eastAsia="en-NZ"/>
              </w:rPr>
            </w:pPr>
          </w:p>
        </w:tc>
        <w:tc>
          <w:tcPr>
            <w:tcW w:w="1316" w:type="dxa"/>
            <w:gridSpan w:val="4"/>
            <w:tcBorders>
              <w:top w:val="single" w:sz="4" w:space="0" w:color="FFFFFF" w:themeColor="background1"/>
              <w:bottom w:val="nil"/>
            </w:tcBorders>
            <w:shd w:val="clear" w:color="auto" w:fill="auto"/>
            <w:hideMark/>
          </w:tcPr>
          <w:p w:rsidR="00546A26" w:rsidRPr="00CA4713" w:rsidRDefault="00546A26" w:rsidP="004106CD">
            <w:pPr>
              <w:spacing w:after="0" w:line="240" w:lineRule="auto"/>
              <w:jc w:val="center"/>
              <w:rPr>
                <w:rFonts w:eastAsia="Times New Roman" w:cstheme="minorHAnsi"/>
                <w:color w:val="000000"/>
                <w:sz w:val="20"/>
                <w:lang w:eastAsia="en-NZ"/>
              </w:rPr>
            </w:pPr>
          </w:p>
        </w:tc>
        <w:tc>
          <w:tcPr>
            <w:tcW w:w="4252" w:type="dxa"/>
            <w:tcBorders>
              <w:top w:val="single" w:sz="4" w:space="0" w:color="FFFFFF" w:themeColor="background1"/>
              <w:bottom w:val="nil"/>
            </w:tcBorders>
            <w:shd w:val="clear" w:color="auto" w:fill="auto"/>
            <w:hideMark/>
          </w:tcPr>
          <w:p w:rsidR="00546A26" w:rsidRPr="00CA4713" w:rsidRDefault="00546A26" w:rsidP="004106CD">
            <w:pPr>
              <w:spacing w:after="0" w:line="240" w:lineRule="auto"/>
              <w:rPr>
                <w:rFonts w:eastAsia="Times New Roman" w:cstheme="minorHAnsi"/>
                <w:color w:val="000000"/>
                <w:sz w:val="20"/>
                <w:lang w:eastAsia="en-NZ"/>
              </w:rPr>
            </w:pPr>
            <w:r w:rsidRPr="00CA4713">
              <w:rPr>
                <w:rFonts w:cstheme="minorHAnsi"/>
                <w:color w:val="000000"/>
                <w:sz w:val="20"/>
                <w:szCs w:val="20"/>
              </w:rPr>
              <w:t>The definition homelessness is broad and includes people who are:  without shelter, in temporary accommodation, sharing accommodation with a household and li</w:t>
            </w:r>
            <w:r>
              <w:rPr>
                <w:rFonts w:cstheme="minorHAnsi"/>
                <w:color w:val="000000"/>
                <w:sz w:val="20"/>
                <w:szCs w:val="20"/>
              </w:rPr>
              <w:t>ving in uninhabitable housing. Comprehensive records on all items in the definition are being developed</w:t>
            </w:r>
            <w:proofErr w:type="gramStart"/>
            <w:r>
              <w:rPr>
                <w:rFonts w:cstheme="minorHAnsi"/>
                <w:color w:val="000000"/>
                <w:sz w:val="20"/>
                <w:szCs w:val="20"/>
              </w:rPr>
              <w:t>.</w:t>
            </w:r>
            <w:r w:rsidRPr="00CA4713">
              <w:rPr>
                <w:rFonts w:cstheme="minorHAnsi"/>
                <w:color w:val="000000"/>
                <w:sz w:val="20"/>
                <w:szCs w:val="20"/>
              </w:rPr>
              <w:t>.</w:t>
            </w:r>
            <w:proofErr w:type="gramEnd"/>
          </w:p>
        </w:tc>
      </w:tr>
      <w:tr w:rsidR="00546A26" w:rsidRPr="00CA4713" w:rsidTr="009C3D9F">
        <w:trPr>
          <w:trHeight w:val="315"/>
        </w:trPr>
        <w:tc>
          <w:tcPr>
            <w:tcW w:w="15451" w:type="dxa"/>
            <w:gridSpan w:val="21"/>
            <w:tcBorders>
              <w:top w:val="nil"/>
              <w:bottom w:val="nil"/>
            </w:tcBorders>
            <w:shd w:val="clear" w:color="auto" w:fill="DAEEF3" w:themeFill="accent5" w:themeFillTint="33"/>
            <w:hideMark/>
          </w:tcPr>
          <w:p w:rsidR="00546A26" w:rsidRPr="00F45CA3" w:rsidRDefault="00546A26" w:rsidP="004106CD">
            <w:pPr>
              <w:spacing w:after="0" w:line="240" w:lineRule="auto"/>
              <w:rPr>
                <w:rFonts w:eastAsia="Times New Roman" w:cstheme="minorHAnsi"/>
                <w:b/>
                <w:color w:val="000000" w:themeColor="text1"/>
                <w:sz w:val="20"/>
                <w:szCs w:val="20"/>
                <w:lang w:eastAsia="en-NZ"/>
              </w:rPr>
            </w:pPr>
            <w:r w:rsidRPr="00F45CA3">
              <w:rPr>
                <w:rFonts w:eastAsia="Times New Roman" w:cstheme="minorHAnsi"/>
                <w:b/>
                <w:color w:val="000000" w:themeColor="text1"/>
                <w:sz w:val="20"/>
                <w:szCs w:val="20"/>
                <w:lang w:eastAsia="en-NZ"/>
              </w:rPr>
              <w:t>Funding success</w:t>
            </w:r>
          </w:p>
        </w:tc>
      </w:tr>
      <w:tr w:rsidR="00546A26" w:rsidRPr="00CA4713" w:rsidTr="009C3D9F">
        <w:trPr>
          <w:trHeight w:val="525"/>
        </w:trPr>
        <w:tc>
          <w:tcPr>
            <w:tcW w:w="4408" w:type="dxa"/>
            <w:gridSpan w:val="4"/>
            <w:tcBorders>
              <w:top w:val="nil"/>
              <w:bottom w:val="nil"/>
            </w:tcBorders>
            <w:shd w:val="clear" w:color="auto" w:fill="auto"/>
            <w:hideMark/>
          </w:tcPr>
          <w:p w:rsidR="00546A26" w:rsidRPr="00CA4713" w:rsidRDefault="00546A26" w:rsidP="004106CD">
            <w:pPr>
              <w:spacing w:after="0" w:line="240" w:lineRule="auto"/>
              <w:rPr>
                <w:rFonts w:eastAsia="Times New Roman" w:cstheme="minorHAnsi"/>
                <w:color w:val="000000"/>
                <w:sz w:val="20"/>
                <w:lang w:eastAsia="en-NZ"/>
              </w:rPr>
            </w:pPr>
            <w:r w:rsidRPr="00CA4713">
              <w:rPr>
                <w:rFonts w:eastAsia="Times New Roman" w:cstheme="minorHAnsi"/>
                <w:color w:val="000000"/>
                <w:sz w:val="20"/>
                <w:lang w:eastAsia="en-NZ"/>
              </w:rPr>
              <w:t>Grants outcomes (%) achieved (through funded outcomes – four out of five – being met) - Social and Recreation Fund</w:t>
            </w:r>
          </w:p>
        </w:tc>
        <w:tc>
          <w:tcPr>
            <w:tcW w:w="1136" w:type="dxa"/>
            <w:gridSpan w:val="2"/>
            <w:tcBorders>
              <w:top w:val="nil"/>
              <w:bottom w:val="nil"/>
            </w:tcBorders>
            <w:shd w:val="clear" w:color="auto" w:fill="auto"/>
          </w:tcPr>
          <w:p w:rsidR="00546A26" w:rsidRPr="00CA4713" w:rsidRDefault="00546A26" w:rsidP="004106CD">
            <w:pPr>
              <w:spacing w:after="0"/>
              <w:jc w:val="right"/>
              <w:rPr>
                <w:rFonts w:cstheme="minorHAnsi"/>
                <w:color w:val="000000"/>
                <w:sz w:val="20"/>
                <w:szCs w:val="20"/>
              </w:rPr>
            </w:pPr>
            <w:r w:rsidRPr="00CA4713">
              <w:rPr>
                <w:rFonts w:cstheme="minorHAnsi"/>
                <w:color w:val="000000"/>
                <w:sz w:val="20"/>
                <w:szCs w:val="20"/>
              </w:rPr>
              <w:t>94%</w:t>
            </w:r>
          </w:p>
        </w:tc>
        <w:tc>
          <w:tcPr>
            <w:tcW w:w="1176" w:type="dxa"/>
            <w:tcBorders>
              <w:top w:val="nil"/>
              <w:bottom w:val="nil"/>
            </w:tcBorders>
            <w:shd w:val="clear" w:color="auto" w:fill="auto"/>
          </w:tcPr>
          <w:p w:rsidR="00546A26" w:rsidRPr="00CA4713" w:rsidRDefault="00546A26" w:rsidP="004106CD">
            <w:pPr>
              <w:spacing w:after="0"/>
              <w:jc w:val="right"/>
              <w:rPr>
                <w:rFonts w:cstheme="minorHAnsi"/>
                <w:color w:val="000000"/>
                <w:sz w:val="20"/>
                <w:szCs w:val="20"/>
              </w:rPr>
            </w:pPr>
            <w:r w:rsidRPr="00CA4713">
              <w:rPr>
                <w:rFonts w:cstheme="minorHAnsi"/>
                <w:color w:val="000000"/>
                <w:sz w:val="20"/>
                <w:szCs w:val="20"/>
              </w:rPr>
              <w:t>N/A</w:t>
            </w:r>
          </w:p>
        </w:tc>
        <w:tc>
          <w:tcPr>
            <w:tcW w:w="1224" w:type="dxa"/>
            <w:gridSpan w:val="3"/>
            <w:tcBorders>
              <w:top w:val="nil"/>
              <w:bottom w:val="nil"/>
            </w:tcBorders>
            <w:shd w:val="clear" w:color="auto" w:fill="FFFFFF" w:themeFill="background1"/>
            <w:noWrap/>
            <w:hideMark/>
          </w:tcPr>
          <w:p w:rsidR="00546A26" w:rsidRPr="00CA4713" w:rsidRDefault="00546A26" w:rsidP="004106CD">
            <w:pPr>
              <w:spacing w:after="0"/>
              <w:jc w:val="right"/>
              <w:rPr>
                <w:rFonts w:cstheme="minorHAnsi"/>
                <w:color w:val="000000"/>
                <w:sz w:val="20"/>
                <w:szCs w:val="20"/>
              </w:rPr>
            </w:pPr>
            <w:r w:rsidRPr="00CA4713">
              <w:rPr>
                <w:rFonts w:cstheme="minorHAnsi"/>
                <w:color w:val="000000"/>
                <w:sz w:val="20"/>
                <w:szCs w:val="20"/>
              </w:rPr>
              <w:t>90%</w:t>
            </w:r>
          </w:p>
        </w:tc>
        <w:tc>
          <w:tcPr>
            <w:tcW w:w="1154" w:type="dxa"/>
            <w:gridSpan w:val="4"/>
            <w:tcBorders>
              <w:top w:val="nil"/>
              <w:bottom w:val="nil"/>
            </w:tcBorders>
            <w:shd w:val="clear" w:color="000000" w:fill="D9D9D9"/>
            <w:hideMark/>
          </w:tcPr>
          <w:p w:rsidR="00546A26" w:rsidRPr="00CA4713" w:rsidRDefault="00546A26" w:rsidP="004106CD">
            <w:pPr>
              <w:spacing w:after="0"/>
              <w:jc w:val="right"/>
              <w:rPr>
                <w:rFonts w:cstheme="minorHAnsi"/>
                <w:color w:val="000000"/>
                <w:sz w:val="20"/>
                <w:szCs w:val="20"/>
              </w:rPr>
            </w:pPr>
            <w:r w:rsidRPr="00CA4713">
              <w:rPr>
                <w:rFonts w:cstheme="minorHAnsi"/>
                <w:color w:val="000000"/>
                <w:sz w:val="20"/>
                <w:szCs w:val="20"/>
              </w:rPr>
              <w:t>80%</w:t>
            </w:r>
          </w:p>
        </w:tc>
        <w:tc>
          <w:tcPr>
            <w:tcW w:w="808" w:type="dxa"/>
            <w:gridSpan w:val="4"/>
            <w:tcBorders>
              <w:top w:val="nil"/>
              <w:bottom w:val="nil"/>
            </w:tcBorders>
            <w:shd w:val="clear" w:color="auto" w:fill="auto"/>
            <w:hideMark/>
          </w:tcPr>
          <w:p w:rsidR="00546A26" w:rsidRPr="00CA4713" w:rsidRDefault="00546A26" w:rsidP="004106CD">
            <w:pPr>
              <w:spacing w:after="0"/>
              <w:jc w:val="right"/>
              <w:rPr>
                <w:rFonts w:cstheme="minorHAnsi"/>
                <w:color w:val="000000"/>
                <w:sz w:val="20"/>
                <w:szCs w:val="20"/>
              </w:rPr>
            </w:pPr>
            <w:r w:rsidRPr="00CA4713">
              <w:rPr>
                <w:rFonts w:cstheme="minorHAnsi"/>
                <w:color w:val="000000"/>
                <w:sz w:val="20"/>
                <w:szCs w:val="20"/>
              </w:rPr>
              <w:t>12%</w:t>
            </w:r>
          </w:p>
        </w:tc>
        <w:tc>
          <w:tcPr>
            <w:tcW w:w="1293" w:type="dxa"/>
            <w:gridSpan w:val="2"/>
            <w:tcBorders>
              <w:top w:val="nil"/>
              <w:bottom w:val="nil"/>
            </w:tcBorders>
            <w:shd w:val="clear" w:color="auto" w:fill="auto"/>
            <w:hideMark/>
          </w:tcPr>
          <w:p w:rsidR="00546A26" w:rsidRPr="00CA4713" w:rsidRDefault="00546A26" w:rsidP="004106CD">
            <w:pPr>
              <w:spacing w:after="0"/>
              <w:jc w:val="right"/>
              <w:rPr>
                <w:rFonts w:cstheme="minorHAnsi"/>
                <w:color w:val="000000"/>
                <w:sz w:val="20"/>
                <w:szCs w:val="20"/>
              </w:rPr>
            </w:pPr>
            <w:r w:rsidRPr="00CA4713">
              <w:rPr>
                <w:rFonts w:cstheme="minorHAnsi"/>
                <w:color w:val="000000"/>
                <w:sz w:val="20"/>
                <w:szCs w:val="20"/>
              </w:rPr>
              <w:t>exceeded</w:t>
            </w:r>
          </w:p>
        </w:tc>
        <w:tc>
          <w:tcPr>
            <w:tcW w:w="4252" w:type="dxa"/>
            <w:tcBorders>
              <w:top w:val="nil"/>
              <w:bottom w:val="nil"/>
            </w:tcBorders>
            <w:shd w:val="clear" w:color="auto" w:fill="FFFFFF" w:themeFill="background1"/>
            <w:hideMark/>
          </w:tcPr>
          <w:p w:rsidR="00546A26" w:rsidRPr="00CA4713" w:rsidRDefault="00546A26" w:rsidP="004106CD">
            <w:pPr>
              <w:spacing w:after="0" w:line="240" w:lineRule="auto"/>
              <w:rPr>
                <w:rFonts w:eastAsia="Times New Roman" w:cstheme="minorHAnsi"/>
                <w:color w:val="000000"/>
                <w:sz w:val="20"/>
                <w:lang w:eastAsia="en-NZ"/>
              </w:rPr>
            </w:pPr>
            <w:r w:rsidRPr="00CA4713">
              <w:rPr>
                <w:rFonts w:cstheme="minorHAnsi"/>
                <w:color w:val="000000"/>
                <w:sz w:val="20"/>
                <w:szCs w:val="20"/>
              </w:rPr>
              <w:t>This performance measure reflects on how successful the projects are, based on reporting against outcomes, which form part of funding agreements. These are moderated by Officers as subject matter experts – rating 26 out of 29 outcomes achieved.</w:t>
            </w:r>
          </w:p>
        </w:tc>
      </w:tr>
      <w:tr w:rsidR="00546A26" w:rsidRPr="00CA4713" w:rsidTr="009C3D9F">
        <w:trPr>
          <w:trHeight w:val="315"/>
        </w:trPr>
        <w:tc>
          <w:tcPr>
            <w:tcW w:w="15451" w:type="dxa"/>
            <w:gridSpan w:val="21"/>
            <w:tcBorders>
              <w:top w:val="nil"/>
              <w:bottom w:val="nil"/>
            </w:tcBorders>
            <w:shd w:val="clear" w:color="auto" w:fill="DAEEF3" w:themeFill="accent5" w:themeFillTint="33"/>
            <w:hideMark/>
          </w:tcPr>
          <w:p w:rsidR="00546A26" w:rsidRPr="00F45CA3" w:rsidRDefault="00546A26" w:rsidP="004106CD">
            <w:pPr>
              <w:spacing w:after="0" w:line="240" w:lineRule="auto"/>
              <w:rPr>
                <w:rFonts w:eastAsia="Times New Roman" w:cstheme="minorHAnsi"/>
                <w:b/>
                <w:color w:val="000000" w:themeColor="text1"/>
                <w:sz w:val="20"/>
                <w:szCs w:val="20"/>
                <w:lang w:eastAsia="en-NZ"/>
              </w:rPr>
            </w:pPr>
            <w:r w:rsidRPr="00F45CA3">
              <w:rPr>
                <w:rFonts w:eastAsia="Times New Roman" w:cstheme="minorHAnsi"/>
                <w:b/>
                <w:color w:val="000000" w:themeColor="text1"/>
                <w:sz w:val="20"/>
                <w:szCs w:val="20"/>
                <w:lang w:eastAsia="en-NZ"/>
              </w:rPr>
              <w:t>Housing quality and usage</w:t>
            </w:r>
          </w:p>
        </w:tc>
      </w:tr>
      <w:tr w:rsidR="009C3D9F" w:rsidRPr="00CA4713" w:rsidTr="009C3D9F">
        <w:trPr>
          <w:trHeight w:val="270"/>
        </w:trPr>
        <w:tc>
          <w:tcPr>
            <w:tcW w:w="4408" w:type="dxa"/>
            <w:gridSpan w:val="4"/>
            <w:tcBorders>
              <w:top w:val="nil"/>
            </w:tcBorders>
            <w:shd w:val="clear" w:color="auto" w:fill="auto"/>
            <w:hideMark/>
          </w:tcPr>
          <w:p w:rsidR="009C3D9F" w:rsidRPr="00CA4713" w:rsidRDefault="009C3D9F" w:rsidP="009C3D9F">
            <w:pPr>
              <w:spacing w:after="0" w:line="240" w:lineRule="auto"/>
              <w:rPr>
                <w:rFonts w:eastAsia="Times New Roman" w:cstheme="minorHAnsi"/>
                <w:color w:val="000000"/>
                <w:sz w:val="20"/>
                <w:lang w:eastAsia="en-NZ"/>
              </w:rPr>
            </w:pPr>
            <w:r w:rsidRPr="00CA4713">
              <w:rPr>
                <w:rFonts w:eastAsia="Times New Roman" w:cstheme="minorHAnsi"/>
                <w:color w:val="000000"/>
                <w:sz w:val="20"/>
                <w:lang w:eastAsia="en-NZ"/>
              </w:rPr>
              <w:t>Tenant satisfaction (%) with services and facilities</w:t>
            </w:r>
          </w:p>
        </w:tc>
        <w:tc>
          <w:tcPr>
            <w:tcW w:w="1136" w:type="dxa"/>
            <w:gridSpan w:val="2"/>
            <w:tcBorders>
              <w:top w:val="nil"/>
            </w:tcBorders>
            <w:shd w:val="clear" w:color="auto" w:fill="auto"/>
            <w:noWrap/>
            <w:hideMark/>
          </w:tcPr>
          <w:p w:rsidR="009C3D9F" w:rsidRPr="00CA4713" w:rsidRDefault="009C3D9F" w:rsidP="009C3D9F">
            <w:pPr>
              <w:spacing w:after="0" w:line="240" w:lineRule="auto"/>
              <w:jc w:val="right"/>
              <w:rPr>
                <w:rFonts w:eastAsia="Times New Roman" w:cstheme="minorHAnsi"/>
                <w:color w:val="000000"/>
                <w:sz w:val="20"/>
                <w:lang w:eastAsia="en-NZ"/>
              </w:rPr>
            </w:pPr>
            <w:r w:rsidRPr="00CA4713">
              <w:rPr>
                <w:rFonts w:eastAsia="Times New Roman" w:cstheme="minorHAnsi"/>
                <w:color w:val="000000"/>
                <w:sz w:val="20"/>
                <w:lang w:eastAsia="en-NZ"/>
              </w:rPr>
              <w:t>96%</w:t>
            </w:r>
          </w:p>
        </w:tc>
        <w:tc>
          <w:tcPr>
            <w:tcW w:w="1176" w:type="dxa"/>
            <w:tcBorders>
              <w:top w:val="nil"/>
            </w:tcBorders>
            <w:shd w:val="clear" w:color="auto" w:fill="auto"/>
            <w:noWrap/>
            <w:hideMark/>
          </w:tcPr>
          <w:p w:rsidR="009C3D9F" w:rsidRPr="00CA4713" w:rsidRDefault="009C3D9F" w:rsidP="009C3D9F">
            <w:pPr>
              <w:spacing w:after="0" w:line="240" w:lineRule="auto"/>
              <w:jc w:val="right"/>
              <w:rPr>
                <w:rFonts w:eastAsia="Times New Roman" w:cstheme="minorHAnsi"/>
                <w:color w:val="000000"/>
                <w:sz w:val="20"/>
                <w:lang w:eastAsia="en-NZ"/>
              </w:rPr>
            </w:pPr>
            <w:r w:rsidRPr="00CA4713">
              <w:rPr>
                <w:rFonts w:eastAsia="Times New Roman" w:cstheme="minorHAnsi"/>
                <w:color w:val="000000"/>
                <w:sz w:val="20"/>
                <w:lang w:eastAsia="en-NZ"/>
              </w:rPr>
              <w:t>94%</w:t>
            </w:r>
          </w:p>
        </w:tc>
        <w:tc>
          <w:tcPr>
            <w:tcW w:w="1258" w:type="dxa"/>
            <w:gridSpan w:val="5"/>
            <w:tcBorders>
              <w:top w:val="nil"/>
            </w:tcBorders>
            <w:shd w:val="clear" w:color="auto" w:fill="auto"/>
            <w:noWrap/>
            <w:hideMark/>
          </w:tcPr>
          <w:p w:rsidR="009C3D9F" w:rsidRPr="00CA4713" w:rsidRDefault="009C3D9F" w:rsidP="009C3D9F">
            <w:pPr>
              <w:spacing w:after="0" w:line="240" w:lineRule="auto"/>
              <w:jc w:val="right"/>
              <w:rPr>
                <w:rFonts w:eastAsia="Times New Roman" w:cstheme="minorHAnsi"/>
                <w:color w:val="000000"/>
                <w:sz w:val="20"/>
                <w:lang w:eastAsia="en-NZ"/>
              </w:rPr>
            </w:pPr>
            <w:r w:rsidRPr="00CA4713">
              <w:rPr>
                <w:rFonts w:eastAsia="Times New Roman" w:cstheme="minorHAnsi"/>
                <w:color w:val="000000"/>
                <w:sz w:val="20"/>
                <w:lang w:eastAsia="en-NZ"/>
              </w:rPr>
              <w:t>94%</w:t>
            </w:r>
          </w:p>
        </w:tc>
        <w:tc>
          <w:tcPr>
            <w:tcW w:w="1120" w:type="dxa"/>
            <w:gridSpan w:val="2"/>
            <w:tcBorders>
              <w:top w:val="nil"/>
            </w:tcBorders>
            <w:shd w:val="clear" w:color="000000" w:fill="D9D9D9"/>
            <w:hideMark/>
          </w:tcPr>
          <w:p w:rsidR="009C3D9F" w:rsidRPr="00CA4713" w:rsidRDefault="009C3D9F" w:rsidP="009C3D9F">
            <w:pPr>
              <w:spacing w:after="0" w:line="240" w:lineRule="auto"/>
              <w:jc w:val="right"/>
              <w:rPr>
                <w:rFonts w:eastAsia="Times New Roman" w:cstheme="minorHAnsi"/>
                <w:color w:val="000000"/>
                <w:sz w:val="20"/>
                <w:lang w:eastAsia="en-NZ"/>
              </w:rPr>
            </w:pPr>
            <w:r w:rsidRPr="00CA4713">
              <w:rPr>
                <w:rFonts w:eastAsia="Times New Roman" w:cstheme="minorHAnsi"/>
                <w:color w:val="000000"/>
                <w:sz w:val="20"/>
                <w:lang w:eastAsia="en-NZ"/>
              </w:rPr>
              <w:t>90%</w:t>
            </w:r>
          </w:p>
        </w:tc>
        <w:tc>
          <w:tcPr>
            <w:tcW w:w="785" w:type="dxa"/>
            <w:gridSpan w:val="2"/>
            <w:tcBorders>
              <w:top w:val="nil"/>
            </w:tcBorders>
            <w:shd w:val="clear" w:color="auto" w:fill="auto"/>
            <w:hideMark/>
          </w:tcPr>
          <w:p w:rsidR="009C3D9F" w:rsidRPr="00CA4713" w:rsidRDefault="009C3D9F" w:rsidP="009C3D9F">
            <w:pPr>
              <w:spacing w:after="0" w:line="240" w:lineRule="auto"/>
              <w:jc w:val="center"/>
              <w:rPr>
                <w:rFonts w:eastAsia="Times New Roman" w:cstheme="minorHAnsi"/>
                <w:color w:val="000000"/>
                <w:sz w:val="20"/>
                <w:lang w:eastAsia="en-NZ"/>
              </w:rPr>
            </w:pPr>
            <w:r w:rsidRPr="00CA4713">
              <w:rPr>
                <w:rFonts w:eastAsia="Times New Roman" w:cstheme="minorHAnsi"/>
                <w:color w:val="000000"/>
                <w:sz w:val="20"/>
                <w:lang w:eastAsia="en-NZ"/>
              </w:rPr>
              <w:t>4%</w:t>
            </w:r>
          </w:p>
        </w:tc>
        <w:tc>
          <w:tcPr>
            <w:tcW w:w="1316" w:type="dxa"/>
            <w:gridSpan w:val="4"/>
            <w:tcBorders>
              <w:top w:val="nil"/>
            </w:tcBorders>
            <w:shd w:val="clear" w:color="auto" w:fill="auto"/>
            <w:hideMark/>
          </w:tcPr>
          <w:p w:rsidR="009C3D9F" w:rsidRDefault="009C3D9F" w:rsidP="009C3D9F">
            <w:pPr>
              <w:spacing w:after="0"/>
              <w:jc w:val="right"/>
            </w:pPr>
            <w:r w:rsidRPr="006B37AB">
              <w:rPr>
                <w:rFonts w:eastAsia="Times New Roman" w:cstheme="minorHAnsi"/>
                <w:color w:val="000000"/>
                <w:sz w:val="20"/>
                <w:lang w:eastAsia="en-NZ"/>
              </w:rPr>
              <w:t>Within 10%</w:t>
            </w:r>
          </w:p>
        </w:tc>
        <w:tc>
          <w:tcPr>
            <w:tcW w:w="4252" w:type="dxa"/>
            <w:tcBorders>
              <w:top w:val="nil"/>
            </w:tcBorders>
            <w:shd w:val="clear" w:color="auto" w:fill="auto"/>
          </w:tcPr>
          <w:p w:rsidR="009C3D9F" w:rsidRPr="00CA4713" w:rsidRDefault="009C3D9F" w:rsidP="009C3D9F">
            <w:pPr>
              <w:spacing w:after="0" w:line="240" w:lineRule="auto"/>
              <w:jc w:val="right"/>
              <w:rPr>
                <w:rFonts w:eastAsia="Times New Roman" w:cstheme="minorHAnsi"/>
                <w:color w:val="000000"/>
                <w:sz w:val="20"/>
                <w:lang w:eastAsia="en-NZ"/>
              </w:rPr>
            </w:pPr>
          </w:p>
        </w:tc>
      </w:tr>
      <w:tr w:rsidR="009C3D9F" w:rsidRPr="00CA4713" w:rsidTr="009C3D9F">
        <w:trPr>
          <w:trHeight w:val="525"/>
        </w:trPr>
        <w:tc>
          <w:tcPr>
            <w:tcW w:w="4408" w:type="dxa"/>
            <w:gridSpan w:val="4"/>
            <w:shd w:val="clear" w:color="auto" w:fill="auto"/>
            <w:hideMark/>
          </w:tcPr>
          <w:p w:rsidR="009C3D9F" w:rsidRPr="00CA4713" w:rsidRDefault="009C3D9F" w:rsidP="009C3D9F">
            <w:pPr>
              <w:spacing w:after="0" w:line="240" w:lineRule="auto"/>
              <w:rPr>
                <w:rFonts w:eastAsia="Times New Roman" w:cstheme="minorHAnsi"/>
                <w:color w:val="000000"/>
                <w:sz w:val="20"/>
                <w:lang w:eastAsia="en-NZ"/>
              </w:rPr>
            </w:pPr>
            <w:r w:rsidRPr="00CA4713">
              <w:rPr>
                <w:rFonts w:eastAsia="Times New Roman" w:cstheme="minorHAnsi"/>
                <w:color w:val="000000"/>
                <w:sz w:val="20"/>
                <w:lang w:eastAsia="en-NZ"/>
              </w:rPr>
              <w:t>Tenant rating (%) of the overall condition of their house/apartment (average, good, and very good)</w:t>
            </w:r>
          </w:p>
        </w:tc>
        <w:tc>
          <w:tcPr>
            <w:tcW w:w="1136" w:type="dxa"/>
            <w:gridSpan w:val="2"/>
            <w:shd w:val="clear" w:color="auto" w:fill="auto"/>
            <w:noWrap/>
            <w:hideMark/>
          </w:tcPr>
          <w:p w:rsidR="009C3D9F" w:rsidRPr="00CA4713" w:rsidRDefault="009C3D9F" w:rsidP="009C3D9F">
            <w:pPr>
              <w:spacing w:after="0" w:line="240" w:lineRule="auto"/>
              <w:jc w:val="right"/>
              <w:rPr>
                <w:rFonts w:eastAsia="Times New Roman" w:cstheme="minorHAnsi"/>
                <w:color w:val="000000"/>
                <w:sz w:val="20"/>
                <w:lang w:eastAsia="en-NZ"/>
              </w:rPr>
            </w:pPr>
            <w:r w:rsidRPr="00CA4713">
              <w:rPr>
                <w:rFonts w:eastAsia="Times New Roman" w:cstheme="minorHAnsi"/>
                <w:color w:val="000000"/>
                <w:sz w:val="20"/>
                <w:lang w:eastAsia="en-NZ"/>
              </w:rPr>
              <w:t>94%</w:t>
            </w:r>
          </w:p>
        </w:tc>
        <w:tc>
          <w:tcPr>
            <w:tcW w:w="1176" w:type="dxa"/>
            <w:shd w:val="clear" w:color="auto" w:fill="auto"/>
            <w:noWrap/>
            <w:hideMark/>
          </w:tcPr>
          <w:p w:rsidR="009C3D9F" w:rsidRPr="00CA4713" w:rsidRDefault="009C3D9F" w:rsidP="009C3D9F">
            <w:pPr>
              <w:spacing w:after="0" w:line="240" w:lineRule="auto"/>
              <w:jc w:val="right"/>
              <w:rPr>
                <w:rFonts w:eastAsia="Times New Roman" w:cstheme="minorHAnsi"/>
                <w:color w:val="000000"/>
                <w:sz w:val="20"/>
                <w:lang w:eastAsia="en-NZ"/>
              </w:rPr>
            </w:pPr>
            <w:r w:rsidRPr="00CA4713">
              <w:rPr>
                <w:rFonts w:eastAsia="Times New Roman" w:cstheme="minorHAnsi"/>
                <w:color w:val="000000"/>
                <w:sz w:val="20"/>
                <w:lang w:eastAsia="en-NZ"/>
              </w:rPr>
              <w:t>93%</w:t>
            </w:r>
          </w:p>
        </w:tc>
        <w:tc>
          <w:tcPr>
            <w:tcW w:w="1258" w:type="dxa"/>
            <w:gridSpan w:val="5"/>
            <w:shd w:val="clear" w:color="auto" w:fill="auto"/>
            <w:noWrap/>
            <w:hideMark/>
          </w:tcPr>
          <w:p w:rsidR="009C3D9F" w:rsidRPr="00CA4713" w:rsidRDefault="009C3D9F" w:rsidP="009C3D9F">
            <w:pPr>
              <w:spacing w:after="0" w:line="240" w:lineRule="auto"/>
              <w:jc w:val="right"/>
              <w:rPr>
                <w:rFonts w:eastAsia="Times New Roman" w:cstheme="minorHAnsi"/>
                <w:color w:val="000000"/>
                <w:sz w:val="20"/>
                <w:lang w:eastAsia="en-NZ"/>
              </w:rPr>
            </w:pPr>
            <w:r w:rsidRPr="00CA4713">
              <w:rPr>
                <w:rFonts w:eastAsia="Times New Roman" w:cstheme="minorHAnsi"/>
                <w:color w:val="000000"/>
                <w:sz w:val="20"/>
                <w:lang w:eastAsia="en-NZ"/>
              </w:rPr>
              <w:t>95%</w:t>
            </w:r>
          </w:p>
        </w:tc>
        <w:tc>
          <w:tcPr>
            <w:tcW w:w="1120" w:type="dxa"/>
            <w:gridSpan w:val="2"/>
            <w:shd w:val="clear" w:color="000000" w:fill="D9D9D9"/>
            <w:hideMark/>
          </w:tcPr>
          <w:p w:rsidR="009C3D9F" w:rsidRPr="00CA4713" w:rsidRDefault="009C3D9F" w:rsidP="009C3D9F">
            <w:pPr>
              <w:spacing w:after="0" w:line="240" w:lineRule="auto"/>
              <w:jc w:val="right"/>
              <w:rPr>
                <w:rFonts w:eastAsia="Times New Roman" w:cstheme="minorHAnsi"/>
                <w:color w:val="000000"/>
                <w:sz w:val="20"/>
                <w:lang w:eastAsia="en-NZ"/>
              </w:rPr>
            </w:pPr>
            <w:r w:rsidRPr="00CA4713">
              <w:rPr>
                <w:rFonts w:eastAsia="Times New Roman" w:cstheme="minorHAnsi"/>
                <w:color w:val="000000"/>
                <w:sz w:val="20"/>
                <w:lang w:eastAsia="en-NZ"/>
              </w:rPr>
              <w:t>90%</w:t>
            </w:r>
          </w:p>
        </w:tc>
        <w:tc>
          <w:tcPr>
            <w:tcW w:w="785" w:type="dxa"/>
            <w:gridSpan w:val="2"/>
            <w:shd w:val="clear" w:color="auto" w:fill="auto"/>
            <w:hideMark/>
          </w:tcPr>
          <w:p w:rsidR="009C3D9F" w:rsidRPr="00CA4713" w:rsidRDefault="009C3D9F" w:rsidP="009C3D9F">
            <w:pPr>
              <w:spacing w:after="0" w:line="240" w:lineRule="auto"/>
              <w:jc w:val="center"/>
              <w:rPr>
                <w:rFonts w:eastAsia="Times New Roman" w:cstheme="minorHAnsi"/>
                <w:color w:val="000000"/>
                <w:sz w:val="20"/>
                <w:lang w:eastAsia="en-NZ"/>
              </w:rPr>
            </w:pPr>
            <w:r w:rsidRPr="00CA4713">
              <w:rPr>
                <w:rFonts w:eastAsia="Times New Roman" w:cstheme="minorHAnsi"/>
                <w:color w:val="000000"/>
                <w:sz w:val="20"/>
                <w:lang w:eastAsia="en-NZ"/>
              </w:rPr>
              <w:t>6%</w:t>
            </w:r>
          </w:p>
        </w:tc>
        <w:tc>
          <w:tcPr>
            <w:tcW w:w="1316" w:type="dxa"/>
            <w:gridSpan w:val="4"/>
            <w:shd w:val="clear" w:color="auto" w:fill="auto"/>
            <w:hideMark/>
          </w:tcPr>
          <w:p w:rsidR="009C3D9F" w:rsidRDefault="009C3D9F" w:rsidP="009C3D9F">
            <w:pPr>
              <w:spacing w:after="0"/>
              <w:jc w:val="right"/>
            </w:pPr>
            <w:r w:rsidRPr="006B37AB">
              <w:rPr>
                <w:rFonts w:eastAsia="Times New Roman" w:cstheme="minorHAnsi"/>
                <w:color w:val="000000"/>
                <w:sz w:val="20"/>
                <w:lang w:eastAsia="en-NZ"/>
              </w:rPr>
              <w:t>Within 10%</w:t>
            </w:r>
          </w:p>
        </w:tc>
        <w:tc>
          <w:tcPr>
            <w:tcW w:w="4252" w:type="dxa"/>
            <w:shd w:val="clear" w:color="auto" w:fill="auto"/>
          </w:tcPr>
          <w:p w:rsidR="009C3D9F" w:rsidRPr="00CA4713" w:rsidRDefault="009C3D9F" w:rsidP="009C3D9F">
            <w:pPr>
              <w:spacing w:after="0" w:line="240" w:lineRule="auto"/>
              <w:jc w:val="right"/>
              <w:rPr>
                <w:rFonts w:eastAsia="Times New Roman" w:cstheme="minorHAnsi"/>
                <w:color w:val="000000"/>
                <w:sz w:val="20"/>
                <w:lang w:eastAsia="en-NZ"/>
              </w:rPr>
            </w:pPr>
          </w:p>
        </w:tc>
      </w:tr>
      <w:tr w:rsidR="00546A26" w:rsidRPr="00CA4713" w:rsidTr="009C3D9F">
        <w:trPr>
          <w:trHeight w:val="270"/>
        </w:trPr>
        <w:tc>
          <w:tcPr>
            <w:tcW w:w="4408" w:type="dxa"/>
            <w:gridSpan w:val="4"/>
            <w:shd w:val="clear" w:color="auto" w:fill="auto"/>
            <w:hideMark/>
          </w:tcPr>
          <w:p w:rsidR="00546A26" w:rsidRPr="00CA4713" w:rsidRDefault="00546A26" w:rsidP="004106CD">
            <w:pPr>
              <w:spacing w:after="0" w:line="240" w:lineRule="auto"/>
              <w:rPr>
                <w:rFonts w:eastAsia="Times New Roman" w:cstheme="minorHAnsi"/>
                <w:color w:val="000000"/>
                <w:sz w:val="20"/>
                <w:lang w:eastAsia="en-NZ"/>
              </w:rPr>
            </w:pPr>
            <w:r w:rsidRPr="00CA4713">
              <w:rPr>
                <w:rFonts w:eastAsia="Times New Roman" w:cstheme="minorHAnsi"/>
                <w:color w:val="000000"/>
                <w:sz w:val="20"/>
                <w:lang w:eastAsia="en-NZ"/>
              </w:rPr>
              <w:lastRenderedPageBreak/>
              <w:t>Tenant (%) sense of safety in their complex at night</w:t>
            </w:r>
          </w:p>
        </w:tc>
        <w:tc>
          <w:tcPr>
            <w:tcW w:w="1136" w:type="dxa"/>
            <w:gridSpan w:val="2"/>
            <w:shd w:val="clear" w:color="auto" w:fill="auto"/>
            <w:noWrap/>
            <w:hideMark/>
          </w:tcPr>
          <w:p w:rsidR="00546A26" w:rsidRPr="00CA4713" w:rsidRDefault="00546A26" w:rsidP="004106CD">
            <w:pPr>
              <w:spacing w:after="0" w:line="240" w:lineRule="auto"/>
              <w:jc w:val="right"/>
              <w:rPr>
                <w:rFonts w:eastAsia="Times New Roman" w:cstheme="minorHAnsi"/>
                <w:color w:val="000000"/>
                <w:sz w:val="20"/>
                <w:lang w:eastAsia="en-NZ"/>
              </w:rPr>
            </w:pPr>
            <w:r w:rsidRPr="00CA4713">
              <w:rPr>
                <w:rFonts w:eastAsia="Times New Roman" w:cstheme="minorHAnsi"/>
                <w:color w:val="000000"/>
                <w:sz w:val="20"/>
                <w:lang w:eastAsia="en-NZ"/>
              </w:rPr>
              <w:t>78%</w:t>
            </w:r>
          </w:p>
        </w:tc>
        <w:tc>
          <w:tcPr>
            <w:tcW w:w="1176" w:type="dxa"/>
            <w:shd w:val="clear" w:color="auto" w:fill="auto"/>
            <w:noWrap/>
            <w:hideMark/>
          </w:tcPr>
          <w:p w:rsidR="00546A26" w:rsidRPr="00CA4713" w:rsidRDefault="00546A26" w:rsidP="004106CD">
            <w:pPr>
              <w:spacing w:after="0" w:line="240" w:lineRule="auto"/>
              <w:jc w:val="right"/>
              <w:rPr>
                <w:rFonts w:eastAsia="Times New Roman" w:cstheme="minorHAnsi"/>
                <w:color w:val="000000"/>
                <w:sz w:val="20"/>
                <w:lang w:eastAsia="en-NZ"/>
              </w:rPr>
            </w:pPr>
            <w:r w:rsidRPr="00CA4713">
              <w:rPr>
                <w:rFonts w:eastAsia="Times New Roman" w:cstheme="minorHAnsi"/>
                <w:color w:val="000000"/>
                <w:sz w:val="20"/>
                <w:lang w:eastAsia="en-NZ"/>
              </w:rPr>
              <w:t>75%</w:t>
            </w:r>
          </w:p>
        </w:tc>
        <w:tc>
          <w:tcPr>
            <w:tcW w:w="1258" w:type="dxa"/>
            <w:gridSpan w:val="5"/>
            <w:shd w:val="clear" w:color="auto" w:fill="auto"/>
            <w:noWrap/>
            <w:hideMark/>
          </w:tcPr>
          <w:p w:rsidR="00546A26" w:rsidRPr="00CA4713" w:rsidRDefault="00546A26" w:rsidP="004106CD">
            <w:pPr>
              <w:spacing w:after="0" w:line="240" w:lineRule="auto"/>
              <w:jc w:val="right"/>
              <w:rPr>
                <w:rFonts w:eastAsia="Times New Roman" w:cstheme="minorHAnsi"/>
                <w:color w:val="000000"/>
                <w:sz w:val="20"/>
                <w:lang w:eastAsia="en-NZ"/>
              </w:rPr>
            </w:pPr>
            <w:r w:rsidRPr="00CA4713">
              <w:rPr>
                <w:rFonts w:eastAsia="Times New Roman" w:cstheme="minorHAnsi"/>
                <w:color w:val="000000"/>
                <w:sz w:val="20"/>
                <w:lang w:eastAsia="en-NZ"/>
              </w:rPr>
              <w:t>84%</w:t>
            </w:r>
          </w:p>
        </w:tc>
        <w:tc>
          <w:tcPr>
            <w:tcW w:w="1120" w:type="dxa"/>
            <w:gridSpan w:val="2"/>
            <w:shd w:val="clear" w:color="000000" w:fill="D9D9D9"/>
            <w:hideMark/>
          </w:tcPr>
          <w:p w:rsidR="00546A26" w:rsidRPr="00CA4713" w:rsidRDefault="00546A26" w:rsidP="004106CD">
            <w:pPr>
              <w:spacing w:after="0" w:line="240" w:lineRule="auto"/>
              <w:jc w:val="right"/>
              <w:rPr>
                <w:rFonts w:eastAsia="Times New Roman" w:cstheme="minorHAnsi"/>
                <w:color w:val="000000"/>
                <w:sz w:val="20"/>
                <w:lang w:eastAsia="en-NZ"/>
              </w:rPr>
            </w:pPr>
            <w:r w:rsidRPr="00CA4713">
              <w:rPr>
                <w:rFonts w:eastAsia="Times New Roman" w:cstheme="minorHAnsi"/>
                <w:color w:val="000000"/>
                <w:sz w:val="20"/>
                <w:lang w:eastAsia="en-NZ"/>
              </w:rPr>
              <w:t>75%</w:t>
            </w:r>
          </w:p>
        </w:tc>
        <w:tc>
          <w:tcPr>
            <w:tcW w:w="785" w:type="dxa"/>
            <w:gridSpan w:val="2"/>
            <w:shd w:val="clear" w:color="auto" w:fill="auto"/>
            <w:hideMark/>
          </w:tcPr>
          <w:p w:rsidR="00546A26" w:rsidRPr="00CA4713" w:rsidRDefault="00546A26" w:rsidP="004106CD">
            <w:pPr>
              <w:spacing w:after="0" w:line="240" w:lineRule="auto"/>
              <w:jc w:val="center"/>
              <w:rPr>
                <w:rFonts w:eastAsia="Times New Roman" w:cstheme="minorHAnsi"/>
                <w:color w:val="000000"/>
                <w:sz w:val="20"/>
                <w:lang w:eastAsia="en-NZ"/>
              </w:rPr>
            </w:pPr>
            <w:r w:rsidRPr="00CA4713">
              <w:rPr>
                <w:rFonts w:eastAsia="Times New Roman" w:cstheme="minorHAnsi"/>
                <w:color w:val="000000"/>
                <w:sz w:val="20"/>
                <w:lang w:eastAsia="en-NZ"/>
              </w:rPr>
              <w:t>12%</w:t>
            </w:r>
          </w:p>
        </w:tc>
        <w:tc>
          <w:tcPr>
            <w:tcW w:w="1316" w:type="dxa"/>
            <w:gridSpan w:val="4"/>
            <w:shd w:val="clear" w:color="auto" w:fill="auto"/>
            <w:hideMark/>
          </w:tcPr>
          <w:p w:rsidR="00546A26" w:rsidRPr="00CA4713" w:rsidRDefault="00546A26" w:rsidP="009C3D9F">
            <w:pPr>
              <w:spacing w:after="0" w:line="240" w:lineRule="auto"/>
              <w:jc w:val="right"/>
              <w:rPr>
                <w:rFonts w:eastAsia="Times New Roman" w:cstheme="minorHAnsi"/>
                <w:color w:val="000000"/>
                <w:sz w:val="20"/>
                <w:lang w:eastAsia="en-NZ"/>
              </w:rPr>
            </w:pPr>
            <w:r w:rsidRPr="00CA4713">
              <w:rPr>
                <w:rFonts w:eastAsia="Times New Roman" w:cstheme="minorHAnsi"/>
                <w:color w:val="000000"/>
                <w:sz w:val="20"/>
                <w:lang w:eastAsia="en-NZ"/>
              </w:rPr>
              <w:t>exceeded</w:t>
            </w:r>
          </w:p>
          <w:p w:rsidR="00546A26" w:rsidRPr="00CA4713" w:rsidRDefault="00546A26" w:rsidP="004106CD">
            <w:pPr>
              <w:spacing w:after="0" w:line="240" w:lineRule="auto"/>
              <w:jc w:val="center"/>
              <w:rPr>
                <w:rFonts w:eastAsia="Times New Roman" w:cstheme="minorHAnsi"/>
                <w:color w:val="000000"/>
                <w:sz w:val="20"/>
                <w:lang w:eastAsia="en-NZ"/>
              </w:rPr>
            </w:pPr>
          </w:p>
        </w:tc>
        <w:tc>
          <w:tcPr>
            <w:tcW w:w="4252" w:type="dxa"/>
            <w:shd w:val="clear" w:color="auto" w:fill="auto"/>
          </w:tcPr>
          <w:p w:rsidR="00546A26" w:rsidRPr="00CA4713" w:rsidRDefault="00750654" w:rsidP="00750654">
            <w:pPr>
              <w:spacing w:after="0" w:line="240" w:lineRule="auto"/>
              <w:rPr>
                <w:rFonts w:eastAsia="Times New Roman" w:cstheme="minorHAnsi"/>
                <w:color w:val="000000"/>
                <w:sz w:val="20"/>
                <w:lang w:eastAsia="en-NZ"/>
              </w:rPr>
            </w:pPr>
            <w:r w:rsidRPr="00750654">
              <w:rPr>
                <w:rFonts w:eastAsia="Times New Roman" w:cstheme="minorHAnsi"/>
                <w:color w:val="000000"/>
                <w:sz w:val="20"/>
                <w:lang w:eastAsia="en-NZ"/>
              </w:rPr>
              <w:t>Only 143 tenants answered the survey in 2018 whereas 510 answered in 2019.</w:t>
            </w:r>
          </w:p>
        </w:tc>
      </w:tr>
      <w:tr w:rsidR="009C3D9F" w:rsidRPr="00CA4713" w:rsidTr="009C3D9F">
        <w:trPr>
          <w:trHeight w:val="270"/>
        </w:trPr>
        <w:tc>
          <w:tcPr>
            <w:tcW w:w="4408" w:type="dxa"/>
            <w:gridSpan w:val="4"/>
            <w:shd w:val="clear" w:color="auto" w:fill="auto"/>
            <w:hideMark/>
          </w:tcPr>
          <w:p w:rsidR="009C3D9F" w:rsidRPr="00CA4713" w:rsidRDefault="009C3D9F" w:rsidP="009C3D9F">
            <w:pPr>
              <w:spacing w:after="0" w:line="240" w:lineRule="auto"/>
              <w:rPr>
                <w:rFonts w:eastAsia="Times New Roman" w:cstheme="minorHAnsi"/>
                <w:color w:val="000000"/>
                <w:sz w:val="20"/>
                <w:lang w:eastAsia="en-NZ"/>
              </w:rPr>
            </w:pPr>
            <w:r w:rsidRPr="00CA4713">
              <w:rPr>
                <w:rFonts w:eastAsia="Times New Roman" w:cstheme="minorHAnsi"/>
                <w:color w:val="000000"/>
                <w:sz w:val="20"/>
                <w:lang w:eastAsia="en-NZ"/>
              </w:rPr>
              <w:t>Occupancy rate of available housing facilities</w:t>
            </w:r>
          </w:p>
        </w:tc>
        <w:tc>
          <w:tcPr>
            <w:tcW w:w="1136" w:type="dxa"/>
            <w:gridSpan w:val="2"/>
            <w:shd w:val="clear" w:color="auto" w:fill="auto"/>
            <w:noWrap/>
            <w:hideMark/>
          </w:tcPr>
          <w:p w:rsidR="009C3D9F" w:rsidRPr="00CA4713" w:rsidRDefault="009C3D9F" w:rsidP="009C3D9F">
            <w:pPr>
              <w:spacing w:after="0" w:line="240" w:lineRule="auto"/>
              <w:jc w:val="right"/>
              <w:rPr>
                <w:rFonts w:eastAsia="Times New Roman" w:cstheme="minorHAnsi"/>
                <w:color w:val="000000"/>
                <w:sz w:val="20"/>
                <w:lang w:eastAsia="en-NZ"/>
              </w:rPr>
            </w:pPr>
            <w:r w:rsidRPr="00CA4713">
              <w:rPr>
                <w:rFonts w:eastAsia="Times New Roman" w:cstheme="minorHAnsi"/>
                <w:color w:val="000000"/>
                <w:sz w:val="20"/>
                <w:lang w:eastAsia="en-NZ"/>
              </w:rPr>
              <w:t>97%</w:t>
            </w:r>
          </w:p>
        </w:tc>
        <w:tc>
          <w:tcPr>
            <w:tcW w:w="1176" w:type="dxa"/>
            <w:shd w:val="clear" w:color="auto" w:fill="auto"/>
            <w:noWrap/>
            <w:hideMark/>
          </w:tcPr>
          <w:p w:rsidR="009C3D9F" w:rsidRPr="00CA4713" w:rsidRDefault="009C3D9F" w:rsidP="009C3D9F">
            <w:pPr>
              <w:spacing w:after="0" w:line="240" w:lineRule="auto"/>
              <w:jc w:val="right"/>
              <w:rPr>
                <w:rFonts w:eastAsia="Times New Roman" w:cstheme="minorHAnsi"/>
                <w:color w:val="000000"/>
                <w:sz w:val="20"/>
                <w:lang w:eastAsia="en-NZ"/>
              </w:rPr>
            </w:pPr>
            <w:r w:rsidRPr="00CA4713">
              <w:rPr>
                <w:rFonts w:eastAsia="Times New Roman" w:cstheme="minorHAnsi"/>
                <w:color w:val="000000"/>
                <w:sz w:val="20"/>
                <w:lang w:eastAsia="en-NZ"/>
              </w:rPr>
              <w:t>96%</w:t>
            </w:r>
          </w:p>
        </w:tc>
        <w:tc>
          <w:tcPr>
            <w:tcW w:w="1258" w:type="dxa"/>
            <w:gridSpan w:val="5"/>
            <w:shd w:val="clear" w:color="auto" w:fill="auto"/>
            <w:noWrap/>
            <w:hideMark/>
          </w:tcPr>
          <w:p w:rsidR="009C3D9F" w:rsidRPr="00CA4713" w:rsidRDefault="009C3D9F" w:rsidP="009C3D9F">
            <w:pPr>
              <w:spacing w:after="0" w:line="240" w:lineRule="auto"/>
              <w:jc w:val="right"/>
              <w:rPr>
                <w:rFonts w:eastAsia="Times New Roman" w:cstheme="minorHAnsi"/>
                <w:color w:val="000000"/>
                <w:sz w:val="20"/>
                <w:lang w:eastAsia="en-NZ"/>
              </w:rPr>
            </w:pPr>
            <w:r w:rsidRPr="00CA4713">
              <w:rPr>
                <w:rFonts w:eastAsia="Times New Roman" w:cstheme="minorHAnsi"/>
                <w:color w:val="000000"/>
                <w:sz w:val="20"/>
                <w:lang w:eastAsia="en-NZ"/>
              </w:rPr>
              <w:t>96%</w:t>
            </w:r>
          </w:p>
        </w:tc>
        <w:tc>
          <w:tcPr>
            <w:tcW w:w="1120" w:type="dxa"/>
            <w:gridSpan w:val="2"/>
            <w:shd w:val="clear" w:color="000000" w:fill="D9D9D9"/>
            <w:hideMark/>
          </w:tcPr>
          <w:p w:rsidR="009C3D9F" w:rsidRPr="00CA4713" w:rsidRDefault="009C3D9F" w:rsidP="009C3D9F">
            <w:pPr>
              <w:spacing w:after="0" w:line="240" w:lineRule="auto"/>
              <w:jc w:val="right"/>
              <w:rPr>
                <w:rFonts w:eastAsia="Times New Roman" w:cstheme="minorHAnsi"/>
                <w:color w:val="000000"/>
                <w:sz w:val="20"/>
                <w:lang w:eastAsia="en-NZ"/>
              </w:rPr>
            </w:pPr>
            <w:r w:rsidRPr="00CA4713">
              <w:rPr>
                <w:rFonts w:eastAsia="Times New Roman" w:cstheme="minorHAnsi"/>
                <w:color w:val="000000"/>
                <w:sz w:val="20"/>
                <w:lang w:eastAsia="en-NZ"/>
              </w:rPr>
              <w:t>90%</w:t>
            </w:r>
          </w:p>
        </w:tc>
        <w:tc>
          <w:tcPr>
            <w:tcW w:w="785" w:type="dxa"/>
            <w:gridSpan w:val="2"/>
            <w:shd w:val="clear" w:color="auto" w:fill="auto"/>
            <w:hideMark/>
          </w:tcPr>
          <w:p w:rsidR="009C3D9F" w:rsidRPr="00CA4713" w:rsidRDefault="009C3D9F" w:rsidP="009C3D9F">
            <w:pPr>
              <w:spacing w:after="0" w:line="240" w:lineRule="auto"/>
              <w:jc w:val="center"/>
              <w:rPr>
                <w:rFonts w:eastAsia="Times New Roman" w:cstheme="minorHAnsi"/>
                <w:color w:val="000000"/>
                <w:sz w:val="20"/>
                <w:lang w:eastAsia="en-NZ"/>
              </w:rPr>
            </w:pPr>
            <w:r w:rsidRPr="00CA4713">
              <w:rPr>
                <w:rFonts w:eastAsia="Times New Roman" w:cstheme="minorHAnsi"/>
                <w:color w:val="000000"/>
                <w:sz w:val="20"/>
                <w:lang w:eastAsia="en-NZ"/>
              </w:rPr>
              <w:t>7%</w:t>
            </w:r>
          </w:p>
        </w:tc>
        <w:tc>
          <w:tcPr>
            <w:tcW w:w="1316" w:type="dxa"/>
            <w:gridSpan w:val="4"/>
            <w:shd w:val="clear" w:color="auto" w:fill="auto"/>
            <w:hideMark/>
          </w:tcPr>
          <w:p w:rsidR="009C3D9F" w:rsidRDefault="009C3D9F" w:rsidP="009C3D9F">
            <w:pPr>
              <w:spacing w:after="0"/>
              <w:jc w:val="right"/>
            </w:pPr>
            <w:r w:rsidRPr="00FA2E9F">
              <w:rPr>
                <w:rFonts w:eastAsia="Times New Roman" w:cstheme="minorHAnsi"/>
                <w:color w:val="000000"/>
                <w:sz w:val="20"/>
                <w:lang w:eastAsia="en-NZ"/>
              </w:rPr>
              <w:t>Within 10%</w:t>
            </w:r>
          </w:p>
        </w:tc>
        <w:tc>
          <w:tcPr>
            <w:tcW w:w="4252" w:type="dxa"/>
            <w:shd w:val="clear" w:color="auto" w:fill="auto"/>
          </w:tcPr>
          <w:p w:rsidR="009C3D9F" w:rsidRPr="00CA4713" w:rsidRDefault="009C3D9F" w:rsidP="009C3D9F">
            <w:pPr>
              <w:spacing w:after="0" w:line="240" w:lineRule="auto"/>
              <w:jc w:val="right"/>
              <w:rPr>
                <w:rFonts w:eastAsia="Times New Roman" w:cstheme="minorHAnsi"/>
                <w:color w:val="000000"/>
                <w:sz w:val="20"/>
                <w:lang w:eastAsia="en-NZ"/>
              </w:rPr>
            </w:pPr>
          </w:p>
        </w:tc>
      </w:tr>
      <w:tr w:rsidR="009C3D9F" w:rsidRPr="00CA4713" w:rsidTr="009C3D9F">
        <w:trPr>
          <w:trHeight w:val="270"/>
        </w:trPr>
        <w:tc>
          <w:tcPr>
            <w:tcW w:w="4408" w:type="dxa"/>
            <w:gridSpan w:val="4"/>
            <w:tcBorders>
              <w:bottom w:val="nil"/>
            </w:tcBorders>
            <w:shd w:val="clear" w:color="auto" w:fill="auto"/>
            <w:hideMark/>
          </w:tcPr>
          <w:p w:rsidR="009C3D9F" w:rsidRPr="00CA4713" w:rsidRDefault="009C3D9F" w:rsidP="009C3D9F">
            <w:pPr>
              <w:spacing w:after="0" w:line="240" w:lineRule="auto"/>
              <w:rPr>
                <w:rFonts w:eastAsia="Times New Roman" w:cstheme="minorHAnsi"/>
                <w:color w:val="000000"/>
                <w:sz w:val="20"/>
                <w:lang w:eastAsia="en-NZ"/>
              </w:rPr>
            </w:pPr>
            <w:r w:rsidRPr="00CA4713">
              <w:rPr>
                <w:rFonts w:eastAsia="Times New Roman" w:cstheme="minorHAnsi"/>
                <w:color w:val="000000"/>
                <w:sz w:val="20"/>
                <w:lang w:eastAsia="en-NZ"/>
              </w:rPr>
              <w:t>All tenants (existing and new) housed within policy</w:t>
            </w:r>
          </w:p>
        </w:tc>
        <w:tc>
          <w:tcPr>
            <w:tcW w:w="1136" w:type="dxa"/>
            <w:gridSpan w:val="2"/>
            <w:tcBorders>
              <w:bottom w:val="nil"/>
            </w:tcBorders>
            <w:shd w:val="clear" w:color="auto" w:fill="auto"/>
            <w:noWrap/>
            <w:hideMark/>
          </w:tcPr>
          <w:p w:rsidR="009C3D9F" w:rsidRPr="00CA4713" w:rsidRDefault="009C3D9F" w:rsidP="009C3D9F">
            <w:pPr>
              <w:spacing w:after="0" w:line="240" w:lineRule="auto"/>
              <w:jc w:val="right"/>
              <w:rPr>
                <w:rFonts w:eastAsia="Times New Roman" w:cstheme="minorHAnsi"/>
                <w:color w:val="000000"/>
                <w:sz w:val="20"/>
                <w:lang w:eastAsia="en-NZ"/>
              </w:rPr>
            </w:pPr>
            <w:r w:rsidRPr="00CA4713">
              <w:rPr>
                <w:rFonts w:eastAsia="Times New Roman" w:cstheme="minorHAnsi"/>
                <w:color w:val="000000"/>
                <w:sz w:val="20"/>
                <w:lang w:eastAsia="en-NZ"/>
              </w:rPr>
              <w:t>97%</w:t>
            </w:r>
          </w:p>
        </w:tc>
        <w:tc>
          <w:tcPr>
            <w:tcW w:w="1176" w:type="dxa"/>
            <w:tcBorders>
              <w:bottom w:val="nil"/>
            </w:tcBorders>
            <w:shd w:val="clear" w:color="auto" w:fill="auto"/>
            <w:noWrap/>
            <w:hideMark/>
          </w:tcPr>
          <w:p w:rsidR="009C3D9F" w:rsidRPr="00CA4713" w:rsidRDefault="009C3D9F" w:rsidP="009C3D9F">
            <w:pPr>
              <w:spacing w:after="0" w:line="240" w:lineRule="auto"/>
              <w:jc w:val="right"/>
              <w:rPr>
                <w:rFonts w:eastAsia="Times New Roman" w:cstheme="minorHAnsi"/>
                <w:color w:val="000000"/>
                <w:sz w:val="20"/>
                <w:lang w:eastAsia="en-NZ"/>
              </w:rPr>
            </w:pPr>
            <w:r w:rsidRPr="00CA4713">
              <w:rPr>
                <w:rFonts w:eastAsia="Times New Roman" w:cstheme="minorHAnsi"/>
                <w:color w:val="000000"/>
                <w:sz w:val="20"/>
                <w:lang w:eastAsia="en-NZ"/>
              </w:rPr>
              <w:t>98%</w:t>
            </w:r>
          </w:p>
        </w:tc>
        <w:tc>
          <w:tcPr>
            <w:tcW w:w="1258" w:type="dxa"/>
            <w:gridSpan w:val="5"/>
            <w:tcBorders>
              <w:bottom w:val="nil"/>
            </w:tcBorders>
            <w:shd w:val="clear" w:color="auto" w:fill="auto"/>
            <w:noWrap/>
            <w:hideMark/>
          </w:tcPr>
          <w:p w:rsidR="009C3D9F" w:rsidRPr="00CA4713" w:rsidRDefault="009C3D9F" w:rsidP="009C3D9F">
            <w:pPr>
              <w:spacing w:after="0" w:line="240" w:lineRule="auto"/>
              <w:jc w:val="right"/>
              <w:rPr>
                <w:rFonts w:eastAsia="Times New Roman" w:cstheme="minorHAnsi"/>
                <w:color w:val="000000"/>
                <w:sz w:val="20"/>
                <w:lang w:eastAsia="en-NZ"/>
              </w:rPr>
            </w:pPr>
            <w:r w:rsidRPr="00CA4713">
              <w:rPr>
                <w:rFonts w:eastAsia="Times New Roman" w:cstheme="minorHAnsi"/>
                <w:color w:val="000000"/>
                <w:sz w:val="20"/>
                <w:lang w:eastAsia="en-NZ"/>
              </w:rPr>
              <w:t>99%</w:t>
            </w:r>
          </w:p>
        </w:tc>
        <w:tc>
          <w:tcPr>
            <w:tcW w:w="1120" w:type="dxa"/>
            <w:gridSpan w:val="2"/>
            <w:tcBorders>
              <w:bottom w:val="nil"/>
            </w:tcBorders>
            <w:shd w:val="clear" w:color="000000" w:fill="D9D9D9"/>
            <w:hideMark/>
          </w:tcPr>
          <w:p w:rsidR="009C3D9F" w:rsidRPr="00CA4713" w:rsidRDefault="009C3D9F" w:rsidP="009C3D9F">
            <w:pPr>
              <w:spacing w:after="0" w:line="240" w:lineRule="auto"/>
              <w:jc w:val="right"/>
              <w:rPr>
                <w:rFonts w:eastAsia="Times New Roman" w:cstheme="minorHAnsi"/>
                <w:color w:val="000000"/>
                <w:sz w:val="20"/>
                <w:lang w:eastAsia="en-NZ"/>
              </w:rPr>
            </w:pPr>
            <w:r w:rsidRPr="00CA4713">
              <w:rPr>
                <w:rFonts w:eastAsia="Times New Roman" w:cstheme="minorHAnsi"/>
                <w:color w:val="000000"/>
                <w:sz w:val="20"/>
                <w:lang w:eastAsia="en-NZ"/>
              </w:rPr>
              <w:t>98%</w:t>
            </w:r>
          </w:p>
        </w:tc>
        <w:tc>
          <w:tcPr>
            <w:tcW w:w="785" w:type="dxa"/>
            <w:gridSpan w:val="2"/>
            <w:tcBorders>
              <w:bottom w:val="nil"/>
            </w:tcBorders>
            <w:shd w:val="clear" w:color="auto" w:fill="auto"/>
            <w:hideMark/>
          </w:tcPr>
          <w:p w:rsidR="009C3D9F" w:rsidRPr="00CA4713" w:rsidRDefault="009C3D9F" w:rsidP="009C3D9F">
            <w:pPr>
              <w:spacing w:after="0" w:line="240" w:lineRule="auto"/>
              <w:jc w:val="center"/>
              <w:rPr>
                <w:rFonts w:eastAsia="Times New Roman" w:cstheme="minorHAnsi"/>
                <w:color w:val="000000"/>
                <w:sz w:val="20"/>
                <w:lang w:eastAsia="en-NZ"/>
              </w:rPr>
            </w:pPr>
            <w:r w:rsidRPr="00CA4713">
              <w:rPr>
                <w:rFonts w:eastAsia="Times New Roman" w:cstheme="minorHAnsi"/>
                <w:color w:val="000000"/>
                <w:sz w:val="20"/>
                <w:lang w:eastAsia="en-NZ"/>
              </w:rPr>
              <w:t>1%</w:t>
            </w:r>
          </w:p>
        </w:tc>
        <w:tc>
          <w:tcPr>
            <w:tcW w:w="1316" w:type="dxa"/>
            <w:gridSpan w:val="4"/>
            <w:tcBorders>
              <w:bottom w:val="nil"/>
            </w:tcBorders>
            <w:shd w:val="clear" w:color="auto" w:fill="auto"/>
            <w:hideMark/>
          </w:tcPr>
          <w:p w:rsidR="009C3D9F" w:rsidRDefault="009C3D9F" w:rsidP="009C3D9F">
            <w:pPr>
              <w:spacing w:after="0"/>
              <w:jc w:val="right"/>
            </w:pPr>
            <w:r w:rsidRPr="00FA2E9F">
              <w:rPr>
                <w:rFonts w:eastAsia="Times New Roman" w:cstheme="minorHAnsi"/>
                <w:color w:val="000000"/>
                <w:sz w:val="20"/>
                <w:lang w:eastAsia="en-NZ"/>
              </w:rPr>
              <w:t>Within 10%</w:t>
            </w:r>
          </w:p>
        </w:tc>
        <w:tc>
          <w:tcPr>
            <w:tcW w:w="4252" w:type="dxa"/>
            <w:tcBorders>
              <w:bottom w:val="nil"/>
            </w:tcBorders>
            <w:shd w:val="clear" w:color="auto" w:fill="auto"/>
          </w:tcPr>
          <w:p w:rsidR="009C3D9F" w:rsidRPr="00CA4713" w:rsidRDefault="009C3D9F" w:rsidP="009C3D9F">
            <w:pPr>
              <w:spacing w:after="0" w:line="240" w:lineRule="auto"/>
              <w:jc w:val="right"/>
              <w:rPr>
                <w:rFonts w:eastAsia="Times New Roman" w:cstheme="minorHAnsi"/>
                <w:color w:val="000000"/>
                <w:sz w:val="20"/>
                <w:lang w:eastAsia="en-NZ"/>
              </w:rPr>
            </w:pPr>
          </w:p>
        </w:tc>
      </w:tr>
      <w:tr w:rsidR="00546A26" w:rsidRPr="00CA4713" w:rsidTr="009C3D9F">
        <w:trPr>
          <w:trHeight w:val="315"/>
        </w:trPr>
        <w:tc>
          <w:tcPr>
            <w:tcW w:w="15451" w:type="dxa"/>
            <w:gridSpan w:val="21"/>
            <w:tcBorders>
              <w:top w:val="nil"/>
              <w:bottom w:val="nil"/>
            </w:tcBorders>
            <w:shd w:val="clear" w:color="auto" w:fill="DAEEF3" w:themeFill="accent5" w:themeFillTint="33"/>
            <w:hideMark/>
          </w:tcPr>
          <w:p w:rsidR="00546A26" w:rsidRPr="00F45CA3" w:rsidRDefault="00546A26" w:rsidP="004106CD">
            <w:pPr>
              <w:spacing w:after="0" w:line="240" w:lineRule="auto"/>
              <w:rPr>
                <w:rFonts w:eastAsia="Times New Roman" w:cstheme="minorHAnsi"/>
                <w:b/>
                <w:color w:val="000000" w:themeColor="text1"/>
                <w:sz w:val="20"/>
                <w:szCs w:val="20"/>
                <w:lang w:eastAsia="en-NZ"/>
              </w:rPr>
            </w:pPr>
            <w:r w:rsidRPr="00F45CA3">
              <w:rPr>
                <w:rFonts w:eastAsia="Times New Roman" w:cstheme="minorHAnsi"/>
                <w:b/>
                <w:color w:val="000000" w:themeColor="text1"/>
                <w:sz w:val="20"/>
                <w:szCs w:val="20"/>
                <w:lang w:eastAsia="en-NZ"/>
              </w:rPr>
              <w:t>Housing upgrade project</w:t>
            </w:r>
          </w:p>
        </w:tc>
      </w:tr>
      <w:tr w:rsidR="00546A26" w:rsidRPr="00CA4713" w:rsidTr="009C3D9F">
        <w:trPr>
          <w:trHeight w:val="525"/>
        </w:trPr>
        <w:tc>
          <w:tcPr>
            <w:tcW w:w="4408" w:type="dxa"/>
            <w:gridSpan w:val="4"/>
            <w:tcBorders>
              <w:top w:val="nil"/>
            </w:tcBorders>
            <w:shd w:val="clear" w:color="auto" w:fill="auto"/>
            <w:hideMark/>
          </w:tcPr>
          <w:p w:rsidR="00546A26" w:rsidRPr="00CA4713" w:rsidRDefault="00546A26" w:rsidP="004106CD">
            <w:pPr>
              <w:spacing w:after="0" w:line="240" w:lineRule="auto"/>
              <w:rPr>
                <w:rFonts w:eastAsia="Times New Roman" w:cstheme="minorHAnsi"/>
                <w:color w:val="000000"/>
                <w:sz w:val="20"/>
                <w:lang w:eastAsia="en-NZ"/>
              </w:rPr>
            </w:pPr>
            <w:r w:rsidRPr="00CA4713">
              <w:rPr>
                <w:rFonts w:eastAsia="Times New Roman" w:cstheme="minorHAnsi"/>
                <w:color w:val="000000"/>
                <w:sz w:val="20"/>
                <w:lang w:eastAsia="en-NZ"/>
              </w:rPr>
              <w:t>Agreed milestones, design standards and budgets are met in accordance with the agreed works programme and Deed of Grant between the Crown and the Council</w:t>
            </w:r>
          </w:p>
        </w:tc>
        <w:tc>
          <w:tcPr>
            <w:tcW w:w="1136" w:type="dxa"/>
            <w:gridSpan w:val="2"/>
            <w:tcBorders>
              <w:top w:val="nil"/>
            </w:tcBorders>
            <w:shd w:val="clear" w:color="auto" w:fill="auto"/>
            <w:noWrap/>
            <w:hideMark/>
          </w:tcPr>
          <w:p w:rsidR="00546A26" w:rsidRPr="00CA4713" w:rsidRDefault="00546A26" w:rsidP="004106CD">
            <w:pPr>
              <w:spacing w:after="0" w:line="240" w:lineRule="auto"/>
              <w:jc w:val="right"/>
              <w:rPr>
                <w:rFonts w:eastAsia="Times New Roman" w:cstheme="minorHAnsi"/>
                <w:color w:val="000000"/>
                <w:sz w:val="20"/>
                <w:lang w:eastAsia="en-NZ"/>
              </w:rPr>
            </w:pPr>
            <w:r w:rsidRPr="00CA4713">
              <w:rPr>
                <w:rFonts w:eastAsia="Times New Roman" w:cstheme="minorHAnsi"/>
                <w:color w:val="000000"/>
                <w:sz w:val="20"/>
                <w:lang w:eastAsia="en-NZ"/>
              </w:rPr>
              <w:t>Achieved</w:t>
            </w:r>
          </w:p>
        </w:tc>
        <w:tc>
          <w:tcPr>
            <w:tcW w:w="1176" w:type="dxa"/>
            <w:tcBorders>
              <w:top w:val="nil"/>
            </w:tcBorders>
            <w:shd w:val="clear" w:color="auto" w:fill="auto"/>
            <w:noWrap/>
            <w:hideMark/>
          </w:tcPr>
          <w:p w:rsidR="00546A26" w:rsidRPr="00CA4713" w:rsidRDefault="00546A26" w:rsidP="004106CD">
            <w:pPr>
              <w:spacing w:after="0" w:line="240" w:lineRule="auto"/>
              <w:jc w:val="right"/>
              <w:rPr>
                <w:rFonts w:eastAsia="Times New Roman" w:cstheme="minorHAnsi"/>
                <w:color w:val="000000"/>
                <w:sz w:val="20"/>
                <w:lang w:eastAsia="en-NZ"/>
              </w:rPr>
            </w:pPr>
            <w:r w:rsidRPr="00CA4713">
              <w:rPr>
                <w:rFonts w:eastAsia="Times New Roman" w:cstheme="minorHAnsi"/>
                <w:color w:val="000000"/>
                <w:sz w:val="20"/>
                <w:lang w:eastAsia="en-NZ"/>
              </w:rPr>
              <w:t>Achieved</w:t>
            </w:r>
          </w:p>
        </w:tc>
        <w:tc>
          <w:tcPr>
            <w:tcW w:w="1224" w:type="dxa"/>
            <w:gridSpan w:val="3"/>
            <w:tcBorders>
              <w:top w:val="nil"/>
            </w:tcBorders>
            <w:shd w:val="clear" w:color="auto" w:fill="auto"/>
            <w:noWrap/>
            <w:hideMark/>
          </w:tcPr>
          <w:p w:rsidR="00546A26" w:rsidRPr="00CA4713" w:rsidRDefault="00546A26" w:rsidP="004106CD">
            <w:pPr>
              <w:spacing w:after="0" w:line="240" w:lineRule="auto"/>
              <w:jc w:val="right"/>
              <w:rPr>
                <w:rFonts w:eastAsia="Times New Roman" w:cstheme="minorHAnsi"/>
                <w:color w:val="000000"/>
                <w:sz w:val="20"/>
                <w:lang w:eastAsia="en-NZ"/>
              </w:rPr>
            </w:pPr>
            <w:r w:rsidRPr="00CA4713">
              <w:rPr>
                <w:rFonts w:eastAsia="Times New Roman" w:cstheme="minorHAnsi"/>
                <w:color w:val="000000"/>
                <w:sz w:val="20"/>
                <w:lang w:eastAsia="en-NZ"/>
              </w:rPr>
              <w:t>Achieved</w:t>
            </w:r>
          </w:p>
        </w:tc>
        <w:tc>
          <w:tcPr>
            <w:tcW w:w="1140" w:type="dxa"/>
            <w:gridSpan w:val="3"/>
            <w:tcBorders>
              <w:top w:val="nil"/>
            </w:tcBorders>
            <w:shd w:val="clear" w:color="000000" w:fill="D9D9D9"/>
            <w:hideMark/>
          </w:tcPr>
          <w:p w:rsidR="00546A26" w:rsidRPr="00CA4713" w:rsidRDefault="00546A26" w:rsidP="004106CD">
            <w:pPr>
              <w:spacing w:after="0" w:line="240" w:lineRule="auto"/>
              <w:jc w:val="right"/>
              <w:rPr>
                <w:rFonts w:eastAsia="Times New Roman" w:cstheme="minorHAnsi"/>
                <w:color w:val="000000"/>
                <w:sz w:val="20"/>
                <w:lang w:eastAsia="en-NZ"/>
              </w:rPr>
            </w:pPr>
            <w:r w:rsidRPr="00CA4713">
              <w:rPr>
                <w:rFonts w:eastAsia="Times New Roman" w:cstheme="minorHAnsi"/>
                <w:color w:val="000000"/>
                <w:sz w:val="20"/>
                <w:lang w:eastAsia="en-NZ"/>
              </w:rPr>
              <w:t>To achieve</w:t>
            </w:r>
          </w:p>
        </w:tc>
        <w:tc>
          <w:tcPr>
            <w:tcW w:w="822" w:type="dxa"/>
            <w:gridSpan w:val="5"/>
            <w:tcBorders>
              <w:top w:val="nil"/>
            </w:tcBorders>
            <w:shd w:val="clear" w:color="auto" w:fill="auto"/>
            <w:hideMark/>
          </w:tcPr>
          <w:p w:rsidR="00546A26" w:rsidRPr="00CA4713" w:rsidRDefault="00546A26" w:rsidP="004106CD">
            <w:pPr>
              <w:spacing w:after="0" w:line="240" w:lineRule="auto"/>
              <w:jc w:val="center"/>
              <w:rPr>
                <w:rFonts w:eastAsia="Times New Roman" w:cstheme="minorHAnsi"/>
                <w:color w:val="000000"/>
                <w:sz w:val="20"/>
                <w:lang w:eastAsia="en-NZ"/>
              </w:rPr>
            </w:pPr>
            <w:r w:rsidRPr="00CA4713">
              <w:rPr>
                <w:rFonts w:eastAsia="Times New Roman" w:cstheme="minorHAnsi"/>
                <w:color w:val="000000"/>
                <w:sz w:val="20"/>
                <w:lang w:eastAsia="en-NZ"/>
              </w:rPr>
              <w:t>0%</w:t>
            </w:r>
          </w:p>
        </w:tc>
        <w:tc>
          <w:tcPr>
            <w:tcW w:w="1293" w:type="dxa"/>
            <w:gridSpan w:val="2"/>
            <w:tcBorders>
              <w:top w:val="nil"/>
            </w:tcBorders>
            <w:shd w:val="clear" w:color="auto" w:fill="auto"/>
            <w:hideMark/>
          </w:tcPr>
          <w:p w:rsidR="00546A26" w:rsidRPr="00CA4713" w:rsidRDefault="009C3D9F" w:rsidP="009C3D9F">
            <w:pPr>
              <w:spacing w:after="0" w:line="240" w:lineRule="auto"/>
              <w:jc w:val="right"/>
              <w:rPr>
                <w:rFonts w:eastAsia="Times New Roman" w:cstheme="minorHAnsi"/>
                <w:color w:val="000000"/>
                <w:sz w:val="20"/>
                <w:lang w:eastAsia="en-NZ"/>
              </w:rPr>
            </w:pPr>
            <w:r>
              <w:rPr>
                <w:rFonts w:eastAsia="Times New Roman" w:cstheme="minorHAnsi"/>
                <w:color w:val="000000"/>
                <w:sz w:val="20"/>
                <w:lang w:eastAsia="en-NZ"/>
              </w:rPr>
              <w:t>Within 10%</w:t>
            </w:r>
          </w:p>
          <w:p w:rsidR="00546A26" w:rsidRPr="00CA4713" w:rsidRDefault="00546A26" w:rsidP="004106CD">
            <w:pPr>
              <w:spacing w:after="0" w:line="240" w:lineRule="auto"/>
              <w:jc w:val="center"/>
              <w:rPr>
                <w:rFonts w:eastAsia="Times New Roman" w:cstheme="minorHAnsi"/>
                <w:color w:val="000000"/>
                <w:sz w:val="20"/>
                <w:lang w:eastAsia="en-NZ"/>
              </w:rPr>
            </w:pPr>
          </w:p>
        </w:tc>
        <w:tc>
          <w:tcPr>
            <w:tcW w:w="4252" w:type="dxa"/>
            <w:tcBorders>
              <w:top w:val="nil"/>
            </w:tcBorders>
            <w:shd w:val="clear" w:color="auto" w:fill="auto"/>
            <w:hideMark/>
          </w:tcPr>
          <w:p w:rsidR="00546A26" w:rsidRPr="00CA4713" w:rsidRDefault="00546A26" w:rsidP="004106CD">
            <w:pPr>
              <w:spacing w:after="0" w:line="240" w:lineRule="auto"/>
              <w:jc w:val="right"/>
              <w:rPr>
                <w:rFonts w:eastAsia="Times New Roman" w:cstheme="minorHAnsi"/>
                <w:color w:val="000000"/>
                <w:sz w:val="20"/>
                <w:lang w:eastAsia="en-NZ"/>
              </w:rPr>
            </w:pPr>
          </w:p>
        </w:tc>
      </w:tr>
      <w:tr w:rsidR="00546A26" w:rsidRPr="00CA4713" w:rsidTr="009C3D9F">
        <w:trPr>
          <w:trHeight w:val="255"/>
        </w:trPr>
        <w:tc>
          <w:tcPr>
            <w:tcW w:w="15451" w:type="dxa"/>
            <w:gridSpan w:val="21"/>
            <w:tcBorders>
              <w:bottom w:val="nil"/>
            </w:tcBorders>
            <w:shd w:val="clear" w:color="auto" w:fill="009999"/>
            <w:hideMark/>
          </w:tcPr>
          <w:p w:rsidR="00546A26" w:rsidRPr="00CA4713" w:rsidRDefault="00546A26" w:rsidP="004106CD">
            <w:pPr>
              <w:spacing w:after="0" w:line="240" w:lineRule="auto"/>
              <w:rPr>
                <w:rFonts w:eastAsia="Times New Roman" w:cstheme="minorHAnsi"/>
                <w:color w:val="000000"/>
                <w:sz w:val="24"/>
                <w:lang w:eastAsia="en-NZ"/>
              </w:rPr>
            </w:pPr>
            <w:r w:rsidRPr="00CA4713">
              <w:rPr>
                <w:rFonts w:eastAsia="Times New Roman" w:cstheme="minorHAnsi"/>
                <w:b/>
                <w:bCs/>
                <w:color w:val="FFFFFF"/>
                <w:sz w:val="24"/>
                <w:lang w:eastAsia="en-NZ"/>
              </w:rPr>
              <w:t>5.3 Public health and safety </w:t>
            </w:r>
          </w:p>
        </w:tc>
      </w:tr>
      <w:tr w:rsidR="00546A26" w:rsidRPr="00CA4713" w:rsidTr="009C3D9F">
        <w:trPr>
          <w:trHeight w:val="315"/>
        </w:trPr>
        <w:tc>
          <w:tcPr>
            <w:tcW w:w="15451" w:type="dxa"/>
            <w:gridSpan w:val="21"/>
            <w:tcBorders>
              <w:top w:val="nil"/>
              <w:bottom w:val="nil"/>
            </w:tcBorders>
            <w:shd w:val="clear" w:color="auto" w:fill="DAEEF3" w:themeFill="accent5" w:themeFillTint="33"/>
            <w:hideMark/>
          </w:tcPr>
          <w:p w:rsidR="00546A26" w:rsidRPr="00F45CA3" w:rsidRDefault="00546A26" w:rsidP="004106CD">
            <w:pPr>
              <w:spacing w:after="0" w:line="240" w:lineRule="auto"/>
              <w:rPr>
                <w:rFonts w:eastAsia="Times New Roman" w:cstheme="minorHAnsi"/>
                <w:b/>
                <w:color w:val="000000" w:themeColor="text1"/>
                <w:sz w:val="20"/>
                <w:szCs w:val="20"/>
                <w:lang w:eastAsia="en-NZ"/>
              </w:rPr>
            </w:pPr>
            <w:r w:rsidRPr="00F45CA3">
              <w:rPr>
                <w:rFonts w:eastAsia="Times New Roman" w:cstheme="minorHAnsi"/>
                <w:b/>
                <w:color w:val="000000" w:themeColor="text1"/>
                <w:sz w:val="20"/>
                <w:szCs w:val="20"/>
                <w:lang w:eastAsia="en-NZ"/>
              </w:rPr>
              <w:t xml:space="preserve">Compliance </w:t>
            </w:r>
          </w:p>
        </w:tc>
      </w:tr>
      <w:tr w:rsidR="00546A26" w:rsidRPr="00CA4713" w:rsidTr="009C3D9F">
        <w:trPr>
          <w:trHeight w:val="1035"/>
        </w:trPr>
        <w:tc>
          <w:tcPr>
            <w:tcW w:w="4408" w:type="dxa"/>
            <w:gridSpan w:val="4"/>
            <w:tcBorders>
              <w:top w:val="nil"/>
              <w:bottom w:val="nil"/>
            </w:tcBorders>
            <w:shd w:val="clear" w:color="auto" w:fill="auto"/>
            <w:hideMark/>
          </w:tcPr>
          <w:p w:rsidR="00546A26" w:rsidRPr="00CA4713" w:rsidRDefault="00546A26" w:rsidP="004106CD">
            <w:pPr>
              <w:spacing w:after="0" w:line="240" w:lineRule="auto"/>
              <w:rPr>
                <w:rFonts w:eastAsia="Times New Roman" w:cstheme="minorHAnsi"/>
                <w:color w:val="000000"/>
                <w:sz w:val="20"/>
                <w:lang w:eastAsia="en-NZ"/>
              </w:rPr>
            </w:pPr>
            <w:r w:rsidRPr="00CA4713">
              <w:rPr>
                <w:rFonts w:eastAsia="Times New Roman" w:cstheme="minorHAnsi"/>
                <w:color w:val="000000"/>
                <w:sz w:val="20"/>
                <w:lang w:eastAsia="en-NZ"/>
              </w:rPr>
              <w:t>Food registrations - premises (%) inspected within Food Act regulation required timeframes (new business and existing businesses)</w:t>
            </w:r>
          </w:p>
        </w:tc>
        <w:tc>
          <w:tcPr>
            <w:tcW w:w="1136" w:type="dxa"/>
            <w:gridSpan w:val="2"/>
            <w:tcBorders>
              <w:top w:val="nil"/>
              <w:bottom w:val="nil"/>
            </w:tcBorders>
            <w:shd w:val="clear" w:color="auto" w:fill="auto"/>
            <w:hideMark/>
          </w:tcPr>
          <w:p w:rsidR="00546A26" w:rsidRPr="00CA4713" w:rsidRDefault="00546A26" w:rsidP="004106CD">
            <w:pPr>
              <w:spacing w:after="0" w:line="240" w:lineRule="auto"/>
              <w:jc w:val="right"/>
              <w:rPr>
                <w:rFonts w:eastAsia="Times New Roman" w:cstheme="minorHAnsi"/>
                <w:color w:val="000000"/>
                <w:sz w:val="20"/>
                <w:lang w:eastAsia="en-NZ"/>
              </w:rPr>
            </w:pPr>
          </w:p>
        </w:tc>
        <w:tc>
          <w:tcPr>
            <w:tcW w:w="1176" w:type="dxa"/>
            <w:tcBorders>
              <w:top w:val="nil"/>
              <w:bottom w:val="nil"/>
            </w:tcBorders>
            <w:shd w:val="clear" w:color="auto" w:fill="auto"/>
            <w:noWrap/>
            <w:hideMark/>
          </w:tcPr>
          <w:p w:rsidR="00546A26" w:rsidRPr="00CA4713" w:rsidRDefault="00546A26" w:rsidP="004106CD">
            <w:pPr>
              <w:spacing w:after="0" w:line="240" w:lineRule="auto"/>
              <w:jc w:val="right"/>
              <w:rPr>
                <w:rFonts w:eastAsia="Times New Roman" w:cstheme="minorHAnsi"/>
                <w:color w:val="000000"/>
                <w:sz w:val="20"/>
                <w:lang w:eastAsia="en-NZ"/>
              </w:rPr>
            </w:pPr>
            <w:r w:rsidRPr="00CA4713">
              <w:rPr>
                <w:rFonts w:eastAsia="Times New Roman" w:cstheme="minorHAnsi"/>
                <w:color w:val="000000"/>
                <w:sz w:val="20"/>
                <w:lang w:eastAsia="en-NZ"/>
              </w:rPr>
              <w:t>New</w:t>
            </w:r>
          </w:p>
        </w:tc>
        <w:tc>
          <w:tcPr>
            <w:tcW w:w="1258" w:type="dxa"/>
            <w:gridSpan w:val="5"/>
            <w:tcBorders>
              <w:top w:val="nil"/>
              <w:bottom w:val="nil"/>
            </w:tcBorders>
            <w:shd w:val="clear" w:color="auto" w:fill="auto"/>
            <w:noWrap/>
            <w:hideMark/>
          </w:tcPr>
          <w:p w:rsidR="00546A26" w:rsidRPr="00CA4713" w:rsidRDefault="00546A26" w:rsidP="004106CD">
            <w:pPr>
              <w:spacing w:after="0" w:line="240" w:lineRule="auto"/>
              <w:jc w:val="right"/>
              <w:rPr>
                <w:rFonts w:eastAsia="Times New Roman" w:cstheme="minorHAnsi"/>
                <w:color w:val="000000"/>
                <w:sz w:val="20"/>
                <w:lang w:eastAsia="en-NZ"/>
              </w:rPr>
            </w:pPr>
            <w:r w:rsidRPr="00CA4713">
              <w:rPr>
                <w:rFonts w:eastAsia="Times New Roman" w:cstheme="minorHAnsi"/>
                <w:color w:val="000000"/>
                <w:sz w:val="20"/>
                <w:lang w:eastAsia="en-NZ"/>
              </w:rPr>
              <w:t>50%</w:t>
            </w:r>
          </w:p>
        </w:tc>
        <w:tc>
          <w:tcPr>
            <w:tcW w:w="1106" w:type="dxa"/>
            <w:tcBorders>
              <w:top w:val="nil"/>
              <w:bottom w:val="nil"/>
            </w:tcBorders>
            <w:shd w:val="clear" w:color="000000" w:fill="D9D9D9"/>
            <w:hideMark/>
          </w:tcPr>
          <w:p w:rsidR="00546A26" w:rsidRPr="00CA4713" w:rsidRDefault="00546A26" w:rsidP="004106CD">
            <w:pPr>
              <w:spacing w:after="0" w:line="240" w:lineRule="auto"/>
              <w:jc w:val="right"/>
              <w:rPr>
                <w:rFonts w:eastAsia="Times New Roman" w:cstheme="minorHAnsi"/>
                <w:color w:val="000000"/>
                <w:sz w:val="20"/>
                <w:lang w:eastAsia="en-NZ"/>
              </w:rPr>
            </w:pPr>
            <w:r w:rsidRPr="00CA4713">
              <w:rPr>
                <w:rFonts w:eastAsia="Times New Roman" w:cstheme="minorHAnsi"/>
                <w:color w:val="000000"/>
                <w:sz w:val="20"/>
                <w:lang w:eastAsia="en-NZ"/>
              </w:rPr>
              <w:t>100%</w:t>
            </w:r>
          </w:p>
        </w:tc>
        <w:tc>
          <w:tcPr>
            <w:tcW w:w="822" w:type="dxa"/>
            <w:gridSpan w:val="5"/>
            <w:tcBorders>
              <w:top w:val="nil"/>
              <w:bottom w:val="nil"/>
            </w:tcBorders>
            <w:shd w:val="clear" w:color="auto" w:fill="auto"/>
            <w:hideMark/>
          </w:tcPr>
          <w:p w:rsidR="00546A26" w:rsidRPr="00CA4713" w:rsidRDefault="00546A26" w:rsidP="004106CD">
            <w:pPr>
              <w:spacing w:after="0" w:line="240" w:lineRule="auto"/>
              <w:jc w:val="center"/>
              <w:rPr>
                <w:rFonts w:eastAsia="Times New Roman" w:cstheme="minorHAnsi"/>
                <w:color w:val="000000" w:themeColor="text1"/>
                <w:sz w:val="20"/>
                <w:lang w:eastAsia="en-NZ"/>
              </w:rPr>
            </w:pPr>
            <w:r w:rsidRPr="00CA4713">
              <w:rPr>
                <w:rFonts w:eastAsia="Times New Roman" w:cstheme="minorHAnsi"/>
                <w:color w:val="000000" w:themeColor="text1"/>
                <w:sz w:val="20"/>
                <w:lang w:eastAsia="en-NZ"/>
              </w:rPr>
              <w:t>-50%</w:t>
            </w:r>
          </w:p>
        </w:tc>
        <w:tc>
          <w:tcPr>
            <w:tcW w:w="1293" w:type="dxa"/>
            <w:gridSpan w:val="2"/>
            <w:tcBorders>
              <w:top w:val="nil"/>
              <w:bottom w:val="nil"/>
            </w:tcBorders>
            <w:shd w:val="clear" w:color="auto" w:fill="auto"/>
            <w:hideMark/>
          </w:tcPr>
          <w:p w:rsidR="00546A26" w:rsidRPr="00CA4713" w:rsidRDefault="00546A26" w:rsidP="009C3D9F">
            <w:pPr>
              <w:spacing w:after="0" w:line="240" w:lineRule="auto"/>
              <w:jc w:val="right"/>
              <w:rPr>
                <w:rFonts w:eastAsia="Times New Roman" w:cstheme="minorHAnsi"/>
                <w:color w:val="000000" w:themeColor="text1"/>
                <w:sz w:val="20"/>
                <w:lang w:eastAsia="en-NZ"/>
              </w:rPr>
            </w:pPr>
            <w:r w:rsidRPr="00CA4713">
              <w:rPr>
                <w:rFonts w:eastAsia="Times New Roman" w:cstheme="minorHAnsi"/>
                <w:color w:val="000000" w:themeColor="text1"/>
                <w:sz w:val="20"/>
                <w:lang w:eastAsia="en-NZ"/>
              </w:rPr>
              <w:t>not met</w:t>
            </w:r>
          </w:p>
        </w:tc>
        <w:tc>
          <w:tcPr>
            <w:tcW w:w="4252" w:type="dxa"/>
            <w:tcBorders>
              <w:top w:val="nil"/>
              <w:bottom w:val="nil"/>
            </w:tcBorders>
            <w:shd w:val="clear" w:color="auto" w:fill="auto"/>
            <w:hideMark/>
          </w:tcPr>
          <w:p w:rsidR="00546A26" w:rsidRPr="00CA4713" w:rsidRDefault="00546A26" w:rsidP="004106CD">
            <w:pPr>
              <w:spacing w:after="0" w:line="240" w:lineRule="auto"/>
              <w:rPr>
                <w:rFonts w:eastAsia="Times New Roman" w:cstheme="minorHAnsi"/>
                <w:color w:val="000000"/>
                <w:sz w:val="20"/>
                <w:lang w:eastAsia="en-NZ"/>
              </w:rPr>
            </w:pPr>
            <w:r w:rsidRPr="00CA4713">
              <w:rPr>
                <w:rFonts w:eastAsia="Times New Roman" w:cstheme="minorHAnsi"/>
                <w:color w:val="000000"/>
                <w:sz w:val="20"/>
                <w:lang w:eastAsia="en-NZ"/>
              </w:rPr>
              <w:t>The activity is part of a transitional programme under the revised Food Act regulations. This has created resourcing challenges and meant that for a large part of the year we were not achieving required service levels. This will improve over the coming year as access to data improves.</w:t>
            </w:r>
          </w:p>
        </w:tc>
      </w:tr>
      <w:tr w:rsidR="00546A26" w:rsidRPr="00CA4713" w:rsidTr="009C3D9F">
        <w:trPr>
          <w:trHeight w:val="315"/>
        </w:trPr>
        <w:tc>
          <w:tcPr>
            <w:tcW w:w="15451" w:type="dxa"/>
            <w:gridSpan w:val="21"/>
            <w:tcBorders>
              <w:top w:val="nil"/>
              <w:bottom w:val="nil"/>
            </w:tcBorders>
            <w:shd w:val="clear" w:color="auto" w:fill="DAEEF3" w:themeFill="accent5" w:themeFillTint="33"/>
            <w:hideMark/>
          </w:tcPr>
          <w:p w:rsidR="00546A26" w:rsidRPr="00F45CA3" w:rsidRDefault="00546A26" w:rsidP="004106CD">
            <w:pPr>
              <w:spacing w:after="0" w:line="240" w:lineRule="auto"/>
              <w:rPr>
                <w:rFonts w:eastAsia="Times New Roman" w:cstheme="minorHAnsi"/>
                <w:b/>
                <w:color w:val="000000" w:themeColor="text1"/>
                <w:sz w:val="20"/>
                <w:szCs w:val="20"/>
                <w:lang w:eastAsia="en-NZ"/>
              </w:rPr>
            </w:pPr>
            <w:r w:rsidRPr="00F45CA3">
              <w:rPr>
                <w:rFonts w:eastAsia="Times New Roman" w:cstheme="minorHAnsi"/>
                <w:b/>
                <w:color w:val="000000" w:themeColor="text1"/>
                <w:sz w:val="20"/>
                <w:szCs w:val="20"/>
                <w:lang w:eastAsia="en-NZ"/>
              </w:rPr>
              <w:t>Efficiency</w:t>
            </w:r>
          </w:p>
        </w:tc>
      </w:tr>
      <w:tr w:rsidR="00546A26" w:rsidRPr="00CA4713" w:rsidTr="009C3D9F">
        <w:trPr>
          <w:trHeight w:val="273"/>
        </w:trPr>
        <w:tc>
          <w:tcPr>
            <w:tcW w:w="4408" w:type="dxa"/>
            <w:gridSpan w:val="4"/>
            <w:tcBorders>
              <w:top w:val="nil"/>
            </w:tcBorders>
            <w:shd w:val="clear" w:color="auto" w:fill="auto"/>
            <w:hideMark/>
          </w:tcPr>
          <w:p w:rsidR="00546A26" w:rsidRPr="00CA4713" w:rsidRDefault="00546A26" w:rsidP="004106CD">
            <w:pPr>
              <w:spacing w:after="0" w:line="240" w:lineRule="auto"/>
              <w:rPr>
                <w:rFonts w:eastAsia="Times New Roman" w:cstheme="minorHAnsi"/>
                <w:color w:val="000000"/>
                <w:sz w:val="20"/>
                <w:lang w:eastAsia="en-NZ"/>
              </w:rPr>
            </w:pPr>
            <w:r w:rsidRPr="00CA4713">
              <w:rPr>
                <w:rFonts w:eastAsia="Times New Roman" w:cstheme="minorHAnsi"/>
                <w:color w:val="000000"/>
                <w:sz w:val="20"/>
                <w:lang w:eastAsia="en-NZ"/>
              </w:rPr>
              <w:t xml:space="preserve">Alcohol licences - high to very high </w:t>
            </w:r>
            <w:r w:rsidR="00750654">
              <w:rPr>
                <w:rFonts w:eastAsia="Times New Roman" w:cstheme="minorHAnsi"/>
                <w:color w:val="000000"/>
                <w:sz w:val="20"/>
                <w:lang w:eastAsia="en-NZ"/>
              </w:rPr>
              <w:t xml:space="preserve">risk </w:t>
            </w:r>
            <w:r w:rsidRPr="00CA4713">
              <w:rPr>
                <w:rFonts w:eastAsia="Times New Roman" w:cstheme="minorHAnsi"/>
                <w:color w:val="000000"/>
                <w:sz w:val="20"/>
                <w:lang w:eastAsia="en-NZ"/>
              </w:rPr>
              <w:t>premises (%) inspected during peak time</w:t>
            </w:r>
          </w:p>
        </w:tc>
        <w:tc>
          <w:tcPr>
            <w:tcW w:w="1136" w:type="dxa"/>
            <w:gridSpan w:val="2"/>
            <w:tcBorders>
              <w:top w:val="nil"/>
            </w:tcBorders>
            <w:shd w:val="clear" w:color="auto" w:fill="auto"/>
            <w:hideMark/>
          </w:tcPr>
          <w:p w:rsidR="00546A26" w:rsidRPr="00CA4713" w:rsidRDefault="00546A26" w:rsidP="004106CD">
            <w:pPr>
              <w:spacing w:after="0" w:line="240" w:lineRule="auto"/>
              <w:jc w:val="right"/>
              <w:rPr>
                <w:rFonts w:eastAsia="Times New Roman" w:cstheme="minorHAnsi"/>
                <w:color w:val="000000"/>
                <w:sz w:val="20"/>
                <w:lang w:eastAsia="en-NZ"/>
              </w:rPr>
            </w:pPr>
          </w:p>
        </w:tc>
        <w:tc>
          <w:tcPr>
            <w:tcW w:w="1209" w:type="dxa"/>
            <w:gridSpan w:val="2"/>
            <w:tcBorders>
              <w:top w:val="nil"/>
            </w:tcBorders>
            <w:shd w:val="clear" w:color="auto" w:fill="auto"/>
            <w:noWrap/>
            <w:hideMark/>
          </w:tcPr>
          <w:p w:rsidR="00546A26" w:rsidRPr="00CA4713" w:rsidRDefault="00546A26" w:rsidP="004106CD">
            <w:pPr>
              <w:spacing w:after="0" w:line="240" w:lineRule="auto"/>
              <w:jc w:val="right"/>
              <w:rPr>
                <w:rFonts w:eastAsia="Times New Roman" w:cstheme="minorHAnsi"/>
                <w:color w:val="000000"/>
                <w:sz w:val="20"/>
                <w:lang w:eastAsia="en-NZ"/>
              </w:rPr>
            </w:pPr>
            <w:r w:rsidRPr="00CA4713">
              <w:rPr>
                <w:rFonts w:eastAsia="Times New Roman" w:cstheme="minorHAnsi"/>
                <w:color w:val="000000"/>
                <w:sz w:val="20"/>
                <w:lang w:eastAsia="en-NZ"/>
              </w:rPr>
              <w:t>New</w:t>
            </w:r>
          </w:p>
        </w:tc>
        <w:tc>
          <w:tcPr>
            <w:tcW w:w="1225" w:type="dxa"/>
            <w:gridSpan w:val="4"/>
            <w:tcBorders>
              <w:top w:val="nil"/>
            </w:tcBorders>
            <w:shd w:val="clear" w:color="auto" w:fill="auto"/>
            <w:noWrap/>
            <w:hideMark/>
          </w:tcPr>
          <w:p w:rsidR="00546A26" w:rsidRPr="00CA4713" w:rsidRDefault="00546A26" w:rsidP="004106CD">
            <w:pPr>
              <w:spacing w:after="0" w:line="240" w:lineRule="auto"/>
              <w:jc w:val="right"/>
              <w:rPr>
                <w:rFonts w:eastAsia="Times New Roman" w:cstheme="minorHAnsi"/>
                <w:color w:val="000000"/>
                <w:sz w:val="20"/>
                <w:lang w:eastAsia="en-NZ"/>
              </w:rPr>
            </w:pPr>
            <w:r w:rsidRPr="00CA4713">
              <w:rPr>
                <w:rFonts w:eastAsia="Times New Roman" w:cstheme="minorHAnsi"/>
                <w:color w:val="000000"/>
                <w:sz w:val="20"/>
                <w:lang w:eastAsia="en-NZ"/>
              </w:rPr>
              <w:t>100%</w:t>
            </w:r>
          </w:p>
        </w:tc>
        <w:tc>
          <w:tcPr>
            <w:tcW w:w="1106" w:type="dxa"/>
            <w:tcBorders>
              <w:top w:val="nil"/>
            </w:tcBorders>
            <w:shd w:val="clear" w:color="000000" w:fill="D9D9D9"/>
            <w:hideMark/>
          </w:tcPr>
          <w:p w:rsidR="00546A26" w:rsidRPr="00CA4713" w:rsidRDefault="00546A26" w:rsidP="004106CD">
            <w:pPr>
              <w:spacing w:after="0" w:line="240" w:lineRule="auto"/>
              <w:jc w:val="right"/>
              <w:rPr>
                <w:rFonts w:eastAsia="Times New Roman" w:cstheme="minorHAnsi"/>
                <w:color w:val="000000"/>
                <w:sz w:val="20"/>
                <w:lang w:eastAsia="en-NZ"/>
              </w:rPr>
            </w:pPr>
            <w:r w:rsidRPr="00CA4713">
              <w:rPr>
                <w:rFonts w:eastAsia="Times New Roman" w:cstheme="minorHAnsi"/>
                <w:color w:val="000000"/>
                <w:sz w:val="20"/>
                <w:lang w:eastAsia="en-NZ"/>
              </w:rPr>
              <w:t>50%</w:t>
            </w:r>
          </w:p>
        </w:tc>
        <w:tc>
          <w:tcPr>
            <w:tcW w:w="822" w:type="dxa"/>
            <w:gridSpan w:val="5"/>
            <w:tcBorders>
              <w:top w:val="nil"/>
            </w:tcBorders>
            <w:shd w:val="clear" w:color="auto" w:fill="auto"/>
            <w:hideMark/>
          </w:tcPr>
          <w:p w:rsidR="00546A26" w:rsidRPr="00CA4713" w:rsidRDefault="00546A26" w:rsidP="004106CD">
            <w:pPr>
              <w:spacing w:after="0" w:line="240" w:lineRule="auto"/>
              <w:jc w:val="center"/>
              <w:rPr>
                <w:rFonts w:eastAsia="Times New Roman" w:cstheme="minorHAnsi"/>
                <w:color w:val="000000"/>
                <w:sz w:val="20"/>
                <w:lang w:eastAsia="en-NZ"/>
              </w:rPr>
            </w:pPr>
            <w:r w:rsidRPr="00CA4713">
              <w:rPr>
                <w:rFonts w:eastAsia="Times New Roman" w:cstheme="minorHAnsi"/>
                <w:color w:val="000000"/>
                <w:sz w:val="20"/>
                <w:lang w:eastAsia="en-NZ"/>
              </w:rPr>
              <w:t>100%</w:t>
            </w:r>
          </w:p>
        </w:tc>
        <w:tc>
          <w:tcPr>
            <w:tcW w:w="1293" w:type="dxa"/>
            <w:gridSpan w:val="2"/>
            <w:tcBorders>
              <w:top w:val="nil"/>
            </w:tcBorders>
            <w:shd w:val="clear" w:color="auto" w:fill="auto"/>
            <w:hideMark/>
          </w:tcPr>
          <w:p w:rsidR="00546A26" w:rsidRPr="00CA4713" w:rsidRDefault="00546A26" w:rsidP="004106CD">
            <w:pPr>
              <w:spacing w:after="0" w:line="240" w:lineRule="auto"/>
              <w:jc w:val="center"/>
              <w:rPr>
                <w:rFonts w:eastAsia="Times New Roman" w:cstheme="minorHAnsi"/>
                <w:color w:val="000000"/>
                <w:sz w:val="20"/>
                <w:lang w:eastAsia="en-NZ"/>
              </w:rPr>
            </w:pPr>
            <w:r w:rsidRPr="00CA4713">
              <w:rPr>
                <w:rFonts w:eastAsia="Times New Roman" w:cstheme="minorHAnsi"/>
                <w:color w:val="000000"/>
                <w:sz w:val="20"/>
                <w:lang w:eastAsia="en-NZ"/>
              </w:rPr>
              <w:t>exceeded</w:t>
            </w:r>
          </w:p>
          <w:p w:rsidR="00546A26" w:rsidRPr="00CA4713" w:rsidRDefault="00546A26" w:rsidP="004106CD">
            <w:pPr>
              <w:spacing w:after="0" w:line="240" w:lineRule="auto"/>
              <w:jc w:val="center"/>
              <w:rPr>
                <w:rFonts w:eastAsia="Times New Roman" w:cstheme="minorHAnsi"/>
                <w:color w:val="000000"/>
                <w:sz w:val="20"/>
                <w:lang w:eastAsia="en-NZ"/>
              </w:rPr>
            </w:pPr>
          </w:p>
        </w:tc>
        <w:tc>
          <w:tcPr>
            <w:tcW w:w="4252" w:type="dxa"/>
            <w:tcBorders>
              <w:top w:val="nil"/>
            </w:tcBorders>
            <w:shd w:val="clear" w:color="auto" w:fill="auto"/>
            <w:hideMark/>
          </w:tcPr>
          <w:p w:rsidR="00546A26" w:rsidRPr="00CA4713" w:rsidRDefault="00546A26" w:rsidP="00290E5F">
            <w:pPr>
              <w:spacing w:after="0" w:line="240" w:lineRule="auto"/>
              <w:rPr>
                <w:rFonts w:eastAsia="Times New Roman" w:cstheme="minorHAnsi"/>
                <w:color w:val="000000"/>
                <w:sz w:val="20"/>
                <w:lang w:eastAsia="en-NZ"/>
              </w:rPr>
            </w:pPr>
            <w:r w:rsidRPr="00CA4713">
              <w:rPr>
                <w:rFonts w:eastAsia="Times New Roman" w:cstheme="minorHAnsi"/>
                <w:color w:val="000000"/>
                <w:sz w:val="20"/>
                <w:lang w:eastAsia="en-NZ"/>
              </w:rPr>
              <w:t xml:space="preserve">The target was for this measure was initially set at 50% of high to very high premises. However, the team recognised this would not return a satisfactory level of monitoring. The team chose to reset the target to 100% in an effort to improve compliance. All high and very </w:t>
            </w:r>
            <w:r w:rsidR="00B701E7" w:rsidRPr="00CA4713">
              <w:rPr>
                <w:rFonts w:eastAsia="Times New Roman" w:cstheme="minorHAnsi"/>
                <w:color w:val="000000"/>
                <w:sz w:val="20"/>
                <w:lang w:eastAsia="en-NZ"/>
              </w:rPr>
              <w:t>high</w:t>
            </w:r>
            <w:r w:rsidR="00B701E7">
              <w:rPr>
                <w:rFonts w:eastAsia="Times New Roman" w:cstheme="minorHAnsi"/>
                <w:color w:val="000000"/>
                <w:sz w:val="20"/>
                <w:lang w:eastAsia="en-NZ"/>
              </w:rPr>
              <w:t>-</w:t>
            </w:r>
            <w:r w:rsidRPr="00CA4713">
              <w:rPr>
                <w:rFonts w:eastAsia="Times New Roman" w:cstheme="minorHAnsi"/>
                <w:color w:val="000000"/>
                <w:sz w:val="20"/>
                <w:lang w:eastAsia="en-NZ"/>
              </w:rPr>
              <w:t xml:space="preserve">risk premises were inspected at least once during peak times. There </w:t>
            </w:r>
            <w:r w:rsidR="00290E5F">
              <w:rPr>
                <w:rFonts w:eastAsia="Times New Roman" w:cstheme="minorHAnsi"/>
                <w:color w:val="000000"/>
                <w:sz w:val="20"/>
                <w:lang w:eastAsia="en-NZ"/>
              </w:rPr>
              <w:t>were</w:t>
            </w:r>
            <w:r w:rsidR="00290E5F" w:rsidRPr="00CA4713">
              <w:rPr>
                <w:rFonts w:eastAsia="Times New Roman" w:cstheme="minorHAnsi"/>
                <w:color w:val="000000"/>
                <w:sz w:val="20"/>
                <w:lang w:eastAsia="en-NZ"/>
              </w:rPr>
              <w:t xml:space="preserve"> </w:t>
            </w:r>
            <w:r w:rsidRPr="00CA4713">
              <w:rPr>
                <w:rFonts w:eastAsia="Times New Roman" w:cstheme="minorHAnsi"/>
                <w:color w:val="000000"/>
                <w:sz w:val="20"/>
                <w:lang w:eastAsia="en-NZ"/>
              </w:rPr>
              <w:t xml:space="preserve">120 high and </w:t>
            </w:r>
            <w:r w:rsidR="00290E5F">
              <w:rPr>
                <w:rFonts w:eastAsia="Times New Roman" w:cstheme="minorHAnsi"/>
                <w:color w:val="000000"/>
                <w:sz w:val="20"/>
                <w:lang w:eastAsia="en-NZ"/>
              </w:rPr>
              <w:t>four</w:t>
            </w:r>
            <w:r w:rsidR="00290E5F" w:rsidRPr="00CA4713">
              <w:rPr>
                <w:rFonts w:eastAsia="Times New Roman" w:cstheme="minorHAnsi"/>
                <w:color w:val="000000"/>
                <w:sz w:val="20"/>
                <w:lang w:eastAsia="en-NZ"/>
              </w:rPr>
              <w:t xml:space="preserve"> </w:t>
            </w:r>
            <w:r w:rsidRPr="00CA4713">
              <w:rPr>
                <w:rFonts w:eastAsia="Times New Roman" w:cstheme="minorHAnsi"/>
                <w:color w:val="000000"/>
                <w:sz w:val="20"/>
                <w:lang w:eastAsia="en-NZ"/>
              </w:rPr>
              <w:t xml:space="preserve">very </w:t>
            </w:r>
            <w:r w:rsidR="00290E5F" w:rsidRPr="00CA4713">
              <w:rPr>
                <w:rFonts w:eastAsia="Times New Roman" w:cstheme="minorHAnsi"/>
                <w:color w:val="000000"/>
                <w:sz w:val="20"/>
                <w:lang w:eastAsia="en-NZ"/>
              </w:rPr>
              <w:t>high</w:t>
            </w:r>
            <w:r w:rsidR="00290E5F">
              <w:rPr>
                <w:rFonts w:eastAsia="Times New Roman" w:cstheme="minorHAnsi"/>
                <w:color w:val="000000"/>
                <w:sz w:val="20"/>
                <w:lang w:eastAsia="en-NZ"/>
              </w:rPr>
              <w:t>-</w:t>
            </w:r>
            <w:r w:rsidRPr="00CA4713">
              <w:rPr>
                <w:rFonts w:eastAsia="Times New Roman" w:cstheme="minorHAnsi"/>
                <w:color w:val="000000"/>
                <w:sz w:val="20"/>
                <w:lang w:eastAsia="en-NZ"/>
              </w:rPr>
              <w:t>risk premises at year end.</w:t>
            </w:r>
          </w:p>
        </w:tc>
      </w:tr>
      <w:tr w:rsidR="00546A26" w:rsidRPr="00CA4713" w:rsidTr="009C3D9F">
        <w:trPr>
          <w:trHeight w:val="765"/>
        </w:trPr>
        <w:tc>
          <w:tcPr>
            <w:tcW w:w="4408" w:type="dxa"/>
            <w:gridSpan w:val="4"/>
            <w:tcBorders>
              <w:bottom w:val="nil"/>
            </w:tcBorders>
            <w:shd w:val="clear" w:color="auto" w:fill="auto"/>
            <w:hideMark/>
          </w:tcPr>
          <w:p w:rsidR="00546A26" w:rsidRPr="00CA4713" w:rsidRDefault="00546A26" w:rsidP="00290E5F">
            <w:pPr>
              <w:spacing w:after="0" w:line="240" w:lineRule="auto"/>
              <w:rPr>
                <w:rFonts w:eastAsia="Times New Roman" w:cstheme="minorHAnsi"/>
                <w:color w:val="000000"/>
                <w:sz w:val="20"/>
                <w:lang w:eastAsia="en-NZ"/>
              </w:rPr>
            </w:pPr>
            <w:r w:rsidRPr="00CA4713">
              <w:rPr>
                <w:rFonts w:eastAsia="Times New Roman" w:cstheme="minorHAnsi"/>
                <w:color w:val="000000"/>
                <w:sz w:val="20"/>
                <w:lang w:eastAsia="en-NZ"/>
              </w:rPr>
              <w:t xml:space="preserve">Alcohol licences - very </w:t>
            </w:r>
            <w:r w:rsidR="00290E5F" w:rsidRPr="00CA4713">
              <w:rPr>
                <w:rFonts w:eastAsia="Times New Roman" w:cstheme="minorHAnsi"/>
                <w:color w:val="000000"/>
                <w:sz w:val="20"/>
                <w:lang w:eastAsia="en-NZ"/>
              </w:rPr>
              <w:t>high</w:t>
            </w:r>
            <w:r w:rsidR="00290E5F">
              <w:rPr>
                <w:rFonts w:eastAsia="Times New Roman" w:cstheme="minorHAnsi"/>
                <w:color w:val="000000"/>
                <w:sz w:val="20"/>
                <w:lang w:eastAsia="en-NZ"/>
              </w:rPr>
              <w:t>-</w:t>
            </w:r>
            <w:r w:rsidRPr="00CA4713">
              <w:rPr>
                <w:rFonts w:eastAsia="Times New Roman" w:cstheme="minorHAnsi"/>
                <w:color w:val="000000"/>
                <w:sz w:val="20"/>
                <w:lang w:eastAsia="en-NZ"/>
              </w:rPr>
              <w:t>risk premises (%) inspected twice during the year</w:t>
            </w:r>
          </w:p>
        </w:tc>
        <w:tc>
          <w:tcPr>
            <w:tcW w:w="1136" w:type="dxa"/>
            <w:gridSpan w:val="2"/>
            <w:tcBorders>
              <w:bottom w:val="nil"/>
            </w:tcBorders>
            <w:shd w:val="clear" w:color="auto" w:fill="auto"/>
          </w:tcPr>
          <w:p w:rsidR="00546A26" w:rsidRPr="00CA4713" w:rsidRDefault="00546A26" w:rsidP="004106CD">
            <w:pPr>
              <w:spacing w:after="0" w:line="240" w:lineRule="auto"/>
              <w:rPr>
                <w:rFonts w:eastAsia="Times New Roman" w:cstheme="minorHAnsi"/>
                <w:color w:val="000000"/>
                <w:sz w:val="20"/>
                <w:lang w:eastAsia="en-NZ"/>
              </w:rPr>
            </w:pPr>
          </w:p>
        </w:tc>
        <w:tc>
          <w:tcPr>
            <w:tcW w:w="1209" w:type="dxa"/>
            <w:gridSpan w:val="2"/>
            <w:tcBorders>
              <w:bottom w:val="nil"/>
            </w:tcBorders>
            <w:shd w:val="clear" w:color="auto" w:fill="auto"/>
            <w:noWrap/>
            <w:hideMark/>
          </w:tcPr>
          <w:p w:rsidR="00546A26" w:rsidRPr="00CA4713" w:rsidRDefault="00546A26" w:rsidP="004106CD">
            <w:pPr>
              <w:spacing w:after="0" w:line="240" w:lineRule="auto"/>
              <w:jc w:val="right"/>
              <w:rPr>
                <w:rFonts w:eastAsia="Times New Roman" w:cstheme="minorHAnsi"/>
                <w:color w:val="000000"/>
                <w:sz w:val="20"/>
                <w:lang w:eastAsia="en-NZ"/>
              </w:rPr>
            </w:pPr>
            <w:r w:rsidRPr="00CA4713">
              <w:rPr>
                <w:rFonts w:eastAsia="Times New Roman" w:cstheme="minorHAnsi"/>
                <w:color w:val="000000"/>
                <w:sz w:val="20"/>
                <w:lang w:eastAsia="en-NZ"/>
              </w:rPr>
              <w:t>new</w:t>
            </w:r>
          </w:p>
        </w:tc>
        <w:tc>
          <w:tcPr>
            <w:tcW w:w="1225" w:type="dxa"/>
            <w:gridSpan w:val="4"/>
            <w:tcBorders>
              <w:bottom w:val="nil"/>
            </w:tcBorders>
            <w:shd w:val="clear" w:color="auto" w:fill="auto"/>
            <w:noWrap/>
            <w:hideMark/>
          </w:tcPr>
          <w:p w:rsidR="00546A26" w:rsidRPr="00CA4713" w:rsidRDefault="00546A26" w:rsidP="004106CD">
            <w:pPr>
              <w:spacing w:after="0" w:line="240" w:lineRule="auto"/>
              <w:jc w:val="right"/>
              <w:rPr>
                <w:rFonts w:eastAsia="Times New Roman" w:cstheme="minorHAnsi"/>
                <w:color w:val="000000"/>
                <w:sz w:val="20"/>
                <w:lang w:eastAsia="en-NZ"/>
              </w:rPr>
            </w:pPr>
            <w:r w:rsidRPr="00CA4713">
              <w:rPr>
                <w:rFonts w:eastAsia="Times New Roman" w:cstheme="minorHAnsi"/>
                <w:color w:val="000000"/>
                <w:sz w:val="20"/>
                <w:lang w:eastAsia="en-NZ"/>
              </w:rPr>
              <w:t>100%</w:t>
            </w:r>
          </w:p>
        </w:tc>
        <w:tc>
          <w:tcPr>
            <w:tcW w:w="1106" w:type="dxa"/>
            <w:tcBorders>
              <w:bottom w:val="nil"/>
            </w:tcBorders>
            <w:shd w:val="clear" w:color="000000" w:fill="D9D9D9"/>
            <w:hideMark/>
          </w:tcPr>
          <w:p w:rsidR="00546A26" w:rsidRPr="00CA4713" w:rsidRDefault="00546A26" w:rsidP="004106CD">
            <w:pPr>
              <w:spacing w:after="0" w:line="240" w:lineRule="auto"/>
              <w:jc w:val="right"/>
              <w:rPr>
                <w:rFonts w:eastAsia="Times New Roman" w:cstheme="minorHAnsi"/>
                <w:color w:val="000000"/>
                <w:sz w:val="20"/>
                <w:lang w:eastAsia="en-NZ"/>
              </w:rPr>
            </w:pPr>
            <w:r w:rsidRPr="00CA4713">
              <w:rPr>
                <w:rFonts w:eastAsia="Times New Roman" w:cstheme="minorHAnsi"/>
                <w:color w:val="000000"/>
                <w:sz w:val="20"/>
                <w:lang w:eastAsia="en-NZ"/>
              </w:rPr>
              <w:t>100%</w:t>
            </w:r>
          </w:p>
        </w:tc>
        <w:tc>
          <w:tcPr>
            <w:tcW w:w="822" w:type="dxa"/>
            <w:gridSpan w:val="5"/>
            <w:tcBorders>
              <w:bottom w:val="nil"/>
            </w:tcBorders>
            <w:shd w:val="clear" w:color="auto" w:fill="auto"/>
            <w:hideMark/>
          </w:tcPr>
          <w:p w:rsidR="00546A26" w:rsidRPr="00CA4713" w:rsidRDefault="00546A26" w:rsidP="004106CD">
            <w:pPr>
              <w:spacing w:after="0" w:line="240" w:lineRule="auto"/>
              <w:jc w:val="center"/>
              <w:rPr>
                <w:rFonts w:eastAsia="Times New Roman" w:cstheme="minorHAnsi"/>
                <w:color w:val="000000"/>
                <w:sz w:val="20"/>
                <w:lang w:eastAsia="en-NZ"/>
              </w:rPr>
            </w:pPr>
            <w:r w:rsidRPr="00CA4713">
              <w:rPr>
                <w:rFonts w:eastAsia="Times New Roman" w:cstheme="minorHAnsi"/>
                <w:color w:val="000000"/>
                <w:sz w:val="20"/>
                <w:lang w:eastAsia="en-NZ"/>
              </w:rPr>
              <w:t>0%</w:t>
            </w:r>
          </w:p>
        </w:tc>
        <w:tc>
          <w:tcPr>
            <w:tcW w:w="1293" w:type="dxa"/>
            <w:gridSpan w:val="2"/>
            <w:tcBorders>
              <w:bottom w:val="nil"/>
            </w:tcBorders>
            <w:shd w:val="clear" w:color="auto" w:fill="auto"/>
            <w:hideMark/>
          </w:tcPr>
          <w:p w:rsidR="00546A26" w:rsidRPr="00CA4713" w:rsidRDefault="009C3D9F" w:rsidP="009C3D9F">
            <w:pPr>
              <w:spacing w:after="0" w:line="240" w:lineRule="auto"/>
              <w:jc w:val="right"/>
              <w:rPr>
                <w:rFonts w:eastAsia="Times New Roman" w:cstheme="minorHAnsi"/>
                <w:color w:val="000000"/>
                <w:sz w:val="20"/>
                <w:lang w:eastAsia="en-NZ"/>
              </w:rPr>
            </w:pPr>
            <w:r>
              <w:rPr>
                <w:rFonts w:eastAsia="Times New Roman" w:cstheme="minorHAnsi"/>
                <w:color w:val="000000"/>
                <w:sz w:val="20"/>
                <w:lang w:eastAsia="en-NZ"/>
              </w:rPr>
              <w:t>Within 10%</w:t>
            </w:r>
          </w:p>
        </w:tc>
        <w:tc>
          <w:tcPr>
            <w:tcW w:w="4252" w:type="dxa"/>
            <w:tcBorders>
              <w:bottom w:val="nil"/>
            </w:tcBorders>
            <w:shd w:val="clear" w:color="auto" w:fill="auto"/>
            <w:hideMark/>
          </w:tcPr>
          <w:p w:rsidR="00546A26" w:rsidRPr="00CA4713" w:rsidRDefault="00546A26" w:rsidP="00290E5F">
            <w:pPr>
              <w:spacing w:after="0" w:line="240" w:lineRule="auto"/>
              <w:rPr>
                <w:rFonts w:eastAsia="Times New Roman" w:cstheme="minorHAnsi"/>
                <w:color w:val="000000"/>
                <w:sz w:val="20"/>
                <w:lang w:eastAsia="en-NZ"/>
              </w:rPr>
            </w:pPr>
            <w:r w:rsidRPr="00CA4713">
              <w:rPr>
                <w:rFonts w:eastAsia="Times New Roman" w:cstheme="minorHAnsi"/>
                <w:color w:val="000000"/>
                <w:sz w:val="20"/>
                <w:lang w:eastAsia="en-NZ"/>
              </w:rPr>
              <w:t xml:space="preserve">There are 4 very </w:t>
            </w:r>
            <w:r w:rsidR="00290E5F" w:rsidRPr="00CA4713">
              <w:rPr>
                <w:rFonts w:eastAsia="Times New Roman" w:cstheme="minorHAnsi"/>
                <w:color w:val="000000"/>
                <w:sz w:val="20"/>
                <w:lang w:eastAsia="en-NZ"/>
              </w:rPr>
              <w:t>high</w:t>
            </w:r>
            <w:r w:rsidR="00290E5F">
              <w:rPr>
                <w:rFonts w:eastAsia="Times New Roman" w:cstheme="minorHAnsi"/>
                <w:color w:val="000000"/>
                <w:sz w:val="20"/>
                <w:lang w:eastAsia="en-NZ"/>
              </w:rPr>
              <w:t>-</w:t>
            </w:r>
            <w:r w:rsidRPr="00CA4713">
              <w:rPr>
                <w:rFonts w:eastAsia="Times New Roman" w:cstheme="minorHAnsi"/>
                <w:color w:val="000000"/>
                <w:sz w:val="20"/>
                <w:lang w:eastAsia="en-NZ"/>
              </w:rPr>
              <w:t>risk premises at year end. Each of these was visited at least twice during the year with the bulk of these inspections carried out in the last quarter.</w:t>
            </w:r>
          </w:p>
        </w:tc>
      </w:tr>
      <w:tr w:rsidR="00546A26" w:rsidRPr="00CA4713" w:rsidTr="009C3D9F">
        <w:trPr>
          <w:trHeight w:val="315"/>
        </w:trPr>
        <w:tc>
          <w:tcPr>
            <w:tcW w:w="15451" w:type="dxa"/>
            <w:gridSpan w:val="21"/>
            <w:tcBorders>
              <w:top w:val="nil"/>
              <w:bottom w:val="nil"/>
            </w:tcBorders>
            <w:shd w:val="clear" w:color="auto" w:fill="DAEEF3" w:themeFill="accent5" w:themeFillTint="33"/>
            <w:hideMark/>
          </w:tcPr>
          <w:p w:rsidR="00546A26" w:rsidRPr="00F45CA3" w:rsidRDefault="00546A26" w:rsidP="004106CD">
            <w:pPr>
              <w:spacing w:after="0" w:line="240" w:lineRule="auto"/>
              <w:rPr>
                <w:rFonts w:eastAsia="Times New Roman" w:cstheme="minorHAnsi"/>
                <w:b/>
                <w:color w:val="000000" w:themeColor="text1"/>
                <w:sz w:val="20"/>
                <w:szCs w:val="20"/>
                <w:lang w:eastAsia="en-NZ"/>
              </w:rPr>
            </w:pPr>
            <w:r w:rsidRPr="00F45CA3">
              <w:rPr>
                <w:rFonts w:eastAsia="Times New Roman" w:cstheme="minorHAnsi"/>
                <w:b/>
                <w:color w:val="000000" w:themeColor="text1"/>
                <w:sz w:val="20"/>
                <w:szCs w:val="20"/>
                <w:lang w:eastAsia="en-NZ"/>
              </w:rPr>
              <w:t>Timeliness </w:t>
            </w:r>
          </w:p>
        </w:tc>
      </w:tr>
      <w:tr w:rsidR="00546A26" w:rsidRPr="00CA4713" w:rsidTr="009C3D9F">
        <w:trPr>
          <w:trHeight w:val="780"/>
        </w:trPr>
        <w:tc>
          <w:tcPr>
            <w:tcW w:w="4408" w:type="dxa"/>
            <w:gridSpan w:val="4"/>
            <w:tcBorders>
              <w:top w:val="nil"/>
            </w:tcBorders>
            <w:shd w:val="clear" w:color="auto" w:fill="auto"/>
            <w:hideMark/>
          </w:tcPr>
          <w:p w:rsidR="00546A26" w:rsidRPr="00CA4713" w:rsidRDefault="00546A26" w:rsidP="004106CD">
            <w:pPr>
              <w:spacing w:after="0" w:line="240" w:lineRule="auto"/>
              <w:rPr>
                <w:rFonts w:eastAsia="Times New Roman" w:cstheme="minorHAnsi"/>
                <w:color w:val="000000"/>
                <w:sz w:val="20"/>
                <w:lang w:eastAsia="en-NZ"/>
              </w:rPr>
            </w:pPr>
            <w:r w:rsidRPr="00CA4713">
              <w:rPr>
                <w:rFonts w:eastAsia="Times New Roman" w:cstheme="minorHAnsi"/>
                <w:color w:val="000000"/>
                <w:sz w:val="20"/>
                <w:lang w:eastAsia="en-NZ"/>
              </w:rPr>
              <w:lastRenderedPageBreak/>
              <w:t>Graffiti removal – response timeframes (%) met</w:t>
            </w:r>
          </w:p>
        </w:tc>
        <w:tc>
          <w:tcPr>
            <w:tcW w:w="1136" w:type="dxa"/>
            <w:gridSpan w:val="2"/>
            <w:tcBorders>
              <w:top w:val="nil"/>
            </w:tcBorders>
            <w:shd w:val="clear" w:color="auto" w:fill="auto"/>
            <w:noWrap/>
            <w:hideMark/>
          </w:tcPr>
          <w:p w:rsidR="00546A26" w:rsidRPr="00CA4713" w:rsidRDefault="00546A26" w:rsidP="004106CD">
            <w:pPr>
              <w:spacing w:after="0" w:line="240" w:lineRule="auto"/>
              <w:jc w:val="right"/>
              <w:rPr>
                <w:rFonts w:eastAsia="Times New Roman" w:cstheme="minorHAnsi"/>
                <w:color w:val="000000"/>
                <w:sz w:val="20"/>
                <w:lang w:eastAsia="en-NZ"/>
              </w:rPr>
            </w:pPr>
            <w:r w:rsidRPr="00CA4713">
              <w:rPr>
                <w:rFonts w:eastAsia="Times New Roman" w:cstheme="minorHAnsi"/>
                <w:color w:val="000000"/>
                <w:sz w:val="20"/>
                <w:lang w:eastAsia="en-NZ"/>
              </w:rPr>
              <w:t>83%</w:t>
            </w:r>
          </w:p>
        </w:tc>
        <w:tc>
          <w:tcPr>
            <w:tcW w:w="1176" w:type="dxa"/>
            <w:tcBorders>
              <w:top w:val="nil"/>
            </w:tcBorders>
            <w:shd w:val="clear" w:color="auto" w:fill="auto"/>
            <w:noWrap/>
            <w:hideMark/>
          </w:tcPr>
          <w:p w:rsidR="00546A26" w:rsidRPr="00CA4713" w:rsidRDefault="00546A26" w:rsidP="004106CD">
            <w:pPr>
              <w:spacing w:after="0" w:line="240" w:lineRule="auto"/>
              <w:jc w:val="right"/>
              <w:rPr>
                <w:rFonts w:eastAsia="Times New Roman" w:cstheme="minorHAnsi"/>
                <w:color w:val="000000"/>
                <w:sz w:val="20"/>
                <w:lang w:eastAsia="en-NZ"/>
              </w:rPr>
            </w:pPr>
            <w:r w:rsidRPr="00CA4713">
              <w:rPr>
                <w:rFonts w:eastAsia="Times New Roman" w:cstheme="minorHAnsi"/>
                <w:color w:val="000000"/>
                <w:sz w:val="20"/>
                <w:lang w:eastAsia="en-NZ"/>
              </w:rPr>
              <w:t>85%</w:t>
            </w:r>
          </w:p>
        </w:tc>
        <w:tc>
          <w:tcPr>
            <w:tcW w:w="1258" w:type="dxa"/>
            <w:gridSpan w:val="5"/>
            <w:tcBorders>
              <w:top w:val="nil"/>
            </w:tcBorders>
            <w:shd w:val="clear" w:color="auto" w:fill="auto"/>
            <w:noWrap/>
            <w:hideMark/>
          </w:tcPr>
          <w:p w:rsidR="00546A26" w:rsidRPr="00CA4713" w:rsidRDefault="00546A26" w:rsidP="004106CD">
            <w:pPr>
              <w:spacing w:after="0" w:line="240" w:lineRule="auto"/>
              <w:jc w:val="right"/>
              <w:rPr>
                <w:rFonts w:eastAsia="Times New Roman" w:cstheme="minorHAnsi"/>
                <w:color w:val="000000"/>
                <w:sz w:val="20"/>
                <w:lang w:eastAsia="en-NZ"/>
              </w:rPr>
            </w:pPr>
            <w:r w:rsidRPr="00CA4713">
              <w:rPr>
                <w:rFonts w:eastAsia="Times New Roman" w:cstheme="minorHAnsi"/>
                <w:color w:val="000000"/>
                <w:sz w:val="20"/>
                <w:lang w:eastAsia="en-NZ"/>
              </w:rPr>
              <w:t>91%</w:t>
            </w:r>
          </w:p>
        </w:tc>
        <w:tc>
          <w:tcPr>
            <w:tcW w:w="1106" w:type="dxa"/>
            <w:tcBorders>
              <w:top w:val="nil"/>
            </w:tcBorders>
            <w:shd w:val="clear" w:color="000000" w:fill="D9D9D9"/>
            <w:hideMark/>
          </w:tcPr>
          <w:p w:rsidR="00546A26" w:rsidRPr="00CA4713" w:rsidRDefault="00546A26" w:rsidP="004106CD">
            <w:pPr>
              <w:spacing w:after="0" w:line="240" w:lineRule="auto"/>
              <w:jc w:val="right"/>
              <w:rPr>
                <w:rFonts w:eastAsia="Times New Roman" w:cstheme="minorHAnsi"/>
                <w:color w:val="000000"/>
                <w:sz w:val="20"/>
                <w:lang w:eastAsia="en-NZ"/>
              </w:rPr>
            </w:pPr>
            <w:r w:rsidRPr="00CA4713">
              <w:rPr>
                <w:rFonts w:eastAsia="Times New Roman" w:cstheme="minorHAnsi"/>
                <w:color w:val="000000"/>
                <w:sz w:val="20"/>
                <w:lang w:eastAsia="en-NZ"/>
              </w:rPr>
              <w:t>80%</w:t>
            </w:r>
          </w:p>
        </w:tc>
        <w:tc>
          <w:tcPr>
            <w:tcW w:w="822" w:type="dxa"/>
            <w:gridSpan w:val="5"/>
            <w:tcBorders>
              <w:top w:val="nil"/>
            </w:tcBorders>
            <w:shd w:val="clear" w:color="auto" w:fill="auto"/>
            <w:hideMark/>
          </w:tcPr>
          <w:p w:rsidR="00546A26" w:rsidRPr="00CA4713" w:rsidRDefault="00546A26" w:rsidP="004106CD">
            <w:pPr>
              <w:spacing w:after="0" w:line="240" w:lineRule="auto"/>
              <w:jc w:val="center"/>
              <w:rPr>
                <w:rFonts w:eastAsia="Times New Roman" w:cstheme="minorHAnsi"/>
                <w:color w:val="000000"/>
                <w:sz w:val="20"/>
                <w:lang w:eastAsia="en-NZ"/>
              </w:rPr>
            </w:pPr>
            <w:r w:rsidRPr="00CA4713">
              <w:rPr>
                <w:rFonts w:eastAsia="Times New Roman" w:cstheme="minorHAnsi"/>
                <w:color w:val="000000"/>
                <w:sz w:val="20"/>
                <w:lang w:eastAsia="en-NZ"/>
              </w:rPr>
              <w:t>13%</w:t>
            </w:r>
          </w:p>
        </w:tc>
        <w:tc>
          <w:tcPr>
            <w:tcW w:w="1293" w:type="dxa"/>
            <w:gridSpan w:val="2"/>
            <w:tcBorders>
              <w:top w:val="nil"/>
            </w:tcBorders>
            <w:shd w:val="clear" w:color="auto" w:fill="auto"/>
            <w:hideMark/>
          </w:tcPr>
          <w:p w:rsidR="00546A26" w:rsidRPr="00CA4713" w:rsidRDefault="00546A26" w:rsidP="004106CD">
            <w:pPr>
              <w:spacing w:after="0" w:line="240" w:lineRule="auto"/>
              <w:jc w:val="center"/>
              <w:rPr>
                <w:rFonts w:eastAsia="Times New Roman" w:cstheme="minorHAnsi"/>
                <w:color w:val="000000"/>
                <w:sz w:val="20"/>
                <w:lang w:eastAsia="en-NZ"/>
              </w:rPr>
            </w:pPr>
            <w:r w:rsidRPr="00CA4713">
              <w:rPr>
                <w:rFonts w:eastAsia="Times New Roman" w:cstheme="minorHAnsi"/>
                <w:color w:val="000000"/>
                <w:sz w:val="20"/>
                <w:lang w:eastAsia="en-NZ"/>
              </w:rPr>
              <w:t>exceeded</w:t>
            </w:r>
          </w:p>
        </w:tc>
        <w:tc>
          <w:tcPr>
            <w:tcW w:w="4252" w:type="dxa"/>
            <w:tcBorders>
              <w:top w:val="nil"/>
            </w:tcBorders>
            <w:shd w:val="clear" w:color="auto" w:fill="auto"/>
            <w:hideMark/>
          </w:tcPr>
          <w:p w:rsidR="00546A26" w:rsidRPr="00CA4713" w:rsidRDefault="00546A26" w:rsidP="004106CD">
            <w:pPr>
              <w:spacing w:after="0" w:line="240" w:lineRule="auto"/>
              <w:rPr>
                <w:rFonts w:eastAsia="Times New Roman" w:cstheme="minorHAnsi"/>
                <w:color w:val="000000"/>
                <w:sz w:val="20"/>
                <w:lang w:eastAsia="en-NZ"/>
              </w:rPr>
            </w:pPr>
            <w:r w:rsidRPr="00CA4713">
              <w:rPr>
                <w:rFonts w:eastAsia="Times New Roman" w:cstheme="minorHAnsi"/>
                <w:color w:val="000000"/>
                <w:sz w:val="20"/>
                <w:lang w:eastAsia="en-NZ"/>
              </w:rPr>
              <w:t xml:space="preserve">An increase in effectiveness of processes – this includes graffiti dashboard to give an overview of the city where we can identify hot spots and trends over time </w:t>
            </w:r>
          </w:p>
        </w:tc>
      </w:tr>
      <w:tr w:rsidR="009C3D9F" w:rsidRPr="00CA4713" w:rsidTr="009C3D9F">
        <w:trPr>
          <w:trHeight w:val="461"/>
        </w:trPr>
        <w:tc>
          <w:tcPr>
            <w:tcW w:w="4408" w:type="dxa"/>
            <w:gridSpan w:val="4"/>
            <w:shd w:val="clear" w:color="auto" w:fill="auto"/>
            <w:hideMark/>
          </w:tcPr>
          <w:p w:rsidR="009C3D9F" w:rsidRPr="00CA4713" w:rsidRDefault="009C3D9F" w:rsidP="009C3D9F">
            <w:pPr>
              <w:spacing w:after="0" w:line="240" w:lineRule="auto"/>
              <w:rPr>
                <w:rFonts w:eastAsia="Times New Roman" w:cstheme="minorHAnsi"/>
                <w:color w:val="000000"/>
                <w:sz w:val="20"/>
                <w:lang w:eastAsia="en-NZ"/>
              </w:rPr>
            </w:pPr>
            <w:r w:rsidRPr="00CA4713">
              <w:rPr>
                <w:rFonts w:eastAsia="Times New Roman" w:cstheme="minorHAnsi"/>
                <w:color w:val="000000"/>
                <w:sz w:val="20"/>
                <w:lang w:eastAsia="en-NZ"/>
              </w:rPr>
              <w:t>Dog control - urgent requests (%) responded to within 1 hour</w:t>
            </w:r>
          </w:p>
        </w:tc>
        <w:tc>
          <w:tcPr>
            <w:tcW w:w="1136" w:type="dxa"/>
            <w:gridSpan w:val="2"/>
            <w:shd w:val="clear" w:color="auto" w:fill="auto"/>
            <w:noWrap/>
            <w:hideMark/>
          </w:tcPr>
          <w:p w:rsidR="009C3D9F" w:rsidRPr="00CA4713" w:rsidRDefault="009C3D9F" w:rsidP="009C3D9F">
            <w:pPr>
              <w:spacing w:after="0" w:line="240" w:lineRule="auto"/>
              <w:jc w:val="right"/>
              <w:rPr>
                <w:rFonts w:eastAsia="Times New Roman" w:cstheme="minorHAnsi"/>
                <w:color w:val="000000"/>
                <w:sz w:val="20"/>
                <w:lang w:eastAsia="en-NZ"/>
              </w:rPr>
            </w:pPr>
            <w:r w:rsidRPr="00CA4713">
              <w:rPr>
                <w:rFonts w:eastAsia="Times New Roman" w:cstheme="minorHAnsi"/>
                <w:color w:val="000000"/>
                <w:sz w:val="20"/>
                <w:lang w:eastAsia="en-NZ"/>
              </w:rPr>
              <w:t>91%</w:t>
            </w:r>
          </w:p>
        </w:tc>
        <w:tc>
          <w:tcPr>
            <w:tcW w:w="1176" w:type="dxa"/>
            <w:shd w:val="clear" w:color="auto" w:fill="auto"/>
            <w:noWrap/>
            <w:hideMark/>
          </w:tcPr>
          <w:p w:rsidR="009C3D9F" w:rsidRPr="00CA4713" w:rsidRDefault="009C3D9F" w:rsidP="009C3D9F">
            <w:pPr>
              <w:spacing w:after="0" w:line="240" w:lineRule="auto"/>
              <w:jc w:val="right"/>
              <w:rPr>
                <w:rFonts w:eastAsia="Times New Roman" w:cstheme="minorHAnsi"/>
                <w:color w:val="000000"/>
                <w:sz w:val="20"/>
                <w:lang w:eastAsia="en-NZ"/>
              </w:rPr>
            </w:pPr>
            <w:r w:rsidRPr="00CA4713">
              <w:rPr>
                <w:rFonts w:eastAsia="Times New Roman" w:cstheme="minorHAnsi"/>
                <w:color w:val="000000"/>
                <w:sz w:val="20"/>
                <w:lang w:eastAsia="en-NZ"/>
              </w:rPr>
              <w:t>93%</w:t>
            </w:r>
          </w:p>
        </w:tc>
        <w:tc>
          <w:tcPr>
            <w:tcW w:w="1258" w:type="dxa"/>
            <w:gridSpan w:val="5"/>
            <w:shd w:val="clear" w:color="auto" w:fill="auto"/>
            <w:noWrap/>
            <w:hideMark/>
          </w:tcPr>
          <w:p w:rsidR="009C3D9F" w:rsidRPr="00CA4713" w:rsidRDefault="009C3D9F" w:rsidP="009C3D9F">
            <w:pPr>
              <w:spacing w:after="0" w:line="240" w:lineRule="auto"/>
              <w:jc w:val="right"/>
              <w:rPr>
                <w:rFonts w:eastAsia="Times New Roman" w:cstheme="minorHAnsi"/>
                <w:color w:val="000000"/>
                <w:sz w:val="20"/>
                <w:lang w:eastAsia="en-NZ"/>
              </w:rPr>
            </w:pPr>
            <w:r w:rsidRPr="00CA4713">
              <w:rPr>
                <w:rFonts w:eastAsia="Times New Roman" w:cstheme="minorHAnsi"/>
                <w:color w:val="000000"/>
                <w:sz w:val="20"/>
                <w:lang w:eastAsia="en-NZ"/>
              </w:rPr>
              <w:t>95%</w:t>
            </w:r>
          </w:p>
        </w:tc>
        <w:tc>
          <w:tcPr>
            <w:tcW w:w="1106" w:type="dxa"/>
            <w:shd w:val="clear" w:color="000000" w:fill="D9D9D9"/>
            <w:hideMark/>
          </w:tcPr>
          <w:p w:rsidR="009C3D9F" w:rsidRPr="00CA4713" w:rsidRDefault="009C3D9F" w:rsidP="009C3D9F">
            <w:pPr>
              <w:spacing w:after="0" w:line="240" w:lineRule="auto"/>
              <w:jc w:val="right"/>
              <w:rPr>
                <w:rFonts w:eastAsia="Times New Roman" w:cstheme="minorHAnsi"/>
                <w:color w:val="000000"/>
                <w:sz w:val="20"/>
                <w:lang w:eastAsia="en-NZ"/>
              </w:rPr>
            </w:pPr>
            <w:r w:rsidRPr="00CA4713">
              <w:rPr>
                <w:rFonts w:eastAsia="Times New Roman" w:cstheme="minorHAnsi"/>
                <w:color w:val="000000"/>
                <w:sz w:val="20"/>
                <w:lang w:eastAsia="en-NZ"/>
              </w:rPr>
              <w:t>100%</w:t>
            </w:r>
          </w:p>
        </w:tc>
        <w:tc>
          <w:tcPr>
            <w:tcW w:w="822" w:type="dxa"/>
            <w:gridSpan w:val="5"/>
            <w:shd w:val="clear" w:color="auto" w:fill="auto"/>
            <w:hideMark/>
          </w:tcPr>
          <w:p w:rsidR="009C3D9F" w:rsidRPr="00CA4713" w:rsidRDefault="009C3D9F" w:rsidP="009C3D9F">
            <w:pPr>
              <w:spacing w:after="0" w:line="240" w:lineRule="auto"/>
              <w:jc w:val="center"/>
              <w:rPr>
                <w:rFonts w:eastAsia="Times New Roman" w:cstheme="minorHAnsi"/>
                <w:color w:val="000000"/>
                <w:sz w:val="20"/>
                <w:lang w:eastAsia="en-NZ"/>
              </w:rPr>
            </w:pPr>
            <w:r w:rsidRPr="00CA4713">
              <w:rPr>
                <w:rFonts w:eastAsia="Times New Roman" w:cstheme="minorHAnsi"/>
                <w:color w:val="000000"/>
                <w:sz w:val="20"/>
                <w:lang w:eastAsia="en-NZ"/>
              </w:rPr>
              <w:t>-5%</w:t>
            </w:r>
          </w:p>
        </w:tc>
        <w:tc>
          <w:tcPr>
            <w:tcW w:w="1293" w:type="dxa"/>
            <w:gridSpan w:val="2"/>
            <w:shd w:val="clear" w:color="auto" w:fill="auto"/>
            <w:hideMark/>
          </w:tcPr>
          <w:p w:rsidR="009C3D9F" w:rsidRDefault="009C3D9F" w:rsidP="009C3D9F">
            <w:pPr>
              <w:spacing w:after="0"/>
              <w:jc w:val="right"/>
            </w:pPr>
            <w:r w:rsidRPr="00027365">
              <w:rPr>
                <w:rFonts w:eastAsia="Times New Roman" w:cstheme="minorHAnsi"/>
                <w:color w:val="000000"/>
                <w:sz w:val="20"/>
                <w:lang w:eastAsia="en-NZ"/>
              </w:rPr>
              <w:t>Within 10%</w:t>
            </w:r>
          </w:p>
        </w:tc>
        <w:tc>
          <w:tcPr>
            <w:tcW w:w="4252" w:type="dxa"/>
            <w:shd w:val="clear" w:color="auto" w:fill="auto"/>
          </w:tcPr>
          <w:p w:rsidR="009C3D9F" w:rsidRPr="00CA4713" w:rsidRDefault="009C3D9F" w:rsidP="009C3D9F">
            <w:pPr>
              <w:spacing w:after="0" w:line="240" w:lineRule="auto"/>
              <w:rPr>
                <w:rFonts w:eastAsia="Times New Roman" w:cstheme="minorHAnsi"/>
                <w:color w:val="000000"/>
                <w:sz w:val="20"/>
                <w:lang w:eastAsia="en-NZ"/>
              </w:rPr>
            </w:pPr>
          </w:p>
        </w:tc>
      </w:tr>
      <w:tr w:rsidR="009C3D9F" w:rsidRPr="00CA4713" w:rsidTr="009C3D9F">
        <w:trPr>
          <w:trHeight w:val="245"/>
        </w:trPr>
        <w:tc>
          <w:tcPr>
            <w:tcW w:w="4408" w:type="dxa"/>
            <w:gridSpan w:val="4"/>
            <w:shd w:val="clear" w:color="auto" w:fill="auto"/>
            <w:hideMark/>
          </w:tcPr>
          <w:p w:rsidR="009C3D9F" w:rsidRPr="00CA4713" w:rsidRDefault="009C3D9F" w:rsidP="009C3D9F">
            <w:pPr>
              <w:spacing w:after="0" w:line="240" w:lineRule="auto"/>
              <w:rPr>
                <w:rFonts w:eastAsia="Times New Roman" w:cstheme="minorHAnsi"/>
                <w:color w:val="000000"/>
                <w:sz w:val="20"/>
                <w:lang w:eastAsia="en-NZ"/>
              </w:rPr>
            </w:pPr>
            <w:r w:rsidRPr="00CA4713">
              <w:rPr>
                <w:rFonts w:eastAsia="Times New Roman" w:cstheme="minorHAnsi"/>
                <w:color w:val="000000"/>
                <w:sz w:val="20"/>
                <w:lang w:eastAsia="en-NZ"/>
              </w:rPr>
              <w:t>Dog control - non-urgent requests (%) responded to within 24 hours</w:t>
            </w:r>
          </w:p>
        </w:tc>
        <w:tc>
          <w:tcPr>
            <w:tcW w:w="1136" w:type="dxa"/>
            <w:gridSpan w:val="2"/>
            <w:shd w:val="clear" w:color="auto" w:fill="auto"/>
            <w:noWrap/>
            <w:hideMark/>
          </w:tcPr>
          <w:p w:rsidR="009C3D9F" w:rsidRPr="00CA4713" w:rsidRDefault="009C3D9F" w:rsidP="009C3D9F">
            <w:pPr>
              <w:spacing w:after="0" w:line="240" w:lineRule="auto"/>
              <w:jc w:val="right"/>
              <w:rPr>
                <w:rFonts w:eastAsia="Times New Roman" w:cstheme="minorHAnsi"/>
                <w:color w:val="000000"/>
                <w:sz w:val="20"/>
                <w:lang w:eastAsia="en-NZ"/>
              </w:rPr>
            </w:pPr>
            <w:r w:rsidRPr="00CA4713">
              <w:rPr>
                <w:rFonts w:eastAsia="Times New Roman" w:cstheme="minorHAnsi"/>
                <w:color w:val="000000"/>
                <w:sz w:val="20"/>
                <w:lang w:eastAsia="en-NZ"/>
              </w:rPr>
              <w:t>97%</w:t>
            </w:r>
          </w:p>
        </w:tc>
        <w:tc>
          <w:tcPr>
            <w:tcW w:w="1176" w:type="dxa"/>
            <w:shd w:val="clear" w:color="auto" w:fill="auto"/>
            <w:noWrap/>
            <w:hideMark/>
          </w:tcPr>
          <w:p w:rsidR="009C3D9F" w:rsidRPr="00CA4713" w:rsidRDefault="009C3D9F" w:rsidP="009C3D9F">
            <w:pPr>
              <w:spacing w:after="0" w:line="240" w:lineRule="auto"/>
              <w:jc w:val="right"/>
              <w:rPr>
                <w:rFonts w:eastAsia="Times New Roman" w:cstheme="minorHAnsi"/>
                <w:color w:val="000000"/>
                <w:sz w:val="20"/>
                <w:lang w:eastAsia="en-NZ"/>
              </w:rPr>
            </w:pPr>
            <w:r w:rsidRPr="00CA4713">
              <w:rPr>
                <w:rFonts w:eastAsia="Times New Roman" w:cstheme="minorHAnsi"/>
                <w:color w:val="000000"/>
                <w:sz w:val="20"/>
                <w:lang w:eastAsia="en-NZ"/>
              </w:rPr>
              <w:t>96%</w:t>
            </w:r>
          </w:p>
        </w:tc>
        <w:tc>
          <w:tcPr>
            <w:tcW w:w="1258" w:type="dxa"/>
            <w:gridSpan w:val="5"/>
            <w:shd w:val="clear" w:color="auto" w:fill="auto"/>
            <w:noWrap/>
            <w:hideMark/>
          </w:tcPr>
          <w:p w:rsidR="009C3D9F" w:rsidRPr="00CA4713" w:rsidRDefault="009C3D9F" w:rsidP="009C3D9F">
            <w:pPr>
              <w:spacing w:after="0" w:line="240" w:lineRule="auto"/>
              <w:jc w:val="right"/>
              <w:rPr>
                <w:rFonts w:eastAsia="Times New Roman" w:cstheme="minorHAnsi"/>
                <w:color w:val="000000"/>
                <w:sz w:val="20"/>
                <w:lang w:eastAsia="en-NZ"/>
              </w:rPr>
            </w:pPr>
            <w:r w:rsidRPr="00CA4713">
              <w:rPr>
                <w:rFonts w:eastAsia="Times New Roman" w:cstheme="minorHAnsi"/>
                <w:color w:val="000000"/>
                <w:sz w:val="20"/>
                <w:lang w:eastAsia="en-NZ"/>
              </w:rPr>
              <w:t>97%</w:t>
            </w:r>
          </w:p>
        </w:tc>
        <w:tc>
          <w:tcPr>
            <w:tcW w:w="1106" w:type="dxa"/>
            <w:shd w:val="clear" w:color="000000" w:fill="D9D9D9"/>
            <w:hideMark/>
          </w:tcPr>
          <w:p w:rsidR="009C3D9F" w:rsidRPr="00CA4713" w:rsidRDefault="009C3D9F" w:rsidP="009C3D9F">
            <w:pPr>
              <w:spacing w:after="0" w:line="240" w:lineRule="auto"/>
              <w:jc w:val="right"/>
              <w:rPr>
                <w:rFonts w:eastAsia="Times New Roman" w:cstheme="minorHAnsi"/>
                <w:color w:val="000000"/>
                <w:sz w:val="20"/>
                <w:lang w:eastAsia="en-NZ"/>
              </w:rPr>
            </w:pPr>
            <w:r w:rsidRPr="00CA4713">
              <w:rPr>
                <w:rFonts w:eastAsia="Times New Roman" w:cstheme="minorHAnsi"/>
                <w:color w:val="000000"/>
                <w:sz w:val="20"/>
                <w:lang w:eastAsia="en-NZ"/>
              </w:rPr>
              <w:t>99%</w:t>
            </w:r>
          </w:p>
        </w:tc>
        <w:tc>
          <w:tcPr>
            <w:tcW w:w="822" w:type="dxa"/>
            <w:gridSpan w:val="5"/>
            <w:shd w:val="clear" w:color="auto" w:fill="auto"/>
            <w:hideMark/>
          </w:tcPr>
          <w:p w:rsidR="009C3D9F" w:rsidRPr="00CA4713" w:rsidRDefault="009C3D9F" w:rsidP="009C3D9F">
            <w:pPr>
              <w:spacing w:after="0" w:line="240" w:lineRule="auto"/>
              <w:jc w:val="center"/>
              <w:rPr>
                <w:rFonts w:eastAsia="Times New Roman" w:cstheme="minorHAnsi"/>
                <w:color w:val="000000"/>
                <w:sz w:val="20"/>
                <w:lang w:eastAsia="en-NZ"/>
              </w:rPr>
            </w:pPr>
            <w:r w:rsidRPr="00CA4713">
              <w:rPr>
                <w:rFonts w:eastAsia="Times New Roman" w:cstheme="minorHAnsi"/>
                <w:color w:val="000000"/>
                <w:sz w:val="20"/>
                <w:lang w:eastAsia="en-NZ"/>
              </w:rPr>
              <w:t>-2%</w:t>
            </w:r>
          </w:p>
        </w:tc>
        <w:tc>
          <w:tcPr>
            <w:tcW w:w="1293" w:type="dxa"/>
            <w:gridSpan w:val="2"/>
            <w:shd w:val="clear" w:color="auto" w:fill="auto"/>
            <w:hideMark/>
          </w:tcPr>
          <w:p w:rsidR="009C3D9F" w:rsidRDefault="009C3D9F" w:rsidP="009C3D9F">
            <w:pPr>
              <w:spacing w:after="0"/>
              <w:jc w:val="right"/>
            </w:pPr>
            <w:r w:rsidRPr="00027365">
              <w:rPr>
                <w:rFonts w:eastAsia="Times New Roman" w:cstheme="minorHAnsi"/>
                <w:color w:val="000000"/>
                <w:sz w:val="20"/>
                <w:lang w:eastAsia="en-NZ"/>
              </w:rPr>
              <w:t>Within 10%</w:t>
            </w:r>
          </w:p>
        </w:tc>
        <w:tc>
          <w:tcPr>
            <w:tcW w:w="4252" w:type="dxa"/>
            <w:shd w:val="clear" w:color="auto" w:fill="auto"/>
          </w:tcPr>
          <w:p w:rsidR="009C3D9F" w:rsidRPr="00CA4713" w:rsidRDefault="009C3D9F" w:rsidP="009C3D9F">
            <w:pPr>
              <w:spacing w:after="0" w:line="240" w:lineRule="auto"/>
              <w:jc w:val="right"/>
              <w:rPr>
                <w:rFonts w:eastAsia="Times New Roman" w:cstheme="minorHAnsi"/>
                <w:color w:val="000000"/>
                <w:sz w:val="20"/>
                <w:lang w:eastAsia="en-NZ"/>
              </w:rPr>
            </w:pPr>
          </w:p>
        </w:tc>
      </w:tr>
      <w:tr w:rsidR="009C3D9F" w:rsidRPr="00CA4713" w:rsidTr="009C3D9F">
        <w:trPr>
          <w:trHeight w:val="314"/>
        </w:trPr>
        <w:tc>
          <w:tcPr>
            <w:tcW w:w="4408" w:type="dxa"/>
            <w:gridSpan w:val="4"/>
            <w:shd w:val="clear" w:color="auto" w:fill="auto"/>
            <w:hideMark/>
          </w:tcPr>
          <w:p w:rsidR="009C3D9F" w:rsidRPr="00CA4713" w:rsidRDefault="009C3D9F" w:rsidP="009C3D9F">
            <w:pPr>
              <w:spacing w:after="0" w:line="240" w:lineRule="auto"/>
              <w:rPr>
                <w:rFonts w:eastAsia="Times New Roman" w:cstheme="minorHAnsi"/>
                <w:color w:val="000000"/>
                <w:sz w:val="20"/>
                <w:lang w:eastAsia="en-NZ"/>
              </w:rPr>
            </w:pPr>
            <w:r w:rsidRPr="00CA4713">
              <w:rPr>
                <w:rFonts w:eastAsia="Times New Roman" w:cstheme="minorHAnsi"/>
                <w:color w:val="000000"/>
                <w:sz w:val="20"/>
                <w:lang w:eastAsia="en-NZ"/>
              </w:rPr>
              <w:t xml:space="preserve">Public toilets - urgent requests (%) responded to within 4 hours </w:t>
            </w:r>
          </w:p>
        </w:tc>
        <w:tc>
          <w:tcPr>
            <w:tcW w:w="1136" w:type="dxa"/>
            <w:gridSpan w:val="2"/>
            <w:shd w:val="clear" w:color="auto" w:fill="auto"/>
            <w:noWrap/>
            <w:hideMark/>
          </w:tcPr>
          <w:p w:rsidR="009C3D9F" w:rsidRPr="00CA4713" w:rsidRDefault="009C3D9F" w:rsidP="009C3D9F">
            <w:pPr>
              <w:spacing w:after="0" w:line="240" w:lineRule="auto"/>
              <w:jc w:val="right"/>
              <w:rPr>
                <w:rFonts w:eastAsia="Times New Roman" w:cstheme="minorHAnsi"/>
                <w:color w:val="000000"/>
                <w:sz w:val="20"/>
                <w:lang w:eastAsia="en-NZ"/>
              </w:rPr>
            </w:pPr>
            <w:r w:rsidRPr="00CA4713">
              <w:rPr>
                <w:rFonts w:eastAsia="Times New Roman" w:cstheme="minorHAnsi"/>
                <w:color w:val="000000"/>
                <w:sz w:val="20"/>
                <w:lang w:eastAsia="en-NZ"/>
              </w:rPr>
              <w:t>100%</w:t>
            </w:r>
          </w:p>
        </w:tc>
        <w:tc>
          <w:tcPr>
            <w:tcW w:w="1176" w:type="dxa"/>
            <w:shd w:val="clear" w:color="auto" w:fill="auto"/>
            <w:noWrap/>
            <w:hideMark/>
          </w:tcPr>
          <w:p w:rsidR="009C3D9F" w:rsidRPr="00CA4713" w:rsidRDefault="009C3D9F" w:rsidP="009C3D9F">
            <w:pPr>
              <w:spacing w:after="0" w:line="240" w:lineRule="auto"/>
              <w:jc w:val="right"/>
              <w:rPr>
                <w:rFonts w:eastAsia="Times New Roman" w:cstheme="minorHAnsi"/>
                <w:color w:val="000000"/>
                <w:sz w:val="20"/>
                <w:lang w:eastAsia="en-NZ"/>
              </w:rPr>
            </w:pPr>
            <w:r w:rsidRPr="00CA4713">
              <w:rPr>
                <w:rFonts w:eastAsia="Times New Roman" w:cstheme="minorHAnsi"/>
                <w:color w:val="000000"/>
                <w:sz w:val="20"/>
                <w:lang w:eastAsia="en-NZ"/>
              </w:rPr>
              <w:t>98%</w:t>
            </w:r>
          </w:p>
        </w:tc>
        <w:tc>
          <w:tcPr>
            <w:tcW w:w="1258" w:type="dxa"/>
            <w:gridSpan w:val="5"/>
            <w:shd w:val="clear" w:color="auto" w:fill="auto"/>
            <w:noWrap/>
            <w:hideMark/>
          </w:tcPr>
          <w:p w:rsidR="009C3D9F" w:rsidRPr="00CA4713" w:rsidRDefault="009C3D9F" w:rsidP="009C3D9F">
            <w:pPr>
              <w:spacing w:after="0" w:line="240" w:lineRule="auto"/>
              <w:jc w:val="right"/>
              <w:rPr>
                <w:rFonts w:eastAsia="Times New Roman" w:cstheme="minorHAnsi"/>
                <w:color w:val="000000"/>
                <w:sz w:val="20"/>
                <w:lang w:eastAsia="en-NZ"/>
              </w:rPr>
            </w:pPr>
            <w:r w:rsidRPr="00CA4713">
              <w:rPr>
                <w:rFonts w:eastAsia="Times New Roman" w:cstheme="minorHAnsi"/>
                <w:color w:val="000000"/>
                <w:sz w:val="20"/>
                <w:lang w:eastAsia="en-NZ"/>
              </w:rPr>
              <w:t>94%</w:t>
            </w:r>
          </w:p>
        </w:tc>
        <w:tc>
          <w:tcPr>
            <w:tcW w:w="1106" w:type="dxa"/>
            <w:shd w:val="clear" w:color="000000" w:fill="D9D9D9"/>
            <w:hideMark/>
          </w:tcPr>
          <w:p w:rsidR="009C3D9F" w:rsidRPr="00CA4713" w:rsidRDefault="009C3D9F" w:rsidP="009C3D9F">
            <w:pPr>
              <w:spacing w:after="0" w:line="240" w:lineRule="auto"/>
              <w:jc w:val="right"/>
              <w:rPr>
                <w:rFonts w:eastAsia="Times New Roman" w:cstheme="minorHAnsi"/>
                <w:color w:val="000000"/>
                <w:sz w:val="20"/>
                <w:lang w:eastAsia="en-NZ"/>
              </w:rPr>
            </w:pPr>
            <w:r w:rsidRPr="00CA4713">
              <w:rPr>
                <w:rFonts w:eastAsia="Times New Roman" w:cstheme="minorHAnsi"/>
                <w:color w:val="000000"/>
                <w:sz w:val="20"/>
                <w:lang w:eastAsia="en-NZ"/>
              </w:rPr>
              <w:t>100%</w:t>
            </w:r>
          </w:p>
        </w:tc>
        <w:tc>
          <w:tcPr>
            <w:tcW w:w="822" w:type="dxa"/>
            <w:gridSpan w:val="5"/>
            <w:shd w:val="clear" w:color="auto" w:fill="auto"/>
            <w:hideMark/>
          </w:tcPr>
          <w:p w:rsidR="009C3D9F" w:rsidRPr="00CA4713" w:rsidRDefault="009C3D9F" w:rsidP="009C3D9F">
            <w:pPr>
              <w:spacing w:after="0" w:line="240" w:lineRule="auto"/>
              <w:jc w:val="center"/>
              <w:rPr>
                <w:rFonts w:eastAsia="Times New Roman" w:cstheme="minorHAnsi"/>
                <w:color w:val="000000"/>
                <w:sz w:val="20"/>
                <w:lang w:eastAsia="en-NZ"/>
              </w:rPr>
            </w:pPr>
            <w:r w:rsidRPr="00CA4713">
              <w:rPr>
                <w:rFonts w:eastAsia="Times New Roman" w:cstheme="minorHAnsi"/>
                <w:color w:val="000000"/>
                <w:sz w:val="20"/>
                <w:lang w:eastAsia="en-NZ"/>
              </w:rPr>
              <w:t>-6%</w:t>
            </w:r>
          </w:p>
        </w:tc>
        <w:tc>
          <w:tcPr>
            <w:tcW w:w="1293" w:type="dxa"/>
            <w:gridSpan w:val="2"/>
            <w:shd w:val="clear" w:color="auto" w:fill="auto"/>
            <w:hideMark/>
          </w:tcPr>
          <w:p w:rsidR="009C3D9F" w:rsidRDefault="009C3D9F" w:rsidP="009C3D9F">
            <w:pPr>
              <w:spacing w:after="0"/>
              <w:jc w:val="right"/>
            </w:pPr>
            <w:r w:rsidRPr="00027365">
              <w:rPr>
                <w:rFonts w:eastAsia="Times New Roman" w:cstheme="minorHAnsi"/>
                <w:color w:val="000000"/>
                <w:sz w:val="20"/>
                <w:lang w:eastAsia="en-NZ"/>
              </w:rPr>
              <w:t>Within 10%</w:t>
            </w:r>
          </w:p>
        </w:tc>
        <w:tc>
          <w:tcPr>
            <w:tcW w:w="4252" w:type="dxa"/>
            <w:shd w:val="clear" w:color="auto" w:fill="auto"/>
          </w:tcPr>
          <w:p w:rsidR="009C3D9F" w:rsidRPr="00CA4713" w:rsidRDefault="009C3D9F" w:rsidP="009C3D9F">
            <w:pPr>
              <w:spacing w:after="0" w:line="240" w:lineRule="auto"/>
              <w:jc w:val="right"/>
              <w:rPr>
                <w:rFonts w:eastAsia="Times New Roman" w:cstheme="minorHAnsi"/>
                <w:color w:val="000000"/>
                <w:sz w:val="20"/>
                <w:lang w:eastAsia="en-NZ"/>
              </w:rPr>
            </w:pPr>
          </w:p>
        </w:tc>
      </w:tr>
      <w:tr w:rsidR="009C3D9F" w:rsidRPr="00CA4713" w:rsidTr="009C3D9F">
        <w:trPr>
          <w:trHeight w:val="98"/>
        </w:trPr>
        <w:tc>
          <w:tcPr>
            <w:tcW w:w="4408" w:type="dxa"/>
            <w:gridSpan w:val="4"/>
            <w:tcBorders>
              <w:bottom w:val="nil"/>
            </w:tcBorders>
            <w:shd w:val="clear" w:color="auto" w:fill="auto"/>
            <w:hideMark/>
          </w:tcPr>
          <w:p w:rsidR="009C3D9F" w:rsidRPr="00CA4713" w:rsidRDefault="009C3D9F" w:rsidP="009C3D9F">
            <w:pPr>
              <w:spacing w:after="0" w:line="240" w:lineRule="auto"/>
              <w:rPr>
                <w:rFonts w:eastAsia="Times New Roman" w:cstheme="minorHAnsi"/>
                <w:color w:val="000000"/>
                <w:sz w:val="20"/>
                <w:lang w:eastAsia="en-NZ"/>
              </w:rPr>
            </w:pPr>
            <w:r w:rsidRPr="00CA4713">
              <w:rPr>
                <w:rFonts w:eastAsia="Times New Roman" w:cstheme="minorHAnsi"/>
                <w:color w:val="000000"/>
                <w:sz w:val="20"/>
                <w:lang w:eastAsia="en-NZ"/>
              </w:rPr>
              <w:t>Public toilets - non-urgent requests (%) responded to within 3 days</w:t>
            </w:r>
          </w:p>
        </w:tc>
        <w:tc>
          <w:tcPr>
            <w:tcW w:w="1136" w:type="dxa"/>
            <w:gridSpan w:val="2"/>
            <w:tcBorders>
              <w:bottom w:val="nil"/>
            </w:tcBorders>
            <w:shd w:val="clear" w:color="auto" w:fill="auto"/>
            <w:noWrap/>
            <w:hideMark/>
          </w:tcPr>
          <w:p w:rsidR="009C3D9F" w:rsidRPr="00CA4713" w:rsidRDefault="009C3D9F" w:rsidP="009C3D9F">
            <w:pPr>
              <w:spacing w:after="0" w:line="240" w:lineRule="auto"/>
              <w:jc w:val="right"/>
              <w:rPr>
                <w:rFonts w:eastAsia="Times New Roman" w:cstheme="minorHAnsi"/>
                <w:color w:val="000000"/>
                <w:sz w:val="20"/>
                <w:lang w:eastAsia="en-NZ"/>
              </w:rPr>
            </w:pPr>
            <w:r w:rsidRPr="00CA4713">
              <w:rPr>
                <w:rFonts w:eastAsia="Times New Roman" w:cstheme="minorHAnsi"/>
                <w:color w:val="000000"/>
                <w:sz w:val="20"/>
                <w:lang w:eastAsia="en-NZ"/>
              </w:rPr>
              <w:t>98%</w:t>
            </w:r>
          </w:p>
        </w:tc>
        <w:tc>
          <w:tcPr>
            <w:tcW w:w="1176" w:type="dxa"/>
            <w:tcBorders>
              <w:bottom w:val="nil"/>
            </w:tcBorders>
            <w:shd w:val="clear" w:color="auto" w:fill="auto"/>
            <w:noWrap/>
            <w:hideMark/>
          </w:tcPr>
          <w:p w:rsidR="009C3D9F" w:rsidRPr="00CA4713" w:rsidRDefault="009C3D9F" w:rsidP="009C3D9F">
            <w:pPr>
              <w:spacing w:after="0" w:line="240" w:lineRule="auto"/>
              <w:jc w:val="right"/>
              <w:rPr>
                <w:rFonts w:eastAsia="Times New Roman" w:cstheme="minorHAnsi"/>
                <w:color w:val="000000"/>
                <w:sz w:val="20"/>
                <w:lang w:eastAsia="en-NZ"/>
              </w:rPr>
            </w:pPr>
            <w:r w:rsidRPr="00CA4713">
              <w:rPr>
                <w:rFonts w:eastAsia="Times New Roman" w:cstheme="minorHAnsi"/>
                <w:color w:val="000000"/>
                <w:sz w:val="20"/>
                <w:lang w:eastAsia="en-NZ"/>
              </w:rPr>
              <w:t>98%</w:t>
            </w:r>
          </w:p>
        </w:tc>
        <w:tc>
          <w:tcPr>
            <w:tcW w:w="1258" w:type="dxa"/>
            <w:gridSpan w:val="5"/>
            <w:tcBorders>
              <w:bottom w:val="nil"/>
            </w:tcBorders>
            <w:shd w:val="clear" w:color="auto" w:fill="auto"/>
            <w:noWrap/>
            <w:hideMark/>
          </w:tcPr>
          <w:p w:rsidR="009C3D9F" w:rsidRPr="00CA4713" w:rsidRDefault="009C3D9F" w:rsidP="009C3D9F">
            <w:pPr>
              <w:spacing w:after="0" w:line="240" w:lineRule="auto"/>
              <w:jc w:val="right"/>
              <w:rPr>
                <w:rFonts w:eastAsia="Times New Roman" w:cstheme="minorHAnsi"/>
                <w:color w:val="000000"/>
                <w:sz w:val="20"/>
                <w:lang w:eastAsia="en-NZ"/>
              </w:rPr>
            </w:pPr>
            <w:r w:rsidRPr="00CA4713">
              <w:rPr>
                <w:rFonts w:eastAsia="Times New Roman" w:cstheme="minorHAnsi"/>
                <w:color w:val="000000"/>
                <w:sz w:val="20"/>
                <w:lang w:eastAsia="en-NZ"/>
              </w:rPr>
              <w:t>90%</w:t>
            </w:r>
          </w:p>
        </w:tc>
        <w:tc>
          <w:tcPr>
            <w:tcW w:w="1106" w:type="dxa"/>
            <w:tcBorders>
              <w:bottom w:val="nil"/>
            </w:tcBorders>
            <w:shd w:val="clear" w:color="000000" w:fill="D9D9D9"/>
            <w:hideMark/>
          </w:tcPr>
          <w:p w:rsidR="009C3D9F" w:rsidRPr="00CA4713" w:rsidRDefault="009C3D9F" w:rsidP="009C3D9F">
            <w:pPr>
              <w:spacing w:after="0" w:line="240" w:lineRule="auto"/>
              <w:jc w:val="right"/>
              <w:rPr>
                <w:rFonts w:eastAsia="Times New Roman" w:cstheme="minorHAnsi"/>
                <w:color w:val="000000"/>
                <w:sz w:val="20"/>
                <w:lang w:eastAsia="en-NZ"/>
              </w:rPr>
            </w:pPr>
            <w:r w:rsidRPr="00CA4713">
              <w:rPr>
                <w:rFonts w:eastAsia="Times New Roman" w:cstheme="minorHAnsi"/>
                <w:color w:val="000000"/>
                <w:sz w:val="20"/>
                <w:lang w:eastAsia="en-NZ"/>
              </w:rPr>
              <w:t>95%</w:t>
            </w:r>
          </w:p>
        </w:tc>
        <w:tc>
          <w:tcPr>
            <w:tcW w:w="822" w:type="dxa"/>
            <w:gridSpan w:val="5"/>
            <w:tcBorders>
              <w:bottom w:val="nil"/>
            </w:tcBorders>
            <w:shd w:val="clear" w:color="auto" w:fill="auto"/>
            <w:hideMark/>
          </w:tcPr>
          <w:p w:rsidR="009C3D9F" w:rsidRPr="00CA4713" w:rsidRDefault="009C3D9F" w:rsidP="009C3D9F">
            <w:pPr>
              <w:spacing w:after="0" w:line="240" w:lineRule="auto"/>
              <w:jc w:val="center"/>
              <w:rPr>
                <w:rFonts w:eastAsia="Times New Roman" w:cstheme="minorHAnsi"/>
                <w:color w:val="000000"/>
                <w:sz w:val="20"/>
                <w:lang w:eastAsia="en-NZ"/>
              </w:rPr>
            </w:pPr>
            <w:r w:rsidRPr="00CA4713">
              <w:rPr>
                <w:rFonts w:eastAsia="Times New Roman" w:cstheme="minorHAnsi"/>
                <w:color w:val="000000"/>
                <w:sz w:val="20"/>
                <w:lang w:eastAsia="en-NZ"/>
              </w:rPr>
              <w:t>-5%</w:t>
            </w:r>
          </w:p>
        </w:tc>
        <w:tc>
          <w:tcPr>
            <w:tcW w:w="1293" w:type="dxa"/>
            <w:gridSpan w:val="2"/>
            <w:tcBorders>
              <w:bottom w:val="nil"/>
            </w:tcBorders>
            <w:shd w:val="clear" w:color="auto" w:fill="auto"/>
            <w:hideMark/>
          </w:tcPr>
          <w:p w:rsidR="009C3D9F" w:rsidRDefault="009C3D9F" w:rsidP="009C3D9F">
            <w:pPr>
              <w:spacing w:after="0"/>
              <w:jc w:val="right"/>
            </w:pPr>
            <w:r w:rsidRPr="00027365">
              <w:rPr>
                <w:rFonts w:eastAsia="Times New Roman" w:cstheme="minorHAnsi"/>
                <w:color w:val="000000"/>
                <w:sz w:val="20"/>
                <w:lang w:eastAsia="en-NZ"/>
              </w:rPr>
              <w:t>Within 10%</w:t>
            </w:r>
          </w:p>
        </w:tc>
        <w:tc>
          <w:tcPr>
            <w:tcW w:w="4252" w:type="dxa"/>
            <w:tcBorders>
              <w:bottom w:val="nil"/>
            </w:tcBorders>
            <w:shd w:val="clear" w:color="auto" w:fill="auto"/>
          </w:tcPr>
          <w:p w:rsidR="009C3D9F" w:rsidRPr="00CA4713" w:rsidRDefault="009C3D9F" w:rsidP="009C3D9F">
            <w:pPr>
              <w:spacing w:after="0" w:line="240" w:lineRule="auto"/>
              <w:jc w:val="right"/>
              <w:rPr>
                <w:rFonts w:eastAsia="Times New Roman" w:cstheme="minorHAnsi"/>
                <w:color w:val="000000"/>
                <w:sz w:val="20"/>
                <w:lang w:eastAsia="en-NZ"/>
              </w:rPr>
            </w:pPr>
          </w:p>
        </w:tc>
      </w:tr>
      <w:tr w:rsidR="00546A26" w:rsidRPr="00CA4713" w:rsidTr="009C3D9F">
        <w:trPr>
          <w:trHeight w:val="315"/>
        </w:trPr>
        <w:tc>
          <w:tcPr>
            <w:tcW w:w="15451" w:type="dxa"/>
            <w:gridSpan w:val="21"/>
            <w:tcBorders>
              <w:top w:val="nil"/>
              <w:bottom w:val="nil"/>
            </w:tcBorders>
            <w:shd w:val="clear" w:color="auto" w:fill="DAEEF3" w:themeFill="accent5" w:themeFillTint="33"/>
            <w:hideMark/>
          </w:tcPr>
          <w:p w:rsidR="00546A26" w:rsidRPr="00F45CA3" w:rsidRDefault="00546A26" w:rsidP="004106CD">
            <w:pPr>
              <w:spacing w:after="0" w:line="240" w:lineRule="auto"/>
              <w:rPr>
                <w:rFonts w:eastAsia="Times New Roman" w:cstheme="minorHAnsi"/>
                <w:b/>
                <w:color w:val="000000" w:themeColor="text1"/>
                <w:sz w:val="20"/>
                <w:szCs w:val="20"/>
                <w:lang w:eastAsia="en-NZ"/>
              </w:rPr>
            </w:pPr>
            <w:r w:rsidRPr="00F45CA3">
              <w:rPr>
                <w:rFonts w:eastAsia="Times New Roman" w:cstheme="minorHAnsi"/>
                <w:b/>
                <w:color w:val="000000" w:themeColor="text1"/>
                <w:sz w:val="20"/>
                <w:szCs w:val="20"/>
                <w:lang w:eastAsia="en-NZ"/>
              </w:rPr>
              <w:t>Hygiene standard</w:t>
            </w:r>
          </w:p>
        </w:tc>
      </w:tr>
      <w:tr w:rsidR="00546A26" w:rsidRPr="00CA4713" w:rsidTr="009C3D9F">
        <w:trPr>
          <w:trHeight w:val="270"/>
        </w:trPr>
        <w:tc>
          <w:tcPr>
            <w:tcW w:w="4408" w:type="dxa"/>
            <w:gridSpan w:val="4"/>
            <w:tcBorders>
              <w:top w:val="nil"/>
            </w:tcBorders>
            <w:shd w:val="clear" w:color="auto" w:fill="auto"/>
            <w:hideMark/>
          </w:tcPr>
          <w:p w:rsidR="00546A26" w:rsidRPr="00CA4713" w:rsidRDefault="00546A26" w:rsidP="004106CD">
            <w:pPr>
              <w:spacing w:after="0" w:line="240" w:lineRule="auto"/>
              <w:rPr>
                <w:rFonts w:eastAsia="Times New Roman" w:cstheme="minorHAnsi"/>
                <w:color w:val="000000"/>
                <w:sz w:val="20"/>
                <w:lang w:eastAsia="en-NZ"/>
              </w:rPr>
            </w:pPr>
            <w:r w:rsidRPr="00CA4713">
              <w:rPr>
                <w:rFonts w:eastAsia="Times New Roman" w:cstheme="minorHAnsi"/>
                <w:color w:val="000000"/>
                <w:sz w:val="20"/>
                <w:lang w:eastAsia="en-NZ"/>
              </w:rPr>
              <w:t>Toilets (%) that meet required cleanliness and maintenance performance standards</w:t>
            </w:r>
          </w:p>
        </w:tc>
        <w:tc>
          <w:tcPr>
            <w:tcW w:w="1136" w:type="dxa"/>
            <w:gridSpan w:val="2"/>
            <w:tcBorders>
              <w:top w:val="nil"/>
            </w:tcBorders>
            <w:shd w:val="clear" w:color="auto" w:fill="auto"/>
            <w:noWrap/>
            <w:hideMark/>
          </w:tcPr>
          <w:p w:rsidR="00546A26" w:rsidRPr="00CA4713" w:rsidRDefault="00546A26" w:rsidP="004106CD">
            <w:pPr>
              <w:spacing w:after="0" w:line="240" w:lineRule="auto"/>
              <w:jc w:val="right"/>
              <w:rPr>
                <w:rFonts w:eastAsia="Times New Roman" w:cstheme="minorHAnsi"/>
                <w:color w:val="000000"/>
                <w:sz w:val="20"/>
                <w:lang w:eastAsia="en-NZ"/>
              </w:rPr>
            </w:pPr>
            <w:r w:rsidRPr="00CA4713">
              <w:rPr>
                <w:rFonts w:eastAsia="Times New Roman" w:cstheme="minorHAnsi"/>
                <w:color w:val="000000"/>
                <w:sz w:val="20"/>
                <w:lang w:eastAsia="en-NZ"/>
              </w:rPr>
              <w:t>98%</w:t>
            </w:r>
          </w:p>
        </w:tc>
        <w:tc>
          <w:tcPr>
            <w:tcW w:w="1176" w:type="dxa"/>
            <w:tcBorders>
              <w:top w:val="nil"/>
            </w:tcBorders>
            <w:shd w:val="clear" w:color="auto" w:fill="auto"/>
            <w:noWrap/>
            <w:hideMark/>
          </w:tcPr>
          <w:p w:rsidR="00546A26" w:rsidRPr="00CA4713" w:rsidRDefault="00546A26" w:rsidP="004106CD">
            <w:pPr>
              <w:spacing w:after="0" w:line="240" w:lineRule="auto"/>
              <w:jc w:val="right"/>
              <w:rPr>
                <w:rFonts w:eastAsia="Times New Roman" w:cstheme="minorHAnsi"/>
                <w:color w:val="000000"/>
                <w:sz w:val="20"/>
                <w:lang w:eastAsia="en-NZ"/>
              </w:rPr>
            </w:pPr>
            <w:r w:rsidRPr="00CA4713">
              <w:rPr>
                <w:rFonts w:eastAsia="Times New Roman" w:cstheme="minorHAnsi"/>
                <w:color w:val="000000"/>
                <w:sz w:val="20"/>
                <w:lang w:eastAsia="en-NZ"/>
              </w:rPr>
              <w:t>96%</w:t>
            </w:r>
          </w:p>
        </w:tc>
        <w:tc>
          <w:tcPr>
            <w:tcW w:w="1258" w:type="dxa"/>
            <w:gridSpan w:val="5"/>
            <w:tcBorders>
              <w:top w:val="nil"/>
            </w:tcBorders>
            <w:shd w:val="clear" w:color="auto" w:fill="auto"/>
            <w:noWrap/>
            <w:hideMark/>
          </w:tcPr>
          <w:p w:rsidR="00546A26" w:rsidRPr="00CA4713" w:rsidRDefault="00546A26" w:rsidP="004106CD">
            <w:pPr>
              <w:spacing w:after="0" w:line="240" w:lineRule="auto"/>
              <w:jc w:val="right"/>
              <w:rPr>
                <w:rFonts w:eastAsia="Times New Roman" w:cstheme="minorHAnsi"/>
                <w:color w:val="000000"/>
                <w:sz w:val="20"/>
                <w:lang w:eastAsia="en-NZ"/>
              </w:rPr>
            </w:pPr>
            <w:r w:rsidRPr="00CA4713">
              <w:rPr>
                <w:rFonts w:eastAsia="Times New Roman" w:cstheme="minorHAnsi"/>
                <w:color w:val="000000"/>
                <w:sz w:val="20"/>
                <w:lang w:eastAsia="en-NZ"/>
              </w:rPr>
              <w:t>94%</w:t>
            </w:r>
          </w:p>
        </w:tc>
        <w:tc>
          <w:tcPr>
            <w:tcW w:w="1106" w:type="dxa"/>
            <w:tcBorders>
              <w:top w:val="nil"/>
            </w:tcBorders>
            <w:shd w:val="clear" w:color="000000" w:fill="D9D9D9"/>
            <w:hideMark/>
          </w:tcPr>
          <w:p w:rsidR="00546A26" w:rsidRPr="00CA4713" w:rsidRDefault="00546A26" w:rsidP="004106CD">
            <w:pPr>
              <w:spacing w:after="0" w:line="240" w:lineRule="auto"/>
              <w:jc w:val="right"/>
              <w:rPr>
                <w:rFonts w:eastAsia="Times New Roman" w:cstheme="minorHAnsi"/>
                <w:color w:val="000000"/>
                <w:sz w:val="20"/>
                <w:lang w:eastAsia="en-NZ"/>
              </w:rPr>
            </w:pPr>
            <w:r w:rsidRPr="00CA4713">
              <w:rPr>
                <w:rFonts w:eastAsia="Times New Roman" w:cstheme="minorHAnsi"/>
                <w:color w:val="000000"/>
                <w:sz w:val="20"/>
                <w:lang w:eastAsia="en-NZ"/>
              </w:rPr>
              <w:t>95%</w:t>
            </w:r>
          </w:p>
        </w:tc>
        <w:tc>
          <w:tcPr>
            <w:tcW w:w="822" w:type="dxa"/>
            <w:gridSpan w:val="5"/>
            <w:tcBorders>
              <w:top w:val="nil"/>
            </w:tcBorders>
            <w:shd w:val="clear" w:color="auto" w:fill="auto"/>
            <w:hideMark/>
          </w:tcPr>
          <w:p w:rsidR="00546A26" w:rsidRPr="00CA4713" w:rsidRDefault="00546A26" w:rsidP="004106CD">
            <w:pPr>
              <w:spacing w:after="0" w:line="240" w:lineRule="auto"/>
              <w:jc w:val="center"/>
              <w:rPr>
                <w:rFonts w:eastAsia="Times New Roman" w:cstheme="minorHAnsi"/>
                <w:color w:val="000000"/>
                <w:sz w:val="20"/>
                <w:lang w:eastAsia="en-NZ"/>
              </w:rPr>
            </w:pPr>
            <w:r w:rsidRPr="00CA4713">
              <w:rPr>
                <w:rFonts w:eastAsia="Times New Roman" w:cstheme="minorHAnsi"/>
                <w:color w:val="000000"/>
                <w:sz w:val="20"/>
                <w:lang w:eastAsia="en-NZ"/>
              </w:rPr>
              <w:t>-1%</w:t>
            </w:r>
          </w:p>
        </w:tc>
        <w:tc>
          <w:tcPr>
            <w:tcW w:w="1293" w:type="dxa"/>
            <w:gridSpan w:val="2"/>
            <w:tcBorders>
              <w:top w:val="nil"/>
            </w:tcBorders>
            <w:shd w:val="clear" w:color="auto" w:fill="auto"/>
            <w:hideMark/>
          </w:tcPr>
          <w:p w:rsidR="00546A26" w:rsidRPr="00CA4713" w:rsidRDefault="009C3D9F" w:rsidP="009C3D9F">
            <w:pPr>
              <w:spacing w:after="0" w:line="240" w:lineRule="auto"/>
              <w:jc w:val="right"/>
              <w:rPr>
                <w:rFonts w:eastAsia="Times New Roman" w:cstheme="minorHAnsi"/>
                <w:color w:val="000000"/>
                <w:sz w:val="20"/>
                <w:lang w:eastAsia="en-NZ"/>
              </w:rPr>
            </w:pPr>
            <w:r>
              <w:rPr>
                <w:rFonts w:eastAsia="Times New Roman" w:cstheme="minorHAnsi"/>
                <w:color w:val="000000"/>
                <w:sz w:val="20"/>
                <w:lang w:eastAsia="en-NZ"/>
              </w:rPr>
              <w:t>Within 10%</w:t>
            </w:r>
          </w:p>
        </w:tc>
        <w:tc>
          <w:tcPr>
            <w:tcW w:w="4252" w:type="dxa"/>
            <w:tcBorders>
              <w:top w:val="nil"/>
            </w:tcBorders>
            <w:shd w:val="clear" w:color="auto" w:fill="auto"/>
            <w:hideMark/>
          </w:tcPr>
          <w:p w:rsidR="00546A26" w:rsidRPr="00CA4713" w:rsidRDefault="00546A26" w:rsidP="004106CD">
            <w:pPr>
              <w:spacing w:after="0" w:line="240" w:lineRule="auto"/>
              <w:jc w:val="right"/>
              <w:rPr>
                <w:rFonts w:eastAsia="Times New Roman" w:cstheme="minorHAnsi"/>
                <w:color w:val="000000"/>
                <w:sz w:val="20"/>
                <w:lang w:eastAsia="en-NZ"/>
              </w:rPr>
            </w:pPr>
          </w:p>
        </w:tc>
      </w:tr>
    </w:tbl>
    <w:p w:rsidR="00135A2C" w:rsidRPr="00D5126A" w:rsidRDefault="00135A2C" w:rsidP="00066652"/>
    <w:p w:rsidR="00135A2C" w:rsidRPr="00D5126A" w:rsidRDefault="00135A2C" w:rsidP="00135A2C">
      <w:r w:rsidRPr="00D5126A">
        <w:br w:type="page"/>
      </w:r>
    </w:p>
    <w:p w:rsidR="00066652" w:rsidRPr="009C3D9F" w:rsidRDefault="00135A2C" w:rsidP="00135A2C">
      <w:pPr>
        <w:pStyle w:val="Heading4"/>
        <w:rPr>
          <w:color w:val="009999"/>
        </w:rPr>
      </w:pPr>
      <w:r w:rsidRPr="009C3D9F">
        <w:rPr>
          <w:color w:val="009999"/>
        </w:rPr>
        <w:lastRenderedPageBreak/>
        <w:t xml:space="preserve">Supplementary Performance </w:t>
      </w:r>
      <w:r w:rsidR="00E445F8" w:rsidRPr="009C3D9F">
        <w:rPr>
          <w:color w:val="009999"/>
        </w:rPr>
        <w:t>tables</w:t>
      </w:r>
    </w:p>
    <w:p w:rsidR="00E445F8" w:rsidRDefault="00E445F8" w:rsidP="002C7BF8">
      <w:pPr>
        <w:pStyle w:val="ListParagraph"/>
        <w:numPr>
          <w:ilvl w:val="0"/>
          <w:numId w:val="63"/>
        </w:numPr>
        <w:spacing w:before="240"/>
      </w:pPr>
      <w:r w:rsidRPr="00E445F8">
        <w:rPr>
          <w:b/>
          <w:bCs/>
        </w:rPr>
        <w:t xml:space="preserve">Percentage of residents who use Council pools, recreation centres, libraries or other leisure facilities - </w:t>
      </w:r>
      <w:r>
        <w:t xml:space="preserve">Question: </w:t>
      </w:r>
      <w:r w:rsidRPr="00D73845">
        <w:t>Have you used any of the following Wellington City Council recreation facilities in the last 12 months?</w:t>
      </w:r>
      <w:r>
        <w:t xml:space="preserve"> </w:t>
      </w:r>
    </w:p>
    <w:tbl>
      <w:tblPr>
        <w:tblStyle w:val="TableGrid"/>
        <w:tblW w:w="0" w:type="auto"/>
        <w:tblBorders>
          <w:top w:val="single" w:sz="4" w:space="0" w:color="215868" w:themeColor="accent5" w:themeShade="80"/>
          <w:left w:val="none" w:sz="0" w:space="0" w:color="auto"/>
          <w:bottom w:val="single" w:sz="4" w:space="0" w:color="215868" w:themeColor="accent5" w:themeShade="80"/>
          <w:right w:val="none" w:sz="0" w:space="0" w:color="auto"/>
          <w:insideH w:val="single" w:sz="4" w:space="0" w:color="215868" w:themeColor="accent5" w:themeShade="80"/>
          <w:insideV w:val="single" w:sz="4" w:space="0" w:color="215868" w:themeColor="accent5" w:themeShade="80"/>
        </w:tblBorders>
        <w:tblLook w:val="04A0" w:firstRow="1" w:lastRow="0" w:firstColumn="1" w:lastColumn="0" w:noHBand="0" w:noVBand="1"/>
      </w:tblPr>
      <w:tblGrid>
        <w:gridCol w:w="5287"/>
        <w:gridCol w:w="834"/>
        <w:gridCol w:w="1427"/>
        <w:gridCol w:w="1427"/>
        <w:gridCol w:w="1427"/>
        <w:gridCol w:w="1353"/>
      </w:tblGrid>
      <w:tr w:rsidR="00E445F8" w:rsidRPr="00D73845" w:rsidTr="00E445F8">
        <w:trPr>
          <w:trHeight w:val="276"/>
        </w:trPr>
        <w:tc>
          <w:tcPr>
            <w:tcW w:w="5287" w:type="dxa"/>
            <w:shd w:val="clear" w:color="auto" w:fill="009999"/>
            <w:noWrap/>
            <w:hideMark/>
          </w:tcPr>
          <w:p w:rsidR="00E445F8" w:rsidRPr="00714F47" w:rsidRDefault="00E445F8" w:rsidP="00563C30">
            <w:pPr>
              <w:rPr>
                <w:b/>
                <w:bCs/>
                <w:color w:val="FFFFFF" w:themeColor="background1"/>
              </w:rPr>
            </w:pPr>
          </w:p>
        </w:tc>
        <w:tc>
          <w:tcPr>
            <w:tcW w:w="834" w:type="dxa"/>
            <w:tcBorders>
              <w:bottom w:val="nil"/>
              <w:right w:val="single" w:sz="4" w:space="0" w:color="FFFFFF" w:themeColor="background1"/>
            </w:tcBorders>
            <w:shd w:val="clear" w:color="auto" w:fill="009999"/>
            <w:noWrap/>
            <w:hideMark/>
          </w:tcPr>
          <w:p w:rsidR="00E445F8" w:rsidRPr="00714F47" w:rsidRDefault="00E445F8" w:rsidP="009675C1">
            <w:pPr>
              <w:jc w:val="center"/>
              <w:rPr>
                <w:b/>
                <w:bCs/>
                <w:color w:val="FFFFFF" w:themeColor="background1"/>
              </w:rPr>
            </w:pPr>
            <w:r w:rsidRPr="00714F47">
              <w:rPr>
                <w:b/>
                <w:bCs/>
                <w:color w:val="FFFFFF" w:themeColor="background1"/>
              </w:rPr>
              <w:t>2015</w:t>
            </w:r>
          </w:p>
        </w:tc>
        <w:tc>
          <w:tcPr>
            <w:tcW w:w="1427" w:type="dxa"/>
            <w:tcBorders>
              <w:left w:val="single" w:sz="4" w:space="0" w:color="FFFFFF" w:themeColor="background1"/>
              <w:bottom w:val="nil"/>
              <w:right w:val="single" w:sz="4" w:space="0" w:color="FFFFFF" w:themeColor="background1"/>
            </w:tcBorders>
            <w:shd w:val="clear" w:color="auto" w:fill="009999"/>
            <w:noWrap/>
            <w:hideMark/>
          </w:tcPr>
          <w:p w:rsidR="00E445F8" w:rsidRPr="00714F47" w:rsidRDefault="00E445F8" w:rsidP="009675C1">
            <w:pPr>
              <w:jc w:val="center"/>
              <w:rPr>
                <w:b/>
                <w:bCs/>
                <w:color w:val="FFFFFF" w:themeColor="background1"/>
              </w:rPr>
            </w:pPr>
            <w:r w:rsidRPr="00714F47">
              <w:rPr>
                <w:b/>
                <w:bCs/>
                <w:color w:val="FFFFFF" w:themeColor="background1"/>
              </w:rPr>
              <w:t>2016</w:t>
            </w:r>
          </w:p>
        </w:tc>
        <w:tc>
          <w:tcPr>
            <w:tcW w:w="1427" w:type="dxa"/>
            <w:tcBorders>
              <w:left w:val="single" w:sz="4" w:space="0" w:color="FFFFFF" w:themeColor="background1"/>
              <w:bottom w:val="nil"/>
              <w:right w:val="single" w:sz="4" w:space="0" w:color="FFFFFF" w:themeColor="background1"/>
            </w:tcBorders>
            <w:shd w:val="clear" w:color="auto" w:fill="009999"/>
            <w:noWrap/>
            <w:hideMark/>
          </w:tcPr>
          <w:p w:rsidR="00E445F8" w:rsidRPr="00714F47" w:rsidRDefault="00E445F8" w:rsidP="009675C1">
            <w:pPr>
              <w:jc w:val="center"/>
              <w:rPr>
                <w:b/>
                <w:bCs/>
                <w:color w:val="FFFFFF" w:themeColor="background1"/>
              </w:rPr>
            </w:pPr>
            <w:r w:rsidRPr="00714F47">
              <w:rPr>
                <w:b/>
                <w:bCs/>
                <w:color w:val="FFFFFF" w:themeColor="background1"/>
              </w:rPr>
              <w:t>2017</w:t>
            </w:r>
          </w:p>
        </w:tc>
        <w:tc>
          <w:tcPr>
            <w:tcW w:w="1427" w:type="dxa"/>
            <w:tcBorders>
              <w:left w:val="single" w:sz="4" w:space="0" w:color="FFFFFF" w:themeColor="background1"/>
              <w:bottom w:val="nil"/>
              <w:right w:val="single" w:sz="4" w:space="0" w:color="FFFFFF" w:themeColor="background1"/>
            </w:tcBorders>
            <w:shd w:val="clear" w:color="auto" w:fill="009999"/>
            <w:noWrap/>
            <w:hideMark/>
          </w:tcPr>
          <w:p w:rsidR="00E445F8" w:rsidRPr="00714F47" w:rsidRDefault="00E445F8" w:rsidP="009675C1">
            <w:pPr>
              <w:jc w:val="center"/>
              <w:rPr>
                <w:b/>
                <w:bCs/>
                <w:color w:val="FFFFFF" w:themeColor="background1"/>
              </w:rPr>
            </w:pPr>
            <w:r w:rsidRPr="00714F47">
              <w:rPr>
                <w:b/>
                <w:bCs/>
                <w:color w:val="FFFFFF" w:themeColor="background1"/>
              </w:rPr>
              <w:t>2018</w:t>
            </w:r>
          </w:p>
        </w:tc>
        <w:tc>
          <w:tcPr>
            <w:tcW w:w="1353" w:type="dxa"/>
            <w:tcBorders>
              <w:left w:val="single" w:sz="4" w:space="0" w:color="FFFFFF" w:themeColor="background1"/>
              <w:bottom w:val="nil"/>
            </w:tcBorders>
            <w:shd w:val="clear" w:color="auto" w:fill="009999"/>
            <w:noWrap/>
          </w:tcPr>
          <w:p w:rsidR="00E445F8" w:rsidRPr="00714F47" w:rsidRDefault="00E445F8" w:rsidP="009675C1">
            <w:pPr>
              <w:jc w:val="center"/>
              <w:rPr>
                <w:b/>
                <w:bCs/>
                <w:color w:val="FFFFFF" w:themeColor="background1"/>
              </w:rPr>
            </w:pPr>
            <w:r w:rsidRPr="00714F47">
              <w:rPr>
                <w:b/>
                <w:bCs/>
                <w:color w:val="FFFFFF" w:themeColor="background1"/>
              </w:rPr>
              <w:t>2019</w:t>
            </w:r>
          </w:p>
        </w:tc>
      </w:tr>
      <w:tr w:rsidR="00E445F8" w:rsidRPr="00D73845" w:rsidTr="00563C30">
        <w:trPr>
          <w:trHeight w:val="288"/>
        </w:trPr>
        <w:tc>
          <w:tcPr>
            <w:tcW w:w="5287" w:type="dxa"/>
            <w:noWrap/>
            <w:hideMark/>
          </w:tcPr>
          <w:p w:rsidR="00E445F8" w:rsidRPr="00D73845" w:rsidRDefault="00E445F8" w:rsidP="00563C30">
            <w:r w:rsidRPr="00D73845">
              <w:t xml:space="preserve">A Council Recreation Centre </w:t>
            </w:r>
          </w:p>
        </w:tc>
        <w:tc>
          <w:tcPr>
            <w:tcW w:w="834" w:type="dxa"/>
            <w:noWrap/>
            <w:hideMark/>
          </w:tcPr>
          <w:p w:rsidR="00E445F8" w:rsidRPr="00D73845" w:rsidRDefault="00E445F8" w:rsidP="009675C1">
            <w:pPr>
              <w:jc w:val="center"/>
            </w:pPr>
            <w:r w:rsidRPr="00D73845">
              <w:t>24%</w:t>
            </w:r>
          </w:p>
        </w:tc>
        <w:tc>
          <w:tcPr>
            <w:tcW w:w="1427" w:type="dxa"/>
            <w:noWrap/>
            <w:hideMark/>
          </w:tcPr>
          <w:p w:rsidR="00E445F8" w:rsidRPr="00D73845" w:rsidRDefault="00E445F8" w:rsidP="009675C1">
            <w:pPr>
              <w:jc w:val="center"/>
            </w:pPr>
            <w:r w:rsidRPr="00D73845">
              <w:t>22%</w:t>
            </w:r>
          </w:p>
        </w:tc>
        <w:tc>
          <w:tcPr>
            <w:tcW w:w="1427" w:type="dxa"/>
            <w:noWrap/>
            <w:hideMark/>
          </w:tcPr>
          <w:p w:rsidR="00E445F8" w:rsidRPr="00D73845" w:rsidRDefault="00E445F8" w:rsidP="009675C1">
            <w:pPr>
              <w:jc w:val="center"/>
            </w:pPr>
            <w:r w:rsidRPr="00D73845">
              <w:t>17%</w:t>
            </w:r>
          </w:p>
        </w:tc>
        <w:tc>
          <w:tcPr>
            <w:tcW w:w="1427" w:type="dxa"/>
            <w:noWrap/>
            <w:hideMark/>
          </w:tcPr>
          <w:p w:rsidR="00E445F8" w:rsidRPr="00D73845" w:rsidRDefault="00E445F8" w:rsidP="009675C1">
            <w:pPr>
              <w:jc w:val="center"/>
            </w:pPr>
            <w:r w:rsidRPr="00D73845">
              <w:t>28%</w:t>
            </w:r>
          </w:p>
        </w:tc>
        <w:tc>
          <w:tcPr>
            <w:tcW w:w="1353" w:type="dxa"/>
            <w:noWrap/>
            <w:hideMark/>
          </w:tcPr>
          <w:p w:rsidR="00E445F8" w:rsidRPr="00D73845" w:rsidRDefault="00E445F8" w:rsidP="009675C1">
            <w:pPr>
              <w:jc w:val="center"/>
            </w:pPr>
          </w:p>
        </w:tc>
      </w:tr>
      <w:tr w:rsidR="00E445F8" w:rsidRPr="00D73845" w:rsidTr="00563C30">
        <w:trPr>
          <w:trHeight w:val="288"/>
        </w:trPr>
        <w:tc>
          <w:tcPr>
            <w:tcW w:w="5287" w:type="dxa"/>
            <w:noWrap/>
            <w:hideMark/>
          </w:tcPr>
          <w:p w:rsidR="00E445F8" w:rsidRPr="00D73845" w:rsidRDefault="00E445F8" w:rsidP="00563C30">
            <w:r w:rsidRPr="00D73845">
              <w:t xml:space="preserve">ASB Centre  </w:t>
            </w:r>
          </w:p>
        </w:tc>
        <w:tc>
          <w:tcPr>
            <w:tcW w:w="834" w:type="dxa"/>
            <w:noWrap/>
            <w:hideMark/>
          </w:tcPr>
          <w:p w:rsidR="00E445F8" w:rsidRPr="00D73845" w:rsidRDefault="00E445F8" w:rsidP="009675C1">
            <w:pPr>
              <w:jc w:val="center"/>
            </w:pPr>
            <w:r w:rsidRPr="00D73845">
              <w:t>18%</w:t>
            </w:r>
          </w:p>
        </w:tc>
        <w:tc>
          <w:tcPr>
            <w:tcW w:w="1427" w:type="dxa"/>
            <w:noWrap/>
            <w:hideMark/>
          </w:tcPr>
          <w:p w:rsidR="00E445F8" w:rsidRPr="00D73845" w:rsidRDefault="00E445F8" w:rsidP="009675C1">
            <w:pPr>
              <w:jc w:val="center"/>
            </w:pPr>
            <w:r w:rsidRPr="00D73845">
              <w:t>18%</w:t>
            </w:r>
          </w:p>
        </w:tc>
        <w:tc>
          <w:tcPr>
            <w:tcW w:w="1427" w:type="dxa"/>
            <w:noWrap/>
            <w:hideMark/>
          </w:tcPr>
          <w:p w:rsidR="00E445F8" w:rsidRPr="00D73845" w:rsidRDefault="00E445F8" w:rsidP="009675C1">
            <w:pPr>
              <w:jc w:val="center"/>
            </w:pPr>
            <w:r w:rsidRPr="00D73845">
              <w:t>16%</w:t>
            </w:r>
          </w:p>
        </w:tc>
        <w:tc>
          <w:tcPr>
            <w:tcW w:w="1427" w:type="dxa"/>
            <w:noWrap/>
            <w:hideMark/>
          </w:tcPr>
          <w:p w:rsidR="00E445F8" w:rsidRPr="00D73845" w:rsidRDefault="00E445F8" w:rsidP="009675C1">
            <w:pPr>
              <w:jc w:val="center"/>
            </w:pPr>
            <w:r w:rsidRPr="00D73845">
              <w:t>22%</w:t>
            </w:r>
          </w:p>
        </w:tc>
        <w:tc>
          <w:tcPr>
            <w:tcW w:w="1353" w:type="dxa"/>
            <w:noWrap/>
            <w:hideMark/>
          </w:tcPr>
          <w:p w:rsidR="00E445F8" w:rsidRPr="00D73845" w:rsidRDefault="00E445F8" w:rsidP="009675C1">
            <w:pPr>
              <w:jc w:val="center"/>
            </w:pPr>
          </w:p>
        </w:tc>
      </w:tr>
      <w:tr w:rsidR="00E445F8" w:rsidRPr="00D73845" w:rsidTr="00563C30">
        <w:trPr>
          <w:trHeight w:val="288"/>
        </w:trPr>
        <w:tc>
          <w:tcPr>
            <w:tcW w:w="5287" w:type="dxa"/>
            <w:noWrap/>
            <w:hideMark/>
          </w:tcPr>
          <w:p w:rsidR="00E445F8" w:rsidRPr="00D73845" w:rsidRDefault="00E445F8" w:rsidP="00563C30">
            <w:r w:rsidRPr="00D73845">
              <w:t xml:space="preserve">A Council Swimming Pool </w:t>
            </w:r>
          </w:p>
        </w:tc>
        <w:tc>
          <w:tcPr>
            <w:tcW w:w="834" w:type="dxa"/>
            <w:noWrap/>
            <w:hideMark/>
          </w:tcPr>
          <w:p w:rsidR="00E445F8" w:rsidRPr="00D73845" w:rsidRDefault="00E445F8" w:rsidP="009675C1">
            <w:pPr>
              <w:jc w:val="center"/>
            </w:pPr>
            <w:r w:rsidRPr="00D73845">
              <w:t>42%</w:t>
            </w:r>
          </w:p>
        </w:tc>
        <w:tc>
          <w:tcPr>
            <w:tcW w:w="1427" w:type="dxa"/>
            <w:noWrap/>
            <w:hideMark/>
          </w:tcPr>
          <w:p w:rsidR="00E445F8" w:rsidRPr="00D73845" w:rsidRDefault="00E445F8" w:rsidP="009675C1">
            <w:pPr>
              <w:jc w:val="center"/>
            </w:pPr>
            <w:r w:rsidRPr="00D73845">
              <w:t>44%</w:t>
            </w:r>
          </w:p>
        </w:tc>
        <w:tc>
          <w:tcPr>
            <w:tcW w:w="1427" w:type="dxa"/>
            <w:noWrap/>
            <w:hideMark/>
          </w:tcPr>
          <w:p w:rsidR="00E445F8" w:rsidRPr="00D73845" w:rsidRDefault="00E445F8" w:rsidP="009675C1">
            <w:pPr>
              <w:jc w:val="center"/>
            </w:pPr>
            <w:r w:rsidRPr="00D73845">
              <w:t>35%</w:t>
            </w:r>
          </w:p>
        </w:tc>
        <w:tc>
          <w:tcPr>
            <w:tcW w:w="1427" w:type="dxa"/>
            <w:noWrap/>
            <w:hideMark/>
          </w:tcPr>
          <w:p w:rsidR="00E445F8" w:rsidRPr="00D73845" w:rsidRDefault="00E445F8" w:rsidP="009675C1">
            <w:pPr>
              <w:jc w:val="center"/>
            </w:pPr>
            <w:r w:rsidRPr="00D73845">
              <w:t>44%</w:t>
            </w:r>
          </w:p>
        </w:tc>
        <w:tc>
          <w:tcPr>
            <w:tcW w:w="1353" w:type="dxa"/>
            <w:noWrap/>
            <w:hideMark/>
          </w:tcPr>
          <w:p w:rsidR="00E445F8" w:rsidRPr="00D73845" w:rsidRDefault="00E445F8" w:rsidP="009675C1">
            <w:pPr>
              <w:jc w:val="center"/>
            </w:pPr>
          </w:p>
        </w:tc>
      </w:tr>
      <w:tr w:rsidR="00E445F8" w:rsidRPr="00D73845" w:rsidTr="00563C30">
        <w:trPr>
          <w:trHeight w:val="288"/>
        </w:trPr>
        <w:tc>
          <w:tcPr>
            <w:tcW w:w="5287" w:type="dxa"/>
            <w:noWrap/>
            <w:hideMark/>
          </w:tcPr>
          <w:p w:rsidR="00E445F8" w:rsidRPr="00D73845" w:rsidRDefault="00E445F8" w:rsidP="00563C30">
            <w:r w:rsidRPr="00D73845">
              <w:t xml:space="preserve">None of these </w:t>
            </w:r>
          </w:p>
        </w:tc>
        <w:tc>
          <w:tcPr>
            <w:tcW w:w="834" w:type="dxa"/>
            <w:noWrap/>
            <w:hideMark/>
          </w:tcPr>
          <w:p w:rsidR="00E445F8" w:rsidRPr="00D73845" w:rsidRDefault="00E445F8" w:rsidP="009675C1">
            <w:pPr>
              <w:jc w:val="center"/>
            </w:pPr>
            <w:r w:rsidRPr="00D73845">
              <w:t>44%</w:t>
            </w:r>
          </w:p>
        </w:tc>
        <w:tc>
          <w:tcPr>
            <w:tcW w:w="1427" w:type="dxa"/>
            <w:noWrap/>
            <w:hideMark/>
          </w:tcPr>
          <w:p w:rsidR="00E445F8" w:rsidRPr="00D73845" w:rsidRDefault="00E445F8" w:rsidP="009675C1">
            <w:pPr>
              <w:jc w:val="center"/>
            </w:pPr>
            <w:r w:rsidRPr="00D73845">
              <w:t>44%</w:t>
            </w:r>
          </w:p>
        </w:tc>
        <w:tc>
          <w:tcPr>
            <w:tcW w:w="1427" w:type="dxa"/>
            <w:noWrap/>
            <w:hideMark/>
          </w:tcPr>
          <w:p w:rsidR="00E445F8" w:rsidRPr="00D73845" w:rsidRDefault="00E445F8" w:rsidP="009675C1">
            <w:pPr>
              <w:jc w:val="center"/>
            </w:pPr>
            <w:r w:rsidRPr="00D73845">
              <w:t>53%</w:t>
            </w:r>
          </w:p>
        </w:tc>
        <w:tc>
          <w:tcPr>
            <w:tcW w:w="1427" w:type="dxa"/>
            <w:noWrap/>
            <w:hideMark/>
          </w:tcPr>
          <w:p w:rsidR="00E445F8" w:rsidRPr="00D73845" w:rsidRDefault="00E445F8" w:rsidP="009675C1">
            <w:pPr>
              <w:jc w:val="center"/>
            </w:pPr>
            <w:r w:rsidRPr="00D73845">
              <w:t>42%</w:t>
            </w:r>
          </w:p>
        </w:tc>
        <w:tc>
          <w:tcPr>
            <w:tcW w:w="1353" w:type="dxa"/>
            <w:noWrap/>
            <w:hideMark/>
          </w:tcPr>
          <w:p w:rsidR="00E445F8" w:rsidRPr="00D73845" w:rsidRDefault="00E445F8" w:rsidP="009675C1">
            <w:pPr>
              <w:jc w:val="center"/>
            </w:pPr>
          </w:p>
        </w:tc>
      </w:tr>
      <w:tr w:rsidR="00E445F8" w:rsidRPr="00E445F8" w:rsidTr="00563C30">
        <w:trPr>
          <w:trHeight w:val="276"/>
        </w:trPr>
        <w:tc>
          <w:tcPr>
            <w:tcW w:w="5287" w:type="dxa"/>
            <w:noWrap/>
            <w:hideMark/>
          </w:tcPr>
          <w:p w:rsidR="00E445F8" w:rsidRPr="00E445F8" w:rsidRDefault="00E445F8" w:rsidP="00290E5F">
            <w:pPr>
              <w:rPr>
                <w:i/>
              </w:rPr>
            </w:pPr>
            <w:r w:rsidRPr="00E445F8">
              <w:rPr>
                <w:i/>
              </w:rPr>
              <w:t xml:space="preserve">Source: Wellington City Council </w:t>
            </w:r>
            <w:r w:rsidR="00290E5F">
              <w:rPr>
                <w:i/>
              </w:rPr>
              <w:t>RMS</w:t>
            </w:r>
            <w:r w:rsidRPr="00E445F8">
              <w:rPr>
                <w:i/>
              </w:rPr>
              <w:t xml:space="preserve"> </w:t>
            </w:r>
          </w:p>
        </w:tc>
        <w:tc>
          <w:tcPr>
            <w:tcW w:w="834" w:type="dxa"/>
            <w:noWrap/>
            <w:hideMark/>
          </w:tcPr>
          <w:p w:rsidR="00E445F8" w:rsidRPr="00E445F8" w:rsidRDefault="00E445F8" w:rsidP="009675C1">
            <w:pPr>
              <w:jc w:val="center"/>
              <w:rPr>
                <w:i/>
              </w:rPr>
            </w:pPr>
            <w:r w:rsidRPr="00E445F8">
              <w:rPr>
                <w:i/>
              </w:rPr>
              <w:t>n=760</w:t>
            </w:r>
          </w:p>
        </w:tc>
        <w:tc>
          <w:tcPr>
            <w:tcW w:w="1427" w:type="dxa"/>
            <w:noWrap/>
            <w:hideMark/>
          </w:tcPr>
          <w:p w:rsidR="00E445F8" w:rsidRPr="00E445F8" w:rsidRDefault="00E445F8" w:rsidP="009675C1">
            <w:pPr>
              <w:jc w:val="center"/>
              <w:rPr>
                <w:i/>
              </w:rPr>
            </w:pPr>
            <w:r w:rsidRPr="00E445F8">
              <w:rPr>
                <w:i/>
              </w:rPr>
              <w:t>n=994</w:t>
            </w:r>
          </w:p>
        </w:tc>
        <w:tc>
          <w:tcPr>
            <w:tcW w:w="1427" w:type="dxa"/>
            <w:noWrap/>
            <w:hideMark/>
          </w:tcPr>
          <w:p w:rsidR="00E445F8" w:rsidRPr="00E445F8" w:rsidRDefault="00E445F8" w:rsidP="009675C1">
            <w:pPr>
              <w:jc w:val="center"/>
              <w:rPr>
                <w:i/>
              </w:rPr>
            </w:pPr>
            <w:r w:rsidRPr="00E445F8">
              <w:rPr>
                <w:i/>
              </w:rPr>
              <w:t>n=766</w:t>
            </w:r>
          </w:p>
        </w:tc>
        <w:tc>
          <w:tcPr>
            <w:tcW w:w="1427" w:type="dxa"/>
            <w:noWrap/>
            <w:hideMark/>
          </w:tcPr>
          <w:p w:rsidR="00E445F8" w:rsidRPr="00E445F8" w:rsidRDefault="00E445F8" w:rsidP="009675C1">
            <w:pPr>
              <w:jc w:val="center"/>
              <w:rPr>
                <w:i/>
              </w:rPr>
            </w:pPr>
            <w:r w:rsidRPr="00E445F8">
              <w:rPr>
                <w:i/>
              </w:rPr>
              <w:t>n=988</w:t>
            </w:r>
          </w:p>
        </w:tc>
        <w:tc>
          <w:tcPr>
            <w:tcW w:w="1353" w:type="dxa"/>
            <w:noWrap/>
            <w:hideMark/>
          </w:tcPr>
          <w:p w:rsidR="00E445F8" w:rsidRPr="00E445F8" w:rsidRDefault="00E445F8" w:rsidP="009675C1">
            <w:pPr>
              <w:jc w:val="center"/>
              <w:rPr>
                <w:i/>
              </w:rPr>
            </w:pPr>
          </w:p>
        </w:tc>
      </w:tr>
      <w:tr w:rsidR="00E445F8" w:rsidRPr="00D73845" w:rsidTr="00563C30">
        <w:trPr>
          <w:trHeight w:val="276"/>
        </w:trPr>
        <w:tc>
          <w:tcPr>
            <w:tcW w:w="10402" w:type="dxa"/>
            <w:gridSpan w:val="5"/>
            <w:noWrap/>
            <w:hideMark/>
          </w:tcPr>
          <w:p w:rsidR="00E445F8" w:rsidRPr="00D73845" w:rsidRDefault="00E445F8" w:rsidP="00E445F8">
            <w:pPr>
              <w:spacing w:before="240"/>
            </w:pPr>
            <w:r>
              <w:rPr>
                <w:b/>
                <w:bCs/>
              </w:rPr>
              <w:t>I</w:t>
            </w:r>
            <w:r w:rsidRPr="00D73845">
              <w:rPr>
                <w:b/>
                <w:bCs/>
              </w:rPr>
              <w:t>n 2019</w:t>
            </w:r>
            <w:r>
              <w:rPr>
                <w:b/>
                <w:bCs/>
              </w:rPr>
              <w:t xml:space="preserve"> the question changed to: </w:t>
            </w:r>
            <w:r w:rsidRPr="00D73845">
              <w:t>Have you used any of the following WCC recreation facilities in the past 12 months? Please select all that apply.</w:t>
            </w:r>
            <w:r>
              <w:t xml:space="preserve"> </w:t>
            </w:r>
            <w:r>
              <w:br/>
            </w:r>
            <w:r w:rsidRPr="00D73845">
              <w:t>The result published (39%) is all residents who did NOT state "none of these" to use of</w:t>
            </w:r>
            <w:r>
              <w:t xml:space="preserve"> </w:t>
            </w:r>
            <w:r w:rsidR="00290E5F">
              <w:t xml:space="preserve">the </w:t>
            </w:r>
            <w:r w:rsidRPr="00D73845">
              <w:t>facilities in the past 12 months.</w:t>
            </w:r>
          </w:p>
        </w:tc>
        <w:tc>
          <w:tcPr>
            <w:tcW w:w="1353" w:type="dxa"/>
            <w:noWrap/>
            <w:hideMark/>
          </w:tcPr>
          <w:p w:rsidR="00E445F8" w:rsidRPr="00D73845" w:rsidRDefault="00E445F8" w:rsidP="00E445F8">
            <w:pPr>
              <w:spacing w:before="240"/>
              <w:jc w:val="center"/>
            </w:pPr>
            <w:r w:rsidRPr="00D73845">
              <w:t>39%</w:t>
            </w:r>
          </w:p>
        </w:tc>
      </w:tr>
    </w:tbl>
    <w:p w:rsidR="00E445F8" w:rsidRDefault="00E445F8" w:rsidP="00E445F8">
      <w:pPr>
        <w:spacing w:after="0"/>
      </w:pPr>
    </w:p>
    <w:p w:rsidR="00E445F8" w:rsidRDefault="00E445F8" w:rsidP="002C7BF8">
      <w:pPr>
        <w:pStyle w:val="ListParagraph"/>
        <w:numPr>
          <w:ilvl w:val="1"/>
          <w:numId w:val="63"/>
        </w:numPr>
      </w:pPr>
      <w:r w:rsidRPr="00E445F8">
        <w:rPr>
          <w:b/>
        </w:rPr>
        <w:t>Have you used any of the following WCC pools in the past 12 months? Please select all that apply.</w:t>
      </w:r>
    </w:p>
    <w:tbl>
      <w:tblPr>
        <w:tblStyle w:val="TableGrid"/>
        <w:tblW w:w="0" w:type="auto"/>
        <w:tblBorders>
          <w:top w:val="single" w:sz="4" w:space="0" w:color="215868" w:themeColor="accent5" w:themeShade="80"/>
          <w:left w:val="none" w:sz="0" w:space="0" w:color="auto"/>
          <w:bottom w:val="single" w:sz="4" w:space="0" w:color="215868" w:themeColor="accent5" w:themeShade="80"/>
          <w:right w:val="none" w:sz="0" w:space="0" w:color="auto"/>
          <w:insideH w:val="single" w:sz="4" w:space="0" w:color="31849B" w:themeColor="accent5" w:themeShade="BF"/>
          <w:insideV w:val="single" w:sz="4" w:space="0" w:color="215868" w:themeColor="accent5" w:themeShade="80"/>
        </w:tblBorders>
        <w:tblLook w:val="04A0" w:firstRow="1" w:lastRow="0" w:firstColumn="1" w:lastColumn="0" w:noHBand="0" w:noVBand="1"/>
      </w:tblPr>
      <w:tblGrid>
        <w:gridCol w:w="10402"/>
        <w:gridCol w:w="1353"/>
      </w:tblGrid>
      <w:tr w:rsidR="00E445F8" w:rsidRPr="00D73845" w:rsidTr="00E445F8">
        <w:trPr>
          <w:trHeight w:val="276"/>
        </w:trPr>
        <w:tc>
          <w:tcPr>
            <w:tcW w:w="10402" w:type="dxa"/>
            <w:vMerge w:val="restart"/>
            <w:noWrap/>
          </w:tcPr>
          <w:p w:rsidR="00E445F8" w:rsidRPr="00D73845" w:rsidRDefault="00E445F8" w:rsidP="00563C30">
            <w:r>
              <w:t>The result</w:t>
            </w:r>
            <w:r w:rsidRPr="00D73845">
              <w:t xml:space="preserve"> (42%) is all residents who did NOT state "none of these" to use of pools in the past 12 months.</w:t>
            </w:r>
          </w:p>
        </w:tc>
        <w:tc>
          <w:tcPr>
            <w:tcW w:w="1353" w:type="dxa"/>
            <w:shd w:val="clear" w:color="auto" w:fill="009999"/>
            <w:noWrap/>
          </w:tcPr>
          <w:p w:rsidR="00E445F8" w:rsidRPr="00D73845" w:rsidRDefault="00E445F8" w:rsidP="009675C1">
            <w:pPr>
              <w:jc w:val="center"/>
            </w:pPr>
            <w:r w:rsidRPr="00714F47">
              <w:rPr>
                <w:b/>
                <w:bCs/>
                <w:color w:val="FFFFFF" w:themeColor="background1"/>
              </w:rPr>
              <w:t>2019</w:t>
            </w:r>
          </w:p>
        </w:tc>
      </w:tr>
      <w:tr w:rsidR="00E445F8" w:rsidRPr="00D73845" w:rsidTr="00563C30">
        <w:trPr>
          <w:trHeight w:val="276"/>
        </w:trPr>
        <w:tc>
          <w:tcPr>
            <w:tcW w:w="10402" w:type="dxa"/>
            <w:vMerge/>
            <w:noWrap/>
            <w:hideMark/>
          </w:tcPr>
          <w:p w:rsidR="00E445F8" w:rsidRPr="00D73845" w:rsidRDefault="00E445F8" w:rsidP="00563C30"/>
        </w:tc>
        <w:tc>
          <w:tcPr>
            <w:tcW w:w="1353" w:type="dxa"/>
            <w:noWrap/>
            <w:hideMark/>
          </w:tcPr>
          <w:p w:rsidR="00E445F8" w:rsidRPr="00D73845" w:rsidRDefault="00E445F8" w:rsidP="009675C1">
            <w:pPr>
              <w:jc w:val="center"/>
            </w:pPr>
            <w:r w:rsidRPr="00D73845">
              <w:t>42%</w:t>
            </w:r>
          </w:p>
        </w:tc>
      </w:tr>
    </w:tbl>
    <w:p w:rsidR="00E445F8" w:rsidRDefault="00E445F8" w:rsidP="002C7BF8">
      <w:pPr>
        <w:pStyle w:val="ListParagraph"/>
        <w:numPr>
          <w:ilvl w:val="1"/>
          <w:numId w:val="63"/>
        </w:numPr>
        <w:spacing w:before="240"/>
      </w:pPr>
      <w:r w:rsidRPr="00E445F8">
        <w:rPr>
          <w:b/>
        </w:rPr>
        <w:t>Have you used any of the following Wellington City Council community facilities in the last 12 months?</w:t>
      </w:r>
    </w:p>
    <w:tbl>
      <w:tblPr>
        <w:tblStyle w:val="TableGrid"/>
        <w:tblW w:w="0" w:type="auto"/>
        <w:tblBorders>
          <w:top w:val="single" w:sz="4" w:space="0" w:color="215868" w:themeColor="accent5" w:themeShade="80"/>
          <w:left w:val="none" w:sz="0" w:space="0" w:color="auto"/>
          <w:bottom w:val="single" w:sz="4" w:space="0" w:color="215868" w:themeColor="accent5" w:themeShade="80"/>
          <w:right w:val="none" w:sz="0" w:space="0" w:color="auto"/>
          <w:insideH w:val="single" w:sz="4" w:space="0" w:color="215868" w:themeColor="accent5" w:themeShade="80"/>
          <w:insideV w:val="single" w:sz="4" w:space="0" w:color="215868" w:themeColor="accent5" w:themeShade="80"/>
        </w:tblBorders>
        <w:tblLook w:val="04A0" w:firstRow="1" w:lastRow="0" w:firstColumn="1" w:lastColumn="0" w:noHBand="0" w:noVBand="1"/>
      </w:tblPr>
      <w:tblGrid>
        <w:gridCol w:w="5287"/>
        <w:gridCol w:w="1200"/>
        <w:gridCol w:w="1061"/>
        <w:gridCol w:w="1427"/>
        <w:gridCol w:w="1427"/>
        <w:gridCol w:w="1353"/>
      </w:tblGrid>
      <w:tr w:rsidR="00E445F8" w:rsidRPr="00D73845" w:rsidTr="00E445F8">
        <w:trPr>
          <w:trHeight w:val="276"/>
        </w:trPr>
        <w:tc>
          <w:tcPr>
            <w:tcW w:w="5287" w:type="dxa"/>
            <w:vMerge w:val="restart"/>
            <w:noWrap/>
            <w:hideMark/>
          </w:tcPr>
          <w:p w:rsidR="00E445F8" w:rsidRPr="00D73845" w:rsidRDefault="00E445F8" w:rsidP="00563C30"/>
        </w:tc>
        <w:tc>
          <w:tcPr>
            <w:tcW w:w="1200" w:type="dxa"/>
            <w:shd w:val="clear" w:color="auto" w:fill="009999"/>
            <w:noWrap/>
            <w:hideMark/>
          </w:tcPr>
          <w:p w:rsidR="00E445F8" w:rsidRPr="00E445F8" w:rsidRDefault="00E445F8" w:rsidP="009675C1">
            <w:pPr>
              <w:jc w:val="center"/>
              <w:rPr>
                <w:b/>
                <w:bCs/>
                <w:color w:val="FFFFFF" w:themeColor="background1"/>
              </w:rPr>
            </w:pPr>
            <w:r w:rsidRPr="00E445F8">
              <w:rPr>
                <w:b/>
                <w:bCs/>
                <w:color w:val="FFFFFF" w:themeColor="background1"/>
              </w:rPr>
              <w:t>2015</w:t>
            </w:r>
          </w:p>
        </w:tc>
        <w:tc>
          <w:tcPr>
            <w:tcW w:w="1061" w:type="dxa"/>
            <w:shd w:val="clear" w:color="auto" w:fill="009999"/>
            <w:noWrap/>
            <w:hideMark/>
          </w:tcPr>
          <w:p w:rsidR="00E445F8" w:rsidRPr="00E445F8" w:rsidRDefault="00E445F8" w:rsidP="009675C1">
            <w:pPr>
              <w:jc w:val="center"/>
              <w:rPr>
                <w:b/>
                <w:bCs/>
                <w:color w:val="FFFFFF" w:themeColor="background1"/>
              </w:rPr>
            </w:pPr>
            <w:r w:rsidRPr="00E445F8">
              <w:rPr>
                <w:b/>
                <w:bCs/>
                <w:color w:val="FFFFFF" w:themeColor="background1"/>
              </w:rPr>
              <w:t>2016</w:t>
            </w:r>
          </w:p>
        </w:tc>
        <w:tc>
          <w:tcPr>
            <w:tcW w:w="1427" w:type="dxa"/>
            <w:shd w:val="clear" w:color="auto" w:fill="009999"/>
            <w:noWrap/>
            <w:hideMark/>
          </w:tcPr>
          <w:p w:rsidR="00E445F8" w:rsidRPr="00E445F8" w:rsidRDefault="00E445F8" w:rsidP="009675C1">
            <w:pPr>
              <w:jc w:val="center"/>
              <w:rPr>
                <w:b/>
                <w:bCs/>
                <w:color w:val="FFFFFF" w:themeColor="background1"/>
              </w:rPr>
            </w:pPr>
            <w:r w:rsidRPr="00E445F8">
              <w:rPr>
                <w:b/>
                <w:bCs/>
                <w:color w:val="FFFFFF" w:themeColor="background1"/>
              </w:rPr>
              <w:t>2017</w:t>
            </w:r>
          </w:p>
        </w:tc>
        <w:tc>
          <w:tcPr>
            <w:tcW w:w="1427" w:type="dxa"/>
            <w:shd w:val="clear" w:color="auto" w:fill="009999"/>
            <w:noWrap/>
            <w:hideMark/>
          </w:tcPr>
          <w:p w:rsidR="00E445F8" w:rsidRPr="00E445F8" w:rsidRDefault="00E445F8" w:rsidP="009675C1">
            <w:pPr>
              <w:jc w:val="center"/>
              <w:rPr>
                <w:b/>
                <w:bCs/>
                <w:color w:val="FFFFFF" w:themeColor="background1"/>
              </w:rPr>
            </w:pPr>
            <w:r w:rsidRPr="00E445F8">
              <w:rPr>
                <w:b/>
                <w:bCs/>
                <w:color w:val="FFFFFF" w:themeColor="background1"/>
              </w:rPr>
              <w:t>2018</w:t>
            </w:r>
          </w:p>
        </w:tc>
        <w:tc>
          <w:tcPr>
            <w:tcW w:w="1353" w:type="dxa"/>
            <w:shd w:val="clear" w:color="auto" w:fill="009999"/>
            <w:noWrap/>
            <w:hideMark/>
          </w:tcPr>
          <w:p w:rsidR="00E445F8" w:rsidRPr="00E445F8" w:rsidRDefault="00E445F8" w:rsidP="009675C1">
            <w:pPr>
              <w:jc w:val="center"/>
              <w:rPr>
                <w:b/>
                <w:bCs/>
                <w:color w:val="FFFFFF" w:themeColor="background1"/>
              </w:rPr>
            </w:pPr>
            <w:r w:rsidRPr="00E445F8">
              <w:rPr>
                <w:b/>
                <w:bCs/>
                <w:color w:val="FFFFFF" w:themeColor="background1"/>
              </w:rPr>
              <w:t>2019</w:t>
            </w:r>
          </w:p>
        </w:tc>
      </w:tr>
      <w:tr w:rsidR="00E445F8" w:rsidRPr="00D73845" w:rsidTr="00563C30">
        <w:trPr>
          <w:trHeight w:val="276"/>
        </w:trPr>
        <w:tc>
          <w:tcPr>
            <w:tcW w:w="5287" w:type="dxa"/>
            <w:vMerge/>
            <w:noWrap/>
            <w:hideMark/>
          </w:tcPr>
          <w:p w:rsidR="00E445F8" w:rsidRPr="00D73845" w:rsidRDefault="00E445F8" w:rsidP="00563C30"/>
        </w:tc>
        <w:tc>
          <w:tcPr>
            <w:tcW w:w="1200" w:type="dxa"/>
            <w:noWrap/>
            <w:hideMark/>
          </w:tcPr>
          <w:p w:rsidR="00E445F8" w:rsidRPr="00E445F8" w:rsidRDefault="00E445F8" w:rsidP="009675C1">
            <w:pPr>
              <w:jc w:val="center"/>
              <w:rPr>
                <w:i/>
              </w:rPr>
            </w:pPr>
            <w:r w:rsidRPr="00E445F8">
              <w:rPr>
                <w:i/>
              </w:rPr>
              <w:t>n=760</w:t>
            </w:r>
          </w:p>
        </w:tc>
        <w:tc>
          <w:tcPr>
            <w:tcW w:w="1061" w:type="dxa"/>
            <w:noWrap/>
            <w:hideMark/>
          </w:tcPr>
          <w:p w:rsidR="00E445F8" w:rsidRPr="00E445F8" w:rsidRDefault="00E445F8" w:rsidP="009675C1">
            <w:pPr>
              <w:jc w:val="center"/>
              <w:rPr>
                <w:i/>
              </w:rPr>
            </w:pPr>
            <w:r w:rsidRPr="00E445F8">
              <w:rPr>
                <w:i/>
              </w:rPr>
              <w:t>n=994</w:t>
            </w:r>
          </w:p>
        </w:tc>
        <w:tc>
          <w:tcPr>
            <w:tcW w:w="1427" w:type="dxa"/>
            <w:noWrap/>
            <w:hideMark/>
          </w:tcPr>
          <w:p w:rsidR="00E445F8" w:rsidRPr="00E445F8" w:rsidRDefault="00E445F8" w:rsidP="009675C1">
            <w:pPr>
              <w:jc w:val="center"/>
              <w:rPr>
                <w:i/>
              </w:rPr>
            </w:pPr>
            <w:r w:rsidRPr="00E445F8">
              <w:rPr>
                <w:i/>
              </w:rPr>
              <w:t>n=766</w:t>
            </w:r>
          </w:p>
        </w:tc>
        <w:tc>
          <w:tcPr>
            <w:tcW w:w="1427" w:type="dxa"/>
            <w:noWrap/>
            <w:hideMark/>
          </w:tcPr>
          <w:p w:rsidR="00E445F8" w:rsidRPr="00E445F8" w:rsidRDefault="00E445F8" w:rsidP="009675C1">
            <w:pPr>
              <w:jc w:val="center"/>
              <w:rPr>
                <w:i/>
              </w:rPr>
            </w:pPr>
            <w:r w:rsidRPr="00E445F8">
              <w:rPr>
                <w:i/>
              </w:rPr>
              <w:t>n=988</w:t>
            </w:r>
          </w:p>
        </w:tc>
        <w:tc>
          <w:tcPr>
            <w:tcW w:w="1353" w:type="dxa"/>
            <w:noWrap/>
            <w:hideMark/>
          </w:tcPr>
          <w:p w:rsidR="00E445F8" w:rsidRPr="00E445F8" w:rsidRDefault="00E445F8" w:rsidP="009675C1">
            <w:pPr>
              <w:jc w:val="center"/>
              <w:rPr>
                <w:i/>
              </w:rPr>
            </w:pPr>
            <w:r w:rsidRPr="00E445F8">
              <w:rPr>
                <w:i/>
              </w:rPr>
              <w:t>n=508</w:t>
            </w:r>
          </w:p>
        </w:tc>
      </w:tr>
      <w:tr w:rsidR="00E445F8" w:rsidRPr="00D73845" w:rsidTr="00563C30">
        <w:trPr>
          <w:trHeight w:val="276"/>
        </w:trPr>
        <w:tc>
          <w:tcPr>
            <w:tcW w:w="5287" w:type="dxa"/>
            <w:noWrap/>
            <w:hideMark/>
          </w:tcPr>
          <w:p w:rsidR="00E445F8" w:rsidRPr="00D73845" w:rsidRDefault="00E445F8" w:rsidP="00563C30">
            <w:r w:rsidRPr="00D73845">
              <w:t xml:space="preserve">A public library  </w:t>
            </w:r>
          </w:p>
        </w:tc>
        <w:tc>
          <w:tcPr>
            <w:tcW w:w="1200" w:type="dxa"/>
            <w:noWrap/>
            <w:hideMark/>
          </w:tcPr>
          <w:p w:rsidR="00E445F8" w:rsidRPr="00D73845" w:rsidRDefault="00E445F8" w:rsidP="009675C1">
            <w:pPr>
              <w:jc w:val="center"/>
            </w:pPr>
            <w:r w:rsidRPr="00D73845">
              <w:t>74%</w:t>
            </w:r>
          </w:p>
        </w:tc>
        <w:tc>
          <w:tcPr>
            <w:tcW w:w="1061" w:type="dxa"/>
            <w:noWrap/>
            <w:hideMark/>
          </w:tcPr>
          <w:p w:rsidR="00E445F8" w:rsidRPr="00D73845" w:rsidRDefault="00E445F8" w:rsidP="009675C1">
            <w:pPr>
              <w:jc w:val="center"/>
            </w:pPr>
            <w:r w:rsidRPr="00D73845">
              <w:t>73%</w:t>
            </w:r>
          </w:p>
        </w:tc>
        <w:tc>
          <w:tcPr>
            <w:tcW w:w="1427" w:type="dxa"/>
            <w:noWrap/>
            <w:hideMark/>
          </w:tcPr>
          <w:p w:rsidR="00E445F8" w:rsidRPr="00D73845" w:rsidRDefault="00E445F8" w:rsidP="009675C1">
            <w:pPr>
              <w:jc w:val="center"/>
            </w:pPr>
            <w:r w:rsidRPr="00D73845">
              <w:t>74%</w:t>
            </w:r>
          </w:p>
        </w:tc>
        <w:tc>
          <w:tcPr>
            <w:tcW w:w="1427" w:type="dxa"/>
            <w:noWrap/>
            <w:hideMark/>
          </w:tcPr>
          <w:p w:rsidR="00E445F8" w:rsidRPr="00D73845" w:rsidRDefault="00E445F8" w:rsidP="009675C1">
            <w:pPr>
              <w:jc w:val="center"/>
            </w:pPr>
            <w:r w:rsidRPr="00D73845">
              <w:t>82%</w:t>
            </w:r>
          </w:p>
        </w:tc>
        <w:tc>
          <w:tcPr>
            <w:tcW w:w="1353" w:type="dxa"/>
            <w:noWrap/>
            <w:hideMark/>
          </w:tcPr>
          <w:p w:rsidR="00E445F8" w:rsidRPr="00D73845" w:rsidRDefault="00E445F8" w:rsidP="009675C1">
            <w:pPr>
              <w:jc w:val="center"/>
            </w:pPr>
            <w:r w:rsidRPr="00D73845">
              <w:t>73%</w:t>
            </w:r>
          </w:p>
        </w:tc>
      </w:tr>
      <w:tr w:rsidR="00E445F8" w:rsidRPr="00D73845" w:rsidTr="00563C30">
        <w:trPr>
          <w:trHeight w:val="276"/>
        </w:trPr>
        <w:tc>
          <w:tcPr>
            <w:tcW w:w="5287" w:type="dxa"/>
            <w:noWrap/>
            <w:hideMark/>
          </w:tcPr>
          <w:p w:rsidR="00E445F8" w:rsidRPr="00D73845" w:rsidRDefault="00E445F8" w:rsidP="00563C30">
            <w:r w:rsidRPr="00D73845">
              <w:t xml:space="preserve">A Community Centre </w:t>
            </w:r>
          </w:p>
        </w:tc>
        <w:tc>
          <w:tcPr>
            <w:tcW w:w="1200" w:type="dxa"/>
            <w:noWrap/>
            <w:hideMark/>
          </w:tcPr>
          <w:p w:rsidR="00E445F8" w:rsidRPr="00D73845" w:rsidRDefault="00E445F8" w:rsidP="009675C1">
            <w:pPr>
              <w:jc w:val="center"/>
            </w:pPr>
            <w:r w:rsidRPr="00D73845">
              <w:t>22%</w:t>
            </w:r>
          </w:p>
        </w:tc>
        <w:tc>
          <w:tcPr>
            <w:tcW w:w="1061" w:type="dxa"/>
            <w:noWrap/>
            <w:hideMark/>
          </w:tcPr>
          <w:p w:rsidR="00E445F8" w:rsidRPr="00D73845" w:rsidRDefault="00E445F8" w:rsidP="009675C1">
            <w:pPr>
              <w:jc w:val="center"/>
            </w:pPr>
            <w:r w:rsidRPr="00D73845">
              <w:t>20%</w:t>
            </w:r>
          </w:p>
        </w:tc>
        <w:tc>
          <w:tcPr>
            <w:tcW w:w="1427" w:type="dxa"/>
            <w:noWrap/>
            <w:hideMark/>
          </w:tcPr>
          <w:p w:rsidR="00E445F8" w:rsidRPr="00D73845" w:rsidRDefault="00E445F8" w:rsidP="009675C1">
            <w:pPr>
              <w:jc w:val="center"/>
            </w:pPr>
            <w:r w:rsidRPr="00D73845">
              <w:t>23%</w:t>
            </w:r>
          </w:p>
        </w:tc>
        <w:tc>
          <w:tcPr>
            <w:tcW w:w="1427" w:type="dxa"/>
            <w:noWrap/>
            <w:hideMark/>
          </w:tcPr>
          <w:p w:rsidR="00E445F8" w:rsidRPr="00D73845" w:rsidRDefault="00E445F8" w:rsidP="009675C1">
            <w:pPr>
              <w:jc w:val="center"/>
            </w:pPr>
            <w:r w:rsidRPr="00D73845">
              <w:t>23%</w:t>
            </w:r>
          </w:p>
        </w:tc>
        <w:tc>
          <w:tcPr>
            <w:tcW w:w="1353" w:type="dxa"/>
            <w:noWrap/>
            <w:hideMark/>
          </w:tcPr>
          <w:p w:rsidR="00E445F8" w:rsidRPr="00D73845" w:rsidRDefault="00E445F8" w:rsidP="009675C1">
            <w:pPr>
              <w:jc w:val="center"/>
            </w:pPr>
            <w:r w:rsidRPr="00D73845">
              <w:t>25%</w:t>
            </w:r>
          </w:p>
        </w:tc>
      </w:tr>
      <w:tr w:rsidR="00E445F8" w:rsidRPr="00D73845" w:rsidTr="00563C30">
        <w:trPr>
          <w:trHeight w:val="276"/>
        </w:trPr>
        <w:tc>
          <w:tcPr>
            <w:tcW w:w="5287" w:type="dxa"/>
            <w:noWrap/>
            <w:hideMark/>
          </w:tcPr>
          <w:p w:rsidR="00E445F8" w:rsidRPr="00D73845" w:rsidRDefault="00E445F8" w:rsidP="00563C30">
            <w:r w:rsidRPr="00D73845">
              <w:t xml:space="preserve">A Community Hall </w:t>
            </w:r>
          </w:p>
        </w:tc>
        <w:tc>
          <w:tcPr>
            <w:tcW w:w="1200" w:type="dxa"/>
            <w:noWrap/>
            <w:hideMark/>
          </w:tcPr>
          <w:p w:rsidR="00E445F8" w:rsidRPr="00D73845" w:rsidRDefault="00E445F8" w:rsidP="009675C1">
            <w:pPr>
              <w:jc w:val="center"/>
            </w:pPr>
            <w:r w:rsidRPr="00D73845">
              <w:t>19%</w:t>
            </w:r>
          </w:p>
        </w:tc>
        <w:tc>
          <w:tcPr>
            <w:tcW w:w="1061" w:type="dxa"/>
            <w:noWrap/>
            <w:hideMark/>
          </w:tcPr>
          <w:p w:rsidR="00E445F8" w:rsidRPr="00D73845" w:rsidRDefault="00E445F8" w:rsidP="009675C1">
            <w:pPr>
              <w:jc w:val="center"/>
            </w:pPr>
            <w:r w:rsidRPr="00D73845">
              <w:t>21%</w:t>
            </w:r>
          </w:p>
        </w:tc>
        <w:tc>
          <w:tcPr>
            <w:tcW w:w="1427" w:type="dxa"/>
            <w:noWrap/>
            <w:hideMark/>
          </w:tcPr>
          <w:p w:rsidR="00E445F8" w:rsidRPr="00D73845" w:rsidRDefault="00E445F8" w:rsidP="009675C1">
            <w:pPr>
              <w:jc w:val="center"/>
            </w:pPr>
            <w:r w:rsidRPr="00D73845">
              <w:t>19%</w:t>
            </w:r>
          </w:p>
        </w:tc>
        <w:tc>
          <w:tcPr>
            <w:tcW w:w="1427" w:type="dxa"/>
            <w:noWrap/>
            <w:hideMark/>
          </w:tcPr>
          <w:p w:rsidR="00E445F8" w:rsidRPr="00D73845" w:rsidRDefault="00E445F8" w:rsidP="009675C1">
            <w:pPr>
              <w:jc w:val="center"/>
            </w:pPr>
            <w:r w:rsidRPr="00D73845">
              <w:t>18%</w:t>
            </w:r>
          </w:p>
        </w:tc>
        <w:tc>
          <w:tcPr>
            <w:tcW w:w="1353" w:type="dxa"/>
            <w:noWrap/>
            <w:hideMark/>
          </w:tcPr>
          <w:p w:rsidR="00E445F8" w:rsidRPr="00D73845" w:rsidRDefault="00E445F8" w:rsidP="009675C1">
            <w:pPr>
              <w:jc w:val="center"/>
            </w:pPr>
            <w:r w:rsidRPr="00D73845">
              <w:t>21%</w:t>
            </w:r>
          </w:p>
        </w:tc>
      </w:tr>
      <w:tr w:rsidR="00E445F8" w:rsidRPr="00D73845" w:rsidTr="00563C30">
        <w:trPr>
          <w:trHeight w:val="276"/>
        </w:trPr>
        <w:tc>
          <w:tcPr>
            <w:tcW w:w="5287" w:type="dxa"/>
            <w:noWrap/>
            <w:hideMark/>
          </w:tcPr>
          <w:p w:rsidR="00E445F8" w:rsidRPr="00D73845" w:rsidRDefault="00E445F8" w:rsidP="00563C30">
            <w:r w:rsidRPr="00D73845">
              <w:t xml:space="preserve">None of these </w:t>
            </w:r>
          </w:p>
        </w:tc>
        <w:tc>
          <w:tcPr>
            <w:tcW w:w="1200" w:type="dxa"/>
            <w:noWrap/>
            <w:hideMark/>
          </w:tcPr>
          <w:p w:rsidR="00E445F8" w:rsidRPr="00D73845" w:rsidRDefault="00E445F8" w:rsidP="009675C1">
            <w:pPr>
              <w:jc w:val="center"/>
            </w:pPr>
            <w:r w:rsidRPr="00D73845">
              <w:t>21%</w:t>
            </w:r>
          </w:p>
        </w:tc>
        <w:tc>
          <w:tcPr>
            <w:tcW w:w="1061" w:type="dxa"/>
            <w:noWrap/>
            <w:hideMark/>
          </w:tcPr>
          <w:p w:rsidR="00E445F8" w:rsidRPr="00D73845" w:rsidRDefault="00E445F8" w:rsidP="009675C1">
            <w:pPr>
              <w:jc w:val="center"/>
            </w:pPr>
            <w:r w:rsidRPr="00D73845">
              <w:t>22%</w:t>
            </w:r>
          </w:p>
        </w:tc>
        <w:tc>
          <w:tcPr>
            <w:tcW w:w="1427" w:type="dxa"/>
            <w:noWrap/>
            <w:hideMark/>
          </w:tcPr>
          <w:p w:rsidR="00E445F8" w:rsidRPr="00D73845" w:rsidRDefault="00E445F8" w:rsidP="009675C1">
            <w:pPr>
              <w:jc w:val="center"/>
            </w:pPr>
            <w:r w:rsidRPr="00D73845">
              <w:t>20%</w:t>
            </w:r>
          </w:p>
        </w:tc>
        <w:tc>
          <w:tcPr>
            <w:tcW w:w="1427" w:type="dxa"/>
            <w:noWrap/>
            <w:hideMark/>
          </w:tcPr>
          <w:p w:rsidR="00E445F8" w:rsidRPr="00D73845" w:rsidRDefault="00E445F8" w:rsidP="009675C1">
            <w:pPr>
              <w:jc w:val="center"/>
            </w:pPr>
            <w:r w:rsidRPr="00D73845">
              <w:t>12%</w:t>
            </w:r>
          </w:p>
        </w:tc>
        <w:tc>
          <w:tcPr>
            <w:tcW w:w="1353" w:type="dxa"/>
            <w:noWrap/>
            <w:hideMark/>
          </w:tcPr>
          <w:p w:rsidR="00E445F8" w:rsidRPr="00D73845" w:rsidRDefault="00E445F8" w:rsidP="009675C1">
            <w:pPr>
              <w:jc w:val="center"/>
            </w:pPr>
            <w:r w:rsidRPr="00D73845">
              <w:t>21%</w:t>
            </w:r>
          </w:p>
        </w:tc>
      </w:tr>
      <w:tr w:rsidR="00E445F8" w:rsidRPr="00D73845" w:rsidTr="00563C30">
        <w:trPr>
          <w:trHeight w:val="276"/>
        </w:trPr>
        <w:tc>
          <w:tcPr>
            <w:tcW w:w="5287" w:type="dxa"/>
            <w:noWrap/>
            <w:hideMark/>
          </w:tcPr>
          <w:p w:rsidR="00E445F8" w:rsidRPr="00D73845" w:rsidRDefault="00E445F8" w:rsidP="00563C30">
            <w:r w:rsidRPr="00D73845">
              <w:t xml:space="preserve">Don't know </w:t>
            </w:r>
          </w:p>
        </w:tc>
        <w:tc>
          <w:tcPr>
            <w:tcW w:w="1200" w:type="dxa"/>
            <w:noWrap/>
            <w:hideMark/>
          </w:tcPr>
          <w:p w:rsidR="00E445F8" w:rsidRPr="00D73845" w:rsidRDefault="00E445F8" w:rsidP="009675C1">
            <w:pPr>
              <w:jc w:val="center"/>
            </w:pPr>
            <w:r w:rsidRPr="00D73845">
              <w:t>1%</w:t>
            </w:r>
          </w:p>
        </w:tc>
        <w:tc>
          <w:tcPr>
            <w:tcW w:w="1061" w:type="dxa"/>
            <w:noWrap/>
            <w:hideMark/>
          </w:tcPr>
          <w:p w:rsidR="00E445F8" w:rsidRPr="00D73845" w:rsidRDefault="00E445F8" w:rsidP="009675C1">
            <w:pPr>
              <w:jc w:val="center"/>
            </w:pPr>
            <w:r w:rsidRPr="00D73845">
              <w:t>1%</w:t>
            </w:r>
          </w:p>
        </w:tc>
        <w:tc>
          <w:tcPr>
            <w:tcW w:w="1427" w:type="dxa"/>
            <w:noWrap/>
            <w:hideMark/>
          </w:tcPr>
          <w:p w:rsidR="00E445F8" w:rsidRPr="00D73845" w:rsidRDefault="00E445F8" w:rsidP="009675C1">
            <w:pPr>
              <w:jc w:val="center"/>
            </w:pPr>
            <w:r w:rsidRPr="00D73845">
              <w:t>0%</w:t>
            </w:r>
          </w:p>
        </w:tc>
        <w:tc>
          <w:tcPr>
            <w:tcW w:w="1427" w:type="dxa"/>
            <w:noWrap/>
            <w:hideMark/>
          </w:tcPr>
          <w:p w:rsidR="00E445F8" w:rsidRPr="00D73845" w:rsidRDefault="00E445F8" w:rsidP="009675C1">
            <w:pPr>
              <w:jc w:val="center"/>
            </w:pPr>
            <w:r w:rsidRPr="00D73845">
              <w:t>1%</w:t>
            </w:r>
          </w:p>
        </w:tc>
        <w:tc>
          <w:tcPr>
            <w:tcW w:w="1353" w:type="dxa"/>
            <w:noWrap/>
            <w:hideMark/>
          </w:tcPr>
          <w:p w:rsidR="00E445F8" w:rsidRPr="00D73845" w:rsidRDefault="00E445F8" w:rsidP="009675C1">
            <w:pPr>
              <w:jc w:val="center"/>
            </w:pPr>
            <w:r w:rsidRPr="00D73845">
              <w:t>1%</w:t>
            </w:r>
          </w:p>
        </w:tc>
      </w:tr>
      <w:tr w:rsidR="00E445F8" w:rsidRPr="00D73845" w:rsidTr="00563C30">
        <w:trPr>
          <w:trHeight w:val="276"/>
        </w:trPr>
        <w:tc>
          <w:tcPr>
            <w:tcW w:w="11755" w:type="dxa"/>
            <w:gridSpan w:val="6"/>
            <w:noWrap/>
            <w:hideMark/>
          </w:tcPr>
          <w:p w:rsidR="00E445F8" w:rsidRPr="000B3B7D" w:rsidRDefault="00E445F8" w:rsidP="00290E5F">
            <w:pPr>
              <w:rPr>
                <w:i/>
              </w:rPr>
            </w:pPr>
            <w:r w:rsidRPr="000B3B7D">
              <w:rPr>
                <w:i/>
              </w:rPr>
              <w:t xml:space="preserve">Source: Wellington City Council </w:t>
            </w:r>
            <w:r w:rsidR="00290E5F">
              <w:rPr>
                <w:i/>
              </w:rPr>
              <w:t>RMS</w:t>
            </w:r>
            <w:r w:rsidRPr="000B3B7D">
              <w:rPr>
                <w:i/>
              </w:rPr>
              <w:t xml:space="preserve"> </w:t>
            </w:r>
          </w:p>
        </w:tc>
      </w:tr>
    </w:tbl>
    <w:p w:rsidR="00E445F8" w:rsidRDefault="002E1D14" w:rsidP="002C7BF8">
      <w:pPr>
        <w:pStyle w:val="ListParagraph"/>
        <w:numPr>
          <w:ilvl w:val="0"/>
          <w:numId w:val="63"/>
        </w:numPr>
        <w:ind w:left="1276" w:hanging="992"/>
      </w:pPr>
      <w:r w:rsidRPr="002E1D14">
        <w:rPr>
          <w:bCs/>
        </w:rPr>
        <w:lastRenderedPageBreak/>
        <w:t>a.</w:t>
      </w:r>
      <w:r>
        <w:rPr>
          <w:b/>
          <w:bCs/>
        </w:rPr>
        <w:t xml:space="preserve">   </w:t>
      </w:r>
      <w:r w:rsidR="00E445F8" w:rsidRPr="00E445F8">
        <w:rPr>
          <w:b/>
          <w:bCs/>
        </w:rPr>
        <w:t>Residents’ frequency of physical activity</w:t>
      </w:r>
      <w:r w:rsidR="00E445F8">
        <w:t xml:space="preserve"> - </w:t>
      </w:r>
      <w:r w:rsidR="00E445F8" w:rsidRPr="00D73845">
        <w:t xml:space="preserve">How many hours would you </w:t>
      </w:r>
      <w:proofErr w:type="gramStart"/>
      <w:r w:rsidR="00E445F8" w:rsidRPr="00D73845">
        <w:t>spend</w:t>
      </w:r>
      <w:proofErr w:type="gramEnd"/>
      <w:r w:rsidR="00E445F8" w:rsidRPr="00D73845">
        <w:t xml:space="preserve"> in some form of regular physical activity in an average week?</w:t>
      </w:r>
    </w:p>
    <w:tbl>
      <w:tblPr>
        <w:tblStyle w:val="TableGrid"/>
        <w:tblW w:w="0" w:type="auto"/>
        <w:tblBorders>
          <w:top w:val="single" w:sz="4" w:space="0" w:color="215868" w:themeColor="accent5" w:themeShade="80"/>
          <w:left w:val="none" w:sz="0" w:space="0" w:color="auto"/>
          <w:bottom w:val="single" w:sz="4" w:space="0" w:color="215868" w:themeColor="accent5" w:themeShade="80"/>
          <w:right w:val="none" w:sz="0" w:space="0" w:color="auto"/>
          <w:insideH w:val="single" w:sz="4" w:space="0" w:color="215868" w:themeColor="accent5" w:themeShade="80"/>
          <w:insideV w:val="single" w:sz="4" w:space="0" w:color="215868" w:themeColor="accent5" w:themeShade="80"/>
        </w:tblBorders>
        <w:tblLook w:val="04A0" w:firstRow="1" w:lastRow="0" w:firstColumn="1" w:lastColumn="0" w:noHBand="0" w:noVBand="1"/>
      </w:tblPr>
      <w:tblGrid>
        <w:gridCol w:w="5287"/>
        <w:gridCol w:w="1200"/>
        <w:gridCol w:w="1061"/>
        <w:gridCol w:w="1427"/>
        <w:gridCol w:w="1427"/>
        <w:gridCol w:w="1353"/>
      </w:tblGrid>
      <w:tr w:rsidR="00E445F8" w:rsidRPr="00D73845" w:rsidTr="00E445F8">
        <w:trPr>
          <w:trHeight w:val="276"/>
        </w:trPr>
        <w:tc>
          <w:tcPr>
            <w:tcW w:w="5287" w:type="dxa"/>
            <w:vMerge w:val="restart"/>
            <w:noWrap/>
          </w:tcPr>
          <w:p w:rsidR="00E445F8" w:rsidRPr="0024684D" w:rsidRDefault="00E445F8" w:rsidP="00563C30">
            <w:pPr>
              <w:rPr>
                <w:b/>
                <w:bCs/>
              </w:rPr>
            </w:pPr>
          </w:p>
        </w:tc>
        <w:tc>
          <w:tcPr>
            <w:tcW w:w="1200" w:type="dxa"/>
            <w:tcBorders>
              <w:bottom w:val="nil"/>
              <w:right w:val="single" w:sz="4" w:space="0" w:color="FFFFFF" w:themeColor="background1"/>
            </w:tcBorders>
            <w:shd w:val="clear" w:color="auto" w:fill="009999"/>
            <w:noWrap/>
          </w:tcPr>
          <w:p w:rsidR="00E445F8" w:rsidRPr="0024684D" w:rsidRDefault="00E445F8" w:rsidP="009675C1">
            <w:pPr>
              <w:jc w:val="center"/>
              <w:rPr>
                <w:b/>
                <w:bCs/>
                <w:color w:val="FFFFFF" w:themeColor="background1"/>
              </w:rPr>
            </w:pPr>
            <w:r w:rsidRPr="0024684D">
              <w:rPr>
                <w:b/>
                <w:bCs/>
                <w:color w:val="FFFFFF" w:themeColor="background1"/>
              </w:rPr>
              <w:t>2015</w:t>
            </w:r>
          </w:p>
        </w:tc>
        <w:tc>
          <w:tcPr>
            <w:tcW w:w="1061" w:type="dxa"/>
            <w:tcBorders>
              <w:left w:val="single" w:sz="4" w:space="0" w:color="FFFFFF" w:themeColor="background1"/>
              <w:bottom w:val="nil"/>
              <w:right w:val="single" w:sz="4" w:space="0" w:color="FFFFFF" w:themeColor="background1"/>
            </w:tcBorders>
            <w:shd w:val="clear" w:color="auto" w:fill="009999"/>
            <w:noWrap/>
          </w:tcPr>
          <w:p w:rsidR="00E445F8" w:rsidRPr="0024684D" w:rsidRDefault="00E445F8" w:rsidP="009675C1">
            <w:pPr>
              <w:jc w:val="center"/>
              <w:rPr>
                <w:b/>
                <w:bCs/>
                <w:color w:val="FFFFFF" w:themeColor="background1"/>
              </w:rPr>
            </w:pPr>
            <w:r w:rsidRPr="0024684D">
              <w:rPr>
                <w:b/>
                <w:bCs/>
                <w:color w:val="FFFFFF" w:themeColor="background1"/>
              </w:rPr>
              <w:t>2016</w:t>
            </w:r>
          </w:p>
        </w:tc>
        <w:tc>
          <w:tcPr>
            <w:tcW w:w="1427" w:type="dxa"/>
            <w:tcBorders>
              <w:left w:val="single" w:sz="4" w:space="0" w:color="FFFFFF" w:themeColor="background1"/>
              <w:bottom w:val="nil"/>
              <w:right w:val="single" w:sz="4" w:space="0" w:color="FFFFFF" w:themeColor="background1"/>
            </w:tcBorders>
            <w:shd w:val="clear" w:color="auto" w:fill="009999"/>
            <w:noWrap/>
          </w:tcPr>
          <w:p w:rsidR="00E445F8" w:rsidRPr="0024684D" w:rsidRDefault="00E445F8" w:rsidP="009675C1">
            <w:pPr>
              <w:jc w:val="center"/>
              <w:rPr>
                <w:b/>
                <w:bCs/>
                <w:color w:val="FFFFFF" w:themeColor="background1"/>
              </w:rPr>
            </w:pPr>
            <w:r w:rsidRPr="0024684D">
              <w:rPr>
                <w:b/>
                <w:bCs/>
                <w:color w:val="FFFFFF" w:themeColor="background1"/>
              </w:rPr>
              <w:t>2017</w:t>
            </w:r>
          </w:p>
        </w:tc>
        <w:tc>
          <w:tcPr>
            <w:tcW w:w="1427" w:type="dxa"/>
            <w:tcBorders>
              <w:left w:val="single" w:sz="4" w:space="0" w:color="FFFFFF" w:themeColor="background1"/>
              <w:bottom w:val="nil"/>
              <w:right w:val="single" w:sz="4" w:space="0" w:color="FFFFFF" w:themeColor="background1"/>
            </w:tcBorders>
            <w:shd w:val="clear" w:color="auto" w:fill="009999"/>
            <w:noWrap/>
          </w:tcPr>
          <w:p w:rsidR="00E445F8" w:rsidRPr="0024684D" w:rsidRDefault="00E445F8" w:rsidP="009675C1">
            <w:pPr>
              <w:jc w:val="center"/>
              <w:rPr>
                <w:b/>
                <w:bCs/>
                <w:color w:val="FFFFFF" w:themeColor="background1"/>
              </w:rPr>
            </w:pPr>
            <w:r w:rsidRPr="0024684D">
              <w:rPr>
                <w:b/>
                <w:bCs/>
                <w:color w:val="FFFFFF" w:themeColor="background1"/>
              </w:rPr>
              <w:t>2018</w:t>
            </w:r>
          </w:p>
        </w:tc>
        <w:tc>
          <w:tcPr>
            <w:tcW w:w="1353" w:type="dxa"/>
            <w:tcBorders>
              <w:left w:val="single" w:sz="4" w:space="0" w:color="FFFFFF" w:themeColor="background1"/>
              <w:bottom w:val="nil"/>
            </w:tcBorders>
            <w:shd w:val="clear" w:color="auto" w:fill="009999"/>
            <w:noWrap/>
          </w:tcPr>
          <w:p w:rsidR="00E445F8" w:rsidRPr="0024684D" w:rsidRDefault="00E445F8" w:rsidP="009675C1">
            <w:pPr>
              <w:jc w:val="center"/>
              <w:rPr>
                <w:b/>
                <w:bCs/>
                <w:color w:val="FFFFFF" w:themeColor="background1"/>
              </w:rPr>
            </w:pPr>
            <w:r w:rsidRPr="0024684D">
              <w:rPr>
                <w:b/>
                <w:bCs/>
                <w:color w:val="FFFFFF" w:themeColor="background1"/>
              </w:rPr>
              <w:t>2019</w:t>
            </w:r>
          </w:p>
        </w:tc>
      </w:tr>
      <w:tr w:rsidR="00E445F8" w:rsidRPr="009675C1" w:rsidTr="00563C30">
        <w:trPr>
          <w:trHeight w:val="276"/>
        </w:trPr>
        <w:tc>
          <w:tcPr>
            <w:tcW w:w="5287" w:type="dxa"/>
            <w:vMerge/>
            <w:noWrap/>
            <w:hideMark/>
          </w:tcPr>
          <w:p w:rsidR="00E445F8" w:rsidRPr="009675C1" w:rsidRDefault="00E445F8" w:rsidP="00563C30">
            <w:pPr>
              <w:rPr>
                <w:i/>
              </w:rPr>
            </w:pPr>
          </w:p>
        </w:tc>
        <w:tc>
          <w:tcPr>
            <w:tcW w:w="1200" w:type="dxa"/>
            <w:noWrap/>
            <w:hideMark/>
          </w:tcPr>
          <w:p w:rsidR="00E445F8" w:rsidRPr="009675C1" w:rsidRDefault="00E445F8" w:rsidP="009675C1">
            <w:pPr>
              <w:jc w:val="center"/>
              <w:rPr>
                <w:i/>
              </w:rPr>
            </w:pPr>
            <w:r w:rsidRPr="009675C1">
              <w:rPr>
                <w:i/>
              </w:rPr>
              <w:t>n=747</w:t>
            </w:r>
          </w:p>
        </w:tc>
        <w:tc>
          <w:tcPr>
            <w:tcW w:w="1061" w:type="dxa"/>
            <w:noWrap/>
            <w:hideMark/>
          </w:tcPr>
          <w:p w:rsidR="00E445F8" w:rsidRPr="009675C1" w:rsidRDefault="00E445F8" w:rsidP="009675C1">
            <w:pPr>
              <w:jc w:val="center"/>
              <w:rPr>
                <w:i/>
              </w:rPr>
            </w:pPr>
            <w:r w:rsidRPr="009675C1">
              <w:rPr>
                <w:i/>
              </w:rPr>
              <w:t>n=985</w:t>
            </w:r>
          </w:p>
        </w:tc>
        <w:tc>
          <w:tcPr>
            <w:tcW w:w="1427" w:type="dxa"/>
            <w:noWrap/>
            <w:hideMark/>
          </w:tcPr>
          <w:p w:rsidR="00E445F8" w:rsidRPr="009675C1" w:rsidRDefault="00E445F8" w:rsidP="009675C1">
            <w:pPr>
              <w:jc w:val="center"/>
              <w:rPr>
                <w:i/>
              </w:rPr>
            </w:pPr>
            <w:r w:rsidRPr="009675C1">
              <w:rPr>
                <w:i/>
              </w:rPr>
              <w:t>n=760</w:t>
            </w:r>
          </w:p>
        </w:tc>
        <w:tc>
          <w:tcPr>
            <w:tcW w:w="1427" w:type="dxa"/>
            <w:noWrap/>
            <w:hideMark/>
          </w:tcPr>
          <w:p w:rsidR="00E445F8" w:rsidRPr="009675C1" w:rsidRDefault="00E445F8" w:rsidP="009675C1">
            <w:pPr>
              <w:jc w:val="center"/>
              <w:rPr>
                <w:i/>
              </w:rPr>
            </w:pPr>
            <w:r w:rsidRPr="009675C1">
              <w:rPr>
                <w:i/>
              </w:rPr>
              <w:t>n=949</w:t>
            </w:r>
          </w:p>
        </w:tc>
        <w:tc>
          <w:tcPr>
            <w:tcW w:w="1353" w:type="dxa"/>
            <w:noWrap/>
            <w:hideMark/>
          </w:tcPr>
          <w:p w:rsidR="00E445F8" w:rsidRPr="009675C1" w:rsidRDefault="00E445F8" w:rsidP="00563C30">
            <w:pPr>
              <w:rPr>
                <w:i/>
              </w:rPr>
            </w:pPr>
          </w:p>
        </w:tc>
      </w:tr>
      <w:tr w:rsidR="00E445F8" w:rsidRPr="00D73845" w:rsidTr="00563C30">
        <w:trPr>
          <w:trHeight w:val="276"/>
        </w:trPr>
        <w:tc>
          <w:tcPr>
            <w:tcW w:w="5287" w:type="dxa"/>
            <w:noWrap/>
            <w:hideMark/>
          </w:tcPr>
          <w:p w:rsidR="00E445F8" w:rsidRPr="00D73845" w:rsidRDefault="00E445F8" w:rsidP="00563C30">
            <w:r w:rsidRPr="00D73845">
              <w:t xml:space="preserve">Less than 2.5 hours </w:t>
            </w:r>
          </w:p>
        </w:tc>
        <w:tc>
          <w:tcPr>
            <w:tcW w:w="1200" w:type="dxa"/>
            <w:noWrap/>
            <w:hideMark/>
          </w:tcPr>
          <w:p w:rsidR="00E445F8" w:rsidRPr="00D73845" w:rsidRDefault="00E445F8" w:rsidP="009675C1">
            <w:pPr>
              <w:jc w:val="center"/>
            </w:pPr>
            <w:r w:rsidRPr="00D73845">
              <w:t>29%</w:t>
            </w:r>
          </w:p>
        </w:tc>
        <w:tc>
          <w:tcPr>
            <w:tcW w:w="1061" w:type="dxa"/>
            <w:noWrap/>
            <w:hideMark/>
          </w:tcPr>
          <w:p w:rsidR="00E445F8" w:rsidRPr="00D73845" w:rsidRDefault="00E445F8" w:rsidP="009675C1">
            <w:pPr>
              <w:jc w:val="center"/>
            </w:pPr>
            <w:r w:rsidRPr="00D73845">
              <w:t>26%</w:t>
            </w:r>
          </w:p>
        </w:tc>
        <w:tc>
          <w:tcPr>
            <w:tcW w:w="1427" w:type="dxa"/>
            <w:noWrap/>
            <w:hideMark/>
          </w:tcPr>
          <w:p w:rsidR="00E445F8" w:rsidRPr="00D73845" w:rsidRDefault="00E445F8" w:rsidP="009675C1">
            <w:pPr>
              <w:jc w:val="center"/>
            </w:pPr>
            <w:r w:rsidRPr="00D73845">
              <w:t>27%</w:t>
            </w:r>
          </w:p>
        </w:tc>
        <w:tc>
          <w:tcPr>
            <w:tcW w:w="1427" w:type="dxa"/>
            <w:noWrap/>
            <w:hideMark/>
          </w:tcPr>
          <w:p w:rsidR="00E445F8" w:rsidRPr="00D73845" w:rsidRDefault="00E445F8" w:rsidP="009675C1">
            <w:pPr>
              <w:jc w:val="center"/>
            </w:pPr>
            <w:r w:rsidRPr="00D73845">
              <w:t>26%</w:t>
            </w:r>
          </w:p>
        </w:tc>
        <w:tc>
          <w:tcPr>
            <w:tcW w:w="1353" w:type="dxa"/>
            <w:noWrap/>
            <w:hideMark/>
          </w:tcPr>
          <w:p w:rsidR="00E445F8" w:rsidRPr="00D73845" w:rsidRDefault="00E445F8" w:rsidP="00563C30"/>
        </w:tc>
      </w:tr>
      <w:tr w:rsidR="00E445F8" w:rsidRPr="00D73845" w:rsidTr="00563C30">
        <w:trPr>
          <w:trHeight w:val="276"/>
        </w:trPr>
        <w:tc>
          <w:tcPr>
            <w:tcW w:w="5287" w:type="dxa"/>
            <w:noWrap/>
            <w:hideMark/>
          </w:tcPr>
          <w:p w:rsidR="00E445F8" w:rsidRPr="00D73845" w:rsidRDefault="00E445F8" w:rsidP="00563C30">
            <w:r w:rsidRPr="00D73845">
              <w:t xml:space="preserve">2.5 hours – 5 hours </w:t>
            </w:r>
          </w:p>
        </w:tc>
        <w:tc>
          <w:tcPr>
            <w:tcW w:w="1200" w:type="dxa"/>
            <w:noWrap/>
            <w:hideMark/>
          </w:tcPr>
          <w:p w:rsidR="00E445F8" w:rsidRPr="00D73845" w:rsidRDefault="00E445F8" w:rsidP="009675C1">
            <w:pPr>
              <w:jc w:val="center"/>
            </w:pPr>
            <w:r w:rsidRPr="00D73845">
              <w:t>42%</w:t>
            </w:r>
          </w:p>
        </w:tc>
        <w:tc>
          <w:tcPr>
            <w:tcW w:w="1061" w:type="dxa"/>
            <w:noWrap/>
            <w:hideMark/>
          </w:tcPr>
          <w:p w:rsidR="00E445F8" w:rsidRPr="00D73845" w:rsidRDefault="00E445F8" w:rsidP="009675C1">
            <w:pPr>
              <w:jc w:val="center"/>
            </w:pPr>
            <w:r w:rsidRPr="00D73845">
              <w:t>43%</w:t>
            </w:r>
          </w:p>
        </w:tc>
        <w:tc>
          <w:tcPr>
            <w:tcW w:w="1427" w:type="dxa"/>
            <w:noWrap/>
            <w:hideMark/>
          </w:tcPr>
          <w:p w:rsidR="00E445F8" w:rsidRPr="00D73845" w:rsidRDefault="00E445F8" w:rsidP="009675C1">
            <w:pPr>
              <w:jc w:val="center"/>
            </w:pPr>
            <w:r w:rsidRPr="00D73845">
              <w:t>44%</w:t>
            </w:r>
          </w:p>
        </w:tc>
        <w:tc>
          <w:tcPr>
            <w:tcW w:w="1427" w:type="dxa"/>
            <w:noWrap/>
            <w:hideMark/>
          </w:tcPr>
          <w:p w:rsidR="00E445F8" w:rsidRPr="00D73845" w:rsidRDefault="00E445F8" w:rsidP="009675C1">
            <w:pPr>
              <w:jc w:val="center"/>
            </w:pPr>
            <w:r w:rsidRPr="00D73845">
              <w:t>40%</w:t>
            </w:r>
          </w:p>
        </w:tc>
        <w:tc>
          <w:tcPr>
            <w:tcW w:w="1353" w:type="dxa"/>
            <w:noWrap/>
            <w:hideMark/>
          </w:tcPr>
          <w:p w:rsidR="00E445F8" w:rsidRPr="00D73845" w:rsidRDefault="00E445F8" w:rsidP="00563C30"/>
        </w:tc>
      </w:tr>
      <w:tr w:rsidR="00E445F8" w:rsidRPr="00D73845" w:rsidTr="00563C30">
        <w:trPr>
          <w:trHeight w:val="276"/>
        </w:trPr>
        <w:tc>
          <w:tcPr>
            <w:tcW w:w="5287" w:type="dxa"/>
            <w:noWrap/>
            <w:hideMark/>
          </w:tcPr>
          <w:p w:rsidR="00E445F8" w:rsidRPr="00D73845" w:rsidRDefault="00E445F8" w:rsidP="00563C30">
            <w:r w:rsidRPr="00D73845">
              <w:t xml:space="preserve">5+ hours </w:t>
            </w:r>
          </w:p>
        </w:tc>
        <w:tc>
          <w:tcPr>
            <w:tcW w:w="1200" w:type="dxa"/>
            <w:noWrap/>
            <w:hideMark/>
          </w:tcPr>
          <w:p w:rsidR="00E445F8" w:rsidRPr="00D73845" w:rsidRDefault="00E445F8" w:rsidP="009675C1">
            <w:pPr>
              <w:jc w:val="center"/>
            </w:pPr>
            <w:r w:rsidRPr="00D73845">
              <w:t>29%</w:t>
            </w:r>
          </w:p>
        </w:tc>
        <w:tc>
          <w:tcPr>
            <w:tcW w:w="1061" w:type="dxa"/>
            <w:noWrap/>
            <w:hideMark/>
          </w:tcPr>
          <w:p w:rsidR="00E445F8" w:rsidRPr="00D73845" w:rsidRDefault="00E445F8" w:rsidP="009675C1">
            <w:pPr>
              <w:jc w:val="center"/>
            </w:pPr>
            <w:r w:rsidRPr="00D73845">
              <w:t>31%</w:t>
            </w:r>
          </w:p>
        </w:tc>
        <w:tc>
          <w:tcPr>
            <w:tcW w:w="1427" w:type="dxa"/>
            <w:noWrap/>
            <w:hideMark/>
          </w:tcPr>
          <w:p w:rsidR="00E445F8" w:rsidRPr="00D73845" w:rsidRDefault="00E445F8" w:rsidP="009675C1">
            <w:pPr>
              <w:jc w:val="center"/>
            </w:pPr>
            <w:r w:rsidRPr="00D73845">
              <w:t>29%</w:t>
            </w:r>
          </w:p>
        </w:tc>
        <w:tc>
          <w:tcPr>
            <w:tcW w:w="1427" w:type="dxa"/>
            <w:noWrap/>
            <w:hideMark/>
          </w:tcPr>
          <w:p w:rsidR="00E445F8" w:rsidRPr="00D73845" w:rsidRDefault="00E445F8" w:rsidP="009675C1">
            <w:pPr>
              <w:jc w:val="center"/>
            </w:pPr>
            <w:r w:rsidRPr="00D73845">
              <w:t>34%</w:t>
            </w:r>
          </w:p>
        </w:tc>
        <w:tc>
          <w:tcPr>
            <w:tcW w:w="1353" w:type="dxa"/>
            <w:noWrap/>
            <w:hideMark/>
          </w:tcPr>
          <w:p w:rsidR="00E445F8" w:rsidRPr="00D73845" w:rsidRDefault="00E445F8" w:rsidP="00563C30"/>
        </w:tc>
      </w:tr>
      <w:tr w:rsidR="00E445F8" w:rsidRPr="00D73845" w:rsidTr="00563C30">
        <w:trPr>
          <w:trHeight w:val="276"/>
        </w:trPr>
        <w:tc>
          <w:tcPr>
            <w:tcW w:w="5287" w:type="dxa"/>
            <w:noWrap/>
            <w:hideMark/>
          </w:tcPr>
          <w:p w:rsidR="00E445F8" w:rsidRPr="00D73845" w:rsidRDefault="00E445F8" w:rsidP="00563C30"/>
        </w:tc>
        <w:tc>
          <w:tcPr>
            <w:tcW w:w="1200" w:type="dxa"/>
            <w:noWrap/>
            <w:hideMark/>
          </w:tcPr>
          <w:p w:rsidR="00E445F8" w:rsidRPr="00D73845" w:rsidRDefault="00E445F8" w:rsidP="009675C1">
            <w:pPr>
              <w:jc w:val="center"/>
            </w:pPr>
            <w:r w:rsidRPr="00D73845">
              <w:t>71%</w:t>
            </w:r>
          </w:p>
        </w:tc>
        <w:tc>
          <w:tcPr>
            <w:tcW w:w="1061" w:type="dxa"/>
            <w:noWrap/>
            <w:hideMark/>
          </w:tcPr>
          <w:p w:rsidR="00E445F8" w:rsidRPr="00D73845" w:rsidRDefault="00E445F8" w:rsidP="009675C1">
            <w:pPr>
              <w:jc w:val="center"/>
            </w:pPr>
            <w:r w:rsidRPr="00D73845">
              <w:t>74%</w:t>
            </w:r>
          </w:p>
        </w:tc>
        <w:tc>
          <w:tcPr>
            <w:tcW w:w="1427" w:type="dxa"/>
            <w:noWrap/>
            <w:hideMark/>
          </w:tcPr>
          <w:p w:rsidR="00E445F8" w:rsidRPr="00D73845" w:rsidRDefault="00E445F8" w:rsidP="009675C1">
            <w:pPr>
              <w:jc w:val="center"/>
            </w:pPr>
            <w:r w:rsidRPr="00D73845">
              <w:t>73%</w:t>
            </w:r>
          </w:p>
        </w:tc>
        <w:tc>
          <w:tcPr>
            <w:tcW w:w="1427" w:type="dxa"/>
            <w:noWrap/>
            <w:hideMark/>
          </w:tcPr>
          <w:p w:rsidR="00E445F8" w:rsidRPr="00D73845" w:rsidRDefault="00E445F8" w:rsidP="009675C1">
            <w:pPr>
              <w:jc w:val="center"/>
            </w:pPr>
            <w:r w:rsidRPr="00D73845">
              <w:t>74%</w:t>
            </w:r>
          </w:p>
        </w:tc>
        <w:tc>
          <w:tcPr>
            <w:tcW w:w="1353" w:type="dxa"/>
            <w:noWrap/>
            <w:hideMark/>
          </w:tcPr>
          <w:p w:rsidR="00E445F8" w:rsidRPr="00D73845" w:rsidRDefault="00E445F8" w:rsidP="00563C30"/>
        </w:tc>
      </w:tr>
      <w:tr w:rsidR="00E445F8" w:rsidRPr="00D73845" w:rsidTr="00563C30">
        <w:trPr>
          <w:trHeight w:val="276"/>
        </w:trPr>
        <w:tc>
          <w:tcPr>
            <w:tcW w:w="5287" w:type="dxa"/>
            <w:noWrap/>
            <w:hideMark/>
          </w:tcPr>
          <w:p w:rsidR="00E445F8" w:rsidRPr="00D73845" w:rsidRDefault="00E445F8" w:rsidP="00290E5F">
            <w:r w:rsidRPr="00D73845">
              <w:t xml:space="preserve">Source: Wellington City Council </w:t>
            </w:r>
            <w:r w:rsidR="00290E5F">
              <w:t>RMS</w:t>
            </w:r>
            <w:r w:rsidRPr="00D73845">
              <w:t xml:space="preserve"> </w:t>
            </w:r>
          </w:p>
        </w:tc>
        <w:tc>
          <w:tcPr>
            <w:tcW w:w="1200" w:type="dxa"/>
            <w:noWrap/>
            <w:hideMark/>
          </w:tcPr>
          <w:p w:rsidR="00E445F8" w:rsidRPr="00D73845" w:rsidRDefault="00E445F8" w:rsidP="00563C30"/>
        </w:tc>
        <w:tc>
          <w:tcPr>
            <w:tcW w:w="1061" w:type="dxa"/>
            <w:noWrap/>
            <w:hideMark/>
          </w:tcPr>
          <w:p w:rsidR="00E445F8" w:rsidRPr="00D73845" w:rsidRDefault="00E445F8" w:rsidP="00563C30"/>
        </w:tc>
        <w:tc>
          <w:tcPr>
            <w:tcW w:w="1427" w:type="dxa"/>
            <w:noWrap/>
            <w:hideMark/>
          </w:tcPr>
          <w:p w:rsidR="00E445F8" w:rsidRPr="00D73845" w:rsidRDefault="00E445F8" w:rsidP="00563C30"/>
        </w:tc>
        <w:tc>
          <w:tcPr>
            <w:tcW w:w="1427" w:type="dxa"/>
            <w:noWrap/>
            <w:hideMark/>
          </w:tcPr>
          <w:p w:rsidR="00E445F8" w:rsidRPr="00D73845" w:rsidRDefault="00E445F8" w:rsidP="00563C30"/>
        </w:tc>
        <w:tc>
          <w:tcPr>
            <w:tcW w:w="1353" w:type="dxa"/>
            <w:noWrap/>
            <w:hideMark/>
          </w:tcPr>
          <w:p w:rsidR="00E445F8" w:rsidRPr="00D73845" w:rsidRDefault="00E445F8" w:rsidP="00563C30"/>
        </w:tc>
      </w:tr>
      <w:tr w:rsidR="00E445F8" w:rsidRPr="00D73845" w:rsidTr="00563C30">
        <w:trPr>
          <w:trHeight w:val="276"/>
        </w:trPr>
        <w:tc>
          <w:tcPr>
            <w:tcW w:w="5287" w:type="dxa"/>
            <w:noWrap/>
            <w:hideMark/>
          </w:tcPr>
          <w:p w:rsidR="00E445F8" w:rsidRPr="00D73845" w:rsidRDefault="00E445F8" w:rsidP="00563C30">
            <w:pPr>
              <w:rPr>
                <w:b/>
                <w:bCs/>
              </w:rPr>
            </w:pPr>
            <w:r w:rsidRPr="00D73845">
              <w:rPr>
                <w:b/>
                <w:bCs/>
              </w:rPr>
              <w:t>Question</w:t>
            </w:r>
            <w:r>
              <w:rPr>
                <w:b/>
                <w:bCs/>
              </w:rPr>
              <w:t xml:space="preserve"> 2.</w:t>
            </w:r>
            <w:r w:rsidRPr="00D73845">
              <w:rPr>
                <w:b/>
                <w:bCs/>
              </w:rPr>
              <w:t xml:space="preserve"> changed in 2019</w:t>
            </w:r>
          </w:p>
        </w:tc>
        <w:tc>
          <w:tcPr>
            <w:tcW w:w="1200" w:type="dxa"/>
            <w:noWrap/>
            <w:hideMark/>
          </w:tcPr>
          <w:p w:rsidR="00E445F8" w:rsidRPr="00D73845" w:rsidRDefault="00E445F8" w:rsidP="00563C30"/>
        </w:tc>
        <w:tc>
          <w:tcPr>
            <w:tcW w:w="1061" w:type="dxa"/>
            <w:noWrap/>
            <w:hideMark/>
          </w:tcPr>
          <w:p w:rsidR="00E445F8" w:rsidRPr="00D73845" w:rsidRDefault="00E445F8" w:rsidP="00563C30"/>
        </w:tc>
        <w:tc>
          <w:tcPr>
            <w:tcW w:w="1427" w:type="dxa"/>
            <w:noWrap/>
            <w:hideMark/>
          </w:tcPr>
          <w:p w:rsidR="00E445F8" w:rsidRPr="00D73845" w:rsidRDefault="00E445F8" w:rsidP="00563C30"/>
        </w:tc>
        <w:tc>
          <w:tcPr>
            <w:tcW w:w="1427" w:type="dxa"/>
            <w:noWrap/>
            <w:hideMark/>
          </w:tcPr>
          <w:p w:rsidR="00E445F8" w:rsidRPr="00D73845" w:rsidRDefault="00E445F8" w:rsidP="00563C30"/>
        </w:tc>
        <w:tc>
          <w:tcPr>
            <w:tcW w:w="1353" w:type="dxa"/>
            <w:noWrap/>
            <w:hideMark/>
          </w:tcPr>
          <w:p w:rsidR="00E445F8" w:rsidRPr="00D73845" w:rsidRDefault="00E445F8" w:rsidP="00563C30">
            <w:pPr>
              <w:rPr>
                <w:b/>
                <w:bCs/>
              </w:rPr>
            </w:pPr>
          </w:p>
        </w:tc>
      </w:tr>
      <w:tr w:rsidR="00E445F8" w:rsidRPr="00D73845" w:rsidTr="00563C30">
        <w:trPr>
          <w:trHeight w:val="276"/>
        </w:trPr>
        <w:tc>
          <w:tcPr>
            <w:tcW w:w="10402" w:type="dxa"/>
            <w:gridSpan w:val="5"/>
            <w:noWrap/>
            <w:hideMark/>
          </w:tcPr>
          <w:p w:rsidR="00E445F8" w:rsidRPr="00D73845" w:rsidRDefault="00E445F8" w:rsidP="00563C30">
            <w:r w:rsidRPr="00D73845">
              <w:t>Determined by whether respondents selected participant led activity in last 12 months</w:t>
            </w:r>
          </w:p>
        </w:tc>
        <w:tc>
          <w:tcPr>
            <w:tcW w:w="1353" w:type="dxa"/>
            <w:noWrap/>
            <w:hideMark/>
          </w:tcPr>
          <w:p w:rsidR="00E445F8" w:rsidRPr="00D73845" w:rsidRDefault="00E445F8" w:rsidP="009675C1">
            <w:pPr>
              <w:jc w:val="center"/>
            </w:pPr>
            <w:r w:rsidRPr="00D73845">
              <w:t>69.7%</w:t>
            </w:r>
          </w:p>
        </w:tc>
      </w:tr>
    </w:tbl>
    <w:p w:rsidR="00E445F8" w:rsidRDefault="00E445F8" w:rsidP="002C7BF8">
      <w:pPr>
        <w:pStyle w:val="ListParagraph"/>
        <w:numPr>
          <w:ilvl w:val="0"/>
          <w:numId w:val="80"/>
        </w:numPr>
        <w:spacing w:before="240"/>
      </w:pPr>
      <w:r w:rsidRPr="002E1D14">
        <w:rPr>
          <w:b/>
        </w:rPr>
        <w:t xml:space="preserve">How often have you participated in organized or informal active recreation </w:t>
      </w:r>
      <w:r w:rsidR="00290E5F" w:rsidRPr="002E1D14">
        <w:rPr>
          <w:b/>
        </w:rPr>
        <w:t xml:space="preserve">and </w:t>
      </w:r>
      <w:r w:rsidRPr="002E1D14">
        <w:rPr>
          <w:b/>
        </w:rPr>
        <w:t>sport in the last 12 months?</w:t>
      </w:r>
    </w:p>
    <w:tbl>
      <w:tblPr>
        <w:tblStyle w:val="TableGrid"/>
        <w:tblW w:w="0" w:type="auto"/>
        <w:tblBorders>
          <w:top w:val="single" w:sz="4" w:space="0" w:color="215868" w:themeColor="accent5" w:themeShade="80"/>
          <w:left w:val="none" w:sz="0" w:space="0" w:color="auto"/>
          <w:bottom w:val="single" w:sz="4" w:space="0" w:color="215868" w:themeColor="accent5" w:themeShade="80"/>
          <w:right w:val="none" w:sz="0" w:space="0" w:color="auto"/>
          <w:insideH w:val="single" w:sz="4" w:space="0" w:color="215868" w:themeColor="accent5" w:themeShade="80"/>
          <w:insideV w:val="single" w:sz="4" w:space="0" w:color="215868" w:themeColor="accent5" w:themeShade="80"/>
        </w:tblBorders>
        <w:tblLayout w:type="fixed"/>
        <w:tblLook w:val="04A0" w:firstRow="1" w:lastRow="0" w:firstColumn="1" w:lastColumn="0" w:noHBand="0" w:noVBand="1"/>
      </w:tblPr>
      <w:tblGrid>
        <w:gridCol w:w="3794"/>
        <w:gridCol w:w="1336"/>
        <w:gridCol w:w="1336"/>
        <w:gridCol w:w="1337"/>
        <w:gridCol w:w="1336"/>
        <w:gridCol w:w="1337"/>
        <w:gridCol w:w="1336"/>
        <w:gridCol w:w="1337"/>
      </w:tblGrid>
      <w:tr w:rsidR="00E445F8" w:rsidRPr="00D73845" w:rsidTr="009675C1">
        <w:trPr>
          <w:trHeight w:val="1052"/>
        </w:trPr>
        <w:tc>
          <w:tcPr>
            <w:tcW w:w="3794" w:type="dxa"/>
            <w:noWrap/>
            <w:hideMark/>
          </w:tcPr>
          <w:p w:rsidR="00E445F8" w:rsidRPr="00D73845" w:rsidRDefault="00E445F8" w:rsidP="00563C30"/>
        </w:tc>
        <w:tc>
          <w:tcPr>
            <w:tcW w:w="1336" w:type="dxa"/>
            <w:shd w:val="clear" w:color="auto" w:fill="009999"/>
            <w:vAlign w:val="bottom"/>
            <w:hideMark/>
          </w:tcPr>
          <w:p w:rsidR="00E445F8" w:rsidRPr="009675C1" w:rsidRDefault="00E445F8" w:rsidP="009675C1">
            <w:pPr>
              <w:jc w:val="center"/>
              <w:rPr>
                <w:b/>
                <w:color w:val="FFFFFF" w:themeColor="background1"/>
                <w:szCs w:val="20"/>
              </w:rPr>
            </w:pPr>
            <w:r w:rsidRPr="009675C1">
              <w:rPr>
                <w:b/>
                <w:color w:val="FFFFFF" w:themeColor="background1"/>
                <w:szCs w:val="20"/>
              </w:rPr>
              <w:t>Most days</w:t>
            </w:r>
          </w:p>
        </w:tc>
        <w:tc>
          <w:tcPr>
            <w:tcW w:w="1336" w:type="dxa"/>
            <w:tcBorders>
              <w:bottom w:val="nil"/>
              <w:right w:val="single" w:sz="4" w:space="0" w:color="FFFFFF" w:themeColor="background1"/>
            </w:tcBorders>
            <w:shd w:val="clear" w:color="auto" w:fill="009999"/>
            <w:vAlign w:val="bottom"/>
            <w:hideMark/>
          </w:tcPr>
          <w:p w:rsidR="00E445F8" w:rsidRPr="009675C1" w:rsidRDefault="00E445F8" w:rsidP="009675C1">
            <w:pPr>
              <w:jc w:val="center"/>
              <w:rPr>
                <w:b/>
                <w:color w:val="FFFFFF" w:themeColor="background1"/>
                <w:szCs w:val="20"/>
              </w:rPr>
            </w:pPr>
            <w:r w:rsidRPr="009675C1">
              <w:rPr>
                <w:b/>
                <w:color w:val="FFFFFF" w:themeColor="background1"/>
                <w:szCs w:val="20"/>
              </w:rPr>
              <w:t>Once or twice a week</w:t>
            </w:r>
          </w:p>
        </w:tc>
        <w:tc>
          <w:tcPr>
            <w:tcW w:w="1337" w:type="dxa"/>
            <w:tcBorders>
              <w:left w:val="single" w:sz="4" w:space="0" w:color="FFFFFF" w:themeColor="background1"/>
              <w:bottom w:val="nil"/>
              <w:right w:val="single" w:sz="4" w:space="0" w:color="FFFFFF" w:themeColor="background1"/>
            </w:tcBorders>
            <w:shd w:val="clear" w:color="auto" w:fill="009999"/>
            <w:vAlign w:val="bottom"/>
            <w:hideMark/>
          </w:tcPr>
          <w:p w:rsidR="00E445F8" w:rsidRPr="009675C1" w:rsidRDefault="00E445F8" w:rsidP="009675C1">
            <w:pPr>
              <w:jc w:val="center"/>
              <w:rPr>
                <w:b/>
                <w:color w:val="FFFFFF" w:themeColor="background1"/>
                <w:szCs w:val="20"/>
              </w:rPr>
            </w:pPr>
            <w:r w:rsidRPr="009675C1">
              <w:rPr>
                <w:b/>
                <w:color w:val="FFFFFF" w:themeColor="background1"/>
                <w:szCs w:val="20"/>
              </w:rPr>
              <w:t>Once every 2-3 weeks</w:t>
            </w:r>
          </w:p>
        </w:tc>
        <w:tc>
          <w:tcPr>
            <w:tcW w:w="1336" w:type="dxa"/>
            <w:tcBorders>
              <w:left w:val="single" w:sz="4" w:space="0" w:color="FFFFFF" w:themeColor="background1"/>
              <w:bottom w:val="nil"/>
              <w:right w:val="single" w:sz="4" w:space="0" w:color="FFFFFF" w:themeColor="background1"/>
            </w:tcBorders>
            <w:shd w:val="clear" w:color="auto" w:fill="009999"/>
            <w:vAlign w:val="bottom"/>
            <w:hideMark/>
          </w:tcPr>
          <w:p w:rsidR="00E445F8" w:rsidRPr="009675C1" w:rsidRDefault="00E445F8" w:rsidP="009675C1">
            <w:pPr>
              <w:jc w:val="center"/>
              <w:rPr>
                <w:b/>
                <w:color w:val="FFFFFF" w:themeColor="background1"/>
                <w:szCs w:val="20"/>
              </w:rPr>
            </w:pPr>
            <w:r w:rsidRPr="009675C1">
              <w:rPr>
                <w:b/>
                <w:color w:val="FFFFFF" w:themeColor="background1"/>
                <w:szCs w:val="20"/>
              </w:rPr>
              <w:t>Once a month</w:t>
            </w:r>
          </w:p>
        </w:tc>
        <w:tc>
          <w:tcPr>
            <w:tcW w:w="1337" w:type="dxa"/>
            <w:tcBorders>
              <w:left w:val="single" w:sz="4" w:space="0" w:color="FFFFFF" w:themeColor="background1"/>
              <w:bottom w:val="nil"/>
              <w:right w:val="single" w:sz="4" w:space="0" w:color="FFFFFF" w:themeColor="background1"/>
            </w:tcBorders>
            <w:shd w:val="clear" w:color="auto" w:fill="009999"/>
            <w:vAlign w:val="bottom"/>
            <w:hideMark/>
          </w:tcPr>
          <w:p w:rsidR="00E445F8" w:rsidRPr="009675C1" w:rsidRDefault="00E445F8" w:rsidP="009675C1">
            <w:pPr>
              <w:jc w:val="center"/>
              <w:rPr>
                <w:b/>
                <w:color w:val="FFFFFF" w:themeColor="background1"/>
                <w:szCs w:val="20"/>
              </w:rPr>
            </w:pPr>
            <w:r w:rsidRPr="009675C1">
              <w:rPr>
                <w:b/>
                <w:color w:val="FFFFFF" w:themeColor="background1"/>
                <w:szCs w:val="20"/>
              </w:rPr>
              <w:t>Once every 2-3 months</w:t>
            </w:r>
          </w:p>
        </w:tc>
        <w:tc>
          <w:tcPr>
            <w:tcW w:w="1336" w:type="dxa"/>
            <w:tcBorders>
              <w:left w:val="single" w:sz="4" w:space="0" w:color="FFFFFF" w:themeColor="background1"/>
              <w:bottom w:val="nil"/>
              <w:right w:val="single" w:sz="4" w:space="0" w:color="FFFFFF" w:themeColor="background1"/>
            </w:tcBorders>
            <w:shd w:val="clear" w:color="auto" w:fill="009999"/>
            <w:vAlign w:val="bottom"/>
            <w:hideMark/>
          </w:tcPr>
          <w:p w:rsidR="00E445F8" w:rsidRPr="009675C1" w:rsidRDefault="00E445F8" w:rsidP="009675C1">
            <w:pPr>
              <w:jc w:val="center"/>
              <w:rPr>
                <w:b/>
                <w:color w:val="FFFFFF" w:themeColor="background1"/>
                <w:szCs w:val="20"/>
              </w:rPr>
            </w:pPr>
            <w:r w:rsidRPr="009675C1">
              <w:rPr>
                <w:b/>
                <w:color w:val="FFFFFF" w:themeColor="background1"/>
                <w:szCs w:val="20"/>
              </w:rPr>
              <w:t>Once every 4-5 months</w:t>
            </w:r>
          </w:p>
        </w:tc>
        <w:tc>
          <w:tcPr>
            <w:tcW w:w="1337" w:type="dxa"/>
            <w:tcBorders>
              <w:left w:val="single" w:sz="4" w:space="0" w:color="FFFFFF" w:themeColor="background1"/>
              <w:bottom w:val="nil"/>
            </w:tcBorders>
            <w:shd w:val="clear" w:color="auto" w:fill="009999"/>
            <w:vAlign w:val="bottom"/>
            <w:hideMark/>
          </w:tcPr>
          <w:p w:rsidR="00E445F8" w:rsidRPr="009675C1" w:rsidRDefault="00E445F8" w:rsidP="009675C1">
            <w:pPr>
              <w:jc w:val="center"/>
              <w:rPr>
                <w:b/>
                <w:color w:val="FFFFFF" w:themeColor="background1"/>
                <w:szCs w:val="20"/>
              </w:rPr>
            </w:pPr>
            <w:r w:rsidRPr="009675C1">
              <w:rPr>
                <w:b/>
                <w:color w:val="FFFFFF" w:themeColor="background1"/>
                <w:szCs w:val="20"/>
              </w:rPr>
              <w:t>Once every 6 months or less often</w:t>
            </w:r>
          </w:p>
        </w:tc>
      </w:tr>
      <w:tr w:rsidR="00E445F8" w:rsidRPr="00D73845" w:rsidTr="00E445F8">
        <w:trPr>
          <w:trHeight w:val="276"/>
        </w:trPr>
        <w:tc>
          <w:tcPr>
            <w:tcW w:w="3794" w:type="dxa"/>
            <w:noWrap/>
            <w:hideMark/>
          </w:tcPr>
          <w:p w:rsidR="00E445F8" w:rsidRPr="00D73845" w:rsidRDefault="00E445F8" w:rsidP="00563C30">
            <w:r w:rsidRPr="00D73845">
              <w:t>2018 n=957</w:t>
            </w:r>
          </w:p>
        </w:tc>
        <w:tc>
          <w:tcPr>
            <w:tcW w:w="1336" w:type="dxa"/>
            <w:noWrap/>
            <w:hideMark/>
          </w:tcPr>
          <w:p w:rsidR="00E445F8" w:rsidRPr="00D73845" w:rsidRDefault="00E445F8" w:rsidP="009675C1">
            <w:pPr>
              <w:jc w:val="center"/>
            </w:pPr>
            <w:r w:rsidRPr="00D73845">
              <w:t>10%</w:t>
            </w:r>
          </w:p>
        </w:tc>
        <w:tc>
          <w:tcPr>
            <w:tcW w:w="1336" w:type="dxa"/>
            <w:noWrap/>
            <w:hideMark/>
          </w:tcPr>
          <w:p w:rsidR="00E445F8" w:rsidRPr="00D73845" w:rsidRDefault="00E445F8" w:rsidP="009675C1">
            <w:pPr>
              <w:jc w:val="center"/>
            </w:pPr>
            <w:r w:rsidRPr="00D73845">
              <w:t>24%</w:t>
            </w:r>
          </w:p>
        </w:tc>
        <w:tc>
          <w:tcPr>
            <w:tcW w:w="1337" w:type="dxa"/>
            <w:noWrap/>
            <w:hideMark/>
          </w:tcPr>
          <w:p w:rsidR="00E445F8" w:rsidRPr="00D73845" w:rsidRDefault="00E445F8" w:rsidP="009675C1">
            <w:pPr>
              <w:jc w:val="center"/>
            </w:pPr>
            <w:r w:rsidRPr="00D73845">
              <w:t>13%</w:t>
            </w:r>
          </w:p>
        </w:tc>
        <w:tc>
          <w:tcPr>
            <w:tcW w:w="1336" w:type="dxa"/>
            <w:noWrap/>
            <w:hideMark/>
          </w:tcPr>
          <w:p w:rsidR="00E445F8" w:rsidRPr="00D73845" w:rsidRDefault="00E445F8" w:rsidP="009675C1">
            <w:pPr>
              <w:jc w:val="center"/>
            </w:pPr>
            <w:r w:rsidRPr="00D73845">
              <w:t>9%</w:t>
            </w:r>
          </w:p>
        </w:tc>
        <w:tc>
          <w:tcPr>
            <w:tcW w:w="1337" w:type="dxa"/>
            <w:noWrap/>
            <w:hideMark/>
          </w:tcPr>
          <w:p w:rsidR="00E445F8" w:rsidRPr="00D73845" w:rsidRDefault="00E445F8" w:rsidP="009675C1">
            <w:pPr>
              <w:jc w:val="center"/>
            </w:pPr>
            <w:r w:rsidRPr="00D73845">
              <w:t>6%</w:t>
            </w:r>
          </w:p>
        </w:tc>
        <w:tc>
          <w:tcPr>
            <w:tcW w:w="1336" w:type="dxa"/>
            <w:noWrap/>
            <w:hideMark/>
          </w:tcPr>
          <w:p w:rsidR="00E445F8" w:rsidRPr="00D73845" w:rsidRDefault="00E445F8" w:rsidP="009675C1">
            <w:pPr>
              <w:jc w:val="center"/>
            </w:pPr>
            <w:r w:rsidRPr="00D73845">
              <w:t>4%</w:t>
            </w:r>
          </w:p>
        </w:tc>
        <w:tc>
          <w:tcPr>
            <w:tcW w:w="1337" w:type="dxa"/>
            <w:noWrap/>
            <w:hideMark/>
          </w:tcPr>
          <w:p w:rsidR="00E445F8" w:rsidRPr="00D73845" w:rsidRDefault="00E445F8" w:rsidP="009675C1">
            <w:pPr>
              <w:jc w:val="center"/>
            </w:pPr>
            <w:r w:rsidRPr="00D73845">
              <w:t>8%</w:t>
            </w:r>
          </w:p>
        </w:tc>
      </w:tr>
      <w:tr w:rsidR="00E445F8" w:rsidRPr="00D73845" w:rsidTr="00E445F8">
        <w:trPr>
          <w:trHeight w:val="276"/>
        </w:trPr>
        <w:tc>
          <w:tcPr>
            <w:tcW w:w="3794" w:type="dxa"/>
            <w:noWrap/>
            <w:hideMark/>
          </w:tcPr>
          <w:p w:rsidR="00E445F8" w:rsidRPr="00D73845" w:rsidRDefault="00E445F8" w:rsidP="00563C30">
            <w:r w:rsidRPr="00D73845">
              <w:t>2019 n=508</w:t>
            </w:r>
          </w:p>
        </w:tc>
        <w:tc>
          <w:tcPr>
            <w:tcW w:w="1336" w:type="dxa"/>
            <w:noWrap/>
            <w:hideMark/>
          </w:tcPr>
          <w:p w:rsidR="00E445F8" w:rsidRPr="00D73845" w:rsidRDefault="00E445F8" w:rsidP="009675C1">
            <w:pPr>
              <w:jc w:val="center"/>
            </w:pPr>
            <w:r w:rsidRPr="00D73845">
              <w:t>13%</w:t>
            </w:r>
          </w:p>
        </w:tc>
        <w:tc>
          <w:tcPr>
            <w:tcW w:w="1336" w:type="dxa"/>
            <w:noWrap/>
            <w:hideMark/>
          </w:tcPr>
          <w:p w:rsidR="00E445F8" w:rsidRPr="00D73845" w:rsidRDefault="00E445F8" w:rsidP="009675C1">
            <w:pPr>
              <w:jc w:val="center"/>
            </w:pPr>
            <w:r w:rsidRPr="00D73845">
              <w:t>30%</w:t>
            </w:r>
          </w:p>
        </w:tc>
        <w:tc>
          <w:tcPr>
            <w:tcW w:w="1337" w:type="dxa"/>
            <w:noWrap/>
            <w:hideMark/>
          </w:tcPr>
          <w:p w:rsidR="00E445F8" w:rsidRPr="00D73845" w:rsidRDefault="00E445F8" w:rsidP="009675C1">
            <w:pPr>
              <w:jc w:val="center"/>
            </w:pPr>
            <w:r w:rsidRPr="00D73845">
              <w:t>8%</w:t>
            </w:r>
          </w:p>
        </w:tc>
        <w:tc>
          <w:tcPr>
            <w:tcW w:w="1336" w:type="dxa"/>
            <w:noWrap/>
            <w:hideMark/>
          </w:tcPr>
          <w:p w:rsidR="00E445F8" w:rsidRPr="00D73845" w:rsidRDefault="00E445F8" w:rsidP="009675C1">
            <w:pPr>
              <w:jc w:val="center"/>
            </w:pPr>
            <w:r w:rsidRPr="00D73845">
              <w:t>5%</w:t>
            </w:r>
          </w:p>
        </w:tc>
        <w:tc>
          <w:tcPr>
            <w:tcW w:w="1337" w:type="dxa"/>
            <w:noWrap/>
            <w:hideMark/>
          </w:tcPr>
          <w:p w:rsidR="00E445F8" w:rsidRPr="00D73845" w:rsidRDefault="00E445F8" w:rsidP="009675C1">
            <w:pPr>
              <w:jc w:val="center"/>
            </w:pPr>
            <w:r w:rsidRPr="00D73845">
              <w:t>3%</w:t>
            </w:r>
          </w:p>
        </w:tc>
        <w:tc>
          <w:tcPr>
            <w:tcW w:w="1336" w:type="dxa"/>
            <w:noWrap/>
            <w:hideMark/>
          </w:tcPr>
          <w:p w:rsidR="00E445F8" w:rsidRPr="00D73845" w:rsidRDefault="00E445F8" w:rsidP="009675C1">
            <w:pPr>
              <w:jc w:val="center"/>
            </w:pPr>
            <w:r w:rsidRPr="00D73845">
              <w:t>3%</w:t>
            </w:r>
          </w:p>
        </w:tc>
        <w:tc>
          <w:tcPr>
            <w:tcW w:w="1337" w:type="dxa"/>
            <w:noWrap/>
            <w:hideMark/>
          </w:tcPr>
          <w:p w:rsidR="00E445F8" w:rsidRPr="00D73845" w:rsidRDefault="00E445F8" w:rsidP="009675C1">
            <w:pPr>
              <w:jc w:val="center"/>
            </w:pPr>
            <w:r w:rsidRPr="00D73845">
              <w:t>8%</w:t>
            </w:r>
          </w:p>
        </w:tc>
      </w:tr>
    </w:tbl>
    <w:p w:rsidR="00E445F8" w:rsidRDefault="00E445F8" w:rsidP="00E445F8"/>
    <w:p w:rsidR="00E445F8" w:rsidRDefault="00E445F8" w:rsidP="002C7BF8">
      <w:pPr>
        <w:pStyle w:val="ListParagraph"/>
        <w:numPr>
          <w:ilvl w:val="0"/>
          <w:numId w:val="63"/>
        </w:numPr>
      </w:pPr>
      <w:r w:rsidRPr="00E445F8">
        <w:rPr>
          <w:b/>
          <w:bCs/>
        </w:rPr>
        <w:t>Residents’ perceptions that there are barriers to participating in recreation activities</w:t>
      </w:r>
    </w:p>
    <w:tbl>
      <w:tblPr>
        <w:tblStyle w:val="TableGrid"/>
        <w:tblW w:w="0" w:type="auto"/>
        <w:tblBorders>
          <w:top w:val="single" w:sz="4" w:space="0" w:color="215868" w:themeColor="accent5" w:themeShade="80"/>
          <w:left w:val="none" w:sz="0" w:space="0" w:color="auto"/>
          <w:bottom w:val="single" w:sz="4" w:space="0" w:color="215868" w:themeColor="accent5" w:themeShade="80"/>
          <w:right w:val="none" w:sz="0" w:space="0" w:color="auto"/>
          <w:insideH w:val="single" w:sz="4" w:space="0" w:color="215868" w:themeColor="accent5" w:themeShade="80"/>
          <w:insideV w:val="single" w:sz="4" w:space="0" w:color="215868" w:themeColor="accent5" w:themeShade="80"/>
        </w:tblBorders>
        <w:tblLook w:val="04A0" w:firstRow="1" w:lastRow="0" w:firstColumn="1" w:lastColumn="0" w:noHBand="0" w:noVBand="1"/>
      </w:tblPr>
      <w:tblGrid>
        <w:gridCol w:w="10740"/>
        <w:gridCol w:w="1134"/>
        <w:gridCol w:w="1134"/>
      </w:tblGrid>
      <w:tr w:rsidR="00E445F8" w:rsidRPr="00D73845" w:rsidTr="00E445F8">
        <w:trPr>
          <w:trHeight w:val="276"/>
          <w:tblHeader/>
        </w:trPr>
        <w:tc>
          <w:tcPr>
            <w:tcW w:w="10740" w:type="dxa"/>
            <w:noWrap/>
            <w:hideMark/>
          </w:tcPr>
          <w:p w:rsidR="00E445F8" w:rsidRPr="00D73845" w:rsidRDefault="00E445F8" w:rsidP="00563C30"/>
        </w:tc>
        <w:tc>
          <w:tcPr>
            <w:tcW w:w="1134" w:type="dxa"/>
            <w:tcBorders>
              <w:bottom w:val="nil"/>
              <w:right w:val="single" w:sz="4" w:space="0" w:color="FFFFFF" w:themeColor="background1"/>
            </w:tcBorders>
            <w:shd w:val="clear" w:color="auto" w:fill="009999"/>
            <w:noWrap/>
            <w:hideMark/>
          </w:tcPr>
          <w:p w:rsidR="00E445F8" w:rsidRPr="0024684D" w:rsidRDefault="00E445F8" w:rsidP="00563C30">
            <w:pPr>
              <w:rPr>
                <w:b/>
                <w:bCs/>
                <w:color w:val="FFFFFF" w:themeColor="background1"/>
              </w:rPr>
            </w:pPr>
            <w:r w:rsidRPr="0024684D">
              <w:rPr>
                <w:b/>
                <w:bCs/>
                <w:color w:val="FFFFFF" w:themeColor="background1"/>
              </w:rPr>
              <w:t>2018</w:t>
            </w:r>
          </w:p>
        </w:tc>
        <w:tc>
          <w:tcPr>
            <w:tcW w:w="1134" w:type="dxa"/>
            <w:tcBorders>
              <w:left w:val="single" w:sz="4" w:space="0" w:color="FFFFFF" w:themeColor="background1"/>
              <w:bottom w:val="nil"/>
            </w:tcBorders>
            <w:shd w:val="clear" w:color="auto" w:fill="009999"/>
            <w:noWrap/>
            <w:hideMark/>
          </w:tcPr>
          <w:p w:rsidR="00E445F8" w:rsidRPr="0024684D" w:rsidRDefault="00E445F8" w:rsidP="00563C30">
            <w:pPr>
              <w:rPr>
                <w:b/>
                <w:bCs/>
                <w:color w:val="FFFFFF" w:themeColor="background1"/>
              </w:rPr>
            </w:pPr>
            <w:r w:rsidRPr="0024684D">
              <w:rPr>
                <w:b/>
                <w:bCs/>
                <w:color w:val="FFFFFF" w:themeColor="background1"/>
              </w:rPr>
              <w:t>2019</w:t>
            </w:r>
          </w:p>
        </w:tc>
      </w:tr>
      <w:tr w:rsidR="00E445F8" w:rsidRPr="00D73845" w:rsidTr="00563C30">
        <w:trPr>
          <w:trHeight w:val="552"/>
        </w:trPr>
        <w:tc>
          <w:tcPr>
            <w:tcW w:w="10740" w:type="dxa"/>
            <w:hideMark/>
          </w:tcPr>
          <w:p w:rsidR="00E445F8" w:rsidRPr="00D73845" w:rsidRDefault="00E445F8" w:rsidP="00563C30">
            <w:r w:rsidRPr="00D73845">
              <w:t>The results published (81%) is all residents who did NOT state "nothing" as barrier to participating in organisation led recreation activities</w:t>
            </w:r>
          </w:p>
        </w:tc>
        <w:tc>
          <w:tcPr>
            <w:tcW w:w="1134" w:type="dxa"/>
            <w:noWrap/>
            <w:hideMark/>
          </w:tcPr>
          <w:p w:rsidR="00E445F8" w:rsidRPr="00D73845" w:rsidRDefault="00E445F8" w:rsidP="00563C30">
            <w:r w:rsidRPr="00D73845">
              <w:t>84%</w:t>
            </w:r>
          </w:p>
        </w:tc>
        <w:tc>
          <w:tcPr>
            <w:tcW w:w="1134" w:type="dxa"/>
            <w:noWrap/>
            <w:hideMark/>
          </w:tcPr>
          <w:p w:rsidR="00E445F8" w:rsidRPr="00D73845" w:rsidRDefault="00E445F8" w:rsidP="00563C30">
            <w:r w:rsidRPr="00D73845">
              <w:t>80.7%</w:t>
            </w:r>
          </w:p>
        </w:tc>
      </w:tr>
      <w:tr w:rsidR="00E445F8" w:rsidRPr="00D73845" w:rsidTr="00563C30">
        <w:trPr>
          <w:trHeight w:val="552"/>
        </w:trPr>
        <w:tc>
          <w:tcPr>
            <w:tcW w:w="10740" w:type="dxa"/>
            <w:hideMark/>
          </w:tcPr>
          <w:p w:rsidR="00E445F8" w:rsidRPr="00D73845" w:rsidRDefault="00E445F8" w:rsidP="00563C30">
            <w:r w:rsidRPr="00D73845">
              <w:t>The results published (75%) is all residents who did NOT state "nothing" as barrier to participating in participant-led recreation activities</w:t>
            </w:r>
          </w:p>
        </w:tc>
        <w:tc>
          <w:tcPr>
            <w:tcW w:w="1134" w:type="dxa"/>
            <w:noWrap/>
            <w:hideMark/>
          </w:tcPr>
          <w:p w:rsidR="00E445F8" w:rsidRPr="00D73845" w:rsidRDefault="00E445F8" w:rsidP="00563C30">
            <w:r w:rsidRPr="00D73845">
              <w:t>81%</w:t>
            </w:r>
          </w:p>
        </w:tc>
        <w:tc>
          <w:tcPr>
            <w:tcW w:w="1134" w:type="dxa"/>
            <w:noWrap/>
            <w:hideMark/>
          </w:tcPr>
          <w:p w:rsidR="00E445F8" w:rsidRPr="00D73845" w:rsidRDefault="00E445F8" w:rsidP="00563C30">
            <w:r w:rsidRPr="00D73845">
              <w:t>74.6%</w:t>
            </w:r>
          </w:p>
        </w:tc>
      </w:tr>
    </w:tbl>
    <w:p w:rsidR="00E445F8" w:rsidRDefault="00E445F8" w:rsidP="00E445F8"/>
    <w:p w:rsidR="009073F6" w:rsidRDefault="009073F6" w:rsidP="00E445F8"/>
    <w:p w:rsidR="00E445F8" w:rsidRPr="005C4BC9" w:rsidRDefault="00E445F8" w:rsidP="002C7BF8">
      <w:pPr>
        <w:pStyle w:val="ListParagraph"/>
        <w:numPr>
          <w:ilvl w:val="1"/>
          <w:numId w:val="63"/>
        </w:numPr>
        <w:spacing w:before="240"/>
      </w:pPr>
      <w:r w:rsidRPr="00E445F8">
        <w:rPr>
          <w:b/>
        </w:rPr>
        <w:lastRenderedPageBreak/>
        <w:t>What, if anything, makes it difficult for you to take part in these recreational activities?</w:t>
      </w:r>
    </w:p>
    <w:p w:rsidR="005C4BC9" w:rsidRDefault="005C4BC9" w:rsidP="005C4BC9">
      <w:pPr>
        <w:spacing w:before="240"/>
        <w:ind w:left="360"/>
      </w:pPr>
      <w:r w:rsidRPr="005C4BC9">
        <w:rPr>
          <w:b/>
        </w:rPr>
        <w:t xml:space="preserve">Organisation-led opportunities: </w:t>
      </w:r>
      <w:r w:rsidRPr="00D73845">
        <w:t>These are formally organised with participation facilitated by a club or group and usually involving membership or subscription fees</w:t>
      </w:r>
      <w:r w:rsidR="00290E5F">
        <w:t>,</w:t>
      </w:r>
      <w:r w:rsidRPr="00D73845">
        <w:t xml:space="preserve"> with participation opportunities provided via regular competition and events. </w:t>
      </w:r>
      <w:r w:rsidR="00290E5F">
        <w:t>This includes</w:t>
      </w:r>
      <w:r w:rsidRPr="00D73845">
        <w:t xml:space="preserve"> playing competitive or social sport</w:t>
      </w:r>
      <w:r w:rsidR="00290E5F">
        <w:t>, for example</w:t>
      </w:r>
      <w:proofErr w:type="gramStart"/>
      <w:r w:rsidR="00290E5F">
        <w:t>,</w:t>
      </w:r>
      <w:r w:rsidRPr="00D73845">
        <w:t>hockey</w:t>
      </w:r>
      <w:proofErr w:type="gramEnd"/>
      <w:r w:rsidRPr="00D73845">
        <w:t>, belonging to a tramping club or participating in a fun run series.</w:t>
      </w:r>
    </w:p>
    <w:p w:rsidR="005C4BC9" w:rsidRDefault="005C4BC9" w:rsidP="005C4BC9">
      <w:pPr>
        <w:spacing w:before="240"/>
        <w:ind w:left="360"/>
      </w:pPr>
      <w:r w:rsidRPr="005C4BC9">
        <w:rPr>
          <w:b/>
        </w:rPr>
        <w:t>Participant-led opportunities:</w:t>
      </w:r>
      <w:r w:rsidRPr="00D73845">
        <w:t xml:space="preserve"> These are more informal and flexible allowing place and time to be determined by the participant.</w:t>
      </w:r>
      <w:r w:rsidR="00EA598B">
        <w:t xml:space="preserve"> This could include </w:t>
      </w:r>
      <w:r w:rsidRPr="00D73845">
        <w:t>a pay</w:t>
      </w:r>
      <w:r w:rsidR="00EA598B">
        <w:t>-</w:t>
      </w:r>
      <w:r w:rsidRPr="00D73845">
        <w:t>for</w:t>
      </w:r>
      <w:r w:rsidR="00EA598B">
        <w:t>-</w:t>
      </w:r>
      <w:r w:rsidRPr="00D73845">
        <w:t>play component to access a place or purchase equipment. Examples include swimming at a Council pool, shooting hoops at a local park, going for a walk along the waterfront.</w:t>
      </w:r>
    </w:p>
    <w:tbl>
      <w:tblPr>
        <w:tblStyle w:val="TableGrid"/>
        <w:tblW w:w="0" w:type="auto"/>
        <w:tblBorders>
          <w:top w:val="single" w:sz="4" w:space="0" w:color="215868" w:themeColor="accent5" w:themeShade="80"/>
          <w:left w:val="none" w:sz="0" w:space="0" w:color="auto"/>
          <w:bottom w:val="single" w:sz="4" w:space="0" w:color="215868" w:themeColor="accent5" w:themeShade="80"/>
          <w:right w:val="none" w:sz="0" w:space="0" w:color="auto"/>
          <w:insideH w:val="single" w:sz="4" w:space="0" w:color="215868" w:themeColor="accent5" w:themeShade="80"/>
          <w:insideV w:val="single" w:sz="4" w:space="0" w:color="215868" w:themeColor="accent5" w:themeShade="80"/>
        </w:tblBorders>
        <w:tblLayout w:type="fixed"/>
        <w:tblLook w:val="04A0" w:firstRow="1" w:lastRow="0" w:firstColumn="1" w:lastColumn="0" w:noHBand="0" w:noVBand="1"/>
      </w:tblPr>
      <w:tblGrid>
        <w:gridCol w:w="5070"/>
        <w:gridCol w:w="2013"/>
        <w:gridCol w:w="2013"/>
        <w:gridCol w:w="2013"/>
        <w:gridCol w:w="2014"/>
      </w:tblGrid>
      <w:tr w:rsidR="00E445F8" w:rsidRPr="00D73845" w:rsidTr="005C4BC9">
        <w:trPr>
          <w:trHeight w:val="266"/>
        </w:trPr>
        <w:tc>
          <w:tcPr>
            <w:tcW w:w="5070" w:type="dxa"/>
            <w:vMerge w:val="restart"/>
            <w:hideMark/>
          </w:tcPr>
          <w:p w:rsidR="00E445F8" w:rsidRPr="00B01894" w:rsidRDefault="00E445F8" w:rsidP="00563C30">
            <w:pPr>
              <w:rPr>
                <w:i/>
              </w:rPr>
            </w:pPr>
          </w:p>
        </w:tc>
        <w:tc>
          <w:tcPr>
            <w:tcW w:w="2013" w:type="dxa"/>
            <w:tcBorders>
              <w:bottom w:val="nil"/>
              <w:right w:val="single" w:sz="4" w:space="0" w:color="FFFFFF" w:themeColor="background1"/>
            </w:tcBorders>
            <w:shd w:val="clear" w:color="auto" w:fill="009999"/>
            <w:noWrap/>
            <w:hideMark/>
          </w:tcPr>
          <w:p w:rsidR="00E445F8" w:rsidRPr="0024684D" w:rsidRDefault="00E445F8" w:rsidP="009675C1">
            <w:pPr>
              <w:jc w:val="center"/>
              <w:rPr>
                <w:b/>
                <w:bCs/>
                <w:color w:val="FFFFFF" w:themeColor="background1"/>
              </w:rPr>
            </w:pPr>
            <w:r w:rsidRPr="0024684D">
              <w:rPr>
                <w:b/>
                <w:bCs/>
                <w:color w:val="FFFFFF" w:themeColor="background1"/>
              </w:rPr>
              <w:t>2018</w:t>
            </w:r>
          </w:p>
        </w:tc>
        <w:tc>
          <w:tcPr>
            <w:tcW w:w="2013" w:type="dxa"/>
            <w:tcBorders>
              <w:left w:val="single" w:sz="4" w:space="0" w:color="FFFFFF" w:themeColor="background1"/>
              <w:bottom w:val="nil"/>
              <w:right w:val="single" w:sz="4" w:space="0" w:color="FFFFFF" w:themeColor="background1"/>
            </w:tcBorders>
            <w:shd w:val="clear" w:color="auto" w:fill="009999"/>
            <w:noWrap/>
            <w:hideMark/>
          </w:tcPr>
          <w:p w:rsidR="00E445F8" w:rsidRPr="0024684D" w:rsidRDefault="00E445F8" w:rsidP="009675C1">
            <w:pPr>
              <w:jc w:val="center"/>
              <w:rPr>
                <w:b/>
                <w:bCs/>
                <w:color w:val="FFFFFF" w:themeColor="background1"/>
              </w:rPr>
            </w:pPr>
            <w:r w:rsidRPr="0024684D">
              <w:rPr>
                <w:b/>
                <w:bCs/>
                <w:color w:val="FFFFFF" w:themeColor="background1"/>
              </w:rPr>
              <w:t>2018</w:t>
            </w:r>
          </w:p>
        </w:tc>
        <w:tc>
          <w:tcPr>
            <w:tcW w:w="2013" w:type="dxa"/>
            <w:tcBorders>
              <w:left w:val="single" w:sz="4" w:space="0" w:color="FFFFFF" w:themeColor="background1"/>
              <w:bottom w:val="nil"/>
              <w:right w:val="single" w:sz="4" w:space="0" w:color="FFFFFF" w:themeColor="background1"/>
            </w:tcBorders>
            <w:shd w:val="clear" w:color="auto" w:fill="009999"/>
            <w:noWrap/>
            <w:hideMark/>
          </w:tcPr>
          <w:p w:rsidR="00E445F8" w:rsidRPr="0024684D" w:rsidRDefault="00E445F8" w:rsidP="009675C1">
            <w:pPr>
              <w:jc w:val="center"/>
              <w:rPr>
                <w:b/>
                <w:bCs/>
                <w:color w:val="FFFFFF" w:themeColor="background1"/>
              </w:rPr>
            </w:pPr>
            <w:r w:rsidRPr="0024684D">
              <w:rPr>
                <w:b/>
                <w:bCs/>
                <w:color w:val="FFFFFF" w:themeColor="background1"/>
              </w:rPr>
              <w:t>2019</w:t>
            </w:r>
          </w:p>
        </w:tc>
        <w:tc>
          <w:tcPr>
            <w:tcW w:w="2014" w:type="dxa"/>
            <w:tcBorders>
              <w:left w:val="single" w:sz="4" w:space="0" w:color="FFFFFF" w:themeColor="background1"/>
              <w:bottom w:val="nil"/>
            </w:tcBorders>
            <w:shd w:val="clear" w:color="auto" w:fill="009999"/>
            <w:noWrap/>
          </w:tcPr>
          <w:p w:rsidR="00E445F8" w:rsidRPr="0024684D" w:rsidRDefault="00E445F8" w:rsidP="009675C1">
            <w:pPr>
              <w:jc w:val="center"/>
              <w:rPr>
                <w:b/>
                <w:bCs/>
                <w:color w:val="FFFFFF" w:themeColor="background1"/>
              </w:rPr>
            </w:pPr>
            <w:r w:rsidRPr="0024684D">
              <w:rPr>
                <w:b/>
                <w:bCs/>
                <w:color w:val="FFFFFF" w:themeColor="background1"/>
              </w:rPr>
              <w:t>2019</w:t>
            </w:r>
          </w:p>
        </w:tc>
      </w:tr>
      <w:tr w:rsidR="00E445F8" w:rsidRPr="00D73845" w:rsidTr="005C4BC9">
        <w:trPr>
          <w:trHeight w:val="276"/>
        </w:trPr>
        <w:tc>
          <w:tcPr>
            <w:tcW w:w="5070" w:type="dxa"/>
            <w:vMerge/>
            <w:noWrap/>
            <w:hideMark/>
          </w:tcPr>
          <w:p w:rsidR="00E445F8" w:rsidRPr="00D73845" w:rsidRDefault="00E445F8" w:rsidP="00563C30"/>
        </w:tc>
        <w:tc>
          <w:tcPr>
            <w:tcW w:w="2013" w:type="dxa"/>
            <w:noWrap/>
            <w:hideMark/>
          </w:tcPr>
          <w:p w:rsidR="00E445F8" w:rsidRPr="009675C1" w:rsidRDefault="00E445F8" w:rsidP="00563C30">
            <w:pPr>
              <w:rPr>
                <w:b/>
                <w:bCs/>
                <w:szCs w:val="20"/>
              </w:rPr>
            </w:pPr>
            <w:r w:rsidRPr="009675C1">
              <w:rPr>
                <w:b/>
                <w:bCs/>
                <w:szCs w:val="20"/>
              </w:rPr>
              <w:t>Org</w:t>
            </w:r>
            <w:r w:rsidR="005C4BC9" w:rsidRPr="009675C1">
              <w:rPr>
                <w:b/>
                <w:bCs/>
                <w:szCs w:val="20"/>
              </w:rPr>
              <w:t>anisation-led</w:t>
            </w:r>
          </w:p>
        </w:tc>
        <w:tc>
          <w:tcPr>
            <w:tcW w:w="2013" w:type="dxa"/>
            <w:noWrap/>
            <w:hideMark/>
          </w:tcPr>
          <w:p w:rsidR="00E445F8" w:rsidRPr="009675C1" w:rsidRDefault="00E445F8" w:rsidP="00563C30">
            <w:pPr>
              <w:rPr>
                <w:b/>
                <w:bCs/>
                <w:szCs w:val="20"/>
              </w:rPr>
            </w:pPr>
            <w:r w:rsidRPr="009675C1">
              <w:rPr>
                <w:b/>
                <w:bCs/>
                <w:szCs w:val="20"/>
              </w:rPr>
              <w:t>Participant</w:t>
            </w:r>
            <w:r w:rsidR="005C4BC9" w:rsidRPr="009675C1">
              <w:rPr>
                <w:b/>
                <w:bCs/>
                <w:szCs w:val="20"/>
              </w:rPr>
              <w:t>-led</w:t>
            </w:r>
          </w:p>
        </w:tc>
        <w:tc>
          <w:tcPr>
            <w:tcW w:w="2013" w:type="dxa"/>
            <w:noWrap/>
            <w:hideMark/>
          </w:tcPr>
          <w:p w:rsidR="00E445F8" w:rsidRPr="009675C1" w:rsidRDefault="005C4BC9" w:rsidP="00563C30">
            <w:pPr>
              <w:rPr>
                <w:b/>
                <w:bCs/>
                <w:szCs w:val="20"/>
              </w:rPr>
            </w:pPr>
            <w:r w:rsidRPr="009675C1">
              <w:rPr>
                <w:b/>
                <w:bCs/>
                <w:szCs w:val="20"/>
              </w:rPr>
              <w:t>Organisation-led</w:t>
            </w:r>
          </w:p>
        </w:tc>
        <w:tc>
          <w:tcPr>
            <w:tcW w:w="2014" w:type="dxa"/>
            <w:noWrap/>
          </w:tcPr>
          <w:p w:rsidR="00E445F8" w:rsidRPr="009675C1" w:rsidRDefault="00E445F8" w:rsidP="00563C30">
            <w:pPr>
              <w:rPr>
                <w:b/>
                <w:bCs/>
                <w:szCs w:val="20"/>
              </w:rPr>
            </w:pPr>
            <w:r w:rsidRPr="009675C1">
              <w:rPr>
                <w:b/>
                <w:bCs/>
                <w:szCs w:val="20"/>
              </w:rPr>
              <w:t>Participant</w:t>
            </w:r>
            <w:r w:rsidR="005C4BC9" w:rsidRPr="009675C1">
              <w:rPr>
                <w:b/>
                <w:bCs/>
                <w:szCs w:val="20"/>
              </w:rPr>
              <w:t>-led</w:t>
            </w:r>
          </w:p>
        </w:tc>
      </w:tr>
      <w:tr w:rsidR="00E445F8" w:rsidRPr="00D73845" w:rsidTr="005C4BC9">
        <w:trPr>
          <w:trHeight w:val="276"/>
        </w:trPr>
        <w:tc>
          <w:tcPr>
            <w:tcW w:w="5070" w:type="dxa"/>
            <w:noWrap/>
            <w:hideMark/>
          </w:tcPr>
          <w:p w:rsidR="00E445F8" w:rsidRPr="00D73845" w:rsidRDefault="00E445F8" w:rsidP="00563C30">
            <w:r w:rsidRPr="00D73845">
              <w:t>Nothing</w:t>
            </w:r>
          </w:p>
        </w:tc>
        <w:tc>
          <w:tcPr>
            <w:tcW w:w="2013" w:type="dxa"/>
            <w:noWrap/>
            <w:hideMark/>
          </w:tcPr>
          <w:p w:rsidR="00E445F8" w:rsidRPr="00D73845" w:rsidRDefault="00E445F8" w:rsidP="009675C1">
            <w:pPr>
              <w:jc w:val="center"/>
            </w:pPr>
            <w:r w:rsidRPr="00D73845">
              <w:t>16%</w:t>
            </w:r>
          </w:p>
        </w:tc>
        <w:tc>
          <w:tcPr>
            <w:tcW w:w="2013" w:type="dxa"/>
            <w:noWrap/>
            <w:hideMark/>
          </w:tcPr>
          <w:p w:rsidR="00E445F8" w:rsidRPr="00D73845" w:rsidRDefault="00E445F8" w:rsidP="009675C1">
            <w:pPr>
              <w:jc w:val="center"/>
            </w:pPr>
            <w:r w:rsidRPr="00D73845">
              <w:t>19%</w:t>
            </w:r>
          </w:p>
        </w:tc>
        <w:tc>
          <w:tcPr>
            <w:tcW w:w="2013" w:type="dxa"/>
            <w:noWrap/>
            <w:hideMark/>
          </w:tcPr>
          <w:p w:rsidR="00E445F8" w:rsidRPr="00D73845" w:rsidRDefault="00E445F8" w:rsidP="009675C1">
            <w:pPr>
              <w:jc w:val="center"/>
            </w:pPr>
            <w:r w:rsidRPr="00D73845">
              <w:t>19%</w:t>
            </w:r>
          </w:p>
        </w:tc>
        <w:tc>
          <w:tcPr>
            <w:tcW w:w="2014" w:type="dxa"/>
            <w:noWrap/>
          </w:tcPr>
          <w:p w:rsidR="00E445F8" w:rsidRPr="00D73845" w:rsidRDefault="00E445F8" w:rsidP="009675C1">
            <w:pPr>
              <w:jc w:val="center"/>
            </w:pPr>
            <w:r w:rsidRPr="00D73845">
              <w:t>25%</w:t>
            </w:r>
          </w:p>
        </w:tc>
      </w:tr>
      <w:tr w:rsidR="00E445F8" w:rsidRPr="00D73845" w:rsidTr="005C4BC9">
        <w:trPr>
          <w:trHeight w:val="276"/>
        </w:trPr>
        <w:tc>
          <w:tcPr>
            <w:tcW w:w="5070" w:type="dxa"/>
            <w:noWrap/>
            <w:hideMark/>
          </w:tcPr>
          <w:p w:rsidR="00E445F8" w:rsidRPr="00D73845" w:rsidRDefault="00E445F8" w:rsidP="00563C30">
            <w:r w:rsidRPr="00D73845">
              <w:t>Lack of time due to commitments, childcare duties, other interests etc.</w:t>
            </w:r>
          </w:p>
        </w:tc>
        <w:tc>
          <w:tcPr>
            <w:tcW w:w="2013" w:type="dxa"/>
            <w:noWrap/>
            <w:hideMark/>
          </w:tcPr>
          <w:p w:rsidR="00E445F8" w:rsidRPr="00D73845" w:rsidRDefault="00E445F8" w:rsidP="009675C1">
            <w:pPr>
              <w:jc w:val="center"/>
            </w:pPr>
            <w:r w:rsidRPr="00D73845">
              <w:t>39%</w:t>
            </w:r>
          </w:p>
        </w:tc>
        <w:tc>
          <w:tcPr>
            <w:tcW w:w="2013" w:type="dxa"/>
            <w:noWrap/>
            <w:hideMark/>
          </w:tcPr>
          <w:p w:rsidR="00E445F8" w:rsidRPr="00D73845" w:rsidRDefault="00E445F8" w:rsidP="009675C1">
            <w:pPr>
              <w:jc w:val="center"/>
            </w:pPr>
            <w:r w:rsidRPr="00D73845">
              <w:t>34%</w:t>
            </w:r>
          </w:p>
        </w:tc>
        <w:tc>
          <w:tcPr>
            <w:tcW w:w="2013" w:type="dxa"/>
            <w:noWrap/>
            <w:hideMark/>
          </w:tcPr>
          <w:p w:rsidR="00E445F8" w:rsidRPr="00D73845" w:rsidRDefault="00E445F8" w:rsidP="009675C1">
            <w:pPr>
              <w:jc w:val="center"/>
            </w:pPr>
            <w:r w:rsidRPr="00D73845">
              <w:t>37%</w:t>
            </w:r>
          </w:p>
        </w:tc>
        <w:tc>
          <w:tcPr>
            <w:tcW w:w="2014" w:type="dxa"/>
            <w:noWrap/>
          </w:tcPr>
          <w:p w:rsidR="00E445F8" w:rsidRPr="00D73845" w:rsidRDefault="00E445F8" w:rsidP="009675C1">
            <w:pPr>
              <w:jc w:val="center"/>
            </w:pPr>
            <w:r w:rsidRPr="00D73845">
              <w:t>32%</w:t>
            </w:r>
          </w:p>
        </w:tc>
      </w:tr>
      <w:tr w:rsidR="00E445F8" w:rsidRPr="00D73845" w:rsidTr="005C4BC9">
        <w:trPr>
          <w:trHeight w:val="276"/>
        </w:trPr>
        <w:tc>
          <w:tcPr>
            <w:tcW w:w="5070" w:type="dxa"/>
            <w:noWrap/>
            <w:hideMark/>
          </w:tcPr>
          <w:p w:rsidR="00E445F8" w:rsidRPr="00D73845" w:rsidRDefault="00E445F8" w:rsidP="00563C30">
            <w:r w:rsidRPr="00D73845">
              <w:t>Too busy</w:t>
            </w:r>
          </w:p>
        </w:tc>
        <w:tc>
          <w:tcPr>
            <w:tcW w:w="2013" w:type="dxa"/>
            <w:noWrap/>
            <w:hideMark/>
          </w:tcPr>
          <w:p w:rsidR="00E445F8" w:rsidRPr="00D73845" w:rsidRDefault="00E445F8" w:rsidP="009675C1">
            <w:pPr>
              <w:jc w:val="center"/>
            </w:pPr>
            <w:r w:rsidRPr="00D73845">
              <w:t>29%</w:t>
            </w:r>
          </w:p>
        </w:tc>
        <w:tc>
          <w:tcPr>
            <w:tcW w:w="2013" w:type="dxa"/>
            <w:noWrap/>
            <w:hideMark/>
          </w:tcPr>
          <w:p w:rsidR="00E445F8" w:rsidRPr="00D73845" w:rsidRDefault="00E445F8" w:rsidP="009675C1">
            <w:pPr>
              <w:jc w:val="center"/>
            </w:pPr>
            <w:r w:rsidRPr="00D73845">
              <w:t>26%</w:t>
            </w:r>
          </w:p>
        </w:tc>
        <w:tc>
          <w:tcPr>
            <w:tcW w:w="2013" w:type="dxa"/>
            <w:noWrap/>
            <w:hideMark/>
          </w:tcPr>
          <w:p w:rsidR="00E445F8" w:rsidRPr="00D73845" w:rsidRDefault="00E445F8" w:rsidP="009675C1">
            <w:pPr>
              <w:jc w:val="center"/>
            </w:pPr>
            <w:r w:rsidRPr="00D73845">
              <w:t>30%</w:t>
            </w:r>
          </w:p>
        </w:tc>
        <w:tc>
          <w:tcPr>
            <w:tcW w:w="2014" w:type="dxa"/>
            <w:noWrap/>
          </w:tcPr>
          <w:p w:rsidR="00E445F8" w:rsidRPr="00D73845" w:rsidRDefault="00E445F8" w:rsidP="009675C1">
            <w:pPr>
              <w:jc w:val="center"/>
            </w:pPr>
            <w:r w:rsidRPr="00D73845">
              <w:t>25%</w:t>
            </w:r>
          </w:p>
        </w:tc>
      </w:tr>
      <w:tr w:rsidR="00E445F8" w:rsidRPr="00D73845" w:rsidTr="005C4BC9">
        <w:trPr>
          <w:trHeight w:val="276"/>
        </w:trPr>
        <w:tc>
          <w:tcPr>
            <w:tcW w:w="5070" w:type="dxa"/>
            <w:noWrap/>
            <w:hideMark/>
          </w:tcPr>
          <w:p w:rsidR="00E445F8" w:rsidRPr="00D73845" w:rsidRDefault="00E445F8" w:rsidP="00563C30">
            <w:r w:rsidRPr="00D73845">
              <w:t>Activity costs too much</w:t>
            </w:r>
          </w:p>
        </w:tc>
        <w:tc>
          <w:tcPr>
            <w:tcW w:w="2013" w:type="dxa"/>
            <w:noWrap/>
            <w:hideMark/>
          </w:tcPr>
          <w:p w:rsidR="00E445F8" w:rsidRPr="00D73845" w:rsidRDefault="00E445F8" w:rsidP="009675C1">
            <w:pPr>
              <w:jc w:val="center"/>
            </w:pPr>
            <w:r w:rsidRPr="00D73845">
              <w:t>25%</w:t>
            </w:r>
          </w:p>
        </w:tc>
        <w:tc>
          <w:tcPr>
            <w:tcW w:w="2013" w:type="dxa"/>
            <w:noWrap/>
            <w:hideMark/>
          </w:tcPr>
          <w:p w:rsidR="00E445F8" w:rsidRPr="00D73845" w:rsidRDefault="00E445F8" w:rsidP="009675C1">
            <w:pPr>
              <w:jc w:val="center"/>
            </w:pPr>
            <w:r w:rsidRPr="00D73845">
              <w:t>16%</w:t>
            </w:r>
          </w:p>
        </w:tc>
        <w:tc>
          <w:tcPr>
            <w:tcW w:w="2013" w:type="dxa"/>
            <w:noWrap/>
            <w:hideMark/>
          </w:tcPr>
          <w:p w:rsidR="00E445F8" w:rsidRPr="00D73845" w:rsidRDefault="00E445F8" w:rsidP="009675C1">
            <w:pPr>
              <w:jc w:val="center"/>
            </w:pPr>
            <w:r w:rsidRPr="00D73845">
              <w:t>19%</w:t>
            </w:r>
          </w:p>
        </w:tc>
        <w:tc>
          <w:tcPr>
            <w:tcW w:w="2014" w:type="dxa"/>
            <w:noWrap/>
          </w:tcPr>
          <w:p w:rsidR="00E445F8" w:rsidRPr="00D73845" w:rsidRDefault="00E445F8" w:rsidP="009675C1">
            <w:pPr>
              <w:jc w:val="center"/>
            </w:pPr>
            <w:r w:rsidRPr="00D73845">
              <w:t>12%</w:t>
            </w:r>
          </w:p>
        </w:tc>
      </w:tr>
      <w:tr w:rsidR="00E445F8" w:rsidRPr="00D73845" w:rsidTr="005C4BC9">
        <w:trPr>
          <w:trHeight w:val="276"/>
        </w:trPr>
        <w:tc>
          <w:tcPr>
            <w:tcW w:w="5070" w:type="dxa"/>
            <w:noWrap/>
            <w:hideMark/>
          </w:tcPr>
          <w:p w:rsidR="00E445F8" w:rsidRPr="00D73845" w:rsidRDefault="00E445F8" w:rsidP="00563C30">
            <w:r w:rsidRPr="00D73845">
              <w:t>Not interested</w:t>
            </w:r>
          </w:p>
        </w:tc>
        <w:tc>
          <w:tcPr>
            <w:tcW w:w="2013" w:type="dxa"/>
            <w:noWrap/>
            <w:hideMark/>
          </w:tcPr>
          <w:p w:rsidR="00E445F8" w:rsidRPr="00D73845" w:rsidRDefault="00E445F8" w:rsidP="009675C1">
            <w:pPr>
              <w:jc w:val="center"/>
            </w:pPr>
            <w:r w:rsidRPr="00D73845">
              <w:t>23%</w:t>
            </w:r>
          </w:p>
        </w:tc>
        <w:tc>
          <w:tcPr>
            <w:tcW w:w="2013" w:type="dxa"/>
            <w:noWrap/>
            <w:hideMark/>
          </w:tcPr>
          <w:p w:rsidR="00E445F8" w:rsidRPr="00D73845" w:rsidRDefault="00E445F8" w:rsidP="009675C1">
            <w:pPr>
              <w:jc w:val="center"/>
            </w:pPr>
            <w:r w:rsidRPr="00D73845">
              <w:t>14%</w:t>
            </w:r>
          </w:p>
        </w:tc>
        <w:tc>
          <w:tcPr>
            <w:tcW w:w="2013" w:type="dxa"/>
            <w:noWrap/>
            <w:hideMark/>
          </w:tcPr>
          <w:p w:rsidR="00E445F8" w:rsidRPr="00D73845" w:rsidRDefault="00E445F8" w:rsidP="009675C1">
            <w:pPr>
              <w:jc w:val="center"/>
            </w:pPr>
            <w:r w:rsidRPr="00D73845">
              <w:t>37%</w:t>
            </w:r>
          </w:p>
        </w:tc>
        <w:tc>
          <w:tcPr>
            <w:tcW w:w="2014" w:type="dxa"/>
            <w:noWrap/>
          </w:tcPr>
          <w:p w:rsidR="00E445F8" w:rsidRPr="00D73845" w:rsidRDefault="00E445F8" w:rsidP="009675C1">
            <w:pPr>
              <w:jc w:val="center"/>
            </w:pPr>
            <w:r w:rsidRPr="00D73845">
              <w:t>21%</w:t>
            </w:r>
          </w:p>
        </w:tc>
      </w:tr>
      <w:tr w:rsidR="00E445F8" w:rsidRPr="00D73845" w:rsidTr="005C4BC9">
        <w:trPr>
          <w:trHeight w:val="276"/>
        </w:trPr>
        <w:tc>
          <w:tcPr>
            <w:tcW w:w="5070" w:type="dxa"/>
            <w:noWrap/>
            <w:hideMark/>
          </w:tcPr>
          <w:p w:rsidR="00E445F8" w:rsidRPr="00D73845" w:rsidRDefault="00E445F8" w:rsidP="00563C30">
            <w:r w:rsidRPr="00D73845">
              <w:t>Lack of motivation</w:t>
            </w:r>
          </w:p>
        </w:tc>
        <w:tc>
          <w:tcPr>
            <w:tcW w:w="2013" w:type="dxa"/>
            <w:noWrap/>
            <w:hideMark/>
          </w:tcPr>
          <w:p w:rsidR="00E445F8" w:rsidRPr="00D73845" w:rsidRDefault="00E445F8" w:rsidP="009675C1">
            <w:pPr>
              <w:jc w:val="center"/>
            </w:pPr>
            <w:r w:rsidRPr="00D73845">
              <w:t>20%</w:t>
            </w:r>
          </w:p>
        </w:tc>
        <w:tc>
          <w:tcPr>
            <w:tcW w:w="2013" w:type="dxa"/>
            <w:noWrap/>
            <w:hideMark/>
          </w:tcPr>
          <w:p w:rsidR="00E445F8" w:rsidRPr="00D73845" w:rsidRDefault="00E445F8" w:rsidP="009675C1">
            <w:pPr>
              <w:jc w:val="center"/>
            </w:pPr>
            <w:r w:rsidRPr="00D73845">
              <w:t>22%</w:t>
            </w:r>
          </w:p>
        </w:tc>
        <w:tc>
          <w:tcPr>
            <w:tcW w:w="2013" w:type="dxa"/>
            <w:noWrap/>
            <w:hideMark/>
          </w:tcPr>
          <w:p w:rsidR="00E445F8" w:rsidRPr="00D73845" w:rsidRDefault="00E445F8" w:rsidP="009675C1">
            <w:pPr>
              <w:jc w:val="center"/>
            </w:pPr>
            <w:r w:rsidRPr="00D73845">
              <w:t>22%</w:t>
            </w:r>
          </w:p>
        </w:tc>
        <w:tc>
          <w:tcPr>
            <w:tcW w:w="2014" w:type="dxa"/>
            <w:noWrap/>
          </w:tcPr>
          <w:p w:rsidR="00E445F8" w:rsidRPr="00D73845" w:rsidRDefault="00E445F8" w:rsidP="009675C1">
            <w:pPr>
              <w:jc w:val="center"/>
            </w:pPr>
            <w:r w:rsidRPr="00D73845">
              <w:t>23%</w:t>
            </w:r>
          </w:p>
        </w:tc>
      </w:tr>
      <w:tr w:rsidR="00E445F8" w:rsidRPr="00D73845" w:rsidTr="005C4BC9">
        <w:trPr>
          <w:trHeight w:val="276"/>
        </w:trPr>
        <w:tc>
          <w:tcPr>
            <w:tcW w:w="5070" w:type="dxa"/>
            <w:noWrap/>
            <w:hideMark/>
          </w:tcPr>
          <w:p w:rsidR="00E445F8" w:rsidRPr="00D73845" w:rsidRDefault="00E445F8" w:rsidP="00563C30">
            <w:r w:rsidRPr="00D73845">
              <w:t>Lack of knowledge about how to do it</w:t>
            </w:r>
          </w:p>
        </w:tc>
        <w:tc>
          <w:tcPr>
            <w:tcW w:w="2013" w:type="dxa"/>
            <w:noWrap/>
            <w:hideMark/>
          </w:tcPr>
          <w:p w:rsidR="00E445F8" w:rsidRPr="00D73845" w:rsidRDefault="00E445F8" w:rsidP="009675C1">
            <w:pPr>
              <w:jc w:val="center"/>
            </w:pPr>
            <w:r w:rsidRPr="00D73845">
              <w:t>14%</w:t>
            </w:r>
          </w:p>
        </w:tc>
        <w:tc>
          <w:tcPr>
            <w:tcW w:w="2013" w:type="dxa"/>
            <w:noWrap/>
            <w:hideMark/>
          </w:tcPr>
          <w:p w:rsidR="00E445F8" w:rsidRPr="00D73845" w:rsidRDefault="00E445F8" w:rsidP="009675C1">
            <w:pPr>
              <w:jc w:val="center"/>
            </w:pPr>
            <w:r w:rsidRPr="00D73845">
              <w:t>9%</w:t>
            </w:r>
          </w:p>
        </w:tc>
        <w:tc>
          <w:tcPr>
            <w:tcW w:w="2013" w:type="dxa"/>
            <w:noWrap/>
            <w:hideMark/>
          </w:tcPr>
          <w:p w:rsidR="00E445F8" w:rsidRPr="00D73845" w:rsidRDefault="00E445F8" w:rsidP="009675C1">
            <w:pPr>
              <w:jc w:val="center"/>
            </w:pPr>
            <w:r w:rsidRPr="00D73845">
              <w:t>12%</w:t>
            </w:r>
          </w:p>
        </w:tc>
        <w:tc>
          <w:tcPr>
            <w:tcW w:w="2014" w:type="dxa"/>
            <w:noWrap/>
          </w:tcPr>
          <w:p w:rsidR="00E445F8" w:rsidRPr="00D73845" w:rsidRDefault="00E445F8" w:rsidP="009675C1">
            <w:pPr>
              <w:jc w:val="center"/>
            </w:pPr>
            <w:r w:rsidRPr="00D73845">
              <w:t>9%</w:t>
            </w:r>
          </w:p>
        </w:tc>
      </w:tr>
      <w:tr w:rsidR="00E445F8" w:rsidRPr="00D73845" w:rsidTr="005C4BC9">
        <w:trPr>
          <w:trHeight w:val="276"/>
        </w:trPr>
        <w:tc>
          <w:tcPr>
            <w:tcW w:w="5070" w:type="dxa"/>
            <w:noWrap/>
            <w:hideMark/>
          </w:tcPr>
          <w:p w:rsidR="00E445F8" w:rsidRPr="00D73845" w:rsidRDefault="00E445F8" w:rsidP="00563C30">
            <w:r w:rsidRPr="00D73845">
              <w:t>Lack of transport</w:t>
            </w:r>
          </w:p>
        </w:tc>
        <w:tc>
          <w:tcPr>
            <w:tcW w:w="2013" w:type="dxa"/>
            <w:noWrap/>
            <w:hideMark/>
          </w:tcPr>
          <w:p w:rsidR="00E445F8" w:rsidRPr="00D73845" w:rsidRDefault="00E445F8" w:rsidP="009675C1">
            <w:pPr>
              <w:jc w:val="center"/>
            </w:pPr>
            <w:r w:rsidRPr="00D73845">
              <w:t>11%</w:t>
            </w:r>
          </w:p>
        </w:tc>
        <w:tc>
          <w:tcPr>
            <w:tcW w:w="2013" w:type="dxa"/>
            <w:noWrap/>
            <w:hideMark/>
          </w:tcPr>
          <w:p w:rsidR="00E445F8" w:rsidRPr="00D73845" w:rsidRDefault="00E445F8" w:rsidP="009675C1">
            <w:pPr>
              <w:jc w:val="center"/>
            </w:pPr>
            <w:r w:rsidRPr="00D73845">
              <w:t>9%</w:t>
            </w:r>
          </w:p>
        </w:tc>
        <w:tc>
          <w:tcPr>
            <w:tcW w:w="2013" w:type="dxa"/>
            <w:noWrap/>
            <w:hideMark/>
          </w:tcPr>
          <w:p w:rsidR="00E445F8" w:rsidRPr="00D73845" w:rsidRDefault="00E445F8" w:rsidP="009675C1">
            <w:pPr>
              <w:jc w:val="center"/>
            </w:pPr>
            <w:r w:rsidRPr="00D73845">
              <w:t>10%</w:t>
            </w:r>
          </w:p>
        </w:tc>
        <w:tc>
          <w:tcPr>
            <w:tcW w:w="2014" w:type="dxa"/>
            <w:noWrap/>
          </w:tcPr>
          <w:p w:rsidR="00E445F8" w:rsidRPr="00D73845" w:rsidRDefault="00E445F8" w:rsidP="009675C1">
            <w:pPr>
              <w:jc w:val="center"/>
            </w:pPr>
            <w:r w:rsidRPr="00D73845">
              <w:t>9%</w:t>
            </w:r>
          </w:p>
        </w:tc>
      </w:tr>
      <w:tr w:rsidR="00E445F8" w:rsidRPr="00D73845" w:rsidTr="005C4BC9">
        <w:trPr>
          <w:trHeight w:val="276"/>
        </w:trPr>
        <w:tc>
          <w:tcPr>
            <w:tcW w:w="5070" w:type="dxa"/>
            <w:noWrap/>
            <w:hideMark/>
          </w:tcPr>
          <w:p w:rsidR="00E445F8" w:rsidRPr="00D73845" w:rsidRDefault="00E445F8" w:rsidP="00563C30">
            <w:r w:rsidRPr="00D73845">
              <w:t>Lack of parking</w:t>
            </w:r>
          </w:p>
        </w:tc>
        <w:tc>
          <w:tcPr>
            <w:tcW w:w="2013" w:type="dxa"/>
            <w:noWrap/>
            <w:hideMark/>
          </w:tcPr>
          <w:p w:rsidR="00E445F8" w:rsidRPr="00D73845" w:rsidRDefault="00E445F8" w:rsidP="009675C1">
            <w:pPr>
              <w:jc w:val="center"/>
            </w:pPr>
            <w:r w:rsidRPr="00D73845">
              <w:t>11%</w:t>
            </w:r>
          </w:p>
        </w:tc>
        <w:tc>
          <w:tcPr>
            <w:tcW w:w="2013" w:type="dxa"/>
            <w:noWrap/>
            <w:hideMark/>
          </w:tcPr>
          <w:p w:rsidR="00E445F8" w:rsidRPr="00D73845" w:rsidRDefault="00E445F8" w:rsidP="009675C1">
            <w:pPr>
              <w:jc w:val="center"/>
            </w:pPr>
            <w:r w:rsidRPr="00D73845">
              <w:t>9%</w:t>
            </w:r>
          </w:p>
        </w:tc>
        <w:tc>
          <w:tcPr>
            <w:tcW w:w="2013" w:type="dxa"/>
            <w:noWrap/>
            <w:hideMark/>
          </w:tcPr>
          <w:p w:rsidR="00E445F8" w:rsidRPr="00D73845" w:rsidRDefault="00E445F8" w:rsidP="009675C1">
            <w:pPr>
              <w:jc w:val="center"/>
            </w:pPr>
            <w:r w:rsidRPr="00D73845">
              <w:t>12%</w:t>
            </w:r>
          </w:p>
        </w:tc>
        <w:tc>
          <w:tcPr>
            <w:tcW w:w="2014" w:type="dxa"/>
            <w:noWrap/>
          </w:tcPr>
          <w:p w:rsidR="00E445F8" w:rsidRPr="00D73845" w:rsidRDefault="00E445F8" w:rsidP="009675C1">
            <w:pPr>
              <w:jc w:val="center"/>
            </w:pPr>
            <w:r w:rsidRPr="00D73845">
              <w:t>11%</w:t>
            </w:r>
          </w:p>
        </w:tc>
      </w:tr>
      <w:tr w:rsidR="00E445F8" w:rsidRPr="00D73845" w:rsidTr="005C4BC9">
        <w:trPr>
          <w:trHeight w:val="276"/>
        </w:trPr>
        <w:tc>
          <w:tcPr>
            <w:tcW w:w="5070" w:type="dxa"/>
            <w:noWrap/>
            <w:hideMark/>
          </w:tcPr>
          <w:p w:rsidR="00E445F8" w:rsidRPr="00D73845" w:rsidRDefault="00E445F8" w:rsidP="00563C30">
            <w:r w:rsidRPr="00D73845">
              <w:t>No easy access to facilities or parks nearby</w:t>
            </w:r>
          </w:p>
        </w:tc>
        <w:tc>
          <w:tcPr>
            <w:tcW w:w="2013" w:type="dxa"/>
            <w:noWrap/>
            <w:hideMark/>
          </w:tcPr>
          <w:p w:rsidR="00E445F8" w:rsidRPr="00D73845" w:rsidRDefault="00E445F8" w:rsidP="009675C1">
            <w:pPr>
              <w:jc w:val="center"/>
            </w:pPr>
            <w:r w:rsidRPr="00D73845">
              <w:t>7%</w:t>
            </w:r>
          </w:p>
        </w:tc>
        <w:tc>
          <w:tcPr>
            <w:tcW w:w="2013" w:type="dxa"/>
            <w:noWrap/>
            <w:hideMark/>
          </w:tcPr>
          <w:p w:rsidR="00E445F8" w:rsidRPr="00D73845" w:rsidRDefault="00E445F8" w:rsidP="009675C1">
            <w:pPr>
              <w:jc w:val="center"/>
            </w:pPr>
            <w:r w:rsidRPr="00D73845">
              <w:t>6%</w:t>
            </w:r>
          </w:p>
        </w:tc>
        <w:tc>
          <w:tcPr>
            <w:tcW w:w="2013" w:type="dxa"/>
            <w:noWrap/>
            <w:hideMark/>
          </w:tcPr>
          <w:p w:rsidR="00E445F8" w:rsidRPr="00D73845" w:rsidRDefault="00E445F8" w:rsidP="009675C1">
            <w:pPr>
              <w:jc w:val="center"/>
            </w:pPr>
            <w:r w:rsidRPr="00D73845">
              <w:t>5%</w:t>
            </w:r>
          </w:p>
        </w:tc>
        <w:tc>
          <w:tcPr>
            <w:tcW w:w="2014" w:type="dxa"/>
            <w:noWrap/>
          </w:tcPr>
          <w:p w:rsidR="00E445F8" w:rsidRPr="00D73845" w:rsidRDefault="00E445F8" w:rsidP="009675C1">
            <w:pPr>
              <w:jc w:val="center"/>
            </w:pPr>
            <w:r w:rsidRPr="00D73845">
              <w:t>7%</w:t>
            </w:r>
          </w:p>
        </w:tc>
      </w:tr>
      <w:tr w:rsidR="00E445F8" w:rsidRPr="00D73845" w:rsidTr="005C4BC9">
        <w:trPr>
          <w:trHeight w:val="276"/>
        </w:trPr>
        <w:tc>
          <w:tcPr>
            <w:tcW w:w="5070" w:type="dxa"/>
            <w:noWrap/>
            <w:hideMark/>
          </w:tcPr>
          <w:p w:rsidR="00E445F8" w:rsidRPr="00D73845" w:rsidRDefault="00E445F8" w:rsidP="00563C30">
            <w:r w:rsidRPr="00D73845">
              <w:t>Poor health</w:t>
            </w:r>
          </w:p>
        </w:tc>
        <w:tc>
          <w:tcPr>
            <w:tcW w:w="2013" w:type="dxa"/>
            <w:noWrap/>
            <w:hideMark/>
          </w:tcPr>
          <w:p w:rsidR="00E445F8" w:rsidRPr="00D73845" w:rsidRDefault="00E445F8" w:rsidP="009675C1">
            <w:pPr>
              <w:jc w:val="center"/>
            </w:pPr>
            <w:r w:rsidRPr="00D73845">
              <w:t>6%</w:t>
            </w:r>
          </w:p>
        </w:tc>
        <w:tc>
          <w:tcPr>
            <w:tcW w:w="2013" w:type="dxa"/>
            <w:noWrap/>
            <w:hideMark/>
          </w:tcPr>
          <w:p w:rsidR="00E445F8" w:rsidRPr="00D73845" w:rsidRDefault="00E445F8" w:rsidP="009675C1">
            <w:pPr>
              <w:jc w:val="center"/>
            </w:pPr>
            <w:r w:rsidRPr="00D73845">
              <w:t>6%</w:t>
            </w:r>
          </w:p>
        </w:tc>
        <w:tc>
          <w:tcPr>
            <w:tcW w:w="2013" w:type="dxa"/>
            <w:noWrap/>
            <w:hideMark/>
          </w:tcPr>
          <w:p w:rsidR="00E445F8" w:rsidRPr="00D73845" w:rsidRDefault="00E445F8" w:rsidP="009675C1">
            <w:pPr>
              <w:jc w:val="center"/>
            </w:pPr>
            <w:r w:rsidRPr="00D73845">
              <w:t>8%</w:t>
            </w:r>
          </w:p>
        </w:tc>
        <w:tc>
          <w:tcPr>
            <w:tcW w:w="2014" w:type="dxa"/>
            <w:noWrap/>
          </w:tcPr>
          <w:p w:rsidR="00E445F8" w:rsidRPr="00D73845" w:rsidRDefault="00E445F8" w:rsidP="009675C1">
            <w:pPr>
              <w:jc w:val="center"/>
            </w:pPr>
            <w:r w:rsidRPr="00D73845">
              <w:t>10%</w:t>
            </w:r>
          </w:p>
        </w:tc>
      </w:tr>
      <w:tr w:rsidR="00E445F8" w:rsidRPr="00D73845" w:rsidTr="005C4BC9">
        <w:trPr>
          <w:trHeight w:val="276"/>
        </w:trPr>
        <w:tc>
          <w:tcPr>
            <w:tcW w:w="5070" w:type="dxa"/>
            <w:noWrap/>
            <w:hideMark/>
          </w:tcPr>
          <w:p w:rsidR="00E445F8" w:rsidRPr="00D73845" w:rsidRDefault="00E445F8" w:rsidP="00563C30">
            <w:r w:rsidRPr="00D73845">
              <w:t>Injury of disability</w:t>
            </w:r>
          </w:p>
        </w:tc>
        <w:tc>
          <w:tcPr>
            <w:tcW w:w="2013" w:type="dxa"/>
            <w:noWrap/>
            <w:hideMark/>
          </w:tcPr>
          <w:p w:rsidR="00E445F8" w:rsidRPr="00D73845" w:rsidRDefault="00E445F8" w:rsidP="009675C1">
            <w:pPr>
              <w:jc w:val="center"/>
            </w:pPr>
            <w:r w:rsidRPr="00D73845">
              <w:t>8%</w:t>
            </w:r>
          </w:p>
        </w:tc>
        <w:tc>
          <w:tcPr>
            <w:tcW w:w="2013" w:type="dxa"/>
            <w:noWrap/>
            <w:hideMark/>
          </w:tcPr>
          <w:p w:rsidR="00E445F8" w:rsidRPr="00D73845" w:rsidRDefault="00E445F8" w:rsidP="009675C1">
            <w:pPr>
              <w:jc w:val="center"/>
            </w:pPr>
            <w:r w:rsidRPr="00D73845">
              <w:t>8%</w:t>
            </w:r>
          </w:p>
        </w:tc>
        <w:tc>
          <w:tcPr>
            <w:tcW w:w="2013" w:type="dxa"/>
            <w:noWrap/>
            <w:hideMark/>
          </w:tcPr>
          <w:p w:rsidR="00E445F8" w:rsidRPr="00D73845" w:rsidRDefault="00E445F8" w:rsidP="009675C1">
            <w:pPr>
              <w:jc w:val="center"/>
            </w:pPr>
            <w:r w:rsidRPr="00D73845">
              <w:t>10%</w:t>
            </w:r>
          </w:p>
        </w:tc>
        <w:tc>
          <w:tcPr>
            <w:tcW w:w="2014" w:type="dxa"/>
            <w:noWrap/>
          </w:tcPr>
          <w:p w:rsidR="00E445F8" w:rsidRPr="00D73845" w:rsidRDefault="00E445F8" w:rsidP="009675C1">
            <w:pPr>
              <w:jc w:val="center"/>
            </w:pPr>
            <w:r w:rsidRPr="00D73845">
              <w:t>9%</w:t>
            </w:r>
          </w:p>
        </w:tc>
      </w:tr>
      <w:tr w:rsidR="00E445F8" w:rsidRPr="00D73845" w:rsidTr="005C4BC9">
        <w:trPr>
          <w:trHeight w:val="276"/>
        </w:trPr>
        <w:tc>
          <w:tcPr>
            <w:tcW w:w="5070" w:type="dxa"/>
            <w:noWrap/>
            <w:hideMark/>
          </w:tcPr>
          <w:p w:rsidR="00E445F8" w:rsidRPr="00D73845" w:rsidRDefault="00E445F8" w:rsidP="00563C30">
            <w:r w:rsidRPr="00D73845">
              <w:t>Cultural/language barriers</w:t>
            </w:r>
          </w:p>
        </w:tc>
        <w:tc>
          <w:tcPr>
            <w:tcW w:w="2013" w:type="dxa"/>
            <w:noWrap/>
            <w:hideMark/>
          </w:tcPr>
          <w:p w:rsidR="00E445F8" w:rsidRPr="00D73845" w:rsidRDefault="00E445F8" w:rsidP="009675C1">
            <w:pPr>
              <w:jc w:val="center"/>
            </w:pPr>
            <w:r w:rsidRPr="00D73845">
              <w:t>2%</w:t>
            </w:r>
          </w:p>
        </w:tc>
        <w:tc>
          <w:tcPr>
            <w:tcW w:w="2013" w:type="dxa"/>
            <w:noWrap/>
            <w:hideMark/>
          </w:tcPr>
          <w:p w:rsidR="00E445F8" w:rsidRPr="00D73845" w:rsidRDefault="00E445F8" w:rsidP="009675C1">
            <w:pPr>
              <w:jc w:val="center"/>
            </w:pPr>
            <w:r w:rsidRPr="00D73845">
              <w:t>2%</w:t>
            </w:r>
          </w:p>
        </w:tc>
        <w:tc>
          <w:tcPr>
            <w:tcW w:w="2013" w:type="dxa"/>
            <w:noWrap/>
            <w:hideMark/>
          </w:tcPr>
          <w:p w:rsidR="00E445F8" w:rsidRPr="00D73845" w:rsidRDefault="00E445F8" w:rsidP="009675C1">
            <w:pPr>
              <w:jc w:val="center"/>
            </w:pPr>
            <w:r w:rsidRPr="00D73845">
              <w:t>1%</w:t>
            </w:r>
          </w:p>
        </w:tc>
        <w:tc>
          <w:tcPr>
            <w:tcW w:w="2014" w:type="dxa"/>
            <w:noWrap/>
          </w:tcPr>
          <w:p w:rsidR="00E445F8" w:rsidRPr="00D73845" w:rsidRDefault="00E445F8" w:rsidP="009675C1">
            <w:pPr>
              <w:jc w:val="center"/>
            </w:pPr>
            <w:r w:rsidRPr="00D73845">
              <w:t>2%</w:t>
            </w:r>
          </w:p>
        </w:tc>
      </w:tr>
      <w:tr w:rsidR="00E445F8" w:rsidRPr="00D73845" w:rsidTr="005C4BC9">
        <w:trPr>
          <w:trHeight w:val="276"/>
        </w:trPr>
        <w:tc>
          <w:tcPr>
            <w:tcW w:w="5070" w:type="dxa"/>
            <w:noWrap/>
            <w:hideMark/>
          </w:tcPr>
          <w:p w:rsidR="00E445F8" w:rsidRPr="00D73845" w:rsidRDefault="00E445F8" w:rsidP="00563C30">
            <w:r w:rsidRPr="00D73845">
              <w:t>Don’t feel welcome</w:t>
            </w:r>
          </w:p>
        </w:tc>
        <w:tc>
          <w:tcPr>
            <w:tcW w:w="2013" w:type="dxa"/>
            <w:noWrap/>
            <w:hideMark/>
          </w:tcPr>
          <w:p w:rsidR="00E445F8" w:rsidRPr="00D73845" w:rsidRDefault="00E445F8" w:rsidP="009675C1">
            <w:pPr>
              <w:jc w:val="center"/>
            </w:pPr>
            <w:r w:rsidRPr="00D73845">
              <w:t>7%</w:t>
            </w:r>
          </w:p>
        </w:tc>
        <w:tc>
          <w:tcPr>
            <w:tcW w:w="2013" w:type="dxa"/>
            <w:noWrap/>
            <w:hideMark/>
          </w:tcPr>
          <w:p w:rsidR="00E445F8" w:rsidRPr="00D73845" w:rsidRDefault="00E445F8" w:rsidP="009675C1">
            <w:pPr>
              <w:jc w:val="center"/>
            </w:pPr>
            <w:r w:rsidRPr="00D73845">
              <w:t>3%</w:t>
            </w:r>
          </w:p>
        </w:tc>
        <w:tc>
          <w:tcPr>
            <w:tcW w:w="2013" w:type="dxa"/>
            <w:noWrap/>
            <w:hideMark/>
          </w:tcPr>
          <w:p w:rsidR="00E445F8" w:rsidRPr="00D73845" w:rsidRDefault="00E445F8" w:rsidP="009675C1">
            <w:pPr>
              <w:jc w:val="center"/>
            </w:pPr>
            <w:r w:rsidRPr="00D73845">
              <w:t>5%</w:t>
            </w:r>
          </w:p>
        </w:tc>
        <w:tc>
          <w:tcPr>
            <w:tcW w:w="2014" w:type="dxa"/>
            <w:noWrap/>
          </w:tcPr>
          <w:p w:rsidR="00E445F8" w:rsidRPr="00D73845" w:rsidRDefault="00E445F8" w:rsidP="009675C1">
            <w:pPr>
              <w:jc w:val="center"/>
            </w:pPr>
            <w:r w:rsidRPr="00D73845">
              <w:t>4%</w:t>
            </w:r>
          </w:p>
        </w:tc>
      </w:tr>
      <w:tr w:rsidR="00E445F8" w:rsidRPr="00D73845" w:rsidTr="005C4BC9">
        <w:trPr>
          <w:trHeight w:val="276"/>
        </w:trPr>
        <w:tc>
          <w:tcPr>
            <w:tcW w:w="5070" w:type="dxa"/>
            <w:noWrap/>
            <w:hideMark/>
          </w:tcPr>
          <w:p w:rsidR="00E445F8" w:rsidRPr="00D73845" w:rsidRDefault="00E445F8" w:rsidP="00563C30">
            <w:r w:rsidRPr="00D73845">
              <w:t>Safety concerns</w:t>
            </w:r>
          </w:p>
        </w:tc>
        <w:tc>
          <w:tcPr>
            <w:tcW w:w="2013" w:type="dxa"/>
            <w:noWrap/>
            <w:hideMark/>
          </w:tcPr>
          <w:p w:rsidR="00E445F8" w:rsidRPr="00D73845" w:rsidRDefault="00E445F8" w:rsidP="009675C1">
            <w:pPr>
              <w:jc w:val="center"/>
            </w:pPr>
            <w:r w:rsidRPr="00D73845">
              <w:t>2%</w:t>
            </w:r>
          </w:p>
        </w:tc>
        <w:tc>
          <w:tcPr>
            <w:tcW w:w="2013" w:type="dxa"/>
            <w:noWrap/>
            <w:hideMark/>
          </w:tcPr>
          <w:p w:rsidR="00E445F8" w:rsidRPr="00D73845" w:rsidRDefault="00E445F8" w:rsidP="009675C1">
            <w:pPr>
              <w:jc w:val="center"/>
            </w:pPr>
            <w:r w:rsidRPr="00D73845">
              <w:t>3%</w:t>
            </w:r>
          </w:p>
        </w:tc>
        <w:tc>
          <w:tcPr>
            <w:tcW w:w="2013" w:type="dxa"/>
            <w:noWrap/>
            <w:hideMark/>
          </w:tcPr>
          <w:p w:rsidR="00E445F8" w:rsidRPr="00D73845" w:rsidRDefault="00E445F8" w:rsidP="009675C1">
            <w:pPr>
              <w:jc w:val="center"/>
            </w:pPr>
            <w:r w:rsidRPr="00D73845">
              <w:t>3%</w:t>
            </w:r>
          </w:p>
        </w:tc>
        <w:tc>
          <w:tcPr>
            <w:tcW w:w="2014" w:type="dxa"/>
            <w:noWrap/>
          </w:tcPr>
          <w:p w:rsidR="00E445F8" w:rsidRPr="00D73845" w:rsidRDefault="00E445F8" w:rsidP="009675C1">
            <w:pPr>
              <w:jc w:val="center"/>
            </w:pPr>
            <w:r w:rsidRPr="00D73845">
              <w:t>3%</w:t>
            </w:r>
          </w:p>
        </w:tc>
      </w:tr>
      <w:tr w:rsidR="00E445F8" w:rsidRPr="00D73845" w:rsidTr="005C4BC9">
        <w:trPr>
          <w:trHeight w:val="276"/>
        </w:trPr>
        <w:tc>
          <w:tcPr>
            <w:tcW w:w="5070" w:type="dxa"/>
            <w:noWrap/>
            <w:hideMark/>
          </w:tcPr>
          <w:p w:rsidR="00E445F8" w:rsidRPr="00D73845" w:rsidRDefault="00E445F8" w:rsidP="00563C30">
            <w:r w:rsidRPr="00D73845">
              <w:t>Other (specify)</w:t>
            </w:r>
          </w:p>
        </w:tc>
        <w:tc>
          <w:tcPr>
            <w:tcW w:w="2013" w:type="dxa"/>
            <w:noWrap/>
            <w:hideMark/>
          </w:tcPr>
          <w:p w:rsidR="00E445F8" w:rsidRPr="00D73845" w:rsidRDefault="00E445F8" w:rsidP="009675C1">
            <w:pPr>
              <w:jc w:val="center"/>
            </w:pPr>
            <w:r w:rsidRPr="00D73845">
              <w:t>3%</w:t>
            </w:r>
          </w:p>
        </w:tc>
        <w:tc>
          <w:tcPr>
            <w:tcW w:w="2013" w:type="dxa"/>
            <w:noWrap/>
            <w:hideMark/>
          </w:tcPr>
          <w:p w:rsidR="00E445F8" w:rsidRPr="00D73845" w:rsidRDefault="00E445F8" w:rsidP="009675C1">
            <w:pPr>
              <w:jc w:val="center"/>
            </w:pPr>
            <w:r w:rsidRPr="00D73845">
              <w:t>3%</w:t>
            </w:r>
          </w:p>
        </w:tc>
        <w:tc>
          <w:tcPr>
            <w:tcW w:w="2013" w:type="dxa"/>
            <w:noWrap/>
            <w:hideMark/>
          </w:tcPr>
          <w:p w:rsidR="00E445F8" w:rsidRPr="00D73845" w:rsidRDefault="00E445F8" w:rsidP="009675C1">
            <w:pPr>
              <w:jc w:val="center"/>
            </w:pPr>
            <w:r w:rsidRPr="00D73845">
              <w:t>4%</w:t>
            </w:r>
          </w:p>
        </w:tc>
        <w:tc>
          <w:tcPr>
            <w:tcW w:w="2014" w:type="dxa"/>
            <w:noWrap/>
          </w:tcPr>
          <w:p w:rsidR="00E445F8" w:rsidRPr="00D73845" w:rsidRDefault="00E445F8" w:rsidP="009675C1">
            <w:pPr>
              <w:jc w:val="center"/>
            </w:pPr>
            <w:r w:rsidRPr="00D73845">
              <w:t>4%</w:t>
            </w:r>
          </w:p>
        </w:tc>
      </w:tr>
      <w:tr w:rsidR="00E445F8" w:rsidRPr="00D73845" w:rsidTr="005C4BC9">
        <w:trPr>
          <w:trHeight w:val="276"/>
        </w:trPr>
        <w:tc>
          <w:tcPr>
            <w:tcW w:w="13123" w:type="dxa"/>
            <w:gridSpan w:val="5"/>
            <w:noWrap/>
            <w:hideMark/>
          </w:tcPr>
          <w:p w:rsidR="00E445F8" w:rsidRPr="00B8757B" w:rsidRDefault="00E445F8" w:rsidP="00EA598B">
            <w:pPr>
              <w:rPr>
                <w:i/>
              </w:rPr>
            </w:pPr>
            <w:r w:rsidRPr="00B8757B">
              <w:rPr>
                <w:i/>
              </w:rPr>
              <w:t xml:space="preserve">Source: Wellington City Council </w:t>
            </w:r>
            <w:r w:rsidR="00EA598B">
              <w:rPr>
                <w:i/>
              </w:rPr>
              <w:t>RMS</w:t>
            </w:r>
          </w:p>
        </w:tc>
      </w:tr>
    </w:tbl>
    <w:p w:rsidR="009675C1" w:rsidRDefault="009675C1" w:rsidP="00E445F8">
      <w:pPr>
        <w:rPr>
          <w:b/>
          <w:bCs/>
        </w:rPr>
      </w:pPr>
    </w:p>
    <w:p w:rsidR="009675C1" w:rsidRDefault="009675C1" w:rsidP="00E445F8">
      <w:pPr>
        <w:rPr>
          <w:b/>
          <w:bCs/>
        </w:rPr>
      </w:pPr>
    </w:p>
    <w:p w:rsidR="00E445F8" w:rsidRDefault="009675C1" w:rsidP="002C7BF8">
      <w:pPr>
        <w:pStyle w:val="ListParagraph"/>
        <w:numPr>
          <w:ilvl w:val="0"/>
          <w:numId w:val="63"/>
        </w:numPr>
      </w:pPr>
      <w:r w:rsidRPr="009675C1">
        <w:rPr>
          <w:b/>
          <w:bCs/>
        </w:rPr>
        <w:lastRenderedPageBreak/>
        <w:t>Residents engaging in neighbourly actions</w:t>
      </w:r>
      <w:r>
        <w:rPr>
          <w:b/>
          <w:bCs/>
        </w:rPr>
        <w:t xml:space="preserve"> - </w:t>
      </w:r>
      <w:r w:rsidRPr="00D73845">
        <w:t>The result published (91%) is all residents who did NOT state "none of the above" to neighbourly actions in the last year.</w:t>
      </w:r>
    </w:p>
    <w:tbl>
      <w:tblPr>
        <w:tblStyle w:val="TableGrid"/>
        <w:tblW w:w="0" w:type="auto"/>
        <w:tblBorders>
          <w:top w:val="single" w:sz="4" w:space="0" w:color="215868" w:themeColor="accent5" w:themeShade="80"/>
          <w:left w:val="none" w:sz="0" w:space="0" w:color="auto"/>
          <w:bottom w:val="single" w:sz="4" w:space="0" w:color="215868" w:themeColor="accent5" w:themeShade="80"/>
          <w:right w:val="none" w:sz="0" w:space="0" w:color="auto"/>
          <w:insideH w:val="single" w:sz="4" w:space="0" w:color="215868" w:themeColor="accent5" w:themeShade="80"/>
          <w:insideV w:val="single" w:sz="4" w:space="0" w:color="215868" w:themeColor="accent5" w:themeShade="80"/>
        </w:tblBorders>
        <w:tblLook w:val="04A0" w:firstRow="1" w:lastRow="0" w:firstColumn="1" w:lastColumn="0" w:noHBand="0" w:noVBand="1"/>
      </w:tblPr>
      <w:tblGrid>
        <w:gridCol w:w="5287"/>
        <w:gridCol w:w="834"/>
        <w:gridCol w:w="1427"/>
        <w:gridCol w:w="1427"/>
        <w:gridCol w:w="1427"/>
        <w:gridCol w:w="1353"/>
      </w:tblGrid>
      <w:tr w:rsidR="00E445F8" w:rsidRPr="00D73845" w:rsidTr="009675C1">
        <w:trPr>
          <w:trHeight w:val="276"/>
        </w:trPr>
        <w:tc>
          <w:tcPr>
            <w:tcW w:w="5287" w:type="dxa"/>
            <w:vMerge w:val="restart"/>
            <w:noWrap/>
            <w:vAlign w:val="center"/>
            <w:hideMark/>
          </w:tcPr>
          <w:p w:rsidR="00E445F8" w:rsidRPr="00D73845" w:rsidRDefault="00E445F8" w:rsidP="00563C30">
            <w:pPr>
              <w:rPr>
                <w:b/>
                <w:bCs/>
              </w:rPr>
            </w:pPr>
            <w:r w:rsidRPr="00D73845">
              <w:rPr>
                <w:b/>
                <w:bCs/>
              </w:rPr>
              <w:t>I</w:t>
            </w:r>
            <w:r w:rsidRPr="000B3B7D">
              <w:rPr>
                <w:bCs/>
              </w:rPr>
              <w:t>n the last 12 months, have you…</w:t>
            </w:r>
          </w:p>
        </w:tc>
        <w:tc>
          <w:tcPr>
            <w:tcW w:w="834" w:type="dxa"/>
            <w:tcBorders>
              <w:bottom w:val="nil"/>
              <w:right w:val="single" w:sz="4" w:space="0" w:color="FFFFFF" w:themeColor="background1"/>
            </w:tcBorders>
            <w:shd w:val="clear" w:color="auto" w:fill="009999"/>
            <w:noWrap/>
            <w:hideMark/>
          </w:tcPr>
          <w:p w:rsidR="00E445F8" w:rsidRPr="0024684D" w:rsidRDefault="00E445F8" w:rsidP="009675C1">
            <w:pPr>
              <w:jc w:val="center"/>
              <w:rPr>
                <w:b/>
                <w:bCs/>
                <w:color w:val="FFFFFF" w:themeColor="background1"/>
              </w:rPr>
            </w:pPr>
            <w:r w:rsidRPr="0024684D">
              <w:rPr>
                <w:b/>
                <w:bCs/>
                <w:color w:val="FFFFFF" w:themeColor="background1"/>
              </w:rPr>
              <w:t>2015</w:t>
            </w:r>
          </w:p>
        </w:tc>
        <w:tc>
          <w:tcPr>
            <w:tcW w:w="1427" w:type="dxa"/>
            <w:tcBorders>
              <w:left w:val="single" w:sz="4" w:space="0" w:color="FFFFFF" w:themeColor="background1"/>
              <w:bottom w:val="nil"/>
              <w:right w:val="single" w:sz="4" w:space="0" w:color="FFFFFF" w:themeColor="background1"/>
            </w:tcBorders>
            <w:shd w:val="clear" w:color="auto" w:fill="009999"/>
            <w:noWrap/>
            <w:hideMark/>
          </w:tcPr>
          <w:p w:rsidR="00E445F8" w:rsidRPr="0024684D" w:rsidRDefault="00E445F8" w:rsidP="009675C1">
            <w:pPr>
              <w:jc w:val="center"/>
              <w:rPr>
                <w:b/>
                <w:bCs/>
                <w:color w:val="FFFFFF" w:themeColor="background1"/>
              </w:rPr>
            </w:pPr>
            <w:r w:rsidRPr="0024684D">
              <w:rPr>
                <w:b/>
                <w:bCs/>
                <w:color w:val="FFFFFF" w:themeColor="background1"/>
              </w:rPr>
              <w:t>2016</w:t>
            </w:r>
          </w:p>
        </w:tc>
        <w:tc>
          <w:tcPr>
            <w:tcW w:w="1427" w:type="dxa"/>
            <w:tcBorders>
              <w:left w:val="single" w:sz="4" w:space="0" w:color="FFFFFF" w:themeColor="background1"/>
              <w:bottom w:val="nil"/>
              <w:right w:val="single" w:sz="4" w:space="0" w:color="FFFFFF" w:themeColor="background1"/>
            </w:tcBorders>
            <w:shd w:val="clear" w:color="auto" w:fill="009999"/>
            <w:noWrap/>
            <w:hideMark/>
          </w:tcPr>
          <w:p w:rsidR="00E445F8" w:rsidRPr="0024684D" w:rsidRDefault="00E445F8" w:rsidP="009675C1">
            <w:pPr>
              <w:jc w:val="center"/>
              <w:rPr>
                <w:b/>
                <w:bCs/>
                <w:color w:val="FFFFFF" w:themeColor="background1"/>
              </w:rPr>
            </w:pPr>
            <w:r w:rsidRPr="0024684D">
              <w:rPr>
                <w:b/>
                <w:bCs/>
                <w:color w:val="FFFFFF" w:themeColor="background1"/>
              </w:rPr>
              <w:t>2017</w:t>
            </w:r>
          </w:p>
        </w:tc>
        <w:tc>
          <w:tcPr>
            <w:tcW w:w="1427" w:type="dxa"/>
            <w:tcBorders>
              <w:left w:val="single" w:sz="4" w:space="0" w:color="FFFFFF" w:themeColor="background1"/>
              <w:bottom w:val="nil"/>
              <w:right w:val="single" w:sz="4" w:space="0" w:color="FFFFFF" w:themeColor="background1"/>
            </w:tcBorders>
            <w:shd w:val="clear" w:color="auto" w:fill="009999"/>
            <w:noWrap/>
            <w:hideMark/>
          </w:tcPr>
          <w:p w:rsidR="00E445F8" w:rsidRPr="0024684D" w:rsidRDefault="00E445F8" w:rsidP="009675C1">
            <w:pPr>
              <w:jc w:val="center"/>
              <w:rPr>
                <w:b/>
                <w:bCs/>
                <w:color w:val="FFFFFF" w:themeColor="background1"/>
              </w:rPr>
            </w:pPr>
            <w:r w:rsidRPr="0024684D">
              <w:rPr>
                <w:b/>
                <w:bCs/>
                <w:color w:val="FFFFFF" w:themeColor="background1"/>
              </w:rPr>
              <w:t>2018</w:t>
            </w:r>
          </w:p>
        </w:tc>
        <w:tc>
          <w:tcPr>
            <w:tcW w:w="1353" w:type="dxa"/>
            <w:tcBorders>
              <w:left w:val="single" w:sz="4" w:space="0" w:color="FFFFFF" w:themeColor="background1"/>
              <w:bottom w:val="nil"/>
            </w:tcBorders>
            <w:shd w:val="clear" w:color="auto" w:fill="009999"/>
            <w:noWrap/>
            <w:hideMark/>
          </w:tcPr>
          <w:p w:rsidR="00E445F8" w:rsidRPr="0024684D" w:rsidRDefault="00E445F8" w:rsidP="009675C1">
            <w:pPr>
              <w:jc w:val="center"/>
              <w:rPr>
                <w:b/>
                <w:bCs/>
                <w:color w:val="FFFFFF" w:themeColor="background1"/>
              </w:rPr>
            </w:pPr>
            <w:r w:rsidRPr="0024684D">
              <w:rPr>
                <w:b/>
                <w:bCs/>
                <w:color w:val="FFFFFF" w:themeColor="background1"/>
              </w:rPr>
              <w:t>2019</w:t>
            </w:r>
          </w:p>
        </w:tc>
      </w:tr>
      <w:tr w:rsidR="00E445F8" w:rsidRPr="00D73845" w:rsidTr="00563C30">
        <w:trPr>
          <w:trHeight w:val="276"/>
        </w:trPr>
        <w:tc>
          <w:tcPr>
            <w:tcW w:w="5287" w:type="dxa"/>
            <w:vMerge/>
            <w:noWrap/>
            <w:hideMark/>
          </w:tcPr>
          <w:p w:rsidR="00E445F8" w:rsidRPr="00D73845" w:rsidRDefault="00E445F8" w:rsidP="00563C30"/>
        </w:tc>
        <w:tc>
          <w:tcPr>
            <w:tcW w:w="834" w:type="dxa"/>
            <w:noWrap/>
            <w:hideMark/>
          </w:tcPr>
          <w:p w:rsidR="00E445F8" w:rsidRPr="009675C1" w:rsidRDefault="00E445F8" w:rsidP="009675C1">
            <w:pPr>
              <w:jc w:val="center"/>
              <w:rPr>
                <w:i/>
              </w:rPr>
            </w:pPr>
            <w:r w:rsidRPr="009675C1">
              <w:rPr>
                <w:i/>
              </w:rPr>
              <w:t>n=760</w:t>
            </w:r>
          </w:p>
        </w:tc>
        <w:tc>
          <w:tcPr>
            <w:tcW w:w="1427" w:type="dxa"/>
            <w:noWrap/>
            <w:hideMark/>
          </w:tcPr>
          <w:p w:rsidR="00E445F8" w:rsidRPr="009675C1" w:rsidRDefault="00E445F8" w:rsidP="009675C1">
            <w:pPr>
              <w:jc w:val="center"/>
              <w:rPr>
                <w:i/>
              </w:rPr>
            </w:pPr>
            <w:r w:rsidRPr="009675C1">
              <w:rPr>
                <w:i/>
              </w:rPr>
              <w:t>n=994</w:t>
            </w:r>
          </w:p>
        </w:tc>
        <w:tc>
          <w:tcPr>
            <w:tcW w:w="1427" w:type="dxa"/>
            <w:noWrap/>
            <w:hideMark/>
          </w:tcPr>
          <w:p w:rsidR="00E445F8" w:rsidRPr="009675C1" w:rsidRDefault="00E445F8" w:rsidP="009675C1">
            <w:pPr>
              <w:jc w:val="center"/>
              <w:rPr>
                <w:i/>
              </w:rPr>
            </w:pPr>
            <w:r w:rsidRPr="009675C1">
              <w:rPr>
                <w:i/>
              </w:rPr>
              <w:t>n=766</w:t>
            </w:r>
          </w:p>
        </w:tc>
        <w:tc>
          <w:tcPr>
            <w:tcW w:w="1427" w:type="dxa"/>
            <w:noWrap/>
            <w:hideMark/>
          </w:tcPr>
          <w:p w:rsidR="00E445F8" w:rsidRPr="009675C1" w:rsidRDefault="00E445F8" w:rsidP="009675C1">
            <w:pPr>
              <w:jc w:val="center"/>
              <w:rPr>
                <w:i/>
              </w:rPr>
            </w:pPr>
            <w:r w:rsidRPr="009675C1">
              <w:rPr>
                <w:i/>
              </w:rPr>
              <w:t>n=988</w:t>
            </w:r>
          </w:p>
        </w:tc>
        <w:tc>
          <w:tcPr>
            <w:tcW w:w="1353" w:type="dxa"/>
            <w:noWrap/>
            <w:hideMark/>
          </w:tcPr>
          <w:p w:rsidR="00E445F8" w:rsidRPr="009675C1" w:rsidRDefault="00E445F8" w:rsidP="009675C1">
            <w:pPr>
              <w:jc w:val="center"/>
              <w:rPr>
                <w:i/>
              </w:rPr>
            </w:pPr>
            <w:r w:rsidRPr="009675C1">
              <w:rPr>
                <w:i/>
              </w:rPr>
              <w:t>n=508</w:t>
            </w:r>
          </w:p>
        </w:tc>
      </w:tr>
      <w:tr w:rsidR="00E445F8" w:rsidRPr="00D73845" w:rsidTr="00563C30">
        <w:trPr>
          <w:trHeight w:val="276"/>
        </w:trPr>
        <w:tc>
          <w:tcPr>
            <w:tcW w:w="5287" w:type="dxa"/>
            <w:noWrap/>
            <w:hideMark/>
          </w:tcPr>
          <w:p w:rsidR="00E445F8" w:rsidRPr="00D73845" w:rsidRDefault="00E445F8" w:rsidP="00563C30">
            <w:r w:rsidRPr="00D73845">
              <w:t>Spoken to a neighbour</w:t>
            </w:r>
          </w:p>
        </w:tc>
        <w:tc>
          <w:tcPr>
            <w:tcW w:w="834" w:type="dxa"/>
            <w:noWrap/>
            <w:hideMark/>
          </w:tcPr>
          <w:p w:rsidR="00E445F8" w:rsidRPr="00D73845" w:rsidRDefault="00E445F8" w:rsidP="009675C1">
            <w:pPr>
              <w:jc w:val="center"/>
            </w:pPr>
            <w:r w:rsidRPr="00D73845">
              <w:t>92%</w:t>
            </w:r>
          </w:p>
        </w:tc>
        <w:tc>
          <w:tcPr>
            <w:tcW w:w="1427" w:type="dxa"/>
            <w:noWrap/>
            <w:hideMark/>
          </w:tcPr>
          <w:p w:rsidR="00E445F8" w:rsidRPr="00D73845" w:rsidRDefault="00E445F8" w:rsidP="009675C1">
            <w:pPr>
              <w:jc w:val="center"/>
            </w:pPr>
            <w:r w:rsidRPr="00D73845">
              <w:t>91%</w:t>
            </w:r>
          </w:p>
        </w:tc>
        <w:tc>
          <w:tcPr>
            <w:tcW w:w="1427" w:type="dxa"/>
            <w:noWrap/>
            <w:hideMark/>
          </w:tcPr>
          <w:p w:rsidR="00E445F8" w:rsidRPr="00D73845" w:rsidRDefault="00E445F8" w:rsidP="009675C1">
            <w:pPr>
              <w:jc w:val="center"/>
            </w:pPr>
            <w:r w:rsidRPr="00D73845">
              <w:t>89%</w:t>
            </w:r>
          </w:p>
        </w:tc>
        <w:tc>
          <w:tcPr>
            <w:tcW w:w="1427" w:type="dxa"/>
            <w:noWrap/>
            <w:hideMark/>
          </w:tcPr>
          <w:p w:rsidR="00E445F8" w:rsidRPr="00D73845" w:rsidRDefault="00E445F8" w:rsidP="009675C1">
            <w:pPr>
              <w:jc w:val="center"/>
            </w:pPr>
            <w:r w:rsidRPr="00D73845">
              <w:t>89%</w:t>
            </w:r>
          </w:p>
        </w:tc>
        <w:tc>
          <w:tcPr>
            <w:tcW w:w="1353" w:type="dxa"/>
            <w:noWrap/>
            <w:hideMark/>
          </w:tcPr>
          <w:p w:rsidR="00E445F8" w:rsidRPr="00D73845" w:rsidRDefault="00E445F8" w:rsidP="009675C1">
            <w:pPr>
              <w:jc w:val="center"/>
            </w:pPr>
            <w:r w:rsidRPr="00D73845">
              <w:t>90%</w:t>
            </w:r>
          </w:p>
        </w:tc>
      </w:tr>
      <w:tr w:rsidR="00E445F8" w:rsidRPr="00D73845" w:rsidTr="00563C30">
        <w:trPr>
          <w:trHeight w:val="276"/>
        </w:trPr>
        <w:tc>
          <w:tcPr>
            <w:tcW w:w="5287" w:type="dxa"/>
            <w:noWrap/>
            <w:hideMark/>
          </w:tcPr>
          <w:p w:rsidR="00E445F8" w:rsidRPr="00D73845" w:rsidRDefault="00E445F8" w:rsidP="00563C30">
            <w:r w:rsidRPr="00D73845">
              <w:t>Given help to a neighbour</w:t>
            </w:r>
          </w:p>
        </w:tc>
        <w:tc>
          <w:tcPr>
            <w:tcW w:w="834" w:type="dxa"/>
            <w:noWrap/>
            <w:hideMark/>
          </w:tcPr>
          <w:p w:rsidR="00E445F8" w:rsidRPr="00D73845" w:rsidRDefault="00E445F8" w:rsidP="009675C1">
            <w:pPr>
              <w:jc w:val="center"/>
            </w:pPr>
            <w:r w:rsidRPr="00D73845">
              <w:t>58%</w:t>
            </w:r>
          </w:p>
        </w:tc>
        <w:tc>
          <w:tcPr>
            <w:tcW w:w="1427" w:type="dxa"/>
            <w:noWrap/>
            <w:hideMark/>
          </w:tcPr>
          <w:p w:rsidR="00E445F8" w:rsidRPr="00D73845" w:rsidRDefault="00E445F8" w:rsidP="009675C1">
            <w:pPr>
              <w:jc w:val="center"/>
            </w:pPr>
            <w:r w:rsidRPr="00D73845">
              <w:t>62%</w:t>
            </w:r>
          </w:p>
        </w:tc>
        <w:tc>
          <w:tcPr>
            <w:tcW w:w="1427" w:type="dxa"/>
            <w:noWrap/>
            <w:hideMark/>
          </w:tcPr>
          <w:p w:rsidR="00E445F8" w:rsidRPr="00D73845" w:rsidRDefault="00E445F8" w:rsidP="009675C1">
            <w:pPr>
              <w:jc w:val="center"/>
            </w:pPr>
            <w:r w:rsidRPr="00D73845">
              <w:t>55%</w:t>
            </w:r>
          </w:p>
        </w:tc>
        <w:tc>
          <w:tcPr>
            <w:tcW w:w="1427" w:type="dxa"/>
            <w:noWrap/>
            <w:hideMark/>
          </w:tcPr>
          <w:p w:rsidR="00E445F8" w:rsidRPr="00D73845" w:rsidRDefault="00E445F8" w:rsidP="009675C1">
            <w:pPr>
              <w:jc w:val="center"/>
            </w:pPr>
            <w:r w:rsidRPr="00D73845">
              <w:t>58%</w:t>
            </w:r>
          </w:p>
        </w:tc>
        <w:tc>
          <w:tcPr>
            <w:tcW w:w="1353" w:type="dxa"/>
            <w:noWrap/>
            <w:hideMark/>
          </w:tcPr>
          <w:p w:rsidR="00E445F8" w:rsidRPr="00D73845" w:rsidRDefault="00E445F8" w:rsidP="009675C1">
            <w:pPr>
              <w:jc w:val="center"/>
            </w:pPr>
            <w:r w:rsidRPr="00D73845">
              <w:t>57%</w:t>
            </w:r>
          </w:p>
        </w:tc>
      </w:tr>
      <w:tr w:rsidR="00E445F8" w:rsidRPr="00D73845" w:rsidTr="00563C30">
        <w:trPr>
          <w:trHeight w:val="276"/>
        </w:trPr>
        <w:tc>
          <w:tcPr>
            <w:tcW w:w="5287" w:type="dxa"/>
            <w:noWrap/>
            <w:hideMark/>
          </w:tcPr>
          <w:p w:rsidR="00E445F8" w:rsidRPr="00D73845" w:rsidRDefault="00E445F8" w:rsidP="00563C30">
            <w:r w:rsidRPr="00D73845">
              <w:t>Received help from a neighbour</w:t>
            </w:r>
          </w:p>
        </w:tc>
        <w:tc>
          <w:tcPr>
            <w:tcW w:w="834" w:type="dxa"/>
            <w:noWrap/>
            <w:hideMark/>
          </w:tcPr>
          <w:p w:rsidR="00E445F8" w:rsidRPr="00D73845" w:rsidRDefault="00E445F8" w:rsidP="009675C1">
            <w:pPr>
              <w:jc w:val="center"/>
            </w:pPr>
            <w:r w:rsidRPr="00D73845">
              <w:t>47%</w:t>
            </w:r>
          </w:p>
        </w:tc>
        <w:tc>
          <w:tcPr>
            <w:tcW w:w="1427" w:type="dxa"/>
            <w:noWrap/>
            <w:hideMark/>
          </w:tcPr>
          <w:p w:rsidR="00E445F8" w:rsidRPr="00D73845" w:rsidRDefault="00E445F8" w:rsidP="009675C1">
            <w:pPr>
              <w:jc w:val="center"/>
            </w:pPr>
            <w:r w:rsidRPr="00D73845">
              <w:t>49%</w:t>
            </w:r>
          </w:p>
        </w:tc>
        <w:tc>
          <w:tcPr>
            <w:tcW w:w="1427" w:type="dxa"/>
            <w:noWrap/>
            <w:hideMark/>
          </w:tcPr>
          <w:p w:rsidR="00E445F8" w:rsidRPr="00D73845" w:rsidRDefault="00E445F8" w:rsidP="009675C1">
            <w:pPr>
              <w:jc w:val="center"/>
            </w:pPr>
            <w:r w:rsidRPr="00D73845">
              <w:t>46%</w:t>
            </w:r>
          </w:p>
        </w:tc>
        <w:tc>
          <w:tcPr>
            <w:tcW w:w="1427" w:type="dxa"/>
            <w:noWrap/>
            <w:hideMark/>
          </w:tcPr>
          <w:p w:rsidR="00E445F8" w:rsidRPr="00D73845" w:rsidRDefault="00E445F8" w:rsidP="009675C1">
            <w:pPr>
              <w:jc w:val="center"/>
            </w:pPr>
            <w:r w:rsidRPr="00D73845">
              <w:t>47%</w:t>
            </w:r>
          </w:p>
        </w:tc>
        <w:tc>
          <w:tcPr>
            <w:tcW w:w="1353" w:type="dxa"/>
            <w:noWrap/>
            <w:hideMark/>
          </w:tcPr>
          <w:p w:rsidR="00E445F8" w:rsidRPr="00D73845" w:rsidRDefault="00E445F8" w:rsidP="009675C1">
            <w:pPr>
              <w:jc w:val="center"/>
            </w:pPr>
            <w:r w:rsidRPr="00D73845">
              <w:t>46%</w:t>
            </w:r>
          </w:p>
        </w:tc>
      </w:tr>
      <w:tr w:rsidR="00E445F8" w:rsidRPr="00D73845" w:rsidTr="00563C30">
        <w:trPr>
          <w:trHeight w:val="276"/>
        </w:trPr>
        <w:tc>
          <w:tcPr>
            <w:tcW w:w="5287" w:type="dxa"/>
            <w:noWrap/>
            <w:hideMark/>
          </w:tcPr>
          <w:p w:rsidR="00E445F8" w:rsidRPr="00D73845" w:rsidRDefault="00E445F8" w:rsidP="00563C30">
            <w:r w:rsidRPr="00D73845">
              <w:t>Participated in an activity with a neighbour</w:t>
            </w:r>
          </w:p>
        </w:tc>
        <w:tc>
          <w:tcPr>
            <w:tcW w:w="834" w:type="dxa"/>
            <w:noWrap/>
            <w:hideMark/>
          </w:tcPr>
          <w:p w:rsidR="00E445F8" w:rsidRPr="00D73845" w:rsidRDefault="00E445F8" w:rsidP="009675C1">
            <w:pPr>
              <w:jc w:val="center"/>
            </w:pPr>
            <w:r w:rsidRPr="00D73845">
              <w:t>38%</w:t>
            </w:r>
          </w:p>
        </w:tc>
        <w:tc>
          <w:tcPr>
            <w:tcW w:w="1427" w:type="dxa"/>
            <w:noWrap/>
            <w:hideMark/>
          </w:tcPr>
          <w:p w:rsidR="00E445F8" w:rsidRPr="00D73845" w:rsidRDefault="00E445F8" w:rsidP="009675C1">
            <w:pPr>
              <w:jc w:val="center"/>
            </w:pPr>
            <w:r w:rsidRPr="00D73845">
              <w:t>36%</w:t>
            </w:r>
          </w:p>
        </w:tc>
        <w:tc>
          <w:tcPr>
            <w:tcW w:w="1427" w:type="dxa"/>
            <w:noWrap/>
            <w:hideMark/>
          </w:tcPr>
          <w:p w:rsidR="00E445F8" w:rsidRPr="00D73845" w:rsidRDefault="00E445F8" w:rsidP="009675C1">
            <w:pPr>
              <w:jc w:val="center"/>
            </w:pPr>
            <w:r w:rsidRPr="00D73845">
              <w:t>33%</w:t>
            </w:r>
          </w:p>
        </w:tc>
        <w:tc>
          <w:tcPr>
            <w:tcW w:w="1427" w:type="dxa"/>
            <w:noWrap/>
            <w:hideMark/>
          </w:tcPr>
          <w:p w:rsidR="00E445F8" w:rsidRPr="00D73845" w:rsidRDefault="00E445F8" w:rsidP="009675C1">
            <w:pPr>
              <w:jc w:val="center"/>
            </w:pPr>
            <w:r w:rsidRPr="00D73845">
              <w:t>33%</w:t>
            </w:r>
          </w:p>
        </w:tc>
        <w:tc>
          <w:tcPr>
            <w:tcW w:w="1353" w:type="dxa"/>
            <w:noWrap/>
            <w:hideMark/>
          </w:tcPr>
          <w:p w:rsidR="00E445F8" w:rsidRPr="00D73845" w:rsidRDefault="00E445F8" w:rsidP="009675C1">
            <w:pPr>
              <w:jc w:val="center"/>
            </w:pPr>
            <w:r w:rsidRPr="00D73845">
              <w:t>33%</w:t>
            </w:r>
          </w:p>
        </w:tc>
      </w:tr>
      <w:tr w:rsidR="00E445F8" w:rsidRPr="00D73845" w:rsidTr="00563C30">
        <w:trPr>
          <w:trHeight w:val="276"/>
        </w:trPr>
        <w:tc>
          <w:tcPr>
            <w:tcW w:w="5287" w:type="dxa"/>
            <w:noWrap/>
            <w:hideMark/>
          </w:tcPr>
          <w:p w:rsidR="00E445F8" w:rsidRPr="00D73845" w:rsidRDefault="00E445F8" w:rsidP="00563C30">
            <w:r w:rsidRPr="00D73845">
              <w:t>Discussed emergency preparedness with a neighbour</w:t>
            </w:r>
          </w:p>
        </w:tc>
        <w:tc>
          <w:tcPr>
            <w:tcW w:w="834" w:type="dxa"/>
            <w:noWrap/>
            <w:hideMark/>
          </w:tcPr>
          <w:p w:rsidR="00E445F8" w:rsidRPr="00D73845" w:rsidRDefault="00E445F8" w:rsidP="009675C1">
            <w:pPr>
              <w:jc w:val="center"/>
            </w:pPr>
            <w:r w:rsidRPr="00D73845">
              <w:t>16%</w:t>
            </w:r>
          </w:p>
        </w:tc>
        <w:tc>
          <w:tcPr>
            <w:tcW w:w="1427" w:type="dxa"/>
            <w:noWrap/>
            <w:hideMark/>
          </w:tcPr>
          <w:p w:rsidR="00E445F8" w:rsidRPr="00D73845" w:rsidRDefault="00E445F8" w:rsidP="009675C1">
            <w:pPr>
              <w:jc w:val="center"/>
            </w:pPr>
            <w:r w:rsidRPr="00D73845">
              <w:t>14%</w:t>
            </w:r>
          </w:p>
        </w:tc>
        <w:tc>
          <w:tcPr>
            <w:tcW w:w="1427" w:type="dxa"/>
            <w:noWrap/>
            <w:hideMark/>
          </w:tcPr>
          <w:p w:rsidR="00E445F8" w:rsidRPr="00D73845" w:rsidRDefault="00E445F8" w:rsidP="009675C1">
            <w:pPr>
              <w:jc w:val="center"/>
            </w:pPr>
            <w:r w:rsidRPr="00D73845">
              <w:t>21%</w:t>
            </w:r>
          </w:p>
        </w:tc>
        <w:tc>
          <w:tcPr>
            <w:tcW w:w="1427" w:type="dxa"/>
            <w:noWrap/>
            <w:hideMark/>
          </w:tcPr>
          <w:p w:rsidR="00E445F8" w:rsidRPr="00D73845" w:rsidRDefault="00E445F8" w:rsidP="009675C1">
            <w:pPr>
              <w:jc w:val="center"/>
            </w:pPr>
            <w:r w:rsidRPr="00D73845">
              <w:t>15%</w:t>
            </w:r>
          </w:p>
        </w:tc>
        <w:tc>
          <w:tcPr>
            <w:tcW w:w="1353" w:type="dxa"/>
            <w:noWrap/>
            <w:hideMark/>
          </w:tcPr>
          <w:p w:rsidR="00E445F8" w:rsidRPr="00D73845" w:rsidRDefault="00E445F8" w:rsidP="009675C1">
            <w:pPr>
              <w:jc w:val="center"/>
            </w:pPr>
            <w:r w:rsidRPr="00D73845">
              <w:t>12%</w:t>
            </w:r>
          </w:p>
        </w:tc>
      </w:tr>
      <w:tr w:rsidR="00E445F8" w:rsidRPr="00D73845" w:rsidTr="00563C30">
        <w:trPr>
          <w:trHeight w:val="276"/>
        </w:trPr>
        <w:tc>
          <w:tcPr>
            <w:tcW w:w="5287" w:type="dxa"/>
            <w:noWrap/>
            <w:hideMark/>
          </w:tcPr>
          <w:p w:rsidR="00E445F8" w:rsidRPr="00D73845" w:rsidRDefault="00E445F8" w:rsidP="00563C30">
            <w:r w:rsidRPr="00D73845">
              <w:t>None of the above</w:t>
            </w:r>
          </w:p>
        </w:tc>
        <w:tc>
          <w:tcPr>
            <w:tcW w:w="834" w:type="dxa"/>
            <w:noWrap/>
            <w:hideMark/>
          </w:tcPr>
          <w:p w:rsidR="00E445F8" w:rsidRPr="00D73845" w:rsidRDefault="00E445F8" w:rsidP="009675C1">
            <w:pPr>
              <w:jc w:val="center"/>
            </w:pPr>
            <w:r w:rsidRPr="00D73845">
              <w:t>7%</w:t>
            </w:r>
          </w:p>
        </w:tc>
        <w:tc>
          <w:tcPr>
            <w:tcW w:w="1427" w:type="dxa"/>
            <w:noWrap/>
            <w:hideMark/>
          </w:tcPr>
          <w:p w:rsidR="00E445F8" w:rsidRPr="00D73845" w:rsidRDefault="00E445F8" w:rsidP="009675C1">
            <w:pPr>
              <w:jc w:val="center"/>
            </w:pPr>
            <w:r w:rsidRPr="00D73845">
              <w:t>7%</w:t>
            </w:r>
          </w:p>
        </w:tc>
        <w:tc>
          <w:tcPr>
            <w:tcW w:w="1427" w:type="dxa"/>
            <w:noWrap/>
            <w:hideMark/>
          </w:tcPr>
          <w:p w:rsidR="00E445F8" w:rsidRPr="00D73845" w:rsidRDefault="00E445F8" w:rsidP="009675C1">
            <w:pPr>
              <w:jc w:val="center"/>
            </w:pPr>
            <w:r w:rsidRPr="00D73845">
              <w:t>10%</w:t>
            </w:r>
          </w:p>
        </w:tc>
        <w:tc>
          <w:tcPr>
            <w:tcW w:w="1427" w:type="dxa"/>
            <w:noWrap/>
            <w:hideMark/>
          </w:tcPr>
          <w:p w:rsidR="00E445F8" w:rsidRPr="00D73845" w:rsidRDefault="00E445F8" w:rsidP="009675C1">
            <w:pPr>
              <w:jc w:val="center"/>
            </w:pPr>
            <w:r w:rsidRPr="00D73845">
              <w:t>9%</w:t>
            </w:r>
          </w:p>
        </w:tc>
        <w:tc>
          <w:tcPr>
            <w:tcW w:w="1353" w:type="dxa"/>
            <w:noWrap/>
            <w:hideMark/>
          </w:tcPr>
          <w:p w:rsidR="00E445F8" w:rsidRPr="00D73845" w:rsidRDefault="00E445F8" w:rsidP="009675C1">
            <w:pPr>
              <w:jc w:val="center"/>
            </w:pPr>
            <w:r w:rsidRPr="00D73845">
              <w:t>9%</w:t>
            </w:r>
          </w:p>
        </w:tc>
      </w:tr>
      <w:tr w:rsidR="00E445F8" w:rsidRPr="00D73845" w:rsidTr="00563C30">
        <w:trPr>
          <w:trHeight w:val="276"/>
        </w:trPr>
        <w:tc>
          <w:tcPr>
            <w:tcW w:w="5287" w:type="dxa"/>
            <w:noWrap/>
            <w:hideMark/>
          </w:tcPr>
          <w:p w:rsidR="00E445F8" w:rsidRPr="00D73845" w:rsidRDefault="00E445F8" w:rsidP="00563C30">
            <w:r w:rsidRPr="00D73845">
              <w:t>Result  100% less "None of the above"</w:t>
            </w:r>
          </w:p>
        </w:tc>
        <w:tc>
          <w:tcPr>
            <w:tcW w:w="834" w:type="dxa"/>
            <w:noWrap/>
            <w:hideMark/>
          </w:tcPr>
          <w:p w:rsidR="00E445F8" w:rsidRPr="00D73845" w:rsidRDefault="00E445F8" w:rsidP="009675C1">
            <w:pPr>
              <w:jc w:val="center"/>
            </w:pPr>
            <w:r w:rsidRPr="00D73845">
              <w:t>93%</w:t>
            </w:r>
          </w:p>
        </w:tc>
        <w:tc>
          <w:tcPr>
            <w:tcW w:w="1427" w:type="dxa"/>
            <w:noWrap/>
            <w:hideMark/>
          </w:tcPr>
          <w:p w:rsidR="00E445F8" w:rsidRPr="00D73845" w:rsidRDefault="00E445F8" w:rsidP="009675C1">
            <w:pPr>
              <w:jc w:val="center"/>
            </w:pPr>
            <w:r w:rsidRPr="00D73845">
              <w:t>93%</w:t>
            </w:r>
          </w:p>
        </w:tc>
        <w:tc>
          <w:tcPr>
            <w:tcW w:w="1427" w:type="dxa"/>
            <w:noWrap/>
            <w:hideMark/>
          </w:tcPr>
          <w:p w:rsidR="00E445F8" w:rsidRPr="00D73845" w:rsidRDefault="00E445F8" w:rsidP="009675C1">
            <w:pPr>
              <w:jc w:val="center"/>
            </w:pPr>
            <w:r w:rsidRPr="00D73845">
              <w:t>90%</w:t>
            </w:r>
          </w:p>
        </w:tc>
        <w:tc>
          <w:tcPr>
            <w:tcW w:w="1427" w:type="dxa"/>
            <w:noWrap/>
            <w:hideMark/>
          </w:tcPr>
          <w:p w:rsidR="00E445F8" w:rsidRPr="00D73845" w:rsidRDefault="00E445F8" w:rsidP="009675C1">
            <w:pPr>
              <w:jc w:val="center"/>
            </w:pPr>
            <w:r w:rsidRPr="00D73845">
              <w:t>91%</w:t>
            </w:r>
          </w:p>
        </w:tc>
        <w:tc>
          <w:tcPr>
            <w:tcW w:w="1353" w:type="dxa"/>
            <w:noWrap/>
            <w:hideMark/>
          </w:tcPr>
          <w:p w:rsidR="00E445F8" w:rsidRPr="00D73845" w:rsidRDefault="00E445F8" w:rsidP="009675C1">
            <w:pPr>
              <w:jc w:val="center"/>
            </w:pPr>
            <w:r w:rsidRPr="00D73845">
              <w:t>91%</w:t>
            </w:r>
          </w:p>
        </w:tc>
      </w:tr>
      <w:tr w:rsidR="00E445F8" w:rsidRPr="00D73845" w:rsidTr="00563C30">
        <w:trPr>
          <w:trHeight w:val="276"/>
        </w:trPr>
        <w:tc>
          <w:tcPr>
            <w:tcW w:w="11755" w:type="dxa"/>
            <w:gridSpan w:val="6"/>
            <w:noWrap/>
            <w:hideMark/>
          </w:tcPr>
          <w:p w:rsidR="00E445F8" w:rsidRPr="0063713D" w:rsidRDefault="00E445F8" w:rsidP="00EA598B">
            <w:pPr>
              <w:rPr>
                <w:i/>
              </w:rPr>
            </w:pPr>
            <w:r w:rsidRPr="0063713D">
              <w:rPr>
                <w:i/>
              </w:rPr>
              <w:t xml:space="preserve">Source: Wellington City Council </w:t>
            </w:r>
            <w:r w:rsidR="00EA598B">
              <w:rPr>
                <w:i/>
              </w:rPr>
              <w:t>RMS</w:t>
            </w:r>
          </w:p>
        </w:tc>
      </w:tr>
    </w:tbl>
    <w:p w:rsidR="009675C1" w:rsidRDefault="009675C1" w:rsidP="00E445F8">
      <w:pPr>
        <w:rPr>
          <w:b/>
          <w:bCs/>
        </w:rPr>
      </w:pPr>
    </w:p>
    <w:p w:rsidR="009675C1" w:rsidRDefault="009675C1" w:rsidP="002C7BF8">
      <w:pPr>
        <w:pStyle w:val="ListParagraph"/>
        <w:numPr>
          <w:ilvl w:val="0"/>
          <w:numId w:val="63"/>
        </w:numPr>
      </w:pPr>
      <w:r w:rsidRPr="009675C1">
        <w:rPr>
          <w:b/>
          <w:bCs/>
        </w:rPr>
        <w:t>Residents’ perceptions – city and community safety issues of most concern</w:t>
      </w:r>
      <w:r>
        <w:rPr>
          <w:b/>
          <w:bCs/>
        </w:rPr>
        <w:t xml:space="preserve"> - </w:t>
      </w:r>
      <w:r w:rsidRPr="00B01894">
        <w:rPr>
          <w:bCs/>
          <w:i/>
        </w:rPr>
        <w:t>Which of the following, if any, are particularly concerning in Wellington at present?</w:t>
      </w:r>
    </w:p>
    <w:tbl>
      <w:tblPr>
        <w:tblStyle w:val="TableGrid"/>
        <w:tblW w:w="0" w:type="auto"/>
        <w:tblBorders>
          <w:top w:val="single" w:sz="4" w:space="0" w:color="215868" w:themeColor="accent5" w:themeShade="80"/>
          <w:left w:val="none" w:sz="0" w:space="0" w:color="auto"/>
          <w:bottom w:val="single" w:sz="4" w:space="0" w:color="215868" w:themeColor="accent5" w:themeShade="80"/>
          <w:right w:val="none" w:sz="0" w:space="0" w:color="auto"/>
          <w:insideH w:val="single" w:sz="4" w:space="0" w:color="215868" w:themeColor="accent5" w:themeShade="80"/>
          <w:insideV w:val="single" w:sz="4" w:space="0" w:color="215868" w:themeColor="accent5" w:themeShade="80"/>
        </w:tblBorders>
        <w:tblLook w:val="04A0" w:firstRow="1" w:lastRow="0" w:firstColumn="1" w:lastColumn="0" w:noHBand="0" w:noVBand="1"/>
      </w:tblPr>
      <w:tblGrid>
        <w:gridCol w:w="8046"/>
        <w:gridCol w:w="1418"/>
        <w:gridCol w:w="1276"/>
        <w:gridCol w:w="1134"/>
        <w:gridCol w:w="992"/>
        <w:gridCol w:w="1134"/>
      </w:tblGrid>
      <w:tr w:rsidR="00E445F8" w:rsidRPr="00D73845" w:rsidTr="009675C1">
        <w:trPr>
          <w:trHeight w:val="276"/>
          <w:tblHeader/>
        </w:trPr>
        <w:tc>
          <w:tcPr>
            <w:tcW w:w="8046" w:type="dxa"/>
            <w:vMerge w:val="restart"/>
            <w:noWrap/>
            <w:hideMark/>
          </w:tcPr>
          <w:p w:rsidR="00E445F8" w:rsidRPr="00B8757B" w:rsidRDefault="00E445F8" w:rsidP="00563C30">
            <w:pPr>
              <w:rPr>
                <w:b/>
                <w:bCs/>
              </w:rPr>
            </w:pPr>
          </w:p>
        </w:tc>
        <w:tc>
          <w:tcPr>
            <w:tcW w:w="1418" w:type="dxa"/>
            <w:tcBorders>
              <w:bottom w:val="nil"/>
              <w:right w:val="single" w:sz="4" w:space="0" w:color="FFFFFF" w:themeColor="background1"/>
            </w:tcBorders>
            <w:shd w:val="clear" w:color="auto" w:fill="009999"/>
            <w:noWrap/>
            <w:hideMark/>
          </w:tcPr>
          <w:p w:rsidR="00E445F8" w:rsidRPr="00481BDE" w:rsidRDefault="00E445F8" w:rsidP="00563C30">
            <w:pPr>
              <w:rPr>
                <w:b/>
                <w:bCs/>
                <w:color w:val="FFFFFF" w:themeColor="background1"/>
              </w:rPr>
            </w:pPr>
            <w:r w:rsidRPr="00481BDE">
              <w:rPr>
                <w:b/>
                <w:bCs/>
                <w:color w:val="FFFFFF" w:themeColor="background1"/>
              </w:rPr>
              <w:t>2015</w:t>
            </w:r>
          </w:p>
        </w:tc>
        <w:tc>
          <w:tcPr>
            <w:tcW w:w="1276" w:type="dxa"/>
            <w:tcBorders>
              <w:left w:val="single" w:sz="4" w:space="0" w:color="FFFFFF" w:themeColor="background1"/>
              <w:bottom w:val="nil"/>
              <w:right w:val="single" w:sz="4" w:space="0" w:color="FFFFFF" w:themeColor="background1"/>
            </w:tcBorders>
            <w:shd w:val="clear" w:color="auto" w:fill="009999"/>
            <w:noWrap/>
            <w:hideMark/>
          </w:tcPr>
          <w:p w:rsidR="00E445F8" w:rsidRPr="00481BDE" w:rsidRDefault="00E445F8" w:rsidP="00563C30">
            <w:pPr>
              <w:rPr>
                <w:b/>
                <w:bCs/>
                <w:color w:val="FFFFFF" w:themeColor="background1"/>
              </w:rPr>
            </w:pPr>
            <w:r w:rsidRPr="00481BDE">
              <w:rPr>
                <w:b/>
                <w:bCs/>
                <w:color w:val="FFFFFF" w:themeColor="background1"/>
              </w:rPr>
              <w:t>2016</w:t>
            </w:r>
          </w:p>
        </w:tc>
        <w:tc>
          <w:tcPr>
            <w:tcW w:w="1134" w:type="dxa"/>
            <w:tcBorders>
              <w:left w:val="single" w:sz="4" w:space="0" w:color="FFFFFF" w:themeColor="background1"/>
              <w:bottom w:val="nil"/>
              <w:right w:val="single" w:sz="4" w:space="0" w:color="FFFFFF" w:themeColor="background1"/>
            </w:tcBorders>
            <w:shd w:val="clear" w:color="auto" w:fill="009999"/>
            <w:noWrap/>
            <w:hideMark/>
          </w:tcPr>
          <w:p w:rsidR="00E445F8" w:rsidRPr="00481BDE" w:rsidRDefault="00E445F8" w:rsidP="00563C30">
            <w:pPr>
              <w:rPr>
                <w:b/>
                <w:bCs/>
                <w:color w:val="FFFFFF" w:themeColor="background1"/>
              </w:rPr>
            </w:pPr>
            <w:r w:rsidRPr="00481BDE">
              <w:rPr>
                <w:b/>
                <w:bCs/>
                <w:color w:val="FFFFFF" w:themeColor="background1"/>
              </w:rPr>
              <w:t>2017</w:t>
            </w:r>
          </w:p>
        </w:tc>
        <w:tc>
          <w:tcPr>
            <w:tcW w:w="992" w:type="dxa"/>
            <w:tcBorders>
              <w:left w:val="single" w:sz="4" w:space="0" w:color="FFFFFF" w:themeColor="background1"/>
              <w:bottom w:val="nil"/>
              <w:right w:val="single" w:sz="4" w:space="0" w:color="FFFFFF" w:themeColor="background1"/>
            </w:tcBorders>
            <w:shd w:val="clear" w:color="auto" w:fill="009999"/>
            <w:noWrap/>
            <w:hideMark/>
          </w:tcPr>
          <w:p w:rsidR="00E445F8" w:rsidRPr="00481BDE" w:rsidRDefault="00E445F8" w:rsidP="00563C30">
            <w:pPr>
              <w:rPr>
                <w:b/>
                <w:bCs/>
                <w:color w:val="FFFFFF" w:themeColor="background1"/>
              </w:rPr>
            </w:pPr>
            <w:r w:rsidRPr="00481BDE">
              <w:rPr>
                <w:b/>
                <w:bCs/>
                <w:color w:val="FFFFFF" w:themeColor="background1"/>
              </w:rPr>
              <w:t>2018</w:t>
            </w:r>
          </w:p>
        </w:tc>
        <w:tc>
          <w:tcPr>
            <w:tcW w:w="1134" w:type="dxa"/>
            <w:tcBorders>
              <w:left w:val="single" w:sz="4" w:space="0" w:color="FFFFFF" w:themeColor="background1"/>
              <w:bottom w:val="nil"/>
            </w:tcBorders>
            <w:shd w:val="clear" w:color="auto" w:fill="009999"/>
            <w:noWrap/>
            <w:hideMark/>
          </w:tcPr>
          <w:p w:rsidR="00E445F8" w:rsidRPr="00481BDE" w:rsidRDefault="00E445F8" w:rsidP="00563C30">
            <w:pPr>
              <w:rPr>
                <w:b/>
                <w:bCs/>
                <w:color w:val="FFFFFF" w:themeColor="background1"/>
              </w:rPr>
            </w:pPr>
            <w:r w:rsidRPr="00481BDE">
              <w:rPr>
                <w:b/>
                <w:bCs/>
                <w:color w:val="FFFFFF" w:themeColor="background1"/>
              </w:rPr>
              <w:t>2019</w:t>
            </w:r>
          </w:p>
        </w:tc>
      </w:tr>
      <w:tr w:rsidR="00E445F8" w:rsidRPr="00D73845" w:rsidTr="00563C30">
        <w:trPr>
          <w:trHeight w:val="276"/>
          <w:tblHeader/>
        </w:trPr>
        <w:tc>
          <w:tcPr>
            <w:tcW w:w="8046" w:type="dxa"/>
            <w:vMerge/>
            <w:noWrap/>
            <w:hideMark/>
          </w:tcPr>
          <w:p w:rsidR="00E445F8" w:rsidRPr="00B01894" w:rsidRDefault="00E445F8" w:rsidP="00563C30">
            <w:pPr>
              <w:rPr>
                <w:i/>
              </w:rPr>
            </w:pPr>
          </w:p>
        </w:tc>
        <w:tc>
          <w:tcPr>
            <w:tcW w:w="1418" w:type="dxa"/>
            <w:noWrap/>
            <w:hideMark/>
          </w:tcPr>
          <w:p w:rsidR="00E445F8" w:rsidRPr="009675C1" w:rsidRDefault="00E445F8" w:rsidP="00563C30">
            <w:pPr>
              <w:rPr>
                <w:i/>
              </w:rPr>
            </w:pPr>
            <w:r w:rsidRPr="009675C1">
              <w:rPr>
                <w:i/>
              </w:rPr>
              <w:t>n=760</w:t>
            </w:r>
          </w:p>
        </w:tc>
        <w:tc>
          <w:tcPr>
            <w:tcW w:w="1276" w:type="dxa"/>
            <w:noWrap/>
            <w:hideMark/>
          </w:tcPr>
          <w:p w:rsidR="00E445F8" w:rsidRPr="009675C1" w:rsidRDefault="00E445F8" w:rsidP="00563C30">
            <w:pPr>
              <w:rPr>
                <w:i/>
              </w:rPr>
            </w:pPr>
            <w:r w:rsidRPr="009675C1">
              <w:rPr>
                <w:i/>
              </w:rPr>
              <w:t>n=994</w:t>
            </w:r>
          </w:p>
        </w:tc>
        <w:tc>
          <w:tcPr>
            <w:tcW w:w="1134" w:type="dxa"/>
            <w:noWrap/>
            <w:hideMark/>
          </w:tcPr>
          <w:p w:rsidR="00E445F8" w:rsidRPr="009675C1" w:rsidRDefault="00E445F8" w:rsidP="00563C30">
            <w:pPr>
              <w:rPr>
                <w:i/>
              </w:rPr>
            </w:pPr>
            <w:r w:rsidRPr="009675C1">
              <w:rPr>
                <w:i/>
              </w:rPr>
              <w:t>n=766</w:t>
            </w:r>
          </w:p>
        </w:tc>
        <w:tc>
          <w:tcPr>
            <w:tcW w:w="992" w:type="dxa"/>
            <w:noWrap/>
            <w:hideMark/>
          </w:tcPr>
          <w:p w:rsidR="00E445F8" w:rsidRPr="009675C1" w:rsidRDefault="00E445F8" w:rsidP="00563C30">
            <w:pPr>
              <w:rPr>
                <w:i/>
              </w:rPr>
            </w:pPr>
            <w:r w:rsidRPr="009675C1">
              <w:rPr>
                <w:i/>
              </w:rPr>
              <w:t>n=988</w:t>
            </w:r>
          </w:p>
        </w:tc>
        <w:tc>
          <w:tcPr>
            <w:tcW w:w="1134" w:type="dxa"/>
            <w:noWrap/>
            <w:hideMark/>
          </w:tcPr>
          <w:p w:rsidR="00E445F8" w:rsidRPr="009675C1" w:rsidRDefault="00E445F8" w:rsidP="00563C30">
            <w:pPr>
              <w:rPr>
                <w:i/>
              </w:rPr>
            </w:pPr>
            <w:r w:rsidRPr="009675C1">
              <w:rPr>
                <w:i/>
              </w:rPr>
              <w:t>n=508</w:t>
            </w:r>
          </w:p>
        </w:tc>
      </w:tr>
      <w:tr w:rsidR="00E445F8" w:rsidRPr="00D73845" w:rsidTr="00563C30">
        <w:trPr>
          <w:trHeight w:val="276"/>
        </w:trPr>
        <w:tc>
          <w:tcPr>
            <w:tcW w:w="8046" w:type="dxa"/>
            <w:noWrap/>
            <w:hideMark/>
          </w:tcPr>
          <w:p w:rsidR="00E445F8" w:rsidRPr="00D73845" w:rsidRDefault="00E445F8" w:rsidP="00563C30">
            <w:r w:rsidRPr="00D73845">
              <w:t>Poorly lit or dark public areas such as streets, paths and parks</w:t>
            </w:r>
          </w:p>
        </w:tc>
        <w:tc>
          <w:tcPr>
            <w:tcW w:w="1418" w:type="dxa"/>
            <w:noWrap/>
            <w:hideMark/>
          </w:tcPr>
          <w:p w:rsidR="00E445F8" w:rsidRPr="00D73845" w:rsidRDefault="00E445F8" w:rsidP="00563C30">
            <w:r w:rsidRPr="00D73845">
              <w:t>61%</w:t>
            </w:r>
          </w:p>
        </w:tc>
        <w:tc>
          <w:tcPr>
            <w:tcW w:w="1276" w:type="dxa"/>
            <w:noWrap/>
            <w:hideMark/>
          </w:tcPr>
          <w:p w:rsidR="00E445F8" w:rsidRPr="00D73845" w:rsidRDefault="00E445F8" w:rsidP="00563C30">
            <w:r w:rsidRPr="00D73845">
              <w:t>63%</w:t>
            </w:r>
          </w:p>
        </w:tc>
        <w:tc>
          <w:tcPr>
            <w:tcW w:w="1134" w:type="dxa"/>
            <w:noWrap/>
            <w:hideMark/>
          </w:tcPr>
          <w:p w:rsidR="00E445F8" w:rsidRPr="00D73845" w:rsidRDefault="00E445F8" w:rsidP="00563C30">
            <w:r w:rsidRPr="00D73845">
              <w:t>59%</w:t>
            </w:r>
          </w:p>
        </w:tc>
        <w:tc>
          <w:tcPr>
            <w:tcW w:w="992" w:type="dxa"/>
            <w:noWrap/>
            <w:hideMark/>
          </w:tcPr>
          <w:p w:rsidR="00E445F8" w:rsidRPr="00D73845" w:rsidRDefault="00E445F8" w:rsidP="00563C30">
            <w:r w:rsidRPr="00D73845">
              <w:t>55%</w:t>
            </w:r>
          </w:p>
        </w:tc>
        <w:tc>
          <w:tcPr>
            <w:tcW w:w="1134" w:type="dxa"/>
            <w:noWrap/>
            <w:hideMark/>
          </w:tcPr>
          <w:p w:rsidR="00E445F8" w:rsidRPr="00D73845" w:rsidRDefault="00E445F8" w:rsidP="00563C30">
            <w:r w:rsidRPr="00D73845">
              <w:t>61%</w:t>
            </w:r>
          </w:p>
        </w:tc>
      </w:tr>
      <w:tr w:rsidR="00E445F8" w:rsidRPr="00D73845" w:rsidTr="00563C30">
        <w:trPr>
          <w:trHeight w:val="276"/>
        </w:trPr>
        <w:tc>
          <w:tcPr>
            <w:tcW w:w="8046" w:type="dxa"/>
            <w:noWrap/>
            <w:hideMark/>
          </w:tcPr>
          <w:p w:rsidR="00E445F8" w:rsidRPr="00D73845" w:rsidRDefault="00E445F8" w:rsidP="00563C30">
            <w:r w:rsidRPr="00D73845">
              <w:t>Begging (new in 2018)</w:t>
            </w:r>
          </w:p>
        </w:tc>
        <w:tc>
          <w:tcPr>
            <w:tcW w:w="1418" w:type="dxa"/>
            <w:noWrap/>
            <w:hideMark/>
          </w:tcPr>
          <w:p w:rsidR="00E445F8" w:rsidRPr="00D73845" w:rsidRDefault="00E445F8" w:rsidP="00563C30"/>
        </w:tc>
        <w:tc>
          <w:tcPr>
            <w:tcW w:w="1276" w:type="dxa"/>
            <w:noWrap/>
            <w:hideMark/>
          </w:tcPr>
          <w:p w:rsidR="00E445F8" w:rsidRPr="00D73845" w:rsidRDefault="00E445F8" w:rsidP="00563C30"/>
        </w:tc>
        <w:tc>
          <w:tcPr>
            <w:tcW w:w="1134" w:type="dxa"/>
            <w:noWrap/>
            <w:hideMark/>
          </w:tcPr>
          <w:p w:rsidR="00E445F8" w:rsidRPr="00D73845" w:rsidRDefault="00E445F8" w:rsidP="00563C30"/>
        </w:tc>
        <w:tc>
          <w:tcPr>
            <w:tcW w:w="992" w:type="dxa"/>
            <w:noWrap/>
            <w:hideMark/>
          </w:tcPr>
          <w:p w:rsidR="00E445F8" w:rsidRPr="00D73845" w:rsidRDefault="00E445F8" w:rsidP="00563C30">
            <w:r w:rsidRPr="00D73845">
              <w:t>56%</w:t>
            </w:r>
          </w:p>
        </w:tc>
        <w:tc>
          <w:tcPr>
            <w:tcW w:w="1134" w:type="dxa"/>
            <w:noWrap/>
            <w:hideMark/>
          </w:tcPr>
          <w:p w:rsidR="00E445F8" w:rsidRPr="00D73845" w:rsidRDefault="00E445F8" w:rsidP="00563C30">
            <w:r w:rsidRPr="00D73845">
              <w:t>55%</w:t>
            </w:r>
          </w:p>
        </w:tc>
      </w:tr>
      <w:tr w:rsidR="00E445F8" w:rsidRPr="00D73845" w:rsidTr="00563C30">
        <w:trPr>
          <w:trHeight w:val="276"/>
        </w:trPr>
        <w:tc>
          <w:tcPr>
            <w:tcW w:w="8046" w:type="dxa"/>
            <w:noWrap/>
            <w:hideMark/>
          </w:tcPr>
          <w:p w:rsidR="00E445F8" w:rsidRPr="00D73845" w:rsidRDefault="00E445F8" w:rsidP="00563C30">
            <w:r w:rsidRPr="00D73845">
              <w:t>Vandalism such as broken windows in shops and public buildings</w:t>
            </w:r>
          </w:p>
        </w:tc>
        <w:tc>
          <w:tcPr>
            <w:tcW w:w="1418" w:type="dxa"/>
            <w:noWrap/>
            <w:hideMark/>
          </w:tcPr>
          <w:p w:rsidR="00E445F8" w:rsidRPr="00D73845" w:rsidRDefault="00E445F8" w:rsidP="00563C30">
            <w:r w:rsidRPr="00D73845">
              <w:t>26%</w:t>
            </w:r>
          </w:p>
        </w:tc>
        <w:tc>
          <w:tcPr>
            <w:tcW w:w="1276" w:type="dxa"/>
            <w:noWrap/>
            <w:hideMark/>
          </w:tcPr>
          <w:p w:rsidR="00E445F8" w:rsidRPr="00D73845" w:rsidRDefault="00E445F8" w:rsidP="00563C30">
            <w:r w:rsidRPr="00D73845">
              <w:t>27%</w:t>
            </w:r>
          </w:p>
        </w:tc>
        <w:tc>
          <w:tcPr>
            <w:tcW w:w="1134" w:type="dxa"/>
            <w:noWrap/>
            <w:hideMark/>
          </w:tcPr>
          <w:p w:rsidR="00E445F8" w:rsidRPr="00D73845" w:rsidRDefault="00E445F8" w:rsidP="00563C30">
            <w:r w:rsidRPr="00D73845">
              <w:t>17%</w:t>
            </w:r>
          </w:p>
        </w:tc>
        <w:tc>
          <w:tcPr>
            <w:tcW w:w="992" w:type="dxa"/>
            <w:noWrap/>
            <w:hideMark/>
          </w:tcPr>
          <w:p w:rsidR="00E445F8" w:rsidRPr="00D73845" w:rsidRDefault="00E445F8" w:rsidP="00563C30">
            <w:r w:rsidRPr="00D73845">
              <w:t>17%</w:t>
            </w:r>
          </w:p>
        </w:tc>
        <w:tc>
          <w:tcPr>
            <w:tcW w:w="1134" w:type="dxa"/>
            <w:noWrap/>
            <w:hideMark/>
          </w:tcPr>
          <w:p w:rsidR="00E445F8" w:rsidRPr="00D73845" w:rsidRDefault="00E445F8" w:rsidP="00563C30">
            <w:r w:rsidRPr="00D73845">
              <w:t>21%</w:t>
            </w:r>
          </w:p>
        </w:tc>
      </w:tr>
      <w:tr w:rsidR="00E445F8" w:rsidRPr="00D73845" w:rsidTr="00563C30">
        <w:trPr>
          <w:trHeight w:val="276"/>
        </w:trPr>
        <w:tc>
          <w:tcPr>
            <w:tcW w:w="8046" w:type="dxa"/>
            <w:noWrap/>
            <w:hideMark/>
          </w:tcPr>
          <w:p w:rsidR="00E445F8" w:rsidRPr="00D73845" w:rsidRDefault="00E445F8" w:rsidP="00563C30">
            <w:r w:rsidRPr="00D73845">
              <w:t>Graffiti</w:t>
            </w:r>
          </w:p>
        </w:tc>
        <w:tc>
          <w:tcPr>
            <w:tcW w:w="1418" w:type="dxa"/>
            <w:noWrap/>
            <w:hideMark/>
          </w:tcPr>
          <w:p w:rsidR="00E445F8" w:rsidRPr="00D73845" w:rsidRDefault="00E445F8" w:rsidP="00563C30">
            <w:r w:rsidRPr="00D73845">
              <w:t>34%</w:t>
            </w:r>
          </w:p>
        </w:tc>
        <w:tc>
          <w:tcPr>
            <w:tcW w:w="1276" w:type="dxa"/>
            <w:noWrap/>
            <w:hideMark/>
          </w:tcPr>
          <w:p w:rsidR="00E445F8" w:rsidRPr="00D73845" w:rsidRDefault="00E445F8" w:rsidP="00563C30">
            <w:r w:rsidRPr="00D73845">
              <w:t>32%</w:t>
            </w:r>
          </w:p>
        </w:tc>
        <w:tc>
          <w:tcPr>
            <w:tcW w:w="1134" w:type="dxa"/>
            <w:noWrap/>
            <w:hideMark/>
          </w:tcPr>
          <w:p w:rsidR="00E445F8" w:rsidRPr="00D73845" w:rsidRDefault="00E445F8" w:rsidP="00563C30">
            <w:r w:rsidRPr="00D73845">
              <w:t>16%</w:t>
            </w:r>
          </w:p>
        </w:tc>
        <w:tc>
          <w:tcPr>
            <w:tcW w:w="992" w:type="dxa"/>
            <w:noWrap/>
            <w:hideMark/>
          </w:tcPr>
          <w:p w:rsidR="00E445F8" w:rsidRPr="00D73845" w:rsidRDefault="00E445F8" w:rsidP="00563C30">
            <w:r w:rsidRPr="00D73845">
              <w:t>16%</w:t>
            </w:r>
          </w:p>
        </w:tc>
        <w:tc>
          <w:tcPr>
            <w:tcW w:w="1134" w:type="dxa"/>
            <w:noWrap/>
            <w:hideMark/>
          </w:tcPr>
          <w:p w:rsidR="00E445F8" w:rsidRPr="00D73845" w:rsidRDefault="00E445F8" w:rsidP="00563C30">
            <w:r w:rsidRPr="00D73845">
              <w:t>21%</w:t>
            </w:r>
          </w:p>
        </w:tc>
      </w:tr>
      <w:tr w:rsidR="00E445F8" w:rsidRPr="00D73845" w:rsidTr="00563C30">
        <w:trPr>
          <w:trHeight w:val="276"/>
        </w:trPr>
        <w:tc>
          <w:tcPr>
            <w:tcW w:w="8046" w:type="dxa"/>
            <w:noWrap/>
            <w:hideMark/>
          </w:tcPr>
          <w:p w:rsidR="00E445F8" w:rsidRPr="00D73845" w:rsidRDefault="00E445F8" w:rsidP="00563C30">
            <w:r w:rsidRPr="00D73845">
              <w:t>Poorly maintained or dangerous public areas such as streets, paths and parks</w:t>
            </w:r>
          </w:p>
        </w:tc>
        <w:tc>
          <w:tcPr>
            <w:tcW w:w="1418" w:type="dxa"/>
            <w:noWrap/>
            <w:hideMark/>
          </w:tcPr>
          <w:p w:rsidR="00E445F8" w:rsidRPr="00D73845" w:rsidRDefault="00E445F8" w:rsidP="00563C30">
            <w:r w:rsidRPr="00D73845">
              <w:t>34%</w:t>
            </w:r>
          </w:p>
        </w:tc>
        <w:tc>
          <w:tcPr>
            <w:tcW w:w="1276" w:type="dxa"/>
            <w:noWrap/>
            <w:hideMark/>
          </w:tcPr>
          <w:p w:rsidR="00E445F8" w:rsidRPr="00D73845" w:rsidRDefault="00E445F8" w:rsidP="00563C30">
            <w:r w:rsidRPr="00D73845">
              <w:t>37%</w:t>
            </w:r>
          </w:p>
        </w:tc>
        <w:tc>
          <w:tcPr>
            <w:tcW w:w="1134" w:type="dxa"/>
            <w:noWrap/>
            <w:hideMark/>
          </w:tcPr>
          <w:p w:rsidR="00E445F8" w:rsidRPr="00D73845" w:rsidRDefault="00E445F8" w:rsidP="00563C30">
            <w:r w:rsidRPr="00D73845">
              <w:t>32%</w:t>
            </w:r>
          </w:p>
        </w:tc>
        <w:tc>
          <w:tcPr>
            <w:tcW w:w="992" w:type="dxa"/>
            <w:noWrap/>
            <w:hideMark/>
          </w:tcPr>
          <w:p w:rsidR="00E445F8" w:rsidRPr="00D73845" w:rsidRDefault="00E445F8" w:rsidP="00563C30">
            <w:r w:rsidRPr="00D73845">
              <w:t>26%</w:t>
            </w:r>
          </w:p>
        </w:tc>
        <w:tc>
          <w:tcPr>
            <w:tcW w:w="1134" w:type="dxa"/>
            <w:noWrap/>
            <w:hideMark/>
          </w:tcPr>
          <w:p w:rsidR="00E445F8" w:rsidRPr="00D73845" w:rsidRDefault="00E445F8" w:rsidP="00563C30">
            <w:r w:rsidRPr="00D73845">
              <w:t>31%</w:t>
            </w:r>
          </w:p>
        </w:tc>
      </w:tr>
      <w:tr w:rsidR="00E445F8" w:rsidRPr="00D73845" w:rsidTr="00563C30">
        <w:trPr>
          <w:trHeight w:val="276"/>
        </w:trPr>
        <w:tc>
          <w:tcPr>
            <w:tcW w:w="8046" w:type="dxa"/>
            <w:noWrap/>
            <w:hideMark/>
          </w:tcPr>
          <w:p w:rsidR="00E445F8" w:rsidRPr="00D73845" w:rsidRDefault="00E445F8" w:rsidP="00563C30">
            <w:r w:rsidRPr="00D73845">
              <w:t>Traffic, including busy roads and lack of pedestrian facilities</w:t>
            </w:r>
          </w:p>
        </w:tc>
        <w:tc>
          <w:tcPr>
            <w:tcW w:w="1418" w:type="dxa"/>
            <w:noWrap/>
            <w:hideMark/>
          </w:tcPr>
          <w:p w:rsidR="00E445F8" w:rsidRPr="00D73845" w:rsidRDefault="00E445F8" w:rsidP="00563C30">
            <w:r w:rsidRPr="00D73845">
              <w:t>34%</w:t>
            </w:r>
          </w:p>
        </w:tc>
        <w:tc>
          <w:tcPr>
            <w:tcW w:w="1276" w:type="dxa"/>
            <w:noWrap/>
            <w:hideMark/>
          </w:tcPr>
          <w:p w:rsidR="00E445F8" w:rsidRPr="00D73845" w:rsidRDefault="00E445F8" w:rsidP="00563C30">
            <w:r w:rsidRPr="00D73845">
              <w:t>33%</w:t>
            </w:r>
          </w:p>
        </w:tc>
        <w:tc>
          <w:tcPr>
            <w:tcW w:w="1134" w:type="dxa"/>
            <w:noWrap/>
            <w:hideMark/>
          </w:tcPr>
          <w:p w:rsidR="00E445F8" w:rsidRPr="00D73845" w:rsidRDefault="00E445F8" w:rsidP="00563C30">
            <w:r w:rsidRPr="00D73845">
              <w:t>33%</w:t>
            </w:r>
          </w:p>
        </w:tc>
        <w:tc>
          <w:tcPr>
            <w:tcW w:w="992" w:type="dxa"/>
            <w:noWrap/>
            <w:hideMark/>
          </w:tcPr>
          <w:p w:rsidR="00E445F8" w:rsidRPr="00D73845" w:rsidRDefault="00E445F8" w:rsidP="00563C30">
            <w:r w:rsidRPr="00D73845">
              <w:t>36%</w:t>
            </w:r>
          </w:p>
        </w:tc>
        <w:tc>
          <w:tcPr>
            <w:tcW w:w="1134" w:type="dxa"/>
            <w:noWrap/>
            <w:hideMark/>
          </w:tcPr>
          <w:p w:rsidR="00E445F8" w:rsidRPr="00D73845" w:rsidRDefault="00E445F8" w:rsidP="00563C30">
            <w:r w:rsidRPr="00D73845">
              <w:t>39%</w:t>
            </w:r>
          </w:p>
        </w:tc>
      </w:tr>
      <w:tr w:rsidR="00E445F8" w:rsidRPr="00D73845" w:rsidTr="00563C30">
        <w:trPr>
          <w:trHeight w:val="276"/>
        </w:trPr>
        <w:tc>
          <w:tcPr>
            <w:tcW w:w="8046" w:type="dxa"/>
            <w:noWrap/>
            <w:hideMark/>
          </w:tcPr>
          <w:p w:rsidR="00E445F8" w:rsidRPr="00D73845" w:rsidRDefault="00E445F8" w:rsidP="00563C30">
            <w:r w:rsidRPr="00D73845">
              <w:t>Dangerous driving including speeding, drunk drivers and so on</w:t>
            </w:r>
          </w:p>
        </w:tc>
        <w:tc>
          <w:tcPr>
            <w:tcW w:w="1418" w:type="dxa"/>
            <w:noWrap/>
            <w:hideMark/>
          </w:tcPr>
          <w:p w:rsidR="00E445F8" w:rsidRPr="00D73845" w:rsidRDefault="00E445F8" w:rsidP="00563C30">
            <w:r w:rsidRPr="00D73845">
              <w:t>29%</w:t>
            </w:r>
          </w:p>
        </w:tc>
        <w:tc>
          <w:tcPr>
            <w:tcW w:w="1276" w:type="dxa"/>
            <w:noWrap/>
            <w:hideMark/>
          </w:tcPr>
          <w:p w:rsidR="00E445F8" w:rsidRPr="00D73845" w:rsidRDefault="00E445F8" w:rsidP="00563C30">
            <w:r w:rsidRPr="00D73845">
              <w:t>30%</w:t>
            </w:r>
          </w:p>
        </w:tc>
        <w:tc>
          <w:tcPr>
            <w:tcW w:w="1134" w:type="dxa"/>
            <w:noWrap/>
            <w:hideMark/>
          </w:tcPr>
          <w:p w:rsidR="00E445F8" w:rsidRPr="00D73845" w:rsidRDefault="00E445F8" w:rsidP="00563C30">
            <w:r w:rsidRPr="00D73845">
              <w:t>33%</w:t>
            </w:r>
          </w:p>
        </w:tc>
        <w:tc>
          <w:tcPr>
            <w:tcW w:w="992" w:type="dxa"/>
            <w:noWrap/>
            <w:hideMark/>
          </w:tcPr>
          <w:p w:rsidR="00E445F8" w:rsidRPr="00D73845" w:rsidRDefault="00E445F8" w:rsidP="00563C30">
            <w:r w:rsidRPr="00D73845">
              <w:t>33%</w:t>
            </w:r>
          </w:p>
        </w:tc>
        <w:tc>
          <w:tcPr>
            <w:tcW w:w="1134" w:type="dxa"/>
            <w:noWrap/>
            <w:hideMark/>
          </w:tcPr>
          <w:p w:rsidR="00E445F8" w:rsidRPr="00D73845" w:rsidRDefault="00E445F8" w:rsidP="00563C30">
            <w:r w:rsidRPr="00D73845">
              <w:t>40%</w:t>
            </w:r>
          </w:p>
        </w:tc>
      </w:tr>
      <w:tr w:rsidR="00E445F8" w:rsidRPr="00D73845" w:rsidTr="00563C30">
        <w:trPr>
          <w:trHeight w:val="276"/>
        </w:trPr>
        <w:tc>
          <w:tcPr>
            <w:tcW w:w="8046" w:type="dxa"/>
            <w:noWrap/>
            <w:hideMark/>
          </w:tcPr>
          <w:p w:rsidR="00E445F8" w:rsidRPr="00D73845" w:rsidRDefault="00E445F8" w:rsidP="00563C30">
            <w:r w:rsidRPr="00D73845">
              <w:t>Alcohol and drug problems</w:t>
            </w:r>
          </w:p>
        </w:tc>
        <w:tc>
          <w:tcPr>
            <w:tcW w:w="1418" w:type="dxa"/>
            <w:noWrap/>
            <w:hideMark/>
          </w:tcPr>
          <w:p w:rsidR="00E445F8" w:rsidRPr="00D73845" w:rsidRDefault="00E445F8" w:rsidP="00563C30">
            <w:r w:rsidRPr="00D73845">
              <w:t>51%</w:t>
            </w:r>
          </w:p>
        </w:tc>
        <w:tc>
          <w:tcPr>
            <w:tcW w:w="1276" w:type="dxa"/>
            <w:noWrap/>
            <w:hideMark/>
          </w:tcPr>
          <w:p w:rsidR="00E445F8" w:rsidRPr="00D73845" w:rsidRDefault="00E445F8" w:rsidP="00563C30">
            <w:r w:rsidRPr="00D73845">
              <w:t>49%</w:t>
            </w:r>
          </w:p>
        </w:tc>
        <w:tc>
          <w:tcPr>
            <w:tcW w:w="1134" w:type="dxa"/>
            <w:noWrap/>
            <w:hideMark/>
          </w:tcPr>
          <w:p w:rsidR="00E445F8" w:rsidRPr="00D73845" w:rsidRDefault="00E445F8" w:rsidP="00563C30">
            <w:r w:rsidRPr="00D73845">
              <w:t>46%</w:t>
            </w:r>
          </w:p>
        </w:tc>
        <w:tc>
          <w:tcPr>
            <w:tcW w:w="992" w:type="dxa"/>
            <w:noWrap/>
            <w:hideMark/>
          </w:tcPr>
          <w:p w:rsidR="00E445F8" w:rsidRPr="00D73845" w:rsidRDefault="00E445F8" w:rsidP="00563C30">
            <w:r w:rsidRPr="00D73845">
              <w:t>46%</w:t>
            </w:r>
          </w:p>
        </w:tc>
        <w:tc>
          <w:tcPr>
            <w:tcW w:w="1134" w:type="dxa"/>
            <w:noWrap/>
            <w:hideMark/>
          </w:tcPr>
          <w:p w:rsidR="00E445F8" w:rsidRPr="00D73845" w:rsidRDefault="00E445F8" w:rsidP="00563C30">
            <w:r w:rsidRPr="00D73845">
              <w:t>49%</w:t>
            </w:r>
          </w:p>
        </w:tc>
      </w:tr>
      <w:tr w:rsidR="00E445F8" w:rsidRPr="00D73845" w:rsidTr="00563C30">
        <w:trPr>
          <w:trHeight w:val="276"/>
        </w:trPr>
        <w:tc>
          <w:tcPr>
            <w:tcW w:w="8046" w:type="dxa"/>
            <w:noWrap/>
            <w:hideMark/>
          </w:tcPr>
          <w:p w:rsidR="00E445F8" w:rsidRPr="00D73845" w:rsidRDefault="00E445F8" w:rsidP="00563C30">
            <w:r w:rsidRPr="00D73845">
              <w:t>Car theft or vandalism, and theft from cars</w:t>
            </w:r>
          </w:p>
        </w:tc>
        <w:tc>
          <w:tcPr>
            <w:tcW w:w="1418" w:type="dxa"/>
            <w:noWrap/>
            <w:hideMark/>
          </w:tcPr>
          <w:p w:rsidR="00E445F8" w:rsidRPr="00D73845" w:rsidRDefault="00E445F8" w:rsidP="00563C30">
            <w:r w:rsidRPr="00D73845">
              <w:t>36%</w:t>
            </w:r>
          </w:p>
        </w:tc>
        <w:tc>
          <w:tcPr>
            <w:tcW w:w="1276" w:type="dxa"/>
            <w:noWrap/>
            <w:hideMark/>
          </w:tcPr>
          <w:p w:rsidR="00E445F8" w:rsidRPr="00D73845" w:rsidRDefault="00E445F8" w:rsidP="00563C30">
            <w:r w:rsidRPr="00D73845">
              <w:t>32%</w:t>
            </w:r>
          </w:p>
        </w:tc>
        <w:tc>
          <w:tcPr>
            <w:tcW w:w="1134" w:type="dxa"/>
            <w:noWrap/>
            <w:hideMark/>
          </w:tcPr>
          <w:p w:rsidR="00E445F8" w:rsidRPr="00D73845" w:rsidRDefault="00E445F8" w:rsidP="00563C30">
            <w:r w:rsidRPr="00D73845">
              <w:t>29%</w:t>
            </w:r>
          </w:p>
        </w:tc>
        <w:tc>
          <w:tcPr>
            <w:tcW w:w="992" w:type="dxa"/>
            <w:noWrap/>
            <w:hideMark/>
          </w:tcPr>
          <w:p w:rsidR="00E445F8" w:rsidRPr="00D73845" w:rsidRDefault="00E445F8" w:rsidP="00563C30">
            <w:r w:rsidRPr="00D73845">
              <w:t>27%</w:t>
            </w:r>
          </w:p>
        </w:tc>
        <w:tc>
          <w:tcPr>
            <w:tcW w:w="1134" w:type="dxa"/>
            <w:noWrap/>
            <w:hideMark/>
          </w:tcPr>
          <w:p w:rsidR="00E445F8" w:rsidRPr="00D73845" w:rsidRDefault="00E445F8" w:rsidP="00563C30">
            <w:r w:rsidRPr="00D73845">
              <w:t>29%</w:t>
            </w:r>
          </w:p>
        </w:tc>
      </w:tr>
      <w:tr w:rsidR="00E445F8" w:rsidRPr="00D73845" w:rsidTr="00563C30">
        <w:trPr>
          <w:trHeight w:val="276"/>
        </w:trPr>
        <w:tc>
          <w:tcPr>
            <w:tcW w:w="8046" w:type="dxa"/>
            <w:noWrap/>
            <w:hideMark/>
          </w:tcPr>
          <w:p w:rsidR="00E445F8" w:rsidRPr="00D73845" w:rsidRDefault="00E445F8" w:rsidP="00563C30">
            <w:r w:rsidRPr="00D73845">
              <w:t>Threatening people and/or people behaving dangerously</w:t>
            </w:r>
          </w:p>
        </w:tc>
        <w:tc>
          <w:tcPr>
            <w:tcW w:w="1418" w:type="dxa"/>
            <w:noWrap/>
            <w:hideMark/>
          </w:tcPr>
          <w:p w:rsidR="00E445F8" w:rsidRPr="00D73845" w:rsidRDefault="00E445F8" w:rsidP="00563C30">
            <w:r w:rsidRPr="00D73845">
              <w:t>48%</w:t>
            </w:r>
          </w:p>
        </w:tc>
        <w:tc>
          <w:tcPr>
            <w:tcW w:w="1276" w:type="dxa"/>
            <w:noWrap/>
            <w:hideMark/>
          </w:tcPr>
          <w:p w:rsidR="00E445F8" w:rsidRPr="00D73845" w:rsidRDefault="00E445F8" w:rsidP="00563C30">
            <w:r w:rsidRPr="00D73845">
              <w:t>51%</w:t>
            </w:r>
          </w:p>
        </w:tc>
        <w:tc>
          <w:tcPr>
            <w:tcW w:w="1134" w:type="dxa"/>
            <w:noWrap/>
            <w:hideMark/>
          </w:tcPr>
          <w:p w:rsidR="00E445F8" w:rsidRPr="00D73845" w:rsidRDefault="00E445F8" w:rsidP="00563C30">
            <w:r w:rsidRPr="00D73845">
              <w:t>46%</w:t>
            </w:r>
          </w:p>
        </w:tc>
        <w:tc>
          <w:tcPr>
            <w:tcW w:w="992" w:type="dxa"/>
            <w:noWrap/>
            <w:hideMark/>
          </w:tcPr>
          <w:p w:rsidR="00E445F8" w:rsidRPr="00D73845" w:rsidRDefault="00E445F8" w:rsidP="00563C30">
            <w:r w:rsidRPr="00D73845">
              <w:t>35%</w:t>
            </w:r>
          </w:p>
        </w:tc>
        <w:tc>
          <w:tcPr>
            <w:tcW w:w="1134" w:type="dxa"/>
            <w:noWrap/>
            <w:hideMark/>
          </w:tcPr>
          <w:p w:rsidR="00E445F8" w:rsidRPr="00D73845" w:rsidRDefault="00E445F8" w:rsidP="00563C30">
            <w:r w:rsidRPr="00D73845">
              <w:t>39%</w:t>
            </w:r>
          </w:p>
        </w:tc>
      </w:tr>
      <w:tr w:rsidR="00E445F8" w:rsidRPr="00D73845" w:rsidTr="00563C30">
        <w:trPr>
          <w:trHeight w:val="276"/>
        </w:trPr>
        <w:tc>
          <w:tcPr>
            <w:tcW w:w="8046" w:type="dxa"/>
            <w:noWrap/>
            <w:hideMark/>
          </w:tcPr>
          <w:p w:rsidR="00E445F8" w:rsidRPr="00D73845" w:rsidRDefault="00E445F8" w:rsidP="00563C30">
            <w:r w:rsidRPr="00D73845">
              <w:t>Other (specify)</w:t>
            </w:r>
          </w:p>
        </w:tc>
        <w:tc>
          <w:tcPr>
            <w:tcW w:w="1418" w:type="dxa"/>
            <w:noWrap/>
            <w:hideMark/>
          </w:tcPr>
          <w:p w:rsidR="00E445F8" w:rsidRPr="00D73845" w:rsidRDefault="00E445F8" w:rsidP="00563C30">
            <w:r w:rsidRPr="00D73845">
              <w:t>11%</w:t>
            </w:r>
          </w:p>
        </w:tc>
        <w:tc>
          <w:tcPr>
            <w:tcW w:w="1276" w:type="dxa"/>
            <w:noWrap/>
            <w:hideMark/>
          </w:tcPr>
          <w:p w:rsidR="00E445F8" w:rsidRPr="00D73845" w:rsidRDefault="00E445F8" w:rsidP="00563C30">
            <w:r w:rsidRPr="00D73845">
              <w:t>10%</w:t>
            </w:r>
          </w:p>
        </w:tc>
        <w:tc>
          <w:tcPr>
            <w:tcW w:w="1134" w:type="dxa"/>
            <w:noWrap/>
            <w:hideMark/>
          </w:tcPr>
          <w:p w:rsidR="00E445F8" w:rsidRPr="00D73845" w:rsidRDefault="00E445F8" w:rsidP="00563C30">
            <w:r w:rsidRPr="00D73845">
              <w:t>6%</w:t>
            </w:r>
          </w:p>
        </w:tc>
        <w:tc>
          <w:tcPr>
            <w:tcW w:w="992" w:type="dxa"/>
            <w:noWrap/>
            <w:hideMark/>
          </w:tcPr>
          <w:p w:rsidR="00E445F8" w:rsidRPr="00D73845" w:rsidRDefault="00E445F8" w:rsidP="00563C30">
            <w:r w:rsidRPr="00D73845">
              <w:t>8%</w:t>
            </w:r>
          </w:p>
        </w:tc>
        <w:tc>
          <w:tcPr>
            <w:tcW w:w="1134" w:type="dxa"/>
            <w:noWrap/>
            <w:hideMark/>
          </w:tcPr>
          <w:p w:rsidR="00E445F8" w:rsidRPr="00D73845" w:rsidRDefault="00E445F8" w:rsidP="00563C30">
            <w:r w:rsidRPr="00D73845">
              <w:t>12%</w:t>
            </w:r>
          </w:p>
        </w:tc>
      </w:tr>
      <w:tr w:rsidR="00E445F8" w:rsidRPr="00D73845" w:rsidTr="00563C30">
        <w:trPr>
          <w:trHeight w:val="276"/>
        </w:trPr>
        <w:tc>
          <w:tcPr>
            <w:tcW w:w="8046" w:type="dxa"/>
            <w:noWrap/>
            <w:hideMark/>
          </w:tcPr>
          <w:p w:rsidR="00E445F8" w:rsidRPr="00D73845" w:rsidRDefault="00E445F8" w:rsidP="00563C30">
            <w:r w:rsidRPr="00D73845">
              <w:lastRenderedPageBreak/>
              <w:t>Nothing</w:t>
            </w:r>
          </w:p>
        </w:tc>
        <w:tc>
          <w:tcPr>
            <w:tcW w:w="1418" w:type="dxa"/>
            <w:noWrap/>
            <w:hideMark/>
          </w:tcPr>
          <w:p w:rsidR="00E445F8" w:rsidRPr="00D73845" w:rsidRDefault="00E445F8" w:rsidP="00563C30">
            <w:r w:rsidRPr="00D73845">
              <w:t>5%</w:t>
            </w:r>
          </w:p>
        </w:tc>
        <w:tc>
          <w:tcPr>
            <w:tcW w:w="1276" w:type="dxa"/>
            <w:noWrap/>
            <w:hideMark/>
          </w:tcPr>
          <w:p w:rsidR="00E445F8" w:rsidRPr="00D73845" w:rsidRDefault="00E445F8" w:rsidP="00563C30">
            <w:r w:rsidRPr="00D73845">
              <w:t>5%</w:t>
            </w:r>
          </w:p>
        </w:tc>
        <w:tc>
          <w:tcPr>
            <w:tcW w:w="1134" w:type="dxa"/>
            <w:noWrap/>
            <w:hideMark/>
          </w:tcPr>
          <w:p w:rsidR="00E445F8" w:rsidRPr="00D73845" w:rsidRDefault="00E445F8" w:rsidP="00563C30">
            <w:r w:rsidRPr="00D73845">
              <w:t>3%</w:t>
            </w:r>
          </w:p>
        </w:tc>
        <w:tc>
          <w:tcPr>
            <w:tcW w:w="992" w:type="dxa"/>
            <w:noWrap/>
            <w:hideMark/>
          </w:tcPr>
          <w:p w:rsidR="00E445F8" w:rsidRPr="00D73845" w:rsidRDefault="00E445F8" w:rsidP="00563C30">
            <w:r w:rsidRPr="00D73845">
              <w:t>4%</w:t>
            </w:r>
          </w:p>
        </w:tc>
        <w:tc>
          <w:tcPr>
            <w:tcW w:w="1134" w:type="dxa"/>
            <w:noWrap/>
            <w:hideMark/>
          </w:tcPr>
          <w:p w:rsidR="00E445F8" w:rsidRPr="00D73845" w:rsidRDefault="00E445F8" w:rsidP="00563C30">
            <w:r w:rsidRPr="00D73845">
              <w:t>3%</w:t>
            </w:r>
          </w:p>
        </w:tc>
      </w:tr>
      <w:tr w:rsidR="00E445F8" w:rsidRPr="00D73845" w:rsidTr="00563C30">
        <w:trPr>
          <w:trHeight w:val="276"/>
        </w:trPr>
        <w:tc>
          <w:tcPr>
            <w:tcW w:w="8046" w:type="dxa"/>
            <w:noWrap/>
            <w:hideMark/>
          </w:tcPr>
          <w:p w:rsidR="00E445F8" w:rsidRPr="00D73845" w:rsidRDefault="00E445F8" w:rsidP="00563C30">
            <w:r w:rsidRPr="00D73845">
              <w:t>Don’t know</w:t>
            </w:r>
          </w:p>
        </w:tc>
        <w:tc>
          <w:tcPr>
            <w:tcW w:w="1418" w:type="dxa"/>
            <w:noWrap/>
            <w:hideMark/>
          </w:tcPr>
          <w:p w:rsidR="00E445F8" w:rsidRPr="00D73845" w:rsidRDefault="00E445F8" w:rsidP="00563C30">
            <w:r w:rsidRPr="00D73845">
              <w:t>1%</w:t>
            </w:r>
          </w:p>
        </w:tc>
        <w:tc>
          <w:tcPr>
            <w:tcW w:w="1276" w:type="dxa"/>
            <w:noWrap/>
            <w:hideMark/>
          </w:tcPr>
          <w:p w:rsidR="00E445F8" w:rsidRPr="00D73845" w:rsidRDefault="00E445F8" w:rsidP="00563C30">
            <w:r w:rsidRPr="00D73845">
              <w:t>2%</w:t>
            </w:r>
          </w:p>
        </w:tc>
        <w:tc>
          <w:tcPr>
            <w:tcW w:w="1134" w:type="dxa"/>
            <w:noWrap/>
            <w:hideMark/>
          </w:tcPr>
          <w:p w:rsidR="00E445F8" w:rsidRPr="00D73845" w:rsidRDefault="00E445F8" w:rsidP="00563C30">
            <w:r w:rsidRPr="00D73845">
              <w:t>1%</w:t>
            </w:r>
          </w:p>
        </w:tc>
        <w:tc>
          <w:tcPr>
            <w:tcW w:w="992" w:type="dxa"/>
            <w:noWrap/>
            <w:hideMark/>
          </w:tcPr>
          <w:p w:rsidR="00E445F8" w:rsidRPr="00D73845" w:rsidRDefault="00E445F8" w:rsidP="00563C30">
            <w:r w:rsidRPr="00D73845">
              <w:t>2%</w:t>
            </w:r>
          </w:p>
        </w:tc>
        <w:tc>
          <w:tcPr>
            <w:tcW w:w="1134" w:type="dxa"/>
            <w:noWrap/>
            <w:hideMark/>
          </w:tcPr>
          <w:p w:rsidR="00E445F8" w:rsidRPr="00D73845" w:rsidRDefault="00E445F8" w:rsidP="00563C30">
            <w:r w:rsidRPr="00D73845">
              <w:t>0%</w:t>
            </w:r>
          </w:p>
        </w:tc>
      </w:tr>
      <w:tr w:rsidR="00E445F8" w:rsidRPr="00D73845" w:rsidTr="00563C30">
        <w:trPr>
          <w:trHeight w:val="276"/>
        </w:trPr>
        <w:tc>
          <w:tcPr>
            <w:tcW w:w="14000" w:type="dxa"/>
            <w:gridSpan w:val="6"/>
            <w:noWrap/>
            <w:hideMark/>
          </w:tcPr>
          <w:p w:rsidR="00E445F8" w:rsidRPr="0063713D" w:rsidRDefault="00E445F8" w:rsidP="00EA598B">
            <w:pPr>
              <w:rPr>
                <w:i/>
              </w:rPr>
            </w:pPr>
            <w:r w:rsidRPr="0063713D">
              <w:rPr>
                <w:i/>
              </w:rPr>
              <w:t xml:space="preserve">Source: Wellington City Council </w:t>
            </w:r>
            <w:r w:rsidR="00EA598B">
              <w:rPr>
                <w:i/>
              </w:rPr>
              <w:t>RMS</w:t>
            </w:r>
          </w:p>
        </w:tc>
      </w:tr>
    </w:tbl>
    <w:p w:rsidR="009675C1" w:rsidRDefault="009675C1" w:rsidP="009675C1">
      <w:pPr>
        <w:rPr>
          <w:b/>
          <w:bCs/>
        </w:rPr>
      </w:pPr>
    </w:p>
    <w:p w:rsidR="00E445F8" w:rsidRDefault="009675C1" w:rsidP="002C7BF8">
      <w:pPr>
        <w:pStyle w:val="ListParagraph"/>
        <w:numPr>
          <w:ilvl w:val="0"/>
          <w:numId w:val="63"/>
        </w:numPr>
      </w:pPr>
      <w:r w:rsidRPr="009675C1">
        <w:rPr>
          <w:b/>
          <w:bCs/>
        </w:rPr>
        <w:t>User satisfaction (%) - recreation centres including ASB Sports Centre (</w:t>
      </w:r>
      <w:r w:rsidRPr="00D73845">
        <w:t>New question in 2019</w:t>
      </w:r>
      <w:r>
        <w:t xml:space="preserve">) - </w:t>
      </w:r>
      <w:r w:rsidRPr="00D73845">
        <w:t xml:space="preserve">The result published (93%) is the average of all residents who did state very or quite </w:t>
      </w:r>
      <w:r>
        <w:t xml:space="preserve">satisfied </w:t>
      </w:r>
      <w:r w:rsidRPr="00D73845">
        <w:t>across all recreation centres including ASB Sports Centre.</w:t>
      </w:r>
      <w:r>
        <w:t xml:space="preserve"> Question: </w:t>
      </w:r>
      <w:r w:rsidRPr="00D73845">
        <w:t>Please rate your level of satisfaction with the following recreation facilities that you have used in the past 12 months?</w:t>
      </w:r>
    </w:p>
    <w:tbl>
      <w:tblPr>
        <w:tblStyle w:val="TableGrid"/>
        <w:tblW w:w="0" w:type="auto"/>
        <w:tblBorders>
          <w:top w:val="single" w:sz="4" w:space="0" w:color="215868" w:themeColor="accent5" w:themeShade="80"/>
          <w:left w:val="none" w:sz="0" w:space="0" w:color="auto"/>
          <w:bottom w:val="single" w:sz="4" w:space="0" w:color="215868" w:themeColor="accent5" w:themeShade="80"/>
          <w:right w:val="none" w:sz="0" w:space="0" w:color="auto"/>
          <w:insideH w:val="single" w:sz="4" w:space="0" w:color="215868" w:themeColor="accent5" w:themeShade="80"/>
          <w:insideV w:val="single" w:sz="4" w:space="0" w:color="215868" w:themeColor="accent5" w:themeShade="80"/>
        </w:tblBorders>
        <w:tblLook w:val="04A0" w:firstRow="1" w:lastRow="0" w:firstColumn="1" w:lastColumn="0" w:noHBand="0" w:noVBand="1"/>
      </w:tblPr>
      <w:tblGrid>
        <w:gridCol w:w="4860"/>
        <w:gridCol w:w="1499"/>
        <w:gridCol w:w="1409"/>
        <w:gridCol w:w="1317"/>
        <w:gridCol w:w="1672"/>
        <w:gridCol w:w="1095"/>
        <w:gridCol w:w="1095"/>
        <w:gridCol w:w="1108"/>
      </w:tblGrid>
      <w:tr w:rsidR="00E445F8" w:rsidRPr="00D73845" w:rsidTr="009675C1">
        <w:trPr>
          <w:trHeight w:val="276"/>
        </w:trPr>
        <w:tc>
          <w:tcPr>
            <w:tcW w:w="6359" w:type="dxa"/>
            <w:gridSpan w:val="2"/>
          </w:tcPr>
          <w:p w:rsidR="00E445F8" w:rsidRPr="005D00DE" w:rsidRDefault="00E445F8" w:rsidP="00563C30">
            <w:pPr>
              <w:rPr>
                <w:b/>
                <w:bCs/>
                <w:sz w:val="20"/>
                <w:szCs w:val="20"/>
              </w:rPr>
            </w:pPr>
          </w:p>
        </w:tc>
        <w:tc>
          <w:tcPr>
            <w:tcW w:w="1409" w:type="dxa"/>
            <w:tcBorders>
              <w:bottom w:val="nil"/>
              <w:right w:val="single" w:sz="4" w:space="0" w:color="FFFFFF" w:themeColor="background1"/>
            </w:tcBorders>
            <w:shd w:val="clear" w:color="auto" w:fill="009999"/>
            <w:noWrap/>
          </w:tcPr>
          <w:p w:rsidR="00E445F8" w:rsidRPr="00481BDE" w:rsidRDefault="00E445F8" w:rsidP="00563C30">
            <w:pPr>
              <w:rPr>
                <w:b/>
                <w:bCs/>
                <w:color w:val="FFFFFF" w:themeColor="background1"/>
                <w:sz w:val="20"/>
                <w:szCs w:val="20"/>
              </w:rPr>
            </w:pPr>
            <w:r w:rsidRPr="00481BDE">
              <w:rPr>
                <w:b/>
                <w:bCs/>
                <w:color w:val="FFFFFF" w:themeColor="background1"/>
                <w:sz w:val="20"/>
                <w:szCs w:val="20"/>
              </w:rPr>
              <w:t>Very dissatisfied</w:t>
            </w:r>
          </w:p>
        </w:tc>
        <w:tc>
          <w:tcPr>
            <w:tcW w:w="1317" w:type="dxa"/>
            <w:tcBorders>
              <w:left w:val="single" w:sz="4" w:space="0" w:color="FFFFFF" w:themeColor="background1"/>
              <w:bottom w:val="nil"/>
              <w:right w:val="single" w:sz="4" w:space="0" w:color="FFFFFF" w:themeColor="background1"/>
            </w:tcBorders>
            <w:shd w:val="clear" w:color="auto" w:fill="009999"/>
            <w:noWrap/>
          </w:tcPr>
          <w:p w:rsidR="00E445F8" w:rsidRPr="00481BDE" w:rsidRDefault="00E445F8" w:rsidP="00563C30">
            <w:pPr>
              <w:rPr>
                <w:b/>
                <w:bCs/>
                <w:color w:val="FFFFFF" w:themeColor="background1"/>
                <w:sz w:val="20"/>
                <w:szCs w:val="20"/>
              </w:rPr>
            </w:pPr>
            <w:r w:rsidRPr="00481BDE">
              <w:rPr>
                <w:b/>
                <w:bCs/>
                <w:color w:val="FFFFFF" w:themeColor="background1"/>
                <w:sz w:val="20"/>
                <w:szCs w:val="20"/>
              </w:rPr>
              <w:t>Quite dissatisfied</w:t>
            </w:r>
          </w:p>
        </w:tc>
        <w:tc>
          <w:tcPr>
            <w:tcW w:w="1672" w:type="dxa"/>
            <w:tcBorders>
              <w:left w:val="single" w:sz="4" w:space="0" w:color="FFFFFF" w:themeColor="background1"/>
              <w:bottom w:val="nil"/>
              <w:right w:val="single" w:sz="4" w:space="0" w:color="FFFFFF" w:themeColor="background1"/>
            </w:tcBorders>
            <w:shd w:val="clear" w:color="auto" w:fill="009999"/>
            <w:noWrap/>
          </w:tcPr>
          <w:p w:rsidR="00E445F8" w:rsidRPr="00481BDE" w:rsidRDefault="00E445F8" w:rsidP="00563C30">
            <w:pPr>
              <w:rPr>
                <w:b/>
                <w:bCs/>
                <w:color w:val="FFFFFF" w:themeColor="background1"/>
                <w:sz w:val="20"/>
                <w:szCs w:val="20"/>
              </w:rPr>
            </w:pPr>
            <w:r w:rsidRPr="00481BDE">
              <w:rPr>
                <w:b/>
                <w:bCs/>
                <w:color w:val="FFFFFF" w:themeColor="background1"/>
                <w:sz w:val="20"/>
                <w:szCs w:val="20"/>
              </w:rPr>
              <w:t>Neither satisfied nor dissatisfied</w:t>
            </w:r>
          </w:p>
        </w:tc>
        <w:tc>
          <w:tcPr>
            <w:tcW w:w="1095" w:type="dxa"/>
            <w:tcBorders>
              <w:left w:val="single" w:sz="4" w:space="0" w:color="FFFFFF" w:themeColor="background1"/>
              <w:bottom w:val="nil"/>
              <w:right w:val="single" w:sz="4" w:space="0" w:color="FFFFFF" w:themeColor="background1"/>
            </w:tcBorders>
            <w:shd w:val="clear" w:color="auto" w:fill="009999"/>
            <w:noWrap/>
          </w:tcPr>
          <w:p w:rsidR="00E445F8" w:rsidRPr="00481BDE" w:rsidRDefault="00E445F8" w:rsidP="00563C30">
            <w:pPr>
              <w:rPr>
                <w:b/>
                <w:bCs/>
                <w:color w:val="FFFFFF" w:themeColor="background1"/>
                <w:sz w:val="20"/>
                <w:szCs w:val="20"/>
              </w:rPr>
            </w:pPr>
            <w:r w:rsidRPr="00481BDE">
              <w:rPr>
                <w:b/>
                <w:bCs/>
                <w:color w:val="FFFFFF" w:themeColor="background1"/>
                <w:sz w:val="20"/>
                <w:szCs w:val="20"/>
              </w:rPr>
              <w:t>Quite satisfied</w:t>
            </w:r>
          </w:p>
        </w:tc>
        <w:tc>
          <w:tcPr>
            <w:tcW w:w="1095" w:type="dxa"/>
            <w:tcBorders>
              <w:left w:val="single" w:sz="4" w:space="0" w:color="FFFFFF" w:themeColor="background1"/>
              <w:bottom w:val="nil"/>
              <w:right w:val="single" w:sz="4" w:space="0" w:color="FFFFFF" w:themeColor="background1"/>
            </w:tcBorders>
            <w:shd w:val="clear" w:color="auto" w:fill="009999"/>
            <w:noWrap/>
          </w:tcPr>
          <w:p w:rsidR="00E445F8" w:rsidRPr="00481BDE" w:rsidRDefault="00E445F8" w:rsidP="00563C30">
            <w:pPr>
              <w:rPr>
                <w:b/>
                <w:bCs/>
                <w:color w:val="FFFFFF" w:themeColor="background1"/>
                <w:sz w:val="20"/>
                <w:szCs w:val="20"/>
              </w:rPr>
            </w:pPr>
            <w:r w:rsidRPr="00481BDE">
              <w:rPr>
                <w:b/>
                <w:bCs/>
                <w:color w:val="FFFFFF" w:themeColor="background1"/>
                <w:sz w:val="20"/>
                <w:szCs w:val="20"/>
              </w:rPr>
              <w:t>Very satisfied</w:t>
            </w:r>
          </w:p>
        </w:tc>
        <w:tc>
          <w:tcPr>
            <w:tcW w:w="1108" w:type="dxa"/>
            <w:tcBorders>
              <w:left w:val="single" w:sz="4" w:space="0" w:color="FFFFFF" w:themeColor="background1"/>
              <w:bottom w:val="nil"/>
            </w:tcBorders>
            <w:shd w:val="clear" w:color="auto" w:fill="009999"/>
            <w:noWrap/>
          </w:tcPr>
          <w:p w:rsidR="00E445F8" w:rsidRPr="00481BDE" w:rsidRDefault="00E445F8" w:rsidP="00563C30">
            <w:pPr>
              <w:rPr>
                <w:b/>
                <w:bCs/>
                <w:color w:val="FFFFFF" w:themeColor="background1"/>
                <w:sz w:val="20"/>
                <w:szCs w:val="20"/>
              </w:rPr>
            </w:pPr>
            <w:r w:rsidRPr="00481BDE">
              <w:rPr>
                <w:b/>
                <w:bCs/>
                <w:color w:val="FFFFFF" w:themeColor="background1"/>
                <w:sz w:val="20"/>
                <w:szCs w:val="20"/>
              </w:rPr>
              <w:t>2019</w:t>
            </w:r>
          </w:p>
        </w:tc>
      </w:tr>
      <w:tr w:rsidR="00E445F8" w:rsidRPr="00D73845" w:rsidTr="009675C1">
        <w:trPr>
          <w:trHeight w:val="276"/>
        </w:trPr>
        <w:tc>
          <w:tcPr>
            <w:tcW w:w="4860" w:type="dxa"/>
            <w:noWrap/>
            <w:hideMark/>
          </w:tcPr>
          <w:p w:rsidR="00E445F8" w:rsidRPr="00D73845" w:rsidRDefault="00E445F8" w:rsidP="00563C30">
            <w:r w:rsidRPr="00D73845">
              <w:t>Karori Recreation Centre</w:t>
            </w:r>
          </w:p>
        </w:tc>
        <w:tc>
          <w:tcPr>
            <w:tcW w:w="1499" w:type="dxa"/>
            <w:noWrap/>
            <w:hideMark/>
          </w:tcPr>
          <w:p w:rsidR="00E445F8" w:rsidRPr="00D73845" w:rsidRDefault="00E445F8" w:rsidP="00563C30">
            <w:r w:rsidRPr="00D73845">
              <w:t>2019 n=28</w:t>
            </w:r>
          </w:p>
        </w:tc>
        <w:tc>
          <w:tcPr>
            <w:tcW w:w="1409" w:type="dxa"/>
          </w:tcPr>
          <w:p w:rsidR="00E445F8" w:rsidRPr="00D73845" w:rsidRDefault="00E445F8" w:rsidP="00563C30"/>
        </w:tc>
        <w:tc>
          <w:tcPr>
            <w:tcW w:w="1317" w:type="dxa"/>
            <w:noWrap/>
            <w:hideMark/>
          </w:tcPr>
          <w:p w:rsidR="00E445F8" w:rsidRPr="00D73845" w:rsidRDefault="00E445F8" w:rsidP="00563C30"/>
        </w:tc>
        <w:tc>
          <w:tcPr>
            <w:tcW w:w="1672" w:type="dxa"/>
            <w:noWrap/>
            <w:hideMark/>
          </w:tcPr>
          <w:p w:rsidR="00E445F8" w:rsidRPr="00D73845" w:rsidRDefault="00E445F8" w:rsidP="00563C30">
            <w:r w:rsidRPr="00D73845">
              <w:t>19%</w:t>
            </w:r>
          </w:p>
        </w:tc>
        <w:tc>
          <w:tcPr>
            <w:tcW w:w="1095" w:type="dxa"/>
            <w:noWrap/>
            <w:hideMark/>
          </w:tcPr>
          <w:p w:rsidR="00E445F8" w:rsidRPr="00D73845" w:rsidRDefault="00E445F8" w:rsidP="00563C30">
            <w:r w:rsidRPr="00D73845">
              <w:t>40%</w:t>
            </w:r>
          </w:p>
        </w:tc>
        <w:tc>
          <w:tcPr>
            <w:tcW w:w="1095" w:type="dxa"/>
            <w:noWrap/>
            <w:hideMark/>
          </w:tcPr>
          <w:p w:rsidR="00E445F8" w:rsidRPr="00D73845" w:rsidRDefault="00E445F8" w:rsidP="00563C30">
            <w:r w:rsidRPr="00D73845">
              <w:t>41%</w:t>
            </w:r>
          </w:p>
        </w:tc>
        <w:tc>
          <w:tcPr>
            <w:tcW w:w="1108" w:type="dxa"/>
            <w:noWrap/>
            <w:hideMark/>
          </w:tcPr>
          <w:p w:rsidR="00E445F8" w:rsidRPr="00D73845" w:rsidRDefault="00E445F8" w:rsidP="00563C30">
            <w:r w:rsidRPr="00D73845">
              <w:t>81%</w:t>
            </w:r>
          </w:p>
        </w:tc>
      </w:tr>
      <w:tr w:rsidR="00E445F8" w:rsidRPr="00D73845" w:rsidTr="009675C1">
        <w:trPr>
          <w:trHeight w:val="276"/>
        </w:trPr>
        <w:tc>
          <w:tcPr>
            <w:tcW w:w="4860" w:type="dxa"/>
            <w:noWrap/>
            <w:hideMark/>
          </w:tcPr>
          <w:p w:rsidR="00E445F8" w:rsidRPr="00D73845" w:rsidRDefault="00E445F8" w:rsidP="00563C30">
            <w:r w:rsidRPr="00D73845">
              <w:t>Kilbirnie Recreation Centre</w:t>
            </w:r>
          </w:p>
        </w:tc>
        <w:tc>
          <w:tcPr>
            <w:tcW w:w="1499" w:type="dxa"/>
            <w:noWrap/>
            <w:hideMark/>
          </w:tcPr>
          <w:p w:rsidR="00E445F8" w:rsidRPr="00D73845" w:rsidRDefault="00E445F8" w:rsidP="00563C30">
            <w:r w:rsidRPr="00D73845">
              <w:t>2019 n=94</w:t>
            </w:r>
          </w:p>
        </w:tc>
        <w:tc>
          <w:tcPr>
            <w:tcW w:w="1409" w:type="dxa"/>
          </w:tcPr>
          <w:p w:rsidR="00E445F8" w:rsidRPr="00D73845" w:rsidRDefault="00E445F8" w:rsidP="00563C30"/>
        </w:tc>
        <w:tc>
          <w:tcPr>
            <w:tcW w:w="1317" w:type="dxa"/>
            <w:noWrap/>
            <w:hideMark/>
          </w:tcPr>
          <w:p w:rsidR="00E445F8" w:rsidRPr="00D73845" w:rsidRDefault="00E445F8" w:rsidP="00563C30"/>
        </w:tc>
        <w:tc>
          <w:tcPr>
            <w:tcW w:w="1672" w:type="dxa"/>
            <w:noWrap/>
            <w:hideMark/>
          </w:tcPr>
          <w:p w:rsidR="00E445F8" w:rsidRPr="00D73845" w:rsidRDefault="00E445F8" w:rsidP="00563C30">
            <w:r w:rsidRPr="00D73845">
              <w:t>7%</w:t>
            </w:r>
          </w:p>
        </w:tc>
        <w:tc>
          <w:tcPr>
            <w:tcW w:w="1095" w:type="dxa"/>
            <w:noWrap/>
            <w:hideMark/>
          </w:tcPr>
          <w:p w:rsidR="00E445F8" w:rsidRPr="00D73845" w:rsidRDefault="00E445F8" w:rsidP="00563C30">
            <w:r w:rsidRPr="00D73845">
              <w:t>44%</w:t>
            </w:r>
          </w:p>
        </w:tc>
        <w:tc>
          <w:tcPr>
            <w:tcW w:w="1095" w:type="dxa"/>
            <w:noWrap/>
            <w:hideMark/>
          </w:tcPr>
          <w:p w:rsidR="00E445F8" w:rsidRPr="00D73845" w:rsidRDefault="00E445F8" w:rsidP="00563C30">
            <w:r w:rsidRPr="00D73845">
              <w:t>49%</w:t>
            </w:r>
          </w:p>
        </w:tc>
        <w:tc>
          <w:tcPr>
            <w:tcW w:w="1108" w:type="dxa"/>
            <w:noWrap/>
            <w:hideMark/>
          </w:tcPr>
          <w:p w:rsidR="00E445F8" w:rsidRPr="00D73845" w:rsidRDefault="00E445F8" w:rsidP="00563C30">
            <w:r w:rsidRPr="00D73845">
              <w:t>93%</w:t>
            </w:r>
          </w:p>
        </w:tc>
      </w:tr>
      <w:tr w:rsidR="00E445F8" w:rsidRPr="00D73845" w:rsidTr="009675C1">
        <w:trPr>
          <w:trHeight w:val="276"/>
        </w:trPr>
        <w:tc>
          <w:tcPr>
            <w:tcW w:w="4860" w:type="dxa"/>
            <w:noWrap/>
            <w:hideMark/>
          </w:tcPr>
          <w:p w:rsidR="00E445F8" w:rsidRPr="00D73845" w:rsidRDefault="00E445F8" w:rsidP="00563C30">
            <w:r w:rsidRPr="00D73845">
              <w:t>Nairnville Recreation Centre</w:t>
            </w:r>
          </w:p>
        </w:tc>
        <w:tc>
          <w:tcPr>
            <w:tcW w:w="1499" w:type="dxa"/>
            <w:noWrap/>
            <w:hideMark/>
          </w:tcPr>
          <w:p w:rsidR="00E445F8" w:rsidRPr="00D73845" w:rsidRDefault="00E445F8" w:rsidP="00563C30">
            <w:r w:rsidRPr="00D73845">
              <w:t>2019 n=27</w:t>
            </w:r>
          </w:p>
        </w:tc>
        <w:tc>
          <w:tcPr>
            <w:tcW w:w="1409" w:type="dxa"/>
          </w:tcPr>
          <w:p w:rsidR="00E445F8" w:rsidRPr="00D73845" w:rsidRDefault="00E445F8" w:rsidP="00563C30"/>
        </w:tc>
        <w:tc>
          <w:tcPr>
            <w:tcW w:w="1317" w:type="dxa"/>
            <w:noWrap/>
            <w:hideMark/>
          </w:tcPr>
          <w:p w:rsidR="00E445F8" w:rsidRPr="00D73845" w:rsidRDefault="00E445F8" w:rsidP="00563C30"/>
        </w:tc>
        <w:tc>
          <w:tcPr>
            <w:tcW w:w="1672" w:type="dxa"/>
            <w:noWrap/>
            <w:hideMark/>
          </w:tcPr>
          <w:p w:rsidR="00E445F8" w:rsidRPr="00D73845" w:rsidRDefault="00E445F8" w:rsidP="00563C30">
            <w:r w:rsidRPr="00D73845">
              <w:t>4%</w:t>
            </w:r>
          </w:p>
        </w:tc>
        <w:tc>
          <w:tcPr>
            <w:tcW w:w="1095" w:type="dxa"/>
            <w:noWrap/>
            <w:hideMark/>
          </w:tcPr>
          <w:p w:rsidR="00E445F8" w:rsidRPr="00D73845" w:rsidRDefault="00E445F8" w:rsidP="00563C30">
            <w:r w:rsidRPr="00D73845">
              <w:t>28%</w:t>
            </w:r>
          </w:p>
        </w:tc>
        <w:tc>
          <w:tcPr>
            <w:tcW w:w="1095" w:type="dxa"/>
            <w:noWrap/>
            <w:hideMark/>
          </w:tcPr>
          <w:p w:rsidR="00E445F8" w:rsidRPr="00D73845" w:rsidRDefault="00E445F8" w:rsidP="00563C30">
            <w:r w:rsidRPr="00D73845">
              <w:t>68%</w:t>
            </w:r>
          </w:p>
        </w:tc>
        <w:tc>
          <w:tcPr>
            <w:tcW w:w="1108" w:type="dxa"/>
            <w:noWrap/>
            <w:hideMark/>
          </w:tcPr>
          <w:p w:rsidR="00E445F8" w:rsidRPr="00D73845" w:rsidRDefault="00E445F8" w:rsidP="00563C30">
            <w:r w:rsidRPr="00D73845">
              <w:t>96%</w:t>
            </w:r>
          </w:p>
        </w:tc>
      </w:tr>
      <w:tr w:rsidR="00E445F8" w:rsidRPr="00D73845" w:rsidTr="009675C1">
        <w:trPr>
          <w:trHeight w:val="276"/>
        </w:trPr>
        <w:tc>
          <w:tcPr>
            <w:tcW w:w="4860" w:type="dxa"/>
            <w:noWrap/>
            <w:hideMark/>
          </w:tcPr>
          <w:p w:rsidR="00E445F8" w:rsidRPr="00D73845" w:rsidRDefault="00E445F8" w:rsidP="00563C30">
            <w:r w:rsidRPr="00D73845">
              <w:t>Tawa Recreation Centre</w:t>
            </w:r>
          </w:p>
        </w:tc>
        <w:tc>
          <w:tcPr>
            <w:tcW w:w="1499" w:type="dxa"/>
            <w:noWrap/>
            <w:hideMark/>
          </w:tcPr>
          <w:p w:rsidR="00E445F8" w:rsidRPr="00D73845" w:rsidRDefault="00E445F8" w:rsidP="00563C30">
            <w:r w:rsidRPr="00D73845">
              <w:t>2019 n=4</w:t>
            </w:r>
          </w:p>
        </w:tc>
        <w:tc>
          <w:tcPr>
            <w:tcW w:w="1409" w:type="dxa"/>
            <w:noWrap/>
            <w:hideMark/>
          </w:tcPr>
          <w:p w:rsidR="00E445F8" w:rsidRPr="00D73845" w:rsidRDefault="00E445F8" w:rsidP="00563C30"/>
        </w:tc>
        <w:tc>
          <w:tcPr>
            <w:tcW w:w="1317" w:type="dxa"/>
            <w:noWrap/>
            <w:hideMark/>
          </w:tcPr>
          <w:p w:rsidR="00E445F8" w:rsidRPr="00D73845" w:rsidRDefault="00E445F8" w:rsidP="00563C30"/>
        </w:tc>
        <w:tc>
          <w:tcPr>
            <w:tcW w:w="1672" w:type="dxa"/>
            <w:noWrap/>
            <w:hideMark/>
          </w:tcPr>
          <w:p w:rsidR="00E445F8" w:rsidRPr="00D73845" w:rsidRDefault="00E445F8" w:rsidP="00563C30"/>
        </w:tc>
        <w:tc>
          <w:tcPr>
            <w:tcW w:w="1095" w:type="dxa"/>
            <w:noWrap/>
            <w:hideMark/>
          </w:tcPr>
          <w:p w:rsidR="00E445F8" w:rsidRPr="00D73845" w:rsidRDefault="00E445F8" w:rsidP="00563C30">
            <w:r w:rsidRPr="00D73845">
              <w:t>38%</w:t>
            </w:r>
          </w:p>
        </w:tc>
        <w:tc>
          <w:tcPr>
            <w:tcW w:w="1095" w:type="dxa"/>
            <w:noWrap/>
            <w:hideMark/>
          </w:tcPr>
          <w:p w:rsidR="00E445F8" w:rsidRPr="00D73845" w:rsidRDefault="00E445F8" w:rsidP="00563C30">
            <w:r w:rsidRPr="00D73845">
              <w:t>63%</w:t>
            </w:r>
          </w:p>
        </w:tc>
        <w:tc>
          <w:tcPr>
            <w:tcW w:w="1108" w:type="dxa"/>
            <w:noWrap/>
            <w:hideMark/>
          </w:tcPr>
          <w:p w:rsidR="00E445F8" w:rsidRPr="00D73845" w:rsidRDefault="00E445F8" w:rsidP="00563C30">
            <w:r w:rsidRPr="00D73845">
              <w:t>100%</w:t>
            </w:r>
          </w:p>
        </w:tc>
      </w:tr>
      <w:tr w:rsidR="00E445F8" w:rsidRPr="00D73845" w:rsidTr="009675C1">
        <w:trPr>
          <w:trHeight w:val="276"/>
        </w:trPr>
        <w:tc>
          <w:tcPr>
            <w:tcW w:w="4860" w:type="dxa"/>
            <w:noWrap/>
            <w:hideMark/>
          </w:tcPr>
          <w:p w:rsidR="00E445F8" w:rsidRPr="00D73845" w:rsidRDefault="00E445F8" w:rsidP="00563C30">
            <w:r w:rsidRPr="00D73845">
              <w:t>ASB Sports Centre</w:t>
            </w:r>
          </w:p>
        </w:tc>
        <w:tc>
          <w:tcPr>
            <w:tcW w:w="1499" w:type="dxa"/>
            <w:noWrap/>
            <w:hideMark/>
          </w:tcPr>
          <w:p w:rsidR="00E445F8" w:rsidRPr="00D73845" w:rsidRDefault="00E445F8" w:rsidP="00563C30">
            <w:r w:rsidRPr="00D73845">
              <w:t>2019 n=117</w:t>
            </w:r>
          </w:p>
        </w:tc>
        <w:tc>
          <w:tcPr>
            <w:tcW w:w="1409" w:type="dxa"/>
            <w:noWrap/>
            <w:hideMark/>
          </w:tcPr>
          <w:p w:rsidR="00E445F8" w:rsidRPr="00D73845" w:rsidRDefault="00E445F8" w:rsidP="00563C30">
            <w:r w:rsidRPr="00D73845">
              <w:t>0.40%</w:t>
            </w:r>
          </w:p>
        </w:tc>
        <w:tc>
          <w:tcPr>
            <w:tcW w:w="1317" w:type="dxa"/>
            <w:noWrap/>
            <w:hideMark/>
          </w:tcPr>
          <w:p w:rsidR="00E445F8" w:rsidRPr="00D73845" w:rsidRDefault="00E445F8" w:rsidP="00563C30"/>
        </w:tc>
        <w:tc>
          <w:tcPr>
            <w:tcW w:w="1672" w:type="dxa"/>
            <w:noWrap/>
            <w:hideMark/>
          </w:tcPr>
          <w:p w:rsidR="00E445F8" w:rsidRPr="00D73845" w:rsidRDefault="00E445F8" w:rsidP="00563C30">
            <w:r w:rsidRPr="00D73845">
              <w:t>4%</w:t>
            </w:r>
          </w:p>
        </w:tc>
        <w:tc>
          <w:tcPr>
            <w:tcW w:w="1095" w:type="dxa"/>
            <w:noWrap/>
            <w:hideMark/>
          </w:tcPr>
          <w:p w:rsidR="00E445F8" w:rsidRPr="00D73845" w:rsidRDefault="00E445F8" w:rsidP="00563C30">
            <w:r w:rsidRPr="00D73845">
              <w:t>26%</w:t>
            </w:r>
          </w:p>
        </w:tc>
        <w:tc>
          <w:tcPr>
            <w:tcW w:w="1095" w:type="dxa"/>
            <w:noWrap/>
            <w:hideMark/>
          </w:tcPr>
          <w:p w:rsidR="00E445F8" w:rsidRPr="00D73845" w:rsidRDefault="00E445F8" w:rsidP="00563C30">
            <w:r w:rsidRPr="00D73845">
              <w:t>70%</w:t>
            </w:r>
          </w:p>
        </w:tc>
        <w:tc>
          <w:tcPr>
            <w:tcW w:w="1108" w:type="dxa"/>
            <w:noWrap/>
            <w:hideMark/>
          </w:tcPr>
          <w:p w:rsidR="00E445F8" w:rsidRPr="00D73845" w:rsidRDefault="00E445F8" w:rsidP="00563C30">
            <w:r w:rsidRPr="00D73845">
              <w:t>96%</w:t>
            </w:r>
          </w:p>
        </w:tc>
      </w:tr>
      <w:tr w:rsidR="00E445F8" w:rsidRPr="00D73845" w:rsidTr="009675C1">
        <w:trPr>
          <w:trHeight w:val="276"/>
        </w:trPr>
        <w:tc>
          <w:tcPr>
            <w:tcW w:w="11852" w:type="dxa"/>
            <w:gridSpan w:val="6"/>
            <w:noWrap/>
            <w:hideMark/>
          </w:tcPr>
          <w:p w:rsidR="00E445F8" w:rsidRPr="00D73845" w:rsidRDefault="00E445F8" w:rsidP="00563C30"/>
        </w:tc>
        <w:tc>
          <w:tcPr>
            <w:tcW w:w="1095" w:type="dxa"/>
            <w:noWrap/>
            <w:hideMark/>
          </w:tcPr>
          <w:p w:rsidR="00E445F8" w:rsidRPr="00D73845" w:rsidRDefault="00E445F8" w:rsidP="00563C30">
            <w:r w:rsidRPr="00D73845">
              <w:t>Average</w:t>
            </w:r>
          </w:p>
        </w:tc>
        <w:tc>
          <w:tcPr>
            <w:tcW w:w="1108" w:type="dxa"/>
            <w:noWrap/>
            <w:hideMark/>
          </w:tcPr>
          <w:p w:rsidR="00E445F8" w:rsidRPr="00D73845" w:rsidRDefault="00E445F8" w:rsidP="00563C30">
            <w:r w:rsidRPr="00D73845">
              <w:t>93%</w:t>
            </w:r>
          </w:p>
        </w:tc>
      </w:tr>
      <w:tr w:rsidR="00E445F8" w:rsidRPr="00D73845" w:rsidTr="00563C30">
        <w:trPr>
          <w:trHeight w:val="276"/>
        </w:trPr>
        <w:tc>
          <w:tcPr>
            <w:tcW w:w="14055" w:type="dxa"/>
            <w:gridSpan w:val="8"/>
            <w:noWrap/>
            <w:hideMark/>
          </w:tcPr>
          <w:p w:rsidR="00E445F8" w:rsidRPr="005D00DE" w:rsidRDefault="00E445F8" w:rsidP="00692960">
            <w:pPr>
              <w:rPr>
                <w:i/>
              </w:rPr>
            </w:pPr>
            <w:r>
              <w:t>* Survey is of t</w:t>
            </w:r>
            <w:r w:rsidRPr="00D73845">
              <w:t>hose who said in that they had used the facility</w:t>
            </w:r>
            <w:r w:rsidR="009675C1">
              <w:br/>
            </w:r>
            <w:r w:rsidRPr="005D00DE">
              <w:rPr>
                <w:i/>
              </w:rPr>
              <w:t xml:space="preserve">Source: Wellington City Council </w:t>
            </w:r>
            <w:r w:rsidR="00692960">
              <w:rPr>
                <w:i/>
              </w:rPr>
              <w:t>RMS</w:t>
            </w:r>
          </w:p>
        </w:tc>
      </w:tr>
    </w:tbl>
    <w:p w:rsidR="00E445F8" w:rsidRDefault="009675C1" w:rsidP="002C7BF8">
      <w:pPr>
        <w:pStyle w:val="ListParagraph"/>
        <w:numPr>
          <w:ilvl w:val="1"/>
          <w:numId w:val="63"/>
        </w:numPr>
        <w:spacing w:before="240"/>
      </w:pPr>
      <w:r w:rsidRPr="009675C1">
        <w:rPr>
          <w:b/>
          <w:bCs/>
        </w:rPr>
        <w:t>How satisfied or dissatisfied were you with the ASB Centre?</w:t>
      </w:r>
    </w:p>
    <w:tbl>
      <w:tblPr>
        <w:tblStyle w:val="TableGrid"/>
        <w:tblW w:w="0" w:type="auto"/>
        <w:tblBorders>
          <w:top w:val="single" w:sz="4" w:space="0" w:color="215868" w:themeColor="accent5" w:themeShade="80"/>
          <w:left w:val="none" w:sz="0" w:space="0" w:color="auto"/>
          <w:bottom w:val="single" w:sz="4" w:space="0" w:color="215868" w:themeColor="accent5" w:themeShade="80"/>
          <w:right w:val="none" w:sz="0" w:space="0" w:color="auto"/>
          <w:insideH w:val="single" w:sz="4" w:space="0" w:color="215868" w:themeColor="accent5" w:themeShade="80"/>
          <w:insideV w:val="single" w:sz="4" w:space="0" w:color="215868" w:themeColor="accent5" w:themeShade="80"/>
        </w:tblBorders>
        <w:tblLook w:val="04A0" w:firstRow="1" w:lastRow="0" w:firstColumn="1" w:lastColumn="0" w:noHBand="0" w:noVBand="1"/>
      </w:tblPr>
      <w:tblGrid>
        <w:gridCol w:w="7905"/>
        <w:gridCol w:w="1275"/>
        <w:gridCol w:w="1276"/>
        <w:gridCol w:w="1276"/>
        <w:gridCol w:w="992"/>
        <w:gridCol w:w="1276"/>
      </w:tblGrid>
      <w:tr w:rsidR="00E445F8" w:rsidRPr="00D73845" w:rsidTr="009675C1">
        <w:trPr>
          <w:trHeight w:val="276"/>
          <w:tblHeader/>
        </w:trPr>
        <w:tc>
          <w:tcPr>
            <w:tcW w:w="7905" w:type="dxa"/>
            <w:vMerge w:val="restart"/>
            <w:noWrap/>
          </w:tcPr>
          <w:p w:rsidR="00E445F8" w:rsidRPr="005D00DE" w:rsidRDefault="00E445F8" w:rsidP="00563C30">
            <w:pPr>
              <w:rPr>
                <w:b/>
                <w:bCs/>
              </w:rPr>
            </w:pPr>
          </w:p>
        </w:tc>
        <w:tc>
          <w:tcPr>
            <w:tcW w:w="1275" w:type="dxa"/>
            <w:tcBorders>
              <w:bottom w:val="nil"/>
              <w:right w:val="single" w:sz="4" w:space="0" w:color="FFFFFF" w:themeColor="background1"/>
            </w:tcBorders>
            <w:shd w:val="clear" w:color="auto" w:fill="009999"/>
            <w:noWrap/>
          </w:tcPr>
          <w:p w:rsidR="00E445F8" w:rsidRPr="00481BDE" w:rsidRDefault="00E445F8" w:rsidP="00563C30">
            <w:pPr>
              <w:rPr>
                <w:b/>
                <w:bCs/>
                <w:color w:val="FFFFFF" w:themeColor="background1"/>
              </w:rPr>
            </w:pPr>
            <w:r w:rsidRPr="00481BDE">
              <w:rPr>
                <w:b/>
                <w:bCs/>
                <w:color w:val="FFFFFF" w:themeColor="background1"/>
              </w:rPr>
              <w:t>2015</w:t>
            </w:r>
          </w:p>
        </w:tc>
        <w:tc>
          <w:tcPr>
            <w:tcW w:w="1276" w:type="dxa"/>
            <w:tcBorders>
              <w:left w:val="single" w:sz="4" w:space="0" w:color="FFFFFF" w:themeColor="background1"/>
              <w:bottom w:val="nil"/>
              <w:right w:val="single" w:sz="4" w:space="0" w:color="FFFFFF" w:themeColor="background1"/>
            </w:tcBorders>
            <w:shd w:val="clear" w:color="auto" w:fill="009999"/>
            <w:noWrap/>
          </w:tcPr>
          <w:p w:rsidR="00E445F8" w:rsidRPr="00481BDE" w:rsidRDefault="00E445F8" w:rsidP="00563C30">
            <w:pPr>
              <w:rPr>
                <w:b/>
                <w:bCs/>
                <w:color w:val="FFFFFF" w:themeColor="background1"/>
              </w:rPr>
            </w:pPr>
            <w:r w:rsidRPr="00481BDE">
              <w:rPr>
                <w:b/>
                <w:bCs/>
                <w:color w:val="FFFFFF" w:themeColor="background1"/>
              </w:rPr>
              <w:t>2016</w:t>
            </w:r>
          </w:p>
        </w:tc>
        <w:tc>
          <w:tcPr>
            <w:tcW w:w="1276" w:type="dxa"/>
            <w:tcBorders>
              <w:left w:val="single" w:sz="4" w:space="0" w:color="FFFFFF" w:themeColor="background1"/>
              <w:bottom w:val="nil"/>
              <w:right w:val="single" w:sz="4" w:space="0" w:color="FFFFFF" w:themeColor="background1"/>
            </w:tcBorders>
            <w:shd w:val="clear" w:color="auto" w:fill="009999"/>
            <w:noWrap/>
          </w:tcPr>
          <w:p w:rsidR="00E445F8" w:rsidRPr="00481BDE" w:rsidRDefault="00E445F8" w:rsidP="00563C30">
            <w:pPr>
              <w:rPr>
                <w:b/>
                <w:bCs/>
                <w:color w:val="FFFFFF" w:themeColor="background1"/>
              </w:rPr>
            </w:pPr>
            <w:r w:rsidRPr="00481BDE">
              <w:rPr>
                <w:b/>
                <w:bCs/>
                <w:color w:val="FFFFFF" w:themeColor="background1"/>
              </w:rPr>
              <w:t>2017</w:t>
            </w:r>
          </w:p>
        </w:tc>
        <w:tc>
          <w:tcPr>
            <w:tcW w:w="992" w:type="dxa"/>
            <w:tcBorders>
              <w:left w:val="single" w:sz="4" w:space="0" w:color="FFFFFF" w:themeColor="background1"/>
              <w:bottom w:val="nil"/>
              <w:right w:val="single" w:sz="4" w:space="0" w:color="FFFFFF" w:themeColor="background1"/>
            </w:tcBorders>
            <w:shd w:val="clear" w:color="auto" w:fill="009999"/>
            <w:noWrap/>
          </w:tcPr>
          <w:p w:rsidR="00E445F8" w:rsidRPr="00481BDE" w:rsidRDefault="00E445F8" w:rsidP="00563C30">
            <w:pPr>
              <w:rPr>
                <w:b/>
                <w:bCs/>
                <w:color w:val="FFFFFF" w:themeColor="background1"/>
              </w:rPr>
            </w:pPr>
            <w:r w:rsidRPr="00481BDE">
              <w:rPr>
                <w:b/>
                <w:bCs/>
                <w:color w:val="FFFFFF" w:themeColor="background1"/>
              </w:rPr>
              <w:t>2018</w:t>
            </w:r>
          </w:p>
        </w:tc>
        <w:tc>
          <w:tcPr>
            <w:tcW w:w="1276" w:type="dxa"/>
            <w:tcBorders>
              <w:left w:val="single" w:sz="4" w:space="0" w:color="FFFFFF" w:themeColor="background1"/>
              <w:bottom w:val="nil"/>
            </w:tcBorders>
            <w:shd w:val="clear" w:color="auto" w:fill="009999"/>
            <w:noWrap/>
          </w:tcPr>
          <w:p w:rsidR="00E445F8" w:rsidRPr="00481BDE" w:rsidRDefault="00E445F8" w:rsidP="00563C30">
            <w:pPr>
              <w:rPr>
                <w:b/>
                <w:bCs/>
                <w:color w:val="FFFFFF" w:themeColor="background1"/>
              </w:rPr>
            </w:pPr>
            <w:r w:rsidRPr="00481BDE">
              <w:rPr>
                <w:b/>
                <w:bCs/>
                <w:color w:val="FFFFFF" w:themeColor="background1"/>
              </w:rPr>
              <w:t>2019</w:t>
            </w:r>
          </w:p>
        </w:tc>
      </w:tr>
      <w:tr w:rsidR="00E445F8" w:rsidRPr="00D73845" w:rsidTr="00563C30">
        <w:trPr>
          <w:trHeight w:val="276"/>
          <w:tblHeader/>
        </w:trPr>
        <w:tc>
          <w:tcPr>
            <w:tcW w:w="7905" w:type="dxa"/>
            <w:vMerge/>
            <w:noWrap/>
            <w:hideMark/>
          </w:tcPr>
          <w:p w:rsidR="00E445F8" w:rsidRPr="00D73845" w:rsidRDefault="00E445F8" w:rsidP="00563C30"/>
        </w:tc>
        <w:tc>
          <w:tcPr>
            <w:tcW w:w="1275" w:type="dxa"/>
            <w:noWrap/>
            <w:hideMark/>
          </w:tcPr>
          <w:p w:rsidR="00E445F8" w:rsidRPr="00D73845" w:rsidRDefault="00E445F8" w:rsidP="00563C30">
            <w:r w:rsidRPr="00D73845">
              <w:t>n=137</w:t>
            </w:r>
          </w:p>
        </w:tc>
        <w:tc>
          <w:tcPr>
            <w:tcW w:w="1276" w:type="dxa"/>
            <w:noWrap/>
            <w:hideMark/>
          </w:tcPr>
          <w:p w:rsidR="00E445F8" w:rsidRPr="00D73845" w:rsidRDefault="00E445F8" w:rsidP="00563C30">
            <w:r w:rsidRPr="00D73845">
              <w:t>n=176</w:t>
            </w:r>
          </w:p>
        </w:tc>
        <w:tc>
          <w:tcPr>
            <w:tcW w:w="1276" w:type="dxa"/>
            <w:noWrap/>
            <w:hideMark/>
          </w:tcPr>
          <w:p w:rsidR="00E445F8" w:rsidRPr="00D73845" w:rsidRDefault="00E445F8" w:rsidP="00563C30">
            <w:r w:rsidRPr="00D73845">
              <w:t>n=118</w:t>
            </w:r>
          </w:p>
        </w:tc>
        <w:tc>
          <w:tcPr>
            <w:tcW w:w="992" w:type="dxa"/>
            <w:noWrap/>
            <w:hideMark/>
          </w:tcPr>
          <w:p w:rsidR="00E445F8" w:rsidRPr="00D73845" w:rsidRDefault="00E445F8" w:rsidP="00563C30">
            <w:r w:rsidRPr="00D73845">
              <w:t>n=216</w:t>
            </w:r>
          </w:p>
        </w:tc>
        <w:tc>
          <w:tcPr>
            <w:tcW w:w="1276" w:type="dxa"/>
            <w:noWrap/>
            <w:hideMark/>
          </w:tcPr>
          <w:p w:rsidR="00E445F8" w:rsidRPr="00D73845" w:rsidRDefault="00E445F8" w:rsidP="00563C30">
            <w:r w:rsidRPr="00D73845">
              <w:t>n=117</w:t>
            </w:r>
          </w:p>
        </w:tc>
      </w:tr>
      <w:tr w:rsidR="00E445F8" w:rsidRPr="00D73845" w:rsidTr="00563C30">
        <w:trPr>
          <w:trHeight w:val="276"/>
        </w:trPr>
        <w:tc>
          <w:tcPr>
            <w:tcW w:w="7905" w:type="dxa"/>
            <w:noWrap/>
            <w:hideMark/>
          </w:tcPr>
          <w:p w:rsidR="00E445F8" w:rsidRPr="00D73845" w:rsidRDefault="00E445F8" w:rsidP="00563C30">
            <w:r w:rsidRPr="00D73845">
              <w:t xml:space="preserve">Very dissatisfied </w:t>
            </w:r>
          </w:p>
        </w:tc>
        <w:tc>
          <w:tcPr>
            <w:tcW w:w="1275" w:type="dxa"/>
            <w:noWrap/>
            <w:hideMark/>
          </w:tcPr>
          <w:p w:rsidR="00E445F8" w:rsidRPr="00D73845" w:rsidRDefault="00E445F8" w:rsidP="00563C30">
            <w:r w:rsidRPr="00D73845">
              <w:t>4%</w:t>
            </w:r>
          </w:p>
        </w:tc>
        <w:tc>
          <w:tcPr>
            <w:tcW w:w="1276" w:type="dxa"/>
            <w:noWrap/>
            <w:hideMark/>
          </w:tcPr>
          <w:p w:rsidR="00E445F8" w:rsidRPr="00D73845" w:rsidRDefault="00E445F8" w:rsidP="00563C30">
            <w:r w:rsidRPr="00D73845">
              <w:t>1%</w:t>
            </w:r>
          </w:p>
        </w:tc>
        <w:tc>
          <w:tcPr>
            <w:tcW w:w="1276" w:type="dxa"/>
            <w:noWrap/>
            <w:hideMark/>
          </w:tcPr>
          <w:p w:rsidR="00E445F8" w:rsidRPr="00D73845" w:rsidRDefault="00E445F8" w:rsidP="00563C30">
            <w:r w:rsidRPr="00D73845">
              <w:t>1%</w:t>
            </w:r>
          </w:p>
        </w:tc>
        <w:tc>
          <w:tcPr>
            <w:tcW w:w="992" w:type="dxa"/>
            <w:noWrap/>
            <w:hideMark/>
          </w:tcPr>
          <w:p w:rsidR="00E445F8" w:rsidRPr="00D73845" w:rsidRDefault="00E445F8" w:rsidP="00563C30">
            <w:r w:rsidRPr="00D73845">
              <w:t>1%</w:t>
            </w:r>
          </w:p>
        </w:tc>
        <w:tc>
          <w:tcPr>
            <w:tcW w:w="1276" w:type="dxa"/>
            <w:noWrap/>
            <w:hideMark/>
          </w:tcPr>
          <w:p w:rsidR="00E445F8" w:rsidRPr="00D73845" w:rsidRDefault="00E445F8" w:rsidP="00563C30">
            <w:r w:rsidRPr="00D73845">
              <w:t>0%</w:t>
            </w:r>
          </w:p>
        </w:tc>
      </w:tr>
      <w:tr w:rsidR="00E445F8" w:rsidRPr="00D73845" w:rsidTr="00563C30">
        <w:trPr>
          <w:trHeight w:val="276"/>
        </w:trPr>
        <w:tc>
          <w:tcPr>
            <w:tcW w:w="7905" w:type="dxa"/>
            <w:noWrap/>
            <w:hideMark/>
          </w:tcPr>
          <w:p w:rsidR="00E445F8" w:rsidRPr="00D73845" w:rsidRDefault="00E445F8" w:rsidP="00563C30">
            <w:r w:rsidRPr="00D73845">
              <w:t xml:space="preserve">Quite dissatisfied </w:t>
            </w:r>
          </w:p>
        </w:tc>
        <w:tc>
          <w:tcPr>
            <w:tcW w:w="1275" w:type="dxa"/>
            <w:noWrap/>
            <w:hideMark/>
          </w:tcPr>
          <w:p w:rsidR="00E445F8" w:rsidRPr="00D73845" w:rsidRDefault="00E445F8" w:rsidP="00563C30">
            <w:r w:rsidRPr="00D73845">
              <w:t>3%</w:t>
            </w:r>
          </w:p>
        </w:tc>
        <w:tc>
          <w:tcPr>
            <w:tcW w:w="1276" w:type="dxa"/>
            <w:noWrap/>
            <w:hideMark/>
          </w:tcPr>
          <w:p w:rsidR="00E445F8" w:rsidRPr="00D73845" w:rsidRDefault="00E445F8" w:rsidP="00563C30">
            <w:r w:rsidRPr="00D73845">
              <w:t>3%</w:t>
            </w:r>
          </w:p>
        </w:tc>
        <w:tc>
          <w:tcPr>
            <w:tcW w:w="1276" w:type="dxa"/>
            <w:noWrap/>
            <w:hideMark/>
          </w:tcPr>
          <w:p w:rsidR="00E445F8" w:rsidRPr="00D73845" w:rsidRDefault="00E445F8" w:rsidP="00563C30">
            <w:r w:rsidRPr="00D73845">
              <w:t>2%</w:t>
            </w:r>
          </w:p>
        </w:tc>
        <w:tc>
          <w:tcPr>
            <w:tcW w:w="992" w:type="dxa"/>
            <w:noWrap/>
            <w:hideMark/>
          </w:tcPr>
          <w:p w:rsidR="00E445F8" w:rsidRPr="00D73845" w:rsidRDefault="00E445F8" w:rsidP="00563C30">
            <w:r w:rsidRPr="00D73845">
              <w:t>-</w:t>
            </w:r>
          </w:p>
        </w:tc>
        <w:tc>
          <w:tcPr>
            <w:tcW w:w="1276" w:type="dxa"/>
            <w:noWrap/>
            <w:hideMark/>
          </w:tcPr>
          <w:p w:rsidR="00E445F8" w:rsidRPr="00D73845" w:rsidRDefault="00E445F8" w:rsidP="00563C30">
            <w:r w:rsidRPr="00D73845">
              <w:t>-</w:t>
            </w:r>
          </w:p>
        </w:tc>
      </w:tr>
      <w:tr w:rsidR="00E445F8" w:rsidRPr="00D73845" w:rsidTr="00563C30">
        <w:trPr>
          <w:trHeight w:val="276"/>
        </w:trPr>
        <w:tc>
          <w:tcPr>
            <w:tcW w:w="7905" w:type="dxa"/>
            <w:noWrap/>
            <w:hideMark/>
          </w:tcPr>
          <w:p w:rsidR="00E445F8" w:rsidRPr="00D73845" w:rsidRDefault="00E445F8" w:rsidP="00563C30">
            <w:r w:rsidRPr="00D73845">
              <w:t xml:space="preserve">Neither satisfied nor dissatisfied </w:t>
            </w:r>
          </w:p>
        </w:tc>
        <w:tc>
          <w:tcPr>
            <w:tcW w:w="1275" w:type="dxa"/>
            <w:noWrap/>
            <w:hideMark/>
          </w:tcPr>
          <w:p w:rsidR="00E445F8" w:rsidRPr="00D73845" w:rsidRDefault="00E445F8" w:rsidP="00563C30">
            <w:r w:rsidRPr="00D73845">
              <w:t>7%</w:t>
            </w:r>
          </w:p>
        </w:tc>
        <w:tc>
          <w:tcPr>
            <w:tcW w:w="1276" w:type="dxa"/>
            <w:noWrap/>
            <w:hideMark/>
          </w:tcPr>
          <w:p w:rsidR="00E445F8" w:rsidRPr="00D73845" w:rsidRDefault="00E445F8" w:rsidP="00563C30">
            <w:r w:rsidRPr="00D73845">
              <w:t>5%</w:t>
            </w:r>
          </w:p>
        </w:tc>
        <w:tc>
          <w:tcPr>
            <w:tcW w:w="1276" w:type="dxa"/>
            <w:noWrap/>
            <w:hideMark/>
          </w:tcPr>
          <w:p w:rsidR="00E445F8" w:rsidRPr="00D73845" w:rsidRDefault="00E445F8" w:rsidP="00563C30">
            <w:r w:rsidRPr="00D73845">
              <w:t>2%</w:t>
            </w:r>
          </w:p>
        </w:tc>
        <w:tc>
          <w:tcPr>
            <w:tcW w:w="992" w:type="dxa"/>
            <w:noWrap/>
            <w:hideMark/>
          </w:tcPr>
          <w:p w:rsidR="00E445F8" w:rsidRPr="00D73845" w:rsidRDefault="00E445F8" w:rsidP="00563C30">
            <w:r w:rsidRPr="00D73845">
              <w:t>3%</w:t>
            </w:r>
          </w:p>
        </w:tc>
        <w:tc>
          <w:tcPr>
            <w:tcW w:w="1276" w:type="dxa"/>
            <w:noWrap/>
            <w:hideMark/>
          </w:tcPr>
          <w:p w:rsidR="00E445F8" w:rsidRPr="00D73845" w:rsidRDefault="00E445F8" w:rsidP="00563C30">
            <w:r w:rsidRPr="00D73845">
              <w:t>4%</w:t>
            </w:r>
          </w:p>
        </w:tc>
      </w:tr>
      <w:tr w:rsidR="00E445F8" w:rsidRPr="00D73845" w:rsidTr="00563C30">
        <w:trPr>
          <w:trHeight w:val="276"/>
        </w:trPr>
        <w:tc>
          <w:tcPr>
            <w:tcW w:w="7905" w:type="dxa"/>
            <w:noWrap/>
            <w:hideMark/>
          </w:tcPr>
          <w:p w:rsidR="00E445F8" w:rsidRPr="00D73845" w:rsidRDefault="00E445F8" w:rsidP="00563C30">
            <w:r w:rsidRPr="00D73845">
              <w:t xml:space="preserve">Quite satisfied </w:t>
            </w:r>
          </w:p>
        </w:tc>
        <w:tc>
          <w:tcPr>
            <w:tcW w:w="1275" w:type="dxa"/>
            <w:noWrap/>
            <w:hideMark/>
          </w:tcPr>
          <w:p w:rsidR="00E445F8" w:rsidRPr="00D73845" w:rsidRDefault="00E445F8" w:rsidP="00563C30">
            <w:r w:rsidRPr="00D73845">
              <w:t>31%</w:t>
            </w:r>
          </w:p>
        </w:tc>
        <w:tc>
          <w:tcPr>
            <w:tcW w:w="1276" w:type="dxa"/>
            <w:noWrap/>
            <w:hideMark/>
          </w:tcPr>
          <w:p w:rsidR="00E445F8" w:rsidRPr="00D73845" w:rsidRDefault="00E445F8" w:rsidP="00563C30">
            <w:r w:rsidRPr="00D73845">
              <w:t>27%</w:t>
            </w:r>
          </w:p>
        </w:tc>
        <w:tc>
          <w:tcPr>
            <w:tcW w:w="1276" w:type="dxa"/>
            <w:noWrap/>
            <w:hideMark/>
          </w:tcPr>
          <w:p w:rsidR="00E445F8" w:rsidRPr="00D73845" w:rsidRDefault="00E445F8" w:rsidP="00563C30">
            <w:r w:rsidRPr="00D73845">
              <w:t>23%</w:t>
            </w:r>
          </w:p>
        </w:tc>
        <w:tc>
          <w:tcPr>
            <w:tcW w:w="992" w:type="dxa"/>
            <w:noWrap/>
            <w:hideMark/>
          </w:tcPr>
          <w:p w:rsidR="00E445F8" w:rsidRPr="00D73845" w:rsidRDefault="00E445F8" w:rsidP="00563C30">
            <w:r w:rsidRPr="00D73845">
              <w:t>33%</w:t>
            </w:r>
          </w:p>
        </w:tc>
        <w:tc>
          <w:tcPr>
            <w:tcW w:w="1276" w:type="dxa"/>
            <w:noWrap/>
            <w:hideMark/>
          </w:tcPr>
          <w:p w:rsidR="00E445F8" w:rsidRPr="00D73845" w:rsidRDefault="00E445F8" w:rsidP="00563C30">
            <w:r w:rsidRPr="00D73845">
              <w:t>26%</w:t>
            </w:r>
          </w:p>
        </w:tc>
      </w:tr>
      <w:tr w:rsidR="00E445F8" w:rsidRPr="00D73845" w:rsidTr="00563C30">
        <w:trPr>
          <w:trHeight w:val="276"/>
        </w:trPr>
        <w:tc>
          <w:tcPr>
            <w:tcW w:w="7905" w:type="dxa"/>
            <w:noWrap/>
            <w:hideMark/>
          </w:tcPr>
          <w:p w:rsidR="00E445F8" w:rsidRPr="00D73845" w:rsidRDefault="00E445F8" w:rsidP="00563C30">
            <w:r w:rsidRPr="00D73845">
              <w:t xml:space="preserve">Very satisfied </w:t>
            </w:r>
          </w:p>
        </w:tc>
        <w:tc>
          <w:tcPr>
            <w:tcW w:w="1275" w:type="dxa"/>
            <w:noWrap/>
            <w:hideMark/>
          </w:tcPr>
          <w:p w:rsidR="00E445F8" w:rsidRPr="00D73845" w:rsidRDefault="00E445F8" w:rsidP="00563C30">
            <w:r w:rsidRPr="00D73845">
              <w:t>55%</w:t>
            </w:r>
          </w:p>
        </w:tc>
        <w:tc>
          <w:tcPr>
            <w:tcW w:w="1276" w:type="dxa"/>
            <w:noWrap/>
            <w:hideMark/>
          </w:tcPr>
          <w:p w:rsidR="00E445F8" w:rsidRPr="00D73845" w:rsidRDefault="00E445F8" w:rsidP="00563C30">
            <w:r w:rsidRPr="00D73845">
              <w:t>64%</w:t>
            </w:r>
          </w:p>
        </w:tc>
        <w:tc>
          <w:tcPr>
            <w:tcW w:w="1276" w:type="dxa"/>
            <w:noWrap/>
            <w:hideMark/>
          </w:tcPr>
          <w:p w:rsidR="00E445F8" w:rsidRPr="00D73845" w:rsidRDefault="00E445F8" w:rsidP="00563C30">
            <w:r w:rsidRPr="00D73845">
              <w:t>72%</w:t>
            </w:r>
          </w:p>
        </w:tc>
        <w:tc>
          <w:tcPr>
            <w:tcW w:w="992" w:type="dxa"/>
            <w:noWrap/>
            <w:hideMark/>
          </w:tcPr>
          <w:p w:rsidR="00E445F8" w:rsidRPr="00D73845" w:rsidRDefault="00E445F8" w:rsidP="00563C30">
            <w:r w:rsidRPr="00D73845">
              <w:t>62%</w:t>
            </w:r>
          </w:p>
        </w:tc>
        <w:tc>
          <w:tcPr>
            <w:tcW w:w="1276" w:type="dxa"/>
            <w:noWrap/>
            <w:hideMark/>
          </w:tcPr>
          <w:p w:rsidR="00E445F8" w:rsidRPr="00D73845" w:rsidRDefault="00E445F8" w:rsidP="00563C30">
            <w:r w:rsidRPr="00D73845">
              <w:t>70%</w:t>
            </w:r>
          </w:p>
        </w:tc>
      </w:tr>
      <w:tr w:rsidR="00E445F8" w:rsidRPr="00D73845" w:rsidTr="00563C30">
        <w:trPr>
          <w:trHeight w:val="276"/>
        </w:trPr>
        <w:tc>
          <w:tcPr>
            <w:tcW w:w="7905" w:type="dxa"/>
            <w:noWrap/>
            <w:hideMark/>
          </w:tcPr>
          <w:p w:rsidR="00E445F8" w:rsidRPr="00D73845" w:rsidRDefault="00E445F8" w:rsidP="00563C30">
            <w:pPr>
              <w:rPr>
                <w:b/>
                <w:bCs/>
              </w:rPr>
            </w:pPr>
            <w:r w:rsidRPr="00D73845">
              <w:rPr>
                <w:b/>
                <w:bCs/>
              </w:rPr>
              <w:t>Total satisfied and very satisfied</w:t>
            </w:r>
          </w:p>
        </w:tc>
        <w:tc>
          <w:tcPr>
            <w:tcW w:w="1275" w:type="dxa"/>
            <w:noWrap/>
            <w:hideMark/>
          </w:tcPr>
          <w:p w:rsidR="00E445F8" w:rsidRPr="00D73845" w:rsidRDefault="00E445F8" w:rsidP="00563C30">
            <w:r w:rsidRPr="00D73845">
              <w:t>86%</w:t>
            </w:r>
          </w:p>
        </w:tc>
        <w:tc>
          <w:tcPr>
            <w:tcW w:w="1276" w:type="dxa"/>
            <w:noWrap/>
            <w:hideMark/>
          </w:tcPr>
          <w:p w:rsidR="00E445F8" w:rsidRPr="00D73845" w:rsidRDefault="00E445F8" w:rsidP="00563C30">
            <w:r w:rsidRPr="00D73845">
              <w:t>91%</w:t>
            </w:r>
          </w:p>
        </w:tc>
        <w:tc>
          <w:tcPr>
            <w:tcW w:w="1276" w:type="dxa"/>
            <w:noWrap/>
            <w:hideMark/>
          </w:tcPr>
          <w:p w:rsidR="00E445F8" w:rsidRPr="00D73845" w:rsidRDefault="00E445F8" w:rsidP="00563C30">
            <w:r w:rsidRPr="00D73845">
              <w:t>95%</w:t>
            </w:r>
          </w:p>
        </w:tc>
        <w:tc>
          <w:tcPr>
            <w:tcW w:w="992" w:type="dxa"/>
            <w:noWrap/>
            <w:hideMark/>
          </w:tcPr>
          <w:p w:rsidR="00E445F8" w:rsidRPr="00D73845" w:rsidRDefault="00E445F8" w:rsidP="00563C30">
            <w:r w:rsidRPr="00D73845">
              <w:t>95%</w:t>
            </w:r>
          </w:p>
        </w:tc>
        <w:tc>
          <w:tcPr>
            <w:tcW w:w="1276" w:type="dxa"/>
            <w:noWrap/>
            <w:hideMark/>
          </w:tcPr>
          <w:p w:rsidR="00E445F8" w:rsidRPr="00D73845" w:rsidRDefault="00E445F8" w:rsidP="00563C30">
            <w:r w:rsidRPr="00D73845">
              <w:t>96%</w:t>
            </w:r>
          </w:p>
        </w:tc>
      </w:tr>
      <w:tr w:rsidR="00E445F8" w:rsidRPr="00D73845" w:rsidTr="00563C30">
        <w:trPr>
          <w:trHeight w:val="276"/>
        </w:trPr>
        <w:tc>
          <w:tcPr>
            <w:tcW w:w="14000" w:type="dxa"/>
            <w:gridSpan w:val="6"/>
            <w:noWrap/>
            <w:hideMark/>
          </w:tcPr>
          <w:p w:rsidR="00E445F8" w:rsidRPr="0063713D" w:rsidRDefault="00E445F8" w:rsidP="00692960">
            <w:pPr>
              <w:rPr>
                <w:i/>
              </w:rPr>
            </w:pPr>
            <w:r w:rsidRPr="0063713D">
              <w:rPr>
                <w:i/>
              </w:rPr>
              <w:lastRenderedPageBreak/>
              <w:t xml:space="preserve">Source: Wellington City Council </w:t>
            </w:r>
            <w:r w:rsidR="00692960">
              <w:rPr>
                <w:i/>
              </w:rPr>
              <w:t>RMS</w:t>
            </w:r>
          </w:p>
        </w:tc>
      </w:tr>
    </w:tbl>
    <w:p w:rsidR="00E445F8" w:rsidRDefault="00972C70" w:rsidP="002C7BF8">
      <w:pPr>
        <w:pStyle w:val="ListParagraph"/>
        <w:numPr>
          <w:ilvl w:val="0"/>
          <w:numId w:val="63"/>
        </w:numPr>
      </w:pPr>
      <w:r w:rsidRPr="00972C70">
        <w:rPr>
          <w:b/>
          <w:bCs/>
        </w:rPr>
        <w:t>Residents (%) who are active library users</w:t>
      </w:r>
      <w:r w:rsidRPr="00D73845">
        <w:t xml:space="preserve"> </w:t>
      </w:r>
      <w:r>
        <w:t xml:space="preserve">- </w:t>
      </w:r>
      <w:r w:rsidR="00692960">
        <w:t>”</w:t>
      </w:r>
      <w:r w:rsidR="00692960" w:rsidRPr="00D73845">
        <w:t>Active</w:t>
      </w:r>
      <w:r w:rsidR="00692960">
        <w:t>”</w:t>
      </w:r>
      <w:r w:rsidR="00692960" w:rsidRPr="00D73845">
        <w:t xml:space="preserve"> </w:t>
      </w:r>
      <w:r w:rsidR="00692960">
        <w:t xml:space="preserve"> </w:t>
      </w:r>
      <w:r>
        <w:t xml:space="preserve">is </w:t>
      </w:r>
      <w:r w:rsidRPr="00D73845">
        <w:t>defined as at least once a month Asked only of those who stated they had used 'a public library' (N=370; 73%).</w:t>
      </w:r>
    </w:p>
    <w:tbl>
      <w:tblPr>
        <w:tblStyle w:val="TableGrid"/>
        <w:tblW w:w="0" w:type="auto"/>
        <w:tblBorders>
          <w:top w:val="single" w:sz="4" w:space="0" w:color="215868" w:themeColor="accent5" w:themeShade="80"/>
          <w:left w:val="none" w:sz="0" w:space="0" w:color="auto"/>
          <w:bottom w:val="single" w:sz="4" w:space="0" w:color="215868" w:themeColor="accent5" w:themeShade="80"/>
          <w:right w:val="none" w:sz="0" w:space="0" w:color="auto"/>
          <w:insideH w:val="single" w:sz="4" w:space="0" w:color="215868" w:themeColor="accent5" w:themeShade="80"/>
          <w:insideV w:val="single" w:sz="4" w:space="0" w:color="215868" w:themeColor="accent5" w:themeShade="80"/>
        </w:tblBorders>
        <w:tblLook w:val="04A0" w:firstRow="1" w:lastRow="0" w:firstColumn="1" w:lastColumn="0" w:noHBand="0" w:noVBand="1"/>
      </w:tblPr>
      <w:tblGrid>
        <w:gridCol w:w="7905"/>
        <w:gridCol w:w="1275"/>
        <w:gridCol w:w="1276"/>
        <w:gridCol w:w="1276"/>
        <w:gridCol w:w="992"/>
        <w:gridCol w:w="1276"/>
      </w:tblGrid>
      <w:tr w:rsidR="00E445F8" w:rsidRPr="00D73845" w:rsidTr="00972C70">
        <w:trPr>
          <w:trHeight w:val="276"/>
        </w:trPr>
        <w:tc>
          <w:tcPr>
            <w:tcW w:w="7905" w:type="dxa"/>
            <w:vMerge w:val="restart"/>
            <w:noWrap/>
            <w:vAlign w:val="center"/>
            <w:hideMark/>
          </w:tcPr>
          <w:p w:rsidR="00E445F8" w:rsidRPr="005D00DE" w:rsidRDefault="00E445F8" w:rsidP="00563C30">
            <w:pPr>
              <w:rPr>
                <w:bCs/>
              </w:rPr>
            </w:pPr>
            <w:r w:rsidRPr="005D00DE">
              <w:rPr>
                <w:bCs/>
              </w:rPr>
              <w:t>Residents' usage (%) of libraries and frequency of use</w:t>
            </w:r>
          </w:p>
        </w:tc>
        <w:tc>
          <w:tcPr>
            <w:tcW w:w="1275" w:type="dxa"/>
            <w:tcBorders>
              <w:bottom w:val="nil"/>
              <w:right w:val="single" w:sz="4" w:space="0" w:color="FFFFFF" w:themeColor="background1"/>
            </w:tcBorders>
            <w:shd w:val="clear" w:color="auto" w:fill="009999"/>
            <w:noWrap/>
          </w:tcPr>
          <w:p w:rsidR="00E445F8" w:rsidRPr="00481BDE" w:rsidRDefault="00E445F8" w:rsidP="00563C30">
            <w:pPr>
              <w:rPr>
                <w:b/>
                <w:bCs/>
                <w:color w:val="FFFFFF" w:themeColor="background1"/>
              </w:rPr>
            </w:pPr>
            <w:r w:rsidRPr="00481BDE">
              <w:rPr>
                <w:b/>
                <w:bCs/>
                <w:color w:val="FFFFFF" w:themeColor="background1"/>
              </w:rPr>
              <w:t>2015</w:t>
            </w:r>
          </w:p>
        </w:tc>
        <w:tc>
          <w:tcPr>
            <w:tcW w:w="1276" w:type="dxa"/>
            <w:tcBorders>
              <w:left w:val="single" w:sz="4" w:space="0" w:color="FFFFFF" w:themeColor="background1"/>
              <w:bottom w:val="nil"/>
              <w:right w:val="single" w:sz="4" w:space="0" w:color="FFFFFF" w:themeColor="background1"/>
            </w:tcBorders>
            <w:shd w:val="clear" w:color="auto" w:fill="009999"/>
            <w:noWrap/>
          </w:tcPr>
          <w:p w:rsidR="00E445F8" w:rsidRPr="00481BDE" w:rsidRDefault="00E445F8" w:rsidP="00563C30">
            <w:pPr>
              <w:rPr>
                <w:b/>
                <w:bCs/>
                <w:color w:val="FFFFFF" w:themeColor="background1"/>
              </w:rPr>
            </w:pPr>
            <w:r w:rsidRPr="00481BDE">
              <w:rPr>
                <w:b/>
                <w:bCs/>
                <w:color w:val="FFFFFF" w:themeColor="background1"/>
              </w:rPr>
              <w:t>2016</w:t>
            </w:r>
          </w:p>
        </w:tc>
        <w:tc>
          <w:tcPr>
            <w:tcW w:w="1276" w:type="dxa"/>
            <w:tcBorders>
              <w:left w:val="single" w:sz="4" w:space="0" w:color="FFFFFF" w:themeColor="background1"/>
              <w:bottom w:val="nil"/>
              <w:right w:val="single" w:sz="4" w:space="0" w:color="FFFFFF" w:themeColor="background1"/>
            </w:tcBorders>
            <w:shd w:val="clear" w:color="auto" w:fill="009999"/>
            <w:noWrap/>
          </w:tcPr>
          <w:p w:rsidR="00E445F8" w:rsidRPr="00481BDE" w:rsidRDefault="00E445F8" w:rsidP="00563C30">
            <w:pPr>
              <w:rPr>
                <w:b/>
                <w:bCs/>
                <w:color w:val="FFFFFF" w:themeColor="background1"/>
              </w:rPr>
            </w:pPr>
            <w:r w:rsidRPr="00481BDE">
              <w:rPr>
                <w:b/>
                <w:bCs/>
                <w:color w:val="FFFFFF" w:themeColor="background1"/>
              </w:rPr>
              <w:t>2017</w:t>
            </w:r>
          </w:p>
        </w:tc>
        <w:tc>
          <w:tcPr>
            <w:tcW w:w="992" w:type="dxa"/>
            <w:tcBorders>
              <w:left w:val="single" w:sz="4" w:space="0" w:color="FFFFFF" w:themeColor="background1"/>
              <w:bottom w:val="nil"/>
              <w:right w:val="single" w:sz="4" w:space="0" w:color="FFFFFF" w:themeColor="background1"/>
            </w:tcBorders>
            <w:shd w:val="clear" w:color="auto" w:fill="009999"/>
            <w:noWrap/>
          </w:tcPr>
          <w:p w:rsidR="00E445F8" w:rsidRPr="00481BDE" w:rsidRDefault="00E445F8" w:rsidP="00563C30">
            <w:pPr>
              <w:rPr>
                <w:b/>
                <w:bCs/>
                <w:color w:val="FFFFFF" w:themeColor="background1"/>
              </w:rPr>
            </w:pPr>
            <w:r w:rsidRPr="00481BDE">
              <w:rPr>
                <w:b/>
                <w:bCs/>
                <w:color w:val="FFFFFF" w:themeColor="background1"/>
              </w:rPr>
              <w:t>2018</w:t>
            </w:r>
          </w:p>
        </w:tc>
        <w:tc>
          <w:tcPr>
            <w:tcW w:w="1276" w:type="dxa"/>
            <w:tcBorders>
              <w:left w:val="single" w:sz="4" w:space="0" w:color="FFFFFF" w:themeColor="background1"/>
              <w:bottom w:val="nil"/>
            </w:tcBorders>
            <w:shd w:val="clear" w:color="auto" w:fill="009999"/>
            <w:noWrap/>
          </w:tcPr>
          <w:p w:rsidR="00E445F8" w:rsidRPr="00481BDE" w:rsidRDefault="00E445F8" w:rsidP="00563C30">
            <w:pPr>
              <w:rPr>
                <w:b/>
                <w:bCs/>
                <w:color w:val="FFFFFF" w:themeColor="background1"/>
              </w:rPr>
            </w:pPr>
            <w:r w:rsidRPr="00481BDE">
              <w:rPr>
                <w:b/>
                <w:bCs/>
                <w:color w:val="FFFFFF" w:themeColor="background1"/>
              </w:rPr>
              <w:t>2019</w:t>
            </w:r>
          </w:p>
        </w:tc>
      </w:tr>
      <w:tr w:rsidR="00E445F8" w:rsidRPr="00D73845" w:rsidTr="00563C30">
        <w:trPr>
          <w:trHeight w:val="276"/>
        </w:trPr>
        <w:tc>
          <w:tcPr>
            <w:tcW w:w="7905" w:type="dxa"/>
            <w:vMerge/>
            <w:noWrap/>
            <w:hideMark/>
          </w:tcPr>
          <w:p w:rsidR="00E445F8" w:rsidRPr="00D73845" w:rsidRDefault="00E445F8" w:rsidP="00563C30"/>
        </w:tc>
        <w:tc>
          <w:tcPr>
            <w:tcW w:w="1275" w:type="dxa"/>
            <w:noWrap/>
            <w:hideMark/>
          </w:tcPr>
          <w:p w:rsidR="00E445F8" w:rsidRPr="00D73845" w:rsidRDefault="00E445F8" w:rsidP="00563C30">
            <w:r w:rsidRPr="00D73845">
              <w:t>n=560</w:t>
            </w:r>
          </w:p>
        </w:tc>
        <w:tc>
          <w:tcPr>
            <w:tcW w:w="1276" w:type="dxa"/>
            <w:noWrap/>
            <w:hideMark/>
          </w:tcPr>
          <w:p w:rsidR="00E445F8" w:rsidRPr="00D73845" w:rsidRDefault="00E445F8" w:rsidP="00563C30">
            <w:r w:rsidRPr="00D73845">
              <w:t>n=721</w:t>
            </w:r>
          </w:p>
        </w:tc>
        <w:tc>
          <w:tcPr>
            <w:tcW w:w="1276" w:type="dxa"/>
            <w:noWrap/>
            <w:hideMark/>
          </w:tcPr>
          <w:p w:rsidR="00E445F8" w:rsidRPr="00D73845" w:rsidRDefault="00E445F8" w:rsidP="00563C30">
            <w:r w:rsidRPr="00D73845">
              <w:t>n=568</w:t>
            </w:r>
          </w:p>
        </w:tc>
        <w:tc>
          <w:tcPr>
            <w:tcW w:w="992" w:type="dxa"/>
            <w:noWrap/>
            <w:hideMark/>
          </w:tcPr>
          <w:p w:rsidR="00E445F8" w:rsidRPr="00D73845" w:rsidRDefault="00E445F8" w:rsidP="00563C30">
            <w:r w:rsidRPr="00D73845">
              <w:t>n=807</w:t>
            </w:r>
          </w:p>
        </w:tc>
        <w:tc>
          <w:tcPr>
            <w:tcW w:w="1276" w:type="dxa"/>
            <w:noWrap/>
            <w:hideMark/>
          </w:tcPr>
          <w:p w:rsidR="00E445F8" w:rsidRPr="00D73845" w:rsidRDefault="00E445F8" w:rsidP="00563C30">
            <w:r w:rsidRPr="00D73845">
              <w:t>n=370</w:t>
            </w:r>
          </w:p>
        </w:tc>
      </w:tr>
      <w:tr w:rsidR="00E445F8" w:rsidRPr="00D73845" w:rsidTr="00563C30">
        <w:trPr>
          <w:trHeight w:val="276"/>
        </w:trPr>
        <w:tc>
          <w:tcPr>
            <w:tcW w:w="7905" w:type="dxa"/>
            <w:noWrap/>
            <w:hideMark/>
          </w:tcPr>
          <w:p w:rsidR="00E445F8" w:rsidRPr="00D73845" w:rsidRDefault="00E445F8" w:rsidP="00563C30">
            <w:r w:rsidRPr="00D73845">
              <w:t>More than once a week</w:t>
            </w:r>
          </w:p>
        </w:tc>
        <w:tc>
          <w:tcPr>
            <w:tcW w:w="1275" w:type="dxa"/>
            <w:noWrap/>
            <w:hideMark/>
          </w:tcPr>
          <w:p w:rsidR="00E445F8" w:rsidRPr="00D73845" w:rsidRDefault="00E445F8" w:rsidP="00563C30">
            <w:r w:rsidRPr="00D73845">
              <w:t>4%</w:t>
            </w:r>
          </w:p>
        </w:tc>
        <w:tc>
          <w:tcPr>
            <w:tcW w:w="1276" w:type="dxa"/>
            <w:noWrap/>
            <w:hideMark/>
          </w:tcPr>
          <w:p w:rsidR="00E445F8" w:rsidRPr="00D73845" w:rsidRDefault="00E445F8" w:rsidP="00563C30">
            <w:r w:rsidRPr="00D73845">
              <w:t>5%</w:t>
            </w:r>
          </w:p>
        </w:tc>
        <w:tc>
          <w:tcPr>
            <w:tcW w:w="1276" w:type="dxa"/>
            <w:noWrap/>
            <w:hideMark/>
          </w:tcPr>
          <w:p w:rsidR="00E445F8" w:rsidRPr="00D73845" w:rsidRDefault="00E445F8" w:rsidP="00563C30">
            <w:r w:rsidRPr="00D73845">
              <w:t>6%</w:t>
            </w:r>
          </w:p>
        </w:tc>
        <w:tc>
          <w:tcPr>
            <w:tcW w:w="992" w:type="dxa"/>
            <w:noWrap/>
            <w:hideMark/>
          </w:tcPr>
          <w:p w:rsidR="00E445F8" w:rsidRPr="00D73845" w:rsidRDefault="00E445F8" w:rsidP="00563C30">
            <w:r w:rsidRPr="00D73845">
              <w:t>8%</w:t>
            </w:r>
          </w:p>
        </w:tc>
        <w:tc>
          <w:tcPr>
            <w:tcW w:w="1276" w:type="dxa"/>
            <w:noWrap/>
            <w:hideMark/>
          </w:tcPr>
          <w:p w:rsidR="00E445F8" w:rsidRPr="00D73845" w:rsidRDefault="00E445F8" w:rsidP="00563C30">
            <w:r w:rsidRPr="00D73845">
              <w:t>6%</w:t>
            </w:r>
          </w:p>
        </w:tc>
      </w:tr>
      <w:tr w:rsidR="00E445F8" w:rsidRPr="00D73845" w:rsidTr="00563C30">
        <w:trPr>
          <w:trHeight w:val="276"/>
        </w:trPr>
        <w:tc>
          <w:tcPr>
            <w:tcW w:w="7905" w:type="dxa"/>
            <w:noWrap/>
            <w:hideMark/>
          </w:tcPr>
          <w:p w:rsidR="00E445F8" w:rsidRPr="00D73845" w:rsidRDefault="00E445F8" w:rsidP="00563C30">
            <w:r w:rsidRPr="00D73845">
              <w:t>Once a week</w:t>
            </w:r>
          </w:p>
        </w:tc>
        <w:tc>
          <w:tcPr>
            <w:tcW w:w="1275" w:type="dxa"/>
            <w:noWrap/>
            <w:hideMark/>
          </w:tcPr>
          <w:p w:rsidR="00E445F8" w:rsidRPr="00D73845" w:rsidRDefault="00E445F8" w:rsidP="00563C30">
            <w:r w:rsidRPr="00D73845">
              <w:t>15%</w:t>
            </w:r>
          </w:p>
        </w:tc>
        <w:tc>
          <w:tcPr>
            <w:tcW w:w="1276" w:type="dxa"/>
            <w:noWrap/>
            <w:hideMark/>
          </w:tcPr>
          <w:p w:rsidR="00E445F8" w:rsidRPr="00D73845" w:rsidRDefault="00E445F8" w:rsidP="00563C30">
            <w:r w:rsidRPr="00D73845">
              <w:t>15%</w:t>
            </w:r>
          </w:p>
        </w:tc>
        <w:tc>
          <w:tcPr>
            <w:tcW w:w="1276" w:type="dxa"/>
            <w:noWrap/>
            <w:hideMark/>
          </w:tcPr>
          <w:p w:rsidR="00E445F8" w:rsidRPr="00D73845" w:rsidRDefault="00E445F8" w:rsidP="00563C30">
            <w:r w:rsidRPr="00D73845">
              <w:t>14%</w:t>
            </w:r>
          </w:p>
        </w:tc>
        <w:tc>
          <w:tcPr>
            <w:tcW w:w="992" w:type="dxa"/>
            <w:noWrap/>
            <w:hideMark/>
          </w:tcPr>
          <w:p w:rsidR="00E445F8" w:rsidRPr="00D73845" w:rsidRDefault="00E445F8" w:rsidP="00563C30">
            <w:r w:rsidRPr="00D73845">
              <w:t>16%</w:t>
            </w:r>
          </w:p>
        </w:tc>
        <w:tc>
          <w:tcPr>
            <w:tcW w:w="1276" w:type="dxa"/>
            <w:noWrap/>
            <w:hideMark/>
          </w:tcPr>
          <w:p w:rsidR="00E445F8" w:rsidRPr="00D73845" w:rsidRDefault="00E445F8" w:rsidP="00563C30">
            <w:r w:rsidRPr="00D73845">
              <w:t>14%</w:t>
            </w:r>
          </w:p>
        </w:tc>
      </w:tr>
      <w:tr w:rsidR="00E445F8" w:rsidRPr="00D73845" w:rsidTr="00563C30">
        <w:trPr>
          <w:trHeight w:val="276"/>
        </w:trPr>
        <w:tc>
          <w:tcPr>
            <w:tcW w:w="7905" w:type="dxa"/>
            <w:noWrap/>
            <w:hideMark/>
          </w:tcPr>
          <w:p w:rsidR="00E445F8" w:rsidRPr="00D73845" w:rsidRDefault="00E445F8" w:rsidP="00563C30">
            <w:r w:rsidRPr="00D73845">
              <w:t>Once every 2–3 weeks</w:t>
            </w:r>
          </w:p>
        </w:tc>
        <w:tc>
          <w:tcPr>
            <w:tcW w:w="1275" w:type="dxa"/>
            <w:noWrap/>
            <w:hideMark/>
          </w:tcPr>
          <w:p w:rsidR="00E445F8" w:rsidRPr="00D73845" w:rsidRDefault="00E445F8" w:rsidP="00563C30">
            <w:r w:rsidRPr="00D73845">
              <w:t>24%</w:t>
            </w:r>
          </w:p>
        </w:tc>
        <w:tc>
          <w:tcPr>
            <w:tcW w:w="1276" w:type="dxa"/>
            <w:noWrap/>
            <w:hideMark/>
          </w:tcPr>
          <w:p w:rsidR="00E445F8" w:rsidRPr="00D73845" w:rsidRDefault="00E445F8" w:rsidP="00563C30">
            <w:r w:rsidRPr="00D73845">
              <w:t>20%</w:t>
            </w:r>
          </w:p>
        </w:tc>
        <w:tc>
          <w:tcPr>
            <w:tcW w:w="1276" w:type="dxa"/>
            <w:noWrap/>
            <w:hideMark/>
          </w:tcPr>
          <w:p w:rsidR="00E445F8" w:rsidRPr="00D73845" w:rsidRDefault="00E445F8" w:rsidP="00563C30">
            <w:r w:rsidRPr="00D73845">
              <w:t>25%</w:t>
            </w:r>
          </w:p>
        </w:tc>
        <w:tc>
          <w:tcPr>
            <w:tcW w:w="992" w:type="dxa"/>
            <w:noWrap/>
            <w:hideMark/>
          </w:tcPr>
          <w:p w:rsidR="00E445F8" w:rsidRPr="00D73845" w:rsidRDefault="00E445F8" w:rsidP="00563C30">
            <w:r w:rsidRPr="00D73845">
              <w:t>28%</w:t>
            </w:r>
          </w:p>
        </w:tc>
        <w:tc>
          <w:tcPr>
            <w:tcW w:w="1276" w:type="dxa"/>
            <w:noWrap/>
            <w:hideMark/>
          </w:tcPr>
          <w:p w:rsidR="00E445F8" w:rsidRPr="00D73845" w:rsidRDefault="00E445F8" w:rsidP="00563C30">
            <w:r w:rsidRPr="00D73845">
              <w:t>16%</w:t>
            </w:r>
          </w:p>
        </w:tc>
      </w:tr>
      <w:tr w:rsidR="00E445F8" w:rsidRPr="00D73845" w:rsidTr="00563C30">
        <w:trPr>
          <w:trHeight w:val="276"/>
        </w:trPr>
        <w:tc>
          <w:tcPr>
            <w:tcW w:w="7905" w:type="dxa"/>
            <w:noWrap/>
            <w:hideMark/>
          </w:tcPr>
          <w:p w:rsidR="00E445F8" w:rsidRPr="00D73845" w:rsidRDefault="00E445F8" w:rsidP="00563C30">
            <w:r w:rsidRPr="00D73845">
              <w:t>Once a month</w:t>
            </w:r>
          </w:p>
        </w:tc>
        <w:tc>
          <w:tcPr>
            <w:tcW w:w="1275" w:type="dxa"/>
            <w:noWrap/>
            <w:hideMark/>
          </w:tcPr>
          <w:p w:rsidR="00E445F8" w:rsidRPr="00D73845" w:rsidRDefault="00E445F8" w:rsidP="00563C30">
            <w:r w:rsidRPr="00D73845">
              <w:t>19%</w:t>
            </w:r>
          </w:p>
        </w:tc>
        <w:tc>
          <w:tcPr>
            <w:tcW w:w="1276" w:type="dxa"/>
            <w:noWrap/>
            <w:hideMark/>
          </w:tcPr>
          <w:p w:rsidR="00E445F8" w:rsidRPr="00D73845" w:rsidRDefault="00E445F8" w:rsidP="00563C30">
            <w:r w:rsidRPr="00D73845">
              <w:t>20%</w:t>
            </w:r>
          </w:p>
        </w:tc>
        <w:tc>
          <w:tcPr>
            <w:tcW w:w="1276" w:type="dxa"/>
            <w:noWrap/>
            <w:hideMark/>
          </w:tcPr>
          <w:p w:rsidR="00E445F8" w:rsidRPr="00D73845" w:rsidRDefault="00E445F8" w:rsidP="00563C30">
            <w:r w:rsidRPr="00D73845">
              <w:t>20%</w:t>
            </w:r>
          </w:p>
        </w:tc>
        <w:tc>
          <w:tcPr>
            <w:tcW w:w="992" w:type="dxa"/>
            <w:noWrap/>
            <w:hideMark/>
          </w:tcPr>
          <w:p w:rsidR="00E445F8" w:rsidRPr="00D73845" w:rsidRDefault="00E445F8" w:rsidP="00563C30">
            <w:r w:rsidRPr="00D73845">
              <w:t>19%</w:t>
            </w:r>
          </w:p>
        </w:tc>
        <w:tc>
          <w:tcPr>
            <w:tcW w:w="1276" w:type="dxa"/>
            <w:noWrap/>
            <w:hideMark/>
          </w:tcPr>
          <w:p w:rsidR="00E445F8" w:rsidRPr="00D73845" w:rsidRDefault="00E445F8" w:rsidP="00563C30">
            <w:r w:rsidRPr="00D73845">
              <w:t>16%</w:t>
            </w:r>
          </w:p>
        </w:tc>
      </w:tr>
      <w:tr w:rsidR="00E445F8" w:rsidRPr="00D73845" w:rsidTr="00563C30">
        <w:trPr>
          <w:trHeight w:val="276"/>
        </w:trPr>
        <w:tc>
          <w:tcPr>
            <w:tcW w:w="7905" w:type="dxa"/>
            <w:noWrap/>
            <w:hideMark/>
          </w:tcPr>
          <w:p w:rsidR="00E445F8" w:rsidRPr="00D73845" w:rsidRDefault="00E445F8" w:rsidP="00563C30">
            <w:r w:rsidRPr="00D73845">
              <w:t>Once every 2–3 months</w:t>
            </w:r>
          </w:p>
        </w:tc>
        <w:tc>
          <w:tcPr>
            <w:tcW w:w="1275" w:type="dxa"/>
            <w:noWrap/>
            <w:hideMark/>
          </w:tcPr>
          <w:p w:rsidR="00E445F8" w:rsidRPr="00D73845" w:rsidRDefault="00E445F8" w:rsidP="00563C30">
            <w:r w:rsidRPr="00D73845">
              <w:t>21%</w:t>
            </w:r>
          </w:p>
        </w:tc>
        <w:tc>
          <w:tcPr>
            <w:tcW w:w="1276" w:type="dxa"/>
            <w:noWrap/>
            <w:hideMark/>
          </w:tcPr>
          <w:p w:rsidR="00E445F8" w:rsidRPr="00D73845" w:rsidRDefault="00E445F8" w:rsidP="00563C30">
            <w:r w:rsidRPr="00D73845">
              <w:t>19%</w:t>
            </w:r>
          </w:p>
        </w:tc>
        <w:tc>
          <w:tcPr>
            <w:tcW w:w="1276" w:type="dxa"/>
            <w:noWrap/>
            <w:hideMark/>
          </w:tcPr>
          <w:p w:rsidR="00E445F8" w:rsidRPr="00D73845" w:rsidRDefault="00E445F8" w:rsidP="00563C30">
            <w:r w:rsidRPr="00D73845">
              <w:t>19%</w:t>
            </w:r>
          </w:p>
        </w:tc>
        <w:tc>
          <w:tcPr>
            <w:tcW w:w="992" w:type="dxa"/>
            <w:noWrap/>
            <w:hideMark/>
          </w:tcPr>
          <w:p w:rsidR="00E445F8" w:rsidRPr="00D73845" w:rsidRDefault="00E445F8" w:rsidP="00563C30">
            <w:r w:rsidRPr="00D73845">
              <w:t>16%</w:t>
            </w:r>
          </w:p>
        </w:tc>
        <w:tc>
          <w:tcPr>
            <w:tcW w:w="1276" w:type="dxa"/>
            <w:noWrap/>
            <w:hideMark/>
          </w:tcPr>
          <w:p w:rsidR="00E445F8" w:rsidRPr="00D73845" w:rsidRDefault="00E445F8" w:rsidP="00563C30">
            <w:r w:rsidRPr="00D73845">
              <w:t>27%</w:t>
            </w:r>
          </w:p>
        </w:tc>
      </w:tr>
      <w:tr w:rsidR="00E445F8" w:rsidRPr="00D73845" w:rsidTr="00563C30">
        <w:trPr>
          <w:trHeight w:val="276"/>
        </w:trPr>
        <w:tc>
          <w:tcPr>
            <w:tcW w:w="7905" w:type="dxa"/>
            <w:noWrap/>
            <w:hideMark/>
          </w:tcPr>
          <w:p w:rsidR="00E445F8" w:rsidRPr="00D73845" w:rsidRDefault="00E445F8" w:rsidP="00563C30">
            <w:r w:rsidRPr="00D73845">
              <w:t>Once every 4–6 months</w:t>
            </w:r>
          </w:p>
        </w:tc>
        <w:tc>
          <w:tcPr>
            <w:tcW w:w="1275" w:type="dxa"/>
            <w:noWrap/>
            <w:hideMark/>
          </w:tcPr>
          <w:p w:rsidR="00E445F8" w:rsidRPr="00D73845" w:rsidRDefault="00E445F8" w:rsidP="00563C30">
            <w:r w:rsidRPr="00D73845">
              <w:t>7%</w:t>
            </w:r>
          </w:p>
        </w:tc>
        <w:tc>
          <w:tcPr>
            <w:tcW w:w="1276" w:type="dxa"/>
            <w:noWrap/>
            <w:hideMark/>
          </w:tcPr>
          <w:p w:rsidR="00E445F8" w:rsidRPr="00D73845" w:rsidRDefault="00E445F8" w:rsidP="00563C30">
            <w:r w:rsidRPr="00D73845">
              <w:t>12%</w:t>
            </w:r>
          </w:p>
        </w:tc>
        <w:tc>
          <w:tcPr>
            <w:tcW w:w="1276" w:type="dxa"/>
            <w:noWrap/>
            <w:hideMark/>
          </w:tcPr>
          <w:p w:rsidR="00E445F8" w:rsidRPr="00D73845" w:rsidRDefault="00E445F8" w:rsidP="00563C30">
            <w:r w:rsidRPr="00D73845">
              <w:t>8%</w:t>
            </w:r>
          </w:p>
        </w:tc>
        <w:tc>
          <w:tcPr>
            <w:tcW w:w="992" w:type="dxa"/>
            <w:noWrap/>
            <w:hideMark/>
          </w:tcPr>
          <w:p w:rsidR="00E445F8" w:rsidRPr="00D73845" w:rsidRDefault="00E445F8" w:rsidP="00563C30">
            <w:r w:rsidRPr="00D73845">
              <w:t>7%</w:t>
            </w:r>
          </w:p>
        </w:tc>
        <w:tc>
          <w:tcPr>
            <w:tcW w:w="1276" w:type="dxa"/>
            <w:noWrap/>
            <w:hideMark/>
          </w:tcPr>
          <w:p w:rsidR="00E445F8" w:rsidRPr="00D73845" w:rsidRDefault="00E445F8" w:rsidP="00563C30">
            <w:r w:rsidRPr="00D73845">
              <w:t>11%</w:t>
            </w:r>
          </w:p>
        </w:tc>
      </w:tr>
      <w:tr w:rsidR="00E445F8" w:rsidRPr="00D73845" w:rsidTr="00563C30">
        <w:trPr>
          <w:trHeight w:val="276"/>
        </w:trPr>
        <w:tc>
          <w:tcPr>
            <w:tcW w:w="7905" w:type="dxa"/>
            <w:noWrap/>
            <w:hideMark/>
          </w:tcPr>
          <w:p w:rsidR="00E445F8" w:rsidRPr="00D73845" w:rsidRDefault="00E445F8" w:rsidP="00563C30">
            <w:r w:rsidRPr="00D73845">
              <w:t>Less often than once every 6 months</w:t>
            </w:r>
          </w:p>
        </w:tc>
        <w:tc>
          <w:tcPr>
            <w:tcW w:w="1275" w:type="dxa"/>
            <w:noWrap/>
            <w:hideMark/>
          </w:tcPr>
          <w:p w:rsidR="00E445F8" w:rsidRPr="00D73845" w:rsidRDefault="00E445F8" w:rsidP="00563C30">
            <w:r w:rsidRPr="00D73845">
              <w:t>8%</w:t>
            </w:r>
          </w:p>
        </w:tc>
        <w:tc>
          <w:tcPr>
            <w:tcW w:w="1276" w:type="dxa"/>
            <w:noWrap/>
            <w:hideMark/>
          </w:tcPr>
          <w:p w:rsidR="00E445F8" w:rsidRPr="00D73845" w:rsidRDefault="00E445F8" w:rsidP="00563C30">
            <w:r w:rsidRPr="00D73845">
              <w:t>9%</w:t>
            </w:r>
          </w:p>
        </w:tc>
        <w:tc>
          <w:tcPr>
            <w:tcW w:w="1276" w:type="dxa"/>
            <w:noWrap/>
            <w:hideMark/>
          </w:tcPr>
          <w:p w:rsidR="00E445F8" w:rsidRPr="00D73845" w:rsidRDefault="00E445F8" w:rsidP="00563C30">
            <w:r w:rsidRPr="00D73845">
              <w:t>8%</w:t>
            </w:r>
          </w:p>
        </w:tc>
        <w:tc>
          <w:tcPr>
            <w:tcW w:w="992" w:type="dxa"/>
            <w:noWrap/>
            <w:hideMark/>
          </w:tcPr>
          <w:p w:rsidR="00E445F8" w:rsidRPr="00D73845" w:rsidRDefault="00E445F8" w:rsidP="00563C30">
            <w:r w:rsidRPr="00D73845">
              <w:t>6%</w:t>
            </w:r>
          </w:p>
        </w:tc>
        <w:tc>
          <w:tcPr>
            <w:tcW w:w="1276" w:type="dxa"/>
            <w:noWrap/>
            <w:hideMark/>
          </w:tcPr>
          <w:p w:rsidR="00E445F8" w:rsidRPr="00D73845" w:rsidRDefault="00E445F8" w:rsidP="00563C30">
            <w:r w:rsidRPr="00D73845">
              <w:t>10%</w:t>
            </w:r>
          </w:p>
        </w:tc>
      </w:tr>
      <w:tr w:rsidR="00E445F8" w:rsidRPr="00D73845" w:rsidTr="00563C30">
        <w:trPr>
          <w:trHeight w:val="276"/>
        </w:trPr>
        <w:tc>
          <w:tcPr>
            <w:tcW w:w="7905" w:type="dxa"/>
            <w:noWrap/>
            <w:hideMark/>
          </w:tcPr>
          <w:p w:rsidR="00E445F8" w:rsidRPr="00D73845" w:rsidRDefault="00E445F8" w:rsidP="00563C30">
            <w:r w:rsidRPr="00D73845">
              <w:t>Don’t know</w:t>
            </w:r>
          </w:p>
        </w:tc>
        <w:tc>
          <w:tcPr>
            <w:tcW w:w="1275" w:type="dxa"/>
            <w:noWrap/>
            <w:hideMark/>
          </w:tcPr>
          <w:p w:rsidR="00E445F8" w:rsidRPr="00D73845" w:rsidRDefault="00E445F8" w:rsidP="00563C30">
            <w:r w:rsidRPr="00D73845">
              <w:t>1%</w:t>
            </w:r>
          </w:p>
        </w:tc>
        <w:tc>
          <w:tcPr>
            <w:tcW w:w="1276" w:type="dxa"/>
            <w:noWrap/>
            <w:hideMark/>
          </w:tcPr>
          <w:p w:rsidR="00E445F8" w:rsidRPr="00D73845" w:rsidRDefault="00E445F8" w:rsidP="00563C30">
            <w:r w:rsidRPr="00D73845">
              <w:t>1%</w:t>
            </w:r>
          </w:p>
        </w:tc>
        <w:tc>
          <w:tcPr>
            <w:tcW w:w="1276" w:type="dxa"/>
            <w:noWrap/>
            <w:hideMark/>
          </w:tcPr>
          <w:p w:rsidR="00E445F8" w:rsidRPr="00D73845" w:rsidRDefault="00E445F8" w:rsidP="00563C30">
            <w:r w:rsidRPr="00D73845">
              <w:t>0%</w:t>
            </w:r>
          </w:p>
        </w:tc>
        <w:tc>
          <w:tcPr>
            <w:tcW w:w="992" w:type="dxa"/>
            <w:noWrap/>
            <w:hideMark/>
          </w:tcPr>
          <w:p w:rsidR="00E445F8" w:rsidRPr="00D73845" w:rsidRDefault="00E445F8" w:rsidP="00563C30">
            <w:r w:rsidRPr="00D73845">
              <w:t>0.7%</w:t>
            </w:r>
          </w:p>
        </w:tc>
        <w:tc>
          <w:tcPr>
            <w:tcW w:w="1276" w:type="dxa"/>
            <w:noWrap/>
            <w:hideMark/>
          </w:tcPr>
          <w:p w:rsidR="00E445F8" w:rsidRPr="00D73845" w:rsidRDefault="00E445F8" w:rsidP="00563C30">
            <w:r w:rsidRPr="00D73845">
              <w:t>0.80%</w:t>
            </w:r>
          </w:p>
        </w:tc>
      </w:tr>
      <w:tr w:rsidR="00E445F8" w:rsidRPr="00D73845" w:rsidTr="00563C30">
        <w:trPr>
          <w:trHeight w:val="276"/>
        </w:trPr>
        <w:tc>
          <w:tcPr>
            <w:tcW w:w="7905" w:type="dxa"/>
            <w:noWrap/>
            <w:hideMark/>
          </w:tcPr>
          <w:p w:rsidR="00E445F8" w:rsidRPr="00D73845" w:rsidRDefault="00E445F8" w:rsidP="00563C30">
            <w:r w:rsidRPr="00D73845">
              <w:t>Subtotal more than once a month</w:t>
            </w:r>
          </w:p>
        </w:tc>
        <w:tc>
          <w:tcPr>
            <w:tcW w:w="1275" w:type="dxa"/>
            <w:noWrap/>
            <w:hideMark/>
          </w:tcPr>
          <w:p w:rsidR="00E445F8" w:rsidRPr="00D73845" w:rsidRDefault="00E445F8" w:rsidP="00563C30">
            <w:r w:rsidRPr="00D73845">
              <w:t>62%</w:t>
            </w:r>
          </w:p>
        </w:tc>
        <w:tc>
          <w:tcPr>
            <w:tcW w:w="1276" w:type="dxa"/>
            <w:noWrap/>
            <w:hideMark/>
          </w:tcPr>
          <w:p w:rsidR="00E445F8" w:rsidRPr="00D73845" w:rsidRDefault="00E445F8" w:rsidP="00563C30">
            <w:r w:rsidRPr="00D73845">
              <w:t>60%</w:t>
            </w:r>
          </w:p>
        </w:tc>
        <w:tc>
          <w:tcPr>
            <w:tcW w:w="1276" w:type="dxa"/>
            <w:noWrap/>
            <w:hideMark/>
          </w:tcPr>
          <w:p w:rsidR="00E445F8" w:rsidRPr="00D73845" w:rsidRDefault="00E445F8" w:rsidP="00563C30">
            <w:r w:rsidRPr="00D73845">
              <w:t>65%</w:t>
            </w:r>
          </w:p>
        </w:tc>
        <w:tc>
          <w:tcPr>
            <w:tcW w:w="992" w:type="dxa"/>
            <w:noWrap/>
            <w:hideMark/>
          </w:tcPr>
          <w:p w:rsidR="00E445F8" w:rsidRPr="00D73845" w:rsidRDefault="00E445F8" w:rsidP="00563C30">
            <w:r w:rsidRPr="00D73845">
              <w:t>71%</w:t>
            </w:r>
          </w:p>
        </w:tc>
        <w:tc>
          <w:tcPr>
            <w:tcW w:w="1276" w:type="dxa"/>
            <w:noWrap/>
            <w:hideMark/>
          </w:tcPr>
          <w:p w:rsidR="00E445F8" w:rsidRPr="00D73845" w:rsidRDefault="00E445F8" w:rsidP="00563C30">
            <w:r w:rsidRPr="00D73845">
              <w:t>52%</w:t>
            </w:r>
          </w:p>
        </w:tc>
      </w:tr>
      <w:tr w:rsidR="00E445F8" w:rsidRPr="00D73845" w:rsidTr="00563C30">
        <w:trPr>
          <w:trHeight w:val="276"/>
        </w:trPr>
        <w:tc>
          <w:tcPr>
            <w:tcW w:w="14000" w:type="dxa"/>
            <w:gridSpan w:val="6"/>
            <w:noWrap/>
            <w:hideMark/>
          </w:tcPr>
          <w:p w:rsidR="00E445F8" w:rsidRPr="005D00DE" w:rsidRDefault="00E445F8" w:rsidP="00692960">
            <w:pPr>
              <w:rPr>
                <w:i/>
              </w:rPr>
            </w:pPr>
            <w:r w:rsidRPr="005D00DE">
              <w:rPr>
                <w:i/>
              </w:rPr>
              <w:t xml:space="preserve">Source: Wellington City Council </w:t>
            </w:r>
            <w:r w:rsidR="00692960">
              <w:rPr>
                <w:i/>
              </w:rPr>
              <w:t>RMS</w:t>
            </w:r>
          </w:p>
        </w:tc>
      </w:tr>
    </w:tbl>
    <w:p w:rsidR="00E445F8" w:rsidRPr="00E445F8" w:rsidRDefault="00E445F8" w:rsidP="00E445F8"/>
    <w:p w:rsidR="00E445F8" w:rsidRDefault="00E445F8" w:rsidP="00E445F8"/>
    <w:p w:rsidR="00E445F8" w:rsidRPr="00E445F8" w:rsidRDefault="00E445F8" w:rsidP="00E445F8">
      <w:pPr>
        <w:sectPr w:rsidR="00E445F8" w:rsidRPr="00E445F8" w:rsidSect="00066652">
          <w:pgSz w:w="16838" w:h="11906" w:orient="landscape"/>
          <w:pgMar w:top="1134" w:right="1559" w:bottom="851" w:left="1440" w:header="709" w:footer="709" w:gutter="0"/>
          <w:cols w:space="708"/>
          <w:docGrid w:linePitch="360"/>
        </w:sectPr>
      </w:pPr>
    </w:p>
    <w:p w:rsidR="00066652" w:rsidRPr="00687686" w:rsidRDefault="00066652" w:rsidP="00AA2122">
      <w:pPr>
        <w:pStyle w:val="Heading3"/>
        <w:rPr>
          <w:color w:val="009999"/>
        </w:rPr>
      </w:pPr>
      <w:bookmarkStart w:id="255" w:name="_Toc19085848"/>
      <w:bookmarkEnd w:id="254"/>
      <w:r w:rsidRPr="00687686">
        <w:rPr>
          <w:rStyle w:val="00Text"/>
          <w:b/>
          <w:bCs/>
          <w:color w:val="009999"/>
        </w:rPr>
        <w:lastRenderedPageBreak/>
        <w:t>Opening a new library in 10 weeks</w:t>
      </w:r>
      <w:bookmarkEnd w:id="255"/>
    </w:p>
    <w:p w:rsidR="00066652" w:rsidRPr="00D5126A" w:rsidRDefault="00066652" w:rsidP="00066652">
      <w:pPr>
        <w:rPr>
          <w:rFonts w:ascii="Arial" w:hAnsi="Arial" w:cs="Arial"/>
        </w:rPr>
      </w:pPr>
      <w:bookmarkStart w:id="256" w:name="6__Taone_tupu_ora_Urban_developmentThis_"/>
      <w:bookmarkStart w:id="257" w:name="6__Taone_tupu_ora_Urban_development"/>
      <w:bookmarkEnd w:id="256"/>
      <w:bookmarkEnd w:id="257"/>
      <w:r w:rsidRPr="00D5126A">
        <w:rPr>
          <w:rFonts w:ascii="Arial" w:hAnsi="Arial" w:cs="Arial"/>
        </w:rPr>
        <w:t xml:space="preserve">On 18 March 2019, the Council received an </w:t>
      </w:r>
      <w:r w:rsidR="00692960" w:rsidRPr="00D5126A">
        <w:rPr>
          <w:rFonts w:ascii="Arial" w:hAnsi="Arial" w:cs="Arial"/>
        </w:rPr>
        <w:t>engineer</w:t>
      </w:r>
      <w:r w:rsidR="00692960">
        <w:rPr>
          <w:rFonts w:ascii="Arial" w:hAnsi="Arial" w:cs="Arial"/>
        </w:rPr>
        <w:t>’s</w:t>
      </w:r>
      <w:r w:rsidR="00692960" w:rsidRPr="00D5126A">
        <w:rPr>
          <w:rFonts w:ascii="Arial" w:hAnsi="Arial" w:cs="Arial"/>
        </w:rPr>
        <w:t xml:space="preserve"> </w:t>
      </w:r>
      <w:r w:rsidRPr="00D5126A">
        <w:rPr>
          <w:rFonts w:ascii="Arial" w:hAnsi="Arial" w:cs="Arial"/>
        </w:rPr>
        <w:t>report which revealed that the Central Library building had structural vulnerabilities</w:t>
      </w:r>
      <w:r w:rsidR="00692960">
        <w:rPr>
          <w:rFonts w:ascii="Arial" w:hAnsi="Arial" w:cs="Arial"/>
        </w:rPr>
        <w:t>,</w:t>
      </w:r>
      <w:r w:rsidRPr="00D5126A">
        <w:rPr>
          <w:rFonts w:ascii="Arial" w:hAnsi="Arial" w:cs="Arial"/>
        </w:rPr>
        <w:t xml:space="preserve"> meaning it might not perform well in a significant earthquake.  </w:t>
      </w:r>
    </w:p>
    <w:p w:rsidR="00066652" w:rsidRPr="00D5126A" w:rsidRDefault="00066652" w:rsidP="00066652">
      <w:pPr>
        <w:rPr>
          <w:rFonts w:ascii="Arial" w:hAnsi="Arial" w:cs="Arial"/>
        </w:rPr>
      </w:pPr>
      <w:r w:rsidRPr="00D5126A">
        <w:rPr>
          <w:rFonts w:ascii="Arial" w:hAnsi="Arial" w:cs="Arial"/>
        </w:rPr>
        <w:t xml:space="preserve">After the 2016 Kaikoura earthquake, the Ministry of Business, Innovation and </w:t>
      </w:r>
      <w:proofErr w:type="gramStart"/>
      <w:r w:rsidRPr="00D5126A">
        <w:rPr>
          <w:rFonts w:ascii="Arial" w:hAnsi="Arial" w:cs="Arial"/>
        </w:rPr>
        <w:t>Employment  commissioned</w:t>
      </w:r>
      <w:proofErr w:type="gramEnd"/>
      <w:r w:rsidRPr="00D5126A">
        <w:rPr>
          <w:rFonts w:ascii="Arial" w:hAnsi="Arial" w:cs="Arial"/>
        </w:rPr>
        <w:t xml:space="preserve"> guidelines on how to assess pre-cast concrete flooring systems, like </w:t>
      </w:r>
      <w:r w:rsidR="00692960">
        <w:rPr>
          <w:rFonts w:ascii="Arial" w:hAnsi="Arial" w:cs="Arial"/>
        </w:rPr>
        <w:t>those</w:t>
      </w:r>
      <w:r w:rsidRPr="00D5126A">
        <w:rPr>
          <w:rFonts w:ascii="Arial" w:hAnsi="Arial" w:cs="Arial"/>
        </w:rPr>
        <w:t xml:space="preserve"> in the Central Library building. The guidelines were published in November 2018, and we commissioned a new engineering assessment of the library against </w:t>
      </w:r>
      <w:r w:rsidR="00692960">
        <w:rPr>
          <w:rFonts w:ascii="Arial" w:hAnsi="Arial" w:cs="Arial"/>
        </w:rPr>
        <w:t>these</w:t>
      </w:r>
      <w:r w:rsidRPr="00D5126A">
        <w:rPr>
          <w:rFonts w:ascii="Arial" w:hAnsi="Arial" w:cs="Arial"/>
        </w:rPr>
        <w:t>.</w:t>
      </w:r>
    </w:p>
    <w:p w:rsidR="00066652" w:rsidRPr="00D5126A" w:rsidRDefault="00066652" w:rsidP="00066652">
      <w:pPr>
        <w:rPr>
          <w:rFonts w:ascii="Arial" w:hAnsi="Arial" w:cs="Arial"/>
        </w:rPr>
      </w:pPr>
      <w:r w:rsidRPr="00D5126A">
        <w:rPr>
          <w:rFonts w:ascii="Arial" w:hAnsi="Arial" w:cs="Arial"/>
        </w:rPr>
        <w:t>The March report stated the building was not damaged, but the issues identified against the new guidelines meant Council made the decision to close the library.</w:t>
      </w:r>
    </w:p>
    <w:p w:rsidR="00066652" w:rsidRPr="00D5126A" w:rsidRDefault="00066652" w:rsidP="00066652">
      <w:pPr>
        <w:rPr>
          <w:rFonts w:ascii="Arial" w:hAnsi="Arial" w:cs="Arial"/>
        </w:rPr>
      </w:pPr>
      <w:r w:rsidRPr="00D5126A">
        <w:rPr>
          <w:rFonts w:ascii="Arial" w:hAnsi="Arial" w:cs="Arial"/>
        </w:rPr>
        <w:t>“It is one of the city’s busiest buildings with more than 3000 people visiting each day to read, issue items, study, meet friends or have food at the cafe. The safety of our library customers and staff was the most important consideration in our decision,” Libraries and Community Spaces Manager Laurinda Thomas says.</w:t>
      </w:r>
    </w:p>
    <w:p w:rsidR="00066652" w:rsidRPr="00D5126A" w:rsidRDefault="00066652" w:rsidP="00066652">
      <w:pPr>
        <w:rPr>
          <w:rFonts w:ascii="Arial" w:hAnsi="Arial" w:cs="Arial"/>
        </w:rPr>
      </w:pPr>
      <w:r w:rsidRPr="00D5126A">
        <w:rPr>
          <w:rFonts w:ascii="Arial" w:hAnsi="Arial" w:cs="Arial"/>
        </w:rPr>
        <w:t>However, quick thinking and collaboration has meant that only 10 weeks later, on 28 May, Mayor Justin Lester opened the Arapaki Manners Library and Service Centre - a new space for our service centre customers and the first in our network of replacement library services in the central city.</w:t>
      </w:r>
    </w:p>
    <w:p w:rsidR="00066652" w:rsidRPr="00D5126A" w:rsidRDefault="00066652" w:rsidP="00066652">
      <w:pPr>
        <w:rPr>
          <w:rFonts w:ascii="Arial" w:hAnsi="Arial" w:cs="Arial"/>
        </w:rPr>
      </w:pPr>
      <w:r w:rsidRPr="00D5126A">
        <w:rPr>
          <w:rFonts w:ascii="Arial" w:hAnsi="Arial" w:cs="Arial"/>
        </w:rPr>
        <w:t xml:space="preserve">At Arapaki, Wellingtonians can access library and Council services such as browsing and borrowing items, reading papers and magazines, paying rates or registering a dog. </w:t>
      </w:r>
    </w:p>
    <w:p w:rsidR="00066652" w:rsidRPr="00687686" w:rsidRDefault="00066652" w:rsidP="00846C1B">
      <w:pPr>
        <w:pStyle w:val="Heading4"/>
        <w:rPr>
          <w:color w:val="009999"/>
        </w:rPr>
      </w:pPr>
      <w:r w:rsidRPr="00687686">
        <w:rPr>
          <w:color w:val="009999"/>
        </w:rPr>
        <w:t>Service Centre with a difference</w:t>
      </w:r>
    </w:p>
    <w:p w:rsidR="00066652" w:rsidRPr="00D5126A" w:rsidRDefault="00066652" w:rsidP="00066652">
      <w:pPr>
        <w:rPr>
          <w:rFonts w:ascii="Arial" w:hAnsi="Arial" w:cs="Arial"/>
        </w:rPr>
      </w:pPr>
      <w:r w:rsidRPr="00D5126A">
        <w:rPr>
          <w:rFonts w:ascii="Arial" w:hAnsi="Arial" w:cs="Arial"/>
        </w:rPr>
        <w:t>Originally Arapaki was the new location for the Council’s Service Centre, with a new concierge style of customer service with self-service computers, free wifi, video conferencing booths, an automated cash machine and digital screens.</w:t>
      </w:r>
    </w:p>
    <w:p w:rsidR="00066652" w:rsidRPr="00D5126A" w:rsidRDefault="00066652" w:rsidP="00066652">
      <w:pPr>
        <w:rPr>
          <w:rFonts w:ascii="Arial" w:hAnsi="Arial" w:cs="Arial"/>
        </w:rPr>
      </w:pPr>
      <w:r w:rsidRPr="00D5126A">
        <w:rPr>
          <w:rFonts w:ascii="Arial" w:hAnsi="Arial" w:cs="Arial"/>
        </w:rPr>
        <w:t xml:space="preserve">“The plan was for the Service Centre to be co-located with the Contact Centre, but when the Central Library closed those plans had to quickly change to include a pop-up library service,” says Customer Services Manager Carol Wahrlich. </w:t>
      </w:r>
    </w:p>
    <w:p w:rsidR="00066652" w:rsidRPr="00D5126A" w:rsidRDefault="00066652" w:rsidP="00066652">
      <w:pPr>
        <w:rPr>
          <w:rFonts w:ascii="Arial" w:hAnsi="Arial" w:cs="Arial"/>
        </w:rPr>
      </w:pPr>
      <w:r w:rsidRPr="00D5126A">
        <w:rPr>
          <w:rFonts w:ascii="Arial" w:hAnsi="Arial" w:cs="Arial"/>
        </w:rPr>
        <w:t xml:space="preserve">One of the aspirations for the new Service Centre space was to create a warm, welcoming and technologically advanced place that would add value to the customer experience. </w:t>
      </w:r>
    </w:p>
    <w:p w:rsidR="00066652" w:rsidRPr="00D5126A" w:rsidRDefault="00066652" w:rsidP="00066652">
      <w:pPr>
        <w:rPr>
          <w:rFonts w:ascii="Arial" w:hAnsi="Arial" w:cs="Arial"/>
        </w:rPr>
      </w:pPr>
      <w:r w:rsidRPr="00D5126A">
        <w:rPr>
          <w:rFonts w:ascii="Arial" w:hAnsi="Arial" w:cs="Arial"/>
        </w:rPr>
        <w:t xml:space="preserve">Using a design thinking approach, the space was laid out on empty office floor space using masking tape, cardboard boxes, old coat racks, furniture and reams of photocopy paper. Laying out the </w:t>
      </w:r>
      <w:r w:rsidR="00692960">
        <w:rPr>
          <w:rFonts w:ascii="Arial" w:hAnsi="Arial" w:cs="Arial"/>
        </w:rPr>
        <w:t>”</w:t>
      </w:r>
      <w:r w:rsidRPr="00D5126A">
        <w:rPr>
          <w:rFonts w:ascii="Arial" w:hAnsi="Arial" w:cs="Arial"/>
        </w:rPr>
        <w:t>mock-</w:t>
      </w:r>
      <w:r w:rsidR="00692960" w:rsidRPr="00D5126A">
        <w:rPr>
          <w:rFonts w:ascii="Arial" w:hAnsi="Arial" w:cs="Arial"/>
        </w:rPr>
        <w:t>up</w:t>
      </w:r>
      <w:r w:rsidR="00692960">
        <w:rPr>
          <w:rFonts w:ascii="Arial" w:hAnsi="Arial" w:cs="Arial"/>
        </w:rPr>
        <w:t>”</w:t>
      </w:r>
      <w:r w:rsidR="00692960" w:rsidRPr="00D5126A">
        <w:rPr>
          <w:rFonts w:ascii="Arial" w:hAnsi="Arial" w:cs="Arial"/>
        </w:rPr>
        <w:t xml:space="preserve"> </w:t>
      </w:r>
      <w:r w:rsidRPr="00D5126A">
        <w:rPr>
          <w:rFonts w:ascii="Arial" w:hAnsi="Arial" w:cs="Arial"/>
        </w:rPr>
        <w:t xml:space="preserve">space enabled the Service Centre team to role-play their daily work and figure out worked well and what didn’t. Modular furniture was selected so the team is able to continuously experiment and improve the layout. </w:t>
      </w:r>
    </w:p>
    <w:p w:rsidR="00066652" w:rsidRPr="00D5126A" w:rsidRDefault="00066652" w:rsidP="00066652">
      <w:pPr>
        <w:rPr>
          <w:rFonts w:ascii="Arial" w:hAnsi="Arial" w:cs="Arial"/>
        </w:rPr>
      </w:pPr>
      <w:r w:rsidRPr="00D5126A">
        <w:rPr>
          <w:rFonts w:ascii="Arial" w:hAnsi="Arial" w:cs="Arial"/>
        </w:rPr>
        <w:t xml:space="preserve">Feedback from the Accessibility Advisory Group was also considered in the design and placement of furniture to ensure we had suitable </w:t>
      </w:r>
      <w:r w:rsidR="00692960" w:rsidRPr="00D5126A">
        <w:rPr>
          <w:rFonts w:ascii="Arial" w:hAnsi="Arial" w:cs="Arial"/>
        </w:rPr>
        <w:t>break</w:t>
      </w:r>
      <w:r w:rsidR="00692960">
        <w:rPr>
          <w:rFonts w:ascii="Arial" w:hAnsi="Arial" w:cs="Arial"/>
        </w:rPr>
        <w:t>-</w:t>
      </w:r>
      <w:r w:rsidRPr="00D5126A">
        <w:rPr>
          <w:rFonts w:ascii="Arial" w:hAnsi="Arial" w:cs="Arial"/>
        </w:rPr>
        <w:t xml:space="preserve">out spaces for customers with accessibility requirements. Their feedback also helped to select colour combinations that are best for those with a visual impairment. </w:t>
      </w:r>
    </w:p>
    <w:p w:rsidR="00066652" w:rsidRPr="00D5126A" w:rsidRDefault="00066652" w:rsidP="00066652">
      <w:pPr>
        <w:rPr>
          <w:rFonts w:ascii="Arial" w:hAnsi="Arial" w:cs="Arial"/>
        </w:rPr>
      </w:pPr>
      <w:r w:rsidRPr="00D5126A">
        <w:rPr>
          <w:rFonts w:ascii="Arial" w:hAnsi="Arial" w:cs="Arial"/>
        </w:rPr>
        <w:lastRenderedPageBreak/>
        <w:t>After four iterations, the team settled on a design that allowed for a concierge service model where customers are met as they enter, and either assisted on the spot or directed to the area where they can be helped further.  A people-counter lets the team know number of people visiting the Service Centre versus the library and overall number of people in the building at any one time.</w:t>
      </w:r>
    </w:p>
    <w:p w:rsidR="00066652" w:rsidRPr="00687686" w:rsidRDefault="00066652" w:rsidP="00846C1B">
      <w:pPr>
        <w:pStyle w:val="Heading4"/>
        <w:rPr>
          <w:color w:val="009999"/>
        </w:rPr>
      </w:pPr>
      <w:r w:rsidRPr="00687686">
        <w:rPr>
          <w:color w:val="009999"/>
        </w:rPr>
        <w:t>Incorporating a library</w:t>
      </w:r>
    </w:p>
    <w:p w:rsidR="00066652" w:rsidRPr="00D5126A" w:rsidRDefault="00066652" w:rsidP="00066652">
      <w:pPr>
        <w:rPr>
          <w:rFonts w:ascii="Arial" w:hAnsi="Arial" w:cs="Arial"/>
        </w:rPr>
      </w:pPr>
      <w:r w:rsidRPr="00D5126A">
        <w:rPr>
          <w:rFonts w:ascii="Arial" w:hAnsi="Arial" w:cs="Arial"/>
        </w:rPr>
        <w:t xml:space="preserve">When the Central Library closure was announced most of the building work at Arapaki was already completed. This meant an important part of the collaboration between the </w:t>
      </w:r>
      <w:r w:rsidR="00692960">
        <w:rPr>
          <w:rFonts w:ascii="Arial" w:hAnsi="Arial" w:cs="Arial"/>
        </w:rPr>
        <w:t>l</w:t>
      </w:r>
      <w:r w:rsidR="00692960" w:rsidRPr="00D5126A">
        <w:rPr>
          <w:rFonts w:ascii="Arial" w:hAnsi="Arial" w:cs="Arial"/>
        </w:rPr>
        <w:t xml:space="preserve">ibrary </w:t>
      </w:r>
      <w:r w:rsidRPr="00D5126A">
        <w:rPr>
          <w:rFonts w:ascii="Arial" w:hAnsi="Arial" w:cs="Arial"/>
        </w:rPr>
        <w:t xml:space="preserve">and Service Centre was being flexible about the use of the space, such as sharing a cash-handling point, and being able to have </w:t>
      </w:r>
      <w:r w:rsidR="00692960">
        <w:rPr>
          <w:rFonts w:ascii="Arial" w:hAnsi="Arial" w:cs="Arial"/>
        </w:rPr>
        <w:t>l</w:t>
      </w:r>
      <w:r w:rsidR="00692960" w:rsidRPr="00D5126A">
        <w:rPr>
          <w:rFonts w:ascii="Arial" w:hAnsi="Arial" w:cs="Arial"/>
        </w:rPr>
        <w:t xml:space="preserve">ibrary </w:t>
      </w:r>
      <w:r w:rsidRPr="00D5126A">
        <w:rPr>
          <w:rFonts w:ascii="Arial" w:hAnsi="Arial" w:cs="Arial"/>
        </w:rPr>
        <w:t xml:space="preserve">customers use the Service Centre side of the space to read and relax in after the Service Centre was closed. </w:t>
      </w:r>
    </w:p>
    <w:p w:rsidR="00066652" w:rsidRPr="00D5126A" w:rsidRDefault="00066652" w:rsidP="00066652">
      <w:pPr>
        <w:rPr>
          <w:rFonts w:ascii="Arial" w:hAnsi="Arial" w:cs="Arial"/>
        </w:rPr>
      </w:pPr>
      <w:r w:rsidRPr="00D5126A">
        <w:rPr>
          <w:rFonts w:ascii="Arial" w:hAnsi="Arial" w:cs="Arial"/>
        </w:rPr>
        <w:t xml:space="preserve">“Getting a library presence up and running again in the central city was top priority. For many of our customers, the Central Library was their </w:t>
      </w:r>
      <w:r w:rsidR="00692960">
        <w:rPr>
          <w:rFonts w:ascii="Arial" w:hAnsi="Arial" w:cs="Arial"/>
        </w:rPr>
        <w:t>‘</w:t>
      </w:r>
      <w:r w:rsidRPr="00D5126A">
        <w:rPr>
          <w:rFonts w:ascii="Arial" w:hAnsi="Arial" w:cs="Arial"/>
        </w:rPr>
        <w:t>branch</w:t>
      </w:r>
      <w:r w:rsidR="00692960">
        <w:rPr>
          <w:rFonts w:ascii="Arial" w:hAnsi="Arial" w:cs="Arial"/>
        </w:rPr>
        <w:t>’</w:t>
      </w:r>
      <w:r w:rsidRPr="00D5126A">
        <w:rPr>
          <w:rFonts w:ascii="Arial" w:hAnsi="Arial" w:cs="Arial"/>
        </w:rPr>
        <w:t xml:space="preserve">, and we knew what an important part of their lives it was,” Manager Laurinda Thomas says. </w:t>
      </w:r>
    </w:p>
    <w:p w:rsidR="00066652" w:rsidRPr="00D5126A" w:rsidRDefault="00066652" w:rsidP="00066652">
      <w:pPr>
        <w:rPr>
          <w:rFonts w:ascii="Arial" w:hAnsi="Arial" w:cs="Arial"/>
        </w:rPr>
      </w:pPr>
      <w:r w:rsidRPr="00D5126A">
        <w:rPr>
          <w:rFonts w:ascii="Arial" w:hAnsi="Arial" w:cs="Arial"/>
        </w:rPr>
        <w:t>“When one of our colleagues suggested co-locating with the Service Centre at Manners Street, we knew immediately that it would be a great fit.</w:t>
      </w:r>
    </w:p>
    <w:p w:rsidR="00066652" w:rsidRPr="00D5126A" w:rsidRDefault="00066652" w:rsidP="00066652">
      <w:pPr>
        <w:rPr>
          <w:rFonts w:ascii="Arial" w:hAnsi="Arial" w:cs="Arial"/>
        </w:rPr>
      </w:pPr>
      <w:r w:rsidRPr="00D5126A">
        <w:rPr>
          <w:rFonts w:ascii="Arial" w:hAnsi="Arial" w:cs="Arial"/>
        </w:rPr>
        <w:t>“Having a much smaller space to work with forces you to be creative, and think about different ways to provide a great service experience. The library space is designed to be primarily self-service, with the library staff providing roaming assistance.”</w:t>
      </w:r>
    </w:p>
    <w:p w:rsidR="00066652" w:rsidRPr="00D5126A" w:rsidRDefault="00066652" w:rsidP="00066652">
      <w:pPr>
        <w:rPr>
          <w:rFonts w:ascii="Arial" w:hAnsi="Arial" w:cs="Arial"/>
        </w:rPr>
      </w:pPr>
      <w:r w:rsidRPr="00D5126A">
        <w:rPr>
          <w:rFonts w:ascii="Arial" w:hAnsi="Arial" w:cs="Arial"/>
        </w:rPr>
        <w:t xml:space="preserve">The library at Arapaki has about 7500 items on the shelves. These include </w:t>
      </w:r>
      <w:proofErr w:type="gramStart"/>
      <w:r w:rsidRPr="00D5126A">
        <w:rPr>
          <w:rFonts w:ascii="Arial" w:hAnsi="Arial" w:cs="Arial"/>
        </w:rPr>
        <w:t>a small children’s</w:t>
      </w:r>
      <w:proofErr w:type="gramEnd"/>
      <w:r w:rsidRPr="00D5126A">
        <w:rPr>
          <w:rFonts w:ascii="Arial" w:hAnsi="Arial" w:cs="Arial"/>
        </w:rPr>
        <w:t xml:space="preserve"> collection, fiction, non-fiction and AV items. Library </w:t>
      </w:r>
      <w:proofErr w:type="gramStart"/>
      <w:r w:rsidRPr="00D5126A">
        <w:rPr>
          <w:rFonts w:ascii="Arial" w:hAnsi="Arial" w:cs="Arial"/>
        </w:rPr>
        <w:t>staff are</w:t>
      </w:r>
      <w:proofErr w:type="gramEnd"/>
      <w:r w:rsidRPr="00D5126A">
        <w:rPr>
          <w:rFonts w:ascii="Arial" w:hAnsi="Arial" w:cs="Arial"/>
        </w:rPr>
        <w:t xml:space="preserve"> available to answer questions, process library payments, register new customers, and provide support and advice on the wide range of online content available through the e</w:t>
      </w:r>
      <w:r w:rsidR="00692960">
        <w:rPr>
          <w:rFonts w:ascii="Arial" w:hAnsi="Arial" w:cs="Arial"/>
        </w:rPr>
        <w:t>-</w:t>
      </w:r>
      <w:r w:rsidRPr="00D5126A">
        <w:rPr>
          <w:rFonts w:ascii="Arial" w:hAnsi="Arial" w:cs="Arial"/>
        </w:rPr>
        <w:t xml:space="preserve">Library. </w:t>
      </w:r>
    </w:p>
    <w:p w:rsidR="00066652" w:rsidRPr="00D5126A" w:rsidRDefault="00066652" w:rsidP="00066652">
      <w:pPr>
        <w:rPr>
          <w:rFonts w:ascii="Arial" w:hAnsi="Arial" w:cs="Arial"/>
        </w:rPr>
      </w:pPr>
      <w:r w:rsidRPr="00D5126A">
        <w:rPr>
          <w:rFonts w:ascii="Arial" w:hAnsi="Arial" w:cs="Arial"/>
        </w:rPr>
        <w:t xml:space="preserve">Arapaki is a relatively small space; internet access computers and some casual seating </w:t>
      </w:r>
      <w:proofErr w:type="gramStart"/>
      <w:r w:rsidRPr="00D5126A">
        <w:rPr>
          <w:rFonts w:ascii="Arial" w:hAnsi="Arial" w:cs="Arial"/>
        </w:rPr>
        <w:t>is</w:t>
      </w:r>
      <w:proofErr w:type="gramEnd"/>
      <w:r w:rsidRPr="00D5126A">
        <w:rPr>
          <w:rFonts w:ascii="Arial" w:hAnsi="Arial" w:cs="Arial"/>
        </w:rPr>
        <w:t xml:space="preserve"> available, but not all library activities are available. </w:t>
      </w:r>
    </w:p>
    <w:p w:rsidR="00066652" w:rsidRPr="00D5126A" w:rsidRDefault="00066652" w:rsidP="00066652">
      <w:pPr>
        <w:rPr>
          <w:rFonts w:ascii="Arial" w:hAnsi="Arial" w:cs="Arial"/>
        </w:rPr>
      </w:pPr>
      <w:r w:rsidRPr="00D5126A">
        <w:rPr>
          <w:rFonts w:ascii="Arial" w:hAnsi="Arial" w:cs="Arial"/>
        </w:rPr>
        <w:t xml:space="preserve">Arapaki is the first library solution realised since the closure of the Central Library and is a great example of staff innovation. The next part of our </w:t>
      </w:r>
      <w:r w:rsidR="00692960">
        <w:rPr>
          <w:rFonts w:ascii="Arial" w:hAnsi="Arial" w:cs="Arial"/>
        </w:rPr>
        <w:t>central</w:t>
      </w:r>
      <w:r w:rsidR="00692960" w:rsidRPr="00D5126A">
        <w:rPr>
          <w:rFonts w:ascii="Arial" w:hAnsi="Arial" w:cs="Arial"/>
        </w:rPr>
        <w:t xml:space="preserve"> </w:t>
      </w:r>
      <w:r w:rsidRPr="00D5126A">
        <w:rPr>
          <w:rFonts w:ascii="Arial" w:hAnsi="Arial" w:cs="Arial"/>
        </w:rPr>
        <w:t xml:space="preserve">library network to open will be our partnership space with the National Library. </w:t>
      </w:r>
    </w:p>
    <w:p w:rsidR="00ED682C" w:rsidRPr="00D5126A" w:rsidRDefault="00DE0DDF" w:rsidP="00DE0DDF">
      <w:pPr>
        <w:rPr>
          <w:b/>
          <w:bCs/>
          <w:sz w:val="34"/>
          <w:szCs w:val="34"/>
        </w:rPr>
      </w:pPr>
      <w:r w:rsidRPr="00D5126A">
        <w:t xml:space="preserve"> </w:t>
      </w:r>
      <w:r w:rsidR="00ED682C" w:rsidRPr="00D5126A">
        <w:br w:type="page"/>
      </w:r>
    </w:p>
    <w:p w:rsidR="00292110" w:rsidRPr="00687686" w:rsidRDefault="00292110" w:rsidP="00292110">
      <w:pPr>
        <w:pStyle w:val="Heading2"/>
        <w:rPr>
          <w:color w:val="00A1DA"/>
        </w:rPr>
      </w:pPr>
      <w:bookmarkStart w:id="258" w:name="_Toc15571242"/>
      <w:bookmarkStart w:id="259" w:name="_Toc19085849"/>
      <w:bookmarkStart w:id="260" w:name="_Toc23758608"/>
      <w:r w:rsidRPr="00687686">
        <w:rPr>
          <w:color w:val="00A1DA"/>
        </w:rPr>
        <w:lastRenderedPageBreak/>
        <w:t xml:space="preserve">6 Tāone tupu ora - </w:t>
      </w:r>
      <w:bookmarkStart w:id="261" w:name="_Toc528234305"/>
      <w:bookmarkStart w:id="262" w:name="_Toc14178560"/>
      <w:r w:rsidRPr="00687686">
        <w:rPr>
          <w:color w:val="00A1DA"/>
        </w:rPr>
        <w:t>Urban development</w:t>
      </w:r>
      <w:bookmarkEnd w:id="258"/>
      <w:bookmarkEnd w:id="259"/>
      <w:bookmarkEnd w:id="260"/>
      <w:bookmarkEnd w:id="261"/>
      <w:bookmarkEnd w:id="262"/>
    </w:p>
    <w:p w:rsidR="00292110" w:rsidRPr="00D5126A" w:rsidRDefault="00292110" w:rsidP="00292110">
      <w:pPr>
        <w:pStyle w:val="Para003"/>
        <w:spacing w:before="240" w:line="240" w:lineRule="auto"/>
        <w:rPr>
          <w:rFonts w:ascii="Arial" w:hAnsi="Arial" w:cs="Arial"/>
        </w:rPr>
      </w:pPr>
      <w:r w:rsidRPr="00D5126A">
        <w:rPr>
          <w:rFonts w:ascii="Arial" w:hAnsi="Arial" w:cs="Arial"/>
        </w:rPr>
        <w:t>This chapter explains what we did and how we performed in our Urban Development portfolio of activities. This includes urban planning, heritage and public spaces development, and building and development control.</w:t>
      </w:r>
    </w:p>
    <w:p w:rsidR="00F24E5D" w:rsidRPr="00687686" w:rsidRDefault="00687686" w:rsidP="002C7BF8">
      <w:pPr>
        <w:pStyle w:val="ListParagraph"/>
        <w:numPr>
          <w:ilvl w:val="0"/>
          <w:numId w:val="81"/>
        </w:numPr>
        <w:rPr>
          <w:rFonts w:ascii="Arial" w:hAnsi="Arial" w:cs="Arial"/>
        </w:rPr>
      </w:pPr>
      <w:r>
        <w:rPr>
          <w:rFonts w:ascii="Arial" w:hAnsi="Arial" w:cs="Arial"/>
        </w:rPr>
        <w:t xml:space="preserve">2,579 </w:t>
      </w:r>
      <w:r w:rsidR="00F24E5D" w:rsidRPr="00687686">
        <w:rPr>
          <w:rFonts w:ascii="Arial" w:hAnsi="Arial" w:cs="Arial"/>
        </w:rPr>
        <w:t>Building consents issued</w:t>
      </w:r>
    </w:p>
    <w:p w:rsidR="00F24E5D" w:rsidRPr="00687686" w:rsidRDefault="00F24E5D" w:rsidP="002C7BF8">
      <w:pPr>
        <w:pStyle w:val="ListParagraph"/>
        <w:numPr>
          <w:ilvl w:val="0"/>
          <w:numId w:val="81"/>
        </w:numPr>
        <w:rPr>
          <w:rFonts w:ascii="Arial" w:hAnsi="Arial" w:cs="Arial"/>
        </w:rPr>
      </w:pPr>
      <w:r w:rsidRPr="00687686">
        <w:rPr>
          <w:rFonts w:ascii="Arial" w:hAnsi="Arial" w:cs="Arial"/>
        </w:rPr>
        <w:t xml:space="preserve">22 earthquake prone </w:t>
      </w:r>
      <w:r w:rsidR="00654FDF" w:rsidRPr="00687686">
        <w:rPr>
          <w:rFonts w:ascii="Arial" w:hAnsi="Arial" w:cs="Arial"/>
        </w:rPr>
        <w:t xml:space="preserve">heritage </w:t>
      </w:r>
      <w:r w:rsidRPr="00687686">
        <w:rPr>
          <w:rFonts w:ascii="Arial" w:hAnsi="Arial" w:cs="Arial"/>
        </w:rPr>
        <w:t>building</w:t>
      </w:r>
      <w:r w:rsidR="00687686">
        <w:rPr>
          <w:rFonts w:ascii="Arial" w:hAnsi="Arial" w:cs="Arial"/>
        </w:rPr>
        <w:t>s removed from MBIE’s register</w:t>
      </w:r>
    </w:p>
    <w:p w:rsidR="00F24E5D" w:rsidRPr="00687686" w:rsidRDefault="00F056B8" w:rsidP="002C7BF8">
      <w:pPr>
        <w:pStyle w:val="ListParagraph"/>
        <w:numPr>
          <w:ilvl w:val="0"/>
          <w:numId w:val="81"/>
        </w:numPr>
        <w:rPr>
          <w:rFonts w:ascii="Arial" w:hAnsi="Arial" w:cs="Arial"/>
        </w:rPr>
      </w:pPr>
      <w:r w:rsidRPr="00687686">
        <w:rPr>
          <w:rFonts w:ascii="Arial" w:hAnsi="Arial" w:cs="Arial"/>
        </w:rPr>
        <w:t>75,201</w:t>
      </w:r>
      <w:r w:rsidR="00F24E5D" w:rsidRPr="00687686">
        <w:rPr>
          <w:rFonts w:ascii="Arial" w:hAnsi="Arial" w:cs="Arial"/>
        </w:rPr>
        <w:t xml:space="preserve"> occupied dwellings (</w:t>
      </w:r>
      <w:r w:rsidRPr="00687686">
        <w:rPr>
          <w:rFonts w:ascii="Arial" w:hAnsi="Arial" w:cs="Arial"/>
        </w:rPr>
        <w:t xml:space="preserve">2018 </w:t>
      </w:r>
      <w:r w:rsidR="00F24E5D" w:rsidRPr="00687686">
        <w:rPr>
          <w:rFonts w:ascii="Arial" w:hAnsi="Arial" w:cs="Arial"/>
        </w:rPr>
        <w:t>census)</w:t>
      </w:r>
    </w:p>
    <w:p w:rsidR="00F24E5D" w:rsidRPr="00687686" w:rsidRDefault="00F24E5D" w:rsidP="002C7BF8">
      <w:pPr>
        <w:pStyle w:val="ListParagraph"/>
        <w:numPr>
          <w:ilvl w:val="0"/>
          <w:numId w:val="81"/>
        </w:numPr>
        <w:rPr>
          <w:rFonts w:ascii="Arial" w:hAnsi="Arial" w:cs="Arial"/>
        </w:rPr>
      </w:pPr>
      <w:r w:rsidRPr="00687686">
        <w:rPr>
          <w:rFonts w:ascii="Arial" w:hAnsi="Arial" w:cs="Arial"/>
        </w:rPr>
        <w:t>80.4% residents believe the CBD is attractive</w:t>
      </w:r>
    </w:p>
    <w:p w:rsidR="00F24E5D" w:rsidRPr="00687686" w:rsidRDefault="00F24E5D" w:rsidP="002C7BF8">
      <w:pPr>
        <w:pStyle w:val="ListParagraph"/>
        <w:numPr>
          <w:ilvl w:val="0"/>
          <w:numId w:val="81"/>
        </w:numPr>
        <w:rPr>
          <w:rFonts w:ascii="Arial" w:hAnsi="Arial" w:cs="Arial"/>
        </w:rPr>
      </w:pPr>
      <w:r w:rsidRPr="00687686">
        <w:rPr>
          <w:rFonts w:ascii="Arial" w:hAnsi="Arial" w:cs="Arial"/>
        </w:rPr>
        <w:t>553 Council-listed heritage buildings</w:t>
      </w:r>
    </w:p>
    <w:p w:rsidR="00F24E5D" w:rsidRPr="00687686" w:rsidRDefault="00F24E5D" w:rsidP="002C7BF8">
      <w:pPr>
        <w:pStyle w:val="ListParagraph"/>
        <w:numPr>
          <w:ilvl w:val="0"/>
          <w:numId w:val="81"/>
        </w:numPr>
        <w:rPr>
          <w:rFonts w:ascii="Arial" w:hAnsi="Arial" w:cs="Arial"/>
        </w:rPr>
      </w:pPr>
      <w:r w:rsidRPr="00687686">
        <w:rPr>
          <w:rFonts w:ascii="Arial" w:hAnsi="Arial" w:cs="Arial"/>
        </w:rPr>
        <w:t xml:space="preserve">13 resource consents </w:t>
      </w:r>
      <w:r w:rsidR="00687686" w:rsidRPr="00687686">
        <w:rPr>
          <w:rFonts w:ascii="Arial" w:hAnsi="Arial" w:cs="Arial"/>
        </w:rPr>
        <w:t>for new multi-unit developments</w:t>
      </w:r>
    </w:p>
    <w:p w:rsidR="00292110" w:rsidRPr="00687686" w:rsidRDefault="00292110" w:rsidP="00AA2122">
      <w:pPr>
        <w:pStyle w:val="Heading3"/>
        <w:rPr>
          <w:color w:val="00A1DA"/>
        </w:rPr>
      </w:pPr>
      <w:bookmarkStart w:id="263" w:name="_Toc19085850"/>
      <w:r w:rsidRPr="00687686">
        <w:rPr>
          <w:color w:val="00A1DA"/>
        </w:rPr>
        <w:t>Introduction</w:t>
      </w:r>
      <w:bookmarkEnd w:id="263"/>
    </w:p>
    <w:p w:rsidR="00292110" w:rsidRPr="00D5126A" w:rsidRDefault="00292110" w:rsidP="00292110">
      <w:pPr>
        <w:pStyle w:val="Para003"/>
        <w:spacing w:before="240" w:line="240" w:lineRule="auto"/>
        <w:rPr>
          <w:rFonts w:ascii="Arial" w:hAnsi="Arial" w:cs="Arial"/>
        </w:rPr>
      </w:pPr>
      <w:r w:rsidRPr="00D5126A">
        <w:rPr>
          <w:rFonts w:ascii="Arial" w:hAnsi="Arial" w:cs="Arial"/>
        </w:rPr>
        <w:t>We want to make sure the city remains liveable even as our population grows and challenges around seismic risk and climate change increase. We want housing to remain affordable. We also want to maintain the city’s unique character, protect heritage, and to improve its resilience so it is better able to withstand future shocks and stresses.</w:t>
      </w:r>
    </w:p>
    <w:p w:rsidR="00292110" w:rsidRPr="00D5126A" w:rsidRDefault="00292110" w:rsidP="00292110">
      <w:pPr>
        <w:pStyle w:val="Para003"/>
        <w:spacing w:before="240" w:line="240" w:lineRule="auto"/>
        <w:rPr>
          <w:rFonts w:ascii="Arial" w:hAnsi="Arial" w:cs="Arial"/>
        </w:rPr>
      </w:pPr>
      <w:r w:rsidRPr="00D5126A">
        <w:rPr>
          <w:rFonts w:ascii="Arial" w:hAnsi="Arial" w:cs="Arial"/>
        </w:rPr>
        <w:t>We need to increase housing supply amid rising construction costs, make our inner city resilient and liveable while our population density continues to grow, and support more sustainable land use and transport options to accommodate more people in the city</w:t>
      </w:r>
      <w:r w:rsidR="00F307FB" w:rsidRPr="00D5126A">
        <w:rPr>
          <w:rFonts w:ascii="Arial" w:hAnsi="Arial" w:cs="Arial"/>
        </w:rPr>
        <w:t xml:space="preserve"> and deliver on our Housing strategy goal of </w:t>
      </w:r>
      <w:r w:rsidR="00FF4C12">
        <w:rPr>
          <w:rFonts w:ascii="Arial" w:hAnsi="Arial" w:cs="Arial"/>
        </w:rPr>
        <w:t>”</w:t>
      </w:r>
      <w:r w:rsidR="00F307FB" w:rsidRPr="00D5126A">
        <w:rPr>
          <w:rFonts w:ascii="Arial" w:hAnsi="Arial" w:cs="Arial"/>
        </w:rPr>
        <w:t xml:space="preserve">All Wellingtonians well </w:t>
      </w:r>
      <w:r w:rsidR="00FF4C12" w:rsidRPr="00D5126A">
        <w:rPr>
          <w:rFonts w:ascii="Arial" w:hAnsi="Arial" w:cs="Arial"/>
        </w:rPr>
        <w:t>housed</w:t>
      </w:r>
      <w:r w:rsidR="00FF4C12">
        <w:rPr>
          <w:rFonts w:ascii="Arial" w:hAnsi="Arial" w:cs="Arial"/>
        </w:rPr>
        <w:t>”</w:t>
      </w:r>
      <w:r w:rsidRPr="00D5126A">
        <w:rPr>
          <w:rFonts w:ascii="Arial" w:hAnsi="Arial" w:cs="Arial"/>
        </w:rPr>
        <w:t>.</w:t>
      </w:r>
    </w:p>
    <w:p w:rsidR="00292110" w:rsidRPr="00D5126A" w:rsidRDefault="00292110" w:rsidP="00292110">
      <w:pPr>
        <w:pStyle w:val="Para003"/>
        <w:spacing w:before="240" w:line="240" w:lineRule="auto"/>
        <w:rPr>
          <w:rFonts w:ascii="Arial" w:hAnsi="Arial" w:cs="Arial"/>
        </w:rPr>
      </w:pPr>
      <w:r w:rsidRPr="00D5126A">
        <w:rPr>
          <w:rFonts w:ascii="Arial" w:hAnsi="Arial" w:cs="Arial"/>
        </w:rPr>
        <w:t xml:space="preserve">Significant highlights this year included </w:t>
      </w:r>
      <w:r w:rsidR="005D5FBB" w:rsidRPr="00D5126A">
        <w:rPr>
          <w:rFonts w:ascii="Arial" w:hAnsi="Arial" w:cs="Arial"/>
        </w:rPr>
        <w:t xml:space="preserve">entering into a partnership with Housing NZ for the redevelopment of Arlington </w:t>
      </w:r>
      <w:r w:rsidR="00FF4C12">
        <w:rPr>
          <w:rFonts w:ascii="Arial" w:hAnsi="Arial" w:cs="Arial"/>
        </w:rPr>
        <w:t xml:space="preserve">sites </w:t>
      </w:r>
      <w:r w:rsidR="005D5FBB" w:rsidRPr="00D5126A">
        <w:rPr>
          <w:rFonts w:ascii="Arial" w:hAnsi="Arial" w:cs="Arial"/>
        </w:rPr>
        <w:t>1 and 3. We also upgraded</w:t>
      </w:r>
      <w:r w:rsidRPr="00D5126A">
        <w:rPr>
          <w:rFonts w:ascii="Arial" w:hAnsi="Arial" w:cs="Arial"/>
        </w:rPr>
        <w:t xml:space="preserve"> Lombard Lane and Bond St</w:t>
      </w:r>
      <w:r w:rsidR="00FF4C12">
        <w:rPr>
          <w:rFonts w:ascii="Arial" w:hAnsi="Arial" w:cs="Arial"/>
        </w:rPr>
        <w:t>reet</w:t>
      </w:r>
      <w:r w:rsidRPr="00D5126A">
        <w:rPr>
          <w:rFonts w:ascii="Arial" w:hAnsi="Arial" w:cs="Arial"/>
        </w:rPr>
        <w:t xml:space="preserve">, which has created a vibrant precinct out of a service laneway and </w:t>
      </w:r>
      <w:r w:rsidR="007A6E61">
        <w:rPr>
          <w:rFonts w:ascii="Arial" w:hAnsi="Arial" w:cs="Arial"/>
        </w:rPr>
        <w:t>under-used</w:t>
      </w:r>
      <w:r w:rsidR="007A6E61" w:rsidRPr="00D5126A">
        <w:rPr>
          <w:rFonts w:ascii="Arial" w:hAnsi="Arial" w:cs="Arial"/>
        </w:rPr>
        <w:t xml:space="preserve"> </w:t>
      </w:r>
      <w:r w:rsidRPr="00D5126A">
        <w:rPr>
          <w:rFonts w:ascii="Arial" w:hAnsi="Arial" w:cs="Arial"/>
        </w:rPr>
        <w:t>green space</w:t>
      </w:r>
      <w:r w:rsidR="00535EE4" w:rsidRPr="00D5126A">
        <w:rPr>
          <w:rFonts w:ascii="Arial" w:hAnsi="Arial" w:cs="Arial"/>
        </w:rPr>
        <w:t>, and</w:t>
      </w:r>
      <w:r w:rsidRPr="00D5126A">
        <w:rPr>
          <w:rFonts w:ascii="Arial" w:hAnsi="Arial" w:cs="Arial"/>
        </w:rPr>
        <w:t xml:space="preserve"> Tawa Town Centre and Forrester’s Lane.</w:t>
      </w:r>
      <w:r w:rsidR="00A450BF" w:rsidRPr="00D5126A">
        <w:rPr>
          <w:rFonts w:ascii="Arial" w:hAnsi="Arial" w:cs="Arial"/>
        </w:rPr>
        <w:t xml:space="preserve"> </w:t>
      </w:r>
      <w:r w:rsidR="00A450BF" w:rsidRPr="00D5126A">
        <w:rPr>
          <w:rFonts w:ascii="Arial" w:hAnsi="Arial" w:cs="Arial"/>
          <w:lang w:eastAsia="en-NZ"/>
        </w:rPr>
        <w:t>Between August 2018 and March 2019 we consulted with Karori residents and businesses to develop</w:t>
      </w:r>
      <w:r w:rsidR="00A450BF" w:rsidRPr="00D5126A">
        <w:rPr>
          <w:sz w:val="21"/>
          <w:szCs w:val="21"/>
        </w:rPr>
        <w:t xml:space="preserve"> conceptual designs for </w:t>
      </w:r>
      <w:r w:rsidR="007A6E61">
        <w:rPr>
          <w:sz w:val="21"/>
          <w:szCs w:val="21"/>
        </w:rPr>
        <w:t xml:space="preserve">the </w:t>
      </w:r>
      <w:r w:rsidR="00A450BF" w:rsidRPr="00D5126A">
        <w:rPr>
          <w:sz w:val="21"/>
          <w:szCs w:val="21"/>
        </w:rPr>
        <w:t xml:space="preserve">upgrade of the Town Centre.  A request for proposal was also advertised seeking suggestions for </w:t>
      </w:r>
      <w:r w:rsidR="007A6E61">
        <w:rPr>
          <w:sz w:val="21"/>
          <w:szCs w:val="21"/>
        </w:rPr>
        <w:t xml:space="preserve">the </w:t>
      </w:r>
      <w:r w:rsidR="00A450BF" w:rsidRPr="00D5126A">
        <w:rPr>
          <w:sz w:val="21"/>
          <w:szCs w:val="21"/>
        </w:rPr>
        <w:t xml:space="preserve">re-development of the St John’s </w:t>
      </w:r>
      <w:r w:rsidR="007A6E61">
        <w:rPr>
          <w:sz w:val="21"/>
          <w:szCs w:val="21"/>
        </w:rPr>
        <w:t>C</w:t>
      </w:r>
      <w:r w:rsidR="007A6E61" w:rsidRPr="00D5126A">
        <w:rPr>
          <w:sz w:val="21"/>
          <w:szCs w:val="21"/>
        </w:rPr>
        <w:t xml:space="preserve">hurch </w:t>
      </w:r>
      <w:r w:rsidR="00A450BF" w:rsidRPr="00D5126A">
        <w:rPr>
          <w:sz w:val="21"/>
          <w:szCs w:val="21"/>
        </w:rPr>
        <w:t xml:space="preserve">site on the corner of Campbell Street and Karori Road.  </w:t>
      </w:r>
    </w:p>
    <w:p w:rsidR="00F307FB" w:rsidRPr="00D5126A" w:rsidRDefault="00F307FB" w:rsidP="00F307FB">
      <w:pPr>
        <w:pStyle w:val="Para003"/>
        <w:spacing w:before="240" w:line="240" w:lineRule="auto"/>
        <w:rPr>
          <w:rFonts w:ascii="Arial" w:hAnsi="Arial" w:cs="Arial"/>
        </w:rPr>
      </w:pPr>
      <w:r w:rsidRPr="00D5126A">
        <w:rPr>
          <w:rFonts w:ascii="Arial" w:hAnsi="Arial" w:cs="Arial"/>
        </w:rPr>
        <w:t xml:space="preserve">Build Wellington has also undertaken to work with private developers to secure long-term building leases as part of the </w:t>
      </w:r>
      <w:r w:rsidR="007A6E61">
        <w:rPr>
          <w:rFonts w:ascii="Arial" w:hAnsi="Arial" w:cs="Arial"/>
        </w:rPr>
        <w:t>central city</w:t>
      </w:r>
      <w:r w:rsidR="007A6E61" w:rsidRPr="00D5126A">
        <w:rPr>
          <w:rFonts w:ascii="Arial" w:hAnsi="Arial" w:cs="Arial"/>
        </w:rPr>
        <w:t xml:space="preserve"> </w:t>
      </w:r>
      <w:r w:rsidRPr="00D5126A">
        <w:rPr>
          <w:rFonts w:ascii="Arial" w:hAnsi="Arial" w:cs="Arial"/>
        </w:rPr>
        <w:t>apartment conversions programme. This programme sees Council working together with the private sector to create more quality rental homes for people on low to medium incomes who currently have difficulty accessing rental housing in Wellington.</w:t>
      </w:r>
    </w:p>
    <w:p w:rsidR="00292110" w:rsidRPr="00D5126A" w:rsidRDefault="00292110" w:rsidP="00292110">
      <w:pPr>
        <w:pStyle w:val="Para003"/>
        <w:spacing w:before="240" w:line="240" w:lineRule="auto"/>
        <w:rPr>
          <w:rFonts w:ascii="Arial" w:hAnsi="Arial" w:cs="Arial"/>
        </w:rPr>
      </w:pPr>
      <w:r w:rsidRPr="00D5126A">
        <w:rPr>
          <w:rFonts w:ascii="Arial" w:hAnsi="Arial" w:cs="Arial"/>
        </w:rPr>
        <w:t>Building owners</w:t>
      </w:r>
      <w:r w:rsidR="00F307FB" w:rsidRPr="00D5126A">
        <w:rPr>
          <w:rFonts w:ascii="Arial" w:hAnsi="Arial" w:cs="Arial"/>
        </w:rPr>
        <w:t xml:space="preserve"> also</w:t>
      </w:r>
      <w:r w:rsidRPr="00D5126A">
        <w:rPr>
          <w:rFonts w:ascii="Arial" w:hAnsi="Arial" w:cs="Arial"/>
        </w:rPr>
        <w:t xml:space="preserve"> continue to undertake significant strengthening work around the </w:t>
      </w:r>
      <w:r w:rsidR="007A6E61">
        <w:rPr>
          <w:rFonts w:ascii="Arial" w:hAnsi="Arial" w:cs="Arial"/>
        </w:rPr>
        <w:t>c</w:t>
      </w:r>
      <w:r w:rsidR="007A6E61" w:rsidRPr="00D5126A">
        <w:rPr>
          <w:rFonts w:ascii="Arial" w:hAnsi="Arial" w:cs="Arial"/>
        </w:rPr>
        <w:t xml:space="preserve">ity </w:t>
      </w:r>
      <w:r w:rsidRPr="00D5126A">
        <w:rPr>
          <w:rFonts w:ascii="Arial" w:hAnsi="Arial" w:cs="Arial"/>
        </w:rPr>
        <w:t>as we reduce seismic vulnerability.  This includes the Council’s own buildings, and has been complemented by investments in more resilient infrastructure</w:t>
      </w:r>
      <w:r w:rsidR="007A6E61">
        <w:rPr>
          <w:rFonts w:ascii="Arial" w:hAnsi="Arial" w:cs="Arial"/>
        </w:rPr>
        <w:t>,</w:t>
      </w:r>
      <w:r w:rsidRPr="00D5126A">
        <w:rPr>
          <w:rFonts w:ascii="Arial" w:hAnsi="Arial" w:cs="Arial"/>
        </w:rPr>
        <w:t xml:space="preserve"> </w:t>
      </w:r>
      <w:r w:rsidR="009C000D" w:rsidRPr="00D5126A">
        <w:rPr>
          <w:rFonts w:ascii="Arial" w:hAnsi="Arial" w:cs="Arial"/>
        </w:rPr>
        <w:t>particularly in the three waters</w:t>
      </w:r>
      <w:r w:rsidRPr="00D5126A">
        <w:rPr>
          <w:rFonts w:ascii="Arial" w:hAnsi="Arial" w:cs="Arial"/>
        </w:rPr>
        <w:t xml:space="preserve">.  </w:t>
      </w:r>
    </w:p>
    <w:p w:rsidR="00292110" w:rsidRPr="00D5126A" w:rsidRDefault="00292110" w:rsidP="00292110">
      <w:pPr>
        <w:pStyle w:val="Para003"/>
        <w:spacing w:before="240" w:line="240" w:lineRule="auto"/>
        <w:rPr>
          <w:rFonts w:ascii="Arial" w:hAnsi="Arial" w:cs="Arial"/>
        </w:rPr>
      </w:pPr>
      <w:r w:rsidRPr="00D5126A">
        <w:rPr>
          <w:rFonts w:ascii="Arial" w:hAnsi="Arial" w:cs="Arial"/>
        </w:rPr>
        <w:t>There have also been some significant challenges in this activity area this year. There has been increased competition for skilled staff for consenting jobs, workload issues because of the increasing number of complex consents</w:t>
      </w:r>
      <w:r w:rsidR="007A6E61">
        <w:rPr>
          <w:rFonts w:ascii="Arial" w:hAnsi="Arial" w:cs="Arial"/>
        </w:rPr>
        <w:t>,</w:t>
      </w:r>
      <w:r w:rsidRPr="00D5126A">
        <w:rPr>
          <w:rFonts w:ascii="Arial" w:hAnsi="Arial" w:cs="Arial"/>
        </w:rPr>
        <w:t xml:space="preserve"> and a decline in meeting the statutory timeframes for processing applications.  </w:t>
      </w:r>
    </w:p>
    <w:p w:rsidR="00506FE3" w:rsidRPr="00687686" w:rsidRDefault="00506FE3" w:rsidP="00506FE3">
      <w:pPr>
        <w:pStyle w:val="Heading3"/>
        <w:rPr>
          <w:color w:val="00A1DA"/>
        </w:rPr>
      </w:pPr>
      <w:bookmarkStart w:id="264" w:name="_Toc19085851"/>
      <w:bookmarkStart w:id="265" w:name="6_1_Whakamahere_taone___whakawhanake_wah"/>
      <w:r w:rsidRPr="00687686">
        <w:rPr>
          <w:color w:val="00A1DA"/>
        </w:rPr>
        <w:lastRenderedPageBreak/>
        <w:t>Urban development performance story</w:t>
      </w:r>
      <w:bookmarkEnd w:id="264"/>
    </w:p>
    <w:p w:rsidR="00506FE3" w:rsidRPr="00D5126A" w:rsidRDefault="00506FE3" w:rsidP="00506FE3">
      <w:pPr>
        <w:pStyle w:val="Heading5"/>
      </w:pPr>
      <w:r w:rsidRPr="00D5126A">
        <w:t>New measures positive on urban landscape, but issues in consenting</w:t>
      </w:r>
    </w:p>
    <w:p w:rsidR="00506FE3" w:rsidRPr="00D5126A" w:rsidRDefault="00506FE3" w:rsidP="00506FE3">
      <w:pPr>
        <w:pStyle w:val="Para003"/>
        <w:spacing w:before="240" w:line="240" w:lineRule="auto"/>
        <w:rPr>
          <w:rFonts w:ascii="Arial" w:hAnsi="Arial" w:cs="Arial"/>
        </w:rPr>
      </w:pPr>
      <w:r w:rsidRPr="00D5126A">
        <w:rPr>
          <w:rFonts w:ascii="Arial" w:hAnsi="Arial" w:cs="Arial"/>
        </w:rPr>
        <w:t>Several new measures give a broader overview of our residents’ perspective of the “city’s attractiveness”, “regeneration” and safety. The baseline figures this year will be used to gauge targets in upcoming years. One especially positive measure was that 89</w:t>
      </w:r>
      <w:r w:rsidR="00FE65CD">
        <w:rPr>
          <w:rFonts w:ascii="Arial" w:hAnsi="Arial" w:cs="Arial"/>
        </w:rPr>
        <w:t xml:space="preserve"> percent</w:t>
      </w:r>
      <w:r w:rsidRPr="00D5126A">
        <w:rPr>
          <w:rFonts w:ascii="Arial" w:hAnsi="Arial" w:cs="Arial"/>
        </w:rPr>
        <w:t xml:space="preserve"> of residents believe that the regeneration of areas, such as laneways, adds to the city’s vibrancy. Residents also feel safe in the city during the day </w:t>
      </w:r>
      <w:r w:rsidR="00FE65CD">
        <w:rPr>
          <w:rFonts w:ascii="Arial" w:hAnsi="Arial" w:cs="Arial"/>
        </w:rPr>
        <w:t>–</w:t>
      </w:r>
      <w:r w:rsidRPr="00D5126A">
        <w:rPr>
          <w:rFonts w:ascii="Arial" w:hAnsi="Arial" w:cs="Arial"/>
        </w:rPr>
        <w:t xml:space="preserve"> 98</w:t>
      </w:r>
      <w:r w:rsidR="00FE65CD">
        <w:rPr>
          <w:rFonts w:ascii="Arial" w:hAnsi="Arial" w:cs="Arial"/>
        </w:rPr>
        <w:t xml:space="preserve"> percent</w:t>
      </w:r>
      <w:r w:rsidRPr="00D5126A">
        <w:rPr>
          <w:rFonts w:ascii="Arial" w:hAnsi="Arial" w:cs="Arial"/>
        </w:rPr>
        <w:t>. This year we also reported new Outcomes on resilience. While residents feel safe at home (85</w:t>
      </w:r>
      <w:r w:rsidR="00FE65CD">
        <w:rPr>
          <w:rFonts w:ascii="Arial" w:hAnsi="Arial" w:cs="Arial"/>
        </w:rPr>
        <w:t xml:space="preserve"> percent</w:t>
      </w:r>
      <w:r w:rsidRPr="00D5126A">
        <w:rPr>
          <w:rFonts w:ascii="Arial" w:hAnsi="Arial" w:cs="Arial"/>
        </w:rPr>
        <w:t>), only 14.</w:t>
      </w:r>
      <w:r w:rsidR="0089278D">
        <w:rPr>
          <w:rFonts w:ascii="Arial" w:hAnsi="Arial" w:cs="Arial"/>
        </w:rPr>
        <w:t>4</w:t>
      </w:r>
      <w:r w:rsidR="00FE65CD">
        <w:rPr>
          <w:rFonts w:ascii="Arial" w:hAnsi="Arial" w:cs="Arial"/>
        </w:rPr>
        <w:t xml:space="preserve"> </w:t>
      </w:r>
      <w:r w:rsidR="007A6E61">
        <w:rPr>
          <w:rFonts w:ascii="Arial" w:hAnsi="Arial" w:cs="Arial"/>
        </w:rPr>
        <w:t>percent</w:t>
      </w:r>
      <w:r w:rsidR="007A6E61" w:rsidRPr="00D5126A">
        <w:rPr>
          <w:rFonts w:ascii="Arial" w:hAnsi="Arial" w:cs="Arial"/>
        </w:rPr>
        <w:t xml:space="preserve"> </w:t>
      </w:r>
      <w:r w:rsidRPr="00D5126A">
        <w:rPr>
          <w:rFonts w:ascii="Arial" w:hAnsi="Arial" w:cs="Arial"/>
        </w:rPr>
        <w:t xml:space="preserve">had taken any action to improve the seismic resilience of their home. </w:t>
      </w:r>
    </w:p>
    <w:p w:rsidR="00506FE3" w:rsidRPr="00D5126A" w:rsidRDefault="00506FE3" w:rsidP="00506FE3">
      <w:pPr>
        <w:pStyle w:val="Para003"/>
        <w:spacing w:before="240" w:line="240" w:lineRule="auto"/>
        <w:rPr>
          <w:rFonts w:ascii="Arial" w:hAnsi="Arial" w:cs="Arial"/>
        </w:rPr>
      </w:pPr>
      <w:r w:rsidRPr="00D5126A">
        <w:rPr>
          <w:rFonts w:ascii="Arial" w:hAnsi="Arial" w:cs="Arial"/>
        </w:rPr>
        <w:t>This year there were issues in our consenting area. The timeliness of issuing building consents, code of compliance certificates and Land Information Memorandums (LIM) in the statutory timeframe was all down on last year. Customers’ rating of the building control service was also down.</w:t>
      </w:r>
    </w:p>
    <w:p w:rsidR="00506FE3" w:rsidRPr="00687686" w:rsidRDefault="00506FE3" w:rsidP="00506FE3">
      <w:pPr>
        <w:pStyle w:val="Heading4"/>
        <w:rPr>
          <w:color w:val="00A1DA"/>
        </w:rPr>
      </w:pPr>
      <w:r w:rsidRPr="00687686">
        <w:rPr>
          <w:color w:val="00A1DA"/>
        </w:rPr>
        <w:t>Performance summary</w:t>
      </w:r>
    </w:p>
    <w:p w:rsidR="00506FE3" w:rsidRPr="00D5126A" w:rsidRDefault="00506FE3" w:rsidP="00506FE3">
      <w:pPr>
        <w:pStyle w:val="Para034"/>
        <w:spacing w:line="240" w:lineRule="auto"/>
        <w:rPr>
          <w:rFonts w:ascii="Arial" w:hAnsi="Arial" w:cs="Arial"/>
        </w:rPr>
      </w:pPr>
      <w:r w:rsidRPr="00D5126A">
        <w:rPr>
          <w:rFonts w:ascii="Arial" w:hAnsi="Arial" w:cs="Arial"/>
        </w:rPr>
        <w:t>The following table is a summary of how well we performed against our agreed</w:t>
      </w:r>
      <w:r w:rsidR="002718E7" w:rsidRPr="00D5126A">
        <w:rPr>
          <w:rFonts w:ascii="Arial" w:hAnsi="Arial" w:cs="Arial"/>
        </w:rPr>
        <w:t xml:space="preserve"> key</w:t>
      </w:r>
      <w:r w:rsidRPr="00D5126A">
        <w:rPr>
          <w:rFonts w:ascii="Arial" w:hAnsi="Arial" w:cs="Arial"/>
        </w:rPr>
        <w:t xml:space="preserve"> performance measures for this activity area. </w:t>
      </w:r>
    </w:p>
    <w:tbl>
      <w:tblPr>
        <w:tblW w:w="9215" w:type="dxa"/>
        <w:tblInd w:w="-459" w:type="dxa"/>
        <w:tblLayout w:type="fixed"/>
        <w:tblLook w:val="04A0" w:firstRow="1" w:lastRow="0" w:firstColumn="1" w:lastColumn="0" w:noHBand="0" w:noVBand="1"/>
      </w:tblPr>
      <w:tblGrid>
        <w:gridCol w:w="3828"/>
        <w:gridCol w:w="993"/>
        <w:gridCol w:w="850"/>
        <w:gridCol w:w="1237"/>
        <w:gridCol w:w="1066"/>
        <w:gridCol w:w="1241"/>
      </w:tblGrid>
      <w:tr w:rsidR="005C6473" w:rsidRPr="00D5126A" w:rsidTr="00687686">
        <w:trPr>
          <w:trHeight w:val="445"/>
        </w:trPr>
        <w:tc>
          <w:tcPr>
            <w:tcW w:w="3828" w:type="dxa"/>
            <w:tcBorders>
              <w:top w:val="nil"/>
              <w:left w:val="nil"/>
              <w:bottom w:val="nil"/>
              <w:right w:val="nil"/>
            </w:tcBorders>
            <w:shd w:val="clear" w:color="auto" w:fill="auto"/>
            <w:noWrap/>
            <w:vAlign w:val="center"/>
            <w:hideMark/>
          </w:tcPr>
          <w:p w:rsidR="005C6473" w:rsidRPr="00D5126A" w:rsidRDefault="005C6473" w:rsidP="00506FE3">
            <w:pPr>
              <w:spacing w:after="0" w:line="240" w:lineRule="auto"/>
              <w:jc w:val="center"/>
              <w:rPr>
                <w:rFonts w:ascii="Arial" w:eastAsia="Times New Roman" w:hAnsi="Arial" w:cs="Arial"/>
                <w:color w:val="000000"/>
                <w:sz w:val="20"/>
                <w:szCs w:val="20"/>
                <w:lang w:eastAsia="en-NZ"/>
              </w:rPr>
            </w:pPr>
          </w:p>
        </w:tc>
        <w:tc>
          <w:tcPr>
            <w:tcW w:w="993" w:type="dxa"/>
            <w:tcBorders>
              <w:top w:val="nil"/>
              <w:left w:val="nil"/>
              <w:bottom w:val="nil"/>
              <w:right w:val="nil"/>
            </w:tcBorders>
            <w:shd w:val="clear" w:color="auto" w:fill="auto"/>
            <w:noWrap/>
            <w:vAlign w:val="center"/>
            <w:hideMark/>
          </w:tcPr>
          <w:p w:rsidR="005C6473" w:rsidRPr="00687686" w:rsidRDefault="005C6473" w:rsidP="00687686">
            <w:pPr>
              <w:spacing w:after="0" w:line="240" w:lineRule="auto"/>
              <w:jc w:val="center"/>
              <w:rPr>
                <w:rFonts w:ascii="Arial" w:eastAsia="Times New Roman" w:hAnsi="Arial" w:cs="Arial"/>
                <w:i/>
                <w:iCs/>
                <w:color w:val="000000"/>
                <w:szCs w:val="20"/>
                <w:lang w:eastAsia="en-NZ"/>
              </w:rPr>
            </w:pPr>
            <w:r w:rsidRPr="00D5126A">
              <w:rPr>
                <w:rFonts w:ascii="Arial" w:eastAsia="Times New Roman" w:hAnsi="Arial" w:cs="Arial"/>
                <w:i/>
                <w:iCs/>
                <w:color w:val="000000"/>
                <w:szCs w:val="20"/>
                <w:lang w:eastAsia="en-NZ"/>
              </w:rPr>
              <w:t>Not met</w:t>
            </w:r>
          </w:p>
        </w:tc>
        <w:tc>
          <w:tcPr>
            <w:tcW w:w="850" w:type="dxa"/>
            <w:tcBorders>
              <w:top w:val="nil"/>
              <w:left w:val="nil"/>
              <w:bottom w:val="nil"/>
              <w:right w:val="nil"/>
            </w:tcBorders>
            <w:shd w:val="clear" w:color="auto" w:fill="auto"/>
            <w:noWrap/>
            <w:vAlign w:val="center"/>
            <w:hideMark/>
          </w:tcPr>
          <w:p w:rsidR="005C6473" w:rsidRPr="00D5126A" w:rsidRDefault="00687686" w:rsidP="00687686">
            <w:pPr>
              <w:spacing w:after="0" w:line="240" w:lineRule="auto"/>
              <w:jc w:val="center"/>
              <w:rPr>
                <w:rFonts w:ascii="Arial" w:eastAsia="Times New Roman" w:hAnsi="Arial" w:cs="Arial"/>
                <w:i/>
                <w:color w:val="000000"/>
                <w:szCs w:val="20"/>
                <w:lang w:eastAsia="en-NZ"/>
              </w:rPr>
            </w:pPr>
            <w:r>
              <w:rPr>
                <w:rFonts w:ascii="Arial" w:eastAsia="Times New Roman" w:hAnsi="Arial" w:cs="Arial"/>
                <w:i/>
                <w:iCs/>
                <w:color w:val="000000"/>
                <w:szCs w:val="20"/>
                <w:lang w:eastAsia="en-NZ"/>
              </w:rPr>
              <w:t>W</w:t>
            </w:r>
            <w:r>
              <w:rPr>
                <w:rFonts w:ascii="Arial" w:eastAsia="Times New Roman" w:hAnsi="Arial" w:cs="Arial"/>
                <w:i/>
                <w:color w:val="000000"/>
                <w:szCs w:val="20"/>
                <w:lang w:eastAsia="en-NZ"/>
              </w:rPr>
              <w:t>ithin 10%</w:t>
            </w:r>
          </w:p>
        </w:tc>
        <w:tc>
          <w:tcPr>
            <w:tcW w:w="1237" w:type="dxa"/>
            <w:tcBorders>
              <w:top w:val="nil"/>
              <w:left w:val="nil"/>
              <w:bottom w:val="nil"/>
              <w:right w:val="nil"/>
            </w:tcBorders>
            <w:shd w:val="clear" w:color="auto" w:fill="auto"/>
            <w:noWrap/>
            <w:vAlign w:val="center"/>
            <w:hideMark/>
          </w:tcPr>
          <w:p w:rsidR="005C6473" w:rsidRPr="00687686" w:rsidRDefault="00687686" w:rsidP="00687686">
            <w:pPr>
              <w:spacing w:after="0" w:line="240" w:lineRule="auto"/>
              <w:jc w:val="center"/>
              <w:rPr>
                <w:rFonts w:ascii="Arial" w:eastAsia="Times New Roman" w:hAnsi="Arial" w:cs="Arial"/>
                <w:i/>
                <w:iCs/>
                <w:color w:val="000000"/>
                <w:szCs w:val="20"/>
                <w:lang w:eastAsia="en-NZ"/>
              </w:rPr>
            </w:pPr>
            <w:r>
              <w:rPr>
                <w:rFonts w:ascii="Arial" w:eastAsia="Times New Roman" w:hAnsi="Arial" w:cs="Arial"/>
                <w:i/>
                <w:iCs/>
                <w:color w:val="000000"/>
                <w:szCs w:val="20"/>
                <w:lang w:eastAsia="en-NZ"/>
              </w:rPr>
              <w:t>Exceeded</w:t>
            </w:r>
          </w:p>
        </w:tc>
        <w:tc>
          <w:tcPr>
            <w:tcW w:w="1066" w:type="dxa"/>
            <w:tcBorders>
              <w:top w:val="nil"/>
              <w:left w:val="nil"/>
              <w:bottom w:val="nil"/>
              <w:right w:val="nil"/>
            </w:tcBorders>
            <w:vAlign w:val="center"/>
          </w:tcPr>
          <w:p w:rsidR="005C6473" w:rsidRPr="00D5126A" w:rsidRDefault="005C6473" w:rsidP="00687686">
            <w:pPr>
              <w:spacing w:after="0" w:line="240" w:lineRule="auto"/>
              <w:jc w:val="center"/>
              <w:rPr>
                <w:rFonts w:ascii="Arial" w:eastAsia="Times New Roman" w:hAnsi="Arial" w:cs="Arial"/>
                <w:i/>
                <w:color w:val="000000"/>
                <w:szCs w:val="20"/>
                <w:lang w:eastAsia="en-NZ"/>
              </w:rPr>
            </w:pPr>
            <w:r w:rsidRPr="00D5126A">
              <w:rPr>
                <w:rFonts w:ascii="Arial" w:eastAsia="Times New Roman" w:hAnsi="Arial" w:cs="Arial"/>
                <w:i/>
                <w:color w:val="000000"/>
                <w:szCs w:val="20"/>
                <w:lang w:eastAsia="en-NZ"/>
              </w:rPr>
              <w:t>Baseline</w:t>
            </w:r>
          </w:p>
        </w:tc>
        <w:tc>
          <w:tcPr>
            <w:tcW w:w="1241" w:type="dxa"/>
            <w:tcBorders>
              <w:top w:val="nil"/>
              <w:left w:val="nil"/>
              <w:bottom w:val="nil"/>
              <w:right w:val="nil"/>
            </w:tcBorders>
            <w:shd w:val="clear" w:color="auto" w:fill="auto"/>
            <w:vAlign w:val="center"/>
            <w:hideMark/>
          </w:tcPr>
          <w:p w:rsidR="005C6473" w:rsidRPr="00D5126A" w:rsidRDefault="005C6473" w:rsidP="00506FE3">
            <w:pPr>
              <w:spacing w:after="0" w:line="240" w:lineRule="auto"/>
              <w:jc w:val="center"/>
              <w:rPr>
                <w:rFonts w:ascii="Arial" w:eastAsia="Times New Roman" w:hAnsi="Arial" w:cs="Arial"/>
                <w:color w:val="000000"/>
                <w:szCs w:val="20"/>
                <w:lang w:eastAsia="en-NZ"/>
              </w:rPr>
            </w:pPr>
            <w:r w:rsidRPr="00D5126A">
              <w:rPr>
                <w:rFonts w:ascii="Arial" w:eastAsia="Times New Roman" w:hAnsi="Arial" w:cs="Arial"/>
                <w:color w:val="000000"/>
                <w:szCs w:val="20"/>
                <w:lang w:eastAsia="en-NZ"/>
              </w:rPr>
              <w:t>Total Measures</w:t>
            </w:r>
          </w:p>
        </w:tc>
      </w:tr>
      <w:tr w:rsidR="005C6473" w:rsidRPr="00D5126A" w:rsidTr="00B835FC">
        <w:trPr>
          <w:trHeight w:val="255"/>
        </w:trPr>
        <w:tc>
          <w:tcPr>
            <w:tcW w:w="3828" w:type="dxa"/>
            <w:tcBorders>
              <w:top w:val="nil"/>
              <w:left w:val="nil"/>
              <w:bottom w:val="nil"/>
              <w:right w:val="nil"/>
            </w:tcBorders>
            <w:shd w:val="clear" w:color="auto" w:fill="00B0F0"/>
            <w:noWrap/>
            <w:vAlign w:val="center"/>
            <w:hideMark/>
          </w:tcPr>
          <w:p w:rsidR="005C6473" w:rsidRPr="00D5126A" w:rsidRDefault="005C6473" w:rsidP="002718E7">
            <w:pPr>
              <w:spacing w:after="0" w:line="240" w:lineRule="auto"/>
              <w:ind w:left="277" w:hanging="277"/>
              <w:rPr>
                <w:rFonts w:ascii="Arial" w:eastAsia="Times New Roman" w:hAnsi="Arial" w:cs="Arial"/>
                <w:b/>
                <w:bCs/>
                <w:color w:val="FFFFFF" w:themeColor="background1"/>
                <w:sz w:val="24"/>
                <w:szCs w:val="20"/>
                <w:lang w:eastAsia="en-NZ"/>
              </w:rPr>
            </w:pPr>
            <w:r w:rsidRPr="00D5126A">
              <w:rPr>
                <w:rFonts w:ascii="Arial" w:eastAsia="Times New Roman" w:hAnsi="Arial" w:cs="Arial"/>
                <w:b/>
                <w:bCs/>
                <w:color w:val="FFFFFF" w:themeColor="background1"/>
                <w:sz w:val="24"/>
                <w:szCs w:val="20"/>
                <w:lang w:eastAsia="en-NZ"/>
              </w:rPr>
              <w:t>6. Tāone tupu ora – Urban Development</w:t>
            </w:r>
          </w:p>
        </w:tc>
        <w:tc>
          <w:tcPr>
            <w:tcW w:w="993" w:type="dxa"/>
            <w:tcBorders>
              <w:top w:val="nil"/>
              <w:left w:val="nil"/>
              <w:bottom w:val="nil"/>
              <w:right w:val="nil"/>
            </w:tcBorders>
            <w:shd w:val="clear" w:color="auto" w:fill="00B0F0"/>
            <w:noWrap/>
            <w:vAlign w:val="center"/>
            <w:hideMark/>
          </w:tcPr>
          <w:p w:rsidR="005C6473" w:rsidRPr="00D5126A" w:rsidRDefault="005C6473" w:rsidP="00506FE3">
            <w:pPr>
              <w:spacing w:after="0" w:line="240" w:lineRule="auto"/>
              <w:rPr>
                <w:rFonts w:ascii="Arial" w:eastAsia="Times New Roman" w:hAnsi="Arial" w:cs="Arial"/>
                <w:color w:val="FFFFFF" w:themeColor="background1"/>
                <w:sz w:val="24"/>
                <w:szCs w:val="20"/>
                <w:lang w:eastAsia="en-NZ"/>
              </w:rPr>
            </w:pPr>
          </w:p>
        </w:tc>
        <w:tc>
          <w:tcPr>
            <w:tcW w:w="850" w:type="dxa"/>
            <w:tcBorders>
              <w:top w:val="nil"/>
              <w:left w:val="nil"/>
              <w:bottom w:val="nil"/>
              <w:right w:val="nil"/>
            </w:tcBorders>
            <w:shd w:val="clear" w:color="auto" w:fill="00B0F0"/>
            <w:noWrap/>
            <w:vAlign w:val="center"/>
            <w:hideMark/>
          </w:tcPr>
          <w:p w:rsidR="005C6473" w:rsidRPr="00D5126A" w:rsidRDefault="005C6473" w:rsidP="00506FE3">
            <w:pPr>
              <w:spacing w:after="0" w:line="240" w:lineRule="auto"/>
              <w:rPr>
                <w:rFonts w:ascii="Arial" w:eastAsia="Times New Roman" w:hAnsi="Arial" w:cs="Arial"/>
                <w:color w:val="FFFFFF" w:themeColor="background1"/>
                <w:sz w:val="24"/>
                <w:szCs w:val="20"/>
                <w:lang w:eastAsia="en-NZ"/>
              </w:rPr>
            </w:pPr>
          </w:p>
        </w:tc>
        <w:tc>
          <w:tcPr>
            <w:tcW w:w="1237" w:type="dxa"/>
            <w:tcBorders>
              <w:top w:val="nil"/>
              <w:left w:val="nil"/>
              <w:bottom w:val="nil"/>
              <w:right w:val="nil"/>
            </w:tcBorders>
            <w:shd w:val="clear" w:color="auto" w:fill="00B0F0"/>
            <w:noWrap/>
            <w:vAlign w:val="center"/>
            <w:hideMark/>
          </w:tcPr>
          <w:p w:rsidR="005C6473" w:rsidRPr="00D5126A" w:rsidRDefault="005C6473" w:rsidP="00506FE3">
            <w:pPr>
              <w:spacing w:after="0" w:line="240" w:lineRule="auto"/>
              <w:rPr>
                <w:rFonts w:ascii="Arial" w:eastAsia="Times New Roman" w:hAnsi="Arial" w:cs="Arial"/>
                <w:color w:val="FFFFFF" w:themeColor="background1"/>
                <w:sz w:val="24"/>
                <w:szCs w:val="20"/>
                <w:lang w:eastAsia="en-NZ"/>
              </w:rPr>
            </w:pPr>
          </w:p>
        </w:tc>
        <w:tc>
          <w:tcPr>
            <w:tcW w:w="1066" w:type="dxa"/>
            <w:tcBorders>
              <w:top w:val="nil"/>
              <w:left w:val="nil"/>
              <w:bottom w:val="nil"/>
              <w:right w:val="nil"/>
            </w:tcBorders>
            <w:shd w:val="clear" w:color="auto" w:fill="00B0F0"/>
          </w:tcPr>
          <w:p w:rsidR="005C6473" w:rsidRPr="00D5126A" w:rsidRDefault="005C6473" w:rsidP="00506FE3">
            <w:pPr>
              <w:spacing w:after="0" w:line="240" w:lineRule="auto"/>
              <w:rPr>
                <w:rFonts w:ascii="Arial" w:eastAsia="Times New Roman" w:hAnsi="Arial" w:cs="Arial"/>
                <w:color w:val="FFFFFF" w:themeColor="background1"/>
                <w:sz w:val="24"/>
                <w:szCs w:val="20"/>
                <w:lang w:eastAsia="en-NZ"/>
              </w:rPr>
            </w:pPr>
          </w:p>
        </w:tc>
        <w:tc>
          <w:tcPr>
            <w:tcW w:w="1241" w:type="dxa"/>
            <w:tcBorders>
              <w:top w:val="nil"/>
              <w:left w:val="nil"/>
              <w:bottom w:val="nil"/>
              <w:right w:val="nil"/>
            </w:tcBorders>
            <w:shd w:val="clear" w:color="auto" w:fill="00B0F0"/>
            <w:noWrap/>
            <w:vAlign w:val="center"/>
            <w:hideMark/>
          </w:tcPr>
          <w:p w:rsidR="005C6473" w:rsidRPr="00D5126A" w:rsidRDefault="005C6473" w:rsidP="00506FE3">
            <w:pPr>
              <w:spacing w:after="0" w:line="240" w:lineRule="auto"/>
              <w:rPr>
                <w:rFonts w:ascii="Arial" w:eastAsia="Times New Roman" w:hAnsi="Arial" w:cs="Arial"/>
                <w:color w:val="FFFFFF" w:themeColor="background1"/>
                <w:sz w:val="24"/>
                <w:szCs w:val="20"/>
                <w:lang w:eastAsia="en-NZ"/>
              </w:rPr>
            </w:pPr>
          </w:p>
        </w:tc>
      </w:tr>
      <w:tr w:rsidR="005C6473" w:rsidRPr="00D5126A" w:rsidTr="00B835FC">
        <w:trPr>
          <w:trHeight w:val="255"/>
        </w:trPr>
        <w:tc>
          <w:tcPr>
            <w:tcW w:w="3828" w:type="dxa"/>
            <w:tcBorders>
              <w:top w:val="nil"/>
              <w:left w:val="nil"/>
              <w:bottom w:val="nil"/>
              <w:right w:val="nil"/>
            </w:tcBorders>
            <w:shd w:val="clear" w:color="auto" w:fill="auto"/>
            <w:noWrap/>
            <w:vAlign w:val="center"/>
            <w:hideMark/>
          </w:tcPr>
          <w:p w:rsidR="005C6473" w:rsidRPr="00D5126A" w:rsidRDefault="005C6473" w:rsidP="00506FE3">
            <w:pPr>
              <w:spacing w:before="60" w:after="60" w:line="240" w:lineRule="auto"/>
              <w:ind w:left="601"/>
              <w:rPr>
                <w:rFonts w:ascii="Arial" w:eastAsia="Times New Roman" w:hAnsi="Arial" w:cs="Arial"/>
                <w:color w:val="000000"/>
                <w:sz w:val="20"/>
                <w:szCs w:val="20"/>
                <w:lang w:eastAsia="en-NZ"/>
              </w:rPr>
            </w:pPr>
            <w:r w:rsidRPr="00D5126A">
              <w:rPr>
                <w:rFonts w:ascii="Arial" w:eastAsia="Times New Roman" w:hAnsi="Arial" w:cs="Arial"/>
                <w:color w:val="000000"/>
                <w:sz w:val="20"/>
                <w:szCs w:val="20"/>
                <w:lang w:eastAsia="en-NZ"/>
              </w:rPr>
              <w:t>6.1 Urban planning, heritage and public spaces development</w:t>
            </w:r>
          </w:p>
        </w:tc>
        <w:tc>
          <w:tcPr>
            <w:tcW w:w="993" w:type="dxa"/>
            <w:tcBorders>
              <w:top w:val="nil"/>
              <w:left w:val="nil"/>
              <w:bottom w:val="nil"/>
              <w:right w:val="nil"/>
            </w:tcBorders>
            <w:shd w:val="clear" w:color="auto" w:fill="auto"/>
            <w:noWrap/>
            <w:vAlign w:val="center"/>
          </w:tcPr>
          <w:p w:rsidR="005C6473" w:rsidRPr="00D5126A" w:rsidRDefault="005C6473" w:rsidP="00E15BDA">
            <w:pPr>
              <w:spacing w:before="60" w:after="60" w:line="240" w:lineRule="auto"/>
              <w:jc w:val="center"/>
              <w:rPr>
                <w:rFonts w:ascii="Arial" w:eastAsia="Times New Roman" w:hAnsi="Arial" w:cs="Arial"/>
                <w:color w:val="000000"/>
                <w:sz w:val="24"/>
                <w:szCs w:val="20"/>
                <w:lang w:eastAsia="en-NZ"/>
              </w:rPr>
            </w:pPr>
          </w:p>
        </w:tc>
        <w:tc>
          <w:tcPr>
            <w:tcW w:w="850" w:type="dxa"/>
            <w:tcBorders>
              <w:top w:val="nil"/>
              <w:left w:val="nil"/>
              <w:bottom w:val="nil"/>
              <w:right w:val="nil"/>
            </w:tcBorders>
            <w:shd w:val="clear" w:color="auto" w:fill="auto"/>
            <w:noWrap/>
            <w:vAlign w:val="center"/>
            <w:hideMark/>
          </w:tcPr>
          <w:p w:rsidR="005C6473" w:rsidRPr="00D5126A" w:rsidRDefault="005C6473" w:rsidP="00E15BDA">
            <w:pPr>
              <w:spacing w:before="60" w:after="60" w:line="240" w:lineRule="auto"/>
              <w:jc w:val="center"/>
              <w:rPr>
                <w:rFonts w:ascii="Arial" w:eastAsia="Times New Roman" w:hAnsi="Arial" w:cs="Arial"/>
                <w:color w:val="000000"/>
                <w:sz w:val="24"/>
                <w:szCs w:val="20"/>
                <w:lang w:eastAsia="en-NZ"/>
              </w:rPr>
            </w:pPr>
            <w:r>
              <w:rPr>
                <w:rFonts w:ascii="Arial" w:eastAsia="Times New Roman" w:hAnsi="Arial" w:cs="Arial"/>
                <w:color w:val="000000"/>
                <w:sz w:val="24"/>
                <w:szCs w:val="20"/>
                <w:lang w:eastAsia="en-NZ"/>
              </w:rPr>
              <w:t>2</w:t>
            </w:r>
          </w:p>
        </w:tc>
        <w:tc>
          <w:tcPr>
            <w:tcW w:w="1237" w:type="dxa"/>
            <w:tcBorders>
              <w:top w:val="nil"/>
              <w:left w:val="nil"/>
              <w:bottom w:val="nil"/>
              <w:right w:val="nil"/>
            </w:tcBorders>
            <w:shd w:val="clear" w:color="auto" w:fill="auto"/>
            <w:noWrap/>
            <w:vAlign w:val="center"/>
            <w:hideMark/>
          </w:tcPr>
          <w:p w:rsidR="005C6473" w:rsidRPr="00D5126A" w:rsidRDefault="005C6473" w:rsidP="00E15BDA">
            <w:pPr>
              <w:spacing w:before="60" w:after="60" w:line="240" w:lineRule="auto"/>
              <w:jc w:val="center"/>
              <w:rPr>
                <w:rFonts w:ascii="Arial" w:eastAsia="Times New Roman" w:hAnsi="Arial" w:cs="Arial"/>
                <w:color w:val="000000"/>
                <w:sz w:val="24"/>
                <w:szCs w:val="20"/>
                <w:lang w:eastAsia="en-NZ"/>
              </w:rPr>
            </w:pPr>
          </w:p>
        </w:tc>
        <w:tc>
          <w:tcPr>
            <w:tcW w:w="1066" w:type="dxa"/>
            <w:tcBorders>
              <w:top w:val="nil"/>
              <w:left w:val="nil"/>
              <w:bottom w:val="nil"/>
              <w:right w:val="nil"/>
            </w:tcBorders>
            <w:vAlign w:val="center"/>
          </w:tcPr>
          <w:p w:rsidR="005C6473" w:rsidRPr="00D5126A" w:rsidRDefault="00FE65CD" w:rsidP="00E15BDA">
            <w:pPr>
              <w:spacing w:before="60" w:after="60" w:line="240" w:lineRule="auto"/>
              <w:jc w:val="center"/>
              <w:rPr>
                <w:rFonts w:ascii="Arial" w:eastAsia="Times New Roman" w:hAnsi="Arial" w:cs="Arial"/>
                <w:color w:val="000000"/>
                <w:sz w:val="24"/>
                <w:szCs w:val="20"/>
                <w:lang w:eastAsia="en-NZ"/>
              </w:rPr>
            </w:pPr>
            <w:r>
              <w:rPr>
                <w:rFonts w:ascii="Arial" w:eastAsia="Times New Roman" w:hAnsi="Arial" w:cs="Arial"/>
                <w:color w:val="000000"/>
                <w:sz w:val="24"/>
                <w:szCs w:val="20"/>
                <w:lang w:eastAsia="en-NZ"/>
              </w:rPr>
              <w:t>5</w:t>
            </w:r>
          </w:p>
        </w:tc>
        <w:tc>
          <w:tcPr>
            <w:tcW w:w="1241" w:type="dxa"/>
            <w:tcBorders>
              <w:top w:val="nil"/>
              <w:left w:val="nil"/>
              <w:bottom w:val="nil"/>
              <w:right w:val="nil"/>
            </w:tcBorders>
            <w:shd w:val="clear" w:color="auto" w:fill="auto"/>
            <w:noWrap/>
            <w:vAlign w:val="center"/>
            <w:hideMark/>
          </w:tcPr>
          <w:p w:rsidR="005C6473" w:rsidRPr="00D5126A" w:rsidRDefault="001B50F9" w:rsidP="00E15BDA">
            <w:pPr>
              <w:spacing w:before="60" w:after="60" w:line="240" w:lineRule="auto"/>
              <w:jc w:val="center"/>
              <w:rPr>
                <w:rFonts w:ascii="Arial" w:eastAsia="Times New Roman" w:hAnsi="Arial" w:cs="Arial"/>
                <w:color w:val="000000"/>
                <w:sz w:val="24"/>
                <w:szCs w:val="20"/>
                <w:lang w:eastAsia="en-NZ"/>
              </w:rPr>
            </w:pPr>
            <w:r>
              <w:rPr>
                <w:rFonts w:ascii="Arial" w:eastAsia="Times New Roman" w:hAnsi="Arial" w:cs="Arial"/>
                <w:color w:val="000000"/>
                <w:sz w:val="24"/>
                <w:szCs w:val="20"/>
                <w:lang w:eastAsia="en-NZ"/>
              </w:rPr>
              <w:t>7</w:t>
            </w:r>
          </w:p>
        </w:tc>
      </w:tr>
      <w:tr w:rsidR="005C6473" w:rsidRPr="00D5126A" w:rsidTr="00B835FC">
        <w:trPr>
          <w:trHeight w:val="255"/>
        </w:trPr>
        <w:tc>
          <w:tcPr>
            <w:tcW w:w="3828" w:type="dxa"/>
            <w:tcBorders>
              <w:top w:val="nil"/>
              <w:left w:val="nil"/>
              <w:bottom w:val="single" w:sz="12" w:space="0" w:color="auto"/>
              <w:right w:val="nil"/>
            </w:tcBorders>
            <w:shd w:val="clear" w:color="auto" w:fill="auto"/>
            <w:noWrap/>
            <w:vAlign w:val="center"/>
            <w:hideMark/>
          </w:tcPr>
          <w:p w:rsidR="005C6473" w:rsidRPr="00D5126A" w:rsidRDefault="005C6473" w:rsidP="00506FE3">
            <w:pPr>
              <w:spacing w:before="60" w:after="60" w:line="240" w:lineRule="auto"/>
              <w:ind w:left="601"/>
              <w:rPr>
                <w:rFonts w:ascii="Arial" w:eastAsia="Times New Roman" w:hAnsi="Arial" w:cs="Arial"/>
                <w:color w:val="000000"/>
                <w:sz w:val="20"/>
                <w:szCs w:val="20"/>
                <w:lang w:eastAsia="en-NZ"/>
              </w:rPr>
            </w:pPr>
            <w:r w:rsidRPr="00D5126A">
              <w:rPr>
                <w:rFonts w:ascii="Arial" w:eastAsia="Times New Roman" w:hAnsi="Arial" w:cs="Arial"/>
                <w:color w:val="000000"/>
                <w:sz w:val="20"/>
                <w:szCs w:val="20"/>
                <w:lang w:eastAsia="en-NZ"/>
              </w:rPr>
              <w:t>6.2 Building and development</w:t>
            </w:r>
          </w:p>
        </w:tc>
        <w:tc>
          <w:tcPr>
            <w:tcW w:w="993" w:type="dxa"/>
            <w:tcBorders>
              <w:top w:val="nil"/>
              <w:left w:val="nil"/>
              <w:bottom w:val="single" w:sz="12" w:space="0" w:color="auto"/>
              <w:right w:val="nil"/>
            </w:tcBorders>
            <w:shd w:val="clear" w:color="auto" w:fill="auto"/>
            <w:noWrap/>
            <w:vAlign w:val="center"/>
            <w:hideMark/>
          </w:tcPr>
          <w:p w:rsidR="005C6473" w:rsidRPr="00D5126A" w:rsidRDefault="005C6473" w:rsidP="00E15BDA">
            <w:pPr>
              <w:spacing w:before="60" w:after="60" w:line="240" w:lineRule="auto"/>
              <w:jc w:val="center"/>
              <w:rPr>
                <w:rFonts w:ascii="Arial" w:eastAsia="Times New Roman" w:hAnsi="Arial" w:cs="Arial"/>
                <w:color w:val="000000"/>
                <w:sz w:val="24"/>
                <w:szCs w:val="20"/>
                <w:lang w:eastAsia="en-NZ"/>
              </w:rPr>
            </w:pPr>
            <w:r w:rsidRPr="00D5126A">
              <w:rPr>
                <w:rFonts w:ascii="Arial" w:eastAsia="Times New Roman" w:hAnsi="Arial" w:cs="Arial"/>
                <w:color w:val="000000"/>
                <w:sz w:val="24"/>
                <w:szCs w:val="20"/>
                <w:lang w:eastAsia="en-NZ"/>
              </w:rPr>
              <w:t>3</w:t>
            </w:r>
          </w:p>
        </w:tc>
        <w:tc>
          <w:tcPr>
            <w:tcW w:w="850" w:type="dxa"/>
            <w:tcBorders>
              <w:top w:val="nil"/>
              <w:left w:val="nil"/>
              <w:bottom w:val="single" w:sz="12" w:space="0" w:color="auto"/>
              <w:right w:val="nil"/>
            </w:tcBorders>
            <w:shd w:val="clear" w:color="auto" w:fill="auto"/>
            <w:noWrap/>
            <w:vAlign w:val="center"/>
            <w:hideMark/>
          </w:tcPr>
          <w:p w:rsidR="005C6473" w:rsidRPr="00D5126A" w:rsidRDefault="005C6473" w:rsidP="00E15BDA">
            <w:pPr>
              <w:spacing w:before="60" w:after="60" w:line="240" w:lineRule="auto"/>
              <w:jc w:val="center"/>
              <w:rPr>
                <w:rFonts w:ascii="Arial" w:eastAsia="Times New Roman" w:hAnsi="Arial" w:cs="Arial"/>
                <w:color w:val="000000"/>
                <w:sz w:val="24"/>
                <w:szCs w:val="20"/>
                <w:lang w:eastAsia="en-NZ"/>
              </w:rPr>
            </w:pPr>
            <w:r>
              <w:rPr>
                <w:rFonts w:ascii="Arial" w:eastAsia="Times New Roman" w:hAnsi="Arial" w:cs="Arial"/>
                <w:color w:val="000000"/>
                <w:sz w:val="24"/>
                <w:szCs w:val="20"/>
                <w:lang w:eastAsia="en-NZ"/>
              </w:rPr>
              <w:t>6</w:t>
            </w:r>
          </w:p>
        </w:tc>
        <w:tc>
          <w:tcPr>
            <w:tcW w:w="1237" w:type="dxa"/>
            <w:tcBorders>
              <w:top w:val="nil"/>
              <w:left w:val="nil"/>
              <w:bottom w:val="single" w:sz="12" w:space="0" w:color="auto"/>
              <w:right w:val="nil"/>
            </w:tcBorders>
            <w:shd w:val="clear" w:color="auto" w:fill="auto"/>
            <w:noWrap/>
            <w:vAlign w:val="center"/>
            <w:hideMark/>
          </w:tcPr>
          <w:p w:rsidR="005C6473" w:rsidRPr="00D5126A" w:rsidRDefault="005C6473" w:rsidP="00E15BDA">
            <w:pPr>
              <w:spacing w:before="60" w:after="60" w:line="240" w:lineRule="auto"/>
              <w:jc w:val="center"/>
              <w:rPr>
                <w:rFonts w:ascii="Arial" w:eastAsia="Times New Roman" w:hAnsi="Arial" w:cs="Arial"/>
                <w:color w:val="000000"/>
                <w:sz w:val="24"/>
                <w:szCs w:val="20"/>
                <w:lang w:eastAsia="en-NZ"/>
              </w:rPr>
            </w:pPr>
          </w:p>
        </w:tc>
        <w:tc>
          <w:tcPr>
            <w:tcW w:w="1066" w:type="dxa"/>
            <w:tcBorders>
              <w:top w:val="nil"/>
              <w:left w:val="nil"/>
              <w:bottom w:val="single" w:sz="12" w:space="0" w:color="auto"/>
              <w:right w:val="nil"/>
            </w:tcBorders>
            <w:vAlign w:val="center"/>
          </w:tcPr>
          <w:p w:rsidR="005C6473" w:rsidRPr="00D5126A" w:rsidRDefault="005C6473" w:rsidP="00E15BDA">
            <w:pPr>
              <w:spacing w:before="60" w:after="60" w:line="240" w:lineRule="auto"/>
              <w:jc w:val="center"/>
              <w:rPr>
                <w:rFonts w:ascii="Arial" w:eastAsia="Times New Roman" w:hAnsi="Arial" w:cs="Arial"/>
                <w:color w:val="000000"/>
                <w:sz w:val="24"/>
                <w:szCs w:val="20"/>
                <w:lang w:eastAsia="en-NZ"/>
              </w:rPr>
            </w:pPr>
            <w:r w:rsidRPr="00D5126A">
              <w:rPr>
                <w:rFonts w:ascii="Arial" w:eastAsia="Times New Roman" w:hAnsi="Arial" w:cs="Arial"/>
                <w:color w:val="000000"/>
                <w:sz w:val="24"/>
                <w:szCs w:val="20"/>
                <w:lang w:eastAsia="en-NZ"/>
              </w:rPr>
              <w:t>2</w:t>
            </w:r>
          </w:p>
        </w:tc>
        <w:tc>
          <w:tcPr>
            <w:tcW w:w="1241" w:type="dxa"/>
            <w:tcBorders>
              <w:top w:val="nil"/>
              <w:left w:val="nil"/>
              <w:bottom w:val="single" w:sz="12" w:space="0" w:color="auto"/>
              <w:right w:val="nil"/>
            </w:tcBorders>
            <w:shd w:val="clear" w:color="auto" w:fill="auto"/>
            <w:noWrap/>
            <w:vAlign w:val="center"/>
            <w:hideMark/>
          </w:tcPr>
          <w:p w:rsidR="005C6473" w:rsidRPr="00D5126A" w:rsidRDefault="005C6473" w:rsidP="00E15BDA">
            <w:pPr>
              <w:spacing w:before="60" w:after="60" w:line="240" w:lineRule="auto"/>
              <w:jc w:val="center"/>
              <w:rPr>
                <w:rFonts w:ascii="Arial" w:eastAsia="Times New Roman" w:hAnsi="Arial" w:cs="Arial"/>
                <w:color w:val="000000"/>
                <w:sz w:val="24"/>
                <w:szCs w:val="20"/>
                <w:lang w:eastAsia="en-NZ"/>
              </w:rPr>
            </w:pPr>
            <w:r w:rsidRPr="00D5126A">
              <w:rPr>
                <w:rFonts w:ascii="Arial" w:eastAsia="Times New Roman" w:hAnsi="Arial" w:cs="Arial"/>
                <w:color w:val="000000"/>
                <w:sz w:val="24"/>
                <w:szCs w:val="20"/>
                <w:lang w:eastAsia="en-NZ"/>
              </w:rPr>
              <w:t>11</w:t>
            </w:r>
          </w:p>
        </w:tc>
      </w:tr>
      <w:tr w:rsidR="005C6473" w:rsidRPr="00D5126A" w:rsidTr="00B835FC">
        <w:trPr>
          <w:trHeight w:val="255"/>
        </w:trPr>
        <w:tc>
          <w:tcPr>
            <w:tcW w:w="3828" w:type="dxa"/>
            <w:tcBorders>
              <w:top w:val="single" w:sz="12" w:space="0" w:color="auto"/>
              <w:left w:val="nil"/>
              <w:right w:val="nil"/>
            </w:tcBorders>
            <w:shd w:val="clear" w:color="auto" w:fill="B7ECFF"/>
            <w:noWrap/>
            <w:vAlign w:val="center"/>
            <w:hideMark/>
          </w:tcPr>
          <w:p w:rsidR="005C6473" w:rsidRPr="00D5126A" w:rsidRDefault="005C6473" w:rsidP="00506FE3">
            <w:pPr>
              <w:spacing w:after="0" w:line="240" w:lineRule="auto"/>
              <w:rPr>
                <w:rFonts w:ascii="Arial" w:eastAsia="Times New Roman" w:hAnsi="Arial" w:cs="Arial"/>
                <w:b/>
                <w:color w:val="000000"/>
                <w:sz w:val="24"/>
                <w:szCs w:val="20"/>
                <w:lang w:eastAsia="en-NZ"/>
              </w:rPr>
            </w:pPr>
            <w:r w:rsidRPr="00D5126A">
              <w:rPr>
                <w:rFonts w:ascii="Arial" w:eastAsia="Times New Roman" w:hAnsi="Arial" w:cs="Arial"/>
                <w:b/>
                <w:color w:val="000000"/>
                <w:sz w:val="24"/>
                <w:szCs w:val="20"/>
                <w:lang w:eastAsia="en-NZ"/>
              </w:rPr>
              <w:t>Total measures</w:t>
            </w:r>
          </w:p>
        </w:tc>
        <w:tc>
          <w:tcPr>
            <w:tcW w:w="993" w:type="dxa"/>
            <w:tcBorders>
              <w:top w:val="single" w:sz="12" w:space="0" w:color="auto"/>
              <w:left w:val="nil"/>
              <w:right w:val="nil"/>
            </w:tcBorders>
            <w:shd w:val="clear" w:color="auto" w:fill="B7ECFF"/>
            <w:noWrap/>
            <w:vAlign w:val="center"/>
            <w:hideMark/>
          </w:tcPr>
          <w:p w:rsidR="005C6473" w:rsidRPr="00D5126A" w:rsidRDefault="005C6473" w:rsidP="00E15BDA">
            <w:pPr>
              <w:spacing w:after="0" w:line="240" w:lineRule="auto"/>
              <w:jc w:val="center"/>
              <w:rPr>
                <w:rFonts w:ascii="Arial" w:eastAsia="Times New Roman" w:hAnsi="Arial" w:cs="Arial"/>
                <w:b/>
                <w:color w:val="000000"/>
                <w:sz w:val="24"/>
                <w:szCs w:val="20"/>
                <w:lang w:eastAsia="en-NZ"/>
              </w:rPr>
            </w:pPr>
            <w:r w:rsidRPr="00D5126A">
              <w:rPr>
                <w:rFonts w:ascii="Arial" w:eastAsia="Times New Roman" w:hAnsi="Arial" w:cs="Arial"/>
                <w:b/>
                <w:color w:val="000000"/>
                <w:sz w:val="24"/>
                <w:szCs w:val="20"/>
                <w:lang w:eastAsia="en-NZ"/>
              </w:rPr>
              <w:t>3</w:t>
            </w:r>
          </w:p>
        </w:tc>
        <w:tc>
          <w:tcPr>
            <w:tcW w:w="850" w:type="dxa"/>
            <w:tcBorders>
              <w:top w:val="single" w:sz="12" w:space="0" w:color="auto"/>
              <w:left w:val="nil"/>
              <w:right w:val="nil"/>
            </w:tcBorders>
            <w:shd w:val="clear" w:color="auto" w:fill="B7ECFF"/>
            <w:noWrap/>
            <w:vAlign w:val="center"/>
            <w:hideMark/>
          </w:tcPr>
          <w:p w:rsidR="005C6473" w:rsidRPr="00D5126A" w:rsidRDefault="005C6473" w:rsidP="00E15BDA">
            <w:pPr>
              <w:spacing w:after="0" w:line="240" w:lineRule="auto"/>
              <w:jc w:val="center"/>
              <w:rPr>
                <w:rFonts w:ascii="Arial" w:eastAsia="Times New Roman" w:hAnsi="Arial" w:cs="Arial"/>
                <w:b/>
                <w:color w:val="000000"/>
                <w:sz w:val="24"/>
                <w:szCs w:val="20"/>
                <w:lang w:eastAsia="en-NZ"/>
              </w:rPr>
            </w:pPr>
            <w:r>
              <w:rPr>
                <w:rFonts w:ascii="Arial" w:eastAsia="Times New Roman" w:hAnsi="Arial" w:cs="Arial"/>
                <w:b/>
                <w:color w:val="000000"/>
                <w:sz w:val="24"/>
                <w:szCs w:val="20"/>
                <w:lang w:eastAsia="en-NZ"/>
              </w:rPr>
              <w:t>8</w:t>
            </w:r>
          </w:p>
        </w:tc>
        <w:tc>
          <w:tcPr>
            <w:tcW w:w="1237" w:type="dxa"/>
            <w:tcBorders>
              <w:top w:val="single" w:sz="12" w:space="0" w:color="auto"/>
              <w:left w:val="nil"/>
              <w:right w:val="nil"/>
            </w:tcBorders>
            <w:shd w:val="clear" w:color="auto" w:fill="B7ECFF"/>
            <w:noWrap/>
            <w:vAlign w:val="center"/>
            <w:hideMark/>
          </w:tcPr>
          <w:p w:rsidR="005C6473" w:rsidRPr="00D5126A" w:rsidRDefault="005C6473" w:rsidP="00E15BDA">
            <w:pPr>
              <w:spacing w:after="0" w:line="240" w:lineRule="auto"/>
              <w:jc w:val="center"/>
              <w:rPr>
                <w:rFonts w:ascii="Arial" w:eastAsia="Times New Roman" w:hAnsi="Arial" w:cs="Arial"/>
                <w:b/>
                <w:color w:val="000000"/>
                <w:sz w:val="24"/>
                <w:szCs w:val="20"/>
                <w:lang w:eastAsia="en-NZ"/>
              </w:rPr>
            </w:pPr>
            <w:r w:rsidRPr="00D5126A">
              <w:rPr>
                <w:rFonts w:ascii="Arial" w:eastAsia="Times New Roman" w:hAnsi="Arial" w:cs="Arial"/>
                <w:b/>
                <w:color w:val="000000"/>
                <w:sz w:val="24"/>
                <w:szCs w:val="20"/>
                <w:lang w:eastAsia="en-NZ"/>
              </w:rPr>
              <w:t>0</w:t>
            </w:r>
          </w:p>
        </w:tc>
        <w:tc>
          <w:tcPr>
            <w:tcW w:w="1066" w:type="dxa"/>
            <w:tcBorders>
              <w:top w:val="single" w:sz="12" w:space="0" w:color="auto"/>
              <w:left w:val="nil"/>
              <w:right w:val="nil"/>
            </w:tcBorders>
            <w:shd w:val="clear" w:color="auto" w:fill="B7ECFF"/>
            <w:vAlign w:val="center"/>
          </w:tcPr>
          <w:p w:rsidR="005C6473" w:rsidRPr="00D5126A" w:rsidRDefault="005C6473" w:rsidP="00E15BDA">
            <w:pPr>
              <w:spacing w:after="0" w:line="240" w:lineRule="auto"/>
              <w:jc w:val="center"/>
              <w:rPr>
                <w:rFonts w:ascii="Arial" w:eastAsia="Times New Roman" w:hAnsi="Arial" w:cs="Arial"/>
                <w:b/>
                <w:color w:val="000000"/>
                <w:sz w:val="24"/>
                <w:szCs w:val="20"/>
                <w:lang w:eastAsia="en-NZ"/>
              </w:rPr>
            </w:pPr>
            <w:r>
              <w:rPr>
                <w:rFonts w:ascii="Arial" w:eastAsia="Times New Roman" w:hAnsi="Arial" w:cs="Arial"/>
                <w:b/>
                <w:color w:val="000000"/>
                <w:sz w:val="24"/>
                <w:szCs w:val="20"/>
                <w:lang w:eastAsia="en-NZ"/>
              </w:rPr>
              <w:t>7</w:t>
            </w:r>
          </w:p>
        </w:tc>
        <w:tc>
          <w:tcPr>
            <w:tcW w:w="1241" w:type="dxa"/>
            <w:tcBorders>
              <w:top w:val="single" w:sz="12" w:space="0" w:color="auto"/>
              <w:left w:val="nil"/>
              <w:right w:val="nil"/>
            </w:tcBorders>
            <w:shd w:val="clear" w:color="auto" w:fill="B7ECFF"/>
            <w:noWrap/>
            <w:vAlign w:val="center"/>
            <w:hideMark/>
          </w:tcPr>
          <w:p w:rsidR="005C6473" w:rsidRPr="00D5126A" w:rsidRDefault="005C6473" w:rsidP="007856B0">
            <w:pPr>
              <w:spacing w:after="0" w:line="240" w:lineRule="auto"/>
              <w:jc w:val="center"/>
              <w:rPr>
                <w:rFonts w:ascii="Arial" w:eastAsia="Times New Roman" w:hAnsi="Arial" w:cs="Arial"/>
                <w:b/>
                <w:color w:val="000000"/>
                <w:sz w:val="24"/>
                <w:szCs w:val="20"/>
                <w:lang w:eastAsia="en-NZ"/>
              </w:rPr>
            </w:pPr>
            <w:r w:rsidRPr="00D5126A">
              <w:rPr>
                <w:rFonts w:ascii="Arial" w:eastAsia="Times New Roman" w:hAnsi="Arial" w:cs="Arial"/>
                <w:b/>
                <w:color w:val="000000"/>
                <w:sz w:val="24"/>
                <w:szCs w:val="20"/>
                <w:lang w:eastAsia="en-NZ"/>
              </w:rPr>
              <w:t>1</w:t>
            </w:r>
            <w:r>
              <w:rPr>
                <w:rFonts w:ascii="Arial" w:eastAsia="Times New Roman" w:hAnsi="Arial" w:cs="Arial"/>
                <w:b/>
                <w:color w:val="000000"/>
                <w:sz w:val="24"/>
                <w:szCs w:val="20"/>
                <w:lang w:eastAsia="en-NZ"/>
              </w:rPr>
              <w:t>8</w:t>
            </w:r>
          </w:p>
        </w:tc>
      </w:tr>
    </w:tbl>
    <w:p w:rsidR="00292110" w:rsidRPr="00687686" w:rsidRDefault="00292110" w:rsidP="00AA2122">
      <w:pPr>
        <w:pStyle w:val="Heading3"/>
        <w:rPr>
          <w:b w:val="0"/>
          <w:color w:val="00A1DA"/>
        </w:rPr>
      </w:pPr>
      <w:bookmarkStart w:id="266" w:name="_Toc19085852"/>
      <w:r w:rsidRPr="00687686">
        <w:rPr>
          <w:rStyle w:val="00Text"/>
          <w:rFonts w:ascii="Arial" w:hAnsi="Arial"/>
          <w:b/>
          <w:color w:val="00A1DA"/>
        </w:rPr>
        <w:t xml:space="preserve">6.1 Whakamahere tāone, whakawhanake wāhi tuku - </w:t>
      </w:r>
      <w:r w:rsidRPr="00687686">
        <w:rPr>
          <w:b w:val="0"/>
          <w:color w:val="00A1DA"/>
        </w:rPr>
        <w:t>Urban planning, heritage and public spaces development</w:t>
      </w:r>
      <w:bookmarkEnd w:id="265"/>
      <w:bookmarkEnd w:id="266"/>
    </w:p>
    <w:p w:rsidR="00292110" w:rsidRPr="00687686" w:rsidRDefault="00292110" w:rsidP="00846C1B">
      <w:pPr>
        <w:pStyle w:val="Heading4"/>
        <w:rPr>
          <w:color w:val="00A1DA"/>
        </w:rPr>
      </w:pPr>
      <w:r w:rsidRPr="00687686">
        <w:rPr>
          <w:color w:val="00A1DA"/>
        </w:rPr>
        <w:t>What we did</w:t>
      </w:r>
    </w:p>
    <w:p w:rsidR="005D5FBB" w:rsidRPr="00D5126A" w:rsidRDefault="005D5FBB" w:rsidP="00961FC5">
      <w:pPr>
        <w:pStyle w:val="Heading5"/>
      </w:pPr>
      <w:r w:rsidRPr="00D5126A">
        <w:t>Arlington</w:t>
      </w:r>
    </w:p>
    <w:p w:rsidR="005D5FBB" w:rsidRPr="00D5126A" w:rsidRDefault="005D5FBB" w:rsidP="005D5FBB">
      <w:r w:rsidRPr="00D5126A">
        <w:rPr>
          <w:rFonts w:ascii="Arial" w:hAnsi="Arial" w:cs="Arial"/>
          <w:szCs w:val="24"/>
        </w:rPr>
        <w:t>During 2019</w:t>
      </w:r>
      <w:r w:rsidR="00B835FC">
        <w:rPr>
          <w:rFonts w:ascii="Arial" w:hAnsi="Arial" w:cs="Arial"/>
          <w:szCs w:val="24"/>
        </w:rPr>
        <w:t>,</w:t>
      </w:r>
      <w:r w:rsidRPr="00D5126A">
        <w:rPr>
          <w:rFonts w:ascii="Arial" w:hAnsi="Arial" w:cs="Arial"/>
          <w:szCs w:val="24"/>
        </w:rPr>
        <w:t xml:space="preserve"> we entered into an agreement with </w:t>
      </w:r>
      <w:r w:rsidR="00B835FC">
        <w:rPr>
          <w:rFonts w:ascii="Arial" w:hAnsi="Arial" w:cs="Arial"/>
          <w:szCs w:val="24"/>
        </w:rPr>
        <w:t>Housing NZ</w:t>
      </w:r>
      <w:r w:rsidR="00B835FC" w:rsidRPr="00D5126A">
        <w:rPr>
          <w:rFonts w:ascii="Arial" w:hAnsi="Arial" w:cs="Arial"/>
          <w:szCs w:val="24"/>
        </w:rPr>
        <w:t xml:space="preserve"> </w:t>
      </w:r>
      <w:r w:rsidRPr="00D5126A">
        <w:rPr>
          <w:rFonts w:ascii="Arial" w:hAnsi="Arial" w:cs="Arial"/>
          <w:szCs w:val="24"/>
        </w:rPr>
        <w:t xml:space="preserve">for the development of Arlington sites 1 and 3. Under this agreement we have leased the sites to </w:t>
      </w:r>
      <w:r w:rsidR="00B835FC">
        <w:rPr>
          <w:rFonts w:ascii="Arial" w:hAnsi="Arial" w:cs="Arial"/>
          <w:szCs w:val="24"/>
        </w:rPr>
        <w:t>Housing NZ</w:t>
      </w:r>
      <w:r w:rsidR="00B835FC" w:rsidRPr="00D5126A">
        <w:rPr>
          <w:rFonts w:ascii="Arial" w:hAnsi="Arial" w:cs="Arial"/>
          <w:szCs w:val="24"/>
        </w:rPr>
        <w:t xml:space="preserve"> </w:t>
      </w:r>
      <w:r w:rsidRPr="00D5126A">
        <w:rPr>
          <w:rFonts w:ascii="Arial" w:hAnsi="Arial" w:cs="Arial"/>
          <w:szCs w:val="24"/>
        </w:rPr>
        <w:t xml:space="preserve">on a 125-year term. </w:t>
      </w:r>
      <w:r w:rsidR="00B835FC">
        <w:rPr>
          <w:rFonts w:ascii="Arial" w:hAnsi="Arial" w:cs="Arial"/>
          <w:szCs w:val="24"/>
        </w:rPr>
        <w:t>It will be</w:t>
      </w:r>
      <w:r w:rsidRPr="00D5126A">
        <w:rPr>
          <w:rFonts w:ascii="Arial" w:hAnsi="Arial" w:cs="Arial"/>
          <w:szCs w:val="24"/>
        </w:rPr>
        <w:t xml:space="preserve"> responsible for the redevelopment, social housing service management, funding and maintenance of the sites. The redevelopment will see the currently rundown sites improved to provide a mix of modern, social, affordable and supported-living homes, with good connections to the surrounding community and facilities. This agreement will result in an improved level of service for social housing tenants in Wellington at little or no cost to ratepayers.</w:t>
      </w:r>
    </w:p>
    <w:p w:rsidR="00292110" w:rsidRPr="00D5126A" w:rsidRDefault="00292110" w:rsidP="00961FC5">
      <w:pPr>
        <w:pStyle w:val="Heading5"/>
      </w:pPr>
      <w:r w:rsidRPr="00D5126A">
        <w:t>Built Heritage Incentive Fund</w:t>
      </w:r>
    </w:p>
    <w:p w:rsidR="00292110" w:rsidRPr="00D5126A" w:rsidRDefault="00292110" w:rsidP="00292110">
      <w:pPr>
        <w:rPr>
          <w:rFonts w:ascii="Arial" w:hAnsi="Arial" w:cs="Arial"/>
        </w:rPr>
      </w:pPr>
      <w:r w:rsidRPr="00D5126A">
        <w:rPr>
          <w:rFonts w:ascii="Arial" w:hAnsi="Arial" w:cs="Arial"/>
        </w:rPr>
        <w:t xml:space="preserve">The Built Heritage Incentive Fund (BHIF) helps owners maintain their heritage buildings and recognises the importance of conserving, restoring, protecting and caring for Wellington’s heritage buildings. Two funding rounds were held during this financial year. The second </w:t>
      </w:r>
      <w:r w:rsidRPr="00D5126A">
        <w:rPr>
          <w:rFonts w:ascii="Arial" w:hAnsi="Arial" w:cs="Arial"/>
        </w:rPr>
        <w:lastRenderedPageBreak/>
        <w:t>round of funding was made possible through the return of unallocated funds from previous grants.</w:t>
      </w:r>
    </w:p>
    <w:p w:rsidR="00292110" w:rsidRPr="00D5126A" w:rsidRDefault="00292110" w:rsidP="00292110">
      <w:pPr>
        <w:rPr>
          <w:rFonts w:ascii="Arial" w:hAnsi="Arial" w:cs="Arial"/>
        </w:rPr>
      </w:pPr>
      <w:r w:rsidRPr="00D5126A">
        <w:rPr>
          <w:rFonts w:ascii="Arial" w:hAnsi="Arial" w:cs="Arial"/>
        </w:rPr>
        <w:t>A total of $550,000 was allocated to 18 projects. As in previous years, 85 percent of funding was allocated for seismic strengthening (11 projects) and 15 percent for conservation-related works (</w:t>
      </w:r>
      <w:r w:rsidR="00D77FB1">
        <w:rPr>
          <w:rFonts w:ascii="Arial" w:hAnsi="Arial" w:cs="Arial"/>
        </w:rPr>
        <w:t>seven</w:t>
      </w:r>
      <w:r w:rsidR="00D77FB1" w:rsidRPr="00D5126A">
        <w:rPr>
          <w:rFonts w:ascii="Arial" w:hAnsi="Arial" w:cs="Arial"/>
        </w:rPr>
        <w:t xml:space="preserve"> </w:t>
      </w:r>
      <w:r w:rsidRPr="00D5126A">
        <w:rPr>
          <w:rFonts w:ascii="Arial" w:hAnsi="Arial" w:cs="Arial"/>
        </w:rPr>
        <w:t xml:space="preserve">projects). </w:t>
      </w:r>
    </w:p>
    <w:p w:rsidR="00292110" w:rsidRPr="00D5126A" w:rsidRDefault="00292110" w:rsidP="00292110">
      <w:pPr>
        <w:rPr>
          <w:rFonts w:ascii="Arial" w:hAnsi="Arial" w:cs="Arial"/>
        </w:rPr>
      </w:pPr>
      <w:r w:rsidRPr="00D5126A">
        <w:rPr>
          <w:rFonts w:ascii="Arial" w:hAnsi="Arial" w:cs="Arial"/>
        </w:rPr>
        <w:t>Of the 22 earthquake</w:t>
      </w:r>
      <w:r w:rsidR="00D77FB1">
        <w:rPr>
          <w:rFonts w:ascii="Arial" w:hAnsi="Arial" w:cs="Arial"/>
        </w:rPr>
        <w:t>-</w:t>
      </w:r>
      <w:r w:rsidRPr="00D5126A">
        <w:rPr>
          <w:rFonts w:ascii="Arial" w:hAnsi="Arial" w:cs="Arial"/>
        </w:rPr>
        <w:t xml:space="preserve">prone heritage buildings removed from MBIE’s </w:t>
      </w:r>
      <w:r w:rsidR="00D77FB1">
        <w:rPr>
          <w:rFonts w:ascii="Arial" w:hAnsi="Arial" w:cs="Arial"/>
        </w:rPr>
        <w:t>r</w:t>
      </w:r>
      <w:r w:rsidR="00D77FB1" w:rsidRPr="00D5126A">
        <w:rPr>
          <w:rFonts w:ascii="Arial" w:hAnsi="Arial" w:cs="Arial"/>
        </w:rPr>
        <w:t xml:space="preserve">egister </w:t>
      </w:r>
      <w:r w:rsidRPr="00D5126A">
        <w:rPr>
          <w:rFonts w:ascii="Arial" w:hAnsi="Arial" w:cs="Arial"/>
        </w:rPr>
        <w:t xml:space="preserve">of earthquake prone buildings during the 2018/19 financial year, a total of </w:t>
      </w:r>
      <w:r w:rsidR="00654FDF">
        <w:rPr>
          <w:rFonts w:ascii="Arial" w:hAnsi="Arial" w:cs="Arial"/>
        </w:rPr>
        <w:t>11</w:t>
      </w:r>
      <w:r w:rsidR="00654FDF" w:rsidRPr="00D5126A">
        <w:rPr>
          <w:rFonts w:ascii="Arial" w:hAnsi="Arial" w:cs="Arial"/>
        </w:rPr>
        <w:t xml:space="preserve"> </w:t>
      </w:r>
      <w:r w:rsidRPr="00D5126A">
        <w:rPr>
          <w:rFonts w:ascii="Arial" w:hAnsi="Arial" w:cs="Arial"/>
        </w:rPr>
        <w:t>buildings received grants through the BHIF in previous rounds</w:t>
      </w:r>
      <w:r w:rsidR="00654FDF">
        <w:rPr>
          <w:rFonts w:ascii="Arial" w:hAnsi="Arial" w:cs="Arial"/>
        </w:rPr>
        <w:t>.</w:t>
      </w:r>
    </w:p>
    <w:p w:rsidR="00292110" w:rsidRPr="00D5126A" w:rsidRDefault="00292110" w:rsidP="00961FC5">
      <w:pPr>
        <w:pStyle w:val="Heading5"/>
      </w:pPr>
      <w:r w:rsidRPr="00D5126A">
        <w:t xml:space="preserve">Urban Activation </w:t>
      </w:r>
    </w:p>
    <w:p w:rsidR="00292110" w:rsidRPr="00D5126A" w:rsidRDefault="00292110" w:rsidP="00292110">
      <w:pPr>
        <w:rPr>
          <w:rFonts w:ascii="Arial" w:hAnsi="Arial" w:cs="Arial"/>
        </w:rPr>
      </w:pPr>
      <w:r w:rsidRPr="00D5126A">
        <w:rPr>
          <w:rFonts w:ascii="Arial" w:hAnsi="Arial" w:cs="Arial"/>
        </w:rPr>
        <w:t xml:space="preserve">Public realm improvements are programmed across Wellington to enhance vibrancy and connectivity, making our city more inviting and more liveable. The Lombard Lane and Bond Street upgrade transformed an </w:t>
      </w:r>
      <w:r w:rsidR="00654FDF">
        <w:rPr>
          <w:rFonts w:ascii="Arial" w:hAnsi="Arial" w:cs="Arial"/>
        </w:rPr>
        <w:t>under-used</w:t>
      </w:r>
      <w:r w:rsidR="00654FDF" w:rsidRPr="00D5126A">
        <w:rPr>
          <w:rFonts w:ascii="Arial" w:hAnsi="Arial" w:cs="Arial"/>
        </w:rPr>
        <w:t xml:space="preserve"> </w:t>
      </w:r>
      <w:r w:rsidRPr="00D5126A">
        <w:rPr>
          <w:rFonts w:ascii="Arial" w:hAnsi="Arial" w:cs="Arial"/>
        </w:rPr>
        <w:t xml:space="preserve">laneway and green space adjacent to some of our busiest retail streets. It created a welcoming environment where people can relax and linger.  The project was completed and launched in October 2018. The project included significant underground service upgrades, improvements to surfaces, lighting, street furniture and enhancement of the Denton Park green space.  In collaboration with the Sustainability Trust, a similar enhancement of Forrester’s Lane, with a mural, lighting and planters, was completed </w:t>
      </w:r>
      <w:r w:rsidR="00654FDF">
        <w:rPr>
          <w:rFonts w:ascii="Arial" w:hAnsi="Arial" w:cs="Arial"/>
        </w:rPr>
        <w:t xml:space="preserve">in </w:t>
      </w:r>
      <w:r w:rsidRPr="00D5126A">
        <w:rPr>
          <w:rFonts w:ascii="Arial" w:hAnsi="Arial" w:cs="Arial"/>
        </w:rPr>
        <w:t xml:space="preserve">May 2019.  </w:t>
      </w:r>
    </w:p>
    <w:p w:rsidR="00292110" w:rsidRPr="00D5126A" w:rsidRDefault="00292110" w:rsidP="00292110">
      <w:pPr>
        <w:rPr>
          <w:rFonts w:ascii="Arial" w:hAnsi="Arial" w:cs="Arial"/>
        </w:rPr>
      </w:pPr>
      <w:r w:rsidRPr="00D5126A">
        <w:rPr>
          <w:rFonts w:ascii="Arial" w:hAnsi="Arial" w:cs="Arial"/>
        </w:rPr>
        <w:t xml:space="preserve">The Grey Street pocket park refurbishment, including improved lighting, seating, new street trees and refurbishment of the fountain, commenced in May 2019 and will be completed by October 2019.  Garret Street and Swan Lane conceptual design and consultation is currently underway, with procurement planned for late 2019.  Construction will commence </w:t>
      </w:r>
      <w:r w:rsidR="00654FDF">
        <w:rPr>
          <w:rFonts w:ascii="Arial" w:hAnsi="Arial" w:cs="Arial"/>
        </w:rPr>
        <w:t xml:space="preserve">in </w:t>
      </w:r>
      <w:r w:rsidRPr="00D5126A">
        <w:rPr>
          <w:rFonts w:ascii="Arial" w:hAnsi="Arial" w:cs="Arial"/>
        </w:rPr>
        <w:t>April 2020.</w:t>
      </w:r>
    </w:p>
    <w:p w:rsidR="00292110" w:rsidRPr="00D5126A" w:rsidRDefault="00292110" w:rsidP="00961FC5">
      <w:pPr>
        <w:pStyle w:val="Heading5"/>
        <w:rPr>
          <w:rFonts w:ascii="Arial" w:hAnsi="Arial" w:cs="Arial"/>
        </w:rPr>
      </w:pPr>
      <w:r w:rsidRPr="00D5126A">
        <w:rPr>
          <w:rStyle w:val="00Text"/>
        </w:rPr>
        <w:t>Suburban activation</w:t>
      </w:r>
    </w:p>
    <w:p w:rsidR="00292110" w:rsidRPr="00D5126A" w:rsidRDefault="00292110" w:rsidP="00292110">
      <w:pPr>
        <w:rPr>
          <w:rFonts w:ascii="Arial" w:hAnsi="Arial" w:cs="Arial"/>
        </w:rPr>
      </w:pPr>
      <w:r w:rsidRPr="00D5126A">
        <w:rPr>
          <w:rFonts w:ascii="Arial" w:hAnsi="Arial" w:cs="Arial"/>
        </w:rPr>
        <w:t>The Tawa Town Centre upgrade aimed to create a safer more attractive environment for the local community and businesses alike.  The project was completed and launched in March 2019.   Two pedestrian crossings on Main Road in Tawa were installed to enhance accessibility</w:t>
      </w:r>
      <w:r w:rsidR="00F20E05">
        <w:rPr>
          <w:rFonts w:ascii="Arial" w:hAnsi="Arial" w:cs="Arial"/>
        </w:rPr>
        <w:t>,</w:t>
      </w:r>
      <w:r w:rsidRPr="00D5126A">
        <w:rPr>
          <w:rFonts w:ascii="Arial" w:hAnsi="Arial" w:cs="Arial"/>
        </w:rPr>
        <w:t xml:space="preserve"> along with improvements to surfaces, lighting, furniture and gardens within the adjacent plaza to improve connectivity and bring colour and vibracy to the centre of Tawa.  A new mural by artist Poihakena Ngawati Ngati Hine (Poi) was also installed as part of the scheme.  Project close out and evaluation will be completed in April 2020.</w:t>
      </w:r>
    </w:p>
    <w:p w:rsidR="00292110" w:rsidRPr="00D5126A" w:rsidRDefault="00292110" w:rsidP="00961FC5">
      <w:pPr>
        <w:pStyle w:val="Heading5"/>
      </w:pPr>
      <w:r w:rsidRPr="00D5126A">
        <w:rPr>
          <w:rStyle w:val="00Text"/>
        </w:rPr>
        <w:t>Planning for growth</w:t>
      </w:r>
    </w:p>
    <w:p w:rsidR="00292110" w:rsidRPr="00D5126A" w:rsidRDefault="00292110" w:rsidP="00292110">
      <w:pPr>
        <w:rPr>
          <w:rFonts w:ascii="Arial" w:hAnsi="Arial" w:cs="Arial"/>
        </w:rPr>
      </w:pPr>
      <w:r w:rsidRPr="00D5126A">
        <w:rPr>
          <w:rFonts w:ascii="Arial" w:hAnsi="Arial" w:cs="Arial"/>
        </w:rPr>
        <w:t xml:space="preserve">In 2017, we started a conversation with Wellingtonians about the future of our central city and how we should accommodate 50,000 to 80,000 more people in the next 30 years. In March to May 2019 this initial engagement was broadened to include the whole city based on the five key principles developed in 2017 (Compact, Green, Resilience, Inclusive and Connected, and Vibrant and Prosperous).  </w:t>
      </w:r>
    </w:p>
    <w:p w:rsidR="00292110" w:rsidRPr="00D5126A" w:rsidRDefault="00292110" w:rsidP="00292110">
      <w:pPr>
        <w:rPr>
          <w:rFonts w:ascii="Arial" w:hAnsi="Arial" w:cs="Arial"/>
        </w:rPr>
      </w:pPr>
      <w:r w:rsidRPr="00D5126A">
        <w:rPr>
          <w:rFonts w:ascii="Arial" w:hAnsi="Arial" w:cs="Arial"/>
        </w:rPr>
        <w:t>More than 1300 submissions were received on four growth scenarios</w:t>
      </w:r>
      <w:r w:rsidR="00690186">
        <w:rPr>
          <w:rFonts w:ascii="Arial" w:hAnsi="Arial" w:cs="Arial"/>
        </w:rPr>
        <w:t>,</w:t>
      </w:r>
      <w:r w:rsidRPr="00D5126A">
        <w:rPr>
          <w:rFonts w:ascii="Arial" w:hAnsi="Arial" w:cs="Arial"/>
        </w:rPr>
        <w:t xml:space="preserve"> with the preference being most growth accommodated in the central city and along a growth corridor from the central city to Newtown, and intensification in and around key suburban centres.  The results from this engagement will feed into a new 30-year Spatial Plan for the City with a draft released early in 2020 and finalised in mid-2020.  A full review of the District Plan – Council’s </w:t>
      </w:r>
      <w:r w:rsidRPr="00D5126A">
        <w:rPr>
          <w:rFonts w:ascii="Arial" w:hAnsi="Arial" w:cs="Arial"/>
        </w:rPr>
        <w:lastRenderedPageBreak/>
        <w:t>rule book for managing growth and development</w:t>
      </w:r>
      <w:r w:rsidR="00690186">
        <w:rPr>
          <w:rFonts w:ascii="Arial" w:hAnsi="Arial" w:cs="Arial"/>
        </w:rPr>
        <w:t xml:space="preserve"> </w:t>
      </w:r>
      <w:r w:rsidR="00690186" w:rsidRPr="00D5126A">
        <w:rPr>
          <w:rFonts w:ascii="Arial" w:hAnsi="Arial" w:cs="Arial"/>
        </w:rPr>
        <w:t>–</w:t>
      </w:r>
      <w:r w:rsidRPr="00D5126A">
        <w:rPr>
          <w:rFonts w:ascii="Arial" w:hAnsi="Arial" w:cs="Arial"/>
        </w:rPr>
        <w:t xml:space="preserve"> is also underway with a Draft District Plan to be released for public comment in late 2020. </w:t>
      </w:r>
    </w:p>
    <w:p w:rsidR="00292110" w:rsidRPr="00D5126A" w:rsidRDefault="00292110" w:rsidP="00292110">
      <w:pPr>
        <w:rPr>
          <w:rFonts w:ascii="Arial" w:hAnsi="Arial" w:cs="Arial"/>
        </w:rPr>
      </w:pPr>
      <w:r w:rsidRPr="00D5126A">
        <w:rPr>
          <w:rFonts w:ascii="Arial" w:hAnsi="Arial" w:cs="Arial"/>
        </w:rPr>
        <w:t>For more information on the engagement for this project, read the Planning for Growth case study in Chapter 1 - Pārongo ā-tāone Governance.</w:t>
      </w:r>
    </w:p>
    <w:p w:rsidR="00292110" w:rsidRPr="00D5126A" w:rsidRDefault="00292110" w:rsidP="00961FC5">
      <w:pPr>
        <w:pStyle w:val="Heading5"/>
      </w:pPr>
      <w:r w:rsidRPr="00D5126A">
        <w:t>Earthquake Strengthening</w:t>
      </w:r>
    </w:p>
    <w:p w:rsidR="00292110" w:rsidRPr="00D5126A" w:rsidRDefault="00292110" w:rsidP="00292110">
      <w:pPr>
        <w:rPr>
          <w:rFonts w:ascii="Arial" w:hAnsi="Arial" w:cs="Arial"/>
        </w:rPr>
      </w:pPr>
      <w:r w:rsidRPr="00D5126A">
        <w:rPr>
          <w:rFonts w:ascii="Arial" w:hAnsi="Arial" w:cs="Arial"/>
        </w:rPr>
        <w:t xml:space="preserve">About 600 buildings are currently active in the earthquake prone building (EPB) programme and are required to be strengthened over the next 2-15 years, depending on where the building is located and when the EPB notice was issued.  As part of the new national framework, a new concept called </w:t>
      </w:r>
      <w:r w:rsidR="003856A0">
        <w:rPr>
          <w:rFonts w:ascii="Arial" w:hAnsi="Arial" w:cs="Arial"/>
        </w:rPr>
        <w:t>“</w:t>
      </w:r>
      <w:r w:rsidRPr="00D5126A">
        <w:rPr>
          <w:rFonts w:ascii="Arial" w:hAnsi="Arial" w:cs="Arial"/>
        </w:rPr>
        <w:t>Priority Buildings</w:t>
      </w:r>
      <w:r w:rsidR="003856A0">
        <w:rPr>
          <w:rFonts w:ascii="Arial" w:hAnsi="Arial" w:cs="Arial"/>
        </w:rPr>
        <w:t>”</w:t>
      </w:r>
      <w:r w:rsidRPr="00D5126A">
        <w:rPr>
          <w:rFonts w:ascii="Arial" w:hAnsi="Arial" w:cs="Arial"/>
        </w:rPr>
        <w:t xml:space="preserve"> was introduced during the year.  Priority </w:t>
      </w:r>
      <w:r w:rsidR="003856A0">
        <w:rPr>
          <w:rFonts w:ascii="Arial" w:hAnsi="Arial" w:cs="Arial"/>
        </w:rPr>
        <w:t>B</w:t>
      </w:r>
      <w:r w:rsidR="003856A0" w:rsidRPr="00D5126A">
        <w:rPr>
          <w:rFonts w:ascii="Arial" w:hAnsi="Arial" w:cs="Arial"/>
        </w:rPr>
        <w:t xml:space="preserve">uildings </w:t>
      </w:r>
      <w:r w:rsidRPr="00D5126A">
        <w:rPr>
          <w:rFonts w:ascii="Arial" w:hAnsi="Arial" w:cs="Arial"/>
        </w:rPr>
        <w:t>present a higher risk because of their construction type, their use or their location in the city.   We completed a consultation with the community and stakeholders.  The City Strategy Committee considered submissions in April 2019 and a decision confirming the priority buildings was made.  Priority buildings are now being identified and new notices issued.</w:t>
      </w:r>
    </w:p>
    <w:p w:rsidR="00292110" w:rsidRPr="00D5126A" w:rsidRDefault="00292110" w:rsidP="00961FC5">
      <w:pPr>
        <w:pStyle w:val="Heading5"/>
      </w:pPr>
      <w:r w:rsidRPr="00D5126A">
        <w:rPr>
          <w:rStyle w:val="00Text"/>
        </w:rPr>
        <w:t>Council building earthquake strengthening</w:t>
      </w:r>
    </w:p>
    <w:p w:rsidR="00292110" w:rsidRPr="00D5126A" w:rsidRDefault="00292110" w:rsidP="00292110">
      <w:pPr>
        <w:rPr>
          <w:rFonts w:ascii="Arial" w:hAnsi="Arial" w:cs="Arial"/>
        </w:rPr>
      </w:pPr>
      <w:r w:rsidRPr="00D5126A">
        <w:rPr>
          <w:rFonts w:ascii="Arial" w:hAnsi="Arial" w:cs="Arial"/>
        </w:rPr>
        <w:t xml:space="preserve">We are progressing work on several Council buildings, including the Town Hall, the St James Theatre and the Michael Fowler Centre. These buildings all support the city’s cultural events and activities and are important facilities. </w:t>
      </w:r>
    </w:p>
    <w:p w:rsidR="00292110" w:rsidRPr="00D5126A" w:rsidRDefault="00292110" w:rsidP="00292110">
      <w:pPr>
        <w:rPr>
          <w:rFonts w:ascii="Arial" w:hAnsi="Arial" w:cs="Arial"/>
        </w:rPr>
      </w:pPr>
      <w:r w:rsidRPr="00D5126A">
        <w:rPr>
          <w:rFonts w:ascii="Arial" w:hAnsi="Arial" w:cs="Arial"/>
        </w:rPr>
        <w:t>Construction work on the Town Hall started during the year. It is expected to re-open to the public in 202</w:t>
      </w:r>
      <w:r w:rsidR="009C000D" w:rsidRPr="00D5126A">
        <w:rPr>
          <w:rFonts w:ascii="Arial" w:hAnsi="Arial" w:cs="Arial"/>
        </w:rPr>
        <w:t>3</w:t>
      </w:r>
      <w:r w:rsidRPr="00D5126A">
        <w:rPr>
          <w:rFonts w:ascii="Arial" w:hAnsi="Arial" w:cs="Arial"/>
        </w:rPr>
        <w:t xml:space="preserve"> and will become part of a national centre for musical excellence in Te Ngākau Civic Square.   Work has also started on the St James Theatre and this is due for completion at the end of 2021. </w:t>
      </w:r>
    </w:p>
    <w:p w:rsidR="00292110" w:rsidRPr="00D5126A" w:rsidRDefault="00292110" w:rsidP="00292110">
      <w:pPr>
        <w:rPr>
          <w:rFonts w:ascii="Arial" w:hAnsi="Arial" w:cs="Arial"/>
        </w:rPr>
      </w:pPr>
      <w:r w:rsidRPr="00D5126A">
        <w:rPr>
          <w:rFonts w:ascii="Arial" w:hAnsi="Arial" w:cs="Arial"/>
        </w:rPr>
        <w:t>The Council’s Civic Administrative Building was damaged in the Kaikoura earthquake and remains closed.  A decision on its future will be made once discussions with Council insurers are concluded.</w:t>
      </w:r>
    </w:p>
    <w:p w:rsidR="00292110" w:rsidRPr="00D5126A" w:rsidRDefault="00292110" w:rsidP="00292110">
      <w:pPr>
        <w:rPr>
          <w:rFonts w:ascii="Arial" w:hAnsi="Arial" w:cs="Arial"/>
        </w:rPr>
      </w:pPr>
      <w:r w:rsidRPr="00D5126A">
        <w:rPr>
          <w:rFonts w:ascii="Arial" w:hAnsi="Arial" w:cs="Arial"/>
        </w:rPr>
        <w:t>Following an engineering assessment, using MBIE’s new guidelines for pre-cast concrete floors, the Central Library was closed in March 2019.  The Council is currently setting up a process to engage with a selection of construction and engineering industry experts to assist in finding the right way forward for the building.</w:t>
      </w:r>
    </w:p>
    <w:p w:rsidR="00292110" w:rsidRPr="00D5126A" w:rsidRDefault="00292110" w:rsidP="00961FC5">
      <w:pPr>
        <w:pStyle w:val="Heading5"/>
      </w:pPr>
      <w:r w:rsidRPr="00D5126A">
        <w:t xml:space="preserve">Waterfront Development  </w:t>
      </w:r>
    </w:p>
    <w:p w:rsidR="00292110" w:rsidRPr="00D5126A" w:rsidRDefault="00292110" w:rsidP="00292110">
      <w:pPr>
        <w:rPr>
          <w:rFonts w:ascii="Arial" w:hAnsi="Arial" w:cs="Arial"/>
        </w:rPr>
      </w:pPr>
      <w:r w:rsidRPr="00D5126A">
        <w:rPr>
          <w:rFonts w:ascii="Arial" w:hAnsi="Arial" w:cs="Arial"/>
        </w:rPr>
        <w:t>The North Kumutoto public space, officially opened in December 2018, comprises a new timber boardwalk, improved access for visitors to the harbour’s edge, planting to attract wildlife, a timber pavilion, seating areas, covered walkways and restoration of many heritage features including the historic harbour board fences</w:t>
      </w:r>
      <w:r w:rsidR="003856A0">
        <w:rPr>
          <w:rFonts w:ascii="Arial" w:hAnsi="Arial" w:cs="Arial"/>
        </w:rPr>
        <w:t xml:space="preserve"> and</w:t>
      </w:r>
      <w:r w:rsidR="003856A0" w:rsidRPr="00D5126A">
        <w:rPr>
          <w:rFonts w:ascii="Arial" w:hAnsi="Arial" w:cs="Arial"/>
        </w:rPr>
        <w:t xml:space="preserve"> </w:t>
      </w:r>
      <w:r w:rsidRPr="00D5126A">
        <w:rPr>
          <w:rFonts w:ascii="Arial" w:hAnsi="Arial" w:cs="Arial"/>
        </w:rPr>
        <w:t>gates.</w:t>
      </w:r>
    </w:p>
    <w:p w:rsidR="00292110" w:rsidRPr="00D5126A" w:rsidRDefault="00292110" w:rsidP="00292110">
      <w:pPr>
        <w:rPr>
          <w:rFonts w:ascii="Arial" w:hAnsi="Arial" w:cs="Arial"/>
        </w:rPr>
      </w:pPr>
      <w:r w:rsidRPr="00D5126A">
        <w:rPr>
          <w:rFonts w:ascii="Arial" w:hAnsi="Arial" w:cs="Arial"/>
        </w:rPr>
        <w:t>North Kumutoto has been the recipient of several awards since its comple</w:t>
      </w:r>
      <w:r w:rsidR="00F24E5D" w:rsidRPr="00D5126A">
        <w:rPr>
          <w:rFonts w:ascii="Arial" w:hAnsi="Arial" w:cs="Arial"/>
        </w:rPr>
        <w:t xml:space="preserve">tion. These are detailed on pg </w:t>
      </w:r>
      <w:r w:rsidR="00B768DD">
        <w:rPr>
          <w:rFonts w:ascii="Arial" w:hAnsi="Arial" w:cs="Arial"/>
        </w:rPr>
        <w:t>214</w:t>
      </w:r>
      <w:r w:rsidRPr="00D5126A">
        <w:rPr>
          <w:rFonts w:ascii="Arial" w:hAnsi="Arial" w:cs="Arial"/>
        </w:rPr>
        <w:t xml:space="preserve"> of this report.</w:t>
      </w:r>
    </w:p>
    <w:p w:rsidR="00292110" w:rsidRPr="00D5126A" w:rsidRDefault="00292110" w:rsidP="00292110">
      <w:pPr>
        <w:rPr>
          <w:rFonts w:ascii="Arial" w:hAnsi="Arial" w:cs="Arial"/>
        </w:rPr>
      </w:pPr>
      <w:r w:rsidRPr="00D5126A">
        <w:rPr>
          <w:rFonts w:ascii="Arial" w:hAnsi="Arial" w:cs="Arial"/>
        </w:rPr>
        <w:t xml:space="preserve">Site 9 (at north Kumutoto) is being used as an event space and carpark until development commences in early 2020, pending a successful application for resource consent expected to be heard in the Environment Court in late 2019.  The building will comprise office space with ground floor retail and hospitality, and covered walkways around the building’s perimeter. </w:t>
      </w:r>
    </w:p>
    <w:p w:rsidR="00292110" w:rsidRPr="00D5126A" w:rsidRDefault="00292110" w:rsidP="00292110">
      <w:pPr>
        <w:rPr>
          <w:rFonts w:ascii="Arial" w:hAnsi="Arial" w:cs="Arial"/>
        </w:rPr>
      </w:pPr>
      <w:r w:rsidRPr="00D5126A">
        <w:rPr>
          <w:rFonts w:ascii="Arial" w:hAnsi="Arial" w:cs="Arial"/>
        </w:rPr>
        <w:lastRenderedPageBreak/>
        <w:t>Frank Kitts Park</w:t>
      </w:r>
      <w:r w:rsidR="003856A0">
        <w:rPr>
          <w:rFonts w:ascii="Arial" w:hAnsi="Arial" w:cs="Arial"/>
        </w:rPr>
        <w:t>:</w:t>
      </w:r>
      <w:r w:rsidRPr="00D5126A">
        <w:rPr>
          <w:rFonts w:ascii="Arial" w:hAnsi="Arial" w:cs="Arial"/>
        </w:rPr>
        <w:t xml:space="preserve"> The resource consent has been approved by the High Court.  The first stage of development will be a new playground, which will have a coastal theme and retain the iconic lighthouse.  Work on the playground will commence in the second quarter of 2020.</w:t>
      </w:r>
    </w:p>
    <w:p w:rsidR="00292110" w:rsidRPr="00D5126A" w:rsidRDefault="00292110" w:rsidP="00292110">
      <w:pPr>
        <w:rPr>
          <w:rFonts w:ascii="Arial" w:hAnsi="Arial" w:cs="Arial"/>
        </w:rPr>
      </w:pPr>
      <w:r w:rsidRPr="00D5126A">
        <w:rPr>
          <w:rFonts w:ascii="Arial" w:hAnsi="Arial" w:cs="Arial"/>
        </w:rPr>
        <w:t>Shed 1</w:t>
      </w:r>
      <w:r w:rsidR="003856A0">
        <w:rPr>
          <w:rFonts w:ascii="Arial" w:hAnsi="Arial" w:cs="Arial"/>
        </w:rPr>
        <w:t>:</w:t>
      </w:r>
      <w:r w:rsidRPr="00D5126A">
        <w:rPr>
          <w:rFonts w:ascii="Arial" w:hAnsi="Arial" w:cs="Arial"/>
        </w:rPr>
        <w:t xml:space="preserve"> </w:t>
      </w:r>
      <w:r w:rsidR="003856A0">
        <w:rPr>
          <w:rFonts w:ascii="Arial" w:hAnsi="Arial" w:cs="Arial"/>
        </w:rPr>
        <w:t>P</w:t>
      </w:r>
      <w:r w:rsidR="003856A0" w:rsidRPr="00D5126A">
        <w:rPr>
          <w:rFonts w:ascii="Arial" w:hAnsi="Arial" w:cs="Arial"/>
        </w:rPr>
        <w:t xml:space="preserve">lanning </w:t>
      </w:r>
      <w:r w:rsidRPr="00D5126A">
        <w:rPr>
          <w:rFonts w:ascii="Arial" w:hAnsi="Arial" w:cs="Arial"/>
        </w:rPr>
        <w:t xml:space="preserve">is underway to earthquake strengthen </w:t>
      </w:r>
      <w:r w:rsidR="003856A0">
        <w:rPr>
          <w:rFonts w:ascii="Arial" w:hAnsi="Arial" w:cs="Arial"/>
        </w:rPr>
        <w:t>the building</w:t>
      </w:r>
      <w:r w:rsidRPr="00D5126A">
        <w:rPr>
          <w:rFonts w:ascii="Arial" w:hAnsi="Arial" w:cs="Arial"/>
        </w:rPr>
        <w:t>.  This will be followed by re-cladding the exterior of the building and internal re-modelling by tenant Wellington Helicopters Ltd.</w:t>
      </w:r>
    </w:p>
    <w:p w:rsidR="00292110" w:rsidRPr="00D5126A" w:rsidRDefault="00292110" w:rsidP="00292110">
      <w:pPr>
        <w:rPr>
          <w:rFonts w:ascii="Arial" w:hAnsi="Arial" w:cs="Arial"/>
        </w:rPr>
      </w:pPr>
      <w:r w:rsidRPr="00D5126A">
        <w:rPr>
          <w:rFonts w:ascii="Arial" w:hAnsi="Arial" w:cs="Arial"/>
        </w:rPr>
        <w:t>The PwC Centre, the most recently completed waterfront office development</w:t>
      </w:r>
      <w:r w:rsidR="003856A0">
        <w:rPr>
          <w:rFonts w:ascii="Arial" w:hAnsi="Arial" w:cs="Arial"/>
        </w:rPr>
        <w:t>,</w:t>
      </w:r>
      <w:r w:rsidRPr="00D5126A">
        <w:rPr>
          <w:rFonts w:ascii="Arial" w:hAnsi="Arial" w:cs="Arial"/>
        </w:rPr>
        <w:t xml:space="preserve"> won two significant awards in 2019. </w:t>
      </w:r>
    </w:p>
    <w:p w:rsidR="00292110" w:rsidRPr="00D5126A" w:rsidRDefault="00292110" w:rsidP="002C7BF8">
      <w:pPr>
        <w:pStyle w:val="ListParagraph"/>
        <w:numPr>
          <w:ilvl w:val="0"/>
          <w:numId w:val="11"/>
        </w:numPr>
        <w:rPr>
          <w:rFonts w:ascii="Arial" w:hAnsi="Arial" w:cs="Arial"/>
        </w:rPr>
      </w:pPr>
      <w:r w:rsidRPr="00D5126A">
        <w:rPr>
          <w:rFonts w:ascii="Arial" w:hAnsi="Arial" w:cs="Arial"/>
        </w:rPr>
        <w:t>Supreme Commercial Project of the Year for its world-leading base isolation design - at the annual New Zealand Registered Master Builders Association Commercial Project Awards</w:t>
      </w:r>
    </w:p>
    <w:p w:rsidR="00292110" w:rsidRPr="00D5126A" w:rsidRDefault="00292110" w:rsidP="002C7BF8">
      <w:pPr>
        <w:pStyle w:val="ListParagraph"/>
        <w:numPr>
          <w:ilvl w:val="0"/>
          <w:numId w:val="11"/>
        </w:numPr>
        <w:rPr>
          <w:rFonts w:ascii="Arial" w:hAnsi="Arial" w:cs="Arial"/>
        </w:rPr>
      </w:pPr>
      <w:r w:rsidRPr="00D5126A">
        <w:rPr>
          <w:rFonts w:ascii="Arial" w:hAnsi="Arial" w:cs="Arial"/>
        </w:rPr>
        <w:t xml:space="preserve">RCP Commercial Office Best in Category </w:t>
      </w:r>
      <w:proofErr w:type="gramStart"/>
      <w:r w:rsidRPr="00D5126A">
        <w:rPr>
          <w:rFonts w:ascii="Arial" w:hAnsi="Arial" w:cs="Arial"/>
        </w:rPr>
        <w:t>Award  -</w:t>
      </w:r>
      <w:proofErr w:type="gramEnd"/>
      <w:r w:rsidRPr="00D5126A">
        <w:rPr>
          <w:rFonts w:ascii="Arial" w:hAnsi="Arial" w:cs="Arial"/>
        </w:rPr>
        <w:t xml:space="preserve"> at the Property Council New Zealand Rider Levett Bucknall Property Industry Awards</w:t>
      </w:r>
      <w:r w:rsidR="003856A0">
        <w:rPr>
          <w:rFonts w:ascii="Arial" w:hAnsi="Arial" w:cs="Arial"/>
        </w:rPr>
        <w:t>.</w:t>
      </w:r>
    </w:p>
    <w:p w:rsidR="00292110" w:rsidRPr="00D5126A" w:rsidRDefault="00292110" w:rsidP="00961FC5">
      <w:pPr>
        <w:pStyle w:val="Heading5"/>
      </w:pPr>
      <w:r w:rsidRPr="00D5126A">
        <w:t>Waterfront Resilience</w:t>
      </w:r>
    </w:p>
    <w:p w:rsidR="00292110" w:rsidRPr="00D5126A" w:rsidRDefault="00292110" w:rsidP="00292110">
      <w:pPr>
        <w:rPr>
          <w:rFonts w:ascii="Arial" w:hAnsi="Arial" w:cs="Arial"/>
        </w:rPr>
      </w:pPr>
      <w:r w:rsidRPr="00D5126A">
        <w:rPr>
          <w:rFonts w:ascii="Arial" w:hAnsi="Arial" w:cs="Arial"/>
        </w:rPr>
        <w:t xml:space="preserve">The Council’s Waterfront Operations continues to plan for and implement measures to address its main resilience challenges – seismic events and climate change (predicted sea-level rise): </w:t>
      </w:r>
    </w:p>
    <w:p w:rsidR="00292110" w:rsidRPr="00D5126A" w:rsidRDefault="00292110" w:rsidP="002C7BF8">
      <w:pPr>
        <w:pStyle w:val="ListParagraph"/>
        <w:numPr>
          <w:ilvl w:val="0"/>
          <w:numId w:val="12"/>
        </w:numPr>
        <w:rPr>
          <w:rFonts w:ascii="Arial" w:hAnsi="Arial" w:cs="Arial"/>
        </w:rPr>
      </w:pPr>
      <w:r w:rsidRPr="00D5126A">
        <w:rPr>
          <w:rFonts w:ascii="Arial" w:hAnsi="Arial" w:cs="Arial"/>
        </w:rPr>
        <w:t xml:space="preserve">All structures such as decks, pontoons, rip rap edge protection and infrastructure (mainly electrical) across the waterfront that could be vulnerable to </w:t>
      </w:r>
      <w:r w:rsidR="003856A0" w:rsidRPr="00D5126A">
        <w:rPr>
          <w:rFonts w:ascii="Arial" w:hAnsi="Arial" w:cs="Arial"/>
        </w:rPr>
        <w:t>sea</w:t>
      </w:r>
      <w:r w:rsidR="003856A0">
        <w:rPr>
          <w:rFonts w:ascii="Arial" w:hAnsi="Arial" w:cs="Arial"/>
        </w:rPr>
        <w:t>-</w:t>
      </w:r>
      <w:r w:rsidRPr="00D5126A">
        <w:rPr>
          <w:rFonts w:ascii="Arial" w:hAnsi="Arial" w:cs="Arial"/>
        </w:rPr>
        <w:t>level rise or storm surge will, over the medium term, be progressively raised, relocated, protected, reinforced or removed as deemed appropriate.</w:t>
      </w:r>
    </w:p>
    <w:p w:rsidR="00292110" w:rsidRPr="00D5126A" w:rsidRDefault="00292110" w:rsidP="002C7BF8">
      <w:pPr>
        <w:pStyle w:val="ListParagraph"/>
        <w:numPr>
          <w:ilvl w:val="0"/>
          <w:numId w:val="12"/>
        </w:numPr>
        <w:rPr>
          <w:rFonts w:ascii="Arial" w:hAnsi="Arial" w:cs="Arial"/>
        </w:rPr>
      </w:pPr>
      <w:r w:rsidRPr="00D5126A">
        <w:rPr>
          <w:rFonts w:ascii="Arial" w:hAnsi="Arial" w:cs="Arial"/>
        </w:rPr>
        <w:t>Seismic resilience of the waterfront (which in the event of a major seismic event could act as an alternative thoroughfare around the edge of the central city for emergency vehicles) is progressively being improved with seismic separation gaps being formed between wharves and adjacent structures or between wharves and land (examples include Taranaki Street Wharf and Queens Wharf inner-T, outer-T and stem).</w:t>
      </w:r>
    </w:p>
    <w:p w:rsidR="00292110" w:rsidRPr="00D5126A" w:rsidRDefault="00292110" w:rsidP="00961FC5">
      <w:pPr>
        <w:pStyle w:val="Heading5"/>
        <w:rPr>
          <w:rStyle w:val="00Text"/>
          <w:b w:val="0"/>
          <w:bCs w:val="0"/>
        </w:rPr>
      </w:pPr>
      <w:bookmarkStart w:id="267" w:name="6_2_Whakahaere_hanga_whare_Building_and_"/>
      <w:r w:rsidRPr="00D5126A">
        <w:rPr>
          <w:rStyle w:val="00Text"/>
          <w:b w:val="0"/>
          <w:bCs w:val="0"/>
        </w:rPr>
        <w:t>Shelly Bay</w:t>
      </w:r>
    </w:p>
    <w:p w:rsidR="00292110" w:rsidRPr="00D5126A" w:rsidRDefault="00292110" w:rsidP="00292110">
      <w:pPr>
        <w:rPr>
          <w:rFonts w:ascii="Arial" w:hAnsi="Arial" w:cs="Arial"/>
        </w:rPr>
      </w:pPr>
      <w:r w:rsidRPr="00D5126A">
        <w:rPr>
          <w:rFonts w:ascii="Arial" w:hAnsi="Arial" w:cs="Arial"/>
        </w:rPr>
        <w:t xml:space="preserve">In 2017, we consulted the community on the divestment and lease of Council land in Shelly Bay to allow for the redevelopment of the site.  While Council land only made up a small portion of the planned development, the proposal was controversial and more than 1100 submissions were received from the community. </w:t>
      </w:r>
    </w:p>
    <w:p w:rsidR="00292110" w:rsidRPr="00D5126A" w:rsidRDefault="00292110" w:rsidP="00292110">
      <w:pPr>
        <w:rPr>
          <w:rFonts w:ascii="Arial" w:hAnsi="Arial" w:cs="Arial"/>
        </w:rPr>
      </w:pPr>
      <w:r w:rsidRPr="00D5126A">
        <w:rPr>
          <w:rFonts w:ascii="Arial" w:hAnsi="Arial" w:cs="Arial"/>
        </w:rPr>
        <w:t>Following the granting of resource consent for the project in 2017, the Council agreed to enter into an agreement to sell and lease land to Shelly Bay Limited so the planned development of housing and public space could proceed. The resource consent was the subject of judicial review proceedings in the High Court and then Court of Appeal. In December 2018 the Court of Appeal quashed the consent, determining Council had made an error of law when granting it.</w:t>
      </w:r>
    </w:p>
    <w:p w:rsidR="00292110" w:rsidRPr="00D5126A" w:rsidRDefault="00292110" w:rsidP="00292110">
      <w:pPr>
        <w:rPr>
          <w:rFonts w:ascii="Arial" w:hAnsi="Arial" w:cs="Arial"/>
          <w:caps/>
        </w:rPr>
      </w:pPr>
      <w:r w:rsidRPr="00D5126A">
        <w:rPr>
          <w:rFonts w:ascii="Arial" w:hAnsi="Arial" w:cs="Arial"/>
        </w:rPr>
        <w:t>The Wellington Company (the lead developer) has re-submitted its application, which is currently the subject of consideration by three independent resource consent commissioners. It is expected the panel will make a deliberation in the fourth quarter of 2019.</w:t>
      </w:r>
    </w:p>
    <w:p w:rsidR="00292110" w:rsidRPr="00687686" w:rsidRDefault="00292110" w:rsidP="00AA2122">
      <w:pPr>
        <w:pStyle w:val="Heading3"/>
        <w:rPr>
          <w:b w:val="0"/>
          <w:color w:val="00A1DA"/>
        </w:rPr>
      </w:pPr>
      <w:bookmarkStart w:id="268" w:name="_Toc19085853"/>
      <w:r w:rsidRPr="00687686">
        <w:rPr>
          <w:rStyle w:val="00Text"/>
          <w:b/>
          <w:color w:val="00A1DA"/>
        </w:rPr>
        <w:lastRenderedPageBreak/>
        <w:t xml:space="preserve">6.2 Whakahaere hanga whare - </w:t>
      </w:r>
      <w:r w:rsidRPr="00687686">
        <w:rPr>
          <w:b w:val="0"/>
          <w:color w:val="00A1DA"/>
        </w:rPr>
        <w:t>Building and development control</w:t>
      </w:r>
      <w:bookmarkEnd w:id="267"/>
      <w:bookmarkEnd w:id="268"/>
    </w:p>
    <w:p w:rsidR="00292110" w:rsidRPr="00687686" w:rsidRDefault="00292110" w:rsidP="00846C1B">
      <w:pPr>
        <w:pStyle w:val="Heading4"/>
        <w:rPr>
          <w:color w:val="00A1DA"/>
        </w:rPr>
      </w:pPr>
      <w:r w:rsidRPr="00687686">
        <w:rPr>
          <w:color w:val="00A1DA"/>
        </w:rPr>
        <w:t>What we did</w:t>
      </w:r>
    </w:p>
    <w:p w:rsidR="00F24E5D" w:rsidRPr="00D5126A" w:rsidRDefault="00F24E5D" w:rsidP="00F24E5D">
      <w:pPr>
        <w:pStyle w:val="Heading5"/>
      </w:pPr>
      <w:bookmarkStart w:id="269" w:name="Urban_development_finances"/>
      <w:bookmarkStart w:id="270" w:name="_Toc11915661"/>
      <w:bookmarkStart w:id="271" w:name="_Toc13211859"/>
      <w:bookmarkStart w:id="272" w:name="_Toc14178562"/>
      <w:r w:rsidRPr="00D5126A">
        <w:rPr>
          <w:rStyle w:val="00Text"/>
        </w:rPr>
        <w:t>Building consents</w:t>
      </w:r>
    </w:p>
    <w:p w:rsidR="00F24E5D" w:rsidRPr="00D5126A" w:rsidRDefault="00F24E5D" w:rsidP="00F24E5D">
      <w:pPr>
        <w:pStyle w:val="Para010"/>
        <w:numPr>
          <w:ilvl w:val="0"/>
          <w:numId w:val="0"/>
        </w:numPr>
        <w:spacing w:line="240" w:lineRule="auto"/>
        <w:rPr>
          <w:rFonts w:ascii="Arial" w:hAnsi="Arial" w:cs="Arial"/>
          <w:color w:val="808080" w:themeColor="background1" w:themeShade="80"/>
        </w:rPr>
      </w:pPr>
      <w:r w:rsidRPr="00D5126A">
        <w:rPr>
          <w:rFonts w:ascii="Arial" w:hAnsi="Arial" w:cs="Arial"/>
        </w:rPr>
        <w:t xml:space="preserve">Altogether, </w:t>
      </w:r>
      <w:r w:rsidR="001B50F9">
        <w:rPr>
          <w:rFonts w:ascii="Arial" w:hAnsi="Arial" w:cs="Arial"/>
        </w:rPr>
        <w:t>2579</w:t>
      </w:r>
      <w:r w:rsidR="001B50F9" w:rsidRPr="00D5126A">
        <w:rPr>
          <w:rFonts w:ascii="Arial" w:hAnsi="Arial" w:cs="Arial"/>
        </w:rPr>
        <w:t xml:space="preserve"> </w:t>
      </w:r>
      <w:r w:rsidRPr="00D5126A">
        <w:rPr>
          <w:rFonts w:ascii="Arial" w:hAnsi="Arial" w:cs="Arial"/>
        </w:rPr>
        <w:t>building consents were issued by the Council in the 2018/19 financial year</w:t>
      </w:r>
      <w:r w:rsidR="00687686">
        <w:rPr>
          <w:rFonts w:ascii="Arial" w:hAnsi="Arial" w:cs="Arial"/>
        </w:rPr>
        <w:t>. These included consents</w:t>
      </w:r>
      <w:r w:rsidR="001B50F9">
        <w:rPr>
          <w:rFonts w:ascii="Arial" w:hAnsi="Arial" w:cs="Arial"/>
        </w:rPr>
        <w:t xml:space="preserve"> issued on behalf of Auckland and the Chatham Island</w:t>
      </w:r>
      <w:r w:rsidR="00687686">
        <w:rPr>
          <w:rFonts w:ascii="Arial" w:hAnsi="Arial" w:cs="Arial"/>
        </w:rPr>
        <w:t xml:space="preserve">s. </w:t>
      </w:r>
    </w:p>
    <w:p w:rsidR="00F24E5D" w:rsidRPr="00D5126A" w:rsidRDefault="00F24E5D" w:rsidP="003631E3">
      <w:pPr>
        <w:pStyle w:val="Heading6"/>
      </w:pPr>
      <w:r w:rsidRPr="00D5126A">
        <w:t>Improving the consenting system</w:t>
      </w:r>
    </w:p>
    <w:p w:rsidR="00F24E5D" w:rsidRPr="00D5126A" w:rsidRDefault="00F24E5D" w:rsidP="00F24E5D">
      <w:pPr>
        <w:jc w:val="both"/>
        <w:rPr>
          <w:rFonts w:ascii="Arial" w:hAnsi="Arial" w:cs="Arial"/>
        </w:rPr>
      </w:pPr>
      <w:r w:rsidRPr="00D5126A">
        <w:rPr>
          <w:rFonts w:ascii="Arial" w:hAnsi="Arial" w:cs="Arial"/>
        </w:rPr>
        <w:t xml:space="preserve">During the year we advanced a significant redevelopment of our Quality Management System moving all teams onto a new platform. This involved considerable development </w:t>
      </w:r>
      <w:r w:rsidR="003856A0">
        <w:rPr>
          <w:rFonts w:ascii="Arial" w:hAnsi="Arial" w:cs="Arial"/>
        </w:rPr>
        <w:t xml:space="preserve">of </w:t>
      </w:r>
      <w:r w:rsidRPr="00D5126A">
        <w:rPr>
          <w:rFonts w:ascii="Arial" w:hAnsi="Arial" w:cs="Arial"/>
        </w:rPr>
        <w:t xml:space="preserve">our business processes. The upgraded consenting platform has been further adapted by multiple councils as part of a wider initiative </w:t>
      </w:r>
      <w:r w:rsidR="003856A0">
        <w:rPr>
          <w:rFonts w:ascii="Arial" w:hAnsi="Arial" w:cs="Arial"/>
        </w:rPr>
        <w:t>to</w:t>
      </w:r>
      <w:r w:rsidR="003856A0" w:rsidRPr="00D5126A">
        <w:rPr>
          <w:rFonts w:ascii="Arial" w:hAnsi="Arial" w:cs="Arial"/>
        </w:rPr>
        <w:t xml:space="preserve"> </w:t>
      </w:r>
      <w:r w:rsidRPr="00D5126A">
        <w:rPr>
          <w:rFonts w:ascii="Arial" w:hAnsi="Arial" w:cs="Arial"/>
        </w:rPr>
        <w:t xml:space="preserve">simplify the delivery of Council services. </w:t>
      </w:r>
    </w:p>
    <w:p w:rsidR="00F24E5D" w:rsidRPr="00D5126A" w:rsidRDefault="00F24E5D" w:rsidP="003631E3">
      <w:pPr>
        <w:pStyle w:val="Heading6"/>
      </w:pPr>
      <w:r w:rsidRPr="00D5126A">
        <w:t>Challenges</w:t>
      </w:r>
    </w:p>
    <w:p w:rsidR="00F24E5D" w:rsidRPr="00D5126A" w:rsidRDefault="00F24E5D" w:rsidP="00F24E5D">
      <w:pPr>
        <w:rPr>
          <w:rFonts w:ascii="Arial" w:hAnsi="Arial" w:cs="Arial"/>
        </w:rPr>
      </w:pPr>
      <w:r w:rsidRPr="00D5126A">
        <w:rPr>
          <w:rFonts w:ascii="Arial" w:hAnsi="Arial" w:cs="Arial"/>
        </w:rPr>
        <w:t>This financial year our consenting units failed to meet their performance measures for issuing building consents or code of compliance certificates within 20 working days, or LIMs within 10 working days.</w:t>
      </w:r>
    </w:p>
    <w:p w:rsidR="00F24E5D" w:rsidRPr="00D5126A" w:rsidRDefault="00F24E5D" w:rsidP="00F24E5D">
      <w:pPr>
        <w:rPr>
          <w:rFonts w:ascii="Arial" w:hAnsi="Arial" w:cs="Arial"/>
        </w:rPr>
      </w:pPr>
      <w:r w:rsidRPr="00D5126A">
        <w:rPr>
          <w:rFonts w:ascii="Arial" w:hAnsi="Arial" w:cs="Arial"/>
        </w:rPr>
        <w:t>While the consenting teams have improved their systems, nationwide competition for skilled workers has increased during the year. Retaining skilled staff is essential for effective implementation of the consent processing system improvements, meeting consent processing performance targets, dealing with an increased workload from regulation changes, and the increasing complexity of consents being lodged.</w:t>
      </w:r>
    </w:p>
    <w:p w:rsidR="00F24E5D" w:rsidRPr="00D5126A" w:rsidRDefault="00F24E5D" w:rsidP="00F24E5D">
      <w:pPr>
        <w:rPr>
          <w:rFonts w:ascii="Arial" w:hAnsi="Arial" w:cs="Arial"/>
        </w:rPr>
      </w:pPr>
      <w:r w:rsidRPr="00D5126A">
        <w:rPr>
          <w:rFonts w:ascii="Arial" w:hAnsi="Arial" w:cs="Arial"/>
        </w:rPr>
        <w:t>In addition, regulations require that technical roles must have specific technical qualifications. This further narrows the pool of building industry professionals available nationwide to consent authorities</w:t>
      </w:r>
      <w:r w:rsidR="003856A0">
        <w:rPr>
          <w:rFonts w:ascii="Arial" w:hAnsi="Arial" w:cs="Arial"/>
        </w:rPr>
        <w:t xml:space="preserve">, </w:t>
      </w:r>
      <w:r w:rsidRPr="00D5126A">
        <w:rPr>
          <w:rFonts w:ascii="Arial" w:hAnsi="Arial" w:cs="Arial"/>
        </w:rPr>
        <w:t xml:space="preserve">particularly in the inspections and compliance roles. </w:t>
      </w:r>
      <w:r w:rsidR="003856A0">
        <w:rPr>
          <w:rFonts w:ascii="Arial" w:hAnsi="Arial" w:cs="Arial"/>
        </w:rPr>
        <w:t>Also,</w:t>
      </w:r>
      <w:r w:rsidR="003856A0" w:rsidRPr="00D5126A">
        <w:rPr>
          <w:rFonts w:ascii="Arial" w:hAnsi="Arial" w:cs="Arial"/>
        </w:rPr>
        <w:t xml:space="preserve"> </w:t>
      </w:r>
      <w:r w:rsidRPr="00D5126A">
        <w:rPr>
          <w:rFonts w:ascii="Arial" w:hAnsi="Arial" w:cs="Arial"/>
        </w:rPr>
        <w:t xml:space="preserve">those most suitable for these roles, the ones who have ability to apply the theory of construction methodology to real world practice, often lack </w:t>
      </w:r>
      <w:r w:rsidR="003856A0">
        <w:rPr>
          <w:rFonts w:ascii="Arial" w:hAnsi="Arial" w:cs="Arial"/>
        </w:rPr>
        <w:t xml:space="preserve">the </w:t>
      </w:r>
      <w:r w:rsidRPr="00D5126A">
        <w:rPr>
          <w:rFonts w:ascii="Arial" w:hAnsi="Arial" w:cs="Arial"/>
        </w:rPr>
        <w:t xml:space="preserve">required qualifications.  This has affected our ability to hire the people we need to maintain existing levels of service. </w:t>
      </w:r>
    </w:p>
    <w:p w:rsidR="00F24E5D" w:rsidRPr="00D5126A" w:rsidRDefault="00F24E5D" w:rsidP="003631E3">
      <w:pPr>
        <w:pStyle w:val="Heading6"/>
      </w:pPr>
      <w:r w:rsidRPr="00D5126A">
        <w:t>Up-skilling staff</w:t>
      </w:r>
    </w:p>
    <w:p w:rsidR="00F24E5D" w:rsidRPr="00D5126A" w:rsidRDefault="00F24E5D" w:rsidP="00F24E5D">
      <w:pPr>
        <w:jc w:val="both"/>
        <w:rPr>
          <w:rFonts w:ascii="Arial" w:hAnsi="Arial" w:cs="Arial"/>
        </w:rPr>
      </w:pPr>
      <w:r w:rsidRPr="00D5126A">
        <w:rPr>
          <w:rFonts w:ascii="Arial" w:hAnsi="Arial" w:cs="Arial"/>
        </w:rPr>
        <w:t xml:space="preserve">During the year a three-stage plan for the training of staff was developed and implemented. The training includes processes, quality management, consenting management record-keeping, frameworks, risk management and communications. This Training System has passed accreditation and was recognised externally (by IANZ) as best practice. We have had 16 officers gain higher levels of competency within the national BCA competency assessment system. This is now providing us with the capacity to handle increasingly advanced residential and commercial consenting and inspections. </w:t>
      </w:r>
    </w:p>
    <w:p w:rsidR="00F24E5D" w:rsidRPr="00D5126A" w:rsidRDefault="00F24E5D" w:rsidP="003631E3">
      <w:pPr>
        <w:pStyle w:val="Heading6"/>
      </w:pPr>
      <w:r w:rsidRPr="00D5126A">
        <w:t>Inspections and requests for information</w:t>
      </w:r>
    </w:p>
    <w:p w:rsidR="00F24E5D" w:rsidRPr="00D5126A" w:rsidRDefault="00F24E5D" w:rsidP="00F24E5D">
      <w:pPr>
        <w:rPr>
          <w:rFonts w:ascii="Arial" w:hAnsi="Arial" w:cs="Arial"/>
        </w:rPr>
      </w:pPr>
      <w:r w:rsidRPr="00D5126A">
        <w:rPr>
          <w:rFonts w:ascii="Arial" w:hAnsi="Arial" w:cs="Arial"/>
        </w:rPr>
        <w:t xml:space="preserve">The demand for inspections has increased year on year. In 2018/19, 21 percent more inspections were conducted than in the previous year. The increased inspections workload has meant it has become more challenging to ensure </w:t>
      </w:r>
      <w:proofErr w:type="gramStart"/>
      <w:r w:rsidRPr="00D5126A">
        <w:rPr>
          <w:rFonts w:ascii="Arial" w:hAnsi="Arial" w:cs="Arial"/>
        </w:rPr>
        <w:t>staff are</w:t>
      </w:r>
      <w:proofErr w:type="gramEnd"/>
      <w:r w:rsidRPr="00D5126A">
        <w:rPr>
          <w:rFonts w:ascii="Arial" w:hAnsi="Arial" w:cs="Arial"/>
        </w:rPr>
        <w:t xml:space="preserve"> available for up-skilling and accreditation, to retain existing staff, attract new inspections staff and balance workloads. This has then impacted our ability to consistently meet targets. </w:t>
      </w:r>
    </w:p>
    <w:p w:rsidR="00F24E5D" w:rsidRPr="00D5126A" w:rsidRDefault="00F24E5D" w:rsidP="00F24E5D">
      <w:pPr>
        <w:jc w:val="both"/>
        <w:rPr>
          <w:rFonts w:ascii="Arial" w:hAnsi="Arial" w:cs="Arial"/>
        </w:rPr>
      </w:pPr>
      <w:r w:rsidRPr="00D5126A">
        <w:rPr>
          <w:rFonts w:ascii="Arial" w:hAnsi="Arial" w:cs="Arial"/>
        </w:rPr>
        <w:lastRenderedPageBreak/>
        <w:t xml:space="preserve">Along with inspections the Request for Further Information (RFI) workload increased to its highest level in years. With consents becoming more complex there is a corresponding increase in the information needed in building consent applications. We have responded to the increasing volume of RFIs by implementing a new vetting process and a new vetting team. This has contributed to a reduction in RFIs per consent. This has also enabled capacity to be </w:t>
      </w:r>
      <w:r w:rsidR="003856A0">
        <w:rPr>
          <w:rFonts w:ascii="Arial" w:hAnsi="Arial" w:cs="Arial"/>
        </w:rPr>
        <w:t>used</w:t>
      </w:r>
      <w:r w:rsidR="003856A0" w:rsidRPr="00D5126A">
        <w:rPr>
          <w:rFonts w:ascii="Arial" w:hAnsi="Arial" w:cs="Arial"/>
        </w:rPr>
        <w:t xml:space="preserve"> </w:t>
      </w:r>
      <w:r w:rsidRPr="00D5126A">
        <w:rPr>
          <w:rFonts w:ascii="Arial" w:hAnsi="Arial" w:cs="Arial"/>
        </w:rPr>
        <w:t>in the actual processing of consents. As a consequence</w:t>
      </w:r>
      <w:r w:rsidR="003856A0">
        <w:rPr>
          <w:rFonts w:ascii="Arial" w:hAnsi="Arial" w:cs="Arial"/>
        </w:rPr>
        <w:t>,</w:t>
      </w:r>
      <w:r w:rsidRPr="00D5126A">
        <w:rPr>
          <w:rFonts w:ascii="Arial" w:hAnsi="Arial" w:cs="Arial"/>
        </w:rPr>
        <w:t xml:space="preserve"> we are now experiencing improved performance against targets.</w:t>
      </w:r>
    </w:p>
    <w:p w:rsidR="00F24E5D" w:rsidRPr="00D5126A" w:rsidRDefault="00F24E5D" w:rsidP="00F24E5D">
      <w:pPr>
        <w:pStyle w:val="Heading5"/>
      </w:pPr>
      <w:r w:rsidRPr="00D5126A">
        <w:t>Resource Consents</w:t>
      </w:r>
    </w:p>
    <w:p w:rsidR="00F24E5D" w:rsidRPr="00D5126A" w:rsidRDefault="00F24E5D" w:rsidP="00F24E5D">
      <w:pPr>
        <w:jc w:val="both"/>
        <w:rPr>
          <w:rFonts w:ascii="Arial" w:hAnsi="Arial" w:cs="Arial"/>
        </w:rPr>
      </w:pPr>
      <w:r w:rsidRPr="00D5126A">
        <w:rPr>
          <w:rFonts w:ascii="Arial" w:hAnsi="Arial" w:cs="Arial"/>
        </w:rPr>
        <w:t>Some milestones from projects consented are: stages 2 and 3 of the high profile redevelopment of the Willis Bond sites on Cuba, Dixon and Victoria Streets; approval of 13 multi-unit developments</w:t>
      </w:r>
      <w:r w:rsidR="003856A0">
        <w:rPr>
          <w:rFonts w:ascii="Arial" w:hAnsi="Arial" w:cs="Arial"/>
        </w:rPr>
        <w:t>;</w:t>
      </w:r>
      <w:r w:rsidR="003856A0" w:rsidRPr="00D5126A">
        <w:rPr>
          <w:rFonts w:ascii="Arial" w:hAnsi="Arial" w:cs="Arial"/>
        </w:rPr>
        <w:t xml:space="preserve"> </w:t>
      </w:r>
      <w:r w:rsidRPr="00D5126A">
        <w:rPr>
          <w:rFonts w:ascii="Arial" w:hAnsi="Arial" w:cs="Arial"/>
        </w:rPr>
        <w:t xml:space="preserve">and approval of </w:t>
      </w:r>
      <w:r w:rsidR="003856A0">
        <w:rPr>
          <w:rFonts w:ascii="Arial" w:hAnsi="Arial" w:cs="Arial"/>
        </w:rPr>
        <w:t xml:space="preserve">the </w:t>
      </w:r>
      <w:r w:rsidRPr="00D5126A">
        <w:rPr>
          <w:rFonts w:ascii="Arial" w:hAnsi="Arial" w:cs="Arial"/>
        </w:rPr>
        <w:t>seismic strengthening of the Museum Stand at the Basin Reserve</w:t>
      </w:r>
      <w:r w:rsidR="003856A0">
        <w:rPr>
          <w:rFonts w:ascii="Arial" w:hAnsi="Arial" w:cs="Arial"/>
        </w:rPr>
        <w:t>.</w:t>
      </w:r>
    </w:p>
    <w:p w:rsidR="00F24E5D" w:rsidRPr="00D5126A" w:rsidRDefault="00F24E5D" w:rsidP="003631E3">
      <w:pPr>
        <w:pStyle w:val="Heading6"/>
      </w:pPr>
      <w:r w:rsidRPr="00D5126A">
        <w:t>Meeting our required targets</w:t>
      </w:r>
    </w:p>
    <w:p w:rsidR="00292110" w:rsidRPr="00D5126A" w:rsidRDefault="00F24E5D" w:rsidP="00F24E5D">
      <w:pPr>
        <w:sectPr w:rsidR="00292110" w:rsidRPr="00D5126A" w:rsidSect="00292110">
          <w:pgSz w:w="11906" w:h="16838"/>
          <w:pgMar w:top="1276" w:right="1416" w:bottom="1276" w:left="1418" w:header="709" w:footer="709" w:gutter="0"/>
          <w:cols w:space="708"/>
          <w:docGrid w:linePitch="360"/>
        </w:sectPr>
      </w:pPr>
      <w:r w:rsidRPr="00D5126A">
        <w:rPr>
          <w:rFonts w:ascii="Arial" w:hAnsi="Arial" w:cs="Arial"/>
        </w:rPr>
        <w:t>For the past three months we have also piloted and prioritised new pre-application processes as part of the One Stop Shop initiative. This has seen a drop in meeting the statutory timeframes for resource consents. The results of this pilot are currently being analysed to see how this may have made a difference to the quality of applications and to customer satisfaction levels. We will use the outcomes of this pilot to consider and implement business and process improvements.</w:t>
      </w:r>
    </w:p>
    <w:p w:rsidR="00292110" w:rsidRPr="00814137" w:rsidRDefault="00292110" w:rsidP="00AA2122">
      <w:pPr>
        <w:pStyle w:val="Heading3"/>
        <w:rPr>
          <w:color w:val="00A1DA"/>
        </w:rPr>
      </w:pPr>
      <w:bookmarkStart w:id="273" w:name="_Toc19085854"/>
      <w:r w:rsidRPr="00814137">
        <w:rPr>
          <w:color w:val="00A1DA"/>
        </w:rPr>
        <w:lastRenderedPageBreak/>
        <w:t>Urban development finances</w:t>
      </w:r>
      <w:bookmarkEnd w:id="269"/>
      <w:bookmarkEnd w:id="270"/>
      <w:bookmarkEnd w:id="271"/>
      <w:bookmarkEnd w:id="272"/>
      <w:bookmarkEnd w:id="273"/>
    </w:p>
    <w:p w:rsidR="00292110" w:rsidRPr="00D5126A" w:rsidRDefault="00292110" w:rsidP="00961FC5">
      <w:pPr>
        <w:pStyle w:val="Heading5"/>
      </w:pPr>
      <w:r w:rsidRPr="00D5126A">
        <w:t>How it was funded</w:t>
      </w:r>
    </w:p>
    <w:p w:rsidR="00A2367B" w:rsidRPr="00D5126A" w:rsidRDefault="00292110" w:rsidP="00A2367B">
      <w:pPr>
        <w:pStyle w:val="Para003"/>
        <w:spacing w:before="240" w:line="240" w:lineRule="auto"/>
        <w:rPr>
          <w:rFonts w:ascii="Arial" w:hAnsi="Arial" w:cs="Arial"/>
        </w:rPr>
      </w:pPr>
      <w:r w:rsidRPr="00D5126A">
        <w:rPr>
          <w:rFonts w:ascii="Arial" w:hAnsi="Arial" w:cs="Arial"/>
        </w:rPr>
        <w:t>Services in this activity area are funded through a mixture of general rates, fees and charges, and grants and subsidies.</w:t>
      </w:r>
      <w:r w:rsidR="00A2367B">
        <w:rPr>
          <w:rFonts w:ascii="Arial" w:hAnsi="Arial" w:cs="Arial"/>
        </w:rPr>
        <w:t xml:space="preserve"> </w:t>
      </w:r>
      <w:r w:rsidR="00A2367B" w:rsidRPr="00D5126A">
        <w:rPr>
          <w:rFonts w:ascii="Arial" w:hAnsi="Arial" w:cs="Arial"/>
        </w:rPr>
        <w:t>Detaile</w:t>
      </w:r>
      <w:r w:rsidR="00A2367B">
        <w:rPr>
          <w:rFonts w:ascii="Arial" w:hAnsi="Arial" w:cs="Arial"/>
        </w:rPr>
        <w:t xml:space="preserve">d information on funding </w:t>
      </w:r>
      <w:r w:rsidR="00A2367B" w:rsidRPr="00B768DD">
        <w:rPr>
          <w:rFonts w:ascii="Arial" w:hAnsi="Arial" w:cs="Arial"/>
        </w:rPr>
        <w:t xml:space="preserve">on pg </w:t>
      </w:r>
      <w:r w:rsidR="00B768DD" w:rsidRPr="00B768DD">
        <w:rPr>
          <w:rFonts w:ascii="Arial" w:hAnsi="Arial" w:cs="Arial"/>
        </w:rPr>
        <w:t>328</w:t>
      </w:r>
      <w:r w:rsidR="00A2367B" w:rsidRPr="00D5126A">
        <w:rPr>
          <w:rFonts w:ascii="Arial" w:hAnsi="Arial" w:cs="Arial"/>
        </w:rPr>
        <w:t xml:space="preserve"> of </w:t>
      </w:r>
      <w:r w:rsidR="00A2367B">
        <w:rPr>
          <w:rFonts w:ascii="Arial" w:hAnsi="Arial" w:cs="Arial"/>
        </w:rPr>
        <w:t xml:space="preserve">Section 5: </w:t>
      </w:r>
      <w:r w:rsidR="00A2367B" w:rsidRPr="00D5126A">
        <w:rPr>
          <w:rFonts w:ascii="Arial" w:hAnsi="Arial" w:cs="Arial"/>
        </w:rPr>
        <w:t xml:space="preserve">Financial </w:t>
      </w:r>
      <w:r w:rsidR="00A2367B">
        <w:rPr>
          <w:rFonts w:ascii="Arial" w:hAnsi="Arial" w:cs="Arial"/>
        </w:rPr>
        <w:t xml:space="preserve">Statements </w:t>
      </w:r>
      <w:r w:rsidR="00A2367B" w:rsidRPr="00D5126A">
        <w:rPr>
          <w:rFonts w:ascii="Arial" w:hAnsi="Arial" w:cs="Arial"/>
        </w:rPr>
        <w:t>section.</w:t>
      </w:r>
    </w:p>
    <w:p w:rsidR="00292110" w:rsidRPr="00814137" w:rsidRDefault="00292110" w:rsidP="00846C1B">
      <w:pPr>
        <w:pStyle w:val="Heading4"/>
        <w:rPr>
          <w:color w:val="00A1DA"/>
        </w:rPr>
      </w:pPr>
      <w:r w:rsidRPr="00814137">
        <w:rPr>
          <w:color w:val="00A1DA"/>
        </w:rPr>
        <w:t>What it cost (operating expenditure $000)</w:t>
      </w:r>
    </w:p>
    <w:tbl>
      <w:tblPr>
        <w:tblW w:w="14390" w:type="dxa"/>
        <w:tblInd w:w="93" w:type="dxa"/>
        <w:tblBorders>
          <w:top w:val="single" w:sz="4" w:space="0" w:color="00B0F0"/>
          <w:bottom w:val="single" w:sz="4" w:space="0" w:color="00B0F0"/>
          <w:insideH w:val="single" w:sz="4" w:space="0" w:color="00B0F0"/>
          <w:insideV w:val="single" w:sz="4" w:space="0" w:color="00B0F0"/>
        </w:tblBorders>
        <w:tblLook w:val="04A0" w:firstRow="1" w:lastRow="0" w:firstColumn="1" w:lastColumn="0" w:noHBand="0" w:noVBand="1"/>
      </w:tblPr>
      <w:tblGrid>
        <w:gridCol w:w="5499"/>
        <w:gridCol w:w="1012"/>
        <w:gridCol w:w="1012"/>
        <w:gridCol w:w="1012"/>
        <w:gridCol w:w="1012"/>
        <w:gridCol w:w="1134"/>
        <w:gridCol w:w="3966"/>
      </w:tblGrid>
      <w:tr w:rsidR="00100327" w:rsidRPr="00100327" w:rsidTr="000C1D7B">
        <w:trPr>
          <w:trHeight w:val="77"/>
        </w:trPr>
        <w:tc>
          <w:tcPr>
            <w:tcW w:w="5499" w:type="dxa"/>
            <w:shd w:val="clear" w:color="auto" w:fill="00B0F0"/>
            <w:noWrap/>
            <w:vAlign w:val="bottom"/>
            <w:hideMark/>
          </w:tcPr>
          <w:p w:rsidR="00100327" w:rsidRPr="00560497" w:rsidRDefault="00100327" w:rsidP="00560497">
            <w:pPr>
              <w:spacing w:before="60" w:after="0" w:line="240" w:lineRule="auto"/>
              <w:rPr>
                <w:rFonts w:ascii="Arial" w:eastAsia="Times New Roman" w:hAnsi="Arial" w:cs="Arial"/>
                <w:b/>
                <w:color w:val="FFFFFF" w:themeColor="background1"/>
                <w:szCs w:val="24"/>
                <w:lang w:eastAsia="en-NZ"/>
              </w:rPr>
            </w:pPr>
            <w:r w:rsidRPr="00560497">
              <w:rPr>
                <w:rFonts w:ascii="Arial" w:eastAsia="Times New Roman" w:hAnsi="Arial" w:cs="Arial"/>
                <w:b/>
                <w:color w:val="FFFFFF" w:themeColor="background1"/>
                <w:szCs w:val="24"/>
                <w:lang w:eastAsia="en-NZ"/>
              </w:rPr>
              <w:t> </w:t>
            </w:r>
            <w:r w:rsidR="00560497" w:rsidRPr="00560497">
              <w:rPr>
                <w:rFonts w:ascii="Arial" w:eastAsia="Times New Roman" w:hAnsi="Arial" w:cs="Arial"/>
                <w:b/>
                <w:color w:val="FFFFFF" w:themeColor="background1"/>
                <w:szCs w:val="24"/>
                <w:lang w:eastAsia="en-NZ"/>
              </w:rPr>
              <w:t>Urban Develpoment</w:t>
            </w:r>
          </w:p>
        </w:tc>
        <w:tc>
          <w:tcPr>
            <w:tcW w:w="961" w:type="dxa"/>
            <w:shd w:val="clear" w:color="auto" w:fill="00B0F0"/>
            <w:vAlign w:val="bottom"/>
            <w:hideMark/>
          </w:tcPr>
          <w:p w:rsidR="00100327" w:rsidRPr="00100327" w:rsidRDefault="00100327" w:rsidP="001B50F9">
            <w:pPr>
              <w:spacing w:before="60" w:after="0" w:line="240" w:lineRule="auto"/>
              <w:jc w:val="center"/>
              <w:rPr>
                <w:rFonts w:ascii="Arial" w:eastAsia="Times New Roman" w:hAnsi="Arial" w:cs="Arial"/>
                <w:b/>
                <w:bCs/>
                <w:color w:val="FFFFFF" w:themeColor="background1"/>
                <w:lang w:eastAsia="en-NZ"/>
              </w:rPr>
            </w:pPr>
            <w:r w:rsidRPr="00100327">
              <w:rPr>
                <w:rFonts w:ascii="Arial" w:eastAsia="Times New Roman" w:hAnsi="Arial" w:cs="Arial"/>
                <w:b/>
                <w:bCs/>
                <w:color w:val="FFFFFF" w:themeColor="background1"/>
                <w:lang w:eastAsia="en-NZ"/>
              </w:rPr>
              <w:t xml:space="preserve">2016/17 </w:t>
            </w:r>
            <w:r w:rsidRPr="00100327">
              <w:rPr>
                <w:rFonts w:ascii="Arial" w:eastAsia="Times New Roman" w:hAnsi="Arial" w:cs="Arial"/>
                <w:b/>
                <w:bCs/>
                <w:color w:val="FFFFFF" w:themeColor="background1"/>
                <w:lang w:eastAsia="en-NZ"/>
              </w:rPr>
              <w:br/>
              <w:t xml:space="preserve">Actual </w:t>
            </w:r>
          </w:p>
        </w:tc>
        <w:tc>
          <w:tcPr>
            <w:tcW w:w="961" w:type="dxa"/>
            <w:shd w:val="clear" w:color="auto" w:fill="00B0F0"/>
            <w:vAlign w:val="bottom"/>
            <w:hideMark/>
          </w:tcPr>
          <w:p w:rsidR="00100327" w:rsidRPr="00100327" w:rsidRDefault="00100327" w:rsidP="001B50F9">
            <w:pPr>
              <w:spacing w:before="60" w:after="0" w:line="240" w:lineRule="auto"/>
              <w:jc w:val="center"/>
              <w:rPr>
                <w:rFonts w:ascii="Arial" w:eastAsia="Times New Roman" w:hAnsi="Arial" w:cs="Arial"/>
                <w:b/>
                <w:bCs/>
                <w:color w:val="FFFFFF" w:themeColor="background1"/>
                <w:lang w:eastAsia="en-NZ"/>
              </w:rPr>
            </w:pPr>
            <w:r w:rsidRPr="00100327">
              <w:rPr>
                <w:rFonts w:ascii="Arial" w:eastAsia="Times New Roman" w:hAnsi="Arial" w:cs="Arial"/>
                <w:b/>
                <w:bCs/>
                <w:color w:val="FFFFFF" w:themeColor="background1"/>
                <w:lang w:eastAsia="en-NZ"/>
              </w:rPr>
              <w:t xml:space="preserve">2017/18 </w:t>
            </w:r>
            <w:r w:rsidRPr="00100327">
              <w:rPr>
                <w:rFonts w:ascii="Arial" w:eastAsia="Times New Roman" w:hAnsi="Arial" w:cs="Arial"/>
                <w:b/>
                <w:bCs/>
                <w:color w:val="FFFFFF" w:themeColor="background1"/>
                <w:lang w:eastAsia="en-NZ"/>
              </w:rPr>
              <w:br/>
              <w:t xml:space="preserve">Actual </w:t>
            </w:r>
          </w:p>
        </w:tc>
        <w:tc>
          <w:tcPr>
            <w:tcW w:w="992" w:type="dxa"/>
            <w:shd w:val="clear" w:color="auto" w:fill="00B0F0"/>
            <w:vAlign w:val="bottom"/>
            <w:hideMark/>
          </w:tcPr>
          <w:p w:rsidR="00100327" w:rsidRPr="00100327" w:rsidRDefault="00100327" w:rsidP="001B50F9">
            <w:pPr>
              <w:spacing w:before="60" w:after="0" w:line="240" w:lineRule="auto"/>
              <w:jc w:val="center"/>
              <w:rPr>
                <w:rFonts w:ascii="Arial" w:eastAsia="Times New Roman" w:hAnsi="Arial" w:cs="Arial"/>
                <w:b/>
                <w:bCs/>
                <w:color w:val="FFFFFF" w:themeColor="background1"/>
                <w:lang w:eastAsia="en-NZ"/>
              </w:rPr>
            </w:pPr>
            <w:r w:rsidRPr="00100327">
              <w:rPr>
                <w:rFonts w:ascii="Arial" w:eastAsia="Times New Roman" w:hAnsi="Arial" w:cs="Arial"/>
                <w:b/>
                <w:bCs/>
                <w:color w:val="FFFFFF" w:themeColor="background1"/>
                <w:lang w:eastAsia="en-NZ"/>
              </w:rPr>
              <w:t xml:space="preserve">2018/19 </w:t>
            </w:r>
            <w:r w:rsidRPr="00100327">
              <w:rPr>
                <w:rFonts w:ascii="Arial" w:eastAsia="Times New Roman" w:hAnsi="Arial" w:cs="Arial"/>
                <w:b/>
                <w:bCs/>
                <w:color w:val="FFFFFF" w:themeColor="background1"/>
                <w:lang w:eastAsia="en-NZ"/>
              </w:rPr>
              <w:br/>
              <w:t xml:space="preserve">Actual </w:t>
            </w:r>
          </w:p>
        </w:tc>
        <w:tc>
          <w:tcPr>
            <w:tcW w:w="961" w:type="dxa"/>
            <w:shd w:val="clear" w:color="auto" w:fill="00B0F0"/>
            <w:vAlign w:val="bottom"/>
            <w:hideMark/>
          </w:tcPr>
          <w:p w:rsidR="00100327" w:rsidRPr="00100327" w:rsidRDefault="00100327" w:rsidP="000C1D7B">
            <w:pPr>
              <w:spacing w:before="60" w:after="0" w:line="240" w:lineRule="auto"/>
              <w:jc w:val="center"/>
              <w:rPr>
                <w:rFonts w:ascii="Arial" w:eastAsia="Times New Roman" w:hAnsi="Arial" w:cs="Arial"/>
                <w:b/>
                <w:bCs/>
                <w:color w:val="FFFFFF" w:themeColor="background1"/>
                <w:lang w:eastAsia="en-NZ"/>
              </w:rPr>
            </w:pPr>
            <w:r w:rsidRPr="00100327">
              <w:rPr>
                <w:rFonts w:ascii="Arial" w:eastAsia="Times New Roman" w:hAnsi="Arial" w:cs="Arial"/>
                <w:b/>
                <w:bCs/>
                <w:color w:val="FFFFFF" w:themeColor="background1"/>
                <w:lang w:eastAsia="en-NZ"/>
              </w:rPr>
              <w:t>2018</w:t>
            </w:r>
            <w:r w:rsidR="00060BB3">
              <w:rPr>
                <w:rFonts w:ascii="Arial" w:eastAsia="Times New Roman" w:hAnsi="Arial" w:cs="Arial"/>
                <w:b/>
                <w:bCs/>
                <w:color w:val="FFFFFF" w:themeColor="background1"/>
                <w:lang w:eastAsia="en-NZ"/>
              </w:rPr>
              <w:t>/19</w:t>
            </w:r>
            <w:r w:rsidRPr="00100327">
              <w:rPr>
                <w:rFonts w:ascii="Arial" w:eastAsia="Times New Roman" w:hAnsi="Arial" w:cs="Arial"/>
                <w:b/>
                <w:bCs/>
                <w:color w:val="FFFFFF" w:themeColor="background1"/>
                <w:lang w:eastAsia="en-NZ"/>
              </w:rPr>
              <w:t xml:space="preserve"> Budget </w:t>
            </w:r>
          </w:p>
        </w:tc>
        <w:tc>
          <w:tcPr>
            <w:tcW w:w="1050" w:type="dxa"/>
            <w:shd w:val="clear" w:color="auto" w:fill="00B0F0"/>
            <w:vAlign w:val="bottom"/>
            <w:hideMark/>
          </w:tcPr>
          <w:p w:rsidR="00100327" w:rsidRPr="00100327" w:rsidRDefault="00060BB3" w:rsidP="000C1D7B">
            <w:pPr>
              <w:spacing w:before="60" w:after="0" w:line="240" w:lineRule="auto"/>
              <w:rPr>
                <w:rFonts w:ascii="Arial" w:eastAsia="Times New Roman" w:hAnsi="Arial" w:cs="Arial"/>
                <w:b/>
                <w:bCs/>
                <w:color w:val="FFFFFF" w:themeColor="background1"/>
                <w:lang w:eastAsia="en-NZ"/>
              </w:rPr>
            </w:pPr>
            <w:r>
              <w:rPr>
                <w:rFonts w:ascii="Arial" w:eastAsia="Times New Roman" w:hAnsi="Arial" w:cs="Arial"/>
                <w:b/>
                <w:bCs/>
                <w:color w:val="FFFFFF" w:themeColor="background1"/>
                <w:lang w:eastAsia="en-NZ"/>
              </w:rPr>
              <w:t xml:space="preserve">2018/19 </w:t>
            </w:r>
            <w:r w:rsidR="000C1D7B">
              <w:rPr>
                <w:rFonts w:ascii="Arial" w:eastAsia="Times New Roman" w:hAnsi="Arial" w:cs="Arial"/>
                <w:b/>
                <w:bCs/>
                <w:color w:val="FFFFFF" w:themeColor="background1"/>
                <w:lang w:eastAsia="en-NZ"/>
              </w:rPr>
              <w:t>Variance</w:t>
            </w:r>
          </w:p>
        </w:tc>
        <w:tc>
          <w:tcPr>
            <w:tcW w:w="3966" w:type="dxa"/>
            <w:shd w:val="clear" w:color="auto" w:fill="00B0F0"/>
            <w:vAlign w:val="bottom"/>
            <w:hideMark/>
          </w:tcPr>
          <w:p w:rsidR="00100327" w:rsidRPr="00100327" w:rsidRDefault="00100327" w:rsidP="00560497">
            <w:pPr>
              <w:spacing w:before="60" w:after="0" w:line="240" w:lineRule="auto"/>
              <w:rPr>
                <w:rFonts w:ascii="Arial" w:eastAsia="Times New Roman" w:hAnsi="Arial" w:cs="Arial"/>
                <w:b/>
                <w:bCs/>
                <w:color w:val="FFFFFF" w:themeColor="background1"/>
                <w:lang w:eastAsia="en-NZ"/>
              </w:rPr>
            </w:pPr>
            <w:r w:rsidRPr="00100327">
              <w:rPr>
                <w:rFonts w:ascii="Arial" w:eastAsia="Times New Roman" w:hAnsi="Arial" w:cs="Arial"/>
                <w:b/>
                <w:bCs/>
                <w:color w:val="FFFFFF" w:themeColor="background1"/>
                <w:lang w:eastAsia="en-NZ"/>
              </w:rPr>
              <w:t>Variance commentary</w:t>
            </w:r>
          </w:p>
        </w:tc>
      </w:tr>
      <w:tr w:rsidR="00100327" w:rsidRPr="001244BB" w:rsidTr="00563C30">
        <w:trPr>
          <w:trHeight w:val="300"/>
        </w:trPr>
        <w:tc>
          <w:tcPr>
            <w:tcW w:w="8413" w:type="dxa"/>
            <w:gridSpan w:val="4"/>
            <w:shd w:val="clear" w:color="auto" w:fill="DBE5F1" w:themeFill="accent1" w:themeFillTint="33"/>
            <w:noWrap/>
            <w:vAlign w:val="bottom"/>
            <w:hideMark/>
          </w:tcPr>
          <w:p w:rsidR="00100327" w:rsidRPr="001244BB" w:rsidRDefault="00100327" w:rsidP="00563C30">
            <w:pPr>
              <w:spacing w:after="0" w:line="240" w:lineRule="auto"/>
              <w:rPr>
                <w:rFonts w:ascii="Arial" w:eastAsia="Times New Roman" w:hAnsi="Arial" w:cs="Arial"/>
                <w:b/>
                <w:bCs/>
                <w:color w:val="000000"/>
                <w:sz w:val="20"/>
                <w:lang w:eastAsia="en-NZ"/>
              </w:rPr>
            </w:pPr>
            <w:r w:rsidRPr="001244BB">
              <w:rPr>
                <w:rFonts w:ascii="Arial" w:eastAsia="Times New Roman" w:hAnsi="Arial" w:cs="Arial"/>
                <w:b/>
                <w:bCs/>
                <w:color w:val="000000"/>
                <w:sz w:val="20"/>
                <w:lang w:eastAsia="en-NZ"/>
              </w:rPr>
              <w:t>6.1 Urban planning, heritage and public spaces development</w:t>
            </w:r>
          </w:p>
        </w:tc>
        <w:tc>
          <w:tcPr>
            <w:tcW w:w="961" w:type="dxa"/>
            <w:shd w:val="clear" w:color="auto" w:fill="DBE5F1" w:themeFill="accent1" w:themeFillTint="33"/>
            <w:noWrap/>
            <w:vAlign w:val="bottom"/>
            <w:hideMark/>
          </w:tcPr>
          <w:p w:rsidR="00100327" w:rsidRPr="001244BB" w:rsidRDefault="00100327" w:rsidP="00563C30">
            <w:pPr>
              <w:spacing w:after="0" w:line="240" w:lineRule="auto"/>
              <w:jc w:val="right"/>
              <w:rPr>
                <w:rFonts w:ascii="Arial" w:eastAsia="Times New Roman" w:hAnsi="Arial" w:cs="Arial"/>
                <w:color w:val="000000"/>
                <w:sz w:val="20"/>
                <w:lang w:eastAsia="en-NZ"/>
              </w:rPr>
            </w:pPr>
            <w:r w:rsidRPr="001244BB">
              <w:rPr>
                <w:rFonts w:ascii="Arial" w:eastAsia="Times New Roman" w:hAnsi="Arial" w:cs="Arial"/>
                <w:color w:val="000000"/>
                <w:sz w:val="20"/>
                <w:lang w:eastAsia="en-NZ"/>
              </w:rPr>
              <w:t> </w:t>
            </w:r>
          </w:p>
        </w:tc>
        <w:tc>
          <w:tcPr>
            <w:tcW w:w="1050" w:type="dxa"/>
            <w:shd w:val="clear" w:color="auto" w:fill="DBE5F1" w:themeFill="accent1" w:themeFillTint="33"/>
            <w:noWrap/>
            <w:vAlign w:val="bottom"/>
            <w:hideMark/>
          </w:tcPr>
          <w:p w:rsidR="00100327" w:rsidRPr="001244BB" w:rsidRDefault="00100327" w:rsidP="00563C30">
            <w:pPr>
              <w:spacing w:after="0" w:line="240" w:lineRule="auto"/>
              <w:jc w:val="right"/>
              <w:rPr>
                <w:rFonts w:ascii="Arial" w:eastAsia="Times New Roman" w:hAnsi="Arial" w:cs="Arial"/>
                <w:color w:val="000000"/>
                <w:sz w:val="20"/>
                <w:lang w:eastAsia="en-NZ"/>
              </w:rPr>
            </w:pPr>
            <w:r w:rsidRPr="001244BB">
              <w:rPr>
                <w:rFonts w:ascii="Arial" w:eastAsia="Times New Roman" w:hAnsi="Arial" w:cs="Arial"/>
                <w:color w:val="000000"/>
                <w:sz w:val="20"/>
                <w:lang w:eastAsia="en-NZ"/>
              </w:rPr>
              <w:t> </w:t>
            </w:r>
          </w:p>
        </w:tc>
        <w:tc>
          <w:tcPr>
            <w:tcW w:w="3966" w:type="dxa"/>
            <w:shd w:val="clear" w:color="auto" w:fill="DBE5F1" w:themeFill="accent1" w:themeFillTint="33"/>
            <w:noWrap/>
            <w:hideMark/>
          </w:tcPr>
          <w:p w:rsidR="00100327" w:rsidRPr="001244BB" w:rsidRDefault="00100327" w:rsidP="00563C30">
            <w:pPr>
              <w:spacing w:after="0" w:line="240" w:lineRule="auto"/>
              <w:jc w:val="right"/>
              <w:rPr>
                <w:rFonts w:ascii="Arial" w:eastAsia="Times New Roman" w:hAnsi="Arial" w:cs="Arial"/>
                <w:color w:val="000000"/>
                <w:sz w:val="20"/>
                <w:lang w:eastAsia="en-NZ"/>
              </w:rPr>
            </w:pPr>
            <w:r w:rsidRPr="001244BB">
              <w:rPr>
                <w:rFonts w:ascii="Arial" w:eastAsia="Times New Roman" w:hAnsi="Arial" w:cs="Arial"/>
                <w:color w:val="000000"/>
                <w:sz w:val="20"/>
                <w:lang w:eastAsia="en-NZ"/>
              </w:rPr>
              <w:t> </w:t>
            </w:r>
          </w:p>
        </w:tc>
      </w:tr>
      <w:tr w:rsidR="00100327" w:rsidRPr="001244BB" w:rsidTr="00563C30">
        <w:trPr>
          <w:trHeight w:val="765"/>
        </w:trPr>
        <w:tc>
          <w:tcPr>
            <w:tcW w:w="5499" w:type="dxa"/>
            <w:shd w:val="clear" w:color="auto" w:fill="auto"/>
            <w:noWrap/>
            <w:hideMark/>
          </w:tcPr>
          <w:p w:rsidR="00100327" w:rsidRPr="001244BB" w:rsidRDefault="00100327" w:rsidP="00563C30">
            <w:pPr>
              <w:spacing w:after="0" w:line="240" w:lineRule="auto"/>
              <w:rPr>
                <w:rFonts w:ascii="Arial" w:eastAsia="Times New Roman" w:hAnsi="Arial" w:cs="Arial"/>
                <w:color w:val="000000"/>
                <w:sz w:val="20"/>
                <w:lang w:eastAsia="en-NZ"/>
              </w:rPr>
            </w:pPr>
            <w:r w:rsidRPr="001244BB">
              <w:rPr>
                <w:rFonts w:ascii="Arial" w:eastAsia="Times New Roman" w:hAnsi="Arial" w:cs="Arial"/>
                <w:color w:val="000000"/>
                <w:sz w:val="20"/>
                <w:lang w:eastAsia="en-NZ"/>
              </w:rPr>
              <w:t>Expenditure</w:t>
            </w:r>
          </w:p>
        </w:tc>
        <w:tc>
          <w:tcPr>
            <w:tcW w:w="961" w:type="dxa"/>
            <w:shd w:val="clear" w:color="auto" w:fill="auto"/>
            <w:noWrap/>
            <w:hideMark/>
          </w:tcPr>
          <w:p w:rsidR="00100327" w:rsidRPr="001244BB" w:rsidRDefault="00100327" w:rsidP="00563C30">
            <w:pPr>
              <w:spacing w:after="0" w:line="240" w:lineRule="auto"/>
              <w:jc w:val="right"/>
              <w:rPr>
                <w:rFonts w:ascii="Arial" w:eastAsia="Times New Roman" w:hAnsi="Arial" w:cs="Arial"/>
                <w:color w:val="000000"/>
                <w:sz w:val="20"/>
                <w:lang w:eastAsia="en-NZ"/>
              </w:rPr>
            </w:pPr>
            <w:r w:rsidRPr="001244BB">
              <w:rPr>
                <w:rFonts w:ascii="Arial" w:eastAsia="Times New Roman" w:hAnsi="Arial" w:cs="Arial"/>
                <w:color w:val="000000"/>
                <w:sz w:val="20"/>
                <w:lang w:eastAsia="en-NZ"/>
              </w:rPr>
              <w:t>7,445</w:t>
            </w:r>
          </w:p>
        </w:tc>
        <w:tc>
          <w:tcPr>
            <w:tcW w:w="961" w:type="dxa"/>
            <w:shd w:val="clear" w:color="auto" w:fill="auto"/>
            <w:noWrap/>
            <w:hideMark/>
          </w:tcPr>
          <w:p w:rsidR="00100327" w:rsidRPr="001244BB" w:rsidRDefault="00100327" w:rsidP="00563C30">
            <w:pPr>
              <w:spacing w:after="0" w:line="240" w:lineRule="auto"/>
              <w:jc w:val="right"/>
              <w:rPr>
                <w:rFonts w:ascii="Arial" w:eastAsia="Times New Roman" w:hAnsi="Arial" w:cs="Arial"/>
                <w:color w:val="000000"/>
                <w:sz w:val="20"/>
                <w:lang w:eastAsia="en-NZ"/>
              </w:rPr>
            </w:pPr>
            <w:r w:rsidRPr="001244BB">
              <w:rPr>
                <w:rFonts w:ascii="Arial" w:eastAsia="Times New Roman" w:hAnsi="Arial" w:cs="Arial"/>
                <w:color w:val="000000"/>
                <w:sz w:val="20"/>
                <w:lang w:eastAsia="en-NZ"/>
              </w:rPr>
              <w:t>8,338</w:t>
            </w:r>
          </w:p>
        </w:tc>
        <w:tc>
          <w:tcPr>
            <w:tcW w:w="992" w:type="dxa"/>
            <w:shd w:val="clear" w:color="000000" w:fill="E8E8E8"/>
            <w:noWrap/>
            <w:hideMark/>
          </w:tcPr>
          <w:p w:rsidR="00100327" w:rsidRPr="001244BB" w:rsidRDefault="00100327" w:rsidP="00563C30">
            <w:pPr>
              <w:spacing w:after="0" w:line="240" w:lineRule="auto"/>
              <w:jc w:val="right"/>
              <w:rPr>
                <w:rFonts w:ascii="Arial" w:eastAsia="Times New Roman" w:hAnsi="Arial" w:cs="Arial"/>
                <w:color w:val="000000"/>
                <w:sz w:val="20"/>
                <w:lang w:eastAsia="en-NZ"/>
              </w:rPr>
            </w:pPr>
            <w:r w:rsidRPr="001244BB">
              <w:rPr>
                <w:rFonts w:ascii="Arial" w:eastAsia="Times New Roman" w:hAnsi="Arial" w:cs="Arial"/>
                <w:color w:val="000000"/>
                <w:sz w:val="20"/>
                <w:lang w:eastAsia="en-NZ"/>
              </w:rPr>
              <w:t>10,086</w:t>
            </w:r>
          </w:p>
        </w:tc>
        <w:tc>
          <w:tcPr>
            <w:tcW w:w="961" w:type="dxa"/>
            <w:shd w:val="clear" w:color="000000" w:fill="E8E8E8"/>
            <w:noWrap/>
            <w:hideMark/>
          </w:tcPr>
          <w:p w:rsidR="00100327" w:rsidRPr="001244BB" w:rsidRDefault="00100327" w:rsidP="00563C30">
            <w:pPr>
              <w:spacing w:after="0" w:line="240" w:lineRule="auto"/>
              <w:jc w:val="right"/>
              <w:rPr>
                <w:rFonts w:ascii="Arial" w:eastAsia="Times New Roman" w:hAnsi="Arial" w:cs="Arial"/>
                <w:color w:val="000000"/>
                <w:sz w:val="20"/>
                <w:lang w:eastAsia="en-NZ"/>
              </w:rPr>
            </w:pPr>
            <w:r w:rsidRPr="001244BB">
              <w:rPr>
                <w:rFonts w:ascii="Arial" w:eastAsia="Times New Roman" w:hAnsi="Arial" w:cs="Arial"/>
                <w:color w:val="000000"/>
                <w:sz w:val="20"/>
                <w:lang w:eastAsia="en-NZ"/>
              </w:rPr>
              <w:t>11,065</w:t>
            </w:r>
          </w:p>
        </w:tc>
        <w:tc>
          <w:tcPr>
            <w:tcW w:w="1050" w:type="dxa"/>
            <w:shd w:val="clear" w:color="000000" w:fill="E8E8E8"/>
            <w:noWrap/>
            <w:hideMark/>
          </w:tcPr>
          <w:p w:rsidR="00100327" w:rsidRPr="001244BB" w:rsidRDefault="00100327" w:rsidP="00563C30">
            <w:pPr>
              <w:spacing w:after="0" w:line="240" w:lineRule="auto"/>
              <w:jc w:val="right"/>
              <w:rPr>
                <w:rFonts w:ascii="Arial" w:eastAsia="Times New Roman" w:hAnsi="Arial" w:cs="Arial"/>
                <w:color w:val="000000"/>
                <w:sz w:val="20"/>
                <w:lang w:eastAsia="en-NZ"/>
              </w:rPr>
            </w:pPr>
            <w:r w:rsidRPr="001244BB">
              <w:rPr>
                <w:rFonts w:ascii="Arial" w:eastAsia="Times New Roman" w:hAnsi="Arial" w:cs="Arial"/>
                <w:color w:val="000000"/>
                <w:sz w:val="20"/>
                <w:lang w:eastAsia="en-NZ"/>
              </w:rPr>
              <w:t>979</w:t>
            </w:r>
          </w:p>
        </w:tc>
        <w:tc>
          <w:tcPr>
            <w:tcW w:w="3966" w:type="dxa"/>
            <w:shd w:val="clear" w:color="auto" w:fill="auto"/>
            <w:vAlign w:val="bottom"/>
            <w:hideMark/>
          </w:tcPr>
          <w:p w:rsidR="00100327" w:rsidRPr="001244BB" w:rsidRDefault="00552BE4" w:rsidP="00563C30">
            <w:pPr>
              <w:spacing w:after="0" w:line="240" w:lineRule="auto"/>
              <w:rPr>
                <w:rFonts w:ascii="Arial" w:eastAsia="Times New Roman" w:hAnsi="Arial" w:cs="Arial"/>
                <w:color w:val="000000"/>
                <w:sz w:val="20"/>
                <w:lang w:eastAsia="en-NZ"/>
              </w:rPr>
            </w:pPr>
            <w:r w:rsidRPr="00653BC1">
              <w:rPr>
                <w:rFonts w:ascii="Arial" w:eastAsia="Times New Roman" w:hAnsi="Arial" w:cs="Arial"/>
                <w:color w:val="000000"/>
                <w:sz w:val="20"/>
                <w:lang w:eastAsia="en-NZ"/>
              </w:rPr>
              <w:t>Under budget due to the District Plan work programme not commencing fully until 2019/20.</w:t>
            </w:r>
          </w:p>
        </w:tc>
      </w:tr>
      <w:tr w:rsidR="00100327" w:rsidRPr="001244BB" w:rsidTr="00563C30">
        <w:trPr>
          <w:trHeight w:val="300"/>
        </w:trPr>
        <w:tc>
          <w:tcPr>
            <w:tcW w:w="5499" w:type="dxa"/>
            <w:shd w:val="clear" w:color="auto" w:fill="auto"/>
            <w:noWrap/>
            <w:hideMark/>
          </w:tcPr>
          <w:p w:rsidR="00100327" w:rsidRPr="001244BB" w:rsidRDefault="00100327" w:rsidP="00563C30">
            <w:pPr>
              <w:spacing w:after="0" w:line="240" w:lineRule="auto"/>
              <w:rPr>
                <w:rFonts w:ascii="Arial" w:eastAsia="Times New Roman" w:hAnsi="Arial" w:cs="Arial"/>
                <w:color w:val="000000"/>
                <w:sz w:val="20"/>
                <w:lang w:eastAsia="en-NZ"/>
              </w:rPr>
            </w:pPr>
            <w:r w:rsidRPr="001244BB">
              <w:rPr>
                <w:rFonts w:ascii="Arial" w:eastAsia="Times New Roman" w:hAnsi="Arial" w:cs="Arial"/>
                <w:color w:val="000000"/>
                <w:sz w:val="20"/>
                <w:lang w:eastAsia="en-NZ"/>
              </w:rPr>
              <w:t>Revenue</w:t>
            </w:r>
          </w:p>
        </w:tc>
        <w:tc>
          <w:tcPr>
            <w:tcW w:w="961" w:type="dxa"/>
            <w:shd w:val="clear" w:color="auto" w:fill="auto"/>
            <w:noWrap/>
            <w:hideMark/>
          </w:tcPr>
          <w:p w:rsidR="00100327" w:rsidRPr="001244BB" w:rsidRDefault="00100327" w:rsidP="00563C30">
            <w:pPr>
              <w:spacing w:after="0" w:line="240" w:lineRule="auto"/>
              <w:jc w:val="right"/>
              <w:rPr>
                <w:rFonts w:ascii="Arial" w:eastAsia="Times New Roman" w:hAnsi="Arial" w:cs="Arial"/>
                <w:color w:val="000000"/>
                <w:sz w:val="20"/>
                <w:lang w:eastAsia="en-NZ"/>
              </w:rPr>
            </w:pPr>
            <w:r w:rsidRPr="001244BB">
              <w:rPr>
                <w:rFonts w:ascii="Arial" w:eastAsia="Times New Roman" w:hAnsi="Arial" w:cs="Arial"/>
                <w:color w:val="000000"/>
                <w:sz w:val="20"/>
                <w:lang w:eastAsia="en-NZ"/>
              </w:rPr>
              <w:t>(332)</w:t>
            </w:r>
          </w:p>
        </w:tc>
        <w:tc>
          <w:tcPr>
            <w:tcW w:w="961" w:type="dxa"/>
            <w:shd w:val="clear" w:color="auto" w:fill="auto"/>
            <w:noWrap/>
            <w:hideMark/>
          </w:tcPr>
          <w:p w:rsidR="00100327" w:rsidRPr="001244BB" w:rsidRDefault="00100327" w:rsidP="00563C30">
            <w:pPr>
              <w:spacing w:after="0" w:line="240" w:lineRule="auto"/>
              <w:jc w:val="right"/>
              <w:rPr>
                <w:rFonts w:ascii="Arial" w:eastAsia="Times New Roman" w:hAnsi="Arial" w:cs="Arial"/>
                <w:color w:val="000000"/>
                <w:sz w:val="20"/>
                <w:lang w:eastAsia="en-NZ"/>
              </w:rPr>
            </w:pPr>
            <w:r w:rsidRPr="001244BB">
              <w:rPr>
                <w:rFonts w:ascii="Arial" w:eastAsia="Times New Roman" w:hAnsi="Arial" w:cs="Arial"/>
                <w:color w:val="000000"/>
                <w:sz w:val="20"/>
                <w:lang w:eastAsia="en-NZ"/>
              </w:rPr>
              <w:t>(59)</w:t>
            </w:r>
          </w:p>
        </w:tc>
        <w:tc>
          <w:tcPr>
            <w:tcW w:w="992" w:type="dxa"/>
            <w:shd w:val="clear" w:color="000000" w:fill="E8E8E8"/>
            <w:noWrap/>
            <w:hideMark/>
          </w:tcPr>
          <w:p w:rsidR="00100327" w:rsidRPr="001244BB" w:rsidRDefault="00100327" w:rsidP="00563C30">
            <w:pPr>
              <w:spacing w:after="0" w:line="240" w:lineRule="auto"/>
              <w:jc w:val="right"/>
              <w:rPr>
                <w:rFonts w:ascii="Arial" w:eastAsia="Times New Roman" w:hAnsi="Arial" w:cs="Arial"/>
                <w:color w:val="000000"/>
                <w:sz w:val="20"/>
                <w:lang w:eastAsia="en-NZ"/>
              </w:rPr>
            </w:pPr>
            <w:r w:rsidRPr="001244BB">
              <w:rPr>
                <w:rFonts w:ascii="Arial" w:eastAsia="Times New Roman" w:hAnsi="Arial" w:cs="Arial"/>
                <w:color w:val="000000"/>
                <w:sz w:val="20"/>
                <w:lang w:eastAsia="en-NZ"/>
              </w:rPr>
              <w:t>(163)</w:t>
            </w:r>
          </w:p>
        </w:tc>
        <w:tc>
          <w:tcPr>
            <w:tcW w:w="961" w:type="dxa"/>
            <w:shd w:val="clear" w:color="000000" w:fill="E8E8E8"/>
            <w:noWrap/>
            <w:hideMark/>
          </w:tcPr>
          <w:p w:rsidR="00100327" w:rsidRPr="001244BB" w:rsidRDefault="00100327" w:rsidP="00563C30">
            <w:pPr>
              <w:spacing w:after="0" w:line="240" w:lineRule="auto"/>
              <w:jc w:val="right"/>
              <w:rPr>
                <w:rFonts w:ascii="Arial" w:eastAsia="Times New Roman" w:hAnsi="Arial" w:cs="Arial"/>
                <w:color w:val="000000"/>
                <w:sz w:val="20"/>
                <w:lang w:eastAsia="en-NZ"/>
              </w:rPr>
            </w:pPr>
            <w:r w:rsidRPr="001244BB">
              <w:rPr>
                <w:rFonts w:ascii="Arial" w:eastAsia="Times New Roman" w:hAnsi="Arial" w:cs="Arial"/>
                <w:color w:val="000000"/>
                <w:sz w:val="20"/>
                <w:lang w:eastAsia="en-NZ"/>
              </w:rPr>
              <w:t>(21)</w:t>
            </w:r>
          </w:p>
        </w:tc>
        <w:tc>
          <w:tcPr>
            <w:tcW w:w="1050" w:type="dxa"/>
            <w:shd w:val="clear" w:color="000000" w:fill="E8E8E8"/>
            <w:noWrap/>
            <w:hideMark/>
          </w:tcPr>
          <w:p w:rsidR="00100327" w:rsidRPr="001244BB" w:rsidRDefault="00100327" w:rsidP="00563C30">
            <w:pPr>
              <w:spacing w:after="0" w:line="240" w:lineRule="auto"/>
              <w:jc w:val="right"/>
              <w:rPr>
                <w:rFonts w:ascii="Arial" w:eastAsia="Times New Roman" w:hAnsi="Arial" w:cs="Arial"/>
                <w:color w:val="000000"/>
                <w:sz w:val="20"/>
                <w:lang w:eastAsia="en-NZ"/>
              </w:rPr>
            </w:pPr>
            <w:r w:rsidRPr="001244BB">
              <w:rPr>
                <w:rFonts w:ascii="Arial" w:eastAsia="Times New Roman" w:hAnsi="Arial" w:cs="Arial"/>
                <w:color w:val="000000"/>
                <w:sz w:val="20"/>
                <w:lang w:eastAsia="en-NZ"/>
              </w:rPr>
              <w:t>142</w:t>
            </w:r>
          </w:p>
        </w:tc>
        <w:tc>
          <w:tcPr>
            <w:tcW w:w="3966" w:type="dxa"/>
            <w:shd w:val="clear" w:color="auto" w:fill="auto"/>
            <w:vAlign w:val="bottom"/>
            <w:hideMark/>
          </w:tcPr>
          <w:p w:rsidR="00100327" w:rsidRPr="001244BB" w:rsidRDefault="00100327" w:rsidP="00563C30">
            <w:pPr>
              <w:spacing w:after="0" w:line="240" w:lineRule="auto"/>
              <w:rPr>
                <w:rFonts w:ascii="Arial" w:eastAsia="Times New Roman" w:hAnsi="Arial" w:cs="Arial"/>
                <w:color w:val="000000"/>
                <w:sz w:val="20"/>
                <w:lang w:eastAsia="en-NZ"/>
              </w:rPr>
            </w:pPr>
          </w:p>
        </w:tc>
      </w:tr>
      <w:tr w:rsidR="00100327" w:rsidRPr="001244BB" w:rsidTr="00563C30">
        <w:trPr>
          <w:trHeight w:val="300"/>
        </w:trPr>
        <w:tc>
          <w:tcPr>
            <w:tcW w:w="5499" w:type="dxa"/>
            <w:shd w:val="clear" w:color="auto" w:fill="auto"/>
            <w:noWrap/>
            <w:hideMark/>
          </w:tcPr>
          <w:p w:rsidR="00100327" w:rsidRPr="001244BB" w:rsidRDefault="00100327" w:rsidP="00563C30">
            <w:pPr>
              <w:spacing w:after="0" w:line="240" w:lineRule="auto"/>
              <w:rPr>
                <w:rFonts w:ascii="Arial" w:eastAsia="Times New Roman" w:hAnsi="Arial" w:cs="Arial"/>
                <w:color w:val="000000"/>
                <w:sz w:val="20"/>
                <w:lang w:eastAsia="en-NZ"/>
              </w:rPr>
            </w:pPr>
            <w:r w:rsidRPr="001244BB">
              <w:rPr>
                <w:rFonts w:ascii="Arial" w:eastAsia="Times New Roman" w:hAnsi="Arial" w:cs="Arial"/>
                <w:color w:val="000000"/>
                <w:sz w:val="20"/>
                <w:lang w:eastAsia="en-NZ"/>
              </w:rPr>
              <w:t>Net Expenditure</w:t>
            </w:r>
          </w:p>
        </w:tc>
        <w:tc>
          <w:tcPr>
            <w:tcW w:w="961" w:type="dxa"/>
            <w:shd w:val="clear" w:color="auto" w:fill="auto"/>
            <w:noWrap/>
            <w:hideMark/>
          </w:tcPr>
          <w:p w:rsidR="00100327" w:rsidRPr="001244BB" w:rsidRDefault="00100327" w:rsidP="00563C30">
            <w:pPr>
              <w:spacing w:after="0" w:line="240" w:lineRule="auto"/>
              <w:jc w:val="right"/>
              <w:rPr>
                <w:rFonts w:ascii="Arial" w:eastAsia="Times New Roman" w:hAnsi="Arial" w:cs="Arial"/>
                <w:color w:val="000000"/>
                <w:sz w:val="20"/>
                <w:lang w:eastAsia="en-NZ"/>
              </w:rPr>
            </w:pPr>
            <w:r w:rsidRPr="001244BB">
              <w:rPr>
                <w:rFonts w:ascii="Arial" w:eastAsia="Times New Roman" w:hAnsi="Arial" w:cs="Arial"/>
                <w:color w:val="000000"/>
                <w:sz w:val="20"/>
                <w:lang w:eastAsia="en-NZ"/>
              </w:rPr>
              <w:t>7,113</w:t>
            </w:r>
          </w:p>
        </w:tc>
        <w:tc>
          <w:tcPr>
            <w:tcW w:w="961" w:type="dxa"/>
            <w:shd w:val="clear" w:color="auto" w:fill="auto"/>
            <w:noWrap/>
            <w:hideMark/>
          </w:tcPr>
          <w:p w:rsidR="00100327" w:rsidRPr="001244BB" w:rsidRDefault="00100327" w:rsidP="006C5FB5">
            <w:pPr>
              <w:spacing w:after="0" w:line="240" w:lineRule="auto"/>
              <w:jc w:val="right"/>
              <w:rPr>
                <w:rFonts w:ascii="Arial" w:eastAsia="Times New Roman" w:hAnsi="Arial" w:cs="Arial"/>
                <w:color w:val="000000"/>
                <w:sz w:val="20"/>
                <w:lang w:eastAsia="en-NZ"/>
              </w:rPr>
            </w:pPr>
            <w:r w:rsidRPr="001244BB">
              <w:rPr>
                <w:rFonts w:ascii="Arial" w:eastAsia="Times New Roman" w:hAnsi="Arial" w:cs="Arial"/>
                <w:color w:val="000000"/>
                <w:sz w:val="20"/>
                <w:lang w:eastAsia="en-NZ"/>
              </w:rPr>
              <w:t>8,</w:t>
            </w:r>
            <w:r w:rsidR="006C5FB5" w:rsidRPr="001244BB">
              <w:rPr>
                <w:rFonts w:ascii="Arial" w:eastAsia="Times New Roman" w:hAnsi="Arial" w:cs="Arial"/>
                <w:color w:val="000000"/>
                <w:sz w:val="20"/>
                <w:lang w:eastAsia="en-NZ"/>
              </w:rPr>
              <w:t>2</w:t>
            </w:r>
            <w:r w:rsidR="006C5FB5">
              <w:rPr>
                <w:rFonts w:ascii="Arial" w:eastAsia="Times New Roman" w:hAnsi="Arial" w:cs="Arial"/>
                <w:color w:val="000000"/>
                <w:sz w:val="20"/>
                <w:lang w:eastAsia="en-NZ"/>
              </w:rPr>
              <w:t>80</w:t>
            </w:r>
          </w:p>
        </w:tc>
        <w:tc>
          <w:tcPr>
            <w:tcW w:w="992" w:type="dxa"/>
            <w:shd w:val="clear" w:color="000000" w:fill="E8E8E8"/>
            <w:noWrap/>
            <w:hideMark/>
          </w:tcPr>
          <w:p w:rsidR="00100327" w:rsidRPr="001244BB" w:rsidRDefault="00100327" w:rsidP="00563C30">
            <w:pPr>
              <w:spacing w:after="0" w:line="240" w:lineRule="auto"/>
              <w:jc w:val="right"/>
              <w:rPr>
                <w:rFonts w:ascii="Arial" w:eastAsia="Times New Roman" w:hAnsi="Arial" w:cs="Arial"/>
                <w:color w:val="000000"/>
                <w:sz w:val="20"/>
                <w:lang w:eastAsia="en-NZ"/>
              </w:rPr>
            </w:pPr>
            <w:r w:rsidRPr="001244BB">
              <w:rPr>
                <w:rFonts w:ascii="Arial" w:eastAsia="Times New Roman" w:hAnsi="Arial" w:cs="Arial"/>
                <w:color w:val="000000"/>
                <w:sz w:val="20"/>
                <w:lang w:eastAsia="en-NZ"/>
              </w:rPr>
              <w:t>9,924</w:t>
            </w:r>
          </w:p>
        </w:tc>
        <w:tc>
          <w:tcPr>
            <w:tcW w:w="961" w:type="dxa"/>
            <w:shd w:val="clear" w:color="000000" w:fill="E8E8E8"/>
            <w:noWrap/>
            <w:hideMark/>
          </w:tcPr>
          <w:p w:rsidR="00100327" w:rsidRPr="001244BB" w:rsidRDefault="00100327" w:rsidP="00563C30">
            <w:pPr>
              <w:spacing w:after="0" w:line="240" w:lineRule="auto"/>
              <w:jc w:val="right"/>
              <w:rPr>
                <w:rFonts w:ascii="Arial" w:eastAsia="Times New Roman" w:hAnsi="Arial" w:cs="Arial"/>
                <w:color w:val="000000"/>
                <w:sz w:val="20"/>
                <w:lang w:eastAsia="en-NZ"/>
              </w:rPr>
            </w:pPr>
            <w:r w:rsidRPr="001244BB">
              <w:rPr>
                <w:rFonts w:ascii="Arial" w:eastAsia="Times New Roman" w:hAnsi="Arial" w:cs="Arial"/>
                <w:color w:val="000000"/>
                <w:sz w:val="20"/>
                <w:lang w:eastAsia="en-NZ"/>
              </w:rPr>
              <w:t>11,044</w:t>
            </w:r>
          </w:p>
        </w:tc>
        <w:tc>
          <w:tcPr>
            <w:tcW w:w="1050" w:type="dxa"/>
            <w:shd w:val="clear" w:color="000000" w:fill="E8E8E8"/>
            <w:noWrap/>
            <w:hideMark/>
          </w:tcPr>
          <w:p w:rsidR="00100327" w:rsidRPr="001244BB" w:rsidRDefault="00100327" w:rsidP="00563C30">
            <w:pPr>
              <w:spacing w:after="0" w:line="240" w:lineRule="auto"/>
              <w:jc w:val="right"/>
              <w:rPr>
                <w:rFonts w:ascii="Arial" w:eastAsia="Times New Roman" w:hAnsi="Arial" w:cs="Arial"/>
                <w:color w:val="000000"/>
                <w:sz w:val="20"/>
                <w:lang w:eastAsia="en-NZ"/>
              </w:rPr>
            </w:pPr>
            <w:r w:rsidRPr="001244BB">
              <w:rPr>
                <w:rFonts w:ascii="Arial" w:eastAsia="Times New Roman" w:hAnsi="Arial" w:cs="Arial"/>
                <w:color w:val="000000"/>
                <w:sz w:val="20"/>
                <w:lang w:eastAsia="en-NZ"/>
              </w:rPr>
              <w:t>1,121</w:t>
            </w:r>
          </w:p>
        </w:tc>
        <w:tc>
          <w:tcPr>
            <w:tcW w:w="3966" w:type="dxa"/>
            <w:shd w:val="clear" w:color="auto" w:fill="auto"/>
            <w:vAlign w:val="bottom"/>
            <w:hideMark/>
          </w:tcPr>
          <w:p w:rsidR="00100327" w:rsidRPr="001244BB" w:rsidRDefault="00100327" w:rsidP="00563C30">
            <w:pPr>
              <w:spacing w:after="0" w:line="240" w:lineRule="auto"/>
              <w:rPr>
                <w:rFonts w:ascii="Arial" w:eastAsia="Times New Roman" w:hAnsi="Arial" w:cs="Arial"/>
                <w:color w:val="000000"/>
                <w:sz w:val="20"/>
                <w:lang w:eastAsia="en-NZ"/>
              </w:rPr>
            </w:pPr>
            <w:r w:rsidRPr="001244BB">
              <w:rPr>
                <w:rFonts w:ascii="Arial" w:eastAsia="Times New Roman" w:hAnsi="Arial" w:cs="Arial"/>
                <w:color w:val="000000"/>
                <w:sz w:val="20"/>
                <w:lang w:eastAsia="en-NZ"/>
              </w:rPr>
              <w:t> </w:t>
            </w:r>
          </w:p>
        </w:tc>
      </w:tr>
      <w:tr w:rsidR="00100327" w:rsidRPr="001244BB" w:rsidTr="00563C30">
        <w:trPr>
          <w:trHeight w:val="300"/>
        </w:trPr>
        <w:tc>
          <w:tcPr>
            <w:tcW w:w="5499" w:type="dxa"/>
            <w:shd w:val="clear" w:color="auto" w:fill="DBE5F1" w:themeFill="accent1" w:themeFillTint="33"/>
            <w:noWrap/>
            <w:vAlign w:val="bottom"/>
            <w:hideMark/>
          </w:tcPr>
          <w:p w:rsidR="00100327" w:rsidRPr="001244BB" w:rsidRDefault="00100327" w:rsidP="00563C30">
            <w:pPr>
              <w:spacing w:after="0" w:line="240" w:lineRule="auto"/>
              <w:rPr>
                <w:rFonts w:ascii="Arial" w:eastAsia="Times New Roman" w:hAnsi="Arial" w:cs="Arial"/>
                <w:b/>
                <w:bCs/>
                <w:color w:val="000000"/>
                <w:sz w:val="20"/>
                <w:lang w:eastAsia="en-NZ"/>
              </w:rPr>
            </w:pPr>
            <w:r w:rsidRPr="001244BB">
              <w:rPr>
                <w:rFonts w:ascii="Arial" w:eastAsia="Times New Roman" w:hAnsi="Arial" w:cs="Arial"/>
                <w:b/>
                <w:bCs/>
                <w:color w:val="000000"/>
                <w:sz w:val="20"/>
                <w:lang w:eastAsia="en-NZ"/>
              </w:rPr>
              <w:t>6.2 Building and development control</w:t>
            </w:r>
          </w:p>
        </w:tc>
        <w:tc>
          <w:tcPr>
            <w:tcW w:w="961" w:type="dxa"/>
            <w:shd w:val="clear" w:color="auto" w:fill="DBE5F1" w:themeFill="accent1" w:themeFillTint="33"/>
            <w:noWrap/>
            <w:vAlign w:val="bottom"/>
            <w:hideMark/>
          </w:tcPr>
          <w:p w:rsidR="00100327" w:rsidRPr="001244BB" w:rsidRDefault="00100327" w:rsidP="00563C30">
            <w:pPr>
              <w:spacing w:after="0" w:line="240" w:lineRule="auto"/>
              <w:jc w:val="right"/>
              <w:rPr>
                <w:rFonts w:ascii="Arial" w:eastAsia="Times New Roman" w:hAnsi="Arial" w:cs="Arial"/>
                <w:color w:val="000000"/>
                <w:sz w:val="20"/>
                <w:lang w:eastAsia="en-NZ"/>
              </w:rPr>
            </w:pPr>
          </w:p>
        </w:tc>
        <w:tc>
          <w:tcPr>
            <w:tcW w:w="961" w:type="dxa"/>
            <w:shd w:val="clear" w:color="auto" w:fill="DBE5F1" w:themeFill="accent1" w:themeFillTint="33"/>
            <w:noWrap/>
            <w:vAlign w:val="bottom"/>
            <w:hideMark/>
          </w:tcPr>
          <w:p w:rsidR="00100327" w:rsidRPr="001244BB" w:rsidRDefault="00100327" w:rsidP="00563C30">
            <w:pPr>
              <w:spacing w:after="0" w:line="240" w:lineRule="auto"/>
              <w:jc w:val="right"/>
              <w:rPr>
                <w:rFonts w:ascii="Arial" w:eastAsia="Times New Roman" w:hAnsi="Arial" w:cs="Arial"/>
                <w:color w:val="000000"/>
                <w:sz w:val="20"/>
                <w:lang w:eastAsia="en-NZ"/>
              </w:rPr>
            </w:pPr>
          </w:p>
        </w:tc>
        <w:tc>
          <w:tcPr>
            <w:tcW w:w="992" w:type="dxa"/>
            <w:shd w:val="clear" w:color="auto" w:fill="DBE5F1" w:themeFill="accent1" w:themeFillTint="33"/>
            <w:noWrap/>
            <w:vAlign w:val="bottom"/>
            <w:hideMark/>
          </w:tcPr>
          <w:p w:rsidR="00100327" w:rsidRPr="001244BB" w:rsidRDefault="00100327" w:rsidP="00563C30">
            <w:pPr>
              <w:spacing w:after="0" w:line="240" w:lineRule="auto"/>
              <w:jc w:val="right"/>
              <w:rPr>
                <w:rFonts w:ascii="Arial" w:eastAsia="Times New Roman" w:hAnsi="Arial" w:cs="Arial"/>
                <w:color w:val="000000"/>
                <w:sz w:val="20"/>
                <w:lang w:eastAsia="en-NZ"/>
              </w:rPr>
            </w:pPr>
            <w:r w:rsidRPr="001244BB">
              <w:rPr>
                <w:rFonts w:ascii="Arial" w:eastAsia="Times New Roman" w:hAnsi="Arial" w:cs="Arial"/>
                <w:color w:val="000000"/>
                <w:sz w:val="20"/>
                <w:lang w:eastAsia="en-NZ"/>
              </w:rPr>
              <w:t> </w:t>
            </w:r>
          </w:p>
        </w:tc>
        <w:tc>
          <w:tcPr>
            <w:tcW w:w="961" w:type="dxa"/>
            <w:shd w:val="clear" w:color="auto" w:fill="DBE5F1" w:themeFill="accent1" w:themeFillTint="33"/>
            <w:noWrap/>
            <w:vAlign w:val="bottom"/>
            <w:hideMark/>
          </w:tcPr>
          <w:p w:rsidR="00100327" w:rsidRPr="001244BB" w:rsidRDefault="00100327" w:rsidP="00563C30">
            <w:pPr>
              <w:spacing w:after="0" w:line="240" w:lineRule="auto"/>
              <w:jc w:val="right"/>
              <w:rPr>
                <w:rFonts w:ascii="Arial" w:eastAsia="Times New Roman" w:hAnsi="Arial" w:cs="Arial"/>
                <w:color w:val="000000"/>
                <w:sz w:val="20"/>
                <w:lang w:eastAsia="en-NZ"/>
              </w:rPr>
            </w:pPr>
            <w:r w:rsidRPr="001244BB">
              <w:rPr>
                <w:rFonts w:ascii="Arial" w:eastAsia="Times New Roman" w:hAnsi="Arial" w:cs="Arial"/>
                <w:color w:val="000000"/>
                <w:sz w:val="20"/>
                <w:lang w:eastAsia="en-NZ"/>
              </w:rPr>
              <w:t> </w:t>
            </w:r>
          </w:p>
        </w:tc>
        <w:tc>
          <w:tcPr>
            <w:tcW w:w="1050" w:type="dxa"/>
            <w:shd w:val="clear" w:color="auto" w:fill="DBE5F1" w:themeFill="accent1" w:themeFillTint="33"/>
            <w:noWrap/>
            <w:hideMark/>
          </w:tcPr>
          <w:p w:rsidR="00100327" w:rsidRPr="001244BB" w:rsidRDefault="00100327" w:rsidP="00563C30">
            <w:pPr>
              <w:spacing w:after="0" w:line="240" w:lineRule="auto"/>
              <w:jc w:val="right"/>
              <w:rPr>
                <w:rFonts w:ascii="Arial" w:eastAsia="Times New Roman" w:hAnsi="Arial" w:cs="Arial"/>
                <w:color w:val="000000"/>
                <w:sz w:val="20"/>
                <w:lang w:eastAsia="en-NZ"/>
              </w:rPr>
            </w:pPr>
            <w:r w:rsidRPr="001244BB">
              <w:rPr>
                <w:rFonts w:ascii="Arial" w:eastAsia="Times New Roman" w:hAnsi="Arial" w:cs="Arial"/>
                <w:color w:val="000000"/>
                <w:sz w:val="20"/>
                <w:lang w:eastAsia="en-NZ"/>
              </w:rPr>
              <w:t> </w:t>
            </w:r>
          </w:p>
        </w:tc>
        <w:tc>
          <w:tcPr>
            <w:tcW w:w="3966" w:type="dxa"/>
            <w:shd w:val="clear" w:color="auto" w:fill="DBE5F1" w:themeFill="accent1" w:themeFillTint="33"/>
            <w:vAlign w:val="bottom"/>
            <w:hideMark/>
          </w:tcPr>
          <w:p w:rsidR="00100327" w:rsidRPr="001244BB" w:rsidRDefault="00100327" w:rsidP="00563C30">
            <w:pPr>
              <w:spacing w:after="0" w:line="240" w:lineRule="auto"/>
              <w:rPr>
                <w:rFonts w:ascii="Arial" w:eastAsia="Times New Roman" w:hAnsi="Arial" w:cs="Arial"/>
                <w:color w:val="000000"/>
                <w:sz w:val="20"/>
                <w:lang w:eastAsia="en-NZ"/>
              </w:rPr>
            </w:pPr>
          </w:p>
        </w:tc>
      </w:tr>
      <w:tr w:rsidR="00100327" w:rsidRPr="001244BB" w:rsidTr="00563C30">
        <w:trPr>
          <w:trHeight w:val="300"/>
        </w:trPr>
        <w:tc>
          <w:tcPr>
            <w:tcW w:w="5499" w:type="dxa"/>
            <w:shd w:val="clear" w:color="auto" w:fill="auto"/>
            <w:noWrap/>
            <w:hideMark/>
          </w:tcPr>
          <w:p w:rsidR="00100327" w:rsidRPr="001244BB" w:rsidRDefault="00100327" w:rsidP="00563C30">
            <w:pPr>
              <w:spacing w:after="0" w:line="240" w:lineRule="auto"/>
              <w:rPr>
                <w:rFonts w:ascii="Arial" w:eastAsia="Times New Roman" w:hAnsi="Arial" w:cs="Arial"/>
                <w:color w:val="000000"/>
                <w:sz w:val="20"/>
                <w:lang w:eastAsia="en-NZ"/>
              </w:rPr>
            </w:pPr>
            <w:r w:rsidRPr="001244BB">
              <w:rPr>
                <w:rFonts w:ascii="Arial" w:eastAsia="Times New Roman" w:hAnsi="Arial" w:cs="Arial"/>
                <w:color w:val="000000"/>
                <w:sz w:val="20"/>
                <w:lang w:eastAsia="en-NZ"/>
              </w:rPr>
              <w:t>Expenditure</w:t>
            </w:r>
          </w:p>
        </w:tc>
        <w:tc>
          <w:tcPr>
            <w:tcW w:w="961" w:type="dxa"/>
            <w:shd w:val="clear" w:color="auto" w:fill="auto"/>
            <w:noWrap/>
            <w:hideMark/>
          </w:tcPr>
          <w:p w:rsidR="00100327" w:rsidRPr="001244BB" w:rsidRDefault="00100327" w:rsidP="00563C30">
            <w:pPr>
              <w:spacing w:after="0" w:line="240" w:lineRule="auto"/>
              <w:jc w:val="right"/>
              <w:rPr>
                <w:rFonts w:ascii="Arial" w:eastAsia="Times New Roman" w:hAnsi="Arial" w:cs="Arial"/>
                <w:color w:val="000000"/>
                <w:sz w:val="20"/>
                <w:lang w:eastAsia="en-NZ"/>
              </w:rPr>
            </w:pPr>
            <w:r w:rsidRPr="001244BB">
              <w:rPr>
                <w:rFonts w:ascii="Arial" w:eastAsia="Times New Roman" w:hAnsi="Arial" w:cs="Arial"/>
                <w:color w:val="000000"/>
                <w:sz w:val="20"/>
                <w:lang w:eastAsia="en-NZ"/>
              </w:rPr>
              <w:t>22,062</w:t>
            </w:r>
          </w:p>
        </w:tc>
        <w:tc>
          <w:tcPr>
            <w:tcW w:w="961" w:type="dxa"/>
            <w:shd w:val="clear" w:color="auto" w:fill="auto"/>
            <w:noWrap/>
            <w:hideMark/>
          </w:tcPr>
          <w:p w:rsidR="00100327" w:rsidRPr="001244BB" w:rsidRDefault="00100327" w:rsidP="006C5FB5">
            <w:pPr>
              <w:spacing w:after="0" w:line="240" w:lineRule="auto"/>
              <w:jc w:val="right"/>
              <w:rPr>
                <w:rFonts w:ascii="Arial" w:eastAsia="Times New Roman" w:hAnsi="Arial" w:cs="Arial"/>
                <w:color w:val="000000"/>
                <w:sz w:val="20"/>
                <w:lang w:eastAsia="en-NZ"/>
              </w:rPr>
            </w:pPr>
            <w:r w:rsidRPr="001244BB">
              <w:rPr>
                <w:rFonts w:ascii="Arial" w:eastAsia="Times New Roman" w:hAnsi="Arial" w:cs="Arial"/>
                <w:color w:val="000000"/>
                <w:sz w:val="20"/>
                <w:lang w:eastAsia="en-NZ"/>
              </w:rPr>
              <w:t>21,</w:t>
            </w:r>
            <w:r w:rsidR="006C5FB5" w:rsidRPr="001244BB">
              <w:rPr>
                <w:rFonts w:ascii="Arial" w:eastAsia="Times New Roman" w:hAnsi="Arial" w:cs="Arial"/>
                <w:color w:val="000000"/>
                <w:sz w:val="20"/>
                <w:lang w:eastAsia="en-NZ"/>
              </w:rPr>
              <w:t>06</w:t>
            </w:r>
            <w:r w:rsidR="006C5FB5">
              <w:rPr>
                <w:rFonts w:ascii="Arial" w:eastAsia="Times New Roman" w:hAnsi="Arial" w:cs="Arial"/>
                <w:color w:val="000000"/>
                <w:sz w:val="20"/>
                <w:lang w:eastAsia="en-NZ"/>
              </w:rPr>
              <w:t>4</w:t>
            </w:r>
          </w:p>
        </w:tc>
        <w:tc>
          <w:tcPr>
            <w:tcW w:w="992" w:type="dxa"/>
            <w:shd w:val="clear" w:color="000000" w:fill="E8E8E8"/>
            <w:noWrap/>
            <w:hideMark/>
          </w:tcPr>
          <w:p w:rsidR="00100327" w:rsidRPr="001244BB" w:rsidRDefault="00100327" w:rsidP="00563C30">
            <w:pPr>
              <w:spacing w:after="0" w:line="240" w:lineRule="auto"/>
              <w:jc w:val="right"/>
              <w:rPr>
                <w:rFonts w:ascii="Arial" w:eastAsia="Times New Roman" w:hAnsi="Arial" w:cs="Arial"/>
                <w:color w:val="000000"/>
                <w:sz w:val="20"/>
                <w:lang w:eastAsia="en-NZ"/>
              </w:rPr>
            </w:pPr>
            <w:r w:rsidRPr="001244BB">
              <w:rPr>
                <w:rFonts w:ascii="Arial" w:eastAsia="Times New Roman" w:hAnsi="Arial" w:cs="Arial"/>
                <w:color w:val="000000"/>
                <w:sz w:val="20"/>
                <w:lang w:eastAsia="en-NZ"/>
              </w:rPr>
              <w:t>20,623</w:t>
            </w:r>
          </w:p>
        </w:tc>
        <w:tc>
          <w:tcPr>
            <w:tcW w:w="961" w:type="dxa"/>
            <w:shd w:val="clear" w:color="000000" w:fill="E8E8E8"/>
            <w:noWrap/>
            <w:hideMark/>
          </w:tcPr>
          <w:p w:rsidR="00100327" w:rsidRPr="001244BB" w:rsidRDefault="00100327" w:rsidP="00563C30">
            <w:pPr>
              <w:spacing w:after="0" w:line="240" w:lineRule="auto"/>
              <w:jc w:val="right"/>
              <w:rPr>
                <w:rFonts w:ascii="Arial" w:eastAsia="Times New Roman" w:hAnsi="Arial" w:cs="Arial"/>
                <w:color w:val="000000"/>
                <w:sz w:val="20"/>
                <w:lang w:eastAsia="en-NZ"/>
              </w:rPr>
            </w:pPr>
            <w:r w:rsidRPr="001244BB">
              <w:rPr>
                <w:rFonts w:ascii="Arial" w:eastAsia="Times New Roman" w:hAnsi="Arial" w:cs="Arial"/>
                <w:color w:val="000000"/>
                <w:sz w:val="20"/>
                <w:lang w:eastAsia="en-NZ"/>
              </w:rPr>
              <w:t>20,702</w:t>
            </w:r>
          </w:p>
        </w:tc>
        <w:tc>
          <w:tcPr>
            <w:tcW w:w="1050" w:type="dxa"/>
            <w:shd w:val="clear" w:color="000000" w:fill="E8E8E8"/>
            <w:noWrap/>
            <w:hideMark/>
          </w:tcPr>
          <w:p w:rsidR="00100327" w:rsidRPr="001244BB" w:rsidRDefault="00100327" w:rsidP="00563C30">
            <w:pPr>
              <w:spacing w:after="0" w:line="240" w:lineRule="auto"/>
              <w:jc w:val="right"/>
              <w:rPr>
                <w:rFonts w:ascii="Arial" w:eastAsia="Times New Roman" w:hAnsi="Arial" w:cs="Arial"/>
                <w:color w:val="000000"/>
                <w:sz w:val="20"/>
                <w:lang w:eastAsia="en-NZ"/>
              </w:rPr>
            </w:pPr>
            <w:r w:rsidRPr="001244BB">
              <w:rPr>
                <w:rFonts w:ascii="Arial" w:eastAsia="Times New Roman" w:hAnsi="Arial" w:cs="Arial"/>
                <w:color w:val="000000"/>
                <w:sz w:val="20"/>
                <w:lang w:eastAsia="en-NZ"/>
              </w:rPr>
              <w:t>79</w:t>
            </w:r>
          </w:p>
        </w:tc>
        <w:tc>
          <w:tcPr>
            <w:tcW w:w="3966" w:type="dxa"/>
            <w:shd w:val="clear" w:color="auto" w:fill="auto"/>
            <w:vAlign w:val="bottom"/>
            <w:hideMark/>
          </w:tcPr>
          <w:p w:rsidR="00100327" w:rsidRPr="001244BB" w:rsidRDefault="00100327" w:rsidP="00563C30">
            <w:pPr>
              <w:spacing w:after="0" w:line="240" w:lineRule="auto"/>
              <w:rPr>
                <w:rFonts w:ascii="Arial" w:eastAsia="Times New Roman" w:hAnsi="Arial" w:cs="Arial"/>
                <w:color w:val="000000"/>
                <w:sz w:val="20"/>
                <w:lang w:eastAsia="en-NZ"/>
              </w:rPr>
            </w:pPr>
          </w:p>
        </w:tc>
      </w:tr>
      <w:tr w:rsidR="00100327" w:rsidRPr="001244BB" w:rsidTr="00563C30">
        <w:trPr>
          <w:trHeight w:val="300"/>
        </w:trPr>
        <w:tc>
          <w:tcPr>
            <w:tcW w:w="5499" w:type="dxa"/>
            <w:shd w:val="clear" w:color="auto" w:fill="auto"/>
            <w:noWrap/>
            <w:hideMark/>
          </w:tcPr>
          <w:p w:rsidR="00100327" w:rsidRPr="001244BB" w:rsidRDefault="00100327" w:rsidP="00563C30">
            <w:pPr>
              <w:spacing w:after="0" w:line="240" w:lineRule="auto"/>
              <w:rPr>
                <w:rFonts w:ascii="Arial" w:eastAsia="Times New Roman" w:hAnsi="Arial" w:cs="Arial"/>
                <w:color w:val="000000"/>
                <w:sz w:val="20"/>
                <w:lang w:eastAsia="en-NZ"/>
              </w:rPr>
            </w:pPr>
            <w:r w:rsidRPr="001244BB">
              <w:rPr>
                <w:rFonts w:ascii="Arial" w:eastAsia="Times New Roman" w:hAnsi="Arial" w:cs="Arial"/>
                <w:color w:val="000000"/>
                <w:sz w:val="20"/>
                <w:lang w:eastAsia="en-NZ"/>
              </w:rPr>
              <w:t>Revenue</w:t>
            </w:r>
          </w:p>
        </w:tc>
        <w:tc>
          <w:tcPr>
            <w:tcW w:w="961" w:type="dxa"/>
            <w:shd w:val="clear" w:color="auto" w:fill="auto"/>
            <w:noWrap/>
            <w:hideMark/>
          </w:tcPr>
          <w:p w:rsidR="00100327" w:rsidRPr="001244BB" w:rsidRDefault="00100327" w:rsidP="00563C30">
            <w:pPr>
              <w:spacing w:after="0" w:line="240" w:lineRule="auto"/>
              <w:jc w:val="right"/>
              <w:rPr>
                <w:rFonts w:ascii="Arial" w:eastAsia="Times New Roman" w:hAnsi="Arial" w:cs="Arial"/>
                <w:color w:val="000000"/>
                <w:sz w:val="20"/>
                <w:lang w:eastAsia="en-NZ"/>
              </w:rPr>
            </w:pPr>
            <w:r w:rsidRPr="001244BB">
              <w:rPr>
                <w:rFonts w:ascii="Arial" w:eastAsia="Times New Roman" w:hAnsi="Arial" w:cs="Arial"/>
                <w:color w:val="000000"/>
                <w:sz w:val="20"/>
                <w:lang w:eastAsia="en-NZ"/>
              </w:rPr>
              <w:t>(13,293)</w:t>
            </w:r>
          </w:p>
        </w:tc>
        <w:tc>
          <w:tcPr>
            <w:tcW w:w="961" w:type="dxa"/>
            <w:shd w:val="clear" w:color="auto" w:fill="auto"/>
            <w:noWrap/>
            <w:hideMark/>
          </w:tcPr>
          <w:p w:rsidR="00100327" w:rsidRPr="001244BB" w:rsidRDefault="00100327" w:rsidP="006C5FB5">
            <w:pPr>
              <w:spacing w:after="0" w:line="240" w:lineRule="auto"/>
              <w:jc w:val="right"/>
              <w:rPr>
                <w:rFonts w:ascii="Arial" w:eastAsia="Times New Roman" w:hAnsi="Arial" w:cs="Arial"/>
                <w:color w:val="000000"/>
                <w:sz w:val="20"/>
                <w:lang w:eastAsia="en-NZ"/>
              </w:rPr>
            </w:pPr>
            <w:r w:rsidRPr="001244BB">
              <w:rPr>
                <w:rFonts w:ascii="Arial" w:eastAsia="Times New Roman" w:hAnsi="Arial" w:cs="Arial"/>
                <w:color w:val="000000"/>
                <w:sz w:val="20"/>
                <w:lang w:eastAsia="en-NZ"/>
              </w:rPr>
              <w:t>(13,</w:t>
            </w:r>
            <w:r w:rsidR="006C5FB5">
              <w:rPr>
                <w:rFonts w:ascii="Arial" w:eastAsia="Times New Roman" w:hAnsi="Arial" w:cs="Arial"/>
                <w:color w:val="000000"/>
                <w:sz w:val="20"/>
                <w:lang w:eastAsia="en-NZ"/>
              </w:rPr>
              <w:t>523</w:t>
            </w:r>
            <w:r w:rsidRPr="001244BB">
              <w:rPr>
                <w:rFonts w:ascii="Arial" w:eastAsia="Times New Roman" w:hAnsi="Arial" w:cs="Arial"/>
                <w:color w:val="000000"/>
                <w:sz w:val="20"/>
                <w:lang w:eastAsia="en-NZ"/>
              </w:rPr>
              <w:t>)</w:t>
            </w:r>
          </w:p>
        </w:tc>
        <w:tc>
          <w:tcPr>
            <w:tcW w:w="992" w:type="dxa"/>
            <w:shd w:val="clear" w:color="000000" w:fill="E8E8E8"/>
            <w:noWrap/>
            <w:hideMark/>
          </w:tcPr>
          <w:p w:rsidR="00100327" w:rsidRPr="001244BB" w:rsidRDefault="00100327" w:rsidP="00563C30">
            <w:pPr>
              <w:spacing w:after="0" w:line="240" w:lineRule="auto"/>
              <w:jc w:val="right"/>
              <w:rPr>
                <w:rFonts w:ascii="Arial" w:eastAsia="Times New Roman" w:hAnsi="Arial" w:cs="Arial"/>
                <w:color w:val="000000"/>
                <w:sz w:val="20"/>
                <w:lang w:eastAsia="en-NZ"/>
              </w:rPr>
            </w:pPr>
            <w:r w:rsidRPr="001244BB">
              <w:rPr>
                <w:rFonts w:ascii="Arial" w:eastAsia="Times New Roman" w:hAnsi="Arial" w:cs="Arial"/>
                <w:color w:val="000000"/>
                <w:sz w:val="20"/>
                <w:lang w:eastAsia="en-NZ"/>
              </w:rPr>
              <w:t>(13,720)</w:t>
            </w:r>
          </w:p>
        </w:tc>
        <w:tc>
          <w:tcPr>
            <w:tcW w:w="961" w:type="dxa"/>
            <w:shd w:val="clear" w:color="000000" w:fill="E8E8E8"/>
            <w:noWrap/>
            <w:hideMark/>
          </w:tcPr>
          <w:p w:rsidR="00100327" w:rsidRPr="001244BB" w:rsidRDefault="00100327" w:rsidP="00563C30">
            <w:pPr>
              <w:spacing w:after="0" w:line="240" w:lineRule="auto"/>
              <w:jc w:val="right"/>
              <w:rPr>
                <w:rFonts w:ascii="Arial" w:eastAsia="Times New Roman" w:hAnsi="Arial" w:cs="Arial"/>
                <w:color w:val="000000"/>
                <w:sz w:val="20"/>
                <w:lang w:eastAsia="en-NZ"/>
              </w:rPr>
            </w:pPr>
            <w:r w:rsidRPr="001244BB">
              <w:rPr>
                <w:rFonts w:ascii="Arial" w:eastAsia="Times New Roman" w:hAnsi="Arial" w:cs="Arial"/>
                <w:color w:val="000000"/>
                <w:sz w:val="20"/>
                <w:lang w:eastAsia="en-NZ"/>
              </w:rPr>
              <w:t>(13,235)</w:t>
            </w:r>
          </w:p>
        </w:tc>
        <w:tc>
          <w:tcPr>
            <w:tcW w:w="1050" w:type="dxa"/>
            <w:shd w:val="clear" w:color="000000" w:fill="E8E8E8"/>
            <w:noWrap/>
            <w:hideMark/>
          </w:tcPr>
          <w:p w:rsidR="00100327" w:rsidRPr="001244BB" w:rsidRDefault="00100327" w:rsidP="00563C30">
            <w:pPr>
              <w:spacing w:after="0" w:line="240" w:lineRule="auto"/>
              <w:jc w:val="right"/>
              <w:rPr>
                <w:rFonts w:ascii="Arial" w:eastAsia="Times New Roman" w:hAnsi="Arial" w:cs="Arial"/>
                <w:color w:val="000000"/>
                <w:sz w:val="20"/>
                <w:lang w:eastAsia="en-NZ"/>
              </w:rPr>
            </w:pPr>
            <w:r w:rsidRPr="001244BB">
              <w:rPr>
                <w:rFonts w:ascii="Arial" w:eastAsia="Times New Roman" w:hAnsi="Arial" w:cs="Arial"/>
                <w:color w:val="000000"/>
                <w:sz w:val="20"/>
                <w:lang w:eastAsia="en-NZ"/>
              </w:rPr>
              <w:t>486</w:t>
            </w:r>
          </w:p>
        </w:tc>
        <w:tc>
          <w:tcPr>
            <w:tcW w:w="3966" w:type="dxa"/>
            <w:shd w:val="clear" w:color="auto" w:fill="auto"/>
            <w:vAlign w:val="bottom"/>
            <w:hideMark/>
          </w:tcPr>
          <w:p w:rsidR="00100327" w:rsidRPr="001244BB" w:rsidRDefault="00100327" w:rsidP="00563C30">
            <w:pPr>
              <w:spacing w:after="0" w:line="240" w:lineRule="auto"/>
              <w:rPr>
                <w:rFonts w:ascii="Arial" w:eastAsia="Times New Roman" w:hAnsi="Arial" w:cs="Arial"/>
                <w:color w:val="000000"/>
                <w:sz w:val="20"/>
                <w:lang w:eastAsia="en-NZ"/>
              </w:rPr>
            </w:pPr>
          </w:p>
        </w:tc>
      </w:tr>
      <w:tr w:rsidR="00100327" w:rsidRPr="001244BB" w:rsidTr="00563C30">
        <w:trPr>
          <w:trHeight w:val="300"/>
        </w:trPr>
        <w:tc>
          <w:tcPr>
            <w:tcW w:w="5499" w:type="dxa"/>
            <w:shd w:val="clear" w:color="auto" w:fill="auto"/>
            <w:noWrap/>
            <w:hideMark/>
          </w:tcPr>
          <w:p w:rsidR="00100327" w:rsidRPr="001244BB" w:rsidRDefault="00100327" w:rsidP="00563C30">
            <w:pPr>
              <w:spacing w:after="0" w:line="240" w:lineRule="auto"/>
              <w:rPr>
                <w:rFonts w:ascii="Arial" w:eastAsia="Times New Roman" w:hAnsi="Arial" w:cs="Arial"/>
                <w:color w:val="000000"/>
                <w:sz w:val="20"/>
                <w:lang w:eastAsia="en-NZ"/>
              </w:rPr>
            </w:pPr>
            <w:r w:rsidRPr="001244BB">
              <w:rPr>
                <w:rFonts w:ascii="Arial" w:eastAsia="Times New Roman" w:hAnsi="Arial" w:cs="Arial"/>
                <w:color w:val="000000"/>
                <w:sz w:val="20"/>
                <w:lang w:eastAsia="en-NZ"/>
              </w:rPr>
              <w:t>Net Expenditure</w:t>
            </w:r>
          </w:p>
        </w:tc>
        <w:tc>
          <w:tcPr>
            <w:tcW w:w="961" w:type="dxa"/>
            <w:shd w:val="clear" w:color="auto" w:fill="auto"/>
            <w:noWrap/>
            <w:hideMark/>
          </w:tcPr>
          <w:p w:rsidR="00100327" w:rsidRPr="001244BB" w:rsidRDefault="00100327" w:rsidP="00563C30">
            <w:pPr>
              <w:spacing w:after="0" w:line="240" w:lineRule="auto"/>
              <w:jc w:val="right"/>
              <w:rPr>
                <w:rFonts w:ascii="Arial" w:eastAsia="Times New Roman" w:hAnsi="Arial" w:cs="Arial"/>
                <w:color w:val="000000"/>
                <w:sz w:val="20"/>
                <w:lang w:eastAsia="en-NZ"/>
              </w:rPr>
            </w:pPr>
            <w:r w:rsidRPr="001244BB">
              <w:rPr>
                <w:rFonts w:ascii="Arial" w:eastAsia="Times New Roman" w:hAnsi="Arial" w:cs="Arial"/>
                <w:color w:val="000000"/>
                <w:sz w:val="20"/>
                <w:lang w:eastAsia="en-NZ"/>
              </w:rPr>
              <w:t>8,769</w:t>
            </w:r>
          </w:p>
        </w:tc>
        <w:tc>
          <w:tcPr>
            <w:tcW w:w="961" w:type="dxa"/>
            <w:shd w:val="clear" w:color="auto" w:fill="auto"/>
            <w:noWrap/>
            <w:hideMark/>
          </w:tcPr>
          <w:p w:rsidR="00100327" w:rsidRPr="001244BB" w:rsidRDefault="00100327" w:rsidP="006C5FB5">
            <w:pPr>
              <w:spacing w:after="0" w:line="240" w:lineRule="auto"/>
              <w:jc w:val="right"/>
              <w:rPr>
                <w:rFonts w:ascii="Arial" w:eastAsia="Times New Roman" w:hAnsi="Arial" w:cs="Arial"/>
                <w:color w:val="000000"/>
                <w:sz w:val="20"/>
                <w:lang w:eastAsia="en-NZ"/>
              </w:rPr>
            </w:pPr>
            <w:r w:rsidRPr="001244BB">
              <w:rPr>
                <w:rFonts w:ascii="Arial" w:eastAsia="Times New Roman" w:hAnsi="Arial" w:cs="Arial"/>
                <w:color w:val="000000"/>
                <w:sz w:val="20"/>
                <w:lang w:eastAsia="en-NZ"/>
              </w:rPr>
              <w:t>7,</w:t>
            </w:r>
            <w:r w:rsidR="006C5FB5">
              <w:rPr>
                <w:rFonts w:ascii="Arial" w:eastAsia="Times New Roman" w:hAnsi="Arial" w:cs="Arial"/>
                <w:color w:val="000000"/>
                <w:sz w:val="20"/>
                <w:lang w:eastAsia="en-NZ"/>
              </w:rPr>
              <w:t>541</w:t>
            </w:r>
          </w:p>
        </w:tc>
        <w:tc>
          <w:tcPr>
            <w:tcW w:w="992" w:type="dxa"/>
            <w:shd w:val="clear" w:color="000000" w:fill="E8E8E8"/>
            <w:noWrap/>
            <w:hideMark/>
          </w:tcPr>
          <w:p w:rsidR="00100327" w:rsidRPr="001244BB" w:rsidRDefault="00100327" w:rsidP="00563C30">
            <w:pPr>
              <w:spacing w:after="0" w:line="240" w:lineRule="auto"/>
              <w:jc w:val="right"/>
              <w:rPr>
                <w:rFonts w:ascii="Arial" w:eastAsia="Times New Roman" w:hAnsi="Arial" w:cs="Arial"/>
                <w:color w:val="000000"/>
                <w:sz w:val="20"/>
                <w:lang w:eastAsia="en-NZ"/>
              </w:rPr>
            </w:pPr>
            <w:r w:rsidRPr="001244BB">
              <w:rPr>
                <w:rFonts w:ascii="Arial" w:eastAsia="Times New Roman" w:hAnsi="Arial" w:cs="Arial"/>
                <w:color w:val="000000"/>
                <w:sz w:val="20"/>
                <w:lang w:eastAsia="en-NZ"/>
              </w:rPr>
              <w:t>6,902</w:t>
            </w:r>
          </w:p>
        </w:tc>
        <w:tc>
          <w:tcPr>
            <w:tcW w:w="961" w:type="dxa"/>
            <w:shd w:val="clear" w:color="000000" w:fill="E8E8E8"/>
            <w:noWrap/>
            <w:hideMark/>
          </w:tcPr>
          <w:p w:rsidR="00100327" w:rsidRPr="001244BB" w:rsidRDefault="00100327" w:rsidP="00563C30">
            <w:pPr>
              <w:spacing w:after="0" w:line="240" w:lineRule="auto"/>
              <w:jc w:val="right"/>
              <w:rPr>
                <w:rFonts w:ascii="Arial" w:eastAsia="Times New Roman" w:hAnsi="Arial" w:cs="Arial"/>
                <w:color w:val="000000"/>
                <w:sz w:val="20"/>
                <w:lang w:eastAsia="en-NZ"/>
              </w:rPr>
            </w:pPr>
            <w:r w:rsidRPr="001244BB">
              <w:rPr>
                <w:rFonts w:ascii="Arial" w:eastAsia="Times New Roman" w:hAnsi="Arial" w:cs="Arial"/>
                <w:color w:val="000000"/>
                <w:sz w:val="20"/>
                <w:lang w:eastAsia="en-NZ"/>
              </w:rPr>
              <w:t>7,467</w:t>
            </w:r>
          </w:p>
        </w:tc>
        <w:tc>
          <w:tcPr>
            <w:tcW w:w="1050" w:type="dxa"/>
            <w:shd w:val="clear" w:color="000000" w:fill="E8E8E8"/>
            <w:noWrap/>
            <w:hideMark/>
          </w:tcPr>
          <w:p w:rsidR="00100327" w:rsidRPr="001244BB" w:rsidRDefault="00100327" w:rsidP="00563C30">
            <w:pPr>
              <w:spacing w:after="0" w:line="240" w:lineRule="auto"/>
              <w:jc w:val="right"/>
              <w:rPr>
                <w:rFonts w:ascii="Arial" w:eastAsia="Times New Roman" w:hAnsi="Arial" w:cs="Arial"/>
                <w:color w:val="000000"/>
                <w:sz w:val="20"/>
                <w:lang w:eastAsia="en-NZ"/>
              </w:rPr>
            </w:pPr>
            <w:r w:rsidRPr="001244BB">
              <w:rPr>
                <w:rFonts w:ascii="Arial" w:eastAsia="Times New Roman" w:hAnsi="Arial" w:cs="Arial"/>
                <w:color w:val="000000"/>
                <w:sz w:val="20"/>
                <w:lang w:eastAsia="en-NZ"/>
              </w:rPr>
              <w:t>565</w:t>
            </w:r>
          </w:p>
        </w:tc>
        <w:tc>
          <w:tcPr>
            <w:tcW w:w="3966" w:type="dxa"/>
            <w:shd w:val="clear" w:color="auto" w:fill="auto"/>
            <w:vAlign w:val="bottom"/>
            <w:hideMark/>
          </w:tcPr>
          <w:p w:rsidR="00100327" w:rsidRPr="001244BB" w:rsidRDefault="00100327" w:rsidP="00563C30">
            <w:pPr>
              <w:spacing w:after="0" w:line="240" w:lineRule="auto"/>
              <w:rPr>
                <w:rFonts w:ascii="Arial" w:eastAsia="Times New Roman" w:hAnsi="Arial" w:cs="Arial"/>
                <w:color w:val="000000"/>
                <w:sz w:val="20"/>
                <w:lang w:eastAsia="en-NZ"/>
              </w:rPr>
            </w:pPr>
            <w:r w:rsidRPr="001244BB">
              <w:rPr>
                <w:rFonts w:ascii="Arial" w:eastAsia="Times New Roman" w:hAnsi="Arial" w:cs="Arial"/>
                <w:color w:val="000000"/>
                <w:sz w:val="20"/>
                <w:lang w:eastAsia="en-NZ"/>
              </w:rPr>
              <w:t> </w:t>
            </w:r>
          </w:p>
        </w:tc>
      </w:tr>
      <w:tr w:rsidR="00100327" w:rsidRPr="001244BB" w:rsidTr="00563C30">
        <w:trPr>
          <w:trHeight w:val="300"/>
        </w:trPr>
        <w:tc>
          <w:tcPr>
            <w:tcW w:w="5499" w:type="dxa"/>
            <w:shd w:val="clear" w:color="auto" w:fill="DBE5F1" w:themeFill="accent1" w:themeFillTint="33"/>
            <w:noWrap/>
            <w:vAlign w:val="bottom"/>
            <w:hideMark/>
          </w:tcPr>
          <w:p w:rsidR="00100327" w:rsidRPr="001244BB" w:rsidRDefault="00100327" w:rsidP="00563C30">
            <w:pPr>
              <w:spacing w:after="0" w:line="240" w:lineRule="auto"/>
              <w:rPr>
                <w:rFonts w:ascii="Arial" w:eastAsia="Times New Roman" w:hAnsi="Arial" w:cs="Arial"/>
                <w:b/>
                <w:bCs/>
                <w:color w:val="000000"/>
                <w:sz w:val="20"/>
                <w:lang w:eastAsia="en-NZ"/>
              </w:rPr>
            </w:pPr>
            <w:r w:rsidRPr="001244BB">
              <w:rPr>
                <w:rFonts w:ascii="Arial" w:eastAsia="Times New Roman" w:hAnsi="Arial" w:cs="Arial"/>
                <w:b/>
                <w:bCs/>
                <w:color w:val="000000"/>
                <w:sz w:val="20"/>
                <w:lang w:eastAsia="en-NZ"/>
              </w:rPr>
              <w:t>Urban Development Total</w:t>
            </w:r>
          </w:p>
        </w:tc>
        <w:tc>
          <w:tcPr>
            <w:tcW w:w="961" w:type="dxa"/>
            <w:shd w:val="clear" w:color="auto" w:fill="DBE5F1" w:themeFill="accent1" w:themeFillTint="33"/>
            <w:noWrap/>
            <w:vAlign w:val="bottom"/>
          </w:tcPr>
          <w:p w:rsidR="00100327" w:rsidRPr="001244BB" w:rsidRDefault="00100327" w:rsidP="00563C30">
            <w:pPr>
              <w:spacing w:after="0" w:line="240" w:lineRule="auto"/>
              <w:jc w:val="right"/>
              <w:rPr>
                <w:rFonts w:ascii="Arial" w:eastAsia="Times New Roman" w:hAnsi="Arial" w:cs="Arial"/>
                <w:b/>
                <w:bCs/>
                <w:color w:val="000000"/>
                <w:sz w:val="20"/>
                <w:lang w:eastAsia="en-NZ"/>
              </w:rPr>
            </w:pPr>
          </w:p>
        </w:tc>
        <w:tc>
          <w:tcPr>
            <w:tcW w:w="961" w:type="dxa"/>
            <w:shd w:val="clear" w:color="auto" w:fill="DBE5F1" w:themeFill="accent1" w:themeFillTint="33"/>
            <w:noWrap/>
            <w:vAlign w:val="bottom"/>
          </w:tcPr>
          <w:p w:rsidR="00100327" w:rsidRPr="001244BB" w:rsidRDefault="00100327" w:rsidP="00563C30">
            <w:pPr>
              <w:spacing w:after="0" w:line="240" w:lineRule="auto"/>
              <w:jc w:val="right"/>
              <w:rPr>
                <w:rFonts w:ascii="Arial" w:eastAsia="Times New Roman" w:hAnsi="Arial" w:cs="Arial"/>
                <w:b/>
                <w:bCs/>
                <w:color w:val="000000"/>
                <w:sz w:val="20"/>
                <w:lang w:eastAsia="en-NZ"/>
              </w:rPr>
            </w:pPr>
          </w:p>
        </w:tc>
        <w:tc>
          <w:tcPr>
            <w:tcW w:w="992" w:type="dxa"/>
            <w:shd w:val="clear" w:color="auto" w:fill="DBE5F1" w:themeFill="accent1" w:themeFillTint="33"/>
            <w:noWrap/>
            <w:vAlign w:val="bottom"/>
          </w:tcPr>
          <w:p w:rsidR="00100327" w:rsidRPr="001244BB" w:rsidRDefault="00100327" w:rsidP="00563C30">
            <w:pPr>
              <w:spacing w:after="0" w:line="240" w:lineRule="auto"/>
              <w:jc w:val="right"/>
              <w:rPr>
                <w:rFonts w:ascii="Arial" w:eastAsia="Times New Roman" w:hAnsi="Arial" w:cs="Arial"/>
                <w:b/>
                <w:bCs/>
                <w:color w:val="000000"/>
                <w:sz w:val="20"/>
                <w:lang w:eastAsia="en-NZ"/>
              </w:rPr>
            </w:pPr>
          </w:p>
        </w:tc>
        <w:tc>
          <w:tcPr>
            <w:tcW w:w="961" w:type="dxa"/>
            <w:shd w:val="clear" w:color="auto" w:fill="DBE5F1" w:themeFill="accent1" w:themeFillTint="33"/>
            <w:noWrap/>
            <w:vAlign w:val="bottom"/>
          </w:tcPr>
          <w:p w:rsidR="00100327" w:rsidRPr="001244BB" w:rsidRDefault="00100327" w:rsidP="00563C30">
            <w:pPr>
              <w:spacing w:after="0" w:line="240" w:lineRule="auto"/>
              <w:jc w:val="right"/>
              <w:rPr>
                <w:rFonts w:ascii="Arial" w:eastAsia="Times New Roman" w:hAnsi="Arial" w:cs="Arial"/>
                <w:b/>
                <w:bCs/>
                <w:color w:val="000000"/>
                <w:sz w:val="20"/>
                <w:lang w:eastAsia="en-NZ"/>
              </w:rPr>
            </w:pPr>
          </w:p>
        </w:tc>
        <w:tc>
          <w:tcPr>
            <w:tcW w:w="1050" w:type="dxa"/>
            <w:shd w:val="clear" w:color="auto" w:fill="DBE5F1" w:themeFill="accent1" w:themeFillTint="33"/>
            <w:noWrap/>
            <w:vAlign w:val="bottom"/>
          </w:tcPr>
          <w:p w:rsidR="00100327" w:rsidRPr="001244BB" w:rsidRDefault="00100327" w:rsidP="00563C30">
            <w:pPr>
              <w:spacing w:after="0" w:line="240" w:lineRule="auto"/>
              <w:jc w:val="right"/>
              <w:rPr>
                <w:rFonts w:ascii="Arial" w:eastAsia="Times New Roman" w:hAnsi="Arial" w:cs="Arial"/>
                <w:b/>
                <w:bCs/>
                <w:color w:val="000000"/>
                <w:sz w:val="20"/>
                <w:lang w:eastAsia="en-NZ"/>
              </w:rPr>
            </w:pPr>
          </w:p>
        </w:tc>
        <w:tc>
          <w:tcPr>
            <w:tcW w:w="3966" w:type="dxa"/>
            <w:shd w:val="clear" w:color="auto" w:fill="DBE5F1" w:themeFill="accent1" w:themeFillTint="33"/>
            <w:vAlign w:val="bottom"/>
            <w:hideMark/>
          </w:tcPr>
          <w:p w:rsidR="00100327" w:rsidRPr="001244BB" w:rsidRDefault="00100327" w:rsidP="00563C30">
            <w:pPr>
              <w:spacing w:after="0" w:line="240" w:lineRule="auto"/>
              <w:rPr>
                <w:rFonts w:ascii="Arial" w:eastAsia="Times New Roman" w:hAnsi="Arial" w:cs="Arial"/>
                <w:color w:val="000000"/>
                <w:sz w:val="20"/>
                <w:lang w:eastAsia="en-NZ"/>
              </w:rPr>
            </w:pPr>
          </w:p>
        </w:tc>
      </w:tr>
      <w:tr w:rsidR="00100327" w:rsidRPr="001244BB" w:rsidTr="00563C30">
        <w:trPr>
          <w:trHeight w:val="300"/>
        </w:trPr>
        <w:tc>
          <w:tcPr>
            <w:tcW w:w="5499" w:type="dxa"/>
            <w:shd w:val="clear" w:color="auto" w:fill="auto"/>
            <w:noWrap/>
            <w:hideMark/>
          </w:tcPr>
          <w:p w:rsidR="00100327" w:rsidRPr="001244BB" w:rsidRDefault="00100327" w:rsidP="00563C30">
            <w:pPr>
              <w:spacing w:after="0" w:line="240" w:lineRule="auto"/>
              <w:rPr>
                <w:rFonts w:ascii="Arial" w:eastAsia="Times New Roman" w:hAnsi="Arial" w:cs="Arial"/>
                <w:color w:val="000000"/>
                <w:sz w:val="20"/>
                <w:lang w:eastAsia="en-NZ"/>
              </w:rPr>
            </w:pPr>
            <w:r w:rsidRPr="001244BB">
              <w:rPr>
                <w:rFonts w:ascii="Arial" w:eastAsia="Times New Roman" w:hAnsi="Arial" w:cs="Arial"/>
                <w:color w:val="000000"/>
                <w:sz w:val="20"/>
                <w:lang w:eastAsia="en-NZ"/>
              </w:rPr>
              <w:t>Expenditure</w:t>
            </w:r>
          </w:p>
        </w:tc>
        <w:tc>
          <w:tcPr>
            <w:tcW w:w="961" w:type="dxa"/>
            <w:shd w:val="clear" w:color="auto" w:fill="auto"/>
            <w:noWrap/>
            <w:hideMark/>
          </w:tcPr>
          <w:p w:rsidR="00100327" w:rsidRPr="001244BB" w:rsidRDefault="00100327" w:rsidP="00563C30">
            <w:pPr>
              <w:spacing w:after="0" w:line="240" w:lineRule="auto"/>
              <w:jc w:val="right"/>
              <w:rPr>
                <w:rFonts w:ascii="Arial" w:eastAsia="Times New Roman" w:hAnsi="Arial" w:cs="Arial"/>
                <w:color w:val="000000"/>
                <w:sz w:val="20"/>
                <w:lang w:eastAsia="en-NZ"/>
              </w:rPr>
            </w:pPr>
            <w:r w:rsidRPr="001244BB">
              <w:rPr>
                <w:rFonts w:ascii="Arial" w:eastAsia="Times New Roman" w:hAnsi="Arial" w:cs="Arial"/>
                <w:color w:val="000000"/>
                <w:sz w:val="20"/>
                <w:lang w:eastAsia="en-NZ"/>
              </w:rPr>
              <w:t>29,507</w:t>
            </w:r>
          </w:p>
        </w:tc>
        <w:tc>
          <w:tcPr>
            <w:tcW w:w="961" w:type="dxa"/>
            <w:shd w:val="clear" w:color="auto" w:fill="auto"/>
            <w:noWrap/>
            <w:hideMark/>
          </w:tcPr>
          <w:p w:rsidR="00100327" w:rsidRPr="001244BB" w:rsidRDefault="00100327" w:rsidP="00563C30">
            <w:pPr>
              <w:spacing w:after="0" w:line="240" w:lineRule="auto"/>
              <w:jc w:val="right"/>
              <w:rPr>
                <w:rFonts w:ascii="Arial" w:eastAsia="Times New Roman" w:hAnsi="Arial" w:cs="Arial"/>
                <w:color w:val="000000"/>
                <w:sz w:val="20"/>
                <w:lang w:eastAsia="en-NZ"/>
              </w:rPr>
            </w:pPr>
            <w:r w:rsidRPr="001244BB">
              <w:rPr>
                <w:rFonts w:ascii="Arial" w:eastAsia="Times New Roman" w:hAnsi="Arial" w:cs="Arial"/>
                <w:color w:val="000000"/>
                <w:sz w:val="20"/>
                <w:lang w:eastAsia="en-NZ"/>
              </w:rPr>
              <w:t>29,403</w:t>
            </w:r>
          </w:p>
        </w:tc>
        <w:tc>
          <w:tcPr>
            <w:tcW w:w="992" w:type="dxa"/>
            <w:shd w:val="clear" w:color="000000" w:fill="E8E8E8"/>
            <w:noWrap/>
            <w:hideMark/>
          </w:tcPr>
          <w:p w:rsidR="00100327" w:rsidRPr="001244BB" w:rsidRDefault="00100327" w:rsidP="00563C30">
            <w:pPr>
              <w:spacing w:after="0" w:line="240" w:lineRule="auto"/>
              <w:jc w:val="right"/>
              <w:rPr>
                <w:rFonts w:ascii="Arial" w:eastAsia="Times New Roman" w:hAnsi="Arial" w:cs="Arial"/>
                <w:color w:val="000000"/>
                <w:sz w:val="20"/>
                <w:lang w:eastAsia="en-NZ"/>
              </w:rPr>
            </w:pPr>
            <w:r w:rsidRPr="001244BB">
              <w:rPr>
                <w:rFonts w:ascii="Arial" w:eastAsia="Times New Roman" w:hAnsi="Arial" w:cs="Arial"/>
                <w:color w:val="000000"/>
                <w:sz w:val="20"/>
                <w:lang w:eastAsia="en-NZ"/>
              </w:rPr>
              <w:t>30,709</w:t>
            </w:r>
          </w:p>
        </w:tc>
        <w:tc>
          <w:tcPr>
            <w:tcW w:w="961" w:type="dxa"/>
            <w:shd w:val="clear" w:color="000000" w:fill="E8E8E8"/>
            <w:noWrap/>
            <w:hideMark/>
          </w:tcPr>
          <w:p w:rsidR="00100327" w:rsidRPr="001244BB" w:rsidRDefault="00100327" w:rsidP="00563C30">
            <w:pPr>
              <w:spacing w:after="0" w:line="240" w:lineRule="auto"/>
              <w:jc w:val="right"/>
              <w:rPr>
                <w:rFonts w:ascii="Arial" w:eastAsia="Times New Roman" w:hAnsi="Arial" w:cs="Arial"/>
                <w:color w:val="000000"/>
                <w:sz w:val="20"/>
                <w:lang w:eastAsia="en-NZ"/>
              </w:rPr>
            </w:pPr>
            <w:r w:rsidRPr="001244BB">
              <w:rPr>
                <w:rFonts w:ascii="Arial" w:eastAsia="Times New Roman" w:hAnsi="Arial" w:cs="Arial"/>
                <w:color w:val="000000"/>
                <w:sz w:val="20"/>
                <w:lang w:eastAsia="en-NZ"/>
              </w:rPr>
              <w:t>31,767</w:t>
            </w:r>
          </w:p>
        </w:tc>
        <w:tc>
          <w:tcPr>
            <w:tcW w:w="1050" w:type="dxa"/>
            <w:shd w:val="clear" w:color="000000" w:fill="E8E8E8"/>
            <w:noWrap/>
            <w:hideMark/>
          </w:tcPr>
          <w:p w:rsidR="00100327" w:rsidRPr="001244BB" w:rsidRDefault="00100327" w:rsidP="00563C30">
            <w:pPr>
              <w:spacing w:after="0" w:line="240" w:lineRule="auto"/>
              <w:jc w:val="right"/>
              <w:rPr>
                <w:rFonts w:ascii="Arial" w:eastAsia="Times New Roman" w:hAnsi="Arial" w:cs="Arial"/>
                <w:color w:val="000000"/>
                <w:sz w:val="20"/>
                <w:lang w:eastAsia="en-NZ"/>
              </w:rPr>
            </w:pPr>
            <w:r w:rsidRPr="001244BB">
              <w:rPr>
                <w:rFonts w:ascii="Arial" w:eastAsia="Times New Roman" w:hAnsi="Arial" w:cs="Arial"/>
                <w:color w:val="000000"/>
                <w:sz w:val="20"/>
                <w:lang w:eastAsia="en-NZ"/>
              </w:rPr>
              <w:t>1,058</w:t>
            </w:r>
          </w:p>
        </w:tc>
        <w:tc>
          <w:tcPr>
            <w:tcW w:w="3966" w:type="dxa"/>
            <w:shd w:val="clear" w:color="auto" w:fill="auto"/>
            <w:vAlign w:val="bottom"/>
            <w:hideMark/>
          </w:tcPr>
          <w:p w:rsidR="00100327" w:rsidRPr="001244BB" w:rsidRDefault="00100327" w:rsidP="00563C30">
            <w:pPr>
              <w:spacing w:after="0" w:line="240" w:lineRule="auto"/>
              <w:rPr>
                <w:rFonts w:ascii="Arial" w:eastAsia="Times New Roman" w:hAnsi="Arial" w:cs="Arial"/>
                <w:color w:val="000000"/>
                <w:sz w:val="20"/>
                <w:lang w:eastAsia="en-NZ"/>
              </w:rPr>
            </w:pPr>
          </w:p>
        </w:tc>
      </w:tr>
      <w:tr w:rsidR="00100327" w:rsidRPr="001244BB" w:rsidTr="00563C30">
        <w:trPr>
          <w:trHeight w:val="300"/>
        </w:trPr>
        <w:tc>
          <w:tcPr>
            <w:tcW w:w="5499" w:type="dxa"/>
            <w:shd w:val="clear" w:color="auto" w:fill="auto"/>
            <w:noWrap/>
            <w:hideMark/>
          </w:tcPr>
          <w:p w:rsidR="00100327" w:rsidRPr="001244BB" w:rsidRDefault="00100327" w:rsidP="00563C30">
            <w:pPr>
              <w:spacing w:after="0" w:line="240" w:lineRule="auto"/>
              <w:rPr>
                <w:rFonts w:ascii="Arial" w:eastAsia="Times New Roman" w:hAnsi="Arial" w:cs="Arial"/>
                <w:color w:val="000000"/>
                <w:sz w:val="20"/>
                <w:lang w:eastAsia="en-NZ"/>
              </w:rPr>
            </w:pPr>
            <w:r w:rsidRPr="001244BB">
              <w:rPr>
                <w:rFonts w:ascii="Arial" w:eastAsia="Times New Roman" w:hAnsi="Arial" w:cs="Arial"/>
                <w:color w:val="000000"/>
                <w:sz w:val="20"/>
                <w:lang w:eastAsia="en-NZ"/>
              </w:rPr>
              <w:t>Revenue</w:t>
            </w:r>
          </w:p>
        </w:tc>
        <w:tc>
          <w:tcPr>
            <w:tcW w:w="961" w:type="dxa"/>
            <w:shd w:val="clear" w:color="auto" w:fill="auto"/>
            <w:noWrap/>
            <w:hideMark/>
          </w:tcPr>
          <w:p w:rsidR="00100327" w:rsidRPr="001244BB" w:rsidRDefault="00100327" w:rsidP="00563C30">
            <w:pPr>
              <w:spacing w:after="0" w:line="240" w:lineRule="auto"/>
              <w:jc w:val="right"/>
              <w:rPr>
                <w:rFonts w:ascii="Arial" w:eastAsia="Times New Roman" w:hAnsi="Arial" w:cs="Arial"/>
                <w:color w:val="000000"/>
                <w:sz w:val="20"/>
                <w:lang w:eastAsia="en-NZ"/>
              </w:rPr>
            </w:pPr>
            <w:r w:rsidRPr="001244BB">
              <w:rPr>
                <w:rFonts w:ascii="Arial" w:eastAsia="Times New Roman" w:hAnsi="Arial" w:cs="Arial"/>
                <w:color w:val="000000"/>
                <w:sz w:val="20"/>
                <w:lang w:eastAsia="en-NZ"/>
              </w:rPr>
              <w:t>(13,625)</w:t>
            </w:r>
          </w:p>
        </w:tc>
        <w:tc>
          <w:tcPr>
            <w:tcW w:w="961" w:type="dxa"/>
            <w:shd w:val="clear" w:color="auto" w:fill="auto"/>
            <w:noWrap/>
            <w:hideMark/>
          </w:tcPr>
          <w:p w:rsidR="00100327" w:rsidRPr="001244BB" w:rsidRDefault="00100327" w:rsidP="006C5FB5">
            <w:pPr>
              <w:spacing w:after="0" w:line="240" w:lineRule="auto"/>
              <w:jc w:val="right"/>
              <w:rPr>
                <w:rFonts w:ascii="Arial" w:eastAsia="Times New Roman" w:hAnsi="Arial" w:cs="Arial"/>
                <w:color w:val="000000"/>
                <w:sz w:val="20"/>
                <w:lang w:eastAsia="en-NZ"/>
              </w:rPr>
            </w:pPr>
            <w:r w:rsidRPr="001244BB">
              <w:rPr>
                <w:rFonts w:ascii="Arial" w:eastAsia="Times New Roman" w:hAnsi="Arial" w:cs="Arial"/>
                <w:color w:val="000000"/>
                <w:sz w:val="20"/>
                <w:lang w:eastAsia="en-NZ"/>
              </w:rPr>
              <w:t>(13,</w:t>
            </w:r>
            <w:r w:rsidR="006C5FB5" w:rsidRPr="001244BB">
              <w:rPr>
                <w:rFonts w:ascii="Arial" w:eastAsia="Times New Roman" w:hAnsi="Arial" w:cs="Arial"/>
                <w:color w:val="000000"/>
                <w:sz w:val="20"/>
                <w:lang w:eastAsia="en-NZ"/>
              </w:rPr>
              <w:t>5</w:t>
            </w:r>
            <w:r w:rsidR="006C5FB5">
              <w:rPr>
                <w:rFonts w:ascii="Arial" w:eastAsia="Times New Roman" w:hAnsi="Arial" w:cs="Arial"/>
                <w:color w:val="000000"/>
                <w:sz w:val="20"/>
                <w:lang w:eastAsia="en-NZ"/>
              </w:rPr>
              <w:t>82</w:t>
            </w:r>
            <w:r w:rsidRPr="001244BB">
              <w:rPr>
                <w:rFonts w:ascii="Arial" w:eastAsia="Times New Roman" w:hAnsi="Arial" w:cs="Arial"/>
                <w:color w:val="000000"/>
                <w:sz w:val="20"/>
                <w:lang w:eastAsia="en-NZ"/>
              </w:rPr>
              <w:t>)</w:t>
            </w:r>
          </w:p>
        </w:tc>
        <w:tc>
          <w:tcPr>
            <w:tcW w:w="992" w:type="dxa"/>
            <w:shd w:val="clear" w:color="000000" w:fill="E8E8E8"/>
            <w:noWrap/>
            <w:hideMark/>
          </w:tcPr>
          <w:p w:rsidR="00100327" w:rsidRPr="001244BB" w:rsidRDefault="00100327" w:rsidP="00563C30">
            <w:pPr>
              <w:spacing w:after="0" w:line="240" w:lineRule="auto"/>
              <w:jc w:val="right"/>
              <w:rPr>
                <w:rFonts w:ascii="Arial" w:eastAsia="Times New Roman" w:hAnsi="Arial" w:cs="Arial"/>
                <w:color w:val="000000"/>
                <w:sz w:val="20"/>
                <w:lang w:eastAsia="en-NZ"/>
              </w:rPr>
            </w:pPr>
            <w:r w:rsidRPr="001244BB">
              <w:rPr>
                <w:rFonts w:ascii="Arial" w:eastAsia="Times New Roman" w:hAnsi="Arial" w:cs="Arial"/>
                <w:color w:val="000000"/>
                <w:sz w:val="20"/>
                <w:lang w:eastAsia="en-NZ"/>
              </w:rPr>
              <w:t>(13,883)</w:t>
            </w:r>
          </w:p>
        </w:tc>
        <w:tc>
          <w:tcPr>
            <w:tcW w:w="961" w:type="dxa"/>
            <w:shd w:val="clear" w:color="000000" w:fill="E8E8E8"/>
            <w:noWrap/>
            <w:hideMark/>
          </w:tcPr>
          <w:p w:rsidR="00100327" w:rsidRPr="001244BB" w:rsidRDefault="00100327" w:rsidP="00563C30">
            <w:pPr>
              <w:spacing w:after="0" w:line="240" w:lineRule="auto"/>
              <w:jc w:val="right"/>
              <w:rPr>
                <w:rFonts w:ascii="Arial" w:eastAsia="Times New Roman" w:hAnsi="Arial" w:cs="Arial"/>
                <w:color w:val="000000"/>
                <w:sz w:val="20"/>
                <w:lang w:eastAsia="en-NZ"/>
              </w:rPr>
            </w:pPr>
            <w:r w:rsidRPr="001244BB">
              <w:rPr>
                <w:rFonts w:ascii="Arial" w:eastAsia="Times New Roman" w:hAnsi="Arial" w:cs="Arial"/>
                <w:color w:val="000000"/>
                <w:sz w:val="20"/>
                <w:lang w:eastAsia="en-NZ"/>
              </w:rPr>
              <w:t>(13,256)</w:t>
            </w:r>
          </w:p>
        </w:tc>
        <w:tc>
          <w:tcPr>
            <w:tcW w:w="1050" w:type="dxa"/>
            <w:shd w:val="clear" w:color="000000" w:fill="E8E8E8"/>
            <w:noWrap/>
            <w:hideMark/>
          </w:tcPr>
          <w:p w:rsidR="00100327" w:rsidRPr="001244BB" w:rsidRDefault="00100327" w:rsidP="00563C30">
            <w:pPr>
              <w:spacing w:after="0" w:line="240" w:lineRule="auto"/>
              <w:jc w:val="right"/>
              <w:rPr>
                <w:rFonts w:ascii="Arial" w:eastAsia="Times New Roman" w:hAnsi="Arial" w:cs="Arial"/>
                <w:color w:val="000000"/>
                <w:sz w:val="20"/>
                <w:lang w:eastAsia="en-NZ"/>
              </w:rPr>
            </w:pPr>
            <w:r w:rsidRPr="001244BB">
              <w:rPr>
                <w:rFonts w:ascii="Arial" w:eastAsia="Times New Roman" w:hAnsi="Arial" w:cs="Arial"/>
                <w:color w:val="000000"/>
                <w:sz w:val="20"/>
                <w:lang w:eastAsia="en-NZ"/>
              </w:rPr>
              <w:t>627</w:t>
            </w:r>
          </w:p>
        </w:tc>
        <w:tc>
          <w:tcPr>
            <w:tcW w:w="3966" w:type="dxa"/>
            <w:shd w:val="clear" w:color="auto" w:fill="auto"/>
            <w:vAlign w:val="bottom"/>
            <w:hideMark/>
          </w:tcPr>
          <w:p w:rsidR="00100327" w:rsidRPr="001244BB" w:rsidRDefault="00100327" w:rsidP="00563C30">
            <w:pPr>
              <w:spacing w:after="0" w:line="240" w:lineRule="auto"/>
              <w:rPr>
                <w:rFonts w:ascii="Arial" w:eastAsia="Times New Roman" w:hAnsi="Arial" w:cs="Arial"/>
                <w:color w:val="000000"/>
                <w:sz w:val="20"/>
                <w:lang w:eastAsia="en-NZ"/>
              </w:rPr>
            </w:pPr>
          </w:p>
        </w:tc>
      </w:tr>
      <w:tr w:rsidR="00100327" w:rsidRPr="001244BB" w:rsidTr="00563C30">
        <w:trPr>
          <w:trHeight w:val="300"/>
        </w:trPr>
        <w:tc>
          <w:tcPr>
            <w:tcW w:w="5499" w:type="dxa"/>
            <w:shd w:val="clear" w:color="auto" w:fill="auto"/>
            <w:noWrap/>
            <w:hideMark/>
          </w:tcPr>
          <w:p w:rsidR="00100327" w:rsidRPr="001244BB" w:rsidRDefault="00100327" w:rsidP="00563C30">
            <w:pPr>
              <w:spacing w:after="0" w:line="240" w:lineRule="auto"/>
              <w:rPr>
                <w:rFonts w:ascii="Arial" w:eastAsia="Times New Roman" w:hAnsi="Arial" w:cs="Arial"/>
                <w:color w:val="000000"/>
                <w:sz w:val="20"/>
                <w:lang w:eastAsia="en-NZ"/>
              </w:rPr>
            </w:pPr>
            <w:r w:rsidRPr="001244BB">
              <w:rPr>
                <w:rFonts w:ascii="Arial" w:eastAsia="Times New Roman" w:hAnsi="Arial" w:cs="Arial"/>
                <w:color w:val="000000"/>
                <w:sz w:val="20"/>
                <w:lang w:eastAsia="en-NZ"/>
              </w:rPr>
              <w:t>Net Expenditure</w:t>
            </w:r>
          </w:p>
        </w:tc>
        <w:tc>
          <w:tcPr>
            <w:tcW w:w="961" w:type="dxa"/>
            <w:shd w:val="clear" w:color="auto" w:fill="auto"/>
            <w:noWrap/>
            <w:hideMark/>
          </w:tcPr>
          <w:p w:rsidR="00100327" w:rsidRPr="001244BB" w:rsidRDefault="00100327" w:rsidP="00563C30">
            <w:pPr>
              <w:spacing w:after="0" w:line="240" w:lineRule="auto"/>
              <w:jc w:val="right"/>
              <w:rPr>
                <w:rFonts w:ascii="Arial" w:eastAsia="Times New Roman" w:hAnsi="Arial" w:cs="Arial"/>
                <w:color w:val="000000"/>
                <w:sz w:val="20"/>
                <w:lang w:eastAsia="en-NZ"/>
              </w:rPr>
            </w:pPr>
            <w:r w:rsidRPr="001244BB">
              <w:rPr>
                <w:rFonts w:ascii="Arial" w:eastAsia="Times New Roman" w:hAnsi="Arial" w:cs="Arial"/>
                <w:color w:val="000000"/>
                <w:sz w:val="20"/>
                <w:lang w:eastAsia="en-NZ"/>
              </w:rPr>
              <w:t>15,882</w:t>
            </w:r>
          </w:p>
        </w:tc>
        <w:tc>
          <w:tcPr>
            <w:tcW w:w="961" w:type="dxa"/>
            <w:shd w:val="clear" w:color="auto" w:fill="auto"/>
            <w:noWrap/>
            <w:hideMark/>
          </w:tcPr>
          <w:p w:rsidR="00100327" w:rsidRPr="001244BB" w:rsidRDefault="00100327" w:rsidP="006C5FB5">
            <w:pPr>
              <w:spacing w:after="0" w:line="240" w:lineRule="auto"/>
              <w:jc w:val="right"/>
              <w:rPr>
                <w:rFonts w:ascii="Arial" w:eastAsia="Times New Roman" w:hAnsi="Arial" w:cs="Arial"/>
                <w:color w:val="000000"/>
                <w:sz w:val="20"/>
                <w:lang w:eastAsia="en-NZ"/>
              </w:rPr>
            </w:pPr>
            <w:r w:rsidRPr="001244BB">
              <w:rPr>
                <w:rFonts w:ascii="Arial" w:eastAsia="Times New Roman" w:hAnsi="Arial" w:cs="Arial"/>
                <w:color w:val="000000"/>
                <w:sz w:val="20"/>
                <w:lang w:eastAsia="en-NZ"/>
              </w:rPr>
              <w:t>15,</w:t>
            </w:r>
            <w:r w:rsidR="006C5FB5" w:rsidRPr="001244BB">
              <w:rPr>
                <w:rFonts w:ascii="Arial" w:eastAsia="Times New Roman" w:hAnsi="Arial" w:cs="Arial"/>
                <w:color w:val="000000"/>
                <w:sz w:val="20"/>
                <w:lang w:eastAsia="en-NZ"/>
              </w:rPr>
              <w:t>8</w:t>
            </w:r>
            <w:r w:rsidR="006C5FB5">
              <w:rPr>
                <w:rFonts w:ascii="Arial" w:eastAsia="Times New Roman" w:hAnsi="Arial" w:cs="Arial"/>
                <w:color w:val="000000"/>
                <w:sz w:val="20"/>
                <w:lang w:eastAsia="en-NZ"/>
              </w:rPr>
              <w:t>21</w:t>
            </w:r>
          </w:p>
        </w:tc>
        <w:tc>
          <w:tcPr>
            <w:tcW w:w="992" w:type="dxa"/>
            <w:shd w:val="clear" w:color="000000" w:fill="E8E8E8"/>
            <w:noWrap/>
            <w:hideMark/>
          </w:tcPr>
          <w:p w:rsidR="00100327" w:rsidRPr="001244BB" w:rsidRDefault="00100327" w:rsidP="00563C30">
            <w:pPr>
              <w:spacing w:after="0" w:line="240" w:lineRule="auto"/>
              <w:jc w:val="right"/>
              <w:rPr>
                <w:rFonts w:ascii="Arial" w:eastAsia="Times New Roman" w:hAnsi="Arial" w:cs="Arial"/>
                <w:color w:val="000000"/>
                <w:sz w:val="20"/>
                <w:lang w:eastAsia="en-NZ"/>
              </w:rPr>
            </w:pPr>
            <w:r w:rsidRPr="001244BB">
              <w:rPr>
                <w:rFonts w:ascii="Arial" w:eastAsia="Times New Roman" w:hAnsi="Arial" w:cs="Arial"/>
                <w:color w:val="000000"/>
                <w:sz w:val="20"/>
                <w:lang w:eastAsia="en-NZ"/>
              </w:rPr>
              <w:t>16,826</w:t>
            </w:r>
          </w:p>
        </w:tc>
        <w:tc>
          <w:tcPr>
            <w:tcW w:w="961" w:type="dxa"/>
            <w:shd w:val="clear" w:color="000000" w:fill="E8E8E8"/>
            <w:noWrap/>
            <w:hideMark/>
          </w:tcPr>
          <w:p w:rsidR="00100327" w:rsidRPr="001244BB" w:rsidRDefault="00100327" w:rsidP="00563C30">
            <w:pPr>
              <w:spacing w:after="0" w:line="240" w:lineRule="auto"/>
              <w:jc w:val="right"/>
              <w:rPr>
                <w:rFonts w:ascii="Arial" w:eastAsia="Times New Roman" w:hAnsi="Arial" w:cs="Arial"/>
                <w:color w:val="000000"/>
                <w:sz w:val="20"/>
                <w:lang w:eastAsia="en-NZ"/>
              </w:rPr>
            </w:pPr>
            <w:r w:rsidRPr="001244BB">
              <w:rPr>
                <w:rFonts w:ascii="Arial" w:eastAsia="Times New Roman" w:hAnsi="Arial" w:cs="Arial"/>
                <w:color w:val="000000"/>
                <w:sz w:val="20"/>
                <w:lang w:eastAsia="en-NZ"/>
              </w:rPr>
              <w:t>18,511</w:t>
            </w:r>
          </w:p>
        </w:tc>
        <w:tc>
          <w:tcPr>
            <w:tcW w:w="1050" w:type="dxa"/>
            <w:shd w:val="clear" w:color="000000" w:fill="E8E8E8"/>
            <w:noWrap/>
            <w:hideMark/>
          </w:tcPr>
          <w:p w:rsidR="00100327" w:rsidRPr="001244BB" w:rsidRDefault="00100327" w:rsidP="00563C30">
            <w:pPr>
              <w:spacing w:after="0" w:line="240" w:lineRule="auto"/>
              <w:jc w:val="right"/>
              <w:rPr>
                <w:rFonts w:ascii="Arial" w:eastAsia="Times New Roman" w:hAnsi="Arial" w:cs="Arial"/>
                <w:color w:val="000000"/>
                <w:sz w:val="20"/>
                <w:lang w:eastAsia="en-NZ"/>
              </w:rPr>
            </w:pPr>
            <w:r w:rsidRPr="001244BB">
              <w:rPr>
                <w:rFonts w:ascii="Arial" w:eastAsia="Times New Roman" w:hAnsi="Arial" w:cs="Arial"/>
                <w:color w:val="000000"/>
                <w:sz w:val="20"/>
                <w:lang w:eastAsia="en-NZ"/>
              </w:rPr>
              <w:t>1,686</w:t>
            </w:r>
          </w:p>
        </w:tc>
        <w:tc>
          <w:tcPr>
            <w:tcW w:w="3966" w:type="dxa"/>
            <w:shd w:val="clear" w:color="auto" w:fill="auto"/>
            <w:vAlign w:val="bottom"/>
            <w:hideMark/>
          </w:tcPr>
          <w:p w:rsidR="00100327" w:rsidRPr="001244BB" w:rsidRDefault="00100327" w:rsidP="00563C30">
            <w:pPr>
              <w:spacing w:after="0" w:line="240" w:lineRule="auto"/>
              <w:rPr>
                <w:rFonts w:ascii="Arial" w:eastAsia="Times New Roman" w:hAnsi="Arial" w:cs="Arial"/>
                <w:color w:val="000000"/>
                <w:sz w:val="20"/>
                <w:lang w:eastAsia="en-NZ"/>
              </w:rPr>
            </w:pPr>
            <w:r w:rsidRPr="001244BB">
              <w:rPr>
                <w:rFonts w:ascii="Arial" w:eastAsia="Times New Roman" w:hAnsi="Arial" w:cs="Arial"/>
                <w:color w:val="000000"/>
                <w:sz w:val="20"/>
                <w:lang w:eastAsia="en-NZ"/>
              </w:rPr>
              <w:t> </w:t>
            </w:r>
          </w:p>
        </w:tc>
      </w:tr>
    </w:tbl>
    <w:p w:rsidR="00292110" w:rsidRPr="00D5126A" w:rsidRDefault="00292110" w:rsidP="00292110">
      <w:pPr>
        <w:spacing w:after="0"/>
      </w:pPr>
    </w:p>
    <w:p w:rsidR="00A606D2" w:rsidRDefault="00A606D2">
      <w:pPr>
        <w:rPr>
          <w:rFonts w:ascii="Arial" w:eastAsiaTheme="majorEastAsia" w:hAnsi="Arial" w:cs="Arial"/>
          <w:b/>
          <w:bCs/>
          <w:i/>
          <w:iCs/>
          <w:color w:val="4F81BD" w:themeColor="accent1"/>
          <w:sz w:val="28"/>
        </w:rPr>
      </w:pPr>
      <w:r>
        <w:br w:type="page"/>
      </w:r>
    </w:p>
    <w:p w:rsidR="00292110" w:rsidRPr="000C1D7B" w:rsidRDefault="00292110" w:rsidP="00846C1B">
      <w:pPr>
        <w:pStyle w:val="Heading4"/>
        <w:rPr>
          <w:color w:val="00A1DA"/>
        </w:rPr>
      </w:pPr>
      <w:r w:rsidRPr="000C1D7B">
        <w:rPr>
          <w:color w:val="00A1DA"/>
        </w:rPr>
        <w:lastRenderedPageBreak/>
        <w:t>What it cost (capital expenditure $000)</w:t>
      </w:r>
    </w:p>
    <w:tbl>
      <w:tblPr>
        <w:tblW w:w="14871" w:type="dxa"/>
        <w:tblInd w:w="-176" w:type="dxa"/>
        <w:tblBorders>
          <w:top w:val="single" w:sz="4" w:space="0" w:color="00B0F0"/>
          <w:bottom w:val="single" w:sz="4" w:space="0" w:color="00B0F0"/>
          <w:insideH w:val="single" w:sz="4" w:space="0" w:color="00B0F0"/>
          <w:insideV w:val="single" w:sz="4" w:space="0" w:color="00B0F0"/>
        </w:tblBorders>
        <w:tblLook w:val="04A0" w:firstRow="1" w:lastRow="0" w:firstColumn="1" w:lastColumn="0" w:noHBand="0" w:noVBand="1"/>
      </w:tblPr>
      <w:tblGrid>
        <w:gridCol w:w="3686"/>
        <w:gridCol w:w="1032"/>
        <w:gridCol w:w="1012"/>
        <w:gridCol w:w="1032"/>
        <w:gridCol w:w="1256"/>
        <w:gridCol w:w="1012"/>
        <w:gridCol w:w="1082"/>
        <w:gridCol w:w="1371"/>
        <w:gridCol w:w="3388"/>
      </w:tblGrid>
      <w:tr w:rsidR="00100327" w:rsidRPr="00100327" w:rsidTr="000C1D7B">
        <w:trPr>
          <w:trHeight w:val="891"/>
        </w:trPr>
        <w:tc>
          <w:tcPr>
            <w:tcW w:w="3686" w:type="dxa"/>
            <w:shd w:val="clear" w:color="auto" w:fill="00B0F0"/>
            <w:noWrap/>
            <w:vAlign w:val="bottom"/>
            <w:hideMark/>
          </w:tcPr>
          <w:p w:rsidR="00100327" w:rsidRPr="00100327" w:rsidRDefault="00100327" w:rsidP="00563C30">
            <w:pPr>
              <w:spacing w:before="60" w:after="0" w:line="240" w:lineRule="auto"/>
              <w:rPr>
                <w:rFonts w:ascii="Arial" w:eastAsia="Times New Roman" w:hAnsi="Arial" w:cs="Arial"/>
                <w:b/>
                <w:bCs/>
                <w:color w:val="FFFFFF" w:themeColor="background1"/>
                <w:szCs w:val="24"/>
                <w:lang w:eastAsia="en-NZ"/>
              </w:rPr>
            </w:pPr>
            <w:r w:rsidRPr="00100327">
              <w:rPr>
                <w:rFonts w:ascii="Arial" w:eastAsia="Times New Roman" w:hAnsi="Arial" w:cs="Arial"/>
                <w:b/>
                <w:bCs/>
                <w:color w:val="FFFFFF" w:themeColor="background1"/>
                <w:szCs w:val="24"/>
                <w:lang w:eastAsia="en-NZ"/>
              </w:rPr>
              <w:t> </w:t>
            </w:r>
            <w:r w:rsidR="00560497" w:rsidRPr="00560497">
              <w:rPr>
                <w:rFonts w:ascii="Arial" w:eastAsia="Times New Roman" w:hAnsi="Arial" w:cs="Arial"/>
                <w:b/>
                <w:color w:val="FFFFFF" w:themeColor="background1"/>
                <w:szCs w:val="24"/>
                <w:lang w:eastAsia="en-NZ"/>
              </w:rPr>
              <w:t> Urban Develpoment</w:t>
            </w:r>
          </w:p>
        </w:tc>
        <w:tc>
          <w:tcPr>
            <w:tcW w:w="1032" w:type="dxa"/>
            <w:shd w:val="clear" w:color="auto" w:fill="00B0F0"/>
            <w:vAlign w:val="bottom"/>
            <w:hideMark/>
          </w:tcPr>
          <w:p w:rsidR="00100327" w:rsidRPr="00100327" w:rsidRDefault="00100327" w:rsidP="001B50F9">
            <w:pPr>
              <w:spacing w:before="60" w:after="0" w:line="240" w:lineRule="auto"/>
              <w:jc w:val="center"/>
              <w:rPr>
                <w:rFonts w:ascii="Arial" w:eastAsia="Times New Roman" w:hAnsi="Arial" w:cs="Arial"/>
                <w:b/>
                <w:bCs/>
                <w:color w:val="FFFFFF" w:themeColor="background1"/>
                <w:lang w:eastAsia="en-NZ"/>
              </w:rPr>
            </w:pPr>
            <w:r w:rsidRPr="00100327">
              <w:rPr>
                <w:rFonts w:ascii="Arial" w:eastAsia="Times New Roman" w:hAnsi="Arial" w:cs="Arial"/>
                <w:b/>
                <w:bCs/>
                <w:color w:val="FFFFFF" w:themeColor="background1"/>
                <w:lang w:eastAsia="en-NZ"/>
              </w:rPr>
              <w:t>2016/17 Actual</w:t>
            </w:r>
          </w:p>
        </w:tc>
        <w:tc>
          <w:tcPr>
            <w:tcW w:w="1012" w:type="dxa"/>
            <w:shd w:val="clear" w:color="auto" w:fill="00B0F0"/>
            <w:vAlign w:val="bottom"/>
            <w:hideMark/>
          </w:tcPr>
          <w:p w:rsidR="00100327" w:rsidRPr="00100327" w:rsidRDefault="00100327" w:rsidP="001B50F9">
            <w:pPr>
              <w:spacing w:before="60" w:after="0" w:line="240" w:lineRule="auto"/>
              <w:jc w:val="center"/>
              <w:rPr>
                <w:rFonts w:ascii="Arial" w:eastAsia="Times New Roman" w:hAnsi="Arial" w:cs="Arial"/>
                <w:b/>
                <w:bCs/>
                <w:color w:val="FFFFFF" w:themeColor="background1"/>
                <w:lang w:eastAsia="en-NZ"/>
              </w:rPr>
            </w:pPr>
            <w:r w:rsidRPr="00100327">
              <w:rPr>
                <w:rFonts w:ascii="Arial" w:eastAsia="Times New Roman" w:hAnsi="Arial" w:cs="Arial"/>
                <w:b/>
                <w:bCs/>
                <w:color w:val="FFFFFF" w:themeColor="background1"/>
                <w:lang w:eastAsia="en-NZ"/>
              </w:rPr>
              <w:t xml:space="preserve">2017/18 Actual </w:t>
            </w:r>
          </w:p>
        </w:tc>
        <w:tc>
          <w:tcPr>
            <w:tcW w:w="1032" w:type="dxa"/>
            <w:shd w:val="clear" w:color="auto" w:fill="00B0F0"/>
            <w:vAlign w:val="bottom"/>
            <w:hideMark/>
          </w:tcPr>
          <w:p w:rsidR="00100327" w:rsidRPr="00100327" w:rsidRDefault="00100327" w:rsidP="001B50F9">
            <w:pPr>
              <w:spacing w:before="60" w:after="0" w:line="240" w:lineRule="auto"/>
              <w:jc w:val="center"/>
              <w:rPr>
                <w:rFonts w:ascii="Arial" w:eastAsia="Times New Roman" w:hAnsi="Arial" w:cs="Arial"/>
                <w:b/>
                <w:bCs/>
                <w:color w:val="FFFFFF" w:themeColor="background1"/>
                <w:lang w:eastAsia="en-NZ"/>
              </w:rPr>
            </w:pPr>
            <w:r w:rsidRPr="00100327">
              <w:rPr>
                <w:rFonts w:ascii="Arial" w:eastAsia="Times New Roman" w:hAnsi="Arial" w:cs="Arial"/>
                <w:b/>
                <w:bCs/>
                <w:color w:val="FFFFFF" w:themeColor="background1"/>
                <w:lang w:eastAsia="en-NZ"/>
              </w:rPr>
              <w:t xml:space="preserve">2018/19 </w:t>
            </w:r>
            <w:r w:rsidR="001B50F9">
              <w:rPr>
                <w:rFonts w:ascii="Arial" w:eastAsia="Times New Roman" w:hAnsi="Arial" w:cs="Arial"/>
                <w:b/>
                <w:bCs/>
                <w:color w:val="FFFFFF" w:themeColor="background1"/>
                <w:lang w:eastAsia="en-NZ"/>
              </w:rPr>
              <w:t>Budget</w:t>
            </w:r>
            <w:r w:rsidR="000C1D7B">
              <w:rPr>
                <w:rFonts w:ascii="Arial" w:eastAsia="Times New Roman" w:hAnsi="Arial" w:cs="Arial"/>
                <w:b/>
                <w:bCs/>
                <w:color w:val="FFFFFF" w:themeColor="background1"/>
                <w:lang w:eastAsia="en-NZ"/>
              </w:rPr>
              <w:t xml:space="preserve"> </w:t>
            </w:r>
          </w:p>
        </w:tc>
        <w:tc>
          <w:tcPr>
            <w:tcW w:w="1256" w:type="dxa"/>
            <w:shd w:val="clear" w:color="auto" w:fill="00B0F0"/>
            <w:vAlign w:val="bottom"/>
            <w:hideMark/>
          </w:tcPr>
          <w:p w:rsidR="00100327" w:rsidRPr="00100327" w:rsidRDefault="000C1D7B" w:rsidP="001B50F9">
            <w:pPr>
              <w:spacing w:before="60" w:after="0" w:line="240" w:lineRule="auto"/>
              <w:jc w:val="center"/>
              <w:rPr>
                <w:rFonts w:ascii="Arial" w:eastAsia="Times New Roman" w:hAnsi="Arial" w:cs="Arial"/>
                <w:b/>
                <w:bCs/>
                <w:color w:val="FFFFFF" w:themeColor="background1"/>
                <w:lang w:eastAsia="en-NZ"/>
              </w:rPr>
            </w:pPr>
            <w:r>
              <w:rPr>
                <w:rFonts w:ascii="Arial" w:eastAsia="Times New Roman" w:hAnsi="Arial" w:cs="Arial"/>
                <w:b/>
                <w:bCs/>
                <w:color w:val="FFFFFF" w:themeColor="background1"/>
                <w:lang w:eastAsia="en-NZ"/>
              </w:rPr>
              <w:t>2018/19 Revisions</w:t>
            </w:r>
          </w:p>
        </w:tc>
        <w:tc>
          <w:tcPr>
            <w:tcW w:w="1012" w:type="dxa"/>
            <w:shd w:val="clear" w:color="auto" w:fill="00B0F0"/>
            <w:vAlign w:val="bottom"/>
            <w:hideMark/>
          </w:tcPr>
          <w:p w:rsidR="00100327" w:rsidRPr="00100327" w:rsidRDefault="000C1D7B" w:rsidP="001B50F9">
            <w:pPr>
              <w:spacing w:before="60" w:after="0" w:line="240" w:lineRule="auto"/>
              <w:jc w:val="center"/>
              <w:rPr>
                <w:rFonts w:ascii="Arial" w:eastAsia="Times New Roman" w:hAnsi="Arial" w:cs="Arial"/>
                <w:b/>
                <w:bCs/>
                <w:color w:val="FFFFFF" w:themeColor="background1"/>
                <w:lang w:eastAsia="en-NZ"/>
              </w:rPr>
            </w:pPr>
            <w:r>
              <w:rPr>
                <w:rFonts w:ascii="Arial" w:eastAsia="Times New Roman" w:hAnsi="Arial" w:cs="Arial"/>
                <w:b/>
                <w:bCs/>
                <w:color w:val="FFFFFF" w:themeColor="background1"/>
                <w:lang w:eastAsia="en-NZ"/>
              </w:rPr>
              <w:t>2018/19 Actual</w:t>
            </w:r>
          </w:p>
        </w:tc>
        <w:tc>
          <w:tcPr>
            <w:tcW w:w="1082" w:type="dxa"/>
            <w:shd w:val="clear" w:color="auto" w:fill="00B0F0"/>
            <w:vAlign w:val="bottom"/>
            <w:hideMark/>
          </w:tcPr>
          <w:p w:rsidR="00100327" w:rsidRPr="00100327" w:rsidRDefault="000C1D7B" w:rsidP="001B50F9">
            <w:pPr>
              <w:spacing w:before="60" w:after="0" w:line="240" w:lineRule="auto"/>
              <w:jc w:val="center"/>
              <w:rPr>
                <w:rFonts w:ascii="Arial" w:eastAsia="Times New Roman" w:hAnsi="Arial" w:cs="Arial"/>
                <w:b/>
                <w:bCs/>
                <w:color w:val="FFFFFF" w:themeColor="background1"/>
                <w:lang w:eastAsia="en-NZ"/>
              </w:rPr>
            </w:pPr>
            <w:r>
              <w:rPr>
                <w:rFonts w:ascii="Arial" w:eastAsia="Times New Roman" w:hAnsi="Arial" w:cs="Arial"/>
                <w:b/>
                <w:bCs/>
                <w:color w:val="FFFFFF" w:themeColor="background1"/>
                <w:lang w:eastAsia="en-NZ"/>
              </w:rPr>
              <w:t>2018/19 Revised budget</w:t>
            </w:r>
          </w:p>
        </w:tc>
        <w:tc>
          <w:tcPr>
            <w:tcW w:w="1371" w:type="dxa"/>
            <w:shd w:val="clear" w:color="auto" w:fill="00B0F0"/>
            <w:vAlign w:val="bottom"/>
            <w:hideMark/>
          </w:tcPr>
          <w:p w:rsidR="00100327" w:rsidRPr="00100327" w:rsidRDefault="00100327" w:rsidP="001B50F9">
            <w:pPr>
              <w:spacing w:before="60" w:after="0" w:line="240" w:lineRule="auto"/>
              <w:jc w:val="center"/>
              <w:rPr>
                <w:rFonts w:ascii="Arial" w:eastAsia="Times New Roman" w:hAnsi="Arial" w:cs="Arial"/>
                <w:b/>
                <w:bCs/>
                <w:color w:val="FFFFFF" w:themeColor="background1"/>
                <w:lang w:eastAsia="en-NZ"/>
              </w:rPr>
            </w:pPr>
            <w:r w:rsidRPr="00100327">
              <w:rPr>
                <w:rFonts w:ascii="Arial" w:eastAsia="Times New Roman" w:hAnsi="Arial" w:cs="Arial"/>
                <w:b/>
                <w:bCs/>
                <w:color w:val="FFFFFF" w:themeColor="background1"/>
                <w:lang w:eastAsia="en-NZ"/>
              </w:rPr>
              <w:t>2018</w:t>
            </w:r>
            <w:r w:rsidR="000C1D7B">
              <w:rPr>
                <w:rFonts w:ascii="Arial" w:eastAsia="Times New Roman" w:hAnsi="Arial" w:cs="Arial"/>
                <w:b/>
                <w:bCs/>
                <w:color w:val="FFFFFF" w:themeColor="background1"/>
                <w:lang w:eastAsia="en-NZ"/>
              </w:rPr>
              <w:t>/19  Variance to revised budget</w:t>
            </w:r>
          </w:p>
        </w:tc>
        <w:tc>
          <w:tcPr>
            <w:tcW w:w="3388" w:type="dxa"/>
            <w:shd w:val="clear" w:color="auto" w:fill="00B0F0"/>
            <w:noWrap/>
            <w:vAlign w:val="bottom"/>
            <w:hideMark/>
          </w:tcPr>
          <w:p w:rsidR="00100327" w:rsidRPr="00100327" w:rsidRDefault="00100327" w:rsidP="00560497">
            <w:pPr>
              <w:spacing w:before="60" w:after="0" w:line="240" w:lineRule="auto"/>
              <w:rPr>
                <w:rFonts w:ascii="Arial" w:eastAsia="Times New Roman" w:hAnsi="Arial" w:cs="Arial"/>
                <w:b/>
                <w:bCs/>
                <w:color w:val="FFFFFF" w:themeColor="background1"/>
                <w:lang w:eastAsia="en-NZ"/>
              </w:rPr>
            </w:pPr>
            <w:r w:rsidRPr="00100327">
              <w:rPr>
                <w:rFonts w:ascii="Arial" w:eastAsia="Times New Roman" w:hAnsi="Arial" w:cs="Arial"/>
                <w:b/>
                <w:bCs/>
                <w:color w:val="FFFFFF" w:themeColor="background1"/>
                <w:lang w:eastAsia="en-NZ"/>
              </w:rPr>
              <w:t>Variance Commentary</w:t>
            </w:r>
          </w:p>
        </w:tc>
      </w:tr>
      <w:tr w:rsidR="00100327" w:rsidRPr="001244BB" w:rsidTr="00A606D2">
        <w:trPr>
          <w:trHeight w:val="300"/>
        </w:trPr>
        <w:tc>
          <w:tcPr>
            <w:tcW w:w="6762" w:type="dxa"/>
            <w:gridSpan w:val="4"/>
            <w:shd w:val="clear" w:color="auto" w:fill="DBE5F1" w:themeFill="accent1" w:themeFillTint="33"/>
            <w:noWrap/>
            <w:vAlign w:val="bottom"/>
            <w:hideMark/>
          </w:tcPr>
          <w:p w:rsidR="00100327" w:rsidRPr="001244BB" w:rsidRDefault="00100327" w:rsidP="00563C30">
            <w:pPr>
              <w:spacing w:after="0" w:line="240" w:lineRule="auto"/>
              <w:rPr>
                <w:rFonts w:ascii="Arial" w:eastAsia="Times New Roman" w:hAnsi="Arial" w:cs="Arial"/>
                <w:b/>
                <w:bCs/>
                <w:color w:val="000000"/>
                <w:sz w:val="20"/>
                <w:lang w:eastAsia="en-NZ"/>
              </w:rPr>
            </w:pPr>
            <w:r w:rsidRPr="001244BB">
              <w:rPr>
                <w:rFonts w:ascii="Arial" w:eastAsia="Times New Roman" w:hAnsi="Arial" w:cs="Arial"/>
                <w:b/>
                <w:bCs/>
                <w:color w:val="000000"/>
                <w:sz w:val="20"/>
                <w:lang w:eastAsia="en-NZ"/>
              </w:rPr>
              <w:t>6.1 Urban planning, heritage and public spaces development</w:t>
            </w:r>
          </w:p>
        </w:tc>
        <w:tc>
          <w:tcPr>
            <w:tcW w:w="1256" w:type="dxa"/>
            <w:shd w:val="clear" w:color="auto" w:fill="DBE5F1" w:themeFill="accent1" w:themeFillTint="33"/>
            <w:noWrap/>
            <w:vAlign w:val="bottom"/>
            <w:hideMark/>
          </w:tcPr>
          <w:p w:rsidR="00100327" w:rsidRPr="001244BB" w:rsidRDefault="00100327" w:rsidP="00563C30">
            <w:pPr>
              <w:spacing w:after="0" w:line="240" w:lineRule="auto"/>
              <w:rPr>
                <w:rFonts w:ascii="Arial" w:eastAsia="Times New Roman" w:hAnsi="Arial" w:cs="Arial"/>
                <w:color w:val="000000"/>
                <w:sz w:val="20"/>
                <w:lang w:eastAsia="en-NZ"/>
              </w:rPr>
            </w:pPr>
          </w:p>
        </w:tc>
        <w:tc>
          <w:tcPr>
            <w:tcW w:w="1012" w:type="dxa"/>
            <w:shd w:val="clear" w:color="auto" w:fill="DBE5F1" w:themeFill="accent1" w:themeFillTint="33"/>
            <w:noWrap/>
            <w:vAlign w:val="bottom"/>
            <w:hideMark/>
          </w:tcPr>
          <w:p w:rsidR="00100327" w:rsidRPr="001244BB" w:rsidRDefault="00100327" w:rsidP="00563C30">
            <w:pPr>
              <w:spacing w:after="0" w:line="240" w:lineRule="auto"/>
              <w:rPr>
                <w:rFonts w:ascii="Arial" w:eastAsia="Times New Roman" w:hAnsi="Arial" w:cs="Arial"/>
                <w:color w:val="000000"/>
                <w:sz w:val="20"/>
                <w:lang w:eastAsia="en-NZ"/>
              </w:rPr>
            </w:pPr>
          </w:p>
        </w:tc>
        <w:tc>
          <w:tcPr>
            <w:tcW w:w="1082" w:type="dxa"/>
            <w:shd w:val="clear" w:color="auto" w:fill="DBE5F1" w:themeFill="accent1" w:themeFillTint="33"/>
            <w:noWrap/>
            <w:vAlign w:val="bottom"/>
            <w:hideMark/>
          </w:tcPr>
          <w:p w:rsidR="00100327" w:rsidRPr="001244BB" w:rsidRDefault="00100327" w:rsidP="00563C30">
            <w:pPr>
              <w:spacing w:after="0" w:line="240" w:lineRule="auto"/>
              <w:rPr>
                <w:rFonts w:ascii="Arial" w:eastAsia="Times New Roman" w:hAnsi="Arial" w:cs="Arial"/>
                <w:color w:val="000000"/>
                <w:sz w:val="20"/>
                <w:lang w:eastAsia="en-NZ"/>
              </w:rPr>
            </w:pPr>
            <w:r w:rsidRPr="001244BB">
              <w:rPr>
                <w:rFonts w:ascii="Arial" w:eastAsia="Times New Roman" w:hAnsi="Arial" w:cs="Arial"/>
                <w:color w:val="000000"/>
                <w:sz w:val="20"/>
                <w:lang w:eastAsia="en-NZ"/>
              </w:rPr>
              <w:t> </w:t>
            </w:r>
          </w:p>
        </w:tc>
        <w:tc>
          <w:tcPr>
            <w:tcW w:w="1371" w:type="dxa"/>
            <w:shd w:val="clear" w:color="auto" w:fill="DBE5F1" w:themeFill="accent1" w:themeFillTint="33"/>
            <w:noWrap/>
            <w:vAlign w:val="bottom"/>
            <w:hideMark/>
          </w:tcPr>
          <w:p w:rsidR="00100327" w:rsidRPr="001244BB" w:rsidRDefault="00100327" w:rsidP="00563C30">
            <w:pPr>
              <w:spacing w:after="0" w:line="240" w:lineRule="auto"/>
              <w:rPr>
                <w:rFonts w:ascii="Arial" w:eastAsia="Times New Roman" w:hAnsi="Arial" w:cs="Arial"/>
                <w:color w:val="000000"/>
                <w:sz w:val="20"/>
                <w:lang w:eastAsia="en-NZ"/>
              </w:rPr>
            </w:pPr>
            <w:r w:rsidRPr="001244BB">
              <w:rPr>
                <w:rFonts w:ascii="Arial" w:eastAsia="Times New Roman" w:hAnsi="Arial" w:cs="Arial"/>
                <w:color w:val="000000"/>
                <w:sz w:val="20"/>
                <w:lang w:eastAsia="en-NZ"/>
              </w:rPr>
              <w:t> </w:t>
            </w:r>
          </w:p>
        </w:tc>
        <w:tc>
          <w:tcPr>
            <w:tcW w:w="3388" w:type="dxa"/>
            <w:shd w:val="clear" w:color="auto" w:fill="DBE5F1" w:themeFill="accent1" w:themeFillTint="33"/>
            <w:noWrap/>
            <w:vAlign w:val="bottom"/>
            <w:hideMark/>
          </w:tcPr>
          <w:p w:rsidR="00100327" w:rsidRPr="001244BB" w:rsidRDefault="00100327" w:rsidP="00563C30">
            <w:pPr>
              <w:spacing w:after="0" w:line="240" w:lineRule="auto"/>
              <w:rPr>
                <w:rFonts w:ascii="Arial" w:eastAsia="Times New Roman" w:hAnsi="Arial" w:cs="Arial"/>
                <w:color w:val="000000"/>
                <w:sz w:val="20"/>
                <w:lang w:eastAsia="en-NZ"/>
              </w:rPr>
            </w:pPr>
            <w:r w:rsidRPr="001244BB">
              <w:rPr>
                <w:rFonts w:ascii="Arial" w:eastAsia="Times New Roman" w:hAnsi="Arial" w:cs="Arial"/>
                <w:color w:val="000000"/>
                <w:sz w:val="20"/>
                <w:lang w:eastAsia="en-NZ"/>
              </w:rPr>
              <w:t> </w:t>
            </w:r>
          </w:p>
        </w:tc>
      </w:tr>
      <w:tr w:rsidR="00100327" w:rsidRPr="001244BB" w:rsidTr="00A606D2">
        <w:trPr>
          <w:trHeight w:val="1275"/>
        </w:trPr>
        <w:tc>
          <w:tcPr>
            <w:tcW w:w="3686" w:type="dxa"/>
            <w:shd w:val="clear" w:color="auto" w:fill="auto"/>
            <w:noWrap/>
            <w:hideMark/>
          </w:tcPr>
          <w:p w:rsidR="00100327" w:rsidRPr="001244BB" w:rsidRDefault="00100327" w:rsidP="00563C30">
            <w:pPr>
              <w:spacing w:after="0" w:line="240" w:lineRule="auto"/>
              <w:ind w:firstLineChars="100" w:firstLine="200"/>
              <w:rPr>
                <w:rFonts w:ascii="Arial" w:eastAsia="Times New Roman" w:hAnsi="Arial" w:cs="Arial"/>
                <w:color w:val="000000"/>
                <w:sz w:val="20"/>
                <w:lang w:eastAsia="en-NZ"/>
              </w:rPr>
            </w:pPr>
            <w:r w:rsidRPr="001244BB">
              <w:rPr>
                <w:rFonts w:ascii="Arial" w:eastAsia="Times New Roman" w:hAnsi="Arial" w:cs="Arial"/>
                <w:color w:val="000000"/>
                <w:sz w:val="20"/>
                <w:lang w:eastAsia="en-NZ"/>
              </w:rPr>
              <w:t>Expenditure</w:t>
            </w:r>
          </w:p>
        </w:tc>
        <w:tc>
          <w:tcPr>
            <w:tcW w:w="1032" w:type="dxa"/>
            <w:shd w:val="clear" w:color="auto" w:fill="auto"/>
            <w:noWrap/>
            <w:hideMark/>
          </w:tcPr>
          <w:p w:rsidR="00100327" w:rsidRPr="001244BB" w:rsidRDefault="00100327" w:rsidP="00563C30">
            <w:pPr>
              <w:spacing w:after="0" w:line="240" w:lineRule="auto"/>
              <w:jc w:val="right"/>
              <w:rPr>
                <w:rFonts w:ascii="Arial" w:eastAsia="Times New Roman" w:hAnsi="Arial" w:cs="Arial"/>
                <w:color w:val="000000"/>
                <w:sz w:val="20"/>
                <w:lang w:eastAsia="en-NZ"/>
              </w:rPr>
            </w:pPr>
            <w:r w:rsidRPr="001244BB">
              <w:rPr>
                <w:rFonts w:ascii="Arial" w:eastAsia="Times New Roman" w:hAnsi="Arial" w:cs="Arial"/>
                <w:color w:val="000000"/>
                <w:sz w:val="20"/>
                <w:lang w:eastAsia="en-NZ"/>
              </w:rPr>
              <w:t>5,393</w:t>
            </w:r>
          </w:p>
        </w:tc>
        <w:tc>
          <w:tcPr>
            <w:tcW w:w="1012" w:type="dxa"/>
            <w:shd w:val="clear" w:color="auto" w:fill="auto"/>
            <w:noWrap/>
            <w:hideMark/>
          </w:tcPr>
          <w:p w:rsidR="00100327" w:rsidRPr="001244BB" w:rsidRDefault="00100327" w:rsidP="00563C30">
            <w:pPr>
              <w:spacing w:after="0" w:line="240" w:lineRule="auto"/>
              <w:jc w:val="right"/>
              <w:rPr>
                <w:rFonts w:ascii="Arial" w:eastAsia="Times New Roman" w:hAnsi="Arial" w:cs="Arial"/>
                <w:color w:val="000000"/>
                <w:sz w:val="20"/>
                <w:lang w:eastAsia="en-NZ"/>
              </w:rPr>
            </w:pPr>
            <w:r w:rsidRPr="001244BB">
              <w:rPr>
                <w:rFonts w:ascii="Arial" w:eastAsia="Times New Roman" w:hAnsi="Arial" w:cs="Arial"/>
                <w:color w:val="000000"/>
                <w:sz w:val="20"/>
                <w:lang w:eastAsia="en-NZ"/>
              </w:rPr>
              <w:t>12,287</w:t>
            </w:r>
          </w:p>
        </w:tc>
        <w:tc>
          <w:tcPr>
            <w:tcW w:w="1032" w:type="dxa"/>
            <w:shd w:val="clear" w:color="auto" w:fill="auto"/>
            <w:noWrap/>
            <w:hideMark/>
          </w:tcPr>
          <w:p w:rsidR="00100327" w:rsidRPr="001244BB" w:rsidRDefault="00100327" w:rsidP="00563C30">
            <w:pPr>
              <w:spacing w:after="0" w:line="240" w:lineRule="auto"/>
              <w:jc w:val="right"/>
              <w:rPr>
                <w:rFonts w:ascii="Arial" w:eastAsia="Times New Roman" w:hAnsi="Arial" w:cs="Arial"/>
                <w:color w:val="000000"/>
                <w:sz w:val="20"/>
                <w:lang w:eastAsia="en-NZ"/>
              </w:rPr>
            </w:pPr>
            <w:r w:rsidRPr="001244BB">
              <w:rPr>
                <w:rFonts w:ascii="Arial" w:eastAsia="Times New Roman" w:hAnsi="Arial" w:cs="Arial"/>
                <w:color w:val="000000"/>
                <w:sz w:val="20"/>
                <w:lang w:eastAsia="en-NZ"/>
              </w:rPr>
              <w:t>12,263</w:t>
            </w:r>
          </w:p>
        </w:tc>
        <w:tc>
          <w:tcPr>
            <w:tcW w:w="1256" w:type="dxa"/>
            <w:shd w:val="clear" w:color="auto" w:fill="auto"/>
            <w:noWrap/>
            <w:hideMark/>
          </w:tcPr>
          <w:p w:rsidR="00100327" w:rsidRPr="001244BB" w:rsidRDefault="00100327" w:rsidP="00563C30">
            <w:pPr>
              <w:spacing w:after="0" w:line="240" w:lineRule="auto"/>
              <w:jc w:val="right"/>
              <w:rPr>
                <w:rFonts w:ascii="Arial" w:eastAsia="Times New Roman" w:hAnsi="Arial" w:cs="Arial"/>
                <w:color w:val="000000"/>
                <w:sz w:val="20"/>
                <w:lang w:eastAsia="en-NZ"/>
              </w:rPr>
            </w:pPr>
            <w:r w:rsidRPr="001244BB">
              <w:rPr>
                <w:rFonts w:ascii="Arial" w:eastAsia="Times New Roman" w:hAnsi="Arial" w:cs="Arial"/>
                <w:color w:val="000000"/>
                <w:sz w:val="20"/>
                <w:lang w:eastAsia="en-NZ"/>
              </w:rPr>
              <w:t>2,751</w:t>
            </w:r>
          </w:p>
        </w:tc>
        <w:tc>
          <w:tcPr>
            <w:tcW w:w="1012" w:type="dxa"/>
            <w:shd w:val="clear" w:color="000000" w:fill="E0E0E0"/>
            <w:noWrap/>
            <w:hideMark/>
          </w:tcPr>
          <w:p w:rsidR="00100327" w:rsidRPr="001244BB" w:rsidRDefault="00100327" w:rsidP="00563C30">
            <w:pPr>
              <w:spacing w:after="0" w:line="240" w:lineRule="auto"/>
              <w:jc w:val="right"/>
              <w:rPr>
                <w:rFonts w:ascii="Arial" w:eastAsia="Times New Roman" w:hAnsi="Arial" w:cs="Arial"/>
                <w:color w:val="000000"/>
                <w:sz w:val="20"/>
                <w:lang w:eastAsia="en-NZ"/>
              </w:rPr>
            </w:pPr>
            <w:r w:rsidRPr="001244BB">
              <w:rPr>
                <w:rFonts w:ascii="Arial" w:eastAsia="Times New Roman" w:hAnsi="Arial" w:cs="Arial"/>
                <w:color w:val="000000"/>
                <w:sz w:val="20"/>
                <w:lang w:eastAsia="en-NZ"/>
              </w:rPr>
              <w:t>6,046</w:t>
            </w:r>
          </w:p>
        </w:tc>
        <w:tc>
          <w:tcPr>
            <w:tcW w:w="1082" w:type="dxa"/>
            <w:shd w:val="clear" w:color="000000" w:fill="E0E0E0"/>
            <w:noWrap/>
            <w:hideMark/>
          </w:tcPr>
          <w:p w:rsidR="00100327" w:rsidRPr="001244BB" w:rsidRDefault="00100327" w:rsidP="00563C30">
            <w:pPr>
              <w:spacing w:after="0" w:line="240" w:lineRule="auto"/>
              <w:jc w:val="right"/>
              <w:rPr>
                <w:rFonts w:ascii="Arial" w:eastAsia="Times New Roman" w:hAnsi="Arial" w:cs="Arial"/>
                <w:color w:val="000000"/>
                <w:sz w:val="20"/>
                <w:lang w:eastAsia="en-NZ"/>
              </w:rPr>
            </w:pPr>
            <w:r w:rsidRPr="001244BB">
              <w:rPr>
                <w:rFonts w:ascii="Arial" w:eastAsia="Times New Roman" w:hAnsi="Arial" w:cs="Arial"/>
                <w:color w:val="000000"/>
                <w:sz w:val="20"/>
                <w:lang w:eastAsia="en-NZ"/>
              </w:rPr>
              <w:t>15,014</w:t>
            </w:r>
          </w:p>
        </w:tc>
        <w:tc>
          <w:tcPr>
            <w:tcW w:w="1371" w:type="dxa"/>
            <w:shd w:val="clear" w:color="000000" w:fill="E0E0E0"/>
            <w:noWrap/>
            <w:hideMark/>
          </w:tcPr>
          <w:p w:rsidR="00100327" w:rsidRPr="001244BB" w:rsidRDefault="00100327" w:rsidP="00563C30">
            <w:pPr>
              <w:spacing w:after="0" w:line="240" w:lineRule="auto"/>
              <w:jc w:val="right"/>
              <w:rPr>
                <w:rFonts w:ascii="Arial" w:eastAsia="Times New Roman" w:hAnsi="Arial" w:cs="Arial"/>
                <w:color w:val="000000"/>
                <w:sz w:val="20"/>
                <w:lang w:eastAsia="en-NZ"/>
              </w:rPr>
            </w:pPr>
            <w:r w:rsidRPr="001244BB">
              <w:rPr>
                <w:rFonts w:ascii="Arial" w:eastAsia="Times New Roman" w:hAnsi="Arial" w:cs="Arial"/>
                <w:color w:val="000000"/>
                <w:sz w:val="20"/>
                <w:lang w:eastAsia="en-NZ"/>
              </w:rPr>
              <w:t>8,967</w:t>
            </w:r>
          </w:p>
        </w:tc>
        <w:tc>
          <w:tcPr>
            <w:tcW w:w="3388" w:type="dxa"/>
            <w:shd w:val="clear" w:color="auto" w:fill="auto"/>
            <w:vAlign w:val="bottom"/>
            <w:hideMark/>
          </w:tcPr>
          <w:p w:rsidR="00100327" w:rsidRPr="00D87B3A" w:rsidRDefault="00100327" w:rsidP="003856A0">
            <w:pPr>
              <w:spacing w:after="0" w:line="240" w:lineRule="auto"/>
              <w:rPr>
                <w:rFonts w:eastAsia="Times New Roman" w:cstheme="minorHAnsi"/>
                <w:color w:val="000000"/>
                <w:sz w:val="20"/>
                <w:lang w:eastAsia="en-NZ"/>
              </w:rPr>
            </w:pPr>
            <w:r w:rsidRPr="00D87B3A">
              <w:rPr>
                <w:rFonts w:eastAsia="Times New Roman" w:cstheme="minorHAnsi"/>
                <w:color w:val="000000"/>
                <w:sz w:val="20"/>
                <w:lang w:eastAsia="en-NZ"/>
              </w:rPr>
              <w:t xml:space="preserve">Under budget due to delays across a number of projects including the Frank Kitts Park playground, </w:t>
            </w:r>
            <w:r w:rsidR="003856A0">
              <w:rPr>
                <w:rFonts w:eastAsia="Times New Roman" w:cstheme="minorHAnsi"/>
                <w:color w:val="000000"/>
                <w:sz w:val="20"/>
                <w:lang w:eastAsia="en-NZ"/>
              </w:rPr>
              <w:t>w</w:t>
            </w:r>
            <w:r w:rsidR="003856A0" w:rsidRPr="00D87B3A">
              <w:rPr>
                <w:rFonts w:eastAsia="Times New Roman" w:cstheme="minorHAnsi"/>
                <w:color w:val="000000"/>
                <w:sz w:val="20"/>
                <w:lang w:eastAsia="en-NZ"/>
              </w:rPr>
              <w:t xml:space="preserve">aterfront </w:t>
            </w:r>
            <w:r w:rsidRPr="00D87B3A">
              <w:rPr>
                <w:rFonts w:eastAsia="Times New Roman" w:cstheme="minorHAnsi"/>
                <w:color w:val="000000"/>
                <w:sz w:val="20"/>
                <w:lang w:eastAsia="en-NZ"/>
              </w:rPr>
              <w:t>shed roof renewal, Swan</w:t>
            </w:r>
            <w:r w:rsidR="003856A0">
              <w:rPr>
                <w:rFonts w:eastAsia="Times New Roman" w:cstheme="minorHAnsi"/>
                <w:color w:val="000000"/>
                <w:sz w:val="20"/>
                <w:lang w:eastAsia="en-NZ"/>
              </w:rPr>
              <w:t xml:space="preserve"> and</w:t>
            </w:r>
            <w:r w:rsidRPr="00D87B3A">
              <w:rPr>
                <w:rFonts w:eastAsia="Times New Roman" w:cstheme="minorHAnsi"/>
                <w:color w:val="000000"/>
                <w:sz w:val="20"/>
                <w:lang w:eastAsia="en-NZ"/>
              </w:rPr>
              <w:t xml:space="preserve"> Garrett </w:t>
            </w:r>
            <w:r w:rsidR="003856A0">
              <w:rPr>
                <w:rFonts w:eastAsia="Times New Roman" w:cstheme="minorHAnsi"/>
                <w:color w:val="000000"/>
                <w:sz w:val="20"/>
                <w:lang w:eastAsia="en-NZ"/>
              </w:rPr>
              <w:t>l</w:t>
            </w:r>
            <w:r w:rsidR="003856A0" w:rsidRPr="00D87B3A">
              <w:rPr>
                <w:rFonts w:eastAsia="Times New Roman" w:cstheme="minorHAnsi"/>
                <w:color w:val="000000"/>
                <w:sz w:val="20"/>
                <w:lang w:eastAsia="en-NZ"/>
              </w:rPr>
              <w:t>ane</w:t>
            </w:r>
            <w:r w:rsidR="003856A0">
              <w:rPr>
                <w:rFonts w:eastAsia="Times New Roman" w:cstheme="minorHAnsi"/>
                <w:color w:val="000000"/>
                <w:sz w:val="20"/>
                <w:lang w:eastAsia="en-NZ"/>
              </w:rPr>
              <w:t>s</w:t>
            </w:r>
            <w:r w:rsidRPr="00D87B3A">
              <w:rPr>
                <w:rFonts w:eastAsia="Times New Roman" w:cstheme="minorHAnsi"/>
                <w:color w:val="000000"/>
                <w:sz w:val="20"/>
                <w:lang w:eastAsia="en-NZ"/>
              </w:rPr>
              <w:t>, North Lambton Quay redevelopment, Karori Centre upgrade and the Housing Investment programme.</w:t>
            </w:r>
          </w:p>
        </w:tc>
      </w:tr>
      <w:tr w:rsidR="00DA1C92" w:rsidRPr="001244BB" w:rsidTr="00563C30">
        <w:trPr>
          <w:trHeight w:val="300"/>
        </w:trPr>
        <w:tc>
          <w:tcPr>
            <w:tcW w:w="6762" w:type="dxa"/>
            <w:gridSpan w:val="4"/>
            <w:shd w:val="clear" w:color="auto" w:fill="DBE5F1" w:themeFill="accent1" w:themeFillTint="33"/>
            <w:noWrap/>
            <w:vAlign w:val="bottom"/>
            <w:hideMark/>
          </w:tcPr>
          <w:p w:rsidR="00DA1C92" w:rsidRPr="001244BB" w:rsidRDefault="00DA1C92" w:rsidP="00563C30">
            <w:pPr>
              <w:spacing w:after="0" w:line="240" w:lineRule="auto"/>
              <w:rPr>
                <w:rFonts w:ascii="Arial" w:eastAsia="Times New Roman" w:hAnsi="Arial" w:cs="Arial"/>
                <w:color w:val="000000"/>
                <w:sz w:val="20"/>
                <w:lang w:eastAsia="en-NZ"/>
              </w:rPr>
            </w:pPr>
            <w:r w:rsidRPr="001244BB">
              <w:rPr>
                <w:rFonts w:ascii="Arial" w:eastAsia="Times New Roman" w:hAnsi="Arial" w:cs="Arial"/>
                <w:b/>
                <w:bCs/>
                <w:color w:val="000000"/>
                <w:sz w:val="20"/>
                <w:lang w:eastAsia="en-NZ"/>
              </w:rPr>
              <w:t>6.2 Building and development control</w:t>
            </w:r>
          </w:p>
        </w:tc>
        <w:tc>
          <w:tcPr>
            <w:tcW w:w="1256" w:type="dxa"/>
            <w:shd w:val="clear" w:color="auto" w:fill="DBE5F1" w:themeFill="accent1" w:themeFillTint="33"/>
            <w:noWrap/>
            <w:vAlign w:val="bottom"/>
            <w:hideMark/>
          </w:tcPr>
          <w:p w:rsidR="00DA1C92" w:rsidRPr="001244BB" w:rsidRDefault="00DA1C92" w:rsidP="00563C30">
            <w:pPr>
              <w:spacing w:after="0" w:line="240" w:lineRule="auto"/>
              <w:rPr>
                <w:rFonts w:ascii="Arial" w:eastAsia="Times New Roman" w:hAnsi="Arial" w:cs="Arial"/>
                <w:color w:val="000000"/>
                <w:sz w:val="20"/>
                <w:lang w:eastAsia="en-NZ"/>
              </w:rPr>
            </w:pPr>
          </w:p>
        </w:tc>
        <w:tc>
          <w:tcPr>
            <w:tcW w:w="1012" w:type="dxa"/>
            <w:shd w:val="clear" w:color="auto" w:fill="DBE5F1" w:themeFill="accent1" w:themeFillTint="33"/>
            <w:noWrap/>
            <w:vAlign w:val="bottom"/>
            <w:hideMark/>
          </w:tcPr>
          <w:p w:rsidR="00DA1C92" w:rsidRPr="001244BB" w:rsidRDefault="00DA1C92" w:rsidP="00563C30">
            <w:pPr>
              <w:spacing w:after="0" w:line="240" w:lineRule="auto"/>
              <w:rPr>
                <w:rFonts w:ascii="Arial" w:eastAsia="Times New Roman" w:hAnsi="Arial" w:cs="Arial"/>
                <w:color w:val="000000"/>
                <w:sz w:val="20"/>
                <w:lang w:eastAsia="en-NZ"/>
              </w:rPr>
            </w:pPr>
            <w:r w:rsidRPr="001244BB">
              <w:rPr>
                <w:rFonts w:ascii="Arial" w:eastAsia="Times New Roman" w:hAnsi="Arial" w:cs="Arial"/>
                <w:color w:val="000000"/>
                <w:sz w:val="20"/>
                <w:lang w:eastAsia="en-NZ"/>
              </w:rPr>
              <w:t> </w:t>
            </w:r>
          </w:p>
        </w:tc>
        <w:tc>
          <w:tcPr>
            <w:tcW w:w="1082" w:type="dxa"/>
            <w:shd w:val="clear" w:color="auto" w:fill="DBE5F1" w:themeFill="accent1" w:themeFillTint="33"/>
            <w:noWrap/>
            <w:vAlign w:val="bottom"/>
            <w:hideMark/>
          </w:tcPr>
          <w:p w:rsidR="00DA1C92" w:rsidRPr="001244BB" w:rsidRDefault="00DA1C92" w:rsidP="00563C30">
            <w:pPr>
              <w:spacing w:after="0" w:line="240" w:lineRule="auto"/>
              <w:rPr>
                <w:rFonts w:ascii="Arial" w:eastAsia="Times New Roman" w:hAnsi="Arial" w:cs="Arial"/>
                <w:color w:val="000000"/>
                <w:sz w:val="20"/>
                <w:lang w:eastAsia="en-NZ"/>
              </w:rPr>
            </w:pPr>
            <w:r w:rsidRPr="001244BB">
              <w:rPr>
                <w:rFonts w:ascii="Arial" w:eastAsia="Times New Roman" w:hAnsi="Arial" w:cs="Arial"/>
                <w:color w:val="000000"/>
                <w:sz w:val="20"/>
                <w:lang w:eastAsia="en-NZ"/>
              </w:rPr>
              <w:t> </w:t>
            </w:r>
          </w:p>
        </w:tc>
        <w:tc>
          <w:tcPr>
            <w:tcW w:w="1371" w:type="dxa"/>
            <w:shd w:val="clear" w:color="auto" w:fill="DBE5F1" w:themeFill="accent1" w:themeFillTint="33"/>
            <w:noWrap/>
            <w:vAlign w:val="bottom"/>
            <w:hideMark/>
          </w:tcPr>
          <w:p w:rsidR="00DA1C92" w:rsidRPr="001244BB" w:rsidRDefault="00DA1C92" w:rsidP="00563C30">
            <w:pPr>
              <w:spacing w:after="0" w:line="240" w:lineRule="auto"/>
              <w:rPr>
                <w:rFonts w:ascii="Arial" w:eastAsia="Times New Roman" w:hAnsi="Arial" w:cs="Arial"/>
                <w:color w:val="000000"/>
                <w:sz w:val="20"/>
                <w:lang w:eastAsia="en-NZ"/>
              </w:rPr>
            </w:pPr>
            <w:r w:rsidRPr="001244BB">
              <w:rPr>
                <w:rFonts w:ascii="Arial" w:eastAsia="Times New Roman" w:hAnsi="Arial" w:cs="Arial"/>
                <w:color w:val="000000"/>
                <w:sz w:val="20"/>
                <w:lang w:eastAsia="en-NZ"/>
              </w:rPr>
              <w:t> </w:t>
            </w:r>
          </w:p>
        </w:tc>
        <w:tc>
          <w:tcPr>
            <w:tcW w:w="3388" w:type="dxa"/>
            <w:shd w:val="clear" w:color="auto" w:fill="DBE5F1" w:themeFill="accent1" w:themeFillTint="33"/>
            <w:vAlign w:val="bottom"/>
            <w:hideMark/>
          </w:tcPr>
          <w:p w:rsidR="00DA1C92" w:rsidRPr="00D87B3A" w:rsidRDefault="00DA1C92" w:rsidP="00563C30">
            <w:pPr>
              <w:spacing w:after="0" w:line="240" w:lineRule="auto"/>
              <w:rPr>
                <w:rFonts w:eastAsia="Times New Roman" w:cstheme="minorHAnsi"/>
                <w:color w:val="000000"/>
                <w:sz w:val="20"/>
                <w:lang w:eastAsia="en-NZ"/>
              </w:rPr>
            </w:pPr>
          </w:p>
        </w:tc>
      </w:tr>
      <w:tr w:rsidR="00100327" w:rsidRPr="001244BB" w:rsidTr="00A606D2">
        <w:trPr>
          <w:trHeight w:val="765"/>
        </w:trPr>
        <w:tc>
          <w:tcPr>
            <w:tcW w:w="3686" w:type="dxa"/>
            <w:shd w:val="clear" w:color="auto" w:fill="auto"/>
            <w:noWrap/>
            <w:hideMark/>
          </w:tcPr>
          <w:p w:rsidR="00100327" w:rsidRPr="001244BB" w:rsidRDefault="00100327" w:rsidP="00563C30">
            <w:pPr>
              <w:spacing w:after="0" w:line="240" w:lineRule="auto"/>
              <w:ind w:firstLineChars="100" w:firstLine="200"/>
              <w:rPr>
                <w:rFonts w:ascii="Arial" w:eastAsia="Times New Roman" w:hAnsi="Arial" w:cs="Arial"/>
                <w:color w:val="000000"/>
                <w:sz w:val="20"/>
                <w:lang w:eastAsia="en-NZ"/>
              </w:rPr>
            </w:pPr>
            <w:r w:rsidRPr="001244BB">
              <w:rPr>
                <w:rFonts w:ascii="Arial" w:eastAsia="Times New Roman" w:hAnsi="Arial" w:cs="Arial"/>
                <w:color w:val="000000"/>
                <w:sz w:val="20"/>
                <w:lang w:eastAsia="en-NZ"/>
              </w:rPr>
              <w:t>Expenditure</w:t>
            </w:r>
          </w:p>
        </w:tc>
        <w:tc>
          <w:tcPr>
            <w:tcW w:w="1032" w:type="dxa"/>
            <w:shd w:val="clear" w:color="auto" w:fill="auto"/>
            <w:noWrap/>
            <w:hideMark/>
          </w:tcPr>
          <w:p w:rsidR="00100327" w:rsidRPr="001244BB" w:rsidRDefault="00100327" w:rsidP="00563C30">
            <w:pPr>
              <w:spacing w:after="0" w:line="240" w:lineRule="auto"/>
              <w:jc w:val="right"/>
              <w:rPr>
                <w:rFonts w:ascii="Arial" w:eastAsia="Times New Roman" w:hAnsi="Arial" w:cs="Arial"/>
                <w:color w:val="000000"/>
                <w:sz w:val="20"/>
                <w:lang w:eastAsia="en-NZ"/>
              </w:rPr>
            </w:pPr>
            <w:r w:rsidRPr="001244BB">
              <w:rPr>
                <w:rFonts w:ascii="Arial" w:eastAsia="Times New Roman" w:hAnsi="Arial" w:cs="Arial"/>
                <w:color w:val="000000"/>
                <w:sz w:val="20"/>
                <w:lang w:eastAsia="en-NZ"/>
              </w:rPr>
              <w:t>4,391</w:t>
            </w:r>
          </w:p>
        </w:tc>
        <w:tc>
          <w:tcPr>
            <w:tcW w:w="1012" w:type="dxa"/>
            <w:shd w:val="clear" w:color="auto" w:fill="auto"/>
            <w:noWrap/>
            <w:hideMark/>
          </w:tcPr>
          <w:p w:rsidR="00100327" w:rsidRPr="001244BB" w:rsidRDefault="00100327" w:rsidP="00563C30">
            <w:pPr>
              <w:spacing w:after="0" w:line="240" w:lineRule="auto"/>
              <w:jc w:val="right"/>
              <w:rPr>
                <w:rFonts w:ascii="Arial" w:eastAsia="Times New Roman" w:hAnsi="Arial" w:cs="Arial"/>
                <w:color w:val="000000"/>
                <w:sz w:val="20"/>
                <w:lang w:eastAsia="en-NZ"/>
              </w:rPr>
            </w:pPr>
            <w:r w:rsidRPr="001244BB">
              <w:rPr>
                <w:rFonts w:ascii="Arial" w:eastAsia="Times New Roman" w:hAnsi="Arial" w:cs="Arial"/>
                <w:color w:val="000000"/>
                <w:sz w:val="20"/>
                <w:lang w:eastAsia="en-NZ"/>
              </w:rPr>
              <w:t>7,216</w:t>
            </w:r>
          </w:p>
        </w:tc>
        <w:tc>
          <w:tcPr>
            <w:tcW w:w="1032" w:type="dxa"/>
            <w:shd w:val="clear" w:color="auto" w:fill="auto"/>
            <w:noWrap/>
            <w:hideMark/>
          </w:tcPr>
          <w:p w:rsidR="00100327" w:rsidRPr="001244BB" w:rsidRDefault="00100327" w:rsidP="00563C30">
            <w:pPr>
              <w:spacing w:after="0" w:line="240" w:lineRule="auto"/>
              <w:jc w:val="right"/>
              <w:rPr>
                <w:rFonts w:ascii="Arial" w:eastAsia="Times New Roman" w:hAnsi="Arial" w:cs="Arial"/>
                <w:color w:val="000000"/>
                <w:sz w:val="20"/>
                <w:lang w:eastAsia="en-NZ"/>
              </w:rPr>
            </w:pPr>
            <w:r w:rsidRPr="001244BB">
              <w:rPr>
                <w:rFonts w:ascii="Arial" w:eastAsia="Times New Roman" w:hAnsi="Arial" w:cs="Arial"/>
                <w:color w:val="000000"/>
                <w:sz w:val="20"/>
                <w:lang w:eastAsia="en-NZ"/>
              </w:rPr>
              <w:t>32,008</w:t>
            </w:r>
          </w:p>
        </w:tc>
        <w:tc>
          <w:tcPr>
            <w:tcW w:w="1256" w:type="dxa"/>
            <w:shd w:val="clear" w:color="auto" w:fill="auto"/>
            <w:noWrap/>
            <w:hideMark/>
          </w:tcPr>
          <w:p w:rsidR="00100327" w:rsidRPr="001244BB" w:rsidRDefault="00100327" w:rsidP="00563C30">
            <w:pPr>
              <w:spacing w:after="0" w:line="240" w:lineRule="auto"/>
              <w:jc w:val="right"/>
              <w:rPr>
                <w:rFonts w:ascii="Arial" w:eastAsia="Times New Roman" w:hAnsi="Arial" w:cs="Arial"/>
                <w:color w:val="000000"/>
                <w:sz w:val="20"/>
                <w:lang w:eastAsia="en-NZ"/>
              </w:rPr>
            </w:pPr>
            <w:r w:rsidRPr="001244BB">
              <w:rPr>
                <w:rFonts w:ascii="Arial" w:eastAsia="Times New Roman" w:hAnsi="Arial" w:cs="Arial"/>
                <w:color w:val="000000"/>
                <w:sz w:val="20"/>
                <w:lang w:eastAsia="en-NZ"/>
              </w:rPr>
              <w:t>1,462</w:t>
            </w:r>
          </w:p>
        </w:tc>
        <w:tc>
          <w:tcPr>
            <w:tcW w:w="1012" w:type="dxa"/>
            <w:shd w:val="clear" w:color="000000" w:fill="E0E0E0"/>
            <w:noWrap/>
            <w:hideMark/>
          </w:tcPr>
          <w:p w:rsidR="00100327" w:rsidRPr="001244BB" w:rsidRDefault="00100327" w:rsidP="00563C30">
            <w:pPr>
              <w:spacing w:after="0" w:line="240" w:lineRule="auto"/>
              <w:jc w:val="right"/>
              <w:rPr>
                <w:rFonts w:ascii="Arial" w:eastAsia="Times New Roman" w:hAnsi="Arial" w:cs="Arial"/>
                <w:color w:val="000000"/>
                <w:sz w:val="20"/>
                <w:lang w:eastAsia="en-NZ"/>
              </w:rPr>
            </w:pPr>
            <w:r w:rsidRPr="001244BB">
              <w:rPr>
                <w:rFonts w:ascii="Arial" w:eastAsia="Times New Roman" w:hAnsi="Arial" w:cs="Arial"/>
                <w:color w:val="000000"/>
                <w:sz w:val="20"/>
                <w:lang w:eastAsia="en-NZ"/>
              </w:rPr>
              <w:t>8,563</w:t>
            </w:r>
          </w:p>
        </w:tc>
        <w:tc>
          <w:tcPr>
            <w:tcW w:w="1082" w:type="dxa"/>
            <w:shd w:val="clear" w:color="000000" w:fill="E0E0E0"/>
            <w:noWrap/>
            <w:hideMark/>
          </w:tcPr>
          <w:p w:rsidR="00100327" w:rsidRPr="001244BB" w:rsidRDefault="00100327" w:rsidP="00563C30">
            <w:pPr>
              <w:spacing w:after="0" w:line="240" w:lineRule="auto"/>
              <w:jc w:val="right"/>
              <w:rPr>
                <w:rFonts w:ascii="Arial" w:eastAsia="Times New Roman" w:hAnsi="Arial" w:cs="Arial"/>
                <w:color w:val="000000"/>
                <w:sz w:val="20"/>
                <w:lang w:eastAsia="en-NZ"/>
              </w:rPr>
            </w:pPr>
            <w:r w:rsidRPr="001244BB">
              <w:rPr>
                <w:rFonts w:ascii="Arial" w:eastAsia="Times New Roman" w:hAnsi="Arial" w:cs="Arial"/>
                <w:color w:val="000000"/>
                <w:sz w:val="20"/>
                <w:lang w:eastAsia="en-NZ"/>
              </w:rPr>
              <w:t>33,470</w:t>
            </w:r>
          </w:p>
        </w:tc>
        <w:tc>
          <w:tcPr>
            <w:tcW w:w="1371" w:type="dxa"/>
            <w:shd w:val="clear" w:color="000000" w:fill="E0E0E0"/>
            <w:noWrap/>
            <w:hideMark/>
          </w:tcPr>
          <w:p w:rsidR="00100327" w:rsidRPr="001244BB" w:rsidRDefault="00100327" w:rsidP="00563C30">
            <w:pPr>
              <w:spacing w:after="0" w:line="240" w:lineRule="auto"/>
              <w:jc w:val="right"/>
              <w:rPr>
                <w:rFonts w:ascii="Arial" w:eastAsia="Times New Roman" w:hAnsi="Arial" w:cs="Arial"/>
                <w:color w:val="000000"/>
                <w:sz w:val="20"/>
                <w:lang w:eastAsia="en-NZ"/>
              </w:rPr>
            </w:pPr>
            <w:r w:rsidRPr="001244BB">
              <w:rPr>
                <w:rFonts w:ascii="Arial" w:eastAsia="Times New Roman" w:hAnsi="Arial" w:cs="Arial"/>
                <w:color w:val="000000"/>
                <w:sz w:val="20"/>
                <w:lang w:eastAsia="en-NZ"/>
              </w:rPr>
              <w:t>24,906</w:t>
            </w:r>
          </w:p>
        </w:tc>
        <w:tc>
          <w:tcPr>
            <w:tcW w:w="3388" w:type="dxa"/>
            <w:shd w:val="clear" w:color="auto" w:fill="auto"/>
            <w:vAlign w:val="bottom"/>
            <w:hideMark/>
          </w:tcPr>
          <w:p w:rsidR="00100327" w:rsidRPr="00D87B3A" w:rsidRDefault="00100327" w:rsidP="00563C30">
            <w:pPr>
              <w:spacing w:after="0" w:line="240" w:lineRule="auto"/>
              <w:rPr>
                <w:rFonts w:eastAsia="Times New Roman" w:cstheme="minorHAnsi"/>
                <w:color w:val="000000"/>
                <w:sz w:val="20"/>
                <w:lang w:eastAsia="en-NZ"/>
              </w:rPr>
            </w:pPr>
            <w:r w:rsidRPr="00D87B3A">
              <w:rPr>
                <w:rFonts w:eastAsia="Times New Roman" w:cstheme="minorHAnsi"/>
                <w:color w:val="000000"/>
                <w:sz w:val="20"/>
                <w:lang w:eastAsia="en-NZ"/>
              </w:rPr>
              <w:t xml:space="preserve">Under budget due to delays on </w:t>
            </w:r>
            <w:proofErr w:type="gramStart"/>
            <w:r w:rsidRPr="00D87B3A">
              <w:rPr>
                <w:rFonts w:eastAsia="Times New Roman" w:cstheme="minorHAnsi"/>
                <w:color w:val="000000"/>
                <w:sz w:val="20"/>
                <w:lang w:eastAsia="en-NZ"/>
              </w:rPr>
              <w:t>the  Earthquake</w:t>
            </w:r>
            <w:proofErr w:type="gramEnd"/>
            <w:r w:rsidRPr="00D87B3A">
              <w:rPr>
                <w:rFonts w:eastAsia="Times New Roman" w:cstheme="minorHAnsi"/>
                <w:color w:val="000000"/>
                <w:sz w:val="20"/>
                <w:lang w:eastAsia="en-NZ"/>
              </w:rPr>
              <w:t xml:space="preserve"> Risk Mitigation programme - predominantly the St James theatre and Town Hall</w:t>
            </w:r>
            <w:r w:rsidR="003856A0">
              <w:rPr>
                <w:rFonts w:eastAsia="Times New Roman" w:cstheme="minorHAnsi"/>
                <w:color w:val="000000"/>
                <w:sz w:val="20"/>
                <w:lang w:eastAsia="en-NZ"/>
              </w:rPr>
              <w:t xml:space="preserve"> -</w:t>
            </w:r>
            <w:r w:rsidRPr="00D87B3A">
              <w:rPr>
                <w:rFonts w:eastAsia="Times New Roman" w:cstheme="minorHAnsi"/>
                <w:color w:val="000000"/>
                <w:sz w:val="20"/>
                <w:lang w:eastAsia="en-NZ"/>
              </w:rPr>
              <w:t xml:space="preserve"> because of cost escalations and budget approvals.</w:t>
            </w:r>
          </w:p>
        </w:tc>
      </w:tr>
      <w:tr w:rsidR="00100327" w:rsidRPr="001244BB" w:rsidTr="000C1D7B">
        <w:trPr>
          <w:trHeight w:val="285"/>
        </w:trPr>
        <w:tc>
          <w:tcPr>
            <w:tcW w:w="3686" w:type="dxa"/>
            <w:shd w:val="clear" w:color="auto" w:fill="DBE5F1" w:themeFill="accent1" w:themeFillTint="33"/>
            <w:noWrap/>
            <w:vAlign w:val="center"/>
            <w:hideMark/>
          </w:tcPr>
          <w:p w:rsidR="00100327" w:rsidRPr="001244BB" w:rsidRDefault="003856A0" w:rsidP="00563C30">
            <w:pPr>
              <w:spacing w:after="0" w:line="240" w:lineRule="auto"/>
              <w:rPr>
                <w:rFonts w:ascii="Arial" w:eastAsia="Times New Roman" w:hAnsi="Arial" w:cs="Arial"/>
                <w:b/>
                <w:bCs/>
                <w:color w:val="000000"/>
                <w:sz w:val="20"/>
                <w:lang w:eastAsia="en-NZ"/>
              </w:rPr>
            </w:pPr>
            <w:r w:rsidRPr="001244BB">
              <w:rPr>
                <w:rFonts w:ascii="Arial" w:eastAsia="Times New Roman" w:hAnsi="Arial" w:cs="Arial"/>
                <w:b/>
                <w:bCs/>
                <w:color w:val="000000"/>
                <w:sz w:val="20"/>
                <w:lang w:eastAsia="en-NZ"/>
              </w:rPr>
              <w:t>Urban development total</w:t>
            </w:r>
          </w:p>
        </w:tc>
        <w:tc>
          <w:tcPr>
            <w:tcW w:w="1032" w:type="dxa"/>
            <w:shd w:val="clear" w:color="auto" w:fill="DBE5F1" w:themeFill="accent1" w:themeFillTint="33"/>
            <w:noWrap/>
            <w:vAlign w:val="center"/>
            <w:hideMark/>
          </w:tcPr>
          <w:p w:rsidR="00100327" w:rsidRPr="001244BB" w:rsidRDefault="00100327" w:rsidP="00563C30">
            <w:pPr>
              <w:spacing w:after="0" w:line="240" w:lineRule="auto"/>
              <w:rPr>
                <w:rFonts w:ascii="Arial" w:eastAsia="Times New Roman" w:hAnsi="Arial" w:cs="Arial"/>
                <w:b/>
                <w:bCs/>
                <w:color w:val="000000"/>
                <w:sz w:val="20"/>
                <w:lang w:eastAsia="en-NZ"/>
              </w:rPr>
            </w:pPr>
            <w:r w:rsidRPr="001244BB">
              <w:rPr>
                <w:rFonts w:ascii="Arial" w:eastAsia="Times New Roman" w:hAnsi="Arial" w:cs="Arial"/>
                <w:b/>
                <w:bCs/>
                <w:color w:val="000000"/>
                <w:sz w:val="20"/>
                <w:lang w:eastAsia="en-NZ"/>
              </w:rPr>
              <w:t>9,784</w:t>
            </w:r>
          </w:p>
        </w:tc>
        <w:tc>
          <w:tcPr>
            <w:tcW w:w="1012" w:type="dxa"/>
            <w:shd w:val="clear" w:color="auto" w:fill="DBE5F1" w:themeFill="accent1" w:themeFillTint="33"/>
            <w:noWrap/>
            <w:vAlign w:val="center"/>
            <w:hideMark/>
          </w:tcPr>
          <w:p w:rsidR="00100327" w:rsidRPr="001244BB" w:rsidRDefault="00100327" w:rsidP="00563C30">
            <w:pPr>
              <w:spacing w:after="0" w:line="240" w:lineRule="auto"/>
              <w:rPr>
                <w:rFonts w:ascii="Arial" w:eastAsia="Times New Roman" w:hAnsi="Arial" w:cs="Arial"/>
                <w:b/>
                <w:bCs/>
                <w:color w:val="000000"/>
                <w:sz w:val="20"/>
                <w:lang w:eastAsia="en-NZ"/>
              </w:rPr>
            </w:pPr>
            <w:r w:rsidRPr="001244BB">
              <w:rPr>
                <w:rFonts w:ascii="Arial" w:eastAsia="Times New Roman" w:hAnsi="Arial" w:cs="Arial"/>
                <w:b/>
                <w:bCs/>
                <w:color w:val="000000"/>
                <w:sz w:val="20"/>
                <w:lang w:eastAsia="en-NZ"/>
              </w:rPr>
              <w:t>19,504</w:t>
            </w:r>
          </w:p>
        </w:tc>
        <w:tc>
          <w:tcPr>
            <w:tcW w:w="1032" w:type="dxa"/>
            <w:shd w:val="clear" w:color="auto" w:fill="DBE5F1" w:themeFill="accent1" w:themeFillTint="33"/>
            <w:noWrap/>
            <w:vAlign w:val="center"/>
            <w:hideMark/>
          </w:tcPr>
          <w:p w:rsidR="00100327" w:rsidRPr="001244BB" w:rsidRDefault="00100327" w:rsidP="00563C30">
            <w:pPr>
              <w:spacing w:after="0" w:line="240" w:lineRule="auto"/>
              <w:rPr>
                <w:rFonts w:ascii="Arial" w:eastAsia="Times New Roman" w:hAnsi="Arial" w:cs="Arial"/>
                <w:b/>
                <w:bCs/>
                <w:color w:val="000000"/>
                <w:sz w:val="20"/>
                <w:lang w:eastAsia="en-NZ"/>
              </w:rPr>
            </w:pPr>
            <w:r w:rsidRPr="001244BB">
              <w:rPr>
                <w:rFonts w:ascii="Arial" w:eastAsia="Times New Roman" w:hAnsi="Arial" w:cs="Arial"/>
                <w:b/>
                <w:bCs/>
                <w:color w:val="000000"/>
                <w:sz w:val="20"/>
                <w:lang w:eastAsia="en-NZ"/>
              </w:rPr>
              <w:t>44,270</w:t>
            </w:r>
          </w:p>
        </w:tc>
        <w:tc>
          <w:tcPr>
            <w:tcW w:w="1256" w:type="dxa"/>
            <w:shd w:val="clear" w:color="auto" w:fill="DBE5F1" w:themeFill="accent1" w:themeFillTint="33"/>
            <w:noWrap/>
            <w:vAlign w:val="center"/>
            <w:hideMark/>
          </w:tcPr>
          <w:p w:rsidR="00100327" w:rsidRPr="001244BB" w:rsidRDefault="00100327" w:rsidP="00563C30">
            <w:pPr>
              <w:spacing w:after="0" w:line="240" w:lineRule="auto"/>
              <w:rPr>
                <w:rFonts w:ascii="Arial" w:eastAsia="Times New Roman" w:hAnsi="Arial" w:cs="Arial"/>
                <w:b/>
                <w:bCs/>
                <w:color w:val="000000"/>
                <w:sz w:val="20"/>
                <w:lang w:eastAsia="en-NZ"/>
              </w:rPr>
            </w:pPr>
            <w:r w:rsidRPr="001244BB">
              <w:rPr>
                <w:rFonts w:ascii="Arial" w:eastAsia="Times New Roman" w:hAnsi="Arial" w:cs="Arial"/>
                <w:b/>
                <w:bCs/>
                <w:color w:val="000000"/>
                <w:sz w:val="20"/>
                <w:lang w:eastAsia="en-NZ"/>
              </w:rPr>
              <w:t>4,213</w:t>
            </w:r>
          </w:p>
        </w:tc>
        <w:tc>
          <w:tcPr>
            <w:tcW w:w="1012" w:type="dxa"/>
            <w:shd w:val="clear" w:color="auto" w:fill="DBE5F1" w:themeFill="accent1" w:themeFillTint="33"/>
            <w:noWrap/>
            <w:vAlign w:val="center"/>
            <w:hideMark/>
          </w:tcPr>
          <w:p w:rsidR="00100327" w:rsidRPr="001244BB" w:rsidRDefault="00100327" w:rsidP="00563C30">
            <w:pPr>
              <w:spacing w:after="0" w:line="240" w:lineRule="auto"/>
              <w:rPr>
                <w:rFonts w:ascii="Arial" w:eastAsia="Times New Roman" w:hAnsi="Arial" w:cs="Arial"/>
                <w:b/>
                <w:bCs/>
                <w:color w:val="000000"/>
                <w:sz w:val="20"/>
                <w:lang w:eastAsia="en-NZ"/>
              </w:rPr>
            </w:pPr>
            <w:r w:rsidRPr="001244BB">
              <w:rPr>
                <w:rFonts w:ascii="Arial" w:eastAsia="Times New Roman" w:hAnsi="Arial" w:cs="Arial"/>
                <w:b/>
                <w:bCs/>
                <w:color w:val="000000"/>
                <w:sz w:val="20"/>
                <w:lang w:eastAsia="en-NZ"/>
              </w:rPr>
              <w:t>14,610</w:t>
            </w:r>
          </w:p>
        </w:tc>
        <w:tc>
          <w:tcPr>
            <w:tcW w:w="1082" w:type="dxa"/>
            <w:shd w:val="clear" w:color="auto" w:fill="DBE5F1" w:themeFill="accent1" w:themeFillTint="33"/>
            <w:noWrap/>
            <w:vAlign w:val="center"/>
            <w:hideMark/>
          </w:tcPr>
          <w:p w:rsidR="00100327" w:rsidRPr="001244BB" w:rsidRDefault="00100327" w:rsidP="00563C30">
            <w:pPr>
              <w:spacing w:after="0" w:line="240" w:lineRule="auto"/>
              <w:rPr>
                <w:rFonts w:ascii="Arial" w:eastAsia="Times New Roman" w:hAnsi="Arial" w:cs="Arial"/>
                <w:b/>
                <w:bCs/>
                <w:color w:val="000000"/>
                <w:sz w:val="20"/>
                <w:lang w:eastAsia="en-NZ"/>
              </w:rPr>
            </w:pPr>
            <w:r w:rsidRPr="001244BB">
              <w:rPr>
                <w:rFonts w:ascii="Arial" w:eastAsia="Times New Roman" w:hAnsi="Arial" w:cs="Arial"/>
                <w:b/>
                <w:bCs/>
                <w:color w:val="000000"/>
                <w:sz w:val="20"/>
                <w:lang w:eastAsia="en-NZ"/>
              </w:rPr>
              <w:t>48,483</w:t>
            </w:r>
          </w:p>
        </w:tc>
        <w:tc>
          <w:tcPr>
            <w:tcW w:w="1371" w:type="dxa"/>
            <w:shd w:val="clear" w:color="auto" w:fill="DBE5F1" w:themeFill="accent1" w:themeFillTint="33"/>
            <w:noWrap/>
            <w:vAlign w:val="center"/>
            <w:hideMark/>
          </w:tcPr>
          <w:p w:rsidR="00100327" w:rsidRPr="001244BB" w:rsidRDefault="00100327" w:rsidP="00563C30">
            <w:pPr>
              <w:spacing w:after="0" w:line="240" w:lineRule="auto"/>
              <w:rPr>
                <w:rFonts w:ascii="Arial" w:eastAsia="Times New Roman" w:hAnsi="Arial" w:cs="Arial"/>
                <w:b/>
                <w:bCs/>
                <w:color w:val="000000"/>
                <w:sz w:val="20"/>
                <w:lang w:eastAsia="en-NZ"/>
              </w:rPr>
            </w:pPr>
            <w:r w:rsidRPr="001244BB">
              <w:rPr>
                <w:rFonts w:ascii="Arial" w:eastAsia="Times New Roman" w:hAnsi="Arial" w:cs="Arial"/>
                <w:b/>
                <w:bCs/>
                <w:color w:val="000000"/>
                <w:sz w:val="20"/>
                <w:lang w:eastAsia="en-NZ"/>
              </w:rPr>
              <w:t>33,873</w:t>
            </w:r>
          </w:p>
        </w:tc>
        <w:tc>
          <w:tcPr>
            <w:tcW w:w="3388" w:type="dxa"/>
            <w:shd w:val="clear" w:color="auto" w:fill="DBE5F1" w:themeFill="accent1" w:themeFillTint="33"/>
            <w:vAlign w:val="center"/>
            <w:hideMark/>
          </w:tcPr>
          <w:p w:rsidR="00100327" w:rsidRPr="001244BB" w:rsidRDefault="00100327" w:rsidP="00563C30">
            <w:pPr>
              <w:spacing w:after="0" w:line="240" w:lineRule="auto"/>
              <w:rPr>
                <w:rFonts w:ascii="Calibri" w:eastAsia="Times New Roman" w:hAnsi="Calibri" w:cs="Calibri"/>
                <w:color w:val="000000"/>
                <w:sz w:val="20"/>
                <w:lang w:eastAsia="en-NZ"/>
              </w:rPr>
            </w:pPr>
            <w:r w:rsidRPr="001244BB">
              <w:rPr>
                <w:rFonts w:ascii="Calibri" w:eastAsia="Times New Roman" w:hAnsi="Calibri" w:cs="Calibri"/>
                <w:color w:val="000000"/>
                <w:sz w:val="20"/>
                <w:lang w:eastAsia="en-NZ"/>
              </w:rPr>
              <w:t> </w:t>
            </w:r>
          </w:p>
        </w:tc>
      </w:tr>
    </w:tbl>
    <w:p w:rsidR="00292110" w:rsidRPr="00D5126A" w:rsidRDefault="00292110" w:rsidP="00292110">
      <w:pPr>
        <w:spacing w:after="0"/>
      </w:pPr>
    </w:p>
    <w:p w:rsidR="00292110" w:rsidRPr="000C1D7B" w:rsidRDefault="00292110" w:rsidP="00AA2122">
      <w:pPr>
        <w:pStyle w:val="Heading3"/>
        <w:rPr>
          <w:color w:val="00A1DA"/>
        </w:rPr>
      </w:pPr>
      <w:bookmarkStart w:id="274" w:name="Urban_development_performance"/>
      <w:bookmarkStart w:id="275" w:name="_Toc11915662"/>
      <w:bookmarkStart w:id="276" w:name="_Toc13211860"/>
      <w:bookmarkStart w:id="277" w:name="_Toc14178563"/>
      <w:bookmarkStart w:id="278" w:name="_Toc19085855"/>
      <w:r w:rsidRPr="000C1D7B">
        <w:rPr>
          <w:color w:val="00A1DA"/>
        </w:rPr>
        <w:t>Urban development performance</w:t>
      </w:r>
      <w:bookmarkEnd w:id="274"/>
      <w:bookmarkEnd w:id="275"/>
      <w:bookmarkEnd w:id="276"/>
      <w:bookmarkEnd w:id="277"/>
      <w:bookmarkEnd w:id="278"/>
    </w:p>
    <w:p w:rsidR="00292110" w:rsidRPr="00D5126A" w:rsidRDefault="00292110" w:rsidP="00292110">
      <w:pPr>
        <w:pStyle w:val="Para034"/>
        <w:spacing w:line="240" w:lineRule="auto"/>
        <w:rPr>
          <w:rFonts w:ascii="Arial" w:hAnsi="Arial" w:cs="Arial"/>
        </w:rPr>
      </w:pPr>
      <w:r w:rsidRPr="00D5126A">
        <w:rPr>
          <w:rFonts w:ascii="Arial" w:hAnsi="Arial" w:cs="Arial"/>
        </w:rPr>
        <w:t>The following section outlines our performance data: outcome indicators, performance measures and supplementary tables.</w:t>
      </w:r>
    </w:p>
    <w:p w:rsidR="00292110" w:rsidRPr="00D5126A" w:rsidRDefault="00292110" w:rsidP="00292110">
      <w:pPr>
        <w:pStyle w:val="Para034"/>
        <w:spacing w:line="240" w:lineRule="auto"/>
        <w:rPr>
          <w:rFonts w:ascii="Arial" w:hAnsi="Arial" w:cs="Arial"/>
        </w:rPr>
      </w:pPr>
      <w:r w:rsidRPr="00D5126A">
        <w:rPr>
          <w:rFonts w:ascii="Arial" w:hAnsi="Arial" w:cs="Arial"/>
        </w:rPr>
        <w:t>We use outcome indicators to monitor our city over time, which provides information on trends that may influence our performance including</w:t>
      </w:r>
      <w:r w:rsidR="000C1D7B">
        <w:rPr>
          <w:rFonts w:ascii="Arial" w:hAnsi="Arial" w:cs="Arial"/>
        </w:rPr>
        <w:t>,</w:t>
      </w:r>
      <w:r w:rsidRPr="00D5126A">
        <w:rPr>
          <w:rFonts w:ascii="Arial" w:hAnsi="Arial" w:cs="Arial"/>
        </w:rPr>
        <w:t xml:space="preserve"> those outside our control. </w:t>
      </w:r>
    </w:p>
    <w:p w:rsidR="00292110" w:rsidRPr="00D5126A" w:rsidRDefault="00292110" w:rsidP="00292110">
      <w:pPr>
        <w:pStyle w:val="Para034"/>
        <w:spacing w:line="240" w:lineRule="auto"/>
        <w:rPr>
          <w:rFonts w:ascii="Arial" w:hAnsi="Arial" w:cs="Arial"/>
        </w:rPr>
      </w:pPr>
      <w:r w:rsidRPr="00D5126A">
        <w:rPr>
          <w:rFonts w:ascii="Arial" w:hAnsi="Arial" w:cs="Arial"/>
        </w:rPr>
        <w:t>We use performance measures to track how well we are delivering services against targets as set out in the 10-year and annual plans.</w:t>
      </w:r>
    </w:p>
    <w:p w:rsidR="00292110" w:rsidRPr="00D5126A" w:rsidRDefault="00292110" w:rsidP="00292110">
      <w:pPr>
        <w:pStyle w:val="Para034"/>
        <w:spacing w:line="240" w:lineRule="auto"/>
        <w:rPr>
          <w:rFonts w:ascii="Arial" w:hAnsi="Arial" w:cs="Arial"/>
        </w:rPr>
      </w:pPr>
      <w:r w:rsidRPr="00D5126A">
        <w:rPr>
          <w:rFonts w:ascii="Arial" w:hAnsi="Arial" w:cs="Arial"/>
        </w:rPr>
        <w:t xml:space="preserve">The Council undertakes the Residents’ Monitoring Survey (RMS) on an annual basis. The survey has a margin of error of </w:t>
      </w:r>
      <w:r w:rsidR="001D2EAA">
        <w:t>+/- 4.4% percent.</w:t>
      </w:r>
    </w:p>
    <w:p w:rsidR="00292110" w:rsidRPr="000C1D7B" w:rsidRDefault="00292110" w:rsidP="00846C1B">
      <w:pPr>
        <w:pStyle w:val="Heading4"/>
        <w:rPr>
          <w:color w:val="00A1DA"/>
        </w:rPr>
      </w:pPr>
      <w:r w:rsidRPr="000C1D7B">
        <w:rPr>
          <w:color w:val="00A1DA"/>
        </w:rPr>
        <w:t>Performance data – outcome indicators</w:t>
      </w:r>
    </w:p>
    <w:p w:rsidR="00292110" w:rsidRPr="00D5126A" w:rsidRDefault="00292110" w:rsidP="00292110">
      <w:pPr>
        <w:pStyle w:val="Para034"/>
        <w:spacing w:before="0" w:after="0" w:line="240" w:lineRule="auto"/>
        <w:rPr>
          <w:rFonts w:ascii="Arial" w:hAnsi="Arial" w:cs="Arial"/>
        </w:rPr>
      </w:pPr>
      <w:r w:rsidRPr="00D5126A">
        <w:rPr>
          <w:rFonts w:ascii="Arial" w:hAnsi="Arial" w:cs="Arial"/>
        </w:rPr>
        <w:t>The following section outlines outcome indicators for the Urban Development activity area. Outcome indicators do not have targets – only trend data.</w:t>
      </w:r>
      <w:r w:rsidR="000C1D7B">
        <w:rPr>
          <w:rFonts w:ascii="Arial" w:hAnsi="Arial" w:cs="Arial"/>
        </w:rPr>
        <w:t xml:space="preserve"> </w:t>
      </w:r>
      <w:r w:rsidR="001B50F9">
        <w:rPr>
          <w:rFonts w:ascii="Arial" w:hAnsi="Arial" w:cs="Arial"/>
        </w:rPr>
        <w:t>Of the twenty six outcome indicators we monitor, four showed positive trends and five showed negative trends</w:t>
      </w:r>
    </w:p>
    <w:tbl>
      <w:tblPr>
        <w:tblW w:w="14601" w:type="dxa"/>
        <w:tblInd w:w="108" w:type="dxa"/>
        <w:shd w:val="clear" w:color="auto" w:fill="00B0F0"/>
        <w:tblLayout w:type="fixed"/>
        <w:tblLook w:val="04A0" w:firstRow="1" w:lastRow="0" w:firstColumn="1" w:lastColumn="0" w:noHBand="0" w:noVBand="1"/>
      </w:tblPr>
      <w:tblGrid>
        <w:gridCol w:w="3119"/>
        <w:gridCol w:w="1276"/>
        <w:gridCol w:w="1134"/>
        <w:gridCol w:w="1635"/>
        <w:gridCol w:w="1635"/>
        <w:gridCol w:w="1635"/>
        <w:gridCol w:w="1140"/>
        <w:gridCol w:w="3027"/>
      </w:tblGrid>
      <w:tr w:rsidR="00424AFD" w:rsidRPr="00D87B3A" w:rsidTr="00DD6D6D">
        <w:trPr>
          <w:trHeight w:val="259"/>
          <w:tblHeader/>
        </w:trPr>
        <w:tc>
          <w:tcPr>
            <w:tcW w:w="3119" w:type="dxa"/>
            <w:tcBorders>
              <w:top w:val="single" w:sz="6" w:space="0" w:color="00B0F0"/>
              <w:left w:val="single" w:sz="6" w:space="0" w:color="00B0F0"/>
              <w:bottom w:val="single" w:sz="6" w:space="0" w:color="00B0F0"/>
              <w:right w:val="single" w:sz="6" w:space="0" w:color="00B0F0"/>
            </w:tcBorders>
            <w:shd w:val="clear" w:color="auto" w:fill="00B0F0"/>
            <w:vAlign w:val="bottom"/>
            <w:hideMark/>
          </w:tcPr>
          <w:p w:rsidR="00424AFD" w:rsidRPr="00D87B3A" w:rsidRDefault="00424AFD" w:rsidP="00424AFD">
            <w:pPr>
              <w:spacing w:after="0" w:line="240" w:lineRule="auto"/>
              <w:rPr>
                <w:rFonts w:eastAsia="Times New Roman" w:cstheme="minorHAnsi"/>
                <w:b/>
                <w:bCs/>
                <w:color w:val="FFFFFF" w:themeColor="background1"/>
                <w:sz w:val="24"/>
                <w:lang w:eastAsia="en-NZ"/>
              </w:rPr>
            </w:pPr>
            <w:r w:rsidRPr="00D87B3A">
              <w:rPr>
                <w:rFonts w:eastAsia="Times New Roman" w:cstheme="minorHAnsi"/>
                <w:b/>
                <w:bCs/>
                <w:color w:val="FFFFFF" w:themeColor="background1"/>
                <w:sz w:val="24"/>
                <w:lang w:eastAsia="en-NZ"/>
              </w:rPr>
              <w:lastRenderedPageBreak/>
              <w:t>Urban Development</w:t>
            </w:r>
          </w:p>
        </w:tc>
        <w:tc>
          <w:tcPr>
            <w:tcW w:w="1276" w:type="dxa"/>
            <w:tcBorders>
              <w:top w:val="single" w:sz="6" w:space="0" w:color="00B0F0"/>
              <w:left w:val="single" w:sz="6" w:space="0" w:color="00B0F0"/>
              <w:bottom w:val="single" w:sz="6" w:space="0" w:color="00B0F0"/>
              <w:right w:val="single" w:sz="6" w:space="0" w:color="00B0F0"/>
            </w:tcBorders>
            <w:shd w:val="clear" w:color="auto" w:fill="00B0F0"/>
            <w:noWrap/>
            <w:vAlign w:val="bottom"/>
            <w:hideMark/>
          </w:tcPr>
          <w:p w:rsidR="00424AFD" w:rsidRPr="00D87B3A" w:rsidRDefault="00424AFD" w:rsidP="00424AFD">
            <w:pPr>
              <w:spacing w:after="0" w:line="240" w:lineRule="auto"/>
              <w:jc w:val="center"/>
              <w:rPr>
                <w:rFonts w:eastAsia="Times New Roman" w:cstheme="minorHAnsi"/>
                <w:b/>
                <w:bCs/>
                <w:color w:val="FFFFFF" w:themeColor="background1"/>
                <w:sz w:val="24"/>
                <w:lang w:eastAsia="en-NZ"/>
              </w:rPr>
            </w:pPr>
            <w:r w:rsidRPr="00D87B3A">
              <w:rPr>
                <w:rFonts w:eastAsia="Times New Roman" w:cstheme="minorHAnsi"/>
                <w:b/>
                <w:bCs/>
                <w:color w:val="FFFFFF" w:themeColor="background1"/>
                <w:sz w:val="24"/>
                <w:lang w:eastAsia="en-NZ"/>
              </w:rPr>
              <w:t>Desired Trend</w:t>
            </w:r>
          </w:p>
        </w:tc>
        <w:tc>
          <w:tcPr>
            <w:tcW w:w="1134" w:type="dxa"/>
            <w:tcBorders>
              <w:top w:val="single" w:sz="6" w:space="0" w:color="00B0F0"/>
              <w:left w:val="single" w:sz="6" w:space="0" w:color="00B0F0"/>
              <w:bottom w:val="single" w:sz="6" w:space="0" w:color="00B0F0"/>
              <w:right w:val="single" w:sz="6" w:space="0" w:color="00B0F0"/>
            </w:tcBorders>
            <w:shd w:val="clear" w:color="auto" w:fill="00B0F0"/>
            <w:noWrap/>
            <w:vAlign w:val="bottom"/>
            <w:hideMark/>
          </w:tcPr>
          <w:p w:rsidR="00424AFD" w:rsidRPr="00D87B3A" w:rsidRDefault="00424AFD" w:rsidP="00424AFD">
            <w:pPr>
              <w:spacing w:after="0" w:line="240" w:lineRule="auto"/>
              <w:jc w:val="center"/>
              <w:rPr>
                <w:rFonts w:eastAsia="Times New Roman" w:cstheme="minorHAnsi"/>
                <w:b/>
                <w:bCs/>
                <w:color w:val="FFFFFF" w:themeColor="background1"/>
                <w:sz w:val="24"/>
                <w:lang w:eastAsia="en-NZ"/>
              </w:rPr>
            </w:pPr>
            <w:r w:rsidRPr="00D87B3A">
              <w:rPr>
                <w:rFonts w:eastAsia="Times New Roman" w:cstheme="minorHAnsi"/>
                <w:b/>
                <w:bCs/>
                <w:color w:val="FFFFFF" w:themeColor="background1"/>
                <w:sz w:val="24"/>
                <w:lang w:eastAsia="en-NZ"/>
              </w:rPr>
              <w:t>Source</w:t>
            </w:r>
          </w:p>
        </w:tc>
        <w:tc>
          <w:tcPr>
            <w:tcW w:w="1635" w:type="dxa"/>
            <w:tcBorders>
              <w:top w:val="single" w:sz="6" w:space="0" w:color="00B0F0"/>
              <w:left w:val="single" w:sz="6" w:space="0" w:color="00B0F0"/>
              <w:bottom w:val="single" w:sz="6" w:space="0" w:color="00B0F0"/>
              <w:right w:val="single" w:sz="6" w:space="0" w:color="00B0F0"/>
            </w:tcBorders>
            <w:shd w:val="clear" w:color="auto" w:fill="00B0F0"/>
            <w:noWrap/>
            <w:vAlign w:val="bottom"/>
            <w:hideMark/>
          </w:tcPr>
          <w:p w:rsidR="00424AFD" w:rsidRPr="00D87B3A" w:rsidRDefault="00424AFD" w:rsidP="00424AFD">
            <w:pPr>
              <w:spacing w:after="0" w:line="240" w:lineRule="auto"/>
              <w:jc w:val="center"/>
              <w:rPr>
                <w:rFonts w:eastAsia="Times New Roman" w:cstheme="minorHAnsi"/>
                <w:b/>
                <w:bCs/>
                <w:color w:val="FFFFFF" w:themeColor="background1"/>
                <w:sz w:val="24"/>
                <w:lang w:eastAsia="en-NZ"/>
              </w:rPr>
            </w:pPr>
            <w:r w:rsidRPr="00D87B3A">
              <w:rPr>
                <w:rFonts w:eastAsia="Times New Roman" w:cstheme="minorHAnsi"/>
                <w:b/>
                <w:bCs/>
                <w:color w:val="FFFFFF" w:themeColor="background1"/>
                <w:sz w:val="24"/>
                <w:lang w:eastAsia="en-NZ"/>
              </w:rPr>
              <w:t>2016/17</w:t>
            </w:r>
          </w:p>
        </w:tc>
        <w:tc>
          <w:tcPr>
            <w:tcW w:w="1635" w:type="dxa"/>
            <w:tcBorders>
              <w:top w:val="single" w:sz="6" w:space="0" w:color="00B0F0"/>
              <w:left w:val="single" w:sz="6" w:space="0" w:color="00B0F0"/>
              <w:bottom w:val="single" w:sz="6" w:space="0" w:color="00B0F0"/>
              <w:right w:val="single" w:sz="6" w:space="0" w:color="00B0F0"/>
            </w:tcBorders>
            <w:shd w:val="clear" w:color="auto" w:fill="00B0F0"/>
            <w:noWrap/>
            <w:vAlign w:val="bottom"/>
            <w:hideMark/>
          </w:tcPr>
          <w:p w:rsidR="00424AFD" w:rsidRPr="00D87B3A" w:rsidRDefault="00424AFD" w:rsidP="00424AFD">
            <w:pPr>
              <w:spacing w:after="0" w:line="240" w:lineRule="auto"/>
              <w:jc w:val="center"/>
              <w:rPr>
                <w:rFonts w:eastAsia="Times New Roman" w:cstheme="minorHAnsi"/>
                <w:b/>
                <w:bCs/>
                <w:color w:val="FFFFFF" w:themeColor="background1"/>
                <w:sz w:val="24"/>
                <w:lang w:eastAsia="en-NZ"/>
              </w:rPr>
            </w:pPr>
            <w:r w:rsidRPr="00D87B3A">
              <w:rPr>
                <w:rFonts w:eastAsia="Times New Roman" w:cstheme="minorHAnsi"/>
                <w:b/>
                <w:bCs/>
                <w:color w:val="FFFFFF" w:themeColor="background1"/>
                <w:sz w:val="24"/>
                <w:lang w:eastAsia="en-NZ"/>
              </w:rPr>
              <w:t>2017/18</w:t>
            </w:r>
          </w:p>
        </w:tc>
        <w:tc>
          <w:tcPr>
            <w:tcW w:w="1635" w:type="dxa"/>
            <w:tcBorders>
              <w:top w:val="single" w:sz="6" w:space="0" w:color="00B0F0"/>
              <w:left w:val="single" w:sz="6" w:space="0" w:color="00B0F0"/>
              <w:bottom w:val="single" w:sz="6" w:space="0" w:color="00B0F0"/>
              <w:right w:val="single" w:sz="6" w:space="0" w:color="00B0F0"/>
            </w:tcBorders>
            <w:shd w:val="clear" w:color="auto" w:fill="00B0F0"/>
            <w:noWrap/>
            <w:vAlign w:val="bottom"/>
            <w:hideMark/>
          </w:tcPr>
          <w:p w:rsidR="00424AFD" w:rsidRPr="00D87B3A" w:rsidRDefault="00424AFD" w:rsidP="00424AFD">
            <w:pPr>
              <w:spacing w:after="0" w:line="240" w:lineRule="auto"/>
              <w:jc w:val="center"/>
              <w:rPr>
                <w:rFonts w:eastAsia="Times New Roman" w:cstheme="minorHAnsi"/>
                <w:b/>
                <w:bCs/>
                <w:color w:val="FFFFFF" w:themeColor="background1"/>
                <w:sz w:val="24"/>
                <w:lang w:eastAsia="en-NZ"/>
              </w:rPr>
            </w:pPr>
            <w:r w:rsidRPr="00D87B3A">
              <w:rPr>
                <w:rFonts w:eastAsia="Times New Roman" w:cstheme="minorHAnsi"/>
                <w:b/>
                <w:bCs/>
                <w:color w:val="FFFFFF" w:themeColor="background1"/>
                <w:sz w:val="24"/>
                <w:lang w:eastAsia="en-NZ"/>
              </w:rPr>
              <w:t>2018/19</w:t>
            </w:r>
          </w:p>
        </w:tc>
        <w:tc>
          <w:tcPr>
            <w:tcW w:w="4167" w:type="dxa"/>
            <w:gridSpan w:val="2"/>
            <w:tcBorders>
              <w:top w:val="single" w:sz="6" w:space="0" w:color="00B0F0"/>
              <w:left w:val="single" w:sz="6" w:space="0" w:color="00B0F0"/>
              <w:bottom w:val="single" w:sz="6" w:space="0" w:color="00B0F0"/>
              <w:right w:val="single" w:sz="6" w:space="0" w:color="00B0F0"/>
            </w:tcBorders>
            <w:shd w:val="clear" w:color="auto" w:fill="00B0F0"/>
            <w:vAlign w:val="bottom"/>
          </w:tcPr>
          <w:p w:rsidR="00424AFD" w:rsidRPr="00D87B3A" w:rsidRDefault="00424AFD" w:rsidP="00424AFD">
            <w:pPr>
              <w:spacing w:after="0" w:line="240" w:lineRule="auto"/>
              <w:rPr>
                <w:rFonts w:eastAsia="Times New Roman" w:cstheme="minorHAnsi"/>
                <w:b/>
                <w:bCs/>
                <w:color w:val="FFFFFF" w:themeColor="background1"/>
                <w:sz w:val="24"/>
                <w:lang w:eastAsia="en-NZ"/>
              </w:rPr>
            </w:pPr>
            <w:r w:rsidRPr="00D87B3A">
              <w:rPr>
                <w:rFonts w:eastAsia="Times New Roman" w:cstheme="minorHAnsi"/>
                <w:b/>
                <w:bCs/>
                <w:color w:val="FFFFFF" w:themeColor="background1"/>
                <w:sz w:val="24"/>
                <w:lang w:eastAsia="en-NZ"/>
              </w:rPr>
              <w:t>Comments</w:t>
            </w:r>
          </w:p>
        </w:tc>
      </w:tr>
      <w:tr w:rsidR="00424AFD" w:rsidRPr="00D87B3A" w:rsidTr="00DD6D6D">
        <w:tblPrEx>
          <w:shd w:val="clear" w:color="auto" w:fill="auto"/>
        </w:tblPrEx>
        <w:trPr>
          <w:trHeight w:val="255"/>
        </w:trPr>
        <w:tc>
          <w:tcPr>
            <w:tcW w:w="3119" w:type="dxa"/>
            <w:tcBorders>
              <w:top w:val="single" w:sz="6" w:space="0" w:color="00B0F0"/>
              <w:left w:val="single" w:sz="6" w:space="0" w:color="00B0F0"/>
              <w:bottom w:val="single" w:sz="6" w:space="0" w:color="00B0F0"/>
              <w:right w:val="single" w:sz="6" w:space="0" w:color="00B0F0"/>
            </w:tcBorders>
            <w:shd w:val="clear" w:color="auto" w:fill="B7ECFF"/>
            <w:hideMark/>
          </w:tcPr>
          <w:p w:rsidR="00424AFD" w:rsidRPr="00D87B3A" w:rsidRDefault="00424AFD" w:rsidP="00563C30">
            <w:pPr>
              <w:spacing w:after="0" w:line="240" w:lineRule="auto"/>
              <w:rPr>
                <w:rFonts w:cstheme="minorHAnsi"/>
                <w:b/>
                <w:bCs/>
                <w:i/>
                <w:iCs/>
                <w:color w:val="000000" w:themeColor="text1"/>
                <w:sz w:val="20"/>
                <w:szCs w:val="20"/>
              </w:rPr>
            </w:pPr>
            <w:r w:rsidRPr="00D87B3A">
              <w:rPr>
                <w:rFonts w:cstheme="minorHAnsi"/>
                <w:b/>
                <w:bCs/>
                <w:i/>
                <w:iCs/>
                <w:color w:val="000000" w:themeColor="text1"/>
                <w:sz w:val="20"/>
                <w:szCs w:val="20"/>
              </w:rPr>
              <w:t>Housing affordability and supply</w:t>
            </w:r>
          </w:p>
        </w:tc>
        <w:tc>
          <w:tcPr>
            <w:tcW w:w="1276" w:type="dxa"/>
            <w:tcBorders>
              <w:top w:val="single" w:sz="6" w:space="0" w:color="00B0F0"/>
              <w:left w:val="single" w:sz="6" w:space="0" w:color="00B0F0"/>
              <w:bottom w:val="single" w:sz="6" w:space="0" w:color="00B0F0"/>
              <w:right w:val="single" w:sz="6" w:space="0" w:color="00B0F0"/>
            </w:tcBorders>
            <w:shd w:val="clear" w:color="auto" w:fill="B7ECFF"/>
            <w:hideMark/>
          </w:tcPr>
          <w:p w:rsidR="00424AFD" w:rsidRPr="00D87B3A" w:rsidRDefault="00424AFD" w:rsidP="00563C30">
            <w:pPr>
              <w:spacing w:after="0" w:line="240" w:lineRule="auto"/>
              <w:rPr>
                <w:rFonts w:cstheme="minorHAnsi"/>
                <w:i/>
                <w:iCs/>
                <w:color w:val="000000" w:themeColor="text1"/>
                <w:sz w:val="20"/>
                <w:szCs w:val="20"/>
              </w:rPr>
            </w:pPr>
          </w:p>
        </w:tc>
        <w:tc>
          <w:tcPr>
            <w:tcW w:w="1134" w:type="dxa"/>
            <w:tcBorders>
              <w:top w:val="single" w:sz="6" w:space="0" w:color="00B0F0"/>
              <w:left w:val="single" w:sz="6" w:space="0" w:color="00B0F0"/>
              <w:bottom w:val="single" w:sz="6" w:space="0" w:color="00B0F0"/>
              <w:right w:val="single" w:sz="6" w:space="0" w:color="00B0F0"/>
            </w:tcBorders>
            <w:shd w:val="clear" w:color="auto" w:fill="B7ECFF"/>
            <w:noWrap/>
            <w:hideMark/>
          </w:tcPr>
          <w:p w:rsidR="00424AFD" w:rsidRPr="00D87B3A" w:rsidRDefault="00424AFD" w:rsidP="00563C30">
            <w:pPr>
              <w:spacing w:after="0" w:line="240" w:lineRule="auto"/>
              <w:rPr>
                <w:rFonts w:cstheme="minorHAnsi"/>
                <w:color w:val="000000" w:themeColor="text1"/>
                <w:sz w:val="20"/>
                <w:szCs w:val="20"/>
              </w:rPr>
            </w:pPr>
          </w:p>
        </w:tc>
        <w:tc>
          <w:tcPr>
            <w:tcW w:w="1635" w:type="dxa"/>
            <w:tcBorders>
              <w:top w:val="single" w:sz="6" w:space="0" w:color="00B0F0"/>
              <w:left w:val="single" w:sz="6" w:space="0" w:color="00B0F0"/>
              <w:bottom w:val="single" w:sz="6" w:space="0" w:color="00B0F0"/>
              <w:right w:val="single" w:sz="6" w:space="0" w:color="00B0F0"/>
            </w:tcBorders>
            <w:shd w:val="clear" w:color="auto" w:fill="B7ECFF"/>
            <w:noWrap/>
            <w:hideMark/>
          </w:tcPr>
          <w:p w:rsidR="00424AFD" w:rsidRPr="00D87B3A" w:rsidRDefault="00424AFD" w:rsidP="00563C30">
            <w:pPr>
              <w:spacing w:after="0" w:line="240" w:lineRule="auto"/>
              <w:jc w:val="right"/>
              <w:rPr>
                <w:rFonts w:cstheme="minorHAnsi"/>
                <w:color w:val="000000" w:themeColor="text1"/>
                <w:sz w:val="20"/>
                <w:szCs w:val="20"/>
              </w:rPr>
            </w:pPr>
          </w:p>
        </w:tc>
        <w:tc>
          <w:tcPr>
            <w:tcW w:w="1635" w:type="dxa"/>
            <w:tcBorders>
              <w:top w:val="single" w:sz="6" w:space="0" w:color="00B0F0"/>
              <w:left w:val="single" w:sz="6" w:space="0" w:color="00B0F0"/>
              <w:bottom w:val="single" w:sz="6" w:space="0" w:color="00B0F0"/>
              <w:right w:val="single" w:sz="6" w:space="0" w:color="00B0F0"/>
            </w:tcBorders>
            <w:shd w:val="clear" w:color="auto" w:fill="B7ECFF"/>
            <w:noWrap/>
            <w:hideMark/>
          </w:tcPr>
          <w:p w:rsidR="00424AFD" w:rsidRPr="00D87B3A" w:rsidRDefault="00424AFD" w:rsidP="00563C30">
            <w:pPr>
              <w:spacing w:after="0" w:line="240" w:lineRule="auto"/>
              <w:jc w:val="right"/>
              <w:rPr>
                <w:rFonts w:cstheme="minorHAnsi"/>
                <w:color w:val="000000" w:themeColor="text1"/>
                <w:sz w:val="20"/>
                <w:szCs w:val="20"/>
              </w:rPr>
            </w:pPr>
          </w:p>
        </w:tc>
        <w:tc>
          <w:tcPr>
            <w:tcW w:w="1635" w:type="dxa"/>
            <w:tcBorders>
              <w:top w:val="single" w:sz="6" w:space="0" w:color="00B0F0"/>
              <w:left w:val="single" w:sz="6" w:space="0" w:color="00B0F0"/>
              <w:bottom w:val="single" w:sz="6" w:space="0" w:color="00B0F0"/>
              <w:right w:val="single" w:sz="6" w:space="0" w:color="00B0F0"/>
            </w:tcBorders>
            <w:shd w:val="clear" w:color="auto" w:fill="B7ECFF"/>
            <w:noWrap/>
            <w:hideMark/>
          </w:tcPr>
          <w:p w:rsidR="00424AFD" w:rsidRPr="00D87B3A" w:rsidRDefault="00424AFD" w:rsidP="00563C30">
            <w:pPr>
              <w:spacing w:after="0" w:line="240" w:lineRule="auto"/>
              <w:jc w:val="right"/>
              <w:rPr>
                <w:rFonts w:cstheme="minorHAnsi"/>
                <w:color w:val="000000" w:themeColor="text1"/>
                <w:sz w:val="20"/>
                <w:szCs w:val="20"/>
              </w:rPr>
            </w:pPr>
          </w:p>
        </w:tc>
        <w:tc>
          <w:tcPr>
            <w:tcW w:w="4167" w:type="dxa"/>
            <w:gridSpan w:val="2"/>
            <w:tcBorders>
              <w:top w:val="single" w:sz="6" w:space="0" w:color="00B0F0"/>
              <w:left w:val="single" w:sz="6" w:space="0" w:color="00B0F0"/>
              <w:bottom w:val="single" w:sz="6" w:space="0" w:color="00B0F0"/>
              <w:right w:val="single" w:sz="6" w:space="0" w:color="00B0F0"/>
            </w:tcBorders>
            <w:shd w:val="clear" w:color="auto" w:fill="B7ECFF"/>
            <w:noWrap/>
            <w:hideMark/>
          </w:tcPr>
          <w:p w:rsidR="00424AFD" w:rsidRPr="00D87B3A" w:rsidRDefault="00424AFD" w:rsidP="00563C30">
            <w:pPr>
              <w:spacing w:after="0" w:line="240" w:lineRule="auto"/>
              <w:rPr>
                <w:rFonts w:cstheme="minorHAnsi"/>
                <w:color w:val="000000" w:themeColor="text1"/>
                <w:sz w:val="20"/>
                <w:szCs w:val="20"/>
              </w:rPr>
            </w:pPr>
          </w:p>
        </w:tc>
      </w:tr>
      <w:tr w:rsidR="00424AFD" w:rsidRPr="00D87B3A" w:rsidTr="00DD6D6D">
        <w:tblPrEx>
          <w:shd w:val="clear" w:color="auto" w:fill="auto"/>
        </w:tblPrEx>
        <w:trPr>
          <w:trHeight w:val="781"/>
        </w:trPr>
        <w:tc>
          <w:tcPr>
            <w:tcW w:w="3119" w:type="dxa"/>
            <w:tcBorders>
              <w:top w:val="single" w:sz="6" w:space="0" w:color="00B0F0"/>
              <w:left w:val="single" w:sz="6" w:space="0" w:color="00B0F0"/>
              <w:bottom w:val="single" w:sz="6" w:space="0" w:color="00B0F0"/>
              <w:right w:val="single" w:sz="6" w:space="0" w:color="00B0F0"/>
            </w:tcBorders>
            <w:shd w:val="clear" w:color="auto" w:fill="auto"/>
          </w:tcPr>
          <w:p w:rsidR="00424AFD" w:rsidRPr="00D87B3A" w:rsidRDefault="00424AFD" w:rsidP="00563C30">
            <w:pPr>
              <w:spacing w:after="0" w:line="240" w:lineRule="auto"/>
              <w:rPr>
                <w:rFonts w:cstheme="minorHAnsi"/>
                <w:color w:val="000000"/>
                <w:sz w:val="20"/>
                <w:szCs w:val="20"/>
              </w:rPr>
            </w:pPr>
            <w:r w:rsidRPr="00D87B3A">
              <w:rPr>
                <w:rFonts w:cstheme="minorHAnsi"/>
                <w:color w:val="000000"/>
                <w:sz w:val="20"/>
                <w:szCs w:val="20"/>
              </w:rPr>
              <w:t>Average house price</w:t>
            </w:r>
          </w:p>
        </w:tc>
        <w:tc>
          <w:tcPr>
            <w:tcW w:w="1276" w:type="dxa"/>
            <w:tcBorders>
              <w:top w:val="single" w:sz="6" w:space="0" w:color="00B0F0"/>
              <w:left w:val="single" w:sz="6" w:space="0" w:color="00B0F0"/>
              <w:bottom w:val="single" w:sz="6" w:space="0" w:color="00B0F0"/>
              <w:right w:val="single" w:sz="6" w:space="0" w:color="00B0F0"/>
            </w:tcBorders>
            <w:shd w:val="clear" w:color="auto" w:fill="auto"/>
            <w:noWrap/>
          </w:tcPr>
          <w:p w:rsidR="00424AFD" w:rsidRPr="00D87B3A" w:rsidRDefault="00424AFD" w:rsidP="00563C30">
            <w:pPr>
              <w:spacing w:after="0" w:line="240" w:lineRule="auto"/>
              <w:rPr>
                <w:rFonts w:cstheme="minorHAnsi"/>
                <w:color w:val="000000"/>
                <w:sz w:val="20"/>
                <w:szCs w:val="20"/>
              </w:rPr>
            </w:pPr>
            <w:r w:rsidRPr="00D87B3A">
              <w:rPr>
                <w:rFonts w:cstheme="minorHAnsi"/>
                <w:color w:val="000000"/>
                <w:sz w:val="20"/>
                <w:szCs w:val="20"/>
              </w:rPr>
              <w:t>Decreasing average house price</w:t>
            </w:r>
          </w:p>
        </w:tc>
        <w:tc>
          <w:tcPr>
            <w:tcW w:w="1134" w:type="dxa"/>
            <w:tcBorders>
              <w:top w:val="single" w:sz="6" w:space="0" w:color="00B0F0"/>
              <w:left w:val="single" w:sz="6" w:space="0" w:color="00B0F0"/>
              <w:bottom w:val="single" w:sz="6" w:space="0" w:color="00B0F0"/>
              <w:right w:val="single" w:sz="6" w:space="0" w:color="00B0F0"/>
            </w:tcBorders>
            <w:shd w:val="clear" w:color="auto" w:fill="auto"/>
            <w:noWrap/>
          </w:tcPr>
          <w:p w:rsidR="00424AFD" w:rsidRPr="00D87B3A" w:rsidRDefault="00424AFD" w:rsidP="00563C30">
            <w:pPr>
              <w:spacing w:after="0" w:line="240" w:lineRule="auto"/>
              <w:rPr>
                <w:rFonts w:cstheme="minorHAnsi"/>
                <w:color w:val="000000"/>
                <w:sz w:val="20"/>
                <w:szCs w:val="20"/>
              </w:rPr>
            </w:pPr>
            <w:r>
              <w:rPr>
                <w:rFonts w:cstheme="minorHAnsi"/>
                <w:color w:val="000000"/>
                <w:sz w:val="20"/>
                <w:szCs w:val="20"/>
              </w:rPr>
              <w:t>Research -I</w:t>
            </w:r>
            <w:r w:rsidRPr="00D87B3A">
              <w:rPr>
                <w:rFonts w:cstheme="minorHAnsi"/>
                <w:color w:val="000000"/>
                <w:sz w:val="20"/>
                <w:szCs w:val="20"/>
              </w:rPr>
              <w:t>nfometrics / QV</w:t>
            </w:r>
          </w:p>
        </w:tc>
        <w:tc>
          <w:tcPr>
            <w:tcW w:w="1635" w:type="dxa"/>
            <w:tcBorders>
              <w:top w:val="single" w:sz="6" w:space="0" w:color="00B0F0"/>
              <w:left w:val="single" w:sz="6" w:space="0" w:color="00B0F0"/>
              <w:bottom w:val="single" w:sz="6" w:space="0" w:color="00B0F0"/>
              <w:right w:val="single" w:sz="6" w:space="0" w:color="00B0F0"/>
            </w:tcBorders>
            <w:shd w:val="clear" w:color="auto" w:fill="auto"/>
          </w:tcPr>
          <w:p w:rsidR="00424AFD" w:rsidRPr="00D87B3A" w:rsidRDefault="00424AFD" w:rsidP="00563C30">
            <w:pPr>
              <w:spacing w:after="0" w:line="240" w:lineRule="auto"/>
              <w:jc w:val="right"/>
              <w:rPr>
                <w:rFonts w:cstheme="minorHAnsi"/>
                <w:color w:val="000000"/>
                <w:sz w:val="20"/>
                <w:szCs w:val="20"/>
              </w:rPr>
            </w:pPr>
            <w:r w:rsidRPr="00D87B3A">
              <w:rPr>
                <w:rFonts w:cstheme="minorHAnsi"/>
                <w:color w:val="000000"/>
                <w:sz w:val="20"/>
                <w:szCs w:val="20"/>
              </w:rPr>
              <w:t>2016- $567,772</w:t>
            </w:r>
          </w:p>
        </w:tc>
        <w:tc>
          <w:tcPr>
            <w:tcW w:w="1635" w:type="dxa"/>
            <w:tcBorders>
              <w:top w:val="single" w:sz="6" w:space="0" w:color="00B0F0"/>
              <w:left w:val="single" w:sz="6" w:space="0" w:color="00B0F0"/>
              <w:bottom w:val="single" w:sz="6" w:space="0" w:color="00B0F0"/>
              <w:right w:val="single" w:sz="6" w:space="0" w:color="00B0F0"/>
            </w:tcBorders>
            <w:shd w:val="clear" w:color="auto" w:fill="auto"/>
          </w:tcPr>
          <w:p w:rsidR="00424AFD" w:rsidRPr="00D87B3A" w:rsidRDefault="00424AFD" w:rsidP="00563C30">
            <w:pPr>
              <w:spacing w:after="0" w:line="240" w:lineRule="auto"/>
              <w:jc w:val="right"/>
              <w:rPr>
                <w:rFonts w:cstheme="minorHAnsi"/>
                <w:color w:val="000000"/>
                <w:sz w:val="20"/>
                <w:szCs w:val="20"/>
              </w:rPr>
            </w:pPr>
            <w:r w:rsidRPr="00D87B3A">
              <w:rPr>
                <w:rFonts w:cstheme="minorHAnsi"/>
                <w:color w:val="000000"/>
                <w:sz w:val="20"/>
                <w:szCs w:val="20"/>
              </w:rPr>
              <w:t>2017 - $681,327</w:t>
            </w:r>
          </w:p>
        </w:tc>
        <w:tc>
          <w:tcPr>
            <w:tcW w:w="1635" w:type="dxa"/>
            <w:tcBorders>
              <w:top w:val="single" w:sz="6" w:space="0" w:color="00B0F0"/>
              <w:left w:val="single" w:sz="6" w:space="0" w:color="00B0F0"/>
              <w:bottom w:val="single" w:sz="6" w:space="0" w:color="00B0F0"/>
              <w:right w:val="single" w:sz="6" w:space="0" w:color="00B0F0"/>
            </w:tcBorders>
            <w:shd w:val="clear" w:color="auto" w:fill="auto"/>
          </w:tcPr>
          <w:p w:rsidR="00424AFD" w:rsidRPr="00D87B3A" w:rsidRDefault="00424AFD" w:rsidP="00563C30">
            <w:pPr>
              <w:spacing w:after="0" w:line="240" w:lineRule="auto"/>
              <w:jc w:val="right"/>
              <w:rPr>
                <w:rFonts w:cstheme="minorHAnsi"/>
                <w:color w:val="000000"/>
                <w:sz w:val="20"/>
                <w:szCs w:val="20"/>
              </w:rPr>
            </w:pPr>
            <w:r w:rsidRPr="00D87B3A">
              <w:rPr>
                <w:rFonts w:cstheme="minorHAnsi"/>
                <w:color w:val="000000"/>
                <w:sz w:val="20"/>
                <w:szCs w:val="20"/>
              </w:rPr>
              <w:t>2018 - $738,874</w:t>
            </w:r>
          </w:p>
        </w:tc>
        <w:tc>
          <w:tcPr>
            <w:tcW w:w="4167" w:type="dxa"/>
            <w:gridSpan w:val="2"/>
            <w:tcBorders>
              <w:top w:val="single" w:sz="6" w:space="0" w:color="00B0F0"/>
              <w:left w:val="single" w:sz="6" w:space="0" w:color="00B0F0"/>
              <w:bottom w:val="single" w:sz="6" w:space="0" w:color="00B0F0"/>
              <w:right w:val="single" w:sz="6" w:space="0" w:color="00B0F0"/>
            </w:tcBorders>
            <w:shd w:val="clear" w:color="auto" w:fill="auto"/>
            <w:noWrap/>
          </w:tcPr>
          <w:p w:rsidR="00424AFD" w:rsidRPr="00D87B3A" w:rsidRDefault="00424AFD" w:rsidP="00563C30">
            <w:pPr>
              <w:spacing w:after="0" w:line="240" w:lineRule="auto"/>
              <w:rPr>
                <w:rFonts w:cstheme="minorHAnsi"/>
                <w:color w:val="000000"/>
                <w:sz w:val="20"/>
                <w:szCs w:val="20"/>
              </w:rPr>
            </w:pPr>
            <w:r w:rsidRPr="00D87B3A">
              <w:rPr>
                <w:rFonts w:cstheme="minorHAnsi"/>
                <w:color w:val="000000"/>
                <w:sz w:val="20"/>
                <w:szCs w:val="20"/>
              </w:rPr>
              <w:t>Negative trend</w:t>
            </w:r>
          </w:p>
        </w:tc>
      </w:tr>
      <w:tr w:rsidR="00424AFD" w:rsidRPr="00D87B3A" w:rsidTr="00DD6D6D">
        <w:tblPrEx>
          <w:shd w:val="clear" w:color="auto" w:fill="auto"/>
        </w:tblPrEx>
        <w:trPr>
          <w:trHeight w:val="994"/>
        </w:trPr>
        <w:tc>
          <w:tcPr>
            <w:tcW w:w="3119" w:type="dxa"/>
            <w:tcBorders>
              <w:top w:val="single" w:sz="6" w:space="0" w:color="00B0F0"/>
              <w:left w:val="single" w:sz="6" w:space="0" w:color="00B0F0"/>
              <w:bottom w:val="single" w:sz="6" w:space="0" w:color="00B0F0"/>
              <w:right w:val="single" w:sz="6" w:space="0" w:color="00B0F0"/>
            </w:tcBorders>
            <w:shd w:val="clear" w:color="auto" w:fill="auto"/>
            <w:hideMark/>
          </w:tcPr>
          <w:p w:rsidR="00424AFD" w:rsidRPr="00D87B3A" w:rsidRDefault="00424AFD" w:rsidP="00563C30">
            <w:pPr>
              <w:spacing w:after="0" w:line="240" w:lineRule="auto"/>
              <w:rPr>
                <w:rFonts w:cstheme="minorHAnsi"/>
                <w:color w:val="000000"/>
                <w:sz w:val="20"/>
                <w:szCs w:val="20"/>
              </w:rPr>
            </w:pPr>
            <w:r w:rsidRPr="00D87B3A">
              <w:rPr>
                <w:rFonts w:cstheme="minorHAnsi"/>
                <w:color w:val="000000"/>
                <w:sz w:val="20"/>
                <w:szCs w:val="20"/>
              </w:rPr>
              <w:t xml:space="preserve">Overall housing affordability </w:t>
            </w:r>
          </w:p>
        </w:tc>
        <w:tc>
          <w:tcPr>
            <w:tcW w:w="1276" w:type="dxa"/>
            <w:tcBorders>
              <w:top w:val="single" w:sz="6" w:space="0" w:color="00B0F0"/>
              <w:left w:val="single" w:sz="6" w:space="0" w:color="00B0F0"/>
              <w:bottom w:val="single" w:sz="6" w:space="0" w:color="00B0F0"/>
              <w:right w:val="single" w:sz="6" w:space="0" w:color="00B0F0"/>
            </w:tcBorders>
            <w:shd w:val="clear" w:color="auto" w:fill="auto"/>
            <w:noWrap/>
            <w:hideMark/>
          </w:tcPr>
          <w:p w:rsidR="00424AFD" w:rsidRPr="00D87B3A" w:rsidRDefault="00424AFD" w:rsidP="00563C30">
            <w:pPr>
              <w:spacing w:after="0" w:line="240" w:lineRule="auto"/>
              <w:rPr>
                <w:rFonts w:cstheme="minorHAnsi"/>
                <w:color w:val="000000"/>
                <w:sz w:val="20"/>
                <w:szCs w:val="20"/>
              </w:rPr>
            </w:pPr>
            <w:r w:rsidRPr="00D87B3A">
              <w:rPr>
                <w:rFonts w:cstheme="minorHAnsi"/>
                <w:color w:val="000000"/>
                <w:sz w:val="20"/>
                <w:szCs w:val="20"/>
              </w:rPr>
              <w:t>Increasing</w:t>
            </w:r>
          </w:p>
        </w:tc>
        <w:tc>
          <w:tcPr>
            <w:tcW w:w="1134" w:type="dxa"/>
            <w:tcBorders>
              <w:top w:val="single" w:sz="6" w:space="0" w:color="00B0F0"/>
              <w:left w:val="single" w:sz="6" w:space="0" w:color="00B0F0"/>
              <w:bottom w:val="single" w:sz="6" w:space="0" w:color="00B0F0"/>
              <w:right w:val="single" w:sz="6" w:space="0" w:color="00B0F0"/>
            </w:tcBorders>
            <w:shd w:val="clear" w:color="auto" w:fill="auto"/>
            <w:noWrap/>
            <w:hideMark/>
          </w:tcPr>
          <w:p w:rsidR="00424AFD" w:rsidRPr="00D87B3A" w:rsidRDefault="00424AFD" w:rsidP="00563C30">
            <w:pPr>
              <w:spacing w:after="0" w:line="240" w:lineRule="auto"/>
              <w:rPr>
                <w:rFonts w:cstheme="minorHAnsi"/>
                <w:color w:val="000000"/>
                <w:sz w:val="20"/>
                <w:szCs w:val="20"/>
              </w:rPr>
            </w:pPr>
            <w:r w:rsidRPr="00D87B3A">
              <w:rPr>
                <w:rFonts w:cstheme="minorHAnsi"/>
                <w:color w:val="000000"/>
                <w:sz w:val="20"/>
                <w:szCs w:val="20"/>
              </w:rPr>
              <w:t>Research - Infometrics/ QV</w:t>
            </w:r>
          </w:p>
        </w:tc>
        <w:tc>
          <w:tcPr>
            <w:tcW w:w="1635" w:type="dxa"/>
            <w:tcBorders>
              <w:top w:val="single" w:sz="6" w:space="0" w:color="00B0F0"/>
              <w:left w:val="single" w:sz="6" w:space="0" w:color="00B0F0"/>
              <w:bottom w:val="single" w:sz="6" w:space="0" w:color="00B0F0"/>
              <w:right w:val="single" w:sz="6" w:space="0" w:color="00B0F0"/>
            </w:tcBorders>
            <w:shd w:val="clear" w:color="auto" w:fill="auto"/>
            <w:hideMark/>
          </w:tcPr>
          <w:p w:rsidR="00424AFD" w:rsidRDefault="00424AFD" w:rsidP="00563C30">
            <w:pPr>
              <w:spacing w:after="0" w:line="240" w:lineRule="auto"/>
              <w:jc w:val="right"/>
              <w:rPr>
                <w:rFonts w:cstheme="minorHAnsi"/>
                <w:color w:val="000000"/>
                <w:sz w:val="20"/>
                <w:szCs w:val="20"/>
              </w:rPr>
            </w:pPr>
            <w:r w:rsidRPr="00D87B3A">
              <w:rPr>
                <w:rFonts w:cstheme="minorHAnsi"/>
                <w:color w:val="000000"/>
                <w:sz w:val="20"/>
                <w:szCs w:val="20"/>
              </w:rPr>
              <w:t xml:space="preserve">2016 - Wellington City (7.83); </w:t>
            </w:r>
          </w:p>
          <w:p w:rsidR="00424AFD" w:rsidRPr="00D87B3A" w:rsidRDefault="00424AFD" w:rsidP="00563C30">
            <w:pPr>
              <w:spacing w:after="0" w:line="240" w:lineRule="auto"/>
              <w:jc w:val="right"/>
              <w:rPr>
                <w:rFonts w:cstheme="minorHAnsi"/>
                <w:color w:val="000000"/>
                <w:sz w:val="20"/>
                <w:szCs w:val="20"/>
              </w:rPr>
            </w:pPr>
            <w:r w:rsidRPr="00D87B3A">
              <w:rPr>
                <w:rFonts w:cstheme="minorHAnsi"/>
                <w:color w:val="000000"/>
                <w:sz w:val="20"/>
                <w:szCs w:val="20"/>
              </w:rPr>
              <w:t>NZ (9.3)</w:t>
            </w:r>
          </w:p>
        </w:tc>
        <w:tc>
          <w:tcPr>
            <w:tcW w:w="1635" w:type="dxa"/>
            <w:tcBorders>
              <w:top w:val="single" w:sz="6" w:space="0" w:color="00B0F0"/>
              <w:left w:val="single" w:sz="6" w:space="0" w:color="00B0F0"/>
              <w:bottom w:val="single" w:sz="6" w:space="0" w:color="00B0F0"/>
              <w:right w:val="single" w:sz="6" w:space="0" w:color="00B0F0"/>
            </w:tcBorders>
            <w:shd w:val="clear" w:color="auto" w:fill="auto"/>
            <w:hideMark/>
          </w:tcPr>
          <w:p w:rsidR="00424AFD" w:rsidRDefault="00424AFD" w:rsidP="00563C30">
            <w:pPr>
              <w:spacing w:after="0" w:line="240" w:lineRule="auto"/>
              <w:jc w:val="right"/>
              <w:rPr>
                <w:rFonts w:cstheme="minorHAnsi"/>
                <w:color w:val="000000"/>
                <w:sz w:val="20"/>
                <w:szCs w:val="20"/>
              </w:rPr>
            </w:pPr>
            <w:r w:rsidRPr="00D87B3A">
              <w:rPr>
                <w:rFonts w:cstheme="minorHAnsi"/>
                <w:color w:val="000000"/>
                <w:sz w:val="20"/>
                <w:szCs w:val="20"/>
              </w:rPr>
              <w:t xml:space="preserve">2017 - Wellington City (9.27); </w:t>
            </w:r>
          </w:p>
          <w:p w:rsidR="00424AFD" w:rsidRPr="00D87B3A" w:rsidRDefault="00424AFD" w:rsidP="00563C30">
            <w:pPr>
              <w:spacing w:after="0" w:line="240" w:lineRule="auto"/>
              <w:jc w:val="right"/>
              <w:rPr>
                <w:rFonts w:cstheme="minorHAnsi"/>
                <w:color w:val="000000"/>
                <w:sz w:val="20"/>
                <w:szCs w:val="20"/>
              </w:rPr>
            </w:pPr>
            <w:r w:rsidRPr="00D87B3A">
              <w:rPr>
                <w:rFonts w:cstheme="minorHAnsi"/>
                <w:color w:val="000000"/>
                <w:sz w:val="20"/>
                <w:szCs w:val="20"/>
              </w:rPr>
              <w:t>NZ (10.32)</w:t>
            </w:r>
          </w:p>
        </w:tc>
        <w:tc>
          <w:tcPr>
            <w:tcW w:w="1635" w:type="dxa"/>
            <w:tcBorders>
              <w:top w:val="single" w:sz="6" w:space="0" w:color="00B0F0"/>
              <w:left w:val="single" w:sz="6" w:space="0" w:color="00B0F0"/>
              <w:bottom w:val="single" w:sz="6" w:space="0" w:color="00B0F0"/>
              <w:right w:val="single" w:sz="6" w:space="0" w:color="00B0F0"/>
            </w:tcBorders>
            <w:shd w:val="clear" w:color="auto" w:fill="auto"/>
            <w:hideMark/>
          </w:tcPr>
          <w:p w:rsidR="00424AFD" w:rsidRDefault="00424AFD" w:rsidP="00563C30">
            <w:pPr>
              <w:spacing w:after="0" w:line="240" w:lineRule="auto"/>
              <w:jc w:val="right"/>
              <w:rPr>
                <w:rFonts w:cstheme="minorHAnsi"/>
                <w:color w:val="000000"/>
                <w:sz w:val="20"/>
                <w:szCs w:val="20"/>
              </w:rPr>
            </w:pPr>
            <w:r w:rsidRPr="00D87B3A">
              <w:rPr>
                <w:rFonts w:cstheme="minorHAnsi"/>
                <w:color w:val="000000"/>
                <w:sz w:val="20"/>
                <w:szCs w:val="20"/>
              </w:rPr>
              <w:t xml:space="preserve">2018 - Wellington City (9.76); </w:t>
            </w:r>
          </w:p>
          <w:p w:rsidR="00424AFD" w:rsidRPr="00D87B3A" w:rsidRDefault="00424AFD" w:rsidP="00563C30">
            <w:pPr>
              <w:spacing w:after="0" w:line="240" w:lineRule="auto"/>
              <w:jc w:val="right"/>
              <w:rPr>
                <w:rFonts w:cstheme="minorHAnsi"/>
                <w:color w:val="000000"/>
                <w:sz w:val="20"/>
                <w:szCs w:val="20"/>
              </w:rPr>
            </w:pPr>
            <w:r w:rsidRPr="00D87B3A">
              <w:rPr>
                <w:rFonts w:cstheme="minorHAnsi"/>
                <w:color w:val="000000"/>
                <w:sz w:val="20"/>
                <w:szCs w:val="20"/>
              </w:rPr>
              <w:t xml:space="preserve">NZ (10.5). </w:t>
            </w:r>
          </w:p>
        </w:tc>
        <w:tc>
          <w:tcPr>
            <w:tcW w:w="4167" w:type="dxa"/>
            <w:gridSpan w:val="2"/>
            <w:tcBorders>
              <w:top w:val="single" w:sz="6" w:space="0" w:color="00B0F0"/>
              <w:left w:val="single" w:sz="6" w:space="0" w:color="00B0F0"/>
              <w:bottom w:val="single" w:sz="6" w:space="0" w:color="00B0F0"/>
              <w:right w:val="single" w:sz="6" w:space="0" w:color="00B0F0"/>
            </w:tcBorders>
            <w:shd w:val="clear" w:color="auto" w:fill="auto"/>
            <w:noWrap/>
            <w:hideMark/>
          </w:tcPr>
          <w:p w:rsidR="00424AFD" w:rsidRPr="00D87B3A" w:rsidRDefault="00424AFD" w:rsidP="00563C30">
            <w:pPr>
              <w:spacing w:after="0" w:line="240" w:lineRule="auto"/>
              <w:rPr>
                <w:rFonts w:cstheme="minorHAnsi"/>
                <w:color w:val="000000"/>
                <w:sz w:val="20"/>
                <w:szCs w:val="20"/>
              </w:rPr>
            </w:pPr>
            <w:r>
              <w:rPr>
                <w:rFonts w:cstheme="minorHAnsi"/>
                <w:color w:val="000000"/>
                <w:sz w:val="20"/>
                <w:szCs w:val="20"/>
              </w:rPr>
              <w:t xml:space="preserve">Negative trend. </w:t>
            </w:r>
            <w:r w:rsidRPr="00D87B3A">
              <w:rPr>
                <w:rFonts w:cstheme="minorHAnsi"/>
                <w:color w:val="000000"/>
                <w:sz w:val="20"/>
                <w:szCs w:val="20"/>
              </w:rPr>
              <w:t xml:space="preserve">Based on Housing Affordability index </w:t>
            </w:r>
          </w:p>
        </w:tc>
      </w:tr>
      <w:tr w:rsidR="00424AFD" w:rsidRPr="00D87B3A" w:rsidTr="00DD6D6D">
        <w:tblPrEx>
          <w:shd w:val="clear" w:color="auto" w:fill="auto"/>
        </w:tblPrEx>
        <w:trPr>
          <w:trHeight w:val="965"/>
        </w:trPr>
        <w:tc>
          <w:tcPr>
            <w:tcW w:w="3119" w:type="dxa"/>
            <w:tcBorders>
              <w:top w:val="single" w:sz="6" w:space="0" w:color="00B0F0"/>
              <w:left w:val="single" w:sz="6" w:space="0" w:color="00B0F0"/>
              <w:bottom w:val="single" w:sz="6" w:space="0" w:color="00B0F0"/>
              <w:right w:val="single" w:sz="6" w:space="0" w:color="00B0F0"/>
            </w:tcBorders>
            <w:shd w:val="clear" w:color="auto" w:fill="auto"/>
            <w:hideMark/>
          </w:tcPr>
          <w:p w:rsidR="00424AFD" w:rsidRPr="00D87B3A" w:rsidRDefault="00424AFD" w:rsidP="00563C30">
            <w:pPr>
              <w:spacing w:after="0" w:line="240" w:lineRule="auto"/>
              <w:rPr>
                <w:rFonts w:cstheme="minorHAnsi"/>
                <w:color w:val="000000"/>
                <w:sz w:val="20"/>
                <w:szCs w:val="20"/>
              </w:rPr>
            </w:pPr>
            <w:r w:rsidRPr="00D87B3A">
              <w:rPr>
                <w:rFonts w:cstheme="minorHAnsi"/>
                <w:color w:val="000000"/>
                <w:sz w:val="20"/>
                <w:szCs w:val="20"/>
              </w:rPr>
              <w:t>Number of building consents</w:t>
            </w:r>
          </w:p>
        </w:tc>
        <w:tc>
          <w:tcPr>
            <w:tcW w:w="1276" w:type="dxa"/>
            <w:tcBorders>
              <w:top w:val="single" w:sz="6" w:space="0" w:color="00B0F0"/>
              <w:left w:val="single" w:sz="6" w:space="0" w:color="00B0F0"/>
              <w:bottom w:val="single" w:sz="6" w:space="0" w:color="00B0F0"/>
              <w:right w:val="single" w:sz="6" w:space="0" w:color="00B0F0"/>
            </w:tcBorders>
            <w:shd w:val="clear" w:color="auto" w:fill="auto"/>
            <w:noWrap/>
            <w:hideMark/>
          </w:tcPr>
          <w:p w:rsidR="00424AFD" w:rsidRPr="00D87B3A" w:rsidRDefault="00424AFD" w:rsidP="00563C30">
            <w:pPr>
              <w:spacing w:after="0" w:line="240" w:lineRule="auto"/>
              <w:rPr>
                <w:rFonts w:cstheme="minorHAnsi"/>
                <w:color w:val="000000"/>
                <w:sz w:val="20"/>
                <w:szCs w:val="20"/>
              </w:rPr>
            </w:pPr>
            <w:r w:rsidRPr="00D87B3A">
              <w:rPr>
                <w:rFonts w:cstheme="minorHAnsi"/>
                <w:color w:val="000000"/>
                <w:sz w:val="20"/>
                <w:szCs w:val="20"/>
              </w:rPr>
              <w:t>Increasing</w:t>
            </w:r>
          </w:p>
        </w:tc>
        <w:tc>
          <w:tcPr>
            <w:tcW w:w="1134" w:type="dxa"/>
            <w:tcBorders>
              <w:top w:val="single" w:sz="6" w:space="0" w:color="00B0F0"/>
              <w:left w:val="single" w:sz="6" w:space="0" w:color="00B0F0"/>
              <w:bottom w:val="single" w:sz="6" w:space="0" w:color="00B0F0"/>
              <w:right w:val="single" w:sz="6" w:space="0" w:color="00B0F0"/>
            </w:tcBorders>
            <w:shd w:val="clear" w:color="auto" w:fill="auto"/>
            <w:noWrap/>
            <w:hideMark/>
          </w:tcPr>
          <w:p w:rsidR="00424AFD" w:rsidRPr="00D87B3A" w:rsidRDefault="00424AFD" w:rsidP="00563C30">
            <w:pPr>
              <w:spacing w:after="0" w:line="240" w:lineRule="auto"/>
              <w:rPr>
                <w:rFonts w:cstheme="minorHAnsi"/>
                <w:color w:val="000000"/>
                <w:sz w:val="20"/>
                <w:szCs w:val="20"/>
              </w:rPr>
            </w:pPr>
            <w:r w:rsidRPr="00D87B3A">
              <w:rPr>
                <w:rFonts w:cstheme="minorHAnsi"/>
                <w:color w:val="000000"/>
                <w:sz w:val="20"/>
                <w:szCs w:val="20"/>
              </w:rPr>
              <w:t>Research - Infometrics / QV</w:t>
            </w:r>
          </w:p>
        </w:tc>
        <w:tc>
          <w:tcPr>
            <w:tcW w:w="1635" w:type="dxa"/>
            <w:tcBorders>
              <w:top w:val="single" w:sz="6" w:space="0" w:color="00B0F0"/>
              <w:left w:val="single" w:sz="6" w:space="0" w:color="00B0F0"/>
              <w:bottom w:val="single" w:sz="6" w:space="0" w:color="00B0F0"/>
              <w:right w:val="single" w:sz="6" w:space="0" w:color="00B0F0"/>
            </w:tcBorders>
            <w:shd w:val="clear" w:color="auto" w:fill="auto"/>
            <w:hideMark/>
          </w:tcPr>
          <w:p w:rsidR="00424AFD" w:rsidRPr="00D87B3A" w:rsidRDefault="00424AFD" w:rsidP="00563C30">
            <w:pPr>
              <w:spacing w:after="0" w:line="240" w:lineRule="auto"/>
              <w:jc w:val="right"/>
              <w:rPr>
                <w:rFonts w:cstheme="minorHAnsi"/>
                <w:color w:val="000000"/>
                <w:sz w:val="20"/>
                <w:szCs w:val="20"/>
              </w:rPr>
            </w:pPr>
            <w:r w:rsidRPr="00D87B3A">
              <w:rPr>
                <w:rFonts w:cstheme="minorHAnsi"/>
                <w:color w:val="000000"/>
                <w:sz w:val="20"/>
                <w:szCs w:val="20"/>
              </w:rPr>
              <w:t>New residential consents: 869. New &amp; altered: 2210</w:t>
            </w:r>
          </w:p>
        </w:tc>
        <w:tc>
          <w:tcPr>
            <w:tcW w:w="1635" w:type="dxa"/>
            <w:tcBorders>
              <w:top w:val="single" w:sz="6" w:space="0" w:color="00B0F0"/>
              <w:left w:val="single" w:sz="6" w:space="0" w:color="00B0F0"/>
              <w:bottom w:val="single" w:sz="6" w:space="0" w:color="00B0F0"/>
              <w:right w:val="single" w:sz="6" w:space="0" w:color="00B0F0"/>
            </w:tcBorders>
            <w:shd w:val="clear" w:color="auto" w:fill="auto"/>
            <w:hideMark/>
          </w:tcPr>
          <w:p w:rsidR="00424AFD" w:rsidRPr="00D87B3A" w:rsidRDefault="00424AFD" w:rsidP="00563C30">
            <w:pPr>
              <w:spacing w:after="0" w:line="240" w:lineRule="auto"/>
              <w:jc w:val="right"/>
              <w:rPr>
                <w:rFonts w:cstheme="minorHAnsi"/>
                <w:color w:val="000000"/>
                <w:sz w:val="20"/>
                <w:szCs w:val="20"/>
              </w:rPr>
            </w:pPr>
            <w:r w:rsidRPr="00D87B3A">
              <w:rPr>
                <w:rFonts w:cstheme="minorHAnsi"/>
                <w:color w:val="000000"/>
                <w:sz w:val="20"/>
                <w:szCs w:val="20"/>
              </w:rPr>
              <w:t>New residential consents: 1136. New &amp; altered: 2438</w:t>
            </w:r>
          </w:p>
        </w:tc>
        <w:tc>
          <w:tcPr>
            <w:tcW w:w="1635" w:type="dxa"/>
            <w:tcBorders>
              <w:top w:val="single" w:sz="6" w:space="0" w:color="00B0F0"/>
              <w:left w:val="single" w:sz="6" w:space="0" w:color="00B0F0"/>
              <w:bottom w:val="single" w:sz="6" w:space="0" w:color="00B0F0"/>
              <w:right w:val="single" w:sz="6" w:space="0" w:color="00B0F0"/>
            </w:tcBorders>
            <w:shd w:val="clear" w:color="auto" w:fill="auto"/>
            <w:hideMark/>
          </w:tcPr>
          <w:p w:rsidR="00424AFD" w:rsidRPr="00D87B3A" w:rsidRDefault="00424AFD" w:rsidP="00563C30">
            <w:pPr>
              <w:spacing w:after="0" w:line="240" w:lineRule="auto"/>
              <w:jc w:val="right"/>
              <w:rPr>
                <w:rFonts w:cstheme="minorHAnsi"/>
                <w:color w:val="000000"/>
                <w:sz w:val="20"/>
                <w:szCs w:val="20"/>
              </w:rPr>
            </w:pPr>
            <w:r w:rsidRPr="00D87B3A">
              <w:rPr>
                <w:rFonts w:cstheme="minorHAnsi"/>
                <w:color w:val="000000"/>
                <w:sz w:val="20"/>
                <w:szCs w:val="20"/>
              </w:rPr>
              <w:t xml:space="preserve">New Residential Consents: 978. New and Altered: 2204. </w:t>
            </w:r>
          </w:p>
        </w:tc>
        <w:tc>
          <w:tcPr>
            <w:tcW w:w="4167" w:type="dxa"/>
            <w:gridSpan w:val="2"/>
            <w:tcBorders>
              <w:top w:val="single" w:sz="6" w:space="0" w:color="00B0F0"/>
              <w:left w:val="single" w:sz="6" w:space="0" w:color="00B0F0"/>
              <w:bottom w:val="single" w:sz="6" w:space="0" w:color="00B0F0"/>
              <w:right w:val="single" w:sz="6" w:space="0" w:color="00B0F0"/>
            </w:tcBorders>
            <w:shd w:val="clear" w:color="auto" w:fill="auto"/>
            <w:noWrap/>
            <w:hideMark/>
          </w:tcPr>
          <w:p w:rsidR="00424AFD" w:rsidRPr="00D87B3A" w:rsidRDefault="00DD6D6D" w:rsidP="00563C30">
            <w:pPr>
              <w:spacing w:after="0" w:line="240" w:lineRule="auto"/>
              <w:rPr>
                <w:rFonts w:cstheme="minorHAnsi"/>
                <w:color w:val="000000"/>
                <w:sz w:val="20"/>
                <w:szCs w:val="20"/>
              </w:rPr>
            </w:pPr>
            <w:r>
              <w:rPr>
                <w:rFonts w:cstheme="minorHAnsi"/>
                <w:color w:val="000000"/>
                <w:sz w:val="20"/>
                <w:szCs w:val="20"/>
              </w:rPr>
              <w:t xml:space="preserve">No trend. </w:t>
            </w:r>
            <w:r w:rsidR="00424AFD" w:rsidRPr="00D87B3A">
              <w:rPr>
                <w:rFonts w:cstheme="minorHAnsi"/>
                <w:color w:val="000000"/>
                <w:sz w:val="20"/>
                <w:szCs w:val="20"/>
              </w:rPr>
              <w:t xml:space="preserve">"Residential" defined as combination of houses, apartments, town houses, units and other. </w:t>
            </w:r>
            <w:r w:rsidR="001B50F9">
              <w:rPr>
                <w:rFonts w:cstheme="minorHAnsi"/>
                <w:color w:val="000000"/>
                <w:sz w:val="20"/>
                <w:szCs w:val="20"/>
              </w:rPr>
              <w:t>These consent numbers only relate to Wellington City.</w:t>
            </w:r>
          </w:p>
        </w:tc>
      </w:tr>
      <w:tr w:rsidR="00424AFD" w:rsidRPr="00D87B3A" w:rsidTr="00DD6D6D">
        <w:tblPrEx>
          <w:shd w:val="clear" w:color="auto" w:fill="auto"/>
        </w:tblPrEx>
        <w:trPr>
          <w:trHeight w:val="655"/>
        </w:trPr>
        <w:tc>
          <w:tcPr>
            <w:tcW w:w="3119" w:type="dxa"/>
            <w:tcBorders>
              <w:top w:val="single" w:sz="6" w:space="0" w:color="00B0F0"/>
              <w:left w:val="single" w:sz="6" w:space="0" w:color="00B0F0"/>
              <w:bottom w:val="single" w:sz="6" w:space="0" w:color="00B0F0"/>
              <w:right w:val="single" w:sz="6" w:space="0" w:color="00B0F0"/>
            </w:tcBorders>
            <w:shd w:val="clear" w:color="auto" w:fill="auto"/>
            <w:hideMark/>
          </w:tcPr>
          <w:p w:rsidR="00424AFD" w:rsidRPr="00D87B3A" w:rsidRDefault="00424AFD" w:rsidP="00563C30">
            <w:pPr>
              <w:spacing w:after="0" w:line="240" w:lineRule="auto"/>
              <w:rPr>
                <w:rFonts w:cstheme="minorHAnsi"/>
                <w:color w:val="000000"/>
                <w:sz w:val="20"/>
                <w:szCs w:val="20"/>
              </w:rPr>
            </w:pPr>
            <w:r w:rsidRPr="00D87B3A">
              <w:rPr>
                <w:rFonts w:cstheme="minorHAnsi"/>
                <w:color w:val="000000"/>
                <w:sz w:val="20"/>
                <w:szCs w:val="20"/>
              </w:rPr>
              <w:t>Value of residential building consents</w:t>
            </w:r>
          </w:p>
        </w:tc>
        <w:tc>
          <w:tcPr>
            <w:tcW w:w="1276" w:type="dxa"/>
            <w:tcBorders>
              <w:top w:val="single" w:sz="6" w:space="0" w:color="00B0F0"/>
              <w:left w:val="single" w:sz="6" w:space="0" w:color="00B0F0"/>
              <w:bottom w:val="single" w:sz="6" w:space="0" w:color="00B0F0"/>
              <w:right w:val="single" w:sz="6" w:space="0" w:color="00B0F0"/>
            </w:tcBorders>
            <w:shd w:val="clear" w:color="auto" w:fill="auto"/>
            <w:noWrap/>
            <w:hideMark/>
          </w:tcPr>
          <w:p w:rsidR="00424AFD" w:rsidRPr="00D87B3A" w:rsidRDefault="00424AFD" w:rsidP="00563C30">
            <w:pPr>
              <w:spacing w:after="0" w:line="240" w:lineRule="auto"/>
              <w:rPr>
                <w:rFonts w:cstheme="minorHAnsi"/>
                <w:color w:val="000000"/>
                <w:sz w:val="20"/>
                <w:szCs w:val="20"/>
              </w:rPr>
            </w:pPr>
            <w:r w:rsidRPr="00D87B3A">
              <w:rPr>
                <w:rFonts w:cstheme="minorHAnsi"/>
                <w:color w:val="000000"/>
                <w:sz w:val="20"/>
                <w:szCs w:val="20"/>
              </w:rPr>
              <w:t>Increasing</w:t>
            </w:r>
          </w:p>
        </w:tc>
        <w:tc>
          <w:tcPr>
            <w:tcW w:w="1134" w:type="dxa"/>
            <w:tcBorders>
              <w:top w:val="single" w:sz="6" w:space="0" w:color="00B0F0"/>
              <w:left w:val="single" w:sz="6" w:space="0" w:color="00B0F0"/>
              <w:bottom w:val="single" w:sz="6" w:space="0" w:color="00B0F0"/>
              <w:right w:val="single" w:sz="6" w:space="0" w:color="00B0F0"/>
            </w:tcBorders>
            <w:shd w:val="clear" w:color="auto" w:fill="auto"/>
            <w:noWrap/>
            <w:hideMark/>
          </w:tcPr>
          <w:p w:rsidR="00424AFD" w:rsidRPr="00D87B3A" w:rsidRDefault="00424AFD" w:rsidP="00563C30">
            <w:pPr>
              <w:spacing w:after="0" w:line="240" w:lineRule="auto"/>
              <w:rPr>
                <w:rFonts w:cstheme="minorHAnsi"/>
                <w:color w:val="000000"/>
                <w:sz w:val="20"/>
                <w:szCs w:val="20"/>
              </w:rPr>
            </w:pPr>
            <w:r w:rsidRPr="00D87B3A">
              <w:rPr>
                <w:rFonts w:cstheme="minorHAnsi"/>
                <w:color w:val="000000"/>
                <w:sz w:val="20"/>
                <w:szCs w:val="20"/>
              </w:rPr>
              <w:t>Research - Infometrics / QV</w:t>
            </w:r>
          </w:p>
        </w:tc>
        <w:tc>
          <w:tcPr>
            <w:tcW w:w="1635" w:type="dxa"/>
            <w:tcBorders>
              <w:top w:val="single" w:sz="6" w:space="0" w:color="00B0F0"/>
              <w:left w:val="single" w:sz="6" w:space="0" w:color="00B0F0"/>
              <w:bottom w:val="single" w:sz="6" w:space="0" w:color="00B0F0"/>
              <w:right w:val="single" w:sz="6" w:space="0" w:color="00B0F0"/>
            </w:tcBorders>
            <w:shd w:val="clear" w:color="auto" w:fill="auto"/>
          </w:tcPr>
          <w:p w:rsidR="00424AFD" w:rsidRPr="00D87B3A" w:rsidRDefault="00424AFD" w:rsidP="00563C30">
            <w:pPr>
              <w:spacing w:after="0" w:line="240" w:lineRule="auto"/>
              <w:jc w:val="right"/>
              <w:rPr>
                <w:rFonts w:cstheme="minorHAnsi"/>
                <w:color w:val="000000"/>
                <w:sz w:val="20"/>
                <w:szCs w:val="20"/>
              </w:rPr>
            </w:pPr>
            <w:r w:rsidRPr="00D87B3A">
              <w:rPr>
                <w:rFonts w:cstheme="minorHAnsi"/>
                <w:color w:val="000000"/>
                <w:sz w:val="20"/>
                <w:szCs w:val="20"/>
              </w:rPr>
              <w:t>$369m</w:t>
            </w:r>
          </w:p>
        </w:tc>
        <w:tc>
          <w:tcPr>
            <w:tcW w:w="1635" w:type="dxa"/>
            <w:tcBorders>
              <w:top w:val="single" w:sz="6" w:space="0" w:color="00B0F0"/>
              <w:left w:val="single" w:sz="6" w:space="0" w:color="00B0F0"/>
              <w:bottom w:val="single" w:sz="6" w:space="0" w:color="00B0F0"/>
              <w:right w:val="single" w:sz="6" w:space="0" w:color="00B0F0"/>
            </w:tcBorders>
            <w:shd w:val="clear" w:color="auto" w:fill="auto"/>
          </w:tcPr>
          <w:p w:rsidR="00424AFD" w:rsidRPr="00D87B3A" w:rsidRDefault="00424AFD" w:rsidP="00563C30">
            <w:pPr>
              <w:spacing w:after="0" w:line="240" w:lineRule="auto"/>
              <w:jc w:val="right"/>
              <w:rPr>
                <w:rFonts w:cstheme="minorHAnsi"/>
                <w:color w:val="000000"/>
                <w:sz w:val="20"/>
                <w:szCs w:val="20"/>
              </w:rPr>
            </w:pPr>
            <w:r w:rsidRPr="00D87B3A">
              <w:rPr>
                <w:rFonts w:cstheme="minorHAnsi"/>
                <w:color w:val="000000"/>
                <w:sz w:val="20"/>
                <w:szCs w:val="20"/>
              </w:rPr>
              <w:t>$444m</w:t>
            </w:r>
          </w:p>
        </w:tc>
        <w:tc>
          <w:tcPr>
            <w:tcW w:w="1635" w:type="dxa"/>
            <w:tcBorders>
              <w:top w:val="single" w:sz="6" w:space="0" w:color="00B0F0"/>
              <w:left w:val="single" w:sz="6" w:space="0" w:color="00B0F0"/>
              <w:bottom w:val="single" w:sz="6" w:space="0" w:color="00B0F0"/>
              <w:right w:val="single" w:sz="6" w:space="0" w:color="00B0F0"/>
            </w:tcBorders>
            <w:shd w:val="clear" w:color="auto" w:fill="auto"/>
          </w:tcPr>
          <w:p w:rsidR="00424AFD" w:rsidRPr="00D87B3A" w:rsidRDefault="00424AFD" w:rsidP="00563C30">
            <w:pPr>
              <w:spacing w:after="0" w:line="240" w:lineRule="auto"/>
              <w:jc w:val="right"/>
              <w:rPr>
                <w:rFonts w:cstheme="minorHAnsi"/>
                <w:color w:val="000000"/>
                <w:sz w:val="20"/>
                <w:szCs w:val="20"/>
              </w:rPr>
            </w:pPr>
            <w:r w:rsidRPr="00D87B3A">
              <w:rPr>
                <w:rFonts w:cstheme="minorHAnsi"/>
                <w:color w:val="000000"/>
                <w:sz w:val="20"/>
                <w:szCs w:val="20"/>
              </w:rPr>
              <w:t>$419m</w:t>
            </w:r>
          </w:p>
        </w:tc>
        <w:tc>
          <w:tcPr>
            <w:tcW w:w="4167" w:type="dxa"/>
            <w:gridSpan w:val="2"/>
            <w:tcBorders>
              <w:top w:val="single" w:sz="6" w:space="0" w:color="00B0F0"/>
              <w:left w:val="single" w:sz="6" w:space="0" w:color="00B0F0"/>
              <w:bottom w:val="single" w:sz="6" w:space="0" w:color="00B0F0"/>
              <w:right w:val="single" w:sz="6" w:space="0" w:color="00B0F0"/>
            </w:tcBorders>
            <w:shd w:val="clear" w:color="auto" w:fill="auto"/>
            <w:noWrap/>
          </w:tcPr>
          <w:p w:rsidR="00424AFD" w:rsidRPr="00D87B3A" w:rsidRDefault="00DD6D6D" w:rsidP="00563C30">
            <w:pPr>
              <w:spacing w:after="0" w:line="240" w:lineRule="auto"/>
              <w:rPr>
                <w:rFonts w:cstheme="minorHAnsi"/>
                <w:color w:val="000000"/>
                <w:sz w:val="20"/>
                <w:szCs w:val="20"/>
              </w:rPr>
            </w:pPr>
            <w:r>
              <w:rPr>
                <w:rFonts w:cstheme="minorHAnsi"/>
                <w:color w:val="000000"/>
                <w:sz w:val="20"/>
                <w:szCs w:val="20"/>
              </w:rPr>
              <w:t>No trend.</w:t>
            </w:r>
          </w:p>
        </w:tc>
      </w:tr>
      <w:tr w:rsidR="00424AFD" w:rsidRPr="00D87B3A" w:rsidTr="00DD6D6D">
        <w:tblPrEx>
          <w:shd w:val="clear" w:color="auto" w:fill="auto"/>
        </w:tblPrEx>
        <w:trPr>
          <w:trHeight w:val="81"/>
        </w:trPr>
        <w:tc>
          <w:tcPr>
            <w:tcW w:w="3119" w:type="dxa"/>
            <w:tcBorders>
              <w:top w:val="single" w:sz="6" w:space="0" w:color="00B0F0"/>
              <w:left w:val="single" w:sz="6" w:space="0" w:color="00B0F0"/>
              <w:bottom w:val="single" w:sz="6" w:space="0" w:color="00B0F0"/>
              <w:right w:val="single" w:sz="6" w:space="0" w:color="00B0F0"/>
            </w:tcBorders>
            <w:shd w:val="clear" w:color="auto" w:fill="auto"/>
            <w:hideMark/>
          </w:tcPr>
          <w:p w:rsidR="00424AFD" w:rsidRPr="00D87B3A" w:rsidRDefault="00424AFD" w:rsidP="00563C30">
            <w:pPr>
              <w:spacing w:after="0" w:line="240" w:lineRule="auto"/>
              <w:rPr>
                <w:rFonts w:cstheme="minorHAnsi"/>
                <w:color w:val="000000"/>
                <w:sz w:val="20"/>
                <w:szCs w:val="20"/>
              </w:rPr>
            </w:pPr>
            <w:r w:rsidRPr="00D87B3A">
              <w:rPr>
                <w:rFonts w:cstheme="minorHAnsi"/>
                <w:color w:val="000000"/>
                <w:sz w:val="20"/>
                <w:szCs w:val="20"/>
              </w:rPr>
              <w:t>Value of commercial building consents</w:t>
            </w:r>
          </w:p>
        </w:tc>
        <w:tc>
          <w:tcPr>
            <w:tcW w:w="1276" w:type="dxa"/>
            <w:tcBorders>
              <w:top w:val="single" w:sz="6" w:space="0" w:color="00B0F0"/>
              <w:left w:val="single" w:sz="6" w:space="0" w:color="00B0F0"/>
              <w:bottom w:val="single" w:sz="6" w:space="0" w:color="00B0F0"/>
              <w:right w:val="single" w:sz="6" w:space="0" w:color="00B0F0"/>
            </w:tcBorders>
            <w:shd w:val="clear" w:color="auto" w:fill="auto"/>
            <w:noWrap/>
            <w:hideMark/>
          </w:tcPr>
          <w:p w:rsidR="00424AFD" w:rsidRPr="00D87B3A" w:rsidRDefault="00424AFD" w:rsidP="00563C30">
            <w:pPr>
              <w:spacing w:after="0" w:line="240" w:lineRule="auto"/>
              <w:rPr>
                <w:rFonts w:cstheme="minorHAnsi"/>
                <w:color w:val="000000"/>
                <w:sz w:val="20"/>
                <w:szCs w:val="20"/>
              </w:rPr>
            </w:pPr>
            <w:r w:rsidRPr="00D87B3A">
              <w:rPr>
                <w:rFonts w:cstheme="minorHAnsi"/>
                <w:color w:val="000000"/>
                <w:sz w:val="20"/>
                <w:szCs w:val="20"/>
              </w:rPr>
              <w:t>Increasing</w:t>
            </w:r>
          </w:p>
        </w:tc>
        <w:tc>
          <w:tcPr>
            <w:tcW w:w="1134" w:type="dxa"/>
            <w:tcBorders>
              <w:top w:val="single" w:sz="6" w:space="0" w:color="00B0F0"/>
              <w:left w:val="single" w:sz="6" w:space="0" w:color="00B0F0"/>
              <w:bottom w:val="single" w:sz="6" w:space="0" w:color="00B0F0"/>
              <w:right w:val="single" w:sz="6" w:space="0" w:color="00B0F0"/>
            </w:tcBorders>
            <w:shd w:val="clear" w:color="auto" w:fill="auto"/>
            <w:noWrap/>
            <w:hideMark/>
          </w:tcPr>
          <w:p w:rsidR="00424AFD" w:rsidRPr="00D87B3A" w:rsidRDefault="00424AFD" w:rsidP="00563C30">
            <w:pPr>
              <w:spacing w:after="0" w:line="240" w:lineRule="auto"/>
              <w:rPr>
                <w:rFonts w:cstheme="minorHAnsi"/>
                <w:color w:val="000000"/>
                <w:sz w:val="20"/>
                <w:szCs w:val="20"/>
              </w:rPr>
            </w:pPr>
            <w:r w:rsidRPr="00D87B3A">
              <w:rPr>
                <w:rFonts w:cstheme="minorHAnsi"/>
                <w:color w:val="000000"/>
                <w:sz w:val="20"/>
                <w:szCs w:val="20"/>
              </w:rPr>
              <w:t>Research - Infometrics / QV</w:t>
            </w:r>
          </w:p>
        </w:tc>
        <w:tc>
          <w:tcPr>
            <w:tcW w:w="1635" w:type="dxa"/>
            <w:tcBorders>
              <w:top w:val="single" w:sz="6" w:space="0" w:color="00B0F0"/>
              <w:left w:val="single" w:sz="6" w:space="0" w:color="00B0F0"/>
              <w:bottom w:val="single" w:sz="6" w:space="0" w:color="00B0F0"/>
              <w:right w:val="single" w:sz="6" w:space="0" w:color="00B0F0"/>
            </w:tcBorders>
            <w:shd w:val="clear" w:color="auto" w:fill="auto"/>
          </w:tcPr>
          <w:p w:rsidR="00424AFD" w:rsidRPr="00D87B3A" w:rsidRDefault="00424AFD" w:rsidP="00563C30">
            <w:pPr>
              <w:spacing w:after="0" w:line="240" w:lineRule="auto"/>
              <w:jc w:val="right"/>
              <w:rPr>
                <w:rFonts w:cstheme="minorHAnsi"/>
                <w:color w:val="000000"/>
                <w:sz w:val="20"/>
                <w:szCs w:val="20"/>
              </w:rPr>
            </w:pPr>
            <w:r w:rsidRPr="00D87B3A">
              <w:rPr>
                <w:rFonts w:cstheme="minorHAnsi"/>
                <w:color w:val="000000"/>
                <w:sz w:val="20"/>
                <w:szCs w:val="20"/>
              </w:rPr>
              <w:t>$469m</w:t>
            </w:r>
          </w:p>
        </w:tc>
        <w:tc>
          <w:tcPr>
            <w:tcW w:w="1635" w:type="dxa"/>
            <w:tcBorders>
              <w:top w:val="single" w:sz="6" w:space="0" w:color="00B0F0"/>
              <w:left w:val="single" w:sz="6" w:space="0" w:color="00B0F0"/>
              <w:bottom w:val="single" w:sz="6" w:space="0" w:color="00B0F0"/>
              <w:right w:val="single" w:sz="6" w:space="0" w:color="00B0F0"/>
            </w:tcBorders>
            <w:shd w:val="clear" w:color="auto" w:fill="auto"/>
          </w:tcPr>
          <w:p w:rsidR="00424AFD" w:rsidRPr="00D87B3A" w:rsidRDefault="00424AFD" w:rsidP="00563C30">
            <w:pPr>
              <w:spacing w:after="0" w:line="240" w:lineRule="auto"/>
              <w:jc w:val="right"/>
              <w:rPr>
                <w:rFonts w:cstheme="minorHAnsi"/>
                <w:color w:val="000000"/>
                <w:sz w:val="20"/>
                <w:szCs w:val="20"/>
              </w:rPr>
            </w:pPr>
            <w:r w:rsidRPr="00D87B3A">
              <w:rPr>
                <w:rFonts w:cstheme="minorHAnsi"/>
                <w:color w:val="000000"/>
                <w:sz w:val="20"/>
                <w:szCs w:val="20"/>
              </w:rPr>
              <w:t>$275m</w:t>
            </w:r>
          </w:p>
        </w:tc>
        <w:tc>
          <w:tcPr>
            <w:tcW w:w="1635" w:type="dxa"/>
            <w:tcBorders>
              <w:top w:val="single" w:sz="6" w:space="0" w:color="00B0F0"/>
              <w:left w:val="single" w:sz="6" w:space="0" w:color="00B0F0"/>
              <w:bottom w:val="single" w:sz="6" w:space="0" w:color="00B0F0"/>
              <w:right w:val="single" w:sz="6" w:space="0" w:color="00B0F0"/>
            </w:tcBorders>
            <w:shd w:val="clear" w:color="auto" w:fill="auto"/>
            <w:noWrap/>
          </w:tcPr>
          <w:p w:rsidR="00424AFD" w:rsidRPr="00D87B3A" w:rsidRDefault="00424AFD" w:rsidP="00563C30">
            <w:pPr>
              <w:spacing w:after="0" w:line="240" w:lineRule="auto"/>
              <w:jc w:val="right"/>
              <w:rPr>
                <w:rFonts w:cstheme="minorHAnsi"/>
                <w:color w:val="000000"/>
                <w:sz w:val="20"/>
                <w:szCs w:val="20"/>
              </w:rPr>
            </w:pPr>
            <w:r w:rsidRPr="00D87B3A">
              <w:rPr>
                <w:rFonts w:cstheme="minorHAnsi"/>
                <w:color w:val="000000"/>
                <w:sz w:val="20"/>
                <w:szCs w:val="20"/>
              </w:rPr>
              <w:t>$367m</w:t>
            </w:r>
          </w:p>
        </w:tc>
        <w:tc>
          <w:tcPr>
            <w:tcW w:w="4167" w:type="dxa"/>
            <w:gridSpan w:val="2"/>
            <w:tcBorders>
              <w:top w:val="single" w:sz="6" w:space="0" w:color="00B0F0"/>
              <w:left w:val="single" w:sz="6" w:space="0" w:color="00B0F0"/>
              <w:bottom w:val="single" w:sz="6" w:space="0" w:color="00B0F0"/>
              <w:right w:val="single" w:sz="6" w:space="0" w:color="00B0F0"/>
            </w:tcBorders>
            <w:shd w:val="clear" w:color="auto" w:fill="auto"/>
            <w:noWrap/>
          </w:tcPr>
          <w:p w:rsidR="00424AFD" w:rsidRPr="00D87B3A" w:rsidRDefault="00DD6D6D" w:rsidP="00563C30">
            <w:pPr>
              <w:spacing w:after="0" w:line="240" w:lineRule="auto"/>
              <w:rPr>
                <w:rFonts w:cstheme="minorHAnsi"/>
                <w:color w:val="000000"/>
                <w:sz w:val="20"/>
                <w:szCs w:val="20"/>
              </w:rPr>
            </w:pPr>
            <w:r>
              <w:rPr>
                <w:rFonts w:cstheme="minorHAnsi"/>
                <w:color w:val="000000"/>
                <w:sz w:val="20"/>
                <w:szCs w:val="20"/>
              </w:rPr>
              <w:t>No trend.</w:t>
            </w:r>
          </w:p>
        </w:tc>
      </w:tr>
      <w:tr w:rsidR="00424AFD" w:rsidRPr="00D87B3A" w:rsidTr="00DD6D6D">
        <w:tblPrEx>
          <w:shd w:val="clear" w:color="auto" w:fill="auto"/>
        </w:tblPrEx>
        <w:trPr>
          <w:trHeight w:val="1218"/>
        </w:trPr>
        <w:tc>
          <w:tcPr>
            <w:tcW w:w="3119" w:type="dxa"/>
            <w:tcBorders>
              <w:top w:val="single" w:sz="6" w:space="0" w:color="00B0F0"/>
              <w:left w:val="single" w:sz="6" w:space="0" w:color="00B0F0"/>
              <w:bottom w:val="single" w:sz="6" w:space="0" w:color="00B0F0"/>
              <w:right w:val="single" w:sz="6" w:space="0" w:color="00B0F0"/>
            </w:tcBorders>
            <w:shd w:val="clear" w:color="auto" w:fill="auto"/>
            <w:hideMark/>
          </w:tcPr>
          <w:p w:rsidR="00424AFD" w:rsidRPr="00D87B3A" w:rsidRDefault="00424AFD" w:rsidP="00563C30">
            <w:pPr>
              <w:spacing w:after="0" w:line="240" w:lineRule="auto"/>
              <w:rPr>
                <w:rFonts w:cstheme="minorHAnsi"/>
                <w:color w:val="000000"/>
                <w:sz w:val="20"/>
                <w:szCs w:val="20"/>
              </w:rPr>
            </w:pPr>
            <w:r w:rsidRPr="00D87B3A">
              <w:rPr>
                <w:rFonts w:cstheme="minorHAnsi"/>
                <w:color w:val="000000"/>
                <w:sz w:val="20"/>
                <w:szCs w:val="20"/>
              </w:rPr>
              <w:t>Healthy housing stock – residents who report their home is insulated (floor and ceiling)</w:t>
            </w:r>
          </w:p>
        </w:tc>
        <w:tc>
          <w:tcPr>
            <w:tcW w:w="1276" w:type="dxa"/>
            <w:tcBorders>
              <w:top w:val="single" w:sz="6" w:space="0" w:color="00B0F0"/>
              <w:left w:val="single" w:sz="6" w:space="0" w:color="00B0F0"/>
              <w:bottom w:val="single" w:sz="6" w:space="0" w:color="00B0F0"/>
              <w:right w:val="single" w:sz="6" w:space="0" w:color="00B0F0"/>
            </w:tcBorders>
            <w:shd w:val="clear" w:color="auto" w:fill="auto"/>
            <w:noWrap/>
            <w:hideMark/>
          </w:tcPr>
          <w:p w:rsidR="00424AFD" w:rsidRPr="00D87B3A" w:rsidRDefault="00424AFD" w:rsidP="00563C30">
            <w:pPr>
              <w:spacing w:after="0" w:line="240" w:lineRule="auto"/>
              <w:rPr>
                <w:rFonts w:cstheme="minorHAnsi"/>
                <w:color w:val="000000"/>
                <w:sz w:val="20"/>
                <w:szCs w:val="20"/>
              </w:rPr>
            </w:pPr>
            <w:r w:rsidRPr="00D87B3A">
              <w:rPr>
                <w:rFonts w:cstheme="minorHAnsi"/>
                <w:color w:val="000000"/>
                <w:sz w:val="20"/>
                <w:szCs w:val="20"/>
              </w:rPr>
              <w:t>Increasing</w:t>
            </w:r>
          </w:p>
        </w:tc>
        <w:tc>
          <w:tcPr>
            <w:tcW w:w="1134" w:type="dxa"/>
            <w:tcBorders>
              <w:top w:val="single" w:sz="6" w:space="0" w:color="00B0F0"/>
              <w:left w:val="single" w:sz="6" w:space="0" w:color="00B0F0"/>
              <w:bottom w:val="single" w:sz="6" w:space="0" w:color="00B0F0"/>
              <w:right w:val="single" w:sz="6" w:space="0" w:color="00B0F0"/>
            </w:tcBorders>
            <w:shd w:val="clear" w:color="auto" w:fill="auto"/>
            <w:noWrap/>
            <w:hideMark/>
          </w:tcPr>
          <w:p w:rsidR="00424AFD" w:rsidRPr="00D87B3A" w:rsidRDefault="00424AFD" w:rsidP="00563C30">
            <w:pPr>
              <w:spacing w:after="0" w:line="240" w:lineRule="auto"/>
              <w:rPr>
                <w:rFonts w:cstheme="minorHAnsi"/>
                <w:color w:val="000000"/>
                <w:sz w:val="20"/>
                <w:szCs w:val="20"/>
              </w:rPr>
            </w:pPr>
            <w:r w:rsidRPr="00D87B3A">
              <w:rPr>
                <w:rFonts w:cstheme="minorHAnsi"/>
                <w:color w:val="000000"/>
                <w:sz w:val="20"/>
                <w:szCs w:val="20"/>
              </w:rPr>
              <w:t>WCC RMS 2019</w:t>
            </w:r>
          </w:p>
        </w:tc>
        <w:tc>
          <w:tcPr>
            <w:tcW w:w="1635" w:type="dxa"/>
            <w:tcBorders>
              <w:top w:val="single" w:sz="6" w:space="0" w:color="00B0F0"/>
              <w:left w:val="single" w:sz="6" w:space="0" w:color="00B0F0"/>
              <w:bottom w:val="single" w:sz="6" w:space="0" w:color="00B0F0"/>
              <w:right w:val="single" w:sz="6" w:space="0" w:color="00B0F0"/>
            </w:tcBorders>
            <w:shd w:val="clear" w:color="auto" w:fill="auto"/>
            <w:noWrap/>
            <w:hideMark/>
          </w:tcPr>
          <w:p w:rsidR="00424AFD" w:rsidRPr="00D87B3A" w:rsidRDefault="00424AFD" w:rsidP="00563C30">
            <w:pPr>
              <w:spacing w:after="0" w:line="240" w:lineRule="auto"/>
              <w:jc w:val="right"/>
              <w:rPr>
                <w:rFonts w:cstheme="minorHAnsi"/>
                <w:color w:val="000000"/>
                <w:sz w:val="20"/>
                <w:szCs w:val="20"/>
              </w:rPr>
            </w:pPr>
            <w:r w:rsidRPr="00D87B3A">
              <w:rPr>
                <w:rFonts w:cstheme="minorHAnsi"/>
                <w:color w:val="000000"/>
                <w:sz w:val="20"/>
                <w:szCs w:val="20"/>
              </w:rPr>
              <w:t>Adequate insulation in: ceiling (66%); underfloor (46%)</w:t>
            </w:r>
          </w:p>
        </w:tc>
        <w:tc>
          <w:tcPr>
            <w:tcW w:w="1635" w:type="dxa"/>
            <w:tcBorders>
              <w:top w:val="single" w:sz="6" w:space="0" w:color="00B0F0"/>
              <w:left w:val="single" w:sz="6" w:space="0" w:color="00B0F0"/>
              <w:bottom w:val="single" w:sz="6" w:space="0" w:color="00B0F0"/>
              <w:right w:val="single" w:sz="6" w:space="0" w:color="00B0F0"/>
            </w:tcBorders>
            <w:shd w:val="clear" w:color="auto" w:fill="auto"/>
            <w:noWrap/>
            <w:hideMark/>
          </w:tcPr>
          <w:p w:rsidR="00424AFD" w:rsidRPr="00D87B3A" w:rsidRDefault="00424AFD" w:rsidP="00563C30">
            <w:pPr>
              <w:spacing w:after="0" w:line="240" w:lineRule="auto"/>
              <w:jc w:val="right"/>
              <w:rPr>
                <w:rFonts w:cstheme="minorHAnsi"/>
                <w:color w:val="000000"/>
                <w:sz w:val="20"/>
                <w:szCs w:val="20"/>
              </w:rPr>
            </w:pPr>
            <w:r w:rsidRPr="00D87B3A">
              <w:rPr>
                <w:rFonts w:cstheme="minorHAnsi"/>
                <w:color w:val="000000"/>
                <w:sz w:val="20"/>
                <w:szCs w:val="20"/>
              </w:rPr>
              <w:t>Adequate insulation in: ceiling (66%); underfloor (45%)</w:t>
            </w:r>
          </w:p>
        </w:tc>
        <w:tc>
          <w:tcPr>
            <w:tcW w:w="1635" w:type="dxa"/>
            <w:tcBorders>
              <w:top w:val="single" w:sz="6" w:space="0" w:color="00B0F0"/>
              <w:left w:val="single" w:sz="6" w:space="0" w:color="00B0F0"/>
              <w:bottom w:val="single" w:sz="6" w:space="0" w:color="00B0F0"/>
              <w:right w:val="single" w:sz="6" w:space="0" w:color="00B0F0"/>
            </w:tcBorders>
            <w:shd w:val="clear" w:color="auto" w:fill="auto"/>
            <w:hideMark/>
          </w:tcPr>
          <w:p w:rsidR="00424AFD" w:rsidRPr="00D87B3A" w:rsidRDefault="00424AFD" w:rsidP="00563C30">
            <w:pPr>
              <w:spacing w:after="0" w:line="240" w:lineRule="auto"/>
              <w:jc w:val="right"/>
              <w:rPr>
                <w:rFonts w:cstheme="minorHAnsi"/>
                <w:color w:val="000000"/>
                <w:sz w:val="20"/>
                <w:szCs w:val="20"/>
              </w:rPr>
            </w:pPr>
            <w:r w:rsidRPr="00D87B3A">
              <w:rPr>
                <w:rFonts w:cstheme="minorHAnsi"/>
                <w:color w:val="000000"/>
                <w:sz w:val="20"/>
                <w:szCs w:val="20"/>
              </w:rPr>
              <w:t>Adequate insulation in: ceiling (71%); underfloor (54%)</w:t>
            </w:r>
          </w:p>
        </w:tc>
        <w:tc>
          <w:tcPr>
            <w:tcW w:w="4167" w:type="dxa"/>
            <w:gridSpan w:val="2"/>
            <w:tcBorders>
              <w:top w:val="single" w:sz="6" w:space="0" w:color="00B0F0"/>
              <w:left w:val="single" w:sz="6" w:space="0" w:color="00B0F0"/>
              <w:bottom w:val="single" w:sz="6" w:space="0" w:color="00B0F0"/>
              <w:right w:val="single" w:sz="6" w:space="0" w:color="00B0F0"/>
            </w:tcBorders>
            <w:shd w:val="clear" w:color="auto" w:fill="auto"/>
            <w:noWrap/>
            <w:hideMark/>
          </w:tcPr>
          <w:p w:rsidR="00424AFD" w:rsidRPr="00D87B3A" w:rsidRDefault="00424AFD" w:rsidP="00563C30">
            <w:pPr>
              <w:spacing w:after="0" w:line="240" w:lineRule="auto"/>
              <w:rPr>
                <w:rFonts w:cstheme="minorHAnsi"/>
                <w:color w:val="000000"/>
                <w:sz w:val="20"/>
                <w:szCs w:val="20"/>
              </w:rPr>
            </w:pPr>
            <w:r w:rsidRPr="00424AFD">
              <w:rPr>
                <w:rFonts w:eastAsia="Times New Roman" w:cstheme="minorHAnsi"/>
                <w:sz w:val="20"/>
                <w:szCs w:val="20"/>
                <w:lang w:eastAsia="en-NZ"/>
              </w:rPr>
              <w:t>Positive trend.</w:t>
            </w:r>
            <w:r w:rsidRPr="00424AFD">
              <w:rPr>
                <w:rFonts w:cstheme="minorHAnsi"/>
                <w:sz w:val="20"/>
                <w:szCs w:val="20"/>
              </w:rPr>
              <w:t xml:space="preserve"> See supplementary tables</w:t>
            </w:r>
          </w:p>
        </w:tc>
      </w:tr>
      <w:tr w:rsidR="00424AFD" w:rsidRPr="00D87B3A" w:rsidTr="00DD6D6D">
        <w:tblPrEx>
          <w:shd w:val="clear" w:color="auto" w:fill="auto"/>
        </w:tblPrEx>
        <w:trPr>
          <w:trHeight w:val="852"/>
        </w:trPr>
        <w:tc>
          <w:tcPr>
            <w:tcW w:w="3119" w:type="dxa"/>
            <w:tcBorders>
              <w:top w:val="single" w:sz="6" w:space="0" w:color="00B0F0"/>
              <w:left w:val="single" w:sz="6" w:space="0" w:color="00B0F0"/>
              <w:bottom w:val="single" w:sz="6" w:space="0" w:color="00B0F0"/>
              <w:right w:val="single" w:sz="6" w:space="0" w:color="00B0F0"/>
            </w:tcBorders>
            <w:shd w:val="clear" w:color="auto" w:fill="auto"/>
            <w:hideMark/>
          </w:tcPr>
          <w:p w:rsidR="00424AFD" w:rsidRPr="00D87B3A" w:rsidRDefault="00424AFD" w:rsidP="00563C30">
            <w:pPr>
              <w:spacing w:after="0" w:line="240" w:lineRule="auto"/>
              <w:rPr>
                <w:rFonts w:cstheme="minorHAnsi"/>
                <w:color w:val="000000"/>
                <w:sz w:val="20"/>
                <w:szCs w:val="20"/>
              </w:rPr>
            </w:pPr>
            <w:r w:rsidRPr="00D87B3A">
              <w:rPr>
                <w:rFonts w:cstheme="minorHAnsi"/>
                <w:color w:val="000000"/>
                <w:sz w:val="20"/>
                <w:szCs w:val="20"/>
              </w:rPr>
              <w:t>Healthy housing stock – residents who report their home is warm and dry</w:t>
            </w:r>
          </w:p>
        </w:tc>
        <w:tc>
          <w:tcPr>
            <w:tcW w:w="1276" w:type="dxa"/>
            <w:tcBorders>
              <w:top w:val="single" w:sz="6" w:space="0" w:color="00B0F0"/>
              <w:left w:val="single" w:sz="6" w:space="0" w:color="00B0F0"/>
              <w:bottom w:val="single" w:sz="6" w:space="0" w:color="00B0F0"/>
              <w:right w:val="single" w:sz="6" w:space="0" w:color="00B0F0"/>
            </w:tcBorders>
            <w:shd w:val="clear" w:color="auto" w:fill="auto"/>
            <w:noWrap/>
            <w:hideMark/>
          </w:tcPr>
          <w:p w:rsidR="00424AFD" w:rsidRPr="00D87B3A" w:rsidRDefault="00424AFD" w:rsidP="00563C30">
            <w:pPr>
              <w:spacing w:after="0" w:line="240" w:lineRule="auto"/>
              <w:rPr>
                <w:rFonts w:cstheme="minorHAnsi"/>
                <w:color w:val="000000"/>
                <w:sz w:val="20"/>
                <w:szCs w:val="20"/>
              </w:rPr>
            </w:pPr>
            <w:r w:rsidRPr="00D87B3A">
              <w:rPr>
                <w:rFonts w:cstheme="minorHAnsi"/>
                <w:color w:val="000000"/>
                <w:sz w:val="20"/>
                <w:szCs w:val="20"/>
              </w:rPr>
              <w:t>Increasing</w:t>
            </w:r>
          </w:p>
        </w:tc>
        <w:tc>
          <w:tcPr>
            <w:tcW w:w="1134" w:type="dxa"/>
            <w:tcBorders>
              <w:top w:val="single" w:sz="6" w:space="0" w:color="00B0F0"/>
              <w:left w:val="single" w:sz="6" w:space="0" w:color="00B0F0"/>
              <w:bottom w:val="single" w:sz="6" w:space="0" w:color="00B0F0"/>
              <w:right w:val="single" w:sz="6" w:space="0" w:color="00B0F0"/>
            </w:tcBorders>
            <w:shd w:val="clear" w:color="auto" w:fill="auto"/>
            <w:noWrap/>
            <w:hideMark/>
          </w:tcPr>
          <w:p w:rsidR="00424AFD" w:rsidRPr="00D87B3A" w:rsidRDefault="00424AFD" w:rsidP="00563C30">
            <w:pPr>
              <w:spacing w:after="0" w:line="240" w:lineRule="auto"/>
              <w:rPr>
                <w:rFonts w:cstheme="minorHAnsi"/>
                <w:color w:val="000000"/>
                <w:sz w:val="20"/>
                <w:szCs w:val="20"/>
              </w:rPr>
            </w:pPr>
            <w:r w:rsidRPr="00D87B3A">
              <w:rPr>
                <w:rFonts w:cstheme="minorHAnsi"/>
                <w:color w:val="000000"/>
                <w:sz w:val="20"/>
                <w:szCs w:val="20"/>
              </w:rPr>
              <w:t>WCC RMS 2019</w:t>
            </w:r>
          </w:p>
        </w:tc>
        <w:tc>
          <w:tcPr>
            <w:tcW w:w="1635" w:type="dxa"/>
            <w:tcBorders>
              <w:top w:val="single" w:sz="6" w:space="0" w:color="00B0F0"/>
              <w:left w:val="single" w:sz="6" w:space="0" w:color="00B0F0"/>
              <w:bottom w:val="single" w:sz="6" w:space="0" w:color="00B0F0"/>
              <w:right w:val="single" w:sz="6" w:space="0" w:color="00B0F0"/>
            </w:tcBorders>
            <w:shd w:val="clear" w:color="auto" w:fill="auto"/>
            <w:noWrap/>
            <w:hideMark/>
          </w:tcPr>
          <w:p w:rsidR="00424AFD" w:rsidRPr="00D87B3A" w:rsidRDefault="00424AFD" w:rsidP="00563C30">
            <w:pPr>
              <w:spacing w:after="0" w:line="240" w:lineRule="auto"/>
              <w:jc w:val="right"/>
              <w:rPr>
                <w:rFonts w:cstheme="minorHAnsi"/>
                <w:color w:val="000000"/>
                <w:sz w:val="20"/>
                <w:szCs w:val="20"/>
              </w:rPr>
            </w:pPr>
            <w:r w:rsidRPr="00D87B3A">
              <w:rPr>
                <w:rFonts w:cstheme="minorHAnsi"/>
                <w:color w:val="000000"/>
                <w:sz w:val="20"/>
                <w:szCs w:val="20"/>
              </w:rPr>
              <w:t>Never or rarely: Cold (31%); Damp (58%);</w:t>
            </w:r>
          </w:p>
        </w:tc>
        <w:tc>
          <w:tcPr>
            <w:tcW w:w="1635" w:type="dxa"/>
            <w:tcBorders>
              <w:top w:val="single" w:sz="6" w:space="0" w:color="00B0F0"/>
              <w:left w:val="single" w:sz="6" w:space="0" w:color="00B0F0"/>
              <w:bottom w:val="single" w:sz="6" w:space="0" w:color="00B0F0"/>
              <w:right w:val="single" w:sz="6" w:space="0" w:color="00B0F0"/>
            </w:tcBorders>
            <w:shd w:val="clear" w:color="auto" w:fill="auto"/>
            <w:noWrap/>
            <w:hideMark/>
          </w:tcPr>
          <w:p w:rsidR="00424AFD" w:rsidRPr="00D87B3A" w:rsidRDefault="00424AFD" w:rsidP="00563C30">
            <w:pPr>
              <w:spacing w:after="0" w:line="240" w:lineRule="auto"/>
              <w:jc w:val="right"/>
              <w:rPr>
                <w:rFonts w:cstheme="minorHAnsi"/>
                <w:color w:val="000000"/>
                <w:sz w:val="20"/>
                <w:szCs w:val="20"/>
              </w:rPr>
            </w:pPr>
            <w:r w:rsidRPr="00D87B3A">
              <w:rPr>
                <w:rFonts w:cstheme="minorHAnsi"/>
                <w:color w:val="000000"/>
                <w:sz w:val="20"/>
                <w:szCs w:val="20"/>
              </w:rPr>
              <w:t>Never or rarely: Cold (3</w:t>
            </w:r>
            <w:r>
              <w:rPr>
                <w:rFonts w:cstheme="minorHAnsi"/>
                <w:color w:val="000000"/>
                <w:sz w:val="20"/>
                <w:szCs w:val="20"/>
              </w:rPr>
              <w:t>6</w:t>
            </w:r>
            <w:r w:rsidRPr="00D87B3A">
              <w:rPr>
                <w:rFonts w:cstheme="minorHAnsi"/>
                <w:color w:val="000000"/>
                <w:sz w:val="20"/>
                <w:szCs w:val="20"/>
              </w:rPr>
              <w:t>%); Damp (62%);</w:t>
            </w:r>
          </w:p>
        </w:tc>
        <w:tc>
          <w:tcPr>
            <w:tcW w:w="1635" w:type="dxa"/>
            <w:tcBorders>
              <w:top w:val="single" w:sz="6" w:space="0" w:color="00B0F0"/>
              <w:left w:val="single" w:sz="6" w:space="0" w:color="00B0F0"/>
              <w:bottom w:val="single" w:sz="6" w:space="0" w:color="00B0F0"/>
              <w:right w:val="single" w:sz="6" w:space="0" w:color="00B0F0"/>
            </w:tcBorders>
            <w:shd w:val="clear" w:color="auto" w:fill="auto"/>
            <w:hideMark/>
          </w:tcPr>
          <w:p w:rsidR="00424AFD" w:rsidRPr="00D87B3A" w:rsidRDefault="00424AFD" w:rsidP="00563C30">
            <w:pPr>
              <w:spacing w:after="0" w:line="240" w:lineRule="auto"/>
              <w:jc w:val="right"/>
              <w:rPr>
                <w:rFonts w:cstheme="minorHAnsi"/>
                <w:color w:val="000000"/>
                <w:sz w:val="20"/>
                <w:szCs w:val="20"/>
              </w:rPr>
            </w:pPr>
            <w:r w:rsidRPr="00D87B3A">
              <w:rPr>
                <w:rFonts w:cstheme="minorHAnsi"/>
                <w:color w:val="000000"/>
                <w:sz w:val="20"/>
                <w:szCs w:val="20"/>
              </w:rPr>
              <w:t xml:space="preserve">Never or rarely: Cold (47%); Damp (70%); </w:t>
            </w:r>
          </w:p>
        </w:tc>
        <w:tc>
          <w:tcPr>
            <w:tcW w:w="4167" w:type="dxa"/>
            <w:gridSpan w:val="2"/>
            <w:tcBorders>
              <w:top w:val="single" w:sz="6" w:space="0" w:color="00B0F0"/>
              <w:left w:val="single" w:sz="6" w:space="0" w:color="00B0F0"/>
              <w:bottom w:val="single" w:sz="6" w:space="0" w:color="00B0F0"/>
              <w:right w:val="single" w:sz="6" w:space="0" w:color="00B0F0"/>
            </w:tcBorders>
            <w:shd w:val="clear" w:color="auto" w:fill="auto"/>
            <w:noWrap/>
            <w:hideMark/>
          </w:tcPr>
          <w:p w:rsidR="00424AFD" w:rsidRPr="00D87B3A" w:rsidRDefault="00424AFD" w:rsidP="00563C30">
            <w:pPr>
              <w:spacing w:after="0" w:line="240" w:lineRule="auto"/>
              <w:rPr>
                <w:rFonts w:cstheme="minorHAnsi"/>
                <w:color w:val="000000"/>
                <w:sz w:val="20"/>
                <w:szCs w:val="20"/>
              </w:rPr>
            </w:pPr>
            <w:r w:rsidRPr="00424AFD">
              <w:rPr>
                <w:rFonts w:eastAsia="Times New Roman" w:cstheme="minorHAnsi"/>
                <w:sz w:val="20"/>
                <w:szCs w:val="20"/>
                <w:lang w:eastAsia="en-NZ"/>
              </w:rPr>
              <w:t xml:space="preserve">Positive trend. </w:t>
            </w:r>
            <w:r w:rsidRPr="00424AFD">
              <w:rPr>
                <w:rFonts w:cstheme="minorHAnsi"/>
                <w:sz w:val="20"/>
                <w:szCs w:val="20"/>
              </w:rPr>
              <w:t>See supplementary tables</w:t>
            </w:r>
          </w:p>
        </w:tc>
      </w:tr>
      <w:tr w:rsidR="00424AFD" w:rsidRPr="00D87B3A" w:rsidTr="00DD6D6D">
        <w:tblPrEx>
          <w:shd w:val="clear" w:color="auto" w:fill="auto"/>
        </w:tblPrEx>
        <w:trPr>
          <w:trHeight w:val="255"/>
        </w:trPr>
        <w:tc>
          <w:tcPr>
            <w:tcW w:w="3119" w:type="dxa"/>
            <w:tcBorders>
              <w:top w:val="single" w:sz="6" w:space="0" w:color="00B0F0"/>
              <w:left w:val="single" w:sz="6" w:space="0" w:color="00B0F0"/>
              <w:bottom w:val="single" w:sz="6" w:space="0" w:color="00B0F0"/>
              <w:right w:val="single" w:sz="6" w:space="0" w:color="00B0F0"/>
            </w:tcBorders>
            <w:shd w:val="clear" w:color="auto" w:fill="B7ECFF"/>
            <w:hideMark/>
          </w:tcPr>
          <w:p w:rsidR="00424AFD" w:rsidRPr="00D87B3A" w:rsidRDefault="00424AFD" w:rsidP="00563C30">
            <w:pPr>
              <w:spacing w:after="0" w:line="240" w:lineRule="auto"/>
              <w:rPr>
                <w:rFonts w:cstheme="minorHAnsi"/>
                <w:b/>
                <w:bCs/>
                <w:i/>
                <w:iCs/>
                <w:color w:val="000000" w:themeColor="text1"/>
                <w:sz w:val="20"/>
                <w:szCs w:val="20"/>
              </w:rPr>
            </w:pPr>
            <w:r w:rsidRPr="00D87B3A">
              <w:rPr>
                <w:rFonts w:cstheme="minorHAnsi"/>
                <w:b/>
                <w:bCs/>
                <w:i/>
                <w:iCs/>
                <w:color w:val="000000" w:themeColor="text1"/>
                <w:sz w:val="20"/>
                <w:szCs w:val="20"/>
              </w:rPr>
              <w:t xml:space="preserve">Growth and density </w:t>
            </w:r>
          </w:p>
        </w:tc>
        <w:tc>
          <w:tcPr>
            <w:tcW w:w="1276" w:type="dxa"/>
            <w:tcBorders>
              <w:top w:val="single" w:sz="6" w:space="0" w:color="00B0F0"/>
              <w:left w:val="single" w:sz="6" w:space="0" w:color="00B0F0"/>
              <w:bottom w:val="single" w:sz="6" w:space="0" w:color="00B0F0"/>
              <w:right w:val="single" w:sz="6" w:space="0" w:color="00B0F0"/>
            </w:tcBorders>
            <w:shd w:val="clear" w:color="auto" w:fill="B7ECFF"/>
            <w:hideMark/>
          </w:tcPr>
          <w:p w:rsidR="00424AFD" w:rsidRPr="00D87B3A" w:rsidRDefault="00424AFD" w:rsidP="00563C30">
            <w:pPr>
              <w:spacing w:after="0" w:line="240" w:lineRule="auto"/>
              <w:rPr>
                <w:rFonts w:cstheme="minorHAnsi"/>
                <w:i/>
                <w:iCs/>
                <w:color w:val="000000" w:themeColor="text1"/>
                <w:sz w:val="20"/>
                <w:szCs w:val="20"/>
              </w:rPr>
            </w:pPr>
          </w:p>
        </w:tc>
        <w:tc>
          <w:tcPr>
            <w:tcW w:w="1134" w:type="dxa"/>
            <w:tcBorders>
              <w:top w:val="single" w:sz="6" w:space="0" w:color="00B0F0"/>
              <w:left w:val="single" w:sz="6" w:space="0" w:color="00B0F0"/>
              <w:bottom w:val="single" w:sz="6" w:space="0" w:color="00B0F0"/>
              <w:right w:val="single" w:sz="6" w:space="0" w:color="00B0F0"/>
            </w:tcBorders>
            <w:shd w:val="clear" w:color="auto" w:fill="B7ECFF"/>
            <w:noWrap/>
            <w:hideMark/>
          </w:tcPr>
          <w:p w:rsidR="00424AFD" w:rsidRPr="00D87B3A" w:rsidRDefault="00424AFD" w:rsidP="00563C30">
            <w:pPr>
              <w:spacing w:after="0" w:line="240" w:lineRule="auto"/>
              <w:rPr>
                <w:rFonts w:cstheme="minorHAnsi"/>
                <w:color w:val="000000" w:themeColor="text1"/>
                <w:sz w:val="20"/>
                <w:szCs w:val="20"/>
              </w:rPr>
            </w:pPr>
          </w:p>
        </w:tc>
        <w:tc>
          <w:tcPr>
            <w:tcW w:w="1635" w:type="dxa"/>
            <w:tcBorders>
              <w:top w:val="single" w:sz="6" w:space="0" w:color="00B0F0"/>
              <w:left w:val="single" w:sz="6" w:space="0" w:color="00B0F0"/>
              <w:bottom w:val="single" w:sz="6" w:space="0" w:color="00B0F0"/>
              <w:right w:val="single" w:sz="6" w:space="0" w:color="00B0F0"/>
            </w:tcBorders>
            <w:shd w:val="clear" w:color="auto" w:fill="B7ECFF"/>
            <w:noWrap/>
            <w:hideMark/>
          </w:tcPr>
          <w:p w:rsidR="00424AFD" w:rsidRPr="00D87B3A" w:rsidRDefault="00424AFD" w:rsidP="00563C30">
            <w:pPr>
              <w:spacing w:after="0" w:line="240" w:lineRule="auto"/>
              <w:jc w:val="right"/>
              <w:rPr>
                <w:rFonts w:cstheme="minorHAnsi"/>
                <w:color w:val="000000" w:themeColor="text1"/>
                <w:sz w:val="20"/>
                <w:szCs w:val="20"/>
              </w:rPr>
            </w:pPr>
          </w:p>
        </w:tc>
        <w:tc>
          <w:tcPr>
            <w:tcW w:w="1635" w:type="dxa"/>
            <w:tcBorders>
              <w:top w:val="single" w:sz="6" w:space="0" w:color="00B0F0"/>
              <w:left w:val="single" w:sz="6" w:space="0" w:color="00B0F0"/>
              <w:bottom w:val="single" w:sz="6" w:space="0" w:color="00B0F0"/>
              <w:right w:val="single" w:sz="6" w:space="0" w:color="00B0F0"/>
            </w:tcBorders>
            <w:shd w:val="clear" w:color="auto" w:fill="B7ECFF"/>
            <w:noWrap/>
            <w:hideMark/>
          </w:tcPr>
          <w:p w:rsidR="00424AFD" w:rsidRPr="00D87B3A" w:rsidRDefault="00424AFD" w:rsidP="00563C30">
            <w:pPr>
              <w:spacing w:after="0" w:line="240" w:lineRule="auto"/>
              <w:jc w:val="right"/>
              <w:rPr>
                <w:rFonts w:cstheme="minorHAnsi"/>
                <w:color w:val="000000" w:themeColor="text1"/>
                <w:sz w:val="20"/>
                <w:szCs w:val="20"/>
              </w:rPr>
            </w:pPr>
          </w:p>
        </w:tc>
        <w:tc>
          <w:tcPr>
            <w:tcW w:w="1635" w:type="dxa"/>
            <w:tcBorders>
              <w:top w:val="single" w:sz="6" w:space="0" w:color="00B0F0"/>
              <w:left w:val="single" w:sz="6" w:space="0" w:color="00B0F0"/>
              <w:bottom w:val="single" w:sz="6" w:space="0" w:color="00B0F0"/>
              <w:right w:val="single" w:sz="6" w:space="0" w:color="00B0F0"/>
            </w:tcBorders>
            <w:shd w:val="clear" w:color="auto" w:fill="B7ECFF"/>
            <w:noWrap/>
            <w:hideMark/>
          </w:tcPr>
          <w:p w:rsidR="00424AFD" w:rsidRPr="00D87B3A" w:rsidRDefault="00424AFD" w:rsidP="00563C30">
            <w:pPr>
              <w:spacing w:after="0" w:line="240" w:lineRule="auto"/>
              <w:jc w:val="right"/>
              <w:rPr>
                <w:rFonts w:cstheme="minorHAnsi"/>
                <w:color w:val="000000" w:themeColor="text1"/>
                <w:sz w:val="20"/>
                <w:szCs w:val="20"/>
              </w:rPr>
            </w:pPr>
          </w:p>
        </w:tc>
        <w:tc>
          <w:tcPr>
            <w:tcW w:w="4167" w:type="dxa"/>
            <w:gridSpan w:val="2"/>
            <w:tcBorders>
              <w:top w:val="single" w:sz="6" w:space="0" w:color="00B0F0"/>
              <w:left w:val="single" w:sz="6" w:space="0" w:color="00B0F0"/>
              <w:bottom w:val="single" w:sz="6" w:space="0" w:color="00B0F0"/>
              <w:right w:val="single" w:sz="6" w:space="0" w:color="00B0F0"/>
            </w:tcBorders>
            <w:shd w:val="clear" w:color="auto" w:fill="B7ECFF"/>
            <w:noWrap/>
            <w:hideMark/>
          </w:tcPr>
          <w:p w:rsidR="00424AFD" w:rsidRPr="00D87B3A" w:rsidRDefault="00424AFD" w:rsidP="00563C30">
            <w:pPr>
              <w:spacing w:after="0" w:line="240" w:lineRule="auto"/>
              <w:rPr>
                <w:rFonts w:cstheme="minorHAnsi"/>
                <w:color w:val="000000" w:themeColor="text1"/>
                <w:sz w:val="20"/>
                <w:szCs w:val="20"/>
              </w:rPr>
            </w:pPr>
          </w:p>
        </w:tc>
      </w:tr>
      <w:tr w:rsidR="00424AFD" w:rsidRPr="00D87B3A" w:rsidTr="00DD6D6D">
        <w:tblPrEx>
          <w:shd w:val="clear" w:color="auto" w:fill="auto"/>
        </w:tblPrEx>
        <w:trPr>
          <w:trHeight w:val="278"/>
        </w:trPr>
        <w:tc>
          <w:tcPr>
            <w:tcW w:w="3119" w:type="dxa"/>
            <w:tcBorders>
              <w:top w:val="single" w:sz="6" w:space="0" w:color="00B0F0"/>
              <w:left w:val="single" w:sz="6" w:space="0" w:color="00B0F0"/>
              <w:bottom w:val="single" w:sz="6" w:space="0" w:color="00B0F0"/>
              <w:right w:val="single" w:sz="6" w:space="0" w:color="00B0F0"/>
            </w:tcBorders>
            <w:shd w:val="clear" w:color="auto" w:fill="auto"/>
            <w:hideMark/>
          </w:tcPr>
          <w:p w:rsidR="00424AFD" w:rsidRPr="00D87B3A" w:rsidRDefault="00424AFD" w:rsidP="00563C30">
            <w:pPr>
              <w:spacing w:after="0" w:line="240" w:lineRule="auto"/>
              <w:rPr>
                <w:rFonts w:cstheme="minorHAnsi"/>
                <w:color w:val="000000"/>
                <w:sz w:val="20"/>
                <w:szCs w:val="20"/>
              </w:rPr>
            </w:pPr>
            <w:r w:rsidRPr="00D87B3A">
              <w:rPr>
                <w:rFonts w:cstheme="minorHAnsi"/>
                <w:color w:val="000000"/>
                <w:sz w:val="20"/>
                <w:szCs w:val="20"/>
              </w:rPr>
              <w:t>Proportion of houses within 100 metres of a public transport stop</w:t>
            </w:r>
          </w:p>
        </w:tc>
        <w:tc>
          <w:tcPr>
            <w:tcW w:w="1276" w:type="dxa"/>
            <w:tcBorders>
              <w:top w:val="single" w:sz="6" w:space="0" w:color="00B0F0"/>
              <w:left w:val="single" w:sz="6" w:space="0" w:color="00B0F0"/>
              <w:bottom w:val="single" w:sz="6" w:space="0" w:color="00B0F0"/>
              <w:right w:val="single" w:sz="6" w:space="0" w:color="00B0F0"/>
            </w:tcBorders>
            <w:shd w:val="clear" w:color="auto" w:fill="auto"/>
            <w:noWrap/>
            <w:hideMark/>
          </w:tcPr>
          <w:p w:rsidR="00424AFD" w:rsidRPr="00D87B3A" w:rsidRDefault="00424AFD" w:rsidP="00563C30">
            <w:pPr>
              <w:spacing w:after="0" w:line="240" w:lineRule="auto"/>
              <w:rPr>
                <w:rFonts w:cstheme="minorHAnsi"/>
                <w:color w:val="000000"/>
                <w:sz w:val="20"/>
                <w:szCs w:val="20"/>
              </w:rPr>
            </w:pPr>
            <w:r w:rsidRPr="00D87B3A">
              <w:rPr>
                <w:rFonts w:cstheme="minorHAnsi"/>
                <w:color w:val="000000"/>
                <w:sz w:val="20"/>
                <w:szCs w:val="20"/>
              </w:rPr>
              <w:t>Increasing</w:t>
            </w:r>
          </w:p>
        </w:tc>
        <w:tc>
          <w:tcPr>
            <w:tcW w:w="1134" w:type="dxa"/>
            <w:tcBorders>
              <w:top w:val="single" w:sz="6" w:space="0" w:color="00B0F0"/>
              <w:left w:val="single" w:sz="6" w:space="0" w:color="00B0F0"/>
              <w:bottom w:val="single" w:sz="6" w:space="0" w:color="00B0F0"/>
              <w:right w:val="single" w:sz="6" w:space="0" w:color="00B0F0"/>
            </w:tcBorders>
            <w:shd w:val="clear" w:color="auto" w:fill="auto"/>
            <w:noWrap/>
            <w:hideMark/>
          </w:tcPr>
          <w:p w:rsidR="00424AFD" w:rsidRPr="00D87B3A" w:rsidRDefault="00424AFD" w:rsidP="00563C30">
            <w:pPr>
              <w:spacing w:after="0" w:line="240" w:lineRule="auto"/>
              <w:rPr>
                <w:rFonts w:cstheme="minorHAnsi"/>
                <w:color w:val="000000"/>
                <w:sz w:val="20"/>
                <w:szCs w:val="20"/>
              </w:rPr>
            </w:pPr>
            <w:r w:rsidRPr="00D87B3A">
              <w:rPr>
                <w:rFonts w:cstheme="minorHAnsi"/>
                <w:color w:val="000000"/>
                <w:sz w:val="20"/>
                <w:szCs w:val="20"/>
              </w:rPr>
              <w:t>WCC GIS</w:t>
            </w:r>
          </w:p>
        </w:tc>
        <w:tc>
          <w:tcPr>
            <w:tcW w:w="1635" w:type="dxa"/>
            <w:tcBorders>
              <w:top w:val="single" w:sz="6" w:space="0" w:color="00B0F0"/>
              <w:left w:val="single" w:sz="6" w:space="0" w:color="00B0F0"/>
              <w:bottom w:val="single" w:sz="6" w:space="0" w:color="00B0F0"/>
              <w:right w:val="single" w:sz="6" w:space="0" w:color="00B0F0"/>
            </w:tcBorders>
            <w:shd w:val="clear" w:color="auto" w:fill="auto"/>
            <w:hideMark/>
          </w:tcPr>
          <w:p w:rsidR="00424AFD" w:rsidRPr="00D87B3A" w:rsidRDefault="00424AFD" w:rsidP="00563C30">
            <w:pPr>
              <w:spacing w:after="0" w:line="240" w:lineRule="auto"/>
              <w:jc w:val="right"/>
              <w:rPr>
                <w:rFonts w:cstheme="minorHAnsi"/>
                <w:color w:val="000000"/>
                <w:sz w:val="20"/>
                <w:szCs w:val="20"/>
              </w:rPr>
            </w:pPr>
            <w:r w:rsidRPr="00D87B3A">
              <w:rPr>
                <w:rFonts w:cstheme="minorHAnsi"/>
                <w:color w:val="000000"/>
                <w:sz w:val="20"/>
                <w:szCs w:val="20"/>
              </w:rPr>
              <w:t>45%</w:t>
            </w:r>
          </w:p>
        </w:tc>
        <w:tc>
          <w:tcPr>
            <w:tcW w:w="1635" w:type="dxa"/>
            <w:tcBorders>
              <w:top w:val="single" w:sz="6" w:space="0" w:color="00B0F0"/>
              <w:left w:val="single" w:sz="6" w:space="0" w:color="00B0F0"/>
              <w:bottom w:val="single" w:sz="6" w:space="0" w:color="00B0F0"/>
              <w:right w:val="single" w:sz="6" w:space="0" w:color="00B0F0"/>
            </w:tcBorders>
            <w:shd w:val="clear" w:color="auto" w:fill="auto"/>
            <w:noWrap/>
            <w:hideMark/>
          </w:tcPr>
          <w:p w:rsidR="00424AFD" w:rsidRPr="00D87B3A" w:rsidRDefault="00424AFD" w:rsidP="00563C30">
            <w:pPr>
              <w:spacing w:after="0" w:line="240" w:lineRule="auto"/>
              <w:jc w:val="right"/>
              <w:rPr>
                <w:rFonts w:cstheme="minorHAnsi"/>
                <w:color w:val="000000"/>
                <w:sz w:val="20"/>
                <w:szCs w:val="20"/>
              </w:rPr>
            </w:pPr>
            <w:r w:rsidRPr="00D87B3A">
              <w:rPr>
                <w:rFonts w:cstheme="minorHAnsi"/>
                <w:color w:val="000000"/>
                <w:sz w:val="20"/>
                <w:szCs w:val="20"/>
              </w:rPr>
              <w:t>44.8%</w:t>
            </w:r>
          </w:p>
        </w:tc>
        <w:tc>
          <w:tcPr>
            <w:tcW w:w="1635" w:type="dxa"/>
            <w:tcBorders>
              <w:top w:val="single" w:sz="6" w:space="0" w:color="00B0F0"/>
              <w:left w:val="single" w:sz="6" w:space="0" w:color="00B0F0"/>
              <w:bottom w:val="single" w:sz="6" w:space="0" w:color="00B0F0"/>
              <w:right w:val="single" w:sz="6" w:space="0" w:color="00B0F0"/>
            </w:tcBorders>
            <w:shd w:val="clear" w:color="auto" w:fill="auto"/>
            <w:noWrap/>
            <w:hideMark/>
          </w:tcPr>
          <w:p w:rsidR="00424AFD" w:rsidRPr="00D87B3A" w:rsidRDefault="00424AFD" w:rsidP="00563C30">
            <w:pPr>
              <w:spacing w:after="0" w:line="240" w:lineRule="auto"/>
              <w:jc w:val="right"/>
              <w:rPr>
                <w:rFonts w:cstheme="minorHAnsi"/>
                <w:color w:val="000000"/>
                <w:sz w:val="20"/>
                <w:szCs w:val="20"/>
              </w:rPr>
            </w:pPr>
            <w:r w:rsidRPr="00D87B3A">
              <w:rPr>
                <w:rFonts w:cstheme="minorHAnsi"/>
                <w:color w:val="000000"/>
                <w:sz w:val="20"/>
                <w:szCs w:val="20"/>
              </w:rPr>
              <w:t>42.3%</w:t>
            </w:r>
          </w:p>
        </w:tc>
        <w:tc>
          <w:tcPr>
            <w:tcW w:w="4167" w:type="dxa"/>
            <w:gridSpan w:val="2"/>
            <w:tcBorders>
              <w:top w:val="single" w:sz="6" w:space="0" w:color="00B0F0"/>
              <w:left w:val="single" w:sz="6" w:space="0" w:color="00B0F0"/>
              <w:bottom w:val="single" w:sz="6" w:space="0" w:color="00B0F0"/>
              <w:right w:val="single" w:sz="6" w:space="0" w:color="00B0F0"/>
            </w:tcBorders>
            <w:shd w:val="clear" w:color="auto" w:fill="auto"/>
            <w:noWrap/>
            <w:hideMark/>
          </w:tcPr>
          <w:p w:rsidR="00424AFD" w:rsidRPr="00D87B3A" w:rsidRDefault="00424AFD" w:rsidP="00750654">
            <w:pPr>
              <w:spacing w:after="0" w:line="240" w:lineRule="auto"/>
              <w:rPr>
                <w:rFonts w:cstheme="minorHAnsi"/>
                <w:color w:val="000000"/>
                <w:sz w:val="20"/>
                <w:szCs w:val="20"/>
              </w:rPr>
            </w:pPr>
            <w:r>
              <w:rPr>
                <w:rFonts w:cstheme="minorHAnsi"/>
                <w:color w:val="000000"/>
                <w:sz w:val="20"/>
                <w:szCs w:val="20"/>
              </w:rPr>
              <w:t xml:space="preserve">Negative trend. </w:t>
            </w:r>
            <w:r w:rsidRPr="00D87B3A">
              <w:rPr>
                <w:rFonts w:cstheme="minorHAnsi"/>
                <w:color w:val="000000"/>
                <w:sz w:val="20"/>
                <w:szCs w:val="20"/>
              </w:rPr>
              <w:t xml:space="preserve">The result would have </w:t>
            </w:r>
            <w:r w:rsidR="00750654">
              <w:rPr>
                <w:rFonts w:cstheme="minorHAnsi"/>
                <w:color w:val="000000"/>
                <w:sz w:val="20"/>
                <w:szCs w:val="20"/>
              </w:rPr>
              <w:t>been changed</w:t>
            </w:r>
            <w:r w:rsidRPr="00D87B3A">
              <w:rPr>
                <w:rFonts w:cstheme="minorHAnsi"/>
                <w:color w:val="000000"/>
                <w:sz w:val="20"/>
                <w:szCs w:val="20"/>
              </w:rPr>
              <w:t xml:space="preserve"> given the </w:t>
            </w:r>
            <w:r w:rsidR="00750654">
              <w:rPr>
                <w:rFonts w:cstheme="minorHAnsi"/>
                <w:color w:val="000000"/>
                <w:sz w:val="20"/>
                <w:szCs w:val="20"/>
              </w:rPr>
              <w:t xml:space="preserve">alterations </w:t>
            </w:r>
            <w:r w:rsidRPr="00D87B3A">
              <w:rPr>
                <w:rFonts w:cstheme="minorHAnsi"/>
                <w:color w:val="000000"/>
                <w:sz w:val="20"/>
                <w:szCs w:val="20"/>
              </w:rPr>
              <w:t>to the bus network.</w:t>
            </w:r>
          </w:p>
        </w:tc>
      </w:tr>
      <w:tr w:rsidR="00424AFD" w:rsidRPr="00D87B3A" w:rsidTr="00DD6D6D">
        <w:tblPrEx>
          <w:shd w:val="clear" w:color="auto" w:fill="auto"/>
        </w:tblPrEx>
        <w:trPr>
          <w:trHeight w:val="1124"/>
        </w:trPr>
        <w:tc>
          <w:tcPr>
            <w:tcW w:w="3119" w:type="dxa"/>
            <w:tcBorders>
              <w:top w:val="single" w:sz="6" w:space="0" w:color="00B0F0"/>
              <w:left w:val="single" w:sz="6" w:space="0" w:color="00B0F0"/>
              <w:bottom w:val="single" w:sz="6" w:space="0" w:color="00B0F0"/>
              <w:right w:val="single" w:sz="6" w:space="0" w:color="00B0F0"/>
            </w:tcBorders>
            <w:shd w:val="clear" w:color="auto" w:fill="auto"/>
            <w:hideMark/>
          </w:tcPr>
          <w:p w:rsidR="00424AFD" w:rsidRPr="00D87B3A" w:rsidRDefault="00424AFD" w:rsidP="00563C30">
            <w:pPr>
              <w:spacing w:after="0" w:line="240" w:lineRule="auto"/>
              <w:rPr>
                <w:rFonts w:cstheme="minorHAnsi"/>
                <w:color w:val="000000"/>
                <w:sz w:val="20"/>
                <w:szCs w:val="20"/>
              </w:rPr>
            </w:pPr>
            <w:r w:rsidRPr="00D87B3A">
              <w:rPr>
                <w:rFonts w:cstheme="minorHAnsi"/>
                <w:color w:val="000000"/>
                <w:sz w:val="20"/>
                <w:szCs w:val="20"/>
              </w:rPr>
              <w:lastRenderedPageBreak/>
              <w:t>City population, central city population, and proportion of new development in the city</w:t>
            </w:r>
          </w:p>
        </w:tc>
        <w:tc>
          <w:tcPr>
            <w:tcW w:w="1276" w:type="dxa"/>
            <w:tcBorders>
              <w:top w:val="single" w:sz="6" w:space="0" w:color="00B0F0"/>
              <w:left w:val="single" w:sz="6" w:space="0" w:color="00B0F0"/>
              <w:bottom w:val="single" w:sz="6" w:space="0" w:color="00B0F0"/>
              <w:right w:val="single" w:sz="6" w:space="0" w:color="00B0F0"/>
            </w:tcBorders>
            <w:shd w:val="clear" w:color="auto" w:fill="auto"/>
            <w:noWrap/>
            <w:hideMark/>
          </w:tcPr>
          <w:p w:rsidR="00424AFD" w:rsidRPr="00D87B3A" w:rsidRDefault="00424AFD" w:rsidP="00563C30">
            <w:pPr>
              <w:spacing w:after="0" w:line="240" w:lineRule="auto"/>
              <w:rPr>
                <w:rFonts w:cstheme="minorHAnsi"/>
                <w:color w:val="000000"/>
                <w:sz w:val="20"/>
                <w:szCs w:val="20"/>
              </w:rPr>
            </w:pPr>
            <w:r w:rsidRPr="00D87B3A">
              <w:rPr>
                <w:rFonts w:cstheme="minorHAnsi"/>
                <w:color w:val="000000"/>
                <w:sz w:val="20"/>
                <w:szCs w:val="20"/>
              </w:rPr>
              <w:t>Increasing</w:t>
            </w:r>
          </w:p>
        </w:tc>
        <w:tc>
          <w:tcPr>
            <w:tcW w:w="1134" w:type="dxa"/>
            <w:tcBorders>
              <w:top w:val="single" w:sz="6" w:space="0" w:color="00B0F0"/>
              <w:left w:val="single" w:sz="6" w:space="0" w:color="00B0F0"/>
              <w:bottom w:val="single" w:sz="6" w:space="0" w:color="00B0F0"/>
              <w:right w:val="single" w:sz="6" w:space="0" w:color="00B0F0"/>
            </w:tcBorders>
            <w:shd w:val="clear" w:color="auto" w:fill="auto"/>
            <w:noWrap/>
            <w:hideMark/>
          </w:tcPr>
          <w:p w:rsidR="00424AFD" w:rsidRPr="00D87B3A" w:rsidRDefault="00424AFD" w:rsidP="00563C30">
            <w:pPr>
              <w:spacing w:after="0" w:line="240" w:lineRule="auto"/>
              <w:rPr>
                <w:rFonts w:cstheme="minorHAnsi"/>
                <w:color w:val="000000"/>
                <w:sz w:val="20"/>
                <w:szCs w:val="20"/>
              </w:rPr>
            </w:pPr>
            <w:r w:rsidRPr="00D87B3A">
              <w:rPr>
                <w:rFonts w:cstheme="minorHAnsi"/>
                <w:color w:val="000000"/>
                <w:sz w:val="20"/>
                <w:szCs w:val="20"/>
              </w:rPr>
              <w:t>Research - Infometrics / QV</w:t>
            </w:r>
          </w:p>
        </w:tc>
        <w:tc>
          <w:tcPr>
            <w:tcW w:w="1635" w:type="dxa"/>
            <w:tcBorders>
              <w:top w:val="single" w:sz="6" w:space="0" w:color="00B0F0"/>
              <w:left w:val="single" w:sz="6" w:space="0" w:color="00B0F0"/>
              <w:bottom w:val="single" w:sz="6" w:space="0" w:color="00B0F0"/>
              <w:right w:val="single" w:sz="6" w:space="0" w:color="00B0F0"/>
            </w:tcBorders>
            <w:shd w:val="clear" w:color="auto" w:fill="auto"/>
            <w:hideMark/>
          </w:tcPr>
          <w:p w:rsidR="00424AFD" w:rsidRPr="00D87B3A" w:rsidRDefault="00424AFD" w:rsidP="0038320D">
            <w:pPr>
              <w:spacing w:after="0" w:line="240" w:lineRule="auto"/>
              <w:jc w:val="right"/>
              <w:rPr>
                <w:rFonts w:cstheme="minorHAnsi"/>
                <w:color w:val="000000"/>
                <w:sz w:val="20"/>
                <w:szCs w:val="20"/>
              </w:rPr>
            </w:pPr>
            <w:r w:rsidRPr="00D87B3A">
              <w:rPr>
                <w:rFonts w:cstheme="minorHAnsi"/>
                <w:color w:val="000000"/>
                <w:sz w:val="20"/>
                <w:szCs w:val="20"/>
              </w:rPr>
              <w:t xml:space="preserve">2016: Wellington City: 207,900 (2.0% growth); </w:t>
            </w:r>
          </w:p>
        </w:tc>
        <w:tc>
          <w:tcPr>
            <w:tcW w:w="1635" w:type="dxa"/>
            <w:tcBorders>
              <w:top w:val="single" w:sz="6" w:space="0" w:color="00B0F0"/>
              <w:left w:val="single" w:sz="6" w:space="0" w:color="00B0F0"/>
              <w:bottom w:val="single" w:sz="6" w:space="0" w:color="00B0F0"/>
              <w:right w:val="single" w:sz="6" w:space="0" w:color="00B0F0"/>
            </w:tcBorders>
            <w:shd w:val="clear" w:color="auto" w:fill="auto"/>
            <w:hideMark/>
          </w:tcPr>
          <w:p w:rsidR="00424AFD" w:rsidRPr="00D87B3A" w:rsidRDefault="00424AFD" w:rsidP="0038320D">
            <w:pPr>
              <w:spacing w:after="0" w:line="240" w:lineRule="auto"/>
              <w:jc w:val="right"/>
              <w:rPr>
                <w:rFonts w:cstheme="minorHAnsi"/>
                <w:color w:val="000000"/>
                <w:sz w:val="20"/>
                <w:szCs w:val="20"/>
              </w:rPr>
            </w:pPr>
            <w:r w:rsidRPr="00D87B3A">
              <w:rPr>
                <w:rFonts w:cstheme="minorHAnsi"/>
                <w:color w:val="000000"/>
                <w:sz w:val="20"/>
                <w:szCs w:val="20"/>
              </w:rPr>
              <w:t xml:space="preserve">2017: Wellington City: 212,700 (2.3% growth); </w:t>
            </w:r>
          </w:p>
        </w:tc>
        <w:tc>
          <w:tcPr>
            <w:tcW w:w="1635" w:type="dxa"/>
            <w:tcBorders>
              <w:top w:val="single" w:sz="6" w:space="0" w:color="00B0F0"/>
              <w:left w:val="single" w:sz="6" w:space="0" w:color="00B0F0"/>
              <w:bottom w:val="single" w:sz="6" w:space="0" w:color="00B0F0"/>
              <w:right w:val="single" w:sz="6" w:space="0" w:color="00B0F0"/>
            </w:tcBorders>
            <w:shd w:val="clear" w:color="auto" w:fill="auto"/>
            <w:hideMark/>
          </w:tcPr>
          <w:p w:rsidR="00424AFD" w:rsidRPr="00D87B3A" w:rsidRDefault="00424AFD" w:rsidP="0038320D">
            <w:pPr>
              <w:spacing w:after="0" w:line="240" w:lineRule="auto"/>
              <w:jc w:val="right"/>
              <w:rPr>
                <w:rFonts w:cstheme="minorHAnsi"/>
                <w:color w:val="000000"/>
                <w:sz w:val="20"/>
                <w:szCs w:val="20"/>
              </w:rPr>
            </w:pPr>
            <w:r w:rsidRPr="00D87B3A">
              <w:rPr>
                <w:rFonts w:cstheme="minorHAnsi"/>
                <w:color w:val="000000"/>
                <w:sz w:val="20"/>
                <w:szCs w:val="20"/>
              </w:rPr>
              <w:t xml:space="preserve">2018: Wellington City 216,300 (1.7% growth); </w:t>
            </w:r>
          </w:p>
        </w:tc>
        <w:tc>
          <w:tcPr>
            <w:tcW w:w="4167" w:type="dxa"/>
            <w:gridSpan w:val="2"/>
            <w:tcBorders>
              <w:top w:val="single" w:sz="6" w:space="0" w:color="00B0F0"/>
              <w:left w:val="single" w:sz="6" w:space="0" w:color="00B0F0"/>
              <w:bottom w:val="single" w:sz="6" w:space="0" w:color="00B0F0"/>
              <w:right w:val="single" w:sz="6" w:space="0" w:color="00B0F0"/>
            </w:tcBorders>
            <w:shd w:val="clear" w:color="auto" w:fill="auto"/>
            <w:noWrap/>
            <w:hideMark/>
          </w:tcPr>
          <w:p w:rsidR="00424AFD" w:rsidRDefault="00424AFD" w:rsidP="00563C30">
            <w:pPr>
              <w:spacing w:after="0" w:line="240" w:lineRule="auto"/>
              <w:rPr>
                <w:rFonts w:cstheme="minorHAnsi"/>
                <w:color w:val="000000"/>
                <w:sz w:val="20"/>
                <w:szCs w:val="20"/>
              </w:rPr>
            </w:pPr>
            <w:r w:rsidRPr="00D87B3A">
              <w:rPr>
                <w:rFonts w:cstheme="minorHAnsi"/>
                <w:color w:val="000000"/>
                <w:sz w:val="20"/>
                <w:szCs w:val="20"/>
              </w:rPr>
              <w:t>Positive trend</w:t>
            </w:r>
          </w:p>
          <w:p w:rsidR="00424AFD" w:rsidRDefault="00424AFD" w:rsidP="00563C30">
            <w:pPr>
              <w:spacing w:after="0" w:line="240" w:lineRule="auto"/>
              <w:rPr>
                <w:rFonts w:cstheme="minorHAnsi"/>
                <w:color w:val="000000"/>
                <w:sz w:val="20"/>
                <w:szCs w:val="20"/>
              </w:rPr>
            </w:pPr>
          </w:p>
          <w:p w:rsidR="00424AFD" w:rsidRDefault="00424AFD" w:rsidP="00563C30">
            <w:pPr>
              <w:spacing w:after="0" w:line="240" w:lineRule="auto"/>
              <w:rPr>
                <w:rFonts w:cstheme="minorHAnsi"/>
                <w:color w:val="000000"/>
                <w:sz w:val="20"/>
                <w:szCs w:val="20"/>
              </w:rPr>
            </w:pPr>
          </w:p>
          <w:p w:rsidR="00424AFD" w:rsidRDefault="00424AFD" w:rsidP="00563C30">
            <w:pPr>
              <w:spacing w:after="0" w:line="240" w:lineRule="auto"/>
              <w:rPr>
                <w:rFonts w:cstheme="minorHAnsi"/>
                <w:color w:val="000000"/>
                <w:sz w:val="20"/>
                <w:szCs w:val="20"/>
              </w:rPr>
            </w:pPr>
          </w:p>
          <w:p w:rsidR="00424AFD" w:rsidRPr="00D87B3A" w:rsidRDefault="00424AFD" w:rsidP="00563C30">
            <w:pPr>
              <w:spacing w:after="0" w:line="240" w:lineRule="auto"/>
              <w:rPr>
                <w:rFonts w:cstheme="minorHAnsi"/>
                <w:color w:val="000000"/>
                <w:sz w:val="20"/>
                <w:szCs w:val="20"/>
              </w:rPr>
            </w:pPr>
          </w:p>
        </w:tc>
      </w:tr>
      <w:tr w:rsidR="0038320D" w:rsidRPr="00D87B3A" w:rsidTr="00DD6D6D">
        <w:tblPrEx>
          <w:shd w:val="clear" w:color="auto" w:fill="auto"/>
        </w:tblPrEx>
        <w:trPr>
          <w:trHeight w:val="1124"/>
        </w:trPr>
        <w:tc>
          <w:tcPr>
            <w:tcW w:w="3119" w:type="dxa"/>
            <w:tcBorders>
              <w:top w:val="single" w:sz="6" w:space="0" w:color="00B0F0"/>
              <w:left w:val="single" w:sz="6" w:space="0" w:color="00B0F0"/>
              <w:bottom w:val="single" w:sz="6" w:space="0" w:color="00B0F0"/>
              <w:right w:val="single" w:sz="6" w:space="0" w:color="00B0F0"/>
            </w:tcBorders>
            <w:shd w:val="clear" w:color="auto" w:fill="auto"/>
          </w:tcPr>
          <w:p w:rsidR="0038320D" w:rsidRPr="00D87B3A" w:rsidRDefault="0038320D" w:rsidP="00563C30">
            <w:pPr>
              <w:spacing w:after="0" w:line="240" w:lineRule="auto"/>
              <w:rPr>
                <w:rFonts w:cstheme="minorHAnsi"/>
                <w:color w:val="000000"/>
                <w:sz w:val="20"/>
                <w:szCs w:val="20"/>
              </w:rPr>
            </w:pPr>
          </w:p>
        </w:tc>
        <w:tc>
          <w:tcPr>
            <w:tcW w:w="1276" w:type="dxa"/>
            <w:tcBorders>
              <w:top w:val="single" w:sz="6" w:space="0" w:color="00B0F0"/>
              <w:left w:val="single" w:sz="6" w:space="0" w:color="00B0F0"/>
              <w:bottom w:val="single" w:sz="6" w:space="0" w:color="00B0F0"/>
              <w:right w:val="single" w:sz="6" w:space="0" w:color="00B0F0"/>
            </w:tcBorders>
            <w:shd w:val="clear" w:color="auto" w:fill="auto"/>
            <w:noWrap/>
          </w:tcPr>
          <w:p w:rsidR="0038320D" w:rsidRPr="00D87B3A" w:rsidRDefault="0038320D" w:rsidP="00563C30">
            <w:pPr>
              <w:spacing w:after="0" w:line="240" w:lineRule="auto"/>
              <w:rPr>
                <w:rFonts w:cstheme="minorHAnsi"/>
                <w:color w:val="000000"/>
                <w:sz w:val="20"/>
                <w:szCs w:val="20"/>
              </w:rPr>
            </w:pPr>
          </w:p>
        </w:tc>
        <w:tc>
          <w:tcPr>
            <w:tcW w:w="1134" w:type="dxa"/>
            <w:tcBorders>
              <w:top w:val="single" w:sz="6" w:space="0" w:color="00B0F0"/>
              <w:left w:val="single" w:sz="6" w:space="0" w:color="00B0F0"/>
              <w:bottom w:val="single" w:sz="6" w:space="0" w:color="00B0F0"/>
              <w:right w:val="single" w:sz="6" w:space="0" w:color="00B0F0"/>
            </w:tcBorders>
            <w:shd w:val="clear" w:color="auto" w:fill="auto"/>
            <w:noWrap/>
          </w:tcPr>
          <w:p w:rsidR="0038320D" w:rsidRPr="00D87B3A" w:rsidRDefault="0038320D" w:rsidP="00563C30">
            <w:pPr>
              <w:spacing w:after="0" w:line="240" w:lineRule="auto"/>
              <w:rPr>
                <w:rFonts w:cstheme="minorHAnsi"/>
                <w:color w:val="000000"/>
                <w:sz w:val="20"/>
                <w:szCs w:val="20"/>
              </w:rPr>
            </w:pPr>
          </w:p>
        </w:tc>
        <w:tc>
          <w:tcPr>
            <w:tcW w:w="1635" w:type="dxa"/>
            <w:tcBorders>
              <w:top w:val="single" w:sz="6" w:space="0" w:color="00B0F0"/>
              <w:left w:val="single" w:sz="6" w:space="0" w:color="00B0F0"/>
              <w:bottom w:val="single" w:sz="6" w:space="0" w:color="00B0F0"/>
              <w:right w:val="single" w:sz="6" w:space="0" w:color="00B0F0"/>
            </w:tcBorders>
            <w:shd w:val="clear" w:color="auto" w:fill="auto"/>
          </w:tcPr>
          <w:p w:rsidR="0038320D" w:rsidRPr="00D87B3A" w:rsidRDefault="0038320D" w:rsidP="00563C30">
            <w:pPr>
              <w:spacing w:after="0" w:line="240" w:lineRule="auto"/>
              <w:jc w:val="right"/>
              <w:rPr>
                <w:rFonts w:cstheme="minorHAnsi"/>
                <w:color w:val="000000"/>
                <w:sz w:val="20"/>
                <w:szCs w:val="20"/>
              </w:rPr>
            </w:pPr>
            <w:r w:rsidRPr="00D87B3A">
              <w:rPr>
                <w:rFonts w:cstheme="minorHAnsi"/>
                <w:color w:val="000000"/>
                <w:sz w:val="20"/>
                <w:szCs w:val="20"/>
              </w:rPr>
              <w:t>Wellington CBD: 21,970</w:t>
            </w:r>
          </w:p>
        </w:tc>
        <w:tc>
          <w:tcPr>
            <w:tcW w:w="1635" w:type="dxa"/>
            <w:tcBorders>
              <w:top w:val="single" w:sz="6" w:space="0" w:color="00B0F0"/>
              <w:left w:val="single" w:sz="6" w:space="0" w:color="00B0F0"/>
              <w:bottom w:val="single" w:sz="6" w:space="0" w:color="00B0F0"/>
              <w:right w:val="single" w:sz="6" w:space="0" w:color="00B0F0"/>
            </w:tcBorders>
            <w:shd w:val="clear" w:color="auto" w:fill="auto"/>
          </w:tcPr>
          <w:p w:rsidR="0038320D" w:rsidRPr="00D87B3A" w:rsidRDefault="0038320D" w:rsidP="00563C30">
            <w:pPr>
              <w:spacing w:after="0" w:line="240" w:lineRule="auto"/>
              <w:jc w:val="right"/>
              <w:rPr>
                <w:rFonts w:cstheme="minorHAnsi"/>
                <w:color w:val="000000"/>
                <w:sz w:val="20"/>
                <w:szCs w:val="20"/>
              </w:rPr>
            </w:pPr>
            <w:r w:rsidRPr="00D87B3A">
              <w:rPr>
                <w:rFonts w:cstheme="minorHAnsi"/>
                <w:color w:val="000000"/>
                <w:sz w:val="20"/>
                <w:szCs w:val="20"/>
              </w:rPr>
              <w:t>Wellington CBD: 23,250</w:t>
            </w:r>
          </w:p>
        </w:tc>
        <w:tc>
          <w:tcPr>
            <w:tcW w:w="1635" w:type="dxa"/>
            <w:tcBorders>
              <w:top w:val="single" w:sz="6" w:space="0" w:color="00B0F0"/>
              <w:left w:val="single" w:sz="6" w:space="0" w:color="00B0F0"/>
              <w:bottom w:val="single" w:sz="6" w:space="0" w:color="00B0F0"/>
              <w:right w:val="single" w:sz="6" w:space="0" w:color="00B0F0"/>
            </w:tcBorders>
            <w:shd w:val="clear" w:color="auto" w:fill="auto"/>
          </w:tcPr>
          <w:p w:rsidR="0038320D" w:rsidRPr="00D87B3A" w:rsidRDefault="0038320D" w:rsidP="00563C30">
            <w:pPr>
              <w:spacing w:after="0" w:line="240" w:lineRule="auto"/>
              <w:jc w:val="right"/>
              <w:rPr>
                <w:rFonts w:cstheme="minorHAnsi"/>
                <w:color w:val="000000"/>
                <w:sz w:val="20"/>
                <w:szCs w:val="20"/>
              </w:rPr>
            </w:pPr>
            <w:r w:rsidRPr="00D87B3A">
              <w:rPr>
                <w:rFonts w:cstheme="minorHAnsi"/>
                <w:color w:val="000000"/>
                <w:sz w:val="20"/>
                <w:szCs w:val="20"/>
              </w:rPr>
              <w:t>Wellington CBD 24,180</w:t>
            </w:r>
          </w:p>
        </w:tc>
        <w:tc>
          <w:tcPr>
            <w:tcW w:w="4167" w:type="dxa"/>
            <w:gridSpan w:val="2"/>
            <w:tcBorders>
              <w:top w:val="single" w:sz="6" w:space="0" w:color="00B0F0"/>
              <w:left w:val="single" w:sz="6" w:space="0" w:color="00B0F0"/>
              <w:bottom w:val="single" w:sz="6" w:space="0" w:color="00B0F0"/>
              <w:right w:val="single" w:sz="6" w:space="0" w:color="00B0F0"/>
            </w:tcBorders>
            <w:shd w:val="clear" w:color="auto" w:fill="auto"/>
            <w:noWrap/>
          </w:tcPr>
          <w:p w:rsidR="0038320D" w:rsidRPr="00D87B3A" w:rsidRDefault="0038320D" w:rsidP="00563C30">
            <w:pPr>
              <w:spacing w:after="0" w:line="240" w:lineRule="auto"/>
              <w:rPr>
                <w:rFonts w:cstheme="minorHAnsi"/>
                <w:color w:val="000000"/>
                <w:sz w:val="20"/>
                <w:szCs w:val="20"/>
              </w:rPr>
            </w:pPr>
            <w:r w:rsidRPr="009F39E1">
              <w:rPr>
                <w:rFonts w:cstheme="minorHAnsi"/>
                <w:color w:val="000000"/>
                <w:sz w:val="20"/>
                <w:szCs w:val="20"/>
              </w:rPr>
              <w:t>Positive trend</w:t>
            </w:r>
          </w:p>
        </w:tc>
      </w:tr>
      <w:tr w:rsidR="00424AFD" w:rsidRPr="00D87B3A" w:rsidTr="00DD6D6D">
        <w:trPr>
          <w:trHeight w:val="255"/>
        </w:trPr>
        <w:tc>
          <w:tcPr>
            <w:tcW w:w="3119" w:type="dxa"/>
            <w:tcBorders>
              <w:top w:val="single" w:sz="6" w:space="0" w:color="00B0F0"/>
              <w:left w:val="single" w:sz="6" w:space="0" w:color="00B0F0"/>
              <w:bottom w:val="single" w:sz="6" w:space="0" w:color="00B0F0"/>
              <w:right w:val="single" w:sz="6" w:space="0" w:color="00B0F0"/>
            </w:tcBorders>
            <w:shd w:val="clear" w:color="auto" w:fill="B7ECFF"/>
            <w:hideMark/>
          </w:tcPr>
          <w:p w:rsidR="00424AFD" w:rsidRPr="00D87B3A" w:rsidRDefault="00424AFD" w:rsidP="00563C30">
            <w:pPr>
              <w:spacing w:after="0" w:line="240" w:lineRule="auto"/>
              <w:rPr>
                <w:rFonts w:cstheme="minorHAnsi"/>
                <w:b/>
                <w:bCs/>
                <w:i/>
                <w:iCs/>
                <w:color w:val="000000" w:themeColor="text1"/>
                <w:sz w:val="20"/>
                <w:szCs w:val="20"/>
              </w:rPr>
            </w:pPr>
            <w:r w:rsidRPr="00D87B3A">
              <w:rPr>
                <w:rFonts w:cstheme="minorHAnsi"/>
                <w:b/>
                <w:bCs/>
                <w:i/>
                <w:iCs/>
                <w:color w:val="000000" w:themeColor="text1"/>
                <w:sz w:val="20"/>
                <w:szCs w:val="20"/>
              </w:rPr>
              <w:t>High-quality urban form</w:t>
            </w:r>
          </w:p>
        </w:tc>
        <w:tc>
          <w:tcPr>
            <w:tcW w:w="1276" w:type="dxa"/>
            <w:tcBorders>
              <w:top w:val="single" w:sz="6" w:space="0" w:color="00B0F0"/>
              <w:left w:val="single" w:sz="6" w:space="0" w:color="00B0F0"/>
              <w:bottom w:val="single" w:sz="6" w:space="0" w:color="00B0F0"/>
              <w:right w:val="single" w:sz="6" w:space="0" w:color="00B0F0"/>
            </w:tcBorders>
            <w:shd w:val="clear" w:color="auto" w:fill="B7ECFF"/>
            <w:hideMark/>
          </w:tcPr>
          <w:p w:rsidR="00424AFD" w:rsidRPr="00D87B3A" w:rsidRDefault="00424AFD" w:rsidP="00563C30">
            <w:pPr>
              <w:spacing w:after="0" w:line="240" w:lineRule="auto"/>
              <w:rPr>
                <w:rFonts w:cstheme="minorHAnsi"/>
                <w:i/>
                <w:iCs/>
                <w:color w:val="000000" w:themeColor="text1"/>
                <w:sz w:val="20"/>
                <w:szCs w:val="20"/>
              </w:rPr>
            </w:pPr>
          </w:p>
        </w:tc>
        <w:tc>
          <w:tcPr>
            <w:tcW w:w="1134" w:type="dxa"/>
            <w:tcBorders>
              <w:top w:val="single" w:sz="6" w:space="0" w:color="00B0F0"/>
              <w:left w:val="single" w:sz="6" w:space="0" w:color="00B0F0"/>
              <w:bottom w:val="single" w:sz="6" w:space="0" w:color="00B0F0"/>
              <w:right w:val="single" w:sz="6" w:space="0" w:color="00B0F0"/>
            </w:tcBorders>
            <w:shd w:val="clear" w:color="auto" w:fill="B7ECFF"/>
            <w:noWrap/>
            <w:hideMark/>
          </w:tcPr>
          <w:p w:rsidR="00424AFD" w:rsidRPr="00D87B3A" w:rsidRDefault="00424AFD" w:rsidP="00563C30">
            <w:pPr>
              <w:spacing w:after="0" w:line="240" w:lineRule="auto"/>
              <w:rPr>
                <w:rFonts w:cstheme="minorHAnsi"/>
                <w:color w:val="000000" w:themeColor="text1"/>
                <w:sz w:val="20"/>
                <w:szCs w:val="20"/>
              </w:rPr>
            </w:pPr>
          </w:p>
        </w:tc>
        <w:tc>
          <w:tcPr>
            <w:tcW w:w="1635" w:type="dxa"/>
            <w:tcBorders>
              <w:top w:val="single" w:sz="6" w:space="0" w:color="00B0F0"/>
              <w:left w:val="single" w:sz="6" w:space="0" w:color="00B0F0"/>
              <w:bottom w:val="single" w:sz="6" w:space="0" w:color="00B0F0"/>
              <w:right w:val="single" w:sz="6" w:space="0" w:color="00B0F0"/>
            </w:tcBorders>
            <w:shd w:val="clear" w:color="auto" w:fill="B7ECFF"/>
            <w:noWrap/>
            <w:hideMark/>
          </w:tcPr>
          <w:p w:rsidR="00424AFD" w:rsidRPr="00D87B3A" w:rsidRDefault="00424AFD" w:rsidP="00563C30">
            <w:pPr>
              <w:spacing w:after="0" w:line="240" w:lineRule="auto"/>
              <w:jc w:val="right"/>
              <w:rPr>
                <w:rFonts w:cstheme="minorHAnsi"/>
                <w:color w:val="000000" w:themeColor="text1"/>
                <w:sz w:val="20"/>
                <w:szCs w:val="20"/>
              </w:rPr>
            </w:pPr>
          </w:p>
        </w:tc>
        <w:tc>
          <w:tcPr>
            <w:tcW w:w="1635" w:type="dxa"/>
            <w:tcBorders>
              <w:top w:val="single" w:sz="6" w:space="0" w:color="00B0F0"/>
              <w:left w:val="single" w:sz="6" w:space="0" w:color="00B0F0"/>
              <w:bottom w:val="single" w:sz="6" w:space="0" w:color="00B0F0"/>
              <w:right w:val="single" w:sz="6" w:space="0" w:color="00B0F0"/>
            </w:tcBorders>
            <w:shd w:val="clear" w:color="auto" w:fill="B7ECFF"/>
            <w:noWrap/>
            <w:hideMark/>
          </w:tcPr>
          <w:p w:rsidR="00424AFD" w:rsidRPr="00D87B3A" w:rsidRDefault="00424AFD" w:rsidP="00563C30">
            <w:pPr>
              <w:spacing w:after="0" w:line="240" w:lineRule="auto"/>
              <w:jc w:val="right"/>
              <w:rPr>
                <w:rFonts w:cstheme="minorHAnsi"/>
                <w:color w:val="000000" w:themeColor="text1"/>
                <w:sz w:val="20"/>
                <w:szCs w:val="20"/>
              </w:rPr>
            </w:pPr>
          </w:p>
        </w:tc>
        <w:tc>
          <w:tcPr>
            <w:tcW w:w="1635" w:type="dxa"/>
            <w:tcBorders>
              <w:top w:val="single" w:sz="6" w:space="0" w:color="00B0F0"/>
              <w:left w:val="single" w:sz="6" w:space="0" w:color="00B0F0"/>
              <w:bottom w:val="single" w:sz="6" w:space="0" w:color="00B0F0"/>
              <w:right w:val="single" w:sz="6" w:space="0" w:color="00B0F0"/>
            </w:tcBorders>
            <w:shd w:val="clear" w:color="auto" w:fill="B7ECFF"/>
            <w:noWrap/>
            <w:hideMark/>
          </w:tcPr>
          <w:p w:rsidR="00424AFD" w:rsidRPr="00D87B3A" w:rsidRDefault="00424AFD" w:rsidP="00563C30">
            <w:pPr>
              <w:spacing w:after="0" w:line="240" w:lineRule="auto"/>
              <w:jc w:val="right"/>
              <w:rPr>
                <w:rFonts w:cstheme="minorHAnsi"/>
                <w:color w:val="000000" w:themeColor="text1"/>
                <w:sz w:val="20"/>
                <w:szCs w:val="20"/>
              </w:rPr>
            </w:pPr>
          </w:p>
        </w:tc>
        <w:tc>
          <w:tcPr>
            <w:tcW w:w="4167" w:type="dxa"/>
            <w:gridSpan w:val="2"/>
            <w:tcBorders>
              <w:top w:val="single" w:sz="6" w:space="0" w:color="00B0F0"/>
              <w:left w:val="single" w:sz="6" w:space="0" w:color="00B0F0"/>
              <w:bottom w:val="single" w:sz="6" w:space="0" w:color="00B0F0"/>
              <w:right w:val="single" w:sz="6" w:space="0" w:color="00B0F0"/>
            </w:tcBorders>
            <w:shd w:val="clear" w:color="auto" w:fill="B7ECFF"/>
            <w:noWrap/>
            <w:hideMark/>
          </w:tcPr>
          <w:p w:rsidR="00424AFD" w:rsidRPr="00D87B3A" w:rsidRDefault="00424AFD" w:rsidP="00563C30">
            <w:pPr>
              <w:spacing w:after="0" w:line="240" w:lineRule="auto"/>
              <w:rPr>
                <w:rFonts w:cstheme="minorHAnsi"/>
                <w:color w:val="000000" w:themeColor="text1"/>
                <w:sz w:val="20"/>
                <w:szCs w:val="20"/>
              </w:rPr>
            </w:pPr>
          </w:p>
        </w:tc>
      </w:tr>
      <w:tr w:rsidR="00424AFD" w:rsidRPr="00D87B3A" w:rsidTr="00DD6D6D">
        <w:trPr>
          <w:trHeight w:val="510"/>
        </w:trPr>
        <w:tc>
          <w:tcPr>
            <w:tcW w:w="3119" w:type="dxa"/>
            <w:tcBorders>
              <w:top w:val="single" w:sz="6" w:space="0" w:color="00B0F0"/>
              <w:left w:val="single" w:sz="6" w:space="0" w:color="00B0F0"/>
              <w:bottom w:val="single" w:sz="6" w:space="0" w:color="00B0F0"/>
              <w:right w:val="single" w:sz="6" w:space="0" w:color="00B0F0"/>
            </w:tcBorders>
            <w:shd w:val="clear" w:color="auto" w:fill="auto"/>
            <w:hideMark/>
          </w:tcPr>
          <w:p w:rsidR="00424AFD" w:rsidRPr="00D87B3A" w:rsidRDefault="00424AFD" w:rsidP="00563C30">
            <w:pPr>
              <w:spacing w:after="0" w:line="240" w:lineRule="auto"/>
              <w:rPr>
                <w:rFonts w:cstheme="minorHAnsi"/>
                <w:color w:val="000000"/>
                <w:sz w:val="20"/>
                <w:szCs w:val="20"/>
              </w:rPr>
            </w:pPr>
            <w:r w:rsidRPr="00D87B3A">
              <w:rPr>
                <w:rFonts w:cstheme="minorHAnsi"/>
                <w:color w:val="000000"/>
                <w:sz w:val="20"/>
                <w:szCs w:val="20"/>
              </w:rPr>
              <w:t>Residents’ perceptions of the city centre as an easy place to get to, use and enjoy</w:t>
            </w:r>
          </w:p>
        </w:tc>
        <w:tc>
          <w:tcPr>
            <w:tcW w:w="1276" w:type="dxa"/>
            <w:tcBorders>
              <w:top w:val="single" w:sz="6" w:space="0" w:color="00B0F0"/>
              <w:left w:val="single" w:sz="6" w:space="0" w:color="00B0F0"/>
              <w:bottom w:val="single" w:sz="6" w:space="0" w:color="00B0F0"/>
              <w:right w:val="single" w:sz="6" w:space="0" w:color="00B0F0"/>
            </w:tcBorders>
            <w:shd w:val="clear" w:color="auto" w:fill="auto"/>
            <w:noWrap/>
            <w:hideMark/>
          </w:tcPr>
          <w:p w:rsidR="00424AFD" w:rsidRPr="00D87B3A" w:rsidRDefault="00424AFD" w:rsidP="00563C30">
            <w:pPr>
              <w:spacing w:after="0" w:line="240" w:lineRule="auto"/>
              <w:rPr>
                <w:rFonts w:cstheme="minorHAnsi"/>
                <w:color w:val="000000"/>
                <w:sz w:val="20"/>
                <w:szCs w:val="20"/>
              </w:rPr>
            </w:pPr>
            <w:r w:rsidRPr="00D87B3A">
              <w:rPr>
                <w:rFonts w:cstheme="minorHAnsi"/>
                <w:color w:val="000000"/>
                <w:sz w:val="20"/>
                <w:szCs w:val="20"/>
              </w:rPr>
              <w:t>Increasing</w:t>
            </w:r>
          </w:p>
        </w:tc>
        <w:tc>
          <w:tcPr>
            <w:tcW w:w="1134" w:type="dxa"/>
            <w:tcBorders>
              <w:top w:val="single" w:sz="6" w:space="0" w:color="00B0F0"/>
              <w:left w:val="single" w:sz="6" w:space="0" w:color="00B0F0"/>
              <w:bottom w:val="single" w:sz="6" w:space="0" w:color="00B0F0"/>
              <w:right w:val="single" w:sz="6" w:space="0" w:color="00B0F0"/>
            </w:tcBorders>
            <w:shd w:val="clear" w:color="auto" w:fill="auto"/>
            <w:noWrap/>
            <w:hideMark/>
          </w:tcPr>
          <w:p w:rsidR="00424AFD" w:rsidRPr="00D87B3A" w:rsidRDefault="00424AFD" w:rsidP="00563C30">
            <w:pPr>
              <w:spacing w:after="0" w:line="240" w:lineRule="auto"/>
              <w:rPr>
                <w:rFonts w:cstheme="minorHAnsi"/>
                <w:color w:val="000000"/>
                <w:sz w:val="20"/>
                <w:szCs w:val="20"/>
              </w:rPr>
            </w:pPr>
            <w:r w:rsidRPr="00D87B3A">
              <w:rPr>
                <w:rFonts w:cstheme="minorHAnsi"/>
                <w:color w:val="000000"/>
                <w:sz w:val="20"/>
                <w:szCs w:val="20"/>
              </w:rPr>
              <w:t>WCC RMS 2019</w:t>
            </w:r>
          </w:p>
        </w:tc>
        <w:tc>
          <w:tcPr>
            <w:tcW w:w="1635" w:type="dxa"/>
            <w:tcBorders>
              <w:top w:val="single" w:sz="6" w:space="0" w:color="00B0F0"/>
              <w:left w:val="single" w:sz="6" w:space="0" w:color="00B0F0"/>
              <w:bottom w:val="single" w:sz="6" w:space="0" w:color="00B0F0"/>
              <w:right w:val="single" w:sz="6" w:space="0" w:color="00B0F0"/>
            </w:tcBorders>
            <w:shd w:val="clear" w:color="auto" w:fill="auto"/>
            <w:noWrap/>
            <w:hideMark/>
          </w:tcPr>
          <w:p w:rsidR="00424AFD" w:rsidRPr="00D87B3A" w:rsidRDefault="00424AFD" w:rsidP="00563C30">
            <w:pPr>
              <w:spacing w:after="0" w:line="240" w:lineRule="auto"/>
              <w:jc w:val="right"/>
              <w:rPr>
                <w:rFonts w:cstheme="minorHAnsi"/>
                <w:color w:val="000000"/>
                <w:sz w:val="20"/>
                <w:szCs w:val="20"/>
              </w:rPr>
            </w:pPr>
          </w:p>
        </w:tc>
        <w:tc>
          <w:tcPr>
            <w:tcW w:w="1635" w:type="dxa"/>
            <w:tcBorders>
              <w:top w:val="single" w:sz="6" w:space="0" w:color="00B0F0"/>
              <w:left w:val="single" w:sz="6" w:space="0" w:color="00B0F0"/>
              <w:bottom w:val="single" w:sz="6" w:space="0" w:color="00B0F0"/>
              <w:right w:val="single" w:sz="6" w:space="0" w:color="00B0F0"/>
            </w:tcBorders>
            <w:shd w:val="clear" w:color="auto" w:fill="auto"/>
            <w:noWrap/>
            <w:hideMark/>
          </w:tcPr>
          <w:p w:rsidR="00424AFD" w:rsidRPr="00D87B3A" w:rsidRDefault="00424AFD" w:rsidP="00563C30">
            <w:pPr>
              <w:spacing w:after="0" w:line="240" w:lineRule="auto"/>
              <w:jc w:val="right"/>
              <w:rPr>
                <w:rFonts w:cstheme="minorHAnsi"/>
                <w:color w:val="000000"/>
                <w:sz w:val="20"/>
                <w:szCs w:val="20"/>
              </w:rPr>
            </w:pPr>
            <w:r w:rsidRPr="00D87B3A">
              <w:rPr>
                <w:rFonts w:cstheme="minorHAnsi"/>
                <w:color w:val="000000"/>
                <w:sz w:val="20"/>
                <w:szCs w:val="20"/>
              </w:rPr>
              <w:t>New</w:t>
            </w:r>
          </w:p>
        </w:tc>
        <w:tc>
          <w:tcPr>
            <w:tcW w:w="1635" w:type="dxa"/>
            <w:tcBorders>
              <w:top w:val="single" w:sz="6" w:space="0" w:color="00B0F0"/>
              <w:left w:val="single" w:sz="6" w:space="0" w:color="00B0F0"/>
              <w:bottom w:val="single" w:sz="6" w:space="0" w:color="00B0F0"/>
              <w:right w:val="single" w:sz="6" w:space="0" w:color="00B0F0"/>
            </w:tcBorders>
            <w:shd w:val="clear" w:color="auto" w:fill="auto"/>
            <w:hideMark/>
          </w:tcPr>
          <w:p w:rsidR="00424AFD" w:rsidRPr="00D87B3A" w:rsidRDefault="00424AFD" w:rsidP="00563C30">
            <w:pPr>
              <w:spacing w:after="0" w:line="240" w:lineRule="auto"/>
              <w:jc w:val="right"/>
              <w:rPr>
                <w:rFonts w:cstheme="minorHAnsi"/>
                <w:color w:val="000000"/>
                <w:sz w:val="20"/>
                <w:szCs w:val="20"/>
              </w:rPr>
            </w:pPr>
            <w:r w:rsidRPr="00D87B3A">
              <w:rPr>
                <w:rFonts w:cstheme="minorHAnsi"/>
                <w:color w:val="000000"/>
                <w:sz w:val="20"/>
                <w:szCs w:val="20"/>
              </w:rPr>
              <w:t>Get to (74%); Use (81%); Enjoy (82%)</w:t>
            </w:r>
          </w:p>
        </w:tc>
        <w:tc>
          <w:tcPr>
            <w:tcW w:w="4167" w:type="dxa"/>
            <w:gridSpan w:val="2"/>
            <w:tcBorders>
              <w:top w:val="single" w:sz="6" w:space="0" w:color="00B0F0"/>
              <w:left w:val="single" w:sz="6" w:space="0" w:color="00B0F0"/>
              <w:bottom w:val="single" w:sz="6" w:space="0" w:color="00B0F0"/>
              <w:right w:val="single" w:sz="6" w:space="0" w:color="00B0F0"/>
            </w:tcBorders>
            <w:shd w:val="clear" w:color="auto" w:fill="auto"/>
            <w:noWrap/>
            <w:hideMark/>
          </w:tcPr>
          <w:p w:rsidR="00424AFD" w:rsidRPr="00D87B3A" w:rsidRDefault="00DD6D6D" w:rsidP="003856A0">
            <w:pPr>
              <w:spacing w:after="0" w:line="240" w:lineRule="auto"/>
              <w:rPr>
                <w:rFonts w:cstheme="minorHAnsi"/>
                <w:color w:val="000000"/>
                <w:sz w:val="20"/>
                <w:szCs w:val="20"/>
              </w:rPr>
            </w:pPr>
            <w:r>
              <w:rPr>
                <w:rFonts w:cstheme="minorHAnsi"/>
                <w:color w:val="000000"/>
                <w:sz w:val="20"/>
                <w:szCs w:val="20"/>
              </w:rPr>
              <w:t xml:space="preserve">No trend. </w:t>
            </w:r>
            <w:r w:rsidR="00424AFD" w:rsidRPr="00D87B3A">
              <w:rPr>
                <w:rFonts w:cstheme="minorHAnsi"/>
                <w:color w:val="000000"/>
                <w:sz w:val="20"/>
                <w:szCs w:val="20"/>
              </w:rPr>
              <w:t xml:space="preserve">Based on answers on a </w:t>
            </w:r>
            <w:r w:rsidR="003856A0">
              <w:rPr>
                <w:rFonts w:cstheme="minorHAnsi"/>
                <w:color w:val="000000"/>
                <w:sz w:val="20"/>
                <w:szCs w:val="20"/>
              </w:rPr>
              <w:t>five-</w:t>
            </w:r>
            <w:r w:rsidR="00424AFD" w:rsidRPr="00D87B3A">
              <w:rPr>
                <w:rFonts w:cstheme="minorHAnsi"/>
                <w:color w:val="000000"/>
                <w:sz w:val="20"/>
                <w:szCs w:val="20"/>
              </w:rPr>
              <w:t>point scale</w:t>
            </w:r>
          </w:p>
        </w:tc>
      </w:tr>
      <w:tr w:rsidR="00424AFD" w:rsidRPr="00D87B3A" w:rsidTr="00DD6D6D">
        <w:trPr>
          <w:trHeight w:val="510"/>
        </w:trPr>
        <w:tc>
          <w:tcPr>
            <w:tcW w:w="3119" w:type="dxa"/>
            <w:tcBorders>
              <w:top w:val="single" w:sz="6" w:space="0" w:color="00B0F0"/>
              <w:left w:val="single" w:sz="6" w:space="0" w:color="00B0F0"/>
              <w:bottom w:val="single" w:sz="6" w:space="0" w:color="00B0F0"/>
              <w:right w:val="single" w:sz="6" w:space="0" w:color="00B0F0"/>
            </w:tcBorders>
            <w:shd w:val="clear" w:color="auto" w:fill="auto"/>
            <w:hideMark/>
          </w:tcPr>
          <w:p w:rsidR="00424AFD" w:rsidRPr="00D87B3A" w:rsidRDefault="00424AFD" w:rsidP="00563C30">
            <w:pPr>
              <w:spacing w:after="0" w:line="240" w:lineRule="auto"/>
              <w:rPr>
                <w:rFonts w:cstheme="minorHAnsi"/>
                <w:color w:val="000000"/>
                <w:sz w:val="20"/>
                <w:szCs w:val="20"/>
              </w:rPr>
            </w:pPr>
            <w:r w:rsidRPr="00D87B3A">
              <w:rPr>
                <w:rFonts w:cstheme="minorHAnsi"/>
                <w:color w:val="000000"/>
                <w:sz w:val="20"/>
                <w:szCs w:val="20"/>
              </w:rPr>
              <w:t>New Zealanders’ perceptions that Wellington is an attractive destination</w:t>
            </w:r>
          </w:p>
        </w:tc>
        <w:tc>
          <w:tcPr>
            <w:tcW w:w="1276" w:type="dxa"/>
            <w:tcBorders>
              <w:top w:val="single" w:sz="6" w:space="0" w:color="00B0F0"/>
              <w:left w:val="single" w:sz="6" w:space="0" w:color="00B0F0"/>
              <w:bottom w:val="single" w:sz="6" w:space="0" w:color="00B0F0"/>
              <w:right w:val="single" w:sz="6" w:space="0" w:color="00B0F0"/>
            </w:tcBorders>
            <w:shd w:val="clear" w:color="auto" w:fill="auto"/>
            <w:noWrap/>
            <w:hideMark/>
          </w:tcPr>
          <w:p w:rsidR="00424AFD" w:rsidRPr="00D87B3A" w:rsidRDefault="00424AFD" w:rsidP="00563C30">
            <w:pPr>
              <w:spacing w:after="0" w:line="240" w:lineRule="auto"/>
              <w:rPr>
                <w:rFonts w:cstheme="minorHAnsi"/>
                <w:color w:val="000000"/>
                <w:sz w:val="20"/>
                <w:szCs w:val="20"/>
              </w:rPr>
            </w:pPr>
            <w:r w:rsidRPr="00D87B3A">
              <w:rPr>
                <w:rFonts w:cstheme="minorHAnsi"/>
                <w:color w:val="000000"/>
                <w:sz w:val="20"/>
                <w:szCs w:val="20"/>
              </w:rPr>
              <w:t>Increasing</w:t>
            </w:r>
          </w:p>
        </w:tc>
        <w:tc>
          <w:tcPr>
            <w:tcW w:w="1134" w:type="dxa"/>
            <w:tcBorders>
              <w:top w:val="single" w:sz="6" w:space="0" w:color="00B0F0"/>
              <w:left w:val="single" w:sz="6" w:space="0" w:color="00B0F0"/>
              <w:bottom w:val="single" w:sz="6" w:space="0" w:color="00B0F0"/>
              <w:right w:val="single" w:sz="6" w:space="0" w:color="00B0F0"/>
            </w:tcBorders>
            <w:shd w:val="clear" w:color="auto" w:fill="auto"/>
            <w:noWrap/>
            <w:hideMark/>
          </w:tcPr>
          <w:p w:rsidR="00424AFD" w:rsidRPr="00D87B3A" w:rsidRDefault="00424AFD" w:rsidP="00563C30">
            <w:pPr>
              <w:spacing w:after="0" w:line="240" w:lineRule="auto"/>
              <w:rPr>
                <w:rFonts w:cstheme="minorHAnsi"/>
                <w:color w:val="000000"/>
                <w:sz w:val="20"/>
                <w:szCs w:val="20"/>
              </w:rPr>
            </w:pPr>
            <w:r>
              <w:rPr>
                <w:rFonts w:cstheme="minorHAnsi"/>
                <w:color w:val="000000"/>
                <w:sz w:val="20"/>
                <w:szCs w:val="20"/>
              </w:rPr>
              <w:t>Research W</w:t>
            </w:r>
            <w:r w:rsidRPr="00D87B3A">
              <w:rPr>
                <w:rFonts w:cstheme="minorHAnsi"/>
                <w:color w:val="000000"/>
                <w:sz w:val="20"/>
                <w:szCs w:val="20"/>
              </w:rPr>
              <w:t>ellington National Reputation Survey</w:t>
            </w:r>
          </w:p>
        </w:tc>
        <w:tc>
          <w:tcPr>
            <w:tcW w:w="1635" w:type="dxa"/>
            <w:tcBorders>
              <w:top w:val="single" w:sz="6" w:space="0" w:color="00B0F0"/>
              <w:left w:val="single" w:sz="6" w:space="0" w:color="00B0F0"/>
              <w:bottom w:val="single" w:sz="6" w:space="0" w:color="00B0F0"/>
              <w:right w:val="single" w:sz="6" w:space="0" w:color="00B0F0"/>
            </w:tcBorders>
            <w:shd w:val="clear" w:color="auto" w:fill="auto"/>
            <w:noWrap/>
            <w:hideMark/>
          </w:tcPr>
          <w:p w:rsidR="00424AFD" w:rsidRPr="00D87B3A" w:rsidRDefault="00424AFD" w:rsidP="00563C30">
            <w:pPr>
              <w:spacing w:after="0" w:line="240" w:lineRule="auto"/>
              <w:jc w:val="right"/>
              <w:rPr>
                <w:rFonts w:cstheme="minorHAnsi"/>
                <w:color w:val="000000"/>
                <w:sz w:val="20"/>
                <w:szCs w:val="20"/>
              </w:rPr>
            </w:pPr>
            <w:r w:rsidRPr="00D87B3A">
              <w:rPr>
                <w:rFonts w:cstheme="minorHAnsi"/>
                <w:color w:val="000000"/>
                <w:sz w:val="20"/>
                <w:szCs w:val="20"/>
              </w:rPr>
              <w:t>78%</w:t>
            </w:r>
          </w:p>
        </w:tc>
        <w:tc>
          <w:tcPr>
            <w:tcW w:w="1635" w:type="dxa"/>
            <w:tcBorders>
              <w:top w:val="single" w:sz="6" w:space="0" w:color="00B0F0"/>
              <w:left w:val="single" w:sz="6" w:space="0" w:color="00B0F0"/>
              <w:bottom w:val="single" w:sz="6" w:space="0" w:color="00B0F0"/>
              <w:right w:val="single" w:sz="6" w:space="0" w:color="00B0F0"/>
            </w:tcBorders>
            <w:shd w:val="clear" w:color="auto" w:fill="auto"/>
            <w:noWrap/>
            <w:hideMark/>
          </w:tcPr>
          <w:p w:rsidR="00424AFD" w:rsidRPr="00D87B3A" w:rsidRDefault="00424AFD" w:rsidP="00563C30">
            <w:pPr>
              <w:spacing w:after="0" w:line="240" w:lineRule="auto"/>
              <w:jc w:val="right"/>
              <w:rPr>
                <w:rFonts w:cstheme="minorHAnsi"/>
                <w:color w:val="000000"/>
                <w:sz w:val="20"/>
                <w:szCs w:val="20"/>
              </w:rPr>
            </w:pPr>
            <w:r w:rsidRPr="00D87B3A">
              <w:rPr>
                <w:rFonts w:cstheme="minorHAnsi"/>
                <w:color w:val="000000"/>
                <w:sz w:val="20"/>
                <w:szCs w:val="20"/>
              </w:rPr>
              <w:t>80%</w:t>
            </w:r>
          </w:p>
        </w:tc>
        <w:tc>
          <w:tcPr>
            <w:tcW w:w="1635" w:type="dxa"/>
            <w:tcBorders>
              <w:top w:val="single" w:sz="6" w:space="0" w:color="00B0F0"/>
              <w:left w:val="single" w:sz="6" w:space="0" w:color="00B0F0"/>
              <w:bottom w:val="single" w:sz="6" w:space="0" w:color="00B0F0"/>
              <w:right w:val="single" w:sz="6" w:space="0" w:color="00B0F0"/>
            </w:tcBorders>
            <w:shd w:val="clear" w:color="auto" w:fill="auto"/>
            <w:noWrap/>
            <w:hideMark/>
          </w:tcPr>
          <w:p w:rsidR="00424AFD" w:rsidRPr="00D87B3A" w:rsidRDefault="00424AFD" w:rsidP="00563C30">
            <w:pPr>
              <w:spacing w:after="0" w:line="240" w:lineRule="auto"/>
              <w:jc w:val="right"/>
              <w:rPr>
                <w:rFonts w:cstheme="minorHAnsi"/>
                <w:color w:val="000000"/>
                <w:sz w:val="20"/>
                <w:szCs w:val="20"/>
              </w:rPr>
            </w:pPr>
            <w:r w:rsidRPr="00D87B3A">
              <w:rPr>
                <w:rFonts w:cstheme="minorHAnsi"/>
                <w:color w:val="000000"/>
                <w:sz w:val="20"/>
                <w:szCs w:val="20"/>
              </w:rPr>
              <w:t>76%</w:t>
            </w:r>
          </w:p>
        </w:tc>
        <w:tc>
          <w:tcPr>
            <w:tcW w:w="4167" w:type="dxa"/>
            <w:gridSpan w:val="2"/>
            <w:tcBorders>
              <w:top w:val="single" w:sz="6" w:space="0" w:color="00B0F0"/>
              <w:left w:val="single" w:sz="6" w:space="0" w:color="00B0F0"/>
              <w:bottom w:val="single" w:sz="6" w:space="0" w:color="00B0F0"/>
              <w:right w:val="single" w:sz="6" w:space="0" w:color="00B0F0"/>
            </w:tcBorders>
            <w:shd w:val="clear" w:color="auto" w:fill="auto"/>
            <w:noWrap/>
            <w:hideMark/>
          </w:tcPr>
          <w:p w:rsidR="00424AFD" w:rsidRPr="00D87B3A" w:rsidRDefault="00DD6D6D" w:rsidP="00563C30">
            <w:pPr>
              <w:spacing w:after="0" w:line="240" w:lineRule="auto"/>
              <w:rPr>
                <w:rFonts w:cstheme="minorHAnsi"/>
                <w:color w:val="000000"/>
                <w:sz w:val="20"/>
                <w:szCs w:val="20"/>
              </w:rPr>
            </w:pPr>
            <w:r>
              <w:rPr>
                <w:rFonts w:cstheme="minorHAnsi"/>
                <w:color w:val="000000"/>
                <w:sz w:val="20"/>
                <w:szCs w:val="20"/>
              </w:rPr>
              <w:t>No trend.</w:t>
            </w:r>
          </w:p>
        </w:tc>
      </w:tr>
      <w:tr w:rsidR="00424AFD" w:rsidRPr="00D87B3A" w:rsidTr="00DD6D6D">
        <w:trPr>
          <w:trHeight w:val="278"/>
        </w:trPr>
        <w:tc>
          <w:tcPr>
            <w:tcW w:w="3119" w:type="dxa"/>
            <w:tcBorders>
              <w:top w:val="single" w:sz="6" w:space="0" w:color="00B0F0"/>
              <w:left w:val="single" w:sz="6" w:space="0" w:color="00B0F0"/>
              <w:bottom w:val="single" w:sz="6" w:space="0" w:color="00B0F0"/>
              <w:right w:val="single" w:sz="6" w:space="0" w:color="00B0F0"/>
            </w:tcBorders>
            <w:shd w:val="clear" w:color="auto" w:fill="auto"/>
            <w:hideMark/>
          </w:tcPr>
          <w:p w:rsidR="00424AFD" w:rsidRPr="00D87B3A" w:rsidRDefault="00424AFD" w:rsidP="00563C30">
            <w:pPr>
              <w:spacing w:after="0" w:line="240" w:lineRule="auto"/>
              <w:rPr>
                <w:rFonts w:cstheme="minorHAnsi"/>
                <w:color w:val="000000"/>
                <w:sz w:val="20"/>
                <w:szCs w:val="20"/>
              </w:rPr>
            </w:pPr>
            <w:r w:rsidRPr="00D87B3A">
              <w:rPr>
                <w:rFonts w:cstheme="minorHAnsi"/>
                <w:color w:val="000000"/>
                <w:sz w:val="20"/>
                <w:szCs w:val="20"/>
              </w:rPr>
              <w:t>Residents’ perceptions of urban design/urban form safety issues (ie graffiti, vandalism, poorly-lit public spaces etc.)</w:t>
            </w:r>
          </w:p>
        </w:tc>
        <w:tc>
          <w:tcPr>
            <w:tcW w:w="1276" w:type="dxa"/>
            <w:tcBorders>
              <w:top w:val="single" w:sz="6" w:space="0" w:color="00B0F0"/>
              <w:left w:val="single" w:sz="6" w:space="0" w:color="00B0F0"/>
              <w:bottom w:val="single" w:sz="6" w:space="0" w:color="00B0F0"/>
              <w:right w:val="single" w:sz="6" w:space="0" w:color="00B0F0"/>
            </w:tcBorders>
            <w:shd w:val="clear" w:color="auto" w:fill="auto"/>
            <w:noWrap/>
            <w:hideMark/>
          </w:tcPr>
          <w:p w:rsidR="00424AFD" w:rsidRPr="00D87B3A" w:rsidRDefault="00424AFD" w:rsidP="00563C30">
            <w:pPr>
              <w:spacing w:after="0" w:line="240" w:lineRule="auto"/>
              <w:rPr>
                <w:rFonts w:cstheme="minorHAnsi"/>
                <w:color w:val="000000"/>
                <w:sz w:val="20"/>
                <w:szCs w:val="20"/>
              </w:rPr>
            </w:pPr>
            <w:r w:rsidRPr="00D87B3A">
              <w:rPr>
                <w:rFonts w:cstheme="minorHAnsi"/>
                <w:color w:val="000000"/>
                <w:sz w:val="20"/>
                <w:szCs w:val="20"/>
              </w:rPr>
              <w:t>Increasing</w:t>
            </w:r>
          </w:p>
        </w:tc>
        <w:tc>
          <w:tcPr>
            <w:tcW w:w="1134" w:type="dxa"/>
            <w:tcBorders>
              <w:top w:val="single" w:sz="6" w:space="0" w:color="00B0F0"/>
              <w:left w:val="single" w:sz="6" w:space="0" w:color="00B0F0"/>
              <w:bottom w:val="single" w:sz="6" w:space="0" w:color="00B0F0"/>
              <w:right w:val="single" w:sz="6" w:space="0" w:color="00B0F0"/>
            </w:tcBorders>
            <w:shd w:val="clear" w:color="auto" w:fill="auto"/>
            <w:noWrap/>
            <w:hideMark/>
          </w:tcPr>
          <w:p w:rsidR="00424AFD" w:rsidRPr="00D87B3A" w:rsidRDefault="00424AFD" w:rsidP="00563C30">
            <w:pPr>
              <w:spacing w:after="0" w:line="240" w:lineRule="auto"/>
              <w:rPr>
                <w:rFonts w:cstheme="minorHAnsi"/>
                <w:color w:val="000000"/>
                <w:sz w:val="20"/>
                <w:szCs w:val="20"/>
              </w:rPr>
            </w:pPr>
            <w:r w:rsidRPr="00D87B3A">
              <w:rPr>
                <w:rFonts w:cstheme="minorHAnsi"/>
                <w:color w:val="000000"/>
                <w:sz w:val="20"/>
                <w:szCs w:val="20"/>
              </w:rPr>
              <w:t>WCC RMS 2019</w:t>
            </w:r>
          </w:p>
        </w:tc>
        <w:tc>
          <w:tcPr>
            <w:tcW w:w="1635" w:type="dxa"/>
            <w:tcBorders>
              <w:top w:val="single" w:sz="6" w:space="0" w:color="00B0F0"/>
              <w:left w:val="single" w:sz="6" w:space="0" w:color="00B0F0"/>
              <w:bottom w:val="single" w:sz="6" w:space="0" w:color="00B0F0"/>
              <w:right w:val="single" w:sz="6" w:space="0" w:color="00B0F0"/>
            </w:tcBorders>
            <w:shd w:val="clear" w:color="auto" w:fill="auto"/>
            <w:hideMark/>
          </w:tcPr>
          <w:p w:rsidR="00424AFD" w:rsidRPr="00D87B3A" w:rsidRDefault="00424AFD" w:rsidP="00563C30">
            <w:pPr>
              <w:spacing w:after="0" w:line="240" w:lineRule="auto"/>
              <w:jc w:val="right"/>
              <w:rPr>
                <w:rFonts w:cstheme="minorHAnsi"/>
                <w:color w:val="000000"/>
                <w:sz w:val="20"/>
                <w:szCs w:val="20"/>
              </w:rPr>
            </w:pPr>
            <w:r w:rsidRPr="00D87B3A">
              <w:rPr>
                <w:rFonts w:cstheme="minorHAnsi"/>
                <w:color w:val="000000"/>
                <w:sz w:val="20"/>
                <w:szCs w:val="20"/>
              </w:rPr>
              <w:t>Improvements perceived against graffiti and vandalism</w:t>
            </w:r>
          </w:p>
        </w:tc>
        <w:tc>
          <w:tcPr>
            <w:tcW w:w="1635" w:type="dxa"/>
            <w:tcBorders>
              <w:top w:val="single" w:sz="6" w:space="0" w:color="00B0F0"/>
              <w:left w:val="single" w:sz="6" w:space="0" w:color="00B0F0"/>
              <w:bottom w:val="single" w:sz="6" w:space="0" w:color="00B0F0"/>
              <w:right w:val="single" w:sz="6" w:space="0" w:color="00B0F0"/>
            </w:tcBorders>
            <w:shd w:val="clear" w:color="auto" w:fill="auto"/>
            <w:hideMark/>
          </w:tcPr>
          <w:p w:rsidR="00424AFD" w:rsidRPr="00D87B3A" w:rsidRDefault="003856A0" w:rsidP="00563C30">
            <w:pPr>
              <w:spacing w:after="0" w:line="240" w:lineRule="auto"/>
              <w:jc w:val="right"/>
              <w:rPr>
                <w:rFonts w:cstheme="minorHAnsi"/>
                <w:color w:val="000000"/>
                <w:sz w:val="20"/>
                <w:szCs w:val="20"/>
              </w:rPr>
            </w:pPr>
            <w:r>
              <w:rPr>
                <w:rFonts w:cstheme="minorHAnsi"/>
                <w:color w:val="000000"/>
                <w:sz w:val="20"/>
                <w:szCs w:val="20"/>
              </w:rPr>
              <w:t>S</w:t>
            </w:r>
            <w:r w:rsidRPr="00D87B3A">
              <w:rPr>
                <w:rFonts w:cstheme="minorHAnsi"/>
                <w:color w:val="000000"/>
                <w:sz w:val="20"/>
                <w:szCs w:val="20"/>
              </w:rPr>
              <w:t xml:space="preserve">ome </w:t>
            </w:r>
            <w:r w:rsidR="00424AFD" w:rsidRPr="00D87B3A">
              <w:rPr>
                <w:rFonts w:cstheme="minorHAnsi"/>
                <w:color w:val="000000"/>
                <w:sz w:val="20"/>
                <w:szCs w:val="20"/>
              </w:rPr>
              <w:t>improvements perceived</w:t>
            </w:r>
          </w:p>
        </w:tc>
        <w:tc>
          <w:tcPr>
            <w:tcW w:w="1635" w:type="dxa"/>
            <w:tcBorders>
              <w:top w:val="single" w:sz="6" w:space="0" w:color="00B0F0"/>
              <w:left w:val="single" w:sz="6" w:space="0" w:color="00B0F0"/>
              <w:bottom w:val="single" w:sz="6" w:space="0" w:color="00B0F0"/>
              <w:right w:val="single" w:sz="6" w:space="0" w:color="00B0F0"/>
            </w:tcBorders>
            <w:shd w:val="clear" w:color="auto" w:fill="auto"/>
            <w:hideMark/>
          </w:tcPr>
          <w:p w:rsidR="00424AFD" w:rsidRPr="00D87B3A" w:rsidRDefault="00424AFD" w:rsidP="00563C30">
            <w:pPr>
              <w:spacing w:after="0" w:line="240" w:lineRule="auto"/>
              <w:jc w:val="right"/>
              <w:rPr>
                <w:rFonts w:cstheme="minorHAnsi"/>
                <w:color w:val="000000"/>
                <w:sz w:val="20"/>
                <w:szCs w:val="20"/>
              </w:rPr>
            </w:pPr>
            <w:r w:rsidRPr="00D87B3A">
              <w:rPr>
                <w:rFonts w:cstheme="minorHAnsi"/>
                <w:color w:val="000000"/>
                <w:sz w:val="20"/>
                <w:szCs w:val="20"/>
              </w:rPr>
              <w:t>Concerns increased across all reported areas</w:t>
            </w:r>
          </w:p>
        </w:tc>
        <w:tc>
          <w:tcPr>
            <w:tcW w:w="4167" w:type="dxa"/>
            <w:gridSpan w:val="2"/>
            <w:tcBorders>
              <w:top w:val="single" w:sz="6" w:space="0" w:color="00B0F0"/>
              <w:left w:val="single" w:sz="6" w:space="0" w:color="00B0F0"/>
              <w:bottom w:val="single" w:sz="6" w:space="0" w:color="00B0F0"/>
              <w:right w:val="single" w:sz="6" w:space="0" w:color="00B0F0"/>
            </w:tcBorders>
            <w:shd w:val="clear" w:color="auto" w:fill="auto"/>
            <w:noWrap/>
            <w:hideMark/>
          </w:tcPr>
          <w:p w:rsidR="00424AFD" w:rsidRPr="00D87B3A" w:rsidRDefault="00424AFD" w:rsidP="00563C30">
            <w:pPr>
              <w:spacing w:after="0" w:line="240" w:lineRule="auto"/>
              <w:rPr>
                <w:rFonts w:cstheme="minorHAnsi"/>
                <w:color w:val="000000"/>
                <w:sz w:val="20"/>
                <w:szCs w:val="20"/>
              </w:rPr>
            </w:pPr>
            <w:r w:rsidRPr="00D87B3A">
              <w:rPr>
                <w:rFonts w:cstheme="minorHAnsi"/>
                <w:color w:val="000000"/>
                <w:sz w:val="20"/>
                <w:szCs w:val="20"/>
              </w:rPr>
              <w:t>Negative trend. See supplementary tables</w:t>
            </w:r>
          </w:p>
        </w:tc>
      </w:tr>
      <w:tr w:rsidR="00424AFD" w:rsidRPr="00D87B3A" w:rsidTr="00DD6D6D">
        <w:trPr>
          <w:trHeight w:val="765"/>
        </w:trPr>
        <w:tc>
          <w:tcPr>
            <w:tcW w:w="3119" w:type="dxa"/>
            <w:tcBorders>
              <w:top w:val="single" w:sz="6" w:space="0" w:color="00B0F0"/>
              <w:left w:val="single" w:sz="6" w:space="0" w:color="00B0F0"/>
              <w:bottom w:val="single" w:sz="6" w:space="0" w:color="00B0F0"/>
              <w:right w:val="single" w:sz="6" w:space="0" w:color="00B0F0"/>
            </w:tcBorders>
            <w:shd w:val="clear" w:color="auto" w:fill="auto"/>
            <w:hideMark/>
          </w:tcPr>
          <w:p w:rsidR="00424AFD" w:rsidRPr="00D87B3A" w:rsidRDefault="00424AFD" w:rsidP="00563C30">
            <w:pPr>
              <w:spacing w:after="0" w:line="240" w:lineRule="auto"/>
              <w:rPr>
                <w:rFonts w:cstheme="minorHAnsi"/>
                <w:color w:val="000000"/>
                <w:sz w:val="20"/>
                <w:szCs w:val="20"/>
              </w:rPr>
            </w:pPr>
            <w:r w:rsidRPr="00D87B3A">
              <w:rPr>
                <w:rFonts w:cstheme="minorHAnsi"/>
                <w:color w:val="000000"/>
                <w:sz w:val="20"/>
                <w:szCs w:val="20"/>
              </w:rPr>
              <w:t>Residents’ perceptions of the attractiveness of the central city and their local suburbs</w:t>
            </w:r>
          </w:p>
        </w:tc>
        <w:tc>
          <w:tcPr>
            <w:tcW w:w="1276" w:type="dxa"/>
            <w:tcBorders>
              <w:top w:val="single" w:sz="6" w:space="0" w:color="00B0F0"/>
              <w:left w:val="single" w:sz="6" w:space="0" w:color="00B0F0"/>
              <w:bottom w:val="single" w:sz="6" w:space="0" w:color="00B0F0"/>
              <w:right w:val="single" w:sz="6" w:space="0" w:color="00B0F0"/>
            </w:tcBorders>
            <w:shd w:val="clear" w:color="auto" w:fill="auto"/>
            <w:noWrap/>
            <w:hideMark/>
          </w:tcPr>
          <w:p w:rsidR="00424AFD" w:rsidRPr="00D87B3A" w:rsidRDefault="00424AFD" w:rsidP="00563C30">
            <w:pPr>
              <w:spacing w:after="0" w:line="240" w:lineRule="auto"/>
              <w:rPr>
                <w:rFonts w:cstheme="minorHAnsi"/>
                <w:color w:val="000000"/>
                <w:sz w:val="20"/>
                <w:szCs w:val="20"/>
              </w:rPr>
            </w:pPr>
            <w:r w:rsidRPr="00D87B3A">
              <w:rPr>
                <w:rFonts w:cstheme="minorHAnsi"/>
                <w:color w:val="000000"/>
                <w:sz w:val="20"/>
                <w:szCs w:val="20"/>
              </w:rPr>
              <w:t>Increasing</w:t>
            </w:r>
          </w:p>
        </w:tc>
        <w:tc>
          <w:tcPr>
            <w:tcW w:w="1134" w:type="dxa"/>
            <w:tcBorders>
              <w:top w:val="single" w:sz="6" w:space="0" w:color="00B0F0"/>
              <w:left w:val="single" w:sz="6" w:space="0" w:color="00B0F0"/>
              <w:bottom w:val="single" w:sz="6" w:space="0" w:color="00B0F0"/>
              <w:right w:val="single" w:sz="6" w:space="0" w:color="00B0F0"/>
            </w:tcBorders>
            <w:shd w:val="clear" w:color="auto" w:fill="auto"/>
            <w:noWrap/>
            <w:hideMark/>
          </w:tcPr>
          <w:p w:rsidR="00424AFD" w:rsidRPr="00D87B3A" w:rsidRDefault="00424AFD" w:rsidP="00563C30">
            <w:pPr>
              <w:spacing w:after="0" w:line="240" w:lineRule="auto"/>
              <w:rPr>
                <w:rFonts w:cstheme="minorHAnsi"/>
                <w:color w:val="000000"/>
                <w:sz w:val="20"/>
                <w:szCs w:val="20"/>
              </w:rPr>
            </w:pPr>
            <w:r w:rsidRPr="00D87B3A">
              <w:rPr>
                <w:rFonts w:cstheme="minorHAnsi"/>
                <w:color w:val="000000"/>
                <w:sz w:val="20"/>
                <w:szCs w:val="20"/>
              </w:rPr>
              <w:t>WCC RMS 2019</w:t>
            </w:r>
          </w:p>
        </w:tc>
        <w:tc>
          <w:tcPr>
            <w:tcW w:w="1635" w:type="dxa"/>
            <w:tcBorders>
              <w:top w:val="single" w:sz="6" w:space="0" w:color="00B0F0"/>
              <w:left w:val="single" w:sz="6" w:space="0" w:color="00B0F0"/>
              <w:bottom w:val="single" w:sz="6" w:space="0" w:color="00B0F0"/>
              <w:right w:val="single" w:sz="6" w:space="0" w:color="00B0F0"/>
            </w:tcBorders>
            <w:shd w:val="clear" w:color="auto" w:fill="auto"/>
            <w:hideMark/>
          </w:tcPr>
          <w:p w:rsidR="00424AFD" w:rsidRPr="00D87B3A" w:rsidRDefault="00424AFD" w:rsidP="001B50F9">
            <w:pPr>
              <w:spacing w:after="0" w:line="240" w:lineRule="auto"/>
              <w:jc w:val="right"/>
              <w:rPr>
                <w:rFonts w:cstheme="minorHAnsi"/>
                <w:color w:val="000000"/>
                <w:sz w:val="20"/>
                <w:szCs w:val="20"/>
              </w:rPr>
            </w:pPr>
            <w:r w:rsidRPr="00D87B3A">
              <w:rPr>
                <w:rFonts w:cstheme="minorHAnsi"/>
                <w:color w:val="000000"/>
                <w:sz w:val="20"/>
                <w:szCs w:val="20"/>
              </w:rPr>
              <w:t xml:space="preserve">City (88%); </w:t>
            </w:r>
          </w:p>
        </w:tc>
        <w:tc>
          <w:tcPr>
            <w:tcW w:w="1635" w:type="dxa"/>
            <w:tcBorders>
              <w:top w:val="single" w:sz="6" w:space="0" w:color="00B0F0"/>
              <w:left w:val="single" w:sz="6" w:space="0" w:color="00B0F0"/>
              <w:bottom w:val="single" w:sz="6" w:space="0" w:color="00B0F0"/>
              <w:right w:val="single" w:sz="6" w:space="0" w:color="00B0F0"/>
            </w:tcBorders>
            <w:shd w:val="clear" w:color="auto" w:fill="auto"/>
            <w:hideMark/>
          </w:tcPr>
          <w:p w:rsidR="00424AFD" w:rsidRPr="00D87B3A" w:rsidRDefault="00424AFD" w:rsidP="001B50F9">
            <w:pPr>
              <w:spacing w:after="0" w:line="240" w:lineRule="auto"/>
              <w:jc w:val="right"/>
              <w:rPr>
                <w:rFonts w:cstheme="minorHAnsi"/>
                <w:color w:val="000000"/>
                <w:sz w:val="20"/>
                <w:szCs w:val="20"/>
              </w:rPr>
            </w:pPr>
            <w:r w:rsidRPr="00D87B3A">
              <w:rPr>
                <w:rFonts w:cstheme="minorHAnsi"/>
                <w:color w:val="000000"/>
                <w:sz w:val="20"/>
                <w:szCs w:val="20"/>
              </w:rPr>
              <w:t xml:space="preserve">City (85.8%); </w:t>
            </w:r>
          </w:p>
        </w:tc>
        <w:tc>
          <w:tcPr>
            <w:tcW w:w="1635" w:type="dxa"/>
            <w:tcBorders>
              <w:top w:val="single" w:sz="6" w:space="0" w:color="00B0F0"/>
              <w:left w:val="single" w:sz="6" w:space="0" w:color="00B0F0"/>
              <w:bottom w:val="single" w:sz="6" w:space="0" w:color="00B0F0"/>
              <w:right w:val="single" w:sz="6" w:space="0" w:color="00B0F0"/>
            </w:tcBorders>
            <w:shd w:val="clear" w:color="auto" w:fill="auto"/>
            <w:hideMark/>
          </w:tcPr>
          <w:p w:rsidR="00424AFD" w:rsidRPr="00D87B3A" w:rsidRDefault="00424AFD" w:rsidP="001B50F9">
            <w:pPr>
              <w:spacing w:after="0" w:line="240" w:lineRule="auto"/>
              <w:jc w:val="right"/>
              <w:rPr>
                <w:rFonts w:cstheme="minorHAnsi"/>
                <w:color w:val="000000"/>
                <w:sz w:val="20"/>
                <w:szCs w:val="20"/>
              </w:rPr>
            </w:pPr>
            <w:r w:rsidRPr="00D87B3A">
              <w:rPr>
                <w:rFonts w:cstheme="minorHAnsi"/>
                <w:color w:val="000000"/>
                <w:sz w:val="20"/>
                <w:szCs w:val="20"/>
              </w:rPr>
              <w:t xml:space="preserve">City (80.4%); </w:t>
            </w:r>
          </w:p>
        </w:tc>
        <w:tc>
          <w:tcPr>
            <w:tcW w:w="4167" w:type="dxa"/>
            <w:gridSpan w:val="2"/>
            <w:tcBorders>
              <w:top w:val="single" w:sz="6" w:space="0" w:color="00B0F0"/>
              <w:left w:val="single" w:sz="6" w:space="0" w:color="00B0F0"/>
              <w:bottom w:val="single" w:sz="6" w:space="0" w:color="00B0F0"/>
              <w:right w:val="single" w:sz="6" w:space="0" w:color="00B0F0"/>
            </w:tcBorders>
            <w:shd w:val="clear" w:color="auto" w:fill="auto"/>
            <w:noWrap/>
            <w:hideMark/>
          </w:tcPr>
          <w:p w:rsidR="00424AFD" w:rsidRPr="00D87B3A" w:rsidRDefault="00424AFD" w:rsidP="00563C30">
            <w:pPr>
              <w:spacing w:after="0" w:line="240" w:lineRule="auto"/>
              <w:rPr>
                <w:rFonts w:cstheme="minorHAnsi"/>
                <w:color w:val="000000"/>
                <w:sz w:val="20"/>
                <w:szCs w:val="20"/>
              </w:rPr>
            </w:pPr>
            <w:r w:rsidRPr="009F39E1">
              <w:rPr>
                <w:rFonts w:cstheme="minorHAnsi"/>
                <w:color w:val="000000"/>
                <w:sz w:val="20"/>
                <w:szCs w:val="20"/>
              </w:rPr>
              <w:t>Negative trend</w:t>
            </w:r>
          </w:p>
        </w:tc>
      </w:tr>
      <w:tr w:rsidR="001B50F9" w:rsidRPr="00D87B3A" w:rsidTr="00DD6D6D">
        <w:tblPrEx>
          <w:shd w:val="clear" w:color="auto" w:fill="auto"/>
        </w:tblPrEx>
        <w:trPr>
          <w:trHeight w:val="765"/>
        </w:trPr>
        <w:tc>
          <w:tcPr>
            <w:tcW w:w="3119" w:type="dxa"/>
            <w:tcBorders>
              <w:top w:val="single" w:sz="6" w:space="0" w:color="00B0F0"/>
              <w:left w:val="single" w:sz="6" w:space="0" w:color="00B0F0"/>
              <w:bottom w:val="single" w:sz="6" w:space="0" w:color="00B0F0"/>
              <w:right w:val="single" w:sz="6" w:space="0" w:color="00B0F0"/>
            </w:tcBorders>
            <w:shd w:val="clear" w:color="auto" w:fill="auto"/>
          </w:tcPr>
          <w:p w:rsidR="001B50F9" w:rsidRPr="00D87B3A" w:rsidRDefault="001B50F9" w:rsidP="00563C30">
            <w:pPr>
              <w:spacing w:after="0" w:line="240" w:lineRule="auto"/>
              <w:rPr>
                <w:rFonts w:cstheme="minorHAnsi"/>
                <w:color w:val="000000"/>
                <w:sz w:val="20"/>
                <w:szCs w:val="20"/>
              </w:rPr>
            </w:pPr>
          </w:p>
        </w:tc>
        <w:tc>
          <w:tcPr>
            <w:tcW w:w="1276" w:type="dxa"/>
            <w:tcBorders>
              <w:top w:val="single" w:sz="6" w:space="0" w:color="00B0F0"/>
              <w:left w:val="single" w:sz="6" w:space="0" w:color="00B0F0"/>
              <w:bottom w:val="single" w:sz="6" w:space="0" w:color="00B0F0"/>
              <w:right w:val="single" w:sz="6" w:space="0" w:color="00B0F0"/>
            </w:tcBorders>
            <w:shd w:val="clear" w:color="auto" w:fill="auto"/>
            <w:noWrap/>
          </w:tcPr>
          <w:p w:rsidR="001B50F9" w:rsidRPr="00D87B3A" w:rsidRDefault="001B50F9" w:rsidP="00563C30">
            <w:pPr>
              <w:spacing w:after="0" w:line="240" w:lineRule="auto"/>
              <w:rPr>
                <w:rFonts w:cstheme="minorHAnsi"/>
                <w:color w:val="000000"/>
                <w:sz w:val="20"/>
                <w:szCs w:val="20"/>
              </w:rPr>
            </w:pPr>
          </w:p>
        </w:tc>
        <w:tc>
          <w:tcPr>
            <w:tcW w:w="1134" w:type="dxa"/>
            <w:tcBorders>
              <w:top w:val="single" w:sz="6" w:space="0" w:color="00B0F0"/>
              <w:left w:val="single" w:sz="6" w:space="0" w:color="00B0F0"/>
              <w:bottom w:val="single" w:sz="6" w:space="0" w:color="00B0F0"/>
              <w:right w:val="single" w:sz="6" w:space="0" w:color="00B0F0"/>
            </w:tcBorders>
            <w:shd w:val="clear" w:color="auto" w:fill="auto"/>
            <w:noWrap/>
          </w:tcPr>
          <w:p w:rsidR="001B50F9" w:rsidRPr="00D87B3A" w:rsidRDefault="001B50F9" w:rsidP="00563C30">
            <w:pPr>
              <w:spacing w:after="0" w:line="240" w:lineRule="auto"/>
              <w:rPr>
                <w:rFonts w:cstheme="minorHAnsi"/>
                <w:color w:val="000000"/>
                <w:sz w:val="20"/>
                <w:szCs w:val="20"/>
              </w:rPr>
            </w:pPr>
          </w:p>
        </w:tc>
        <w:tc>
          <w:tcPr>
            <w:tcW w:w="1635" w:type="dxa"/>
            <w:tcBorders>
              <w:top w:val="single" w:sz="6" w:space="0" w:color="00B0F0"/>
              <w:left w:val="single" w:sz="6" w:space="0" w:color="00B0F0"/>
              <w:bottom w:val="single" w:sz="6" w:space="0" w:color="00B0F0"/>
              <w:right w:val="single" w:sz="6" w:space="0" w:color="00B0F0"/>
            </w:tcBorders>
            <w:shd w:val="clear" w:color="auto" w:fill="auto"/>
          </w:tcPr>
          <w:p w:rsidR="001B50F9" w:rsidRPr="00D87B3A" w:rsidRDefault="001B50F9" w:rsidP="00563C30">
            <w:pPr>
              <w:spacing w:after="0" w:line="240" w:lineRule="auto"/>
              <w:jc w:val="right"/>
              <w:rPr>
                <w:rFonts w:cstheme="minorHAnsi"/>
                <w:color w:val="000000"/>
                <w:sz w:val="20"/>
                <w:szCs w:val="20"/>
              </w:rPr>
            </w:pPr>
            <w:r w:rsidRPr="00D87B3A">
              <w:rPr>
                <w:rFonts w:cstheme="minorHAnsi"/>
                <w:color w:val="000000"/>
                <w:sz w:val="20"/>
                <w:szCs w:val="20"/>
              </w:rPr>
              <w:t>Suburb (50%)</w:t>
            </w:r>
          </w:p>
        </w:tc>
        <w:tc>
          <w:tcPr>
            <w:tcW w:w="1635" w:type="dxa"/>
            <w:tcBorders>
              <w:top w:val="single" w:sz="6" w:space="0" w:color="00B0F0"/>
              <w:left w:val="single" w:sz="6" w:space="0" w:color="00B0F0"/>
              <w:bottom w:val="single" w:sz="6" w:space="0" w:color="00B0F0"/>
              <w:right w:val="single" w:sz="6" w:space="0" w:color="00B0F0"/>
            </w:tcBorders>
            <w:shd w:val="clear" w:color="auto" w:fill="auto"/>
          </w:tcPr>
          <w:p w:rsidR="001B50F9" w:rsidRPr="00D87B3A" w:rsidRDefault="001B50F9" w:rsidP="00563C30">
            <w:pPr>
              <w:spacing w:after="0" w:line="240" w:lineRule="auto"/>
              <w:jc w:val="right"/>
              <w:rPr>
                <w:rFonts w:cstheme="minorHAnsi"/>
                <w:color w:val="000000"/>
                <w:sz w:val="20"/>
                <w:szCs w:val="20"/>
              </w:rPr>
            </w:pPr>
            <w:r w:rsidRPr="00D87B3A">
              <w:rPr>
                <w:rFonts w:cstheme="minorHAnsi"/>
                <w:color w:val="000000"/>
                <w:sz w:val="20"/>
                <w:szCs w:val="20"/>
              </w:rPr>
              <w:t>Suburb (48.4%)</w:t>
            </w:r>
          </w:p>
        </w:tc>
        <w:tc>
          <w:tcPr>
            <w:tcW w:w="1635" w:type="dxa"/>
            <w:tcBorders>
              <w:top w:val="single" w:sz="6" w:space="0" w:color="00B0F0"/>
              <w:left w:val="single" w:sz="6" w:space="0" w:color="00B0F0"/>
              <w:bottom w:val="single" w:sz="6" w:space="0" w:color="00B0F0"/>
              <w:right w:val="single" w:sz="6" w:space="0" w:color="00B0F0"/>
            </w:tcBorders>
            <w:shd w:val="clear" w:color="auto" w:fill="auto"/>
          </w:tcPr>
          <w:p w:rsidR="001B50F9" w:rsidRPr="00D87B3A" w:rsidRDefault="001B50F9" w:rsidP="00563C30">
            <w:pPr>
              <w:spacing w:after="0" w:line="240" w:lineRule="auto"/>
              <w:jc w:val="right"/>
              <w:rPr>
                <w:rFonts w:cstheme="minorHAnsi"/>
                <w:color w:val="000000"/>
                <w:sz w:val="20"/>
                <w:szCs w:val="20"/>
              </w:rPr>
            </w:pPr>
            <w:r w:rsidRPr="00D87B3A">
              <w:rPr>
                <w:rFonts w:cstheme="minorHAnsi"/>
                <w:color w:val="000000"/>
                <w:sz w:val="20"/>
                <w:szCs w:val="20"/>
              </w:rPr>
              <w:t>Suburb (55.3%)</w:t>
            </w:r>
          </w:p>
        </w:tc>
        <w:tc>
          <w:tcPr>
            <w:tcW w:w="4167" w:type="dxa"/>
            <w:gridSpan w:val="2"/>
            <w:tcBorders>
              <w:top w:val="single" w:sz="6" w:space="0" w:color="00B0F0"/>
              <w:left w:val="single" w:sz="6" w:space="0" w:color="00B0F0"/>
              <w:bottom w:val="single" w:sz="6" w:space="0" w:color="00B0F0"/>
              <w:right w:val="single" w:sz="6" w:space="0" w:color="00B0F0"/>
            </w:tcBorders>
            <w:shd w:val="clear" w:color="auto" w:fill="auto"/>
            <w:noWrap/>
          </w:tcPr>
          <w:p w:rsidR="001B50F9" w:rsidRPr="009F39E1" w:rsidRDefault="001B50F9" w:rsidP="00563C30">
            <w:pPr>
              <w:spacing w:after="0" w:line="240" w:lineRule="auto"/>
              <w:rPr>
                <w:rFonts w:cstheme="minorHAnsi"/>
                <w:color w:val="000000"/>
                <w:sz w:val="20"/>
                <w:szCs w:val="20"/>
              </w:rPr>
            </w:pPr>
            <w:r>
              <w:rPr>
                <w:rFonts w:cstheme="minorHAnsi"/>
                <w:color w:val="000000"/>
                <w:sz w:val="20"/>
                <w:szCs w:val="20"/>
              </w:rPr>
              <w:t>No trend</w:t>
            </w:r>
          </w:p>
        </w:tc>
      </w:tr>
      <w:tr w:rsidR="00424AFD" w:rsidRPr="00D87B3A" w:rsidTr="00DD6D6D">
        <w:trPr>
          <w:trHeight w:val="1020"/>
        </w:trPr>
        <w:tc>
          <w:tcPr>
            <w:tcW w:w="3119" w:type="dxa"/>
            <w:tcBorders>
              <w:top w:val="single" w:sz="6" w:space="0" w:color="00B0F0"/>
              <w:left w:val="single" w:sz="6" w:space="0" w:color="00B0F0"/>
              <w:bottom w:val="single" w:sz="6" w:space="0" w:color="00B0F0"/>
              <w:right w:val="single" w:sz="6" w:space="0" w:color="00B0F0"/>
            </w:tcBorders>
            <w:shd w:val="clear" w:color="auto" w:fill="auto"/>
            <w:hideMark/>
          </w:tcPr>
          <w:p w:rsidR="00424AFD" w:rsidRPr="00D87B3A" w:rsidRDefault="00424AFD" w:rsidP="00563C30">
            <w:pPr>
              <w:spacing w:after="0" w:line="240" w:lineRule="auto"/>
              <w:rPr>
                <w:rFonts w:cstheme="minorHAnsi"/>
                <w:color w:val="000000"/>
                <w:sz w:val="20"/>
                <w:szCs w:val="20"/>
              </w:rPr>
            </w:pPr>
            <w:r w:rsidRPr="00D87B3A">
              <w:rPr>
                <w:rFonts w:cstheme="minorHAnsi"/>
                <w:color w:val="000000"/>
                <w:sz w:val="20"/>
                <w:szCs w:val="20"/>
              </w:rPr>
              <w:t>Residents’ perceptions of safety – feelings of safety in the city at night and during the day; in home after dark; in the city centre during the day; walking alone in their neighbourhood at night; in the city centre after dark.</w:t>
            </w:r>
          </w:p>
        </w:tc>
        <w:tc>
          <w:tcPr>
            <w:tcW w:w="1276" w:type="dxa"/>
            <w:tcBorders>
              <w:top w:val="single" w:sz="6" w:space="0" w:color="00B0F0"/>
              <w:left w:val="single" w:sz="6" w:space="0" w:color="00B0F0"/>
              <w:bottom w:val="single" w:sz="6" w:space="0" w:color="00B0F0"/>
              <w:right w:val="single" w:sz="6" w:space="0" w:color="00B0F0"/>
            </w:tcBorders>
            <w:shd w:val="clear" w:color="auto" w:fill="auto"/>
            <w:noWrap/>
            <w:hideMark/>
          </w:tcPr>
          <w:p w:rsidR="00424AFD" w:rsidRPr="00D87B3A" w:rsidRDefault="00424AFD" w:rsidP="00563C30">
            <w:pPr>
              <w:spacing w:after="0" w:line="240" w:lineRule="auto"/>
              <w:rPr>
                <w:rFonts w:cstheme="minorHAnsi"/>
                <w:color w:val="000000"/>
                <w:sz w:val="20"/>
                <w:szCs w:val="20"/>
              </w:rPr>
            </w:pPr>
            <w:r w:rsidRPr="00D87B3A">
              <w:rPr>
                <w:rFonts w:cstheme="minorHAnsi"/>
                <w:color w:val="000000"/>
                <w:sz w:val="20"/>
                <w:szCs w:val="20"/>
              </w:rPr>
              <w:t>Increasing</w:t>
            </w:r>
          </w:p>
        </w:tc>
        <w:tc>
          <w:tcPr>
            <w:tcW w:w="1134" w:type="dxa"/>
            <w:tcBorders>
              <w:top w:val="single" w:sz="6" w:space="0" w:color="00B0F0"/>
              <w:left w:val="single" w:sz="6" w:space="0" w:color="00B0F0"/>
              <w:bottom w:val="single" w:sz="6" w:space="0" w:color="00B0F0"/>
              <w:right w:val="single" w:sz="6" w:space="0" w:color="00B0F0"/>
            </w:tcBorders>
            <w:shd w:val="clear" w:color="auto" w:fill="auto"/>
            <w:noWrap/>
            <w:hideMark/>
          </w:tcPr>
          <w:p w:rsidR="00424AFD" w:rsidRPr="00D87B3A" w:rsidRDefault="00424AFD" w:rsidP="00563C30">
            <w:pPr>
              <w:spacing w:after="0" w:line="240" w:lineRule="auto"/>
              <w:rPr>
                <w:rFonts w:cstheme="minorHAnsi"/>
                <w:color w:val="000000"/>
                <w:sz w:val="20"/>
                <w:szCs w:val="20"/>
              </w:rPr>
            </w:pPr>
            <w:r w:rsidRPr="00D87B3A">
              <w:rPr>
                <w:rFonts w:cstheme="minorHAnsi"/>
                <w:color w:val="000000"/>
                <w:sz w:val="20"/>
                <w:szCs w:val="20"/>
              </w:rPr>
              <w:t>WCC RMS 2019</w:t>
            </w:r>
          </w:p>
        </w:tc>
        <w:tc>
          <w:tcPr>
            <w:tcW w:w="1635" w:type="dxa"/>
            <w:tcBorders>
              <w:top w:val="single" w:sz="6" w:space="0" w:color="00B0F0"/>
              <w:left w:val="single" w:sz="6" w:space="0" w:color="00B0F0"/>
              <w:bottom w:val="single" w:sz="6" w:space="0" w:color="00B0F0"/>
              <w:right w:val="single" w:sz="6" w:space="0" w:color="00B0F0"/>
            </w:tcBorders>
            <w:shd w:val="clear" w:color="auto" w:fill="auto"/>
            <w:hideMark/>
          </w:tcPr>
          <w:p w:rsidR="00424AFD" w:rsidRPr="00D87B3A" w:rsidRDefault="00424AFD" w:rsidP="00563C30">
            <w:pPr>
              <w:spacing w:after="0" w:line="240" w:lineRule="auto"/>
              <w:jc w:val="right"/>
              <w:rPr>
                <w:rFonts w:cstheme="minorHAnsi"/>
                <w:color w:val="000000"/>
                <w:sz w:val="20"/>
                <w:szCs w:val="20"/>
              </w:rPr>
            </w:pPr>
            <w:r w:rsidRPr="00D87B3A">
              <w:rPr>
                <w:rFonts w:cstheme="minorHAnsi"/>
                <w:color w:val="000000"/>
                <w:sz w:val="20"/>
                <w:szCs w:val="20"/>
              </w:rPr>
              <w:t>In city centre after dark 81%</w:t>
            </w:r>
          </w:p>
        </w:tc>
        <w:tc>
          <w:tcPr>
            <w:tcW w:w="1635" w:type="dxa"/>
            <w:tcBorders>
              <w:top w:val="single" w:sz="6" w:space="0" w:color="00B0F0"/>
              <w:left w:val="single" w:sz="6" w:space="0" w:color="00B0F0"/>
              <w:bottom w:val="single" w:sz="6" w:space="0" w:color="00B0F0"/>
              <w:right w:val="single" w:sz="6" w:space="0" w:color="00B0F0"/>
            </w:tcBorders>
            <w:shd w:val="clear" w:color="auto" w:fill="auto"/>
            <w:noWrap/>
            <w:hideMark/>
          </w:tcPr>
          <w:p w:rsidR="00424AFD" w:rsidRPr="00D87B3A" w:rsidRDefault="00424AFD" w:rsidP="00563C30">
            <w:pPr>
              <w:spacing w:after="0" w:line="240" w:lineRule="auto"/>
              <w:jc w:val="right"/>
              <w:rPr>
                <w:rFonts w:cstheme="minorHAnsi"/>
                <w:color w:val="000000"/>
                <w:sz w:val="20"/>
                <w:szCs w:val="20"/>
              </w:rPr>
            </w:pPr>
            <w:r w:rsidRPr="00D87B3A">
              <w:rPr>
                <w:rFonts w:cstheme="minorHAnsi"/>
                <w:color w:val="000000"/>
                <w:sz w:val="20"/>
                <w:szCs w:val="20"/>
              </w:rPr>
              <w:t>In city centre after dark 75.8%</w:t>
            </w:r>
          </w:p>
        </w:tc>
        <w:tc>
          <w:tcPr>
            <w:tcW w:w="1635" w:type="dxa"/>
            <w:tcBorders>
              <w:top w:val="single" w:sz="6" w:space="0" w:color="00B0F0"/>
              <w:left w:val="single" w:sz="6" w:space="0" w:color="00B0F0"/>
              <w:bottom w:val="single" w:sz="6" w:space="0" w:color="00B0F0"/>
              <w:right w:val="single" w:sz="6" w:space="0" w:color="00B0F0"/>
            </w:tcBorders>
            <w:shd w:val="clear" w:color="auto" w:fill="auto"/>
            <w:hideMark/>
          </w:tcPr>
          <w:p w:rsidR="00424AFD" w:rsidRPr="00D87B3A" w:rsidRDefault="00424AFD" w:rsidP="00563C30">
            <w:pPr>
              <w:spacing w:after="0" w:line="240" w:lineRule="auto"/>
              <w:jc w:val="right"/>
              <w:rPr>
                <w:rFonts w:cstheme="minorHAnsi"/>
                <w:color w:val="000000"/>
                <w:sz w:val="20"/>
                <w:szCs w:val="20"/>
              </w:rPr>
            </w:pPr>
            <w:r w:rsidRPr="00D87B3A">
              <w:rPr>
                <w:rFonts w:cstheme="minorHAnsi"/>
                <w:color w:val="000000"/>
                <w:sz w:val="20"/>
                <w:szCs w:val="20"/>
              </w:rPr>
              <w:t xml:space="preserve">In city centre after dark 76%, during day 98%; night 82% </w:t>
            </w:r>
          </w:p>
        </w:tc>
        <w:tc>
          <w:tcPr>
            <w:tcW w:w="4167" w:type="dxa"/>
            <w:gridSpan w:val="2"/>
            <w:tcBorders>
              <w:top w:val="single" w:sz="6" w:space="0" w:color="00B0F0"/>
              <w:left w:val="single" w:sz="6" w:space="0" w:color="00B0F0"/>
              <w:bottom w:val="single" w:sz="6" w:space="0" w:color="00B0F0"/>
              <w:right w:val="single" w:sz="6" w:space="0" w:color="00B0F0"/>
            </w:tcBorders>
            <w:shd w:val="clear" w:color="auto" w:fill="auto"/>
            <w:noWrap/>
            <w:hideMark/>
          </w:tcPr>
          <w:p w:rsidR="00424AFD" w:rsidRPr="00D87B3A" w:rsidRDefault="00DD6D6D" w:rsidP="00563C30">
            <w:pPr>
              <w:spacing w:after="0" w:line="240" w:lineRule="auto"/>
              <w:rPr>
                <w:rFonts w:cstheme="minorHAnsi"/>
                <w:color w:val="000000"/>
                <w:sz w:val="20"/>
                <w:szCs w:val="20"/>
              </w:rPr>
            </w:pPr>
            <w:r>
              <w:rPr>
                <w:rFonts w:cstheme="minorHAnsi"/>
                <w:color w:val="000000"/>
                <w:sz w:val="20"/>
                <w:szCs w:val="20"/>
              </w:rPr>
              <w:t xml:space="preserve">No trend.  </w:t>
            </w:r>
            <w:r w:rsidR="00424AFD" w:rsidRPr="00D87B3A">
              <w:rPr>
                <w:rFonts w:cstheme="minorHAnsi"/>
                <w:color w:val="000000"/>
                <w:sz w:val="20"/>
                <w:szCs w:val="20"/>
              </w:rPr>
              <w:t>See supplementary tables</w:t>
            </w:r>
            <w:r>
              <w:rPr>
                <w:rFonts w:cstheme="minorHAnsi"/>
                <w:color w:val="000000"/>
                <w:sz w:val="20"/>
                <w:szCs w:val="20"/>
              </w:rPr>
              <w:t>.</w:t>
            </w:r>
          </w:p>
        </w:tc>
      </w:tr>
      <w:tr w:rsidR="00424AFD" w:rsidRPr="00D87B3A" w:rsidTr="00DD6D6D">
        <w:trPr>
          <w:trHeight w:val="255"/>
        </w:trPr>
        <w:tc>
          <w:tcPr>
            <w:tcW w:w="3119" w:type="dxa"/>
            <w:tcBorders>
              <w:top w:val="single" w:sz="6" w:space="0" w:color="00B0F0"/>
              <w:left w:val="single" w:sz="6" w:space="0" w:color="00B0F0"/>
              <w:bottom w:val="single" w:sz="6" w:space="0" w:color="00B0F0"/>
              <w:right w:val="single" w:sz="6" w:space="0" w:color="00B0F0"/>
            </w:tcBorders>
            <w:shd w:val="clear" w:color="auto" w:fill="B7ECFF"/>
            <w:hideMark/>
          </w:tcPr>
          <w:p w:rsidR="00424AFD" w:rsidRPr="00D87B3A" w:rsidRDefault="00424AFD" w:rsidP="00563C30">
            <w:pPr>
              <w:spacing w:after="0" w:line="240" w:lineRule="auto"/>
              <w:rPr>
                <w:rFonts w:cstheme="minorHAnsi"/>
                <w:b/>
                <w:bCs/>
                <w:i/>
                <w:iCs/>
                <w:color w:val="000000" w:themeColor="text1"/>
                <w:sz w:val="20"/>
                <w:szCs w:val="20"/>
              </w:rPr>
            </w:pPr>
            <w:r w:rsidRPr="00D87B3A">
              <w:rPr>
                <w:rFonts w:cstheme="minorHAnsi"/>
                <w:b/>
                <w:bCs/>
                <w:i/>
                <w:iCs/>
                <w:color w:val="000000" w:themeColor="text1"/>
                <w:sz w:val="20"/>
                <w:szCs w:val="20"/>
              </w:rPr>
              <w:t>Heritage protection</w:t>
            </w:r>
          </w:p>
        </w:tc>
        <w:tc>
          <w:tcPr>
            <w:tcW w:w="1276" w:type="dxa"/>
            <w:tcBorders>
              <w:top w:val="single" w:sz="6" w:space="0" w:color="00B0F0"/>
              <w:left w:val="single" w:sz="6" w:space="0" w:color="00B0F0"/>
              <w:bottom w:val="single" w:sz="6" w:space="0" w:color="00B0F0"/>
              <w:right w:val="single" w:sz="6" w:space="0" w:color="00B0F0"/>
            </w:tcBorders>
            <w:shd w:val="clear" w:color="auto" w:fill="B7ECFF"/>
            <w:hideMark/>
          </w:tcPr>
          <w:p w:rsidR="00424AFD" w:rsidRPr="00D87B3A" w:rsidRDefault="00424AFD" w:rsidP="00563C30">
            <w:pPr>
              <w:spacing w:after="0" w:line="240" w:lineRule="auto"/>
              <w:rPr>
                <w:rFonts w:cstheme="minorHAnsi"/>
                <w:i/>
                <w:iCs/>
                <w:color w:val="000000" w:themeColor="text1"/>
                <w:sz w:val="20"/>
                <w:szCs w:val="20"/>
              </w:rPr>
            </w:pPr>
          </w:p>
        </w:tc>
        <w:tc>
          <w:tcPr>
            <w:tcW w:w="1134" w:type="dxa"/>
            <w:tcBorders>
              <w:top w:val="single" w:sz="6" w:space="0" w:color="00B0F0"/>
              <w:left w:val="single" w:sz="6" w:space="0" w:color="00B0F0"/>
              <w:bottom w:val="single" w:sz="6" w:space="0" w:color="00B0F0"/>
              <w:right w:val="single" w:sz="6" w:space="0" w:color="00B0F0"/>
            </w:tcBorders>
            <w:shd w:val="clear" w:color="auto" w:fill="B7ECFF"/>
            <w:noWrap/>
            <w:hideMark/>
          </w:tcPr>
          <w:p w:rsidR="00424AFD" w:rsidRPr="00D87B3A" w:rsidRDefault="00424AFD" w:rsidP="00563C30">
            <w:pPr>
              <w:spacing w:after="0" w:line="240" w:lineRule="auto"/>
              <w:rPr>
                <w:rFonts w:cstheme="minorHAnsi"/>
                <w:color w:val="000000" w:themeColor="text1"/>
                <w:sz w:val="20"/>
                <w:szCs w:val="20"/>
              </w:rPr>
            </w:pPr>
          </w:p>
        </w:tc>
        <w:tc>
          <w:tcPr>
            <w:tcW w:w="1635" w:type="dxa"/>
            <w:tcBorders>
              <w:top w:val="single" w:sz="6" w:space="0" w:color="00B0F0"/>
              <w:left w:val="single" w:sz="6" w:space="0" w:color="00B0F0"/>
              <w:bottom w:val="single" w:sz="6" w:space="0" w:color="00B0F0"/>
              <w:right w:val="single" w:sz="6" w:space="0" w:color="00B0F0"/>
            </w:tcBorders>
            <w:shd w:val="clear" w:color="auto" w:fill="B7ECFF"/>
            <w:noWrap/>
            <w:hideMark/>
          </w:tcPr>
          <w:p w:rsidR="00424AFD" w:rsidRPr="00D87B3A" w:rsidRDefault="00424AFD" w:rsidP="00563C30">
            <w:pPr>
              <w:spacing w:after="0" w:line="240" w:lineRule="auto"/>
              <w:jc w:val="right"/>
              <w:rPr>
                <w:rFonts w:cstheme="minorHAnsi"/>
                <w:color w:val="000000" w:themeColor="text1"/>
                <w:sz w:val="20"/>
                <w:szCs w:val="20"/>
              </w:rPr>
            </w:pPr>
          </w:p>
        </w:tc>
        <w:tc>
          <w:tcPr>
            <w:tcW w:w="1635" w:type="dxa"/>
            <w:tcBorders>
              <w:top w:val="single" w:sz="6" w:space="0" w:color="00B0F0"/>
              <w:left w:val="single" w:sz="6" w:space="0" w:color="00B0F0"/>
              <w:bottom w:val="single" w:sz="6" w:space="0" w:color="00B0F0"/>
              <w:right w:val="single" w:sz="6" w:space="0" w:color="00B0F0"/>
            </w:tcBorders>
            <w:shd w:val="clear" w:color="auto" w:fill="B7ECFF"/>
            <w:noWrap/>
            <w:hideMark/>
          </w:tcPr>
          <w:p w:rsidR="00424AFD" w:rsidRPr="00D87B3A" w:rsidRDefault="00424AFD" w:rsidP="00563C30">
            <w:pPr>
              <w:spacing w:after="0" w:line="240" w:lineRule="auto"/>
              <w:jc w:val="right"/>
              <w:rPr>
                <w:rFonts w:cstheme="minorHAnsi"/>
                <w:color w:val="000000" w:themeColor="text1"/>
                <w:sz w:val="20"/>
                <w:szCs w:val="20"/>
              </w:rPr>
            </w:pPr>
          </w:p>
        </w:tc>
        <w:tc>
          <w:tcPr>
            <w:tcW w:w="1635" w:type="dxa"/>
            <w:tcBorders>
              <w:top w:val="single" w:sz="6" w:space="0" w:color="00B0F0"/>
              <w:left w:val="single" w:sz="6" w:space="0" w:color="00B0F0"/>
              <w:bottom w:val="single" w:sz="6" w:space="0" w:color="00B0F0"/>
              <w:right w:val="single" w:sz="6" w:space="0" w:color="00B0F0"/>
            </w:tcBorders>
            <w:shd w:val="clear" w:color="auto" w:fill="B7ECFF"/>
            <w:noWrap/>
            <w:hideMark/>
          </w:tcPr>
          <w:p w:rsidR="00424AFD" w:rsidRPr="00D87B3A" w:rsidRDefault="00424AFD" w:rsidP="00563C30">
            <w:pPr>
              <w:spacing w:after="0" w:line="240" w:lineRule="auto"/>
              <w:jc w:val="right"/>
              <w:rPr>
                <w:rFonts w:cstheme="minorHAnsi"/>
                <w:color w:val="000000" w:themeColor="text1"/>
                <w:sz w:val="20"/>
                <w:szCs w:val="20"/>
              </w:rPr>
            </w:pPr>
          </w:p>
        </w:tc>
        <w:tc>
          <w:tcPr>
            <w:tcW w:w="4167" w:type="dxa"/>
            <w:gridSpan w:val="2"/>
            <w:tcBorders>
              <w:top w:val="single" w:sz="6" w:space="0" w:color="00B0F0"/>
              <w:left w:val="single" w:sz="6" w:space="0" w:color="00B0F0"/>
              <w:bottom w:val="single" w:sz="6" w:space="0" w:color="00B0F0"/>
              <w:right w:val="single" w:sz="6" w:space="0" w:color="00B0F0"/>
            </w:tcBorders>
            <w:shd w:val="clear" w:color="auto" w:fill="B7ECFF"/>
            <w:noWrap/>
            <w:hideMark/>
          </w:tcPr>
          <w:p w:rsidR="00424AFD" w:rsidRPr="00D87B3A" w:rsidRDefault="00424AFD" w:rsidP="00563C30">
            <w:pPr>
              <w:spacing w:after="0" w:line="240" w:lineRule="auto"/>
              <w:rPr>
                <w:rFonts w:cstheme="minorHAnsi"/>
                <w:color w:val="000000" w:themeColor="text1"/>
                <w:sz w:val="20"/>
                <w:szCs w:val="20"/>
              </w:rPr>
            </w:pPr>
          </w:p>
        </w:tc>
      </w:tr>
      <w:tr w:rsidR="00424AFD" w:rsidRPr="00D87B3A" w:rsidTr="00DD6D6D">
        <w:trPr>
          <w:trHeight w:val="765"/>
        </w:trPr>
        <w:tc>
          <w:tcPr>
            <w:tcW w:w="3119" w:type="dxa"/>
            <w:tcBorders>
              <w:top w:val="single" w:sz="6" w:space="0" w:color="00B0F0"/>
              <w:left w:val="single" w:sz="6" w:space="0" w:color="00B0F0"/>
              <w:bottom w:val="single" w:sz="6" w:space="0" w:color="00B0F0"/>
              <w:right w:val="single" w:sz="6" w:space="0" w:color="00B0F0"/>
            </w:tcBorders>
            <w:shd w:val="clear" w:color="auto" w:fill="auto"/>
            <w:hideMark/>
          </w:tcPr>
          <w:p w:rsidR="00424AFD" w:rsidRPr="00D87B3A" w:rsidRDefault="00424AFD" w:rsidP="00563C30">
            <w:pPr>
              <w:spacing w:after="0" w:line="240" w:lineRule="auto"/>
              <w:rPr>
                <w:rFonts w:cstheme="minorHAnsi"/>
                <w:color w:val="000000"/>
                <w:sz w:val="20"/>
                <w:szCs w:val="20"/>
              </w:rPr>
            </w:pPr>
            <w:r w:rsidRPr="00D87B3A">
              <w:rPr>
                <w:rFonts w:cstheme="minorHAnsi"/>
                <w:color w:val="000000"/>
                <w:sz w:val="20"/>
                <w:szCs w:val="20"/>
              </w:rPr>
              <w:lastRenderedPageBreak/>
              <w:t>Residents’ perceptions that heritage items contribute to the city and local communities' unique character</w:t>
            </w:r>
          </w:p>
        </w:tc>
        <w:tc>
          <w:tcPr>
            <w:tcW w:w="1276" w:type="dxa"/>
            <w:tcBorders>
              <w:top w:val="single" w:sz="6" w:space="0" w:color="00B0F0"/>
              <w:left w:val="single" w:sz="6" w:space="0" w:color="00B0F0"/>
              <w:bottom w:val="single" w:sz="6" w:space="0" w:color="00B0F0"/>
              <w:right w:val="single" w:sz="6" w:space="0" w:color="00B0F0"/>
            </w:tcBorders>
            <w:shd w:val="clear" w:color="auto" w:fill="auto"/>
            <w:noWrap/>
            <w:hideMark/>
          </w:tcPr>
          <w:p w:rsidR="00424AFD" w:rsidRPr="00D87B3A" w:rsidRDefault="00424AFD" w:rsidP="00563C30">
            <w:pPr>
              <w:spacing w:after="0" w:line="240" w:lineRule="auto"/>
              <w:rPr>
                <w:rFonts w:cstheme="minorHAnsi"/>
                <w:color w:val="000000"/>
                <w:sz w:val="20"/>
                <w:szCs w:val="20"/>
              </w:rPr>
            </w:pPr>
            <w:r w:rsidRPr="00D87B3A">
              <w:rPr>
                <w:rFonts w:cstheme="minorHAnsi"/>
                <w:color w:val="000000"/>
                <w:sz w:val="20"/>
                <w:szCs w:val="20"/>
              </w:rPr>
              <w:t>Increasing</w:t>
            </w:r>
          </w:p>
        </w:tc>
        <w:tc>
          <w:tcPr>
            <w:tcW w:w="1134" w:type="dxa"/>
            <w:tcBorders>
              <w:top w:val="single" w:sz="6" w:space="0" w:color="00B0F0"/>
              <w:left w:val="single" w:sz="6" w:space="0" w:color="00B0F0"/>
              <w:bottom w:val="single" w:sz="6" w:space="0" w:color="00B0F0"/>
              <w:right w:val="single" w:sz="6" w:space="0" w:color="00B0F0"/>
            </w:tcBorders>
            <w:shd w:val="clear" w:color="auto" w:fill="auto"/>
            <w:noWrap/>
            <w:hideMark/>
          </w:tcPr>
          <w:p w:rsidR="00424AFD" w:rsidRPr="00D87B3A" w:rsidRDefault="00424AFD" w:rsidP="00563C30">
            <w:pPr>
              <w:spacing w:after="0" w:line="240" w:lineRule="auto"/>
              <w:rPr>
                <w:rFonts w:cstheme="minorHAnsi"/>
                <w:color w:val="000000"/>
                <w:sz w:val="20"/>
                <w:szCs w:val="20"/>
              </w:rPr>
            </w:pPr>
            <w:r w:rsidRPr="00D87B3A">
              <w:rPr>
                <w:rFonts w:cstheme="minorHAnsi"/>
                <w:color w:val="000000"/>
                <w:sz w:val="20"/>
                <w:szCs w:val="20"/>
              </w:rPr>
              <w:t>WCC RMS 2019</w:t>
            </w:r>
          </w:p>
        </w:tc>
        <w:tc>
          <w:tcPr>
            <w:tcW w:w="1635" w:type="dxa"/>
            <w:tcBorders>
              <w:top w:val="single" w:sz="6" w:space="0" w:color="00B0F0"/>
              <w:left w:val="single" w:sz="6" w:space="0" w:color="00B0F0"/>
              <w:bottom w:val="single" w:sz="6" w:space="0" w:color="00B0F0"/>
              <w:right w:val="single" w:sz="6" w:space="0" w:color="00B0F0"/>
            </w:tcBorders>
            <w:shd w:val="clear" w:color="auto" w:fill="auto"/>
            <w:hideMark/>
          </w:tcPr>
          <w:p w:rsidR="00424AFD" w:rsidRPr="00D87B3A" w:rsidRDefault="00424AFD" w:rsidP="0038320D">
            <w:pPr>
              <w:spacing w:after="0" w:line="240" w:lineRule="auto"/>
              <w:jc w:val="right"/>
              <w:rPr>
                <w:rFonts w:cstheme="minorHAnsi"/>
                <w:color w:val="000000"/>
                <w:sz w:val="20"/>
                <w:szCs w:val="20"/>
              </w:rPr>
            </w:pPr>
            <w:r w:rsidRPr="00D87B3A">
              <w:rPr>
                <w:rFonts w:cstheme="minorHAnsi"/>
                <w:color w:val="000000"/>
                <w:sz w:val="20"/>
                <w:szCs w:val="20"/>
              </w:rPr>
              <w:t xml:space="preserve">City (91%); </w:t>
            </w:r>
          </w:p>
        </w:tc>
        <w:tc>
          <w:tcPr>
            <w:tcW w:w="1635" w:type="dxa"/>
            <w:tcBorders>
              <w:top w:val="single" w:sz="6" w:space="0" w:color="00B0F0"/>
              <w:left w:val="single" w:sz="6" w:space="0" w:color="00B0F0"/>
              <w:bottom w:val="single" w:sz="6" w:space="0" w:color="00B0F0"/>
              <w:right w:val="single" w:sz="6" w:space="0" w:color="00B0F0"/>
            </w:tcBorders>
            <w:shd w:val="clear" w:color="auto" w:fill="auto"/>
            <w:hideMark/>
          </w:tcPr>
          <w:p w:rsidR="00424AFD" w:rsidRPr="00D87B3A" w:rsidRDefault="00424AFD" w:rsidP="0038320D">
            <w:pPr>
              <w:spacing w:after="0" w:line="240" w:lineRule="auto"/>
              <w:jc w:val="right"/>
              <w:rPr>
                <w:rFonts w:cstheme="minorHAnsi"/>
                <w:color w:val="000000"/>
                <w:sz w:val="20"/>
                <w:szCs w:val="20"/>
              </w:rPr>
            </w:pPr>
            <w:r w:rsidRPr="00D87B3A">
              <w:rPr>
                <w:rFonts w:cstheme="minorHAnsi"/>
                <w:color w:val="000000"/>
                <w:sz w:val="20"/>
                <w:szCs w:val="20"/>
              </w:rPr>
              <w:t xml:space="preserve">City (92.5%); </w:t>
            </w:r>
          </w:p>
        </w:tc>
        <w:tc>
          <w:tcPr>
            <w:tcW w:w="1635" w:type="dxa"/>
            <w:tcBorders>
              <w:top w:val="single" w:sz="6" w:space="0" w:color="00B0F0"/>
              <w:left w:val="single" w:sz="6" w:space="0" w:color="00B0F0"/>
              <w:bottom w:val="single" w:sz="6" w:space="0" w:color="00B0F0"/>
              <w:right w:val="single" w:sz="6" w:space="0" w:color="00B0F0"/>
            </w:tcBorders>
            <w:shd w:val="clear" w:color="auto" w:fill="auto"/>
            <w:hideMark/>
          </w:tcPr>
          <w:p w:rsidR="00424AFD" w:rsidRPr="00D87B3A" w:rsidRDefault="00424AFD" w:rsidP="0038320D">
            <w:pPr>
              <w:spacing w:after="0" w:line="240" w:lineRule="auto"/>
              <w:jc w:val="right"/>
              <w:rPr>
                <w:rFonts w:cstheme="minorHAnsi"/>
                <w:color w:val="000000"/>
                <w:sz w:val="20"/>
                <w:szCs w:val="20"/>
              </w:rPr>
            </w:pPr>
            <w:r w:rsidRPr="00D87B3A">
              <w:rPr>
                <w:rFonts w:cstheme="minorHAnsi"/>
                <w:color w:val="000000"/>
                <w:sz w:val="20"/>
                <w:szCs w:val="20"/>
              </w:rPr>
              <w:t xml:space="preserve">City (92%); </w:t>
            </w:r>
          </w:p>
        </w:tc>
        <w:tc>
          <w:tcPr>
            <w:tcW w:w="4167" w:type="dxa"/>
            <w:gridSpan w:val="2"/>
            <w:tcBorders>
              <w:top w:val="single" w:sz="6" w:space="0" w:color="00B0F0"/>
              <w:left w:val="single" w:sz="6" w:space="0" w:color="00B0F0"/>
              <w:bottom w:val="single" w:sz="6" w:space="0" w:color="00B0F0"/>
              <w:right w:val="single" w:sz="6" w:space="0" w:color="00B0F0"/>
            </w:tcBorders>
            <w:shd w:val="clear" w:color="auto" w:fill="auto"/>
            <w:noWrap/>
            <w:hideMark/>
          </w:tcPr>
          <w:p w:rsidR="00424AFD" w:rsidRPr="00D87B3A" w:rsidRDefault="0038320D" w:rsidP="00563C30">
            <w:pPr>
              <w:spacing w:after="0" w:line="240" w:lineRule="auto"/>
              <w:rPr>
                <w:rFonts w:cstheme="minorHAnsi"/>
                <w:color w:val="000000"/>
                <w:sz w:val="20"/>
                <w:szCs w:val="20"/>
              </w:rPr>
            </w:pPr>
            <w:r>
              <w:rPr>
                <w:rFonts w:cstheme="minorHAnsi"/>
                <w:color w:val="000000"/>
                <w:sz w:val="20"/>
                <w:szCs w:val="20"/>
              </w:rPr>
              <w:t>No trend</w:t>
            </w:r>
          </w:p>
        </w:tc>
      </w:tr>
      <w:tr w:rsidR="0038320D" w:rsidRPr="00D87B3A" w:rsidTr="00DD6D6D">
        <w:tblPrEx>
          <w:shd w:val="clear" w:color="auto" w:fill="auto"/>
        </w:tblPrEx>
        <w:trPr>
          <w:trHeight w:val="765"/>
        </w:trPr>
        <w:tc>
          <w:tcPr>
            <w:tcW w:w="3119" w:type="dxa"/>
            <w:tcBorders>
              <w:top w:val="single" w:sz="6" w:space="0" w:color="00B0F0"/>
              <w:left w:val="single" w:sz="6" w:space="0" w:color="00B0F0"/>
              <w:bottom w:val="single" w:sz="6" w:space="0" w:color="00B0F0"/>
              <w:right w:val="single" w:sz="6" w:space="0" w:color="00B0F0"/>
            </w:tcBorders>
            <w:shd w:val="clear" w:color="auto" w:fill="auto"/>
          </w:tcPr>
          <w:p w:rsidR="0038320D" w:rsidRPr="00D87B3A" w:rsidRDefault="0038320D" w:rsidP="00563C30">
            <w:pPr>
              <w:spacing w:after="0" w:line="240" w:lineRule="auto"/>
              <w:rPr>
                <w:rFonts w:cstheme="minorHAnsi"/>
                <w:color w:val="000000"/>
                <w:sz w:val="20"/>
                <w:szCs w:val="20"/>
              </w:rPr>
            </w:pPr>
          </w:p>
        </w:tc>
        <w:tc>
          <w:tcPr>
            <w:tcW w:w="1276" w:type="dxa"/>
            <w:tcBorders>
              <w:top w:val="single" w:sz="6" w:space="0" w:color="00B0F0"/>
              <w:left w:val="single" w:sz="6" w:space="0" w:color="00B0F0"/>
              <w:bottom w:val="single" w:sz="6" w:space="0" w:color="00B0F0"/>
              <w:right w:val="single" w:sz="6" w:space="0" w:color="00B0F0"/>
            </w:tcBorders>
            <w:shd w:val="clear" w:color="auto" w:fill="auto"/>
            <w:noWrap/>
          </w:tcPr>
          <w:p w:rsidR="0038320D" w:rsidRPr="00D87B3A" w:rsidRDefault="0038320D" w:rsidP="00563C30">
            <w:pPr>
              <w:spacing w:after="0" w:line="240" w:lineRule="auto"/>
              <w:rPr>
                <w:rFonts w:cstheme="minorHAnsi"/>
                <w:color w:val="000000"/>
                <w:sz w:val="20"/>
                <w:szCs w:val="20"/>
              </w:rPr>
            </w:pPr>
          </w:p>
        </w:tc>
        <w:tc>
          <w:tcPr>
            <w:tcW w:w="1134" w:type="dxa"/>
            <w:tcBorders>
              <w:top w:val="single" w:sz="6" w:space="0" w:color="00B0F0"/>
              <w:left w:val="single" w:sz="6" w:space="0" w:color="00B0F0"/>
              <w:bottom w:val="single" w:sz="6" w:space="0" w:color="00B0F0"/>
              <w:right w:val="single" w:sz="6" w:space="0" w:color="00B0F0"/>
            </w:tcBorders>
            <w:shd w:val="clear" w:color="auto" w:fill="auto"/>
            <w:noWrap/>
          </w:tcPr>
          <w:p w:rsidR="0038320D" w:rsidRPr="00D87B3A" w:rsidRDefault="0038320D" w:rsidP="00563C30">
            <w:pPr>
              <w:spacing w:after="0" w:line="240" w:lineRule="auto"/>
              <w:rPr>
                <w:rFonts w:cstheme="minorHAnsi"/>
                <w:color w:val="000000"/>
                <w:sz w:val="20"/>
                <w:szCs w:val="20"/>
              </w:rPr>
            </w:pPr>
          </w:p>
        </w:tc>
        <w:tc>
          <w:tcPr>
            <w:tcW w:w="1635" w:type="dxa"/>
            <w:tcBorders>
              <w:top w:val="single" w:sz="6" w:space="0" w:color="00B0F0"/>
              <w:left w:val="single" w:sz="6" w:space="0" w:color="00B0F0"/>
              <w:bottom w:val="single" w:sz="6" w:space="0" w:color="00B0F0"/>
              <w:right w:val="single" w:sz="6" w:space="0" w:color="00B0F0"/>
            </w:tcBorders>
            <w:shd w:val="clear" w:color="auto" w:fill="auto"/>
          </w:tcPr>
          <w:p w:rsidR="0038320D" w:rsidRPr="00D87B3A" w:rsidRDefault="0038320D" w:rsidP="00563C30">
            <w:pPr>
              <w:spacing w:after="0" w:line="240" w:lineRule="auto"/>
              <w:jc w:val="right"/>
              <w:rPr>
                <w:rFonts w:cstheme="minorHAnsi"/>
                <w:color w:val="000000"/>
                <w:sz w:val="20"/>
                <w:szCs w:val="20"/>
              </w:rPr>
            </w:pPr>
            <w:r w:rsidRPr="00D87B3A">
              <w:rPr>
                <w:rFonts w:cstheme="minorHAnsi"/>
                <w:color w:val="000000"/>
                <w:sz w:val="20"/>
                <w:szCs w:val="20"/>
              </w:rPr>
              <w:t>Community (71%)</w:t>
            </w:r>
          </w:p>
        </w:tc>
        <w:tc>
          <w:tcPr>
            <w:tcW w:w="1635" w:type="dxa"/>
            <w:tcBorders>
              <w:top w:val="single" w:sz="6" w:space="0" w:color="00B0F0"/>
              <w:left w:val="single" w:sz="6" w:space="0" w:color="00B0F0"/>
              <w:bottom w:val="single" w:sz="6" w:space="0" w:color="00B0F0"/>
              <w:right w:val="single" w:sz="6" w:space="0" w:color="00B0F0"/>
            </w:tcBorders>
            <w:shd w:val="clear" w:color="auto" w:fill="auto"/>
          </w:tcPr>
          <w:p w:rsidR="0038320D" w:rsidRPr="00D87B3A" w:rsidRDefault="0038320D" w:rsidP="00563C30">
            <w:pPr>
              <w:spacing w:after="0" w:line="240" w:lineRule="auto"/>
              <w:jc w:val="right"/>
              <w:rPr>
                <w:rFonts w:cstheme="minorHAnsi"/>
                <w:color w:val="000000"/>
                <w:sz w:val="20"/>
                <w:szCs w:val="20"/>
              </w:rPr>
            </w:pPr>
            <w:r w:rsidRPr="00D87B3A">
              <w:rPr>
                <w:rFonts w:cstheme="minorHAnsi"/>
                <w:color w:val="000000"/>
                <w:sz w:val="20"/>
                <w:szCs w:val="20"/>
              </w:rPr>
              <w:t>Community (75.4%)</w:t>
            </w:r>
          </w:p>
        </w:tc>
        <w:tc>
          <w:tcPr>
            <w:tcW w:w="1635" w:type="dxa"/>
            <w:tcBorders>
              <w:top w:val="single" w:sz="6" w:space="0" w:color="00B0F0"/>
              <w:left w:val="single" w:sz="6" w:space="0" w:color="00B0F0"/>
              <w:bottom w:val="single" w:sz="6" w:space="0" w:color="00B0F0"/>
              <w:right w:val="single" w:sz="6" w:space="0" w:color="00B0F0"/>
            </w:tcBorders>
            <w:shd w:val="clear" w:color="auto" w:fill="auto"/>
          </w:tcPr>
          <w:p w:rsidR="0038320D" w:rsidRPr="00D87B3A" w:rsidRDefault="0038320D" w:rsidP="00563C30">
            <w:pPr>
              <w:spacing w:after="0" w:line="240" w:lineRule="auto"/>
              <w:jc w:val="right"/>
              <w:rPr>
                <w:rFonts w:cstheme="minorHAnsi"/>
                <w:color w:val="000000"/>
                <w:sz w:val="20"/>
                <w:szCs w:val="20"/>
              </w:rPr>
            </w:pPr>
            <w:r w:rsidRPr="00D87B3A">
              <w:rPr>
                <w:rFonts w:cstheme="minorHAnsi"/>
                <w:color w:val="000000"/>
                <w:sz w:val="20"/>
                <w:szCs w:val="20"/>
              </w:rPr>
              <w:t>Community (75.8%)</w:t>
            </w:r>
          </w:p>
        </w:tc>
        <w:tc>
          <w:tcPr>
            <w:tcW w:w="4167" w:type="dxa"/>
            <w:gridSpan w:val="2"/>
            <w:tcBorders>
              <w:top w:val="single" w:sz="6" w:space="0" w:color="00B0F0"/>
              <w:left w:val="single" w:sz="6" w:space="0" w:color="00B0F0"/>
              <w:bottom w:val="single" w:sz="6" w:space="0" w:color="00B0F0"/>
              <w:right w:val="single" w:sz="6" w:space="0" w:color="00B0F0"/>
            </w:tcBorders>
            <w:shd w:val="clear" w:color="auto" w:fill="auto"/>
            <w:noWrap/>
          </w:tcPr>
          <w:p w:rsidR="0038320D" w:rsidRPr="00D87B3A" w:rsidRDefault="0038320D" w:rsidP="00563C30">
            <w:pPr>
              <w:spacing w:after="0" w:line="240" w:lineRule="auto"/>
              <w:rPr>
                <w:rFonts w:cstheme="minorHAnsi"/>
                <w:color w:val="000000"/>
                <w:sz w:val="20"/>
                <w:szCs w:val="20"/>
              </w:rPr>
            </w:pPr>
            <w:r>
              <w:rPr>
                <w:rFonts w:cstheme="minorHAnsi"/>
                <w:color w:val="000000"/>
                <w:sz w:val="20"/>
                <w:szCs w:val="20"/>
              </w:rPr>
              <w:t>No trend</w:t>
            </w:r>
          </w:p>
        </w:tc>
      </w:tr>
      <w:tr w:rsidR="00424AFD" w:rsidRPr="00D87B3A" w:rsidTr="00DD6D6D">
        <w:trPr>
          <w:trHeight w:val="255"/>
        </w:trPr>
        <w:tc>
          <w:tcPr>
            <w:tcW w:w="3119" w:type="dxa"/>
            <w:tcBorders>
              <w:top w:val="single" w:sz="6" w:space="0" w:color="00B0F0"/>
              <w:left w:val="single" w:sz="6" w:space="0" w:color="00B0F0"/>
              <w:bottom w:val="single" w:sz="6" w:space="0" w:color="00B0F0"/>
              <w:right w:val="single" w:sz="6" w:space="0" w:color="00B0F0"/>
            </w:tcBorders>
            <w:shd w:val="clear" w:color="auto" w:fill="B7ECFF"/>
            <w:hideMark/>
          </w:tcPr>
          <w:p w:rsidR="00424AFD" w:rsidRPr="00D87B3A" w:rsidRDefault="00424AFD" w:rsidP="00563C30">
            <w:pPr>
              <w:spacing w:after="0" w:line="240" w:lineRule="auto"/>
              <w:rPr>
                <w:rFonts w:cstheme="minorHAnsi"/>
                <w:b/>
                <w:bCs/>
                <w:i/>
                <w:iCs/>
                <w:color w:val="000000" w:themeColor="text1"/>
                <w:sz w:val="20"/>
                <w:szCs w:val="20"/>
              </w:rPr>
            </w:pPr>
            <w:r w:rsidRPr="00D87B3A">
              <w:rPr>
                <w:rFonts w:cstheme="minorHAnsi"/>
                <w:b/>
                <w:bCs/>
                <w:i/>
                <w:iCs/>
                <w:color w:val="000000" w:themeColor="text1"/>
                <w:sz w:val="20"/>
                <w:szCs w:val="20"/>
              </w:rPr>
              <w:t>Resilience</w:t>
            </w:r>
          </w:p>
        </w:tc>
        <w:tc>
          <w:tcPr>
            <w:tcW w:w="1276" w:type="dxa"/>
            <w:tcBorders>
              <w:top w:val="single" w:sz="6" w:space="0" w:color="00B0F0"/>
              <w:left w:val="single" w:sz="6" w:space="0" w:color="00B0F0"/>
              <w:bottom w:val="single" w:sz="6" w:space="0" w:color="00B0F0"/>
              <w:right w:val="single" w:sz="6" w:space="0" w:color="00B0F0"/>
            </w:tcBorders>
            <w:shd w:val="clear" w:color="auto" w:fill="B7ECFF"/>
            <w:hideMark/>
          </w:tcPr>
          <w:p w:rsidR="00424AFD" w:rsidRPr="00D87B3A" w:rsidRDefault="00424AFD" w:rsidP="00563C30">
            <w:pPr>
              <w:spacing w:after="0" w:line="240" w:lineRule="auto"/>
              <w:rPr>
                <w:rFonts w:cstheme="minorHAnsi"/>
                <w:i/>
                <w:iCs/>
                <w:color w:val="000000" w:themeColor="text1"/>
                <w:sz w:val="20"/>
                <w:szCs w:val="20"/>
              </w:rPr>
            </w:pPr>
          </w:p>
        </w:tc>
        <w:tc>
          <w:tcPr>
            <w:tcW w:w="1134" w:type="dxa"/>
            <w:tcBorders>
              <w:top w:val="single" w:sz="6" w:space="0" w:color="00B0F0"/>
              <w:left w:val="single" w:sz="6" w:space="0" w:color="00B0F0"/>
              <w:bottom w:val="single" w:sz="6" w:space="0" w:color="00B0F0"/>
              <w:right w:val="single" w:sz="6" w:space="0" w:color="00B0F0"/>
            </w:tcBorders>
            <w:shd w:val="clear" w:color="auto" w:fill="B7ECFF"/>
            <w:noWrap/>
            <w:hideMark/>
          </w:tcPr>
          <w:p w:rsidR="00424AFD" w:rsidRPr="00D87B3A" w:rsidRDefault="00424AFD" w:rsidP="00563C30">
            <w:pPr>
              <w:spacing w:after="0" w:line="240" w:lineRule="auto"/>
              <w:rPr>
                <w:rFonts w:cstheme="minorHAnsi"/>
                <w:color w:val="000000" w:themeColor="text1"/>
                <w:sz w:val="20"/>
                <w:szCs w:val="20"/>
              </w:rPr>
            </w:pPr>
          </w:p>
        </w:tc>
        <w:tc>
          <w:tcPr>
            <w:tcW w:w="1635" w:type="dxa"/>
            <w:tcBorders>
              <w:top w:val="single" w:sz="6" w:space="0" w:color="00B0F0"/>
              <w:left w:val="single" w:sz="6" w:space="0" w:color="00B0F0"/>
              <w:bottom w:val="single" w:sz="6" w:space="0" w:color="00B0F0"/>
              <w:right w:val="single" w:sz="6" w:space="0" w:color="00B0F0"/>
            </w:tcBorders>
            <w:shd w:val="clear" w:color="auto" w:fill="B7ECFF"/>
            <w:noWrap/>
            <w:hideMark/>
          </w:tcPr>
          <w:p w:rsidR="00424AFD" w:rsidRPr="00D87B3A" w:rsidRDefault="00424AFD" w:rsidP="00563C30">
            <w:pPr>
              <w:spacing w:after="0" w:line="240" w:lineRule="auto"/>
              <w:jc w:val="right"/>
              <w:rPr>
                <w:rFonts w:cstheme="minorHAnsi"/>
                <w:color w:val="000000" w:themeColor="text1"/>
                <w:sz w:val="20"/>
                <w:szCs w:val="20"/>
              </w:rPr>
            </w:pPr>
          </w:p>
        </w:tc>
        <w:tc>
          <w:tcPr>
            <w:tcW w:w="1635" w:type="dxa"/>
            <w:tcBorders>
              <w:top w:val="single" w:sz="6" w:space="0" w:color="00B0F0"/>
              <w:left w:val="single" w:sz="6" w:space="0" w:color="00B0F0"/>
              <w:bottom w:val="single" w:sz="6" w:space="0" w:color="00B0F0"/>
              <w:right w:val="single" w:sz="6" w:space="0" w:color="00B0F0"/>
            </w:tcBorders>
            <w:shd w:val="clear" w:color="auto" w:fill="B7ECFF"/>
            <w:noWrap/>
            <w:hideMark/>
          </w:tcPr>
          <w:p w:rsidR="00424AFD" w:rsidRPr="00D87B3A" w:rsidRDefault="00424AFD" w:rsidP="00563C30">
            <w:pPr>
              <w:spacing w:after="0" w:line="240" w:lineRule="auto"/>
              <w:jc w:val="right"/>
              <w:rPr>
                <w:rFonts w:cstheme="minorHAnsi"/>
                <w:color w:val="000000" w:themeColor="text1"/>
                <w:sz w:val="20"/>
                <w:szCs w:val="20"/>
              </w:rPr>
            </w:pPr>
          </w:p>
        </w:tc>
        <w:tc>
          <w:tcPr>
            <w:tcW w:w="1635" w:type="dxa"/>
            <w:tcBorders>
              <w:top w:val="single" w:sz="6" w:space="0" w:color="00B0F0"/>
              <w:left w:val="single" w:sz="6" w:space="0" w:color="00B0F0"/>
              <w:bottom w:val="single" w:sz="6" w:space="0" w:color="00B0F0"/>
              <w:right w:val="single" w:sz="6" w:space="0" w:color="00B0F0"/>
            </w:tcBorders>
            <w:shd w:val="clear" w:color="auto" w:fill="B7ECFF"/>
            <w:noWrap/>
            <w:hideMark/>
          </w:tcPr>
          <w:p w:rsidR="00424AFD" w:rsidRPr="00D87B3A" w:rsidRDefault="00424AFD" w:rsidP="00563C30">
            <w:pPr>
              <w:spacing w:after="0" w:line="240" w:lineRule="auto"/>
              <w:jc w:val="right"/>
              <w:rPr>
                <w:rFonts w:cstheme="minorHAnsi"/>
                <w:color w:val="000000" w:themeColor="text1"/>
                <w:sz w:val="20"/>
                <w:szCs w:val="20"/>
              </w:rPr>
            </w:pPr>
          </w:p>
        </w:tc>
        <w:tc>
          <w:tcPr>
            <w:tcW w:w="4167" w:type="dxa"/>
            <w:gridSpan w:val="2"/>
            <w:tcBorders>
              <w:top w:val="single" w:sz="6" w:space="0" w:color="00B0F0"/>
              <w:left w:val="single" w:sz="6" w:space="0" w:color="00B0F0"/>
              <w:bottom w:val="single" w:sz="6" w:space="0" w:color="00B0F0"/>
              <w:right w:val="single" w:sz="6" w:space="0" w:color="00B0F0"/>
            </w:tcBorders>
            <w:shd w:val="clear" w:color="auto" w:fill="B7ECFF"/>
            <w:noWrap/>
            <w:hideMark/>
          </w:tcPr>
          <w:p w:rsidR="00424AFD" w:rsidRPr="00D87B3A" w:rsidRDefault="00424AFD" w:rsidP="00563C30">
            <w:pPr>
              <w:spacing w:after="0" w:line="240" w:lineRule="auto"/>
              <w:rPr>
                <w:rFonts w:cstheme="minorHAnsi"/>
                <w:color w:val="000000" w:themeColor="text1"/>
                <w:sz w:val="20"/>
                <w:szCs w:val="20"/>
              </w:rPr>
            </w:pPr>
          </w:p>
        </w:tc>
      </w:tr>
      <w:tr w:rsidR="00424AFD" w:rsidRPr="00D87B3A" w:rsidTr="00DD6D6D">
        <w:trPr>
          <w:trHeight w:val="765"/>
        </w:trPr>
        <w:tc>
          <w:tcPr>
            <w:tcW w:w="3119" w:type="dxa"/>
            <w:tcBorders>
              <w:top w:val="single" w:sz="6" w:space="0" w:color="00B0F0"/>
              <w:left w:val="single" w:sz="6" w:space="0" w:color="00B0F0"/>
              <w:bottom w:val="single" w:sz="6" w:space="0" w:color="00B0F0"/>
              <w:right w:val="single" w:sz="6" w:space="0" w:color="00B0F0"/>
            </w:tcBorders>
            <w:shd w:val="clear" w:color="auto" w:fill="FFFFFF" w:themeFill="background1"/>
            <w:hideMark/>
          </w:tcPr>
          <w:p w:rsidR="00424AFD" w:rsidRPr="00D87B3A" w:rsidRDefault="00424AFD" w:rsidP="00563C30">
            <w:pPr>
              <w:spacing w:after="0" w:line="240" w:lineRule="auto"/>
              <w:rPr>
                <w:rFonts w:cstheme="minorHAnsi"/>
                <w:color w:val="000000"/>
                <w:sz w:val="20"/>
                <w:szCs w:val="20"/>
              </w:rPr>
            </w:pPr>
            <w:r w:rsidRPr="00D87B3A">
              <w:rPr>
                <w:rFonts w:cstheme="minorHAnsi"/>
                <w:color w:val="000000"/>
                <w:sz w:val="20"/>
                <w:szCs w:val="20"/>
              </w:rPr>
              <w:t>Proportion of residents who feel safe in the event of a moderate earthquake at home, at workplace/place of education/other daily destination</w:t>
            </w:r>
          </w:p>
        </w:tc>
        <w:tc>
          <w:tcPr>
            <w:tcW w:w="1276" w:type="dxa"/>
            <w:tcBorders>
              <w:top w:val="single" w:sz="6" w:space="0" w:color="00B0F0"/>
              <w:left w:val="single" w:sz="6" w:space="0" w:color="00B0F0"/>
              <w:bottom w:val="single" w:sz="6" w:space="0" w:color="00B0F0"/>
              <w:right w:val="single" w:sz="6" w:space="0" w:color="00B0F0"/>
            </w:tcBorders>
            <w:shd w:val="clear" w:color="auto" w:fill="auto"/>
            <w:noWrap/>
            <w:hideMark/>
          </w:tcPr>
          <w:p w:rsidR="00424AFD" w:rsidRPr="00D87B3A" w:rsidRDefault="00424AFD" w:rsidP="00563C30">
            <w:pPr>
              <w:spacing w:after="0" w:line="240" w:lineRule="auto"/>
              <w:rPr>
                <w:rFonts w:cstheme="minorHAnsi"/>
                <w:color w:val="000000"/>
                <w:sz w:val="20"/>
                <w:szCs w:val="20"/>
              </w:rPr>
            </w:pPr>
            <w:r w:rsidRPr="00D87B3A">
              <w:rPr>
                <w:rFonts w:cstheme="minorHAnsi"/>
                <w:color w:val="000000"/>
                <w:sz w:val="20"/>
                <w:szCs w:val="20"/>
              </w:rPr>
              <w:t>Increasing</w:t>
            </w:r>
          </w:p>
        </w:tc>
        <w:tc>
          <w:tcPr>
            <w:tcW w:w="1134" w:type="dxa"/>
            <w:tcBorders>
              <w:top w:val="single" w:sz="6" w:space="0" w:color="00B0F0"/>
              <w:left w:val="single" w:sz="6" w:space="0" w:color="00B0F0"/>
              <w:bottom w:val="single" w:sz="6" w:space="0" w:color="00B0F0"/>
              <w:right w:val="single" w:sz="6" w:space="0" w:color="00B0F0"/>
            </w:tcBorders>
            <w:shd w:val="clear" w:color="auto" w:fill="auto"/>
            <w:noWrap/>
            <w:hideMark/>
          </w:tcPr>
          <w:p w:rsidR="00424AFD" w:rsidRPr="00D87B3A" w:rsidRDefault="00424AFD" w:rsidP="00563C30">
            <w:pPr>
              <w:spacing w:after="0" w:line="240" w:lineRule="auto"/>
              <w:rPr>
                <w:rFonts w:cstheme="minorHAnsi"/>
                <w:color w:val="000000"/>
                <w:sz w:val="20"/>
                <w:szCs w:val="20"/>
              </w:rPr>
            </w:pPr>
            <w:r w:rsidRPr="00D87B3A">
              <w:rPr>
                <w:rFonts w:cstheme="minorHAnsi"/>
                <w:color w:val="000000"/>
                <w:sz w:val="20"/>
                <w:szCs w:val="20"/>
              </w:rPr>
              <w:t>WCC RMS 2019</w:t>
            </w:r>
          </w:p>
        </w:tc>
        <w:tc>
          <w:tcPr>
            <w:tcW w:w="1635" w:type="dxa"/>
            <w:tcBorders>
              <w:top w:val="single" w:sz="6" w:space="0" w:color="00B0F0"/>
              <w:left w:val="single" w:sz="6" w:space="0" w:color="00B0F0"/>
              <w:bottom w:val="single" w:sz="6" w:space="0" w:color="00B0F0"/>
              <w:right w:val="single" w:sz="6" w:space="0" w:color="00B0F0"/>
            </w:tcBorders>
            <w:shd w:val="clear" w:color="auto" w:fill="auto"/>
            <w:hideMark/>
          </w:tcPr>
          <w:p w:rsidR="00424AFD" w:rsidRPr="00D87B3A" w:rsidRDefault="00424AFD" w:rsidP="00563C30">
            <w:pPr>
              <w:spacing w:after="0" w:line="240" w:lineRule="auto"/>
              <w:jc w:val="right"/>
              <w:rPr>
                <w:rFonts w:cstheme="minorHAnsi"/>
                <w:color w:val="000000"/>
                <w:sz w:val="20"/>
                <w:szCs w:val="20"/>
              </w:rPr>
            </w:pPr>
          </w:p>
        </w:tc>
        <w:tc>
          <w:tcPr>
            <w:tcW w:w="1635" w:type="dxa"/>
            <w:tcBorders>
              <w:top w:val="single" w:sz="6" w:space="0" w:color="00B0F0"/>
              <w:left w:val="single" w:sz="6" w:space="0" w:color="00B0F0"/>
              <w:bottom w:val="single" w:sz="6" w:space="0" w:color="00B0F0"/>
              <w:right w:val="single" w:sz="6" w:space="0" w:color="00B0F0"/>
            </w:tcBorders>
            <w:shd w:val="clear" w:color="auto" w:fill="auto"/>
            <w:hideMark/>
          </w:tcPr>
          <w:p w:rsidR="00424AFD" w:rsidRPr="00D87B3A" w:rsidRDefault="00424AFD" w:rsidP="00563C30">
            <w:pPr>
              <w:spacing w:after="0" w:line="240" w:lineRule="auto"/>
              <w:jc w:val="right"/>
              <w:rPr>
                <w:rFonts w:cstheme="minorHAnsi"/>
                <w:color w:val="000000"/>
                <w:sz w:val="20"/>
                <w:szCs w:val="20"/>
              </w:rPr>
            </w:pPr>
            <w:r w:rsidRPr="00D87B3A">
              <w:rPr>
                <w:rFonts w:cstheme="minorHAnsi"/>
                <w:color w:val="000000"/>
                <w:sz w:val="20"/>
                <w:szCs w:val="20"/>
              </w:rPr>
              <w:t>New</w:t>
            </w:r>
          </w:p>
        </w:tc>
        <w:tc>
          <w:tcPr>
            <w:tcW w:w="1635" w:type="dxa"/>
            <w:tcBorders>
              <w:top w:val="single" w:sz="6" w:space="0" w:color="00B0F0"/>
              <w:left w:val="single" w:sz="6" w:space="0" w:color="00B0F0"/>
              <w:bottom w:val="single" w:sz="6" w:space="0" w:color="00B0F0"/>
              <w:right w:val="single" w:sz="6" w:space="0" w:color="00B0F0"/>
            </w:tcBorders>
            <w:shd w:val="clear" w:color="auto" w:fill="auto"/>
            <w:hideMark/>
          </w:tcPr>
          <w:p w:rsidR="00424AFD" w:rsidRPr="00D87B3A" w:rsidRDefault="00424AFD" w:rsidP="00563C30">
            <w:pPr>
              <w:spacing w:after="0" w:line="240" w:lineRule="auto"/>
              <w:jc w:val="right"/>
              <w:rPr>
                <w:rFonts w:cstheme="minorHAnsi"/>
                <w:color w:val="000000"/>
                <w:sz w:val="20"/>
                <w:szCs w:val="20"/>
              </w:rPr>
            </w:pPr>
            <w:r w:rsidRPr="00D87B3A">
              <w:rPr>
                <w:rFonts w:cstheme="minorHAnsi"/>
                <w:color w:val="000000"/>
                <w:sz w:val="20"/>
                <w:szCs w:val="20"/>
              </w:rPr>
              <w:t>Home (85%); Work (69%); Place of education (76%)</w:t>
            </w:r>
          </w:p>
        </w:tc>
        <w:tc>
          <w:tcPr>
            <w:tcW w:w="4167" w:type="dxa"/>
            <w:gridSpan w:val="2"/>
            <w:tcBorders>
              <w:top w:val="single" w:sz="6" w:space="0" w:color="00B0F0"/>
              <w:left w:val="single" w:sz="6" w:space="0" w:color="00B0F0"/>
              <w:bottom w:val="single" w:sz="6" w:space="0" w:color="00B0F0"/>
              <w:right w:val="single" w:sz="6" w:space="0" w:color="00B0F0"/>
            </w:tcBorders>
            <w:shd w:val="clear" w:color="auto" w:fill="auto"/>
            <w:noWrap/>
            <w:hideMark/>
          </w:tcPr>
          <w:p w:rsidR="00424AFD" w:rsidRPr="00D87B3A" w:rsidRDefault="00DD6D6D" w:rsidP="00563C30">
            <w:pPr>
              <w:spacing w:after="0" w:line="240" w:lineRule="auto"/>
              <w:rPr>
                <w:rFonts w:cstheme="minorHAnsi"/>
                <w:color w:val="000000"/>
                <w:sz w:val="20"/>
                <w:szCs w:val="20"/>
              </w:rPr>
            </w:pPr>
            <w:r>
              <w:rPr>
                <w:rFonts w:cstheme="minorHAnsi"/>
                <w:color w:val="000000"/>
                <w:sz w:val="20"/>
                <w:szCs w:val="20"/>
              </w:rPr>
              <w:t>No trend.</w:t>
            </w:r>
          </w:p>
        </w:tc>
      </w:tr>
      <w:tr w:rsidR="00424AFD" w:rsidRPr="00D87B3A" w:rsidTr="00DD6D6D">
        <w:trPr>
          <w:trHeight w:val="510"/>
        </w:trPr>
        <w:tc>
          <w:tcPr>
            <w:tcW w:w="3119" w:type="dxa"/>
            <w:tcBorders>
              <w:top w:val="single" w:sz="6" w:space="0" w:color="00B0F0"/>
              <w:left w:val="single" w:sz="6" w:space="0" w:color="00B0F0"/>
              <w:bottom w:val="single" w:sz="6" w:space="0" w:color="00B0F0"/>
              <w:right w:val="single" w:sz="6" w:space="0" w:color="00B0F0"/>
            </w:tcBorders>
            <w:shd w:val="clear" w:color="auto" w:fill="FFFFFF" w:themeFill="background1"/>
            <w:hideMark/>
          </w:tcPr>
          <w:p w:rsidR="00424AFD" w:rsidRPr="00D87B3A" w:rsidRDefault="00424AFD" w:rsidP="00563C30">
            <w:pPr>
              <w:spacing w:after="0" w:line="240" w:lineRule="auto"/>
              <w:rPr>
                <w:rFonts w:cstheme="minorHAnsi"/>
                <w:color w:val="000000"/>
                <w:sz w:val="20"/>
                <w:szCs w:val="20"/>
              </w:rPr>
            </w:pPr>
            <w:r w:rsidRPr="00D87B3A">
              <w:rPr>
                <w:rFonts w:cstheme="minorHAnsi"/>
                <w:color w:val="000000"/>
                <w:sz w:val="20"/>
                <w:szCs w:val="20"/>
              </w:rPr>
              <w:t>Proportion of residents who have checked their dwelling or taken action to improve its seismic resilience in the past year</w:t>
            </w:r>
          </w:p>
        </w:tc>
        <w:tc>
          <w:tcPr>
            <w:tcW w:w="1276" w:type="dxa"/>
            <w:tcBorders>
              <w:top w:val="single" w:sz="6" w:space="0" w:color="00B0F0"/>
              <w:left w:val="single" w:sz="6" w:space="0" w:color="00B0F0"/>
              <w:bottom w:val="single" w:sz="6" w:space="0" w:color="00B0F0"/>
              <w:right w:val="single" w:sz="6" w:space="0" w:color="00B0F0"/>
            </w:tcBorders>
            <w:shd w:val="clear" w:color="auto" w:fill="auto"/>
            <w:noWrap/>
            <w:hideMark/>
          </w:tcPr>
          <w:p w:rsidR="00424AFD" w:rsidRPr="00D87B3A" w:rsidRDefault="00424AFD" w:rsidP="00563C30">
            <w:pPr>
              <w:spacing w:after="0" w:line="240" w:lineRule="auto"/>
              <w:rPr>
                <w:rFonts w:cstheme="minorHAnsi"/>
                <w:color w:val="000000"/>
                <w:sz w:val="20"/>
                <w:szCs w:val="20"/>
              </w:rPr>
            </w:pPr>
            <w:r w:rsidRPr="00D87B3A">
              <w:rPr>
                <w:rFonts w:cstheme="minorHAnsi"/>
                <w:color w:val="000000"/>
                <w:sz w:val="20"/>
                <w:szCs w:val="20"/>
              </w:rPr>
              <w:t>Increasing</w:t>
            </w:r>
          </w:p>
        </w:tc>
        <w:tc>
          <w:tcPr>
            <w:tcW w:w="1134" w:type="dxa"/>
            <w:tcBorders>
              <w:top w:val="single" w:sz="6" w:space="0" w:color="00B0F0"/>
              <w:left w:val="single" w:sz="6" w:space="0" w:color="00B0F0"/>
              <w:bottom w:val="single" w:sz="6" w:space="0" w:color="00B0F0"/>
              <w:right w:val="single" w:sz="6" w:space="0" w:color="00B0F0"/>
            </w:tcBorders>
            <w:shd w:val="clear" w:color="auto" w:fill="auto"/>
            <w:noWrap/>
            <w:hideMark/>
          </w:tcPr>
          <w:p w:rsidR="00424AFD" w:rsidRPr="00D87B3A" w:rsidRDefault="00424AFD" w:rsidP="00563C30">
            <w:pPr>
              <w:spacing w:after="0" w:line="240" w:lineRule="auto"/>
              <w:rPr>
                <w:rFonts w:cstheme="minorHAnsi"/>
                <w:color w:val="000000"/>
                <w:sz w:val="20"/>
                <w:szCs w:val="20"/>
              </w:rPr>
            </w:pPr>
            <w:r w:rsidRPr="00D87B3A">
              <w:rPr>
                <w:rFonts w:cstheme="minorHAnsi"/>
                <w:color w:val="000000"/>
                <w:sz w:val="20"/>
                <w:szCs w:val="20"/>
              </w:rPr>
              <w:t>WCC RMS 2019</w:t>
            </w:r>
          </w:p>
        </w:tc>
        <w:tc>
          <w:tcPr>
            <w:tcW w:w="1635" w:type="dxa"/>
            <w:tcBorders>
              <w:top w:val="single" w:sz="6" w:space="0" w:color="00B0F0"/>
              <w:left w:val="single" w:sz="6" w:space="0" w:color="00B0F0"/>
              <w:bottom w:val="single" w:sz="6" w:space="0" w:color="00B0F0"/>
              <w:right w:val="single" w:sz="6" w:space="0" w:color="00B0F0"/>
            </w:tcBorders>
            <w:shd w:val="clear" w:color="auto" w:fill="auto"/>
            <w:noWrap/>
            <w:hideMark/>
          </w:tcPr>
          <w:p w:rsidR="00424AFD" w:rsidRPr="00D87B3A" w:rsidRDefault="00424AFD" w:rsidP="00563C30">
            <w:pPr>
              <w:spacing w:after="0" w:line="240" w:lineRule="auto"/>
              <w:jc w:val="right"/>
              <w:rPr>
                <w:rFonts w:cstheme="minorHAnsi"/>
                <w:color w:val="000000"/>
                <w:sz w:val="20"/>
                <w:szCs w:val="20"/>
              </w:rPr>
            </w:pPr>
          </w:p>
        </w:tc>
        <w:tc>
          <w:tcPr>
            <w:tcW w:w="1635" w:type="dxa"/>
            <w:tcBorders>
              <w:top w:val="single" w:sz="6" w:space="0" w:color="00B0F0"/>
              <w:left w:val="single" w:sz="6" w:space="0" w:color="00B0F0"/>
              <w:bottom w:val="single" w:sz="6" w:space="0" w:color="00B0F0"/>
              <w:right w:val="single" w:sz="6" w:space="0" w:color="00B0F0"/>
            </w:tcBorders>
            <w:shd w:val="clear" w:color="auto" w:fill="auto"/>
            <w:hideMark/>
          </w:tcPr>
          <w:p w:rsidR="00424AFD" w:rsidRPr="00D87B3A" w:rsidRDefault="00424AFD" w:rsidP="00563C30">
            <w:pPr>
              <w:spacing w:after="0" w:line="240" w:lineRule="auto"/>
              <w:jc w:val="right"/>
              <w:rPr>
                <w:rFonts w:cstheme="minorHAnsi"/>
                <w:color w:val="000000"/>
                <w:sz w:val="20"/>
                <w:szCs w:val="20"/>
              </w:rPr>
            </w:pPr>
            <w:r w:rsidRPr="00D87B3A">
              <w:rPr>
                <w:rFonts w:cstheme="minorHAnsi"/>
                <w:color w:val="000000"/>
                <w:sz w:val="20"/>
                <w:szCs w:val="20"/>
              </w:rPr>
              <w:t>New</w:t>
            </w:r>
          </w:p>
        </w:tc>
        <w:tc>
          <w:tcPr>
            <w:tcW w:w="1635" w:type="dxa"/>
            <w:tcBorders>
              <w:top w:val="single" w:sz="6" w:space="0" w:color="00B0F0"/>
              <w:left w:val="single" w:sz="6" w:space="0" w:color="00B0F0"/>
              <w:bottom w:val="single" w:sz="6" w:space="0" w:color="00B0F0"/>
              <w:right w:val="single" w:sz="6" w:space="0" w:color="00B0F0"/>
            </w:tcBorders>
            <w:shd w:val="clear" w:color="auto" w:fill="auto"/>
            <w:hideMark/>
          </w:tcPr>
          <w:p w:rsidR="00424AFD" w:rsidRDefault="00424AFD" w:rsidP="00563C30">
            <w:pPr>
              <w:spacing w:after="0" w:line="240" w:lineRule="auto"/>
              <w:jc w:val="right"/>
              <w:rPr>
                <w:rFonts w:cstheme="minorHAnsi"/>
                <w:color w:val="000000"/>
                <w:sz w:val="20"/>
                <w:szCs w:val="20"/>
              </w:rPr>
            </w:pPr>
            <w:r w:rsidRPr="00D87B3A">
              <w:rPr>
                <w:rFonts w:cstheme="minorHAnsi"/>
                <w:color w:val="000000"/>
                <w:sz w:val="20"/>
                <w:szCs w:val="20"/>
              </w:rPr>
              <w:t xml:space="preserve">Checked (27%); </w:t>
            </w:r>
          </w:p>
          <w:p w:rsidR="00424AFD" w:rsidRPr="00D87B3A" w:rsidRDefault="00424AFD" w:rsidP="00563C30">
            <w:pPr>
              <w:spacing w:after="0" w:line="240" w:lineRule="auto"/>
              <w:jc w:val="right"/>
              <w:rPr>
                <w:rFonts w:cstheme="minorHAnsi"/>
                <w:color w:val="000000"/>
                <w:sz w:val="20"/>
                <w:szCs w:val="20"/>
              </w:rPr>
            </w:pPr>
          </w:p>
        </w:tc>
        <w:tc>
          <w:tcPr>
            <w:tcW w:w="4167" w:type="dxa"/>
            <w:gridSpan w:val="2"/>
            <w:tcBorders>
              <w:top w:val="single" w:sz="6" w:space="0" w:color="00B0F0"/>
              <w:left w:val="single" w:sz="6" w:space="0" w:color="00B0F0"/>
              <w:bottom w:val="single" w:sz="6" w:space="0" w:color="00B0F0"/>
              <w:right w:val="single" w:sz="6" w:space="0" w:color="00B0F0"/>
            </w:tcBorders>
            <w:shd w:val="clear" w:color="auto" w:fill="auto"/>
            <w:noWrap/>
            <w:hideMark/>
          </w:tcPr>
          <w:p w:rsidR="00424AFD" w:rsidRPr="00D87B3A" w:rsidRDefault="00DD6D6D" w:rsidP="00563C30">
            <w:pPr>
              <w:spacing w:after="0" w:line="240" w:lineRule="auto"/>
              <w:rPr>
                <w:rFonts w:cstheme="minorHAnsi"/>
                <w:color w:val="000000"/>
                <w:sz w:val="20"/>
                <w:szCs w:val="20"/>
              </w:rPr>
            </w:pPr>
            <w:r>
              <w:rPr>
                <w:rFonts w:cstheme="minorHAnsi"/>
                <w:color w:val="000000"/>
                <w:sz w:val="20"/>
                <w:szCs w:val="20"/>
              </w:rPr>
              <w:t>No trend.</w:t>
            </w:r>
          </w:p>
        </w:tc>
      </w:tr>
      <w:tr w:rsidR="0038320D" w:rsidRPr="00D87B3A" w:rsidTr="00DD6D6D">
        <w:tblPrEx>
          <w:shd w:val="clear" w:color="auto" w:fill="auto"/>
        </w:tblPrEx>
        <w:trPr>
          <w:trHeight w:val="510"/>
        </w:trPr>
        <w:tc>
          <w:tcPr>
            <w:tcW w:w="3119" w:type="dxa"/>
            <w:tcBorders>
              <w:top w:val="single" w:sz="6" w:space="0" w:color="00B0F0"/>
              <w:left w:val="single" w:sz="6" w:space="0" w:color="00B0F0"/>
              <w:bottom w:val="single" w:sz="6" w:space="0" w:color="00B0F0"/>
              <w:right w:val="single" w:sz="6" w:space="0" w:color="00B0F0"/>
            </w:tcBorders>
            <w:shd w:val="clear" w:color="auto" w:fill="FFFFFF" w:themeFill="background1"/>
          </w:tcPr>
          <w:p w:rsidR="0038320D" w:rsidRPr="00D87B3A" w:rsidRDefault="0038320D" w:rsidP="00563C30">
            <w:pPr>
              <w:spacing w:after="0" w:line="240" w:lineRule="auto"/>
              <w:rPr>
                <w:rFonts w:cstheme="minorHAnsi"/>
                <w:color w:val="000000"/>
                <w:sz w:val="20"/>
                <w:szCs w:val="20"/>
              </w:rPr>
            </w:pPr>
          </w:p>
        </w:tc>
        <w:tc>
          <w:tcPr>
            <w:tcW w:w="1276" w:type="dxa"/>
            <w:tcBorders>
              <w:top w:val="single" w:sz="6" w:space="0" w:color="00B0F0"/>
              <w:left w:val="single" w:sz="6" w:space="0" w:color="00B0F0"/>
              <w:bottom w:val="single" w:sz="6" w:space="0" w:color="00B0F0"/>
              <w:right w:val="single" w:sz="6" w:space="0" w:color="00B0F0"/>
            </w:tcBorders>
            <w:shd w:val="clear" w:color="auto" w:fill="auto"/>
            <w:noWrap/>
          </w:tcPr>
          <w:p w:rsidR="0038320D" w:rsidRPr="00D87B3A" w:rsidRDefault="0038320D" w:rsidP="00563C30">
            <w:pPr>
              <w:spacing w:after="0" w:line="240" w:lineRule="auto"/>
              <w:rPr>
                <w:rFonts w:cstheme="minorHAnsi"/>
                <w:color w:val="000000"/>
                <w:sz w:val="20"/>
                <w:szCs w:val="20"/>
              </w:rPr>
            </w:pPr>
          </w:p>
        </w:tc>
        <w:tc>
          <w:tcPr>
            <w:tcW w:w="1134" w:type="dxa"/>
            <w:tcBorders>
              <w:top w:val="single" w:sz="6" w:space="0" w:color="00B0F0"/>
              <w:left w:val="single" w:sz="6" w:space="0" w:color="00B0F0"/>
              <w:bottom w:val="single" w:sz="6" w:space="0" w:color="00B0F0"/>
              <w:right w:val="single" w:sz="6" w:space="0" w:color="00B0F0"/>
            </w:tcBorders>
            <w:shd w:val="clear" w:color="auto" w:fill="auto"/>
            <w:noWrap/>
          </w:tcPr>
          <w:p w:rsidR="0038320D" w:rsidRPr="00D87B3A" w:rsidRDefault="0038320D" w:rsidP="00563C30">
            <w:pPr>
              <w:spacing w:after="0" w:line="240" w:lineRule="auto"/>
              <w:rPr>
                <w:rFonts w:cstheme="minorHAnsi"/>
                <w:color w:val="000000"/>
                <w:sz w:val="20"/>
                <w:szCs w:val="20"/>
              </w:rPr>
            </w:pPr>
          </w:p>
        </w:tc>
        <w:tc>
          <w:tcPr>
            <w:tcW w:w="1635" w:type="dxa"/>
            <w:tcBorders>
              <w:top w:val="single" w:sz="6" w:space="0" w:color="00B0F0"/>
              <w:left w:val="single" w:sz="6" w:space="0" w:color="00B0F0"/>
              <w:bottom w:val="single" w:sz="6" w:space="0" w:color="00B0F0"/>
              <w:right w:val="single" w:sz="6" w:space="0" w:color="00B0F0"/>
            </w:tcBorders>
            <w:shd w:val="clear" w:color="auto" w:fill="auto"/>
            <w:noWrap/>
          </w:tcPr>
          <w:p w:rsidR="0038320D" w:rsidRPr="00D87B3A" w:rsidRDefault="0038320D" w:rsidP="00563C30">
            <w:pPr>
              <w:spacing w:after="0" w:line="240" w:lineRule="auto"/>
              <w:jc w:val="right"/>
              <w:rPr>
                <w:rFonts w:cstheme="minorHAnsi"/>
                <w:color w:val="000000"/>
                <w:sz w:val="20"/>
                <w:szCs w:val="20"/>
              </w:rPr>
            </w:pPr>
          </w:p>
        </w:tc>
        <w:tc>
          <w:tcPr>
            <w:tcW w:w="1635" w:type="dxa"/>
            <w:tcBorders>
              <w:top w:val="single" w:sz="6" w:space="0" w:color="00B0F0"/>
              <w:left w:val="single" w:sz="6" w:space="0" w:color="00B0F0"/>
              <w:bottom w:val="single" w:sz="6" w:space="0" w:color="00B0F0"/>
              <w:right w:val="single" w:sz="6" w:space="0" w:color="00B0F0"/>
            </w:tcBorders>
            <w:shd w:val="clear" w:color="auto" w:fill="auto"/>
          </w:tcPr>
          <w:p w:rsidR="0038320D" w:rsidRPr="00D87B3A" w:rsidRDefault="0038320D" w:rsidP="00563C30">
            <w:pPr>
              <w:spacing w:after="0" w:line="240" w:lineRule="auto"/>
              <w:jc w:val="right"/>
              <w:rPr>
                <w:rFonts w:cstheme="minorHAnsi"/>
                <w:color w:val="000000"/>
                <w:sz w:val="20"/>
                <w:szCs w:val="20"/>
              </w:rPr>
            </w:pPr>
          </w:p>
        </w:tc>
        <w:tc>
          <w:tcPr>
            <w:tcW w:w="1635" w:type="dxa"/>
            <w:tcBorders>
              <w:top w:val="single" w:sz="6" w:space="0" w:color="00B0F0"/>
              <w:left w:val="single" w:sz="6" w:space="0" w:color="00B0F0"/>
              <w:bottom w:val="single" w:sz="6" w:space="0" w:color="00B0F0"/>
              <w:right w:val="single" w:sz="6" w:space="0" w:color="00B0F0"/>
            </w:tcBorders>
            <w:shd w:val="clear" w:color="auto" w:fill="auto"/>
          </w:tcPr>
          <w:p w:rsidR="0038320D" w:rsidRPr="00D87B3A" w:rsidRDefault="0038320D" w:rsidP="00563C30">
            <w:pPr>
              <w:spacing w:after="0" w:line="240" w:lineRule="auto"/>
              <w:jc w:val="right"/>
              <w:rPr>
                <w:rFonts w:cstheme="minorHAnsi"/>
                <w:color w:val="000000"/>
                <w:sz w:val="20"/>
                <w:szCs w:val="20"/>
              </w:rPr>
            </w:pPr>
            <w:r w:rsidRPr="00D87B3A">
              <w:rPr>
                <w:rFonts w:cstheme="minorHAnsi"/>
                <w:color w:val="000000"/>
                <w:sz w:val="20"/>
                <w:szCs w:val="20"/>
              </w:rPr>
              <w:t>Taken action (14%)</w:t>
            </w:r>
          </w:p>
        </w:tc>
        <w:tc>
          <w:tcPr>
            <w:tcW w:w="4167" w:type="dxa"/>
            <w:gridSpan w:val="2"/>
            <w:tcBorders>
              <w:top w:val="single" w:sz="6" w:space="0" w:color="00B0F0"/>
              <w:left w:val="single" w:sz="6" w:space="0" w:color="00B0F0"/>
              <w:bottom w:val="single" w:sz="6" w:space="0" w:color="00B0F0"/>
              <w:right w:val="single" w:sz="6" w:space="0" w:color="00B0F0"/>
            </w:tcBorders>
            <w:shd w:val="clear" w:color="auto" w:fill="auto"/>
            <w:noWrap/>
          </w:tcPr>
          <w:p w:rsidR="0038320D" w:rsidRPr="00D87B3A" w:rsidRDefault="00DD6D6D" w:rsidP="00563C30">
            <w:pPr>
              <w:spacing w:after="0" w:line="240" w:lineRule="auto"/>
              <w:rPr>
                <w:rFonts w:cstheme="minorHAnsi"/>
                <w:color w:val="000000"/>
                <w:sz w:val="20"/>
                <w:szCs w:val="20"/>
              </w:rPr>
            </w:pPr>
            <w:r>
              <w:rPr>
                <w:rFonts w:cstheme="minorHAnsi"/>
                <w:color w:val="000000"/>
                <w:sz w:val="20"/>
                <w:szCs w:val="20"/>
              </w:rPr>
              <w:t>No trend.</w:t>
            </w:r>
          </w:p>
        </w:tc>
      </w:tr>
      <w:tr w:rsidR="00424AFD" w:rsidRPr="00D87B3A" w:rsidTr="00DD6D6D">
        <w:trPr>
          <w:trHeight w:val="765"/>
        </w:trPr>
        <w:tc>
          <w:tcPr>
            <w:tcW w:w="3119" w:type="dxa"/>
            <w:tcBorders>
              <w:top w:val="single" w:sz="6" w:space="0" w:color="00B0F0"/>
              <w:left w:val="single" w:sz="6" w:space="0" w:color="00B0F0"/>
              <w:bottom w:val="single" w:sz="6" w:space="0" w:color="00B0F0"/>
              <w:right w:val="single" w:sz="6" w:space="0" w:color="00B0F0"/>
            </w:tcBorders>
            <w:shd w:val="clear" w:color="auto" w:fill="FFFFFF" w:themeFill="background1"/>
            <w:hideMark/>
          </w:tcPr>
          <w:p w:rsidR="00424AFD" w:rsidRPr="00D87B3A" w:rsidRDefault="00424AFD" w:rsidP="00563C30">
            <w:pPr>
              <w:spacing w:after="0" w:line="240" w:lineRule="auto"/>
              <w:rPr>
                <w:rFonts w:cstheme="minorHAnsi"/>
                <w:color w:val="000000"/>
                <w:sz w:val="20"/>
                <w:szCs w:val="20"/>
              </w:rPr>
            </w:pPr>
            <w:r w:rsidRPr="00D87B3A">
              <w:rPr>
                <w:rFonts w:cstheme="minorHAnsi"/>
                <w:color w:val="000000"/>
                <w:sz w:val="20"/>
                <w:szCs w:val="20"/>
              </w:rPr>
              <w:t>Number of earthquake-prone buildings.</w:t>
            </w:r>
          </w:p>
        </w:tc>
        <w:tc>
          <w:tcPr>
            <w:tcW w:w="1276" w:type="dxa"/>
            <w:tcBorders>
              <w:top w:val="single" w:sz="6" w:space="0" w:color="00B0F0"/>
              <w:left w:val="single" w:sz="6" w:space="0" w:color="00B0F0"/>
              <w:bottom w:val="single" w:sz="6" w:space="0" w:color="00B0F0"/>
              <w:right w:val="single" w:sz="6" w:space="0" w:color="00B0F0"/>
            </w:tcBorders>
            <w:shd w:val="clear" w:color="auto" w:fill="auto"/>
            <w:noWrap/>
            <w:hideMark/>
          </w:tcPr>
          <w:p w:rsidR="00424AFD" w:rsidRPr="00D87B3A" w:rsidRDefault="00424AFD" w:rsidP="00563C30">
            <w:pPr>
              <w:spacing w:after="0" w:line="240" w:lineRule="auto"/>
              <w:rPr>
                <w:rFonts w:cstheme="minorHAnsi"/>
                <w:color w:val="000000"/>
                <w:sz w:val="20"/>
                <w:szCs w:val="20"/>
              </w:rPr>
            </w:pPr>
            <w:r>
              <w:rPr>
                <w:rFonts w:cstheme="minorHAnsi"/>
                <w:color w:val="000000"/>
                <w:sz w:val="20"/>
                <w:szCs w:val="20"/>
              </w:rPr>
              <w:t>Number of EQP buildings d</w:t>
            </w:r>
            <w:r w:rsidRPr="00D87B3A">
              <w:rPr>
                <w:rFonts w:cstheme="minorHAnsi"/>
                <w:color w:val="000000"/>
                <w:sz w:val="20"/>
                <w:szCs w:val="20"/>
              </w:rPr>
              <w:t xml:space="preserve">ecreasing </w:t>
            </w:r>
          </w:p>
        </w:tc>
        <w:tc>
          <w:tcPr>
            <w:tcW w:w="1134" w:type="dxa"/>
            <w:tcBorders>
              <w:top w:val="single" w:sz="6" w:space="0" w:color="00B0F0"/>
              <w:left w:val="single" w:sz="6" w:space="0" w:color="00B0F0"/>
              <w:bottom w:val="single" w:sz="6" w:space="0" w:color="00B0F0"/>
              <w:right w:val="single" w:sz="6" w:space="0" w:color="00B0F0"/>
            </w:tcBorders>
            <w:shd w:val="clear" w:color="auto" w:fill="auto"/>
            <w:noWrap/>
            <w:hideMark/>
          </w:tcPr>
          <w:p w:rsidR="00424AFD" w:rsidRPr="00D87B3A" w:rsidRDefault="00424AFD" w:rsidP="00563C30">
            <w:pPr>
              <w:spacing w:after="0" w:line="240" w:lineRule="auto"/>
              <w:rPr>
                <w:rFonts w:cstheme="minorHAnsi"/>
                <w:color w:val="000000"/>
                <w:sz w:val="20"/>
                <w:szCs w:val="20"/>
              </w:rPr>
            </w:pPr>
            <w:r w:rsidRPr="00D87B3A">
              <w:rPr>
                <w:rFonts w:cstheme="minorHAnsi"/>
                <w:color w:val="000000"/>
                <w:sz w:val="20"/>
                <w:szCs w:val="20"/>
              </w:rPr>
              <w:t>WCC-Resilience</w:t>
            </w:r>
          </w:p>
        </w:tc>
        <w:tc>
          <w:tcPr>
            <w:tcW w:w="1635" w:type="dxa"/>
            <w:tcBorders>
              <w:top w:val="single" w:sz="6" w:space="0" w:color="00B0F0"/>
              <w:left w:val="single" w:sz="6" w:space="0" w:color="00B0F0"/>
              <w:bottom w:val="single" w:sz="6" w:space="0" w:color="00B0F0"/>
              <w:right w:val="single" w:sz="6" w:space="0" w:color="00B0F0"/>
            </w:tcBorders>
            <w:shd w:val="clear" w:color="auto" w:fill="auto"/>
            <w:noWrap/>
            <w:hideMark/>
          </w:tcPr>
          <w:p w:rsidR="00424AFD" w:rsidRPr="00D87B3A" w:rsidRDefault="00424AFD" w:rsidP="00563C30">
            <w:pPr>
              <w:spacing w:after="0" w:line="240" w:lineRule="auto"/>
              <w:jc w:val="right"/>
              <w:rPr>
                <w:rFonts w:cstheme="minorHAnsi"/>
                <w:color w:val="000000"/>
                <w:sz w:val="20"/>
                <w:szCs w:val="20"/>
              </w:rPr>
            </w:pPr>
          </w:p>
        </w:tc>
        <w:tc>
          <w:tcPr>
            <w:tcW w:w="1635" w:type="dxa"/>
            <w:tcBorders>
              <w:top w:val="single" w:sz="6" w:space="0" w:color="00B0F0"/>
              <w:left w:val="single" w:sz="6" w:space="0" w:color="00B0F0"/>
              <w:bottom w:val="single" w:sz="6" w:space="0" w:color="00B0F0"/>
              <w:right w:val="single" w:sz="6" w:space="0" w:color="00B0F0"/>
            </w:tcBorders>
            <w:shd w:val="clear" w:color="auto" w:fill="auto"/>
            <w:noWrap/>
            <w:hideMark/>
          </w:tcPr>
          <w:p w:rsidR="00424AFD" w:rsidRPr="00D87B3A" w:rsidRDefault="00424AFD" w:rsidP="00563C30">
            <w:pPr>
              <w:spacing w:after="0" w:line="240" w:lineRule="auto"/>
              <w:jc w:val="right"/>
              <w:rPr>
                <w:rFonts w:cstheme="minorHAnsi"/>
                <w:color w:val="000000"/>
                <w:sz w:val="20"/>
                <w:szCs w:val="20"/>
              </w:rPr>
            </w:pPr>
            <w:r w:rsidRPr="00D87B3A">
              <w:rPr>
                <w:rFonts w:cstheme="minorHAnsi"/>
                <w:color w:val="000000"/>
                <w:sz w:val="20"/>
                <w:szCs w:val="20"/>
              </w:rPr>
              <w:t>New</w:t>
            </w:r>
          </w:p>
        </w:tc>
        <w:tc>
          <w:tcPr>
            <w:tcW w:w="1635" w:type="dxa"/>
            <w:tcBorders>
              <w:top w:val="single" w:sz="6" w:space="0" w:color="00B0F0"/>
              <w:left w:val="single" w:sz="6" w:space="0" w:color="00B0F0"/>
              <w:bottom w:val="single" w:sz="6" w:space="0" w:color="00B0F0"/>
              <w:right w:val="single" w:sz="6" w:space="0" w:color="00B0F0"/>
            </w:tcBorders>
            <w:shd w:val="clear" w:color="auto" w:fill="auto"/>
            <w:hideMark/>
          </w:tcPr>
          <w:p w:rsidR="00424AFD" w:rsidRPr="00D87B3A" w:rsidRDefault="00424AFD" w:rsidP="00563C30">
            <w:pPr>
              <w:spacing w:after="0" w:line="240" w:lineRule="auto"/>
              <w:jc w:val="right"/>
              <w:rPr>
                <w:rFonts w:cstheme="minorHAnsi"/>
                <w:color w:val="000000"/>
                <w:sz w:val="20"/>
                <w:szCs w:val="20"/>
              </w:rPr>
            </w:pPr>
            <w:r w:rsidRPr="00D87B3A">
              <w:rPr>
                <w:rFonts w:cstheme="minorHAnsi"/>
                <w:color w:val="000000"/>
                <w:sz w:val="20"/>
                <w:szCs w:val="20"/>
              </w:rPr>
              <w:t>593 building listed, down from 717</w:t>
            </w:r>
          </w:p>
        </w:tc>
        <w:tc>
          <w:tcPr>
            <w:tcW w:w="4167" w:type="dxa"/>
            <w:gridSpan w:val="2"/>
            <w:tcBorders>
              <w:top w:val="single" w:sz="6" w:space="0" w:color="00B0F0"/>
              <w:left w:val="single" w:sz="6" w:space="0" w:color="00B0F0"/>
              <w:bottom w:val="single" w:sz="6" w:space="0" w:color="00B0F0"/>
              <w:right w:val="single" w:sz="6" w:space="0" w:color="00B0F0"/>
            </w:tcBorders>
            <w:shd w:val="clear" w:color="auto" w:fill="auto"/>
            <w:noWrap/>
            <w:hideMark/>
          </w:tcPr>
          <w:p w:rsidR="00424AFD" w:rsidRPr="00D87B3A" w:rsidRDefault="00DD6D6D" w:rsidP="00563C30">
            <w:pPr>
              <w:spacing w:after="0" w:line="240" w:lineRule="auto"/>
              <w:rPr>
                <w:rFonts w:cstheme="minorHAnsi"/>
                <w:color w:val="000000"/>
                <w:sz w:val="20"/>
                <w:szCs w:val="20"/>
              </w:rPr>
            </w:pPr>
            <w:r>
              <w:rPr>
                <w:rFonts w:cstheme="minorHAnsi"/>
                <w:color w:val="000000"/>
                <w:sz w:val="20"/>
                <w:szCs w:val="20"/>
              </w:rPr>
              <w:t>No trend.</w:t>
            </w:r>
          </w:p>
        </w:tc>
      </w:tr>
      <w:tr w:rsidR="00424AFD" w:rsidRPr="00D87B3A" w:rsidTr="00DD6D6D">
        <w:trPr>
          <w:trHeight w:val="765"/>
        </w:trPr>
        <w:tc>
          <w:tcPr>
            <w:tcW w:w="3119" w:type="dxa"/>
            <w:tcBorders>
              <w:top w:val="single" w:sz="6" w:space="0" w:color="00B0F0"/>
              <w:left w:val="single" w:sz="6" w:space="0" w:color="00B0F0"/>
              <w:bottom w:val="single" w:sz="6" w:space="0" w:color="00B0F0"/>
              <w:right w:val="single" w:sz="6" w:space="0" w:color="00B0F0"/>
            </w:tcBorders>
            <w:shd w:val="clear" w:color="auto" w:fill="FFFFFF" w:themeFill="background1"/>
            <w:hideMark/>
          </w:tcPr>
          <w:p w:rsidR="00424AFD" w:rsidRPr="00D87B3A" w:rsidRDefault="00424AFD" w:rsidP="00563C30">
            <w:pPr>
              <w:spacing w:after="0" w:line="240" w:lineRule="auto"/>
              <w:rPr>
                <w:rFonts w:cstheme="minorHAnsi"/>
                <w:color w:val="000000"/>
                <w:sz w:val="20"/>
                <w:szCs w:val="20"/>
              </w:rPr>
            </w:pPr>
            <w:r w:rsidRPr="00D87B3A">
              <w:rPr>
                <w:rFonts w:cstheme="minorHAnsi"/>
                <w:color w:val="000000"/>
                <w:sz w:val="20"/>
                <w:szCs w:val="20"/>
              </w:rPr>
              <w:t>Number of earthquake-prone buildings and lifeline routes</w:t>
            </w:r>
          </w:p>
        </w:tc>
        <w:tc>
          <w:tcPr>
            <w:tcW w:w="1276" w:type="dxa"/>
            <w:tcBorders>
              <w:top w:val="single" w:sz="6" w:space="0" w:color="00B0F0"/>
              <w:left w:val="single" w:sz="6" w:space="0" w:color="00B0F0"/>
              <w:bottom w:val="single" w:sz="6" w:space="0" w:color="00B0F0"/>
              <w:right w:val="single" w:sz="6" w:space="0" w:color="00B0F0"/>
            </w:tcBorders>
            <w:shd w:val="clear" w:color="auto" w:fill="auto"/>
            <w:noWrap/>
            <w:hideMark/>
          </w:tcPr>
          <w:p w:rsidR="00424AFD" w:rsidRPr="00D87B3A" w:rsidRDefault="00424AFD" w:rsidP="00563C30">
            <w:pPr>
              <w:spacing w:after="0" w:line="240" w:lineRule="auto"/>
              <w:rPr>
                <w:rFonts w:cstheme="minorHAnsi"/>
                <w:color w:val="000000"/>
                <w:sz w:val="20"/>
                <w:szCs w:val="20"/>
              </w:rPr>
            </w:pPr>
            <w:r w:rsidRPr="00D87B3A">
              <w:rPr>
                <w:rFonts w:cstheme="minorHAnsi"/>
                <w:color w:val="000000"/>
                <w:sz w:val="20"/>
                <w:szCs w:val="20"/>
              </w:rPr>
              <w:t xml:space="preserve">Number strengthened – increasing </w:t>
            </w:r>
          </w:p>
        </w:tc>
        <w:tc>
          <w:tcPr>
            <w:tcW w:w="1134" w:type="dxa"/>
            <w:tcBorders>
              <w:top w:val="single" w:sz="6" w:space="0" w:color="00B0F0"/>
              <w:left w:val="single" w:sz="6" w:space="0" w:color="00B0F0"/>
              <w:bottom w:val="single" w:sz="6" w:space="0" w:color="00B0F0"/>
              <w:right w:val="single" w:sz="6" w:space="0" w:color="00B0F0"/>
            </w:tcBorders>
            <w:shd w:val="clear" w:color="auto" w:fill="auto"/>
            <w:noWrap/>
            <w:hideMark/>
          </w:tcPr>
          <w:p w:rsidR="00424AFD" w:rsidRPr="00D87B3A" w:rsidRDefault="00424AFD" w:rsidP="00563C30">
            <w:pPr>
              <w:spacing w:after="0" w:line="240" w:lineRule="auto"/>
              <w:rPr>
                <w:rFonts w:cstheme="minorHAnsi"/>
                <w:color w:val="000000"/>
                <w:sz w:val="20"/>
                <w:szCs w:val="20"/>
              </w:rPr>
            </w:pPr>
            <w:r w:rsidRPr="00D87B3A">
              <w:rPr>
                <w:rFonts w:cstheme="minorHAnsi"/>
                <w:color w:val="000000"/>
                <w:sz w:val="20"/>
                <w:szCs w:val="20"/>
              </w:rPr>
              <w:t>WCC-Resilience</w:t>
            </w:r>
          </w:p>
        </w:tc>
        <w:tc>
          <w:tcPr>
            <w:tcW w:w="1635" w:type="dxa"/>
            <w:tcBorders>
              <w:top w:val="single" w:sz="6" w:space="0" w:color="00B0F0"/>
              <w:left w:val="single" w:sz="6" w:space="0" w:color="00B0F0"/>
              <w:bottom w:val="single" w:sz="6" w:space="0" w:color="00B0F0"/>
              <w:right w:val="single" w:sz="6" w:space="0" w:color="00B0F0"/>
            </w:tcBorders>
            <w:shd w:val="clear" w:color="auto" w:fill="auto"/>
            <w:noWrap/>
            <w:hideMark/>
          </w:tcPr>
          <w:p w:rsidR="00424AFD" w:rsidRPr="00D87B3A" w:rsidRDefault="00424AFD" w:rsidP="00563C30">
            <w:pPr>
              <w:spacing w:after="0" w:line="240" w:lineRule="auto"/>
              <w:jc w:val="right"/>
              <w:rPr>
                <w:rFonts w:cstheme="minorHAnsi"/>
                <w:color w:val="000000"/>
                <w:sz w:val="20"/>
                <w:szCs w:val="20"/>
              </w:rPr>
            </w:pPr>
          </w:p>
        </w:tc>
        <w:tc>
          <w:tcPr>
            <w:tcW w:w="1635" w:type="dxa"/>
            <w:tcBorders>
              <w:top w:val="single" w:sz="6" w:space="0" w:color="00B0F0"/>
              <w:left w:val="single" w:sz="6" w:space="0" w:color="00B0F0"/>
              <w:bottom w:val="single" w:sz="6" w:space="0" w:color="00B0F0"/>
              <w:right w:val="single" w:sz="6" w:space="0" w:color="00B0F0"/>
            </w:tcBorders>
            <w:shd w:val="clear" w:color="auto" w:fill="auto"/>
            <w:noWrap/>
            <w:hideMark/>
          </w:tcPr>
          <w:p w:rsidR="00424AFD" w:rsidRPr="00D87B3A" w:rsidRDefault="00424AFD" w:rsidP="00563C30">
            <w:pPr>
              <w:spacing w:after="0" w:line="240" w:lineRule="auto"/>
              <w:jc w:val="right"/>
              <w:rPr>
                <w:rFonts w:cstheme="minorHAnsi"/>
                <w:color w:val="000000"/>
                <w:sz w:val="20"/>
                <w:szCs w:val="20"/>
              </w:rPr>
            </w:pPr>
            <w:r w:rsidRPr="00D87B3A">
              <w:rPr>
                <w:rFonts w:cstheme="minorHAnsi"/>
                <w:color w:val="000000"/>
                <w:sz w:val="20"/>
                <w:szCs w:val="20"/>
              </w:rPr>
              <w:t>New</w:t>
            </w:r>
          </w:p>
        </w:tc>
        <w:tc>
          <w:tcPr>
            <w:tcW w:w="1635" w:type="dxa"/>
            <w:tcBorders>
              <w:top w:val="single" w:sz="6" w:space="0" w:color="00B0F0"/>
              <w:left w:val="single" w:sz="6" w:space="0" w:color="00B0F0"/>
              <w:bottom w:val="single" w:sz="6" w:space="0" w:color="00B0F0"/>
              <w:right w:val="single" w:sz="6" w:space="0" w:color="00B0F0"/>
            </w:tcBorders>
            <w:shd w:val="clear" w:color="auto" w:fill="auto"/>
            <w:hideMark/>
          </w:tcPr>
          <w:p w:rsidR="00424AFD" w:rsidRPr="00D87B3A" w:rsidRDefault="00424AFD" w:rsidP="00563C30">
            <w:pPr>
              <w:spacing w:after="0" w:line="240" w:lineRule="auto"/>
              <w:jc w:val="right"/>
              <w:rPr>
                <w:rFonts w:cstheme="minorHAnsi"/>
                <w:color w:val="000000"/>
                <w:sz w:val="20"/>
                <w:szCs w:val="20"/>
              </w:rPr>
            </w:pPr>
            <w:r w:rsidRPr="00D87B3A">
              <w:rPr>
                <w:rFonts w:cstheme="minorHAnsi"/>
                <w:color w:val="000000"/>
                <w:sz w:val="20"/>
                <w:szCs w:val="20"/>
              </w:rPr>
              <w:t>54/593 are identified as priority</w:t>
            </w:r>
          </w:p>
        </w:tc>
        <w:tc>
          <w:tcPr>
            <w:tcW w:w="4167" w:type="dxa"/>
            <w:gridSpan w:val="2"/>
            <w:tcBorders>
              <w:top w:val="single" w:sz="6" w:space="0" w:color="00B0F0"/>
              <w:left w:val="single" w:sz="6" w:space="0" w:color="00B0F0"/>
              <w:bottom w:val="single" w:sz="6" w:space="0" w:color="00B0F0"/>
              <w:right w:val="single" w:sz="6" w:space="0" w:color="00B0F0"/>
            </w:tcBorders>
            <w:shd w:val="clear" w:color="auto" w:fill="auto"/>
            <w:noWrap/>
          </w:tcPr>
          <w:p w:rsidR="00424AFD" w:rsidRPr="00D87B3A" w:rsidRDefault="00DD6D6D" w:rsidP="00DD6D6D">
            <w:pPr>
              <w:spacing w:after="0" w:line="240" w:lineRule="auto"/>
              <w:rPr>
                <w:rFonts w:cstheme="minorHAnsi"/>
                <w:color w:val="000000"/>
                <w:sz w:val="20"/>
                <w:szCs w:val="20"/>
              </w:rPr>
            </w:pPr>
            <w:r>
              <w:rPr>
                <w:rFonts w:cstheme="minorHAnsi"/>
                <w:color w:val="000000"/>
                <w:sz w:val="20"/>
                <w:szCs w:val="20"/>
              </w:rPr>
              <w:t>No trend.</w:t>
            </w:r>
          </w:p>
        </w:tc>
      </w:tr>
      <w:tr w:rsidR="00424AFD" w:rsidRPr="00D87B3A" w:rsidTr="00DD6D6D">
        <w:trPr>
          <w:trHeight w:val="765"/>
        </w:trPr>
        <w:tc>
          <w:tcPr>
            <w:tcW w:w="3119" w:type="dxa"/>
            <w:tcBorders>
              <w:top w:val="single" w:sz="6" w:space="0" w:color="00B0F0"/>
              <w:left w:val="single" w:sz="6" w:space="0" w:color="00B0F0"/>
              <w:bottom w:val="single" w:sz="6" w:space="0" w:color="00B0F0"/>
              <w:right w:val="single" w:sz="6" w:space="0" w:color="00B0F0"/>
            </w:tcBorders>
            <w:shd w:val="clear" w:color="auto" w:fill="FFFFFF" w:themeFill="background1"/>
            <w:hideMark/>
          </w:tcPr>
          <w:p w:rsidR="00424AFD" w:rsidRPr="00D87B3A" w:rsidRDefault="00424AFD" w:rsidP="00563C30">
            <w:pPr>
              <w:spacing w:after="0" w:line="240" w:lineRule="auto"/>
              <w:rPr>
                <w:rFonts w:cstheme="minorHAnsi"/>
                <w:color w:val="000000"/>
                <w:sz w:val="20"/>
                <w:szCs w:val="20"/>
              </w:rPr>
            </w:pPr>
            <w:r w:rsidRPr="00D87B3A">
              <w:rPr>
                <w:rFonts w:cstheme="minorHAnsi"/>
                <w:color w:val="000000"/>
                <w:sz w:val="20"/>
                <w:szCs w:val="20"/>
              </w:rPr>
              <w:t>Residents who recall receiving Wellington-specific resilience information in the past year (eg</w:t>
            </w:r>
            <w:r w:rsidR="003856A0">
              <w:rPr>
                <w:rFonts w:cstheme="minorHAnsi"/>
                <w:color w:val="000000"/>
                <w:sz w:val="20"/>
                <w:szCs w:val="20"/>
              </w:rPr>
              <w:t>,</w:t>
            </w:r>
            <w:r w:rsidRPr="00D87B3A">
              <w:rPr>
                <w:rFonts w:cstheme="minorHAnsi"/>
                <w:color w:val="000000"/>
                <w:sz w:val="20"/>
                <w:szCs w:val="20"/>
              </w:rPr>
              <w:t xml:space="preserve"> earthquake preparedness via digital, media or community channels)</w:t>
            </w:r>
          </w:p>
        </w:tc>
        <w:tc>
          <w:tcPr>
            <w:tcW w:w="1276" w:type="dxa"/>
            <w:tcBorders>
              <w:top w:val="single" w:sz="6" w:space="0" w:color="00B0F0"/>
              <w:left w:val="single" w:sz="6" w:space="0" w:color="00B0F0"/>
              <w:bottom w:val="single" w:sz="6" w:space="0" w:color="00B0F0"/>
              <w:right w:val="single" w:sz="6" w:space="0" w:color="00B0F0"/>
            </w:tcBorders>
            <w:shd w:val="clear" w:color="auto" w:fill="auto"/>
            <w:noWrap/>
            <w:hideMark/>
          </w:tcPr>
          <w:p w:rsidR="00424AFD" w:rsidRPr="00D87B3A" w:rsidRDefault="00424AFD" w:rsidP="00563C30">
            <w:pPr>
              <w:spacing w:after="0" w:line="240" w:lineRule="auto"/>
              <w:rPr>
                <w:rFonts w:cstheme="minorHAnsi"/>
                <w:color w:val="000000"/>
                <w:sz w:val="20"/>
                <w:szCs w:val="20"/>
              </w:rPr>
            </w:pPr>
            <w:r w:rsidRPr="00D87B3A">
              <w:rPr>
                <w:rFonts w:cstheme="minorHAnsi"/>
                <w:color w:val="000000"/>
                <w:sz w:val="20"/>
                <w:szCs w:val="20"/>
              </w:rPr>
              <w:t>Increasing</w:t>
            </w:r>
          </w:p>
        </w:tc>
        <w:tc>
          <w:tcPr>
            <w:tcW w:w="1134" w:type="dxa"/>
            <w:tcBorders>
              <w:top w:val="single" w:sz="6" w:space="0" w:color="00B0F0"/>
              <w:left w:val="single" w:sz="6" w:space="0" w:color="00B0F0"/>
              <w:bottom w:val="single" w:sz="6" w:space="0" w:color="00B0F0"/>
              <w:right w:val="single" w:sz="6" w:space="0" w:color="00B0F0"/>
            </w:tcBorders>
            <w:shd w:val="clear" w:color="auto" w:fill="auto"/>
            <w:noWrap/>
            <w:hideMark/>
          </w:tcPr>
          <w:p w:rsidR="00424AFD" w:rsidRPr="00D87B3A" w:rsidRDefault="00424AFD" w:rsidP="00563C30">
            <w:pPr>
              <w:spacing w:after="0" w:line="240" w:lineRule="auto"/>
              <w:rPr>
                <w:rFonts w:cstheme="minorHAnsi"/>
                <w:color w:val="000000"/>
                <w:sz w:val="20"/>
                <w:szCs w:val="20"/>
              </w:rPr>
            </w:pPr>
            <w:r w:rsidRPr="00D87B3A">
              <w:rPr>
                <w:rFonts w:cstheme="minorHAnsi"/>
                <w:color w:val="000000"/>
                <w:sz w:val="20"/>
                <w:szCs w:val="20"/>
              </w:rPr>
              <w:t>WCC RMS 2019</w:t>
            </w:r>
          </w:p>
        </w:tc>
        <w:tc>
          <w:tcPr>
            <w:tcW w:w="1635" w:type="dxa"/>
            <w:tcBorders>
              <w:top w:val="single" w:sz="6" w:space="0" w:color="00B0F0"/>
              <w:left w:val="single" w:sz="6" w:space="0" w:color="00B0F0"/>
              <w:bottom w:val="single" w:sz="6" w:space="0" w:color="00B0F0"/>
              <w:right w:val="single" w:sz="6" w:space="0" w:color="00B0F0"/>
            </w:tcBorders>
            <w:shd w:val="clear" w:color="auto" w:fill="auto"/>
            <w:noWrap/>
            <w:hideMark/>
          </w:tcPr>
          <w:p w:rsidR="00424AFD" w:rsidRPr="00D87B3A" w:rsidRDefault="00424AFD" w:rsidP="00563C30">
            <w:pPr>
              <w:spacing w:after="0" w:line="240" w:lineRule="auto"/>
              <w:jc w:val="right"/>
              <w:rPr>
                <w:rFonts w:cstheme="minorHAnsi"/>
                <w:color w:val="000000"/>
                <w:sz w:val="20"/>
                <w:szCs w:val="20"/>
              </w:rPr>
            </w:pPr>
          </w:p>
        </w:tc>
        <w:tc>
          <w:tcPr>
            <w:tcW w:w="1635" w:type="dxa"/>
            <w:tcBorders>
              <w:top w:val="single" w:sz="6" w:space="0" w:color="00B0F0"/>
              <w:left w:val="single" w:sz="6" w:space="0" w:color="00B0F0"/>
              <w:bottom w:val="single" w:sz="6" w:space="0" w:color="00B0F0"/>
              <w:right w:val="single" w:sz="6" w:space="0" w:color="00B0F0"/>
            </w:tcBorders>
            <w:shd w:val="clear" w:color="auto" w:fill="auto"/>
            <w:noWrap/>
            <w:hideMark/>
          </w:tcPr>
          <w:p w:rsidR="00424AFD" w:rsidRPr="00D87B3A" w:rsidRDefault="00424AFD" w:rsidP="00563C30">
            <w:pPr>
              <w:spacing w:after="0" w:line="240" w:lineRule="auto"/>
              <w:jc w:val="right"/>
              <w:rPr>
                <w:rFonts w:cstheme="minorHAnsi"/>
                <w:color w:val="000000"/>
                <w:sz w:val="20"/>
                <w:szCs w:val="20"/>
              </w:rPr>
            </w:pPr>
            <w:r w:rsidRPr="00D87B3A">
              <w:rPr>
                <w:rFonts w:cstheme="minorHAnsi"/>
                <w:color w:val="000000"/>
                <w:sz w:val="20"/>
                <w:szCs w:val="20"/>
              </w:rPr>
              <w:t>New</w:t>
            </w:r>
          </w:p>
        </w:tc>
        <w:tc>
          <w:tcPr>
            <w:tcW w:w="1635" w:type="dxa"/>
            <w:tcBorders>
              <w:top w:val="single" w:sz="6" w:space="0" w:color="00B0F0"/>
              <w:left w:val="single" w:sz="6" w:space="0" w:color="00B0F0"/>
              <w:bottom w:val="single" w:sz="6" w:space="0" w:color="00B0F0"/>
              <w:right w:val="single" w:sz="6" w:space="0" w:color="00B0F0"/>
            </w:tcBorders>
            <w:shd w:val="clear" w:color="auto" w:fill="auto"/>
            <w:noWrap/>
            <w:hideMark/>
          </w:tcPr>
          <w:p w:rsidR="00424AFD" w:rsidRPr="00D87B3A" w:rsidRDefault="00424AFD" w:rsidP="00563C30">
            <w:pPr>
              <w:spacing w:after="0" w:line="240" w:lineRule="auto"/>
              <w:jc w:val="right"/>
              <w:rPr>
                <w:rFonts w:cstheme="minorHAnsi"/>
                <w:color w:val="000000"/>
                <w:sz w:val="20"/>
                <w:szCs w:val="20"/>
              </w:rPr>
            </w:pPr>
            <w:r w:rsidRPr="00D87B3A">
              <w:rPr>
                <w:rFonts w:cstheme="minorHAnsi"/>
                <w:color w:val="000000"/>
                <w:sz w:val="20"/>
                <w:szCs w:val="20"/>
              </w:rPr>
              <w:t>22%</w:t>
            </w:r>
          </w:p>
        </w:tc>
        <w:tc>
          <w:tcPr>
            <w:tcW w:w="4167" w:type="dxa"/>
            <w:gridSpan w:val="2"/>
            <w:tcBorders>
              <w:top w:val="single" w:sz="6" w:space="0" w:color="00B0F0"/>
              <w:left w:val="single" w:sz="6" w:space="0" w:color="00B0F0"/>
              <w:bottom w:val="single" w:sz="6" w:space="0" w:color="00B0F0"/>
              <w:right w:val="single" w:sz="6" w:space="0" w:color="00B0F0"/>
            </w:tcBorders>
            <w:shd w:val="clear" w:color="auto" w:fill="auto"/>
            <w:noWrap/>
            <w:hideMark/>
          </w:tcPr>
          <w:p w:rsidR="00424AFD" w:rsidRPr="00D87B3A" w:rsidRDefault="00DD6D6D" w:rsidP="00563C30">
            <w:pPr>
              <w:spacing w:after="0" w:line="240" w:lineRule="auto"/>
              <w:rPr>
                <w:rFonts w:cstheme="minorHAnsi"/>
                <w:color w:val="000000"/>
                <w:sz w:val="20"/>
                <w:szCs w:val="20"/>
              </w:rPr>
            </w:pPr>
            <w:r>
              <w:rPr>
                <w:rFonts w:cstheme="minorHAnsi"/>
                <w:color w:val="000000"/>
                <w:sz w:val="20"/>
                <w:szCs w:val="20"/>
              </w:rPr>
              <w:t>No trend.</w:t>
            </w:r>
          </w:p>
        </w:tc>
      </w:tr>
      <w:tr w:rsidR="00424AFD" w:rsidRPr="00D87B3A" w:rsidTr="00DD6D6D">
        <w:trPr>
          <w:trHeight w:val="765"/>
        </w:trPr>
        <w:tc>
          <w:tcPr>
            <w:tcW w:w="3119" w:type="dxa"/>
            <w:tcBorders>
              <w:top w:val="single" w:sz="6" w:space="0" w:color="00B0F0"/>
              <w:left w:val="single" w:sz="6" w:space="0" w:color="00B0F0"/>
              <w:bottom w:val="single" w:sz="6" w:space="0" w:color="00B0F0"/>
              <w:right w:val="single" w:sz="6" w:space="0" w:color="00B0F0"/>
            </w:tcBorders>
            <w:shd w:val="clear" w:color="auto" w:fill="FFFFFF" w:themeFill="background1"/>
            <w:hideMark/>
          </w:tcPr>
          <w:p w:rsidR="00424AFD" w:rsidRPr="00D87B3A" w:rsidRDefault="00424AFD" w:rsidP="00563C30">
            <w:pPr>
              <w:spacing w:after="0" w:line="240" w:lineRule="auto"/>
              <w:rPr>
                <w:rFonts w:cstheme="minorHAnsi"/>
                <w:color w:val="000000"/>
                <w:sz w:val="20"/>
                <w:szCs w:val="20"/>
              </w:rPr>
            </w:pPr>
            <w:r w:rsidRPr="00D87B3A">
              <w:rPr>
                <w:rFonts w:cstheme="minorHAnsi"/>
                <w:color w:val="000000"/>
                <w:sz w:val="20"/>
                <w:szCs w:val="20"/>
              </w:rPr>
              <w:t>Residents (%) who believe that Wellington City Council is making adequate progress on addressing building resilience-related issues in the city</w:t>
            </w:r>
          </w:p>
        </w:tc>
        <w:tc>
          <w:tcPr>
            <w:tcW w:w="1276" w:type="dxa"/>
            <w:tcBorders>
              <w:top w:val="single" w:sz="6" w:space="0" w:color="00B0F0"/>
              <w:left w:val="single" w:sz="6" w:space="0" w:color="00B0F0"/>
              <w:bottom w:val="single" w:sz="6" w:space="0" w:color="00B0F0"/>
              <w:right w:val="single" w:sz="6" w:space="0" w:color="00B0F0"/>
            </w:tcBorders>
            <w:shd w:val="clear" w:color="auto" w:fill="auto"/>
            <w:noWrap/>
            <w:hideMark/>
          </w:tcPr>
          <w:p w:rsidR="00424AFD" w:rsidRPr="00D87B3A" w:rsidRDefault="00424AFD" w:rsidP="00563C30">
            <w:pPr>
              <w:spacing w:after="0" w:line="240" w:lineRule="auto"/>
              <w:rPr>
                <w:rFonts w:cstheme="minorHAnsi"/>
                <w:color w:val="000000"/>
                <w:sz w:val="20"/>
                <w:szCs w:val="20"/>
              </w:rPr>
            </w:pPr>
            <w:r w:rsidRPr="00D87B3A">
              <w:rPr>
                <w:rFonts w:cstheme="minorHAnsi"/>
                <w:color w:val="000000"/>
                <w:sz w:val="20"/>
                <w:szCs w:val="20"/>
              </w:rPr>
              <w:t>Increasing</w:t>
            </w:r>
          </w:p>
        </w:tc>
        <w:tc>
          <w:tcPr>
            <w:tcW w:w="1134" w:type="dxa"/>
            <w:tcBorders>
              <w:top w:val="single" w:sz="6" w:space="0" w:color="00B0F0"/>
              <w:left w:val="single" w:sz="6" w:space="0" w:color="00B0F0"/>
              <w:bottom w:val="single" w:sz="6" w:space="0" w:color="00B0F0"/>
              <w:right w:val="single" w:sz="6" w:space="0" w:color="00B0F0"/>
            </w:tcBorders>
            <w:shd w:val="clear" w:color="auto" w:fill="auto"/>
            <w:noWrap/>
            <w:hideMark/>
          </w:tcPr>
          <w:p w:rsidR="00424AFD" w:rsidRPr="00D87B3A" w:rsidRDefault="00424AFD" w:rsidP="00563C30">
            <w:pPr>
              <w:spacing w:after="0" w:line="240" w:lineRule="auto"/>
              <w:rPr>
                <w:rFonts w:cstheme="minorHAnsi"/>
                <w:color w:val="000000"/>
                <w:sz w:val="20"/>
                <w:szCs w:val="20"/>
              </w:rPr>
            </w:pPr>
            <w:r w:rsidRPr="00D87B3A">
              <w:rPr>
                <w:rFonts w:cstheme="minorHAnsi"/>
                <w:color w:val="000000"/>
                <w:sz w:val="20"/>
                <w:szCs w:val="20"/>
              </w:rPr>
              <w:t>WCC RMS 2019</w:t>
            </w:r>
          </w:p>
        </w:tc>
        <w:tc>
          <w:tcPr>
            <w:tcW w:w="1635" w:type="dxa"/>
            <w:tcBorders>
              <w:top w:val="single" w:sz="6" w:space="0" w:color="00B0F0"/>
              <w:left w:val="single" w:sz="6" w:space="0" w:color="00B0F0"/>
              <w:bottom w:val="single" w:sz="6" w:space="0" w:color="00B0F0"/>
              <w:right w:val="single" w:sz="6" w:space="0" w:color="00B0F0"/>
            </w:tcBorders>
            <w:shd w:val="clear" w:color="auto" w:fill="auto"/>
            <w:noWrap/>
            <w:hideMark/>
          </w:tcPr>
          <w:p w:rsidR="00424AFD" w:rsidRPr="00D87B3A" w:rsidRDefault="00424AFD" w:rsidP="00563C30">
            <w:pPr>
              <w:spacing w:after="0" w:line="240" w:lineRule="auto"/>
              <w:jc w:val="right"/>
              <w:rPr>
                <w:rFonts w:cstheme="minorHAnsi"/>
                <w:color w:val="000000"/>
                <w:sz w:val="20"/>
                <w:szCs w:val="20"/>
              </w:rPr>
            </w:pPr>
          </w:p>
        </w:tc>
        <w:tc>
          <w:tcPr>
            <w:tcW w:w="1635" w:type="dxa"/>
            <w:tcBorders>
              <w:top w:val="single" w:sz="6" w:space="0" w:color="00B0F0"/>
              <w:left w:val="single" w:sz="6" w:space="0" w:color="00B0F0"/>
              <w:bottom w:val="single" w:sz="6" w:space="0" w:color="00B0F0"/>
              <w:right w:val="single" w:sz="6" w:space="0" w:color="00B0F0"/>
            </w:tcBorders>
            <w:shd w:val="clear" w:color="auto" w:fill="auto"/>
            <w:noWrap/>
            <w:hideMark/>
          </w:tcPr>
          <w:p w:rsidR="00424AFD" w:rsidRPr="00D87B3A" w:rsidRDefault="00424AFD" w:rsidP="00563C30">
            <w:pPr>
              <w:spacing w:after="0" w:line="240" w:lineRule="auto"/>
              <w:jc w:val="right"/>
              <w:rPr>
                <w:rFonts w:cstheme="minorHAnsi"/>
                <w:color w:val="000000"/>
                <w:sz w:val="20"/>
                <w:szCs w:val="20"/>
              </w:rPr>
            </w:pPr>
            <w:r w:rsidRPr="00D87B3A">
              <w:rPr>
                <w:rFonts w:cstheme="minorHAnsi"/>
                <w:color w:val="000000"/>
                <w:sz w:val="20"/>
                <w:szCs w:val="20"/>
              </w:rPr>
              <w:t>New</w:t>
            </w:r>
          </w:p>
        </w:tc>
        <w:tc>
          <w:tcPr>
            <w:tcW w:w="1635" w:type="dxa"/>
            <w:tcBorders>
              <w:top w:val="single" w:sz="6" w:space="0" w:color="00B0F0"/>
              <w:left w:val="single" w:sz="6" w:space="0" w:color="00B0F0"/>
              <w:bottom w:val="single" w:sz="6" w:space="0" w:color="00B0F0"/>
              <w:right w:val="single" w:sz="6" w:space="0" w:color="00B0F0"/>
            </w:tcBorders>
            <w:shd w:val="clear" w:color="auto" w:fill="auto"/>
            <w:noWrap/>
            <w:hideMark/>
          </w:tcPr>
          <w:p w:rsidR="00424AFD" w:rsidRPr="00D87B3A" w:rsidRDefault="00424AFD" w:rsidP="00563C30">
            <w:pPr>
              <w:spacing w:after="0" w:line="240" w:lineRule="auto"/>
              <w:jc w:val="right"/>
              <w:rPr>
                <w:rFonts w:cstheme="minorHAnsi"/>
                <w:color w:val="000000"/>
                <w:sz w:val="20"/>
                <w:szCs w:val="20"/>
              </w:rPr>
            </w:pPr>
            <w:r w:rsidRPr="00D87B3A">
              <w:rPr>
                <w:rFonts w:cstheme="minorHAnsi"/>
                <w:color w:val="000000"/>
                <w:sz w:val="20"/>
                <w:szCs w:val="20"/>
              </w:rPr>
              <w:t xml:space="preserve"> 42.1%</w:t>
            </w:r>
          </w:p>
        </w:tc>
        <w:tc>
          <w:tcPr>
            <w:tcW w:w="4167" w:type="dxa"/>
            <w:gridSpan w:val="2"/>
            <w:tcBorders>
              <w:top w:val="single" w:sz="6" w:space="0" w:color="00B0F0"/>
              <w:left w:val="single" w:sz="6" w:space="0" w:color="00B0F0"/>
              <w:bottom w:val="single" w:sz="6" w:space="0" w:color="00B0F0"/>
              <w:right w:val="single" w:sz="6" w:space="0" w:color="00B0F0"/>
            </w:tcBorders>
            <w:shd w:val="clear" w:color="auto" w:fill="auto"/>
            <w:noWrap/>
            <w:hideMark/>
          </w:tcPr>
          <w:p w:rsidR="00424AFD" w:rsidRPr="00D87B3A" w:rsidRDefault="00DD6D6D" w:rsidP="00563C30">
            <w:pPr>
              <w:spacing w:after="0" w:line="240" w:lineRule="auto"/>
              <w:rPr>
                <w:rFonts w:cstheme="minorHAnsi"/>
                <w:color w:val="000000"/>
                <w:sz w:val="20"/>
                <w:szCs w:val="20"/>
              </w:rPr>
            </w:pPr>
            <w:r>
              <w:rPr>
                <w:rFonts w:cstheme="minorHAnsi"/>
                <w:color w:val="000000"/>
                <w:sz w:val="20"/>
                <w:szCs w:val="20"/>
              </w:rPr>
              <w:t>No trend.</w:t>
            </w:r>
          </w:p>
        </w:tc>
      </w:tr>
      <w:tr w:rsidR="00424AFD" w:rsidRPr="00D87B3A" w:rsidTr="00DD6D6D">
        <w:trPr>
          <w:trHeight w:val="739"/>
        </w:trPr>
        <w:tc>
          <w:tcPr>
            <w:tcW w:w="3119" w:type="dxa"/>
            <w:tcBorders>
              <w:top w:val="single" w:sz="6" w:space="0" w:color="00B0F0"/>
              <w:left w:val="single" w:sz="6" w:space="0" w:color="00B0F0"/>
              <w:bottom w:val="single" w:sz="6" w:space="0" w:color="00B0F0"/>
              <w:right w:val="single" w:sz="6" w:space="0" w:color="00B0F0"/>
            </w:tcBorders>
            <w:shd w:val="clear" w:color="auto" w:fill="FFFFFF" w:themeFill="background1"/>
            <w:hideMark/>
          </w:tcPr>
          <w:p w:rsidR="00424AFD" w:rsidRPr="00D87B3A" w:rsidRDefault="00424AFD" w:rsidP="00563C30">
            <w:pPr>
              <w:spacing w:after="0" w:line="240" w:lineRule="auto"/>
              <w:rPr>
                <w:rFonts w:cstheme="minorHAnsi"/>
                <w:color w:val="000000"/>
                <w:sz w:val="20"/>
                <w:szCs w:val="20"/>
              </w:rPr>
            </w:pPr>
            <w:r w:rsidRPr="00D87B3A">
              <w:rPr>
                <w:rFonts w:cstheme="minorHAnsi"/>
                <w:color w:val="000000"/>
                <w:sz w:val="20"/>
                <w:szCs w:val="20"/>
              </w:rPr>
              <w:lastRenderedPageBreak/>
              <w:t>Seismic resilience index (new indicator combining measures of household readiness, community connectedness, residential housing stock, commercial building stock)</w:t>
            </w:r>
          </w:p>
        </w:tc>
        <w:tc>
          <w:tcPr>
            <w:tcW w:w="1276" w:type="dxa"/>
            <w:tcBorders>
              <w:top w:val="single" w:sz="6" w:space="0" w:color="00B0F0"/>
              <w:left w:val="single" w:sz="6" w:space="0" w:color="00B0F0"/>
              <w:bottom w:val="single" w:sz="6" w:space="0" w:color="00B0F0"/>
              <w:right w:val="single" w:sz="6" w:space="0" w:color="00B0F0"/>
            </w:tcBorders>
            <w:shd w:val="clear" w:color="auto" w:fill="auto"/>
            <w:noWrap/>
            <w:hideMark/>
          </w:tcPr>
          <w:p w:rsidR="00424AFD" w:rsidRPr="00D87B3A" w:rsidRDefault="00424AFD" w:rsidP="00563C30">
            <w:pPr>
              <w:spacing w:after="0" w:line="240" w:lineRule="auto"/>
              <w:rPr>
                <w:rFonts w:cstheme="minorHAnsi"/>
                <w:color w:val="000000"/>
                <w:sz w:val="20"/>
                <w:szCs w:val="20"/>
              </w:rPr>
            </w:pPr>
            <w:r w:rsidRPr="00D87B3A">
              <w:rPr>
                <w:rFonts w:cstheme="minorHAnsi"/>
                <w:color w:val="000000"/>
                <w:sz w:val="20"/>
                <w:szCs w:val="20"/>
              </w:rPr>
              <w:t>Increasing</w:t>
            </w:r>
          </w:p>
        </w:tc>
        <w:tc>
          <w:tcPr>
            <w:tcW w:w="1134" w:type="dxa"/>
            <w:tcBorders>
              <w:top w:val="single" w:sz="6" w:space="0" w:color="00B0F0"/>
              <w:left w:val="single" w:sz="6" w:space="0" w:color="00B0F0"/>
              <w:bottom w:val="single" w:sz="6" w:space="0" w:color="00B0F0"/>
              <w:right w:val="single" w:sz="6" w:space="0" w:color="00B0F0"/>
            </w:tcBorders>
            <w:shd w:val="clear" w:color="auto" w:fill="auto"/>
            <w:noWrap/>
            <w:hideMark/>
          </w:tcPr>
          <w:p w:rsidR="00424AFD" w:rsidRPr="00D87B3A" w:rsidRDefault="00424AFD" w:rsidP="00563C30">
            <w:pPr>
              <w:spacing w:after="0" w:line="240" w:lineRule="auto"/>
              <w:rPr>
                <w:rFonts w:cstheme="minorHAnsi"/>
                <w:color w:val="000000"/>
                <w:sz w:val="20"/>
                <w:szCs w:val="20"/>
              </w:rPr>
            </w:pPr>
            <w:r w:rsidRPr="00D87B3A">
              <w:rPr>
                <w:rFonts w:cstheme="minorHAnsi"/>
                <w:color w:val="000000"/>
                <w:sz w:val="20"/>
                <w:szCs w:val="20"/>
              </w:rPr>
              <w:t>Research / WCC RMS 2019/ resilience team</w:t>
            </w:r>
          </w:p>
        </w:tc>
        <w:tc>
          <w:tcPr>
            <w:tcW w:w="1635" w:type="dxa"/>
            <w:tcBorders>
              <w:top w:val="single" w:sz="6" w:space="0" w:color="00B0F0"/>
              <w:left w:val="single" w:sz="6" w:space="0" w:color="00B0F0"/>
              <w:bottom w:val="single" w:sz="6" w:space="0" w:color="00B0F0"/>
              <w:right w:val="single" w:sz="6" w:space="0" w:color="00B0F0"/>
            </w:tcBorders>
            <w:shd w:val="clear" w:color="auto" w:fill="auto"/>
            <w:noWrap/>
            <w:vAlign w:val="bottom"/>
            <w:hideMark/>
          </w:tcPr>
          <w:p w:rsidR="00424AFD" w:rsidRPr="00D87B3A" w:rsidRDefault="00424AFD" w:rsidP="00563C30">
            <w:pPr>
              <w:spacing w:after="0" w:line="240" w:lineRule="auto"/>
              <w:rPr>
                <w:rFonts w:cstheme="minorHAnsi"/>
                <w:color w:val="000000"/>
                <w:sz w:val="20"/>
                <w:szCs w:val="20"/>
              </w:rPr>
            </w:pPr>
          </w:p>
        </w:tc>
        <w:tc>
          <w:tcPr>
            <w:tcW w:w="1635" w:type="dxa"/>
            <w:tcBorders>
              <w:top w:val="single" w:sz="6" w:space="0" w:color="00B0F0"/>
              <w:left w:val="single" w:sz="6" w:space="0" w:color="00B0F0"/>
              <w:bottom w:val="single" w:sz="6" w:space="0" w:color="00B0F0"/>
              <w:right w:val="single" w:sz="6" w:space="0" w:color="00B0F0"/>
            </w:tcBorders>
            <w:shd w:val="clear" w:color="auto" w:fill="auto"/>
            <w:noWrap/>
            <w:vAlign w:val="bottom"/>
            <w:hideMark/>
          </w:tcPr>
          <w:p w:rsidR="00424AFD" w:rsidRPr="00D87B3A" w:rsidRDefault="00424AFD" w:rsidP="00563C30">
            <w:pPr>
              <w:spacing w:after="0" w:line="240" w:lineRule="auto"/>
              <w:rPr>
                <w:rFonts w:cstheme="minorHAnsi"/>
                <w:color w:val="000000"/>
                <w:sz w:val="20"/>
                <w:szCs w:val="20"/>
              </w:rPr>
            </w:pPr>
          </w:p>
        </w:tc>
        <w:tc>
          <w:tcPr>
            <w:tcW w:w="1635" w:type="dxa"/>
            <w:tcBorders>
              <w:top w:val="single" w:sz="6" w:space="0" w:color="00B0F0"/>
              <w:left w:val="single" w:sz="6" w:space="0" w:color="00B0F0"/>
              <w:bottom w:val="single" w:sz="6" w:space="0" w:color="00B0F0"/>
              <w:right w:val="single" w:sz="6" w:space="0" w:color="00B0F0"/>
            </w:tcBorders>
            <w:shd w:val="clear" w:color="auto" w:fill="auto"/>
            <w:hideMark/>
          </w:tcPr>
          <w:p w:rsidR="00424AFD" w:rsidRPr="00D87B3A" w:rsidRDefault="0038320D" w:rsidP="00563C30">
            <w:pPr>
              <w:spacing w:after="0" w:line="240" w:lineRule="auto"/>
              <w:jc w:val="right"/>
              <w:rPr>
                <w:rFonts w:cstheme="minorHAnsi"/>
                <w:color w:val="000000"/>
                <w:sz w:val="20"/>
                <w:szCs w:val="20"/>
              </w:rPr>
            </w:pPr>
            <w:r>
              <w:rPr>
                <w:rFonts w:cstheme="minorHAnsi"/>
                <w:color w:val="000000"/>
                <w:sz w:val="20"/>
                <w:szCs w:val="20"/>
              </w:rPr>
              <w:t>Establishing baseline</w:t>
            </w:r>
          </w:p>
        </w:tc>
        <w:tc>
          <w:tcPr>
            <w:tcW w:w="4167" w:type="dxa"/>
            <w:gridSpan w:val="2"/>
            <w:tcBorders>
              <w:top w:val="single" w:sz="6" w:space="0" w:color="00B0F0"/>
              <w:left w:val="single" w:sz="6" w:space="0" w:color="00B0F0"/>
              <w:bottom w:val="single" w:sz="6" w:space="0" w:color="00B0F0"/>
              <w:right w:val="single" w:sz="6" w:space="0" w:color="00B0F0"/>
            </w:tcBorders>
            <w:shd w:val="clear" w:color="auto" w:fill="auto"/>
            <w:noWrap/>
            <w:vAlign w:val="bottom"/>
            <w:hideMark/>
          </w:tcPr>
          <w:p w:rsidR="00424AFD" w:rsidRPr="00D87B3A" w:rsidRDefault="00DD6D6D" w:rsidP="0038320D">
            <w:pPr>
              <w:spacing w:after="0" w:line="240" w:lineRule="auto"/>
              <w:rPr>
                <w:rFonts w:cstheme="minorHAnsi"/>
                <w:color w:val="000000"/>
                <w:sz w:val="20"/>
                <w:szCs w:val="20"/>
              </w:rPr>
            </w:pPr>
            <w:r>
              <w:rPr>
                <w:rFonts w:cstheme="minorHAnsi"/>
                <w:color w:val="000000"/>
                <w:sz w:val="20"/>
                <w:szCs w:val="20"/>
              </w:rPr>
              <w:t xml:space="preserve">No trend. </w:t>
            </w:r>
            <w:r w:rsidR="00424AFD" w:rsidRPr="009F39E1">
              <w:rPr>
                <w:rFonts w:cstheme="minorHAnsi"/>
                <w:color w:val="000000"/>
                <w:sz w:val="20"/>
                <w:szCs w:val="20"/>
              </w:rPr>
              <w:t>See supplementary tables</w:t>
            </w:r>
            <w:r>
              <w:rPr>
                <w:rFonts w:cstheme="minorHAnsi"/>
                <w:color w:val="000000"/>
                <w:sz w:val="20"/>
                <w:szCs w:val="20"/>
              </w:rPr>
              <w:t>.</w:t>
            </w:r>
            <w:r w:rsidR="00424AFD" w:rsidRPr="009F39E1">
              <w:rPr>
                <w:rFonts w:cstheme="minorHAnsi"/>
                <w:color w:val="000000"/>
                <w:sz w:val="20"/>
                <w:szCs w:val="20"/>
              </w:rPr>
              <w:t xml:space="preserve"> </w:t>
            </w:r>
            <w:r w:rsidR="00424AFD" w:rsidRPr="00D87B3A">
              <w:rPr>
                <w:rFonts w:cstheme="minorHAnsi"/>
                <w:color w:val="000000"/>
                <w:sz w:val="20"/>
                <w:szCs w:val="20"/>
              </w:rPr>
              <w:t xml:space="preserve">There are </w:t>
            </w:r>
            <w:r w:rsidR="00424AFD">
              <w:rPr>
                <w:rFonts w:cstheme="minorHAnsi"/>
                <w:color w:val="000000"/>
                <w:sz w:val="20"/>
                <w:szCs w:val="20"/>
              </w:rPr>
              <w:t>10</w:t>
            </w:r>
            <w:r w:rsidR="00424AFD" w:rsidRPr="00D87B3A">
              <w:rPr>
                <w:rFonts w:cstheme="minorHAnsi"/>
                <w:color w:val="000000"/>
                <w:sz w:val="20"/>
                <w:szCs w:val="20"/>
              </w:rPr>
              <w:t xml:space="preserve"> indicators selected to give an overall perspective on our progress against resilience improvements for our residents and our city. This is the first year a number of these indicators have been collected. Indicator results are used to monitor our city over time and provide information on trends that may influence our performance</w:t>
            </w:r>
            <w:r w:rsidR="003856A0">
              <w:rPr>
                <w:rFonts w:cstheme="minorHAnsi"/>
                <w:color w:val="000000"/>
                <w:sz w:val="20"/>
                <w:szCs w:val="20"/>
              </w:rPr>
              <w:t>,</w:t>
            </w:r>
            <w:r w:rsidR="00424AFD" w:rsidRPr="00D87B3A">
              <w:rPr>
                <w:rFonts w:cstheme="minorHAnsi"/>
                <w:color w:val="000000"/>
                <w:sz w:val="20"/>
                <w:szCs w:val="20"/>
              </w:rPr>
              <w:t xml:space="preserve"> including those outside our control. Over the years to come, we will continue to monitor these indicators to see resilience improvements for our city.</w:t>
            </w:r>
          </w:p>
        </w:tc>
      </w:tr>
      <w:tr w:rsidR="00424AFD" w:rsidRPr="00D87B3A" w:rsidTr="00DD6D6D">
        <w:trPr>
          <w:trHeight w:val="255"/>
        </w:trPr>
        <w:tc>
          <w:tcPr>
            <w:tcW w:w="3119" w:type="dxa"/>
            <w:tcBorders>
              <w:top w:val="single" w:sz="6" w:space="0" w:color="00B0F0"/>
              <w:left w:val="nil"/>
              <w:bottom w:val="nil"/>
              <w:right w:val="nil"/>
            </w:tcBorders>
            <w:shd w:val="clear" w:color="auto" w:fill="00B0F0"/>
            <w:hideMark/>
          </w:tcPr>
          <w:p w:rsidR="00424AFD" w:rsidRPr="00D87B3A" w:rsidRDefault="00424AFD" w:rsidP="00563C30">
            <w:pPr>
              <w:spacing w:after="0" w:line="240" w:lineRule="auto"/>
              <w:rPr>
                <w:rFonts w:cstheme="minorHAnsi"/>
                <w:b/>
                <w:bCs/>
                <w:color w:val="FFFFFF" w:themeColor="background1"/>
                <w:sz w:val="20"/>
                <w:szCs w:val="20"/>
              </w:rPr>
            </w:pPr>
            <w:r w:rsidRPr="00D87B3A">
              <w:rPr>
                <w:rFonts w:cstheme="minorHAnsi"/>
                <w:b/>
                <w:bCs/>
                <w:color w:val="FFFFFF" w:themeColor="background1"/>
                <w:sz w:val="20"/>
                <w:szCs w:val="20"/>
              </w:rPr>
              <w:t>What this tells us:</w:t>
            </w:r>
          </w:p>
        </w:tc>
        <w:tc>
          <w:tcPr>
            <w:tcW w:w="1276" w:type="dxa"/>
            <w:tcBorders>
              <w:top w:val="single" w:sz="6" w:space="0" w:color="00B0F0"/>
              <w:left w:val="nil"/>
              <w:bottom w:val="nil"/>
              <w:right w:val="nil"/>
            </w:tcBorders>
            <w:shd w:val="clear" w:color="auto" w:fill="00B0F0"/>
            <w:hideMark/>
          </w:tcPr>
          <w:p w:rsidR="00424AFD" w:rsidRPr="00D87B3A" w:rsidRDefault="00424AFD" w:rsidP="00563C30">
            <w:pPr>
              <w:spacing w:after="0" w:line="240" w:lineRule="auto"/>
              <w:rPr>
                <w:rFonts w:cstheme="minorHAnsi"/>
                <w:b/>
                <w:bCs/>
                <w:color w:val="FFFFFF" w:themeColor="background1"/>
                <w:sz w:val="20"/>
                <w:szCs w:val="20"/>
              </w:rPr>
            </w:pPr>
            <w:r w:rsidRPr="00D87B3A">
              <w:rPr>
                <w:rFonts w:cstheme="minorHAnsi"/>
                <w:b/>
                <w:bCs/>
                <w:color w:val="FFFFFF" w:themeColor="background1"/>
                <w:sz w:val="20"/>
                <w:szCs w:val="20"/>
              </w:rPr>
              <w:t> </w:t>
            </w:r>
          </w:p>
        </w:tc>
        <w:tc>
          <w:tcPr>
            <w:tcW w:w="1134" w:type="dxa"/>
            <w:tcBorders>
              <w:top w:val="single" w:sz="6" w:space="0" w:color="00B0F0"/>
              <w:left w:val="nil"/>
              <w:bottom w:val="nil"/>
              <w:right w:val="nil"/>
            </w:tcBorders>
            <w:shd w:val="clear" w:color="auto" w:fill="00B0F0"/>
            <w:hideMark/>
          </w:tcPr>
          <w:p w:rsidR="00424AFD" w:rsidRPr="00D87B3A" w:rsidRDefault="00424AFD" w:rsidP="00563C30">
            <w:pPr>
              <w:spacing w:after="0" w:line="240" w:lineRule="auto"/>
              <w:rPr>
                <w:rFonts w:cstheme="minorHAnsi"/>
                <w:b/>
                <w:bCs/>
                <w:color w:val="FFFFFF" w:themeColor="background1"/>
                <w:sz w:val="20"/>
                <w:szCs w:val="20"/>
              </w:rPr>
            </w:pPr>
            <w:r w:rsidRPr="00D87B3A">
              <w:rPr>
                <w:rFonts w:cstheme="minorHAnsi"/>
                <w:b/>
                <w:bCs/>
                <w:color w:val="FFFFFF" w:themeColor="background1"/>
                <w:sz w:val="20"/>
                <w:szCs w:val="20"/>
              </w:rPr>
              <w:t> </w:t>
            </w:r>
          </w:p>
        </w:tc>
        <w:tc>
          <w:tcPr>
            <w:tcW w:w="1635" w:type="dxa"/>
            <w:tcBorders>
              <w:top w:val="single" w:sz="6" w:space="0" w:color="00B0F0"/>
              <w:left w:val="nil"/>
              <w:bottom w:val="nil"/>
              <w:right w:val="nil"/>
            </w:tcBorders>
            <w:shd w:val="clear" w:color="auto" w:fill="00B0F0"/>
            <w:hideMark/>
          </w:tcPr>
          <w:p w:rsidR="00424AFD" w:rsidRPr="00D87B3A" w:rsidRDefault="00424AFD" w:rsidP="00563C30">
            <w:pPr>
              <w:spacing w:after="0" w:line="240" w:lineRule="auto"/>
              <w:rPr>
                <w:rFonts w:cstheme="minorHAnsi"/>
                <w:b/>
                <w:bCs/>
                <w:color w:val="FFFFFF" w:themeColor="background1"/>
                <w:sz w:val="20"/>
                <w:szCs w:val="20"/>
              </w:rPr>
            </w:pPr>
            <w:r w:rsidRPr="00D87B3A">
              <w:rPr>
                <w:rFonts w:cstheme="minorHAnsi"/>
                <w:b/>
                <w:bCs/>
                <w:color w:val="FFFFFF" w:themeColor="background1"/>
                <w:sz w:val="20"/>
                <w:szCs w:val="20"/>
              </w:rPr>
              <w:t> </w:t>
            </w:r>
          </w:p>
        </w:tc>
        <w:tc>
          <w:tcPr>
            <w:tcW w:w="1635" w:type="dxa"/>
            <w:tcBorders>
              <w:top w:val="single" w:sz="6" w:space="0" w:color="00B0F0"/>
              <w:left w:val="nil"/>
              <w:bottom w:val="nil"/>
              <w:right w:val="nil"/>
            </w:tcBorders>
            <w:shd w:val="clear" w:color="auto" w:fill="00B0F0"/>
            <w:hideMark/>
          </w:tcPr>
          <w:p w:rsidR="00424AFD" w:rsidRPr="00D87B3A" w:rsidRDefault="00424AFD" w:rsidP="00563C30">
            <w:pPr>
              <w:spacing w:after="0" w:line="240" w:lineRule="auto"/>
              <w:rPr>
                <w:rFonts w:cstheme="minorHAnsi"/>
                <w:b/>
                <w:bCs/>
                <w:color w:val="FFFFFF" w:themeColor="background1"/>
                <w:sz w:val="20"/>
                <w:szCs w:val="20"/>
              </w:rPr>
            </w:pPr>
            <w:r w:rsidRPr="00D87B3A">
              <w:rPr>
                <w:rFonts w:cstheme="minorHAnsi"/>
                <w:b/>
                <w:bCs/>
                <w:color w:val="FFFFFF" w:themeColor="background1"/>
                <w:sz w:val="20"/>
                <w:szCs w:val="20"/>
              </w:rPr>
              <w:t> </w:t>
            </w:r>
          </w:p>
        </w:tc>
        <w:tc>
          <w:tcPr>
            <w:tcW w:w="1635" w:type="dxa"/>
            <w:tcBorders>
              <w:top w:val="single" w:sz="6" w:space="0" w:color="00B0F0"/>
              <w:left w:val="nil"/>
              <w:bottom w:val="nil"/>
              <w:right w:val="nil"/>
            </w:tcBorders>
            <w:shd w:val="clear" w:color="auto" w:fill="00B0F0"/>
            <w:hideMark/>
          </w:tcPr>
          <w:p w:rsidR="00424AFD" w:rsidRPr="00D87B3A" w:rsidRDefault="00424AFD" w:rsidP="00563C30">
            <w:pPr>
              <w:spacing w:after="0" w:line="240" w:lineRule="auto"/>
              <w:rPr>
                <w:rFonts w:cstheme="minorHAnsi"/>
                <w:b/>
                <w:bCs/>
                <w:color w:val="FFFFFF" w:themeColor="background1"/>
                <w:sz w:val="20"/>
                <w:szCs w:val="20"/>
              </w:rPr>
            </w:pPr>
          </w:p>
        </w:tc>
        <w:tc>
          <w:tcPr>
            <w:tcW w:w="1140" w:type="dxa"/>
            <w:tcBorders>
              <w:top w:val="single" w:sz="6" w:space="0" w:color="00B0F0"/>
              <w:left w:val="nil"/>
              <w:bottom w:val="nil"/>
              <w:right w:val="nil"/>
            </w:tcBorders>
            <w:shd w:val="clear" w:color="auto" w:fill="00B0F0"/>
            <w:noWrap/>
            <w:hideMark/>
          </w:tcPr>
          <w:p w:rsidR="00424AFD" w:rsidRPr="00D87B3A" w:rsidRDefault="00424AFD" w:rsidP="00563C30">
            <w:pPr>
              <w:spacing w:after="0" w:line="240" w:lineRule="auto"/>
              <w:jc w:val="right"/>
              <w:rPr>
                <w:rFonts w:cstheme="minorHAnsi"/>
                <w:color w:val="FFFFFF" w:themeColor="background1"/>
                <w:sz w:val="20"/>
                <w:szCs w:val="20"/>
              </w:rPr>
            </w:pPr>
          </w:p>
        </w:tc>
        <w:tc>
          <w:tcPr>
            <w:tcW w:w="3027" w:type="dxa"/>
            <w:tcBorders>
              <w:top w:val="single" w:sz="6" w:space="0" w:color="00B0F0"/>
              <w:left w:val="nil"/>
              <w:bottom w:val="nil"/>
              <w:right w:val="nil"/>
            </w:tcBorders>
            <w:shd w:val="clear" w:color="auto" w:fill="00B0F0"/>
            <w:hideMark/>
          </w:tcPr>
          <w:p w:rsidR="00424AFD" w:rsidRPr="00D87B3A" w:rsidRDefault="00424AFD" w:rsidP="00563C30">
            <w:pPr>
              <w:spacing w:after="0" w:line="240" w:lineRule="auto"/>
              <w:rPr>
                <w:rFonts w:cstheme="minorHAnsi"/>
                <w:color w:val="FFFFFF" w:themeColor="background1"/>
                <w:sz w:val="20"/>
                <w:szCs w:val="20"/>
              </w:rPr>
            </w:pPr>
          </w:p>
        </w:tc>
      </w:tr>
      <w:tr w:rsidR="00424AFD" w:rsidRPr="00D87B3A" w:rsidTr="00424AFD">
        <w:tblPrEx>
          <w:shd w:val="clear" w:color="auto" w:fill="auto"/>
        </w:tblPrEx>
        <w:trPr>
          <w:trHeight w:val="255"/>
        </w:trPr>
        <w:tc>
          <w:tcPr>
            <w:tcW w:w="14601" w:type="dxa"/>
            <w:gridSpan w:val="8"/>
            <w:tcBorders>
              <w:top w:val="nil"/>
              <w:left w:val="nil"/>
              <w:bottom w:val="nil"/>
              <w:right w:val="nil"/>
            </w:tcBorders>
            <w:shd w:val="clear" w:color="auto" w:fill="auto"/>
            <w:hideMark/>
          </w:tcPr>
          <w:p w:rsidR="00424AFD" w:rsidRPr="00D87B3A" w:rsidRDefault="00424AFD" w:rsidP="00563C30">
            <w:pPr>
              <w:spacing w:after="0" w:line="240" w:lineRule="auto"/>
              <w:rPr>
                <w:rFonts w:cstheme="minorHAnsi"/>
                <w:color w:val="000000"/>
                <w:sz w:val="20"/>
                <w:szCs w:val="20"/>
              </w:rPr>
            </w:pPr>
            <w:r w:rsidRPr="00D87B3A">
              <w:rPr>
                <w:rFonts w:cstheme="minorHAnsi"/>
                <w:color w:val="000000"/>
                <w:sz w:val="20"/>
                <w:szCs w:val="20"/>
              </w:rPr>
              <w:t>These indicators, if they track in a positive direction, will give us confidence that we are living in a city that is thriving; Wellingtonians have access to affordable housing; our city is growing at a sustainable rate; we have the necessary infrastructure; and we are protecting the natural beauty and heritage of our city.</w:t>
            </w:r>
          </w:p>
        </w:tc>
      </w:tr>
    </w:tbl>
    <w:p w:rsidR="00292110" w:rsidRPr="00DD6D6D" w:rsidRDefault="00292110" w:rsidP="00846C1B">
      <w:pPr>
        <w:pStyle w:val="Heading4"/>
        <w:rPr>
          <w:color w:val="00A1DA"/>
        </w:rPr>
      </w:pPr>
      <w:r w:rsidRPr="00DD6D6D">
        <w:rPr>
          <w:color w:val="00A1DA"/>
        </w:rPr>
        <w:t>Performance data – Council performance measures</w:t>
      </w:r>
    </w:p>
    <w:p w:rsidR="00292110" w:rsidRPr="00D5126A" w:rsidRDefault="00292110" w:rsidP="00292110">
      <w:pPr>
        <w:pStyle w:val="Para034"/>
        <w:spacing w:before="0" w:after="0" w:line="240" w:lineRule="auto"/>
        <w:rPr>
          <w:rFonts w:ascii="Arial" w:hAnsi="Arial" w:cs="Arial"/>
        </w:rPr>
      </w:pPr>
      <w:r w:rsidRPr="00D5126A">
        <w:rPr>
          <w:rFonts w:ascii="Arial" w:hAnsi="Arial" w:cs="Arial"/>
        </w:rPr>
        <w:t xml:space="preserve">The following section outlines Council performance measures for our </w:t>
      </w:r>
      <w:proofErr w:type="gramStart"/>
      <w:r w:rsidRPr="00D5126A">
        <w:rPr>
          <w:rFonts w:ascii="Arial" w:hAnsi="Arial" w:cs="Arial"/>
        </w:rPr>
        <w:t>Urban</w:t>
      </w:r>
      <w:proofErr w:type="gramEnd"/>
      <w:r w:rsidRPr="00D5126A">
        <w:rPr>
          <w:rFonts w:ascii="Arial" w:hAnsi="Arial" w:cs="Arial"/>
        </w:rPr>
        <w:t xml:space="preserve"> </w:t>
      </w:r>
      <w:r w:rsidR="003856A0">
        <w:rPr>
          <w:rFonts w:ascii="Arial" w:hAnsi="Arial" w:cs="Arial"/>
        </w:rPr>
        <w:t>d</w:t>
      </w:r>
      <w:r w:rsidR="003856A0" w:rsidRPr="00D5126A">
        <w:rPr>
          <w:rFonts w:ascii="Arial" w:hAnsi="Arial" w:cs="Arial"/>
        </w:rPr>
        <w:t xml:space="preserve">evelopment </w:t>
      </w:r>
      <w:r w:rsidRPr="00D5126A">
        <w:rPr>
          <w:rFonts w:ascii="Arial" w:hAnsi="Arial" w:cs="Arial"/>
        </w:rPr>
        <w:t xml:space="preserve">services. It includes data for the last 3 years to show trends, and includes variances explanations for relevant areas. </w:t>
      </w:r>
    </w:p>
    <w:p w:rsidR="00292110" w:rsidRPr="00D5126A" w:rsidRDefault="00292110" w:rsidP="00292110">
      <w:pPr>
        <w:pStyle w:val="5Block"/>
        <w:spacing w:after="0" w:line="240" w:lineRule="auto"/>
        <w:rPr>
          <w:rFonts w:ascii="Arial" w:hAnsi="Arial" w:cs="Arial"/>
        </w:rPr>
      </w:pPr>
    </w:p>
    <w:tbl>
      <w:tblPr>
        <w:tblW w:w="14885" w:type="dxa"/>
        <w:tblInd w:w="-176" w:type="dxa"/>
        <w:tblLayout w:type="fixed"/>
        <w:tblLook w:val="04A0" w:firstRow="1" w:lastRow="0" w:firstColumn="1" w:lastColumn="0" w:noHBand="0" w:noVBand="1"/>
      </w:tblPr>
      <w:tblGrid>
        <w:gridCol w:w="3952"/>
        <w:gridCol w:w="6"/>
        <w:gridCol w:w="1147"/>
        <w:gridCol w:w="6"/>
        <w:gridCol w:w="1129"/>
        <w:gridCol w:w="19"/>
        <w:gridCol w:w="1153"/>
        <w:gridCol w:w="1175"/>
        <w:gridCol w:w="783"/>
        <w:gridCol w:w="17"/>
        <w:gridCol w:w="962"/>
        <w:gridCol w:w="4536"/>
      </w:tblGrid>
      <w:tr w:rsidR="00424AFD" w:rsidRPr="00424AFD" w:rsidTr="00DD6D6D">
        <w:trPr>
          <w:trHeight w:val="510"/>
          <w:tblHeader/>
        </w:trPr>
        <w:tc>
          <w:tcPr>
            <w:tcW w:w="3952" w:type="dxa"/>
            <w:tcBorders>
              <w:top w:val="single" w:sz="4" w:space="0" w:color="FFFFFF" w:themeColor="background1"/>
              <w:left w:val="nil"/>
              <w:bottom w:val="single" w:sz="4" w:space="0" w:color="FFFFFF" w:themeColor="background1"/>
              <w:right w:val="single" w:sz="4" w:space="0" w:color="FFFFFF" w:themeColor="background1"/>
            </w:tcBorders>
            <w:shd w:val="clear" w:color="auto" w:fill="00B0F0"/>
            <w:vAlign w:val="bottom"/>
            <w:hideMark/>
          </w:tcPr>
          <w:p w:rsidR="00424AFD" w:rsidRPr="00424AFD" w:rsidRDefault="00424AFD" w:rsidP="00424AFD">
            <w:pPr>
              <w:spacing w:after="0" w:line="240" w:lineRule="auto"/>
              <w:rPr>
                <w:rFonts w:eastAsia="Times New Roman" w:cstheme="minorHAnsi"/>
                <w:b/>
                <w:bCs/>
                <w:color w:val="FFFFFF"/>
                <w:lang w:eastAsia="en-NZ"/>
              </w:rPr>
            </w:pPr>
            <w:r w:rsidRPr="00424AFD">
              <w:rPr>
                <w:rFonts w:eastAsia="Times New Roman" w:cstheme="minorHAnsi"/>
                <w:b/>
                <w:bCs/>
                <w:color w:val="FFFFFF"/>
                <w:lang w:eastAsia="en-NZ"/>
              </w:rPr>
              <w:t>Performance measure</w:t>
            </w:r>
          </w:p>
        </w:tc>
        <w:tc>
          <w:tcPr>
            <w:tcW w:w="115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B0F0"/>
            <w:vAlign w:val="bottom"/>
            <w:hideMark/>
          </w:tcPr>
          <w:p w:rsidR="00424AFD" w:rsidRPr="00424AFD" w:rsidRDefault="00424AFD" w:rsidP="00424AFD">
            <w:pPr>
              <w:spacing w:after="0" w:line="240" w:lineRule="auto"/>
              <w:jc w:val="center"/>
              <w:rPr>
                <w:rFonts w:eastAsia="Times New Roman" w:cstheme="minorHAnsi"/>
                <w:b/>
                <w:bCs/>
                <w:color w:val="FFFFFF"/>
                <w:lang w:eastAsia="en-NZ"/>
              </w:rPr>
            </w:pPr>
            <w:r w:rsidRPr="00424AFD">
              <w:rPr>
                <w:rFonts w:eastAsia="Times New Roman" w:cstheme="minorHAnsi"/>
                <w:b/>
                <w:bCs/>
                <w:color w:val="FFFFFF"/>
                <w:lang w:eastAsia="en-NZ"/>
              </w:rPr>
              <w:t>2016/17</w:t>
            </w:r>
            <w:r w:rsidRPr="00424AFD">
              <w:rPr>
                <w:rFonts w:eastAsia="Times New Roman" w:cstheme="minorHAnsi"/>
                <w:b/>
                <w:bCs/>
                <w:color w:val="FFFFFF"/>
                <w:lang w:eastAsia="en-NZ"/>
              </w:rPr>
              <w:br/>
              <w:t>Actual</w:t>
            </w:r>
          </w:p>
        </w:tc>
        <w:tc>
          <w:tcPr>
            <w:tcW w:w="1154"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B0F0"/>
            <w:vAlign w:val="bottom"/>
            <w:hideMark/>
          </w:tcPr>
          <w:p w:rsidR="00424AFD" w:rsidRPr="00424AFD" w:rsidRDefault="00424AFD" w:rsidP="00424AFD">
            <w:pPr>
              <w:spacing w:after="0" w:line="240" w:lineRule="auto"/>
              <w:jc w:val="center"/>
              <w:rPr>
                <w:rFonts w:eastAsia="Times New Roman" w:cstheme="minorHAnsi"/>
                <w:b/>
                <w:bCs/>
                <w:color w:val="FFFFFF"/>
                <w:lang w:eastAsia="en-NZ"/>
              </w:rPr>
            </w:pPr>
            <w:r w:rsidRPr="00424AFD">
              <w:rPr>
                <w:rFonts w:eastAsia="Times New Roman" w:cstheme="minorHAnsi"/>
                <w:b/>
                <w:bCs/>
                <w:color w:val="FFFFFF"/>
                <w:lang w:eastAsia="en-NZ"/>
              </w:rPr>
              <w:t>2017/18</w:t>
            </w:r>
            <w:r w:rsidRPr="00424AFD">
              <w:rPr>
                <w:rFonts w:eastAsia="Times New Roman" w:cstheme="minorHAnsi"/>
                <w:b/>
                <w:bCs/>
                <w:color w:val="FFFFFF"/>
                <w:lang w:eastAsia="en-NZ"/>
              </w:rPr>
              <w:br/>
              <w:t>Actual</w:t>
            </w:r>
          </w:p>
        </w:tc>
        <w:tc>
          <w:tcPr>
            <w:tcW w:w="11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B0F0"/>
            <w:vAlign w:val="bottom"/>
            <w:hideMark/>
          </w:tcPr>
          <w:p w:rsidR="00424AFD" w:rsidRPr="00424AFD" w:rsidRDefault="00424AFD" w:rsidP="00424AFD">
            <w:pPr>
              <w:spacing w:after="0" w:line="240" w:lineRule="auto"/>
              <w:jc w:val="center"/>
              <w:rPr>
                <w:rFonts w:eastAsia="Times New Roman" w:cstheme="minorHAnsi"/>
                <w:b/>
                <w:bCs/>
                <w:color w:val="FFFFFF"/>
                <w:lang w:eastAsia="en-NZ"/>
              </w:rPr>
            </w:pPr>
            <w:r w:rsidRPr="00424AFD">
              <w:rPr>
                <w:rFonts w:eastAsia="Times New Roman" w:cstheme="minorHAnsi"/>
                <w:b/>
                <w:bCs/>
                <w:color w:val="FFFFFF"/>
                <w:lang w:eastAsia="en-NZ"/>
              </w:rPr>
              <w:t>2018/19</w:t>
            </w:r>
            <w:r w:rsidRPr="00424AFD">
              <w:rPr>
                <w:rFonts w:eastAsia="Times New Roman" w:cstheme="minorHAnsi"/>
                <w:b/>
                <w:bCs/>
                <w:color w:val="FFFFFF"/>
                <w:lang w:eastAsia="en-NZ"/>
              </w:rPr>
              <w:br/>
              <w:t>Actual</w:t>
            </w:r>
          </w:p>
        </w:tc>
        <w:tc>
          <w:tcPr>
            <w:tcW w:w="11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B0F0"/>
            <w:vAlign w:val="bottom"/>
            <w:hideMark/>
          </w:tcPr>
          <w:p w:rsidR="00424AFD" w:rsidRPr="00424AFD" w:rsidRDefault="00424AFD" w:rsidP="00424AFD">
            <w:pPr>
              <w:spacing w:after="0" w:line="240" w:lineRule="auto"/>
              <w:jc w:val="center"/>
              <w:rPr>
                <w:rFonts w:eastAsia="Times New Roman" w:cstheme="minorHAnsi"/>
                <w:b/>
                <w:bCs/>
                <w:color w:val="FFFFFF" w:themeColor="background1"/>
                <w:lang w:eastAsia="en-NZ"/>
              </w:rPr>
            </w:pPr>
            <w:r w:rsidRPr="00424AFD">
              <w:rPr>
                <w:rFonts w:eastAsia="Times New Roman" w:cstheme="minorHAnsi"/>
                <w:b/>
                <w:bCs/>
                <w:color w:val="FFFFFF" w:themeColor="background1"/>
                <w:lang w:eastAsia="en-NZ"/>
              </w:rPr>
              <w:t>2018/19 Target</w:t>
            </w:r>
          </w:p>
        </w:tc>
        <w:tc>
          <w:tcPr>
            <w:tcW w:w="80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B0F0"/>
            <w:vAlign w:val="bottom"/>
            <w:hideMark/>
          </w:tcPr>
          <w:p w:rsidR="00424AFD" w:rsidRPr="00424AFD" w:rsidRDefault="00424AFD" w:rsidP="00424AFD">
            <w:pPr>
              <w:spacing w:after="0" w:line="240" w:lineRule="auto"/>
              <w:jc w:val="center"/>
              <w:rPr>
                <w:rFonts w:eastAsia="Times New Roman" w:cstheme="minorHAnsi"/>
                <w:b/>
                <w:bCs/>
                <w:color w:val="FFFFFF" w:themeColor="background1"/>
                <w:lang w:eastAsia="en-NZ"/>
              </w:rPr>
            </w:pPr>
            <w:r>
              <w:rPr>
                <w:rFonts w:eastAsia="Times New Roman" w:cstheme="minorHAnsi"/>
                <w:b/>
                <w:bCs/>
                <w:color w:val="FFFFFF" w:themeColor="background1"/>
                <w:lang w:eastAsia="en-NZ"/>
              </w:rPr>
              <w:t>% Var.</w:t>
            </w:r>
          </w:p>
        </w:tc>
        <w:tc>
          <w:tcPr>
            <w:tcW w:w="9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B0F0"/>
            <w:vAlign w:val="bottom"/>
            <w:hideMark/>
          </w:tcPr>
          <w:p w:rsidR="00424AFD" w:rsidRPr="00424AFD" w:rsidRDefault="00DD6D6D" w:rsidP="00424AFD">
            <w:pPr>
              <w:spacing w:after="0" w:line="240" w:lineRule="auto"/>
              <w:jc w:val="center"/>
              <w:rPr>
                <w:rFonts w:eastAsia="Times New Roman" w:cstheme="minorHAnsi"/>
                <w:b/>
                <w:bCs/>
                <w:color w:val="FFFFFF" w:themeColor="background1"/>
                <w:lang w:eastAsia="en-NZ"/>
              </w:rPr>
            </w:pPr>
            <w:r>
              <w:rPr>
                <w:rFonts w:eastAsia="Times New Roman" w:cstheme="minorHAnsi"/>
                <w:b/>
                <w:bCs/>
                <w:color w:val="FFFFFF" w:themeColor="background1"/>
                <w:lang w:eastAsia="en-NZ"/>
              </w:rPr>
              <w:t>Status</w:t>
            </w:r>
          </w:p>
        </w:tc>
        <w:tc>
          <w:tcPr>
            <w:tcW w:w="4536" w:type="dxa"/>
            <w:tcBorders>
              <w:top w:val="single" w:sz="4" w:space="0" w:color="FFFFFF" w:themeColor="background1"/>
              <w:left w:val="single" w:sz="4" w:space="0" w:color="FFFFFF" w:themeColor="background1"/>
              <w:bottom w:val="single" w:sz="4" w:space="0" w:color="FFFFFF" w:themeColor="background1"/>
              <w:right w:val="single" w:sz="4" w:space="0" w:color="808080"/>
            </w:tcBorders>
            <w:shd w:val="clear" w:color="auto" w:fill="00B0F0"/>
            <w:vAlign w:val="bottom"/>
            <w:hideMark/>
          </w:tcPr>
          <w:p w:rsidR="00424AFD" w:rsidRPr="00424AFD" w:rsidRDefault="00424AFD" w:rsidP="00424AFD">
            <w:pPr>
              <w:spacing w:after="0" w:line="240" w:lineRule="auto"/>
              <w:rPr>
                <w:rFonts w:eastAsia="Times New Roman" w:cstheme="minorHAnsi"/>
                <w:b/>
                <w:bCs/>
                <w:color w:val="FFFFFF"/>
                <w:lang w:eastAsia="en-NZ"/>
              </w:rPr>
            </w:pPr>
            <w:r w:rsidRPr="00424AFD">
              <w:rPr>
                <w:rFonts w:eastAsia="Times New Roman" w:cstheme="minorHAnsi"/>
                <w:b/>
                <w:bCs/>
                <w:color w:val="FFFFFF"/>
                <w:lang w:eastAsia="en-NZ"/>
              </w:rPr>
              <w:t>Comments</w:t>
            </w:r>
          </w:p>
        </w:tc>
      </w:tr>
      <w:tr w:rsidR="00424AFD" w:rsidRPr="00D87B3A" w:rsidTr="00DD6D6D">
        <w:trPr>
          <w:trHeight w:val="390"/>
        </w:trPr>
        <w:tc>
          <w:tcPr>
            <w:tcW w:w="14885" w:type="dxa"/>
            <w:gridSpan w:val="12"/>
            <w:tcBorders>
              <w:top w:val="single" w:sz="4" w:space="0" w:color="FFFFFF" w:themeColor="background1"/>
              <w:left w:val="nil"/>
              <w:bottom w:val="nil"/>
              <w:right w:val="nil"/>
            </w:tcBorders>
            <w:shd w:val="clear" w:color="auto" w:fill="auto"/>
            <w:hideMark/>
          </w:tcPr>
          <w:p w:rsidR="00424AFD" w:rsidRPr="00D87B3A" w:rsidRDefault="00424AFD" w:rsidP="00563C30">
            <w:pPr>
              <w:spacing w:after="0" w:line="240" w:lineRule="auto"/>
              <w:rPr>
                <w:rFonts w:eastAsia="Times New Roman" w:cstheme="minorHAnsi"/>
                <w:color w:val="000000"/>
                <w:sz w:val="20"/>
                <w:lang w:eastAsia="en-NZ"/>
              </w:rPr>
            </w:pPr>
            <w:r w:rsidRPr="00D87B3A">
              <w:rPr>
                <w:rFonts w:eastAsia="Times New Roman" w:cstheme="minorHAnsi"/>
                <w:b/>
                <w:bCs/>
                <w:color w:val="00B0F0"/>
                <w:sz w:val="28"/>
                <w:szCs w:val="28"/>
                <w:lang w:eastAsia="en-NZ"/>
              </w:rPr>
              <w:t>Tāone tupu ora | Urban development</w:t>
            </w:r>
          </w:p>
        </w:tc>
      </w:tr>
      <w:tr w:rsidR="00424AFD" w:rsidRPr="00D87B3A" w:rsidTr="00DD6D6D">
        <w:trPr>
          <w:trHeight w:val="272"/>
        </w:trPr>
        <w:tc>
          <w:tcPr>
            <w:tcW w:w="14885" w:type="dxa"/>
            <w:gridSpan w:val="12"/>
            <w:tcBorders>
              <w:top w:val="nil"/>
              <w:left w:val="nil"/>
              <w:right w:val="nil"/>
            </w:tcBorders>
            <w:shd w:val="clear" w:color="000000" w:fill="00B0F0"/>
            <w:hideMark/>
          </w:tcPr>
          <w:p w:rsidR="00424AFD" w:rsidRPr="00D87B3A" w:rsidRDefault="00424AFD" w:rsidP="00563C30">
            <w:pPr>
              <w:spacing w:after="0" w:line="240" w:lineRule="auto"/>
              <w:rPr>
                <w:rFonts w:eastAsia="Times New Roman" w:cstheme="minorHAnsi"/>
                <w:color w:val="000000"/>
                <w:sz w:val="24"/>
                <w:lang w:eastAsia="en-NZ"/>
              </w:rPr>
            </w:pPr>
            <w:r w:rsidRPr="00D87B3A">
              <w:rPr>
                <w:rFonts w:eastAsia="Times New Roman" w:cstheme="minorHAnsi"/>
                <w:b/>
                <w:bCs/>
                <w:color w:val="FFFFFF"/>
                <w:sz w:val="24"/>
                <w:lang w:eastAsia="en-NZ"/>
              </w:rPr>
              <w:t>6.1 Urban planning, heritage and public spaces development </w:t>
            </w:r>
          </w:p>
        </w:tc>
      </w:tr>
      <w:tr w:rsidR="00424AFD" w:rsidRPr="00D87B3A" w:rsidTr="00DD6D6D">
        <w:trPr>
          <w:trHeight w:val="315"/>
        </w:trPr>
        <w:tc>
          <w:tcPr>
            <w:tcW w:w="14885" w:type="dxa"/>
            <w:gridSpan w:val="12"/>
            <w:tcBorders>
              <w:top w:val="nil"/>
              <w:left w:val="nil"/>
              <w:right w:val="nil"/>
            </w:tcBorders>
            <w:shd w:val="clear" w:color="auto" w:fill="B7ECFF"/>
            <w:hideMark/>
          </w:tcPr>
          <w:p w:rsidR="00424AFD" w:rsidRPr="00D87B3A" w:rsidRDefault="00424AFD" w:rsidP="00563C30">
            <w:pPr>
              <w:spacing w:after="0" w:line="240" w:lineRule="auto"/>
              <w:rPr>
                <w:rFonts w:eastAsia="Times New Roman" w:cstheme="minorHAnsi"/>
                <w:b/>
                <w:sz w:val="20"/>
                <w:lang w:eastAsia="en-NZ"/>
              </w:rPr>
            </w:pPr>
            <w:r w:rsidRPr="00D87B3A">
              <w:rPr>
                <w:rFonts w:eastAsia="Times New Roman" w:cstheme="minorHAnsi"/>
                <w:b/>
                <w:lang w:eastAsia="en-NZ"/>
              </w:rPr>
              <w:t>High-quality development </w:t>
            </w:r>
          </w:p>
        </w:tc>
      </w:tr>
      <w:tr w:rsidR="00424AFD" w:rsidRPr="00D87B3A" w:rsidTr="00DD6D6D">
        <w:trPr>
          <w:trHeight w:val="525"/>
        </w:trPr>
        <w:tc>
          <w:tcPr>
            <w:tcW w:w="3952" w:type="dxa"/>
            <w:tcBorders>
              <w:left w:val="nil"/>
              <w:bottom w:val="single" w:sz="8" w:space="0" w:color="00B0F0"/>
              <w:right w:val="single" w:sz="8" w:space="0" w:color="00B0F0"/>
            </w:tcBorders>
            <w:shd w:val="clear" w:color="auto" w:fill="auto"/>
            <w:hideMark/>
          </w:tcPr>
          <w:p w:rsidR="00424AFD" w:rsidRPr="00D87B3A" w:rsidRDefault="00424AFD" w:rsidP="00563C30">
            <w:pPr>
              <w:spacing w:after="0" w:line="240" w:lineRule="auto"/>
              <w:rPr>
                <w:rFonts w:eastAsia="Times New Roman" w:cstheme="minorHAnsi"/>
                <w:color w:val="000000"/>
                <w:sz w:val="20"/>
                <w:lang w:eastAsia="en-NZ"/>
              </w:rPr>
            </w:pPr>
            <w:r w:rsidRPr="00D87B3A">
              <w:rPr>
                <w:rFonts w:eastAsia="Times New Roman" w:cstheme="minorHAnsi"/>
                <w:color w:val="000000"/>
                <w:sz w:val="20"/>
                <w:lang w:eastAsia="en-NZ"/>
              </w:rPr>
              <w:t>Residents (%) who agree that new buildings constructed in the city maintain or enhance the city’s attractiveness</w:t>
            </w:r>
          </w:p>
        </w:tc>
        <w:tc>
          <w:tcPr>
            <w:tcW w:w="1153" w:type="dxa"/>
            <w:gridSpan w:val="2"/>
            <w:tcBorders>
              <w:left w:val="nil"/>
              <w:bottom w:val="single" w:sz="8" w:space="0" w:color="00B0F0"/>
              <w:right w:val="nil"/>
            </w:tcBorders>
            <w:shd w:val="clear" w:color="auto" w:fill="auto"/>
          </w:tcPr>
          <w:p w:rsidR="00424AFD" w:rsidRPr="00D87B3A" w:rsidRDefault="00424AFD" w:rsidP="00563C30">
            <w:pPr>
              <w:spacing w:after="0" w:line="240" w:lineRule="auto"/>
              <w:rPr>
                <w:rFonts w:eastAsia="Times New Roman" w:cstheme="minorHAnsi"/>
                <w:color w:val="000000"/>
                <w:sz w:val="20"/>
                <w:lang w:eastAsia="en-NZ"/>
              </w:rPr>
            </w:pPr>
          </w:p>
        </w:tc>
        <w:tc>
          <w:tcPr>
            <w:tcW w:w="1154" w:type="dxa"/>
            <w:gridSpan w:val="3"/>
            <w:tcBorders>
              <w:left w:val="nil"/>
              <w:bottom w:val="single" w:sz="8" w:space="0" w:color="00B0F0"/>
              <w:right w:val="nil"/>
            </w:tcBorders>
            <w:shd w:val="clear" w:color="auto" w:fill="auto"/>
            <w:noWrap/>
            <w:hideMark/>
          </w:tcPr>
          <w:p w:rsidR="00424AFD" w:rsidRPr="00D87B3A" w:rsidRDefault="00424AFD" w:rsidP="00563C30">
            <w:pPr>
              <w:spacing w:after="0" w:line="240" w:lineRule="auto"/>
              <w:jc w:val="right"/>
              <w:rPr>
                <w:rFonts w:eastAsia="Times New Roman" w:cstheme="minorHAnsi"/>
                <w:color w:val="000000"/>
                <w:sz w:val="20"/>
                <w:lang w:eastAsia="en-NZ"/>
              </w:rPr>
            </w:pPr>
            <w:r w:rsidRPr="00D87B3A">
              <w:rPr>
                <w:rFonts w:eastAsia="Times New Roman" w:cstheme="minorHAnsi"/>
                <w:color w:val="000000"/>
                <w:sz w:val="20"/>
                <w:lang w:eastAsia="en-NZ"/>
              </w:rPr>
              <w:t>New</w:t>
            </w:r>
          </w:p>
        </w:tc>
        <w:tc>
          <w:tcPr>
            <w:tcW w:w="1153" w:type="dxa"/>
            <w:tcBorders>
              <w:left w:val="nil"/>
              <w:bottom w:val="single" w:sz="8" w:space="0" w:color="00B0F0"/>
              <w:right w:val="nil"/>
            </w:tcBorders>
            <w:shd w:val="clear" w:color="auto" w:fill="auto"/>
            <w:noWrap/>
            <w:hideMark/>
          </w:tcPr>
          <w:p w:rsidR="00424AFD" w:rsidRPr="00D87B3A" w:rsidRDefault="00424AFD" w:rsidP="00563C30">
            <w:pPr>
              <w:spacing w:after="0" w:line="240" w:lineRule="auto"/>
              <w:jc w:val="right"/>
              <w:rPr>
                <w:rFonts w:eastAsia="Times New Roman" w:cstheme="minorHAnsi"/>
                <w:color w:val="000000"/>
                <w:sz w:val="20"/>
                <w:lang w:eastAsia="en-NZ"/>
              </w:rPr>
            </w:pPr>
            <w:r w:rsidRPr="00D87B3A">
              <w:rPr>
                <w:rFonts w:eastAsia="Times New Roman" w:cstheme="minorHAnsi"/>
                <w:color w:val="000000"/>
                <w:sz w:val="20"/>
                <w:lang w:eastAsia="en-NZ"/>
              </w:rPr>
              <w:t>61%</w:t>
            </w:r>
          </w:p>
        </w:tc>
        <w:tc>
          <w:tcPr>
            <w:tcW w:w="1175" w:type="dxa"/>
            <w:tcBorders>
              <w:left w:val="nil"/>
              <w:bottom w:val="single" w:sz="8" w:space="0" w:color="00B0F0"/>
              <w:right w:val="nil"/>
            </w:tcBorders>
            <w:shd w:val="clear" w:color="000000" w:fill="D9D9D9"/>
            <w:hideMark/>
          </w:tcPr>
          <w:p w:rsidR="00424AFD" w:rsidRPr="00D87B3A" w:rsidRDefault="00424AFD" w:rsidP="00563C30">
            <w:pPr>
              <w:spacing w:after="0" w:line="240" w:lineRule="auto"/>
              <w:jc w:val="right"/>
              <w:rPr>
                <w:rFonts w:eastAsia="Times New Roman" w:cstheme="minorHAnsi"/>
                <w:color w:val="000000"/>
                <w:sz w:val="20"/>
                <w:lang w:eastAsia="en-NZ"/>
              </w:rPr>
            </w:pPr>
            <w:r w:rsidRPr="00D87B3A">
              <w:rPr>
                <w:rFonts w:eastAsia="Times New Roman" w:cstheme="minorHAnsi"/>
                <w:color w:val="000000"/>
                <w:sz w:val="20"/>
                <w:lang w:eastAsia="en-NZ"/>
              </w:rPr>
              <w:t>Baseline</w:t>
            </w:r>
          </w:p>
        </w:tc>
        <w:tc>
          <w:tcPr>
            <w:tcW w:w="800" w:type="dxa"/>
            <w:gridSpan w:val="2"/>
            <w:tcBorders>
              <w:left w:val="nil"/>
              <w:bottom w:val="single" w:sz="8" w:space="0" w:color="00B0F0"/>
              <w:right w:val="nil"/>
            </w:tcBorders>
            <w:shd w:val="clear" w:color="auto" w:fill="auto"/>
          </w:tcPr>
          <w:p w:rsidR="00424AFD" w:rsidRPr="00D87B3A" w:rsidRDefault="00424AFD" w:rsidP="00563C30">
            <w:pPr>
              <w:spacing w:after="0" w:line="240" w:lineRule="auto"/>
              <w:jc w:val="right"/>
              <w:rPr>
                <w:rFonts w:eastAsia="Times New Roman" w:cstheme="minorHAnsi"/>
                <w:color w:val="000000"/>
                <w:sz w:val="20"/>
                <w:lang w:eastAsia="en-NZ"/>
              </w:rPr>
            </w:pPr>
          </w:p>
        </w:tc>
        <w:tc>
          <w:tcPr>
            <w:tcW w:w="962" w:type="dxa"/>
            <w:tcBorders>
              <w:left w:val="nil"/>
              <w:bottom w:val="single" w:sz="8" w:space="0" w:color="00B0F0"/>
              <w:right w:val="single" w:sz="8" w:space="0" w:color="00B0F0"/>
            </w:tcBorders>
            <w:shd w:val="clear" w:color="auto" w:fill="auto"/>
          </w:tcPr>
          <w:p w:rsidR="00424AFD" w:rsidRPr="00D87B3A" w:rsidRDefault="00424AFD" w:rsidP="00563C30">
            <w:pPr>
              <w:spacing w:after="0" w:line="240" w:lineRule="auto"/>
              <w:jc w:val="right"/>
              <w:rPr>
                <w:rFonts w:eastAsia="Times New Roman" w:cstheme="minorHAnsi"/>
                <w:color w:val="000000"/>
                <w:sz w:val="20"/>
                <w:lang w:eastAsia="en-NZ"/>
              </w:rPr>
            </w:pPr>
          </w:p>
        </w:tc>
        <w:tc>
          <w:tcPr>
            <w:tcW w:w="4536" w:type="dxa"/>
            <w:tcBorders>
              <w:left w:val="single" w:sz="8" w:space="0" w:color="00B0F0"/>
              <w:bottom w:val="single" w:sz="8" w:space="0" w:color="00B0F0"/>
              <w:right w:val="nil"/>
            </w:tcBorders>
            <w:shd w:val="clear" w:color="auto" w:fill="auto"/>
            <w:hideMark/>
          </w:tcPr>
          <w:p w:rsidR="00424AFD" w:rsidRPr="00D87B3A" w:rsidRDefault="00424AFD" w:rsidP="00563C30">
            <w:pPr>
              <w:spacing w:after="0" w:line="240" w:lineRule="auto"/>
              <w:jc w:val="right"/>
              <w:rPr>
                <w:rFonts w:eastAsia="Times New Roman" w:cstheme="minorHAnsi"/>
                <w:color w:val="000000"/>
                <w:sz w:val="20"/>
                <w:lang w:eastAsia="en-NZ"/>
              </w:rPr>
            </w:pPr>
          </w:p>
        </w:tc>
      </w:tr>
      <w:tr w:rsidR="00424AFD" w:rsidRPr="00D87B3A" w:rsidTr="00DD6D6D">
        <w:trPr>
          <w:trHeight w:val="525"/>
        </w:trPr>
        <w:tc>
          <w:tcPr>
            <w:tcW w:w="3952" w:type="dxa"/>
            <w:tcBorders>
              <w:top w:val="nil"/>
              <w:left w:val="nil"/>
              <w:bottom w:val="single" w:sz="8" w:space="0" w:color="00B0F0"/>
              <w:right w:val="single" w:sz="8" w:space="0" w:color="00B0F0"/>
            </w:tcBorders>
            <w:shd w:val="clear" w:color="auto" w:fill="auto"/>
            <w:hideMark/>
          </w:tcPr>
          <w:p w:rsidR="00424AFD" w:rsidRPr="00D87B3A" w:rsidRDefault="00424AFD" w:rsidP="00563C30">
            <w:pPr>
              <w:spacing w:after="0" w:line="240" w:lineRule="auto"/>
              <w:rPr>
                <w:rFonts w:eastAsia="Times New Roman" w:cstheme="minorHAnsi"/>
                <w:color w:val="000000"/>
                <w:sz w:val="20"/>
                <w:lang w:eastAsia="en-NZ"/>
              </w:rPr>
            </w:pPr>
            <w:r w:rsidRPr="00D87B3A">
              <w:rPr>
                <w:rFonts w:eastAsia="Times New Roman" w:cstheme="minorHAnsi"/>
                <w:color w:val="000000"/>
                <w:sz w:val="20"/>
                <w:lang w:eastAsia="en-NZ"/>
              </w:rPr>
              <w:t>Residents (%) who agree that regeneration of areas of the city adds to its vibrancy (e.g. laneways)</w:t>
            </w:r>
          </w:p>
        </w:tc>
        <w:tc>
          <w:tcPr>
            <w:tcW w:w="1153" w:type="dxa"/>
            <w:gridSpan w:val="2"/>
            <w:tcBorders>
              <w:top w:val="single" w:sz="8" w:space="0" w:color="00B0F0"/>
              <w:left w:val="nil"/>
              <w:bottom w:val="single" w:sz="8" w:space="0" w:color="00B0F0"/>
              <w:right w:val="nil"/>
            </w:tcBorders>
            <w:shd w:val="clear" w:color="auto" w:fill="auto"/>
          </w:tcPr>
          <w:p w:rsidR="00424AFD" w:rsidRPr="00D87B3A" w:rsidRDefault="00424AFD" w:rsidP="00563C30">
            <w:pPr>
              <w:spacing w:after="0" w:line="240" w:lineRule="auto"/>
              <w:rPr>
                <w:rFonts w:eastAsia="Times New Roman" w:cstheme="minorHAnsi"/>
                <w:color w:val="000000"/>
                <w:sz w:val="20"/>
                <w:lang w:eastAsia="en-NZ"/>
              </w:rPr>
            </w:pPr>
          </w:p>
        </w:tc>
        <w:tc>
          <w:tcPr>
            <w:tcW w:w="1154" w:type="dxa"/>
            <w:gridSpan w:val="3"/>
            <w:tcBorders>
              <w:top w:val="single" w:sz="8" w:space="0" w:color="00B0F0"/>
              <w:left w:val="nil"/>
              <w:bottom w:val="single" w:sz="8" w:space="0" w:color="00B0F0"/>
              <w:right w:val="nil"/>
            </w:tcBorders>
            <w:shd w:val="clear" w:color="auto" w:fill="auto"/>
            <w:noWrap/>
            <w:hideMark/>
          </w:tcPr>
          <w:p w:rsidR="00424AFD" w:rsidRPr="00D87B3A" w:rsidRDefault="00424AFD" w:rsidP="00563C30">
            <w:pPr>
              <w:spacing w:after="0" w:line="240" w:lineRule="auto"/>
              <w:jc w:val="right"/>
              <w:rPr>
                <w:rFonts w:eastAsia="Times New Roman" w:cstheme="minorHAnsi"/>
                <w:color w:val="000000"/>
                <w:sz w:val="20"/>
                <w:lang w:eastAsia="en-NZ"/>
              </w:rPr>
            </w:pPr>
            <w:r w:rsidRPr="00D87B3A">
              <w:rPr>
                <w:rFonts w:eastAsia="Times New Roman" w:cstheme="minorHAnsi"/>
                <w:color w:val="000000"/>
                <w:sz w:val="20"/>
                <w:lang w:eastAsia="en-NZ"/>
              </w:rPr>
              <w:t>New</w:t>
            </w:r>
          </w:p>
        </w:tc>
        <w:tc>
          <w:tcPr>
            <w:tcW w:w="1153" w:type="dxa"/>
            <w:tcBorders>
              <w:top w:val="single" w:sz="8" w:space="0" w:color="00B0F0"/>
              <w:left w:val="nil"/>
              <w:bottom w:val="single" w:sz="8" w:space="0" w:color="00B0F0"/>
              <w:right w:val="nil"/>
            </w:tcBorders>
            <w:shd w:val="clear" w:color="auto" w:fill="auto"/>
            <w:noWrap/>
            <w:hideMark/>
          </w:tcPr>
          <w:p w:rsidR="00424AFD" w:rsidRPr="00D87B3A" w:rsidRDefault="00424AFD" w:rsidP="00563C30">
            <w:pPr>
              <w:spacing w:after="0" w:line="240" w:lineRule="auto"/>
              <w:jc w:val="right"/>
              <w:rPr>
                <w:rFonts w:eastAsia="Times New Roman" w:cstheme="minorHAnsi"/>
                <w:color w:val="000000"/>
                <w:sz w:val="20"/>
                <w:lang w:eastAsia="en-NZ"/>
              </w:rPr>
            </w:pPr>
            <w:r w:rsidRPr="00D87B3A">
              <w:rPr>
                <w:rFonts w:eastAsia="Times New Roman" w:cstheme="minorHAnsi"/>
                <w:color w:val="000000"/>
                <w:sz w:val="20"/>
                <w:lang w:eastAsia="en-NZ"/>
              </w:rPr>
              <w:t>89%</w:t>
            </w:r>
          </w:p>
        </w:tc>
        <w:tc>
          <w:tcPr>
            <w:tcW w:w="1175" w:type="dxa"/>
            <w:tcBorders>
              <w:top w:val="single" w:sz="8" w:space="0" w:color="00B0F0"/>
              <w:left w:val="nil"/>
              <w:bottom w:val="single" w:sz="8" w:space="0" w:color="00B0F0"/>
              <w:right w:val="nil"/>
            </w:tcBorders>
            <w:shd w:val="clear" w:color="000000" w:fill="D9D9D9"/>
            <w:hideMark/>
          </w:tcPr>
          <w:p w:rsidR="00424AFD" w:rsidRPr="00D87B3A" w:rsidRDefault="00424AFD" w:rsidP="00563C30">
            <w:pPr>
              <w:spacing w:after="0" w:line="240" w:lineRule="auto"/>
              <w:jc w:val="right"/>
              <w:rPr>
                <w:rFonts w:eastAsia="Times New Roman" w:cstheme="minorHAnsi"/>
                <w:color w:val="000000"/>
                <w:sz w:val="20"/>
                <w:lang w:eastAsia="en-NZ"/>
              </w:rPr>
            </w:pPr>
            <w:r w:rsidRPr="00D87B3A">
              <w:rPr>
                <w:rFonts w:eastAsia="Times New Roman" w:cstheme="minorHAnsi"/>
                <w:color w:val="000000"/>
                <w:sz w:val="20"/>
                <w:lang w:eastAsia="en-NZ"/>
              </w:rPr>
              <w:t>Baseline</w:t>
            </w:r>
          </w:p>
        </w:tc>
        <w:tc>
          <w:tcPr>
            <w:tcW w:w="800" w:type="dxa"/>
            <w:gridSpan w:val="2"/>
            <w:tcBorders>
              <w:top w:val="single" w:sz="8" w:space="0" w:color="00B0F0"/>
              <w:left w:val="nil"/>
              <w:bottom w:val="single" w:sz="8" w:space="0" w:color="00B0F0"/>
              <w:right w:val="nil"/>
            </w:tcBorders>
            <w:shd w:val="clear" w:color="auto" w:fill="auto"/>
          </w:tcPr>
          <w:p w:rsidR="00424AFD" w:rsidRPr="00D87B3A" w:rsidRDefault="00424AFD" w:rsidP="00563C30">
            <w:pPr>
              <w:spacing w:after="0" w:line="240" w:lineRule="auto"/>
              <w:jc w:val="right"/>
              <w:rPr>
                <w:rFonts w:eastAsia="Times New Roman" w:cstheme="minorHAnsi"/>
                <w:color w:val="000000"/>
                <w:sz w:val="20"/>
                <w:lang w:eastAsia="en-NZ"/>
              </w:rPr>
            </w:pPr>
          </w:p>
        </w:tc>
        <w:tc>
          <w:tcPr>
            <w:tcW w:w="962" w:type="dxa"/>
            <w:tcBorders>
              <w:top w:val="single" w:sz="8" w:space="0" w:color="00B0F0"/>
              <w:left w:val="nil"/>
              <w:bottom w:val="single" w:sz="8" w:space="0" w:color="00B0F0"/>
              <w:right w:val="single" w:sz="8" w:space="0" w:color="00B0F0"/>
            </w:tcBorders>
            <w:shd w:val="clear" w:color="auto" w:fill="auto"/>
          </w:tcPr>
          <w:p w:rsidR="00424AFD" w:rsidRPr="00D87B3A" w:rsidRDefault="00424AFD" w:rsidP="00563C30">
            <w:pPr>
              <w:jc w:val="right"/>
              <w:rPr>
                <w:rFonts w:cstheme="minorHAnsi"/>
              </w:rPr>
            </w:pPr>
          </w:p>
        </w:tc>
        <w:tc>
          <w:tcPr>
            <w:tcW w:w="4536" w:type="dxa"/>
            <w:tcBorders>
              <w:top w:val="single" w:sz="8" w:space="0" w:color="00B0F0"/>
              <w:left w:val="single" w:sz="8" w:space="0" w:color="00B0F0"/>
              <w:bottom w:val="single" w:sz="8" w:space="0" w:color="00B0F0"/>
              <w:right w:val="nil"/>
            </w:tcBorders>
            <w:shd w:val="clear" w:color="auto" w:fill="auto"/>
            <w:hideMark/>
          </w:tcPr>
          <w:p w:rsidR="00424AFD" w:rsidRPr="00D87B3A" w:rsidRDefault="00424AFD" w:rsidP="00563C30">
            <w:pPr>
              <w:spacing w:after="0" w:line="240" w:lineRule="auto"/>
              <w:jc w:val="right"/>
              <w:rPr>
                <w:rFonts w:eastAsia="Times New Roman" w:cstheme="minorHAnsi"/>
                <w:color w:val="000000"/>
                <w:sz w:val="20"/>
                <w:lang w:eastAsia="en-NZ"/>
              </w:rPr>
            </w:pPr>
          </w:p>
        </w:tc>
      </w:tr>
      <w:tr w:rsidR="00424AFD" w:rsidRPr="00D87B3A" w:rsidTr="00DD6D6D">
        <w:trPr>
          <w:trHeight w:val="1035"/>
        </w:trPr>
        <w:tc>
          <w:tcPr>
            <w:tcW w:w="3952" w:type="dxa"/>
            <w:tcBorders>
              <w:top w:val="nil"/>
              <w:left w:val="nil"/>
              <w:bottom w:val="single" w:sz="8" w:space="0" w:color="00B0F0"/>
              <w:right w:val="single" w:sz="8" w:space="0" w:color="00B0F0"/>
            </w:tcBorders>
            <w:shd w:val="clear" w:color="auto" w:fill="auto"/>
            <w:hideMark/>
          </w:tcPr>
          <w:p w:rsidR="00424AFD" w:rsidRPr="00D87B3A" w:rsidRDefault="00424AFD" w:rsidP="00563C30">
            <w:pPr>
              <w:spacing w:after="0" w:line="240" w:lineRule="auto"/>
              <w:rPr>
                <w:rFonts w:eastAsia="Times New Roman" w:cstheme="minorHAnsi"/>
                <w:color w:val="000000"/>
                <w:sz w:val="20"/>
                <w:lang w:eastAsia="en-NZ"/>
              </w:rPr>
            </w:pPr>
            <w:r w:rsidRPr="00D87B3A">
              <w:rPr>
                <w:rFonts w:eastAsia="Times New Roman" w:cstheme="minorHAnsi"/>
                <w:color w:val="000000"/>
                <w:sz w:val="20"/>
                <w:lang w:eastAsia="en-NZ"/>
              </w:rPr>
              <w:t>Residents (%) who agree that the public areas of their suburban centre - encourage use, feel safe and are well designed</w:t>
            </w:r>
          </w:p>
        </w:tc>
        <w:tc>
          <w:tcPr>
            <w:tcW w:w="1153" w:type="dxa"/>
            <w:gridSpan w:val="2"/>
            <w:tcBorders>
              <w:top w:val="single" w:sz="8" w:space="0" w:color="00B0F0"/>
              <w:left w:val="nil"/>
              <w:bottom w:val="single" w:sz="8" w:space="0" w:color="00B0F0"/>
              <w:right w:val="nil"/>
            </w:tcBorders>
            <w:shd w:val="clear" w:color="auto" w:fill="auto"/>
          </w:tcPr>
          <w:p w:rsidR="00424AFD" w:rsidRPr="00D87B3A" w:rsidRDefault="00424AFD" w:rsidP="00563C30">
            <w:pPr>
              <w:spacing w:after="0" w:line="240" w:lineRule="auto"/>
              <w:rPr>
                <w:rFonts w:eastAsia="Times New Roman" w:cstheme="minorHAnsi"/>
                <w:color w:val="000000"/>
                <w:sz w:val="20"/>
                <w:lang w:eastAsia="en-NZ"/>
              </w:rPr>
            </w:pPr>
          </w:p>
        </w:tc>
        <w:tc>
          <w:tcPr>
            <w:tcW w:w="1154" w:type="dxa"/>
            <w:gridSpan w:val="3"/>
            <w:tcBorders>
              <w:top w:val="single" w:sz="8" w:space="0" w:color="00B0F0"/>
              <w:left w:val="nil"/>
              <w:bottom w:val="single" w:sz="8" w:space="0" w:color="00B0F0"/>
              <w:right w:val="nil"/>
            </w:tcBorders>
            <w:shd w:val="clear" w:color="auto" w:fill="auto"/>
            <w:noWrap/>
            <w:hideMark/>
          </w:tcPr>
          <w:p w:rsidR="00424AFD" w:rsidRPr="00D87B3A" w:rsidRDefault="00424AFD" w:rsidP="00563C30">
            <w:pPr>
              <w:spacing w:after="0" w:line="240" w:lineRule="auto"/>
              <w:jc w:val="right"/>
              <w:rPr>
                <w:rFonts w:eastAsia="Times New Roman" w:cstheme="minorHAnsi"/>
                <w:color w:val="000000"/>
                <w:sz w:val="20"/>
                <w:lang w:eastAsia="en-NZ"/>
              </w:rPr>
            </w:pPr>
            <w:r w:rsidRPr="00D87B3A">
              <w:rPr>
                <w:rFonts w:eastAsia="Times New Roman" w:cstheme="minorHAnsi"/>
                <w:color w:val="000000"/>
                <w:sz w:val="20"/>
                <w:lang w:eastAsia="en-NZ"/>
              </w:rPr>
              <w:t>New</w:t>
            </w:r>
          </w:p>
        </w:tc>
        <w:tc>
          <w:tcPr>
            <w:tcW w:w="1153" w:type="dxa"/>
            <w:tcBorders>
              <w:top w:val="single" w:sz="8" w:space="0" w:color="00B0F0"/>
              <w:left w:val="nil"/>
              <w:bottom w:val="single" w:sz="8" w:space="0" w:color="00B0F0"/>
              <w:right w:val="nil"/>
            </w:tcBorders>
            <w:shd w:val="clear" w:color="auto" w:fill="auto"/>
            <w:hideMark/>
          </w:tcPr>
          <w:p w:rsidR="00424AFD" w:rsidRPr="00D87B3A" w:rsidRDefault="00424AFD" w:rsidP="00563C30">
            <w:pPr>
              <w:spacing w:after="0" w:line="240" w:lineRule="auto"/>
              <w:jc w:val="right"/>
              <w:rPr>
                <w:rFonts w:eastAsia="Times New Roman" w:cstheme="minorHAnsi"/>
                <w:color w:val="000000"/>
                <w:sz w:val="20"/>
                <w:lang w:eastAsia="en-NZ"/>
              </w:rPr>
            </w:pPr>
            <w:r w:rsidRPr="00D87B3A">
              <w:rPr>
                <w:rFonts w:eastAsia="Times New Roman" w:cstheme="minorHAnsi"/>
                <w:color w:val="000000"/>
                <w:sz w:val="20"/>
                <w:lang w:eastAsia="en-NZ"/>
              </w:rPr>
              <w:t xml:space="preserve">Use 71.4%; </w:t>
            </w:r>
            <w:r w:rsidRPr="00D87B3A">
              <w:rPr>
                <w:rFonts w:eastAsia="Times New Roman" w:cstheme="minorHAnsi"/>
                <w:color w:val="000000"/>
                <w:sz w:val="20"/>
                <w:lang w:eastAsia="en-NZ"/>
              </w:rPr>
              <w:br/>
              <w:t xml:space="preserve">feel safe 73.9%; </w:t>
            </w:r>
            <w:r w:rsidRPr="00D87B3A">
              <w:rPr>
                <w:rFonts w:eastAsia="Times New Roman" w:cstheme="minorHAnsi"/>
                <w:color w:val="000000"/>
                <w:sz w:val="20"/>
                <w:lang w:eastAsia="en-NZ"/>
              </w:rPr>
              <w:br/>
              <w:t>well-</w:t>
            </w:r>
            <w:r w:rsidRPr="00D87B3A">
              <w:rPr>
                <w:rFonts w:eastAsia="Times New Roman" w:cstheme="minorHAnsi"/>
                <w:color w:val="000000"/>
                <w:sz w:val="20"/>
                <w:lang w:eastAsia="en-NZ"/>
              </w:rPr>
              <w:lastRenderedPageBreak/>
              <w:t>designed 43.2%</w:t>
            </w:r>
          </w:p>
        </w:tc>
        <w:tc>
          <w:tcPr>
            <w:tcW w:w="1175" w:type="dxa"/>
            <w:tcBorders>
              <w:top w:val="single" w:sz="8" w:space="0" w:color="00B0F0"/>
              <w:left w:val="nil"/>
              <w:bottom w:val="single" w:sz="8" w:space="0" w:color="00B0F0"/>
              <w:right w:val="nil"/>
            </w:tcBorders>
            <w:shd w:val="clear" w:color="000000" w:fill="D9D9D9"/>
            <w:hideMark/>
          </w:tcPr>
          <w:p w:rsidR="00424AFD" w:rsidRPr="00D87B3A" w:rsidRDefault="00424AFD" w:rsidP="00563C30">
            <w:pPr>
              <w:spacing w:after="0" w:line="240" w:lineRule="auto"/>
              <w:jc w:val="right"/>
              <w:rPr>
                <w:rFonts w:eastAsia="Times New Roman" w:cstheme="minorHAnsi"/>
                <w:color w:val="000000"/>
                <w:sz w:val="20"/>
                <w:lang w:eastAsia="en-NZ"/>
              </w:rPr>
            </w:pPr>
            <w:r w:rsidRPr="00D87B3A">
              <w:rPr>
                <w:rFonts w:eastAsia="Times New Roman" w:cstheme="minorHAnsi"/>
                <w:color w:val="000000"/>
                <w:sz w:val="20"/>
                <w:lang w:eastAsia="en-NZ"/>
              </w:rPr>
              <w:lastRenderedPageBreak/>
              <w:t>Baseline</w:t>
            </w:r>
          </w:p>
        </w:tc>
        <w:tc>
          <w:tcPr>
            <w:tcW w:w="800" w:type="dxa"/>
            <w:gridSpan w:val="2"/>
            <w:tcBorders>
              <w:top w:val="single" w:sz="8" w:space="0" w:color="00B0F0"/>
              <w:left w:val="nil"/>
              <w:bottom w:val="single" w:sz="8" w:space="0" w:color="00B0F0"/>
              <w:right w:val="nil"/>
            </w:tcBorders>
            <w:shd w:val="clear" w:color="auto" w:fill="auto"/>
          </w:tcPr>
          <w:p w:rsidR="00424AFD" w:rsidRPr="00D87B3A" w:rsidRDefault="00424AFD" w:rsidP="00563C30">
            <w:pPr>
              <w:spacing w:after="0" w:line="240" w:lineRule="auto"/>
              <w:jc w:val="right"/>
              <w:rPr>
                <w:rFonts w:eastAsia="Times New Roman" w:cstheme="minorHAnsi"/>
                <w:color w:val="000000"/>
                <w:sz w:val="20"/>
                <w:lang w:eastAsia="en-NZ"/>
              </w:rPr>
            </w:pPr>
          </w:p>
        </w:tc>
        <w:tc>
          <w:tcPr>
            <w:tcW w:w="962" w:type="dxa"/>
            <w:tcBorders>
              <w:top w:val="single" w:sz="8" w:space="0" w:color="00B0F0"/>
              <w:left w:val="nil"/>
              <w:bottom w:val="single" w:sz="8" w:space="0" w:color="00B0F0"/>
              <w:right w:val="single" w:sz="8" w:space="0" w:color="00B0F0"/>
            </w:tcBorders>
            <w:shd w:val="clear" w:color="auto" w:fill="auto"/>
          </w:tcPr>
          <w:p w:rsidR="00424AFD" w:rsidRPr="00D87B3A" w:rsidRDefault="00424AFD" w:rsidP="00563C30">
            <w:pPr>
              <w:jc w:val="right"/>
              <w:rPr>
                <w:rFonts w:cstheme="minorHAnsi"/>
              </w:rPr>
            </w:pPr>
          </w:p>
        </w:tc>
        <w:tc>
          <w:tcPr>
            <w:tcW w:w="4536" w:type="dxa"/>
            <w:tcBorders>
              <w:top w:val="single" w:sz="8" w:space="0" w:color="00B0F0"/>
              <w:left w:val="single" w:sz="8" w:space="0" w:color="00B0F0"/>
              <w:bottom w:val="single" w:sz="8" w:space="0" w:color="00B0F0"/>
              <w:right w:val="nil"/>
            </w:tcBorders>
            <w:shd w:val="clear" w:color="auto" w:fill="auto"/>
          </w:tcPr>
          <w:p w:rsidR="00424AFD" w:rsidRPr="00D87B3A" w:rsidRDefault="00424AFD" w:rsidP="00563C30">
            <w:pPr>
              <w:spacing w:after="0" w:line="240" w:lineRule="auto"/>
              <w:rPr>
                <w:rFonts w:eastAsia="Times New Roman" w:cstheme="minorHAnsi"/>
                <w:color w:val="000000"/>
                <w:sz w:val="20"/>
                <w:lang w:eastAsia="en-NZ"/>
              </w:rPr>
            </w:pPr>
          </w:p>
        </w:tc>
      </w:tr>
      <w:tr w:rsidR="007856B0" w:rsidRPr="00D87B3A" w:rsidTr="00DD6D6D">
        <w:trPr>
          <w:trHeight w:val="1035"/>
        </w:trPr>
        <w:tc>
          <w:tcPr>
            <w:tcW w:w="3952" w:type="dxa"/>
            <w:tcBorders>
              <w:top w:val="nil"/>
              <w:left w:val="nil"/>
              <w:bottom w:val="single" w:sz="8" w:space="0" w:color="00B0F0"/>
              <w:right w:val="single" w:sz="8" w:space="0" w:color="00B0F0"/>
            </w:tcBorders>
            <w:shd w:val="clear" w:color="auto" w:fill="auto"/>
          </w:tcPr>
          <w:p w:rsidR="007856B0" w:rsidRPr="00D87B3A" w:rsidRDefault="007856B0" w:rsidP="00563C30">
            <w:pPr>
              <w:spacing w:after="0" w:line="240" w:lineRule="auto"/>
              <w:rPr>
                <w:rFonts w:eastAsia="Times New Roman" w:cstheme="minorHAnsi"/>
                <w:color w:val="000000"/>
                <w:sz w:val="20"/>
                <w:lang w:eastAsia="en-NZ"/>
              </w:rPr>
            </w:pPr>
            <w:r w:rsidRPr="007856B0">
              <w:rPr>
                <w:rFonts w:eastAsia="Times New Roman" w:cstheme="minorHAnsi"/>
                <w:color w:val="000000"/>
                <w:sz w:val="20"/>
                <w:lang w:eastAsia="en-NZ"/>
              </w:rPr>
              <w:lastRenderedPageBreak/>
              <w:t>Economic impact of urban regeneration projects</w:t>
            </w:r>
          </w:p>
        </w:tc>
        <w:tc>
          <w:tcPr>
            <w:tcW w:w="1153" w:type="dxa"/>
            <w:gridSpan w:val="2"/>
            <w:tcBorders>
              <w:top w:val="single" w:sz="8" w:space="0" w:color="00B0F0"/>
              <w:left w:val="nil"/>
              <w:bottom w:val="single" w:sz="8" w:space="0" w:color="00B0F0"/>
              <w:right w:val="nil"/>
            </w:tcBorders>
            <w:shd w:val="clear" w:color="auto" w:fill="auto"/>
          </w:tcPr>
          <w:p w:rsidR="007856B0" w:rsidRPr="00D87B3A" w:rsidRDefault="007856B0" w:rsidP="00563C30">
            <w:pPr>
              <w:spacing w:after="0" w:line="240" w:lineRule="auto"/>
              <w:rPr>
                <w:rFonts w:eastAsia="Times New Roman" w:cstheme="minorHAnsi"/>
                <w:color w:val="000000"/>
                <w:sz w:val="20"/>
                <w:lang w:eastAsia="en-NZ"/>
              </w:rPr>
            </w:pPr>
          </w:p>
        </w:tc>
        <w:tc>
          <w:tcPr>
            <w:tcW w:w="1154" w:type="dxa"/>
            <w:gridSpan w:val="3"/>
            <w:tcBorders>
              <w:top w:val="single" w:sz="8" w:space="0" w:color="00B0F0"/>
              <w:left w:val="nil"/>
              <w:bottom w:val="single" w:sz="8" w:space="0" w:color="00B0F0"/>
              <w:right w:val="nil"/>
            </w:tcBorders>
            <w:shd w:val="clear" w:color="auto" w:fill="auto"/>
            <w:noWrap/>
          </w:tcPr>
          <w:p w:rsidR="007856B0" w:rsidRPr="00D87B3A" w:rsidRDefault="007856B0" w:rsidP="00563C30">
            <w:pPr>
              <w:spacing w:after="0" w:line="240" w:lineRule="auto"/>
              <w:jc w:val="right"/>
              <w:rPr>
                <w:rFonts w:eastAsia="Times New Roman" w:cstheme="minorHAnsi"/>
                <w:color w:val="000000"/>
                <w:sz w:val="20"/>
                <w:lang w:eastAsia="en-NZ"/>
              </w:rPr>
            </w:pPr>
            <w:r>
              <w:rPr>
                <w:rFonts w:eastAsia="Times New Roman" w:cstheme="minorHAnsi"/>
                <w:color w:val="000000"/>
                <w:sz w:val="20"/>
                <w:lang w:eastAsia="en-NZ"/>
              </w:rPr>
              <w:t>New</w:t>
            </w:r>
          </w:p>
        </w:tc>
        <w:tc>
          <w:tcPr>
            <w:tcW w:w="1153" w:type="dxa"/>
            <w:tcBorders>
              <w:top w:val="single" w:sz="8" w:space="0" w:color="00B0F0"/>
              <w:left w:val="nil"/>
              <w:bottom w:val="single" w:sz="8" w:space="0" w:color="00B0F0"/>
              <w:right w:val="nil"/>
            </w:tcBorders>
            <w:shd w:val="clear" w:color="auto" w:fill="auto"/>
          </w:tcPr>
          <w:p w:rsidR="007856B0" w:rsidRPr="00D87B3A" w:rsidRDefault="007856B0" w:rsidP="00563C30">
            <w:pPr>
              <w:spacing w:after="0" w:line="240" w:lineRule="auto"/>
              <w:jc w:val="right"/>
              <w:rPr>
                <w:rFonts w:eastAsia="Times New Roman" w:cstheme="minorHAnsi"/>
                <w:color w:val="000000"/>
                <w:sz w:val="20"/>
                <w:lang w:eastAsia="en-NZ"/>
              </w:rPr>
            </w:pPr>
            <w:r>
              <w:rPr>
                <w:rFonts w:eastAsia="Times New Roman" w:cstheme="minorHAnsi"/>
                <w:color w:val="000000"/>
                <w:sz w:val="20"/>
                <w:lang w:eastAsia="en-NZ"/>
              </w:rPr>
              <w:t>NA</w:t>
            </w:r>
          </w:p>
        </w:tc>
        <w:tc>
          <w:tcPr>
            <w:tcW w:w="1175" w:type="dxa"/>
            <w:tcBorders>
              <w:top w:val="single" w:sz="8" w:space="0" w:color="00B0F0"/>
              <w:left w:val="nil"/>
              <w:bottom w:val="single" w:sz="8" w:space="0" w:color="00B0F0"/>
              <w:right w:val="nil"/>
            </w:tcBorders>
            <w:shd w:val="clear" w:color="000000" w:fill="D9D9D9"/>
          </w:tcPr>
          <w:p w:rsidR="007856B0" w:rsidRPr="00D87B3A" w:rsidRDefault="007856B0" w:rsidP="00563C30">
            <w:pPr>
              <w:spacing w:after="0" w:line="240" w:lineRule="auto"/>
              <w:jc w:val="right"/>
              <w:rPr>
                <w:rFonts w:eastAsia="Times New Roman" w:cstheme="minorHAnsi"/>
                <w:color w:val="000000"/>
                <w:sz w:val="20"/>
                <w:lang w:eastAsia="en-NZ"/>
              </w:rPr>
            </w:pPr>
          </w:p>
        </w:tc>
        <w:tc>
          <w:tcPr>
            <w:tcW w:w="800" w:type="dxa"/>
            <w:gridSpan w:val="2"/>
            <w:tcBorders>
              <w:top w:val="single" w:sz="8" w:space="0" w:color="00B0F0"/>
              <w:left w:val="nil"/>
              <w:bottom w:val="single" w:sz="8" w:space="0" w:color="00B0F0"/>
              <w:right w:val="nil"/>
            </w:tcBorders>
            <w:shd w:val="clear" w:color="auto" w:fill="auto"/>
          </w:tcPr>
          <w:p w:rsidR="007856B0" w:rsidRPr="00D87B3A" w:rsidRDefault="007856B0" w:rsidP="00563C30">
            <w:pPr>
              <w:spacing w:after="0" w:line="240" w:lineRule="auto"/>
              <w:jc w:val="right"/>
              <w:rPr>
                <w:rFonts w:eastAsia="Times New Roman" w:cstheme="minorHAnsi"/>
                <w:color w:val="000000"/>
                <w:sz w:val="20"/>
                <w:lang w:eastAsia="en-NZ"/>
              </w:rPr>
            </w:pPr>
          </w:p>
        </w:tc>
        <w:tc>
          <w:tcPr>
            <w:tcW w:w="962" w:type="dxa"/>
            <w:tcBorders>
              <w:top w:val="single" w:sz="8" w:space="0" w:color="00B0F0"/>
              <w:left w:val="nil"/>
              <w:bottom w:val="single" w:sz="8" w:space="0" w:color="00B0F0"/>
              <w:right w:val="single" w:sz="8" w:space="0" w:color="00B0F0"/>
            </w:tcBorders>
            <w:shd w:val="clear" w:color="auto" w:fill="auto"/>
          </w:tcPr>
          <w:p w:rsidR="007856B0" w:rsidRPr="00D87B3A" w:rsidRDefault="007856B0" w:rsidP="00563C30">
            <w:pPr>
              <w:jc w:val="right"/>
              <w:rPr>
                <w:rFonts w:cstheme="minorHAnsi"/>
              </w:rPr>
            </w:pPr>
          </w:p>
        </w:tc>
        <w:tc>
          <w:tcPr>
            <w:tcW w:w="4536" w:type="dxa"/>
            <w:tcBorders>
              <w:top w:val="single" w:sz="8" w:space="0" w:color="00B0F0"/>
              <w:left w:val="single" w:sz="8" w:space="0" w:color="00B0F0"/>
              <w:bottom w:val="single" w:sz="8" w:space="0" w:color="00B0F0"/>
              <w:right w:val="nil"/>
            </w:tcBorders>
            <w:shd w:val="clear" w:color="auto" w:fill="auto"/>
          </w:tcPr>
          <w:p w:rsidR="007856B0" w:rsidRPr="00D87B3A" w:rsidRDefault="007856B0" w:rsidP="00563C30">
            <w:pPr>
              <w:spacing w:after="0" w:line="240" w:lineRule="auto"/>
              <w:rPr>
                <w:rFonts w:eastAsia="Times New Roman" w:cstheme="minorHAnsi"/>
                <w:color w:val="000000"/>
                <w:sz w:val="20"/>
                <w:lang w:eastAsia="en-NZ"/>
              </w:rPr>
            </w:pPr>
            <w:r w:rsidRPr="007856B0">
              <w:rPr>
                <w:rFonts w:eastAsia="Times New Roman" w:cstheme="minorHAnsi"/>
                <w:color w:val="000000"/>
                <w:sz w:val="20"/>
                <w:lang w:eastAsia="en-NZ"/>
              </w:rPr>
              <w:t>There have not been any urban regeneration projects delivered within reporting period.</w:t>
            </w:r>
          </w:p>
        </w:tc>
      </w:tr>
      <w:tr w:rsidR="00424AFD" w:rsidRPr="00D87B3A" w:rsidTr="00DD6D6D">
        <w:trPr>
          <w:trHeight w:val="315"/>
        </w:trPr>
        <w:tc>
          <w:tcPr>
            <w:tcW w:w="14885" w:type="dxa"/>
            <w:gridSpan w:val="12"/>
            <w:tcBorders>
              <w:top w:val="single" w:sz="8" w:space="0" w:color="00B0F0"/>
              <w:left w:val="nil"/>
              <w:right w:val="nil"/>
            </w:tcBorders>
            <w:shd w:val="clear" w:color="auto" w:fill="B7ECFF"/>
            <w:hideMark/>
          </w:tcPr>
          <w:p w:rsidR="00424AFD" w:rsidRPr="00D87B3A" w:rsidRDefault="00424AFD" w:rsidP="00563C30">
            <w:pPr>
              <w:spacing w:after="0" w:line="240" w:lineRule="auto"/>
              <w:rPr>
                <w:rFonts w:eastAsia="Times New Roman" w:cstheme="minorHAnsi"/>
                <w:b/>
                <w:i/>
                <w:lang w:eastAsia="en-NZ"/>
              </w:rPr>
            </w:pPr>
            <w:r w:rsidRPr="00D87B3A">
              <w:rPr>
                <w:rFonts w:eastAsia="Times New Roman" w:cstheme="minorHAnsi"/>
                <w:b/>
                <w:i/>
                <w:lang w:eastAsia="en-NZ"/>
              </w:rPr>
              <w:t>Protecting heritage</w:t>
            </w:r>
          </w:p>
        </w:tc>
      </w:tr>
      <w:tr w:rsidR="00424AFD" w:rsidRPr="00D87B3A" w:rsidTr="00DD6D6D">
        <w:trPr>
          <w:trHeight w:val="145"/>
        </w:trPr>
        <w:tc>
          <w:tcPr>
            <w:tcW w:w="3958" w:type="dxa"/>
            <w:gridSpan w:val="2"/>
            <w:tcBorders>
              <w:left w:val="nil"/>
              <w:bottom w:val="single" w:sz="8" w:space="0" w:color="00B0F0"/>
              <w:right w:val="single" w:sz="8" w:space="0" w:color="00B0F0"/>
            </w:tcBorders>
            <w:shd w:val="clear" w:color="auto" w:fill="auto"/>
            <w:hideMark/>
          </w:tcPr>
          <w:p w:rsidR="00424AFD" w:rsidRPr="00D87B3A" w:rsidRDefault="00424AFD" w:rsidP="00563C30">
            <w:pPr>
              <w:spacing w:after="0" w:line="240" w:lineRule="auto"/>
              <w:rPr>
                <w:rFonts w:eastAsia="Times New Roman" w:cstheme="minorHAnsi"/>
                <w:color w:val="000000"/>
                <w:sz w:val="20"/>
                <w:lang w:eastAsia="en-NZ"/>
              </w:rPr>
            </w:pPr>
            <w:r w:rsidRPr="00D87B3A">
              <w:rPr>
                <w:rFonts w:eastAsia="Times New Roman" w:cstheme="minorHAnsi"/>
                <w:color w:val="000000"/>
                <w:sz w:val="20"/>
                <w:lang w:eastAsia="en-NZ"/>
              </w:rPr>
              <w:t>Residents (%) who agree heritage items are adequately valued and protected in the city</w:t>
            </w:r>
          </w:p>
        </w:tc>
        <w:tc>
          <w:tcPr>
            <w:tcW w:w="1147" w:type="dxa"/>
            <w:tcBorders>
              <w:left w:val="nil"/>
              <w:bottom w:val="single" w:sz="8" w:space="0" w:color="00B0F0"/>
              <w:right w:val="nil"/>
            </w:tcBorders>
            <w:shd w:val="clear" w:color="auto" w:fill="auto"/>
            <w:noWrap/>
            <w:hideMark/>
          </w:tcPr>
          <w:p w:rsidR="00424AFD" w:rsidRPr="00D87B3A" w:rsidRDefault="00424AFD" w:rsidP="00563C30">
            <w:pPr>
              <w:spacing w:after="0" w:line="240" w:lineRule="auto"/>
              <w:jc w:val="right"/>
              <w:rPr>
                <w:rFonts w:eastAsia="Times New Roman" w:cstheme="minorHAnsi"/>
                <w:color w:val="000000"/>
                <w:sz w:val="20"/>
                <w:lang w:eastAsia="en-NZ"/>
              </w:rPr>
            </w:pPr>
            <w:r w:rsidRPr="00D87B3A">
              <w:rPr>
                <w:rFonts w:eastAsia="Times New Roman" w:cstheme="minorHAnsi"/>
                <w:color w:val="000000"/>
                <w:sz w:val="20"/>
                <w:lang w:eastAsia="en-NZ"/>
              </w:rPr>
              <w:t>66%</w:t>
            </w:r>
          </w:p>
        </w:tc>
        <w:tc>
          <w:tcPr>
            <w:tcW w:w="1135" w:type="dxa"/>
            <w:gridSpan w:val="2"/>
            <w:tcBorders>
              <w:left w:val="nil"/>
              <w:bottom w:val="single" w:sz="8" w:space="0" w:color="00B0F0"/>
              <w:right w:val="nil"/>
            </w:tcBorders>
            <w:shd w:val="clear" w:color="auto" w:fill="auto"/>
            <w:noWrap/>
            <w:hideMark/>
          </w:tcPr>
          <w:p w:rsidR="00424AFD" w:rsidRPr="00D87B3A" w:rsidRDefault="00424AFD" w:rsidP="00563C30">
            <w:pPr>
              <w:spacing w:after="0" w:line="240" w:lineRule="auto"/>
              <w:jc w:val="right"/>
              <w:rPr>
                <w:rFonts w:eastAsia="Times New Roman" w:cstheme="minorHAnsi"/>
                <w:color w:val="000000"/>
                <w:sz w:val="20"/>
                <w:lang w:eastAsia="en-NZ"/>
              </w:rPr>
            </w:pPr>
            <w:r w:rsidRPr="00D87B3A">
              <w:rPr>
                <w:rFonts w:eastAsia="Times New Roman" w:cstheme="minorHAnsi"/>
                <w:color w:val="000000"/>
                <w:sz w:val="20"/>
                <w:lang w:eastAsia="en-NZ"/>
              </w:rPr>
              <w:t>70%</w:t>
            </w:r>
          </w:p>
        </w:tc>
        <w:tc>
          <w:tcPr>
            <w:tcW w:w="1172" w:type="dxa"/>
            <w:gridSpan w:val="2"/>
            <w:tcBorders>
              <w:left w:val="nil"/>
              <w:bottom w:val="single" w:sz="8" w:space="0" w:color="00B0F0"/>
              <w:right w:val="nil"/>
            </w:tcBorders>
            <w:shd w:val="clear" w:color="auto" w:fill="auto"/>
            <w:noWrap/>
            <w:hideMark/>
          </w:tcPr>
          <w:p w:rsidR="00424AFD" w:rsidRPr="00D87B3A" w:rsidRDefault="00424AFD" w:rsidP="00563C30">
            <w:pPr>
              <w:spacing w:after="0" w:line="240" w:lineRule="auto"/>
              <w:jc w:val="right"/>
              <w:rPr>
                <w:rFonts w:eastAsia="Times New Roman" w:cstheme="minorHAnsi"/>
                <w:color w:val="000000"/>
                <w:sz w:val="20"/>
                <w:lang w:eastAsia="en-NZ"/>
              </w:rPr>
            </w:pPr>
            <w:r w:rsidRPr="00D87B3A">
              <w:rPr>
                <w:rFonts w:eastAsia="Times New Roman" w:cstheme="minorHAnsi"/>
                <w:color w:val="000000"/>
                <w:sz w:val="20"/>
                <w:lang w:eastAsia="en-NZ"/>
              </w:rPr>
              <w:t>63%</w:t>
            </w:r>
          </w:p>
        </w:tc>
        <w:tc>
          <w:tcPr>
            <w:tcW w:w="1175" w:type="dxa"/>
            <w:tcBorders>
              <w:left w:val="nil"/>
              <w:bottom w:val="single" w:sz="8" w:space="0" w:color="00B0F0"/>
              <w:right w:val="nil"/>
            </w:tcBorders>
            <w:shd w:val="clear" w:color="000000" w:fill="D9D9D9"/>
            <w:hideMark/>
          </w:tcPr>
          <w:p w:rsidR="00424AFD" w:rsidRPr="00D87B3A" w:rsidRDefault="00424AFD" w:rsidP="00563C30">
            <w:pPr>
              <w:spacing w:after="0" w:line="240" w:lineRule="auto"/>
              <w:jc w:val="right"/>
              <w:rPr>
                <w:rFonts w:eastAsia="Times New Roman" w:cstheme="minorHAnsi"/>
                <w:color w:val="000000"/>
                <w:sz w:val="20"/>
                <w:lang w:eastAsia="en-NZ"/>
              </w:rPr>
            </w:pPr>
            <w:r w:rsidRPr="00D87B3A">
              <w:rPr>
                <w:rFonts w:eastAsia="Times New Roman" w:cstheme="minorHAnsi"/>
                <w:color w:val="000000"/>
                <w:sz w:val="20"/>
                <w:lang w:eastAsia="en-NZ"/>
              </w:rPr>
              <w:t>65%</w:t>
            </w:r>
          </w:p>
        </w:tc>
        <w:tc>
          <w:tcPr>
            <w:tcW w:w="783" w:type="dxa"/>
            <w:tcBorders>
              <w:left w:val="nil"/>
              <w:bottom w:val="single" w:sz="8" w:space="0" w:color="00B0F0"/>
              <w:right w:val="nil"/>
            </w:tcBorders>
            <w:shd w:val="clear" w:color="auto" w:fill="auto"/>
            <w:hideMark/>
          </w:tcPr>
          <w:p w:rsidR="00424AFD" w:rsidRPr="00D87B3A" w:rsidRDefault="00424AFD" w:rsidP="00563C30">
            <w:pPr>
              <w:spacing w:after="0" w:line="240" w:lineRule="auto"/>
              <w:jc w:val="right"/>
              <w:rPr>
                <w:rFonts w:eastAsia="Times New Roman" w:cstheme="minorHAnsi"/>
                <w:color w:val="000000"/>
                <w:sz w:val="20"/>
                <w:lang w:eastAsia="en-NZ"/>
              </w:rPr>
            </w:pPr>
            <w:r w:rsidRPr="00D87B3A">
              <w:rPr>
                <w:rFonts w:eastAsia="Times New Roman" w:cstheme="minorHAnsi"/>
                <w:color w:val="000000"/>
                <w:sz w:val="20"/>
                <w:lang w:eastAsia="en-NZ"/>
              </w:rPr>
              <w:t>-3%</w:t>
            </w:r>
          </w:p>
        </w:tc>
        <w:tc>
          <w:tcPr>
            <w:tcW w:w="979" w:type="dxa"/>
            <w:gridSpan w:val="2"/>
            <w:tcBorders>
              <w:left w:val="nil"/>
              <w:bottom w:val="single" w:sz="8" w:space="0" w:color="00B0F0"/>
              <w:right w:val="single" w:sz="8" w:space="0" w:color="00B0F0"/>
            </w:tcBorders>
            <w:shd w:val="clear" w:color="auto" w:fill="auto"/>
            <w:hideMark/>
          </w:tcPr>
          <w:p w:rsidR="00424AFD" w:rsidRPr="00D87B3A" w:rsidRDefault="00DD6D6D" w:rsidP="00563C30">
            <w:pPr>
              <w:spacing w:after="0" w:line="240" w:lineRule="auto"/>
              <w:jc w:val="right"/>
              <w:rPr>
                <w:rFonts w:eastAsia="Times New Roman" w:cstheme="minorHAnsi"/>
                <w:color w:val="000000"/>
                <w:sz w:val="20"/>
                <w:lang w:eastAsia="en-NZ"/>
              </w:rPr>
            </w:pPr>
            <w:r>
              <w:rPr>
                <w:rFonts w:eastAsia="Times New Roman" w:cstheme="minorHAnsi"/>
                <w:color w:val="000000"/>
                <w:sz w:val="20"/>
                <w:lang w:eastAsia="en-NZ"/>
              </w:rPr>
              <w:t>Within 10%</w:t>
            </w:r>
          </w:p>
        </w:tc>
        <w:tc>
          <w:tcPr>
            <w:tcW w:w="4536" w:type="dxa"/>
            <w:tcBorders>
              <w:left w:val="single" w:sz="8" w:space="0" w:color="00B0F0"/>
              <w:bottom w:val="single" w:sz="8" w:space="0" w:color="00B0F0"/>
              <w:right w:val="nil"/>
            </w:tcBorders>
            <w:shd w:val="clear" w:color="auto" w:fill="auto"/>
            <w:hideMark/>
          </w:tcPr>
          <w:p w:rsidR="00424AFD" w:rsidRPr="00D87B3A" w:rsidRDefault="00424AFD" w:rsidP="00563C30">
            <w:pPr>
              <w:spacing w:after="0" w:line="240" w:lineRule="auto"/>
              <w:jc w:val="right"/>
              <w:rPr>
                <w:rFonts w:eastAsia="Times New Roman" w:cstheme="minorHAnsi"/>
                <w:color w:val="000000"/>
                <w:sz w:val="20"/>
                <w:lang w:eastAsia="en-NZ"/>
              </w:rPr>
            </w:pPr>
          </w:p>
        </w:tc>
      </w:tr>
      <w:tr w:rsidR="00424AFD" w:rsidRPr="00D87B3A" w:rsidTr="00DD6D6D">
        <w:trPr>
          <w:trHeight w:val="438"/>
        </w:trPr>
        <w:tc>
          <w:tcPr>
            <w:tcW w:w="3958" w:type="dxa"/>
            <w:gridSpan w:val="2"/>
            <w:tcBorders>
              <w:top w:val="nil"/>
              <w:left w:val="nil"/>
              <w:bottom w:val="single" w:sz="8" w:space="0" w:color="00B0F0"/>
              <w:right w:val="single" w:sz="8" w:space="0" w:color="00B0F0"/>
            </w:tcBorders>
            <w:shd w:val="clear" w:color="auto" w:fill="auto"/>
            <w:hideMark/>
          </w:tcPr>
          <w:p w:rsidR="00424AFD" w:rsidRPr="00D87B3A" w:rsidRDefault="00424AFD" w:rsidP="003856A0">
            <w:pPr>
              <w:spacing w:after="0" w:line="240" w:lineRule="auto"/>
              <w:rPr>
                <w:rFonts w:eastAsia="Times New Roman" w:cstheme="minorHAnsi"/>
                <w:color w:val="000000"/>
                <w:sz w:val="20"/>
                <w:lang w:eastAsia="en-NZ"/>
              </w:rPr>
            </w:pPr>
            <w:r w:rsidRPr="00D87B3A">
              <w:rPr>
                <w:rFonts w:eastAsia="Times New Roman" w:cstheme="minorHAnsi"/>
                <w:color w:val="000000"/>
                <w:sz w:val="20"/>
                <w:lang w:eastAsia="en-NZ"/>
              </w:rPr>
              <w:t xml:space="preserve">Number of heritage-listed buildings that are </w:t>
            </w:r>
            <w:r w:rsidR="003856A0" w:rsidRPr="00D87B3A">
              <w:rPr>
                <w:rFonts w:eastAsia="Times New Roman" w:cstheme="minorHAnsi"/>
                <w:color w:val="000000"/>
                <w:sz w:val="20"/>
                <w:lang w:eastAsia="en-NZ"/>
              </w:rPr>
              <w:t>earthquake</w:t>
            </w:r>
            <w:r w:rsidR="003856A0">
              <w:rPr>
                <w:rFonts w:eastAsia="Times New Roman" w:cstheme="minorHAnsi"/>
                <w:color w:val="000000"/>
                <w:sz w:val="20"/>
                <w:lang w:eastAsia="en-NZ"/>
              </w:rPr>
              <w:t>-</w:t>
            </w:r>
            <w:r w:rsidRPr="00D87B3A">
              <w:rPr>
                <w:rFonts w:eastAsia="Times New Roman" w:cstheme="minorHAnsi"/>
                <w:color w:val="000000"/>
                <w:sz w:val="20"/>
                <w:lang w:eastAsia="en-NZ"/>
              </w:rPr>
              <w:t>prone</w:t>
            </w:r>
          </w:p>
        </w:tc>
        <w:tc>
          <w:tcPr>
            <w:tcW w:w="1147" w:type="dxa"/>
            <w:tcBorders>
              <w:top w:val="single" w:sz="8" w:space="0" w:color="00B0F0"/>
              <w:left w:val="nil"/>
              <w:bottom w:val="single" w:sz="8" w:space="0" w:color="00B0F0"/>
              <w:right w:val="nil"/>
            </w:tcBorders>
            <w:shd w:val="clear" w:color="auto" w:fill="auto"/>
          </w:tcPr>
          <w:p w:rsidR="00424AFD" w:rsidRPr="00D87B3A" w:rsidRDefault="00424AFD" w:rsidP="00563C30">
            <w:pPr>
              <w:spacing w:after="0" w:line="240" w:lineRule="auto"/>
              <w:rPr>
                <w:rFonts w:eastAsia="Times New Roman" w:cstheme="minorHAnsi"/>
                <w:color w:val="000000"/>
                <w:sz w:val="20"/>
                <w:lang w:eastAsia="en-NZ"/>
              </w:rPr>
            </w:pPr>
          </w:p>
        </w:tc>
        <w:tc>
          <w:tcPr>
            <w:tcW w:w="1135" w:type="dxa"/>
            <w:gridSpan w:val="2"/>
            <w:tcBorders>
              <w:top w:val="single" w:sz="8" w:space="0" w:color="00B0F0"/>
              <w:left w:val="nil"/>
              <w:bottom w:val="single" w:sz="8" w:space="0" w:color="00B0F0"/>
              <w:right w:val="nil"/>
            </w:tcBorders>
            <w:shd w:val="clear" w:color="auto" w:fill="auto"/>
            <w:noWrap/>
            <w:hideMark/>
          </w:tcPr>
          <w:p w:rsidR="00424AFD" w:rsidRPr="00D87B3A" w:rsidRDefault="00424AFD" w:rsidP="00563C30">
            <w:pPr>
              <w:spacing w:after="0" w:line="240" w:lineRule="auto"/>
              <w:jc w:val="right"/>
              <w:rPr>
                <w:rFonts w:eastAsia="Times New Roman" w:cstheme="minorHAnsi"/>
                <w:color w:val="000000"/>
                <w:sz w:val="20"/>
                <w:lang w:eastAsia="en-NZ"/>
              </w:rPr>
            </w:pPr>
            <w:r w:rsidRPr="00D87B3A">
              <w:rPr>
                <w:rFonts w:eastAsia="Times New Roman" w:cstheme="minorHAnsi"/>
                <w:color w:val="000000"/>
                <w:sz w:val="20"/>
                <w:lang w:eastAsia="en-NZ"/>
              </w:rPr>
              <w:t>New</w:t>
            </w:r>
          </w:p>
        </w:tc>
        <w:tc>
          <w:tcPr>
            <w:tcW w:w="1172" w:type="dxa"/>
            <w:gridSpan w:val="2"/>
            <w:tcBorders>
              <w:top w:val="single" w:sz="8" w:space="0" w:color="00B0F0"/>
              <w:left w:val="nil"/>
              <w:bottom w:val="single" w:sz="8" w:space="0" w:color="00B0F0"/>
              <w:right w:val="nil"/>
            </w:tcBorders>
            <w:shd w:val="clear" w:color="auto" w:fill="FFFFFF" w:themeFill="background1"/>
            <w:noWrap/>
            <w:hideMark/>
          </w:tcPr>
          <w:p w:rsidR="00424AFD" w:rsidRPr="00D87B3A" w:rsidRDefault="00424AFD" w:rsidP="00563C30">
            <w:pPr>
              <w:spacing w:after="0" w:line="240" w:lineRule="auto"/>
              <w:jc w:val="right"/>
              <w:rPr>
                <w:rFonts w:eastAsia="Times New Roman" w:cstheme="minorHAnsi"/>
                <w:color w:val="000000"/>
                <w:sz w:val="20"/>
                <w:lang w:eastAsia="en-NZ"/>
              </w:rPr>
            </w:pPr>
            <w:r w:rsidRPr="00D87B3A">
              <w:rPr>
                <w:rFonts w:eastAsia="Times New Roman" w:cstheme="minorHAnsi"/>
                <w:color w:val="000000"/>
                <w:sz w:val="20"/>
                <w:lang w:eastAsia="en-NZ"/>
              </w:rPr>
              <w:t>143</w:t>
            </w:r>
          </w:p>
        </w:tc>
        <w:tc>
          <w:tcPr>
            <w:tcW w:w="1175" w:type="dxa"/>
            <w:tcBorders>
              <w:top w:val="single" w:sz="8" w:space="0" w:color="00B0F0"/>
              <w:left w:val="nil"/>
              <w:bottom w:val="single" w:sz="8" w:space="0" w:color="00B0F0"/>
              <w:right w:val="nil"/>
            </w:tcBorders>
            <w:shd w:val="clear" w:color="000000" w:fill="D9D9D9"/>
            <w:hideMark/>
          </w:tcPr>
          <w:p w:rsidR="00424AFD" w:rsidRPr="00D87B3A" w:rsidRDefault="00424AFD" w:rsidP="00563C30">
            <w:pPr>
              <w:spacing w:after="0" w:line="240" w:lineRule="auto"/>
              <w:jc w:val="right"/>
              <w:rPr>
                <w:rFonts w:eastAsia="Times New Roman" w:cstheme="minorHAnsi"/>
                <w:color w:val="000000"/>
                <w:sz w:val="20"/>
                <w:lang w:eastAsia="en-NZ"/>
              </w:rPr>
            </w:pPr>
            <w:r w:rsidRPr="00D87B3A">
              <w:rPr>
                <w:rFonts w:eastAsia="Times New Roman" w:cstheme="minorHAnsi"/>
                <w:color w:val="000000"/>
                <w:sz w:val="20"/>
                <w:lang w:eastAsia="en-NZ"/>
              </w:rPr>
              <w:t>Baseline</w:t>
            </w:r>
          </w:p>
        </w:tc>
        <w:tc>
          <w:tcPr>
            <w:tcW w:w="783" w:type="dxa"/>
            <w:tcBorders>
              <w:top w:val="single" w:sz="8" w:space="0" w:color="00B0F0"/>
              <w:left w:val="nil"/>
              <w:bottom w:val="single" w:sz="8" w:space="0" w:color="00B0F0"/>
              <w:right w:val="nil"/>
            </w:tcBorders>
            <w:shd w:val="clear" w:color="auto" w:fill="auto"/>
          </w:tcPr>
          <w:p w:rsidR="00424AFD" w:rsidRPr="00D87B3A" w:rsidRDefault="00424AFD" w:rsidP="00563C30">
            <w:pPr>
              <w:spacing w:after="0" w:line="240" w:lineRule="auto"/>
              <w:jc w:val="right"/>
              <w:rPr>
                <w:rFonts w:eastAsia="Times New Roman" w:cstheme="minorHAnsi"/>
                <w:color w:val="000000"/>
                <w:sz w:val="20"/>
                <w:lang w:eastAsia="en-NZ"/>
              </w:rPr>
            </w:pPr>
          </w:p>
        </w:tc>
        <w:tc>
          <w:tcPr>
            <w:tcW w:w="979" w:type="dxa"/>
            <w:gridSpan w:val="2"/>
            <w:tcBorders>
              <w:top w:val="single" w:sz="8" w:space="0" w:color="00B0F0"/>
              <w:left w:val="nil"/>
              <w:bottom w:val="single" w:sz="8" w:space="0" w:color="00B0F0"/>
              <w:right w:val="single" w:sz="8" w:space="0" w:color="00B0F0"/>
            </w:tcBorders>
            <w:shd w:val="clear" w:color="auto" w:fill="auto"/>
          </w:tcPr>
          <w:p w:rsidR="00424AFD" w:rsidRPr="00D87B3A" w:rsidRDefault="00424AFD" w:rsidP="00563C30">
            <w:pPr>
              <w:spacing w:after="0" w:line="240" w:lineRule="auto"/>
              <w:jc w:val="right"/>
              <w:rPr>
                <w:rFonts w:eastAsia="Times New Roman" w:cstheme="minorHAnsi"/>
                <w:color w:val="000000"/>
                <w:sz w:val="20"/>
                <w:lang w:eastAsia="en-NZ"/>
              </w:rPr>
            </w:pPr>
          </w:p>
        </w:tc>
        <w:tc>
          <w:tcPr>
            <w:tcW w:w="4536" w:type="dxa"/>
            <w:tcBorders>
              <w:top w:val="single" w:sz="8" w:space="0" w:color="00B0F0"/>
              <w:left w:val="single" w:sz="8" w:space="0" w:color="00B0F0"/>
              <w:bottom w:val="single" w:sz="8" w:space="0" w:color="00B0F0"/>
              <w:right w:val="nil"/>
            </w:tcBorders>
            <w:shd w:val="clear" w:color="auto" w:fill="auto"/>
            <w:hideMark/>
          </w:tcPr>
          <w:p w:rsidR="00424AFD" w:rsidRPr="00D87B3A" w:rsidRDefault="00424AFD" w:rsidP="00563C30">
            <w:pPr>
              <w:spacing w:after="0" w:line="240" w:lineRule="auto"/>
              <w:rPr>
                <w:rFonts w:eastAsia="Times New Roman" w:cstheme="minorHAnsi"/>
                <w:color w:val="000000"/>
                <w:sz w:val="20"/>
                <w:lang w:eastAsia="en-NZ"/>
              </w:rPr>
            </w:pPr>
          </w:p>
        </w:tc>
      </w:tr>
      <w:tr w:rsidR="00424AFD" w:rsidRPr="00D87B3A" w:rsidTr="00DD6D6D">
        <w:trPr>
          <w:trHeight w:val="525"/>
        </w:trPr>
        <w:tc>
          <w:tcPr>
            <w:tcW w:w="3958" w:type="dxa"/>
            <w:gridSpan w:val="2"/>
            <w:tcBorders>
              <w:top w:val="nil"/>
              <w:left w:val="nil"/>
              <w:bottom w:val="single" w:sz="8" w:space="0" w:color="00B0F0"/>
              <w:right w:val="single" w:sz="8" w:space="0" w:color="00B0F0"/>
            </w:tcBorders>
            <w:shd w:val="clear" w:color="auto" w:fill="auto"/>
            <w:hideMark/>
          </w:tcPr>
          <w:p w:rsidR="00424AFD" w:rsidRPr="00D87B3A" w:rsidRDefault="00424AFD" w:rsidP="00563C30">
            <w:pPr>
              <w:spacing w:after="0" w:line="240" w:lineRule="auto"/>
              <w:rPr>
                <w:rFonts w:eastAsia="Times New Roman" w:cstheme="minorHAnsi"/>
                <w:color w:val="000000"/>
                <w:sz w:val="20"/>
                <w:lang w:eastAsia="en-NZ"/>
              </w:rPr>
            </w:pPr>
            <w:r w:rsidRPr="00D87B3A">
              <w:rPr>
                <w:rFonts w:eastAsia="Times New Roman" w:cstheme="minorHAnsi"/>
                <w:color w:val="000000"/>
                <w:sz w:val="20"/>
                <w:lang w:eastAsia="en-NZ"/>
              </w:rPr>
              <w:t>Residents (%) who agree that the character of historic suburbs is adequately retained</w:t>
            </w:r>
          </w:p>
        </w:tc>
        <w:tc>
          <w:tcPr>
            <w:tcW w:w="1147" w:type="dxa"/>
            <w:tcBorders>
              <w:top w:val="single" w:sz="8" w:space="0" w:color="00B0F0"/>
              <w:left w:val="nil"/>
              <w:bottom w:val="nil"/>
              <w:right w:val="nil"/>
            </w:tcBorders>
            <w:shd w:val="clear" w:color="auto" w:fill="auto"/>
          </w:tcPr>
          <w:p w:rsidR="00424AFD" w:rsidRPr="00D87B3A" w:rsidRDefault="00424AFD" w:rsidP="00563C30">
            <w:pPr>
              <w:spacing w:after="0" w:line="240" w:lineRule="auto"/>
              <w:rPr>
                <w:rFonts w:eastAsia="Times New Roman" w:cstheme="minorHAnsi"/>
                <w:color w:val="000000"/>
                <w:sz w:val="20"/>
                <w:lang w:eastAsia="en-NZ"/>
              </w:rPr>
            </w:pPr>
          </w:p>
        </w:tc>
        <w:tc>
          <w:tcPr>
            <w:tcW w:w="1135" w:type="dxa"/>
            <w:gridSpan w:val="2"/>
            <w:tcBorders>
              <w:top w:val="single" w:sz="8" w:space="0" w:color="00B0F0"/>
              <w:left w:val="nil"/>
              <w:bottom w:val="nil"/>
              <w:right w:val="nil"/>
            </w:tcBorders>
            <w:shd w:val="clear" w:color="auto" w:fill="auto"/>
            <w:noWrap/>
            <w:hideMark/>
          </w:tcPr>
          <w:p w:rsidR="00424AFD" w:rsidRPr="00D87B3A" w:rsidRDefault="00424AFD" w:rsidP="00563C30">
            <w:pPr>
              <w:spacing w:after="0" w:line="240" w:lineRule="auto"/>
              <w:jc w:val="right"/>
              <w:rPr>
                <w:rFonts w:eastAsia="Times New Roman" w:cstheme="minorHAnsi"/>
                <w:color w:val="000000"/>
                <w:sz w:val="20"/>
                <w:lang w:eastAsia="en-NZ"/>
              </w:rPr>
            </w:pPr>
            <w:r w:rsidRPr="00D87B3A">
              <w:rPr>
                <w:rFonts w:eastAsia="Times New Roman" w:cstheme="minorHAnsi"/>
                <w:color w:val="000000"/>
                <w:sz w:val="20"/>
                <w:lang w:eastAsia="en-NZ"/>
              </w:rPr>
              <w:t>New</w:t>
            </w:r>
          </w:p>
        </w:tc>
        <w:tc>
          <w:tcPr>
            <w:tcW w:w="1172" w:type="dxa"/>
            <w:gridSpan w:val="2"/>
            <w:tcBorders>
              <w:top w:val="single" w:sz="8" w:space="0" w:color="00B0F0"/>
              <w:left w:val="nil"/>
              <w:bottom w:val="nil"/>
              <w:right w:val="nil"/>
            </w:tcBorders>
            <w:shd w:val="clear" w:color="auto" w:fill="auto"/>
            <w:noWrap/>
            <w:hideMark/>
          </w:tcPr>
          <w:p w:rsidR="00424AFD" w:rsidRPr="00D87B3A" w:rsidRDefault="00424AFD" w:rsidP="00563C30">
            <w:pPr>
              <w:spacing w:after="0" w:line="240" w:lineRule="auto"/>
              <w:jc w:val="right"/>
              <w:rPr>
                <w:rFonts w:eastAsia="Times New Roman" w:cstheme="minorHAnsi"/>
                <w:color w:val="000000"/>
                <w:sz w:val="20"/>
                <w:lang w:eastAsia="en-NZ"/>
              </w:rPr>
            </w:pPr>
            <w:r w:rsidRPr="00D87B3A">
              <w:rPr>
                <w:rFonts w:eastAsia="Times New Roman" w:cstheme="minorHAnsi"/>
                <w:color w:val="000000"/>
                <w:sz w:val="20"/>
                <w:lang w:eastAsia="en-NZ"/>
              </w:rPr>
              <w:t>63%</w:t>
            </w:r>
          </w:p>
        </w:tc>
        <w:tc>
          <w:tcPr>
            <w:tcW w:w="1175" w:type="dxa"/>
            <w:tcBorders>
              <w:top w:val="single" w:sz="8" w:space="0" w:color="00B0F0"/>
              <w:left w:val="nil"/>
              <w:bottom w:val="single" w:sz="8" w:space="0" w:color="00B0F0"/>
              <w:right w:val="nil"/>
            </w:tcBorders>
            <w:shd w:val="clear" w:color="000000" w:fill="D9D9D9"/>
            <w:hideMark/>
          </w:tcPr>
          <w:p w:rsidR="00424AFD" w:rsidRPr="00D87B3A" w:rsidRDefault="00424AFD" w:rsidP="00563C30">
            <w:pPr>
              <w:spacing w:after="0" w:line="240" w:lineRule="auto"/>
              <w:jc w:val="right"/>
              <w:rPr>
                <w:rFonts w:eastAsia="Times New Roman" w:cstheme="minorHAnsi"/>
                <w:color w:val="000000"/>
                <w:sz w:val="20"/>
                <w:lang w:eastAsia="en-NZ"/>
              </w:rPr>
            </w:pPr>
            <w:r w:rsidRPr="00D87B3A">
              <w:rPr>
                <w:rFonts w:eastAsia="Times New Roman" w:cstheme="minorHAnsi"/>
                <w:color w:val="000000"/>
                <w:sz w:val="20"/>
                <w:lang w:eastAsia="en-NZ"/>
              </w:rPr>
              <w:t>70%</w:t>
            </w:r>
          </w:p>
        </w:tc>
        <w:tc>
          <w:tcPr>
            <w:tcW w:w="783" w:type="dxa"/>
            <w:tcBorders>
              <w:top w:val="single" w:sz="8" w:space="0" w:color="00B0F0"/>
              <w:left w:val="nil"/>
              <w:bottom w:val="nil"/>
              <w:right w:val="nil"/>
            </w:tcBorders>
            <w:shd w:val="clear" w:color="auto" w:fill="auto"/>
            <w:hideMark/>
          </w:tcPr>
          <w:p w:rsidR="00424AFD" w:rsidRPr="00D87B3A" w:rsidRDefault="00424AFD" w:rsidP="00563C30">
            <w:pPr>
              <w:spacing w:after="0" w:line="240" w:lineRule="auto"/>
              <w:jc w:val="right"/>
              <w:rPr>
                <w:rFonts w:eastAsia="Times New Roman" w:cstheme="minorHAnsi"/>
                <w:color w:val="000000"/>
                <w:sz w:val="20"/>
                <w:lang w:eastAsia="en-NZ"/>
              </w:rPr>
            </w:pPr>
            <w:r w:rsidRPr="00D87B3A">
              <w:rPr>
                <w:rFonts w:eastAsia="Times New Roman" w:cstheme="minorHAnsi"/>
                <w:color w:val="000000"/>
                <w:sz w:val="20"/>
                <w:lang w:eastAsia="en-NZ"/>
              </w:rPr>
              <w:t>-10%</w:t>
            </w:r>
          </w:p>
        </w:tc>
        <w:tc>
          <w:tcPr>
            <w:tcW w:w="979" w:type="dxa"/>
            <w:gridSpan w:val="2"/>
            <w:tcBorders>
              <w:top w:val="single" w:sz="8" w:space="0" w:color="00B0F0"/>
              <w:left w:val="nil"/>
              <w:bottom w:val="nil"/>
              <w:right w:val="single" w:sz="8" w:space="0" w:color="00B0F0"/>
            </w:tcBorders>
            <w:shd w:val="clear" w:color="auto" w:fill="auto"/>
            <w:hideMark/>
          </w:tcPr>
          <w:p w:rsidR="00424AFD" w:rsidRPr="00D87B3A" w:rsidRDefault="00DD6D6D" w:rsidP="00563C30">
            <w:pPr>
              <w:spacing w:after="0" w:line="240" w:lineRule="auto"/>
              <w:jc w:val="right"/>
              <w:rPr>
                <w:rFonts w:eastAsia="Times New Roman" w:cstheme="minorHAnsi"/>
                <w:color w:val="000000"/>
                <w:sz w:val="20"/>
                <w:lang w:eastAsia="en-NZ"/>
              </w:rPr>
            </w:pPr>
            <w:r>
              <w:rPr>
                <w:rFonts w:eastAsia="Times New Roman" w:cstheme="minorHAnsi"/>
                <w:color w:val="000000"/>
                <w:sz w:val="20"/>
                <w:lang w:eastAsia="en-NZ"/>
              </w:rPr>
              <w:t>Within 10%</w:t>
            </w:r>
          </w:p>
        </w:tc>
        <w:tc>
          <w:tcPr>
            <w:tcW w:w="4536" w:type="dxa"/>
            <w:tcBorders>
              <w:top w:val="single" w:sz="8" w:space="0" w:color="00B0F0"/>
              <w:left w:val="single" w:sz="8" w:space="0" w:color="00B0F0"/>
              <w:bottom w:val="nil"/>
              <w:right w:val="nil"/>
            </w:tcBorders>
            <w:shd w:val="clear" w:color="auto" w:fill="auto"/>
            <w:hideMark/>
          </w:tcPr>
          <w:p w:rsidR="00424AFD" w:rsidRPr="00D87B3A" w:rsidRDefault="00424AFD" w:rsidP="00563C30">
            <w:pPr>
              <w:spacing w:after="0" w:line="240" w:lineRule="auto"/>
              <w:jc w:val="right"/>
              <w:rPr>
                <w:rFonts w:eastAsia="Times New Roman" w:cstheme="minorHAnsi"/>
                <w:color w:val="000000"/>
                <w:sz w:val="20"/>
                <w:lang w:eastAsia="en-NZ"/>
              </w:rPr>
            </w:pPr>
          </w:p>
        </w:tc>
      </w:tr>
      <w:tr w:rsidR="00424AFD" w:rsidRPr="00D87B3A" w:rsidTr="00DD6D6D">
        <w:trPr>
          <w:trHeight w:val="255"/>
        </w:trPr>
        <w:tc>
          <w:tcPr>
            <w:tcW w:w="14885" w:type="dxa"/>
            <w:gridSpan w:val="12"/>
            <w:tcBorders>
              <w:top w:val="nil"/>
              <w:left w:val="nil"/>
              <w:right w:val="nil"/>
            </w:tcBorders>
            <w:shd w:val="clear" w:color="000000" w:fill="00B0F0"/>
            <w:hideMark/>
          </w:tcPr>
          <w:p w:rsidR="00424AFD" w:rsidRPr="00D87B3A" w:rsidRDefault="00424AFD" w:rsidP="00563C30">
            <w:pPr>
              <w:spacing w:after="0" w:line="240" w:lineRule="auto"/>
              <w:rPr>
                <w:rFonts w:eastAsia="Times New Roman" w:cstheme="minorHAnsi"/>
                <w:b/>
                <w:bCs/>
                <w:color w:val="FFFFFF"/>
                <w:sz w:val="24"/>
                <w:lang w:eastAsia="en-NZ"/>
              </w:rPr>
            </w:pPr>
            <w:r w:rsidRPr="00D87B3A">
              <w:rPr>
                <w:rFonts w:eastAsia="Times New Roman" w:cstheme="minorHAnsi"/>
                <w:b/>
                <w:bCs/>
                <w:color w:val="FFFFFF"/>
                <w:sz w:val="24"/>
                <w:lang w:eastAsia="en-NZ"/>
              </w:rPr>
              <w:t>6.2 Building and development</w:t>
            </w:r>
          </w:p>
        </w:tc>
      </w:tr>
      <w:tr w:rsidR="00424AFD" w:rsidRPr="00D87B3A" w:rsidTr="00DD6D6D">
        <w:trPr>
          <w:trHeight w:val="315"/>
        </w:trPr>
        <w:tc>
          <w:tcPr>
            <w:tcW w:w="14885" w:type="dxa"/>
            <w:gridSpan w:val="12"/>
            <w:tcBorders>
              <w:top w:val="nil"/>
              <w:left w:val="nil"/>
              <w:right w:val="nil"/>
            </w:tcBorders>
            <w:shd w:val="clear" w:color="auto" w:fill="B7ECFF"/>
            <w:hideMark/>
          </w:tcPr>
          <w:p w:rsidR="00424AFD" w:rsidRPr="00D87B3A" w:rsidRDefault="00424AFD" w:rsidP="00563C30">
            <w:pPr>
              <w:spacing w:after="0" w:line="240" w:lineRule="auto"/>
              <w:rPr>
                <w:rFonts w:eastAsia="Times New Roman" w:cstheme="minorHAnsi"/>
                <w:b/>
                <w:i/>
                <w:lang w:eastAsia="en-NZ"/>
              </w:rPr>
            </w:pPr>
            <w:r w:rsidRPr="00D87B3A">
              <w:rPr>
                <w:rFonts w:eastAsia="Times New Roman" w:cstheme="minorHAnsi"/>
                <w:b/>
                <w:i/>
                <w:lang w:eastAsia="en-NZ"/>
              </w:rPr>
              <w:t>Effective planning</w:t>
            </w:r>
          </w:p>
        </w:tc>
      </w:tr>
      <w:tr w:rsidR="00424AFD" w:rsidRPr="00D87B3A" w:rsidTr="00DD6D6D">
        <w:trPr>
          <w:trHeight w:val="780"/>
        </w:trPr>
        <w:tc>
          <w:tcPr>
            <w:tcW w:w="3952" w:type="dxa"/>
            <w:tcBorders>
              <w:left w:val="nil"/>
              <w:right w:val="single" w:sz="8" w:space="0" w:color="00B0F0"/>
            </w:tcBorders>
            <w:shd w:val="clear" w:color="auto" w:fill="auto"/>
            <w:hideMark/>
          </w:tcPr>
          <w:p w:rsidR="00424AFD" w:rsidRPr="00D87B3A" w:rsidRDefault="00424AFD" w:rsidP="00563C30">
            <w:pPr>
              <w:spacing w:after="0" w:line="240" w:lineRule="auto"/>
              <w:rPr>
                <w:rFonts w:eastAsia="Times New Roman" w:cstheme="minorHAnsi"/>
                <w:color w:val="000000"/>
                <w:sz w:val="20"/>
                <w:lang w:eastAsia="en-NZ"/>
              </w:rPr>
            </w:pPr>
            <w:r w:rsidRPr="00D87B3A">
              <w:rPr>
                <w:rFonts w:eastAsia="Times New Roman" w:cstheme="minorHAnsi"/>
                <w:color w:val="000000"/>
                <w:sz w:val="20"/>
                <w:lang w:eastAsia="en-NZ"/>
              </w:rPr>
              <w:t xml:space="preserve">Residents' agreement that our building and development control settings strike the right balance between allowing development and preserving the character of the city </w:t>
            </w:r>
          </w:p>
        </w:tc>
        <w:tc>
          <w:tcPr>
            <w:tcW w:w="1153" w:type="dxa"/>
            <w:gridSpan w:val="2"/>
            <w:tcBorders>
              <w:left w:val="nil"/>
              <w:right w:val="nil"/>
            </w:tcBorders>
            <w:shd w:val="clear" w:color="auto" w:fill="auto"/>
          </w:tcPr>
          <w:p w:rsidR="00424AFD" w:rsidRPr="00D87B3A" w:rsidRDefault="00424AFD" w:rsidP="00563C30">
            <w:pPr>
              <w:spacing w:after="0" w:line="240" w:lineRule="auto"/>
              <w:rPr>
                <w:rFonts w:eastAsia="Times New Roman" w:cstheme="minorHAnsi"/>
                <w:color w:val="000000"/>
                <w:sz w:val="20"/>
                <w:lang w:eastAsia="en-NZ"/>
              </w:rPr>
            </w:pPr>
          </w:p>
        </w:tc>
        <w:tc>
          <w:tcPr>
            <w:tcW w:w="1154" w:type="dxa"/>
            <w:gridSpan w:val="3"/>
            <w:tcBorders>
              <w:left w:val="nil"/>
              <w:right w:val="nil"/>
            </w:tcBorders>
            <w:shd w:val="clear" w:color="auto" w:fill="auto"/>
            <w:noWrap/>
            <w:hideMark/>
          </w:tcPr>
          <w:p w:rsidR="00424AFD" w:rsidRPr="00D87B3A" w:rsidRDefault="00424AFD" w:rsidP="00563C30">
            <w:pPr>
              <w:spacing w:after="0" w:line="240" w:lineRule="auto"/>
              <w:jc w:val="right"/>
              <w:rPr>
                <w:rFonts w:eastAsia="Times New Roman" w:cstheme="minorHAnsi"/>
                <w:color w:val="000000"/>
                <w:sz w:val="20"/>
                <w:lang w:eastAsia="en-NZ"/>
              </w:rPr>
            </w:pPr>
            <w:r>
              <w:rPr>
                <w:rFonts w:eastAsia="Times New Roman" w:cstheme="minorHAnsi"/>
                <w:color w:val="000000"/>
                <w:sz w:val="20"/>
                <w:lang w:eastAsia="en-NZ"/>
              </w:rPr>
              <w:t>new</w:t>
            </w:r>
          </w:p>
        </w:tc>
        <w:tc>
          <w:tcPr>
            <w:tcW w:w="1153" w:type="dxa"/>
            <w:tcBorders>
              <w:left w:val="nil"/>
              <w:right w:val="nil"/>
            </w:tcBorders>
            <w:shd w:val="clear" w:color="auto" w:fill="auto"/>
            <w:noWrap/>
            <w:hideMark/>
          </w:tcPr>
          <w:p w:rsidR="00424AFD" w:rsidRPr="00D87B3A" w:rsidRDefault="00424AFD" w:rsidP="00563C30">
            <w:pPr>
              <w:spacing w:after="0" w:line="240" w:lineRule="auto"/>
              <w:jc w:val="right"/>
              <w:rPr>
                <w:rFonts w:eastAsia="Times New Roman" w:cstheme="minorHAnsi"/>
                <w:color w:val="000000"/>
                <w:sz w:val="20"/>
                <w:lang w:eastAsia="en-NZ"/>
              </w:rPr>
            </w:pPr>
            <w:r w:rsidRPr="00D87B3A">
              <w:rPr>
                <w:rFonts w:eastAsia="Times New Roman" w:cstheme="minorHAnsi"/>
                <w:color w:val="000000"/>
                <w:sz w:val="20"/>
                <w:lang w:eastAsia="en-NZ"/>
              </w:rPr>
              <w:t>48%</w:t>
            </w:r>
          </w:p>
        </w:tc>
        <w:tc>
          <w:tcPr>
            <w:tcW w:w="1175" w:type="dxa"/>
            <w:tcBorders>
              <w:left w:val="nil"/>
              <w:right w:val="nil"/>
            </w:tcBorders>
            <w:shd w:val="clear" w:color="000000" w:fill="D9D9D9"/>
            <w:hideMark/>
          </w:tcPr>
          <w:p w:rsidR="00424AFD" w:rsidRPr="00D87B3A" w:rsidRDefault="00424AFD" w:rsidP="00563C30">
            <w:pPr>
              <w:spacing w:after="0" w:line="240" w:lineRule="auto"/>
              <w:jc w:val="right"/>
              <w:rPr>
                <w:rFonts w:eastAsia="Times New Roman" w:cstheme="minorHAnsi"/>
                <w:color w:val="000000"/>
                <w:sz w:val="20"/>
                <w:lang w:eastAsia="en-NZ"/>
              </w:rPr>
            </w:pPr>
            <w:r w:rsidRPr="00D87B3A">
              <w:rPr>
                <w:rFonts w:eastAsia="Times New Roman" w:cstheme="minorHAnsi"/>
                <w:color w:val="000000"/>
                <w:sz w:val="20"/>
                <w:lang w:eastAsia="en-NZ"/>
              </w:rPr>
              <w:t>Baseline</w:t>
            </w:r>
          </w:p>
        </w:tc>
        <w:tc>
          <w:tcPr>
            <w:tcW w:w="800" w:type="dxa"/>
            <w:gridSpan w:val="2"/>
            <w:tcBorders>
              <w:left w:val="nil"/>
              <w:right w:val="nil"/>
            </w:tcBorders>
            <w:shd w:val="clear" w:color="auto" w:fill="auto"/>
          </w:tcPr>
          <w:p w:rsidR="00424AFD" w:rsidRPr="00D87B3A" w:rsidRDefault="00424AFD" w:rsidP="00563C30">
            <w:pPr>
              <w:spacing w:after="0" w:line="240" w:lineRule="auto"/>
              <w:jc w:val="right"/>
              <w:rPr>
                <w:rFonts w:eastAsia="Times New Roman" w:cstheme="minorHAnsi"/>
                <w:color w:val="000000"/>
                <w:sz w:val="20"/>
                <w:lang w:eastAsia="en-NZ"/>
              </w:rPr>
            </w:pPr>
          </w:p>
        </w:tc>
        <w:tc>
          <w:tcPr>
            <w:tcW w:w="962" w:type="dxa"/>
            <w:tcBorders>
              <w:left w:val="nil"/>
              <w:right w:val="single" w:sz="8" w:space="0" w:color="00B0F0"/>
            </w:tcBorders>
            <w:shd w:val="clear" w:color="auto" w:fill="auto"/>
          </w:tcPr>
          <w:p w:rsidR="00424AFD" w:rsidRPr="00D87B3A" w:rsidRDefault="00424AFD" w:rsidP="00563C30">
            <w:pPr>
              <w:spacing w:after="0" w:line="240" w:lineRule="auto"/>
              <w:jc w:val="right"/>
              <w:rPr>
                <w:rFonts w:eastAsia="Times New Roman" w:cstheme="minorHAnsi"/>
                <w:color w:val="000000"/>
                <w:sz w:val="20"/>
                <w:lang w:eastAsia="en-NZ"/>
              </w:rPr>
            </w:pPr>
          </w:p>
        </w:tc>
        <w:tc>
          <w:tcPr>
            <w:tcW w:w="4536" w:type="dxa"/>
            <w:tcBorders>
              <w:left w:val="single" w:sz="8" w:space="0" w:color="00B0F0"/>
              <w:right w:val="nil"/>
            </w:tcBorders>
            <w:shd w:val="clear" w:color="auto" w:fill="auto"/>
            <w:hideMark/>
          </w:tcPr>
          <w:p w:rsidR="00424AFD" w:rsidRPr="00D87B3A" w:rsidRDefault="00424AFD" w:rsidP="00563C30">
            <w:pPr>
              <w:spacing w:after="0" w:line="240" w:lineRule="auto"/>
              <w:jc w:val="right"/>
              <w:rPr>
                <w:rFonts w:eastAsia="Times New Roman" w:cstheme="minorHAnsi"/>
                <w:color w:val="000000"/>
                <w:sz w:val="20"/>
                <w:lang w:eastAsia="en-NZ"/>
              </w:rPr>
            </w:pPr>
          </w:p>
        </w:tc>
      </w:tr>
      <w:tr w:rsidR="00424AFD" w:rsidRPr="00D87B3A" w:rsidTr="00DD6D6D">
        <w:trPr>
          <w:trHeight w:val="315"/>
        </w:trPr>
        <w:tc>
          <w:tcPr>
            <w:tcW w:w="14885" w:type="dxa"/>
            <w:gridSpan w:val="12"/>
            <w:tcBorders>
              <w:top w:val="nil"/>
              <w:left w:val="nil"/>
              <w:right w:val="nil"/>
            </w:tcBorders>
            <w:shd w:val="clear" w:color="auto" w:fill="B7ECFF"/>
            <w:hideMark/>
          </w:tcPr>
          <w:p w:rsidR="00424AFD" w:rsidRPr="00D87B3A" w:rsidRDefault="00424AFD" w:rsidP="00563C30">
            <w:pPr>
              <w:spacing w:after="0" w:line="240" w:lineRule="auto"/>
              <w:rPr>
                <w:rFonts w:eastAsia="Times New Roman" w:cstheme="minorHAnsi"/>
                <w:b/>
                <w:i/>
                <w:lang w:eastAsia="en-NZ"/>
              </w:rPr>
            </w:pPr>
            <w:r w:rsidRPr="00D87B3A">
              <w:rPr>
                <w:rFonts w:eastAsia="Times New Roman" w:cstheme="minorHAnsi"/>
                <w:b/>
                <w:i/>
                <w:lang w:eastAsia="en-NZ"/>
              </w:rPr>
              <w:t>Timeliness</w:t>
            </w:r>
          </w:p>
        </w:tc>
      </w:tr>
      <w:tr w:rsidR="00424AFD" w:rsidRPr="00D87B3A" w:rsidTr="00DD6D6D">
        <w:trPr>
          <w:trHeight w:val="1021"/>
        </w:trPr>
        <w:tc>
          <w:tcPr>
            <w:tcW w:w="3952" w:type="dxa"/>
            <w:tcBorders>
              <w:left w:val="nil"/>
              <w:bottom w:val="single" w:sz="8" w:space="0" w:color="00B0F0"/>
              <w:right w:val="single" w:sz="8" w:space="0" w:color="00B0F0"/>
            </w:tcBorders>
            <w:shd w:val="clear" w:color="auto" w:fill="auto"/>
            <w:hideMark/>
          </w:tcPr>
          <w:p w:rsidR="00424AFD" w:rsidRPr="00D87B3A" w:rsidRDefault="00424AFD" w:rsidP="00563C30">
            <w:pPr>
              <w:spacing w:after="0" w:line="240" w:lineRule="auto"/>
              <w:rPr>
                <w:rFonts w:eastAsia="Times New Roman" w:cstheme="minorHAnsi"/>
                <w:color w:val="000000"/>
                <w:sz w:val="20"/>
                <w:lang w:eastAsia="en-NZ"/>
              </w:rPr>
            </w:pPr>
            <w:r w:rsidRPr="00D87B3A">
              <w:rPr>
                <w:rFonts w:eastAsia="Times New Roman" w:cstheme="minorHAnsi"/>
                <w:color w:val="000000"/>
                <w:sz w:val="20"/>
                <w:lang w:eastAsia="en-NZ"/>
              </w:rPr>
              <w:t>Building consents (%) issued within 20 workings days</w:t>
            </w:r>
          </w:p>
        </w:tc>
        <w:tc>
          <w:tcPr>
            <w:tcW w:w="1153" w:type="dxa"/>
            <w:gridSpan w:val="2"/>
            <w:tcBorders>
              <w:left w:val="nil"/>
              <w:bottom w:val="single" w:sz="8" w:space="0" w:color="00B0F0"/>
              <w:right w:val="nil"/>
            </w:tcBorders>
            <w:shd w:val="clear" w:color="auto" w:fill="auto"/>
            <w:noWrap/>
            <w:hideMark/>
          </w:tcPr>
          <w:p w:rsidR="00424AFD" w:rsidRPr="00D87B3A" w:rsidRDefault="00424AFD" w:rsidP="00563C30">
            <w:pPr>
              <w:spacing w:after="0" w:line="240" w:lineRule="auto"/>
              <w:jc w:val="right"/>
              <w:rPr>
                <w:rFonts w:eastAsia="Times New Roman" w:cstheme="minorHAnsi"/>
                <w:color w:val="000000"/>
                <w:sz w:val="20"/>
                <w:lang w:eastAsia="en-NZ"/>
              </w:rPr>
            </w:pPr>
            <w:r w:rsidRPr="00D87B3A">
              <w:rPr>
                <w:rFonts w:eastAsia="Times New Roman" w:cstheme="minorHAnsi"/>
                <w:color w:val="000000"/>
                <w:sz w:val="20"/>
                <w:lang w:eastAsia="en-NZ"/>
              </w:rPr>
              <w:t>87%</w:t>
            </w:r>
          </w:p>
        </w:tc>
        <w:tc>
          <w:tcPr>
            <w:tcW w:w="1154" w:type="dxa"/>
            <w:gridSpan w:val="3"/>
            <w:tcBorders>
              <w:left w:val="nil"/>
              <w:bottom w:val="single" w:sz="8" w:space="0" w:color="00B0F0"/>
              <w:right w:val="nil"/>
            </w:tcBorders>
            <w:shd w:val="clear" w:color="auto" w:fill="auto"/>
            <w:noWrap/>
            <w:hideMark/>
          </w:tcPr>
          <w:p w:rsidR="00424AFD" w:rsidRPr="00D87B3A" w:rsidRDefault="00424AFD" w:rsidP="00563C30">
            <w:pPr>
              <w:spacing w:after="0" w:line="240" w:lineRule="auto"/>
              <w:jc w:val="right"/>
              <w:rPr>
                <w:rFonts w:eastAsia="Times New Roman" w:cstheme="minorHAnsi"/>
                <w:color w:val="000000"/>
                <w:sz w:val="20"/>
                <w:lang w:eastAsia="en-NZ"/>
              </w:rPr>
            </w:pPr>
            <w:r w:rsidRPr="00D87B3A">
              <w:rPr>
                <w:rFonts w:eastAsia="Times New Roman" w:cstheme="minorHAnsi"/>
                <w:color w:val="000000"/>
                <w:sz w:val="20"/>
                <w:lang w:eastAsia="en-NZ"/>
              </w:rPr>
              <w:t>91%</w:t>
            </w:r>
          </w:p>
        </w:tc>
        <w:tc>
          <w:tcPr>
            <w:tcW w:w="1153" w:type="dxa"/>
            <w:tcBorders>
              <w:left w:val="nil"/>
              <w:bottom w:val="single" w:sz="8" w:space="0" w:color="00B0F0"/>
              <w:right w:val="nil"/>
            </w:tcBorders>
            <w:shd w:val="clear" w:color="auto" w:fill="auto"/>
            <w:noWrap/>
            <w:hideMark/>
          </w:tcPr>
          <w:p w:rsidR="00424AFD" w:rsidRPr="00D87B3A" w:rsidRDefault="00424AFD" w:rsidP="00563C30">
            <w:pPr>
              <w:spacing w:after="0" w:line="240" w:lineRule="auto"/>
              <w:jc w:val="right"/>
              <w:rPr>
                <w:rFonts w:eastAsia="Times New Roman" w:cstheme="minorHAnsi"/>
                <w:color w:val="000000"/>
                <w:sz w:val="20"/>
                <w:lang w:eastAsia="en-NZ"/>
              </w:rPr>
            </w:pPr>
            <w:r w:rsidRPr="00D87B3A">
              <w:rPr>
                <w:rFonts w:eastAsia="Times New Roman" w:cstheme="minorHAnsi"/>
                <w:color w:val="000000"/>
                <w:sz w:val="20"/>
                <w:lang w:eastAsia="en-NZ"/>
              </w:rPr>
              <w:t>89%</w:t>
            </w:r>
          </w:p>
        </w:tc>
        <w:tc>
          <w:tcPr>
            <w:tcW w:w="1175" w:type="dxa"/>
            <w:tcBorders>
              <w:left w:val="nil"/>
              <w:bottom w:val="single" w:sz="8" w:space="0" w:color="00B0F0"/>
              <w:right w:val="nil"/>
            </w:tcBorders>
            <w:shd w:val="clear" w:color="000000" w:fill="D9D9D9"/>
            <w:hideMark/>
          </w:tcPr>
          <w:p w:rsidR="00424AFD" w:rsidRPr="00D87B3A" w:rsidRDefault="00424AFD" w:rsidP="00563C30">
            <w:pPr>
              <w:spacing w:after="0" w:line="240" w:lineRule="auto"/>
              <w:jc w:val="right"/>
              <w:rPr>
                <w:rFonts w:eastAsia="Times New Roman" w:cstheme="minorHAnsi"/>
                <w:color w:val="000000"/>
                <w:sz w:val="20"/>
                <w:lang w:eastAsia="en-NZ"/>
              </w:rPr>
            </w:pPr>
            <w:r w:rsidRPr="00D87B3A">
              <w:rPr>
                <w:rFonts w:eastAsia="Times New Roman" w:cstheme="minorHAnsi"/>
                <w:color w:val="000000"/>
                <w:sz w:val="20"/>
                <w:lang w:eastAsia="en-NZ"/>
              </w:rPr>
              <w:t>100%</w:t>
            </w:r>
          </w:p>
        </w:tc>
        <w:tc>
          <w:tcPr>
            <w:tcW w:w="800" w:type="dxa"/>
            <w:gridSpan w:val="2"/>
            <w:tcBorders>
              <w:left w:val="nil"/>
              <w:bottom w:val="single" w:sz="8" w:space="0" w:color="00B0F0"/>
              <w:right w:val="nil"/>
            </w:tcBorders>
            <w:shd w:val="clear" w:color="auto" w:fill="auto"/>
            <w:hideMark/>
          </w:tcPr>
          <w:p w:rsidR="00424AFD" w:rsidRPr="00D87B3A" w:rsidRDefault="00424AFD" w:rsidP="00563C30">
            <w:pPr>
              <w:spacing w:after="0" w:line="240" w:lineRule="auto"/>
              <w:jc w:val="right"/>
              <w:rPr>
                <w:rFonts w:eastAsia="Times New Roman" w:cstheme="minorHAnsi"/>
                <w:sz w:val="20"/>
                <w:lang w:eastAsia="en-NZ"/>
              </w:rPr>
            </w:pPr>
            <w:r w:rsidRPr="00D87B3A">
              <w:rPr>
                <w:rFonts w:eastAsia="Times New Roman" w:cstheme="minorHAnsi"/>
                <w:sz w:val="20"/>
                <w:lang w:eastAsia="en-NZ"/>
              </w:rPr>
              <w:t>-11%</w:t>
            </w:r>
          </w:p>
        </w:tc>
        <w:tc>
          <w:tcPr>
            <w:tcW w:w="962" w:type="dxa"/>
            <w:tcBorders>
              <w:left w:val="nil"/>
              <w:bottom w:val="single" w:sz="8" w:space="0" w:color="00B0F0"/>
              <w:right w:val="single" w:sz="8" w:space="0" w:color="00B0F0"/>
            </w:tcBorders>
            <w:shd w:val="clear" w:color="auto" w:fill="auto"/>
            <w:hideMark/>
          </w:tcPr>
          <w:p w:rsidR="00424AFD" w:rsidRPr="00D87B3A" w:rsidRDefault="00424AFD" w:rsidP="00563C30">
            <w:pPr>
              <w:spacing w:after="0" w:line="240" w:lineRule="auto"/>
              <w:jc w:val="right"/>
              <w:rPr>
                <w:rFonts w:eastAsia="Times New Roman" w:cstheme="minorHAnsi"/>
                <w:sz w:val="20"/>
                <w:lang w:eastAsia="en-NZ"/>
              </w:rPr>
            </w:pPr>
            <w:r w:rsidRPr="00D87B3A">
              <w:rPr>
                <w:rFonts w:eastAsia="Times New Roman" w:cstheme="minorHAnsi"/>
                <w:sz w:val="20"/>
                <w:lang w:eastAsia="en-NZ"/>
              </w:rPr>
              <w:t>not met</w:t>
            </w:r>
          </w:p>
        </w:tc>
        <w:tc>
          <w:tcPr>
            <w:tcW w:w="4536" w:type="dxa"/>
            <w:tcBorders>
              <w:left w:val="single" w:sz="8" w:space="0" w:color="00B0F0"/>
              <w:bottom w:val="single" w:sz="8" w:space="0" w:color="00B0F0"/>
              <w:right w:val="nil"/>
            </w:tcBorders>
            <w:shd w:val="clear" w:color="auto" w:fill="auto"/>
            <w:hideMark/>
          </w:tcPr>
          <w:p w:rsidR="00424AFD" w:rsidRPr="00D87B3A" w:rsidRDefault="00424AFD" w:rsidP="00563C30">
            <w:pPr>
              <w:spacing w:after="0" w:line="240" w:lineRule="auto"/>
              <w:rPr>
                <w:rFonts w:eastAsia="Times New Roman" w:cstheme="minorHAnsi"/>
                <w:color w:val="000000"/>
                <w:sz w:val="20"/>
                <w:lang w:eastAsia="en-NZ"/>
              </w:rPr>
            </w:pPr>
            <w:r w:rsidRPr="00D87B3A">
              <w:rPr>
                <w:rFonts w:eastAsia="Times New Roman" w:cstheme="minorHAnsi"/>
                <w:color w:val="000000"/>
                <w:sz w:val="20"/>
                <w:lang w:eastAsia="en-NZ"/>
              </w:rPr>
              <w:t xml:space="preserve">Performance of the Consents team was impacted by significant staff turnover and Requests for Information (RFI) resulting in longer processing times. Strategies are being put in place to address these challenges.   </w:t>
            </w:r>
          </w:p>
        </w:tc>
      </w:tr>
      <w:tr w:rsidR="00424AFD" w:rsidRPr="00D87B3A" w:rsidTr="00DD6D6D">
        <w:trPr>
          <w:trHeight w:val="1035"/>
        </w:trPr>
        <w:tc>
          <w:tcPr>
            <w:tcW w:w="3952" w:type="dxa"/>
            <w:tcBorders>
              <w:top w:val="nil"/>
              <w:left w:val="nil"/>
              <w:bottom w:val="single" w:sz="8" w:space="0" w:color="00B0F0"/>
              <w:right w:val="single" w:sz="8" w:space="0" w:color="00B0F0"/>
            </w:tcBorders>
            <w:shd w:val="clear" w:color="auto" w:fill="auto"/>
            <w:hideMark/>
          </w:tcPr>
          <w:p w:rsidR="00424AFD" w:rsidRPr="00D87B3A" w:rsidRDefault="00424AFD" w:rsidP="00563C30">
            <w:pPr>
              <w:spacing w:after="0" w:line="240" w:lineRule="auto"/>
              <w:rPr>
                <w:rFonts w:eastAsia="Times New Roman" w:cstheme="minorHAnsi"/>
                <w:color w:val="000000"/>
                <w:sz w:val="20"/>
                <w:lang w:eastAsia="en-NZ"/>
              </w:rPr>
            </w:pPr>
            <w:r w:rsidRPr="00D87B3A">
              <w:rPr>
                <w:rFonts w:eastAsia="Times New Roman" w:cstheme="minorHAnsi"/>
                <w:color w:val="000000"/>
                <w:sz w:val="20"/>
                <w:lang w:eastAsia="en-NZ"/>
              </w:rPr>
              <w:t>Code of compliance certificates (%) issued within 20 working days</w:t>
            </w:r>
          </w:p>
        </w:tc>
        <w:tc>
          <w:tcPr>
            <w:tcW w:w="1153" w:type="dxa"/>
            <w:gridSpan w:val="2"/>
            <w:tcBorders>
              <w:top w:val="single" w:sz="8" w:space="0" w:color="00B0F0"/>
              <w:left w:val="nil"/>
              <w:bottom w:val="single" w:sz="8" w:space="0" w:color="00B0F0"/>
              <w:right w:val="nil"/>
            </w:tcBorders>
            <w:shd w:val="clear" w:color="auto" w:fill="auto"/>
            <w:noWrap/>
            <w:hideMark/>
          </w:tcPr>
          <w:p w:rsidR="00424AFD" w:rsidRPr="00D87B3A" w:rsidRDefault="00424AFD" w:rsidP="00563C30">
            <w:pPr>
              <w:spacing w:after="0" w:line="240" w:lineRule="auto"/>
              <w:jc w:val="right"/>
              <w:rPr>
                <w:rFonts w:eastAsia="Times New Roman" w:cstheme="minorHAnsi"/>
                <w:color w:val="000000"/>
                <w:sz w:val="20"/>
                <w:lang w:eastAsia="en-NZ"/>
              </w:rPr>
            </w:pPr>
            <w:r w:rsidRPr="00D87B3A">
              <w:rPr>
                <w:rFonts w:eastAsia="Times New Roman" w:cstheme="minorHAnsi"/>
                <w:color w:val="000000"/>
                <w:sz w:val="20"/>
                <w:lang w:eastAsia="en-NZ"/>
              </w:rPr>
              <w:t>96%</w:t>
            </w:r>
          </w:p>
        </w:tc>
        <w:tc>
          <w:tcPr>
            <w:tcW w:w="1154" w:type="dxa"/>
            <w:gridSpan w:val="3"/>
            <w:tcBorders>
              <w:top w:val="single" w:sz="8" w:space="0" w:color="00B0F0"/>
              <w:left w:val="nil"/>
              <w:bottom w:val="single" w:sz="8" w:space="0" w:color="00B0F0"/>
              <w:right w:val="nil"/>
            </w:tcBorders>
            <w:shd w:val="clear" w:color="auto" w:fill="auto"/>
            <w:noWrap/>
            <w:hideMark/>
          </w:tcPr>
          <w:p w:rsidR="00424AFD" w:rsidRPr="00D87B3A" w:rsidRDefault="00424AFD" w:rsidP="00563C30">
            <w:pPr>
              <w:spacing w:after="0" w:line="240" w:lineRule="auto"/>
              <w:jc w:val="right"/>
              <w:rPr>
                <w:rFonts w:eastAsia="Times New Roman" w:cstheme="minorHAnsi"/>
                <w:color w:val="000000"/>
                <w:sz w:val="20"/>
                <w:lang w:eastAsia="en-NZ"/>
              </w:rPr>
            </w:pPr>
            <w:r w:rsidRPr="00D87B3A">
              <w:rPr>
                <w:rFonts w:eastAsia="Times New Roman" w:cstheme="minorHAnsi"/>
                <w:color w:val="000000"/>
                <w:sz w:val="20"/>
                <w:lang w:eastAsia="en-NZ"/>
              </w:rPr>
              <w:t>96%</w:t>
            </w:r>
          </w:p>
        </w:tc>
        <w:tc>
          <w:tcPr>
            <w:tcW w:w="1153" w:type="dxa"/>
            <w:tcBorders>
              <w:top w:val="single" w:sz="8" w:space="0" w:color="00B0F0"/>
              <w:left w:val="nil"/>
              <w:bottom w:val="single" w:sz="8" w:space="0" w:color="00B0F0"/>
              <w:right w:val="nil"/>
            </w:tcBorders>
            <w:shd w:val="clear" w:color="auto" w:fill="auto"/>
            <w:noWrap/>
            <w:hideMark/>
          </w:tcPr>
          <w:p w:rsidR="00424AFD" w:rsidRPr="00D87B3A" w:rsidRDefault="00424AFD" w:rsidP="00563C30">
            <w:pPr>
              <w:spacing w:after="0" w:line="240" w:lineRule="auto"/>
              <w:jc w:val="right"/>
              <w:rPr>
                <w:rFonts w:eastAsia="Times New Roman" w:cstheme="minorHAnsi"/>
                <w:color w:val="000000"/>
                <w:sz w:val="20"/>
                <w:lang w:eastAsia="en-NZ"/>
              </w:rPr>
            </w:pPr>
            <w:r w:rsidRPr="00D87B3A">
              <w:rPr>
                <w:rFonts w:eastAsia="Times New Roman" w:cstheme="minorHAnsi"/>
                <w:color w:val="000000"/>
                <w:sz w:val="20"/>
                <w:lang w:eastAsia="en-NZ"/>
              </w:rPr>
              <w:t>88%</w:t>
            </w:r>
          </w:p>
        </w:tc>
        <w:tc>
          <w:tcPr>
            <w:tcW w:w="1175" w:type="dxa"/>
            <w:tcBorders>
              <w:top w:val="single" w:sz="8" w:space="0" w:color="00B0F0"/>
              <w:left w:val="nil"/>
              <w:bottom w:val="single" w:sz="8" w:space="0" w:color="00B0F0"/>
              <w:right w:val="nil"/>
            </w:tcBorders>
            <w:shd w:val="clear" w:color="000000" w:fill="D9D9D9"/>
            <w:hideMark/>
          </w:tcPr>
          <w:p w:rsidR="00424AFD" w:rsidRPr="00D87B3A" w:rsidRDefault="00424AFD" w:rsidP="00563C30">
            <w:pPr>
              <w:spacing w:after="0" w:line="240" w:lineRule="auto"/>
              <w:jc w:val="right"/>
              <w:rPr>
                <w:rFonts w:eastAsia="Times New Roman" w:cstheme="minorHAnsi"/>
                <w:color w:val="000000"/>
                <w:sz w:val="20"/>
                <w:lang w:eastAsia="en-NZ"/>
              </w:rPr>
            </w:pPr>
            <w:r w:rsidRPr="00D87B3A">
              <w:rPr>
                <w:rFonts w:eastAsia="Times New Roman" w:cstheme="minorHAnsi"/>
                <w:color w:val="000000"/>
                <w:sz w:val="20"/>
                <w:lang w:eastAsia="en-NZ"/>
              </w:rPr>
              <w:t>100%</w:t>
            </w:r>
          </w:p>
        </w:tc>
        <w:tc>
          <w:tcPr>
            <w:tcW w:w="800" w:type="dxa"/>
            <w:gridSpan w:val="2"/>
            <w:tcBorders>
              <w:top w:val="single" w:sz="8" w:space="0" w:color="00B0F0"/>
              <w:left w:val="nil"/>
              <w:bottom w:val="single" w:sz="8" w:space="0" w:color="00B0F0"/>
              <w:right w:val="nil"/>
            </w:tcBorders>
            <w:shd w:val="clear" w:color="auto" w:fill="auto"/>
            <w:hideMark/>
          </w:tcPr>
          <w:p w:rsidR="00424AFD" w:rsidRPr="00D87B3A" w:rsidRDefault="00424AFD" w:rsidP="00563C30">
            <w:pPr>
              <w:spacing w:after="0" w:line="240" w:lineRule="auto"/>
              <w:jc w:val="right"/>
              <w:rPr>
                <w:rFonts w:eastAsia="Times New Roman" w:cstheme="minorHAnsi"/>
                <w:sz w:val="20"/>
                <w:lang w:eastAsia="en-NZ"/>
              </w:rPr>
            </w:pPr>
            <w:r w:rsidRPr="00D87B3A">
              <w:rPr>
                <w:rFonts w:eastAsia="Times New Roman" w:cstheme="minorHAnsi"/>
                <w:sz w:val="20"/>
                <w:lang w:eastAsia="en-NZ"/>
              </w:rPr>
              <w:t>-12%</w:t>
            </w:r>
          </w:p>
        </w:tc>
        <w:tc>
          <w:tcPr>
            <w:tcW w:w="962" w:type="dxa"/>
            <w:tcBorders>
              <w:top w:val="single" w:sz="8" w:space="0" w:color="00B0F0"/>
              <w:left w:val="nil"/>
              <w:bottom w:val="single" w:sz="8" w:space="0" w:color="00B0F0"/>
              <w:right w:val="single" w:sz="8" w:space="0" w:color="00B0F0"/>
            </w:tcBorders>
            <w:shd w:val="clear" w:color="auto" w:fill="auto"/>
            <w:hideMark/>
          </w:tcPr>
          <w:p w:rsidR="00424AFD" w:rsidRPr="00D87B3A" w:rsidRDefault="00424AFD" w:rsidP="00563C30">
            <w:pPr>
              <w:spacing w:after="0" w:line="240" w:lineRule="auto"/>
              <w:jc w:val="right"/>
              <w:rPr>
                <w:rFonts w:eastAsia="Times New Roman" w:cstheme="minorHAnsi"/>
                <w:sz w:val="20"/>
                <w:lang w:eastAsia="en-NZ"/>
              </w:rPr>
            </w:pPr>
            <w:r w:rsidRPr="00D87B3A">
              <w:rPr>
                <w:rFonts w:eastAsia="Times New Roman" w:cstheme="minorHAnsi"/>
                <w:sz w:val="20"/>
                <w:lang w:eastAsia="en-NZ"/>
              </w:rPr>
              <w:t>not met</w:t>
            </w:r>
          </w:p>
        </w:tc>
        <w:tc>
          <w:tcPr>
            <w:tcW w:w="4536" w:type="dxa"/>
            <w:tcBorders>
              <w:top w:val="single" w:sz="8" w:space="0" w:color="00B0F0"/>
              <w:left w:val="single" w:sz="8" w:space="0" w:color="00B0F0"/>
              <w:bottom w:val="single" w:sz="8" w:space="0" w:color="00B0F0"/>
              <w:right w:val="nil"/>
            </w:tcBorders>
            <w:shd w:val="clear" w:color="auto" w:fill="auto"/>
            <w:hideMark/>
          </w:tcPr>
          <w:p w:rsidR="00424AFD" w:rsidRPr="00D87B3A" w:rsidRDefault="00424AFD" w:rsidP="003856A0">
            <w:pPr>
              <w:spacing w:after="0" w:line="240" w:lineRule="auto"/>
              <w:rPr>
                <w:rFonts w:eastAsia="Times New Roman" w:cstheme="minorHAnsi"/>
                <w:color w:val="000000"/>
                <w:sz w:val="20"/>
                <w:lang w:eastAsia="en-NZ"/>
              </w:rPr>
            </w:pPr>
            <w:r w:rsidRPr="00D87B3A">
              <w:rPr>
                <w:rFonts w:eastAsia="Times New Roman" w:cstheme="minorHAnsi"/>
                <w:color w:val="000000"/>
                <w:sz w:val="20"/>
                <w:lang w:eastAsia="en-NZ"/>
              </w:rPr>
              <w:t xml:space="preserve">The volume of inspections requests and staff turnover has impacted on the team’s ability to issue </w:t>
            </w:r>
            <w:r w:rsidR="003856A0">
              <w:rPr>
                <w:rFonts w:eastAsia="Times New Roman" w:cstheme="minorHAnsi"/>
                <w:color w:val="000000"/>
                <w:sz w:val="20"/>
                <w:lang w:eastAsia="en-NZ"/>
              </w:rPr>
              <w:t>certificates</w:t>
            </w:r>
            <w:r w:rsidR="003856A0" w:rsidRPr="00D87B3A">
              <w:rPr>
                <w:rFonts w:eastAsia="Times New Roman" w:cstheme="minorHAnsi"/>
                <w:color w:val="000000"/>
                <w:sz w:val="20"/>
                <w:lang w:eastAsia="en-NZ"/>
              </w:rPr>
              <w:t xml:space="preserve"> </w:t>
            </w:r>
            <w:r w:rsidRPr="00D87B3A">
              <w:rPr>
                <w:rFonts w:eastAsia="Times New Roman" w:cstheme="minorHAnsi"/>
                <w:color w:val="000000"/>
                <w:sz w:val="20"/>
                <w:lang w:eastAsia="en-NZ"/>
              </w:rPr>
              <w:t xml:space="preserve">within a timely manner. Strategies are being put in place to address these challenges.    </w:t>
            </w:r>
          </w:p>
        </w:tc>
      </w:tr>
      <w:tr w:rsidR="00424AFD" w:rsidRPr="00D87B3A" w:rsidTr="00DD6D6D">
        <w:trPr>
          <w:trHeight w:val="920"/>
        </w:trPr>
        <w:tc>
          <w:tcPr>
            <w:tcW w:w="3952" w:type="dxa"/>
            <w:tcBorders>
              <w:top w:val="nil"/>
              <w:left w:val="nil"/>
              <w:bottom w:val="single" w:sz="8" w:space="0" w:color="00B0F0"/>
              <w:right w:val="single" w:sz="8" w:space="0" w:color="00B0F0"/>
            </w:tcBorders>
            <w:shd w:val="clear" w:color="auto" w:fill="auto"/>
            <w:hideMark/>
          </w:tcPr>
          <w:p w:rsidR="00424AFD" w:rsidRPr="00D87B3A" w:rsidRDefault="00424AFD" w:rsidP="00563C30">
            <w:pPr>
              <w:spacing w:after="0" w:line="240" w:lineRule="auto"/>
              <w:rPr>
                <w:rFonts w:eastAsia="Times New Roman" w:cstheme="minorHAnsi"/>
                <w:color w:val="000000"/>
                <w:sz w:val="20"/>
                <w:lang w:eastAsia="en-NZ"/>
              </w:rPr>
            </w:pPr>
            <w:r w:rsidRPr="00D87B3A">
              <w:rPr>
                <w:rFonts w:eastAsia="Times New Roman" w:cstheme="minorHAnsi"/>
                <w:color w:val="000000"/>
                <w:sz w:val="20"/>
                <w:lang w:eastAsia="en-NZ"/>
              </w:rPr>
              <w:lastRenderedPageBreak/>
              <w:t>Land Information Memorandums (LIMs) (%) issued within 10 working days</w:t>
            </w:r>
          </w:p>
        </w:tc>
        <w:tc>
          <w:tcPr>
            <w:tcW w:w="1153" w:type="dxa"/>
            <w:gridSpan w:val="2"/>
            <w:tcBorders>
              <w:top w:val="single" w:sz="8" w:space="0" w:color="00B0F0"/>
              <w:left w:val="nil"/>
              <w:bottom w:val="single" w:sz="8" w:space="0" w:color="00B0F0"/>
              <w:right w:val="nil"/>
            </w:tcBorders>
            <w:shd w:val="clear" w:color="auto" w:fill="auto"/>
            <w:noWrap/>
            <w:hideMark/>
          </w:tcPr>
          <w:p w:rsidR="00424AFD" w:rsidRPr="00D87B3A" w:rsidRDefault="00424AFD" w:rsidP="00563C30">
            <w:pPr>
              <w:spacing w:after="0" w:line="240" w:lineRule="auto"/>
              <w:jc w:val="right"/>
              <w:rPr>
                <w:rFonts w:eastAsia="Times New Roman" w:cstheme="minorHAnsi"/>
                <w:color w:val="000000"/>
                <w:sz w:val="20"/>
                <w:lang w:eastAsia="en-NZ"/>
              </w:rPr>
            </w:pPr>
            <w:r w:rsidRPr="00D87B3A">
              <w:rPr>
                <w:rFonts w:eastAsia="Times New Roman" w:cstheme="minorHAnsi"/>
                <w:color w:val="000000"/>
                <w:sz w:val="20"/>
                <w:lang w:eastAsia="en-NZ"/>
              </w:rPr>
              <w:t>96%</w:t>
            </w:r>
          </w:p>
        </w:tc>
        <w:tc>
          <w:tcPr>
            <w:tcW w:w="1154" w:type="dxa"/>
            <w:gridSpan w:val="3"/>
            <w:tcBorders>
              <w:top w:val="single" w:sz="8" w:space="0" w:color="00B0F0"/>
              <w:left w:val="nil"/>
              <w:bottom w:val="single" w:sz="8" w:space="0" w:color="00B0F0"/>
              <w:right w:val="nil"/>
            </w:tcBorders>
            <w:shd w:val="clear" w:color="auto" w:fill="auto"/>
            <w:noWrap/>
            <w:hideMark/>
          </w:tcPr>
          <w:p w:rsidR="00424AFD" w:rsidRPr="00D87B3A" w:rsidRDefault="00424AFD" w:rsidP="00563C30">
            <w:pPr>
              <w:spacing w:after="0" w:line="240" w:lineRule="auto"/>
              <w:jc w:val="right"/>
              <w:rPr>
                <w:rFonts w:eastAsia="Times New Roman" w:cstheme="minorHAnsi"/>
                <w:color w:val="000000"/>
                <w:sz w:val="20"/>
                <w:lang w:eastAsia="en-NZ"/>
              </w:rPr>
            </w:pPr>
            <w:r w:rsidRPr="00D87B3A">
              <w:rPr>
                <w:rFonts w:eastAsia="Times New Roman" w:cstheme="minorHAnsi"/>
                <w:color w:val="000000"/>
                <w:sz w:val="20"/>
                <w:lang w:eastAsia="en-NZ"/>
              </w:rPr>
              <w:t>100%</w:t>
            </w:r>
          </w:p>
        </w:tc>
        <w:tc>
          <w:tcPr>
            <w:tcW w:w="1153" w:type="dxa"/>
            <w:tcBorders>
              <w:top w:val="single" w:sz="8" w:space="0" w:color="00B0F0"/>
              <w:left w:val="nil"/>
              <w:bottom w:val="single" w:sz="8" w:space="0" w:color="00B0F0"/>
              <w:right w:val="nil"/>
            </w:tcBorders>
            <w:shd w:val="clear" w:color="auto" w:fill="FFFFFF" w:themeFill="background1"/>
            <w:noWrap/>
            <w:hideMark/>
          </w:tcPr>
          <w:p w:rsidR="00424AFD" w:rsidRPr="00D87B3A" w:rsidRDefault="00424AFD" w:rsidP="00563C30">
            <w:pPr>
              <w:spacing w:after="0" w:line="240" w:lineRule="auto"/>
              <w:jc w:val="right"/>
              <w:rPr>
                <w:rFonts w:eastAsia="Times New Roman" w:cstheme="minorHAnsi"/>
                <w:color w:val="000000"/>
                <w:sz w:val="20"/>
                <w:lang w:eastAsia="en-NZ"/>
              </w:rPr>
            </w:pPr>
            <w:r w:rsidRPr="00D87B3A">
              <w:rPr>
                <w:rFonts w:eastAsia="Times New Roman" w:cstheme="minorHAnsi"/>
                <w:color w:val="000000"/>
                <w:sz w:val="20"/>
                <w:lang w:eastAsia="en-NZ"/>
              </w:rPr>
              <w:t>58%</w:t>
            </w:r>
          </w:p>
        </w:tc>
        <w:tc>
          <w:tcPr>
            <w:tcW w:w="1175" w:type="dxa"/>
            <w:tcBorders>
              <w:top w:val="single" w:sz="8" w:space="0" w:color="00B0F0"/>
              <w:left w:val="nil"/>
              <w:bottom w:val="single" w:sz="8" w:space="0" w:color="00B0F0"/>
              <w:right w:val="nil"/>
            </w:tcBorders>
            <w:shd w:val="clear" w:color="000000" w:fill="D9D9D9"/>
            <w:hideMark/>
          </w:tcPr>
          <w:p w:rsidR="00424AFD" w:rsidRPr="00D87B3A" w:rsidRDefault="00424AFD" w:rsidP="00563C30">
            <w:pPr>
              <w:spacing w:after="0" w:line="240" w:lineRule="auto"/>
              <w:jc w:val="right"/>
              <w:rPr>
                <w:rFonts w:eastAsia="Times New Roman" w:cstheme="minorHAnsi"/>
                <w:color w:val="000000"/>
                <w:sz w:val="20"/>
                <w:lang w:eastAsia="en-NZ"/>
              </w:rPr>
            </w:pPr>
            <w:r w:rsidRPr="00D87B3A">
              <w:rPr>
                <w:rFonts w:eastAsia="Times New Roman" w:cstheme="minorHAnsi"/>
                <w:color w:val="000000"/>
                <w:sz w:val="20"/>
                <w:lang w:eastAsia="en-NZ"/>
              </w:rPr>
              <w:t>100%</w:t>
            </w:r>
          </w:p>
        </w:tc>
        <w:tc>
          <w:tcPr>
            <w:tcW w:w="800" w:type="dxa"/>
            <w:gridSpan w:val="2"/>
            <w:tcBorders>
              <w:top w:val="single" w:sz="8" w:space="0" w:color="00B0F0"/>
              <w:left w:val="nil"/>
              <w:bottom w:val="single" w:sz="8" w:space="0" w:color="00B0F0"/>
              <w:right w:val="nil"/>
            </w:tcBorders>
            <w:shd w:val="clear" w:color="auto" w:fill="auto"/>
            <w:hideMark/>
          </w:tcPr>
          <w:p w:rsidR="00424AFD" w:rsidRPr="00D87B3A" w:rsidRDefault="00424AFD" w:rsidP="00563C30">
            <w:pPr>
              <w:spacing w:after="0" w:line="240" w:lineRule="auto"/>
              <w:jc w:val="right"/>
              <w:rPr>
                <w:rFonts w:eastAsia="Times New Roman" w:cstheme="minorHAnsi"/>
                <w:sz w:val="20"/>
                <w:lang w:eastAsia="en-NZ"/>
              </w:rPr>
            </w:pPr>
            <w:r w:rsidRPr="00D87B3A">
              <w:rPr>
                <w:rFonts w:eastAsia="Times New Roman" w:cstheme="minorHAnsi"/>
                <w:sz w:val="20"/>
                <w:lang w:eastAsia="en-NZ"/>
              </w:rPr>
              <w:t>-42%</w:t>
            </w:r>
          </w:p>
        </w:tc>
        <w:tc>
          <w:tcPr>
            <w:tcW w:w="962" w:type="dxa"/>
            <w:tcBorders>
              <w:top w:val="single" w:sz="8" w:space="0" w:color="00B0F0"/>
              <w:left w:val="nil"/>
              <w:bottom w:val="single" w:sz="8" w:space="0" w:color="00B0F0"/>
              <w:right w:val="single" w:sz="8" w:space="0" w:color="00B0F0"/>
            </w:tcBorders>
            <w:shd w:val="clear" w:color="auto" w:fill="auto"/>
            <w:hideMark/>
          </w:tcPr>
          <w:p w:rsidR="00424AFD" w:rsidRPr="00D87B3A" w:rsidRDefault="00424AFD" w:rsidP="00563C30">
            <w:pPr>
              <w:spacing w:after="0" w:line="240" w:lineRule="auto"/>
              <w:jc w:val="right"/>
              <w:rPr>
                <w:rFonts w:eastAsia="Times New Roman" w:cstheme="minorHAnsi"/>
                <w:sz w:val="20"/>
                <w:lang w:eastAsia="en-NZ"/>
              </w:rPr>
            </w:pPr>
            <w:r w:rsidRPr="00D87B3A">
              <w:rPr>
                <w:rFonts w:eastAsia="Times New Roman" w:cstheme="minorHAnsi"/>
                <w:sz w:val="20"/>
                <w:lang w:eastAsia="en-NZ"/>
              </w:rPr>
              <w:t>not met</w:t>
            </w:r>
          </w:p>
        </w:tc>
        <w:tc>
          <w:tcPr>
            <w:tcW w:w="4536" w:type="dxa"/>
            <w:tcBorders>
              <w:top w:val="single" w:sz="8" w:space="0" w:color="00B0F0"/>
              <w:left w:val="single" w:sz="8" w:space="0" w:color="00B0F0"/>
              <w:bottom w:val="single" w:sz="8" w:space="0" w:color="00B0F0"/>
              <w:right w:val="nil"/>
            </w:tcBorders>
            <w:shd w:val="clear" w:color="auto" w:fill="auto"/>
            <w:hideMark/>
          </w:tcPr>
          <w:p w:rsidR="00424AFD" w:rsidRPr="00D87B3A" w:rsidRDefault="00424AFD" w:rsidP="003856A0">
            <w:pPr>
              <w:spacing w:after="0" w:line="240" w:lineRule="auto"/>
              <w:rPr>
                <w:rFonts w:eastAsia="Times New Roman" w:cstheme="minorHAnsi"/>
                <w:color w:val="000000"/>
                <w:sz w:val="20"/>
                <w:lang w:eastAsia="en-NZ"/>
              </w:rPr>
            </w:pPr>
            <w:r w:rsidRPr="00D87B3A">
              <w:rPr>
                <w:rFonts w:eastAsia="Times New Roman" w:cstheme="minorHAnsi"/>
                <w:color w:val="000000"/>
                <w:sz w:val="20"/>
                <w:lang w:eastAsia="en-NZ"/>
              </w:rPr>
              <w:t xml:space="preserve">Performance of the LIM team was impacted by staff turnover, ongoing sickness and a higher number of applications in March </w:t>
            </w:r>
            <w:r w:rsidR="003856A0">
              <w:rPr>
                <w:rFonts w:eastAsia="Times New Roman" w:cstheme="minorHAnsi"/>
                <w:color w:val="000000"/>
                <w:sz w:val="20"/>
                <w:lang w:eastAsia="en-NZ"/>
              </w:rPr>
              <w:t xml:space="preserve">to </w:t>
            </w:r>
            <w:r w:rsidRPr="00D87B3A">
              <w:rPr>
                <w:rFonts w:eastAsia="Times New Roman" w:cstheme="minorHAnsi"/>
                <w:color w:val="000000"/>
                <w:sz w:val="20"/>
                <w:lang w:eastAsia="en-NZ"/>
              </w:rPr>
              <w:t xml:space="preserve">June 2019. Strategies are being put in place to address these challenges.   </w:t>
            </w:r>
          </w:p>
        </w:tc>
      </w:tr>
      <w:tr w:rsidR="00DD6D6D" w:rsidRPr="00D87B3A" w:rsidTr="00DD6D6D">
        <w:trPr>
          <w:trHeight w:val="367"/>
        </w:trPr>
        <w:tc>
          <w:tcPr>
            <w:tcW w:w="3952" w:type="dxa"/>
            <w:tcBorders>
              <w:top w:val="nil"/>
              <w:left w:val="nil"/>
              <w:bottom w:val="single" w:sz="8" w:space="0" w:color="00B0F0"/>
              <w:right w:val="single" w:sz="8" w:space="0" w:color="00B0F0"/>
            </w:tcBorders>
            <w:shd w:val="clear" w:color="auto" w:fill="auto"/>
            <w:hideMark/>
          </w:tcPr>
          <w:p w:rsidR="00DD6D6D" w:rsidRPr="00D87B3A" w:rsidRDefault="00DD6D6D" w:rsidP="00DD6D6D">
            <w:pPr>
              <w:spacing w:after="0" w:line="240" w:lineRule="auto"/>
              <w:rPr>
                <w:rFonts w:eastAsia="Times New Roman" w:cstheme="minorHAnsi"/>
                <w:color w:val="000000"/>
                <w:sz w:val="20"/>
                <w:lang w:eastAsia="en-NZ"/>
              </w:rPr>
            </w:pPr>
            <w:r w:rsidRPr="00D87B3A">
              <w:rPr>
                <w:rFonts w:eastAsia="Times New Roman" w:cstheme="minorHAnsi"/>
                <w:color w:val="000000"/>
                <w:sz w:val="20"/>
                <w:lang w:eastAsia="en-NZ"/>
              </w:rPr>
              <w:t>Resource consents (non-notified) (%) issued within statutory timeframes</w:t>
            </w:r>
          </w:p>
        </w:tc>
        <w:tc>
          <w:tcPr>
            <w:tcW w:w="1153" w:type="dxa"/>
            <w:gridSpan w:val="2"/>
            <w:tcBorders>
              <w:top w:val="single" w:sz="8" w:space="0" w:color="00B0F0"/>
              <w:left w:val="nil"/>
              <w:bottom w:val="single" w:sz="8" w:space="0" w:color="00B0F0"/>
              <w:right w:val="nil"/>
            </w:tcBorders>
            <w:shd w:val="clear" w:color="auto" w:fill="auto"/>
            <w:noWrap/>
            <w:hideMark/>
          </w:tcPr>
          <w:p w:rsidR="00DD6D6D" w:rsidRPr="00D87B3A" w:rsidRDefault="00DD6D6D" w:rsidP="00DD6D6D">
            <w:pPr>
              <w:spacing w:after="0" w:line="240" w:lineRule="auto"/>
              <w:jc w:val="right"/>
              <w:rPr>
                <w:rFonts w:eastAsia="Times New Roman" w:cstheme="minorHAnsi"/>
                <w:color w:val="000000"/>
                <w:sz w:val="20"/>
                <w:lang w:eastAsia="en-NZ"/>
              </w:rPr>
            </w:pPr>
            <w:r w:rsidRPr="00D87B3A">
              <w:rPr>
                <w:rFonts w:eastAsia="Times New Roman" w:cstheme="minorHAnsi"/>
                <w:color w:val="000000"/>
                <w:sz w:val="20"/>
                <w:lang w:eastAsia="en-NZ"/>
              </w:rPr>
              <w:t>99.8%</w:t>
            </w:r>
          </w:p>
        </w:tc>
        <w:tc>
          <w:tcPr>
            <w:tcW w:w="1154" w:type="dxa"/>
            <w:gridSpan w:val="3"/>
            <w:tcBorders>
              <w:top w:val="single" w:sz="8" w:space="0" w:color="00B0F0"/>
              <w:left w:val="nil"/>
              <w:bottom w:val="single" w:sz="8" w:space="0" w:color="00B0F0"/>
              <w:right w:val="nil"/>
            </w:tcBorders>
            <w:shd w:val="clear" w:color="auto" w:fill="auto"/>
            <w:noWrap/>
            <w:hideMark/>
          </w:tcPr>
          <w:p w:rsidR="00DD6D6D" w:rsidRPr="00D87B3A" w:rsidRDefault="00DD6D6D" w:rsidP="00DD6D6D">
            <w:pPr>
              <w:spacing w:after="0" w:line="240" w:lineRule="auto"/>
              <w:jc w:val="right"/>
              <w:rPr>
                <w:rFonts w:eastAsia="Times New Roman" w:cstheme="minorHAnsi"/>
                <w:color w:val="000000"/>
                <w:sz w:val="20"/>
                <w:lang w:eastAsia="en-NZ"/>
              </w:rPr>
            </w:pPr>
            <w:r w:rsidRPr="00D87B3A">
              <w:rPr>
                <w:rFonts w:eastAsia="Times New Roman" w:cstheme="minorHAnsi"/>
                <w:color w:val="000000"/>
                <w:sz w:val="20"/>
                <w:lang w:eastAsia="en-NZ"/>
              </w:rPr>
              <w:t>99.2%</w:t>
            </w:r>
          </w:p>
        </w:tc>
        <w:tc>
          <w:tcPr>
            <w:tcW w:w="1153" w:type="dxa"/>
            <w:tcBorders>
              <w:top w:val="single" w:sz="8" w:space="0" w:color="00B0F0"/>
              <w:left w:val="nil"/>
              <w:bottom w:val="single" w:sz="8" w:space="0" w:color="00B0F0"/>
              <w:right w:val="nil"/>
            </w:tcBorders>
            <w:shd w:val="clear" w:color="auto" w:fill="auto"/>
            <w:noWrap/>
            <w:hideMark/>
          </w:tcPr>
          <w:p w:rsidR="00DD6D6D" w:rsidRPr="00D87B3A" w:rsidRDefault="00DD6D6D" w:rsidP="00DD6D6D">
            <w:pPr>
              <w:spacing w:after="0" w:line="240" w:lineRule="auto"/>
              <w:jc w:val="right"/>
              <w:rPr>
                <w:rFonts w:eastAsia="Times New Roman" w:cstheme="minorHAnsi"/>
                <w:color w:val="000000"/>
                <w:sz w:val="20"/>
                <w:lang w:eastAsia="en-NZ"/>
              </w:rPr>
            </w:pPr>
            <w:r w:rsidRPr="00D87B3A">
              <w:rPr>
                <w:rFonts w:eastAsia="Times New Roman" w:cstheme="minorHAnsi"/>
                <w:color w:val="000000"/>
                <w:sz w:val="20"/>
                <w:lang w:eastAsia="en-NZ"/>
              </w:rPr>
              <w:t>95%</w:t>
            </w:r>
          </w:p>
        </w:tc>
        <w:tc>
          <w:tcPr>
            <w:tcW w:w="1175" w:type="dxa"/>
            <w:tcBorders>
              <w:top w:val="single" w:sz="8" w:space="0" w:color="00B0F0"/>
              <w:left w:val="nil"/>
              <w:bottom w:val="single" w:sz="8" w:space="0" w:color="00B0F0"/>
              <w:right w:val="nil"/>
            </w:tcBorders>
            <w:shd w:val="clear" w:color="000000" w:fill="D9D9D9"/>
            <w:hideMark/>
          </w:tcPr>
          <w:p w:rsidR="00DD6D6D" w:rsidRPr="00D87B3A" w:rsidRDefault="00DD6D6D" w:rsidP="00DD6D6D">
            <w:pPr>
              <w:spacing w:after="0" w:line="240" w:lineRule="auto"/>
              <w:jc w:val="right"/>
              <w:rPr>
                <w:rFonts w:eastAsia="Times New Roman" w:cstheme="minorHAnsi"/>
                <w:color w:val="000000"/>
                <w:sz w:val="20"/>
                <w:lang w:eastAsia="en-NZ"/>
              </w:rPr>
            </w:pPr>
            <w:r w:rsidRPr="00D87B3A">
              <w:rPr>
                <w:rFonts w:eastAsia="Times New Roman" w:cstheme="minorHAnsi"/>
                <w:color w:val="000000"/>
                <w:sz w:val="20"/>
                <w:lang w:eastAsia="en-NZ"/>
              </w:rPr>
              <w:t>100%</w:t>
            </w:r>
          </w:p>
        </w:tc>
        <w:tc>
          <w:tcPr>
            <w:tcW w:w="800" w:type="dxa"/>
            <w:gridSpan w:val="2"/>
            <w:tcBorders>
              <w:top w:val="single" w:sz="8" w:space="0" w:color="00B0F0"/>
              <w:left w:val="nil"/>
              <w:bottom w:val="single" w:sz="8" w:space="0" w:color="00B0F0"/>
              <w:right w:val="nil"/>
            </w:tcBorders>
            <w:shd w:val="clear" w:color="auto" w:fill="auto"/>
            <w:hideMark/>
          </w:tcPr>
          <w:p w:rsidR="00DD6D6D" w:rsidRPr="00D87B3A" w:rsidRDefault="00DD6D6D" w:rsidP="00DD6D6D">
            <w:pPr>
              <w:spacing w:after="0" w:line="240" w:lineRule="auto"/>
              <w:jc w:val="right"/>
              <w:rPr>
                <w:rFonts w:eastAsia="Times New Roman" w:cstheme="minorHAnsi"/>
                <w:color w:val="000000"/>
                <w:sz w:val="20"/>
                <w:lang w:eastAsia="en-NZ"/>
              </w:rPr>
            </w:pPr>
            <w:r w:rsidRPr="00D87B3A">
              <w:rPr>
                <w:rFonts w:eastAsia="Times New Roman" w:cstheme="minorHAnsi"/>
                <w:color w:val="000000"/>
                <w:sz w:val="20"/>
                <w:lang w:eastAsia="en-NZ"/>
              </w:rPr>
              <w:t>-5%</w:t>
            </w:r>
          </w:p>
        </w:tc>
        <w:tc>
          <w:tcPr>
            <w:tcW w:w="962" w:type="dxa"/>
            <w:tcBorders>
              <w:top w:val="single" w:sz="8" w:space="0" w:color="00B0F0"/>
              <w:left w:val="nil"/>
              <w:bottom w:val="single" w:sz="8" w:space="0" w:color="00B0F0"/>
              <w:right w:val="single" w:sz="8" w:space="0" w:color="00B0F0"/>
            </w:tcBorders>
            <w:shd w:val="clear" w:color="auto" w:fill="auto"/>
            <w:hideMark/>
          </w:tcPr>
          <w:p w:rsidR="00DD6D6D" w:rsidRDefault="00DD6D6D" w:rsidP="00DD6D6D">
            <w:pPr>
              <w:spacing w:after="0"/>
              <w:jc w:val="right"/>
            </w:pPr>
            <w:r w:rsidRPr="008A4C63">
              <w:rPr>
                <w:rFonts w:eastAsia="Times New Roman" w:cstheme="minorHAnsi"/>
                <w:color w:val="000000"/>
                <w:sz w:val="20"/>
                <w:lang w:eastAsia="en-NZ"/>
              </w:rPr>
              <w:t>Within 10%</w:t>
            </w:r>
          </w:p>
        </w:tc>
        <w:tc>
          <w:tcPr>
            <w:tcW w:w="4536" w:type="dxa"/>
            <w:tcBorders>
              <w:top w:val="single" w:sz="8" w:space="0" w:color="00B0F0"/>
              <w:left w:val="single" w:sz="8" w:space="0" w:color="00B0F0"/>
              <w:bottom w:val="single" w:sz="8" w:space="0" w:color="00B0F0"/>
              <w:right w:val="nil"/>
            </w:tcBorders>
            <w:shd w:val="clear" w:color="auto" w:fill="auto"/>
          </w:tcPr>
          <w:p w:rsidR="00DD6D6D" w:rsidRPr="00D87B3A" w:rsidRDefault="00DD6D6D" w:rsidP="00DD6D6D">
            <w:pPr>
              <w:spacing w:after="0" w:line="240" w:lineRule="auto"/>
              <w:jc w:val="right"/>
              <w:rPr>
                <w:rFonts w:eastAsia="Times New Roman" w:cstheme="minorHAnsi"/>
                <w:color w:val="000000"/>
                <w:sz w:val="20"/>
                <w:lang w:eastAsia="en-NZ"/>
              </w:rPr>
            </w:pPr>
          </w:p>
        </w:tc>
      </w:tr>
      <w:tr w:rsidR="00DD6D6D" w:rsidRPr="00D87B3A" w:rsidTr="00DD6D6D">
        <w:trPr>
          <w:trHeight w:val="525"/>
        </w:trPr>
        <w:tc>
          <w:tcPr>
            <w:tcW w:w="3952" w:type="dxa"/>
            <w:tcBorders>
              <w:top w:val="nil"/>
              <w:left w:val="nil"/>
              <w:bottom w:val="single" w:sz="8" w:space="0" w:color="00B0F0"/>
              <w:right w:val="single" w:sz="8" w:space="0" w:color="00B0F0"/>
            </w:tcBorders>
            <w:shd w:val="clear" w:color="auto" w:fill="auto"/>
            <w:hideMark/>
          </w:tcPr>
          <w:p w:rsidR="00DD6D6D" w:rsidRPr="00D87B3A" w:rsidRDefault="00DD6D6D" w:rsidP="00DD6D6D">
            <w:pPr>
              <w:spacing w:after="0" w:line="240" w:lineRule="auto"/>
              <w:rPr>
                <w:rFonts w:eastAsia="Times New Roman" w:cstheme="minorHAnsi"/>
                <w:color w:val="000000"/>
                <w:sz w:val="20"/>
                <w:lang w:eastAsia="en-NZ"/>
              </w:rPr>
            </w:pPr>
            <w:r w:rsidRPr="00D87B3A">
              <w:rPr>
                <w:rFonts w:eastAsia="Times New Roman" w:cstheme="minorHAnsi"/>
                <w:color w:val="000000"/>
                <w:sz w:val="20"/>
                <w:lang w:eastAsia="en-NZ"/>
              </w:rPr>
              <w:t>Resource consents (%) that are monitored within 3 months of project commencement</w:t>
            </w:r>
          </w:p>
        </w:tc>
        <w:tc>
          <w:tcPr>
            <w:tcW w:w="1153" w:type="dxa"/>
            <w:gridSpan w:val="2"/>
            <w:tcBorders>
              <w:top w:val="single" w:sz="8" w:space="0" w:color="00B0F0"/>
              <w:left w:val="nil"/>
              <w:bottom w:val="single" w:sz="8" w:space="0" w:color="00B0F0"/>
              <w:right w:val="nil"/>
            </w:tcBorders>
            <w:shd w:val="clear" w:color="auto" w:fill="auto"/>
            <w:noWrap/>
            <w:hideMark/>
          </w:tcPr>
          <w:p w:rsidR="00DD6D6D" w:rsidRPr="00D87B3A" w:rsidRDefault="00DD6D6D" w:rsidP="00DD6D6D">
            <w:pPr>
              <w:spacing w:after="0" w:line="240" w:lineRule="auto"/>
              <w:jc w:val="right"/>
              <w:rPr>
                <w:rFonts w:eastAsia="Times New Roman" w:cstheme="minorHAnsi"/>
                <w:color w:val="000000"/>
                <w:sz w:val="20"/>
                <w:lang w:eastAsia="en-NZ"/>
              </w:rPr>
            </w:pPr>
            <w:r w:rsidRPr="00D87B3A">
              <w:rPr>
                <w:rFonts w:eastAsia="Times New Roman" w:cstheme="minorHAnsi"/>
                <w:color w:val="000000"/>
                <w:sz w:val="20"/>
                <w:lang w:eastAsia="en-NZ"/>
              </w:rPr>
              <w:t>93.5%</w:t>
            </w:r>
          </w:p>
        </w:tc>
        <w:tc>
          <w:tcPr>
            <w:tcW w:w="1154" w:type="dxa"/>
            <w:gridSpan w:val="3"/>
            <w:tcBorders>
              <w:top w:val="single" w:sz="8" w:space="0" w:color="00B0F0"/>
              <w:left w:val="nil"/>
              <w:bottom w:val="single" w:sz="8" w:space="0" w:color="00B0F0"/>
              <w:right w:val="nil"/>
            </w:tcBorders>
            <w:shd w:val="clear" w:color="auto" w:fill="auto"/>
            <w:noWrap/>
            <w:hideMark/>
          </w:tcPr>
          <w:p w:rsidR="00DD6D6D" w:rsidRPr="00D87B3A" w:rsidRDefault="00DD6D6D" w:rsidP="00DD6D6D">
            <w:pPr>
              <w:spacing w:after="0" w:line="240" w:lineRule="auto"/>
              <w:jc w:val="right"/>
              <w:rPr>
                <w:rFonts w:eastAsia="Times New Roman" w:cstheme="minorHAnsi"/>
                <w:color w:val="000000"/>
                <w:sz w:val="20"/>
                <w:lang w:eastAsia="en-NZ"/>
              </w:rPr>
            </w:pPr>
            <w:r w:rsidRPr="00D87B3A">
              <w:rPr>
                <w:rFonts w:eastAsia="Times New Roman" w:cstheme="minorHAnsi"/>
                <w:color w:val="000000"/>
                <w:sz w:val="20"/>
                <w:lang w:eastAsia="en-NZ"/>
              </w:rPr>
              <w:t>94.5%</w:t>
            </w:r>
          </w:p>
        </w:tc>
        <w:tc>
          <w:tcPr>
            <w:tcW w:w="1153" w:type="dxa"/>
            <w:tcBorders>
              <w:top w:val="single" w:sz="8" w:space="0" w:color="00B0F0"/>
              <w:left w:val="nil"/>
              <w:bottom w:val="single" w:sz="8" w:space="0" w:color="00B0F0"/>
              <w:right w:val="nil"/>
            </w:tcBorders>
            <w:shd w:val="clear" w:color="auto" w:fill="auto"/>
            <w:noWrap/>
            <w:hideMark/>
          </w:tcPr>
          <w:p w:rsidR="00DD6D6D" w:rsidRPr="00D87B3A" w:rsidRDefault="00DD6D6D" w:rsidP="00DD6D6D">
            <w:pPr>
              <w:spacing w:after="0" w:line="240" w:lineRule="auto"/>
              <w:jc w:val="right"/>
              <w:rPr>
                <w:rFonts w:eastAsia="Times New Roman" w:cstheme="minorHAnsi"/>
                <w:color w:val="000000"/>
                <w:sz w:val="20"/>
                <w:lang w:eastAsia="en-NZ"/>
              </w:rPr>
            </w:pPr>
            <w:r w:rsidRPr="00D87B3A">
              <w:rPr>
                <w:rFonts w:eastAsia="Times New Roman" w:cstheme="minorHAnsi"/>
                <w:color w:val="000000"/>
                <w:sz w:val="20"/>
                <w:lang w:eastAsia="en-NZ"/>
              </w:rPr>
              <w:t>96%</w:t>
            </w:r>
          </w:p>
        </w:tc>
        <w:tc>
          <w:tcPr>
            <w:tcW w:w="1175" w:type="dxa"/>
            <w:tcBorders>
              <w:top w:val="single" w:sz="8" w:space="0" w:color="00B0F0"/>
              <w:left w:val="nil"/>
              <w:bottom w:val="single" w:sz="8" w:space="0" w:color="00B0F0"/>
              <w:right w:val="nil"/>
            </w:tcBorders>
            <w:shd w:val="clear" w:color="000000" w:fill="D9D9D9"/>
            <w:hideMark/>
          </w:tcPr>
          <w:p w:rsidR="00DD6D6D" w:rsidRPr="00D87B3A" w:rsidRDefault="00DD6D6D" w:rsidP="00DD6D6D">
            <w:pPr>
              <w:spacing w:after="0" w:line="240" w:lineRule="auto"/>
              <w:jc w:val="right"/>
              <w:rPr>
                <w:rFonts w:eastAsia="Times New Roman" w:cstheme="minorHAnsi"/>
                <w:color w:val="000000"/>
                <w:sz w:val="20"/>
                <w:lang w:eastAsia="en-NZ"/>
              </w:rPr>
            </w:pPr>
            <w:r w:rsidRPr="00D87B3A">
              <w:rPr>
                <w:rFonts w:eastAsia="Times New Roman" w:cstheme="minorHAnsi"/>
                <w:color w:val="000000"/>
                <w:sz w:val="20"/>
                <w:lang w:eastAsia="en-NZ"/>
              </w:rPr>
              <w:t>100%</w:t>
            </w:r>
          </w:p>
        </w:tc>
        <w:tc>
          <w:tcPr>
            <w:tcW w:w="800" w:type="dxa"/>
            <w:gridSpan w:val="2"/>
            <w:tcBorders>
              <w:top w:val="single" w:sz="8" w:space="0" w:color="00B0F0"/>
              <w:left w:val="nil"/>
              <w:bottom w:val="single" w:sz="8" w:space="0" w:color="00B0F0"/>
              <w:right w:val="nil"/>
            </w:tcBorders>
            <w:shd w:val="clear" w:color="auto" w:fill="auto"/>
            <w:hideMark/>
          </w:tcPr>
          <w:p w:rsidR="00DD6D6D" w:rsidRPr="00D87B3A" w:rsidRDefault="00DD6D6D" w:rsidP="00DD6D6D">
            <w:pPr>
              <w:spacing w:after="0" w:line="240" w:lineRule="auto"/>
              <w:jc w:val="right"/>
              <w:rPr>
                <w:rFonts w:eastAsia="Times New Roman" w:cstheme="minorHAnsi"/>
                <w:color w:val="000000"/>
                <w:sz w:val="20"/>
                <w:lang w:eastAsia="en-NZ"/>
              </w:rPr>
            </w:pPr>
            <w:r w:rsidRPr="00D87B3A">
              <w:rPr>
                <w:rFonts w:eastAsia="Times New Roman" w:cstheme="minorHAnsi"/>
                <w:color w:val="000000"/>
                <w:sz w:val="20"/>
                <w:lang w:eastAsia="en-NZ"/>
              </w:rPr>
              <w:t>-4%</w:t>
            </w:r>
          </w:p>
        </w:tc>
        <w:tc>
          <w:tcPr>
            <w:tcW w:w="962" w:type="dxa"/>
            <w:tcBorders>
              <w:top w:val="single" w:sz="8" w:space="0" w:color="00B0F0"/>
              <w:left w:val="nil"/>
              <w:bottom w:val="single" w:sz="8" w:space="0" w:color="00B0F0"/>
              <w:right w:val="single" w:sz="8" w:space="0" w:color="00B0F0"/>
            </w:tcBorders>
            <w:shd w:val="clear" w:color="auto" w:fill="auto"/>
            <w:hideMark/>
          </w:tcPr>
          <w:p w:rsidR="00DD6D6D" w:rsidRDefault="00DD6D6D" w:rsidP="00DD6D6D">
            <w:pPr>
              <w:spacing w:after="0"/>
              <w:jc w:val="right"/>
            </w:pPr>
            <w:r w:rsidRPr="008A4C63">
              <w:rPr>
                <w:rFonts w:eastAsia="Times New Roman" w:cstheme="minorHAnsi"/>
                <w:color w:val="000000"/>
                <w:sz w:val="20"/>
                <w:lang w:eastAsia="en-NZ"/>
              </w:rPr>
              <w:t>Within 10%</w:t>
            </w:r>
          </w:p>
        </w:tc>
        <w:tc>
          <w:tcPr>
            <w:tcW w:w="4536" w:type="dxa"/>
            <w:tcBorders>
              <w:top w:val="single" w:sz="8" w:space="0" w:color="00B0F0"/>
              <w:left w:val="single" w:sz="8" w:space="0" w:color="00B0F0"/>
              <w:bottom w:val="single" w:sz="8" w:space="0" w:color="00B0F0"/>
              <w:right w:val="nil"/>
            </w:tcBorders>
            <w:shd w:val="clear" w:color="auto" w:fill="auto"/>
          </w:tcPr>
          <w:p w:rsidR="00DD6D6D" w:rsidRPr="00D87B3A" w:rsidRDefault="00DD6D6D" w:rsidP="00DD6D6D">
            <w:pPr>
              <w:spacing w:after="0" w:line="240" w:lineRule="auto"/>
              <w:jc w:val="right"/>
              <w:rPr>
                <w:rFonts w:eastAsia="Times New Roman" w:cstheme="minorHAnsi"/>
                <w:color w:val="000000"/>
                <w:sz w:val="20"/>
                <w:lang w:eastAsia="en-NZ"/>
              </w:rPr>
            </w:pPr>
          </w:p>
        </w:tc>
      </w:tr>
      <w:tr w:rsidR="00DD6D6D" w:rsidRPr="00D87B3A" w:rsidTr="00DD6D6D">
        <w:trPr>
          <w:trHeight w:val="525"/>
        </w:trPr>
        <w:tc>
          <w:tcPr>
            <w:tcW w:w="3952" w:type="dxa"/>
            <w:tcBorders>
              <w:top w:val="nil"/>
              <w:left w:val="nil"/>
              <w:bottom w:val="single" w:sz="8" w:space="0" w:color="00B0F0"/>
              <w:right w:val="single" w:sz="8" w:space="0" w:color="00B0F0"/>
            </w:tcBorders>
            <w:shd w:val="clear" w:color="auto" w:fill="auto"/>
            <w:hideMark/>
          </w:tcPr>
          <w:p w:rsidR="00DD6D6D" w:rsidRPr="00D87B3A" w:rsidRDefault="00DD6D6D" w:rsidP="00DD6D6D">
            <w:pPr>
              <w:spacing w:after="0" w:line="240" w:lineRule="auto"/>
              <w:rPr>
                <w:rFonts w:eastAsia="Times New Roman" w:cstheme="minorHAnsi"/>
                <w:color w:val="000000"/>
                <w:sz w:val="20"/>
                <w:lang w:eastAsia="en-NZ"/>
              </w:rPr>
            </w:pPr>
            <w:r w:rsidRPr="00D87B3A">
              <w:rPr>
                <w:rFonts w:eastAsia="Times New Roman" w:cstheme="minorHAnsi"/>
                <w:color w:val="000000"/>
                <w:sz w:val="20"/>
                <w:lang w:eastAsia="en-NZ"/>
              </w:rPr>
              <w:t xml:space="preserve">Subdivision certificates – </w:t>
            </w:r>
            <w:r>
              <w:rPr>
                <w:rFonts w:eastAsia="Times New Roman" w:cstheme="minorHAnsi"/>
                <w:color w:val="000000"/>
                <w:sz w:val="20"/>
                <w:lang w:eastAsia="en-NZ"/>
              </w:rPr>
              <w:t>s</w:t>
            </w:r>
            <w:r w:rsidRPr="00D87B3A">
              <w:rPr>
                <w:rFonts w:eastAsia="Times New Roman" w:cstheme="minorHAnsi"/>
                <w:color w:val="000000"/>
                <w:sz w:val="20"/>
                <w:lang w:eastAsia="en-NZ"/>
              </w:rPr>
              <w:t>ection 223 certificates (%) issued within statutory timeframes</w:t>
            </w:r>
          </w:p>
        </w:tc>
        <w:tc>
          <w:tcPr>
            <w:tcW w:w="1153" w:type="dxa"/>
            <w:gridSpan w:val="2"/>
            <w:tcBorders>
              <w:top w:val="single" w:sz="8" w:space="0" w:color="00B0F0"/>
              <w:left w:val="nil"/>
              <w:bottom w:val="single" w:sz="8" w:space="0" w:color="00B0F0"/>
              <w:right w:val="nil"/>
            </w:tcBorders>
            <w:shd w:val="clear" w:color="auto" w:fill="auto"/>
            <w:noWrap/>
            <w:hideMark/>
          </w:tcPr>
          <w:p w:rsidR="00DD6D6D" w:rsidRPr="00D87B3A" w:rsidRDefault="00DD6D6D" w:rsidP="00DD6D6D">
            <w:pPr>
              <w:spacing w:after="0" w:line="240" w:lineRule="auto"/>
              <w:jc w:val="right"/>
              <w:rPr>
                <w:rFonts w:eastAsia="Times New Roman" w:cstheme="minorHAnsi"/>
                <w:color w:val="000000"/>
                <w:sz w:val="20"/>
                <w:lang w:eastAsia="en-NZ"/>
              </w:rPr>
            </w:pPr>
            <w:r w:rsidRPr="00D87B3A">
              <w:rPr>
                <w:rFonts w:eastAsia="Times New Roman" w:cstheme="minorHAnsi"/>
                <w:color w:val="000000"/>
                <w:sz w:val="20"/>
                <w:lang w:eastAsia="en-NZ"/>
              </w:rPr>
              <w:t>100%</w:t>
            </w:r>
          </w:p>
        </w:tc>
        <w:tc>
          <w:tcPr>
            <w:tcW w:w="1154" w:type="dxa"/>
            <w:gridSpan w:val="3"/>
            <w:tcBorders>
              <w:top w:val="single" w:sz="8" w:space="0" w:color="00B0F0"/>
              <w:left w:val="nil"/>
              <w:bottom w:val="single" w:sz="8" w:space="0" w:color="00B0F0"/>
              <w:right w:val="nil"/>
            </w:tcBorders>
            <w:shd w:val="clear" w:color="auto" w:fill="auto"/>
            <w:noWrap/>
            <w:hideMark/>
          </w:tcPr>
          <w:p w:rsidR="00DD6D6D" w:rsidRPr="00D87B3A" w:rsidRDefault="00DD6D6D" w:rsidP="00DD6D6D">
            <w:pPr>
              <w:spacing w:after="0" w:line="240" w:lineRule="auto"/>
              <w:jc w:val="right"/>
              <w:rPr>
                <w:rFonts w:eastAsia="Times New Roman" w:cstheme="minorHAnsi"/>
                <w:color w:val="000000"/>
                <w:sz w:val="20"/>
                <w:lang w:eastAsia="en-NZ"/>
              </w:rPr>
            </w:pPr>
            <w:r w:rsidRPr="00D87B3A">
              <w:rPr>
                <w:rFonts w:eastAsia="Times New Roman" w:cstheme="minorHAnsi"/>
                <w:color w:val="000000"/>
                <w:sz w:val="20"/>
                <w:lang w:eastAsia="en-NZ"/>
              </w:rPr>
              <w:t>100%</w:t>
            </w:r>
          </w:p>
        </w:tc>
        <w:tc>
          <w:tcPr>
            <w:tcW w:w="1153" w:type="dxa"/>
            <w:tcBorders>
              <w:top w:val="single" w:sz="8" w:space="0" w:color="00B0F0"/>
              <w:left w:val="nil"/>
              <w:bottom w:val="single" w:sz="8" w:space="0" w:color="00B0F0"/>
              <w:right w:val="nil"/>
            </w:tcBorders>
            <w:shd w:val="clear" w:color="auto" w:fill="auto"/>
            <w:noWrap/>
            <w:hideMark/>
          </w:tcPr>
          <w:p w:rsidR="00DD6D6D" w:rsidRPr="00D87B3A" w:rsidRDefault="00DD6D6D" w:rsidP="00DD6D6D">
            <w:pPr>
              <w:spacing w:after="0" w:line="240" w:lineRule="auto"/>
              <w:jc w:val="right"/>
              <w:rPr>
                <w:rFonts w:eastAsia="Times New Roman" w:cstheme="minorHAnsi"/>
                <w:color w:val="000000"/>
                <w:sz w:val="20"/>
                <w:lang w:eastAsia="en-NZ"/>
              </w:rPr>
            </w:pPr>
            <w:r w:rsidRPr="00D87B3A">
              <w:rPr>
                <w:rFonts w:eastAsia="Times New Roman" w:cstheme="minorHAnsi"/>
                <w:color w:val="000000"/>
                <w:sz w:val="20"/>
                <w:lang w:eastAsia="en-NZ"/>
              </w:rPr>
              <w:t>9</w:t>
            </w:r>
            <w:r>
              <w:rPr>
                <w:rFonts w:eastAsia="Times New Roman" w:cstheme="minorHAnsi"/>
                <w:color w:val="000000"/>
                <w:sz w:val="20"/>
                <w:lang w:eastAsia="en-NZ"/>
              </w:rPr>
              <w:t>8.5</w:t>
            </w:r>
            <w:r w:rsidRPr="00D87B3A">
              <w:rPr>
                <w:rFonts w:eastAsia="Times New Roman" w:cstheme="minorHAnsi"/>
                <w:color w:val="000000"/>
                <w:sz w:val="20"/>
                <w:lang w:eastAsia="en-NZ"/>
              </w:rPr>
              <w:t>%</w:t>
            </w:r>
          </w:p>
        </w:tc>
        <w:tc>
          <w:tcPr>
            <w:tcW w:w="1175" w:type="dxa"/>
            <w:tcBorders>
              <w:top w:val="single" w:sz="8" w:space="0" w:color="00B0F0"/>
              <w:left w:val="nil"/>
              <w:bottom w:val="single" w:sz="8" w:space="0" w:color="00B0F0"/>
              <w:right w:val="nil"/>
            </w:tcBorders>
            <w:shd w:val="clear" w:color="000000" w:fill="D9D9D9"/>
            <w:hideMark/>
          </w:tcPr>
          <w:p w:rsidR="00DD6D6D" w:rsidRPr="00D87B3A" w:rsidRDefault="00DD6D6D" w:rsidP="00DD6D6D">
            <w:pPr>
              <w:spacing w:after="0" w:line="240" w:lineRule="auto"/>
              <w:jc w:val="right"/>
              <w:rPr>
                <w:rFonts w:eastAsia="Times New Roman" w:cstheme="minorHAnsi"/>
                <w:color w:val="000000"/>
                <w:sz w:val="20"/>
                <w:lang w:eastAsia="en-NZ"/>
              </w:rPr>
            </w:pPr>
            <w:r w:rsidRPr="00D87B3A">
              <w:rPr>
                <w:rFonts w:eastAsia="Times New Roman" w:cstheme="minorHAnsi"/>
                <w:color w:val="000000"/>
                <w:sz w:val="20"/>
                <w:lang w:eastAsia="en-NZ"/>
              </w:rPr>
              <w:t>100%</w:t>
            </w:r>
          </w:p>
        </w:tc>
        <w:tc>
          <w:tcPr>
            <w:tcW w:w="800" w:type="dxa"/>
            <w:gridSpan w:val="2"/>
            <w:tcBorders>
              <w:top w:val="single" w:sz="8" w:space="0" w:color="00B0F0"/>
              <w:left w:val="nil"/>
              <w:bottom w:val="single" w:sz="8" w:space="0" w:color="00B0F0"/>
              <w:right w:val="nil"/>
            </w:tcBorders>
            <w:shd w:val="clear" w:color="auto" w:fill="auto"/>
            <w:hideMark/>
          </w:tcPr>
          <w:p w:rsidR="00DD6D6D" w:rsidRPr="00D87B3A" w:rsidRDefault="00DD6D6D" w:rsidP="00DD6D6D">
            <w:pPr>
              <w:spacing w:after="0" w:line="240" w:lineRule="auto"/>
              <w:jc w:val="right"/>
              <w:rPr>
                <w:rFonts w:eastAsia="Times New Roman" w:cstheme="minorHAnsi"/>
                <w:color w:val="000000"/>
                <w:sz w:val="20"/>
                <w:lang w:eastAsia="en-NZ"/>
              </w:rPr>
            </w:pPr>
            <w:r w:rsidRPr="00D87B3A">
              <w:rPr>
                <w:rFonts w:eastAsia="Times New Roman" w:cstheme="minorHAnsi"/>
                <w:color w:val="000000"/>
                <w:sz w:val="20"/>
                <w:lang w:eastAsia="en-NZ"/>
              </w:rPr>
              <w:t>-2%</w:t>
            </w:r>
          </w:p>
        </w:tc>
        <w:tc>
          <w:tcPr>
            <w:tcW w:w="962" w:type="dxa"/>
            <w:tcBorders>
              <w:top w:val="single" w:sz="8" w:space="0" w:color="00B0F0"/>
              <w:left w:val="nil"/>
              <w:bottom w:val="single" w:sz="8" w:space="0" w:color="00B0F0"/>
              <w:right w:val="single" w:sz="8" w:space="0" w:color="00B0F0"/>
            </w:tcBorders>
            <w:shd w:val="clear" w:color="auto" w:fill="auto"/>
            <w:hideMark/>
          </w:tcPr>
          <w:p w:rsidR="00DD6D6D" w:rsidRDefault="00DD6D6D" w:rsidP="00DD6D6D">
            <w:pPr>
              <w:spacing w:after="0"/>
              <w:jc w:val="right"/>
            </w:pPr>
            <w:r w:rsidRPr="008A4C63">
              <w:rPr>
                <w:rFonts w:eastAsia="Times New Roman" w:cstheme="minorHAnsi"/>
                <w:color w:val="000000"/>
                <w:sz w:val="20"/>
                <w:lang w:eastAsia="en-NZ"/>
              </w:rPr>
              <w:t>Within 10%</w:t>
            </w:r>
          </w:p>
        </w:tc>
        <w:tc>
          <w:tcPr>
            <w:tcW w:w="4536" w:type="dxa"/>
            <w:tcBorders>
              <w:top w:val="single" w:sz="8" w:space="0" w:color="00B0F0"/>
              <w:left w:val="single" w:sz="8" w:space="0" w:color="00B0F0"/>
              <w:bottom w:val="single" w:sz="8" w:space="0" w:color="00B0F0"/>
              <w:right w:val="nil"/>
            </w:tcBorders>
            <w:shd w:val="clear" w:color="auto" w:fill="auto"/>
          </w:tcPr>
          <w:p w:rsidR="00DD6D6D" w:rsidRPr="00D87B3A" w:rsidRDefault="00DD6D6D" w:rsidP="00DD6D6D">
            <w:pPr>
              <w:spacing w:after="0" w:line="240" w:lineRule="auto"/>
              <w:jc w:val="right"/>
              <w:rPr>
                <w:rFonts w:eastAsia="Times New Roman" w:cstheme="minorHAnsi"/>
                <w:color w:val="000000"/>
                <w:sz w:val="20"/>
                <w:lang w:eastAsia="en-NZ"/>
              </w:rPr>
            </w:pPr>
          </w:p>
        </w:tc>
      </w:tr>
      <w:tr w:rsidR="00DD6D6D" w:rsidRPr="00D87B3A" w:rsidTr="00DD6D6D">
        <w:trPr>
          <w:trHeight w:val="270"/>
        </w:trPr>
        <w:tc>
          <w:tcPr>
            <w:tcW w:w="3952" w:type="dxa"/>
            <w:tcBorders>
              <w:top w:val="nil"/>
              <w:left w:val="nil"/>
              <w:right w:val="single" w:sz="8" w:space="0" w:color="00B0F0"/>
            </w:tcBorders>
            <w:shd w:val="clear" w:color="auto" w:fill="auto"/>
            <w:hideMark/>
          </w:tcPr>
          <w:p w:rsidR="00DD6D6D" w:rsidRPr="00D87B3A" w:rsidRDefault="00DD6D6D" w:rsidP="00DD6D6D">
            <w:pPr>
              <w:spacing w:after="0" w:line="240" w:lineRule="auto"/>
              <w:rPr>
                <w:rFonts w:eastAsia="Times New Roman" w:cstheme="minorHAnsi"/>
                <w:color w:val="000000"/>
                <w:sz w:val="20"/>
                <w:lang w:eastAsia="en-NZ"/>
              </w:rPr>
            </w:pPr>
            <w:r w:rsidRPr="00D87B3A">
              <w:rPr>
                <w:rFonts w:eastAsia="Times New Roman" w:cstheme="minorHAnsi"/>
                <w:color w:val="000000"/>
                <w:sz w:val="20"/>
                <w:lang w:eastAsia="en-NZ"/>
              </w:rPr>
              <w:t>Noise control (excessive noise) complaints (%) investigated within 1 hour</w:t>
            </w:r>
          </w:p>
        </w:tc>
        <w:tc>
          <w:tcPr>
            <w:tcW w:w="1153" w:type="dxa"/>
            <w:gridSpan w:val="2"/>
            <w:tcBorders>
              <w:top w:val="single" w:sz="8" w:space="0" w:color="00B0F0"/>
              <w:left w:val="nil"/>
              <w:right w:val="nil"/>
            </w:tcBorders>
            <w:shd w:val="clear" w:color="auto" w:fill="auto"/>
            <w:noWrap/>
            <w:hideMark/>
          </w:tcPr>
          <w:p w:rsidR="00DD6D6D" w:rsidRPr="00D87B3A" w:rsidRDefault="00DD6D6D" w:rsidP="00DD6D6D">
            <w:pPr>
              <w:spacing w:after="0" w:line="240" w:lineRule="auto"/>
              <w:jc w:val="right"/>
              <w:rPr>
                <w:rFonts w:eastAsia="Times New Roman" w:cstheme="minorHAnsi"/>
                <w:color w:val="000000"/>
                <w:sz w:val="20"/>
                <w:lang w:eastAsia="en-NZ"/>
              </w:rPr>
            </w:pPr>
            <w:r w:rsidRPr="00D87B3A">
              <w:rPr>
                <w:rFonts w:eastAsia="Times New Roman" w:cstheme="minorHAnsi"/>
                <w:color w:val="000000"/>
                <w:sz w:val="20"/>
                <w:lang w:eastAsia="en-NZ"/>
              </w:rPr>
              <w:t>96.7%</w:t>
            </w:r>
          </w:p>
        </w:tc>
        <w:tc>
          <w:tcPr>
            <w:tcW w:w="1154" w:type="dxa"/>
            <w:gridSpan w:val="3"/>
            <w:tcBorders>
              <w:top w:val="single" w:sz="8" w:space="0" w:color="00B0F0"/>
              <w:left w:val="nil"/>
              <w:right w:val="nil"/>
            </w:tcBorders>
            <w:shd w:val="clear" w:color="auto" w:fill="auto"/>
            <w:noWrap/>
            <w:hideMark/>
          </w:tcPr>
          <w:p w:rsidR="00DD6D6D" w:rsidRPr="00D87B3A" w:rsidRDefault="00DD6D6D" w:rsidP="00DD6D6D">
            <w:pPr>
              <w:spacing w:after="0" w:line="240" w:lineRule="auto"/>
              <w:jc w:val="right"/>
              <w:rPr>
                <w:rFonts w:eastAsia="Times New Roman" w:cstheme="minorHAnsi"/>
                <w:color w:val="000000"/>
                <w:sz w:val="20"/>
                <w:lang w:eastAsia="en-NZ"/>
              </w:rPr>
            </w:pPr>
            <w:r w:rsidRPr="00D87B3A">
              <w:rPr>
                <w:rFonts w:eastAsia="Times New Roman" w:cstheme="minorHAnsi"/>
                <w:color w:val="000000"/>
                <w:sz w:val="20"/>
                <w:lang w:eastAsia="en-NZ"/>
              </w:rPr>
              <w:t>95%</w:t>
            </w:r>
          </w:p>
        </w:tc>
        <w:tc>
          <w:tcPr>
            <w:tcW w:w="1153" w:type="dxa"/>
            <w:tcBorders>
              <w:top w:val="single" w:sz="8" w:space="0" w:color="00B0F0"/>
              <w:left w:val="nil"/>
              <w:right w:val="nil"/>
            </w:tcBorders>
            <w:shd w:val="clear" w:color="auto" w:fill="auto"/>
            <w:noWrap/>
            <w:hideMark/>
          </w:tcPr>
          <w:p w:rsidR="00DD6D6D" w:rsidRPr="00D87B3A" w:rsidRDefault="00DD6D6D" w:rsidP="00DD6D6D">
            <w:pPr>
              <w:spacing w:after="0" w:line="240" w:lineRule="auto"/>
              <w:jc w:val="right"/>
              <w:rPr>
                <w:rFonts w:eastAsia="Times New Roman" w:cstheme="minorHAnsi"/>
                <w:color w:val="000000"/>
                <w:sz w:val="20"/>
                <w:lang w:eastAsia="en-NZ"/>
              </w:rPr>
            </w:pPr>
            <w:r w:rsidRPr="00D87B3A">
              <w:rPr>
                <w:rFonts w:eastAsia="Times New Roman" w:cstheme="minorHAnsi"/>
                <w:color w:val="000000"/>
                <w:sz w:val="20"/>
                <w:lang w:eastAsia="en-NZ"/>
              </w:rPr>
              <w:t>96%</w:t>
            </w:r>
          </w:p>
        </w:tc>
        <w:tc>
          <w:tcPr>
            <w:tcW w:w="1175" w:type="dxa"/>
            <w:tcBorders>
              <w:top w:val="single" w:sz="8" w:space="0" w:color="00B0F0"/>
              <w:left w:val="nil"/>
              <w:right w:val="nil"/>
            </w:tcBorders>
            <w:shd w:val="clear" w:color="000000" w:fill="D9D9D9"/>
            <w:hideMark/>
          </w:tcPr>
          <w:p w:rsidR="00DD6D6D" w:rsidRPr="00D87B3A" w:rsidRDefault="00DD6D6D" w:rsidP="00DD6D6D">
            <w:pPr>
              <w:spacing w:after="0" w:line="240" w:lineRule="auto"/>
              <w:jc w:val="right"/>
              <w:rPr>
                <w:rFonts w:eastAsia="Times New Roman" w:cstheme="minorHAnsi"/>
                <w:color w:val="000000"/>
                <w:sz w:val="20"/>
                <w:lang w:eastAsia="en-NZ"/>
              </w:rPr>
            </w:pPr>
            <w:r w:rsidRPr="00D87B3A">
              <w:rPr>
                <w:rFonts w:eastAsia="Times New Roman" w:cstheme="minorHAnsi"/>
                <w:color w:val="000000"/>
                <w:sz w:val="20"/>
                <w:lang w:eastAsia="en-NZ"/>
              </w:rPr>
              <w:t>90%</w:t>
            </w:r>
          </w:p>
        </w:tc>
        <w:tc>
          <w:tcPr>
            <w:tcW w:w="800" w:type="dxa"/>
            <w:gridSpan w:val="2"/>
            <w:tcBorders>
              <w:top w:val="single" w:sz="8" w:space="0" w:color="00B0F0"/>
              <w:left w:val="nil"/>
              <w:right w:val="nil"/>
            </w:tcBorders>
            <w:shd w:val="clear" w:color="auto" w:fill="auto"/>
            <w:hideMark/>
          </w:tcPr>
          <w:p w:rsidR="00DD6D6D" w:rsidRPr="00D87B3A" w:rsidRDefault="00DD6D6D" w:rsidP="00DD6D6D">
            <w:pPr>
              <w:spacing w:after="0" w:line="240" w:lineRule="auto"/>
              <w:jc w:val="right"/>
              <w:rPr>
                <w:rFonts w:eastAsia="Times New Roman" w:cstheme="minorHAnsi"/>
                <w:color w:val="000000"/>
                <w:sz w:val="20"/>
                <w:lang w:eastAsia="en-NZ"/>
              </w:rPr>
            </w:pPr>
            <w:r w:rsidRPr="00D87B3A">
              <w:rPr>
                <w:rFonts w:eastAsia="Times New Roman" w:cstheme="minorHAnsi"/>
                <w:color w:val="000000"/>
                <w:sz w:val="20"/>
                <w:lang w:eastAsia="en-NZ"/>
              </w:rPr>
              <w:t>7%</w:t>
            </w:r>
          </w:p>
        </w:tc>
        <w:tc>
          <w:tcPr>
            <w:tcW w:w="962" w:type="dxa"/>
            <w:tcBorders>
              <w:top w:val="single" w:sz="8" w:space="0" w:color="00B0F0"/>
              <w:left w:val="nil"/>
              <w:right w:val="single" w:sz="8" w:space="0" w:color="00B0F0"/>
            </w:tcBorders>
            <w:shd w:val="clear" w:color="auto" w:fill="auto"/>
            <w:hideMark/>
          </w:tcPr>
          <w:p w:rsidR="00DD6D6D" w:rsidRDefault="00DD6D6D" w:rsidP="00DD6D6D">
            <w:pPr>
              <w:spacing w:after="0"/>
              <w:jc w:val="right"/>
            </w:pPr>
            <w:r w:rsidRPr="008A4C63">
              <w:rPr>
                <w:rFonts w:eastAsia="Times New Roman" w:cstheme="minorHAnsi"/>
                <w:color w:val="000000"/>
                <w:sz w:val="20"/>
                <w:lang w:eastAsia="en-NZ"/>
              </w:rPr>
              <w:t>Within 10%</w:t>
            </w:r>
          </w:p>
        </w:tc>
        <w:tc>
          <w:tcPr>
            <w:tcW w:w="4536" w:type="dxa"/>
            <w:tcBorders>
              <w:top w:val="single" w:sz="8" w:space="0" w:color="00B0F0"/>
              <w:left w:val="single" w:sz="8" w:space="0" w:color="00B0F0"/>
              <w:right w:val="nil"/>
            </w:tcBorders>
            <w:shd w:val="clear" w:color="auto" w:fill="auto"/>
          </w:tcPr>
          <w:p w:rsidR="00DD6D6D" w:rsidRPr="00D87B3A" w:rsidRDefault="00DD6D6D" w:rsidP="00DD6D6D">
            <w:pPr>
              <w:spacing w:after="0" w:line="240" w:lineRule="auto"/>
              <w:jc w:val="right"/>
              <w:rPr>
                <w:rFonts w:eastAsia="Times New Roman" w:cstheme="minorHAnsi"/>
                <w:color w:val="000000"/>
                <w:sz w:val="20"/>
                <w:lang w:eastAsia="en-NZ"/>
              </w:rPr>
            </w:pPr>
          </w:p>
        </w:tc>
      </w:tr>
      <w:tr w:rsidR="00424AFD" w:rsidRPr="00D87B3A" w:rsidTr="00DD6D6D">
        <w:trPr>
          <w:trHeight w:val="315"/>
        </w:trPr>
        <w:tc>
          <w:tcPr>
            <w:tcW w:w="3952" w:type="dxa"/>
            <w:tcBorders>
              <w:left w:val="nil"/>
            </w:tcBorders>
            <w:shd w:val="clear" w:color="auto" w:fill="B7ECFF"/>
            <w:hideMark/>
          </w:tcPr>
          <w:p w:rsidR="00424AFD" w:rsidRPr="00D87B3A" w:rsidRDefault="00424AFD" w:rsidP="00563C30">
            <w:pPr>
              <w:spacing w:after="0" w:line="240" w:lineRule="auto"/>
              <w:rPr>
                <w:rFonts w:eastAsia="Times New Roman" w:cstheme="minorHAnsi"/>
                <w:b/>
                <w:i/>
                <w:lang w:eastAsia="en-NZ"/>
              </w:rPr>
            </w:pPr>
            <w:r w:rsidRPr="00D87B3A">
              <w:rPr>
                <w:rFonts w:eastAsia="Times New Roman" w:cstheme="minorHAnsi"/>
                <w:b/>
                <w:i/>
                <w:lang w:eastAsia="en-NZ"/>
              </w:rPr>
              <w:t>Customer focus</w:t>
            </w:r>
          </w:p>
        </w:tc>
        <w:tc>
          <w:tcPr>
            <w:tcW w:w="1153" w:type="dxa"/>
            <w:gridSpan w:val="2"/>
            <w:shd w:val="clear" w:color="auto" w:fill="B7ECFF"/>
            <w:noWrap/>
            <w:hideMark/>
          </w:tcPr>
          <w:p w:rsidR="00424AFD" w:rsidRPr="00D87B3A" w:rsidRDefault="00424AFD" w:rsidP="00563C30">
            <w:pPr>
              <w:spacing w:after="0" w:line="240" w:lineRule="auto"/>
              <w:jc w:val="right"/>
              <w:rPr>
                <w:rFonts w:eastAsia="Times New Roman" w:cstheme="minorHAnsi"/>
                <w:sz w:val="20"/>
                <w:lang w:eastAsia="en-NZ"/>
              </w:rPr>
            </w:pPr>
          </w:p>
        </w:tc>
        <w:tc>
          <w:tcPr>
            <w:tcW w:w="1154" w:type="dxa"/>
            <w:gridSpan w:val="3"/>
            <w:shd w:val="clear" w:color="auto" w:fill="B7ECFF"/>
            <w:noWrap/>
            <w:hideMark/>
          </w:tcPr>
          <w:p w:rsidR="00424AFD" w:rsidRPr="00D87B3A" w:rsidRDefault="00424AFD" w:rsidP="00563C30">
            <w:pPr>
              <w:spacing w:after="0" w:line="240" w:lineRule="auto"/>
              <w:jc w:val="right"/>
              <w:rPr>
                <w:rFonts w:eastAsia="Times New Roman" w:cstheme="minorHAnsi"/>
                <w:sz w:val="20"/>
                <w:lang w:eastAsia="en-NZ"/>
              </w:rPr>
            </w:pPr>
          </w:p>
        </w:tc>
        <w:tc>
          <w:tcPr>
            <w:tcW w:w="1153" w:type="dxa"/>
            <w:shd w:val="clear" w:color="auto" w:fill="B7ECFF"/>
            <w:noWrap/>
            <w:hideMark/>
          </w:tcPr>
          <w:p w:rsidR="00424AFD" w:rsidRPr="00D87B3A" w:rsidRDefault="00424AFD" w:rsidP="00563C30">
            <w:pPr>
              <w:spacing w:after="0" w:line="240" w:lineRule="auto"/>
              <w:jc w:val="right"/>
              <w:rPr>
                <w:rFonts w:eastAsia="Times New Roman" w:cstheme="minorHAnsi"/>
                <w:sz w:val="20"/>
                <w:lang w:eastAsia="en-NZ"/>
              </w:rPr>
            </w:pPr>
          </w:p>
        </w:tc>
        <w:tc>
          <w:tcPr>
            <w:tcW w:w="1175" w:type="dxa"/>
            <w:shd w:val="clear" w:color="auto" w:fill="B7ECFF"/>
            <w:hideMark/>
          </w:tcPr>
          <w:p w:rsidR="00424AFD" w:rsidRPr="00D87B3A" w:rsidRDefault="00424AFD" w:rsidP="00563C30">
            <w:pPr>
              <w:spacing w:after="0" w:line="240" w:lineRule="auto"/>
              <w:rPr>
                <w:rFonts w:eastAsia="Times New Roman" w:cstheme="minorHAnsi"/>
                <w:lang w:eastAsia="en-NZ"/>
              </w:rPr>
            </w:pPr>
            <w:r w:rsidRPr="00D87B3A">
              <w:rPr>
                <w:rFonts w:eastAsia="Times New Roman" w:cstheme="minorHAnsi"/>
                <w:lang w:eastAsia="en-NZ"/>
              </w:rPr>
              <w:t> </w:t>
            </w:r>
          </w:p>
        </w:tc>
        <w:tc>
          <w:tcPr>
            <w:tcW w:w="800" w:type="dxa"/>
            <w:gridSpan w:val="2"/>
            <w:shd w:val="clear" w:color="auto" w:fill="B7ECFF"/>
            <w:hideMark/>
          </w:tcPr>
          <w:p w:rsidR="00424AFD" w:rsidRPr="00D87B3A" w:rsidRDefault="00424AFD" w:rsidP="00563C30">
            <w:pPr>
              <w:spacing w:after="0" w:line="240" w:lineRule="auto"/>
              <w:jc w:val="right"/>
              <w:rPr>
                <w:rFonts w:eastAsia="Times New Roman" w:cstheme="minorHAnsi"/>
                <w:sz w:val="20"/>
                <w:lang w:eastAsia="en-NZ"/>
              </w:rPr>
            </w:pPr>
          </w:p>
        </w:tc>
        <w:tc>
          <w:tcPr>
            <w:tcW w:w="962" w:type="dxa"/>
            <w:shd w:val="clear" w:color="auto" w:fill="B7ECFF"/>
            <w:hideMark/>
          </w:tcPr>
          <w:p w:rsidR="00424AFD" w:rsidRPr="00D87B3A" w:rsidRDefault="00424AFD" w:rsidP="00563C30">
            <w:pPr>
              <w:spacing w:after="0" w:line="240" w:lineRule="auto"/>
              <w:jc w:val="right"/>
              <w:rPr>
                <w:rFonts w:eastAsia="Times New Roman" w:cstheme="minorHAnsi"/>
                <w:sz w:val="20"/>
                <w:lang w:eastAsia="en-NZ"/>
              </w:rPr>
            </w:pPr>
          </w:p>
        </w:tc>
        <w:tc>
          <w:tcPr>
            <w:tcW w:w="4536" w:type="dxa"/>
            <w:tcBorders>
              <w:right w:val="nil"/>
            </w:tcBorders>
            <w:shd w:val="clear" w:color="auto" w:fill="B7ECFF"/>
            <w:hideMark/>
          </w:tcPr>
          <w:p w:rsidR="00424AFD" w:rsidRPr="00D87B3A" w:rsidRDefault="00424AFD" w:rsidP="00563C30">
            <w:pPr>
              <w:spacing w:after="0" w:line="240" w:lineRule="auto"/>
              <w:rPr>
                <w:rFonts w:eastAsia="Times New Roman" w:cstheme="minorHAnsi"/>
                <w:sz w:val="20"/>
                <w:lang w:eastAsia="en-NZ"/>
              </w:rPr>
            </w:pPr>
          </w:p>
        </w:tc>
      </w:tr>
      <w:tr w:rsidR="00424AFD" w:rsidRPr="00D87B3A" w:rsidTr="00DD6D6D">
        <w:trPr>
          <w:trHeight w:val="318"/>
        </w:trPr>
        <w:tc>
          <w:tcPr>
            <w:tcW w:w="3952" w:type="dxa"/>
            <w:tcBorders>
              <w:left w:val="nil"/>
              <w:bottom w:val="single" w:sz="8" w:space="0" w:color="00B0F0"/>
              <w:right w:val="single" w:sz="8" w:space="0" w:color="00B0F0"/>
            </w:tcBorders>
            <w:shd w:val="clear" w:color="auto" w:fill="auto"/>
            <w:hideMark/>
          </w:tcPr>
          <w:p w:rsidR="00424AFD" w:rsidRPr="00D87B3A" w:rsidRDefault="00424AFD" w:rsidP="00563C30">
            <w:pPr>
              <w:spacing w:after="0" w:line="240" w:lineRule="auto"/>
              <w:rPr>
                <w:rFonts w:eastAsia="Times New Roman" w:cstheme="minorHAnsi"/>
                <w:color w:val="000000"/>
                <w:sz w:val="20"/>
                <w:lang w:eastAsia="en-NZ"/>
              </w:rPr>
            </w:pPr>
            <w:r w:rsidRPr="00D87B3A">
              <w:rPr>
                <w:rFonts w:eastAsia="Times New Roman" w:cstheme="minorHAnsi"/>
                <w:color w:val="000000"/>
                <w:sz w:val="20"/>
                <w:lang w:eastAsia="en-NZ"/>
              </w:rPr>
              <w:t xml:space="preserve">Customers (%) who rate building control service as good or very good </w:t>
            </w:r>
          </w:p>
        </w:tc>
        <w:tc>
          <w:tcPr>
            <w:tcW w:w="1159" w:type="dxa"/>
            <w:gridSpan w:val="3"/>
            <w:tcBorders>
              <w:bottom w:val="single" w:sz="8" w:space="0" w:color="00B0F0"/>
            </w:tcBorders>
            <w:shd w:val="clear" w:color="auto" w:fill="auto"/>
            <w:noWrap/>
            <w:hideMark/>
          </w:tcPr>
          <w:p w:rsidR="00424AFD" w:rsidRPr="00D87B3A" w:rsidRDefault="00424AFD" w:rsidP="00563C30">
            <w:pPr>
              <w:spacing w:after="0" w:line="240" w:lineRule="auto"/>
              <w:jc w:val="right"/>
              <w:rPr>
                <w:rFonts w:eastAsia="Times New Roman" w:cstheme="minorHAnsi"/>
                <w:color w:val="000000"/>
                <w:sz w:val="20"/>
                <w:lang w:eastAsia="en-NZ"/>
              </w:rPr>
            </w:pPr>
            <w:r w:rsidRPr="00D87B3A">
              <w:rPr>
                <w:rFonts w:eastAsia="Times New Roman" w:cstheme="minorHAnsi"/>
                <w:color w:val="000000"/>
                <w:sz w:val="20"/>
                <w:lang w:eastAsia="en-NZ"/>
              </w:rPr>
              <w:t>74%</w:t>
            </w:r>
          </w:p>
        </w:tc>
        <w:tc>
          <w:tcPr>
            <w:tcW w:w="1148" w:type="dxa"/>
            <w:gridSpan w:val="2"/>
            <w:tcBorders>
              <w:bottom w:val="single" w:sz="8" w:space="0" w:color="00B0F0"/>
            </w:tcBorders>
            <w:shd w:val="clear" w:color="auto" w:fill="auto"/>
            <w:noWrap/>
            <w:hideMark/>
          </w:tcPr>
          <w:p w:rsidR="00424AFD" w:rsidRPr="00D87B3A" w:rsidRDefault="00424AFD" w:rsidP="00563C30">
            <w:pPr>
              <w:spacing w:after="0" w:line="240" w:lineRule="auto"/>
              <w:jc w:val="right"/>
              <w:rPr>
                <w:rFonts w:eastAsia="Times New Roman" w:cstheme="minorHAnsi"/>
                <w:color w:val="000000"/>
                <w:sz w:val="20"/>
                <w:lang w:eastAsia="en-NZ"/>
              </w:rPr>
            </w:pPr>
            <w:r w:rsidRPr="00D87B3A">
              <w:rPr>
                <w:rFonts w:eastAsia="Times New Roman" w:cstheme="minorHAnsi"/>
                <w:color w:val="000000"/>
                <w:sz w:val="20"/>
                <w:lang w:eastAsia="en-NZ"/>
              </w:rPr>
              <w:t>74%</w:t>
            </w:r>
          </w:p>
        </w:tc>
        <w:tc>
          <w:tcPr>
            <w:tcW w:w="1153" w:type="dxa"/>
            <w:tcBorders>
              <w:bottom w:val="single" w:sz="8" w:space="0" w:color="00B0F0"/>
            </w:tcBorders>
            <w:shd w:val="clear" w:color="auto" w:fill="auto"/>
            <w:noWrap/>
            <w:hideMark/>
          </w:tcPr>
          <w:p w:rsidR="00424AFD" w:rsidRPr="00D87B3A" w:rsidRDefault="00424AFD" w:rsidP="00563C30">
            <w:pPr>
              <w:spacing w:after="0" w:line="240" w:lineRule="auto"/>
              <w:jc w:val="right"/>
              <w:rPr>
                <w:rFonts w:eastAsia="Times New Roman" w:cstheme="minorHAnsi"/>
                <w:color w:val="000000"/>
                <w:sz w:val="20"/>
                <w:lang w:eastAsia="en-NZ"/>
              </w:rPr>
            </w:pPr>
            <w:r w:rsidRPr="00D87B3A">
              <w:rPr>
                <w:rFonts w:eastAsia="Times New Roman" w:cstheme="minorHAnsi"/>
                <w:color w:val="000000"/>
                <w:sz w:val="20"/>
                <w:lang w:eastAsia="en-NZ"/>
              </w:rPr>
              <w:t>65%</w:t>
            </w:r>
          </w:p>
        </w:tc>
        <w:tc>
          <w:tcPr>
            <w:tcW w:w="1175" w:type="dxa"/>
            <w:tcBorders>
              <w:bottom w:val="single" w:sz="8" w:space="0" w:color="00B0F0"/>
            </w:tcBorders>
            <w:shd w:val="clear" w:color="000000" w:fill="D9D9D9"/>
            <w:hideMark/>
          </w:tcPr>
          <w:p w:rsidR="00424AFD" w:rsidRPr="00D87B3A" w:rsidRDefault="00424AFD" w:rsidP="00563C30">
            <w:pPr>
              <w:spacing w:after="0" w:line="240" w:lineRule="auto"/>
              <w:jc w:val="right"/>
              <w:rPr>
                <w:rFonts w:eastAsia="Times New Roman" w:cstheme="minorHAnsi"/>
                <w:color w:val="000000"/>
                <w:sz w:val="20"/>
                <w:lang w:eastAsia="en-NZ"/>
              </w:rPr>
            </w:pPr>
            <w:r w:rsidRPr="00D87B3A">
              <w:rPr>
                <w:rFonts w:eastAsia="Times New Roman" w:cstheme="minorHAnsi"/>
                <w:color w:val="000000"/>
                <w:sz w:val="20"/>
                <w:lang w:eastAsia="en-NZ"/>
              </w:rPr>
              <w:t>70%</w:t>
            </w:r>
          </w:p>
        </w:tc>
        <w:tc>
          <w:tcPr>
            <w:tcW w:w="800" w:type="dxa"/>
            <w:gridSpan w:val="2"/>
            <w:tcBorders>
              <w:bottom w:val="single" w:sz="8" w:space="0" w:color="00B0F0"/>
            </w:tcBorders>
            <w:shd w:val="clear" w:color="auto" w:fill="auto"/>
            <w:hideMark/>
          </w:tcPr>
          <w:p w:rsidR="00424AFD" w:rsidRPr="00D87B3A" w:rsidRDefault="00424AFD" w:rsidP="00563C30">
            <w:pPr>
              <w:spacing w:after="0" w:line="240" w:lineRule="auto"/>
              <w:jc w:val="right"/>
              <w:rPr>
                <w:rFonts w:eastAsia="Times New Roman" w:cstheme="minorHAnsi"/>
                <w:color w:val="000000"/>
                <w:sz w:val="20"/>
                <w:lang w:eastAsia="en-NZ"/>
              </w:rPr>
            </w:pPr>
            <w:r w:rsidRPr="00D87B3A">
              <w:rPr>
                <w:rFonts w:eastAsia="Times New Roman" w:cstheme="minorHAnsi"/>
                <w:color w:val="000000"/>
                <w:sz w:val="20"/>
                <w:lang w:eastAsia="en-NZ"/>
              </w:rPr>
              <w:t>-7%</w:t>
            </w:r>
          </w:p>
        </w:tc>
        <w:tc>
          <w:tcPr>
            <w:tcW w:w="962" w:type="dxa"/>
            <w:tcBorders>
              <w:bottom w:val="single" w:sz="8" w:space="0" w:color="00B0F0"/>
              <w:right w:val="single" w:sz="8" w:space="0" w:color="00B0F0"/>
            </w:tcBorders>
            <w:shd w:val="clear" w:color="auto" w:fill="auto"/>
            <w:hideMark/>
          </w:tcPr>
          <w:p w:rsidR="00424AFD" w:rsidRPr="00D87B3A" w:rsidRDefault="00DD6D6D" w:rsidP="00563C30">
            <w:pPr>
              <w:spacing w:after="0" w:line="240" w:lineRule="auto"/>
              <w:jc w:val="right"/>
              <w:rPr>
                <w:rFonts w:eastAsia="Times New Roman" w:cstheme="minorHAnsi"/>
                <w:color w:val="000000"/>
                <w:sz w:val="20"/>
                <w:lang w:eastAsia="en-NZ"/>
              </w:rPr>
            </w:pPr>
            <w:r>
              <w:rPr>
                <w:rFonts w:eastAsia="Times New Roman" w:cstheme="minorHAnsi"/>
                <w:color w:val="000000"/>
                <w:sz w:val="20"/>
                <w:lang w:eastAsia="en-NZ"/>
              </w:rPr>
              <w:t>Within 10%</w:t>
            </w:r>
          </w:p>
        </w:tc>
        <w:tc>
          <w:tcPr>
            <w:tcW w:w="4536" w:type="dxa"/>
            <w:tcBorders>
              <w:left w:val="single" w:sz="8" w:space="0" w:color="00B0F0"/>
              <w:bottom w:val="single" w:sz="8" w:space="0" w:color="00B0F0"/>
              <w:right w:val="nil"/>
            </w:tcBorders>
            <w:shd w:val="clear" w:color="auto" w:fill="auto"/>
            <w:hideMark/>
          </w:tcPr>
          <w:p w:rsidR="00424AFD" w:rsidRPr="00D87B3A" w:rsidRDefault="00424AFD" w:rsidP="00563C30">
            <w:pPr>
              <w:spacing w:after="0" w:line="240" w:lineRule="auto"/>
              <w:rPr>
                <w:rFonts w:eastAsia="Times New Roman" w:cstheme="minorHAnsi"/>
                <w:color w:val="000000"/>
                <w:sz w:val="20"/>
                <w:lang w:eastAsia="en-NZ"/>
              </w:rPr>
            </w:pPr>
          </w:p>
        </w:tc>
      </w:tr>
      <w:tr w:rsidR="00424AFD" w:rsidRPr="00D87B3A" w:rsidTr="00DD6D6D">
        <w:trPr>
          <w:trHeight w:val="270"/>
        </w:trPr>
        <w:tc>
          <w:tcPr>
            <w:tcW w:w="3952" w:type="dxa"/>
            <w:tcBorders>
              <w:top w:val="nil"/>
              <w:left w:val="nil"/>
              <w:right w:val="single" w:sz="8" w:space="0" w:color="00B0F0"/>
            </w:tcBorders>
            <w:shd w:val="clear" w:color="auto" w:fill="auto"/>
            <w:hideMark/>
          </w:tcPr>
          <w:p w:rsidR="00424AFD" w:rsidRPr="00D87B3A" w:rsidRDefault="00424AFD" w:rsidP="00563C30">
            <w:pPr>
              <w:spacing w:after="0" w:line="240" w:lineRule="auto"/>
              <w:rPr>
                <w:rFonts w:eastAsia="Times New Roman" w:cstheme="minorHAnsi"/>
                <w:color w:val="000000"/>
                <w:sz w:val="20"/>
                <w:lang w:eastAsia="en-NZ"/>
              </w:rPr>
            </w:pPr>
            <w:r w:rsidRPr="00D87B3A">
              <w:rPr>
                <w:rFonts w:eastAsia="Times New Roman" w:cstheme="minorHAnsi"/>
                <w:color w:val="000000"/>
                <w:sz w:val="20"/>
                <w:lang w:eastAsia="en-NZ"/>
              </w:rPr>
              <w:t xml:space="preserve">Customers (%) who rate resource consent service as good or very good </w:t>
            </w:r>
          </w:p>
        </w:tc>
        <w:tc>
          <w:tcPr>
            <w:tcW w:w="1159" w:type="dxa"/>
            <w:gridSpan w:val="3"/>
            <w:tcBorders>
              <w:top w:val="single" w:sz="8" w:space="0" w:color="00B0F0"/>
            </w:tcBorders>
            <w:shd w:val="clear" w:color="auto" w:fill="auto"/>
          </w:tcPr>
          <w:p w:rsidR="00424AFD" w:rsidRPr="00D87B3A" w:rsidRDefault="00424AFD" w:rsidP="00563C30">
            <w:pPr>
              <w:spacing w:after="0" w:line="240" w:lineRule="auto"/>
              <w:rPr>
                <w:rFonts w:eastAsia="Times New Roman" w:cstheme="minorHAnsi"/>
                <w:color w:val="000000"/>
                <w:sz w:val="20"/>
                <w:lang w:eastAsia="en-NZ"/>
              </w:rPr>
            </w:pPr>
          </w:p>
        </w:tc>
        <w:tc>
          <w:tcPr>
            <w:tcW w:w="1148" w:type="dxa"/>
            <w:gridSpan w:val="2"/>
            <w:tcBorders>
              <w:top w:val="single" w:sz="8" w:space="0" w:color="00B0F0"/>
            </w:tcBorders>
            <w:shd w:val="clear" w:color="auto" w:fill="auto"/>
            <w:noWrap/>
            <w:hideMark/>
          </w:tcPr>
          <w:p w:rsidR="00424AFD" w:rsidRPr="00D87B3A" w:rsidRDefault="00424AFD" w:rsidP="00563C30">
            <w:pPr>
              <w:spacing w:after="0" w:line="240" w:lineRule="auto"/>
              <w:jc w:val="right"/>
              <w:rPr>
                <w:rFonts w:eastAsia="Times New Roman" w:cstheme="minorHAnsi"/>
                <w:color w:val="000000"/>
                <w:sz w:val="20"/>
                <w:lang w:eastAsia="en-NZ"/>
              </w:rPr>
            </w:pPr>
            <w:r w:rsidRPr="00D87B3A">
              <w:rPr>
                <w:rFonts w:eastAsia="Times New Roman" w:cstheme="minorHAnsi"/>
                <w:color w:val="000000"/>
                <w:sz w:val="20"/>
                <w:lang w:eastAsia="en-NZ"/>
              </w:rPr>
              <w:t>New</w:t>
            </w:r>
          </w:p>
        </w:tc>
        <w:tc>
          <w:tcPr>
            <w:tcW w:w="1153" w:type="dxa"/>
            <w:tcBorders>
              <w:top w:val="single" w:sz="8" w:space="0" w:color="00B0F0"/>
            </w:tcBorders>
            <w:shd w:val="clear" w:color="auto" w:fill="auto"/>
            <w:noWrap/>
            <w:hideMark/>
          </w:tcPr>
          <w:p w:rsidR="00424AFD" w:rsidRPr="00D87B3A" w:rsidRDefault="00424AFD" w:rsidP="00563C30">
            <w:pPr>
              <w:spacing w:after="0" w:line="240" w:lineRule="auto"/>
              <w:jc w:val="right"/>
              <w:rPr>
                <w:rFonts w:eastAsia="Times New Roman" w:cstheme="minorHAnsi"/>
                <w:color w:val="000000"/>
                <w:sz w:val="20"/>
                <w:lang w:eastAsia="en-NZ"/>
              </w:rPr>
            </w:pPr>
            <w:r w:rsidRPr="00D87B3A">
              <w:rPr>
                <w:rFonts w:eastAsia="Times New Roman" w:cstheme="minorHAnsi"/>
                <w:color w:val="000000"/>
                <w:sz w:val="20"/>
                <w:lang w:eastAsia="en-NZ"/>
              </w:rPr>
              <w:t>91%</w:t>
            </w:r>
          </w:p>
        </w:tc>
        <w:tc>
          <w:tcPr>
            <w:tcW w:w="1175" w:type="dxa"/>
            <w:tcBorders>
              <w:top w:val="single" w:sz="8" w:space="0" w:color="00B0F0"/>
            </w:tcBorders>
            <w:shd w:val="clear" w:color="000000" w:fill="D9D9D9"/>
            <w:hideMark/>
          </w:tcPr>
          <w:p w:rsidR="00424AFD" w:rsidRPr="00D87B3A" w:rsidRDefault="00424AFD" w:rsidP="00563C30">
            <w:pPr>
              <w:spacing w:after="0" w:line="240" w:lineRule="auto"/>
              <w:jc w:val="right"/>
              <w:rPr>
                <w:rFonts w:eastAsia="Times New Roman" w:cstheme="minorHAnsi"/>
                <w:color w:val="000000"/>
                <w:sz w:val="20"/>
                <w:lang w:eastAsia="en-NZ"/>
              </w:rPr>
            </w:pPr>
            <w:r w:rsidRPr="00D87B3A">
              <w:rPr>
                <w:rFonts w:eastAsia="Times New Roman" w:cstheme="minorHAnsi"/>
                <w:color w:val="000000"/>
                <w:sz w:val="20"/>
                <w:lang w:eastAsia="en-NZ"/>
              </w:rPr>
              <w:t>Baseline</w:t>
            </w:r>
          </w:p>
        </w:tc>
        <w:tc>
          <w:tcPr>
            <w:tcW w:w="800" w:type="dxa"/>
            <w:gridSpan w:val="2"/>
            <w:tcBorders>
              <w:top w:val="single" w:sz="8" w:space="0" w:color="00B0F0"/>
            </w:tcBorders>
            <w:shd w:val="clear" w:color="auto" w:fill="auto"/>
          </w:tcPr>
          <w:p w:rsidR="00424AFD" w:rsidRPr="00D87B3A" w:rsidRDefault="00424AFD" w:rsidP="00563C30">
            <w:pPr>
              <w:spacing w:after="0" w:line="240" w:lineRule="auto"/>
              <w:jc w:val="right"/>
              <w:rPr>
                <w:rFonts w:eastAsia="Times New Roman" w:cstheme="minorHAnsi"/>
                <w:color w:val="000000"/>
                <w:sz w:val="20"/>
                <w:lang w:eastAsia="en-NZ"/>
              </w:rPr>
            </w:pPr>
          </w:p>
        </w:tc>
        <w:tc>
          <w:tcPr>
            <w:tcW w:w="962" w:type="dxa"/>
            <w:tcBorders>
              <w:top w:val="single" w:sz="8" w:space="0" w:color="00B0F0"/>
              <w:right w:val="single" w:sz="8" w:space="0" w:color="00B0F0"/>
            </w:tcBorders>
            <w:shd w:val="clear" w:color="auto" w:fill="auto"/>
          </w:tcPr>
          <w:p w:rsidR="00424AFD" w:rsidRPr="00D87B3A" w:rsidRDefault="00424AFD" w:rsidP="00563C30">
            <w:pPr>
              <w:spacing w:after="0" w:line="240" w:lineRule="auto"/>
              <w:jc w:val="right"/>
              <w:rPr>
                <w:rFonts w:eastAsia="Times New Roman" w:cstheme="minorHAnsi"/>
                <w:color w:val="000000"/>
                <w:sz w:val="20"/>
                <w:lang w:eastAsia="en-NZ"/>
              </w:rPr>
            </w:pPr>
          </w:p>
        </w:tc>
        <w:tc>
          <w:tcPr>
            <w:tcW w:w="4536" w:type="dxa"/>
            <w:tcBorders>
              <w:top w:val="single" w:sz="8" w:space="0" w:color="00B0F0"/>
              <w:left w:val="single" w:sz="8" w:space="0" w:color="00B0F0"/>
              <w:right w:val="nil"/>
            </w:tcBorders>
            <w:shd w:val="clear" w:color="auto" w:fill="auto"/>
            <w:hideMark/>
          </w:tcPr>
          <w:p w:rsidR="00424AFD" w:rsidRPr="00D87B3A" w:rsidRDefault="00424AFD" w:rsidP="00563C30">
            <w:pPr>
              <w:spacing w:after="0" w:line="240" w:lineRule="auto"/>
              <w:jc w:val="right"/>
              <w:rPr>
                <w:rFonts w:eastAsia="Times New Roman" w:cstheme="minorHAnsi"/>
                <w:color w:val="000000"/>
                <w:sz w:val="20"/>
                <w:lang w:eastAsia="en-NZ"/>
              </w:rPr>
            </w:pPr>
          </w:p>
        </w:tc>
      </w:tr>
      <w:tr w:rsidR="00424AFD" w:rsidRPr="00D87B3A" w:rsidTr="00DD6D6D">
        <w:trPr>
          <w:trHeight w:val="315"/>
        </w:trPr>
        <w:tc>
          <w:tcPr>
            <w:tcW w:w="14885" w:type="dxa"/>
            <w:gridSpan w:val="12"/>
            <w:tcBorders>
              <w:top w:val="nil"/>
              <w:left w:val="nil"/>
            </w:tcBorders>
            <w:shd w:val="clear" w:color="auto" w:fill="B7ECFF"/>
            <w:hideMark/>
          </w:tcPr>
          <w:p w:rsidR="00424AFD" w:rsidRPr="00D87B3A" w:rsidRDefault="00424AFD" w:rsidP="00563C30">
            <w:pPr>
              <w:spacing w:after="0" w:line="240" w:lineRule="auto"/>
              <w:rPr>
                <w:rFonts w:eastAsia="Times New Roman" w:cstheme="minorHAnsi"/>
                <w:b/>
                <w:i/>
                <w:lang w:eastAsia="en-NZ"/>
              </w:rPr>
            </w:pPr>
            <w:r w:rsidRPr="00D87B3A">
              <w:rPr>
                <w:rFonts w:eastAsia="Times New Roman" w:cstheme="minorHAnsi"/>
                <w:b/>
                <w:i/>
                <w:lang w:eastAsia="en-NZ"/>
              </w:rPr>
              <w:t>Compliance</w:t>
            </w:r>
          </w:p>
        </w:tc>
      </w:tr>
      <w:tr w:rsidR="00424AFD" w:rsidRPr="00D87B3A" w:rsidTr="00DD6D6D">
        <w:trPr>
          <w:trHeight w:val="288"/>
        </w:trPr>
        <w:tc>
          <w:tcPr>
            <w:tcW w:w="3952" w:type="dxa"/>
            <w:tcBorders>
              <w:left w:val="nil"/>
              <w:bottom w:val="single" w:sz="8" w:space="0" w:color="00B0F0"/>
              <w:right w:val="single" w:sz="8" w:space="0" w:color="00B0F0"/>
            </w:tcBorders>
            <w:shd w:val="clear" w:color="auto" w:fill="auto"/>
            <w:hideMark/>
          </w:tcPr>
          <w:p w:rsidR="00424AFD" w:rsidRPr="00D87B3A" w:rsidRDefault="00424AFD" w:rsidP="00563C30">
            <w:pPr>
              <w:spacing w:after="0" w:line="240" w:lineRule="auto"/>
              <w:rPr>
                <w:rFonts w:eastAsia="Times New Roman" w:cstheme="minorHAnsi"/>
                <w:color w:val="000000"/>
                <w:sz w:val="20"/>
                <w:lang w:eastAsia="en-NZ"/>
              </w:rPr>
            </w:pPr>
            <w:r w:rsidRPr="00D87B3A">
              <w:rPr>
                <w:rFonts w:eastAsia="Times New Roman" w:cstheme="minorHAnsi"/>
                <w:color w:val="000000"/>
                <w:sz w:val="20"/>
                <w:lang w:eastAsia="en-NZ"/>
              </w:rPr>
              <w:t xml:space="preserve">Building Consent Authority (BCA) accreditation retention </w:t>
            </w:r>
          </w:p>
        </w:tc>
        <w:tc>
          <w:tcPr>
            <w:tcW w:w="1153" w:type="dxa"/>
            <w:gridSpan w:val="2"/>
            <w:tcBorders>
              <w:bottom w:val="single" w:sz="8" w:space="0" w:color="00B0F0"/>
            </w:tcBorders>
            <w:shd w:val="clear" w:color="auto" w:fill="auto"/>
            <w:noWrap/>
            <w:hideMark/>
          </w:tcPr>
          <w:p w:rsidR="00424AFD" w:rsidRPr="00D87B3A" w:rsidRDefault="00424AFD" w:rsidP="00563C30">
            <w:pPr>
              <w:spacing w:after="0" w:line="240" w:lineRule="auto"/>
              <w:jc w:val="right"/>
              <w:rPr>
                <w:rFonts w:eastAsia="Times New Roman" w:cstheme="minorHAnsi"/>
                <w:color w:val="000000"/>
                <w:sz w:val="20"/>
                <w:lang w:eastAsia="en-NZ"/>
              </w:rPr>
            </w:pPr>
            <w:r w:rsidRPr="00D87B3A">
              <w:rPr>
                <w:rFonts w:eastAsia="Times New Roman" w:cstheme="minorHAnsi"/>
                <w:color w:val="000000"/>
                <w:sz w:val="20"/>
                <w:lang w:eastAsia="en-NZ"/>
              </w:rPr>
              <w:t>Retained</w:t>
            </w:r>
          </w:p>
        </w:tc>
        <w:tc>
          <w:tcPr>
            <w:tcW w:w="1154" w:type="dxa"/>
            <w:gridSpan w:val="3"/>
            <w:tcBorders>
              <w:bottom w:val="single" w:sz="8" w:space="0" w:color="00B0F0"/>
            </w:tcBorders>
            <w:shd w:val="clear" w:color="auto" w:fill="auto"/>
            <w:noWrap/>
            <w:hideMark/>
          </w:tcPr>
          <w:p w:rsidR="00424AFD" w:rsidRPr="00D87B3A" w:rsidRDefault="00424AFD" w:rsidP="00563C30">
            <w:pPr>
              <w:spacing w:after="0" w:line="240" w:lineRule="auto"/>
              <w:jc w:val="right"/>
              <w:rPr>
                <w:rFonts w:eastAsia="Times New Roman" w:cstheme="minorHAnsi"/>
                <w:color w:val="000000"/>
                <w:sz w:val="20"/>
                <w:lang w:eastAsia="en-NZ"/>
              </w:rPr>
            </w:pPr>
            <w:r w:rsidRPr="00D87B3A">
              <w:rPr>
                <w:rFonts w:eastAsia="Times New Roman" w:cstheme="minorHAnsi"/>
                <w:color w:val="000000"/>
                <w:sz w:val="20"/>
                <w:lang w:eastAsia="en-NZ"/>
              </w:rPr>
              <w:t>-</w:t>
            </w:r>
          </w:p>
        </w:tc>
        <w:tc>
          <w:tcPr>
            <w:tcW w:w="1153" w:type="dxa"/>
            <w:tcBorders>
              <w:bottom w:val="single" w:sz="8" w:space="0" w:color="00B0F0"/>
            </w:tcBorders>
            <w:shd w:val="clear" w:color="auto" w:fill="auto"/>
            <w:noWrap/>
            <w:hideMark/>
          </w:tcPr>
          <w:p w:rsidR="00424AFD" w:rsidRPr="00D87B3A" w:rsidRDefault="00424AFD" w:rsidP="00563C30">
            <w:pPr>
              <w:spacing w:after="0" w:line="240" w:lineRule="auto"/>
              <w:jc w:val="right"/>
              <w:rPr>
                <w:rFonts w:eastAsia="Times New Roman" w:cstheme="minorHAnsi"/>
                <w:color w:val="000000"/>
                <w:sz w:val="20"/>
                <w:lang w:eastAsia="en-NZ"/>
              </w:rPr>
            </w:pPr>
            <w:r w:rsidRPr="00D87B3A">
              <w:rPr>
                <w:rFonts w:eastAsia="Times New Roman" w:cstheme="minorHAnsi"/>
                <w:color w:val="000000"/>
                <w:sz w:val="20"/>
                <w:lang w:eastAsia="en-NZ"/>
              </w:rPr>
              <w:t>Retained</w:t>
            </w:r>
          </w:p>
        </w:tc>
        <w:tc>
          <w:tcPr>
            <w:tcW w:w="1175" w:type="dxa"/>
            <w:tcBorders>
              <w:bottom w:val="single" w:sz="8" w:space="0" w:color="00B0F0"/>
            </w:tcBorders>
            <w:shd w:val="clear" w:color="000000" w:fill="D9D9D9"/>
            <w:hideMark/>
          </w:tcPr>
          <w:p w:rsidR="00424AFD" w:rsidRPr="00D87B3A" w:rsidRDefault="00424AFD" w:rsidP="00563C30">
            <w:pPr>
              <w:spacing w:after="0" w:line="240" w:lineRule="auto"/>
              <w:jc w:val="right"/>
              <w:rPr>
                <w:rFonts w:eastAsia="Times New Roman" w:cstheme="minorHAnsi"/>
                <w:color w:val="000000"/>
                <w:sz w:val="20"/>
                <w:lang w:eastAsia="en-NZ"/>
              </w:rPr>
            </w:pPr>
            <w:r w:rsidRPr="00D87B3A">
              <w:rPr>
                <w:rFonts w:eastAsia="Times New Roman" w:cstheme="minorHAnsi"/>
                <w:color w:val="000000"/>
                <w:sz w:val="20"/>
                <w:lang w:eastAsia="en-NZ"/>
              </w:rPr>
              <w:t>Retain</w:t>
            </w:r>
          </w:p>
        </w:tc>
        <w:tc>
          <w:tcPr>
            <w:tcW w:w="800" w:type="dxa"/>
            <w:gridSpan w:val="2"/>
            <w:tcBorders>
              <w:bottom w:val="single" w:sz="8" w:space="0" w:color="00B0F0"/>
            </w:tcBorders>
            <w:shd w:val="clear" w:color="auto" w:fill="auto"/>
            <w:hideMark/>
          </w:tcPr>
          <w:p w:rsidR="00424AFD" w:rsidRPr="00D87B3A" w:rsidRDefault="00424AFD" w:rsidP="00563C30">
            <w:pPr>
              <w:spacing w:after="0" w:line="240" w:lineRule="auto"/>
              <w:jc w:val="right"/>
              <w:rPr>
                <w:rFonts w:eastAsia="Times New Roman" w:cstheme="minorHAnsi"/>
                <w:color w:val="000000"/>
                <w:sz w:val="20"/>
                <w:lang w:eastAsia="en-NZ"/>
              </w:rPr>
            </w:pPr>
            <w:r w:rsidRPr="00D87B3A">
              <w:rPr>
                <w:rFonts w:eastAsia="Times New Roman" w:cstheme="minorHAnsi"/>
                <w:color w:val="000000"/>
                <w:sz w:val="20"/>
                <w:lang w:eastAsia="en-NZ"/>
              </w:rPr>
              <w:t>0%</w:t>
            </w:r>
          </w:p>
        </w:tc>
        <w:tc>
          <w:tcPr>
            <w:tcW w:w="962" w:type="dxa"/>
            <w:tcBorders>
              <w:bottom w:val="single" w:sz="8" w:space="0" w:color="00B0F0"/>
              <w:right w:val="single" w:sz="8" w:space="0" w:color="00B0F0"/>
            </w:tcBorders>
            <w:shd w:val="clear" w:color="auto" w:fill="auto"/>
            <w:hideMark/>
          </w:tcPr>
          <w:p w:rsidR="00424AFD" w:rsidRPr="00D87B3A" w:rsidRDefault="00DD6D6D" w:rsidP="00563C30">
            <w:pPr>
              <w:spacing w:after="0" w:line="240" w:lineRule="auto"/>
              <w:jc w:val="right"/>
              <w:rPr>
                <w:rFonts w:eastAsia="Times New Roman" w:cstheme="minorHAnsi"/>
                <w:color w:val="000000"/>
                <w:sz w:val="20"/>
                <w:lang w:eastAsia="en-NZ"/>
              </w:rPr>
            </w:pPr>
            <w:r>
              <w:rPr>
                <w:rFonts w:eastAsia="Times New Roman" w:cstheme="minorHAnsi"/>
                <w:color w:val="000000"/>
                <w:sz w:val="20"/>
                <w:lang w:eastAsia="en-NZ"/>
              </w:rPr>
              <w:t>Within 10%</w:t>
            </w:r>
          </w:p>
        </w:tc>
        <w:tc>
          <w:tcPr>
            <w:tcW w:w="4536" w:type="dxa"/>
            <w:tcBorders>
              <w:left w:val="single" w:sz="8" w:space="0" w:color="00B0F0"/>
              <w:bottom w:val="single" w:sz="8" w:space="0" w:color="00B0F0"/>
              <w:right w:val="nil"/>
            </w:tcBorders>
            <w:shd w:val="clear" w:color="auto" w:fill="auto"/>
            <w:hideMark/>
          </w:tcPr>
          <w:p w:rsidR="00424AFD" w:rsidRPr="00D87B3A" w:rsidRDefault="00424AFD" w:rsidP="00563C30">
            <w:pPr>
              <w:spacing w:after="0" w:line="240" w:lineRule="auto"/>
              <w:rPr>
                <w:rFonts w:eastAsia="Times New Roman" w:cstheme="minorHAnsi"/>
                <w:color w:val="000000"/>
                <w:sz w:val="20"/>
                <w:lang w:eastAsia="en-NZ"/>
              </w:rPr>
            </w:pPr>
            <w:r w:rsidRPr="00D87B3A">
              <w:rPr>
                <w:rFonts w:eastAsia="Times New Roman" w:cstheme="minorHAnsi"/>
                <w:color w:val="000000"/>
                <w:sz w:val="20"/>
                <w:lang w:eastAsia="en-NZ"/>
              </w:rPr>
              <w:t xml:space="preserve">Accreditation occurs every two years. </w:t>
            </w:r>
          </w:p>
        </w:tc>
      </w:tr>
    </w:tbl>
    <w:p w:rsidR="00135A2C" w:rsidRPr="00D5126A" w:rsidRDefault="00135A2C" w:rsidP="00292110">
      <w:pPr>
        <w:pStyle w:val="5Block"/>
        <w:spacing w:after="0" w:line="240" w:lineRule="auto"/>
        <w:rPr>
          <w:rFonts w:ascii="Arial" w:hAnsi="Arial" w:cs="Arial"/>
        </w:rPr>
      </w:pPr>
    </w:p>
    <w:p w:rsidR="00135A2C" w:rsidRPr="00D5126A" w:rsidRDefault="00135A2C" w:rsidP="00135A2C">
      <w:r w:rsidRPr="00D5126A">
        <w:br w:type="page"/>
      </w:r>
    </w:p>
    <w:p w:rsidR="00135A2C" w:rsidRPr="00DD6D6D" w:rsidRDefault="00135A2C" w:rsidP="00135A2C">
      <w:pPr>
        <w:pStyle w:val="Heading4"/>
        <w:rPr>
          <w:color w:val="00A1DA"/>
        </w:rPr>
      </w:pPr>
      <w:r w:rsidRPr="00DD6D6D">
        <w:rPr>
          <w:color w:val="00A1DA"/>
        </w:rPr>
        <w:lastRenderedPageBreak/>
        <w:t xml:space="preserve">Supplementary </w:t>
      </w:r>
      <w:r w:rsidR="00424AFD" w:rsidRPr="00DD6D6D">
        <w:rPr>
          <w:color w:val="00A1DA"/>
        </w:rPr>
        <w:t>p</w:t>
      </w:r>
      <w:r w:rsidRPr="00DD6D6D">
        <w:rPr>
          <w:color w:val="00A1DA"/>
        </w:rPr>
        <w:t xml:space="preserve">erformance </w:t>
      </w:r>
      <w:r w:rsidR="00424AFD" w:rsidRPr="00DD6D6D">
        <w:rPr>
          <w:color w:val="00A1DA"/>
        </w:rPr>
        <w:t>tables</w:t>
      </w:r>
    </w:p>
    <w:p w:rsidR="00135A2C" w:rsidRPr="00DD6D6D" w:rsidRDefault="00135A2C" w:rsidP="00135A2C">
      <w:pPr>
        <w:rPr>
          <w:color w:val="00A1DA"/>
        </w:rPr>
        <w:sectPr w:rsidR="00135A2C" w:rsidRPr="00DD6D6D" w:rsidSect="00135A2C">
          <w:type w:val="continuous"/>
          <w:pgSz w:w="16838" w:h="11906" w:orient="landscape"/>
          <w:pgMar w:top="851" w:right="1670" w:bottom="709" w:left="1440" w:header="567" w:footer="270" w:gutter="0"/>
          <w:cols w:space="708"/>
          <w:docGrid w:linePitch="360"/>
        </w:sectPr>
      </w:pPr>
    </w:p>
    <w:p w:rsidR="00292110" w:rsidRPr="00125239" w:rsidRDefault="00231666" w:rsidP="002C7BF8">
      <w:pPr>
        <w:pStyle w:val="5Block"/>
        <w:numPr>
          <w:ilvl w:val="0"/>
          <w:numId w:val="64"/>
        </w:numPr>
        <w:spacing w:before="240" w:line="240" w:lineRule="auto"/>
        <w:ind w:right="1812"/>
        <w:rPr>
          <w:b/>
          <w:bCs/>
        </w:rPr>
      </w:pPr>
      <w:r w:rsidRPr="004F77FB">
        <w:rPr>
          <w:b/>
          <w:bCs/>
        </w:rPr>
        <w:lastRenderedPageBreak/>
        <w:t>Healthy housing stock – residents who report their home is insulated (floor and ceiling)</w:t>
      </w:r>
      <w:r w:rsidR="00125239">
        <w:rPr>
          <w:b/>
          <w:bCs/>
        </w:rPr>
        <w:t xml:space="preserve">: </w:t>
      </w:r>
      <w:r w:rsidR="00125239">
        <w:rPr>
          <w:bCs/>
        </w:rPr>
        <w:t>Questi</w:t>
      </w:r>
      <w:r w:rsidR="00125239" w:rsidRPr="00125239">
        <w:rPr>
          <w:bCs/>
        </w:rPr>
        <w:t>on</w:t>
      </w:r>
      <w:r w:rsidR="00125239">
        <w:rPr>
          <w:bCs/>
        </w:rPr>
        <w:t xml:space="preserve">: </w:t>
      </w:r>
      <w:r w:rsidR="00125239" w:rsidRPr="00D73845">
        <w:t>What level of insulation does your home have in the following areas</w:t>
      </w:r>
      <w:r w:rsidR="00125239">
        <w:t>:</w:t>
      </w:r>
    </w:p>
    <w:tbl>
      <w:tblPr>
        <w:tblStyle w:val="TableGrid"/>
        <w:tblpPr w:leftFromText="180" w:rightFromText="180" w:vertAnchor="text" w:tblpX="250" w:tblpY="1"/>
        <w:tblOverlap w:val="never"/>
        <w:tblW w:w="0" w:type="auto"/>
        <w:tbl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insideH w:val="single" w:sz="4" w:space="0" w:color="31849B" w:themeColor="accent5" w:themeShade="BF"/>
          <w:insideV w:val="single" w:sz="4" w:space="0" w:color="31849B" w:themeColor="accent5" w:themeShade="BF"/>
        </w:tblBorders>
        <w:tblLook w:val="04A0" w:firstRow="1" w:lastRow="0" w:firstColumn="1" w:lastColumn="0" w:noHBand="0" w:noVBand="1"/>
      </w:tblPr>
      <w:tblGrid>
        <w:gridCol w:w="5057"/>
        <w:gridCol w:w="864"/>
        <w:gridCol w:w="1255"/>
        <w:gridCol w:w="1317"/>
        <w:gridCol w:w="1451"/>
        <w:gridCol w:w="1363"/>
      </w:tblGrid>
      <w:tr w:rsidR="00125239" w:rsidRPr="00D73845" w:rsidTr="00AA3DFC">
        <w:trPr>
          <w:trHeight w:val="552"/>
        </w:trPr>
        <w:tc>
          <w:tcPr>
            <w:tcW w:w="5921" w:type="dxa"/>
            <w:gridSpan w:val="2"/>
            <w:tcBorders>
              <w:top w:val="single" w:sz="4" w:space="0" w:color="0070C0"/>
              <w:bottom w:val="single" w:sz="4" w:space="0" w:color="0070C0"/>
            </w:tcBorders>
            <w:hideMark/>
          </w:tcPr>
          <w:p w:rsidR="00125239" w:rsidRPr="00D73845" w:rsidRDefault="00125239" w:rsidP="00125239">
            <w:r w:rsidRPr="00D73845">
              <w:t>What level of insulation does your home have in the following areas</w:t>
            </w:r>
            <w:proofErr w:type="gramStart"/>
            <w:r w:rsidRPr="00D73845">
              <w:t>...</w:t>
            </w:r>
            <w:proofErr w:type="gramEnd"/>
          </w:p>
        </w:tc>
        <w:tc>
          <w:tcPr>
            <w:tcW w:w="1255" w:type="dxa"/>
            <w:tcBorders>
              <w:top w:val="single" w:sz="4" w:space="0" w:color="0070C0"/>
              <w:bottom w:val="single" w:sz="4" w:space="0" w:color="0070C0"/>
              <w:right w:val="single" w:sz="4" w:space="0" w:color="FFFFFF" w:themeColor="background1"/>
            </w:tcBorders>
            <w:shd w:val="clear" w:color="auto" w:fill="00A1DA"/>
            <w:hideMark/>
          </w:tcPr>
          <w:p w:rsidR="00125239" w:rsidRPr="00014F43" w:rsidRDefault="00125239" w:rsidP="00125239">
            <w:pPr>
              <w:rPr>
                <w:b/>
                <w:bCs/>
                <w:color w:val="FFFFFF" w:themeColor="background1"/>
                <w:szCs w:val="20"/>
              </w:rPr>
            </w:pPr>
            <w:r w:rsidRPr="00014F43">
              <w:rPr>
                <w:b/>
                <w:bCs/>
                <w:color w:val="FFFFFF" w:themeColor="background1"/>
                <w:szCs w:val="20"/>
              </w:rPr>
              <w:t>No insulation</w:t>
            </w:r>
          </w:p>
        </w:tc>
        <w:tc>
          <w:tcPr>
            <w:tcW w:w="1317" w:type="dxa"/>
            <w:tcBorders>
              <w:top w:val="single" w:sz="4" w:space="0" w:color="0070C0"/>
              <w:left w:val="single" w:sz="4" w:space="0" w:color="FFFFFF" w:themeColor="background1"/>
              <w:bottom w:val="single" w:sz="4" w:space="0" w:color="0070C0"/>
              <w:right w:val="single" w:sz="4" w:space="0" w:color="FFFFFF" w:themeColor="background1"/>
            </w:tcBorders>
            <w:shd w:val="clear" w:color="auto" w:fill="00A1DA"/>
            <w:hideMark/>
          </w:tcPr>
          <w:p w:rsidR="00125239" w:rsidRPr="00014F43" w:rsidRDefault="00125239" w:rsidP="00125239">
            <w:pPr>
              <w:rPr>
                <w:b/>
                <w:bCs/>
                <w:color w:val="FFFFFF" w:themeColor="background1"/>
                <w:szCs w:val="20"/>
              </w:rPr>
            </w:pPr>
            <w:r w:rsidRPr="00014F43">
              <w:rPr>
                <w:b/>
                <w:bCs/>
                <w:color w:val="FFFFFF" w:themeColor="background1"/>
                <w:szCs w:val="20"/>
              </w:rPr>
              <w:t>Poor insulation</w:t>
            </w:r>
          </w:p>
        </w:tc>
        <w:tc>
          <w:tcPr>
            <w:tcW w:w="1451" w:type="dxa"/>
            <w:tcBorders>
              <w:top w:val="single" w:sz="4" w:space="0" w:color="0070C0"/>
              <w:left w:val="single" w:sz="4" w:space="0" w:color="FFFFFF" w:themeColor="background1"/>
              <w:bottom w:val="single" w:sz="4" w:space="0" w:color="0070C0"/>
              <w:right w:val="single" w:sz="4" w:space="0" w:color="FFFFFF" w:themeColor="background1"/>
            </w:tcBorders>
            <w:shd w:val="clear" w:color="auto" w:fill="00A1DA"/>
            <w:hideMark/>
          </w:tcPr>
          <w:p w:rsidR="00125239" w:rsidRPr="00014F43" w:rsidRDefault="00125239" w:rsidP="00125239">
            <w:pPr>
              <w:rPr>
                <w:b/>
                <w:bCs/>
                <w:color w:val="FFFFFF" w:themeColor="background1"/>
                <w:szCs w:val="20"/>
              </w:rPr>
            </w:pPr>
            <w:r w:rsidRPr="00014F43">
              <w:rPr>
                <w:b/>
                <w:bCs/>
                <w:color w:val="FFFFFF" w:themeColor="background1"/>
                <w:szCs w:val="20"/>
              </w:rPr>
              <w:t>Adequate insulation</w:t>
            </w:r>
          </w:p>
        </w:tc>
        <w:tc>
          <w:tcPr>
            <w:tcW w:w="1363" w:type="dxa"/>
            <w:tcBorders>
              <w:top w:val="single" w:sz="4" w:space="0" w:color="0070C0"/>
              <w:left w:val="single" w:sz="4" w:space="0" w:color="FFFFFF" w:themeColor="background1"/>
              <w:bottom w:val="single" w:sz="4" w:space="0" w:color="0070C0"/>
            </w:tcBorders>
            <w:shd w:val="clear" w:color="auto" w:fill="00A1DA"/>
            <w:hideMark/>
          </w:tcPr>
          <w:p w:rsidR="00125239" w:rsidRPr="00014F43" w:rsidRDefault="00125239" w:rsidP="00125239">
            <w:pPr>
              <w:rPr>
                <w:b/>
                <w:bCs/>
                <w:color w:val="FFFFFF" w:themeColor="background1"/>
                <w:szCs w:val="20"/>
              </w:rPr>
            </w:pPr>
            <w:r w:rsidRPr="00014F43">
              <w:rPr>
                <w:b/>
                <w:bCs/>
                <w:color w:val="FFFFFF" w:themeColor="background1"/>
                <w:szCs w:val="20"/>
              </w:rPr>
              <w:t>Don’t know</w:t>
            </w:r>
          </w:p>
        </w:tc>
      </w:tr>
      <w:tr w:rsidR="00125239" w:rsidRPr="00D73845" w:rsidTr="00125239">
        <w:trPr>
          <w:trHeight w:val="276"/>
        </w:trPr>
        <w:tc>
          <w:tcPr>
            <w:tcW w:w="5057" w:type="dxa"/>
            <w:vMerge w:val="restart"/>
            <w:tcBorders>
              <w:top w:val="single" w:sz="4" w:space="0" w:color="0070C0"/>
              <w:bottom w:val="single" w:sz="4" w:space="0" w:color="0070C0"/>
            </w:tcBorders>
            <w:noWrap/>
            <w:hideMark/>
          </w:tcPr>
          <w:p w:rsidR="00125239" w:rsidRPr="00D73845" w:rsidRDefault="00125239" w:rsidP="00125239">
            <w:r w:rsidRPr="00D73845">
              <w:t xml:space="preserve">Exterior walls </w:t>
            </w:r>
          </w:p>
        </w:tc>
        <w:tc>
          <w:tcPr>
            <w:tcW w:w="864" w:type="dxa"/>
            <w:tcBorders>
              <w:top w:val="single" w:sz="4" w:space="0" w:color="0070C0"/>
              <w:bottom w:val="single" w:sz="4" w:space="0" w:color="0070C0"/>
            </w:tcBorders>
            <w:noWrap/>
            <w:hideMark/>
          </w:tcPr>
          <w:p w:rsidR="00125239" w:rsidRPr="00D73845" w:rsidRDefault="00125239" w:rsidP="00125239">
            <w:r w:rsidRPr="00D73845">
              <w:t>2017 n=759</w:t>
            </w:r>
          </w:p>
        </w:tc>
        <w:tc>
          <w:tcPr>
            <w:tcW w:w="1255" w:type="dxa"/>
            <w:tcBorders>
              <w:top w:val="single" w:sz="4" w:space="0" w:color="0070C0"/>
              <w:bottom w:val="single" w:sz="4" w:space="0" w:color="0070C0"/>
            </w:tcBorders>
            <w:noWrap/>
            <w:hideMark/>
          </w:tcPr>
          <w:p w:rsidR="00125239" w:rsidRPr="00D73845" w:rsidRDefault="00125239" w:rsidP="00125239">
            <w:r w:rsidRPr="00D73845">
              <w:t>23%</w:t>
            </w:r>
          </w:p>
        </w:tc>
        <w:tc>
          <w:tcPr>
            <w:tcW w:w="1317" w:type="dxa"/>
            <w:tcBorders>
              <w:top w:val="single" w:sz="4" w:space="0" w:color="0070C0"/>
              <w:bottom w:val="single" w:sz="4" w:space="0" w:color="0070C0"/>
            </w:tcBorders>
            <w:noWrap/>
            <w:hideMark/>
          </w:tcPr>
          <w:p w:rsidR="00125239" w:rsidRPr="00D73845" w:rsidRDefault="00125239" w:rsidP="00125239">
            <w:r w:rsidRPr="00D73845">
              <w:t>17%</w:t>
            </w:r>
          </w:p>
        </w:tc>
        <w:tc>
          <w:tcPr>
            <w:tcW w:w="1451" w:type="dxa"/>
            <w:tcBorders>
              <w:top w:val="single" w:sz="4" w:space="0" w:color="0070C0"/>
              <w:bottom w:val="single" w:sz="4" w:space="0" w:color="0070C0"/>
            </w:tcBorders>
            <w:noWrap/>
            <w:hideMark/>
          </w:tcPr>
          <w:p w:rsidR="00125239" w:rsidRPr="00D73845" w:rsidRDefault="00125239" w:rsidP="00125239">
            <w:r w:rsidRPr="00D73845">
              <w:t>40%</w:t>
            </w:r>
          </w:p>
        </w:tc>
        <w:tc>
          <w:tcPr>
            <w:tcW w:w="1363" w:type="dxa"/>
            <w:tcBorders>
              <w:top w:val="single" w:sz="4" w:space="0" w:color="0070C0"/>
              <w:bottom w:val="single" w:sz="4" w:space="0" w:color="0070C0"/>
            </w:tcBorders>
            <w:noWrap/>
            <w:hideMark/>
          </w:tcPr>
          <w:p w:rsidR="00125239" w:rsidRPr="00D73845" w:rsidRDefault="00125239" w:rsidP="00125239">
            <w:r w:rsidRPr="00D73845">
              <w:t>19%</w:t>
            </w:r>
          </w:p>
        </w:tc>
      </w:tr>
      <w:tr w:rsidR="00125239" w:rsidRPr="00D73845" w:rsidTr="00125239">
        <w:trPr>
          <w:trHeight w:val="276"/>
        </w:trPr>
        <w:tc>
          <w:tcPr>
            <w:tcW w:w="5057" w:type="dxa"/>
            <w:vMerge/>
            <w:tcBorders>
              <w:top w:val="single" w:sz="4" w:space="0" w:color="0070C0"/>
              <w:bottom w:val="single" w:sz="4" w:space="0" w:color="0070C0"/>
            </w:tcBorders>
            <w:noWrap/>
            <w:hideMark/>
          </w:tcPr>
          <w:p w:rsidR="00125239" w:rsidRPr="00D73845" w:rsidRDefault="00125239" w:rsidP="00125239"/>
        </w:tc>
        <w:tc>
          <w:tcPr>
            <w:tcW w:w="864" w:type="dxa"/>
            <w:tcBorders>
              <w:top w:val="single" w:sz="4" w:space="0" w:color="0070C0"/>
              <w:bottom w:val="single" w:sz="4" w:space="0" w:color="0070C0"/>
            </w:tcBorders>
            <w:noWrap/>
            <w:hideMark/>
          </w:tcPr>
          <w:p w:rsidR="00125239" w:rsidRPr="00D73845" w:rsidRDefault="00125239" w:rsidP="00125239">
            <w:r w:rsidRPr="00D73845">
              <w:t>2018 n=966</w:t>
            </w:r>
          </w:p>
        </w:tc>
        <w:tc>
          <w:tcPr>
            <w:tcW w:w="1255" w:type="dxa"/>
            <w:tcBorders>
              <w:top w:val="single" w:sz="4" w:space="0" w:color="0070C0"/>
              <w:bottom w:val="single" w:sz="4" w:space="0" w:color="0070C0"/>
            </w:tcBorders>
            <w:noWrap/>
            <w:hideMark/>
          </w:tcPr>
          <w:p w:rsidR="00125239" w:rsidRPr="00D73845" w:rsidRDefault="00125239" w:rsidP="00125239">
            <w:r w:rsidRPr="00D73845">
              <w:t>24%</w:t>
            </w:r>
          </w:p>
        </w:tc>
        <w:tc>
          <w:tcPr>
            <w:tcW w:w="1317" w:type="dxa"/>
            <w:tcBorders>
              <w:top w:val="single" w:sz="4" w:space="0" w:color="0070C0"/>
              <w:bottom w:val="single" w:sz="4" w:space="0" w:color="0070C0"/>
            </w:tcBorders>
            <w:noWrap/>
            <w:hideMark/>
          </w:tcPr>
          <w:p w:rsidR="00125239" w:rsidRPr="00D73845" w:rsidRDefault="00125239" w:rsidP="00125239">
            <w:r w:rsidRPr="00D73845">
              <w:t>13%</w:t>
            </w:r>
          </w:p>
        </w:tc>
        <w:tc>
          <w:tcPr>
            <w:tcW w:w="1451" w:type="dxa"/>
            <w:tcBorders>
              <w:top w:val="single" w:sz="4" w:space="0" w:color="0070C0"/>
              <w:bottom w:val="single" w:sz="4" w:space="0" w:color="0070C0"/>
            </w:tcBorders>
            <w:noWrap/>
            <w:hideMark/>
          </w:tcPr>
          <w:p w:rsidR="00125239" w:rsidRPr="00D73845" w:rsidRDefault="00125239" w:rsidP="00125239">
            <w:r w:rsidRPr="00D73845">
              <w:t>40%</w:t>
            </w:r>
          </w:p>
        </w:tc>
        <w:tc>
          <w:tcPr>
            <w:tcW w:w="1363" w:type="dxa"/>
            <w:tcBorders>
              <w:top w:val="single" w:sz="4" w:space="0" w:color="0070C0"/>
              <w:bottom w:val="single" w:sz="4" w:space="0" w:color="0070C0"/>
            </w:tcBorders>
            <w:noWrap/>
            <w:hideMark/>
          </w:tcPr>
          <w:p w:rsidR="00125239" w:rsidRPr="00D73845" w:rsidRDefault="00125239" w:rsidP="00125239">
            <w:r w:rsidRPr="00D73845">
              <w:t>23%</w:t>
            </w:r>
          </w:p>
        </w:tc>
      </w:tr>
      <w:tr w:rsidR="00125239" w:rsidRPr="00D73845" w:rsidTr="00125239">
        <w:trPr>
          <w:trHeight w:val="276"/>
        </w:trPr>
        <w:tc>
          <w:tcPr>
            <w:tcW w:w="5057" w:type="dxa"/>
            <w:vMerge/>
            <w:tcBorders>
              <w:top w:val="single" w:sz="4" w:space="0" w:color="0070C0"/>
              <w:bottom w:val="single" w:sz="4" w:space="0" w:color="0070C0"/>
            </w:tcBorders>
            <w:noWrap/>
            <w:hideMark/>
          </w:tcPr>
          <w:p w:rsidR="00125239" w:rsidRPr="00D73845" w:rsidRDefault="00125239" w:rsidP="00125239"/>
        </w:tc>
        <w:tc>
          <w:tcPr>
            <w:tcW w:w="864" w:type="dxa"/>
            <w:tcBorders>
              <w:top w:val="single" w:sz="4" w:space="0" w:color="0070C0"/>
              <w:bottom w:val="single" w:sz="4" w:space="0" w:color="0070C0"/>
            </w:tcBorders>
            <w:noWrap/>
            <w:hideMark/>
          </w:tcPr>
          <w:p w:rsidR="00125239" w:rsidRPr="00D73845" w:rsidRDefault="00125239" w:rsidP="00125239">
            <w:r w:rsidRPr="00D73845">
              <w:t>2019 n=508</w:t>
            </w:r>
          </w:p>
        </w:tc>
        <w:tc>
          <w:tcPr>
            <w:tcW w:w="1255" w:type="dxa"/>
            <w:tcBorders>
              <w:top w:val="single" w:sz="4" w:space="0" w:color="0070C0"/>
              <w:bottom w:val="single" w:sz="4" w:space="0" w:color="0070C0"/>
            </w:tcBorders>
            <w:noWrap/>
            <w:hideMark/>
          </w:tcPr>
          <w:p w:rsidR="00125239" w:rsidRPr="00D73845" w:rsidRDefault="00125239" w:rsidP="00125239">
            <w:r w:rsidRPr="00D73845">
              <w:t>24%</w:t>
            </w:r>
          </w:p>
        </w:tc>
        <w:tc>
          <w:tcPr>
            <w:tcW w:w="1317" w:type="dxa"/>
            <w:tcBorders>
              <w:top w:val="single" w:sz="4" w:space="0" w:color="0070C0"/>
              <w:bottom w:val="single" w:sz="4" w:space="0" w:color="0070C0"/>
            </w:tcBorders>
            <w:noWrap/>
            <w:hideMark/>
          </w:tcPr>
          <w:p w:rsidR="00125239" w:rsidRPr="00D73845" w:rsidRDefault="00125239" w:rsidP="00125239">
            <w:r w:rsidRPr="00D73845">
              <w:t>12%</w:t>
            </w:r>
          </w:p>
        </w:tc>
        <w:tc>
          <w:tcPr>
            <w:tcW w:w="1451" w:type="dxa"/>
            <w:tcBorders>
              <w:top w:val="single" w:sz="4" w:space="0" w:color="0070C0"/>
              <w:bottom w:val="single" w:sz="4" w:space="0" w:color="0070C0"/>
            </w:tcBorders>
            <w:noWrap/>
            <w:hideMark/>
          </w:tcPr>
          <w:p w:rsidR="00125239" w:rsidRPr="00D73845" w:rsidRDefault="00125239" w:rsidP="00125239">
            <w:r w:rsidRPr="00D73845">
              <w:t>47%</w:t>
            </w:r>
          </w:p>
        </w:tc>
        <w:tc>
          <w:tcPr>
            <w:tcW w:w="1363" w:type="dxa"/>
            <w:tcBorders>
              <w:top w:val="single" w:sz="4" w:space="0" w:color="0070C0"/>
              <w:bottom w:val="single" w:sz="4" w:space="0" w:color="0070C0"/>
            </w:tcBorders>
            <w:noWrap/>
            <w:hideMark/>
          </w:tcPr>
          <w:p w:rsidR="00125239" w:rsidRPr="00D73845" w:rsidRDefault="00125239" w:rsidP="00125239">
            <w:r w:rsidRPr="00D73845">
              <w:t>17%</w:t>
            </w:r>
          </w:p>
        </w:tc>
      </w:tr>
      <w:tr w:rsidR="00125239" w:rsidRPr="00D73845" w:rsidTr="00125239">
        <w:trPr>
          <w:trHeight w:val="276"/>
        </w:trPr>
        <w:tc>
          <w:tcPr>
            <w:tcW w:w="5057" w:type="dxa"/>
            <w:vMerge w:val="restart"/>
            <w:tcBorders>
              <w:top w:val="single" w:sz="4" w:space="0" w:color="0070C0"/>
              <w:bottom w:val="single" w:sz="4" w:space="0" w:color="0070C0"/>
            </w:tcBorders>
            <w:noWrap/>
            <w:hideMark/>
          </w:tcPr>
          <w:p w:rsidR="00125239" w:rsidRPr="00D73845" w:rsidRDefault="00125239" w:rsidP="00125239">
            <w:r w:rsidRPr="00D73845">
              <w:t>Interior walls</w:t>
            </w:r>
          </w:p>
        </w:tc>
        <w:tc>
          <w:tcPr>
            <w:tcW w:w="864" w:type="dxa"/>
            <w:tcBorders>
              <w:top w:val="single" w:sz="4" w:space="0" w:color="0070C0"/>
              <w:bottom w:val="single" w:sz="4" w:space="0" w:color="0070C0"/>
            </w:tcBorders>
            <w:noWrap/>
            <w:hideMark/>
          </w:tcPr>
          <w:p w:rsidR="00125239" w:rsidRPr="00D73845" w:rsidRDefault="00125239" w:rsidP="00125239">
            <w:r w:rsidRPr="00D73845">
              <w:t>2017 n=753</w:t>
            </w:r>
          </w:p>
        </w:tc>
        <w:tc>
          <w:tcPr>
            <w:tcW w:w="1255" w:type="dxa"/>
            <w:tcBorders>
              <w:top w:val="single" w:sz="4" w:space="0" w:color="0070C0"/>
              <w:bottom w:val="single" w:sz="4" w:space="0" w:color="0070C0"/>
            </w:tcBorders>
            <w:noWrap/>
            <w:hideMark/>
          </w:tcPr>
          <w:p w:rsidR="00125239" w:rsidRPr="00D73845" w:rsidRDefault="00125239" w:rsidP="00125239">
            <w:r w:rsidRPr="00D73845">
              <w:t>34%</w:t>
            </w:r>
          </w:p>
        </w:tc>
        <w:tc>
          <w:tcPr>
            <w:tcW w:w="1317" w:type="dxa"/>
            <w:tcBorders>
              <w:top w:val="single" w:sz="4" w:space="0" w:color="0070C0"/>
              <w:bottom w:val="single" w:sz="4" w:space="0" w:color="0070C0"/>
            </w:tcBorders>
            <w:noWrap/>
            <w:hideMark/>
          </w:tcPr>
          <w:p w:rsidR="00125239" w:rsidRPr="00D73845" w:rsidRDefault="00125239" w:rsidP="00125239">
            <w:r w:rsidRPr="00D73845">
              <w:t>13%</w:t>
            </w:r>
          </w:p>
        </w:tc>
        <w:tc>
          <w:tcPr>
            <w:tcW w:w="1451" w:type="dxa"/>
            <w:tcBorders>
              <w:top w:val="single" w:sz="4" w:space="0" w:color="0070C0"/>
              <w:bottom w:val="single" w:sz="4" w:space="0" w:color="0070C0"/>
            </w:tcBorders>
            <w:noWrap/>
            <w:hideMark/>
          </w:tcPr>
          <w:p w:rsidR="00125239" w:rsidRPr="00D73845" w:rsidRDefault="00125239" w:rsidP="00125239">
            <w:r w:rsidRPr="00D73845">
              <w:t>31%</w:t>
            </w:r>
          </w:p>
        </w:tc>
        <w:tc>
          <w:tcPr>
            <w:tcW w:w="1363" w:type="dxa"/>
            <w:tcBorders>
              <w:top w:val="single" w:sz="4" w:space="0" w:color="0070C0"/>
              <w:bottom w:val="single" w:sz="4" w:space="0" w:color="0070C0"/>
            </w:tcBorders>
            <w:noWrap/>
            <w:hideMark/>
          </w:tcPr>
          <w:p w:rsidR="00125239" w:rsidRPr="00D73845" w:rsidRDefault="00125239" w:rsidP="00125239">
            <w:r w:rsidRPr="00D73845">
              <w:t>22%</w:t>
            </w:r>
          </w:p>
        </w:tc>
      </w:tr>
      <w:tr w:rsidR="00125239" w:rsidRPr="00D73845" w:rsidTr="00125239">
        <w:trPr>
          <w:trHeight w:val="276"/>
        </w:trPr>
        <w:tc>
          <w:tcPr>
            <w:tcW w:w="5057" w:type="dxa"/>
            <w:vMerge/>
            <w:tcBorders>
              <w:top w:val="single" w:sz="4" w:space="0" w:color="0070C0"/>
              <w:bottom w:val="single" w:sz="4" w:space="0" w:color="0070C0"/>
            </w:tcBorders>
            <w:noWrap/>
            <w:hideMark/>
          </w:tcPr>
          <w:p w:rsidR="00125239" w:rsidRPr="00D73845" w:rsidRDefault="00125239" w:rsidP="00125239"/>
        </w:tc>
        <w:tc>
          <w:tcPr>
            <w:tcW w:w="864" w:type="dxa"/>
            <w:tcBorders>
              <w:top w:val="single" w:sz="4" w:space="0" w:color="0070C0"/>
              <w:bottom w:val="single" w:sz="4" w:space="0" w:color="0070C0"/>
            </w:tcBorders>
            <w:noWrap/>
            <w:hideMark/>
          </w:tcPr>
          <w:p w:rsidR="00125239" w:rsidRPr="00D73845" w:rsidRDefault="00125239" w:rsidP="00125239">
            <w:r w:rsidRPr="00D73845">
              <w:t>2018 n= 963</w:t>
            </w:r>
          </w:p>
        </w:tc>
        <w:tc>
          <w:tcPr>
            <w:tcW w:w="1255" w:type="dxa"/>
            <w:tcBorders>
              <w:top w:val="single" w:sz="4" w:space="0" w:color="0070C0"/>
              <w:bottom w:val="single" w:sz="4" w:space="0" w:color="0070C0"/>
            </w:tcBorders>
            <w:noWrap/>
            <w:hideMark/>
          </w:tcPr>
          <w:p w:rsidR="00125239" w:rsidRPr="00D73845" w:rsidRDefault="00125239" w:rsidP="00125239">
            <w:r w:rsidRPr="00D73845">
              <w:t>30%</w:t>
            </w:r>
          </w:p>
        </w:tc>
        <w:tc>
          <w:tcPr>
            <w:tcW w:w="1317" w:type="dxa"/>
            <w:tcBorders>
              <w:top w:val="single" w:sz="4" w:space="0" w:color="0070C0"/>
              <w:bottom w:val="single" w:sz="4" w:space="0" w:color="0070C0"/>
            </w:tcBorders>
            <w:noWrap/>
            <w:hideMark/>
          </w:tcPr>
          <w:p w:rsidR="00125239" w:rsidRPr="00D73845" w:rsidRDefault="00125239" w:rsidP="00125239">
            <w:r w:rsidRPr="00D73845">
              <w:t>12%</w:t>
            </w:r>
          </w:p>
        </w:tc>
        <w:tc>
          <w:tcPr>
            <w:tcW w:w="1451" w:type="dxa"/>
            <w:tcBorders>
              <w:top w:val="single" w:sz="4" w:space="0" w:color="0070C0"/>
              <w:bottom w:val="single" w:sz="4" w:space="0" w:color="0070C0"/>
            </w:tcBorders>
            <w:noWrap/>
            <w:hideMark/>
          </w:tcPr>
          <w:p w:rsidR="00125239" w:rsidRPr="00D73845" w:rsidRDefault="00125239" w:rsidP="00125239">
            <w:r w:rsidRPr="00D73845">
              <w:t>34%</w:t>
            </w:r>
          </w:p>
        </w:tc>
        <w:tc>
          <w:tcPr>
            <w:tcW w:w="1363" w:type="dxa"/>
            <w:tcBorders>
              <w:top w:val="single" w:sz="4" w:space="0" w:color="0070C0"/>
              <w:bottom w:val="single" w:sz="4" w:space="0" w:color="0070C0"/>
            </w:tcBorders>
            <w:noWrap/>
            <w:hideMark/>
          </w:tcPr>
          <w:p w:rsidR="00125239" w:rsidRPr="00D73845" w:rsidRDefault="00125239" w:rsidP="00125239">
            <w:r w:rsidRPr="00D73845">
              <w:t>24%</w:t>
            </w:r>
          </w:p>
        </w:tc>
      </w:tr>
      <w:tr w:rsidR="00125239" w:rsidRPr="00D73845" w:rsidTr="00125239">
        <w:trPr>
          <w:trHeight w:val="276"/>
        </w:trPr>
        <w:tc>
          <w:tcPr>
            <w:tcW w:w="5057" w:type="dxa"/>
            <w:vMerge/>
            <w:tcBorders>
              <w:top w:val="single" w:sz="4" w:space="0" w:color="0070C0"/>
              <w:bottom w:val="single" w:sz="4" w:space="0" w:color="0070C0"/>
            </w:tcBorders>
            <w:noWrap/>
            <w:hideMark/>
          </w:tcPr>
          <w:p w:rsidR="00125239" w:rsidRPr="00D73845" w:rsidRDefault="00125239" w:rsidP="00125239"/>
        </w:tc>
        <w:tc>
          <w:tcPr>
            <w:tcW w:w="864" w:type="dxa"/>
            <w:tcBorders>
              <w:top w:val="single" w:sz="4" w:space="0" w:color="0070C0"/>
              <w:bottom w:val="single" w:sz="4" w:space="0" w:color="0070C0"/>
            </w:tcBorders>
            <w:noWrap/>
            <w:hideMark/>
          </w:tcPr>
          <w:p w:rsidR="00125239" w:rsidRPr="00D73845" w:rsidRDefault="00125239" w:rsidP="00125239">
            <w:r w:rsidRPr="00D73845">
              <w:t>2019 n=508</w:t>
            </w:r>
          </w:p>
        </w:tc>
        <w:tc>
          <w:tcPr>
            <w:tcW w:w="1255" w:type="dxa"/>
            <w:tcBorders>
              <w:top w:val="single" w:sz="4" w:space="0" w:color="0070C0"/>
              <w:bottom w:val="single" w:sz="4" w:space="0" w:color="0070C0"/>
            </w:tcBorders>
            <w:noWrap/>
            <w:hideMark/>
          </w:tcPr>
          <w:p w:rsidR="00125239" w:rsidRPr="00D73845" w:rsidRDefault="00125239" w:rsidP="00125239">
            <w:r w:rsidRPr="00D73845">
              <w:t>31%</w:t>
            </w:r>
          </w:p>
        </w:tc>
        <w:tc>
          <w:tcPr>
            <w:tcW w:w="1317" w:type="dxa"/>
            <w:tcBorders>
              <w:top w:val="single" w:sz="4" w:space="0" w:color="0070C0"/>
              <w:bottom w:val="single" w:sz="4" w:space="0" w:color="0070C0"/>
            </w:tcBorders>
            <w:noWrap/>
            <w:hideMark/>
          </w:tcPr>
          <w:p w:rsidR="00125239" w:rsidRPr="00D73845" w:rsidRDefault="00125239" w:rsidP="00125239">
            <w:r w:rsidRPr="00D73845">
              <w:t>10%</w:t>
            </w:r>
          </w:p>
        </w:tc>
        <w:tc>
          <w:tcPr>
            <w:tcW w:w="1451" w:type="dxa"/>
            <w:tcBorders>
              <w:top w:val="single" w:sz="4" w:space="0" w:color="0070C0"/>
              <w:bottom w:val="single" w:sz="4" w:space="0" w:color="0070C0"/>
            </w:tcBorders>
            <w:noWrap/>
            <w:hideMark/>
          </w:tcPr>
          <w:p w:rsidR="00125239" w:rsidRPr="00D73845" w:rsidRDefault="00125239" w:rsidP="00125239">
            <w:r w:rsidRPr="00D73845">
              <w:t>37%</w:t>
            </w:r>
          </w:p>
        </w:tc>
        <w:tc>
          <w:tcPr>
            <w:tcW w:w="1363" w:type="dxa"/>
            <w:tcBorders>
              <w:top w:val="single" w:sz="4" w:space="0" w:color="0070C0"/>
              <w:bottom w:val="single" w:sz="4" w:space="0" w:color="0070C0"/>
            </w:tcBorders>
            <w:noWrap/>
            <w:hideMark/>
          </w:tcPr>
          <w:p w:rsidR="00125239" w:rsidRPr="00D73845" w:rsidRDefault="00125239" w:rsidP="00125239">
            <w:r w:rsidRPr="00D73845">
              <w:t>23%</w:t>
            </w:r>
          </w:p>
        </w:tc>
      </w:tr>
      <w:tr w:rsidR="00125239" w:rsidRPr="00D73845" w:rsidTr="00125239">
        <w:trPr>
          <w:trHeight w:val="276"/>
        </w:trPr>
        <w:tc>
          <w:tcPr>
            <w:tcW w:w="5057" w:type="dxa"/>
            <w:vMerge w:val="restart"/>
            <w:tcBorders>
              <w:top w:val="single" w:sz="4" w:space="0" w:color="0070C0"/>
              <w:bottom w:val="single" w:sz="4" w:space="0" w:color="0070C0"/>
            </w:tcBorders>
            <w:noWrap/>
            <w:hideMark/>
          </w:tcPr>
          <w:p w:rsidR="00125239" w:rsidRPr="00D73845" w:rsidRDefault="00125239" w:rsidP="00125239">
            <w:r w:rsidRPr="00D73845">
              <w:t>Ceiling</w:t>
            </w:r>
          </w:p>
        </w:tc>
        <w:tc>
          <w:tcPr>
            <w:tcW w:w="864" w:type="dxa"/>
            <w:tcBorders>
              <w:top w:val="single" w:sz="4" w:space="0" w:color="0070C0"/>
              <w:bottom w:val="single" w:sz="4" w:space="0" w:color="0070C0"/>
            </w:tcBorders>
            <w:noWrap/>
            <w:hideMark/>
          </w:tcPr>
          <w:p w:rsidR="00125239" w:rsidRPr="00D73845" w:rsidRDefault="00125239" w:rsidP="00125239">
            <w:r w:rsidRPr="00D73845">
              <w:t>2017 n=762</w:t>
            </w:r>
          </w:p>
        </w:tc>
        <w:tc>
          <w:tcPr>
            <w:tcW w:w="1255" w:type="dxa"/>
            <w:tcBorders>
              <w:top w:val="single" w:sz="4" w:space="0" w:color="0070C0"/>
              <w:bottom w:val="single" w:sz="4" w:space="0" w:color="0070C0"/>
            </w:tcBorders>
            <w:noWrap/>
            <w:hideMark/>
          </w:tcPr>
          <w:p w:rsidR="00125239" w:rsidRPr="00D73845" w:rsidRDefault="00125239" w:rsidP="00125239">
            <w:r w:rsidRPr="00D73845">
              <w:t>10%</w:t>
            </w:r>
          </w:p>
        </w:tc>
        <w:tc>
          <w:tcPr>
            <w:tcW w:w="1317" w:type="dxa"/>
            <w:tcBorders>
              <w:top w:val="single" w:sz="4" w:space="0" w:color="0070C0"/>
              <w:bottom w:val="single" w:sz="4" w:space="0" w:color="0070C0"/>
            </w:tcBorders>
            <w:noWrap/>
            <w:hideMark/>
          </w:tcPr>
          <w:p w:rsidR="00125239" w:rsidRPr="00D73845" w:rsidRDefault="00125239" w:rsidP="00125239">
            <w:r w:rsidRPr="00D73845">
              <w:t>11%</w:t>
            </w:r>
          </w:p>
        </w:tc>
        <w:tc>
          <w:tcPr>
            <w:tcW w:w="1451" w:type="dxa"/>
            <w:tcBorders>
              <w:top w:val="single" w:sz="4" w:space="0" w:color="0070C0"/>
              <w:bottom w:val="single" w:sz="4" w:space="0" w:color="0070C0"/>
            </w:tcBorders>
            <w:noWrap/>
            <w:hideMark/>
          </w:tcPr>
          <w:p w:rsidR="00125239" w:rsidRPr="00D73845" w:rsidRDefault="00125239" w:rsidP="00125239">
            <w:r w:rsidRPr="00D73845">
              <w:t>66%</w:t>
            </w:r>
          </w:p>
        </w:tc>
        <w:tc>
          <w:tcPr>
            <w:tcW w:w="1363" w:type="dxa"/>
            <w:tcBorders>
              <w:top w:val="single" w:sz="4" w:space="0" w:color="0070C0"/>
              <w:bottom w:val="single" w:sz="4" w:space="0" w:color="0070C0"/>
            </w:tcBorders>
            <w:noWrap/>
            <w:hideMark/>
          </w:tcPr>
          <w:p w:rsidR="00125239" w:rsidRPr="00D73845" w:rsidRDefault="00125239" w:rsidP="00125239">
            <w:r w:rsidRPr="00D73845">
              <w:t>14%</w:t>
            </w:r>
          </w:p>
        </w:tc>
      </w:tr>
      <w:tr w:rsidR="00125239" w:rsidRPr="00D73845" w:rsidTr="00DD6D6D">
        <w:trPr>
          <w:trHeight w:val="276"/>
        </w:trPr>
        <w:tc>
          <w:tcPr>
            <w:tcW w:w="5057" w:type="dxa"/>
            <w:vMerge/>
            <w:tcBorders>
              <w:top w:val="single" w:sz="4" w:space="0" w:color="0070C0"/>
              <w:bottom w:val="single" w:sz="4" w:space="0" w:color="0070C0"/>
            </w:tcBorders>
            <w:noWrap/>
            <w:hideMark/>
          </w:tcPr>
          <w:p w:rsidR="00125239" w:rsidRPr="00D73845" w:rsidRDefault="00125239" w:rsidP="00125239"/>
        </w:tc>
        <w:tc>
          <w:tcPr>
            <w:tcW w:w="864" w:type="dxa"/>
            <w:tcBorders>
              <w:top w:val="single" w:sz="4" w:space="0" w:color="0070C0"/>
              <w:bottom w:val="single" w:sz="4" w:space="0" w:color="0070C0"/>
            </w:tcBorders>
            <w:noWrap/>
            <w:hideMark/>
          </w:tcPr>
          <w:p w:rsidR="00125239" w:rsidRPr="00D73845" w:rsidRDefault="00125239" w:rsidP="00125239">
            <w:r w:rsidRPr="00D73845">
              <w:t>2018 n=978</w:t>
            </w:r>
          </w:p>
        </w:tc>
        <w:tc>
          <w:tcPr>
            <w:tcW w:w="1255" w:type="dxa"/>
            <w:tcBorders>
              <w:top w:val="single" w:sz="4" w:space="0" w:color="0070C0"/>
              <w:bottom w:val="single" w:sz="4" w:space="0" w:color="0070C0"/>
            </w:tcBorders>
            <w:noWrap/>
            <w:hideMark/>
          </w:tcPr>
          <w:p w:rsidR="00125239" w:rsidRPr="00D73845" w:rsidRDefault="00125239" w:rsidP="00125239">
            <w:r w:rsidRPr="00D73845">
              <w:t>8%</w:t>
            </w:r>
          </w:p>
        </w:tc>
        <w:tc>
          <w:tcPr>
            <w:tcW w:w="1317" w:type="dxa"/>
            <w:tcBorders>
              <w:top w:val="single" w:sz="4" w:space="0" w:color="0070C0"/>
              <w:bottom w:val="single" w:sz="4" w:space="0" w:color="0070C0"/>
            </w:tcBorders>
            <w:noWrap/>
            <w:hideMark/>
          </w:tcPr>
          <w:p w:rsidR="00125239" w:rsidRPr="00D73845" w:rsidRDefault="00125239" w:rsidP="00125239">
            <w:r w:rsidRPr="00D73845">
              <w:t>10%</w:t>
            </w:r>
          </w:p>
        </w:tc>
        <w:tc>
          <w:tcPr>
            <w:tcW w:w="1451" w:type="dxa"/>
            <w:tcBorders>
              <w:top w:val="single" w:sz="4" w:space="0" w:color="0070C0"/>
              <w:bottom w:val="single" w:sz="4" w:space="0" w:color="0070C0"/>
            </w:tcBorders>
            <w:noWrap/>
            <w:hideMark/>
          </w:tcPr>
          <w:p w:rsidR="00125239" w:rsidRPr="00D73845" w:rsidRDefault="00125239" w:rsidP="00125239">
            <w:r w:rsidRPr="00D73845">
              <w:t>66%</w:t>
            </w:r>
          </w:p>
        </w:tc>
        <w:tc>
          <w:tcPr>
            <w:tcW w:w="1363" w:type="dxa"/>
            <w:tcBorders>
              <w:top w:val="single" w:sz="4" w:space="0" w:color="0070C0"/>
              <w:bottom w:val="single" w:sz="4" w:space="0" w:color="0070C0"/>
            </w:tcBorders>
            <w:noWrap/>
            <w:hideMark/>
          </w:tcPr>
          <w:p w:rsidR="00125239" w:rsidRPr="00D73845" w:rsidRDefault="00125239" w:rsidP="00125239">
            <w:r w:rsidRPr="00D73845">
              <w:t>16%</w:t>
            </w:r>
          </w:p>
        </w:tc>
      </w:tr>
      <w:tr w:rsidR="00125239" w:rsidRPr="00D73845" w:rsidTr="00DD6D6D">
        <w:trPr>
          <w:trHeight w:val="276"/>
        </w:trPr>
        <w:tc>
          <w:tcPr>
            <w:tcW w:w="5057" w:type="dxa"/>
            <w:vMerge/>
            <w:tcBorders>
              <w:top w:val="single" w:sz="4" w:space="0" w:color="0070C0"/>
              <w:bottom w:val="single" w:sz="4" w:space="0" w:color="0070C0"/>
            </w:tcBorders>
            <w:noWrap/>
            <w:hideMark/>
          </w:tcPr>
          <w:p w:rsidR="00125239" w:rsidRPr="00D73845" w:rsidRDefault="00125239" w:rsidP="00125239"/>
        </w:tc>
        <w:tc>
          <w:tcPr>
            <w:tcW w:w="864" w:type="dxa"/>
            <w:tcBorders>
              <w:top w:val="single" w:sz="4" w:space="0" w:color="0070C0"/>
              <w:bottom w:val="single" w:sz="4" w:space="0" w:color="0070C0"/>
            </w:tcBorders>
            <w:noWrap/>
            <w:hideMark/>
          </w:tcPr>
          <w:p w:rsidR="00125239" w:rsidRPr="00D73845" w:rsidRDefault="00125239" w:rsidP="00125239">
            <w:r w:rsidRPr="00D73845">
              <w:t>2019 n=508</w:t>
            </w:r>
          </w:p>
        </w:tc>
        <w:tc>
          <w:tcPr>
            <w:tcW w:w="1255" w:type="dxa"/>
            <w:tcBorders>
              <w:top w:val="single" w:sz="4" w:space="0" w:color="0070C0"/>
              <w:bottom w:val="single" w:sz="4" w:space="0" w:color="0070C0"/>
            </w:tcBorders>
            <w:noWrap/>
            <w:hideMark/>
          </w:tcPr>
          <w:p w:rsidR="00125239" w:rsidRPr="00D73845" w:rsidRDefault="00125239" w:rsidP="00125239">
            <w:r w:rsidRPr="00D73845">
              <w:t>8%</w:t>
            </w:r>
          </w:p>
        </w:tc>
        <w:tc>
          <w:tcPr>
            <w:tcW w:w="1317" w:type="dxa"/>
            <w:tcBorders>
              <w:top w:val="single" w:sz="4" w:space="0" w:color="0070C0"/>
              <w:bottom w:val="single" w:sz="4" w:space="0" w:color="0070C0"/>
            </w:tcBorders>
            <w:noWrap/>
            <w:hideMark/>
          </w:tcPr>
          <w:p w:rsidR="00125239" w:rsidRPr="00D73845" w:rsidRDefault="00125239" w:rsidP="00125239">
            <w:r w:rsidRPr="00D73845">
              <w:t>9%</w:t>
            </w:r>
          </w:p>
        </w:tc>
        <w:tc>
          <w:tcPr>
            <w:tcW w:w="1451" w:type="dxa"/>
            <w:tcBorders>
              <w:top w:val="single" w:sz="4" w:space="0" w:color="0070C0"/>
              <w:bottom w:val="single" w:sz="4" w:space="0" w:color="0070C0"/>
            </w:tcBorders>
            <w:shd w:val="pct5" w:color="auto" w:fill="auto"/>
            <w:noWrap/>
            <w:hideMark/>
          </w:tcPr>
          <w:p w:rsidR="00125239" w:rsidRPr="00D73845" w:rsidRDefault="00125239" w:rsidP="00125239">
            <w:r w:rsidRPr="00D73845">
              <w:t>71%</w:t>
            </w:r>
          </w:p>
        </w:tc>
        <w:tc>
          <w:tcPr>
            <w:tcW w:w="1363" w:type="dxa"/>
            <w:tcBorders>
              <w:top w:val="single" w:sz="4" w:space="0" w:color="0070C0"/>
              <w:bottom w:val="single" w:sz="4" w:space="0" w:color="0070C0"/>
            </w:tcBorders>
            <w:noWrap/>
            <w:hideMark/>
          </w:tcPr>
          <w:p w:rsidR="00125239" w:rsidRPr="00D73845" w:rsidRDefault="00125239" w:rsidP="00125239">
            <w:r w:rsidRPr="00D73845">
              <w:t>12%</w:t>
            </w:r>
          </w:p>
        </w:tc>
      </w:tr>
      <w:tr w:rsidR="00125239" w:rsidRPr="00D73845" w:rsidTr="00125239">
        <w:trPr>
          <w:trHeight w:val="276"/>
        </w:trPr>
        <w:tc>
          <w:tcPr>
            <w:tcW w:w="5057" w:type="dxa"/>
            <w:vMerge w:val="restart"/>
            <w:tcBorders>
              <w:top w:val="single" w:sz="4" w:space="0" w:color="0070C0"/>
              <w:bottom w:val="single" w:sz="4" w:space="0" w:color="0070C0"/>
            </w:tcBorders>
            <w:noWrap/>
            <w:hideMark/>
          </w:tcPr>
          <w:p w:rsidR="00125239" w:rsidRPr="00D73845" w:rsidRDefault="00125239" w:rsidP="00125239">
            <w:r w:rsidRPr="00D73845">
              <w:t xml:space="preserve">Under floor </w:t>
            </w:r>
          </w:p>
        </w:tc>
        <w:tc>
          <w:tcPr>
            <w:tcW w:w="864" w:type="dxa"/>
            <w:tcBorders>
              <w:top w:val="single" w:sz="4" w:space="0" w:color="0070C0"/>
              <w:bottom w:val="single" w:sz="4" w:space="0" w:color="0070C0"/>
            </w:tcBorders>
            <w:noWrap/>
            <w:hideMark/>
          </w:tcPr>
          <w:p w:rsidR="00125239" w:rsidRPr="00D73845" w:rsidRDefault="00125239" w:rsidP="00125239">
            <w:r w:rsidRPr="00D73845">
              <w:t>2017 n=759</w:t>
            </w:r>
          </w:p>
        </w:tc>
        <w:tc>
          <w:tcPr>
            <w:tcW w:w="1255" w:type="dxa"/>
            <w:tcBorders>
              <w:top w:val="single" w:sz="4" w:space="0" w:color="0070C0"/>
              <w:bottom w:val="single" w:sz="4" w:space="0" w:color="0070C0"/>
            </w:tcBorders>
            <w:noWrap/>
            <w:hideMark/>
          </w:tcPr>
          <w:p w:rsidR="00125239" w:rsidRPr="00D73845" w:rsidRDefault="00125239" w:rsidP="00125239">
            <w:r w:rsidRPr="00D73845">
              <w:t>23%</w:t>
            </w:r>
          </w:p>
        </w:tc>
        <w:tc>
          <w:tcPr>
            <w:tcW w:w="1317" w:type="dxa"/>
            <w:tcBorders>
              <w:top w:val="single" w:sz="4" w:space="0" w:color="0070C0"/>
              <w:bottom w:val="single" w:sz="4" w:space="0" w:color="0070C0"/>
            </w:tcBorders>
            <w:noWrap/>
            <w:hideMark/>
          </w:tcPr>
          <w:p w:rsidR="00125239" w:rsidRPr="00D73845" w:rsidRDefault="00125239" w:rsidP="00125239">
            <w:r w:rsidRPr="00D73845">
              <w:t>13%</w:t>
            </w:r>
          </w:p>
        </w:tc>
        <w:tc>
          <w:tcPr>
            <w:tcW w:w="1451" w:type="dxa"/>
            <w:tcBorders>
              <w:top w:val="single" w:sz="4" w:space="0" w:color="0070C0"/>
              <w:bottom w:val="single" w:sz="4" w:space="0" w:color="0070C0"/>
            </w:tcBorders>
            <w:noWrap/>
            <w:hideMark/>
          </w:tcPr>
          <w:p w:rsidR="00125239" w:rsidRPr="00D73845" w:rsidRDefault="00125239" w:rsidP="00125239">
            <w:r w:rsidRPr="00D73845">
              <w:t>46%</w:t>
            </w:r>
          </w:p>
        </w:tc>
        <w:tc>
          <w:tcPr>
            <w:tcW w:w="1363" w:type="dxa"/>
            <w:tcBorders>
              <w:top w:val="single" w:sz="4" w:space="0" w:color="0070C0"/>
              <w:bottom w:val="single" w:sz="4" w:space="0" w:color="0070C0"/>
            </w:tcBorders>
            <w:noWrap/>
            <w:hideMark/>
          </w:tcPr>
          <w:p w:rsidR="00125239" w:rsidRPr="00D73845" w:rsidRDefault="00125239" w:rsidP="00125239">
            <w:r w:rsidRPr="00D73845">
              <w:t>18%</w:t>
            </w:r>
          </w:p>
        </w:tc>
      </w:tr>
      <w:tr w:rsidR="00125239" w:rsidRPr="00D73845" w:rsidTr="00DD6D6D">
        <w:trPr>
          <w:trHeight w:val="276"/>
        </w:trPr>
        <w:tc>
          <w:tcPr>
            <w:tcW w:w="5057" w:type="dxa"/>
            <w:vMerge/>
            <w:tcBorders>
              <w:top w:val="single" w:sz="4" w:space="0" w:color="0070C0"/>
              <w:bottom w:val="single" w:sz="4" w:space="0" w:color="0070C0"/>
            </w:tcBorders>
            <w:noWrap/>
            <w:hideMark/>
          </w:tcPr>
          <w:p w:rsidR="00125239" w:rsidRPr="00D73845" w:rsidRDefault="00125239" w:rsidP="00125239"/>
        </w:tc>
        <w:tc>
          <w:tcPr>
            <w:tcW w:w="864" w:type="dxa"/>
            <w:tcBorders>
              <w:top w:val="single" w:sz="4" w:space="0" w:color="0070C0"/>
              <w:bottom w:val="single" w:sz="4" w:space="0" w:color="0070C0"/>
            </w:tcBorders>
            <w:noWrap/>
            <w:hideMark/>
          </w:tcPr>
          <w:p w:rsidR="00125239" w:rsidRPr="00D73845" w:rsidRDefault="00125239" w:rsidP="00125239">
            <w:r w:rsidRPr="00D73845">
              <w:t>2018 n=971</w:t>
            </w:r>
          </w:p>
        </w:tc>
        <w:tc>
          <w:tcPr>
            <w:tcW w:w="1255" w:type="dxa"/>
            <w:tcBorders>
              <w:top w:val="single" w:sz="4" w:space="0" w:color="0070C0"/>
              <w:bottom w:val="single" w:sz="4" w:space="0" w:color="0070C0"/>
            </w:tcBorders>
            <w:noWrap/>
            <w:hideMark/>
          </w:tcPr>
          <w:p w:rsidR="00125239" w:rsidRPr="00D73845" w:rsidRDefault="00125239" w:rsidP="00125239">
            <w:r w:rsidRPr="00D73845">
              <w:t>22%</w:t>
            </w:r>
          </w:p>
        </w:tc>
        <w:tc>
          <w:tcPr>
            <w:tcW w:w="1317" w:type="dxa"/>
            <w:tcBorders>
              <w:top w:val="single" w:sz="4" w:space="0" w:color="0070C0"/>
              <w:bottom w:val="single" w:sz="4" w:space="0" w:color="0070C0"/>
            </w:tcBorders>
            <w:noWrap/>
            <w:hideMark/>
          </w:tcPr>
          <w:p w:rsidR="00125239" w:rsidRPr="00D73845" w:rsidRDefault="00125239" w:rsidP="00125239">
            <w:r w:rsidRPr="00D73845">
              <w:t>13%</w:t>
            </w:r>
          </w:p>
        </w:tc>
        <w:tc>
          <w:tcPr>
            <w:tcW w:w="1451" w:type="dxa"/>
            <w:tcBorders>
              <w:top w:val="single" w:sz="4" w:space="0" w:color="0070C0"/>
              <w:bottom w:val="single" w:sz="4" w:space="0" w:color="0070C0"/>
            </w:tcBorders>
            <w:noWrap/>
            <w:hideMark/>
          </w:tcPr>
          <w:p w:rsidR="00125239" w:rsidRPr="00D73845" w:rsidRDefault="00125239" w:rsidP="00125239">
            <w:r w:rsidRPr="00D73845">
              <w:t>45%</w:t>
            </w:r>
          </w:p>
        </w:tc>
        <w:tc>
          <w:tcPr>
            <w:tcW w:w="1363" w:type="dxa"/>
            <w:tcBorders>
              <w:top w:val="single" w:sz="4" w:space="0" w:color="0070C0"/>
              <w:bottom w:val="single" w:sz="4" w:space="0" w:color="0070C0"/>
            </w:tcBorders>
            <w:noWrap/>
            <w:hideMark/>
          </w:tcPr>
          <w:p w:rsidR="00125239" w:rsidRPr="00D73845" w:rsidRDefault="00125239" w:rsidP="00125239">
            <w:r w:rsidRPr="00D73845">
              <w:t>21%</w:t>
            </w:r>
          </w:p>
        </w:tc>
      </w:tr>
      <w:tr w:rsidR="00125239" w:rsidRPr="00D73845" w:rsidTr="00DD6D6D">
        <w:trPr>
          <w:trHeight w:val="276"/>
        </w:trPr>
        <w:tc>
          <w:tcPr>
            <w:tcW w:w="5057" w:type="dxa"/>
            <w:vMerge/>
            <w:tcBorders>
              <w:top w:val="single" w:sz="4" w:space="0" w:color="0070C0"/>
              <w:bottom w:val="single" w:sz="4" w:space="0" w:color="0070C0"/>
            </w:tcBorders>
            <w:noWrap/>
            <w:hideMark/>
          </w:tcPr>
          <w:p w:rsidR="00125239" w:rsidRPr="00D73845" w:rsidRDefault="00125239" w:rsidP="00125239"/>
        </w:tc>
        <w:tc>
          <w:tcPr>
            <w:tcW w:w="864" w:type="dxa"/>
            <w:tcBorders>
              <w:top w:val="single" w:sz="4" w:space="0" w:color="0070C0"/>
              <w:bottom w:val="single" w:sz="4" w:space="0" w:color="0070C0"/>
            </w:tcBorders>
            <w:noWrap/>
            <w:hideMark/>
          </w:tcPr>
          <w:p w:rsidR="00125239" w:rsidRPr="00D73845" w:rsidRDefault="00125239" w:rsidP="00125239">
            <w:r w:rsidRPr="00D73845">
              <w:t>2019 n=508</w:t>
            </w:r>
          </w:p>
        </w:tc>
        <w:tc>
          <w:tcPr>
            <w:tcW w:w="1255" w:type="dxa"/>
            <w:tcBorders>
              <w:top w:val="single" w:sz="4" w:space="0" w:color="0070C0"/>
              <w:bottom w:val="single" w:sz="4" w:space="0" w:color="0070C0"/>
            </w:tcBorders>
            <w:noWrap/>
            <w:hideMark/>
          </w:tcPr>
          <w:p w:rsidR="00125239" w:rsidRPr="00D73845" w:rsidRDefault="00125239" w:rsidP="00125239">
            <w:r w:rsidRPr="00D73845">
              <w:t>19%</w:t>
            </w:r>
          </w:p>
        </w:tc>
        <w:tc>
          <w:tcPr>
            <w:tcW w:w="1317" w:type="dxa"/>
            <w:tcBorders>
              <w:top w:val="single" w:sz="4" w:space="0" w:color="0070C0"/>
              <w:bottom w:val="single" w:sz="4" w:space="0" w:color="0070C0"/>
            </w:tcBorders>
            <w:noWrap/>
            <w:hideMark/>
          </w:tcPr>
          <w:p w:rsidR="00125239" w:rsidRPr="00D73845" w:rsidRDefault="00125239" w:rsidP="00125239">
            <w:r w:rsidRPr="00D73845">
              <w:t>10%</w:t>
            </w:r>
          </w:p>
        </w:tc>
        <w:tc>
          <w:tcPr>
            <w:tcW w:w="1451" w:type="dxa"/>
            <w:tcBorders>
              <w:top w:val="single" w:sz="4" w:space="0" w:color="0070C0"/>
              <w:bottom w:val="single" w:sz="4" w:space="0" w:color="0070C0"/>
            </w:tcBorders>
            <w:shd w:val="pct5" w:color="auto" w:fill="auto"/>
            <w:noWrap/>
            <w:hideMark/>
          </w:tcPr>
          <w:p w:rsidR="00125239" w:rsidRPr="00D73845" w:rsidRDefault="00125239" w:rsidP="00125239">
            <w:r w:rsidRPr="00D73845">
              <w:t>54%</w:t>
            </w:r>
          </w:p>
        </w:tc>
        <w:tc>
          <w:tcPr>
            <w:tcW w:w="1363" w:type="dxa"/>
            <w:tcBorders>
              <w:top w:val="single" w:sz="4" w:space="0" w:color="0070C0"/>
              <w:bottom w:val="single" w:sz="4" w:space="0" w:color="0070C0"/>
            </w:tcBorders>
            <w:noWrap/>
            <w:hideMark/>
          </w:tcPr>
          <w:p w:rsidR="00125239" w:rsidRPr="00D73845" w:rsidRDefault="00125239" w:rsidP="00125239">
            <w:r w:rsidRPr="00D73845">
              <w:t>17%</w:t>
            </w:r>
          </w:p>
        </w:tc>
      </w:tr>
      <w:tr w:rsidR="00125239" w:rsidRPr="00D73845" w:rsidTr="00125239">
        <w:trPr>
          <w:trHeight w:val="276"/>
        </w:trPr>
        <w:tc>
          <w:tcPr>
            <w:tcW w:w="7176" w:type="dxa"/>
            <w:gridSpan w:val="3"/>
            <w:tcBorders>
              <w:top w:val="single" w:sz="4" w:space="0" w:color="0070C0"/>
              <w:bottom w:val="single" w:sz="4" w:space="0" w:color="0070C0"/>
            </w:tcBorders>
            <w:noWrap/>
            <w:hideMark/>
          </w:tcPr>
          <w:p w:rsidR="00125239" w:rsidRPr="00D73845" w:rsidRDefault="00125239" w:rsidP="00E554BC">
            <w:r w:rsidRPr="00D73845">
              <w:t xml:space="preserve">Source: Wellington City Council Residents' Monitoring Survey </w:t>
            </w:r>
            <w:r w:rsidR="00E554BC">
              <w:t>RMS</w:t>
            </w:r>
          </w:p>
        </w:tc>
        <w:tc>
          <w:tcPr>
            <w:tcW w:w="1317" w:type="dxa"/>
            <w:tcBorders>
              <w:top w:val="single" w:sz="4" w:space="0" w:color="0070C0"/>
              <w:bottom w:val="single" w:sz="4" w:space="0" w:color="0070C0"/>
            </w:tcBorders>
            <w:noWrap/>
            <w:hideMark/>
          </w:tcPr>
          <w:p w:rsidR="00125239" w:rsidRPr="00D73845" w:rsidRDefault="00125239" w:rsidP="00125239"/>
        </w:tc>
        <w:tc>
          <w:tcPr>
            <w:tcW w:w="1451" w:type="dxa"/>
            <w:tcBorders>
              <w:top w:val="single" w:sz="4" w:space="0" w:color="0070C0"/>
              <w:bottom w:val="single" w:sz="4" w:space="0" w:color="0070C0"/>
            </w:tcBorders>
            <w:noWrap/>
            <w:hideMark/>
          </w:tcPr>
          <w:p w:rsidR="00125239" w:rsidRPr="00D73845" w:rsidRDefault="00125239" w:rsidP="00125239"/>
        </w:tc>
        <w:tc>
          <w:tcPr>
            <w:tcW w:w="1363" w:type="dxa"/>
            <w:tcBorders>
              <w:top w:val="single" w:sz="4" w:space="0" w:color="0070C0"/>
              <w:bottom w:val="single" w:sz="4" w:space="0" w:color="0070C0"/>
            </w:tcBorders>
            <w:noWrap/>
            <w:hideMark/>
          </w:tcPr>
          <w:p w:rsidR="00125239" w:rsidRPr="00D73845" w:rsidRDefault="00125239" w:rsidP="00125239"/>
        </w:tc>
      </w:tr>
    </w:tbl>
    <w:p w:rsidR="00125239" w:rsidRDefault="00125239" w:rsidP="00125239">
      <w:pPr>
        <w:pStyle w:val="5Block"/>
        <w:spacing w:before="240" w:line="240" w:lineRule="auto"/>
        <w:rPr>
          <w:b/>
          <w:bCs/>
        </w:rPr>
      </w:pPr>
    </w:p>
    <w:p w:rsidR="00125239" w:rsidRDefault="00125239" w:rsidP="00125239">
      <w:pPr>
        <w:pStyle w:val="5Block"/>
        <w:spacing w:before="240" w:line="240" w:lineRule="auto"/>
        <w:rPr>
          <w:b/>
          <w:bCs/>
        </w:rPr>
      </w:pPr>
    </w:p>
    <w:p w:rsidR="00125239" w:rsidRPr="00125239" w:rsidRDefault="00125239" w:rsidP="00125239">
      <w:pPr>
        <w:pStyle w:val="5Block"/>
        <w:spacing w:before="240" w:line="240" w:lineRule="auto"/>
        <w:rPr>
          <w:b/>
          <w:bCs/>
        </w:rPr>
      </w:pPr>
    </w:p>
    <w:p w:rsidR="00125239" w:rsidRDefault="00125239">
      <w:pPr>
        <w:rPr>
          <w:b/>
          <w:bCs/>
        </w:rPr>
      </w:pPr>
      <w:r>
        <w:rPr>
          <w:b/>
          <w:bCs/>
        </w:rPr>
        <w:br w:type="page"/>
      </w:r>
    </w:p>
    <w:p w:rsidR="00CF065A" w:rsidRDefault="00CF065A" w:rsidP="002C7BF8">
      <w:pPr>
        <w:pStyle w:val="5Block"/>
        <w:numPr>
          <w:ilvl w:val="0"/>
          <w:numId w:val="64"/>
        </w:numPr>
        <w:spacing w:after="0" w:line="240" w:lineRule="auto"/>
        <w:rPr>
          <w:b/>
          <w:bCs/>
        </w:rPr>
        <w:sectPr w:rsidR="00CF065A" w:rsidSect="00135A2C">
          <w:type w:val="continuous"/>
          <w:pgSz w:w="16838" w:h="11906" w:orient="landscape"/>
          <w:pgMar w:top="851" w:right="1670" w:bottom="709" w:left="1440" w:header="567" w:footer="270" w:gutter="0"/>
          <w:cols w:space="708"/>
          <w:docGrid w:linePitch="360"/>
        </w:sectPr>
      </w:pPr>
    </w:p>
    <w:p w:rsidR="00125239" w:rsidRDefault="00125239" w:rsidP="002C7BF8">
      <w:pPr>
        <w:pStyle w:val="5Block"/>
        <w:numPr>
          <w:ilvl w:val="0"/>
          <w:numId w:val="64"/>
        </w:numPr>
        <w:spacing w:after="0" w:line="240" w:lineRule="auto"/>
        <w:rPr>
          <w:b/>
          <w:bCs/>
        </w:rPr>
      </w:pPr>
      <w:r w:rsidRPr="004F77FB">
        <w:rPr>
          <w:b/>
          <w:bCs/>
        </w:rPr>
        <w:lastRenderedPageBreak/>
        <w:t>Healthy housing stock – residents who report their home is  home is warm and dry</w:t>
      </w:r>
    </w:p>
    <w:p w:rsidR="00125239" w:rsidRDefault="00125239" w:rsidP="00292110">
      <w:pPr>
        <w:pStyle w:val="5Block"/>
        <w:spacing w:after="0" w:line="240" w:lineRule="auto"/>
        <w:rPr>
          <w:b/>
          <w:bCs/>
        </w:rPr>
      </w:pPr>
    </w:p>
    <w:tbl>
      <w:tblPr>
        <w:tblStyle w:val="TableGrid"/>
        <w:tblpPr w:leftFromText="180" w:rightFromText="180" w:vertAnchor="text" w:tblpY="1"/>
        <w:tblOverlap w:val="never"/>
        <w:tblW w:w="0" w:type="auto"/>
        <w:tbl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insideH w:val="single" w:sz="4" w:space="0" w:color="31849B" w:themeColor="accent5" w:themeShade="BF"/>
          <w:insideV w:val="single" w:sz="4" w:space="0" w:color="31849B" w:themeColor="accent5" w:themeShade="BF"/>
        </w:tblBorders>
        <w:tblLayout w:type="fixed"/>
        <w:tblLook w:val="04A0" w:firstRow="1" w:lastRow="0" w:firstColumn="1" w:lastColumn="0" w:noHBand="0" w:noVBand="1"/>
      </w:tblPr>
      <w:tblGrid>
        <w:gridCol w:w="1549"/>
        <w:gridCol w:w="902"/>
        <w:gridCol w:w="1068"/>
        <w:gridCol w:w="842"/>
        <w:gridCol w:w="1417"/>
        <w:gridCol w:w="948"/>
        <w:gridCol w:w="948"/>
        <w:gridCol w:w="1223"/>
      </w:tblGrid>
      <w:tr w:rsidR="0027375E" w:rsidRPr="009317AA" w:rsidTr="00AA3DFC">
        <w:trPr>
          <w:trHeight w:val="261"/>
        </w:trPr>
        <w:tc>
          <w:tcPr>
            <w:tcW w:w="1549" w:type="dxa"/>
            <w:tcBorders>
              <w:top w:val="single" w:sz="4" w:space="0" w:color="0070C0"/>
              <w:bottom w:val="single" w:sz="4" w:space="0" w:color="0070C0"/>
            </w:tcBorders>
            <w:noWrap/>
            <w:hideMark/>
          </w:tcPr>
          <w:p w:rsidR="0027375E" w:rsidRPr="00D73845" w:rsidRDefault="0027375E" w:rsidP="00563C30">
            <w:r w:rsidRPr="00D73845">
              <w:t>Is your home …</w:t>
            </w:r>
          </w:p>
        </w:tc>
        <w:tc>
          <w:tcPr>
            <w:tcW w:w="902" w:type="dxa"/>
            <w:tcBorders>
              <w:top w:val="single" w:sz="4" w:space="0" w:color="0070C0"/>
              <w:bottom w:val="single" w:sz="4" w:space="0" w:color="0070C0"/>
            </w:tcBorders>
            <w:noWrap/>
            <w:hideMark/>
          </w:tcPr>
          <w:p w:rsidR="0027375E" w:rsidRPr="00D73845" w:rsidRDefault="0027375E" w:rsidP="00563C30"/>
        </w:tc>
        <w:tc>
          <w:tcPr>
            <w:tcW w:w="1068" w:type="dxa"/>
            <w:tcBorders>
              <w:top w:val="single" w:sz="4" w:space="0" w:color="0070C0"/>
              <w:bottom w:val="single" w:sz="4" w:space="0" w:color="0070C0"/>
              <w:right w:val="single" w:sz="4" w:space="0" w:color="FFFFFF" w:themeColor="background1"/>
            </w:tcBorders>
            <w:shd w:val="clear" w:color="auto" w:fill="00A1DA"/>
            <w:noWrap/>
            <w:hideMark/>
          </w:tcPr>
          <w:p w:rsidR="0027375E" w:rsidRPr="00125239" w:rsidRDefault="0027375E" w:rsidP="00563C30">
            <w:pPr>
              <w:rPr>
                <w:b/>
                <w:bCs/>
                <w:color w:val="FFFFFF" w:themeColor="background1"/>
                <w:szCs w:val="20"/>
              </w:rPr>
            </w:pPr>
            <w:r w:rsidRPr="00125239">
              <w:rPr>
                <w:b/>
                <w:bCs/>
                <w:color w:val="FFFFFF" w:themeColor="background1"/>
                <w:szCs w:val="20"/>
              </w:rPr>
              <w:t>Always</w:t>
            </w:r>
          </w:p>
        </w:tc>
        <w:tc>
          <w:tcPr>
            <w:tcW w:w="842" w:type="dxa"/>
            <w:tcBorders>
              <w:top w:val="single" w:sz="4" w:space="0" w:color="0070C0"/>
              <w:left w:val="single" w:sz="4" w:space="0" w:color="FFFFFF" w:themeColor="background1"/>
              <w:bottom w:val="single" w:sz="4" w:space="0" w:color="0070C0"/>
              <w:right w:val="single" w:sz="4" w:space="0" w:color="FFFFFF" w:themeColor="background1"/>
            </w:tcBorders>
            <w:shd w:val="clear" w:color="auto" w:fill="00A1DA"/>
            <w:noWrap/>
            <w:hideMark/>
          </w:tcPr>
          <w:p w:rsidR="0027375E" w:rsidRPr="00125239" w:rsidRDefault="0027375E" w:rsidP="00563C30">
            <w:pPr>
              <w:rPr>
                <w:b/>
                <w:bCs/>
                <w:color w:val="FFFFFF" w:themeColor="background1"/>
                <w:szCs w:val="20"/>
              </w:rPr>
            </w:pPr>
            <w:r w:rsidRPr="00125239">
              <w:rPr>
                <w:b/>
                <w:bCs/>
                <w:color w:val="FFFFFF" w:themeColor="background1"/>
                <w:szCs w:val="20"/>
              </w:rPr>
              <w:t>Often</w:t>
            </w:r>
          </w:p>
        </w:tc>
        <w:tc>
          <w:tcPr>
            <w:tcW w:w="1417" w:type="dxa"/>
            <w:tcBorders>
              <w:top w:val="single" w:sz="4" w:space="0" w:color="0070C0"/>
              <w:left w:val="single" w:sz="4" w:space="0" w:color="FFFFFF" w:themeColor="background1"/>
              <w:bottom w:val="single" w:sz="4" w:space="0" w:color="0070C0"/>
              <w:right w:val="single" w:sz="4" w:space="0" w:color="FFFFFF" w:themeColor="background1"/>
            </w:tcBorders>
            <w:shd w:val="clear" w:color="auto" w:fill="00A1DA"/>
            <w:noWrap/>
            <w:hideMark/>
          </w:tcPr>
          <w:p w:rsidR="0027375E" w:rsidRPr="00125239" w:rsidRDefault="0027375E" w:rsidP="00563C30">
            <w:pPr>
              <w:rPr>
                <w:b/>
                <w:bCs/>
                <w:color w:val="FFFFFF" w:themeColor="background1"/>
                <w:szCs w:val="20"/>
              </w:rPr>
            </w:pPr>
            <w:r w:rsidRPr="00125239">
              <w:rPr>
                <w:b/>
                <w:bCs/>
                <w:color w:val="FFFFFF" w:themeColor="background1"/>
                <w:szCs w:val="20"/>
              </w:rPr>
              <w:t>Sometimes</w:t>
            </w:r>
          </w:p>
        </w:tc>
        <w:tc>
          <w:tcPr>
            <w:tcW w:w="948" w:type="dxa"/>
            <w:tcBorders>
              <w:top w:val="single" w:sz="4" w:space="0" w:color="0070C0"/>
              <w:left w:val="single" w:sz="4" w:space="0" w:color="FFFFFF" w:themeColor="background1"/>
              <w:bottom w:val="single" w:sz="4" w:space="0" w:color="0070C0"/>
            </w:tcBorders>
            <w:shd w:val="clear" w:color="auto" w:fill="00A1DA"/>
            <w:noWrap/>
            <w:hideMark/>
          </w:tcPr>
          <w:p w:rsidR="0027375E" w:rsidRPr="00125239" w:rsidRDefault="0027375E" w:rsidP="00563C30">
            <w:pPr>
              <w:rPr>
                <w:b/>
                <w:bCs/>
                <w:color w:val="FFFFFF" w:themeColor="background1"/>
                <w:szCs w:val="20"/>
              </w:rPr>
            </w:pPr>
            <w:r w:rsidRPr="00125239">
              <w:rPr>
                <w:b/>
                <w:bCs/>
                <w:color w:val="FFFFFF" w:themeColor="background1"/>
                <w:szCs w:val="20"/>
              </w:rPr>
              <w:t>Rarely</w:t>
            </w:r>
          </w:p>
        </w:tc>
        <w:tc>
          <w:tcPr>
            <w:tcW w:w="948" w:type="dxa"/>
            <w:tcBorders>
              <w:top w:val="single" w:sz="4" w:space="0" w:color="0070C0"/>
              <w:left w:val="single" w:sz="4" w:space="0" w:color="FFFFFF" w:themeColor="background1"/>
              <w:bottom w:val="single" w:sz="4" w:space="0" w:color="0070C0"/>
            </w:tcBorders>
            <w:shd w:val="clear" w:color="auto" w:fill="00A1DA"/>
          </w:tcPr>
          <w:p w:rsidR="0027375E" w:rsidRPr="00125239" w:rsidRDefault="0027375E" w:rsidP="00563C30">
            <w:pPr>
              <w:rPr>
                <w:b/>
                <w:bCs/>
                <w:color w:val="FFFFFF" w:themeColor="background1"/>
                <w:szCs w:val="20"/>
              </w:rPr>
            </w:pPr>
            <w:r>
              <w:rPr>
                <w:b/>
                <w:bCs/>
                <w:color w:val="FFFFFF" w:themeColor="background1"/>
                <w:szCs w:val="20"/>
              </w:rPr>
              <w:t>Never</w:t>
            </w:r>
          </w:p>
        </w:tc>
        <w:tc>
          <w:tcPr>
            <w:tcW w:w="1223" w:type="dxa"/>
            <w:tcBorders>
              <w:top w:val="single" w:sz="4" w:space="0" w:color="0070C0"/>
              <w:left w:val="single" w:sz="4" w:space="0" w:color="FFFFFF" w:themeColor="background1"/>
              <w:bottom w:val="single" w:sz="4" w:space="0" w:color="0070C0"/>
            </w:tcBorders>
            <w:shd w:val="clear" w:color="auto" w:fill="00A1DA"/>
          </w:tcPr>
          <w:p w:rsidR="0027375E" w:rsidRPr="00125239" w:rsidRDefault="0027375E" w:rsidP="00563C30">
            <w:pPr>
              <w:rPr>
                <w:b/>
                <w:bCs/>
                <w:color w:val="FFFFFF" w:themeColor="background1"/>
                <w:szCs w:val="20"/>
              </w:rPr>
            </w:pPr>
            <w:r>
              <w:rPr>
                <w:b/>
                <w:bCs/>
                <w:color w:val="FFFFFF" w:themeColor="background1"/>
                <w:szCs w:val="20"/>
              </w:rPr>
              <w:t>Reported result</w:t>
            </w:r>
          </w:p>
        </w:tc>
      </w:tr>
      <w:tr w:rsidR="0027375E" w:rsidRPr="00D73845" w:rsidTr="00E21C63">
        <w:trPr>
          <w:trHeight w:val="261"/>
        </w:trPr>
        <w:tc>
          <w:tcPr>
            <w:tcW w:w="1549" w:type="dxa"/>
            <w:vMerge w:val="restart"/>
            <w:tcBorders>
              <w:top w:val="single" w:sz="4" w:space="0" w:color="0070C0"/>
              <w:bottom w:val="single" w:sz="4" w:space="0" w:color="0070C0"/>
            </w:tcBorders>
            <w:noWrap/>
            <w:hideMark/>
          </w:tcPr>
          <w:p w:rsidR="0027375E" w:rsidRPr="00D73845" w:rsidRDefault="0027375E" w:rsidP="00563C30">
            <w:r w:rsidRPr="00D73845">
              <w:t>Cold</w:t>
            </w:r>
          </w:p>
        </w:tc>
        <w:tc>
          <w:tcPr>
            <w:tcW w:w="902" w:type="dxa"/>
            <w:tcBorders>
              <w:top w:val="single" w:sz="4" w:space="0" w:color="0070C0"/>
              <w:bottom w:val="single" w:sz="4" w:space="0" w:color="0070C0"/>
            </w:tcBorders>
            <w:noWrap/>
            <w:hideMark/>
          </w:tcPr>
          <w:p w:rsidR="0027375E" w:rsidRPr="00D73845" w:rsidRDefault="0027375E" w:rsidP="00563C30">
            <w:r w:rsidRPr="00D73845">
              <w:t>2015 n=757</w:t>
            </w:r>
          </w:p>
        </w:tc>
        <w:tc>
          <w:tcPr>
            <w:tcW w:w="1068" w:type="dxa"/>
            <w:tcBorders>
              <w:top w:val="single" w:sz="4" w:space="0" w:color="0070C0"/>
              <w:bottom w:val="single" w:sz="4" w:space="0" w:color="0070C0"/>
            </w:tcBorders>
            <w:noWrap/>
            <w:hideMark/>
          </w:tcPr>
          <w:p w:rsidR="0027375E" w:rsidRPr="00D73845" w:rsidRDefault="0027375E" w:rsidP="00563C30">
            <w:r w:rsidRPr="00D73845">
              <w:t>3%</w:t>
            </w:r>
          </w:p>
        </w:tc>
        <w:tc>
          <w:tcPr>
            <w:tcW w:w="842" w:type="dxa"/>
            <w:tcBorders>
              <w:top w:val="single" w:sz="4" w:space="0" w:color="0070C0"/>
              <w:bottom w:val="single" w:sz="4" w:space="0" w:color="0070C0"/>
            </w:tcBorders>
            <w:noWrap/>
            <w:hideMark/>
          </w:tcPr>
          <w:p w:rsidR="0027375E" w:rsidRPr="00D73845" w:rsidRDefault="0027375E" w:rsidP="00563C30">
            <w:r w:rsidRPr="00D73845">
              <w:t>12%</w:t>
            </w:r>
          </w:p>
        </w:tc>
        <w:tc>
          <w:tcPr>
            <w:tcW w:w="1417" w:type="dxa"/>
            <w:tcBorders>
              <w:top w:val="single" w:sz="4" w:space="0" w:color="0070C0"/>
              <w:bottom w:val="single" w:sz="4" w:space="0" w:color="0070C0"/>
            </w:tcBorders>
            <w:noWrap/>
            <w:hideMark/>
          </w:tcPr>
          <w:p w:rsidR="0027375E" w:rsidRPr="00D73845" w:rsidRDefault="0027375E" w:rsidP="00563C30">
            <w:r w:rsidRPr="00D73845">
              <w:t>44%</w:t>
            </w:r>
          </w:p>
        </w:tc>
        <w:tc>
          <w:tcPr>
            <w:tcW w:w="948" w:type="dxa"/>
            <w:tcBorders>
              <w:top w:val="single" w:sz="4" w:space="0" w:color="0070C0"/>
              <w:bottom w:val="single" w:sz="4" w:space="0" w:color="0070C0"/>
            </w:tcBorders>
            <w:noWrap/>
            <w:hideMark/>
          </w:tcPr>
          <w:p w:rsidR="0027375E" w:rsidRPr="00D73845" w:rsidRDefault="0027375E" w:rsidP="00563C30">
            <w:r w:rsidRPr="00D73845">
              <w:t>30%</w:t>
            </w:r>
          </w:p>
        </w:tc>
        <w:tc>
          <w:tcPr>
            <w:tcW w:w="948" w:type="dxa"/>
            <w:tcBorders>
              <w:top w:val="single" w:sz="4" w:space="0" w:color="0070C0"/>
              <w:bottom w:val="single" w:sz="4" w:space="0" w:color="0070C0"/>
            </w:tcBorders>
          </w:tcPr>
          <w:p w:rsidR="0027375E" w:rsidRPr="00932ACF" w:rsidRDefault="0027375E" w:rsidP="0027375E">
            <w:r w:rsidRPr="00932ACF">
              <w:t>11%</w:t>
            </w:r>
          </w:p>
        </w:tc>
        <w:tc>
          <w:tcPr>
            <w:tcW w:w="1223" w:type="dxa"/>
            <w:tcBorders>
              <w:top w:val="single" w:sz="4" w:space="0" w:color="0070C0"/>
              <w:bottom w:val="single" w:sz="4" w:space="0" w:color="0070C0"/>
            </w:tcBorders>
          </w:tcPr>
          <w:p w:rsidR="0027375E" w:rsidRPr="00932ACF" w:rsidRDefault="0027375E" w:rsidP="0027375E"/>
        </w:tc>
      </w:tr>
      <w:tr w:rsidR="0027375E" w:rsidRPr="00D73845" w:rsidTr="00E21C63">
        <w:trPr>
          <w:trHeight w:val="261"/>
        </w:trPr>
        <w:tc>
          <w:tcPr>
            <w:tcW w:w="1549" w:type="dxa"/>
            <w:vMerge/>
            <w:tcBorders>
              <w:top w:val="single" w:sz="4" w:space="0" w:color="0070C0"/>
              <w:bottom w:val="single" w:sz="4" w:space="0" w:color="0070C0"/>
            </w:tcBorders>
            <w:noWrap/>
            <w:hideMark/>
          </w:tcPr>
          <w:p w:rsidR="0027375E" w:rsidRPr="00D73845" w:rsidRDefault="0027375E" w:rsidP="00563C30"/>
        </w:tc>
        <w:tc>
          <w:tcPr>
            <w:tcW w:w="902" w:type="dxa"/>
            <w:tcBorders>
              <w:top w:val="single" w:sz="4" w:space="0" w:color="0070C0"/>
              <w:bottom w:val="single" w:sz="4" w:space="0" w:color="0070C0"/>
            </w:tcBorders>
            <w:noWrap/>
            <w:hideMark/>
          </w:tcPr>
          <w:p w:rsidR="0027375E" w:rsidRPr="00D73845" w:rsidRDefault="0027375E" w:rsidP="00563C30">
            <w:r w:rsidRPr="00D73845">
              <w:t>2016 n=994</w:t>
            </w:r>
          </w:p>
        </w:tc>
        <w:tc>
          <w:tcPr>
            <w:tcW w:w="1068" w:type="dxa"/>
            <w:tcBorders>
              <w:top w:val="single" w:sz="4" w:space="0" w:color="0070C0"/>
              <w:bottom w:val="single" w:sz="4" w:space="0" w:color="0070C0"/>
            </w:tcBorders>
            <w:noWrap/>
            <w:hideMark/>
          </w:tcPr>
          <w:p w:rsidR="0027375E" w:rsidRPr="00D73845" w:rsidRDefault="0027375E" w:rsidP="00563C30">
            <w:r w:rsidRPr="00D73845">
              <w:t>6%</w:t>
            </w:r>
          </w:p>
        </w:tc>
        <w:tc>
          <w:tcPr>
            <w:tcW w:w="842" w:type="dxa"/>
            <w:tcBorders>
              <w:top w:val="single" w:sz="4" w:space="0" w:color="0070C0"/>
              <w:bottom w:val="single" w:sz="4" w:space="0" w:color="0070C0"/>
            </w:tcBorders>
            <w:noWrap/>
            <w:hideMark/>
          </w:tcPr>
          <w:p w:rsidR="0027375E" w:rsidRPr="00D73845" w:rsidRDefault="0027375E" w:rsidP="00563C30">
            <w:r w:rsidRPr="00D73845">
              <w:t>13%</w:t>
            </w:r>
          </w:p>
        </w:tc>
        <w:tc>
          <w:tcPr>
            <w:tcW w:w="1417" w:type="dxa"/>
            <w:tcBorders>
              <w:top w:val="single" w:sz="4" w:space="0" w:color="0070C0"/>
              <w:bottom w:val="single" w:sz="4" w:space="0" w:color="0070C0"/>
            </w:tcBorders>
            <w:noWrap/>
            <w:hideMark/>
          </w:tcPr>
          <w:p w:rsidR="0027375E" w:rsidRPr="00D73845" w:rsidRDefault="0027375E" w:rsidP="00563C30">
            <w:r w:rsidRPr="00D73845">
              <w:t>40%</w:t>
            </w:r>
          </w:p>
        </w:tc>
        <w:tc>
          <w:tcPr>
            <w:tcW w:w="948" w:type="dxa"/>
            <w:tcBorders>
              <w:top w:val="single" w:sz="4" w:space="0" w:color="0070C0"/>
              <w:bottom w:val="single" w:sz="4" w:space="0" w:color="0070C0"/>
            </w:tcBorders>
            <w:noWrap/>
            <w:hideMark/>
          </w:tcPr>
          <w:p w:rsidR="0027375E" w:rsidRPr="00D73845" w:rsidRDefault="0027375E" w:rsidP="00563C30">
            <w:r w:rsidRPr="00D73845">
              <w:t>30%</w:t>
            </w:r>
          </w:p>
        </w:tc>
        <w:tc>
          <w:tcPr>
            <w:tcW w:w="948" w:type="dxa"/>
            <w:tcBorders>
              <w:top w:val="single" w:sz="4" w:space="0" w:color="0070C0"/>
              <w:bottom w:val="single" w:sz="4" w:space="0" w:color="0070C0"/>
            </w:tcBorders>
          </w:tcPr>
          <w:p w:rsidR="0027375E" w:rsidRPr="00932ACF" w:rsidRDefault="0027375E" w:rsidP="0027375E">
            <w:r w:rsidRPr="00932ACF">
              <w:t>12%</w:t>
            </w:r>
          </w:p>
        </w:tc>
        <w:tc>
          <w:tcPr>
            <w:tcW w:w="1223" w:type="dxa"/>
            <w:tcBorders>
              <w:top w:val="single" w:sz="4" w:space="0" w:color="0070C0"/>
              <w:bottom w:val="single" w:sz="4" w:space="0" w:color="0070C0"/>
            </w:tcBorders>
          </w:tcPr>
          <w:p w:rsidR="0027375E" w:rsidRPr="00932ACF" w:rsidRDefault="0027375E" w:rsidP="0027375E">
            <w:r w:rsidRPr="00932ACF">
              <w:t>42%</w:t>
            </w:r>
          </w:p>
        </w:tc>
      </w:tr>
      <w:tr w:rsidR="0027375E" w:rsidRPr="00D73845" w:rsidTr="00E21C63">
        <w:trPr>
          <w:trHeight w:val="261"/>
        </w:trPr>
        <w:tc>
          <w:tcPr>
            <w:tcW w:w="1549" w:type="dxa"/>
            <w:vMerge/>
            <w:tcBorders>
              <w:top w:val="single" w:sz="4" w:space="0" w:color="0070C0"/>
              <w:bottom w:val="single" w:sz="4" w:space="0" w:color="0070C0"/>
            </w:tcBorders>
            <w:noWrap/>
            <w:hideMark/>
          </w:tcPr>
          <w:p w:rsidR="0027375E" w:rsidRPr="00D73845" w:rsidRDefault="0027375E" w:rsidP="00563C30"/>
        </w:tc>
        <w:tc>
          <w:tcPr>
            <w:tcW w:w="902" w:type="dxa"/>
            <w:tcBorders>
              <w:top w:val="single" w:sz="4" w:space="0" w:color="0070C0"/>
              <w:bottom w:val="single" w:sz="4" w:space="0" w:color="0070C0"/>
            </w:tcBorders>
            <w:noWrap/>
            <w:hideMark/>
          </w:tcPr>
          <w:p w:rsidR="0027375E" w:rsidRPr="00D73845" w:rsidRDefault="0027375E" w:rsidP="00563C30">
            <w:r w:rsidRPr="00D73845">
              <w:t>2017 n=761</w:t>
            </w:r>
          </w:p>
        </w:tc>
        <w:tc>
          <w:tcPr>
            <w:tcW w:w="1068" w:type="dxa"/>
            <w:tcBorders>
              <w:top w:val="single" w:sz="4" w:space="0" w:color="0070C0"/>
              <w:bottom w:val="single" w:sz="4" w:space="0" w:color="0070C0"/>
            </w:tcBorders>
            <w:noWrap/>
            <w:hideMark/>
          </w:tcPr>
          <w:p w:rsidR="0027375E" w:rsidRPr="00D73845" w:rsidRDefault="0027375E" w:rsidP="00563C30">
            <w:r w:rsidRPr="00D73845">
              <w:t>8%</w:t>
            </w:r>
          </w:p>
        </w:tc>
        <w:tc>
          <w:tcPr>
            <w:tcW w:w="842" w:type="dxa"/>
            <w:tcBorders>
              <w:top w:val="single" w:sz="4" w:space="0" w:color="0070C0"/>
              <w:bottom w:val="single" w:sz="4" w:space="0" w:color="0070C0"/>
            </w:tcBorders>
            <w:noWrap/>
            <w:hideMark/>
          </w:tcPr>
          <w:p w:rsidR="0027375E" w:rsidRPr="00D73845" w:rsidRDefault="0027375E" w:rsidP="00563C30">
            <w:r w:rsidRPr="00D73845">
              <w:t>22%</w:t>
            </w:r>
          </w:p>
        </w:tc>
        <w:tc>
          <w:tcPr>
            <w:tcW w:w="1417" w:type="dxa"/>
            <w:tcBorders>
              <w:top w:val="single" w:sz="4" w:space="0" w:color="0070C0"/>
              <w:bottom w:val="single" w:sz="4" w:space="0" w:color="0070C0"/>
            </w:tcBorders>
            <w:noWrap/>
            <w:hideMark/>
          </w:tcPr>
          <w:p w:rsidR="0027375E" w:rsidRPr="00D73845" w:rsidRDefault="0027375E" w:rsidP="00563C30">
            <w:r w:rsidRPr="00D73845">
              <w:t>40%</w:t>
            </w:r>
          </w:p>
        </w:tc>
        <w:tc>
          <w:tcPr>
            <w:tcW w:w="948" w:type="dxa"/>
            <w:tcBorders>
              <w:top w:val="single" w:sz="4" w:space="0" w:color="0070C0"/>
              <w:bottom w:val="single" w:sz="4" w:space="0" w:color="0070C0"/>
            </w:tcBorders>
            <w:noWrap/>
            <w:hideMark/>
          </w:tcPr>
          <w:p w:rsidR="0027375E" w:rsidRPr="00D73845" w:rsidRDefault="0027375E" w:rsidP="00563C30">
            <w:r w:rsidRPr="00D73845">
              <w:t>23%</w:t>
            </w:r>
          </w:p>
        </w:tc>
        <w:tc>
          <w:tcPr>
            <w:tcW w:w="948" w:type="dxa"/>
            <w:tcBorders>
              <w:top w:val="single" w:sz="4" w:space="0" w:color="0070C0"/>
              <w:bottom w:val="single" w:sz="4" w:space="0" w:color="0070C0"/>
            </w:tcBorders>
          </w:tcPr>
          <w:p w:rsidR="0027375E" w:rsidRPr="00932ACF" w:rsidRDefault="0027375E" w:rsidP="0027375E">
            <w:r w:rsidRPr="00932ACF">
              <w:t>8%</w:t>
            </w:r>
          </w:p>
        </w:tc>
        <w:tc>
          <w:tcPr>
            <w:tcW w:w="1223" w:type="dxa"/>
            <w:tcBorders>
              <w:top w:val="single" w:sz="4" w:space="0" w:color="0070C0"/>
              <w:bottom w:val="single" w:sz="4" w:space="0" w:color="0070C0"/>
            </w:tcBorders>
          </w:tcPr>
          <w:p w:rsidR="0027375E" w:rsidRPr="00932ACF" w:rsidRDefault="0027375E" w:rsidP="0027375E">
            <w:r w:rsidRPr="00932ACF">
              <w:t>31%</w:t>
            </w:r>
          </w:p>
        </w:tc>
      </w:tr>
      <w:tr w:rsidR="0027375E" w:rsidRPr="00D73845" w:rsidTr="00E21C63">
        <w:trPr>
          <w:trHeight w:val="261"/>
        </w:trPr>
        <w:tc>
          <w:tcPr>
            <w:tcW w:w="1549" w:type="dxa"/>
            <w:vMerge/>
            <w:tcBorders>
              <w:top w:val="single" w:sz="4" w:space="0" w:color="0070C0"/>
              <w:bottom w:val="single" w:sz="4" w:space="0" w:color="0070C0"/>
            </w:tcBorders>
            <w:noWrap/>
            <w:hideMark/>
          </w:tcPr>
          <w:p w:rsidR="0027375E" w:rsidRPr="00D73845" w:rsidRDefault="0027375E" w:rsidP="00563C30"/>
        </w:tc>
        <w:tc>
          <w:tcPr>
            <w:tcW w:w="902" w:type="dxa"/>
            <w:tcBorders>
              <w:top w:val="single" w:sz="4" w:space="0" w:color="0070C0"/>
              <w:bottom w:val="single" w:sz="4" w:space="0" w:color="0070C0"/>
            </w:tcBorders>
            <w:noWrap/>
            <w:hideMark/>
          </w:tcPr>
          <w:p w:rsidR="0027375E" w:rsidRPr="00D73845" w:rsidRDefault="0027375E" w:rsidP="00563C30">
            <w:r w:rsidRPr="00D73845">
              <w:t>2018 n=983</w:t>
            </w:r>
          </w:p>
        </w:tc>
        <w:tc>
          <w:tcPr>
            <w:tcW w:w="1068" w:type="dxa"/>
            <w:tcBorders>
              <w:top w:val="single" w:sz="4" w:space="0" w:color="0070C0"/>
              <w:bottom w:val="single" w:sz="4" w:space="0" w:color="0070C0"/>
            </w:tcBorders>
            <w:noWrap/>
            <w:hideMark/>
          </w:tcPr>
          <w:p w:rsidR="0027375E" w:rsidRPr="00D73845" w:rsidRDefault="0027375E" w:rsidP="00563C30">
            <w:r w:rsidRPr="00D73845">
              <w:t>7%</w:t>
            </w:r>
          </w:p>
        </w:tc>
        <w:tc>
          <w:tcPr>
            <w:tcW w:w="842" w:type="dxa"/>
            <w:tcBorders>
              <w:top w:val="single" w:sz="4" w:space="0" w:color="0070C0"/>
              <w:bottom w:val="single" w:sz="4" w:space="0" w:color="0070C0"/>
            </w:tcBorders>
            <w:noWrap/>
            <w:hideMark/>
          </w:tcPr>
          <w:p w:rsidR="0027375E" w:rsidRPr="00D73845" w:rsidRDefault="0027375E" w:rsidP="00563C30">
            <w:r w:rsidRPr="00D73845">
              <w:t>17%</w:t>
            </w:r>
          </w:p>
        </w:tc>
        <w:tc>
          <w:tcPr>
            <w:tcW w:w="1417" w:type="dxa"/>
            <w:tcBorders>
              <w:top w:val="single" w:sz="4" w:space="0" w:color="0070C0"/>
              <w:bottom w:val="single" w:sz="4" w:space="0" w:color="0070C0"/>
            </w:tcBorders>
            <w:noWrap/>
            <w:hideMark/>
          </w:tcPr>
          <w:p w:rsidR="0027375E" w:rsidRPr="00D73845" w:rsidRDefault="0027375E" w:rsidP="00563C30">
            <w:r w:rsidRPr="00D73845">
              <w:t>40%</w:t>
            </w:r>
          </w:p>
        </w:tc>
        <w:tc>
          <w:tcPr>
            <w:tcW w:w="948" w:type="dxa"/>
            <w:tcBorders>
              <w:top w:val="single" w:sz="4" w:space="0" w:color="0070C0"/>
              <w:bottom w:val="single" w:sz="4" w:space="0" w:color="0070C0"/>
            </w:tcBorders>
            <w:noWrap/>
            <w:hideMark/>
          </w:tcPr>
          <w:p w:rsidR="0027375E" w:rsidRPr="00D73845" w:rsidRDefault="0027375E" w:rsidP="00563C30">
            <w:r w:rsidRPr="00D73845">
              <w:t>26%</w:t>
            </w:r>
          </w:p>
        </w:tc>
        <w:tc>
          <w:tcPr>
            <w:tcW w:w="948" w:type="dxa"/>
            <w:tcBorders>
              <w:top w:val="single" w:sz="4" w:space="0" w:color="0070C0"/>
              <w:bottom w:val="single" w:sz="4" w:space="0" w:color="0070C0"/>
            </w:tcBorders>
          </w:tcPr>
          <w:p w:rsidR="0027375E" w:rsidRPr="00932ACF" w:rsidRDefault="0027375E" w:rsidP="0027375E">
            <w:r w:rsidRPr="00932ACF">
              <w:t>10%</w:t>
            </w:r>
          </w:p>
        </w:tc>
        <w:tc>
          <w:tcPr>
            <w:tcW w:w="1223" w:type="dxa"/>
            <w:tcBorders>
              <w:top w:val="single" w:sz="4" w:space="0" w:color="0070C0"/>
              <w:bottom w:val="single" w:sz="4" w:space="0" w:color="0070C0"/>
            </w:tcBorders>
          </w:tcPr>
          <w:p w:rsidR="0027375E" w:rsidRPr="00932ACF" w:rsidRDefault="0027375E" w:rsidP="0027375E">
            <w:r w:rsidRPr="00932ACF">
              <w:t>36%</w:t>
            </w:r>
          </w:p>
        </w:tc>
      </w:tr>
      <w:tr w:rsidR="0027375E" w:rsidRPr="00D73845" w:rsidTr="00E21C63">
        <w:trPr>
          <w:trHeight w:val="261"/>
        </w:trPr>
        <w:tc>
          <w:tcPr>
            <w:tcW w:w="1549" w:type="dxa"/>
            <w:vMerge/>
            <w:tcBorders>
              <w:top w:val="single" w:sz="4" w:space="0" w:color="0070C0"/>
              <w:bottom w:val="single" w:sz="4" w:space="0" w:color="0070C0"/>
            </w:tcBorders>
            <w:noWrap/>
            <w:hideMark/>
          </w:tcPr>
          <w:p w:rsidR="0027375E" w:rsidRPr="00D73845" w:rsidRDefault="0027375E" w:rsidP="00563C30"/>
        </w:tc>
        <w:tc>
          <w:tcPr>
            <w:tcW w:w="902" w:type="dxa"/>
            <w:tcBorders>
              <w:top w:val="single" w:sz="4" w:space="0" w:color="0070C0"/>
              <w:bottom w:val="single" w:sz="4" w:space="0" w:color="0070C0"/>
            </w:tcBorders>
            <w:noWrap/>
            <w:hideMark/>
          </w:tcPr>
          <w:p w:rsidR="0027375E" w:rsidRPr="00D73845" w:rsidRDefault="0027375E" w:rsidP="00563C30">
            <w:r w:rsidRPr="00D73845">
              <w:t>2019 n=507</w:t>
            </w:r>
          </w:p>
        </w:tc>
        <w:tc>
          <w:tcPr>
            <w:tcW w:w="1068" w:type="dxa"/>
            <w:tcBorders>
              <w:top w:val="single" w:sz="4" w:space="0" w:color="0070C0"/>
              <w:bottom w:val="single" w:sz="4" w:space="0" w:color="0070C0"/>
            </w:tcBorders>
            <w:noWrap/>
            <w:hideMark/>
          </w:tcPr>
          <w:p w:rsidR="0027375E" w:rsidRPr="00D73845" w:rsidRDefault="0027375E" w:rsidP="00563C30">
            <w:r w:rsidRPr="00D73845">
              <w:t>4%</w:t>
            </w:r>
          </w:p>
        </w:tc>
        <w:tc>
          <w:tcPr>
            <w:tcW w:w="842" w:type="dxa"/>
            <w:tcBorders>
              <w:top w:val="single" w:sz="4" w:space="0" w:color="0070C0"/>
              <w:bottom w:val="single" w:sz="4" w:space="0" w:color="0070C0"/>
            </w:tcBorders>
            <w:noWrap/>
            <w:hideMark/>
          </w:tcPr>
          <w:p w:rsidR="0027375E" w:rsidRPr="00D73845" w:rsidRDefault="0027375E" w:rsidP="00563C30">
            <w:r w:rsidRPr="00D73845">
              <w:t>14%</w:t>
            </w:r>
          </w:p>
        </w:tc>
        <w:tc>
          <w:tcPr>
            <w:tcW w:w="1417" w:type="dxa"/>
            <w:tcBorders>
              <w:top w:val="single" w:sz="4" w:space="0" w:color="0070C0"/>
              <w:bottom w:val="single" w:sz="4" w:space="0" w:color="0070C0"/>
            </w:tcBorders>
            <w:noWrap/>
            <w:hideMark/>
          </w:tcPr>
          <w:p w:rsidR="0027375E" w:rsidRPr="00D73845" w:rsidRDefault="0027375E" w:rsidP="00563C30">
            <w:r w:rsidRPr="00D73845">
              <w:t>36%</w:t>
            </w:r>
          </w:p>
        </w:tc>
        <w:tc>
          <w:tcPr>
            <w:tcW w:w="948" w:type="dxa"/>
            <w:tcBorders>
              <w:top w:val="single" w:sz="4" w:space="0" w:color="0070C0"/>
              <w:bottom w:val="single" w:sz="4" w:space="0" w:color="0070C0"/>
            </w:tcBorders>
            <w:noWrap/>
            <w:hideMark/>
          </w:tcPr>
          <w:p w:rsidR="0027375E" w:rsidRPr="00D73845" w:rsidRDefault="0027375E" w:rsidP="00563C30">
            <w:r w:rsidRPr="00D73845">
              <w:t>33%</w:t>
            </w:r>
          </w:p>
        </w:tc>
        <w:tc>
          <w:tcPr>
            <w:tcW w:w="948" w:type="dxa"/>
            <w:tcBorders>
              <w:top w:val="single" w:sz="4" w:space="0" w:color="0070C0"/>
              <w:bottom w:val="single" w:sz="4" w:space="0" w:color="0070C0"/>
            </w:tcBorders>
          </w:tcPr>
          <w:p w:rsidR="0027375E" w:rsidRPr="00932ACF" w:rsidRDefault="0027375E" w:rsidP="0027375E">
            <w:r w:rsidRPr="00932ACF">
              <w:t>14%</w:t>
            </w:r>
          </w:p>
        </w:tc>
        <w:tc>
          <w:tcPr>
            <w:tcW w:w="1223" w:type="dxa"/>
            <w:tcBorders>
              <w:top w:val="single" w:sz="4" w:space="0" w:color="0070C0"/>
              <w:bottom w:val="single" w:sz="4" w:space="0" w:color="0070C0"/>
            </w:tcBorders>
          </w:tcPr>
          <w:p w:rsidR="0027375E" w:rsidRDefault="0027375E" w:rsidP="0027375E">
            <w:r w:rsidRPr="00932ACF">
              <w:t>47%</w:t>
            </w:r>
          </w:p>
        </w:tc>
      </w:tr>
      <w:tr w:rsidR="0027375E" w:rsidRPr="00D73845" w:rsidTr="00E21C63">
        <w:trPr>
          <w:trHeight w:val="261"/>
        </w:trPr>
        <w:tc>
          <w:tcPr>
            <w:tcW w:w="1549" w:type="dxa"/>
            <w:vMerge w:val="restart"/>
            <w:tcBorders>
              <w:top w:val="single" w:sz="4" w:space="0" w:color="0070C0"/>
              <w:bottom w:val="single" w:sz="4" w:space="0" w:color="0070C0"/>
            </w:tcBorders>
            <w:noWrap/>
            <w:hideMark/>
          </w:tcPr>
          <w:p w:rsidR="0027375E" w:rsidRPr="00D73845" w:rsidRDefault="0027375E" w:rsidP="00563C30">
            <w:r w:rsidRPr="00D73845">
              <w:t>Damp</w:t>
            </w:r>
          </w:p>
        </w:tc>
        <w:tc>
          <w:tcPr>
            <w:tcW w:w="902" w:type="dxa"/>
            <w:tcBorders>
              <w:top w:val="single" w:sz="4" w:space="0" w:color="0070C0"/>
              <w:bottom w:val="single" w:sz="4" w:space="0" w:color="0070C0"/>
            </w:tcBorders>
            <w:noWrap/>
            <w:hideMark/>
          </w:tcPr>
          <w:p w:rsidR="0027375E" w:rsidRPr="00D73845" w:rsidRDefault="0027375E" w:rsidP="00563C30">
            <w:r w:rsidRPr="00D73845">
              <w:t>2015 n=755</w:t>
            </w:r>
          </w:p>
        </w:tc>
        <w:tc>
          <w:tcPr>
            <w:tcW w:w="1068" w:type="dxa"/>
            <w:tcBorders>
              <w:top w:val="single" w:sz="4" w:space="0" w:color="0070C0"/>
              <w:bottom w:val="single" w:sz="4" w:space="0" w:color="0070C0"/>
            </w:tcBorders>
            <w:noWrap/>
            <w:hideMark/>
          </w:tcPr>
          <w:p w:rsidR="0027375E" w:rsidRPr="00D73845" w:rsidRDefault="0027375E" w:rsidP="00563C30">
            <w:r w:rsidRPr="00D73845">
              <w:t>3%</w:t>
            </w:r>
          </w:p>
        </w:tc>
        <w:tc>
          <w:tcPr>
            <w:tcW w:w="842" w:type="dxa"/>
            <w:tcBorders>
              <w:top w:val="single" w:sz="4" w:space="0" w:color="0070C0"/>
              <w:bottom w:val="single" w:sz="4" w:space="0" w:color="0070C0"/>
            </w:tcBorders>
            <w:noWrap/>
            <w:hideMark/>
          </w:tcPr>
          <w:p w:rsidR="0027375E" w:rsidRPr="00D73845" w:rsidRDefault="0027375E" w:rsidP="00563C30">
            <w:r w:rsidRPr="00D73845">
              <w:t>7%</w:t>
            </w:r>
          </w:p>
        </w:tc>
        <w:tc>
          <w:tcPr>
            <w:tcW w:w="1417" w:type="dxa"/>
            <w:tcBorders>
              <w:top w:val="single" w:sz="4" w:space="0" w:color="0070C0"/>
              <w:bottom w:val="single" w:sz="4" w:space="0" w:color="0070C0"/>
            </w:tcBorders>
            <w:noWrap/>
            <w:hideMark/>
          </w:tcPr>
          <w:p w:rsidR="0027375E" w:rsidRPr="00D73845" w:rsidRDefault="0027375E" w:rsidP="00563C30">
            <w:r w:rsidRPr="00D73845">
              <w:t>21%</w:t>
            </w:r>
          </w:p>
        </w:tc>
        <w:tc>
          <w:tcPr>
            <w:tcW w:w="948" w:type="dxa"/>
            <w:tcBorders>
              <w:top w:val="single" w:sz="4" w:space="0" w:color="0070C0"/>
              <w:bottom w:val="single" w:sz="4" w:space="0" w:color="0070C0"/>
            </w:tcBorders>
            <w:noWrap/>
            <w:hideMark/>
          </w:tcPr>
          <w:p w:rsidR="0027375E" w:rsidRPr="00D73845" w:rsidRDefault="0027375E" w:rsidP="00563C30">
            <w:r w:rsidRPr="00D73845">
              <w:t>36%</w:t>
            </w:r>
          </w:p>
        </w:tc>
        <w:tc>
          <w:tcPr>
            <w:tcW w:w="948" w:type="dxa"/>
            <w:tcBorders>
              <w:top w:val="single" w:sz="4" w:space="0" w:color="0070C0"/>
              <w:bottom w:val="single" w:sz="4" w:space="0" w:color="0070C0"/>
            </w:tcBorders>
          </w:tcPr>
          <w:p w:rsidR="0027375E" w:rsidRPr="00B41E8C" w:rsidRDefault="0027375E" w:rsidP="0027375E">
            <w:r w:rsidRPr="00B41E8C">
              <w:t>34%</w:t>
            </w:r>
          </w:p>
        </w:tc>
        <w:tc>
          <w:tcPr>
            <w:tcW w:w="1223" w:type="dxa"/>
            <w:tcBorders>
              <w:top w:val="single" w:sz="4" w:space="0" w:color="0070C0"/>
              <w:bottom w:val="single" w:sz="4" w:space="0" w:color="0070C0"/>
            </w:tcBorders>
          </w:tcPr>
          <w:p w:rsidR="0027375E" w:rsidRPr="00B41E8C" w:rsidRDefault="0027375E" w:rsidP="0027375E"/>
        </w:tc>
      </w:tr>
      <w:tr w:rsidR="0027375E" w:rsidRPr="00D73845" w:rsidTr="00E21C63">
        <w:trPr>
          <w:trHeight w:val="261"/>
        </w:trPr>
        <w:tc>
          <w:tcPr>
            <w:tcW w:w="1549" w:type="dxa"/>
            <w:vMerge/>
            <w:tcBorders>
              <w:top w:val="single" w:sz="4" w:space="0" w:color="0070C0"/>
              <w:bottom w:val="single" w:sz="4" w:space="0" w:color="0070C0"/>
            </w:tcBorders>
            <w:noWrap/>
            <w:hideMark/>
          </w:tcPr>
          <w:p w:rsidR="0027375E" w:rsidRPr="00D73845" w:rsidRDefault="0027375E" w:rsidP="00563C30"/>
        </w:tc>
        <w:tc>
          <w:tcPr>
            <w:tcW w:w="902" w:type="dxa"/>
            <w:tcBorders>
              <w:top w:val="single" w:sz="4" w:space="0" w:color="0070C0"/>
              <w:bottom w:val="single" w:sz="4" w:space="0" w:color="0070C0"/>
            </w:tcBorders>
            <w:noWrap/>
            <w:hideMark/>
          </w:tcPr>
          <w:p w:rsidR="0027375E" w:rsidRPr="00D73845" w:rsidRDefault="0027375E" w:rsidP="00563C30">
            <w:r w:rsidRPr="00D73845">
              <w:t>2016 n=991</w:t>
            </w:r>
          </w:p>
        </w:tc>
        <w:tc>
          <w:tcPr>
            <w:tcW w:w="1068" w:type="dxa"/>
            <w:tcBorders>
              <w:top w:val="single" w:sz="4" w:space="0" w:color="0070C0"/>
              <w:bottom w:val="single" w:sz="4" w:space="0" w:color="0070C0"/>
            </w:tcBorders>
            <w:noWrap/>
            <w:hideMark/>
          </w:tcPr>
          <w:p w:rsidR="0027375E" w:rsidRPr="00D73845" w:rsidRDefault="0027375E" w:rsidP="00563C30">
            <w:r w:rsidRPr="00D73845">
              <w:t>4%</w:t>
            </w:r>
          </w:p>
        </w:tc>
        <w:tc>
          <w:tcPr>
            <w:tcW w:w="842" w:type="dxa"/>
            <w:tcBorders>
              <w:top w:val="single" w:sz="4" w:space="0" w:color="0070C0"/>
              <w:bottom w:val="single" w:sz="4" w:space="0" w:color="0070C0"/>
            </w:tcBorders>
            <w:noWrap/>
            <w:hideMark/>
          </w:tcPr>
          <w:p w:rsidR="0027375E" w:rsidRPr="00D73845" w:rsidRDefault="0027375E" w:rsidP="00563C30">
            <w:r w:rsidRPr="00D73845">
              <w:t>8%</w:t>
            </w:r>
          </w:p>
        </w:tc>
        <w:tc>
          <w:tcPr>
            <w:tcW w:w="1417" w:type="dxa"/>
            <w:tcBorders>
              <w:top w:val="single" w:sz="4" w:space="0" w:color="0070C0"/>
              <w:bottom w:val="single" w:sz="4" w:space="0" w:color="0070C0"/>
            </w:tcBorders>
            <w:noWrap/>
            <w:hideMark/>
          </w:tcPr>
          <w:p w:rsidR="0027375E" w:rsidRPr="00D73845" w:rsidRDefault="0027375E" w:rsidP="00563C30">
            <w:r w:rsidRPr="00D73845">
              <w:t>19%</w:t>
            </w:r>
          </w:p>
        </w:tc>
        <w:tc>
          <w:tcPr>
            <w:tcW w:w="948" w:type="dxa"/>
            <w:tcBorders>
              <w:top w:val="single" w:sz="4" w:space="0" w:color="0070C0"/>
              <w:bottom w:val="single" w:sz="4" w:space="0" w:color="0070C0"/>
            </w:tcBorders>
            <w:noWrap/>
            <w:hideMark/>
          </w:tcPr>
          <w:p w:rsidR="0027375E" w:rsidRPr="00D73845" w:rsidRDefault="0027375E" w:rsidP="00563C30">
            <w:r w:rsidRPr="00D73845">
              <w:t>35%</w:t>
            </w:r>
          </w:p>
        </w:tc>
        <w:tc>
          <w:tcPr>
            <w:tcW w:w="948" w:type="dxa"/>
            <w:tcBorders>
              <w:top w:val="single" w:sz="4" w:space="0" w:color="0070C0"/>
              <w:bottom w:val="single" w:sz="4" w:space="0" w:color="0070C0"/>
            </w:tcBorders>
          </w:tcPr>
          <w:p w:rsidR="0027375E" w:rsidRPr="00B41E8C" w:rsidRDefault="0027375E" w:rsidP="0027375E">
            <w:r w:rsidRPr="00B41E8C">
              <w:t>35%</w:t>
            </w:r>
          </w:p>
        </w:tc>
        <w:tc>
          <w:tcPr>
            <w:tcW w:w="1223" w:type="dxa"/>
            <w:tcBorders>
              <w:top w:val="single" w:sz="4" w:space="0" w:color="0070C0"/>
              <w:bottom w:val="single" w:sz="4" w:space="0" w:color="0070C0"/>
            </w:tcBorders>
          </w:tcPr>
          <w:p w:rsidR="0027375E" w:rsidRPr="00B41E8C" w:rsidRDefault="0027375E" w:rsidP="0027375E"/>
        </w:tc>
      </w:tr>
      <w:tr w:rsidR="0027375E" w:rsidRPr="00D73845" w:rsidTr="00E21C63">
        <w:trPr>
          <w:trHeight w:val="261"/>
        </w:trPr>
        <w:tc>
          <w:tcPr>
            <w:tcW w:w="1549" w:type="dxa"/>
            <w:vMerge/>
            <w:tcBorders>
              <w:top w:val="single" w:sz="4" w:space="0" w:color="0070C0"/>
              <w:bottom w:val="single" w:sz="4" w:space="0" w:color="0070C0"/>
            </w:tcBorders>
            <w:noWrap/>
            <w:hideMark/>
          </w:tcPr>
          <w:p w:rsidR="0027375E" w:rsidRPr="00D73845" w:rsidRDefault="0027375E" w:rsidP="00563C30"/>
        </w:tc>
        <w:tc>
          <w:tcPr>
            <w:tcW w:w="902" w:type="dxa"/>
            <w:tcBorders>
              <w:top w:val="single" w:sz="4" w:space="0" w:color="0070C0"/>
              <w:bottom w:val="single" w:sz="4" w:space="0" w:color="0070C0"/>
            </w:tcBorders>
            <w:noWrap/>
            <w:hideMark/>
          </w:tcPr>
          <w:p w:rsidR="0027375E" w:rsidRPr="00D73845" w:rsidRDefault="0027375E" w:rsidP="00563C30">
            <w:r w:rsidRPr="00D73845">
              <w:t>2017 n=761</w:t>
            </w:r>
          </w:p>
        </w:tc>
        <w:tc>
          <w:tcPr>
            <w:tcW w:w="1068" w:type="dxa"/>
            <w:tcBorders>
              <w:top w:val="single" w:sz="4" w:space="0" w:color="0070C0"/>
              <w:bottom w:val="single" w:sz="4" w:space="0" w:color="0070C0"/>
            </w:tcBorders>
            <w:noWrap/>
            <w:hideMark/>
          </w:tcPr>
          <w:p w:rsidR="0027375E" w:rsidRPr="00D73845" w:rsidRDefault="0027375E" w:rsidP="00563C30">
            <w:r w:rsidRPr="00D73845">
              <w:t>5%</w:t>
            </w:r>
          </w:p>
        </w:tc>
        <w:tc>
          <w:tcPr>
            <w:tcW w:w="842" w:type="dxa"/>
            <w:tcBorders>
              <w:top w:val="single" w:sz="4" w:space="0" w:color="0070C0"/>
              <w:bottom w:val="single" w:sz="4" w:space="0" w:color="0070C0"/>
            </w:tcBorders>
            <w:noWrap/>
            <w:hideMark/>
          </w:tcPr>
          <w:p w:rsidR="0027375E" w:rsidRPr="00D73845" w:rsidRDefault="0027375E" w:rsidP="00563C30">
            <w:r w:rsidRPr="00D73845">
              <w:t>12%</w:t>
            </w:r>
          </w:p>
        </w:tc>
        <w:tc>
          <w:tcPr>
            <w:tcW w:w="1417" w:type="dxa"/>
            <w:tcBorders>
              <w:top w:val="single" w:sz="4" w:space="0" w:color="0070C0"/>
              <w:bottom w:val="single" w:sz="4" w:space="0" w:color="0070C0"/>
            </w:tcBorders>
            <w:noWrap/>
            <w:hideMark/>
          </w:tcPr>
          <w:p w:rsidR="0027375E" w:rsidRPr="00D73845" w:rsidRDefault="0027375E" w:rsidP="00563C30">
            <w:r w:rsidRPr="00D73845">
              <w:t>25%</w:t>
            </w:r>
          </w:p>
        </w:tc>
        <w:tc>
          <w:tcPr>
            <w:tcW w:w="948" w:type="dxa"/>
            <w:tcBorders>
              <w:top w:val="single" w:sz="4" w:space="0" w:color="0070C0"/>
              <w:bottom w:val="single" w:sz="4" w:space="0" w:color="0070C0"/>
            </w:tcBorders>
            <w:noWrap/>
            <w:hideMark/>
          </w:tcPr>
          <w:p w:rsidR="0027375E" w:rsidRPr="00D73845" w:rsidRDefault="0027375E" w:rsidP="00563C30">
            <w:r w:rsidRPr="00D73845">
              <w:t>34%</w:t>
            </w:r>
          </w:p>
        </w:tc>
        <w:tc>
          <w:tcPr>
            <w:tcW w:w="948" w:type="dxa"/>
            <w:tcBorders>
              <w:top w:val="single" w:sz="4" w:space="0" w:color="0070C0"/>
              <w:bottom w:val="single" w:sz="4" w:space="0" w:color="0070C0"/>
            </w:tcBorders>
          </w:tcPr>
          <w:p w:rsidR="0027375E" w:rsidRPr="00B41E8C" w:rsidRDefault="0027375E" w:rsidP="0027375E">
            <w:r w:rsidRPr="00B41E8C">
              <w:t>24%</w:t>
            </w:r>
          </w:p>
        </w:tc>
        <w:tc>
          <w:tcPr>
            <w:tcW w:w="1223" w:type="dxa"/>
            <w:tcBorders>
              <w:top w:val="single" w:sz="4" w:space="0" w:color="0070C0"/>
              <w:bottom w:val="single" w:sz="4" w:space="0" w:color="0070C0"/>
            </w:tcBorders>
          </w:tcPr>
          <w:p w:rsidR="0027375E" w:rsidRPr="00B41E8C" w:rsidRDefault="0027375E" w:rsidP="0027375E">
            <w:r w:rsidRPr="00B41E8C">
              <w:t>58%</w:t>
            </w:r>
          </w:p>
        </w:tc>
      </w:tr>
      <w:tr w:rsidR="0027375E" w:rsidRPr="00D73845" w:rsidTr="00E21C63">
        <w:trPr>
          <w:trHeight w:val="261"/>
        </w:trPr>
        <w:tc>
          <w:tcPr>
            <w:tcW w:w="1549" w:type="dxa"/>
            <w:vMerge/>
            <w:tcBorders>
              <w:top w:val="single" w:sz="4" w:space="0" w:color="0070C0"/>
              <w:bottom w:val="single" w:sz="4" w:space="0" w:color="0070C0"/>
            </w:tcBorders>
            <w:noWrap/>
            <w:hideMark/>
          </w:tcPr>
          <w:p w:rsidR="0027375E" w:rsidRPr="00D73845" w:rsidRDefault="0027375E" w:rsidP="00563C30"/>
        </w:tc>
        <w:tc>
          <w:tcPr>
            <w:tcW w:w="902" w:type="dxa"/>
            <w:tcBorders>
              <w:top w:val="single" w:sz="4" w:space="0" w:color="0070C0"/>
              <w:bottom w:val="single" w:sz="4" w:space="0" w:color="0070C0"/>
            </w:tcBorders>
            <w:noWrap/>
            <w:hideMark/>
          </w:tcPr>
          <w:p w:rsidR="0027375E" w:rsidRPr="00D73845" w:rsidRDefault="0027375E" w:rsidP="00563C30">
            <w:r w:rsidRPr="00D73845">
              <w:t>2018 n=973</w:t>
            </w:r>
          </w:p>
        </w:tc>
        <w:tc>
          <w:tcPr>
            <w:tcW w:w="1068" w:type="dxa"/>
            <w:tcBorders>
              <w:top w:val="single" w:sz="4" w:space="0" w:color="0070C0"/>
              <w:bottom w:val="single" w:sz="4" w:space="0" w:color="0070C0"/>
            </w:tcBorders>
            <w:noWrap/>
            <w:hideMark/>
          </w:tcPr>
          <w:p w:rsidR="0027375E" w:rsidRPr="00D73845" w:rsidRDefault="0027375E" w:rsidP="00563C30">
            <w:r w:rsidRPr="00D73845">
              <w:t>4%</w:t>
            </w:r>
          </w:p>
        </w:tc>
        <w:tc>
          <w:tcPr>
            <w:tcW w:w="842" w:type="dxa"/>
            <w:tcBorders>
              <w:top w:val="single" w:sz="4" w:space="0" w:color="0070C0"/>
              <w:bottom w:val="single" w:sz="4" w:space="0" w:color="0070C0"/>
            </w:tcBorders>
            <w:noWrap/>
            <w:hideMark/>
          </w:tcPr>
          <w:p w:rsidR="0027375E" w:rsidRPr="00D73845" w:rsidRDefault="0027375E" w:rsidP="00563C30">
            <w:r w:rsidRPr="00D73845">
              <w:t>9%</w:t>
            </w:r>
          </w:p>
        </w:tc>
        <w:tc>
          <w:tcPr>
            <w:tcW w:w="1417" w:type="dxa"/>
            <w:tcBorders>
              <w:top w:val="single" w:sz="4" w:space="0" w:color="0070C0"/>
              <w:bottom w:val="single" w:sz="4" w:space="0" w:color="0070C0"/>
            </w:tcBorders>
            <w:noWrap/>
            <w:hideMark/>
          </w:tcPr>
          <w:p w:rsidR="0027375E" w:rsidRPr="00D73845" w:rsidRDefault="0027375E" w:rsidP="00563C30">
            <w:r w:rsidRPr="00D73845">
              <w:t>25%</w:t>
            </w:r>
          </w:p>
        </w:tc>
        <w:tc>
          <w:tcPr>
            <w:tcW w:w="948" w:type="dxa"/>
            <w:tcBorders>
              <w:top w:val="single" w:sz="4" w:space="0" w:color="0070C0"/>
              <w:bottom w:val="single" w:sz="4" w:space="0" w:color="0070C0"/>
            </w:tcBorders>
            <w:noWrap/>
            <w:hideMark/>
          </w:tcPr>
          <w:p w:rsidR="0027375E" w:rsidRPr="00D73845" w:rsidRDefault="0027375E" w:rsidP="00563C30">
            <w:r w:rsidRPr="00D73845">
              <w:t>31%</w:t>
            </w:r>
          </w:p>
        </w:tc>
        <w:tc>
          <w:tcPr>
            <w:tcW w:w="948" w:type="dxa"/>
            <w:tcBorders>
              <w:top w:val="single" w:sz="4" w:space="0" w:color="0070C0"/>
              <w:bottom w:val="single" w:sz="4" w:space="0" w:color="0070C0"/>
            </w:tcBorders>
          </w:tcPr>
          <w:p w:rsidR="0027375E" w:rsidRPr="00B41E8C" w:rsidRDefault="0027375E" w:rsidP="0027375E">
            <w:r w:rsidRPr="00B41E8C">
              <w:t>31%</w:t>
            </w:r>
          </w:p>
        </w:tc>
        <w:tc>
          <w:tcPr>
            <w:tcW w:w="1223" w:type="dxa"/>
            <w:tcBorders>
              <w:top w:val="single" w:sz="4" w:space="0" w:color="0070C0"/>
              <w:bottom w:val="single" w:sz="4" w:space="0" w:color="0070C0"/>
            </w:tcBorders>
          </w:tcPr>
          <w:p w:rsidR="0027375E" w:rsidRPr="00B41E8C" w:rsidRDefault="0027375E" w:rsidP="0027375E">
            <w:r w:rsidRPr="00B41E8C">
              <w:t>62%</w:t>
            </w:r>
          </w:p>
        </w:tc>
      </w:tr>
      <w:tr w:rsidR="0027375E" w:rsidRPr="00D73845" w:rsidTr="00E21C63">
        <w:trPr>
          <w:trHeight w:val="261"/>
        </w:trPr>
        <w:tc>
          <w:tcPr>
            <w:tcW w:w="1549" w:type="dxa"/>
            <w:vMerge/>
            <w:tcBorders>
              <w:top w:val="single" w:sz="4" w:space="0" w:color="0070C0"/>
              <w:bottom w:val="single" w:sz="4" w:space="0" w:color="0070C0"/>
            </w:tcBorders>
            <w:noWrap/>
            <w:hideMark/>
          </w:tcPr>
          <w:p w:rsidR="0027375E" w:rsidRPr="00D73845" w:rsidRDefault="0027375E" w:rsidP="00563C30"/>
        </w:tc>
        <w:tc>
          <w:tcPr>
            <w:tcW w:w="902" w:type="dxa"/>
            <w:tcBorders>
              <w:top w:val="single" w:sz="4" w:space="0" w:color="0070C0"/>
              <w:bottom w:val="single" w:sz="4" w:space="0" w:color="0070C0"/>
            </w:tcBorders>
            <w:noWrap/>
            <w:hideMark/>
          </w:tcPr>
          <w:p w:rsidR="0027375E" w:rsidRPr="00D73845" w:rsidRDefault="0027375E" w:rsidP="00563C30">
            <w:r w:rsidRPr="00D73845">
              <w:t>2019 n=504</w:t>
            </w:r>
          </w:p>
        </w:tc>
        <w:tc>
          <w:tcPr>
            <w:tcW w:w="1068" w:type="dxa"/>
            <w:tcBorders>
              <w:top w:val="single" w:sz="4" w:space="0" w:color="0070C0"/>
              <w:bottom w:val="single" w:sz="4" w:space="0" w:color="0070C0"/>
            </w:tcBorders>
            <w:noWrap/>
            <w:hideMark/>
          </w:tcPr>
          <w:p w:rsidR="0027375E" w:rsidRPr="00D73845" w:rsidRDefault="0027375E" w:rsidP="00563C30">
            <w:r w:rsidRPr="00D73845">
              <w:t>4%</w:t>
            </w:r>
          </w:p>
        </w:tc>
        <w:tc>
          <w:tcPr>
            <w:tcW w:w="842" w:type="dxa"/>
            <w:tcBorders>
              <w:top w:val="single" w:sz="4" w:space="0" w:color="0070C0"/>
              <w:bottom w:val="single" w:sz="4" w:space="0" w:color="0070C0"/>
            </w:tcBorders>
            <w:noWrap/>
            <w:hideMark/>
          </w:tcPr>
          <w:p w:rsidR="0027375E" w:rsidRPr="00D73845" w:rsidRDefault="0027375E" w:rsidP="00563C30">
            <w:r w:rsidRPr="00D73845">
              <w:t>4%</w:t>
            </w:r>
          </w:p>
        </w:tc>
        <w:tc>
          <w:tcPr>
            <w:tcW w:w="1417" w:type="dxa"/>
            <w:tcBorders>
              <w:top w:val="single" w:sz="4" w:space="0" w:color="0070C0"/>
              <w:bottom w:val="single" w:sz="4" w:space="0" w:color="0070C0"/>
            </w:tcBorders>
            <w:noWrap/>
            <w:hideMark/>
          </w:tcPr>
          <w:p w:rsidR="0027375E" w:rsidRPr="00D73845" w:rsidRDefault="0027375E" w:rsidP="00563C30">
            <w:r w:rsidRPr="00D73845">
              <w:t>22%</w:t>
            </w:r>
          </w:p>
        </w:tc>
        <w:tc>
          <w:tcPr>
            <w:tcW w:w="948" w:type="dxa"/>
            <w:tcBorders>
              <w:top w:val="single" w:sz="4" w:space="0" w:color="0070C0"/>
              <w:bottom w:val="single" w:sz="4" w:space="0" w:color="0070C0"/>
            </w:tcBorders>
            <w:noWrap/>
            <w:hideMark/>
          </w:tcPr>
          <w:p w:rsidR="0027375E" w:rsidRPr="00D73845" w:rsidRDefault="0027375E" w:rsidP="00563C30">
            <w:r w:rsidRPr="00D73845">
              <w:t>38%</w:t>
            </w:r>
          </w:p>
        </w:tc>
        <w:tc>
          <w:tcPr>
            <w:tcW w:w="948" w:type="dxa"/>
            <w:tcBorders>
              <w:top w:val="single" w:sz="4" w:space="0" w:color="0070C0"/>
              <w:bottom w:val="single" w:sz="4" w:space="0" w:color="0070C0"/>
            </w:tcBorders>
          </w:tcPr>
          <w:p w:rsidR="0027375E" w:rsidRPr="00B41E8C" w:rsidRDefault="0027375E" w:rsidP="0027375E">
            <w:r w:rsidRPr="00B41E8C">
              <w:t>32%</w:t>
            </w:r>
          </w:p>
        </w:tc>
        <w:tc>
          <w:tcPr>
            <w:tcW w:w="1223" w:type="dxa"/>
            <w:tcBorders>
              <w:top w:val="single" w:sz="4" w:space="0" w:color="0070C0"/>
              <w:bottom w:val="single" w:sz="4" w:space="0" w:color="0070C0"/>
            </w:tcBorders>
          </w:tcPr>
          <w:p w:rsidR="0027375E" w:rsidRDefault="0027375E" w:rsidP="0027375E">
            <w:r w:rsidRPr="00B41E8C">
              <w:t>70%</w:t>
            </w:r>
          </w:p>
        </w:tc>
      </w:tr>
      <w:tr w:rsidR="0027375E" w:rsidRPr="00D73845" w:rsidTr="00E21C63">
        <w:trPr>
          <w:trHeight w:val="261"/>
        </w:trPr>
        <w:tc>
          <w:tcPr>
            <w:tcW w:w="1549" w:type="dxa"/>
            <w:vMerge w:val="restart"/>
            <w:tcBorders>
              <w:top w:val="single" w:sz="4" w:space="0" w:color="0070C0"/>
              <w:bottom w:val="single" w:sz="4" w:space="0" w:color="0070C0"/>
            </w:tcBorders>
            <w:noWrap/>
            <w:hideMark/>
          </w:tcPr>
          <w:p w:rsidR="0027375E" w:rsidRPr="00D73845" w:rsidRDefault="0027375E" w:rsidP="00563C30">
            <w:r w:rsidRPr="00D73845">
              <w:t>Hard to heat</w:t>
            </w:r>
          </w:p>
        </w:tc>
        <w:tc>
          <w:tcPr>
            <w:tcW w:w="902" w:type="dxa"/>
            <w:tcBorders>
              <w:top w:val="single" w:sz="4" w:space="0" w:color="0070C0"/>
              <w:bottom w:val="single" w:sz="4" w:space="0" w:color="0070C0"/>
            </w:tcBorders>
            <w:noWrap/>
            <w:hideMark/>
          </w:tcPr>
          <w:p w:rsidR="0027375E" w:rsidRPr="00D73845" w:rsidRDefault="0027375E" w:rsidP="00563C30">
            <w:r w:rsidRPr="00D73845">
              <w:t>2015 n=741</w:t>
            </w:r>
          </w:p>
        </w:tc>
        <w:tc>
          <w:tcPr>
            <w:tcW w:w="1068" w:type="dxa"/>
            <w:tcBorders>
              <w:top w:val="single" w:sz="4" w:space="0" w:color="0070C0"/>
              <w:bottom w:val="single" w:sz="4" w:space="0" w:color="0070C0"/>
            </w:tcBorders>
            <w:noWrap/>
            <w:hideMark/>
          </w:tcPr>
          <w:p w:rsidR="0027375E" w:rsidRPr="00D73845" w:rsidRDefault="0027375E" w:rsidP="00563C30">
            <w:r w:rsidRPr="00D73845">
              <w:t>5%</w:t>
            </w:r>
          </w:p>
        </w:tc>
        <w:tc>
          <w:tcPr>
            <w:tcW w:w="842" w:type="dxa"/>
            <w:tcBorders>
              <w:top w:val="single" w:sz="4" w:space="0" w:color="0070C0"/>
              <w:bottom w:val="single" w:sz="4" w:space="0" w:color="0070C0"/>
            </w:tcBorders>
            <w:noWrap/>
            <w:hideMark/>
          </w:tcPr>
          <w:p w:rsidR="0027375E" w:rsidRPr="00D73845" w:rsidRDefault="0027375E" w:rsidP="00563C30">
            <w:r w:rsidRPr="00D73845">
              <w:t>9%</w:t>
            </w:r>
          </w:p>
        </w:tc>
        <w:tc>
          <w:tcPr>
            <w:tcW w:w="1417" w:type="dxa"/>
            <w:tcBorders>
              <w:top w:val="single" w:sz="4" w:space="0" w:color="0070C0"/>
              <w:bottom w:val="single" w:sz="4" w:space="0" w:color="0070C0"/>
            </w:tcBorders>
            <w:noWrap/>
            <w:hideMark/>
          </w:tcPr>
          <w:p w:rsidR="0027375E" w:rsidRPr="00D73845" w:rsidRDefault="0027375E" w:rsidP="00563C30">
            <w:r w:rsidRPr="00D73845">
              <w:t>29%</w:t>
            </w:r>
          </w:p>
        </w:tc>
        <w:tc>
          <w:tcPr>
            <w:tcW w:w="948" w:type="dxa"/>
            <w:tcBorders>
              <w:top w:val="single" w:sz="4" w:space="0" w:color="0070C0"/>
              <w:bottom w:val="single" w:sz="4" w:space="0" w:color="0070C0"/>
            </w:tcBorders>
            <w:noWrap/>
            <w:hideMark/>
          </w:tcPr>
          <w:p w:rsidR="0027375E" w:rsidRPr="00D73845" w:rsidRDefault="0027375E" w:rsidP="00563C30">
            <w:r w:rsidRPr="00D73845">
              <w:t>33%</w:t>
            </w:r>
          </w:p>
        </w:tc>
        <w:tc>
          <w:tcPr>
            <w:tcW w:w="948" w:type="dxa"/>
            <w:tcBorders>
              <w:top w:val="single" w:sz="4" w:space="0" w:color="0070C0"/>
              <w:bottom w:val="single" w:sz="4" w:space="0" w:color="0070C0"/>
            </w:tcBorders>
          </w:tcPr>
          <w:p w:rsidR="0027375E" w:rsidRPr="00D73845" w:rsidRDefault="0027375E" w:rsidP="00563C30"/>
        </w:tc>
        <w:tc>
          <w:tcPr>
            <w:tcW w:w="1223" w:type="dxa"/>
            <w:tcBorders>
              <w:top w:val="single" w:sz="4" w:space="0" w:color="0070C0"/>
              <w:bottom w:val="single" w:sz="4" w:space="0" w:color="0070C0"/>
            </w:tcBorders>
          </w:tcPr>
          <w:p w:rsidR="0027375E" w:rsidRPr="00D73845" w:rsidRDefault="0027375E" w:rsidP="00563C30"/>
        </w:tc>
      </w:tr>
      <w:tr w:rsidR="0027375E" w:rsidRPr="00D73845" w:rsidTr="00E21C63">
        <w:trPr>
          <w:trHeight w:val="261"/>
        </w:trPr>
        <w:tc>
          <w:tcPr>
            <w:tcW w:w="1549" w:type="dxa"/>
            <w:vMerge/>
            <w:tcBorders>
              <w:top w:val="single" w:sz="4" w:space="0" w:color="0070C0"/>
              <w:bottom w:val="single" w:sz="4" w:space="0" w:color="0070C0"/>
            </w:tcBorders>
            <w:noWrap/>
            <w:hideMark/>
          </w:tcPr>
          <w:p w:rsidR="0027375E" w:rsidRPr="00D73845" w:rsidRDefault="0027375E" w:rsidP="00563C30"/>
        </w:tc>
        <w:tc>
          <w:tcPr>
            <w:tcW w:w="902" w:type="dxa"/>
            <w:tcBorders>
              <w:top w:val="single" w:sz="4" w:space="0" w:color="0070C0"/>
              <w:bottom w:val="single" w:sz="4" w:space="0" w:color="0070C0"/>
            </w:tcBorders>
            <w:noWrap/>
            <w:hideMark/>
          </w:tcPr>
          <w:p w:rsidR="0027375E" w:rsidRPr="00D73845" w:rsidRDefault="0027375E" w:rsidP="00563C30">
            <w:r w:rsidRPr="00D73845">
              <w:t>2016 n=963</w:t>
            </w:r>
          </w:p>
        </w:tc>
        <w:tc>
          <w:tcPr>
            <w:tcW w:w="1068" w:type="dxa"/>
            <w:tcBorders>
              <w:top w:val="single" w:sz="4" w:space="0" w:color="0070C0"/>
              <w:bottom w:val="single" w:sz="4" w:space="0" w:color="0070C0"/>
            </w:tcBorders>
            <w:noWrap/>
            <w:hideMark/>
          </w:tcPr>
          <w:p w:rsidR="0027375E" w:rsidRPr="00D73845" w:rsidRDefault="0027375E" w:rsidP="00563C30">
            <w:r w:rsidRPr="00D73845">
              <w:t>9%</w:t>
            </w:r>
          </w:p>
        </w:tc>
        <w:tc>
          <w:tcPr>
            <w:tcW w:w="842" w:type="dxa"/>
            <w:tcBorders>
              <w:top w:val="single" w:sz="4" w:space="0" w:color="0070C0"/>
              <w:bottom w:val="single" w:sz="4" w:space="0" w:color="0070C0"/>
            </w:tcBorders>
            <w:noWrap/>
            <w:hideMark/>
          </w:tcPr>
          <w:p w:rsidR="0027375E" w:rsidRPr="00D73845" w:rsidRDefault="0027375E" w:rsidP="00563C30">
            <w:r w:rsidRPr="00D73845">
              <w:t>10%</w:t>
            </w:r>
          </w:p>
        </w:tc>
        <w:tc>
          <w:tcPr>
            <w:tcW w:w="1417" w:type="dxa"/>
            <w:tcBorders>
              <w:top w:val="single" w:sz="4" w:space="0" w:color="0070C0"/>
              <w:bottom w:val="single" w:sz="4" w:space="0" w:color="0070C0"/>
            </w:tcBorders>
            <w:noWrap/>
            <w:hideMark/>
          </w:tcPr>
          <w:p w:rsidR="0027375E" w:rsidRPr="00D73845" w:rsidRDefault="0027375E" w:rsidP="00563C30">
            <w:r w:rsidRPr="00D73845">
              <w:t>24%</w:t>
            </w:r>
          </w:p>
        </w:tc>
        <w:tc>
          <w:tcPr>
            <w:tcW w:w="948" w:type="dxa"/>
            <w:tcBorders>
              <w:top w:val="single" w:sz="4" w:space="0" w:color="0070C0"/>
              <w:bottom w:val="single" w:sz="4" w:space="0" w:color="0070C0"/>
            </w:tcBorders>
            <w:noWrap/>
            <w:hideMark/>
          </w:tcPr>
          <w:p w:rsidR="0027375E" w:rsidRPr="00D73845" w:rsidRDefault="0027375E" w:rsidP="00563C30">
            <w:r w:rsidRPr="00D73845">
              <w:t>33%</w:t>
            </w:r>
          </w:p>
        </w:tc>
        <w:tc>
          <w:tcPr>
            <w:tcW w:w="948" w:type="dxa"/>
            <w:tcBorders>
              <w:top w:val="single" w:sz="4" w:space="0" w:color="0070C0"/>
              <w:bottom w:val="single" w:sz="4" w:space="0" w:color="0070C0"/>
            </w:tcBorders>
          </w:tcPr>
          <w:p w:rsidR="0027375E" w:rsidRPr="00D73845" w:rsidRDefault="0027375E" w:rsidP="00563C30"/>
        </w:tc>
        <w:tc>
          <w:tcPr>
            <w:tcW w:w="1223" w:type="dxa"/>
            <w:tcBorders>
              <w:top w:val="single" w:sz="4" w:space="0" w:color="0070C0"/>
              <w:bottom w:val="single" w:sz="4" w:space="0" w:color="0070C0"/>
            </w:tcBorders>
          </w:tcPr>
          <w:p w:rsidR="0027375E" w:rsidRPr="00D73845" w:rsidRDefault="0027375E" w:rsidP="00563C30"/>
        </w:tc>
      </w:tr>
      <w:tr w:rsidR="0027375E" w:rsidRPr="00D73845" w:rsidTr="00E21C63">
        <w:trPr>
          <w:trHeight w:val="261"/>
        </w:trPr>
        <w:tc>
          <w:tcPr>
            <w:tcW w:w="1549" w:type="dxa"/>
            <w:vMerge/>
            <w:tcBorders>
              <w:top w:val="single" w:sz="4" w:space="0" w:color="0070C0"/>
              <w:bottom w:val="single" w:sz="4" w:space="0" w:color="0070C0"/>
            </w:tcBorders>
            <w:noWrap/>
            <w:hideMark/>
          </w:tcPr>
          <w:p w:rsidR="0027375E" w:rsidRPr="00D73845" w:rsidRDefault="0027375E" w:rsidP="00563C30"/>
        </w:tc>
        <w:tc>
          <w:tcPr>
            <w:tcW w:w="902" w:type="dxa"/>
            <w:tcBorders>
              <w:top w:val="single" w:sz="4" w:space="0" w:color="0070C0"/>
              <w:bottom w:val="single" w:sz="4" w:space="0" w:color="0070C0"/>
            </w:tcBorders>
            <w:noWrap/>
            <w:hideMark/>
          </w:tcPr>
          <w:p w:rsidR="0027375E" w:rsidRPr="00D73845" w:rsidRDefault="0027375E" w:rsidP="00563C30">
            <w:r w:rsidRPr="00D73845">
              <w:t>2017 n=761</w:t>
            </w:r>
          </w:p>
        </w:tc>
        <w:tc>
          <w:tcPr>
            <w:tcW w:w="1068" w:type="dxa"/>
            <w:tcBorders>
              <w:top w:val="single" w:sz="4" w:space="0" w:color="0070C0"/>
              <w:bottom w:val="single" w:sz="4" w:space="0" w:color="0070C0"/>
            </w:tcBorders>
            <w:noWrap/>
            <w:hideMark/>
          </w:tcPr>
          <w:p w:rsidR="0027375E" w:rsidRPr="00D73845" w:rsidRDefault="0027375E" w:rsidP="00563C30">
            <w:r w:rsidRPr="00D73845">
              <w:t>9%</w:t>
            </w:r>
          </w:p>
        </w:tc>
        <w:tc>
          <w:tcPr>
            <w:tcW w:w="842" w:type="dxa"/>
            <w:tcBorders>
              <w:top w:val="single" w:sz="4" w:space="0" w:color="0070C0"/>
              <w:bottom w:val="single" w:sz="4" w:space="0" w:color="0070C0"/>
            </w:tcBorders>
            <w:noWrap/>
            <w:hideMark/>
          </w:tcPr>
          <w:p w:rsidR="0027375E" w:rsidRPr="00D73845" w:rsidRDefault="0027375E" w:rsidP="00563C30">
            <w:r w:rsidRPr="00D73845">
              <w:t>12%</w:t>
            </w:r>
          </w:p>
        </w:tc>
        <w:tc>
          <w:tcPr>
            <w:tcW w:w="1417" w:type="dxa"/>
            <w:tcBorders>
              <w:top w:val="single" w:sz="4" w:space="0" w:color="0070C0"/>
              <w:bottom w:val="single" w:sz="4" w:space="0" w:color="0070C0"/>
            </w:tcBorders>
            <w:noWrap/>
            <w:hideMark/>
          </w:tcPr>
          <w:p w:rsidR="0027375E" w:rsidRPr="00D73845" w:rsidRDefault="0027375E" w:rsidP="00563C30">
            <w:r w:rsidRPr="00D73845">
              <w:t>28%</w:t>
            </w:r>
          </w:p>
        </w:tc>
        <w:tc>
          <w:tcPr>
            <w:tcW w:w="948" w:type="dxa"/>
            <w:tcBorders>
              <w:top w:val="single" w:sz="4" w:space="0" w:color="0070C0"/>
              <w:bottom w:val="single" w:sz="4" w:space="0" w:color="0070C0"/>
            </w:tcBorders>
            <w:noWrap/>
            <w:hideMark/>
          </w:tcPr>
          <w:p w:rsidR="0027375E" w:rsidRPr="00D73845" w:rsidRDefault="0027375E" w:rsidP="00563C30">
            <w:r w:rsidRPr="00D73845">
              <w:t>29%</w:t>
            </w:r>
          </w:p>
        </w:tc>
        <w:tc>
          <w:tcPr>
            <w:tcW w:w="948" w:type="dxa"/>
            <w:tcBorders>
              <w:top w:val="single" w:sz="4" w:space="0" w:color="0070C0"/>
              <w:bottom w:val="single" w:sz="4" w:space="0" w:color="0070C0"/>
            </w:tcBorders>
          </w:tcPr>
          <w:p w:rsidR="0027375E" w:rsidRPr="00D73845" w:rsidRDefault="0027375E" w:rsidP="00563C30"/>
        </w:tc>
        <w:tc>
          <w:tcPr>
            <w:tcW w:w="1223" w:type="dxa"/>
            <w:tcBorders>
              <w:top w:val="single" w:sz="4" w:space="0" w:color="0070C0"/>
              <w:bottom w:val="single" w:sz="4" w:space="0" w:color="0070C0"/>
            </w:tcBorders>
          </w:tcPr>
          <w:p w:rsidR="0027375E" w:rsidRPr="00D73845" w:rsidRDefault="0027375E" w:rsidP="00563C30"/>
        </w:tc>
      </w:tr>
      <w:tr w:rsidR="0027375E" w:rsidRPr="00D73845" w:rsidTr="00E21C63">
        <w:trPr>
          <w:trHeight w:val="261"/>
        </w:trPr>
        <w:tc>
          <w:tcPr>
            <w:tcW w:w="1549" w:type="dxa"/>
            <w:vMerge/>
            <w:tcBorders>
              <w:top w:val="single" w:sz="4" w:space="0" w:color="0070C0"/>
              <w:bottom w:val="single" w:sz="4" w:space="0" w:color="0070C0"/>
            </w:tcBorders>
            <w:noWrap/>
            <w:hideMark/>
          </w:tcPr>
          <w:p w:rsidR="0027375E" w:rsidRPr="00D73845" w:rsidRDefault="0027375E" w:rsidP="00563C30"/>
        </w:tc>
        <w:tc>
          <w:tcPr>
            <w:tcW w:w="902" w:type="dxa"/>
            <w:tcBorders>
              <w:top w:val="single" w:sz="4" w:space="0" w:color="0070C0"/>
              <w:bottom w:val="single" w:sz="4" w:space="0" w:color="0070C0"/>
            </w:tcBorders>
            <w:noWrap/>
            <w:hideMark/>
          </w:tcPr>
          <w:p w:rsidR="0027375E" w:rsidRPr="00D73845" w:rsidRDefault="0027375E" w:rsidP="00563C30">
            <w:r w:rsidRPr="00D73845">
              <w:t>2018 n=972</w:t>
            </w:r>
          </w:p>
        </w:tc>
        <w:tc>
          <w:tcPr>
            <w:tcW w:w="1068" w:type="dxa"/>
            <w:tcBorders>
              <w:top w:val="single" w:sz="4" w:space="0" w:color="0070C0"/>
              <w:bottom w:val="single" w:sz="4" w:space="0" w:color="0070C0"/>
            </w:tcBorders>
            <w:noWrap/>
            <w:hideMark/>
          </w:tcPr>
          <w:p w:rsidR="0027375E" w:rsidRPr="00D73845" w:rsidRDefault="0027375E" w:rsidP="00563C30">
            <w:r w:rsidRPr="00D73845">
              <w:t>8%</w:t>
            </w:r>
          </w:p>
        </w:tc>
        <w:tc>
          <w:tcPr>
            <w:tcW w:w="842" w:type="dxa"/>
            <w:tcBorders>
              <w:top w:val="single" w:sz="4" w:space="0" w:color="0070C0"/>
              <w:bottom w:val="single" w:sz="4" w:space="0" w:color="0070C0"/>
            </w:tcBorders>
            <w:noWrap/>
            <w:hideMark/>
          </w:tcPr>
          <w:p w:rsidR="0027375E" w:rsidRPr="00D73845" w:rsidRDefault="0027375E" w:rsidP="00563C30">
            <w:r w:rsidRPr="00D73845">
              <w:t>12%</w:t>
            </w:r>
          </w:p>
        </w:tc>
        <w:tc>
          <w:tcPr>
            <w:tcW w:w="1417" w:type="dxa"/>
            <w:tcBorders>
              <w:top w:val="single" w:sz="4" w:space="0" w:color="0070C0"/>
              <w:bottom w:val="single" w:sz="4" w:space="0" w:color="0070C0"/>
            </w:tcBorders>
            <w:noWrap/>
            <w:hideMark/>
          </w:tcPr>
          <w:p w:rsidR="0027375E" w:rsidRPr="00D73845" w:rsidRDefault="0027375E" w:rsidP="00563C30">
            <w:r w:rsidRPr="00D73845">
              <w:t>28%</w:t>
            </w:r>
          </w:p>
        </w:tc>
        <w:tc>
          <w:tcPr>
            <w:tcW w:w="948" w:type="dxa"/>
            <w:tcBorders>
              <w:top w:val="single" w:sz="4" w:space="0" w:color="0070C0"/>
              <w:bottom w:val="single" w:sz="4" w:space="0" w:color="0070C0"/>
            </w:tcBorders>
            <w:noWrap/>
            <w:hideMark/>
          </w:tcPr>
          <w:p w:rsidR="0027375E" w:rsidRPr="00D73845" w:rsidRDefault="0027375E" w:rsidP="00563C30">
            <w:r w:rsidRPr="00D73845">
              <w:t>26%</w:t>
            </w:r>
          </w:p>
        </w:tc>
        <w:tc>
          <w:tcPr>
            <w:tcW w:w="948" w:type="dxa"/>
            <w:tcBorders>
              <w:top w:val="single" w:sz="4" w:space="0" w:color="0070C0"/>
              <w:bottom w:val="single" w:sz="4" w:space="0" w:color="0070C0"/>
            </w:tcBorders>
          </w:tcPr>
          <w:p w:rsidR="0027375E" w:rsidRPr="00D73845" w:rsidRDefault="0027375E" w:rsidP="00563C30"/>
        </w:tc>
        <w:tc>
          <w:tcPr>
            <w:tcW w:w="1223" w:type="dxa"/>
            <w:tcBorders>
              <w:top w:val="single" w:sz="4" w:space="0" w:color="0070C0"/>
              <w:bottom w:val="single" w:sz="4" w:space="0" w:color="0070C0"/>
            </w:tcBorders>
          </w:tcPr>
          <w:p w:rsidR="0027375E" w:rsidRPr="00D73845" w:rsidRDefault="0027375E" w:rsidP="00563C30"/>
        </w:tc>
      </w:tr>
      <w:tr w:rsidR="0027375E" w:rsidRPr="00D73845" w:rsidTr="00E21C63">
        <w:trPr>
          <w:trHeight w:val="261"/>
        </w:trPr>
        <w:tc>
          <w:tcPr>
            <w:tcW w:w="1549" w:type="dxa"/>
            <w:vMerge/>
            <w:tcBorders>
              <w:top w:val="single" w:sz="4" w:space="0" w:color="0070C0"/>
              <w:bottom w:val="single" w:sz="4" w:space="0" w:color="0070C0"/>
            </w:tcBorders>
            <w:noWrap/>
            <w:hideMark/>
          </w:tcPr>
          <w:p w:rsidR="0027375E" w:rsidRPr="00D73845" w:rsidRDefault="0027375E" w:rsidP="00563C30"/>
        </w:tc>
        <w:tc>
          <w:tcPr>
            <w:tcW w:w="902" w:type="dxa"/>
            <w:tcBorders>
              <w:top w:val="single" w:sz="4" w:space="0" w:color="0070C0"/>
              <w:bottom w:val="single" w:sz="4" w:space="0" w:color="0070C0"/>
            </w:tcBorders>
            <w:noWrap/>
            <w:hideMark/>
          </w:tcPr>
          <w:p w:rsidR="0027375E" w:rsidRPr="00D73845" w:rsidRDefault="0027375E" w:rsidP="00563C30">
            <w:r w:rsidRPr="00D73845">
              <w:t>2019 n=503</w:t>
            </w:r>
          </w:p>
        </w:tc>
        <w:tc>
          <w:tcPr>
            <w:tcW w:w="1068" w:type="dxa"/>
            <w:tcBorders>
              <w:top w:val="single" w:sz="4" w:space="0" w:color="0070C0"/>
              <w:bottom w:val="single" w:sz="4" w:space="0" w:color="0070C0"/>
            </w:tcBorders>
            <w:noWrap/>
            <w:hideMark/>
          </w:tcPr>
          <w:p w:rsidR="0027375E" w:rsidRPr="00D73845" w:rsidRDefault="0027375E" w:rsidP="00563C30">
            <w:r w:rsidRPr="00D73845">
              <w:t>5%</w:t>
            </w:r>
          </w:p>
        </w:tc>
        <w:tc>
          <w:tcPr>
            <w:tcW w:w="842" w:type="dxa"/>
            <w:tcBorders>
              <w:top w:val="single" w:sz="4" w:space="0" w:color="0070C0"/>
              <w:bottom w:val="single" w:sz="4" w:space="0" w:color="0070C0"/>
            </w:tcBorders>
            <w:noWrap/>
            <w:hideMark/>
          </w:tcPr>
          <w:p w:rsidR="0027375E" w:rsidRPr="00D73845" w:rsidRDefault="0027375E" w:rsidP="00563C30">
            <w:r w:rsidRPr="00D73845">
              <w:t>8%</w:t>
            </w:r>
          </w:p>
        </w:tc>
        <w:tc>
          <w:tcPr>
            <w:tcW w:w="1417" w:type="dxa"/>
            <w:tcBorders>
              <w:top w:val="single" w:sz="4" w:space="0" w:color="0070C0"/>
              <w:bottom w:val="single" w:sz="4" w:space="0" w:color="0070C0"/>
            </w:tcBorders>
            <w:noWrap/>
            <w:hideMark/>
          </w:tcPr>
          <w:p w:rsidR="0027375E" w:rsidRPr="00D73845" w:rsidRDefault="0027375E" w:rsidP="00563C30">
            <w:r w:rsidRPr="00D73845">
              <w:t>29%</w:t>
            </w:r>
          </w:p>
        </w:tc>
        <w:tc>
          <w:tcPr>
            <w:tcW w:w="948" w:type="dxa"/>
            <w:tcBorders>
              <w:top w:val="single" w:sz="4" w:space="0" w:color="0070C0"/>
              <w:bottom w:val="single" w:sz="4" w:space="0" w:color="0070C0"/>
            </w:tcBorders>
            <w:noWrap/>
            <w:hideMark/>
          </w:tcPr>
          <w:p w:rsidR="0027375E" w:rsidRPr="00D73845" w:rsidRDefault="0027375E" w:rsidP="00563C30">
            <w:r w:rsidRPr="00D73845">
              <w:t>29%</w:t>
            </w:r>
          </w:p>
        </w:tc>
        <w:tc>
          <w:tcPr>
            <w:tcW w:w="948" w:type="dxa"/>
            <w:tcBorders>
              <w:top w:val="single" w:sz="4" w:space="0" w:color="0070C0"/>
              <w:bottom w:val="single" w:sz="4" w:space="0" w:color="0070C0"/>
            </w:tcBorders>
          </w:tcPr>
          <w:p w:rsidR="0027375E" w:rsidRPr="00D73845" w:rsidRDefault="0027375E" w:rsidP="00563C30"/>
        </w:tc>
        <w:tc>
          <w:tcPr>
            <w:tcW w:w="1223" w:type="dxa"/>
            <w:tcBorders>
              <w:top w:val="single" w:sz="4" w:space="0" w:color="0070C0"/>
              <w:bottom w:val="single" w:sz="4" w:space="0" w:color="0070C0"/>
            </w:tcBorders>
          </w:tcPr>
          <w:p w:rsidR="0027375E" w:rsidRPr="00D73845" w:rsidRDefault="0027375E" w:rsidP="00563C30"/>
        </w:tc>
      </w:tr>
      <w:tr w:rsidR="0027375E" w:rsidRPr="00D74C8D" w:rsidTr="00E21C63">
        <w:trPr>
          <w:trHeight w:val="261"/>
        </w:trPr>
        <w:tc>
          <w:tcPr>
            <w:tcW w:w="6726" w:type="dxa"/>
            <w:gridSpan w:val="6"/>
            <w:tcBorders>
              <w:top w:val="single" w:sz="4" w:space="0" w:color="0070C0"/>
              <w:bottom w:val="single" w:sz="4" w:space="0" w:color="0070C0"/>
            </w:tcBorders>
            <w:noWrap/>
            <w:hideMark/>
          </w:tcPr>
          <w:p w:rsidR="0027375E" w:rsidRPr="00D74C8D" w:rsidRDefault="0027375E" w:rsidP="00E554BC">
            <w:pPr>
              <w:rPr>
                <w:i/>
              </w:rPr>
            </w:pPr>
            <w:r w:rsidRPr="00D74C8D">
              <w:rPr>
                <w:i/>
              </w:rPr>
              <w:t xml:space="preserve">Source: Wellington City Council </w:t>
            </w:r>
            <w:r>
              <w:rPr>
                <w:i/>
              </w:rPr>
              <w:t>RMS</w:t>
            </w:r>
            <w:r w:rsidRPr="00D74C8D">
              <w:rPr>
                <w:i/>
              </w:rPr>
              <w:t xml:space="preserve"> </w:t>
            </w:r>
          </w:p>
        </w:tc>
        <w:tc>
          <w:tcPr>
            <w:tcW w:w="948" w:type="dxa"/>
            <w:tcBorders>
              <w:top w:val="single" w:sz="4" w:space="0" w:color="0070C0"/>
              <w:bottom w:val="single" w:sz="4" w:space="0" w:color="0070C0"/>
            </w:tcBorders>
          </w:tcPr>
          <w:p w:rsidR="0027375E" w:rsidRPr="00D74C8D" w:rsidRDefault="0027375E" w:rsidP="00E554BC">
            <w:pPr>
              <w:rPr>
                <w:i/>
              </w:rPr>
            </w:pPr>
          </w:p>
        </w:tc>
        <w:tc>
          <w:tcPr>
            <w:tcW w:w="1223" w:type="dxa"/>
            <w:tcBorders>
              <w:top w:val="single" w:sz="4" w:space="0" w:color="0070C0"/>
              <w:bottom w:val="single" w:sz="4" w:space="0" w:color="0070C0"/>
            </w:tcBorders>
          </w:tcPr>
          <w:p w:rsidR="0027375E" w:rsidRPr="00D74C8D" w:rsidRDefault="0027375E" w:rsidP="00E554BC">
            <w:pPr>
              <w:rPr>
                <w:i/>
              </w:rPr>
            </w:pPr>
          </w:p>
        </w:tc>
      </w:tr>
    </w:tbl>
    <w:p w:rsidR="0027375E" w:rsidRDefault="0027375E">
      <w:pPr>
        <w:rPr>
          <w:rFonts w:cstheme="minorHAnsi"/>
          <w:b/>
          <w:bCs/>
          <w:color w:val="000000"/>
        </w:rPr>
      </w:pPr>
      <w:r>
        <w:rPr>
          <w:rFonts w:cstheme="minorHAnsi"/>
          <w:b/>
          <w:bCs/>
          <w:color w:val="000000"/>
        </w:rPr>
        <w:br w:type="page"/>
      </w:r>
    </w:p>
    <w:p w:rsidR="0027375E" w:rsidRDefault="0027375E" w:rsidP="002C7BF8">
      <w:pPr>
        <w:pStyle w:val="ListParagraph"/>
        <w:numPr>
          <w:ilvl w:val="0"/>
          <w:numId w:val="64"/>
        </w:numPr>
        <w:spacing w:before="240"/>
        <w:ind w:right="-11"/>
        <w:rPr>
          <w:rFonts w:cstheme="minorHAnsi"/>
          <w:b/>
          <w:bCs/>
          <w:color w:val="000000"/>
        </w:rPr>
        <w:sectPr w:rsidR="0027375E" w:rsidSect="0027375E">
          <w:type w:val="continuous"/>
          <w:pgSz w:w="16838" w:h="11906" w:orient="landscape"/>
          <w:pgMar w:top="851" w:right="1670" w:bottom="709" w:left="1440" w:header="567" w:footer="270" w:gutter="0"/>
          <w:cols w:space="708"/>
          <w:docGrid w:linePitch="360"/>
        </w:sectPr>
      </w:pPr>
    </w:p>
    <w:tbl>
      <w:tblPr>
        <w:tblStyle w:val="TableGrid"/>
        <w:tblpPr w:leftFromText="180" w:rightFromText="180" w:vertAnchor="text" w:horzAnchor="margin" w:tblpY="1326"/>
        <w:tblOverlap w:val="never"/>
        <w:tblW w:w="0" w:type="auto"/>
        <w:tbl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insideH w:val="single" w:sz="4" w:space="0" w:color="31849B" w:themeColor="accent5" w:themeShade="BF"/>
          <w:insideV w:val="single" w:sz="4" w:space="0" w:color="31849B" w:themeColor="accent5" w:themeShade="BF"/>
        </w:tblBorders>
        <w:tblLook w:val="04A0" w:firstRow="1" w:lastRow="0" w:firstColumn="1" w:lastColumn="0" w:noHBand="0" w:noVBand="1"/>
      </w:tblPr>
      <w:tblGrid>
        <w:gridCol w:w="3369"/>
        <w:gridCol w:w="931"/>
        <w:gridCol w:w="834"/>
        <w:gridCol w:w="894"/>
        <w:gridCol w:w="834"/>
        <w:gridCol w:w="834"/>
      </w:tblGrid>
      <w:tr w:rsidR="0027375E" w:rsidRPr="009317AA" w:rsidTr="00AA3DFC">
        <w:trPr>
          <w:trHeight w:val="178"/>
        </w:trPr>
        <w:tc>
          <w:tcPr>
            <w:tcW w:w="3369" w:type="dxa"/>
            <w:vMerge w:val="restart"/>
            <w:tcBorders>
              <w:top w:val="single" w:sz="4" w:space="0" w:color="0070C0"/>
              <w:bottom w:val="single" w:sz="4" w:space="0" w:color="0070C0"/>
            </w:tcBorders>
            <w:noWrap/>
            <w:hideMark/>
          </w:tcPr>
          <w:p w:rsidR="0027375E" w:rsidRPr="00D73845" w:rsidRDefault="0027375E" w:rsidP="0027375E"/>
        </w:tc>
        <w:tc>
          <w:tcPr>
            <w:tcW w:w="931" w:type="dxa"/>
            <w:tcBorders>
              <w:top w:val="single" w:sz="4" w:space="0" w:color="0070C0"/>
              <w:bottom w:val="single" w:sz="4" w:space="0" w:color="0070C0"/>
              <w:right w:val="single" w:sz="4" w:space="0" w:color="FFFFFF" w:themeColor="background1"/>
            </w:tcBorders>
            <w:shd w:val="clear" w:color="auto" w:fill="00A1DA"/>
            <w:noWrap/>
            <w:hideMark/>
          </w:tcPr>
          <w:p w:rsidR="0027375E" w:rsidRPr="00125239" w:rsidRDefault="0027375E" w:rsidP="0027375E">
            <w:pPr>
              <w:rPr>
                <w:b/>
                <w:bCs/>
                <w:color w:val="FFFFFF" w:themeColor="background1"/>
                <w:sz w:val="24"/>
                <w:szCs w:val="20"/>
              </w:rPr>
            </w:pPr>
            <w:r w:rsidRPr="00125239">
              <w:rPr>
                <w:b/>
                <w:bCs/>
                <w:color w:val="FFFFFF" w:themeColor="background1"/>
                <w:sz w:val="24"/>
                <w:szCs w:val="20"/>
              </w:rPr>
              <w:t>2015</w:t>
            </w:r>
          </w:p>
        </w:tc>
        <w:tc>
          <w:tcPr>
            <w:tcW w:w="834" w:type="dxa"/>
            <w:tcBorders>
              <w:top w:val="single" w:sz="4" w:space="0" w:color="0070C0"/>
              <w:left w:val="single" w:sz="4" w:space="0" w:color="FFFFFF" w:themeColor="background1"/>
              <w:bottom w:val="single" w:sz="4" w:space="0" w:color="0070C0"/>
              <w:right w:val="single" w:sz="4" w:space="0" w:color="FFFFFF" w:themeColor="background1"/>
            </w:tcBorders>
            <w:shd w:val="clear" w:color="auto" w:fill="00A1DA"/>
            <w:noWrap/>
            <w:hideMark/>
          </w:tcPr>
          <w:p w:rsidR="0027375E" w:rsidRPr="00125239" w:rsidRDefault="0027375E" w:rsidP="0027375E">
            <w:pPr>
              <w:rPr>
                <w:b/>
                <w:bCs/>
                <w:color w:val="FFFFFF" w:themeColor="background1"/>
                <w:sz w:val="24"/>
                <w:szCs w:val="20"/>
              </w:rPr>
            </w:pPr>
            <w:r w:rsidRPr="00125239">
              <w:rPr>
                <w:b/>
                <w:bCs/>
                <w:color w:val="FFFFFF" w:themeColor="background1"/>
                <w:sz w:val="24"/>
                <w:szCs w:val="20"/>
              </w:rPr>
              <w:t>2016</w:t>
            </w:r>
          </w:p>
        </w:tc>
        <w:tc>
          <w:tcPr>
            <w:tcW w:w="894" w:type="dxa"/>
            <w:tcBorders>
              <w:top w:val="single" w:sz="4" w:space="0" w:color="0070C0"/>
              <w:left w:val="single" w:sz="4" w:space="0" w:color="FFFFFF" w:themeColor="background1"/>
              <w:bottom w:val="single" w:sz="4" w:space="0" w:color="0070C0"/>
              <w:right w:val="single" w:sz="4" w:space="0" w:color="FFFFFF" w:themeColor="background1"/>
            </w:tcBorders>
            <w:shd w:val="clear" w:color="auto" w:fill="00A1DA"/>
            <w:noWrap/>
            <w:hideMark/>
          </w:tcPr>
          <w:p w:rsidR="0027375E" w:rsidRPr="00125239" w:rsidRDefault="0027375E" w:rsidP="0027375E">
            <w:pPr>
              <w:rPr>
                <w:b/>
                <w:bCs/>
                <w:color w:val="FFFFFF" w:themeColor="background1"/>
                <w:sz w:val="24"/>
                <w:szCs w:val="20"/>
              </w:rPr>
            </w:pPr>
            <w:r w:rsidRPr="00125239">
              <w:rPr>
                <w:b/>
                <w:bCs/>
                <w:color w:val="FFFFFF" w:themeColor="background1"/>
                <w:sz w:val="24"/>
                <w:szCs w:val="20"/>
              </w:rPr>
              <w:t>2017</w:t>
            </w:r>
          </w:p>
        </w:tc>
        <w:tc>
          <w:tcPr>
            <w:tcW w:w="834" w:type="dxa"/>
            <w:tcBorders>
              <w:top w:val="single" w:sz="4" w:space="0" w:color="0070C0"/>
              <w:left w:val="single" w:sz="4" w:space="0" w:color="FFFFFF" w:themeColor="background1"/>
              <w:bottom w:val="single" w:sz="4" w:space="0" w:color="0070C0"/>
            </w:tcBorders>
            <w:shd w:val="clear" w:color="auto" w:fill="00A1DA"/>
            <w:noWrap/>
            <w:hideMark/>
          </w:tcPr>
          <w:p w:rsidR="0027375E" w:rsidRPr="00125239" w:rsidRDefault="0027375E" w:rsidP="0027375E">
            <w:pPr>
              <w:rPr>
                <w:b/>
                <w:bCs/>
                <w:color w:val="FFFFFF" w:themeColor="background1"/>
                <w:sz w:val="24"/>
                <w:szCs w:val="20"/>
              </w:rPr>
            </w:pPr>
            <w:r w:rsidRPr="00125239">
              <w:rPr>
                <w:b/>
                <w:bCs/>
                <w:color w:val="FFFFFF" w:themeColor="background1"/>
                <w:sz w:val="24"/>
                <w:szCs w:val="20"/>
              </w:rPr>
              <w:t>2018</w:t>
            </w:r>
          </w:p>
        </w:tc>
        <w:tc>
          <w:tcPr>
            <w:tcW w:w="834" w:type="dxa"/>
            <w:tcBorders>
              <w:top w:val="single" w:sz="4" w:space="0" w:color="0070C0"/>
              <w:left w:val="single" w:sz="4" w:space="0" w:color="FFFFFF" w:themeColor="background1"/>
              <w:bottom w:val="single" w:sz="4" w:space="0" w:color="0070C0"/>
            </w:tcBorders>
            <w:shd w:val="clear" w:color="auto" w:fill="00A1DA"/>
          </w:tcPr>
          <w:p w:rsidR="0027375E" w:rsidRPr="00125239" w:rsidRDefault="0027375E" w:rsidP="0027375E">
            <w:pPr>
              <w:rPr>
                <w:b/>
                <w:bCs/>
                <w:color w:val="FFFFFF" w:themeColor="background1"/>
                <w:sz w:val="24"/>
                <w:szCs w:val="20"/>
              </w:rPr>
            </w:pPr>
            <w:r>
              <w:rPr>
                <w:b/>
                <w:bCs/>
                <w:color w:val="FFFFFF" w:themeColor="background1"/>
                <w:sz w:val="24"/>
                <w:szCs w:val="20"/>
              </w:rPr>
              <w:t>2019</w:t>
            </w:r>
          </w:p>
        </w:tc>
      </w:tr>
      <w:tr w:rsidR="0027375E" w:rsidRPr="00D73845" w:rsidTr="0027375E">
        <w:trPr>
          <w:trHeight w:val="178"/>
        </w:trPr>
        <w:tc>
          <w:tcPr>
            <w:tcW w:w="3369" w:type="dxa"/>
            <w:vMerge/>
            <w:tcBorders>
              <w:top w:val="single" w:sz="4" w:space="0" w:color="0070C0"/>
              <w:bottom w:val="single" w:sz="4" w:space="0" w:color="0070C0"/>
            </w:tcBorders>
            <w:noWrap/>
            <w:hideMark/>
          </w:tcPr>
          <w:p w:rsidR="0027375E" w:rsidRPr="00D73845" w:rsidRDefault="0027375E" w:rsidP="0027375E"/>
        </w:tc>
        <w:tc>
          <w:tcPr>
            <w:tcW w:w="931" w:type="dxa"/>
            <w:tcBorders>
              <w:top w:val="single" w:sz="4" w:space="0" w:color="0070C0"/>
              <w:bottom w:val="single" w:sz="4" w:space="0" w:color="0070C0"/>
            </w:tcBorders>
            <w:noWrap/>
            <w:hideMark/>
          </w:tcPr>
          <w:p w:rsidR="0027375E" w:rsidRPr="00D73845" w:rsidRDefault="0027375E" w:rsidP="0027375E">
            <w:r w:rsidRPr="00D73845">
              <w:t>n=760</w:t>
            </w:r>
          </w:p>
        </w:tc>
        <w:tc>
          <w:tcPr>
            <w:tcW w:w="834" w:type="dxa"/>
            <w:tcBorders>
              <w:top w:val="single" w:sz="4" w:space="0" w:color="0070C0"/>
              <w:bottom w:val="single" w:sz="4" w:space="0" w:color="0070C0"/>
            </w:tcBorders>
            <w:noWrap/>
            <w:hideMark/>
          </w:tcPr>
          <w:p w:rsidR="0027375E" w:rsidRPr="00D73845" w:rsidRDefault="0027375E" w:rsidP="0027375E">
            <w:r w:rsidRPr="00D73845">
              <w:t>n=994</w:t>
            </w:r>
          </w:p>
        </w:tc>
        <w:tc>
          <w:tcPr>
            <w:tcW w:w="894" w:type="dxa"/>
            <w:tcBorders>
              <w:top w:val="single" w:sz="4" w:space="0" w:color="0070C0"/>
              <w:bottom w:val="single" w:sz="4" w:space="0" w:color="0070C0"/>
            </w:tcBorders>
            <w:noWrap/>
            <w:hideMark/>
          </w:tcPr>
          <w:p w:rsidR="0027375E" w:rsidRPr="00D73845" w:rsidRDefault="0027375E" w:rsidP="0027375E">
            <w:r w:rsidRPr="00D73845">
              <w:t>n=766</w:t>
            </w:r>
          </w:p>
        </w:tc>
        <w:tc>
          <w:tcPr>
            <w:tcW w:w="834" w:type="dxa"/>
            <w:tcBorders>
              <w:top w:val="single" w:sz="4" w:space="0" w:color="0070C0"/>
              <w:bottom w:val="single" w:sz="4" w:space="0" w:color="0070C0"/>
            </w:tcBorders>
            <w:noWrap/>
            <w:hideMark/>
          </w:tcPr>
          <w:p w:rsidR="0027375E" w:rsidRPr="00D73845" w:rsidRDefault="0027375E" w:rsidP="0027375E">
            <w:r w:rsidRPr="00D73845">
              <w:t>n=988</w:t>
            </w:r>
          </w:p>
        </w:tc>
        <w:tc>
          <w:tcPr>
            <w:tcW w:w="834" w:type="dxa"/>
            <w:tcBorders>
              <w:top w:val="single" w:sz="4" w:space="0" w:color="0070C0"/>
              <w:bottom w:val="single" w:sz="4" w:space="0" w:color="0070C0"/>
            </w:tcBorders>
          </w:tcPr>
          <w:p w:rsidR="0027375E" w:rsidRPr="00FB1ABE" w:rsidRDefault="0027375E" w:rsidP="0027375E">
            <w:r w:rsidRPr="00FB1ABE">
              <w:t>n=508</w:t>
            </w:r>
          </w:p>
        </w:tc>
      </w:tr>
      <w:tr w:rsidR="0027375E" w:rsidRPr="00D73845" w:rsidTr="0027375E">
        <w:trPr>
          <w:trHeight w:val="358"/>
        </w:trPr>
        <w:tc>
          <w:tcPr>
            <w:tcW w:w="3369" w:type="dxa"/>
            <w:tcBorders>
              <w:top w:val="single" w:sz="4" w:space="0" w:color="0070C0"/>
              <w:bottom w:val="single" w:sz="4" w:space="0" w:color="0070C0"/>
            </w:tcBorders>
            <w:hideMark/>
          </w:tcPr>
          <w:p w:rsidR="0027375E" w:rsidRPr="00D73845" w:rsidRDefault="0027375E" w:rsidP="0027375E">
            <w:r w:rsidRPr="00D73845">
              <w:t>Poorly lit or dark public areas such as streets, paths and parks</w:t>
            </w:r>
          </w:p>
        </w:tc>
        <w:tc>
          <w:tcPr>
            <w:tcW w:w="931" w:type="dxa"/>
            <w:tcBorders>
              <w:top w:val="single" w:sz="4" w:space="0" w:color="0070C0"/>
              <w:bottom w:val="single" w:sz="4" w:space="0" w:color="0070C0"/>
            </w:tcBorders>
            <w:noWrap/>
            <w:hideMark/>
          </w:tcPr>
          <w:p w:rsidR="0027375E" w:rsidRPr="00D73845" w:rsidRDefault="0027375E" w:rsidP="0027375E">
            <w:r w:rsidRPr="00D73845">
              <w:t>61%</w:t>
            </w:r>
          </w:p>
        </w:tc>
        <w:tc>
          <w:tcPr>
            <w:tcW w:w="834" w:type="dxa"/>
            <w:tcBorders>
              <w:top w:val="single" w:sz="4" w:space="0" w:color="0070C0"/>
              <w:bottom w:val="single" w:sz="4" w:space="0" w:color="0070C0"/>
            </w:tcBorders>
            <w:noWrap/>
            <w:hideMark/>
          </w:tcPr>
          <w:p w:rsidR="0027375E" w:rsidRPr="00D73845" w:rsidRDefault="0027375E" w:rsidP="0027375E">
            <w:r w:rsidRPr="00D73845">
              <w:t>63%</w:t>
            </w:r>
          </w:p>
        </w:tc>
        <w:tc>
          <w:tcPr>
            <w:tcW w:w="894" w:type="dxa"/>
            <w:tcBorders>
              <w:top w:val="single" w:sz="4" w:space="0" w:color="0070C0"/>
              <w:bottom w:val="single" w:sz="4" w:space="0" w:color="0070C0"/>
            </w:tcBorders>
            <w:noWrap/>
            <w:hideMark/>
          </w:tcPr>
          <w:p w:rsidR="0027375E" w:rsidRPr="00D73845" w:rsidRDefault="0027375E" w:rsidP="0027375E">
            <w:r w:rsidRPr="00D73845">
              <w:t>59%</w:t>
            </w:r>
          </w:p>
        </w:tc>
        <w:tc>
          <w:tcPr>
            <w:tcW w:w="834" w:type="dxa"/>
            <w:tcBorders>
              <w:top w:val="single" w:sz="4" w:space="0" w:color="0070C0"/>
              <w:bottom w:val="single" w:sz="4" w:space="0" w:color="0070C0"/>
            </w:tcBorders>
            <w:noWrap/>
            <w:hideMark/>
          </w:tcPr>
          <w:p w:rsidR="0027375E" w:rsidRPr="00D73845" w:rsidRDefault="0027375E" w:rsidP="0027375E">
            <w:r w:rsidRPr="00D73845">
              <w:t>55%</w:t>
            </w:r>
          </w:p>
        </w:tc>
        <w:tc>
          <w:tcPr>
            <w:tcW w:w="834" w:type="dxa"/>
            <w:tcBorders>
              <w:top w:val="single" w:sz="4" w:space="0" w:color="0070C0"/>
              <w:bottom w:val="single" w:sz="4" w:space="0" w:color="0070C0"/>
            </w:tcBorders>
          </w:tcPr>
          <w:p w:rsidR="0027375E" w:rsidRPr="00FB1ABE" w:rsidRDefault="0027375E" w:rsidP="0027375E">
            <w:r w:rsidRPr="00FB1ABE">
              <w:t>61%</w:t>
            </w:r>
          </w:p>
        </w:tc>
      </w:tr>
      <w:tr w:rsidR="0027375E" w:rsidRPr="00D73845" w:rsidTr="0027375E">
        <w:trPr>
          <w:trHeight w:val="178"/>
        </w:trPr>
        <w:tc>
          <w:tcPr>
            <w:tcW w:w="3369" w:type="dxa"/>
            <w:tcBorders>
              <w:top w:val="single" w:sz="4" w:space="0" w:color="0070C0"/>
              <w:bottom w:val="single" w:sz="4" w:space="0" w:color="0070C0"/>
            </w:tcBorders>
            <w:hideMark/>
          </w:tcPr>
          <w:p w:rsidR="0027375E" w:rsidRPr="00D73845" w:rsidRDefault="0027375E" w:rsidP="0027375E">
            <w:r w:rsidRPr="00D73845">
              <w:t>Begging (new in 2018)</w:t>
            </w:r>
          </w:p>
        </w:tc>
        <w:tc>
          <w:tcPr>
            <w:tcW w:w="931" w:type="dxa"/>
            <w:tcBorders>
              <w:top w:val="single" w:sz="4" w:space="0" w:color="0070C0"/>
              <w:bottom w:val="single" w:sz="4" w:space="0" w:color="0070C0"/>
            </w:tcBorders>
            <w:noWrap/>
            <w:hideMark/>
          </w:tcPr>
          <w:p w:rsidR="0027375E" w:rsidRPr="00D73845" w:rsidRDefault="0027375E" w:rsidP="0027375E"/>
        </w:tc>
        <w:tc>
          <w:tcPr>
            <w:tcW w:w="834" w:type="dxa"/>
            <w:tcBorders>
              <w:top w:val="single" w:sz="4" w:space="0" w:color="0070C0"/>
              <w:bottom w:val="single" w:sz="4" w:space="0" w:color="0070C0"/>
            </w:tcBorders>
            <w:noWrap/>
            <w:hideMark/>
          </w:tcPr>
          <w:p w:rsidR="0027375E" w:rsidRPr="00D73845" w:rsidRDefault="0027375E" w:rsidP="0027375E"/>
        </w:tc>
        <w:tc>
          <w:tcPr>
            <w:tcW w:w="894" w:type="dxa"/>
            <w:tcBorders>
              <w:top w:val="single" w:sz="4" w:space="0" w:color="0070C0"/>
              <w:bottom w:val="single" w:sz="4" w:space="0" w:color="0070C0"/>
            </w:tcBorders>
            <w:noWrap/>
            <w:hideMark/>
          </w:tcPr>
          <w:p w:rsidR="0027375E" w:rsidRPr="00D73845" w:rsidRDefault="0027375E" w:rsidP="0027375E"/>
        </w:tc>
        <w:tc>
          <w:tcPr>
            <w:tcW w:w="834" w:type="dxa"/>
            <w:tcBorders>
              <w:top w:val="single" w:sz="4" w:space="0" w:color="0070C0"/>
              <w:bottom w:val="single" w:sz="4" w:space="0" w:color="0070C0"/>
            </w:tcBorders>
            <w:noWrap/>
            <w:hideMark/>
          </w:tcPr>
          <w:p w:rsidR="0027375E" w:rsidRPr="00D73845" w:rsidRDefault="0027375E" w:rsidP="0027375E">
            <w:r w:rsidRPr="00D73845">
              <w:t>56%</w:t>
            </w:r>
          </w:p>
        </w:tc>
        <w:tc>
          <w:tcPr>
            <w:tcW w:w="834" w:type="dxa"/>
            <w:tcBorders>
              <w:top w:val="single" w:sz="4" w:space="0" w:color="0070C0"/>
              <w:bottom w:val="single" w:sz="4" w:space="0" w:color="0070C0"/>
            </w:tcBorders>
          </w:tcPr>
          <w:p w:rsidR="0027375E" w:rsidRPr="00FB1ABE" w:rsidRDefault="0027375E" w:rsidP="0027375E">
            <w:r w:rsidRPr="00FB1ABE">
              <w:t>55%</w:t>
            </w:r>
          </w:p>
        </w:tc>
      </w:tr>
      <w:tr w:rsidR="0027375E" w:rsidRPr="00D73845" w:rsidTr="0027375E">
        <w:trPr>
          <w:trHeight w:val="358"/>
        </w:trPr>
        <w:tc>
          <w:tcPr>
            <w:tcW w:w="3369" w:type="dxa"/>
            <w:tcBorders>
              <w:top w:val="single" w:sz="4" w:space="0" w:color="0070C0"/>
              <w:bottom w:val="single" w:sz="4" w:space="0" w:color="0070C0"/>
            </w:tcBorders>
            <w:hideMark/>
          </w:tcPr>
          <w:p w:rsidR="0027375E" w:rsidRPr="00D73845" w:rsidRDefault="0027375E" w:rsidP="0027375E">
            <w:r w:rsidRPr="00D73845">
              <w:t>Vandalism such as broken windows in shops and public buildings</w:t>
            </w:r>
          </w:p>
        </w:tc>
        <w:tc>
          <w:tcPr>
            <w:tcW w:w="931" w:type="dxa"/>
            <w:tcBorders>
              <w:top w:val="single" w:sz="4" w:space="0" w:color="0070C0"/>
              <w:bottom w:val="single" w:sz="4" w:space="0" w:color="0070C0"/>
            </w:tcBorders>
            <w:noWrap/>
            <w:hideMark/>
          </w:tcPr>
          <w:p w:rsidR="0027375E" w:rsidRPr="00D73845" w:rsidRDefault="0027375E" w:rsidP="0027375E">
            <w:r w:rsidRPr="00D73845">
              <w:t>26%</w:t>
            </w:r>
          </w:p>
        </w:tc>
        <w:tc>
          <w:tcPr>
            <w:tcW w:w="834" w:type="dxa"/>
            <w:tcBorders>
              <w:top w:val="single" w:sz="4" w:space="0" w:color="0070C0"/>
              <w:bottom w:val="single" w:sz="4" w:space="0" w:color="0070C0"/>
            </w:tcBorders>
            <w:noWrap/>
            <w:hideMark/>
          </w:tcPr>
          <w:p w:rsidR="0027375E" w:rsidRPr="00D73845" w:rsidRDefault="0027375E" w:rsidP="0027375E">
            <w:r w:rsidRPr="00D73845">
              <w:t>27%</w:t>
            </w:r>
          </w:p>
        </w:tc>
        <w:tc>
          <w:tcPr>
            <w:tcW w:w="894" w:type="dxa"/>
            <w:tcBorders>
              <w:top w:val="single" w:sz="4" w:space="0" w:color="0070C0"/>
              <w:bottom w:val="single" w:sz="4" w:space="0" w:color="0070C0"/>
            </w:tcBorders>
            <w:noWrap/>
            <w:hideMark/>
          </w:tcPr>
          <w:p w:rsidR="0027375E" w:rsidRPr="00D73845" w:rsidRDefault="0027375E" w:rsidP="0027375E">
            <w:r w:rsidRPr="00D73845">
              <w:t>17%</w:t>
            </w:r>
          </w:p>
        </w:tc>
        <w:tc>
          <w:tcPr>
            <w:tcW w:w="834" w:type="dxa"/>
            <w:tcBorders>
              <w:top w:val="single" w:sz="4" w:space="0" w:color="0070C0"/>
              <w:bottom w:val="single" w:sz="4" w:space="0" w:color="0070C0"/>
            </w:tcBorders>
            <w:noWrap/>
            <w:hideMark/>
          </w:tcPr>
          <w:p w:rsidR="0027375E" w:rsidRPr="00D73845" w:rsidRDefault="0027375E" w:rsidP="0027375E">
            <w:r w:rsidRPr="00D73845">
              <w:t>17%</w:t>
            </w:r>
          </w:p>
        </w:tc>
        <w:tc>
          <w:tcPr>
            <w:tcW w:w="834" w:type="dxa"/>
            <w:tcBorders>
              <w:top w:val="single" w:sz="4" w:space="0" w:color="0070C0"/>
              <w:bottom w:val="single" w:sz="4" w:space="0" w:color="0070C0"/>
            </w:tcBorders>
          </w:tcPr>
          <w:p w:rsidR="0027375E" w:rsidRPr="00FB1ABE" w:rsidRDefault="0027375E" w:rsidP="0027375E">
            <w:r w:rsidRPr="00FB1ABE">
              <w:t>21%</w:t>
            </w:r>
          </w:p>
        </w:tc>
      </w:tr>
      <w:tr w:rsidR="0027375E" w:rsidRPr="00D73845" w:rsidTr="0027375E">
        <w:trPr>
          <w:trHeight w:val="178"/>
        </w:trPr>
        <w:tc>
          <w:tcPr>
            <w:tcW w:w="3369" w:type="dxa"/>
            <w:tcBorders>
              <w:top w:val="single" w:sz="4" w:space="0" w:color="0070C0"/>
              <w:bottom w:val="single" w:sz="4" w:space="0" w:color="0070C0"/>
            </w:tcBorders>
            <w:hideMark/>
          </w:tcPr>
          <w:p w:rsidR="0027375E" w:rsidRPr="00D73845" w:rsidRDefault="0027375E" w:rsidP="0027375E">
            <w:r w:rsidRPr="00D73845">
              <w:t>Graffiti</w:t>
            </w:r>
          </w:p>
        </w:tc>
        <w:tc>
          <w:tcPr>
            <w:tcW w:w="931" w:type="dxa"/>
            <w:tcBorders>
              <w:top w:val="single" w:sz="4" w:space="0" w:color="0070C0"/>
              <w:bottom w:val="single" w:sz="4" w:space="0" w:color="0070C0"/>
            </w:tcBorders>
            <w:noWrap/>
            <w:hideMark/>
          </w:tcPr>
          <w:p w:rsidR="0027375E" w:rsidRPr="00D73845" w:rsidRDefault="0027375E" w:rsidP="0027375E">
            <w:r w:rsidRPr="00D73845">
              <w:t>34%</w:t>
            </w:r>
          </w:p>
        </w:tc>
        <w:tc>
          <w:tcPr>
            <w:tcW w:w="834" w:type="dxa"/>
            <w:tcBorders>
              <w:top w:val="single" w:sz="4" w:space="0" w:color="0070C0"/>
              <w:bottom w:val="single" w:sz="4" w:space="0" w:color="0070C0"/>
            </w:tcBorders>
            <w:noWrap/>
            <w:hideMark/>
          </w:tcPr>
          <w:p w:rsidR="0027375E" w:rsidRPr="00D73845" w:rsidRDefault="0027375E" w:rsidP="0027375E">
            <w:r w:rsidRPr="00D73845">
              <w:t>32%</w:t>
            </w:r>
          </w:p>
        </w:tc>
        <w:tc>
          <w:tcPr>
            <w:tcW w:w="894" w:type="dxa"/>
            <w:tcBorders>
              <w:top w:val="single" w:sz="4" w:space="0" w:color="0070C0"/>
              <w:bottom w:val="single" w:sz="4" w:space="0" w:color="0070C0"/>
            </w:tcBorders>
            <w:noWrap/>
            <w:hideMark/>
          </w:tcPr>
          <w:p w:rsidR="0027375E" w:rsidRPr="00D73845" w:rsidRDefault="0027375E" w:rsidP="0027375E">
            <w:r w:rsidRPr="00D73845">
              <w:t>16%</w:t>
            </w:r>
          </w:p>
        </w:tc>
        <w:tc>
          <w:tcPr>
            <w:tcW w:w="834" w:type="dxa"/>
            <w:tcBorders>
              <w:top w:val="single" w:sz="4" w:space="0" w:color="0070C0"/>
              <w:bottom w:val="single" w:sz="4" w:space="0" w:color="0070C0"/>
            </w:tcBorders>
            <w:noWrap/>
            <w:hideMark/>
          </w:tcPr>
          <w:p w:rsidR="0027375E" w:rsidRPr="00D73845" w:rsidRDefault="0027375E" w:rsidP="0027375E">
            <w:r w:rsidRPr="00D73845">
              <w:t>16%</w:t>
            </w:r>
          </w:p>
        </w:tc>
        <w:tc>
          <w:tcPr>
            <w:tcW w:w="834" w:type="dxa"/>
            <w:tcBorders>
              <w:top w:val="single" w:sz="4" w:space="0" w:color="0070C0"/>
              <w:bottom w:val="single" w:sz="4" w:space="0" w:color="0070C0"/>
            </w:tcBorders>
          </w:tcPr>
          <w:p w:rsidR="0027375E" w:rsidRPr="00FB1ABE" w:rsidRDefault="0027375E" w:rsidP="0027375E">
            <w:r w:rsidRPr="00FB1ABE">
              <w:t>21%</w:t>
            </w:r>
          </w:p>
        </w:tc>
      </w:tr>
      <w:tr w:rsidR="0027375E" w:rsidRPr="00D73845" w:rsidTr="0027375E">
        <w:trPr>
          <w:trHeight w:val="536"/>
        </w:trPr>
        <w:tc>
          <w:tcPr>
            <w:tcW w:w="3369" w:type="dxa"/>
            <w:tcBorders>
              <w:top w:val="single" w:sz="4" w:space="0" w:color="0070C0"/>
              <w:bottom w:val="single" w:sz="4" w:space="0" w:color="0070C0"/>
            </w:tcBorders>
            <w:hideMark/>
          </w:tcPr>
          <w:p w:rsidR="0027375E" w:rsidRPr="00D73845" w:rsidRDefault="0027375E" w:rsidP="0027375E">
            <w:r w:rsidRPr="00D73845">
              <w:t>Poorly maintained or dangerous public areas such as streets, paths and parks</w:t>
            </w:r>
          </w:p>
        </w:tc>
        <w:tc>
          <w:tcPr>
            <w:tcW w:w="931" w:type="dxa"/>
            <w:tcBorders>
              <w:top w:val="single" w:sz="4" w:space="0" w:color="0070C0"/>
              <w:bottom w:val="single" w:sz="4" w:space="0" w:color="0070C0"/>
            </w:tcBorders>
            <w:noWrap/>
            <w:hideMark/>
          </w:tcPr>
          <w:p w:rsidR="0027375E" w:rsidRPr="00D73845" w:rsidRDefault="0027375E" w:rsidP="0027375E">
            <w:r w:rsidRPr="00D73845">
              <w:t>34%</w:t>
            </w:r>
          </w:p>
        </w:tc>
        <w:tc>
          <w:tcPr>
            <w:tcW w:w="834" w:type="dxa"/>
            <w:tcBorders>
              <w:top w:val="single" w:sz="4" w:space="0" w:color="0070C0"/>
              <w:bottom w:val="single" w:sz="4" w:space="0" w:color="0070C0"/>
            </w:tcBorders>
            <w:noWrap/>
            <w:hideMark/>
          </w:tcPr>
          <w:p w:rsidR="0027375E" w:rsidRPr="00D73845" w:rsidRDefault="0027375E" w:rsidP="0027375E">
            <w:r w:rsidRPr="00D73845">
              <w:t>37%</w:t>
            </w:r>
          </w:p>
        </w:tc>
        <w:tc>
          <w:tcPr>
            <w:tcW w:w="894" w:type="dxa"/>
            <w:tcBorders>
              <w:top w:val="single" w:sz="4" w:space="0" w:color="0070C0"/>
              <w:bottom w:val="single" w:sz="4" w:space="0" w:color="0070C0"/>
            </w:tcBorders>
            <w:noWrap/>
            <w:hideMark/>
          </w:tcPr>
          <w:p w:rsidR="0027375E" w:rsidRPr="00D73845" w:rsidRDefault="0027375E" w:rsidP="0027375E">
            <w:r w:rsidRPr="00D73845">
              <w:t>32%</w:t>
            </w:r>
          </w:p>
        </w:tc>
        <w:tc>
          <w:tcPr>
            <w:tcW w:w="834" w:type="dxa"/>
            <w:tcBorders>
              <w:top w:val="single" w:sz="4" w:space="0" w:color="0070C0"/>
              <w:bottom w:val="single" w:sz="4" w:space="0" w:color="0070C0"/>
            </w:tcBorders>
            <w:noWrap/>
            <w:hideMark/>
          </w:tcPr>
          <w:p w:rsidR="0027375E" w:rsidRPr="00D73845" w:rsidRDefault="0027375E" w:rsidP="0027375E">
            <w:r w:rsidRPr="00D73845">
              <w:t>26%</w:t>
            </w:r>
          </w:p>
        </w:tc>
        <w:tc>
          <w:tcPr>
            <w:tcW w:w="834" w:type="dxa"/>
            <w:tcBorders>
              <w:top w:val="single" w:sz="4" w:space="0" w:color="0070C0"/>
              <w:bottom w:val="single" w:sz="4" w:space="0" w:color="0070C0"/>
            </w:tcBorders>
          </w:tcPr>
          <w:p w:rsidR="0027375E" w:rsidRPr="00FB1ABE" w:rsidRDefault="0027375E" w:rsidP="0027375E">
            <w:r w:rsidRPr="00FB1ABE">
              <w:t>31%</w:t>
            </w:r>
          </w:p>
        </w:tc>
      </w:tr>
      <w:tr w:rsidR="0027375E" w:rsidRPr="00D73845" w:rsidTr="0027375E">
        <w:trPr>
          <w:trHeight w:val="358"/>
        </w:trPr>
        <w:tc>
          <w:tcPr>
            <w:tcW w:w="3369" w:type="dxa"/>
            <w:tcBorders>
              <w:top w:val="single" w:sz="4" w:space="0" w:color="0070C0"/>
              <w:bottom w:val="single" w:sz="4" w:space="0" w:color="0070C0"/>
            </w:tcBorders>
            <w:hideMark/>
          </w:tcPr>
          <w:p w:rsidR="0027375E" w:rsidRPr="00D73845" w:rsidRDefault="0027375E" w:rsidP="0027375E">
            <w:r w:rsidRPr="00D73845">
              <w:t>Traffic, including busy roads and lack of pedestrian facilities</w:t>
            </w:r>
          </w:p>
        </w:tc>
        <w:tc>
          <w:tcPr>
            <w:tcW w:w="931" w:type="dxa"/>
            <w:tcBorders>
              <w:top w:val="single" w:sz="4" w:space="0" w:color="0070C0"/>
              <w:bottom w:val="single" w:sz="4" w:space="0" w:color="0070C0"/>
            </w:tcBorders>
            <w:noWrap/>
            <w:hideMark/>
          </w:tcPr>
          <w:p w:rsidR="0027375E" w:rsidRPr="00D73845" w:rsidRDefault="0027375E" w:rsidP="0027375E">
            <w:r w:rsidRPr="00D73845">
              <w:t>34%</w:t>
            </w:r>
          </w:p>
        </w:tc>
        <w:tc>
          <w:tcPr>
            <w:tcW w:w="834" w:type="dxa"/>
            <w:tcBorders>
              <w:top w:val="single" w:sz="4" w:space="0" w:color="0070C0"/>
              <w:bottom w:val="single" w:sz="4" w:space="0" w:color="0070C0"/>
            </w:tcBorders>
            <w:noWrap/>
            <w:hideMark/>
          </w:tcPr>
          <w:p w:rsidR="0027375E" w:rsidRPr="00D73845" w:rsidRDefault="0027375E" w:rsidP="0027375E">
            <w:r w:rsidRPr="00D73845">
              <w:t>33%</w:t>
            </w:r>
          </w:p>
        </w:tc>
        <w:tc>
          <w:tcPr>
            <w:tcW w:w="894" w:type="dxa"/>
            <w:tcBorders>
              <w:top w:val="single" w:sz="4" w:space="0" w:color="0070C0"/>
              <w:bottom w:val="single" w:sz="4" w:space="0" w:color="0070C0"/>
            </w:tcBorders>
            <w:noWrap/>
            <w:hideMark/>
          </w:tcPr>
          <w:p w:rsidR="0027375E" w:rsidRPr="00D73845" w:rsidRDefault="0027375E" w:rsidP="0027375E">
            <w:r w:rsidRPr="00D73845">
              <w:t>33%</w:t>
            </w:r>
          </w:p>
        </w:tc>
        <w:tc>
          <w:tcPr>
            <w:tcW w:w="834" w:type="dxa"/>
            <w:tcBorders>
              <w:top w:val="single" w:sz="4" w:space="0" w:color="0070C0"/>
              <w:bottom w:val="single" w:sz="4" w:space="0" w:color="0070C0"/>
            </w:tcBorders>
            <w:noWrap/>
            <w:hideMark/>
          </w:tcPr>
          <w:p w:rsidR="0027375E" w:rsidRPr="00D73845" w:rsidRDefault="0027375E" w:rsidP="0027375E">
            <w:r w:rsidRPr="00D73845">
              <w:t>36%</w:t>
            </w:r>
          </w:p>
        </w:tc>
        <w:tc>
          <w:tcPr>
            <w:tcW w:w="834" w:type="dxa"/>
            <w:tcBorders>
              <w:top w:val="single" w:sz="4" w:space="0" w:color="0070C0"/>
              <w:bottom w:val="single" w:sz="4" w:space="0" w:color="0070C0"/>
            </w:tcBorders>
          </w:tcPr>
          <w:p w:rsidR="0027375E" w:rsidRPr="00FB1ABE" w:rsidRDefault="0027375E" w:rsidP="0027375E">
            <w:r w:rsidRPr="00FB1ABE">
              <w:t>39%</w:t>
            </w:r>
          </w:p>
        </w:tc>
      </w:tr>
      <w:tr w:rsidR="0027375E" w:rsidRPr="00D73845" w:rsidTr="0027375E">
        <w:trPr>
          <w:trHeight w:val="358"/>
        </w:trPr>
        <w:tc>
          <w:tcPr>
            <w:tcW w:w="3369" w:type="dxa"/>
            <w:tcBorders>
              <w:top w:val="single" w:sz="4" w:space="0" w:color="0070C0"/>
              <w:bottom w:val="single" w:sz="4" w:space="0" w:color="0070C0"/>
            </w:tcBorders>
            <w:hideMark/>
          </w:tcPr>
          <w:p w:rsidR="0027375E" w:rsidRPr="00D73845" w:rsidRDefault="0027375E" w:rsidP="0027375E">
            <w:r w:rsidRPr="00D73845">
              <w:t>Dangerous driving including speeding, drunk drivers and so on</w:t>
            </w:r>
          </w:p>
        </w:tc>
        <w:tc>
          <w:tcPr>
            <w:tcW w:w="931" w:type="dxa"/>
            <w:tcBorders>
              <w:top w:val="single" w:sz="4" w:space="0" w:color="0070C0"/>
              <w:bottom w:val="single" w:sz="4" w:space="0" w:color="0070C0"/>
            </w:tcBorders>
            <w:noWrap/>
            <w:hideMark/>
          </w:tcPr>
          <w:p w:rsidR="0027375E" w:rsidRPr="00D73845" w:rsidRDefault="0027375E" w:rsidP="0027375E">
            <w:r w:rsidRPr="00D73845">
              <w:t>29%</w:t>
            </w:r>
          </w:p>
        </w:tc>
        <w:tc>
          <w:tcPr>
            <w:tcW w:w="834" w:type="dxa"/>
            <w:tcBorders>
              <w:top w:val="single" w:sz="4" w:space="0" w:color="0070C0"/>
              <w:bottom w:val="single" w:sz="4" w:space="0" w:color="0070C0"/>
            </w:tcBorders>
            <w:noWrap/>
            <w:hideMark/>
          </w:tcPr>
          <w:p w:rsidR="0027375E" w:rsidRPr="00D73845" w:rsidRDefault="0027375E" w:rsidP="0027375E">
            <w:r w:rsidRPr="00D73845">
              <w:t>30%</w:t>
            </w:r>
          </w:p>
        </w:tc>
        <w:tc>
          <w:tcPr>
            <w:tcW w:w="894" w:type="dxa"/>
            <w:tcBorders>
              <w:top w:val="single" w:sz="4" w:space="0" w:color="0070C0"/>
              <w:bottom w:val="single" w:sz="4" w:space="0" w:color="0070C0"/>
            </w:tcBorders>
            <w:noWrap/>
            <w:hideMark/>
          </w:tcPr>
          <w:p w:rsidR="0027375E" w:rsidRPr="00D73845" w:rsidRDefault="0027375E" w:rsidP="0027375E">
            <w:r w:rsidRPr="00D73845">
              <w:t>33%</w:t>
            </w:r>
          </w:p>
        </w:tc>
        <w:tc>
          <w:tcPr>
            <w:tcW w:w="834" w:type="dxa"/>
            <w:tcBorders>
              <w:top w:val="single" w:sz="4" w:space="0" w:color="0070C0"/>
              <w:bottom w:val="single" w:sz="4" w:space="0" w:color="0070C0"/>
            </w:tcBorders>
            <w:noWrap/>
            <w:hideMark/>
          </w:tcPr>
          <w:p w:rsidR="0027375E" w:rsidRPr="00D73845" w:rsidRDefault="0027375E" w:rsidP="0027375E">
            <w:r w:rsidRPr="00D73845">
              <w:t>33%</w:t>
            </w:r>
          </w:p>
        </w:tc>
        <w:tc>
          <w:tcPr>
            <w:tcW w:w="834" w:type="dxa"/>
            <w:tcBorders>
              <w:top w:val="single" w:sz="4" w:space="0" w:color="0070C0"/>
              <w:bottom w:val="single" w:sz="4" w:space="0" w:color="0070C0"/>
            </w:tcBorders>
          </w:tcPr>
          <w:p w:rsidR="0027375E" w:rsidRPr="00FB1ABE" w:rsidRDefault="0027375E" w:rsidP="0027375E">
            <w:r w:rsidRPr="00FB1ABE">
              <w:t>40%</w:t>
            </w:r>
          </w:p>
        </w:tc>
      </w:tr>
      <w:tr w:rsidR="0027375E" w:rsidRPr="00D73845" w:rsidTr="0027375E">
        <w:trPr>
          <w:trHeight w:val="178"/>
        </w:trPr>
        <w:tc>
          <w:tcPr>
            <w:tcW w:w="3369" w:type="dxa"/>
            <w:tcBorders>
              <w:top w:val="single" w:sz="4" w:space="0" w:color="0070C0"/>
              <w:bottom w:val="single" w:sz="4" w:space="0" w:color="0070C0"/>
            </w:tcBorders>
            <w:hideMark/>
          </w:tcPr>
          <w:p w:rsidR="0027375E" w:rsidRPr="00D73845" w:rsidRDefault="0027375E" w:rsidP="0027375E">
            <w:r w:rsidRPr="00D73845">
              <w:t>Alcohol and drug problems</w:t>
            </w:r>
          </w:p>
        </w:tc>
        <w:tc>
          <w:tcPr>
            <w:tcW w:w="931" w:type="dxa"/>
            <w:tcBorders>
              <w:top w:val="single" w:sz="4" w:space="0" w:color="0070C0"/>
              <w:bottom w:val="single" w:sz="4" w:space="0" w:color="0070C0"/>
            </w:tcBorders>
            <w:noWrap/>
            <w:hideMark/>
          </w:tcPr>
          <w:p w:rsidR="0027375E" w:rsidRPr="00D73845" w:rsidRDefault="0027375E" w:rsidP="0027375E">
            <w:r w:rsidRPr="00D73845">
              <w:t>51%</w:t>
            </w:r>
          </w:p>
        </w:tc>
        <w:tc>
          <w:tcPr>
            <w:tcW w:w="834" w:type="dxa"/>
            <w:tcBorders>
              <w:top w:val="single" w:sz="4" w:space="0" w:color="0070C0"/>
              <w:bottom w:val="single" w:sz="4" w:space="0" w:color="0070C0"/>
            </w:tcBorders>
            <w:noWrap/>
            <w:hideMark/>
          </w:tcPr>
          <w:p w:rsidR="0027375E" w:rsidRPr="00D73845" w:rsidRDefault="0027375E" w:rsidP="0027375E">
            <w:r w:rsidRPr="00D73845">
              <w:t>49%</w:t>
            </w:r>
          </w:p>
        </w:tc>
        <w:tc>
          <w:tcPr>
            <w:tcW w:w="894" w:type="dxa"/>
            <w:tcBorders>
              <w:top w:val="single" w:sz="4" w:space="0" w:color="0070C0"/>
              <w:bottom w:val="single" w:sz="4" w:space="0" w:color="0070C0"/>
            </w:tcBorders>
            <w:noWrap/>
            <w:hideMark/>
          </w:tcPr>
          <w:p w:rsidR="0027375E" w:rsidRPr="00D73845" w:rsidRDefault="0027375E" w:rsidP="0027375E">
            <w:r w:rsidRPr="00D73845">
              <w:t>46%</w:t>
            </w:r>
          </w:p>
        </w:tc>
        <w:tc>
          <w:tcPr>
            <w:tcW w:w="834" w:type="dxa"/>
            <w:tcBorders>
              <w:top w:val="single" w:sz="4" w:space="0" w:color="0070C0"/>
              <w:bottom w:val="single" w:sz="4" w:space="0" w:color="0070C0"/>
            </w:tcBorders>
            <w:noWrap/>
            <w:hideMark/>
          </w:tcPr>
          <w:p w:rsidR="0027375E" w:rsidRPr="00D73845" w:rsidRDefault="0027375E" w:rsidP="0027375E">
            <w:r w:rsidRPr="00D73845">
              <w:t>46%</w:t>
            </w:r>
          </w:p>
        </w:tc>
        <w:tc>
          <w:tcPr>
            <w:tcW w:w="834" w:type="dxa"/>
            <w:tcBorders>
              <w:top w:val="single" w:sz="4" w:space="0" w:color="0070C0"/>
              <w:bottom w:val="single" w:sz="4" w:space="0" w:color="0070C0"/>
            </w:tcBorders>
          </w:tcPr>
          <w:p w:rsidR="0027375E" w:rsidRPr="00FB1ABE" w:rsidRDefault="0027375E" w:rsidP="0027375E">
            <w:r w:rsidRPr="00FB1ABE">
              <w:t>49%</w:t>
            </w:r>
          </w:p>
        </w:tc>
      </w:tr>
      <w:tr w:rsidR="0027375E" w:rsidRPr="00D73845" w:rsidTr="0027375E">
        <w:trPr>
          <w:trHeight w:val="358"/>
        </w:trPr>
        <w:tc>
          <w:tcPr>
            <w:tcW w:w="3369" w:type="dxa"/>
            <w:tcBorders>
              <w:top w:val="single" w:sz="4" w:space="0" w:color="0070C0"/>
              <w:bottom w:val="single" w:sz="4" w:space="0" w:color="0070C0"/>
            </w:tcBorders>
            <w:hideMark/>
          </w:tcPr>
          <w:p w:rsidR="0027375E" w:rsidRPr="00D73845" w:rsidRDefault="0027375E" w:rsidP="0027375E">
            <w:r w:rsidRPr="00D73845">
              <w:t>Car theft or vandalism, and theft from cars</w:t>
            </w:r>
          </w:p>
        </w:tc>
        <w:tc>
          <w:tcPr>
            <w:tcW w:w="931" w:type="dxa"/>
            <w:tcBorders>
              <w:top w:val="single" w:sz="4" w:space="0" w:color="0070C0"/>
              <w:bottom w:val="single" w:sz="4" w:space="0" w:color="0070C0"/>
            </w:tcBorders>
            <w:noWrap/>
            <w:hideMark/>
          </w:tcPr>
          <w:p w:rsidR="0027375E" w:rsidRPr="00D73845" w:rsidRDefault="0027375E" w:rsidP="0027375E">
            <w:r w:rsidRPr="00D73845">
              <w:t>36%</w:t>
            </w:r>
          </w:p>
        </w:tc>
        <w:tc>
          <w:tcPr>
            <w:tcW w:w="834" w:type="dxa"/>
            <w:tcBorders>
              <w:top w:val="single" w:sz="4" w:space="0" w:color="0070C0"/>
              <w:bottom w:val="single" w:sz="4" w:space="0" w:color="0070C0"/>
            </w:tcBorders>
            <w:noWrap/>
            <w:hideMark/>
          </w:tcPr>
          <w:p w:rsidR="0027375E" w:rsidRPr="00D73845" w:rsidRDefault="0027375E" w:rsidP="0027375E">
            <w:r w:rsidRPr="00D73845">
              <w:t>32%</w:t>
            </w:r>
          </w:p>
        </w:tc>
        <w:tc>
          <w:tcPr>
            <w:tcW w:w="894" w:type="dxa"/>
            <w:tcBorders>
              <w:top w:val="single" w:sz="4" w:space="0" w:color="0070C0"/>
              <w:bottom w:val="single" w:sz="4" w:space="0" w:color="0070C0"/>
            </w:tcBorders>
            <w:noWrap/>
            <w:hideMark/>
          </w:tcPr>
          <w:p w:rsidR="0027375E" w:rsidRPr="00D73845" w:rsidRDefault="0027375E" w:rsidP="0027375E">
            <w:r w:rsidRPr="00D73845">
              <w:t>29%</w:t>
            </w:r>
          </w:p>
        </w:tc>
        <w:tc>
          <w:tcPr>
            <w:tcW w:w="834" w:type="dxa"/>
            <w:tcBorders>
              <w:top w:val="single" w:sz="4" w:space="0" w:color="0070C0"/>
              <w:bottom w:val="single" w:sz="4" w:space="0" w:color="0070C0"/>
            </w:tcBorders>
            <w:noWrap/>
            <w:hideMark/>
          </w:tcPr>
          <w:p w:rsidR="0027375E" w:rsidRPr="00D73845" w:rsidRDefault="0027375E" w:rsidP="0027375E">
            <w:r w:rsidRPr="00D73845">
              <w:t>27%</w:t>
            </w:r>
          </w:p>
        </w:tc>
        <w:tc>
          <w:tcPr>
            <w:tcW w:w="834" w:type="dxa"/>
            <w:tcBorders>
              <w:top w:val="single" w:sz="4" w:space="0" w:color="0070C0"/>
              <w:bottom w:val="single" w:sz="4" w:space="0" w:color="0070C0"/>
            </w:tcBorders>
          </w:tcPr>
          <w:p w:rsidR="0027375E" w:rsidRPr="00FB1ABE" w:rsidRDefault="0027375E" w:rsidP="0027375E">
            <w:r w:rsidRPr="00FB1ABE">
              <w:t>29%</w:t>
            </w:r>
          </w:p>
        </w:tc>
      </w:tr>
      <w:tr w:rsidR="0027375E" w:rsidRPr="00D73845" w:rsidTr="0027375E">
        <w:trPr>
          <w:trHeight w:val="358"/>
        </w:trPr>
        <w:tc>
          <w:tcPr>
            <w:tcW w:w="3369" w:type="dxa"/>
            <w:tcBorders>
              <w:top w:val="single" w:sz="4" w:space="0" w:color="0070C0"/>
              <w:bottom w:val="single" w:sz="4" w:space="0" w:color="0070C0"/>
            </w:tcBorders>
            <w:hideMark/>
          </w:tcPr>
          <w:p w:rsidR="0027375E" w:rsidRPr="00D73845" w:rsidRDefault="0027375E" w:rsidP="0027375E">
            <w:r w:rsidRPr="00D73845">
              <w:t>Threatening people and/or people behaving dangerously</w:t>
            </w:r>
          </w:p>
        </w:tc>
        <w:tc>
          <w:tcPr>
            <w:tcW w:w="931" w:type="dxa"/>
            <w:tcBorders>
              <w:top w:val="single" w:sz="4" w:space="0" w:color="0070C0"/>
              <w:bottom w:val="single" w:sz="4" w:space="0" w:color="0070C0"/>
            </w:tcBorders>
            <w:noWrap/>
            <w:hideMark/>
          </w:tcPr>
          <w:p w:rsidR="0027375E" w:rsidRPr="00D73845" w:rsidRDefault="0027375E" w:rsidP="0027375E">
            <w:r w:rsidRPr="00D73845">
              <w:t>48%</w:t>
            </w:r>
          </w:p>
        </w:tc>
        <w:tc>
          <w:tcPr>
            <w:tcW w:w="834" w:type="dxa"/>
            <w:tcBorders>
              <w:top w:val="single" w:sz="4" w:space="0" w:color="0070C0"/>
              <w:bottom w:val="single" w:sz="4" w:space="0" w:color="0070C0"/>
            </w:tcBorders>
            <w:noWrap/>
            <w:hideMark/>
          </w:tcPr>
          <w:p w:rsidR="0027375E" w:rsidRPr="00D73845" w:rsidRDefault="0027375E" w:rsidP="0027375E">
            <w:r w:rsidRPr="00D73845">
              <w:t>51%</w:t>
            </w:r>
          </w:p>
        </w:tc>
        <w:tc>
          <w:tcPr>
            <w:tcW w:w="894" w:type="dxa"/>
            <w:tcBorders>
              <w:top w:val="single" w:sz="4" w:space="0" w:color="0070C0"/>
              <w:bottom w:val="single" w:sz="4" w:space="0" w:color="0070C0"/>
            </w:tcBorders>
            <w:noWrap/>
            <w:hideMark/>
          </w:tcPr>
          <w:p w:rsidR="0027375E" w:rsidRPr="00D73845" w:rsidRDefault="0027375E" w:rsidP="0027375E">
            <w:r w:rsidRPr="00D73845">
              <w:t>46%</w:t>
            </w:r>
          </w:p>
        </w:tc>
        <w:tc>
          <w:tcPr>
            <w:tcW w:w="834" w:type="dxa"/>
            <w:tcBorders>
              <w:top w:val="single" w:sz="4" w:space="0" w:color="0070C0"/>
              <w:bottom w:val="single" w:sz="4" w:space="0" w:color="0070C0"/>
            </w:tcBorders>
            <w:noWrap/>
            <w:hideMark/>
          </w:tcPr>
          <w:p w:rsidR="0027375E" w:rsidRPr="00D73845" w:rsidRDefault="0027375E" w:rsidP="0027375E">
            <w:r w:rsidRPr="00D73845">
              <w:t>35%</w:t>
            </w:r>
          </w:p>
        </w:tc>
        <w:tc>
          <w:tcPr>
            <w:tcW w:w="834" w:type="dxa"/>
            <w:tcBorders>
              <w:top w:val="single" w:sz="4" w:space="0" w:color="0070C0"/>
              <w:bottom w:val="single" w:sz="4" w:space="0" w:color="0070C0"/>
            </w:tcBorders>
          </w:tcPr>
          <w:p w:rsidR="0027375E" w:rsidRDefault="0027375E" w:rsidP="0027375E">
            <w:r w:rsidRPr="00FB1ABE">
              <w:t>39%</w:t>
            </w:r>
          </w:p>
        </w:tc>
      </w:tr>
      <w:tr w:rsidR="0027375E" w:rsidRPr="00D74C8D" w:rsidTr="0027375E">
        <w:trPr>
          <w:trHeight w:val="178"/>
        </w:trPr>
        <w:tc>
          <w:tcPr>
            <w:tcW w:w="6862" w:type="dxa"/>
            <w:gridSpan w:val="5"/>
            <w:tcBorders>
              <w:top w:val="single" w:sz="4" w:space="0" w:color="0070C0"/>
              <w:bottom w:val="single" w:sz="4" w:space="0" w:color="0070C0"/>
            </w:tcBorders>
            <w:noWrap/>
            <w:hideMark/>
          </w:tcPr>
          <w:p w:rsidR="0027375E" w:rsidRPr="00D74C8D" w:rsidRDefault="0027375E" w:rsidP="0027375E">
            <w:pPr>
              <w:rPr>
                <w:i/>
              </w:rPr>
            </w:pPr>
            <w:r w:rsidRPr="00D74C8D">
              <w:rPr>
                <w:i/>
              </w:rPr>
              <w:t xml:space="preserve">Source: Wellington City Council </w:t>
            </w:r>
            <w:r>
              <w:rPr>
                <w:i/>
              </w:rPr>
              <w:t>RMS</w:t>
            </w:r>
          </w:p>
        </w:tc>
        <w:tc>
          <w:tcPr>
            <w:tcW w:w="834" w:type="dxa"/>
            <w:tcBorders>
              <w:top w:val="single" w:sz="4" w:space="0" w:color="0070C0"/>
              <w:bottom w:val="single" w:sz="4" w:space="0" w:color="0070C0"/>
            </w:tcBorders>
          </w:tcPr>
          <w:p w:rsidR="0027375E" w:rsidRPr="00D74C8D" w:rsidRDefault="0027375E" w:rsidP="0027375E">
            <w:pPr>
              <w:rPr>
                <w:i/>
              </w:rPr>
            </w:pPr>
          </w:p>
        </w:tc>
      </w:tr>
    </w:tbl>
    <w:p w:rsidR="00125239" w:rsidRPr="00125239" w:rsidRDefault="00125239" w:rsidP="002C7BF8">
      <w:pPr>
        <w:pStyle w:val="ListParagraph"/>
        <w:numPr>
          <w:ilvl w:val="0"/>
          <w:numId w:val="64"/>
        </w:numPr>
        <w:spacing w:before="240"/>
        <w:ind w:right="-11"/>
        <w:rPr>
          <w:rFonts w:ascii="Arial" w:hAnsi="Arial" w:cs="Arial"/>
        </w:rPr>
      </w:pPr>
      <w:r w:rsidRPr="004F77FB">
        <w:rPr>
          <w:rFonts w:cstheme="minorHAnsi"/>
          <w:b/>
          <w:bCs/>
          <w:color w:val="000000"/>
        </w:rPr>
        <w:lastRenderedPageBreak/>
        <w:t>Residents’ perceptions of urban design/urban form safety issues (</w:t>
      </w:r>
      <w:r w:rsidR="00E554BC">
        <w:rPr>
          <w:rFonts w:cstheme="minorHAnsi"/>
          <w:b/>
          <w:bCs/>
          <w:color w:val="000000"/>
        </w:rPr>
        <w:t>ie,</w:t>
      </w:r>
      <w:r w:rsidRPr="004F77FB">
        <w:rPr>
          <w:rFonts w:cstheme="minorHAnsi"/>
          <w:b/>
          <w:bCs/>
          <w:color w:val="000000"/>
        </w:rPr>
        <w:t xml:space="preserve"> graffiti, vandalism, poorly-lit public spaces etc)</w:t>
      </w:r>
      <w:r>
        <w:rPr>
          <w:rFonts w:cstheme="minorHAnsi"/>
          <w:b/>
          <w:bCs/>
          <w:color w:val="000000"/>
        </w:rPr>
        <w:t xml:space="preserve"> </w:t>
      </w:r>
      <w:r>
        <w:rPr>
          <w:rFonts w:cstheme="minorHAnsi"/>
          <w:bCs/>
          <w:color w:val="000000"/>
        </w:rPr>
        <w:t xml:space="preserve">Question: </w:t>
      </w:r>
      <w:r w:rsidRPr="00D73845">
        <w:t>Which of the following, if any, are particularly concerning in Wellington at present?</w:t>
      </w:r>
    </w:p>
    <w:p w:rsidR="00CF065A" w:rsidRDefault="00CF065A">
      <w:pPr>
        <w:rPr>
          <w:rFonts w:ascii="Arial" w:hAnsi="Arial" w:cs="Arial"/>
        </w:rPr>
        <w:sectPr w:rsidR="00CF065A" w:rsidSect="0027375E">
          <w:type w:val="continuous"/>
          <w:pgSz w:w="16838" w:h="11906" w:orient="landscape"/>
          <w:pgMar w:top="851" w:right="1670" w:bottom="709" w:left="1440" w:header="567" w:footer="270" w:gutter="0"/>
          <w:cols w:space="708"/>
          <w:docGrid w:linePitch="360"/>
        </w:sectPr>
      </w:pPr>
    </w:p>
    <w:p w:rsidR="00125239" w:rsidRDefault="00125239">
      <w:pPr>
        <w:rPr>
          <w:rFonts w:ascii="Arial" w:hAnsi="Arial" w:cs="Arial"/>
        </w:rPr>
      </w:pPr>
    </w:p>
    <w:p w:rsidR="0027375E" w:rsidRDefault="0027375E">
      <w:pPr>
        <w:rPr>
          <w:b/>
          <w:bCs/>
        </w:rPr>
      </w:pPr>
      <w:r>
        <w:rPr>
          <w:b/>
          <w:bCs/>
        </w:rPr>
        <w:br w:type="page"/>
      </w:r>
    </w:p>
    <w:p w:rsidR="00125239" w:rsidRPr="00014F43" w:rsidRDefault="00014F43" w:rsidP="002C7BF8">
      <w:pPr>
        <w:pStyle w:val="ListParagraph"/>
        <w:numPr>
          <w:ilvl w:val="0"/>
          <w:numId w:val="64"/>
        </w:numPr>
        <w:rPr>
          <w:rFonts w:ascii="Arial" w:hAnsi="Arial" w:cs="Arial"/>
        </w:rPr>
      </w:pPr>
      <w:r w:rsidRPr="00014F43">
        <w:rPr>
          <w:b/>
          <w:bCs/>
        </w:rPr>
        <w:lastRenderedPageBreak/>
        <w:t>Residents’ perceptions of safety – feelings of safety in the city at home and in your neighbourhood.</w:t>
      </w:r>
      <w:r w:rsidRPr="00D73845">
        <w:t xml:space="preserve"> </w:t>
      </w:r>
      <w:r>
        <w:t xml:space="preserve">(This is a new question in 2019). </w:t>
      </w:r>
      <w:r w:rsidRPr="00D73845">
        <w:t>Please rate how safe you feel in the following situations:</w:t>
      </w:r>
    </w:p>
    <w:tbl>
      <w:tblPr>
        <w:tblStyle w:val="TableGrid"/>
        <w:tblpPr w:leftFromText="180" w:rightFromText="180" w:vertAnchor="text" w:tblpY="1"/>
        <w:tblOverlap w:val="never"/>
        <w:tblW w:w="0" w:type="auto"/>
        <w:tbl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insideH w:val="single" w:sz="4" w:space="0" w:color="31849B" w:themeColor="accent5" w:themeShade="BF"/>
          <w:insideV w:val="single" w:sz="4" w:space="0" w:color="31849B" w:themeColor="accent5" w:themeShade="BF"/>
        </w:tblBorders>
        <w:tblLook w:val="04A0" w:firstRow="1" w:lastRow="0" w:firstColumn="1" w:lastColumn="0" w:noHBand="0" w:noVBand="1"/>
      </w:tblPr>
      <w:tblGrid>
        <w:gridCol w:w="4872"/>
        <w:gridCol w:w="185"/>
        <w:gridCol w:w="864"/>
        <w:gridCol w:w="1255"/>
        <w:gridCol w:w="1317"/>
        <w:gridCol w:w="1451"/>
        <w:gridCol w:w="889"/>
        <w:gridCol w:w="889"/>
        <w:gridCol w:w="1122"/>
      </w:tblGrid>
      <w:tr w:rsidR="0027375E" w:rsidRPr="009317AA" w:rsidTr="00AA3DFC">
        <w:trPr>
          <w:trHeight w:val="552"/>
        </w:trPr>
        <w:tc>
          <w:tcPr>
            <w:tcW w:w="5921" w:type="dxa"/>
            <w:gridSpan w:val="3"/>
            <w:tcBorders>
              <w:top w:val="single" w:sz="4" w:space="0" w:color="0070C0"/>
              <w:bottom w:val="single" w:sz="4" w:space="0" w:color="0070C0"/>
            </w:tcBorders>
            <w:noWrap/>
            <w:hideMark/>
          </w:tcPr>
          <w:p w:rsidR="0027375E" w:rsidRPr="00D73845" w:rsidRDefault="0027375E" w:rsidP="00563C30">
            <w:r>
              <w:t xml:space="preserve">2019: </w:t>
            </w:r>
            <w:r w:rsidRPr="00D73845">
              <w:t>Please rate how safe you feel in the following situations:</w:t>
            </w:r>
          </w:p>
        </w:tc>
        <w:tc>
          <w:tcPr>
            <w:tcW w:w="1255" w:type="dxa"/>
            <w:tcBorders>
              <w:top w:val="single" w:sz="4" w:space="0" w:color="0070C0"/>
              <w:bottom w:val="single" w:sz="4" w:space="0" w:color="0070C0"/>
              <w:right w:val="single" w:sz="4" w:space="0" w:color="FFFFFF" w:themeColor="background1"/>
            </w:tcBorders>
            <w:shd w:val="clear" w:color="auto" w:fill="00A1DA"/>
            <w:hideMark/>
          </w:tcPr>
          <w:p w:rsidR="0027375E" w:rsidRPr="003D7D78" w:rsidRDefault="0027375E" w:rsidP="00563C30">
            <w:pPr>
              <w:rPr>
                <w:b/>
                <w:bCs/>
                <w:color w:val="FFFFFF" w:themeColor="background1"/>
                <w:szCs w:val="20"/>
              </w:rPr>
            </w:pPr>
            <w:r w:rsidRPr="003D7D78">
              <w:rPr>
                <w:b/>
                <w:bCs/>
                <w:color w:val="FFFFFF" w:themeColor="background1"/>
                <w:szCs w:val="20"/>
              </w:rPr>
              <w:t>Very unsafe</w:t>
            </w:r>
          </w:p>
        </w:tc>
        <w:tc>
          <w:tcPr>
            <w:tcW w:w="1317" w:type="dxa"/>
            <w:tcBorders>
              <w:top w:val="single" w:sz="4" w:space="0" w:color="0070C0"/>
              <w:left w:val="single" w:sz="4" w:space="0" w:color="FFFFFF" w:themeColor="background1"/>
              <w:bottom w:val="single" w:sz="4" w:space="0" w:color="0070C0"/>
              <w:right w:val="single" w:sz="4" w:space="0" w:color="FFFFFF" w:themeColor="background1"/>
            </w:tcBorders>
            <w:shd w:val="clear" w:color="auto" w:fill="00A1DA"/>
            <w:hideMark/>
          </w:tcPr>
          <w:p w:rsidR="0027375E" w:rsidRPr="003D7D78" w:rsidRDefault="0027375E" w:rsidP="00563C30">
            <w:pPr>
              <w:rPr>
                <w:b/>
                <w:bCs/>
                <w:color w:val="FFFFFF" w:themeColor="background1"/>
                <w:szCs w:val="20"/>
              </w:rPr>
            </w:pPr>
            <w:r w:rsidRPr="003D7D78">
              <w:rPr>
                <w:b/>
                <w:bCs/>
                <w:color w:val="FFFFFF" w:themeColor="background1"/>
                <w:szCs w:val="20"/>
              </w:rPr>
              <w:t>Somewhat unsafe</w:t>
            </w:r>
          </w:p>
        </w:tc>
        <w:tc>
          <w:tcPr>
            <w:tcW w:w="1451" w:type="dxa"/>
            <w:tcBorders>
              <w:top w:val="single" w:sz="4" w:space="0" w:color="0070C0"/>
              <w:left w:val="single" w:sz="4" w:space="0" w:color="FFFFFF" w:themeColor="background1"/>
              <w:bottom w:val="single" w:sz="4" w:space="0" w:color="0070C0"/>
              <w:right w:val="single" w:sz="4" w:space="0" w:color="FFFFFF" w:themeColor="background1"/>
            </w:tcBorders>
            <w:shd w:val="clear" w:color="auto" w:fill="00A1DA"/>
            <w:hideMark/>
          </w:tcPr>
          <w:p w:rsidR="0027375E" w:rsidRPr="003D7D78" w:rsidRDefault="0027375E" w:rsidP="00563C30">
            <w:pPr>
              <w:rPr>
                <w:b/>
                <w:bCs/>
                <w:color w:val="FFFFFF" w:themeColor="background1"/>
                <w:szCs w:val="20"/>
              </w:rPr>
            </w:pPr>
            <w:r w:rsidRPr="003D7D78">
              <w:rPr>
                <w:b/>
                <w:bCs/>
                <w:color w:val="FFFFFF" w:themeColor="background1"/>
                <w:szCs w:val="20"/>
              </w:rPr>
              <w:t>Reasonably safe</w:t>
            </w:r>
          </w:p>
        </w:tc>
        <w:tc>
          <w:tcPr>
            <w:tcW w:w="889" w:type="dxa"/>
            <w:tcBorders>
              <w:top w:val="single" w:sz="4" w:space="0" w:color="0070C0"/>
              <w:left w:val="single" w:sz="4" w:space="0" w:color="FFFFFF" w:themeColor="background1"/>
              <w:bottom w:val="single" w:sz="4" w:space="0" w:color="0070C0"/>
            </w:tcBorders>
            <w:shd w:val="clear" w:color="auto" w:fill="00A1DA"/>
            <w:hideMark/>
          </w:tcPr>
          <w:p w:rsidR="0027375E" w:rsidRPr="003D7D78" w:rsidRDefault="0027375E" w:rsidP="00563C30">
            <w:pPr>
              <w:rPr>
                <w:b/>
                <w:bCs/>
                <w:color w:val="FFFFFF" w:themeColor="background1"/>
                <w:szCs w:val="20"/>
              </w:rPr>
            </w:pPr>
            <w:r w:rsidRPr="003D7D78">
              <w:rPr>
                <w:b/>
                <w:bCs/>
                <w:color w:val="FFFFFF" w:themeColor="background1"/>
                <w:szCs w:val="20"/>
              </w:rPr>
              <w:t>Very safe</w:t>
            </w:r>
          </w:p>
        </w:tc>
        <w:tc>
          <w:tcPr>
            <w:tcW w:w="889" w:type="dxa"/>
            <w:tcBorders>
              <w:top w:val="single" w:sz="4" w:space="0" w:color="0070C0"/>
              <w:left w:val="single" w:sz="4" w:space="0" w:color="FFFFFF" w:themeColor="background1"/>
              <w:bottom w:val="single" w:sz="4" w:space="0" w:color="0070C0"/>
            </w:tcBorders>
            <w:shd w:val="clear" w:color="auto" w:fill="00A1DA"/>
          </w:tcPr>
          <w:p w:rsidR="0027375E" w:rsidRPr="003D7D78" w:rsidRDefault="00CA60E2" w:rsidP="00563C30">
            <w:pPr>
              <w:rPr>
                <w:b/>
                <w:bCs/>
                <w:color w:val="FFFFFF" w:themeColor="background1"/>
                <w:szCs w:val="20"/>
              </w:rPr>
            </w:pPr>
            <w:r>
              <w:rPr>
                <w:b/>
                <w:bCs/>
                <w:color w:val="FFFFFF" w:themeColor="background1"/>
                <w:szCs w:val="20"/>
              </w:rPr>
              <w:t>Don’t know</w:t>
            </w:r>
          </w:p>
        </w:tc>
        <w:tc>
          <w:tcPr>
            <w:tcW w:w="1122" w:type="dxa"/>
            <w:tcBorders>
              <w:top w:val="single" w:sz="4" w:space="0" w:color="0070C0"/>
              <w:left w:val="single" w:sz="4" w:space="0" w:color="FFFFFF" w:themeColor="background1"/>
              <w:bottom w:val="single" w:sz="4" w:space="0" w:color="0070C0"/>
            </w:tcBorders>
            <w:shd w:val="clear" w:color="auto" w:fill="00A1DA"/>
          </w:tcPr>
          <w:p w:rsidR="0027375E" w:rsidRPr="003D7D78" w:rsidRDefault="00CA60E2" w:rsidP="00563C30">
            <w:pPr>
              <w:rPr>
                <w:b/>
                <w:bCs/>
                <w:color w:val="FFFFFF" w:themeColor="background1"/>
                <w:szCs w:val="20"/>
              </w:rPr>
            </w:pPr>
            <w:r>
              <w:rPr>
                <w:b/>
                <w:bCs/>
                <w:color w:val="FFFFFF" w:themeColor="background1"/>
                <w:szCs w:val="20"/>
              </w:rPr>
              <w:t>2019 reported measure</w:t>
            </w:r>
          </w:p>
        </w:tc>
      </w:tr>
      <w:tr w:rsidR="00CA60E2" w:rsidRPr="00D73845" w:rsidTr="00CA60E2">
        <w:trPr>
          <w:trHeight w:val="276"/>
        </w:trPr>
        <w:tc>
          <w:tcPr>
            <w:tcW w:w="5057" w:type="dxa"/>
            <w:gridSpan w:val="2"/>
            <w:tcBorders>
              <w:top w:val="single" w:sz="4" w:space="0" w:color="0070C0"/>
              <w:bottom w:val="single" w:sz="4" w:space="0" w:color="0070C0"/>
            </w:tcBorders>
            <w:hideMark/>
          </w:tcPr>
          <w:p w:rsidR="00CA60E2" w:rsidRPr="00D73845" w:rsidRDefault="00CA60E2" w:rsidP="00563C30">
            <w:r w:rsidRPr="00D73845">
              <w:t>In your own home after dark</w:t>
            </w:r>
          </w:p>
        </w:tc>
        <w:tc>
          <w:tcPr>
            <w:tcW w:w="864" w:type="dxa"/>
            <w:tcBorders>
              <w:top w:val="single" w:sz="4" w:space="0" w:color="0070C0"/>
              <w:bottom w:val="single" w:sz="4" w:space="0" w:color="0070C0"/>
            </w:tcBorders>
            <w:noWrap/>
            <w:hideMark/>
          </w:tcPr>
          <w:p w:rsidR="00CA60E2" w:rsidRPr="00D73845" w:rsidRDefault="00CA60E2" w:rsidP="00563C30">
            <w:r w:rsidRPr="00D73845">
              <w:t>2019 n=508</w:t>
            </w:r>
          </w:p>
        </w:tc>
        <w:tc>
          <w:tcPr>
            <w:tcW w:w="1255" w:type="dxa"/>
            <w:tcBorders>
              <w:top w:val="single" w:sz="4" w:space="0" w:color="0070C0"/>
              <w:bottom w:val="single" w:sz="4" w:space="0" w:color="0070C0"/>
            </w:tcBorders>
            <w:noWrap/>
            <w:hideMark/>
          </w:tcPr>
          <w:p w:rsidR="00CA60E2" w:rsidRPr="00D73845" w:rsidRDefault="00CA60E2" w:rsidP="00563C30">
            <w:r w:rsidRPr="00D73845">
              <w:t>0.10%</w:t>
            </w:r>
          </w:p>
        </w:tc>
        <w:tc>
          <w:tcPr>
            <w:tcW w:w="1317" w:type="dxa"/>
            <w:tcBorders>
              <w:top w:val="single" w:sz="4" w:space="0" w:color="0070C0"/>
              <w:bottom w:val="single" w:sz="4" w:space="0" w:color="0070C0"/>
            </w:tcBorders>
            <w:noWrap/>
            <w:hideMark/>
          </w:tcPr>
          <w:p w:rsidR="00CA60E2" w:rsidRPr="00D73845" w:rsidRDefault="00CA60E2" w:rsidP="00563C30">
            <w:r w:rsidRPr="00D73845">
              <w:t>2%</w:t>
            </w:r>
          </w:p>
        </w:tc>
        <w:tc>
          <w:tcPr>
            <w:tcW w:w="1451" w:type="dxa"/>
            <w:tcBorders>
              <w:top w:val="single" w:sz="4" w:space="0" w:color="0070C0"/>
              <w:bottom w:val="single" w:sz="4" w:space="0" w:color="0070C0"/>
            </w:tcBorders>
            <w:noWrap/>
            <w:hideMark/>
          </w:tcPr>
          <w:p w:rsidR="00CA60E2" w:rsidRPr="00D73845" w:rsidRDefault="00CA60E2" w:rsidP="00563C30">
            <w:r w:rsidRPr="00D73845">
              <w:t>20%</w:t>
            </w:r>
          </w:p>
        </w:tc>
        <w:tc>
          <w:tcPr>
            <w:tcW w:w="889" w:type="dxa"/>
            <w:tcBorders>
              <w:top w:val="single" w:sz="4" w:space="0" w:color="0070C0"/>
              <w:bottom w:val="single" w:sz="4" w:space="0" w:color="0070C0"/>
            </w:tcBorders>
            <w:noWrap/>
            <w:hideMark/>
          </w:tcPr>
          <w:p w:rsidR="00CA60E2" w:rsidRPr="00D73845" w:rsidRDefault="00CA60E2" w:rsidP="00563C30">
            <w:r w:rsidRPr="00D73845">
              <w:t>77%</w:t>
            </w:r>
          </w:p>
        </w:tc>
        <w:tc>
          <w:tcPr>
            <w:tcW w:w="889" w:type="dxa"/>
            <w:tcBorders>
              <w:top w:val="single" w:sz="4" w:space="0" w:color="0070C0"/>
              <w:bottom w:val="single" w:sz="4" w:space="0" w:color="0070C0"/>
            </w:tcBorders>
          </w:tcPr>
          <w:p w:rsidR="00CA60E2" w:rsidRPr="004D39FC" w:rsidRDefault="00CA60E2" w:rsidP="00B27E9D"/>
        </w:tc>
        <w:tc>
          <w:tcPr>
            <w:tcW w:w="1122" w:type="dxa"/>
            <w:tcBorders>
              <w:top w:val="single" w:sz="4" w:space="0" w:color="0070C0"/>
              <w:bottom w:val="single" w:sz="4" w:space="0" w:color="0070C0"/>
            </w:tcBorders>
          </w:tcPr>
          <w:p w:rsidR="00CA60E2" w:rsidRPr="004D39FC" w:rsidRDefault="00CA60E2" w:rsidP="00B27E9D">
            <w:r w:rsidRPr="004D39FC">
              <w:t>97.7%</w:t>
            </w:r>
          </w:p>
        </w:tc>
      </w:tr>
      <w:tr w:rsidR="00CA60E2" w:rsidRPr="00D73845" w:rsidTr="00CA60E2">
        <w:trPr>
          <w:trHeight w:val="276"/>
        </w:trPr>
        <w:tc>
          <w:tcPr>
            <w:tcW w:w="5057" w:type="dxa"/>
            <w:gridSpan w:val="2"/>
            <w:tcBorders>
              <w:top w:val="single" w:sz="4" w:space="0" w:color="0070C0"/>
              <w:bottom w:val="single" w:sz="4" w:space="0" w:color="0070C0"/>
            </w:tcBorders>
            <w:hideMark/>
          </w:tcPr>
          <w:p w:rsidR="00CA60E2" w:rsidRPr="00D73845" w:rsidRDefault="00CA60E2" w:rsidP="00563C30">
            <w:r w:rsidRPr="00D73845">
              <w:t>In your neighbourhood after dark</w:t>
            </w:r>
          </w:p>
        </w:tc>
        <w:tc>
          <w:tcPr>
            <w:tcW w:w="864" w:type="dxa"/>
            <w:tcBorders>
              <w:top w:val="single" w:sz="4" w:space="0" w:color="0070C0"/>
              <w:bottom w:val="single" w:sz="4" w:space="0" w:color="0070C0"/>
            </w:tcBorders>
            <w:noWrap/>
            <w:hideMark/>
          </w:tcPr>
          <w:p w:rsidR="00CA60E2" w:rsidRPr="00D73845" w:rsidRDefault="00CA60E2" w:rsidP="00563C30">
            <w:r w:rsidRPr="00D73845">
              <w:t>2019 n=508</w:t>
            </w:r>
          </w:p>
        </w:tc>
        <w:tc>
          <w:tcPr>
            <w:tcW w:w="1255" w:type="dxa"/>
            <w:tcBorders>
              <w:top w:val="single" w:sz="4" w:space="0" w:color="0070C0"/>
              <w:bottom w:val="single" w:sz="4" w:space="0" w:color="0070C0"/>
            </w:tcBorders>
            <w:noWrap/>
            <w:hideMark/>
          </w:tcPr>
          <w:p w:rsidR="00CA60E2" w:rsidRPr="00D73845" w:rsidRDefault="00CA60E2" w:rsidP="00563C30">
            <w:r w:rsidRPr="00D73845">
              <w:t>2%</w:t>
            </w:r>
          </w:p>
        </w:tc>
        <w:tc>
          <w:tcPr>
            <w:tcW w:w="1317" w:type="dxa"/>
            <w:tcBorders>
              <w:top w:val="single" w:sz="4" w:space="0" w:color="0070C0"/>
              <w:bottom w:val="single" w:sz="4" w:space="0" w:color="0070C0"/>
            </w:tcBorders>
            <w:noWrap/>
            <w:hideMark/>
          </w:tcPr>
          <w:p w:rsidR="00CA60E2" w:rsidRPr="00D73845" w:rsidRDefault="00CA60E2" w:rsidP="00563C30">
            <w:r w:rsidRPr="00D73845">
              <w:t>7%</w:t>
            </w:r>
          </w:p>
        </w:tc>
        <w:tc>
          <w:tcPr>
            <w:tcW w:w="1451" w:type="dxa"/>
            <w:tcBorders>
              <w:top w:val="single" w:sz="4" w:space="0" w:color="0070C0"/>
              <w:bottom w:val="single" w:sz="4" w:space="0" w:color="0070C0"/>
            </w:tcBorders>
            <w:noWrap/>
            <w:hideMark/>
          </w:tcPr>
          <w:p w:rsidR="00CA60E2" w:rsidRPr="00D73845" w:rsidRDefault="00CA60E2" w:rsidP="00563C30">
            <w:r w:rsidRPr="00D73845">
              <w:t>50%</w:t>
            </w:r>
          </w:p>
        </w:tc>
        <w:tc>
          <w:tcPr>
            <w:tcW w:w="889" w:type="dxa"/>
            <w:tcBorders>
              <w:top w:val="single" w:sz="4" w:space="0" w:color="0070C0"/>
              <w:bottom w:val="single" w:sz="4" w:space="0" w:color="0070C0"/>
            </w:tcBorders>
            <w:noWrap/>
            <w:hideMark/>
          </w:tcPr>
          <w:p w:rsidR="00CA60E2" w:rsidRPr="00D73845" w:rsidRDefault="00CA60E2" w:rsidP="00563C30">
            <w:r w:rsidRPr="00D73845">
              <w:t>42%</w:t>
            </w:r>
          </w:p>
        </w:tc>
        <w:tc>
          <w:tcPr>
            <w:tcW w:w="889" w:type="dxa"/>
            <w:tcBorders>
              <w:top w:val="single" w:sz="4" w:space="0" w:color="0070C0"/>
              <w:bottom w:val="single" w:sz="4" w:space="0" w:color="0070C0"/>
            </w:tcBorders>
          </w:tcPr>
          <w:p w:rsidR="00CA60E2" w:rsidRPr="004D39FC" w:rsidRDefault="00CA60E2" w:rsidP="00B27E9D">
            <w:r w:rsidRPr="004D39FC">
              <w:t>0.10%</w:t>
            </w:r>
          </w:p>
        </w:tc>
        <w:tc>
          <w:tcPr>
            <w:tcW w:w="1122" w:type="dxa"/>
            <w:tcBorders>
              <w:top w:val="single" w:sz="4" w:space="0" w:color="0070C0"/>
              <w:bottom w:val="single" w:sz="4" w:space="0" w:color="0070C0"/>
            </w:tcBorders>
          </w:tcPr>
          <w:p w:rsidR="00CA60E2" w:rsidRPr="004D39FC" w:rsidRDefault="00CA60E2" w:rsidP="00B27E9D">
            <w:r w:rsidRPr="004D39FC">
              <w:t>91.2%</w:t>
            </w:r>
          </w:p>
        </w:tc>
      </w:tr>
      <w:tr w:rsidR="00CA60E2" w:rsidRPr="00D73845" w:rsidTr="00CA60E2">
        <w:trPr>
          <w:trHeight w:val="552"/>
        </w:trPr>
        <w:tc>
          <w:tcPr>
            <w:tcW w:w="5057" w:type="dxa"/>
            <w:gridSpan w:val="2"/>
            <w:tcBorders>
              <w:top w:val="single" w:sz="4" w:space="0" w:color="0070C0"/>
              <w:bottom w:val="single" w:sz="4" w:space="0" w:color="0070C0"/>
            </w:tcBorders>
            <w:hideMark/>
          </w:tcPr>
          <w:p w:rsidR="00CA60E2" w:rsidRPr="00D73845" w:rsidRDefault="00CA60E2" w:rsidP="00563C30">
            <w:r w:rsidRPr="00D73845">
              <w:t>Walking alone in your neighbourhood at night</w:t>
            </w:r>
          </w:p>
        </w:tc>
        <w:tc>
          <w:tcPr>
            <w:tcW w:w="864" w:type="dxa"/>
            <w:tcBorders>
              <w:top w:val="single" w:sz="4" w:space="0" w:color="0070C0"/>
              <w:bottom w:val="single" w:sz="4" w:space="0" w:color="0070C0"/>
            </w:tcBorders>
            <w:noWrap/>
            <w:hideMark/>
          </w:tcPr>
          <w:p w:rsidR="00CA60E2" w:rsidRPr="00D73845" w:rsidRDefault="00CA60E2" w:rsidP="00563C30">
            <w:r w:rsidRPr="00D73845">
              <w:t>2019 n=508</w:t>
            </w:r>
          </w:p>
        </w:tc>
        <w:tc>
          <w:tcPr>
            <w:tcW w:w="1255" w:type="dxa"/>
            <w:tcBorders>
              <w:top w:val="single" w:sz="4" w:space="0" w:color="0070C0"/>
              <w:bottom w:val="single" w:sz="4" w:space="0" w:color="0070C0"/>
            </w:tcBorders>
            <w:noWrap/>
            <w:hideMark/>
          </w:tcPr>
          <w:p w:rsidR="00CA60E2" w:rsidRPr="00D73845" w:rsidRDefault="00CA60E2" w:rsidP="00563C30">
            <w:r w:rsidRPr="00D73845">
              <w:t>3%</w:t>
            </w:r>
          </w:p>
        </w:tc>
        <w:tc>
          <w:tcPr>
            <w:tcW w:w="1317" w:type="dxa"/>
            <w:tcBorders>
              <w:top w:val="single" w:sz="4" w:space="0" w:color="0070C0"/>
              <w:bottom w:val="single" w:sz="4" w:space="0" w:color="0070C0"/>
            </w:tcBorders>
            <w:noWrap/>
            <w:hideMark/>
          </w:tcPr>
          <w:p w:rsidR="00CA60E2" w:rsidRPr="00D73845" w:rsidRDefault="00CA60E2" w:rsidP="00563C30">
            <w:r w:rsidRPr="00D73845">
              <w:t>15%</w:t>
            </w:r>
          </w:p>
        </w:tc>
        <w:tc>
          <w:tcPr>
            <w:tcW w:w="1451" w:type="dxa"/>
            <w:tcBorders>
              <w:top w:val="single" w:sz="4" w:space="0" w:color="0070C0"/>
              <w:bottom w:val="single" w:sz="4" w:space="0" w:color="0070C0"/>
            </w:tcBorders>
            <w:noWrap/>
            <w:hideMark/>
          </w:tcPr>
          <w:p w:rsidR="00CA60E2" w:rsidRPr="00D73845" w:rsidRDefault="00CA60E2" w:rsidP="00563C30">
            <w:r w:rsidRPr="00D73845">
              <w:t>47%</w:t>
            </w:r>
          </w:p>
        </w:tc>
        <w:tc>
          <w:tcPr>
            <w:tcW w:w="889" w:type="dxa"/>
            <w:tcBorders>
              <w:top w:val="single" w:sz="4" w:space="0" w:color="0070C0"/>
              <w:bottom w:val="single" w:sz="4" w:space="0" w:color="0070C0"/>
            </w:tcBorders>
            <w:noWrap/>
            <w:hideMark/>
          </w:tcPr>
          <w:p w:rsidR="00CA60E2" w:rsidRPr="00D73845" w:rsidRDefault="00CA60E2" w:rsidP="00563C30">
            <w:r w:rsidRPr="00D73845">
              <w:t>34%</w:t>
            </w:r>
          </w:p>
        </w:tc>
        <w:tc>
          <w:tcPr>
            <w:tcW w:w="889" w:type="dxa"/>
            <w:tcBorders>
              <w:top w:val="single" w:sz="4" w:space="0" w:color="0070C0"/>
              <w:bottom w:val="single" w:sz="4" w:space="0" w:color="0070C0"/>
            </w:tcBorders>
          </w:tcPr>
          <w:p w:rsidR="00CA60E2" w:rsidRPr="004D39FC" w:rsidRDefault="00CA60E2" w:rsidP="00B27E9D">
            <w:r w:rsidRPr="004D39FC">
              <w:t>1%</w:t>
            </w:r>
          </w:p>
        </w:tc>
        <w:tc>
          <w:tcPr>
            <w:tcW w:w="1122" w:type="dxa"/>
            <w:tcBorders>
              <w:top w:val="single" w:sz="4" w:space="0" w:color="0070C0"/>
              <w:bottom w:val="single" w:sz="4" w:space="0" w:color="0070C0"/>
            </w:tcBorders>
            <w:shd w:val="pct10" w:color="auto" w:fill="auto"/>
          </w:tcPr>
          <w:p w:rsidR="00CA60E2" w:rsidRPr="004D39FC" w:rsidRDefault="00CA60E2" w:rsidP="00B27E9D">
            <w:r w:rsidRPr="004D39FC">
              <w:t>81.5%</w:t>
            </w:r>
          </w:p>
        </w:tc>
      </w:tr>
      <w:tr w:rsidR="00CA60E2" w:rsidRPr="00D73845" w:rsidTr="00CA60E2">
        <w:trPr>
          <w:trHeight w:val="276"/>
        </w:trPr>
        <w:tc>
          <w:tcPr>
            <w:tcW w:w="5057" w:type="dxa"/>
            <w:gridSpan w:val="2"/>
            <w:tcBorders>
              <w:top w:val="single" w:sz="4" w:space="0" w:color="0070C0"/>
              <w:bottom w:val="single" w:sz="4" w:space="0" w:color="0070C0"/>
            </w:tcBorders>
            <w:hideMark/>
          </w:tcPr>
          <w:p w:rsidR="00CA60E2" w:rsidRPr="00D73845" w:rsidRDefault="00CA60E2" w:rsidP="00563C30">
            <w:r w:rsidRPr="00D73845">
              <w:t>In Wellington's CBD during the day</w:t>
            </w:r>
          </w:p>
        </w:tc>
        <w:tc>
          <w:tcPr>
            <w:tcW w:w="864" w:type="dxa"/>
            <w:tcBorders>
              <w:top w:val="single" w:sz="4" w:space="0" w:color="0070C0"/>
              <w:bottom w:val="single" w:sz="4" w:space="0" w:color="0070C0"/>
            </w:tcBorders>
            <w:noWrap/>
            <w:hideMark/>
          </w:tcPr>
          <w:p w:rsidR="00CA60E2" w:rsidRPr="00D73845" w:rsidRDefault="00CA60E2" w:rsidP="00563C30">
            <w:r w:rsidRPr="00D73845">
              <w:t>2019 n=508</w:t>
            </w:r>
          </w:p>
        </w:tc>
        <w:tc>
          <w:tcPr>
            <w:tcW w:w="1255" w:type="dxa"/>
            <w:tcBorders>
              <w:top w:val="single" w:sz="4" w:space="0" w:color="0070C0"/>
              <w:bottom w:val="single" w:sz="4" w:space="0" w:color="0070C0"/>
            </w:tcBorders>
            <w:noWrap/>
            <w:hideMark/>
          </w:tcPr>
          <w:p w:rsidR="00CA60E2" w:rsidRPr="00D73845" w:rsidRDefault="00CA60E2" w:rsidP="00563C30">
            <w:r w:rsidRPr="00D73845">
              <w:t>1%</w:t>
            </w:r>
          </w:p>
        </w:tc>
        <w:tc>
          <w:tcPr>
            <w:tcW w:w="1317" w:type="dxa"/>
            <w:tcBorders>
              <w:top w:val="single" w:sz="4" w:space="0" w:color="0070C0"/>
              <w:bottom w:val="single" w:sz="4" w:space="0" w:color="0070C0"/>
            </w:tcBorders>
            <w:noWrap/>
            <w:hideMark/>
          </w:tcPr>
          <w:p w:rsidR="00CA60E2" w:rsidRPr="00D73845" w:rsidRDefault="00CA60E2" w:rsidP="00563C30">
            <w:r w:rsidRPr="00D73845">
              <w:t>1%</w:t>
            </w:r>
          </w:p>
        </w:tc>
        <w:tc>
          <w:tcPr>
            <w:tcW w:w="1451" w:type="dxa"/>
            <w:tcBorders>
              <w:top w:val="single" w:sz="4" w:space="0" w:color="0070C0"/>
              <w:bottom w:val="single" w:sz="4" w:space="0" w:color="0070C0"/>
            </w:tcBorders>
            <w:noWrap/>
            <w:hideMark/>
          </w:tcPr>
          <w:p w:rsidR="00CA60E2" w:rsidRPr="00D73845" w:rsidRDefault="00CA60E2" w:rsidP="00563C30">
            <w:r w:rsidRPr="00D73845">
              <w:t>17%</w:t>
            </w:r>
          </w:p>
        </w:tc>
        <w:tc>
          <w:tcPr>
            <w:tcW w:w="889" w:type="dxa"/>
            <w:tcBorders>
              <w:top w:val="single" w:sz="4" w:space="0" w:color="0070C0"/>
              <w:bottom w:val="single" w:sz="4" w:space="0" w:color="0070C0"/>
            </w:tcBorders>
            <w:noWrap/>
            <w:hideMark/>
          </w:tcPr>
          <w:p w:rsidR="00CA60E2" w:rsidRPr="00D73845" w:rsidRDefault="00CA60E2" w:rsidP="00563C30">
            <w:r w:rsidRPr="00D73845">
              <w:t>81%</w:t>
            </w:r>
          </w:p>
        </w:tc>
        <w:tc>
          <w:tcPr>
            <w:tcW w:w="889" w:type="dxa"/>
            <w:tcBorders>
              <w:top w:val="single" w:sz="4" w:space="0" w:color="0070C0"/>
              <w:bottom w:val="single" w:sz="4" w:space="0" w:color="0070C0"/>
            </w:tcBorders>
          </w:tcPr>
          <w:p w:rsidR="00CA60E2" w:rsidRPr="004D39FC" w:rsidRDefault="00CA60E2" w:rsidP="00B27E9D">
            <w:r w:rsidRPr="004D39FC">
              <w:t>0.30%</w:t>
            </w:r>
          </w:p>
        </w:tc>
        <w:tc>
          <w:tcPr>
            <w:tcW w:w="1122" w:type="dxa"/>
            <w:tcBorders>
              <w:top w:val="single" w:sz="4" w:space="0" w:color="0070C0"/>
              <w:bottom w:val="single" w:sz="4" w:space="0" w:color="0070C0"/>
            </w:tcBorders>
            <w:shd w:val="pct10" w:color="auto" w:fill="auto"/>
          </w:tcPr>
          <w:p w:rsidR="00CA60E2" w:rsidRPr="004D39FC" w:rsidRDefault="00CA60E2" w:rsidP="00B27E9D">
            <w:r w:rsidRPr="004D39FC">
              <w:t>97.5%</w:t>
            </w:r>
          </w:p>
        </w:tc>
      </w:tr>
      <w:tr w:rsidR="00CA60E2" w:rsidRPr="00D73845" w:rsidTr="00CA60E2">
        <w:trPr>
          <w:trHeight w:val="276"/>
        </w:trPr>
        <w:tc>
          <w:tcPr>
            <w:tcW w:w="5057" w:type="dxa"/>
            <w:gridSpan w:val="2"/>
            <w:tcBorders>
              <w:top w:val="single" w:sz="4" w:space="0" w:color="0070C0"/>
              <w:bottom w:val="single" w:sz="4" w:space="0" w:color="0070C0"/>
            </w:tcBorders>
            <w:hideMark/>
          </w:tcPr>
          <w:p w:rsidR="00CA60E2" w:rsidRPr="00D73845" w:rsidRDefault="00CA60E2" w:rsidP="00563C30">
            <w:r w:rsidRPr="00D73845">
              <w:t>In Wellington's CBD after dark</w:t>
            </w:r>
          </w:p>
        </w:tc>
        <w:tc>
          <w:tcPr>
            <w:tcW w:w="864" w:type="dxa"/>
            <w:tcBorders>
              <w:top w:val="single" w:sz="4" w:space="0" w:color="0070C0"/>
              <w:bottom w:val="single" w:sz="4" w:space="0" w:color="0070C0"/>
            </w:tcBorders>
            <w:noWrap/>
            <w:hideMark/>
          </w:tcPr>
          <w:p w:rsidR="00CA60E2" w:rsidRPr="00D73845" w:rsidRDefault="00CA60E2" w:rsidP="00563C30">
            <w:r w:rsidRPr="00D73845">
              <w:t>2019 n=508</w:t>
            </w:r>
          </w:p>
        </w:tc>
        <w:tc>
          <w:tcPr>
            <w:tcW w:w="1255" w:type="dxa"/>
            <w:tcBorders>
              <w:top w:val="single" w:sz="4" w:space="0" w:color="0070C0"/>
              <w:bottom w:val="single" w:sz="4" w:space="0" w:color="0070C0"/>
            </w:tcBorders>
            <w:noWrap/>
            <w:hideMark/>
          </w:tcPr>
          <w:p w:rsidR="00CA60E2" w:rsidRPr="00D73845" w:rsidRDefault="00CA60E2" w:rsidP="00563C30">
            <w:r w:rsidRPr="00D73845">
              <w:t>4%</w:t>
            </w:r>
          </w:p>
        </w:tc>
        <w:tc>
          <w:tcPr>
            <w:tcW w:w="1317" w:type="dxa"/>
            <w:tcBorders>
              <w:top w:val="single" w:sz="4" w:space="0" w:color="0070C0"/>
              <w:bottom w:val="single" w:sz="4" w:space="0" w:color="0070C0"/>
            </w:tcBorders>
            <w:noWrap/>
            <w:hideMark/>
          </w:tcPr>
          <w:p w:rsidR="00CA60E2" w:rsidRPr="00D73845" w:rsidRDefault="00CA60E2" w:rsidP="00563C30">
            <w:r w:rsidRPr="00D73845">
              <w:t>19%</w:t>
            </w:r>
          </w:p>
        </w:tc>
        <w:tc>
          <w:tcPr>
            <w:tcW w:w="1451" w:type="dxa"/>
            <w:tcBorders>
              <w:top w:val="single" w:sz="4" w:space="0" w:color="0070C0"/>
              <w:bottom w:val="single" w:sz="4" w:space="0" w:color="0070C0"/>
            </w:tcBorders>
            <w:noWrap/>
            <w:hideMark/>
          </w:tcPr>
          <w:p w:rsidR="00CA60E2" w:rsidRPr="00D73845" w:rsidRDefault="00CA60E2" w:rsidP="00563C30">
            <w:r w:rsidRPr="00D73845">
              <w:t>59%</w:t>
            </w:r>
          </w:p>
        </w:tc>
        <w:tc>
          <w:tcPr>
            <w:tcW w:w="889" w:type="dxa"/>
            <w:tcBorders>
              <w:top w:val="single" w:sz="4" w:space="0" w:color="0070C0"/>
              <w:bottom w:val="single" w:sz="4" w:space="0" w:color="0070C0"/>
            </w:tcBorders>
            <w:noWrap/>
            <w:hideMark/>
          </w:tcPr>
          <w:p w:rsidR="00CA60E2" w:rsidRPr="00D73845" w:rsidRDefault="00CA60E2" w:rsidP="00563C30">
            <w:r w:rsidRPr="00D73845">
              <w:t>17%</w:t>
            </w:r>
          </w:p>
        </w:tc>
        <w:tc>
          <w:tcPr>
            <w:tcW w:w="889" w:type="dxa"/>
            <w:tcBorders>
              <w:top w:val="single" w:sz="4" w:space="0" w:color="0070C0"/>
              <w:bottom w:val="single" w:sz="4" w:space="0" w:color="0070C0"/>
            </w:tcBorders>
          </w:tcPr>
          <w:p w:rsidR="00CA60E2" w:rsidRPr="004D39FC" w:rsidRDefault="00CA60E2" w:rsidP="00B27E9D">
            <w:r w:rsidRPr="004D39FC">
              <w:t>2%</w:t>
            </w:r>
          </w:p>
        </w:tc>
        <w:tc>
          <w:tcPr>
            <w:tcW w:w="1122" w:type="dxa"/>
            <w:tcBorders>
              <w:top w:val="single" w:sz="4" w:space="0" w:color="0070C0"/>
              <w:bottom w:val="single" w:sz="4" w:space="0" w:color="0070C0"/>
            </w:tcBorders>
            <w:shd w:val="pct10" w:color="auto" w:fill="auto"/>
          </w:tcPr>
          <w:p w:rsidR="00CA60E2" w:rsidRDefault="00CA60E2" w:rsidP="00B27E9D">
            <w:r w:rsidRPr="004D39FC">
              <w:t>75.9%</w:t>
            </w:r>
          </w:p>
        </w:tc>
      </w:tr>
      <w:tr w:rsidR="0027375E" w:rsidRPr="003D7D78" w:rsidTr="00CA60E2">
        <w:trPr>
          <w:trHeight w:val="276"/>
        </w:trPr>
        <w:tc>
          <w:tcPr>
            <w:tcW w:w="7176" w:type="dxa"/>
            <w:gridSpan w:val="4"/>
            <w:tcBorders>
              <w:top w:val="single" w:sz="4" w:space="0" w:color="0070C0"/>
              <w:bottom w:val="single" w:sz="4" w:space="0" w:color="0070C0"/>
            </w:tcBorders>
            <w:noWrap/>
            <w:hideMark/>
          </w:tcPr>
          <w:p w:rsidR="0027375E" w:rsidRPr="003D7D78" w:rsidRDefault="0027375E" w:rsidP="00764F8B">
            <w:pPr>
              <w:rPr>
                <w:i/>
              </w:rPr>
            </w:pPr>
            <w:r w:rsidRPr="003D7D78">
              <w:rPr>
                <w:i/>
              </w:rPr>
              <w:t xml:space="preserve">Source: Wellington City Council </w:t>
            </w:r>
            <w:r>
              <w:rPr>
                <w:i/>
              </w:rPr>
              <w:t>RMS</w:t>
            </w:r>
          </w:p>
        </w:tc>
        <w:tc>
          <w:tcPr>
            <w:tcW w:w="1317" w:type="dxa"/>
            <w:tcBorders>
              <w:top w:val="single" w:sz="4" w:space="0" w:color="0070C0"/>
              <w:bottom w:val="single" w:sz="4" w:space="0" w:color="0070C0"/>
            </w:tcBorders>
            <w:noWrap/>
            <w:hideMark/>
          </w:tcPr>
          <w:p w:rsidR="0027375E" w:rsidRPr="003D7D78" w:rsidRDefault="0027375E" w:rsidP="00563C30">
            <w:pPr>
              <w:rPr>
                <w:i/>
              </w:rPr>
            </w:pPr>
          </w:p>
        </w:tc>
        <w:tc>
          <w:tcPr>
            <w:tcW w:w="1451" w:type="dxa"/>
            <w:tcBorders>
              <w:top w:val="single" w:sz="4" w:space="0" w:color="0070C0"/>
              <w:bottom w:val="single" w:sz="4" w:space="0" w:color="0070C0"/>
            </w:tcBorders>
            <w:noWrap/>
            <w:hideMark/>
          </w:tcPr>
          <w:p w:rsidR="0027375E" w:rsidRPr="003D7D78" w:rsidRDefault="0027375E" w:rsidP="00563C30">
            <w:pPr>
              <w:rPr>
                <w:i/>
              </w:rPr>
            </w:pPr>
          </w:p>
        </w:tc>
        <w:tc>
          <w:tcPr>
            <w:tcW w:w="889" w:type="dxa"/>
            <w:tcBorders>
              <w:top w:val="single" w:sz="4" w:space="0" w:color="0070C0"/>
              <w:bottom w:val="single" w:sz="4" w:space="0" w:color="0070C0"/>
            </w:tcBorders>
            <w:noWrap/>
            <w:hideMark/>
          </w:tcPr>
          <w:p w:rsidR="0027375E" w:rsidRPr="003D7D78" w:rsidRDefault="0027375E" w:rsidP="00563C30">
            <w:pPr>
              <w:rPr>
                <w:i/>
              </w:rPr>
            </w:pPr>
          </w:p>
        </w:tc>
        <w:tc>
          <w:tcPr>
            <w:tcW w:w="889" w:type="dxa"/>
            <w:tcBorders>
              <w:top w:val="single" w:sz="4" w:space="0" w:color="0070C0"/>
              <w:bottom w:val="single" w:sz="4" w:space="0" w:color="0070C0"/>
            </w:tcBorders>
          </w:tcPr>
          <w:p w:rsidR="0027375E" w:rsidRPr="003D7D78" w:rsidRDefault="0027375E" w:rsidP="00563C30">
            <w:pPr>
              <w:rPr>
                <w:i/>
              </w:rPr>
            </w:pPr>
          </w:p>
        </w:tc>
        <w:tc>
          <w:tcPr>
            <w:tcW w:w="1122" w:type="dxa"/>
            <w:tcBorders>
              <w:top w:val="single" w:sz="4" w:space="0" w:color="0070C0"/>
              <w:bottom w:val="single" w:sz="4" w:space="0" w:color="0070C0"/>
            </w:tcBorders>
          </w:tcPr>
          <w:p w:rsidR="0027375E" w:rsidRPr="003D7D78" w:rsidRDefault="0027375E" w:rsidP="00563C30">
            <w:pPr>
              <w:rPr>
                <w:i/>
              </w:rPr>
            </w:pPr>
          </w:p>
        </w:tc>
      </w:tr>
      <w:tr w:rsidR="0027375E" w:rsidRPr="0068144C" w:rsidTr="00AA3DFC">
        <w:trPr>
          <w:trHeight w:val="559"/>
        </w:trPr>
        <w:tc>
          <w:tcPr>
            <w:tcW w:w="5921" w:type="dxa"/>
            <w:gridSpan w:val="3"/>
            <w:tcBorders>
              <w:top w:val="single" w:sz="4" w:space="0" w:color="0070C0"/>
              <w:bottom w:val="single" w:sz="4" w:space="0" w:color="0070C0"/>
            </w:tcBorders>
            <w:hideMark/>
          </w:tcPr>
          <w:p w:rsidR="0027375E" w:rsidRPr="00D73845" w:rsidRDefault="0027375E" w:rsidP="003D7D78">
            <w:pPr>
              <w:spacing w:before="240"/>
            </w:pPr>
            <w:r w:rsidRPr="0068144C">
              <w:rPr>
                <w:b/>
                <w:bCs/>
                <w:i/>
              </w:rPr>
              <w:t>2018 question -</w:t>
            </w:r>
            <w:r w:rsidRPr="004F77FB">
              <w:rPr>
                <w:bCs/>
                <w:i/>
              </w:rPr>
              <w:t xml:space="preserve"> How safe or unsafe do you feel</w:t>
            </w:r>
            <w:r>
              <w:rPr>
                <w:bCs/>
                <w:i/>
              </w:rPr>
              <w:t xml:space="preserve"> in the following situations?</w:t>
            </w:r>
          </w:p>
        </w:tc>
        <w:tc>
          <w:tcPr>
            <w:tcW w:w="1255" w:type="dxa"/>
            <w:tcBorders>
              <w:top w:val="single" w:sz="4" w:space="0" w:color="0070C0"/>
              <w:bottom w:val="single" w:sz="4" w:space="0" w:color="0070C0"/>
              <w:right w:val="single" w:sz="4" w:space="0" w:color="FFFFFF" w:themeColor="background1"/>
            </w:tcBorders>
            <w:shd w:val="clear" w:color="auto" w:fill="00A1DA"/>
            <w:hideMark/>
          </w:tcPr>
          <w:p w:rsidR="0027375E" w:rsidRPr="003D7D78" w:rsidRDefault="0027375E" w:rsidP="003D7D78">
            <w:pPr>
              <w:spacing w:before="240"/>
              <w:rPr>
                <w:b/>
                <w:bCs/>
                <w:color w:val="FFFFFF" w:themeColor="background1"/>
                <w:szCs w:val="20"/>
              </w:rPr>
            </w:pPr>
            <w:r w:rsidRPr="003D7D78">
              <w:rPr>
                <w:b/>
                <w:bCs/>
                <w:color w:val="FFFFFF" w:themeColor="background1"/>
                <w:szCs w:val="20"/>
              </w:rPr>
              <w:t>Very unsafe</w:t>
            </w:r>
          </w:p>
        </w:tc>
        <w:tc>
          <w:tcPr>
            <w:tcW w:w="1317" w:type="dxa"/>
            <w:tcBorders>
              <w:top w:val="single" w:sz="4" w:space="0" w:color="0070C0"/>
              <w:left w:val="single" w:sz="4" w:space="0" w:color="FFFFFF" w:themeColor="background1"/>
              <w:bottom w:val="single" w:sz="4" w:space="0" w:color="0070C0"/>
              <w:right w:val="single" w:sz="4" w:space="0" w:color="FFFFFF" w:themeColor="background1"/>
            </w:tcBorders>
            <w:shd w:val="clear" w:color="auto" w:fill="00A1DA"/>
            <w:hideMark/>
          </w:tcPr>
          <w:p w:rsidR="0027375E" w:rsidRPr="003D7D78" w:rsidRDefault="0027375E" w:rsidP="003D7D78">
            <w:pPr>
              <w:spacing w:before="240"/>
              <w:rPr>
                <w:b/>
                <w:bCs/>
                <w:color w:val="FFFFFF" w:themeColor="background1"/>
                <w:szCs w:val="20"/>
              </w:rPr>
            </w:pPr>
            <w:r w:rsidRPr="003D7D78">
              <w:rPr>
                <w:b/>
                <w:bCs/>
                <w:color w:val="FFFFFF" w:themeColor="background1"/>
                <w:szCs w:val="20"/>
              </w:rPr>
              <w:t>Somewhat unsafe</w:t>
            </w:r>
          </w:p>
        </w:tc>
        <w:tc>
          <w:tcPr>
            <w:tcW w:w="1451" w:type="dxa"/>
            <w:tcBorders>
              <w:top w:val="single" w:sz="4" w:space="0" w:color="0070C0"/>
              <w:left w:val="single" w:sz="4" w:space="0" w:color="FFFFFF" w:themeColor="background1"/>
              <w:bottom w:val="single" w:sz="4" w:space="0" w:color="0070C0"/>
              <w:right w:val="single" w:sz="4" w:space="0" w:color="FFFFFF" w:themeColor="background1"/>
            </w:tcBorders>
            <w:shd w:val="clear" w:color="auto" w:fill="00A1DA"/>
            <w:hideMark/>
          </w:tcPr>
          <w:p w:rsidR="0027375E" w:rsidRPr="003D7D78" w:rsidRDefault="0027375E" w:rsidP="003D7D78">
            <w:pPr>
              <w:spacing w:before="240"/>
              <w:rPr>
                <w:b/>
                <w:bCs/>
                <w:color w:val="FFFFFF" w:themeColor="background1"/>
                <w:szCs w:val="20"/>
              </w:rPr>
            </w:pPr>
            <w:r w:rsidRPr="003D7D78">
              <w:rPr>
                <w:b/>
                <w:bCs/>
                <w:color w:val="FFFFFF" w:themeColor="background1"/>
                <w:szCs w:val="20"/>
              </w:rPr>
              <w:t>Reasonably safe</w:t>
            </w:r>
          </w:p>
        </w:tc>
        <w:tc>
          <w:tcPr>
            <w:tcW w:w="889" w:type="dxa"/>
            <w:tcBorders>
              <w:top w:val="single" w:sz="4" w:space="0" w:color="0070C0"/>
              <w:left w:val="single" w:sz="4" w:space="0" w:color="FFFFFF" w:themeColor="background1"/>
              <w:bottom w:val="single" w:sz="4" w:space="0" w:color="0070C0"/>
            </w:tcBorders>
            <w:shd w:val="clear" w:color="auto" w:fill="00A1DA"/>
            <w:hideMark/>
          </w:tcPr>
          <w:p w:rsidR="0027375E" w:rsidRPr="003D7D78" w:rsidRDefault="0027375E" w:rsidP="003D7D78">
            <w:pPr>
              <w:spacing w:before="240"/>
              <w:rPr>
                <w:b/>
                <w:bCs/>
                <w:color w:val="FFFFFF" w:themeColor="background1"/>
                <w:szCs w:val="20"/>
              </w:rPr>
            </w:pPr>
            <w:r w:rsidRPr="003D7D78">
              <w:rPr>
                <w:b/>
                <w:bCs/>
                <w:color w:val="FFFFFF" w:themeColor="background1"/>
                <w:szCs w:val="20"/>
              </w:rPr>
              <w:t>Very safe</w:t>
            </w:r>
          </w:p>
        </w:tc>
        <w:tc>
          <w:tcPr>
            <w:tcW w:w="889" w:type="dxa"/>
            <w:tcBorders>
              <w:top w:val="single" w:sz="4" w:space="0" w:color="0070C0"/>
              <w:left w:val="single" w:sz="4" w:space="0" w:color="FFFFFF" w:themeColor="background1"/>
              <w:bottom w:val="single" w:sz="4" w:space="0" w:color="0070C0"/>
            </w:tcBorders>
            <w:shd w:val="clear" w:color="auto" w:fill="00A1DA"/>
          </w:tcPr>
          <w:p w:rsidR="0027375E" w:rsidRPr="003D7D78" w:rsidRDefault="0027375E" w:rsidP="003D7D78">
            <w:pPr>
              <w:spacing w:before="240"/>
              <w:rPr>
                <w:b/>
                <w:bCs/>
                <w:color w:val="FFFFFF" w:themeColor="background1"/>
                <w:szCs w:val="20"/>
              </w:rPr>
            </w:pPr>
          </w:p>
        </w:tc>
        <w:tc>
          <w:tcPr>
            <w:tcW w:w="1122" w:type="dxa"/>
            <w:tcBorders>
              <w:top w:val="single" w:sz="4" w:space="0" w:color="0070C0"/>
              <w:left w:val="single" w:sz="4" w:space="0" w:color="FFFFFF" w:themeColor="background1"/>
              <w:bottom w:val="single" w:sz="4" w:space="0" w:color="0070C0"/>
            </w:tcBorders>
            <w:shd w:val="clear" w:color="auto" w:fill="00A1DA"/>
          </w:tcPr>
          <w:p w:rsidR="0027375E" w:rsidRPr="003D7D78" w:rsidRDefault="00CA60E2" w:rsidP="003D7D78">
            <w:pPr>
              <w:spacing w:before="240"/>
              <w:rPr>
                <w:b/>
                <w:bCs/>
                <w:color w:val="FFFFFF" w:themeColor="background1"/>
                <w:szCs w:val="20"/>
              </w:rPr>
            </w:pPr>
            <w:r>
              <w:rPr>
                <w:b/>
                <w:bCs/>
                <w:color w:val="FFFFFF" w:themeColor="background1"/>
                <w:szCs w:val="20"/>
              </w:rPr>
              <w:t>2019 reported measure</w:t>
            </w:r>
          </w:p>
        </w:tc>
      </w:tr>
      <w:tr w:rsidR="0027375E" w:rsidRPr="00D73845" w:rsidTr="00CA60E2">
        <w:trPr>
          <w:trHeight w:val="276"/>
        </w:trPr>
        <w:tc>
          <w:tcPr>
            <w:tcW w:w="4872" w:type="dxa"/>
            <w:tcBorders>
              <w:top w:val="single" w:sz="4" w:space="0" w:color="0070C0"/>
              <w:bottom w:val="single" w:sz="4" w:space="0" w:color="0070C0"/>
            </w:tcBorders>
            <w:noWrap/>
            <w:hideMark/>
          </w:tcPr>
          <w:p w:rsidR="0027375E" w:rsidRPr="00D73845" w:rsidRDefault="0027375E" w:rsidP="00563C30">
            <w:r w:rsidRPr="00D73845">
              <w:t>In your city centre after dark</w:t>
            </w:r>
          </w:p>
        </w:tc>
        <w:tc>
          <w:tcPr>
            <w:tcW w:w="1049" w:type="dxa"/>
            <w:gridSpan w:val="2"/>
            <w:tcBorders>
              <w:top w:val="single" w:sz="4" w:space="0" w:color="0070C0"/>
              <w:bottom w:val="single" w:sz="4" w:space="0" w:color="0070C0"/>
            </w:tcBorders>
            <w:noWrap/>
            <w:hideMark/>
          </w:tcPr>
          <w:p w:rsidR="0027375E" w:rsidRPr="00D73845" w:rsidRDefault="0027375E" w:rsidP="00563C30">
            <w:r w:rsidRPr="00D73845">
              <w:t xml:space="preserve">2015 n=731 </w:t>
            </w:r>
          </w:p>
        </w:tc>
        <w:tc>
          <w:tcPr>
            <w:tcW w:w="1255" w:type="dxa"/>
            <w:tcBorders>
              <w:top w:val="single" w:sz="4" w:space="0" w:color="0070C0"/>
              <w:bottom w:val="single" w:sz="4" w:space="0" w:color="0070C0"/>
            </w:tcBorders>
            <w:noWrap/>
            <w:hideMark/>
          </w:tcPr>
          <w:p w:rsidR="0027375E" w:rsidRPr="00D73845" w:rsidRDefault="0027375E" w:rsidP="00563C30">
            <w:r w:rsidRPr="00D73845">
              <w:t>2%</w:t>
            </w:r>
          </w:p>
        </w:tc>
        <w:tc>
          <w:tcPr>
            <w:tcW w:w="1317" w:type="dxa"/>
            <w:tcBorders>
              <w:top w:val="single" w:sz="4" w:space="0" w:color="0070C0"/>
              <w:bottom w:val="single" w:sz="4" w:space="0" w:color="0070C0"/>
            </w:tcBorders>
            <w:noWrap/>
            <w:hideMark/>
          </w:tcPr>
          <w:p w:rsidR="0027375E" w:rsidRPr="00D73845" w:rsidRDefault="0027375E" w:rsidP="00563C30">
            <w:r w:rsidRPr="00D73845">
              <w:t>22%</w:t>
            </w:r>
          </w:p>
        </w:tc>
        <w:tc>
          <w:tcPr>
            <w:tcW w:w="1451" w:type="dxa"/>
            <w:tcBorders>
              <w:top w:val="single" w:sz="4" w:space="0" w:color="0070C0"/>
              <w:bottom w:val="single" w:sz="4" w:space="0" w:color="0070C0"/>
            </w:tcBorders>
            <w:noWrap/>
            <w:hideMark/>
          </w:tcPr>
          <w:p w:rsidR="0027375E" w:rsidRPr="00D73845" w:rsidRDefault="0027375E" w:rsidP="00563C30">
            <w:r w:rsidRPr="00D73845">
              <w:t>62%</w:t>
            </w:r>
          </w:p>
        </w:tc>
        <w:tc>
          <w:tcPr>
            <w:tcW w:w="889" w:type="dxa"/>
            <w:tcBorders>
              <w:top w:val="single" w:sz="4" w:space="0" w:color="0070C0"/>
              <w:bottom w:val="single" w:sz="4" w:space="0" w:color="0070C0"/>
            </w:tcBorders>
            <w:noWrap/>
            <w:hideMark/>
          </w:tcPr>
          <w:p w:rsidR="0027375E" w:rsidRPr="00D73845" w:rsidRDefault="0027375E" w:rsidP="00563C30">
            <w:r w:rsidRPr="00D73845">
              <w:t>14%</w:t>
            </w:r>
          </w:p>
        </w:tc>
        <w:tc>
          <w:tcPr>
            <w:tcW w:w="889" w:type="dxa"/>
            <w:tcBorders>
              <w:top w:val="single" w:sz="4" w:space="0" w:color="0070C0"/>
              <w:bottom w:val="single" w:sz="4" w:space="0" w:color="0070C0"/>
            </w:tcBorders>
          </w:tcPr>
          <w:p w:rsidR="0027375E" w:rsidRPr="00D73845" w:rsidRDefault="0027375E" w:rsidP="00563C30"/>
        </w:tc>
        <w:tc>
          <w:tcPr>
            <w:tcW w:w="1122" w:type="dxa"/>
            <w:tcBorders>
              <w:top w:val="single" w:sz="4" w:space="0" w:color="0070C0"/>
              <w:bottom w:val="single" w:sz="4" w:space="0" w:color="0070C0"/>
            </w:tcBorders>
          </w:tcPr>
          <w:p w:rsidR="0027375E" w:rsidRPr="00D73845" w:rsidRDefault="0027375E" w:rsidP="00563C30"/>
        </w:tc>
      </w:tr>
      <w:tr w:rsidR="0027375E" w:rsidRPr="00D73845" w:rsidTr="00CA60E2">
        <w:trPr>
          <w:trHeight w:val="276"/>
        </w:trPr>
        <w:tc>
          <w:tcPr>
            <w:tcW w:w="4872" w:type="dxa"/>
            <w:tcBorders>
              <w:top w:val="single" w:sz="4" w:space="0" w:color="0070C0"/>
              <w:bottom w:val="single" w:sz="4" w:space="0" w:color="0070C0"/>
            </w:tcBorders>
            <w:noWrap/>
            <w:hideMark/>
          </w:tcPr>
          <w:p w:rsidR="0027375E" w:rsidRPr="00D73845" w:rsidRDefault="0027375E" w:rsidP="00563C30"/>
        </w:tc>
        <w:tc>
          <w:tcPr>
            <w:tcW w:w="1049" w:type="dxa"/>
            <w:gridSpan w:val="2"/>
            <w:tcBorders>
              <w:top w:val="single" w:sz="4" w:space="0" w:color="0070C0"/>
              <w:bottom w:val="single" w:sz="4" w:space="0" w:color="0070C0"/>
            </w:tcBorders>
            <w:noWrap/>
            <w:hideMark/>
          </w:tcPr>
          <w:p w:rsidR="0027375E" w:rsidRPr="00D73845" w:rsidRDefault="0027375E" w:rsidP="00563C30">
            <w:r w:rsidRPr="00D73845">
              <w:t xml:space="preserve">2016 n=966 </w:t>
            </w:r>
          </w:p>
        </w:tc>
        <w:tc>
          <w:tcPr>
            <w:tcW w:w="1255" w:type="dxa"/>
            <w:tcBorders>
              <w:top w:val="single" w:sz="4" w:space="0" w:color="0070C0"/>
              <w:bottom w:val="single" w:sz="4" w:space="0" w:color="0070C0"/>
            </w:tcBorders>
            <w:noWrap/>
            <w:hideMark/>
          </w:tcPr>
          <w:p w:rsidR="0027375E" w:rsidRPr="00D73845" w:rsidRDefault="0027375E" w:rsidP="00563C30">
            <w:r w:rsidRPr="00D73845">
              <w:t>5%</w:t>
            </w:r>
          </w:p>
        </w:tc>
        <w:tc>
          <w:tcPr>
            <w:tcW w:w="1317" w:type="dxa"/>
            <w:tcBorders>
              <w:top w:val="single" w:sz="4" w:space="0" w:color="0070C0"/>
              <w:bottom w:val="single" w:sz="4" w:space="0" w:color="0070C0"/>
            </w:tcBorders>
            <w:noWrap/>
            <w:hideMark/>
          </w:tcPr>
          <w:p w:rsidR="0027375E" w:rsidRPr="00D73845" w:rsidRDefault="0027375E" w:rsidP="00563C30">
            <w:r w:rsidRPr="00D73845">
              <w:t>22%</w:t>
            </w:r>
          </w:p>
        </w:tc>
        <w:tc>
          <w:tcPr>
            <w:tcW w:w="1451" w:type="dxa"/>
            <w:tcBorders>
              <w:top w:val="single" w:sz="4" w:space="0" w:color="0070C0"/>
              <w:bottom w:val="single" w:sz="4" w:space="0" w:color="0070C0"/>
            </w:tcBorders>
            <w:noWrap/>
            <w:hideMark/>
          </w:tcPr>
          <w:p w:rsidR="0027375E" w:rsidRPr="00D73845" w:rsidRDefault="0027375E" w:rsidP="00563C30">
            <w:r w:rsidRPr="00D73845">
              <w:t>60%</w:t>
            </w:r>
          </w:p>
        </w:tc>
        <w:tc>
          <w:tcPr>
            <w:tcW w:w="889" w:type="dxa"/>
            <w:tcBorders>
              <w:top w:val="single" w:sz="4" w:space="0" w:color="0070C0"/>
              <w:bottom w:val="single" w:sz="4" w:space="0" w:color="0070C0"/>
            </w:tcBorders>
            <w:noWrap/>
            <w:hideMark/>
          </w:tcPr>
          <w:p w:rsidR="0027375E" w:rsidRPr="00D73845" w:rsidRDefault="0027375E" w:rsidP="00563C30">
            <w:r w:rsidRPr="00D73845">
              <w:t>14%</w:t>
            </w:r>
          </w:p>
        </w:tc>
        <w:tc>
          <w:tcPr>
            <w:tcW w:w="889" w:type="dxa"/>
            <w:tcBorders>
              <w:top w:val="single" w:sz="4" w:space="0" w:color="0070C0"/>
              <w:bottom w:val="single" w:sz="4" w:space="0" w:color="0070C0"/>
            </w:tcBorders>
          </w:tcPr>
          <w:p w:rsidR="0027375E" w:rsidRPr="00D73845" w:rsidRDefault="0027375E" w:rsidP="00563C30"/>
        </w:tc>
        <w:tc>
          <w:tcPr>
            <w:tcW w:w="1122" w:type="dxa"/>
            <w:tcBorders>
              <w:top w:val="single" w:sz="4" w:space="0" w:color="0070C0"/>
              <w:bottom w:val="single" w:sz="4" w:space="0" w:color="0070C0"/>
            </w:tcBorders>
          </w:tcPr>
          <w:p w:rsidR="0027375E" w:rsidRPr="00D73845" w:rsidRDefault="0027375E" w:rsidP="00563C30"/>
        </w:tc>
      </w:tr>
      <w:tr w:rsidR="00CA60E2" w:rsidRPr="00D73845" w:rsidTr="00CA60E2">
        <w:trPr>
          <w:trHeight w:val="276"/>
        </w:trPr>
        <w:tc>
          <w:tcPr>
            <w:tcW w:w="4872" w:type="dxa"/>
            <w:tcBorders>
              <w:top w:val="single" w:sz="4" w:space="0" w:color="0070C0"/>
              <w:bottom w:val="single" w:sz="4" w:space="0" w:color="0070C0"/>
            </w:tcBorders>
            <w:noWrap/>
            <w:hideMark/>
          </w:tcPr>
          <w:p w:rsidR="00CA60E2" w:rsidRPr="00D73845" w:rsidRDefault="00CA60E2" w:rsidP="00563C30"/>
        </w:tc>
        <w:tc>
          <w:tcPr>
            <w:tcW w:w="1049" w:type="dxa"/>
            <w:gridSpan w:val="2"/>
            <w:tcBorders>
              <w:top w:val="single" w:sz="4" w:space="0" w:color="0070C0"/>
              <w:bottom w:val="single" w:sz="4" w:space="0" w:color="0070C0"/>
            </w:tcBorders>
            <w:noWrap/>
            <w:hideMark/>
          </w:tcPr>
          <w:p w:rsidR="00CA60E2" w:rsidRPr="00D73845" w:rsidRDefault="00CA60E2" w:rsidP="00563C30">
            <w:r w:rsidRPr="00D73845">
              <w:t xml:space="preserve">2017 n=733 </w:t>
            </w:r>
          </w:p>
        </w:tc>
        <w:tc>
          <w:tcPr>
            <w:tcW w:w="1255" w:type="dxa"/>
            <w:tcBorders>
              <w:top w:val="single" w:sz="4" w:space="0" w:color="0070C0"/>
              <w:bottom w:val="single" w:sz="4" w:space="0" w:color="0070C0"/>
            </w:tcBorders>
            <w:noWrap/>
            <w:hideMark/>
          </w:tcPr>
          <w:p w:rsidR="00CA60E2" w:rsidRPr="00D73845" w:rsidRDefault="00CA60E2" w:rsidP="00563C30">
            <w:r w:rsidRPr="00D73845">
              <w:t>2%</w:t>
            </w:r>
          </w:p>
        </w:tc>
        <w:tc>
          <w:tcPr>
            <w:tcW w:w="1317" w:type="dxa"/>
            <w:tcBorders>
              <w:top w:val="single" w:sz="4" w:space="0" w:color="0070C0"/>
              <w:bottom w:val="single" w:sz="4" w:space="0" w:color="0070C0"/>
            </w:tcBorders>
            <w:noWrap/>
            <w:hideMark/>
          </w:tcPr>
          <w:p w:rsidR="00CA60E2" w:rsidRPr="00D73845" w:rsidRDefault="00CA60E2" w:rsidP="00563C30">
            <w:r w:rsidRPr="00D73845">
              <w:t>17%</w:t>
            </w:r>
          </w:p>
        </w:tc>
        <w:tc>
          <w:tcPr>
            <w:tcW w:w="1451" w:type="dxa"/>
            <w:tcBorders>
              <w:top w:val="single" w:sz="4" w:space="0" w:color="0070C0"/>
              <w:bottom w:val="single" w:sz="4" w:space="0" w:color="0070C0"/>
            </w:tcBorders>
            <w:noWrap/>
            <w:hideMark/>
          </w:tcPr>
          <w:p w:rsidR="00CA60E2" w:rsidRPr="00D73845" w:rsidRDefault="00CA60E2" w:rsidP="00563C30">
            <w:r w:rsidRPr="00D73845">
              <w:t>61%</w:t>
            </w:r>
          </w:p>
        </w:tc>
        <w:tc>
          <w:tcPr>
            <w:tcW w:w="889" w:type="dxa"/>
            <w:tcBorders>
              <w:top w:val="single" w:sz="4" w:space="0" w:color="0070C0"/>
              <w:bottom w:val="single" w:sz="4" w:space="0" w:color="0070C0"/>
            </w:tcBorders>
            <w:noWrap/>
            <w:hideMark/>
          </w:tcPr>
          <w:p w:rsidR="00CA60E2" w:rsidRPr="00D73845" w:rsidRDefault="00CA60E2" w:rsidP="00563C30">
            <w:r w:rsidRPr="00D73845">
              <w:t>20%</w:t>
            </w:r>
          </w:p>
        </w:tc>
        <w:tc>
          <w:tcPr>
            <w:tcW w:w="889" w:type="dxa"/>
            <w:tcBorders>
              <w:top w:val="single" w:sz="4" w:space="0" w:color="0070C0"/>
              <w:bottom w:val="single" w:sz="4" w:space="0" w:color="0070C0"/>
            </w:tcBorders>
          </w:tcPr>
          <w:p w:rsidR="00CA60E2" w:rsidRPr="00D73845" w:rsidRDefault="00CA60E2" w:rsidP="00563C30"/>
        </w:tc>
        <w:tc>
          <w:tcPr>
            <w:tcW w:w="1122" w:type="dxa"/>
            <w:tcBorders>
              <w:top w:val="single" w:sz="4" w:space="0" w:color="0070C0"/>
              <w:bottom w:val="single" w:sz="4" w:space="0" w:color="0070C0"/>
            </w:tcBorders>
            <w:shd w:val="pct10" w:color="auto" w:fill="auto"/>
          </w:tcPr>
          <w:p w:rsidR="00CA60E2" w:rsidRPr="00360C91" w:rsidRDefault="00CA60E2" w:rsidP="00B27E9D">
            <w:r w:rsidRPr="00360C91">
              <w:t>81.0%</w:t>
            </w:r>
          </w:p>
        </w:tc>
      </w:tr>
      <w:tr w:rsidR="00CA60E2" w:rsidRPr="00D73845" w:rsidTr="00CA60E2">
        <w:trPr>
          <w:trHeight w:val="276"/>
        </w:trPr>
        <w:tc>
          <w:tcPr>
            <w:tcW w:w="4872" w:type="dxa"/>
            <w:tcBorders>
              <w:top w:val="single" w:sz="4" w:space="0" w:color="0070C0"/>
              <w:bottom w:val="single" w:sz="4" w:space="0" w:color="0070C0"/>
            </w:tcBorders>
            <w:noWrap/>
            <w:hideMark/>
          </w:tcPr>
          <w:p w:rsidR="00CA60E2" w:rsidRPr="00D73845" w:rsidRDefault="00CA60E2" w:rsidP="00563C30"/>
        </w:tc>
        <w:tc>
          <w:tcPr>
            <w:tcW w:w="1049" w:type="dxa"/>
            <w:gridSpan w:val="2"/>
            <w:tcBorders>
              <w:top w:val="single" w:sz="4" w:space="0" w:color="0070C0"/>
              <w:bottom w:val="single" w:sz="4" w:space="0" w:color="0070C0"/>
            </w:tcBorders>
            <w:noWrap/>
            <w:hideMark/>
          </w:tcPr>
          <w:p w:rsidR="00CA60E2" w:rsidRPr="00D73845" w:rsidRDefault="00CA60E2" w:rsidP="00563C30">
            <w:r w:rsidRPr="00D73845">
              <w:t>2018 n=964</w:t>
            </w:r>
          </w:p>
        </w:tc>
        <w:tc>
          <w:tcPr>
            <w:tcW w:w="1255" w:type="dxa"/>
            <w:tcBorders>
              <w:top w:val="single" w:sz="4" w:space="0" w:color="0070C0"/>
              <w:bottom w:val="single" w:sz="4" w:space="0" w:color="0070C0"/>
            </w:tcBorders>
            <w:noWrap/>
            <w:hideMark/>
          </w:tcPr>
          <w:p w:rsidR="00CA60E2" w:rsidRPr="00D73845" w:rsidRDefault="00CA60E2" w:rsidP="00563C30">
            <w:r w:rsidRPr="00D73845">
              <w:t>3%</w:t>
            </w:r>
          </w:p>
        </w:tc>
        <w:tc>
          <w:tcPr>
            <w:tcW w:w="1317" w:type="dxa"/>
            <w:tcBorders>
              <w:top w:val="single" w:sz="4" w:space="0" w:color="0070C0"/>
              <w:bottom w:val="single" w:sz="4" w:space="0" w:color="0070C0"/>
            </w:tcBorders>
            <w:noWrap/>
            <w:hideMark/>
          </w:tcPr>
          <w:p w:rsidR="00CA60E2" w:rsidRPr="00D73845" w:rsidRDefault="00CA60E2" w:rsidP="00563C30">
            <w:r w:rsidRPr="00D73845">
              <w:t>21%</w:t>
            </w:r>
          </w:p>
        </w:tc>
        <w:tc>
          <w:tcPr>
            <w:tcW w:w="1451" w:type="dxa"/>
            <w:tcBorders>
              <w:top w:val="single" w:sz="4" w:space="0" w:color="0070C0"/>
              <w:bottom w:val="single" w:sz="4" w:space="0" w:color="0070C0"/>
            </w:tcBorders>
            <w:noWrap/>
            <w:hideMark/>
          </w:tcPr>
          <w:p w:rsidR="00CA60E2" w:rsidRPr="00D73845" w:rsidRDefault="00CA60E2" w:rsidP="00563C30">
            <w:r w:rsidRPr="00D73845">
              <w:t>59%</w:t>
            </w:r>
          </w:p>
        </w:tc>
        <w:tc>
          <w:tcPr>
            <w:tcW w:w="889" w:type="dxa"/>
            <w:tcBorders>
              <w:top w:val="single" w:sz="4" w:space="0" w:color="0070C0"/>
              <w:bottom w:val="single" w:sz="4" w:space="0" w:color="0070C0"/>
            </w:tcBorders>
            <w:noWrap/>
            <w:hideMark/>
          </w:tcPr>
          <w:p w:rsidR="00CA60E2" w:rsidRPr="00D73845" w:rsidRDefault="00CA60E2" w:rsidP="00563C30">
            <w:r w:rsidRPr="00D73845">
              <w:t>17%</w:t>
            </w:r>
          </w:p>
        </w:tc>
        <w:tc>
          <w:tcPr>
            <w:tcW w:w="889" w:type="dxa"/>
            <w:tcBorders>
              <w:top w:val="single" w:sz="4" w:space="0" w:color="0070C0"/>
              <w:bottom w:val="single" w:sz="4" w:space="0" w:color="0070C0"/>
            </w:tcBorders>
          </w:tcPr>
          <w:p w:rsidR="00CA60E2" w:rsidRPr="00D73845" w:rsidRDefault="00CA60E2" w:rsidP="00563C30"/>
        </w:tc>
        <w:tc>
          <w:tcPr>
            <w:tcW w:w="1122" w:type="dxa"/>
            <w:tcBorders>
              <w:top w:val="single" w:sz="4" w:space="0" w:color="0070C0"/>
              <w:bottom w:val="single" w:sz="4" w:space="0" w:color="0070C0"/>
            </w:tcBorders>
            <w:shd w:val="pct10" w:color="auto" w:fill="auto"/>
          </w:tcPr>
          <w:p w:rsidR="00CA60E2" w:rsidRDefault="00CA60E2" w:rsidP="00B27E9D">
            <w:r w:rsidRPr="00360C91">
              <w:t>75.8%</w:t>
            </w:r>
          </w:p>
        </w:tc>
      </w:tr>
    </w:tbl>
    <w:p w:rsidR="003D7D78" w:rsidRDefault="003D7D78" w:rsidP="003D7D78">
      <w:pPr>
        <w:rPr>
          <w:rFonts w:ascii="Arial" w:hAnsi="Arial" w:cs="Arial"/>
        </w:rPr>
      </w:pPr>
    </w:p>
    <w:p w:rsidR="003D7D78" w:rsidRDefault="003D7D78" w:rsidP="003D7D78">
      <w:r>
        <w:br w:type="page"/>
      </w:r>
    </w:p>
    <w:p w:rsidR="0027375E" w:rsidRDefault="0027375E" w:rsidP="002C7BF8">
      <w:pPr>
        <w:pStyle w:val="ListParagraph"/>
        <w:numPr>
          <w:ilvl w:val="0"/>
          <w:numId w:val="64"/>
        </w:numPr>
        <w:rPr>
          <w:rFonts w:ascii="Arial" w:hAnsi="Arial" w:cs="Arial"/>
          <w:b/>
        </w:rPr>
        <w:sectPr w:rsidR="0027375E" w:rsidSect="0027375E">
          <w:type w:val="continuous"/>
          <w:pgSz w:w="16838" w:h="11906" w:orient="landscape"/>
          <w:pgMar w:top="851" w:right="1670" w:bottom="709" w:left="1440" w:header="567" w:footer="270" w:gutter="0"/>
          <w:cols w:space="708"/>
          <w:docGrid w:linePitch="360"/>
        </w:sectPr>
      </w:pPr>
    </w:p>
    <w:p w:rsidR="00014F43" w:rsidRDefault="00E11773" w:rsidP="002C7BF8">
      <w:pPr>
        <w:pStyle w:val="ListParagraph"/>
        <w:numPr>
          <w:ilvl w:val="0"/>
          <w:numId w:val="64"/>
        </w:numPr>
        <w:rPr>
          <w:rFonts w:ascii="Arial" w:hAnsi="Arial" w:cs="Arial"/>
        </w:rPr>
      </w:pPr>
      <w:r w:rsidRPr="00E11773">
        <w:rPr>
          <w:rFonts w:ascii="Arial" w:hAnsi="Arial" w:cs="Arial"/>
          <w:b/>
        </w:rPr>
        <w:lastRenderedPageBreak/>
        <w:t xml:space="preserve">Seismic resilience index (new indicator combining measures of household readiness, community connectedness, residential housing stock, commercial building stock). </w:t>
      </w:r>
      <w:r w:rsidRPr="00E11773">
        <w:rPr>
          <w:rFonts w:ascii="Arial" w:hAnsi="Arial" w:cs="Arial"/>
        </w:rPr>
        <w:t>This is the first year these measures have been gathered.</w:t>
      </w:r>
    </w:p>
    <w:p w:rsidR="0038320D" w:rsidRPr="0038320D" w:rsidRDefault="0038320D" w:rsidP="0038320D">
      <w:pPr>
        <w:rPr>
          <w:rFonts w:ascii="Arial" w:hAnsi="Arial" w:cs="Arial"/>
        </w:rPr>
      </w:pPr>
      <w:r w:rsidRPr="0038320D">
        <w:rPr>
          <w:rFonts w:ascii="Arial" w:hAnsi="Arial" w:cs="Arial"/>
        </w:rPr>
        <w:t>There are 10 indicators selected to give an overall perspective on our progress against resilience improvements for our residents and our city. This is the first year a number of these indicators have been collected. Indicator results are used to monitor our city over time and provide information on trends that may influence our performance, including those outside our control. Over the years to come, we will continue to monitor these indicators to see resilience improvements for our city.</w:t>
      </w:r>
    </w:p>
    <w:tbl>
      <w:tblPr>
        <w:tblStyle w:val="TableGrid"/>
        <w:tblpPr w:leftFromText="180" w:rightFromText="180" w:vertAnchor="text" w:tblpY="1"/>
        <w:tblOverlap w:val="never"/>
        <w:tblW w:w="0" w:type="auto"/>
        <w:tbl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insideH w:val="single" w:sz="4" w:space="0" w:color="31849B" w:themeColor="accent5" w:themeShade="BF"/>
          <w:insideV w:val="single" w:sz="4" w:space="0" w:color="31849B" w:themeColor="accent5" w:themeShade="BF"/>
        </w:tblBorders>
        <w:tblLook w:val="04A0" w:firstRow="1" w:lastRow="0" w:firstColumn="1" w:lastColumn="0" w:noHBand="0" w:noVBand="1"/>
      </w:tblPr>
      <w:tblGrid>
        <w:gridCol w:w="675"/>
        <w:gridCol w:w="13269"/>
      </w:tblGrid>
      <w:tr w:rsidR="0038320D" w:rsidRPr="00D73845" w:rsidTr="00E21C63">
        <w:trPr>
          <w:trHeight w:val="276"/>
        </w:trPr>
        <w:tc>
          <w:tcPr>
            <w:tcW w:w="675" w:type="dxa"/>
            <w:tcBorders>
              <w:top w:val="single" w:sz="4" w:space="0" w:color="0070C0"/>
              <w:bottom w:val="single" w:sz="4" w:space="0" w:color="0070C0"/>
            </w:tcBorders>
            <w:shd w:val="clear" w:color="auto" w:fill="00A1DA"/>
          </w:tcPr>
          <w:p w:rsidR="0038320D" w:rsidRPr="00E21C63" w:rsidRDefault="0038320D" w:rsidP="00730F8D">
            <w:pPr>
              <w:rPr>
                <w:b/>
                <w:color w:val="FFFFFF" w:themeColor="background1"/>
              </w:rPr>
            </w:pPr>
            <w:r w:rsidRPr="00E21C63">
              <w:rPr>
                <w:b/>
                <w:color w:val="FFFFFF" w:themeColor="background1"/>
              </w:rPr>
              <w:t>1</w:t>
            </w:r>
          </w:p>
        </w:tc>
        <w:tc>
          <w:tcPr>
            <w:tcW w:w="13269" w:type="dxa"/>
            <w:tcBorders>
              <w:top w:val="single" w:sz="4" w:space="0" w:color="0070C0"/>
              <w:bottom w:val="single" w:sz="4" w:space="0" w:color="0070C0"/>
            </w:tcBorders>
            <w:noWrap/>
            <w:hideMark/>
          </w:tcPr>
          <w:p w:rsidR="0038320D" w:rsidRPr="00D73845" w:rsidRDefault="0038320D" w:rsidP="00730F8D">
            <w:r w:rsidRPr="009317AA">
              <w:t>Proportion of residents who feel they could rely on their neighbours for support following a natural disaster or other significant event</w:t>
            </w:r>
            <w:r>
              <w:t xml:space="preserve">: </w:t>
            </w:r>
            <w:r w:rsidRPr="00D73845">
              <w:t>69.6%</w:t>
            </w:r>
          </w:p>
        </w:tc>
      </w:tr>
      <w:tr w:rsidR="0038320D" w:rsidRPr="00D73845" w:rsidTr="00E21C63">
        <w:trPr>
          <w:trHeight w:val="276"/>
        </w:trPr>
        <w:tc>
          <w:tcPr>
            <w:tcW w:w="675" w:type="dxa"/>
            <w:tcBorders>
              <w:top w:val="single" w:sz="4" w:space="0" w:color="0070C0"/>
              <w:bottom w:val="single" w:sz="4" w:space="0" w:color="0070C0"/>
            </w:tcBorders>
            <w:shd w:val="clear" w:color="auto" w:fill="00A1DA"/>
          </w:tcPr>
          <w:p w:rsidR="0038320D" w:rsidRPr="00E21C63" w:rsidRDefault="0038320D" w:rsidP="00730F8D">
            <w:pPr>
              <w:rPr>
                <w:b/>
                <w:color w:val="FFFFFF" w:themeColor="background1"/>
              </w:rPr>
            </w:pPr>
            <w:r w:rsidRPr="00E21C63">
              <w:rPr>
                <w:b/>
                <w:color w:val="FFFFFF" w:themeColor="background1"/>
              </w:rPr>
              <w:t>2</w:t>
            </w:r>
          </w:p>
        </w:tc>
        <w:tc>
          <w:tcPr>
            <w:tcW w:w="13269" w:type="dxa"/>
            <w:tcBorders>
              <w:top w:val="single" w:sz="4" w:space="0" w:color="0070C0"/>
              <w:bottom w:val="single" w:sz="4" w:space="0" w:color="0070C0"/>
            </w:tcBorders>
            <w:noWrap/>
            <w:hideMark/>
          </w:tcPr>
          <w:p w:rsidR="0038320D" w:rsidRPr="00D73845" w:rsidRDefault="0038320D" w:rsidP="00730F8D">
            <w:r>
              <w:t xml:space="preserve">Social capital - </w:t>
            </w:r>
            <w:r w:rsidRPr="00421DE2">
              <w:t>residents’ response to “I have strong social or community networks that I can draw on in Wellington”</w:t>
            </w:r>
            <w:r>
              <w:t xml:space="preserve">: </w:t>
            </w:r>
            <w:r w:rsidRPr="00D73845">
              <w:t>63.6%</w:t>
            </w:r>
          </w:p>
        </w:tc>
      </w:tr>
      <w:tr w:rsidR="0038320D" w:rsidRPr="00D73845" w:rsidTr="00E21C63">
        <w:trPr>
          <w:trHeight w:val="276"/>
        </w:trPr>
        <w:tc>
          <w:tcPr>
            <w:tcW w:w="675" w:type="dxa"/>
            <w:tcBorders>
              <w:top w:val="single" w:sz="4" w:space="0" w:color="0070C0"/>
              <w:bottom w:val="single" w:sz="4" w:space="0" w:color="0070C0"/>
            </w:tcBorders>
            <w:shd w:val="clear" w:color="auto" w:fill="00A1DA"/>
          </w:tcPr>
          <w:p w:rsidR="0038320D" w:rsidRPr="00E21C63" w:rsidRDefault="0038320D" w:rsidP="00730F8D">
            <w:pPr>
              <w:rPr>
                <w:b/>
                <w:color w:val="FFFFFF" w:themeColor="background1"/>
              </w:rPr>
            </w:pPr>
            <w:r w:rsidRPr="00E21C63">
              <w:rPr>
                <w:b/>
                <w:color w:val="FFFFFF" w:themeColor="background1"/>
              </w:rPr>
              <w:t>3</w:t>
            </w:r>
          </w:p>
        </w:tc>
        <w:tc>
          <w:tcPr>
            <w:tcW w:w="13269" w:type="dxa"/>
            <w:tcBorders>
              <w:top w:val="single" w:sz="4" w:space="0" w:color="0070C0"/>
              <w:bottom w:val="single" w:sz="4" w:space="0" w:color="0070C0"/>
            </w:tcBorders>
            <w:noWrap/>
            <w:hideMark/>
          </w:tcPr>
          <w:p w:rsidR="0038320D" w:rsidRDefault="0038320D" w:rsidP="00730F8D">
            <w:r w:rsidRPr="00421DE2">
              <w:t>Residents with access to emergency items at home and workplace/place of education/other daily destination</w:t>
            </w:r>
            <w:r>
              <w:t>:</w:t>
            </w:r>
            <w:r w:rsidRPr="00421DE2">
              <w:t xml:space="preserve"> </w:t>
            </w:r>
          </w:p>
          <w:p w:rsidR="0038320D" w:rsidRDefault="0038320D" w:rsidP="002C7BF8">
            <w:pPr>
              <w:pStyle w:val="ListParagraph"/>
              <w:numPr>
                <w:ilvl w:val="0"/>
                <w:numId w:val="68"/>
              </w:numPr>
            </w:pPr>
            <w:r>
              <w:t xml:space="preserve">At home: </w:t>
            </w:r>
            <w:r w:rsidRPr="00D73845">
              <w:t>83.6%</w:t>
            </w:r>
          </w:p>
          <w:p w:rsidR="0038320D" w:rsidRDefault="0038320D" w:rsidP="002C7BF8">
            <w:pPr>
              <w:pStyle w:val="ListParagraph"/>
              <w:numPr>
                <w:ilvl w:val="0"/>
                <w:numId w:val="65"/>
              </w:numPr>
            </w:pPr>
            <w:r>
              <w:t>At work: 77.3%</w:t>
            </w:r>
          </w:p>
          <w:p w:rsidR="0038320D" w:rsidRDefault="0038320D" w:rsidP="002C7BF8">
            <w:pPr>
              <w:pStyle w:val="ListParagraph"/>
              <w:numPr>
                <w:ilvl w:val="0"/>
                <w:numId w:val="65"/>
              </w:numPr>
            </w:pPr>
            <w:r>
              <w:t>At place of education: 45.6%</w:t>
            </w:r>
          </w:p>
          <w:p w:rsidR="0038320D" w:rsidRDefault="0038320D" w:rsidP="002C7BF8">
            <w:pPr>
              <w:pStyle w:val="ListParagraph"/>
              <w:numPr>
                <w:ilvl w:val="0"/>
                <w:numId w:val="65"/>
              </w:numPr>
            </w:pPr>
            <w:r w:rsidRPr="00D73845">
              <w:t>In motor</w:t>
            </w:r>
            <w:r>
              <w:t xml:space="preserve"> vehicle: 33.2%</w:t>
            </w:r>
          </w:p>
          <w:p w:rsidR="0038320D" w:rsidRPr="00D73845" w:rsidRDefault="0038320D" w:rsidP="002C7BF8">
            <w:pPr>
              <w:pStyle w:val="ListParagraph"/>
              <w:numPr>
                <w:ilvl w:val="0"/>
                <w:numId w:val="65"/>
              </w:numPr>
            </w:pPr>
            <w:r>
              <w:t>Other daily destination: 10.1%</w:t>
            </w:r>
          </w:p>
        </w:tc>
      </w:tr>
      <w:tr w:rsidR="0038320D" w:rsidRPr="00D73845" w:rsidTr="00E21C63">
        <w:trPr>
          <w:trHeight w:val="276"/>
        </w:trPr>
        <w:tc>
          <w:tcPr>
            <w:tcW w:w="675" w:type="dxa"/>
            <w:tcBorders>
              <w:top w:val="single" w:sz="4" w:space="0" w:color="0070C0"/>
              <w:bottom w:val="single" w:sz="4" w:space="0" w:color="0070C0"/>
            </w:tcBorders>
            <w:shd w:val="clear" w:color="auto" w:fill="00A1DA"/>
          </w:tcPr>
          <w:p w:rsidR="0038320D" w:rsidRPr="00E21C63" w:rsidRDefault="0038320D" w:rsidP="00730F8D">
            <w:pPr>
              <w:rPr>
                <w:b/>
                <w:color w:val="FFFFFF" w:themeColor="background1"/>
              </w:rPr>
            </w:pPr>
            <w:r w:rsidRPr="00E21C63">
              <w:rPr>
                <w:b/>
                <w:color w:val="FFFFFF" w:themeColor="background1"/>
              </w:rPr>
              <w:t>4</w:t>
            </w:r>
          </w:p>
        </w:tc>
        <w:tc>
          <w:tcPr>
            <w:tcW w:w="13269" w:type="dxa"/>
            <w:tcBorders>
              <w:top w:val="single" w:sz="4" w:space="0" w:color="0070C0"/>
              <w:bottom w:val="single" w:sz="4" w:space="0" w:color="0070C0"/>
            </w:tcBorders>
            <w:noWrap/>
            <w:hideMark/>
          </w:tcPr>
          <w:p w:rsidR="0038320D" w:rsidRDefault="0038320D" w:rsidP="00730F8D">
            <w:r w:rsidRPr="004F77FB">
              <w:t>Proportion of residents who feel safe in the event of a moderate earthquake at home, at workplace/place of education/other daily destination</w:t>
            </w:r>
            <w:r>
              <w:t xml:space="preserve">: </w:t>
            </w:r>
          </w:p>
          <w:p w:rsidR="0038320D" w:rsidRDefault="0038320D" w:rsidP="002C7BF8">
            <w:pPr>
              <w:pStyle w:val="ListParagraph"/>
              <w:numPr>
                <w:ilvl w:val="0"/>
                <w:numId w:val="66"/>
              </w:numPr>
            </w:pPr>
            <w:r>
              <w:t>Home: 85.3%</w:t>
            </w:r>
          </w:p>
          <w:p w:rsidR="0038320D" w:rsidRDefault="0038320D" w:rsidP="002C7BF8">
            <w:pPr>
              <w:pStyle w:val="ListParagraph"/>
              <w:numPr>
                <w:ilvl w:val="0"/>
                <w:numId w:val="66"/>
              </w:numPr>
            </w:pPr>
            <w:r>
              <w:t xml:space="preserve">Work: </w:t>
            </w:r>
            <w:r w:rsidRPr="00D73845">
              <w:t>68.5</w:t>
            </w:r>
            <w:r>
              <w:t>%</w:t>
            </w:r>
          </w:p>
          <w:p w:rsidR="0038320D" w:rsidRPr="00D73845" w:rsidRDefault="0038320D" w:rsidP="002C7BF8">
            <w:pPr>
              <w:pStyle w:val="ListParagraph"/>
              <w:numPr>
                <w:ilvl w:val="0"/>
                <w:numId w:val="66"/>
              </w:numPr>
            </w:pPr>
            <w:r>
              <w:t>Place of education: 76.3%</w:t>
            </w:r>
          </w:p>
        </w:tc>
      </w:tr>
      <w:tr w:rsidR="0038320D" w:rsidRPr="00D73845" w:rsidTr="00E21C63">
        <w:trPr>
          <w:trHeight w:val="276"/>
        </w:trPr>
        <w:tc>
          <w:tcPr>
            <w:tcW w:w="675" w:type="dxa"/>
            <w:tcBorders>
              <w:top w:val="single" w:sz="4" w:space="0" w:color="0070C0"/>
              <w:bottom w:val="single" w:sz="4" w:space="0" w:color="0070C0"/>
            </w:tcBorders>
            <w:shd w:val="clear" w:color="auto" w:fill="00A1DA"/>
          </w:tcPr>
          <w:p w:rsidR="0038320D" w:rsidRPr="00E21C63" w:rsidRDefault="0038320D" w:rsidP="00730F8D">
            <w:pPr>
              <w:rPr>
                <w:b/>
                <w:color w:val="FFFFFF" w:themeColor="background1"/>
              </w:rPr>
            </w:pPr>
            <w:r w:rsidRPr="00E21C63">
              <w:rPr>
                <w:b/>
                <w:color w:val="FFFFFF" w:themeColor="background1"/>
              </w:rPr>
              <w:t>5</w:t>
            </w:r>
          </w:p>
        </w:tc>
        <w:tc>
          <w:tcPr>
            <w:tcW w:w="13269" w:type="dxa"/>
            <w:tcBorders>
              <w:top w:val="single" w:sz="4" w:space="0" w:color="0070C0"/>
              <w:bottom w:val="single" w:sz="4" w:space="0" w:color="0070C0"/>
            </w:tcBorders>
            <w:noWrap/>
            <w:hideMark/>
          </w:tcPr>
          <w:p w:rsidR="0038320D" w:rsidRPr="00D73845" w:rsidRDefault="0038320D" w:rsidP="00730F8D">
            <w:r w:rsidRPr="004F77FB">
              <w:t xml:space="preserve">Proportion of residents who have checked their dwelling to improve its seismic resilience in the past year </w:t>
            </w:r>
            <w:r>
              <w:t>- % c</w:t>
            </w:r>
            <w:r w:rsidRPr="00D73845">
              <w:t>hecked</w:t>
            </w:r>
            <w:r>
              <w:t>: 26.7%</w:t>
            </w:r>
          </w:p>
        </w:tc>
      </w:tr>
      <w:tr w:rsidR="0038320D" w:rsidRPr="00D73845" w:rsidTr="00E21C63">
        <w:trPr>
          <w:trHeight w:val="276"/>
        </w:trPr>
        <w:tc>
          <w:tcPr>
            <w:tcW w:w="675" w:type="dxa"/>
            <w:tcBorders>
              <w:top w:val="single" w:sz="4" w:space="0" w:color="0070C0"/>
              <w:bottom w:val="single" w:sz="4" w:space="0" w:color="0070C0"/>
            </w:tcBorders>
            <w:shd w:val="clear" w:color="auto" w:fill="00A1DA"/>
          </w:tcPr>
          <w:p w:rsidR="0038320D" w:rsidRPr="00E21C63" w:rsidRDefault="0038320D" w:rsidP="00730F8D">
            <w:pPr>
              <w:rPr>
                <w:b/>
                <w:color w:val="FFFFFF" w:themeColor="background1"/>
              </w:rPr>
            </w:pPr>
            <w:r w:rsidRPr="00E21C63">
              <w:rPr>
                <w:b/>
                <w:color w:val="FFFFFF" w:themeColor="background1"/>
              </w:rPr>
              <w:t>6</w:t>
            </w:r>
          </w:p>
        </w:tc>
        <w:tc>
          <w:tcPr>
            <w:tcW w:w="13269" w:type="dxa"/>
            <w:tcBorders>
              <w:top w:val="single" w:sz="4" w:space="0" w:color="0070C0"/>
              <w:bottom w:val="single" w:sz="4" w:space="0" w:color="0070C0"/>
            </w:tcBorders>
            <w:noWrap/>
            <w:hideMark/>
          </w:tcPr>
          <w:p w:rsidR="0038320D" w:rsidRDefault="0038320D" w:rsidP="00730F8D">
            <w:r w:rsidRPr="004F77FB">
              <w:t>Proportion of residents who have taken action to improve its seismic resilience in the past year</w:t>
            </w:r>
            <w:r>
              <w:t>:</w:t>
            </w:r>
          </w:p>
          <w:p w:rsidR="0038320D" w:rsidRPr="00D73845" w:rsidRDefault="0038320D" w:rsidP="002C7BF8">
            <w:pPr>
              <w:pStyle w:val="ListParagraph"/>
              <w:numPr>
                <w:ilvl w:val="0"/>
                <w:numId w:val="67"/>
              </w:numPr>
            </w:pPr>
            <w:r>
              <w:t>Taken action: 14.4%</w:t>
            </w:r>
          </w:p>
        </w:tc>
      </w:tr>
      <w:tr w:rsidR="0038320D" w:rsidRPr="00D73845" w:rsidTr="00E21C63">
        <w:trPr>
          <w:trHeight w:val="276"/>
        </w:trPr>
        <w:tc>
          <w:tcPr>
            <w:tcW w:w="675" w:type="dxa"/>
            <w:tcBorders>
              <w:top w:val="single" w:sz="4" w:space="0" w:color="0070C0"/>
              <w:bottom w:val="single" w:sz="4" w:space="0" w:color="0070C0"/>
            </w:tcBorders>
            <w:shd w:val="clear" w:color="auto" w:fill="00A1DA"/>
          </w:tcPr>
          <w:p w:rsidR="0038320D" w:rsidRPr="00E21C63" w:rsidRDefault="0038320D" w:rsidP="00730F8D">
            <w:pPr>
              <w:rPr>
                <w:b/>
                <w:color w:val="FFFFFF" w:themeColor="background1"/>
              </w:rPr>
            </w:pPr>
            <w:r w:rsidRPr="00E21C63">
              <w:rPr>
                <w:b/>
                <w:color w:val="FFFFFF" w:themeColor="background1"/>
              </w:rPr>
              <w:t>7</w:t>
            </w:r>
          </w:p>
        </w:tc>
        <w:tc>
          <w:tcPr>
            <w:tcW w:w="13269" w:type="dxa"/>
            <w:tcBorders>
              <w:top w:val="single" w:sz="4" w:space="0" w:color="0070C0"/>
              <w:bottom w:val="single" w:sz="4" w:space="0" w:color="0070C0"/>
            </w:tcBorders>
            <w:noWrap/>
            <w:hideMark/>
          </w:tcPr>
          <w:p w:rsidR="0038320D" w:rsidRPr="00D73845" w:rsidRDefault="0038320D" w:rsidP="00730F8D">
            <w:r w:rsidRPr="004F77FB">
              <w:t>Residents who recall receiving Wellington-specific resilience information in the past year (eg</w:t>
            </w:r>
            <w:r>
              <w:t>,</w:t>
            </w:r>
            <w:r w:rsidRPr="004F77FB">
              <w:t xml:space="preserve"> earthquake preparedness via digital, media or community channels)</w:t>
            </w:r>
            <w:r>
              <w:t xml:space="preserve">: </w:t>
            </w:r>
            <w:r w:rsidRPr="00D73845">
              <w:t>22%</w:t>
            </w:r>
          </w:p>
        </w:tc>
      </w:tr>
      <w:tr w:rsidR="0038320D" w:rsidRPr="00D73845" w:rsidTr="00E21C63">
        <w:trPr>
          <w:trHeight w:val="276"/>
        </w:trPr>
        <w:tc>
          <w:tcPr>
            <w:tcW w:w="675" w:type="dxa"/>
            <w:tcBorders>
              <w:top w:val="single" w:sz="4" w:space="0" w:color="0070C0"/>
              <w:bottom w:val="single" w:sz="4" w:space="0" w:color="0070C0"/>
            </w:tcBorders>
            <w:shd w:val="clear" w:color="auto" w:fill="00A1DA"/>
          </w:tcPr>
          <w:p w:rsidR="0038320D" w:rsidRPr="00E21C63" w:rsidRDefault="0038320D" w:rsidP="00730F8D">
            <w:pPr>
              <w:rPr>
                <w:b/>
                <w:color w:val="FFFFFF" w:themeColor="background1"/>
              </w:rPr>
            </w:pPr>
            <w:r w:rsidRPr="00E21C63">
              <w:rPr>
                <w:b/>
                <w:color w:val="FFFFFF" w:themeColor="background1"/>
              </w:rPr>
              <w:t>8</w:t>
            </w:r>
          </w:p>
        </w:tc>
        <w:tc>
          <w:tcPr>
            <w:tcW w:w="13269" w:type="dxa"/>
            <w:tcBorders>
              <w:top w:val="single" w:sz="4" w:space="0" w:color="0070C0"/>
              <w:bottom w:val="single" w:sz="4" w:space="0" w:color="0070C0"/>
            </w:tcBorders>
            <w:noWrap/>
            <w:hideMark/>
          </w:tcPr>
          <w:p w:rsidR="0038320D" w:rsidRPr="00D73845" w:rsidRDefault="0038320D" w:rsidP="00730F8D">
            <w:r w:rsidRPr="004F77FB">
              <w:t>Residents (%) who believe that Wellington City Council is making adequate progress on addressing building resilience-related issues in the city</w:t>
            </w:r>
            <w:r>
              <w:t xml:space="preserve">: </w:t>
            </w:r>
            <w:r w:rsidRPr="00D73845">
              <w:t>42.10%</w:t>
            </w:r>
          </w:p>
        </w:tc>
      </w:tr>
      <w:tr w:rsidR="0038320D" w:rsidRPr="00D73845" w:rsidTr="00E21C63">
        <w:trPr>
          <w:trHeight w:val="276"/>
        </w:trPr>
        <w:tc>
          <w:tcPr>
            <w:tcW w:w="675" w:type="dxa"/>
            <w:tcBorders>
              <w:top w:val="single" w:sz="4" w:space="0" w:color="0070C0"/>
              <w:bottom w:val="single" w:sz="4" w:space="0" w:color="0070C0"/>
            </w:tcBorders>
            <w:shd w:val="clear" w:color="auto" w:fill="00A1DA"/>
          </w:tcPr>
          <w:p w:rsidR="0038320D" w:rsidRPr="00E21C63" w:rsidRDefault="0038320D" w:rsidP="00730F8D">
            <w:pPr>
              <w:rPr>
                <w:b/>
                <w:color w:val="FFFFFF" w:themeColor="background1"/>
              </w:rPr>
            </w:pPr>
            <w:r w:rsidRPr="00E21C63">
              <w:rPr>
                <w:b/>
                <w:color w:val="FFFFFF" w:themeColor="background1"/>
              </w:rPr>
              <w:t>9</w:t>
            </w:r>
          </w:p>
        </w:tc>
        <w:tc>
          <w:tcPr>
            <w:tcW w:w="13269" w:type="dxa"/>
            <w:tcBorders>
              <w:top w:val="single" w:sz="4" w:space="0" w:color="0070C0"/>
              <w:bottom w:val="single" w:sz="4" w:space="0" w:color="0070C0"/>
            </w:tcBorders>
            <w:hideMark/>
          </w:tcPr>
          <w:p w:rsidR="0038320D" w:rsidRPr="00D73845" w:rsidRDefault="0038320D" w:rsidP="00730F8D">
            <w:r w:rsidRPr="00D73845">
              <w:t>Number of earthquake-prone buildings</w:t>
            </w:r>
            <w:r>
              <w:t xml:space="preserve">: </w:t>
            </w:r>
            <w:r w:rsidRPr="00D73845">
              <w:t>593 down from 717 last year</w:t>
            </w:r>
          </w:p>
        </w:tc>
      </w:tr>
      <w:tr w:rsidR="0038320D" w:rsidRPr="00D73845" w:rsidTr="00E21C63">
        <w:trPr>
          <w:trHeight w:val="276"/>
        </w:trPr>
        <w:tc>
          <w:tcPr>
            <w:tcW w:w="675" w:type="dxa"/>
            <w:tcBorders>
              <w:top w:val="single" w:sz="4" w:space="0" w:color="0070C0"/>
            </w:tcBorders>
            <w:shd w:val="clear" w:color="auto" w:fill="00A1DA"/>
          </w:tcPr>
          <w:p w:rsidR="0038320D" w:rsidRPr="00E21C63" w:rsidRDefault="0038320D" w:rsidP="00730F8D">
            <w:pPr>
              <w:rPr>
                <w:b/>
                <w:color w:val="FFFFFF" w:themeColor="background1"/>
              </w:rPr>
            </w:pPr>
            <w:r w:rsidRPr="00E21C63">
              <w:rPr>
                <w:b/>
                <w:color w:val="FFFFFF" w:themeColor="background1"/>
              </w:rPr>
              <w:t>10</w:t>
            </w:r>
          </w:p>
        </w:tc>
        <w:tc>
          <w:tcPr>
            <w:tcW w:w="13269" w:type="dxa"/>
            <w:tcBorders>
              <w:top w:val="single" w:sz="4" w:space="0" w:color="0070C0"/>
            </w:tcBorders>
            <w:hideMark/>
          </w:tcPr>
          <w:p w:rsidR="0038320D" w:rsidRPr="00D73845" w:rsidRDefault="0038320D" w:rsidP="00730F8D">
            <w:r w:rsidRPr="00D73845">
              <w:t>Number of earthquake-prone buildings and lifeline routes</w:t>
            </w:r>
            <w:r>
              <w:t xml:space="preserve">: </w:t>
            </w:r>
            <w:r w:rsidRPr="00D73845">
              <w:t>54</w:t>
            </w:r>
          </w:p>
        </w:tc>
      </w:tr>
    </w:tbl>
    <w:p w:rsidR="00E11773" w:rsidRPr="001244BB" w:rsidRDefault="00E11773" w:rsidP="00E11773">
      <w:pPr>
        <w:sectPr w:rsidR="00E11773" w:rsidRPr="001244BB" w:rsidSect="00135A2C">
          <w:type w:val="continuous"/>
          <w:pgSz w:w="16838" w:h="11906" w:orient="landscape"/>
          <w:pgMar w:top="851" w:right="1670" w:bottom="709" w:left="1440" w:header="567" w:footer="270" w:gutter="0"/>
          <w:cols w:space="708"/>
          <w:docGrid w:linePitch="360"/>
        </w:sectPr>
      </w:pPr>
    </w:p>
    <w:p w:rsidR="00125239" w:rsidRDefault="00125239">
      <w:pPr>
        <w:rPr>
          <w:rFonts w:ascii="Arial" w:hAnsi="Arial" w:cs="Arial"/>
        </w:rPr>
      </w:pPr>
    </w:p>
    <w:p w:rsidR="00125239" w:rsidRDefault="00125239">
      <w:pPr>
        <w:rPr>
          <w:rFonts w:ascii="Arial" w:hAnsi="Arial" w:cs="Arial"/>
        </w:rPr>
      </w:pPr>
    </w:p>
    <w:p w:rsidR="00125239" w:rsidRDefault="00125239">
      <w:pPr>
        <w:rPr>
          <w:rFonts w:ascii="Arial" w:hAnsi="Arial" w:cs="Arial"/>
        </w:rPr>
      </w:pPr>
      <w:r>
        <w:rPr>
          <w:rFonts w:ascii="Arial" w:hAnsi="Arial" w:cs="Arial"/>
        </w:rPr>
        <w:br w:type="page"/>
      </w:r>
    </w:p>
    <w:p w:rsidR="00125239" w:rsidRPr="00D5126A" w:rsidRDefault="00125239" w:rsidP="00292110">
      <w:pPr>
        <w:pStyle w:val="5Block"/>
        <w:spacing w:after="0" w:line="240" w:lineRule="auto"/>
        <w:rPr>
          <w:rFonts w:ascii="Arial" w:hAnsi="Arial" w:cs="Arial"/>
        </w:rPr>
        <w:sectPr w:rsidR="00125239" w:rsidRPr="00D5126A" w:rsidSect="00506FE3">
          <w:type w:val="continuous"/>
          <w:pgSz w:w="16838" w:h="11906" w:orient="landscape"/>
          <w:pgMar w:top="1126" w:right="1276" w:bottom="1418" w:left="1276" w:header="568" w:footer="709" w:gutter="0"/>
          <w:cols w:space="708"/>
          <w:docGrid w:linePitch="360"/>
        </w:sectPr>
      </w:pPr>
    </w:p>
    <w:p w:rsidR="008C6462" w:rsidRPr="00AA3DFC" w:rsidRDefault="008C6462" w:rsidP="008C6462">
      <w:pPr>
        <w:pStyle w:val="Heading3"/>
        <w:rPr>
          <w:rStyle w:val="00Text"/>
          <w:b/>
          <w:bCs/>
          <w:color w:val="00A1DA"/>
        </w:rPr>
      </w:pPr>
      <w:bookmarkStart w:id="279" w:name="_Toc19085856"/>
      <w:r w:rsidRPr="00AA3DFC">
        <w:rPr>
          <w:rStyle w:val="00Text"/>
          <w:b/>
          <w:bCs/>
          <w:color w:val="00A1DA"/>
        </w:rPr>
        <w:lastRenderedPageBreak/>
        <w:t>Creating a new home for ballet</w:t>
      </w:r>
      <w:bookmarkEnd w:id="279"/>
    </w:p>
    <w:p w:rsidR="008C6462" w:rsidRPr="00D5126A" w:rsidRDefault="008C6462" w:rsidP="008C6462">
      <w:pPr>
        <w:rPr>
          <w:rFonts w:ascii="Arial" w:hAnsi="Arial" w:cs="Arial"/>
        </w:rPr>
      </w:pPr>
      <w:r w:rsidRPr="00D5126A">
        <w:rPr>
          <w:rFonts w:ascii="Arial" w:hAnsi="Arial" w:cs="Arial"/>
        </w:rPr>
        <w:t>The professional performing arts sector relies on Council-owned facilities to showcase their talent. However, many of the buildings are old, earthquake-prone and heritage listed.</w:t>
      </w:r>
    </w:p>
    <w:p w:rsidR="008C6462" w:rsidRPr="00D5126A" w:rsidRDefault="008C6462" w:rsidP="008C6462">
      <w:pPr>
        <w:rPr>
          <w:rFonts w:ascii="Arial" w:hAnsi="Arial" w:cs="Arial"/>
        </w:rPr>
      </w:pPr>
      <w:r w:rsidRPr="00D5126A">
        <w:rPr>
          <w:rFonts w:ascii="Arial" w:hAnsi="Arial" w:cs="Arial"/>
        </w:rPr>
        <w:t>We knew we needed creative</w:t>
      </w:r>
      <w:r w:rsidR="001A6C50" w:rsidRPr="00D5126A">
        <w:rPr>
          <w:rFonts w:ascii="Arial" w:hAnsi="Arial" w:cs="Arial"/>
        </w:rPr>
        <w:t xml:space="preserve"> urban development </w:t>
      </w:r>
      <w:r w:rsidRPr="00D5126A">
        <w:rPr>
          <w:rFonts w:ascii="Arial" w:hAnsi="Arial" w:cs="Arial"/>
        </w:rPr>
        <w:t xml:space="preserve">solutions to ensure our arts sector thrived while we completed the work to retain our iconic venues for future generations. </w:t>
      </w:r>
    </w:p>
    <w:p w:rsidR="008C6462" w:rsidRPr="00D5126A" w:rsidRDefault="008C6462" w:rsidP="008C6462">
      <w:pPr>
        <w:rPr>
          <w:rFonts w:ascii="Arial" w:hAnsi="Arial" w:cs="Arial"/>
        </w:rPr>
      </w:pPr>
      <w:r w:rsidRPr="00D5126A">
        <w:rPr>
          <w:rFonts w:ascii="Arial" w:hAnsi="Arial" w:cs="Arial"/>
        </w:rPr>
        <w:t xml:space="preserve">In May 2018, the $34 million strengthening work on the 107-year-old St James Theatre was scheduled to start. It involves strengthening the theatre to 67 percent of the New Building Standard </w:t>
      </w:r>
      <w:r w:rsidR="00764F8B">
        <w:rPr>
          <w:rFonts w:ascii="Arial" w:hAnsi="Arial" w:cs="Arial"/>
        </w:rPr>
        <w:t xml:space="preserve">by </w:t>
      </w:r>
      <w:r w:rsidRPr="00D5126A">
        <w:rPr>
          <w:rFonts w:ascii="Arial" w:hAnsi="Arial" w:cs="Arial"/>
        </w:rPr>
        <w:t xml:space="preserve">upgrading staging, lighting, sound and rigging systems, as well as the fire protection, mechanical and electrical systems. </w:t>
      </w:r>
    </w:p>
    <w:p w:rsidR="008C6462" w:rsidRPr="00D5126A" w:rsidRDefault="008C6462" w:rsidP="008C6462">
      <w:pPr>
        <w:rPr>
          <w:rFonts w:ascii="Arial" w:hAnsi="Arial" w:cs="Arial"/>
        </w:rPr>
      </w:pPr>
      <w:r w:rsidRPr="00D5126A">
        <w:rPr>
          <w:rFonts w:ascii="Arial" w:hAnsi="Arial" w:cs="Arial"/>
        </w:rPr>
        <w:t xml:space="preserve">The theatre, in the heart of the </w:t>
      </w:r>
      <w:r w:rsidR="00764F8B">
        <w:rPr>
          <w:rFonts w:ascii="Arial" w:hAnsi="Arial" w:cs="Arial"/>
        </w:rPr>
        <w:t>central city’</w:t>
      </w:r>
      <w:r w:rsidR="00764F8B" w:rsidRPr="00D5126A">
        <w:rPr>
          <w:rFonts w:ascii="Arial" w:hAnsi="Arial" w:cs="Arial"/>
        </w:rPr>
        <w:t xml:space="preserve">s </w:t>
      </w:r>
      <w:r w:rsidRPr="00D5126A">
        <w:rPr>
          <w:rFonts w:ascii="Arial" w:hAnsi="Arial" w:cs="Arial"/>
        </w:rPr>
        <w:t>creative district, is a much-loved venue and home to the Royal New Zealand Ballet (RNZB) and NZ Festival.</w:t>
      </w:r>
    </w:p>
    <w:p w:rsidR="008C6462" w:rsidRPr="00D5126A" w:rsidRDefault="008C6462" w:rsidP="008C6462">
      <w:pPr>
        <w:rPr>
          <w:rFonts w:ascii="Arial" w:hAnsi="Arial" w:cs="Arial"/>
        </w:rPr>
      </w:pPr>
      <w:r w:rsidRPr="00D5126A">
        <w:rPr>
          <w:rFonts w:ascii="Arial" w:hAnsi="Arial" w:cs="Arial"/>
        </w:rPr>
        <w:t>RNZB has called Wellington home for more than 60 years. It is a key national institution that delivers high-quality dance performances across New Zealand.</w:t>
      </w:r>
    </w:p>
    <w:p w:rsidR="008C6462" w:rsidRPr="00D5126A" w:rsidRDefault="008C6462" w:rsidP="008C6462">
      <w:pPr>
        <w:rPr>
          <w:rFonts w:ascii="Arial" w:hAnsi="Arial" w:cs="Arial"/>
        </w:rPr>
      </w:pPr>
      <w:r w:rsidRPr="00D5126A">
        <w:rPr>
          <w:rFonts w:ascii="Arial" w:hAnsi="Arial" w:cs="Arial"/>
        </w:rPr>
        <w:t>For the ballet company to continue in Wellington during construction, it required a large dance studio to accommodate rehearsals for the full company of dancers, a smaller dance studio, locker rooms, offices, and space for physiotherapy, as well as an area for a wardrobe and costume department.</w:t>
      </w:r>
    </w:p>
    <w:p w:rsidR="008C6462" w:rsidRPr="00D5126A" w:rsidRDefault="008C6462" w:rsidP="008C6462">
      <w:pPr>
        <w:rPr>
          <w:rFonts w:ascii="Arial" w:hAnsi="Arial" w:cs="Arial"/>
        </w:rPr>
      </w:pPr>
      <w:r w:rsidRPr="00D5126A">
        <w:rPr>
          <w:rFonts w:ascii="Arial" w:hAnsi="Arial" w:cs="Arial"/>
        </w:rPr>
        <w:t>The issue was that there was no suitable space available. The original plan was to refurbish the School of Dance and Drama studios at Te Whaea in Mt Cook. However</w:t>
      </w:r>
      <w:r w:rsidR="00764F8B">
        <w:rPr>
          <w:rFonts w:ascii="Arial" w:hAnsi="Arial" w:cs="Arial"/>
        </w:rPr>
        <w:t>,</w:t>
      </w:r>
      <w:r w:rsidRPr="00D5126A">
        <w:rPr>
          <w:rFonts w:ascii="Arial" w:hAnsi="Arial" w:cs="Arial"/>
        </w:rPr>
        <w:t xml:space="preserve"> following a public tender process, the cost came in $2 million over budget. </w:t>
      </w:r>
    </w:p>
    <w:p w:rsidR="008C6462" w:rsidRPr="00D5126A" w:rsidRDefault="008C6462" w:rsidP="008C6462">
      <w:pPr>
        <w:rPr>
          <w:rFonts w:ascii="Arial" w:hAnsi="Arial" w:cs="Arial"/>
        </w:rPr>
      </w:pPr>
      <w:r w:rsidRPr="00D5126A">
        <w:rPr>
          <w:rFonts w:ascii="Arial" w:hAnsi="Arial" w:cs="Arial"/>
        </w:rPr>
        <w:t xml:space="preserve">So Council came up with a solution that would ensure the RNZB was housed in the central city, while being prudent to ratepayers. </w:t>
      </w:r>
    </w:p>
    <w:p w:rsidR="008C6462" w:rsidRPr="00D5126A" w:rsidRDefault="008C6462" w:rsidP="008C6462">
      <w:pPr>
        <w:rPr>
          <w:rFonts w:ascii="Arial" w:hAnsi="Arial" w:cs="Arial"/>
        </w:rPr>
      </w:pPr>
      <w:r w:rsidRPr="00D5126A">
        <w:rPr>
          <w:rFonts w:ascii="Arial" w:hAnsi="Arial" w:cs="Arial"/>
        </w:rPr>
        <w:t>This year, a prefabricated building was built on the Michael Fowler Centre carpark, only one block away from the Opera House where the company performs. The purpose-built dance studio has large windows on the northern side allowing passers-by to watch the dancers rehearsing. Large graphics are displayed on the exterior elevations to create visual interest and design work creates a visual link to the pōhutukawa trees in the area.</w:t>
      </w:r>
    </w:p>
    <w:p w:rsidR="008C6462" w:rsidRPr="00D5126A" w:rsidRDefault="008C6462" w:rsidP="008C6462">
      <w:pPr>
        <w:rPr>
          <w:rFonts w:ascii="Arial" w:hAnsi="Arial" w:cs="Arial"/>
        </w:rPr>
      </w:pPr>
      <w:r w:rsidRPr="00D5126A">
        <w:rPr>
          <w:rFonts w:ascii="Arial" w:hAnsi="Arial" w:cs="Arial"/>
        </w:rPr>
        <w:t>Council paid for the building and its design means it will be able to be reused, moved or sold once RNZB moves back into St James Theatre in 2021.</w:t>
      </w:r>
    </w:p>
    <w:p w:rsidR="008C6462" w:rsidRPr="00D5126A" w:rsidRDefault="008C6462" w:rsidP="008C6462">
      <w:pPr>
        <w:rPr>
          <w:rFonts w:ascii="Arial" w:hAnsi="Arial" w:cs="Arial"/>
        </w:rPr>
      </w:pPr>
      <w:r w:rsidRPr="00D5126A">
        <w:rPr>
          <w:rFonts w:ascii="Arial" w:hAnsi="Arial" w:cs="Arial"/>
        </w:rPr>
        <w:t xml:space="preserve">RNZB executive director Lester McGrath says the solution is a new approach and </w:t>
      </w:r>
      <w:r w:rsidRPr="00D5126A">
        <w:rPr>
          <w:rFonts w:ascii="Arial" w:hAnsi="Arial" w:cs="Arial"/>
          <w:shd w:val="clear" w:color="auto" w:fill="FFFFFF"/>
        </w:rPr>
        <w:t>has resulted in a greater connection between Wellingtonians and the ballet</w:t>
      </w:r>
      <w:r w:rsidRPr="00D5126A">
        <w:rPr>
          <w:rFonts w:ascii="Arial" w:hAnsi="Arial" w:cs="Arial"/>
        </w:rPr>
        <w:t xml:space="preserve">. </w:t>
      </w:r>
    </w:p>
    <w:p w:rsidR="008C6462" w:rsidRPr="00D5126A" w:rsidRDefault="008C6462" w:rsidP="008C6462">
      <w:pPr>
        <w:rPr>
          <w:rFonts w:ascii="Arial" w:hAnsi="Arial" w:cs="Arial"/>
        </w:rPr>
      </w:pPr>
      <w:r w:rsidRPr="00D5126A">
        <w:rPr>
          <w:rFonts w:ascii="Arial" w:hAnsi="Arial" w:cs="Arial"/>
        </w:rPr>
        <w:t>“Since we moved in June, it has been exciting to see how Wellingtonians of all ages are taking the opportunity to watch the dancers at work through the studio windows,” Lester says.</w:t>
      </w:r>
    </w:p>
    <w:p w:rsidR="008C6462" w:rsidRPr="00D5126A" w:rsidRDefault="008C6462" w:rsidP="008C6462">
      <w:pPr>
        <w:rPr>
          <w:rFonts w:ascii="Arial" w:hAnsi="Arial" w:cs="Arial"/>
        </w:rPr>
      </w:pPr>
      <w:r w:rsidRPr="00D5126A">
        <w:rPr>
          <w:rFonts w:ascii="Arial" w:hAnsi="Arial" w:cs="Arial"/>
        </w:rPr>
        <w:t>“It’s also been a pleasure to welcome visitors into the studio and our costume facility since we moved in, including our professional development seminars for dance teachers from throughout New Zealand and Australia, held during the July school holidays.</w:t>
      </w:r>
    </w:p>
    <w:p w:rsidR="008C6462" w:rsidRPr="00D5126A" w:rsidRDefault="008C6462" w:rsidP="008C6462">
      <w:pPr>
        <w:rPr>
          <w:rFonts w:ascii="Arial" w:hAnsi="Arial" w:cs="Arial"/>
        </w:rPr>
      </w:pPr>
      <w:r w:rsidRPr="00D5126A">
        <w:rPr>
          <w:rFonts w:ascii="Arial" w:hAnsi="Arial" w:cs="Arial"/>
        </w:rPr>
        <w:lastRenderedPageBreak/>
        <w:t xml:space="preserve">“The partnership approach Wellington City Council takes to supporting arts, culture and creativity in Wellington is one of the reasons why Wellington a great place to live, work and visit.   </w:t>
      </w:r>
    </w:p>
    <w:p w:rsidR="008C6462" w:rsidRPr="00D5126A" w:rsidRDefault="008C6462" w:rsidP="008C6462">
      <w:pPr>
        <w:rPr>
          <w:rFonts w:ascii="Arial" w:hAnsi="Arial" w:cs="Arial"/>
        </w:rPr>
      </w:pPr>
      <w:r w:rsidRPr="00D5126A">
        <w:rPr>
          <w:rFonts w:ascii="Arial" w:hAnsi="Arial" w:cs="Arial"/>
        </w:rPr>
        <w:t>“We simply couldn’t have continued to deliver the same level of ballet performances to towns and cities across New Zealand without this assistance.”</w:t>
      </w:r>
    </w:p>
    <w:p w:rsidR="008C6462" w:rsidRPr="00D5126A" w:rsidRDefault="008C6462" w:rsidP="008C6462">
      <w:pPr>
        <w:rPr>
          <w:rFonts w:ascii="Arial" w:hAnsi="Arial" w:cs="Arial"/>
        </w:rPr>
      </w:pPr>
      <w:r w:rsidRPr="00D5126A">
        <w:rPr>
          <w:rFonts w:ascii="Arial" w:hAnsi="Arial" w:cs="Arial"/>
        </w:rPr>
        <w:t>The strengthening of St James Theatre is under</w:t>
      </w:r>
      <w:r w:rsidR="00764F8B">
        <w:rPr>
          <w:rFonts w:ascii="Arial" w:hAnsi="Arial" w:cs="Arial"/>
        </w:rPr>
        <w:t xml:space="preserve"> </w:t>
      </w:r>
      <w:r w:rsidRPr="00D5126A">
        <w:rPr>
          <w:rFonts w:ascii="Arial" w:hAnsi="Arial" w:cs="Arial"/>
        </w:rPr>
        <w:t xml:space="preserve">way and isn’t expected to be completed until late 2021. This means it won’t be available for the February 2020 NZ Festival. </w:t>
      </w:r>
    </w:p>
    <w:p w:rsidR="008C6462" w:rsidRPr="00D5126A" w:rsidRDefault="008C6462" w:rsidP="008C6462">
      <w:pPr>
        <w:rPr>
          <w:rFonts w:ascii="Arial" w:hAnsi="Arial" w:cs="Arial"/>
        </w:rPr>
      </w:pPr>
      <w:r w:rsidRPr="00D5126A">
        <w:rPr>
          <w:rFonts w:ascii="Arial" w:hAnsi="Arial" w:cs="Arial"/>
        </w:rPr>
        <w:t>Council is also working closely with WellingtonNZ and the NZ Festival to ensure there are alternate arrangements for the 2020 Festival.</w:t>
      </w:r>
    </w:p>
    <w:p w:rsidR="00ED682C" w:rsidRPr="00D5126A" w:rsidRDefault="00ED682C">
      <w:pPr>
        <w:rPr>
          <w:b/>
          <w:bCs/>
          <w:sz w:val="34"/>
          <w:szCs w:val="34"/>
        </w:rPr>
      </w:pPr>
      <w:bookmarkStart w:id="280" w:name="7__Waka_Transport"/>
      <w:bookmarkStart w:id="281" w:name="7__Waka_TransportThis_chapter_profiles_o"/>
      <w:bookmarkEnd w:id="280"/>
      <w:bookmarkEnd w:id="281"/>
      <w:r w:rsidRPr="00D5126A">
        <w:br w:type="page"/>
      </w:r>
    </w:p>
    <w:p w:rsidR="007F0DCF" w:rsidRPr="00DD6D6D" w:rsidRDefault="007F0DCF" w:rsidP="007F0DCF">
      <w:pPr>
        <w:pStyle w:val="Heading2"/>
        <w:rPr>
          <w:color w:val="FF0000"/>
        </w:rPr>
      </w:pPr>
      <w:bookmarkStart w:id="282" w:name="_Toc19085857"/>
      <w:bookmarkStart w:id="283" w:name="_Toc14178564"/>
      <w:bookmarkStart w:id="284" w:name="_Toc15571243"/>
      <w:bookmarkStart w:id="285" w:name="_Toc23758609"/>
      <w:bookmarkStart w:id="286" w:name="8_Nga_ropu_e_here_ana_ki_te_KauniheraCou"/>
      <w:r w:rsidRPr="00DD6D6D">
        <w:rPr>
          <w:color w:val="FF0000"/>
        </w:rPr>
        <w:lastRenderedPageBreak/>
        <w:t>7 Waka</w:t>
      </w:r>
      <w:bookmarkStart w:id="287" w:name="_Toc528234306"/>
      <w:r w:rsidRPr="00DD6D6D">
        <w:rPr>
          <w:color w:val="FF0000"/>
        </w:rPr>
        <w:t xml:space="preserve"> - Transport</w:t>
      </w:r>
      <w:bookmarkEnd w:id="282"/>
      <w:bookmarkEnd w:id="283"/>
      <w:bookmarkEnd w:id="284"/>
      <w:bookmarkEnd w:id="285"/>
      <w:bookmarkEnd w:id="287"/>
    </w:p>
    <w:p w:rsidR="007F0DCF" w:rsidRPr="00D5126A" w:rsidRDefault="007F0DCF" w:rsidP="007F0DCF">
      <w:pPr>
        <w:pStyle w:val="Para003"/>
        <w:spacing w:before="240" w:line="240" w:lineRule="auto"/>
        <w:rPr>
          <w:rFonts w:ascii="Arial" w:hAnsi="Arial" w:cs="Arial"/>
        </w:rPr>
      </w:pPr>
      <w:r w:rsidRPr="00D5126A">
        <w:rPr>
          <w:rFonts w:ascii="Arial" w:hAnsi="Arial" w:cs="Arial"/>
        </w:rPr>
        <w:t>This chapter explains what we did and how we performed in our Transport portfolio of activities. This includes transport</w:t>
      </w:r>
      <w:r w:rsidR="00937FC7">
        <w:rPr>
          <w:rFonts w:ascii="Arial" w:hAnsi="Arial" w:cs="Arial"/>
        </w:rPr>
        <w:t xml:space="preserve"> initiatives and maintenance,</w:t>
      </w:r>
      <w:r w:rsidRPr="00D5126A">
        <w:rPr>
          <w:rFonts w:ascii="Arial" w:hAnsi="Arial" w:cs="Arial"/>
        </w:rPr>
        <w:t xml:space="preserve"> and parking.</w:t>
      </w:r>
    </w:p>
    <w:p w:rsidR="00A04E23" w:rsidRPr="00DD6D6D" w:rsidRDefault="00A04E23" w:rsidP="002C7BF8">
      <w:pPr>
        <w:pStyle w:val="ListParagraph"/>
        <w:numPr>
          <w:ilvl w:val="0"/>
          <w:numId w:val="82"/>
        </w:numPr>
        <w:rPr>
          <w:rFonts w:ascii="Arial" w:hAnsi="Arial" w:cs="Arial"/>
        </w:rPr>
      </w:pPr>
      <w:r w:rsidRPr="00DD6D6D">
        <w:rPr>
          <w:rFonts w:ascii="Arial" w:hAnsi="Arial" w:cs="Arial"/>
        </w:rPr>
        <w:t xml:space="preserve">60 spaces at covered bike rack on Grey St </w:t>
      </w:r>
    </w:p>
    <w:p w:rsidR="00A04E23" w:rsidRPr="00DD6D6D" w:rsidRDefault="00A04E23" w:rsidP="002C7BF8">
      <w:pPr>
        <w:pStyle w:val="ListParagraph"/>
        <w:numPr>
          <w:ilvl w:val="0"/>
          <w:numId w:val="82"/>
        </w:numPr>
        <w:rPr>
          <w:rFonts w:ascii="Arial" w:hAnsi="Arial" w:cs="Arial"/>
        </w:rPr>
      </w:pPr>
      <w:r w:rsidRPr="00DD6D6D">
        <w:rPr>
          <w:rFonts w:ascii="Arial" w:hAnsi="Arial" w:cs="Arial"/>
        </w:rPr>
        <w:t>10,582 average walking trips into CBD on weekday</w:t>
      </w:r>
      <w:r w:rsidR="003E3342" w:rsidRPr="00DD6D6D">
        <w:rPr>
          <w:rFonts w:ascii="Arial" w:hAnsi="Arial" w:cs="Arial"/>
        </w:rPr>
        <w:t xml:space="preserve"> 7-9am</w:t>
      </w:r>
    </w:p>
    <w:p w:rsidR="00A04E23" w:rsidRPr="00DD6D6D" w:rsidRDefault="00A04E23" w:rsidP="002C7BF8">
      <w:pPr>
        <w:pStyle w:val="ListParagraph"/>
        <w:numPr>
          <w:ilvl w:val="0"/>
          <w:numId w:val="82"/>
        </w:numPr>
        <w:rPr>
          <w:rFonts w:ascii="Arial" w:hAnsi="Arial" w:cs="Arial"/>
        </w:rPr>
      </w:pPr>
      <w:r w:rsidRPr="00DD6D6D">
        <w:rPr>
          <w:rFonts w:ascii="Arial" w:hAnsi="Arial" w:cs="Arial"/>
        </w:rPr>
        <w:t>78% Residents satisfied with street lighting in CBD</w:t>
      </w:r>
    </w:p>
    <w:p w:rsidR="00A04E23" w:rsidRPr="00DD6D6D" w:rsidRDefault="00A04E23" w:rsidP="002C7BF8">
      <w:pPr>
        <w:pStyle w:val="ListParagraph"/>
        <w:numPr>
          <w:ilvl w:val="0"/>
          <w:numId w:val="82"/>
        </w:numPr>
        <w:rPr>
          <w:rFonts w:ascii="Arial" w:hAnsi="Arial" w:cs="Arial"/>
        </w:rPr>
      </w:pPr>
      <w:r w:rsidRPr="00DD6D6D">
        <w:rPr>
          <w:rFonts w:ascii="Arial" w:hAnsi="Arial" w:cs="Arial"/>
        </w:rPr>
        <w:t>35% residents perception that peak traffic volumes are acceptable</w:t>
      </w:r>
    </w:p>
    <w:p w:rsidR="00A04E23" w:rsidRPr="00DD6D6D" w:rsidRDefault="00A04E23" w:rsidP="002C7BF8">
      <w:pPr>
        <w:pStyle w:val="ListParagraph"/>
        <w:numPr>
          <w:ilvl w:val="0"/>
          <w:numId w:val="82"/>
        </w:numPr>
        <w:rPr>
          <w:rFonts w:ascii="Arial" w:hAnsi="Arial" w:cs="Arial"/>
        </w:rPr>
      </w:pPr>
      <w:r w:rsidRPr="00DD6D6D">
        <w:rPr>
          <w:rFonts w:ascii="Arial" w:hAnsi="Arial" w:cs="Arial"/>
        </w:rPr>
        <w:t xml:space="preserve">1,170,932 Cable Car trips </w:t>
      </w:r>
    </w:p>
    <w:p w:rsidR="00A04E23" w:rsidRPr="00DD6D6D" w:rsidRDefault="00A04E23" w:rsidP="002C7BF8">
      <w:pPr>
        <w:pStyle w:val="ListParagraph"/>
        <w:numPr>
          <w:ilvl w:val="0"/>
          <w:numId w:val="82"/>
        </w:numPr>
        <w:rPr>
          <w:rFonts w:ascii="Arial" w:hAnsi="Arial" w:cs="Arial"/>
        </w:rPr>
      </w:pPr>
      <w:r w:rsidRPr="00DD6D6D">
        <w:rPr>
          <w:rFonts w:ascii="Arial" w:hAnsi="Arial" w:cs="Arial"/>
        </w:rPr>
        <w:t>49% School children walk</w:t>
      </w:r>
      <w:r w:rsidR="003E3342" w:rsidRPr="00DD6D6D">
        <w:rPr>
          <w:rFonts w:ascii="Arial" w:hAnsi="Arial" w:cs="Arial"/>
        </w:rPr>
        <w:t xml:space="preserve"> to school at least once a week down from 73% in 2017</w:t>
      </w:r>
    </w:p>
    <w:p w:rsidR="007F0DCF" w:rsidRPr="00DD6D6D" w:rsidRDefault="007F0DCF" w:rsidP="00AA2122">
      <w:pPr>
        <w:pStyle w:val="Heading3"/>
        <w:rPr>
          <w:color w:val="FF0000"/>
        </w:rPr>
      </w:pPr>
      <w:bookmarkStart w:id="288" w:name="_Toc19085858"/>
      <w:r w:rsidRPr="00DD6D6D">
        <w:rPr>
          <w:color w:val="FF0000"/>
        </w:rPr>
        <w:t>Introduction</w:t>
      </w:r>
      <w:bookmarkEnd w:id="288"/>
    </w:p>
    <w:p w:rsidR="007F0DCF" w:rsidRPr="00D5126A" w:rsidRDefault="007F0DCF" w:rsidP="007F0DCF">
      <w:pPr>
        <w:pStyle w:val="Para003"/>
        <w:spacing w:before="240" w:line="240" w:lineRule="auto"/>
        <w:rPr>
          <w:rFonts w:ascii="Arial" w:hAnsi="Arial" w:cs="Arial"/>
        </w:rPr>
      </w:pPr>
      <w:r w:rsidRPr="00D5126A">
        <w:rPr>
          <w:rFonts w:ascii="Arial" w:hAnsi="Arial" w:cs="Arial"/>
        </w:rPr>
        <w:t>We manage, maintain and improve the city’s transport network so that people can access places easily and safely. We look after hundreds of kilometres of city accessways, footpaths, bike paths and lanes, and roads, including bus lanes, parking facilities, traffic signs and signals, street lighting and pedestrian crossings.  Wellington Cable Car Limited is a Council</w:t>
      </w:r>
      <w:r w:rsidR="00764F8B">
        <w:rPr>
          <w:rFonts w:ascii="Arial" w:hAnsi="Arial" w:cs="Arial"/>
        </w:rPr>
        <w:t>-c</w:t>
      </w:r>
      <w:r w:rsidRPr="00D5126A">
        <w:rPr>
          <w:rFonts w:ascii="Arial" w:hAnsi="Arial" w:cs="Arial"/>
        </w:rPr>
        <w:t xml:space="preserve">ontrolled </w:t>
      </w:r>
      <w:r w:rsidR="00764F8B">
        <w:rPr>
          <w:rFonts w:ascii="Arial" w:hAnsi="Arial" w:cs="Arial"/>
        </w:rPr>
        <w:t>o</w:t>
      </w:r>
      <w:r w:rsidR="00764F8B" w:rsidRPr="00D5126A">
        <w:rPr>
          <w:rFonts w:ascii="Arial" w:hAnsi="Arial" w:cs="Arial"/>
        </w:rPr>
        <w:t xml:space="preserve">rganisation </w:t>
      </w:r>
      <w:r w:rsidRPr="00D5126A">
        <w:rPr>
          <w:rFonts w:ascii="Arial" w:hAnsi="Arial" w:cs="Arial"/>
        </w:rPr>
        <w:t xml:space="preserve">and operates the iconic Wellington Cable Car which runs from Lambton Quay to Kelburn.  </w:t>
      </w:r>
    </w:p>
    <w:p w:rsidR="007F0DCF" w:rsidRPr="00D5126A" w:rsidRDefault="007F0DCF" w:rsidP="007F0DCF">
      <w:pPr>
        <w:pStyle w:val="Para003"/>
        <w:spacing w:before="240" w:line="240" w:lineRule="auto"/>
        <w:rPr>
          <w:rFonts w:ascii="Arial" w:hAnsi="Arial" w:cs="Arial"/>
        </w:rPr>
      </w:pPr>
      <w:r w:rsidRPr="00D5126A">
        <w:rPr>
          <w:rFonts w:ascii="Arial" w:hAnsi="Arial" w:cs="Arial"/>
        </w:rPr>
        <w:t>We aim to invest in a high-quality and resilient transport network that helps reduce congestion and pollution, makes commuting easier, and encourages active and public modes of transport.</w:t>
      </w:r>
    </w:p>
    <w:p w:rsidR="007F0DCF" w:rsidRPr="00D5126A" w:rsidRDefault="007F0DCF" w:rsidP="007F0DCF">
      <w:pPr>
        <w:pStyle w:val="Para003"/>
        <w:spacing w:before="240" w:line="240" w:lineRule="auto"/>
        <w:rPr>
          <w:rFonts w:ascii="Arial" w:hAnsi="Arial" w:cs="Arial"/>
        </w:rPr>
      </w:pPr>
      <w:r w:rsidRPr="00D5126A">
        <w:rPr>
          <w:rFonts w:ascii="Arial" w:hAnsi="Arial" w:cs="Arial"/>
        </w:rPr>
        <w:t xml:space="preserve">One of the biggest </w:t>
      </w:r>
      <w:r w:rsidRPr="00D5126A">
        <w:rPr>
          <w:rStyle w:val="00Text"/>
          <w:rFonts w:ascii="Arial" w:hAnsi="Arial" w:cs="Arial"/>
          <w:b w:val="0"/>
        </w:rPr>
        <w:t>challenges</w:t>
      </w:r>
      <w:r w:rsidRPr="00D5126A">
        <w:rPr>
          <w:rFonts w:ascii="Arial" w:hAnsi="Arial" w:cs="Arial"/>
        </w:rPr>
        <w:t xml:space="preserve"> we currently face is to make sure our transport network can cater to Wellington’s rapidly growing population. We need to manage morning and evening peak demand and encourage a greater take-up of active and public transport modes that are healthier and more sustainable.</w:t>
      </w:r>
    </w:p>
    <w:p w:rsidR="007F0DCF" w:rsidRPr="00D5126A" w:rsidRDefault="004A5F78" w:rsidP="007F0DCF">
      <w:pPr>
        <w:pStyle w:val="Para003"/>
        <w:spacing w:before="240" w:line="240" w:lineRule="auto"/>
        <w:rPr>
          <w:rFonts w:ascii="Arial" w:hAnsi="Arial" w:cs="Arial"/>
        </w:rPr>
      </w:pPr>
      <w:r w:rsidRPr="00D5126A">
        <w:rPr>
          <w:rFonts w:ascii="Arial" w:hAnsi="Arial" w:cs="Arial"/>
        </w:rPr>
        <w:t xml:space="preserve">Highlights for the year included the consenting of seven new bus interchange stations, with the construction project-managed by GWRC in some instances and Wellington City Council in others. We also </w:t>
      </w:r>
      <w:r w:rsidR="007F0DCF" w:rsidRPr="00D5126A">
        <w:rPr>
          <w:rFonts w:ascii="Arial" w:hAnsi="Arial" w:cs="Arial"/>
        </w:rPr>
        <w:t xml:space="preserve">completed strengthening of the Northland Tunnel and </w:t>
      </w:r>
      <w:r w:rsidR="00937FC7">
        <w:rPr>
          <w:rFonts w:ascii="Arial" w:hAnsi="Arial" w:cs="Arial"/>
        </w:rPr>
        <w:t>1648 sq</w:t>
      </w:r>
      <w:r w:rsidR="00764F8B">
        <w:rPr>
          <w:rFonts w:ascii="Arial" w:hAnsi="Arial" w:cs="Arial"/>
        </w:rPr>
        <w:t>m</w:t>
      </w:r>
      <w:r w:rsidR="007F0DCF" w:rsidRPr="00D5126A">
        <w:rPr>
          <w:rFonts w:ascii="Arial" w:hAnsi="Arial" w:cs="Arial"/>
        </w:rPr>
        <w:t xml:space="preserve"> of new retaining walls were built to ensure our roading network remains resilient.  Progress was also made on the new bike paths and routes programme with the completion of the Oriental Bay and Kilbirnie routes.</w:t>
      </w:r>
    </w:p>
    <w:p w:rsidR="0075165F" w:rsidRPr="00DD6D6D" w:rsidRDefault="0075165F" w:rsidP="0075165F">
      <w:pPr>
        <w:pStyle w:val="Heading3"/>
        <w:rPr>
          <w:color w:val="FF0000"/>
        </w:rPr>
      </w:pPr>
      <w:bookmarkStart w:id="289" w:name="_Toc19085859"/>
      <w:r w:rsidRPr="00DD6D6D">
        <w:rPr>
          <w:color w:val="FF0000"/>
        </w:rPr>
        <w:t>Transport performance story</w:t>
      </w:r>
      <w:bookmarkEnd w:id="289"/>
    </w:p>
    <w:p w:rsidR="0075165F" w:rsidRPr="00D5126A" w:rsidRDefault="0075165F" w:rsidP="0075165F">
      <w:pPr>
        <w:pStyle w:val="Heading5"/>
      </w:pPr>
      <w:r w:rsidRPr="00D5126A">
        <w:t>Parking unhappiness, but transport plans under way</w:t>
      </w:r>
    </w:p>
    <w:p w:rsidR="0075165F" w:rsidRPr="00D5126A" w:rsidRDefault="0075165F" w:rsidP="0075165F">
      <w:pPr>
        <w:pStyle w:val="Para003"/>
        <w:spacing w:before="240" w:line="240" w:lineRule="auto"/>
        <w:rPr>
          <w:rFonts w:ascii="Arial" w:hAnsi="Arial" w:cs="Arial"/>
        </w:rPr>
      </w:pPr>
      <w:r w:rsidRPr="00D5126A">
        <w:rPr>
          <w:rFonts w:ascii="Arial" w:hAnsi="Arial" w:cs="Arial"/>
        </w:rPr>
        <w:t>Residents’ perception that our transport system allows easy access to the city declined 27 percentage points this year. As Wellington’s population grows, so do congestion issues. These and the dissatisfaction with the bus network changes h</w:t>
      </w:r>
      <w:r w:rsidR="00937FC7">
        <w:rPr>
          <w:rFonts w:ascii="Arial" w:hAnsi="Arial" w:cs="Arial"/>
        </w:rPr>
        <w:t>ave</w:t>
      </w:r>
      <w:r w:rsidRPr="00D5126A">
        <w:rPr>
          <w:rFonts w:ascii="Arial" w:hAnsi="Arial" w:cs="Arial"/>
        </w:rPr>
        <w:t xml:space="preserve"> likely had an impact on this measure and others of a similar nature. However, the announcement of the $6.4</w:t>
      </w:r>
      <w:r w:rsidR="00764F8B">
        <w:rPr>
          <w:rFonts w:ascii="Arial" w:hAnsi="Arial" w:cs="Arial"/>
        </w:rPr>
        <w:t xml:space="preserve"> billion</w:t>
      </w:r>
      <w:r w:rsidRPr="00D5126A">
        <w:rPr>
          <w:rFonts w:ascii="Arial" w:hAnsi="Arial" w:cs="Arial"/>
        </w:rPr>
        <w:t xml:space="preserve"> Let’s Get Wellington Moving package will hopefully mean increases in Transport performance in coming years. </w:t>
      </w:r>
      <w:r w:rsidRPr="00D5126A">
        <w:rPr>
          <w:rFonts w:ascii="Arial" w:hAnsi="Arial" w:cs="Arial"/>
        </w:rPr>
        <w:br/>
        <w:t>The performance measures in our parking area also didn’t met targets this year. Occupancy in the weekend and weekdays was only 57</w:t>
      </w:r>
      <w:r w:rsidR="00764F8B">
        <w:rPr>
          <w:rFonts w:ascii="Arial" w:hAnsi="Arial" w:cs="Arial"/>
        </w:rPr>
        <w:t xml:space="preserve"> percent</w:t>
      </w:r>
      <w:r w:rsidR="00764F8B" w:rsidRPr="00D5126A">
        <w:rPr>
          <w:rFonts w:ascii="Arial" w:hAnsi="Arial" w:cs="Arial"/>
        </w:rPr>
        <w:t xml:space="preserve">, </w:t>
      </w:r>
      <w:r w:rsidRPr="00D5126A">
        <w:rPr>
          <w:rFonts w:ascii="Arial" w:hAnsi="Arial" w:cs="Arial"/>
        </w:rPr>
        <w:t>and satisfaction with the availability was also down, but in line with other years. Perception of enforcement fairness was also down 10 percentage points to 43</w:t>
      </w:r>
      <w:r w:rsidR="00764F8B">
        <w:rPr>
          <w:rFonts w:ascii="Arial" w:hAnsi="Arial" w:cs="Arial"/>
        </w:rPr>
        <w:t xml:space="preserve"> percent</w:t>
      </w:r>
      <w:r w:rsidR="00764F8B" w:rsidRPr="00D5126A">
        <w:rPr>
          <w:rFonts w:ascii="Arial" w:hAnsi="Arial" w:cs="Arial"/>
        </w:rPr>
        <w:t xml:space="preserve">, </w:t>
      </w:r>
      <w:r w:rsidRPr="00D5126A">
        <w:rPr>
          <w:rFonts w:ascii="Arial" w:hAnsi="Arial" w:cs="Arial"/>
        </w:rPr>
        <w:t>under the target of greater than 50</w:t>
      </w:r>
      <w:r w:rsidR="00446091">
        <w:rPr>
          <w:rFonts w:ascii="Arial" w:hAnsi="Arial" w:cs="Arial"/>
        </w:rPr>
        <w:t xml:space="preserve"> </w:t>
      </w:r>
      <w:r w:rsidR="00764F8B">
        <w:rPr>
          <w:rFonts w:ascii="Arial" w:hAnsi="Arial" w:cs="Arial"/>
        </w:rPr>
        <w:t>percent</w:t>
      </w:r>
      <w:r w:rsidR="00764F8B" w:rsidRPr="00D5126A">
        <w:rPr>
          <w:rFonts w:ascii="Arial" w:hAnsi="Arial" w:cs="Arial"/>
        </w:rPr>
        <w:t>.</w:t>
      </w:r>
    </w:p>
    <w:p w:rsidR="0075165F" w:rsidRPr="00DD6D6D" w:rsidRDefault="0075165F" w:rsidP="0075165F">
      <w:pPr>
        <w:pStyle w:val="Heading4"/>
        <w:rPr>
          <w:color w:val="FF0000"/>
        </w:rPr>
      </w:pPr>
      <w:r w:rsidRPr="00DD6D6D">
        <w:rPr>
          <w:color w:val="FF0000"/>
        </w:rPr>
        <w:lastRenderedPageBreak/>
        <w:t>Performance summary</w:t>
      </w:r>
    </w:p>
    <w:p w:rsidR="0075165F" w:rsidRPr="00D5126A" w:rsidRDefault="0075165F" w:rsidP="0075165F">
      <w:pPr>
        <w:pStyle w:val="Para034"/>
        <w:spacing w:line="240" w:lineRule="auto"/>
        <w:rPr>
          <w:rFonts w:ascii="Arial" w:hAnsi="Arial" w:cs="Arial"/>
        </w:rPr>
      </w:pPr>
      <w:r w:rsidRPr="00D5126A">
        <w:rPr>
          <w:rFonts w:ascii="Arial" w:hAnsi="Arial" w:cs="Arial"/>
        </w:rPr>
        <w:t>The following table is a summary of how well we performed against our agreed outcome indicators and key performance measures for this activity area.</w:t>
      </w:r>
    </w:p>
    <w:tbl>
      <w:tblPr>
        <w:tblW w:w="9327" w:type="dxa"/>
        <w:tblInd w:w="-459" w:type="dxa"/>
        <w:tblLayout w:type="fixed"/>
        <w:tblLook w:val="04A0" w:firstRow="1" w:lastRow="0" w:firstColumn="1" w:lastColumn="0" w:noHBand="0" w:noVBand="1"/>
      </w:tblPr>
      <w:tblGrid>
        <w:gridCol w:w="3544"/>
        <w:gridCol w:w="992"/>
        <w:gridCol w:w="1247"/>
        <w:gridCol w:w="1225"/>
        <w:gridCol w:w="1106"/>
        <w:gridCol w:w="1213"/>
      </w:tblGrid>
      <w:tr w:rsidR="005C6473" w:rsidRPr="00D5126A" w:rsidTr="00DD6D6D">
        <w:trPr>
          <w:trHeight w:val="665"/>
        </w:trPr>
        <w:tc>
          <w:tcPr>
            <w:tcW w:w="3544" w:type="dxa"/>
            <w:tcBorders>
              <w:top w:val="nil"/>
              <w:left w:val="nil"/>
              <w:bottom w:val="nil"/>
              <w:right w:val="nil"/>
            </w:tcBorders>
            <w:shd w:val="clear" w:color="auto" w:fill="auto"/>
            <w:noWrap/>
            <w:vAlign w:val="center"/>
            <w:hideMark/>
          </w:tcPr>
          <w:p w:rsidR="005C6473" w:rsidRPr="00D5126A" w:rsidRDefault="005C6473" w:rsidP="00A03EAD">
            <w:pPr>
              <w:spacing w:after="0" w:line="240" w:lineRule="auto"/>
              <w:ind w:left="33" w:hanging="33"/>
              <w:jc w:val="center"/>
              <w:rPr>
                <w:rFonts w:ascii="Arial" w:eastAsia="Times New Roman" w:hAnsi="Arial" w:cs="Arial"/>
                <w:color w:val="000000"/>
                <w:sz w:val="20"/>
                <w:szCs w:val="20"/>
                <w:lang w:eastAsia="en-NZ"/>
              </w:rPr>
            </w:pPr>
          </w:p>
        </w:tc>
        <w:tc>
          <w:tcPr>
            <w:tcW w:w="992" w:type="dxa"/>
            <w:tcBorders>
              <w:top w:val="nil"/>
              <w:left w:val="nil"/>
              <w:bottom w:val="nil"/>
              <w:right w:val="nil"/>
            </w:tcBorders>
            <w:shd w:val="clear" w:color="auto" w:fill="auto"/>
            <w:noWrap/>
            <w:vAlign w:val="center"/>
            <w:hideMark/>
          </w:tcPr>
          <w:p w:rsidR="005C6473" w:rsidRPr="00DD6D6D" w:rsidRDefault="005C6473" w:rsidP="00DD6D6D">
            <w:pPr>
              <w:spacing w:after="0" w:line="240" w:lineRule="auto"/>
              <w:jc w:val="center"/>
              <w:rPr>
                <w:rFonts w:ascii="Arial" w:eastAsia="Times New Roman" w:hAnsi="Arial" w:cs="Arial"/>
                <w:i/>
                <w:iCs/>
                <w:color w:val="000000"/>
                <w:szCs w:val="20"/>
                <w:lang w:eastAsia="en-NZ"/>
              </w:rPr>
            </w:pPr>
            <w:r w:rsidRPr="00D5126A">
              <w:rPr>
                <w:rFonts w:ascii="Arial" w:eastAsia="Times New Roman" w:hAnsi="Arial" w:cs="Arial"/>
                <w:i/>
                <w:iCs/>
                <w:color w:val="000000"/>
                <w:szCs w:val="20"/>
                <w:lang w:eastAsia="en-NZ"/>
              </w:rPr>
              <w:t>Not met</w:t>
            </w:r>
          </w:p>
        </w:tc>
        <w:tc>
          <w:tcPr>
            <w:tcW w:w="1247" w:type="dxa"/>
            <w:tcBorders>
              <w:top w:val="nil"/>
              <w:left w:val="nil"/>
              <w:bottom w:val="nil"/>
              <w:right w:val="nil"/>
            </w:tcBorders>
            <w:shd w:val="clear" w:color="auto" w:fill="auto"/>
            <w:noWrap/>
            <w:vAlign w:val="center"/>
            <w:hideMark/>
          </w:tcPr>
          <w:p w:rsidR="005C6473" w:rsidRPr="00D5126A" w:rsidRDefault="005C6473" w:rsidP="00DD6D6D">
            <w:pPr>
              <w:spacing w:after="0" w:line="240" w:lineRule="auto"/>
              <w:jc w:val="center"/>
              <w:rPr>
                <w:rFonts w:ascii="Arial" w:eastAsia="Times New Roman" w:hAnsi="Arial" w:cs="Arial"/>
                <w:i/>
                <w:color w:val="000000"/>
                <w:szCs w:val="20"/>
                <w:lang w:eastAsia="en-NZ"/>
              </w:rPr>
            </w:pPr>
            <w:r>
              <w:rPr>
                <w:rFonts w:ascii="Arial" w:eastAsia="Times New Roman" w:hAnsi="Arial" w:cs="Arial"/>
                <w:i/>
                <w:color w:val="000000"/>
                <w:szCs w:val="20"/>
                <w:lang w:eastAsia="en-NZ"/>
              </w:rPr>
              <w:t>Within 10%</w:t>
            </w:r>
          </w:p>
        </w:tc>
        <w:tc>
          <w:tcPr>
            <w:tcW w:w="1225" w:type="dxa"/>
            <w:tcBorders>
              <w:top w:val="nil"/>
              <w:left w:val="nil"/>
              <w:bottom w:val="nil"/>
              <w:right w:val="nil"/>
            </w:tcBorders>
            <w:shd w:val="clear" w:color="auto" w:fill="auto"/>
            <w:noWrap/>
            <w:vAlign w:val="center"/>
            <w:hideMark/>
          </w:tcPr>
          <w:p w:rsidR="005C6473" w:rsidRPr="00DD6D6D" w:rsidRDefault="005C6473" w:rsidP="00DD6D6D">
            <w:pPr>
              <w:spacing w:after="0" w:line="240" w:lineRule="auto"/>
              <w:jc w:val="center"/>
              <w:rPr>
                <w:rFonts w:ascii="Arial" w:eastAsia="Times New Roman" w:hAnsi="Arial" w:cs="Arial"/>
                <w:i/>
                <w:iCs/>
                <w:color w:val="000000"/>
                <w:szCs w:val="20"/>
                <w:lang w:eastAsia="en-NZ"/>
              </w:rPr>
            </w:pPr>
            <w:r w:rsidRPr="00D5126A">
              <w:rPr>
                <w:rFonts w:ascii="Arial" w:eastAsia="Times New Roman" w:hAnsi="Arial" w:cs="Arial"/>
                <w:i/>
                <w:iCs/>
                <w:color w:val="000000"/>
                <w:szCs w:val="20"/>
                <w:lang w:eastAsia="en-NZ"/>
              </w:rPr>
              <w:t>Exceeded</w:t>
            </w:r>
          </w:p>
        </w:tc>
        <w:tc>
          <w:tcPr>
            <w:tcW w:w="1106" w:type="dxa"/>
            <w:tcBorders>
              <w:top w:val="nil"/>
              <w:left w:val="nil"/>
              <w:bottom w:val="nil"/>
              <w:right w:val="nil"/>
            </w:tcBorders>
            <w:shd w:val="clear" w:color="auto" w:fill="auto"/>
            <w:vAlign w:val="center"/>
            <w:hideMark/>
          </w:tcPr>
          <w:p w:rsidR="005C6473" w:rsidRPr="00D5126A" w:rsidRDefault="005C6473" w:rsidP="00DD6D6D">
            <w:pPr>
              <w:spacing w:after="0" w:line="240" w:lineRule="auto"/>
              <w:jc w:val="center"/>
              <w:rPr>
                <w:rFonts w:ascii="Arial" w:eastAsia="Times New Roman" w:hAnsi="Arial" w:cs="Arial"/>
                <w:i/>
                <w:color w:val="000000"/>
                <w:szCs w:val="20"/>
                <w:lang w:eastAsia="en-NZ"/>
              </w:rPr>
            </w:pPr>
            <w:r w:rsidRPr="00D5126A">
              <w:rPr>
                <w:rFonts w:ascii="Arial" w:eastAsia="Times New Roman" w:hAnsi="Arial" w:cs="Arial"/>
                <w:i/>
                <w:color w:val="000000"/>
                <w:szCs w:val="20"/>
                <w:lang w:eastAsia="en-NZ"/>
              </w:rPr>
              <w:t>Baseline</w:t>
            </w:r>
          </w:p>
        </w:tc>
        <w:tc>
          <w:tcPr>
            <w:tcW w:w="1213" w:type="dxa"/>
            <w:tcBorders>
              <w:top w:val="nil"/>
              <w:left w:val="nil"/>
              <w:bottom w:val="nil"/>
              <w:right w:val="nil"/>
            </w:tcBorders>
            <w:shd w:val="clear" w:color="auto" w:fill="auto"/>
            <w:vAlign w:val="center"/>
          </w:tcPr>
          <w:p w:rsidR="005C6473" w:rsidRPr="00D5126A" w:rsidRDefault="005C6473" w:rsidP="00A03EAD">
            <w:pPr>
              <w:spacing w:after="0" w:line="240" w:lineRule="auto"/>
              <w:jc w:val="center"/>
              <w:rPr>
                <w:rFonts w:ascii="Arial" w:eastAsia="Times New Roman" w:hAnsi="Arial" w:cs="Arial"/>
                <w:color w:val="000000"/>
                <w:szCs w:val="20"/>
                <w:lang w:eastAsia="en-NZ"/>
              </w:rPr>
            </w:pPr>
            <w:r w:rsidRPr="00D5126A">
              <w:rPr>
                <w:rFonts w:ascii="Arial" w:eastAsia="Times New Roman" w:hAnsi="Arial" w:cs="Arial"/>
                <w:color w:val="000000"/>
                <w:szCs w:val="20"/>
                <w:lang w:eastAsia="en-NZ"/>
              </w:rPr>
              <w:t>Total Measures</w:t>
            </w:r>
          </w:p>
        </w:tc>
      </w:tr>
      <w:tr w:rsidR="005C6473" w:rsidRPr="00D5126A" w:rsidTr="00446091">
        <w:trPr>
          <w:trHeight w:val="255"/>
        </w:trPr>
        <w:tc>
          <w:tcPr>
            <w:tcW w:w="3544" w:type="dxa"/>
            <w:tcBorders>
              <w:top w:val="nil"/>
              <w:left w:val="nil"/>
              <w:bottom w:val="nil"/>
              <w:right w:val="nil"/>
            </w:tcBorders>
            <w:shd w:val="clear" w:color="auto" w:fill="FF0000"/>
            <w:noWrap/>
            <w:vAlign w:val="bottom"/>
          </w:tcPr>
          <w:p w:rsidR="005C6473" w:rsidRPr="00D5126A" w:rsidRDefault="005C6473" w:rsidP="00A03EAD">
            <w:pPr>
              <w:spacing w:after="0"/>
              <w:rPr>
                <w:rFonts w:cstheme="minorHAnsi"/>
                <w:b/>
                <w:bCs/>
                <w:color w:val="FFFFFF" w:themeColor="background1"/>
                <w:sz w:val="24"/>
                <w:szCs w:val="20"/>
              </w:rPr>
            </w:pPr>
            <w:r w:rsidRPr="00D5126A">
              <w:rPr>
                <w:rFonts w:cstheme="minorHAnsi"/>
                <w:b/>
                <w:bCs/>
                <w:color w:val="FFFFFF" w:themeColor="background1"/>
                <w:sz w:val="24"/>
                <w:szCs w:val="20"/>
              </w:rPr>
              <w:t>7. Waka - Transport</w:t>
            </w:r>
          </w:p>
        </w:tc>
        <w:tc>
          <w:tcPr>
            <w:tcW w:w="992" w:type="dxa"/>
            <w:tcBorders>
              <w:top w:val="nil"/>
              <w:left w:val="nil"/>
              <w:bottom w:val="nil"/>
              <w:right w:val="nil"/>
            </w:tcBorders>
            <w:shd w:val="clear" w:color="auto" w:fill="FF0000"/>
            <w:noWrap/>
            <w:vAlign w:val="bottom"/>
          </w:tcPr>
          <w:p w:rsidR="005C6473" w:rsidRPr="00D5126A" w:rsidRDefault="005C6473" w:rsidP="00A03EAD">
            <w:pPr>
              <w:spacing w:after="0"/>
              <w:jc w:val="center"/>
              <w:rPr>
                <w:rFonts w:cstheme="minorHAnsi"/>
                <w:color w:val="FFFFFF" w:themeColor="background1"/>
                <w:sz w:val="20"/>
                <w:szCs w:val="20"/>
              </w:rPr>
            </w:pPr>
          </w:p>
        </w:tc>
        <w:tc>
          <w:tcPr>
            <w:tcW w:w="1247" w:type="dxa"/>
            <w:tcBorders>
              <w:top w:val="nil"/>
              <w:left w:val="nil"/>
              <w:bottom w:val="nil"/>
              <w:right w:val="nil"/>
            </w:tcBorders>
            <w:shd w:val="clear" w:color="auto" w:fill="FF0000"/>
            <w:noWrap/>
            <w:vAlign w:val="bottom"/>
          </w:tcPr>
          <w:p w:rsidR="005C6473" w:rsidRPr="00D5126A" w:rsidRDefault="005C6473" w:rsidP="00A03EAD">
            <w:pPr>
              <w:spacing w:after="0"/>
              <w:jc w:val="center"/>
              <w:rPr>
                <w:rFonts w:cstheme="minorHAnsi"/>
                <w:color w:val="FFFFFF" w:themeColor="background1"/>
                <w:sz w:val="20"/>
                <w:szCs w:val="20"/>
              </w:rPr>
            </w:pPr>
          </w:p>
        </w:tc>
        <w:tc>
          <w:tcPr>
            <w:tcW w:w="1225" w:type="dxa"/>
            <w:tcBorders>
              <w:top w:val="nil"/>
              <w:left w:val="nil"/>
              <w:bottom w:val="nil"/>
              <w:right w:val="nil"/>
            </w:tcBorders>
            <w:shd w:val="clear" w:color="auto" w:fill="FF0000"/>
            <w:noWrap/>
            <w:vAlign w:val="bottom"/>
          </w:tcPr>
          <w:p w:rsidR="005C6473" w:rsidRPr="00D5126A" w:rsidRDefault="005C6473" w:rsidP="00A03EAD">
            <w:pPr>
              <w:spacing w:after="0"/>
              <w:jc w:val="center"/>
              <w:rPr>
                <w:rFonts w:cstheme="minorHAnsi"/>
                <w:color w:val="FFFFFF" w:themeColor="background1"/>
                <w:sz w:val="20"/>
                <w:szCs w:val="20"/>
              </w:rPr>
            </w:pPr>
          </w:p>
        </w:tc>
        <w:tc>
          <w:tcPr>
            <w:tcW w:w="1106" w:type="dxa"/>
            <w:tcBorders>
              <w:top w:val="nil"/>
              <w:left w:val="nil"/>
              <w:bottom w:val="nil"/>
              <w:right w:val="nil"/>
            </w:tcBorders>
            <w:shd w:val="clear" w:color="auto" w:fill="FF0000"/>
            <w:noWrap/>
            <w:vAlign w:val="bottom"/>
          </w:tcPr>
          <w:p w:rsidR="005C6473" w:rsidRPr="00D5126A" w:rsidRDefault="005C6473" w:rsidP="00A03EAD">
            <w:pPr>
              <w:spacing w:after="0"/>
              <w:jc w:val="center"/>
              <w:rPr>
                <w:rFonts w:cstheme="minorHAnsi"/>
                <w:color w:val="FFFFFF" w:themeColor="background1"/>
                <w:sz w:val="20"/>
                <w:szCs w:val="20"/>
              </w:rPr>
            </w:pPr>
          </w:p>
        </w:tc>
        <w:tc>
          <w:tcPr>
            <w:tcW w:w="1213" w:type="dxa"/>
            <w:tcBorders>
              <w:top w:val="nil"/>
              <w:left w:val="nil"/>
              <w:bottom w:val="nil"/>
              <w:right w:val="nil"/>
            </w:tcBorders>
            <w:shd w:val="clear" w:color="auto" w:fill="FF0000"/>
            <w:noWrap/>
            <w:vAlign w:val="bottom"/>
          </w:tcPr>
          <w:p w:rsidR="005C6473" w:rsidRPr="00D5126A" w:rsidRDefault="005C6473" w:rsidP="00A03EAD">
            <w:pPr>
              <w:spacing w:after="0"/>
              <w:jc w:val="center"/>
              <w:rPr>
                <w:rFonts w:cstheme="minorHAnsi"/>
                <w:color w:val="FFFFFF" w:themeColor="background1"/>
                <w:sz w:val="20"/>
                <w:szCs w:val="20"/>
              </w:rPr>
            </w:pPr>
          </w:p>
        </w:tc>
      </w:tr>
      <w:tr w:rsidR="005C6473" w:rsidRPr="00D5126A" w:rsidTr="00446091">
        <w:trPr>
          <w:trHeight w:val="255"/>
        </w:trPr>
        <w:tc>
          <w:tcPr>
            <w:tcW w:w="3544" w:type="dxa"/>
            <w:tcBorders>
              <w:top w:val="nil"/>
              <w:left w:val="nil"/>
              <w:bottom w:val="nil"/>
              <w:right w:val="nil"/>
            </w:tcBorders>
            <w:shd w:val="clear" w:color="auto" w:fill="auto"/>
            <w:noWrap/>
          </w:tcPr>
          <w:p w:rsidR="005C6473" w:rsidRPr="00D5126A" w:rsidRDefault="005C6473" w:rsidP="00E15BDA">
            <w:pPr>
              <w:spacing w:after="0" w:line="240" w:lineRule="auto"/>
              <w:ind w:left="317"/>
              <w:rPr>
                <w:rFonts w:cstheme="minorHAnsi"/>
                <w:sz w:val="20"/>
              </w:rPr>
            </w:pPr>
            <w:r w:rsidRPr="00D5126A">
              <w:rPr>
                <w:rFonts w:cstheme="minorHAnsi"/>
                <w:sz w:val="20"/>
              </w:rPr>
              <w:t xml:space="preserve">7.1 Transport network </w:t>
            </w:r>
          </w:p>
        </w:tc>
        <w:tc>
          <w:tcPr>
            <w:tcW w:w="992" w:type="dxa"/>
            <w:tcBorders>
              <w:top w:val="nil"/>
              <w:left w:val="nil"/>
              <w:bottom w:val="nil"/>
              <w:right w:val="nil"/>
            </w:tcBorders>
            <w:shd w:val="clear" w:color="auto" w:fill="auto"/>
            <w:noWrap/>
          </w:tcPr>
          <w:p w:rsidR="005C6473" w:rsidRPr="00D5126A" w:rsidRDefault="005C6473" w:rsidP="00A03EAD">
            <w:pPr>
              <w:spacing w:after="0" w:line="240" w:lineRule="auto"/>
              <w:jc w:val="center"/>
              <w:rPr>
                <w:rFonts w:cstheme="minorHAnsi"/>
                <w:b/>
                <w:sz w:val="24"/>
              </w:rPr>
            </w:pPr>
            <w:r w:rsidRPr="00D5126A">
              <w:rPr>
                <w:rFonts w:cstheme="minorHAnsi"/>
                <w:b/>
                <w:sz w:val="24"/>
              </w:rPr>
              <w:t>7</w:t>
            </w:r>
          </w:p>
        </w:tc>
        <w:tc>
          <w:tcPr>
            <w:tcW w:w="1247" w:type="dxa"/>
            <w:tcBorders>
              <w:top w:val="nil"/>
              <w:left w:val="nil"/>
              <w:bottom w:val="nil"/>
              <w:right w:val="nil"/>
            </w:tcBorders>
            <w:shd w:val="clear" w:color="auto" w:fill="auto"/>
            <w:noWrap/>
          </w:tcPr>
          <w:p w:rsidR="005C6473" w:rsidRPr="00D5126A" w:rsidRDefault="005C6473" w:rsidP="00A03EAD">
            <w:pPr>
              <w:spacing w:after="0" w:line="240" w:lineRule="auto"/>
              <w:jc w:val="center"/>
              <w:rPr>
                <w:rFonts w:cstheme="minorHAnsi"/>
                <w:b/>
                <w:sz w:val="24"/>
              </w:rPr>
            </w:pPr>
            <w:r>
              <w:rPr>
                <w:rFonts w:cstheme="minorHAnsi"/>
                <w:b/>
                <w:sz w:val="24"/>
              </w:rPr>
              <w:t>22</w:t>
            </w:r>
          </w:p>
        </w:tc>
        <w:tc>
          <w:tcPr>
            <w:tcW w:w="1225" w:type="dxa"/>
            <w:tcBorders>
              <w:top w:val="nil"/>
              <w:left w:val="nil"/>
              <w:bottom w:val="nil"/>
              <w:right w:val="nil"/>
            </w:tcBorders>
            <w:shd w:val="clear" w:color="auto" w:fill="auto"/>
            <w:noWrap/>
          </w:tcPr>
          <w:p w:rsidR="005C6473" w:rsidRPr="00D5126A" w:rsidRDefault="005C6473" w:rsidP="00A03EAD">
            <w:pPr>
              <w:spacing w:after="0" w:line="240" w:lineRule="auto"/>
              <w:jc w:val="center"/>
              <w:rPr>
                <w:rFonts w:cstheme="minorHAnsi"/>
                <w:b/>
                <w:sz w:val="24"/>
              </w:rPr>
            </w:pPr>
            <w:r>
              <w:rPr>
                <w:rFonts w:cstheme="minorHAnsi"/>
                <w:b/>
                <w:sz w:val="24"/>
              </w:rPr>
              <w:t>2</w:t>
            </w:r>
          </w:p>
        </w:tc>
        <w:tc>
          <w:tcPr>
            <w:tcW w:w="1106" w:type="dxa"/>
            <w:tcBorders>
              <w:top w:val="nil"/>
              <w:left w:val="nil"/>
              <w:bottom w:val="nil"/>
              <w:right w:val="nil"/>
            </w:tcBorders>
            <w:shd w:val="clear" w:color="auto" w:fill="auto"/>
            <w:noWrap/>
          </w:tcPr>
          <w:p w:rsidR="005C6473" w:rsidRPr="00D5126A" w:rsidRDefault="005C6473" w:rsidP="00A03EAD">
            <w:pPr>
              <w:spacing w:after="0" w:line="240" w:lineRule="auto"/>
              <w:jc w:val="center"/>
              <w:rPr>
                <w:rFonts w:cstheme="minorHAnsi"/>
                <w:b/>
                <w:sz w:val="24"/>
              </w:rPr>
            </w:pPr>
            <w:r w:rsidRPr="00D5126A">
              <w:rPr>
                <w:rFonts w:cstheme="minorHAnsi"/>
                <w:b/>
                <w:sz w:val="24"/>
              </w:rPr>
              <w:t>1</w:t>
            </w:r>
          </w:p>
        </w:tc>
        <w:tc>
          <w:tcPr>
            <w:tcW w:w="1213" w:type="dxa"/>
            <w:tcBorders>
              <w:top w:val="nil"/>
              <w:left w:val="nil"/>
              <w:bottom w:val="nil"/>
              <w:right w:val="nil"/>
            </w:tcBorders>
            <w:shd w:val="clear" w:color="auto" w:fill="auto"/>
            <w:noWrap/>
          </w:tcPr>
          <w:p w:rsidR="005C6473" w:rsidRPr="00D5126A" w:rsidRDefault="005C6473" w:rsidP="00A03EAD">
            <w:pPr>
              <w:spacing w:after="0" w:line="240" w:lineRule="auto"/>
              <w:jc w:val="center"/>
              <w:rPr>
                <w:rFonts w:cstheme="minorHAnsi"/>
                <w:b/>
                <w:sz w:val="24"/>
              </w:rPr>
            </w:pPr>
            <w:r w:rsidRPr="00D5126A">
              <w:rPr>
                <w:rFonts w:cstheme="minorHAnsi"/>
                <w:b/>
                <w:sz w:val="24"/>
              </w:rPr>
              <w:t>32</w:t>
            </w:r>
          </w:p>
        </w:tc>
      </w:tr>
      <w:tr w:rsidR="005C6473" w:rsidRPr="00D5126A" w:rsidTr="00446091">
        <w:trPr>
          <w:trHeight w:val="255"/>
        </w:trPr>
        <w:tc>
          <w:tcPr>
            <w:tcW w:w="3544" w:type="dxa"/>
            <w:tcBorders>
              <w:top w:val="nil"/>
              <w:left w:val="nil"/>
              <w:bottom w:val="nil"/>
              <w:right w:val="nil"/>
            </w:tcBorders>
            <w:shd w:val="clear" w:color="auto" w:fill="auto"/>
            <w:noWrap/>
          </w:tcPr>
          <w:p w:rsidR="005C6473" w:rsidRPr="00D5126A" w:rsidRDefault="005C6473" w:rsidP="00E15BDA">
            <w:pPr>
              <w:spacing w:after="0" w:line="240" w:lineRule="auto"/>
              <w:ind w:left="317"/>
              <w:rPr>
                <w:rFonts w:cstheme="minorHAnsi"/>
                <w:sz w:val="20"/>
              </w:rPr>
            </w:pPr>
            <w:r w:rsidRPr="00D5126A">
              <w:rPr>
                <w:rFonts w:cstheme="minorHAnsi"/>
                <w:sz w:val="20"/>
              </w:rPr>
              <w:t>7.2 Parking</w:t>
            </w:r>
          </w:p>
        </w:tc>
        <w:tc>
          <w:tcPr>
            <w:tcW w:w="992" w:type="dxa"/>
            <w:tcBorders>
              <w:top w:val="nil"/>
              <w:left w:val="nil"/>
              <w:bottom w:val="nil"/>
              <w:right w:val="nil"/>
            </w:tcBorders>
            <w:shd w:val="clear" w:color="auto" w:fill="auto"/>
            <w:noWrap/>
          </w:tcPr>
          <w:p w:rsidR="005C6473" w:rsidRPr="00D5126A" w:rsidRDefault="005C6473" w:rsidP="00A03EAD">
            <w:pPr>
              <w:spacing w:after="0" w:line="240" w:lineRule="auto"/>
              <w:jc w:val="center"/>
              <w:rPr>
                <w:rFonts w:cstheme="minorHAnsi"/>
                <w:b/>
                <w:sz w:val="24"/>
              </w:rPr>
            </w:pPr>
            <w:r w:rsidRPr="00D5126A">
              <w:rPr>
                <w:rFonts w:cstheme="minorHAnsi"/>
                <w:b/>
                <w:sz w:val="24"/>
              </w:rPr>
              <w:t>5</w:t>
            </w:r>
          </w:p>
        </w:tc>
        <w:tc>
          <w:tcPr>
            <w:tcW w:w="1247" w:type="dxa"/>
            <w:tcBorders>
              <w:top w:val="nil"/>
              <w:left w:val="nil"/>
              <w:bottom w:val="nil"/>
              <w:right w:val="nil"/>
            </w:tcBorders>
            <w:shd w:val="clear" w:color="auto" w:fill="auto"/>
            <w:noWrap/>
          </w:tcPr>
          <w:p w:rsidR="005C6473" w:rsidRPr="00D5126A" w:rsidRDefault="005C6473" w:rsidP="00A03EAD">
            <w:pPr>
              <w:spacing w:after="0" w:line="240" w:lineRule="auto"/>
              <w:jc w:val="center"/>
              <w:rPr>
                <w:rFonts w:cstheme="minorHAnsi"/>
                <w:b/>
                <w:sz w:val="24"/>
              </w:rPr>
            </w:pPr>
            <w:r w:rsidRPr="00D5126A">
              <w:rPr>
                <w:rFonts w:cstheme="minorHAnsi"/>
                <w:b/>
                <w:sz w:val="24"/>
              </w:rPr>
              <w:t>1</w:t>
            </w:r>
          </w:p>
        </w:tc>
        <w:tc>
          <w:tcPr>
            <w:tcW w:w="1225" w:type="dxa"/>
            <w:tcBorders>
              <w:top w:val="nil"/>
              <w:left w:val="nil"/>
              <w:bottom w:val="nil"/>
              <w:right w:val="nil"/>
            </w:tcBorders>
            <w:shd w:val="clear" w:color="auto" w:fill="auto"/>
            <w:noWrap/>
          </w:tcPr>
          <w:p w:rsidR="005C6473" w:rsidRPr="00D5126A" w:rsidRDefault="005C6473" w:rsidP="00A03EAD">
            <w:pPr>
              <w:spacing w:after="0" w:line="240" w:lineRule="auto"/>
              <w:jc w:val="center"/>
              <w:rPr>
                <w:rFonts w:cstheme="minorHAnsi"/>
                <w:b/>
                <w:sz w:val="24"/>
              </w:rPr>
            </w:pPr>
            <w:r>
              <w:rPr>
                <w:rFonts w:cstheme="minorHAnsi"/>
                <w:b/>
                <w:sz w:val="24"/>
              </w:rPr>
              <w:t>0</w:t>
            </w:r>
          </w:p>
        </w:tc>
        <w:tc>
          <w:tcPr>
            <w:tcW w:w="1106" w:type="dxa"/>
            <w:tcBorders>
              <w:top w:val="nil"/>
              <w:left w:val="nil"/>
              <w:bottom w:val="nil"/>
              <w:right w:val="nil"/>
            </w:tcBorders>
            <w:shd w:val="clear" w:color="auto" w:fill="auto"/>
            <w:noWrap/>
          </w:tcPr>
          <w:p w:rsidR="005C6473" w:rsidRPr="00D5126A" w:rsidRDefault="00060BB3" w:rsidP="00A03EAD">
            <w:pPr>
              <w:spacing w:after="0" w:line="240" w:lineRule="auto"/>
              <w:jc w:val="center"/>
              <w:rPr>
                <w:rFonts w:cstheme="minorHAnsi"/>
                <w:b/>
                <w:sz w:val="24"/>
              </w:rPr>
            </w:pPr>
            <w:r>
              <w:rPr>
                <w:rFonts w:cstheme="minorHAnsi"/>
                <w:b/>
                <w:sz w:val="24"/>
              </w:rPr>
              <w:t>0</w:t>
            </w:r>
          </w:p>
        </w:tc>
        <w:tc>
          <w:tcPr>
            <w:tcW w:w="1213" w:type="dxa"/>
            <w:tcBorders>
              <w:top w:val="nil"/>
              <w:left w:val="nil"/>
              <w:bottom w:val="nil"/>
              <w:right w:val="nil"/>
            </w:tcBorders>
            <w:shd w:val="clear" w:color="auto" w:fill="auto"/>
            <w:noWrap/>
          </w:tcPr>
          <w:p w:rsidR="005C6473" w:rsidRPr="00D5126A" w:rsidRDefault="005C6473" w:rsidP="00A03EAD">
            <w:pPr>
              <w:spacing w:after="0" w:line="240" w:lineRule="auto"/>
              <w:jc w:val="center"/>
              <w:rPr>
                <w:rFonts w:cstheme="minorHAnsi"/>
                <w:b/>
                <w:sz w:val="24"/>
              </w:rPr>
            </w:pPr>
            <w:r w:rsidRPr="00D5126A">
              <w:rPr>
                <w:rFonts w:cstheme="minorHAnsi"/>
                <w:b/>
                <w:sz w:val="24"/>
              </w:rPr>
              <w:t>6</w:t>
            </w:r>
          </w:p>
        </w:tc>
      </w:tr>
      <w:tr w:rsidR="005C6473" w:rsidRPr="00D5126A" w:rsidTr="00446091">
        <w:trPr>
          <w:trHeight w:val="255"/>
        </w:trPr>
        <w:tc>
          <w:tcPr>
            <w:tcW w:w="3544" w:type="dxa"/>
            <w:tcBorders>
              <w:top w:val="single" w:sz="12" w:space="0" w:color="auto"/>
              <w:left w:val="nil"/>
              <w:bottom w:val="single" w:sz="12" w:space="0" w:color="auto"/>
              <w:right w:val="nil"/>
            </w:tcBorders>
            <w:shd w:val="clear" w:color="auto" w:fill="FFB9B9"/>
            <w:noWrap/>
            <w:vAlign w:val="bottom"/>
          </w:tcPr>
          <w:p w:rsidR="005C6473" w:rsidRPr="00D5126A" w:rsidRDefault="005C6473" w:rsidP="00A03EAD">
            <w:pPr>
              <w:spacing w:after="0"/>
              <w:rPr>
                <w:rFonts w:cstheme="minorHAnsi"/>
                <w:b/>
                <w:bCs/>
                <w:sz w:val="24"/>
                <w:szCs w:val="20"/>
              </w:rPr>
            </w:pPr>
            <w:r w:rsidRPr="00D5126A">
              <w:rPr>
                <w:rFonts w:cstheme="minorHAnsi"/>
                <w:b/>
                <w:bCs/>
                <w:sz w:val="24"/>
                <w:szCs w:val="20"/>
              </w:rPr>
              <w:t>Total measures</w:t>
            </w:r>
          </w:p>
        </w:tc>
        <w:tc>
          <w:tcPr>
            <w:tcW w:w="992" w:type="dxa"/>
            <w:tcBorders>
              <w:top w:val="single" w:sz="12" w:space="0" w:color="auto"/>
              <w:left w:val="nil"/>
              <w:bottom w:val="single" w:sz="12" w:space="0" w:color="auto"/>
              <w:right w:val="nil"/>
            </w:tcBorders>
            <w:shd w:val="clear" w:color="auto" w:fill="FFB9B9"/>
            <w:noWrap/>
            <w:vAlign w:val="bottom"/>
          </w:tcPr>
          <w:p w:rsidR="005C6473" w:rsidRPr="00D5126A" w:rsidRDefault="005C6473" w:rsidP="00A03EAD">
            <w:pPr>
              <w:spacing w:after="0"/>
              <w:jc w:val="center"/>
              <w:rPr>
                <w:rFonts w:cstheme="minorHAnsi"/>
                <w:b/>
                <w:sz w:val="24"/>
                <w:szCs w:val="20"/>
              </w:rPr>
            </w:pPr>
            <w:r w:rsidRPr="00D5126A">
              <w:rPr>
                <w:rFonts w:cstheme="minorHAnsi"/>
                <w:b/>
                <w:sz w:val="24"/>
                <w:szCs w:val="20"/>
              </w:rPr>
              <w:t>12</w:t>
            </w:r>
          </w:p>
        </w:tc>
        <w:tc>
          <w:tcPr>
            <w:tcW w:w="1247" w:type="dxa"/>
            <w:tcBorders>
              <w:top w:val="single" w:sz="12" w:space="0" w:color="auto"/>
              <w:left w:val="nil"/>
              <w:bottom w:val="single" w:sz="12" w:space="0" w:color="auto"/>
              <w:right w:val="nil"/>
            </w:tcBorders>
            <w:shd w:val="clear" w:color="auto" w:fill="FFB9B9"/>
            <w:noWrap/>
            <w:vAlign w:val="bottom"/>
          </w:tcPr>
          <w:p w:rsidR="005C6473" w:rsidRPr="00D5126A" w:rsidRDefault="005C6473" w:rsidP="00A03EAD">
            <w:pPr>
              <w:spacing w:after="0"/>
              <w:jc w:val="center"/>
              <w:rPr>
                <w:rFonts w:cstheme="minorHAnsi"/>
                <w:b/>
                <w:sz w:val="24"/>
                <w:szCs w:val="20"/>
              </w:rPr>
            </w:pPr>
            <w:r>
              <w:rPr>
                <w:rFonts w:cstheme="minorHAnsi"/>
                <w:b/>
                <w:sz w:val="24"/>
                <w:szCs w:val="20"/>
              </w:rPr>
              <w:t>23</w:t>
            </w:r>
          </w:p>
        </w:tc>
        <w:tc>
          <w:tcPr>
            <w:tcW w:w="1225" w:type="dxa"/>
            <w:tcBorders>
              <w:top w:val="single" w:sz="12" w:space="0" w:color="auto"/>
              <w:left w:val="nil"/>
              <w:bottom w:val="single" w:sz="12" w:space="0" w:color="auto"/>
              <w:right w:val="nil"/>
            </w:tcBorders>
            <w:shd w:val="clear" w:color="auto" w:fill="FFB9B9"/>
            <w:noWrap/>
            <w:vAlign w:val="bottom"/>
          </w:tcPr>
          <w:p w:rsidR="005C6473" w:rsidRPr="00D5126A" w:rsidRDefault="005C6473" w:rsidP="00A03EAD">
            <w:pPr>
              <w:spacing w:after="0"/>
              <w:jc w:val="center"/>
              <w:rPr>
                <w:rFonts w:cstheme="minorHAnsi"/>
                <w:b/>
                <w:sz w:val="24"/>
                <w:szCs w:val="20"/>
              </w:rPr>
            </w:pPr>
            <w:r>
              <w:rPr>
                <w:rFonts w:cstheme="minorHAnsi"/>
                <w:b/>
                <w:sz w:val="24"/>
                <w:szCs w:val="20"/>
              </w:rPr>
              <w:t>2</w:t>
            </w:r>
          </w:p>
        </w:tc>
        <w:tc>
          <w:tcPr>
            <w:tcW w:w="1106" w:type="dxa"/>
            <w:tcBorders>
              <w:top w:val="single" w:sz="12" w:space="0" w:color="auto"/>
              <w:left w:val="nil"/>
              <w:bottom w:val="single" w:sz="12" w:space="0" w:color="auto"/>
              <w:right w:val="nil"/>
            </w:tcBorders>
            <w:shd w:val="clear" w:color="auto" w:fill="FFB9B9"/>
            <w:noWrap/>
            <w:vAlign w:val="bottom"/>
          </w:tcPr>
          <w:p w:rsidR="005C6473" w:rsidRPr="00D5126A" w:rsidRDefault="005C6473" w:rsidP="00A03EAD">
            <w:pPr>
              <w:spacing w:after="0"/>
              <w:jc w:val="center"/>
              <w:rPr>
                <w:rFonts w:cstheme="minorHAnsi"/>
                <w:b/>
                <w:sz w:val="24"/>
                <w:szCs w:val="20"/>
              </w:rPr>
            </w:pPr>
            <w:r>
              <w:rPr>
                <w:rFonts w:cstheme="minorHAnsi"/>
                <w:b/>
                <w:sz w:val="24"/>
                <w:szCs w:val="20"/>
              </w:rPr>
              <w:t>1</w:t>
            </w:r>
          </w:p>
        </w:tc>
        <w:tc>
          <w:tcPr>
            <w:tcW w:w="1213" w:type="dxa"/>
            <w:tcBorders>
              <w:top w:val="single" w:sz="12" w:space="0" w:color="auto"/>
              <w:left w:val="nil"/>
              <w:bottom w:val="single" w:sz="12" w:space="0" w:color="auto"/>
              <w:right w:val="nil"/>
            </w:tcBorders>
            <w:shd w:val="clear" w:color="auto" w:fill="FFB9B9"/>
            <w:noWrap/>
            <w:vAlign w:val="bottom"/>
          </w:tcPr>
          <w:p w:rsidR="005C6473" w:rsidRPr="00D5126A" w:rsidRDefault="005C6473" w:rsidP="00A03EAD">
            <w:pPr>
              <w:spacing w:after="0"/>
              <w:jc w:val="center"/>
              <w:rPr>
                <w:rFonts w:cstheme="minorHAnsi"/>
                <w:b/>
                <w:sz w:val="24"/>
                <w:szCs w:val="20"/>
              </w:rPr>
            </w:pPr>
            <w:r w:rsidRPr="00D5126A">
              <w:rPr>
                <w:rFonts w:cstheme="minorHAnsi"/>
                <w:b/>
                <w:sz w:val="24"/>
                <w:szCs w:val="20"/>
              </w:rPr>
              <w:t>38</w:t>
            </w:r>
          </w:p>
        </w:tc>
      </w:tr>
    </w:tbl>
    <w:p w:rsidR="007F0DCF" w:rsidRPr="00DD6D6D" w:rsidRDefault="007F0DCF" w:rsidP="00AA2122">
      <w:pPr>
        <w:pStyle w:val="Heading3"/>
        <w:rPr>
          <w:color w:val="FF0000"/>
        </w:rPr>
      </w:pPr>
      <w:bookmarkStart w:id="290" w:name="7_1_Waka_Transport"/>
      <w:bookmarkStart w:id="291" w:name="_Toc19085860"/>
      <w:r w:rsidRPr="00DD6D6D">
        <w:rPr>
          <w:color w:val="FF0000"/>
        </w:rPr>
        <w:t xml:space="preserve">7.1 Waka - </w:t>
      </w:r>
      <w:r w:rsidRPr="00DD6D6D">
        <w:rPr>
          <w:rStyle w:val="00Text"/>
          <w:color w:val="FF0000"/>
        </w:rPr>
        <w:t>Transport</w:t>
      </w:r>
      <w:bookmarkEnd w:id="290"/>
      <w:bookmarkEnd w:id="291"/>
    </w:p>
    <w:p w:rsidR="007F0DCF" w:rsidRPr="00DD6D6D" w:rsidRDefault="007F0DCF" w:rsidP="00846C1B">
      <w:pPr>
        <w:pStyle w:val="Heading4"/>
        <w:rPr>
          <w:color w:val="FF0000"/>
        </w:rPr>
      </w:pPr>
      <w:r w:rsidRPr="00DD6D6D">
        <w:rPr>
          <w:color w:val="FF0000"/>
        </w:rPr>
        <w:t>What we did</w:t>
      </w:r>
    </w:p>
    <w:p w:rsidR="007F0DCF" w:rsidRPr="00D5126A" w:rsidRDefault="007F0DCF" w:rsidP="00961FC5">
      <w:pPr>
        <w:pStyle w:val="Heading5"/>
        <w:rPr>
          <w:rStyle w:val="00Text"/>
          <w:b w:val="0"/>
          <w:bCs w:val="0"/>
        </w:rPr>
      </w:pPr>
      <w:r w:rsidRPr="00D5126A">
        <w:rPr>
          <w:rStyle w:val="00Text"/>
        </w:rPr>
        <w:t>Let’s Get Wellington Moving</w:t>
      </w:r>
    </w:p>
    <w:p w:rsidR="007F0DCF" w:rsidRPr="00D5126A" w:rsidRDefault="007F0DCF" w:rsidP="007F0DCF">
      <w:pPr>
        <w:rPr>
          <w:rFonts w:ascii="Arial" w:hAnsi="Arial" w:cs="Arial"/>
        </w:rPr>
      </w:pPr>
      <w:r w:rsidRPr="00D5126A">
        <w:rPr>
          <w:rFonts w:ascii="Arial" w:hAnsi="Arial" w:cs="Arial"/>
        </w:rPr>
        <w:t xml:space="preserve">LGWM’s partners (Wellington City Council, </w:t>
      </w:r>
      <w:r w:rsidR="00764F8B">
        <w:rPr>
          <w:rFonts w:ascii="Arial" w:hAnsi="Arial" w:cs="Arial"/>
        </w:rPr>
        <w:t>GWRC</w:t>
      </w:r>
      <w:r w:rsidR="00446091">
        <w:rPr>
          <w:rFonts w:ascii="Arial" w:hAnsi="Arial" w:cs="Arial"/>
        </w:rPr>
        <w:t>,</w:t>
      </w:r>
      <w:r w:rsidRPr="00D5126A">
        <w:rPr>
          <w:rFonts w:ascii="Arial" w:hAnsi="Arial" w:cs="Arial"/>
        </w:rPr>
        <w:t xml:space="preserve"> and </w:t>
      </w:r>
      <w:r w:rsidR="00764F8B">
        <w:rPr>
          <w:rFonts w:ascii="Arial" w:hAnsi="Arial" w:cs="Arial"/>
        </w:rPr>
        <w:t>NZTA</w:t>
      </w:r>
      <w:r w:rsidRPr="00D5126A">
        <w:rPr>
          <w:rFonts w:ascii="Arial" w:hAnsi="Arial" w:cs="Arial"/>
        </w:rPr>
        <w:t xml:space="preserve">) have agreed a shared vision for Wellington’s future – a great harbour city, accessible to all, with attractive places, shared streets, and efficient local and regional journeys. </w:t>
      </w:r>
    </w:p>
    <w:p w:rsidR="007F0DCF" w:rsidRPr="00D5126A" w:rsidRDefault="007F0DCF" w:rsidP="007F0DCF">
      <w:pPr>
        <w:rPr>
          <w:rFonts w:ascii="Arial" w:hAnsi="Arial" w:cs="Arial"/>
        </w:rPr>
      </w:pPr>
      <w:r w:rsidRPr="00D5126A">
        <w:rPr>
          <w:rFonts w:ascii="Arial" w:hAnsi="Arial" w:cs="Arial"/>
        </w:rPr>
        <w:t>To realise this vision, we need to move more people with fewer vehicles. In late 2018</w:t>
      </w:r>
      <w:r w:rsidR="00764F8B">
        <w:rPr>
          <w:rFonts w:ascii="Arial" w:hAnsi="Arial" w:cs="Arial"/>
        </w:rPr>
        <w:t>,</w:t>
      </w:r>
      <w:r w:rsidRPr="00D5126A">
        <w:rPr>
          <w:rFonts w:ascii="Arial" w:hAnsi="Arial" w:cs="Arial"/>
        </w:rPr>
        <w:t xml:space="preserve"> LGWM developed and agreed a Recommended Programme of Investment that was a starting point for engagement with central government on the way to developing a fundable package.</w:t>
      </w:r>
    </w:p>
    <w:p w:rsidR="007F0DCF" w:rsidRPr="00D5126A" w:rsidRDefault="007F0DCF" w:rsidP="007F0DCF">
      <w:pPr>
        <w:rPr>
          <w:rFonts w:ascii="Arial" w:hAnsi="Arial" w:cs="Arial"/>
        </w:rPr>
      </w:pPr>
      <w:r w:rsidRPr="00D5126A">
        <w:rPr>
          <w:rFonts w:ascii="Arial" w:hAnsi="Arial" w:cs="Arial"/>
        </w:rPr>
        <w:t>In May 2019, after discussion</w:t>
      </w:r>
      <w:r w:rsidR="00764F8B">
        <w:rPr>
          <w:rFonts w:ascii="Arial" w:hAnsi="Arial" w:cs="Arial"/>
        </w:rPr>
        <w:t>s</w:t>
      </w:r>
      <w:r w:rsidRPr="00D5126A">
        <w:rPr>
          <w:rFonts w:ascii="Arial" w:hAnsi="Arial" w:cs="Arial"/>
        </w:rPr>
        <w:t xml:space="preserve"> between the Mayor, Chair of </w:t>
      </w:r>
      <w:r w:rsidR="00764F8B">
        <w:rPr>
          <w:rFonts w:ascii="Arial" w:hAnsi="Arial" w:cs="Arial"/>
        </w:rPr>
        <w:t xml:space="preserve">GWRC </w:t>
      </w:r>
      <w:r w:rsidRPr="00D5126A">
        <w:rPr>
          <w:rFonts w:ascii="Arial" w:hAnsi="Arial" w:cs="Arial"/>
        </w:rPr>
        <w:t xml:space="preserve">and transport ministers, the </w:t>
      </w:r>
      <w:r w:rsidR="00764F8B">
        <w:rPr>
          <w:rFonts w:ascii="Arial" w:hAnsi="Arial" w:cs="Arial"/>
        </w:rPr>
        <w:t>G</w:t>
      </w:r>
      <w:r w:rsidR="00764F8B" w:rsidRPr="00D5126A">
        <w:rPr>
          <w:rFonts w:ascii="Arial" w:hAnsi="Arial" w:cs="Arial"/>
        </w:rPr>
        <w:t xml:space="preserve">overnment </w:t>
      </w:r>
      <w:r w:rsidRPr="00D5126A">
        <w:rPr>
          <w:rFonts w:ascii="Arial" w:hAnsi="Arial" w:cs="Arial"/>
        </w:rPr>
        <w:t xml:space="preserve">announced a $6.4 billion indicative package for Wellington’s transport future. </w:t>
      </w:r>
    </w:p>
    <w:p w:rsidR="007F0DCF" w:rsidRPr="00D5126A" w:rsidRDefault="007F0DCF" w:rsidP="007F0DCF">
      <w:pPr>
        <w:rPr>
          <w:rFonts w:ascii="Arial" w:hAnsi="Arial" w:cs="Arial"/>
        </w:rPr>
      </w:pPr>
      <w:r w:rsidRPr="00D5126A">
        <w:rPr>
          <w:rFonts w:ascii="Arial" w:hAnsi="Arial" w:cs="Arial"/>
        </w:rPr>
        <w:t>The multi-decade plan for LGWM includes a walkable central city, a connected cycleway network, and public transport improvements such as mass transit between the central city and the airport. It also includes grade separation between north-south and east-west m</w:t>
      </w:r>
      <w:r w:rsidR="00D47947">
        <w:rPr>
          <w:rFonts w:ascii="Arial" w:hAnsi="Arial" w:cs="Arial"/>
        </w:rPr>
        <w:t xml:space="preserve">ovements at the Basin Reserve, </w:t>
      </w:r>
      <w:r w:rsidRPr="00D5126A">
        <w:rPr>
          <w:rFonts w:ascii="Arial" w:hAnsi="Arial" w:cs="Arial"/>
        </w:rPr>
        <w:t xml:space="preserve">and an extra Mt Victoria Tunnel with widening of Ruahine Street and </w:t>
      </w:r>
      <w:r w:rsidR="00251826">
        <w:rPr>
          <w:rFonts w:ascii="Arial" w:hAnsi="Arial" w:cs="Arial"/>
        </w:rPr>
        <w:t>Wellington</w:t>
      </w:r>
      <w:r w:rsidRPr="00D5126A">
        <w:rPr>
          <w:rFonts w:ascii="Arial" w:hAnsi="Arial" w:cs="Arial"/>
        </w:rPr>
        <w:t xml:space="preserve"> Road.</w:t>
      </w:r>
    </w:p>
    <w:p w:rsidR="007F0DCF" w:rsidRPr="00D5126A" w:rsidRDefault="007F0DCF" w:rsidP="007F0DCF">
      <w:pPr>
        <w:rPr>
          <w:rFonts w:ascii="Arial" w:hAnsi="Arial" w:cs="Arial"/>
        </w:rPr>
      </w:pPr>
      <w:r w:rsidRPr="00D5126A">
        <w:rPr>
          <w:rFonts w:ascii="Arial" w:hAnsi="Arial" w:cs="Arial"/>
        </w:rPr>
        <w:t>In June and July 2019, LGWM’s next steps were supported by all three programme partners. These include:</w:t>
      </w:r>
    </w:p>
    <w:p w:rsidR="007F0DCF" w:rsidRPr="00D5126A" w:rsidRDefault="00705A65" w:rsidP="002C7BF8">
      <w:pPr>
        <w:pStyle w:val="ListParagraph"/>
        <w:numPr>
          <w:ilvl w:val="0"/>
          <w:numId w:val="83"/>
        </w:numPr>
        <w:ind w:left="1134" w:hanging="414"/>
        <w:rPr>
          <w:rFonts w:ascii="Arial" w:hAnsi="Arial" w:cs="Arial"/>
        </w:rPr>
      </w:pPr>
      <w:r>
        <w:rPr>
          <w:rFonts w:ascii="Arial" w:hAnsi="Arial" w:cs="Arial"/>
        </w:rPr>
        <w:t>e</w:t>
      </w:r>
      <w:r w:rsidRPr="00D5126A">
        <w:rPr>
          <w:rFonts w:ascii="Arial" w:hAnsi="Arial" w:cs="Arial"/>
        </w:rPr>
        <w:t xml:space="preserve">arly </w:t>
      </w:r>
      <w:r w:rsidR="007F0DCF" w:rsidRPr="00D5126A">
        <w:rPr>
          <w:rFonts w:ascii="Arial" w:hAnsi="Arial" w:cs="Arial"/>
        </w:rPr>
        <w:t>improvements to bus reliability, walking and cycling on the Golden Mile, Thorndon Quay and Hutt Road, safer speeds in the central city and State Highway 1 to the east of Mt Victoria, and a new walking and cycling crossing on Cobham Drive</w:t>
      </w:r>
    </w:p>
    <w:p w:rsidR="007F0DCF" w:rsidRPr="00D5126A" w:rsidRDefault="00705A65" w:rsidP="002C7BF8">
      <w:pPr>
        <w:pStyle w:val="ListParagraph"/>
        <w:numPr>
          <w:ilvl w:val="0"/>
          <w:numId w:val="83"/>
        </w:numPr>
        <w:ind w:left="1134" w:hanging="414"/>
        <w:rPr>
          <w:rFonts w:ascii="Arial" w:hAnsi="Arial" w:cs="Arial"/>
        </w:rPr>
      </w:pPr>
      <w:r>
        <w:rPr>
          <w:rFonts w:ascii="Arial" w:hAnsi="Arial" w:cs="Arial"/>
        </w:rPr>
        <w:t>b</w:t>
      </w:r>
      <w:r w:rsidRPr="00D5126A">
        <w:rPr>
          <w:rFonts w:ascii="Arial" w:hAnsi="Arial" w:cs="Arial"/>
        </w:rPr>
        <w:t xml:space="preserve">usiness </w:t>
      </w:r>
      <w:r w:rsidR="007F0DCF" w:rsidRPr="00D5126A">
        <w:rPr>
          <w:rFonts w:ascii="Arial" w:hAnsi="Arial" w:cs="Arial"/>
        </w:rPr>
        <w:t>cases for the larger programme elements, such as mass transit, the Basin Reserve, and an extra Mt Victoria tunnel</w:t>
      </w:r>
    </w:p>
    <w:p w:rsidR="007F0DCF" w:rsidRPr="00D5126A" w:rsidRDefault="00705A65" w:rsidP="002C7BF8">
      <w:pPr>
        <w:pStyle w:val="ListParagraph"/>
        <w:numPr>
          <w:ilvl w:val="0"/>
          <w:numId w:val="83"/>
        </w:numPr>
        <w:ind w:left="1134" w:hanging="414"/>
        <w:rPr>
          <w:rFonts w:cstheme="minorBidi"/>
          <w:b/>
          <w:bCs/>
        </w:rPr>
      </w:pPr>
      <w:proofErr w:type="gramStart"/>
      <w:r>
        <w:rPr>
          <w:rFonts w:ascii="Arial" w:hAnsi="Arial" w:cs="Arial"/>
        </w:rPr>
        <w:t>a</w:t>
      </w:r>
      <w:proofErr w:type="gramEnd"/>
      <w:r w:rsidRPr="00D5126A">
        <w:rPr>
          <w:rFonts w:ascii="Arial" w:hAnsi="Arial" w:cs="Arial"/>
        </w:rPr>
        <w:t xml:space="preserve"> </w:t>
      </w:r>
      <w:r w:rsidR="007F0DCF" w:rsidRPr="00D5126A">
        <w:rPr>
          <w:rFonts w:ascii="Arial" w:hAnsi="Arial" w:cs="Arial"/>
        </w:rPr>
        <w:t>new partnership agreement to deliver the LGWM plan</w:t>
      </w:r>
      <w:r>
        <w:rPr>
          <w:rFonts w:ascii="Arial" w:hAnsi="Arial" w:cs="Arial"/>
        </w:rPr>
        <w:t>.</w:t>
      </w:r>
    </w:p>
    <w:p w:rsidR="007F0DCF" w:rsidRPr="00D5126A" w:rsidRDefault="007F0DCF" w:rsidP="00961FC5">
      <w:pPr>
        <w:pStyle w:val="Heading5"/>
        <w:rPr>
          <w:rStyle w:val="00Text"/>
        </w:rPr>
      </w:pPr>
      <w:r w:rsidRPr="00D5126A">
        <w:rPr>
          <w:rStyle w:val="00Text"/>
        </w:rPr>
        <w:t>Bike paths and lanes</w:t>
      </w:r>
    </w:p>
    <w:p w:rsidR="007F0DCF" w:rsidRPr="00D5126A" w:rsidRDefault="007F0DCF" w:rsidP="007F0DCF">
      <w:pPr>
        <w:rPr>
          <w:rStyle w:val="00Text"/>
          <w:rFonts w:ascii="Arial" w:hAnsi="Arial" w:cs="Arial"/>
          <w:b w:val="0"/>
        </w:rPr>
      </w:pPr>
      <w:r w:rsidRPr="00D5126A">
        <w:rPr>
          <w:rStyle w:val="00Text"/>
          <w:rFonts w:ascii="Arial" w:hAnsi="Arial" w:cs="Arial"/>
          <w:b w:val="0"/>
        </w:rPr>
        <w:t xml:space="preserve">Developing safer routes and connections so more people of all ages and abilities can choose to make some trips by bike is part of making sure Wellington remains a great place to live as the population grows. </w:t>
      </w:r>
    </w:p>
    <w:p w:rsidR="007F0DCF" w:rsidRPr="00D5126A" w:rsidRDefault="007F0DCF" w:rsidP="007F0DCF">
      <w:pPr>
        <w:rPr>
          <w:rStyle w:val="00Text"/>
          <w:rFonts w:ascii="Arial" w:hAnsi="Arial" w:cs="Arial"/>
          <w:b w:val="0"/>
        </w:rPr>
      </w:pPr>
      <w:r w:rsidRPr="00D5126A">
        <w:rPr>
          <w:rStyle w:val="00Text"/>
          <w:rFonts w:ascii="Arial" w:hAnsi="Arial" w:cs="Arial"/>
          <w:b w:val="0"/>
        </w:rPr>
        <w:lastRenderedPageBreak/>
        <w:t>About 80,000 Wellingtonians live within a 15-minute bike ride of the central city, so getting places by bike is a thing a lot more of us could be doing with the right improvements.  Along with walking more and taking public transport, it’s a good way to make fewer car trips and help reduce emissions that cause climate change.</w:t>
      </w:r>
    </w:p>
    <w:p w:rsidR="007F0DCF" w:rsidRPr="00D5126A" w:rsidRDefault="007F0DCF" w:rsidP="007F0DCF">
      <w:pPr>
        <w:rPr>
          <w:rStyle w:val="00Text"/>
          <w:rFonts w:ascii="Arial" w:hAnsi="Arial" w:cs="Arial"/>
          <w:b w:val="0"/>
        </w:rPr>
      </w:pPr>
      <w:r w:rsidRPr="00D5126A">
        <w:rPr>
          <w:rStyle w:val="00Text"/>
          <w:rFonts w:ascii="Arial" w:hAnsi="Arial" w:cs="Arial"/>
          <w:b w:val="0"/>
        </w:rPr>
        <w:t xml:space="preserve">Like other local authorities, we are continuing to work in partnership with the Government and </w:t>
      </w:r>
      <w:r w:rsidR="00705A65">
        <w:rPr>
          <w:rStyle w:val="00Text"/>
          <w:rFonts w:ascii="Arial" w:hAnsi="Arial" w:cs="Arial"/>
          <w:b w:val="0"/>
        </w:rPr>
        <w:t>NZTA</w:t>
      </w:r>
      <w:r w:rsidRPr="00D5126A">
        <w:rPr>
          <w:rStyle w:val="00Text"/>
          <w:rFonts w:ascii="Arial" w:hAnsi="Arial" w:cs="Arial"/>
          <w:b w:val="0"/>
        </w:rPr>
        <w:t>, to plan and roll out changes that will make this possible.</w:t>
      </w:r>
    </w:p>
    <w:p w:rsidR="007F0DCF" w:rsidRPr="00D5126A" w:rsidRDefault="007F0DCF" w:rsidP="007F0DCF">
      <w:pPr>
        <w:rPr>
          <w:rStyle w:val="00Text"/>
          <w:rFonts w:ascii="Arial" w:hAnsi="Arial" w:cs="Arial"/>
          <w:b w:val="0"/>
        </w:rPr>
      </w:pPr>
      <w:r w:rsidRPr="00D5126A">
        <w:rPr>
          <w:rStyle w:val="00Text"/>
          <w:rFonts w:ascii="Arial" w:hAnsi="Arial" w:cs="Arial"/>
          <w:b w:val="0"/>
        </w:rPr>
        <w:t>The new walking and bike paths along Hutt Road were completed in the second half of 2018. This key route from the north will be further improved in late 2019 with the widening of the bridge over the Kaiwharawhara Stream. We’re also upgrading the off-road section of Wakely Road to improve this connection to Newlands.</w:t>
      </w:r>
    </w:p>
    <w:p w:rsidR="007F0DCF" w:rsidRPr="00D5126A" w:rsidRDefault="007F0DCF" w:rsidP="007F0DCF">
      <w:pPr>
        <w:rPr>
          <w:rStyle w:val="00Text"/>
          <w:rFonts w:ascii="Arial" w:hAnsi="Arial" w:cs="Arial"/>
          <w:b w:val="0"/>
        </w:rPr>
      </w:pPr>
      <w:r w:rsidRPr="00D5126A">
        <w:rPr>
          <w:rStyle w:val="00Text"/>
          <w:rFonts w:ascii="Arial" w:hAnsi="Arial" w:cs="Arial"/>
          <w:b w:val="0"/>
        </w:rPr>
        <w:t>We created more space for people on the narrowest section of Oriental Parade between Herd Street and Freyberg Pool, including a new 350</w:t>
      </w:r>
      <w:r w:rsidR="00705A65">
        <w:rPr>
          <w:rStyle w:val="00Text"/>
          <w:rFonts w:ascii="Arial" w:hAnsi="Arial" w:cs="Arial"/>
          <w:b w:val="0"/>
        </w:rPr>
        <w:t xml:space="preserve"> </w:t>
      </w:r>
      <w:r w:rsidRPr="00D5126A">
        <w:rPr>
          <w:rStyle w:val="00Text"/>
          <w:rFonts w:ascii="Arial" w:hAnsi="Arial" w:cs="Arial"/>
          <w:b w:val="0"/>
        </w:rPr>
        <w:t>m</w:t>
      </w:r>
      <w:r w:rsidR="00705A65">
        <w:rPr>
          <w:rStyle w:val="00Text"/>
          <w:rFonts w:ascii="Arial" w:hAnsi="Arial" w:cs="Arial"/>
          <w:b w:val="0"/>
        </w:rPr>
        <w:t xml:space="preserve"> </w:t>
      </w:r>
      <w:r w:rsidRPr="00D5126A">
        <w:rPr>
          <w:rStyle w:val="00Text"/>
          <w:rFonts w:ascii="Arial" w:hAnsi="Arial" w:cs="Arial"/>
          <w:b w:val="0"/>
        </w:rPr>
        <w:t xml:space="preserve">long two-way bike path (see case study page at the end of this chapter). </w:t>
      </w:r>
    </w:p>
    <w:p w:rsidR="007F0DCF" w:rsidRPr="00D5126A" w:rsidRDefault="007F0DCF" w:rsidP="007F0DCF">
      <w:pPr>
        <w:rPr>
          <w:rStyle w:val="00Text"/>
          <w:rFonts w:ascii="Arial" w:hAnsi="Arial" w:cs="Arial"/>
          <w:b w:val="0"/>
        </w:rPr>
      </w:pPr>
      <w:r w:rsidRPr="00D5126A">
        <w:rPr>
          <w:rStyle w:val="00Text"/>
          <w:rFonts w:ascii="Arial" w:hAnsi="Arial" w:cs="Arial"/>
          <w:b w:val="0"/>
        </w:rPr>
        <w:t>We made a series of improvements in the central city, including a new protected bike lane on Rugby Street, more bike-friendly connections to the waterfront, an extension to the bike lanes on Featherston Street, and installation of the city’s first public two-tier bike rack in Grey Street, which has covered space for 60 bikes.</w:t>
      </w:r>
    </w:p>
    <w:p w:rsidR="007F0DCF" w:rsidRPr="00D5126A" w:rsidRDefault="007F0DCF" w:rsidP="007F0DCF">
      <w:pPr>
        <w:rPr>
          <w:rStyle w:val="00Text"/>
          <w:rFonts w:ascii="Arial" w:hAnsi="Arial" w:cs="Arial"/>
          <w:b w:val="0"/>
        </w:rPr>
      </w:pPr>
      <w:r w:rsidRPr="00D5126A">
        <w:rPr>
          <w:rStyle w:val="00Text"/>
          <w:rFonts w:ascii="Arial" w:hAnsi="Arial" w:cs="Arial"/>
          <w:b w:val="0"/>
        </w:rPr>
        <w:t>Following several years of community engagement, we made it safer for people to bike between Kilbirnie and Newtown with new protected uphill bike lanes on Crawford Road and the top of Constable Street. Safer routes were also developed in Rongotai Road and Evans Bay Parade in Kilbirnie.</w:t>
      </w:r>
    </w:p>
    <w:p w:rsidR="007F0DCF" w:rsidRPr="00D5126A" w:rsidRDefault="007F0DCF" w:rsidP="007F0DCF">
      <w:pPr>
        <w:rPr>
          <w:rStyle w:val="00Text"/>
          <w:rFonts w:ascii="Arial" w:hAnsi="Arial" w:cs="Arial"/>
          <w:b w:val="0"/>
        </w:rPr>
      </w:pPr>
      <w:r w:rsidRPr="00D5126A">
        <w:rPr>
          <w:rStyle w:val="00Text"/>
          <w:rFonts w:ascii="Arial" w:hAnsi="Arial" w:cs="Arial"/>
          <w:b w:val="0"/>
        </w:rPr>
        <w:t>Work is in full swing on Cobham Drive, and at Pt Jerningham, to create Tahitai – the new coastal connection. When complete, it will allow people to travel the 7</w:t>
      </w:r>
      <w:r w:rsidR="00705A65">
        <w:rPr>
          <w:rStyle w:val="00Text"/>
          <w:rFonts w:ascii="Arial" w:hAnsi="Arial" w:cs="Arial"/>
          <w:b w:val="0"/>
        </w:rPr>
        <w:t xml:space="preserve"> </w:t>
      </w:r>
      <w:r w:rsidRPr="00D5126A">
        <w:rPr>
          <w:rStyle w:val="00Text"/>
          <w:rFonts w:ascii="Arial" w:hAnsi="Arial" w:cs="Arial"/>
          <w:b w:val="0"/>
        </w:rPr>
        <w:t>km between the Miramar cutting and city without having to ride on the road.</w:t>
      </w:r>
    </w:p>
    <w:p w:rsidR="007F0DCF" w:rsidRPr="00D5126A" w:rsidRDefault="007F0DCF" w:rsidP="007F0DCF">
      <w:pPr>
        <w:rPr>
          <w:rStyle w:val="00Text"/>
          <w:rFonts w:ascii="Arial" w:hAnsi="Arial" w:cs="Arial"/>
          <w:b w:val="0"/>
        </w:rPr>
      </w:pPr>
      <w:r w:rsidRPr="00D5126A">
        <w:rPr>
          <w:rStyle w:val="00Text"/>
          <w:rFonts w:ascii="Arial" w:hAnsi="Arial" w:cs="Arial"/>
          <w:b w:val="0"/>
        </w:rPr>
        <w:t xml:space="preserve">Community engagement to plan safer connections between the south coast and the city through Newtown, Berhampore and Mt Cook is continuing, and will be looked at in conjunction with changes to improve bus journey times.  A </w:t>
      </w:r>
      <w:r w:rsidR="00705A65">
        <w:rPr>
          <w:rStyle w:val="00Text"/>
          <w:rFonts w:ascii="Arial" w:hAnsi="Arial" w:cs="Arial"/>
          <w:b w:val="0"/>
        </w:rPr>
        <w:t>g</w:t>
      </w:r>
      <w:r w:rsidR="00705A65" w:rsidRPr="00D5126A">
        <w:rPr>
          <w:rStyle w:val="00Text"/>
          <w:rFonts w:ascii="Arial" w:hAnsi="Arial" w:cs="Arial"/>
          <w:b w:val="0"/>
        </w:rPr>
        <w:t xml:space="preserve">overnment </w:t>
      </w:r>
      <w:r w:rsidRPr="00D5126A">
        <w:rPr>
          <w:rStyle w:val="00Text"/>
          <w:rFonts w:ascii="Arial" w:hAnsi="Arial" w:cs="Arial"/>
          <w:b w:val="0"/>
        </w:rPr>
        <w:t>funding bid for work in this area will include the redesign work planned for Island Bay.</w:t>
      </w:r>
    </w:p>
    <w:p w:rsidR="007F0DCF" w:rsidRPr="00D5126A" w:rsidRDefault="007F0DCF" w:rsidP="00961FC5">
      <w:pPr>
        <w:pStyle w:val="Heading5"/>
      </w:pPr>
      <w:r w:rsidRPr="00D5126A">
        <w:t>LED street lighting</w:t>
      </w:r>
    </w:p>
    <w:p w:rsidR="007F0DCF" w:rsidRPr="00D5126A" w:rsidRDefault="007F0DCF" w:rsidP="007F0DCF">
      <w:pPr>
        <w:rPr>
          <w:rFonts w:ascii="Arial" w:hAnsi="Arial" w:cs="Arial"/>
        </w:rPr>
      </w:pPr>
      <w:r w:rsidRPr="00D5126A">
        <w:rPr>
          <w:rFonts w:ascii="Arial" w:hAnsi="Arial" w:cs="Arial"/>
        </w:rPr>
        <w:t xml:space="preserve">To date, 14,409 LED lights have been installed out of a total of 14,500. The remaining lights on road reserve need maintenance </w:t>
      </w:r>
      <w:r w:rsidRPr="00705A65">
        <w:rPr>
          <w:rFonts w:ascii="Arial" w:hAnsi="Arial" w:cs="Arial"/>
        </w:rPr>
        <w:t>(broken outreach arm, pole replacements and infill lights). The lights were installed, sub</w:t>
      </w:r>
      <w:r w:rsidRPr="00D5126A">
        <w:rPr>
          <w:rFonts w:ascii="Arial" w:hAnsi="Arial" w:cs="Arial"/>
        </w:rPr>
        <w:t xml:space="preserve">urb by suburb, at 50 percent brightness to avoid issues with glare. </w:t>
      </w:r>
    </w:p>
    <w:p w:rsidR="007F0DCF" w:rsidRPr="00D5126A" w:rsidRDefault="007F0DCF" w:rsidP="007F0DCF">
      <w:pPr>
        <w:rPr>
          <w:rFonts w:ascii="Arial" w:hAnsi="Arial" w:cs="Arial"/>
        </w:rPr>
      </w:pPr>
      <w:r w:rsidRPr="00D5126A">
        <w:rPr>
          <w:rFonts w:ascii="Arial" w:hAnsi="Arial" w:cs="Arial"/>
        </w:rPr>
        <w:t xml:space="preserve">A small number of people, mainly from the Eastern Suburbs who were the first to get the LEDs, told the Council that the lights were not bright enough on some streets. In these cases, the lights can be adjusted remotely by the Council via its Central Management System. The lights </w:t>
      </w:r>
      <w:proofErr w:type="gramStart"/>
      <w:r w:rsidRPr="00D5126A">
        <w:rPr>
          <w:rFonts w:ascii="Arial" w:hAnsi="Arial" w:cs="Arial"/>
        </w:rPr>
        <w:t>will last longer than the old lights, will</w:t>
      </w:r>
      <w:proofErr w:type="gramEnd"/>
      <w:r w:rsidRPr="00D5126A">
        <w:rPr>
          <w:rFonts w:ascii="Arial" w:hAnsi="Arial" w:cs="Arial"/>
        </w:rPr>
        <w:t xml:space="preserve"> use less power and are more cost effective. The LED lighting programme is being prioritised to take advantage of 85 percent funding from NZTA.</w:t>
      </w:r>
    </w:p>
    <w:p w:rsidR="007F0DCF" w:rsidRPr="00D5126A" w:rsidRDefault="007F0DCF" w:rsidP="00961FC5">
      <w:pPr>
        <w:pStyle w:val="Heading5"/>
      </w:pPr>
      <w:r w:rsidRPr="00D5126A">
        <w:rPr>
          <w:rStyle w:val="00Text"/>
        </w:rPr>
        <w:lastRenderedPageBreak/>
        <w:t>Public transport</w:t>
      </w:r>
    </w:p>
    <w:p w:rsidR="007F0DCF" w:rsidRPr="00D5126A" w:rsidRDefault="007F0DCF" w:rsidP="007F0DCF">
      <w:pPr>
        <w:pStyle w:val="Para010"/>
        <w:numPr>
          <w:ilvl w:val="0"/>
          <w:numId w:val="0"/>
        </w:numPr>
        <w:spacing w:line="240" w:lineRule="auto"/>
        <w:rPr>
          <w:rFonts w:ascii="Arial" w:hAnsi="Arial" w:cs="Arial"/>
        </w:rPr>
      </w:pPr>
      <w:r w:rsidRPr="00D5126A">
        <w:rPr>
          <w:rFonts w:ascii="Arial" w:hAnsi="Arial" w:cs="Arial"/>
        </w:rPr>
        <w:t xml:space="preserve">Wellington City Council had a communications challenge in this area this year because of the misconception it was responsible for the bus network changes implemented in July 2018. Wellington City Council maintains </w:t>
      </w:r>
      <w:r w:rsidR="004A5F78" w:rsidRPr="00D5126A">
        <w:rPr>
          <w:rFonts w:ascii="Arial" w:hAnsi="Arial" w:cs="Arial"/>
        </w:rPr>
        <w:t>the road reserve, bus stops and some bus shelters,</w:t>
      </w:r>
      <w:r w:rsidRPr="00D5126A">
        <w:rPr>
          <w:rFonts w:ascii="Arial" w:hAnsi="Arial" w:cs="Arial"/>
        </w:rPr>
        <w:t xml:space="preserve"> while </w:t>
      </w:r>
      <w:r w:rsidR="000340B3">
        <w:rPr>
          <w:rFonts w:ascii="Arial" w:hAnsi="Arial" w:cs="Arial"/>
        </w:rPr>
        <w:t>GWRC</w:t>
      </w:r>
      <w:r w:rsidRPr="00D5126A">
        <w:rPr>
          <w:rFonts w:ascii="Arial" w:hAnsi="Arial" w:cs="Arial"/>
        </w:rPr>
        <w:t xml:space="preserve"> is responsible for the bus network. </w:t>
      </w:r>
    </w:p>
    <w:p w:rsidR="007F0DCF" w:rsidRPr="00D5126A" w:rsidRDefault="007F0DCF" w:rsidP="007F0DCF">
      <w:pPr>
        <w:pStyle w:val="Para010"/>
        <w:numPr>
          <w:ilvl w:val="0"/>
          <w:numId w:val="0"/>
        </w:numPr>
        <w:spacing w:line="240" w:lineRule="auto"/>
        <w:rPr>
          <w:rFonts w:ascii="Arial" w:hAnsi="Arial" w:cs="Arial"/>
        </w:rPr>
      </w:pPr>
      <w:r w:rsidRPr="00D5126A">
        <w:rPr>
          <w:rFonts w:ascii="Arial" w:hAnsi="Arial" w:cs="Arial"/>
        </w:rPr>
        <w:t>We have worked closely with GWRC to help fix the issues that impacted the new buses and routes. We presented feedback received from residents to the regional council and were required to attend two select committee hearings at Parliament on the issues with the new network.</w:t>
      </w:r>
    </w:p>
    <w:p w:rsidR="007F0DCF" w:rsidRPr="00D5126A" w:rsidRDefault="007F0DCF" w:rsidP="007F0DCF">
      <w:pPr>
        <w:pStyle w:val="Para010"/>
        <w:numPr>
          <w:ilvl w:val="0"/>
          <w:numId w:val="0"/>
        </w:numPr>
        <w:spacing w:line="240" w:lineRule="auto"/>
        <w:rPr>
          <w:rFonts w:ascii="Arial" w:hAnsi="Arial" w:cs="Arial"/>
        </w:rPr>
      </w:pPr>
      <w:r w:rsidRPr="00D5126A">
        <w:rPr>
          <w:rFonts w:ascii="Arial" w:hAnsi="Arial" w:cs="Arial"/>
        </w:rPr>
        <w:t>We worked on a joint programme of improvements to the bus network  to provide better access to bus stops</w:t>
      </w:r>
      <w:r w:rsidR="000340B3">
        <w:rPr>
          <w:rFonts w:ascii="Arial" w:hAnsi="Arial" w:cs="Arial"/>
        </w:rPr>
        <w:t>,</w:t>
      </w:r>
      <w:r w:rsidRPr="00D5126A">
        <w:rPr>
          <w:rFonts w:ascii="Arial" w:hAnsi="Arial" w:cs="Arial"/>
        </w:rPr>
        <w:t xml:space="preserve"> to assist both operators and passengers and eliminate the causes of obstruction to the new double decker buses from  kerb side infrastructure, vegetation etc. </w:t>
      </w:r>
    </w:p>
    <w:p w:rsidR="00E13161" w:rsidRPr="00D5126A" w:rsidRDefault="00E13161" w:rsidP="00E13161">
      <w:pPr>
        <w:pStyle w:val="Para010"/>
        <w:numPr>
          <w:ilvl w:val="0"/>
          <w:numId w:val="0"/>
        </w:numPr>
        <w:spacing w:line="240" w:lineRule="auto"/>
        <w:rPr>
          <w:rFonts w:ascii="Arial" w:hAnsi="Arial" w:cs="Arial"/>
        </w:rPr>
      </w:pPr>
      <w:r w:rsidRPr="00D5126A">
        <w:rPr>
          <w:rFonts w:ascii="Arial" w:hAnsi="Arial" w:cs="Arial"/>
        </w:rPr>
        <w:t>In partnership with GWRC, work has commenced to identify, prioritise and implement bus prioritisation throughout the city.</w:t>
      </w:r>
    </w:p>
    <w:p w:rsidR="007F0DCF" w:rsidRPr="00D5126A" w:rsidRDefault="007F0DCF" w:rsidP="00961FC5">
      <w:pPr>
        <w:pStyle w:val="Heading5"/>
        <w:rPr>
          <w:rStyle w:val="00Text"/>
          <w:b w:val="0"/>
        </w:rPr>
      </w:pPr>
      <w:r w:rsidRPr="00D5126A">
        <w:rPr>
          <w:rStyle w:val="00Text"/>
        </w:rPr>
        <w:t>Bus stops</w:t>
      </w:r>
    </w:p>
    <w:p w:rsidR="004A5F78" w:rsidRPr="00D5126A" w:rsidRDefault="004A5F78" w:rsidP="004A5F78">
      <w:pPr>
        <w:pStyle w:val="Para010"/>
        <w:numPr>
          <w:ilvl w:val="0"/>
          <w:numId w:val="0"/>
        </w:numPr>
        <w:spacing w:line="240" w:lineRule="auto"/>
        <w:rPr>
          <w:rFonts w:ascii="Arial" w:hAnsi="Arial" w:cs="Arial"/>
        </w:rPr>
      </w:pPr>
      <w:r w:rsidRPr="00D5126A">
        <w:rPr>
          <w:rFonts w:ascii="Arial" w:hAnsi="Arial" w:cs="Arial"/>
        </w:rPr>
        <w:t xml:space="preserve">During the year we </w:t>
      </w:r>
      <w:proofErr w:type="gramStart"/>
      <w:r w:rsidRPr="00D5126A">
        <w:rPr>
          <w:rFonts w:ascii="Arial" w:hAnsi="Arial" w:cs="Arial"/>
        </w:rPr>
        <w:t>consented</w:t>
      </w:r>
      <w:proofErr w:type="gramEnd"/>
      <w:r w:rsidRPr="00D5126A">
        <w:rPr>
          <w:rFonts w:ascii="Arial" w:hAnsi="Arial" w:cs="Arial"/>
        </w:rPr>
        <w:t xml:space="preserve"> seven new bus passenger interchange transfer locations at Newtown Hospital</w:t>
      </w:r>
      <w:r w:rsidR="000340B3">
        <w:rPr>
          <w:rFonts w:ascii="Arial" w:hAnsi="Arial" w:cs="Arial"/>
        </w:rPr>
        <w:t>,</w:t>
      </w:r>
      <w:r w:rsidR="000340B3" w:rsidRPr="00D5126A">
        <w:rPr>
          <w:rFonts w:ascii="Arial" w:hAnsi="Arial" w:cs="Arial"/>
        </w:rPr>
        <w:t xml:space="preserve"> </w:t>
      </w:r>
      <w:r w:rsidRPr="00D5126A">
        <w:rPr>
          <w:rFonts w:ascii="Arial" w:hAnsi="Arial" w:cs="Arial"/>
        </w:rPr>
        <w:t>Miramar</w:t>
      </w:r>
      <w:r w:rsidR="000340B3">
        <w:rPr>
          <w:rFonts w:ascii="Arial" w:hAnsi="Arial" w:cs="Arial"/>
        </w:rPr>
        <w:t>,</w:t>
      </w:r>
      <w:r w:rsidR="000340B3" w:rsidRPr="00D5126A">
        <w:rPr>
          <w:rFonts w:ascii="Arial" w:hAnsi="Arial" w:cs="Arial"/>
        </w:rPr>
        <w:t xml:space="preserve"> </w:t>
      </w:r>
      <w:r w:rsidRPr="00D5126A">
        <w:rPr>
          <w:rFonts w:ascii="Arial" w:hAnsi="Arial" w:cs="Arial"/>
        </w:rPr>
        <w:t>Karori Tunnel</w:t>
      </w:r>
      <w:r w:rsidR="000340B3">
        <w:rPr>
          <w:rFonts w:ascii="Arial" w:hAnsi="Arial" w:cs="Arial"/>
        </w:rPr>
        <w:t>,</w:t>
      </w:r>
      <w:r w:rsidR="000340B3" w:rsidRPr="00D5126A">
        <w:rPr>
          <w:rFonts w:ascii="Arial" w:hAnsi="Arial" w:cs="Arial"/>
        </w:rPr>
        <w:t xml:space="preserve"> </w:t>
      </w:r>
      <w:r w:rsidRPr="00D5126A">
        <w:rPr>
          <w:rFonts w:ascii="Arial" w:hAnsi="Arial" w:cs="Arial"/>
        </w:rPr>
        <w:t>Brooklyn</w:t>
      </w:r>
      <w:r w:rsidR="000340B3">
        <w:rPr>
          <w:rFonts w:ascii="Arial" w:hAnsi="Arial" w:cs="Arial"/>
        </w:rPr>
        <w:t>,</w:t>
      </w:r>
      <w:r w:rsidR="000340B3" w:rsidRPr="00D5126A">
        <w:rPr>
          <w:rFonts w:ascii="Arial" w:hAnsi="Arial" w:cs="Arial"/>
        </w:rPr>
        <w:t xml:space="preserve"> </w:t>
      </w:r>
      <w:r w:rsidRPr="00D5126A">
        <w:rPr>
          <w:rFonts w:ascii="Arial" w:hAnsi="Arial" w:cs="Arial"/>
        </w:rPr>
        <w:t>Kilbirnie</w:t>
      </w:r>
      <w:r w:rsidR="000340B3">
        <w:rPr>
          <w:rFonts w:ascii="Arial" w:hAnsi="Arial" w:cs="Arial"/>
        </w:rPr>
        <w:t>,</w:t>
      </w:r>
      <w:r w:rsidR="000340B3" w:rsidRPr="00D5126A">
        <w:rPr>
          <w:rFonts w:ascii="Arial" w:hAnsi="Arial" w:cs="Arial"/>
        </w:rPr>
        <w:t xml:space="preserve"> </w:t>
      </w:r>
      <w:r w:rsidRPr="00D5126A">
        <w:rPr>
          <w:rFonts w:ascii="Arial" w:hAnsi="Arial" w:cs="Arial"/>
        </w:rPr>
        <w:t xml:space="preserve">Courtenay Place and Johnsonville. The construction was project-managed by GWRC in some instances and by Wellington City Council in others. We also built 15 new bus shelters as part of </w:t>
      </w:r>
      <w:r w:rsidR="002C6A8A">
        <w:rPr>
          <w:rFonts w:ascii="Arial" w:hAnsi="Arial" w:cs="Arial"/>
        </w:rPr>
        <w:t>our</w:t>
      </w:r>
      <w:r w:rsidRPr="00D5126A">
        <w:rPr>
          <w:rFonts w:ascii="Arial" w:hAnsi="Arial" w:cs="Arial"/>
        </w:rPr>
        <w:t xml:space="preserve"> ongoing programme to provide a shelter at most inbound bus stop</w:t>
      </w:r>
      <w:r w:rsidR="00942058">
        <w:rPr>
          <w:rFonts w:ascii="Arial" w:hAnsi="Arial" w:cs="Arial"/>
        </w:rPr>
        <w:t>s</w:t>
      </w:r>
      <w:r w:rsidRPr="00D5126A">
        <w:rPr>
          <w:rFonts w:ascii="Arial" w:hAnsi="Arial" w:cs="Arial"/>
        </w:rPr>
        <w:t>. We continued to maintain the Lambton Bus Interchange.</w:t>
      </w:r>
    </w:p>
    <w:p w:rsidR="007F0DCF" w:rsidRPr="00D5126A" w:rsidRDefault="007F0DCF" w:rsidP="00961FC5">
      <w:pPr>
        <w:pStyle w:val="Heading5"/>
      </w:pPr>
      <w:r w:rsidRPr="00D5126A">
        <w:rPr>
          <w:rStyle w:val="00Text"/>
        </w:rPr>
        <w:t>Cable car</w:t>
      </w:r>
    </w:p>
    <w:p w:rsidR="007F0DCF" w:rsidRPr="00D5126A" w:rsidRDefault="007F0DCF" w:rsidP="007F0DCF">
      <w:pPr>
        <w:pStyle w:val="Para010"/>
        <w:numPr>
          <w:ilvl w:val="0"/>
          <w:numId w:val="0"/>
        </w:numPr>
        <w:spacing w:line="240" w:lineRule="auto"/>
        <w:rPr>
          <w:rFonts w:ascii="Arial" w:hAnsi="Arial" w:cs="Arial"/>
        </w:rPr>
      </w:pPr>
      <w:r w:rsidRPr="00D5126A">
        <w:rPr>
          <w:rFonts w:ascii="Arial" w:hAnsi="Arial" w:cs="Arial"/>
        </w:rPr>
        <w:t xml:space="preserve">Wellington Cable Car Limited (WCCL) operates the Cable Car and managed the overhead bus electrical network prior to its decommissioning in 2018. </w:t>
      </w:r>
    </w:p>
    <w:p w:rsidR="007F0DCF" w:rsidRPr="00D5126A" w:rsidRDefault="007F0DCF" w:rsidP="007F0DCF">
      <w:pPr>
        <w:rPr>
          <w:rFonts w:ascii="Arial" w:hAnsi="Arial" w:cs="Arial"/>
        </w:rPr>
      </w:pPr>
      <w:r w:rsidRPr="00D5126A">
        <w:rPr>
          <w:rStyle w:val="01Text"/>
          <w:rFonts w:ascii="Arial" w:hAnsi="Arial" w:cs="Arial"/>
        </w:rPr>
        <w:t>Overhead electrical bus network</w:t>
      </w:r>
      <w:r w:rsidRPr="00D5126A">
        <w:rPr>
          <w:rFonts w:ascii="Arial" w:hAnsi="Arial" w:cs="Arial"/>
        </w:rPr>
        <w:t>: WCCL</w:t>
      </w:r>
      <w:r w:rsidRPr="00D5126A">
        <w:rPr>
          <w:rStyle w:val="00Text"/>
          <w:rFonts w:ascii="Arial" w:hAnsi="Arial" w:cs="Arial"/>
        </w:rPr>
        <w:t xml:space="preserve"> </w:t>
      </w:r>
      <w:r w:rsidRPr="00D5126A">
        <w:rPr>
          <w:rFonts w:ascii="Arial" w:hAnsi="Arial" w:cs="Arial"/>
        </w:rPr>
        <w:t>started decommissioning the trolley bus electrical network in October 2017 after operational services ceased, and the project was successfully completed in October 2018. The remaining poles and building anchors network infrastructure was transferred to Council. The decommissioning was completed on-schedule and under budget, being a great achievement by all parties involved.</w:t>
      </w:r>
    </w:p>
    <w:p w:rsidR="007F0DCF" w:rsidRPr="00D5126A" w:rsidRDefault="007F0DCF" w:rsidP="007F0DCF">
      <w:pPr>
        <w:rPr>
          <w:rFonts w:ascii="Arial" w:hAnsi="Arial" w:cs="Arial"/>
          <w:b/>
          <w:bCs/>
        </w:rPr>
      </w:pPr>
      <w:r w:rsidRPr="00D5126A">
        <w:rPr>
          <w:rStyle w:val="01Text"/>
          <w:rFonts w:ascii="Arial" w:hAnsi="Arial" w:cs="Arial"/>
        </w:rPr>
        <w:t>Cable Car operations</w:t>
      </w:r>
      <w:r w:rsidRPr="00D5126A">
        <w:rPr>
          <w:rFonts w:ascii="Arial" w:hAnsi="Arial" w:cs="Arial"/>
        </w:rPr>
        <w:t>: The 2018/19 year has shown continued growth in Cable Car passenger numbers and revenue boosted by strong cruise ship passenger numbers visiting Wellington.  The Cable Car fare revenue exceeded $3.</w:t>
      </w:r>
      <w:r w:rsidR="00942058" w:rsidRPr="00D5126A">
        <w:rPr>
          <w:rFonts w:ascii="Arial" w:hAnsi="Arial" w:cs="Arial"/>
        </w:rPr>
        <w:t>5</w:t>
      </w:r>
      <w:r w:rsidR="00942058">
        <w:rPr>
          <w:rFonts w:ascii="Arial" w:hAnsi="Arial" w:cs="Arial"/>
        </w:rPr>
        <w:t xml:space="preserve"> million</w:t>
      </w:r>
      <w:r w:rsidR="00942058" w:rsidRPr="00D5126A">
        <w:rPr>
          <w:rFonts w:ascii="Arial" w:hAnsi="Arial" w:cs="Arial"/>
        </w:rPr>
        <w:t xml:space="preserve"> </w:t>
      </w:r>
      <w:r w:rsidRPr="00D5126A">
        <w:rPr>
          <w:rFonts w:ascii="Arial" w:hAnsi="Arial" w:cs="Arial"/>
        </w:rPr>
        <w:t>for the year</w:t>
      </w:r>
      <w:r w:rsidR="00942058">
        <w:rPr>
          <w:rFonts w:ascii="Arial" w:hAnsi="Arial" w:cs="Arial"/>
        </w:rPr>
        <w:t>,</w:t>
      </w:r>
      <w:r w:rsidRPr="00D5126A">
        <w:rPr>
          <w:rFonts w:ascii="Arial" w:hAnsi="Arial" w:cs="Arial"/>
        </w:rPr>
        <w:t xml:space="preserve"> which is the first time this has been </w:t>
      </w:r>
      <w:r w:rsidR="008E18E2" w:rsidRPr="00D5126A">
        <w:rPr>
          <w:rFonts w:ascii="Arial" w:hAnsi="Arial" w:cs="Arial"/>
        </w:rPr>
        <w:t>achieved</w:t>
      </w:r>
      <w:r w:rsidRPr="00D5126A">
        <w:rPr>
          <w:rFonts w:ascii="Arial" w:hAnsi="Arial" w:cs="Arial"/>
        </w:rPr>
        <w:t>.</w:t>
      </w:r>
    </w:p>
    <w:p w:rsidR="007F0DCF" w:rsidRPr="00D5126A" w:rsidRDefault="007F0DCF" w:rsidP="007F0DCF">
      <w:pPr>
        <w:rPr>
          <w:rFonts w:ascii="Arial" w:hAnsi="Arial" w:cs="Arial"/>
        </w:rPr>
      </w:pPr>
      <w:r w:rsidRPr="00D5126A">
        <w:rPr>
          <w:rFonts w:ascii="Arial" w:hAnsi="Arial" w:cs="Arial"/>
        </w:rPr>
        <w:t>A challenge this year has been the planning and scope of the full replacement of the Cable Cars in the coming years</w:t>
      </w:r>
      <w:r w:rsidR="00942058">
        <w:rPr>
          <w:rFonts w:ascii="Arial" w:hAnsi="Arial" w:cs="Arial"/>
        </w:rPr>
        <w:t>. WCCL needs to ensure</w:t>
      </w:r>
      <w:r w:rsidRPr="00D5126A">
        <w:rPr>
          <w:rFonts w:ascii="Arial" w:hAnsi="Arial" w:cs="Arial"/>
        </w:rPr>
        <w:t xml:space="preserve"> the funding for these is in place as soon as possible</w:t>
      </w:r>
      <w:r w:rsidR="00942058">
        <w:rPr>
          <w:rFonts w:ascii="Arial" w:hAnsi="Arial" w:cs="Arial"/>
        </w:rPr>
        <w:t>,</w:t>
      </w:r>
      <w:r w:rsidRPr="00D5126A">
        <w:rPr>
          <w:rFonts w:ascii="Arial" w:hAnsi="Arial" w:cs="Arial"/>
        </w:rPr>
        <w:t xml:space="preserve"> but also that the appropriate maintenance is completed on the existing cars until their replacement, which given their age can cause unplanned outages.</w:t>
      </w:r>
    </w:p>
    <w:p w:rsidR="007F0DCF" w:rsidRPr="00D5126A" w:rsidRDefault="007F0DCF" w:rsidP="00961FC5">
      <w:pPr>
        <w:pStyle w:val="Heading5"/>
      </w:pPr>
      <w:r w:rsidRPr="00D5126A">
        <w:rPr>
          <w:rStyle w:val="00Text"/>
        </w:rPr>
        <w:t>Network maintenance/renewal</w:t>
      </w:r>
    </w:p>
    <w:p w:rsidR="007F0DCF" w:rsidRPr="00D5126A" w:rsidRDefault="007F0DCF" w:rsidP="007F0DCF">
      <w:pPr>
        <w:pStyle w:val="Para010"/>
        <w:numPr>
          <w:ilvl w:val="0"/>
          <w:numId w:val="0"/>
        </w:numPr>
        <w:spacing w:line="240" w:lineRule="auto"/>
        <w:rPr>
          <w:rFonts w:ascii="Arial" w:hAnsi="Arial" w:cs="Arial"/>
        </w:rPr>
      </w:pPr>
      <w:r w:rsidRPr="00D5126A">
        <w:rPr>
          <w:rFonts w:ascii="Arial" w:hAnsi="Arial" w:cs="Arial"/>
        </w:rPr>
        <w:t xml:space="preserve">We resurfaced 400,000 </w:t>
      </w:r>
      <w:r w:rsidR="00942058">
        <w:rPr>
          <w:rFonts w:ascii="Arial" w:hAnsi="Arial" w:cs="Arial"/>
        </w:rPr>
        <w:t>sq m</w:t>
      </w:r>
      <w:r w:rsidRPr="00D5126A">
        <w:rPr>
          <w:rFonts w:ascii="Arial" w:hAnsi="Arial" w:cs="Arial"/>
        </w:rPr>
        <w:t xml:space="preserve"> of road carriageway with a variety of surfacing materials. We also replaced 43 sumps, 55 </w:t>
      </w:r>
      <w:r w:rsidR="00942058">
        <w:rPr>
          <w:rFonts w:ascii="Arial" w:hAnsi="Arial" w:cs="Arial"/>
        </w:rPr>
        <w:t>m</w:t>
      </w:r>
      <w:r w:rsidR="00942058" w:rsidRPr="00D5126A">
        <w:rPr>
          <w:rFonts w:ascii="Arial" w:hAnsi="Arial" w:cs="Arial"/>
        </w:rPr>
        <w:t xml:space="preserve"> </w:t>
      </w:r>
      <w:r w:rsidRPr="00D5126A">
        <w:rPr>
          <w:rFonts w:ascii="Arial" w:hAnsi="Arial" w:cs="Arial"/>
        </w:rPr>
        <w:t xml:space="preserve">of sump leads and 23 </w:t>
      </w:r>
      <w:r w:rsidR="00942058">
        <w:rPr>
          <w:rFonts w:ascii="Arial" w:hAnsi="Arial" w:cs="Arial"/>
        </w:rPr>
        <w:t>m</w:t>
      </w:r>
      <w:r w:rsidR="00942058" w:rsidRPr="00D5126A">
        <w:rPr>
          <w:rFonts w:ascii="Arial" w:hAnsi="Arial" w:cs="Arial"/>
        </w:rPr>
        <w:t xml:space="preserve"> </w:t>
      </w:r>
      <w:r w:rsidRPr="00D5126A">
        <w:rPr>
          <w:rFonts w:ascii="Arial" w:hAnsi="Arial" w:cs="Arial"/>
        </w:rPr>
        <w:t xml:space="preserve">of culvert pipe. We renewed 23 </w:t>
      </w:r>
      <w:r w:rsidR="00942058">
        <w:rPr>
          <w:rFonts w:ascii="Arial" w:hAnsi="Arial" w:cs="Arial"/>
        </w:rPr>
        <w:t>km</w:t>
      </w:r>
      <w:r w:rsidR="00942058" w:rsidRPr="00D5126A">
        <w:rPr>
          <w:rFonts w:ascii="Arial" w:hAnsi="Arial" w:cs="Arial"/>
        </w:rPr>
        <w:t xml:space="preserve"> </w:t>
      </w:r>
      <w:r w:rsidRPr="00D5126A">
        <w:rPr>
          <w:rFonts w:ascii="Arial" w:hAnsi="Arial" w:cs="Arial"/>
        </w:rPr>
        <w:t xml:space="preserve">of footpaths and 9 </w:t>
      </w:r>
      <w:r w:rsidR="00942058">
        <w:rPr>
          <w:rFonts w:ascii="Arial" w:hAnsi="Arial" w:cs="Arial"/>
        </w:rPr>
        <w:t>km</w:t>
      </w:r>
      <w:r w:rsidR="00942058" w:rsidRPr="00D5126A">
        <w:rPr>
          <w:rFonts w:ascii="Arial" w:hAnsi="Arial" w:cs="Arial"/>
        </w:rPr>
        <w:t xml:space="preserve"> </w:t>
      </w:r>
      <w:r w:rsidRPr="00D5126A">
        <w:rPr>
          <w:rFonts w:ascii="Arial" w:hAnsi="Arial" w:cs="Arial"/>
        </w:rPr>
        <w:t xml:space="preserve">of kerb and channel. We installed </w:t>
      </w:r>
      <w:r w:rsidR="00942058">
        <w:rPr>
          <w:rFonts w:ascii="Arial" w:hAnsi="Arial" w:cs="Arial"/>
        </w:rPr>
        <w:t>9</w:t>
      </w:r>
      <w:r w:rsidR="00942058" w:rsidRPr="00D5126A">
        <w:rPr>
          <w:rFonts w:ascii="Arial" w:hAnsi="Arial" w:cs="Arial"/>
        </w:rPr>
        <w:t xml:space="preserve"> </w:t>
      </w:r>
      <w:r w:rsidR="00942058">
        <w:rPr>
          <w:rFonts w:ascii="Arial" w:hAnsi="Arial" w:cs="Arial"/>
        </w:rPr>
        <w:t>km</w:t>
      </w:r>
      <w:r w:rsidR="00942058" w:rsidRPr="00D5126A">
        <w:rPr>
          <w:rFonts w:ascii="Arial" w:hAnsi="Arial" w:cs="Arial"/>
        </w:rPr>
        <w:t xml:space="preserve"> </w:t>
      </w:r>
      <w:r w:rsidRPr="00D5126A">
        <w:rPr>
          <w:rFonts w:ascii="Arial" w:hAnsi="Arial" w:cs="Arial"/>
        </w:rPr>
        <w:t xml:space="preserve">of handrails, 180 litter bins, 45 cycle racks, 100 bollards, and </w:t>
      </w:r>
      <w:r w:rsidRPr="00D5126A">
        <w:rPr>
          <w:rFonts w:ascii="Arial" w:hAnsi="Arial" w:cs="Arial"/>
          <w:sz w:val="21"/>
          <w:szCs w:val="21"/>
        </w:rPr>
        <w:t>maintained or renewed 12,881 signs</w:t>
      </w:r>
      <w:r w:rsidRPr="00D5126A">
        <w:rPr>
          <w:rFonts w:ascii="Arial" w:hAnsi="Arial" w:cs="Arial"/>
        </w:rPr>
        <w:t xml:space="preserve">. We renewed 82 </w:t>
      </w:r>
      <w:r w:rsidR="00942058">
        <w:rPr>
          <w:rFonts w:ascii="Arial" w:hAnsi="Arial" w:cs="Arial"/>
        </w:rPr>
        <w:t>km</w:t>
      </w:r>
      <w:r w:rsidR="00942058" w:rsidRPr="00D5126A">
        <w:rPr>
          <w:rFonts w:ascii="Arial" w:hAnsi="Arial" w:cs="Arial"/>
        </w:rPr>
        <w:t xml:space="preserve"> </w:t>
      </w:r>
      <w:r w:rsidRPr="00D5126A">
        <w:rPr>
          <w:rFonts w:ascii="Arial" w:hAnsi="Arial" w:cs="Arial"/>
        </w:rPr>
        <w:t>of centre line road markings, 2294 symbols/letters/arrows, and 8540 reflective raised pavement markers. We installed/refurbished or relocated 150 seats.</w:t>
      </w:r>
    </w:p>
    <w:p w:rsidR="007F0DCF" w:rsidRPr="00D5126A" w:rsidRDefault="007F0DCF" w:rsidP="00961FC5">
      <w:pPr>
        <w:pStyle w:val="Heading5"/>
      </w:pPr>
      <w:r w:rsidRPr="00D5126A">
        <w:rPr>
          <w:rStyle w:val="00Text"/>
        </w:rPr>
        <w:lastRenderedPageBreak/>
        <w:t>Network operations</w:t>
      </w:r>
    </w:p>
    <w:p w:rsidR="007F0DCF" w:rsidRPr="00D5126A" w:rsidRDefault="007F0DCF" w:rsidP="007F0DCF">
      <w:pPr>
        <w:pStyle w:val="Para010"/>
        <w:numPr>
          <w:ilvl w:val="0"/>
          <w:numId w:val="0"/>
        </w:numPr>
        <w:spacing w:line="240" w:lineRule="auto"/>
        <w:rPr>
          <w:rFonts w:ascii="Arial" w:hAnsi="Arial" w:cs="Arial"/>
        </w:rPr>
      </w:pPr>
      <w:r w:rsidRPr="00D5126A">
        <w:rPr>
          <w:rFonts w:ascii="Arial" w:hAnsi="Arial" w:cs="Arial"/>
        </w:rPr>
        <w:t xml:space="preserve">We carried out a wide range of transport network operational tasks. These included: </w:t>
      </w:r>
    </w:p>
    <w:p w:rsidR="007F0DCF" w:rsidRPr="00D5126A" w:rsidRDefault="007F0DCF" w:rsidP="002C7BF8">
      <w:pPr>
        <w:pStyle w:val="ListParagraph"/>
        <w:numPr>
          <w:ilvl w:val="0"/>
          <w:numId w:val="84"/>
        </w:numPr>
        <w:ind w:left="851"/>
        <w:rPr>
          <w:rFonts w:ascii="Arial" w:hAnsi="Arial" w:cs="Arial"/>
        </w:rPr>
      </w:pPr>
      <w:r w:rsidRPr="00D5126A">
        <w:rPr>
          <w:rFonts w:ascii="Arial" w:hAnsi="Arial" w:cs="Arial"/>
        </w:rPr>
        <w:t>4673 traffic management plans (TMPs) required for contractors to carry out work on our roads, approved by our traffic management coordinator</w:t>
      </w:r>
      <w:r w:rsidR="00942058">
        <w:rPr>
          <w:rFonts w:ascii="Arial" w:hAnsi="Arial" w:cs="Arial"/>
        </w:rPr>
        <w:t xml:space="preserve"> (</w:t>
      </w:r>
      <w:r w:rsidRPr="00D5126A">
        <w:rPr>
          <w:rFonts w:ascii="Arial" w:hAnsi="Arial" w:cs="Arial"/>
        </w:rPr>
        <w:t>This does not include the ones that we reviewed and declined</w:t>
      </w:r>
      <w:r w:rsidR="00942058">
        <w:rPr>
          <w:rFonts w:ascii="Arial" w:hAnsi="Arial" w:cs="Arial"/>
        </w:rPr>
        <w:t>)</w:t>
      </w:r>
    </w:p>
    <w:p w:rsidR="007F0DCF" w:rsidRPr="00D5126A" w:rsidRDefault="007F0DCF" w:rsidP="002C7BF8">
      <w:pPr>
        <w:pStyle w:val="Para010"/>
        <w:numPr>
          <w:ilvl w:val="0"/>
          <w:numId w:val="84"/>
        </w:numPr>
        <w:spacing w:line="240" w:lineRule="auto"/>
        <w:ind w:left="851"/>
        <w:rPr>
          <w:rFonts w:ascii="Arial" w:hAnsi="Arial" w:cs="Arial"/>
        </w:rPr>
      </w:pPr>
      <w:r w:rsidRPr="00D5126A">
        <w:rPr>
          <w:rFonts w:ascii="Arial" w:hAnsi="Arial" w:cs="Arial"/>
        </w:rPr>
        <w:t>4517 corridor access requests (CARS) to work on our roads. Of these, 2396 were inspected by the compliance officers and signed into warranty</w:t>
      </w:r>
    </w:p>
    <w:p w:rsidR="007F0DCF" w:rsidRPr="00D5126A" w:rsidRDefault="00942058" w:rsidP="002C7BF8">
      <w:pPr>
        <w:pStyle w:val="Para010"/>
        <w:numPr>
          <w:ilvl w:val="0"/>
          <w:numId w:val="84"/>
        </w:numPr>
        <w:spacing w:line="240" w:lineRule="auto"/>
        <w:ind w:left="851"/>
        <w:rPr>
          <w:rFonts w:ascii="Arial" w:hAnsi="Arial" w:cs="Arial"/>
        </w:rPr>
      </w:pPr>
      <w:r w:rsidRPr="00D5126A">
        <w:rPr>
          <w:rFonts w:ascii="Arial" w:hAnsi="Arial" w:cs="Arial"/>
        </w:rPr>
        <w:t>Process</w:t>
      </w:r>
      <w:r>
        <w:rPr>
          <w:rFonts w:ascii="Arial" w:hAnsi="Arial" w:cs="Arial"/>
        </w:rPr>
        <w:t>ed</w:t>
      </w:r>
      <w:r w:rsidRPr="00D5126A">
        <w:rPr>
          <w:rFonts w:ascii="Arial" w:hAnsi="Arial" w:cs="Arial"/>
        </w:rPr>
        <w:t xml:space="preserve"> </w:t>
      </w:r>
      <w:r w:rsidR="007F0DCF" w:rsidRPr="00D5126A">
        <w:rPr>
          <w:rFonts w:ascii="Arial" w:hAnsi="Arial" w:cs="Arial"/>
        </w:rPr>
        <w:t>2080 confirm</w:t>
      </w:r>
      <w:r>
        <w:rPr>
          <w:rFonts w:ascii="Arial" w:hAnsi="Arial" w:cs="Arial"/>
        </w:rPr>
        <w:t>ed</w:t>
      </w:r>
      <w:r w:rsidR="007F0DCF" w:rsidRPr="00D5126A">
        <w:rPr>
          <w:rFonts w:ascii="Arial" w:hAnsi="Arial" w:cs="Arial"/>
        </w:rPr>
        <w:t xml:space="preserve"> enquiries for works on the road corridor</w:t>
      </w:r>
    </w:p>
    <w:p w:rsidR="007F0DCF" w:rsidRPr="00D5126A" w:rsidRDefault="00942058" w:rsidP="002C7BF8">
      <w:pPr>
        <w:pStyle w:val="Para010"/>
        <w:numPr>
          <w:ilvl w:val="0"/>
          <w:numId w:val="84"/>
        </w:numPr>
        <w:spacing w:line="240" w:lineRule="auto"/>
        <w:ind w:left="851"/>
        <w:rPr>
          <w:rFonts w:ascii="Arial" w:hAnsi="Arial" w:cs="Arial"/>
        </w:rPr>
      </w:pPr>
      <w:r w:rsidRPr="00D5126A">
        <w:rPr>
          <w:rFonts w:ascii="Arial" w:hAnsi="Arial" w:cs="Arial"/>
        </w:rPr>
        <w:t>Manag</w:t>
      </w:r>
      <w:r>
        <w:rPr>
          <w:rFonts w:ascii="Arial" w:hAnsi="Arial" w:cs="Arial"/>
        </w:rPr>
        <w:t>ed</w:t>
      </w:r>
      <w:r w:rsidRPr="00D5126A">
        <w:rPr>
          <w:rFonts w:ascii="Arial" w:hAnsi="Arial" w:cs="Arial"/>
        </w:rPr>
        <w:t xml:space="preserve"> </w:t>
      </w:r>
      <w:r w:rsidR="007F0DCF" w:rsidRPr="00D5126A">
        <w:rPr>
          <w:rFonts w:ascii="Arial" w:hAnsi="Arial" w:cs="Arial"/>
        </w:rPr>
        <w:t>the city’s 136 traffic lights and 57 CCTV cameras to ensure road users are able to move safely and conveniently around the city</w:t>
      </w:r>
    </w:p>
    <w:p w:rsidR="007F0DCF" w:rsidRPr="00D5126A" w:rsidRDefault="00942058" w:rsidP="002C7BF8">
      <w:pPr>
        <w:pStyle w:val="Para010"/>
        <w:numPr>
          <w:ilvl w:val="0"/>
          <w:numId w:val="84"/>
        </w:numPr>
        <w:spacing w:line="240" w:lineRule="auto"/>
        <w:ind w:left="851"/>
        <w:rPr>
          <w:rFonts w:ascii="Arial" w:hAnsi="Arial" w:cs="Arial"/>
        </w:rPr>
      </w:pPr>
      <w:r w:rsidRPr="00D5126A">
        <w:rPr>
          <w:rFonts w:ascii="Arial" w:hAnsi="Arial" w:cs="Arial"/>
        </w:rPr>
        <w:t>Provid</w:t>
      </w:r>
      <w:r>
        <w:rPr>
          <w:rFonts w:ascii="Arial" w:hAnsi="Arial" w:cs="Arial"/>
        </w:rPr>
        <w:t>ed</w:t>
      </w:r>
      <w:r w:rsidRPr="00D5126A">
        <w:rPr>
          <w:rFonts w:ascii="Arial" w:hAnsi="Arial" w:cs="Arial"/>
        </w:rPr>
        <w:t> </w:t>
      </w:r>
      <w:r w:rsidR="007F0DCF" w:rsidRPr="00D5126A">
        <w:rPr>
          <w:rFonts w:ascii="Arial" w:hAnsi="Arial" w:cs="Arial"/>
        </w:rPr>
        <w:t>attendance at major events like the Wellington Marathon, Matariki Sky Show, Capital City Duathlons and Triathlons, Cuba Dupa, Orange School Patrol Day, Graduation Parades and A Very Welly Christmas that required monitoring from the Council’s Traffic Operations Centre (WCCTOC).</w:t>
      </w:r>
    </w:p>
    <w:p w:rsidR="007F0DCF" w:rsidRPr="00D5126A" w:rsidRDefault="007F0DCF" w:rsidP="00961FC5">
      <w:pPr>
        <w:pStyle w:val="Heading5"/>
      </w:pPr>
      <w:r w:rsidRPr="00D5126A">
        <w:t>Resilience</w:t>
      </w:r>
    </w:p>
    <w:p w:rsidR="007F0DCF" w:rsidRPr="00D5126A" w:rsidRDefault="007F0DCF" w:rsidP="007F0DCF">
      <w:pPr>
        <w:rPr>
          <w:rFonts w:ascii="Arial" w:hAnsi="Arial" w:cs="Arial"/>
          <w:szCs w:val="24"/>
        </w:rPr>
      </w:pPr>
      <w:bookmarkStart w:id="292" w:name="7_2_Tunga_waka_Parking"/>
      <w:r w:rsidRPr="00D5126A">
        <w:rPr>
          <w:rFonts w:ascii="Arial" w:hAnsi="Arial" w:cs="Arial"/>
          <w:szCs w:val="24"/>
        </w:rPr>
        <w:t xml:space="preserve">We are working on resilience on a regional level, through the Regional Transport Committee and the Lifelines Groups, engaging with NZTA, </w:t>
      </w:r>
      <w:r w:rsidR="00942058">
        <w:rPr>
          <w:rFonts w:ascii="Arial" w:hAnsi="Arial" w:cs="Arial"/>
          <w:szCs w:val="24"/>
        </w:rPr>
        <w:t xml:space="preserve">the </w:t>
      </w:r>
      <w:r w:rsidRPr="00D5126A">
        <w:rPr>
          <w:rFonts w:ascii="Arial" w:hAnsi="Arial" w:cs="Arial"/>
          <w:szCs w:val="24"/>
        </w:rPr>
        <w:t xml:space="preserve">Ministry of Civil Defence and the other </w:t>
      </w:r>
      <w:r w:rsidR="00942058">
        <w:rPr>
          <w:rFonts w:ascii="Arial" w:hAnsi="Arial" w:cs="Arial"/>
          <w:szCs w:val="24"/>
        </w:rPr>
        <w:t>c</w:t>
      </w:r>
      <w:r w:rsidR="00942058" w:rsidRPr="00D5126A">
        <w:rPr>
          <w:rFonts w:ascii="Arial" w:hAnsi="Arial" w:cs="Arial"/>
          <w:szCs w:val="24"/>
        </w:rPr>
        <w:t xml:space="preserve">ouncils </w:t>
      </w:r>
      <w:r w:rsidR="00942058">
        <w:rPr>
          <w:rFonts w:ascii="Arial" w:hAnsi="Arial" w:cs="Arial"/>
          <w:szCs w:val="24"/>
        </w:rPr>
        <w:t>in</w:t>
      </w:r>
      <w:r w:rsidR="00942058" w:rsidRPr="00D5126A">
        <w:rPr>
          <w:rFonts w:ascii="Arial" w:hAnsi="Arial" w:cs="Arial"/>
          <w:szCs w:val="24"/>
        </w:rPr>
        <w:t xml:space="preserve"> </w:t>
      </w:r>
      <w:r w:rsidRPr="00D5126A">
        <w:rPr>
          <w:rFonts w:ascii="Arial" w:hAnsi="Arial" w:cs="Arial"/>
          <w:szCs w:val="24"/>
        </w:rPr>
        <w:t xml:space="preserve">the region. Our risk management approach aims to keep our road network assets serviceable and to improve the resilience of our critical routes and assets.  </w:t>
      </w:r>
    </w:p>
    <w:p w:rsidR="007F0DCF" w:rsidRPr="00D5126A" w:rsidRDefault="007F0DCF" w:rsidP="007F0DCF">
      <w:pPr>
        <w:rPr>
          <w:rFonts w:ascii="Arial" w:hAnsi="Arial" w:cs="Arial"/>
          <w:iCs/>
          <w:szCs w:val="24"/>
        </w:rPr>
      </w:pPr>
      <w:r w:rsidRPr="00D5126A">
        <w:rPr>
          <w:rFonts w:ascii="Arial" w:hAnsi="Arial" w:cs="Arial"/>
          <w:b/>
          <w:color w:val="000000" w:themeColor="text1"/>
          <w:szCs w:val="24"/>
          <w:lang w:eastAsia="en-NZ"/>
        </w:rPr>
        <w:t>Tunnels</w:t>
      </w:r>
      <w:r w:rsidRPr="00D5126A">
        <w:rPr>
          <w:rFonts w:ascii="Arial" w:hAnsi="Arial" w:cs="Arial"/>
          <w:color w:val="000000" w:themeColor="text1"/>
          <w:szCs w:val="24"/>
          <w:lang w:eastAsia="en-NZ"/>
        </w:rPr>
        <w:t xml:space="preserve">: </w:t>
      </w:r>
      <w:r w:rsidR="00942058">
        <w:rPr>
          <w:rFonts w:ascii="Arial" w:hAnsi="Arial" w:cs="Arial"/>
          <w:color w:val="000000" w:themeColor="text1"/>
          <w:szCs w:val="24"/>
          <w:lang w:eastAsia="en-NZ"/>
        </w:rPr>
        <w:t>We c</w:t>
      </w:r>
      <w:r w:rsidR="00942058" w:rsidRPr="00D5126A">
        <w:rPr>
          <w:rFonts w:ascii="Arial" w:hAnsi="Arial" w:cs="Arial"/>
          <w:color w:val="000000" w:themeColor="text1"/>
          <w:szCs w:val="24"/>
          <w:lang w:eastAsia="en-NZ"/>
        </w:rPr>
        <w:t xml:space="preserve">ompleted </w:t>
      </w:r>
      <w:r w:rsidRPr="00D5126A">
        <w:rPr>
          <w:rFonts w:ascii="Arial" w:hAnsi="Arial" w:cs="Arial"/>
          <w:color w:val="000000" w:themeColor="text1"/>
          <w:szCs w:val="24"/>
          <w:lang w:eastAsia="en-NZ"/>
        </w:rPr>
        <w:t>the e</w:t>
      </w:r>
      <w:r w:rsidRPr="00D5126A">
        <w:rPr>
          <w:rFonts w:ascii="Arial" w:hAnsi="Arial" w:cs="Arial"/>
          <w:iCs/>
          <w:szCs w:val="24"/>
        </w:rPr>
        <w:t xml:space="preserve">arthquake strengthening of Northland Tunnel portals. </w:t>
      </w:r>
      <w:r w:rsidR="00942058">
        <w:rPr>
          <w:rFonts w:ascii="Arial" w:hAnsi="Arial" w:cs="Arial"/>
          <w:iCs/>
          <w:szCs w:val="24"/>
        </w:rPr>
        <w:t>We also c</w:t>
      </w:r>
      <w:r w:rsidR="00942058" w:rsidRPr="00D5126A">
        <w:rPr>
          <w:rFonts w:ascii="Arial" w:hAnsi="Arial" w:cs="Arial"/>
          <w:iCs/>
          <w:szCs w:val="24"/>
        </w:rPr>
        <w:t xml:space="preserve">ompleted </w:t>
      </w:r>
      <w:r w:rsidRPr="00D5126A">
        <w:rPr>
          <w:rFonts w:ascii="Arial" w:hAnsi="Arial" w:cs="Arial"/>
          <w:iCs/>
          <w:szCs w:val="24"/>
        </w:rPr>
        <w:t>design works, issued RFT</w:t>
      </w:r>
      <w:r w:rsidR="00942058">
        <w:rPr>
          <w:rFonts w:ascii="Arial" w:hAnsi="Arial" w:cs="Arial"/>
          <w:iCs/>
          <w:szCs w:val="24"/>
        </w:rPr>
        <w:t>s</w:t>
      </w:r>
      <w:r w:rsidRPr="00D5126A">
        <w:rPr>
          <w:rFonts w:ascii="Arial" w:hAnsi="Arial" w:cs="Arial"/>
          <w:iCs/>
          <w:szCs w:val="24"/>
        </w:rPr>
        <w:t xml:space="preserve"> for the construction of the earthquake strengthening of the Seatoun Tunnel portals and retaining wall at </w:t>
      </w:r>
      <w:r w:rsidR="00942058">
        <w:rPr>
          <w:rFonts w:ascii="Arial" w:hAnsi="Arial" w:cs="Arial"/>
          <w:iCs/>
          <w:szCs w:val="24"/>
        </w:rPr>
        <w:t xml:space="preserve">the </w:t>
      </w:r>
      <w:r w:rsidRPr="00D5126A">
        <w:rPr>
          <w:rFonts w:ascii="Arial" w:hAnsi="Arial" w:cs="Arial"/>
          <w:iCs/>
          <w:szCs w:val="24"/>
        </w:rPr>
        <w:t>Strathmore side and awarded the contract.  Construction works are planned for 2019/20. A full condition assessment was completed for all bridges, tunnels and subways.</w:t>
      </w:r>
    </w:p>
    <w:p w:rsidR="007F0DCF" w:rsidRPr="00D5126A" w:rsidRDefault="007F0DCF" w:rsidP="007F0DCF">
      <w:pPr>
        <w:pStyle w:val="MainBodyText"/>
        <w:spacing w:line="276" w:lineRule="auto"/>
        <w:rPr>
          <w:rFonts w:cs="Arial"/>
          <w:szCs w:val="24"/>
        </w:rPr>
      </w:pPr>
      <w:r w:rsidRPr="00D5126A">
        <w:rPr>
          <w:rFonts w:cs="Arial"/>
          <w:b/>
          <w:iCs/>
          <w:szCs w:val="24"/>
        </w:rPr>
        <w:t>Bridges</w:t>
      </w:r>
      <w:r w:rsidRPr="00D5126A">
        <w:rPr>
          <w:rFonts w:cs="Arial"/>
          <w:iCs/>
          <w:szCs w:val="24"/>
        </w:rPr>
        <w:t xml:space="preserve">: </w:t>
      </w:r>
      <w:r w:rsidRPr="00D5126A">
        <w:rPr>
          <w:rFonts w:cs="Arial"/>
          <w:szCs w:val="24"/>
        </w:rPr>
        <w:t xml:space="preserve">We recently completed all design works to strengthen </w:t>
      </w:r>
      <w:r w:rsidR="00942058">
        <w:rPr>
          <w:rFonts w:cs="Arial"/>
          <w:szCs w:val="24"/>
        </w:rPr>
        <w:t xml:space="preserve">the </w:t>
      </w:r>
      <w:r w:rsidRPr="00D5126A">
        <w:rPr>
          <w:rFonts w:cs="Arial"/>
          <w:szCs w:val="24"/>
        </w:rPr>
        <w:t xml:space="preserve">Happy Valley road bridge, </w:t>
      </w:r>
      <w:r w:rsidR="00942058">
        <w:rPr>
          <w:rFonts w:cs="Arial"/>
          <w:szCs w:val="24"/>
        </w:rPr>
        <w:t xml:space="preserve">and </w:t>
      </w:r>
      <w:r w:rsidRPr="00D5126A">
        <w:rPr>
          <w:rFonts w:cs="Arial"/>
          <w:szCs w:val="24"/>
        </w:rPr>
        <w:t xml:space="preserve">issued </w:t>
      </w:r>
      <w:r w:rsidR="00942058">
        <w:rPr>
          <w:rFonts w:cs="Arial"/>
          <w:szCs w:val="24"/>
        </w:rPr>
        <w:t xml:space="preserve">an </w:t>
      </w:r>
      <w:r w:rsidRPr="00D5126A">
        <w:rPr>
          <w:rFonts w:cs="Arial"/>
          <w:szCs w:val="24"/>
        </w:rPr>
        <w:t xml:space="preserve">expression of interest from qualified contractors for construction work which is planned for year 2019/20. We also completed </w:t>
      </w:r>
      <w:r w:rsidR="00942058">
        <w:rPr>
          <w:rFonts w:cs="Arial"/>
          <w:szCs w:val="24"/>
        </w:rPr>
        <w:t xml:space="preserve">the </w:t>
      </w:r>
      <w:r w:rsidRPr="00D5126A">
        <w:rPr>
          <w:rFonts w:cs="Arial"/>
          <w:szCs w:val="24"/>
        </w:rPr>
        <w:t xml:space="preserve">design of strengthening works for Ruahine Street pedestrian bridge with construction planned for year 2019/20. </w:t>
      </w:r>
      <w:r w:rsidR="00942058">
        <w:rPr>
          <w:rFonts w:cs="Arial"/>
          <w:szCs w:val="24"/>
        </w:rPr>
        <w:t xml:space="preserve">We </w:t>
      </w:r>
      <w:proofErr w:type="gramStart"/>
      <w:r w:rsidR="00942058">
        <w:rPr>
          <w:rFonts w:cs="Arial"/>
          <w:szCs w:val="24"/>
        </w:rPr>
        <w:t>p</w:t>
      </w:r>
      <w:r w:rsidR="00942058" w:rsidRPr="00D5126A">
        <w:rPr>
          <w:rFonts w:cs="Arial"/>
          <w:szCs w:val="24"/>
        </w:rPr>
        <w:t>rogressed</w:t>
      </w:r>
      <w:proofErr w:type="gramEnd"/>
      <w:r w:rsidR="00942058" w:rsidRPr="00D5126A">
        <w:rPr>
          <w:rFonts w:cs="Arial"/>
          <w:szCs w:val="24"/>
        </w:rPr>
        <w:t xml:space="preserve"> </w:t>
      </w:r>
      <w:r w:rsidRPr="00D5126A">
        <w:rPr>
          <w:rFonts w:cs="Arial"/>
          <w:szCs w:val="24"/>
        </w:rPr>
        <w:t xml:space="preserve">work and design options for </w:t>
      </w:r>
      <w:r w:rsidR="00942058">
        <w:rPr>
          <w:rFonts w:cs="Arial"/>
          <w:szCs w:val="24"/>
        </w:rPr>
        <w:t xml:space="preserve">the </w:t>
      </w:r>
      <w:r w:rsidRPr="00D5126A">
        <w:rPr>
          <w:rFonts w:cs="Arial"/>
          <w:szCs w:val="24"/>
        </w:rPr>
        <w:t xml:space="preserve">Allington Road bridge culvert. </w:t>
      </w:r>
      <w:r w:rsidRPr="00D5126A">
        <w:rPr>
          <w:rFonts w:cs="Arial"/>
          <w:color w:val="000000"/>
          <w:szCs w:val="24"/>
        </w:rPr>
        <w:t xml:space="preserve">We continued biannual inspections for </w:t>
      </w:r>
      <w:r w:rsidR="00942058">
        <w:rPr>
          <w:rFonts w:cs="Arial"/>
          <w:color w:val="000000"/>
          <w:szCs w:val="24"/>
        </w:rPr>
        <w:t xml:space="preserve">the </w:t>
      </w:r>
      <w:r w:rsidRPr="00D5126A">
        <w:rPr>
          <w:rFonts w:cs="Arial"/>
          <w:color w:val="000000"/>
          <w:szCs w:val="24"/>
        </w:rPr>
        <w:t>Aotea Quay Overbridge and completed screening checks on all our vehicle bridges and their load carrying capacity for the overweight permits.</w:t>
      </w:r>
    </w:p>
    <w:p w:rsidR="007F0DCF" w:rsidRPr="00D5126A" w:rsidRDefault="007F0DCF" w:rsidP="007F0DCF">
      <w:pPr>
        <w:pStyle w:val="Para010"/>
        <w:numPr>
          <w:ilvl w:val="0"/>
          <w:numId w:val="0"/>
        </w:numPr>
        <w:spacing w:line="276" w:lineRule="auto"/>
        <w:rPr>
          <w:rFonts w:ascii="Arial" w:hAnsi="Arial" w:cs="Arial"/>
        </w:rPr>
      </w:pPr>
      <w:r w:rsidRPr="00D5126A">
        <w:rPr>
          <w:rFonts w:ascii="Arial" w:hAnsi="Arial" w:cs="Arial"/>
          <w:b/>
          <w:szCs w:val="24"/>
        </w:rPr>
        <w:t xml:space="preserve">Retaining Walls </w:t>
      </w:r>
      <w:r w:rsidR="00B93375">
        <w:rPr>
          <w:rFonts w:ascii="Arial" w:hAnsi="Arial" w:cs="Arial"/>
          <w:b/>
          <w:szCs w:val="24"/>
        </w:rPr>
        <w:t>and</w:t>
      </w:r>
      <w:r w:rsidR="00B93375" w:rsidRPr="00D5126A">
        <w:rPr>
          <w:rFonts w:ascii="Arial" w:hAnsi="Arial" w:cs="Arial"/>
          <w:b/>
          <w:szCs w:val="24"/>
        </w:rPr>
        <w:t xml:space="preserve"> </w:t>
      </w:r>
      <w:r w:rsidRPr="00D5126A">
        <w:rPr>
          <w:rFonts w:ascii="Arial" w:hAnsi="Arial" w:cs="Arial"/>
          <w:b/>
          <w:szCs w:val="24"/>
        </w:rPr>
        <w:t>Sea Walls:</w:t>
      </w:r>
      <w:r w:rsidRPr="00D5126A">
        <w:rPr>
          <w:rFonts w:ascii="Arial" w:hAnsi="Arial" w:cs="Arial"/>
          <w:szCs w:val="24"/>
        </w:rPr>
        <w:t xml:space="preserve"> </w:t>
      </w:r>
      <w:r w:rsidRPr="00D5126A">
        <w:rPr>
          <w:rFonts w:ascii="Arial" w:hAnsi="Arial" w:cs="Arial"/>
        </w:rPr>
        <w:t xml:space="preserve">Heavy rains in 2017/18 caused a number of slips on Wellington’s roads, with the biggest one at Ngaio Gorge closing the road for several weeks. There were 230 slips in the 1 January to </w:t>
      </w:r>
      <w:r w:rsidR="00B93375">
        <w:rPr>
          <w:rFonts w:ascii="Arial" w:hAnsi="Arial" w:cs="Arial"/>
        </w:rPr>
        <w:t xml:space="preserve">30 </w:t>
      </w:r>
      <w:r w:rsidRPr="00D5126A">
        <w:rPr>
          <w:rFonts w:ascii="Arial" w:hAnsi="Arial" w:cs="Arial"/>
        </w:rPr>
        <w:t>June 2018 period. Strengthening work was carried out on the downhill side of the Ngaio Gorge road. In 2018/19 there were 988 slip clean up requests. In response to the slips, we have continued to construct several retaining walls to support embankments. We constructed 15 new walls this year and did maintenance on 18. We also carried out geotechnical investigations of Ngaio Gorge slips</w:t>
      </w:r>
    </w:p>
    <w:p w:rsidR="007F0DCF" w:rsidRPr="00D5126A" w:rsidRDefault="007F0DCF" w:rsidP="007F0DCF">
      <w:pPr>
        <w:rPr>
          <w:rFonts w:ascii="Arial" w:hAnsi="Arial" w:cs="Arial"/>
          <w:szCs w:val="24"/>
        </w:rPr>
      </w:pPr>
      <w:r w:rsidRPr="00D5126A">
        <w:rPr>
          <w:rFonts w:ascii="Arial" w:hAnsi="Arial" w:cs="Arial"/>
          <w:szCs w:val="24"/>
        </w:rPr>
        <w:t xml:space="preserve">New retaining walls were built at Grove Rd, Main Rd, Tawa, Mairangi Rd, Malvern Rd, Rosehaugh Ave, The Drive, Wallace Street, Bell Road, Buckingham Street, Happy Valley </w:t>
      </w:r>
      <w:proofErr w:type="gramStart"/>
      <w:r w:rsidRPr="00D5126A">
        <w:rPr>
          <w:rFonts w:ascii="Arial" w:hAnsi="Arial" w:cs="Arial"/>
          <w:szCs w:val="24"/>
        </w:rPr>
        <w:t>Road ,Houghton</w:t>
      </w:r>
      <w:proofErr w:type="gramEnd"/>
      <w:r w:rsidRPr="00D5126A">
        <w:rPr>
          <w:rFonts w:ascii="Arial" w:hAnsi="Arial" w:cs="Arial"/>
          <w:szCs w:val="24"/>
        </w:rPr>
        <w:t xml:space="preserve"> Bay Road, Nevay Road , Otaki Street, Sutherland Road and Takarau Gorge. Total walls face area built was 1648-square-metres.</w:t>
      </w:r>
    </w:p>
    <w:p w:rsidR="007F0DCF" w:rsidRPr="00D5126A" w:rsidRDefault="007F0DCF" w:rsidP="007F0DCF">
      <w:pPr>
        <w:rPr>
          <w:rFonts w:ascii="Arial" w:hAnsi="Arial" w:cs="Arial"/>
        </w:rPr>
      </w:pPr>
      <w:r w:rsidRPr="00D5126A">
        <w:rPr>
          <w:rFonts w:ascii="Arial" w:hAnsi="Arial" w:cs="Arial"/>
        </w:rPr>
        <w:lastRenderedPageBreak/>
        <w:t>We replaced retaining walls and seawalls at Bruce Ave, Takarau Gorge Rd, Barnard Street, Takapu Road, Awarua Street, Fortification Road (three walls), Hawker Street, Karaka Bay Road (2 Seawalls), Massey Road, Melbourne Road, Owhiro Bay Road, Shelly Bay Road, Stanley Street, Sutherland Road, Whaui St . The total walls face area renewed was 2616-square-metres.</w:t>
      </w:r>
    </w:p>
    <w:p w:rsidR="007F0DCF" w:rsidRPr="00D5126A" w:rsidRDefault="007F0DCF" w:rsidP="007F0DCF">
      <w:pPr>
        <w:rPr>
          <w:rFonts w:ascii="Arial" w:hAnsi="Arial" w:cs="Arial"/>
        </w:rPr>
      </w:pPr>
      <w:r w:rsidRPr="00D5126A">
        <w:rPr>
          <w:rFonts w:ascii="Arial" w:hAnsi="Arial" w:cs="Arial"/>
          <w:b/>
        </w:rPr>
        <w:t xml:space="preserve">Pedestrian &amp; Cycle Networks: </w:t>
      </w:r>
      <w:r w:rsidRPr="00D5126A">
        <w:rPr>
          <w:rFonts w:ascii="Arial" w:hAnsi="Arial" w:cs="Arial"/>
        </w:rPr>
        <w:t xml:space="preserve">We maintain footpaths, access ways, cycle ways, pedestrian bridges, access way retaining walls, handrails, steps, lighting &amp; drainage assets on the footpaths &amp; access ways. These networks provide an alternative route for people movements if roadways were unavailable after a natural disaster event, and access ways are a quick route to higher ground in a tsunami. </w:t>
      </w:r>
    </w:p>
    <w:p w:rsidR="007F0DCF" w:rsidRPr="00D5126A" w:rsidRDefault="007F0DCF" w:rsidP="007F0DCF">
      <w:pPr>
        <w:rPr>
          <w:rFonts w:ascii="Arial" w:hAnsi="Arial" w:cs="Arial"/>
        </w:rPr>
      </w:pPr>
      <w:r w:rsidRPr="00D5126A">
        <w:rPr>
          <w:rFonts w:ascii="Arial" w:hAnsi="Arial" w:cs="Arial"/>
          <w:b/>
        </w:rPr>
        <w:t>Vehicle Network:</w:t>
      </w:r>
      <w:r w:rsidRPr="00D5126A">
        <w:rPr>
          <w:rFonts w:ascii="Arial" w:hAnsi="Arial" w:cs="Arial"/>
        </w:rPr>
        <w:t xml:space="preserve"> We maintain pavements, road surface, road marking, drainage, signage, street lighting, guardrails, sight rails, traffic islands etc. to ensure the network is available for use. We have vegetation trimming and street cleaning operations to ensure continued access and storm clean ups of slips and debris after events is part of our maintenance contract.</w:t>
      </w:r>
    </w:p>
    <w:p w:rsidR="007F0DCF" w:rsidRPr="00D5126A" w:rsidRDefault="007F0DCF" w:rsidP="00961FC5">
      <w:pPr>
        <w:pStyle w:val="Heading5"/>
      </w:pPr>
      <w:r w:rsidRPr="00D5126A">
        <w:t>Reactive Maintenance</w:t>
      </w:r>
    </w:p>
    <w:p w:rsidR="007F0DCF" w:rsidRPr="00D5126A" w:rsidRDefault="007F0DCF" w:rsidP="007F0DCF">
      <w:pPr>
        <w:rPr>
          <w:rFonts w:ascii="Arial" w:hAnsi="Arial" w:cs="Arial"/>
        </w:rPr>
      </w:pPr>
      <w:r w:rsidRPr="00D5126A">
        <w:rPr>
          <w:rFonts w:ascii="Arial" w:hAnsi="Arial" w:cs="Arial"/>
        </w:rPr>
        <w:t>Significant additional reactive maintenance work was carried out during the year as part of the emergency response resulting from natural hazard events as well as business as usual response. The 5707 street clean up requests included: 802 road and channel cleaning requests; 1603 graffiti and poster clean ups; 478 instances of fouling, chemical spills blood, glass/broken bottles; 93 CBD recycling and rubbish collections; and 2015 footpath cleaning requests, which includes uncollected suburban rubbish and recycling bags. We also fixed 4439 misaligned signs and 4406 damaged ones, had 2,021 Emergency Hazard responses, 1,039 responses to footpath trip hazards, 572 street furniture repairs and 1358 drainage cleaning requests.</w:t>
      </w:r>
    </w:p>
    <w:p w:rsidR="007F0DCF" w:rsidRPr="00AA3DFC" w:rsidRDefault="007F0DCF" w:rsidP="00AA2122">
      <w:pPr>
        <w:pStyle w:val="Heading3"/>
        <w:rPr>
          <w:color w:val="FF0000"/>
        </w:rPr>
      </w:pPr>
      <w:bookmarkStart w:id="293" w:name="_Toc19085861"/>
      <w:r w:rsidRPr="00AA3DFC">
        <w:rPr>
          <w:color w:val="FF0000"/>
        </w:rPr>
        <w:t xml:space="preserve">7.2 Tūnga waka - </w:t>
      </w:r>
      <w:r w:rsidRPr="00AA3DFC">
        <w:rPr>
          <w:rStyle w:val="00Text"/>
          <w:color w:val="FF0000"/>
        </w:rPr>
        <w:t>Parking</w:t>
      </w:r>
      <w:bookmarkEnd w:id="292"/>
      <w:bookmarkEnd w:id="293"/>
    </w:p>
    <w:p w:rsidR="007F0DCF" w:rsidRPr="00AA3DFC" w:rsidRDefault="007F0DCF" w:rsidP="00846C1B">
      <w:pPr>
        <w:pStyle w:val="Heading4"/>
        <w:rPr>
          <w:color w:val="FF0000"/>
        </w:rPr>
      </w:pPr>
      <w:r w:rsidRPr="00AA3DFC">
        <w:rPr>
          <w:color w:val="FF0000"/>
        </w:rPr>
        <w:t>What we did:</w:t>
      </w:r>
    </w:p>
    <w:p w:rsidR="007F0DCF" w:rsidRPr="00D5126A" w:rsidRDefault="007F0DCF" w:rsidP="00961FC5">
      <w:pPr>
        <w:pStyle w:val="Heading5"/>
        <w:rPr>
          <w:lang w:eastAsia="en-NZ"/>
        </w:rPr>
      </w:pPr>
      <w:r w:rsidRPr="00D5126A">
        <w:rPr>
          <w:lang w:eastAsia="en-NZ"/>
        </w:rPr>
        <w:t>City Parking</w:t>
      </w:r>
    </w:p>
    <w:p w:rsidR="007F0DCF" w:rsidRPr="00D5126A" w:rsidRDefault="007F0DCF" w:rsidP="007F0DCF">
      <w:pPr>
        <w:rPr>
          <w:rFonts w:ascii="Arial" w:hAnsi="Arial" w:cs="Arial"/>
          <w:lang w:eastAsia="en-NZ"/>
        </w:rPr>
      </w:pPr>
      <w:r w:rsidRPr="00D5126A">
        <w:rPr>
          <w:rFonts w:ascii="Arial" w:hAnsi="Arial" w:cs="Arial"/>
          <w:lang w:eastAsia="en-NZ"/>
        </w:rPr>
        <w:t xml:space="preserve">During the 2018/19 year the Council operated approximately 3,200 on-street parks across the city with a further approximately 890 parks located off-street. The majority of the off-street parks are located in the Clifton Parking area located off the Terrace which is managed by the Council on behalf of NZTA. </w:t>
      </w:r>
    </w:p>
    <w:p w:rsidR="007F0DCF" w:rsidRPr="00D5126A" w:rsidRDefault="007F0DCF" w:rsidP="007F0DCF">
      <w:pPr>
        <w:rPr>
          <w:rFonts w:ascii="Arial" w:hAnsi="Arial" w:cs="Arial"/>
          <w:lang w:eastAsia="en-NZ"/>
        </w:rPr>
      </w:pPr>
      <w:r w:rsidRPr="00D5126A">
        <w:rPr>
          <w:rFonts w:ascii="Arial" w:hAnsi="Arial" w:cs="Arial"/>
          <w:lang w:eastAsia="en-NZ"/>
        </w:rPr>
        <w:t>In addition the Council manages a number of Resident and Coupon Parking Zones across the city and enforces parking restrictions and parking related bylaws in surrounding suburbs.</w:t>
      </w:r>
    </w:p>
    <w:p w:rsidR="007F0DCF" w:rsidRPr="00D5126A" w:rsidRDefault="007F0DCF" w:rsidP="007F0DCF">
      <w:pPr>
        <w:rPr>
          <w:rFonts w:ascii="Arial" w:hAnsi="Arial" w:cs="Arial"/>
          <w:lang w:eastAsia="en-NZ"/>
        </w:rPr>
      </w:pPr>
      <w:r w:rsidRPr="00D5126A">
        <w:rPr>
          <w:rFonts w:ascii="Arial" w:hAnsi="Arial" w:cs="Arial"/>
          <w:lang w:eastAsia="en-NZ"/>
        </w:rPr>
        <w:t>The introduction of parking sensors, coupon and permit price increases and previous hourly rate increases have all contributed to increased turnover of parking spaces across the city making it easier for people to find a park when they visit the city.</w:t>
      </w:r>
    </w:p>
    <w:p w:rsidR="007F0DCF" w:rsidRPr="00D5126A" w:rsidRDefault="007F0DCF" w:rsidP="007F0DCF">
      <w:pPr>
        <w:rPr>
          <w:rFonts w:ascii="Arial" w:hAnsi="Arial" w:cs="Arial"/>
          <w:lang w:eastAsia="en-NZ"/>
        </w:rPr>
      </w:pPr>
      <w:r w:rsidRPr="00D5126A">
        <w:rPr>
          <w:rFonts w:ascii="Arial" w:hAnsi="Arial" w:cs="Arial"/>
          <w:lang w:eastAsia="en-NZ"/>
        </w:rPr>
        <w:t>During the year a number of parking spaces were closed. These included the Michael Fowler Car Park which had 96 parks and was closed to provide a temporary rehearsal space for the Royal New Zealand Ballet.</w:t>
      </w:r>
    </w:p>
    <w:p w:rsidR="007F0DCF" w:rsidRPr="00D5126A" w:rsidRDefault="007F0DCF" w:rsidP="007F0DCF">
      <w:pPr>
        <w:rPr>
          <w:rFonts w:ascii="Arial" w:hAnsi="Arial" w:cs="Arial"/>
          <w:lang w:eastAsia="en-NZ"/>
        </w:rPr>
      </w:pPr>
      <w:r w:rsidRPr="00D5126A">
        <w:rPr>
          <w:rFonts w:ascii="Arial" w:hAnsi="Arial" w:cs="Arial"/>
          <w:lang w:eastAsia="en-NZ"/>
        </w:rPr>
        <w:lastRenderedPageBreak/>
        <w:t>The Te Ngākau Civic Square car park with 58 parks was also closed alongside the closure of the central library.</w:t>
      </w:r>
    </w:p>
    <w:p w:rsidR="007F0DCF" w:rsidRPr="00D5126A" w:rsidRDefault="007F0DCF" w:rsidP="00961FC5">
      <w:pPr>
        <w:pStyle w:val="Heading5"/>
      </w:pPr>
      <w:r w:rsidRPr="00D5126A">
        <w:t>Miramar Parking Scheme</w:t>
      </w:r>
    </w:p>
    <w:p w:rsidR="007F0DCF" w:rsidRPr="00D5126A" w:rsidRDefault="007F0DCF" w:rsidP="007F0DCF">
      <w:pPr>
        <w:rPr>
          <w:rFonts w:ascii="Arial" w:hAnsi="Arial" w:cs="Arial"/>
          <w:lang w:eastAsia="en-NZ"/>
        </w:rPr>
      </w:pPr>
      <w:r w:rsidRPr="00D5126A">
        <w:rPr>
          <w:rFonts w:ascii="Arial" w:hAnsi="Arial" w:cs="Arial"/>
          <w:lang w:eastAsia="en-NZ"/>
        </w:rPr>
        <w:t>In September 2017, a 24</w:t>
      </w:r>
      <w:r w:rsidR="001B515E" w:rsidRPr="00D5126A">
        <w:rPr>
          <w:rFonts w:ascii="Arial" w:hAnsi="Arial" w:cs="Arial"/>
          <w:lang w:eastAsia="en-NZ"/>
        </w:rPr>
        <w:t>-</w:t>
      </w:r>
      <w:r w:rsidRPr="00D5126A">
        <w:rPr>
          <w:rFonts w:ascii="Arial" w:hAnsi="Arial" w:cs="Arial"/>
          <w:lang w:eastAsia="en-NZ"/>
        </w:rPr>
        <w:t>hour time restricted parking scheme was implemented. It is designed to mitigate parking pressure in local residential streets resulting from Airport-related non-resident parking. The scheme was monitored following implementation and found to have resulted in considerably fewer vehicles being parked both during daytime and at night in the restricted area. This returned the streets to the environment residents previously enjoyed.</w:t>
      </w:r>
    </w:p>
    <w:p w:rsidR="007F0DCF" w:rsidRPr="00D5126A" w:rsidRDefault="007F0DCF" w:rsidP="007F0DCF">
      <w:pPr>
        <w:rPr>
          <w:rFonts w:ascii="Arial" w:hAnsi="Arial" w:cs="Arial"/>
          <w:lang w:eastAsia="en-NZ"/>
        </w:rPr>
      </w:pPr>
      <w:r w:rsidRPr="00D5126A">
        <w:rPr>
          <w:rFonts w:ascii="Arial" w:hAnsi="Arial" w:cs="Arial"/>
          <w:lang w:eastAsia="en-NZ"/>
        </w:rPr>
        <w:t>A report on the performance of the scheme was presented to City Strategy Committee on 20 September 2018 when the Committee noted the positive results and agreed that the scheme would continue to operate unchanged, noting also the 2019 parking policy review which may influence future decisions on the scheme.</w:t>
      </w:r>
    </w:p>
    <w:p w:rsidR="007F0DCF" w:rsidRPr="00D5126A" w:rsidRDefault="007F0DCF" w:rsidP="00961FC5">
      <w:pPr>
        <w:pStyle w:val="Heading5"/>
      </w:pPr>
      <w:r w:rsidRPr="00D5126A">
        <w:t>Weekend Parking Charges</w:t>
      </w:r>
    </w:p>
    <w:p w:rsidR="007F0DCF" w:rsidRPr="00D5126A" w:rsidRDefault="007F0DCF" w:rsidP="007F0DCF">
      <w:pPr>
        <w:rPr>
          <w:rFonts w:ascii="Arial" w:hAnsi="Arial" w:cs="Arial"/>
          <w:lang w:eastAsia="en-NZ"/>
        </w:rPr>
      </w:pPr>
      <w:r w:rsidRPr="00D5126A">
        <w:rPr>
          <w:rFonts w:ascii="Arial" w:hAnsi="Arial" w:cs="Arial"/>
          <w:lang w:eastAsia="en-NZ"/>
        </w:rPr>
        <w:t>As part of our 10 year Plan we consulted on the introduction of paid weekend parking. Paid weekend parking was introduced in September 2018 and replaced the downtown targeted rate that was paid by businesses in the Central Business District.</w:t>
      </w:r>
    </w:p>
    <w:p w:rsidR="007F0DCF" w:rsidRPr="00D5126A" w:rsidRDefault="007F0DCF" w:rsidP="007F0DCF">
      <w:pPr>
        <w:rPr>
          <w:rFonts w:ascii="Arial" w:hAnsi="Arial" w:cs="Arial"/>
          <w:lang w:eastAsia="en-NZ"/>
        </w:rPr>
      </w:pPr>
      <w:r w:rsidRPr="00D5126A">
        <w:rPr>
          <w:rFonts w:ascii="Arial" w:hAnsi="Arial" w:cs="Arial"/>
          <w:lang w:eastAsia="en-NZ"/>
        </w:rPr>
        <w:t>Overall the introduction of paid weekend parking has been a success. There has been a noticeable increase in the availability of parking spaces across the city.</w:t>
      </w:r>
    </w:p>
    <w:p w:rsidR="007F0DCF" w:rsidRPr="00D5126A" w:rsidRDefault="007F0DCF" w:rsidP="007F0DCF">
      <w:pPr>
        <w:rPr>
          <w:rFonts w:ascii="Arial" w:hAnsi="Arial" w:cs="Arial"/>
          <w:lang w:eastAsia="en-NZ"/>
        </w:rPr>
      </w:pPr>
      <w:r w:rsidRPr="00D5126A">
        <w:rPr>
          <w:rFonts w:ascii="Arial" w:hAnsi="Arial" w:cs="Arial"/>
          <w:lang w:eastAsia="en-NZ"/>
        </w:rPr>
        <w:t>In summary people are parking for shorter periods and thereby freeing up parks for others to use throughout the weekend and making it easier for people to visit the city during the weekends.</w:t>
      </w:r>
    </w:p>
    <w:p w:rsidR="007F0DCF" w:rsidRPr="00D5126A" w:rsidRDefault="007F0DCF" w:rsidP="00AA2122">
      <w:pPr>
        <w:pStyle w:val="Heading3"/>
        <w:sectPr w:rsidR="007F0DCF" w:rsidRPr="00D5126A" w:rsidSect="00AF7957">
          <w:pgSz w:w="11906" w:h="16838"/>
          <w:pgMar w:top="1276" w:right="1416" w:bottom="1418" w:left="1418" w:header="709" w:footer="316" w:gutter="0"/>
          <w:cols w:space="708"/>
          <w:docGrid w:linePitch="360"/>
        </w:sectPr>
      </w:pPr>
      <w:bookmarkStart w:id="294" w:name="Transport_finances"/>
      <w:bookmarkStart w:id="295" w:name="_Toc11915665"/>
      <w:bookmarkStart w:id="296" w:name="_Toc13211863"/>
      <w:bookmarkStart w:id="297" w:name="_Toc14178566"/>
    </w:p>
    <w:p w:rsidR="007F0DCF" w:rsidRPr="00156881" w:rsidRDefault="007F0DCF" w:rsidP="00AA2122">
      <w:pPr>
        <w:pStyle w:val="Heading3"/>
        <w:rPr>
          <w:color w:val="FF0000"/>
        </w:rPr>
      </w:pPr>
      <w:bookmarkStart w:id="298" w:name="_Toc19085862"/>
      <w:r w:rsidRPr="00156881">
        <w:rPr>
          <w:color w:val="FF0000"/>
        </w:rPr>
        <w:lastRenderedPageBreak/>
        <w:t>Transport finances</w:t>
      </w:r>
      <w:bookmarkEnd w:id="294"/>
      <w:bookmarkEnd w:id="295"/>
      <w:bookmarkEnd w:id="296"/>
      <w:bookmarkEnd w:id="297"/>
      <w:bookmarkEnd w:id="298"/>
    </w:p>
    <w:p w:rsidR="007F0DCF" w:rsidRPr="00D5126A" w:rsidRDefault="007F0DCF" w:rsidP="00961FC5">
      <w:pPr>
        <w:pStyle w:val="Heading5"/>
      </w:pPr>
      <w:r w:rsidRPr="00D5126A">
        <w:t>How it was funded</w:t>
      </w:r>
    </w:p>
    <w:p w:rsidR="007F0DCF" w:rsidRPr="00D5126A" w:rsidRDefault="007F0DCF" w:rsidP="007F0DCF">
      <w:pPr>
        <w:pStyle w:val="Para003"/>
        <w:spacing w:before="240" w:line="240" w:lineRule="auto"/>
        <w:rPr>
          <w:rFonts w:ascii="Arial" w:hAnsi="Arial" w:cs="Arial"/>
        </w:rPr>
      </w:pPr>
      <w:r w:rsidRPr="00D5126A">
        <w:rPr>
          <w:rFonts w:ascii="Arial" w:hAnsi="Arial" w:cs="Arial"/>
        </w:rPr>
        <w:t>Services in this activity area are funded through a mixture of general rates, fees and charges and grants and subsidies received from NZTA for transport related activities.</w:t>
      </w:r>
    </w:p>
    <w:p w:rsidR="007F0DCF" w:rsidRPr="00156881" w:rsidRDefault="007F0DCF" w:rsidP="00846C1B">
      <w:pPr>
        <w:pStyle w:val="Heading4"/>
        <w:rPr>
          <w:color w:val="FF0000"/>
        </w:rPr>
      </w:pPr>
      <w:r w:rsidRPr="00156881">
        <w:rPr>
          <w:color w:val="FF0000"/>
        </w:rPr>
        <w:t>What it cost (operating expenditure $000)</w:t>
      </w:r>
    </w:p>
    <w:tbl>
      <w:tblPr>
        <w:tblW w:w="14049" w:type="dxa"/>
        <w:tblInd w:w="93" w:type="dxa"/>
        <w:tblBorders>
          <w:top w:val="single" w:sz="4" w:space="0" w:color="FF0000"/>
          <w:bottom w:val="single" w:sz="4" w:space="0" w:color="FF0000"/>
          <w:insideH w:val="single" w:sz="4" w:space="0" w:color="FF0000"/>
          <w:insideV w:val="single" w:sz="4" w:space="0" w:color="FF0000"/>
        </w:tblBorders>
        <w:tblLook w:val="04A0" w:firstRow="1" w:lastRow="0" w:firstColumn="1" w:lastColumn="0" w:noHBand="0" w:noVBand="1"/>
      </w:tblPr>
      <w:tblGrid>
        <w:gridCol w:w="4540"/>
        <w:gridCol w:w="1180"/>
        <w:gridCol w:w="1200"/>
        <w:gridCol w:w="1200"/>
        <w:gridCol w:w="1200"/>
        <w:gridCol w:w="1200"/>
        <w:gridCol w:w="3529"/>
      </w:tblGrid>
      <w:tr w:rsidR="00560497" w:rsidRPr="001244BB" w:rsidTr="00060BB3">
        <w:trPr>
          <w:trHeight w:val="594"/>
        </w:trPr>
        <w:tc>
          <w:tcPr>
            <w:tcW w:w="4540" w:type="dxa"/>
            <w:shd w:val="clear" w:color="auto" w:fill="FF0000"/>
            <w:noWrap/>
            <w:vAlign w:val="bottom"/>
            <w:hideMark/>
          </w:tcPr>
          <w:p w:rsidR="00560497" w:rsidRPr="00560497" w:rsidRDefault="00560497" w:rsidP="00560497">
            <w:pPr>
              <w:spacing w:after="0" w:line="240" w:lineRule="auto"/>
              <w:rPr>
                <w:rFonts w:ascii="Arial" w:eastAsia="Times New Roman" w:hAnsi="Arial" w:cs="Arial"/>
                <w:b/>
                <w:color w:val="FFFFFF" w:themeColor="background1"/>
                <w:szCs w:val="24"/>
                <w:lang w:eastAsia="en-NZ"/>
              </w:rPr>
            </w:pPr>
            <w:r w:rsidRPr="00560497">
              <w:rPr>
                <w:rFonts w:ascii="Arial" w:eastAsia="Times New Roman" w:hAnsi="Arial" w:cs="Arial"/>
                <w:b/>
                <w:color w:val="FFFFFF" w:themeColor="background1"/>
                <w:szCs w:val="24"/>
                <w:lang w:eastAsia="en-NZ"/>
              </w:rPr>
              <w:t> Transport</w:t>
            </w:r>
          </w:p>
        </w:tc>
        <w:tc>
          <w:tcPr>
            <w:tcW w:w="1180" w:type="dxa"/>
            <w:shd w:val="clear" w:color="auto" w:fill="FF0000"/>
            <w:vAlign w:val="bottom"/>
            <w:hideMark/>
          </w:tcPr>
          <w:p w:rsidR="00560497" w:rsidRPr="00560497" w:rsidRDefault="00560497" w:rsidP="003E3342">
            <w:pPr>
              <w:spacing w:after="0" w:line="240" w:lineRule="auto"/>
              <w:jc w:val="center"/>
              <w:rPr>
                <w:rFonts w:ascii="Arial" w:eastAsia="Times New Roman" w:hAnsi="Arial" w:cs="Arial"/>
                <w:b/>
                <w:bCs/>
                <w:color w:val="FFFFFF" w:themeColor="background1"/>
                <w:lang w:eastAsia="en-NZ"/>
              </w:rPr>
            </w:pPr>
            <w:r w:rsidRPr="00560497">
              <w:rPr>
                <w:rFonts w:ascii="Arial" w:eastAsia="Times New Roman" w:hAnsi="Arial" w:cs="Arial"/>
                <w:b/>
                <w:bCs/>
                <w:color w:val="FFFFFF" w:themeColor="background1"/>
                <w:lang w:eastAsia="en-NZ"/>
              </w:rPr>
              <w:t xml:space="preserve">2016/17 </w:t>
            </w:r>
            <w:r w:rsidRPr="00560497">
              <w:rPr>
                <w:rFonts w:ascii="Arial" w:eastAsia="Times New Roman" w:hAnsi="Arial" w:cs="Arial"/>
                <w:b/>
                <w:bCs/>
                <w:color w:val="FFFFFF" w:themeColor="background1"/>
                <w:lang w:eastAsia="en-NZ"/>
              </w:rPr>
              <w:br/>
              <w:t xml:space="preserve">Actual </w:t>
            </w:r>
          </w:p>
        </w:tc>
        <w:tc>
          <w:tcPr>
            <w:tcW w:w="1200" w:type="dxa"/>
            <w:shd w:val="clear" w:color="auto" w:fill="FF0000"/>
            <w:vAlign w:val="bottom"/>
            <w:hideMark/>
          </w:tcPr>
          <w:p w:rsidR="00560497" w:rsidRPr="00560497" w:rsidRDefault="00560497" w:rsidP="003E3342">
            <w:pPr>
              <w:spacing w:after="0" w:line="240" w:lineRule="auto"/>
              <w:jc w:val="center"/>
              <w:rPr>
                <w:rFonts w:ascii="Arial" w:eastAsia="Times New Roman" w:hAnsi="Arial" w:cs="Arial"/>
                <w:b/>
                <w:bCs/>
                <w:color w:val="FFFFFF" w:themeColor="background1"/>
                <w:lang w:eastAsia="en-NZ"/>
              </w:rPr>
            </w:pPr>
            <w:r w:rsidRPr="00560497">
              <w:rPr>
                <w:rFonts w:ascii="Arial" w:eastAsia="Times New Roman" w:hAnsi="Arial" w:cs="Arial"/>
                <w:b/>
                <w:bCs/>
                <w:color w:val="FFFFFF" w:themeColor="background1"/>
                <w:lang w:eastAsia="en-NZ"/>
              </w:rPr>
              <w:t xml:space="preserve">2017/18 </w:t>
            </w:r>
            <w:r w:rsidRPr="00560497">
              <w:rPr>
                <w:rFonts w:ascii="Arial" w:eastAsia="Times New Roman" w:hAnsi="Arial" w:cs="Arial"/>
                <w:b/>
                <w:bCs/>
                <w:color w:val="FFFFFF" w:themeColor="background1"/>
                <w:lang w:eastAsia="en-NZ"/>
              </w:rPr>
              <w:br/>
              <w:t xml:space="preserve">Actual </w:t>
            </w:r>
          </w:p>
        </w:tc>
        <w:tc>
          <w:tcPr>
            <w:tcW w:w="1200" w:type="dxa"/>
            <w:shd w:val="clear" w:color="auto" w:fill="FF0000"/>
            <w:vAlign w:val="bottom"/>
            <w:hideMark/>
          </w:tcPr>
          <w:p w:rsidR="00560497" w:rsidRPr="00560497" w:rsidRDefault="00560497" w:rsidP="003E3342">
            <w:pPr>
              <w:spacing w:after="0" w:line="240" w:lineRule="auto"/>
              <w:jc w:val="center"/>
              <w:rPr>
                <w:rFonts w:ascii="Arial" w:eastAsia="Times New Roman" w:hAnsi="Arial" w:cs="Arial"/>
                <w:b/>
                <w:bCs/>
                <w:color w:val="FFFFFF" w:themeColor="background1"/>
                <w:lang w:eastAsia="en-NZ"/>
              </w:rPr>
            </w:pPr>
            <w:r w:rsidRPr="00560497">
              <w:rPr>
                <w:rFonts w:ascii="Arial" w:eastAsia="Times New Roman" w:hAnsi="Arial" w:cs="Arial"/>
                <w:b/>
                <w:bCs/>
                <w:color w:val="FFFFFF" w:themeColor="background1"/>
                <w:lang w:eastAsia="en-NZ"/>
              </w:rPr>
              <w:t xml:space="preserve">2018/19 </w:t>
            </w:r>
            <w:r w:rsidRPr="00560497">
              <w:rPr>
                <w:rFonts w:ascii="Arial" w:eastAsia="Times New Roman" w:hAnsi="Arial" w:cs="Arial"/>
                <w:b/>
                <w:bCs/>
                <w:color w:val="FFFFFF" w:themeColor="background1"/>
                <w:lang w:eastAsia="en-NZ"/>
              </w:rPr>
              <w:br/>
              <w:t xml:space="preserve">Actual </w:t>
            </w:r>
          </w:p>
        </w:tc>
        <w:tc>
          <w:tcPr>
            <w:tcW w:w="1200" w:type="dxa"/>
            <w:shd w:val="clear" w:color="auto" w:fill="FF0000"/>
            <w:vAlign w:val="bottom"/>
            <w:hideMark/>
          </w:tcPr>
          <w:p w:rsidR="00560497" w:rsidRPr="00560497" w:rsidRDefault="00560497" w:rsidP="00060BB3">
            <w:pPr>
              <w:spacing w:after="0" w:line="240" w:lineRule="auto"/>
              <w:jc w:val="center"/>
              <w:rPr>
                <w:rFonts w:ascii="Arial" w:eastAsia="Times New Roman" w:hAnsi="Arial" w:cs="Arial"/>
                <w:b/>
                <w:bCs/>
                <w:color w:val="FFFFFF" w:themeColor="background1"/>
                <w:lang w:eastAsia="en-NZ"/>
              </w:rPr>
            </w:pPr>
            <w:r w:rsidRPr="00560497">
              <w:rPr>
                <w:rFonts w:ascii="Arial" w:eastAsia="Times New Roman" w:hAnsi="Arial" w:cs="Arial"/>
                <w:b/>
                <w:bCs/>
                <w:color w:val="FFFFFF" w:themeColor="background1"/>
                <w:lang w:eastAsia="en-NZ"/>
              </w:rPr>
              <w:t>2018</w:t>
            </w:r>
            <w:r w:rsidR="00060BB3">
              <w:rPr>
                <w:rFonts w:ascii="Arial" w:eastAsia="Times New Roman" w:hAnsi="Arial" w:cs="Arial"/>
                <w:b/>
                <w:bCs/>
                <w:color w:val="FFFFFF" w:themeColor="background1"/>
                <w:lang w:eastAsia="en-NZ"/>
              </w:rPr>
              <w:t>/19</w:t>
            </w:r>
            <w:r w:rsidRPr="00560497">
              <w:rPr>
                <w:rFonts w:ascii="Arial" w:eastAsia="Times New Roman" w:hAnsi="Arial" w:cs="Arial"/>
                <w:b/>
                <w:bCs/>
                <w:color w:val="FFFFFF" w:themeColor="background1"/>
                <w:lang w:eastAsia="en-NZ"/>
              </w:rPr>
              <w:t xml:space="preserve"> Budget </w:t>
            </w:r>
          </w:p>
        </w:tc>
        <w:tc>
          <w:tcPr>
            <w:tcW w:w="1200" w:type="dxa"/>
            <w:shd w:val="clear" w:color="auto" w:fill="FF0000"/>
            <w:vAlign w:val="bottom"/>
            <w:hideMark/>
          </w:tcPr>
          <w:p w:rsidR="00560497" w:rsidRPr="00560497" w:rsidRDefault="00060BB3" w:rsidP="003E3342">
            <w:pPr>
              <w:spacing w:after="0" w:line="240" w:lineRule="auto"/>
              <w:jc w:val="center"/>
              <w:rPr>
                <w:rFonts w:ascii="Arial" w:eastAsia="Times New Roman" w:hAnsi="Arial" w:cs="Arial"/>
                <w:b/>
                <w:bCs/>
                <w:color w:val="FFFFFF" w:themeColor="background1"/>
                <w:lang w:eastAsia="en-NZ"/>
              </w:rPr>
            </w:pPr>
            <w:r>
              <w:rPr>
                <w:rFonts w:ascii="Arial" w:eastAsia="Times New Roman" w:hAnsi="Arial" w:cs="Arial"/>
                <w:b/>
                <w:bCs/>
                <w:color w:val="FFFFFF" w:themeColor="background1"/>
                <w:lang w:eastAsia="en-NZ"/>
              </w:rPr>
              <w:t>2018/19</w:t>
            </w:r>
            <w:r w:rsidR="00560497" w:rsidRPr="00560497">
              <w:rPr>
                <w:rFonts w:ascii="Arial" w:eastAsia="Times New Roman" w:hAnsi="Arial" w:cs="Arial"/>
                <w:b/>
                <w:bCs/>
                <w:color w:val="FFFFFF" w:themeColor="background1"/>
                <w:lang w:eastAsia="en-NZ"/>
              </w:rPr>
              <w:t xml:space="preserve"> Variance</w:t>
            </w:r>
          </w:p>
        </w:tc>
        <w:tc>
          <w:tcPr>
            <w:tcW w:w="3529" w:type="dxa"/>
            <w:shd w:val="clear" w:color="auto" w:fill="FF0000"/>
            <w:vAlign w:val="bottom"/>
            <w:hideMark/>
          </w:tcPr>
          <w:p w:rsidR="00560497" w:rsidRPr="00560497" w:rsidRDefault="00560497" w:rsidP="00560497">
            <w:pPr>
              <w:spacing w:after="0" w:line="240" w:lineRule="auto"/>
              <w:rPr>
                <w:rFonts w:ascii="Arial" w:eastAsia="Times New Roman" w:hAnsi="Arial" w:cs="Arial"/>
                <w:b/>
                <w:bCs/>
                <w:color w:val="FFFFFF" w:themeColor="background1"/>
                <w:lang w:eastAsia="en-NZ"/>
              </w:rPr>
            </w:pPr>
            <w:r w:rsidRPr="00560497">
              <w:rPr>
                <w:rFonts w:ascii="Arial" w:eastAsia="Times New Roman" w:hAnsi="Arial" w:cs="Arial"/>
                <w:b/>
                <w:bCs/>
                <w:color w:val="FFFFFF" w:themeColor="background1"/>
                <w:lang w:eastAsia="en-NZ"/>
              </w:rPr>
              <w:t>Variance commentary</w:t>
            </w:r>
          </w:p>
        </w:tc>
      </w:tr>
      <w:tr w:rsidR="00560497" w:rsidRPr="001244BB" w:rsidTr="00563C30">
        <w:trPr>
          <w:trHeight w:val="300"/>
        </w:trPr>
        <w:tc>
          <w:tcPr>
            <w:tcW w:w="14049" w:type="dxa"/>
            <w:gridSpan w:val="7"/>
            <w:shd w:val="clear" w:color="auto" w:fill="FFC1B3"/>
            <w:noWrap/>
            <w:vAlign w:val="bottom"/>
            <w:hideMark/>
          </w:tcPr>
          <w:p w:rsidR="00560497" w:rsidRPr="001244BB" w:rsidRDefault="00560497" w:rsidP="00563C30">
            <w:pPr>
              <w:spacing w:after="0" w:line="240" w:lineRule="auto"/>
              <w:rPr>
                <w:rFonts w:ascii="Arial" w:eastAsia="Times New Roman" w:hAnsi="Arial" w:cs="Arial"/>
                <w:color w:val="000000"/>
                <w:sz w:val="20"/>
                <w:lang w:eastAsia="en-NZ"/>
              </w:rPr>
            </w:pPr>
            <w:r w:rsidRPr="001244BB">
              <w:rPr>
                <w:rFonts w:ascii="Arial" w:eastAsia="Times New Roman" w:hAnsi="Arial" w:cs="Arial"/>
                <w:b/>
                <w:bCs/>
                <w:color w:val="000000"/>
                <w:sz w:val="20"/>
                <w:lang w:eastAsia="en-NZ"/>
              </w:rPr>
              <w:t>7.1 Transport</w:t>
            </w:r>
          </w:p>
        </w:tc>
      </w:tr>
      <w:tr w:rsidR="00560497" w:rsidRPr="001244BB" w:rsidTr="00563C30">
        <w:trPr>
          <w:trHeight w:val="510"/>
        </w:trPr>
        <w:tc>
          <w:tcPr>
            <w:tcW w:w="4540" w:type="dxa"/>
            <w:shd w:val="clear" w:color="auto" w:fill="auto"/>
            <w:noWrap/>
            <w:hideMark/>
          </w:tcPr>
          <w:p w:rsidR="00560497" w:rsidRPr="001244BB" w:rsidRDefault="00560497" w:rsidP="00563C30">
            <w:pPr>
              <w:spacing w:after="0" w:line="240" w:lineRule="auto"/>
              <w:rPr>
                <w:rFonts w:ascii="Arial" w:eastAsia="Times New Roman" w:hAnsi="Arial" w:cs="Arial"/>
                <w:color w:val="000000"/>
                <w:sz w:val="20"/>
                <w:lang w:eastAsia="en-NZ"/>
              </w:rPr>
            </w:pPr>
            <w:r w:rsidRPr="001244BB">
              <w:rPr>
                <w:rFonts w:ascii="Arial" w:eastAsia="Times New Roman" w:hAnsi="Arial" w:cs="Arial"/>
                <w:color w:val="000000"/>
                <w:sz w:val="20"/>
                <w:lang w:eastAsia="en-NZ"/>
              </w:rPr>
              <w:t>Expenditure</w:t>
            </w:r>
          </w:p>
        </w:tc>
        <w:tc>
          <w:tcPr>
            <w:tcW w:w="1180" w:type="dxa"/>
            <w:shd w:val="clear" w:color="auto" w:fill="auto"/>
            <w:noWrap/>
            <w:hideMark/>
          </w:tcPr>
          <w:p w:rsidR="00560497" w:rsidRPr="001244BB" w:rsidRDefault="00560497" w:rsidP="00563C30">
            <w:pPr>
              <w:spacing w:after="0" w:line="240" w:lineRule="auto"/>
              <w:jc w:val="right"/>
              <w:rPr>
                <w:rFonts w:ascii="Arial" w:eastAsia="Times New Roman" w:hAnsi="Arial" w:cs="Arial"/>
                <w:color w:val="000000"/>
                <w:sz w:val="20"/>
                <w:lang w:eastAsia="en-NZ"/>
              </w:rPr>
            </w:pPr>
            <w:r w:rsidRPr="001244BB">
              <w:rPr>
                <w:rFonts w:ascii="Arial" w:eastAsia="Times New Roman" w:hAnsi="Arial" w:cs="Arial"/>
                <w:color w:val="000000"/>
                <w:sz w:val="20"/>
                <w:lang w:eastAsia="en-NZ"/>
              </w:rPr>
              <w:t>49,859</w:t>
            </w:r>
          </w:p>
        </w:tc>
        <w:tc>
          <w:tcPr>
            <w:tcW w:w="1200" w:type="dxa"/>
            <w:shd w:val="clear" w:color="auto" w:fill="auto"/>
            <w:noWrap/>
            <w:hideMark/>
          </w:tcPr>
          <w:p w:rsidR="00560497" w:rsidRPr="001244BB" w:rsidRDefault="00560497" w:rsidP="00563C30">
            <w:pPr>
              <w:spacing w:after="0" w:line="240" w:lineRule="auto"/>
              <w:jc w:val="right"/>
              <w:rPr>
                <w:rFonts w:ascii="Arial" w:eastAsia="Times New Roman" w:hAnsi="Arial" w:cs="Arial"/>
                <w:color w:val="000000"/>
                <w:sz w:val="20"/>
                <w:lang w:eastAsia="en-NZ"/>
              </w:rPr>
            </w:pPr>
            <w:r w:rsidRPr="001244BB">
              <w:rPr>
                <w:rFonts w:ascii="Arial" w:eastAsia="Times New Roman" w:hAnsi="Arial" w:cs="Arial"/>
                <w:color w:val="000000"/>
                <w:sz w:val="20"/>
                <w:lang w:eastAsia="en-NZ"/>
              </w:rPr>
              <w:t>55,186</w:t>
            </w:r>
          </w:p>
        </w:tc>
        <w:tc>
          <w:tcPr>
            <w:tcW w:w="1200" w:type="dxa"/>
            <w:shd w:val="clear" w:color="000000" w:fill="E8E8E8"/>
            <w:noWrap/>
            <w:hideMark/>
          </w:tcPr>
          <w:p w:rsidR="00560497" w:rsidRPr="001244BB" w:rsidRDefault="00560497" w:rsidP="00563C30">
            <w:pPr>
              <w:spacing w:after="0" w:line="240" w:lineRule="auto"/>
              <w:jc w:val="right"/>
              <w:rPr>
                <w:rFonts w:ascii="Arial" w:eastAsia="Times New Roman" w:hAnsi="Arial" w:cs="Arial"/>
                <w:color w:val="000000"/>
                <w:sz w:val="20"/>
                <w:lang w:eastAsia="en-NZ"/>
              </w:rPr>
            </w:pPr>
            <w:r w:rsidRPr="001244BB">
              <w:rPr>
                <w:rFonts w:ascii="Arial" w:eastAsia="Times New Roman" w:hAnsi="Arial" w:cs="Arial"/>
                <w:color w:val="000000"/>
                <w:sz w:val="20"/>
                <w:lang w:eastAsia="en-NZ"/>
              </w:rPr>
              <w:t>59,966</w:t>
            </w:r>
          </w:p>
        </w:tc>
        <w:tc>
          <w:tcPr>
            <w:tcW w:w="1200" w:type="dxa"/>
            <w:shd w:val="clear" w:color="000000" w:fill="E8E8E8"/>
            <w:noWrap/>
            <w:hideMark/>
          </w:tcPr>
          <w:p w:rsidR="00560497" w:rsidRPr="001244BB" w:rsidRDefault="00560497" w:rsidP="00563C30">
            <w:pPr>
              <w:spacing w:after="0" w:line="240" w:lineRule="auto"/>
              <w:jc w:val="right"/>
              <w:rPr>
                <w:rFonts w:ascii="Arial" w:eastAsia="Times New Roman" w:hAnsi="Arial" w:cs="Arial"/>
                <w:color w:val="000000"/>
                <w:sz w:val="20"/>
                <w:lang w:eastAsia="en-NZ"/>
              </w:rPr>
            </w:pPr>
            <w:r w:rsidRPr="001244BB">
              <w:rPr>
                <w:rFonts w:ascii="Arial" w:eastAsia="Times New Roman" w:hAnsi="Arial" w:cs="Arial"/>
                <w:color w:val="000000"/>
                <w:sz w:val="20"/>
                <w:lang w:eastAsia="en-NZ"/>
              </w:rPr>
              <w:t>62,858</w:t>
            </w:r>
          </w:p>
        </w:tc>
        <w:tc>
          <w:tcPr>
            <w:tcW w:w="1200" w:type="dxa"/>
            <w:shd w:val="clear" w:color="000000" w:fill="E8E8E8"/>
            <w:noWrap/>
            <w:hideMark/>
          </w:tcPr>
          <w:p w:rsidR="00560497" w:rsidRPr="001244BB" w:rsidRDefault="00560497" w:rsidP="00563C30">
            <w:pPr>
              <w:spacing w:after="0" w:line="240" w:lineRule="auto"/>
              <w:jc w:val="right"/>
              <w:rPr>
                <w:rFonts w:ascii="Arial" w:eastAsia="Times New Roman" w:hAnsi="Arial" w:cs="Arial"/>
                <w:color w:val="000000"/>
                <w:sz w:val="20"/>
                <w:lang w:eastAsia="en-NZ"/>
              </w:rPr>
            </w:pPr>
            <w:r w:rsidRPr="001244BB">
              <w:rPr>
                <w:rFonts w:ascii="Arial" w:eastAsia="Times New Roman" w:hAnsi="Arial" w:cs="Arial"/>
                <w:color w:val="000000"/>
                <w:sz w:val="20"/>
                <w:lang w:eastAsia="en-NZ"/>
              </w:rPr>
              <w:t>2,892</w:t>
            </w:r>
          </w:p>
        </w:tc>
        <w:tc>
          <w:tcPr>
            <w:tcW w:w="3529" w:type="dxa"/>
            <w:shd w:val="clear" w:color="auto" w:fill="auto"/>
            <w:vAlign w:val="bottom"/>
            <w:hideMark/>
          </w:tcPr>
          <w:p w:rsidR="00560497" w:rsidRPr="001244BB" w:rsidRDefault="00560497" w:rsidP="00563C30">
            <w:pPr>
              <w:spacing w:after="0" w:line="240" w:lineRule="auto"/>
              <w:rPr>
                <w:rFonts w:ascii="Arial" w:eastAsia="Times New Roman" w:hAnsi="Arial" w:cs="Arial"/>
                <w:color w:val="000000"/>
                <w:sz w:val="20"/>
                <w:lang w:eastAsia="en-NZ"/>
              </w:rPr>
            </w:pPr>
            <w:r w:rsidRPr="001244BB">
              <w:rPr>
                <w:rFonts w:ascii="Arial" w:eastAsia="Times New Roman" w:hAnsi="Arial" w:cs="Arial"/>
                <w:color w:val="000000"/>
                <w:sz w:val="20"/>
                <w:lang w:eastAsia="en-NZ"/>
              </w:rPr>
              <w:t>Under budget due to lower than planned depreciation and organisational costs.</w:t>
            </w:r>
          </w:p>
        </w:tc>
      </w:tr>
      <w:tr w:rsidR="00560497" w:rsidRPr="001244BB" w:rsidTr="00563C30">
        <w:trPr>
          <w:trHeight w:val="765"/>
        </w:trPr>
        <w:tc>
          <w:tcPr>
            <w:tcW w:w="4540" w:type="dxa"/>
            <w:shd w:val="clear" w:color="auto" w:fill="auto"/>
            <w:noWrap/>
            <w:hideMark/>
          </w:tcPr>
          <w:p w:rsidR="00560497" w:rsidRPr="001244BB" w:rsidRDefault="00560497" w:rsidP="00563C30">
            <w:pPr>
              <w:spacing w:after="0" w:line="240" w:lineRule="auto"/>
              <w:rPr>
                <w:rFonts w:ascii="Arial" w:eastAsia="Times New Roman" w:hAnsi="Arial" w:cs="Arial"/>
                <w:color w:val="000000"/>
                <w:sz w:val="20"/>
                <w:lang w:eastAsia="en-NZ"/>
              </w:rPr>
            </w:pPr>
            <w:r w:rsidRPr="001244BB">
              <w:rPr>
                <w:rFonts w:ascii="Arial" w:eastAsia="Times New Roman" w:hAnsi="Arial" w:cs="Arial"/>
                <w:color w:val="000000"/>
                <w:sz w:val="20"/>
                <w:lang w:eastAsia="en-NZ"/>
              </w:rPr>
              <w:t>Revenue</w:t>
            </w:r>
          </w:p>
        </w:tc>
        <w:tc>
          <w:tcPr>
            <w:tcW w:w="1180" w:type="dxa"/>
            <w:shd w:val="clear" w:color="auto" w:fill="auto"/>
            <w:noWrap/>
            <w:hideMark/>
          </w:tcPr>
          <w:p w:rsidR="00560497" w:rsidRPr="001244BB" w:rsidRDefault="00560497" w:rsidP="00563C30">
            <w:pPr>
              <w:spacing w:after="0" w:line="240" w:lineRule="auto"/>
              <w:jc w:val="right"/>
              <w:rPr>
                <w:rFonts w:ascii="Arial" w:eastAsia="Times New Roman" w:hAnsi="Arial" w:cs="Arial"/>
                <w:color w:val="000000"/>
                <w:sz w:val="20"/>
                <w:lang w:eastAsia="en-NZ"/>
              </w:rPr>
            </w:pPr>
            <w:r w:rsidRPr="001244BB">
              <w:rPr>
                <w:rFonts w:ascii="Arial" w:eastAsia="Times New Roman" w:hAnsi="Arial" w:cs="Arial"/>
                <w:color w:val="000000"/>
                <w:sz w:val="20"/>
                <w:lang w:eastAsia="en-NZ"/>
              </w:rPr>
              <w:t>(9,706)</w:t>
            </w:r>
          </w:p>
        </w:tc>
        <w:tc>
          <w:tcPr>
            <w:tcW w:w="1200" w:type="dxa"/>
            <w:shd w:val="clear" w:color="auto" w:fill="auto"/>
            <w:noWrap/>
            <w:hideMark/>
          </w:tcPr>
          <w:p w:rsidR="00560497" w:rsidRPr="001244BB" w:rsidRDefault="00560497" w:rsidP="00D44447">
            <w:pPr>
              <w:spacing w:after="0" w:line="240" w:lineRule="auto"/>
              <w:jc w:val="right"/>
              <w:rPr>
                <w:rFonts w:ascii="Arial" w:eastAsia="Times New Roman" w:hAnsi="Arial" w:cs="Arial"/>
                <w:color w:val="000000"/>
                <w:sz w:val="20"/>
                <w:lang w:eastAsia="en-NZ"/>
              </w:rPr>
            </w:pPr>
            <w:r w:rsidRPr="001244BB">
              <w:rPr>
                <w:rFonts w:ascii="Arial" w:eastAsia="Times New Roman" w:hAnsi="Arial" w:cs="Arial"/>
                <w:color w:val="000000"/>
                <w:sz w:val="20"/>
                <w:lang w:eastAsia="en-NZ"/>
              </w:rPr>
              <w:t>(9,</w:t>
            </w:r>
            <w:r w:rsidR="00D44447" w:rsidRPr="001244BB">
              <w:rPr>
                <w:rFonts w:ascii="Arial" w:eastAsia="Times New Roman" w:hAnsi="Arial" w:cs="Arial"/>
                <w:color w:val="000000"/>
                <w:sz w:val="20"/>
                <w:lang w:eastAsia="en-NZ"/>
              </w:rPr>
              <w:t>97</w:t>
            </w:r>
            <w:r w:rsidR="00D44447">
              <w:rPr>
                <w:rFonts w:ascii="Arial" w:eastAsia="Times New Roman" w:hAnsi="Arial" w:cs="Arial"/>
                <w:color w:val="000000"/>
                <w:sz w:val="20"/>
                <w:lang w:eastAsia="en-NZ"/>
              </w:rPr>
              <w:t>4</w:t>
            </w:r>
            <w:r w:rsidRPr="001244BB">
              <w:rPr>
                <w:rFonts w:ascii="Arial" w:eastAsia="Times New Roman" w:hAnsi="Arial" w:cs="Arial"/>
                <w:color w:val="000000"/>
                <w:sz w:val="20"/>
                <w:lang w:eastAsia="en-NZ"/>
              </w:rPr>
              <w:t>)</w:t>
            </w:r>
          </w:p>
        </w:tc>
        <w:tc>
          <w:tcPr>
            <w:tcW w:w="1200" w:type="dxa"/>
            <w:shd w:val="clear" w:color="000000" w:fill="E8E8E8"/>
            <w:noWrap/>
            <w:hideMark/>
          </w:tcPr>
          <w:p w:rsidR="00560497" w:rsidRPr="001244BB" w:rsidRDefault="00560497" w:rsidP="00563C30">
            <w:pPr>
              <w:spacing w:after="0" w:line="240" w:lineRule="auto"/>
              <w:jc w:val="right"/>
              <w:rPr>
                <w:rFonts w:ascii="Arial" w:eastAsia="Times New Roman" w:hAnsi="Arial" w:cs="Arial"/>
                <w:color w:val="000000"/>
                <w:sz w:val="20"/>
                <w:lang w:eastAsia="en-NZ"/>
              </w:rPr>
            </w:pPr>
            <w:r w:rsidRPr="001244BB">
              <w:rPr>
                <w:rFonts w:ascii="Arial" w:eastAsia="Times New Roman" w:hAnsi="Arial" w:cs="Arial"/>
                <w:color w:val="000000"/>
                <w:sz w:val="20"/>
                <w:lang w:eastAsia="en-NZ"/>
              </w:rPr>
              <w:t>(14,509)</w:t>
            </w:r>
          </w:p>
        </w:tc>
        <w:tc>
          <w:tcPr>
            <w:tcW w:w="1200" w:type="dxa"/>
            <w:shd w:val="clear" w:color="000000" w:fill="E8E8E8"/>
            <w:noWrap/>
            <w:hideMark/>
          </w:tcPr>
          <w:p w:rsidR="00560497" w:rsidRPr="001244BB" w:rsidRDefault="00560497" w:rsidP="00563C30">
            <w:pPr>
              <w:spacing w:after="0" w:line="240" w:lineRule="auto"/>
              <w:jc w:val="right"/>
              <w:rPr>
                <w:rFonts w:ascii="Arial" w:eastAsia="Times New Roman" w:hAnsi="Arial" w:cs="Arial"/>
                <w:color w:val="000000"/>
                <w:sz w:val="20"/>
                <w:lang w:eastAsia="en-NZ"/>
              </w:rPr>
            </w:pPr>
            <w:r w:rsidRPr="001244BB">
              <w:rPr>
                <w:rFonts w:ascii="Arial" w:eastAsia="Times New Roman" w:hAnsi="Arial" w:cs="Arial"/>
                <w:color w:val="000000"/>
                <w:sz w:val="20"/>
                <w:lang w:eastAsia="en-NZ"/>
              </w:rPr>
              <w:t>(7,161)</w:t>
            </w:r>
          </w:p>
        </w:tc>
        <w:tc>
          <w:tcPr>
            <w:tcW w:w="1200" w:type="dxa"/>
            <w:shd w:val="clear" w:color="000000" w:fill="E8E8E8"/>
            <w:noWrap/>
            <w:hideMark/>
          </w:tcPr>
          <w:p w:rsidR="00560497" w:rsidRPr="001244BB" w:rsidRDefault="00560497" w:rsidP="00563C30">
            <w:pPr>
              <w:spacing w:after="0" w:line="240" w:lineRule="auto"/>
              <w:jc w:val="right"/>
              <w:rPr>
                <w:rFonts w:ascii="Arial" w:eastAsia="Times New Roman" w:hAnsi="Arial" w:cs="Arial"/>
                <w:color w:val="000000"/>
                <w:sz w:val="20"/>
                <w:lang w:eastAsia="en-NZ"/>
              </w:rPr>
            </w:pPr>
            <w:r w:rsidRPr="001244BB">
              <w:rPr>
                <w:rFonts w:ascii="Arial" w:eastAsia="Times New Roman" w:hAnsi="Arial" w:cs="Arial"/>
                <w:color w:val="000000"/>
                <w:sz w:val="20"/>
                <w:lang w:eastAsia="en-NZ"/>
              </w:rPr>
              <w:t>7,348</w:t>
            </w:r>
          </w:p>
        </w:tc>
        <w:tc>
          <w:tcPr>
            <w:tcW w:w="3529" w:type="dxa"/>
            <w:shd w:val="clear" w:color="auto" w:fill="auto"/>
            <w:vAlign w:val="bottom"/>
            <w:hideMark/>
          </w:tcPr>
          <w:p w:rsidR="00560497" w:rsidRPr="001244BB" w:rsidRDefault="00560497" w:rsidP="00563C30">
            <w:pPr>
              <w:spacing w:after="0" w:line="240" w:lineRule="auto"/>
              <w:rPr>
                <w:rFonts w:ascii="Arial" w:eastAsia="Times New Roman" w:hAnsi="Arial" w:cs="Arial"/>
                <w:color w:val="000000"/>
                <w:sz w:val="20"/>
                <w:lang w:eastAsia="en-NZ"/>
              </w:rPr>
            </w:pPr>
            <w:r w:rsidRPr="001244BB">
              <w:rPr>
                <w:rFonts w:ascii="Arial" w:eastAsia="Times New Roman" w:hAnsi="Arial" w:cs="Arial"/>
                <w:color w:val="000000"/>
                <w:sz w:val="20"/>
                <w:lang w:eastAsia="en-NZ"/>
              </w:rPr>
              <w:t>Over budget due to unplanned vested asset income and higher than expected NZTA subsidies and Adshel advertising income.</w:t>
            </w:r>
          </w:p>
        </w:tc>
      </w:tr>
      <w:tr w:rsidR="00560497" w:rsidRPr="001244BB" w:rsidTr="00563C30">
        <w:trPr>
          <w:trHeight w:val="300"/>
        </w:trPr>
        <w:tc>
          <w:tcPr>
            <w:tcW w:w="4540" w:type="dxa"/>
            <w:shd w:val="clear" w:color="auto" w:fill="auto"/>
            <w:noWrap/>
            <w:hideMark/>
          </w:tcPr>
          <w:p w:rsidR="00560497" w:rsidRPr="001244BB" w:rsidRDefault="00560497" w:rsidP="00563C30">
            <w:pPr>
              <w:spacing w:after="0" w:line="240" w:lineRule="auto"/>
              <w:rPr>
                <w:rFonts w:ascii="Arial" w:eastAsia="Times New Roman" w:hAnsi="Arial" w:cs="Arial"/>
                <w:color w:val="000000"/>
                <w:sz w:val="20"/>
                <w:lang w:eastAsia="en-NZ"/>
              </w:rPr>
            </w:pPr>
            <w:r w:rsidRPr="001244BB">
              <w:rPr>
                <w:rFonts w:ascii="Arial" w:eastAsia="Times New Roman" w:hAnsi="Arial" w:cs="Arial"/>
                <w:color w:val="000000"/>
                <w:sz w:val="20"/>
                <w:lang w:eastAsia="en-NZ"/>
              </w:rPr>
              <w:t>Net Expenditure</w:t>
            </w:r>
          </w:p>
        </w:tc>
        <w:tc>
          <w:tcPr>
            <w:tcW w:w="1180" w:type="dxa"/>
            <w:shd w:val="clear" w:color="auto" w:fill="auto"/>
            <w:noWrap/>
            <w:hideMark/>
          </w:tcPr>
          <w:p w:rsidR="00560497" w:rsidRPr="001244BB" w:rsidRDefault="00560497" w:rsidP="00563C30">
            <w:pPr>
              <w:spacing w:after="0" w:line="240" w:lineRule="auto"/>
              <w:jc w:val="right"/>
              <w:rPr>
                <w:rFonts w:ascii="Arial" w:eastAsia="Times New Roman" w:hAnsi="Arial" w:cs="Arial"/>
                <w:color w:val="000000"/>
                <w:sz w:val="20"/>
                <w:lang w:eastAsia="en-NZ"/>
              </w:rPr>
            </w:pPr>
            <w:r w:rsidRPr="001244BB">
              <w:rPr>
                <w:rFonts w:ascii="Arial" w:eastAsia="Times New Roman" w:hAnsi="Arial" w:cs="Arial"/>
                <w:color w:val="000000"/>
                <w:sz w:val="20"/>
                <w:lang w:eastAsia="en-NZ"/>
              </w:rPr>
              <w:t>40,152</w:t>
            </w:r>
          </w:p>
        </w:tc>
        <w:tc>
          <w:tcPr>
            <w:tcW w:w="1200" w:type="dxa"/>
            <w:shd w:val="clear" w:color="auto" w:fill="auto"/>
            <w:noWrap/>
            <w:hideMark/>
          </w:tcPr>
          <w:p w:rsidR="00560497" w:rsidRPr="001244BB" w:rsidRDefault="00560497" w:rsidP="00D44447">
            <w:pPr>
              <w:spacing w:after="0" w:line="240" w:lineRule="auto"/>
              <w:jc w:val="right"/>
              <w:rPr>
                <w:rFonts w:ascii="Arial" w:eastAsia="Times New Roman" w:hAnsi="Arial" w:cs="Arial"/>
                <w:color w:val="000000"/>
                <w:sz w:val="20"/>
                <w:lang w:eastAsia="en-NZ"/>
              </w:rPr>
            </w:pPr>
            <w:r w:rsidRPr="001244BB">
              <w:rPr>
                <w:rFonts w:ascii="Arial" w:eastAsia="Times New Roman" w:hAnsi="Arial" w:cs="Arial"/>
                <w:color w:val="000000"/>
                <w:sz w:val="20"/>
                <w:lang w:eastAsia="en-NZ"/>
              </w:rPr>
              <w:t>45,</w:t>
            </w:r>
            <w:r w:rsidR="00D44447" w:rsidRPr="001244BB">
              <w:rPr>
                <w:rFonts w:ascii="Arial" w:eastAsia="Times New Roman" w:hAnsi="Arial" w:cs="Arial"/>
                <w:color w:val="000000"/>
                <w:sz w:val="20"/>
                <w:lang w:eastAsia="en-NZ"/>
              </w:rPr>
              <w:t>21</w:t>
            </w:r>
            <w:r w:rsidR="00D44447">
              <w:rPr>
                <w:rFonts w:ascii="Arial" w:eastAsia="Times New Roman" w:hAnsi="Arial" w:cs="Arial"/>
                <w:color w:val="000000"/>
                <w:sz w:val="20"/>
                <w:lang w:eastAsia="en-NZ"/>
              </w:rPr>
              <w:t>2</w:t>
            </w:r>
          </w:p>
        </w:tc>
        <w:tc>
          <w:tcPr>
            <w:tcW w:w="1200" w:type="dxa"/>
            <w:shd w:val="clear" w:color="000000" w:fill="E8E8E8"/>
            <w:noWrap/>
            <w:hideMark/>
          </w:tcPr>
          <w:p w:rsidR="00560497" w:rsidRPr="001244BB" w:rsidRDefault="00560497" w:rsidP="00563C30">
            <w:pPr>
              <w:spacing w:after="0" w:line="240" w:lineRule="auto"/>
              <w:jc w:val="right"/>
              <w:rPr>
                <w:rFonts w:ascii="Arial" w:eastAsia="Times New Roman" w:hAnsi="Arial" w:cs="Arial"/>
                <w:color w:val="000000"/>
                <w:sz w:val="20"/>
                <w:lang w:eastAsia="en-NZ"/>
              </w:rPr>
            </w:pPr>
            <w:r w:rsidRPr="001244BB">
              <w:rPr>
                <w:rFonts w:ascii="Arial" w:eastAsia="Times New Roman" w:hAnsi="Arial" w:cs="Arial"/>
                <w:color w:val="000000"/>
                <w:sz w:val="20"/>
                <w:lang w:eastAsia="en-NZ"/>
              </w:rPr>
              <w:t>45,457</w:t>
            </w:r>
          </w:p>
        </w:tc>
        <w:tc>
          <w:tcPr>
            <w:tcW w:w="1200" w:type="dxa"/>
            <w:shd w:val="clear" w:color="000000" w:fill="E8E8E8"/>
            <w:noWrap/>
            <w:hideMark/>
          </w:tcPr>
          <w:p w:rsidR="00560497" w:rsidRPr="001244BB" w:rsidRDefault="00560497" w:rsidP="00563C30">
            <w:pPr>
              <w:spacing w:after="0" w:line="240" w:lineRule="auto"/>
              <w:jc w:val="right"/>
              <w:rPr>
                <w:rFonts w:ascii="Arial" w:eastAsia="Times New Roman" w:hAnsi="Arial" w:cs="Arial"/>
                <w:color w:val="000000"/>
                <w:sz w:val="20"/>
                <w:lang w:eastAsia="en-NZ"/>
              </w:rPr>
            </w:pPr>
            <w:r w:rsidRPr="001244BB">
              <w:rPr>
                <w:rFonts w:ascii="Arial" w:eastAsia="Times New Roman" w:hAnsi="Arial" w:cs="Arial"/>
                <w:color w:val="000000"/>
                <w:sz w:val="20"/>
                <w:lang w:eastAsia="en-NZ"/>
              </w:rPr>
              <w:t>55,697</w:t>
            </w:r>
          </w:p>
        </w:tc>
        <w:tc>
          <w:tcPr>
            <w:tcW w:w="1200" w:type="dxa"/>
            <w:shd w:val="clear" w:color="000000" w:fill="E8E8E8"/>
            <w:noWrap/>
            <w:hideMark/>
          </w:tcPr>
          <w:p w:rsidR="00560497" w:rsidRPr="001244BB" w:rsidRDefault="00560497" w:rsidP="00563C30">
            <w:pPr>
              <w:spacing w:after="0" w:line="240" w:lineRule="auto"/>
              <w:jc w:val="right"/>
              <w:rPr>
                <w:rFonts w:ascii="Arial" w:eastAsia="Times New Roman" w:hAnsi="Arial" w:cs="Arial"/>
                <w:color w:val="000000"/>
                <w:sz w:val="20"/>
                <w:lang w:eastAsia="en-NZ"/>
              </w:rPr>
            </w:pPr>
            <w:r w:rsidRPr="001244BB">
              <w:rPr>
                <w:rFonts w:ascii="Arial" w:eastAsia="Times New Roman" w:hAnsi="Arial" w:cs="Arial"/>
                <w:color w:val="000000"/>
                <w:sz w:val="20"/>
                <w:lang w:eastAsia="en-NZ"/>
              </w:rPr>
              <w:t>10,240</w:t>
            </w:r>
          </w:p>
        </w:tc>
        <w:tc>
          <w:tcPr>
            <w:tcW w:w="3529" w:type="dxa"/>
            <w:shd w:val="clear" w:color="auto" w:fill="auto"/>
            <w:vAlign w:val="bottom"/>
            <w:hideMark/>
          </w:tcPr>
          <w:p w:rsidR="00560497" w:rsidRPr="001244BB" w:rsidRDefault="00560497" w:rsidP="00563C30">
            <w:pPr>
              <w:spacing w:after="0" w:line="240" w:lineRule="auto"/>
              <w:rPr>
                <w:rFonts w:ascii="Arial" w:eastAsia="Times New Roman" w:hAnsi="Arial" w:cs="Arial"/>
                <w:color w:val="000000"/>
                <w:sz w:val="20"/>
                <w:lang w:eastAsia="en-NZ"/>
              </w:rPr>
            </w:pPr>
            <w:r w:rsidRPr="001244BB">
              <w:rPr>
                <w:rFonts w:ascii="Arial" w:eastAsia="Times New Roman" w:hAnsi="Arial" w:cs="Arial"/>
                <w:color w:val="000000"/>
                <w:sz w:val="20"/>
                <w:lang w:eastAsia="en-NZ"/>
              </w:rPr>
              <w:t> </w:t>
            </w:r>
          </w:p>
        </w:tc>
      </w:tr>
      <w:tr w:rsidR="00560497" w:rsidRPr="001244BB" w:rsidTr="00563C30">
        <w:trPr>
          <w:trHeight w:val="300"/>
        </w:trPr>
        <w:tc>
          <w:tcPr>
            <w:tcW w:w="14049" w:type="dxa"/>
            <w:gridSpan w:val="7"/>
            <w:shd w:val="clear" w:color="auto" w:fill="FFC1B3"/>
            <w:noWrap/>
            <w:vAlign w:val="bottom"/>
            <w:hideMark/>
          </w:tcPr>
          <w:p w:rsidR="00560497" w:rsidRPr="001244BB" w:rsidRDefault="00560497" w:rsidP="00563C30">
            <w:pPr>
              <w:spacing w:after="0" w:line="240" w:lineRule="auto"/>
              <w:rPr>
                <w:rFonts w:ascii="Arial" w:eastAsia="Times New Roman" w:hAnsi="Arial" w:cs="Arial"/>
                <w:color w:val="000000"/>
                <w:sz w:val="20"/>
                <w:lang w:eastAsia="en-NZ"/>
              </w:rPr>
            </w:pPr>
            <w:r w:rsidRPr="001244BB">
              <w:rPr>
                <w:rFonts w:ascii="Arial" w:eastAsia="Times New Roman" w:hAnsi="Arial" w:cs="Arial"/>
                <w:b/>
                <w:bCs/>
                <w:color w:val="000000"/>
                <w:sz w:val="20"/>
                <w:lang w:eastAsia="en-NZ"/>
              </w:rPr>
              <w:t xml:space="preserve">7.2 Parking </w:t>
            </w:r>
          </w:p>
        </w:tc>
      </w:tr>
      <w:tr w:rsidR="00560497" w:rsidRPr="001244BB" w:rsidTr="00563C30">
        <w:trPr>
          <w:trHeight w:val="300"/>
        </w:trPr>
        <w:tc>
          <w:tcPr>
            <w:tcW w:w="4540" w:type="dxa"/>
            <w:shd w:val="clear" w:color="auto" w:fill="auto"/>
            <w:noWrap/>
            <w:hideMark/>
          </w:tcPr>
          <w:p w:rsidR="00560497" w:rsidRPr="001244BB" w:rsidRDefault="00560497" w:rsidP="00563C30">
            <w:pPr>
              <w:spacing w:after="0" w:line="240" w:lineRule="auto"/>
              <w:rPr>
                <w:rFonts w:ascii="Arial" w:eastAsia="Times New Roman" w:hAnsi="Arial" w:cs="Arial"/>
                <w:color w:val="000000"/>
                <w:sz w:val="20"/>
                <w:lang w:eastAsia="en-NZ"/>
              </w:rPr>
            </w:pPr>
            <w:r w:rsidRPr="001244BB">
              <w:rPr>
                <w:rFonts w:ascii="Arial" w:eastAsia="Times New Roman" w:hAnsi="Arial" w:cs="Arial"/>
                <w:color w:val="000000"/>
                <w:sz w:val="20"/>
                <w:lang w:eastAsia="en-NZ"/>
              </w:rPr>
              <w:t>Expenditure</w:t>
            </w:r>
          </w:p>
        </w:tc>
        <w:tc>
          <w:tcPr>
            <w:tcW w:w="1180" w:type="dxa"/>
            <w:shd w:val="clear" w:color="auto" w:fill="auto"/>
            <w:noWrap/>
            <w:hideMark/>
          </w:tcPr>
          <w:p w:rsidR="00560497" w:rsidRPr="001244BB" w:rsidRDefault="00560497" w:rsidP="00563C30">
            <w:pPr>
              <w:spacing w:after="0" w:line="240" w:lineRule="auto"/>
              <w:jc w:val="right"/>
              <w:rPr>
                <w:rFonts w:ascii="Arial" w:eastAsia="Times New Roman" w:hAnsi="Arial" w:cs="Arial"/>
                <w:color w:val="000000"/>
                <w:sz w:val="20"/>
                <w:lang w:eastAsia="en-NZ"/>
              </w:rPr>
            </w:pPr>
            <w:r w:rsidRPr="001244BB">
              <w:rPr>
                <w:rFonts w:ascii="Arial" w:eastAsia="Times New Roman" w:hAnsi="Arial" w:cs="Arial"/>
                <w:color w:val="000000"/>
                <w:sz w:val="20"/>
                <w:lang w:eastAsia="en-NZ"/>
              </w:rPr>
              <w:t>12,542</w:t>
            </w:r>
          </w:p>
        </w:tc>
        <w:tc>
          <w:tcPr>
            <w:tcW w:w="1200" w:type="dxa"/>
            <w:shd w:val="clear" w:color="auto" w:fill="auto"/>
            <w:noWrap/>
            <w:hideMark/>
          </w:tcPr>
          <w:p w:rsidR="00560497" w:rsidRPr="001244BB" w:rsidRDefault="00560497" w:rsidP="00563C30">
            <w:pPr>
              <w:spacing w:after="0" w:line="240" w:lineRule="auto"/>
              <w:jc w:val="right"/>
              <w:rPr>
                <w:rFonts w:ascii="Arial" w:eastAsia="Times New Roman" w:hAnsi="Arial" w:cs="Arial"/>
                <w:color w:val="000000"/>
                <w:sz w:val="20"/>
                <w:lang w:eastAsia="en-NZ"/>
              </w:rPr>
            </w:pPr>
            <w:r w:rsidRPr="001244BB">
              <w:rPr>
                <w:rFonts w:ascii="Arial" w:eastAsia="Times New Roman" w:hAnsi="Arial" w:cs="Arial"/>
                <w:color w:val="000000"/>
                <w:sz w:val="20"/>
                <w:lang w:eastAsia="en-NZ"/>
              </w:rPr>
              <w:t>14,294</w:t>
            </w:r>
          </w:p>
        </w:tc>
        <w:tc>
          <w:tcPr>
            <w:tcW w:w="1200" w:type="dxa"/>
            <w:shd w:val="clear" w:color="000000" w:fill="E8E8E8"/>
            <w:noWrap/>
            <w:hideMark/>
          </w:tcPr>
          <w:p w:rsidR="00560497" w:rsidRPr="001244BB" w:rsidRDefault="00560497" w:rsidP="00563C30">
            <w:pPr>
              <w:spacing w:after="0" w:line="240" w:lineRule="auto"/>
              <w:jc w:val="right"/>
              <w:rPr>
                <w:rFonts w:ascii="Arial" w:eastAsia="Times New Roman" w:hAnsi="Arial" w:cs="Arial"/>
                <w:color w:val="000000"/>
                <w:sz w:val="20"/>
                <w:lang w:eastAsia="en-NZ"/>
              </w:rPr>
            </w:pPr>
            <w:r w:rsidRPr="001244BB">
              <w:rPr>
                <w:rFonts w:ascii="Arial" w:eastAsia="Times New Roman" w:hAnsi="Arial" w:cs="Arial"/>
                <w:color w:val="000000"/>
                <w:sz w:val="20"/>
                <w:lang w:eastAsia="en-NZ"/>
              </w:rPr>
              <w:t>14,593</w:t>
            </w:r>
          </w:p>
        </w:tc>
        <w:tc>
          <w:tcPr>
            <w:tcW w:w="1200" w:type="dxa"/>
            <w:shd w:val="clear" w:color="000000" w:fill="E8E8E8"/>
            <w:noWrap/>
            <w:hideMark/>
          </w:tcPr>
          <w:p w:rsidR="00560497" w:rsidRPr="001244BB" w:rsidRDefault="00560497" w:rsidP="00563C30">
            <w:pPr>
              <w:spacing w:after="0" w:line="240" w:lineRule="auto"/>
              <w:jc w:val="right"/>
              <w:rPr>
                <w:rFonts w:ascii="Arial" w:eastAsia="Times New Roman" w:hAnsi="Arial" w:cs="Arial"/>
                <w:color w:val="000000"/>
                <w:sz w:val="20"/>
                <w:lang w:eastAsia="en-NZ"/>
              </w:rPr>
            </w:pPr>
            <w:r w:rsidRPr="001244BB">
              <w:rPr>
                <w:rFonts w:ascii="Arial" w:eastAsia="Times New Roman" w:hAnsi="Arial" w:cs="Arial"/>
                <w:color w:val="000000"/>
                <w:sz w:val="20"/>
                <w:lang w:eastAsia="en-NZ"/>
              </w:rPr>
              <w:t>15,450</w:t>
            </w:r>
          </w:p>
        </w:tc>
        <w:tc>
          <w:tcPr>
            <w:tcW w:w="1200" w:type="dxa"/>
            <w:shd w:val="clear" w:color="000000" w:fill="E8E8E8"/>
            <w:noWrap/>
            <w:hideMark/>
          </w:tcPr>
          <w:p w:rsidR="00560497" w:rsidRPr="001244BB" w:rsidRDefault="00560497" w:rsidP="00563C30">
            <w:pPr>
              <w:spacing w:after="0" w:line="240" w:lineRule="auto"/>
              <w:jc w:val="right"/>
              <w:rPr>
                <w:rFonts w:ascii="Arial" w:eastAsia="Times New Roman" w:hAnsi="Arial" w:cs="Arial"/>
                <w:color w:val="000000"/>
                <w:sz w:val="20"/>
                <w:lang w:eastAsia="en-NZ"/>
              </w:rPr>
            </w:pPr>
            <w:r w:rsidRPr="001244BB">
              <w:rPr>
                <w:rFonts w:ascii="Arial" w:eastAsia="Times New Roman" w:hAnsi="Arial" w:cs="Arial"/>
                <w:color w:val="000000"/>
                <w:sz w:val="20"/>
                <w:lang w:eastAsia="en-NZ"/>
              </w:rPr>
              <w:t>856</w:t>
            </w:r>
          </w:p>
        </w:tc>
        <w:tc>
          <w:tcPr>
            <w:tcW w:w="3529" w:type="dxa"/>
            <w:shd w:val="clear" w:color="auto" w:fill="auto"/>
            <w:vAlign w:val="bottom"/>
            <w:hideMark/>
          </w:tcPr>
          <w:p w:rsidR="00560497" w:rsidRPr="001244BB" w:rsidRDefault="00560497" w:rsidP="00563C30">
            <w:pPr>
              <w:spacing w:after="0" w:line="240" w:lineRule="auto"/>
              <w:rPr>
                <w:rFonts w:ascii="Arial" w:eastAsia="Times New Roman" w:hAnsi="Arial" w:cs="Arial"/>
                <w:color w:val="000000"/>
                <w:sz w:val="20"/>
                <w:lang w:eastAsia="en-NZ"/>
              </w:rPr>
            </w:pPr>
          </w:p>
        </w:tc>
      </w:tr>
      <w:tr w:rsidR="00560497" w:rsidRPr="001244BB" w:rsidTr="00563C30">
        <w:trPr>
          <w:trHeight w:val="765"/>
        </w:trPr>
        <w:tc>
          <w:tcPr>
            <w:tcW w:w="4540" w:type="dxa"/>
            <w:shd w:val="clear" w:color="auto" w:fill="auto"/>
            <w:noWrap/>
            <w:hideMark/>
          </w:tcPr>
          <w:p w:rsidR="00560497" w:rsidRPr="001244BB" w:rsidRDefault="00560497" w:rsidP="00563C30">
            <w:pPr>
              <w:spacing w:after="0" w:line="240" w:lineRule="auto"/>
              <w:rPr>
                <w:rFonts w:ascii="Arial" w:eastAsia="Times New Roman" w:hAnsi="Arial" w:cs="Arial"/>
                <w:color w:val="000000"/>
                <w:sz w:val="20"/>
                <w:lang w:eastAsia="en-NZ"/>
              </w:rPr>
            </w:pPr>
            <w:r w:rsidRPr="001244BB">
              <w:rPr>
                <w:rFonts w:ascii="Arial" w:eastAsia="Times New Roman" w:hAnsi="Arial" w:cs="Arial"/>
                <w:color w:val="000000"/>
                <w:sz w:val="20"/>
                <w:lang w:eastAsia="en-NZ"/>
              </w:rPr>
              <w:t>Revenue</w:t>
            </w:r>
          </w:p>
        </w:tc>
        <w:tc>
          <w:tcPr>
            <w:tcW w:w="1180" w:type="dxa"/>
            <w:shd w:val="clear" w:color="auto" w:fill="auto"/>
            <w:noWrap/>
            <w:hideMark/>
          </w:tcPr>
          <w:p w:rsidR="00560497" w:rsidRPr="001244BB" w:rsidRDefault="00560497" w:rsidP="00563C30">
            <w:pPr>
              <w:spacing w:after="0" w:line="240" w:lineRule="auto"/>
              <w:jc w:val="right"/>
              <w:rPr>
                <w:rFonts w:ascii="Arial" w:eastAsia="Times New Roman" w:hAnsi="Arial" w:cs="Arial"/>
                <w:color w:val="000000"/>
                <w:sz w:val="20"/>
                <w:lang w:eastAsia="en-NZ"/>
              </w:rPr>
            </w:pPr>
            <w:r w:rsidRPr="001244BB">
              <w:rPr>
                <w:rFonts w:ascii="Arial" w:eastAsia="Times New Roman" w:hAnsi="Arial" w:cs="Arial"/>
                <w:color w:val="000000"/>
                <w:sz w:val="20"/>
                <w:lang w:eastAsia="en-NZ"/>
              </w:rPr>
              <w:t>(26,858)</w:t>
            </w:r>
          </w:p>
        </w:tc>
        <w:tc>
          <w:tcPr>
            <w:tcW w:w="1200" w:type="dxa"/>
            <w:shd w:val="clear" w:color="auto" w:fill="auto"/>
            <w:noWrap/>
            <w:hideMark/>
          </w:tcPr>
          <w:p w:rsidR="00560497" w:rsidRPr="001244BB" w:rsidRDefault="00560497" w:rsidP="00563C30">
            <w:pPr>
              <w:spacing w:after="0" w:line="240" w:lineRule="auto"/>
              <w:jc w:val="right"/>
              <w:rPr>
                <w:rFonts w:ascii="Arial" w:eastAsia="Times New Roman" w:hAnsi="Arial" w:cs="Arial"/>
                <w:color w:val="000000"/>
                <w:sz w:val="20"/>
                <w:lang w:eastAsia="en-NZ"/>
              </w:rPr>
            </w:pPr>
            <w:r w:rsidRPr="001244BB">
              <w:rPr>
                <w:rFonts w:ascii="Arial" w:eastAsia="Times New Roman" w:hAnsi="Arial" w:cs="Arial"/>
                <w:color w:val="000000"/>
                <w:sz w:val="20"/>
                <w:lang w:eastAsia="en-NZ"/>
              </w:rPr>
              <w:t>(26,992)</w:t>
            </w:r>
          </w:p>
        </w:tc>
        <w:tc>
          <w:tcPr>
            <w:tcW w:w="1200" w:type="dxa"/>
            <w:shd w:val="clear" w:color="000000" w:fill="E8E8E8"/>
            <w:noWrap/>
            <w:hideMark/>
          </w:tcPr>
          <w:p w:rsidR="00560497" w:rsidRPr="001244BB" w:rsidRDefault="00560497" w:rsidP="00563C30">
            <w:pPr>
              <w:spacing w:after="0" w:line="240" w:lineRule="auto"/>
              <w:jc w:val="right"/>
              <w:rPr>
                <w:rFonts w:ascii="Arial" w:eastAsia="Times New Roman" w:hAnsi="Arial" w:cs="Arial"/>
                <w:color w:val="000000"/>
                <w:sz w:val="20"/>
                <w:lang w:eastAsia="en-NZ"/>
              </w:rPr>
            </w:pPr>
            <w:r w:rsidRPr="001244BB">
              <w:rPr>
                <w:rFonts w:ascii="Arial" w:eastAsia="Times New Roman" w:hAnsi="Arial" w:cs="Arial"/>
                <w:color w:val="000000"/>
                <w:sz w:val="20"/>
                <w:lang w:eastAsia="en-NZ"/>
              </w:rPr>
              <w:t>(29,036)</w:t>
            </w:r>
          </w:p>
        </w:tc>
        <w:tc>
          <w:tcPr>
            <w:tcW w:w="1200" w:type="dxa"/>
            <w:shd w:val="clear" w:color="000000" w:fill="E8E8E8"/>
            <w:noWrap/>
            <w:hideMark/>
          </w:tcPr>
          <w:p w:rsidR="00560497" w:rsidRPr="001244BB" w:rsidRDefault="00560497" w:rsidP="00563C30">
            <w:pPr>
              <w:spacing w:after="0" w:line="240" w:lineRule="auto"/>
              <w:jc w:val="right"/>
              <w:rPr>
                <w:rFonts w:ascii="Arial" w:eastAsia="Times New Roman" w:hAnsi="Arial" w:cs="Arial"/>
                <w:color w:val="000000"/>
                <w:sz w:val="20"/>
                <w:lang w:eastAsia="en-NZ"/>
              </w:rPr>
            </w:pPr>
            <w:r w:rsidRPr="001244BB">
              <w:rPr>
                <w:rFonts w:ascii="Arial" w:eastAsia="Times New Roman" w:hAnsi="Arial" w:cs="Arial"/>
                <w:color w:val="000000"/>
                <w:sz w:val="20"/>
                <w:lang w:eastAsia="en-NZ"/>
              </w:rPr>
              <w:t>(30,923)</w:t>
            </w:r>
          </w:p>
        </w:tc>
        <w:tc>
          <w:tcPr>
            <w:tcW w:w="1200" w:type="dxa"/>
            <w:shd w:val="clear" w:color="000000" w:fill="E8E8E8"/>
            <w:noWrap/>
            <w:hideMark/>
          </w:tcPr>
          <w:p w:rsidR="00560497" w:rsidRPr="001244BB" w:rsidRDefault="00560497" w:rsidP="00563C30">
            <w:pPr>
              <w:spacing w:after="0" w:line="240" w:lineRule="auto"/>
              <w:jc w:val="right"/>
              <w:rPr>
                <w:rFonts w:ascii="Arial" w:eastAsia="Times New Roman" w:hAnsi="Arial" w:cs="Arial"/>
                <w:color w:val="000000"/>
                <w:sz w:val="20"/>
                <w:lang w:eastAsia="en-NZ"/>
              </w:rPr>
            </w:pPr>
            <w:r w:rsidRPr="001244BB">
              <w:rPr>
                <w:rFonts w:ascii="Arial" w:eastAsia="Times New Roman" w:hAnsi="Arial" w:cs="Arial"/>
                <w:color w:val="000000"/>
                <w:sz w:val="20"/>
                <w:lang w:eastAsia="en-NZ"/>
              </w:rPr>
              <w:t>(1,887)</w:t>
            </w:r>
          </w:p>
        </w:tc>
        <w:tc>
          <w:tcPr>
            <w:tcW w:w="3529" w:type="dxa"/>
            <w:shd w:val="clear" w:color="auto" w:fill="auto"/>
            <w:vAlign w:val="bottom"/>
            <w:hideMark/>
          </w:tcPr>
          <w:p w:rsidR="00560497" w:rsidRPr="001244BB" w:rsidRDefault="00560497" w:rsidP="00563C30">
            <w:pPr>
              <w:spacing w:after="0" w:line="240" w:lineRule="auto"/>
              <w:rPr>
                <w:rFonts w:ascii="Arial" w:eastAsia="Times New Roman" w:hAnsi="Arial" w:cs="Arial"/>
                <w:color w:val="000000"/>
                <w:sz w:val="20"/>
                <w:lang w:eastAsia="en-NZ"/>
              </w:rPr>
            </w:pPr>
            <w:r w:rsidRPr="001244BB">
              <w:rPr>
                <w:rFonts w:ascii="Arial" w:eastAsia="Times New Roman" w:hAnsi="Arial" w:cs="Arial"/>
                <w:color w:val="000000"/>
                <w:sz w:val="20"/>
                <w:lang w:eastAsia="en-NZ"/>
              </w:rPr>
              <w:t>Unfavourable due to lower than budgeted metering and enforcement revenue. Partially offset by lower than expected administration and other general expenses.</w:t>
            </w:r>
          </w:p>
        </w:tc>
      </w:tr>
      <w:tr w:rsidR="00560497" w:rsidRPr="001244BB" w:rsidTr="00563C30">
        <w:trPr>
          <w:trHeight w:val="300"/>
        </w:trPr>
        <w:tc>
          <w:tcPr>
            <w:tcW w:w="4540" w:type="dxa"/>
            <w:shd w:val="clear" w:color="auto" w:fill="auto"/>
            <w:noWrap/>
            <w:hideMark/>
          </w:tcPr>
          <w:p w:rsidR="00560497" w:rsidRPr="001244BB" w:rsidRDefault="00560497" w:rsidP="00563C30">
            <w:pPr>
              <w:spacing w:after="0" w:line="240" w:lineRule="auto"/>
              <w:rPr>
                <w:rFonts w:ascii="Arial" w:eastAsia="Times New Roman" w:hAnsi="Arial" w:cs="Arial"/>
                <w:color w:val="000000"/>
                <w:sz w:val="20"/>
                <w:lang w:eastAsia="en-NZ"/>
              </w:rPr>
            </w:pPr>
            <w:r w:rsidRPr="001244BB">
              <w:rPr>
                <w:rFonts w:ascii="Arial" w:eastAsia="Times New Roman" w:hAnsi="Arial" w:cs="Arial"/>
                <w:color w:val="000000"/>
                <w:sz w:val="20"/>
                <w:lang w:eastAsia="en-NZ"/>
              </w:rPr>
              <w:t>Net Revenue</w:t>
            </w:r>
          </w:p>
        </w:tc>
        <w:tc>
          <w:tcPr>
            <w:tcW w:w="1180" w:type="dxa"/>
            <w:shd w:val="clear" w:color="auto" w:fill="auto"/>
            <w:noWrap/>
            <w:hideMark/>
          </w:tcPr>
          <w:p w:rsidR="00560497" w:rsidRPr="001244BB" w:rsidRDefault="00560497" w:rsidP="00563C30">
            <w:pPr>
              <w:spacing w:after="0" w:line="240" w:lineRule="auto"/>
              <w:jc w:val="right"/>
              <w:rPr>
                <w:rFonts w:ascii="Arial" w:eastAsia="Times New Roman" w:hAnsi="Arial" w:cs="Arial"/>
                <w:color w:val="000000"/>
                <w:sz w:val="20"/>
                <w:lang w:eastAsia="en-NZ"/>
              </w:rPr>
            </w:pPr>
            <w:r w:rsidRPr="001244BB">
              <w:rPr>
                <w:rFonts w:ascii="Arial" w:eastAsia="Times New Roman" w:hAnsi="Arial" w:cs="Arial"/>
                <w:color w:val="000000"/>
                <w:sz w:val="20"/>
                <w:lang w:eastAsia="en-NZ"/>
              </w:rPr>
              <w:t>(14,316)</w:t>
            </w:r>
          </w:p>
        </w:tc>
        <w:tc>
          <w:tcPr>
            <w:tcW w:w="1200" w:type="dxa"/>
            <w:shd w:val="clear" w:color="auto" w:fill="auto"/>
            <w:noWrap/>
            <w:hideMark/>
          </w:tcPr>
          <w:p w:rsidR="00560497" w:rsidRPr="001244BB" w:rsidRDefault="00560497" w:rsidP="00563C30">
            <w:pPr>
              <w:spacing w:after="0" w:line="240" w:lineRule="auto"/>
              <w:jc w:val="right"/>
              <w:rPr>
                <w:rFonts w:ascii="Arial" w:eastAsia="Times New Roman" w:hAnsi="Arial" w:cs="Arial"/>
                <w:color w:val="000000"/>
                <w:sz w:val="20"/>
                <w:lang w:eastAsia="en-NZ"/>
              </w:rPr>
            </w:pPr>
            <w:r w:rsidRPr="001244BB">
              <w:rPr>
                <w:rFonts w:ascii="Arial" w:eastAsia="Times New Roman" w:hAnsi="Arial" w:cs="Arial"/>
                <w:color w:val="000000"/>
                <w:sz w:val="20"/>
                <w:lang w:eastAsia="en-NZ"/>
              </w:rPr>
              <w:t>(12,698)</w:t>
            </w:r>
          </w:p>
        </w:tc>
        <w:tc>
          <w:tcPr>
            <w:tcW w:w="1200" w:type="dxa"/>
            <w:shd w:val="clear" w:color="000000" w:fill="E8E8E8"/>
            <w:noWrap/>
            <w:hideMark/>
          </w:tcPr>
          <w:p w:rsidR="00560497" w:rsidRPr="001244BB" w:rsidRDefault="00560497" w:rsidP="00563C30">
            <w:pPr>
              <w:spacing w:after="0" w:line="240" w:lineRule="auto"/>
              <w:jc w:val="right"/>
              <w:rPr>
                <w:rFonts w:ascii="Arial" w:eastAsia="Times New Roman" w:hAnsi="Arial" w:cs="Arial"/>
                <w:color w:val="000000"/>
                <w:sz w:val="20"/>
                <w:lang w:eastAsia="en-NZ"/>
              </w:rPr>
            </w:pPr>
            <w:r w:rsidRPr="001244BB">
              <w:rPr>
                <w:rFonts w:ascii="Arial" w:eastAsia="Times New Roman" w:hAnsi="Arial" w:cs="Arial"/>
                <w:color w:val="000000"/>
                <w:sz w:val="20"/>
                <w:lang w:eastAsia="en-NZ"/>
              </w:rPr>
              <w:t>(14,443)</w:t>
            </w:r>
          </w:p>
        </w:tc>
        <w:tc>
          <w:tcPr>
            <w:tcW w:w="1200" w:type="dxa"/>
            <w:shd w:val="clear" w:color="000000" w:fill="E8E8E8"/>
            <w:noWrap/>
            <w:hideMark/>
          </w:tcPr>
          <w:p w:rsidR="00560497" w:rsidRPr="001244BB" w:rsidRDefault="00560497" w:rsidP="00563C30">
            <w:pPr>
              <w:spacing w:after="0" w:line="240" w:lineRule="auto"/>
              <w:jc w:val="right"/>
              <w:rPr>
                <w:rFonts w:ascii="Arial" w:eastAsia="Times New Roman" w:hAnsi="Arial" w:cs="Arial"/>
                <w:color w:val="000000"/>
                <w:sz w:val="20"/>
                <w:lang w:eastAsia="en-NZ"/>
              </w:rPr>
            </w:pPr>
            <w:r w:rsidRPr="001244BB">
              <w:rPr>
                <w:rFonts w:ascii="Arial" w:eastAsia="Times New Roman" w:hAnsi="Arial" w:cs="Arial"/>
                <w:color w:val="000000"/>
                <w:sz w:val="20"/>
                <w:lang w:eastAsia="en-NZ"/>
              </w:rPr>
              <w:t>(15,473)</w:t>
            </w:r>
          </w:p>
        </w:tc>
        <w:tc>
          <w:tcPr>
            <w:tcW w:w="1200" w:type="dxa"/>
            <w:shd w:val="clear" w:color="000000" w:fill="E8E8E8"/>
            <w:noWrap/>
            <w:hideMark/>
          </w:tcPr>
          <w:p w:rsidR="00560497" w:rsidRPr="001244BB" w:rsidRDefault="00560497" w:rsidP="00563C30">
            <w:pPr>
              <w:spacing w:after="0" w:line="240" w:lineRule="auto"/>
              <w:jc w:val="right"/>
              <w:rPr>
                <w:rFonts w:ascii="Arial" w:eastAsia="Times New Roman" w:hAnsi="Arial" w:cs="Arial"/>
                <w:color w:val="000000"/>
                <w:sz w:val="20"/>
                <w:lang w:eastAsia="en-NZ"/>
              </w:rPr>
            </w:pPr>
            <w:r w:rsidRPr="001244BB">
              <w:rPr>
                <w:rFonts w:ascii="Arial" w:eastAsia="Times New Roman" w:hAnsi="Arial" w:cs="Arial"/>
                <w:color w:val="000000"/>
                <w:sz w:val="20"/>
                <w:lang w:eastAsia="en-NZ"/>
              </w:rPr>
              <w:t>(1,031)</w:t>
            </w:r>
          </w:p>
        </w:tc>
        <w:tc>
          <w:tcPr>
            <w:tcW w:w="3529" w:type="dxa"/>
            <w:shd w:val="clear" w:color="auto" w:fill="auto"/>
            <w:vAlign w:val="bottom"/>
            <w:hideMark/>
          </w:tcPr>
          <w:p w:rsidR="00560497" w:rsidRPr="001244BB" w:rsidRDefault="00560497" w:rsidP="00563C30">
            <w:pPr>
              <w:spacing w:after="0" w:line="240" w:lineRule="auto"/>
              <w:rPr>
                <w:rFonts w:ascii="Arial" w:eastAsia="Times New Roman" w:hAnsi="Arial" w:cs="Arial"/>
                <w:color w:val="000000"/>
                <w:szCs w:val="24"/>
                <w:lang w:eastAsia="en-NZ"/>
              </w:rPr>
            </w:pPr>
            <w:r w:rsidRPr="001244BB">
              <w:rPr>
                <w:rFonts w:ascii="Arial" w:eastAsia="Times New Roman" w:hAnsi="Arial" w:cs="Arial"/>
                <w:color w:val="000000"/>
                <w:szCs w:val="24"/>
                <w:lang w:eastAsia="en-NZ"/>
              </w:rPr>
              <w:t> </w:t>
            </w:r>
          </w:p>
        </w:tc>
      </w:tr>
      <w:tr w:rsidR="00560497" w:rsidRPr="001244BB" w:rsidTr="00563C30">
        <w:trPr>
          <w:trHeight w:val="300"/>
        </w:trPr>
        <w:tc>
          <w:tcPr>
            <w:tcW w:w="14049" w:type="dxa"/>
            <w:gridSpan w:val="7"/>
            <w:shd w:val="clear" w:color="auto" w:fill="FFC1B3"/>
            <w:noWrap/>
            <w:vAlign w:val="bottom"/>
            <w:hideMark/>
          </w:tcPr>
          <w:p w:rsidR="00560497" w:rsidRPr="001244BB" w:rsidRDefault="00560497" w:rsidP="00563C30">
            <w:pPr>
              <w:spacing w:after="0" w:line="240" w:lineRule="auto"/>
              <w:rPr>
                <w:rFonts w:ascii="Arial" w:eastAsia="Times New Roman" w:hAnsi="Arial" w:cs="Arial"/>
                <w:color w:val="000000"/>
                <w:szCs w:val="24"/>
                <w:lang w:eastAsia="en-NZ"/>
              </w:rPr>
            </w:pPr>
            <w:r w:rsidRPr="001244BB">
              <w:rPr>
                <w:rFonts w:ascii="Arial" w:eastAsia="Times New Roman" w:hAnsi="Arial" w:cs="Arial"/>
                <w:b/>
                <w:bCs/>
                <w:color w:val="000000"/>
                <w:sz w:val="20"/>
                <w:lang w:eastAsia="en-NZ"/>
              </w:rPr>
              <w:t>Transport Total</w:t>
            </w:r>
          </w:p>
        </w:tc>
      </w:tr>
      <w:tr w:rsidR="00560497" w:rsidRPr="001244BB" w:rsidTr="00563C30">
        <w:trPr>
          <w:trHeight w:val="300"/>
        </w:trPr>
        <w:tc>
          <w:tcPr>
            <w:tcW w:w="4540" w:type="dxa"/>
            <w:shd w:val="clear" w:color="auto" w:fill="auto"/>
            <w:noWrap/>
            <w:hideMark/>
          </w:tcPr>
          <w:p w:rsidR="00560497" w:rsidRPr="001244BB" w:rsidRDefault="00560497" w:rsidP="00563C30">
            <w:pPr>
              <w:spacing w:after="0" w:line="240" w:lineRule="auto"/>
              <w:rPr>
                <w:rFonts w:ascii="Arial" w:eastAsia="Times New Roman" w:hAnsi="Arial" w:cs="Arial"/>
                <w:color w:val="000000"/>
                <w:sz w:val="20"/>
                <w:lang w:eastAsia="en-NZ"/>
              </w:rPr>
            </w:pPr>
            <w:r w:rsidRPr="001244BB">
              <w:rPr>
                <w:rFonts w:ascii="Arial" w:eastAsia="Times New Roman" w:hAnsi="Arial" w:cs="Arial"/>
                <w:color w:val="000000"/>
                <w:sz w:val="20"/>
                <w:lang w:eastAsia="en-NZ"/>
              </w:rPr>
              <w:t>Expenditure</w:t>
            </w:r>
          </w:p>
        </w:tc>
        <w:tc>
          <w:tcPr>
            <w:tcW w:w="1180" w:type="dxa"/>
            <w:shd w:val="clear" w:color="auto" w:fill="auto"/>
            <w:noWrap/>
            <w:hideMark/>
          </w:tcPr>
          <w:p w:rsidR="00560497" w:rsidRPr="001244BB" w:rsidRDefault="00560497" w:rsidP="00563C30">
            <w:pPr>
              <w:spacing w:after="0" w:line="240" w:lineRule="auto"/>
              <w:jc w:val="right"/>
              <w:rPr>
                <w:rFonts w:ascii="Arial" w:eastAsia="Times New Roman" w:hAnsi="Arial" w:cs="Arial"/>
                <w:color w:val="000000"/>
                <w:sz w:val="20"/>
                <w:lang w:eastAsia="en-NZ"/>
              </w:rPr>
            </w:pPr>
            <w:r w:rsidRPr="001244BB">
              <w:rPr>
                <w:rFonts w:ascii="Arial" w:eastAsia="Times New Roman" w:hAnsi="Arial" w:cs="Arial"/>
                <w:color w:val="000000"/>
                <w:sz w:val="20"/>
                <w:lang w:eastAsia="en-NZ"/>
              </w:rPr>
              <w:t>62,401</w:t>
            </w:r>
          </w:p>
        </w:tc>
        <w:tc>
          <w:tcPr>
            <w:tcW w:w="1200" w:type="dxa"/>
            <w:shd w:val="clear" w:color="auto" w:fill="auto"/>
            <w:noWrap/>
            <w:hideMark/>
          </w:tcPr>
          <w:p w:rsidR="00560497" w:rsidRPr="001244BB" w:rsidRDefault="00560497" w:rsidP="00563C30">
            <w:pPr>
              <w:spacing w:after="0" w:line="240" w:lineRule="auto"/>
              <w:jc w:val="right"/>
              <w:rPr>
                <w:rFonts w:ascii="Arial" w:eastAsia="Times New Roman" w:hAnsi="Arial" w:cs="Arial"/>
                <w:color w:val="000000"/>
                <w:sz w:val="20"/>
                <w:lang w:eastAsia="en-NZ"/>
              </w:rPr>
            </w:pPr>
            <w:r w:rsidRPr="001244BB">
              <w:rPr>
                <w:rFonts w:ascii="Arial" w:eastAsia="Times New Roman" w:hAnsi="Arial" w:cs="Arial"/>
                <w:color w:val="000000"/>
                <w:sz w:val="20"/>
                <w:lang w:eastAsia="en-NZ"/>
              </w:rPr>
              <w:t>69,480</w:t>
            </w:r>
          </w:p>
        </w:tc>
        <w:tc>
          <w:tcPr>
            <w:tcW w:w="1200" w:type="dxa"/>
            <w:shd w:val="clear" w:color="000000" w:fill="E8E8E8"/>
            <w:noWrap/>
            <w:hideMark/>
          </w:tcPr>
          <w:p w:rsidR="00560497" w:rsidRPr="001244BB" w:rsidRDefault="00560497" w:rsidP="00563C30">
            <w:pPr>
              <w:spacing w:after="0" w:line="240" w:lineRule="auto"/>
              <w:jc w:val="right"/>
              <w:rPr>
                <w:rFonts w:ascii="Arial" w:eastAsia="Times New Roman" w:hAnsi="Arial" w:cs="Arial"/>
                <w:color w:val="000000"/>
                <w:sz w:val="20"/>
                <w:lang w:eastAsia="en-NZ"/>
              </w:rPr>
            </w:pPr>
            <w:r w:rsidRPr="001244BB">
              <w:rPr>
                <w:rFonts w:ascii="Arial" w:eastAsia="Times New Roman" w:hAnsi="Arial" w:cs="Arial"/>
                <w:color w:val="000000"/>
                <w:sz w:val="20"/>
                <w:lang w:eastAsia="en-NZ"/>
              </w:rPr>
              <w:t>74,559</w:t>
            </w:r>
          </w:p>
        </w:tc>
        <w:tc>
          <w:tcPr>
            <w:tcW w:w="1200" w:type="dxa"/>
            <w:shd w:val="clear" w:color="000000" w:fill="E8E8E8"/>
            <w:noWrap/>
            <w:hideMark/>
          </w:tcPr>
          <w:p w:rsidR="00560497" w:rsidRPr="001244BB" w:rsidRDefault="00560497" w:rsidP="00563C30">
            <w:pPr>
              <w:spacing w:after="0" w:line="240" w:lineRule="auto"/>
              <w:jc w:val="right"/>
              <w:rPr>
                <w:rFonts w:ascii="Arial" w:eastAsia="Times New Roman" w:hAnsi="Arial" w:cs="Arial"/>
                <w:color w:val="000000"/>
                <w:sz w:val="20"/>
                <w:lang w:eastAsia="en-NZ"/>
              </w:rPr>
            </w:pPr>
            <w:r w:rsidRPr="001244BB">
              <w:rPr>
                <w:rFonts w:ascii="Arial" w:eastAsia="Times New Roman" w:hAnsi="Arial" w:cs="Arial"/>
                <w:color w:val="000000"/>
                <w:sz w:val="20"/>
                <w:lang w:eastAsia="en-NZ"/>
              </w:rPr>
              <w:t>78,308</w:t>
            </w:r>
          </w:p>
        </w:tc>
        <w:tc>
          <w:tcPr>
            <w:tcW w:w="1200" w:type="dxa"/>
            <w:shd w:val="clear" w:color="000000" w:fill="E8E8E8"/>
            <w:noWrap/>
            <w:hideMark/>
          </w:tcPr>
          <w:p w:rsidR="00560497" w:rsidRPr="001244BB" w:rsidRDefault="00560497" w:rsidP="003E3342">
            <w:pPr>
              <w:spacing w:after="0" w:line="240" w:lineRule="auto"/>
              <w:jc w:val="right"/>
              <w:rPr>
                <w:rFonts w:ascii="Arial" w:eastAsia="Times New Roman" w:hAnsi="Arial" w:cs="Arial"/>
                <w:color w:val="000000"/>
                <w:sz w:val="20"/>
                <w:lang w:eastAsia="en-NZ"/>
              </w:rPr>
            </w:pPr>
            <w:r w:rsidRPr="001244BB">
              <w:rPr>
                <w:rFonts w:ascii="Arial" w:eastAsia="Times New Roman" w:hAnsi="Arial" w:cs="Arial"/>
                <w:color w:val="000000"/>
                <w:sz w:val="20"/>
                <w:lang w:eastAsia="en-NZ"/>
              </w:rPr>
              <w:t>3,</w:t>
            </w:r>
            <w:r w:rsidR="003E3342" w:rsidRPr="001244BB">
              <w:rPr>
                <w:rFonts w:ascii="Arial" w:eastAsia="Times New Roman" w:hAnsi="Arial" w:cs="Arial"/>
                <w:color w:val="000000"/>
                <w:sz w:val="20"/>
                <w:lang w:eastAsia="en-NZ"/>
              </w:rPr>
              <w:t>74</w:t>
            </w:r>
            <w:r w:rsidR="003E3342">
              <w:rPr>
                <w:rFonts w:ascii="Arial" w:eastAsia="Times New Roman" w:hAnsi="Arial" w:cs="Arial"/>
                <w:color w:val="000000"/>
                <w:sz w:val="20"/>
                <w:lang w:eastAsia="en-NZ"/>
              </w:rPr>
              <w:t>9</w:t>
            </w:r>
          </w:p>
        </w:tc>
        <w:tc>
          <w:tcPr>
            <w:tcW w:w="3529" w:type="dxa"/>
            <w:shd w:val="clear" w:color="auto" w:fill="auto"/>
            <w:vAlign w:val="bottom"/>
            <w:hideMark/>
          </w:tcPr>
          <w:p w:rsidR="00560497" w:rsidRPr="001244BB" w:rsidRDefault="00560497" w:rsidP="00563C30">
            <w:pPr>
              <w:spacing w:after="0" w:line="240" w:lineRule="auto"/>
              <w:rPr>
                <w:rFonts w:ascii="Arial" w:eastAsia="Times New Roman" w:hAnsi="Arial" w:cs="Arial"/>
                <w:color w:val="000000"/>
                <w:szCs w:val="24"/>
                <w:lang w:eastAsia="en-NZ"/>
              </w:rPr>
            </w:pPr>
          </w:p>
        </w:tc>
      </w:tr>
      <w:tr w:rsidR="00560497" w:rsidRPr="001244BB" w:rsidTr="00563C30">
        <w:trPr>
          <w:trHeight w:val="300"/>
        </w:trPr>
        <w:tc>
          <w:tcPr>
            <w:tcW w:w="4540" w:type="dxa"/>
            <w:shd w:val="clear" w:color="auto" w:fill="auto"/>
            <w:noWrap/>
            <w:hideMark/>
          </w:tcPr>
          <w:p w:rsidR="00560497" w:rsidRPr="001244BB" w:rsidRDefault="00560497" w:rsidP="00563C30">
            <w:pPr>
              <w:spacing w:after="0" w:line="240" w:lineRule="auto"/>
              <w:rPr>
                <w:rFonts w:ascii="Arial" w:eastAsia="Times New Roman" w:hAnsi="Arial" w:cs="Arial"/>
                <w:color w:val="000000"/>
                <w:sz w:val="20"/>
                <w:lang w:eastAsia="en-NZ"/>
              </w:rPr>
            </w:pPr>
            <w:r w:rsidRPr="001244BB">
              <w:rPr>
                <w:rFonts w:ascii="Arial" w:eastAsia="Times New Roman" w:hAnsi="Arial" w:cs="Arial"/>
                <w:color w:val="000000"/>
                <w:sz w:val="20"/>
                <w:lang w:eastAsia="en-NZ"/>
              </w:rPr>
              <w:t>Revenue</w:t>
            </w:r>
          </w:p>
        </w:tc>
        <w:tc>
          <w:tcPr>
            <w:tcW w:w="1180" w:type="dxa"/>
            <w:shd w:val="clear" w:color="auto" w:fill="auto"/>
            <w:noWrap/>
            <w:hideMark/>
          </w:tcPr>
          <w:p w:rsidR="00560497" w:rsidRPr="001244BB" w:rsidRDefault="00560497" w:rsidP="00563C30">
            <w:pPr>
              <w:spacing w:after="0" w:line="240" w:lineRule="auto"/>
              <w:jc w:val="right"/>
              <w:rPr>
                <w:rFonts w:ascii="Arial" w:eastAsia="Times New Roman" w:hAnsi="Arial" w:cs="Arial"/>
                <w:color w:val="000000"/>
                <w:sz w:val="20"/>
                <w:lang w:eastAsia="en-NZ"/>
              </w:rPr>
            </w:pPr>
            <w:r w:rsidRPr="001244BB">
              <w:rPr>
                <w:rFonts w:ascii="Arial" w:eastAsia="Times New Roman" w:hAnsi="Arial" w:cs="Arial"/>
                <w:color w:val="000000"/>
                <w:sz w:val="20"/>
                <w:lang w:eastAsia="en-NZ"/>
              </w:rPr>
              <w:t>(36,564)</w:t>
            </w:r>
          </w:p>
        </w:tc>
        <w:tc>
          <w:tcPr>
            <w:tcW w:w="1200" w:type="dxa"/>
            <w:shd w:val="clear" w:color="auto" w:fill="auto"/>
            <w:noWrap/>
            <w:hideMark/>
          </w:tcPr>
          <w:p w:rsidR="00560497" w:rsidRPr="001244BB" w:rsidRDefault="00560497" w:rsidP="00563C30">
            <w:pPr>
              <w:spacing w:after="0" w:line="240" w:lineRule="auto"/>
              <w:jc w:val="right"/>
              <w:rPr>
                <w:rFonts w:ascii="Arial" w:eastAsia="Times New Roman" w:hAnsi="Arial" w:cs="Arial"/>
                <w:color w:val="000000"/>
                <w:sz w:val="20"/>
                <w:lang w:eastAsia="en-NZ"/>
              </w:rPr>
            </w:pPr>
            <w:r w:rsidRPr="001244BB">
              <w:rPr>
                <w:rFonts w:ascii="Arial" w:eastAsia="Times New Roman" w:hAnsi="Arial" w:cs="Arial"/>
                <w:color w:val="000000"/>
                <w:sz w:val="20"/>
                <w:lang w:eastAsia="en-NZ"/>
              </w:rPr>
              <w:t>(36,966)</w:t>
            </w:r>
          </w:p>
        </w:tc>
        <w:tc>
          <w:tcPr>
            <w:tcW w:w="1200" w:type="dxa"/>
            <w:shd w:val="clear" w:color="000000" w:fill="E8E8E8"/>
            <w:noWrap/>
            <w:hideMark/>
          </w:tcPr>
          <w:p w:rsidR="00560497" w:rsidRPr="001244BB" w:rsidRDefault="00560497" w:rsidP="00563C30">
            <w:pPr>
              <w:spacing w:after="0" w:line="240" w:lineRule="auto"/>
              <w:jc w:val="right"/>
              <w:rPr>
                <w:rFonts w:ascii="Arial" w:eastAsia="Times New Roman" w:hAnsi="Arial" w:cs="Arial"/>
                <w:color w:val="000000"/>
                <w:sz w:val="20"/>
                <w:lang w:eastAsia="en-NZ"/>
              </w:rPr>
            </w:pPr>
            <w:r w:rsidRPr="001244BB">
              <w:rPr>
                <w:rFonts w:ascii="Arial" w:eastAsia="Times New Roman" w:hAnsi="Arial" w:cs="Arial"/>
                <w:color w:val="000000"/>
                <w:sz w:val="20"/>
                <w:lang w:eastAsia="en-NZ"/>
              </w:rPr>
              <w:t>(43,545)</w:t>
            </w:r>
          </w:p>
        </w:tc>
        <w:tc>
          <w:tcPr>
            <w:tcW w:w="1200" w:type="dxa"/>
            <w:shd w:val="clear" w:color="000000" w:fill="E8E8E8"/>
            <w:noWrap/>
            <w:hideMark/>
          </w:tcPr>
          <w:p w:rsidR="00560497" w:rsidRPr="001244BB" w:rsidRDefault="00560497" w:rsidP="00563C30">
            <w:pPr>
              <w:spacing w:after="0" w:line="240" w:lineRule="auto"/>
              <w:jc w:val="right"/>
              <w:rPr>
                <w:rFonts w:ascii="Arial" w:eastAsia="Times New Roman" w:hAnsi="Arial" w:cs="Arial"/>
                <w:color w:val="000000"/>
                <w:sz w:val="20"/>
                <w:lang w:eastAsia="en-NZ"/>
              </w:rPr>
            </w:pPr>
            <w:r w:rsidRPr="001244BB">
              <w:rPr>
                <w:rFonts w:ascii="Arial" w:eastAsia="Times New Roman" w:hAnsi="Arial" w:cs="Arial"/>
                <w:color w:val="000000"/>
                <w:sz w:val="20"/>
                <w:lang w:eastAsia="en-NZ"/>
              </w:rPr>
              <w:t>(38,084)</w:t>
            </w:r>
          </w:p>
        </w:tc>
        <w:tc>
          <w:tcPr>
            <w:tcW w:w="1200" w:type="dxa"/>
            <w:shd w:val="clear" w:color="000000" w:fill="E8E8E8"/>
            <w:noWrap/>
            <w:hideMark/>
          </w:tcPr>
          <w:p w:rsidR="00560497" w:rsidRPr="001244BB" w:rsidRDefault="00560497" w:rsidP="00563C30">
            <w:pPr>
              <w:spacing w:after="0" w:line="240" w:lineRule="auto"/>
              <w:jc w:val="right"/>
              <w:rPr>
                <w:rFonts w:ascii="Arial" w:eastAsia="Times New Roman" w:hAnsi="Arial" w:cs="Arial"/>
                <w:color w:val="000000"/>
                <w:sz w:val="20"/>
                <w:lang w:eastAsia="en-NZ"/>
              </w:rPr>
            </w:pPr>
            <w:r w:rsidRPr="001244BB">
              <w:rPr>
                <w:rFonts w:ascii="Arial" w:eastAsia="Times New Roman" w:hAnsi="Arial" w:cs="Arial"/>
                <w:color w:val="000000"/>
                <w:sz w:val="20"/>
                <w:lang w:eastAsia="en-NZ"/>
              </w:rPr>
              <w:t>5,461</w:t>
            </w:r>
          </w:p>
        </w:tc>
        <w:tc>
          <w:tcPr>
            <w:tcW w:w="3529" w:type="dxa"/>
            <w:shd w:val="clear" w:color="auto" w:fill="auto"/>
            <w:vAlign w:val="bottom"/>
            <w:hideMark/>
          </w:tcPr>
          <w:p w:rsidR="00560497" w:rsidRPr="001244BB" w:rsidRDefault="00560497" w:rsidP="00563C30">
            <w:pPr>
              <w:spacing w:after="0" w:line="240" w:lineRule="auto"/>
              <w:rPr>
                <w:rFonts w:ascii="Arial" w:eastAsia="Times New Roman" w:hAnsi="Arial" w:cs="Arial"/>
                <w:color w:val="000000"/>
                <w:szCs w:val="24"/>
                <w:lang w:eastAsia="en-NZ"/>
              </w:rPr>
            </w:pPr>
          </w:p>
        </w:tc>
      </w:tr>
      <w:tr w:rsidR="00560497" w:rsidRPr="001244BB" w:rsidTr="00563C30">
        <w:trPr>
          <w:trHeight w:val="300"/>
        </w:trPr>
        <w:tc>
          <w:tcPr>
            <w:tcW w:w="4540" w:type="dxa"/>
            <w:shd w:val="clear" w:color="auto" w:fill="auto"/>
            <w:noWrap/>
            <w:hideMark/>
          </w:tcPr>
          <w:p w:rsidR="00560497" w:rsidRPr="001244BB" w:rsidRDefault="00560497" w:rsidP="00563C30">
            <w:pPr>
              <w:spacing w:after="0" w:line="240" w:lineRule="auto"/>
              <w:rPr>
                <w:rFonts w:ascii="Arial" w:eastAsia="Times New Roman" w:hAnsi="Arial" w:cs="Arial"/>
                <w:color w:val="000000"/>
                <w:sz w:val="20"/>
                <w:lang w:eastAsia="en-NZ"/>
              </w:rPr>
            </w:pPr>
            <w:r w:rsidRPr="001244BB">
              <w:rPr>
                <w:rFonts w:ascii="Arial" w:eastAsia="Times New Roman" w:hAnsi="Arial" w:cs="Arial"/>
                <w:color w:val="000000"/>
                <w:sz w:val="20"/>
                <w:lang w:eastAsia="en-NZ"/>
              </w:rPr>
              <w:t>Net Expenditure</w:t>
            </w:r>
          </w:p>
        </w:tc>
        <w:tc>
          <w:tcPr>
            <w:tcW w:w="1180" w:type="dxa"/>
            <w:shd w:val="clear" w:color="auto" w:fill="auto"/>
            <w:noWrap/>
            <w:hideMark/>
          </w:tcPr>
          <w:p w:rsidR="00560497" w:rsidRPr="001244BB" w:rsidRDefault="00560497" w:rsidP="00563C30">
            <w:pPr>
              <w:spacing w:after="0" w:line="240" w:lineRule="auto"/>
              <w:jc w:val="right"/>
              <w:rPr>
                <w:rFonts w:ascii="Arial" w:eastAsia="Times New Roman" w:hAnsi="Arial" w:cs="Arial"/>
                <w:color w:val="000000"/>
                <w:sz w:val="20"/>
                <w:lang w:eastAsia="en-NZ"/>
              </w:rPr>
            </w:pPr>
            <w:r w:rsidRPr="001244BB">
              <w:rPr>
                <w:rFonts w:ascii="Arial" w:eastAsia="Times New Roman" w:hAnsi="Arial" w:cs="Arial"/>
                <w:color w:val="000000"/>
                <w:sz w:val="20"/>
                <w:lang w:eastAsia="en-NZ"/>
              </w:rPr>
              <w:t>25,836</w:t>
            </w:r>
          </w:p>
        </w:tc>
        <w:tc>
          <w:tcPr>
            <w:tcW w:w="1200" w:type="dxa"/>
            <w:shd w:val="clear" w:color="auto" w:fill="auto"/>
            <w:noWrap/>
            <w:hideMark/>
          </w:tcPr>
          <w:p w:rsidR="00560497" w:rsidRPr="001244BB" w:rsidRDefault="00560497" w:rsidP="00563C30">
            <w:pPr>
              <w:spacing w:after="0" w:line="240" w:lineRule="auto"/>
              <w:jc w:val="right"/>
              <w:rPr>
                <w:rFonts w:ascii="Arial" w:eastAsia="Times New Roman" w:hAnsi="Arial" w:cs="Arial"/>
                <w:color w:val="000000"/>
                <w:sz w:val="20"/>
                <w:lang w:eastAsia="en-NZ"/>
              </w:rPr>
            </w:pPr>
            <w:r w:rsidRPr="001244BB">
              <w:rPr>
                <w:rFonts w:ascii="Arial" w:eastAsia="Times New Roman" w:hAnsi="Arial" w:cs="Arial"/>
                <w:color w:val="000000"/>
                <w:sz w:val="20"/>
                <w:lang w:eastAsia="en-NZ"/>
              </w:rPr>
              <w:t>32,514</w:t>
            </w:r>
          </w:p>
        </w:tc>
        <w:tc>
          <w:tcPr>
            <w:tcW w:w="1200" w:type="dxa"/>
            <w:shd w:val="clear" w:color="000000" w:fill="E8E8E8"/>
            <w:noWrap/>
            <w:hideMark/>
          </w:tcPr>
          <w:p w:rsidR="00560497" w:rsidRPr="001244BB" w:rsidRDefault="00560497" w:rsidP="00563C30">
            <w:pPr>
              <w:spacing w:after="0" w:line="240" w:lineRule="auto"/>
              <w:jc w:val="right"/>
              <w:rPr>
                <w:rFonts w:ascii="Arial" w:eastAsia="Times New Roman" w:hAnsi="Arial" w:cs="Arial"/>
                <w:color w:val="000000"/>
                <w:sz w:val="20"/>
                <w:lang w:eastAsia="en-NZ"/>
              </w:rPr>
            </w:pPr>
            <w:r w:rsidRPr="001244BB">
              <w:rPr>
                <w:rFonts w:ascii="Arial" w:eastAsia="Times New Roman" w:hAnsi="Arial" w:cs="Arial"/>
                <w:color w:val="000000"/>
                <w:sz w:val="20"/>
                <w:lang w:eastAsia="en-NZ"/>
              </w:rPr>
              <w:t>31,014</w:t>
            </w:r>
          </w:p>
        </w:tc>
        <w:tc>
          <w:tcPr>
            <w:tcW w:w="1200" w:type="dxa"/>
            <w:shd w:val="clear" w:color="000000" w:fill="E8E8E8"/>
            <w:noWrap/>
            <w:hideMark/>
          </w:tcPr>
          <w:p w:rsidR="00560497" w:rsidRPr="001244BB" w:rsidRDefault="00560497" w:rsidP="00563C30">
            <w:pPr>
              <w:spacing w:after="0" w:line="240" w:lineRule="auto"/>
              <w:jc w:val="right"/>
              <w:rPr>
                <w:rFonts w:ascii="Arial" w:eastAsia="Times New Roman" w:hAnsi="Arial" w:cs="Arial"/>
                <w:color w:val="000000"/>
                <w:sz w:val="20"/>
                <w:lang w:eastAsia="en-NZ"/>
              </w:rPr>
            </w:pPr>
            <w:r w:rsidRPr="001244BB">
              <w:rPr>
                <w:rFonts w:ascii="Arial" w:eastAsia="Times New Roman" w:hAnsi="Arial" w:cs="Arial"/>
                <w:color w:val="000000"/>
                <w:sz w:val="20"/>
                <w:lang w:eastAsia="en-NZ"/>
              </w:rPr>
              <w:t>40,223</w:t>
            </w:r>
          </w:p>
        </w:tc>
        <w:tc>
          <w:tcPr>
            <w:tcW w:w="1200" w:type="dxa"/>
            <w:shd w:val="clear" w:color="000000" w:fill="E8E8E8"/>
            <w:noWrap/>
            <w:hideMark/>
          </w:tcPr>
          <w:p w:rsidR="00560497" w:rsidRPr="001244BB" w:rsidRDefault="00560497" w:rsidP="00563C30">
            <w:pPr>
              <w:spacing w:after="0" w:line="240" w:lineRule="auto"/>
              <w:jc w:val="right"/>
              <w:rPr>
                <w:rFonts w:ascii="Arial" w:eastAsia="Times New Roman" w:hAnsi="Arial" w:cs="Arial"/>
                <w:color w:val="000000"/>
                <w:sz w:val="20"/>
                <w:lang w:eastAsia="en-NZ"/>
              </w:rPr>
            </w:pPr>
            <w:r w:rsidRPr="001244BB">
              <w:rPr>
                <w:rFonts w:ascii="Arial" w:eastAsia="Times New Roman" w:hAnsi="Arial" w:cs="Arial"/>
                <w:color w:val="000000"/>
                <w:sz w:val="20"/>
                <w:lang w:eastAsia="en-NZ"/>
              </w:rPr>
              <w:t>9,209</w:t>
            </w:r>
          </w:p>
        </w:tc>
        <w:tc>
          <w:tcPr>
            <w:tcW w:w="3529" w:type="dxa"/>
            <w:shd w:val="clear" w:color="auto" w:fill="auto"/>
            <w:vAlign w:val="bottom"/>
            <w:hideMark/>
          </w:tcPr>
          <w:p w:rsidR="00560497" w:rsidRPr="001244BB" w:rsidRDefault="00560497" w:rsidP="00563C30">
            <w:pPr>
              <w:spacing w:after="0" w:line="240" w:lineRule="auto"/>
              <w:rPr>
                <w:rFonts w:ascii="Arial" w:eastAsia="Times New Roman" w:hAnsi="Arial" w:cs="Arial"/>
                <w:color w:val="000000"/>
                <w:szCs w:val="24"/>
                <w:lang w:eastAsia="en-NZ"/>
              </w:rPr>
            </w:pPr>
            <w:r w:rsidRPr="001244BB">
              <w:rPr>
                <w:rFonts w:ascii="Arial" w:eastAsia="Times New Roman" w:hAnsi="Arial" w:cs="Arial"/>
                <w:color w:val="000000"/>
                <w:szCs w:val="24"/>
                <w:lang w:eastAsia="en-NZ"/>
              </w:rPr>
              <w:t> </w:t>
            </w:r>
          </w:p>
        </w:tc>
      </w:tr>
    </w:tbl>
    <w:p w:rsidR="007F0DCF" w:rsidRPr="00D5126A" w:rsidRDefault="007F0DCF" w:rsidP="007F0DCF">
      <w:pPr>
        <w:spacing w:after="0"/>
      </w:pPr>
    </w:p>
    <w:p w:rsidR="00060BB3" w:rsidRDefault="00060BB3">
      <w:pPr>
        <w:rPr>
          <w:rFonts w:ascii="Arial" w:eastAsiaTheme="majorEastAsia" w:hAnsi="Arial" w:cs="Arial"/>
          <w:b/>
          <w:bCs/>
          <w:i/>
          <w:iCs/>
          <w:color w:val="FF0000"/>
          <w:sz w:val="28"/>
        </w:rPr>
      </w:pPr>
      <w:r>
        <w:rPr>
          <w:color w:val="FF0000"/>
        </w:rPr>
        <w:br w:type="page"/>
      </w:r>
    </w:p>
    <w:p w:rsidR="007F0DCF" w:rsidRPr="00060BB3" w:rsidRDefault="007F0DCF" w:rsidP="00846C1B">
      <w:pPr>
        <w:pStyle w:val="Heading4"/>
        <w:rPr>
          <w:color w:val="FF0000"/>
        </w:rPr>
      </w:pPr>
      <w:r w:rsidRPr="00060BB3">
        <w:rPr>
          <w:color w:val="FF0000"/>
        </w:rPr>
        <w:lastRenderedPageBreak/>
        <w:t>What it cost (capital expenditure $000)</w:t>
      </w:r>
    </w:p>
    <w:p w:rsidR="007F0DCF" w:rsidRPr="00D5126A" w:rsidRDefault="007F0DCF" w:rsidP="007F0DCF">
      <w:pPr>
        <w:spacing w:after="0"/>
      </w:pPr>
    </w:p>
    <w:tbl>
      <w:tblPr>
        <w:tblW w:w="14267" w:type="dxa"/>
        <w:tblInd w:w="93" w:type="dxa"/>
        <w:tblBorders>
          <w:top w:val="single" w:sz="4" w:space="0" w:color="FF0000"/>
          <w:bottom w:val="single" w:sz="4" w:space="0" w:color="FF0000"/>
          <w:insideH w:val="single" w:sz="4" w:space="0" w:color="FF0000"/>
          <w:insideV w:val="single" w:sz="4" w:space="0" w:color="FF0000"/>
        </w:tblBorders>
        <w:tblLayout w:type="fixed"/>
        <w:tblLook w:val="04A0" w:firstRow="1" w:lastRow="0" w:firstColumn="1" w:lastColumn="0" w:noHBand="0" w:noVBand="1"/>
      </w:tblPr>
      <w:tblGrid>
        <w:gridCol w:w="2709"/>
        <w:gridCol w:w="1134"/>
        <w:gridCol w:w="1072"/>
        <w:gridCol w:w="1049"/>
        <w:gridCol w:w="1302"/>
        <w:gridCol w:w="1013"/>
        <w:gridCol w:w="1092"/>
        <w:gridCol w:w="1276"/>
        <w:gridCol w:w="3620"/>
      </w:tblGrid>
      <w:tr w:rsidR="000B7CFB" w:rsidRPr="001244BB" w:rsidTr="00060BB3">
        <w:trPr>
          <w:trHeight w:val="985"/>
        </w:trPr>
        <w:tc>
          <w:tcPr>
            <w:tcW w:w="2709" w:type="dxa"/>
            <w:tcBorders>
              <w:bottom w:val="nil"/>
              <w:right w:val="single" w:sz="4" w:space="0" w:color="FFFFFF" w:themeColor="background1"/>
            </w:tcBorders>
            <w:shd w:val="clear" w:color="auto" w:fill="FF0000"/>
            <w:noWrap/>
            <w:vAlign w:val="bottom"/>
            <w:hideMark/>
          </w:tcPr>
          <w:p w:rsidR="000B7CFB" w:rsidRPr="001244BB" w:rsidRDefault="000B7CFB" w:rsidP="000B7CFB">
            <w:pPr>
              <w:spacing w:after="0" w:line="240" w:lineRule="auto"/>
              <w:rPr>
                <w:rFonts w:ascii="Arial" w:eastAsia="Times New Roman" w:hAnsi="Arial" w:cs="Arial"/>
                <w:b/>
                <w:bCs/>
                <w:color w:val="FFFFFF" w:themeColor="background1"/>
                <w:szCs w:val="24"/>
                <w:lang w:eastAsia="en-NZ"/>
              </w:rPr>
            </w:pPr>
            <w:r>
              <w:rPr>
                <w:rFonts w:ascii="Arial" w:eastAsia="Times New Roman" w:hAnsi="Arial" w:cs="Arial"/>
                <w:b/>
                <w:bCs/>
                <w:color w:val="FFFFFF" w:themeColor="background1"/>
                <w:szCs w:val="24"/>
                <w:lang w:eastAsia="en-NZ"/>
              </w:rPr>
              <w:t>Transport</w:t>
            </w:r>
          </w:p>
        </w:tc>
        <w:tc>
          <w:tcPr>
            <w:tcW w:w="1134" w:type="dxa"/>
            <w:tcBorders>
              <w:left w:val="single" w:sz="4" w:space="0" w:color="FFFFFF" w:themeColor="background1"/>
              <w:bottom w:val="nil"/>
              <w:right w:val="single" w:sz="4" w:space="0" w:color="FFFFFF" w:themeColor="background1"/>
            </w:tcBorders>
            <w:shd w:val="clear" w:color="auto" w:fill="FF0000"/>
            <w:vAlign w:val="bottom"/>
            <w:hideMark/>
          </w:tcPr>
          <w:p w:rsidR="000B7CFB" w:rsidRPr="000B7CFB" w:rsidRDefault="000B7CFB" w:rsidP="003E3342">
            <w:pPr>
              <w:spacing w:after="0" w:line="240" w:lineRule="auto"/>
              <w:jc w:val="center"/>
              <w:rPr>
                <w:rFonts w:ascii="Arial" w:eastAsia="Times New Roman" w:hAnsi="Arial" w:cs="Arial"/>
                <w:b/>
                <w:bCs/>
                <w:color w:val="FFFFFF" w:themeColor="background1"/>
                <w:lang w:eastAsia="en-NZ"/>
              </w:rPr>
            </w:pPr>
            <w:r w:rsidRPr="000B7CFB">
              <w:rPr>
                <w:rFonts w:ascii="Arial" w:eastAsia="Times New Roman" w:hAnsi="Arial" w:cs="Arial"/>
                <w:b/>
                <w:bCs/>
                <w:color w:val="FFFFFF" w:themeColor="background1"/>
                <w:lang w:eastAsia="en-NZ"/>
              </w:rPr>
              <w:t xml:space="preserve">2016/17 Actual </w:t>
            </w:r>
          </w:p>
        </w:tc>
        <w:tc>
          <w:tcPr>
            <w:tcW w:w="1072" w:type="dxa"/>
            <w:tcBorders>
              <w:left w:val="single" w:sz="4" w:space="0" w:color="FFFFFF" w:themeColor="background1"/>
              <w:bottom w:val="nil"/>
              <w:right w:val="single" w:sz="4" w:space="0" w:color="FFFFFF" w:themeColor="background1"/>
            </w:tcBorders>
            <w:shd w:val="clear" w:color="auto" w:fill="FF0000"/>
            <w:vAlign w:val="bottom"/>
            <w:hideMark/>
          </w:tcPr>
          <w:p w:rsidR="000B7CFB" w:rsidRPr="000B7CFB" w:rsidRDefault="000B7CFB" w:rsidP="003E3342">
            <w:pPr>
              <w:spacing w:after="0" w:line="240" w:lineRule="auto"/>
              <w:jc w:val="center"/>
              <w:rPr>
                <w:rFonts w:ascii="Arial" w:eastAsia="Times New Roman" w:hAnsi="Arial" w:cs="Arial"/>
                <w:b/>
                <w:bCs/>
                <w:color w:val="FFFFFF" w:themeColor="background1"/>
                <w:lang w:eastAsia="en-NZ"/>
              </w:rPr>
            </w:pPr>
            <w:r w:rsidRPr="000B7CFB">
              <w:rPr>
                <w:rFonts w:ascii="Arial" w:eastAsia="Times New Roman" w:hAnsi="Arial" w:cs="Arial"/>
                <w:b/>
                <w:bCs/>
                <w:color w:val="FFFFFF" w:themeColor="background1"/>
                <w:lang w:eastAsia="en-NZ"/>
              </w:rPr>
              <w:t xml:space="preserve">2017/18 Actual </w:t>
            </w:r>
          </w:p>
        </w:tc>
        <w:tc>
          <w:tcPr>
            <w:tcW w:w="1049" w:type="dxa"/>
            <w:tcBorders>
              <w:left w:val="single" w:sz="4" w:space="0" w:color="FFFFFF" w:themeColor="background1"/>
              <w:bottom w:val="nil"/>
              <w:right w:val="single" w:sz="4" w:space="0" w:color="FFFFFF" w:themeColor="background1"/>
            </w:tcBorders>
            <w:shd w:val="clear" w:color="auto" w:fill="FF0000"/>
            <w:vAlign w:val="bottom"/>
            <w:hideMark/>
          </w:tcPr>
          <w:p w:rsidR="000B7CFB" w:rsidRPr="000B7CFB" w:rsidRDefault="000B7CFB" w:rsidP="003E3342">
            <w:pPr>
              <w:spacing w:after="0" w:line="240" w:lineRule="auto"/>
              <w:jc w:val="center"/>
              <w:rPr>
                <w:rFonts w:ascii="Arial" w:eastAsia="Times New Roman" w:hAnsi="Arial" w:cs="Arial"/>
                <w:b/>
                <w:bCs/>
                <w:color w:val="FFFFFF" w:themeColor="background1"/>
                <w:lang w:eastAsia="en-NZ"/>
              </w:rPr>
            </w:pPr>
            <w:r w:rsidRPr="000B7CFB">
              <w:rPr>
                <w:rFonts w:ascii="Arial" w:eastAsia="Times New Roman" w:hAnsi="Arial" w:cs="Arial"/>
                <w:b/>
                <w:bCs/>
                <w:color w:val="FFFFFF" w:themeColor="background1"/>
                <w:lang w:eastAsia="en-NZ"/>
              </w:rPr>
              <w:t xml:space="preserve">2018/19 </w:t>
            </w:r>
            <w:r w:rsidR="003E3342">
              <w:rPr>
                <w:rFonts w:ascii="Arial" w:eastAsia="Times New Roman" w:hAnsi="Arial" w:cs="Arial"/>
                <w:b/>
                <w:bCs/>
                <w:color w:val="FFFFFF" w:themeColor="background1"/>
                <w:lang w:eastAsia="en-NZ"/>
              </w:rPr>
              <w:t>Budget</w:t>
            </w:r>
            <w:r w:rsidR="00060BB3">
              <w:rPr>
                <w:rFonts w:ascii="Arial" w:eastAsia="Times New Roman" w:hAnsi="Arial" w:cs="Arial"/>
                <w:b/>
                <w:bCs/>
                <w:color w:val="FFFFFF" w:themeColor="background1"/>
                <w:lang w:eastAsia="en-NZ"/>
              </w:rPr>
              <w:t xml:space="preserve"> </w:t>
            </w:r>
          </w:p>
        </w:tc>
        <w:tc>
          <w:tcPr>
            <w:tcW w:w="1302" w:type="dxa"/>
            <w:tcBorders>
              <w:left w:val="single" w:sz="4" w:space="0" w:color="FFFFFF" w:themeColor="background1"/>
              <w:bottom w:val="nil"/>
              <w:right w:val="single" w:sz="4" w:space="0" w:color="FFFFFF" w:themeColor="background1"/>
            </w:tcBorders>
            <w:shd w:val="clear" w:color="auto" w:fill="FF0000"/>
            <w:vAlign w:val="bottom"/>
            <w:hideMark/>
          </w:tcPr>
          <w:p w:rsidR="000B7CFB" w:rsidRPr="000B7CFB" w:rsidRDefault="00060BB3" w:rsidP="003E3342">
            <w:pPr>
              <w:spacing w:after="0" w:line="240" w:lineRule="auto"/>
              <w:jc w:val="center"/>
              <w:rPr>
                <w:rFonts w:ascii="Arial" w:eastAsia="Times New Roman" w:hAnsi="Arial" w:cs="Arial"/>
                <w:b/>
                <w:bCs/>
                <w:color w:val="FFFFFF" w:themeColor="background1"/>
                <w:lang w:eastAsia="en-NZ"/>
              </w:rPr>
            </w:pPr>
            <w:r>
              <w:rPr>
                <w:rFonts w:ascii="Arial" w:eastAsia="Times New Roman" w:hAnsi="Arial" w:cs="Arial"/>
                <w:b/>
                <w:bCs/>
                <w:color w:val="FFFFFF" w:themeColor="background1"/>
                <w:lang w:eastAsia="en-NZ"/>
              </w:rPr>
              <w:t>2018/19 Revisions</w:t>
            </w:r>
          </w:p>
        </w:tc>
        <w:tc>
          <w:tcPr>
            <w:tcW w:w="1013" w:type="dxa"/>
            <w:tcBorders>
              <w:left w:val="single" w:sz="4" w:space="0" w:color="FFFFFF" w:themeColor="background1"/>
              <w:bottom w:val="nil"/>
              <w:right w:val="single" w:sz="4" w:space="0" w:color="FFFFFF" w:themeColor="background1"/>
            </w:tcBorders>
            <w:shd w:val="clear" w:color="auto" w:fill="FF0000"/>
            <w:vAlign w:val="bottom"/>
            <w:hideMark/>
          </w:tcPr>
          <w:p w:rsidR="000B7CFB" w:rsidRPr="000B7CFB" w:rsidRDefault="000B7CFB" w:rsidP="003E3342">
            <w:pPr>
              <w:spacing w:after="0" w:line="240" w:lineRule="auto"/>
              <w:jc w:val="center"/>
              <w:rPr>
                <w:rFonts w:ascii="Arial" w:eastAsia="Times New Roman" w:hAnsi="Arial" w:cs="Arial"/>
                <w:b/>
                <w:bCs/>
                <w:color w:val="FFFFFF" w:themeColor="background1"/>
                <w:lang w:eastAsia="en-NZ"/>
              </w:rPr>
            </w:pPr>
            <w:r w:rsidRPr="000B7CFB">
              <w:rPr>
                <w:rFonts w:ascii="Arial" w:eastAsia="Times New Roman" w:hAnsi="Arial" w:cs="Arial"/>
                <w:b/>
                <w:bCs/>
                <w:color w:val="FFFFFF" w:themeColor="background1"/>
                <w:lang w:eastAsia="en-NZ"/>
              </w:rPr>
              <w:t>2018/19 Actual</w:t>
            </w:r>
          </w:p>
        </w:tc>
        <w:tc>
          <w:tcPr>
            <w:tcW w:w="1092" w:type="dxa"/>
            <w:tcBorders>
              <w:left w:val="single" w:sz="4" w:space="0" w:color="FFFFFF" w:themeColor="background1"/>
              <w:bottom w:val="nil"/>
              <w:right w:val="single" w:sz="4" w:space="0" w:color="FFFFFF" w:themeColor="background1"/>
            </w:tcBorders>
            <w:shd w:val="clear" w:color="auto" w:fill="FF0000"/>
            <w:vAlign w:val="bottom"/>
            <w:hideMark/>
          </w:tcPr>
          <w:p w:rsidR="000B7CFB" w:rsidRPr="000B7CFB" w:rsidRDefault="00060BB3" w:rsidP="003E3342">
            <w:pPr>
              <w:spacing w:after="0" w:line="240" w:lineRule="auto"/>
              <w:jc w:val="center"/>
              <w:rPr>
                <w:rFonts w:ascii="Arial" w:eastAsia="Times New Roman" w:hAnsi="Arial" w:cs="Arial"/>
                <w:b/>
                <w:bCs/>
                <w:color w:val="FFFFFF" w:themeColor="background1"/>
                <w:lang w:eastAsia="en-NZ"/>
              </w:rPr>
            </w:pPr>
            <w:r>
              <w:rPr>
                <w:rFonts w:ascii="Arial" w:eastAsia="Times New Roman" w:hAnsi="Arial" w:cs="Arial"/>
                <w:b/>
                <w:bCs/>
                <w:color w:val="FFFFFF" w:themeColor="background1"/>
                <w:lang w:eastAsia="en-NZ"/>
              </w:rPr>
              <w:t>2018/19 Revised budget</w:t>
            </w:r>
          </w:p>
        </w:tc>
        <w:tc>
          <w:tcPr>
            <w:tcW w:w="1276" w:type="dxa"/>
            <w:tcBorders>
              <w:left w:val="single" w:sz="4" w:space="0" w:color="FFFFFF" w:themeColor="background1"/>
              <w:bottom w:val="nil"/>
              <w:right w:val="single" w:sz="4" w:space="0" w:color="FFFFFF" w:themeColor="background1"/>
            </w:tcBorders>
            <w:shd w:val="clear" w:color="auto" w:fill="FF0000"/>
            <w:vAlign w:val="bottom"/>
            <w:hideMark/>
          </w:tcPr>
          <w:p w:rsidR="000B7CFB" w:rsidRPr="000B7CFB" w:rsidRDefault="000B7CFB" w:rsidP="003E3342">
            <w:pPr>
              <w:spacing w:after="0" w:line="240" w:lineRule="auto"/>
              <w:jc w:val="center"/>
              <w:rPr>
                <w:rFonts w:ascii="Arial" w:eastAsia="Times New Roman" w:hAnsi="Arial" w:cs="Arial"/>
                <w:b/>
                <w:bCs/>
                <w:color w:val="FFFFFF" w:themeColor="background1"/>
                <w:lang w:eastAsia="en-NZ"/>
              </w:rPr>
            </w:pPr>
            <w:r w:rsidRPr="000B7CFB">
              <w:rPr>
                <w:rFonts w:ascii="Arial" w:eastAsia="Times New Roman" w:hAnsi="Arial" w:cs="Arial"/>
                <w:b/>
                <w:bCs/>
                <w:color w:val="FFFFFF" w:themeColor="background1"/>
                <w:lang w:eastAsia="en-NZ"/>
              </w:rPr>
              <w:t>2018</w:t>
            </w:r>
            <w:r w:rsidR="00060BB3">
              <w:rPr>
                <w:rFonts w:ascii="Arial" w:eastAsia="Times New Roman" w:hAnsi="Arial" w:cs="Arial"/>
                <w:b/>
                <w:bCs/>
                <w:color w:val="FFFFFF" w:themeColor="background1"/>
                <w:lang w:eastAsia="en-NZ"/>
              </w:rPr>
              <w:t>/19  Variance to revised budget</w:t>
            </w:r>
          </w:p>
        </w:tc>
        <w:tc>
          <w:tcPr>
            <w:tcW w:w="3620" w:type="dxa"/>
            <w:tcBorders>
              <w:left w:val="single" w:sz="4" w:space="0" w:color="FFFFFF" w:themeColor="background1"/>
              <w:bottom w:val="nil"/>
            </w:tcBorders>
            <w:shd w:val="clear" w:color="auto" w:fill="FF0000"/>
            <w:noWrap/>
            <w:vAlign w:val="bottom"/>
            <w:hideMark/>
          </w:tcPr>
          <w:p w:rsidR="000B7CFB" w:rsidRPr="000B7CFB" w:rsidRDefault="000B7CFB" w:rsidP="00E7081F">
            <w:pPr>
              <w:spacing w:after="0" w:line="240" w:lineRule="auto"/>
              <w:rPr>
                <w:rFonts w:ascii="Arial" w:eastAsia="Times New Roman" w:hAnsi="Arial" w:cs="Arial"/>
                <w:b/>
                <w:bCs/>
                <w:color w:val="FFFFFF" w:themeColor="background1"/>
                <w:lang w:eastAsia="en-NZ"/>
              </w:rPr>
            </w:pPr>
            <w:r w:rsidRPr="000B7CFB">
              <w:rPr>
                <w:rFonts w:ascii="Arial" w:eastAsia="Times New Roman" w:hAnsi="Arial" w:cs="Arial"/>
                <w:b/>
                <w:bCs/>
                <w:color w:val="FFFFFF" w:themeColor="background1"/>
                <w:lang w:eastAsia="en-NZ"/>
              </w:rPr>
              <w:t xml:space="preserve">Variance Commentary </w:t>
            </w:r>
          </w:p>
        </w:tc>
      </w:tr>
      <w:tr w:rsidR="000B7CFB" w:rsidRPr="001244BB" w:rsidTr="000B7CFB">
        <w:trPr>
          <w:trHeight w:val="300"/>
        </w:trPr>
        <w:tc>
          <w:tcPr>
            <w:tcW w:w="14267" w:type="dxa"/>
            <w:gridSpan w:val="9"/>
            <w:tcBorders>
              <w:top w:val="nil"/>
              <w:bottom w:val="nil"/>
            </w:tcBorders>
            <w:shd w:val="clear" w:color="auto" w:fill="FFC1B3"/>
            <w:noWrap/>
            <w:vAlign w:val="bottom"/>
            <w:hideMark/>
          </w:tcPr>
          <w:p w:rsidR="000B7CFB" w:rsidRPr="001244BB" w:rsidRDefault="000B7CFB" w:rsidP="00FE57D6">
            <w:pPr>
              <w:spacing w:after="0" w:line="240" w:lineRule="auto"/>
              <w:rPr>
                <w:rFonts w:ascii="Calibri" w:eastAsia="Times New Roman" w:hAnsi="Calibri" w:cs="Calibri"/>
                <w:color w:val="000000"/>
                <w:sz w:val="20"/>
                <w:lang w:eastAsia="en-NZ"/>
              </w:rPr>
            </w:pPr>
            <w:r w:rsidRPr="001244BB">
              <w:rPr>
                <w:rFonts w:ascii="Arial" w:eastAsia="Times New Roman" w:hAnsi="Arial" w:cs="Arial"/>
                <w:b/>
                <w:bCs/>
                <w:color w:val="000000"/>
                <w:sz w:val="20"/>
                <w:lang w:eastAsia="en-NZ"/>
              </w:rPr>
              <w:t>7.1 Transport</w:t>
            </w:r>
          </w:p>
        </w:tc>
      </w:tr>
      <w:tr w:rsidR="000B7CFB" w:rsidRPr="001244BB" w:rsidTr="000B7CFB">
        <w:trPr>
          <w:trHeight w:val="1275"/>
        </w:trPr>
        <w:tc>
          <w:tcPr>
            <w:tcW w:w="2709" w:type="dxa"/>
            <w:tcBorders>
              <w:top w:val="nil"/>
              <w:bottom w:val="nil"/>
            </w:tcBorders>
            <w:shd w:val="clear" w:color="auto" w:fill="auto"/>
            <w:noWrap/>
            <w:hideMark/>
          </w:tcPr>
          <w:p w:rsidR="000B7CFB" w:rsidRPr="001244BB" w:rsidRDefault="000B7CFB" w:rsidP="00FE57D6">
            <w:pPr>
              <w:spacing w:after="0" w:line="240" w:lineRule="auto"/>
              <w:ind w:firstLineChars="100" w:firstLine="200"/>
              <w:rPr>
                <w:rFonts w:ascii="Arial" w:eastAsia="Times New Roman" w:hAnsi="Arial" w:cs="Arial"/>
                <w:color w:val="000000"/>
                <w:sz w:val="20"/>
                <w:lang w:eastAsia="en-NZ"/>
              </w:rPr>
            </w:pPr>
            <w:r w:rsidRPr="001244BB">
              <w:rPr>
                <w:rFonts w:ascii="Arial" w:eastAsia="Times New Roman" w:hAnsi="Arial" w:cs="Arial"/>
                <w:color w:val="000000"/>
                <w:sz w:val="20"/>
                <w:lang w:eastAsia="en-NZ"/>
              </w:rPr>
              <w:t>Expenditure</w:t>
            </w:r>
          </w:p>
        </w:tc>
        <w:tc>
          <w:tcPr>
            <w:tcW w:w="1134" w:type="dxa"/>
            <w:tcBorders>
              <w:top w:val="nil"/>
              <w:bottom w:val="nil"/>
            </w:tcBorders>
            <w:shd w:val="clear" w:color="auto" w:fill="auto"/>
            <w:noWrap/>
            <w:hideMark/>
          </w:tcPr>
          <w:p w:rsidR="000B7CFB" w:rsidRPr="001244BB" w:rsidRDefault="000B7CFB" w:rsidP="00FE57D6">
            <w:pPr>
              <w:spacing w:after="0" w:line="240" w:lineRule="auto"/>
              <w:jc w:val="right"/>
              <w:rPr>
                <w:rFonts w:ascii="Arial" w:eastAsia="Times New Roman" w:hAnsi="Arial" w:cs="Arial"/>
                <w:color w:val="000000"/>
                <w:sz w:val="20"/>
                <w:lang w:eastAsia="en-NZ"/>
              </w:rPr>
            </w:pPr>
            <w:r w:rsidRPr="001244BB">
              <w:rPr>
                <w:rFonts w:ascii="Arial" w:eastAsia="Times New Roman" w:hAnsi="Arial" w:cs="Arial"/>
                <w:color w:val="000000"/>
                <w:sz w:val="20"/>
                <w:lang w:eastAsia="en-NZ"/>
              </w:rPr>
              <w:t>33,837</w:t>
            </w:r>
          </w:p>
        </w:tc>
        <w:tc>
          <w:tcPr>
            <w:tcW w:w="1072" w:type="dxa"/>
            <w:tcBorders>
              <w:top w:val="nil"/>
              <w:bottom w:val="nil"/>
            </w:tcBorders>
            <w:shd w:val="clear" w:color="auto" w:fill="auto"/>
            <w:noWrap/>
            <w:hideMark/>
          </w:tcPr>
          <w:p w:rsidR="000B7CFB" w:rsidRPr="001244BB" w:rsidRDefault="000B7CFB" w:rsidP="00FE57D6">
            <w:pPr>
              <w:spacing w:after="0" w:line="240" w:lineRule="auto"/>
              <w:jc w:val="right"/>
              <w:rPr>
                <w:rFonts w:ascii="Arial" w:eastAsia="Times New Roman" w:hAnsi="Arial" w:cs="Arial"/>
                <w:color w:val="000000"/>
                <w:sz w:val="20"/>
                <w:lang w:eastAsia="en-NZ"/>
              </w:rPr>
            </w:pPr>
            <w:r w:rsidRPr="001244BB">
              <w:rPr>
                <w:rFonts w:ascii="Arial" w:eastAsia="Times New Roman" w:hAnsi="Arial" w:cs="Arial"/>
                <w:color w:val="000000"/>
                <w:sz w:val="20"/>
                <w:lang w:eastAsia="en-NZ"/>
              </w:rPr>
              <w:t>55,166</w:t>
            </w:r>
          </w:p>
        </w:tc>
        <w:tc>
          <w:tcPr>
            <w:tcW w:w="1049" w:type="dxa"/>
            <w:tcBorders>
              <w:top w:val="nil"/>
              <w:bottom w:val="nil"/>
            </w:tcBorders>
            <w:shd w:val="clear" w:color="auto" w:fill="auto"/>
            <w:noWrap/>
            <w:hideMark/>
          </w:tcPr>
          <w:p w:rsidR="000B7CFB" w:rsidRPr="001244BB" w:rsidRDefault="000B7CFB" w:rsidP="00FE57D6">
            <w:pPr>
              <w:spacing w:after="0" w:line="240" w:lineRule="auto"/>
              <w:jc w:val="right"/>
              <w:rPr>
                <w:rFonts w:ascii="Arial" w:eastAsia="Times New Roman" w:hAnsi="Arial" w:cs="Arial"/>
                <w:color w:val="000000"/>
                <w:sz w:val="20"/>
                <w:lang w:eastAsia="en-NZ"/>
              </w:rPr>
            </w:pPr>
            <w:r w:rsidRPr="001244BB">
              <w:rPr>
                <w:rFonts w:ascii="Arial" w:eastAsia="Times New Roman" w:hAnsi="Arial" w:cs="Arial"/>
                <w:color w:val="000000"/>
                <w:sz w:val="20"/>
                <w:lang w:eastAsia="en-NZ"/>
              </w:rPr>
              <w:t>73,301</w:t>
            </w:r>
          </w:p>
        </w:tc>
        <w:tc>
          <w:tcPr>
            <w:tcW w:w="1302" w:type="dxa"/>
            <w:tcBorders>
              <w:top w:val="nil"/>
              <w:bottom w:val="nil"/>
            </w:tcBorders>
            <w:shd w:val="clear" w:color="auto" w:fill="auto"/>
            <w:noWrap/>
            <w:hideMark/>
          </w:tcPr>
          <w:p w:rsidR="000B7CFB" w:rsidRPr="001244BB" w:rsidRDefault="000B7CFB" w:rsidP="00FE57D6">
            <w:pPr>
              <w:spacing w:after="0" w:line="240" w:lineRule="auto"/>
              <w:jc w:val="right"/>
              <w:rPr>
                <w:rFonts w:ascii="Arial" w:eastAsia="Times New Roman" w:hAnsi="Arial" w:cs="Arial"/>
                <w:color w:val="000000"/>
                <w:sz w:val="20"/>
                <w:lang w:eastAsia="en-NZ"/>
              </w:rPr>
            </w:pPr>
            <w:r w:rsidRPr="001244BB">
              <w:rPr>
                <w:rFonts w:ascii="Arial" w:eastAsia="Times New Roman" w:hAnsi="Arial" w:cs="Arial"/>
                <w:color w:val="000000"/>
                <w:sz w:val="20"/>
                <w:lang w:eastAsia="en-NZ"/>
              </w:rPr>
              <w:t>1,129</w:t>
            </w:r>
          </w:p>
        </w:tc>
        <w:tc>
          <w:tcPr>
            <w:tcW w:w="1013" w:type="dxa"/>
            <w:tcBorders>
              <w:top w:val="nil"/>
              <w:bottom w:val="nil"/>
            </w:tcBorders>
            <w:shd w:val="clear" w:color="000000" w:fill="E0E0E0"/>
            <w:noWrap/>
            <w:hideMark/>
          </w:tcPr>
          <w:p w:rsidR="000B7CFB" w:rsidRPr="001244BB" w:rsidRDefault="000B7CFB" w:rsidP="00FE57D6">
            <w:pPr>
              <w:spacing w:after="0" w:line="240" w:lineRule="auto"/>
              <w:jc w:val="right"/>
              <w:rPr>
                <w:rFonts w:ascii="Arial" w:eastAsia="Times New Roman" w:hAnsi="Arial" w:cs="Arial"/>
                <w:color w:val="000000"/>
                <w:sz w:val="20"/>
                <w:lang w:eastAsia="en-NZ"/>
              </w:rPr>
            </w:pPr>
            <w:r w:rsidRPr="001244BB">
              <w:rPr>
                <w:rFonts w:ascii="Arial" w:eastAsia="Times New Roman" w:hAnsi="Arial" w:cs="Arial"/>
                <w:color w:val="000000"/>
                <w:sz w:val="20"/>
                <w:lang w:eastAsia="en-NZ"/>
              </w:rPr>
              <w:t>53,492</w:t>
            </w:r>
          </w:p>
        </w:tc>
        <w:tc>
          <w:tcPr>
            <w:tcW w:w="1092" w:type="dxa"/>
            <w:tcBorders>
              <w:top w:val="nil"/>
              <w:bottom w:val="nil"/>
            </w:tcBorders>
            <w:shd w:val="clear" w:color="000000" w:fill="E0E0E0"/>
            <w:noWrap/>
            <w:hideMark/>
          </w:tcPr>
          <w:p w:rsidR="000B7CFB" w:rsidRPr="001244BB" w:rsidRDefault="000B7CFB" w:rsidP="00FE57D6">
            <w:pPr>
              <w:spacing w:after="0" w:line="240" w:lineRule="auto"/>
              <w:jc w:val="right"/>
              <w:rPr>
                <w:rFonts w:ascii="Arial" w:eastAsia="Times New Roman" w:hAnsi="Arial" w:cs="Arial"/>
                <w:color w:val="000000"/>
                <w:sz w:val="20"/>
                <w:lang w:eastAsia="en-NZ"/>
              </w:rPr>
            </w:pPr>
            <w:r w:rsidRPr="001244BB">
              <w:rPr>
                <w:rFonts w:ascii="Arial" w:eastAsia="Times New Roman" w:hAnsi="Arial" w:cs="Arial"/>
                <w:color w:val="000000"/>
                <w:sz w:val="20"/>
                <w:lang w:eastAsia="en-NZ"/>
              </w:rPr>
              <w:t>74,430</w:t>
            </w:r>
          </w:p>
        </w:tc>
        <w:tc>
          <w:tcPr>
            <w:tcW w:w="1276" w:type="dxa"/>
            <w:tcBorders>
              <w:top w:val="nil"/>
              <w:bottom w:val="nil"/>
            </w:tcBorders>
            <w:shd w:val="clear" w:color="000000" w:fill="E0E0E0"/>
            <w:noWrap/>
            <w:hideMark/>
          </w:tcPr>
          <w:p w:rsidR="000B7CFB" w:rsidRPr="001244BB" w:rsidRDefault="000B7CFB" w:rsidP="00FE57D6">
            <w:pPr>
              <w:spacing w:after="0" w:line="240" w:lineRule="auto"/>
              <w:jc w:val="right"/>
              <w:rPr>
                <w:rFonts w:ascii="Arial" w:eastAsia="Times New Roman" w:hAnsi="Arial" w:cs="Arial"/>
                <w:color w:val="000000"/>
                <w:sz w:val="20"/>
                <w:lang w:eastAsia="en-NZ"/>
              </w:rPr>
            </w:pPr>
            <w:r w:rsidRPr="001244BB">
              <w:rPr>
                <w:rFonts w:ascii="Arial" w:eastAsia="Times New Roman" w:hAnsi="Arial" w:cs="Arial"/>
                <w:color w:val="000000"/>
                <w:sz w:val="20"/>
                <w:lang w:eastAsia="en-NZ"/>
              </w:rPr>
              <w:t>20,938</w:t>
            </w:r>
          </w:p>
        </w:tc>
        <w:tc>
          <w:tcPr>
            <w:tcW w:w="3620" w:type="dxa"/>
            <w:tcBorders>
              <w:top w:val="nil"/>
              <w:bottom w:val="nil"/>
            </w:tcBorders>
            <w:shd w:val="clear" w:color="auto" w:fill="auto"/>
            <w:vAlign w:val="bottom"/>
            <w:hideMark/>
          </w:tcPr>
          <w:p w:rsidR="000B7CFB" w:rsidRPr="000B7CFB" w:rsidRDefault="000B7CFB" w:rsidP="00FE57D6">
            <w:pPr>
              <w:spacing w:after="0" w:line="240" w:lineRule="auto"/>
              <w:rPr>
                <w:rFonts w:eastAsia="Times New Roman" w:cstheme="minorHAnsi"/>
                <w:color w:val="000000"/>
                <w:sz w:val="20"/>
                <w:lang w:eastAsia="en-NZ"/>
              </w:rPr>
            </w:pPr>
            <w:r w:rsidRPr="000B7CFB">
              <w:rPr>
                <w:rFonts w:eastAsia="Times New Roman" w:cstheme="minorHAnsi"/>
                <w:color w:val="000000"/>
                <w:sz w:val="20"/>
                <w:lang w:eastAsia="en-NZ"/>
              </w:rPr>
              <w:t>Under budget due to delays in the work programme affecting a number of projects including the Seatoun Tunnel renewal and Ngaio Gorge resilience work.  The Let's Get Wellington Moving programme has also been delayed due to the delay in the launch of the project.</w:t>
            </w:r>
          </w:p>
        </w:tc>
      </w:tr>
      <w:tr w:rsidR="000B7CFB" w:rsidRPr="001244BB" w:rsidTr="000B7CFB">
        <w:trPr>
          <w:trHeight w:val="300"/>
        </w:trPr>
        <w:tc>
          <w:tcPr>
            <w:tcW w:w="14267" w:type="dxa"/>
            <w:gridSpan w:val="9"/>
            <w:tcBorders>
              <w:top w:val="nil"/>
              <w:bottom w:val="nil"/>
            </w:tcBorders>
            <w:shd w:val="clear" w:color="auto" w:fill="FFC1B3"/>
            <w:noWrap/>
            <w:vAlign w:val="bottom"/>
            <w:hideMark/>
          </w:tcPr>
          <w:p w:rsidR="000B7CFB" w:rsidRPr="001244BB" w:rsidRDefault="000B7CFB" w:rsidP="00FE57D6">
            <w:pPr>
              <w:spacing w:after="0" w:line="240" w:lineRule="auto"/>
              <w:rPr>
                <w:rFonts w:ascii="Arial" w:eastAsia="Times New Roman" w:hAnsi="Arial" w:cs="Arial"/>
                <w:color w:val="000000"/>
                <w:szCs w:val="24"/>
                <w:lang w:eastAsia="en-NZ"/>
              </w:rPr>
            </w:pPr>
            <w:r w:rsidRPr="001244BB">
              <w:rPr>
                <w:rFonts w:ascii="Arial" w:eastAsia="Times New Roman" w:hAnsi="Arial" w:cs="Arial"/>
                <w:b/>
                <w:bCs/>
                <w:color w:val="000000"/>
                <w:sz w:val="20"/>
                <w:lang w:eastAsia="en-NZ"/>
              </w:rPr>
              <w:t>7.2 Parking</w:t>
            </w:r>
          </w:p>
        </w:tc>
      </w:tr>
      <w:tr w:rsidR="000B7CFB" w:rsidRPr="001244BB" w:rsidTr="000B7CFB">
        <w:trPr>
          <w:trHeight w:val="300"/>
        </w:trPr>
        <w:tc>
          <w:tcPr>
            <w:tcW w:w="2709" w:type="dxa"/>
            <w:tcBorders>
              <w:top w:val="nil"/>
            </w:tcBorders>
            <w:shd w:val="clear" w:color="auto" w:fill="auto"/>
            <w:noWrap/>
            <w:hideMark/>
          </w:tcPr>
          <w:p w:rsidR="000B7CFB" w:rsidRPr="001244BB" w:rsidRDefault="000B7CFB" w:rsidP="00FE57D6">
            <w:pPr>
              <w:spacing w:after="0" w:line="240" w:lineRule="auto"/>
              <w:ind w:firstLineChars="100" w:firstLine="200"/>
              <w:rPr>
                <w:rFonts w:ascii="Arial" w:eastAsia="Times New Roman" w:hAnsi="Arial" w:cs="Arial"/>
                <w:color w:val="000000"/>
                <w:sz w:val="20"/>
                <w:lang w:eastAsia="en-NZ"/>
              </w:rPr>
            </w:pPr>
            <w:r w:rsidRPr="001244BB">
              <w:rPr>
                <w:rFonts w:ascii="Arial" w:eastAsia="Times New Roman" w:hAnsi="Arial" w:cs="Arial"/>
                <w:color w:val="000000"/>
                <w:sz w:val="20"/>
                <w:lang w:eastAsia="en-NZ"/>
              </w:rPr>
              <w:t>Expenditure</w:t>
            </w:r>
          </w:p>
        </w:tc>
        <w:tc>
          <w:tcPr>
            <w:tcW w:w="1134" w:type="dxa"/>
            <w:tcBorders>
              <w:top w:val="nil"/>
            </w:tcBorders>
            <w:shd w:val="clear" w:color="auto" w:fill="auto"/>
            <w:noWrap/>
            <w:hideMark/>
          </w:tcPr>
          <w:p w:rsidR="000B7CFB" w:rsidRPr="001244BB" w:rsidRDefault="000B7CFB" w:rsidP="00FE57D6">
            <w:pPr>
              <w:spacing w:after="0" w:line="240" w:lineRule="auto"/>
              <w:jc w:val="right"/>
              <w:rPr>
                <w:rFonts w:ascii="Arial" w:eastAsia="Times New Roman" w:hAnsi="Arial" w:cs="Arial"/>
                <w:color w:val="000000"/>
                <w:sz w:val="20"/>
                <w:lang w:eastAsia="en-NZ"/>
              </w:rPr>
            </w:pPr>
            <w:r w:rsidRPr="001244BB">
              <w:rPr>
                <w:rFonts w:ascii="Arial" w:eastAsia="Times New Roman" w:hAnsi="Arial" w:cs="Arial"/>
                <w:color w:val="000000"/>
                <w:sz w:val="20"/>
                <w:lang w:eastAsia="en-NZ"/>
              </w:rPr>
              <w:t>481</w:t>
            </w:r>
          </w:p>
        </w:tc>
        <w:tc>
          <w:tcPr>
            <w:tcW w:w="1072" w:type="dxa"/>
            <w:tcBorders>
              <w:top w:val="nil"/>
            </w:tcBorders>
            <w:shd w:val="clear" w:color="auto" w:fill="auto"/>
            <w:noWrap/>
            <w:hideMark/>
          </w:tcPr>
          <w:p w:rsidR="000B7CFB" w:rsidRPr="001244BB" w:rsidRDefault="000B7CFB" w:rsidP="00FE57D6">
            <w:pPr>
              <w:spacing w:after="0" w:line="240" w:lineRule="auto"/>
              <w:jc w:val="right"/>
              <w:rPr>
                <w:rFonts w:ascii="Arial" w:eastAsia="Times New Roman" w:hAnsi="Arial" w:cs="Arial"/>
                <w:color w:val="000000"/>
                <w:sz w:val="20"/>
                <w:lang w:eastAsia="en-NZ"/>
              </w:rPr>
            </w:pPr>
            <w:r w:rsidRPr="001244BB">
              <w:rPr>
                <w:rFonts w:ascii="Arial" w:eastAsia="Times New Roman" w:hAnsi="Arial" w:cs="Arial"/>
                <w:color w:val="000000"/>
                <w:sz w:val="20"/>
                <w:lang w:eastAsia="en-NZ"/>
              </w:rPr>
              <w:t>299</w:t>
            </w:r>
          </w:p>
        </w:tc>
        <w:tc>
          <w:tcPr>
            <w:tcW w:w="1049" w:type="dxa"/>
            <w:tcBorders>
              <w:top w:val="nil"/>
            </w:tcBorders>
            <w:shd w:val="clear" w:color="auto" w:fill="auto"/>
            <w:noWrap/>
            <w:hideMark/>
          </w:tcPr>
          <w:p w:rsidR="000B7CFB" w:rsidRPr="001244BB" w:rsidRDefault="000B7CFB" w:rsidP="00FE57D6">
            <w:pPr>
              <w:spacing w:after="0" w:line="240" w:lineRule="auto"/>
              <w:jc w:val="right"/>
              <w:rPr>
                <w:rFonts w:ascii="Arial" w:eastAsia="Times New Roman" w:hAnsi="Arial" w:cs="Arial"/>
                <w:color w:val="000000"/>
                <w:sz w:val="20"/>
                <w:lang w:eastAsia="en-NZ"/>
              </w:rPr>
            </w:pPr>
            <w:r w:rsidRPr="001244BB">
              <w:rPr>
                <w:rFonts w:ascii="Arial" w:eastAsia="Times New Roman" w:hAnsi="Arial" w:cs="Arial"/>
                <w:color w:val="000000"/>
                <w:sz w:val="20"/>
                <w:lang w:eastAsia="en-NZ"/>
              </w:rPr>
              <w:t>1,024</w:t>
            </w:r>
          </w:p>
        </w:tc>
        <w:tc>
          <w:tcPr>
            <w:tcW w:w="1302" w:type="dxa"/>
            <w:tcBorders>
              <w:top w:val="nil"/>
            </w:tcBorders>
            <w:shd w:val="clear" w:color="auto" w:fill="auto"/>
            <w:noWrap/>
            <w:hideMark/>
          </w:tcPr>
          <w:p w:rsidR="000B7CFB" w:rsidRPr="001244BB" w:rsidRDefault="000B7CFB" w:rsidP="00FE57D6">
            <w:pPr>
              <w:spacing w:after="0" w:line="240" w:lineRule="auto"/>
              <w:jc w:val="right"/>
              <w:rPr>
                <w:rFonts w:ascii="Arial" w:eastAsia="Times New Roman" w:hAnsi="Arial" w:cs="Arial"/>
                <w:color w:val="000000"/>
                <w:sz w:val="20"/>
                <w:lang w:eastAsia="en-NZ"/>
              </w:rPr>
            </w:pPr>
            <w:r w:rsidRPr="001244BB">
              <w:rPr>
                <w:rFonts w:ascii="Arial" w:eastAsia="Times New Roman" w:hAnsi="Arial" w:cs="Arial"/>
                <w:color w:val="000000"/>
                <w:sz w:val="20"/>
                <w:lang w:eastAsia="en-NZ"/>
              </w:rPr>
              <w:t xml:space="preserve">                   - </w:t>
            </w:r>
          </w:p>
        </w:tc>
        <w:tc>
          <w:tcPr>
            <w:tcW w:w="1013" w:type="dxa"/>
            <w:tcBorders>
              <w:top w:val="nil"/>
            </w:tcBorders>
            <w:shd w:val="clear" w:color="000000" w:fill="E0E0E0"/>
            <w:noWrap/>
            <w:hideMark/>
          </w:tcPr>
          <w:p w:rsidR="000B7CFB" w:rsidRPr="001244BB" w:rsidRDefault="000B7CFB" w:rsidP="00FE57D6">
            <w:pPr>
              <w:spacing w:after="0" w:line="240" w:lineRule="auto"/>
              <w:jc w:val="right"/>
              <w:rPr>
                <w:rFonts w:ascii="Arial" w:eastAsia="Times New Roman" w:hAnsi="Arial" w:cs="Arial"/>
                <w:color w:val="000000"/>
                <w:sz w:val="20"/>
                <w:lang w:eastAsia="en-NZ"/>
              </w:rPr>
            </w:pPr>
            <w:r w:rsidRPr="001244BB">
              <w:rPr>
                <w:rFonts w:ascii="Arial" w:eastAsia="Times New Roman" w:hAnsi="Arial" w:cs="Arial"/>
                <w:color w:val="000000"/>
                <w:sz w:val="20"/>
                <w:lang w:eastAsia="en-NZ"/>
              </w:rPr>
              <w:t>821</w:t>
            </w:r>
          </w:p>
        </w:tc>
        <w:tc>
          <w:tcPr>
            <w:tcW w:w="1092" w:type="dxa"/>
            <w:tcBorders>
              <w:top w:val="nil"/>
            </w:tcBorders>
            <w:shd w:val="clear" w:color="000000" w:fill="E0E0E0"/>
            <w:noWrap/>
            <w:hideMark/>
          </w:tcPr>
          <w:p w:rsidR="000B7CFB" w:rsidRPr="001244BB" w:rsidRDefault="000B7CFB" w:rsidP="00FE57D6">
            <w:pPr>
              <w:spacing w:after="0" w:line="240" w:lineRule="auto"/>
              <w:jc w:val="right"/>
              <w:rPr>
                <w:rFonts w:ascii="Arial" w:eastAsia="Times New Roman" w:hAnsi="Arial" w:cs="Arial"/>
                <w:color w:val="000000"/>
                <w:sz w:val="20"/>
                <w:lang w:eastAsia="en-NZ"/>
              </w:rPr>
            </w:pPr>
            <w:r w:rsidRPr="001244BB">
              <w:rPr>
                <w:rFonts w:ascii="Arial" w:eastAsia="Times New Roman" w:hAnsi="Arial" w:cs="Arial"/>
                <w:color w:val="000000"/>
                <w:sz w:val="20"/>
                <w:lang w:eastAsia="en-NZ"/>
              </w:rPr>
              <w:t>1,024</w:t>
            </w:r>
          </w:p>
        </w:tc>
        <w:tc>
          <w:tcPr>
            <w:tcW w:w="1276" w:type="dxa"/>
            <w:tcBorders>
              <w:top w:val="nil"/>
            </w:tcBorders>
            <w:shd w:val="clear" w:color="000000" w:fill="E0E0E0"/>
            <w:noWrap/>
            <w:hideMark/>
          </w:tcPr>
          <w:p w:rsidR="000B7CFB" w:rsidRPr="001244BB" w:rsidRDefault="000B7CFB" w:rsidP="00FE57D6">
            <w:pPr>
              <w:spacing w:after="0" w:line="240" w:lineRule="auto"/>
              <w:jc w:val="right"/>
              <w:rPr>
                <w:rFonts w:ascii="Arial" w:eastAsia="Times New Roman" w:hAnsi="Arial" w:cs="Arial"/>
                <w:color w:val="000000"/>
                <w:sz w:val="20"/>
                <w:lang w:eastAsia="en-NZ"/>
              </w:rPr>
            </w:pPr>
            <w:r w:rsidRPr="001244BB">
              <w:rPr>
                <w:rFonts w:ascii="Arial" w:eastAsia="Times New Roman" w:hAnsi="Arial" w:cs="Arial"/>
                <w:color w:val="000000"/>
                <w:sz w:val="20"/>
                <w:lang w:eastAsia="en-NZ"/>
              </w:rPr>
              <w:t>203</w:t>
            </w:r>
          </w:p>
        </w:tc>
        <w:tc>
          <w:tcPr>
            <w:tcW w:w="3620" w:type="dxa"/>
            <w:tcBorders>
              <w:top w:val="nil"/>
            </w:tcBorders>
            <w:shd w:val="clear" w:color="auto" w:fill="auto"/>
            <w:vAlign w:val="bottom"/>
            <w:hideMark/>
          </w:tcPr>
          <w:p w:rsidR="000B7CFB" w:rsidRPr="001244BB" w:rsidRDefault="000B7CFB" w:rsidP="00FE57D6">
            <w:pPr>
              <w:spacing w:after="0" w:line="240" w:lineRule="auto"/>
              <w:rPr>
                <w:rFonts w:ascii="Arial" w:eastAsia="Times New Roman" w:hAnsi="Arial" w:cs="Arial"/>
                <w:color w:val="000000"/>
                <w:szCs w:val="24"/>
                <w:lang w:eastAsia="en-NZ"/>
              </w:rPr>
            </w:pPr>
          </w:p>
        </w:tc>
      </w:tr>
      <w:tr w:rsidR="000B7CFB" w:rsidRPr="001244BB" w:rsidTr="000B7CFB">
        <w:trPr>
          <w:trHeight w:val="300"/>
        </w:trPr>
        <w:tc>
          <w:tcPr>
            <w:tcW w:w="2709" w:type="dxa"/>
            <w:shd w:val="clear" w:color="auto" w:fill="auto"/>
            <w:noWrap/>
            <w:vAlign w:val="bottom"/>
            <w:hideMark/>
          </w:tcPr>
          <w:p w:rsidR="000B7CFB" w:rsidRPr="001244BB" w:rsidRDefault="000B7CFB" w:rsidP="00FE57D6">
            <w:pPr>
              <w:spacing w:after="0" w:line="240" w:lineRule="auto"/>
              <w:rPr>
                <w:rFonts w:ascii="Arial" w:eastAsia="Times New Roman" w:hAnsi="Arial" w:cs="Arial"/>
                <w:b/>
                <w:bCs/>
                <w:color w:val="000000"/>
                <w:sz w:val="20"/>
                <w:lang w:eastAsia="en-NZ"/>
              </w:rPr>
            </w:pPr>
            <w:r w:rsidRPr="001244BB">
              <w:rPr>
                <w:rFonts w:ascii="Arial" w:eastAsia="Times New Roman" w:hAnsi="Arial" w:cs="Arial"/>
                <w:b/>
                <w:bCs/>
                <w:color w:val="000000"/>
                <w:sz w:val="20"/>
                <w:lang w:eastAsia="en-NZ"/>
              </w:rPr>
              <w:t>Transport Total</w:t>
            </w:r>
          </w:p>
        </w:tc>
        <w:tc>
          <w:tcPr>
            <w:tcW w:w="1134" w:type="dxa"/>
            <w:shd w:val="clear" w:color="auto" w:fill="auto"/>
            <w:noWrap/>
            <w:hideMark/>
          </w:tcPr>
          <w:p w:rsidR="000B7CFB" w:rsidRPr="001244BB" w:rsidRDefault="000B7CFB" w:rsidP="00FE57D6">
            <w:pPr>
              <w:spacing w:after="0" w:line="240" w:lineRule="auto"/>
              <w:jc w:val="right"/>
              <w:rPr>
                <w:rFonts w:ascii="Arial" w:eastAsia="Times New Roman" w:hAnsi="Arial" w:cs="Arial"/>
                <w:b/>
                <w:bCs/>
                <w:color w:val="000000"/>
                <w:sz w:val="20"/>
                <w:lang w:eastAsia="en-NZ"/>
              </w:rPr>
            </w:pPr>
            <w:r w:rsidRPr="001244BB">
              <w:rPr>
                <w:rFonts w:ascii="Arial" w:eastAsia="Times New Roman" w:hAnsi="Arial" w:cs="Arial"/>
                <w:b/>
                <w:bCs/>
                <w:color w:val="000000"/>
                <w:sz w:val="20"/>
                <w:lang w:eastAsia="en-NZ"/>
              </w:rPr>
              <w:t>34,318</w:t>
            </w:r>
          </w:p>
        </w:tc>
        <w:tc>
          <w:tcPr>
            <w:tcW w:w="1072" w:type="dxa"/>
            <w:shd w:val="clear" w:color="auto" w:fill="auto"/>
            <w:noWrap/>
            <w:hideMark/>
          </w:tcPr>
          <w:p w:rsidR="000B7CFB" w:rsidRPr="001244BB" w:rsidRDefault="000B7CFB" w:rsidP="00FE57D6">
            <w:pPr>
              <w:spacing w:after="0" w:line="240" w:lineRule="auto"/>
              <w:jc w:val="right"/>
              <w:rPr>
                <w:rFonts w:ascii="Arial" w:eastAsia="Times New Roman" w:hAnsi="Arial" w:cs="Arial"/>
                <w:b/>
                <w:bCs/>
                <w:color w:val="000000"/>
                <w:sz w:val="20"/>
                <w:lang w:eastAsia="en-NZ"/>
              </w:rPr>
            </w:pPr>
            <w:r w:rsidRPr="001244BB">
              <w:rPr>
                <w:rFonts w:ascii="Arial" w:eastAsia="Times New Roman" w:hAnsi="Arial" w:cs="Arial"/>
                <w:b/>
                <w:bCs/>
                <w:color w:val="000000"/>
                <w:sz w:val="20"/>
                <w:lang w:eastAsia="en-NZ"/>
              </w:rPr>
              <w:t>55,465</w:t>
            </w:r>
          </w:p>
        </w:tc>
        <w:tc>
          <w:tcPr>
            <w:tcW w:w="1049" w:type="dxa"/>
            <w:shd w:val="clear" w:color="auto" w:fill="auto"/>
            <w:noWrap/>
            <w:hideMark/>
          </w:tcPr>
          <w:p w:rsidR="000B7CFB" w:rsidRPr="001244BB" w:rsidRDefault="000B7CFB" w:rsidP="00FE57D6">
            <w:pPr>
              <w:spacing w:after="0" w:line="240" w:lineRule="auto"/>
              <w:jc w:val="right"/>
              <w:rPr>
                <w:rFonts w:ascii="Arial" w:eastAsia="Times New Roman" w:hAnsi="Arial" w:cs="Arial"/>
                <w:b/>
                <w:bCs/>
                <w:color w:val="000000"/>
                <w:sz w:val="20"/>
                <w:lang w:eastAsia="en-NZ"/>
              </w:rPr>
            </w:pPr>
            <w:r w:rsidRPr="001244BB">
              <w:rPr>
                <w:rFonts w:ascii="Arial" w:eastAsia="Times New Roman" w:hAnsi="Arial" w:cs="Arial"/>
                <w:b/>
                <w:bCs/>
                <w:color w:val="000000"/>
                <w:sz w:val="20"/>
                <w:lang w:eastAsia="en-NZ"/>
              </w:rPr>
              <w:t>74,324</w:t>
            </w:r>
          </w:p>
        </w:tc>
        <w:tc>
          <w:tcPr>
            <w:tcW w:w="1302" w:type="dxa"/>
            <w:shd w:val="clear" w:color="auto" w:fill="auto"/>
            <w:noWrap/>
            <w:hideMark/>
          </w:tcPr>
          <w:p w:rsidR="000B7CFB" w:rsidRPr="001244BB" w:rsidRDefault="000B7CFB" w:rsidP="00FE57D6">
            <w:pPr>
              <w:spacing w:after="0" w:line="240" w:lineRule="auto"/>
              <w:jc w:val="right"/>
              <w:rPr>
                <w:rFonts w:ascii="Arial" w:eastAsia="Times New Roman" w:hAnsi="Arial" w:cs="Arial"/>
                <w:b/>
                <w:bCs/>
                <w:color w:val="000000"/>
                <w:sz w:val="20"/>
                <w:lang w:eastAsia="en-NZ"/>
              </w:rPr>
            </w:pPr>
            <w:r w:rsidRPr="001244BB">
              <w:rPr>
                <w:rFonts w:ascii="Arial" w:eastAsia="Times New Roman" w:hAnsi="Arial" w:cs="Arial"/>
                <w:b/>
                <w:bCs/>
                <w:color w:val="000000"/>
                <w:sz w:val="20"/>
                <w:lang w:eastAsia="en-NZ"/>
              </w:rPr>
              <w:t>1,129</w:t>
            </w:r>
          </w:p>
        </w:tc>
        <w:tc>
          <w:tcPr>
            <w:tcW w:w="1013" w:type="dxa"/>
            <w:shd w:val="clear" w:color="auto" w:fill="D9D9D9" w:themeFill="background1" w:themeFillShade="D9"/>
            <w:noWrap/>
            <w:hideMark/>
          </w:tcPr>
          <w:p w:rsidR="000B7CFB" w:rsidRPr="001244BB" w:rsidRDefault="000B7CFB" w:rsidP="00FE57D6">
            <w:pPr>
              <w:spacing w:after="0" w:line="240" w:lineRule="auto"/>
              <w:jc w:val="right"/>
              <w:rPr>
                <w:rFonts w:ascii="Arial" w:eastAsia="Times New Roman" w:hAnsi="Arial" w:cs="Arial"/>
                <w:b/>
                <w:bCs/>
                <w:color w:val="000000"/>
                <w:sz w:val="20"/>
                <w:lang w:eastAsia="en-NZ"/>
              </w:rPr>
            </w:pPr>
            <w:r w:rsidRPr="001244BB">
              <w:rPr>
                <w:rFonts w:ascii="Arial" w:eastAsia="Times New Roman" w:hAnsi="Arial" w:cs="Arial"/>
                <w:b/>
                <w:bCs/>
                <w:color w:val="000000"/>
                <w:sz w:val="20"/>
                <w:lang w:eastAsia="en-NZ"/>
              </w:rPr>
              <w:t>54,313</w:t>
            </w:r>
          </w:p>
        </w:tc>
        <w:tc>
          <w:tcPr>
            <w:tcW w:w="1092" w:type="dxa"/>
            <w:shd w:val="clear" w:color="auto" w:fill="D9D9D9" w:themeFill="background1" w:themeFillShade="D9"/>
            <w:noWrap/>
            <w:hideMark/>
          </w:tcPr>
          <w:p w:rsidR="000B7CFB" w:rsidRPr="001244BB" w:rsidRDefault="000B7CFB" w:rsidP="00FE57D6">
            <w:pPr>
              <w:spacing w:after="0" w:line="240" w:lineRule="auto"/>
              <w:jc w:val="right"/>
              <w:rPr>
                <w:rFonts w:ascii="Arial" w:eastAsia="Times New Roman" w:hAnsi="Arial" w:cs="Arial"/>
                <w:b/>
                <w:bCs/>
                <w:color w:val="000000"/>
                <w:sz w:val="20"/>
                <w:lang w:eastAsia="en-NZ"/>
              </w:rPr>
            </w:pPr>
            <w:r w:rsidRPr="001244BB">
              <w:rPr>
                <w:rFonts w:ascii="Arial" w:eastAsia="Times New Roman" w:hAnsi="Arial" w:cs="Arial"/>
                <w:b/>
                <w:bCs/>
                <w:color w:val="000000"/>
                <w:sz w:val="20"/>
                <w:lang w:eastAsia="en-NZ"/>
              </w:rPr>
              <w:t>75,454</w:t>
            </w:r>
          </w:p>
        </w:tc>
        <w:tc>
          <w:tcPr>
            <w:tcW w:w="1276" w:type="dxa"/>
            <w:shd w:val="clear" w:color="auto" w:fill="D9D9D9" w:themeFill="background1" w:themeFillShade="D9"/>
            <w:noWrap/>
            <w:hideMark/>
          </w:tcPr>
          <w:p w:rsidR="000B7CFB" w:rsidRPr="001244BB" w:rsidRDefault="000B7CFB" w:rsidP="00FE57D6">
            <w:pPr>
              <w:spacing w:after="0" w:line="240" w:lineRule="auto"/>
              <w:jc w:val="right"/>
              <w:rPr>
                <w:rFonts w:ascii="Arial" w:eastAsia="Times New Roman" w:hAnsi="Arial" w:cs="Arial"/>
                <w:b/>
                <w:bCs/>
                <w:color w:val="000000"/>
                <w:sz w:val="20"/>
                <w:lang w:eastAsia="en-NZ"/>
              </w:rPr>
            </w:pPr>
            <w:r w:rsidRPr="001244BB">
              <w:rPr>
                <w:rFonts w:ascii="Arial" w:eastAsia="Times New Roman" w:hAnsi="Arial" w:cs="Arial"/>
                <w:b/>
                <w:bCs/>
                <w:color w:val="000000"/>
                <w:sz w:val="20"/>
                <w:lang w:eastAsia="en-NZ"/>
              </w:rPr>
              <w:t>21,141</w:t>
            </w:r>
          </w:p>
        </w:tc>
        <w:tc>
          <w:tcPr>
            <w:tcW w:w="3620" w:type="dxa"/>
            <w:shd w:val="clear" w:color="auto" w:fill="auto"/>
            <w:vAlign w:val="bottom"/>
            <w:hideMark/>
          </w:tcPr>
          <w:p w:rsidR="000B7CFB" w:rsidRPr="001244BB" w:rsidRDefault="000B7CFB" w:rsidP="00FE57D6">
            <w:pPr>
              <w:spacing w:after="0" w:line="240" w:lineRule="auto"/>
              <w:rPr>
                <w:rFonts w:ascii="Arial" w:eastAsia="Times New Roman" w:hAnsi="Arial" w:cs="Arial"/>
                <w:color w:val="000000"/>
                <w:szCs w:val="24"/>
                <w:lang w:eastAsia="en-NZ"/>
              </w:rPr>
            </w:pPr>
            <w:r w:rsidRPr="001244BB">
              <w:rPr>
                <w:rFonts w:ascii="Arial" w:eastAsia="Times New Roman" w:hAnsi="Arial" w:cs="Arial"/>
                <w:color w:val="000000"/>
                <w:szCs w:val="24"/>
                <w:lang w:eastAsia="en-NZ"/>
              </w:rPr>
              <w:t> </w:t>
            </w:r>
          </w:p>
        </w:tc>
      </w:tr>
    </w:tbl>
    <w:p w:rsidR="007F0DCF" w:rsidRPr="00560497" w:rsidRDefault="007F0DCF" w:rsidP="007F0DCF">
      <w:pPr>
        <w:rPr>
          <w:rFonts w:cstheme="minorHAnsi"/>
        </w:rPr>
      </w:pPr>
    </w:p>
    <w:p w:rsidR="007F0DCF" w:rsidRPr="00060BB3" w:rsidRDefault="007F0DCF" w:rsidP="00AA2122">
      <w:pPr>
        <w:pStyle w:val="Heading3"/>
        <w:rPr>
          <w:color w:val="FF0000"/>
        </w:rPr>
      </w:pPr>
      <w:bookmarkStart w:id="299" w:name="Transport_performance"/>
      <w:bookmarkStart w:id="300" w:name="_Toc11915666"/>
      <w:bookmarkStart w:id="301" w:name="_Toc13211864"/>
      <w:bookmarkStart w:id="302" w:name="_Toc14178567"/>
      <w:bookmarkStart w:id="303" w:name="_Toc19085863"/>
      <w:r w:rsidRPr="00060BB3">
        <w:rPr>
          <w:color w:val="FF0000"/>
        </w:rPr>
        <w:t>Transport performance</w:t>
      </w:r>
      <w:bookmarkEnd w:id="299"/>
      <w:bookmarkEnd w:id="300"/>
      <w:bookmarkEnd w:id="301"/>
      <w:bookmarkEnd w:id="302"/>
      <w:bookmarkEnd w:id="303"/>
    </w:p>
    <w:p w:rsidR="007F0DCF" w:rsidRPr="00D5126A" w:rsidRDefault="007F0DCF" w:rsidP="007F0DCF">
      <w:pPr>
        <w:pStyle w:val="Para034"/>
        <w:spacing w:line="240" w:lineRule="auto"/>
        <w:rPr>
          <w:rFonts w:ascii="Arial" w:hAnsi="Arial" w:cs="Arial"/>
        </w:rPr>
      </w:pPr>
      <w:r w:rsidRPr="00D5126A">
        <w:rPr>
          <w:rFonts w:ascii="Arial" w:hAnsi="Arial" w:cs="Arial"/>
        </w:rPr>
        <w:t>The following section outlines our performance data: outcome indicators, performance measures and supplementary tables.</w:t>
      </w:r>
    </w:p>
    <w:p w:rsidR="007F0DCF" w:rsidRPr="00D5126A" w:rsidRDefault="007F0DCF" w:rsidP="007F0DCF">
      <w:pPr>
        <w:pStyle w:val="Para034"/>
        <w:spacing w:line="240" w:lineRule="auto"/>
        <w:rPr>
          <w:rFonts w:ascii="Arial" w:hAnsi="Arial" w:cs="Arial"/>
        </w:rPr>
      </w:pPr>
      <w:r w:rsidRPr="00D5126A">
        <w:rPr>
          <w:rFonts w:ascii="Arial" w:hAnsi="Arial" w:cs="Arial"/>
        </w:rPr>
        <w:t>We use outcome indicators to monitor our city over time, which provides information on trends that may influence our performance including those outside our control.</w:t>
      </w:r>
    </w:p>
    <w:p w:rsidR="007F0DCF" w:rsidRPr="00D5126A" w:rsidRDefault="007F0DCF" w:rsidP="007F0DCF">
      <w:pPr>
        <w:pStyle w:val="Para034"/>
        <w:spacing w:line="240" w:lineRule="auto"/>
        <w:rPr>
          <w:rFonts w:ascii="Arial" w:hAnsi="Arial" w:cs="Arial"/>
        </w:rPr>
      </w:pPr>
      <w:r w:rsidRPr="00D5126A">
        <w:rPr>
          <w:rFonts w:ascii="Arial" w:hAnsi="Arial" w:cs="Arial"/>
        </w:rPr>
        <w:t>We use performance measures to track how well we are delivering services against targets as set out in the 10-year and annual plans.</w:t>
      </w:r>
    </w:p>
    <w:p w:rsidR="007F0DCF" w:rsidRPr="00D5126A" w:rsidRDefault="007F0DCF" w:rsidP="007F0DCF">
      <w:pPr>
        <w:pStyle w:val="Para034"/>
        <w:spacing w:line="240" w:lineRule="auto"/>
        <w:rPr>
          <w:rFonts w:ascii="Arial" w:hAnsi="Arial" w:cs="Arial"/>
        </w:rPr>
      </w:pPr>
      <w:r w:rsidRPr="00D5126A">
        <w:rPr>
          <w:rFonts w:ascii="Arial" w:hAnsi="Arial" w:cs="Arial"/>
        </w:rPr>
        <w:t xml:space="preserve">The Council undertakes the Residents’ Monitoring Survey (RMS) on an annual basis. The survey has a margin of error of </w:t>
      </w:r>
      <w:r w:rsidR="001D2EAA">
        <w:t>+/- 4.4% percent.</w:t>
      </w:r>
    </w:p>
    <w:p w:rsidR="0028798A" w:rsidRDefault="0028798A">
      <w:pPr>
        <w:rPr>
          <w:rFonts w:ascii="Arial" w:eastAsiaTheme="majorEastAsia" w:hAnsi="Arial" w:cs="Arial"/>
          <w:b/>
          <w:bCs/>
          <w:i/>
          <w:iCs/>
          <w:color w:val="4F81BD" w:themeColor="accent1"/>
          <w:sz w:val="28"/>
        </w:rPr>
      </w:pPr>
      <w:r>
        <w:br w:type="page"/>
      </w:r>
    </w:p>
    <w:p w:rsidR="007F0DCF" w:rsidRPr="00060BB3" w:rsidRDefault="007F0DCF" w:rsidP="00846C1B">
      <w:pPr>
        <w:pStyle w:val="Heading4"/>
        <w:rPr>
          <w:color w:val="FF0000"/>
        </w:rPr>
      </w:pPr>
      <w:r w:rsidRPr="00060BB3">
        <w:rPr>
          <w:color w:val="FF0000"/>
        </w:rPr>
        <w:lastRenderedPageBreak/>
        <w:t>Performance data – outcome indicators</w:t>
      </w:r>
    </w:p>
    <w:p w:rsidR="007F0DCF" w:rsidRPr="00D5126A" w:rsidRDefault="007F0DCF" w:rsidP="007F0DCF">
      <w:pPr>
        <w:pStyle w:val="Para034"/>
        <w:spacing w:before="0" w:after="0" w:line="240" w:lineRule="auto"/>
        <w:rPr>
          <w:rFonts w:ascii="Arial" w:hAnsi="Arial" w:cs="Arial"/>
        </w:rPr>
      </w:pPr>
      <w:r w:rsidRPr="00D5126A">
        <w:rPr>
          <w:rFonts w:ascii="Arial" w:hAnsi="Arial" w:cs="Arial"/>
        </w:rPr>
        <w:t>The following section outlines outcome indicators for the Transport activity area. Outcome indicators do not have targets – only trend data.</w:t>
      </w:r>
    </w:p>
    <w:p w:rsidR="0075165F" w:rsidRPr="00D5126A" w:rsidRDefault="0075165F" w:rsidP="007F0DCF">
      <w:pPr>
        <w:pStyle w:val="Para034"/>
        <w:spacing w:before="0" w:after="0" w:line="240" w:lineRule="auto"/>
        <w:rPr>
          <w:rFonts w:ascii="Arial" w:hAnsi="Arial" w:cs="Arial"/>
        </w:rPr>
      </w:pPr>
    </w:p>
    <w:tbl>
      <w:tblPr>
        <w:tblW w:w="14601" w:type="dxa"/>
        <w:tblInd w:w="-318" w:type="dxa"/>
        <w:shd w:val="clear" w:color="auto" w:fill="FF0000"/>
        <w:tblLayout w:type="fixed"/>
        <w:tblLook w:val="04A0" w:firstRow="1" w:lastRow="0" w:firstColumn="1" w:lastColumn="0" w:noHBand="0" w:noVBand="1"/>
      </w:tblPr>
      <w:tblGrid>
        <w:gridCol w:w="3828"/>
        <w:gridCol w:w="1276"/>
        <w:gridCol w:w="1276"/>
        <w:gridCol w:w="1756"/>
        <w:gridCol w:w="9"/>
        <w:gridCol w:w="1635"/>
        <w:gridCol w:w="8"/>
        <w:gridCol w:w="1470"/>
        <w:gridCol w:w="3343"/>
      </w:tblGrid>
      <w:tr w:rsidR="00563C30" w:rsidRPr="00F01A24" w:rsidTr="00FD51FE">
        <w:trPr>
          <w:trHeight w:val="259"/>
          <w:tblHeader/>
        </w:trPr>
        <w:tc>
          <w:tcPr>
            <w:tcW w:w="3828" w:type="dxa"/>
            <w:tcBorders>
              <w:top w:val="nil"/>
              <w:left w:val="nil"/>
              <w:bottom w:val="single" w:sz="4" w:space="0" w:color="FFFFFF" w:themeColor="background1"/>
              <w:right w:val="single" w:sz="4" w:space="0" w:color="FFFFFF" w:themeColor="background1"/>
            </w:tcBorders>
            <w:shd w:val="clear" w:color="auto" w:fill="FF0000"/>
            <w:vAlign w:val="bottom"/>
            <w:hideMark/>
          </w:tcPr>
          <w:p w:rsidR="00563C30" w:rsidRPr="00F01A24" w:rsidRDefault="00563C30" w:rsidP="00FD51FE">
            <w:pPr>
              <w:spacing w:after="0" w:line="240" w:lineRule="auto"/>
              <w:rPr>
                <w:rFonts w:ascii="Arial" w:eastAsia="Times New Roman" w:hAnsi="Arial" w:cs="Arial"/>
                <w:b/>
                <w:bCs/>
                <w:color w:val="FFFFFF" w:themeColor="background1"/>
                <w:sz w:val="24"/>
                <w:szCs w:val="20"/>
                <w:lang w:eastAsia="en-NZ"/>
              </w:rPr>
            </w:pPr>
            <w:r w:rsidRPr="00F01A24">
              <w:rPr>
                <w:rFonts w:ascii="Arial" w:eastAsia="Times New Roman" w:hAnsi="Arial" w:cs="Arial"/>
                <w:b/>
                <w:bCs/>
                <w:color w:val="FFFFFF" w:themeColor="background1"/>
                <w:sz w:val="24"/>
                <w:szCs w:val="20"/>
                <w:lang w:eastAsia="en-NZ"/>
              </w:rPr>
              <w:t>Transport</w:t>
            </w:r>
          </w:p>
        </w:tc>
        <w:tc>
          <w:tcPr>
            <w:tcW w:w="1276" w:type="dxa"/>
            <w:tcBorders>
              <w:top w:val="nil"/>
              <w:left w:val="single" w:sz="4" w:space="0" w:color="FFFFFF" w:themeColor="background1"/>
              <w:bottom w:val="single" w:sz="4" w:space="0" w:color="FFFFFF" w:themeColor="background1"/>
              <w:right w:val="single" w:sz="4" w:space="0" w:color="FFFFFF" w:themeColor="background1"/>
            </w:tcBorders>
            <w:shd w:val="clear" w:color="auto" w:fill="FF0000"/>
            <w:noWrap/>
            <w:vAlign w:val="bottom"/>
            <w:hideMark/>
          </w:tcPr>
          <w:p w:rsidR="00563C30" w:rsidRPr="00F01A24" w:rsidRDefault="00563C30" w:rsidP="00FD51FE">
            <w:pPr>
              <w:spacing w:after="0" w:line="240" w:lineRule="auto"/>
              <w:jc w:val="center"/>
              <w:rPr>
                <w:rFonts w:ascii="Arial" w:eastAsia="Times New Roman" w:hAnsi="Arial" w:cs="Arial"/>
                <w:b/>
                <w:bCs/>
                <w:color w:val="FFFFFF" w:themeColor="background1"/>
                <w:sz w:val="24"/>
                <w:szCs w:val="20"/>
                <w:lang w:eastAsia="en-NZ"/>
              </w:rPr>
            </w:pPr>
            <w:r w:rsidRPr="00F01A24">
              <w:rPr>
                <w:rFonts w:ascii="Arial" w:eastAsia="Times New Roman" w:hAnsi="Arial" w:cs="Arial"/>
                <w:b/>
                <w:bCs/>
                <w:color w:val="FFFFFF" w:themeColor="background1"/>
                <w:sz w:val="24"/>
                <w:szCs w:val="20"/>
                <w:lang w:eastAsia="en-NZ"/>
              </w:rPr>
              <w:t>Desired Trend</w:t>
            </w:r>
          </w:p>
        </w:tc>
        <w:tc>
          <w:tcPr>
            <w:tcW w:w="1276" w:type="dxa"/>
            <w:tcBorders>
              <w:top w:val="nil"/>
              <w:left w:val="single" w:sz="4" w:space="0" w:color="FFFFFF" w:themeColor="background1"/>
              <w:bottom w:val="single" w:sz="4" w:space="0" w:color="FFFFFF" w:themeColor="background1"/>
              <w:right w:val="single" w:sz="4" w:space="0" w:color="FFFFFF" w:themeColor="background1"/>
            </w:tcBorders>
            <w:shd w:val="clear" w:color="auto" w:fill="FF0000"/>
            <w:noWrap/>
            <w:vAlign w:val="bottom"/>
            <w:hideMark/>
          </w:tcPr>
          <w:p w:rsidR="00563C30" w:rsidRPr="00F01A24" w:rsidRDefault="00563C30" w:rsidP="00FD51FE">
            <w:pPr>
              <w:spacing w:after="0" w:line="240" w:lineRule="auto"/>
              <w:jc w:val="center"/>
              <w:rPr>
                <w:rFonts w:ascii="Arial" w:eastAsia="Times New Roman" w:hAnsi="Arial" w:cs="Arial"/>
                <w:b/>
                <w:bCs/>
                <w:color w:val="FFFFFF" w:themeColor="background1"/>
                <w:sz w:val="24"/>
                <w:szCs w:val="20"/>
                <w:lang w:eastAsia="en-NZ"/>
              </w:rPr>
            </w:pPr>
            <w:r w:rsidRPr="00F01A24">
              <w:rPr>
                <w:rFonts w:ascii="Arial" w:eastAsia="Times New Roman" w:hAnsi="Arial" w:cs="Arial"/>
                <w:b/>
                <w:bCs/>
                <w:color w:val="FFFFFF" w:themeColor="background1"/>
                <w:sz w:val="24"/>
                <w:szCs w:val="20"/>
                <w:lang w:eastAsia="en-NZ"/>
              </w:rPr>
              <w:t>Source</w:t>
            </w:r>
          </w:p>
        </w:tc>
        <w:tc>
          <w:tcPr>
            <w:tcW w:w="1765" w:type="dxa"/>
            <w:gridSpan w:val="2"/>
            <w:tcBorders>
              <w:top w:val="nil"/>
              <w:left w:val="single" w:sz="4" w:space="0" w:color="FFFFFF" w:themeColor="background1"/>
              <w:bottom w:val="single" w:sz="4" w:space="0" w:color="FFFFFF" w:themeColor="background1"/>
              <w:right w:val="single" w:sz="4" w:space="0" w:color="FFFFFF" w:themeColor="background1"/>
            </w:tcBorders>
            <w:shd w:val="clear" w:color="auto" w:fill="FF0000"/>
            <w:noWrap/>
            <w:vAlign w:val="bottom"/>
            <w:hideMark/>
          </w:tcPr>
          <w:p w:rsidR="00563C30" w:rsidRPr="00F01A24" w:rsidRDefault="00563C30" w:rsidP="00FD51FE">
            <w:pPr>
              <w:spacing w:after="0" w:line="240" w:lineRule="auto"/>
              <w:jc w:val="center"/>
              <w:rPr>
                <w:rFonts w:ascii="Arial" w:eastAsia="Times New Roman" w:hAnsi="Arial" w:cs="Arial"/>
                <w:b/>
                <w:bCs/>
                <w:color w:val="FFFFFF" w:themeColor="background1"/>
                <w:sz w:val="24"/>
                <w:szCs w:val="20"/>
                <w:lang w:eastAsia="en-NZ"/>
              </w:rPr>
            </w:pPr>
            <w:r w:rsidRPr="00F01A24">
              <w:rPr>
                <w:rFonts w:ascii="Arial" w:eastAsia="Times New Roman" w:hAnsi="Arial" w:cs="Arial"/>
                <w:b/>
                <w:bCs/>
                <w:color w:val="FFFFFF" w:themeColor="background1"/>
                <w:sz w:val="24"/>
                <w:szCs w:val="20"/>
                <w:lang w:eastAsia="en-NZ"/>
              </w:rPr>
              <w:t>2016/17</w:t>
            </w:r>
          </w:p>
        </w:tc>
        <w:tc>
          <w:tcPr>
            <w:tcW w:w="1635" w:type="dxa"/>
            <w:tcBorders>
              <w:top w:val="nil"/>
              <w:left w:val="single" w:sz="4" w:space="0" w:color="FFFFFF" w:themeColor="background1"/>
              <w:bottom w:val="single" w:sz="4" w:space="0" w:color="FFFFFF" w:themeColor="background1"/>
              <w:right w:val="single" w:sz="4" w:space="0" w:color="FFFFFF" w:themeColor="background1"/>
            </w:tcBorders>
            <w:shd w:val="clear" w:color="auto" w:fill="FF0000"/>
            <w:noWrap/>
            <w:vAlign w:val="bottom"/>
            <w:hideMark/>
          </w:tcPr>
          <w:p w:rsidR="00563C30" w:rsidRPr="00F01A24" w:rsidRDefault="00563C30" w:rsidP="00FD51FE">
            <w:pPr>
              <w:spacing w:after="0" w:line="240" w:lineRule="auto"/>
              <w:jc w:val="center"/>
              <w:rPr>
                <w:rFonts w:ascii="Arial" w:eastAsia="Times New Roman" w:hAnsi="Arial" w:cs="Arial"/>
                <w:b/>
                <w:bCs/>
                <w:color w:val="FFFFFF" w:themeColor="background1"/>
                <w:sz w:val="24"/>
                <w:szCs w:val="20"/>
                <w:lang w:eastAsia="en-NZ"/>
              </w:rPr>
            </w:pPr>
            <w:r w:rsidRPr="00F01A24">
              <w:rPr>
                <w:rFonts w:ascii="Arial" w:eastAsia="Times New Roman" w:hAnsi="Arial" w:cs="Arial"/>
                <w:b/>
                <w:bCs/>
                <w:color w:val="FFFFFF" w:themeColor="background1"/>
                <w:sz w:val="24"/>
                <w:szCs w:val="20"/>
                <w:lang w:eastAsia="en-NZ"/>
              </w:rPr>
              <w:t>2017/18</w:t>
            </w:r>
          </w:p>
        </w:tc>
        <w:tc>
          <w:tcPr>
            <w:tcW w:w="1478" w:type="dxa"/>
            <w:gridSpan w:val="2"/>
            <w:tcBorders>
              <w:top w:val="nil"/>
              <w:left w:val="single" w:sz="4" w:space="0" w:color="FFFFFF" w:themeColor="background1"/>
              <w:bottom w:val="single" w:sz="4" w:space="0" w:color="FFFFFF" w:themeColor="background1"/>
              <w:right w:val="single" w:sz="4" w:space="0" w:color="FFFFFF" w:themeColor="background1"/>
            </w:tcBorders>
            <w:shd w:val="clear" w:color="auto" w:fill="FF0000"/>
            <w:noWrap/>
            <w:vAlign w:val="bottom"/>
            <w:hideMark/>
          </w:tcPr>
          <w:p w:rsidR="00563C30" w:rsidRPr="00F01A24" w:rsidRDefault="00563C30" w:rsidP="00FD51FE">
            <w:pPr>
              <w:spacing w:after="0" w:line="240" w:lineRule="auto"/>
              <w:jc w:val="center"/>
              <w:rPr>
                <w:rFonts w:ascii="Arial" w:eastAsia="Times New Roman" w:hAnsi="Arial" w:cs="Arial"/>
                <w:b/>
                <w:bCs/>
                <w:color w:val="FFFFFF" w:themeColor="background1"/>
                <w:sz w:val="24"/>
                <w:szCs w:val="20"/>
                <w:lang w:eastAsia="en-NZ"/>
              </w:rPr>
            </w:pPr>
            <w:r w:rsidRPr="00F01A24">
              <w:rPr>
                <w:rFonts w:ascii="Arial" w:eastAsia="Times New Roman" w:hAnsi="Arial" w:cs="Arial"/>
                <w:b/>
                <w:bCs/>
                <w:color w:val="FFFFFF" w:themeColor="background1"/>
                <w:sz w:val="24"/>
                <w:szCs w:val="20"/>
                <w:lang w:eastAsia="en-NZ"/>
              </w:rPr>
              <w:t>2018/19</w:t>
            </w:r>
          </w:p>
        </w:tc>
        <w:tc>
          <w:tcPr>
            <w:tcW w:w="3343" w:type="dxa"/>
            <w:tcBorders>
              <w:top w:val="nil"/>
              <w:left w:val="single" w:sz="4" w:space="0" w:color="FFFFFF" w:themeColor="background1"/>
              <w:bottom w:val="single" w:sz="4" w:space="0" w:color="FFFFFF" w:themeColor="background1"/>
              <w:right w:val="nil"/>
            </w:tcBorders>
            <w:shd w:val="clear" w:color="auto" w:fill="FF0000"/>
            <w:vAlign w:val="bottom"/>
          </w:tcPr>
          <w:p w:rsidR="00563C30" w:rsidRPr="00F01A24" w:rsidRDefault="00563C30" w:rsidP="00FD51FE">
            <w:pPr>
              <w:spacing w:after="0" w:line="240" w:lineRule="auto"/>
              <w:rPr>
                <w:rFonts w:ascii="Arial" w:eastAsia="Times New Roman" w:hAnsi="Arial" w:cs="Arial"/>
                <w:b/>
                <w:bCs/>
                <w:color w:val="FFFFFF" w:themeColor="background1"/>
                <w:sz w:val="24"/>
                <w:szCs w:val="20"/>
                <w:lang w:eastAsia="en-NZ"/>
              </w:rPr>
            </w:pPr>
            <w:r w:rsidRPr="00F01A24">
              <w:rPr>
                <w:rFonts w:ascii="Arial" w:eastAsia="Times New Roman" w:hAnsi="Arial" w:cs="Arial"/>
                <w:b/>
                <w:bCs/>
                <w:color w:val="FFFFFF" w:themeColor="background1"/>
                <w:sz w:val="24"/>
                <w:szCs w:val="20"/>
                <w:lang w:eastAsia="en-NZ"/>
              </w:rPr>
              <w:t>Comments</w:t>
            </w:r>
          </w:p>
        </w:tc>
      </w:tr>
      <w:tr w:rsidR="00563C30" w:rsidRPr="00377AA6" w:rsidTr="00563C30">
        <w:tblPrEx>
          <w:shd w:val="clear" w:color="auto" w:fill="auto"/>
        </w:tblPrEx>
        <w:trPr>
          <w:trHeight w:val="255"/>
        </w:trPr>
        <w:tc>
          <w:tcPr>
            <w:tcW w:w="14601" w:type="dxa"/>
            <w:gridSpan w:val="9"/>
            <w:tcBorders>
              <w:top w:val="single" w:sz="4" w:space="0" w:color="FFFFFF" w:themeColor="background1"/>
              <w:left w:val="nil"/>
              <w:right w:val="nil"/>
            </w:tcBorders>
            <w:shd w:val="clear" w:color="auto" w:fill="FFB9B9"/>
            <w:hideMark/>
          </w:tcPr>
          <w:p w:rsidR="00563C30" w:rsidRPr="00377AA6" w:rsidRDefault="00563C30" w:rsidP="00563C30">
            <w:pPr>
              <w:spacing w:after="0" w:line="240" w:lineRule="auto"/>
              <w:rPr>
                <w:rFonts w:ascii="Arial" w:hAnsi="Arial" w:cs="Arial"/>
                <w:sz w:val="20"/>
                <w:szCs w:val="20"/>
              </w:rPr>
            </w:pPr>
            <w:r w:rsidRPr="00377AA6">
              <w:rPr>
                <w:rFonts w:ascii="Arial" w:hAnsi="Arial" w:cs="Arial"/>
                <w:b/>
                <w:bCs/>
                <w:i/>
                <w:iCs/>
                <w:sz w:val="20"/>
                <w:szCs w:val="20"/>
              </w:rPr>
              <w:t>Network efficiency and reliability</w:t>
            </w:r>
          </w:p>
        </w:tc>
      </w:tr>
      <w:tr w:rsidR="00563C30" w:rsidRPr="008B0A7E" w:rsidTr="00563C30">
        <w:tblPrEx>
          <w:shd w:val="clear" w:color="auto" w:fill="auto"/>
        </w:tblPrEx>
        <w:trPr>
          <w:trHeight w:val="255"/>
        </w:trPr>
        <w:tc>
          <w:tcPr>
            <w:tcW w:w="3828" w:type="dxa"/>
            <w:tcBorders>
              <w:top w:val="nil"/>
              <w:left w:val="nil"/>
              <w:bottom w:val="single" w:sz="4" w:space="0" w:color="FF0000"/>
              <w:right w:val="single" w:sz="4" w:space="0" w:color="FF0000"/>
            </w:tcBorders>
            <w:shd w:val="clear" w:color="auto" w:fill="auto"/>
            <w:hideMark/>
          </w:tcPr>
          <w:p w:rsidR="00563C30" w:rsidRPr="008B0A7E" w:rsidRDefault="00563C30" w:rsidP="00563C30">
            <w:pPr>
              <w:spacing w:after="0" w:line="240" w:lineRule="auto"/>
              <w:rPr>
                <w:rFonts w:ascii="Arial" w:hAnsi="Arial" w:cs="Arial"/>
                <w:color w:val="000000"/>
                <w:sz w:val="20"/>
                <w:szCs w:val="20"/>
              </w:rPr>
            </w:pPr>
            <w:r w:rsidRPr="008B0A7E">
              <w:rPr>
                <w:rFonts w:ascii="Arial" w:hAnsi="Arial" w:cs="Arial"/>
                <w:color w:val="000000"/>
                <w:sz w:val="20"/>
                <w:szCs w:val="20"/>
              </w:rPr>
              <w:t>Residents’ perceptions that peak traffic volumes are acceptable</w:t>
            </w:r>
          </w:p>
        </w:tc>
        <w:tc>
          <w:tcPr>
            <w:tcW w:w="1276" w:type="dxa"/>
            <w:tcBorders>
              <w:top w:val="nil"/>
              <w:left w:val="single" w:sz="4" w:space="0" w:color="FF0000"/>
              <w:bottom w:val="single" w:sz="4" w:space="0" w:color="FF0000"/>
              <w:right w:val="single" w:sz="4" w:space="0" w:color="FF0000"/>
            </w:tcBorders>
            <w:shd w:val="clear" w:color="auto" w:fill="auto"/>
            <w:noWrap/>
            <w:hideMark/>
          </w:tcPr>
          <w:p w:rsidR="00563C30" w:rsidRPr="008B0A7E" w:rsidRDefault="00563C30" w:rsidP="00563C30">
            <w:pPr>
              <w:spacing w:after="0" w:line="240" w:lineRule="auto"/>
              <w:rPr>
                <w:rFonts w:ascii="Arial" w:hAnsi="Arial" w:cs="Arial"/>
                <w:color w:val="000000"/>
                <w:sz w:val="20"/>
                <w:szCs w:val="20"/>
              </w:rPr>
            </w:pPr>
            <w:r w:rsidRPr="008B0A7E">
              <w:rPr>
                <w:rFonts w:ascii="Arial" w:hAnsi="Arial" w:cs="Arial"/>
                <w:color w:val="000000"/>
                <w:sz w:val="20"/>
                <w:szCs w:val="20"/>
              </w:rPr>
              <w:t>Increasing</w:t>
            </w:r>
          </w:p>
        </w:tc>
        <w:tc>
          <w:tcPr>
            <w:tcW w:w="1276" w:type="dxa"/>
            <w:tcBorders>
              <w:top w:val="nil"/>
              <w:left w:val="single" w:sz="4" w:space="0" w:color="FF0000"/>
              <w:bottom w:val="single" w:sz="4" w:space="0" w:color="FF0000"/>
              <w:right w:val="single" w:sz="4" w:space="0" w:color="FF0000"/>
            </w:tcBorders>
            <w:shd w:val="clear" w:color="auto" w:fill="auto"/>
            <w:noWrap/>
            <w:hideMark/>
          </w:tcPr>
          <w:p w:rsidR="00563C30" w:rsidRPr="008B0A7E" w:rsidRDefault="00563C30" w:rsidP="00563C30">
            <w:pPr>
              <w:spacing w:after="0" w:line="240" w:lineRule="auto"/>
              <w:rPr>
                <w:rFonts w:ascii="Arial" w:hAnsi="Arial" w:cs="Arial"/>
                <w:color w:val="000000"/>
                <w:sz w:val="20"/>
                <w:szCs w:val="20"/>
              </w:rPr>
            </w:pPr>
            <w:r w:rsidRPr="008B0A7E">
              <w:rPr>
                <w:rFonts w:ascii="Arial" w:hAnsi="Arial" w:cs="Arial"/>
                <w:color w:val="000000"/>
                <w:sz w:val="20"/>
                <w:szCs w:val="20"/>
              </w:rPr>
              <w:t>WCC RMS 2019</w:t>
            </w:r>
          </w:p>
        </w:tc>
        <w:tc>
          <w:tcPr>
            <w:tcW w:w="1756" w:type="dxa"/>
            <w:tcBorders>
              <w:top w:val="nil"/>
              <w:left w:val="single" w:sz="4" w:space="0" w:color="FF0000"/>
              <w:bottom w:val="single" w:sz="4" w:space="0" w:color="FF0000"/>
              <w:right w:val="single" w:sz="4" w:space="0" w:color="FF0000"/>
            </w:tcBorders>
            <w:shd w:val="clear" w:color="auto" w:fill="auto"/>
            <w:noWrap/>
            <w:hideMark/>
          </w:tcPr>
          <w:p w:rsidR="00563C30" w:rsidRPr="008B0A7E" w:rsidRDefault="00563C30" w:rsidP="00563C30">
            <w:pPr>
              <w:spacing w:after="0" w:line="240" w:lineRule="auto"/>
              <w:jc w:val="right"/>
              <w:rPr>
                <w:rFonts w:ascii="Arial" w:hAnsi="Arial" w:cs="Arial"/>
                <w:color w:val="000000"/>
                <w:sz w:val="20"/>
                <w:szCs w:val="20"/>
              </w:rPr>
            </w:pPr>
            <w:r w:rsidRPr="008B0A7E">
              <w:rPr>
                <w:rFonts w:ascii="Arial" w:hAnsi="Arial" w:cs="Arial"/>
                <w:color w:val="000000"/>
                <w:sz w:val="20"/>
                <w:szCs w:val="20"/>
              </w:rPr>
              <w:t>42%</w:t>
            </w:r>
          </w:p>
        </w:tc>
        <w:tc>
          <w:tcPr>
            <w:tcW w:w="1652" w:type="dxa"/>
            <w:gridSpan w:val="3"/>
            <w:tcBorders>
              <w:top w:val="nil"/>
              <w:left w:val="single" w:sz="4" w:space="0" w:color="FF0000"/>
              <w:bottom w:val="single" w:sz="4" w:space="0" w:color="FF0000"/>
              <w:right w:val="single" w:sz="4" w:space="0" w:color="FF0000"/>
            </w:tcBorders>
            <w:shd w:val="clear" w:color="auto" w:fill="auto"/>
            <w:noWrap/>
            <w:hideMark/>
          </w:tcPr>
          <w:p w:rsidR="00563C30" w:rsidRPr="008B0A7E" w:rsidRDefault="00563C30" w:rsidP="00563C30">
            <w:pPr>
              <w:spacing w:after="0" w:line="240" w:lineRule="auto"/>
              <w:jc w:val="right"/>
              <w:rPr>
                <w:rFonts w:ascii="Arial" w:hAnsi="Arial" w:cs="Arial"/>
                <w:color w:val="000000"/>
                <w:sz w:val="20"/>
                <w:szCs w:val="20"/>
              </w:rPr>
            </w:pPr>
            <w:r w:rsidRPr="008B0A7E">
              <w:rPr>
                <w:rFonts w:ascii="Arial" w:hAnsi="Arial" w:cs="Arial"/>
                <w:color w:val="000000"/>
                <w:sz w:val="20"/>
                <w:szCs w:val="20"/>
              </w:rPr>
              <w:t>38%</w:t>
            </w:r>
          </w:p>
        </w:tc>
        <w:tc>
          <w:tcPr>
            <w:tcW w:w="1470" w:type="dxa"/>
            <w:tcBorders>
              <w:top w:val="nil"/>
              <w:left w:val="single" w:sz="4" w:space="0" w:color="FF0000"/>
              <w:bottom w:val="single" w:sz="4" w:space="0" w:color="FF0000"/>
              <w:right w:val="single" w:sz="4" w:space="0" w:color="FF0000"/>
            </w:tcBorders>
            <w:shd w:val="clear" w:color="auto" w:fill="auto"/>
            <w:noWrap/>
            <w:hideMark/>
          </w:tcPr>
          <w:p w:rsidR="00563C30" w:rsidRPr="008B0A7E" w:rsidRDefault="00563C30" w:rsidP="00563C30">
            <w:pPr>
              <w:spacing w:after="0" w:line="240" w:lineRule="auto"/>
              <w:jc w:val="right"/>
              <w:rPr>
                <w:rFonts w:ascii="Arial" w:hAnsi="Arial" w:cs="Arial"/>
                <w:sz w:val="20"/>
                <w:szCs w:val="20"/>
              </w:rPr>
            </w:pPr>
            <w:r w:rsidRPr="008B0A7E">
              <w:rPr>
                <w:rFonts w:ascii="Arial" w:hAnsi="Arial" w:cs="Arial"/>
                <w:sz w:val="20"/>
                <w:szCs w:val="20"/>
              </w:rPr>
              <w:t>35%</w:t>
            </w:r>
          </w:p>
        </w:tc>
        <w:tc>
          <w:tcPr>
            <w:tcW w:w="3343" w:type="dxa"/>
            <w:tcBorders>
              <w:top w:val="nil"/>
              <w:left w:val="single" w:sz="4" w:space="0" w:color="FF0000"/>
              <w:bottom w:val="single" w:sz="4" w:space="0" w:color="FF0000"/>
              <w:right w:val="nil"/>
            </w:tcBorders>
            <w:shd w:val="clear" w:color="auto" w:fill="auto"/>
            <w:hideMark/>
          </w:tcPr>
          <w:p w:rsidR="00563C30" w:rsidRPr="008B0A7E" w:rsidRDefault="00563C30" w:rsidP="00563C30">
            <w:pPr>
              <w:spacing w:after="0" w:line="240" w:lineRule="auto"/>
              <w:rPr>
                <w:rFonts w:ascii="Arial" w:hAnsi="Arial" w:cs="Arial"/>
                <w:color w:val="000000"/>
                <w:sz w:val="20"/>
                <w:szCs w:val="20"/>
              </w:rPr>
            </w:pPr>
            <w:r w:rsidRPr="008B0A7E">
              <w:rPr>
                <w:rFonts w:ascii="Arial" w:hAnsi="Arial" w:cs="Arial"/>
                <w:color w:val="000000"/>
                <w:sz w:val="20"/>
                <w:szCs w:val="20"/>
              </w:rPr>
              <w:t>Negative trend</w:t>
            </w:r>
          </w:p>
        </w:tc>
      </w:tr>
      <w:tr w:rsidR="00563C30" w:rsidRPr="008B0A7E" w:rsidTr="00563C30">
        <w:tblPrEx>
          <w:shd w:val="clear" w:color="auto" w:fill="auto"/>
        </w:tblPrEx>
        <w:trPr>
          <w:trHeight w:val="510"/>
        </w:trPr>
        <w:tc>
          <w:tcPr>
            <w:tcW w:w="3828" w:type="dxa"/>
            <w:tcBorders>
              <w:top w:val="single" w:sz="4" w:space="0" w:color="FF0000"/>
              <w:left w:val="nil"/>
              <w:bottom w:val="single" w:sz="4" w:space="0" w:color="FF0000"/>
              <w:right w:val="single" w:sz="4" w:space="0" w:color="FF0000"/>
            </w:tcBorders>
            <w:shd w:val="clear" w:color="auto" w:fill="auto"/>
            <w:hideMark/>
          </w:tcPr>
          <w:p w:rsidR="00563C30" w:rsidRPr="008B0A7E" w:rsidRDefault="00563C30" w:rsidP="00563C30">
            <w:pPr>
              <w:spacing w:after="0" w:line="240" w:lineRule="auto"/>
              <w:rPr>
                <w:rFonts w:ascii="Arial" w:hAnsi="Arial" w:cs="Arial"/>
                <w:color w:val="000000"/>
                <w:sz w:val="20"/>
                <w:szCs w:val="20"/>
              </w:rPr>
            </w:pPr>
            <w:r w:rsidRPr="008B0A7E">
              <w:rPr>
                <w:rFonts w:ascii="Arial" w:hAnsi="Arial" w:cs="Arial"/>
                <w:color w:val="000000"/>
                <w:sz w:val="20"/>
                <w:szCs w:val="20"/>
              </w:rPr>
              <w:t>Residents’ perceptions that the transport system allows easy access to the city</w:t>
            </w:r>
          </w:p>
        </w:tc>
        <w:tc>
          <w:tcPr>
            <w:tcW w:w="1276" w:type="dxa"/>
            <w:tcBorders>
              <w:top w:val="single" w:sz="4" w:space="0" w:color="FF0000"/>
              <w:left w:val="single" w:sz="4" w:space="0" w:color="FF0000"/>
              <w:bottom w:val="single" w:sz="4" w:space="0" w:color="FF0000"/>
              <w:right w:val="single" w:sz="4" w:space="0" w:color="FF0000"/>
            </w:tcBorders>
            <w:shd w:val="clear" w:color="auto" w:fill="auto"/>
            <w:noWrap/>
            <w:hideMark/>
          </w:tcPr>
          <w:p w:rsidR="00563C30" w:rsidRPr="008B0A7E" w:rsidRDefault="00563C30" w:rsidP="00563C30">
            <w:pPr>
              <w:spacing w:after="0" w:line="240" w:lineRule="auto"/>
              <w:rPr>
                <w:rFonts w:ascii="Arial" w:hAnsi="Arial" w:cs="Arial"/>
                <w:color w:val="000000"/>
                <w:sz w:val="20"/>
                <w:szCs w:val="20"/>
              </w:rPr>
            </w:pPr>
            <w:r w:rsidRPr="008B0A7E">
              <w:rPr>
                <w:rFonts w:ascii="Arial" w:hAnsi="Arial" w:cs="Arial"/>
                <w:color w:val="000000"/>
                <w:sz w:val="20"/>
                <w:szCs w:val="20"/>
              </w:rPr>
              <w:t>Increasing</w:t>
            </w:r>
          </w:p>
        </w:tc>
        <w:tc>
          <w:tcPr>
            <w:tcW w:w="1276" w:type="dxa"/>
            <w:tcBorders>
              <w:top w:val="single" w:sz="4" w:space="0" w:color="FF0000"/>
              <w:left w:val="single" w:sz="4" w:space="0" w:color="FF0000"/>
              <w:bottom w:val="single" w:sz="4" w:space="0" w:color="FF0000"/>
              <w:right w:val="single" w:sz="4" w:space="0" w:color="FF0000"/>
            </w:tcBorders>
            <w:shd w:val="clear" w:color="auto" w:fill="auto"/>
            <w:noWrap/>
            <w:hideMark/>
          </w:tcPr>
          <w:p w:rsidR="00563C30" w:rsidRPr="008B0A7E" w:rsidRDefault="00563C30" w:rsidP="00563C30">
            <w:pPr>
              <w:spacing w:after="0" w:line="240" w:lineRule="auto"/>
              <w:rPr>
                <w:rFonts w:ascii="Arial" w:hAnsi="Arial" w:cs="Arial"/>
                <w:color w:val="000000"/>
                <w:sz w:val="20"/>
                <w:szCs w:val="20"/>
              </w:rPr>
            </w:pPr>
            <w:r w:rsidRPr="008B0A7E">
              <w:rPr>
                <w:rFonts w:ascii="Arial" w:hAnsi="Arial" w:cs="Arial"/>
                <w:color w:val="000000"/>
                <w:sz w:val="20"/>
                <w:szCs w:val="20"/>
              </w:rPr>
              <w:t>WCC RMS 2019</w:t>
            </w:r>
          </w:p>
        </w:tc>
        <w:tc>
          <w:tcPr>
            <w:tcW w:w="1756" w:type="dxa"/>
            <w:tcBorders>
              <w:top w:val="single" w:sz="4" w:space="0" w:color="FF0000"/>
              <w:left w:val="single" w:sz="4" w:space="0" w:color="FF0000"/>
              <w:bottom w:val="single" w:sz="4" w:space="0" w:color="FF0000"/>
              <w:right w:val="single" w:sz="4" w:space="0" w:color="FF0000"/>
            </w:tcBorders>
            <w:shd w:val="clear" w:color="auto" w:fill="auto"/>
            <w:hideMark/>
          </w:tcPr>
          <w:p w:rsidR="00563C30" w:rsidRPr="008B0A7E" w:rsidRDefault="00563C30" w:rsidP="00563C30">
            <w:pPr>
              <w:spacing w:after="0" w:line="240" w:lineRule="auto"/>
              <w:jc w:val="right"/>
              <w:rPr>
                <w:rFonts w:ascii="Arial" w:hAnsi="Arial" w:cs="Arial"/>
                <w:color w:val="000000"/>
                <w:sz w:val="20"/>
                <w:szCs w:val="20"/>
              </w:rPr>
            </w:pPr>
            <w:r w:rsidRPr="008B0A7E">
              <w:rPr>
                <w:rFonts w:ascii="Arial" w:hAnsi="Arial" w:cs="Arial"/>
                <w:color w:val="000000"/>
                <w:sz w:val="20"/>
                <w:szCs w:val="20"/>
              </w:rPr>
              <w:t>62%</w:t>
            </w:r>
          </w:p>
        </w:tc>
        <w:tc>
          <w:tcPr>
            <w:tcW w:w="1652" w:type="dxa"/>
            <w:gridSpan w:val="3"/>
            <w:tcBorders>
              <w:top w:val="single" w:sz="4" w:space="0" w:color="FF0000"/>
              <w:left w:val="single" w:sz="4" w:space="0" w:color="FF0000"/>
              <w:bottom w:val="single" w:sz="4" w:space="0" w:color="FF0000"/>
              <w:right w:val="single" w:sz="4" w:space="0" w:color="FF0000"/>
            </w:tcBorders>
            <w:shd w:val="clear" w:color="auto" w:fill="auto"/>
            <w:hideMark/>
          </w:tcPr>
          <w:p w:rsidR="00563C30" w:rsidRPr="008B0A7E" w:rsidRDefault="00563C30" w:rsidP="00563C30">
            <w:pPr>
              <w:spacing w:after="0" w:line="240" w:lineRule="auto"/>
              <w:jc w:val="right"/>
              <w:rPr>
                <w:rFonts w:ascii="Arial" w:hAnsi="Arial" w:cs="Arial"/>
                <w:color w:val="000000"/>
                <w:sz w:val="20"/>
                <w:szCs w:val="20"/>
              </w:rPr>
            </w:pPr>
            <w:r w:rsidRPr="008B0A7E">
              <w:rPr>
                <w:rFonts w:ascii="Arial" w:hAnsi="Arial" w:cs="Arial"/>
                <w:color w:val="000000"/>
                <w:sz w:val="20"/>
                <w:szCs w:val="20"/>
              </w:rPr>
              <w:t>64%</w:t>
            </w:r>
          </w:p>
        </w:tc>
        <w:tc>
          <w:tcPr>
            <w:tcW w:w="1470" w:type="dxa"/>
            <w:tcBorders>
              <w:top w:val="single" w:sz="4" w:space="0" w:color="FF0000"/>
              <w:left w:val="single" w:sz="4" w:space="0" w:color="FF0000"/>
              <w:bottom w:val="single" w:sz="4" w:space="0" w:color="FF0000"/>
              <w:right w:val="single" w:sz="4" w:space="0" w:color="FF0000"/>
            </w:tcBorders>
            <w:shd w:val="clear" w:color="auto" w:fill="auto"/>
            <w:hideMark/>
          </w:tcPr>
          <w:p w:rsidR="00563C30" w:rsidRPr="008B0A7E" w:rsidRDefault="00563C30" w:rsidP="00563C30">
            <w:pPr>
              <w:spacing w:after="0" w:line="240" w:lineRule="auto"/>
              <w:jc w:val="right"/>
              <w:rPr>
                <w:rFonts w:ascii="Arial" w:hAnsi="Arial" w:cs="Arial"/>
                <w:color w:val="000000"/>
                <w:sz w:val="20"/>
                <w:szCs w:val="20"/>
              </w:rPr>
            </w:pPr>
            <w:r w:rsidRPr="008B0A7E">
              <w:rPr>
                <w:rFonts w:ascii="Arial" w:hAnsi="Arial" w:cs="Arial"/>
                <w:color w:val="000000"/>
                <w:sz w:val="20"/>
                <w:szCs w:val="20"/>
              </w:rPr>
              <w:t>37%</w:t>
            </w:r>
          </w:p>
        </w:tc>
        <w:tc>
          <w:tcPr>
            <w:tcW w:w="3343" w:type="dxa"/>
            <w:tcBorders>
              <w:top w:val="single" w:sz="4" w:space="0" w:color="FF0000"/>
              <w:left w:val="single" w:sz="4" w:space="0" w:color="FF0000"/>
              <w:bottom w:val="single" w:sz="4" w:space="0" w:color="FF0000"/>
              <w:right w:val="nil"/>
            </w:tcBorders>
            <w:shd w:val="clear" w:color="auto" w:fill="auto"/>
            <w:hideMark/>
          </w:tcPr>
          <w:p w:rsidR="00563C30" w:rsidRDefault="00563C30" w:rsidP="00563C30">
            <w:pPr>
              <w:spacing w:after="0" w:line="240" w:lineRule="auto"/>
              <w:rPr>
                <w:rFonts w:ascii="Arial" w:hAnsi="Arial" w:cs="Arial"/>
                <w:color w:val="000000"/>
                <w:sz w:val="20"/>
                <w:szCs w:val="20"/>
              </w:rPr>
            </w:pPr>
            <w:r w:rsidRPr="008B0A7E">
              <w:rPr>
                <w:rFonts w:ascii="Arial" w:hAnsi="Arial" w:cs="Arial"/>
                <w:color w:val="000000"/>
                <w:sz w:val="20"/>
                <w:szCs w:val="20"/>
              </w:rPr>
              <w:t>Negative trend</w:t>
            </w:r>
            <w:r w:rsidR="00060BB3">
              <w:rPr>
                <w:rFonts w:ascii="Arial" w:hAnsi="Arial" w:cs="Arial"/>
                <w:color w:val="000000"/>
                <w:sz w:val="20"/>
                <w:szCs w:val="20"/>
              </w:rPr>
              <w:t>.</w:t>
            </w:r>
            <w:r w:rsidR="003E3342">
              <w:rPr>
                <w:rFonts w:ascii="Arial" w:hAnsi="Arial" w:cs="Arial"/>
                <w:color w:val="000000"/>
                <w:sz w:val="20"/>
                <w:szCs w:val="20"/>
              </w:rPr>
              <w:t xml:space="preserve"> Refer supplementary tables.</w:t>
            </w:r>
          </w:p>
          <w:p w:rsidR="003E3342" w:rsidRPr="008B0A7E" w:rsidRDefault="003E3342" w:rsidP="00563C30">
            <w:pPr>
              <w:spacing w:after="0" w:line="240" w:lineRule="auto"/>
              <w:rPr>
                <w:rFonts w:ascii="Arial" w:hAnsi="Arial" w:cs="Arial"/>
                <w:color w:val="000000"/>
                <w:sz w:val="20"/>
                <w:szCs w:val="20"/>
              </w:rPr>
            </w:pPr>
            <w:r>
              <w:rPr>
                <w:rFonts w:ascii="Arial" w:hAnsi="Arial" w:cs="Arial"/>
                <w:color w:val="000000"/>
                <w:sz w:val="20"/>
                <w:szCs w:val="20"/>
              </w:rPr>
              <w:t>There has been a strong movement from strongly agree to strongly disagree from the previous year, predominately due to comments around bus services provided by GWRC.</w:t>
            </w:r>
          </w:p>
        </w:tc>
      </w:tr>
      <w:tr w:rsidR="00563C30" w:rsidRPr="008B0A7E" w:rsidTr="00563C30">
        <w:tblPrEx>
          <w:shd w:val="clear" w:color="auto" w:fill="auto"/>
        </w:tblPrEx>
        <w:trPr>
          <w:trHeight w:val="765"/>
        </w:trPr>
        <w:tc>
          <w:tcPr>
            <w:tcW w:w="3828" w:type="dxa"/>
            <w:tcBorders>
              <w:top w:val="single" w:sz="4" w:space="0" w:color="FF0000"/>
              <w:left w:val="nil"/>
              <w:bottom w:val="single" w:sz="4" w:space="0" w:color="FF0000"/>
              <w:right w:val="single" w:sz="4" w:space="0" w:color="FF0000"/>
            </w:tcBorders>
            <w:shd w:val="clear" w:color="auto" w:fill="auto"/>
            <w:hideMark/>
          </w:tcPr>
          <w:p w:rsidR="00563C30" w:rsidRPr="008B0A7E" w:rsidRDefault="00563C30" w:rsidP="00563C30">
            <w:pPr>
              <w:spacing w:after="0" w:line="240" w:lineRule="auto"/>
              <w:rPr>
                <w:rFonts w:ascii="Arial" w:hAnsi="Arial" w:cs="Arial"/>
                <w:color w:val="000000"/>
                <w:sz w:val="20"/>
                <w:szCs w:val="20"/>
              </w:rPr>
            </w:pPr>
            <w:r w:rsidRPr="008B0A7E">
              <w:rPr>
                <w:rFonts w:ascii="Arial" w:hAnsi="Arial" w:cs="Arial"/>
                <w:color w:val="000000"/>
                <w:sz w:val="20"/>
                <w:szCs w:val="20"/>
              </w:rPr>
              <w:t>Residents (%) who agree the transport system allows easy movement around the city – vehicle users and pedestrians</w:t>
            </w:r>
          </w:p>
        </w:tc>
        <w:tc>
          <w:tcPr>
            <w:tcW w:w="1276" w:type="dxa"/>
            <w:tcBorders>
              <w:top w:val="single" w:sz="4" w:space="0" w:color="FF0000"/>
              <w:left w:val="single" w:sz="4" w:space="0" w:color="FF0000"/>
              <w:bottom w:val="single" w:sz="4" w:space="0" w:color="FF0000"/>
              <w:right w:val="single" w:sz="4" w:space="0" w:color="FF0000"/>
            </w:tcBorders>
            <w:shd w:val="clear" w:color="auto" w:fill="auto"/>
            <w:noWrap/>
            <w:hideMark/>
          </w:tcPr>
          <w:p w:rsidR="00563C30" w:rsidRPr="008B0A7E" w:rsidRDefault="00563C30" w:rsidP="00563C30">
            <w:pPr>
              <w:spacing w:after="0" w:line="240" w:lineRule="auto"/>
              <w:rPr>
                <w:rFonts w:ascii="Arial" w:hAnsi="Arial" w:cs="Arial"/>
                <w:color w:val="000000"/>
                <w:sz w:val="20"/>
                <w:szCs w:val="20"/>
              </w:rPr>
            </w:pPr>
            <w:r w:rsidRPr="008B0A7E">
              <w:rPr>
                <w:rFonts w:ascii="Arial" w:hAnsi="Arial" w:cs="Arial"/>
                <w:color w:val="000000"/>
                <w:sz w:val="20"/>
                <w:szCs w:val="20"/>
              </w:rPr>
              <w:t>Increasing</w:t>
            </w:r>
          </w:p>
        </w:tc>
        <w:tc>
          <w:tcPr>
            <w:tcW w:w="1276" w:type="dxa"/>
            <w:tcBorders>
              <w:top w:val="single" w:sz="4" w:space="0" w:color="FF0000"/>
              <w:left w:val="single" w:sz="4" w:space="0" w:color="FF0000"/>
              <w:bottom w:val="single" w:sz="4" w:space="0" w:color="FF0000"/>
              <w:right w:val="single" w:sz="4" w:space="0" w:color="FF0000"/>
            </w:tcBorders>
            <w:shd w:val="clear" w:color="auto" w:fill="auto"/>
            <w:noWrap/>
            <w:hideMark/>
          </w:tcPr>
          <w:p w:rsidR="00563C30" w:rsidRPr="008B0A7E" w:rsidRDefault="00563C30" w:rsidP="00563C30">
            <w:pPr>
              <w:spacing w:after="0" w:line="240" w:lineRule="auto"/>
              <w:rPr>
                <w:rFonts w:ascii="Arial" w:hAnsi="Arial" w:cs="Arial"/>
                <w:color w:val="000000"/>
                <w:sz w:val="20"/>
                <w:szCs w:val="20"/>
              </w:rPr>
            </w:pPr>
            <w:r w:rsidRPr="008B0A7E">
              <w:rPr>
                <w:rFonts w:ascii="Arial" w:hAnsi="Arial" w:cs="Arial"/>
                <w:color w:val="000000"/>
                <w:sz w:val="20"/>
                <w:szCs w:val="20"/>
              </w:rPr>
              <w:t>WCC RMS 2019</w:t>
            </w:r>
          </w:p>
        </w:tc>
        <w:tc>
          <w:tcPr>
            <w:tcW w:w="1756" w:type="dxa"/>
            <w:tcBorders>
              <w:top w:val="single" w:sz="4" w:space="0" w:color="FF0000"/>
              <w:left w:val="single" w:sz="4" w:space="0" w:color="FF0000"/>
              <w:bottom w:val="single" w:sz="4" w:space="0" w:color="FF0000"/>
              <w:right w:val="single" w:sz="4" w:space="0" w:color="FF0000"/>
            </w:tcBorders>
            <w:shd w:val="clear" w:color="auto" w:fill="FFFFFF" w:themeFill="background1"/>
            <w:hideMark/>
          </w:tcPr>
          <w:p w:rsidR="00563C30" w:rsidRPr="008B0A7E" w:rsidRDefault="00563C30" w:rsidP="00563C30">
            <w:pPr>
              <w:spacing w:after="0" w:line="240" w:lineRule="auto"/>
              <w:jc w:val="right"/>
              <w:rPr>
                <w:rFonts w:ascii="Arial" w:hAnsi="Arial" w:cs="Arial"/>
                <w:color w:val="000000"/>
                <w:sz w:val="20"/>
                <w:szCs w:val="20"/>
              </w:rPr>
            </w:pPr>
            <w:r w:rsidRPr="008B0A7E">
              <w:rPr>
                <w:rFonts w:ascii="Arial" w:hAnsi="Arial" w:cs="Arial"/>
                <w:color w:val="000000"/>
                <w:sz w:val="20"/>
                <w:szCs w:val="20"/>
              </w:rPr>
              <w:t>Easy to: Cycle (37%) </w:t>
            </w:r>
          </w:p>
        </w:tc>
        <w:tc>
          <w:tcPr>
            <w:tcW w:w="1652" w:type="dxa"/>
            <w:gridSpan w:val="3"/>
            <w:tcBorders>
              <w:top w:val="single" w:sz="4" w:space="0" w:color="FF0000"/>
              <w:left w:val="single" w:sz="4" w:space="0" w:color="FF0000"/>
              <w:bottom w:val="single" w:sz="4" w:space="0" w:color="FF0000"/>
              <w:right w:val="single" w:sz="4" w:space="0" w:color="FF0000"/>
            </w:tcBorders>
            <w:shd w:val="clear" w:color="auto" w:fill="FFFFFF" w:themeFill="background1"/>
            <w:hideMark/>
          </w:tcPr>
          <w:p w:rsidR="00563C30" w:rsidRPr="008B0A7E" w:rsidRDefault="00563C30" w:rsidP="00563C30">
            <w:pPr>
              <w:spacing w:after="0" w:line="240" w:lineRule="auto"/>
              <w:jc w:val="right"/>
              <w:rPr>
                <w:rFonts w:ascii="Arial" w:hAnsi="Arial" w:cs="Arial"/>
                <w:color w:val="000000"/>
                <w:sz w:val="20"/>
                <w:szCs w:val="20"/>
              </w:rPr>
            </w:pPr>
            <w:r w:rsidRPr="008B0A7E">
              <w:rPr>
                <w:rFonts w:ascii="Arial" w:hAnsi="Arial" w:cs="Arial"/>
                <w:color w:val="000000"/>
                <w:sz w:val="20"/>
                <w:szCs w:val="20"/>
              </w:rPr>
              <w:t>Easy to: Cycle (31%) </w:t>
            </w:r>
          </w:p>
        </w:tc>
        <w:tc>
          <w:tcPr>
            <w:tcW w:w="1470" w:type="dxa"/>
            <w:tcBorders>
              <w:top w:val="single" w:sz="4" w:space="0" w:color="FF0000"/>
              <w:left w:val="single" w:sz="4" w:space="0" w:color="FF0000"/>
              <w:bottom w:val="single" w:sz="4" w:space="0" w:color="FF0000"/>
              <w:right w:val="single" w:sz="4" w:space="0" w:color="FF0000"/>
            </w:tcBorders>
            <w:shd w:val="clear" w:color="auto" w:fill="auto"/>
            <w:hideMark/>
          </w:tcPr>
          <w:p w:rsidR="00563C30" w:rsidRPr="008B0A7E" w:rsidRDefault="00563C30" w:rsidP="00563C30">
            <w:pPr>
              <w:spacing w:after="0" w:line="240" w:lineRule="auto"/>
              <w:jc w:val="right"/>
              <w:rPr>
                <w:rFonts w:ascii="Arial" w:hAnsi="Arial" w:cs="Arial"/>
                <w:color w:val="000000"/>
                <w:sz w:val="20"/>
                <w:szCs w:val="20"/>
              </w:rPr>
            </w:pPr>
            <w:r w:rsidRPr="008B0A7E">
              <w:rPr>
                <w:rFonts w:ascii="Arial" w:hAnsi="Arial" w:cs="Arial"/>
                <w:color w:val="000000"/>
                <w:sz w:val="20"/>
                <w:szCs w:val="20"/>
              </w:rPr>
              <w:t>Easy to: Drive (39%); Cycle (29%); Walk (93%); Public Transport (44%)</w:t>
            </w:r>
          </w:p>
        </w:tc>
        <w:tc>
          <w:tcPr>
            <w:tcW w:w="3343" w:type="dxa"/>
            <w:tcBorders>
              <w:top w:val="single" w:sz="4" w:space="0" w:color="FF0000"/>
              <w:left w:val="single" w:sz="4" w:space="0" w:color="FF0000"/>
              <w:bottom w:val="single" w:sz="4" w:space="0" w:color="FF0000"/>
              <w:right w:val="nil"/>
            </w:tcBorders>
            <w:shd w:val="clear" w:color="auto" w:fill="auto"/>
            <w:hideMark/>
          </w:tcPr>
          <w:p w:rsidR="00563C30" w:rsidRPr="008B0A7E" w:rsidRDefault="00563C30" w:rsidP="00563C30">
            <w:pPr>
              <w:spacing w:after="0" w:line="240" w:lineRule="auto"/>
              <w:rPr>
                <w:rFonts w:ascii="Arial" w:hAnsi="Arial" w:cs="Arial"/>
                <w:color w:val="000000"/>
                <w:sz w:val="20"/>
                <w:szCs w:val="20"/>
              </w:rPr>
            </w:pPr>
            <w:r w:rsidRPr="008B0A7E">
              <w:rPr>
                <w:rFonts w:ascii="Arial" w:hAnsi="Arial" w:cs="Arial"/>
                <w:color w:val="000000"/>
                <w:sz w:val="20"/>
                <w:szCs w:val="20"/>
              </w:rPr>
              <w:t xml:space="preserve">Negative trend: more people driving. </w:t>
            </w:r>
            <w:r w:rsidR="0028798A">
              <w:rPr>
                <w:rFonts w:cstheme="minorHAnsi"/>
                <w:color w:val="000000"/>
                <w:sz w:val="20"/>
                <w:szCs w:val="20"/>
              </w:rPr>
              <w:t>See supplementary tables</w:t>
            </w:r>
          </w:p>
        </w:tc>
      </w:tr>
      <w:tr w:rsidR="00563C30" w:rsidRPr="008B0A7E" w:rsidTr="00563C30">
        <w:tblPrEx>
          <w:shd w:val="clear" w:color="auto" w:fill="auto"/>
        </w:tblPrEx>
        <w:trPr>
          <w:trHeight w:val="765"/>
        </w:trPr>
        <w:tc>
          <w:tcPr>
            <w:tcW w:w="3828" w:type="dxa"/>
            <w:tcBorders>
              <w:top w:val="single" w:sz="4" w:space="0" w:color="FF0000"/>
              <w:left w:val="nil"/>
              <w:bottom w:val="single" w:sz="4" w:space="0" w:color="FF0000"/>
              <w:right w:val="single" w:sz="4" w:space="0" w:color="FF0000"/>
            </w:tcBorders>
            <w:shd w:val="clear" w:color="auto" w:fill="auto"/>
            <w:hideMark/>
          </w:tcPr>
          <w:p w:rsidR="00563C30" w:rsidRPr="008B0A7E" w:rsidRDefault="00563C30" w:rsidP="00563C30">
            <w:pPr>
              <w:spacing w:after="0" w:line="240" w:lineRule="auto"/>
              <w:rPr>
                <w:rFonts w:ascii="Arial" w:hAnsi="Arial" w:cs="Arial"/>
                <w:color w:val="000000"/>
                <w:sz w:val="20"/>
                <w:szCs w:val="20"/>
              </w:rPr>
            </w:pPr>
            <w:r w:rsidRPr="008B0A7E">
              <w:rPr>
                <w:rFonts w:ascii="Arial" w:hAnsi="Arial" w:cs="Arial"/>
                <w:color w:val="000000"/>
                <w:sz w:val="20"/>
                <w:szCs w:val="20"/>
              </w:rPr>
              <w:t>Mode of resident travel – daily commute car</w:t>
            </w:r>
          </w:p>
        </w:tc>
        <w:tc>
          <w:tcPr>
            <w:tcW w:w="1276" w:type="dxa"/>
            <w:tcBorders>
              <w:top w:val="single" w:sz="4" w:space="0" w:color="FF0000"/>
              <w:left w:val="single" w:sz="4" w:space="0" w:color="FF0000"/>
              <w:bottom w:val="single" w:sz="4" w:space="0" w:color="FF0000"/>
              <w:right w:val="single" w:sz="4" w:space="0" w:color="FF0000"/>
            </w:tcBorders>
            <w:shd w:val="clear" w:color="auto" w:fill="auto"/>
            <w:hideMark/>
          </w:tcPr>
          <w:p w:rsidR="00563C30" w:rsidRPr="008B0A7E" w:rsidRDefault="00563C30" w:rsidP="00563C30">
            <w:pPr>
              <w:spacing w:after="0" w:line="240" w:lineRule="auto"/>
              <w:rPr>
                <w:rFonts w:ascii="Arial" w:hAnsi="Arial" w:cs="Arial"/>
                <w:color w:val="000000"/>
                <w:sz w:val="20"/>
                <w:szCs w:val="20"/>
              </w:rPr>
            </w:pPr>
            <w:r w:rsidRPr="008B0A7E">
              <w:rPr>
                <w:rFonts w:ascii="Arial" w:hAnsi="Arial" w:cs="Arial"/>
                <w:color w:val="000000"/>
                <w:sz w:val="20"/>
                <w:szCs w:val="20"/>
              </w:rPr>
              <w:t>Commute by car — decreasing</w:t>
            </w:r>
          </w:p>
        </w:tc>
        <w:tc>
          <w:tcPr>
            <w:tcW w:w="1276" w:type="dxa"/>
            <w:tcBorders>
              <w:top w:val="single" w:sz="4" w:space="0" w:color="FF0000"/>
              <w:left w:val="single" w:sz="4" w:space="0" w:color="FF0000"/>
              <w:bottom w:val="single" w:sz="4" w:space="0" w:color="FF0000"/>
              <w:right w:val="single" w:sz="4" w:space="0" w:color="FF0000"/>
            </w:tcBorders>
            <w:shd w:val="clear" w:color="auto" w:fill="auto"/>
            <w:noWrap/>
            <w:hideMark/>
          </w:tcPr>
          <w:p w:rsidR="00563C30" w:rsidRPr="008B0A7E" w:rsidRDefault="00563C30" w:rsidP="00563C30">
            <w:pPr>
              <w:spacing w:after="0" w:line="240" w:lineRule="auto"/>
              <w:rPr>
                <w:rFonts w:ascii="Arial" w:hAnsi="Arial" w:cs="Arial"/>
                <w:color w:val="000000"/>
                <w:sz w:val="20"/>
                <w:szCs w:val="20"/>
              </w:rPr>
            </w:pPr>
            <w:r w:rsidRPr="008B0A7E">
              <w:rPr>
                <w:rFonts w:ascii="Arial" w:hAnsi="Arial" w:cs="Arial"/>
                <w:color w:val="000000"/>
                <w:sz w:val="20"/>
                <w:szCs w:val="20"/>
              </w:rPr>
              <w:t>WCC RMS 2019</w:t>
            </w:r>
          </w:p>
        </w:tc>
        <w:tc>
          <w:tcPr>
            <w:tcW w:w="1756" w:type="dxa"/>
            <w:tcBorders>
              <w:top w:val="single" w:sz="4" w:space="0" w:color="FF0000"/>
              <w:left w:val="single" w:sz="4" w:space="0" w:color="FF0000"/>
              <w:bottom w:val="single" w:sz="4" w:space="0" w:color="FF0000"/>
              <w:right w:val="single" w:sz="4" w:space="0" w:color="FF0000"/>
            </w:tcBorders>
            <w:shd w:val="clear" w:color="auto" w:fill="auto"/>
            <w:hideMark/>
          </w:tcPr>
          <w:p w:rsidR="00563C30" w:rsidRPr="008B0A7E" w:rsidRDefault="00563C30" w:rsidP="00563C30">
            <w:pPr>
              <w:spacing w:after="0" w:line="240" w:lineRule="auto"/>
              <w:jc w:val="right"/>
              <w:rPr>
                <w:rFonts w:ascii="Arial" w:hAnsi="Arial" w:cs="Arial"/>
                <w:color w:val="000000"/>
                <w:sz w:val="20"/>
                <w:szCs w:val="20"/>
              </w:rPr>
            </w:pPr>
            <w:r w:rsidRPr="008B0A7E">
              <w:rPr>
                <w:rFonts w:ascii="Arial" w:hAnsi="Arial" w:cs="Arial"/>
                <w:color w:val="000000"/>
                <w:sz w:val="20"/>
                <w:szCs w:val="20"/>
              </w:rPr>
              <w:t>Car: 27%</w:t>
            </w:r>
          </w:p>
        </w:tc>
        <w:tc>
          <w:tcPr>
            <w:tcW w:w="1652" w:type="dxa"/>
            <w:gridSpan w:val="3"/>
            <w:tcBorders>
              <w:top w:val="single" w:sz="4" w:space="0" w:color="FF0000"/>
              <w:left w:val="single" w:sz="4" w:space="0" w:color="FF0000"/>
              <w:bottom w:val="single" w:sz="4" w:space="0" w:color="FF0000"/>
              <w:right w:val="single" w:sz="4" w:space="0" w:color="FF0000"/>
            </w:tcBorders>
            <w:shd w:val="clear" w:color="auto" w:fill="auto"/>
            <w:hideMark/>
          </w:tcPr>
          <w:p w:rsidR="00563C30" w:rsidRPr="008B0A7E" w:rsidRDefault="00563C30" w:rsidP="00563C30">
            <w:pPr>
              <w:spacing w:after="0" w:line="240" w:lineRule="auto"/>
              <w:jc w:val="right"/>
              <w:rPr>
                <w:rFonts w:ascii="Arial" w:hAnsi="Arial" w:cs="Arial"/>
                <w:color w:val="000000"/>
                <w:sz w:val="20"/>
                <w:szCs w:val="20"/>
              </w:rPr>
            </w:pPr>
            <w:r w:rsidRPr="008B0A7E">
              <w:rPr>
                <w:rFonts w:ascii="Arial" w:hAnsi="Arial" w:cs="Arial"/>
                <w:color w:val="000000"/>
                <w:sz w:val="20"/>
                <w:szCs w:val="20"/>
              </w:rPr>
              <w:t>Car: 25%</w:t>
            </w:r>
          </w:p>
        </w:tc>
        <w:tc>
          <w:tcPr>
            <w:tcW w:w="1470" w:type="dxa"/>
            <w:tcBorders>
              <w:top w:val="single" w:sz="4" w:space="0" w:color="FF0000"/>
              <w:left w:val="single" w:sz="4" w:space="0" w:color="FF0000"/>
              <w:bottom w:val="single" w:sz="4" w:space="0" w:color="FF0000"/>
              <w:right w:val="single" w:sz="4" w:space="0" w:color="FF0000"/>
            </w:tcBorders>
            <w:shd w:val="clear" w:color="auto" w:fill="auto"/>
            <w:hideMark/>
          </w:tcPr>
          <w:p w:rsidR="00563C30" w:rsidRPr="008B0A7E" w:rsidRDefault="00563C30" w:rsidP="00563C30">
            <w:pPr>
              <w:spacing w:after="0" w:line="240" w:lineRule="auto"/>
              <w:jc w:val="right"/>
              <w:rPr>
                <w:rFonts w:ascii="Arial" w:hAnsi="Arial" w:cs="Arial"/>
                <w:color w:val="000000"/>
                <w:sz w:val="20"/>
                <w:szCs w:val="20"/>
              </w:rPr>
            </w:pPr>
            <w:r w:rsidRPr="008B0A7E">
              <w:rPr>
                <w:rFonts w:ascii="Arial" w:hAnsi="Arial" w:cs="Arial"/>
                <w:color w:val="000000"/>
                <w:sz w:val="20"/>
                <w:szCs w:val="20"/>
              </w:rPr>
              <w:t>Car: 30%</w:t>
            </w:r>
          </w:p>
        </w:tc>
        <w:tc>
          <w:tcPr>
            <w:tcW w:w="3343" w:type="dxa"/>
            <w:tcBorders>
              <w:top w:val="single" w:sz="4" w:space="0" w:color="FF0000"/>
              <w:left w:val="single" w:sz="4" w:space="0" w:color="FF0000"/>
              <w:bottom w:val="single" w:sz="4" w:space="0" w:color="FF0000"/>
              <w:right w:val="nil"/>
            </w:tcBorders>
            <w:shd w:val="clear" w:color="auto" w:fill="auto"/>
            <w:hideMark/>
          </w:tcPr>
          <w:p w:rsidR="00563C30" w:rsidRPr="008B0A7E" w:rsidRDefault="00060BB3" w:rsidP="00563C30">
            <w:pPr>
              <w:spacing w:after="0" w:line="240" w:lineRule="auto"/>
              <w:rPr>
                <w:rFonts w:ascii="Arial" w:hAnsi="Arial" w:cs="Arial"/>
                <w:color w:val="000000"/>
                <w:sz w:val="20"/>
                <w:szCs w:val="20"/>
              </w:rPr>
            </w:pPr>
            <w:r>
              <w:rPr>
                <w:rFonts w:cstheme="minorHAnsi"/>
                <w:color w:val="000000"/>
                <w:sz w:val="20"/>
                <w:szCs w:val="20"/>
              </w:rPr>
              <w:t xml:space="preserve">No trend. </w:t>
            </w:r>
            <w:r w:rsidR="0028798A">
              <w:rPr>
                <w:rFonts w:cstheme="minorHAnsi"/>
                <w:color w:val="000000"/>
                <w:sz w:val="20"/>
                <w:szCs w:val="20"/>
              </w:rPr>
              <w:t>See supplementary tables</w:t>
            </w:r>
          </w:p>
        </w:tc>
      </w:tr>
      <w:tr w:rsidR="00563C30" w:rsidRPr="008B0A7E" w:rsidTr="00563C30">
        <w:tblPrEx>
          <w:shd w:val="clear" w:color="auto" w:fill="auto"/>
        </w:tblPrEx>
        <w:trPr>
          <w:trHeight w:val="765"/>
        </w:trPr>
        <w:tc>
          <w:tcPr>
            <w:tcW w:w="3828" w:type="dxa"/>
            <w:tcBorders>
              <w:top w:val="single" w:sz="4" w:space="0" w:color="FF0000"/>
              <w:left w:val="nil"/>
              <w:bottom w:val="nil"/>
              <w:right w:val="single" w:sz="4" w:space="0" w:color="FF0000"/>
            </w:tcBorders>
            <w:shd w:val="clear" w:color="auto" w:fill="auto"/>
            <w:hideMark/>
          </w:tcPr>
          <w:p w:rsidR="00563C30" w:rsidRPr="008B0A7E" w:rsidRDefault="00563C30" w:rsidP="00563C30">
            <w:pPr>
              <w:spacing w:after="0" w:line="240" w:lineRule="auto"/>
              <w:rPr>
                <w:rFonts w:ascii="Arial" w:hAnsi="Arial" w:cs="Arial"/>
                <w:color w:val="000000"/>
                <w:sz w:val="20"/>
                <w:szCs w:val="20"/>
              </w:rPr>
            </w:pPr>
            <w:r w:rsidRPr="008B0A7E">
              <w:rPr>
                <w:rFonts w:ascii="Arial" w:hAnsi="Arial" w:cs="Arial"/>
                <w:color w:val="000000"/>
                <w:sz w:val="20"/>
                <w:szCs w:val="20"/>
              </w:rPr>
              <w:t>Mode of resident travel – daily commute (motorbike, bus, train, bicycle, walk, scooter)</w:t>
            </w:r>
          </w:p>
        </w:tc>
        <w:tc>
          <w:tcPr>
            <w:tcW w:w="1276" w:type="dxa"/>
            <w:tcBorders>
              <w:top w:val="single" w:sz="4" w:space="0" w:color="FF0000"/>
              <w:left w:val="single" w:sz="4" w:space="0" w:color="FF0000"/>
              <w:bottom w:val="nil"/>
              <w:right w:val="single" w:sz="4" w:space="0" w:color="FF0000"/>
            </w:tcBorders>
            <w:shd w:val="clear" w:color="auto" w:fill="auto"/>
            <w:hideMark/>
          </w:tcPr>
          <w:p w:rsidR="00563C30" w:rsidRPr="008B0A7E" w:rsidRDefault="00563C30" w:rsidP="00563C30">
            <w:pPr>
              <w:spacing w:after="0" w:line="240" w:lineRule="auto"/>
              <w:rPr>
                <w:rFonts w:ascii="Arial" w:hAnsi="Arial" w:cs="Arial"/>
                <w:color w:val="000000"/>
                <w:sz w:val="20"/>
                <w:szCs w:val="20"/>
              </w:rPr>
            </w:pPr>
            <w:r w:rsidRPr="008B0A7E">
              <w:rPr>
                <w:rFonts w:ascii="Arial" w:hAnsi="Arial" w:cs="Arial"/>
                <w:color w:val="000000"/>
                <w:sz w:val="20"/>
                <w:szCs w:val="20"/>
              </w:rPr>
              <w:t>Commute by other modes – increasing</w:t>
            </w:r>
          </w:p>
        </w:tc>
        <w:tc>
          <w:tcPr>
            <w:tcW w:w="1276" w:type="dxa"/>
            <w:tcBorders>
              <w:top w:val="single" w:sz="4" w:space="0" w:color="FF0000"/>
              <w:left w:val="single" w:sz="4" w:space="0" w:color="FF0000"/>
              <w:bottom w:val="nil"/>
              <w:right w:val="single" w:sz="4" w:space="0" w:color="FF0000"/>
            </w:tcBorders>
            <w:shd w:val="clear" w:color="auto" w:fill="auto"/>
            <w:noWrap/>
            <w:hideMark/>
          </w:tcPr>
          <w:p w:rsidR="00563C30" w:rsidRPr="008B0A7E" w:rsidRDefault="00563C30" w:rsidP="00563C30">
            <w:pPr>
              <w:spacing w:after="0" w:line="240" w:lineRule="auto"/>
              <w:rPr>
                <w:rFonts w:ascii="Arial" w:hAnsi="Arial" w:cs="Arial"/>
                <w:color w:val="000000"/>
                <w:sz w:val="20"/>
                <w:szCs w:val="20"/>
              </w:rPr>
            </w:pPr>
            <w:r w:rsidRPr="008B0A7E">
              <w:rPr>
                <w:rFonts w:ascii="Arial" w:hAnsi="Arial" w:cs="Arial"/>
                <w:color w:val="000000"/>
                <w:sz w:val="20"/>
                <w:szCs w:val="20"/>
              </w:rPr>
              <w:t>WCC RMS 2019</w:t>
            </w:r>
          </w:p>
        </w:tc>
        <w:tc>
          <w:tcPr>
            <w:tcW w:w="1756" w:type="dxa"/>
            <w:tcBorders>
              <w:top w:val="single" w:sz="4" w:space="0" w:color="FF0000"/>
              <w:left w:val="single" w:sz="4" w:space="0" w:color="FF0000"/>
              <w:bottom w:val="nil"/>
              <w:right w:val="single" w:sz="4" w:space="0" w:color="FF0000"/>
            </w:tcBorders>
            <w:shd w:val="clear" w:color="auto" w:fill="auto"/>
            <w:hideMark/>
          </w:tcPr>
          <w:p w:rsidR="00563C30" w:rsidRPr="008B0A7E" w:rsidRDefault="00563C30" w:rsidP="00563C30">
            <w:pPr>
              <w:spacing w:after="0" w:line="240" w:lineRule="auto"/>
              <w:jc w:val="right"/>
              <w:rPr>
                <w:rFonts w:ascii="Arial" w:hAnsi="Arial" w:cs="Arial"/>
                <w:color w:val="000000"/>
                <w:sz w:val="20"/>
                <w:szCs w:val="20"/>
              </w:rPr>
            </w:pPr>
            <w:r w:rsidRPr="008B0A7E">
              <w:rPr>
                <w:sz w:val="20"/>
              </w:rPr>
              <w:t>28% bus, and 24% walk and 10% bike</w:t>
            </w:r>
          </w:p>
        </w:tc>
        <w:tc>
          <w:tcPr>
            <w:tcW w:w="1652" w:type="dxa"/>
            <w:gridSpan w:val="3"/>
            <w:tcBorders>
              <w:top w:val="single" w:sz="4" w:space="0" w:color="FF0000"/>
              <w:left w:val="single" w:sz="4" w:space="0" w:color="FF0000"/>
              <w:bottom w:val="nil"/>
              <w:right w:val="single" w:sz="4" w:space="0" w:color="FF0000"/>
            </w:tcBorders>
            <w:shd w:val="clear" w:color="auto" w:fill="auto"/>
            <w:hideMark/>
          </w:tcPr>
          <w:p w:rsidR="00563C30" w:rsidRPr="008B0A7E" w:rsidRDefault="00563C30" w:rsidP="00563C30">
            <w:pPr>
              <w:spacing w:after="0" w:line="240" w:lineRule="auto"/>
              <w:jc w:val="right"/>
              <w:rPr>
                <w:rFonts w:ascii="Arial" w:hAnsi="Arial" w:cs="Arial"/>
                <w:color w:val="000000"/>
                <w:sz w:val="20"/>
                <w:szCs w:val="20"/>
              </w:rPr>
            </w:pPr>
            <w:r w:rsidRPr="008B0A7E">
              <w:rPr>
                <w:sz w:val="20"/>
              </w:rPr>
              <w:t>31% bus, 24% walk and 12% bike</w:t>
            </w:r>
          </w:p>
        </w:tc>
        <w:tc>
          <w:tcPr>
            <w:tcW w:w="1470" w:type="dxa"/>
            <w:tcBorders>
              <w:top w:val="single" w:sz="4" w:space="0" w:color="FF0000"/>
              <w:left w:val="single" w:sz="4" w:space="0" w:color="FF0000"/>
              <w:bottom w:val="nil"/>
              <w:right w:val="single" w:sz="4" w:space="0" w:color="FF0000"/>
            </w:tcBorders>
            <w:shd w:val="clear" w:color="auto" w:fill="auto"/>
            <w:hideMark/>
          </w:tcPr>
          <w:p w:rsidR="00563C30" w:rsidRPr="008B0A7E" w:rsidRDefault="00563C30" w:rsidP="00563C30">
            <w:pPr>
              <w:spacing w:after="0" w:line="240" w:lineRule="auto"/>
              <w:rPr>
                <w:rFonts w:ascii="Arial" w:hAnsi="Arial" w:cs="Arial"/>
                <w:color w:val="000000"/>
                <w:sz w:val="20"/>
                <w:szCs w:val="20"/>
              </w:rPr>
            </w:pPr>
            <w:r w:rsidRPr="008B0A7E">
              <w:rPr>
                <w:rFonts w:ascii="Arial" w:hAnsi="Arial" w:cs="Arial"/>
                <w:color w:val="000000"/>
                <w:sz w:val="20"/>
                <w:szCs w:val="20"/>
              </w:rPr>
              <w:t>28% bus, 24% walk and 10% bike</w:t>
            </w:r>
          </w:p>
        </w:tc>
        <w:tc>
          <w:tcPr>
            <w:tcW w:w="3343" w:type="dxa"/>
            <w:tcBorders>
              <w:top w:val="single" w:sz="4" w:space="0" w:color="FF0000"/>
              <w:left w:val="single" w:sz="4" w:space="0" w:color="FF0000"/>
              <w:bottom w:val="nil"/>
              <w:right w:val="nil"/>
            </w:tcBorders>
            <w:shd w:val="clear" w:color="auto" w:fill="auto"/>
            <w:hideMark/>
          </w:tcPr>
          <w:p w:rsidR="00563C30" w:rsidRPr="008B0A7E" w:rsidRDefault="00060BB3" w:rsidP="00563C30">
            <w:pPr>
              <w:spacing w:after="0" w:line="240" w:lineRule="auto"/>
              <w:rPr>
                <w:rFonts w:ascii="Arial" w:hAnsi="Arial" w:cs="Arial"/>
                <w:color w:val="000000"/>
                <w:sz w:val="20"/>
                <w:szCs w:val="20"/>
              </w:rPr>
            </w:pPr>
            <w:r>
              <w:rPr>
                <w:rFonts w:cstheme="minorHAnsi"/>
                <w:color w:val="000000"/>
                <w:sz w:val="20"/>
                <w:szCs w:val="20"/>
              </w:rPr>
              <w:t xml:space="preserve">No trend. </w:t>
            </w:r>
            <w:r w:rsidR="0028798A">
              <w:rPr>
                <w:rFonts w:cstheme="minorHAnsi"/>
                <w:color w:val="000000"/>
                <w:sz w:val="20"/>
                <w:szCs w:val="20"/>
              </w:rPr>
              <w:t>See supplementary tables</w:t>
            </w:r>
          </w:p>
        </w:tc>
      </w:tr>
      <w:tr w:rsidR="00563C30" w:rsidRPr="008B0A7E" w:rsidTr="00563C30">
        <w:tblPrEx>
          <w:shd w:val="clear" w:color="auto" w:fill="auto"/>
        </w:tblPrEx>
        <w:trPr>
          <w:trHeight w:val="255"/>
        </w:trPr>
        <w:tc>
          <w:tcPr>
            <w:tcW w:w="14601" w:type="dxa"/>
            <w:gridSpan w:val="9"/>
            <w:tcBorders>
              <w:top w:val="nil"/>
              <w:left w:val="nil"/>
              <w:right w:val="nil"/>
            </w:tcBorders>
            <w:shd w:val="clear" w:color="auto" w:fill="FFB9B9"/>
            <w:hideMark/>
          </w:tcPr>
          <w:p w:rsidR="00563C30" w:rsidRPr="000C01A3" w:rsidRDefault="00563C30" w:rsidP="00563C30">
            <w:pPr>
              <w:spacing w:after="0" w:line="240" w:lineRule="auto"/>
              <w:rPr>
                <w:rFonts w:ascii="Arial" w:hAnsi="Arial" w:cs="Arial"/>
                <w:sz w:val="20"/>
                <w:szCs w:val="20"/>
              </w:rPr>
            </w:pPr>
            <w:r w:rsidRPr="000C01A3">
              <w:rPr>
                <w:rFonts w:ascii="Arial" w:hAnsi="Arial" w:cs="Arial"/>
                <w:b/>
                <w:bCs/>
                <w:i/>
                <w:iCs/>
                <w:sz w:val="20"/>
                <w:szCs w:val="20"/>
              </w:rPr>
              <w:t>Active mode promotion and public transport support</w:t>
            </w:r>
          </w:p>
        </w:tc>
      </w:tr>
      <w:tr w:rsidR="00563C30" w:rsidRPr="008B0A7E" w:rsidTr="00297C6D">
        <w:trPr>
          <w:trHeight w:val="278"/>
        </w:trPr>
        <w:tc>
          <w:tcPr>
            <w:tcW w:w="3828" w:type="dxa"/>
            <w:tcBorders>
              <w:top w:val="nil"/>
              <w:left w:val="nil"/>
              <w:bottom w:val="single" w:sz="4" w:space="0" w:color="FF0000"/>
              <w:right w:val="single" w:sz="4" w:space="0" w:color="FF0000"/>
            </w:tcBorders>
            <w:shd w:val="clear" w:color="auto" w:fill="auto"/>
            <w:hideMark/>
          </w:tcPr>
          <w:p w:rsidR="00563C30" w:rsidRPr="008B0A7E" w:rsidRDefault="00563C30" w:rsidP="00563C30">
            <w:pPr>
              <w:spacing w:after="0" w:line="240" w:lineRule="auto"/>
              <w:rPr>
                <w:rFonts w:ascii="Arial" w:hAnsi="Arial" w:cs="Arial"/>
                <w:color w:val="000000"/>
                <w:sz w:val="20"/>
                <w:szCs w:val="20"/>
              </w:rPr>
            </w:pPr>
            <w:r w:rsidRPr="008B0A7E">
              <w:rPr>
                <w:rFonts w:ascii="Arial" w:hAnsi="Arial" w:cs="Arial"/>
                <w:color w:val="000000"/>
                <w:sz w:val="20"/>
                <w:szCs w:val="20"/>
              </w:rPr>
              <w:t>Residents’ perceptions that cycling is safe in the city: 1) for themselves; 2) for their children (if applicable)</w:t>
            </w:r>
          </w:p>
        </w:tc>
        <w:tc>
          <w:tcPr>
            <w:tcW w:w="1276" w:type="dxa"/>
            <w:tcBorders>
              <w:top w:val="nil"/>
              <w:left w:val="single" w:sz="4" w:space="0" w:color="FF0000"/>
              <w:bottom w:val="single" w:sz="4" w:space="0" w:color="FF0000"/>
              <w:right w:val="single" w:sz="4" w:space="0" w:color="FF0000"/>
            </w:tcBorders>
            <w:shd w:val="clear" w:color="auto" w:fill="auto"/>
            <w:noWrap/>
            <w:hideMark/>
          </w:tcPr>
          <w:p w:rsidR="00563C30" w:rsidRPr="008B0A7E" w:rsidRDefault="00563C30" w:rsidP="00563C30">
            <w:pPr>
              <w:spacing w:after="0" w:line="240" w:lineRule="auto"/>
              <w:rPr>
                <w:rFonts w:ascii="Arial" w:hAnsi="Arial" w:cs="Arial"/>
                <w:color w:val="000000"/>
                <w:sz w:val="20"/>
                <w:szCs w:val="20"/>
              </w:rPr>
            </w:pPr>
            <w:r w:rsidRPr="008B0A7E">
              <w:rPr>
                <w:rFonts w:ascii="Arial" w:hAnsi="Arial" w:cs="Arial"/>
                <w:color w:val="000000"/>
                <w:sz w:val="20"/>
                <w:szCs w:val="20"/>
              </w:rPr>
              <w:t>Increasing</w:t>
            </w:r>
          </w:p>
        </w:tc>
        <w:tc>
          <w:tcPr>
            <w:tcW w:w="1276" w:type="dxa"/>
            <w:tcBorders>
              <w:top w:val="nil"/>
              <w:left w:val="single" w:sz="4" w:space="0" w:color="FF0000"/>
              <w:bottom w:val="single" w:sz="4" w:space="0" w:color="FF0000"/>
              <w:right w:val="single" w:sz="4" w:space="0" w:color="FF0000"/>
            </w:tcBorders>
            <w:shd w:val="clear" w:color="auto" w:fill="auto"/>
            <w:noWrap/>
            <w:hideMark/>
          </w:tcPr>
          <w:p w:rsidR="00563C30" w:rsidRPr="008B0A7E" w:rsidRDefault="00563C30" w:rsidP="00563C30">
            <w:pPr>
              <w:spacing w:after="0" w:line="240" w:lineRule="auto"/>
              <w:rPr>
                <w:rFonts w:ascii="Arial" w:hAnsi="Arial" w:cs="Arial"/>
                <w:color w:val="000000"/>
                <w:sz w:val="20"/>
                <w:szCs w:val="20"/>
              </w:rPr>
            </w:pPr>
            <w:r w:rsidRPr="008B0A7E">
              <w:rPr>
                <w:rFonts w:ascii="Arial" w:hAnsi="Arial" w:cs="Arial"/>
                <w:color w:val="000000"/>
                <w:sz w:val="20"/>
                <w:szCs w:val="20"/>
              </w:rPr>
              <w:t>WCC RMS 2019</w:t>
            </w:r>
          </w:p>
        </w:tc>
        <w:tc>
          <w:tcPr>
            <w:tcW w:w="1756" w:type="dxa"/>
            <w:tcBorders>
              <w:top w:val="nil"/>
              <w:left w:val="single" w:sz="4" w:space="0" w:color="FF0000"/>
              <w:bottom w:val="single" w:sz="4" w:space="0" w:color="FF0000"/>
              <w:right w:val="single" w:sz="4" w:space="0" w:color="FF0000"/>
            </w:tcBorders>
            <w:shd w:val="clear" w:color="auto" w:fill="auto"/>
            <w:noWrap/>
            <w:hideMark/>
          </w:tcPr>
          <w:p w:rsidR="00563C30" w:rsidRPr="008B0A7E" w:rsidRDefault="00563C30" w:rsidP="00563C30">
            <w:pPr>
              <w:spacing w:after="0" w:line="240" w:lineRule="auto"/>
              <w:jc w:val="right"/>
              <w:rPr>
                <w:rFonts w:ascii="Arial" w:hAnsi="Arial" w:cs="Arial"/>
                <w:color w:val="000000"/>
                <w:sz w:val="20"/>
                <w:szCs w:val="20"/>
              </w:rPr>
            </w:pPr>
          </w:p>
        </w:tc>
        <w:tc>
          <w:tcPr>
            <w:tcW w:w="1652" w:type="dxa"/>
            <w:gridSpan w:val="3"/>
            <w:tcBorders>
              <w:top w:val="nil"/>
              <w:left w:val="single" w:sz="4" w:space="0" w:color="FF0000"/>
              <w:bottom w:val="single" w:sz="4" w:space="0" w:color="FF0000"/>
              <w:right w:val="single" w:sz="4" w:space="0" w:color="FF0000"/>
            </w:tcBorders>
            <w:shd w:val="clear" w:color="auto" w:fill="auto"/>
            <w:hideMark/>
          </w:tcPr>
          <w:p w:rsidR="00563C30" w:rsidRPr="008B0A7E" w:rsidRDefault="00563C30" w:rsidP="00563C30">
            <w:pPr>
              <w:spacing w:after="0" w:line="240" w:lineRule="auto"/>
              <w:jc w:val="right"/>
              <w:rPr>
                <w:rFonts w:ascii="Arial" w:hAnsi="Arial" w:cs="Arial"/>
                <w:color w:val="000000"/>
                <w:sz w:val="20"/>
                <w:szCs w:val="20"/>
              </w:rPr>
            </w:pPr>
            <w:r w:rsidRPr="008B0A7E">
              <w:rPr>
                <w:rFonts w:ascii="Arial" w:hAnsi="Arial" w:cs="Arial"/>
                <w:color w:val="000000"/>
                <w:sz w:val="20"/>
                <w:szCs w:val="20"/>
              </w:rPr>
              <w:t>New</w:t>
            </w:r>
          </w:p>
        </w:tc>
        <w:tc>
          <w:tcPr>
            <w:tcW w:w="1470" w:type="dxa"/>
            <w:tcBorders>
              <w:top w:val="nil"/>
              <w:left w:val="single" w:sz="4" w:space="0" w:color="FF0000"/>
              <w:bottom w:val="single" w:sz="4" w:space="0" w:color="FF0000"/>
              <w:right w:val="single" w:sz="4" w:space="0" w:color="FF0000"/>
            </w:tcBorders>
            <w:shd w:val="clear" w:color="auto" w:fill="auto"/>
            <w:hideMark/>
          </w:tcPr>
          <w:p w:rsidR="00563C30" w:rsidRPr="008B0A7E" w:rsidRDefault="00563C30" w:rsidP="00563C30">
            <w:pPr>
              <w:spacing w:after="0" w:line="240" w:lineRule="auto"/>
              <w:jc w:val="right"/>
              <w:rPr>
                <w:rFonts w:ascii="Arial" w:hAnsi="Arial" w:cs="Arial"/>
                <w:color w:val="000000"/>
                <w:sz w:val="20"/>
                <w:szCs w:val="20"/>
              </w:rPr>
            </w:pPr>
            <w:r w:rsidRPr="008B0A7E">
              <w:rPr>
                <w:rFonts w:ascii="Arial" w:hAnsi="Arial" w:cs="Arial"/>
                <w:color w:val="000000"/>
                <w:sz w:val="20"/>
                <w:szCs w:val="20"/>
              </w:rPr>
              <w:t>Myself (25.2%); My Children (7.3%)</w:t>
            </w:r>
          </w:p>
        </w:tc>
        <w:tc>
          <w:tcPr>
            <w:tcW w:w="3343" w:type="dxa"/>
            <w:tcBorders>
              <w:top w:val="nil"/>
              <w:left w:val="single" w:sz="4" w:space="0" w:color="FF0000"/>
              <w:bottom w:val="single" w:sz="4" w:space="0" w:color="FF0000"/>
              <w:right w:val="nil"/>
            </w:tcBorders>
            <w:shd w:val="clear" w:color="auto" w:fill="auto"/>
            <w:hideMark/>
          </w:tcPr>
          <w:p w:rsidR="00563C30" w:rsidRPr="008B0A7E" w:rsidRDefault="00060BB3" w:rsidP="00563C30">
            <w:pPr>
              <w:spacing w:after="0" w:line="240" w:lineRule="auto"/>
              <w:rPr>
                <w:rFonts w:ascii="Arial" w:hAnsi="Arial" w:cs="Arial"/>
                <w:color w:val="000000"/>
                <w:sz w:val="20"/>
                <w:szCs w:val="20"/>
              </w:rPr>
            </w:pPr>
            <w:r>
              <w:rPr>
                <w:rFonts w:cstheme="minorHAnsi"/>
                <w:color w:val="000000"/>
                <w:sz w:val="20"/>
                <w:szCs w:val="20"/>
              </w:rPr>
              <w:t xml:space="preserve">No trend. </w:t>
            </w:r>
            <w:r w:rsidR="0028798A">
              <w:rPr>
                <w:rFonts w:cstheme="minorHAnsi"/>
                <w:color w:val="000000"/>
                <w:sz w:val="20"/>
                <w:szCs w:val="20"/>
              </w:rPr>
              <w:t>See supplementary tables</w:t>
            </w:r>
          </w:p>
        </w:tc>
      </w:tr>
      <w:tr w:rsidR="00563C30" w:rsidRPr="008B0A7E" w:rsidTr="00297C6D">
        <w:trPr>
          <w:trHeight w:val="765"/>
        </w:trPr>
        <w:tc>
          <w:tcPr>
            <w:tcW w:w="3828" w:type="dxa"/>
            <w:tcBorders>
              <w:top w:val="single" w:sz="4" w:space="0" w:color="FF0000"/>
              <w:left w:val="nil"/>
              <w:bottom w:val="single" w:sz="4" w:space="0" w:color="FF0000"/>
              <w:right w:val="single" w:sz="4" w:space="0" w:color="FF0000"/>
            </w:tcBorders>
            <w:shd w:val="clear" w:color="auto" w:fill="auto"/>
            <w:hideMark/>
          </w:tcPr>
          <w:p w:rsidR="00563C30" w:rsidRPr="008B0A7E" w:rsidRDefault="00563C30" w:rsidP="00563C30">
            <w:pPr>
              <w:spacing w:after="0" w:line="240" w:lineRule="auto"/>
              <w:rPr>
                <w:rFonts w:ascii="Arial" w:hAnsi="Arial" w:cs="Arial"/>
                <w:color w:val="000000"/>
                <w:sz w:val="20"/>
                <w:szCs w:val="20"/>
              </w:rPr>
            </w:pPr>
            <w:r w:rsidRPr="008B0A7E">
              <w:rPr>
                <w:rFonts w:ascii="Arial" w:hAnsi="Arial" w:cs="Arial"/>
                <w:color w:val="000000"/>
                <w:sz w:val="20"/>
                <w:szCs w:val="20"/>
              </w:rPr>
              <w:t>Residents’ perceptions of quality, reliability and affordability of public transport services</w:t>
            </w:r>
          </w:p>
        </w:tc>
        <w:tc>
          <w:tcPr>
            <w:tcW w:w="1276" w:type="dxa"/>
            <w:tcBorders>
              <w:top w:val="single" w:sz="4" w:space="0" w:color="FF0000"/>
              <w:left w:val="single" w:sz="4" w:space="0" w:color="FF0000"/>
              <w:bottom w:val="single" w:sz="4" w:space="0" w:color="FF0000"/>
              <w:right w:val="single" w:sz="4" w:space="0" w:color="FF0000"/>
            </w:tcBorders>
            <w:shd w:val="clear" w:color="auto" w:fill="auto"/>
            <w:noWrap/>
            <w:hideMark/>
          </w:tcPr>
          <w:p w:rsidR="00563C30" w:rsidRPr="008B0A7E" w:rsidRDefault="00563C30" w:rsidP="00563C30">
            <w:pPr>
              <w:spacing w:after="0" w:line="240" w:lineRule="auto"/>
              <w:rPr>
                <w:rFonts w:ascii="Arial" w:hAnsi="Arial" w:cs="Arial"/>
                <w:color w:val="000000"/>
                <w:sz w:val="20"/>
                <w:szCs w:val="20"/>
              </w:rPr>
            </w:pPr>
            <w:r w:rsidRPr="008B0A7E">
              <w:rPr>
                <w:rFonts w:ascii="Arial" w:hAnsi="Arial" w:cs="Arial"/>
                <w:color w:val="000000"/>
                <w:sz w:val="20"/>
                <w:szCs w:val="20"/>
              </w:rPr>
              <w:t>Increasing</w:t>
            </w:r>
          </w:p>
        </w:tc>
        <w:tc>
          <w:tcPr>
            <w:tcW w:w="1276" w:type="dxa"/>
            <w:tcBorders>
              <w:top w:val="single" w:sz="4" w:space="0" w:color="FF0000"/>
              <w:left w:val="single" w:sz="4" w:space="0" w:color="FF0000"/>
              <w:bottom w:val="single" w:sz="4" w:space="0" w:color="FF0000"/>
              <w:right w:val="single" w:sz="4" w:space="0" w:color="FF0000"/>
            </w:tcBorders>
            <w:shd w:val="clear" w:color="auto" w:fill="auto"/>
            <w:noWrap/>
            <w:hideMark/>
          </w:tcPr>
          <w:p w:rsidR="00563C30" w:rsidRPr="008B0A7E" w:rsidRDefault="00563C30" w:rsidP="00563C30">
            <w:pPr>
              <w:spacing w:after="0" w:line="240" w:lineRule="auto"/>
              <w:rPr>
                <w:rFonts w:ascii="Arial" w:hAnsi="Arial" w:cs="Arial"/>
                <w:color w:val="000000"/>
                <w:sz w:val="20"/>
                <w:szCs w:val="20"/>
              </w:rPr>
            </w:pPr>
            <w:r w:rsidRPr="008B0A7E">
              <w:rPr>
                <w:rFonts w:ascii="Arial" w:hAnsi="Arial" w:cs="Arial"/>
                <w:color w:val="000000"/>
                <w:sz w:val="20"/>
                <w:szCs w:val="20"/>
              </w:rPr>
              <w:t>WCC RMS 2019</w:t>
            </w:r>
          </w:p>
        </w:tc>
        <w:tc>
          <w:tcPr>
            <w:tcW w:w="1756" w:type="dxa"/>
            <w:tcBorders>
              <w:top w:val="single" w:sz="4" w:space="0" w:color="FF0000"/>
              <w:left w:val="single" w:sz="4" w:space="0" w:color="FF0000"/>
              <w:bottom w:val="single" w:sz="4" w:space="0" w:color="FF0000"/>
              <w:right w:val="single" w:sz="4" w:space="0" w:color="FF0000"/>
            </w:tcBorders>
            <w:shd w:val="clear" w:color="auto" w:fill="auto"/>
            <w:hideMark/>
          </w:tcPr>
          <w:p w:rsidR="00563C30" w:rsidRPr="008B0A7E" w:rsidRDefault="00563C30" w:rsidP="00563C30">
            <w:pPr>
              <w:spacing w:after="0" w:line="240" w:lineRule="auto"/>
              <w:jc w:val="right"/>
              <w:rPr>
                <w:rFonts w:ascii="Arial" w:hAnsi="Arial" w:cs="Arial"/>
                <w:color w:val="000000"/>
                <w:sz w:val="20"/>
                <w:szCs w:val="20"/>
              </w:rPr>
            </w:pPr>
          </w:p>
        </w:tc>
        <w:tc>
          <w:tcPr>
            <w:tcW w:w="1652" w:type="dxa"/>
            <w:gridSpan w:val="3"/>
            <w:tcBorders>
              <w:top w:val="single" w:sz="4" w:space="0" w:color="FF0000"/>
              <w:left w:val="single" w:sz="4" w:space="0" w:color="FF0000"/>
              <w:bottom w:val="single" w:sz="4" w:space="0" w:color="FF0000"/>
              <w:right w:val="single" w:sz="4" w:space="0" w:color="FF0000"/>
            </w:tcBorders>
            <w:shd w:val="clear" w:color="auto" w:fill="auto"/>
            <w:hideMark/>
          </w:tcPr>
          <w:p w:rsidR="00563C30" w:rsidRPr="008B0A7E" w:rsidRDefault="00563C30" w:rsidP="00563C30">
            <w:pPr>
              <w:spacing w:after="0" w:line="240" w:lineRule="auto"/>
              <w:jc w:val="right"/>
              <w:rPr>
                <w:rFonts w:ascii="Arial" w:hAnsi="Arial" w:cs="Arial"/>
                <w:color w:val="000000"/>
                <w:sz w:val="20"/>
                <w:szCs w:val="20"/>
              </w:rPr>
            </w:pPr>
            <w:r w:rsidRPr="008B0A7E">
              <w:rPr>
                <w:rFonts w:ascii="Arial" w:hAnsi="Arial" w:cs="Arial"/>
                <w:color w:val="000000"/>
                <w:sz w:val="20"/>
                <w:szCs w:val="20"/>
              </w:rPr>
              <w:t>New</w:t>
            </w:r>
          </w:p>
        </w:tc>
        <w:tc>
          <w:tcPr>
            <w:tcW w:w="1470" w:type="dxa"/>
            <w:tcBorders>
              <w:top w:val="single" w:sz="4" w:space="0" w:color="FF0000"/>
              <w:left w:val="single" w:sz="4" w:space="0" w:color="FF0000"/>
              <w:bottom w:val="single" w:sz="4" w:space="0" w:color="FF0000"/>
              <w:right w:val="single" w:sz="4" w:space="0" w:color="FF0000"/>
            </w:tcBorders>
            <w:shd w:val="clear" w:color="auto" w:fill="auto"/>
            <w:hideMark/>
          </w:tcPr>
          <w:p w:rsidR="00563C30" w:rsidRPr="008B0A7E" w:rsidRDefault="00563C30" w:rsidP="00563C30">
            <w:pPr>
              <w:spacing w:after="0" w:line="240" w:lineRule="auto"/>
              <w:jc w:val="right"/>
              <w:rPr>
                <w:rFonts w:ascii="Arial" w:hAnsi="Arial" w:cs="Arial"/>
                <w:color w:val="000000"/>
                <w:sz w:val="20"/>
                <w:szCs w:val="20"/>
              </w:rPr>
            </w:pPr>
            <w:r w:rsidRPr="008B0A7E">
              <w:rPr>
                <w:rFonts w:ascii="Arial" w:hAnsi="Arial" w:cs="Arial"/>
                <w:color w:val="000000"/>
                <w:sz w:val="20"/>
                <w:szCs w:val="20"/>
              </w:rPr>
              <w:t>Reliability (16.4%); Affordability (38.2%); Quality (22.3%)</w:t>
            </w:r>
          </w:p>
        </w:tc>
        <w:tc>
          <w:tcPr>
            <w:tcW w:w="3343" w:type="dxa"/>
            <w:tcBorders>
              <w:top w:val="single" w:sz="4" w:space="0" w:color="FF0000"/>
              <w:left w:val="single" w:sz="4" w:space="0" w:color="FF0000"/>
              <w:bottom w:val="single" w:sz="4" w:space="0" w:color="FF0000"/>
              <w:right w:val="nil"/>
            </w:tcBorders>
            <w:shd w:val="clear" w:color="auto" w:fill="auto"/>
            <w:hideMark/>
          </w:tcPr>
          <w:p w:rsidR="00563C30" w:rsidRPr="008B0A7E" w:rsidRDefault="00060BB3" w:rsidP="00563C30">
            <w:pPr>
              <w:spacing w:after="0" w:line="240" w:lineRule="auto"/>
              <w:rPr>
                <w:rFonts w:ascii="Arial" w:hAnsi="Arial" w:cs="Arial"/>
                <w:color w:val="000000"/>
                <w:sz w:val="20"/>
                <w:szCs w:val="20"/>
              </w:rPr>
            </w:pPr>
            <w:r>
              <w:rPr>
                <w:rFonts w:cstheme="minorHAnsi"/>
                <w:color w:val="000000"/>
                <w:sz w:val="20"/>
                <w:szCs w:val="20"/>
              </w:rPr>
              <w:t xml:space="preserve">No trend. </w:t>
            </w:r>
            <w:r w:rsidR="00563C30" w:rsidRPr="008B0A7E">
              <w:rPr>
                <w:rFonts w:ascii="Arial" w:hAnsi="Arial" w:cs="Arial"/>
                <w:color w:val="000000"/>
                <w:sz w:val="20"/>
                <w:szCs w:val="20"/>
              </w:rPr>
              <w:t>Is has been evident throughout the year that public transport has been challenging for Wellingtonians and we continue to work with GWRC to address issues sustainably.</w:t>
            </w:r>
          </w:p>
        </w:tc>
      </w:tr>
      <w:tr w:rsidR="00563C30" w:rsidRPr="008B0A7E" w:rsidTr="00297C6D">
        <w:trPr>
          <w:trHeight w:val="765"/>
        </w:trPr>
        <w:tc>
          <w:tcPr>
            <w:tcW w:w="3828" w:type="dxa"/>
            <w:tcBorders>
              <w:top w:val="single" w:sz="4" w:space="0" w:color="FF0000"/>
              <w:left w:val="nil"/>
              <w:bottom w:val="nil"/>
              <w:right w:val="single" w:sz="4" w:space="0" w:color="FF0000"/>
            </w:tcBorders>
            <w:shd w:val="clear" w:color="auto" w:fill="auto"/>
            <w:hideMark/>
          </w:tcPr>
          <w:p w:rsidR="00563C30" w:rsidRPr="008B0A7E" w:rsidRDefault="00563C30" w:rsidP="00563C30">
            <w:pPr>
              <w:spacing w:after="0" w:line="240" w:lineRule="auto"/>
              <w:rPr>
                <w:rFonts w:ascii="Arial" w:hAnsi="Arial" w:cs="Arial"/>
                <w:color w:val="000000"/>
                <w:sz w:val="20"/>
                <w:szCs w:val="20"/>
              </w:rPr>
            </w:pPr>
            <w:r w:rsidRPr="008B0A7E">
              <w:rPr>
                <w:rFonts w:ascii="Arial" w:hAnsi="Arial" w:cs="Arial"/>
                <w:color w:val="000000"/>
                <w:sz w:val="20"/>
                <w:szCs w:val="20"/>
              </w:rPr>
              <w:lastRenderedPageBreak/>
              <w:t>Proportion of school children walking, cycling or scootering to school (at least once a week)</w:t>
            </w:r>
          </w:p>
        </w:tc>
        <w:tc>
          <w:tcPr>
            <w:tcW w:w="1276" w:type="dxa"/>
            <w:tcBorders>
              <w:top w:val="single" w:sz="4" w:space="0" w:color="FF0000"/>
              <w:left w:val="single" w:sz="4" w:space="0" w:color="FF0000"/>
              <w:bottom w:val="nil"/>
              <w:right w:val="single" w:sz="4" w:space="0" w:color="FF0000"/>
            </w:tcBorders>
            <w:shd w:val="clear" w:color="auto" w:fill="auto"/>
            <w:noWrap/>
            <w:hideMark/>
          </w:tcPr>
          <w:p w:rsidR="00563C30" w:rsidRPr="008B0A7E" w:rsidRDefault="00563C30" w:rsidP="00563C30">
            <w:pPr>
              <w:spacing w:after="0" w:line="240" w:lineRule="auto"/>
              <w:rPr>
                <w:rFonts w:ascii="Arial" w:hAnsi="Arial" w:cs="Arial"/>
                <w:color w:val="000000"/>
                <w:sz w:val="20"/>
                <w:szCs w:val="20"/>
              </w:rPr>
            </w:pPr>
            <w:r w:rsidRPr="008B0A7E">
              <w:rPr>
                <w:rFonts w:ascii="Arial" w:hAnsi="Arial" w:cs="Arial"/>
                <w:color w:val="000000"/>
                <w:sz w:val="20"/>
                <w:szCs w:val="20"/>
              </w:rPr>
              <w:t>Increasing</w:t>
            </w:r>
          </w:p>
        </w:tc>
        <w:tc>
          <w:tcPr>
            <w:tcW w:w="1276" w:type="dxa"/>
            <w:tcBorders>
              <w:top w:val="single" w:sz="4" w:space="0" w:color="FF0000"/>
              <w:left w:val="single" w:sz="4" w:space="0" w:color="FF0000"/>
              <w:bottom w:val="nil"/>
              <w:right w:val="single" w:sz="4" w:space="0" w:color="FF0000"/>
            </w:tcBorders>
            <w:shd w:val="clear" w:color="auto" w:fill="auto"/>
            <w:noWrap/>
            <w:hideMark/>
          </w:tcPr>
          <w:p w:rsidR="00563C30" w:rsidRPr="008B0A7E" w:rsidRDefault="00563C30" w:rsidP="00563C30">
            <w:pPr>
              <w:spacing w:after="0" w:line="240" w:lineRule="auto"/>
              <w:rPr>
                <w:rFonts w:ascii="Arial" w:hAnsi="Arial" w:cs="Arial"/>
                <w:color w:val="000000"/>
                <w:sz w:val="20"/>
                <w:szCs w:val="20"/>
              </w:rPr>
            </w:pPr>
            <w:r w:rsidRPr="008B0A7E">
              <w:rPr>
                <w:rFonts w:ascii="Arial" w:hAnsi="Arial" w:cs="Arial"/>
                <w:color w:val="000000"/>
                <w:sz w:val="20"/>
                <w:szCs w:val="20"/>
              </w:rPr>
              <w:t>Research / Parks, Sport and Recreation</w:t>
            </w:r>
          </w:p>
        </w:tc>
        <w:tc>
          <w:tcPr>
            <w:tcW w:w="1756" w:type="dxa"/>
            <w:tcBorders>
              <w:top w:val="single" w:sz="4" w:space="0" w:color="FF0000"/>
              <w:left w:val="single" w:sz="4" w:space="0" w:color="FF0000"/>
              <w:bottom w:val="nil"/>
              <w:right w:val="single" w:sz="4" w:space="0" w:color="FF0000"/>
            </w:tcBorders>
            <w:shd w:val="clear" w:color="auto" w:fill="auto"/>
            <w:hideMark/>
          </w:tcPr>
          <w:p w:rsidR="00563C30" w:rsidRPr="008B0A7E" w:rsidRDefault="00563C30" w:rsidP="00563C30">
            <w:pPr>
              <w:spacing w:after="0" w:line="240" w:lineRule="auto"/>
              <w:jc w:val="right"/>
              <w:rPr>
                <w:rFonts w:ascii="Arial" w:hAnsi="Arial" w:cs="Arial"/>
                <w:color w:val="000000"/>
                <w:sz w:val="20"/>
                <w:szCs w:val="20"/>
              </w:rPr>
            </w:pPr>
            <w:r w:rsidRPr="008B0A7E">
              <w:rPr>
                <w:rFonts w:ascii="Arial" w:hAnsi="Arial" w:cs="Arial"/>
                <w:color w:val="000000"/>
                <w:sz w:val="20"/>
                <w:szCs w:val="20"/>
              </w:rPr>
              <w:t>Walk (7</w:t>
            </w:r>
            <w:r>
              <w:rPr>
                <w:rFonts w:ascii="Arial" w:hAnsi="Arial" w:cs="Arial"/>
                <w:color w:val="000000"/>
                <w:sz w:val="20"/>
                <w:szCs w:val="20"/>
              </w:rPr>
              <w:t>3</w:t>
            </w:r>
            <w:r w:rsidRPr="008B0A7E">
              <w:rPr>
                <w:rFonts w:ascii="Arial" w:hAnsi="Arial" w:cs="Arial"/>
                <w:color w:val="000000"/>
                <w:sz w:val="20"/>
                <w:szCs w:val="20"/>
              </w:rPr>
              <w:t>%); Cycle (</w:t>
            </w:r>
            <w:r>
              <w:rPr>
                <w:rFonts w:ascii="Arial" w:hAnsi="Arial" w:cs="Arial"/>
                <w:color w:val="000000"/>
                <w:sz w:val="20"/>
                <w:szCs w:val="20"/>
              </w:rPr>
              <w:t>9</w:t>
            </w:r>
            <w:r w:rsidRPr="008B0A7E">
              <w:rPr>
                <w:rFonts w:ascii="Arial" w:hAnsi="Arial" w:cs="Arial"/>
                <w:color w:val="000000"/>
                <w:sz w:val="20"/>
                <w:szCs w:val="20"/>
              </w:rPr>
              <w:t>%)</w:t>
            </w:r>
          </w:p>
        </w:tc>
        <w:tc>
          <w:tcPr>
            <w:tcW w:w="1652" w:type="dxa"/>
            <w:gridSpan w:val="3"/>
            <w:tcBorders>
              <w:top w:val="single" w:sz="4" w:space="0" w:color="FF0000"/>
              <w:left w:val="single" w:sz="4" w:space="0" w:color="FF0000"/>
              <w:bottom w:val="nil"/>
              <w:right w:val="single" w:sz="4" w:space="0" w:color="FF0000"/>
            </w:tcBorders>
            <w:shd w:val="clear" w:color="auto" w:fill="auto"/>
            <w:hideMark/>
          </w:tcPr>
          <w:p w:rsidR="00563C30" w:rsidRPr="008B0A7E" w:rsidRDefault="00563C30" w:rsidP="00563C30">
            <w:pPr>
              <w:spacing w:after="0" w:line="240" w:lineRule="auto"/>
              <w:jc w:val="right"/>
              <w:rPr>
                <w:rFonts w:ascii="Arial" w:hAnsi="Arial" w:cs="Arial"/>
                <w:color w:val="000000"/>
                <w:sz w:val="20"/>
                <w:szCs w:val="20"/>
              </w:rPr>
            </w:pPr>
            <w:r w:rsidRPr="008B0A7E">
              <w:rPr>
                <w:rFonts w:ascii="Arial" w:hAnsi="Arial" w:cs="Arial"/>
                <w:color w:val="000000"/>
                <w:sz w:val="20"/>
                <w:szCs w:val="20"/>
              </w:rPr>
              <w:t>Walk (67%); Cycle (8%)</w:t>
            </w:r>
          </w:p>
        </w:tc>
        <w:tc>
          <w:tcPr>
            <w:tcW w:w="1470" w:type="dxa"/>
            <w:tcBorders>
              <w:top w:val="single" w:sz="4" w:space="0" w:color="FF0000"/>
              <w:left w:val="single" w:sz="4" w:space="0" w:color="FF0000"/>
              <w:bottom w:val="nil"/>
              <w:right w:val="single" w:sz="4" w:space="0" w:color="FF0000"/>
            </w:tcBorders>
            <w:shd w:val="clear" w:color="auto" w:fill="auto"/>
            <w:hideMark/>
          </w:tcPr>
          <w:p w:rsidR="00563C30" w:rsidRPr="008B0A7E" w:rsidRDefault="00563C30" w:rsidP="00563C30">
            <w:pPr>
              <w:spacing w:after="0" w:line="240" w:lineRule="auto"/>
              <w:jc w:val="right"/>
              <w:rPr>
                <w:rFonts w:ascii="Arial" w:hAnsi="Arial" w:cs="Arial"/>
                <w:color w:val="000000"/>
                <w:sz w:val="20"/>
                <w:szCs w:val="20"/>
              </w:rPr>
            </w:pPr>
            <w:r w:rsidRPr="008B0A7E">
              <w:rPr>
                <w:rFonts w:ascii="Arial" w:hAnsi="Arial" w:cs="Arial"/>
                <w:color w:val="000000"/>
                <w:sz w:val="20"/>
                <w:szCs w:val="20"/>
              </w:rPr>
              <w:t xml:space="preserve">Walking </w:t>
            </w:r>
            <w:proofErr w:type="gramStart"/>
            <w:r w:rsidRPr="008B0A7E">
              <w:rPr>
                <w:rFonts w:ascii="Arial" w:hAnsi="Arial" w:cs="Arial"/>
                <w:color w:val="000000"/>
                <w:sz w:val="20"/>
                <w:szCs w:val="20"/>
              </w:rPr>
              <w:t>( 49</w:t>
            </w:r>
            <w:proofErr w:type="gramEnd"/>
            <w:r w:rsidRPr="008B0A7E">
              <w:rPr>
                <w:rFonts w:ascii="Arial" w:hAnsi="Arial" w:cs="Arial"/>
                <w:color w:val="000000"/>
                <w:sz w:val="20"/>
                <w:szCs w:val="20"/>
              </w:rPr>
              <w:t>%); Cycle ( 6%); Skate/scooter (16%)</w:t>
            </w:r>
          </w:p>
        </w:tc>
        <w:tc>
          <w:tcPr>
            <w:tcW w:w="3343" w:type="dxa"/>
            <w:tcBorders>
              <w:top w:val="single" w:sz="4" w:space="0" w:color="FF0000"/>
              <w:left w:val="single" w:sz="4" w:space="0" w:color="FF0000"/>
              <w:bottom w:val="nil"/>
              <w:right w:val="nil"/>
            </w:tcBorders>
            <w:shd w:val="clear" w:color="auto" w:fill="auto"/>
            <w:hideMark/>
          </w:tcPr>
          <w:p w:rsidR="00563C30" w:rsidRPr="008B0A7E" w:rsidRDefault="00563C30" w:rsidP="00563C30">
            <w:pPr>
              <w:spacing w:after="0" w:line="240" w:lineRule="auto"/>
              <w:rPr>
                <w:rFonts w:ascii="Arial" w:hAnsi="Arial" w:cs="Arial"/>
                <w:color w:val="000000"/>
                <w:sz w:val="20"/>
                <w:szCs w:val="20"/>
              </w:rPr>
            </w:pPr>
            <w:r w:rsidRPr="008B0A7E">
              <w:rPr>
                <w:rFonts w:ascii="Arial" w:hAnsi="Arial" w:cs="Arial"/>
                <w:color w:val="000000"/>
                <w:sz w:val="20"/>
                <w:szCs w:val="20"/>
              </w:rPr>
              <w:t>Negative trend. See Supplementary Tables.</w:t>
            </w:r>
          </w:p>
        </w:tc>
      </w:tr>
      <w:tr w:rsidR="00563C30" w:rsidRPr="008B0A7E" w:rsidTr="00563C30">
        <w:tblPrEx>
          <w:shd w:val="clear" w:color="auto" w:fill="auto"/>
        </w:tblPrEx>
        <w:trPr>
          <w:trHeight w:val="255"/>
        </w:trPr>
        <w:tc>
          <w:tcPr>
            <w:tcW w:w="14601" w:type="dxa"/>
            <w:gridSpan w:val="9"/>
            <w:tcBorders>
              <w:top w:val="nil"/>
              <w:left w:val="nil"/>
              <w:right w:val="nil"/>
            </w:tcBorders>
            <w:shd w:val="clear" w:color="auto" w:fill="FFB9B9"/>
            <w:hideMark/>
          </w:tcPr>
          <w:p w:rsidR="00563C30" w:rsidRPr="000C01A3" w:rsidRDefault="00563C30" w:rsidP="00563C30">
            <w:pPr>
              <w:spacing w:after="0" w:line="240" w:lineRule="auto"/>
              <w:rPr>
                <w:rFonts w:ascii="Arial" w:hAnsi="Arial" w:cs="Arial"/>
                <w:sz w:val="20"/>
                <w:szCs w:val="20"/>
              </w:rPr>
            </w:pPr>
            <w:r w:rsidRPr="000C01A3">
              <w:rPr>
                <w:rFonts w:ascii="Arial" w:hAnsi="Arial" w:cs="Arial"/>
                <w:b/>
                <w:bCs/>
                <w:i/>
                <w:iCs/>
                <w:sz w:val="20"/>
                <w:szCs w:val="20"/>
              </w:rPr>
              <w:t>Environmental impact and safety</w:t>
            </w:r>
          </w:p>
        </w:tc>
      </w:tr>
      <w:tr w:rsidR="00563C30" w:rsidRPr="008B0A7E" w:rsidTr="00563C30">
        <w:tblPrEx>
          <w:shd w:val="clear" w:color="auto" w:fill="auto"/>
        </w:tblPrEx>
        <w:trPr>
          <w:trHeight w:val="510"/>
        </w:trPr>
        <w:tc>
          <w:tcPr>
            <w:tcW w:w="3828" w:type="dxa"/>
            <w:tcBorders>
              <w:top w:val="nil"/>
              <w:left w:val="nil"/>
              <w:right w:val="single" w:sz="4" w:space="0" w:color="FF0000"/>
            </w:tcBorders>
            <w:shd w:val="clear" w:color="auto" w:fill="auto"/>
            <w:hideMark/>
          </w:tcPr>
          <w:p w:rsidR="00563C30" w:rsidRPr="008B0A7E" w:rsidRDefault="00563C30" w:rsidP="00563C30">
            <w:pPr>
              <w:spacing w:after="0" w:line="240" w:lineRule="auto"/>
              <w:rPr>
                <w:rFonts w:ascii="Arial" w:hAnsi="Arial" w:cs="Arial"/>
                <w:color w:val="000000"/>
                <w:sz w:val="20"/>
                <w:szCs w:val="20"/>
              </w:rPr>
            </w:pPr>
            <w:r w:rsidRPr="008B0A7E">
              <w:rPr>
                <w:rFonts w:ascii="Arial" w:hAnsi="Arial" w:cs="Arial"/>
                <w:color w:val="000000"/>
                <w:sz w:val="20"/>
                <w:szCs w:val="20"/>
              </w:rPr>
              <w:t>Air quality monitoring (i.e nitrogen dioxide, carbon monoxide and particulate matter peaks)</w:t>
            </w:r>
          </w:p>
        </w:tc>
        <w:tc>
          <w:tcPr>
            <w:tcW w:w="1276" w:type="dxa"/>
            <w:tcBorders>
              <w:top w:val="nil"/>
              <w:left w:val="single" w:sz="4" w:space="0" w:color="FF0000"/>
              <w:right w:val="single" w:sz="4" w:space="0" w:color="FF0000"/>
            </w:tcBorders>
            <w:shd w:val="clear" w:color="auto" w:fill="auto"/>
            <w:noWrap/>
            <w:hideMark/>
          </w:tcPr>
          <w:p w:rsidR="00563C30" w:rsidRPr="008B0A7E" w:rsidRDefault="00563C30" w:rsidP="00563C30">
            <w:pPr>
              <w:spacing w:after="0" w:line="240" w:lineRule="auto"/>
              <w:rPr>
                <w:rFonts w:ascii="Arial" w:hAnsi="Arial" w:cs="Arial"/>
                <w:color w:val="000000"/>
                <w:sz w:val="20"/>
                <w:szCs w:val="20"/>
              </w:rPr>
            </w:pPr>
            <w:r w:rsidRPr="008B0A7E">
              <w:rPr>
                <w:rFonts w:ascii="Arial" w:hAnsi="Arial" w:cs="Arial"/>
                <w:color w:val="000000"/>
                <w:sz w:val="20"/>
                <w:szCs w:val="20"/>
              </w:rPr>
              <w:t>Increasing</w:t>
            </w:r>
          </w:p>
        </w:tc>
        <w:tc>
          <w:tcPr>
            <w:tcW w:w="1276" w:type="dxa"/>
            <w:tcBorders>
              <w:top w:val="nil"/>
              <w:left w:val="single" w:sz="4" w:space="0" w:color="FF0000"/>
              <w:right w:val="single" w:sz="4" w:space="0" w:color="FF0000"/>
            </w:tcBorders>
            <w:shd w:val="clear" w:color="auto" w:fill="auto"/>
            <w:noWrap/>
            <w:hideMark/>
          </w:tcPr>
          <w:p w:rsidR="00563C30" w:rsidRPr="008B0A7E" w:rsidRDefault="00563C30" w:rsidP="00563C30">
            <w:pPr>
              <w:spacing w:after="0" w:line="240" w:lineRule="auto"/>
              <w:rPr>
                <w:rFonts w:ascii="Arial" w:hAnsi="Arial" w:cs="Arial"/>
                <w:color w:val="000000"/>
                <w:sz w:val="20"/>
                <w:szCs w:val="20"/>
              </w:rPr>
            </w:pPr>
            <w:r w:rsidRPr="008B0A7E">
              <w:rPr>
                <w:rFonts w:ascii="Arial" w:hAnsi="Arial" w:cs="Arial"/>
                <w:color w:val="000000"/>
                <w:sz w:val="20"/>
                <w:szCs w:val="20"/>
              </w:rPr>
              <w:t>Greater Wellington Regional Council</w:t>
            </w:r>
          </w:p>
        </w:tc>
        <w:tc>
          <w:tcPr>
            <w:tcW w:w="1756" w:type="dxa"/>
            <w:tcBorders>
              <w:top w:val="nil"/>
              <w:left w:val="single" w:sz="4" w:space="0" w:color="FF0000"/>
              <w:right w:val="single" w:sz="4" w:space="0" w:color="FF0000"/>
            </w:tcBorders>
            <w:shd w:val="clear" w:color="auto" w:fill="auto"/>
            <w:hideMark/>
          </w:tcPr>
          <w:p w:rsidR="00563C30" w:rsidRPr="008B0A7E" w:rsidRDefault="00563C30" w:rsidP="00563C30">
            <w:pPr>
              <w:spacing w:after="0" w:line="240" w:lineRule="auto"/>
              <w:rPr>
                <w:rFonts w:ascii="Arial" w:hAnsi="Arial" w:cs="Arial"/>
                <w:color w:val="000000"/>
                <w:sz w:val="20"/>
                <w:szCs w:val="20"/>
              </w:rPr>
            </w:pPr>
            <w:r w:rsidRPr="008B0A7E">
              <w:rPr>
                <w:rFonts w:ascii="Arial" w:hAnsi="Arial" w:cs="Arial"/>
                <w:color w:val="000000"/>
                <w:sz w:val="20"/>
                <w:szCs w:val="20"/>
              </w:rPr>
              <w:t>no days in excess of monitoring guidelines</w:t>
            </w:r>
          </w:p>
        </w:tc>
        <w:tc>
          <w:tcPr>
            <w:tcW w:w="1652" w:type="dxa"/>
            <w:gridSpan w:val="3"/>
            <w:tcBorders>
              <w:top w:val="nil"/>
              <w:left w:val="single" w:sz="4" w:space="0" w:color="FF0000"/>
              <w:right w:val="single" w:sz="4" w:space="0" w:color="FF0000"/>
            </w:tcBorders>
            <w:shd w:val="clear" w:color="auto" w:fill="auto"/>
            <w:hideMark/>
          </w:tcPr>
          <w:p w:rsidR="00563C30" w:rsidRPr="008B0A7E" w:rsidRDefault="00563C30" w:rsidP="00563C30">
            <w:pPr>
              <w:spacing w:after="0" w:line="240" w:lineRule="auto"/>
              <w:jc w:val="right"/>
              <w:rPr>
                <w:rFonts w:ascii="Arial" w:hAnsi="Arial" w:cs="Arial"/>
                <w:color w:val="000000"/>
                <w:sz w:val="20"/>
                <w:szCs w:val="20"/>
              </w:rPr>
            </w:pPr>
            <w:r w:rsidRPr="008B0A7E">
              <w:rPr>
                <w:rFonts w:ascii="Arial" w:hAnsi="Arial" w:cs="Arial"/>
                <w:color w:val="000000"/>
                <w:sz w:val="20"/>
                <w:szCs w:val="20"/>
              </w:rPr>
              <w:t>no days in excess of monitoring guidelines</w:t>
            </w:r>
          </w:p>
        </w:tc>
        <w:tc>
          <w:tcPr>
            <w:tcW w:w="1470" w:type="dxa"/>
            <w:tcBorders>
              <w:top w:val="nil"/>
              <w:left w:val="single" w:sz="4" w:space="0" w:color="FF0000"/>
              <w:right w:val="single" w:sz="4" w:space="0" w:color="FF0000"/>
            </w:tcBorders>
            <w:shd w:val="clear" w:color="auto" w:fill="auto"/>
            <w:hideMark/>
          </w:tcPr>
          <w:p w:rsidR="00563C30" w:rsidRPr="008B0A7E" w:rsidRDefault="00563C30" w:rsidP="00563C30">
            <w:pPr>
              <w:spacing w:after="0" w:line="240" w:lineRule="auto"/>
              <w:jc w:val="right"/>
              <w:rPr>
                <w:rFonts w:ascii="Arial" w:hAnsi="Arial" w:cs="Arial"/>
                <w:color w:val="000000"/>
                <w:sz w:val="20"/>
                <w:szCs w:val="20"/>
              </w:rPr>
            </w:pPr>
            <w:r w:rsidRPr="008B0A7E">
              <w:rPr>
                <w:rFonts w:ascii="Arial" w:hAnsi="Arial" w:cs="Arial"/>
                <w:color w:val="000000"/>
                <w:sz w:val="20"/>
                <w:szCs w:val="20"/>
              </w:rPr>
              <w:t>no days in excess of monitoring guidelines</w:t>
            </w:r>
          </w:p>
        </w:tc>
        <w:tc>
          <w:tcPr>
            <w:tcW w:w="3343" w:type="dxa"/>
            <w:tcBorders>
              <w:top w:val="nil"/>
              <w:left w:val="single" w:sz="4" w:space="0" w:color="FF0000"/>
              <w:right w:val="nil"/>
            </w:tcBorders>
            <w:shd w:val="clear" w:color="auto" w:fill="auto"/>
            <w:hideMark/>
          </w:tcPr>
          <w:p w:rsidR="00563C30" w:rsidRPr="008B0A7E" w:rsidRDefault="00060BB3" w:rsidP="00563C30">
            <w:pPr>
              <w:spacing w:after="0" w:line="240" w:lineRule="auto"/>
              <w:rPr>
                <w:rFonts w:ascii="Arial" w:hAnsi="Arial" w:cs="Arial"/>
                <w:color w:val="000000"/>
                <w:sz w:val="20"/>
                <w:szCs w:val="20"/>
              </w:rPr>
            </w:pPr>
            <w:r>
              <w:rPr>
                <w:rFonts w:cstheme="minorHAnsi"/>
                <w:color w:val="000000"/>
                <w:sz w:val="20"/>
                <w:szCs w:val="20"/>
              </w:rPr>
              <w:t xml:space="preserve">Positive trend. </w:t>
            </w:r>
            <w:r w:rsidR="0028798A">
              <w:rPr>
                <w:rFonts w:cstheme="minorHAnsi"/>
                <w:color w:val="000000"/>
                <w:sz w:val="20"/>
                <w:szCs w:val="20"/>
              </w:rPr>
              <w:t>See supplementary tables</w:t>
            </w:r>
          </w:p>
        </w:tc>
      </w:tr>
      <w:tr w:rsidR="00563C30" w:rsidRPr="008B0A7E" w:rsidTr="00563C30">
        <w:tblPrEx>
          <w:shd w:val="clear" w:color="auto" w:fill="auto"/>
        </w:tblPrEx>
        <w:trPr>
          <w:trHeight w:val="510"/>
        </w:trPr>
        <w:tc>
          <w:tcPr>
            <w:tcW w:w="3828" w:type="dxa"/>
            <w:tcBorders>
              <w:top w:val="nil"/>
              <w:left w:val="nil"/>
              <w:bottom w:val="single" w:sz="4" w:space="0" w:color="FF0000"/>
              <w:right w:val="single" w:sz="4" w:space="0" w:color="FF0000"/>
            </w:tcBorders>
            <w:shd w:val="clear" w:color="auto" w:fill="auto"/>
            <w:hideMark/>
          </w:tcPr>
          <w:p w:rsidR="00563C30" w:rsidRPr="008B0A7E" w:rsidRDefault="00563C30" w:rsidP="00563C30">
            <w:pPr>
              <w:spacing w:after="0" w:line="240" w:lineRule="auto"/>
              <w:rPr>
                <w:rFonts w:ascii="Arial" w:hAnsi="Arial" w:cs="Arial"/>
                <w:color w:val="000000"/>
                <w:sz w:val="20"/>
                <w:szCs w:val="20"/>
              </w:rPr>
            </w:pPr>
            <w:r w:rsidRPr="008B0A7E">
              <w:rPr>
                <w:rFonts w:ascii="Arial" w:hAnsi="Arial" w:cs="Arial"/>
                <w:color w:val="000000"/>
                <w:sz w:val="20"/>
                <w:szCs w:val="20"/>
              </w:rPr>
              <w:t>Personal risk of serious injury or fatality for all road users (number resulting from road crashes)</w:t>
            </w:r>
          </w:p>
        </w:tc>
        <w:tc>
          <w:tcPr>
            <w:tcW w:w="1276" w:type="dxa"/>
            <w:tcBorders>
              <w:top w:val="nil"/>
              <w:left w:val="single" w:sz="4" w:space="0" w:color="FF0000"/>
              <w:bottom w:val="single" w:sz="4" w:space="0" w:color="FF0000"/>
              <w:right w:val="single" w:sz="4" w:space="0" w:color="FF0000"/>
            </w:tcBorders>
            <w:shd w:val="clear" w:color="auto" w:fill="auto"/>
            <w:noWrap/>
            <w:hideMark/>
          </w:tcPr>
          <w:p w:rsidR="00563C30" w:rsidRPr="008B0A7E" w:rsidRDefault="00563C30" w:rsidP="00563C30">
            <w:pPr>
              <w:spacing w:after="0" w:line="240" w:lineRule="auto"/>
              <w:rPr>
                <w:rFonts w:ascii="Arial" w:hAnsi="Arial" w:cs="Arial"/>
                <w:color w:val="000000"/>
                <w:sz w:val="20"/>
                <w:szCs w:val="20"/>
              </w:rPr>
            </w:pPr>
            <w:r w:rsidRPr="008B0A7E">
              <w:rPr>
                <w:rFonts w:ascii="Arial" w:hAnsi="Arial" w:cs="Arial"/>
                <w:color w:val="000000"/>
                <w:sz w:val="20"/>
                <w:szCs w:val="20"/>
              </w:rPr>
              <w:t>Decreasing</w:t>
            </w:r>
          </w:p>
        </w:tc>
        <w:tc>
          <w:tcPr>
            <w:tcW w:w="1276" w:type="dxa"/>
            <w:tcBorders>
              <w:top w:val="nil"/>
              <w:left w:val="single" w:sz="4" w:space="0" w:color="FF0000"/>
              <w:bottom w:val="single" w:sz="4" w:space="0" w:color="FF0000"/>
              <w:right w:val="single" w:sz="4" w:space="0" w:color="FF0000"/>
            </w:tcBorders>
            <w:shd w:val="clear" w:color="auto" w:fill="auto"/>
            <w:noWrap/>
            <w:hideMark/>
          </w:tcPr>
          <w:p w:rsidR="00563C30" w:rsidRPr="008B0A7E" w:rsidRDefault="00563C30" w:rsidP="00563C30">
            <w:pPr>
              <w:spacing w:after="0" w:line="240" w:lineRule="auto"/>
              <w:rPr>
                <w:rFonts w:ascii="Arial" w:hAnsi="Arial" w:cs="Arial"/>
                <w:color w:val="000000"/>
                <w:sz w:val="20"/>
                <w:szCs w:val="20"/>
              </w:rPr>
            </w:pPr>
            <w:r w:rsidRPr="008B0A7E">
              <w:rPr>
                <w:rFonts w:ascii="Arial" w:hAnsi="Arial" w:cs="Arial"/>
                <w:color w:val="000000"/>
                <w:sz w:val="20"/>
                <w:szCs w:val="20"/>
              </w:rPr>
              <w:t>WCC city networks</w:t>
            </w:r>
          </w:p>
        </w:tc>
        <w:tc>
          <w:tcPr>
            <w:tcW w:w="1756" w:type="dxa"/>
            <w:tcBorders>
              <w:top w:val="nil"/>
              <w:left w:val="single" w:sz="4" w:space="0" w:color="FF0000"/>
              <w:bottom w:val="single" w:sz="4" w:space="0" w:color="FF0000"/>
              <w:right w:val="single" w:sz="4" w:space="0" w:color="FF0000"/>
            </w:tcBorders>
            <w:shd w:val="clear" w:color="auto" w:fill="auto"/>
            <w:noWrap/>
            <w:hideMark/>
          </w:tcPr>
          <w:p w:rsidR="00563C30" w:rsidRPr="008B0A7E" w:rsidRDefault="00563C30" w:rsidP="00563C30">
            <w:pPr>
              <w:spacing w:after="0" w:line="240" w:lineRule="auto"/>
              <w:jc w:val="right"/>
              <w:rPr>
                <w:rFonts w:ascii="Arial" w:hAnsi="Arial" w:cs="Arial"/>
                <w:color w:val="000000"/>
                <w:sz w:val="20"/>
                <w:szCs w:val="20"/>
              </w:rPr>
            </w:pPr>
            <w:r w:rsidRPr="008B0A7E">
              <w:rPr>
                <w:rFonts w:ascii="Arial" w:hAnsi="Arial" w:cs="Arial"/>
                <w:color w:val="000000"/>
                <w:sz w:val="20"/>
                <w:szCs w:val="20"/>
              </w:rPr>
              <w:t xml:space="preserve">Total </w:t>
            </w:r>
            <w:r>
              <w:rPr>
                <w:rFonts w:ascii="Arial" w:hAnsi="Arial" w:cs="Arial"/>
                <w:color w:val="000000"/>
                <w:sz w:val="20"/>
                <w:szCs w:val="20"/>
              </w:rPr>
              <w:t>78</w:t>
            </w:r>
          </w:p>
        </w:tc>
        <w:tc>
          <w:tcPr>
            <w:tcW w:w="1652" w:type="dxa"/>
            <w:gridSpan w:val="3"/>
            <w:tcBorders>
              <w:top w:val="nil"/>
              <w:left w:val="single" w:sz="4" w:space="0" w:color="FF0000"/>
              <w:bottom w:val="single" w:sz="4" w:space="0" w:color="FF0000"/>
              <w:right w:val="single" w:sz="4" w:space="0" w:color="FF0000"/>
            </w:tcBorders>
            <w:shd w:val="clear" w:color="auto" w:fill="auto"/>
            <w:noWrap/>
            <w:hideMark/>
          </w:tcPr>
          <w:p w:rsidR="00563C30" w:rsidRPr="008B0A7E" w:rsidRDefault="00563C30" w:rsidP="00563C30">
            <w:pPr>
              <w:spacing w:after="0" w:line="240" w:lineRule="auto"/>
              <w:jc w:val="right"/>
              <w:rPr>
                <w:rFonts w:ascii="Arial" w:hAnsi="Arial" w:cs="Arial"/>
                <w:color w:val="000000"/>
                <w:sz w:val="20"/>
                <w:szCs w:val="20"/>
              </w:rPr>
            </w:pPr>
            <w:r w:rsidRPr="008B0A7E">
              <w:rPr>
                <w:rFonts w:ascii="Arial" w:hAnsi="Arial" w:cs="Arial"/>
                <w:color w:val="000000"/>
                <w:sz w:val="20"/>
                <w:szCs w:val="20"/>
              </w:rPr>
              <w:t xml:space="preserve">Total </w:t>
            </w:r>
            <w:r>
              <w:rPr>
                <w:rFonts w:ascii="Arial" w:hAnsi="Arial" w:cs="Arial"/>
                <w:color w:val="000000"/>
                <w:sz w:val="20"/>
                <w:szCs w:val="20"/>
              </w:rPr>
              <w:t>70</w:t>
            </w:r>
          </w:p>
        </w:tc>
        <w:tc>
          <w:tcPr>
            <w:tcW w:w="1470" w:type="dxa"/>
            <w:tcBorders>
              <w:top w:val="nil"/>
              <w:left w:val="single" w:sz="4" w:space="0" w:color="FF0000"/>
              <w:bottom w:val="single" w:sz="4" w:space="0" w:color="FF0000"/>
              <w:right w:val="single" w:sz="4" w:space="0" w:color="FF0000"/>
            </w:tcBorders>
            <w:shd w:val="clear" w:color="auto" w:fill="FFFFFF" w:themeFill="background1"/>
            <w:noWrap/>
            <w:hideMark/>
          </w:tcPr>
          <w:p w:rsidR="00563C30" w:rsidRPr="008B0A7E" w:rsidRDefault="00563C30" w:rsidP="00563C30">
            <w:pPr>
              <w:spacing w:after="0" w:line="240" w:lineRule="auto"/>
              <w:jc w:val="right"/>
              <w:rPr>
                <w:rFonts w:ascii="Arial" w:hAnsi="Arial" w:cs="Arial"/>
                <w:color w:val="000000"/>
                <w:sz w:val="20"/>
                <w:szCs w:val="20"/>
              </w:rPr>
            </w:pPr>
            <w:r>
              <w:rPr>
                <w:rFonts w:ascii="Arial" w:hAnsi="Arial" w:cs="Arial"/>
                <w:color w:val="000000"/>
                <w:sz w:val="20"/>
                <w:szCs w:val="20"/>
              </w:rPr>
              <w:t>Total 87</w:t>
            </w:r>
          </w:p>
        </w:tc>
        <w:tc>
          <w:tcPr>
            <w:tcW w:w="3343" w:type="dxa"/>
            <w:tcBorders>
              <w:top w:val="nil"/>
              <w:left w:val="single" w:sz="4" w:space="0" w:color="FF0000"/>
              <w:bottom w:val="single" w:sz="4" w:space="0" w:color="FF0000"/>
              <w:right w:val="nil"/>
            </w:tcBorders>
            <w:shd w:val="clear" w:color="auto" w:fill="FFFFFF" w:themeFill="background1"/>
            <w:hideMark/>
          </w:tcPr>
          <w:p w:rsidR="00563C30" w:rsidRPr="008B0A7E" w:rsidRDefault="00060BB3" w:rsidP="00563C30">
            <w:pPr>
              <w:spacing w:after="0" w:line="240" w:lineRule="auto"/>
              <w:rPr>
                <w:rFonts w:ascii="Arial" w:hAnsi="Arial" w:cs="Arial"/>
                <w:color w:val="000000"/>
                <w:sz w:val="20"/>
                <w:szCs w:val="20"/>
              </w:rPr>
            </w:pPr>
            <w:r>
              <w:rPr>
                <w:rFonts w:cstheme="minorHAnsi"/>
                <w:color w:val="000000"/>
                <w:sz w:val="20"/>
                <w:szCs w:val="20"/>
              </w:rPr>
              <w:t xml:space="preserve">No trend.  </w:t>
            </w:r>
            <w:r w:rsidR="0028798A">
              <w:rPr>
                <w:rFonts w:cstheme="minorHAnsi"/>
                <w:color w:val="000000"/>
                <w:sz w:val="20"/>
                <w:szCs w:val="20"/>
              </w:rPr>
              <w:t>See supplementary tables</w:t>
            </w:r>
          </w:p>
        </w:tc>
      </w:tr>
      <w:tr w:rsidR="00563C30" w:rsidRPr="008B0A7E" w:rsidTr="00563C30">
        <w:tblPrEx>
          <w:shd w:val="clear" w:color="auto" w:fill="auto"/>
        </w:tblPrEx>
        <w:trPr>
          <w:trHeight w:val="278"/>
        </w:trPr>
        <w:tc>
          <w:tcPr>
            <w:tcW w:w="3828" w:type="dxa"/>
            <w:tcBorders>
              <w:top w:val="single" w:sz="4" w:space="0" w:color="FF0000"/>
              <w:left w:val="nil"/>
              <w:bottom w:val="single" w:sz="4" w:space="0" w:color="FF0000"/>
              <w:right w:val="single" w:sz="4" w:space="0" w:color="FF0000"/>
            </w:tcBorders>
            <w:shd w:val="clear" w:color="auto" w:fill="auto"/>
            <w:hideMark/>
          </w:tcPr>
          <w:p w:rsidR="00563C30" w:rsidRPr="008B0A7E" w:rsidRDefault="00563C30" w:rsidP="00563C30">
            <w:pPr>
              <w:spacing w:after="0" w:line="240" w:lineRule="auto"/>
              <w:rPr>
                <w:rFonts w:ascii="Arial" w:hAnsi="Arial" w:cs="Arial"/>
                <w:color w:val="000000"/>
                <w:sz w:val="20"/>
                <w:szCs w:val="20"/>
              </w:rPr>
            </w:pPr>
            <w:r w:rsidRPr="008B0A7E">
              <w:rPr>
                <w:rFonts w:ascii="Arial" w:hAnsi="Arial" w:cs="Arial"/>
                <w:color w:val="000000"/>
                <w:sz w:val="20"/>
                <w:szCs w:val="20"/>
              </w:rPr>
              <w:t>Change from previous year in the number of road crashes resulting in fatalities and serious injury*</w:t>
            </w:r>
          </w:p>
        </w:tc>
        <w:tc>
          <w:tcPr>
            <w:tcW w:w="1276" w:type="dxa"/>
            <w:tcBorders>
              <w:top w:val="single" w:sz="4" w:space="0" w:color="FF0000"/>
              <w:left w:val="single" w:sz="4" w:space="0" w:color="FF0000"/>
              <w:bottom w:val="single" w:sz="4" w:space="0" w:color="FF0000"/>
              <w:right w:val="single" w:sz="4" w:space="0" w:color="FF0000"/>
            </w:tcBorders>
            <w:shd w:val="clear" w:color="auto" w:fill="auto"/>
            <w:noWrap/>
            <w:hideMark/>
          </w:tcPr>
          <w:p w:rsidR="00563C30" w:rsidRPr="008B0A7E" w:rsidRDefault="00563C30" w:rsidP="00563C30">
            <w:pPr>
              <w:spacing w:after="0" w:line="240" w:lineRule="auto"/>
              <w:rPr>
                <w:rFonts w:ascii="Arial" w:hAnsi="Arial" w:cs="Arial"/>
                <w:color w:val="000000"/>
                <w:sz w:val="20"/>
                <w:szCs w:val="20"/>
              </w:rPr>
            </w:pPr>
            <w:r w:rsidRPr="008B0A7E">
              <w:rPr>
                <w:rFonts w:ascii="Arial" w:hAnsi="Arial" w:cs="Arial"/>
                <w:color w:val="000000"/>
                <w:sz w:val="20"/>
                <w:szCs w:val="20"/>
              </w:rPr>
              <w:t>Decreasing</w:t>
            </w:r>
          </w:p>
        </w:tc>
        <w:tc>
          <w:tcPr>
            <w:tcW w:w="1276" w:type="dxa"/>
            <w:tcBorders>
              <w:top w:val="single" w:sz="4" w:space="0" w:color="FF0000"/>
              <w:left w:val="single" w:sz="4" w:space="0" w:color="FF0000"/>
              <w:bottom w:val="single" w:sz="4" w:space="0" w:color="FF0000"/>
              <w:right w:val="single" w:sz="4" w:space="0" w:color="FF0000"/>
            </w:tcBorders>
            <w:shd w:val="clear" w:color="auto" w:fill="auto"/>
            <w:noWrap/>
            <w:hideMark/>
          </w:tcPr>
          <w:p w:rsidR="00563C30" w:rsidRPr="008B0A7E" w:rsidRDefault="00563C30" w:rsidP="00563C30">
            <w:pPr>
              <w:spacing w:after="0" w:line="240" w:lineRule="auto"/>
              <w:rPr>
                <w:rFonts w:ascii="Arial" w:hAnsi="Arial" w:cs="Arial"/>
                <w:color w:val="000000"/>
                <w:sz w:val="20"/>
                <w:szCs w:val="20"/>
              </w:rPr>
            </w:pPr>
            <w:r w:rsidRPr="008B0A7E">
              <w:rPr>
                <w:rFonts w:ascii="Arial" w:hAnsi="Arial" w:cs="Arial"/>
                <w:color w:val="000000"/>
                <w:sz w:val="20"/>
                <w:szCs w:val="20"/>
              </w:rPr>
              <w:t>WCC city networks</w:t>
            </w:r>
          </w:p>
        </w:tc>
        <w:tc>
          <w:tcPr>
            <w:tcW w:w="1756" w:type="dxa"/>
            <w:tcBorders>
              <w:top w:val="single" w:sz="4" w:space="0" w:color="FF0000"/>
              <w:left w:val="single" w:sz="4" w:space="0" w:color="FF0000"/>
              <w:bottom w:val="single" w:sz="4" w:space="0" w:color="FF0000"/>
              <w:right w:val="single" w:sz="4" w:space="0" w:color="FF0000"/>
            </w:tcBorders>
            <w:shd w:val="clear" w:color="auto" w:fill="auto"/>
            <w:hideMark/>
          </w:tcPr>
          <w:p w:rsidR="00563C30" w:rsidRPr="008B0A7E" w:rsidRDefault="00563C30" w:rsidP="00563C30">
            <w:pPr>
              <w:spacing w:after="0" w:line="240" w:lineRule="auto"/>
              <w:jc w:val="right"/>
              <w:rPr>
                <w:rFonts w:ascii="Arial" w:hAnsi="Arial" w:cs="Arial"/>
                <w:color w:val="000000"/>
                <w:sz w:val="20"/>
                <w:szCs w:val="20"/>
              </w:rPr>
            </w:pPr>
            <w:r>
              <w:rPr>
                <w:rFonts w:ascii="Arial" w:hAnsi="Arial" w:cs="Arial"/>
                <w:color w:val="000000"/>
                <w:sz w:val="20"/>
                <w:szCs w:val="20"/>
              </w:rPr>
              <w:t>NA</w:t>
            </w:r>
          </w:p>
        </w:tc>
        <w:tc>
          <w:tcPr>
            <w:tcW w:w="1652" w:type="dxa"/>
            <w:gridSpan w:val="3"/>
            <w:tcBorders>
              <w:top w:val="single" w:sz="4" w:space="0" w:color="FF0000"/>
              <w:left w:val="single" w:sz="4" w:space="0" w:color="FF0000"/>
              <w:bottom w:val="single" w:sz="4" w:space="0" w:color="FF0000"/>
              <w:right w:val="single" w:sz="4" w:space="0" w:color="FF0000"/>
            </w:tcBorders>
            <w:shd w:val="clear" w:color="auto" w:fill="auto"/>
            <w:hideMark/>
          </w:tcPr>
          <w:p w:rsidR="00563C30" w:rsidRPr="008B0A7E" w:rsidRDefault="00563C30" w:rsidP="00563C30">
            <w:pPr>
              <w:spacing w:after="0" w:line="240" w:lineRule="auto"/>
              <w:jc w:val="right"/>
              <w:rPr>
                <w:rFonts w:ascii="Arial" w:hAnsi="Arial" w:cs="Arial"/>
                <w:color w:val="000000"/>
                <w:sz w:val="20"/>
                <w:szCs w:val="20"/>
              </w:rPr>
            </w:pPr>
            <w:r>
              <w:rPr>
                <w:rFonts w:ascii="Arial" w:hAnsi="Arial" w:cs="Arial"/>
                <w:color w:val="000000"/>
                <w:sz w:val="20"/>
                <w:szCs w:val="20"/>
              </w:rPr>
              <w:t>Down 8</w:t>
            </w:r>
            <w:r w:rsidRPr="008B0A7E">
              <w:rPr>
                <w:rFonts w:ascii="Arial" w:hAnsi="Arial" w:cs="Arial"/>
                <w:color w:val="000000"/>
                <w:sz w:val="20"/>
                <w:szCs w:val="20"/>
              </w:rPr>
              <w:br/>
            </w:r>
          </w:p>
        </w:tc>
        <w:tc>
          <w:tcPr>
            <w:tcW w:w="1470" w:type="dxa"/>
            <w:tcBorders>
              <w:top w:val="single" w:sz="4" w:space="0" w:color="FF0000"/>
              <w:left w:val="single" w:sz="4" w:space="0" w:color="FF0000"/>
              <w:bottom w:val="single" w:sz="4" w:space="0" w:color="FF0000"/>
              <w:right w:val="single" w:sz="4" w:space="0" w:color="FF0000"/>
            </w:tcBorders>
            <w:shd w:val="clear" w:color="auto" w:fill="auto"/>
            <w:hideMark/>
          </w:tcPr>
          <w:p w:rsidR="00563C30" w:rsidRPr="008B0A7E" w:rsidRDefault="00563C30" w:rsidP="0089278D">
            <w:pPr>
              <w:spacing w:after="0" w:line="240" w:lineRule="auto"/>
              <w:jc w:val="right"/>
              <w:rPr>
                <w:rFonts w:ascii="Arial" w:hAnsi="Arial" w:cs="Arial"/>
                <w:color w:val="000000"/>
                <w:sz w:val="20"/>
                <w:szCs w:val="20"/>
              </w:rPr>
            </w:pPr>
            <w:r>
              <w:rPr>
                <w:rFonts w:ascii="Arial" w:hAnsi="Arial" w:cs="Arial"/>
                <w:color w:val="000000"/>
                <w:sz w:val="20"/>
                <w:szCs w:val="20"/>
              </w:rPr>
              <w:t>Up 17</w:t>
            </w:r>
          </w:p>
        </w:tc>
        <w:tc>
          <w:tcPr>
            <w:tcW w:w="3343" w:type="dxa"/>
            <w:tcBorders>
              <w:top w:val="single" w:sz="4" w:space="0" w:color="FF0000"/>
              <w:left w:val="single" w:sz="4" w:space="0" w:color="FF0000"/>
              <w:bottom w:val="single" w:sz="4" w:space="0" w:color="FF0000"/>
              <w:right w:val="nil"/>
            </w:tcBorders>
            <w:shd w:val="clear" w:color="auto" w:fill="auto"/>
            <w:hideMark/>
          </w:tcPr>
          <w:p w:rsidR="00563C30" w:rsidRPr="008B0A7E" w:rsidRDefault="00563C30" w:rsidP="00563C30">
            <w:pPr>
              <w:spacing w:after="0" w:line="240" w:lineRule="auto"/>
              <w:rPr>
                <w:rFonts w:ascii="Arial" w:hAnsi="Arial" w:cs="Arial"/>
                <w:color w:val="000000"/>
                <w:sz w:val="20"/>
                <w:szCs w:val="20"/>
              </w:rPr>
            </w:pPr>
            <w:r w:rsidRPr="008B0A7E">
              <w:rPr>
                <w:rFonts w:ascii="Arial" w:hAnsi="Arial" w:cs="Arial"/>
                <w:color w:val="000000"/>
                <w:sz w:val="20"/>
                <w:szCs w:val="20"/>
              </w:rPr>
              <w:t>Negative trend.</w:t>
            </w:r>
            <w:r>
              <w:t xml:space="preserve"> </w:t>
            </w:r>
            <w:r w:rsidR="0028798A">
              <w:rPr>
                <w:rFonts w:cstheme="minorHAnsi"/>
                <w:color w:val="000000"/>
                <w:sz w:val="20"/>
                <w:szCs w:val="20"/>
              </w:rPr>
              <w:t>See supplementary tables</w:t>
            </w:r>
          </w:p>
        </w:tc>
      </w:tr>
      <w:tr w:rsidR="00563C30" w:rsidRPr="008B0A7E" w:rsidTr="00563C30">
        <w:tblPrEx>
          <w:shd w:val="clear" w:color="auto" w:fill="auto"/>
        </w:tblPrEx>
        <w:trPr>
          <w:trHeight w:val="1275"/>
        </w:trPr>
        <w:tc>
          <w:tcPr>
            <w:tcW w:w="3828" w:type="dxa"/>
            <w:tcBorders>
              <w:top w:val="single" w:sz="4" w:space="0" w:color="FF0000"/>
              <w:left w:val="nil"/>
              <w:bottom w:val="single" w:sz="4" w:space="0" w:color="FF0000"/>
              <w:right w:val="single" w:sz="4" w:space="0" w:color="FF0000"/>
            </w:tcBorders>
            <w:shd w:val="clear" w:color="auto" w:fill="auto"/>
            <w:hideMark/>
          </w:tcPr>
          <w:p w:rsidR="00563C30" w:rsidRPr="008B0A7E" w:rsidRDefault="00563C30" w:rsidP="00563C30">
            <w:pPr>
              <w:spacing w:after="0" w:line="240" w:lineRule="auto"/>
              <w:rPr>
                <w:rFonts w:ascii="Arial" w:hAnsi="Arial" w:cs="Arial"/>
                <w:color w:val="000000"/>
                <w:sz w:val="20"/>
                <w:szCs w:val="20"/>
              </w:rPr>
            </w:pPr>
            <w:r w:rsidRPr="008B0A7E">
              <w:rPr>
                <w:rFonts w:ascii="Arial" w:hAnsi="Arial" w:cs="Arial"/>
                <w:color w:val="000000"/>
                <w:sz w:val="20"/>
                <w:szCs w:val="20"/>
              </w:rPr>
              <w:t>Residents’ perceptions of transport-related safety issues (ie issues of most concern)</w:t>
            </w:r>
          </w:p>
        </w:tc>
        <w:tc>
          <w:tcPr>
            <w:tcW w:w="1276" w:type="dxa"/>
            <w:tcBorders>
              <w:top w:val="single" w:sz="4" w:space="0" w:color="FF0000"/>
              <w:left w:val="single" w:sz="4" w:space="0" w:color="FF0000"/>
              <w:bottom w:val="single" w:sz="4" w:space="0" w:color="FF0000"/>
              <w:right w:val="single" w:sz="4" w:space="0" w:color="FF0000"/>
            </w:tcBorders>
            <w:shd w:val="clear" w:color="auto" w:fill="auto"/>
            <w:noWrap/>
            <w:hideMark/>
          </w:tcPr>
          <w:p w:rsidR="00563C30" w:rsidRPr="008B0A7E" w:rsidRDefault="00563C30" w:rsidP="00563C30">
            <w:pPr>
              <w:spacing w:after="0" w:line="240" w:lineRule="auto"/>
              <w:rPr>
                <w:rFonts w:ascii="Arial" w:hAnsi="Arial" w:cs="Arial"/>
                <w:color w:val="000000"/>
                <w:sz w:val="20"/>
                <w:szCs w:val="20"/>
              </w:rPr>
            </w:pPr>
            <w:r w:rsidRPr="008B0A7E">
              <w:rPr>
                <w:rFonts w:ascii="Arial" w:hAnsi="Arial" w:cs="Arial"/>
                <w:color w:val="000000"/>
                <w:sz w:val="20"/>
                <w:szCs w:val="20"/>
              </w:rPr>
              <w:t>Decreasing</w:t>
            </w:r>
          </w:p>
        </w:tc>
        <w:tc>
          <w:tcPr>
            <w:tcW w:w="1276" w:type="dxa"/>
            <w:tcBorders>
              <w:top w:val="single" w:sz="4" w:space="0" w:color="FF0000"/>
              <w:left w:val="single" w:sz="4" w:space="0" w:color="FF0000"/>
              <w:bottom w:val="single" w:sz="4" w:space="0" w:color="FF0000"/>
              <w:right w:val="single" w:sz="4" w:space="0" w:color="FF0000"/>
            </w:tcBorders>
            <w:shd w:val="clear" w:color="auto" w:fill="auto"/>
            <w:noWrap/>
            <w:hideMark/>
          </w:tcPr>
          <w:p w:rsidR="00563C30" w:rsidRPr="008B0A7E" w:rsidRDefault="00563C30" w:rsidP="00563C30">
            <w:pPr>
              <w:spacing w:after="0" w:line="240" w:lineRule="auto"/>
              <w:rPr>
                <w:rFonts w:ascii="Arial" w:hAnsi="Arial" w:cs="Arial"/>
                <w:color w:val="000000"/>
                <w:sz w:val="20"/>
                <w:szCs w:val="20"/>
              </w:rPr>
            </w:pPr>
            <w:r w:rsidRPr="008B0A7E">
              <w:rPr>
                <w:rFonts w:ascii="Arial" w:hAnsi="Arial" w:cs="Arial"/>
                <w:color w:val="000000"/>
                <w:sz w:val="20"/>
                <w:szCs w:val="20"/>
              </w:rPr>
              <w:t>WCC RMS 2019</w:t>
            </w:r>
          </w:p>
        </w:tc>
        <w:tc>
          <w:tcPr>
            <w:tcW w:w="1756" w:type="dxa"/>
            <w:tcBorders>
              <w:top w:val="single" w:sz="4" w:space="0" w:color="FF0000"/>
              <w:left w:val="single" w:sz="4" w:space="0" w:color="FF0000"/>
              <w:bottom w:val="single" w:sz="4" w:space="0" w:color="FF0000"/>
              <w:right w:val="single" w:sz="4" w:space="0" w:color="FF0000"/>
            </w:tcBorders>
            <w:shd w:val="clear" w:color="auto" w:fill="auto"/>
            <w:noWrap/>
            <w:hideMark/>
          </w:tcPr>
          <w:p w:rsidR="00563C30" w:rsidRPr="008B0A7E" w:rsidRDefault="00563C30" w:rsidP="00563C30">
            <w:pPr>
              <w:spacing w:after="0" w:line="240" w:lineRule="auto"/>
              <w:jc w:val="right"/>
              <w:rPr>
                <w:rFonts w:ascii="Arial" w:hAnsi="Arial" w:cs="Arial"/>
                <w:color w:val="000000"/>
                <w:sz w:val="20"/>
                <w:szCs w:val="20"/>
              </w:rPr>
            </w:pPr>
            <w:r w:rsidRPr="008B0A7E">
              <w:rPr>
                <w:rFonts w:ascii="Arial" w:hAnsi="Arial" w:cs="Arial"/>
                <w:color w:val="000000"/>
                <w:sz w:val="20"/>
                <w:szCs w:val="20"/>
              </w:rPr>
              <w:t>Traffic or busy roads: 33%</w:t>
            </w:r>
          </w:p>
        </w:tc>
        <w:tc>
          <w:tcPr>
            <w:tcW w:w="1652" w:type="dxa"/>
            <w:gridSpan w:val="3"/>
            <w:tcBorders>
              <w:top w:val="single" w:sz="4" w:space="0" w:color="FF0000"/>
              <w:left w:val="single" w:sz="4" w:space="0" w:color="FF0000"/>
              <w:bottom w:val="single" w:sz="4" w:space="0" w:color="FF0000"/>
              <w:right w:val="single" w:sz="4" w:space="0" w:color="FF0000"/>
            </w:tcBorders>
            <w:shd w:val="clear" w:color="auto" w:fill="auto"/>
            <w:noWrap/>
            <w:hideMark/>
          </w:tcPr>
          <w:p w:rsidR="00563C30" w:rsidRPr="008B0A7E" w:rsidRDefault="00563C30" w:rsidP="00563C30">
            <w:pPr>
              <w:spacing w:after="0" w:line="240" w:lineRule="auto"/>
              <w:jc w:val="right"/>
              <w:rPr>
                <w:rFonts w:ascii="Arial" w:hAnsi="Arial" w:cs="Arial"/>
                <w:color w:val="000000"/>
                <w:sz w:val="20"/>
                <w:szCs w:val="20"/>
              </w:rPr>
            </w:pPr>
            <w:r w:rsidRPr="008B0A7E">
              <w:rPr>
                <w:rFonts w:ascii="Arial" w:hAnsi="Arial" w:cs="Arial"/>
                <w:color w:val="000000"/>
                <w:sz w:val="20"/>
                <w:szCs w:val="20"/>
              </w:rPr>
              <w:t>Traffic or busy roads: 36%</w:t>
            </w:r>
          </w:p>
        </w:tc>
        <w:tc>
          <w:tcPr>
            <w:tcW w:w="1470" w:type="dxa"/>
            <w:tcBorders>
              <w:top w:val="single" w:sz="4" w:space="0" w:color="FF0000"/>
              <w:left w:val="single" w:sz="4" w:space="0" w:color="FF0000"/>
              <w:bottom w:val="single" w:sz="4" w:space="0" w:color="FF0000"/>
              <w:right w:val="single" w:sz="4" w:space="0" w:color="FF0000"/>
            </w:tcBorders>
            <w:shd w:val="clear" w:color="auto" w:fill="auto"/>
            <w:hideMark/>
          </w:tcPr>
          <w:p w:rsidR="00563C30" w:rsidRPr="008B0A7E" w:rsidRDefault="00563C30" w:rsidP="00563C30">
            <w:pPr>
              <w:spacing w:after="0" w:line="240" w:lineRule="auto"/>
              <w:jc w:val="right"/>
              <w:rPr>
                <w:rFonts w:ascii="Arial" w:hAnsi="Arial" w:cs="Arial"/>
                <w:color w:val="000000"/>
                <w:sz w:val="20"/>
                <w:szCs w:val="20"/>
              </w:rPr>
            </w:pPr>
            <w:r w:rsidRPr="008B0A7E">
              <w:rPr>
                <w:rFonts w:ascii="Arial" w:hAnsi="Arial" w:cs="Arial"/>
                <w:color w:val="000000"/>
                <w:sz w:val="20"/>
                <w:szCs w:val="20"/>
              </w:rPr>
              <w:t>Traffic or busy roads (39%); Car theft or vandalism (29%); Poorly lit or dark public areas (61%); Dangerous driving (40%)</w:t>
            </w:r>
          </w:p>
        </w:tc>
        <w:tc>
          <w:tcPr>
            <w:tcW w:w="3343" w:type="dxa"/>
            <w:tcBorders>
              <w:top w:val="single" w:sz="4" w:space="0" w:color="FF0000"/>
              <w:left w:val="single" w:sz="4" w:space="0" w:color="FF0000"/>
              <w:bottom w:val="single" w:sz="4" w:space="0" w:color="FF0000"/>
              <w:right w:val="nil"/>
            </w:tcBorders>
            <w:shd w:val="clear" w:color="auto" w:fill="auto"/>
            <w:hideMark/>
          </w:tcPr>
          <w:p w:rsidR="00563C30" w:rsidRPr="008B0A7E" w:rsidRDefault="00563C30" w:rsidP="00563C30">
            <w:pPr>
              <w:spacing w:after="0" w:line="240" w:lineRule="auto"/>
              <w:rPr>
                <w:rFonts w:ascii="Arial" w:hAnsi="Arial" w:cs="Arial"/>
                <w:color w:val="000000"/>
                <w:sz w:val="20"/>
                <w:szCs w:val="20"/>
              </w:rPr>
            </w:pPr>
            <w:r w:rsidRPr="008B0A7E">
              <w:rPr>
                <w:rFonts w:ascii="Arial" w:hAnsi="Arial" w:cs="Arial"/>
                <w:color w:val="000000"/>
                <w:sz w:val="20"/>
                <w:szCs w:val="20"/>
              </w:rPr>
              <w:t xml:space="preserve">Negative trend. </w:t>
            </w:r>
            <w:r w:rsidR="0028798A">
              <w:rPr>
                <w:rFonts w:cstheme="minorHAnsi"/>
                <w:color w:val="000000"/>
                <w:sz w:val="20"/>
                <w:szCs w:val="20"/>
              </w:rPr>
              <w:t>See supplementary tables</w:t>
            </w:r>
          </w:p>
        </w:tc>
      </w:tr>
      <w:tr w:rsidR="00563C30" w:rsidRPr="008B0A7E" w:rsidTr="00563C30">
        <w:tblPrEx>
          <w:shd w:val="clear" w:color="auto" w:fill="auto"/>
        </w:tblPrEx>
        <w:trPr>
          <w:trHeight w:val="255"/>
        </w:trPr>
        <w:tc>
          <w:tcPr>
            <w:tcW w:w="14601" w:type="dxa"/>
            <w:gridSpan w:val="9"/>
            <w:tcBorders>
              <w:top w:val="single" w:sz="4" w:space="0" w:color="FF0000"/>
              <w:left w:val="nil"/>
              <w:bottom w:val="nil"/>
              <w:right w:val="single" w:sz="4" w:space="0" w:color="FF0000"/>
            </w:tcBorders>
            <w:shd w:val="clear" w:color="auto" w:fill="auto"/>
            <w:hideMark/>
          </w:tcPr>
          <w:p w:rsidR="00563C30" w:rsidRPr="008B0A7E" w:rsidRDefault="00563C30" w:rsidP="00563C30">
            <w:pPr>
              <w:spacing w:after="0" w:line="240" w:lineRule="auto"/>
              <w:rPr>
                <w:rFonts w:ascii="Arial" w:hAnsi="Arial" w:cs="Arial"/>
                <w:color w:val="000000"/>
                <w:sz w:val="20"/>
                <w:szCs w:val="20"/>
              </w:rPr>
            </w:pPr>
            <w:r w:rsidRPr="008B0A7E">
              <w:rPr>
                <w:rFonts w:ascii="Arial" w:hAnsi="Arial" w:cs="Arial"/>
                <w:color w:val="000000"/>
                <w:sz w:val="20"/>
                <w:szCs w:val="20"/>
              </w:rPr>
              <w:t>*denotes mandatory indicators</w:t>
            </w:r>
          </w:p>
        </w:tc>
      </w:tr>
      <w:tr w:rsidR="00563C30" w:rsidRPr="008B0A7E" w:rsidTr="00563C30">
        <w:tblPrEx>
          <w:shd w:val="clear" w:color="auto" w:fill="auto"/>
        </w:tblPrEx>
        <w:trPr>
          <w:trHeight w:val="255"/>
        </w:trPr>
        <w:tc>
          <w:tcPr>
            <w:tcW w:w="14601" w:type="dxa"/>
            <w:gridSpan w:val="9"/>
            <w:tcBorders>
              <w:top w:val="nil"/>
              <w:left w:val="nil"/>
              <w:bottom w:val="nil"/>
              <w:right w:val="nil"/>
            </w:tcBorders>
            <w:shd w:val="clear" w:color="auto" w:fill="FF0000"/>
            <w:hideMark/>
          </w:tcPr>
          <w:p w:rsidR="00563C30" w:rsidRPr="008B0A7E" w:rsidRDefault="00563C30" w:rsidP="00563C30">
            <w:pPr>
              <w:spacing w:after="0" w:line="240" w:lineRule="auto"/>
              <w:rPr>
                <w:rFonts w:ascii="Arial" w:hAnsi="Arial" w:cs="Arial"/>
                <w:color w:val="000000"/>
                <w:szCs w:val="20"/>
              </w:rPr>
            </w:pPr>
            <w:r w:rsidRPr="008B0A7E">
              <w:rPr>
                <w:rFonts w:ascii="Arial" w:hAnsi="Arial" w:cs="Arial"/>
                <w:b/>
                <w:bCs/>
                <w:color w:val="FFFFFF"/>
                <w:szCs w:val="20"/>
              </w:rPr>
              <w:t>What this tells us: </w:t>
            </w:r>
          </w:p>
        </w:tc>
      </w:tr>
      <w:tr w:rsidR="00563C30" w:rsidRPr="008B0A7E" w:rsidTr="00563C30">
        <w:tblPrEx>
          <w:shd w:val="clear" w:color="auto" w:fill="auto"/>
        </w:tblPrEx>
        <w:trPr>
          <w:trHeight w:val="255"/>
        </w:trPr>
        <w:tc>
          <w:tcPr>
            <w:tcW w:w="14601" w:type="dxa"/>
            <w:gridSpan w:val="9"/>
            <w:tcBorders>
              <w:top w:val="nil"/>
              <w:left w:val="nil"/>
              <w:bottom w:val="nil"/>
              <w:right w:val="nil"/>
            </w:tcBorders>
            <w:shd w:val="clear" w:color="auto" w:fill="auto"/>
            <w:hideMark/>
          </w:tcPr>
          <w:p w:rsidR="00563C30" w:rsidRPr="008B0A7E" w:rsidRDefault="00563C30" w:rsidP="00563C30">
            <w:pPr>
              <w:spacing w:after="0" w:line="240" w:lineRule="auto"/>
              <w:rPr>
                <w:rFonts w:ascii="Arial" w:hAnsi="Arial" w:cs="Arial"/>
                <w:color w:val="000000"/>
                <w:sz w:val="20"/>
                <w:szCs w:val="20"/>
              </w:rPr>
            </w:pPr>
            <w:r w:rsidRPr="008B0A7E">
              <w:rPr>
                <w:rFonts w:ascii="Arial" w:hAnsi="Arial" w:cs="Arial"/>
                <w:color w:val="000000"/>
                <w:sz w:val="20"/>
                <w:szCs w:val="20"/>
              </w:rPr>
              <w:t>Positive trends in the results of these outcome indicators will give us assurance that people are able to get around the city safely, efficiently and reliably and that they have a choice of viable modes by which to travel. A successful transport system is one that facilitates a healthy and happy Wellington.</w:t>
            </w:r>
          </w:p>
        </w:tc>
      </w:tr>
    </w:tbl>
    <w:p w:rsidR="007F0DCF" w:rsidRPr="00D5126A" w:rsidRDefault="007F0DCF" w:rsidP="007F0DCF">
      <w:pPr>
        <w:pStyle w:val="5Block"/>
        <w:spacing w:after="0" w:line="240" w:lineRule="auto"/>
        <w:rPr>
          <w:rFonts w:ascii="Arial" w:hAnsi="Arial" w:cs="Arial"/>
        </w:rPr>
      </w:pPr>
    </w:p>
    <w:p w:rsidR="007F0DCF" w:rsidRPr="00060BB3" w:rsidRDefault="007F0DCF" w:rsidP="00846C1B">
      <w:pPr>
        <w:pStyle w:val="Heading4"/>
        <w:rPr>
          <w:color w:val="FF0000"/>
        </w:rPr>
      </w:pPr>
      <w:r w:rsidRPr="00060BB3">
        <w:rPr>
          <w:color w:val="FF0000"/>
        </w:rPr>
        <w:t>Performance data – Council performance measures</w:t>
      </w:r>
    </w:p>
    <w:p w:rsidR="0075165F" w:rsidRPr="00D5126A" w:rsidRDefault="007F0DCF" w:rsidP="0075165F">
      <w:pPr>
        <w:pStyle w:val="Para034"/>
        <w:spacing w:line="240" w:lineRule="auto"/>
        <w:rPr>
          <w:rFonts w:ascii="Arial" w:hAnsi="Arial" w:cs="Arial"/>
        </w:rPr>
      </w:pPr>
      <w:r w:rsidRPr="00D5126A">
        <w:rPr>
          <w:rFonts w:ascii="Arial" w:hAnsi="Arial" w:cs="Arial"/>
        </w:rPr>
        <w:t>The following section outlines Council performance measures for our Transport services. It includes data for the last 3 years to show trends, and includes variances e</w:t>
      </w:r>
      <w:r w:rsidR="0075165F" w:rsidRPr="00D5126A">
        <w:rPr>
          <w:rFonts w:ascii="Arial" w:hAnsi="Arial" w:cs="Arial"/>
        </w:rPr>
        <w:t>xplanations for relevant areas.</w:t>
      </w:r>
    </w:p>
    <w:tbl>
      <w:tblPr>
        <w:tblW w:w="14601" w:type="dxa"/>
        <w:tblInd w:w="-176" w:type="dxa"/>
        <w:shd w:val="clear" w:color="auto" w:fill="FF0000"/>
        <w:tblLayout w:type="fixed"/>
        <w:tblLook w:val="04A0" w:firstRow="1" w:lastRow="0" w:firstColumn="1" w:lastColumn="0" w:noHBand="0" w:noVBand="1"/>
      </w:tblPr>
      <w:tblGrid>
        <w:gridCol w:w="3543"/>
        <w:gridCol w:w="1134"/>
        <w:gridCol w:w="1119"/>
        <w:gridCol w:w="29"/>
        <w:gridCol w:w="1136"/>
        <w:gridCol w:w="9"/>
        <w:gridCol w:w="1029"/>
        <w:gridCol w:w="12"/>
        <w:gridCol w:w="9"/>
        <w:gridCol w:w="805"/>
        <w:gridCol w:w="12"/>
        <w:gridCol w:w="881"/>
        <w:gridCol w:w="12"/>
        <w:gridCol w:w="4871"/>
      </w:tblGrid>
      <w:tr w:rsidR="00FD51FE" w:rsidRPr="00FD51FE" w:rsidTr="00FD51FE">
        <w:trPr>
          <w:trHeight w:val="510"/>
          <w:tblHeader/>
        </w:trPr>
        <w:tc>
          <w:tcPr>
            <w:tcW w:w="3543" w:type="dxa"/>
            <w:tcBorders>
              <w:left w:val="nil"/>
              <w:bottom w:val="single" w:sz="4" w:space="0" w:color="FFFFFF" w:themeColor="background1"/>
              <w:right w:val="single" w:sz="4" w:space="0" w:color="FFFFFF" w:themeColor="background1"/>
            </w:tcBorders>
            <w:shd w:val="clear" w:color="auto" w:fill="FF0000"/>
            <w:vAlign w:val="bottom"/>
            <w:hideMark/>
          </w:tcPr>
          <w:p w:rsidR="00FD51FE" w:rsidRPr="00FD51FE" w:rsidRDefault="00FD51FE" w:rsidP="00FD51FE">
            <w:pPr>
              <w:spacing w:after="0" w:line="240" w:lineRule="auto"/>
              <w:rPr>
                <w:rFonts w:eastAsia="Times New Roman" w:cstheme="minorHAnsi"/>
                <w:b/>
                <w:bCs/>
                <w:color w:val="FFFFFF"/>
                <w:szCs w:val="20"/>
                <w:lang w:eastAsia="en-NZ"/>
              </w:rPr>
            </w:pPr>
            <w:r>
              <w:rPr>
                <w:rFonts w:eastAsia="Times New Roman" w:cstheme="minorHAnsi"/>
                <w:b/>
                <w:bCs/>
                <w:color w:val="FFFFFF"/>
                <w:szCs w:val="20"/>
                <w:lang w:eastAsia="en-NZ"/>
              </w:rPr>
              <w:lastRenderedPageBreak/>
              <w:t>Performance Measure</w:t>
            </w:r>
          </w:p>
        </w:tc>
        <w:tc>
          <w:tcPr>
            <w:tcW w:w="1134" w:type="dxa"/>
            <w:tcBorders>
              <w:left w:val="single" w:sz="4" w:space="0" w:color="FFFFFF" w:themeColor="background1"/>
              <w:bottom w:val="single" w:sz="4" w:space="0" w:color="FFFFFF" w:themeColor="background1"/>
              <w:right w:val="single" w:sz="4" w:space="0" w:color="FFFFFF" w:themeColor="background1"/>
            </w:tcBorders>
            <w:shd w:val="clear" w:color="auto" w:fill="FF0000"/>
            <w:vAlign w:val="bottom"/>
            <w:hideMark/>
          </w:tcPr>
          <w:p w:rsidR="00FD51FE" w:rsidRPr="00FD51FE" w:rsidRDefault="00FD51FE" w:rsidP="00FD51FE">
            <w:pPr>
              <w:spacing w:after="0" w:line="240" w:lineRule="auto"/>
              <w:jc w:val="center"/>
              <w:rPr>
                <w:rFonts w:eastAsia="Times New Roman" w:cstheme="minorHAnsi"/>
                <w:b/>
                <w:bCs/>
                <w:color w:val="FFFFFF"/>
                <w:szCs w:val="20"/>
                <w:lang w:eastAsia="en-NZ"/>
              </w:rPr>
            </w:pPr>
            <w:r w:rsidRPr="00FD51FE">
              <w:rPr>
                <w:rFonts w:eastAsia="Times New Roman" w:cstheme="minorHAnsi"/>
                <w:b/>
                <w:bCs/>
                <w:color w:val="FFFFFF"/>
                <w:szCs w:val="20"/>
                <w:lang w:eastAsia="en-NZ"/>
              </w:rPr>
              <w:t>2016/17</w:t>
            </w:r>
            <w:r w:rsidRPr="00FD51FE">
              <w:rPr>
                <w:rFonts w:eastAsia="Times New Roman" w:cstheme="minorHAnsi"/>
                <w:b/>
                <w:bCs/>
                <w:color w:val="FFFFFF"/>
                <w:szCs w:val="20"/>
                <w:lang w:eastAsia="en-NZ"/>
              </w:rPr>
              <w:br/>
              <w:t>Actual</w:t>
            </w:r>
          </w:p>
        </w:tc>
        <w:tc>
          <w:tcPr>
            <w:tcW w:w="1148" w:type="dxa"/>
            <w:gridSpan w:val="2"/>
            <w:tcBorders>
              <w:left w:val="single" w:sz="4" w:space="0" w:color="FFFFFF" w:themeColor="background1"/>
              <w:bottom w:val="single" w:sz="4" w:space="0" w:color="FFFFFF" w:themeColor="background1"/>
              <w:right w:val="single" w:sz="4" w:space="0" w:color="FFFFFF" w:themeColor="background1"/>
            </w:tcBorders>
            <w:shd w:val="clear" w:color="auto" w:fill="FF0000"/>
            <w:vAlign w:val="bottom"/>
            <w:hideMark/>
          </w:tcPr>
          <w:p w:rsidR="00FD51FE" w:rsidRPr="00FD51FE" w:rsidRDefault="00FD51FE" w:rsidP="00FD51FE">
            <w:pPr>
              <w:spacing w:after="0" w:line="240" w:lineRule="auto"/>
              <w:jc w:val="center"/>
              <w:rPr>
                <w:rFonts w:eastAsia="Times New Roman" w:cstheme="minorHAnsi"/>
                <w:b/>
                <w:bCs/>
                <w:color w:val="FFFFFF"/>
                <w:szCs w:val="20"/>
                <w:lang w:eastAsia="en-NZ"/>
              </w:rPr>
            </w:pPr>
            <w:r w:rsidRPr="00FD51FE">
              <w:rPr>
                <w:rFonts w:eastAsia="Times New Roman" w:cstheme="minorHAnsi"/>
                <w:b/>
                <w:bCs/>
                <w:color w:val="FFFFFF"/>
                <w:szCs w:val="20"/>
                <w:lang w:eastAsia="en-NZ"/>
              </w:rPr>
              <w:t>2017/18</w:t>
            </w:r>
            <w:r w:rsidRPr="00FD51FE">
              <w:rPr>
                <w:rFonts w:eastAsia="Times New Roman" w:cstheme="minorHAnsi"/>
                <w:b/>
                <w:bCs/>
                <w:color w:val="FFFFFF"/>
                <w:szCs w:val="20"/>
                <w:lang w:eastAsia="en-NZ"/>
              </w:rPr>
              <w:br/>
              <w:t>Actual</w:t>
            </w:r>
          </w:p>
        </w:tc>
        <w:tc>
          <w:tcPr>
            <w:tcW w:w="1145" w:type="dxa"/>
            <w:gridSpan w:val="2"/>
            <w:tcBorders>
              <w:left w:val="single" w:sz="4" w:space="0" w:color="FFFFFF" w:themeColor="background1"/>
              <w:bottom w:val="single" w:sz="4" w:space="0" w:color="FFFFFF" w:themeColor="background1"/>
              <w:right w:val="single" w:sz="4" w:space="0" w:color="FFFFFF" w:themeColor="background1"/>
            </w:tcBorders>
            <w:shd w:val="clear" w:color="auto" w:fill="FF0000"/>
            <w:vAlign w:val="bottom"/>
            <w:hideMark/>
          </w:tcPr>
          <w:p w:rsidR="00FD51FE" w:rsidRPr="00FD51FE" w:rsidRDefault="00FD51FE" w:rsidP="00FD51FE">
            <w:pPr>
              <w:spacing w:after="0" w:line="240" w:lineRule="auto"/>
              <w:jc w:val="center"/>
              <w:rPr>
                <w:rFonts w:eastAsia="Times New Roman" w:cstheme="minorHAnsi"/>
                <w:b/>
                <w:bCs/>
                <w:color w:val="FFFFFF"/>
                <w:szCs w:val="20"/>
                <w:lang w:eastAsia="en-NZ"/>
              </w:rPr>
            </w:pPr>
            <w:r w:rsidRPr="00FD51FE">
              <w:rPr>
                <w:rFonts w:eastAsia="Times New Roman" w:cstheme="minorHAnsi"/>
                <w:b/>
                <w:bCs/>
                <w:color w:val="FFFFFF"/>
                <w:szCs w:val="20"/>
                <w:lang w:eastAsia="en-NZ"/>
              </w:rPr>
              <w:t>2018/19</w:t>
            </w:r>
            <w:r w:rsidRPr="00FD51FE">
              <w:rPr>
                <w:rFonts w:eastAsia="Times New Roman" w:cstheme="minorHAnsi"/>
                <w:b/>
                <w:bCs/>
                <w:color w:val="FFFFFF"/>
                <w:szCs w:val="20"/>
                <w:lang w:eastAsia="en-NZ"/>
              </w:rPr>
              <w:br/>
              <w:t>Actual</w:t>
            </w:r>
          </w:p>
        </w:tc>
        <w:tc>
          <w:tcPr>
            <w:tcW w:w="1050" w:type="dxa"/>
            <w:gridSpan w:val="3"/>
            <w:tcBorders>
              <w:left w:val="single" w:sz="4" w:space="0" w:color="FFFFFF" w:themeColor="background1"/>
              <w:bottom w:val="single" w:sz="4" w:space="0" w:color="FFFFFF" w:themeColor="background1"/>
              <w:right w:val="single" w:sz="4" w:space="0" w:color="FFFFFF" w:themeColor="background1"/>
            </w:tcBorders>
            <w:shd w:val="clear" w:color="auto" w:fill="FF0000"/>
            <w:vAlign w:val="bottom"/>
            <w:hideMark/>
          </w:tcPr>
          <w:p w:rsidR="00FD51FE" w:rsidRPr="00FD51FE" w:rsidRDefault="00FD51FE" w:rsidP="00FD51FE">
            <w:pPr>
              <w:spacing w:after="0" w:line="240" w:lineRule="auto"/>
              <w:jc w:val="center"/>
              <w:rPr>
                <w:rFonts w:eastAsia="Times New Roman" w:cstheme="minorHAnsi"/>
                <w:b/>
                <w:bCs/>
                <w:color w:val="FFFFFF" w:themeColor="background1"/>
                <w:szCs w:val="20"/>
                <w:lang w:eastAsia="en-NZ"/>
              </w:rPr>
            </w:pPr>
            <w:r w:rsidRPr="00FD51FE">
              <w:rPr>
                <w:rFonts w:eastAsia="Times New Roman" w:cstheme="minorHAnsi"/>
                <w:b/>
                <w:bCs/>
                <w:color w:val="FFFFFF" w:themeColor="background1"/>
                <w:szCs w:val="20"/>
                <w:lang w:eastAsia="en-NZ"/>
              </w:rPr>
              <w:t>2018/19 Target</w:t>
            </w:r>
          </w:p>
        </w:tc>
        <w:tc>
          <w:tcPr>
            <w:tcW w:w="817" w:type="dxa"/>
            <w:gridSpan w:val="2"/>
            <w:tcBorders>
              <w:left w:val="single" w:sz="4" w:space="0" w:color="FFFFFF" w:themeColor="background1"/>
              <w:bottom w:val="single" w:sz="4" w:space="0" w:color="FFFFFF" w:themeColor="background1"/>
              <w:right w:val="single" w:sz="4" w:space="0" w:color="FFFFFF" w:themeColor="background1"/>
            </w:tcBorders>
            <w:shd w:val="clear" w:color="auto" w:fill="FF0000"/>
            <w:vAlign w:val="bottom"/>
            <w:hideMark/>
          </w:tcPr>
          <w:p w:rsidR="00FD51FE" w:rsidRPr="00FD51FE" w:rsidRDefault="00FD51FE" w:rsidP="00FD51FE">
            <w:pPr>
              <w:spacing w:after="0" w:line="240" w:lineRule="auto"/>
              <w:jc w:val="center"/>
              <w:rPr>
                <w:rFonts w:eastAsia="Times New Roman" w:cstheme="minorHAnsi"/>
                <w:b/>
                <w:bCs/>
                <w:color w:val="FFFFFF" w:themeColor="background1"/>
                <w:szCs w:val="20"/>
                <w:lang w:eastAsia="en-NZ"/>
              </w:rPr>
            </w:pPr>
            <w:r w:rsidRPr="00FD51FE">
              <w:rPr>
                <w:rFonts w:eastAsia="Times New Roman" w:cstheme="minorHAnsi"/>
                <w:b/>
                <w:bCs/>
                <w:color w:val="FFFFFF" w:themeColor="background1"/>
                <w:szCs w:val="20"/>
                <w:lang w:eastAsia="en-NZ"/>
              </w:rPr>
              <w:t>% Var.</w:t>
            </w:r>
          </w:p>
        </w:tc>
        <w:tc>
          <w:tcPr>
            <w:tcW w:w="893" w:type="dxa"/>
            <w:gridSpan w:val="2"/>
            <w:tcBorders>
              <w:left w:val="single" w:sz="4" w:space="0" w:color="FFFFFF" w:themeColor="background1"/>
              <w:bottom w:val="single" w:sz="4" w:space="0" w:color="FFFFFF" w:themeColor="background1"/>
              <w:right w:val="single" w:sz="4" w:space="0" w:color="FFFFFF" w:themeColor="background1"/>
            </w:tcBorders>
            <w:shd w:val="clear" w:color="auto" w:fill="FF0000"/>
            <w:vAlign w:val="bottom"/>
            <w:hideMark/>
          </w:tcPr>
          <w:p w:rsidR="00FD51FE" w:rsidRPr="00FD51FE" w:rsidRDefault="00060BB3" w:rsidP="00FD51FE">
            <w:pPr>
              <w:spacing w:after="0" w:line="240" w:lineRule="auto"/>
              <w:jc w:val="center"/>
              <w:rPr>
                <w:rFonts w:eastAsia="Times New Roman" w:cstheme="minorHAnsi"/>
                <w:b/>
                <w:bCs/>
                <w:color w:val="FFFFFF" w:themeColor="background1"/>
                <w:szCs w:val="20"/>
                <w:lang w:eastAsia="en-NZ"/>
              </w:rPr>
            </w:pPr>
            <w:r>
              <w:rPr>
                <w:rFonts w:eastAsia="Times New Roman" w:cstheme="minorHAnsi"/>
                <w:b/>
                <w:bCs/>
                <w:color w:val="FFFFFF" w:themeColor="background1"/>
                <w:szCs w:val="20"/>
                <w:lang w:eastAsia="en-NZ"/>
              </w:rPr>
              <w:t>Status</w:t>
            </w:r>
          </w:p>
        </w:tc>
        <w:tc>
          <w:tcPr>
            <w:tcW w:w="4871" w:type="dxa"/>
            <w:tcBorders>
              <w:left w:val="single" w:sz="4" w:space="0" w:color="FFFFFF" w:themeColor="background1"/>
              <w:bottom w:val="single" w:sz="4" w:space="0" w:color="FFFFFF" w:themeColor="background1"/>
              <w:right w:val="single" w:sz="4" w:space="0" w:color="808080"/>
            </w:tcBorders>
            <w:shd w:val="clear" w:color="auto" w:fill="FF0000"/>
            <w:vAlign w:val="bottom"/>
            <w:hideMark/>
          </w:tcPr>
          <w:p w:rsidR="00FD51FE" w:rsidRPr="00FD51FE" w:rsidRDefault="00FD51FE" w:rsidP="00FD51FE">
            <w:pPr>
              <w:spacing w:after="0" w:line="240" w:lineRule="auto"/>
              <w:rPr>
                <w:rFonts w:eastAsia="Times New Roman" w:cstheme="minorHAnsi"/>
                <w:b/>
                <w:bCs/>
                <w:color w:val="FFFFFF"/>
                <w:szCs w:val="20"/>
                <w:lang w:eastAsia="en-NZ"/>
              </w:rPr>
            </w:pPr>
            <w:r w:rsidRPr="00FD51FE">
              <w:rPr>
                <w:rFonts w:eastAsia="Times New Roman" w:cstheme="minorHAnsi"/>
                <w:b/>
                <w:bCs/>
                <w:color w:val="FFFFFF"/>
                <w:szCs w:val="20"/>
                <w:lang w:eastAsia="en-NZ"/>
              </w:rPr>
              <w:t>Comments</w:t>
            </w:r>
          </w:p>
        </w:tc>
      </w:tr>
      <w:tr w:rsidR="00FD51FE" w:rsidRPr="008E18E2" w:rsidTr="00FE57D6">
        <w:tblPrEx>
          <w:shd w:val="clear" w:color="auto" w:fill="auto"/>
        </w:tblPrEx>
        <w:trPr>
          <w:trHeight w:val="390"/>
        </w:trPr>
        <w:tc>
          <w:tcPr>
            <w:tcW w:w="14601" w:type="dxa"/>
            <w:gridSpan w:val="14"/>
            <w:tcBorders>
              <w:top w:val="single" w:sz="4" w:space="0" w:color="FFFFFF" w:themeColor="background1"/>
              <w:left w:val="nil"/>
              <w:bottom w:val="nil"/>
              <w:right w:val="nil"/>
            </w:tcBorders>
            <w:shd w:val="clear" w:color="auto" w:fill="auto"/>
            <w:noWrap/>
            <w:hideMark/>
          </w:tcPr>
          <w:p w:rsidR="00FD51FE" w:rsidRPr="008E18E2" w:rsidRDefault="00FD51FE" w:rsidP="00FE57D6">
            <w:pPr>
              <w:spacing w:after="0" w:line="240" w:lineRule="auto"/>
              <w:rPr>
                <w:rFonts w:eastAsia="Times New Roman" w:cstheme="minorHAnsi"/>
                <w:color w:val="000000"/>
                <w:sz w:val="20"/>
                <w:lang w:eastAsia="en-NZ"/>
              </w:rPr>
            </w:pPr>
            <w:r w:rsidRPr="008E18E2">
              <w:rPr>
                <w:rFonts w:eastAsia="Times New Roman" w:cstheme="minorHAnsi"/>
                <w:b/>
                <w:bCs/>
                <w:color w:val="FF0000"/>
                <w:sz w:val="28"/>
                <w:szCs w:val="28"/>
                <w:lang w:eastAsia="en-NZ"/>
              </w:rPr>
              <w:t>Waka | Transport</w:t>
            </w:r>
          </w:p>
        </w:tc>
      </w:tr>
      <w:tr w:rsidR="00FD51FE" w:rsidRPr="008E18E2" w:rsidTr="00FE57D6">
        <w:tblPrEx>
          <w:shd w:val="clear" w:color="auto" w:fill="auto"/>
        </w:tblPrEx>
        <w:trPr>
          <w:trHeight w:val="315"/>
        </w:trPr>
        <w:tc>
          <w:tcPr>
            <w:tcW w:w="14601" w:type="dxa"/>
            <w:gridSpan w:val="14"/>
            <w:tcBorders>
              <w:top w:val="nil"/>
              <w:left w:val="nil"/>
              <w:right w:val="nil"/>
            </w:tcBorders>
            <w:shd w:val="clear" w:color="auto" w:fill="FF0000"/>
            <w:hideMark/>
          </w:tcPr>
          <w:p w:rsidR="00FD51FE" w:rsidRPr="008E18E2" w:rsidRDefault="00FD51FE" w:rsidP="00FE57D6">
            <w:pPr>
              <w:spacing w:after="0" w:line="240" w:lineRule="auto"/>
              <w:rPr>
                <w:rFonts w:eastAsia="Times New Roman" w:cstheme="minorHAnsi"/>
                <w:color w:val="000000"/>
                <w:sz w:val="24"/>
                <w:lang w:eastAsia="en-NZ"/>
              </w:rPr>
            </w:pPr>
            <w:r w:rsidRPr="008E18E2">
              <w:rPr>
                <w:rFonts w:eastAsia="Times New Roman" w:cstheme="minorHAnsi"/>
                <w:b/>
                <w:bCs/>
                <w:color w:val="FFFFFF"/>
                <w:sz w:val="24"/>
                <w:lang w:eastAsia="en-NZ"/>
              </w:rPr>
              <w:t>7.1 Transport network  </w:t>
            </w:r>
          </w:p>
        </w:tc>
      </w:tr>
      <w:tr w:rsidR="00FD51FE" w:rsidRPr="008E18E2" w:rsidTr="00FE57D6">
        <w:tblPrEx>
          <w:shd w:val="clear" w:color="auto" w:fill="auto"/>
        </w:tblPrEx>
        <w:trPr>
          <w:trHeight w:val="315"/>
        </w:trPr>
        <w:tc>
          <w:tcPr>
            <w:tcW w:w="14601" w:type="dxa"/>
            <w:gridSpan w:val="14"/>
            <w:tcBorders>
              <w:top w:val="nil"/>
              <w:left w:val="nil"/>
              <w:right w:val="nil"/>
            </w:tcBorders>
            <w:shd w:val="clear" w:color="auto" w:fill="FFCCCC"/>
            <w:hideMark/>
          </w:tcPr>
          <w:p w:rsidR="00FD51FE" w:rsidRPr="008E18E2" w:rsidRDefault="00FD51FE" w:rsidP="00FE57D6">
            <w:pPr>
              <w:spacing w:after="0" w:line="240" w:lineRule="auto"/>
              <w:rPr>
                <w:rFonts w:eastAsia="Times New Roman" w:cstheme="minorHAnsi"/>
                <w:b/>
                <w:sz w:val="20"/>
                <w:lang w:eastAsia="en-NZ"/>
              </w:rPr>
            </w:pPr>
            <w:r w:rsidRPr="008E18E2">
              <w:rPr>
                <w:rFonts w:eastAsia="Times New Roman" w:cstheme="minorHAnsi"/>
                <w:b/>
                <w:lang w:eastAsia="en-NZ"/>
              </w:rPr>
              <w:t>Network condition and maintenance</w:t>
            </w:r>
          </w:p>
        </w:tc>
      </w:tr>
      <w:tr w:rsidR="00FD51FE" w:rsidRPr="008E18E2" w:rsidTr="00FE57D6">
        <w:tblPrEx>
          <w:shd w:val="clear" w:color="auto" w:fill="auto"/>
        </w:tblPrEx>
        <w:trPr>
          <w:trHeight w:val="270"/>
        </w:trPr>
        <w:tc>
          <w:tcPr>
            <w:tcW w:w="3543" w:type="dxa"/>
            <w:tcBorders>
              <w:top w:val="nil"/>
              <w:left w:val="nil"/>
              <w:bottom w:val="single" w:sz="8" w:space="0" w:color="FF0000"/>
              <w:right w:val="single" w:sz="8" w:space="0" w:color="FF0000"/>
            </w:tcBorders>
            <w:shd w:val="clear" w:color="auto" w:fill="auto"/>
            <w:hideMark/>
          </w:tcPr>
          <w:p w:rsidR="00FD51FE" w:rsidRPr="008E18E2" w:rsidRDefault="00FD51FE" w:rsidP="00FE57D6">
            <w:pPr>
              <w:spacing w:after="0" w:line="240" w:lineRule="auto"/>
              <w:rPr>
                <w:rFonts w:eastAsia="Times New Roman" w:cstheme="minorHAnsi"/>
                <w:color w:val="000000"/>
                <w:sz w:val="20"/>
                <w:lang w:eastAsia="en-NZ"/>
              </w:rPr>
            </w:pPr>
            <w:r w:rsidRPr="008E18E2">
              <w:rPr>
                <w:rFonts w:eastAsia="Times New Roman" w:cstheme="minorHAnsi"/>
                <w:color w:val="000000"/>
                <w:sz w:val="20"/>
                <w:lang w:eastAsia="en-NZ"/>
              </w:rPr>
              <w:t>Roads (%) which meet smooth roads standards - all roads</w:t>
            </w:r>
          </w:p>
        </w:tc>
        <w:tc>
          <w:tcPr>
            <w:tcW w:w="1134" w:type="dxa"/>
            <w:tcBorders>
              <w:top w:val="single" w:sz="4" w:space="0" w:color="FFFFFF" w:themeColor="background1"/>
              <w:left w:val="nil"/>
              <w:bottom w:val="single" w:sz="8" w:space="0" w:color="FF0000"/>
              <w:right w:val="nil"/>
            </w:tcBorders>
            <w:shd w:val="clear" w:color="auto" w:fill="auto"/>
            <w:noWrap/>
            <w:hideMark/>
          </w:tcPr>
          <w:p w:rsidR="00FD51FE" w:rsidRPr="008E18E2" w:rsidRDefault="00FD51FE" w:rsidP="00FE57D6">
            <w:pPr>
              <w:spacing w:after="0" w:line="240" w:lineRule="auto"/>
              <w:jc w:val="right"/>
              <w:rPr>
                <w:rFonts w:cstheme="minorHAnsi"/>
                <w:color w:val="000000"/>
                <w:sz w:val="20"/>
                <w:szCs w:val="20"/>
              </w:rPr>
            </w:pPr>
            <w:r w:rsidRPr="008E18E2">
              <w:rPr>
                <w:rFonts w:cstheme="minorHAnsi"/>
                <w:color w:val="000000"/>
                <w:sz w:val="20"/>
                <w:szCs w:val="20"/>
              </w:rPr>
              <w:t>74%</w:t>
            </w:r>
          </w:p>
        </w:tc>
        <w:tc>
          <w:tcPr>
            <w:tcW w:w="1119" w:type="dxa"/>
            <w:tcBorders>
              <w:top w:val="single" w:sz="4" w:space="0" w:color="FFFFFF" w:themeColor="background1"/>
              <w:left w:val="nil"/>
              <w:bottom w:val="single" w:sz="8" w:space="0" w:color="FF0000"/>
              <w:right w:val="nil"/>
            </w:tcBorders>
            <w:shd w:val="clear" w:color="auto" w:fill="auto"/>
            <w:noWrap/>
            <w:hideMark/>
          </w:tcPr>
          <w:p w:rsidR="00FD51FE" w:rsidRPr="008E18E2" w:rsidRDefault="00FD51FE" w:rsidP="00FE57D6">
            <w:pPr>
              <w:spacing w:after="0" w:line="240" w:lineRule="auto"/>
              <w:jc w:val="right"/>
              <w:rPr>
                <w:rFonts w:cstheme="minorHAnsi"/>
                <w:color w:val="000000"/>
                <w:sz w:val="20"/>
                <w:szCs w:val="20"/>
              </w:rPr>
            </w:pPr>
            <w:r w:rsidRPr="008E18E2">
              <w:rPr>
                <w:rFonts w:cstheme="minorHAnsi"/>
                <w:color w:val="000000"/>
                <w:sz w:val="20"/>
                <w:szCs w:val="20"/>
              </w:rPr>
              <w:t>74%</w:t>
            </w:r>
          </w:p>
        </w:tc>
        <w:tc>
          <w:tcPr>
            <w:tcW w:w="1165" w:type="dxa"/>
            <w:gridSpan w:val="2"/>
            <w:tcBorders>
              <w:top w:val="single" w:sz="4" w:space="0" w:color="FFFFFF" w:themeColor="background1"/>
              <w:left w:val="nil"/>
              <w:bottom w:val="single" w:sz="8" w:space="0" w:color="FF0000"/>
              <w:right w:val="nil"/>
            </w:tcBorders>
            <w:shd w:val="clear" w:color="auto" w:fill="auto"/>
            <w:noWrap/>
            <w:hideMark/>
          </w:tcPr>
          <w:p w:rsidR="00FD51FE" w:rsidRPr="008E18E2" w:rsidRDefault="00FD51FE" w:rsidP="00FE57D6">
            <w:pPr>
              <w:spacing w:after="0" w:line="240" w:lineRule="auto"/>
              <w:jc w:val="right"/>
              <w:rPr>
                <w:rFonts w:cstheme="minorHAnsi"/>
                <w:color w:val="000000"/>
                <w:sz w:val="20"/>
                <w:szCs w:val="20"/>
              </w:rPr>
            </w:pPr>
            <w:r w:rsidRPr="008E18E2">
              <w:rPr>
                <w:rFonts w:cstheme="minorHAnsi"/>
                <w:color w:val="000000"/>
                <w:sz w:val="20"/>
                <w:szCs w:val="20"/>
              </w:rPr>
              <w:t>73%</w:t>
            </w:r>
          </w:p>
        </w:tc>
        <w:tc>
          <w:tcPr>
            <w:tcW w:w="1050" w:type="dxa"/>
            <w:gridSpan w:val="3"/>
            <w:tcBorders>
              <w:top w:val="single" w:sz="4" w:space="0" w:color="FFFFFF" w:themeColor="background1"/>
              <w:left w:val="nil"/>
              <w:bottom w:val="single" w:sz="8" w:space="0" w:color="FF0000"/>
              <w:right w:val="nil"/>
            </w:tcBorders>
            <w:shd w:val="clear" w:color="000000" w:fill="D9D9D9"/>
            <w:hideMark/>
          </w:tcPr>
          <w:p w:rsidR="00FD51FE" w:rsidRPr="008E18E2" w:rsidRDefault="00FD51FE" w:rsidP="00FE57D6">
            <w:pPr>
              <w:spacing w:after="0" w:line="240" w:lineRule="auto"/>
              <w:jc w:val="right"/>
              <w:rPr>
                <w:rFonts w:cstheme="minorHAnsi"/>
                <w:color w:val="000000"/>
                <w:sz w:val="20"/>
                <w:szCs w:val="20"/>
              </w:rPr>
            </w:pPr>
            <w:r w:rsidRPr="008E18E2">
              <w:rPr>
                <w:rFonts w:cstheme="minorHAnsi"/>
                <w:color w:val="000000"/>
                <w:sz w:val="20"/>
                <w:szCs w:val="20"/>
              </w:rPr>
              <w:t>70%</w:t>
            </w:r>
          </w:p>
        </w:tc>
        <w:tc>
          <w:tcPr>
            <w:tcW w:w="814" w:type="dxa"/>
            <w:gridSpan w:val="2"/>
            <w:tcBorders>
              <w:top w:val="single" w:sz="4" w:space="0" w:color="FFFFFF" w:themeColor="background1"/>
              <w:left w:val="nil"/>
              <w:bottom w:val="single" w:sz="8" w:space="0" w:color="FF0000"/>
              <w:right w:val="nil"/>
            </w:tcBorders>
            <w:shd w:val="clear" w:color="auto" w:fill="auto"/>
            <w:hideMark/>
          </w:tcPr>
          <w:p w:rsidR="00FD51FE" w:rsidRPr="008E18E2" w:rsidRDefault="00FD51FE" w:rsidP="00FE57D6">
            <w:pPr>
              <w:spacing w:after="0" w:line="240" w:lineRule="auto"/>
              <w:jc w:val="right"/>
              <w:rPr>
                <w:rFonts w:cstheme="minorHAnsi"/>
                <w:sz w:val="20"/>
                <w:szCs w:val="20"/>
              </w:rPr>
            </w:pPr>
            <w:r w:rsidRPr="008E18E2">
              <w:rPr>
                <w:rFonts w:cstheme="minorHAnsi"/>
                <w:sz w:val="20"/>
                <w:szCs w:val="20"/>
              </w:rPr>
              <w:t>4%</w:t>
            </w:r>
          </w:p>
        </w:tc>
        <w:tc>
          <w:tcPr>
            <w:tcW w:w="893" w:type="dxa"/>
            <w:gridSpan w:val="2"/>
            <w:tcBorders>
              <w:top w:val="single" w:sz="4" w:space="0" w:color="FFFFFF" w:themeColor="background1"/>
              <w:left w:val="nil"/>
              <w:bottom w:val="single" w:sz="8" w:space="0" w:color="FF0000"/>
              <w:right w:val="single" w:sz="4" w:space="0" w:color="FF0000"/>
            </w:tcBorders>
            <w:shd w:val="clear" w:color="auto" w:fill="auto"/>
            <w:hideMark/>
          </w:tcPr>
          <w:p w:rsidR="00FD51FE" w:rsidRPr="008E18E2" w:rsidRDefault="00060BB3" w:rsidP="00FE57D6">
            <w:pPr>
              <w:spacing w:after="0" w:line="240" w:lineRule="auto"/>
              <w:jc w:val="right"/>
              <w:rPr>
                <w:rFonts w:cstheme="minorHAnsi"/>
                <w:sz w:val="20"/>
                <w:szCs w:val="20"/>
              </w:rPr>
            </w:pPr>
            <w:r>
              <w:rPr>
                <w:rFonts w:cstheme="minorHAnsi"/>
                <w:sz w:val="20"/>
                <w:szCs w:val="20"/>
              </w:rPr>
              <w:t>Within 10%</w:t>
            </w:r>
          </w:p>
        </w:tc>
        <w:tc>
          <w:tcPr>
            <w:tcW w:w="4883" w:type="dxa"/>
            <w:gridSpan w:val="2"/>
            <w:tcBorders>
              <w:left w:val="single" w:sz="4" w:space="0" w:color="FF0000"/>
              <w:bottom w:val="single" w:sz="4" w:space="0" w:color="FF0000"/>
              <w:right w:val="nil"/>
            </w:tcBorders>
            <w:shd w:val="clear" w:color="auto" w:fill="auto"/>
            <w:hideMark/>
          </w:tcPr>
          <w:p w:rsidR="00FD51FE" w:rsidRPr="008E18E2" w:rsidRDefault="00FD51FE" w:rsidP="00FE57D6">
            <w:pPr>
              <w:spacing w:after="0" w:line="240" w:lineRule="auto"/>
              <w:rPr>
                <w:rFonts w:cstheme="minorHAnsi"/>
                <w:color w:val="000000"/>
                <w:sz w:val="20"/>
                <w:szCs w:val="20"/>
              </w:rPr>
            </w:pPr>
            <w:r w:rsidRPr="008E18E2">
              <w:rPr>
                <w:rFonts w:cstheme="minorHAnsi"/>
                <w:color w:val="000000"/>
                <w:sz w:val="20"/>
                <w:szCs w:val="20"/>
              </w:rPr>
              <w:t>The result is for all roads including high volume and regional roads.</w:t>
            </w:r>
          </w:p>
        </w:tc>
      </w:tr>
      <w:tr w:rsidR="00FD51FE" w:rsidRPr="008E18E2" w:rsidTr="00FE57D6">
        <w:tblPrEx>
          <w:shd w:val="clear" w:color="auto" w:fill="auto"/>
        </w:tblPrEx>
        <w:trPr>
          <w:trHeight w:val="525"/>
        </w:trPr>
        <w:tc>
          <w:tcPr>
            <w:tcW w:w="3543" w:type="dxa"/>
            <w:tcBorders>
              <w:top w:val="nil"/>
              <w:left w:val="nil"/>
              <w:bottom w:val="single" w:sz="8" w:space="0" w:color="FF0000"/>
              <w:right w:val="single" w:sz="8" w:space="0" w:color="FF0000"/>
            </w:tcBorders>
            <w:shd w:val="clear" w:color="auto" w:fill="auto"/>
            <w:hideMark/>
          </w:tcPr>
          <w:p w:rsidR="00FD51FE" w:rsidRPr="008E18E2" w:rsidRDefault="00FD51FE" w:rsidP="00FE57D6">
            <w:pPr>
              <w:spacing w:after="0" w:line="240" w:lineRule="auto"/>
              <w:rPr>
                <w:rFonts w:eastAsia="Times New Roman" w:cstheme="minorHAnsi"/>
                <w:color w:val="000000"/>
                <w:sz w:val="20"/>
                <w:lang w:eastAsia="en-NZ"/>
              </w:rPr>
            </w:pPr>
            <w:r w:rsidRPr="008E18E2">
              <w:rPr>
                <w:rFonts w:eastAsia="Times New Roman" w:cstheme="minorHAnsi"/>
                <w:color w:val="000000"/>
                <w:sz w:val="20"/>
                <w:lang w:eastAsia="en-NZ"/>
              </w:rPr>
              <w:t>Structures (%) that have been condition rated in the past five years - walls</w:t>
            </w:r>
          </w:p>
        </w:tc>
        <w:tc>
          <w:tcPr>
            <w:tcW w:w="1134" w:type="dxa"/>
            <w:tcBorders>
              <w:top w:val="single" w:sz="8" w:space="0" w:color="FF0000"/>
              <w:left w:val="nil"/>
              <w:bottom w:val="single" w:sz="8" w:space="0" w:color="FF0000"/>
              <w:right w:val="nil"/>
            </w:tcBorders>
            <w:shd w:val="clear" w:color="auto" w:fill="auto"/>
            <w:hideMark/>
          </w:tcPr>
          <w:p w:rsidR="00FD51FE" w:rsidRPr="008E18E2" w:rsidRDefault="00FD51FE" w:rsidP="00FE57D6">
            <w:pPr>
              <w:spacing w:after="0" w:line="240" w:lineRule="auto"/>
              <w:jc w:val="right"/>
              <w:rPr>
                <w:rFonts w:eastAsia="Times New Roman" w:cstheme="minorHAnsi"/>
                <w:color w:val="000000"/>
                <w:sz w:val="20"/>
                <w:lang w:eastAsia="en-NZ"/>
              </w:rPr>
            </w:pPr>
            <w:r w:rsidRPr="008E18E2">
              <w:rPr>
                <w:rFonts w:eastAsia="Times New Roman" w:cstheme="minorHAnsi"/>
                <w:color w:val="000000"/>
                <w:sz w:val="20"/>
                <w:lang w:eastAsia="en-NZ"/>
              </w:rPr>
              <w:t>New</w:t>
            </w:r>
          </w:p>
        </w:tc>
        <w:tc>
          <w:tcPr>
            <w:tcW w:w="1119" w:type="dxa"/>
            <w:tcBorders>
              <w:top w:val="single" w:sz="8" w:space="0" w:color="FF0000"/>
              <w:left w:val="nil"/>
              <w:bottom w:val="single" w:sz="8" w:space="0" w:color="FF0000"/>
              <w:right w:val="nil"/>
            </w:tcBorders>
            <w:shd w:val="clear" w:color="auto" w:fill="auto"/>
            <w:noWrap/>
            <w:hideMark/>
          </w:tcPr>
          <w:p w:rsidR="00FD51FE" w:rsidRPr="008E18E2" w:rsidRDefault="00FD51FE" w:rsidP="00FE57D6">
            <w:pPr>
              <w:spacing w:after="0" w:line="240" w:lineRule="auto"/>
              <w:jc w:val="right"/>
              <w:rPr>
                <w:rFonts w:eastAsia="Times New Roman" w:cstheme="minorHAnsi"/>
                <w:color w:val="000000"/>
                <w:sz w:val="20"/>
                <w:lang w:eastAsia="en-NZ"/>
              </w:rPr>
            </w:pPr>
            <w:r w:rsidRPr="008E18E2">
              <w:rPr>
                <w:rFonts w:eastAsia="Times New Roman" w:cstheme="minorHAnsi"/>
                <w:color w:val="000000"/>
                <w:sz w:val="20"/>
                <w:lang w:eastAsia="en-NZ"/>
              </w:rPr>
              <w:t>48%</w:t>
            </w:r>
          </w:p>
        </w:tc>
        <w:tc>
          <w:tcPr>
            <w:tcW w:w="1165" w:type="dxa"/>
            <w:gridSpan w:val="2"/>
            <w:tcBorders>
              <w:top w:val="single" w:sz="8" w:space="0" w:color="FF0000"/>
              <w:left w:val="nil"/>
              <w:bottom w:val="single" w:sz="8" w:space="0" w:color="FF0000"/>
              <w:right w:val="nil"/>
            </w:tcBorders>
            <w:shd w:val="clear" w:color="auto" w:fill="auto"/>
            <w:noWrap/>
            <w:hideMark/>
          </w:tcPr>
          <w:p w:rsidR="00FD51FE" w:rsidRPr="008E18E2" w:rsidRDefault="00FD51FE" w:rsidP="00FE57D6">
            <w:pPr>
              <w:spacing w:after="0" w:line="240" w:lineRule="auto"/>
              <w:jc w:val="right"/>
              <w:rPr>
                <w:rFonts w:eastAsia="Times New Roman" w:cstheme="minorHAnsi"/>
                <w:color w:val="000000"/>
                <w:sz w:val="20"/>
                <w:lang w:eastAsia="en-NZ"/>
              </w:rPr>
            </w:pPr>
            <w:r w:rsidRPr="008E18E2">
              <w:rPr>
                <w:rFonts w:eastAsia="Times New Roman" w:cstheme="minorHAnsi"/>
                <w:color w:val="000000"/>
                <w:sz w:val="20"/>
                <w:lang w:eastAsia="en-NZ"/>
              </w:rPr>
              <w:t>69%</w:t>
            </w:r>
          </w:p>
        </w:tc>
        <w:tc>
          <w:tcPr>
            <w:tcW w:w="1050" w:type="dxa"/>
            <w:gridSpan w:val="3"/>
            <w:tcBorders>
              <w:top w:val="single" w:sz="8" w:space="0" w:color="FF0000"/>
              <w:left w:val="nil"/>
              <w:bottom w:val="single" w:sz="8" w:space="0" w:color="FF0000"/>
              <w:right w:val="nil"/>
            </w:tcBorders>
            <w:shd w:val="clear" w:color="000000" w:fill="D9D9D9"/>
            <w:hideMark/>
          </w:tcPr>
          <w:p w:rsidR="00FD51FE" w:rsidRPr="008E18E2" w:rsidRDefault="00FD51FE" w:rsidP="00FE57D6">
            <w:pPr>
              <w:spacing w:after="0" w:line="240" w:lineRule="auto"/>
              <w:jc w:val="right"/>
              <w:rPr>
                <w:rFonts w:eastAsia="Times New Roman" w:cstheme="minorHAnsi"/>
                <w:color w:val="000000"/>
                <w:sz w:val="20"/>
                <w:lang w:eastAsia="en-NZ"/>
              </w:rPr>
            </w:pPr>
            <w:r w:rsidRPr="008E18E2">
              <w:rPr>
                <w:rFonts w:eastAsia="Times New Roman" w:cstheme="minorHAnsi"/>
                <w:color w:val="000000"/>
                <w:sz w:val="20"/>
                <w:lang w:eastAsia="en-NZ"/>
              </w:rPr>
              <w:t>100%</w:t>
            </w:r>
          </w:p>
        </w:tc>
        <w:tc>
          <w:tcPr>
            <w:tcW w:w="814" w:type="dxa"/>
            <w:gridSpan w:val="2"/>
            <w:tcBorders>
              <w:top w:val="single" w:sz="8" w:space="0" w:color="FF0000"/>
              <w:left w:val="nil"/>
              <w:bottom w:val="single" w:sz="8" w:space="0" w:color="FF0000"/>
              <w:right w:val="nil"/>
            </w:tcBorders>
            <w:shd w:val="clear" w:color="auto" w:fill="auto"/>
            <w:hideMark/>
          </w:tcPr>
          <w:p w:rsidR="00FD51FE" w:rsidRPr="008E18E2" w:rsidRDefault="00FD51FE" w:rsidP="00FE57D6">
            <w:pPr>
              <w:spacing w:after="0" w:line="240" w:lineRule="auto"/>
              <w:jc w:val="right"/>
              <w:rPr>
                <w:rFonts w:eastAsia="Times New Roman" w:cstheme="minorHAnsi"/>
                <w:sz w:val="20"/>
                <w:lang w:eastAsia="en-NZ"/>
              </w:rPr>
            </w:pPr>
            <w:r w:rsidRPr="008E18E2">
              <w:rPr>
                <w:rFonts w:eastAsia="Times New Roman" w:cstheme="minorHAnsi"/>
                <w:sz w:val="20"/>
                <w:lang w:eastAsia="en-NZ"/>
              </w:rPr>
              <w:t>-31%</w:t>
            </w:r>
          </w:p>
        </w:tc>
        <w:tc>
          <w:tcPr>
            <w:tcW w:w="893" w:type="dxa"/>
            <w:gridSpan w:val="2"/>
            <w:tcBorders>
              <w:top w:val="single" w:sz="8" w:space="0" w:color="FF0000"/>
              <w:left w:val="nil"/>
              <w:bottom w:val="single" w:sz="8" w:space="0" w:color="FF0000"/>
              <w:right w:val="single" w:sz="4" w:space="0" w:color="FF0000"/>
            </w:tcBorders>
            <w:shd w:val="clear" w:color="auto" w:fill="auto"/>
            <w:hideMark/>
          </w:tcPr>
          <w:p w:rsidR="00FD51FE" w:rsidRPr="008E18E2" w:rsidRDefault="00FD51FE" w:rsidP="00FE57D6">
            <w:pPr>
              <w:spacing w:after="0" w:line="240" w:lineRule="auto"/>
              <w:jc w:val="right"/>
              <w:rPr>
                <w:rFonts w:eastAsia="Times New Roman" w:cstheme="minorHAnsi"/>
                <w:sz w:val="20"/>
                <w:lang w:eastAsia="en-NZ"/>
              </w:rPr>
            </w:pPr>
            <w:r w:rsidRPr="008E18E2">
              <w:rPr>
                <w:rFonts w:eastAsia="Times New Roman" w:cstheme="minorHAnsi"/>
                <w:sz w:val="20"/>
                <w:lang w:eastAsia="en-NZ"/>
              </w:rPr>
              <w:t xml:space="preserve">not met </w:t>
            </w:r>
          </w:p>
        </w:tc>
        <w:tc>
          <w:tcPr>
            <w:tcW w:w="4883" w:type="dxa"/>
            <w:gridSpan w:val="2"/>
            <w:tcBorders>
              <w:top w:val="single" w:sz="4" w:space="0" w:color="FF0000"/>
              <w:left w:val="single" w:sz="4" w:space="0" w:color="FF0000"/>
              <w:bottom w:val="single" w:sz="4" w:space="0" w:color="FF0000"/>
              <w:right w:val="nil"/>
            </w:tcBorders>
            <w:shd w:val="clear" w:color="auto" w:fill="auto"/>
            <w:hideMark/>
          </w:tcPr>
          <w:p w:rsidR="00FD51FE" w:rsidRPr="008E18E2" w:rsidRDefault="00FD51FE" w:rsidP="00FE57D6">
            <w:pPr>
              <w:spacing w:after="0" w:line="240" w:lineRule="auto"/>
              <w:rPr>
                <w:rFonts w:eastAsia="Times New Roman" w:cstheme="minorHAnsi"/>
                <w:color w:val="000000"/>
                <w:sz w:val="20"/>
                <w:lang w:eastAsia="en-NZ"/>
              </w:rPr>
            </w:pPr>
            <w:r w:rsidRPr="008E18E2">
              <w:rPr>
                <w:rFonts w:cstheme="minorHAnsi"/>
                <w:color w:val="000000"/>
                <w:sz w:val="20"/>
                <w:szCs w:val="20"/>
              </w:rPr>
              <w:t xml:space="preserve">Although behind target this year, performance has significantly improved. We were able to complete approximately three times the number of assessments and continue to prioritise this important maintenance work. </w:t>
            </w:r>
          </w:p>
        </w:tc>
      </w:tr>
      <w:tr w:rsidR="00FD51FE" w:rsidRPr="008E18E2" w:rsidTr="00FE57D6">
        <w:tblPrEx>
          <w:shd w:val="clear" w:color="auto" w:fill="auto"/>
        </w:tblPrEx>
        <w:trPr>
          <w:trHeight w:val="525"/>
        </w:trPr>
        <w:tc>
          <w:tcPr>
            <w:tcW w:w="3543" w:type="dxa"/>
            <w:tcBorders>
              <w:top w:val="nil"/>
              <w:left w:val="nil"/>
              <w:bottom w:val="single" w:sz="8" w:space="0" w:color="FF0000"/>
              <w:right w:val="single" w:sz="8" w:space="0" w:color="FF0000"/>
            </w:tcBorders>
            <w:shd w:val="clear" w:color="auto" w:fill="auto"/>
            <w:hideMark/>
          </w:tcPr>
          <w:p w:rsidR="00FD51FE" w:rsidRPr="008E18E2" w:rsidRDefault="00FD51FE" w:rsidP="00FE57D6">
            <w:pPr>
              <w:spacing w:after="0" w:line="240" w:lineRule="auto"/>
              <w:rPr>
                <w:rFonts w:eastAsia="Times New Roman" w:cstheme="minorHAnsi"/>
                <w:color w:val="000000"/>
                <w:sz w:val="20"/>
                <w:lang w:eastAsia="en-NZ"/>
              </w:rPr>
            </w:pPr>
            <w:r w:rsidRPr="008E18E2">
              <w:rPr>
                <w:rFonts w:eastAsia="Times New Roman" w:cstheme="minorHAnsi"/>
                <w:color w:val="000000"/>
                <w:sz w:val="20"/>
                <w:lang w:eastAsia="en-NZ"/>
              </w:rPr>
              <w:t>Structures (%) that have been condition rated in the past five years - bridges and tunnels</w:t>
            </w:r>
          </w:p>
        </w:tc>
        <w:tc>
          <w:tcPr>
            <w:tcW w:w="1134" w:type="dxa"/>
            <w:tcBorders>
              <w:top w:val="single" w:sz="8" w:space="0" w:color="FF0000"/>
              <w:left w:val="nil"/>
              <w:bottom w:val="single" w:sz="8" w:space="0" w:color="FF0000"/>
              <w:right w:val="nil"/>
            </w:tcBorders>
            <w:shd w:val="clear" w:color="auto" w:fill="auto"/>
            <w:hideMark/>
          </w:tcPr>
          <w:p w:rsidR="00FD51FE" w:rsidRPr="008E18E2" w:rsidRDefault="00FD51FE" w:rsidP="00FE57D6">
            <w:pPr>
              <w:spacing w:after="0" w:line="240" w:lineRule="auto"/>
              <w:jc w:val="right"/>
              <w:rPr>
                <w:rFonts w:eastAsia="Times New Roman" w:cstheme="minorHAnsi"/>
                <w:color w:val="000000"/>
                <w:sz w:val="20"/>
                <w:lang w:eastAsia="en-NZ"/>
              </w:rPr>
            </w:pPr>
          </w:p>
        </w:tc>
        <w:tc>
          <w:tcPr>
            <w:tcW w:w="1119" w:type="dxa"/>
            <w:tcBorders>
              <w:top w:val="single" w:sz="8" w:space="0" w:color="FF0000"/>
              <w:left w:val="nil"/>
              <w:bottom w:val="single" w:sz="8" w:space="0" w:color="FF0000"/>
              <w:right w:val="nil"/>
            </w:tcBorders>
            <w:shd w:val="clear" w:color="auto" w:fill="auto"/>
            <w:noWrap/>
            <w:hideMark/>
          </w:tcPr>
          <w:p w:rsidR="00FD51FE" w:rsidRPr="008E18E2" w:rsidRDefault="00FD51FE" w:rsidP="00FE57D6">
            <w:pPr>
              <w:spacing w:after="0" w:line="240" w:lineRule="auto"/>
              <w:jc w:val="right"/>
              <w:rPr>
                <w:rFonts w:eastAsia="Times New Roman" w:cstheme="minorHAnsi"/>
                <w:color w:val="000000"/>
                <w:sz w:val="20"/>
                <w:lang w:eastAsia="en-NZ"/>
              </w:rPr>
            </w:pPr>
            <w:r w:rsidRPr="008E18E2">
              <w:rPr>
                <w:rFonts w:eastAsia="Times New Roman" w:cstheme="minorHAnsi"/>
                <w:color w:val="000000"/>
                <w:sz w:val="20"/>
                <w:lang w:eastAsia="en-NZ"/>
              </w:rPr>
              <w:t>New</w:t>
            </w:r>
          </w:p>
        </w:tc>
        <w:tc>
          <w:tcPr>
            <w:tcW w:w="1165" w:type="dxa"/>
            <w:gridSpan w:val="2"/>
            <w:tcBorders>
              <w:top w:val="single" w:sz="8" w:space="0" w:color="FF0000"/>
              <w:left w:val="nil"/>
              <w:bottom w:val="single" w:sz="8" w:space="0" w:color="FF0000"/>
              <w:right w:val="nil"/>
            </w:tcBorders>
            <w:shd w:val="clear" w:color="auto" w:fill="auto"/>
            <w:noWrap/>
            <w:hideMark/>
          </w:tcPr>
          <w:p w:rsidR="00FD51FE" w:rsidRPr="008E18E2" w:rsidRDefault="00FD51FE" w:rsidP="00FE57D6">
            <w:pPr>
              <w:spacing w:after="0" w:line="240" w:lineRule="auto"/>
              <w:jc w:val="right"/>
              <w:rPr>
                <w:rFonts w:eastAsia="Times New Roman" w:cstheme="minorHAnsi"/>
                <w:color w:val="000000"/>
                <w:sz w:val="20"/>
                <w:lang w:eastAsia="en-NZ"/>
              </w:rPr>
            </w:pPr>
            <w:r w:rsidRPr="008E18E2">
              <w:rPr>
                <w:rFonts w:eastAsia="Times New Roman" w:cstheme="minorHAnsi"/>
                <w:color w:val="000000"/>
                <w:sz w:val="20"/>
                <w:lang w:eastAsia="en-NZ"/>
              </w:rPr>
              <w:t>100%</w:t>
            </w:r>
          </w:p>
        </w:tc>
        <w:tc>
          <w:tcPr>
            <w:tcW w:w="1050" w:type="dxa"/>
            <w:gridSpan w:val="3"/>
            <w:tcBorders>
              <w:top w:val="single" w:sz="8" w:space="0" w:color="FF0000"/>
              <w:left w:val="nil"/>
              <w:bottom w:val="single" w:sz="8" w:space="0" w:color="FF0000"/>
              <w:right w:val="nil"/>
            </w:tcBorders>
            <w:shd w:val="clear" w:color="000000" w:fill="D9D9D9"/>
            <w:hideMark/>
          </w:tcPr>
          <w:p w:rsidR="00FD51FE" w:rsidRPr="008E18E2" w:rsidRDefault="00FD51FE" w:rsidP="00FE57D6">
            <w:pPr>
              <w:spacing w:after="0" w:line="240" w:lineRule="auto"/>
              <w:jc w:val="right"/>
              <w:rPr>
                <w:rFonts w:eastAsia="Times New Roman" w:cstheme="minorHAnsi"/>
                <w:color w:val="000000"/>
                <w:sz w:val="20"/>
                <w:lang w:eastAsia="en-NZ"/>
              </w:rPr>
            </w:pPr>
            <w:r w:rsidRPr="008E18E2">
              <w:rPr>
                <w:rFonts w:eastAsia="Times New Roman" w:cstheme="minorHAnsi"/>
                <w:color w:val="000000"/>
                <w:sz w:val="20"/>
                <w:lang w:eastAsia="en-NZ"/>
              </w:rPr>
              <w:t>100%</w:t>
            </w:r>
          </w:p>
        </w:tc>
        <w:tc>
          <w:tcPr>
            <w:tcW w:w="814" w:type="dxa"/>
            <w:gridSpan w:val="2"/>
            <w:tcBorders>
              <w:top w:val="single" w:sz="8" w:space="0" w:color="FF0000"/>
              <w:left w:val="nil"/>
              <w:bottom w:val="single" w:sz="8" w:space="0" w:color="FF0000"/>
              <w:right w:val="nil"/>
            </w:tcBorders>
            <w:shd w:val="clear" w:color="auto" w:fill="auto"/>
            <w:hideMark/>
          </w:tcPr>
          <w:p w:rsidR="00FD51FE" w:rsidRPr="008E18E2" w:rsidRDefault="00FD51FE" w:rsidP="00FE57D6">
            <w:pPr>
              <w:spacing w:after="0" w:line="240" w:lineRule="auto"/>
              <w:jc w:val="right"/>
              <w:rPr>
                <w:rFonts w:eastAsia="Times New Roman" w:cstheme="minorHAnsi"/>
                <w:color w:val="000000"/>
                <w:sz w:val="20"/>
                <w:lang w:eastAsia="en-NZ"/>
              </w:rPr>
            </w:pPr>
            <w:r w:rsidRPr="008E18E2">
              <w:rPr>
                <w:rFonts w:eastAsia="Times New Roman" w:cstheme="minorHAnsi"/>
                <w:color w:val="000000"/>
                <w:sz w:val="20"/>
                <w:lang w:eastAsia="en-NZ"/>
              </w:rPr>
              <w:t>0%</w:t>
            </w:r>
          </w:p>
        </w:tc>
        <w:tc>
          <w:tcPr>
            <w:tcW w:w="893" w:type="dxa"/>
            <w:gridSpan w:val="2"/>
            <w:tcBorders>
              <w:top w:val="single" w:sz="8" w:space="0" w:color="FF0000"/>
              <w:left w:val="nil"/>
              <w:bottom w:val="single" w:sz="8" w:space="0" w:color="FF0000"/>
              <w:right w:val="single" w:sz="4" w:space="0" w:color="FF0000"/>
            </w:tcBorders>
            <w:shd w:val="clear" w:color="auto" w:fill="auto"/>
            <w:hideMark/>
          </w:tcPr>
          <w:p w:rsidR="00FD51FE" w:rsidRPr="008E18E2" w:rsidRDefault="00060BB3" w:rsidP="00FE57D6">
            <w:pPr>
              <w:spacing w:after="0" w:line="240" w:lineRule="auto"/>
              <w:jc w:val="right"/>
              <w:rPr>
                <w:rFonts w:eastAsia="Times New Roman" w:cstheme="minorHAnsi"/>
                <w:color w:val="000000"/>
                <w:sz w:val="20"/>
                <w:lang w:eastAsia="en-NZ"/>
              </w:rPr>
            </w:pPr>
            <w:r>
              <w:rPr>
                <w:rFonts w:cstheme="minorHAnsi"/>
                <w:sz w:val="20"/>
                <w:szCs w:val="20"/>
              </w:rPr>
              <w:t>Within 10%</w:t>
            </w:r>
          </w:p>
        </w:tc>
        <w:tc>
          <w:tcPr>
            <w:tcW w:w="4883" w:type="dxa"/>
            <w:gridSpan w:val="2"/>
            <w:tcBorders>
              <w:top w:val="single" w:sz="4" w:space="0" w:color="FF0000"/>
              <w:left w:val="single" w:sz="4" w:space="0" w:color="FF0000"/>
              <w:bottom w:val="single" w:sz="4" w:space="0" w:color="FF0000"/>
              <w:right w:val="nil"/>
            </w:tcBorders>
            <w:shd w:val="clear" w:color="auto" w:fill="auto"/>
            <w:hideMark/>
          </w:tcPr>
          <w:p w:rsidR="00FD51FE" w:rsidRPr="008E18E2" w:rsidRDefault="00FD51FE" w:rsidP="00FE57D6">
            <w:pPr>
              <w:spacing w:after="0" w:line="240" w:lineRule="auto"/>
              <w:jc w:val="right"/>
              <w:rPr>
                <w:rFonts w:eastAsia="Times New Roman" w:cstheme="minorHAnsi"/>
                <w:color w:val="000000"/>
                <w:sz w:val="20"/>
                <w:lang w:eastAsia="en-NZ"/>
              </w:rPr>
            </w:pPr>
          </w:p>
        </w:tc>
      </w:tr>
      <w:tr w:rsidR="00FD51FE" w:rsidRPr="008E18E2" w:rsidTr="00FE57D6">
        <w:tblPrEx>
          <w:shd w:val="clear" w:color="auto" w:fill="auto"/>
        </w:tblPrEx>
        <w:trPr>
          <w:trHeight w:val="376"/>
        </w:trPr>
        <w:tc>
          <w:tcPr>
            <w:tcW w:w="3543" w:type="dxa"/>
            <w:tcBorders>
              <w:top w:val="nil"/>
              <w:left w:val="nil"/>
              <w:bottom w:val="single" w:sz="8" w:space="0" w:color="FF0000"/>
              <w:right w:val="single" w:sz="8" w:space="0" w:color="FF0000"/>
            </w:tcBorders>
            <w:shd w:val="clear" w:color="auto" w:fill="auto"/>
            <w:hideMark/>
          </w:tcPr>
          <w:p w:rsidR="00FD51FE" w:rsidRPr="008E18E2" w:rsidRDefault="00FD51FE" w:rsidP="00FE57D6">
            <w:pPr>
              <w:spacing w:after="0" w:line="240" w:lineRule="auto"/>
              <w:rPr>
                <w:rFonts w:eastAsia="Times New Roman" w:cstheme="minorHAnsi"/>
                <w:color w:val="000000"/>
                <w:sz w:val="20"/>
                <w:lang w:eastAsia="en-NZ"/>
              </w:rPr>
            </w:pPr>
            <w:r w:rsidRPr="008E18E2">
              <w:rPr>
                <w:rFonts w:eastAsia="Times New Roman" w:cstheme="minorHAnsi"/>
                <w:color w:val="000000"/>
                <w:sz w:val="20"/>
                <w:lang w:eastAsia="en-NZ"/>
              </w:rPr>
              <w:t>Structures (%) in serviceable (average) condition or better - walls</w:t>
            </w:r>
          </w:p>
        </w:tc>
        <w:tc>
          <w:tcPr>
            <w:tcW w:w="1134" w:type="dxa"/>
            <w:tcBorders>
              <w:top w:val="single" w:sz="8" w:space="0" w:color="FF0000"/>
              <w:left w:val="nil"/>
              <w:bottom w:val="single" w:sz="8" w:space="0" w:color="FF0000"/>
              <w:right w:val="nil"/>
            </w:tcBorders>
            <w:shd w:val="clear" w:color="auto" w:fill="auto"/>
            <w:hideMark/>
          </w:tcPr>
          <w:p w:rsidR="00FD51FE" w:rsidRPr="008E18E2" w:rsidRDefault="00FD51FE" w:rsidP="00FE57D6">
            <w:pPr>
              <w:spacing w:after="0" w:line="240" w:lineRule="auto"/>
              <w:jc w:val="right"/>
              <w:rPr>
                <w:rFonts w:eastAsia="Times New Roman" w:cstheme="minorHAnsi"/>
                <w:color w:val="000000"/>
                <w:sz w:val="20"/>
                <w:lang w:eastAsia="en-NZ"/>
              </w:rPr>
            </w:pPr>
          </w:p>
        </w:tc>
        <w:tc>
          <w:tcPr>
            <w:tcW w:w="1119" w:type="dxa"/>
            <w:tcBorders>
              <w:top w:val="single" w:sz="8" w:space="0" w:color="FF0000"/>
              <w:left w:val="nil"/>
              <w:bottom w:val="single" w:sz="8" w:space="0" w:color="FF0000"/>
              <w:right w:val="nil"/>
            </w:tcBorders>
            <w:shd w:val="clear" w:color="auto" w:fill="auto"/>
            <w:hideMark/>
          </w:tcPr>
          <w:p w:rsidR="00FD51FE" w:rsidRPr="008E18E2" w:rsidRDefault="00FD51FE" w:rsidP="00FE57D6">
            <w:pPr>
              <w:spacing w:after="0" w:line="240" w:lineRule="auto"/>
              <w:jc w:val="right"/>
              <w:rPr>
                <w:rFonts w:eastAsia="Times New Roman" w:cstheme="minorHAnsi"/>
                <w:color w:val="000000"/>
                <w:sz w:val="20"/>
                <w:lang w:eastAsia="en-NZ"/>
              </w:rPr>
            </w:pPr>
            <w:r w:rsidRPr="008E18E2">
              <w:rPr>
                <w:rFonts w:eastAsia="Times New Roman" w:cstheme="minorHAnsi"/>
                <w:color w:val="000000"/>
                <w:sz w:val="20"/>
                <w:lang w:eastAsia="en-NZ"/>
              </w:rPr>
              <w:t>New</w:t>
            </w:r>
          </w:p>
        </w:tc>
        <w:tc>
          <w:tcPr>
            <w:tcW w:w="1165" w:type="dxa"/>
            <w:gridSpan w:val="2"/>
            <w:tcBorders>
              <w:top w:val="single" w:sz="8" w:space="0" w:color="FF0000"/>
              <w:left w:val="nil"/>
              <w:bottom w:val="single" w:sz="8" w:space="0" w:color="FF0000"/>
              <w:right w:val="nil"/>
            </w:tcBorders>
            <w:shd w:val="clear" w:color="auto" w:fill="auto"/>
            <w:noWrap/>
            <w:hideMark/>
          </w:tcPr>
          <w:p w:rsidR="00FD51FE" w:rsidRPr="008E18E2" w:rsidRDefault="00FD51FE" w:rsidP="00FE57D6">
            <w:pPr>
              <w:spacing w:after="0" w:line="240" w:lineRule="auto"/>
              <w:jc w:val="right"/>
              <w:rPr>
                <w:rFonts w:eastAsia="Times New Roman" w:cstheme="minorHAnsi"/>
                <w:color w:val="000000"/>
                <w:sz w:val="20"/>
                <w:lang w:eastAsia="en-NZ"/>
              </w:rPr>
            </w:pPr>
            <w:r w:rsidRPr="008E18E2">
              <w:rPr>
                <w:rFonts w:eastAsia="Times New Roman" w:cstheme="minorHAnsi"/>
                <w:color w:val="000000"/>
                <w:sz w:val="20"/>
                <w:lang w:eastAsia="en-NZ"/>
              </w:rPr>
              <w:t>90%</w:t>
            </w:r>
          </w:p>
        </w:tc>
        <w:tc>
          <w:tcPr>
            <w:tcW w:w="1050" w:type="dxa"/>
            <w:gridSpan w:val="3"/>
            <w:tcBorders>
              <w:top w:val="single" w:sz="8" w:space="0" w:color="FF0000"/>
              <w:left w:val="nil"/>
              <w:bottom w:val="single" w:sz="8" w:space="0" w:color="FF0000"/>
              <w:right w:val="nil"/>
            </w:tcBorders>
            <w:shd w:val="clear" w:color="000000" w:fill="D9D9D9"/>
            <w:hideMark/>
          </w:tcPr>
          <w:p w:rsidR="00FD51FE" w:rsidRPr="008E18E2" w:rsidRDefault="00FD51FE" w:rsidP="00FE57D6">
            <w:pPr>
              <w:spacing w:after="0" w:line="240" w:lineRule="auto"/>
              <w:jc w:val="right"/>
              <w:rPr>
                <w:rFonts w:eastAsia="Times New Roman" w:cstheme="minorHAnsi"/>
                <w:color w:val="000000"/>
                <w:sz w:val="20"/>
                <w:lang w:eastAsia="en-NZ"/>
              </w:rPr>
            </w:pPr>
            <w:r w:rsidRPr="008E18E2">
              <w:rPr>
                <w:rFonts w:eastAsia="Times New Roman" w:cstheme="minorHAnsi"/>
                <w:color w:val="000000"/>
                <w:sz w:val="20"/>
                <w:lang w:eastAsia="en-NZ"/>
              </w:rPr>
              <w:t>97%</w:t>
            </w:r>
          </w:p>
        </w:tc>
        <w:tc>
          <w:tcPr>
            <w:tcW w:w="814" w:type="dxa"/>
            <w:gridSpan w:val="2"/>
            <w:tcBorders>
              <w:top w:val="single" w:sz="8" w:space="0" w:color="FF0000"/>
              <w:left w:val="nil"/>
              <w:bottom w:val="single" w:sz="8" w:space="0" w:color="FF0000"/>
              <w:right w:val="nil"/>
            </w:tcBorders>
            <w:shd w:val="clear" w:color="auto" w:fill="auto"/>
            <w:hideMark/>
          </w:tcPr>
          <w:p w:rsidR="00FD51FE" w:rsidRPr="008E18E2" w:rsidRDefault="00FD51FE" w:rsidP="00FE57D6">
            <w:pPr>
              <w:spacing w:after="0" w:line="240" w:lineRule="auto"/>
              <w:jc w:val="right"/>
              <w:rPr>
                <w:rFonts w:eastAsia="Times New Roman" w:cstheme="minorHAnsi"/>
                <w:color w:val="000000"/>
                <w:sz w:val="20"/>
                <w:lang w:eastAsia="en-NZ"/>
              </w:rPr>
            </w:pPr>
            <w:r w:rsidRPr="008E18E2">
              <w:rPr>
                <w:rFonts w:eastAsia="Times New Roman" w:cstheme="minorHAnsi"/>
                <w:color w:val="000000"/>
                <w:sz w:val="20"/>
                <w:lang w:eastAsia="en-NZ"/>
              </w:rPr>
              <w:t>-7%</w:t>
            </w:r>
          </w:p>
        </w:tc>
        <w:tc>
          <w:tcPr>
            <w:tcW w:w="893" w:type="dxa"/>
            <w:gridSpan w:val="2"/>
            <w:tcBorders>
              <w:top w:val="single" w:sz="8" w:space="0" w:color="FF0000"/>
              <w:left w:val="nil"/>
              <w:bottom w:val="single" w:sz="8" w:space="0" w:color="FF0000"/>
              <w:right w:val="single" w:sz="4" w:space="0" w:color="FF0000"/>
            </w:tcBorders>
            <w:shd w:val="clear" w:color="auto" w:fill="auto"/>
            <w:hideMark/>
          </w:tcPr>
          <w:p w:rsidR="00FD51FE" w:rsidRPr="008E18E2" w:rsidRDefault="00060BB3" w:rsidP="00FE57D6">
            <w:pPr>
              <w:spacing w:after="0" w:line="240" w:lineRule="auto"/>
              <w:jc w:val="right"/>
              <w:rPr>
                <w:rFonts w:eastAsia="Times New Roman" w:cstheme="minorHAnsi"/>
                <w:color w:val="000000"/>
                <w:sz w:val="20"/>
                <w:lang w:eastAsia="en-NZ"/>
              </w:rPr>
            </w:pPr>
            <w:r>
              <w:rPr>
                <w:rFonts w:cstheme="minorHAnsi"/>
                <w:sz w:val="20"/>
                <w:szCs w:val="20"/>
              </w:rPr>
              <w:t>Within 10%</w:t>
            </w:r>
          </w:p>
        </w:tc>
        <w:tc>
          <w:tcPr>
            <w:tcW w:w="4883" w:type="dxa"/>
            <w:gridSpan w:val="2"/>
            <w:tcBorders>
              <w:top w:val="single" w:sz="4" w:space="0" w:color="FF0000"/>
              <w:left w:val="single" w:sz="4" w:space="0" w:color="FF0000"/>
              <w:bottom w:val="single" w:sz="4" w:space="0" w:color="FF0000"/>
              <w:right w:val="nil"/>
            </w:tcBorders>
            <w:shd w:val="clear" w:color="auto" w:fill="auto"/>
            <w:hideMark/>
          </w:tcPr>
          <w:p w:rsidR="00FD51FE" w:rsidRPr="008E18E2" w:rsidRDefault="00FD51FE" w:rsidP="00FE57D6">
            <w:pPr>
              <w:spacing w:after="0" w:line="240" w:lineRule="auto"/>
              <w:rPr>
                <w:rFonts w:eastAsia="Times New Roman" w:cstheme="minorHAnsi"/>
                <w:color w:val="000000"/>
                <w:sz w:val="20"/>
                <w:lang w:eastAsia="en-NZ"/>
              </w:rPr>
            </w:pPr>
          </w:p>
        </w:tc>
      </w:tr>
      <w:tr w:rsidR="00FD51FE" w:rsidRPr="008E18E2" w:rsidTr="00FE57D6">
        <w:tblPrEx>
          <w:shd w:val="clear" w:color="auto" w:fill="auto"/>
        </w:tblPrEx>
        <w:trPr>
          <w:trHeight w:val="1377"/>
        </w:trPr>
        <w:tc>
          <w:tcPr>
            <w:tcW w:w="3543" w:type="dxa"/>
            <w:tcBorders>
              <w:top w:val="nil"/>
              <w:left w:val="nil"/>
              <w:bottom w:val="single" w:sz="8" w:space="0" w:color="FF0000"/>
              <w:right w:val="single" w:sz="8" w:space="0" w:color="FF0000"/>
            </w:tcBorders>
            <w:shd w:val="clear" w:color="auto" w:fill="auto"/>
            <w:hideMark/>
          </w:tcPr>
          <w:p w:rsidR="00FD51FE" w:rsidRPr="008E18E2" w:rsidRDefault="00FD51FE" w:rsidP="00FE57D6">
            <w:pPr>
              <w:spacing w:after="0" w:line="240" w:lineRule="auto"/>
              <w:rPr>
                <w:rFonts w:eastAsia="Times New Roman" w:cstheme="minorHAnsi"/>
                <w:color w:val="000000"/>
                <w:sz w:val="20"/>
                <w:lang w:eastAsia="en-NZ"/>
              </w:rPr>
            </w:pPr>
            <w:r w:rsidRPr="008E18E2">
              <w:rPr>
                <w:rFonts w:eastAsia="Times New Roman" w:cstheme="minorHAnsi"/>
                <w:color w:val="000000"/>
                <w:sz w:val="20"/>
                <w:lang w:eastAsia="en-NZ"/>
              </w:rPr>
              <w:t>Structures (%) in serviceable (average) condition or better - tunnels</w:t>
            </w:r>
          </w:p>
        </w:tc>
        <w:tc>
          <w:tcPr>
            <w:tcW w:w="1134" w:type="dxa"/>
            <w:tcBorders>
              <w:top w:val="single" w:sz="8" w:space="0" w:color="FF0000"/>
              <w:left w:val="nil"/>
              <w:bottom w:val="single" w:sz="8" w:space="0" w:color="FF0000"/>
              <w:right w:val="nil"/>
            </w:tcBorders>
            <w:shd w:val="clear" w:color="auto" w:fill="auto"/>
            <w:hideMark/>
          </w:tcPr>
          <w:p w:rsidR="00FD51FE" w:rsidRPr="008E18E2" w:rsidRDefault="00FD51FE" w:rsidP="00FE57D6">
            <w:pPr>
              <w:spacing w:after="0" w:line="240" w:lineRule="auto"/>
              <w:jc w:val="right"/>
              <w:rPr>
                <w:rFonts w:eastAsia="Times New Roman" w:cstheme="minorHAnsi"/>
                <w:color w:val="000000"/>
                <w:sz w:val="20"/>
                <w:lang w:eastAsia="en-NZ"/>
              </w:rPr>
            </w:pPr>
          </w:p>
        </w:tc>
        <w:tc>
          <w:tcPr>
            <w:tcW w:w="1119" w:type="dxa"/>
            <w:tcBorders>
              <w:top w:val="single" w:sz="8" w:space="0" w:color="FF0000"/>
              <w:left w:val="nil"/>
              <w:bottom w:val="single" w:sz="8" w:space="0" w:color="FF0000"/>
              <w:right w:val="nil"/>
            </w:tcBorders>
            <w:shd w:val="clear" w:color="auto" w:fill="auto"/>
            <w:noWrap/>
            <w:hideMark/>
          </w:tcPr>
          <w:p w:rsidR="00FD51FE" w:rsidRPr="008E18E2" w:rsidRDefault="00FD51FE" w:rsidP="00FE57D6">
            <w:pPr>
              <w:spacing w:after="0" w:line="240" w:lineRule="auto"/>
              <w:jc w:val="right"/>
              <w:rPr>
                <w:rFonts w:eastAsia="Times New Roman" w:cstheme="minorHAnsi"/>
                <w:color w:val="000000"/>
                <w:sz w:val="20"/>
                <w:lang w:eastAsia="en-NZ"/>
              </w:rPr>
            </w:pPr>
            <w:r w:rsidRPr="008E18E2">
              <w:rPr>
                <w:rFonts w:eastAsia="Times New Roman" w:cstheme="minorHAnsi"/>
                <w:color w:val="000000"/>
                <w:sz w:val="20"/>
                <w:lang w:eastAsia="en-NZ"/>
              </w:rPr>
              <w:t>New</w:t>
            </w:r>
          </w:p>
        </w:tc>
        <w:tc>
          <w:tcPr>
            <w:tcW w:w="1165" w:type="dxa"/>
            <w:gridSpan w:val="2"/>
            <w:tcBorders>
              <w:top w:val="single" w:sz="8" w:space="0" w:color="FF0000"/>
              <w:left w:val="nil"/>
              <w:bottom w:val="single" w:sz="8" w:space="0" w:color="FF0000"/>
              <w:right w:val="nil"/>
            </w:tcBorders>
            <w:shd w:val="clear" w:color="auto" w:fill="auto"/>
            <w:noWrap/>
            <w:hideMark/>
          </w:tcPr>
          <w:p w:rsidR="00FD51FE" w:rsidRPr="008E18E2" w:rsidRDefault="00FD51FE" w:rsidP="00FE57D6">
            <w:pPr>
              <w:spacing w:after="0" w:line="240" w:lineRule="auto"/>
              <w:jc w:val="right"/>
              <w:rPr>
                <w:rFonts w:eastAsia="Times New Roman" w:cstheme="minorHAnsi"/>
                <w:color w:val="000000"/>
                <w:sz w:val="20"/>
                <w:lang w:eastAsia="en-NZ"/>
              </w:rPr>
            </w:pPr>
            <w:r w:rsidRPr="008E18E2">
              <w:rPr>
                <w:rFonts w:eastAsia="Times New Roman" w:cstheme="minorHAnsi"/>
                <w:color w:val="000000"/>
                <w:sz w:val="20"/>
                <w:lang w:eastAsia="en-NZ"/>
              </w:rPr>
              <w:t>75%</w:t>
            </w:r>
          </w:p>
        </w:tc>
        <w:tc>
          <w:tcPr>
            <w:tcW w:w="1050" w:type="dxa"/>
            <w:gridSpan w:val="3"/>
            <w:tcBorders>
              <w:top w:val="single" w:sz="8" w:space="0" w:color="FF0000"/>
              <w:left w:val="nil"/>
              <w:bottom w:val="single" w:sz="8" w:space="0" w:color="FF0000"/>
              <w:right w:val="nil"/>
            </w:tcBorders>
            <w:shd w:val="clear" w:color="000000" w:fill="D9D9D9"/>
            <w:hideMark/>
          </w:tcPr>
          <w:p w:rsidR="00FD51FE" w:rsidRPr="008E18E2" w:rsidRDefault="00FD51FE" w:rsidP="00FE57D6">
            <w:pPr>
              <w:spacing w:after="0" w:line="240" w:lineRule="auto"/>
              <w:jc w:val="right"/>
              <w:rPr>
                <w:rFonts w:eastAsia="Times New Roman" w:cstheme="minorHAnsi"/>
                <w:color w:val="000000"/>
                <w:sz w:val="20"/>
                <w:lang w:eastAsia="en-NZ"/>
              </w:rPr>
            </w:pPr>
            <w:r w:rsidRPr="008E18E2">
              <w:rPr>
                <w:rFonts w:eastAsia="Times New Roman" w:cstheme="minorHAnsi"/>
                <w:color w:val="000000"/>
                <w:sz w:val="20"/>
                <w:lang w:eastAsia="en-NZ"/>
              </w:rPr>
              <w:t>100%</w:t>
            </w:r>
          </w:p>
        </w:tc>
        <w:tc>
          <w:tcPr>
            <w:tcW w:w="814" w:type="dxa"/>
            <w:gridSpan w:val="2"/>
            <w:tcBorders>
              <w:top w:val="single" w:sz="8" w:space="0" w:color="FF0000"/>
              <w:left w:val="nil"/>
              <w:bottom w:val="single" w:sz="8" w:space="0" w:color="FF0000"/>
              <w:right w:val="nil"/>
            </w:tcBorders>
            <w:shd w:val="clear" w:color="auto" w:fill="auto"/>
            <w:hideMark/>
          </w:tcPr>
          <w:p w:rsidR="00FD51FE" w:rsidRPr="008E18E2" w:rsidRDefault="00FD51FE" w:rsidP="00FE57D6">
            <w:pPr>
              <w:spacing w:after="0" w:line="240" w:lineRule="auto"/>
              <w:jc w:val="right"/>
              <w:rPr>
                <w:rFonts w:eastAsia="Times New Roman" w:cstheme="minorHAnsi"/>
                <w:color w:val="000000"/>
                <w:sz w:val="20"/>
                <w:lang w:eastAsia="en-NZ"/>
              </w:rPr>
            </w:pPr>
            <w:r w:rsidRPr="008E18E2">
              <w:rPr>
                <w:rFonts w:eastAsia="Times New Roman" w:cstheme="minorHAnsi"/>
                <w:color w:val="000000"/>
                <w:sz w:val="20"/>
                <w:lang w:eastAsia="en-NZ"/>
              </w:rPr>
              <w:t>-25%</w:t>
            </w:r>
          </w:p>
        </w:tc>
        <w:tc>
          <w:tcPr>
            <w:tcW w:w="893" w:type="dxa"/>
            <w:gridSpan w:val="2"/>
            <w:tcBorders>
              <w:top w:val="single" w:sz="8" w:space="0" w:color="FF0000"/>
              <w:left w:val="nil"/>
              <w:bottom w:val="single" w:sz="8" w:space="0" w:color="FF0000"/>
              <w:right w:val="single" w:sz="4" w:space="0" w:color="FF0000"/>
            </w:tcBorders>
            <w:shd w:val="clear" w:color="auto" w:fill="auto"/>
            <w:hideMark/>
          </w:tcPr>
          <w:p w:rsidR="00FD51FE" w:rsidRPr="008E18E2" w:rsidRDefault="00FD51FE" w:rsidP="00FE57D6">
            <w:pPr>
              <w:spacing w:after="0" w:line="240" w:lineRule="auto"/>
              <w:jc w:val="right"/>
              <w:rPr>
                <w:rFonts w:eastAsia="Times New Roman" w:cstheme="minorHAnsi"/>
                <w:color w:val="000000"/>
                <w:sz w:val="20"/>
                <w:lang w:eastAsia="en-NZ"/>
              </w:rPr>
            </w:pPr>
            <w:r w:rsidRPr="008E18E2">
              <w:rPr>
                <w:rFonts w:eastAsia="Times New Roman" w:cstheme="minorHAnsi"/>
                <w:color w:val="000000"/>
                <w:sz w:val="20"/>
                <w:lang w:eastAsia="en-NZ"/>
              </w:rPr>
              <w:t>not met</w:t>
            </w:r>
          </w:p>
        </w:tc>
        <w:tc>
          <w:tcPr>
            <w:tcW w:w="4883" w:type="dxa"/>
            <w:gridSpan w:val="2"/>
            <w:tcBorders>
              <w:top w:val="single" w:sz="4" w:space="0" w:color="FF0000"/>
              <w:left w:val="single" w:sz="4" w:space="0" w:color="FF0000"/>
              <w:bottom w:val="single" w:sz="4" w:space="0" w:color="FF0000"/>
              <w:right w:val="nil"/>
            </w:tcBorders>
            <w:shd w:val="clear" w:color="auto" w:fill="auto"/>
            <w:hideMark/>
          </w:tcPr>
          <w:p w:rsidR="00FD51FE" w:rsidRPr="008E18E2" w:rsidRDefault="00FD51FE" w:rsidP="00FE57D6">
            <w:pPr>
              <w:spacing w:after="0" w:line="240" w:lineRule="auto"/>
              <w:rPr>
                <w:rFonts w:eastAsia="Times New Roman" w:cstheme="minorHAnsi"/>
                <w:color w:val="000000"/>
                <w:sz w:val="20"/>
                <w:lang w:eastAsia="en-NZ"/>
              </w:rPr>
            </w:pPr>
            <w:r w:rsidRPr="008E18E2">
              <w:rPr>
                <w:rFonts w:eastAsia="Times New Roman" w:cstheme="minorHAnsi"/>
                <w:color w:val="000000"/>
                <w:sz w:val="20"/>
                <w:lang w:eastAsia="en-NZ"/>
              </w:rPr>
              <w:t xml:space="preserve">We have 4 tunnels, Karori, Northland, </w:t>
            </w:r>
            <w:proofErr w:type="gramStart"/>
            <w:r w:rsidRPr="008E18E2">
              <w:rPr>
                <w:rFonts w:eastAsia="Times New Roman" w:cstheme="minorHAnsi"/>
                <w:color w:val="000000"/>
                <w:sz w:val="20"/>
                <w:lang w:eastAsia="en-NZ"/>
              </w:rPr>
              <w:t>Hataitai</w:t>
            </w:r>
            <w:proofErr w:type="gramEnd"/>
            <w:r w:rsidRPr="008E18E2">
              <w:rPr>
                <w:rFonts w:eastAsia="Times New Roman" w:cstheme="minorHAnsi"/>
                <w:color w:val="000000"/>
                <w:sz w:val="20"/>
                <w:lang w:eastAsia="en-NZ"/>
              </w:rPr>
              <w:t xml:space="preserve"> Bus &amp; Seatoun.</w:t>
            </w:r>
          </w:p>
          <w:p w:rsidR="00FD51FE" w:rsidRPr="008E18E2" w:rsidRDefault="00FD51FE" w:rsidP="00FE57D6">
            <w:pPr>
              <w:spacing w:after="0" w:line="240" w:lineRule="auto"/>
              <w:rPr>
                <w:rFonts w:eastAsia="Times New Roman" w:cstheme="minorHAnsi"/>
                <w:color w:val="000000"/>
                <w:sz w:val="20"/>
                <w:lang w:eastAsia="en-NZ"/>
              </w:rPr>
            </w:pPr>
            <w:r w:rsidRPr="008E18E2">
              <w:rPr>
                <w:rFonts w:eastAsia="Times New Roman" w:cstheme="minorHAnsi"/>
                <w:color w:val="000000"/>
                <w:sz w:val="20"/>
                <w:lang w:eastAsia="en-NZ"/>
              </w:rPr>
              <w:t>The Karori, Northland, Hataitai Bus tunnels have all been strengthened since 2011-12. The overall performance of these tunnels under normal loading is 100%. Until the strengthening of the Seatoun tunnel is complete, under seismic loading the overall performance of the tunnels is 75%.</w:t>
            </w:r>
          </w:p>
        </w:tc>
      </w:tr>
      <w:tr w:rsidR="00FD51FE" w:rsidRPr="008E18E2" w:rsidTr="00FE57D6">
        <w:tblPrEx>
          <w:shd w:val="clear" w:color="auto" w:fill="auto"/>
        </w:tblPrEx>
        <w:trPr>
          <w:trHeight w:val="396"/>
        </w:trPr>
        <w:tc>
          <w:tcPr>
            <w:tcW w:w="3543" w:type="dxa"/>
            <w:tcBorders>
              <w:top w:val="nil"/>
              <w:left w:val="nil"/>
              <w:bottom w:val="single" w:sz="8" w:space="0" w:color="FF0000"/>
              <w:right w:val="single" w:sz="8" w:space="0" w:color="FF0000"/>
            </w:tcBorders>
            <w:shd w:val="clear" w:color="auto" w:fill="auto"/>
            <w:hideMark/>
          </w:tcPr>
          <w:p w:rsidR="00FD51FE" w:rsidRPr="008E18E2" w:rsidRDefault="00FD51FE" w:rsidP="00FE57D6">
            <w:pPr>
              <w:spacing w:after="0" w:line="240" w:lineRule="auto"/>
              <w:rPr>
                <w:rFonts w:eastAsia="Times New Roman" w:cstheme="minorHAnsi"/>
                <w:color w:val="000000"/>
                <w:sz w:val="20"/>
                <w:lang w:eastAsia="en-NZ"/>
              </w:rPr>
            </w:pPr>
            <w:r w:rsidRPr="008E18E2">
              <w:rPr>
                <w:rFonts w:eastAsia="Times New Roman" w:cstheme="minorHAnsi"/>
                <w:color w:val="000000"/>
                <w:sz w:val="20"/>
                <w:lang w:eastAsia="en-NZ"/>
              </w:rPr>
              <w:t>Structures (%) in serviceable (average) condition or better - bridges</w:t>
            </w:r>
          </w:p>
        </w:tc>
        <w:tc>
          <w:tcPr>
            <w:tcW w:w="1134" w:type="dxa"/>
            <w:tcBorders>
              <w:top w:val="single" w:sz="8" w:space="0" w:color="FF0000"/>
              <w:left w:val="nil"/>
              <w:bottom w:val="single" w:sz="8" w:space="0" w:color="FF0000"/>
              <w:right w:val="nil"/>
            </w:tcBorders>
            <w:shd w:val="clear" w:color="auto" w:fill="auto"/>
            <w:hideMark/>
          </w:tcPr>
          <w:p w:rsidR="00FD51FE" w:rsidRPr="008E18E2" w:rsidRDefault="00FD51FE" w:rsidP="00FE57D6">
            <w:pPr>
              <w:spacing w:after="0" w:line="240" w:lineRule="auto"/>
              <w:jc w:val="right"/>
              <w:rPr>
                <w:rFonts w:eastAsia="Times New Roman" w:cstheme="minorHAnsi"/>
                <w:color w:val="000000"/>
                <w:sz w:val="20"/>
                <w:lang w:eastAsia="en-NZ"/>
              </w:rPr>
            </w:pPr>
          </w:p>
        </w:tc>
        <w:tc>
          <w:tcPr>
            <w:tcW w:w="1119" w:type="dxa"/>
            <w:tcBorders>
              <w:top w:val="single" w:sz="8" w:space="0" w:color="FF0000"/>
              <w:left w:val="nil"/>
              <w:bottom w:val="single" w:sz="8" w:space="0" w:color="FF0000"/>
              <w:right w:val="nil"/>
            </w:tcBorders>
            <w:shd w:val="clear" w:color="auto" w:fill="auto"/>
            <w:noWrap/>
            <w:hideMark/>
          </w:tcPr>
          <w:p w:rsidR="00FD51FE" w:rsidRPr="008E18E2" w:rsidRDefault="00FD51FE" w:rsidP="00FE57D6">
            <w:pPr>
              <w:spacing w:after="0" w:line="240" w:lineRule="auto"/>
              <w:jc w:val="right"/>
              <w:rPr>
                <w:rFonts w:eastAsia="Times New Roman" w:cstheme="minorHAnsi"/>
                <w:color w:val="000000"/>
                <w:sz w:val="20"/>
                <w:lang w:eastAsia="en-NZ"/>
              </w:rPr>
            </w:pPr>
            <w:r w:rsidRPr="008E18E2">
              <w:rPr>
                <w:rFonts w:eastAsia="Times New Roman" w:cstheme="minorHAnsi"/>
                <w:color w:val="000000"/>
                <w:sz w:val="20"/>
                <w:lang w:eastAsia="en-NZ"/>
              </w:rPr>
              <w:t>New</w:t>
            </w:r>
          </w:p>
        </w:tc>
        <w:tc>
          <w:tcPr>
            <w:tcW w:w="1165" w:type="dxa"/>
            <w:gridSpan w:val="2"/>
            <w:tcBorders>
              <w:top w:val="single" w:sz="8" w:space="0" w:color="FF0000"/>
              <w:left w:val="nil"/>
              <w:bottom w:val="single" w:sz="8" w:space="0" w:color="FF0000"/>
              <w:right w:val="nil"/>
            </w:tcBorders>
            <w:shd w:val="clear" w:color="auto" w:fill="auto"/>
            <w:noWrap/>
            <w:hideMark/>
          </w:tcPr>
          <w:p w:rsidR="00FD51FE" w:rsidRPr="008E18E2" w:rsidRDefault="00FD51FE" w:rsidP="00FE57D6">
            <w:pPr>
              <w:spacing w:after="0" w:line="240" w:lineRule="auto"/>
              <w:jc w:val="right"/>
              <w:rPr>
                <w:rFonts w:eastAsia="Times New Roman" w:cstheme="minorHAnsi"/>
                <w:color w:val="000000"/>
                <w:sz w:val="20"/>
                <w:lang w:eastAsia="en-NZ"/>
              </w:rPr>
            </w:pPr>
            <w:r w:rsidRPr="008E18E2">
              <w:rPr>
                <w:rFonts w:eastAsia="Times New Roman" w:cstheme="minorHAnsi"/>
                <w:color w:val="000000"/>
                <w:sz w:val="20"/>
                <w:lang w:eastAsia="en-NZ"/>
              </w:rPr>
              <w:t>100%</w:t>
            </w:r>
          </w:p>
        </w:tc>
        <w:tc>
          <w:tcPr>
            <w:tcW w:w="1038" w:type="dxa"/>
            <w:gridSpan w:val="2"/>
            <w:tcBorders>
              <w:top w:val="single" w:sz="8" w:space="0" w:color="FF0000"/>
              <w:left w:val="nil"/>
              <w:bottom w:val="single" w:sz="8" w:space="0" w:color="FF0000"/>
              <w:right w:val="nil"/>
            </w:tcBorders>
            <w:shd w:val="clear" w:color="000000" w:fill="D9D9D9"/>
            <w:hideMark/>
          </w:tcPr>
          <w:p w:rsidR="00FD51FE" w:rsidRPr="008E18E2" w:rsidRDefault="00FD51FE" w:rsidP="00FE57D6">
            <w:pPr>
              <w:spacing w:after="0" w:line="240" w:lineRule="auto"/>
              <w:jc w:val="right"/>
              <w:rPr>
                <w:rFonts w:eastAsia="Times New Roman" w:cstheme="minorHAnsi"/>
                <w:color w:val="000000"/>
                <w:sz w:val="20"/>
                <w:lang w:eastAsia="en-NZ"/>
              </w:rPr>
            </w:pPr>
            <w:r w:rsidRPr="008E18E2">
              <w:rPr>
                <w:rFonts w:eastAsia="Times New Roman" w:cstheme="minorHAnsi"/>
                <w:color w:val="000000"/>
                <w:sz w:val="20"/>
                <w:lang w:eastAsia="en-NZ"/>
              </w:rPr>
              <w:t>100%</w:t>
            </w:r>
          </w:p>
        </w:tc>
        <w:tc>
          <w:tcPr>
            <w:tcW w:w="826" w:type="dxa"/>
            <w:gridSpan w:val="3"/>
            <w:tcBorders>
              <w:top w:val="single" w:sz="8" w:space="0" w:color="FF0000"/>
              <w:left w:val="nil"/>
              <w:bottom w:val="single" w:sz="8" w:space="0" w:color="FF0000"/>
              <w:right w:val="nil"/>
            </w:tcBorders>
            <w:shd w:val="clear" w:color="auto" w:fill="auto"/>
            <w:hideMark/>
          </w:tcPr>
          <w:p w:rsidR="00FD51FE" w:rsidRPr="008E18E2" w:rsidRDefault="00FD51FE" w:rsidP="00FE57D6">
            <w:pPr>
              <w:spacing w:after="0" w:line="240" w:lineRule="auto"/>
              <w:jc w:val="right"/>
              <w:rPr>
                <w:rFonts w:eastAsia="Times New Roman" w:cstheme="minorHAnsi"/>
                <w:color w:val="000000"/>
                <w:sz w:val="20"/>
                <w:lang w:eastAsia="en-NZ"/>
              </w:rPr>
            </w:pPr>
            <w:r w:rsidRPr="008E18E2">
              <w:rPr>
                <w:rFonts w:eastAsia="Times New Roman" w:cstheme="minorHAnsi"/>
                <w:color w:val="000000"/>
                <w:sz w:val="20"/>
                <w:lang w:eastAsia="en-NZ"/>
              </w:rPr>
              <w:t>0%</w:t>
            </w:r>
          </w:p>
        </w:tc>
        <w:tc>
          <w:tcPr>
            <w:tcW w:w="893" w:type="dxa"/>
            <w:gridSpan w:val="2"/>
            <w:tcBorders>
              <w:top w:val="single" w:sz="8" w:space="0" w:color="FF0000"/>
              <w:left w:val="nil"/>
              <w:bottom w:val="single" w:sz="8" w:space="0" w:color="FF0000"/>
              <w:right w:val="single" w:sz="4" w:space="0" w:color="FF0000"/>
            </w:tcBorders>
            <w:shd w:val="clear" w:color="auto" w:fill="auto"/>
            <w:hideMark/>
          </w:tcPr>
          <w:p w:rsidR="00FD51FE" w:rsidRPr="008E18E2" w:rsidRDefault="00060BB3" w:rsidP="00FE57D6">
            <w:pPr>
              <w:spacing w:after="0" w:line="240" w:lineRule="auto"/>
              <w:jc w:val="right"/>
              <w:rPr>
                <w:rFonts w:cstheme="minorHAnsi"/>
                <w:sz w:val="20"/>
                <w:szCs w:val="20"/>
              </w:rPr>
            </w:pPr>
            <w:r>
              <w:rPr>
                <w:rFonts w:cstheme="minorHAnsi"/>
                <w:sz w:val="20"/>
                <w:szCs w:val="20"/>
              </w:rPr>
              <w:t>Within 10%</w:t>
            </w:r>
          </w:p>
        </w:tc>
        <w:tc>
          <w:tcPr>
            <w:tcW w:w="4883" w:type="dxa"/>
            <w:gridSpan w:val="2"/>
            <w:tcBorders>
              <w:top w:val="single" w:sz="4" w:space="0" w:color="FF0000"/>
              <w:left w:val="single" w:sz="4" w:space="0" w:color="FF0000"/>
              <w:bottom w:val="single" w:sz="4" w:space="0" w:color="FF0000"/>
              <w:right w:val="nil"/>
            </w:tcBorders>
            <w:shd w:val="clear" w:color="auto" w:fill="auto"/>
          </w:tcPr>
          <w:p w:rsidR="00FD51FE" w:rsidRPr="008E18E2" w:rsidRDefault="00FD51FE" w:rsidP="00FE57D6">
            <w:pPr>
              <w:spacing w:after="0" w:line="240" w:lineRule="auto"/>
              <w:rPr>
                <w:rFonts w:eastAsia="Times New Roman" w:cstheme="minorHAnsi"/>
                <w:color w:val="000000"/>
                <w:sz w:val="20"/>
                <w:lang w:eastAsia="en-NZ"/>
              </w:rPr>
            </w:pPr>
          </w:p>
        </w:tc>
      </w:tr>
      <w:tr w:rsidR="00FD51FE" w:rsidRPr="008E18E2" w:rsidTr="00FE57D6">
        <w:tblPrEx>
          <w:shd w:val="clear" w:color="auto" w:fill="auto"/>
        </w:tblPrEx>
        <w:trPr>
          <w:trHeight w:val="270"/>
        </w:trPr>
        <w:tc>
          <w:tcPr>
            <w:tcW w:w="3543" w:type="dxa"/>
            <w:tcBorders>
              <w:top w:val="nil"/>
              <w:left w:val="nil"/>
              <w:bottom w:val="single" w:sz="8" w:space="0" w:color="FF0000"/>
              <w:right w:val="single" w:sz="8" w:space="0" w:color="FF0000"/>
            </w:tcBorders>
            <w:shd w:val="clear" w:color="auto" w:fill="auto"/>
            <w:hideMark/>
          </w:tcPr>
          <w:p w:rsidR="00FD51FE" w:rsidRPr="008E18E2" w:rsidRDefault="00FD51FE" w:rsidP="00FE57D6">
            <w:pPr>
              <w:spacing w:after="0" w:line="240" w:lineRule="auto"/>
              <w:rPr>
                <w:rFonts w:eastAsia="Times New Roman" w:cstheme="minorHAnsi"/>
                <w:color w:val="000000"/>
                <w:sz w:val="20"/>
                <w:lang w:eastAsia="en-NZ"/>
              </w:rPr>
            </w:pPr>
            <w:r w:rsidRPr="008E18E2">
              <w:rPr>
                <w:rFonts w:eastAsia="Times New Roman" w:cstheme="minorHAnsi"/>
                <w:color w:val="000000"/>
                <w:sz w:val="20"/>
                <w:lang w:eastAsia="en-NZ"/>
              </w:rPr>
              <w:t>Residents (%) satisfied with street lighting in the central city</w:t>
            </w:r>
          </w:p>
        </w:tc>
        <w:tc>
          <w:tcPr>
            <w:tcW w:w="1134" w:type="dxa"/>
            <w:tcBorders>
              <w:top w:val="single" w:sz="8" w:space="0" w:color="FF0000"/>
              <w:left w:val="nil"/>
              <w:bottom w:val="single" w:sz="8" w:space="0" w:color="FF0000"/>
              <w:right w:val="nil"/>
            </w:tcBorders>
            <w:shd w:val="clear" w:color="auto" w:fill="auto"/>
            <w:noWrap/>
            <w:hideMark/>
          </w:tcPr>
          <w:p w:rsidR="00FD51FE" w:rsidRPr="008E18E2" w:rsidRDefault="00FD51FE" w:rsidP="00FE57D6">
            <w:pPr>
              <w:spacing w:after="0" w:line="240" w:lineRule="auto"/>
              <w:jc w:val="right"/>
              <w:rPr>
                <w:rFonts w:eastAsia="Times New Roman" w:cstheme="minorHAnsi"/>
                <w:color w:val="000000"/>
                <w:sz w:val="20"/>
                <w:lang w:eastAsia="en-NZ"/>
              </w:rPr>
            </w:pPr>
            <w:r w:rsidRPr="008E18E2">
              <w:rPr>
                <w:rFonts w:eastAsia="Times New Roman" w:cstheme="minorHAnsi"/>
                <w:color w:val="000000"/>
                <w:sz w:val="20"/>
                <w:lang w:eastAsia="en-NZ"/>
              </w:rPr>
              <w:t>81%</w:t>
            </w:r>
          </w:p>
        </w:tc>
        <w:tc>
          <w:tcPr>
            <w:tcW w:w="1119" w:type="dxa"/>
            <w:tcBorders>
              <w:top w:val="single" w:sz="8" w:space="0" w:color="FF0000"/>
              <w:left w:val="nil"/>
              <w:bottom w:val="single" w:sz="8" w:space="0" w:color="FF0000"/>
              <w:right w:val="nil"/>
            </w:tcBorders>
            <w:shd w:val="clear" w:color="auto" w:fill="auto"/>
            <w:noWrap/>
            <w:hideMark/>
          </w:tcPr>
          <w:p w:rsidR="00FD51FE" w:rsidRPr="008E18E2" w:rsidRDefault="00FD51FE" w:rsidP="00FE57D6">
            <w:pPr>
              <w:spacing w:after="0" w:line="240" w:lineRule="auto"/>
              <w:jc w:val="right"/>
              <w:rPr>
                <w:rFonts w:eastAsia="Times New Roman" w:cstheme="minorHAnsi"/>
                <w:color w:val="000000"/>
                <w:sz w:val="20"/>
                <w:lang w:eastAsia="en-NZ"/>
              </w:rPr>
            </w:pPr>
            <w:r w:rsidRPr="008E18E2">
              <w:rPr>
                <w:rFonts w:eastAsia="Times New Roman" w:cstheme="minorHAnsi"/>
                <w:color w:val="000000"/>
                <w:sz w:val="20"/>
                <w:lang w:eastAsia="en-NZ"/>
              </w:rPr>
              <w:t>84%</w:t>
            </w:r>
          </w:p>
        </w:tc>
        <w:tc>
          <w:tcPr>
            <w:tcW w:w="1165" w:type="dxa"/>
            <w:gridSpan w:val="2"/>
            <w:tcBorders>
              <w:top w:val="single" w:sz="8" w:space="0" w:color="FF0000"/>
              <w:left w:val="nil"/>
              <w:bottom w:val="single" w:sz="8" w:space="0" w:color="FF0000"/>
              <w:right w:val="nil"/>
            </w:tcBorders>
            <w:shd w:val="clear" w:color="auto" w:fill="auto"/>
            <w:noWrap/>
            <w:hideMark/>
          </w:tcPr>
          <w:p w:rsidR="00FD51FE" w:rsidRPr="008E18E2" w:rsidRDefault="00FD51FE" w:rsidP="00FE57D6">
            <w:pPr>
              <w:spacing w:after="0" w:line="240" w:lineRule="auto"/>
              <w:jc w:val="right"/>
              <w:rPr>
                <w:rFonts w:eastAsia="Times New Roman" w:cstheme="minorHAnsi"/>
                <w:color w:val="000000"/>
                <w:sz w:val="20"/>
                <w:lang w:eastAsia="en-NZ"/>
              </w:rPr>
            </w:pPr>
            <w:r w:rsidRPr="008E18E2">
              <w:rPr>
                <w:rFonts w:eastAsia="Times New Roman" w:cstheme="minorHAnsi"/>
                <w:color w:val="000000"/>
                <w:sz w:val="20"/>
                <w:lang w:eastAsia="en-NZ"/>
              </w:rPr>
              <w:t>78%</w:t>
            </w:r>
          </w:p>
        </w:tc>
        <w:tc>
          <w:tcPr>
            <w:tcW w:w="1038" w:type="dxa"/>
            <w:gridSpan w:val="2"/>
            <w:tcBorders>
              <w:top w:val="single" w:sz="8" w:space="0" w:color="FF0000"/>
              <w:left w:val="nil"/>
              <w:bottom w:val="single" w:sz="8" w:space="0" w:color="FF0000"/>
              <w:right w:val="nil"/>
            </w:tcBorders>
            <w:shd w:val="clear" w:color="000000" w:fill="D9D9D9"/>
            <w:hideMark/>
          </w:tcPr>
          <w:p w:rsidR="00FD51FE" w:rsidRPr="008E18E2" w:rsidRDefault="00FD51FE" w:rsidP="00FE57D6">
            <w:pPr>
              <w:spacing w:after="0" w:line="240" w:lineRule="auto"/>
              <w:jc w:val="right"/>
              <w:rPr>
                <w:rFonts w:eastAsia="Times New Roman" w:cstheme="minorHAnsi"/>
                <w:color w:val="000000"/>
                <w:sz w:val="20"/>
                <w:lang w:eastAsia="en-NZ"/>
              </w:rPr>
            </w:pPr>
            <w:r w:rsidRPr="008E18E2">
              <w:rPr>
                <w:rFonts w:eastAsia="Times New Roman" w:cstheme="minorHAnsi"/>
                <w:color w:val="000000"/>
                <w:sz w:val="20"/>
                <w:lang w:eastAsia="en-NZ"/>
              </w:rPr>
              <w:t>85%</w:t>
            </w:r>
          </w:p>
        </w:tc>
        <w:tc>
          <w:tcPr>
            <w:tcW w:w="826" w:type="dxa"/>
            <w:gridSpan w:val="3"/>
            <w:tcBorders>
              <w:top w:val="single" w:sz="8" w:space="0" w:color="FF0000"/>
              <w:left w:val="nil"/>
              <w:bottom w:val="single" w:sz="8" w:space="0" w:color="FF0000"/>
              <w:right w:val="nil"/>
            </w:tcBorders>
            <w:shd w:val="clear" w:color="auto" w:fill="auto"/>
            <w:hideMark/>
          </w:tcPr>
          <w:p w:rsidR="00FD51FE" w:rsidRPr="008E18E2" w:rsidRDefault="00FD51FE" w:rsidP="00FE57D6">
            <w:pPr>
              <w:spacing w:after="0" w:line="240" w:lineRule="auto"/>
              <w:jc w:val="right"/>
              <w:rPr>
                <w:rFonts w:eastAsia="Times New Roman" w:cstheme="minorHAnsi"/>
                <w:color w:val="000000"/>
                <w:sz w:val="20"/>
                <w:lang w:eastAsia="en-NZ"/>
              </w:rPr>
            </w:pPr>
            <w:r w:rsidRPr="008E18E2">
              <w:rPr>
                <w:rFonts w:eastAsia="Times New Roman" w:cstheme="minorHAnsi"/>
                <w:color w:val="000000"/>
                <w:sz w:val="20"/>
                <w:lang w:eastAsia="en-NZ"/>
              </w:rPr>
              <w:t>-8%</w:t>
            </w:r>
          </w:p>
        </w:tc>
        <w:tc>
          <w:tcPr>
            <w:tcW w:w="893" w:type="dxa"/>
            <w:gridSpan w:val="2"/>
            <w:tcBorders>
              <w:top w:val="single" w:sz="8" w:space="0" w:color="FF0000"/>
              <w:left w:val="nil"/>
              <w:bottom w:val="single" w:sz="8" w:space="0" w:color="FF0000"/>
              <w:right w:val="single" w:sz="4" w:space="0" w:color="FF0000"/>
            </w:tcBorders>
            <w:shd w:val="clear" w:color="auto" w:fill="auto"/>
            <w:hideMark/>
          </w:tcPr>
          <w:p w:rsidR="00FD51FE" w:rsidRPr="008E18E2" w:rsidRDefault="00060BB3" w:rsidP="00FE57D6">
            <w:pPr>
              <w:spacing w:after="0" w:line="240" w:lineRule="auto"/>
              <w:jc w:val="right"/>
              <w:rPr>
                <w:rFonts w:cstheme="minorHAnsi"/>
                <w:sz w:val="20"/>
                <w:szCs w:val="20"/>
              </w:rPr>
            </w:pPr>
            <w:r>
              <w:rPr>
                <w:rFonts w:cstheme="minorHAnsi"/>
                <w:sz w:val="20"/>
                <w:szCs w:val="20"/>
              </w:rPr>
              <w:t>Within 10%</w:t>
            </w:r>
          </w:p>
        </w:tc>
        <w:tc>
          <w:tcPr>
            <w:tcW w:w="4883" w:type="dxa"/>
            <w:gridSpan w:val="2"/>
            <w:tcBorders>
              <w:top w:val="single" w:sz="4" w:space="0" w:color="FF0000"/>
              <w:left w:val="single" w:sz="4" w:space="0" w:color="FF0000"/>
              <w:bottom w:val="single" w:sz="4" w:space="0" w:color="FF0000"/>
              <w:right w:val="nil"/>
            </w:tcBorders>
            <w:shd w:val="clear" w:color="auto" w:fill="auto"/>
            <w:hideMark/>
          </w:tcPr>
          <w:p w:rsidR="00FD51FE" w:rsidRPr="008E18E2" w:rsidRDefault="00FD51FE" w:rsidP="00FE57D6">
            <w:pPr>
              <w:spacing w:after="0" w:line="240" w:lineRule="auto"/>
              <w:jc w:val="right"/>
              <w:rPr>
                <w:rFonts w:eastAsia="Times New Roman" w:cstheme="minorHAnsi"/>
                <w:color w:val="000000"/>
                <w:sz w:val="20"/>
                <w:lang w:eastAsia="en-NZ"/>
              </w:rPr>
            </w:pPr>
          </w:p>
        </w:tc>
      </w:tr>
      <w:tr w:rsidR="00FD51FE" w:rsidRPr="008E18E2" w:rsidTr="00FE57D6">
        <w:tblPrEx>
          <w:shd w:val="clear" w:color="auto" w:fill="auto"/>
        </w:tblPrEx>
        <w:trPr>
          <w:trHeight w:val="270"/>
        </w:trPr>
        <w:tc>
          <w:tcPr>
            <w:tcW w:w="3543" w:type="dxa"/>
            <w:tcBorders>
              <w:top w:val="nil"/>
              <w:left w:val="nil"/>
              <w:bottom w:val="single" w:sz="8" w:space="0" w:color="FF0000"/>
              <w:right w:val="single" w:sz="8" w:space="0" w:color="FF0000"/>
            </w:tcBorders>
            <w:shd w:val="clear" w:color="auto" w:fill="auto"/>
            <w:hideMark/>
          </w:tcPr>
          <w:p w:rsidR="00FD51FE" w:rsidRPr="008E18E2" w:rsidRDefault="00FD51FE" w:rsidP="00FE57D6">
            <w:pPr>
              <w:spacing w:after="0" w:line="240" w:lineRule="auto"/>
              <w:rPr>
                <w:rFonts w:eastAsia="Times New Roman" w:cstheme="minorHAnsi"/>
                <w:color w:val="000000"/>
                <w:sz w:val="20"/>
                <w:lang w:eastAsia="en-NZ"/>
              </w:rPr>
            </w:pPr>
            <w:r w:rsidRPr="008E18E2">
              <w:rPr>
                <w:rFonts w:eastAsia="Times New Roman" w:cstheme="minorHAnsi"/>
                <w:color w:val="000000"/>
                <w:sz w:val="20"/>
                <w:lang w:eastAsia="en-NZ"/>
              </w:rPr>
              <w:t>Residents (%) satisfied with street lighting in suburbs</w:t>
            </w:r>
          </w:p>
        </w:tc>
        <w:tc>
          <w:tcPr>
            <w:tcW w:w="1134" w:type="dxa"/>
            <w:tcBorders>
              <w:top w:val="single" w:sz="8" w:space="0" w:color="FF0000"/>
              <w:left w:val="nil"/>
              <w:bottom w:val="single" w:sz="8" w:space="0" w:color="FF0000"/>
              <w:right w:val="nil"/>
            </w:tcBorders>
            <w:shd w:val="clear" w:color="auto" w:fill="auto"/>
            <w:noWrap/>
            <w:hideMark/>
          </w:tcPr>
          <w:p w:rsidR="00FD51FE" w:rsidRPr="008E18E2" w:rsidRDefault="00FD51FE" w:rsidP="00FE57D6">
            <w:pPr>
              <w:spacing w:after="0" w:line="240" w:lineRule="auto"/>
              <w:jc w:val="right"/>
              <w:rPr>
                <w:rFonts w:eastAsia="Times New Roman" w:cstheme="minorHAnsi"/>
                <w:color w:val="000000"/>
                <w:sz w:val="20"/>
                <w:lang w:eastAsia="en-NZ"/>
              </w:rPr>
            </w:pPr>
            <w:r w:rsidRPr="008E18E2">
              <w:rPr>
                <w:rFonts w:eastAsia="Times New Roman" w:cstheme="minorHAnsi"/>
                <w:color w:val="000000"/>
                <w:sz w:val="20"/>
                <w:lang w:eastAsia="en-NZ"/>
              </w:rPr>
              <w:t>60%</w:t>
            </w:r>
          </w:p>
        </w:tc>
        <w:tc>
          <w:tcPr>
            <w:tcW w:w="1119" w:type="dxa"/>
            <w:tcBorders>
              <w:top w:val="single" w:sz="8" w:space="0" w:color="FF0000"/>
              <w:left w:val="nil"/>
              <w:bottom w:val="single" w:sz="8" w:space="0" w:color="FF0000"/>
              <w:right w:val="nil"/>
            </w:tcBorders>
            <w:shd w:val="clear" w:color="auto" w:fill="auto"/>
            <w:noWrap/>
            <w:hideMark/>
          </w:tcPr>
          <w:p w:rsidR="00FD51FE" w:rsidRPr="008E18E2" w:rsidRDefault="00FD51FE" w:rsidP="00FE57D6">
            <w:pPr>
              <w:spacing w:after="0" w:line="240" w:lineRule="auto"/>
              <w:jc w:val="right"/>
              <w:rPr>
                <w:rFonts w:eastAsia="Times New Roman" w:cstheme="minorHAnsi"/>
                <w:color w:val="000000"/>
                <w:sz w:val="20"/>
                <w:lang w:eastAsia="en-NZ"/>
              </w:rPr>
            </w:pPr>
            <w:r w:rsidRPr="008E18E2">
              <w:rPr>
                <w:rFonts w:eastAsia="Times New Roman" w:cstheme="minorHAnsi"/>
                <w:color w:val="000000"/>
                <w:sz w:val="20"/>
                <w:lang w:eastAsia="en-NZ"/>
              </w:rPr>
              <w:t>62%</w:t>
            </w:r>
          </w:p>
        </w:tc>
        <w:tc>
          <w:tcPr>
            <w:tcW w:w="1165" w:type="dxa"/>
            <w:gridSpan w:val="2"/>
            <w:tcBorders>
              <w:top w:val="single" w:sz="8" w:space="0" w:color="FF0000"/>
              <w:left w:val="nil"/>
              <w:bottom w:val="single" w:sz="8" w:space="0" w:color="FF0000"/>
              <w:right w:val="nil"/>
            </w:tcBorders>
            <w:shd w:val="clear" w:color="auto" w:fill="auto"/>
            <w:noWrap/>
            <w:hideMark/>
          </w:tcPr>
          <w:p w:rsidR="00FD51FE" w:rsidRPr="008E18E2" w:rsidRDefault="00FD51FE" w:rsidP="00FE57D6">
            <w:pPr>
              <w:spacing w:after="0" w:line="240" w:lineRule="auto"/>
              <w:jc w:val="right"/>
              <w:rPr>
                <w:rFonts w:eastAsia="Times New Roman" w:cstheme="minorHAnsi"/>
                <w:color w:val="000000"/>
                <w:sz w:val="20"/>
                <w:lang w:eastAsia="en-NZ"/>
              </w:rPr>
            </w:pPr>
            <w:r w:rsidRPr="008E18E2">
              <w:rPr>
                <w:rFonts w:eastAsia="Times New Roman" w:cstheme="minorHAnsi"/>
                <w:color w:val="000000"/>
                <w:sz w:val="20"/>
                <w:lang w:eastAsia="en-NZ"/>
              </w:rPr>
              <w:t>60%</w:t>
            </w:r>
          </w:p>
        </w:tc>
        <w:tc>
          <w:tcPr>
            <w:tcW w:w="1038" w:type="dxa"/>
            <w:gridSpan w:val="2"/>
            <w:tcBorders>
              <w:top w:val="single" w:sz="8" w:space="0" w:color="FF0000"/>
              <w:left w:val="nil"/>
              <w:bottom w:val="single" w:sz="8" w:space="0" w:color="FF0000"/>
              <w:right w:val="nil"/>
            </w:tcBorders>
            <w:shd w:val="clear" w:color="000000" w:fill="D9D9D9"/>
            <w:hideMark/>
          </w:tcPr>
          <w:p w:rsidR="00FD51FE" w:rsidRPr="008E18E2" w:rsidRDefault="00FD51FE" w:rsidP="00FE57D6">
            <w:pPr>
              <w:spacing w:after="0" w:line="240" w:lineRule="auto"/>
              <w:jc w:val="right"/>
              <w:rPr>
                <w:rFonts w:eastAsia="Times New Roman" w:cstheme="minorHAnsi"/>
                <w:color w:val="000000"/>
                <w:sz w:val="20"/>
                <w:lang w:eastAsia="en-NZ"/>
              </w:rPr>
            </w:pPr>
            <w:r w:rsidRPr="008E18E2">
              <w:rPr>
                <w:rFonts w:eastAsia="Times New Roman" w:cstheme="minorHAnsi"/>
                <w:color w:val="000000"/>
                <w:sz w:val="20"/>
                <w:lang w:eastAsia="en-NZ"/>
              </w:rPr>
              <w:t>75%</w:t>
            </w:r>
          </w:p>
        </w:tc>
        <w:tc>
          <w:tcPr>
            <w:tcW w:w="826" w:type="dxa"/>
            <w:gridSpan w:val="3"/>
            <w:tcBorders>
              <w:top w:val="single" w:sz="8" w:space="0" w:color="FF0000"/>
              <w:left w:val="nil"/>
              <w:bottom w:val="single" w:sz="8" w:space="0" w:color="FF0000"/>
              <w:right w:val="nil"/>
            </w:tcBorders>
            <w:shd w:val="clear" w:color="auto" w:fill="auto"/>
            <w:hideMark/>
          </w:tcPr>
          <w:p w:rsidR="00FD51FE" w:rsidRPr="008E18E2" w:rsidRDefault="00FD51FE" w:rsidP="00FE57D6">
            <w:pPr>
              <w:spacing w:after="0" w:line="240" w:lineRule="auto"/>
              <w:jc w:val="right"/>
              <w:rPr>
                <w:rFonts w:eastAsia="Times New Roman" w:cstheme="minorHAnsi"/>
                <w:color w:val="FF0000"/>
                <w:sz w:val="20"/>
                <w:lang w:eastAsia="en-NZ"/>
              </w:rPr>
            </w:pPr>
            <w:r w:rsidRPr="008E18E2">
              <w:rPr>
                <w:rFonts w:eastAsia="Times New Roman" w:cstheme="minorHAnsi"/>
                <w:sz w:val="20"/>
                <w:lang w:eastAsia="en-NZ"/>
              </w:rPr>
              <w:t>-20%</w:t>
            </w:r>
          </w:p>
        </w:tc>
        <w:tc>
          <w:tcPr>
            <w:tcW w:w="893" w:type="dxa"/>
            <w:gridSpan w:val="2"/>
            <w:tcBorders>
              <w:top w:val="single" w:sz="8" w:space="0" w:color="FF0000"/>
              <w:left w:val="nil"/>
              <w:bottom w:val="single" w:sz="8" w:space="0" w:color="FF0000"/>
              <w:right w:val="single" w:sz="4" w:space="0" w:color="FF0000"/>
            </w:tcBorders>
            <w:shd w:val="clear" w:color="auto" w:fill="auto"/>
            <w:hideMark/>
          </w:tcPr>
          <w:p w:rsidR="00FD51FE" w:rsidRPr="008E18E2" w:rsidRDefault="00FD51FE" w:rsidP="00FE57D6">
            <w:pPr>
              <w:spacing w:after="0" w:line="240" w:lineRule="auto"/>
              <w:jc w:val="right"/>
              <w:rPr>
                <w:rFonts w:cstheme="minorHAnsi"/>
                <w:sz w:val="20"/>
                <w:szCs w:val="20"/>
              </w:rPr>
            </w:pPr>
            <w:r w:rsidRPr="008E18E2">
              <w:rPr>
                <w:rFonts w:cstheme="minorHAnsi"/>
                <w:sz w:val="20"/>
                <w:szCs w:val="20"/>
              </w:rPr>
              <w:t>not met</w:t>
            </w:r>
          </w:p>
        </w:tc>
        <w:tc>
          <w:tcPr>
            <w:tcW w:w="4883" w:type="dxa"/>
            <w:gridSpan w:val="2"/>
            <w:tcBorders>
              <w:top w:val="single" w:sz="4" w:space="0" w:color="FF0000"/>
              <w:left w:val="single" w:sz="4" w:space="0" w:color="FF0000"/>
              <w:bottom w:val="single" w:sz="4" w:space="0" w:color="FF0000"/>
              <w:right w:val="nil"/>
            </w:tcBorders>
            <w:shd w:val="clear" w:color="auto" w:fill="FFFFFF" w:themeFill="background1"/>
            <w:hideMark/>
          </w:tcPr>
          <w:p w:rsidR="00FD51FE" w:rsidRPr="008E18E2" w:rsidRDefault="00FD51FE" w:rsidP="00FE57D6">
            <w:pPr>
              <w:spacing w:after="0" w:line="240" w:lineRule="auto"/>
              <w:rPr>
                <w:rFonts w:eastAsia="Times New Roman" w:cstheme="minorHAnsi"/>
                <w:color w:val="000000"/>
                <w:sz w:val="20"/>
                <w:lang w:eastAsia="en-NZ"/>
              </w:rPr>
            </w:pPr>
            <w:r w:rsidRPr="008E18E2">
              <w:rPr>
                <w:rFonts w:eastAsia="Times New Roman" w:cstheme="minorHAnsi"/>
                <w:color w:val="000000"/>
                <w:sz w:val="20"/>
                <w:lang w:eastAsia="en-NZ"/>
              </w:rPr>
              <w:t>Although in line with previous year‘s results, resident comments have been around the brightness of the new LED lighting and the light pollution they believe it has caused.</w:t>
            </w:r>
          </w:p>
        </w:tc>
      </w:tr>
      <w:tr w:rsidR="00FD51FE" w:rsidRPr="008E18E2" w:rsidTr="00FE57D6">
        <w:tblPrEx>
          <w:shd w:val="clear" w:color="auto" w:fill="auto"/>
        </w:tblPrEx>
        <w:trPr>
          <w:trHeight w:val="270"/>
        </w:trPr>
        <w:tc>
          <w:tcPr>
            <w:tcW w:w="3543" w:type="dxa"/>
            <w:tcBorders>
              <w:top w:val="nil"/>
              <w:left w:val="nil"/>
              <w:bottom w:val="single" w:sz="4" w:space="0" w:color="FF0000"/>
              <w:right w:val="single" w:sz="8" w:space="0" w:color="FF0000"/>
            </w:tcBorders>
            <w:shd w:val="clear" w:color="auto" w:fill="auto"/>
            <w:hideMark/>
          </w:tcPr>
          <w:p w:rsidR="00FD51FE" w:rsidRPr="008E18E2" w:rsidRDefault="00FD51FE" w:rsidP="00FE57D6">
            <w:pPr>
              <w:spacing w:after="0" w:line="240" w:lineRule="auto"/>
              <w:rPr>
                <w:rFonts w:eastAsia="Times New Roman" w:cstheme="minorHAnsi"/>
                <w:color w:val="000000"/>
                <w:sz w:val="20"/>
                <w:lang w:eastAsia="en-NZ"/>
              </w:rPr>
            </w:pPr>
            <w:r w:rsidRPr="008E18E2">
              <w:rPr>
                <w:rFonts w:eastAsia="Times New Roman" w:cstheme="minorHAnsi"/>
                <w:color w:val="000000"/>
                <w:sz w:val="20"/>
                <w:lang w:eastAsia="en-NZ"/>
              </w:rPr>
              <w:t>Requests for service (%) response rate - urgent within 2 hours*</w:t>
            </w:r>
          </w:p>
        </w:tc>
        <w:tc>
          <w:tcPr>
            <w:tcW w:w="1134" w:type="dxa"/>
            <w:tcBorders>
              <w:top w:val="single" w:sz="8" w:space="0" w:color="FF0000"/>
              <w:left w:val="nil"/>
              <w:bottom w:val="single" w:sz="4" w:space="0" w:color="FF0000"/>
              <w:right w:val="nil"/>
            </w:tcBorders>
            <w:shd w:val="clear" w:color="auto" w:fill="auto"/>
            <w:noWrap/>
            <w:hideMark/>
          </w:tcPr>
          <w:p w:rsidR="00FD51FE" w:rsidRPr="008E18E2" w:rsidRDefault="00FD51FE" w:rsidP="00FE57D6">
            <w:pPr>
              <w:spacing w:after="0" w:line="240" w:lineRule="auto"/>
              <w:jc w:val="right"/>
              <w:rPr>
                <w:rFonts w:eastAsia="Times New Roman" w:cstheme="minorHAnsi"/>
                <w:color w:val="000000"/>
                <w:sz w:val="20"/>
                <w:lang w:eastAsia="en-NZ"/>
              </w:rPr>
            </w:pPr>
            <w:r w:rsidRPr="008E18E2">
              <w:rPr>
                <w:rFonts w:eastAsia="Times New Roman" w:cstheme="minorHAnsi"/>
                <w:color w:val="000000"/>
                <w:sz w:val="20"/>
                <w:lang w:eastAsia="en-NZ"/>
              </w:rPr>
              <w:t>89%</w:t>
            </w:r>
          </w:p>
        </w:tc>
        <w:tc>
          <w:tcPr>
            <w:tcW w:w="1119" w:type="dxa"/>
            <w:tcBorders>
              <w:top w:val="single" w:sz="8" w:space="0" w:color="FF0000"/>
              <w:left w:val="nil"/>
              <w:bottom w:val="single" w:sz="4" w:space="0" w:color="FF0000"/>
              <w:right w:val="nil"/>
            </w:tcBorders>
            <w:shd w:val="clear" w:color="auto" w:fill="auto"/>
            <w:noWrap/>
            <w:hideMark/>
          </w:tcPr>
          <w:p w:rsidR="00FD51FE" w:rsidRPr="008E18E2" w:rsidRDefault="00FD51FE" w:rsidP="00FE57D6">
            <w:pPr>
              <w:spacing w:after="0" w:line="240" w:lineRule="auto"/>
              <w:jc w:val="right"/>
              <w:rPr>
                <w:rFonts w:eastAsia="Times New Roman" w:cstheme="minorHAnsi"/>
                <w:color w:val="000000"/>
                <w:sz w:val="20"/>
                <w:lang w:eastAsia="en-NZ"/>
              </w:rPr>
            </w:pPr>
            <w:r w:rsidRPr="008E18E2">
              <w:rPr>
                <w:rFonts w:eastAsia="Times New Roman" w:cstheme="minorHAnsi"/>
                <w:color w:val="000000"/>
                <w:sz w:val="20"/>
                <w:lang w:eastAsia="en-NZ"/>
              </w:rPr>
              <w:t>89%</w:t>
            </w:r>
          </w:p>
        </w:tc>
        <w:tc>
          <w:tcPr>
            <w:tcW w:w="1165" w:type="dxa"/>
            <w:gridSpan w:val="2"/>
            <w:tcBorders>
              <w:top w:val="single" w:sz="8" w:space="0" w:color="FF0000"/>
              <w:left w:val="nil"/>
              <w:bottom w:val="single" w:sz="4" w:space="0" w:color="FF0000"/>
              <w:right w:val="nil"/>
            </w:tcBorders>
            <w:shd w:val="clear" w:color="auto" w:fill="auto"/>
            <w:noWrap/>
            <w:hideMark/>
          </w:tcPr>
          <w:p w:rsidR="00FD51FE" w:rsidRPr="008E18E2" w:rsidRDefault="00FD51FE" w:rsidP="00FE57D6">
            <w:pPr>
              <w:spacing w:after="0" w:line="240" w:lineRule="auto"/>
              <w:jc w:val="right"/>
              <w:rPr>
                <w:rFonts w:eastAsia="Times New Roman" w:cstheme="minorHAnsi"/>
                <w:color w:val="000000"/>
                <w:sz w:val="20"/>
                <w:lang w:eastAsia="en-NZ"/>
              </w:rPr>
            </w:pPr>
            <w:r w:rsidRPr="008E18E2">
              <w:rPr>
                <w:rFonts w:eastAsia="Times New Roman" w:cstheme="minorHAnsi"/>
                <w:color w:val="000000"/>
                <w:sz w:val="20"/>
                <w:lang w:eastAsia="en-NZ"/>
              </w:rPr>
              <w:t>96%</w:t>
            </w:r>
          </w:p>
        </w:tc>
        <w:tc>
          <w:tcPr>
            <w:tcW w:w="1038" w:type="dxa"/>
            <w:gridSpan w:val="2"/>
            <w:tcBorders>
              <w:top w:val="single" w:sz="8" w:space="0" w:color="FF0000"/>
              <w:left w:val="nil"/>
              <w:bottom w:val="single" w:sz="4" w:space="0" w:color="FF0000"/>
              <w:right w:val="nil"/>
            </w:tcBorders>
            <w:shd w:val="clear" w:color="000000" w:fill="D9D9D9"/>
            <w:hideMark/>
          </w:tcPr>
          <w:p w:rsidR="00FD51FE" w:rsidRPr="008E18E2" w:rsidRDefault="00FD51FE" w:rsidP="00FE57D6">
            <w:pPr>
              <w:spacing w:after="0" w:line="240" w:lineRule="auto"/>
              <w:jc w:val="right"/>
              <w:rPr>
                <w:rFonts w:eastAsia="Times New Roman" w:cstheme="minorHAnsi"/>
                <w:color w:val="000000"/>
                <w:sz w:val="20"/>
                <w:lang w:eastAsia="en-NZ"/>
              </w:rPr>
            </w:pPr>
            <w:r w:rsidRPr="008E18E2">
              <w:rPr>
                <w:rFonts w:eastAsia="Times New Roman" w:cstheme="minorHAnsi"/>
                <w:color w:val="000000"/>
                <w:sz w:val="20"/>
                <w:lang w:eastAsia="en-NZ"/>
              </w:rPr>
              <w:t>98%</w:t>
            </w:r>
          </w:p>
        </w:tc>
        <w:tc>
          <w:tcPr>
            <w:tcW w:w="826" w:type="dxa"/>
            <w:gridSpan w:val="3"/>
            <w:tcBorders>
              <w:top w:val="single" w:sz="8" w:space="0" w:color="FF0000"/>
              <w:left w:val="nil"/>
              <w:bottom w:val="single" w:sz="4" w:space="0" w:color="FF0000"/>
              <w:right w:val="nil"/>
            </w:tcBorders>
            <w:shd w:val="clear" w:color="auto" w:fill="auto"/>
            <w:hideMark/>
          </w:tcPr>
          <w:p w:rsidR="00FD51FE" w:rsidRPr="008E18E2" w:rsidRDefault="00FD51FE" w:rsidP="00FE57D6">
            <w:pPr>
              <w:spacing w:after="0" w:line="240" w:lineRule="auto"/>
              <w:jc w:val="right"/>
              <w:rPr>
                <w:rFonts w:eastAsia="Times New Roman" w:cstheme="minorHAnsi"/>
                <w:color w:val="000000"/>
                <w:sz w:val="20"/>
                <w:lang w:eastAsia="en-NZ"/>
              </w:rPr>
            </w:pPr>
            <w:r w:rsidRPr="008E18E2">
              <w:rPr>
                <w:rFonts w:eastAsia="Times New Roman" w:cstheme="minorHAnsi"/>
                <w:color w:val="000000"/>
                <w:sz w:val="20"/>
                <w:lang w:eastAsia="en-NZ"/>
              </w:rPr>
              <w:t>-2%</w:t>
            </w:r>
          </w:p>
        </w:tc>
        <w:tc>
          <w:tcPr>
            <w:tcW w:w="893" w:type="dxa"/>
            <w:gridSpan w:val="2"/>
            <w:tcBorders>
              <w:top w:val="single" w:sz="8" w:space="0" w:color="FF0000"/>
              <w:left w:val="nil"/>
              <w:bottom w:val="single" w:sz="4" w:space="0" w:color="FF0000"/>
              <w:right w:val="single" w:sz="4" w:space="0" w:color="FF0000"/>
            </w:tcBorders>
            <w:shd w:val="clear" w:color="auto" w:fill="auto"/>
            <w:hideMark/>
          </w:tcPr>
          <w:p w:rsidR="00FD51FE" w:rsidRPr="008E18E2" w:rsidRDefault="00060BB3" w:rsidP="00FE57D6">
            <w:pPr>
              <w:spacing w:after="0" w:line="240" w:lineRule="auto"/>
              <w:jc w:val="right"/>
              <w:rPr>
                <w:rFonts w:cstheme="minorHAnsi"/>
                <w:sz w:val="20"/>
                <w:szCs w:val="20"/>
              </w:rPr>
            </w:pPr>
            <w:r>
              <w:rPr>
                <w:rFonts w:cstheme="minorHAnsi"/>
                <w:sz w:val="20"/>
                <w:szCs w:val="20"/>
              </w:rPr>
              <w:t>Within 10%</w:t>
            </w:r>
          </w:p>
        </w:tc>
        <w:tc>
          <w:tcPr>
            <w:tcW w:w="4883" w:type="dxa"/>
            <w:gridSpan w:val="2"/>
            <w:tcBorders>
              <w:top w:val="single" w:sz="4" w:space="0" w:color="FF0000"/>
              <w:left w:val="single" w:sz="4" w:space="0" w:color="FF0000"/>
              <w:bottom w:val="single" w:sz="4" w:space="0" w:color="FF0000"/>
              <w:right w:val="nil"/>
            </w:tcBorders>
            <w:shd w:val="clear" w:color="auto" w:fill="auto"/>
            <w:hideMark/>
          </w:tcPr>
          <w:p w:rsidR="00FD51FE" w:rsidRPr="008E18E2" w:rsidRDefault="00FD51FE" w:rsidP="00FE57D6">
            <w:pPr>
              <w:spacing w:after="0" w:line="240" w:lineRule="auto"/>
              <w:jc w:val="right"/>
              <w:rPr>
                <w:rFonts w:eastAsia="Times New Roman" w:cstheme="minorHAnsi"/>
                <w:color w:val="000000"/>
                <w:sz w:val="20"/>
                <w:lang w:eastAsia="en-NZ"/>
              </w:rPr>
            </w:pPr>
          </w:p>
        </w:tc>
      </w:tr>
      <w:tr w:rsidR="00FD51FE" w:rsidRPr="008E18E2" w:rsidTr="00B76213">
        <w:tblPrEx>
          <w:shd w:val="clear" w:color="auto" w:fill="auto"/>
        </w:tblPrEx>
        <w:trPr>
          <w:trHeight w:val="270"/>
        </w:trPr>
        <w:tc>
          <w:tcPr>
            <w:tcW w:w="3543" w:type="dxa"/>
            <w:tcBorders>
              <w:top w:val="single" w:sz="4" w:space="0" w:color="FF0000"/>
              <w:left w:val="nil"/>
              <w:bottom w:val="single" w:sz="4" w:space="0" w:color="FF0000"/>
              <w:right w:val="single" w:sz="8" w:space="0" w:color="FF0000"/>
            </w:tcBorders>
            <w:shd w:val="clear" w:color="auto" w:fill="auto"/>
            <w:hideMark/>
          </w:tcPr>
          <w:p w:rsidR="00FD51FE" w:rsidRPr="008E18E2" w:rsidRDefault="00FD51FE" w:rsidP="00FE57D6">
            <w:pPr>
              <w:spacing w:after="0" w:line="240" w:lineRule="auto"/>
              <w:rPr>
                <w:rFonts w:eastAsia="Times New Roman" w:cstheme="minorHAnsi"/>
                <w:color w:val="000000"/>
                <w:sz w:val="20"/>
                <w:lang w:eastAsia="en-NZ"/>
              </w:rPr>
            </w:pPr>
            <w:r w:rsidRPr="008E18E2">
              <w:rPr>
                <w:rFonts w:eastAsia="Times New Roman" w:cstheme="minorHAnsi"/>
                <w:color w:val="000000"/>
                <w:sz w:val="20"/>
                <w:lang w:eastAsia="en-NZ"/>
              </w:rPr>
              <w:t>Requests for service (%) response rate - non-urgent within 15 days*</w:t>
            </w:r>
          </w:p>
        </w:tc>
        <w:tc>
          <w:tcPr>
            <w:tcW w:w="1134" w:type="dxa"/>
            <w:tcBorders>
              <w:top w:val="single" w:sz="4" w:space="0" w:color="FF0000"/>
              <w:left w:val="nil"/>
              <w:bottom w:val="single" w:sz="4" w:space="0" w:color="FF0000"/>
              <w:right w:val="nil"/>
            </w:tcBorders>
            <w:shd w:val="clear" w:color="auto" w:fill="auto"/>
            <w:noWrap/>
            <w:hideMark/>
          </w:tcPr>
          <w:p w:rsidR="00FD51FE" w:rsidRPr="008E18E2" w:rsidRDefault="00FD51FE" w:rsidP="00FE57D6">
            <w:pPr>
              <w:spacing w:after="0" w:line="240" w:lineRule="auto"/>
              <w:jc w:val="right"/>
              <w:rPr>
                <w:rFonts w:eastAsia="Times New Roman" w:cstheme="minorHAnsi"/>
                <w:color w:val="000000"/>
                <w:sz w:val="20"/>
                <w:lang w:eastAsia="en-NZ"/>
              </w:rPr>
            </w:pPr>
            <w:r w:rsidRPr="008E18E2">
              <w:rPr>
                <w:rFonts w:eastAsia="Times New Roman" w:cstheme="minorHAnsi"/>
                <w:color w:val="000000"/>
                <w:sz w:val="20"/>
                <w:lang w:eastAsia="en-NZ"/>
              </w:rPr>
              <w:t>94%</w:t>
            </w:r>
          </w:p>
        </w:tc>
        <w:tc>
          <w:tcPr>
            <w:tcW w:w="1119" w:type="dxa"/>
            <w:tcBorders>
              <w:top w:val="single" w:sz="4" w:space="0" w:color="FF0000"/>
              <w:left w:val="nil"/>
              <w:bottom w:val="single" w:sz="4" w:space="0" w:color="FF0000"/>
              <w:right w:val="nil"/>
            </w:tcBorders>
            <w:shd w:val="clear" w:color="auto" w:fill="auto"/>
            <w:noWrap/>
            <w:hideMark/>
          </w:tcPr>
          <w:p w:rsidR="00FD51FE" w:rsidRPr="008E18E2" w:rsidRDefault="00FD51FE" w:rsidP="00FE57D6">
            <w:pPr>
              <w:spacing w:after="0" w:line="240" w:lineRule="auto"/>
              <w:jc w:val="right"/>
              <w:rPr>
                <w:rFonts w:eastAsia="Times New Roman" w:cstheme="minorHAnsi"/>
                <w:color w:val="000000"/>
                <w:sz w:val="20"/>
                <w:lang w:eastAsia="en-NZ"/>
              </w:rPr>
            </w:pPr>
            <w:r w:rsidRPr="008E18E2">
              <w:rPr>
                <w:rFonts w:eastAsia="Times New Roman" w:cstheme="minorHAnsi"/>
                <w:color w:val="000000"/>
                <w:sz w:val="20"/>
                <w:lang w:eastAsia="en-NZ"/>
              </w:rPr>
              <w:t>94%</w:t>
            </w:r>
          </w:p>
        </w:tc>
        <w:tc>
          <w:tcPr>
            <w:tcW w:w="1165" w:type="dxa"/>
            <w:gridSpan w:val="2"/>
            <w:tcBorders>
              <w:top w:val="single" w:sz="4" w:space="0" w:color="FF0000"/>
              <w:left w:val="nil"/>
              <w:bottom w:val="single" w:sz="4" w:space="0" w:color="FF0000"/>
              <w:right w:val="nil"/>
            </w:tcBorders>
            <w:shd w:val="clear" w:color="auto" w:fill="auto"/>
            <w:noWrap/>
            <w:hideMark/>
          </w:tcPr>
          <w:p w:rsidR="00FD51FE" w:rsidRPr="008E18E2" w:rsidRDefault="00FD51FE" w:rsidP="00FE57D6">
            <w:pPr>
              <w:spacing w:after="0" w:line="240" w:lineRule="auto"/>
              <w:jc w:val="right"/>
              <w:rPr>
                <w:rFonts w:eastAsia="Times New Roman" w:cstheme="minorHAnsi"/>
                <w:color w:val="000000"/>
                <w:sz w:val="20"/>
                <w:lang w:eastAsia="en-NZ"/>
              </w:rPr>
            </w:pPr>
            <w:r w:rsidRPr="008E18E2">
              <w:rPr>
                <w:rFonts w:eastAsia="Times New Roman" w:cstheme="minorHAnsi"/>
                <w:color w:val="000000"/>
                <w:sz w:val="20"/>
                <w:lang w:eastAsia="en-NZ"/>
              </w:rPr>
              <w:t>96%</w:t>
            </w:r>
          </w:p>
        </w:tc>
        <w:tc>
          <w:tcPr>
            <w:tcW w:w="1038" w:type="dxa"/>
            <w:gridSpan w:val="2"/>
            <w:tcBorders>
              <w:top w:val="single" w:sz="4" w:space="0" w:color="FF0000"/>
              <w:left w:val="nil"/>
              <w:bottom w:val="single" w:sz="4" w:space="0" w:color="FF0000"/>
              <w:right w:val="nil"/>
            </w:tcBorders>
            <w:shd w:val="clear" w:color="000000" w:fill="D9D9D9"/>
            <w:hideMark/>
          </w:tcPr>
          <w:p w:rsidR="00FD51FE" w:rsidRPr="008E18E2" w:rsidRDefault="00FD51FE" w:rsidP="00FE57D6">
            <w:pPr>
              <w:spacing w:after="0" w:line="240" w:lineRule="auto"/>
              <w:jc w:val="right"/>
              <w:rPr>
                <w:rFonts w:eastAsia="Times New Roman" w:cstheme="minorHAnsi"/>
                <w:color w:val="000000"/>
                <w:sz w:val="20"/>
                <w:lang w:eastAsia="en-NZ"/>
              </w:rPr>
            </w:pPr>
            <w:r w:rsidRPr="008E18E2">
              <w:rPr>
                <w:rFonts w:eastAsia="Times New Roman" w:cstheme="minorHAnsi"/>
                <w:color w:val="000000"/>
                <w:sz w:val="20"/>
                <w:lang w:eastAsia="en-NZ"/>
              </w:rPr>
              <w:t>98%</w:t>
            </w:r>
          </w:p>
        </w:tc>
        <w:tc>
          <w:tcPr>
            <w:tcW w:w="826" w:type="dxa"/>
            <w:gridSpan w:val="3"/>
            <w:tcBorders>
              <w:top w:val="single" w:sz="4" w:space="0" w:color="FF0000"/>
              <w:left w:val="nil"/>
              <w:bottom w:val="single" w:sz="4" w:space="0" w:color="FF0000"/>
              <w:right w:val="nil"/>
            </w:tcBorders>
            <w:shd w:val="clear" w:color="auto" w:fill="auto"/>
            <w:hideMark/>
          </w:tcPr>
          <w:p w:rsidR="00FD51FE" w:rsidRPr="008E18E2" w:rsidRDefault="00FD51FE" w:rsidP="00FE57D6">
            <w:pPr>
              <w:spacing w:after="0" w:line="240" w:lineRule="auto"/>
              <w:jc w:val="right"/>
              <w:rPr>
                <w:rFonts w:eastAsia="Times New Roman" w:cstheme="minorHAnsi"/>
                <w:color w:val="000000"/>
                <w:sz w:val="20"/>
                <w:lang w:eastAsia="en-NZ"/>
              </w:rPr>
            </w:pPr>
            <w:r w:rsidRPr="008E18E2">
              <w:rPr>
                <w:rFonts w:eastAsia="Times New Roman" w:cstheme="minorHAnsi"/>
                <w:color w:val="000000"/>
                <w:sz w:val="20"/>
                <w:lang w:eastAsia="en-NZ"/>
              </w:rPr>
              <w:t>-2%</w:t>
            </w:r>
          </w:p>
        </w:tc>
        <w:tc>
          <w:tcPr>
            <w:tcW w:w="893" w:type="dxa"/>
            <w:gridSpan w:val="2"/>
            <w:tcBorders>
              <w:top w:val="single" w:sz="4" w:space="0" w:color="FF0000"/>
              <w:left w:val="nil"/>
              <w:bottom w:val="single" w:sz="4" w:space="0" w:color="FF0000"/>
              <w:right w:val="single" w:sz="4" w:space="0" w:color="FF0000"/>
            </w:tcBorders>
            <w:shd w:val="clear" w:color="auto" w:fill="auto"/>
            <w:hideMark/>
          </w:tcPr>
          <w:p w:rsidR="00FD51FE" w:rsidRPr="008E18E2" w:rsidRDefault="00060BB3" w:rsidP="00FE57D6">
            <w:pPr>
              <w:spacing w:after="0" w:line="240" w:lineRule="auto"/>
              <w:jc w:val="right"/>
              <w:rPr>
                <w:rFonts w:cstheme="minorHAnsi"/>
                <w:sz w:val="20"/>
                <w:szCs w:val="20"/>
              </w:rPr>
            </w:pPr>
            <w:r>
              <w:rPr>
                <w:rFonts w:cstheme="minorHAnsi"/>
                <w:sz w:val="20"/>
                <w:szCs w:val="20"/>
              </w:rPr>
              <w:t>Within 10%</w:t>
            </w:r>
          </w:p>
        </w:tc>
        <w:tc>
          <w:tcPr>
            <w:tcW w:w="4883" w:type="dxa"/>
            <w:gridSpan w:val="2"/>
            <w:tcBorders>
              <w:top w:val="single" w:sz="4" w:space="0" w:color="FF0000"/>
              <w:left w:val="single" w:sz="4" w:space="0" w:color="FF0000"/>
              <w:bottom w:val="single" w:sz="4" w:space="0" w:color="FF0000"/>
              <w:right w:val="nil"/>
            </w:tcBorders>
            <w:shd w:val="clear" w:color="auto" w:fill="auto"/>
            <w:hideMark/>
          </w:tcPr>
          <w:p w:rsidR="00FD51FE" w:rsidRPr="008E18E2" w:rsidRDefault="00FD51FE" w:rsidP="00FE57D6">
            <w:pPr>
              <w:spacing w:after="0" w:line="240" w:lineRule="auto"/>
              <w:jc w:val="right"/>
              <w:rPr>
                <w:rFonts w:eastAsia="Times New Roman" w:cstheme="minorHAnsi"/>
                <w:color w:val="000000"/>
                <w:sz w:val="20"/>
                <w:lang w:eastAsia="en-NZ"/>
              </w:rPr>
            </w:pPr>
          </w:p>
        </w:tc>
      </w:tr>
      <w:tr w:rsidR="00B76213" w:rsidRPr="008E18E2" w:rsidTr="00B76213">
        <w:tblPrEx>
          <w:shd w:val="clear" w:color="auto" w:fill="auto"/>
        </w:tblPrEx>
        <w:trPr>
          <w:trHeight w:val="525"/>
        </w:trPr>
        <w:tc>
          <w:tcPr>
            <w:tcW w:w="3543" w:type="dxa"/>
            <w:tcBorders>
              <w:top w:val="single" w:sz="4" w:space="0" w:color="FF0000"/>
              <w:left w:val="single" w:sz="4" w:space="0" w:color="FF0000"/>
              <w:bottom w:val="single" w:sz="4" w:space="0" w:color="FF0000"/>
              <w:right w:val="single" w:sz="4" w:space="0" w:color="FF0000"/>
            </w:tcBorders>
            <w:shd w:val="clear" w:color="auto" w:fill="auto"/>
            <w:hideMark/>
          </w:tcPr>
          <w:p w:rsidR="00FD51FE" w:rsidRPr="008E18E2" w:rsidRDefault="00FD51FE" w:rsidP="00FE57D6">
            <w:pPr>
              <w:spacing w:after="0" w:line="240" w:lineRule="auto"/>
              <w:rPr>
                <w:rFonts w:eastAsia="Times New Roman" w:cstheme="minorHAnsi"/>
                <w:color w:val="000000"/>
                <w:sz w:val="20"/>
                <w:lang w:eastAsia="en-NZ"/>
              </w:rPr>
            </w:pPr>
            <w:r w:rsidRPr="008E18E2">
              <w:rPr>
                <w:rFonts w:eastAsia="Times New Roman" w:cstheme="minorHAnsi"/>
                <w:color w:val="000000"/>
                <w:sz w:val="20"/>
                <w:lang w:eastAsia="en-NZ"/>
              </w:rPr>
              <w:t xml:space="preserve">Footpaths (%) in average condition or better (measured against WCC </w:t>
            </w:r>
            <w:r w:rsidRPr="008E18E2">
              <w:rPr>
                <w:rFonts w:eastAsia="Times New Roman" w:cstheme="minorHAnsi"/>
                <w:color w:val="000000"/>
                <w:sz w:val="20"/>
                <w:lang w:eastAsia="en-NZ"/>
              </w:rPr>
              <w:lastRenderedPageBreak/>
              <w:t>condition standards*)</w:t>
            </w:r>
          </w:p>
        </w:tc>
        <w:tc>
          <w:tcPr>
            <w:tcW w:w="1134" w:type="dxa"/>
            <w:tcBorders>
              <w:top w:val="single" w:sz="4" w:space="0" w:color="FF0000"/>
              <w:left w:val="single" w:sz="4" w:space="0" w:color="FF0000"/>
              <w:bottom w:val="single" w:sz="4" w:space="0" w:color="FF0000"/>
            </w:tcBorders>
            <w:shd w:val="clear" w:color="auto" w:fill="auto"/>
            <w:hideMark/>
          </w:tcPr>
          <w:p w:rsidR="00FD51FE" w:rsidRPr="008E18E2" w:rsidRDefault="00FD51FE" w:rsidP="00FE57D6">
            <w:pPr>
              <w:spacing w:after="0" w:line="240" w:lineRule="auto"/>
              <w:jc w:val="right"/>
              <w:rPr>
                <w:rFonts w:eastAsia="Times New Roman" w:cstheme="minorHAnsi"/>
                <w:color w:val="000000"/>
                <w:sz w:val="20"/>
                <w:lang w:eastAsia="en-NZ"/>
              </w:rPr>
            </w:pPr>
            <w:r w:rsidRPr="008E18E2">
              <w:rPr>
                <w:rFonts w:eastAsia="Times New Roman" w:cstheme="minorHAnsi"/>
                <w:color w:val="000000"/>
                <w:sz w:val="20"/>
                <w:lang w:eastAsia="en-NZ"/>
              </w:rPr>
              <w:lastRenderedPageBreak/>
              <w:t>96%</w:t>
            </w:r>
          </w:p>
        </w:tc>
        <w:tc>
          <w:tcPr>
            <w:tcW w:w="1119" w:type="dxa"/>
            <w:tcBorders>
              <w:top w:val="single" w:sz="4" w:space="0" w:color="FF0000"/>
              <w:left w:val="nil"/>
              <w:bottom w:val="single" w:sz="4" w:space="0" w:color="FF0000"/>
            </w:tcBorders>
            <w:shd w:val="clear" w:color="auto" w:fill="auto"/>
            <w:noWrap/>
            <w:hideMark/>
          </w:tcPr>
          <w:p w:rsidR="00FD51FE" w:rsidRPr="008E18E2" w:rsidRDefault="00FD51FE" w:rsidP="00FE57D6">
            <w:pPr>
              <w:spacing w:after="0" w:line="240" w:lineRule="auto"/>
              <w:jc w:val="right"/>
              <w:rPr>
                <w:rFonts w:eastAsia="Times New Roman" w:cstheme="minorHAnsi"/>
                <w:color w:val="000000"/>
                <w:sz w:val="20"/>
                <w:lang w:eastAsia="en-NZ"/>
              </w:rPr>
            </w:pPr>
            <w:r w:rsidRPr="008E18E2">
              <w:rPr>
                <w:rFonts w:eastAsia="Times New Roman" w:cstheme="minorHAnsi"/>
                <w:color w:val="000000"/>
                <w:sz w:val="20"/>
                <w:lang w:eastAsia="en-NZ"/>
              </w:rPr>
              <w:t>98%</w:t>
            </w:r>
          </w:p>
        </w:tc>
        <w:tc>
          <w:tcPr>
            <w:tcW w:w="1165" w:type="dxa"/>
            <w:gridSpan w:val="2"/>
            <w:tcBorders>
              <w:top w:val="single" w:sz="4" w:space="0" w:color="FF0000"/>
              <w:left w:val="nil"/>
              <w:bottom w:val="single" w:sz="4" w:space="0" w:color="FF0000"/>
            </w:tcBorders>
            <w:shd w:val="clear" w:color="auto" w:fill="auto"/>
            <w:noWrap/>
            <w:hideMark/>
          </w:tcPr>
          <w:p w:rsidR="00FD51FE" w:rsidRPr="008E18E2" w:rsidRDefault="00FD51FE" w:rsidP="00FE57D6">
            <w:pPr>
              <w:spacing w:after="0" w:line="240" w:lineRule="auto"/>
              <w:jc w:val="right"/>
              <w:rPr>
                <w:rFonts w:eastAsia="Times New Roman" w:cstheme="minorHAnsi"/>
                <w:color w:val="000000"/>
                <w:sz w:val="20"/>
                <w:lang w:eastAsia="en-NZ"/>
              </w:rPr>
            </w:pPr>
            <w:r w:rsidRPr="008E18E2">
              <w:rPr>
                <w:rFonts w:eastAsia="Times New Roman" w:cstheme="minorHAnsi"/>
                <w:color w:val="000000"/>
                <w:sz w:val="20"/>
                <w:lang w:eastAsia="en-NZ"/>
              </w:rPr>
              <w:t>99%</w:t>
            </w:r>
          </w:p>
        </w:tc>
        <w:tc>
          <w:tcPr>
            <w:tcW w:w="1038" w:type="dxa"/>
            <w:gridSpan w:val="2"/>
            <w:tcBorders>
              <w:top w:val="single" w:sz="4" w:space="0" w:color="FF0000"/>
              <w:left w:val="nil"/>
              <w:bottom w:val="single" w:sz="4" w:space="0" w:color="FF0000"/>
            </w:tcBorders>
            <w:shd w:val="clear" w:color="000000" w:fill="D9D9D9"/>
            <w:hideMark/>
          </w:tcPr>
          <w:p w:rsidR="00FD51FE" w:rsidRPr="008E18E2" w:rsidRDefault="00FD51FE" w:rsidP="00FE57D6">
            <w:pPr>
              <w:spacing w:after="0" w:line="240" w:lineRule="auto"/>
              <w:jc w:val="right"/>
              <w:rPr>
                <w:rFonts w:eastAsia="Times New Roman" w:cstheme="minorHAnsi"/>
                <w:color w:val="000000"/>
                <w:sz w:val="20"/>
                <w:lang w:eastAsia="en-NZ"/>
              </w:rPr>
            </w:pPr>
            <w:r w:rsidRPr="008E18E2">
              <w:rPr>
                <w:rFonts w:eastAsia="Times New Roman" w:cstheme="minorHAnsi"/>
                <w:color w:val="000000"/>
                <w:sz w:val="20"/>
                <w:lang w:eastAsia="en-NZ"/>
              </w:rPr>
              <w:t>96%</w:t>
            </w:r>
          </w:p>
        </w:tc>
        <w:tc>
          <w:tcPr>
            <w:tcW w:w="826" w:type="dxa"/>
            <w:gridSpan w:val="3"/>
            <w:tcBorders>
              <w:top w:val="single" w:sz="4" w:space="0" w:color="FF0000"/>
              <w:left w:val="nil"/>
              <w:bottom w:val="single" w:sz="4" w:space="0" w:color="FF0000"/>
            </w:tcBorders>
            <w:shd w:val="clear" w:color="auto" w:fill="auto"/>
            <w:hideMark/>
          </w:tcPr>
          <w:p w:rsidR="00FD51FE" w:rsidRPr="008E18E2" w:rsidRDefault="00FD51FE" w:rsidP="00FE57D6">
            <w:pPr>
              <w:spacing w:after="0" w:line="240" w:lineRule="auto"/>
              <w:jc w:val="right"/>
              <w:rPr>
                <w:rFonts w:eastAsia="Times New Roman" w:cstheme="minorHAnsi"/>
                <w:color w:val="000000"/>
                <w:sz w:val="20"/>
                <w:lang w:eastAsia="en-NZ"/>
              </w:rPr>
            </w:pPr>
            <w:r w:rsidRPr="008E18E2">
              <w:rPr>
                <w:rFonts w:eastAsia="Times New Roman" w:cstheme="minorHAnsi"/>
                <w:color w:val="000000"/>
                <w:sz w:val="20"/>
                <w:lang w:eastAsia="en-NZ"/>
              </w:rPr>
              <w:t>3%</w:t>
            </w:r>
          </w:p>
        </w:tc>
        <w:tc>
          <w:tcPr>
            <w:tcW w:w="893" w:type="dxa"/>
            <w:gridSpan w:val="2"/>
            <w:tcBorders>
              <w:top w:val="single" w:sz="4" w:space="0" w:color="FF0000"/>
              <w:left w:val="nil"/>
              <w:bottom w:val="single" w:sz="4" w:space="0" w:color="FF0000"/>
              <w:right w:val="single" w:sz="4" w:space="0" w:color="FF0000"/>
            </w:tcBorders>
            <w:shd w:val="clear" w:color="auto" w:fill="auto"/>
            <w:hideMark/>
          </w:tcPr>
          <w:p w:rsidR="00FD51FE" w:rsidRPr="008E18E2" w:rsidRDefault="00060BB3" w:rsidP="00FE57D6">
            <w:pPr>
              <w:spacing w:after="0" w:line="240" w:lineRule="auto"/>
              <w:jc w:val="right"/>
              <w:rPr>
                <w:rFonts w:cstheme="minorHAnsi"/>
                <w:sz w:val="20"/>
                <w:szCs w:val="20"/>
              </w:rPr>
            </w:pPr>
            <w:r>
              <w:rPr>
                <w:rFonts w:cstheme="minorHAnsi"/>
                <w:sz w:val="20"/>
                <w:szCs w:val="20"/>
              </w:rPr>
              <w:t>Within 10%</w:t>
            </w:r>
          </w:p>
        </w:tc>
        <w:tc>
          <w:tcPr>
            <w:tcW w:w="4883" w:type="dxa"/>
            <w:gridSpan w:val="2"/>
            <w:tcBorders>
              <w:top w:val="single" w:sz="4" w:space="0" w:color="FF0000"/>
              <w:left w:val="single" w:sz="4" w:space="0" w:color="FF0000"/>
              <w:bottom w:val="single" w:sz="4" w:space="0" w:color="FF0000"/>
              <w:right w:val="single" w:sz="4" w:space="0" w:color="FF0000"/>
            </w:tcBorders>
            <w:shd w:val="clear" w:color="auto" w:fill="auto"/>
            <w:hideMark/>
          </w:tcPr>
          <w:p w:rsidR="00FD51FE" w:rsidRPr="008E18E2" w:rsidRDefault="00FD51FE" w:rsidP="00FE57D6">
            <w:pPr>
              <w:spacing w:after="0" w:line="240" w:lineRule="auto"/>
              <w:jc w:val="right"/>
              <w:rPr>
                <w:rFonts w:eastAsia="Times New Roman" w:cstheme="minorHAnsi"/>
                <w:color w:val="000000"/>
                <w:sz w:val="20"/>
                <w:lang w:eastAsia="en-NZ"/>
              </w:rPr>
            </w:pPr>
          </w:p>
        </w:tc>
      </w:tr>
      <w:tr w:rsidR="00FD51FE" w:rsidRPr="008E18E2" w:rsidTr="00B76213">
        <w:tblPrEx>
          <w:shd w:val="clear" w:color="auto" w:fill="auto"/>
        </w:tblPrEx>
        <w:trPr>
          <w:trHeight w:val="1545"/>
        </w:trPr>
        <w:tc>
          <w:tcPr>
            <w:tcW w:w="3543" w:type="dxa"/>
            <w:tcBorders>
              <w:top w:val="single" w:sz="4" w:space="0" w:color="FF0000"/>
              <w:left w:val="nil"/>
              <w:bottom w:val="single" w:sz="8" w:space="0" w:color="FF0000"/>
              <w:right w:val="single" w:sz="8" w:space="0" w:color="FF0000"/>
            </w:tcBorders>
            <w:shd w:val="clear" w:color="auto" w:fill="auto"/>
            <w:hideMark/>
          </w:tcPr>
          <w:p w:rsidR="00FD51FE" w:rsidRPr="008E18E2" w:rsidRDefault="00FD51FE" w:rsidP="00FE57D6">
            <w:pPr>
              <w:spacing w:after="0" w:line="240" w:lineRule="auto"/>
              <w:rPr>
                <w:rFonts w:eastAsia="Times New Roman" w:cstheme="minorHAnsi"/>
                <w:color w:val="000000"/>
                <w:sz w:val="20"/>
                <w:lang w:eastAsia="en-NZ"/>
              </w:rPr>
            </w:pPr>
            <w:r w:rsidRPr="008E18E2">
              <w:rPr>
                <w:rFonts w:eastAsia="Times New Roman" w:cstheme="minorHAnsi"/>
                <w:color w:val="000000"/>
                <w:sz w:val="20"/>
                <w:lang w:eastAsia="en-NZ"/>
              </w:rPr>
              <w:lastRenderedPageBreak/>
              <w:t>Sealed local road network (%) that is resurfaced*</w:t>
            </w:r>
          </w:p>
        </w:tc>
        <w:tc>
          <w:tcPr>
            <w:tcW w:w="1134" w:type="dxa"/>
            <w:tcBorders>
              <w:top w:val="single" w:sz="4" w:space="0" w:color="FF0000"/>
              <w:left w:val="nil"/>
              <w:bottom w:val="single" w:sz="8" w:space="0" w:color="FF0000"/>
              <w:right w:val="nil"/>
            </w:tcBorders>
            <w:shd w:val="clear" w:color="auto" w:fill="auto"/>
            <w:hideMark/>
          </w:tcPr>
          <w:p w:rsidR="00FD51FE" w:rsidRPr="008E18E2" w:rsidRDefault="00FD51FE" w:rsidP="00FE57D6">
            <w:pPr>
              <w:spacing w:after="0" w:line="240" w:lineRule="auto"/>
              <w:jc w:val="right"/>
              <w:rPr>
                <w:rFonts w:eastAsia="Times New Roman" w:cstheme="minorHAnsi"/>
                <w:color w:val="000000"/>
                <w:sz w:val="20"/>
                <w:lang w:eastAsia="en-NZ"/>
              </w:rPr>
            </w:pPr>
            <w:r w:rsidRPr="008E18E2">
              <w:rPr>
                <w:rFonts w:eastAsia="Times New Roman" w:cstheme="minorHAnsi"/>
                <w:color w:val="000000"/>
                <w:sz w:val="20"/>
                <w:lang w:eastAsia="en-NZ"/>
              </w:rPr>
              <w:t>6%</w:t>
            </w:r>
          </w:p>
        </w:tc>
        <w:tc>
          <w:tcPr>
            <w:tcW w:w="1119" w:type="dxa"/>
            <w:tcBorders>
              <w:top w:val="single" w:sz="4" w:space="0" w:color="FF0000"/>
              <w:left w:val="nil"/>
              <w:bottom w:val="single" w:sz="8" w:space="0" w:color="FF0000"/>
              <w:right w:val="nil"/>
            </w:tcBorders>
            <w:shd w:val="clear" w:color="auto" w:fill="auto"/>
            <w:noWrap/>
            <w:hideMark/>
          </w:tcPr>
          <w:p w:rsidR="00FD51FE" w:rsidRPr="008E18E2" w:rsidRDefault="00FD51FE" w:rsidP="00FE57D6">
            <w:pPr>
              <w:spacing w:after="0" w:line="240" w:lineRule="auto"/>
              <w:jc w:val="right"/>
              <w:rPr>
                <w:rFonts w:eastAsia="Times New Roman" w:cstheme="minorHAnsi"/>
                <w:color w:val="000000"/>
                <w:sz w:val="20"/>
                <w:lang w:eastAsia="en-NZ"/>
              </w:rPr>
            </w:pPr>
            <w:r w:rsidRPr="008E18E2">
              <w:rPr>
                <w:rFonts w:eastAsia="Times New Roman" w:cstheme="minorHAnsi"/>
                <w:color w:val="000000"/>
                <w:sz w:val="20"/>
                <w:lang w:eastAsia="en-NZ"/>
              </w:rPr>
              <w:t>7%</w:t>
            </w:r>
          </w:p>
        </w:tc>
        <w:tc>
          <w:tcPr>
            <w:tcW w:w="1165" w:type="dxa"/>
            <w:gridSpan w:val="2"/>
            <w:tcBorders>
              <w:top w:val="single" w:sz="4" w:space="0" w:color="FF0000"/>
              <w:left w:val="nil"/>
              <w:bottom w:val="single" w:sz="8" w:space="0" w:color="FF0000"/>
              <w:right w:val="nil"/>
            </w:tcBorders>
            <w:shd w:val="clear" w:color="auto" w:fill="auto"/>
            <w:noWrap/>
            <w:hideMark/>
          </w:tcPr>
          <w:p w:rsidR="00FD51FE" w:rsidRPr="008E18E2" w:rsidRDefault="00FD51FE" w:rsidP="00FE57D6">
            <w:pPr>
              <w:spacing w:after="0" w:line="240" w:lineRule="auto"/>
              <w:jc w:val="right"/>
              <w:rPr>
                <w:rFonts w:eastAsia="Times New Roman" w:cstheme="minorHAnsi"/>
                <w:color w:val="000000"/>
                <w:sz w:val="20"/>
                <w:lang w:eastAsia="en-NZ"/>
              </w:rPr>
            </w:pPr>
            <w:r w:rsidRPr="008E18E2">
              <w:rPr>
                <w:rFonts w:eastAsia="Times New Roman" w:cstheme="minorHAnsi"/>
                <w:color w:val="000000"/>
                <w:sz w:val="20"/>
                <w:lang w:eastAsia="en-NZ"/>
              </w:rPr>
              <w:t>7%</w:t>
            </w:r>
          </w:p>
        </w:tc>
        <w:tc>
          <w:tcPr>
            <w:tcW w:w="1038" w:type="dxa"/>
            <w:gridSpan w:val="2"/>
            <w:tcBorders>
              <w:top w:val="single" w:sz="4" w:space="0" w:color="FF0000"/>
              <w:left w:val="nil"/>
              <w:bottom w:val="single" w:sz="8" w:space="0" w:color="FF0000"/>
              <w:right w:val="nil"/>
            </w:tcBorders>
            <w:shd w:val="clear" w:color="000000" w:fill="D9D9D9"/>
            <w:hideMark/>
          </w:tcPr>
          <w:p w:rsidR="00FD51FE" w:rsidRPr="008E18E2" w:rsidRDefault="00FD51FE" w:rsidP="00FE57D6">
            <w:pPr>
              <w:spacing w:after="0" w:line="240" w:lineRule="auto"/>
              <w:jc w:val="right"/>
              <w:rPr>
                <w:rFonts w:eastAsia="Times New Roman" w:cstheme="minorHAnsi"/>
                <w:color w:val="000000"/>
                <w:sz w:val="20"/>
                <w:lang w:eastAsia="en-NZ"/>
              </w:rPr>
            </w:pPr>
            <w:r w:rsidRPr="008E18E2">
              <w:rPr>
                <w:rFonts w:eastAsia="Times New Roman" w:cstheme="minorHAnsi"/>
                <w:color w:val="000000"/>
                <w:sz w:val="20"/>
                <w:lang w:eastAsia="en-NZ"/>
              </w:rPr>
              <w:t>target range 8.9-9.9%</w:t>
            </w:r>
          </w:p>
        </w:tc>
        <w:tc>
          <w:tcPr>
            <w:tcW w:w="826" w:type="dxa"/>
            <w:gridSpan w:val="3"/>
            <w:tcBorders>
              <w:top w:val="single" w:sz="4" w:space="0" w:color="FF0000"/>
              <w:left w:val="nil"/>
              <w:bottom w:val="single" w:sz="8" w:space="0" w:color="FF0000"/>
              <w:right w:val="nil"/>
            </w:tcBorders>
            <w:shd w:val="clear" w:color="auto" w:fill="auto"/>
            <w:hideMark/>
          </w:tcPr>
          <w:p w:rsidR="00FD51FE" w:rsidRPr="008E18E2" w:rsidRDefault="00FD51FE" w:rsidP="00FE57D6">
            <w:pPr>
              <w:spacing w:after="0" w:line="240" w:lineRule="auto"/>
              <w:jc w:val="right"/>
              <w:rPr>
                <w:rFonts w:eastAsia="Times New Roman" w:cstheme="minorHAnsi"/>
                <w:sz w:val="20"/>
                <w:lang w:eastAsia="en-NZ"/>
              </w:rPr>
            </w:pPr>
            <w:r w:rsidRPr="008E18E2">
              <w:rPr>
                <w:rFonts w:eastAsia="Times New Roman" w:cstheme="minorHAnsi"/>
                <w:sz w:val="20"/>
                <w:lang w:eastAsia="en-NZ"/>
              </w:rPr>
              <w:t>-21%</w:t>
            </w:r>
          </w:p>
        </w:tc>
        <w:tc>
          <w:tcPr>
            <w:tcW w:w="893" w:type="dxa"/>
            <w:gridSpan w:val="2"/>
            <w:tcBorders>
              <w:top w:val="single" w:sz="4" w:space="0" w:color="FF0000"/>
              <w:left w:val="nil"/>
              <w:bottom w:val="single" w:sz="8" w:space="0" w:color="FF0000"/>
              <w:right w:val="single" w:sz="4" w:space="0" w:color="FF0000"/>
            </w:tcBorders>
            <w:shd w:val="clear" w:color="auto" w:fill="auto"/>
            <w:hideMark/>
          </w:tcPr>
          <w:p w:rsidR="00FD51FE" w:rsidRPr="008E18E2" w:rsidRDefault="00FD51FE" w:rsidP="00FE57D6">
            <w:pPr>
              <w:spacing w:after="0" w:line="240" w:lineRule="auto"/>
              <w:jc w:val="right"/>
              <w:rPr>
                <w:rFonts w:eastAsia="Times New Roman" w:cstheme="minorHAnsi"/>
                <w:sz w:val="20"/>
                <w:lang w:eastAsia="en-NZ"/>
              </w:rPr>
            </w:pPr>
            <w:r w:rsidRPr="008E18E2">
              <w:rPr>
                <w:rFonts w:eastAsia="Times New Roman" w:cstheme="minorHAnsi"/>
                <w:sz w:val="20"/>
                <w:lang w:eastAsia="en-NZ"/>
              </w:rPr>
              <w:t>not met</w:t>
            </w:r>
          </w:p>
        </w:tc>
        <w:tc>
          <w:tcPr>
            <w:tcW w:w="4883" w:type="dxa"/>
            <w:gridSpan w:val="2"/>
            <w:tcBorders>
              <w:top w:val="single" w:sz="4" w:space="0" w:color="FF0000"/>
              <w:left w:val="single" w:sz="4" w:space="0" w:color="FF0000"/>
              <w:bottom w:val="single" w:sz="4" w:space="0" w:color="FF0000"/>
              <w:right w:val="nil"/>
            </w:tcBorders>
            <w:shd w:val="clear" w:color="auto" w:fill="auto"/>
            <w:hideMark/>
          </w:tcPr>
          <w:p w:rsidR="00FD51FE" w:rsidRPr="008E18E2" w:rsidRDefault="00FD51FE" w:rsidP="00FE57D6">
            <w:pPr>
              <w:spacing w:after="0" w:line="240" w:lineRule="auto"/>
              <w:rPr>
                <w:rFonts w:eastAsia="Times New Roman" w:cstheme="minorHAnsi"/>
                <w:color w:val="000000"/>
                <w:sz w:val="20"/>
                <w:lang w:eastAsia="en-NZ"/>
              </w:rPr>
            </w:pPr>
            <w:r w:rsidRPr="008E18E2">
              <w:rPr>
                <w:rFonts w:eastAsia="Times New Roman" w:cstheme="minorHAnsi"/>
                <w:color w:val="000000"/>
                <w:sz w:val="20"/>
                <w:lang w:eastAsia="en-NZ"/>
              </w:rPr>
              <w:t>This years’ programme included a high proportion of Asphalt Concrete surfaces (44%) and 2-3Coat seals (33%), which provide a higher level of service for road users &amp; cyclists through a smoother and quieter road surface. The cost of these treatments is higher hence the lower % of the network was resurfaced.</w:t>
            </w:r>
          </w:p>
        </w:tc>
      </w:tr>
      <w:tr w:rsidR="00FD51FE" w:rsidRPr="008E18E2" w:rsidTr="00FE57D6">
        <w:tblPrEx>
          <w:shd w:val="clear" w:color="auto" w:fill="auto"/>
        </w:tblPrEx>
        <w:trPr>
          <w:trHeight w:val="270"/>
        </w:trPr>
        <w:tc>
          <w:tcPr>
            <w:tcW w:w="3543" w:type="dxa"/>
            <w:tcBorders>
              <w:top w:val="nil"/>
              <w:left w:val="nil"/>
              <w:right w:val="single" w:sz="8" w:space="0" w:color="FF0000"/>
            </w:tcBorders>
            <w:shd w:val="clear" w:color="auto" w:fill="auto"/>
            <w:hideMark/>
          </w:tcPr>
          <w:p w:rsidR="00FD51FE" w:rsidRPr="008E18E2" w:rsidRDefault="00FD51FE" w:rsidP="00FE57D6">
            <w:pPr>
              <w:spacing w:after="0" w:line="240" w:lineRule="auto"/>
              <w:rPr>
                <w:rFonts w:eastAsia="Times New Roman" w:cstheme="minorHAnsi"/>
                <w:color w:val="000000"/>
                <w:sz w:val="20"/>
                <w:lang w:eastAsia="en-NZ"/>
              </w:rPr>
            </w:pPr>
            <w:r w:rsidRPr="008E18E2">
              <w:rPr>
                <w:rFonts w:eastAsia="Times New Roman" w:cstheme="minorHAnsi"/>
                <w:color w:val="000000"/>
                <w:sz w:val="20"/>
                <w:lang w:eastAsia="en-NZ"/>
              </w:rPr>
              <w:t>Residents (%) satisfaction with the condition of local roads in their neighbourhood</w:t>
            </w:r>
          </w:p>
        </w:tc>
        <w:tc>
          <w:tcPr>
            <w:tcW w:w="1134" w:type="dxa"/>
            <w:tcBorders>
              <w:top w:val="single" w:sz="8" w:space="0" w:color="FF0000"/>
              <w:left w:val="nil"/>
              <w:right w:val="nil"/>
            </w:tcBorders>
            <w:shd w:val="clear" w:color="auto" w:fill="auto"/>
            <w:noWrap/>
            <w:hideMark/>
          </w:tcPr>
          <w:p w:rsidR="00FD51FE" w:rsidRPr="008E18E2" w:rsidRDefault="00FD51FE" w:rsidP="00FE57D6">
            <w:pPr>
              <w:spacing w:after="0" w:line="240" w:lineRule="auto"/>
              <w:jc w:val="right"/>
              <w:rPr>
                <w:rFonts w:eastAsia="Times New Roman" w:cstheme="minorHAnsi"/>
                <w:color w:val="000000"/>
                <w:sz w:val="20"/>
                <w:lang w:eastAsia="en-NZ"/>
              </w:rPr>
            </w:pPr>
            <w:r w:rsidRPr="008E18E2">
              <w:rPr>
                <w:rFonts w:eastAsia="Times New Roman" w:cstheme="minorHAnsi"/>
                <w:color w:val="000000"/>
                <w:sz w:val="20"/>
                <w:lang w:eastAsia="en-NZ"/>
              </w:rPr>
              <w:t>65%</w:t>
            </w:r>
          </w:p>
        </w:tc>
        <w:tc>
          <w:tcPr>
            <w:tcW w:w="1119" w:type="dxa"/>
            <w:tcBorders>
              <w:top w:val="single" w:sz="8" w:space="0" w:color="FF0000"/>
              <w:left w:val="nil"/>
              <w:right w:val="nil"/>
            </w:tcBorders>
            <w:shd w:val="clear" w:color="auto" w:fill="auto"/>
            <w:noWrap/>
            <w:hideMark/>
          </w:tcPr>
          <w:p w:rsidR="00FD51FE" w:rsidRPr="008E18E2" w:rsidRDefault="00FD51FE" w:rsidP="00FE57D6">
            <w:pPr>
              <w:spacing w:after="0" w:line="240" w:lineRule="auto"/>
              <w:jc w:val="right"/>
              <w:rPr>
                <w:rFonts w:eastAsia="Times New Roman" w:cstheme="minorHAnsi"/>
                <w:color w:val="000000"/>
                <w:sz w:val="20"/>
                <w:lang w:eastAsia="en-NZ"/>
              </w:rPr>
            </w:pPr>
            <w:r w:rsidRPr="008E18E2">
              <w:rPr>
                <w:rFonts w:eastAsia="Times New Roman" w:cstheme="minorHAnsi"/>
                <w:color w:val="000000"/>
                <w:sz w:val="20"/>
                <w:lang w:eastAsia="en-NZ"/>
              </w:rPr>
              <w:t>73%</w:t>
            </w:r>
          </w:p>
        </w:tc>
        <w:tc>
          <w:tcPr>
            <w:tcW w:w="1165" w:type="dxa"/>
            <w:gridSpan w:val="2"/>
            <w:tcBorders>
              <w:top w:val="single" w:sz="8" w:space="0" w:color="FF0000"/>
              <w:left w:val="nil"/>
              <w:right w:val="nil"/>
            </w:tcBorders>
            <w:shd w:val="clear" w:color="auto" w:fill="auto"/>
            <w:noWrap/>
            <w:hideMark/>
          </w:tcPr>
          <w:p w:rsidR="00FD51FE" w:rsidRPr="008E18E2" w:rsidRDefault="00FD51FE" w:rsidP="00FE57D6">
            <w:pPr>
              <w:spacing w:after="0" w:line="240" w:lineRule="auto"/>
              <w:jc w:val="right"/>
              <w:rPr>
                <w:rFonts w:eastAsia="Times New Roman" w:cstheme="minorHAnsi"/>
                <w:color w:val="000000"/>
                <w:sz w:val="20"/>
                <w:lang w:eastAsia="en-NZ"/>
              </w:rPr>
            </w:pPr>
            <w:r w:rsidRPr="008E18E2">
              <w:rPr>
                <w:rFonts w:eastAsia="Times New Roman" w:cstheme="minorHAnsi"/>
                <w:color w:val="000000"/>
                <w:sz w:val="20"/>
                <w:lang w:eastAsia="en-NZ"/>
              </w:rPr>
              <w:t>72%</w:t>
            </w:r>
          </w:p>
        </w:tc>
        <w:tc>
          <w:tcPr>
            <w:tcW w:w="1038" w:type="dxa"/>
            <w:gridSpan w:val="2"/>
            <w:tcBorders>
              <w:top w:val="single" w:sz="8" w:space="0" w:color="FF0000"/>
              <w:left w:val="nil"/>
              <w:right w:val="nil"/>
            </w:tcBorders>
            <w:shd w:val="clear" w:color="000000" w:fill="D9D9D9"/>
            <w:hideMark/>
          </w:tcPr>
          <w:p w:rsidR="00FD51FE" w:rsidRPr="008E18E2" w:rsidRDefault="00FD51FE" w:rsidP="00FE57D6">
            <w:pPr>
              <w:spacing w:after="0" w:line="240" w:lineRule="auto"/>
              <w:jc w:val="right"/>
              <w:rPr>
                <w:rFonts w:eastAsia="Times New Roman" w:cstheme="minorHAnsi"/>
                <w:color w:val="000000"/>
                <w:sz w:val="20"/>
                <w:lang w:eastAsia="en-NZ"/>
              </w:rPr>
            </w:pPr>
            <w:r w:rsidRPr="008E18E2">
              <w:rPr>
                <w:rFonts w:eastAsia="Times New Roman" w:cstheme="minorHAnsi"/>
                <w:color w:val="000000"/>
                <w:sz w:val="20"/>
                <w:lang w:eastAsia="en-NZ"/>
              </w:rPr>
              <w:t>75%</w:t>
            </w:r>
          </w:p>
        </w:tc>
        <w:tc>
          <w:tcPr>
            <w:tcW w:w="826" w:type="dxa"/>
            <w:gridSpan w:val="3"/>
            <w:tcBorders>
              <w:top w:val="single" w:sz="8" w:space="0" w:color="FF0000"/>
              <w:left w:val="nil"/>
              <w:right w:val="nil"/>
            </w:tcBorders>
            <w:shd w:val="clear" w:color="auto" w:fill="auto"/>
            <w:hideMark/>
          </w:tcPr>
          <w:p w:rsidR="00FD51FE" w:rsidRPr="008E18E2" w:rsidRDefault="00FD51FE" w:rsidP="00FE57D6">
            <w:pPr>
              <w:spacing w:after="0" w:line="240" w:lineRule="auto"/>
              <w:jc w:val="right"/>
              <w:rPr>
                <w:rFonts w:eastAsia="Times New Roman" w:cstheme="minorHAnsi"/>
                <w:color w:val="000000"/>
                <w:sz w:val="20"/>
                <w:lang w:eastAsia="en-NZ"/>
              </w:rPr>
            </w:pPr>
            <w:r w:rsidRPr="008E18E2">
              <w:rPr>
                <w:rFonts w:eastAsia="Times New Roman" w:cstheme="minorHAnsi"/>
                <w:color w:val="000000"/>
                <w:sz w:val="20"/>
                <w:lang w:eastAsia="en-NZ"/>
              </w:rPr>
              <w:t>-4%</w:t>
            </w:r>
          </w:p>
        </w:tc>
        <w:tc>
          <w:tcPr>
            <w:tcW w:w="893" w:type="dxa"/>
            <w:gridSpan w:val="2"/>
            <w:tcBorders>
              <w:top w:val="single" w:sz="8" w:space="0" w:color="FF0000"/>
              <w:left w:val="nil"/>
              <w:right w:val="single" w:sz="4" w:space="0" w:color="FF0000"/>
            </w:tcBorders>
            <w:shd w:val="clear" w:color="auto" w:fill="auto"/>
            <w:hideMark/>
          </w:tcPr>
          <w:p w:rsidR="00FD51FE" w:rsidRPr="008E18E2" w:rsidRDefault="00060BB3" w:rsidP="00FE57D6">
            <w:pPr>
              <w:spacing w:after="0" w:line="240" w:lineRule="auto"/>
              <w:jc w:val="right"/>
              <w:rPr>
                <w:rFonts w:eastAsia="Times New Roman" w:cstheme="minorHAnsi"/>
                <w:color w:val="000000"/>
                <w:sz w:val="20"/>
                <w:lang w:eastAsia="en-NZ"/>
              </w:rPr>
            </w:pPr>
            <w:r>
              <w:rPr>
                <w:rFonts w:cstheme="minorHAnsi"/>
                <w:sz w:val="20"/>
                <w:szCs w:val="20"/>
              </w:rPr>
              <w:t>Within 10%</w:t>
            </w:r>
          </w:p>
        </w:tc>
        <w:tc>
          <w:tcPr>
            <w:tcW w:w="4883" w:type="dxa"/>
            <w:gridSpan w:val="2"/>
            <w:tcBorders>
              <w:top w:val="single" w:sz="4" w:space="0" w:color="FF0000"/>
              <w:left w:val="single" w:sz="4" w:space="0" w:color="FF0000"/>
              <w:right w:val="nil"/>
            </w:tcBorders>
            <w:shd w:val="clear" w:color="auto" w:fill="auto"/>
            <w:hideMark/>
          </w:tcPr>
          <w:p w:rsidR="00FD51FE" w:rsidRPr="008E18E2" w:rsidRDefault="00FD51FE" w:rsidP="00FE57D6">
            <w:pPr>
              <w:spacing w:after="0" w:line="240" w:lineRule="auto"/>
              <w:jc w:val="right"/>
              <w:rPr>
                <w:rFonts w:eastAsia="Times New Roman" w:cstheme="minorHAnsi"/>
                <w:color w:val="000000"/>
                <w:sz w:val="20"/>
                <w:lang w:eastAsia="en-NZ"/>
              </w:rPr>
            </w:pPr>
          </w:p>
        </w:tc>
      </w:tr>
      <w:tr w:rsidR="00FD51FE" w:rsidRPr="008E18E2" w:rsidTr="00FE57D6">
        <w:tblPrEx>
          <w:shd w:val="clear" w:color="auto" w:fill="auto"/>
        </w:tblPrEx>
        <w:trPr>
          <w:trHeight w:val="226"/>
        </w:trPr>
        <w:tc>
          <w:tcPr>
            <w:tcW w:w="14601" w:type="dxa"/>
            <w:gridSpan w:val="14"/>
            <w:tcBorders>
              <w:top w:val="nil"/>
              <w:left w:val="nil"/>
              <w:right w:val="nil"/>
            </w:tcBorders>
            <w:shd w:val="clear" w:color="auto" w:fill="FFCCCC"/>
            <w:hideMark/>
          </w:tcPr>
          <w:p w:rsidR="00FD51FE" w:rsidRPr="008E18E2" w:rsidRDefault="00FD51FE" w:rsidP="00FE57D6">
            <w:pPr>
              <w:spacing w:after="0" w:line="240" w:lineRule="auto"/>
              <w:rPr>
                <w:rFonts w:eastAsia="Times New Roman" w:cstheme="minorHAnsi"/>
                <w:b/>
                <w:sz w:val="20"/>
                <w:lang w:eastAsia="en-NZ"/>
              </w:rPr>
            </w:pPr>
            <w:r w:rsidRPr="008E18E2">
              <w:rPr>
                <w:rFonts w:eastAsia="Times New Roman" w:cstheme="minorHAnsi"/>
                <w:b/>
                <w:lang w:eastAsia="en-NZ"/>
              </w:rPr>
              <w:t>Active modes promotion</w:t>
            </w:r>
          </w:p>
        </w:tc>
      </w:tr>
      <w:tr w:rsidR="00FD51FE" w:rsidRPr="008E18E2" w:rsidTr="00FE57D6">
        <w:tblPrEx>
          <w:shd w:val="clear" w:color="auto" w:fill="auto"/>
        </w:tblPrEx>
        <w:trPr>
          <w:trHeight w:val="525"/>
        </w:trPr>
        <w:tc>
          <w:tcPr>
            <w:tcW w:w="3543" w:type="dxa"/>
            <w:tcBorders>
              <w:left w:val="nil"/>
              <w:bottom w:val="single" w:sz="8" w:space="0" w:color="FF0000"/>
              <w:right w:val="single" w:sz="8" w:space="0" w:color="FF0000"/>
            </w:tcBorders>
            <w:shd w:val="clear" w:color="auto" w:fill="auto"/>
            <w:hideMark/>
          </w:tcPr>
          <w:p w:rsidR="00FD51FE" w:rsidRPr="008E18E2" w:rsidRDefault="00FD51FE" w:rsidP="00FE57D6">
            <w:pPr>
              <w:spacing w:after="0" w:line="240" w:lineRule="auto"/>
              <w:rPr>
                <w:rFonts w:eastAsia="Times New Roman" w:cstheme="minorHAnsi"/>
                <w:color w:val="000000"/>
                <w:sz w:val="20"/>
                <w:lang w:eastAsia="en-NZ"/>
              </w:rPr>
            </w:pPr>
            <w:r w:rsidRPr="008E18E2">
              <w:rPr>
                <w:rFonts w:eastAsia="Times New Roman" w:cstheme="minorHAnsi"/>
                <w:color w:val="000000"/>
                <w:sz w:val="20"/>
                <w:lang w:eastAsia="en-NZ"/>
              </w:rPr>
              <w:t>Number of pedestrians entering and leaving the CBD (weekdays 7-9am)</w:t>
            </w:r>
          </w:p>
        </w:tc>
        <w:tc>
          <w:tcPr>
            <w:tcW w:w="1134" w:type="dxa"/>
            <w:tcBorders>
              <w:left w:val="nil"/>
              <w:bottom w:val="single" w:sz="8" w:space="0" w:color="FF0000"/>
              <w:right w:val="nil"/>
            </w:tcBorders>
            <w:shd w:val="clear" w:color="auto" w:fill="FFFFFF" w:themeFill="background1"/>
            <w:hideMark/>
          </w:tcPr>
          <w:p w:rsidR="00FD51FE" w:rsidRPr="00B76213" w:rsidRDefault="00FD51FE" w:rsidP="00FE57D6">
            <w:pPr>
              <w:spacing w:after="0" w:line="240" w:lineRule="auto"/>
              <w:jc w:val="right"/>
              <w:rPr>
                <w:rFonts w:eastAsia="Times New Roman" w:cstheme="minorHAnsi"/>
                <w:color w:val="000000"/>
                <w:sz w:val="20"/>
                <w:lang w:eastAsia="en-NZ"/>
              </w:rPr>
            </w:pPr>
            <w:r w:rsidRPr="00B76213">
              <w:rPr>
                <w:rFonts w:cstheme="minorHAnsi"/>
                <w:color w:val="000000"/>
                <w:sz w:val="20"/>
                <w:szCs w:val="20"/>
              </w:rPr>
              <w:t xml:space="preserve">14,819 </w:t>
            </w:r>
          </w:p>
        </w:tc>
        <w:tc>
          <w:tcPr>
            <w:tcW w:w="1148" w:type="dxa"/>
            <w:gridSpan w:val="2"/>
            <w:tcBorders>
              <w:left w:val="nil"/>
              <w:bottom w:val="single" w:sz="8" w:space="0" w:color="FF0000"/>
              <w:right w:val="nil"/>
            </w:tcBorders>
            <w:shd w:val="clear" w:color="auto" w:fill="FFFFFF" w:themeFill="background1"/>
            <w:noWrap/>
            <w:hideMark/>
          </w:tcPr>
          <w:p w:rsidR="00FD51FE" w:rsidRPr="00B76213" w:rsidRDefault="00FD51FE" w:rsidP="00FE57D6">
            <w:pPr>
              <w:spacing w:after="0" w:line="240" w:lineRule="auto"/>
              <w:jc w:val="right"/>
              <w:rPr>
                <w:rFonts w:eastAsia="Times New Roman" w:cstheme="minorHAnsi"/>
                <w:color w:val="000000"/>
                <w:sz w:val="20"/>
                <w:lang w:eastAsia="en-NZ"/>
              </w:rPr>
            </w:pPr>
            <w:r w:rsidRPr="00B76213">
              <w:rPr>
                <w:rFonts w:cstheme="minorHAnsi"/>
                <w:color w:val="000000"/>
                <w:sz w:val="20"/>
                <w:szCs w:val="20"/>
              </w:rPr>
              <w:t xml:space="preserve">14,924 </w:t>
            </w:r>
          </w:p>
        </w:tc>
        <w:tc>
          <w:tcPr>
            <w:tcW w:w="1145" w:type="dxa"/>
            <w:gridSpan w:val="2"/>
            <w:tcBorders>
              <w:left w:val="nil"/>
              <w:bottom w:val="single" w:sz="8" w:space="0" w:color="FF0000"/>
              <w:right w:val="nil"/>
            </w:tcBorders>
            <w:shd w:val="clear" w:color="auto" w:fill="auto"/>
            <w:noWrap/>
            <w:hideMark/>
          </w:tcPr>
          <w:p w:rsidR="00FD51FE" w:rsidRPr="008E18E2" w:rsidRDefault="00FD51FE" w:rsidP="00FE57D6">
            <w:pPr>
              <w:spacing w:after="0" w:line="240" w:lineRule="auto"/>
              <w:jc w:val="right"/>
              <w:rPr>
                <w:rFonts w:eastAsia="Times New Roman" w:cstheme="minorHAnsi"/>
                <w:color w:val="000000"/>
                <w:sz w:val="20"/>
                <w:lang w:eastAsia="en-NZ"/>
              </w:rPr>
            </w:pPr>
            <w:r w:rsidRPr="008E18E2">
              <w:rPr>
                <w:rFonts w:eastAsia="Times New Roman" w:cstheme="minorHAnsi"/>
                <w:color w:val="000000"/>
                <w:sz w:val="20"/>
                <w:lang w:eastAsia="en-NZ"/>
              </w:rPr>
              <w:t xml:space="preserve">14,569 </w:t>
            </w:r>
          </w:p>
        </w:tc>
        <w:tc>
          <w:tcPr>
            <w:tcW w:w="1041" w:type="dxa"/>
            <w:gridSpan w:val="2"/>
            <w:tcBorders>
              <w:left w:val="nil"/>
              <w:bottom w:val="single" w:sz="8" w:space="0" w:color="FF0000"/>
              <w:right w:val="nil"/>
            </w:tcBorders>
            <w:shd w:val="clear" w:color="000000" w:fill="D9D9D9"/>
            <w:hideMark/>
          </w:tcPr>
          <w:p w:rsidR="00FD51FE" w:rsidRPr="008E18E2" w:rsidRDefault="00FD51FE" w:rsidP="00FE57D6">
            <w:pPr>
              <w:spacing w:after="0" w:line="240" w:lineRule="auto"/>
              <w:jc w:val="right"/>
              <w:rPr>
                <w:rFonts w:eastAsia="Times New Roman" w:cstheme="minorHAnsi"/>
                <w:color w:val="000000"/>
                <w:sz w:val="20"/>
                <w:lang w:eastAsia="en-NZ"/>
              </w:rPr>
            </w:pPr>
            <w:r w:rsidRPr="008E18E2">
              <w:rPr>
                <w:rFonts w:eastAsia="Times New Roman" w:cstheme="minorHAnsi"/>
                <w:color w:val="000000"/>
                <w:sz w:val="20"/>
                <w:lang w:eastAsia="en-NZ"/>
              </w:rPr>
              <w:t>Trend</w:t>
            </w:r>
          </w:p>
        </w:tc>
        <w:tc>
          <w:tcPr>
            <w:tcW w:w="826" w:type="dxa"/>
            <w:gridSpan w:val="3"/>
            <w:tcBorders>
              <w:left w:val="nil"/>
              <w:bottom w:val="single" w:sz="8" w:space="0" w:color="FF0000"/>
              <w:right w:val="nil"/>
            </w:tcBorders>
            <w:shd w:val="clear" w:color="auto" w:fill="auto"/>
          </w:tcPr>
          <w:p w:rsidR="00FD51FE" w:rsidRPr="008E18E2" w:rsidRDefault="00FD51FE" w:rsidP="00FE57D6">
            <w:pPr>
              <w:spacing w:after="0" w:line="240" w:lineRule="auto"/>
              <w:jc w:val="right"/>
              <w:rPr>
                <w:rFonts w:eastAsia="Times New Roman" w:cstheme="minorHAnsi"/>
                <w:color w:val="000000"/>
                <w:sz w:val="20"/>
                <w:lang w:eastAsia="en-NZ"/>
              </w:rPr>
            </w:pPr>
          </w:p>
        </w:tc>
        <w:tc>
          <w:tcPr>
            <w:tcW w:w="893" w:type="dxa"/>
            <w:gridSpan w:val="2"/>
            <w:tcBorders>
              <w:left w:val="nil"/>
              <w:bottom w:val="single" w:sz="8" w:space="0" w:color="FF0000"/>
              <w:right w:val="single" w:sz="4" w:space="0" w:color="FF0000"/>
            </w:tcBorders>
            <w:shd w:val="clear" w:color="auto" w:fill="auto"/>
          </w:tcPr>
          <w:p w:rsidR="00FD51FE" w:rsidRPr="008E18E2" w:rsidRDefault="00060BB3" w:rsidP="00FE57D6">
            <w:pPr>
              <w:spacing w:after="0" w:line="240" w:lineRule="auto"/>
              <w:jc w:val="right"/>
              <w:rPr>
                <w:rFonts w:eastAsia="Times New Roman" w:cstheme="minorHAnsi"/>
                <w:color w:val="000000"/>
                <w:sz w:val="20"/>
                <w:lang w:eastAsia="en-NZ"/>
              </w:rPr>
            </w:pPr>
            <w:r>
              <w:rPr>
                <w:rFonts w:cstheme="minorHAnsi"/>
                <w:sz w:val="20"/>
                <w:szCs w:val="20"/>
              </w:rPr>
              <w:t>Within 10%</w:t>
            </w:r>
          </w:p>
        </w:tc>
        <w:tc>
          <w:tcPr>
            <w:tcW w:w="4871" w:type="dxa"/>
            <w:tcBorders>
              <w:left w:val="single" w:sz="4" w:space="0" w:color="FF0000"/>
              <w:bottom w:val="single" w:sz="4" w:space="0" w:color="FF0000"/>
              <w:right w:val="nil"/>
            </w:tcBorders>
            <w:shd w:val="clear" w:color="auto" w:fill="auto"/>
          </w:tcPr>
          <w:p w:rsidR="00FD51FE" w:rsidRPr="008E18E2" w:rsidRDefault="00FD51FE" w:rsidP="00FE57D6">
            <w:pPr>
              <w:spacing w:after="0" w:line="240" w:lineRule="auto"/>
              <w:ind w:left="720" w:hanging="720"/>
              <w:jc w:val="right"/>
              <w:rPr>
                <w:rFonts w:eastAsia="Times New Roman" w:cstheme="minorHAnsi"/>
                <w:color w:val="000000"/>
                <w:sz w:val="20"/>
                <w:lang w:eastAsia="en-NZ"/>
              </w:rPr>
            </w:pPr>
          </w:p>
        </w:tc>
      </w:tr>
      <w:tr w:rsidR="00FD51FE" w:rsidRPr="008E18E2" w:rsidTr="00FE57D6">
        <w:tblPrEx>
          <w:shd w:val="clear" w:color="auto" w:fill="auto"/>
        </w:tblPrEx>
        <w:trPr>
          <w:trHeight w:val="525"/>
        </w:trPr>
        <w:tc>
          <w:tcPr>
            <w:tcW w:w="3543" w:type="dxa"/>
            <w:tcBorders>
              <w:top w:val="nil"/>
              <w:left w:val="nil"/>
              <w:bottom w:val="single" w:sz="8" w:space="0" w:color="FF0000"/>
              <w:right w:val="single" w:sz="8" w:space="0" w:color="FF0000"/>
            </w:tcBorders>
            <w:shd w:val="clear" w:color="auto" w:fill="auto"/>
            <w:hideMark/>
          </w:tcPr>
          <w:p w:rsidR="00FD51FE" w:rsidRPr="008E18E2" w:rsidRDefault="00FD51FE" w:rsidP="00FE57D6">
            <w:pPr>
              <w:spacing w:after="0" w:line="240" w:lineRule="auto"/>
              <w:rPr>
                <w:rFonts w:eastAsia="Times New Roman" w:cstheme="minorHAnsi"/>
                <w:color w:val="000000"/>
                <w:sz w:val="20"/>
                <w:lang w:eastAsia="en-NZ"/>
              </w:rPr>
            </w:pPr>
            <w:r w:rsidRPr="008E18E2">
              <w:rPr>
                <w:rFonts w:eastAsia="Times New Roman" w:cstheme="minorHAnsi"/>
                <w:color w:val="000000"/>
                <w:sz w:val="20"/>
                <w:lang w:eastAsia="en-NZ"/>
              </w:rPr>
              <w:t>Number of pedestrians entering the CBD</w:t>
            </w:r>
          </w:p>
        </w:tc>
        <w:tc>
          <w:tcPr>
            <w:tcW w:w="1134" w:type="dxa"/>
            <w:tcBorders>
              <w:top w:val="single" w:sz="8" w:space="0" w:color="FF0000"/>
              <w:left w:val="nil"/>
              <w:bottom w:val="single" w:sz="8" w:space="0" w:color="FF0000"/>
              <w:right w:val="nil"/>
            </w:tcBorders>
            <w:shd w:val="clear" w:color="auto" w:fill="auto"/>
            <w:hideMark/>
          </w:tcPr>
          <w:p w:rsidR="00FD51FE" w:rsidRPr="008E18E2" w:rsidRDefault="00FD51FE" w:rsidP="00FE57D6">
            <w:pPr>
              <w:spacing w:after="0" w:line="240" w:lineRule="auto"/>
              <w:jc w:val="right"/>
              <w:rPr>
                <w:rFonts w:eastAsia="Times New Roman" w:cstheme="minorHAnsi"/>
                <w:color w:val="000000"/>
                <w:sz w:val="20"/>
                <w:lang w:eastAsia="en-NZ"/>
              </w:rPr>
            </w:pPr>
            <w:r w:rsidRPr="008E18E2">
              <w:rPr>
                <w:rFonts w:eastAsia="Times New Roman" w:cstheme="minorHAnsi"/>
                <w:color w:val="000000"/>
                <w:sz w:val="20"/>
                <w:lang w:eastAsia="en-NZ"/>
              </w:rPr>
              <w:t xml:space="preserve">10,226 </w:t>
            </w:r>
          </w:p>
        </w:tc>
        <w:tc>
          <w:tcPr>
            <w:tcW w:w="1148" w:type="dxa"/>
            <w:gridSpan w:val="2"/>
            <w:tcBorders>
              <w:top w:val="single" w:sz="8" w:space="0" w:color="FF0000"/>
              <w:left w:val="nil"/>
              <w:bottom w:val="single" w:sz="8" w:space="0" w:color="FF0000"/>
              <w:right w:val="nil"/>
            </w:tcBorders>
            <w:shd w:val="clear" w:color="auto" w:fill="auto"/>
            <w:noWrap/>
            <w:hideMark/>
          </w:tcPr>
          <w:p w:rsidR="00FD51FE" w:rsidRPr="008E18E2" w:rsidRDefault="00FD51FE" w:rsidP="00FE57D6">
            <w:pPr>
              <w:spacing w:after="0" w:line="240" w:lineRule="auto"/>
              <w:jc w:val="right"/>
              <w:rPr>
                <w:rFonts w:eastAsia="Times New Roman" w:cstheme="minorHAnsi"/>
                <w:color w:val="000000"/>
                <w:sz w:val="20"/>
                <w:lang w:eastAsia="en-NZ"/>
              </w:rPr>
            </w:pPr>
            <w:r w:rsidRPr="008E18E2">
              <w:rPr>
                <w:rFonts w:eastAsia="Times New Roman" w:cstheme="minorHAnsi"/>
                <w:color w:val="000000"/>
                <w:sz w:val="20"/>
                <w:lang w:eastAsia="en-NZ"/>
              </w:rPr>
              <w:t xml:space="preserve">10,952 </w:t>
            </w:r>
          </w:p>
        </w:tc>
        <w:tc>
          <w:tcPr>
            <w:tcW w:w="1145" w:type="dxa"/>
            <w:gridSpan w:val="2"/>
            <w:tcBorders>
              <w:top w:val="single" w:sz="8" w:space="0" w:color="FF0000"/>
              <w:left w:val="nil"/>
              <w:bottom w:val="single" w:sz="8" w:space="0" w:color="FF0000"/>
              <w:right w:val="nil"/>
            </w:tcBorders>
            <w:shd w:val="clear" w:color="auto" w:fill="auto"/>
            <w:noWrap/>
            <w:hideMark/>
          </w:tcPr>
          <w:p w:rsidR="00FD51FE" w:rsidRPr="008E18E2" w:rsidRDefault="00FD51FE" w:rsidP="00FE57D6">
            <w:pPr>
              <w:spacing w:after="0" w:line="240" w:lineRule="auto"/>
              <w:jc w:val="right"/>
              <w:rPr>
                <w:rFonts w:eastAsia="Times New Roman" w:cstheme="minorHAnsi"/>
                <w:color w:val="000000"/>
                <w:sz w:val="20"/>
                <w:lang w:eastAsia="en-NZ"/>
              </w:rPr>
            </w:pPr>
            <w:r w:rsidRPr="008E18E2">
              <w:rPr>
                <w:rFonts w:eastAsia="Times New Roman" w:cstheme="minorHAnsi"/>
                <w:color w:val="000000"/>
                <w:sz w:val="20"/>
                <w:lang w:eastAsia="en-NZ"/>
              </w:rPr>
              <w:t xml:space="preserve">10,582 </w:t>
            </w:r>
          </w:p>
        </w:tc>
        <w:tc>
          <w:tcPr>
            <w:tcW w:w="1041" w:type="dxa"/>
            <w:gridSpan w:val="2"/>
            <w:tcBorders>
              <w:top w:val="single" w:sz="8" w:space="0" w:color="FF0000"/>
              <w:left w:val="nil"/>
              <w:bottom w:val="single" w:sz="8" w:space="0" w:color="FF0000"/>
              <w:right w:val="nil"/>
            </w:tcBorders>
            <w:shd w:val="clear" w:color="000000" w:fill="D9D9D9"/>
            <w:hideMark/>
          </w:tcPr>
          <w:p w:rsidR="00FD51FE" w:rsidRPr="008E18E2" w:rsidRDefault="00FD51FE" w:rsidP="00FE57D6">
            <w:pPr>
              <w:spacing w:after="0" w:line="240" w:lineRule="auto"/>
              <w:jc w:val="right"/>
              <w:rPr>
                <w:rFonts w:eastAsia="Times New Roman" w:cstheme="minorHAnsi"/>
                <w:color w:val="000000"/>
                <w:sz w:val="20"/>
                <w:lang w:eastAsia="en-NZ"/>
              </w:rPr>
            </w:pPr>
            <w:r w:rsidRPr="008E18E2">
              <w:rPr>
                <w:rFonts w:eastAsia="Times New Roman" w:cstheme="minorHAnsi"/>
                <w:color w:val="000000"/>
                <w:sz w:val="20"/>
                <w:lang w:eastAsia="en-NZ"/>
              </w:rPr>
              <w:t>Increase on last year </w:t>
            </w:r>
          </w:p>
        </w:tc>
        <w:tc>
          <w:tcPr>
            <w:tcW w:w="826" w:type="dxa"/>
            <w:gridSpan w:val="3"/>
            <w:tcBorders>
              <w:top w:val="single" w:sz="8" w:space="0" w:color="FF0000"/>
              <w:left w:val="nil"/>
              <w:bottom w:val="single" w:sz="8" w:space="0" w:color="FF0000"/>
              <w:right w:val="nil"/>
            </w:tcBorders>
            <w:shd w:val="clear" w:color="auto" w:fill="auto"/>
            <w:hideMark/>
          </w:tcPr>
          <w:p w:rsidR="00FD51FE" w:rsidRPr="008E18E2" w:rsidRDefault="00FD51FE" w:rsidP="00FE57D6">
            <w:pPr>
              <w:spacing w:after="0" w:line="240" w:lineRule="auto"/>
              <w:jc w:val="right"/>
              <w:rPr>
                <w:rFonts w:eastAsia="Times New Roman" w:cstheme="minorHAnsi"/>
                <w:color w:val="000000"/>
                <w:sz w:val="20"/>
                <w:lang w:eastAsia="en-NZ"/>
              </w:rPr>
            </w:pPr>
            <w:r w:rsidRPr="008E18E2">
              <w:rPr>
                <w:rFonts w:eastAsia="Times New Roman" w:cstheme="minorHAnsi"/>
                <w:color w:val="000000"/>
                <w:sz w:val="20"/>
                <w:lang w:eastAsia="en-NZ"/>
              </w:rPr>
              <w:t>-3%</w:t>
            </w:r>
          </w:p>
        </w:tc>
        <w:tc>
          <w:tcPr>
            <w:tcW w:w="893" w:type="dxa"/>
            <w:gridSpan w:val="2"/>
            <w:tcBorders>
              <w:top w:val="single" w:sz="8" w:space="0" w:color="FF0000"/>
              <w:left w:val="nil"/>
              <w:bottom w:val="single" w:sz="8" w:space="0" w:color="FF0000"/>
              <w:right w:val="single" w:sz="4" w:space="0" w:color="FF0000"/>
            </w:tcBorders>
            <w:shd w:val="clear" w:color="auto" w:fill="auto"/>
            <w:hideMark/>
          </w:tcPr>
          <w:p w:rsidR="00FD51FE" w:rsidRPr="008E18E2" w:rsidRDefault="00060BB3" w:rsidP="00FE57D6">
            <w:pPr>
              <w:spacing w:after="0" w:line="240" w:lineRule="auto"/>
              <w:jc w:val="right"/>
              <w:rPr>
                <w:rFonts w:eastAsia="Times New Roman" w:cstheme="minorHAnsi"/>
                <w:color w:val="000000"/>
                <w:sz w:val="20"/>
                <w:lang w:eastAsia="en-NZ"/>
              </w:rPr>
            </w:pPr>
            <w:r>
              <w:rPr>
                <w:rFonts w:cstheme="minorHAnsi"/>
                <w:sz w:val="20"/>
                <w:szCs w:val="20"/>
              </w:rPr>
              <w:t>Within 10%</w:t>
            </w:r>
          </w:p>
        </w:tc>
        <w:tc>
          <w:tcPr>
            <w:tcW w:w="4871" w:type="dxa"/>
            <w:tcBorders>
              <w:top w:val="single" w:sz="4" w:space="0" w:color="FF0000"/>
              <w:left w:val="single" w:sz="4" w:space="0" w:color="FF0000"/>
              <w:bottom w:val="single" w:sz="4" w:space="0" w:color="FF0000"/>
              <w:right w:val="nil"/>
            </w:tcBorders>
            <w:shd w:val="clear" w:color="auto" w:fill="auto"/>
          </w:tcPr>
          <w:p w:rsidR="00FD51FE" w:rsidRPr="008E18E2" w:rsidRDefault="00FD51FE" w:rsidP="00FE57D6">
            <w:pPr>
              <w:spacing w:after="0" w:line="240" w:lineRule="auto"/>
              <w:rPr>
                <w:rFonts w:eastAsia="Times New Roman" w:cstheme="minorHAnsi"/>
                <w:color w:val="000000"/>
                <w:sz w:val="20"/>
                <w:lang w:eastAsia="en-NZ"/>
              </w:rPr>
            </w:pPr>
          </w:p>
        </w:tc>
      </w:tr>
      <w:tr w:rsidR="00FD51FE" w:rsidRPr="008E18E2" w:rsidTr="00FE57D6">
        <w:tblPrEx>
          <w:shd w:val="clear" w:color="auto" w:fill="auto"/>
        </w:tblPrEx>
        <w:trPr>
          <w:trHeight w:val="257"/>
        </w:trPr>
        <w:tc>
          <w:tcPr>
            <w:tcW w:w="3543" w:type="dxa"/>
            <w:tcBorders>
              <w:top w:val="nil"/>
              <w:left w:val="nil"/>
              <w:bottom w:val="single" w:sz="8" w:space="0" w:color="FF0000"/>
              <w:right w:val="single" w:sz="8" w:space="0" w:color="FF0000"/>
            </w:tcBorders>
            <w:shd w:val="clear" w:color="auto" w:fill="auto"/>
            <w:hideMark/>
          </w:tcPr>
          <w:p w:rsidR="00FD51FE" w:rsidRPr="008E18E2" w:rsidRDefault="00FD51FE" w:rsidP="00FE57D6">
            <w:pPr>
              <w:spacing w:after="0" w:line="240" w:lineRule="auto"/>
              <w:rPr>
                <w:rFonts w:eastAsia="Times New Roman" w:cstheme="minorHAnsi"/>
                <w:color w:val="000000"/>
                <w:sz w:val="20"/>
                <w:lang w:eastAsia="en-NZ"/>
              </w:rPr>
            </w:pPr>
            <w:r w:rsidRPr="008E18E2">
              <w:rPr>
                <w:rFonts w:eastAsia="Times New Roman" w:cstheme="minorHAnsi"/>
                <w:color w:val="000000"/>
                <w:sz w:val="20"/>
                <w:lang w:eastAsia="en-NZ"/>
              </w:rPr>
              <w:t>Number of pedestrians leaving the CBD</w:t>
            </w:r>
          </w:p>
        </w:tc>
        <w:tc>
          <w:tcPr>
            <w:tcW w:w="1134" w:type="dxa"/>
            <w:tcBorders>
              <w:top w:val="single" w:sz="8" w:space="0" w:color="FF0000"/>
              <w:left w:val="nil"/>
              <w:bottom w:val="single" w:sz="8" w:space="0" w:color="FF0000"/>
              <w:right w:val="nil"/>
            </w:tcBorders>
            <w:shd w:val="clear" w:color="auto" w:fill="FFFFFF" w:themeFill="background1"/>
            <w:hideMark/>
          </w:tcPr>
          <w:p w:rsidR="00FD51FE" w:rsidRPr="00B76213" w:rsidRDefault="00FD51FE" w:rsidP="00FE57D6">
            <w:pPr>
              <w:spacing w:after="0" w:line="240" w:lineRule="auto"/>
              <w:jc w:val="right"/>
              <w:rPr>
                <w:rFonts w:eastAsia="Times New Roman" w:cstheme="minorHAnsi"/>
                <w:color w:val="000000"/>
                <w:sz w:val="20"/>
                <w:lang w:eastAsia="en-NZ"/>
              </w:rPr>
            </w:pPr>
            <w:r w:rsidRPr="00B76213">
              <w:rPr>
                <w:rFonts w:cstheme="minorHAnsi"/>
                <w:color w:val="000000"/>
                <w:sz w:val="20"/>
                <w:szCs w:val="20"/>
              </w:rPr>
              <w:t xml:space="preserve">4,593 </w:t>
            </w:r>
          </w:p>
        </w:tc>
        <w:tc>
          <w:tcPr>
            <w:tcW w:w="1148" w:type="dxa"/>
            <w:gridSpan w:val="2"/>
            <w:tcBorders>
              <w:top w:val="single" w:sz="8" w:space="0" w:color="FF0000"/>
              <w:left w:val="nil"/>
              <w:bottom w:val="single" w:sz="8" w:space="0" w:color="FF0000"/>
              <w:right w:val="nil"/>
            </w:tcBorders>
            <w:shd w:val="clear" w:color="auto" w:fill="FFFFFF" w:themeFill="background1"/>
            <w:noWrap/>
            <w:hideMark/>
          </w:tcPr>
          <w:p w:rsidR="00FD51FE" w:rsidRPr="00B76213" w:rsidRDefault="00FD51FE" w:rsidP="00FE57D6">
            <w:pPr>
              <w:spacing w:after="0" w:line="240" w:lineRule="auto"/>
              <w:jc w:val="right"/>
              <w:rPr>
                <w:rFonts w:eastAsia="Times New Roman" w:cstheme="minorHAnsi"/>
                <w:color w:val="000000"/>
                <w:sz w:val="20"/>
                <w:lang w:eastAsia="en-NZ"/>
              </w:rPr>
            </w:pPr>
            <w:r w:rsidRPr="00B76213">
              <w:rPr>
                <w:rFonts w:cstheme="minorHAnsi"/>
                <w:color w:val="000000"/>
                <w:sz w:val="20"/>
                <w:szCs w:val="20"/>
              </w:rPr>
              <w:t>3,972</w:t>
            </w:r>
          </w:p>
        </w:tc>
        <w:tc>
          <w:tcPr>
            <w:tcW w:w="1145" w:type="dxa"/>
            <w:gridSpan w:val="2"/>
            <w:tcBorders>
              <w:top w:val="single" w:sz="8" w:space="0" w:color="FF0000"/>
              <w:left w:val="nil"/>
              <w:bottom w:val="single" w:sz="8" w:space="0" w:color="FF0000"/>
              <w:right w:val="nil"/>
            </w:tcBorders>
            <w:shd w:val="clear" w:color="auto" w:fill="auto"/>
            <w:noWrap/>
            <w:hideMark/>
          </w:tcPr>
          <w:p w:rsidR="00FD51FE" w:rsidRPr="008E18E2" w:rsidRDefault="00FD51FE" w:rsidP="00FE57D6">
            <w:pPr>
              <w:spacing w:after="0" w:line="240" w:lineRule="auto"/>
              <w:jc w:val="right"/>
              <w:rPr>
                <w:rFonts w:eastAsia="Times New Roman" w:cstheme="minorHAnsi"/>
                <w:color w:val="000000"/>
                <w:sz w:val="20"/>
                <w:lang w:eastAsia="en-NZ"/>
              </w:rPr>
            </w:pPr>
            <w:r w:rsidRPr="008E18E2">
              <w:rPr>
                <w:rFonts w:eastAsia="Times New Roman" w:cstheme="minorHAnsi"/>
                <w:color w:val="000000"/>
                <w:sz w:val="20"/>
                <w:lang w:eastAsia="en-NZ"/>
              </w:rPr>
              <w:t xml:space="preserve">3,987 </w:t>
            </w:r>
          </w:p>
        </w:tc>
        <w:tc>
          <w:tcPr>
            <w:tcW w:w="1041" w:type="dxa"/>
            <w:gridSpan w:val="2"/>
            <w:tcBorders>
              <w:top w:val="single" w:sz="8" w:space="0" w:color="FF0000"/>
              <w:left w:val="nil"/>
              <w:bottom w:val="single" w:sz="8" w:space="0" w:color="FF0000"/>
              <w:right w:val="nil"/>
            </w:tcBorders>
            <w:shd w:val="clear" w:color="000000" w:fill="D9D9D9"/>
            <w:hideMark/>
          </w:tcPr>
          <w:p w:rsidR="00FD51FE" w:rsidRPr="008E18E2" w:rsidRDefault="00FD51FE" w:rsidP="00FE57D6">
            <w:pPr>
              <w:spacing w:after="0" w:line="240" w:lineRule="auto"/>
              <w:jc w:val="right"/>
              <w:rPr>
                <w:rFonts w:eastAsia="Times New Roman" w:cstheme="minorHAnsi"/>
                <w:color w:val="000000"/>
                <w:sz w:val="20"/>
                <w:lang w:eastAsia="en-NZ"/>
              </w:rPr>
            </w:pPr>
            <w:r w:rsidRPr="008E18E2">
              <w:rPr>
                <w:rFonts w:eastAsia="Times New Roman" w:cstheme="minorHAnsi"/>
                <w:color w:val="000000"/>
                <w:sz w:val="20"/>
                <w:lang w:eastAsia="en-NZ"/>
              </w:rPr>
              <w:t>Trend </w:t>
            </w:r>
          </w:p>
        </w:tc>
        <w:tc>
          <w:tcPr>
            <w:tcW w:w="826" w:type="dxa"/>
            <w:gridSpan w:val="3"/>
            <w:tcBorders>
              <w:top w:val="single" w:sz="8" w:space="0" w:color="FF0000"/>
              <w:left w:val="nil"/>
              <w:bottom w:val="single" w:sz="8" w:space="0" w:color="FF0000"/>
              <w:right w:val="nil"/>
            </w:tcBorders>
            <w:shd w:val="clear" w:color="auto" w:fill="auto"/>
          </w:tcPr>
          <w:p w:rsidR="00FD51FE" w:rsidRPr="008E18E2" w:rsidRDefault="00FD51FE" w:rsidP="00FE57D6">
            <w:pPr>
              <w:spacing w:after="0" w:line="240" w:lineRule="auto"/>
              <w:jc w:val="right"/>
              <w:rPr>
                <w:rFonts w:eastAsia="Times New Roman" w:cstheme="minorHAnsi"/>
                <w:color w:val="000000"/>
                <w:sz w:val="20"/>
                <w:lang w:eastAsia="en-NZ"/>
              </w:rPr>
            </w:pPr>
          </w:p>
        </w:tc>
        <w:tc>
          <w:tcPr>
            <w:tcW w:w="893" w:type="dxa"/>
            <w:gridSpan w:val="2"/>
            <w:tcBorders>
              <w:top w:val="single" w:sz="8" w:space="0" w:color="FF0000"/>
              <w:left w:val="nil"/>
              <w:bottom w:val="single" w:sz="8" w:space="0" w:color="FF0000"/>
              <w:right w:val="single" w:sz="4" w:space="0" w:color="FF0000"/>
            </w:tcBorders>
            <w:shd w:val="clear" w:color="auto" w:fill="auto"/>
          </w:tcPr>
          <w:p w:rsidR="00FD51FE" w:rsidRPr="008E18E2" w:rsidRDefault="00060BB3" w:rsidP="00FE57D6">
            <w:pPr>
              <w:spacing w:after="0" w:line="240" w:lineRule="auto"/>
              <w:jc w:val="right"/>
              <w:rPr>
                <w:rFonts w:eastAsia="Times New Roman" w:cstheme="minorHAnsi"/>
                <w:color w:val="000000"/>
                <w:sz w:val="20"/>
                <w:lang w:eastAsia="en-NZ"/>
              </w:rPr>
            </w:pPr>
            <w:r>
              <w:rPr>
                <w:rFonts w:cstheme="minorHAnsi"/>
                <w:sz w:val="20"/>
                <w:szCs w:val="20"/>
              </w:rPr>
              <w:t>Within 10%</w:t>
            </w:r>
          </w:p>
        </w:tc>
        <w:tc>
          <w:tcPr>
            <w:tcW w:w="4871" w:type="dxa"/>
            <w:tcBorders>
              <w:top w:val="single" w:sz="4" w:space="0" w:color="FF0000"/>
              <w:left w:val="single" w:sz="4" w:space="0" w:color="FF0000"/>
              <w:bottom w:val="single" w:sz="4" w:space="0" w:color="FF0000"/>
              <w:right w:val="nil"/>
            </w:tcBorders>
            <w:shd w:val="clear" w:color="auto" w:fill="auto"/>
          </w:tcPr>
          <w:p w:rsidR="00FD51FE" w:rsidRPr="008E18E2" w:rsidRDefault="00FD51FE" w:rsidP="00FE57D6">
            <w:pPr>
              <w:spacing w:after="0" w:line="240" w:lineRule="auto"/>
              <w:rPr>
                <w:rFonts w:eastAsia="Times New Roman" w:cstheme="minorHAnsi"/>
                <w:color w:val="000000"/>
                <w:sz w:val="20"/>
                <w:lang w:eastAsia="en-NZ"/>
              </w:rPr>
            </w:pPr>
          </w:p>
        </w:tc>
      </w:tr>
      <w:tr w:rsidR="00FD51FE" w:rsidRPr="008E18E2" w:rsidTr="00FE57D6">
        <w:tblPrEx>
          <w:shd w:val="clear" w:color="auto" w:fill="auto"/>
        </w:tblPrEx>
        <w:trPr>
          <w:trHeight w:val="525"/>
        </w:trPr>
        <w:tc>
          <w:tcPr>
            <w:tcW w:w="3543" w:type="dxa"/>
            <w:tcBorders>
              <w:top w:val="nil"/>
              <w:left w:val="nil"/>
              <w:bottom w:val="single" w:sz="8" w:space="0" w:color="FF0000"/>
              <w:right w:val="single" w:sz="8" w:space="0" w:color="FF0000"/>
            </w:tcBorders>
            <w:shd w:val="clear" w:color="auto" w:fill="auto"/>
            <w:hideMark/>
          </w:tcPr>
          <w:p w:rsidR="00FD51FE" w:rsidRPr="008E18E2" w:rsidRDefault="00FD51FE" w:rsidP="00FE57D6">
            <w:pPr>
              <w:spacing w:after="0" w:line="240" w:lineRule="auto"/>
              <w:rPr>
                <w:rFonts w:eastAsia="Times New Roman" w:cstheme="minorHAnsi"/>
                <w:color w:val="000000"/>
                <w:sz w:val="20"/>
                <w:lang w:eastAsia="en-NZ"/>
              </w:rPr>
            </w:pPr>
            <w:r w:rsidRPr="008E18E2">
              <w:rPr>
                <w:rFonts w:eastAsia="Times New Roman" w:cstheme="minorHAnsi"/>
                <w:color w:val="000000"/>
                <w:sz w:val="20"/>
                <w:lang w:eastAsia="en-NZ"/>
              </w:rPr>
              <w:t>Number of cyclists entering and leaving the CBD (weekdays 7-9am)</w:t>
            </w:r>
          </w:p>
        </w:tc>
        <w:tc>
          <w:tcPr>
            <w:tcW w:w="1134" w:type="dxa"/>
            <w:tcBorders>
              <w:top w:val="single" w:sz="8" w:space="0" w:color="FF0000"/>
              <w:left w:val="nil"/>
              <w:bottom w:val="single" w:sz="8" w:space="0" w:color="FF0000"/>
              <w:right w:val="nil"/>
            </w:tcBorders>
            <w:shd w:val="clear" w:color="auto" w:fill="FFFFFF" w:themeFill="background1"/>
            <w:hideMark/>
          </w:tcPr>
          <w:p w:rsidR="00FD51FE" w:rsidRPr="00B76213" w:rsidRDefault="00FD51FE" w:rsidP="00FE57D6">
            <w:pPr>
              <w:spacing w:after="0" w:line="240" w:lineRule="auto"/>
              <w:jc w:val="right"/>
              <w:rPr>
                <w:rFonts w:eastAsia="Times New Roman" w:cstheme="minorHAnsi"/>
                <w:color w:val="000000"/>
                <w:sz w:val="20"/>
                <w:lang w:eastAsia="en-NZ"/>
              </w:rPr>
            </w:pPr>
            <w:r w:rsidRPr="00B76213">
              <w:rPr>
                <w:rFonts w:cstheme="minorHAnsi"/>
                <w:color w:val="000000"/>
                <w:sz w:val="20"/>
                <w:szCs w:val="20"/>
              </w:rPr>
              <w:t xml:space="preserve">2,150 </w:t>
            </w:r>
          </w:p>
        </w:tc>
        <w:tc>
          <w:tcPr>
            <w:tcW w:w="1148" w:type="dxa"/>
            <w:gridSpan w:val="2"/>
            <w:tcBorders>
              <w:top w:val="single" w:sz="8" w:space="0" w:color="FF0000"/>
              <w:left w:val="nil"/>
              <w:bottom w:val="single" w:sz="8" w:space="0" w:color="FF0000"/>
              <w:right w:val="nil"/>
            </w:tcBorders>
            <w:shd w:val="clear" w:color="auto" w:fill="FFFFFF" w:themeFill="background1"/>
            <w:noWrap/>
            <w:hideMark/>
          </w:tcPr>
          <w:p w:rsidR="00FD51FE" w:rsidRPr="00B76213" w:rsidRDefault="00FD51FE" w:rsidP="00FE57D6">
            <w:pPr>
              <w:spacing w:after="0" w:line="240" w:lineRule="auto"/>
              <w:jc w:val="right"/>
              <w:rPr>
                <w:rFonts w:eastAsia="Times New Roman" w:cstheme="minorHAnsi"/>
                <w:color w:val="000000"/>
                <w:sz w:val="20"/>
                <w:lang w:eastAsia="en-NZ"/>
              </w:rPr>
            </w:pPr>
            <w:r w:rsidRPr="00B76213">
              <w:rPr>
                <w:rFonts w:cstheme="minorHAnsi"/>
                <w:color w:val="000000"/>
                <w:sz w:val="20"/>
                <w:szCs w:val="20"/>
              </w:rPr>
              <w:t xml:space="preserve">2,264 </w:t>
            </w:r>
          </w:p>
        </w:tc>
        <w:tc>
          <w:tcPr>
            <w:tcW w:w="1145" w:type="dxa"/>
            <w:gridSpan w:val="2"/>
            <w:tcBorders>
              <w:top w:val="single" w:sz="8" w:space="0" w:color="FF0000"/>
              <w:left w:val="nil"/>
              <w:bottom w:val="single" w:sz="8" w:space="0" w:color="FF0000"/>
              <w:right w:val="nil"/>
            </w:tcBorders>
            <w:shd w:val="clear" w:color="auto" w:fill="auto"/>
            <w:noWrap/>
            <w:hideMark/>
          </w:tcPr>
          <w:p w:rsidR="00FD51FE" w:rsidRPr="008E18E2" w:rsidRDefault="00FD51FE" w:rsidP="00FE57D6">
            <w:pPr>
              <w:spacing w:after="0" w:line="240" w:lineRule="auto"/>
              <w:jc w:val="right"/>
              <w:rPr>
                <w:rFonts w:eastAsia="Times New Roman" w:cstheme="minorHAnsi"/>
                <w:color w:val="000000"/>
                <w:sz w:val="20"/>
                <w:lang w:eastAsia="en-NZ"/>
              </w:rPr>
            </w:pPr>
            <w:r w:rsidRPr="008E18E2">
              <w:rPr>
                <w:rFonts w:eastAsia="Times New Roman" w:cstheme="minorHAnsi"/>
                <w:color w:val="000000"/>
                <w:sz w:val="20"/>
                <w:lang w:eastAsia="en-NZ"/>
              </w:rPr>
              <w:t xml:space="preserve">2,360 </w:t>
            </w:r>
          </w:p>
        </w:tc>
        <w:tc>
          <w:tcPr>
            <w:tcW w:w="1041" w:type="dxa"/>
            <w:gridSpan w:val="2"/>
            <w:tcBorders>
              <w:top w:val="single" w:sz="8" w:space="0" w:color="FF0000"/>
              <w:left w:val="nil"/>
              <w:bottom w:val="single" w:sz="8" w:space="0" w:color="FF0000"/>
              <w:right w:val="nil"/>
            </w:tcBorders>
            <w:shd w:val="clear" w:color="000000" w:fill="D9D9D9"/>
            <w:hideMark/>
          </w:tcPr>
          <w:p w:rsidR="00FD51FE" w:rsidRPr="008E18E2" w:rsidRDefault="00FD51FE" w:rsidP="00FE57D6">
            <w:pPr>
              <w:spacing w:after="0" w:line="240" w:lineRule="auto"/>
              <w:jc w:val="right"/>
              <w:rPr>
                <w:rFonts w:eastAsia="Times New Roman" w:cstheme="minorHAnsi"/>
                <w:color w:val="000000"/>
                <w:sz w:val="20"/>
                <w:lang w:eastAsia="en-NZ"/>
              </w:rPr>
            </w:pPr>
            <w:r w:rsidRPr="008E18E2">
              <w:rPr>
                <w:rFonts w:eastAsia="Times New Roman" w:cstheme="minorHAnsi"/>
                <w:color w:val="000000"/>
                <w:sz w:val="20"/>
                <w:lang w:eastAsia="en-NZ"/>
              </w:rPr>
              <w:t>Trend</w:t>
            </w:r>
          </w:p>
        </w:tc>
        <w:tc>
          <w:tcPr>
            <w:tcW w:w="826" w:type="dxa"/>
            <w:gridSpan w:val="3"/>
            <w:tcBorders>
              <w:top w:val="single" w:sz="8" w:space="0" w:color="FF0000"/>
              <w:left w:val="nil"/>
              <w:bottom w:val="single" w:sz="8" w:space="0" w:color="FF0000"/>
              <w:right w:val="nil"/>
            </w:tcBorders>
            <w:shd w:val="clear" w:color="auto" w:fill="auto"/>
          </w:tcPr>
          <w:p w:rsidR="00FD51FE" w:rsidRPr="008E18E2" w:rsidRDefault="00FD51FE" w:rsidP="00FE57D6">
            <w:pPr>
              <w:spacing w:after="0" w:line="240" w:lineRule="auto"/>
              <w:jc w:val="right"/>
              <w:rPr>
                <w:rFonts w:eastAsia="Times New Roman" w:cstheme="minorHAnsi"/>
                <w:color w:val="000000"/>
                <w:sz w:val="20"/>
                <w:lang w:eastAsia="en-NZ"/>
              </w:rPr>
            </w:pPr>
          </w:p>
        </w:tc>
        <w:tc>
          <w:tcPr>
            <w:tcW w:w="893" w:type="dxa"/>
            <w:gridSpan w:val="2"/>
            <w:tcBorders>
              <w:top w:val="single" w:sz="8" w:space="0" w:color="FF0000"/>
              <w:left w:val="nil"/>
              <w:bottom w:val="single" w:sz="8" w:space="0" w:color="FF0000"/>
              <w:right w:val="single" w:sz="4" w:space="0" w:color="FF0000"/>
            </w:tcBorders>
            <w:shd w:val="clear" w:color="auto" w:fill="auto"/>
          </w:tcPr>
          <w:p w:rsidR="00FD51FE" w:rsidRPr="008E18E2" w:rsidRDefault="00060BB3" w:rsidP="00FE57D6">
            <w:pPr>
              <w:spacing w:after="0" w:line="240" w:lineRule="auto"/>
              <w:jc w:val="right"/>
              <w:rPr>
                <w:rFonts w:eastAsia="Times New Roman" w:cstheme="minorHAnsi"/>
                <w:color w:val="000000"/>
                <w:sz w:val="20"/>
                <w:lang w:eastAsia="en-NZ"/>
              </w:rPr>
            </w:pPr>
            <w:r>
              <w:rPr>
                <w:rFonts w:cstheme="minorHAnsi"/>
                <w:sz w:val="20"/>
                <w:szCs w:val="20"/>
              </w:rPr>
              <w:t>Within 10%</w:t>
            </w:r>
          </w:p>
        </w:tc>
        <w:tc>
          <w:tcPr>
            <w:tcW w:w="4871" w:type="dxa"/>
            <w:tcBorders>
              <w:top w:val="single" w:sz="4" w:space="0" w:color="FF0000"/>
              <w:left w:val="single" w:sz="4" w:space="0" w:color="FF0000"/>
              <w:bottom w:val="single" w:sz="4" w:space="0" w:color="FF0000"/>
              <w:right w:val="nil"/>
            </w:tcBorders>
            <w:shd w:val="clear" w:color="auto" w:fill="auto"/>
          </w:tcPr>
          <w:p w:rsidR="00FD51FE" w:rsidRPr="008E18E2" w:rsidRDefault="00FD51FE" w:rsidP="00FE57D6">
            <w:pPr>
              <w:spacing w:after="0" w:line="240" w:lineRule="auto"/>
              <w:jc w:val="right"/>
              <w:rPr>
                <w:rFonts w:eastAsia="Times New Roman" w:cstheme="minorHAnsi"/>
                <w:color w:val="000000"/>
                <w:sz w:val="20"/>
                <w:lang w:eastAsia="en-NZ"/>
              </w:rPr>
            </w:pPr>
          </w:p>
        </w:tc>
      </w:tr>
      <w:tr w:rsidR="00FD51FE" w:rsidRPr="008E18E2" w:rsidTr="00FE57D6">
        <w:tblPrEx>
          <w:shd w:val="clear" w:color="auto" w:fill="auto"/>
        </w:tblPrEx>
        <w:trPr>
          <w:trHeight w:val="525"/>
        </w:trPr>
        <w:tc>
          <w:tcPr>
            <w:tcW w:w="3543" w:type="dxa"/>
            <w:tcBorders>
              <w:top w:val="nil"/>
              <w:left w:val="nil"/>
              <w:bottom w:val="single" w:sz="8" w:space="0" w:color="FF0000"/>
              <w:right w:val="single" w:sz="8" w:space="0" w:color="FF0000"/>
            </w:tcBorders>
            <w:shd w:val="clear" w:color="auto" w:fill="auto"/>
            <w:hideMark/>
          </w:tcPr>
          <w:p w:rsidR="00FD51FE" w:rsidRPr="008E18E2" w:rsidRDefault="00FD51FE" w:rsidP="00FE57D6">
            <w:pPr>
              <w:spacing w:after="0" w:line="240" w:lineRule="auto"/>
              <w:rPr>
                <w:rFonts w:eastAsia="Times New Roman" w:cstheme="minorHAnsi"/>
                <w:color w:val="000000"/>
                <w:sz w:val="20"/>
                <w:lang w:eastAsia="en-NZ"/>
              </w:rPr>
            </w:pPr>
            <w:r w:rsidRPr="008E18E2">
              <w:rPr>
                <w:rFonts w:eastAsia="Times New Roman" w:cstheme="minorHAnsi"/>
                <w:color w:val="000000"/>
                <w:sz w:val="20"/>
                <w:lang w:eastAsia="en-NZ"/>
              </w:rPr>
              <w:t>Number of cyclists entering the CBD</w:t>
            </w:r>
          </w:p>
        </w:tc>
        <w:tc>
          <w:tcPr>
            <w:tcW w:w="1134" w:type="dxa"/>
            <w:tcBorders>
              <w:top w:val="single" w:sz="8" w:space="0" w:color="FF0000"/>
              <w:left w:val="nil"/>
              <w:bottom w:val="single" w:sz="8" w:space="0" w:color="FF0000"/>
              <w:right w:val="nil"/>
            </w:tcBorders>
            <w:shd w:val="clear" w:color="auto" w:fill="auto"/>
            <w:hideMark/>
          </w:tcPr>
          <w:p w:rsidR="00FD51FE" w:rsidRPr="008E18E2" w:rsidRDefault="00FD51FE" w:rsidP="00FE57D6">
            <w:pPr>
              <w:spacing w:after="0" w:line="240" w:lineRule="auto"/>
              <w:jc w:val="right"/>
              <w:rPr>
                <w:rFonts w:eastAsia="Times New Roman" w:cstheme="minorHAnsi"/>
                <w:color w:val="000000"/>
                <w:sz w:val="20"/>
                <w:lang w:eastAsia="en-NZ"/>
              </w:rPr>
            </w:pPr>
            <w:r w:rsidRPr="008E18E2">
              <w:rPr>
                <w:rFonts w:eastAsia="Times New Roman" w:cstheme="minorHAnsi"/>
                <w:color w:val="000000"/>
                <w:sz w:val="20"/>
                <w:lang w:eastAsia="en-NZ"/>
              </w:rPr>
              <w:t xml:space="preserve">1,846 </w:t>
            </w:r>
          </w:p>
        </w:tc>
        <w:tc>
          <w:tcPr>
            <w:tcW w:w="1148" w:type="dxa"/>
            <w:gridSpan w:val="2"/>
            <w:tcBorders>
              <w:top w:val="single" w:sz="8" w:space="0" w:color="FF0000"/>
              <w:left w:val="nil"/>
              <w:bottom w:val="single" w:sz="8" w:space="0" w:color="FF0000"/>
              <w:right w:val="nil"/>
            </w:tcBorders>
            <w:shd w:val="clear" w:color="auto" w:fill="auto"/>
            <w:noWrap/>
            <w:hideMark/>
          </w:tcPr>
          <w:p w:rsidR="00FD51FE" w:rsidRPr="008E18E2" w:rsidRDefault="00FD51FE" w:rsidP="00FE57D6">
            <w:pPr>
              <w:spacing w:after="0" w:line="240" w:lineRule="auto"/>
              <w:jc w:val="right"/>
              <w:rPr>
                <w:rFonts w:eastAsia="Times New Roman" w:cstheme="minorHAnsi"/>
                <w:color w:val="000000"/>
                <w:sz w:val="20"/>
                <w:lang w:eastAsia="en-NZ"/>
              </w:rPr>
            </w:pPr>
            <w:r w:rsidRPr="008E18E2">
              <w:rPr>
                <w:rFonts w:eastAsia="Times New Roman" w:cstheme="minorHAnsi"/>
                <w:color w:val="000000"/>
                <w:sz w:val="20"/>
                <w:lang w:eastAsia="en-NZ"/>
              </w:rPr>
              <w:t xml:space="preserve">1,914 </w:t>
            </w:r>
          </w:p>
        </w:tc>
        <w:tc>
          <w:tcPr>
            <w:tcW w:w="1145" w:type="dxa"/>
            <w:gridSpan w:val="2"/>
            <w:tcBorders>
              <w:top w:val="single" w:sz="8" w:space="0" w:color="FF0000"/>
              <w:left w:val="nil"/>
              <w:bottom w:val="single" w:sz="8" w:space="0" w:color="FF0000"/>
              <w:right w:val="nil"/>
            </w:tcBorders>
            <w:shd w:val="clear" w:color="auto" w:fill="auto"/>
            <w:noWrap/>
            <w:hideMark/>
          </w:tcPr>
          <w:p w:rsidR="00FD51FE" w:rsidRPr="008E18E2" w:rsidRDefault="00FD51FE" w:rsidP="00FE57D6">
            <w:pPr>
              <w:spacing w:after="0" w:line="240" w:lineRule="auto"/>
              <w:jc w:val="right"/>
              <w:rPr>
                <w:rFonts w:eastAsia="Times New Roman" w:cstheme="minorHAnsi"/>
                <w:color w:val="000000"/>
                <w:sz w:val="20"/>
                <w:lang w:eastAsia="en-NZ"/>
              </w:rPr>
            </w:pPr>
            <w:r w:rsidRPr="008E18E2">
              <w:rPr>
                <w:rFonts w:eastAsia="Times New Roman" w:cstheme="minorHAnsi"/>
                <w:color w:val="000000"/>
                <w:sz w:val="20"/>
                <w:lang w:eastAsia="en-NZ"/>
              </w:rPr>
              <w:t xml:space="preserve">2,064 </w:t>
            </w:r>
          </w:p>
        </w:tc>
        <w:tc>
          <w:tcPr>
            <w:tcW w:w="1041" w:type="dxa"/>
            <w:gridSpan w:val="2"/>
            <w:tcBorders>
              <w:top w:val="single" w:sz="8" w:space="0" w:color="FF0000"/>
              <w:left w:val="nil"/>
              <w:bottom w:val="single" w:sz="8" w:space="0" w:color="FF0000"/>
              <w:right w:val="nil"/>
            </w:tcBorders>
            <w:shd w:val="clear" w:color="000000" w:fill="D9D9D9"/>
            <w:hideMark/>
          </w:tcPr>
          <w:p w:rsidR="00FD51FE" w:rsidRPr="008E18E2" w:rsidRDefault="00FD51FE" w:rsidP="00FE57D6">
            <w:pPr>
              <w:spacing w:after="0" w:line="240" w:lineRule="auto"/>
              <w:jc w:val="right"/>
              <w:rPr>
                <w:rFonts w:eastAsia="Times New Roman" w:cstheme="minorHAnsi"/>
                <w:color w:val="000000"/>
                <w:sz w:val="20"/>
                <w:lang w:eastAsia="en-NZ"/>
              </w:rPr>
            </w:pPr>
            <w:r w:rsidRPr="008E18E2">
              <w:rPr>
                <w:rFonts w:eastAsia="Times New Roman" w:cstheme="minorHAnsi"/>
                <w:color w:val="000000"/>
                <w:sz w:val="20"/>
                <w:lang w:eastAsia="en-NZ"/>
              </w:rPr>
              <w:t>Increase on last year </w:t>
            </w:r>
          </w:p>
        </w:tc>
        <w:tc>
          <w:tcPr>
            <w:tcW w:w="826" w:type="dxa"/>
            <w:gridSpan w:val="3"/>
            <w:tcBorders>
              <w:top w:val="single" w:sz="8" w:space="0" w:color="FF0000"/>
              <w:left w:val="nil"/>
              <w:bottom w:val="single" w:sz="8" w:space="0" w:color="FF0000"/>
              <w:right w:val="nil"/>
            </w:tcBorders>
            <w:shd w:val="clear" w:color="auto" w:fill="auto"/>
          </w:tcPr>
          <w:p w:rsidR="00FD51FE" w:rsidRPr="008E18E2" w:rsidRDefault="00FD51FE" w:rsidP="00FE57D6">
            <w:pPr>
              <w:spacing w:after="0" w:line="240" w:lineRule="auto"/>
              <w:jc w:val="right"/>
              <w:rPr>
                <w:rFonts w:eastAsia="Times New Roman" w:cstheme="minorHAnsi"/>
                <w:color w:val="000000"/>
                <w:sz w:val="20"/>
                <w:lang w:eastAsia="en-NZ"/>
              </w:rPr>
            </w:pPr>
            <w:r w:rsidRPr="008E18E2">
              <w:rPr>
                <w:rFonts w:eastAsia="Times New Roman" w:cstheme="minorHAnsi"/>
                <w:color w:val="000000"/>
                <w:sz w:val="20"/>
                <w:lang w:eastAsia="en-NZ"/>
              </w:rPr>
              <w:t>8%</w:t>
            </w:r>
          </w:p>
        </w:tc>
        <w:tc>
          <w:tcPr>
            <w:tcW w:w="893" w:type="dxa"/>
            <w:gridSpan w:val="2"/>
            <w:tcBorders>
              <w:top w:val="single" w:sz="8" w:space="0" w:color="FF0000"/>
              <w:left w:val="nil"/>
              <w:bottom w:val="single" w:sz="8" w:space="0" w:color="FF0000"/>
              <w:right w:val="single" w:sz="4" w:space="0" w:color="FF0000"/>
            </w:tcBorders>
            <w:shd w:val="clear" w:color="auto" w:fill="auto"/>
          </w:tcPr>
          <w:p w:rsidR="00FD51FE" w:rsidRPr="008E18E2" w:rsidRDefault="00060BB3" w:rsidP="00FE57D6">
            <w:pPr>
              <w:spacing w:after="0" w:line="240" w:lineRule="auto"/>
              <w:jc w:val="right"/>
              <w:rPr>
                <w:rFonts w:eastAsia="Times New Roman" w:cstheme="minorHAnsi"/>
                <w:color w:val="000000"/>
                <w:sz w:val="20"/>
                <w:lang w:eastAsia="en-NZ"/>
              </w:rPr>
            </w:pPr>
            <w:r>
              <w:rPr>
                <w:rFonts w:cstheme="minorHAnsi"/>
                <w:sz w:val="20"/>
                <w:szCs w:val="20"/>
              </w:rPr>
              <w:t>Within 10%</w:t>
            </w:r>
          </w:p>
        </w:tc>
        <w:tc>
          <w:tcPr>
            <w:tcW w:w="4871" w:type="dxa"/>
            <w:tcBorders>
              <w:top w:val="single" w:sz="4" w:space="0" w:color="FF0000"/>
              <w:left w:val="single" w:sz="4" w:space="0" w:color="FF0000"/>
              <w:bottom w:val="single" w:sz="4" w:space="0" w:color="FF0000"/>
              <w:right w:val="nil"/>
            </w:tcBorders>
            <w:shd w:val="clear" w:color="auto" w:fill="auto"/>
          </w:tcPr>
          <w:p w:rsidR="00FD51FE" w:rsidRPr="008E18E2" w:rsidRDefault="00FD51FE" w:rsidP="00FE57D6">
            <w:pPr>
              <w:spacing w:after="0" w:line="240" w:lineRule="auto"/>
              <w:rPr>
                <w:rFonts w:eastAsia="Times New Roman" w:cstheme="minorHAnsi"/>
                <w:color w:val="000000"/>
                <w:sz w:val="20"/>
                <w:lang w:eastAsia="en-NZ"/>
              </w:rPr>
            </w:pPr>
          </w:p>
        </w:tc>
      </w:tr>
      <w:tr w:rsidR="00FD51FE" w:rsidRPr="008E18E2" w:rsidTr="00FE57D6">
        <w:tblPrEx>
          <w:shd w:val="clear" w:color="auto" w:fill="auto"/>
        </w:tblPrEx>
        <w:trPr>
          <w:trHeight w:val="255"/>
        </w:trPr>
        <w:tc>
          <w:tcPr>
            <w:tcW w:w="3543" w:type="dxa"/>
            <w:tcBorders>
              <w:top w:val="nil"/>
              <w:left w:val="nil"/>
              <w:right w:val="single" w:sz="8" w:space="0" w:color="FF0000"/>
            </w:tcBorders>
            <w:shd w:val="clear" w:color="auto" w:fill="auto"/>
            <w:hideMark/>
          </w:tcPr>
          <w:p w:rsidR="00FD51FE" w:rsidRPr="008E18E2" w:rsidRDefault="00FD51FE" w:rsidP="00FE57D6">
            <w:pPr>
              <w:spacing w:after="0" w:line="240" w:lineRule="auto"/>
              <w:rPr>
                <w:rFonts w:eastAsia="Times New Roman" w:cstheme="minorHAnsi"/>
                <w:color w:val="000000"/>
                <w:sz w:val="20"/>
                <w:lang w:eastAsia="en-NZ"/>
              </w:rPr>
            </w:pPr>
            <w:r w:rsidRPr="008E18E2">
              <w:rPr>
                <w:rFonts w:eastAsia="Times New Roman" w:cstheme="minorHAnsi"/>
                <w:color w:val="000000"/>
                <w:sz w:val="20"/>
                <w:lang w:eastAsia="en-NZ"/>
              </w:rPr>
              <w:t>Number of cyclists leaving the CBD</w:t>
            </w:r>
          </w:p>
        </w:tc>
        <w:tc>
          <w:tcPr>
            <w:tcW w:w="1134" w:type="dxa"/>
            <w:tcBorders>
              <w:top w:val="single" w:sz="8" w:space="0" w:color="FF0000"/>
              <w:left w:val="nil"/>
              <w:right w:val="nil"/>
            </w:tcBorders>
            <w:shd w:val="clear" w:color="auto" w:fill="auto"/>
          </w:tcPr>
          <w:p w:rsidR="00FD51FE" w:rsidRPr="00B76213" w:rsidRDefault="00FD51FE" w:rsidP="00B76213">
            <w:pPr>
              <w:spacing w:after="0" w:line="240" w:lineRule="auto"/>
              <w:jc w:val="right"/>
              <w:rPr>
                <w:rFonts w:eastAsia="Times New Roman" w:cstheme="minorHAnsi"/>
                <w:color w:val="000000"/>
                <w:sz w:val="20"/>
                <w:szCs w:val="20"/>
                <w:lang w:eastAsia="en-NZ"/>
              </w:rPr>
            </w:pPr>
            <w:r w:rsidRPr="00B76213">
              <w:rPr>
                <w:sz w:val="20"/>
                <w:szCs w:val="20"/>
              </w:rPr>
              <w:t>304</w:t>
            </w:r>
          </w:p>
        </w:tc>
        <w:tc>
          <w:tcPr>
            <w:tcW w:w="1148" w:type="dxa"/>
            <w:gridSpan w:val="2"/>
            <w:tcBorders>
              <w:top w:val="single" w:sz="8" w:space="0" w:color="FF0000"/>
              <w:left w:val="nil"/>
              <w:right w:val="nil"/>
            </w:tcBorders>
            <w:shd w:val="clear" w:color="auto" w:fill="auto"/>
          </w:tcPr>
          <w:p w:rsidR="00FD51FE" w:rsidRPr="00B76213" w:rsidRDefault="00FD51FE" w:rsidP="00B76213">
            <w:pPr>
              <w:spacing w:after="0" w:line="240" w:lineRule="auto"/>
              <w:jc w:val="right"/>
              <w:rPr>
                <w:rFonts w:eastAsia="Times New Roman" w:cstheme="minorHAnsi"/>
                <w:color w:val="000000"/>
                <w:sz w:val="20"/>
                <w:szCs w:val="20"/>
                <w:lang w:eastAsia="en-NZ"/>
              </w:rPr>
            </w:pPr>
            <w:r w:rsidRPr="00B76213">
              <w:rPr>
                <w:sz w:val="20"/>
                <w:szCs w:val="20"/>
              </w:rPr>
              <w:t>350</w:t>
            </w:r>
          </w:p>
        </w:tc>
        <w:tc>
          <w:tcPr>
            <w:tcW w:w="1145" w:type="dxa"/>
            <w:gridSpan w:val="2"/>
            <w:tcBorders>
              <w:top w:val="single" w:sz="8" w:space="0" w:color="FF0000"/>
              <w:left w:val="nil"/>
              <w:right w:val="nil"/>
            </w:tcBorders>
            <w:shd w:val="clear" w:color="auto" w:fill="auto"/>
            <w:noWrap/>
            <w:hideMark/>
          </w:tcPr>
          <w:p w:rsidR="00FD51FE" w:rsidRPr="00B76213" w:rsidRDefault="00FD51FE" w:rsidP="00B76213">
            <w:pPr>
              <w:spacing w:after="0" w:line="240" w:lineRule="auto"/>
              <w:jc w:val="right"/>
              <w:rPr>
                <w:rFonts w:eastAsia="Times New Roman" w:cstheme="minorHAnsi"/>
                <w:color w:val="000000"/>
                <w:sz w:val="20"/>
                <w:szCs w:val="20"/>
                <w:lang w:eastAsia="en-NZ"/>
              </w:rPr>
            </w:pPr>
            <w:r w:rsidRPr="00B76213">
              <w:rPr>
                <w:rFonts w:eastAsia="Times New Roman" w:cstheme="minorHAnsi"/>
                <w:color w:val="000000"/>
                <w:sz w:val="20"/>
                <w:szCs w:val="20"/>
                <w:lang w:eastAsia="en-NZ"/>
              </w:rPr>
              <w:t>296</w:t>
            </w:r>
          </w:p>
        </w:tc>
        <w:tc>
          <w:tcPr>
            <w:tcW w:w="1041" w:type="dxa"/>
            <w:gridSpan w:val="2"/>
            <w:tcBorders>
              <w:top w:val="single" w:sz="8" w:space="0" w:color="FF0000"/>
              <w:left w:val="nil"/>
              <w:right w:val="nil"/>
            </w:tcBorders>
            <w:shd w:val="clear" w:color="000000" w:fill="D9D9D9"/>
            <w:hideMark/>
          </w:tcPr>
          <w:p w:rsidR="00FD51FE" w:rsidRPr="008E18E2" w:rsidRDefault="00FD51FE" w:rsidP="00FE57D6">
            <w:pPr>
              <w:spacing w:after="0" w:line="240" w:lineRule="auto"/>
              <w:jc w:val="right"/>
              <w:rPr>
                <w:rFonts w:eastAsia="Times New Roman" w:cstheme="minorHAnsi"/>
                <w:color w:val="000000"/>
                <w:sz w:val="20"/>
                <w:lang w:eastAsia="en-NZ"/>
              </w:rPr>
            </w:pPr>
            <w:r w:rsidRPr="008E18E2">
              <w:rPr>
                <w:rFonts w:eastAsia="Times New Roman" w:cstheme="minorHAnsi"/>
                <w:color w:val="000000"/>
                <w:sz w:val="20"/>
                <w:lang w:eastAsia="en-NZ"/>
              </w:rPr>
              <w:t>Trend </w:t>
            </w:r>
          </w:p>
        </w:tc>
        <w:tc>
          <w:tcPr>
            <w:tcW w:w="826" w:type="dxa"/>
            <w:gridSpan w:val="3"/>
            <w:tcBorders>
              <w:top w:val="single" w:sz="8" w:space="0" w:color="FF0000"/>
              <w:left w:val="nil"/>
              <w:right w:val="nil"/>
            </w:tcBorders>
            <w:shd w:val="clear" w:color="auto" w:fill="auto"/>
          </w:tcPr>
          <w:p w:rsidR="00FD51FE" w:rsidRPr="008E18E2" w:rsidRDefault="00FD51FE" w:rsidP="00FE57D6">
            <w:pPr>
              <w:spacing w:after="0" w:line="240" w:lineRule="auto"/>
              <w:jc w:val="right"/>
              <w:rPr>
                <w:rFonts w:eastAsia="Times New Roman" w:cstheme="minorHAnsi"/>
                <w:color w:val="000000"/>
                <w:sz w:val="20"/>
                <w:lang w:eastAsia="en-NZ"/>
              </w:rPr>
            </w:pPr>
          </w:p>
        </w:tc>
        <w:tc>
          <w:tcPr>
            <w:tcW w:w="893" w:type="dxa"/>
            <w:gridSpan w:val="2"/>
            <w:tcBorders>
              <w:top w:val="single" w:sz="8" w:space="0" w:color="FF0000"/>
              <w:left w:val="nil"/>
              <w:right w:val="single" w:sz="4" w:space="0" w:color="FF0000"/>
            </w:tcBorders>
            <w:shd w:val="clear" w:color="auto" w:fill="auto"/>
          </w:tcPr>
          <w:p w:rsidR="00FD51FE" w:rsidRPr="008E18E2" w:rsidRDefault="00060BB3" w:rsidP="00FE57D6">
            <w:pPr>
              <w:spacing w:after="0" w:line="240" w:lineRule="auto"/>
              <w:jc w:val="right"/>
              <w:rPr>
                <w:rFonts w:eastAsia="Times New Roman" w:cstheme="minorHAnsi"/>
                <w:color w:val="000000"/>
                <w:sz w:val="20"/>
                <w:lang w:eastAsia="en-NZ"/>
              </w:rPr>
            </w:pPr>
            <w:r>
              <w:rPr>
                <w:rFonts w:cstheme="minorHAnsi"/>
                <w:sz w:val="20"/>
                <w:szCs w:val="20"/>
              </w:rPr>
              <w:t>Within 10%</w:t>
            </w:r>
          </w:p>
        </w:tc>
        <w:tc>
          <w:tcPr>
            <w:tcW w:w="4871" w:type="dxa"/>
            <w:tcBorders>
              <w:top w:val="single" w:sz="4" w:space="0" w:color="FF0000"/>
              <w:left w:val="single" w:sz="4" w:space="0" w:color="FF0000"/>
              <w:right w:val="nil"/>
            </w:tcBorders>
            <w:shd w:val="clear" w:color="auto" w:fill="auto"/>
          </w:tcPr>
          <w:p w:rsidR="00FD51FE" w:rsidRPr="008E18E2" w:rsidRDefault="00FD51FE" w:rsidP="00FE57D6">
            <w:pPr>
              <w:spacing w:after="0" w:line="240" w:lineRule="auto"/>
              <w:rPr>
                <w:rFonts w:eastAsia="Times New Roman" w:cstheme="minorHAnsi"/>
                <w:color w:val="000000"/>
                <w:sz w:val="20"/>
                <w:lang w:eastAsia="en-NZ"/>
              </w:rPr>
            </w:pPr>
          </w:p>
        </w:tc>
      </w:tr>
      <w:tr w:rsidR="00FD51FE" w:rsidRPr="008E18E2" w:rsidTr="00FE57D6">
        <w:tblPrEx>
          <w:shd w:val="clear" w:color="auto" w:fill="auto"/>
        </w:tblPrEx>
        <w:trPr>
          <w:trHeight w:val="315"/>
        </w:trPr>
        <w:tc>
          <w:tcPr>
            <w:tcW w:w="14601" w:type="dxa"/>
            <w:gridSpan w:val="14"/>
            <w:tcBorders>
              <w:top w:val="nil"/>
              <w:left w:val="nil"/>
              <w:right w:val="nil"/>
            </w:tcBorders>
            <w:shd w:val="clear" w:color="auto" w:fill="FFCCCC"/>
            <w:hideMark/>
          </w:tcPr>
          <w:p w:rsidR="00FD51FE" w:rsidRPr="008E18E2" w:rsidRDefault="00FD51FE" w:rsidP="00FE57D6">
            <w:pPr>
              <w:spacing w:after="0" w:line="240" w:lineRule="auto"/>
              <w:rPr>
                <w:rFonts w:eastAsia="Times New Roman" w:cstheme="minorHAnsi"/>
                <w:b/>
                <w:sz w:val="20"/>
                <w:lang w:eastAsia="en-NZ"/>
              </w:rPr>
            </w:pPr>
            <w:r w:rsidRPr="008E18E2">
              <w:rPr>
                <w:rFonts w:eastAsia="Times New Roman" w:cstheme="minorHAnsi"/>
                <w:b/>
                <w:lang w:eastAsia="en-NZ"/>
              </w:rPr>
              <w:t>Network safety </w:t>
            </w:r>
          </w:p>
        </w:tc>
      </w:tr>
      <w:tr w:rsidR="00FD51FE" w:rsidRPr="008E18E2" w:rsidTr="00FE57D6">
        <w:tblPrEx>
          <w:shd w:val="clear" w:color="auto" w:fill="auto"/>
        </w:tblPrEx>
        <w:trPr>
          <w:trHeight w:val="270"/>
        </w:trPr>
        <w:tc>
          <w:tcPr>
            <w:tcW w:w="3543" w:type="dxa"/>
            <w:tcBorders>
              <w:left w:val="nil"/>
              <w:bottom w:val="single" w:sz="8" w:space="0" w:color="FF0000"/>
              <w:right w:val="single" w:sz="8" w:space="0" w:color="FF0000"/>
            </w:tcBorders>
            <w:shd w:val="clear" w:color="auto" w:fill="auto"/>
            <w:hideMark/>
          </w:tcPr>
          <w:p w:rsidR="00FD51FE" w:rsidRPr="008E18E2" w:rsidRDefault="00FD51FE" w:rsidP="00FE57D6">
            <w:pPr>
              <w:spacing w:after="0" w:line="240" w:lineRule="auto"/>
              <w:rPr>
                <w:rFonts w:eastAsia="Times New Roman" w:cstheme="minorHAnsi"/>
                <w:color w:val="000000"/>
                <w:sz w:val="20"/>
                <w:lang w:eastAsia="en-NZ"/>
              </w:rPr>
            </w:pPr>
            <w:r w:rsidRPr="008E18E2">
              <w:rPr>
                <w:rFonts w:eastAsia="Times New Roman" w:cstheme="minorHAnsi"/>
                <w:color w:val="000000"/>
                <w:sz w:val="20"/>
                <w:lang w:eastAsia="en-NZ"/>
              </w:rPr>
              <w:t>Residents (%) who are satisfied with walking on the transport network</w:t>
            </w:r>
          </w:p>
        </w:tc>
        <w:tc>
          <w:tcPr>
            <w:tcW w:w="1134" w:type="dxa"/>
            <w:tcBorders>
              <w:left w:val="nil"/>
              <w:bottom w:val="single" w:sz="8" w:space="0" w:color="FF0000"/>
              <w:right w:val="nil"/>
            </w:tcBorders>
            <w:shd w:val="clear" w:color="auto" w:fill="auto"/>
            <w:noWrap/>
            <w:hideMark/>
          </w:tcPr>
          <w:p w:rsidR="00FD51FE" w:rsidRPr="008E18E2" w:rsidRDefault="00FD51FE" w:rsidP="00FE57D6">
            <w:pPr>
              <w:spacing w:after="0" w:line="240" w:lineRule="auto"/>
              <w:jc w:val="right"/>
              <w:rPr>
                <w:rFonts w:eastAsia="Times New Roman" w:cstheme="minorHAnsi"/>
                <w:color w:val="000000"/>
                <w:sz w:val="20"/>
                <w:lang w:eastAsia="en-NZ"/>
              </w:rPr>
            </w:pPr>
          </w:p>
        </w:tc>
        <w:tc>
          <w:tcPr>
            <w:tcW w:w="1148" w:type="dxa"/>
            <w:gridSpan w:val="2"/>
            <w:tcBorders>
              <w:left w:val="nil"/>
              <w:bottom w:val="single" w:sz="8" w:space="0" w:color="FF0000"/>
              <w:right w:val="nil"/>
            </w:tcBorders>
            <w:shd w:val="clear" w:color="auto" w:fill="auto"/>
            <w:noWrap/>
            <w:hideMark/>
          </w:tcPr>
          <w:p w:rsidR="00FD51FE" w:rsidRPr="008E18E2" w:rsidRDefault="00FD51FE" w:rsidP="00FE57D6">
            <w:pPr>
              <w:spacing w:after="0" w:line="240" w:lineRule="auto"/>
              <w:jc w:val="right"/>
              <w:rPr>
                <w:rFonts w:eastAsia="Times New Roman" w:cstheme="minorHAnsi"/>
                <w:color w:val="000000"/>
                <w:sz w:val="20"/>
                <w:lang w:eastAsia="en-NZ"/>
              </w:rPr>
            </w:pPr>
            <w:r w:rsidRPr="008E18E2">
              <w:rPr>
                <w:rFonts w:eastAsia="Times New Roman" w:cstheme="minorHAnsi"/>
                <w:color w:val="000000"/>
                <w:sz w:val="20"/>
                <w:lang w:eastAsia="en-NZ"/>
              </w:rPr>
              <w:t>New</w:t>
            </w:r>
          </w:p>
        </w:tc>
        <w:tc>
          <w:tcPr>
            <w:tcW w:w="1145" w:type="dxa"/>
            <w:gridSpan w:val="2"/>
            <w:tcBorders>
              <w:left w:val="nil"/>
              <w:bottom w:val="single" w:sz="8" w:space="0" w:color="FF0000"/>
              <w:right w:val="nil"/>
            </w:tcBorders>
            <w:shd w:val="clear" w:color="auto" w:fill="auto"/>
            <w:noWrap/>
            <w:hideMark/>
          </w:tcPr>
          <w:p w:rsidR="00FD51FE" w:rsidRPr="008E18E2" w:rsidRDefault="00FD51FE" w:rsidP="00FE57D6">
            <w:pPr>
              <w:spacing w:after="0" w:line="240" w:lineRule="auto"/>
              <w:jc w:val="right"/>
              <w:rPr>
                <w:rFonts w:eastAsia="Times New Roman" w:cstheme="minorHAnsi"/>
                <w:color w:val="000000"/>
                <w:sz w:val="20"/>
                <w:lang w:eastAsia="en-NZ"/>
              </w:rPr>
            </w:pPr>
            <w:r w:rsidRPr="008E18E2">
              <w:rPr>
                <w:rFonts w:eastAsia="Times New Roman" w:cstheme="minorHAnsi"/>
                <w:color w:val="000000"/>
                <w:sz w:val="20"/>
                <w:lang w:eastAsia="en-NZ"/>
              </w:rPr>
              <w:t>87%</w:t>
            </w:r>
          </w:p>
        </w:tc>
        <w:tc>
          <w:tcPr>
            <w:tcW w:w="1041" w:type="dxa"/>
            <w:gridSpan w:val="2"/>
            <w:tcBorders>
              <w:left w:val="nil"/>
              <w:bottom w:val="single" w:sz="8" w:space="0" w:color="FF0000"/>
              <w:right w:val="nil"/>
            </w:tcBorders>
            <w:shd w:val="clear" w:color="000000" w:fill="D9D9D9"/>
            <w:hideMark/>
          </w:tcPr>
          <w:p w:rsidR="00FD51FE" w:rsidRPr="008E18E2" w:rsidRDefault="00FD51FE" w:rsidP="00FE57D6">
            <w:pPr>
              <w:spacing w:after="0" w:line="240" w:lineRule="auto"/>
              <w:jc w:val="right"/>
              <w:rPr>
                <w:rFonts w:eastAsia="Times New Roman" w:cstheme="minorHAnsi"/>
                <w:color w:val="000000"/>
                <w:sz w:val="20"/>
                <w:lang w:eastAsia="en-NZ"/>
              </w:rPr>
            </w:pPr>
            <w:r w:rsidRPr="008E18E2">
              <w:rPr>
                <w:rFonts w:eastAsia="Times New Roman" w:cstheme="minorHAnsi"/>
                <w:color w:val="000000"/>
                <w:sz w:val="20"/>
                <w:lang w:eastAsia="en-NZ"/>
              </w:rPr>
              <w:t>75%</w:t>
            </w:r>
          </w:p>
        </w:tc>
        <w:tc>
          <w:tcPr>
            <w:tcW w:w="826" w:type="dxa"/>
            <w:gridSpan w:val="3"/>
            <w:tcBorders>
              <w:left w:val="nil"/>
              <w:bottom w:val="single" w:sz="8" w:space="0" w:color="FF0000"/>
              <w:right w:val="nil"/>
            </w:tcBorders>
            <w:shd w:val="clear" w:color="auto" w:fill="auto"/>
            <w:hideMark/>
          </w:tcPr>
          <w:p w:rsidR="00FD51FE" w:rsidRPr="008E18E2" w:rsidRDefault="00FD51FE" w:rsidP="00FE57D6">
            <w:pPr>
              <w:spacing w:after="0" w:line="240" w:lineRule="auto"/>
              <w:jc w:val="right"/>
              <w:rPr>
                <w:rFonts w:eastAsia="Times New Roman" w:cstheme="minorHAnsi"/>
                <w:color w:val="000000"/>
                <w:sz w:val="20"/>
                <w:lang w:eastAsia="en-NZ"/>
              </w:rPr>
            </w:pPr>
            <w:r w:rsidRPr="008E18E2">
              <w:rPr>
                <w:rFonts w:eastAsia="Times New Roman" w:cstheme="minorHAnsi"/>
                <w:color w:val="000000"/>
                <w:sz w:val="20"/>
                <w:lang w:eastAsia="en-NZ"/>
              </w:rPr>
              <w:t>16%</w:t>
            </w:r>
          </w:p>
        </w:tc>
        <w:tc>
          <w:tcPr>
            <w:tcW w:w="893" w:type="dxa"/>
            <w:gridSpan w:val="2"/>
            <w:tcBorders>
              <w:left w:val="nil"/>
              <w:bottom w:val="single" w:sz="8" w:space="0" w:color="FF0000"/>
              <w:right w:val="single" w:sz="4" w:space="0" w:color="FF0000"/>
            </w:tcBorders>
            <w:shd w:val="clear" w:color="auto" w:fill="auto"/>
            <w:hideMark/>
          </w:tcPr>
          <w:p w:rsidR="00FD51FE" w:rsidRPr="008E18E2" w:rsidRDefault="00FD51FE" w:rsidP="00FE57D6">
            <w:pPr>
              <w:spacing w:after="0" w:line="240" w:lineRule="auto"/>
              <w:jc w:val="right"/>
              <w:rPr>
                <w:rFonts w:eastAsia="Times New Roman" w:cstheme="minorHAnsi"/>
                <w:color w:val="000000"/>
                <w:sz w:val="20"/>
                <w:lang w:eastAsia="en-NZ"/>
              </w:rPr>
            </w:pPr>
            <w:r w:rsidRPr="008E18E2">
              <w:rPr>
                <w:rFonts w:eastAsia="Times New Roman" w:cstheme="minorHAnsi"/>
                <w:color w:val="000000"/>
                <w:sz w:val="20"/>
                <w:lang w:eastAsia="en-NZ"/>
              </w:rPr>
              <w:t>exceeded</w:t>
            </w:r>
          </w:p>
        </w:tc>
        <w:tc>
          <w:tcPr>
            <w:tcW w:w="4871" w:type="dxa"/>
            <w:tcBorders>
              <w:left w:val="single" w:sz="4" w:space="0" w:color="FF0000"/>
              <w:bottom w:val="single" w:sz="4" w:space="0" w:color="FF0000"/>
              <w:right w:val="nil"/>
            </w:tcBorders>
            <w:shd w:val="clear" w:color="auto" w:fill="auto"/>
            <w:hideMark/>
          </w:tcPr>
          <w:p w:rsidR="00FD51FE" w:rsidRPr="008E18E2" w:rsidRDefault="00FD51FE" w:rsidP="00FE57D6">
            <w:pPr>
              <w:spacing w:after="0" w:line="240" w:lineRule="auto"/>
              <w:rPr>
                <w:rFonts w:eastAsia="Times New Roman" w:cstheme="minorHAnsi"/>
                <w:color w:val="000000"/>
                <w:sz w:val="20"/>
                <w:lang w:eastAsia="en-NZ"/>
              </w:rPr>
            </w:pPr>
            <w:r w:rsidRPr="008E18E2">
              <w:rPr>
                <w:rFonts w:eastAsia="Times New Roman" w:cstheme="minorHAnsi"/>
                <w:color w:val="000000"/>
                <w:sz w:val="20"/>
                <w:lang w:eastAsia="en-NZ"/>
              </w:rPr>
              <w:t>Residents’ comments include the preference to walk rather than drive in the central city but concern of shared footpaths with scooters and cyclists.</w:t>
            </w:r>
          </w:p>
        </w:tc>
      </w:tr>
      <w:tr w:rsidR="00FD51FE" w:rsidRPr="008E18E2" w:rsidTr="00FE57D6">
        <w:tblPrEx>
          <w:shd w:val="clear" w:color="auto" w:fill="auto"/>
        </w:tblPrEx>
        <w:trPr>
          <w:trHeight w:val="270"/>
        </w:trPr>
        <w:tc>
          <w:tcPr>
            <w:tcW w:w="3543" w:type="dxa"/>
            <w:tcBorders>
              <w:top w:val="nil"/>
              <w:left w:val="nil"/>
              <w:right w:val="single" w:sz="8" w:space="0" w:color="FF0000"/>
            </w:tcBorders>
            <w:shd w:val="clear" w:color="auto" w:fill="auto"/>
            <w:hideMark/>
          </w:tcPr>
          <w:p w:rsidR="00FD51FE" w:rsidRPr="008E18E2" w:rsidRDefault="00FD51FE" w:rsidP="00FE57D6">
            <w:pPr>
              <w:spacing w:after="0" w:line="240" w:lineRule="auto"/>
              <w:rPr>
                <w:rFonts w:eastAsia="Times New Roman" w:cstheme="minorHAnsi"/>
                <w:color w:val="000000"/>
                <w:sz w:val="20"/>
                <w:lang w:eastAsia="en-NZ"/>
              </w:rPr>
            </w:pPr>
            <w:r w:rsidRPr="008E18E2">
              <w:rPr>
                <w:rFonts w:eastAsia="Times New Roman" w:cstheme="minorHAnsi"/>
                <w:color w:val="000000"/>
                <w:sz w:val="20"/>
                <w:lang w:eastAsia="en-NZ"/>
              </w:rPr>
              <w:t>Residents (%) who are satisfied with cycling on the transport network</w:t>
            </w:r>
          </w:p>
        </w:tc>
        <w:tc>
          <w:tcPr>
            <w:tcW w:w="1134" w:type="dxa"/>
            <w:tcBorders>
              <w:top w:val="single" w:sz="8" w:space="0" w:color="FF0000"/>
              <w:left w:val="nil"/>
              <w:right w:val="nil"/>
            </w:tcBorders>
            <w:shd w:val="clear" w:color="auto" w:fill="auto"/>
            <w:noWrap/>
            <w:hideMark/>
          </w:tcPr>
          <w:p w:rsidR="00FD51FE" w:rsidRPr="008E18E2" w:rsidRDefault="00FD51FE" w:rsidP="00FE57D6">
            <w:pPr>
              <w:spacing w:after="0" w:line="240" w:lineRule="auto"/>
              <w:jc w:val="right"/>
              <w:rPr>
                <w:rFonts w:eastAsia="Times New Roman" w:cstheme="minorHAnsi"/>
                <w:color w:val="000000"/>
                <w:sz w:val="20"/>
                <w:lang w:eastAsia="en-NZ"/>
              </w:rPr>
            </w:pPr>
          </w:p>
        </w:tc>
        <w:tc>
          <w:tcPr>
            <w:tcW w:w="1148" w:type="dxa"/>
            <w:gridSpan w:val="2"/>
            <w:tcBorders>
              <w:top w:val="single" w:sz="8" w:space="0" w:color="FF0000"/>
              <w:left w:val="nil"/>
              <w:right w:val="nil"/>
            </w:tcBorders>
            <w:shd w:val="clear" w:color="auto" w:fill="auto"/>
            <w:noWrap/>
            <w:hideMark/>
          </w:tcPr>
          <w:p w:rsidR="00FD51FE" w:rsidRPr="008E18E2" w:rsidRDefault="00FD51FE" w:rsidP="00FE57D6">
            <w:pPr>
              <w:spacing w:after="0" w:line="240" w:lineRule="auto"/>
              <w:jc w:val="right"/>
              <w:rPr>
                <w:rFonts w:eastAsia="Times New Roman" w:cstheme="minorHAnsi"/>
                <w:color w:val="000000"/>
                <w:sz w:val="20"/>
                <w:lang w:eastAsia="en-NZ"/>
              </w:rPr>
            </w:pPr>
            <w:r w:rsidRPr="008E18E2">
              <w:rPr>
                <w:rFonts w:eastAsia="Times New Roman" w:cstheme="minorHAnsi"/>
                <w:color w:val="000000"/>
                <w:sz w:val="20"/>
                <w:lang w:eastAsia="en-NZ"/>
              </w:rPr>
              <w:t>New</w:t>
            </w:r>
          </w:p>
        </w:tc>
        <w:tc>
          <w:tcPr>
            <w:tcW w:w="1145" w:type="dxa"/>
            <w:gridSpan w:val="2"/>
            <w:tcBorders>
              <w:top w:val="single" w:sz="8" w:space="0" w:color="FF0000"/>
              <w:left w:val="nil"/>
              <w:right w:val="nil"/>
            </w:tcBorders>
            <w:shd w:val="clear" w:color="auto" w:fill="auto"/>
            <w:noWrap/>
            <w:hideMark/>
          </w:tcPr>
          <w:p w:rsidR="00FD51FE" w:rsidRPr="008E18E2" w:rsidRDefault="00FD51FE" w:rsidP="00FE57D6">
            <w:pPr>
              <w:spacing w:after="0" w:line="240" w:lineRule="auto"/>
              <w:jc w:val="right"/>
              <w:rPr>
                <w:rFonts w:eastAsia="Times New Roman" w:cstheme="minorHAnsi"/>
                <w:color w:val="000000"/>
                <w:sz w:val="20"/>
                <w:lang w:eastAsia="en-NZ"/>
              </w:rPr>
            </w:pPr>
            <w:r w:rsidRPr="008E18E2">
              <w:rPr>
                <w:rFonts w:eastAsia="Times New Roman" w:cstheme="minorHAnsi"/>
                <w:color w:val="000000"/>
                <w:sz w:val="20"/>
                <w:lang w:eastAsia="en-NZ"/>
              </w:rPr>
              <w:t>33%</w:t>
            </w:r>
          </w:p>
        </w:tc>
        <w:tc>
          <w:tcPr>
            <w:tcW w:w="1041" w:type="dxa"/>
            <w:gridSpan w:val="2"/>
            <w:tcBorders>
              <w:top w:val="single" w:sz="8" w:space="0" w:color="FF0000"/>
              <w:left w:val="nil"/>
              <w:right w:val="nil"/>
            </w:tcBorders>
            <w:shd w:val="clear" w:color="000000" w:fill="D9D9D9"/>
            <w:hideMark/>
          </w:tcPr>
          <w:p w:rsidR="00FD51FE" w:rsidRPr="008E18E2" w:rsidRDefault="00FD51FE" w:rsidP="00FE57D6">
            <w:pPr>
              <w:spacing w:after="0" w:line="240" w:lineRule="auto"/>
              <w:jc w:val="right"/>
              <w:rPr>
                <w:rFonts w:eastAsia="Times New Roman" w:cstheme="minorHAnsi"/>
                <w:color w:val="000000"/>
                <w:sz w:val="20"/>
                <w:lang w:eastAsia="en-NZ"/>
              </w:rPr>
            </w:pPr>
            <w:r w:rsidRPr="008E18E2">
              <w:rPr>
                <w:rFonts w:eastAsia="Times New Roman" w:cstheme="minorHAnsi"/>
                <w:color w:val="000000"/>
                <w:sz w:val="20"/>
                <w:lang w:eastAsia="en-NZ"/>
              </w:rPr>
              <w:t>75%</w:t>
            </w:r>
          </w:p>
        </w:tc>
        <w:tc>
          <w:tcPr>
            <w:tcW w:w="826" w:type="dxa"/>
            <w:gridSpan w:val="3"/>
            <w:tcBorders>
              <w:top w:val="single" w:sz="8" w:space="0" w:color="FF0000"/>
              <w:left w:val="nil"/>
              <w:right w:val="nil"/>
            </w:tcBorders>
            <w:shd w:val="clear" w:color="auto" w:fill="auto"/>
            <w:hideMark/>
          </w:tcPr>
          <w:p w:rsidR="00FD51FE" w:rsidRPr="008E18E2" w:rsidRDefault="00FD51FE" w:rsidP="00FE57D6">
            <w:pPr>
              <w:spacing w:after="0" w:line="240" w:lineRule="auto"/>
              <w:jc w:val="right"/>
              <w:rPr>
                <w:rFonts w:eastAsia="Times New Roman" w:cstheme="minorHAnsi"/>
                <w:color w:val="000000"/>
                <w:sz w:val="20"/>
                <w:lang w:eastAsia="en-NZ"/>
              </w:rPr>
            </w:pPr>
            <w:r w:rsidRPr="008E18E2">
              <w:rPr>
                <w:rFonts w:eastAsia="Times New Roman" w:cstheme="minorHAnsi"/>
                <w:color w:val="000000"/>
                <w:sz w:val="20"/>
                <w:lang w:eastAsia="en-NZ"/>
              </w:rPr>
              <w:t>-56%</w:t>
            </w:r>
          </w:p>
        </w:tc>
        <w:tc>
          <w:tcPr>
            <w:tcW w:w="893" w:type="dxa"/>
            <w:gridSpan w:val="2"/>
            <w:tcBorders>
              <w:top w:val="single" w:sz="8" w:space="0" w:color="FF0000"/>
              <w:left w:val="nil"/>
              <w:right w:val="single" w:sz="4" w:space="0" w:color="FF0000"/>
            </w:tcBorders>
            <w:shd w:val="clear" w:color="auto" w:fill="auto"/>
            <w:hideMark/>
          </w:tcPr>
          <w:p w:rsidR="00FD51FE" w:rsidRPr="008E18E2" w:rsidRDefault="00FD51FE" w:rsidP="00FE57D6">
            <w:pPr>
              <w:spacing w:after="0" w:line="240" w:lineRule="auto"/>
              <w:jc w:val="right"/>
              <w:rPr>
                <w:rFonts w:eastAsia="Times New Roman" w:cstheme="minorHAnsi"/>
                <w:color w:val="000000"/>
                <w:sz w:val="20"/>
                <w:lang w:eastAsia="en-NZ"/>
              </w:rPr>
            </w:pPr>
            <w:r w:rsidRPr="008E18E2">
              <w:rPr>
                <w:rFonts w:eastAsia="Times New Roman" w:cstheme="minorHAnsi"/>
                <w:color w:val="000000"/>
                <w:sz w:val="20"/>
                <w:lang w:eastAsia="en-NZ"/>
              </w:rPr>
              <w:t>not met</w:t>
            </w:r>
          </w:p>
        </w:tc>
        <w:tc>
          <w:tcPr>
            <w:tcW w:w="4871" w:type="dxa"/>
            <w:tcBorders>
              <w:top w:val="single" w:sz="4" w:space="0" w:color="FF0000"/>
              <w:left w:val="single" w:sz="4" w:space="0" w:color="FF0000"/>
              <w:right w:val="nil"/>
            </w:tcBorders>
            <w:shd w:val="clear" w:color="auto" w:fill="auto"/>
            <w:hideMark/>
          </w:tcPr>
          <w:p w:rsidR="00FD51FE" w:rsidRPr="008E18E2" w:rsidRDefault="00FD51FE" w:rsidP="00FE57D6">
            <w:pPr>
              <w:tabs>
                <w:tab w:val="left" w:pos="601"/>
              </w:tabs>
              <w:spacing w:after="0" w:line="240" w:lineRule="auto"/>
              <w:rPr>
                <w:rFonts w:eastAsia="Times New Roman" w:cstheme="minorHAnsi"/>
                <w:color w:val="000000"/>
                <w:sz w:val="20"/>
                <w:lang w:eastAsia="en-NZ"/>
              </w:rPr>
            </w:pPr>
            <w:r w:rsidRPr="008E18E2">
              <w:rPr>
                <w:rFonts w:eastAsia="Times New Roman" w:cstheme="minorHAnsi"/>
                <w:color w:val="000000"/>
                <w:sz w:val="20"/>
                <w:lang w:eastAsia="en-NZ"/>
              </w:rPr>
              <w:t xml:space="preserve">Residents’ comments include safety concerns but also expressed gratitude for the improvements already made to accommodate cyclists in the city.  </w:t>
            </w:r>
          </w:p>
        </w:tc>
      </w:tr>
      <w:tr w:rsidR="00FD51FE" w:rsidRPr="008E18E2" w:rsidTr="00FE57D6">
        <w:tblPrEx>
          <w:shd w:val="clear" w:color="auto" w:fill="auto"/>
        </w:tblPrEx>
        <w:trPr>
          <w:trHeight w:val="315"/>
        </w:trPr>
        <w:tc>
          <w:tcPr>
            <w:tcW w:w="4677" w:type="dxa"/>
            <w:gridSpan w:val="2"/>
            <w:tcBorders>
              <w:top w:val="nil"/>
              <w:left w:val="nil"/>
              <w:right w:val="nil"/>
            </w:tcBorders>
            <w:shd w:val="clear" w:color="auto" w:fill="FFCCCC"/>
            <w:hideMark/>
          </w:tcPr>
          <w:p w:rsidR="00FD51FE" w:rsidRPr="008E18E2" w:rsidRDefault="00FD51FE" w:rsidP="00FE57D6">
            <w:pPr>
              <w:spacing w:after="0" w:line="240" w:lineRule="auto"/>
              <w:rPr>
                <w:rFonts w:eastAsia="Times New Roman" w:cstheme="minorHAnsi"/>
                <w:b/>
                <w:sz w:val="20"/>
                <w:lang w:eastAsia="en-NZ"/>
              </w:rPr>
            </w:pPr>
            <w:r w:rsidRPr="008E18E2">
              <w:rPr>
                <w:rFonts w:eastAsia="Times New Roman" w:cstheme="minorHAnsi"/>
                <w:b/>
                <w:lang w:eastAsia="en-NZ"/>
              </w:rPr>
              <w:t>Network efficiency and congestion</w:t>
            </w:r>
          </w:p>
        </w:tc>
        <w:tc>
          <w:tcPr>
            <w:tcW w:w="1148" w:type="dxa"/>
            <w:gridSpan w:val="2"/>
            <w:tcBorders>
              <w:top w:val="nil"/>
              <w:left w:val="nil"/>
              <w:right w:val="nil"/>
            </w:tcBorders>
            <w:shd w:val="clear" w:color="auto" w:fill="FFCCCC"/>
            <w:noWrap/>
            <w:hideMark/>
          </w:tcPr>
          <w:p w:rsidR="00FD51FE" w:rsidRPr="008E18E2" w:rsidRDefault="00FD51FE" w:rsidP="00FE57D6">
            <w:pPr>
              <w:spacing w:after="0" w:line="240" w:lineRule="auto"/>
              <w:jc w:val="right"/>
              <w:rPr>
                <w:rFonts w:eastAsia="Times New Roman" w:cstheme="minorHAnsi"/>
                <w:sz w:val="20"/>
                <w:lang w:eastAsia="en-NZ"/>
              </w:rPr>
            </w:pPr>
          </w:p>
        </w:tc>
        <w:tc>
          <w:tcPr>
            <w:tcW w:w="1145" w:type="dxa"/>
            <w:gridSpan w:val="2"/>
            <w:tcBorders>
              <w:top w:val="nil"/>
              <w:left w:val="nil"/>
              <w:right w:val="nil"/>
            </w:tcBorders>
            <w:shd w:val="clear" w:color="auto" w:fill="FFCCCC"/>
            <w:noWrap/>
            <w:hideMark/>
          </w:tcPr>
          <w:p w:rsidR="00FD51FE" w:rsidRPr="008E18E2" w:rsidRDefault="00FD51FE" w:rsidP="00FE57D6">
            <w:pPr>
              <w:spacing w:after="0" w:line="240" w:lineRule="auto"/>
              <w:jc w:val="right"/>
              <w:rPr>
                <w:rFonts w:eastAsia="Times New Roman" w:cstheme="minorHAnsi"/>
                <w:sz w:val="20"/>
                <w:lang w:eastAsia="en-NZ"/>
              </w:rPr>
            </w:pPr>
          </w:p>
        </w:tc>
        <w:tc>
          <w:tcPr>
            <w:tcW w:w="1041" w:type="dxa"/>
            <w:gridSpan w:val="2"/>
            <w:tcBorders>
              <w:top w:val="nil"/>
              <w:left w:val="nil"/>
              <w:right w:val="nil"/>
            </w:tcBorders>
            <w:shd w:val="clear" w:color="auto" w:fill="FFCCCC"/>
            <w:hideMark/>
          </w:tcPr>
          <w:p w:rsidR="00FD51FE" w:rsidRPr="008E18E2" w:rsidRDefault="00FD51FE" w:rsidP="00FE57D6">
            <w:pPr>
              <w:spacing w:after="0" w:line="240" w:lineRule="auto"/>
              <w:rPr>
                <w:rFonts w:eastAsia="Times New Roman" w:cstheme="minorHAnsi"/>
                <w:lang w:eastAsia="en-NZ"/>
              </w:rPr>
            </w:pPr>
            <w:r w:rsidRPr="008E18E2">
              <w:rPr>
                <w:rFonts w:eastAsia="Times New Roman" w:cstheme="minorHAnsi"/>
                <w:lang w:eastAsia="en-NZ"/>
              </w:rPr>
              <w:t> </w:t>
            </w:r>
          </w:p>
        </w:tc>
        <w:tc>
          <w:tcPr>
            <w:tcW w:w="826" w:type="dxa"/>
            <w:gridSpan w:val="3"/>
            <w:tcBorders>
              <w:top w:val="nil"/>
              <w:left w:val="nil"/>
              <w:right w:val="nil"/>
            </w:tcBorders>
            <w:shd w:val="clear" w:color="auto" w:fill="FFCCCC"/>
            <w:hideMark/>
          </w:tcPr>
          <w:p w:rsidR="00FD51FE" w:rsidRPr="008E18E2" w:rsidRDefault="00FD51FE" w:rsidP="00FE57D6">
            <w:pPr>
              <w:spacing w:after="0" w:line="240" w:lineRule="auto"/>
              <w:jc w:val="right"/>
              <w:rPr>
                <w:rFonts w:eastAsia="Times New Roman" w:cstheme="minorHAnsi"/>
                <w:sz w:val="20"/>
                <w:lang w:eastAsia="en-NZ"/>
              </w:rPr>
            </w:pPr>
          </w:p>
        </w:tc>
        <w:tc>
          <w:tcPr>
            <w:tcW w:w="893" w:type="dxa"/>
            <w:gridSpan w:val="2"/>
            <w:tcBorders>
              <w:top w:val="nil"/>
              <w:left w:val="nil"/>
              <w:right w:val="nil"/>
            </w:tcBorders>
            <w:shd w:val="clear" w:color="auto" w:fill="FFCCCC"/>
            <w:hideMark/>
          </w:tcPr>
          <w:p w:rsidR="00FD51FE" w:rsidRPr="008E18E2" w:rsidRDefault="00FD51FE" w:rsidP="00FE57D6">
            <w:pPr>
              <w:spacing w:after="0" w:line="240" w:lineRule="auto"/>
              <w:jc w:val="right"/>
              <w:rPr>
                <w:rFonts w:eastAsia="Times New Roman" w:cstheme="minorHAnsi"/>
                <w:sz w:val="20"/>
                <w:lang w:eastAsia="en-NZ"/>
              </w:rPr>
            </w:pPr>
          </w:p>
        </w:tc>
        <w:tc>
          <w:tcPr>
            <w:tcW w:w="4871" w:type="dxa"/>
            <w:tcBorders>
              <w:top w:val="nil"/>
              <w:left w:val="nil"/>
              <w:right w:val="nil"/>
            </w:tcBorders>
            <w:shd w:val="clear" w:color="auto" w:fill="FFCCCC"/>
            <w:hideMark/>
          </w:tcPr>
          <w:p w:rsidR="00FD51FE" w:rsidRPr="008E18E2" w:rsidRDefault="00FD51FE" w:rsidP="00FE57D6">
            <w:pPr>
              <w:spacing w:after="0" w:line="240" w:lineRule="auto"/>
              <w:rPr>
                <w:rFonts w:eastAsia="Times New Roman" w:cstheme="minorHAnsi"/>
                <w:sz w:val="20"/>
                <w:lang w:eastAsia="en-NZ"/>
              </w:rPr>
            </w:pPr>
          </w:p>
        </w:tc>
      </w:tr>
      <w:tr w:rsidR="00FD51FE" w:rsidRPr="008E18E2" w:rsidTr="00FE57D6">
        <w:tblPrEx>
          <w:shd w:val="clear" w:color="auto" w:fill="auto"/>
        </w:tblPrEx>
        <w:trPr>
          <w:trHeight w:val="525"/>
        </w:trPr>
        <w:tc>
          <w:tcPr>
            <w:tcW w:w="3543" w:type="dxa"/>
            <w:tcBorders>
              <w:left w:val="nil"/>
              <w:bottom w:val="single" w:sz="8" w:space="0" w:color="FF0000"/>
              <w:right w:val="single" w:sz="8" w:space="0" w:color="FF0000"/>
            </w:tcBorders>
            <w:shd w:val="clear" w:color="auto" w:fill="auto"/>
            <w:hideMark/>
          </w:tcPr>
          <w:p w:rsidR="00FD51FE" w:rsidRPr="008E18E2" w:rsidRDefault="00FD51FE" w:rsidP="00FE57D6">
            <w:pPr>
              <w:spacing w:after="0" w:line="240" w:lineRule="auto"/>
              <w:rPr>
                <w:rFonts w:eastAsia="Times New Roman" w:cstheme="minorHAnsi"/>
                <w:color w:val="000000"/>
                <w:sz w:val="20"/>
                <w:lang w:eastAsia="en-NZ"/>
              </w:rPr>
            </w:pPr>
            <w:r w:rsidRPr="008E18E2">
              <w:rPr>
                <w:rFonts w:eastAsia="Times New Roman" w:cstheme="minorHAnsi"/>
                <w:color w:val="000000"/>
                <w:sz w:val="20"/>
                <w:lang w:eastAsia="en-NZ"/>
              </w:rPr>
              <w:t>Residents (%) who think peak travel times are acceptable</w:t>
            </w:r>
          </w:p>
        </w:tc>
        <w:tc>
          <w:tcPr>
            <w:tcW w:w="1134" w:type="dxa"/>
            <w:tcBorders>
              <w:left w:val="nil"/>
              <w:bottom w:val="single" w:sz="8" w:space="0" w:color="FF0000"/>
              <w:right w:val="nil"/>
            </w:tcBorders>
            <w:shd w:val="clear" w:color="auto" w:fill="auto"/>
            <w:noWrap/>
            <w:hideMark/>
          </w:tcPr>
          <w:p w:rsidR="00FD51FE" w:rsidRPr="008E18E2" w:rsidRDefault="00FD51FE" w:rsidP="00FE57D6">
            <w:pPr>
              <w:spacing w:after="0" w:line="240" w:lineRule="auto"/>
              <w:jc w:val="right"/>
              <w:rPr>
                <w:rFonts w:eastAsia="Times New Roman" w:cstheme="minorHAnsi"/>
                <w:color w:val="000000"/>
                <w:sz w:val="20"/>
                <w:lang w:eastAsia="en-NZ"/>
              </w:rPr>
            </w:pPr>
            <w:r w:rsidRPr="008E18E2">
              <w:rPr>
                <w:rFonts w:eastAsia="Times New Roman" w:cstheme="minorHAnsi"/>
                <w:color w:val="000000"/>
                <w:sz w:val="20"/>
                <w:lang w:eastAsia="en-NZ"/>
              </w:rPr>
              <w:t>42%</w:t>
            </w:r>
          </w:p>
        </w:tc>
        <w:tc>
          <w:tcPr>
            <w:tcW w:w="1148" w:type="dxa"/>
            <w:gridSpan w:val="2"/>
            <w:tcBorders>
              <w:left w:val="nil"/>
              <w:bottom w:val="single" w:sz="8" w:space="0" w:color="FF0000"/>
              <w:right w:val="nil"/>
            </w:tcBorders>
            <w:shd w:val="clear" w:color="auto" w:fill="auto"/>
            <w:noWrap/>
            <w:hideMark/>
          </w:tcPr>
          <w:p w:rsidR="00FD51FE" w:rsidRPr="008E18E2" w:rsidRDefault="00FD51FE" w:rsidP="00FE57D6">
            <w:pPr>
              <w:spacing w:after="0" w:line="240" w:lineRule="auto"/>
              <w:jc w:val="right"/>
              <w:rPr>
                <w:rFonts w:eastAsia="Times New Roman" w:cstheme="minorHAnsi"/>
                <w:color w:val="000000"/>
                <w:sz w:val="20"/>
                <w:lang w:eastAsia="en-NZ"/>
              </w:rPr>
            </w:pPr>
            <w:r w:rsidRPr="008E18E2">
              <w:rPr>
                <w:rFonts w:eastAsia="Times New Roman" w:cstheme="minorHAnsi"/>
                <w:color w:val="000000"/>
                <w:sz w:val="20"/>
                <w:lang w:eastAsia="en-NZ"/>
              </w:rPr>
              <w:t>38%</w:t>
            </w:r>
          </w:p>
        </w:tc>
        <w:tc>
          <w:tcPr>
            <w:tcW w:w="1145" w:type="dxa"/>
            <w:gridSpan w:val="2"/>
            <w:tcBorders>
              <w:left w:val="nil"/>
              <w:bottom w:val="single" w:sz="8" w:space="0" w:color="FF0000"/>
              <w:right w:val="nil"/>
            </w:tcBorders>
            <w:shd w:val="clear" w:color="auto" w:fill="auto"/>
            <w:noWrap/>
            <w:hideMark/>
          </w:tcPr>
          <w:p w:rsidR="00FD51FE" w:rsidRPr="008E18E2" w:rsidRDefault="00FD51FE" w:rsidP="00FE57D6">
            <w:pPr>
              <w:spacing w:after="0" w:line="240" w:lineRule="auto"/>
              <w:jc w:val="right"/>
              <w:rPr>
                <w:rFonts w:eastAsia="Times New Roman" w:cstheme="minorHAnsi"/>
                <w:color w:val="000000"/>
                <w:sz w:val="20"/>
                <w:lang w:eastAsia="en-NZ"/>
              </w:rPr>
            </w:pPr>
            <w:r w:rsidRPr="008E18E2">
              <w:rPr>
                <w:rFonts w:eastAsia="Times New Roman" w:cstheme="minorHAnsi"/>
                <w:color w:val="000000"/>
                <w:sz w:val="20"/>
                <w:lang w:eastAsia="en-NZ"/>
              </w:rPr>
              <w:t>35%</w:t>
            </w:r>
          </w:p>
        </w:tc>
        <w:tc>
          <w:tcPr>
            <w:tcW w:w="1041" w:type="dxa"/>
            <w:gridSpan w:val="2"/>
            <w:tcBorders>
              <w:left w:val="nil"/>
              <w:bottom w:val="single" w:sz="8" w:space="0" w:color="FF0000"/>
              <w:right w:val="nil"/>
            </w:tcBorders>
            <w:shd w:val="clear" w:color="000000" w:fill="D9D9D9"/>
            <w:hideMark/>
          </w:tcPr>
          <w:p w:rsidR="00FD51FE" w:rsidRPr="008E18E2" w:rsidRDefault="00FD51FE" w:rsidP="00FE57D6">
            <w:pPr>
              <w:spacing w:after="0" w:line="240" w:lineRule="auto"/>
              <w:jc w:val="right"/>
              <w:rPr>
                <w:rFonts w:eastAsia="Times New Roman" w:cstheme="minorHAnsi"/>
                <w:color w:val="000000"/>
                <w:sz w:val="20"/>
                <w:lang w:eastAsia="en-NZ"/>
              </w:rPr>
            </w:pPr>
            <w:r w:rsidRPr="008E18E2">
              <w:rPr>
                <w:rFonts w:eastAsia="Times New Roman" w:cstheme="minorHAnsi"/>
                <w:color w:val="000000"/>
                <w:sz w:val="20"/>
                <w:lang w:eastAsia="en-NZ"/>
              </w:rPr>
              <w:t>majority</w:t>
            </w:r>
          </w:p>
        </w:tc>
        <w:tc>
          <w:tcPr>
            <w:tcW w:w="826" w:type="dxa"/>
            <w:gridSpan w:val="3"/>
            <w:tcBorders>
              <w:left w:val="nil"/>
              <w:bottom w:val="single" w:sz="8" w:space="0" w:color="FF0000"/>
              <w:right w:val="nil"/>
            </w:tcBorders>
            <w:shd w:val="clear" w:color="auto" w:fill="auto"/>
            <w:hideMark/>
          </w:tcPr>
          <w:p w:rsidR="00FD51FE" w:rsidRPr="008E18E2" w:rsidRDefault="00FD51FE" w:rsidP="00FE57D6">
            <w:pPr>
              <w:spacing w:after="0" w:line="240" w:lineRule="auto"/>
              <w:jc w:val="right"/>
              <w:rPr>
                <w:rFonts w:eastAsia="Times New Roman" w:cstheme="minorHAnsi"/>
                <w:color w:val="000000"/>
                <w:sz w:val="20"/>
                <w:lang w:eastAsia="en-NZ"/>
              </w:rPr>
            </w:pPr>
            <w:r w:rsidRPr="008E18E2">
              <w:rPr>
                <w:rFonts w:eastAsia="Times New Roman" w:cstheme="minorHAnsi"/>
                <w:color w:val="000000"/>
                <w:sz w:val="20"/>
                <w:lang w:eastAsia="en-NZ"/>
              </w:rPr>
              <w:t>-30%</w:t>
            </w:r>
          </w:p>
          <w:p w:rsidR="00FD51FE" w:rsidRPr="008E18E2" w:rsidRDefault="00FD51FE" w:rsidP="00FE57D6">
            <w:pPr>
              <w:rPr>
                <w:rFonts w:eastAsia="Times New Roman" w:cstheme="minorHAnsi"/>
                <w:sz w:val="20"/>
                <w:lang w:eastAsia="en-NZ"/>
              </w:rPr>
            </w:pPr>
          </w:p>
        </w:tc>
        <w:tc>
          <w:tcPr>
            <w:tcW w:w="893" w:type="dxa"/>
            <w:gridSpan w:val="2"/>
            <w:tcBorders>
              <w:left w:val="nil"/>
              <w:bottom w:val="single" w:sz="8" w:space="0" w:color="FF0000"/>
              <w:right w:val="single" w:sz="4" w:space="0" w:color="FF0000"/>
            </w:tcBorders>
            <w:shd w:val="clear" w:color="auto" w:fill="auto"/>
            <w:hideMark/>
          </w:tcPr>
          <w:p w:rsidR="00FD51FE" w:rsidRPr="008E18E2" w:rsidRDefault="00FD51FE" w:rsidP="00FE57D6">
            <w:pPr>
              <w:spacing w:after="0" w:line="240" w:lineRule="auto"/>
              <w:jc w:val="right"/>
              <w:rPr>
                <w:rFonts w:eastAsia="Times New Roman" w:cstheme="minorHAnsi"/>
                <w:color w:val="000000"/>
                <w:sz w:val="20"/>
                <w:lang w:eastAsia="en-NZ"/>
              </w:rPr>
            </w:pPr>
            <w:r w:rsidRPr="008E18E2">
              <w:rPr>
                <w:rFonts w:eastAsia="Times New Roman" w:cstheme="minorHAnsi"/>
                <w:color w:val="000000"/>
                <w:sz w:val="20"/>
                <w:lang w:eastAsia="en-NZ"/>
              </w:rPr>
              <w:t>not met</w:t>
            </w:r>
          </w:p>
        </w:tc>
        <w:tc>
          <w:tcPr>
            <w:tcW w:w="4871" w:type="dxa"/>
            <w:tcBorders>
              <w:left w:val="single" w:sz="4" w:space="0" w:color="FF0000"/>
              <w:right w:val="nil"/>
            </w:tcBorders>
            <w:shd w:val="clear" w:color="auto" w:fill="auto"/>
            <w:hideMark/>
          </w:tcPr>
          <w:p w:rsidR="00FD51FE" w:rsidRPr="008E18E2" w:rsidRDefault="00FD51FE" w:rsidP="00FE57D6">
            <w:pPr>
              <w:spacing w:after="0" w:line="240" w:lineRule="auto"/>
              <w:rPr>
                <w:rFonts w:eastAsia="Times New Roman" w:cstheme="minorHAnsi"/>
                <w:color w:val="000000"/>
                <w:sz w:val="20"/>
                <w:lang w:eastAsia="en-NZ"/>
              </w:rPr>
            </w:pPr>
            <w:r w:rsidRPr="008E18E2">
              <w:rPr>
                <w:rFonts w:eastAsia="Times New Roman" w:cstheme="minorHAnsi"/>
                <w:color w:val="000000"/>
                <w:sz w:val="20"/>
                <w:lang w:eastAsia="en-NZ"/>
              </w:rPr>
              <w:t xml:space="preserve">"Peak travel volumes acceptable" is used as proxy question for peak travel times. Out of 291 answers, 48% No, 18% don't know. Residents' comments </w:t>
            </w:r>
            <w:r w:rsidRPr="008E18E2">
              <w:rPr>
                <w:rFonts w:eastAsia="Times New Roman" w:cstheme="minorHAnsi"/>
                <w:color w:val="000000"/>
                <w:sz w:val="20"/>
                <w:lang w:eastAsia="en-NZ"/>
              </w:rPr>
              <w:lastRenderedPageBreak/>
              <w:t>include "at capacity", "gridlock", and "unresolved congestion". This is as expected and supports the priority placed on Let’s Get Wellington Moving.</w:t>
            </w:r>
          </w:p>
        </w:tc>
      </w:tr>
      <w:tr w:rsidR="00FD51FE" w:rsidRPr="008E18E2" w:rsidTr="00FE57D6">
        <w:tblPrEx>
          <w:shd w:val="clear" w:color="auto" w:fill="auto"/>
        </w:tblPrEx>
        <w:trPr>
          <w:trHeight w:val="753"/>
        </w:trPr>
        <w:tc>
          <w:tcPr>
            <w:tcW w:w="3543" w:type="dxa"/>
            <w:tcBorders>
              <w:top w:val="nil"/>
              <w:left w:val="nil"/>
              <w:bottom w:val="single" w:sz="4" w:space="0" w:color="FFFFFF" w:themeColor="background1"/>
              <w:right w:val="single" w:sz="8" w:space="0" w:color="FF0000"/>
            </w:tcBorders>
            <w:shd w:val="clear" w:color="auto" w:fill="auto"/>
            <w:hideMark/>
          </w:tcPr>
          <w:p w:rsidR="00FD51FE" w:rsidRPr="008E18E2" w:rsidRDefault="00FD51FE" w:rsidP="00FE57D6">
            <w:pPr>
              <w:spacing w:after="0" w:line="240" w:lineRule="auto"/>
              <w:rPr>
                <w:rFonts w:eastAsia="Times New Roman" w:cstheme="minorHAnsi"/>
                <w:color w:val="000000"/>
                <w:sz w:val="20"/>
                <w:lang w:eastAsia="en-NZ"/>
              </w:rPr>
            </w:pPr>
            <w:r w:rsidRPr="008E18E2">
              <w:rPr>
                <w:rFonts w:eastAsia="Times New Roman" w:cstheme="minorHAnsi"/>
                <w:color w:val="000000"/>
                <w:sz w:val="20"/>
                <w:lang w:eastAsia="en-NZ"/>
              </w:rPr>
              <w:lastRenderedPageBreak/>
              <w:t>Peak travel times between CBD and suburbs (Kaori, Johnsonville, Island Bay and Miramar)</w:t>
            </w:r>
          </w:p>
        </w:tc>
        <w:tc>
          <w:tcPr>
            <w:tcW w:w="1134" w:type="dxa"/>
            <w:tcBorders>
              <w:top w:val="single" w:sz="8" w:space="0" w:color="FF0000"/>
              <w:left w:val="nil"/>
              <w:bottom w:val="single" w:sz="4" w:space="0" w:color="FFFFFF" w:themeColor="background1"/>
              <w:right w:val="nil"/>
            </w:tcBorders>
            <w:shd w:val="clear" w:color="auto" w:fill="auto"/>
            <w:noWrap/>
            <w:hideMark/>
          </w:tcPr>
          <w:p w:rsidR="00FD51FE" w:rsidRPr="008E18E2" w:rsidRDefault="00FD51FE" w:rsidP="00FE57D6">
            <w:pPr>
              <w:spacing w:after="0" w:line="240" w:lineRule="auto"/>
              <w:jc w:val="right"/>
              <w:rPr>
                <w:rFonts w:eastAsia="Times New Roman" w:cstheme="minorHAnsi"/>
                <w:color w:val="000000"/>
                <w:sz w:val="20"/>
                <w:lang w:eastAsia="en-NZ"/>
              </w:rPr>
            </w:pPr>
          </w:p>
        </w:tc>
        <w:tc>
          <w:tcPr>
            <w:tcW w:w="1148" w:type="dxa"/>
            <w:gridSpan w:val="2"/>
            <w:tcBorders>
              <w:top w:val="single" w:sz="8" w:space="0" w:color="FF0000"/>
              <w:left w:val="nil"/>
              <w:bottom w:val="single" w:sz="4" w:space="0" w:color="FFFFFF" w:themeColor="background1"/>
              <w:right w:val="nil"/>
            </w:tcBorders>
            <w:shd w:val="clear" w:color="auto" w:fill="auto"/>
            <w:noWrap/>
            <w:hideMark/>
          </w:tcPr>
          <w:p w:rsidR="00FD51FE" w:rsidRPr="008E18E2" w:rsidRDefault="00FD51FE" w:rsidP="00FE57D6">
            <w:pPr>
              <w:spacing w:after="0" w:line="240" w:lineRule="auto"/>
              <w:jc w:val="right"/>
              <w:rPr>
                <w:rFonts w:eastAsia="Times New Roman" w:cstheme="minorHAnsi"/>
                <w:color w:val="000000"/>
                <w:sz w:val="20"/>
                <w:lang w:eastAsia="en-NZ"/>
              </w:rPr>
            </w:pPr>
            <w:r w:rsidRPr="008E18E2">
              <w:rPr>
                <w:rFonts w:eastAsia="Times New Roman" w:cstheme="minorHAnsi"/>
                <w:color w:val="000000"/>
                <w:sz w:val="20"/>
                <w:lang w:eastAsia="en-NZ"/>
              </w:rPr>
              <w:t>New</w:t>
            </w:r>
          </w:p>
        </w:tc>
        <w:tc>
          <w:tcPr>
            <w:tcW w:w="1145" w:type="dxa"/>
            <w:gridSpan w:val="2"/>
            <w:tcBorders>
              <w:top w:val="single" w:sz="8" w:space="0" w:color="FF0000"/>
              <w:left w:val="nil"/>
              <w:bottom w:val="single" w:sz="4" w:space="0" w:color="FFFFFF" w:themeColor="background1"/>
              <w:right w:val="nil"/>
            </w:tcBorders>
            <w:shd w:val="clear" w:color="auto" w:fill="auto"/>
            <w:noWrap/>
            <w:hideMark/>
          </w:tcPr>
          <w:p w:rsidR="00FD51FE" w:rsidRPr="008E18E2" w:rsidRDefault="00FD51FE" w:rsidP="00FE57D6">
            <w:pPr>
              <w:spacing w:after="0" w:line="240" w:lineRule="auto"/>
              <w:jc w:val="right"/>
              <w:rPr>
                <w:rFonts w:eastAsia="Times New Roman" w:cstheme="minorHAnsi"/>
                <w:color w:val="000000"/>
                <w:sz w:val="20"/>
                <w:lang w:eastAsia="en-NZ"/>
              </w:rPr>
            </w:pPr>
            <w:r w:rsidRPr="008E18E2">
              <w:rPr>
                <w:rFonts w:eastAsia="Times New Roman" w:cstheme="minorHAnsi"/>
                <w:color w:val="000000"/>
                <w:sz w:val="20"/>
                <w:lang w:eastAsia="en-NZ"/>
              </w:rPr>
              <w:t>98%</w:t>
            </w:r>
          </w:p>
        </w:tc>
        <w:tc>
          <w:tcPr>
            <w:tcW w:w="1041" w:type="dxa"/>
            <w:gridSpan w:val="2"/>
            <w:tcBorders>
              <w:top w:val="single" w:sz="8" w:space="0" w:color="FF0000"/>
              <w:left w:val="nil"/>
              <w:bottom w:val="single" w:sz="4" w:space="0" w:color="FFFFFF" w:themeColor="background1"/>
              <w:right w:val="nil"/>
            </w:tcBorders>
            <w:shd w:val="clear" w:color="000000" w:fill="D9D9D9"/>
            <w:hideMark/>
          </w:tcPr>
          <w:p w:rsidR="00FD51FE" w:rsidRPr="008E18E2" w:rsidRDefault="00FD51FE" w:rsidP="00FE57D6">
            <w:pPr>
              <w:spacing w:after="0" w:line="240" w:lineRule="auto"/>
              <w:jc w:val="right"/>
              <w:rPr>
                <w:rFonts w:eastAsia="Times New Roman" w:cstheme="minorHAnsi"/>
                <w:color w:val="000000"/>
                <w:sz w:val="20"/>
                <w:lang w:eastAsia="en-NZ"/>
              </w:rPr>
            </w:pPr>
            <w:r w:rsidRPr="008E18E2">
              <w:rPr>
                <w:rFonts w:eastAsia="Times New Roman" w:cstheme="minorHAnsi"/>
                <w:color w:val="000000"/>
                <w:sz w:val="20"/>
                <w:lang w:eastAsia="en-NZ"/>
              </w:rPr>
              <w:t>Each route &lt;25min</w:t>
            </w:r>
          </w:p>
        </w:tc>
        <w:tc>
          <w:tcPr>
            <w:tcW w:w="826" w:type="dxa"/>
            <w:gridSpan w:val="3"/>
            <w:tcBorders>
              <w:top w:val="single" w:sz="8" w:space="0" w:color="FF0000"/>
              <w:left w:val="nil"/>
              <w:bottom w:val="single" w:sz="4" w:space="0" w:color="FFFFFF" w:themeColor="background1"/>
              <w:right w:val="nil"/>
            </w:tcBorders>
            <w:shd w:val="clear" w:color="auto" w:fill="auto"/>
            <w:hideMark/>
          </w:tcPr>
          <w:p w:rsidR="00FD51FE" w:rsidRPr="008E18E2" w:rsidRDefault="00FD51FE" w:rsidP="00FE57D6">
            <w:pPr>
              <w:spacing w:after="0" w:line="240" w:lineRule="auto"/>
              <w:jc w:val="right"/>
              <w:rPr>
                <w:rFonts w:eastAsia="Times New Roman" w:cstheme="minorHAnsi"/>
                <w:color w:val="000000"/>
                <w:sz w:val="20"/>
                <w:lang w:eastAsia="en-NZ"/>
              </w:rPr>
            </w:pPr>
            <w:r w:rsidRPr="008E18E2">
              <w:rPr>
                <w:rFonts w:eastAsia="Times New Roman" w:cstheme="minorHAnsi"/>
                <w:color w:val="000000"/>
                <w:sz w:val="20"/>
                <w:lang w:eastAsia="en-NZ"/>
              </w:rPr>
              <w:t>-2%</w:t>
            </w:r>
          </w:p>
        </w:tc>
        <w:tc>
          <w:tcPr>
            <w:tcW w:w="893" w:type="dxa"/>
            <w:gridSpan w:val="2"/>
            <w:tcBorders>
              <w:top w:val="single" w:sz="8" w:space="0" w:color="FF0000"/>
              <w:left w:val="nil"/>
              <w:bottom w:val="single" w:sz="4" w:space="0" w:color="FFFFFF" w:themeColor="background1"/>
              <w:right w:val="single" w:sz="4" w:space="0" w:color="FF0000"/>
            </w:tcBorders>
            <w:shd w:val="clear" w:color="auto" w:fill="auto"/>
            <w:hideMark/>
          </w:tcPr>
          <w:p w:rsidR="00FD51FE" w:rsidRPr="008E18E2" w:rsidRDefault="00060BB3" w:rsidP="00FE57D6">
            <w:pPr>
              <w:spacing w:after="0" w:line="240" w:lineRule="auto"/>
              <w:jc w:val="right"/>
              <w:rPr>
                <w:rFonts w:eastAsia="Times New Roman" w:cstheme="minorHAnsi"/>
                <w:color w:val="000000"/>
                <w:sz w:val="20"/>
                <w:lang w:eastAsia="en-NZ"/>
              </w:rPr>
            </w:pPr>
            <w:r>
              <w:rPr>
                <w:rFonts w:cstheme="minorHAnsi"/>
                <w:sz w:val="20"/>
                <w:szCs w:val="20"/>
              </w:rPr>
              <w:t>Within 10%</w:t>
            </w:r>
          </w:p>
        </w:tc>
        <w:tc>
          <w:tcPr>
            <w:tcW w:w="4871" w:type="dxa"/>
            <w:tcBorders>
              <w:left w:val="single" w:sz="4" w:space="0" w:color="FF0000"/>
              <w:right w:val="nil"/>
            </w:tcBorders>
            <w:shd w:val="clear" w:color="auto" w:fill="auto"/>
            <w:hideMark/>
          </w:tcPr>
          <w:p w:rsidR="00FD51FE" w:rsidRPr="008E18E2" w:rsidRDefault="0028798A" w:rsidP="0028798A">
            <w:pPr>
              <w:spacing w:after="0" w:line="240" w:lineRule="auto"/>
              <w:rPr>
                <w:rFonts w:eastAsia="Times New Roman" w:cstheme="minorHAnsi"/>
                <w:color w:val="000000"/>
                <w:sz w:val="20"/>
                <w:lang w:eastAsia="en-NZ"/>
              </w:rPr>
            </w:pPr>
            <w:r>
              <w:rPr>
                <w:rFonts w:cstheme="minorHAnsi"/>
                <w:color w:val="000000"/>
                <w:sz w:val="20"/>
                <w:szCs w:val="20"/>
              </w:rPr>
              <w:t>See supplementary tables</w:t>
            </w:r>
          </w:p>
        </w:tc>
      </w:tr>
      <w:tr w:rsidR="00FD51FE" w:rsidRPr="008E18E2" w:rsidTr="00FE57D6">
        <w:tblPrEx>
          <w:shd w:val="clear" w:color="auto" w:fill="auto"/>
        </w:tblPrEx>
        <w:trPr>
          <w:trHeight w:val="315"/>
        </w:trPr>
        <w:tc>
          <w:tcPr>
            <w:tcW w:w="14601" w:type="dxa"/>
            <w:gridSpan w:val="14"/>
            <w:tcBorders>
              <w:top w:val="single" w:sz="4" w:space="0" w:color="FFFFFF" w:themeColor="background1"/>
              <w:left w:val="nil"/>
              <w:bottom w:val="single" w:sz="4" w:space="0" w:color="FFFFFF" w:themeColor="background1"/>
            </w:tcBorders>
            <w:shd w:val="clear" w:color="auto" w:fill="FFCCCC"/>
            <w:hideMark/>
          </w:tcPr>
          <w:p w:rsidR="00FD51FE" w:rsidRPr="008E18E2" w:rsidRDefault="00B76213" w:rsidP="00FE57D6">
            <w:pPr>
              <w:spacing w:after="0" w:line="240" w:lineRule="auto"/>
              <w:rPr>
                <w:rFonts w:eastAsia="Times New Roman" w:cstheme="minorHAnsi"/>
                <w:b/>
                <w:sz w:val="20"/>
                <w:lang w:eastAsia="en-NZ"/>
              </w:rPr>
            </w:pPr>
            <w:r>
              <w:rPr>
                <w:rFonts w:eastAsia="Times New Roman" w:cstheme="minorHAnsi"/>
                <w:b/>
                <w:lang w:eastAsia="en-NZ"/>
              </w:rPr>
              <w:t>Enabling passenger transport</w:t>
            </w:r>
          </w:p>
        </w:tc>
      </w:tr>
      <w:tr w:rsidR="00FD51FE" w:rsidRPr="008E18E2" w:rsidTr="00FE57D6">
        <w:tblPrEx>
          <w:shd w:val="clear" w:color="auto" w:fill="auto"/>
        </w:tblPrEx>
        <w:trPr>
          <w:trHeight w:val="286"/>
        </w:trPr>
        <w:tc>
          <w:tcPr>
            <w:tcW w:w="3543" w:type="dxa"/>
            <w:tcBorders>
              <w:top w:val="single" w:sz="4" w:space="0" w:color="FFFFFF" w:themeColor="background1"/>
              <w:left w:val="nil"/>
              <w:right w:val="single" w:sz="8" w:space="0" w:color="FF0000"/>
            </w:tcBorders>
            <w:shd w:val="clear" w:color="auto" w:fill="auto"/>
            <w:hideMark/>
          </w:tcPr>
          <w:p w:rsidR="00FD51FE" w:rsidRPr="008E18E2" w:rsidRDefault="00FD51FE" w:rsidP="00FE57D6">
            <w:pPr>
              <w:spacing w:after="0" w:line="240" w:lineRule="auto"/>
              <w:rPr>
                <w:rFonts w:eastAsia="Times New Roman" w:cstheme="minorHAnsi"/>
                <w:color w:val="000000"/>
                <w:sz w:val="20"/>
                <w:lang w:eastAsia="en-NZ"/>
              </w:rPr>
            </w:pPr>
            <w:r w:rsidRPr="008E18E2">
              <w:rPr>
                <w:rFonts w:eastAsia="Times New Roman" w:cstheme="minorHAnsi"/>
                <w:color w:val="000000"/>
                <w:sz w:val="20"/>
                <w:lang w:eastAsia="en-NZ"/>
              </w:rPr>
              <w:t>Bus stops (%) that have a shelter (co-delivered with GWRC)</w:t>
            </w:r>
          </w:p>
        </w:tc>
        <w:tc>
          <w:tcPr>
            <w:tcW w:w="1134" w:type="dxa"/>
            <w:tcBorders>
              <w:top w:val="single" w:sz="4" w:space="0" w:color="FFFFFF" w:themeColor="background1"/>
              <w:left w:val="nil"/>
              <w:right w:val="nil"/>
            </w:tcBorders>
            <w:shd w:val="clear" w:color="auto" w:fill="auto"/>
            <w:noWrap/>
            <w:hideMark/>
          </w:tcPr>
          <w:p w:rsidR="00FD51FE" w:rsidRPr="008E18E2" w:rsidRDefault="00FD51FE" w:rsidP="00FE57D6">
            <w:pPr>
              <w:spacing w:after="0" w:line="240" w:lineRule="auto"/>
              <w:jc w:val="right"/>
              <w:rPr>
                <w:rFonts w:eastAsia="Times New Roman" w:cstheme="minorHAnsi"/>
                <w:color w:val="000000"/>
                <w:sz w:val="20"/>
                <w:lang w:eastAsia="en-NZ"/>
              </w:rPr>
            </w:pPr>
          </w:p>
        </w:tc>
        <w:tc>
          <w:tcPr>
            <w:tcW w:w="1148" w:type="dxa"/>
            <w:gridSpan w:val="2"/>
            <w:tcBorders>
              <w:top w:val="single" w:sz="4" w:space="0" w:color="FFFFFF" w:themeColor="background1"/>
              <w:left w:val="nil"/>
              <w:right w:val="nil"/>
            </w:tcBorders>
            <w:shd w:val="clear" w:color="auto" w:fill="auto"/>
            <w:noWrap/>
            <w:hideMark/>
          </w:tcPr>
          <w:p w:rsidR="00FD51FE" w:rsidRPr="008E18E2" w:rsidRDefault="00FD51FE" w:rsidP="00FE57D6">
            <w:pPr>
              <w:spacing w:after="0" w:line="240" w:lineRule="auto"/>
              <w:jc w:val="right"/>
              <w:rPr>
                <w:rFonts w:eastAsia="Times New Roman" w:cstheme="minorHAnsi"/>
                <w:color w:val="000000"/>
                <w:sz w:val="20"/>
                <w:lang w:eastAsia="en-NZ"/>
              </w:rPr>
            </w:pPr>
            <w:r w:rsidRPr="008E18E2">
              <w:rPr>
                <w:rFonts w:eastAsia="Times New Roman" w:cstheme="minorHAnsi"/>
                <w:color w:val="000000"/>
                <w:sz w:val="20"/>
                <w:lang w:eastAsia="en-NZ"/>
              </w:rPr>
              <w:t>New</w:t>
            </w:r>
          </w:p>
        </w:tc>
        <w:tc>
          <w:tcPr>
            <w:tcW w:w="1145" w:type="dxa"/>
            <w:gridSpan w:val="2"/>
            <w:tcBorders>
              <w:top w:val="single" w:sz="4" w:space="0" w:color="FFFFFF" w:themeColor="background1"/>
              <w:left w:val="nil"/>
              <w:right w:val="nil"/>
            </w:tcBorders>
            <w:shd w:val="clear" w:color="auto" w:fill="auto"/>
            <w:noWrap/>
            <w:hideMark/>
          </w:tcPr>
          <w:p w:rsidR="00FD51FE" w:rsidRPr="008E18E2" w:rsidRDefault="00FD51FE" w:rsidP="00FE57D6">
            <w:pPr>
              <w:spacing w:after="0" w:line="240" w:lineRule="auto"/>
              <w:jc w:val="right"/>
              <w:rPr>
                <w:rFonts w:eastAsia="Times New Roman" w:cstheme="minorHAnsi"/>
                <w:color w:val="000000"/>
                <w:sz w:val="20"/>
                <w:lang w:eastAsia="en-NZ"/>
              </w:rPr>
            </w:pPr>
            <w:r w:rsidRPr="008E18E2">
              <w:rPr>
                <w:rFonts w:eastAsia="Times New Roman" w:cstheme="minorHAnsi"/>
                <w:color w:val="000000"/>
                <w:sz w:val="20"/>
                <w:lang w:eastAsia="en-NZ"/>
              </w:rPr>
              <w:t>31%</w:t>
            </w:r>
          </w:p>
        </w:tc>
        <w:tc>
          <w:tcPr>
            <w:tcW w:w="1041" w:type="dxa"/>
            <w:gridSpan w:val="2"/>
            <w:tcBorders>
              <w:top w:val="single" w:sz="4" w:space="0" w:color="FFFFFF" w:themeColor="background1"/>
              <w:left w:val="nil"/>
              <w:right w:val="nil"/>
            </w:tcBorders>
            <w:shd w:val="clear" w:color="000000" w:fill="D9D9D9"/>
            <w:hideMark/>
          </w:tcPr>
          <w:p w:rsidR="00FD51FE" w:rsidRPr="008E18E2" w:rsidRDefault="00FD51FE" w:rsidP="00FE57D6">
            <w:pPr>
              <w:spacing w:after="0" w:line="240" w:lineRule="auto"/>
              <w:jc w:val="right"/>
              <w:rPr>
                <w:rFonts w:eastAsia="Times New Roman" w:cstheme="minorHAnsi"/>
                <w:color w:val="000000"/>
                <w:sz w:val="20"/>
                <w:lang w:eastAsia="en-NZ"/>
              </w:rPr>
            </w:pPr>
            <w:r w:rsidRPr="008E18E2">
              <w:rPr>
                <w:rFonts w:eastAsia="Times New Roman" w:cstheme="minorHAnsi"/>
                <w:color w:val="000000"/>
                <w:sz w:val="20"/>
                <w:lang w:eastAsia="en-NZ"/>
              </w:rPr>
              <w:t>Baseline</w:t>
            </w:r>
          </w:p>
        </w:tc>
        <w:tc>
          <w:tcPr>
            <w:tcW w:w="826" w:type="dxa"/>
            <w:gridSpan w:val="3"/>
            <w:tcBorders>
              <w:top w:val="single" w:sz="4" w:space="0" w:color="FFFFFF" w:themeColor="background1"/>
              <w:left w:val="nil"/>
              <w:right w:val="nil"/>
            </w:tcBorders>
            <w:shd w:val="clear" w:color="auto" w:fill="auto"/>
            <w:hideMark/>
          </w:tcPr>
          <w:p w:rsidR="00FD51FE" w:rsidRPr="008E18E2" w:rsidRDefault="00FD51FE" w:rsidP="00FE57D6">
            <w:pPr>
              <w:spacing w:after="0" w:line="240" w:lineRule="auto"/>
              <w:jc w:val="right"/>
              <w:rPr>
                <w:rFonts w:eastAsia="Times New Roman" w:cstheme="minorHAnsi"/>
                <w:color w:val="000000"/>
                <w:sz w:val="20"/>
                <w:lang w:eastAsia="en-NZ"/>
              </w:rPr>
            </w:pPr>
          </w:p>
        </w:tc>
        <w:tc>
          <w:tcPr>
            <w:tcW w:w="893" w:type="dxa"/>
            <w:gridSpan w:val="2"/>
            <w:tcBorders>
              <w:top w:val="single" w:sz="4" w:space="0" w:color="FFFFFF" w:themeColor="background1"/>
              <w:left w:val="nil"/>
              <w:right w:val="single" w:sz="4" w:space="0" w:color="FF0000"/>
            </w:tcBorders>
            <w:shd w:val="clear" w:color="auto" w:fill="auto"/>
            <w:hideMark/>
          </w:tcPr>
          <w:p w:rsidR="00FD51FE" w:rsidRPr="008E18E2" w:rsidRDefault="00FD51FE" w:rsidP="00FE57D6">
            <w:pPr>
              <w:spacing w:after="0" w:line="240" w:lineRule="auto"/>
              <w:jc w:val="right"/>
              <w:rPr>
                <w:rFonts w:eastAsia="Times New Roman" w:cstheme="minorHAnsi"/>
                <w:color w:val="000000"/>
                <w:sz w:val="20"/>
                <w:lang w:eastAsia="en-NZ"/>
              </w:rPr>
            </w:pPr>
          </w:p>
        </w:tc>
        <w:tc>
          <w:tcPr>
            <w:tcW w:w="4871" w:type="dxa"/>
            <w:tcBorders>
              <w:left w:val="single" w:sz="4" w:space="0" w:color="FF0000"/>
              <w:right w:val="nil"/>
            </w:tcBorders>
            <w:shd w:val="clear" w:color="auto" w:fill="auto"/>
            <w:hideMark/>
          </w:tcPr>
          <w:p w:rsidR="00FD51FE" w:rsidRPr="008E18E2" w:rsidRDefault="00FD51FE" w:rsidP="00FE57D6">
            <w:pPr>
              <w:spacing w:after="0" w:line="240" w:lineRule="auto"/>
              <w:rPr>
                <w:rFonts w:eastAsia="Times New Roman" w:cstheme="minorHAnsi"/>
                <w:color w:val="000000"/>
                <w:sz w:val="20"/>
                <w:lang w:eastAsia="en-NZ"/>
              </w:rPr>
            </w:pPr>
          </w:p>
        </w:tc>
      </w:tr>
      <w:tr w:rsidR="00FD51FE" w:rsidRPr="008E18E2" w:rsidTr="00FE57D6">
        <w:tblPrEx>
          <w:shd w:val="clear" w:color="auto" w:fill="auto"/>
        </w:tblPrEx>
        <w:trPr>
          <w:trHeight w:val="315"/>
        </w:trPr>
        <w:tc>
          <w:tcPr>
            <w:tcW w:w="14601" w:type="dxa"/>
            <w:gridSpan w:val="14"/>
            <w:tcBorders>
              <w:top w:val="nil"/>
              <w:left w:val="nil"/>
              <w:right w:val="nil"/>
            </w:tcBorders>
            <w:shd w:val="clear" w:color="auto" w:fill="FFCCCC"/>
            <w:hideMark/>
          </w:tcPr>
          <w:p w:rsidR="00FD51FE" w:rsidRPr="008E18E2" w:rsidRDefault="00FD51FE" w:rsidP="00FE57D6">
            <w:pPr>
              <w:spacing w:after="0" w:line="240" w:lineRule="auto"/>
              <w:rPr>
                <w:rFonts w:eastAsia="Times New Roman" w:cstheme="minorHAnsi"/>
                <w:b/>
                <w:sz w:val="20"/>
                <w:lang w:eastAsia="en-NZ"/>
              </w:rPr>
            </w:pPr>
            <w:r w:rsidRPr="008E18E2">
              <w:rPr>
                <w:rFonts w:eastAsia="Times New Roman" w:cstheme="minorHAnsi"/>
                <w:b/>
                <w:lang w:eastAsia="en-NZ"/>
              </w:rPr>
              <w:t>Wellington Cable Car Limited</w:t>
            </w:r>
            <w:r w:rsidR="003E3342">
              <w:rPr>
                <w:rFonts w:eastAsia="Times New Roman" w:cstheme="minorHAnsi"/>
                <w:b/>
                <w:lang w:eastAsia="en-NZ"/>
              </w:rPr>
              <w:t>*</w:t>
            </w:r>
          </w:p>
        </w:tc>
      </w:tr>
      <w:tr w:rsidR="00FD51FE" w:rsidRPr="008E18E2" w:rsidTr="00FE57D6">
        <w:tblPrEx>
          <w:shd w:val="clear" w:color="auto" w:fill="auto"/>
        </w:tblPrEx>
        <w:trPr>
          <w:trHeight w:val="270"/>
        </w:trPr>
        <w:tc>
          <w:tcPr>
            <w:tcW w:w="3543" w:type="dxa"/>
            <w:tcBorders>
              <w:left w:val="nil"/>
              <w:bottom w:val="single" w:sz="8" w:space="0" w:color="FF0000"/>
              <w:right w:val="single" w:sz="8" w:space="0" w:color="FF0000"/>
            </w:tcBorders>
            <w:shd w:val="clear" w:color="auto" w:fill="auto"/>
            <w:hideMark/>
          </w:tcPr>
          <w:p w:rsidR="00FD51FE" w:rsidRPr="008E18E2" w:rsidRDefault="00FD51FE" w:rsidP="00FE57D6">
            <w:pPr>
              <w:spacing w:after="0" w:line="240" w:lineRule="auto"/>
              <w:rPr>
                <w:rFonts w:eastAsia="Times New Roman" w:cstheme="minorHAnsi"/>
                <w:color w:val="000000"/>
                <w:sz w:val="20"/>
                <w:lang w:eastAsia="en-NZ"/>
              </w:rPr>
            </w:pPr>
            <w:r w:rsidRPr="008E18E2">
              <w:rPr>
                <w:rFonts w:eastAsia="Times New Roman" w:cstheme="minorHAnsi"/>
                <w:color w:val="000000"/>
                <w:sz w:val="20"/>
                <w:lang w:eastAsia="en-NZ"/>
              </w:rPr>
              <w:t>Total passenger trips</w:t>
            </w:r>
          </w:p>
        </w:tc>
        <w:tc>
          <w:tcPr>
            <w:tcW w:w="1134" w:type="dxa"/>
            <w:tcBorders>
              <w:left w:val="nil"/>
              <w:bottom w:val="single" w:sz="4" w:space="0" w:color="FF0000"/>
              <w:right w:val="single" w:sz="4" w:space="0" w:color="FF0000"/>
            </w:tcBorders>
            <w:shd w:val="clear" w:color="auto" w:fill="auto"/>
            <w:noWrap/>
            <w:hideMark/>
          </w:tcPr>
          <w:p w:rsidR="00FD51FE" w:rsidRPr="008E18E2" w:rsidRDefault="00FD51FE" w:rsidP="00FE57D6">
            <w:pPr>
              <w:spacing w:after="0" w:line="240" w:lineRule="auto"/>
              <w:jc w:val="right"/>
              <w:rPr>
                <w:rFonts w:eastAsia="Times New Roman" w:cstheme="minorHAnsi"/>
                <w:color w:val="000000"/>
                <w:sz w:val="20"/>
                <w:lang w:eastAsia="en-NZ"/>
              </w:rPr>
            </w:pPr>
            <w:r w:rsidRPr="008E18E2">
              <w:rPr>
                <w:rFonts w:eastAsia="Times New Roman" w:cstheme="minorHAnsi"/>
                <w:color w:val="000000"/>
                <w:sz w:val="20"/>
                <w:lang w:eastAsia="en-NZ"/>
              </w:rPr>
              <w:t xml:space="preserve">970,336 </w:t>
            </w:r>
          </w:p>
        </w:tc>
        <w:tc>
          <w:tcPr>
            <w:tcW w:w="1148" w:type="dxa"/>
            <w:gridSpan w:val="2"/>
            <w:tcBorders>
              <w:left w:val="single" w:sz="4" w:space="0" w:color="FF0000"/>
              <w:bottom w:val="single" w:sz="4" w:space="0" w:color="FF0000"/>
              <w:right w:val="single" w:sz="4" w:space="0" w:color="FF0000"/>
            </w:tcBorders>
            <w:shd w:val="clear" w:color="auto" w:fill="auto"/>
            <w:noWrap/>
            <w:hideMark/>
          </w:tcPr>
          <w:p w:rsidR="00FD51FE" w:rsidRPr="008E18E2" w:rsidRDefault="00FD51FE" w:rsidP="0089278D">
            <w:pPr>
              <w:spacing w:after="0" w:line="240" w:lineRule="auto"/>
              <w:jc w:val="right"/>
              <w:rPr>
                <w:rFonts w:eastAsia="Times New Roman" w:cstheme="minorHAnsi"/>
                <w:color w:val="000000"/>
                <w:sz w:val="20"/>
                <w:lang w:eastAsia="en-NZ"/>
              </w:rPr>
            </w:pPr>
            <w:r w:rsidRPr="008E18E2">
              <w:rPr>
                <w:rFonts w:eastAsia="Times New Roman" w:cstheme="minorHAnsi"/>
                <w:color w:val="000000"/>
                <w:sz w:val="20"/>
                <w:lang w:eastAsia="en-NZ"/>
              </w:rPr>
              <w:t>1</w:t>
            </w:r>
            <w:r w:rsidR="0089278D">
              <w:rPr>
                <w:rFonts w:eastAsia="Times New Roman" w:cstheme="minorHAnsi"/>
                <w:color w:val="000000"/>
                <w:sz w:val="20"/>
                <w:lang w:eastAsia="en-NZ"/>
              </w:rPr>
              <w:t>,</w:t>
            </w:r>
            <w:r w:rsidRPr="008E18E2">
              <w:rPr>
                <w:rFonts w:eastAsia="Times New Roman" w:cstheme="minorHAnsi"/>
                <w:color w:val="000000"/>
                <w:sz w:val="20"/>
                <w:lang w:eastAsia="en-NZ"/>
              </w:rPr>
              <w:t>145278</w:t>
            </w:r>
          </w:p>
        </w:tc>
        <w:tc>
          <w:tcPr>
            <w:tcW w:w="1145" w:type="dxa"/>
            <w:gridSpan w:val="2"/>
            <w:tcBorders>
              <w:left w:val="single" w:sz="4" w:space="0" w:color="FF0000"/>
              <w:bottom w:val="single" w:sz="4" w:space="0" w:color="FF0000"/>
              <w:right w:val="single" w:sz="4" w:space="0" w:color="FF0000"/>
            </w:tcBorders>
            <w:shd w:val="clear" w:color="auto" w:fill="auto"/>
            <w:noWrap/>
            <w:hideMark/>
          </w:tcPr>
          <w:p w:rsidR="00FD51FE" w:rsidRPr="008E18E2" w:rsidRDefault="00FD51FE" w:rsidP="00FE57D6">
            <w:pPr>
              <w:spacing w:after="0" w:line="240" w:lineRule="auto"/>
              <w:jc w:val="right"/>
              <w:rPr>
                <w:rFonts w:eastAsia="Times New Roman" w:cstheme="minorHAnsi"/>
                <w:color w:val="000000"/>
                <w:sz w:val="20"/>
                <w:lang w:eastAsia="en-NZ"/>
              </w:rPr>
            </w:pPr>
            <w:r w:rsidRPr="008E18E2">
              <w:rPr>
                <w:rFonts w:eastAsia="Times New Roman" w:cstheme="minorHAnsi"/>
                <w:color w:val="000000"/>
                <w:sz w:val="20"/>
                <w:lang w:eastAsia="en-NZ"/>
              </w:rPr>
              <w:t xml:space="preserve">1,170,932  </w:t>
            </w:r>
          </w:p>
        </w:tc>
        <w:tc>
          <w:tcPr>
            <w:tcW w:w="1041" w:type="dxa"/>
            <w:gridSpan w:val="2"/>
            <w:tcBorders>
              <w:left w:val="single" w:sz="4" w:space="0" w:color="FF0000"/>
              <w:bottom w:val="single" w:sz="4" w:space="0" w:color="FF0000"/>
              <w:right w:val="single" w:sz="4" w:space="0" w:color="FF0000"/>
            </w:tcBorders>
            <w:shd w:val="clear" w:color="000000" w:fill="D9D9D9"/>
            <w:hideMark/>
          </w:tcPr>
          <w:p w:rsidR="00FD51FE" w:rsidRPr="008E18E2" w:rsidRDefault="00FD51FE" w:rsidP="00FE57D6">
            <w:pPr>
              <w:spacing w:after="0" w:line="240" w:lineRule="auto"/>
              <w:jc w:val="right"/>
              <w:rPr>
                <w:rFonts w:eastAsia="Times New Roman" w:cstheme="minorHAnsi"/>
                <w:color w:val="000000"/>
                <w:sz w:val="20"/>
                <w:lang w:eastAsia="en-NZ"/>
              </w:rPr>
            </w:pPr>
            <w:r w:rsidRPr="008E18E2">
              <w:rPr>
                <w:rFonts w:eastAsia="Times New Roman" w:cstheme="minorHAnsi"/>
                <w:color w:val="000000"/>
                <w:sz w:val="20"/>
                <w:lang w:eastAsia="en-NZ"/>
              </w:rPr>
              <w:t>1,135,246</w:t>
            </w:r>
          </w:p>
        </w:tc>
        <w:tc>
          <w:tcPr>
            <w:tcW w:w="826" w:type="dxa"/>
            <w:gridSpan w:val="3"/>
            <w:tcBorders>
              <w:left w:val="single" w:sz="4" w:space="0" w:color="FF0000"/>
              <w:bottom w:val="single" w:sz="4" w:space="0" w:color="FF0000"/>
              <w:right w:val="single" w:sz="4" w:space="0" w:color="FF0000"/>
            </w:tcBorders>
            <w:shd w:val="clear" w:color="auto" w:fill="auto"/>
            <w:hideMark/>
          </w:tcPr>
          <w:p w:rsidR="00FD51FE" w:rsidRPr="008E18E2" w:rsidRDefault="00FD51FE" w:rsidP="00FE57D6">
            <w:pPr>
              <w:spacing w:after="0" w:line="240" w:lineRule="auto"/>
              <w:jc w:val="right"/>
              <w:rPr>
                <w:rFonts w:eastAsia="Times New Roman" w:cstheme="minorHAnsi"/>
                <w:color w:val="000000"/>
                <w:sz w:val="20"/>
                <w:lang w:eastAsia="en-NZ"/>
              </w:rPr>
            </w:pPr>
            <w:r w:rsidRPr="008E18E2">
              <w:rPr>
                <w:rFonts w:eastAsia="Times New Roman" w:cstheme="minorHAnsi"/>
                <w:color w:val="000000"/>
                <w:sz w:val="20"/>
                <w:lang w:eastAsia="en-NZ"/>
              </w:rPr>
              <w:t>3%</w:t>
            </w:r>
          </w:p>
        </w:tc>
        <w:tc>
          <w:tcPr>
            <w:tcW w:w="893" w:type="dxa"/>
            <w:gridSpan w:val="2"/>
            <w:tcBorders>
              <w:left w:val="single" w:sz="4" w:space="0" w:color="FF0000"/>
              <w:bottom w:val="single" w:sz="4" w:space="0" w:color="FF0000"/>
              <w:right w:val="single" w:sz="4" w:space="0" w:color="FF0000"/>
            </w:tcBorders>
            <w:shd w:val="clear" w:color="auto" w:fill="auto"/>
            <w:hideMark/>
          </w:tcPr>
          <w:p w:rsidR="00FD51FE" w:rsidRPr="008E18E2" w:rsidRDefault="00060BB3" w:rsidP="00FE57D6">
            <w:pPr>
              <w:spacing w:after="0" w:line="240" w:lineRule="auto"/>
              <w:jc w:val="right"/>
              <w:rPr>
                <w:rFonts w:eastAsia="Times New Roman" w:cstheme="minorHAnsi"/>
                <w:color w:val="000000"/>
                <w:sz w:val="20"/>
                <w:lang w:eastAsia="en-NZ"/>
              </w:rPr>
            </w:pPr>
            <w:r>
              <w:rPr>
                <w:rFonts w:cstheme="minorHAnsi"/>
                <w:sz w:val="20"/>
                <w:szCs w:val="20"/>
              </w:rPr>
              <w:t>Within 10%</w:t>
            </w:r>
          </w:p>
        </w:tc>
        <w:tc>
          <w:tcPr>
            <w:tcW w:w="4871" w:type="dxa"/>
            <w:tcBorders>
              <w:left w:val="single" w:sz="4" w:space="0" w:color="FF0000"/>
              <w:bottom w:val="single" w:sz="4" w:space="0" w:color="FF0000"/>
              <w:right w:val="nil"/>
            </w:tcBorders>
            <w:shd w:val="clear" w:color="auto" w:fill="auto"/>
            <w:hideMark/>
          </w:tcPr>
          <w:p w:rsidR="00FD51FE" w:rsidRPr="008E18E2" w:rsidRDefault="00FD51FE" w:rsidP="00FE57D6">
            <w:pPr>
              <w:spacing w:after="0" w:line="240" w:lineRule="auto"/>
              <w:jc w:val="right"/>
              <w:rPr>
                <w:rFonts w:eastAsia="Times New Roman" w:cstheme="minorHAnsi"/>
                <w:color w:val="000000"/>
                <w:sz w:val="20"/>
                <w:lang w:eastAsia="en-NZ"/>
              </w:rPr>
            </w:pPr>
          </w:p>
        </w:tc>
      </w:tr>
      <w:tr w:rsidR="00FD51FE" w:rsidRPr="008E18E2" w:rsidTr="00FE57D6">
        <w:tblPrEx>
          <w:shd w:val="clear" w:color="auto" w:fill="auto"/>
        </w:tblPrEx>
        <w:trPr>
          <w:trHeight w:val="525"/>
        </w:trPr>
        <w:tc>
          <w:tcPr>
            <w:tcW w:w="3543" w:type="dxa"/>
            <w:tcBorders>
              <w:top w:val="nil"/>
              <w:left w:val="nil"/>
              <w:bottom w:val="single" w:sz="8" w:space="0" w:color="FF0000"/>
              <w:right w:val="single" w:sz="8" w:space="0" w:color="FF0000"/>
            </w:tcBorders>
            <w:shd w:val="clear" w:color="auto" w:fill="auto"/>
            <w:hideMark/>
          </w:tcPr>
          <w:p w:rsidR="00FD51FE" w:rsidRPr="008E18E2" w:rsidRDefault="00FD51FE" w:rsidP="00FE57D6">
            <w:pPr>
              <w:spacing w:after="0" w:line="240" w:lineRule="auto"/>
              <w:rPr>
                <w:rFonts w:eastAsia="Times New Roman" w:cstheme="minorHAnsi"/>
                <w:color w:val="000000"/>
                <w:sz w:val="20"/>
                <w:lang w:eastAsia="en-NZ"/>
              </w:rPr>
            </w:pPr>
            <w:r w:rsidRPr="008E18E2">
              <w:rPr>
                <w:rFonts w:eastAsia="Times New Roman" w:cstheme="minorHAnsi"/>
                <w:color w:val="000000"/>
                <w:sz w:val="20"/>
                <w:lang w:eastAsia="en-NZ"/>
              </w:rPr>
              <w:t>Cable car user satisfaction survey - tourist (%) satisfaction (respondents who provide a rating greater than 6 on a 1-10 scale)</w:t>
            </w:r>
          </w:p>
        </w:tc>
        <w:tc>
          <w:tcPr>
            <w:tcW w:w="1134" w:type="dxa"/>
            <w:tcBorders>
              <w:top w:val="single" w:sz="4" w:space="0" w:color="FF0000"/>
              <w:left w:val="nil"/>
              <w:bottom w:val="single" w:sz="4" w:space="0" w:color="FF0000"/>
              <w:right w:val="single" w:sz="4" w:space="0" w:color="FF0000"/>
            </w:tcBorders>
            <w:shd w:val="clear" w:color="auto" w:fill="auto"/>
            <w:hideMark/>
          </w:tcPr>
          <w:p w:rsidR="00FD51FE" w:rsidRPr="008E18E2" w:rsidRDefault="00FD51FE" w:rsidP="00FE57D6">
            <w:pPr>
              <w:spacing w:after="0" w:line="240" w:lineRule="auto"/>
              <w:jc w:val="right"/>
              <w:rPr>
                <w:rFonts w:eastAsia="Times New Roman" w:cstheme="minorHAnsi"/>
                <w:color w:val="000000"/>
                <w:sz w:val="20"/>
                <w:lang w:eastAsia="en-NZ"/>
              </w:rPr>
            </w:pPr>
          </w:p>
        </w:tc>
        <w:tc>
          <w:tcPr>
            <w:tcW w:w="1148" w:type="dxa"/>
            <w:gridSpan w:val="2"/>
            <w:tcBorders>
              <w:top w:val="single" w:sz="4" w:space="0" w:color="FF0000"/>
              <w:left w:val="single" w:sz="4" w:space="0" w:color="FF0000"/>
              <w:bottom w:val="single" w:sz="4" w:space="0" w:color="FF0000"/>
              <w:right w:val="single" w:sz="4" w:space="0" w:color="FF0000"/>
            </w:tcBorders>
            <w:shd w:val="clear" w:color="auto" w:fill="auto"/>
            <w:noWrap/>
            <w:hideMark/>
          </w:tcPr>
          <w:p w:rsidR="00FD51FE" w:rsidRPr="008E18E2" w:rsidRDefault="00FD51FE" w:rsidP="00FE57D6">
            <w:pPr>
              <w:spacing w:after="0" w:line="240" w:lineRule="auto"/>
              <w:jc w:val="right"/>
              <w:rPr>
                <w:rFonts w:eastAsia="Times New Roman" w:cstheme="minorHAnsi"/>
                <w:color w:val="000000"/>
                <w:sz w:val="20"/>
                <w:lang w:eastAsia="en-NZ"/>
              </w:rPr>
            </w:pPr>
            <w:r w:rsidRPr="008E18E2">
              <w:rPr>
                <w:rFonts w:eastAsia="Times New Roman" w:cstheme="minorHAnsi"/>
                <w:color w:val="000000"/>
                <w:sz w:val="20"/>
                <w:lang w:eastAsia="en-NZ"/>
              </w:rPr>
              <w:t>New</w:t>
            </w:r>
          </w:p>
        </w:tc>
        <w:tc>
          <w:tcPr>
            <w:tcW w:w="1145" w:type="dxa"/>
            <w:gridSpan w:val="2"/>
            <w:tcBorders>
              <w:top w:val="single" w:sz="4" w:space="0" w:color="FF0000"/>
              <w:left w:val="single" w:sz="4" w:space="0" w:color="FF0000"/>
              <w:bottom w:val="single" w:sz="4" w:space="0" w:color="FF0000"/>
              <w:right w:val="single" w:sz="4" w:space="0" w:color="FF0000"/>
            </w:tcBorders>
            <w:shd w:val="clear" w:color="auto" w:fill="auto"/>
            <w:noWrap/>
            <w:hideMark/>
          </w:tcPr>
          <w:p w:rsidR="00FD51FE" w:rsidRPr="008E18E2" w:rsidRDefault="00FD51FE" w:rsidP="00FE57D6">
            <w:pPr>
              <w:spacing w:after="0" w:line="240" w:lineRule="auto"/>
              <w:jc w:val="right"/>
              <w:rPr>
                <w:rFonts w:eastAsia="Times New Roman" w:cstheme="minorHAnsi"/>
                <w:color w:val="000000"/>
                <w:sz w:val="20"/>
                <w:lang w:eastAsia="en-NZ"/>
              </w:rPr>
            </w:pPr>
            <w:r w:rsidRPr="008E18E2">
              <w:rPr>
                <w:rFonts w:eastAsia="Times New Roman" w:cstheme="minorHAnsi"/>
                <w:color w:val="000000"/>
                <w:sz w:val="20"/>
                <w:lang w:eastAsia="en-NZ"/>
              </w:rPr>
              <w:t xml:space="preserve"> </w:t>
            </w:r>
            <w:r>
              <w:rPr>
                <w:rFonts w:eastAsia="Times New Roman" w:cstheme="minorHAnsi"/>
                <w:color w:val="000000"/>
                <w:sz w:val="20"/>
                <w:lang w:eastAsia="en-NZ"/>
              </w:rPr>
              <w:t>82%</w:t>
            </w:r>
            <w:r w:rsidRPr="008E18E2">
              <w:rPr>
                <w:rFonts w:eastAsia="Times New Roman" w:cstheme="minorHAnsi"/>
                <w:color w:val="000000"/>
                <w:sz w:val="20"/>
                <w:lang w:eastAsia="en-NZ"/>
              </w:rPr>
              <w:t xml:space="preserve"> </w:t>
            </w:r>
          </w:p>
        </w:tc>
        <w:tc>
          <w:tcPr>
            <w:tcW w:w="1041" w:type="dxa"/>
            <w:gridSpan w:val="2"/>
            <w:tcBorders>
              <w:top w:val="single" w:sz="4" w:space="0" w:color="FF0000"/>
              <w:left w:val="single" w:sz="4" w:space="0" w:color="FF0000"/>
              <w:bottom w:val="single" w:sz="4" w:space="0" w:color="FF0000"/>
              <w:right w:val="single" w:sz="4" w:space="0" w:color="FF0000"/>
            </w:tcBorders>
            <w:shd w:val="clear" w:color="000000" w:fill="D9D9D9"/>
            <w:hideMark/>
          </w:tcPr>
          <w:p w:rsidR="00FD51FE" w:rsidRPr="008E18E2" w:rsidRDefault="00FD51FE" w:rsidP="00FE57D6">
            <w:pPr>
              <w:spacing w:after="0" w:line="240" w:lineRule="auto"/>
              <w:jc w:val="right"/>
              <w:rPr>
                <w:rFonts w:eastAsia="Times New Roman" w:cstheme="minorHAnsi"/>
                <w:color w:val="000000"/>
                <w:sz w:val="20"/>
                <w:lang w:eastAsia="en-NZ"/>
              </w:rPr>
            </w:pPr>
            <w:r w:rsidRPr="008E18E2">
              <w:rPr>
                <w:rFonts w:eastAsia="Times New Roman" w:cstheme="minorHAnsi"/>
                <w:color w:val="000000"/>
                <w:sz w:val="20"/>
                <w:lang w:eastAsia="en-NZ"/>
              </w:rPr>
              <w:t>91%</w:t>
            </w:r>
          </w:p>
        </w:tc>
        <w:tc>
          <w:tcPr>
            <w:tcW w:w="826" w:type="dxa"/>
            <w:gridSpan w:val="3"/>
            <w:tcBorders>
              <w:top w:val="single" w:sz="4" w:space="0" w:color="FF0000"/>
              <w:left w:val="single" w:sz="4" w:space="0" w:color="FF0000"/>
              <w:bottom w:val="single" w:sz="4" w:space="0" w:color="FF0000"/>
              <w:right w:val="single" w:sz="4" w:space="0" w:color="FF0000"/>
            </w:tcBorders>
            <w:shd w:val="clear" w:color="auto" w:fill="auto"/>
            <w:hideMark/>
          </w:tcPr>
          <w:p w:rsidR="00FD51FE" w:rsidRPr="008E18E2" w:rsidRDefault="00FD51FE" w:rsidP="00FE57D6">
            <w:pPr>
              <w:spacing w:after="0" w:line="240" w:lineRule="auto"/>
              <w:jc w:val="right"/>
              <w:rPr>
                <w:rFonts w:eastAsia="Times New Roman" w:cstheme="minorHAnsi"/>
                <w:color w:val="000000"/>
                <w:sz w:val="20"/>
                <w:lang w:eastAsia="en-NZ"/>
              </w:rPr>
            </w:pPr>
            <w:r>
              <w:rPr>
                <w:rFonts w:eastAsia="Times New Roman" w:cstheme="minorHAnsi"/>
                <w:color w:val="000000"/>
                <w:sz w:val="20"/>
                <w:lang w:eastAsia="en-NZ"/>
              </w:rPr>
              <w:t>-10%</w:t>
            </w:r>
          </w:p>
        </w:tc>
        <w:tc>
          <w:tcPr>
            <w:tcW w:w="893" w:type="dxa"/>
            <w:gridSpan w:val="2"/>
            <w:tcBorders>
              <w:top w:val="single" w:sz="4" w:space="0" w:color="FF0000"/>
              <w:left w:val="single" w:sz="4" w:space="0" w:color="FF0000"/>
              <w:bottom w:val="single" w:sz="4" w:space="0" w:color="FF0000"/>
              <w:right w:val="single" w:sz="4" w:space="0" w:color="FF0000"/>
            </w:tcBorders>
            <w:shd w:val="clear" w:color="auto" w:fill="auto"/>
            <w:hideMark/>
          </w:tcPr>
          <w:p w:rsidR="00FD51FE" w:rsidRPr="008E18E2" w:rsidRDefault="00060BB3" w:rsidP="00FE57D6">
            <w:pPr>
              <w:spacing w:after="0" w:line="240" w:lineRule="auto"/>
              <w:jc w:val="right"/>
              <w:rPr>
                <w:rFonts w:eastAsia="Times New Roman" w:cstheme="minorHAnsi"/>
                <w:color w:val="000000"/>
                <w:sz w:val="20"/>
                <w:lang w:eastAsia="en-NZ"/>
              </w:rPr>
            </w:pPr>
            <w:r>
              <w:rPr>
                <w:rFonts w:cstheme="minorHAnsi"/>
                <w:sz w:val="20"/>
                <w:szCs w:val="20"/>
              </w:rPr>
              <w:t>Within 10%</w:t>
            </w:r>
          </w:p>
        </w:tc>
        <w:tc>
          <w:tcPr>
            <w:tcW w:w="4871" w:type="dxa"/>
            <w:tcBorders>
              <w:top w:val="single" w:sz="4" w:space="0" w:color="FF0000"/>
              <w:left w:val="single" w:sz="4" w:space="0" w:color="FF0000"/>
              <w:bottom w:val="single" w:sz="4" w:space="0" w:color="FF0000"/>
              <w:right w:val="nil"/>
            </w:tcBorders>
            <w:shd w:val="clear" w:color="auto" w:fill="auto"/>
            <w:hideMark/>
          </w:tcPr>
          <w:p w:rsidR="00FD51FE" w:rsidRPr="008E18E2" w:rsidRDefault="00FD51FE" w:rsidP="00FE57D6">
            <w:pPr>
              <w:spacing w:after="0" w:line="240" w:lineRule="auto"/>
              <w:rPr>
                <w:rFonts w:eastAsia="Times New Roman" w:cstheme="minorHAnsi"/>
                <w:color w:val="000000"/>
                <w:sz w:val="20"/>
                <w:lang w:eastAsia="en-NZ"/>
              </w:rPr>
            </w:pPr>
          </w:p>
        </w:tc>
      </w:tr>
      <w:tr w:rsidR="00FD51FE" w:rsidRPr="008E18E2" w:rsidTr="00FE57D6">
        <w:tblPrEx>
          <w:shd w:val="clear" w:color="auto" w:fill="auto"/>
        </w:tblPrEx>
        <w:trPr>
          <w:trHeight w:val="270"/>
        </w:trPr>
        <w:tc>
          <w:tcPr>
            <w:tcW w:w="3543" w:type="dxa"/>
            <w:tcBorders>
              <w:top w:val="nil"/>
              <w:left w:val="nil"/>
              <w:bottom w:val="single" w:sz="8" w:space="0" w:color="FF0000"/>
              <w:right w:val="single" w:sz="8" w:space="0" w:color="FF0000"/>
            </w:tcBorders>
            <w:shd w:val="clear" w:color="auto" w:fill="auto"/>
            <w:hideMark/>
          </w:tcPr>
          <w:p w:rsidR="00FD51FE" w:rsidRPr="008E18E2" w:rsidRDefault="00FD51FE" w:rsidP="00FE57D6">
            <w:pPr>
              <w:spacing w:after="0" w:line="240" w:lineRule="auto"/>
              <w:rPr>
                <w:rFonts w:eastAsia="Times New Roman" w:cstheme="minorHAnsi"/>
                <w:color w:val="000000"/>
                <w:sz w:val="20"/>
                <w:lang w:eastAsia="en-NZ"/>
              </w:rPr>
            </w:pPr>
            <w:r w:rsidRPr="008E18E2">
              <w:rPr>
                <w:rFonts w:eastAsia="Times New Roman" w:cstheme="minorHAnsi"/>
                <w:color w:val="000000"/>
                <w:sz w:val="20"/>
                <w:lang w:eastAsia="en-NZ"/>
              </w:rPr>
              <w:t>Total income ($000)</w:t>
            </w:r>
          </w:p>
        </w:tc>
        <w:tc>
          <w:tcPr>
            <w:tcW w:w="1134" w:type="dxa"/>
            <w:tcBorders>
              <w:top w:val="single" w:sz="4" w:space="0" w:color="FF0000"/>
              <w:left w:val="nil"/>
              <w:bottom w:val="single" w:sz="4" w:space="0" w:color="FF0000"/>
              <w:right w:val="single" w:sz="4" w:space="0" w:color="FF0000"/>
            </w:tcBorders>
            <w:shd w:val="clear" w:color="auto" w:fill="auto"/>
            <w:noWrap/>
            <w:hideMark/>
          </w:tcPr>
          <w:p w:rsidR="00FD51FE" w:rsidRPr="008E18E2" w:rsidRDefault="00FD51FE" w:rsidP="00FE57D6">
            <w:pPr>
              <w:jc w:val="right"/>
              <w:rPr>
                <w:rFonts w:cstheme="minorHAnsi"/>
                <w:sz w:val="20"/>
              </w:rPr>
            </w:pPr>
            <w:r w:rsidRPr="008E18E2">
              <w:rPr>
                <w:rFonts w:cstheme="minorHAnsi"/>
                <w:sz w:val="20"/>
              </w:rPr>
              <w:t xml:space="preserve"> $7,274 </w:t>
            </w:r>
          </w:p>
        </w:tc>
        <w:tc>
          <w:tcPr>
            <w:tcW w:w="1148" w:type="dxa"/>
            <w:gridSpan w:val="2"/>
            <w:tcBorders>
              <w:top w:val="single" w:sz="4" w:space="0" w:color="FF0000"/>
              <w:left w:val="single" w:sz="4" w:space="0" w:color="FF0000"/>
              <w:bottom w:val="single" w:sz="4" w:space="0" w:color="FF0000"/>
              <w:right w:val="single" w:sz="4" w:space="0" w:color="FF0000"/>
            </w:tcBorders>
            <w:shd w:val="clear" w:color="auto" w:fill="auto"/>
            <w:noWrap/>
            <w:hideMark/>
          </w:tcPr>
          <w:p w:rsidR="00FD51FE" w:rsidRPr="008E18E2" w:rsidRDefault="00FD51FE" w:rsidP="00FE57D6">
            <w:pPr>
              <w:jc w:val="right"/>
              <w:rPr>
                <w:rFonts w:cstheme="minorHAnsi"/>
                <w:sz w:val="20"/>
              </w:rPr>
            </w:pPr>
            <w:r w:rsidRPr="008E18E2">
              <w:rPr>
                <w:rFonts w:cstheme="minorHAnsi"/>
                <w:sz w:val="20"/>
              </w:rPr>
              <w:t xml:space="preserve"> $8,623 </w:t>
            </w:r>
          </w:p>
        </w:tc>
        <w:tc>
          <w:tcPr>
            <w:tcW w:w="1145" w:type="dxa"/>
            <w:gridSpan w:val="2"/>
            <w:tcBorders>
              <w:top w:val="single" w:sz="4" w:space="0" w:color="FF0000"/>
              <w:left w:val="single" w:sz="4" w:space="0" w:color="FF0000"/>
              <w:bottom w:val="single" w:sz="4" w:space="0" w:color="FF0000"/>
              <w:right w:val="single" w:sz="4" w:space="0" w:color="FF0000"/>
            </w:tcBorders>
            <w:shd w:val="clear" w:color="auto" w:fill="FFFFFF" w:themeFill="background1"/>
            <w:noWrap/>
            <w:hideMark/>
          </w:tcPr>
          <w:p w:rsidR="00FD51FE" w:rsidRPr="008E18E2" w:rsidRDefault="00FD51FE" w:rsidP="00FE57D6">
            <w:pPr>
              <w:jc w:val="right"/>
              <w:rPr>
                <w:rFonts w:cstheme="minorHAnsi"/>
                <w:sz w:val="20"/>
              </w:rPr>
            </w:pPr>
            <w:r w:rsidRPr="008E18E2">
              <w:rPr>
                <w:rFonts w:cstheme="minorHAnsi"/>
                <w:sz w:val="20"/>
              </w:rPr>
              <w:t xml:space="preserve"> $5,304 </w:t>
            </w:r>
          </w:p>
        </w:tc>
        <w:tc>
          <w:tcPr>
            <w:tcW w:w="1041" w:type="dxa"/>
            <w:gridSpan w:val="2"/>
            <w:tcBorders>
              <w:top w:val="single" w:sz="4" w:space="0" w:color="FF0000"/>
              <w:left w:val="single" w:sz="4" w:space="0" w:color="FF0000"/>
              <w:bottom w:val="single" w:sz="4" w:space="0" w:color="FF0000"/>
              <w:right w:val="single" w:sz="4" w:space="0" w:color="FF0000"/>
            </w:tcBorders>
            <w:shd w:val="clear" w:color="000000" w:fill="D9D9D9"/>
            <w:hideMark/>
          </w:tcPr>
          <w:p w:rsidR="00FD51FE" w:rsidRPr="008E18E2" w:rsidRDefault="00FD51FE" w:rsidP="00FE57D6">
            <w:pPr>
              <w:jc w:val="right"/>
              <w:rPr>
                <w:rFonts w:cstheme="minorHAnsi"/>
                <w:sz w:val="20"/>
              </w:rPr>
            </w:pPr>
            <w:r w:rsidRPr="008E18E2">
              <w:rPr>
                <w:rFonts w:cstheme="minorHAnsi"/>
                <w:sz w:val="20"/>
              </w:rPr>
              <w:t>$6,282</w:t>
            </w:r>
          </w:p>
        </w:tc>
        <w:tc>
          <w:tcPr>
            <w:tcW w:w="826" w:type="dxa"/>
            <w:gridSpan w:val="3"/>
            <w:tcBorders>
              <w:top w:val="single" w:sz="4" w:space="0" w:color="FF0000"/>
              <w:left w:val="single" w:sz="4" w:space="0" w:color="FF0000"/>
              <w:bottom w:val="single" w:sz="4" w:space="0" w:color="FF0000"/>
              <w:right w:val="single" w:sz="4" w:space="0" w:color="FF0000"/>
            </w:tcBorders>
            <w:shd w:val="clear" w:color="auto" w:fill="auto"/>
            <w:hideMark/>
          </w:tcPr>
          <w:p w:rsidR="00FD51FE" w:rsidRPr="008E18E2" w:rsidRDefault="00FD51FE" w:rsidP="00FE57D6">
            <w:pPr>
              <w:jc w:val="right"/>
              <w:rPr>
                <w:rFonts w:cstheme="minorHAnsi"/>
                <w:sz w:val="20"/>
              </w:rPr>
            </w:pPr>
            <w:r w:rsidRPr="008E18E2">
              <w:rPr>
                <w:rFonts w:cstheme="minorHAnsi"/>
                <w:sz w:val="20"/>
              </w:rPr>
              <w:t>-16%</w:t>
            </w:r>
          </w:p>
        </w:tc>
        <w:tc>
          <w:tcPr>
            <w:tcW w:w="893" w:type="dxa"/>
            <w:gridSpan w:val="2"/>
            <w:tcBorders>
              <w:top w:val="single" w:sz="4" w:space="0" w:color="FF0000"/>
              <w:left w:val="single" w:sz="4" w:space="0" w:color="FF0000"/>
              <w:bottom w:val="single" w:sz="4" w:space="0" w:color="FF0000"/>
              <w:right w:val="single" w:sz="4" w:space="0" w:color="FF0000"/>
            </w:tcBorders>
            <w:shd w:val="clear" w:color="auto" w:fill="auto"/>
            <w:hideMark/>
          </w:tcPr>
          <w:p w:rsidR="00FD51FE" w:rsidRPr="008E18E2" w:rsidRDefault="00FD51FE" w:rsidP="00FE57D6">
            <w:pPr>
              <w:jc w:val="right"/>
              <w:rPr>
                <w:rFonts w:cstheme="minorHAnsi"/>
                <w:sz w:val="20"/>
              </w:rPr>
            </w:pPr>
            <w:r w:rsidRPr="008E18E2">
              <w:rPr>
                <w:rFonts w:cstheme="minorHAnsi"/>
                <w:sz w:val="20"/>
              </w:rPr>
              <w:t>not met</w:t>
            </w:r>
          </w:p>
        </w:tc>
        <w:tc>
          <w:tcPr>
            <w:tcW w:w="4871" w:type="dxa"/>
            <w:tcBorders>
              <w:top w:val="single" w:sz="4" w:space="0" w:color="FF0000"/>
              <w:left w:val="single" w:sz="4" w:space="0" w:color="FF0000"/>
              <w:bottom w:val="single" w:sz="4" w:space="0" w:color="FF0000"/>
              <w:right w:val="nil"/>
            </w:tcBorders>
            <w:shd w:val="clear" w:color="auto" w:fill="auto"/>
            <w:hideMark/>
          </w:tcPr>
          <w:p w:rsidR="00FD51FE" w:rsidRPr="008E18E2" w:rsidRDefault="00FD51FE" w:rsidP="00FE57D6">
            <w:pPr>
              <w:spacing w:after="0" w:line="240" w:lineRule="auto"/>
              <w:rPr>
                <w:rFonts w:eastAsia="Times New Roman" w:cstheme="minorHAnsi"/>
                <w:color w:val="000000"/>
                <w:sz w:val="20"/>
                <w:lang w:eastAsia="en-NZ"/>
              </w:rPr>
            </w:pPr>
            <w:r w:rsidRPr="008E18E2">
              <w:rPr>
                <w:rFonts w:eastAsia="Times New Roman" w:cstheme="minorHAnsi"/>
                <w:color w:val="000000"/>
                <w:sz w:val="20"/>
                <w:lang w:eastAsia="en-NZ"/>
              </w:rPr>
              <w:t>Total income is down because funding from GWRC for the decommissioning of the trolley-buses has concluded.</w:t>
            </w:r>
          </w:p>
        </w:tc>
      </w:tr>
      <w:tr w:rsidR="00FD51FE" w:rsidRPr="008E18E2" w:rsidTr="00FE57D6">
        <w:tblPrEx>
          <w:shd w:val="clear" w:color="auto" w:fill="auto"/>
        </w:tblPrEx>
        <w:trPr>
          <w:trHeight w:val="270"/>
        </w:trPr>
        <w:tc>
          <w:tcPr>
            <w:tcW w:w="3543" w:type="dxa"/>
            <w:tcBorders>
              <w:top w:val="nil"/>
              <w:left w:val="nil"/>
              <w:bottom w:val="single" w:sz="8" w:space="0" w:color="FF0000"/>
              <w:right w:val="single" w:sz="8" w:space="0" w:color="FF0000"/>
            </w:tcBorders>
            <w:shd w:val="clear" w:color="auto" w:fill="auto"/>
            <w:hideMark/>
          </w:tcPr>
          <w:p w:rsidR="00FD51FE" w:rsidRPr="008E18E2" w:rsidRDefault="00FD51FE" w:rsidP="00FE57D6">
            <w:pPr>
              <w:spacing w:after="0" w:line="240" w:lineRule="auto"/>
              <w:rPr>
                <w:rFonts w:eastAsia="Times New Roman" w:cstheme="minorHAnsi"/>
                <w:color w:val="000000"/>
                <w:sz w:val="20"/>
                <w:lang w:eastAsia="en-NZ"/>
              </w:rPr>
            </w:pPr>
            <w:r w:rsidRPr="008E18E2">
              <w:rPr>
                <w:rFonts w:eastAsia="Times New Roman" w:cstheme="minorHAnsi"/>
                <w:color w:val="000000"/>
                <w:sz w:val="20"/>
                <w:lang w:eastAsia="en-NZ"/>
              </w:rPr>
              <w:t>Fare revenue ($000)</w:t>
            </w:r>
          </w:p>
        </w:tc>
        <w:tc>
          <w:tcPr>
            <w:tcW w:w="1134" w:type="dxa"/>
            <w:tcBorders>
              <w:top w:val="single" w:sz="4" w:space="0" w:color="FF0000"/>
              <w:left w:val="nil"/>
              <w:bottom w:val="single" w:sz="4" w:space="0" w:color="FF0000"/>
              <w:right w:val="single" w:sz="4" w:space="0" w:color="FF0000"/>
            </w:tcBorders>
            <w:shd w:val="clear" w:color="auto" w:fill="auto"/>
            <w:noWrap/>
            <w:hideMark/>
          </w:tcPr>
          <w:p w:rsidR="00FD51FE" w:rsidRPr="008E18E2" w:rsidRDefault="00FD51FE" w:rsidP="00FE57D6">
            <w:pPr>
              <w:jc w:val="right"/>
              <w:rPr>
                <w:rFonts w:cstheme="minorHAnsi"/>
                <w:sz w:val="20"/>
              </w:rPr>
            </w:pPr>
            <w:r w:rsidRPr="008E18E2">
              <w:rPr>
                <w:rFonts w:cstheme="minorHAnsi"/>
                <w:sz w:val="20"/>
              </w:rPr>
              <w:t xml:space="preserve"> $2,481 </w:t>
            </w:r>
          </w:p>
        </w:tc>
        <w:tc>
          <w:tcPr>
            <w:tcW w:w="1148" w:type="dxa"/>
            <w:gridSpan w:val="2"/>
            <w:tcBorders>
              <w:top w:val="single" w:sz="4" w:space="0" w:color="FF0000"/>
              <w:left w:val="single" w:sz="4" w:space="0" w:color="FF0000"/>
              <w:bottom w:val="single" w:sz="4" w:space="0" w:color="FF0000"/>
              <w:right w:val="single" w:sz="4" w:space="0" w:color="FF0000"/>
            </w:tcBorders>
            <w:shd w:val="clear" w:color="auto" w:fill="auto"/>
            <w:noWrap/>
            <w:hideMark/>
          </w:tcPr>
          <w:p w:rsidR="00FD51FE" w:rsidRPr="008E18E2" w:rsidRDefault="00FD51FE" w:rsidP="00FE57D6">
            <w:pPr>
              <w:jc w:val="right"/>
              <w:rPr>
                <w:rFonts w:cstheme="minorHAnsi"/>
                <w:sz w:val="20"/>
              </w:rPr>
            </w:pPr>
            <w:r w:rsidRPr="008E18E2">
              <w:rPr>
                <w:rFonts w:cstheme="minorHAnsi"/>
                <w:sz w:val="20"/>
              </w:rPr>
              <w:t xml:space="preserve"> $3,035 </w:t>
            </w:r>
          </w:p>
        </w:tc>
        <w:tc>
          <w:tcPr>
            <w:tcW w:w="1145" w:type="dxa"/>
            <w:gridSpan w:val="2"/>
            <w:tcBorders>
              <w:top w:val="single" w:sz="4" w:space="0" w:color="FF0000"/>
              <w:left w:val="single" w:sz="4" w:space="0" w:color="FF0000"/>
              <w:bottom w:val="single" w:sz="4" w:space="0" w:color="FF0000"/>
              <w:right w:val="single" w:sz="4" w:space="0" w:color="FF0000"/>
            </w:tcBorders>
            <w:shd w:val="clear" w:color="auto" w:fill="FFFFFF" w:themeFill="background1"/>
            <w:noWrap/>
            <w:hideMark/>
          </w:tcPr>
          <w:p w:rsidR="00FD51FE" w:rsidRPr="008E18E2" w:rsidRDefault="00FD51FE" w:rsidP="00FE57D6">
            <w:pPr>
              <w:jc w:val="right"/>
              <w:rPr>
                <w:rFonts w:cstheme="minorHAnsi"/>
                <w:sz w:val="20"/>
              </w:rPr>
            </w:pPr>
            <w:r w:rsidRPr="008E18E2">
              <w:rPr>
                <w:rFonts w:cstheme="minorHAnsi"/>
                <w:sz w:val="20"/>
              </w:rPr>
              <w:t xml:space="preserve"> $3,582 </w:t>
            </w:r>
          </w:p>
        </w:tc>
        <w:tc>
          <w:tcPr>
            <w:tcW w:w="1041" w:type="dxa"/>
            <w:gridSpan w:val="2"/>
            <w:tcBorders>
              <w:top w:val="single" w:sz="4" w:space="0" w:color="FF0000"/>
              <w:left w:val="single" w:sz="4" w:space="0" w:color="FF0000"/>
              <w:bottom w:val="single" w:sz="4" w:space="0" w:color="FF0000"/>
              <w:right w:val="single" w:sz="4" w:space="0" w:color="FF0000"/>
            </w:tcBorders>
            <w:shd w:val="clear" w:color="000000" w:fill="D9D9D9"/>
            <w:hideMark/>
          </w:tcPr>
          <w:p w:rsidR="00FD51FE" w:rsidRPr="008E18E2" w:rsidRDefault="00FD51FE" w:rsidP="00FE57D6">
            <w:pPr>
              <w:jc w:val="right"/>
              <w:rPr>
                <w:rFonts w:cstheme="minorHAnsi"/>
                <w:sz w:val="20"/>
              </w:rPr>
            </w:pPr>
            <w:r w:rsidRPr="008E18E2">
              <w:rPr>
                <w:rFonts w:cstheme="minorHAnsi"/>
                <w:sz w:val="20"/>
              </w:rPr>
              <w:t>$3,521</w:t>
            </w:r>
            <w:r w:rsidR="003E3342">
              <w:rPr>
                <w:rFonts w:cstheme="minorHAnsi"/>
                <w:sz w:val="20"/>
              </w:rPr>
              <w:t>*</w:t>
            </w:r>
          </w:p>
        </w:tc>
        <w:tc>
          <w:tcPr>
            <w:tcW w:w="826" w:type="dxa"/>
            <w:gridSpan w:val="3"/>
            <w:tcBorders>
              <w:top w:val="single" w:sz="4" w:space="0" w:color="FF0000"/>
              <w:left w:val="single" w:sz="4" w:space="0" w:color="FF0000"/>
              <w:bottom w:val="single" w:sz="4" w:space="0" w:color="FF0000"/>
              <w:right w:val="single" w:sz="4" w:space="0" w:color="FF0000"/>
            </w:tcBorders>
            <w:shd w:val="clear" w:color="auto" w:fill="auto"/>
            <w:hideMark/>
          </w:tcPr>
          <w:p w:rsidR="00FD51FE" w:rsidRPr="008E18E2" w:rsidRDefault="00FD51FE" w:rsidP="00FE57D6">
            <w:pPr>
              <w:jc w:val="right"/>
              <w:rPr>
                <w:rFonts w:cstheme="minorHAnsi"/>
                <w:sz w:val="20"/>
              </w:rPr>
            </w:pPr>
            <w:r w:rsidRPr="008E18E2">
              <w:rPr>
                <w:rFonts w:cstheme="minorHAnsi"/>
                <w:sz w:val="20"/>
              </w:rPr>
              <w:t>2%</w:t>
            </w:r>
          </w:p>
        </w:tc>
        <w:tc>
          <w:tcPr>
            <w:tcW w:w="893" w:type="dxa"/>
            <w:gridSpan w:val="2"/>
            <w:tcBorders>
              <w:top w:val="single" w:sz="4" w:space="0" w:color="FF0000"/>
              <w:left w:val="single" w:sz="4" w:space="0" w:color="FF0000"/>
              <w:bottom w:val="single" w:sz="4" w:space="0" w:color="FF0000"/>
              <w:right w:val="single" w:sz="4" w:space="0" w:color="FF0000"/>
            </w:tcBorders>
            <w:shd w:val="clear" w:color="auto" w:fill="auto"/>
            <w:hideMark/>
          </w:tcPr>
          <w:p w:rsidR="00FD51FE" w:rsidRPr="008E18E2" w:rsidRDefault="00060BB3" w:rsidP="00060BB3">
            <w:pPr>
              <w:jc w:val="right"/>
              <w:rPr>
                <w:rFonts w:cstheme="minorHAnsi"/>
                <w:sz w:val="20"/>
              </w:rPr>
            </w:pPr>
            <w:r>
              <w:rPr>
                <w:rFonts w:cstheme="minorHAnsi"/>
                <w:sz w:val="20"/>
                <w:szCs w:val="20"/>
              </w:rPr>
              <w:t>Within 10%</w:t>
            </w:r>
          </w:p>
        </w:tc>
        <w:tc>
          <w:tcPr>
            <w:tcW w:w="4871" w:type="dxa"/>
            <w:tcBorders>
              <w:top w:val="single" w:sz="4" w:space="0" w:color="FF0000"/>
              <w:left w:val="single" w:sz="4" w:space="0" w:color="FF0000"/>
              <w:bottom w:val="single" w:sz="4" w:space="0" w:color="FF0000"/>
              <w:right w:val="nil"/>
            </w:tcBorders>
            <w:shd w:val="clear" w:color="auto" w:fill="auto"/>
          </w:tcPr>
          <w:p w:rsidR="00FD51FE" w:rsidRPr="008E18E2" w:rsidRDefault="00FD51FE" w:rsidP="00FE57D6">
            <w:pPr>
              <w:spacing w:after="0" w:line="240" w:lineRule="auto"/>
              <w:rPr>
                <w:rFonts w:eastAsia="Times New Roman" w:cstheme="minorHAnsi"/>
                <w:color w:val="000000"/>
                <w:sz w:val="20"/>
                <w:lang w:eastAsia="en-NZ"/>
              </w:rPr>
            </w:pPr>
          </w:p>
        </w:tc>
      </w:tr>
      <w:tr w:rsidR="00FD51FE" w:rsidRPr="008E18E2" w:rsidTr="00FE57D6">
        <w:tblPrEx>
          <w:shd w:val="clear" w:color="auto" w:fill="auto"/>
        </w:tblPrEx>
        <w:trPr>
          <w:trHeight w:val="270"/>
        </w:trPr>
        <w:tc>
          <w:tcPr>
            <w:tcW w:w="3543" w:type="dxa"/>
            <w:tcBorders>
              <w:top w:val="nil"/>
              <w:left w:val="nil"/>
              <w:bottom w:val="single" w:sz="8" w:space="0" w:color="FF0000"/>
              <w:right w:val="single" w:sz="8" w:space="0" w:color="FF0000"/>
            </w:tcBorders>
            <w:shd w:val="clear" w:color="auto" w:fill="auto"/>
            <w:hideMark/>
          </w:tcPr>
          <w:p w:rsidR="00FD51FE" w:rsidRPr="008E18E2" w:rsidRDefault="00FD51FE" w:rsidP="00FE57D6">
            <w:pPr>
              <w:spacing w:after="0" w:line="240" w:lineRule="auto"/>
              <w:rPr>
                <w:rFonts w:eastAsia="Times New Roman" w:cstheme="minorHAnsi"/>
                <w:color w:val="000000"/>
                <w:sz w:val="20"/>
                <w:lang w:eastAsia="en-NZ"/>
              </w:rPr>
            </w:pPr>
            <w:r w:rsidRPr="008E18E2">
              <w:rPr>
                <w:rFonts w:eastAsia="Times New Roman" w:cstheme="minorHAnsi"/>
                <w:color w:val="000000"/>
                <w:sz w:val="20"/>
                <w:lang w:eastAsia="en-NZ"/>
              </w:rPr>
              <w:t>Cable Car reliability (%)</w:t>
            </w:r>
          </w:p>
        </w:tc>
        <w:tc>
          <w:tcPr>
            <w:tcW w:w="1134" w:type="dxa"/>
            <w:tcBorders>
              <w:top w:val="single" w:sz="4" w:space="0" w:color="FF0000"/>
              <w:left w:val="nil"/>
              <w:bottom w:val="single" w:sz="4" w:space="0" w:color="FF0000"/>
              <w:right w:val="single" w:sz="4" w:space="0" w:color="FF0000"/>
            </w:tcBorders>
            <w:shd w:val="clear" w:color="auto" w:fill="auto"/>
            <w:noWrap/>
            <w:hideMark/>
          </w:tcPr>
          <w:p w:rsidR="00FD51FE" w:rsidRPr="008E18E2" w:rsidRDefault="00FD51FE" w:rsidP="00FE57D6">
            <w:pPr>
              <w:spacing w:after="0" w:line="240" w:lineRule="auto"/>
              <w:jc w:val="right"/>
              <w:rPr>
                <w:rFonts w:cstheme="minorHAnsi"/>
                <w:color w:val="000000"/>
                <w:sz w:val="20"/>
                <w:szCs w:val="20"/>
              </w:rPr>
            </w:pPr>
            <w:r w:rsidRPr="008E18E2">
              <w:rPr>
                <w:rFonts w:cstheme="minorHAnsi"/>
                <w:color w:val="000000"/>
                <w:sz w:val="20"/>
                <w:szCs w:val="20"/>
              </w:rPr>
              <w:t>&gt;99%</w:t>
            </w:r>
          </w:p>
        </w:tc>
        <w:tc>
          <w:tcPr>
            <w:tcW w:w="1148" w:type="dxa"/>
            <w:gridSpan w:val="2"/>
            <w:tcBorders>
              <w:top w:val="single" w:sz="4" w:space="0" w:color="FF0000"/>
              <w:left w:val="single" w:sz="4" w:space="0" w:color="FF0000"/>
              <w:bottom w:val="single" w:sz="4" w:space="0" w:color="FF0000"/>
              <w:right w:val="single" w:sz="4" w:space="0" w:color="FF0000"/>
            </w:tcBorders>
            <w:shd w:val="clear" w:color="auto" w:fill="auto"/>
            <w:noWrap/>
            <w:hideMark/>
          </w:tcPr>
          <w:p w:rsidR="00FD51FE" w:rsidRPr="008E18E2" w:rsidRDefault="00FD51FE" w:rsidP="00FE57D6">
            <w:pPr>
              <w:spacing w:after="0" w:line="240" w:lineRule="auto"/>
              <w:jc w:val="right"/>
              <w:rPr>
                <w:rFonts w:cstheme="minorHAnsi"/>
                <w:color w:val="000000"/>
                <w:sz w:val="20"/>
                <w:szCs w:val="20"/>
              </w:rPr>
            </w:pPr>
            <w:r w:rsidRPr="008E18E2">
              <w:rPr>
                <w:rFonts w:cstheme="minorHAnsi"/>
                <w:color w:val="000000"/>
                <w:sz w:val="20"/>
                <w:szCs w:val="20"/>
              </w:rPr>
              <w:t>99.83%</w:t>
            </w:r>
          </w:p>
        </w:tc>
        <w:tc>
          <w:tcPr>
            <w:tcW w:w="1145" w:type="dxa"/>
            <w:gridSpan w:val="2"/>
            <w:tcBorders>
              <w:top w:val="single" w:sz="4" w:space="0" w:color="FF0000"/>
              <w:left w:val="single" w:sz="4" w:space="0" w:color="FF0000"/>
              <w:bottom w:val="single" w:sz="4" w:space="0" w:color="FF0000"/>
              <w:right w:val="single" w:sz="4" w:space="0" w:color="FF0000"/>
            </w:tcBorders>
            <w:shd w:val="clear" w:color="auto" w:fill="FFFFFF" w:themeFill="background1"/>
            <w:noWrap/>
            <w:hideMark/>
          </w:tcPr>
          <w:p w:rsidR="00FD51FE" w:rsidRPr="008E18E2" w:rsidRDefault="00FD51FE" w:rsidP="00FE57D6">
            <w:pPr>
              <w:spacing w:after="0" w:line="240" w:lineRule="auto"/>
              <w:jc w:val="right"/>
              <w:rPr>
                <w:rFonts w:cstheme="minorHAnsi"/>
                <w:color w:val="000000"/>
                <w:sz w:val="20"/>
                <w:szCs w:val="20"/>
              </w:rPr>
            </w:pPr>
            <w:r w:rsidRPr="008E18E2">
              <w:rPr>
                <w:rFonts w:cstheme="minorHAnsi"/>
                <w:color w:val="000000"/>
                <w:sz w:val="20"/>
                <w:szCs w:val="20"/>
              </w:rPr>
              <w:t>89.53%</w:t>
            </w:r>
          </w:p>
        </w:tc>
        <w:tc>
          <w:tcPr>
            <w:tcW w:w="1041" w:type="dxa"/>
            <w:gridSpan w:val="2"/>
            <w:tcBorders>
              <w:top w:val="single" w:sz="4" w:space="0" w:color="FF0000"/>
              <w:left w:val="single" w:sz="4" w:space="0" w:color="FF0000"/>
              <w:bottom w:val="single" w:sz="4" w:space="0" w:color="FF0000"/>
              <w:right w:val="single" w:sz="4" w:space="0" w:color="FF0000"/>
            </w:tcBorders>
            <w:shd w:val="clear" w:color="000000" w:fill="D9D9D9"/>
            <w:hideMark/>
          </w:tcPr>
          <w:p w:rsidR="00FD51FE" w:rsidRPr="008E18E2" w:rsidRDefault="00BF7CB9" w:rsidP="00FE57D6">
            <w:pPr>
              <w:spacing w:after="0" w:line="240" w:lineRule="auto"/>
              <w:jc w:val="right"/>
              <w:rPr>
                <w:rFonts w:cstheme="minorHAnsi"/>
                <w:color w:val="000000"/>
                <w:sz w:val="20"/>
                <w:szCs w:val="20"/>
              </w:rPr>
            </w:pPr>
            <w:r>
              <w:rPr>
                <w:rFonts w:cstheme="minorHAnsi"/>
                <w:color w:val="000000"/>
                <w:sz w:val="20"/>
                <w:szCs w:val="20"/>
              </w:rPr>
              <w:t>&gt;</w:t>
            </w:r>
            <w:r w:rsidR="00FD51FE" w:rsidRPr="008E18E2">
              <w:rPr>
                <w:rFonts w:cstheme="minorHAnsi"/>
                <w:color w:val="000000"/>
                <w:sz w:val="20"/>
                <w:szCs w:val="20"/>
              </w:rPr>
              <w:t>99%</w:t>
            </w:r>
          </w:p>
        </w:tc>
        <w:tc>
          <w:tcPr>
            <w:tcW w:w="826" w:type="dxa"/>
            <w:gridSpan w:val="3"/>
            <w:tcBorders>
              <w:top w:val="single" w:sz="4" w:space="0" w:color="FF0000"/>
              <w:left w:val="single" w:sz="4" w:space="0" w:color="FF0000"/>
              <w:bottom w:val="single" w:sz="4" w:space="0" w:color="FF0000"/>
              <w:right w:val="single" w:sz="4" w:space="0" w:color="FF0000"/>
            </w:tcBorders>
            <w:shd w:val="clear" w:color="auto" w:fill="auto"/>
            <w:hideMark/>
          </w:tcPr>
          <w:p w:rsidR="00FD51FE" w:rsidRPr="008E18E2" w:rsidRDefault="00FD51FE" w:rsidP="00FE57D6">
            <w:pPr>
              <w:spacing w:after="0" w:line="240" w:lineRule="auto"/>
              <w:jc w:val="right"/>
              <w:rPr>
                <w:rFonts w:cstheme="minorHAnsi"/>
                <w:color w:val="000000"/>
                <w:sz w:val="20"/>
                <w:szCs w:val="20"/>
              </w:rPr>
            </w:pPr>
            <w:r w:rsidRPr="008E18E2">
              <w:rPr>
                <w:rFonts w:cstheme="minorHAnsi"/>
                <w:color w:val="000000"/>
                <w:sz w:val="20"/>
                <w:szCs w:val="20"/>
              </w:rPr>
              <w:t>-10%</w:t>
            </w:r>
          </w:p>
        </w:tc>
        <w:tc>
          <w:tcPr>
            <w:tcW w:w="893" w:type="dxa"/>
            <w:gridSpan w:val="2"/>
            <w:tcBorders>
              <w:top w:val="single" w:sz="4" w:space="0" w:color="FF0000"/>
              <w:left w:val="single" w:sz="4" w:space="0" w:color="FF0000"/>
              <w:bottom w:val="single" w:sz="4" w:space="0" w:color="FF0000"/>
              <w:right w:val="single" w:sz="4" w:space="0" w:color="FF0000"/>
            </w:tcBorders>
            <w:shd w:val="clear" w:color="auto" w:fill="auto"/>
            <w:hideMark/>
          </w:tcPr>
          <w:p w:rsidR="00FD51FE" w:rsidRPr="008E18E2" w:rsidRDefault="00060BB3" w:rsidP="00FE57D6">
            <w:pPr>
              <w:spacing w:after="0" w:line="240" w:lineRule="auto"/>
              <w:jc w:val="right"/>
              <w:rPr>
                <w:rFonts w:cstheme="minorHAnsi"/>
                <w:color w:val="000000"/>
                <w:sz w:val="20"/>
                <w:szCs w:val="20"/>
              </w:rPr>
            </w:pPr>
            <w:r>
              <w:rPr>
                <w:rFonts w:cstheme="minorHAnsi"/>
                <w:sz w:val="20"/>
                <w:szCs w:val="20"/>
              </w:rPr>
              <w:t>Within 10%</w:t>
            </w:r>
          </w:p>
        </w:tc>
        <w:tc>
          <w:tcPr>
            <w:tcW w:w="4871" w:type="dxa"/>
            <w:tcBorders>
              <w:top w:val="single" w:sz="4" w:space="0" w:color="FF0000"/>
              <w:left w:val="single" w:sz="4" w:space="0" w:color="FF0000"/>
              <w:bottom w:val="single" w:sz="4" w:space="0" w:color="FF0000"/>
              <w:right w:val="nil"/>
            </w:tcBorders>
            <w:shd w:val="clear" w:color="auto" w:fill="auto"/>
            <w:hideMark/>
          </w:tcPr>
          <w:p w:rsidR="00FD51FE" w:rsidRPr="008E18E2" w:rsidRDefault="00FD51FE" w:rsidP="00FE57D6">
            <w:pPr>
              <w:spacing w:after="0" w:line="240" w:lineRule="auto"/>
              <w:jc w:val="right"/>
              <w:rPr>
                <w:rFonts w:eastAsia="Times New Roman" w:cstheme="minorHAnsi"/>
                <w:color w:val="000000"/>
                <w:sz w:val="20"/>
                <w:lang w:eastAsia="en-NZ"/>
              </w:rPr>
            </w:pPr>
          </w:p>
        </w:tc>
      </w:tr>
      <w:tr w:rsidR="00FD51FE" w:rsidRPr="008E18E2" w:rsidTr="00FE57D6">
        <w:tblPrEx>
          <w:shd w:val="clear" w:color="auto" w:fill="auto"/>
        </w:tblPrEx>
        <w:trPr>
          <w:trHeight w:val="270"/>
        </w:trPr>
        <w:tc>
          <w:tcPr>
            <w:tcW w:w="3543" w:type="dxa"/>
            <w:tcBorders>
              <w:top w:val="nil"/>
              <w:left w:val="nil"/>
              <w:bottom w:val="single" w:sz="8" w:space="0" w:color="FF0000"/>
              <w:right w:val="single" w:sz="8" w:space="0" w:color="FF0000"/>
            </w:tcBorders>
            <w:shd w:val="clear" w:color="auto" w:fill="auto"/>
          </w:tcPr>
          <w:p w:rsidR="00FD51FE" w:rsidRPr="008E18E2" w:rsidRDefault="00FD51FE" w:rsidP="00FE57D6">
            <w:pPr>
              <w:spacing w:after="0" w:line="240" w:lineRule="auto"/>
              <w:rPr>
                <w:rFonts w:eastAsia="Times New Roman" w:cstheme="minorHAnsi"/>
                <w:color w:val="000000"/>
                <w:sz w:val="20"/>
                <w:lang w:eastAsia="en-NZ"/>
              </w:rPr>
            </w:pPr>
            <w:r w:rsidRPr="0089278D">
              <w:rPr>
                <w:rFonts w:eastAsia="Times New Roman" w:cstheme="minorHAnsi"/>
                <w:color w:val="000000"/>
                <w:sz w:val="20"/>
                <w:lang w:eastAsia="en-NZ"/>
              </w:rPr>
              <w:t>Non-Council revenue earned ($)</w:t>
            </w:r>
          </w:p>
        </w:tc>
        <w:tc>
          <w:tcPr>
            <w:tcW w:w="1134" w:type="dxa"/>
            <w:tcBorders>
              <w:top w:val="single" w:sz="4" w:space="0" w:color="FF0000"/>
              <w:left w:val="nil"/>
              <w:bottom w:val="single" w:sz="4" w:space="0" w:color="FF0000"/>
              <w:right w:val="single" w:sz="4" w:space="0" w:color="FF0000"/>
            </w:tcBorders>
            <w:shd w:val="clear" w:color="auto" w:fill="auto"/>
            <w:noWrap/>
          </w:tcPr>
          <w:p w:rsidR="00FD51FE" w:rsidRPr="00BF7CB9" w:rsidRDefault="00FD51FE" w:rsidP="00FE57D6">
            <w:pPr>
              <w:spacing w:after="0" w:line="240" w:lineRule="auto"/>
              <w:jc w:val="right"/>
              <w:rPr>
                <w:rFonts w:cstheme="minorHAnsi"/>
                <w:color w:val="000000"/>
                <w:sz w:val="20"/>
                <w:szCs w:val="20"/>
              </w:rPr>
            </w:pPr>
            <w:r w:rsidRPr="0089278D">
              <w:rPr>
                <w:sz w:val="20"/>
                <w:szCs w:val="20"/>
              </w:rPr>
              <w:t>$6,831</w:t>
            </w:r>
          </w:p>
        </w:tc>
        <w:tc>
          <w:tcPr>
            <w:tcW w:w="1148" w:type="dxa"/>
            <w:gridSpan w:val="2"/>
            <w:tcBorders>
              <w:top w:val="single" w:sz="4" w:space="0" w:color="FF0000"/>
              <w:left w:val="single" w:sz="4" w:space="0" w:color="FF0000"/>
              <w:bottom w:val="single" w:sz="4" w:space="0" w:color="FF0000"/>
              <w:right w:val="single" w:sz="4" w:space="0" w:color="FF0000"/>
            </w:tcBorders>
            <w:shd w:val="clear" w:color="auto" w:fill="auto"/>
            <w:noWrap/>
          </w:tcPr>
          <w:p w:rsidR="00FD51FE" w:rsidRPr="00BF7CB9" w:rsidRDefault="00FD51FE" w:rsidP="00FE57D6">
            <w:pPr>
              <w:spacing w:after="0" w:line="240" w:lineRule="auto"/>
              <w:jc w:val="right"/>
              <w:rPr>
                <w:rFonts w:cstheme="minorHAnsi"/>
                <w:color w:val="000000"/>
                <w:sz w:val="20"/>
                <w:szCs w:val="20"/>
              </w:rPr>
            </w:pPr>
            <w:r w:rsidRPr="0089278D">
              <w:rPr>
                <w:sz w:val="20"/>
                <w:szCs w:val="20"/>
              </w:rPr>
              <w:t>$4,445</w:t>
            </w:r>
          </w:p>
        </w:tc>
        <w:tc>
          <w:tcPr>
            <w:tcW w:w="1145" w:type="dxa"/>
            <w:gridSpan w:val="2"/>
            <w:tcBorders>
              <w:top w:val="single" w:sz="4" w:space="0" w:color="FF0000"/>
              <w:left w:val="single" w:sz="4" w:space="0" w:color="FF0000"/>
              <w:bottom w:val="single" w:sz="4" w:space="0" w:color="FF0000"/>
              <w:right w:val="single" w:sz="4" w:space="0" w:color="FF0000"/>
            </w:tcBorders>
            <w:shd w:val="clear" w:color="auto" w:fill="FFFFFF" w:themeFill="background1"/>
            <w:noWrap/>
          </w:tcPr>
          <w:p w:rsidR="00FD51FE" w:rsidRPr="00BF7CB9" w:rsidRDefault="00FD51FE" w:rsidP="00FE57D6">
            <w:pPr>
              <w:spacing w:after="0" w:line="240" w:lineRule="auto"/>
              <w:jc w:val="right"/>
              <w:rPr>
                <w:rFonts w:cstheme="minorHAnsi"/>
                <w:color w:val="000000"/>
                <w:sz w:val="20"/>
                <w:szCs w:val="20"/>
              </w:rPr>
            </w:pPr>
            <w:r w:rsidRPr="0089278D">
              <w:rPr>
                <w:sz w:val="20"/>
                <w:szCs w:val="20"/>
              </w:rPr>
              <w:t xml:space="preserve"> $4,115 </w:t>
            </w:r>
          </w:p>
        </w:tc>
        <w:tc>
          <w:tcPr>
            <w:tcW w:w="1041" w:type="dxa"/>
            <w:gridSpan w:val="2"/>
            <w:tcBorders>
              <w:top w:val="single" w:sz="4" w:space="0" w:color="FF0000"/>
              <w:left w:val="single" w:sz="4" w:space="0" w:color="FF0000"/>
              <w:bottom w:val="single" w:sz="4" w:space="0" w:color="FF0000"/>
              <w:right w:val="single" w:sz="4" w:space="0" w:color="FF0000"/>
            </w:tcBorders>
            <w:shd w:val="clear" w:color="000000" w:fill="D9D9D9"/>
          </w:tcPr>
          <w:p w:rsidR="00FD51FE" w:rsidRDefault="00BC1630" w:rsidP="00FE57D6">
            <w:pPr>
              <w:spacing w:after="0" w:line="240" w:lineRule="auto"/>
              <w:jc w:val="right"/>
              <w:rPr>
                <w:sz w:val="20"/>
                <w:szCs w:val="20"/>
              </w:rPr>
            </w:pPr>
            <w:r>
              <w:rPr>
                <w:sz w:val="20"/>
                <w:szCs w:val="20"/>
              </w:rPr>
              <w:t>$3,576</w:t>
            </w:r>
          </w:p>
          <w:p w:rsidR="00BC1630" w:rsidRPr="00BF7CB9" w:rsidRDefault="00BC1630" w:rsidP="00FE57D6">
            <w:pPr>
              <w:spacing w:after="0" w:line="240" w:lineRule="auto"/>
              <w:jc w:val="right"/>
              <w:rPr>
                <w:rFonts w:cstheme="minorHAnsi"/>
                <w:color w:val="000000"/>
                <w:sz w:val="20"/>
                <w:szCs w:val="20"/>
              </w:rPr>
            </w:pPr>
          </w:p>
        </w:tc>
        <w:tc>
          <w:tcPr>
            <w:tcW w:w="826" w:type="dxa"/>
            <w:gridSpan w:val="3"/>
            <w:tcBorders>
              <w:top w:val="single" w:sz="4" w:space="0" w:color="FF0000"/>
              <w:left w:val="single" w:sz="4" w:space="0" w:color="FF0000"/>
              <w:bottom w:val="single" w:sz="4" w:space="0" w:color="FF0000"/>
              <w:right w:val="single" w:sz="4" w:space="0" w:color="FF0000"/>
            </w:tcBorders>
            <w:shd w:val="clear" w:color="auto" w:fill="auto"/>
          </w:tcPr>
          <w:p w:rsidR="00FD51FE" w:rsidRPr="00717089" w:rsidRDefault="00BC1630" w:rsidP="00FE57D6">
            <w:pPr>
              <w:spacing w:after="0" w:line="240" w:lineRule="auto"/>
              <w:jc w:val="right"/>
              <w:rPr>
                <w:rFonts w:cstheme="minorHAnsi"/>
                <w:color w:val="000000"/>
                <w:sz w:val="20"/>
                <w:szCs w:val="20"/>
              </w:rPr>
            </w:pPr>
            <w:r>
              <w:rPr>
                <w:rFonts w:cstheme="minorHAnsi"/>
                <w:color w:val="000000"/>
                <w:sz w:val="20"/>
                <w:szCs w:val="20"/>
              </w:rPr>
              <w:t>15%</w:t>
            </w:r>
          </w:p>
        </w:tc>
        <w:tc>
          <w:tcPr>
            <w:tcW w:w="893" w:type="dxa"/>
            <w:gridSpan w:val="2"/>
            <w:tcBorders>
              <w:top w:val="single" w:sz="4" w:space="0" w:color="FF0000"/>
              <w:left w:val="single" w:sz="4" w:space="0" w:color="FF0000"/>
              <w:bottom w:val="single" w:sz="4" w:space="0" w:color="FF0000"/>
              <w:right w:val="single" w:sz="4" w:space="0" w:color="FF0000"/>
            </w:tcBorders>
            <w:shd w:val="clear" w:color="auto" w:fill="auto"/>
          </w:tcPr>
          <w:p w:rsidR="00FD51FE" w:rsidRPr="00BF7CB9" w:rsidRDefault="00BC1630" w:rsidP="00FE57D6">
            <w:pPr>
              <w:spacing w:after="0" w:line="240" w:lineRule="auto"/>
              <w:jc w:val="right"/>
              <w:rPr>
                <w:rFonts w:cstheme="minorHAnsi"/>
                <w:color w:val="000000"/>
                <w:sz w:val="20"/>
                <w:szCs w:val="20"/>
              </w:rPr>
            </w:pPr>
            <w:r>
              <w:rPr>
                <w:sz w:val="20"/>
                <w:szCs w:val="20"/>
              </w:rPr>
              <w:t>Exceeded</w:t>
            </w:r>
          </w:p>
        </w:tc>
        <w:tc>
          <w:tcPr>
            <w:tcW w:w="4871" w:type="dxa"/>
            <w:tcBorders>
              <w:top w:val="single" w:sz="4" w:space="0" w:color="FF0000"/>
              <w:left w:val="single" w:sz="4" w:space="0" w:color="FF0000"/>
              <w:bottom w:val="single" w:sz="4" w:space="0" w:color="FF0000"/>
              <w:right w:val="nil"/>
            </w:tcBorders>
            <w:shd w:val="clear" w:color="auto" w:fill="auto"/>
          </w:tcPr>
          <w:p w:rsidR="00FD51FE" w:rsidRPr="008E18E2" w:rsidRDefault="00FD51FE" w:rsidP="0028798A">
            <w:pPr>
              <w:spacing w:after="0" w:line="240" w:lineRule="auto"/>
              <w:rPr>
                <w:rFonts w:eastAsia="Times New Roman" w:cstheme="minorHAnsi"/>
                <w:color w:val="000000"/>
                <w:sz w:val="20"/>
                <w:lang w:eastAsia="en-NZ"/>
              </w:rPr>
            </w:pPr>
            <w:r w:rsidRPr="00A73F17">
              <w:rPr>
                <w:rFonts w:eastAsia="Times New Roman" w:cstheme="minorHAnsi"/>
                <w:color w:val="000000"/>
                <w:sz w:val="20"/>
                <w:lang w:eastAsia="en-NZ"/>
              </w:rPr>
              <w:t>The grant revenue is that from GWRC for the decommissioning project</w:t>
            </w:r>
          </w:p>
        </w:tc>
      </w:tr>
      <w:tr w:rsidR="00FD51FE" w:rsidRPr="008E18E2" w:rsidTr="00FE57D6">
        <w:tblPrEx>
          <w:shd w:val="clear" w:color="auto" w:fill="auto"/>
        </w:tblPrEx>
        <w:trPr>
          <w:trHeight w:val="270"/>
        </w:trPr>
        <w:tc>
          <w:tcPr>
            <w:tcW w:w="3543" w:type="dxa"/>
            <w:tcBorders>
              <w:top w:val="nil"/>
              <w:left w:val="nil"/>
              <w:bottom w:val="single" w:sz="8" w:space="0" w:color="FF0000"/>
              <w:right w:val="single" w:sz="8" w:space="0" w:color="FF0000"/>
            </w:tcBorders>
            <w:shd w:val="clear" w:color="auto" w:fill="auto"/>
          </w:tcPr>
          <w:p w:rsidR="00FD51FE" w:rsidRPr="008E18E2" w:rsidRDefault="00FD51FE" w:rsidP="00FE57D6">
            <w:pPr>
              <w:spacing w:after="0" w:line="240" w:lineRule="auto"/>
              <w:rPr>
                <w:rFonts w:eastAsia="Times New Roman" w:cstheme="minorHAnsi"/>
                <w:color w:val="000000"/>
                <w:sz w:val="20"/>
                <w:lang w:eastAsia="en-NZ"/>
              </w:rPr>
            </w:pPr>
            <w:r w:rsidRPr="0089278D">
              <w:rPr>
                <w:rFonts w:eastAsia="Times New Roman" w:cstheme="minorHAnsi"/>
                <w:color w:val="000000"/>
                <w:sz w:val="20"/>
                <w:lang w:eastAsia="en-NZ"/>
              </w:rPr>
              <w:t>Council capital grant ($)</w:t>
            </w:r>
          </w:p>
        </w:tc>
        <w:tc>
          <w:tcPr>
            <w:tcW w:w="1134" w:type="dxa"/>
            <w:tcBorders>
              <w:top w:val="single" w:sz="4" w:space="0" w:color="FF0000"/>
              <w:left w:val="nil"/>
              <w:right w:val="single" w:sz="4" w:space="0" w:color="FF0000"/>
            </w:tcBorders>
            <w:shd w:val="clear" w:color="auto" w:fill="auto"/>
            <w:noWrap/>
          </w:tcPr>
          <w:p w:rsidR="00FD51FE" w:rsidRPr="00BF7CB9" w:rsidRDefault="00FD51FE" w:rsidP="00FE57D6">
            <w:pPr>
              <w:spacing w:after="0" w:line="240" w:lineRule="auto"/>
              <w:jc w:val="right"/>
              <w:rPr>
                <w:rFonts w:cstheme="minorHAnsi"/>
                <w:color w:val="000000"/>
                <w:sz w:val="20"/>
                <w:szCs w:val="20"/>
              </w:rPr>
            </w:pPr>
            <w:r w:rsidRPr="0089278D">
              <w:rPr>
                <w:sz w:val="20"/>
                <w:szCs w:val="20"/>
              </w:rPr>
              <w:t>$443</w:t>
            </w:r>
          </w:p>
        </w:tc>
        <w:tc>
          <w:tcPr>
            <w:tcW w:w="1148" w:type="dxa"/>
            <w:gridSpan w:val="2"/>
            <w:tcBorders>
              <w:top w:val="single" w:sz="4" w:space="0" w:color="FF0000"/>
              <w:left w:val="single" w:sz="4" w:space="0" w:color="FF0000"/>
              <w:right w:val="single" w:sz="4" w:space="0" w:color="FF0000"/>
            </w:tcBorders>
            <w:shd w:val="clear" w:color="auto" w:fill="auto"/>
            <w:noWrap/>
          </w:tcPr>
          <w:p w:rsidR="00FD51FE" w:rsidRPr="00BF7CB9" w:rsidRDefault="00FD51FE" w:rsidP="00FE57D6">
            <w:pPr>
              <w:spacing w:after="0" w:line="240" w:lineRule="auto"/>
              <w:jc w:val="right"/>
              <w:rPr>
                <w:rFonts w:cstheme="minorHAnsi"/>
                <w:color w:val="000000"/>
                <w:sz w:val="20"/>
                <w:szCs w:val="20"/>
              </w:rPr>
            </w:pPr>
            <w:r w:rsidRPr="0089278D">
              <w:rPr>
                <w:sz w:val="20"/>
                <w:szCs w:val="20"/>
              </w:rPr>
              <w:t>$4,178</w:t>
            </w:r>
          </w:p>
        </w:tc>
        <w:tc>
          <w:tcPr>
            <w:tcW w:w="1145" w:type="dxa"/>
            <w:gridSpan w:val="2"/>
            <w:tcBorders>
              <w:top w:val="single" w:sz="4" w:space="0" w:color="FF0000"/>
              <w:left w:val="single" w:sz="4" w:space="0" w:color="FF0000"/>
              <w:right w:val="single" w:sz="4" w:space="0" w:color="FF0000"/>
            </w:tcBorders>
            <w:shd w:val="clear" w:color="auto" w:fill="FFFFFF" w:themeFill="background1"/>
            <w:noWrap/>
          </w:tcPr>
          <w:p w:rsidR="00FD51FE" w:rsidRPr="00BF7CB9" w:rsidRDefault="00FD51FE" w:rsidP="00FE57D6">
            <w:pPr>
              <w:spacing w:after="0" w:line="240" w:lineRule="auto"/>
              <w:jc w:val="right"/>
              <w:rPr>
                <w:rFonts w:cstheme="minorHAnsi"/>
                <w:color w:val="000000"/>
                <w:sz w:val="20"/>
                <w:szCs w:val="20"/>
              </w:rPr>
            </w:pPr>
            <w:r w:rsidRPr="0089278D">
              <w:rPr>
                <w:sz w:val="20"/>
                <w:szCs w:val="20"/>
              </w:rPr>
              <w:t xml:space="preserve"> $969 </w:t>
            </w:r>
          </w:p>
        </w:tc>
        <w:tc>
          <w:tcPr>
            <w:tcW w:w="1041" w:type="dxa"/>
            <w:gridSpan w:val="2"/>
            <w:tcBorders>
              <w:top w:val="single" w:sz="4" w:space="0" w:color="FF0000"/>
              <w:left w:val="single" w:sz="4" w:space="0" w:color="FF0000"/>
              <w:right w:val="single" w:sz="4" w:space="0" w:color="FF0000"/>
            </w:tcBorders>
            <w:shd w:val="clear" w:color="000000" w:fill="D9D9D9"/>
          </w:tcPr>
          <w:p w:rsidR="00FD51FE" w:rsidRPr="00BF7CB9" w:rsidRDefault="00FD51FE" w:rsidP="00FE57D6">
            <w:pPr>
              <w:spacing w:after="0" w:line="240" w:lineRule="auto"/>
              <w:jc w:val="right"/>
              <w:rPr>
                <w:rFonts w:cstheme="minorHAnsi"/>
                <w:color w:val="000000"/>
                <w:sz w:val="20"/>
                <w:szCs w:val="20"/>
              </w:rPr>
            </w:pPr>
            <w:r w:rsidRPr="0089278D">
              <w:rPr>
                <w:sz w:val="20"/>
                <w:szCs w:val="20"/>
              </w:rPr>
              <w:t>Trend</w:t>
            </w:r>
          </w:p>
        </w:tc>
        <w:tc>
          <w:tcPr>
            <w:tcW w:w="826" w:type="dxa"/>
            <w:gridSpan w:val="3"/>
            <w:tcBorders>
              <w:top w:val="single" w:sz="4" w:space="0" w:color="FF0000"/>
              <w:left w:val="single" w:sz="4" w:space="0" w:color="FF0000"/>
              <w:right w:val="single" w:sz="4" w:space="0" w:color="FF0000"/>
            </w:tcBorders>
            <w:shd w:val="clear" w:color="auto" w:fill="auto"/>
          </w:tcPr>
          <w:p w:rsidR="00FD51FE" w:rsidRPr="00717089" w:rsidRDefault="00FD51FE" w:rsidP="00FE57D6">
            <w:pPr>
              <w:spacing w:after="0" w:line="240" w:lineRule="auto"/>
              <w:jc w:val="right"/>
              <w:rPr>
                <w:rFonts w:cstheme="minorHAnsi"/>
                <w:color w:val="000000"/>
                <w:sz w:val="20"/>
                <w:szCs w:val="20"/>
              </w:rPr>
            </w:pPr>
          </w:p>
        </w:tc>
        <w:tc>
          <w:tcPr>
            <w:tcW w:w="893" w:type="dxa"/>
            <w:gridSpan w:val="2"/>
            <w:tcBorders>
              <w:top w:val="single" w:sz="4" w:space="0" w:color="FF0000"/>
              <w:left w:val="single" w:sz="4" w:space="0" w:color="FF0000"/>
              <w:right w:val="single" w:sz="4" w:space="0" w:color="FF0000"/>
            </w:tcBorders>
            <w:shd w:val="clear" w:color="auto" w:fill="auto"/>
          </w:tcPr>
          <w:p w:rsidR="00FD51FE" w:rsidRPr="00BF7CB9" w:rsidRDefault="00060BB3" w:rsidP="00FE57D6">
            <w:pPr>
              <w:spacing w:after="0" w:line="240" w:lineRule="auto"/>
              <w:jc w:val="right"/>
              <w:rPr>
                <w:rFonts w:cstheme="minorHAnsi"/>
                <w:color w:val="000000"/>
                <w:sz w:val="20"/>
                <w:szCs w:val="20"/>
              </w:rPr>
            </w:pPr>
            <w:r>
              <w:rPr>
                <w:rFonts w:cstheme="minorHAnsi"/>
                <w:sz w:val="20"/>
                <w:szCs w:val="20"/>
              </w:rPr>
              <w:t>Within 10%</w:t>
            </w:r>
          </w:p>
        </w:tc>
        <w:tc>
          <w:tcPr>
            <w:tcW w:w="4871" w:type="dxa"/>
            <w:tcBorders>
              <w:top w:val="single" w:sz="4" w:space="0" w:color="FF0000"/>
              <w:left w:val="single" w:sz="4" w:space="0" w:color="FF0000"/>
              <w:bottom w:val="single" w:sz="4" w:space="0" w:color="FF0000"/>
              <w:right w:val="nil"/>
            </w:tcBorders>
            <w:shd w:val="clear" w:color="auto" w:fill="auto"/>
          </w:tcPr>
          <w:p w:rsidR="00FD51FE" w:rsidRPr="008E18E2" w:rsidRDefault="00FD51FE" w:rsidP="00FE57D6">
            <w:pPr>
              <w:spacing w:after="0" w:line="240" w:lineRule="auto"/>
              <w:jc w:val="right"/>
              <w:rPr>
                <w:rFonts w:eastAsia="Times New Roman" w:cstheme="minorHAnsi"/>
                <w:color w:val="000000"/>
                <w:sz w:val="20"/>
                <w:lang w:eastAsia="en-NZ"/>
              </w:rPr>
            </w:pPr>
          </w:p>
        </w:tc>
      </w:tr>
      <w:tr w:rsidR="00FD51FE" w:rsidRPr="008E18E2" w:rsidTr="00FE57D6">
        <w:tblPrEx>
          <w:shd w:val="clear" w:color="auto" w:fill="auto"/>
        </w:tblPrEx>
        <w:trPr>
          <w:trHeight w:val="270"/>
        </w:trPr>
        <w:tc>
          <w:tcPr>
            <w:tcW w:w="3543" w:type="dxa"/>
            <w:tcBorders>
              <w:top w:val="nil"/>
              <w:left w:val="nil"/>
              <w:bottom w:val="single" w:sz="8" w:space="0" w:color="FF0000"/>
              <w:right w:val="single" w:sz="8" w:space="0" w:color="FF0000"/>
            </w:tcBorders>
            <w:shd w:val="clear" w:color="auto" w:fill="auto"/>
          </w:tcPr>
          <w:p w:rsidR="00FD51FE" w:rsidRPr="008E18E2" w:rsidRDefault="00FD51FE" w:rsidP="00FE57D6">
            <w:pPr>
              <w:spacing w:after="0" w:line="240" w:lineRule="auto"/>
              <w:rPr>
                <w:rFonts w:eastAsia="Times New Roman" w:cstheme="minorHAnsi"/>
                <w:color w:val="000000"/>
                <w:sz w:val="20"/>
                <w:lang w:eastAsia="en-NZ"/>
              </w:rPr>
            </w:pPr>
            <w:r w:rsidRPr="0089278D">
              <w:rPr>
                <w:rFonts w:eastAsia="Times New Roman" w:cstheme="minorHAnsi"/>
                <w:color w:val="000000"/>
                <w:sz w:val="20"/>
                <w:lang w:eastAsia="en-NZ"/>
              </w:rPr>
              <w:t>Total cost to Council incl. grant + property costs ($000)</w:t>
            </w:r>
          </w:p>
        </w:tc>
        <w:tc>
          <w:tcPr>
            <w:tcW w:w="1134" w:type="dxa"/>
            <w:tcBorders>
              <w:left w:val="nil"/>
              <w:right w:val="single" w:sz="4" w:space="0" w:color="FF0000"/>
            </w:tcBorders>
            <w:shd w:val="clear" w:color="auto" w:fill="auto"/>
            <w:noWrap/>
          </w:tcPr>
          <w:p w:rsidR="00FD51FE" w:rsidRPr="00BF7CB9" w:rsidRDefault="00FD51FE" w:rsidP="00FE57D6">
            <w:pPr>
              <w:spacing w:after="0" w:line="240" w:lineRule="auto"/>
              <w:jc w:val="right"/>
              <w:rPr>
                <w:rFonts w:cstheme="minorHAnsi"/>
                <w:color w:val="000000"/>
                <w:sz w:val="20"/>
                <w:szCs w:val="20"/>
              </w:rPr>
            </w:pPr>
            <w:r w:rsidRPr="0089278D">
              <w:rPr>
                <w:sz w:val="20"/>
                <w:szCs w:val="20"/>
              </w:rPr>
              <w:t>$443</w:t>
            </w:r>
          </w:p>
        </w:tc>
        <w:tc>
          <w:tcPr>
            <w:tcW w:w="1148" w:type="dxa"/>
            <w:gridSpan w:val="2"/>
            <w:tcBorders>
              <w:left w:val="single" w:sz="4" w:space="0" w:color="FF0000"/>
              <w:right w:val="single" w:sz="4" w:space="0" w:color="FF0000"/>
            </w:tcBorders>
            <w:shd w:val="clear" w:color="auto" w:fill="auto"/>
            <w:noWrap/>
          </w:tcPr>
          <w:p w:rsidR="00FD51FE" w:rsidRPr="00BF7CB9" w:rsidRDefault="00BF7CB9" w:rsidP="00FE57D6">
            <w:pPr>
              <w:spacing w:after="0" w:line="240" w:lineRule="auto"/>
              <w:jc w:val="right"/>
              <w:rPr>
                <w:rFonts w:cstheme="minorHAnsi"/>
                <w:color w:val="000000"/>
                <w:sz w:val="20"/>
                <w:szCs w:val="20"/>
              </w:rPr>
            </w:pPr>
            <w:r>
              <w:rPr>
                <w:sz w:val="20"/>
                <w:szCs w:val="20"/>
              </w:rPr>
              <w:t>NA</w:t>
            </w:r>
          </w:p>
        </w:tc>
        <w:tc>
          <w:tcPr>
            <w:tcW w:w="1145" w:type="dxa"/>
            <w:gridSpan w:val="2"/>
            <w:tcBorders>
              <w:left w:val="single" w:sz="4" w:space="0" w:color="FF0000"/>
              <w:right w:val="single" w:sz="4" w:space="0" w:color="FF0000"/>
            </w:tcBorders>
            <w:shd w:val="clear" w:color="auto" w:fill="FFFFFF" w:themeFill="background1"/>
            <w:noWrap/>
          </w:tcPr>
          <w:p w:rsidR="00FD51FE" w:rsidRPr="00BF7CB9" w:rsidRDefault="00FD51FE" w:rsidP="00FE57D6">
            <w:pPr>
              <w:spacing w:after="0" w:line="240" w:lineRule="auto"/>
              <w:jc w:val="right"/>
              <w:rPr>
                <w:rFonts w:cstheme="minorHAnsi"/>
                <w:color w:val="000000"/>
                <w:sz w:val="20"/>
                <w:szCs w:val="20"/>
              </w:rPr>
            </w:pPr>
            <w:r w:rsidRPr="00BC1630">
              <w:rPr>
                <w:sz w:val="20"/>
                <w:szCs w:val="20"/>
              </w:rPr>
              <w:t xml:space="preserve"> Nil </w:t>
            </w:r>
          </w:p>
        </w:tc>
        <w:tc>
          <w:tcPr>
            <w:tcW w:w="1041" w:type="dxa"/>
            <w:gridSpan w:val="2"/>
            <w:tcBorders>
              <w:left w:val="single" w:sz="4" w:space="0" w:color="FF0000"/>
              <w:right w:val="single" w:sz="4" w:space="0" w:color="FF0000"/>
            </w:tcBorders>
            <w:shd w:val="clear" w:color="000000" w:fill="D9D9D9"/>
          </w:tcPr>
          <w:p w:rsidR="00FD51FE" w:rsidRPr="00BF7CB9" w:rsidRDefault="00FD51FE" w:rsidP="00FE57D6">
            <w:pPr>
              <w:spacing w:after="0" w:line="240" w:lineRule="auto"/>
              <w:jc w:val="right"/>
              <w:rPr>
                <w:rFonts w:cstheme="minorHAnsi"/>
                <w:color w:val="000000"/>
                <w:sz w:val="20"/>
                <w:szCs w:val="20"/>
              </w:rPr>
            </w:pPr>
            <w:r w:rsidRPr="00BC1630">
              <w:rPr>
                <w:sz w:val="20"/>
                <w:szCs w:val="20"/>
              </w:rPr>
              <w:t>Trend</w:t>
            </w:r>
          </w:p>
        </w:tc>
        <w:tc>
          <w:tcPr>
            <w:tcW w:w="826" w:type="dxa"/>
            <w:gridSpan w:val="3"/>
            <w:tcBorders>
              <w:left w:val="single" w:sz="4" w:space="0" w:color="FF0000"/>
              <w:right w:val="single" w:sz="4" w:space="0" w:color="FF0000"/>
            </w:tcBorders>
            <w:shd w:val="clear" w:color="auto" w:fill="auto"/>
          </w:tcPr>
          <w:p w:rsidR="00FD51FE" w:rsidRPr="00717089" w:rsidRDefault="00FD51FE" w:rsidP="00FE57D6">
            <w:pPr>
              <w:spacing w:after="0" w:line="240" w:lineRule="auto"/>
              <w:jc w:val="right"/>
              <w:rPr>
                <w:rFonts w:cstheme="minorHAnsi"/>
                <w:color w:val="000000"/>
                <w:sz w:val="20"/>
                <w:szCs w:val="20"/>
              </w:rPr>
            </w:pPr>
          </w:p>
        </w:tc>
        <w:tc>
          <w:tcPr>
            <w:tcW w:w="893" w:type="dxa"/>
            <w:gridSpan w:val="2"/>
            <w:tcBorders>
              <w:left w:val="single" w:sz="4" w:space="0" w:color="FF0000"/>
              <w:right w:val="single" w:sz="4" w:space="0" w:color="FF0000"/>
            </w:tcBorders>
            <w:shd w:val="clear" w:color="auto" w:fill="auto"/>
          </w:tcPr>
          <w:p w:rsidR="00FD51FE" w:rsidRPr="00BF7CB9" w:rsidRDefault="00060BB3" w:rsidP="00FE57D6">
            <w:pPr>
              <w:spacing w:after="0" w:line="240" w:lineRule="auto"/>
              <w:jc w:val="right"/>
              <w:rPr>
                <w:rFonts w:cstheme="minorHAnsi"/>
                <w:color w:val="000000"/>
                <w:sz w:val="20"/>
                <w:szCs w:val="20"/>
              </w:rPr>
            </w:pPr>
            <w:r>
              <w:rPr>
                <w:rFonts w:cstheme="minorHAnsi"/>
                <w:sz w:val="20"/>
                <w:szCs w:val="20"/>
              </w:rPr>
              <w:t>Within 10%</w:t>
            </w:r>
          </w:p>
        </w:tc>
        <w:tc>
          <w:tcPr>
            <w:tcW w:w="4871" w:type="dxa"/>
            <w:tcBorders>
              <w:top w:val="single" w:sz="4" w:space="0" w:color="FF0000"/>
              <w:left w:val="single" w:sz="4" w:space="0" w:color="FF0000"/>
              <w:bottom w:val="single" w:sz="4" w:space="0" w:color="FF0000"/>
              <w:right w:val="nil"/>
            </w:tcBorders>
            <w:shd w:val="clear" w:color="auto" w:fill="auto"/>
          </w:tcPr>
          <w:p w:rsidR="00FD51FE" w:rsidRPr="008E18E2" w:rsidRDefault="00FD51FE" w:rsidP="00FE57D6">
            <w:pPr>
              <w:spacing w:after="0" w:line="240" w:lineRule="auto"/>
              <w:jc w:val="right"/>
              <w:rPr>
                <w:rFonts w:eastAsia="Times New Roman" w:cstheme="minorHAnsi"/>
                <w:color w:val="000000"/>
                <w:sz w:val="20"/>
                <w:lang w:eastAsia="en-NZ"/>
              </w:rPr>
            </w:pPr>
          </w:p>
        </w:tc>
      </w:tr>
      <w:tr w:rsidR="00D86A62" w:rsidRPr="00D86A62" w:rsidTr="00D86A62">
        <w:tblPrEx>
          <w:shd w:val="clear" w:color="auto" w:fill="auto"/>
        </w:tblPrEx>
        <w:trPr>
          <w:trHeight w:val="270"/>
        </w:trPr>
        <w:tc>
          <w:tcPr>
            <w:tcW w:w="14601" w:type="dxa"/>
            <w:gridSpan w:val="14"/>
            <w:tcBorders>
              <w:top w:val="nil"/>
              <w:left w:val="nil"/>
              <w:right w:val="nil"/>
            </w:tcBorders>
            <w:shd w:val="clear" w:color="auto" w:fill="FFAFAF"/>
          </w:tcPr>
          <w:p w:rsidR="003E3342" w:rsidRPr="00D86A62" w:rsidRDefault="003E3342" w:rsidP="003E3342">
            <w:pPr>
              <w:spacing w:after="0" w:line="240" w:lineRule="auto"/>
              <w:rPr>
                <w:rFonts w:eastAsia="Times New Roman" w:cstheme="minorHAnsi"/>
                <w:bCs/>
                <w:sz w:val="20"/>
                <w:szCs w:val="20"/>
                <w:lang w:eastAsia="en-NZ"/>
              </w:rPr>
            </w:pPr>
            <w:r w:rsidRPr="00D86A62">
              <w:rPr>
                <w:rFonts w:eastAsia="Times New Roman" w:cstheme="minorHAnsi"/>
                <w:bCs/>
                <w:sz w:val="20"/>
                <w:szCs w:val="20"/>
                <w:lang w:eastAsia="en-NZ"/>
              </w:rPr>
              <w:t>*Targets for Council Controlled Organisations such as Wellington Museums Trust are set annually as agreed in the Statements of Intent. These may differ from targets published in the Long-term Plan and Annual Plans.</w:t>
            </w:r>
          </w:p>
        </w:tc>
      </w:tr>
      <w:tr w:rsidR="00FD51FE" w:rsidRPr="008E18E2" w:rsidTr="00FE57D6">
        <w:tblPrEx>
          <w:shd w:val="clear" w:color="auto" w:fill="auto"/>
        </w:tblPrEx>
        <w:trPr>
          <w:trHeight w:val="270"/>
        </w:trPr>
        <w:tc>
          <w:tcPr>
            <w:tcW w:w="14601" w:type="dxa"/>
            <w:gridSpan w:val="14"/>
            <w:tcBorders>
              <w:top w:val="nil"/>
              <w:left w:val="nil"/>
              <w:right w:val="nil"/>
            </w:tcBorders>
            <w:shd w:val="clear" w:color="auto" w:fill="FF0000"/>
            <w:hideMark/>
          </w:tcPr>
          <w:p w:rsidR="00FD51FE" w:rsidRPr="003E3342" w:rsidRDefault="00FD51FE" w:rsidP="003E3342">
            <w:pPr>
              <w:spacing w:after="0" w:line="240" w:lineRule="auto"/>
              <w:jc w:val="both"/>
              <w:rPr>
                <w:rFonts w:eastAsia="Times New Roman" w:cstheme="minorHAnsi"/>
                <w:color w:val="000000"/>
                <w:sz w:val="24"/>
                <w:lang w:eastAsia="en-NZ"/>
              </w:rPr>
            </w:pPr>
            <w:r w:rsidRPr="003E3342">
              <w:rPr>
                <w:rFonts w:eastAsia="Times New Roman" w:cstheme="minorHAnsi"/>
                <w:bCs/>
                <w:color w:val="FFFFFF"/>
                <w:sz w:val="24"/>
                <w:lang w:eastAsia="en-NZ"/>
              </w:rPr>
              <w:t>7.2 Parking </w:t>
            </w:r>
          </w:p>
        </w:tc>
      </w:tr>
      <w:tr w:rsidR="00FD51FE" w:rsidRPr="008E18E2" w:rsidTr="00FE57D6">
        <w:tblPrEx>
          <w:shd w:val="clear" w:color="auto" w:fill="auto"/>
        </w:tblPrEx>
        <w:trPr>
          <w:trHeight w:val="141"/>
        </w:trPr>
        <w:tc>
          <w:tcPr>
            <w:tcW w:w="14601" w:type="dxa"/>
            <w:gridSpan w:val="14"/>
            <w:tcBorders>
              <w:top w:val="nil"/>
              <w:left w:val="nil"/>
              <w:right w:val="nil"/>
            </w:tcBorders>
            <w:shd w:val="clear" w:color="auto" w:fill="FFCCCC"/>
            <w:hideMark/>
          </w:tcPr>
          <w:p w:rsidR="00FD51FE" w:rsidRPr="00886503" w:rsidRDefault="00FD51FE" w:rsidP="00FE57D6">
            <w:pPr>
              <w:spacing w:after="0" w:line="240" w:lineRule="auto"/>
              <w:rPr>
                <w:rFonts w:eastAsia="Times New Roman" w:cstheme="minorHAnsi"/>
                <w:b/>
                <w:lang w:eastAsia="en-NZ"/>
              </w:rPr>
            </w:pPr>
            <w:r w:rsidRPr="008E18E2">
              <w:rPr>
                <w:rFonts w:eastAsia="Times New Roman" w:cstheme="minorHAnsi"/>
                <w:b/>
                <w:lang w:eastAsia="en-NZ"/>
              </w:rPr>
              <w:t>Efficiency</w:t>
            </w:r>
          </w:p>
        </w:tc>
      </w:tr>
      <w:tr w:rsidR="00FD51FE" w:rsidRPr="008E18E2" w:rsidTr="00FE57D6">
        <w:tblPrEx>
          <w:shd w:val="clear" w:color="auto" w:fill="auto"/>
        </w:tblPrEx>
        <w:trPr>
          <w:trHeight w:val="270"/>
        </w:trPr>
        <w:tc>
          <w:tcPr>
            <w:tcW w:w="3543" w:type="dxa"/>
            <w:tcBorders>
              <w:left w:val="nil"/>
              <w:right w:val="single" w:sz="8" w:space="0" w:color="FF0000"/>
            </w:tcBorders>
            <w:shd w:val="clear" w:color="auto" w:fill="auto"/>
            <w:hideMark/>
          </w:tcPr>
          <w:p w:rsidR="00FD51FE" w:rsidRPr="008E18E2" w:rsidRDefault="00FD51FE" w:rsidP="00FE57D6">
            <w:pPr>
              <w:spacing w:after="0" w:line="240" w:lineRule="auto"/>
              <w:rPr>
                <w:rFonts w:eastAsia="Times New Roman" w:cstheme="minorHAnsi"/>
                <w:color w:val="000000"/>
                <w:sz w:val="20"/>
                <w:lang w:eastAsia="en-NZ"/>
              </w:rPr>
            </w:pPr>
            <w:r w:rsidRPr="008E18E2">
              <w:rPr>
                <w:rFonts w:eastAsia="Times New Roman" w:cstheme="minorHAnsi"/>
                <w:color w:val="000000"/>
                <w:sz w:val="20"/>
                <w:lang w:eastAsia="en-NZ"/>
              </w:rPr>
              <w:t>Gross profit (%) used to fund wider transport services</w:t>
            </w:r>
          </w:p>
        </w:tc>
        <w:tc>
          <w:tcPr>
            <w:tcW w:w="1134" w:type="dxa"/>
            <w:tcBorders>
              <w:left w:val="nil"/>
              <w:right w:val="single" w:sz="4" w:space="0" w:color="FF0000"/>
            </w:tcBorders>
            <w:shd w:val="clear" w:color="auto" w:fill="auto"/>
            <w:noWrap/>
            <w:hideMark/>
          </w:tcPr>
          <w:p w:rsidR="00FD51FE" w:rsidRPr="008E18E2" w:rsidRDefault="00FD51FE" w:rsidP="00FE57D6">
            <w:pPr>
              <w:spacing w:after="0" w:line="240" w:lineRule="auto"/>
              <w:jc w:val="right"/>
              <w:rPr>
                <w:rFonts w:eastAsia="Times New Roman" w:cstheme="minorHAnsi"/>
                <w:color w:val="000000"/>
                <w:sz w:val="20"/>
                <w:lang w:eastAsia="en-NZ"/>
              </w:rPr>
            </w:pPr>
          </w:p>
        </w:tc>
        <w:tc>
          <w:tcPr>
            <w:tcW w:w="1148" w:type="dxa"/>
            <w:gridSpan w:val="2"/>
            <w:tcBorders>
              <w:left w:val="single" w:sz="4" w:space="0" w:color="FF0000"/>
              <w:right w:val="single" w:sz="4" w:space="0" w:color="FF0000"/>
            </w:tcBorders>
            <w:shd w:val="clear" w:color="auto" w:fill="auto"/>
            <w:noWrap/>
            <w:hideMark/>
          </w:tcPr>
          <w:p w:rsidR="00FD51FE" w:rsidRPr="008E18E2" w:rsidRDefault="00FD51FE" w:rsidP="00FE57D6">
            <w:pPr>
              <w:spacing w:after="0" w:line="240" w:lineRule="auto"/>
              <w:jc w:val="right"/>
              <w:rPr>
                <w:rFonts w:eastAsia="Times New Roman" w:cstheme="minorHAnsi"/>
                <w:color w:val="000000"/>
                <w:sz w:val="20"/>
                <w:lang w:eastAsia="en-NZ"/>
              </w:rPr>
            </w:pPr>
            <w:r w:rsidRPr="008E18E2">
              <w:rPr>
                <w:rFonts w:eastAsia="Times New Roman" w:cstheme="minorHAnsi"/>
                <w:color w:val="000000"/>
                <w:sz w:val="20"/>
                <w:lang w:eastAsia="en-NZ"/>
              </w:rPr>
              <w:t>New</w:t>
            </w:r>
          </w:p>
        </w:tc>
        <w:tc>
          <w:tcPr>
            <w:tcW w:w="1145" w:type="dxa"/>
            <w:gridSpan w:val="2"/>
            <w:tcBorders>
              <w:left w:val="single" w:sz="4" w:space="0" w:color="FF0000"/>
              <w:right w:val="single" w:sz="4" w:space="0" w:color="FF0000"/>
            </w:tcBorders>
            <w:shd w:val="clear" w:color="auto" w:fill="FFFFFF" w:themeFill="background1"/>
            <w:noWrap/>
            <w:hideMark/>
          </w:tcPr>
          <w:p w:rsidR="00FD51FE" w:rsidRPr="008E18E2" w:rsidRDefault="00FD51FE" w:rsidP="00FE57D6">
            <w:pPr>
              <w:spacing w:after="0" w:line="240" w:lineRule="auto"/>
              <w:jc w:val="right"/>
              <w:rPr>
                <w:rFonts w:eastAsia="Times New Roman" w:cstheme="minorHAnsi"/>
                <w:color w:val="000000"/>
                <w:sz w:val="20"/>
                <w:lang w:eastAsia="en-NZ"/>
              </w:rPr>
            </w:pPr>
            <w:r w:rsidRPr="008E18E2">
              <w:rPr>
                <w:rFonts w:eastAsia="Times New Roman" w:cstheme="minorHAnsi"/>
                <w:color w:val="000000"/>
                <w:sz w:val="20"/>
                <w:lang w:eastAsia="en-NZ"/>
              </w:rPr>
              <w:t>100%</w:t>
            </w:r>
          </w:p>
        </w:tc>
        <w:tc>
          <w:tcPr>
            <w:tcW w:w="1041" w:type="dxa"/>
            <w:gridSpan w:val="2"/>
            <w:tcBorders>
              <w:left w:val="single" w:sz="4" w:space="0" w:color="FF0000"/>
              <w:right w:val="single" w:sz="4" w:space="0" w:color="FF0000"/>
            </w:tcBorders>
            <w:shd w:val="clear" w:color="000000" w:fill="D9D9D9"/>
            <w:hideMark/>
          </w:tcPr>
          <w:p w:rsidR="00FD51FE" w:rsidRPr="008E18E2" w:rsidRDefault="00FD51FE" w:rsidP="00FE57D6">
            <w:pPr>
              <w:spacing w:after="0" w:line="240" w:lineRule="auto"/>
              <w:jc w:val="right"/>
              <w:rPr>
                <w:rFonts w:eastAsia="Times New Roman" w:cstheme="minorHAnsi"/>
                <w:color w:val="000000"/>
                <w:sz w:val="20"/>
                <w:lang w:eastAsia="en-NZ"/>
              </w:rPr>
            </w:pPr>
            <w:r w:rsidRPr="008E18E2">
              <w:rPr>
                <w:rFonts w:eastAsia="Times New Roman" w:cstheme="minorHAnsi"/>
                <w:color w:val="000000"/>
                <w:sz w:val="20"/>
                <w:lang w:eastAsia="en-NZ"/>
              </w:rPr>
              <w:t>100%</w:t>
            </w:r>
          </w:p>
        </w:tc>
        <w:tc>
          <w:tcPr>
            <w:tcW w:w="826" w:type="dxa"/>
            <w:gridSpan w:val="3"/>
            <w:tcBorders>
              <w:left w:val="single" w:sz="4" w:space="0" w:color="FF0000"/>
              <w:right w:val="single" w:sz="4" w:space="0" w:color="FF0000"/>
            </w:tcBorders>
            <w:shd w:val="clear" w:color="auto" w:fill="auto"/>
            <w:hideMark/>
          </w:tcPr>
          <w:p w:rsidR="00FD51FE" w:rsidRPr="008E18E2" w:rsidRDefault="00FD51FE" w:rsidP="00FE57D6">
            <w:pPr>
              <w:spacing w:after="0" w:line="240" w:lineRule="auto"/>
              <w:jc w:val="right"/>
              <w:rPr>
                <w:rFonts w:eastAsia="Times New Roman" w:cstheme="minorHAnsi"/>
                <w:color w:val="000000"/>
                <w:sz w:val="20"/>
                <w:lang w:eastAsia="en-NZ"/>
              </w:rPr>
            </w:pPr>
            <w:r w:rsidRPr="008E18E2">
              <w:rPr>
                <w:rFonts w:eastAsia="Times New Roman" w:cstheme="minorHAnsi"/>
                <w:color w:val="000000"/>
                <w:sz w:val="20"/>
                <w:lang w:eastAsia="en-NZ"/>
              </w:rPr>
              <w:t>0%</w:t>
            </w:r>
          </w:p>
        </w:tc>
        <w:tc>
          <w:tcPr>
            <w:tcW w:w="893" w:type="dxa"/>
            <w:gridSpan w:val="2"/>
            <w:tcBorders>
              <w:left w:val="single" w:sz="4" w:space="0" w:color="FF0000"/>
              <w:right w:val="single" w:sz="4" w:space="0" w:color="FF0000"/>
            </w:tcBorders>
            <w:shd w:val="clear" w:color="auto" w:fill="auto"/>
            <w:hideMark/>
          </w:tcPr>
          <w:p w:rsidR="00FD51FE" w:rsidRPr="008E18E2" w:rsidRDefault="00D86A62" w:rsidP="00FE57D6">
            <w:pPr>
              <w:spacing w:after="0" w:line="240" w:lineRule="auto"/>
              <w:jc w:val="right"/>
              <w:rPr>
                <w:rFonts w:eastAsia="Times New Roman" w:cstheme="minorHAnsi"/>
                <w:color w:val="000000"/>
                <w:sz w:val="20"/>
                <w:lang w:eastAsia="en-NZ"/>
              </w:rPr>
            </w:pPr>
            <w:r>
              <w:rPr>
                <w:rFonts w:cstheme="minorHAnsi"/>
                <w:sz w:val="20"/>
                <w:szCs w:val="20"/>
              </w:rPr>
              <w:t>Within 10%</w:t>
            </w:r>
          </w:p>
        </w:tc>
        <w:tc>
          <w:tcPr>
            <w:tcW w:w="4871" w:type="dxa"/>
            <w:tcBorders>
              <w:left w:val="single" w:sz="4" w:space="0" w:color="FF0000"/>
              <w:right w:val="nil"/>
            </w:tcBorders>
            <w:shd w:val="clear" w:color="auto" w:fill="FFFFFF" w:themeFill="background1"/>
            <w:hideMark/>
          </w:tcPr>
          <w:p w:rsidR="00FD51FE" w:rsidRPr="008E18E2" w:rsidRDefault="003E3342" w:rsidP="00FE57D6">
            <w:pPr>
              <w:spacing w:after="0" w:line="240" w:lineRule="auto"/>
              <w:rPr>
                <w:rFonts w:eastAsia="Times New Roman" w:cstheme="minorHAnsi"/>
                <w:color w:val="000000"/>
                <w:sz w:val="20"/>
                <w:lang w:eastAsia="en-NZ"/>
              </w:rPr>
            </w:pPr>
            <w:r>
              <w:rPr>
                <w:rFonts w:eastAsia="Times New Roman" w:cstheme="minorHAnsi"/>
                <w:color w:val="000000"/>
                <w:sz w:val="20"/>
                <w:lang w:eastAsia="en-NZ"/>
              </w:rPr>
              <w:t>For more information refer to the Funding Impact Statements pX</w:t>
            </w:r>
          </w:p>
        </w:tc>
      </w:tr>
      <w:tr w:rsidR="00FD51FE" w:rsidRPr="008E18E2" w:rsidTr="00FE57D6">
        <w:tblPrEx>
          <w:shd w:val="clear" w:color="auto" w:fill="auto"/>
        </w:tblPrEx>
        <w:trPr>
          <w:trHeight w:val="210"/>
        </w:trPr>
        <w:tc>
          <w:tcPr>
            <w:tcW w:w="14601" w:type="dxa"/>
            <w:gridSpan w:val="14"/>
            <w:tcBorders>
              <w:top w:val="nil"/>
              <w:left w:val="nil"/>
              <w:right w:val="nil"/>
            </w:tcBorders>
            <w:shd w:val="clear" w:color="auto" w:fill="FFCCCC"/>
            <w:hideMark/>
          </w:tcPr>
          <w:p w:rsidR="00FD51FE" w:rsidRPr="008E18E2" w:rsidRDefault="00FD51FE" w:rsidP="00FE57D6">
            <w:pPr>
              <w:spacing w:after="0" w:line="240" w:lineRule="auto"/>
              <w:rPr>
                <w:rFonts w:eastAsia="Times New Roman" w:cstheme="minorHAnsi"/>
                <w:b/>
                <w:lang w:eastAsia="en-NZ"/>
              </w:rPr>
            </w:pPr>
            <w:r w:rsidRPr="008E18E2">
              <w:rPr>
                <w:rFonts w:eastAsia="Times New Roman" w:cstheme="minorHAnsi"/>
                <w:b/>
                <w:lang w:eastAsia="en-NZ"/>
              </w:rPr>
              <w:t>Equity</w:t>
            </w:r>
          </w:p>
        </w:tc>
      </w:tr>
      <w:tr w:rsidR="00FD51FE" w:rsidRPr="008E18E2" w:rsidTr="00FE57D6">
        <w:tblPrEx>
          <w:shd w:val="clear" w:color="auto" w:fill="auto"/>
        </w:tblPrEx>
        <w:trPr>
          <w:trHeight w:val="270"/>
        </w:trPr>
        <w:tc>
          <w:tcPr>
            <w:tcW w:w="3543" w:type="dxa"/>
            <w:tcBorders>
              <w:left w:val="nil"/>
              <w:right w:val="single" w:sz="8" w:space="0" w:color="FF0000"/>
            </w:tcBorders>
            <w:shd w:val="clear" w:color="auto" w:fill="auto"/>
            <w:hideMark/>
          </w:tcPr>
          <w:p w:rsidR="00FD51FE" w:rsidRPr="008E18E2" w:rsidRDefault="00FD51FE" w:rsidP="00FE57D6">
            <w:pPr>
              <w:spacing w:after="0" w:line="240" w:lineRule="auto"/>
              <w:rPr>
                <w:rFonts w:eastAsia="Times New Roman" w:cstheme="minorHAnsi"/>
                <w:color w:val="000000"/>
                <w:sz w:val="20"/>
                <w:lang w:eastAsia="en-NZ"/>
              </w:rPr>
            </w:pPr>
            <w:r w:rsidRPr="008E18E2">
              <w:rPr>
                <w:rFonts w:eastAsia="Times New Roman" w:cstheme="minorHAnsi"/>
                <w:color w:val="000000"/>
                <w:sz w:val="20"/>
                <w:lang w:eastAsia="en-NZ"/>
              </w:rPr>
              <w:t xml:space="preserve">Residents (%) who perceive that </w:t>
            </w:r>
            <w:r w:rsidRPr="008E18E2">
              <w:rPr>
                <w:rFonts w:eastAsia="Times New Roman" w:cstheme="minorHAnsi"/>
                <w:color w:val="000000"/>
                <w:sz w:val="20"/>
                <w:lang w:eastAsia="en-NZ"/>
              </w:rPr>
              <w:lastRenderedPageBreak/>
              <w:t>parking enforcement is fair</w:t>
            </w:r>
          </w:p>
        </w:tc>
        <w:tc>
          <w:tcPr>
            <w:tcW w:w="1134" w:type="dxa"/>
            <w:tcBorders>
              <w:left w:val="nil"/>
              <w:right w:val="single" w:sz="4" w:space="0" w:color="FF0000"/>
            </w:tcBorders>
            <w:shd w:val="clear" w:color="auto" w:fill="auto"/>
            <w:noWrap/>
            <w:hideMark/>
          </w:tcPr>
          <w:p w:rsidR="00FD51FE" w:rsidRPr="008E18E2" w:rsidRDefault="00FD51FE" w:rsidP="00FE57D6">
            <w:pPr>
              <w:spacing w:after="0" w:line="240" w:lineRule="auto"/>
              <w:jc w:val="right"/>
              <w:rPr>
                <w:rFonts w:eastAsia="Times New Roman" w:cstheme="minorHAnsi"/>
                <w:color w:val="000000"/>
                <w:sz w:val="20"/>
                <w:lang w:eastAsia="en-NZ"/>
              </w:rPr>
            </w:pPr>
            <w:r w:rsidRPr="008E18E2">
              <w:rPr>
                <w:rFonts w:eastAsia="Times New Roman" w:cstheme="minorHAnsi"/>
                <w:color w:val="000000"/>
                <w:sz w:val="20"/>
                <w:lang w:eastAsia="en-NZ"/>
              </w:rPr>
              <w:lastRenderedPageBreak/>
              <w:t>50%</w:t>
            </w:r>
          </w:p>
        </w:tc>
        <w:tc>
          <w:tcPr>
            <w:tcW w:w="1148" w:type="dxa"/>
            <w:gridSpan w:val="2"/>
            <w:tcBorders>
              <w:left w:val="single" w:sz="4" w:space="0" w:color="FF0000"/>
              <w:right w:val="single" w:sz="4" w:space="0" w:color="FF0000"/>
            </w:tcBorders>
            <w:shd w:val="clear" w:color="auto" w:fill="auto"/>
            <w:noWrap/>
            <w:hideMark/>
          </w:tcPr>
          <w:p w:rsidR="00FD51FE" w:rsidRPr="008E18E2" w:rsidRDefault="00FD51FE" w:rsidP="00FE57D6">
            <w:pPr>
              <w:spacing w:after="0" w:line="240" w:lineRule="auto"/>
              <w:jc w:val="right"/>
              <w:rPr>
                <w:rFonts w:eastAsia="Times New Roman" w:cstheme="minorHAnsi"/>
                <w:color w:val="000000"/>
                <w:sz w:val="20"/>
                <w:lang w:eastAsia="en-NZ"/>
              </w:rPr>
            </w:pPr>
            <w:r w:rsidRPr="008E18E2">
              <w:rPr>
                <w:rFonts w:eastAsia="Times New Roman" w:cstheme="minorHAnsi"/>
                <w:color w:val="000000"/>
                <w:sz w:val="20"/>
                <w:lang w:eastAsia="en-NZ"/>
              </w:rPr>
              <w:t>53%</w:t>
            </w:r>
          </w:p>
        </w:tc>
        <w:tc>
          <w:tcPr>
            <w:tcW w:w="1145" w:type="dxa"/>
            <w:gridSpan w:val="2"/>
            <w:tcBorders>
              <w:left w:val="single" w:sz="4" w:space="0" w:color="FF0000"/>
              <w:right w:val="single" w:sz="4" w:space="0" w:color="FF0000"/>
            </w:tcBorders>
            <w:shd w:val="clear" w:color="auto" w:fill="auto"/>
            <w:noWrap/>
            <w:hideMark/>
          </w:tcPr>
          <w:p w:rsidR="00FD51FE" w:rsidRPr="008E18E2" w:rsidRDefault="00FD51FE" w:rsidP="00FE57D6">
            <w:pPr>
              <w:spacing w:after="0" w:line="240" w:lineRule="auto"/>
              <w:jc w:val="right"/>
              <w:rPr>
                <w:rFonts w:eastAsia="Times New Roman" w:cstheme="minorHAnsi"/>
                <w:color w:val="000000"/>
                <w:sz w:val="20"/>
                <w:lang w:eastAsia="en-NZ"/>
              </w:rPr>
            </w:pPr>
            <w:r w:rsidRPr="008E18E2">
              <w:rPr>
                <w:rFonts w:eastAsia="Times New Roman" w:cstheme="minorHAnsi"/>
                <w:color w:val="000000"/>
                <w:sz w:val="20"/>
                <w:lang w:eastAsia="en-NZ"/>
              </w:rPr>
              <w:t>43%</w:t>
            </w:r>
          </w:p>
        </w:tc>
        <w:tc>
          <w:tcPr>
            <w:tcW w:w="1041" w:type="dxa"/>
            <w:gridSpan w:val="2"/>
            <w:tcBorders>
              <w:left w:val="single" w:sz="4" w:space="0" w:color="FF0000"/>
              <w:right w:val="single" w:sz="4" w:space="0" w:color="FF0000"/>
            </w:tcBorders>
            <w:shd w:val="clear" w:color="000000" w:fill="D9D9D9"/>
            <w:hideMark/>
          </w:tcPr>
          <w:p w:rsidR="00FD51FE" w:rsidRPr="008E18E2" w:rsidRDefault="00FD51FE" w:rsidP="00FE57D6">
            <w:pPr>
              <w:spacing w:after="0" w:line="240" w:lineRule="auto"/>
              <w:jc w:val="right"/>
              <w:rPr>
                <w:rFonts w:eastAsia="Times New Roman" w:cstheme="minorHAnsi"/>
                <w:color w:val="000000"/>
                <w:sz w:val="20"/>
                <w:lang w:eastAsia="en-NZ"/>
              </w:rPr>
            </w:pPr>
            <w:r w:rsidRPr="008E18E2">
              <w:rPr>
                <w:rFonts w:eastAsia="Times New Roman" w:cstheme="minorHAnsi"/>
                <w:color w:val="000000"/>
                <w:sz w:val="20"/>
                <w:lang w:eastAsia="en-NZ"/>
              </w:rPr>
              <w:t>&gt;50%</w:t>
            </w:r>
          </w:p>
        </w:tc>
        <w:tc>
          <w:tcPr>
            <w:tcW w:w="826" w:type="dxa"/>
            <w:gridSpan w:val="3"/>
            <w:tcBorders>
              <w:left w:val="single" w:sz="4" w:space="0" w:color="FF0000"/>
              <w:right w:val="single" w:sz="4" w:space="0" w:color="FF0000"/>
            </w:tcBorders>
            <w:shd w:val="clear" w:color="auto" w:fill="auto"/>
            <w:hideMark/>
          </w:tcPr>
          <w:p w:rsidR="00FD51FE" w:rsidRPr="008E18E2" w:rsidRDefault="00FD51FE" w:rsidP="00FE57D6">
            <w:pPr>
              <w:spacing w:after="0" w:line="240" w:lineRule="auto"/>
              <w:jc w:val="right"/>
              <w:rPr>
                <w:rFonts w:eastAsia="Times New Roman" w:cstheme="minorHAnsi"/>
                <w:sz w:val="20"/>
                <w:lang w:eastAsia="en-NZ"/>
              </w:rPr>
            </w:pPr>
            <w:r w:rsidRPr="008E18E2">
              <w:rPr>
                <w:rFonts w:eastAsia="Times New Roman" w:cstheme="minorHAnsi"/>
                <w:sz w:val="20"/>
                <w:lang w:eastAsia="en-NZ"/>
              </w:rPr>
              <w:t>-14%</w:t>
            </w:r>
          </w:p>
        </w:tc>
        <w:tc>
          <w:tcPr>
            <w:tcW w:w="893" w:type="dxa"/>
            <w:gridSpan w:val="2"/>
            <w:tcBorders>
              <w:left w:val="single" w:sz="4" w:space="0" w:color="FF0000"/>
              <w:right w:val="single" w:sz="4" w:space="0" w:color="FF0000"/>
            </w:tcBorders>
            <w:shd w:val="clear" w:color="auto" w:fill="auto"/>
            <w:hideMark/>
          </w:tcPr>
          <w:p w:rsidR="00FD51FE" w:rsidRPr="008E18E2" w:rsidRDefault="00FD51FE" w:rsidP="00FE57D6">
            <w:pPr>
              <w:spacing w:after="0" w:line="240" w:lineRule="auto"/>
              <w:jc w:val="right"/>
              <w:rPr>
                <w:rFonts w:eastAsia="Times New Roman" w:cstheme="minorHAnsi"/>
                <w:sz w:val="20"/>
                <w:lang w:eastAsia="en-NZ"/>
              </w:rPr>
            </w:pPr>
            <w:r w:rsidRPr="008E18E2">
              <w:rPr>
                <w:rFonts w:eastAsia="Times New Roman" w:cstheme="minorHAnsi"/>
                <w:sz w:val="20"/>
                <w:lang w:eastAsia="en-NZ"/>
              </w:rPr>
              <w:t>not met</w:t>
            </w:r>
          </w:p>
        </w:tc>
        <w:tc>
          <w:tcPr>
            <w:tcW w:w="4871" w:type="dxa"/>
            <w:tcBorders>
              <w:left w:val="single" w:sz="4" w:space="0" w:color="FF0000"/>
              <w:right w:val="nil"/>
            </w:tcBorders>
            <w:shd w:val="clear" w:color="auto" w:fill="auto"/>
            <w:hideMark/>
          </w:tcPr>
          <w:p w:rsidR="00FD51FE" w:rsidRPr="008E18E2" w:rsidRDefault="00FD51FE" w:rsidP="00FE57D6">
            <w:pPr>
              <w:spacing w:after="0" w:line="240" w:lineRule="auto"/>
              <w:rPr>
                <w:rFonts w:eastAsia="Times New Roman" w:cstheme="minorHAnsi"/>
                <w:color w:val="000000"/>
                <w:sz w:val="20"/>
                <w:lang w:eastAsia="en-NZ"/>
              </w:rPr>
            </w:pPr>
            <w:r w:rsidRPr="008E18E2">
              <w:rPr>
                <w:rFonts w:eastAsia="Times New Roman" w:cstheme="minorHAnsi"/>
                <w:color w:val="000000"/>
                <w:sz w:val="20"/>
                <w:lang w:eastAsia="en-NZ"/>
              </w:rPr>
              <w:t xml:space="preserve">This result was not unexpected as the impact of </w:t>
            </w:r>
            <w:r w:rsidRPr="008E18E2">
              <w:rPr>
                <w:rFonts w:eastAsia="Times New Roman" w:cstheme="minorHAnsi"/>
                <w:color w:val="000000"/>
                <w:sz w:val="20"/>
                <w:lang w:eastAsia="en-NZ"/>
              </w:rPr>
              <w:lastRenderedPageBreak/>
              <w:t>removing free weekend parking took effect. Resident comments included an understanding of why the fee was introduced, but concern that strong alternatives - such as good public transport were not in place.</w:t>
            </w:r>
          </w:p>
        </w:tc>
      </w:tr>
      <w:tr w:rsidR="00FD51FE" w:rsidRPr="008E18E2" w:rsidTr="00FE57D6">
        <w:tblPrEx>
          <w:shd w:val="clear" w:color="auto" w:fill="auto"/>
        </w:tblPrEx>
        <w:trPr>
          <w:trHeight w:val="220"/>
        </w:trPr>
        <w:tc>
          <w:tcPr>
            <w:tcW w:w="14601" w:type="dxa"/>
            <w:gridSpan w:val="14"/>
            <w:tcBorders>
              <w:top w:val="nil"/>
              <w:left w:val="nil"/>
              <w:right w:val="nil"/>
            </w:tcBorders>
            <w:shd w:val="clear" w:color="auto" w:fill="FFCCCC"/>
            <w:hideMark/>
          </w:tcPr>
          <w:p w:rsidR="00FD51FE" w:rsidRPr="008E18E2" w:rsidRDefault="00FD51FE" w:rsidP="00FE57D6">
            <w:pPr>
              <w:spacing w:after="0" w:line="240" w:lineRule="auto"/>
              <w:rPr>
                <w:rFonts w:eastAsia="Times New Roman" w:cstheme="minorHAnsi"/>
                <w:b/>
                <w:lang w:eastAsia="en-NZ"/>
              </w:rPr>
            </w:pPr>
            <w:r w:rsidRPr="008E18E2">
              <w:rPr>
                <w:rFonts w:eastAsia="Times New Roman" w:cstheme="minorHAnsi"/>
                <w:b/>
                <w:lang w:eastAsia="en-NZ"/>
              </w:rPr>
              <w:lastRenderedPageBreak/>
              <w:t>Availability</w:t>
            </w:r>
          </w:p>
        </w:tc>
      </w:tr>
      <w:tr w:rsidR="00FD51FE" w:rsidRPr="008E18E2" w:rsidTr="00FE57D6">
        <w:tblPrEx>
          <w:shd w:val="clear" w:color="auto" w:fill="auto"/>
        </w:tblPrEx>
        <w:trPr>
          <w:trHeight w:val="166"/>
        </w:trPr>
        <w:tc>
          <w:tcPr>
            <w:tcW w:w="3543" w:type="dxa"/>
            <w:tcBorders>
              <w:left w:val="single" w:sz="4" w:space="0" w:color="FF0000"/>
              <w:bottom w:val="single" w:sz="8" w:space="0" w:color="FF0000"/>
              <w:right w:val="single" w:sz="4" w:space="0" w:color="FF0000"/>
            </w:tcBorders>
            <w:shd w:val="clear" w:color="auto" w:fill="auto"/>
            <w:hideMark/>
          </w:tcPr>
          <w:p w:rsidR="00FD51FE" w:rsidRPr="008E18E2" w:rsidRDefault="00FD51FE" w:rsidP="00FE57D6">
            <w:pPr>
              <w:spacing w:after="0" w:line="240" w:lineRule="auto"/>
              <w:rPr>
                <w:rFonts w:eastAsia="Times New Roman" w:cstheme="minorHAnsi"/>
                <w:color w:val="000000"/>
                <w:sz w:val="20"/>
                <w:lang w:eastAsia="en-NZ"/>
              </w:rPr>
            </w:pPr>
            <w:r w:rsidRPr="008E18E2">
              <w:rPr>
                <w:rFonts w:eastAsia="Times New Roman" w:cstheme="minorHAnsi"/>
                <w:color w:val="000000"/>
                <w:sz w:val="20"/>
                <w:lang w:eastAsia="en-NZ"/>
              </w:rPr>
              <w:t>City parking occupancy during weekdays (08:00-18:00)</w:t>
            </w:r>
          </w:p>
        </w:tc>
        <w:tc>
          <w:tcPr>
            <w:tcW w:w="1134" w:type="dxa"/>
            <w:tcBorders>
              <w:top w:val="single" w:sz="4" w:space="0" w:color="FF0000"/>
              <w:left w:val="single" w:sz="4" w:space="0" w:color="FF0000"/>
              <w:bottom w:val="single" w:sz="4" w:space="0" w:color="FF0000"/>
              <w:right w:val="single" w:sz="4" w:space="0" w:color="FF0000"/>
            </w:tcBorders>
            <w:shd w:val="clear" w:color="auto" w:fill="auto"/>
            <w:noWrap/>
            <w:hideMark/>
          </w:tcPr>
          <w:p w:rsidR="00FD51FE" w:rsidRPr="008E18E2" w:rsidRDefault="00FD51FE" w:rsidP="00FE57D6">
            <w:pPr>
              <w:spacing w:after="0" w:line="240" w:lineRule="auto"/>
              <w:jc w:val="right"/>
              <w:rPr>
                <w:rFonts w:eastAsia="Times New Roman" w:cstheme="minorHAnsi"/>
                <w:color w:val="000000"/>
                <w:sz w:val="20"/>
                <w:lang w:eastAsia="en-NZ"/>
              </w:rPr>
            </w:pPr>
          </w:p>
        </w:tc>
        <w:tc>
          <w:tcPr>
            <w:tcW w:w="1148" w:type="dxa"/>
            <w:gridSpan w:val="2"/>
            <w:tcBorders>
              <w:top w:val="single" w:sz="4" w:space="0" w:color="FF0000"/>
              <w:left w:val="single" w:sz="4" w:space="0" w:color="FF0000"/>
              <w:bottom w:val="single" w:sz="4" w:space="0" w:color="FF0000"/>
              <w:right w:val="single" w:sz="4" w:space="0" w:color="FF0000"/>
            </w:tcBorders>
            <w:shd w:val="clear" w:color="auto" w:fill="auto"/>
            <w:noWrap/>
          </w:tcPr>
          <w:p w:rsidR="00FD51FE" w:rsidRPr="008E18E2" w:rsidRDefault="00FD51FE" w:rsidP="00FE57D6">
            <w:pPr>
              <w:spacing w:after="0" w:line="240" w:lineRule="auto"/>
              <w:jc w:val="right"/>
              <w:rPr>
                <w:rFonts w:eastAsia="Times New Roman" w:cstheme="minorHAnsi"/>
                <w:color w:val="000000"/>
                <w:sz w:val="20"/>
                <w:lang w:eastAsia="en-NZ"/>
              </w:rPr>
            </w:pPr>
            <w:r w:rsidRPr="008E18E2">
              <w:rPr>
                <w:rFonts w:eastAsia="Times New Roman" w:cstheme="minorHAnsi"/>
                <w:color w:val="000000"/>
                <w:sz w:val="20"/>
                <w:lang w:eastAsia="en-NZ"/>
              </w:rPr>
              <w:t>New</w:t>
            </w:r>
          </w:p>
        </w:tc>
        <w:tc>
          <w:tcPr>
            <w:tcW w:w="1145" w:type="dxa"/>
            <w:gridSpan w:val="2"/>
            <w:tcBorders>
              <w:top w:val="single" w:sz="4" w:space="0" w:color="FF0000"/>
              <w:left w:val="single" w:sz="4" w:space="0" w:color="FF0000"/>
              <w:bottom w:val="single" w:sz="4" w:space="0" w:color="FF0000"/>
              <w:right w:val="single" w:sz="4" w:space="0" w:color="FF0000"/>
            </w:tcBorders>
            <w:shd w:val="clear" w:color="auto" w:fill="auto"/>
            <w:noWrap/>
            <w:hideMark/>
          </w:tcPr>
          <w:p w:rsidR="00FD51FE" w:rsidRPr="008E18E2" w:rsidRDefault="00FD51FE" w:rsidP="00FE57D6">
            <w:pPr>
              <w:spacing w:after="0" w:line="240" w:lineRule="auto"/>
              <w:jc w:val="right"/>
              <w:rPr>
                <w:rFonts w:eastAsia="Times New Roman" w:cstheme="minorHAnsi"/>
                <w:color w:val="000000"/>
                <w:sz w:val="20"/>
                <w:lang w:eastAsia="en-NZ"/>
              </w:rPr>
            </w:pPr>
            <w:r w:rsidRPr="008E18E2">
              <w:rPr>
                <w:rFonts w:eastAsia="Times New Roman" w:cstheme="minorHAnsi"/>
                <w:color w:val="000000"/>
                <w:sz w:val="20"/>
                <w:lang w:eastAsia="en-NZ"/>
              </w:rPr>
              <w:t>57%</w:t>
            </w:r>
          </w:p>
        </w:tc>
        <w:tc>
          <w:tcPr>
            <w:tcW w:w="1041" w:type="dxa"/>
            <w:gridSpan w:val="2"/>
            <w:tcBorders>
              <w:top w:val="single" w:sz="4" w:space="0" w:color="FF0000"/>
              <w:left w:val="single" w:sz="4" w:space="0" w:color="FF0000"/>
              <w:bottom w:val="single" w:sz="4" w:space="0" w:color="FF0000"/>
              <w:right w:val="single" w:sz="4" w:space="0" w:color="FF0000"/>
            </w:tcBorders>
            <w:shd w:val="clear" w:color="000000" w:fill="D9D9D9"/>
            <w:hideMark/>
          </w:tcPr>
          <w:p w:rsidR="00FD51FE" w:rsidRPr="008E18E2" w:rsidRDefault="00FD51FE" w:rsidP="00FE57D6">
            <w:pPr>
              <w:spacing w:after="0" w:line="240" w:lineRule="auto"/>
              <w:jc w:val="right"/>
              <w:rPr>
                <w:rFonts w:eastAsia="Times New Roman" w:cstheme="minorHAnsi"/>
                <w:color w:val="000000"/>
                <w:sz w:val="20"/>
                <w:lang w:eastAsia="en-NZ"/>
              </w:rPr>
            </w:pPr>
            <w:r w:rsidRPr="008E18E2">
              <w:rPr>
                <w:rFonts w:eastAsia="Times New Roman" w:cstheme="minorHAnsi"/>
                <w:color w:val="000000"/>
                <w:sz w:val="20"/>
                <w:lang w:eastAsia="en-NZ"/>
              </w:rPr>
              <w:t>&lt;85% changes to range 65-85%</w:t>
            </w:r>
          </w:p>
        </w:tc>
        <w:tc>
          <w:tcPr>
            <w:tcW w:w="826" w:type="dxa"/>
            <w:gridSpan w:val="3"/>
            <w:tcBorders>
              <w:top w:val="single" w:sz="4" w:space="0" w:color="FF0000"/>
              <w:left w:val="single" w:sz="4" w:space="0" w:color="FF0000"/>
              <w:bottom w:val="single" w:sz="4" w:space="0" w:color="FF0000"/>
              <w:right w:val="single" w:sz="4" w:space="0" w:color="FF0000"/>
            </w:tcBorders>
            <w:shd w:val="clear" w:color="auto" w:fill="auto"/>
            <w:hideMark/>
          </w:tcPr>
          <w:p w:rsidR="00FD51FE" w:rsidRPr="008E18E2" w:rsidRDefault="00FD51FE" w:rsidP="00FE57D6">
            <w:pPr>
              <w:spacing w:after="0" w:line="240" w:lineRule="auto"/>
              <w:jc w:val="right"/>
              <w:rPr>
                <w:rFonts w:eastAsia="Times New Roman" w:cstheme="minorHAnsi"/>
                <w:sz w:val="20"/>
                <w:lang w:eastAsia="en-NZ"/>
              </w:rPr>
            </w:pPr>
            <w:r w:rsidRPr="008E18E2">
              <w:rPr>
                <w:rFonts w:eastAsia="Times New Roman" w:cstheme="minorHAnsi"/>
                <w:sz w:val="20"/>
                <w:lang w:eastAsia="en-NZ"/>
              </w:rPr>
              <w:t>-12%</w:t>
            </w:r>
          </w:p>
        </w:tc>
        <w:tc>
          <w:tcPr>
            <w:tcW w:w="893" w:type="dxa"/>
            <w:gridSpan w:val="2"/>
            <w:tcBorders>
              <w:top w:val="single" w:sz="4" w:space="0" w:color="FF0000"/>
              <w:left w:val="single" w:sz="4" w:space="0" w:color="FF0000"/>
              <w:bottom w:val="single" w:sz="4" w:space="0" w:color="FF0000"/>
              <w:right w:val="single" w:sz="4" w:space="0" w:color="FF0000"/>
            </w:tcBorders>
            <w:shd w:val="clear" w:color="auto" w:fill="auto"/>
            <w:hideMark/>
          </w:tcPr>
          <w:p w:rsidR="00FD51FE" w:rsidRPr="008E18E2" w:rsidRDefault="00FD51FE" w:rsidP="00FE57D6">
            <w:pPr>
              <w:spacing w:after="0" w:line="240" w:lineRule="auto"/>
              <w:jc w:val="right"/>
              <w:rPr>
                <w:rFonts w:eastAsia="Times New Roman" w:cstheme="minorHAnsi"/>
                <w:sz w:val="20"/>
                <w:lang w:eastAsia="en-NZ"/>
              </w:rPr>
            </w:pPr>
            <w:r w:rsidRPr="008E18E2">
              <w:rPr>
                <w:rFonts w:eastAsia="Times New Roman" w:cstheme="minorHAnsi"/>
                <w:sz w:val="20"/>
                <w:lang w:eastAsia="en-NZ"/>
              </w:rPr>
              <w:t>not met</w:t>
            </w:r>
          </w:p>
        </w:tc>
        <w:tc>
          <w:tcPr>
            <w:tcW w:w="4871" w:type="dxa"/>
            <w:tcBorders>
              <w:left w:val="single" w:sz="4" w:space="0" w:color="FF0000"/>
              <w:bottom w:val="single" w:sz="8" w:space="0" w:color="FF0000"/>
              <w:right w:val="nil"/>
            </w:tcBorders>
            <w:shd w:val="clear" w:color="auto" w:fill="auto"/>
            <w:hideMark/>
          </w:tcPr>
          <w:p w:rsidR="00FD51FE" w:rsidRPr="008E18E2" w:rsidRDefault="00FD51FE" w:rsidP="00FE57D6">
            <w:pPr>
              <w:spacing w:after="0" w:line="240" w:lineRule="auto"/>
              <w:rPr>
                <w:rFonts w:cstheme="minorHAnsi"/>
                <w:color w:val="000000"/>
                <w:sz w:val="20"/>
                <w:szCs w:val="20"/>
              </w:rPr>
            </w:pPr>
            <w:r w:rsidRPr="008E18E2">
              <w:rPr>
                <w:rFonts w:cstheme="minorHAnsi"/>
                <w:color w:val="000000"/>
                <w:sz w:val="20"/>
                <w:szCs w:val="20"/>
              </w:rPr>
              <w:t>Operating changes such as the installation of parking sensors, coupon and permit price increases and previous hourly rate increases have all contributed to increased turnover of parking spaces across the city. It is important to note that this result includes parks that are not available for periods of the day – These include clearways and parks located on the outskirts of the city where occupancy may be lower.</w:t>
            </w:r>
          </w:p>
        </w:tc>
      </w:tr>
      <w:tr w:rsidR="00FD51FE" w:rsidRPr="008E18E2" w:rsidTr="00FE57D6">
        <w:tblPrEx>
          <w:shd w:val="clear" w:color="auto" w:fill="auto"/>
        </w:tblPrEx>
        <w:trPr>
          <w:trHeight w:val="753"/>
        </w:trPr>
        <w:tc>
          <w:tcPr>
            <w:tcW w:w="3543" w:type="dxa"/>
            <w:tcBorders>
              <w:top w:val="single" w:sz="8" w:space="0" w:color="FF0000"/>
              <w:left w:val="nil"/>
              <w:bottom w:val="single" w:sz="8" w:space="0" w:color="FF0000"/>
              <w:right w:val="single" w:sz="4" w:space="0" w:color="FF0000"/>
            </w:tcBorders>
            <w:shd w:val="clear" w:color="auto" w:fill="auto"/>
            <w:hideMark/>
          </w:tcPr>
          <w:p w:rsidR="00FD51FE" w:rsidRPr="008E18E2" w:rsidRDefault="00FD51FE" w:rsidP="00FE57D6">
            <w:pPr>
              <w:spacing w:after="0" w:line="240" w:lineRule="auto"/>
              <w:rPr>
                <w:rFonts w:eastAsia="Times New Roman" w:cstheme="minorHAnsi"/>
                <w:color w:val="000000"/>
                <w:sz w:val="20"/>
                <w:lang w:eastAsia="en-NZ"/>
              </w:rPr>
            </w:pPr>
            <w:r w:rsidRPr="008E18E2">
              <w:rPr>
                <w:rFonts w:eastAsia="Times New Roman" w:cstheme="minorHAnsi"/>
                <w:color w:val="000000"/>
                <w:sz w:val="20"/>
                <w:lang w:eastAsia="en-NZ"/>
              </w:rPr>
              <w:t>City parking occupancy during weekends (08:00-18:00)</w:t>
            </w:r>
          </w:p>
        </w:tc>
        <w:tc>
          <w:tcPr>
            <w:tcW w:w="1134" w:type="dxa"/>
            <w:tcBorders>
              <w:top w:val="single" w:sz="4" w:space="0" w:color="FF0000"/>
              <w:left w:val="single" w:sz="4" w:space="0" w:color="FF0000"/>
              <w:bottom w:val="single" w:sz="4" w:space="0" w:color="FF0000"/>
              <w:right w:val="single" w:sz="4" w:space="0" w:color="FF0000"/>
            </w:tcBorders>
            <w:shd w:val="clear" w:color="auto" w:fill="auto"/>
            <w:noWrap/>
            <w:hideMark/>
          </w:tcPr>
          <w:p w:rsidR="00FD51FE" w:rsidRPr="008E18E2" w:rsidRDefault="00FD51FE" w:rsidP="00FE57D6">
            <w:pPr>
              <w:spacing w:after="0" w:line="240" w:lineRule="auto"/>
              <w:jc w:val="right"/>
              <w:rPr>
                <w:rFonts w:eastAsia="Times New Roman" w:cstheme="minorHAnsi"/>
                <w:color w:val="000000"/>
                <w:sz w:val="20"/>
                <w:lang w:eastAsia="en-NZ"/>
              </w:rPr>
            </w:pPr>
          </w:p>
        </w:tc>
        <w:tc>
          <w:tcPr>
            <w:tcW w:w="1148" w:type="dxa"/>
            <w:gridSpan w:val="2"/>
            <w:tcBorders>
              <w:top w:val="single" w:sz="4" w:space="0" w:color="FF0000"/>
              <w:left w:val="single" w:sz="4" w:space="0" w:color="FF0000"/>
              <w:bottom w:val="single" w:sz="4" w:space="0" w:color="FF0000"/>
              <w:right w:val="single" w:sz="4" w:space="0" w:color="FF0000"/>
            </w:tcBorders>
            <w:shd w:val="clear" w:color="auto" w:fill="auto"/>
            <w:noWrap/>
          </w:tcPr>
          <w:p w:rsidR="00FD51FE" w:rsidRPr="008E18E2" w:rsidRDefault="00FD51FE" w:rsidP="00FE57D6">
            <w:pPr>
              <w:spacing w:after="0" w:line="240" w:lineRule="auto"/>
              <w:jc w:val="right"/>
              <w:rPr>
                <w:rFonts w:eastAsia="Times New Roman" w:cstheme="minorHAnsi"/>
                <w:color w:val="000000"/>
                <w:sz w:val="20"/>
                <w:lang w:eastAsia="en-NZ"/>
              </w:rPr>
            </w:pPr>
            <w:r w:rsidRPr="008E18E2">
              <w:rPr>
                <w:rFonts w:eastAsia="Times New Roman" w:cstheme="minorHAnsi"/>
                <w:color w:val="000000"/>
                <w:sz w:val="20"/>
                <w:lang w:eastAsia="en-NZ"/>
              </w:rPr>
              <w:t>New</w:t>
            </w:r>
          </w:p>
        </w:tc>
        <w:tc>
          <w:tcPr>
            <w:tcW w:w="1145" w:type="dxa"/>
            <w:gridSpan w:val="2"/>
            <w:tcBorders>
              <w:top w:val="single" w:sz="4" w:space="0" w:color="FF0000"/>
              <w:left w:val="single" w:sz="4" w:space="0" w:color="FF0000"/>
              <w:bottom w:val="single" w:sz="4" w:space="0" w:color="FF0000"/>
              <w:right w:val="single" w:sz="4" w:space="0" w:color="FF0000"/>
            </w:tcBorders>
            <w:shd w:val="clear" w:color="auto" w:fill="auto"/>
            <w:noWrap/>
            <w:hideMark/>
          </w:tcPr>
          <w:p w:rsidR="00FD51FE" w:rsidRPr="008E18E2" w:rsidRDefault="00FD51FE" w:rsidP="00FE57D6">
            <w:pPr>
              <w:spacing w:after="0" w:line="240" w:lineRule="auto"/>
              <w:jc w:val="right"/>
              <w:rPr>
                <w:rFonts w:eastAsia="Times New Roman" w:cstheme="minorHAnsi"/>
                <w:color w:val="000000"/>
                <w:sz w:val="20"/>
                <w:lang w:eastAsia="en-NZ"/>
              </w:rPr>
            </w:pPr>
            <w:r w:rsidRPr="008E18E2">
              <w:rPr>
                <w:rFonts w:eastAsia="Times New Roman" w:cstheme="minorHAnsi"/>
                <w:color w:val="000000"/>
                <w:sz w:val="20"/>
                <w:lang w:eastAsia="en-NZ"/>
              </w:rPr>
              <w:t>57%</w:t>
            </w:r>
          </w:p>
        </w:tc>
        <w:tc>
          <w:tcPr>
            <w:tcW w:w="1041" w:type="dxa"/>
            <w:gridSpan w:val="2"/>
            <w:tcBorders>
              <w:top w:val="single" w:sz="4" w:space="0" w:color="FF0000"/>
              <w:left w:val="single" w:sz="4" w:space="0" w:color="FF0000"/>
              <w:bottom w:val="single" w:sz="4" w:space="0" w:color="FF0000"/>
              <w:right w:val="single" w:sz="4" w:space="0" w:color="FF0000"/>
            </w:tcBorders>
            <w:shd w:val="clear" w:color="000000" w:fill="D9D9D9"/>
            <w:hideMark/>
          </w:tcPr>
          <w:p w:rsidR="00FD51FE" w:rsidRPr="008E18E2" w:rsidRDefault="00FD51FE" w:rsidP="00FE57D6">
            <w:pPr>
              <w:spacing w:after="0" w:line="240" w:lineRule="auto"/>
              <w:jc w:val="right"/>
              <w:rPr>
                <w:rFonts w:eastAsia="Times New Roman" w:cstheme="minorHAnsi"/>
                <w:color w:val="000000"/>
                <w:sz w:val="20"/>
                <w:lang w:eastAsia="en-NZ"/>
              </w:rPr>
            </w:pPr>
            <w:r w:rsidRPr="008E18E2">
              <w:rPr>
                <w:rFonts w:eastAsia="Times New Roman" w:cstheme="minorHAnsi"/>
                <w:color w:val="000000"/>
                <w:sz w:val="20"/>
                <w:lang w:eastAsia="en-NZ"/>
              </w:rPr>
              <w:t>&lt;85% changes to range 65-85%</w:t>
            </w:r>
          </w:p>
        </w:tc>
        <w:tc>
          <w:tcPr>
            <w:tcW w:w="826" w:type="dxa"/>
            <w:gridSpan w:val="3"/>
            <w:tcBorders>
              <w:top w:val="single" w:sz="4" w:space="0" w:color="FF0000"/>
              <w:left w:val="single" w:sz="4" w:space="0" w:color="FF0000"/>
              <w:bottom w:val="single" w:sz="4" w:space="0" w:color="FF0000"/>
              <w:right w:val="single" w:sz="4" w:space="0" w:color="FF0000"/>
            </w:tcBorders>
            <w:shd w:val="clear" w:color="auto" w:fill="auto"/>
            <w:hideMark/>
          </w:tcPr>
          <w:p w:rsidR="00FD51FE" w:rsidRPr="008E18E2" w:rsidRDefault="00FD51FE" w:rsidP="00FE57D6">
            <w:pPr>
              <w:spacing w:after="0" w:line="240" w:lineRule="auto"/>
              <w:jc w:val="right"/>
              <w:rPr>
                <w:rFonts w:eastAsia="Times New Roman" w:cstheme="minorHAnsi"/>
                <w:sz w:val="20"/>
                <w:lang w:eastAsia="en-NZ"/>
              </w:rPr>
            </w:pPr>
            <w:r w:rsidRPr="008E18E2">
              <w:rPr>
                <w:rFonts w:eastAsia="Times New Roman" w:cstheme="minorHAnsi"/>
                <w:sz w:val="20"/>
                <w:lang w:eastAsia="en-NZ"/>
              </w:rPr>
              <w:t>-12%</w:t>
            </w:r>
          </w:p>
        </w:tc>
        <w:tc>
          <w:tcPr>
            <w:tcW w:w="893" w:type="dxa"/>
            <w:gridSpan w:val="2"/>
            <w:tcBorders>
              <w:top w:val="single" w:sz="4" w:space="0" w:color="FF0000"/>
              <w:left w:val="single" w:sz="4" w:space="0" w:color="FF0000"/>
              <w:bottom w:val="single" w:sz="4" w:space="0" w:color="FF0000"/>
              <w:right w:val="single" w:sz="4" w:space="0" w:color="FF0000"/>
            </w:tcBorders>
            <w:shd w:val="clear" w:color="auto" w:fill="auto"/>
            <w:hideMark/>
          </w:tcPr>
          <w:p w:rsidR="00FD51FE" w:rsidRPr="008E18E2" w:rsidRDefault="00FD51FE" w:rsidP="00FE57D6">
            <w:pPr>
              <w:spacing w:after="0" w:line="240" w:lineRule="auto"/>
              <w:jc w:val="right"/>
              <w:rPr>
                <w:rFonts w:eastAsia="Times New Roman" w:cstheme="minorHAnsi"/>
                <w:sz w:val="20"/>
                <w:lang w:eastAsia="en-NZ"/>
              </w:rPr>
            </w:pPr>
            <w:r w:rsidRPr="008E18E2">
              <w:rPr>
                <w:rFonts w:eastAsia="Times New Roman" w:cstheme="minorHAnsi"/>
                <w:sz w:val="20"/>
                <w:lang w:eastAsia="en-NZ"/>
              </w:rPr>
              <w:t>not met</w:t>
            </w:r>
          </w:p>
        </w:tc>
        <w:tc>
          <w:tcPr>
            <w:tcW w:w="4871" w:type="dxa"/>
            <w:tcBorders>
              <w:top w:val="single" w:sz="8" w:space="0" w:color="FF0000"/>
              <w:left w:val="single" w:sz="4" w:space="0" w:color="FF0000"/>
              <w:bottom w:val="single" w:sz="8" w:space="0" w:color="FF0000"/>
              <w:right w:val="nil"/>
            </w:tcBorders>
            <w:shd w:val="clear" w:color="auto" w:fill="auto"/>
            <w:hideMark/>
          </w:tcPr>
          <w:p w:rsidR="00FD51FE" w:rsidRPr="008E18E2" w:rsidRDefault="00FD51FE" w:rsidP="00FE57D6">
            <w:pPr>
              <w:spacing w:after="0" w:line="240" w:lineRule="auto"/>
              <w:rPr>
                <w:rFonts w:cstheme="minorHAnsi"/>
                <w:color w:val="000000"/>
                <w:sz w:val="20"/>
                <w:szCs w:val="20"/>
              </w:rPr>
            </w:pPr>
            <w:r w:rsidRPr="008E18E2">
              <w:rPr>
                <w:rFonts w:cstheme="minorHAnsi"/>
                <w:color w:val="000000"/>
                <w:sz w:val="20"/>
                <w:szCs w:val="20"/>
              </w:rPr>
              <w:t xml:space="preserve">Paid weekend parking was introduced on 8 September 2018 and average occupancy rates since then have decreased when compared with previous years. The weekend occupancy rates have been consistent since paid parking was introduced.  The previous methodology used to measure occupancy by way of a manual survey has overstated occupancy in the past.  </w:t>
            </w:r>
          </w:p>
        </w:tc>
      </w:tr>
      <w:tr w:rsidR="00FD51FE" w:rsidRPr="008E18E2" w:rsidTr="00FE57D6">
        <w:tblPrEx>
          <w:shd w:val="clear" w:color="auto" w:fill="auto"/>
        </w:tblPrEx>
        <w:trPr>
          <w:trHeight w:val="270"/>
        </w:trPr>
        <w:tc>
          <w:tcPr>
            <w:tcW w:w="3543" w:type="dxa"/>
            <w:tcBorders>
              <w:top w:val="nil"/>
              <w:left w:val="nil"/>
              <w:bottom w:val="single" w:sz="8" w:space="0" w:color="FF0000"/>
              <w:right w:val="single" w:sz="4" w:space="0" w:color="FF0000"/>
            </w:tcBorders>
            <w:shd w:val="clear" w:color="auto" w:fill="auto"/>
            <w:hideMark/>
          </w:tcPr>
          <w:p w:rsidR="00FD51FE" w:rsidRPr="008E18E2" w:rsidRDefault="00FD51FE" w:rsidP="00FE57D6">
            <w:pPr>
              <w:spacing w:after="0" w:line="240" w:lineRule="auto"/>
              <w:rPr>
                <w:rFonts w:eastAsia="Times New Roman" w:cstheme="minorHAnsi"/>
                <w:color w:val="000000"/>
                <w:sz w:val="20"/>
                <w:lang w:eastAsia="en-NZ"/>
              </w:rPr>
            </w:pPr>
            <w:r w:rsidRPr="008E18E2">
              <w:rPr>
                <w:rFonts w:eastAsia="Times New Roman" w:cstheme="minorHAnsi"/>
                <w:color w:val="000000"/>
                <w:sz w:val="20"/>
                <w:lang w:eastAsia="en-NZ"/>
              </w:rPr>
              <w:t>Residents (%) satisfaction with the availability of on-street car parking (weekdays)</w:t>
            </w:r>
          </w:p>
        </w:tc>
        <w:tc>
          <w:tcPr>
            <w:tcW w:w="1134" w:type="dxa"/>
            <w:tcBorders>
              <w:top w:val="single" w:sz="4" w:space="0" w:color="FF0000"/>
              <w:left w:val="single" w:sz="4" w:space="0" w:color="FF0000"/>
              <w:bottom w:val="single" w:sz="4" w:space="0" w:color="FF0000"/>
              <w:right w:val="single" w:sz="4" w:space="0" w:color="FF0000"/>
            </w:tcBorders>
            <w:shd w:val="clear" w:color="auto" w:fill="auto"/>
            <w:noWrap/>
            <w:hideMark/>
          </w:tcPr>
          <w:p w:rsidR="00FD51FE" w:rsidRPr="008E18E2" w:rsidRDefault="00FD51FE" w:rsidP="00FE57D6">
            <w:pPr>
              <w:spacing w:after="0" w:line="240" w:lineRule="auto"/>
              <w:jc w:val="right"/>
              <w:rPr>
                <w:rFonts w:eastAsia="Times New Roman" w:cstheme="minorHAnsi"/>
                <w:color w:val="000000"/>
                <w:sz w:val="20"/>
                <w:lang w:eastAsia="en-NZ"/>
              </w:rPr>
            </w:pPr>
            <w:r w:rsidRPr="008E18E2">
              <w:rPr>
                <w:rFonts w:eastAsia="Times New Roman" w:cstheme="minorHAnsi"/>
                <w:color w:val="000000"/>
                <w:sz w:val="20"/>
                <w:lang w:eastAsia="en-NZ"/>
              </w:rPr>
              <w:t>27%</w:t>
            </w:r>
          </w:p>
        </w:tc>
        <w:tc>
          <w:tcPr>
            <w:tcW w:w="1148" w:type="dxa"/>
            <w:gridSpan w:val="2"/>
            <w:tcBorders>
              <w:top w:val="single" w:sz="4" w:space="0" w:color="FF0000"/>
              <w:left w:val="single" w:sz="4" w:space="0" w:color="FF0000"/>
              <w:bottom w:val="single" w:sz="4" w:space="0" w:color="FF0000"/>
              <w:right w:val="single" w:sz="4" w:space="0" w:color="FF0000"/>
            </w:tcBorders>
            <w:shd w:val="clear" w:color="auto" w:fill="auto"/>
            <w:noWrap/>
            <w:hideMark/>
          </w:tcPr>
          <w:p w:rsidR="00FD51FE" w:rsidRPr="008E18E2" w:rsidRDefault="00FD51FE" w:rsidP="00FE57D6">
            <w:pPr>
              <w:spacing w:after="0" w:line="240" w:lineRule="auto"/>
              <w:jc w:val="right"/>
              <w:rPr>
                <w:rFonts w:eastAsia="Times New Roman" w:cstheme="minorHAnsi"/>
                <w:color w:val="000000"/>
                <w:sz w:val="20"/>
                <w:lang w:eastAsia="en-NZ"/>
              </w:rPr>
            </w:pPr>
            <w:r w:rsidRPr="008E18E2">
              <w:rPr>
                <w:rFonts w:eastAsia="Times New Roman" w:cstheme="minorHAnsi"/>
                <w:color w:val="000000"/>
                <w:sz w:val="20"/>
                <w:lang w:eastAsia="en-NZ"/>
              </w:rPr>
              <w:t>26%</w:t>
            </w:r>
          </w:p>
        </w:tc>
        <w:tc>
          <w:tcPr>
            <w:tcW w:w="1145" w:type="dxa"/>
            <w:gridSpan w:val="2"/>
            <w:tcBorders>
              <w:top w:val="single" w:sz="4" w:space="0" w:color="FF0000"/>
              <w:left w:val="single" w:sz="4" w:space="0" w:color="FF0000"/>
              <w:bottom w:val="single" w:sz="4" w:space="0" w:color="FF0000"/>
              <w:right w:val="single" w:sz="4" w:space="0" w:color="FF0000"/>
            </w:tcBorders>
            <w:shd w:val="clear" w:color="auto" w:fill="auto"/>
            <w:noWrap/>
            <w:hideMark/>
          </w:tcPr>
          <w:p w:rsidR="00FD51FE" w:rsidRPr="008E18E2" w:rsidRDefault="00FD51FE" w:rsidP="00FE57D6">
            <w:pPr>
              <w:spacing w:after="0" w:line="240" w:lineRule="auto"/>
              <w:jc w:val="right"/>
              <w:rPr>
                <w:rFonts w:eastAsia="Times New Roman" w:cstheme="minorHAnsi"/>
                <w:color w:val="000000"/>
                <w:sz w:val="20"/>
                <w:lang w:eastAsia="en-NZ"/>
              </w:rPr>
            </w:pPr>
            <w:r w:rsidRPr="008E18E2">
              <w:rPr>
                <w:rFonts w:eastAsia="Times New Roman" w:cstheme="minorHAnsi"/>
                <w:color w:val="000000"/>
                <w:sz w:val="20"/>
                <w:lang w:eastAsia="en-NZ"/>
              </w:rPr>
              <w:t>26%</w:t>
            </w:r>
          </w:p>
        </w:tc>
        <w:tc>
          <w:tcPr>
            <w:tcW w:w="1041" w:type="dxa"/>
            <w:gridSpan w:val="2"/>
            <w:tcBorders>
              <w:top w:val="single" w:sz="4" w:space="0" w:color="FF0000"/>
              <w:left w:val="single" w:sz="4" w:space="0" w:color="FF0000"/>
              <w:bottom w:val="single" w:sz="4" w:space="0" w:color="FF0000"/>
              <w:right w:val="single" w:sz="4" w:space="0" w:color="FF0000"/>
            </w:tcBorders>
            <w:shd w:val="clear" w:color="000000" w:fill="D9D9D9"/>
            <w:hideMark/>
          </w:tcPr>
          <w:p w:rsidR="00FD51FE" w:rsidRPr="008E18E2" w:rsidRDefault="00FD51FE" w:rsidP="00FE57D6">
            <w:pPr>
              <w:spacing w:after="0" w:line="240" w:lineRule="auto"/>
              <w:jc w:val="right"/>
              <w:rPr>
                <w:rFonts w:eastAsia="Times New Roman" w:cstheme="minorHAnsi"/>
                <w:color w:val="000000"/>
                <w:sz w:val="20"/>
                <w:lang w:eastAsia="en-NZ"/>
              </w:rPr>
            </w:pPr>
            <w:r w:rsidRPr="008E18E2">
              <w:rPr>
                <w:rFonts w:eastAsia="Times New Roman" w:cstheme="minorHAnsi"/>
                <w:color w:val="000000"/>
                <w:sz w:val="20"/>
                <w:lang w:eastAsia="en-NZ"/>
              </w:rPr>
              <w:t>70%</w:t>
            </w:r>
          </w:p>
        </w:tc>
        <w:tc>
          <w:tcPr>
            <w:tcW w:w="826" w:type="dxa"/>
            <w:gridSpan w:val="3"/>
            <w:tcBorders>
              <w:top w:val="single" w:sz="4" w:space="0" w:color="FF0000"/>
              <w:left w:val="single" w:sz="4" w:space="0" w:color="FF0000"/>
              <w:bottom w:val="single" w:sz="4" w:space="0" w:color="FF0000"/>
              <w:right w:val="single" w:sz="4" w:space="0" w:color="FF0000"/>
            </w:tcBorders>
            <w:shd w:val="clear" w:color="auto" w:fill="auto"/>
            <w:hideMark/>
          </w:tcPr>
          <w:p w:rsidR="00FD51FE" w:rsidRPr="008E18E2" w:rsidRDefault="00FD51FE" w:rsidP="00FE57D6">
            <w:pPr>
              <w:spacing w:after="0" w:line="240" w:lineRule="auto"/>
              <w:jc w:val="right"/>
              <w:rPr>
                <w:rFonts w:eastAsia="Times New Roman" w:cstheme="minorHAnsi"/>
                <w:sz w:val="20"/>
                <w:lang w:eastAsia="en-NZ"/>
              </w:rPr>
            </w:pPr>
            <w:r w:rsidRPr="008E18E2">
              <w:rPr>
                <w:rFonts w:eastAsia="Times New Roman" w:cstheme="minorHAnsi"/>
                <w:sz w:val="20"/>
                <w:lang w:eastAsia="en-NZ"/>
              </w:rPr>
              <w:t>-63%</w:t>
            </w:r>
          </w:p>
        </w:tc>
        <w:tc>
          <w:tcPr>
            <w:tcW w:w="893" w:type="dxa"/>
            <w:gridSpan w:val="2"/>
            <w:tcBorders>
              <w:top w:val="single" w:sz="4" w:space="0" w:color="FF0000"/>
              <w:left w:val="single" w:sz="4" w:space="0" w:color="FF0000"/>
              <w:bottom w:val="single" w:sz="4" w:space="0" w:color="FF0000"/>
              <w:right w:val="single" w:sz="4" w:space="0" w:color="FF0000"/>
            </w:tcBorders>
            <w:shd w:val="clear" w:color="auto" w:fill="auto"/>
            <w:hideMark/>
          </w:tcPr>
          <w:p w:rsidR="00FD51FE" w:rsidRPr="008E18E2" w:rsidRDefault="00FD51FE" w:rsidP="00FE57D6">
            <w:pPr>
              <w:spacing w:after="0" w:line="240" w:lineRule="auto"/>
              <w:jc w:val="right"/>
              <w:rPr>
                <w:rFonts w:eastAsia="Times New Roman" w:cstheme="minorHAnsi"/>
                <w:sz w:val="20"/>
                <w:lang w:eastAsia="en-NZ"/>
              </w:rPr>
            </w:pPr>
            <w:r w:rsidRPr="008E18E2">
              <w:rPr>
                <w:rFonts w:eastAsia="Times New Roman" w:cstheme="minorHAnsi"/>
                <w:sz w:val="20"/>
                <w:lang w:eastAsia="en-NZ"/>
              </w:rPr>
              <w:t>not met</w:t>
            </w:r>
          </w:p>
        </w:tc>
        <w:tc>
          <w:tcPr>
            <w:tcW w:w="4871" w:type="dxa"/>
            <w:tcBorders>
              <w:top w:val="single" w:sz="8" w:space="0" w:color="FF0000"/>
              <w:left w:val="single" w:sz="4" w:space="0" w:color="FF0000"/>
              <w:bottom w:val="single" w:sz="8" w:space="0" w:color="FF0000"/>
              <w:right w:val="nil"/>
            </w:tcBorders>
            <w:shd w:val="clear" w:color="auto" w:fill="auto"/>
            <w:hideMark/>
          </w:tcPr>
          <w:p w:rsidR="00FD51FE" w:rsidRPr="008E18E2" w:rsidRDefault="00FD51FE" w:rsidP="00FE57D6">
            <w:pPr>
              <w:spacing w:after="0" w:line="240" w:lineRule="auto"/>
              <w:rPr>
                <w:rFonts w:eastAsia="Times New Roman" w:cstheme="minorHAnsi"/>
                <w:color w:val="000000"/>
                <w:sz w:val="20"/>
                <w:lang w:eastAsia="en-NZ"/>
              </w:rPr>
            </w:pPr>
            <w:r w:rsidRPr="008E18E2">
              <w:rPr>
                <w:rFonts w:eastAsia="Times New Roman" w:cstheme="minorHAnsi"/>
                <w:color w:val="000000"/>
                <w:sz w:val="20"/>
                <w:lang w:eastAsia="en-NZ"/>
              </w:rPr>
              <w:t>The target for this measure was increased from 50% to 70% for the 2018/19 year. Although this target was not met satisfaction levels remain consistent with previous year’s results.</w:t>
            </w:r>
          </w:p>
        </w:tc>
      </w:tr>
      <w:tr w:rsidR="00FD51FE" w:rsidRPr="008E18E2" w:rsidTr="00FE57D6">
        <w:tblPrEx>
          <w:shd w:val="clear" w:color="auto" w:fill="auto"/>
        </w:tblPrEx>
        <w:trPr>
          <w:trHeight w:val="270"/>
        </w:trPr>
        <w:tc>
          <w:tcPr>
            <w:tcW w:w="3543" w:type="dxa"/>
            <w:tcBorders>
              <w:top w:val="nil"/>
              <w:left w:val="nil"/>
              <w:bottom w:val="single" w:sz="8" w:space="0" w:color="FF0000"/>
              <w:right w:val="single" w:sz="4" w:space="0" w:color="FF0000"/>
            </w:tcBorders>
            <w:shd w:val="clear" w:color="auto" w:fill="auto"/>
            <w:hideMark/>
          </w:tcPr>
          <w:p w:rsidR="00FD51FE" w:rsidRPr="008E18E2" w:rsidRDefault="00FD51FE" w:rsidP="00FE57D6">
            <w:pPr>
              <w:spacing w:after="0" w:line="240" w:lineRule="auto"/>
              <w:rPr>
                <w:rFonts w:eastAsia="Times New Roman" w:cstheme="minorHAnsi"/>
                <w:color w:val="000000"/>
                <w:sz w:val="20"/>
                <w:lang w:eastAsia="en-NZ"/>
              </w:rPr>
            </w:pPr>
            <w:r w:rsidRPr="008E18E2">
              <w:rPr>
                <w:rFonts w:eastAsia="Times New Roman" w:cstheme="minorHAnsi"/>
                <w:color w:val="000000"/>
                <w:sz w:val="20"/>
                <w:lang w:eastAsia="en-NZ"/>
              </w:rPr>
              <w:t>Residents (%) satisfaction with the availability of on-street car parking (weekend)</w:t>
            </w:r>
          </w:p>
        </w:tc>
        <w:tc>
          <w:tcPr>
            <w:tcW w:w="1134" w:type="dxa"/>
            <w:tcBorders>
              <w:top w:val="single" w:sz="4" w:space="0" w:color="FF0000"/>
              <w:left w:val="single" w:sz="4" w:space="0" w:color="FF0000"/>
              <w:bottom w:val="single" w:sz="8" w:space="0" w:color="FF0000"/>
              <w:right w:val="single" w:sz="4" w:space="0" w:color="FF0000"/>
            </w:tcBorders>
            <w:shd w:val="clear" w:color="auto" w:fill="auto"/>
            <w:noWrap/>
            <w:hideMark/>
          </w:tcPr>
          <w:p w:rsidR="00FD51FE" w:rsidRPr="008E18E2" w:rsidRDefault="00FD51FE" w:rsidP="00FE57D6">
            <w:pPr>
              <w:spacing w:after="0" w:line="240" w:lineRule="auto"/>
              <w:jc w:val="right"/>
              <w:rPr>
                <w:rFonts w:eastAsia="Times New Roman" w:cstheme="minorHAnsi"/>
                <w:color w:val="000000"/>
                <w:sz w:val="20"/>
                <w:lang w:eastAsia="en-NZ"/>
              </w:rPr>
            </w:pPr>
            <w:r w:rsidRPr="008E18E2">
              <w:rPr>
                <w:rFonts w:eastAsia="Times New Roman" w:cstheme="minorHAnsi"/>
                <w:color w:val="000000"/>
                <w:sz w:val="20"/>
                <w:lang w:eastAsia="en-NZ"/>
              </w:rPr>
              <w:t>31%</w:t>
            </w:r>
          </w:p>
        </w:tc>
        <w:tc>
          <w:tcPr>
            <w:tcW w:w="1148" w:type="dxa"/>
            <w:gridSpan w:val="2"/>
            <w:tcBorders>
              <w:top w:val="single" w:sz="4" w:space="0" w:color="FF0000"/>
              <w:left w:val="single" w:sz="4" w:space="0" w:color="FF0000"/>
              <w:bottom w:val="single" w:sz="8" w:space="0" w:color="FF0000"/>
              <w:right w:val="single" w:sz="4" w:space="0" w:color="FF0000"/>
            </w:tcBorders>
            <w:shd w:val="clear" w:color="auto" w:fill="auto"/>
            <w:noWrap/>
            <w:hideMark/>
          </w:tcPr>
          <w:p w:rsidR="00FD51FE" w:rsidRPr="008E18E2" w:rsidRDefault="00FD51FE" w:rsidP="00FE57D6">
            <w:pPr>
              <w:spacing w:after="0" w:line="240" w:lineRule="auto"/>
              <w:jc w:val="right"/>
              <w:rPr>
                <w:rFonts w:eastAsia="Times New Roman" w:cstheme="minorHAnsi"/>
                <w:color w:val="000000"/>
                <w:sz w:val="20"/>
                <w:lang w:eastAsia="en-NZ"/>
              </w:rPr>
            </w:pPr>
            <w:r w:rsidRPr="008E18E2">
              <w:rPr>
                <w:rFonts w:eastAsia="Times New Roman" w:cstheme="minorHAnsi"/>
                <w:color w:val="000000"/>
                <w:sz w:val="20"/>
                <w:lang w:eastAsia="en-NZ"/>
              </w:rPr>
              <w:t>35%</w:t>
            </w:r>
          </w:p>
        </w:tc>
        <w:tc>
          <w:tcPr>
            <w:tcW w:w="1145" w:type="dxa"/>
            <w:gridSpan w:val="2"/>
            <w:tcBorders>
              <w:top w:val="single" w:sz="4" w:space="0" w:color="FF0000"/>
              <w:left w:val="single" w:sz="4" w:space="0" w:color="FF0000"/>
              <w:bottom w:val="single" w:sz="8" w:space="0" w:color="FF0000"/>
              <w:right w:val="single" w:sz="4" w:space="0" w:color="FF0000"/>
            </w:tcBorders>
            <w:shd w:val="clear" w:color="auto" w:fill="auto"/>
            <w:noWrap/>
            <w:hideMark/>
          </w:tcPr>
          <w:p w:rsidR="00FD51FE" w:rsidRPr="008E18E2" w:rsidRDefault="00FD51FE" w:rsidP="00FE57D6">
            <w:pPr>
              <w:spacing w:after="0" w:line="240" w:lineRule="auto"/>
              <w:jc w:val="right"/>
              <w:rPr>
                <w:rFonts w:eastAsia="Times New Roman" w:cstheme="minorHAnsi"/>
                <w:color w:val="000000"/>
                <w:sz w:val="20"/>
                <w:lang w:eastAsia="en-NZ"/>
              </w:rPr>
            </w:pPr>
            <w:r w:rsidRPr="008E18E2">
              <w:rPr>
                <w:rFonts w:eastAsia="Times New Roman" w:cstheme="minorHAnsi"/>
                <w:color w:val="000000"/>
                <w:sz w:val="20"/>
                <w:lang w:eastAsia="en-NZ"/>
              </w:rPr>
              <w:t>27%</w:t>
            </w:r>
          </w:p>
        </w:tc>
        <w:tc>
          <w:tcPr>
            <w:tcW w:w="1041" w:type="dxa"/>
            <w:gridSpan w:val="2"/>
            <w:tcBorders>
              <w:top w:val="single" w:sz="4" w:space="0" w:color="FF0000"/>
              <w:left w:val="single" w:sz="4" w:space="0" w:color="FF0000"/>
              <w:bottom w:val="single" w:sz="8" w:space="0" w:color="FF0000"/>
              <w:right w:val="single" w:sz="4" w:space="0" w:color="FF0000"/>
            </w:tcBorders>
            <w:shd w:val="clear" w:color="000000" w:fill="D9D9D9"/>
            <w:hideMark/>
          </w:tcPr>
          <w:p w:rsidR="00FD51FE" w:rsidRPr="008E18E2" w:rsidRDefault="00FD51FE" w:rsidP="00FE57D6">
            <w:pPr>
              <w:spacing w:after="0" w:line="240" w:lineRule="auto"/>
              <w:jc w:val="right"/>
              <w:rPr>
                <w:rFonts w:eastAsia="Times New Roman" w:cstheme="minorHAnsi"/>
                <w:color w:val="000000"/>
                <w:sz w:val="20"/>
                <w:lang w:eastAsia="en-NZ"/>
              </w:rPr>
            </w:pPr>
            <w:r w:rsidRPr="008E18E2">
              <w:rPr>
                <w:rFonts w:eastAsia="Times New Roman" w:cstheme="minorHAnsi"/>
                <w:color w:val="000000"/>
                <w:sz w:val="20"/>
                <w:lang w:eastAsia="en-NZ"/>
              </w:rPr>
              <w:t>70%</w:t>
            </w:r>
          </w:p>
        </w:tc>
        <w:tc>
          <w:tcPr>
            <w:tcW w:w="826" w:type="dxa"/>
            <w:gridSpan w:val="3"/>
            <w:tcBorders>
              <w:top w:val="single" w:sz="4" w:space="0" w:color="FF0000"/>
              <w:left w:val="single" w:sz="4" w:space="0" w:color="FF0000"/>
              <w:bottom w:val="single" w:sz="8" w:space="0" w:color="FF0000"/>
              <w:right w:val="single" w:sz="4" w:space="0" w:color="FF0000"/>
            </w:tcBorders>
            <w:shd w:val="clear" w:color="auto" w:fill="auto"/>
            <w:hideMark/>
          </w:tcPr>
          <w:p w:rsidR="00FD51FE" w:rsidRPr="008E18E2" w:rsidRDefault="00FD51FE" w:rsidP="00FE57D6">
            <w:pPr>
              <w:spacing w:after="0" w:line="240" w:lineRule="auto"/>
              <w:jc w:val="right"/>
              <w:rPr>
                <w:rFonts w:eastAsia="Times New Roman" w:cstheme="minorHAnsi"/>
                <w:sz w:val="20"/>
                <w:lang w:eastAsia="en-NZ"/>
              </w:rPr>
            </w:pPr>
            <w:r w:rsidRPr="008E18E2">
              <w:rPr>
                <w:rFonts w:eastAsia="Times New Roman" w:cstheme="minorHAnsi"/>
                <w:sz w:val="20"/>
                <w:lang w:eastAsia="en-NZ"/>
              </w:rPr>
              <w:t>-61%</w:t>
            </w:r>
          </w:p>
        </w:tc>
        <w:tc>
          <w:tcPr>
            <w:tcW w:w="893" w:type="dxa"/>
            <w:gridSpan w:val="2"/>
            <w:tcBorders>
              <w:top w:val="single" w:sz="4" w:space="0" w:color="FF0000"/>
              <w:left w:val="single" w:sz="4" w:space="0" w:color="FF0000"/>
              <w:bottom w:val="single" w:sz="8" w:space="0" w:color="FF0000"/>
              <w:right w:val="single" w:sz="4" w:space="0" w:color="FF0000"/>
            </w:tcBorders>
            <w:shd w:val="clear" w:color="auto" w:fill="auto"/>
            <w:hideMark/>
          </w:tcPr>
          <w:p w:rsidR="00FD51FE" w:rsidRPr="008E18E2" w:rsidRDefault="00FD51FE" w:rsidP="00FE57D6">
            <w:pPr>
              <w:spacing w:after="0" w:line="240" w:lineRule="auto"/>
              <w:jc w:val="right"/>
              <w:rPr>
                <w:rFonts w:eastAsia="Times New Roman" w:cstheme="minorHAnsi"/>
                <w:sz w:val="20"/>
                <w:lang w:eastAsia="en-NZ"/>
              </w:rPr>
            </w:pPr>
            <w:r w:rsidRPr="008E18E2">
              <w:rPr>
                <w:rFonts w:eastAsia="Times New Roman" w:cstheme="minorHAnsi"/>
                <w:sz w:val="20"/>
                <w:lang w:eastAsia="en-NZ"/>
              </w:rPr>
              <w:t>not met</w:t>
            </w:r>
          </w:p>
        </w:tc>
        <w:tc>
          <w:tcPr>
            <w:tcW w:w="4871" w:type="dxa"/>
            <w:tcBorders>
              <w:top w:val="single" w:sz="8" w:space="0" w:color="FF0000"/>
              <w:left w:val="single" w:sz="4" w:space="0" w:color="FF0000"/>
              <w:bottom w:val="single" w:sz="8" w:space="0" w:color="FF0000"/>
              <w:right w:val="nil"/>
            </w:tcBorders>
            <w:shd w:val="clear" w:color="auto" w:fill="auto"/>
            <w:hideMark/>
          </w:tcPr>
          <w:p w:rsidR="00FD51FE" w:rsidRPr="008E18E2" w:rsidRDefault="00FD51FE" w:rsidP="00FE57D6">
            <w:pPr>
              <w:spacing w:after="0" w:line="240" w:lineRule="auto"/>
              <w:rPr>
                <w:rFonts w:eastAsia="Times New Roman" w:cstheme="minorHAnsi"/>
                <w:color w:val="000000"/>
                <w:sz w:val="20"/>
                <w:lang w:eastAsia="en-NZ"/>
              </w:rPr>
            </w:pPr>
            <w:r w:rsidRPr="008E18E2">
              <w:rPr>
                <w:rFonts w:eastAsia="Times New Roman" w:cstheme="minorHAnsi"/>
                <w:color w:val="000000"/>
                <w:sz w:val="20"/>
                <w:lang w:eastAsia="en-NZ"/>
              </w:rPr>
              <w:t>The target for this measure was increased from 50% to 70% for the 2018/19 year. A lower level of satisfaction for this year may relate to the introduction of weekend parking in September 2018.</w:t>
            </w:r>
          </w:p>
        </w:tc>
      </w:tr>
    </w:tbl>
    <w:p w:rsidR="00135A2C" w:rsidRPr="00D5126A" w:rsidRDefault="00135A2C" w:rsidP="00135A2C">
      <w:r w:rsidRPr="00D5126A">
        <w:br w:type="page"/>
      </w:r>
    </w:p>
    <w:p w:rsidR="0075165F" w:rsidRPr="00610DBC" w:rsidRDefault="009F1C13" w:rsidP="00135A2C">
      <w:pPr>
        <w:pStyle w:val="Heading4"/>
        <w:rPr>
          <w:color w:val="FF0000"/>
        </w:rPr>
      </w:pPr>
      <w:r w:rsidRPr="00610DBC">
        <w:rPr>
          <w:color w:val="FF0000"/>
        </w:rPr>
        <w:lastRenderedPageBreak/>
        <w:t>Supplementary performance tables</w:t>
      </w:r>
    </w:p>
    <w:p w:rsidR="006D2410" w:rsidRDefault="006D2410" w:rsidP="002C7BF8">
      <w:pPr>
        <w:pStyle w:val="ListParagraph"/>
        <w:numPr>
          <w:ilvl w:val="0"/>
          <w:numId w:val="69"/>
        </w:numPr>
        <w:spacing w:before="240"/>
        <w:rPr>
          <w:b/>
        </w:rPr>
      </w:pPr>
      <w:r w:rsidRPr="006D2410">
        <w:rPr>
          <w:b/>
        </w:rPr>
        <w:t>Residents (%) who agree the transport system allows easy movement around the city. (This is a new question in 2019)</w:t>
      </w:r>
      <w:r>
        <w:rPr>
          <w:b/>
        </w:rPr>
        <w:t xml:space="preserve">. Three tables. </w:t>
      </w:r>
    </w:p>
    <w:p w:rsidR="006D2410" w:rsidRDefault="006D2410" w:rsidP="002C7BF8">
      <w:pPr>
        <w:pStyle w:val="ListParagraph"/>
        <w:numPr>
          <w:ilvl w:val="1"/>
          <w:numId w:val="69"/>
        </w:numPr>
        <w:spacing w:before="240" w:after="0"/>
        <w:rPr>
          <w:b/>
        </w:rPr>
      </w:pPr>
      <w:r>
        <w:rPr>
          <w:b/>
        </w:rPr>
        <w:t xml:space="preserve"> </w:t>
      </w:r>
    </w:p>
    <w:tbl>
      <w:tblPr>
        <w:tblStyle w:val="TableGrid"/>
        <w:tblW w:w="0" w:type="auto"/>
        <w:tblBorders>
          <w:top w:val="single" w:sz="4" w:space="0" w:color="FF0000"/>
          <w:left w:val="none" w:sz="0" w:space="0" w:color="auto"/>
          <w:bottom w:val="single" w:sz="4" w:space="0" w:color="FF0000"/>
          <w:right w:val="none" w:sz="0" w:space="0" w:color="auto"/>
          <w:insideH w:val="single" w:sz="4" w:space="0" w:color="FF0000"/>
          <w:insideV w:val="single" w:sz="4" w:space="0" w:color="FF0000"/>
        </w:tblBorders>
        <w:tblLook w:val="04A0" w:firstRow="1" w:lastRow="0" w:firstColumn="1" w:lastColumn="0" w:noHBand="0" w:noVBand="1"/>
      </w:tblPr>
      <w:tblGrid>
        <w:gridCol w:w="4255"/>
        <w:gridCol w:w="1465"/>
        <w:gridCol w:w="1504"/>
        <w:gridCol w:w="1546"/>
        <w:gridCol w:w="1549"/>
        <w:gridCol w:w="1106"/>
        <w:gridCol w:w="1108"/>
        <w:gridCol w:w="1404"/>
      </w:tblGrid>
      <w:tr w:rsidR="006D2410" w:rsidRPr="00D73845" w:rsidTr="00297C6D">
        <w:trPr>
          <w:trHeight w:val="790"/>
        </w:trPr>
        <w:tc>
          <w:tcPr>
            <w:tcW w:w="5719" w:type="dxa"/>
            <w:gridSpan w:val="2"/>
            <w:tcBorders>
              <w:top w:val="nil"/>
            </w:tcBorders>
            <w:vAlign w:val="center"/>
            <w:hideMark/>
          </w:tcPr>
          <w:p w:rsidR="006D2410" w:rsidRPr="00D73845" w:rsidRDefault="006D2410" w:rsidP="00FE57D6">
            <w:r w:rsidRPr="00B31FEA">
              <w:rPr>
                <w:b/>
                <w:bCs/>
                <w:i/>
                <w:sz w:val="20"/>
                <w:szCs w:val="20"/>
              </w:rPr>
              <w:t>Thinking about moving around the city, how easy is it to…</w:t>
            </w:r>
          </w:p>
        </w:tc>
        <w:tc>
          <w:tcPr>
            <w:tcW w:w="1504" w:type="dxa"/>
            <w:tcBorders>
              <w:top w:val="nil"/>
              <w:right w:val="single" w:sz="4" w:space="0" w:color="FFFFFF" w:themeColor="background1"/>
            </w:tcBorders>
            <w:shd w:val="clear" w:color="auto" w:fill="FF0000"/>
            <w:vAlign w:val="bottom"/>
            <w:hideMark/>
          </w:tcPr>
          <w:p w:rsidR="006D2410" w:rsidRPr="006D2410" w:rsidRDefault="006D2410" w:rsidP="006D2410">
            <w:pPr>
              <w:jc w:val="center"/>
              <w:rPr>
                <w:b/>
                <w:bCs/>
                <w:color w:val="FFFFFF" w:themeColor="background1"/>
                <w:szCs w:val="20"/>
              </w:rPr>
            </w:pPr>
            <w:r w:rsidRPr="006D2410">
              <w:rPr>
                <w:b/>
                <w:bCs/>
                <w:color w:val="FFFFFF" w:themeColor="background1"/>
                <w:szCs w:val="20"/>
              </w:rPr>
              <w:t>Very difficult</w:t>
            </w:r>
          </w:p>
        </w:tc>
        <w:tc>
          <w:tcPr>
            <w:tcW w:w="1546" w:type="dxa"/>
            <w:tcBorders>
              <w:top w:val="nil"/>
              <w:left w:val="single" w:sz="4" w:space="0" w:color="FFFFFF" w:themeColor="background1"/>
              <w:right w:val="single" w:sz="4" w:space="0" w:color="FFFFFF" w:themeColor="background1"/>
            </w:tcBorders>
            <w:shd w:val="clear" w:color="auto" w:fill="FF0000"/>
            <w:vAlign w:val="bottom"/>
            <w:hideMark/>
          </w:tcPr>
          <w:p w:rsidR="006D2410" w:rsidRPr="006D2410" w:rsidRDefault="006D2410" w:rsidP="006D2410">
            <w:pPr>
              <w:jc w:val="center"/>
              <w:rPr>
                <w:b/>
                <w:bCs/>
                <w:color w:val="FFFFFF" w:themeColor="background1"/>
                <w:szCs w:val="20"/>
              </w:rPr>
            </w:pPr>
            <w:r w:rsidRPr="006D2410">
              <w:rPr>
                <w:b/>
                <w:bCs/>
                <w:color w:val="FFFFFF" w:themeColor="background1"/>
                <w:szCs w:val="20"/>
              </w:rPr>
              <w:t>Quite difficult</w:t>
            </w:r>
          </w:p>
        </w:tc>
        <w:tc>
          <w:tcPr>
            <w:tcW w:w="1549" w:type="dxa"/>
            <w:tcBorders>
              <w:top w:val="nil"/>
              <w:left w:val="single" w:sz="4" w:space="0" w:color="FFFFFF" w:themeColor="background1"/>
              <w:right w:val="single" w:sz="4" w:space="0" w:color="FFFFFF" w:themeColor="background1"/>
            </w:tcBorders>
            <w:shd w:val="clear" w:color="auto" w:fill="FF0000"/>
            <w:vAlign w:val="bottom"/>
            <w:hideMark/>
          </w:tcPr>
          <w:p w:rsidR="006D2410" w:rsidRPr="006D2410" w:rsidRDefault="006D2410" w:rsidP="006D2410">
            <w:pPr>
              <w:jc w:val="center"/>
              <w:rPr>
                <w:b/>
                <w:bCs/>
                <w:color w:val="FFFFFF" w:themeColor="background1"/>
                <w:szCs w:val="20"/>
              </w:rPr>
            </w:pPr>
            <w:r w:rsidRPr="006D2410">
              <w:rPr>
                <w:b/>
                <w:bCs/>
                <w:color w:val="FFFFFF" w:themeColor="background1"/>
                <w:szCs w:val="20"/>
              </w:rPr>
              <w:t>Neither difficult nor easy</w:t>
            </w:r>
          </w:p>
        </w:tc>
        <w:tc>
          <w:tcPr>
            <w:tcW w:w="1106" w:type="dxa"/>
            <w:tcBorders>
              <w:top w:val="nil"/>
              <w:left w:val="single" w:sz="4" w:space="0" w:color="FFFFFF" w:themeColor="background1"/>
              <w:right w:val="single" w:sz="4" w:space="0" w:color="FFFFFF" w:themeColor="background1"/>
            </w:tcBorders>
            <w:shd w:val="clear" w:color="auto" w:fill="FF0000"/>
            <w:vAlign w:val="bottom"/>
            <w:hideMark/>
          </w:tcPr>
          <w:p w:rsidR="006D2410" w:rsidRPr="006D2410" w:rsidRDefault="006D2410" w:rsidP="006D2410">
            <w:pPr>
              <w:jc w:val="center"/>
              <w:rPr>
                <w:b/>
                <w:bCs/>
                <w:color w:val="FFFFFF" w:themeColor="background1"/>
                <w:szCs w:val="20"/>
              </w:rPr>
            </w:pPr>
            <w:r w:rsidRPr="006D2410">
              <w:rPr>
                <w:b/>
                <w:bCs/>
                <w:color w:val="FFFFFF" w:themeColor="background1"/>
                <w:szCs w:val="20"/>
              </w:rPr>
              <w:t>Quite easy</w:t>
            </w:r>
          </w:p>
        </w:tc>
        <w:tc>
          <w:tcPr>
            <w:tcW w:w="1108" w:type="dxa"/>
            <w:tcBorders>
              <w:top w:val="nil"/>
              <w:left w:val="single" w:sz="4" w:space="0" w:color="FFFFFF" w:themeColor="background1"/>
              <w:right w:val="single" w:sz="4" w:space="0" w:color="FFFFFF" w:themeColor="background1"/>
            </w:tcBorders>
            <w:shd w:val="clear" w:color="auto" w:fill="FF0000"/>
            <w:vAlign w:val="bottom"/>
            <w:hideMark/>
          </w:tcPr>
          <w:p w:rsidR="006D2410" w:rsidRPr="006D2410" w:rsidRDefault="006D2410" w:rsidP="006D2410">
            <w:pPr>
              <w:jc w:val="center"/>
              <w:rPr>
                <w:b/>
                <w:bCs/>
                <w:color w:val="FFFFFF" w:themeColor="background1"/>
                <w:szCs w:val="20"/>
              </w:rPr>
            </w:pPr>
            <w:r w:rsidRPr="006D2410">
              <w:rPr>
                <w:b/>
                <w:bCs/>
                <w:color w:val="FFFFFF" w:themeColor="background1"/>
                <w:szCs w:val="20"/>
              </w:rPr>
              <w:t>Very easy</w:t>
            </w:r>
          </w:p>
        </w:tc>
        <w:tc>
          <w:tcPr>
            <w:tcW w:w="1404" w:type="dxa"/>
            <w:tcBorders>
              <w:top w:val="nil"/>
              <w:left w:val="single" w:sz="4" w:space="0" w:color="FFFFFF" w:themeColor="background1"/>
              <w:bottom w:val="single" w:sz="4" w:space="0" w:color="FF0000"/>
            </w:tcBorders>
            <w:shd w:val="clear" w:color="auto" w:fill="FF0000"/>
            <w:vAlign w:val="bottom"/>
            <w:hideMark/>
          </w:tcPr>
          <w:p w:rsidR="006D2410" w:rsidRPr="006D2410" w:rsidRDefault="006D2410" w:rsidP="006D2410">
            <w:pPr>
              <w:jc w:val="center"/>
              <w:rPr>
                <w:b/>
                <w:bCs/>
                <w:color w:val="FFFFFF" w:themeColor="background1"/>
                <w:szCs w:val="20"/>
              </w:rPr>
            </w:pPr>
            <w:r w:rsidRPr="006D2410">
              <w:rPr>
                <w:b/>
                <w:bCs/>
                <w:color w:val="FFFFFF" w:themeColor="background1"/>
                <w:szCs w:val="20"/>
              </w:rPr>
              <w:t>Reported result</w:t>
            </w:r>
          </w:p>
        </w:tc>
      </w:tr>
      <w:tr w:rsidR="006D2410" w:rsidRPr="00D73845" w:rsidTr="00297C6D">
        <w:trPr>
          <w:trHeight w:val="263"/>
        </w:trPr>
        <w:tc>
          <w:tcPr>
            <w:tcW w:w="4255" w:type="dxa"/>
            <w:noWrap/>
            <w:hideMark/>
          </w:tcPr>
          <w:p w:rsidR="006D2410" w:rsidRPr="00D73845" w:rsidRDefault="006D2410" w:rsidP="00FE57D6">
            <w:r w:rsidRPr="00D73845">
              <w:t>Drive around in the city</w:t>
            </w:r>
          </w:p>
        </w:tc>
        <w:tc>
          <w:tcPr>
            <w:tcW w:w="1465" w:type="dxa"/>
            <w:noWrap/>
            <w:hideMark/>
          </w:tcPr>
          <w:p w:rsidR="006D2410" w:rsidRPr="00D73845" w:rsidRDefault="006D2410" w:rsidP="00FE57D6">
            <w:r w:rsidRPr="00D73845">
              <w:t>2019 n=443</w:t>
            </w:r>
          </w:p>
        </w:tc>
        <w:tc>
          <w:tcPr>
            <w:tcW w:w="1504" w:type="dxa"/>
            <w:noWrap/>
            <w:hideMark/>
          </w:tcPr>
          <w:p w:rsidR="006D2410" w:rsidRPr="00D73845" w:rsidRDefault="006D2410" w:rsidP="00FE57D6">
            <w:r w:rsidRPr="00D73845">
              <w:t>5.1%</w:t>
            </w:r>
          </w:p>
        </w:tc>
        <w:tc>
          <w:tcPr>
            <w:tcW w:w="1546" w:type="dxa"/>
            <w:noWrap/>
            <w:hideMark/>
          </w:tcPr>
          <w:p w:rsidR="006D2410" w:rsidRPr="00D73845" w:rsidRDefault="006D2410" w:rsidP="00FE57D6">
            <w:r w:rsidRPr="00D73845">
              <w:t>28.6%</w:t>
            </w:r>
          </w:p>
        </w:tc>
        <w:tc>
          <w:tcPr>
            <w:tcW w:w="1549" w:type="dxa"/>
            <w:noWrap/>
            <w:hideMark/>
          </w:tcPr>
          <w:p w:rsidR="006D2410" w:rsidRPr="00D73845" w:rsidRDefault="006D2410" w:rsidP="00FE57D6">
            <w:r w:rsidRPr="00D73845">
              <w:t>27.5%</w:t>
            </w:r>
          </w:p>
        </w:tc>
        <w:tc>
          <w:tcPr>
            <w:tcW w:w="1106" w:type="dxa"/>
            <w:noWrap/>
            <w:hideMark/>
          </w:tcPr>
          <w:p w:rsidR="006D2410" w:rsidRPr="00D73845" w:rsidRDefault="006D2410" w:rsidP="00FE57D6">
            <w:r w:rsidRPr="00D73845">
              <w:t>32.7%</w:t>
            </w:r>
          </w:p>
        </w:tc>
        <w:tc>
          <w:tcPr>
            <w:tcW w:w="1108" w:type="dxa"/>
            <w:noWrap/>
            <w:hideMark/>
          </w:tcPr>
          <w:p w:rsidR="006D2410" w:rsidRPr="00D73845" w:rsidRDefault="006D2410" w:rsidP="00FE57D6">
            <w:r w:rsidRPr="00D73845">
              <w:t>6.2%</w:t>
            </w:r>
          </w:p>
        </w:tc>
        <w:tc>
          <w:tcPr>
            <w:tcW w:w="1404" w:type="dxa"/>
            <w:shd w:val="pct10" w:color="auto" w:fill="auto"/>
            <w:noWrap/>
            <w:hideMark/>
          </w:tcPr>
          <w:p w:rsidR="006D2410" w:rsidRPr="00D73845" w:rsidRDefault="006D2410" w:rsidP="00FE57D6">
            <w:r w:rsidRPr="00D73845">
              <w:t>38.9%</w:t>
            </w:r>
          </w:p>
        </w:tc>
      </w:tr>
      <w:tr w:rsidR="006D2410" w:rsidRPr="00D73845" w:rsidTr="00297C6D">
        <w:trPr>
          <w:trHeight w:val="263"/>
        </w:trPr>
        <w:tc>
          <w:tcPr>
            <w:tcW w:w="4255" w:type="dxa"/>
            <w:noWrap/>
            <w:hideMark/>
          </w:tcPr>
          <w:p w:rsidR="006D2410" w:rsidRPr="00D73845" w:rsidRDefault="006D2410" w:rsidP="00FE57D6">
            <w:r w:rsidRPr="00D73845">
              <w:t>Cycle around in the city</w:t>
            </w:r>
          </w:p>
        </w:tc>
        <w:tc>
          <w:tcPr>
            <w:tcW w:w="1465" w:type="dxa"/>
            <w:noWrap/>
            <w:hideMark/>
          </w:tcPr>
          <w:p w:rsidR="006D2410" w:rsidRPr="00D73845" w:rsidRDefault="006D2410" w:rsidP="00FE57D6">
            <w:r w:rsidRPr="00D73845">
              <w:t>2019 n=247</w:t>
            </w:r>
          </w:p>
        </w:tc>
        <w:tc>
          <w:tcPr>
            <w:tcW w:w="1504" w:type="dxa"/>
            <w:noWrap/>
            <w:hideMark/>
          </w:tcPr>
          <w:p w:rsidR="006D2410" w:rsidRPr="00D73845" w:rsidRDefault="006D2410" w:rsidP="00FE57D6">
            <w:r w:rsidRPr="00D73845">
              <w:t>14.2%</w:t>
            </w:r>
          </w:p>
        </w:tc>
        <w:tc>
          <w:tcPr>
            <w:tcW w:w="1546" w:type="dxa"/>
            <w:noWrap/>
            <w:hideMark/>
          </w:tcPr>
          <w:p w:rsidR="006D2410" w:rsidRPr="00D73845" w:rsidRDefault="006D2410" w:rsidP="00FE57D6">
            <w:r w:rsidRPr="00D73845">
              <w:t>37.9%</w:t>
            </w:r>
          </w:p>
        </w:tc>
        <w:tc>
          <w:tcPr>
            <w:tcW w:w="1549" w:type="dxa"/>
            <w:noWrap/>
            <w:hideMark/>
          </w:tcPr>
          <w:p w:rsidR="006D2410" w:rsidRPr="00D73845" w:rsidRDefault="006D2410" w:rsidP="00FE57D6">
            <w:r w:rsidRPr="00D73845">
              <w:t>18.9%</w:t>
            </w:r>
          </w:p>
        </w:tc>
        <w:tc>
          <w:tcPr>
            <w:tcW w:w="1106" w:type="dxa"/>
            <w:noWrap/>
            <w:hideMark/>
          </w:tcPr>
          <w:p w:rsidR="006D2410" w:rsidRPr="00D73845" w:rsidRDefault="006D2410" w:rsidP="00FE57D6">
            <w:r w:rsidRPr="00D73845">
              <w:t>23.5%</w:t>
            </w:r>
          </w:p>
        </w:tc>
        <w:tc>
          <w:tcPr>
            <w:tcW w:w="1108" w:type="dxa"/>
            <w:noWrap/>
            <w:hideMark/>
          </w:tcPr>
          <w:p w:rsidR="006D2410" w:rsidRPr="00D73845" w:rsidRDefault="006D2410" w:rsidP="00FE57D6">
            <w:r w:rsidRPr="00D73845">
              <w:t>5.4%</w:t>
            </w:r>
          </w:p>
        </w:tc>
        <w:tc>
          <w:tcPr>
            <w:tcW w:w="1404" w:type="dxa"/>
            <w:shd w:val="pct10" w:color="auto" w:fill="auto"/>
            <w:noWrap/>
            <w:hideMark/>
          </w:tcPr>
          <w:p w:rsidR="006D2410" w:rsidRPr="00D73845" w:rsidRDefault="006D2410" w:rsidP="00FE57D6">
            <w:r w:rsidRPr="00D73845">
              <w:t>28.9%</w:t>
            </w:r>
          </w:p>
        </w:tc>
      </w:tr>
      <w:tr w:rsidR="006D2410" w:rsidRPr="00D73845" w:rsidTr="00297C6D">
        <w:trPr>
          <w:trHeight w:val="263"/>
        </w:trPr>
        <w:tc>
          <w:tcPr>
            <w:tcW w:w="4255" w:type="dxa"/>
            <w:noWrap/>
            <w:hideMark/>
          </w:tcPr>
          <w:p w:rsidR="006D2410" w:rsidRPr="00D73845" w:rsidRDefault="006D2410" w:rsidP="00FE57D6">
            <w:r w:rsidRPr="00D73845">
              <w:t>Walk around in the city</w:t>
            </w:r>
          </w:p>
        </w:tc>
        <w:tc>
          <w:tcPr>
            <w:tcW w:w="1465" w:type="dxa"/>
            <w:noWrap/>
            <w:hideMark/>
          </w:tcPr>
          <w:p w:rsidR="006D2410" w:rsidRPr="00D73845" w:rsidRDefault="006D2410" w:rsidP="00FE57D6">
            <w:r w:rsidRPr="00D73845">
              <w:t>2019 n=457</w:t>
            </w:r>
          </w:p>
        </w:tc>
        <w:tc>
          <w:tcPr>
            <w:tcW w:w="1504" w:type="dxa"/>
            <w:noWrap/>
            <w:hideMark/>
          </w:tcPr>
          <w:p w:rsidR="006D2410" w:rsidRPr="00D73845" w:rsidRDefault="006D2410" w:rsidP="00FE57D6">
            <w:r w:rsidRPr="00D73845">
              <w:t>0.1%</w:t>
            </w:r>
          </w:p>
        </w:tc>
        <w:tc>
          <w:tcPr>
            <w:tcW w:w="1546" w:type="dxa"/>
            <w:noWrap/>
            <w:hideMark/>
          </w:tcPr>
          <w:p w:rsidR="006D2410" w:rsidRPr="00D73845" w:rsidRDefault="006D2410" w:rsidP="00FE57D6">
            <w:r w:rsidRPr="00D73845">
              <w:t>1.6%</w:t>
            </w:r>
          </w:p>
        </w:tc>
        <w:tc>
          <w:tcPr>
            <w:tcW w:w="1549" w:type="dxa"/>
            <w:noWrap/>
            <w:hideMark/>
          </w:tcPr>
          <w:p w:rsidR="006D2410" w:rsidRPr="00D73845" w:rsidRDefault="006D2410" w:rsidP="00FE57D6">
            <w:r w:rsidRPr="00D73845">
              <w:t>5.8%</w:t>
            </w:r>
          </w:p>
        </w:tc>
        <w:tc>
          <w:tcPr>
            <w:tcW w:w="1106" w:type="dxa"/>
            <w:noWrap/>
            <w:hideMark/>
          </w:tcPr>
          <w:p w:rsidR="006D2410" w:rsidRPr="00D73845" w:rsidRDefault="006D2410" w:rsidP="00FE57D6">
            <w:r w:rsidRPr="00D73845">
              <w:t>40.1%</w:t>
            </w:r>
          </w:p>
        </w:tc>
        <w:tc>
          <w:tcPr>
            <w:tcW w:w="1108" w:type="dxa"/>
            <w:noWrap/>
            <w:hideMark/>
          </w:tcPr>
          <w:p w:rsidR="006D2410" w:rsidRPr="00D73845" w:rsidRDefault="006D2410" w:rsidP="00FE57D6">
            <w:r w:rsidRPr="00D73845">
              <w:t>52.4%</w:t>
            </w:r>
          </w:p>
        </w:tc>
        <w:tc>
          <w:tcPr>
            <w:tcW w:w="1404" w:type="dxa"/>
            <w:shd w:val="pct10" w:color="auto" w:fill="auto"/>
            <w:noWrap/>
            <w:hideMark/>
          </w:tcPr>
          <w:p w:rsidR="006D2410" w:rsidRPr="00D73845" w:rsidRDefault="006D2410" w:rsidP="00FE57D6">
            <w:r w:rsidRPr="00D73845">
              <w:t>92.5%</w:t>
            </w:r>
          </w:p>
        </w:tc>
      </w:tr>
      <w:tr w:rsidR="006D2410" w:rsidRPr="00D73845" w:rsidTr="00297C6D">
        <w:trPr>
          <w:trHeight w:val="263"/>
        </w:trPr>
        <w:tc>
          <w:tcPr>
            <w:tcW w:w="4255" w:type="dxa"/>
            <w:noWrap/>
            <w:hideMark/>
          </w:tcPr>
          <w:p w:rsidR="006D2410" w:rsidRPr="00D73845" w:rsidRDefault="006D2410" w:rsidP="00FE57D6">
            <w:r w:rsidRPr="00D73845">
              <w:t>Get around on Public Transport*</w:t>
            </w:r>
          </w:p>
        </w:tc>
        <w:tc>
          <w:tcPr>
            <w:tcW w:w="1465" w:type="dxa"/>
            <w:noWrap/>
            <w:hideMark/>
          </w:tcPr>
          <w:p w:rsidR="006D2410" w:rsidRPr="00D73845" w:rsidRDefault="006D2410" w:rsidP="00FE57D6">
            <w:r w:rsidRPr="00D73845">
              <w:t>2019 n=442</w:t>
            </w:r>
          </w:p>
        </w:tc>
        <w:tc>
          <w:tcPr>
            <w:tcW w:w="1504" w:type="dxa"/>
            <w:noWrap/>
            <w:hideMark/>
          </w:tcPr>
          <w:p w:rsidR="006D2410" w:rsidRPr="00D73845" w:rsidRDefault="006D2410" w:rsidP="00FE57D6">
            <w:r w:rsidRPr="00D73845">
              <w:t>13.5%</w:t>
            </w:r>
          </w:p>
        </w:tc>
        <w:tc>
          <w:tcPr>
            <w:tcW w:w="1546" w:type="dxa"/>
            <w:noWrap/>
            <w:hideMark/>
          </w:tcPr>
          <w:p w:rsidR="006D2410" w:rsidRPr="00D73845" w:rsidRDefault="006D2410" w:rsidP="00FE57D6">
            <w:r w:rsidRPr="00D73845">
              <w:t>21.0%</w:t>
            </w:r>
          </w:p>
        </w:tc>
        <w:tc>
          <w:tcPr>
            <w:tcW w:w="1549" w:type="dxa"/>
            <w:noWrap/>
            <w:hideMark/>
          </w:tcPr>
          <w:p w:rsidR="006D2410" w:rsidRPr="00D73845" w:rsidRDefault="006D2410" w:rsidP="00FE57D6">
            <w:r w:rsidRPr="00D73845">
              <w:t>21.7%</w:t>
            </w:r>
          </w:p>
        </w:tc>
        <w:tc>
          <w:tcPr>
            <w:tcW w:w="1106" w:type="dxa"/>
            <w:noWrap/>
            <w:hideMark/>
          </w:tcPr>
          <w:p w:rsidR="006D2410" w:rsidRPr="00D73845" w:rsidRDefault="006D2410" w:rsidP="00FE57D6">
            <w:r w:rsidRPr="00D73845">
              <w:t>31.6%</w:t>
            </w:r>
          </w:p>
        </w:tc>
        <w:tc>
          <w:tcPr>
            <w:tcW w:w="1108" w:type="dxa"/>
            <w:noWrap/>
            <w:hideMark/>
          </w:tcPr>
          <w:p w:rsidR="006D2410" w:rsidRPr="00D73845" w:rsidRDefault="006D2410" w:rsidP="00FE57D6">
            <w:r w:rsidRPr="00D73845">
              <w:t>12.2%</w:t>
            </w:r>
          </w:p>
        </w:tc>
        <w:tc>
          <w:tcPr>
            <w:tcW w:w="1404" w:type="dxa"/>
            <w:shd w:val="pct10" w:color="auto" w:fill="auto"/>
            <w:noWrap/>
            <w:hideMark/>
          </w:tcPr>
          <w:p w:rsidR="006D2410" w:rsidRPr="00D73845" w:rsidRDefault="006D2410" w:rsidP="00FE57D6">
            <w:r w:rsidRPr="00D73845">
              <w:t>43.8%</w:t>
            </w:r>
          </w:p>
        </w:tc>
      </w:tr>
      <w:tr w:rsidR="006D2410" w:rsidRPr="00D73845" w:rsidTr="006D2410">
        <w:trPr>
          <w:trHeight w:val="263"/>
        </w:trPr>
        <w:tc>
          <w:tcPr>
            <w:tcW w:w="13936" w:type="dxa"/>
            <w:gridSpan w:val="8"/>
            <w:noWrap/>
            <w:hideMark/>
          </w:tcPr>
          <w:p w:rsidR="006D2410" w:rsidRPr="00430440" w:rsidRDefault="006D2410" w:rsidP="00FE57D6">
            <w:pPr>
              <w:rPr>
                <w:i/>
              </w:rPr>
            </w:pPr>
            <w:r w:rsidRPr="00430440">
              <w:rPr>
                <w:i/>
              </w:rPr>
              <w:t xml:space="preserve">Source: Wellington City Council Residents' Monitoring Survey </w:t>
            </w:r>
            <w:r w:rsidR="003E3342">
              <w:rPr>
                <w:i/>
              </w:rPr>
              <w:t>RMS</w:t>
            </w:r>
          </w:p>
        </w:tc>
      </w:tr>
    </w:tbl>
    <w:p w:rsidR="006D2410" w:rsidRPr="006D2410" w:rsidRDefault="006D2410" w:rsidP="002C7BF8">
      <w:pPr>
        <w:pStyle w:val="ListParagraph"/>
        <w:numPr>
          <w:ilvl w:val="1"/>
          <w:numId w:val="69"/>
        </w:numPr>
        <w:spacing w:after="0"/>
        <w:rPr>
          <w:b/>
        </w:rPr>
      </w:pPr>
    </w:p>
    <w:tbl>
      <w:tblPr>
        <w:tblStyle w:val="TableGrid"/>
        <w:tblW w:w="0" w:type="auto"/>
        <w:tblBorders>
          <w:top w:val="single" w:sz="4" w:space="0" w:color="FF0000"/>
          <w:left w:val="none" w:sz="0" w:space="0" w:color="auto"/>
          <w:bottom w:val="single" w:sz="4" w:space="0" w:color="FF0000"/>
          <w:right w:val="none" w:sz="0" w:space="0" w:color="auto"/>
          <w:insideH w:val="single" w:sz="4" w:space="0" w:color="FF0000"/>
          <w:insideV w:val="single" w:sz="4" w:space="0" w:color="FF0000"/>
        </w:tblBorders>
        <w:tblLook w:val="04A0" w:firstRow="1" w:lastRow="0" w:firstColumn="1" w:lastColumn="0" w:noHBand="0" w:noVBand="1"/>
      </w:tblPr>
      <w:tblGrid>
        <w:gridCol w:w="7394"/>
        <w:gridCol w:w="1583"/>
        <w:gridCol w:w="1586"/>
        <w:gridCol w:w="1133"/>
      </w:tblGrid>
      <w:tr w:rsidR="006D2410" w:rsidRPr="00D73845" w:rsidTr="006D2410">
        <w:trPr>
          <w:trHeight w:val="276"/>
        </w:trPr>
        <w:tc>
          <w:tcPr>
            <w:tcW w:w="7394" w:type="dxa"/>
            <w:vMerge w:val="restart"/>
            <w:tcBorders>
              <w:right w:val="single" w:sz="4" w:space="0" w:color="FFFFFF" w:themeColor="background1"/>
            </w:tcBorders>
            <w:noWrap/>
            <w:vAlign w:val="center"/>
            <w:hideMark/>
          </w:tcPr>
          <w:p w:rsidR="006D2410" w:rsidRPr="00D73845" w:rsidRDefault="006D2410" w:rsidP="00FE57D6">
            <w:r w:rsidRPr="00B31FEA">
              <w:rPr>
                <w:b/>
                <w:bCs/>
                <w:i/>
                <w:sz w:val="20"/>
                <w:szCs w:val="20"/>
              </w:rPr>
              <w:t>How easy is it to cycle around in the city?</w:t>
            </w:r>
          </w:p>
        </w:tc>
        <w:tc>
          <w:tcPr>
            <w:tcW w:w="158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0000"/>
            <w:noWrap/>
            <w:vAlign w:val="bottom"/>
            <w:hideMark/>
          </w:tcPr>
          <w:p w:rsidR="006D2410" w:rsidRPr="006D2410" w:rsidRDefault="006D2410" w:rsidP="006D2410">
            <w:pPr>
              <w:jc w:val="center"/>
              <w:rPr>
                <w:b/>
                <w:bCs/>
                <w:color w:val="FFFFFF" w:themeColor="background1"/>
                <w:szCs w:val="20"/>
              </w:rPr>
            </w:pPr>
            <w:r w:rsidRPr="006D2410">
              <w:rPr>
                <w:b/>
                <w:bCs/>
                <w:color w:val="FFFFFF" w:themeColor="background1"/>
                <w:szCs w:val="20"/>
              </w:rPr>
              <w:t>2017</w:t>
            </w:r>
          </w:p>
        </w:tc>
        <w:tc>
          <w:tcPr>
            <w:tcW w:w="15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0000"/>
            <w:noWrap/>
            <w:vAlign w:val="bottom"/>
            <w:hideMark/>
          </w:tcPr>
          <w:p w:rsidR="006D2410" w:rsidRPr="006D2410" w:rsidRDefault="006D2410" w:rsidP="006D2410">
            <w:pPr>
              <w:jc w:val="center"/>
              <w:rPr>
                <w:b/>
                <w:bCs/>
                <w:color w:val="FFFFFF" w:themeColor="background1"/>
                <w:szCs w:val="20"/>
              </w:rPr>
            </w:pPr>
            <w:r w:rsidRPr="006D2410">
              <w:rPr>
                <w:b/>
                <w:bCs/>
                <w:color w:val="FFFFFF" w:themeColor="background1"/>
                <w:szCs w:val="20"/>
              </w:rPr>
              <w:t>2018</w:t>
            </w:r>
          </w:p>
        </w:tc>
        <w:tc>
          <w:tcPr>
            <w:tcW w:w="113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0000"/>
            <w:noWrap/>
            <w:vAlign w:val="bottom"/>
            <w:hideMark/>
          </w:tcPr>
          <w:p w:rsidR="006D2410" w:rsidRPr="006D2410" w:rsidRDefault="006D2410" w:rsidP="006D2410">
            <w:pPr>
              <w:jc w:val="center"/>
              <w:rPr>
                <w:b/>
                <w:bCs/>
                <w:color w:val="FFFFFF" w:themeColor="background1"/>
                <w:szCs w:val="20"/>
              </w:rPr>
            </w:pPr>
            <w:r w:rsidRPr="006D2410">
              <w:rPr>
                <w:b/>
                <w:bCs/>
                <w:color w:val="FFFFFF" w:themeColor="background1"/>
                <w:szCs w:val="20"/>
              </w:rPr>
              <w:t>2019</w:t>
            </w:r>
          </w:p>
        </w:tc>
      </w:tr>
      <w:tr w:rsidR="006D2410" w:rsidRPr="00D73845" w:rsidTr="006D2410">
        <w:trPr>
          <w:trHeight w:val="276"/>
        </w:trPr>
        <w:tc>
          <w:tcPr>
            <w:tcW w:w="7394" w:type="dxa"/>
            <w:vMerge/>
            <w:noWrap/>
            <w:hideMark/>
          </w:tcPr>
          <w:p w:rsidR="006D2410" w:rsidRPr="00D73845" w:rsidRDefault="006D2410" w:rsidP="00FE57D6"/>
        </w:tc>
        <w:tc>
          <w:tcPr>
            <w:tcW w:w="1583" w:type="dxa"/>
            <w:noWrap/>
            <w:vAlign w:val="bottom"/>
            <w:hideMark/>
          </w:tcPr>
          <w:p w:rsidR="006D2410" w:rsidRPr="00D73845" w:rsidRDefault="006D2410" w:rsidP="006D2410">
            <w:pPr>
              <w:jc w:val="center"/>
            </w:pPr>
            <w:r w:rsidRPr="00D73845">
              <w:t>n=397</w:t>
            </w:r>
          </w:p>
        </w:tc>
        <w:tc>
          <w:tcPr>
            <w:tcW w:w="1586" w:type="dxa"/>
            <w:noWrap/>
            <w:vAlign w:val="bottom"/>
            <w:hideMark/>
          </w:tcPr>
          <w:p w:rsidR="006D2410" w:rsidRPr="00D73845" w:rsidRDefault="006D2410" w:rsidP="006D2410">
            <w:pPr>
              <w:jc w:val="center"/>
            </w:pPr>
            <w:r w:rsidRPr="00D73845">
              <w:t>n=591</w:t>
            </w:r>
          </w:p>
        </w:tc>
        <w:tc>
          <w:tcPr>
            <w:tcW w:w="1133" w:type="dxa"/>
            <w:tcBorders>
              <w:top w:val="single" w:sz="4" w:space="0" w:color="FFFFFF" w:themeColor="background1"/>
            </w:tcBorders>
            <w:noWrap/>
            <w:vAlign w:val="bottom"/>
            <w:hideMark/>
          </w:tcPr>
          <w:p w:rsidR="006D2410" w:rsidRPr="00D73845" w:rsidRDefault="006D2410" w:rsidP="006D2410">
            <w:pPr>
              <w:jc w:val="center"/>
            </w:pPr>
            <w:r w:rsidRPr="00D73845">
              <w:t>n=247</w:t>
            </w:r>
          </w:p>
        </w:tc>
      </w:tr>
      <w:tr w:rsidR="006D2410" w:rsidRPr="00D73845" w:rsidTr="006D2410">
        <w:trPr>
          <w:trHeight w:val="276"/>
        </w:trPr>
        <w:tc>
          <w:tcPr>
            <w:tcW w:w="7394" w:type="dxa"/>
            <w:noWrap/>
            <w:hideMark/>
          </w:tcPr>
          <w:p w:rsidR="006D2410" w:rsidRPr="00D73845" w:rsidRDefault="006D2410" w:rsidP="00FE57D6">
            <w:r w:rsidRPr="00D73845">
              <w:t xml:space="preserve">Very difficult </w:t>
            </w:r>
          </w:p>
        </w:tc>
        <w:tc>
          <w:tcPr>
            <w:tcW w:w="1583" w:type="dxa"/>
            <w:noWrap/>
            <w:vAlign w:val="bottom"/>
            <w:hideMark/>
          </w:tcPr>
          <w:p w:rsidR="006D2410" w:rsidRPr="00D73845" w:rsidRDefault="006D2410" w:rsidP="006D2410">
            <w:pPr>
              <w:jc w:val="center"/>
            </w:pPr>
            <w:r w:rsidRPr="00D73845">
              <w:t>10%</w:t>
            </w:r>
          </w:p>
        </w:tc>
        <w:tc>
          <w:tcPr>
            <w:tcW w:w="1586" w:type="dxa"/>
            <w:noWrap/>
            <w:vAlign w:val="bottom"/>
            <w:hideMark/>
          </w:tcPr>
          <w:p w:rsidR="006D2410" w:rsidRPr="00D73845" w:rsidRDefault="006D2410" w:rsidP="006D2410">
            <w:pPr>
              <w:jc w:val="center"/>
            </w:pPr>
            <w:r w:rsidRPr="00D73845">
              <w:t>11%</w:t>
            </w:r>
          </w:p>
        </w:tc>
        <w:tc>
          <w:tcPr>
            <w:tcW w:w="1133" w:type="dxa"/>
            <w:noWrap/>
            <w:vAlign w:val="bottom"/>
            <w:hideMark/>
          </w:tcPr>
          <w:p w:rsidR="006D2410" w:rsidRPr="00D73845" w:rsidRDefault="006D2410" w:rsidP="006D2410">
            <w:pPr>
              <w:jc w:val="center"/>
            </w:pPr>
            <w:r w:rsidRPr="00D73845">
              <w:t>14%</w:t>
            </w:r>
          </w:p>
        </w:tc>
      </w:tr>
      <w:tr w:rsidR="006D2410" w:rsidRPr="00D73845" w:rsidTr="006D2410">
        <w:trPr>
          <w:trHeight w:val="276"/>
        </w:trPr>
        <w:tc>
          <w:tcPr>
            <w:tcW w:w="7394" w:type="dxa"/>
            <w:noWrap/>
            <w:hideMark/>
          </w:tcPr>
          <w:p w:rsidR="006D2410" w:rsidRPr="00D73845" w:rsidRDefault="006D2410" w:rsidP="00FE57D6">
            <w:r w:rsidRPr="00D73845">
              <w:t xml:space="preserve">Quite difficult </w:t>
            </w:r>
          </w:p>
        </w:tc>
        <w:tc>
          <w:tcPr>
            <w:tcW w:w="1583" w:type="dxa"/>
            <w:noWrap/>
            <w:vAlign w:val="bottom"/>
            <w:hideMark/>
          </w:tcPr>
          <w:p w:rsidR="006D2410" w:rsidRPr="00D73845" w:rsidRDefault="006D2410" w:rsidP="006D2410">
            <w:pPr>
              <w:jc w:val="center"/>
            </w:pPr>
            <w:r w:rsidRPr="00D73845">
              <w:t>34%</w:t>
            </w:r>
          </w:p>
        </w:tc>
        <w:tc>
          <w:tcPr>
            <w:tcW w:w="1586" w:type="dxa"/>
            <w:noWrap/>
            <w:vAlign w:val="bottom"/>
            <w:hideMark/>
          </w:tcPr>
          <w:p w:rsidR="006D2410" w:rsidRPr="00D73845" w:rsidRDefault="006D2410" w:rsidP="006D2410">
            <w:pPr>
              <w:jc w:val="center"/>
            </w:pPr>
            <w:r w:rsidRPr="00D73845">
              <w:t>39%</w:t>
            </w:r>
          </w:p>
        </w:tc>
        <w:tc>
          <w:tcPr>
            <w:tcW w:w="1133" w:type="dxa"/>
            <w:noWrap/>
            <w:vAlign w:val="bottom"/>
            <w:hideMark/>
          </w:tcPr>
          <w:p w:rsidR="006D2410" w:rsidRPr="00D73845" w:rsidRDefault="006D2410" w:rsidP="006D2410">
            <w:pPr>
              <w:jc w:val="center"/>
            </w:pPr>
            <w:r w:rsidRPr="00D73845">
              <w:t>38%</w:t>
            </w:r>
          </w:p>
        </w:tc>
      </w:tr>
      <w:tr w:rsidR="006D2410" w:rsidRPr="00D73845" w:rsidTr="006D2410">
        <w:trPr>
          <w:trHeight w:val="276"/>
        </w:trPr>
        <w:tc>
          <w:tcPr>
            <w:tcW w:w="7394" w:type="dxa"/>
            <w:noWrap/>
            <w:hideMark/>
          </w:tcPr>
          <w:p w:rsidR="006D2410" w:rsidRPr="00D73845" w:rsidRDefault="006D2410" w:rsidP="00FE57D6">
            <w:r w:rsidRPr="00D73845">
              <w:t xml:space="preserve">Neither easy nor difficult </w:t>
            </w:r>
          </w:p>
        </w:tc>
        <w:tc>
          <w:tcPr>
            <w:tcW w:w="1583" w:type="dxa"/>
            <w:noWrap/>
            <w:vAlign w:val="bottom"/>
            <w:hideMark/>
          </w:tcPr>
          <w:p w:rsidR="006D2410" w:rsidRPr="00D73845" w:rsidRDefault="006D2410" w:rsidP="006D2410">
            <w:pPr>
              <w:jc w:val="center"/>
            </w:pPr>
            <w:r w:rsidRPr="00D73845">
              <w:t>20%</w:t>
            </w:r>
          </w:p>
        </w:tc>
        <w:tc>
          <w:tcPr>
            <w:tcW w:w="1586" w:type="dxa"/>
            <w:noWrap/>
            <w:vAlign w:val="bottom"/>
            <w:hideMark/>
          </w:tcPr>
          <w:p w:rsidR="006D2410" w:rsidRPr="00D73845" w:rsidRDefault="006D2410" w:rsidP="006D2410">
            <w:pPr>
              <w:jc w:val="center"/>
            </w:pPr>
            <w:r w:rsidRPr="00D73845">
              <w:t>20%</w:t>
            </w:r>
          </w:p>
        </w:tc>
        <w:tc>
          <w:tcPr>
            <w:tcW w:w="1133" w:type="dxa"/>
            <w:noWrap/>
            <w:vAlign w:val="bottom"/>
            <w:hideMark/>
          </w:tcPr>
          <w:p w:rsidR="006D2410" w:rsidRPr="00D73845" w:rsidRDefault="006D2410" w:rsidP="006D2410">
            <w:pPr>
              <w:jc w:val="center"/>
            </w:pPr>
            <w:r w:rsidRPr="00D73845">
              <w:t>19%</w:t>
            </w:r>
          </w:p>
        </w:tc>
      </w:tr>
      <w:tr w:rsidR="006D2410" w:rsidRPr="00D73845" w:rsidTr="006D2410">
        <w:trPr>
          <w:trHeight w:val="276"/>
        </w:trPr>
        <w:tc>
          <w:tcPr>
            <w:tcW w:w="7394" w:type="dxa"/>
            <w:noWrap/>
            <w:hideMark/>
          </w:tcPr>
          <w:p w:rsidR="006D2410" w:rsidRPr="00D73845" w:rsidRDefault="006D2410" w:rsidP="00FE57D6">
            <w:r w:rsidRPr="00D73845">
              <w:t xml:space="preserve">Quite easy </w:t>
            </w:r>
          </w:p>
        </w:tc>
        <w:tc>
          <w:tcPr>
            <w:tcW w:w="1583" w:type="dxa"/>
            <w:noWrap/>
            <w:vAlign w:val="bottom"/>
            <w:hideMark/>
          </w:tcPr>
          <w:p w:rsidR="006D2410" w:rsidRPr="00D73845" w:rsidRDefault="006D2410" w:rsidP="006D2410">
            <w:pPr>
              <w:jc w:val="center"/>
            </w:pPr>
            <w:r w:rsidRPr="00D73845">
              <w:t>27%</w:t>
            </w:r>
          </w:p>
        </w:tc>
        <w:tc>
          <w:tcPr>
            <w:tcW w:w="1586" w:type="dxa"/>
            <w:noWrap/>
            <w:vAlign w:val="bottom"/>
            <w:hideMark/>
          </w:tcPr>
          <w:p w:rsidR="006D2410" w:rsidRPr="00D73845" w:rsidRDefault="006D2410" w:rsidP="006D2410">
            <w:pPr>
              <w:jc w:val="center"/>
            </w:pPr>
            <w:r w:rsidRPr="00D73845">
              <w:t>25%</w:t>
            </w:r>
          </w:p>
        </w:tc>
        <w:tc>
          <w:tcPr>
            <w:tcW w:w="1133" w:type="dxa"/>
            <w:noWrap/>
            <w:vAlign w:val="bottom"/>
            <w:hideMark/>
          </w:tcPr>
          <w:p w:rsidR="006D2410" w:rsidRPr="00D73845" w:rsidRDefault="006D2410" w:rsidP="006D2410">
            <w:pPr>
              <w:jc w:val="center"/>
            </w:pPr>
            <w:r w:rsidRPr="00D73845">
              <w:t>24%</w:t>
            </w:r>
          </w:p>
        </w:tc>
      </w:tr>
      <w:tr w:rsidR="006D2410" w:rsidRPr="00D73845" w:rsidTr="00297C6D">
        <w:trPr>
          <w:trHeight w:val="276"/>
        </w:trPr>
        <w:tc>
          <w:tcPr>
            <w:tcW w:w="7394" w:type="dxa"/>
            <w:noWrap/>
            <w:hideMark/>
          </w:tcPr>
          <w:p w:rsidR="006D2410" w:rsidRPr="00D73845" w:rsidRDefault="006D2410" w:rsidP="00FE57D6">
            <w:r w:rsidRPr="00D73845">
              <w:t xml:space="preserve">Very easy </w:t>
            </w:r>
          </w:p>
        </w:tc>
        <w:tc>
          <w:tcPr>
            <w:tcW w:w="1583" w:type="dxa"/>
            <w:tcBorders>
              <w:bottom w:val="single" w:sz="4" w:space="0" w:color="FF0000"/>
            </w:tcBorders>
            <w:noWrap/>
            <w:vAlign w:val="bottom"/>
            <w:hideMark/>
          </w:tcPr>
          <w:p w:rsidR="006D2410" w:rsidRPr="00D73845" w:rsidRDefault="006D2410" w:rsidP="006D2410">
            <w:pPr>
              <w:jc w:val="center"/>
            </w:pPr>
            <w:r w:rsidRPr="00D73845">
              <w:t>10%</w:t>
            </w:r>
          </w:p>
        </w:tc>
        <w:tc>
          <w:tcPr>
            <w:tcW w:w="1586" w:type="dxa"/>
            <w:tcBorders>
              <w:bottom w:val="single" w:sz="4" w:space="0" w:color="FF0000"/>
            </w:tcBorders>
            <w:noWrap/>
            <w:vAlign w:val="bottom"/>
            <w:hideMark/>
          </w:tcPr>
          <w:p w:rsidR="006D2410" w:rsidRPr="00D73845" w:rsidRDefault="006D2410" w:rsidP="006D2410">
            <w:pPr>
              <w:jc w:val="center"/>
            </w:pPr>
            <w:r w:rsidRPr="00D73845">
              <w:t>6%</w:t>
            </w:r>
          </w:p>
        </w:tc>
        <w:tc>
          <w:tcPr>
            <w:tcW w:w="1133" w:type="dxa"/>
            <w:tcBorders>
              <w:bottom w:val="single" w:sz="4" w:space="0" w:color="FF0000"/>
            </w:tcBorders>
            <w:noWrap/>
            <w:vAlign w:val="bottom"/>
            <w:hideMark/>
          </w:tcPr>
          <w:p w:rsidR="006D2410" w:rsidRPr="00D73845" w:rsidRDefault="006D2410" w:rsidP="006D2410">
            <w:pPr>
              <w:jc w:val="center"/>
            </w:pPr>
            <w:r w:rsidRPr="00D73845">
              <w:t>5%</w:t>
            </w:r>
          </w:p>
        </w:tc>
      </w:tr>
      <w:tr w:rsidR="006D2410" w:rsidRPr="00D73845" w:rsidTr="00297C6D">
        <w:trPr>
          <w:trHeight w:val="276"/>
        </w:trPr>
        <w:tc>
          <w:tcPr>
            <w:tcW w:w="7394" w:type="dxa"/>
            <w:noWrap/>
            <w:hideMark/>
          </w:tcPr>
          <w:p w:rsidR="006D2410" w:rsidRPr="00D73845" w:rsidRDefault="006D2410" w:rsidP="00FE57D6">
            <w:r w:rsidRPr="00D73845">
              <w:t>Reported result</w:t>
            </w:r>
          </w:p>
        </w:tc>
        <w:tc>
          <w:tcPr>
            <w:tcW w:w="1583" w:type="dxa"/>
            <w:shd w:val="pct10" w:color="auto" w:fill="auto"/>
            <w:noWrap/>
            <w:vAlign w:val="bottom"/>
            <w:hideMark/>
          </w:tcPr>
          <w:p w:rsidR="006D2410" w:rsidRPr="00D73845" w:rsidRDefault="006D2410" w:rsidP="006D2410">
            <w:pPr>
              <w:jc w:val="center"/>
            </w:pPr>
            <w:r w:rsidRPr="00D73845">
              <w:t>37%</w:t>
            </w:r>
          </w:p>
        </w:tc>
        <w:tc>
          <w:tcPr>
            <w:tcW w:w="1586" w:type="dxa"/>
            <w:shd w:val="pct10" w:color="auto" w:fill="auto"/>
            <w:noWrap/>
            <w:vAlign w:val="bottom"/>
            <w:hideMark/>
          </w:tcPr>
          <w:p w:rsidR="006D2410" w:rsidRPr="00D73845" w:rsidRDefault="006D2410" w:rsidP="006D2410">
            <w:pPr>
              <w:jc w:val="center"/>
            </w:pPr>
            <w:r w:rsidRPr="00D73845">
              <w:t>31%</w:t>
            </w:r>
          </w:p>
        </w:tc>
        <w:tc>
          <w:tcPr>
            <w:tcW w:w="1133" w:type="dxa"/>
            <w:shd w:val="pct10" w:color="auto" w:fill="auto"/>
            <w:noWrap/>
            <w:vAlign w:val="bottom"/>
            <w:hideMark/>
          </w:tcPr>
          <w:p w:rsidR="006D2410" w:rsidRPr="00D73845" w:rsidRDefault="006D2410" w:rsidP="006D2410">
            <w:pPr>
              <w:jc w:val="center"/>
            </w:pPr>
            <w:r w:rsidRPr="00D73845">
              <w:t>29%</w:t>
            </w:r>
          </w:p>
        </w:tc>
      </w:tr>
      <w:tr w:rsidR="006D2410" w:rsidRPr="00430440" w:rsidTr="006D2410">
        <w:trPr>
          <w:trHeight w:val="276"/>
        </w:trPr>
        <w:tc>
          <w:tcPr>
            <w:tcW w:w="11696" w:type="dxa"/>
            <w:gridSpan w:val="4"/>
            <w:noWrap/>
            <w:hideMark/>
          </w:tcPr>
          <w:p w:rsidR="006D2410" w:rsidRPr="00430440" w:rsidRDefault="006D2410" w:rsidP="00FE57D6">
            <w:pPr>
              <w:rPr>
                <w:i/>
              </w:rPr>
            </w:pPr>
            <w:r w:rsidRPr="00430440">
              <w:rPr>
                <w:i/>
              </w:rPr>
              <w:t xml:space="preserve">Source: Wellington City Council Residents' Monitoring Survey </w:t>
            </w:r>
            <w:r w:rsidR="003E3342">
              <w:rPr>
                <w:i/>
              </w:rPr>
              <w:t>RMS</w:t>
            </w:r>
          </w:p>
        </w:tc>
      </w:tr>
    </w:tbl>
    <w:p w:rsidR="006D2410" w:rsidRDefault="006D2410" w:rsidP="002C7BF8">
      <w:pPr>
        <w:pStyle w:val="ListParagraph"/>
        <w:numPr>
          <w:ilvl w:val="1"/>
          <w:numId w:val="69"/>
        </w:numPr>
        <w:spacing w:after="0"/>
      </w:pPr>
      <w:r>
        <w:t xml:space="preserve"> </w:t>
      </w:r>
    </w:p>
    <w:tbl>
      <w:tblPr>
        <w:tblStyle w:val="TableGrid"/>
        <w:tblW w:w="0" w:type="auto"/>
        <w:tblBorders>
          <w:top w:val="single" w:sz="4" w:space="0" w:color="FF0000"/>
          <w:left w:val="none" w:sz="0" w:space="0" w:color="auto"/>
          <w:bottom w:val="single" w:sz="4" w:space="0" w:color="FF0000"/>
          <w:right w:val="none" w:sz="0" w:space="0" w:color="auto"/>
          <w:insideH w:val="single" w:sz="4" w:space="0" w:color="FF0000"/>
          <w:insideV w:val="single" w:sz="4" w:space="0" w:color="FF0000"/>
        </w:tblBorders>
        <w:tblLook w:val="04A0" w:firstRow="1" w:lastRow="0" w:firstColumn="1" w:lastColumn="0" w:noHBand="0" w:noVBand="1"/>
      </w:tblPr>
      <w:tblGrid>
        <w:gridCol w:w="4355"/>
        <w:gridCol w:w="1500"/>
        <w:gridCol w:w="1671"/>
        <w:gridCol w:w="1451"/>
        <w:gridCol w:w="1586"/>
        <w:gridCol w:w="1133"/>
      </w:tblGrid>
      <w:tr w:rsidR="006D2410" w:rsidRPr="00D73845" w:rsidTr="006D2410">
        <w:trPr>
          <w:trHeight w:val="276"/>
        </w:trPr>
        <w:tc>
          <w:tcPr>
            <w:tcW w:w="4355" w:type="dxa"/>
            <w:vMerge w:val="restart"/>
            <w:tcBorders>
              <w:right w:val="single" w:sz="4" w:space="0" w:color="FFFFFF" w:themeColor="background1"/>
            </w:tcBorders>
            <w:noWrap/>
            <w:vAlign w:val="center"/>
            <w:hideMark/>
          </w:tcPr>
          <w:p w:rsidR="006D2410" w:rsidRPr="00B31FEA" w:rsidRDefault="006D2410" w:rsidP="00FE57D6">
            <w:pPr>
              <w:rPr>
                <w:b/>
                <w:bCs/>
                <w:i/>
                <w:sz w:val="20"/>
                <w:szCs w:val="20"/>
              </w:rPr>
            </w:pPr>
            <w:r w:rsidRPr="00B31FEA">
              <w:rPr>
                <w:b/>
                <w:bCs/>
                <w:i/>
                <w:sz w:val="20"/>
                <w:szCs w:val="20"/>
              </w:rPr>
              <w:t>How easy it is to walk around the city?</w:t>
            </w:r>
          </w:p>
        </w:tc>
        <w:tc>
          <w:tcPr>
            <w:tcW w:w="15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0000"/>
            <w:noWrap/>
            <w:vAlign w:val="bottom"/>
            <w:hideMark/>
          </w:tcPr>
          <w:p w:rsidR="006D2410" w:rsidRPr="006D2410" w:rsidRDefault="006D2410" w:rsidP="006D2410">
            <w:pPr>
              <w:jc w:val="center"/>
              <w:rPr>
                <w:b/>
                <w:bCs/>
                <w:color w:val="FFFFFF" w:themeColor="background1"/>
                <w:szCs w:val="20"/>
              </w:rPr>
            </w:pPr>
            <w:r w:rsidRPr="006D2410">
              <w:rPr>
                <w:b/>
                <w:bCs/>
                <w:color w:val="FFFFFF" w:themeColor="background1"/>
                <w:szCs w:val="20"/>
              </w:rPr>
              <w:t>2015</w:t>
            </w:r>
          </w:p>
        </w:tc>
        <w:tc>
          <w:tcPr>
            <w:tcW w:w="16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0000"/>
            <w:noWrap/>
            <w:vAlign w:val="bottom"/>
            <w:hideMark/>
          </w:tcPr>
          <w:p w:rsidR="006D2410" w:rsidRPr="006D2410" w:rsidRDefault="006D2410" w:rsidP="006D2410">
            <w:pPr>
              <w:jc w:val="center"/>
              <w:rPr>
                <w:b/>
                <w:bCs/>
                <w:color w:val="FFFFFF" w:themeColor="background1"/>
                <w:szCs w:val="20"/>
              </w:rPr>
            </w:pPr>
            <w:r w:rsidRPr="006D2410">
              <w:rPr>
                <w:b/>
                <w:bCs/>
                <w:color w:val="FFFFFF" w:themeColor="background1"/>
                <w:szCs w:val="20"/>
              </w:rPr>
              <w:t>2016</w:t>
            </w:r>
          </w:p>
        </w:tc>
        <w:tc>
          <w:tcPr>
            <w:tcW w:w="14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0000"/>
            <w:noWrap/>
            <w:vAlign w:val="bottom"/>
            <w:hideMark/>
          </w:tcPr>
          <w:p w:rsidR="006D2410" w:rsidRPr="006D2410" w:rsidRDefault="006D2410" w:rsidP="006D2410">
            <w:pPr>
              <w:jc w:val="center"/>
              <w:rPr>
                <w:b/>
                <w:bCs/>
                <w:color w:val="FFFFFF" w:themeColor="background1"/>
                <w:szCs w:val="20"/>
              </w:rPr>
            </w:pPr>
            <w:r w:rsidRPr="006D2410">
              <w:rPr>
                <w:b/>
                <w:bCs/>
                <w:color w:val="FFFFFF" w:themeColor="background1"/>
                <w:szCs w:val="20"/>
              </w:rPr>
              <w:t>2017</w:t>
            </w:r>
          </w:p>
        </w:tc>
        <w:tc>
          <w:tcPr>
            <w:tcW w:w="15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0000"/>
            <w:noWrap/>
            <w:vAlign w:val="bottom"/>
            <w:hideMark/>
          </w:tcPr>
          <w:p w:rsidR="006D2410" w:rsidRPr="006D2410" w:rsidRDefault="006D2410" w:rsidP="006D2410">
            <w:pPr>
              <w:jc w:val="center"/>
              <w:rPr>
                <w:b/>
                <w:bCs/>
                <w:color w:val="FFFFFF" w:themeColor="background1"/>
                <w:szCs w:val="20"/>
              </w:rPr>
            </w:pPr>
            <w:r w:rsidRPr="006D2410">
              <w:rPr>
                <w:b/>
                <w:bCs/>
                <w:color w:val="FFFFFF" w:themeColor="background1"/>
                <w:szCs w:val="20"/>
              </w:rPr>
              <w:t>2018</w:t>
            </w:r>
          </w:p>
        </w:tc>
        <w:tc>
          <w:tcPr>
            <w:tcW w:w="113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0000"/>
            <w:noWrap/>
            <w:vAlign w:val="bottom"/>
            <w:hideMark/>
          </w:tcPr>
          <w:p w:rsidR="006D2410" w:rsidRPr="006D2410" w:rsidRDefault="006D2410" w:rsidP="006D2410">
            <w:pPr>
              <w:jc w:val="center"/>
              <w:rPr>
                <w:b/>
                <w:bCs/>
                <w:color w:val="FFFFFF" w:themeColor="background1"/>
                <w:szCs w:val="20"/>
              </w:rPr>
            </w:pPr>
            <w:r w:rsidRPr="006D2410">
              <w:rPr>
                <w:b/>
                <w:bCs/>
                <w:color w:val="FFFFFF" w:themeColor="background1"/>
                <w:szCs w:val="20"/>
              </w:rPr>
              <w:t>2019</w:t>
            </w:r>
          </w:p>
        </w:tc>
      </w:tr>
      <w:tr w:rsidR="006D2410" w:rsidRPr="00D73845" w:rsidTr="006D2410">
        <w:trPr>
          <w:trHeight w:val="276"/>
        </w:trPr>
        <w:tc>
          <w:tcPr>
            <w:tcW w:w="4355" w:type="dxa"/>
            <w:vMerge/>
            <w:noWrap/>
            <w:hideMark/>
          </w:tcPr>
          <w:p w:rsidR="006D2410" w:rsidRPr="00D73845" w:rsidRDefault="006D2410" w:rsidP="00FE57D6"/>
        </w:tc>
        <w:tc>
          <w:tcPr>
            <w:tcW w:w="1500" w:type="dxa"/>
            <w:noWrap/>
            <w:vAlign w:val="bottom"/>
            <w:hideMark/>
          </w:tcPr>
          <w:p w:rsidR="006D2410" w:rsidRPr="00D73845" w:rsidRDefault="006D2410" w:rsidP="006D2410">
            <w:pPr>
              <w:jc w:val="center"/>
            </w:pPr>
            <w:r w:rsidRPr="00D73845">
              <w:t>n=684</w:t>
            </w:r>
          </w:p>
        </w:tc>
        <w:tc>
          <w:tcPr>
            <w:tcW w:w="1671" w:type="dxa"/>
            <w:noWrap/>
            <w:vAlign w:val="bottom"/>
            <w:hideMark/>
          </w:tcPr>
          <w:p w:rsidR="006D2410" w:rsidRPr="00D73845" w:rsidRDefault="006D2410" w:rsidP="006D2410">
            <w:pPr>
              <w:jc w:val="center"/>
            </w:pPr>
            <w:r w:rsidRPr="00D73845">
              <w:t>n=673</w:t>
            </w:r>
          </w:p>
        </w:tc>
        <w:tc>
          <w:tcPr>
            <w:tcW w:w="1451" w:type="dxa"/>
            <w:noWrap/>
            <w:vAlign w:val="bottom"/>
            <w:hideMark/>
          </w:tcPr>
          <w:p w:rsidR="006D2410" w:rsidRPr="00D73845" w:rsidRDefault="006D2410" w:rsidP="006D2410">
            <w:pPr>
              <w:jc w:val="center"/>
            </w:pPr>
            <w:r w:rsidRPr="00D73845">
              <w:t>n=665</w:t>
            </w:r>
          </w:p>
        </w:tc>
        <w:tc>
          <w:tcPr>
            <w:tcW w:w="1586" w:type="dxa"/>
            <w:noWrap/>
            <w:vAlign w:val="bottom"/>
            <w:hideMark/>
          </w:tcPr>
          <w:p w:rsidR="006D2410" w:rsidRPr="00D73845" w:rsidRDefault="006D2410" w:rsidP="006D2410">
            <w:pPr>
              <w:jc w:val="center"/>
            </w:pPr>
            <w:r w:rsidRPr="00D73845">
              <w:t>n=961</w:t>
            </w:r>
          </w:p>
        </w:tc>
        <w:tc>
          <w:tcPr>
            <w:tcW w:w="1133" w:type="dxa"/>
            <w:noWrap/>
            <w:vAlign w:val="bottom"/>
            <w:hideMark/>
          </w:tcPr>
          <w:p w:rsidR="006D2410" w:rsidRPr="00D73845" w:rsidRDefault="006D2410" w:rsidP="006D2410">
            <w:pPr>
              <w:jc w:val="center"/>
            </w:pPr>
            <w:r w:rsidRPr="00D73845">
              <w:t>n=457</w:t>
            </w:r>
          </w:p>
        </w:tc>
      </w:tr>
      <w:tr w:rsidR="006D2410" w:rsidRPr="00D73845" w:rsidTr="006D2410">
        <w:trPr>
          <w:trHeight w:val="276"/>
        </w:trPr>
        <w:tc>
          <w:tcPr>
            <w:tcW w:w="4355" w:type="dxa"/>
            <w:noWrap/>
            <w:hideMark/>
          </w:tcPr>
          <w:p w:rsidR="006D2410" w:rsidRPr="00D73845" w:rsidRDefault="006D2410" w:rsidP="00FE57D6">
            <w:r w:rsidRPr="00D73845">
              <w:t xml:space="preserve">Very difficult </w:t>
            </w:r>
          </w:p>
        </w:tc>
        <w:tc>
          <w:tcPr>
            <w:tcW w:w="1500" w:type="dxa"/>
            <w:noWrap/>
            <w:vAlign w:val="bottom"/>
            <w:hideMark/>
          </w:tcPr>
          <w:p w:rsidR="006D2410" w:rsidRPr="00D73845" w:rsidRDefault="006D2410" w:rsidP="006D2410">
            <w:pPr>
              <w:jc w:val="center"/>
            </w:pPr>
            <w:r w:rsidRPr="00D73845">
              <w:t>1%</w:t>
            </w:r>
          </w:p>
        </w:tc>
        <w:tc>
          <w:tcPr>
            <w:tcW w:w="1671" w:type="dxa"/>
            <w:noWrap/>
            <w:vAlign w:val="bottom"/>
            <w:hideMark/>
          </w:tcPr>
          <w:p w:rsidR="006D2410" w:rsidRPr="00D73845" w:rsidRDefault="006D2410" w:rsidP="006D2410">
            <w:pPr>
              <w:jc w:val="center"/>
            </w:pPr>
            <w:r w:rsidRPr="00D73845">
              <w:t>1%</w:t>
            </w:r>
          </w:p>
        </w:tc>
        <w:tc>
          <w:tcPr>
            <w:tcW w:w="1451" w:type="dxa"/>
            <w:noWrap/>
            <w:vAlign w:val="bottom"/>
            <w:hideMark/>
          </w:tcPr>
          <w:p w:rsidR="006D2410" w:rsidRPr="00D73845" w:rsidRDefault="006D2410" w:rsidP="006D2410">
            <w:pPr>
              <w:jc w:val="center"/>
            </w:pPr>
            <w:r w:rsidRPr="00D73845">
              <w:t>0%</w:t>
            </w:r>
          </w:p>
        </w:tc>
        <w:tc>
          <w:tcPr>
            <w:tcW w:w="1586" w:type="dxa"/>
            <w:noWrap/>
            <w:vAlign w:val="bottom"/>
            <w:hideMark/>
          </w:tcPr>
          <w:p w:rsidR="006D2410" w:rsidRPr="00D73845" w:rsidRDefault="006D2410" w:rsidP="006D2410">
            <w:pPr>
              <w:jc w:val="center"/>
            </w:pPr>
            <w:r w:rsidRPr="00D73845">
              <w:t>0%</w:t>
            </w:r>
          </w:p>
        </w:tc>
        <w:tc>
          <w:tcPr>
            <w:tcW w:w="1133" w:type="dxa"/>
            <w:noWrap/>
            <w:vAlign w:val="bottom"/>
            <w:hideMark/>
          </w:tcPr>
          <w:p w:rsidR="006D2410" w:rsidRPr="00D73845" w:rsidRDefault="006D2410" w:rsidP="006D2410">
            <w:pPr>
              <w:jc w:val="center"/>
            </w:pPr>
            <w:r w:rsidRPr="00D73845">
              <w:t>0%</w:t>
            </w:r>
          </w:p>
        </w:tc>
      </w:tr>
      <w:tr w:rsidR="006D2410" w:rsidRPr="00D73845" w:rsidTr="006D2410">
        <w:trPr>
          <w:trHeight w:val="276"/>
        </w:trPr>
        <w:tc>
          <w:tcPr>
            <w:tcW w:w="4355" w:type="dxa"/>
            <w:noWrap/>
            <w:hideMark/>
          </w:tcPr>
          <w:p w:rsidR="006D2410" w:rsidRPr="00D73845" w:rsidRDefault="006D2410" w:rsidP="00FE57D6">
            <w:r w:rsidRPr="00D73845">
              <w:t xml:space="preserve">Quite difficult </w:t>
            </w:r>
          </w:p>
        </w:tc>
        <w:tc>
          <w:tcPr>
            <w:tcW w:w="1500" w:type="dxa"/>
            <w:noWrap/>
            <w:vAlign w:val="bottom"/>
            <w:hideMark/>
          </w:tcPr>
          <w:p w:rsidR="006D2410" w:rsidRPr="00D73845" w:rsidRDefault="006D2410" w:rsidP="006D2410">
            <w:pPr>
              <w:jc w:val="center"/>
            </w:pPr>
            <w:r w:rsidRPr="00D73845">
              <w:t>2%</w:t>
            </w:r>
          </w:p>
        </w:tc>
        <w:tc>
          <w:tcPr>
            <w:tcW w:w="1671" w:type="dxa"/>
            <w:noWrap/>
            <w:vAlign w:val="bottom"/>
            <w:hideMark/>
          </w:tcPr>
          <w:p w:rsidR="006D2410" w:rsidRPr="00D73845" w:rsidRDefault="006D2410" w:rsidP="006D2410">
            <w:pPr>
              <w:jc w:val="center"/>
            </w:pPr>
            <w:r w:rsidRPr="00D73845">
              <w:t>3%</w:t>
            </w:r>
          </w:p>
        </w:tc>
        <w:tc>
          <w:tcPr>
            <w:tcW w:w="1451" w:type="dxa"/>
            <w:noWrap/>
            <w:vAlign w:val="bottom"/>
            <w:hideMark/>
          </w:tcPr>
          <w:p w:rsidR="006D2410" w:rsidRPr="00D73845" w:rsidRDefault="006D2410" w:rsidP="006D2410">
            <w:pPr>
              <w:jc w:val="center"/>
            </w:pPr>
            <w:r w:rsidRPr="00D73845">
              <w:t>1%</w:t>
            </w:r>
          </w:p>
        </w:tc>
        <w:tc>
          <w:tcPr>
            <w:tcW w:w="1586" w:type="dxa"/>
            <w:noWrap/>
            <w:vAlign w:val="bottom"/>
            <w:hideMark/>
          </w:tcPr>
          <w:p w:rsidR="006D2410" w:rsidRPr="00D73845" w:rsidRDefault="006D2410" w:rsidP="006D2410">
            <w:pPr>
              <w:jc w:val="center"/>
            </w:pPr>
            <w:r w:rsidRPr="00D73845">
              <w:t>2%</w:t>
            </w:r>
          </w:p>
        </w:tc>
        <w:tc>
          <w:tcPr>
            <w:tcW w:w="1133" w:type="dxa"/>
            <w:noWrap/>
            <w:vAlign w:val="bottom"/>
            <w:hideMark/>
          </w:tcPr>
          <w:p w:rsidR="006D2410" w:rsidRPr="00D73845" w:rsidRDefault="006D2410" w:rsidP="006D2410">
            <w:pPr>
              <w:jc w:val="center"/>
            </w:pPr>
            <w:r w:rsidRPr="00D73845">
              <w:t>2%</w:t>
            </w:r>
          </w:p>
        </w:tc>
      </w:tr>
      <w:tr w:rsidR="006D2410" w:rsidRPr="00D73845" w:rsidTr="006D2410">
        <w:trPr>
          <w:trHeight w:val="276"/>
        </w:trPr>
        <w:tc>
          <w:tcPr>
            <w:tcW w:w="4355" w:type="dxa"/>
            <w:noWrap/>
            <w:hideMark/>
          </w:tcPr>
          <w:p w:rsidR="006D2410" w:rsidRPr="00D73845" w:rsidRDefault="006D2410" w:rsidP="00FE57D6">
            <w:r w:rsidRPr="00D73845">
              <w:t xml:space="preserve">Neither easy nor difficult </w:t>
            </w:r>
          </w:p>
        </w:tc>
        <w:tc>
          <w:tcPr>
            <w:tcW w:w="1500" w:type="dxa"/>
            <w:noWrap/>
            <w:vAlign w:val="bottom"/>
            <w:hideMark/>
          </w:tcPr>
          <w:p w:rsidR="006D2410" w:rsidRPr="00D73845" w:rsidRDefault="006D2410" w:rsidP="006D2410">
            <w:pPr>
              <w:jc w:val="center"/>
            </w:pPr>
            <w:r w:rsidRPr="00D73845">
              <w:t>10%</w:t>
            </w:r>
          </w:p>
        </w:tc>
        <w:tc>
          <w:tcPr>
            <w:tcW w:w="1671" w:type="dxa"/>
            <w:noWrap/>
            <w:vAlign w:val="bottom"/>
            <w:hideMark/>
          </w:tcPr>
          <w:p w:rsidR="006D2410" w:rsidRPr="00D73845" w:rsidRDefault="006D2410" w:rsidP="006D2410">
            <w:pPr>
              <w:jc w:val="center"/>
            </w:pPr>
            <w:r w:rsidRPr="00D73845">
              <w:t>7%</w:t>
            </w:r>
          </w:p>
        </w:tc>
        <w:tc>
          <w:tcPr>
            <w:tcW w:w="1451" w:type="dxa"/>
            <w:noWrap/>
            <w:vAlign w:val="bottom"/>
            <w:hideMark/>
          </w:tcPr>
          <w:p w:rsidR="006D2410" w:rsidRPr="00D73845" w:rsidRDefault="006D2410" w:rsidP="006D2410">
            <w:pPr>
              <w:jc w:val="center"/>
            </w:pPr>
            <w:r w:rsidRPr="00D73845">
              <w:t>6%</w:t>
            </w:r>
          </w:p>
        </w:tc>
        <w:tc>
          <w:tcPr>
            <w:tcW w:w="1586" w:type="dxa"/>
            <w:noWrap/>
            <w:vAlign w:val="bottom"/>
            <w:hideMark/>
          </w:tcPr>
          <w:p w:rsidR="006D2410" w:rsidRPr="00D73845" w:rsidRDefault="006D2410" w:rsidP="006D2410">
            <w:pPr>
              <w:jc w:val="center"/>
            </w:pPr>
            <w:r w:rsidRPr="00D73845">
              <w:t>5%</w:t>
            </w:r>
          </w:p>
        </w:tc>
        <w:tc>
          <w:tcPr>
            <w:tcW w:w="1133" w:type="dxa"/>
            <w:noWrap/>
            <w:vAlign w:val="bottom"/>
            <w:hideMark/>
          </w:tcPr>
          <w:p w:rsidR="006D2410" w:rsidRPr="00D73845" w:rsidRDefault="006D2410" w:rsidP="006D2410">
            <w:pPr>
              <w:jc w:val="center"/>
            </w:pPr>
            <w:r w:rsidRPr="00D73845">
              <w:t>6%</w:t>
            </w:r>
          </w:p>
        </w:tc>
      </w:tr>
      <w:tr w:rsidR="006D2410" w:rsidRPr="00D73845" w:rsidTr="006D2410">
        <w:trPr>
          <w:trHeight w:val="276"/>
        </w:trPr>
        <w:tc>
          <w:tcPr>
            <w:tcW w:w="4355" w:type="dxa"/>
            <w:noWrap/>
            <w:hideMark/>
          </w:tcPr>
          <w:p w:rsidR="006D2410" w:rsidRPr="00D73845" w:rsidRDefault="006D2410" w:rsidP="00FE57D6">
            <w:r w:rsidRPr="00D73845">
              <w:t xml:space="preserve">Quite easy </w:t>
            </w:r>
          </w:p>
        </w:tc>
        <w:tc>
          <w:tcPr>
            <w:tcW w:w="1500" w:type="dxa"/>
            <w:noWrap/>
            <w:vAlign w:val="bottom"/>
            <w:hideMark/>
          </w:tcPr>
          <w:p w:rsidR="006D2410" w:rsidRPr="00D73845" w:rsidRDefault="006D2410" w:rsidP="006D2410">
            <w:pPr>
              <w:jc w:val="center"/>
            </w:pPr>
            <w:r w:rsidRPr="00D73845">
              <w:t>43%</w:t>
            </w:r>
          </w:p>
        </w:tc>
        <w:tc>
          <w:tcPr>
            <w:tcW w:w="1671" w:type="dxa"/>
            <w:noWrap/>
            <w:vAlign w:val="bottom"/>
            <w:hideMark/>
          </w:tcPr>
          <w:p w:rsidR="006D2410" w:rsidRPr="00D73845" w:rsidRDefault="006D2410" w:rsidP="006D2410">
            <w:pPr>
              <w:jc w:val="center"/>
            </w:pPr>
            <w:r w:rsidRPr="00D73845">
              <w:t>46%</w:t>
            </w:r>
          </w:p>
        </w:tc>
        <w:tc>
          <w:tcPr>
            <w:tcW w:w="1451" w:type="dxa"/>
            <w:noWrap/>
            <w:vAlign w:val="bottom"/>
            <w:hideMark/>
          </w:tcPr>
          <w:p w:rsidR="006D2410" w:rsidRPr="00D73845" w:rsidRDefault="006D2410" w:rsidP="006D2410">
            <w:pPr>
              <w:jc w:val="center"/>
            </w:pPr>
            <w:r w:rsidRPr="00D73845">
              <w:t>36%</w:t>
            </w:r>
          </w:p>
        </w:tc>
        <w:tc>
          <w:tcPr>
            <w:tcW w:w="1586" w:type="dxa"/>
            <w:noWrap/>
            <w:vAlign w:val="bottom"/>
            <w:hideMark/>
          </w:tcPr>
          <w:p w:rsidR="006D2410" w:rsidRPr="00D73845" w:rsidRDefault="006D2410" w:rsidP="006D2410">
            <w:pPr>
              <w:jc w:val="center"/>
            </w:pPr>
            <w:r w:rsidRPr="00D73845">
              <w:t>42%</w:t>
            </w:r>
          </w:p>
        </w:tc>
        <w:tc>
          <w:tcPr>
            <w:tcW w:w="1133" w:type="dxa"/>
            <w:noWrap/>
            <w:vAlign w:val="bottom"/>
            <w:hideMark/>
          </w:tcPr>
          <w:p w:rsidR="006D2410" w:rsidRPr="00D73845" w:rsidRDefault="006D2410" w:rsidP="006D2410">
            <w:pPr>
              <w:jc w:val="center"/>
            </w:pPr>
            <w:r w:rsidRPr="00D73845">
              <w:t>40%</w:t>
            </w:r>
          </w:p>
        </w:tc>
      </w:tr>
      <w:tr w:rsidR="006D2410" w:rsidRPr="00D73845" w:rsidTr="00297C6D">
        <w:trPr>
          <w:trHeight w:val="276"/>
        </w:trPr>
        <w:tc>
          <w:tcPr>
            <w:tcW w:w="4355" w:type="dxa"/>
            <w:noWrap/>
            <w:hideMark/>
          </w:tcPr>
          <w:p w:rsidR="006D2410" w:rsidRPr="00D73845" w:rsidRDefault="006D2410" w:rsidP="00FE57D6">
            <w:r w:rsidRPr="00D73845">
              <w:t xml:space="preserve">Very easy </w:t>
            </w:r>
          </w:p>
        </w:tc>
        <w:tc>
          <w:tcPr>
            <w:tcW w:w="1500" w:type="dxa"/>
            <w:tcBorders>
              <w:bottom w:val="single" w:sz="4" w:space="0" w:color="FF0000"/>
            </w:tcBorders>
            <w:noWrap/>
            <w:vAlign w:val="bottom"/>
            <w:hideMark/>
          </w:tcPr>
          <w:p w:rsidR="006D2410" w:rsidRPr="00D73845" w:rsidRDefault="006D2410" w:rsidP="006D2410">
            <w:pPr>
              <w:jc w:val="center"/>
            </w:pPr>
            <w:r w:rsidRPr="00D73845">
              <w:t>44%</w:t>
            </w:r>
          </w:p>
        </w:tc>
        <w:tc>
          <w:tcPr>
            <w:tcW w:w="1671" w:type="dxa"/>
            <w:tcBorders>
              <w:bottom w:val="single" w:sz="4" w:space="0" w:color="FF0000"/>
            </w:tcBorders>
            <w:noWrap/>
            <w:vAlign w:val="bottom"/>
            <w:hideMark/>
          </w:tcPr>
          <w:p w:rsidR="006D2410" w:rsidRPr="00D73845" w:rsidRDefault="006D2410" w:rsidP="006D2410">
            <w:pPr>
              <w:jc w:val="center"/>
            </w:pPr>
            <w:r w:rsidRPr="00D73845">
              <w:t>45%</w:t>
            </w:r>
          </w:p>
        </w:tc>
        <w:tc>
          <w:tcPr>
            <w:tcW w:w="1451" w:type="dxa"/>
            <w:tcBorders>
              <w:bottom w:val="single" w:sz="4" w:space="0" w:color="FF0000"/>
            </w:tcBorders>
            <w:noWrap/>
            <w:vAlign w:val="bottom"/>
            <w:hideMark/>
          </w:tcPr>
          <w:p w:rsidR="006D2410" w:rsidRPr="00D73845" w:rsidRDefault="006D2410" w:rsidP="006D2410">
            <w:pPr>
              <w:jc w:val="center"/>
            </w:pPr>
            <w:r w:rsidRPr="00D73845">
              <w:t>57%</w:t>
            </w:r>
          </w:p>
        </w:tc>
        <w:tc>
          <w:tcPr>
            <w:tcW w:w="1586" w:type="dxa"/>
            <w:tcBorders>
              <w:bottom w:val="single" w:sz="4" w:space="0" w:color="FF0000"/>
            </w:tcBorders>
            <w:noWrap/>
            <w:vAlign w:val="bottom"/>
            <w:hideMark/>
          </w:tcPr>
          <w:p w:rsidR="006D2410" w:rsidRPr="00D73845" w:rsidRDefault="006D2410" w:rsidP="006D2410">
            <w:pPr>
              <w:jc w:val="center"/>
            </w:pPr>
            <w:r w:rsidRPr="00D73845">
              <w:t>51%</w:t>
            </w:r>
          </w:p>
        </w:tc>
        <w:tc>
          <w:tcPr>
            <w:tcW w:w="1133" w:type="dxa"/>
            <w:tcBorders>
              <w:bottom w:val="single" w:sz="4" w:space="0" w:color="FF0000"/>
            </w:tcBorders>
            <w:noWrap/>
            <w:vAlign w:val="bottom"/>
            <w:hideMark/>
          </w:tcPr>
          <w:p w:rsidR="006D2410" w:rsidRPr="00D73845" w:rsidRDefault="006D2410" w:rsidP="006D2410">
            <w:pPr>
              <w:jc w:val="center"/>
            </w:pPr>
            <w:r w:rsidRPr="00D73845">
              <w:t>52%</w:t>
            </w:r>
          </w:p>
        </w:tc>
      </w:tr>
      <w:tr w:rsidR="006D2410" w:rsidRPr="00D73845" w:rsidTr="00297C6D">
        <w:trPr>
          <w:trHeight w:val="276"/>
        </w:trPr>
        <w:tc>
          <w:tcPr>
            <w:tcW w:w="4355" w:type="dxa"/>
            <w:noWrap/>
            <w:hideMark/>
          </w:tcPr>
          <w:p w:rsidR="006D2410" w:rsidRPr="00D73845" w:rsidRDefault="006D2410" w:rsidP="00FE57D6">
            <w:r w:rsidRPr="00D73845">
              <w:t>Reported result</w:t>
            </w:r>
          </w:p>
        </w:tc>
        <w:tc>
          <w:tcPr>
            <w:tcW w:w="1500" w:type="dxa"/>
            <w:shd w:val="pct10" w:color="auto" w:fill="auto"/>
            <w:noWrap/>
            <w:vAlign w:val="bottom"/>
            <w:hideMark/>
          </w:tcPr>
          <w:p w:rsidR="006D2410" w:rsidRPr="00D73845" w:rsidRDefault="006D2410" w:rsidP="006D2410">
            <w:pPr>
              <w:jc w:val="center"/>
            </w:pPr>
            <w:r w:rsidRPr="00D73845">
              <w:t>87%</w:t>
            </w:r>
          </w:p>
        </w:tc>
        <w:tc>
          <w:tcPr>
            <w:tcW w:w="1671" w:type="dxa"/>
            <w:shd w:val="pct10" w:color="auto" w:fill="auto"/>
            <w:noWrap/>
            <w:vAlign w:val="bottom"/>
            <w:hideMark/>
          </w:tcPr>
          <w:p w:rsidR="006D2410" w:rsidRPr="00D73845" w:rsidRDefault="006D2410" w:rsidP="006D2410">
            <w:pPr>
              <w:jc w:val="center"/>
            </w:pPr>
            <w:r w:rsidRPr="00D73845">
              <w:t>91%</w:t>
            </w:r>
          </w:p>
        </w:tc>
        <w:tc>
          <w:tcPr>
            <w:tcW w:w="1451" w:type="dxa"/>
            <w:shd w:val="pct10" w:color="auto" w:fill="auto"/>
            <w:noWrap/>
            <w:vAlign w:val="bottom"/>
            <w:hideMark/>
          </w:tcPr>
          <w:p w:rsidR="006D2410" w:rsidRPr="00D73845" w:rsidRDefault="006D2410" w:rsidP="006D2410">
            <w:pPr>
              <w:jc w:val="center"/>
            </w:pPr>
            <w:r w:rsidRPr="00D73845">
              <w:t>93%</w:t>
            </w:r>
          </w:p>
        </w:tc>
        <w:tc>
          <w:tcPr>
            <w:tcW w:w="1586" w:type="dxa"/>
            <w:shd w:val="pct10" w:color="auto" w:fill="auto"/>
            <w:noWrap/>
            <w:vAlign w:val="bottom"/>
            <w:hideMark/>
          </w:tcPr>
          <w:p w:rsidR="006D2410" w:rsidRPr="00D73845" w:rsidRDefault="006D2410" w:rsidP="006D2410">
            <w:pPr>
              <w:jc w:val="center"/>
            </w:pPr>
            <w:r w:rsidRPr="00D73845">
              <w:t>93%</w:t>
            </w:r>
          </w:p>
        </w:tc>
        <w:tc>
          <w:tcPr>
            <w:tcW w:w="1133" w:type="dxa"/>
            <w:shd w:val="pct10" w:color="auto" w:fill="auto"/>
            <w:noWrap/>
            <w:vAlign w:val="bottom"/>
            <w:hideMark/>
          </w:tcPr>
          <w:p w:rsidR="006D2410" w:rsidRPr="00D73845" w:rsidRDefault="006D2410" w:rsidP="006D2410">
            <w:pPr>
              <w:jc w:val="center"/>
            </w:pPr>
            <w:r w:rsidRPr="00D73845">
              <w:t>92%</w:t>
            </w:r>
          </w:p>
        </w:tc>
      </w:tr>
      <w:tr w:rsidR="006D2410" w:rsidRPr="006765E9" w:rsidTr="006D2410">
        <w:trPr>
          <w:trHeight w:val="276"/>
        </w:trPr>
        <w:tc>
          <w:tcPr>
            <w:tcW w:w="11696" w:type="dxa"/>
            <w:gridSpan w:val="6"/>
            <w:noWrap/>
            <w:hideMark/>
          </w:tcPr>
          <w:p w:rsidR="006D2410" w:rsidRPr="006765E9" w:rsidRDefault="006D2410" w:rsidP="00FE57D6">
            <w:pPr>
              <w:rPr>
                <w:i/>
              </w:rPr>
            </w:pPr>
            <w:r w:rsidRPr="006765E9">
              <w:rPr>
                <w:i/>
              </w:rPr>
              <w:t xml:space="preserve">Source: Wellington City Council Residents' Monitoring Survey </w:t>
            </w:r>
            <w:r w:rsidR="003E3342">
              <w:rPr>
                <w:i/>
              </w:rPr>
              <w:t>RMS</w:t>
            </w:r>
          </w:p>
        </w:tc>
      </w:tr>
    </w:tbl>
    <w:p w:rsidR="006D2410" w:rsidRPr="006D2410" w:rsidRDefault="006D2410" w:rsidP="006D2410">
      <w:pPr>
        <w:pStyle w:val="ListParagraph"/>
        <w:spacing w:before="240"/>
        <w:ind w:left="1440"/>
      </w:pPr>
    </w:p>
    <w:p w:rsidR="006D2410" w:rsidRPr="006D2410" w:rsidRDefault="006D2410" w:rsidP="002C7BF8">
      <w:pPr>
        <w:pStyle w:val="ListParagraph"/>
        <w:numPr>
          <w:ilvl w:val="0"/>
          <w:numId w:val="69"/>
        </w:numPr>
        <w:rPr>
          <w:b/>
        </w:rPr>
      </w:pPr>
      <w:r w:rsidRPr="006D2410">
        <w:rPr>
          <w:b/>
        </w:rPr>
        <w:t>What is your main method of travelling to Wellington on these occasions?</w:t>
      </w:r>
    </w:p>
    <w:tbl>
      <w:tblPr>
        <w:tblStyle w:val="TableGrid"/>
        <w:tblW w:w="0" w:type="auto"/>
        <w:tblBorders>
          <w:top w:val="single" w:sz="4" w:space="0" w:color="FF0000"/>
          <w:left w:val="none" w:sz="0" w:space="0" w:color="auto"/>
          <w:bottom w:val="single" w:sz="4" w:space="0" w:color="FF0000"/>
          <w:right w:val="none" w:sz="0" w:space="0" w:color="auto"/>
          <w:insideH w:val="single" w:sz="4" w:space="0" w:color="FF0000"/>
          <w:insideV w:val="single" w:sz="4" w:space="0" w:color="FF0000"/>
        </w:tblBorders>
        <w:tblLook w:val="04A0" w:firstRow="1" w:lastRow="0" w:firstColumn="1" w:lastColumn="0" w:noHBand="0" w:noVBand="1"/>
      </w:tblPr>
      <w:tblGrid>
        <w:gridCol w:w="4355"/>
        <w:gridCol w:w="1500"/>
        <w:gridCol w:w="1671"/>
        <w:gridCol w:w="1451"/>
        <w:gridCol w:w="1586"/>
        <w:gridCol w:w="1133"/>
      </w:tblGrid>
      <w:tr w:rsidR="006D2410" w:rsidRPr="00D73845" w:rsidTr="00FE57D6">
        <w:trPr>
          <w:trHeight w:val="276"/>
        </w:trPr>
        <w:tc>
          <w:tcPr>
            <w:tcW w:w="4355" w:type="dxa"/>
            <w:vMerge w:val="restart"/>
            <w:tcBorders>
              <w:top w:val="nil"/>
              <w:right w:val="single" w:sz="4" w:space="0" w:color="FFFFFF" w:themeColor="background1"/>
            </w:tcBorders>
            <w:noWrap/>
            <w:hideMark/>
          </w:tcPr>
          <w:p w:rsidR="006D2410" w:rsidRPr="00D73845" w:rsidRDefault="006D2410" w:rsidP="00FE57D6"/>
        </w:tc>
        <w:tc>
          <w:tcPr>
            <w:tcW w:w="1500" w:type="dxa"/>
            <w:tcBorders>
              <w:top w:val="nil"/>
              <w:left w:val="single" w:sz="4" w:space="0" w:color="FFFFFF" w:themeColor="background1"/>
              <w:bottom w:val="single" w:sz="4" w:space="0" w:color="FFFFFF" w:themeColor="background1"/>
              <w:right w:val="single" w:sz="4" w:space="0" w:color="FFFFFF" w:themeColor="background1"/>
            </w:tcBorders>
            <w:shd w:val="clear" w:color="auto" w:fill="FF0000"/>
            <w:noWrap/>
            <w:hideMark/>
          </w:tcPr>
          <w:p w:rsidR="006D2410" w:rsidRPr="006D2410" w:rsidRDefault="006D2410" w:rsidP="00FE57D6">
            <w:pPr>
              <w:rPr>
                <w:b/>
                <w:bCs/>
                <w:color w:val="FFFFFF" w:themeColor="background1"/>
                <w:szCs w:val="20"/>
              </w:rPr>
            </w:pPr>
            <w:r w:rsidRPr="006D2410">
              <w:rPr>
                <w:b/>
                <w:bCs/>
                <w:color w:val="FFFFFF" w:themeColor="background1"/>
                <w:szCs w:val="20"/>
              </w:rPr>
              <w:t>2015</w:t>
            </w:r>
          </w:p>
        </w:tc>
        <w:tc>
          <w:tcPr>
            <w:tcW w:w="1671" w:type="dxa"/>
            <w:tcBorders>
              <w:top w:val="nil"/>
              <w:left w:val="single" w:sz="4" w:space="0" w:color="FFFFFF" w:themeColor="background1"/>
              <w:bottom w:val="single" w:sz="4" w:space="0" w:color="FFFFFF" w:themeColor="background1"/>
              <w:right w:val="single" w:sz="4" w:space="0" w:color="FFFFFF" w:themeColor="background1"/>
            </w:tcBorders>
            <w:shd w:val="clear" w:color="auto" w:fill="FF0000"/>
            <w:noWrap/>
            <w:hideMark/>
          </w:tcPr>
          <w:p w:rsidR="006D2410" w:rsidRPr="006D2410" w:rsidRDefault="006D2410" w:rsidP="00FE57D6">
            <w:pPr>
              <w:rPr>
                <w:b/>
                <w:bCs/>
                <w:color w:val="FFFFFF" w:themeColor="background1"/>
                <w:szCs w:val="20"/>
              </w:rPr>
            </w:pPr>
            <w:r w:rsidRPr="006D2410">
              <w:rPr>
                <w:b/>
                <w:bCs/>
                <w:color w:val="FFFFFF" w:themeColor="background1"/>
                <w:szCs w:val="20"/>
              </w:rPr>
              <w:t>2016</w:t>
            </w:r>
          </w:p>
        </w:tc>
        <w:tc>
          <w:tcPr>
            <w:tcW w:w="1451" w:type="dxa"/>
            <w:tcBorders>
              <w:top w:val="nil"/>
              <w:left w:val="single" w:sz="4" w:space="0" w:color="FFFFFF" w:themeColor="background1"/>
              <w:bottom w:val="single" w:sz="4" w:space="0" w:color="FFFFFF" w:themeColor="background1"/>
              <w:right w:val="single" w:sz="4" w:space="0" w:color="FFFFFF" w:themeColor="background1"/>
            </w:tcBorders>
            <w:shd w:val="clear" w:color="auto" w:fill="FF0000"/>
            <w:noWrap/>
            <w:hideMark/>
          </w:tcPr>
          <w:p w:rsidR="006D2410" w:rsidRPr="006D2410" w:rsidRDefault="006D2410" w:rsidP="00FE57D6">
            <w:pPr>
              <w:rPr>
                <w:b/>
                <w:bCs/>
                <w:color w:val="FFFFFF" w:themeColor="background1"/>
                <w:szCs w:val="20"/>
              </w:rPr>
            </w:pPr>
            <w:r w:rsidRPr="006D2410">
              <w:rPr>
                <w:b/>
                <w:bCs/>
                <w:color w:val="FFFFFF" w:themeColor="background1"/>
                <w:szCs w:val="20"/>
              </w:rPr>
              <w:t>2017</w:t>
            </w:r>
          </w:p>
        </w:tc>
        <w:tc>
          <w:tcPr>
            <w:tcW w:w="1586" w:type="dxa"/>
            <w:tcBorders>
              <w:top w:val="nil"/>
              <w:left w:val="single" w:sz="4" w:space="0" w:color="FFFFFF" w:themeColor="background1"/>
              <w:bottom w:val="single" w:sz="4" w:space="0" w:color="FFFFFF" w:themeColor="background1"/>
              <w:right w:val="single" w:sz="4" w:space="0" w:color="FFFFFF" w:themeColor="background1"/>
            </w:tcBorders>
            <w:shd w:val="clear" w:color="auto" w:fill="FF0000"/>
            <w:noWrap/>
            <w:hideMark/>
          </w:tcPr>
          <w:p w:rsidR="006D2410" w:rsidRPr="006D2410" w:rsidRDefault="006D2410" w:rsidP="00FE57D6">
            <w:pPr>
              <w:rPr>
                <w:b/>
                <w:bCs/>
                <w:color w:val="FFFFFF" w:themeColor="background1"/>
                <w:szCs w:val="20"/>
              </w:rPr>
            </w:pPr>
            <w:r w:rsidRPr="006D2410">
              <w:rPr>
                <w:b/>
                <w:bCs/>
                <w:color w:val="FFFFFF" w:themeColor="background1"/>
                <w:szCs w:val="20"/>
              </w:rPr>
              <w:t>2018</w:t>
            </w:r>
          </w:p>
        </w:tc>
        <w:tc>
          <w:tcPr>
            <w:tcW w:w="1133" w:type="dxa"/>
            <w:tcBorders>
              <w:top w:val="nil"/>
              <w:left w:val="single" w:sz="4" w:space="0" w:color="FFFFFF" w:themeColor="background1"/>
              <w:bottom w:val="single" w:sz="4" w:space="0" w:color="FFFFFF" w:themeColor="background1"/>
              <w:right w:val="single" w:sz="4" w:space="0" w:color="FFFFFF" w:themeColor="background1"/>
            </w:tcBorders>
            <w:shd w:val="clear" w:color="auto" w:fill="FF0000"/>
            <w:noWrap/>
            <w:hideMark/>
          </w:tcPr>
          <w:p w:rsidR="006D2410" w:rsidRPr="006D2410" w:rsidRDefault="006D2410" w:rsidP="00FE57D6">
            <w:pPr>
              <w:rPr>
                <w:b/>
                <w:bCs/>
                <w:color w:val="FFFFFF" w:themeColor="background1"/>
                <w:szCs w:val="20"/>
              </w:rPr>
            </w:pPr>
            <w:r w:rsidRPr="006D2410">
              <w:rPr>
                <w:b/>
                <w:bCs/>
                <w:color w:val="FFFFFF" w:themeColor="background1"/>
                <w:szCs w:val="20"/>
              </w:rPr>
              <w:t>2019</w:t>
            </w:r>
          </w:p>
        </w:tc>
      </w:tr>
      <w:tr w:rsidR="006D2410" w:rsidRPr="00D73845" w:rsidTr="00297C6D">
        <w:trPr>
          <w:trHeight w:val="276"/>
        </w:trPr>
        <w:tc>
          <w:tcPr>
            <w:tcW w:w="4355" w:type="dxa"/>
            <w:vMerge/>
            <w:noWrap/>
            <w:hideMark/>
          </w:tcPr>
          <w:p w:rsidR="006D2410" w:rsidRPr="00D73845" w:rsidRDefault="006D2410" w:rsidP="00FE57D6"/>
        </w:tc>
        <w:tc>
          <w:tcPr>
            <w:tcW w:w="1500" w:type="dxa"/>
            <w:noWrap/>
            <w:hideMark/>
          </w:tcPr>
          <w:p w:rsidR="006D2410" w:rsidRPr="00D73845" w:rsidRDefault="006D2410" w:rsidP="00FE57D6">
            <w:r w:rsidRPr="00D73845">
              <w:t>n=450</w:t>
            </w:r>
          </w:p>
        </w:tc>
        <w:tc>
          <w:tcPr>
            <w:tcW w:w="1671" w:type="dxa"/>
            <w:noWrap/>
            <w:hideMark/>
          </w:tcPr>
          <w:p w:rsidR="006D2410" w:rsidRPr="00D73845" w:rsidRDefault="006D2410" w:rsidP="00FE57D6">
            <w:r w:rsidRPr="00D73845">
              <w:t>n=440</w:t>
            </w:r>
          </w:p>
        </w:tc>
        <w:tc>
          <w:tcPr>
            <w:tcW w:w="1451" w:type="dxa"/>
            <w:noWrap/>
            <w:hideMark/>
          </w:tcPr>
          <w:p w:rsidR="006D2410" w:rsidRPr="00D73845" w:rsidRDefault="006D2410" w:rsidP="00FE57D6">
            <w:r w:rsidRPr="00D73845">
              <w:t>n=450</w:t>
            </w:r>
          </w:p>
        </w:tc>
        <w:tc>
          <w:tcPr>
            <w:tcW w:w="1586" w:type="dxa"/>
            <w:noWrap/>
            <w:hideMark/>
          </w:tcPr>
          <w:p w:rsidR="006D2410" w:rsidRPr="00D73845" w:rsidRDefault="006D2410" w:rsidP="00FE57D6">
            <w:r w:rsidRPr="00D73845">
              <w:t>n=657</w:t>
            </w:r>
          </w:p>
        </w:tc>
        <w:tc>
          <w:tcPr>
            <w:tcW w:w="1133" w:type="dxa"/>
            <w:tcBorders>
              <w:bottom w:val="single" w:sz="4" w:space="0" w:color="FF0000"/>
            </w:tcBorders>
            <w:noWrap/>
            <w:hideMark/>
          </w:tcPr>
          <w:p w:rsidR="006D2410" w:rsidRPr="00D73845" w:rsidRDefault="006D2410" w:rsidP="00FE57D6">
            <w:r w:rsidRPr="00D73845">
              <w:t>n=291</w:t>
            </w:r>
          </w:p>
        </w:tc>
      </w:tr>
      <w:tr w:rsidR="006D2410" w:rsidRPr="00D73845" w:rsidTr="00297C6D">
        <w:trPr>
          <w:trHeight w:val="276"/>
        </w:trPr>
        <w:tc>
          <w:tcPr>
            <w:tcW w:w="4355" w:type="dxa"/>
            <w:noWrap/>
            <w:hideMark/>
          </w:tcPr>
          <w:p w:rsidR="006D2410" w:rsidRPr="00D73845" w:rsidRDefault="006D2410" w:rsidP="00FE57D6">
            <w:r w:rsidRPr="00D73845">
              <w:t xml:space="preserve">Car </w:t>
            </w:r>
          </w:p>
        </w:tc>
        <w:tc>
          <w:tcPr>
            <w:tcW w:w="1500" w:type="dxa"/>
            <w:noWrap/>
            <w:hideMark/>
          </w:tcPr>
          <w:p w:rsidR="006D2410" w:rsidRPr="00D73845" w:rsidRDefault="006D2410" w:rsidP="00FE57D6">
            <w:r w:rsidRPr="00D73845">
              <w:t>33%</w:t>
            </w:r>
          </w:p>
        </w:tc>
        <w:tc>
          <w:tcPr>
            <w:tcW w:w="1671" w:type="dxa"/>
            <w:noWrap/>
            <w:hideMark/>
          </w:tcPr>
          <w:p w:rsidR="006D2410" w:rsidRPr="00D73845" w:rsidRDefault="006D2410" w:rsidP="00FE57D6">
            <w:r w:rsidRPr="00D73845">
              <w:t>32%</w:t>
            </w:r>
          </w:p>
        </w:tc>
        <w:tc>
          <w:tcPr>
            <w:tcW w:w="1451" w:type="dxa"/>
            <w:noWrap/>
            <w:hideMark/>
          </w:tcPr>
          <w:p w:rsidR="006D2410" w:rsidRPr="00D73845" w:rsidRDefault="006D2410" w:rsidP="00FE57D6">
            <w:r w:rsidRPr="00D73845">
              <w:t>27%</w:t>
            </w:r>
          </w:p>
        </w:tc>
        <w:tc>
          <w:tcPr>
            <w:tcW w:w="1586" w:type="dxa"/>
            <w:noWrap/>
            <w:hideMark/>
          </w:tcPr>
          <w:p w:rsidR="006D2410" w:rsidRPr="00D73845" w:rsidRDefault="006D2410" w:rsidP="00FE57D6">
            <w:r w:rsidRPr="00D73845">
              <w:t>25%</w:t>
            </w:r>
          </w:p>
        </w:tc>
        <w:tc>
          <w:tcPr>
            <w:tcW w:w="1133" w:type="dxa"/>
            <w:shd w:val="pct10" w:color="auto" w:fill="auto"/>
            <w:noWrap/>
            <w:hideMark/>
          </w:tcPr>
          <w:p w:rsidR="006D2410" w:rsidRPr="00D73845" w:rsidRDefault="006D2410" w:rsidP="00FE57D6">
            <w:r w:rsidRPr="00D73845">
              <w:t>29.5%</w:t>
            </w:r>
          </w:p>
        </w:tc>
      </w:tr>
      <w:tr w:rsidR="006D2410" w:rsidRPr="00D73845" w:rsidTr="00297C6D">
        <w:trPr>
          <w:trHeight w:val="276"/>
        </w:trPr>
        <w:tc>
          <w:tcPr>
            <w:tcW w:w="4355" w:type="dxa"/>
            <w:noWrap/>
            <w:hideMark/>
          </w:tcPr>
          <w:p w:rsidR="006D2410" w:rsidRPr="00D73845" w:rsidRDefault="006D2410" w:rsidP="00FE57D6">
            <w:r w:rsidRPr="00D73845">
              <w:t xml:space="preserve">Motorbike </w:t>
            </w:r>
          </w:p>
        </w:tc>
        <w:tc>
          <w:tcPr>
            <w:tcW w:w="1500" w:type="dxa"/>
            <w:noWrap/>
            <w:hideMark/>
          </w:tcPr>
          <w:p w:rsidR="006D2410" w:rsidRPr="00D73845" w:rsidRDefault="006D2410" w:rsidP="00FE57D6">
            <w:r w:rsidRPr="00D73845">
              <w:t>2%</w:t>
            </w:r>
          </w:p>
        </w:tc>
        <w:tc>
          <w:tcPr>
            <w:tcW w:w="1671" w:type="dxa"/>
            <w:noWrap/>
            <w:hideMark/>
          </w:tcPr>
          <w:p w:rsidR="006D2410" w:rsidRPr="00D73845" w:rsidRDefault="006D2410" w:rsidP="00FE57D6">
            <w:r w:rsidRPr="00D73845">
              <w:t>2%</w:t>
            </w:r>
          </w:p>
        </w:tc>
        <w:tc>
          <w:tcPr>
            <w:tcW w:w="1451" w:type="dxa"/>
            <w:noWrap/>
            <w:hideMark/>
          </w:tcPr>
          <w:p w:rsidR="006D2410" w:rsidRPr="00D73845" w:rsidRDefault="006D2410" w:rsidP="00FE57D6">
            <w:r w:rsidRPr="00D73845">
              <w:t>1%</w:t>
            </w:r>
          </w:p>
        </w:tc>
        <w:tc>
          <w:tcPr>
            <w:tcW w:w="1586" w:type="dxa"/>
            <w:noWrap/>
            <w:hideMark/>
          </w:tcPr>
          <w:p w:rsidR="006D2410" w:rsidRPr="00D73845" w:rsidRDefault="006D2410" w:rsidP="00FE57D6">
            <w:r w:rsidRPr="00D73845">
              <w:t>1%</w:t>
            </w:r>
          </w:p>
        </w:tc>
        <w:tc>
          <w:tcPr>
            <w:tcW w:w="1133" w:type="dxa"/>
            <w:tcBorders>
              <w:bottom w:val="single" w:sz="4" w:space="0" w:color="FF0000"/>
            </w:tcBorders>
            <w:noWrap/>
            <w:hideMark/>
          </w:tcPr>
          <w:p w:rsidR="006D2410" w:rsidRPr="00D73845" w:rsidRDefault="006D2410" w:rsidP="00FE57D6">
            <w:r w:rsidRPr="00D73845">
              <w:t>1.5%</w:t>
            </w:r>
          </w:p>
        </w:tc>
      </w:tr>
      <w:tr w:rsidR="006D2410" w:rsidRPr="00D73845" w:rsidTr="00297C6D">
        <w:trPr>
          <w:trHeight w:val="276"/>
        </w:trPr>
        <w:tc>
          <w:tcPr>
            <w:tcW w:w="4355" w:type="dxa"/>
            <w:noWrap/>
            <w:hideMark/>
          </w:tcPr>
          <w:p w:rsidR="006D2410" w:rsidRPr="00D73845" w:rsidRDefault="006D2410" w:rsidP="00FE57D6">
            <w:r w:rsidRPr="00D73845">
              <w:t xml:space="preserve">Bus </w:t>
            </w:r>
          </w:p>
        </w:tc>
        <w:tc>
          <w:tcPr>
            <w:tcW w:w="1500" w:type="dxa"/>
            <w:noWrap/>
            <w:hideMark/>
          </w:tcPr>
          <w:p w:rsidR="006D2410" w:rsidRPr="00D73845" w:rsidRDefault="006D2410" w:rsidP="00FE57D6">
            <w:r w:rsidRPr="00D73845">
              <w:t>27%</w:t>
            </w:r>
          </w:p>
        </w:tc>
        <w:tc>
          <w:tcPr>
            <w:tcW w:w="1671" w:type="dxa"/>
            <w:noWrap/>
            <w:hideMark/>
          </w:tcPr>
          <w:p w:rsidR="006D2410" w:rsidRPr="00D73845" w:rsidRDefault="006D2410" w:rsidP="00FE57D6">
            <w:r w:rsidRPr="00D73845">
              <w:t>30%</w:t>
            </w:r>
          </w:p>
        </w:tc>
        <w:tc>
          <w:tcPr>
            <w:tcW w:w="1451" w:type="dxa"/>
            <w:noWrap/>
            <w:hideMark/>
          </w:tcPr>
          <w:p w:rsidR="006D2410" w:rsidRPr="00D73845" w:rsidRDefault="006D2410" w:rsidP="00FE57D6">
            <w:r w:rsidRPr="00D73845">
              <w:t>28%</w:t>
            </w:r>
          </w:p>
        </w:tc>
        <w:tc>
          <w:tcPr>
            <w:tcW w:w="1586" w:type="dxa"/>
            <w:noWrap/>
            <w:hideMark/>
          </w:tcPr>
          <w:p w:rsidR="006D2410" w:rsidRPr="00D73845" w:rsidRDefault="006D2410" w:rsidP="00FE57D6">
            <w:r w:rsidRPr="00D73845">
              <w:t>31%</w:t>
            </w:r>
          </w:p>
        </w:tc>
        <w:tc>
          <w:tcPr>
            <w:tcW w:w="1133" w:type="dxa"/>
            <w:shd w:val="pct10" w:color="auto" w:fill="auto"/>
            <w:noWrap/>
            <w:hideMark/>
          </w:tcPr>
          <w:p w:rsidR="006D2410" w:rsidRPr="00D73845" w:rsidRDefault="006D2410" w:rsidP="00FE57D6">
            <w:r w:rsidRPr="00D73845">
              <w:t>28.2%</w:t>
            </w:r>
          </w:p>
        </w:tc>
      </w:tr>
      <w:tr w:rsidR="006D2410" w:rsidRPr="00D73845" w:rsidTr="00297C6D">
        <w:trPr>
          <w:trHeight w:val="276"/>
        </w:trPr>
        <w:tc>
          <w:tcPr>
            <w:tcW w:w="4355" w:type="dxa"/>
            <w:noWrap/>
            <w:hideMark/>
          </w:tcPr>
          <w:p w:rsidR="006D2410" w:rsidRPr="00D73845" w:rsidRDefault="006D2410" w:rsidP="00FE57D6">
            <w:r w:rsidRPr="00D73845">
              <w:t xml:space="preserve">Train </w:t>
            </w:r>
          </w:p>
        </w:tc>
        <w:tc>
          <w:tcPr>
            <w:tcW w:w="1500" w:type="dxa"/>
            <w:noWrap/>
            <w:hideMark/>
          </w:tcPr>
          <w:p w:rsidR="006D2410" w:rsidRPr="00D73845" w:rsidRDefault="006D2410" w:rsidP="00FE57D6">
            <w:r w:rsidRPr="00D73845">
              <w:t>3%</w:t>
            </w:r>
          </w:p>
        </w:tc>
        <w:tc>
          <w:tcPr>
            <w:tcW w:w="1671" w:type="dxa"/>
            <w:noWrap/>
            <w:hideMark/>
          </w:tcPr>
          <w:p w:rsidR="006D2410" w:rsidRPr="00D73845" w:rsidRDefault="006D2410" w:rsidP="00FE57D6">
            <w:r w:rsidRPr="00D73845">
              <w:t>3%</w:t>
            </w:r>
          </w:p>
        </w:tc>
        <w:tc>
          <w:tcPr>
            <w:tcW w:w="1451" w:type="dxa"/>
            <w:noWrap/>
            <w:hideMark/>
          </w:tcPr>
          <w:p w:rsidR="006D2410" w:rsidRPr="00D73845" w:rsidRDefault="006D2410" w:rsidP="00FE57D6">
            <w:r w:rsidRPr="00D73845">
              <w:t>6%</w:t>
            </w:r>
          </w:p>
        </w:tc>
        <w:tc>
          <w:tcPr>
            <w:tcW w:w="1586" w:type="dxa"/>
            <w:noWrap/>
            <w:hideMark/>
          </w:tcPr>
          <w:p w:rsidR="006D2410" w:rsidRPr="00D73845" w:rsidRDefault="006D2410" w:rsidP="00FE57D6">
            <w:r w:rsidRPr="00D73845">
              <w:t>4%</w:t>
            </w:r>
          </w:p>
        </w:tc>
        <w:tc>
          <w:tcPr>
            <w:tcW w:w="1133" w:type="dxa"/>
            <w:tcBorders>
              <w:bottom w:val="single" w:sz="4" w:space="0" w:color="FF0000"/>
            </w:tcBorders>
            <w:noWrap/>
            <w:hideMark/>
          </w:tcPr>
          <w:p w:rsidR="006D2410" w:rsidRPr="00D73845" w:rsidRDefault="006D2410" w:rsidP="00FE57D6">
            <w:r w:rsidRPr="00D73845">
              <w:t>3.0%</w:t>
            </w:r>
          </w:p>
        </w:tc>
      </w:tr>
      <w:tr w:rsidR="006D2410" w:rsidRPr="00D73845" w:rsidTr="00297C6D">
        <w:trPr>
          <w:trHeight w:val="276"/>
        </w:trPr>
        <w:tc>
          <w:tcPr>
            <w:tcW w:w="4355" w:type="dxa"/>
            <w:noWrap/>
            <w:hideMark/>
          </w:tcPr>
          <w:p w:rsidR="006D2410" w:rsidRPr="00D73845" w:rsidRDefault="006D2410" w:rsidP="00FE57D6">
            <w:r w:rsidRPr="00D73845">
              <w:t xml:space="preserve">Bicycle </w:t>
            </w:r>
          </w:p>
        </w:tc>
        <w:tc>
          <w:tcPr>
            <w:tcW w:w="1500" w:type="dxa"/>
            <w:noWrap/>
            <w:hideMark/>
          </w:tcPr>
          <w:p w:rsidR="006D2410" w:rsidRPr="00D73845" w:rsidRDefault="006D2410" w:rsidP="00FE57D6">
            <w:r w:rsidRPr="00D73845">
              <w:t>8%</w:t>
            </w:r>
          </w:p>
        </w:tc>
        <w:tc>
          <w:tcPr>
            <w:tcW w:w="1671" w:type="dxa"/>
            <w:noWrap/>
            <w:hideMark/>
          </w:tcPr>
          <w:p w:rsidR="006D2410" w:rsidRPr="00D73845" w:rsidRDefault="006D2410" w:rsidP="00FE57D6">
            <w:r w:rsidRPr="00D73845">
              <w:t>8%</w:t>
            </w:r>
          </w:p>
        </w:tc>
        <w:tc>
          <w:tcPr>
            <w:tcW w:w="1451" w:type="dxa"/>
            <w:noWrap/>
            <w:hideMark/>
          </w:tcPr>
          <w:p w:rsidR="006D2410" w:rsidRPr="00D73845" w:rsidRDefault="006D2410" w:rsidP="00FE57D6">
            <w:r w:rsidRPr="00D73845">
              <w:t>10%</w:t>
            </w:r>
          </w:p>
        </w:tc>
        <w:tc>
          <w:tcPr>
            <w:tcW w:w="1586" w:type="dxa"/>
            <w:noWrap/>
            <w:hideMark/>
          </w:tcPr>
          <w:p w:rsidR="006D2410" w:rsidRPr="00D73845" w:rsidRDefault="006D2410" w:rsidP="00FE57D6">
            <w:r w:rsidRPr="00D73845">
              <w:t>12%</w:t>
            </w:r>
          </w:p>
        </w:tc>
        <w:tc>
          <w:tcPr>
            <w:tcW w:w="1133" w:type="dxa"/>
            <w:shd w:val="pct10" w:color="auto" w:fill="auto"/>
            <w:noWrap/>
            <w:hideMark/>
          </w:tcPr>
          <w:p w:rsidR="006D2410" w:rsidRPr="00D73845" w:rsidRDefault="006D2410" w:rsidP="00FE57D6">
            <w:r w:rsidRPr="00D73845">
              <w:t>10.0%</w:t>
            </w:r>
          </w:p>
        </w:tc>
      </w:tr>
      <w:tr w:rsidR="006D2410" w:rsidRPr="00D73845" w:rsidTr="00297C6D">
        <w:trPr>
          <w:trHeight w:val="276"/>
        </w:trPr>
        <w:tc>
          <w:tcPr>
            <w:tcW w:w="4355" w:type="dxa"/>
            <w:noWrap/>
            <w:hideMark/>
          </w:tcPr>
          <w:p w:rsidR="006D2410" w:rsidRPr="00D73845" w:rsidRDefault="006D2410" w:rsidP="00FE57D6">
            <w:r w:rsidRPr="00D73845">
              <w:t xml:space="preserve">Walk </w:t>
            </w:r>
          </w:p>
        </w:tc>
        <w:tc>
          <w:tcPr>
            <w:tcW w:w="1500" w:type="dxa"/>
            <w:noWrap/>
            <w:hideMark/>
          </w:tcPr>
          <w:p w:rsidR="006D2410" w:rsidRPr="00D73845" w:rsidRDefault="006D2410" w:rsidP="00FE57D6">
            <w:r w:rsidRPr="00D73845">
              <w:t>23%</w:t>
            </w:r>
          </w:p>
        </w:tc>
        <w:tc>
          <w:tcPr>
            <w:tcW w:w="1671" w:type="dxa"/>
            <w:noWrap/>
            <w:hideMark/>
          </w:tcPr>
          <w:p w:rsidR="006D2410" w:rsidRPr="00D73845" w:rsidRDefault="006D2410" w:rsidP="00FE57D6">
            <w:r w:rsidRPr="00D73845">
              <w:t>23%</w:t>
            </w:r>
          </w:p>
        </w:tc>
        <w:tc>
          <w:tcPr>
            <w:tcW w:w="1451" w:type="dxa"/>
            <w:noWrap/>
            <w:hideMark/>
          </w:tcPr>
          <w:p w:rsidR="006D2410" w:rsidRPr="00D73845" w:rsidRDefault="006D2410" w:rsidP="00FE57D6">
            <w:r w:rsidRPr="00D73845">
              <w:t>24%</w:t>
            </w:r>
          </w:p>
        </w:tc>
        <w:tc>
          <w:tcPr>
            <w:tcW w:w="1586" w:type="dxa"/>
            <w:noWrap/>
            <w:hideMark/>
          </w:tcPr>
          <w:p w:rsidR="006D2410" w:rsidRPr="00D73845" w:rsidRDefault="006D2410" w:rsidP="00FE57D6">
            <w:r w:rsidRPr="00D73845">
              <w:t>24%</w:t>
            </w:r>
          </w:p>
        </w:tc>
        <w:tc>
          <w:tcPr>
            <w:tcW w:w="1133" w:type="dxa"/>
            <w:shd w:val="pct10" w:color="auto" w:fill="auto"/>
            <w:noWrap/>
            <w:hideMark/>
          </w:tcPr>
          <w:p w:rsidR="006D2410" w:rsidRPr="00D73845" w:rsidRDefault="006D2410" w:rsidP="00FE57D6">
            <w:r w:rsidRPr="00D73845">
              <w:t>24.1%</w:t>
            </w:r>
          </w:p>
        </w:tc>
      </w:tr>
      <w:tr w:rsidR="006D2410" w:rsidRPr="00D73845" w:rsidTr="00FE57D6">
        <w:trPr>
          <w:trHeight w:val="276"/>
        </w:trPr>
        <w:tc>
          <w:tcPr>
            <w:tcW w:w="4355" w:type="dxa"/>
            <w:noWrap/>
            <w:hideMark/>
          </w:tcPr>
          <w:p w:rsidR="006D2410" w:rsidRPr="00D73845" w:rsidRDefault="006D2410" w:rsidP="00FE57D6">
            <w:r w:rsidRPr="00D73845">
              <w:t xml:space="preserve">Scooter </w:t>
            </w:r>
          </w:p>
        </w:tc>
        <w:tc>
          <w:tcPr>
            <w:tcW w:w="1500" w:type="dxa"/>
            <w:noWrap/>
            <w:hideMark/>
          </w:tcPr>
          <w:p w:rsidR="006D2410" w:rsidRPr="00D73845" w:rsidRDefault="006D2410" w:rsidP="00FE57D6">
            <w:r w:rsidRPr="00D73845">
              <w:t>3%</w:t>
            </w:r>
          </w:p>
        </w:tc>
        <w:tc>
          <w:tcPr>
            <w:tcW w:w="1671" w:type="dxa"/>
            <w:noWrap/>
            <w:hideMark/>
          </w:tcPr>
          <w:p w:rsidR="006D2410" w:rsidRPr="00D73845" w:rsidRDefault="006D2410" w:rsidP="00FE57D6">
            <w:r w:rsidRPr="00D73845">
              <w:t>1%</w:t>
            </w:r>
          </w:p>
        </w:tc>
        <w:tc>
          <w:tcPr>
            <w:tcW w:w="1451" w:type="dxa"/>
            <w:noWrap/>
            <w:hideMark/>
          </w:tcPr>
          <w:p w:rsidR="006D2410" w:rsidRPr="00D73845" w:rsidRDefault="006D2410" w:rsidP="00FE57D6">
            <w:r w:rsidRPr="00D73845">
              <w:t>3%</w:t>
            </w:r>
          </w:p>
        </w:tc>
        <w:tc>
          <w:tcPr>
            <w:tcW w:w="1586" w:type="dxa"/>
            <w:noWrap/>
            <w:hideMark/>
          </w:tcPr>
          <w:p w:rsidR="006D2410" w:rsidRPr="00D73845" w:rsidRDefault="006D2410" w:rsidP="00FE57D6">
            <w:r w:rsidRPr="00D73845">
              <w:t>1%</w:t>
            </w:r>
          </w:p>
        </w:tc>
        <w:tc>
          <w:tcPr>
            <w:tcW w:w="1133" w:type="dxa"/>
            <w:noWrap/>
            <w:hideMark/>
          </w:tcPr>
          <w:p w:rsidR="006D2410" w:rsidRPr="00D73845" w:rsidRDefault="006D2410" w:rsidP="00FE57D6">
            <w:r w:rsidRPr="00D73845">
              <w:t>0.3%</w:t>
            </w:r>
          </w:p>
        </w:tc>
      </w:tr>
      <w:tr w:rsidR="006D2410" w:rsidRPr="00D73845" w:rsidTr="00FE57D6">
        <w:trPr>
          <w:trHeight w:val="276"/>
        </w:trPr>
        <w:tc>
          <w:tcPr>
            <w:tcW w:w="4355" w:type="dxa"/>
            <w:noWrap/>
            <w:hideMark/>
          </w:tcPr>
          <w:p w:rsidR="006D2410" w:rsidRPr="00D73845" w:rsidRDefault="006D2410" w:rsidP="00FE57D6">
            <w:r w:rsidRPr="00D73845">
              <w:t xml:space="preserve">Other (specify) </w:t>
            </w:r>
          </w:p>
        </w:tc>
        <w:tc>
          <w:tcPr>
            <w:tcW w:w="1500" w:type="dxa"/>
            <w:noWrap/>
            <w:hideMark/>
          </w:tcPr>
          <w:p w:rsidR="006D2410" w:rsidRPr="00D73845" w:rsidRDefault="006D2410" w:rsidP="00FE57D6">
            <w:r w:rsidRPr="00D73845">
              <w:t>1%</w:t>
            </w:r>
          </w:p>
        </w:tc>
        <w:tc>
          <w:tcPr>
            <w:tcW w:w="1671" w:type="dxa"/>
            <w:noWrap/>
            <w:hideMark/>
          </w:tcPr>
          <w:p w:rsidR="006D2410" w:rsidRPr="00D73845" w:rsidRDefault="006D2410" w:rsidP="00FE57D6">
            <w:r w:rsidRPr="00D73845">
              <w:t>2%</w:t>
            </w:r>
          </w:p>
        </w:tc>
        <w:tc>
          <w:tcPr>
            <w:tcW w:w="1451" w:type="dxa"/>
            <w:noWrap/>
            <w:hideMark/>
          </w:tcPr>
          <w:p w:rsidR="006D2410" w:rsidRPr="00D73845" w:rsidRDefault="006D2410" w:rsidP="00FE57D6">
            <w:r w:rsidRPr="00D73845">
              <w:t>2%</w:t>
            </w:r>
          </w:p>
        </w:tc>
        <w:tc>
          <w:tcPr>
            <w:tcW w:w="1586" w:type="dxa"/>
            <w:noWrap/>
            <w:hideMark/>
          </w:tcPr>
          <w:p w:rsidR="006D2410" w:rsidRPr="00D73845" w:rsidRDefault="006D2410" w:rsidP="00FE57D6">
            <w:r w:rsidRPr="00D73845">
              <w:t>2%</w:t>
            </w:r>
          </w:p>
        </w:tc>
        <w:tc>
          <w:tcPr>
            <w:tcW w:w="1133" w:type="dxa"/>
            <w:noWrap/>
            <w:hideMark/>
          </w:tcPr>
          <w:p w:rsidR="006D2410" w:rsidRPr="00D73845" w:rsidRDefault="006D2410" w:rsidP="00FE57D6">
            <w:r w:rsidRPr="00D73845">
              <w:t>3.2%</w:t>
            </w:r>
          </w:p>
        </w:tc>
      </w:tr>
      <w:tr w:rsidR="006D2410" w:rsidRPr="00D73845" w:rsidTr="00FE57D6">
        <w:trPr>
          <w:trHeight w:val="276"/>
        </w:trPr>
        <w:tc>
          <w:tcPr>
            <w:tcW w:w="4355" w:type="dxa"/>
            <w:noWrap/>
            <w:hideMark/>
          </w:tcPr>
          <w:p w:rsidR="006D2410" w:rsidRPr="00D73845" w:rsidRDefault="006D2410" w:rsidP="00FE57D6">
            <w:r w:rsidRPr="00D73845">
              <w:t>Ferry</w:t>
            </w:r>
          </w:p>
        </w:tc>
        <w:tc>
          <w:tcPr>
            <w:tcW w:w="1500" w:type="dxa"/>
            <w:noWrap/>
            <w:hideMark/>
          </w:tcPr>
          <w:p w:rsidR="006D2410" w:rsidRPr="00D73845" w:rsidRDefault="006D2410" w:rsidP="00FE57D6"/>
        </w:tc>
        <w:tc>
          <w:tcPr>
            <w:tcW w:w="1671" w:type="dxa"/>
            <w:noWrap/>
            <w:hideMark/>
          </w:tcPr>
          <w:p w:rsidR="006D2410" w:rsidRPr="00D73845" w:rsidRDefault="006D2410" w:rsidP="00FE57D6"/>
        </w:tc>
        <w:tc>
          <w:tcPr>
            <w:tcW w:w="1451" w:type="dxa"/>
            <w:noWrap/>
            <w:hideMark/>
          </w:tcPr>
          <w:p w:rsidR="006D2410" w:rsidRPr="00D73845" w:rsidRDefault="006D2410" w:rsidP="00FE57D6"/>
        </w:tc>
        <w:tc>
          <w:tcPr>
            <w:tcW w:w="1586" w:type="dxa"/>
            <w:noWrap/>
            <w:hideMark/>
          </w:tcPr>
          <w:p w:rsidR="006D2410" w:rsidRPr="00D73845" w:rsidRDefault="006D2410" w:rsidP="00FE57D6"/>
        </w:tc>
        <w:tc>
          <w:tcPr>
            <w:tcW w:w="1133" w:type="dxa"/>
            <w:noWrap/>
            <w:hideMark/>
          </w:tcPr>
          <w:p w:rsidR="006D2410" w:rsidRPr="00D73845" w:rsidRDefault="006D2410" w:rsidP="00FE57D6">
            <w:r w:rsidRPr="00D73845">
              <w:t>0.3%</w:t>
            </w:r>
          </w:p>
        </w:tc>
      </w:tr>
      <w:tr w:rsidR="006D2410" w:rsidRPr="006765E9" w:rsidTr="006D2410">
        <w:trPr>
          <w:trHeight w:val="276"/>
        </w:trPr>
        <w:tc>
          <w:tcPr>
            <w:tcW w:w="11696" w:type="dxa"/>
            <w:gridSpan w:val="6"/>
            <w:noWrap/>
            <w:hideMark/>
          </w:tcPr>
          <w:p w:rsidR="006D2410" w:rsidRPr="006765E9" w:rsidRDefault="006D2410" w:rsidP="00FE57D6">
            <w:pPr>
              <w:rPr>
                <w:i/>
              </w:rPr>
            </w:pPr>
            <w:r w:rsidRPr="006765E9">
              <w:rPr>
                <w:i/>
              </w:rPr>
              <w:t xml:space="preserve">Source: Wellington City Council Residents' Monitoring Survey </w:t>
            </w:r>
            <w:r w:rsidR="003E3342">
              <w:rPr>
                <w:i/>
              </w:rPr>
              <w:t>RMS</w:t>
            </w:r>
          </w:p>
        </w:tc>
      </w:tr>
    </w:tbl>
    <w:p w:rsidR="00FE57D6" w:rsidRPr="00FE57D6" w:rsidRDefault="00FE57D6" w:rsidP="002C7BF8">
      <w:pPr>
        <w:pStyle w:val="ListParagraph"/>
        <w:numPr>
          <w:ilvl w:val="0"/>
          <w:numId w:val="69"/>
        </w:numPr>
        <w:spacing w:before="240"/>
        <w:rPr>
          <w:b/>
        </w:rPr>
      </w:pPr>
      <w:r w:rsidRPr="00FE57D6">
        <w:rPr>
          <w:b/>
        </w:rPr>
        <w:t>Residents’ perceptions that cycling is safe in the city (This is a new question in 2019)</w:t>
      </w:r>
    </w:p>
    <w:tbl>
      <w:tblPr>
        <w:tblStyle w:val="TableGrid"/>
        <w:tblW w:w="0" w:type="auto"/>
        <w:tblBorders>
          <w:top w:val="single" w:sz="4" w:space="0" w:color="FF0000"/>
          <w:left w:val="none" w:sz="0" w:space="0" w:color="auto"/>
          <w:bottom w:val="single" w:sz="4" w:space="0" w:color="FF0000"/>
          <w:right w:val="none" w:sz="0" w:space="0" w:color="auto"/>
          <w:insideH w:val="single" w:sz="4" w:space="0" w:color="FF0000"/>
          <w:insideV w:val="single" w:sz="4" w:space="0" w:color="FF0000"/>
        </w:tblBorders>
        <w:tblLook w:val="04A0" w:firstRow="1" w:lastRow="0" w:firstColumn="1" w:lastColumn="0" w:noHBand="0" w:noVBand="1"/>
      </w:tblPr>
      <w:tblGrid>
        <w:gridCol w:w="4355"/>
        <w:gridCol w:w="1500"/>
        <w:gridCol w:w="1671"/>
        <w:gridCol w:w="1451"/>
        <w:gridCol w:w="1586"/>
        <w:gridCol w:w="1133"/>
        <w:gridCol w:w="1134"/>
        <w:gridCol w:w="1436"/>
      </w:tblGrid>
      <w:tr w:rsidR="00FE57D6" w:rsidRPr="002F66FD" w:rsidTr="00297C6D">
        <w:trPr>
          <w:trHeight w:val="768"/>
        </w:trPr>
        <w:tc>
          <w:tcPr>
            <w:tcW w:w="5855" w:type="dxa"/>
            <w:gridSpan w:val="2"/>
            <w:tcBorders>
              <w:top w:val="nil"/>
              <w:right w:val="single" w:sz="4" w:space="0" w:color="FFFFFF" w:themeColor="background1"/>
            </w:tcBorders>
            <w:noWrap/>
            <w:vAlign w:val="center"/>
            <w:hideMark/>
          </w:tcPr>
          <w:p w:rsidR="00FE57D6" w:rsidRPr="00D73845" w:rsidRDefault="00FE57D6" w:rsidP="00FE57D6">
            <w:r w:rsidRPr="006F76AB">
              <w:rPr>
                <w:b/>
                <w:i/>
                <w:sz w:val="20"/>
                <w:szCs w:val="20"/>
              </w:rPr>
              <w:t>Please rate your level of agreement with the following statements: Cycling in the city is safe for…</w:t>
            </w:r>
          </w:p>
        </w:tc>
        <w:tc>
          <w:tcPr>
            <w:tcW w:w="1671" w:type="dxa"/>
            <w:tcBorders>
              <w:top w:val="nil"/>
              <w:left w:val="single" w:sz="4" w:space="0" w:color="FFFFFF" w:themeColor="background1"/>
              <w:bottom w:val="single" w:sz="4" w:space="0" w:color="FFFFFF" w:themeColor="background1"/>
              <w:right w:val="single" w:sz="4" w:space="0" w:color="FFFFFF" w:themeColor="background1"/>
            </w:tcBorders>
            <w:shd w:val="clear" w:color="auto" w:fill="FF0000"/>
            <w:noWrap/>
            <w:vAlign w:val="center"/>
            <w:hideMark/>
          </w:tcPr>
          <w:p w:rsidR="00FE57D6" w:rsidRPr="002F66FD" w:rsidRDefault="00FE57D6" w:rsidP="00FE57D6">
            <w:pPr>
              <w:jc w:val="center"/>
              <w:rPr>
                <w:color w:val="FFFFFF" w:themeColor="background1"/>
                <w:sz w:val="20"/>
                <w:szCs w:val="20"/>
              </w:rPr>
            </w:pPr>
            <w:r w:rsidRPr="002F66FD">
              <w:rPr>
                <w:b/>
                <w:bCs/>
                <w:color w:val="FFFFFF" w:themeColor="background1"/>
                <w:sz w:val="20"/>
                <w:szCs w:val="20"/>
              </w:rPr>
              <w:t>Very dissatisfied</w:t>
            </w:r>
          </w:p>
        </w:tc>
        <w:tc>
          <w:tcPr>
            <w:tcW w:w="1451" w:type="dxa"/>
            <w:tcBorders>
              <w:top w:val="nil"/>
              <w:left w:val="single" w:sz="4" w:space="0" w:color="FFFFFF" w:themeColor="background1"/>
              <w:bottom w:val="single" w:sz="4" w:space="0" w:color="FFFFFF" w:themeColor="background1"/>
              <w:right w:val="single" w:sz="4" w:space="0" w:color="FFFFFF" w:themeColor="background1"/>
            </w:tcBorders>
            <w:shd w:val="clear" w:color="auto" w:fill="FF0000"/>
            <w:noWrap/>
            <w:vAlign w:val="center"/>
            <w:hideMark/>
          </w:tcPr>
          <w:p w:rsidR="00FE57D6" w:rsidRPr="002F66FD" w:rsidRDefault="00FE57D6" w:rsidP="00FE57D6">
            <w:pPr>
              <w:jc w:val="center"/>
              <w:rPr>
                <w:color w:val="FFFFFF" w:themeColor="background1"/>
                <w:sz w:val="20"/>
                <w:szCs w:val="20"/>
              </w:rPr>
            </w:pPr>
            <w:r w:rsidRPr="002F66FD">
              <w:rPr>
                <w:b/>
                <w:bCs/>
                <w:color w:val="FFFFFF" w:themeColor="background1"/>
                <w:sz w:val="20"/>
                <w:szCs w:val="20"/>
              </w:rPr>
              <w:t>Dissatisfied</w:t>
            </w:r>
          </w:p>
        </w:tc>
        <w:tc>
          <w:tcPr>
            <w:tcW w:w="1586" w:type="dxa"/>
            <w:tcBorders>
              <w:top w:val="nil"/>
              <w:left w:val="single" w:sz="4" w:space="0" w:color="FFFFFF" w:themeColor="background1"/>
              <w:bottom w:val="single" w:sz="4" w:space="0" w:color="FFFFFF" w:themeColor="background1"/>
              <w:right w:val="single" w:sz="4" w:space="0" w:color="FFFFFF" w:themeColor="background1"/>
            </w:tcBorders>
            <w:shd w:val="clear" w:color="auto" w:fill="FF0000"/>
            <w:noWrap/>
            <w:vAlign w:val="center"/>
            <w:hideMark/>
          </w:tcPr>
          <w:p w:rsidR="00FE57D6" w:rsidRPr="002F66FD" w:rsidRDefault="00FE57D6" w:rsidP="00FE57D6">
            <w:pPr>
              <w:jc w:val="center"/>
              <w:rPr>
                <w:color w:val="FFFFFF" w:themeColor="background1"/>
                <w:sz w:val="20"/>
                <w:szCs w:val="20"/>
              </w:rPr>
            </w:pPr>
            <w:r w:rsidRPr="002F66FD">
              <w:rPr>
                <w:b/>
                <w:bCs/>
                <w:color w:val="FFFFFF" w:themeColor="background1"/>
                <w:sz w:val="20"/>
                <w:szCs w:val="20"/>
              </w:rPr>
              <w:t>Neither satisfied or dissatisfied</w:t>
            </w:r>
          </w:p>
        </w:tc>
        <w:tc>
          <w:tcPr>
            <w:tcW w:w="1133" w:type="dxa"/>
            <w:tcBorders>
              <w:top w:val="nil"/>
              <w:left w:val="single" w:sz="4" w:space="0" w:color="FFFFFF" w:themeColor="background1"/>
              <w:bottom w:val="single" w:sz="4" w:space="0" w:color="FFFFFF" w:themeColor="background1"/>
              <w:right w:val="single" w:sz="4" w:space="0" w:color="FFFFFF" w:themeColor="background1"/>
            </w:tcBorders>
            <w:shd w:val="clear" w:color="auto" w:fill="FF0000"/>
            <w:noWrap/>
            <w:vAlign w:val="center"/>
            <w:hideMark/>
          </w:tcPr>
          <w:p w:rsidR="00FE57D6" w:rsidRPr="002F66FD" w:rsidRDefault="00FE57D6" w:rsidP="00FE57D6">
            <w:pPr>
              <w:jc w:val="center"/>
              <w:rPr>
                <w:color w:val="FFFFFF" w:themeColor="background1"/>
                <w:sz w:val="20"/>
                <w:szCs w:val="20"/>
              </w:rPr>
            </w:pPr>
            <w:r w:rsidRPr="002F66FD">
              <w:rPr>
                <w:b/>
                <w:bCs/>
                <w:color w:val="FFFFFF" w:themeColor="background1"/>
                <w:sz w:val="20"/>
                <w:szCs w:val="20"/>
              </w:rPr>
              <w:t>Satisfied</w:t>
            </w:r>
          </w:p>
        </w:tc>
        <w:tc>
          <w:tcPr>
            <w:tcW w:w="1134" w:type="dxa"/>
            <w:tcBorders>
              <w:top w:val="nil"/>
              <w:left w:val="single" w:sz="4" w:space="0" w:color="FFFFFF" w:themeColor="background1"/>
              <w:bottom w:val="single" w:sz="4" w:space="0" w:color="FFFFFF" w:themeColor="background1"/>
              <w:right w:val="single" w:sz="4" w:space="0" w:color="FFFFFF" w:themeColor="background1"/>
            </w:tcBorders>
            <w:shd w:val="clear" w:color="auto" w:fill="FF0000"/>
            <w:noWrap/>
            <w:vAlign w:val="center"/>
            <w:hideMark/>
          </w:tcPr>
          <w:p w:rsidR="00FE57D6" w:rsidRPr="002F66FD" w:rsidRDefault="00FE57D6" w:rsidP="00FE57D6">
            <w:pPr>
              <w:jc w:val="center"/>
              <w:rPr>
                <w:color w:val="FFFFFF" w:themeColor="background1"/>
                <w:sz w:val="20"/>
                <w:szCs w:val="20"/>
              </w:rPr>
            </w:pPr>
            <w:r w:rsidRPr="002F66FD">
              <w:rPr>
                <w:b/>
                <w:bCs/>
                <w:color w:val="FFFFFF" w:themeColor="background1"/>
                <w:sz w:val="20"/>
                <w:szCs w:val="20"/>
              </w:rPr>
              <w:t>Very satisfied</w:t>
            </w:r>
          </w:p>
        </w:tc>
        <w:tc>
          <w:tcPr>
            <w:tcW w:w="1436" w:type="dxa"/>
            <w:tcBorders>
              <w:top w:val="nil"/>
              <w:left w:val="single" w:sz="4" w:space="0" w:color="FFFFFF" w:themeColor="background1"/>
              <w:bottom w:val="single" w:sz="4" w:space="0" w:color="FF0000"/>
              <w:right w:val="single" w:sz="4" w:space="0" w:color="FFFFFF" w:themeColor="background1"/>
            </w:tcBorders>
            <w:shd w:val="clear" w:color="auto" w:fill="FF0000"/>
            <w:noWrap/>
            <w:vAlign w:val="center"/>
            <w:hideMark/>
          </w:tcPr>
          <w:p w:rsidR="00FE57D6" w:rsidRPr="002F66FD" w:rsidRDefault="00FE57D6" w:rsidP="00FE57D6">
            <w:pPr>
              <w:rPr>
                <w:b/>
                <w:bCs/>
                <w:color w:val="FFFFFF" w:themeColor="background1"/>
                <w:sz w:val="20"/>
                <w:szCs w:val="20"/>
              </w:rPr>
            </w:pPr>
            <w:r w:rsidRPr="002F66FD">
              <w:rPr>
                <w:b/>
                <w:bCs/>
                <w:color w:val="FFFFFF" w:themeColor="background1"/>
                <w:sz w:val="20"/>
                <w:szCs w:val="20"/>
              </w:rPr>
              <w:t>2019</w:t>
            </w:r>
          </w:p>
          <w:p w:rsidR="00FE57D6" w:rsidRPr="002F66FD" w:rsidRDefault="00FE57D6" w:rsidP="00FE57D6">
            <w:pPr>
              <w:rPr>
                <w:b/>
                <w:bCs/>
                <w:color w:val="FFFFFF" w:themeColor="background1"/>
                <w:sz w:val="20"/>
                <w:szCs w:val="20"/>
              </w:rPr>
            </w:pPr>
            <w:r w:rsidRPr="002F66FD">
              <w:rPr>
                <w:b/>
                <w:bCs/>
                <w:color w:val="FFFFFF" w:themeColor="background1"/>
                <w:sz w:val="20"/>
                <w:szCs w:val="20"/>
              </w:rPr>
              <w:t>Measure</w:t>
            </w:r>
          </w:p>
        </w:tc>
      </w:tr>
      <w:tr w:rsidR="00FE57D6" w:rsidRPr="00D73845" w:rsidTr="00297C6D">
        <w:trPr>
          <w:trHeight w:val="276"/>
        </w:trPr>
        <w:tc>
          <w:tcPr>
            <w:tcW w:w="4355" w:type="dxa"/>
            <w:noWrap/>
            <w:hideMark/>
          </w:tcPr>
          <w:p w:rsidR="00FE57D6" w:rsidRPr="00D73845" w:rsidRDefault="00FE57D6" w:rsidP="00FE57D6">
            <w:r w:rsidRPr="00D73845">
              <w:t>Myself</w:t>
            </w:r>
          </w:p>
        </w:tc>
        <w:tc>
          <w:tcPr>
            <w:tcW w:w="1500" w:type="dxa"/>
            <w:noWrap/>
            <w:hideMark/>
          </w:tcPr>
          <w:p w:rsidR="00FE57D6" w:rsidRPr="00D73845" w:rsidRDefault="00FE57D6" w:rsidP="00FE57D6">
            <w:r w:rsidRPr="00D73845">
              <w:t>2019 n=278</w:t>
            </w:r>
          </w:p>
        </w:tc>
        <w:tc>
          <w:tcPr>
            <w:tcW w:w="1671" w:type="dxa"/>
            <w:noWrap/>
            <w:hideMark/>
          </w:tcPr>
          <w:p w:rsidR="00FE57D6" w:rsidRPr="00D73845" w:rsidRDefault="00FE57D6" w:rsidP="00FE57D6">
            <w:r w:rsidRPr="00D73845">
              <w:t>13%</w:t>
            </w:r>
          </w:p>
        </w:tc>
        <w:tc>
          <w:tcPr>
            <w:tcW w:w="1451" w:type="dxa"/>
            <w:noWrap/>
            <w:hideMark/>
          </w:tcPr>
          <w:p w:rsidR="00FE57D6" w:rsidRPr="00D73845" w:rsidRDefault="00FE57D6" w:rsidP="00FE57D6">
            <w:r w:rsidRPr="00D73845">
              <w:t>33%</w:t>
            </w:r>
          </w:p>
        </w:tc>
        <w:tc>
          <w:tcPr>
            <w:tcW w:w="1586" w:type="dxa"/>
            <w:noWrap/>
            <w:hideMark/>
          </w:tcPr>
          <w:p w:rsidR="00FE57D6" w:rsidRPr="00D73845" w:rsidRDefault="00FE57D6" w:rsidP="00FE57D6">
            <w:r w:rsidRPr="00D73845">
              <w:t>29%</w:t>
            </w:r>
          </w:p>
        </w:tc>
        <w:tc>
          <w:tcPr>
            <w:tcW w:w="1133" w:type="dxa"/>
            <w:noWrap/>
            <w:hideMark/>
          </w:tcPr>
          <w:p w:rsidR="00FE57D6" w:rsidRPr="00D73845" w:rsidRDefault="00FE57D6" w:rsidP="00FE57D6">
            <w:r w:rsidRPr="00D73845">
              <w:t>22%</w:t>
            </w:r>
          </w:p>
        </w:tc>
        <w:tc>
          <w:tcPr>
            <w:tcW w:w="1134" w:type="dxa"/>
            <w:noWrap/>
            <w:hideMark/>
          </w:tcPr>
          <w:p w:rsidR="00FE57D6" w:rsidRPr="00D73845" w:rsidRDefault="00FE57D6" w:rsidP="00FE57D6">
            <w:r w:rsidRPr="00D73845">
              <w:t>4%</w:t>
            </w:r>
          </w:p>
        </w:tc>
        <w:tc>
          <w:tcPr>
            <w:tcW w:w="1436" w:type="dxa"/>
            <w:shd w:val="pct10" w:color="auto" w:fill="auto"/>
            <w:noWrap/>
            <w:hideMark/>
          </w:tcPr>
          <w:p w:rsidR="00FE57D6" w:rsidRPr="00D73845" w:rsidRDefault="00FE57D6" w:rsidP="00FE57D6">
            <w:r w:rsidRPr="00D73845">
              <w:t>25.2%</w:t>
            </w:r>
          </w:p>
        </w:tc>
      </w:tr>
      <w:tr w:rsidR="00FE57D6" w:rsidRPr="00D73845" w:rsidTr="00297C6D">
        <w:trPr>
          <w:trHeight w:val="276"/>
        </w:trPr>
        <w:tc>
          <w:tcPr>
            <w:tcW w:w="4355" w:type="dxa"/>
            <w:noWrap/>
            <w:hideMark/>
          </w:tcPr>
          <w:p w:rsidR="00FE57D6" w:rsidRPr="00D73845" w:rsidRDefault="00FE57D6" w:rsidP="00FE57D6">
            <w:r w:rsidRPr="00D73845">
              <w:t>My children</w:t>
            </w:r>
          </w:p>
        </w:tc>
        <w:tc>
          <w:tcPr>
            <w:tcW w:w="1500" w:type="dxa"/>
            <w:noWrap/>
            <w:hideMark/>
          </w:tcPr>
          <w:p w:rsidR="00FE57D6" w:rsidRPr="00D73845" w:rsidRDefault="00FE57D6" w:rsidP="00FE57D6">
            <w:r w:rsidRPr="00D73845">
              <w:t>2019 n=225</w:t>
            </w:r>
          </w:p>
        </w:tc>
        <w:tc>
          <w:tcPr>
            <w:tcW w:w="1671" w:type="dxa"/>
            <w:noWrap/>
            <w:hideMark/>
          </w:tcPr>
          <w:p w:rsidR="00FE57D6" w:rsidRPr="00D73845" w:rsidRDefault="00FE57D6" w:rsidP="00FE57D6">
            <w:r w:rsidRPr="00D73845">
              <w:t>37%</w:t>
            </w:r>
          </w:p>
        </w:tc>
        <w:tc>
          <w:tcPr>
            <w:tcW w:w="1451" w:type="dxa"/>
            <w:noWrap/>
            <w:hideMark/>
          </w:tcPr>
          <w:p w:rsidR="00FE57D6" w:rsidRPr="00D73845" w:rsidRDefault="00FE57D6" w:rsidP="00FE57D6">
            <w:r w:rsidRPr="00D73845">
              <w:t>39%</w:t>
            </w:r>
          </w:p>
        </w:tc>
        <w:tc>
          <w:tcPr>
            <w:tcW w:w="1586" w:type="dxa"/>
            <w:noWrap/>
            <w:hideMark/>
          </w:tcPr>
          <w:p w:rsidR="00FE57D6" w:rsidRPr="00D73845" w:rsidRDefault="00FE57D6" w:rsidP="00FE57D6">
            <w:r w:rsidRPr="00D73845">
              <w:t>17%</w:t>
            </w:r>
          </w:p>
        </w:tc>
        <w:tc>
          <w:tcPr>
            <w:tcW w:w="1133" w:type="dxa"/>
            <w:noWrap/>
            <w:hideMark/>
          </w:tcPr>
          <w:p w:rsidR="00FE57D6" w:rsidRPr="00D73845" w:rsidRDefault="00FE57D6" w:rsidP="00FE57D6">
            <w:r w:rsidRPr="00D73845">
              <w:t>6%</w:t>
            </w:r>
          </w:p>
        </w:tc>
        <w:tc>
          <w:tcPr>
            <w:tcW w:w="1134" w:type="dxa"/>
            <w:noWrap/>
            <w:hideMark/>
          </w:tcPr>
          <w:p w:rsidR="00FE57D6" w:rsidRPr="00D73845" w:rsidRDefault="00FE57D6" w:rsidP="00FE57D6">
            <w:r w:rsidRPr="00D73845">
              <w:t>2%</w:t>
            </w:r>
          </w:p>
        </w:tc>
        <w:tc>
          <w:tcPr>
            <w:tcW w:w="1436" w:type="dxa"/>
            <w:shd w:val="pct10" w:color="auto" w:fill="auto"/>
            <w:noWrap/>
            <w:hideMark/>
          </w:tcPr>
          <w:p w:rsidR="00FE57D6" w:rsidRPr="00D73845" w:rsidRDefault="00FE57D6" w:rsidP="00FE57D6">
            <w:r w:rsidRPr="00D73845">
              <w:t>7.3%</w:t>
            </w:r>
          </w:p>
        </w:tc>
      </w:tr>
      <w:tr w:rsidR="00FE57D6" w:rsidRPr="00430440" w:rsidTr="00FE57D6">
        <w:trPr>
          <w:trHeight w:val="276"/>
        </w:trPr>
        <w:tc>
          <w:tcPr>
            <w:tcW w:w="14266" w:type="dxa"/>
            <w:gridSpan w:val="8"/>
            <w:noWrap/>
            <w:hideMark/>
          </w:tcPr>
          <w:p w:rsidR="00FE57D6" w:rsidRPr="00430440" w:rsidRDefault="00FE57D6" w:rsidP="00FE57D6">
            <w:pPr>
              <w:rPr>
                <w:i/>
              </w:rPr>
            </w:pPr>
            <w:r w:rsidRPr="00430440">
              <w:rPr>
                <w:i/>
              </w:rPr>
              <w:t xml:space="preserve">Source: Wellington City Council Residents' Monitoring Survey </w:t>
            </w:r>
            <w:r w:rsidR="003E3342">
              <w:rPr>
                <w:i/>
              </w:rPr>
              <w:t>RMS</w:t>
            </w:r>
          </w:p>
        </w:tc>
      </w:tr>
    </w:tbl>
    <w:p w:rsidR="00FE57D6" w:rsidRDefault="00FE57D6" w:rsidP="002C7BF8">
      <w:pPr>
        <w:pStyle w:val="ListParagraph"/>
        <w:numPr>
          <w:ilvl w:val="0"/>
          <w:numId w:val="69"/>
        </w:numPr>
        <w:spacing w:before="240"/>
        <w:rPr>
          <w:b/>
        </w:rPr>
      </w:pPr>
      <w:r w:rsidRPr="00FE57D6">
        <w:rPr>
          <w:b/>
        </w:rPr>
        <w:t>Please rate your level of agreement with the following statements… perceptions of public transport (This is a new question in 2019)</w:t>
      </w:r>
    </w:p>
    <w:tbl>
      <w:tblPr>
        <w:tblStyle w:val="TableGrid"/>
        <w:tblW w:w="0" w:type="auto"/>
        <w:tblBorders>
          <w:top w:val="single" w:sz="4" w:space="0" w:color="FF0000"/>
          <w:left w:val="none" w:sz="0" w:space="0" w:color="auto"/>
          <w:bottom w:val="single" w:sz="4" w:space="0" w:color="FF0000"/>
          <w:right w:val="none" w:sz="0" w:space="0" w:color="auto"/>
          <w:insideH w:val="single" w:sz="4" w:space="0" w:color="FF0000"/>
          <w:insideV w:val="single" w:sz="4" w:space="0" w:color="FF0000"/>
        </w:tblBorders>
        <w:tblLook w:val="04A0" w:firstRow="1" w:lastRow="0" w:firstColumn="1" w:lastColumn="0" w:noHBand="0" w:noVBand="1"/>
      </w:tblPr>
      <w:tblGrid>
        <w:gridCol w:w="4355"/>
        <w:gridCol w:w="1500"/>
        <w:gridCol w:w="1671"/>
        <w:gridCol w:w="1451"/>
        <w:gridCol w:w="1586"/>
        <w:gridCol w:w="1133"/>
        <w:gridCol w:w="1134"/>
        <w:gridCol w:w="1436"/>
      </w:tblGrid>
      <w:tr w:rsidR="00FE57D6" w:rsidRPr="00D73845" w:rsidTr="00FE57D6">
        <w:trPr>
          <w:trHeight w:val="479"/>
        </w:trPr>
        <w:tc>
          <w:tcPr>
            <w:tcW w:w="5855" w:type="dxa"/>
            <w:gridSpan w:val="2"/>
            <w:tcBorders>
              <w:top w:val="nil"/>
              <w:right w:val="single" w:sz="4" w:space="0" w:color="FFFFFF" w:themeColor="background1"/>
            </w:tcBorders>
            <w:noWrap/>
            <w:hideMark/>
          </w:tcPr>
          <w:p w:rsidR="00FE57D6" w:rsidRPr="00D73845" w:rsidRDefault="00FE57D6" w:rsidP="00FE57D6"/>
        </w:tc>
        <w:tc>
          <w:tcPr>
            <w:tcW w:w="1671" w:type="dxa"/>
            <w:tcBorders>
              <w:top w:val="nil"/>
              <w:left w:val="single" w:sz="4" w:space="0" w:color="FFFFFF" w:themeColor="background1"/>
              <w:bottom w:val="single" w:sz="4" w:space="0" w:color="FFFFFF" w:themeColor="background1"/>
              <w:right w:val="single" w:sz="4" w:space="0" w:color="FFFFFF" w:themeColor="background1"/>
            </w:tcBorders>
            <w:shd w:val="clear" w:color="auto" w:fill="FF0000"/>
            <w:hideMark/>
          </w:tcPr>
          <w:p w:rsidR="00FE57D6" w:rsidRPr="002F66FD" w:rsidRDefault="00FE57D6" w:rsidP="00FE57D6">
            <w:pPr>
              <w:rPr>
                <w:b/>
                <w:color w:val="FFFFFF" w:themeColor="background1"/>
                <w:sz w:val="20"/>
                <w:szCs w:val="20"/>
              </w:rPr>
            </w:pPr>
            <w:r w:rsidRPr="002F66FD">
              <w:rPr>
                <w:b/>
                <w:color w:val="FFFFFF" w:themeColor="background1"/>
                <w:sz w:val="20"/>
                <w:szCs w:val="20"/>
              </w:rPr>
              <w:t>Strongly disagree</w:t>
            </w:r>
          </w:p>
        </w:tc>
        <w:tc>
          <w:tcPr>
            <w:tcW w:w="1451" w:type="dxa"/>
            <w:tcBorders>
              <w:top w:val="nil"/>
              <w:left w:val="single" w:sz="4" w:space="0" w:color="FFFFFF" w:themeColor="background1"/>
              <w:bottom w:val="single" w:sz="4" w:space="0" w:color="FFFFFF" w:themeColor="background1"/>
              <w:right w:val="single" w:sz="4" w:space="0" w:color="FFFFFF" w:themeColor="background1"/>
            </w:tcBorders>
            <w:shd w:val="clear" w:color="auto" w:fill="FF0000"/>
            <w:hideMark/>
          </w:tcPr>
          <w:p w:rsidR="00FE57D6" w:rsidRPr="002F66FD" w:rsidRDefault="00FE57D6" w:rsidP="00FE57D6">
            <w:pPr>
              <w:rPr>
                <w:b/>
                <w:color w:val="FFFFFF" w:themeColor="background1"/>
                <w:sz w:val="20"/>
                <w:szCs w:val="20"/>
              </w:rPr>
            </w:pPr>
            <w:r w:rsidRPr="002F66FD">
              <w:rPr>
                <w:b/>
                <w:color w:val="FFFFFF" w:themeColor="background1"/>
                <w:sz w:val="20"/>
                <w:szCs w:val="20"/>
              </w:rPr>
              <w:t>Disagree</w:t>
            </w:r>
          </w:p>
        </w:tc>
        <w:tc>
          <w:tcPr>
            <w:tcW w:w="1586" w:type="dxa"/>
            <w:tcBorders>
              <w:top w:val="nil"/>
              <w:left w:val="single" w:sz="4" w:space="0" w:color="FFFFFF" w:themeColor="background1"/>
              <w:bottom w:val="single" w:sz="4" w:space="0" w:color="FFFFFF" w:themeColor="background1"/>
              <w:right w:val="single" w:sz="4" w:space="0" w:color="FFFFFF" w:themeColor="background1"/>
            </w:tcBorders>
            <w:shd w:val="clear" w:color="auto" w:fill="FF0000"/>
            <w:hideMark/>
          </w:tcPr>
          <w:p w:rsidR="00FE57D6" w:rsidRPr="002F66FD" w:rsidRDefault="00FE57D6" w:rsidP="00FE57D6">
            <w:pPr>
              <w:rPr>
                <w:b/>
                <w:color w:val="FFFFFF" w:themeColor="background1"/>
                <w:sz w:val="20"/>
                <w:szCs w:val="20"/>
              </w:rPr>
            </w:pPr>
            <w:r w:rsidRPr="002F66FD">
              <w:rPr>
                <w:b/>
                <w:color w:val="FFFFFF" w:themeColor="background1"/>
                <w:sz w:val="20"/>
                <w:szCs w:val="20"/>
              </w:rPr>
              <w:t>Neither agree nor disagree</w:t>
            </w:r>
          </w:p>
        </w:tc>
        <w:tc>
          <w:tcPr>
            <w:tcW w:w="1133" w:type="dxa"/>
            <w:tcBorders>
              <w:top w:val="nil"/>
              <w:left w:val="single" w:sz="4" w:space="0" w:color="FFFFFF" w:themeColor="background1"/>
              <w:bottom w:val="single" w:sz="4" w:space="0" w:color="FFFFFF" w:themeColor="background1"/>
              <w:right w:val="single" w:sz="4" w:space="0" w:color="FFFFFF" w:themeColor="background1"/>
            </w:tcBorders>
            <w:shd w:val="clear" w:color="auto" w:fill="FF0000"/>
            <w:hideMark/>
          </w:tcPr>
          <w:p w:rsidR="00FE57D6" w:rsidRPr="002F66FD" w:rsidRDefault="00FE57D6" w:rsidP="00FE57D6">
            <w:pPr>
              <w:rPr>
                <w:b/>
                <w:color w:val="FFFFFF" w:themeColor="background1"/>
                <w:sz w:val="20"/>
                <w:szCs w:val="20"/>
              </w:rPr>
            </w:pPr>
            <w:r w:rsidRPr="002F66FD">
              <w:rPr>
                <w:b/>
                <w:color w:val="FFFFFF" w:themeColor="background1"/>
                <w:sz w:val="20"/>
                <w:szCs w:val="20"/>
              </w:rPr>
              <w:t>Agree</w:t>
            </w:r>
          </w:p>
        </w:tc>
        <w:tc>
          <w:tcPr>
            <w:tcW w:w="1134" w:type="dxa"/>
            <w:tcBorders>
              <w:top w:val="nil"/>
              <w:left w:val="single" w:sz="4" w:space="0" w:color="FFFFFF" w:themeColor="background1"/>
              <w:bottom w:val="single" w:sz="4" w:space="0" w:color="FFFFFF" w:themeColor="background1"/>
              <w:right w:val="single" w:sz="4" w:space="0" w:color="FFFFFF" w:themeColor="background1"/>
            </w:tcBorders>
            <w:shd w:val="clear" w:color="auto" w:fill="FF0000"/>
            <w:hideMark/>
          </w:tcPr>
          <w:p w:rsidR="00FE57D6" w:rsidRPr="002F66FD" w:rsidRDefault="00FE57D6" w:rsidP="00FE57D6">
            <w:pPr>
              <w:rPr>
                <w:b/>
                <w:color w:val="FFFFFF" w:themeColor="background1"/>
                <w:sz w:val="20"/>
                <w:szCs w:val="20"/>
              </w:rPr>
            </w:pPr>
            <w:r w:rsidRPr="002F66FD">
              <w:rPr>
                <w:b/>
                <w:color w:val="FFFFFF" w:themeColor="background1"/>
                <w:sz w:val="20"/>
                <w:szCs w:val="20"/>
              </w:rPr>
              <w:t>Strongly agree</w:t>
            </w:r>
          </w:p>
        </w:tc>
        <w:tc>
          <w:tcPr>
            <w:tcW w:w="1436" w:type="dxa"/>
            <w:tcBorders>
              <w:top w:val="nil"/>
              <w:left w:val="single" w:sz="4" w:space="0" w:color="FFFFFF" w:themeColor="background1"/>
              <w:bottom w:val="single" w:sz="4" w:space="0" w:color="FFFFFF" w:themeColor="background1"/>
              <w:right w:val="single" w:sz="4" w:space="0" w:color="FFFFFF" w:themeColor="background1"/>
            </w:tcBorders>
            <w:shd w:val="clear" w:color="auto" w:fill="FF0000"/>
            <w:hideMark/>
          </w:tcPr>
          <w:p w:rsidR="00FE57D6" w:rsidRPr="002F66FD" w:rsidRDefault="00FE57D6" w:rsidP="00FE57D6">
            <w:pPr>
              <w:rPr>
                <w:b/>
                <w:bCs/>
                <w:color w:val="FFFFFF" w:themeColor="background1"/>
                <w:sz w:val="20"/>
                <w:szCs w:val="20"/>
              </w:rPr>
            </w:pPr>
            <w:r w:rsidRPr="002F66FD">
              <w:rPr>
                <w:b/>
                <w:bCs/>
                <w:color w:val="FFFFFF" w:themeColor="background1"/>
                <w:sz w:val="20"/>
                <w:szCs w:val="20"/>
              </w:rPr>
              <w:t>Reported result</w:t>
            </w:r>
          </w:p>
        </w:tc>
      </w:tr>
      <w:tr w:rsidR="00FE57D6" w:rsidRPr="00D73845" w:rsidTr="00297C6D">
        <w:trPr>
          <w:trHeight w:val="276"/>
        </w:trPr>
        <w:tc>
          <w:tcPr>
            <w:tcW w:w="4355" w:type="dxa"/>
            <w:noWrap/>
            <w:hideMark/>
          </w:tcPr>
          <w:p w:rsidR="00FE57D6" w:rsidRPr="00D73845" w:rsidRDefault="00FE57D6" w:rsidP="00FE57D6">
            <w:pPr>
              <w:rPr>
                <w:b/>
                <w:bCs/>
              </w:rPr>
            </w:pPr>
            <w:r w:rsidRPr="00D73845">
              <w:rPr>
                <w:b/>
                <w:bCs/>
              </w:rPr>
              <w:t>Public transport in Wellington is…</w:t>
            </w:r>
          </w:p>
        </w:tc>
        <w:tc>
          <w:tcPr>
            <w:tcW w:w="1500" w:type="dxa"/>
            <w:noWrap/>
            <w:hideMark/>
          </w:tcPr>
          <w:p w:rsidR="00FE57D6" w:rsidRPr="00D73845" w:rsidRDefault="00FE57D6" w:rsidP="00FE57D6"/>
        </w:tc>
        <w:tc>
          <w:tcPr>
            <w:tcW w:w="1671" w:type="dxa"/>
            <w:noWrap/>
            <w:hideMark/>
          </w:tcPr>
          <w:p w:rsidR="00FE57D6" w:rsidRPr="00D73845" w:rsidRDefault="00FE57D6" w:rsidP="00FE57D6"/>
        </w:tc>
        <w:tc>
          <w:tcPr>
            <w:tcW w:w="1451" w:type="dxa"/>
            <w:noWrap/>
            <w:hideMark/>
          </w:tcPr>
          <w:p w:rsidR="00FE57D6" w:rsidRPr="00D73845" w:rsidRDefault="00FE57D6" w:rsidP="00FE57D6"/>
        </w:tc>
        <w:tc>
          <w:tcPr>
            <w:tcW w:w="1586" w:type="dxa"/>
            <w:noWrap/>
            <w:hideMark/>
          </w:tcPr>
          <w:p w:rsidR="00FE57D6" w:rsidRPr="00D73845" w:rsidRDefault="00FE57D6" w:rsidP="00FE57D6"/>
        </w:tc>
        <w:tc>
          <w:tcPr>
            <w:tcW w:w="1133" w:type="dxa"/>
            <w:noWrap/>
            <w:hideMark/>
          </w:tcPr>
          <w:p w:rsidR="00FE57D6" w:rsidRPr="00D73845" w:rsidRDefault="00FE57D6" w:rsidP="00FE57D6"/>
        </w:tc>
        <w:tc>
          <w:tcPr>
            <w:tcW w:w="1134" w:type="dxa"/>
            <w:noWrap/>
            <w:hideMark/>
          </w:tcPr>
          <w:p w:rsidR="00FE57D6" w:rsidRPr="00D73845" w:rsidRDefault="00FE57D6" w:rsidP="00FE57D6"/>
        </w:tc>
        <w:tc>
          <w:tcPr>
            <w:tcW w:w="1436" w:type="dxa"/>
            <w:tcBorders>
              <w:bottom w:val="single" w:sz="4" w:space="0" w:color="FF0000"/>
            </w:tcBorders>
            <w:noWrap/>
            <w:hideMark/>
          </w:tcPr>
          <w:p w:rsidR="00FE57D6" w:rsidRPr="00D73845" w:rsidRDefault="00FE57D6" w:rsidP="00FE57D6"/>
        </w:tc>
      </w:tr>
      <w:tr w:rsidR="00FE57D6" w:rsidRPr="00D73845" w:rsidTr="00297C6D">
        <w:trPr>
          <w:trHeight w:val="276"/>
        </w:trPr>
        <w:tc>
          <w:tcPr>
            <w:tcW w:w="4355" w:type="dxa"/>
            <w:noWrap/>
            <w:hideMark/>
          </w:tcPr>
          <w:p w:rsidR="00FE57D6" w:rsidRPr="00D73845" w:rsidRDefault="00FE57D6" w:rsidP="00FE57D6">
            <w:r w:rsidRPr="00D73845">
              <w:t>Reliable</w:t>
            </w:r>
          </w:p>
        </w:tc>
        <w:tc>
          <w:tcPr>
            <w:tcW w:w="1500" w:type="dxa"/>
            <w:noWrap/>
            <w:hideMark/>
          </w:tcPr>
          <w:p w:rsidR="00FE57D6" w:rsidRPr="00D73845" w:rsidRDefault="00FE57D6" w:rsidP="00FE57D6">
            <w:r w:rsidRPr="00D73845">
              <w:t>2019 n=437</w:t>
            </w:r>
          </w:p>
        </w:tc>
        <w:tc>
          <w:tcPr>
            <w:tcW w:w="1671" w:type="dxa"/>
            <w:noWrap/>
            <w:hideMark/>
          </w:tcPr>
          <w:p w:rsidR="00FE57D6" w:rsidRPr="00D73845" w:rsidRDefault="00FE57D6" w:rsidP="00FE57D6">
            <w:r w:rsidRPr="00D73845">
              <w:t>28.30%</w:t>
            </w:r>
          </w:p>
        </w:tc>
        <w:tc>
          <w:tcPr>
            <w:tcW w:w="1451" w:type="dxa"/>
            <w:noWrap/>
            <w:hideMark/>
          </w:tcPr>
          <w:p w:rsidR="00FE57D6" w:rsidRPr="00D73845" w:rsidRDefault="00FE57D6" w:rsidP="00FE57D6">
            <w:r w:rsidRPr="00D73845">
              <w:t>39.20%</w:t>
            </w:r>
          </w:p>
        </w:tc>
        <w:tc>
          <w:tcPr>
            <w:tcW w:w="1586" w:type="dxa"/>
            <w:noWrap/>
            <w:hideMark/>
          </w:tcPr>
          <w:p w:rsidR="00FE57D6" w:rsidRPr="00D73845" w:rsidRDefault="00FE57D6" w:rsidP="00FE57D6">
            <w:r w:rsidRPr="00D73845">
              <w:t>16.10%</w:t>
            </w:r>
          </w:p>
        </w:tc>
        <w:tc>
          <w:tcPr>
            <w:tcW w:w="1133" w:type="dxa"/>
            <w:noWrap/>
            <w:hideMark/>
          </w:tcPr>
          <w:p w:rsidR="00FE57D6" w:rsidRPr="00D73845" w:rsidRDefault="00FE57D6" w:rsidP="00FE57D6">
            <w:r w:rsidRPr="00D73845">
              <w:t>14.90%</w:t>
            </w:r>
          </w:p>
        </w:tc>
        <w:tc>
          <w:tcPr>
            <w:tcW w:w="1134" w:type="dxa"/>
            <w:noWrap/>
            <w:hideMark/>
          </w:tcPr>
          <w:p w:rsidR="00FE57D6" w:rsidRPr="00D73845" w:rsidRDefault="00FE57D6" w:rsidP="00FE57D6">
            <w:r w:rsidRPr="00D73845">
              <w:t>1.50%</w:t>
            </w:r>
          </w:p>
        </w:tc>
        <w:tc>
          <w:tcPr>
            <w:tcW w:w="1436" w:type="dxa"/>
            <w:shd w:val="pct10" w:color="auto" w:fill="auto"/>
            <w:noWrap/>
            <w:hideMark/>
          </w:tcPr>
          <w:p w:rsidR="00FE57D6" w:rsidRPr="00D73845" w:rsidRDefault="00FE57D6" w:rsidP="00FE57D6">
            <w:r w:rsidRPr="00D73845">
              <w:t>16.4%</w:t>
            </w:r>
          </w:p>
        </w:tc>
      </w:tr>
      <w:tr w:rsidR="00FE57D6" w:rsidRPr="00D73845" w:rsidTr="00297C6D">
        <w:trPr>
          <w:trHeight w:val="276"/>
        </w:trPr>
        <w:tc>
          <w:tcPr>
            <w:tcW w:w="4355" w:type="dxa"/>
            <w:noWrap/>
            <w:hideMark/>
          </w:tcPr>
          <w:p w:rsidR="00FE57D6" w:rsidRPr="00D73845" w:rsidRDefault="00FE57D6" w:rsidP="00FE57D6">
            <w:r w:rsidRPr="00D73845">
              <w:t>Affordable</w:t>
            </w:r>
          </w:p>
        </w:tc>
        <w:tc>
          <w:tcPr>
            <w:tcW w:w="1500" w:type="dxa"/>
            <w:noWrap/>
            <w:hideMark/>
          </w:tcPr>
          <w:p w:rsidR="00FE57D6" w:rsidRPr="00D73845" w:rsidRDefault="00FE57D6" w:rsidP="00FE57D6">
            <w:r w:rsidRPr="00D73845">
              <w:t>2019 n=441</w:t>
            </w:r>
          </w:p>
        </w:tc>
        <w:tc>
          <w:tcPr>
            <w:tcW w:w="1671" w:type="dxa"/>
            <w:noWrap/>
            <w:hideMark/>
          </w:tcPr>
          <w:p w:rsidR="00FE57D6" w:rsidRPr="00D73845" w:rsidRDefault="00FE57D6" w:rsidP="00FE57D6">
            <w:r w:rsidRPr="00D73845">
              <w:t>9.20%</w:t>
            </w:r>
          </w:p>
        </w:tc>
        <w:tc>
          <w:tcPr>
            <w:tcW w:w="1451" w:type="dxa"/>
            <w:noWrap/>
            <w:hideMark/>
          </w:tcPr>
          <w:p w:rsidR="00FE57D6" w:rsidRPr="00D73845" w:rsidRDefault="00FE57D6" w:rsidP="00FE57D6">
            <w:r w:rsidRPr="00D73845">
              <w:t>29.80%</w:t>
            </w:r>
          </w:p>
        </w:tc>
        <w:tc>
          <w:tcPr>
            <w:tcW w:w="1586" w:type="dxa"/>
            <w:noWrap/>
            <w:hideMark/>
          </w:tcPr>
          <w:p w:rsidR="00FE57D6" w:rsidRPr="00D73845" w:rsidRDefault="00FE57D6" w:rsidP="00FE57D6">
            <w:r w:rsidRPr="00D73845">
              <w:t>22.90%</w:t>
            </w:r>
          </w:p>
        </w:tc>
        <w:tc>
          <w:tcPr>
            <w:tcW w:w="1133" w:type="dxa"/>
            <w:noWrap/>
            <w:hideMark/>
          </w:tcPr>
          <w:p w:rsidR="00FE57D6" w:rsidRPr="00D73845" w:rsidRDefault="00FE57D6" w:rsidP="00FE57D6">
            <w:r w:rsidRPr="00D73845">
              <w:t>34.70%</w:t>
            </w:r>
          </w:p>
        </w:tc>
        <w:tc>
          <w:tcPr>
            <w:tcW w:w="1134" w:type="dxa"/>
            <w:noWrap/>
            <w:hideMark/>
          </w:tcPr>
          <w:p w:rsidR="00FE57D6" w:rsidRPr="00D73845" w:rsidRDefault="00FE57D6" w:rsidP="00FE57D6">
            <w:r w:rsidRPr="00D73845">
              <w:t>3.50%</w:t>
            </w:r>
          </w:p>
        </w:tc>
        <w:tc>
          <w:tcPr>
            <w:tcW w:w="1436" w:type="dxa"/>
            <w:shd w:val="pct10" w:color="auto" w:fill="auto"/>
            <w:noWrap/>
            <w:hideMark/>
          </w:tcPr>
          <w:p w:rsidR="00FE57D6" w:rsidRPr="00D73845" w:rsidRDefault="00FE57D6" w:rsidP="00FE57D6">
            <w:r w:rsidRPr="00D73845">
              <w:t>38.2%</w:t>
            </w:r>
          </w:p>
        </w:tc>
      </w:tr>
      <w:tr w:rsidR="00FE57D6" w:rsidRPr="00D73845" w:rsidTr="00297C6D">
        <w:trPr>
          <w:trHeight w:val="276"/>
        </w:trPr>
        <w:tc>
          <w:tcPr>
            <w:tcW w:w="4355" w:type="dxa"/>
            <w:noWrap/>
            <w:hideMark/>
          </w:tcPr>
          <w:p w:rsidR="00FE57D6" w:rsidRPr="00D73845" w:rsidRDefault="00FE57D6" w:rsidP="00FE57D6">
            <w:r w:rsidRPr="00D73845">
              <w:t>Of high quality overall</w:t>
            </w:r>
          </w:p>
        </w:tc>
        <w:tc>
          <w:tcPr>
            <w:tcW w:w="1500" w:type="dxa"/>
            <w:noWrap/>
            <w:hideMark/>
          </w:tcPr>
          <w:p w:rsidR="00FE57D6" w:rsidRPr="00D73845" w:rsidRDefault="00FE57D6" w:rsidP="00FE57D6">
            <w:r w:rsidRPr="00D73845">
              <w:t>2019 n=444</w:t>
            </w:r>
          </w:p>
        </w:tc>
        <w:tc>
          <w:tcPr>
            <w:tcW w:w="1671" w:type="dxa"/>
            <w:noWrap/>
            <w:hideMark/>
          </w:tcPr>
          <w:p w:rsidR="00FE57D6" w:rsidRPr="00D73845" w:rsidRDefault="00FE57D6" w:rsidP="00FE57D6">
            <w:r w:rsidRPr="00D73845">
              <w:t>21.20%</w:t>
            </w:r>
          </w:p>
        </w:tc>
        <w:tc>
          <w:tcPr>
            <w:tcW w:w="1451" w:type="dxa"/>
            <w:noWrap/>
            <w:hideMark/>
          </w:tcPr>
          <w:p w:rsidR="00FE57D6" w:rsidRPr="00D73845" w:rsidRDefault="00FE57D6" w:rsidP="00FE57D6">
            <w:r w:rsidRPr="00D73845">
              <w:t>28.30%</w:t>
            </w:r>
          </w:p>
        </w:tc>
        <w:tc>
          <w:tcPr>
            <w:tcW w:w="1586" w:type="dxa"/>
            <w:noWrap/>
            <w:hideMark/>
          </w:tcPr>
          <w:p w:rsidR="00FE57D6" w:rsidRPr="00D73845" w:rsidRDefault="00FE57D6" w:rsidP="00FE57D6">
            <w:r w:rsidRPr="00D73845">
              <w:t>28.20%</w:t>
            </w:r>
          </w:p>
        </w:tc>
        <w:tc>
          <w:tcPr>
            <w:tcW w:w="1133" w:type="dxa"/>
            <w:noWrap/>
            <w:hideMark/>
          </w:tcPr>
          <w:p w:rsidR="00FE57D6" w:rsidRPr="00D73845" w:rsidRDefault="00FE57D6" w:rsidP="00FE57D6">
            <w:r w:rsidRPr="00D73845">
              <w:t>19.90%</w:t>
            </w:r>
          </w:p>
        </w:tc>
        <w:tc>
          <w:tcPr>
            <w:tcW w:w="1134" w:type="dxa"/>
            <w:noWrap/>
            <w:hideMark/>
          </w:tcPr>
          <w:p w:rsidR="00FE57D6" w:rsidRPr="00D73845" w:rsidRDefault="00FE57D6" w:rsidP="00FE57D6">
            <w:r w:rsidRPr="00D73845">
              <w:t>2.40%</w:t>
            </w:r>
          </w:p>
        </w:tc>
        <w:tc>
          <w:tcPr>
            <w:tcW w:w="1436" w:type="dxa"/>
            <w:shd w:val="pct10" w:color="auto" w:fill="auto"/>
            <w:noWrap/>
            <w:hideMark/>
          </w:tcPr>
          <w:p w:rsidR="00FE57D6" w:rsidRPr="00D73845" w:rsidRDefault="00FE57D6" w:rsidP="00FE57D6">
            <w:r w:rsidRPr="00D73845">
              <w:t>22.3%</w:t>
            </w:r>
          </w:p>
        </w:tc>
      </w:tr>
    </w:tbl>
    <w:p w:rsidR="00AF7957" w:rsidRDefault="00AF7957" w:rsidP="00435AB2">
      <w:pPr>
        <w:pStyle w:val="ListParagraph"/>
        <w:spacing w:before="240"/>
        <w:rPr>
          <w:b/>
        </w:rPr>
      </w:pPr>
    </w:p>
    <w:p w:rsidR="00FE57D6" w:rsidRDefault="00FE57D6" w:rsidP="002C7BF8">
      <w:pPr>
        <w:pStyle w:val="ListParagraph"/>
        <w:numPr>
          <w:ilvl w:val="0"/>
          <w:numId w:val="69"/>
        </w:numPr>
        <w:spacing w:before="240"/>
        <w:rPr>
          <w:b/>
        </w:rPr>
      </w:pPr>
      <w:r w:rsidRPr="00FE57D6">
        <w:rPr>
          <w:b/>
        </w:rPr>
        <w:lastRenderedPageBreak/>
        <w:t>Proportion of school children walking, cycling or scootering to school (at least once a week)</w:t>
      </w:r>
      <w:r>
        <w:rPr>
          <w:b/>
        </w:rPr>
        <w:t xml:space="preserve">. Three tables: </w:t>
      </w:r>
    </w:p>
    <w:p w:rsidR="00FE57D6" w:rsidRDefault="00FE57D6" w:rsidP="002C7BF8">
      <w:pPr>
        <w:pStyle w:val="ListParagraph"/>
        <w:numPr>
          <w:ilvl w:val="1"/>
          <w:numId w:val="69"/>
        </w:numPr>
        <w:spacing w:before="240" w:after="0"/>
        <w:rPr>
          <w:b/>
        </w:rPr>
      </w:pPr>
      <w:r>
        <w:rPr>
          <w:b/>
        </w:rPr>
        <w:t xml:space="preserve"> </w:t>
      </w:r>
    </w:p>
    <w:tbl>
      <w:tblPr>
        <w:tblStyle w:val="TableGrid"/>
        <w:tblW w:w="0" w:type="auto"/>
        <w:tblBorders>
          <w:top w:val="single" w:sz="4" w:space="0" w:color="FF0000"/>
          <w:left w:val="none" w:sz="0" w:space="0" w:color="auto"/>
          <w:bottom w:val="single" w:sz="4" w:space="0" w:color="FF0000"/>
          <w:right w:val="none" w:sz="0" w:space="0" w:color="auto"/>
          <w:insideH w:val="single" w:sz="4" w:space="0" w:color="FF0000"/>
          <w:insideV w:val="single" w:sz="4" w:space="0" w:color="FF0000"/>
        </w:tblBorders>
        <w:tblLook w:val="04A0" w:firstRow="1" w:lastRow="0" w:firstColumn="1" w:lastColumn="0" w:noHBand="0" w:noVBand="1"/>
      </w:tblPr>
      <w:tblGrid>
        <w:gridCol w:w="4355"/>
        <w:gridCol w:w="1500"/>
        <w:gridCol w:w="1671"/>
        <w:gridCol w:w="1451"/>
        <w:gridCol w:w="1586"/>
        <w:gridCol w:w="1133"/>
      </w:tblGrid>
      <w:tr w:rsidR="00FE57D6" w:rsidRPr="00D73845" w:rsidTr="00FE57D6">
        <w:trPr>
          <w:trHeight w:val="234"/>
        </w:trPr>
        <w:tc>
          <w:tcPr>
            <w:tcW w:w="4355" w:type="dxa"/>
            <w:vMerge w:val="restart"/>
            <w:tcBorders>
              <w:top w:val="nil"/>
              <w:right w:val="single" w:sz="4" w:space="0" w:color="FFFFFF" w:themeColor="background1"/>
            </w:tcBorders>
            <w:hideMark/>
          </w:tcPr>
          <w:p w:rsidR="00FE57D6" w:rsidRPr="0086418F" w:rsidRDefault="00FE57D6" w:rsidP="00FE57D6">
            <w:pPr>
              <w:rPr>
                <w:b/>
                <w:bCs/>
                <w:i/>
                <w:sz w:val="20"/>
                <w:szCs w:val="20"/>
              </w:rPr>
            </w:pPr>
            <w:r w:rsidRPr="0086418F">
              <w:rPr>
                <w:b/>
                <w:bCs/>
                <w:i/>
                <w:sz w:val="20"/>
                <w:szCs w:val="20"/>
              </w:rPr>
              <w:t>On average, how often do the children aged 13 or under in your household walk to and from school?</w:t>
            </w:r>
          </w:p>
        </w:tc>
        <w:tc>
          <w:tcPr>
            <w:tcW w:w="1500" w:type="dxa"/>
            <w:tcBorders>
              <w:top w:val="nil"/>
              <w:left w:val="single" w:sz="4" w:space="0" w:color="FFFFFF" w:themeColor="background1"/>
              <w:bottom w:val="single" w:sz="4" w:space="0" w:color="FFFFFF" w:themeColor="background1"/>
              <w:right w:val="single" w:sz="4" w:space="0" w:color="FFFFFF" w:themeColor="background1"/>
            </w:tcBorders>
            <w:shd w:val="clear" w:color="auto" w:fill="FF0000"/>
            <w:noWrap/>
            <w:hideMark/>
          </w:tcPr>
          <w:p w:rsidR="00FE57D6" w:rsidRPr="008A0198" w:rsidRDefault="00FE57D6" w:rsidP="00FE57D6">
            <w:pPr>
              <w:rPr>
                <w:b/>
                <w:bCs/>
                <w:color w:val="FFFFFF" w:themeColor="background1"/>
                <w:szCs w:val="20"/>
              </w:rPr>
            </w:pPr>
            <w:r w:rsidRPr="008A0198">
              <w:rPr>
                <w:b/>
                <w:bCs/>
                <w:color w:val="FFFFFF" w:themeColor="background1"/>
                <w:szCs w:val="20"/>
              </w:rPr>
              <w:t>2015</w:t>
            </w:r>
          </w:p>
        </w:tc>
        <w:tc>
          <w:tcPr>
            <w:tcW w:w="1671" w:type="dxa"/>
            <w:tcBorders>
              <w:top w:val="nil"/>
              <w:left w:val="single" w:sz="4" w:space="0" w:color="FFFFFF" w:themeColor="background1"/>
              <w:bottom w:val="single" w:sz="4" w:space="0" w:color="FFFFFF" w:themeColor="background1"/>
              <w:right w:val="single" w:sz="4" w:space="0" w:color="FFFFFF" w:themeColor="background1"/>
            </w:tcBorders>
            <w:shd w:val="clear" w:color="auto" w:fill="FF0000"/>
            <w:noWrap/>
            <w:hideMark/>
          </w:tcPr>
          <w:p w:rsidR="00FE57D6" w:rsidRPr="008A0198" w:rsidRDefault="00FE57D6" w:rsidP="00FE57D6">
            <w:pPr>
              <w:rPr>
                <w:b/>
                <w:bCs/>
                <w:color w:val="FFFFFF" w:themeColor="background1"/>
                <w:szCs w:val="20"/>
              </w:rPr>
            </w:pPr>
            <w:r w:rsidRPr="008A0198">
              <w:rPr>
                <w:b/>
                <w:bCs/>
                <w:color w:val="FFFFFF" w:themeColor="background1"/>
                <w:szCs w:val="20"/>
              </w:rPr>
              <w:t>2016</w:t>
            </w:r>
          </w:p>
        </w:tc>
        <w:tc>
          <w:tcPr>
            <w:tcW w:w="1451" w:type="dxa"/>
            <w:tcBorders>
              <w:top w:val="nil"/>
              <w:left w:val="single" w:sz="4" w:space="0" w:color="FFFFFF" w:themeColor="background1"/>
              <w:bottom w:val="single" w:sz="4" w:space="0" w:color="FFFFFF" w:themeColor="background1"/>
              <w:right w:val="single" w:sz="4" w:space="0" w:color="FFFFFF" w:themeColor="background1"/>
            </w:tcBorders>
            <w:shd w:val="clear" w:color="auto" w:fill="FF0000"/>
            <w:noWrap/>
            <w:hideMark/>
          </w:tcPr>
          <w:p w:rsidR="00FE57D6" w:rsidRPr="008A0198" w:rsidRDefault="00FE57D6" w:rsidP="00FE57D6">
            <w:pPr>
              <w:rPr>
                <w:b/>
                <w:bCs/>
                <w:color w:val="FFFFFF" w:themeColor="background1"/>
                <w:szCs w:val="20"/>
              </w:rPr>
            </w:pPr>
            <w:r w:rsidRPr="008A0198">
              <w:rPr>
                <w:b/>
                <w:bCs/>
                <w:color w:val="FFFFFF" w:themeColor="background1"/>
                <w:szCs w:val="20"/>
              </w:rPr>
              <w:t>2017</w:t>
            </w:r>
          </w:p>
        </w:tc>
        <w:tc>
          <w:tcPr>
            <w:tcW w:w="1586" w:type="dxa"/>
            <w:tcBorders>
              <w:top w:val="nil"/>
              <w:left w:val="single" w:sz="4" w:space="0" w:color="FFFFFF" w:themeColor="background1"/>
              <w:bottom w:val="single" w:sz="4" w:space="0" w:color="FFFFFF" w:themeColor="background1"/>
              <w:right w:val="single" w:sz="4" w:space="0" w:color="FFFFFF" w:themeColor="background1"/>
            </w:tcBorders>
            <w:shd w:val="clear" w:color="auto" w:fill="FF0000"/>
            <w:noWrap/>
            <w:hideMark/>
          </w:tcPr>
          <w:p w:rsidR="00FE57D6" w:rsidRPr="008A0198" w:rsidRDefault="00FE57D6" w:rsidP="00FE57D6">
            <w:pPr>
              <w:rPr>
                <w:b/>
                <w:bCs/>
                <w:color w:val="FFFFFF" w:themeColor="background1"/>
                <w:szCs w:val="20"/>
              </w:rPr>
            </w:pPr>
            <w:r w:rsidRPr="008A0198">
              <w:rPr>
                <w:b/>
                <w:bCs/>
                <w:color w:val="FFFFFF" w:themeColor="background1"/>
                <w:szCs w:val="20"/>
              </w:rPr>
              <w:t>2018</w:t>
            </w:r>
          </w:p>
        </w:tc>
        <w:tc>
          <w:tcPr>
            <w:tcW w:w="1133" w:type="dxa"/>
            <w:tcBorders>
              <w:top w:val="nil"/>
              <w:left w:val="single" w:sz="4" w:space="0" w:color="FFFFFF" w:themeColor="background1"/>
              <w:bottom w:val="single" w:sz="4" w:space="0" w:color="FFFFFF" w:themeColor="background1"/>
              <w:right w:val="single" w:sz="4" w:space="0" w:color="FFFFFF" w:themeColor="background1"/>
            </w:tcBorders>
            <w:shd w:val="clear" w:color="auto" w:fill="FF0000"/>
            <w:noWrap/>
            <w:hideMark/>
          </w:tcPr>
          <w:p w:rsidR="00FE57D6" w:rsidRPr="008A0198" w:rsidRDefault="00FE57D6" w:rsidP="00FE57D6">
            <w:pPr>
              <w:rPr>
                <w:b/>
                <w:bCs/>
                <w:color w:val="FFFFFF" w:themeColor="background1"/>
                <w:szCs w:val="20"/>
              </w:rPr>
            </w:pPr>
            <w:r w:rsidRPr="008A0198">
              <w:rPr>
                <w:b/>
                <w:bCs/>
                <w:color w:val="FFFFFF" w:themeColor="background1"/>
                <w:szCs w:val="20"/>
              </w:rPr>
              <w:t>2019</w:t>
            </w:r>
          </w:p>
        </w:tc>
      </w:tr>
      <w:tr w:rsidR="00FE57D6" w:rsidRPr="00D73845" w:rsidTr="00FE57D6">
        <w:trPr>
          <w:trHeight w:val="276"/>
        </w:trPr>
        <w:tc>
          <w:tcPr>
            <w:tcW w:w="4355" w:type="dxa"/>
            <w:vMerge/>
            <w:noWrap/>
            <w:hideMark/>
          </w:tcPr>
          <w:p w:rsidR="00FE57D6" w:rsidRPr="00D73845" w:rsidRDefault="00FE57D6" w:rsidP="00FE57D6"/>
        </w:tc>
        <w:tc>
          <w:tcPr>
            <w:tcW w:w="1500" w:type="dxa"/>
            <w:noWrap/>
            <w:hideMark/>
          </w:tcPr>
          <w:p w:rsidR="00FE57D6" w:rsidRPr="00D73845" w:rsidRDefault="00FE57D6" w:rsidP="00FE57D6">
            <w:r w:rsidRPr="00D73845">
              <w:t>n=135</w:t>
            </w:r>
          </w:p>
        </w:tc>
        <w:tc>
          <w:tcPr>
            <w:tcW w:w="1671" w:type="dxa"/>
            <w:noWrap/>
            <w:hideMark/>
          </w:tcPr>
          <w:p w:rsidR="00FE57D6" w:rsidRPr="00D73845" w:rsidRDefault="00FE57D6" w:rsidP="00FE57D6">
            <w:r w:rsidRPr="00D73845">
              <w:t>n=213</w:t>
            </w:r>
          </w:p>
        </w:tc>
        <w:tc>
          <w:tcPr>
            <w:tcW w:w="1451" w:type="dxa"/>
            <w:noWrap/>
            <w:hideMark/>
          </w:tcPr>
          <w:p w:rsidR="00FE57D6" w:rsidRPr="00D73845" w:rsidRDefault="00FE57D6" w:rsidP="00FE57D6">
            <w:r w:rsidRPr="00D73845">
              <w:t>n=111</w:t>
            </w:r>
          </w:p>
        </w:tc>
        <w:tc>
          <w:tcPr>
            <w:tcW w:w="1586" w:type="dxa"/>
            <w:noWrap/>
            <w:hideMark/>
          </w:tcPr>
          <w:p w:rsidR="00FE57D6" w:rsidRPr="00D73845" w:rsidRDefault="00FE57D6" w:rsidP="00FE57D6">
            <w:r w:rsidRPr="00D73845">
              <w:t>n=150</w:t>
            </w:r>
          </w:p>
        </w:tc>
        <w:tc>
          <w:tcPr>
            <w:tcW w:w="1133" w:type="dxa"/>
            <w:noWrap/>
            <w:hideMark/>
          </w:tcPr>
          <w:p w:rsidR="00FE57D6" w:rsidRPr="00D73845" w:rsidRDefault="00FE57D6" w:rsidP="00FE57D6">
            <w:r w:rsidRPr="00D73845">
              <w:t>n=89</w:t>
            </w:r>
          </w:p>
        </w:tc>
      </w:tr>
      <w:tr w:rsidR="00FE57D6" w:rsidRPr="00D73845" w:rsidTr="00FE57D6">
        <w:trPr>
          <w:trHeight w:val="276"/>
        </w:trPr>
        <w:tc>
          <w:tcPr>
            <w:tcW w:w="4355" w:type="dxa"/>
            <w:noWrap/>
            <w:hideMark/>
          </w:tcPr>
          <w:p w:rsidR="00FE57D6" w:rsidRPr="00D73845" w:rsidRDefault="00FE57D6" w:rsidP="00FE57D6">
            <w:r w:rsidRPr="00D73845">
              <w:t xml:space="preserve">Everyday </w:t>
            </w:r>
          </w:p>
        </w:tc>
        <w:tc>
          <w:tcPr>
            <w:tcW w:w="1500" w:type="dxa"/>
            <w:noWrap/>
            <w:hideMark/>
          </w:tcPr>
          <w:p w:rsidR="00FE57D6" w:rsidRPr="00D73845" w:rsidRDefault="00FE57D6" w:rsidP="00FE57D6">
            <w:r w:rsidRPr="00D73845">
              <w:t>39%</w:t>
            </w:r>
          </w:p>
        </w:tc>
        <w:tc>
          <w:tcPr>
            <w:tcW w:w="1671" w:type="dxa"/>
            <w:noWrap/>
            <w:hideMark/>
          </w:tcPr>
          <w:p w:rsidR="00FE57D6" w:rsidRPr="00D73845" w:rsidRDefault="00FE57D6" w:rsidP="00FE57D6">
            <w:r w:rsidRPr="00D73845">
              <w:t>32%</w:t>
            </w:r>
          </w:p>
        </w:tc>
        <w:tc>
          <w:tcPr>
            <w:tcW w:w="1451" w:type="dxa"/>
            <w:noWrap/>
            <w:hideMark/>
          </w:tcPr>
          <w:p w:rsidR="00FE57D6" w:rsidRPr="00D73845" w:rsidRDefault="00FE57D6" w:rsidP="00FE57D6">
            <w:r w:rsidRPr="00D73845">
              <w:t>53%</w:t>
            </w:r>
          </w:p>
        </w:tc>
        <w:tc>
          <w:tcPr>
            <w:tcW w:w="1586" w:type="dxa"/>
            <w:noWrap/>
            <w:hideMark/>
          </w:tcPr>
          <w:p w:rsidR="00FE57D6" w:rsidRPr="00D73845" w:rsidRDefault="00FE57D6" w:rsidP="00FE57D6">
            <w:r w:rsidRPr="00D73845">
              <w:t>34%</w:t>
            </w:r>
          </w:p>
        </w:tc>
        <w:tc>
          <w:tcPr>
            <w:tcW w:w="1133" w:type="dxa"/>
            <w:noWrap/>
            <w:hideMark/>
          </w:tcPr>
          <w:p w:rsidR="00FE57D6" w:rsidRPr="00D73845" w:rsidRDefault="00FE57D6" w:rsidP="00FE57D6">
            <w:r w:rsidRPr="00D73845">
              <w:t>22%</w:t>
            </w:r>
          </w:p>
        </w:tc>
      </w:tr>
      <w:tr w:rsidR="00FE57D6" w:rsidRPr="00D73845" w:rsidTr="00FE57D6">
        <w:trPr>
          <w:trHeight w:val="276"/>
        </w:trPr>
        <w:tc>
          <w:tcPr>
            <w:tcW w:w="4355" w:type="dxa"/>
            <w:noWrap/>
            <w:hideMark/>
          </w:tcPr>
          <w:p w:rsidR="00FE57D6" w:rsidRPr="00D73845" w:rsidRDefault="00FE57D6" w:rsidP="00FE57D6">
            <w:r w:rsidRPr="00D73845">
              <w:t xml:space="preserve">3-4 days a week </w:t>
            </w:r>
          </w:p>
        </w:tc>
        <w:tc>
          <w:tcPr>
            <w:tcW w:w="1500" w:type="dxa"/>
            <w:noWrap/>
            <w:hideMark/>
          </w:tcPr>
          <w:p w:rsidR="00FE57D6" w:rsidRPr="00D73845" w:rsidRDefault="00FE57D6" w:rsidP="00FE57D6">
            <w:r w:rsidRPr="00D73845">
              <w:t>11%</w:t>
            </w:r>
          </w:p>
        </w:tc>
        <w:tc>
          <w:tcPr>
            <w:tcW w:w="1671" w:type="dxa"/>
            <w:noWrap/>
            <w:hideMark/>
          </w:tcPr>
          <w:p w:rsidR="00FE57D6" w:rsidRPr="00D73845" w:rsidRDefault="00FE57D6" w:rsidP="00FE57D6">
            <w:r w:rsidRPr="00D73845">
              <w:t>15%</w:t>
            </w:r>
          </w:p>
        </w:tc>
        <w:tc>
          <w:tcPr>
            <w:tcW w:w="1451" w:type="dxa"/>
            <w:noWrap/>
            <w:hideMark/>
          </w:tcPr>
          <w:p w:rsidR="00FE57D6" w:rsidRPr="00D73845" w:rsidRDefault="00FE57D6" w:rsidP="00FE57D6">
            <w:r w:rsidRPr="00D73845">
              <w:t>11%</w:t>
            </w:r>
          </w:p>
        </w:tc>
        <w:tc>
          <w:tcPr>
            <w:tcW w:w="1586" w:type="dxa"/>
            <w:noWrap/>
            <w:hideMark/>
          </w:tcPr>
          <w:p w:rsidR="00FE57D6" w:rsidRPr="00D73845" w:rsidRDefault="00FE57D6" w:rsidP="00FE57D6">
            <w:r w:rsidRPr="00D73845">
              <w:t>11%</w:t>
            </w:r>
          </w:p>
        </w:tc>
        <w:tc>
          <w:tcPr>
            <w:tcW w:w="1133" w:type="dxa"/>
            <w:noWrap/>
            <w:hideMark/>
          </w:tcPr>
          <w:p w:rsidR="00FE57D6" w:rsidRPr="00D73845" w:rsidRDefault="00FE57D6" w:rsidP="00FE57D6">
            <w:r w:rsidRPr="00D73845">
              <w:t>16%</w:t>
            </w:r>
          </w:p>
        </w:tc>
      </w:tr>
      <w:tr w:rsidR="00FE57D6" w:rsidRPr="00D73845" w:rsidTr="00FE57D6">
        <w:trPr>
          <w:trHeight w:val="276"/>
        </w:trPr>
        <w:tc>
          <w:tcPr>
            <w:tcW w:w="4355" w:type="dxa"/>
            <w:noWrap/>
            <w:hideMark/>
          </w:tcPr>
          <w:p w:rsidR="00FE57D6" w:rsidRPr="00D73845" w:rsidRDefault="00FE57D6" w:rsidP="00FE57D6">
            <w:r w:rsidRPr="00D73845">
              <w:t xml:space="preserve">1-2 days a week </w:t>
            </w:r>
          </w:p>
        </w:tc>
        <w:tc>
          <w:tcPr>
            <w:tcW w:w="1500" w:type="dxa"/>
            <w:noWrap/>
            <w:hideMark/>
          </w:tcPr>
          <w:p w:rsidR="00FE57D6" w:rsidRPr="00D73845" w:rsidRDefault="00FE57D6" w:rsidP="00FE57D6">
            <w:r w:rsidRPr="00D73845">
              <w:t>16%</w:t>
            </w:r>
          </w:p>
        </w:tc>
        <w:tc>
          <w:tcPr>
            <w:tcW w:w="1671" w:type="dxa"/>
            <w:noWrap/>
            <w:hideMark/>
          </w:tcPr>
          <w:p w:rsidR="00FE57D6" w:rsidRPr="00D73845" w:rsidRDefault="00FE57D6" w:rsidP="00FE57D6">
            <w:r w:rsidRPr="00D73845">
              <w:t>18%</w:t>
            </w:r>
          </w:p>
        </w:tc>
        <w:tc>
          <w:tcPr>
            <w:tcW w:w="1451" w:type="dxa"/>
            <w:noWrap/>
            <w:hideMark/>
          </w:tcPr>
          <w:p w:rsidR="00FE57D6" w:rsidRPr="00D73845" w:rsidRDefault="00FE57D6" w:rsidP="00FE57D6">
            <w:r w:rsidRPr="00D73845">
              <w:t>9%</w:t>
            </w:r>
          </w:p>
        </w:tc>
        <w:tc>
          <w:tcPr>
            <w:tcW w:w="1586" w:type="dxa"/>
            <w:noWrap/>
            <w:hideMark/>
          </w:tcPr>
          <w:p w:rsidR="00FE57D6" w:rsidRPr="00D73845" w:rsidRDefault="00FE57D6" w:rsidP="00FE57D6">
            <w:r w:rsidRPr="00D73845">
              <w:t>22%</w:t>
            </w:r>
          </w:p>
        </w:tc>
        <w:tc>
          <w:tcPr>
            <w:tcW w:w="1133" w:type="dxa"/>
            <w:noWrap/>
            <w:hideMark/>
          </w:tcPr>
          <w:p w:rsidR="00FE57D6" w:rsidRPr="00D73845" w:rsidRDefault="00FE57D6" w:rsidP="00FE57D6">
            <w:r w:rsidRPr="00D73845">
              <w:t>11%</w:t>
            </w:r>
          </w:p>
        </w:tc>
      </w:tr>
      <w:tr w:rsidR="00FE57D6" w:rsidRPr="00D73845" w:rsidTr="00FE57D6">
        <w:trPr>
          <w:trHeight w:val="276"/>
        </w:trPr>
        <w:tc>
          <w:tcPr>
            <w:tcW w:w="4355" w:type="dxa"/>
            <w:noWrap/>
            <w:hideMark/>
          </w:tcPr>
          <w:p w:rsidR="00FE57D6" w:rsidRPr="00D73845" w:rsidRDefault="00FE57D6" w:rsidP="00FE57D6">
            <w:r w:rsidRPr="00D73845">
              <w:t xml:space="preserve">Less often </w:t>
            </w:r>
          </w:p>
        </w:tc>
        <w:tc>
          <w:tcPr>
            <w:tcW w:w="1500" w:type="dxa"/>
            <w:noWrap/>
            <w:hideMark/>
          </w:tcPr>
          <w:p w:rsidR="00FE57D6" w:rsidRPr="00D73845" w:rsidRDefault="00FE57D6" w:rsidP="00FE57D6">
            <w:r w:rsidRPr="00D73845">
              <w:t>11%</w:t>
            </w:r>
          </w:p>
        </w:tc>
        <w:tc>
          <w:tcPr>
            <w:tcW w:w="1671" w:type="dxa"/>
            <w:noWrap/>
            <w:hideMark/>
          </w:tcPr>
          <w:p w:rsidR="00FE57D6" w:rsidRPr="00D73845" w:rsidRDefault="00FE57D6" w:rsidP="00FE57D6">
            <w:r w:rsidRPr="00D73845">
              <w:t>13%</w:t>
            </w:r>
          </w:p>
        </w:tc>
        <w:tc>
          <w:tcPr>
            <w:tcW w:w="1451" w:type="dxa"/>
            <w:noWrap/>
            <w:hideMark/>
          </w:tcPr>
          <w:p w:rsidR="00FE57D6" w:rsidRPr="00D73845" w:rsidRDefault="00FE57D6" w:rsidP="00FE57D6">
            <w:r w:rsidRPr="00D73845">
              <w:t>10%</w:t>
            </w:r>
          </w:p>
        </w:tc>
        <w:tc>
          <w:tcPr>
            <w:tcW w:w="1586" w:type="dxa"/>
            <w:noWrap/>
            <w:hideMark/>
          </w:tcPr>
          <w:p w:rsidR="00FE57D6" w:rsidRPr="00D73845" w:rsidRDefault="00FE57D6" w:rsidP="00FE57D6">
            <w:r w:rsidRPr="00D73845">
              <w:t>6%</w:t>
            </w:r>
          </w:p>
        </w:tc>
        <w:tc>
          <w:tcPr>
            <w:tcW w:w="1133" w:type="dxa"/>
            <w:noWrap/>
            <w:hideMark/>
          </w:tcPr>
          <w:p w:rsidR="00FE57D6" w:rsidRPr="00D73845" w:rsidRDefault="00FE57D6" w:rsidP="00FE57D6">
            <w:r w:rsidRPr="00D73845">
              <w:t>22%</w:t>
            </w:r>
          </w:p>
        </w:tc>
      </w:tr>
      <w:tr w:rsidR="00FE57D6" w:rsidRPr="00D73845" w:rsidTr="00FE57D6">
        <w:trPr>
          <w:trHeight w:val="276"/>
        </w:trPr>
        <w:tc>
          <w:tcPr>
            <w:tcW w:w="4355" w:type="dxa"/>
            <w:noWrap/>
            <w:hideMark/>
          </w:tcPr>
          <w:p w:rsidR="00FE57D6" w:rsidRPr="00D73845" w:rsidRDefault="00FE57D6" w:rsidP="00FE57D6">
            <w:r w:rsidRPr="00D73845">
              <w:t xml:space="preserve">Never </w:t>
            </w:r>
          </w:p>
        </w:tc>
        <w:tc>
          <w:tcPr>
            <w:tcW w:w="1500" w:type="dxa"/>
            <w:noWrap/>
            <w:hideMark/>
          </w:tcPr>
          <w:p w:rsidR="00FE57D6" w:rsidRPr="00D73845" w:rsidRDefault="00FE57D6" w:rsidP="00FE57D6">
            <w:r w:rsidRPr="00D73845">
              <w:t>23%</w:t>
            </w:r>
          </w:p>
        </w:tc>
        <w:tc>
          <w:tcPr>
            <w:tcW w:w="1671" w:type="dxa"/>
            <w:noWrap/>
            <w:hideMark/>
          </w:tcPr>
          <w:p w:rsidR="00FE57D6" w:rsidRPr="00D73845" w:rsidRDefault="00FE57D6" w:rsidP="00FE57D6">
            <w:r w:rsidRPr="00D73845">
              <w:t>22%</w:t>
            </w:r>
          </w:p>
        </w:tc>
        <w:tc>
          <w:tcPr>
            <w:tcW w:w="1451" w:type="dxa"/>
            <w:noWrap/>
            <w:hideMark/>
          </w:tcPr>
          <w:p w:rsidR="00FE57D6" w:rsidRPr="00D73845" w:rsidRDefault="00FE57D6" w:rsidP="00FE57D6">
            <w:r w:rsidRPr="00D73845">
              <w:t>18%</w:t>
            </w:r>
          </w:p>
        </w:tc>
        <w:tc>
          <w:tcPr>
            <w:tcW w:w="1586" w:type="dxa"/>
            <w:noWrap/>
            <w:hideMark/>
          </w:tcPr>
          <w:p w:rsidR="00FE57D6" w:rsidRPr="00D73845" w:rsidRDefault="00FE57D6" w:rsidP="00FE57D6">
            <w:r w:rsidRPr="00D73845">
              <w:t>27%</w:t>
            </w:r>
          </w:p>
        </w:tc>
        <w:tc>
          <w:tcPr>
            <w:tcW w:w="1133" w:type="dxa"/>
            <w:noWrap/>
            <w:hideMark/>
          </w:tcPr>
          <w:p w:rsidR="00FE57D6" w:rsidRPr="00D73845" w:rsidRDefault="00FE57D6" w:rsidP="00FE57D6">
            <w:r w:rsidRPr="00D73845">
              <w:t>30%</w:t>
            </w:r>
          </w:p>
        </w:tc>
      </w:tr>
      <w:tr w:rsidR="00C5399F" w:rsidRPr="00D73845" w:rsidTr="00FE57D6">
        <w:trPr>
          <w:trHeight w:val="276"/>
        </w:trPr>
        <w:tc>
          <w:tcPr>
            <w:tcW w:w="4355" w:type="dxa"/>
            <w:noWrap/>
          </w:tcPr>
          <w:p w:rsidR="00C5399F" w:rsidRPr="00D73845" w:rsidRDefault="00C5399F" w:rsidP="00FE57D6">
            <w:r>
              <w:t>Reported result</w:t>
            </w:r>
          </w:p>
        </w:tc>
        <w:tc>
          <w:tcPr>
            <w:tcW w:w="1500" w:type="dxa"/>
            <w:noWrap/>
          </w:tcPr>
          <w:p w:rsidR="00C5399F" w:rsidRPr="00D73845" w:rsidRDefault="00C5399F" w:rsidP="00FE57D6"/>
        </w:tc>
        <w:tc>
          <w:tcPr>
            <w:tcW w:w="1671" w:type="dxa"/>
            <w:noWrap/>
          </w:tcPr>
          <w:p w:rsidR="00C5399F" w:rsidRPr="00D73845" w:rsidRDefault="00C5399F" w:rsidP="00FE57D6"/>
        </w:tc>
        <w:tc>
          <w:tcPr>
            <w:tcW w:w="1451" w:type="dxa"/>
            <w:noWrap/>
          </w:tcPr>
          <w:p w:rsidR="00C5399F" w:rsidRPr="00D73845" w:rsidRDefault="00C5399F" w:rsidP="00FE57D6">
            <w:r>
              <w:t>73%</w:t>
            </w:r>
          </w:p>
        </w:tc>
        <w:tc>
          <w:tcPr>
            <w:tcW w:w="1586" w:type="dxa"/>
            <w:noWrap/>
          </w:tcPr>
          <w:p w:rsidR="00C5399F" w:rsidRPr="00D73845" w:rsidRDefault="00C5399F" w:rsidP="00FE57D6">
            <w:r>
              <w:t>67%</w:t>
            </w:r>
          </w:p>
        </w:tc>
        <w:tc>
          <w:tcPr>
            <w:tcW w:w="1133" w:type="dxa"/>
            <w:noWrap/>
          </w:tcPr>
          <w:p w:rsidR="00C5399F" w:rsidRPr="00D73845" w:rsidRDefault="00C5399F" w:rsidP="00FE57D6">
            <w:r>
              <w:t>49%</w:t>
            </w:r>
          </w:p>
        </w:tc>
      </w:tr>
      <w:tr w:rsidR="00FE57D6" w:rsidRPr="006F76AB" w:rsidTr="00FE57D6">
        <w:trPr>
          <w:trHeight w:val="276"/>
        </w:trPr>
        <w:tc>
          <w:tcPr>
            <w:tcW w:w="11696" w:type="dxa"/>
            <w:gridSpan w:val="6"/>
            <w:noWrap/>
            <w:hideMark/>
          </w:tcPr>
          <w:p w:rsidR="00FE57D6" w:rsidRPr="006F76AB" w:rsidRDefault="00FE57D6" w:rsidP="00FE57D6">
            <w:pPr>
              <w:rPr>
                <w:i/>
              </w:rPr>
            </w:pPr>
            <w:r w:rsidRPr="006F76AB">
              <w:rPr>
                <w:i/>
              </w:rPr>
              <w:t xml:space="preserve">Source: Wellington City Council Residents' Monitoring Survey </w:t>
            </w:r>
            <w:r w:rsidR="003E3342">
              <w:rPr>
                <w:i/>
              </w:rPr>
              <w:t>RMS</w:t>
            </w:r>
          </w:p>
        </w:tc>
      </w:tr>
    </w:tbl>
    <w:p w:rsidR="00FE57D6" w:rsidRDefault="00FE57D6" w:rsidP="002C7BF8">
      <w:pPr>
        <w:pStyle w:val="ListParagraph"/>
        <w:numPr>
          <w:ilvl w:val="1"/>
          <w:numId w:val="69"/>
        </w:numPr>
        <w:spacing w:before="240" w:after="0"/>
        <w:rPr>
          <w:b/>
        </w:rPr>
      </w:pPr>
      <w:r>
        <w:rPr>
          <w:b/>
        </w:rPr>
        <w:t xml:space="preserve"> </w:t>
      </w:r>
    </w:p>
    <w:tbl>
      <w:tblPr>
        <w:tblStyle w:val="TableGrid"/>
        <w:tblW w:w="0" w:type="auto"/>
        <w:tblBorders>
          <w:top w:val="single" w:sz="4" w:space="0" w:color="FF0000"/>
          <w:left w:val="none" w:sz="0" w:space="0" w:color="auto"/>
          <w:bottom w:val="single" w:sz="4" w:space="0" w:color="FF0000"/>
          <w:right w:val="none" w:sz="0" w:space="0" w:color="auto"/>
          <w:insideH w:val="single" w:sz="4" w:space="0" w:color="FF0000"/>
          <w:insideV w:val="single" w:sz="4" w:space="0" w:color="FF0000"/>
        </w:tblBorders>
        <w:tblLook w:val="04A0" w:firstRow="1" w:lastRow="0" w:firstColumn="1" w:lastColumn="0" w:noHBand="0" w:noVBand="1"/>
      </w:tblPr>
      <w:tblGrid>
        <w:gridCol w:w="4355"/>
        <w:gridCol w:w="1500"/>
        <w:gridCol w:w="1671"/>
        <w:gridCol w:w="1451"/>
        <w:gridCol w:w="1586"/>
        <w:gridCol w:w="1133"/>
      </w:tblGrid>
      <w:tr w:rsidR="00FE57D6" w:rsidRPr="00D73845" w:rsidTr="00FE57D6">
        <w:trPr>
          <w:trHeight w:val="179"/>
        </w:trPr>
        <w:tc>
          <w:tcPr>
            <w:tcW w:w="7526" w:type="dxa"/>
            <w:gridSpan w:val="3"/>
            <w:vMerge w:val="restart"/>
            <w:tcBorders>
              <w:right w:val="single" w:sz="4" w:space="0" w:color="FFFFFF" w:themeColor="background1"/>
            </w:tcBorders>
            <w:vAlign w:val="center"/>
            <w:hideMark/>
          </w:tcPr>
          <w:p w:rsidR="00FE57D6" w:rsidRPr="00D73845" w:rsidRDefault="00FE57D6" w:rsidP="00FE57D6">
            <w:r w:rsidRPr="0086418F">
              <w:rPr>
                <w:b/>
                <w:bCs/>
                <w:i/>
                <w:sz w:val="20"/>
                <w:szCs w:val="20"/>
              </w:rPr>
              <w:t>On average, how often do the children aged 13 or under in your household cycle to and from school?</w:t>
            </w:r>
          </w:p>
        </w:tc>
        <w:tc>
          <w:tcPr>
            <w:tcW w:w="14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0000"/>
            <w:noWrap/>
            <w:hideMark/>
          </w:tcPr>
          <w:p w:rsidR="00FE57D6" w:rsidRPr="002F66FD" w:rsidRDefault="00FE57D6" w:rsidP="00FE57D6">
            <w:pPr>
              <w:rPr>
                <w:b/>
                <w:bCs/>
                <w:color w:val="FFFFFF" w:themeColor="background1"/>
              </w:rPr>
            </w:pPr>
            <w:r w:rsidRPr="002F66FD">
              <w:rPr>
                <w:b/>
                <w:bCs/>
                <w:color w:val="FFFFFF" w:themeColor="background1"/>
              </w:rPr>
              <w:t>2017</w:t>
            </w:r>
          </w:p>
        </w:tc>
        <w:tc>
          <w:tcPr>
            <w:tcW w:w="15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0000"/>
            <w:noWrap/>
            <w:hideMark/>
          </w:tcPr>
          <w:p w:rsidR="00FE57D6" w:rsidRPr="002F66FD" w:rsidRDefault="00FE57D6" w:rsidP="00FE57D6">
            <w:pPr>
              <w:rPr>
                <w:b/>
                <w:bCs/>
                <w:color w:val="FFFFFF" w:themeColor="background1"/>
              </w:rPr>
            </w:pPr>
            <w:r w:rsidRPr="002F66FD">
              <w:rPr>
                <w:b/>
                <w:bCs/>
                <w:color w:val="FFFFFF" w:themeColor="background1"/>
              </w:rPr>
              <w:t>2018</w:t>
            </w:r>
          </w:p>
        </w:tc>
        <w:tc>
          <w:tcPr>
            <w:tcW w:w="113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0000"/>
            <w:noWrap/>
            <w:hideMark/>
          </w:tcPr>
          <w:p w:rsidR="00FE57D6" w:rsidRPr="002F66FD" w:rsidRDefault="00FE57D6" w:rsidP="00FE57D6">
            <w:pPr>
              <w:rPr>
                <w:b/>
                <w:bCs/>
                <w:color w:val="FFFFFF" w:themeColor="background1"/>
              </w:rPr>
            </w:pPr>
            <w:r w:rsidRPr="002F66FD">
              <w:rPr>
                <w:b/>
                <w:bCs/>
                <w:color w:val="FFFFFF" w:themeColor="background1"/>
              </w:rPr>
              <w:t>2019</w:t>
            </w:r>
          </w:p>
        </w:tc>
      </w:tr>
      <w:tr w:rsidR="00FE57D6" w:rsidRPr="00D73845" w:rsidTr="00FE57D6">
        <w:trPr>
          <w:trHeight w:val="276"/>
        </w:trPr>
        <w:tc>
          <w:tcPr>
            <w:tcW w:w="7526" w:type="dxa"/>
            <w:gridSpan w:val="3"/>
            <w:vMerge/>
            <w:noWrap/>
            <w:hideMark/>
          </w:tcPr>
          <w:p w:rsidR="00FE57D6" w:rsidRPr="00D73845" w:rsidRDefault="00FE57D6" w:rsidP="00FE57D6"/>
        </w:tc>
        <w:tc>
          <w:tcPr>
            <w:tcW w:w="1451" w:type="dxa"/>
            <w:noWrap/>
            <w:hideMark/>
          </w:tcPr>
          <w:p w:rsidR="00FE57D6" w:rsidRPr="00D73845" w:rsidRDefault="00FE57D6" w:rsidP="00FE57D6">
            <w:r w:rsidRPr="00D73845">
              <w:t>n=111</w:t>
            </w:r>
          </w:p>
        </w:tc>
        <w:tc>
          <w:tcPr>
            <w:tcW w:w="1586" w:type="dxa"/>
            <w:noWrap/>
            <w:hideMark/>
          </w:tcPr>
          <w:p w:rsidR="00FE57D6" w:rsidRPr="00D73845" w:rsidRDefault="00FE57D6" w:rsidP="00FE57D6">
            <w:r w:rsidRPr="00D73845">
              <w:t>n=146</w:t>
            </w:r>
          </w:p>
        </w:tc>
        <w:tc>
          <w:tcPr>
            <w:tcW w:w="1133" w:type="dxa"/>
            <w:noWrap/>
            <w:hideMark/>
          </w:tcPr>
          <w:p w:rsidR="00FE57D6" w:rsidRPr="00D73845" w:rsidRDefault="00FE57D6" w:rsidP="00FE57D6">
            <w:r w:rsidRPr="00D73845">
              <w:t>n=88</w:t>
            </w:r>
          </w:p>
        </w:tc>
      </w:tr>
      <w:tr w:rsidR="00FE57D6" w:rsidRPr="00D73845" w:rsidTr="00FE57D6">
        <w:trPr>
          <w:trHeight w:val="276"/>
        </w:trPr>
        <w:tc>
          <w:tcPr>
            <w:tcW w:w="4355" w:type="dxa"/>
            <w:noWrap/>
            <w:hideMark/>
          </w:tcPr>
          <w:p w:rsidR="00FE57D6" w:rsidRPr="00D73845" w:rsidRDefault="00FE57D6" w:rsidP="00FE57D6">
            <w:r w:rsidRPr="00D73845">
              <w:t xml:space="preserve">Everyday </w:t>
            </w:r>
          </w:p>
        </w:tc>
        <w:tc>
          <w:tcPr>
            <w:tcW w:w="1500" w:type="dxa"/>
            <w:noWrap/>
            <w:hideMark/>
          </w:tcPr>
          <w:p w:rsidR="00FE57D6" w:rsidRPr="00D73845" w:rsidRDefault="00FE57D6" w:rsidP="00FE57D6"/>
        </w:tc>
        <w:tc>
          <w:tcPr>
            <w:tcW w:w="1671" w:type="dxa"/>
            <w:noWrap/>
            <w:hideMark/>
          </w:tcPr>
          <w:p w:rsidR="00FE57D6" w:rsidRPr="00D73845" w:rsidRDefault="00FE57D6" w:rsidP="00FE57D6"/>
        </w:tc>
        <w:tc>
          <w:tcPr>
            <w:tcW w:w="1451" w:type="dxa"/>
            <w:noWrap/>
            <w:hideMark/>
          </w:tcPr>
          <w:p w:rsidR="00FE57D6" w:rsidRPr="00D73845" w:rsidRDefault="00FE57D6" w:rsidP="00FE57D6">
            <w:r w:rsidRPr="00D73845">
              <w:t>1%</w:t>
            </w:r>
          </w:p>
        </w:tc>
        <w:tc>
          <w:tcPr>
            <w:tcW w:w="1586" w:type="dxa"/>
            <w:noWrap/>
            <w:hideMark/>
          </w:tcPr>
          <w:p w:rsidR="00FE57D6" w:rsidRPr="00D73845" w:rsidRDefault="00FE57D6" w:rsidP="00FE57D6">
            <w:r w:rsidRPr="00D73845">
              <w:t>0</w:t>
            </w:r>
          </w:p>
        </w:tc>
        <w:tc>
          <w:tcPr>
            <w:tcW w:w="1133" w:type="dxa"/>
            <w:noWrap/>
            <w:hideMark/>
          </w:tcPr>
          <w:p w:rsidR="00FE57D6" w:rsidRPr="00D73845" w:rsidRDefault="00FE57D6" w:rsidP="00FE57D6">
            <w:r w:rsidRPr="00D73845">
              <w:t>2%</w:t>
            </w:r>
          </w:p>
        </w:tc>
      </w:tr>
      <w:tr w:rsidR="00FE57D6" w:rsidRPr="00D73845" w:rsidTr="00FE57D6">
        <w:trPr>
          <w:trHeight w:val="276"/>
        </w:trPr>
        <w:tc>
          <w:tcPr>
            <w:tcW w:w="4355" w:type="dxa"/>
            <w:noWrap/>
            <w:hideMark/>
          </w:tcPr>
          <w:p w:rsidR="00FE57D6" w:rsidRPr="00D73845" w:rsidRDefault="00FE57D6" w:rsidP="00FE57D6">
            <w:r w:rsidRPr="00D73845">
              <w:t xml:space="preserve">3-4 days a week </w:t>
            </w:r>
          </w:p>
        </w:tc>
        <w:tc>
          <w:tcPr>
            <w:tcW w:w="1500" w:type="dxa"/>
            <w:noWrap/>
            <w:hideMark/>
          </w:tcPr>
          <w:p w:rsidR="00FE57D6" w:rsidRPr="00D73845" w:rsidRDefault="00FE57D6" w:rsidP="00FE57D6"/>
        </w:tc>
        <w:tc>
          <w:tcPr>
            <w:tcW w:w="1671" w:type="dxa"/>
            <w:noWrap/>
            <w:hideMark/>
          </w:tcPr>
          <w:p w:rsidR="00FE57D6" w:rsidRPr="00D73845" w:rsidRDefault="00FE57D6" w:rsidP="00FE57D6"/>
        </w:tc>
        <w:tc>
          <w:tcPr>
            <w:tcW w:w="1451" w:type="dxa"/>
            <w:noWrap/>
            <w:hideMark/>
          </w:tcPr>
          <w:p w:rsidR="00FE57D6" w:rsidRPr="00D73845" w:rsidRDefault="00FE57D6" w:rsidP="00FE57D6">
            <w:r w:rsidRPr="00D73845">
              <w:t>5%</w:t>
            </w:r>
          </w:p>
        </w:tc>
        <w:tc>
          <w:tcPr>
            <w:tcW w:w="1586" w:type="dxa"/>
            <w:noWrap/>
            <w:hideMark/>
          </w:tcPr>
          <w:p w:rsidR="00FE57D6" w:rsidRPr="00D73845" w:rsidRDefault="00FE57D6" w:rsidP="00FE57D6">
            <w:r w:rsidRPr="00D73845">
              <w:t>2%</w:t>
            </w:r>
          </w:p>
        </w:tc>
        <w:tc>
          <w:tcPr>
            <w:tcW w:w="1133" w:type="dxa"/>
            <w:noWrap/>
            <w:hideMark/>
          </w:tcPr>
          <w:p w:rsidR="00FE57D6" w:rsidRPr="00D73845" w:rsidRDefault="00FE57D6" w:rsidP="00FE57D6">
            <w:r w:rsidRPr="00D73845">
              <w:t>1%</w:t>
            </w:r>
          </w:p>
        </w:tc>
      </w:tr>
      <w:tr w:rsidR="00FE57D6" w:rsidRPr="00D73845" w:rsidTr="00FE57D6">
        <w:trPr>
          <w:trHeight w:val="276"/>
        </w:trPr>
        <w:tc>
          <w:tcPr>
            <w:tcW w:w="4355" w:type="dxa"/>
            <w:noWrap/>
            <w:hideMark/>
          </w:tcPr>
          <w:p w:rsidR="00FE57D6" w:rsidRPr="00D73845" w:rsidRDefault="00FE57D6" w:rsidP="00FE57D6">
            <w:r w:rsidRPr="00D73845">
              <w:t xml:space="preserve">1-2 days a week </w:t>
            </w:r>
          </w:p>
        </w:tc>
        <w:tc>
          <w:tcPr>
            <w:tcW w:w="1500" w:type="dxa"/>
            <w:noWrap/>
            <w:hideMark/>
          </w:tcPr>
          <w:p w:rsidR="00FE57D6" w:rsidRPr="00D73845" w:rsidRDefault="00FE57D6" w:rsidP="00FE57D6"/>
        </w:tc>
        <w:tc>
          <w:tcPr>
            <w:tcW w:w="1671" w:type="dxa"/>
            <w:noWrap/>
            <w:hideMark/>
          </w:tcPr>
          <w:p w:rsidR="00FE57D6" w:rsidRPr="00D73845" w:rsidRDefault="00FE57D6" w:rsidP="00FE57D6"/>
        </w:tc>
        <w:tc>
          <w:tcPr>
            <w:tcW w:w="1451" w:type="dxa"/>
            <w:noWrap/>
            <w:hideMark/>
          </w:tcPr>
          <w:p w:rsidR="00FE57D6" w:rsidRPr="00D73845" w:rsidRDefault="00FE57D6" w:rsidP="00FE57D6">
            <w:r w:rsidRPr="00D73845">
              <w:t>3%</w:t>
            </w:r>
          </w:p>
        </w:tc>
        <w:tc>
          <w:tcPr>
            <w:tcW w:w="1586" w:type="dxa"/>
            <w:noWrap/>
            <w:hideMark/>
          </w:tcPr>
          <w:p w:rsidR="00FE57D6" w:rsidRPr="00D73845" w:rsidRDefault="00FE57D6" w:rsidP="00FE57D6">
            <w:r w:rsidRPr="00D73845">
              <w:t>5%</w:t>
            </w:r>
          </w:p>
        </w:tc>
        <w:tc>
          <w:tcPr>
            <w:tcW w:w="1133" w:type="dxa"/>
            <w:noWrap/>
            <w:hideMark/>
          </w:tcPr>
          <w:p w:rsidR="00FE57D6" w:rsidRPr="00D73845" w:rsidRDefault="00FE57D6" w:rsidP="00FE57D6">
            <w:r w:rsidRPr="00D73845">
              <w:t>3%</w:t>
            </w:r>
          </w:p>
        </w:tc>
      </w:tr>
      <w:tr w:rsidR="00FE57D6" w:rsidRPr="00D73845" w:rsidTr="00FE57D6">
        <w:trPr>
          <w:trHeight w:val="276"/>
        </w:trPr>
        <w:tc>
          <w:tcPr>
            <w:tcW w:w="4355" w:type="dxa"/>
            <w:noWrap/>
            <w:hideMark/>
          </w:tcPr>
          <w:p w:rsidR="00FE57D6" w:rsidRPr="00D73845" w:rsidRDefault="00FE57D6" w:rsidP="00FE57D6">
            <w:r w:rsidRPr="00D73845">
              <w:t xml:space="preserve">Less often </w:t>
            </w:r>
          </w:p>
        </w:tc>
        <w:tc>
          <w:tcPr>
            <w:tcW w:w="1500" w:type="dxa"/>
            <w:noWrap/>
            <w:hideMark/>
          </w:tcPr>
          <w:p w:rsidR="00FE57D6" w:rsidRPr="00D73845" w:rsidRDefault="00FE57D6" w:rsidP="00FE57D6"/>
        </w:tc>
        <w:tc>
          <w:tcPr>
            <w:tcW w:w="1671" w:type="dxa"/>
            <w:noWrap/>
            <w:hideMark/>
          </w:tcPr>
          <w:p w:rsidR="00FE57D6" w:rsidRPr="00D73845" w:rsidRDefault="00FE57D6" w:rsidP="00FE57D6"/>
        </w:tc>
        <w:tc>
          <w:tcPr>
            <w:tcW w:w="1451" w:type="dxa"/>
            <w:noWrap/>
            <w:hideMark/>
          </w:tcPr>
          <w:p w:rsidR="00FE57D6" w:rsidRPr="00D73845" w:rsidRDefault="00FE57D6" w:rsidP="00FE57D6">
            <w:r w:rsidRPr="00D73845">
              <w:t>4%</w:t>
            </w:r>
          </w:p>
        </w:tc>
        <w:tc>
          <w:tcPr>
            <w:tcW w:w="1586" w:type="dxa"/>
            <w:noWrap/>
            <w:hideMark/>
          </w:tcPr>
          <w:p w:rsidR="00FE57D6" w:rsidRPr="00D73845" w:rsidRDefault="00FE57D6" w:rsidP="00FE57D6">
            <w:r w:rsidRPr="00D73845">
              <w:t>15%</w:t>
            </w:r>
          </w:p>
        </w:tc>
        <w:tc>
          <w:tcPr>
            <w:tcW w:w="1133" w:type="dxa"/>
            <w:noWrap/>
            <w:hideMark/>
          </w:tcPr>
          <w:p w:rsidR="00FE57D6" w:rsidRPr="00D73845" w:rsidRDefault="00FE57D6" w:rsidP="00FE57D6">
            <w:r w:rsidRPr="00D73845">
              <w:t>11%</w:t>
            </w:r>
          </w:p>
        </w:tc>
      </w:tr>
      <w:tr w:rsidR="00FE57D6" w:rsidRPr="00D73845" w:rsidTr="00FE57D6">
        <w:trPr>
          <w:trHeight w:val="276"/>
        </w:trPr>
        <w:tc>
          <w:tcPr>
            <w:tcW w:w="4355" w:type="dxa"/>
            <w:noWrap/>
            <w:hideMark/>
          </w:tcPr>
          <w:p w:rsidR="00FE57D6" w:rsidRPr="00D73845" w:rsidRDefault="00FE57D6" w:rsidP="00FE57D6">
            <w:r w:rsidRPr="00D73845">
              <w:t xml:space="preserve">Never </w:t>
            </w:r>
          </w:p>
        </w:tc>
        <w:tc>
          <w:tcPr>
            <w:tcW w:w="1500" w:type="dxa"/>
            <w:noWrap/>
            <w:hideMark/>
          </w:tcPr>
          <w:p w:rsidR="00FE57D6" w:rsidRPr="00D73845" w:rsidRDefault="00FE57D6" w:rsidP="00FE57D6"/>
        </w:tc>
        <w:tc>
          <w:tcPr>
            <w:tcW w:w="1671" w:type="dxa"/>
            <w:noWrap/>
            <w:hideMark/>
          </w:tcPr>
          <w:p w:rsidR="00FE57D6" w:rsidRPr="00D73845" w:rsidRDefault="00FE57D6" w:rsidP="00FE57D6"/>
        </w:tc>
        <w:tc>
          <w:tcPr>
            <w:tcW w:w="1451" w:type="dxa"/>
            <w:noWrap/>
            <w:hideMark/>
          </w:tcPr>
          <w:p w:rsidR="00FE57D6" w:rsidRPr="00D73845" w:rsidRDefault="00FE57D6" w:rsidP="00FE57D6">
            <w:r w:rsidRPr="00D73845">
              <w:t>87%</w:t>
            </w:r>
          </w:p>
        </w:tc>
        <w:tc>
          <w:tcPr>
            <w:tcW w:w="1586" w:type="dxa"/>
            <w:noWrap/>
            <w:hideMark/>
          </w:tcPr>
          <w:p w:rsidR="00FE57D6" w:rsidRPr="00D73845" w:rsidRDefault="00FE57D6" w:rsidP="00FE57D6">
            <w:r w:rsidRPr="00D73845">
              <w:t>78%</w:t>
            </w:r>
          </w:p>
        </w:tc>
        <w:tc>
          <w:tcPr>
            <w:tcW w:w="1133" w:type="dxa"/>
            <w:noWrap/>
            <w:hideMark/>
          </w:tcPr>
          <w:p w:rsidR="00FE57D6" w:rsidRPr="00D73845" w:rsidRDefault="00FE57D6" w:rsidP="00FE57D6">
            <w:r w:rsidRPr="00D73845">
              <w:t>83%</w:t>
            </w:r>
          </w:p>
        </w:tc>
      </w:tr>
      <w:tr w:rsidR="00C5399F" w:rsidRPr="00D73845" w:rsidTr="00FE57D6">
        <w:trPr>
          <w:trHeight w:val="276"/>
        </w:trPr>
        <w:tc>
          <w:tcPr>
            <w:tcW w:w="4355" w:type="dxa"/>
            <w:noWrap/>
          </w:tcPr>
          <w:p w:rsidR="00C5399F" w:rsidRPr="00D73845" w:rsidRDefault="00C5399F" w:rsidP="00FE57D6">
            <w:r>
              <w:t>Reported result</w:t>
            </w:r>
          </w:p>
        </w:tc>
        <w:tc>
          <w:tcPr>
            <w:tcW w:w="1500" w:type="dxa"/>
            <w:noWrap/>
          </w:tcPr>
          <w:p w:rsidR="00C5399F" w:rsidRPr="00D73845" w:rsidRDefault="00C5399F" w:rsidP="00FE57D6"/>
        </w:tc>
        <w:tc>
          <w:tcPr>
            <w:tcW w:w="1671" w:type="dxa"/>
            <w:noWrap/>
          </w:tcPr>
          <w:p w:rsidR="00C5399F" w:rsidRPr="00D73845" w:rsidRDefault="00C5399F" w:rsidP="00FE57D6"/>
        </w:tc>
        <w:tc>
          <w:tcPr>
            <w:tcW w:w="1451" w:type="dxa"/>
            <w:noWrap/>
          </w:tcPr>
          <w:p w:rsidR="00C5399F" w:rsidRPr="00D73845" w:rsidRDefault="00C5399F" w:rsidP="00FE57D6">
            <w:r>
              <w:t>9%</w:t>
            </w:r>
          </w:p>
        </w:tc>
        <w:tc>
          <w:tcPr>
            <w:tcW w:w="1586" w:type="dxa"/>
            <w:noWrap/>
          </w:tcPr>
          <w:p w:rsidR="00C5399F" w:rsidRPr="00D73845" w:rsidRDefault="00C5399F" w:rsidP="00FE57D6">
            <w:r>
              <w:t>8%</w:t>
            </w:r>
          </w:p>
        </w:tc>
        <w:tc>
          <w:tcPr>
            <w:tcW w:w="1133" w:type="dxa"/>
            <w:noWrap/>
          </w:tcPr>
          <w:p w:rsidR="00C5399F" w:rsidRPr="00D73845" w:rsidRDefault="00C5399F" w:rsidP="00FE57D6">
            <w:r>
              <w:t>6%</w:t>
            </w:r>
          </w:p>
        </w:tc>
      </w:tr>
      <w:tr w:rsidR="00FE57D6" w:rsidRPr="00430440" w:rsidTr="00FE57D6">
        <w:trPr>
          <w:trHeight w:val="276"/>
        </w:trPr>
        <w:tc>
          <w:tcPr>
            <w:tcW w:w="11696" w:type="dxa"/>
            <w:gridSpan w:val="6"/>
            <w:noWrap/>
          </w:tcPr>
          <w:p w:rsidR="00FE57D6" w:rsidRPr="00430440" w:rsidRDefault="00FE57D6" w:rsidP="00FE57D6">
            <w:pPr>
              <w:rPr>
                <w:i/>
              </w:rPr>
            </w:pPr>
            <w:r w:rsidRPr="00430440">
              <w:rPr>
                <w:i/>
              </w:rPr>
              <w:t>Source: Wellington City Council Residents' Monitoring Survey</w:t>
            </w:r>
            <w:r w:rsidR="003E3342">
              <w:rPr>
                <w:i/>
              </w:rPr>
              <w:t xml:space="preserve"> RMS</w:t>
            </w:r>
          </w:p>
        </w:tc>
      </w:tr>
    </w:tbl>
    <w:p w:rsidR="00FE57D6" w:rsidRDefault="00FE57D6" w:rsidP="002C7BF8">
      <w:pPr>
        <w:pStyle w:val="ListParagraph"/>
        <w:numPr>
          <w:ilvl w:val="1"/>
          <w:numId w:val="69"/>
        </w:numPr>
        <w:spacing w:before="240" w:after="0"/>
        <w:rPr>
          <w:b/>
        </w:rPr>
      </w:pPr>
    </w:p>
    <w:tbl>
      <w:tblPr>
        <w:tblStyle w:val="TableGrid"/>
        <w:tblW w:w="0" w:type="auto"/>
        <w:tblBorders>
          <w:top w:val="single" w:sz="4" w:space="0" w:color="FF0000"/>
          <w:left w:val="none" w:sz="0" w:space="0" w:color="auto"/>
          <w:bottom w:val="single" w:sz="4" w:space="0" w:color="FF0000"/>
          <w:right w:val="none" w:sz="0" w:space="0" w:color="auto"/>
          <w:insideH w:val="single" w:sz="4" w:space="0" w:color="FF0000"/>
          <w:insideV w:val="single" w:sz="4" w:space="0" w:color="FF0000"/>
        </w:tblBorders>
        <w:tblLook w:val="04A0" w:firstRow="1" w:lastRow="0" w:firstColumn="1" w:lastColumn="0" w:noHBand="0" w:noVBand="1"/>
      </w:tblPr>
      <w:tblGrid>
        <w:gridCol w:w="10563"/>
        <w:gridCol w:w="1133"/>
      </w:tblGrid>
      <w:tr w:rsidR="00FE57D6" w:rsidRPr="00D73845" w:rsidTr="008A0198">
        <w:trPr>
          <w:trHeight w:val="276"/>
        </w:trPr>
        <w:tc>
          <w:tcPr>
            <w:tcW w:w="10563" w:type="dxa"/>
            <w:vMerge w:val="restart"/>
            <w:noWrap/>
            <w:hideMark/>
          </w:tcPr>
          <w:p w:rsidR="00FE57D6" w:rsidRPr="008A0198" w:rsidRDefault="00FE57D6" w:rsidP="00FE57D6">
            <w:pPr>
              <w:rPr>
                <w:b/>
                <w:i/>
                <w:sz w:val="20"/>
                <w:szCs w:val="20"/>
              </w:rPr>
            </w:pPr>
            <w:r w:rsidRPr="008A0198">
              <w:rPr>
                <w:b/>
                <w:i/>
                <w:sz w:val="20"/>
                <w:szCs w:val="20"/>
              </w:rPr>
              <w:t>On average, how often do the children aged 13 or under in your household scooter or skateboard to and from school? (This is a new question in 2019)</w:t>
            </w:r>
          </w:p>
        </w:tc>
        <w:tc>
          <w:tcPr>
            <w:tcW w:w="1133" w:type="dxa"/>
            <w:shd w:val="clear" w:color="auto" w:fill="FF0000"/>
            <w:noWrap/>
            <w:hideMark/>
          </w:tcPr>
          <w:p w:rsidR="00FE57D6" w:rsidRPr="008A0198" w:rsidRDefault="00FE57D6" w:rsidP="00FE57D6">
            <w:pPr>
              <w:rPr>
                <w:b/>
                <w:bCs/>
                <w:color w:val="FFFFFF" w:themeColor="background1"/>
              </w:rPr>
            </w:pPr>
            <w:r w:rsidRPr="008A0198">
              <w:rPr>
                <w:b/>
                <w:bCs/>
                <w:color w:val="FFFFFF" w:themeColor="background1"/>
              </w:rPr>
              <w:t>2019</w:t>
            </w:r>
          </w:p>
        </w:tc>
      </w:tr>
      <w:tr w:rsidR="00FE57D6" w:rsidRPr="00D73845" w:rsidTr="00FE57D6">
        <w:trPr>
          <w:trHeight w:val="276"/>
        </w:trPr>
        <w:tc>
          <w:tcPr>
            <w:tcW w:w="10563" w:type="dxa"/>
            <w:vMerge/>
            <w:noWrap/>
            <w:hideMark/>
          </w:tcPr>
          <w:p w:rsidR="00FE57D6" w:rsidRPr="00D73845" w:rsidRDefault="00FE57D6" w:rsidP="00FE57D6"/>
        </w:tc>
        <w:tc>
          <w:tcPr>
            <w:tcW w:w="1133" w:type="dxa"/>
            <w:noWrap/>
            <w:hideMark/>
          </w:tcPr>
          <w:p w:rsidR="00FE57D6" w:rsidRPr="00D73845" w:rsidRDefault="00FE57D6" w:rsidP="00FE57D6">
            <w:r w:rsidRPr="00D73845">
              <w:t>n=89</w:t>
            </w:r>
          </w:p>
        </w:tc>
      </w:tr>
      <w:tr w:rsidR="00FE57D6" w:rsidRPr="00D73845" w:rsidTr="00FE57D6">
        <w:trPr>
          <w:trHeight w:val="276"/>
        </w:trPr>
        <w:tc>
          <w:tcPr>
            <w:tcW w:w="10563" w:type="dxa"/>
            <w:noWrap/>
            <w:hideMark/>
          </w:tcPr>
          <w:p w:rsidR="00FE57D6" w:rsidRPr="00D73845" w:rsidRDefault="00FE57D6" w:rsidP="00FE57D6">
            <w:r w:rsidRPr="00D73845">
              <w:t xml:space="preserve">Everyday </w:t>
            </w:r>
          </w:p>
        </w:tc>
        <w:tc>
          <w:tcPr>
            <w:tcW w:w="1133" w:type="dxa"/>
            <w:noWrap/>
            <w:hideMark/>
          </w:tcPr>
          <w:p w:rsidR="00FE57D6" w:rsidRPr="00D73845" w:rsidRDefault="00FE57D6" w:rsidP="00FE57D6">
            <w:r w:rsidRPr="00D73845">
              <w:t>7%</w:t>
            </w:r>
          </w:p>
        </w:tc>
      </w:tr>
      <w:tr w:rsidR="00FE57D6" w:rsidRPr="00D73845" w:rsidTr="00FE57D6">
        <w:trPr>
          <w:trHeight w:val="276"/>
        </w:trPr>
        <w:tc>
          <w:tcPr>
            <w:tcW w:w="10563" w:type="dxa"/>
            <w:noWrap/>
            <w:hideMark/>
          </w:tcPr>
          <w:p w:rsidR="00FE57D6" w:rsidRPr="00D73845" w:rsidRDefault="00FE57D6" w:rsidP="00FE57D6">
            <w:r w:rsidRPr="00D73845">
              <w:t xml:space="preserve">3-4 days a week </w:t>
            </w:r>
          </w:p>
        </w:tc>
        <w:tc>
          <w:tcPr>
            <w:tcW w:w="1133" w:type="dxa"/>
            <w:noWrap/>
            <w:hideMark/>
          </w:tcPr>
          <w:p w:rsidR="00FE57D6" w:rsidRPr="00D73845" w:rsidRDefault="00FE57D6" w:rsidP="00FE57D6">
            <w:r w:rsidRPr="00D73845">
              <w:t>3%</w:t>
            </w:r>
          </w:p>
        </w:tc>
      </w:tr>
      <w:tr w:rsidR="00FE57D6" w:rsidRPr="00D73845" w:rsidTr="00FE57D6">
        <w:trPr>
          <w:trHeight w:val="276"/>
        </w:trPr>
        <w:tc>
          <w:tcPr>
            <w:tcW w:w="10563" w:type="dxa"/>
            <w:noWrap/>
            <w:hideMark/>
          </w:tcPr>
          <w:p w:rsidR="00FE57D6" w:rsidRPr="00D73845" w:rsidRDefault="00FE57D6" w:rsidP="00FE57D6">
            <w:r w:rsidRPr="00D73845">
              <w:t xml:space="preserve">1-2 days a week </w:t>
            </w:r>
          </w:p>
        </w:tc>
        <w:tc>
          <w:tcPr>
            <w:tcW w:w="1133" w:type="dxa"/>
            <w:noWrap/>
            <w:hideMark/>
          </w:tcPr>
          <w:p w:rsidR="00FE57D6" w:rsidRPr="00D73845" w:rsidRDefault="00FE57D6" w:rsidP="00FE57D6">
            <w:r w:rsidRPr="00D73845">
              <w:t>6%</w:t>
            </w:r>
          </w:p>
        </w:tc>
      </w:tr>
      <w:tr w:rsidR="00FE57D6" w:rsidRPr="00D73845" w:rsidTr="00FE57D6">
        <w:trPr>
          <w:trHeight w:val="276"/>
        </w:trPr>
        <w:tc>
          <w:tcPr>
            <w:tcW w:w="10563" w:type="dxa"/>
            <w:noWrap/>
            <w:hideMark/>
          </w:tcPr>
          <w:p w:rsidR="00FE57D6" w:rsidRPr="00D73845" w:rsidRDefault="00FE57D6" w:rsidP="00FE57D6">
            <w:r w:rsidRPr="00D73845">
              <w:t xml:space="preserve">Less often </w:t>
            </w:r>
          </w:p>
        </w:tc>
        <w:tc>
          <w:tcPr>
            <w:tcW w:w="1133" w:type="dxa"/>
            <w:noWrap/>
            <w:hideMark/>
          </w:tcPr>
          <w:p w:rsidR="00FE57D6" w:rsidRPr="00D73845" w:rsidRDefault="00FE57D6" w:rsidP="00FE57D6">
            <w:r w:rsidRPr="00D73845">
              <w:t>18%</w:t>
            </w:r>
          </w:p>
        </w:tc>
      </w:tr>
      <w:tr w:rsidR="00FE57D6" w:rsidRPr="00D73845" w:rsidTr="00FE57D6">
        <w:trPr>
          <w:trHeight w:val="276"/>
        </w:trPr>
        <w:tc>
          <w:tcPr>
            <w:tcW w:w="10563" w:type="dxa"/>
            <w:noWrap/>
            <w:hideMark/>
          </w:tcPr>
          <w:p w:rsidR="00FE57D6" w:rsidRPr="00D73845" w:rsidRDefault="00FE57D6" w:rsidP="00FE57D6">
            <w:r w:rsidRPr="00D73845">
              <w:t xml:space="preserve">Never </w:t>
            </w:r>
          </w:p>
        </w:tc>
        <w:tc>
          <w:tcPr>
            <w:tcW w:w="1133" w:type="dxa"/>
            <w:noWrap/>
            <w:hideMark/>
          </w:tcPr>
          <w:p w:rsidR="00FE57D6" w:rsidRPr="00D73845" w:rsidRDefault="00FE57D6" w:rsidP="00FE57D6">
            <w:r w:rsidRPr="00D73845">
              <w:t>67%</w:t>
            </w:r>
          </w:p>
        </w:tc>
      </w:tr>
      <w:tr w:rsidR="00C5399F" w:rsidRPr="00D73845" w:rsidTr="00FE57D6">
        <w:trPr>
          <w:trHeight w:val="276"/>
        </w:trPr>
        <w:tc>
          <w:tcPr>
            <w:tcW w:w="10563" w:type="dxa"/>
            <w:noWrap/>
          </w:tcPr>
          <w:p w:rsidR="00C5399F" w:rsidRPr="00D73845" w:rsidRDefault="00C5399F" w:rsidP="00FE57D6">
            <w:r>
              <w:t>Reported result</w:t>
            </w:r>
          </w:p>
        </w:tc>
        <w:tc>
          <w:tcPr>
            <w:tcW w:w="1133" w:type="dxa"/>
            <w:noWrap/>
          </w:tcPr>
          <w:p w:rsidR="00C5399F" w:rsidRPr="00D73845" w:rsidRDefault="00C5399F" w:rsidP="00FE57D6">
            <w:r>
              <w:t>16%</w:t>
            </w:r>
          </w:p>
        </w:tc>
      </w:tr>
      <w:tr w:rsidR="00FE57D6" w:rsidRPr="00D73845" w:rsidTr="00FE57D6">
        <w:trPr>
          <w:trHeight w:val="276"/>
        </w:trPr>
        <w:tc>
          <w:tcPr>
            <w:tcW w:w="11696" w:type="dxa"/>
            <w:gridSpan w:val="2"/>
            <w:noWrap/>
            <w:hideMark/>
          </w:tcPr>
          <w:p w:rsidR="00FE57D6" w:rsidRPr="006F76AB" w:rsidRDefault="00610DBC" w:rsidP="00FE57D6">
            <w:pPr>
              <w:rPr>
                <w:i/>
              </w:rPr>
            </w:pPr>
            <w:r>
              <w:rPr>
                <w:i/>
              </w:rPr>
              <w:t>S</w:t>
            </w:r>
            <w:r w:rsidR="00FE57D6" w:rsidRPr="006F76AB">
              <w:rPr>
                <w:i/>
              </w:rPr>
              <w:t xml:space="preserve">ource: Wellington City Council Residents' Monitoring Survey </w:t>
            </w:r>
            <w:r w:rsidR="00C5399F">
              <w:rPr>
                <w:i/>
              </w:rPr>
              <w:t>RMS</w:t>
            </w:r>
          </w:p>
        </w:tc>
      </w:tr>
    </w:tbl>
    <w:p w:rsidR="008A0198" w:rsidRDefault="008A0198" w:rsidP="008A0198">
      <w:r>
        <w:br w:type="page"/>
      </w:r>
    </w:p>
    <w:p w:rsidR="00FE57D6" w:rsidRDefault="008A0198" w:rsidP="002C7BF8">
      <w:pPr>
        <w:pStyle w:val="ListParagraph"/>
        <w:numPr>
          <w:ilvl w:val="0"/>
          <w:numId w:val="69"/>
        </w:numPr>
        <w:spacing w:before="240"/>
        <w:rPr>
          <w:b/>
        </w:rPr>
      </w:pPr>
      <w:r w:rsidRPr="003539DB">
        <w:rPr>
          <w:b/>
        </w:rPr>
        <w:lastRenderedPageBreak/>
        <w:t>Air quality monitoring (i.e. nitrogen dioxide, carbon monoxide and particulate matter peaks)</w:t>
      </w:r>
    </w:p>
    <w:p w:rsidR="003539DB" w:rsidRDefault="003539DB" w:rsidP="003539DB">
      <w:r w:rsidRPr="00D73845">
        <w:t>Data taken for NO2 and CO was average for one hour.</w:t>
      </w:r>
      <w:r>
        <w:t xml:space="preserve"> </w:t>
      </w:r>
      <w:r w:rsidRPr="00D73845">
        <w:t>This report summarises the key results from the air quality monitoring programme for the period 1 Jan</w:t>
      </w:r>
      <w:r>
        <w:t>uary to 31 December inclusive.</w:t>
      </w:r>
    </w:p>
    <w:p w:rsidR="003539DB" w:rsidRPr="003539DB" w:rsidRDefault="003539DB" w:rsidP="003539DB">
      <w:pPr>
        <w:spacing w:before="240"/>
      </w:pPr>
      <w:r w:rsidRPr="00D73845">
        <w:t>This programme includes:</w:t>
      </w:r>
      <w:r w:rsidRPr="00D73845">
        <w:br/>
        <w:t>i) continuous monitoring of air quality indicators using reference methods and selected meteorological variables at six sites across the Wellington Region; and</w:t>
      </w:r>
      <w:r w:rsidRPr="00D73845">
        <w:br/>
        <w:t>ii) traffic-related air quality monitoring based on nitrogen dioxide measured by passive diffusion tubes.</w:t>
      </w:r>
    </w:p>
    <w:tbl>
      <w:tblPr>
        <w:tblStyle w:val="TableGrid"/>
        <w:tblW w:w="0" w:type="auto"/>
        <w:tblBorders>
          <w:top w:val="single" w:sz="4" w:space="0" w:color="FF0000"/>
          <w:left w:val="none" w:sz="0" w:space="0" w:color="auto"/>
          <w:bottom w:val="single" w:sz="4" w:space="0" w:color="FF0000"/>
          <w:right w:val="none" w:sz="0" w:space="0" w:color="auto"/>
          <w:insideH w:val="single" w:sz="4" w:space="0" w:color="FF0000"/>
          <w:insideV w:val="single" w:sz="4" w:space="0" w:color="FF0000"/>
        </w:tblBorders>
        <w:tblLook w:val="04A0" w:firstRow="1" w:lastRow="0" w:firstColumn="1" w:lastColumn="0" w:noHBand="0" w:noVBand="1"/>
      </w:tblPr>
      <w:tblGrid>
        <w:gridCol w:w="4618"/>
        <w:gridCol w:w="1591"/>
        <w:gridCol w:w="1772"/>
        <w:gridCol w:w="1539"/>
        <w:gridCol w:w="1682"/>
        <w:gridCol w:w="1201"/>
      </w:tblGrid>
      <w:tr w:rsidR="003539DB" w:rsidRPr="00D73845" w:rsidTr="003539DB">
        <w:trPr>
          <w:trHeight w:val="342"/>
        </w:trPr>
        <w:tc>
          <w:tcPr>
            <w:tcW w:w="6209" w:type="dxa"/>
            <w:gridSpan w:val="2"/>
            <w:tcBorders>
              <w:right w:val="single" w:sz="4" w:space="0" w:color="FFFFFF" w:themeColor="background1"/>
            </w:tcBorders>
            <w:hideMark/>
          </w:tcPr>
          <w:p w:rsidR="003539DB" w:rsidRPr="003539DB" w:rsidRDefault="003539DB" w:rsidP="001D24CF">
            <w:pPr>
              <w:rPr>
                <w:b/>
              </w:rPr>
            </w:pPr>
            <w:r w:rsidRPr="003539DB">
              <w:rPr>
                <w:b/>
              </w:rPr>
              <w:t>Air Quality Indicators</w:t>
            </w:r>
          </w:p>
        </w:tc>
        <w:tc>
          <w:tcPr>
            <w:tcW w:w="17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0000"/>
            <w:noWrap/>
            <w:hideMark/>
          </w:tcPr>
          <w:p w:rsidR="003539DB" w:rsidRPr="00AC0727" w:rsidRDefault="003539DB" w:rsidP="00AC0727">
            <w:pPr>
              <w:jc w:val="center"/>
              <w:rPr>
                <w:b/>
                <w:bCs/>
                <w:color w:val="FFFFFF" w:themeColor="background1"/>
                <w:sz w:val="24"/>
                <w:szCs w:val="20"/>
              </w:rPr>
            </w:pPr>
            <w:r w:rsidRPr="00AC0727">
              <w:rPr>
                <w:b/>
                <w:bCs/>
                <w:color w:val="FFFFFF" w:themeColor="background1"/>
                <w:sz w:val="24"/>
                <w:szCs w:val="20"/>
              </w:rPr>
              <w:t>2015</w:t>
            </w:r>
          </w:p>
        </w:tc>
        <w:tc>
          <w:tcPr>
            <w:tcW w:w="153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0000"/>
            <w:noWrap/>
            <w:hideMark/>
          </w:tcPr>
          <w:p w:rsidR="003539DB" w:rsidRPr="00AC0727" w:rsidRDefault="003539DB" w:rsidP="00AC0727">
            <w:pPr>
              <w:jc w:val="center"/>
              <w:rPr>
                <w:b/>
                <w:bCs/>
                <w:color w:val="FFFFFF" w:themeColor="background1"/>
                <w:sz w:val="24"/>
                <w:szCs w:val="20"/>
              </w:rPr>
            </w:pPr>
            <w:r w:rsidRPr="00AC0727">
              <w:rPr>
                <w:b/>
                <w:bCs/>
                <w:color w:val="FFFFFF" w:themeColor="background1"/>
                <w:sz w:val="24"/>
                <w:szCs w:val="20"/>
              </w:rPr>
              <w:t>2016</w:t>
            </w:r>
          </w:p>
        </w:tc>
        <w:tc>
          <w:tcPr>
            <w:tcW w:w="16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0000"/>
            <w:noWrap/>
            <w:hideMark/>
          </w:tcPr>
          <w:p w:rsidR="003539DB" w:rsidRPr="00AC0727" w:rsidRDefault="003539DB" w:rsidP="00AC0727">
            <w:pPr>
              <w:jc w:val="center"/>
              <w:rPr>
                <w:b/>
                <w:bCs/>
                <w:color w:val="FFFFFF" w:themeColor="background1"/>
                <w:sz w:val="24"/>
                <w:szCs w:val="20"/>
              </w:rPr>
            </w:pPr>
            <w:r w:rsidRPr="00AC0727">
              <w:rPr>
                <w:b/>
                <w:bCs/>
                <w:color w:val="FFFFFF" w:themeColor="background1"/>
                <w:sz w:val="24"/>
                <w:szCs w:val="20"/>
              </w:rPr>
              <w:t>2017</w:t>
            </w:r>
          </w:p>
        </w:tc>
        <w:tc>
          <w:tcPr>
            <w:tcW w:w="12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0000"/>
            <w:noWrap/>
            <w:hideMark/>
          </w:tcPr>
          <w:p w:rsidR="003539DB" w:rsidRPr="00AC0727" w:rsidRDefault="003539DB" w:rsidP="00AC0727">
            <w:pPr>
              <w:jc w:val="center"/>
              <w:rPr>
                <w:b/>
                <w:bCs/>
                <w:color w:val="FFFFFF" w:themeColor="background1"/>
                <w:sz w:val="24"/>
                <w:szCs w:val="20"/>
              </w:rPr>
            </w:pPr>
            <w:r w:rsidRPr="00AC0727">
              <w:rPr>
                <w:b/>
                <w:bCs/>
                <w:color w:val="FFFFFF" w:themeColor="background1"/>
                <w:sz w:val="24"/>
                <w:szCs w:val="20"/>
              </w:rPr>
              <w:t>2018</w:t>
            </w:r>
          </w:p>
        </w:tc>
      </w:tr>
      <w:tr w:rsidR="003539DB" w:rsidRPr="00D73845" w:rsidTr="003539DB">
        <w:trPr>
          <w:trHeight w:val="342"/>
        </w:trPr>
        <w:tc>
          <w:tcPr>
            <w:tcW w:w="4618" w:type="dxa"/>
            <w:noWrap/>
            <w:hideMark/>
          </w:tcPr>
          <w:p w:rsidR="003539DB" w:rsidRPr="00A83EFB" w:rsidRDefault="003539DB" w:rsidP="001D24CF">
            <w:pPr>
              <w:rPr>
                <w:sz w:val="20"/>
                <w:szCs w:val="20"/>
              </w:rPr>
            </w:pPr>
            <w:r w:rsidRPr="00A83EFB">
              <w:rPr>
                <w:sz w:val="20"/>
                <w:szCs w:val="20"/>
              </w:rPr>
              <w:t>NO2 (µg/m3)</w:t>
            </w:r>
          </w:p>
        </w:tc>
        <w:tc>
          <w:tcPr>
            <w:tcW w:w="1591" w:type="dxa"/>
            <w:noWrap/>
            <w:hideMark/>
          </w:tcPr>
          <w:p w:rsidR="003539DB" w:rsidRPr="00D73845" w:rsidRDefault="003539DB" w:rsidP="001D24CF">
            <w:r w:rsidRPr="00D73845">
              <w:t>max</w:t>
            </w:r>
          </w:p>
        </w:tc>
        <w:tc>
          <w:tcPr>
            <w:tcW w:w="1772" w:type="dxa"/>
            <w:noWrap/>
            <w:hideMark/>
          </w:tcPr>
          <w:p w:rsidR="003539DB" w:rsidRPr="00D73845" w:rsidRDefault="003539DB" w:rsidP="00AC0727">
            <w:pPr>
              <w:jc w:val="center"/>
            </w:pPr>
            <w:r w:rsidRPr="00D73845">
              <w:t>66</w:t>
            </w:r>
          </w:p>
        </w:tc>
        <w:tc>
          <w:tcPr>
            <w:tcW w:w="1539" w:type="dxa"/>
            <w:noWrap/>
            <w:hideMark/>
          </w:tcPr>
          <w:p w:rsidR="003539DB" w:rsidRPr="00D73845" w:rsidRDefault="003539DB" w:rsidP="00AC0727">
            <w:pPr>
              <w:jc w:val="center"/>
            </w:pPr>
            <w:r w:rsidRPr="00D73845">
              <w:t>61.5</w:t>
            </w:r>
          </w:p>
        </w:tc>
        <w:tc>
          <w:tcPr>
            <w:tcW w:w="1682" w:type="dxa"/>
            <w:noWrap/>
            <w:hideMark/>
          </w:tcPr>
          <w:p w:rsidR="003539DB" w:rsidRPr="00D73845" w:rsidRDefault="003539DB" w:rsidP="00AC0727">
            <w:pPr>
              <w:jc w:val="center"/>
            </w:pPr>
            <w:r w:rsidRPr="00D73845">
              <w:t>67.9</w:t>
            </w:r>
          </w:p>
        </w:tc>
        <w:tc>
          <w:tcPr>
            <w:tcW w:w="1201" w:type="dxa"/>
            <w:noWrap/>
            <w:hideMark/>
          </w:tcPr>
          <w:p w:rsidR="003539DB" w:rsidRPr="00D73845" w:rsidRDefault="003539DB" w:rsidP="00AC0727">
            <w:pPr>
              <w:jc w:val="center"/>
            </w:pPr>
            <w:r w:rsidRPr="00D73845">
              <w:t>63.8</w:t>
            </w:r>
          </w:p>
        </w:tc>
      </w:tr>
      <w:tr w:rsidR="003539DB" w:rsidRPr="00D73845" w:rsidTr="003539DB">
        <w:trPr>
          <w:trHeight w:val="342"/>
        </w:trPr>
        <w:tc>
          <w:tcPr>
            <w:tcW w:w="4618" w:type="dxa"/>
            <w:noWrap/>
            <w:hideMark/>
          </w:tcPr>
          <w:p w:rsidR="003539DB" w:rsidRPr="00A83EFB" w:rsidRDefault="003539DB" w:rsidP="001D24CF">
            <w:pPr>
              <w:rPr>
                <w:sz w:val="20"/>
                <w:szCs w:val="20"/>
              </w:rPr>
            </w:pPr>
            <w:r w:rsidRPr="00A83EFB">
              <w:rPr>
                <w:sz w:val="20"/>
                <w:szCs w:val="20"/>
              </w:rPr>
              <w:t>NES-AQ threshold &lt;200</w:t>
            </w:r>
          </w:p>
        </w:tc>
        <w:tc>
          <w:tcPr>
            <w:tcW w:w="1591" w:type="dxa"/>
            <w:noWrap/>
            <w:hideMark/>
          </w:tcPr>
          <w:p w:rsidR="003539DB" w:rsidRPr="00D73845" w:rsidRDefault="003539DB" w:rsidP="001D24CF">
            <w:r w:rsidRPr="00D73845">
              <w:t>mean</w:t>
            </w:r>
          </w:p>
        </w:tc>
        <w:tc>
          <w:tcPr>
            <w:tcW w:w="1772" w:type="dxa"/>
            <w:noWrap/>
            <w:hideMark/>
          </w:tcPr>
          <w:p w:rsidR="003539DB" w:rsidRPr="00D73845" w:rsidRDefault="003539DB" w:rsidP="00AC0727">
            <w:pPr>
              <w:jc w:val="center"/>
            </w:pPr>
            <w:r w:rsidRPr="00D73845">
              <w:t>N/A</w:t>
            </w:r>
          </w:p>
        </w:tc>
        <w:tc>
          <w:tcPr>
            <w:tcW w:w="1539" w:type="dxa"/>
            <w:noWrap/>
            <w:hideMark/>
          </w:tcPr>
          <w:p w:rsidR="003539DB" w:rsidRPr="00D73845" w:rsidRDefault="003539DB" w:rsidP="00AC0727">
            <w:pPr>
              <w:jc w:val="center"/>
            </w:pPr>
            <w:r w:rsidRPr="00D73845">
              <w:t>14</w:t>
            </w:r>
          </w:p>
        </w:tc>
        <w:tc>
          <w:tcPr>
            <w:tcW w:w="1682" w:type="dxa"/>
            <w:noWrap/>
            <w:hideMark/>
          </w:tcPr>
          <w:p w:rsidR="003539DB" w:rsidRPr="00D73845" w:rsidRDefault="003539DB" w:rsidP="00AC0727">
            <w:pPr>
              <w:jc w:val="center"/>
            </w:pPr>
            <w:r w:rsidRPr="00D73845">
              <w:t>14.1</w:t>
            </w:r>
          </w:p>
        </w:tc>
        <w:tc>
          <w:tcPr>
            <w:tcW w:w="1201" w:type="dxa"/>
            <w:noWrap/>
            <w:hideMark/>
          </w:tcPr>
          <w:p w:rsidR="003539DB" w:rsidRPr="00D73845" w:rsidRDefault="003539DB" w:rsidP="00AC0727">
            <w:pPr>
              <w:jc w:val="center"/>
            </w:pPr>
            <w:r w:rsidRPr="00D73845">
              <w:t>12.6</w:t>
            </w:r>
          </w:p>
        </w:tc>
      </w:tr>
      <w:tr w:rsidR="003539DB" w:rsidRPr="00D73845" w:rsidTr="003539DB">
        <w:trPr>
          <w:trHeight w:val="342"/>
        </w:trPr>
        <w:tc>
          <w:tcPr>
            <w:tcW w:w="4618" w:type="dxa"/>
            <w:noWrap/>
            <w:hideMark/>
          </w:tcPr>
          <w:p w:rsidR="003539DB" w:rsidRPr="00A83EFB" w:rsidRDefault="003539DB" w:rsidP="001D24CF">
            <w:pPr>
              <w:rPr>
                <w:sz w:val="20"/>
                <w:szCs w:val="20"/>
              </w:rPr>
            </w:pPr>
            <w:r w:rsidRPr="00A83EFB">
              <w:rPr>
                <w:sz w:val="20"/>
                <w:szCs w:val="20"/>
              </w:rPr>
              <w:t>CO (mg/m3)</w:t>
            </w:r>
          </w:p>
        </w:tc>
        <w:tc>
          <w:tcPr>
            <w:tcW w:w="1591" w:type="dxa"/>
            <w:noWrap/>
            <w:hideMark/>
          </w:tcPr>
          <w:p w:rsidR="003539DB" w:rsidRPr="00D73845" w:rsidRDefault="003539DB" w:rsidP="001D24CF">
            <w:r w:rsidRPr="00D73845">
              <w:t>max</w:t>
            </w:r>
          </w:p>
        </w:tc>
        <w:tc>
          <w:tcPr>
            <w:tcW w:w="1772" w:type="dxa"/>
            <w:noWrap/>
            <w:hideMark/>
          </w:tcPr>
          <w:p w:rsidR="003539DB" w:rsidRPr="00D73845" w:rsidRDefault="003539DB" w:rsidP="00AC0727">
            <w:pPr>
              <w:jc w:val="center"/>
            </w:pPr>
            <w:r w:rsidRPr="00D73845">
              <w:t>1</w:t>
            </w:r>
          </w:p>
        </w:tc>
        <w:tc>
          <w:tcPr>
            <w:tcW w:w="1539" w:type="dxa"/>
            <w:noWrap/>
            <w:hideMark/>
          </w:tcPr>
          <w:p w:rsidR="003539DB" w:rsidRPr="00D73845" w:rsidRDefault="003539DB" w:rsidP="00AC0727">
            <w:pPr>
              <w:jc w:val="center"/>
            </w:pPr>
            <w:r w:rsidRPr="00D73845">
              <w:t>1.78</w:t>
            </w:r>
          </w:p>
        </w:tc>
        <w:tc>
          <w:tcPr>
            <w:tcW w:w="1682" w:type="dxa"/>
            <w:noWrap/>
            <w:hideMark/>
          </w:tcPr>
          <w:p w:rsidR="003539DB" w:rsidRPr="00D73845" w:rsidRDefault="003539DB" w:rsidP="00AC0727">
            <w:pPr>
              <w:jc w:val="center"/>
            </w:pPr>
            <w:r w:rsidRPr="00D73845">
              <w:t>1.49</w:t>
            </w:r>
          </w:p>
        </w:tc>
        <w:tc>
          <w:tcPr>
            <w:tcW w:w="1201" w:type="dxa"/>
            <w:noWrap/>
            <w:hideMark/>
          </w:tcPr>
          <w:p w:rsidR="003539DB" w:rsidRPr="00D73845" w:rsidRDefault="003539DB" w:rsidP="00AC0727">
            <w:pPr>
              <w:jc w:val="center"/>
            </w:pPr>
            <w:r w:rsidRPr="00D73845">
              <w:t>1.21</w:t>
            </w:r>
          </w:p>
        </w:tc>
      </w:tr>
      <w:tr w:rsidR="003539DB" w:rsidRPr="00D73845" w:rsidTr="003539DB">
        <w:trPr>
          <w:trHeight w:val="342"/>
        </w:trPr>
        <w:tc>
          <w:tcPr>
            <w:tcW w:w="4618" w:type="dxa"/>
            <w:noWrap/>
            <w:hideMark/>
          </w:tcPr>
          <w:p w:rsidR="003539DB" w:rsidRPr="00A83EFB" w:rsidRDefault="003539DB" w:rsidP="001D24CF">
            <w:pPr>
              <w:rPr>
                <w:sz w:val="20"/>
                <w:szCs w:val="20"/>
              </w:rPr>
            </w:pPr>
            <w:r w:rsidRPr="00A83EFB">
              <w:rPr>
                <w:sz w:val="20"/>
                <w:szCs w:val="20"/>
              </w:rPr>
              <w:t>NES-AQ threshold &lt;10</w:t>
            </w:r>
          </w:p>
        </w:tc>
        <w:tc>
          <w:tcPr>
            <w:tcW w:w="1591" w:type="dxa"/>
            <w:noWrap/>
            <w:hideMark/>
          </w:tcPr>
          <w:p w:rsidR="003539DB" w:rsidRPr="00D73845" w:rsidRDefault="003539DB" w:rsidP="001D24CF">
            <w:r w:rsidRPr="00D73845">
              <w:t>mean</w:t>
            </w:r>
          </w:p>
        </w:tc>
        <w:tc>
          <w:tcPr>
            <w:tcW w:w="1772" w:type="dxa"/>
            <w:noWrap/>
            <w:hideMark/>
          </w:tcPr>
          <w:p w:rsidR="003539DB" w:rsidRPr="00D73845" w:rsidRDefault="003539DB" w:rsidP="00AC0727">
            <w:pPr>
              <w:jc w:val="center"/>
            </w:pPr>
            <w:r w:rsidRPr="00D73845">
              <w:t>N/A</w:t>
            </w:r>
          </w:p>
        </w:tc>
        <w:tc>
          <w:tcPr>
            <w:tcW w:w="1539" w:type="dxa"/>
            <w:noWrap/>
            <w:hideMark/>
          </w:tcPr>
          <w:p w:rsidR="003539DB" w:rsidRPr="00D73845" w:rsidRDefault="003539DB" w:rsidP="00AC0727">
            <w:pPr>
              <w:jc w:val="center"/>
            </w:pPr>
            <w:r w:rsidRPr="00D73845">
              <w:t>0.22</w:t>
            </w:r>
          </w:p>
        </w:tc>
        <w:tc>
          <w:tcPr>
            <w:tcW w:w="1682" w:type="dxa"/>
            <w:noWrap/>
            <w:hideMark/>
          </w:tcPr>
          <w:p w:rsidR="003539DB" w:rsidRPr="00D73845" w:rsidRDefault="003539DB" w:rsidP="00AC0727">
            <w:pPr>
              <w:jc w:val="center"/>
            </w:pPr>
            <w:r w:rsidRPr="00D73845">
              <w:t>0.19</w:t>
            </w:r>
          </w:p>
        </w:tc>
        <w:tc>
          <w:tcPr>
            <w:tcW w:w="1201" w:type="dxa"/>
            <w:noWrap/>
            <w:hideMark/>
          </w:tcPr>
          <w:p w:rsidR="003539DB" w:rsidRPr="00D73845" w:rsidRDefault="003539DB" w:rsidP="00AC0727">
            <w:pPr>
              <w:jc w:val="center"/>
            </w:pPr>
            <w:r w:rsidRPr="00D73845">
              <w:t>0.15</w:t>
            </w:r>
          </w:p>
        </w:tc>
      </w:tr>
      <w:tr w:rsidR="003539DB" w:rsidRPr="00D73845" w:rsidTr="003539DB">
        <w:trPr>
          <w:trHeight w:val="342"/>
        </w:trPr>
        <w:tc>
          <w:tcPr>
            <w:tcW w:w="4618" w:type="dxa"/>
            <w:noWrap/>
            <w:hideMark/>
          </w:tcPr>
          <w:p w:rsidR="003539DB" w:rsidRPr="00A83EFB" w:rsidRDefault="003539DB" w:rsidP="001D24CF">
            <w:pPr>
              <w:rPr>
                <w:sz w:val="20"/>
                <w:szCs w:val="20"/>
              </w:rPr>
            </w:pPr>
            <w:r w:rsidRPr="00A83EFB">
              <w:rPr>
                <w:sz w:val="20"/>
                <w:szCs w:val="20"/>
              </w:rPr>
              <w:t>Particulate matter (PM10) (µg/m3)</w:t>
            </w:r>
          </w:p>
        </w:tc>
        <w:tc>
          <w:tcPr>
            <w:tcW w:w="1591" w:type="dxa"/>
            <w:noWrap/>
            <w:hideMark/>
          </w:tcPr>
          <w:p w:rsidR="003539DB" w:rsidRPr="00D73845" w:rsidRDefault="003539DB" w:rsidP="001D24CF">
            <w:r w:rsidRPr="00D73845">
              <w:t>max</w:t>
            </w:r>
          </w:p>
        </w:tc>
        <w:tc>
          <w:tcPr>
            <w:tcW w:w="1772" w:type="dxa"/>
            <w:noWrap/>
            <w:hideMark/>
          </w:tcPr>
          <w:p w:rsidR="003539DB" w:rsidRPr="00D73845" w:rsidRDefault="003539DB" w:rsidP="00AC0727">
            <w:pPr>
              <w:jc w:val="center"/>
            </w:pPr>
            <w:r w:rsidRPr="00D73845">
              <w:t>32</w:t>
            </w:r>
          </w:p>
        </w:tc>
        <w:tc>
          <w:tcPr>
            <w:tcW w:w="1539" w:type="dxa"/>
            <w:noWrap/>
            <w:hideMark/>
          </w:tcPr>
          <w:p w:rsidR="003539DB" w:rsidRPr="00D73845" w:rsidRDefault="003539DB" w:rsidP="00AC0727">
            <w:pPr>
              <w:jc w:val="center"/>
            </w:pPr>
            <w:r w:rsidRPr="00D73845">
              <w:t>26</w:t>
            </w:r>
          </w:p>
        </w:tc>
        <w:tc>
          <w:tcPr>
            <w:tcW w:w="1682" w:type="dxa"/>
            <w:noWrap/>
            <w:hideMark/>
          </w:tcPr>
          <w:p w:rsidR="003539DB" w:rsidRPr="00D73845" w:rsidRDefault="003539DB" w:rsidP="00AC0727">
            <w:pPr>
              <w:jc w:val="center"/>
            </w:pPr>
            <w:r w:rsidRPr="00D73845">
              <w:t>25</w:t>
            </w:r>
          </w:p>
        </w:tc>
        <w:tc>
          <w:tcPr>
            <w:tcW w:w="1201" w:type="dxa"/>
            <w:noWrap/>
            <w:hideMark/>
          </w:tcPr>
          <w:p w:rsidR="003539DB" w:rsidRPr="00D73845" w:rsidRDefault="003539DB" w:rsidP="00AC0727">
            <w:pPr>
              <w:jc w:val="center"/>
            </w:pPr>
            <w:r w:rsidRPr="00D73845">
              <w:t>25</w:t>
            </w:r>
          </w:p>
        </w:tc>
      </w:tr>
      <w:tr w:rsidR="003539DB" w:rsidRPr="00D73845" w:rsidTr="003539DB">
        <w:trPr>
          <w:trHeight w:val="342"/>
        </w:trPr>
        <w:tc>
          <w:tcPr>
            <w:tcW w:w="4618" w:type="dxa"/>
            <w:noWrap/>
            <w:hideMark/>
          </w:tcPr>
          <w:p w:rsidR="003539DB" w:rsidRPr="00A83EFB" w:rsidRDefault="003539DB" w:rsidP="001D24CF">
            <w:pPr>
              <w:rPr>
                <w:sz w:val="20"/>
                <w:szCs w:val="20"/>
              </w:rPr>
            </w:pPr>
            <w:r w:rsidRPr="00A83EFB">
              <w:rPr>
                <w:sz w:val="20"/>
                <w:szCs w:val="20"/>
              </w:rPr>
              <w:t>NES-AQ threshold &lt;50</w:t>
            </w:r>
          </w:p>
        </w:tc>
        <w:tc>
          <w:tcPr>
            <w:tcW w:w="1591" w:type="dxa"/>
            <w:noWrap/>
            <w:hideMark/>
          </w:tcPr>
          <w:p w:rsidR="003539DB" w:rsidRPr="00D73845" w:rsidRDefault="003539DB" w:rsidP="001D24CF">
            <w:r w:rsidRPr="00D73845">
              <w:t>mean</w:t>
            </w:r>
          </w:p>
        </w:tc>
        <w:tc>
          <w:tcPr>
            <w:tcW w:w="1772" w:type="dxa"/>
            <w:noWrap/>
            <w:hideMark/>
          </w:tcPr>
          <w:p w:rsidR="003539DB" w:rsidRPr="00D73845" w:rsidRDefault="003539DB" w:rsidP="00AC0727">
            <w:pPr>
              <w:jc w:val="center"/>
            </w:pPr>
            <w:r w:rsidRPr="00D73845">
              <w:t>N/A</w:t>
            </w:r>
          </w:p>
        </w:tc>
        <w:tc>
          <w:tcPr>
            <w:tcW w:w="1539" w:type="dxa"/>
            <w:noWrap/>
            <w:hideMark/>
          </w:tcPr>
          <w:p w:rsidR="003539DB" w:rsidRPr="00D73845" w:rsidRDefault="003539DB" w:rsidP="00AC0727">
            <w:pPr>
              <w:jc w:val="center"/>
            </w:pPr>
            <w:r w:rsidRPr="00D73845">
              <w:t>11.3</w:t>
            </w:r>
          </w:p>
        </w:tc>
        <w:tc>
          <w:tcPr>
            <w:tcW w:w="1682" w:type="dxa"/>
            <w:noWrap/>
            <w:hideMark/>
          </w:tcPr>
          <w:p w:rsidR="003539DB" w:rsidRPr="00D73845" w:rsidRDefault="003539DB" w:rsidP="00AC0727">
            <w:pPr>
              <w:jc w:val="center"/>
            </w:pPr>
            <w:r w:rsidRPr="00D73845">
              <w:t>11.3</w:t>
            </w:r>
          </w:p>
        </w:tc>
        <w:tc>
          <w:tcPr>
            <w:tcW w:w="1201" w:type="dxa"/>
            <w:noWrap/>
            <w:hideMark/>
          </w:tcPr>
          <w:p w:rsidR="003539DB" w:rsidRPr="00D73845" w:rsidRDefault="003539DB" w:rsidP="00AC0727">
            <w:pPr>
              <w:jc w:val="center"/>
            </w:pPr>
            <w:r w:rsidRPr="00D73845">
              <w:t>12.6</w:t>
            </w:r>
          </w:p>
        </w:tc>
      </w:tr>
      <w:tr w:rsidR="003539DB" w:rsidRPr="00D73845" w:rsidTr="003539DB">
        <w:trPr>
          <w:trHeight w:val="342"/>
        </w:trPr>
        <w:tc>
          <w:tcPr>
            <w:tcW w:w="12403" w:type="dxa"/>
            <w:gridSpan w:val="6"/>
            <w:tcBorders>
              <w:bottom w:val="nil"/>
            </w:tcBorders>
            <w:noWrap/>
            <w:hideMark/>
          </w:tcPr>
          <w:p w:rsidR="003539DB" w:rsidRPr="00D73845" w:rsidRDefault="003539DB" w:rsidP="001D24CF">
            <w:r w:rsidRPr="00D73845">
              <w:t>Source: Greater Wellington Regional Council, Air quality monitoring programme annual data report 2018 (2019 report at available at time of publication)</w:t>
            </w:r>
          </w:p>
        </w:tc>
      </w:tr>
    </w:tbl>
    <w:p w:rsidR="003539DB" w:rsidRDefault="003539DB" w:rsidP="003539DB">
      <w:pPr>
        <w:rPr>
          <w:b/>
        </w:rPr>
      </w:pPr>
    </w:p>
    <w:p w:rsidR="003539DB" w:rsidRPr="00610DBC" w:rsidRDefault="00610DBC" w:rsidP="00610DBC">
      <w:pPr>
        <w:ind w:left="360"/>
        <w:rPr>
          <w:b/>
        </w:rPr>
      </w:pPr>
      <w:r w:rsidRPr="00610DBC">
        <w:rPr>
          <w:b/>
          <w:bCs/>
        </w:rPr>
        <w:t>6.</w:t>
      </w:r>
      <w:r>
        <w:rPr>
          <w:b/>
          <w:bCs/>
        </w:rPr>
        <w:t xml:space="preserve"> </w:t>
      </w:r>
      <w:proofErr w:type="gramStart"/>
      <w:r w:rsidR="00C5399F" w:rsidRPr="00610DBC">
        <w:rPr>
          <w:bCs/>
        </w:rPr>
        <w:t>a</w:t>
      </w:r>
      <w:proofErr w:type="gramEnd"/>
      <w:r w:rsidRPr="00610DBC">
        <w:rPr>
          <w:bCs/>
        </w:rPr>
        <w:t>.</w:t>
      </w:r>
      <w:r>
        <w:rPr>
          <w:b/>
          <w:bCs/>
        </w:rPr>
        <w:t xml:space="preserve"> </w:t>
      </w:r>
      <w:r w:rsidR="00C5399F" w:rsidRPr="00610DBC">
        <w:rPr>
          <w:b/>
          <w:bCs/>
        </w:rPr>
        <w:t xml:space="preserve"> </w:t>
      </w:r>
      <w:r w:rsidR="003539DB" w:rsidRPr="00610DBC">
        <w:rPr>
          <w:b/>
          <w:bCs/>
        </w:rPr>
        <w:t>Air quality standards and guidelines</w:t>
      </w:r>
    </w:p>
    <w:p w:rsidR="003539DB" w:rsidRPr="003539DB" w:rsidRDefault="003539DB" w:rsidP="003539DB">
      <w:pPr>
        <w:rPr>
          <w:b/>
        </w:rPr>
      </w:pPr>
      <w:r w:rsidRPr="00D73845">
        <w:t>We use air quality standards and guidelines sourced from Greater Wellington Regional Council’s - Air quality monitoring programme annual data report 2018. Thresholds are set to monitor quality against each of the indicators for example nitrogen dioxide. These thresholds are included in the data result table above and for further information refer to air quality standards and guidelines below.</w:t>
      </w:r>
    </w:p>
    <w:tbl>
      <w:tblPr>
        <w:tblStyle w:val="TableGrid"/>
        <w:tblW w:w="0" w:type="auto"/>
        <w:tblBorders>
          <w:top w:val="single" w:sz="4" w:space="0" w:color="FF0000"/>
          <w:left w:val="none" w:sz="0" w:space="0" w:color="auto"/>
          <w:bottom w:val="single" w:sz="4" w:space="0" w:color="FF0000"/>
          <w:right w:val="none" w:sz="0" w:space="0" w:color="auto"/>
          <w:insideH w:val="single" w:sz="4" w:space="0" w:color="FF0000"/>
          <w:insideV w:val="single" w:sz="4" w:space="0" w:color="FF0000"/>
        </w:tblBorders>
        <w:tblLook w:val="04A0" w:firstRow="1" w:lastRow="0" w:firstColumn="1" w:lastColumn="0" w:noHBand="0" w:noVBand="1"/>
      </w:tblPr>
      <w:tblGrid>
        <w:gridCol w:w="4355"/>
        <w:gridCol w:w="1500"/>
        <w:gridCol w:w="1803"/>
        <w:gridCol w:w="1451"/>
        <w:gridCol w:w="1711"/>
      </w:tblGrid>
      <w:tr w:rsidR="003539DB" w:rsidRPr="002F66FD" w:rsidTr="00AC0727">
        <w:trPr>
          <w:trHeight w:val="828"/>
        </w:trPr>
        <w:tc>
          <w:tcPr>
            <w:tcW w:w="4355" w:type="dxa"/>
            <w:tcBorders>
              <w:right w:val="single" w:sz="4" w:space="0" w:color="FFFFFF" w:themeColor="background1"/>
            </w:tcBorders>
            <w:noWrap/>
            <w:hideMark/>
          </w:tcPr>
          <w:p w:rsidR="003539DB" w:rsidRPr="00D73845" w:rsidRDefault="003539DB" w:rsidP="001D24CF">
            <w:pPr>
              <w:rPr>
                <w:b/>
                <w:bCs/>
              </w:rPr>
            </w:pPr>
            <w:r w:rsidRPr="00D73845">
              <w:rPr>
                <w:b/>
                <w:bCs/>
              </w:rPr>
              <w:t>Indicator</w:t>
            </w:r>
          </w:p>
        </w:tc>
        <w:tc>
          <w:tcPr>
            <w:tcW w:w="15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0000"/>
            <w:vAlign w:val="bottom"/>
            <w:hideMark/>
          </w:tcPr>
          <w:p w:rsidR="003539DB" w:rsidRPr="003539DB" w:rsidRDefault="003539DB" w:rsidP="00AC0727">
            <w:pPr>
              <w:jc w:val="center"/>
              <w:rPr>
                <w:b/>
                <w:bCs/>
                <w:color w:val="FFFFFF" w:themeColor="background1"/>
                <w:sz w:val="24"/>
                <w:szCs w:val="20"/>
              </w:rPr>
            </w:pPr>
            <w:r w:rsidRPr="003539DB">
              <w:rPr>
                <w:b/>
                <w:bCs/>
                <w:color w:val="FFFFFF" w:themeColor="background1"/>
                <w:sz w:val="24"/>
                <w:szCs w:val="20"/>
              </w:rPr>
              <w:t>Standard or Guideline</w:t>
            </w:r>
          </w:p>
        </w:tc>
        <w:tc>
          <w:tcPr>
            <w:tcW w:w="16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0000"/>
            <w:vAlign w:val="bottom"/>
            <w:hideMark/>
          </w:tcPr>
          <w:p w:rsidR="003539DB" w:rsidRPr="003539DB" w:rsidRDefault="003539DB" w:rsidP="00AC0727">
            <w:pPr>
              <w:jc w:val="center"/>
              <w:rPr>
                <w:b/>
                <w:bCs/>
                <w:color w:val="FFFFFF" w:themeColor="background1"/>
                <w:sz w:val="24"/>
                <w:szCs w:val="20"/>
              </w:rPr>
            </w:pPr>
            <w:r w:rsidRPr="003539DB">
              <w:rPr>
                <w:b/>
                <w:bCs/>
                <w:color w:val="FFFFFF" w:themeColor="background1"/>
                <w:sz w:val="24"/>
                <w:szCs w:val="20"/>
              </w:rPr>
              <w:t>Threshold concentration</w:t>
            </w:r>
          </w:p>
        </w:tc>
        <w:tc>
          <w:tcPr>
            <w:tcW w:w="14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0000"/>
            <w:vAlign w:val="bottom"/>
            <w:hideMark/>
          </w:tcPr>
          <w:p w:rsidR="003539DB" w:rsidRPr="003539DB" w:rsidRDefault="003539DB" w:rsidP="00AC0727">
            <w:pPr>
              <w:jc w:val="center"/>
              <w:rPr>
                <w:b/>
                <w:bCs/>
                <w:color w:val="FFFFFF" w:themeColor="background1"/>
                <w:sz w:val="24"/>
                <w:szCs w:val="20"/>
              </w:rPr>
            </w:pPr>
            <w:r w:rsidRPr="003539DB">
              <w:rPr>
                <w:b/>
                <w:bCs/>
                <w:color w:val="FFFFFF" w:themeColor="background1"/>
                <w:sz w:val="24"/>
                <w:szCs w:val="20"/>
              </w:rPr>
              <w:t>Averaging period</w:t>
            </w:r>
          </w:p>
        </w:tc>
        <w:tc>
          <w:tcPr>
            <w:tcW w:w="15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0000"/>
            <w:vAlign w:val="bottom"/>
            <w:hideMark/>
          </w:tcPr>
          <w:p w:rsidR="003539DB" w:rsidRPr="003539DB" w:rsidRDefault="003539DB" w:rsidP="00AC0727">
            <w:pPr>
              <w:jc w:val="center"/>
              <w:rPr>
                <w:b/>
                <w:bCs/>
                <w:color w:val="FFFFFF" w:themeColor="background1"/>
                <w:sz w:val="24"/>
                <w:szCs w:val="20"/>
              </w:rPr>
            </w:pPr>
            <w:r w:rsidRPr="003539DB">
              <w:rPr>
                <w:b/>
                <w:bCs/>
                <w:color w:val="FFFFFF" w:themeColor="background1"/>
                <w:sz w:val="24"/>
                <w:szCs w:val="20"/>
              </w:rPr>
              <w:t>Permissible exceedances per year</w:t>
            </w:r>
          </w:p>
        </w:tc>
      </w:tr>
      <w:tr w:rsidR="003539DB" w:rsidRPr="00D73845" w:rsidTr="001D24CF">
        <w:trPr>
          <w:trHeight w:val="276"/>
        </w:trPr>
        <w:tc>
          <w:tcPr>
            <w:tcW w:w="4355" w:type="dxa"/>
            <w:noWrap/>
            <w:hideMark/>
          </w:tcPr>
          <w:p w:rsidR="003539DB" w:rsidRPr="00D73845" w:rsidRDefault="003539DB" w:rsidP="001D24CF">
            <w:r w:rsidRPr="00D73845">
              <w:t>PM10</w:t>
            </w:r>
          </w:p>
        </w:tc>
        <w:tc>
          <w:tcPr>
            <w:tcW w:w="1500" w:type="dxa"/>
            <w:noWrap/>
            <w:hideMark/>
          </w:tcPr>
          <w:p w:rsidR="003539DB" w:rsidRPr="00D73845" w:rsidRDefault="003539DB" w:rsidP="00AC0727">
            <w:pPr>
              <w:jc w:val="center"/>
            </w:pPr>
            <w:r w:rsidRPr="00D73845">
              <w:t>NES-AQ</w:t>
            </w:r>
          </w:p>
        </w:tc>
        <w:tc>
          <w:tcPr>
            <w:tcW w:w="1671" w:type="dxa"/>
            <w:noWrap/>
            <w:hideMark/>
          </w:tcPr>
          <w:p w:rsidR="003539DB" w:rsidRPr="00D73845" w:rsidRDefault="003539DB" w:rsidP="00AC0727">
            <w:pPr>
              <w:jc w:val="center"/>
            </w:pPr>
            <w:r w:rsidRPr="00D73845">
              <w:t>50 μg/m3</w:t>
            </w:r>
          </w:p>
        </w:tc>
        <w:tc>
          <w:tcPr>
            <w:tcW w:w="1451" w:type="dxa"/>
            <w:noWrap/>
            <w:hideMark/>
          </w:tcPr>
          <w:p w:rsidR="003539DB" w:rsidRPr="00D73845" w:rsidRDefault="003539DB" w:rsidP="00AC0727">
            <w:pPr>
              <w:jc w:val="center"/>
            </w:pPr>
            <w:r w:rsidRPr="00D73845">
              <w:t>24-hour</w:t>
            </w:r>
          </w:p>
        </w:tc>
        <w:tc>
          <w:tcPr>
            <w:tcW w:w="1586" w:type="dxa"/>
            <w:noWrap/>
            <w:hideMark/>
          </w:tcPr>
          <w:p w:rsidR="003539DB" w:rsidRPr="00D73845" w:rsidRDefault="003539DB" w:rsidP="00AC0727">
            <w:pPr>
              <w:jc w:val="center"/>
            </w:pPr>
            <w:r w:rsidRPr="00D73845">
              <w:t>1</w:t>
            </w:r>
          </w:p>
        </w:tc>
      </w:tr>
      <w:tr w:rsidR="003539DB" w:rsidRPr="00D73845" w:rsidTr="001D24CF">
        <w:trPr>
          <w:trHeight w:val="276"/>
        </w:trPr>
        <w:tc>
          <w:tcPr>
            <w:tcW w:w="4355" w:type="dxa"/>
            <w:noWrap/>
            <w:hideMark/>
          </w:tcPr>
          <w:p w:rsidR="003539DB" w:rsidRPr="00D73845" w:rsidRDefault="003539DB" w:rsidP="001D24CF">
            <w:r w:rsidRPr="00D73845">
              <w:t> </w:t>
            </w:r>
          </w:p>
        </w:tc>
        <w:tc>
          <w:tcPr>
            <w:tcW w:w="1500" w:type="dxa"/>
            <w:noWrap/>
            <w:hideMark/>
          </w:tcPr>
          <w:p w:rsidR="003539DB" w:rsidRPr="00D73845" w:rsidRDefault="003539DB" w:rsidP="00AC0727">
            <w:pPr>
              <w:jc w:val="center"/>
            </w:pPr>
            <w:r w:rsidRPr="00D73845">
              <w:t>NAAQG</w:t>
            </w:r>
          </w:p>
        </w:tc>
        <w:tc>
          <w:tcPr>
            <w:tcW w:w="1671" w:type="dxa"/>
            <w:noWrap/>
            <w:hideMark/>
          </w:tcPr>
          <w:p w:rsidR="003539DB" w:rsidRPr="00D73845" w:rsidRDefault="003539DB" w:rsidP="00AC0727">
            <w:pPr>
              <w:jc w:val="center"/>
            </w:pPr>
            <w:r w:rsidRPr="00D73845">
              <w:t>20 μg/m3</w:t>
            </w:r>
          </w:p>
        </w:tc>
        <w:tc>
          <w:tcPr>
            <w:tcW w:w="1451" w:type="dxa"/>
            <w:noWrap/>
            <w:hideMark/>
          </w:tcPr>
          <w:p w:rsidR="003539DB" w:rsidRPr="00D73845" w:rsidRDefault="003539DB" w:rsidP="00AC0727">
            <w:pPr>
              <w:jc w:val="center"/>
            </w:pPr>
            <w:r w:rsidRPr="00D73845">
              <w:t>Annual</w:t>
            </w:r>
          </w:p>
        </w:tc>
        <w:tc>
          <w:tcPr>
            <w:tcW w:w="1586" w:type="dxa"/>
            <w:noWrap/>
            <w:hideMark/>
          </w:tcPr>
          <w:p w:rsidR="003539DB" w:rsidRPr="00D73845" w:rsidRDefault="003539DB" w:rsidP="00AC0727">
            <w:pPr>
              <w:jc w:val="center"/>
            </w:pPr>
            <w:r w:rsidRPr="00D73845">
              <w:t>NA</w:t>
            </w:r>
          </w:p>
        </w:tc>
      </w:tr>
      <w:tr w:rsidR="003539DB" w:rsidRPr="00D73845" w:rsidTr="001D24CF">
        <w:trPr>
          <w:trHeight w:val="276"/>
        </w:trPr>
        <w:tc>
          <w:tcPr>
            <w:tcW w:w="4355" w:type="dxa"/>
            <w:noWrap/>
            <w:hideMark/>
          </w:tcPr>
          <w:p w:rsidR="003539DB" w:rsidRPr="00D73845" w:rsidRDefault="003539DB" w:rsidP="001D24CF">
            <w:r w:rsidRPr="00D73845">
              <w:t>PM2.5</w:t>
            </w:r>
          </w:p>
        </w:tc>
        <w:tc>
          <w:tcPr>
            <w:tcW w:w="1500" w:type="dxa"/>
            <w:noWrap/>
            <w:hideMark/>
          </w:tcPr>
          <w:p w:rsidR="003539DB" w:rsidRPr="00D73845" w:rsidRDefault="003539DB" w:rsidP="00AC0727">
            <w:pPr>
              <w:jc w:val="center"/>
            </w:pPr>
            <w:r w:rsidRPr="00D73845">
              <w:t>WHO Guideline</w:t>
            </w:r>
          </w:p>
        </w:tc>
        <w:tc>
          <w:tcPr>
            <w:tcW w:w="1671" w:type="dxa"/>
            <w:noWrap/>
            <w:hideMark/>
          </w:tcPr>
          <w:p w:rsidR="003539DB" w:rsidRPr="00D73845" w:rsidRDefault="003539DB" w:rsidP="00AC0727">
            <w:pPr>
              <w:jc w:val="center"/>
            </w:pPr>
            <w:r w:rsidRPr="00D73845">
              <w:t>25 μg/m3</w:t>
            </w:r>
          </w:p>
        </w:tc>
        <w:tc>
          <w:tcPr>
            <w:tcW w:w="1451" w:type="dxa"/>
            <w:noWrap/>
            <w:hideMark/>
          </w:tcPr>
          <w:p w:rsidR="003539DB" w:rsidRPr="00D73845" w:rsidRDefault="003539DB" w:rsidP="00AC0727">
            <w:pPr>
              <w:jc w:val="center"/>
            </w:pPr>
            <w:r w:rsidRPr="00D73845">
              <w:t>24-hour</w:t>
            </w:r>
          </w:p>
        </w:tc>
        <w:tc>
          <w:tcPr>
            <w:tcW w:w="1586" w:type="dxa"/>
            <w:noWrap/>
            <w:hideMark/>
          </w:tcPr>
          <w:p w:rsidR="003539DB" w:rsidRPr="00D73845" w:rsidRDefault="003539DB" w:rsidP="00AC0727">
            <w:pPr>
              <w:jc w:val="center"/>
            </w:pPr>
            <w:r w:rsidRPr="00D73845">
              <w:t>3</w:t>
            </w:r>
          </w:p>
        </w:tc>
      </w:tr>
      <w:tr w:rsidR="003539DB" w:rsidRPr="00D73845" w:rsidTr="001D24CF">
        <w:trPr>
          <w:trHeight w:val="276"/>
        </w:trPr>
        <w:tc>
          <w:tcPr>
            <w:tcW w:w="4355" w:type="dxa"/>
            <w:noWrap/>
            <w:hideMark/>
          </w:tcPr>
          <w:p w:rsidR="003539DB" w:rsidRPr="00D73845" w:rsidRDefault="003539DB" w:rsidP="001D24CF">
            <w:r w:rsidRPr="00D73845">
              <w:lastRenderedPageBreak/>
              <w:t> </w:t>
            </w:r>
          </w:p>
        </w:tc>
        <w:tc>
          <w:tcPr>
            <w:tcW w:w="1500" w:type="dxa"/>
            <w:noWrap/>
            <w:hideMark/>
          </w:tcPr>
          <w:p w:rsidR="003539DB" w:rsidRPr="00D73845" w:rsidRDefault="003539DB" w:rsidP="00AC0727">
            <w:pPr>
              <w:jc w:val="center"/>
            </w:pPr>
            <w:r w:rsidRPr="00D73845">
              <w:t>WHO Guideline</w:t>
            </w:r>
          </w:p>
        </w:tc>
        <w:tc>
          <w:tcPr>
            <w:tcW w:w="1671" w:type="dxa"/>
            <w:noWrap/>
            <w:hideMark/>
          </w:tcPr>
          <w:p w:rsidR="003539DB" w:rsidRPr="00D73845" w:rsidRDefault="003539DB" w:rsidP="00AC0727">
            <w:pPr>
              <w:jc w:val="center"/>
            </w:pPr>
            <w:r w:rsidRPr="00D73845">
              <w:t>10 μg/m3</w:t>
            </w:r>
          </w:p>
        </w:tc>
        <w:tc>
          <w:tcPr>
            <w:tcW w:w="1451" w:type="dxa"/>
            <w:noWrap/>
            <w:hideMark/>
          </w:tcPr>
          <w:p w:rsidR="003539DB" w:rsidRPr="00D73845" w:rsidRDefault="003539DB" w:rsidP="00AC0727">
            <w:pPr>
              <w:jc w:val="center"/>
            </w:pPr>
            <w:r w:rsidRPr="00D73845">
              <w:t>Annual</w:t>
            </w:r>
          </w:p>
        </w:tc>
        <w:tc>
          <w:tcPr>
            <w:tcW w:w="1586" w:type="dxa"/>
            <w:noWrap/>
            <w:hideMark/>
          </w:tcPr>
          <w:p w:rsidR="003539DB" w:rsidRPr="00D73845" w:rsidRDefault="003539DB" w:rsidP="00AC0727">
            <w:pPr>
              <w:jc w:val="center"/>
            </w:pPr>
            <w:r w:rsidRPr="00D73845">
              <w:t>NA</w:t>
            </w:r>
          </w:p>
        </w:tc>
      </w:tr>
      <w:tr w:rsidR="003539DB" w:rsidRPr="00D73845" w:rsidTr="001D24CF">
        <w:trPr>
          <w:trHeight w:val="276"/>
        </w:trPr>
        <w:tc>
          <w:tcPr>
            <w:tcW w:w="4355" w:type="dxa"/>
            <w:noWrap/>
            <w:hideMark/>
          </w:tcPr>
          <w:p w:rsidR="003539DB" w:rsidRPr="00D73845" w:rsidRDefault="003539DB" w:rsidP="001D24CF">
            <w:r w:rsidRPr="00D73845">
              <w:t>Carbon monoxide (CO)</w:t>
            </w:r>
          </w:p>
        </w:tc>
        <w:tc>
          <w:tcPr>
            <w:tcW w:w="1500" w:type="dxa"/>
            <w:noWrap/>
            <w:hideMark/>
          </w:tcPr>
          <w:p w:rsidR="003539DB" w:rsidRPr="00D73845" w:rsidRDefault="003539DB" w:rsidP="00AC0727">
            <w:pPr>
              <w:jc w:val="center"/>
            </w:pPr>
            <w:r w:rsidRPr="00D73845">
              <w:t>NES-AQ</w:t>
            </w:r>
          </w:p>
        </w:tc>
        <w:tc>
          <w:tcPr>
            <w:tcW w:w="1671" w:type="dxa"/>
            <w:noWrap/>
            <w:hideMark/>
          </w:tcPr>
          <w:p w:rsidR="003539DB" w:rsidRPr="00D73845" w:rsidRDefault="003539DB" w:rsidP="00AC0727">
            <w:pPr>
              <w:jc w:val="center"/>
            </w:pPr>
            <w:r w:rsidRPr="00D73845">
              <w:t>10 μg/m3</w:t>
            </w:r>
          </w:p>
        </w:tc>
        <w:tc>
          <w:tcPr>
            <w:tcW w:w="1451" w:type="dxa"/>
            <w:noWrap/>
            <w:hideMark/>
          </w:tcPr>
          <w:p w:rsidR="003539DB" w:rsidRPr="00D73845" w:rsidRDefault="003539DB" w:rsidP="00AC0727">
            <w:pPr>
              <w:jc w:val="center"/>
            </w:pPr>
            <w:r w:rsidRPr="00D73845">
              <w:t>8-hour moving</w:t>
            </w:r>
          </w:p>
        </w:tc>
        <w:tc>
          <w:tcPr>
            <w:tcW w:w="1586" w:type="dxa"/>
            <w:noWrap/>
            <w:hideMark/>
          </w:tcPr>
          <w:p w:rsidR="003539DB" w:rsidRPr="00D73845" w:rsidRDefault="003539DB" w:rsidP="00AC0727">
            <w:pPr>
              <w:jc w:val="center"/>
            </w:pPr>
            <w:r w:rsidRPr="00D73845">
              <w:t>6</w:t>
            </w:r>
          </w:p>
        </w:tc>
      </w:tr>
      <w:tr w:rsidR="003539DB" w:rsidRPr="00D73845" w:rsidTr="001D24CF">
        <w:trPr>
          <w:trHeight w:val="276"/>
        </w:trPr>
        <w:tc>
          <w:tcPr>
            <w:tcW w:w="4355" w:type="dxa"/>
            <w:noWrap/>
            <w:hideMark/>
          </w:tcPr>
          <w:p w:rsidR="003539DB" w:rsidRPr="00D73845" w:rsidRDefault="003539DB" w:rsidP="001D24CF">
            <w:r w:rsidRPr="00D73845">
              <w:t> </w:t>
            </w:r>
          </w:p>
        </w:tc>
        <w:tc>
          <w:tcPr>
            <w:tcW w:w="1500" w:type="dxa"/>
            <w:noWrap/>
            <w:hideMark/>
          </w:tcPr>
          <w:p w:rsidR="003539DB" w:rsidRPr="00D73845" w:rsidRDefault="003539DB" w:rsidP="00AC0727">
            <w:pPr>
              <w:jc w:val="center"/>
            </w:pPr>
            <w:r w:rsidRPr="00D73845">
              <w:t>NAAQG</w:t>
            </w:r>
          </w:p>
        </w:tc>
        <w:tc>
          <w:tcPr>
            <w:tcW w:w="1671" w:type="dxa"/>
            <w:noWrap/>
            <w:hideMark/>
          </w:tcPr>
          <w:p w:rsidR="003539DB" w:rsidRPr="00D73845" w:rsidRDefault="003539DB" w:rsidP="00AC0727">
            <w:pPr>
              <w:jc w:val="center"/>
            </w:pPr>
            <w:r w:rsidRPr="00D73845">
              <w:t>30 μg/m3</w:t>
            </w:r>
          </w:p>
        </w:tc>
        <w:tc>
          <w:tcPr>
            <w:tcW w:w="1451" w:type="dxa"/>
            <w:noWrap/>
            <w:hideMark/>
          </w:tcPr>
          <w:p w:rsidR="003539DB" w:rsidRPr="00D73845" w:rsidRDefault="003539DB" w:rsidP="00AC0727">
            <w:pPr>
              <w:jc w:val="center"/>
            </w:pPr>
            <w:r w:rsidRPr="00D73845">
              <w:t>1-hour</w:t>
            </w:r>
          </w:p>
        </w:tc>
        <w:tc>
          <w:tcPr>
            <w:tcW w:w="1586" w:type="dxa"/>
            <w:noWrap/>
            <w:hideMark/>
          </w:tcPr>
          <w:p w:rsidR="003539DB" w:rsidRPr="00D73845" w:rsidRDefault="003539DB" w:rsidP="00AC0727">
            <w:pPr>
              <w:jc w:val="center"/>
            </w:pPr>
            <w:r w:rsidRPr="00D73845">
              <w:t>0</w:t>
            </w:r>
          </w:p>
        </w:tc>
      </w:tr>
      <w:tr w:rsidR="003539DB" w:rsidRPr="00D73845" w:rsidTr="001D24CF">
        <w:trPr>
          <w:trHeight w:val="276"/>
        </w:trPr>
        <w:tc>
          <w:tcPr>
            <w:tcW w:w="4355" w:type="dxa"/>
            <w:noWrap/>
            <w:hideMark/>
          </w:tcPr>
          <w:p w:rsidR="003539DB" w:rsidRPr="00D73845" w:rsidRDefault="003539DB" w:rsidP="001D24CF">
            <w:r w:rsidRPr="00D73845">
              <w:t>Nitrogen Dioxide (NO2)</w:t>
            </w:r>
          </w:p>
        </w:tc>
        <w:tc>
          <w:tcPr>
            <w:tcW w:w="1500" w:type="dxa"/>
            <w:noWrap/>
            <w:hideMark/>
          </w:tcPr>
          <w:p w:rsidR="003539DB" w:rsidRPr="00D73845" w:rsidRDefault="003539DB" w:rsidP="00AC0727">
            <w:pPr>
              <w:jc w:val="center"/>
            </w:pPr>
            <w:r w:rsidRPr="00D73845">
              <w:t>NES-AQ</w:t>
            </w:r>
          </w:p>
        </w:tc>
        <w:tc>
          <w:tcPr>
            <w:tcW w:w="1671" w:type="dxa"/>
            <w:noWrap/>
            <w:hideMark/>
          </w:tcPr>
          <w:p w:rsidR="003539DB" w:rsidRPr="00D73845" w:rsidRDefault="003539DB" w:rsidP="00AC0727">
            <w:pPr>
              <w:jc w:val="center"/>
            </w:pPr>
            <w:r w:rsidRPr="00D73845">
              <w:t>200 μg/m3</w:t>
            </w:r>
          </w:p>
        </w:tc>
        <w:tc>
          <w:tcPr>
            <w:tcW w:w="1451" w:type="dxa"/>
            <w:noWrap/>
            <w:hideMark/>
          </w:tcPr>
          <w:p w:rsidR="003539DB" w:rsidRPr="00D73845" w:rsidRDefault="003539DB" w:rsidP="00AC0727">
            <w:pPr>
              <w:jc w:val="center"/>
            </w:pPr>
            <w:r w:rsidRPr="00D73845">
              <w:t>1-hour</w:t>
            </w:r>
          </w:p>
        </w:tc>
        <w:tc>
          <w:tcPr>
            <w:tcW w:w="1586" w:type="dxa"/>
            <w:noWrap/>
            <w:hideMark/>
          </w:tcPr>
          <w:p w:rsidR="003539DB" w:rsidRPr="00D73845" w:rsidRDefault="003539DB" w:rsidP="00AC0727">
            <w:pPr>
              <w:jc w:val="center"/>
            </w:pPr>
            <w:r w:rsidRPr="00D73845">
              <w:t>9</w:t>
            </w:r>
          </w:p>
        </w:tc>
      </w:tr>
      <w:tr w:rsidR="003539DB" w:rsidRPr="00D73845" w:rsidTr="001D24CF">
        <w:trPr>
          <w:trHeight w:val="276"/>
        </w:trPr>
        <w:tc>
          <w:tcPr>
            <w:tcW w:w="4355" w:type="dxa"/>
            <w:noWrap/>
            <w:hideMark/>
          </w:tcPr>
          <w:p w:rsidR="003539DB" w:rsidRPr="00D73845" w:rsidRDefault="003539DB" w:rsidP="001D24CF"/>
        </w:tc>
        <w:tc>
          <w:tcPr>
            <w:tcW w:w="1500" w:type="dxa"/>
            <w:noWrap/>
            <w:hideMark/>
          </w:tcPr>
          <w:p w:rsidR="003539DB" w:rsidRPr="00D73845" w:rsidRDefault="003539DB" w:rsidP="00AC0727">
            <w:pPr>
              <w:jc w:val="center"/>
            </w:pPr>
            <w:r w:rsidRPr="00D73845">
              <w:t>NAAQG</w:t>
            </w:r>
          </w:p>
        </w:tc>
        <w:tc>
          <w:tcPr>
            <w:tcW w:w="1671" w:type="dxa"/>
            <w:noWrap/>
            <w:hideMark/>
          </w:tcPr>
          <w:p w:rsidR="003539DB" w:rsidRPr="00D73845" w:rsidRDefault="003539DB" w:rsidP="00AC0727">
            <w:pPr>
              <w:jc w:val="center"/>
            </w:pPr>
            <w:r w:rsidRPr="00D73845">
              <w:t>100 μg/m3</w:t>
            </w:r>
          </w:p>
        </w:tc>
        <w:tc>
          <w:tcPr>
            <w:tcW w:w="1451" w:type="dxa"/>
            <w:noWrap/>
            <w:hideMark/>
          </w:tcPr>
          <w:p w:rsidR="003539DB" w:rsidRPr="00D73845" w:rsidRDefault="003539DB" w:rsidP="00AC0727">
            <w:pPr>
              <w:jc w:val="center"/>
            </w:pPr>
            <w:r w:rsidRPr="00D73845">
              <w:t>24-hour</w:t>
            </w:r>
          </w:p>
        </w:tc>
        <w:tc>
          <w:tcPr>
            <w:tcW w:w="1586" w:type="dxa"/>
            <w:noWrap/>
            <w:hideMark/>
          </w:tcPr>
          <w:p w:rsidR="003539DB" w:rsidRPr="00D73845" w:rsidRDefault="003539DB" w:rsidP="00AC0727">
            <w:pPr>
              <w:jc w:val="center"/>
            </w:pPr>
            <w:r w:rsidRPr="00D73845">
              <w:t>0</w:t>
            </w:r>
          </w:p>
        </w:tc>
      </w:tr>
      <w:tr w:rsidR="003539DB" w:rsidRPr="00D73845" w:rsidTr="001D24CF">
        <w:trPr>
          <w:trHeight w:val="276"/>
        </w:trPr>
        <w:tc>
          <w:tcPr>
            <w:tcW w:w="4355" w:type="dxa"/>
            <w:noWrap/>
            <w:hideMark/>
          </w:tcPr>
          <w:p w:rsidR="003539DB" w:rsidRPr="00D73845" w:rsidRDefault="003539DB" w:rsidP="001D24CF">
            <w:r w:rsidRPr="00D73845">
              <w:t> </w:t>
            </w:r>
          </w:p>
        </w:tc>
        <w:tc>
          <w:tcPr>
            <w:tcW w:w="1500" w:type="dxa"/>
            <w:noWrap/>
            <w:hideMark/>
          </w:tcPr>
          <w:p w:rsidR="003539DB" w:rsidRPr="00D73845" w:rsidRDefault="003539DB" w:rsidP="00AC0727">
            <w:pPr>
              <w:jc w:val="center"/>
            </w:pPr>
            <w:r w:rsidRPr="00D73845">
              <w:t>WHO Guideline</w:t>
            </w:r>
          </w:p>
        </w:tc>
        <w:tc>
          <w:tcPr>
            <w:tcW w:w="1671" w:type="dxa"/>
            <w:noWrap/>
            <w:hideMark/>
          </w:tcPr>
          <w:p w:rsidR="003539DB" w:rsidRPr="00D73845" w:rsidRDefault="003539DB" w:rsidP="00AC0727">
            <w:pPr>
              <w:jc w:val="center"/>
            </w:pPr>
            <w:r w:rsidRPr="00D73845">
              <w:t>40 μg/m3</w:t>
            </w:r>
          </w:p>
        </w:tc>
        <w:tc>
          <w:tcPr>
            <w:tcW w:w="1451" w:type="dxa"/>
            <w:noWrap/>
            <w:hideMark/>
          </w:tcPr>
          <w:p w:rsidR="003539DB" w:rsidRPr="00D73845" w:rsidRDefault="003539DB" w:rsidP="00AC0727">
            <w:pPr>
              <w:jc w:val="center"/>
            </w:pPr>
            <w:r w:rsidRPr="00D73845">
              <w:t>Annual</w:t>
            </w:r>
          </w:p>
        </w:tc>
        <w:tc>
          <w:tcPr>
            <w:tcW w:w="1586" w:type="dxa"/>
            <w:noWrap/>
            <w:hideMark/>
          </w:tcPr>
          <w:p w:rsidR="003539DB" w:rsidRPr="00D73845" w:rsidRDefault="003539DB" w:rsidP="00AC0727">
            <w:pPr>
              <w:jc w:val="center"/>
            </w:pPr>
            <w:r w:rsidRPr="00D73845">
              <w:t>NA</w:t>
            </w:r>
          </w:p>
        </w:tc>
      </w:tr>
    </w:tbl>
    <w:p w:rsidR="006D2410" w:rsidRDefault="006D2410" w:rsidP="006D2410">
      <w:pPr>
        <w:rPr>
          <w:b/>
        </w:rPr>
      </w:pPr>
    </w:p>
    <w:p w:rsidR="003539DB" w:rsidRPr="003539DB" w:rsidRDefault="003539DB" w:rsidP="002C7BF8">
      <w:pPr>
        <w:pStyle w:val="ListParagraph"/>
        <w:numPr>
          <w:ilvl w:val="0"/>
          <w:numId w:val="69"/>
        </w:numPr>
        <w:rPr>
          <w:b/>
        </w:rPr>
      </w:pPr>
      <w:r w:rsidRPr="003539DB">
        <w:rPr>
          <w:b/>
        </w:rPr>
        <w:t>Personal risk of serious injury or fatality for all road users (number resulting from road crashes)</w:t>
      </w:r>
    </w:p>
    <w:tbl>
      <w:tblPr>
        <w:tblStyle w:val="TableGrid"/>
        <w:tblW w:w="0" w:type="auto"/>
        <w:tblBorders>
          <w:top w:val="single" w:sz="4" w:space="0" w:color="FF0000"/>
          <w:left w:val="none" w:sz="0" w:space="0" w:color="auto"/>
          <w:bottom w:val="single" w:sz="4" w:space="0" w:color="FF0000"/>
          <w:right w:val="none" w:sz="0" w:space="0" w:color="auto"/>
          <w:insideH w:val="single" w:sz="4" w:space="0" w:color="FF0000"/>
          <w:insideV w:val="single" w:sz="4" w:space="0" w:color="FF0000"/>
        </w:tblBorders>
        <w:tblLook w:val="04A0" w:firstRow="1" w:lastRow="0" w:firstColumn="1" w:lastColumn="0" w:noHBand="0" w:noVBand="1"/>
      </w:tblPr>
      <w:tblGrid>
        <w:gridCol w:w="7526"/>
        <w:gridCol w:w="1451"/>
        <w:gridCol w:w="1586"/>
        <w:gridCol w:w="1133"/>
      </w:tblGrid>
      <w:tr w:rsidR="003539DB" w:rsidRPr="00D73845" w:rsidTr="00AC0727">
        <w:trPr>
          <w:trHeight w:val="276"/>
        </w:trPr>
        <w:tc>
          <w:tcPr>
            <w:tcW w:w="7526" w:type="dxa"/>
            <w:tcBorders>
              <w:right w:val="single" w:sz="4" w:space="0" w:color="FFFFFF" w:themeColor="background1"/>
            </w:tcBorders>
            <w:noWrap/>
            <w:hideMark/>
          </w:tcPr>
          <w:p w:rsidR="003539DB" w:rsidRPr="00D73845" w:rsidRDefault="003539DB" w:rsidP="001D24CF">
            <w:r w:rsidRPr="00D73845">
              <w:t>In 2019 measure was changed to report as financial years rather than YTD against calendar year.</w:t>
            </w:r>
          </w:p>
        </w:tc>
        <w:tc>
          <w:tcPr>
            <w:tcW w:w="14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0000"/>
            <w:noWrap/>
            <w:vAlign w:val="bottom"/>
            <w:hideMark/>
          </w:tcPr>
          <w:p w:rsidR="003539DB" w:rsidRPr="002F66FD" w:rsidRDefault="003539DB" w:rsidP="00AC0727">
            <w:pPr>
              <w:jc w:val="center"/>
              <w:rPr>
                <w:b/>
                <w:bCs/>
                <w:color w:val="FFFFFF" w:themeColor="background1"/>
              </w:rPr>
            </w:pPr>
            <w:r w:rsidRPr="002F66FD">
              <w:rPr>
                <w:b/>
                <w:bCs/>
                <w:color w:val="FFFFFF" w:themeColor="background1"/>
              </w:rPr>
              <w:t>2017</w:t>
            </w:r>
          </w:p>
        </w:tc>
        <w:tc>
          <w:tcPr>
            <w:tcW w:w="15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0000"/>
            <w:noWrap/>
            <w:vAlign w:val="bottom"/>
            <w:hideMark/>
          </w:tcPr>
          <w:p w:rsidR="003539DB" w:rsidRPr="002F66FD" w:rsidRDefault="003539DB" w:rsidP="00AC0727">
            <w:pPr>
              <w:jc w:val="center"/>
              <w:rPr>
                <w:b/>
                <w:bCs/>
                <w:color w:val="FFFFFF" w:themeColor="background1"/>
              </w:rPr>
            </w:pPr>
            <w:r w:rsidRPr="002F66FD">
              <w:rPr>
                <w:b/>
                <w:bCs/>
                <w:color w:val="FFFFFF" w:themeColor="background1"/>
              </w:rPr>
              <w:t>2018</w:t>
            </w:r>
          </w:p>
        </w:tc>
        <w:tc>
          <w:tcPr>
            <w:tcW w:w="1133" w:type="dxa"/>
            <w:tcBorders>
              <w:top w:val="single" w:sz="4" w:space="0" w:color="FFFFFF" w:themeColor="background1"/>
              <w:left w:val="single" w:sz="4" w:space="0" w:color="FFFFFF" w:themeColor="background1"/>
              <w:bottom w:val="single" w:sz="4" w:space="0" w:color="FFFFFF" w:themeColor="background1"/>
              <w:right w:val="single" w:sz="4" w:space="0" w:color="FF0000"/>
            </w:tcBorders>
            <w:shd w:val="clear" w:color="auto" w:fill="FF0000"/>
            <w:noWrap/>
            <w:vAlign w:val="bottom"/>
            <w:hideMark/>
          </w:tcPr>
          <w:p w:rsidR="003539DB" w:rsidRPr="002F66FD" w:rsidRDefault="003539DB" w:rsidP="00AC0727">
            <w:pPr>
              <w:jc w:val="center"/>
              <w:rPr>
                <w:b/>
                <w:bCs/>
                <w:color w:val="FFFFFF" w:themeColor="background1"/>
              </w:rPr>
            </w:pPr>
            <w:r w:rsidRPr="002F66FD">
              <w:rPr>
                <w:b/>
                <w:bCs/>
                <w:color w:val="FFFFFF" w:themeColor="background1"/>
              </w:rPr>
              <w:t>2019</w:t>
            </w:r>
          </w:p>
        </w:tc>
      </w:tr>
      <w:tr w:rsidR="003539DB" w:rsidRPr="00D73845" w:rsidTr="001D24CF">
        <w:trPr>
          <w:trHeight w:val="276"/>
        </w:trPr>
        <w:tc>
          <w:tcPr>
            <w:tcW w:w="7526" w:type="dxa"/>
            <w:noWrap/>
            <w:hideMark/>
          </w:tcPr>
          <w:p w:rsidR="003539DB" w:rsidRPr="00D73845" w:rsidRDefault="003539DB" w:rsidP="001D24CF">
            <w:r w:rsidRPr="00D73845">
              <w:t>Fatal crash</w:t>
            </w:r>
          </w:p>
        </w:tc>
        <w:tc>
          <w:tcPr>
            <w:tcW w:w="1451" w:type="dxa"/>
            <w:noWrap/>
            <w:hideMark/>
          </w:tcPr>
          <w:p w:rsidR="003539DB" w:rsidRPr="00D73845" w:rsidRDefault="003539DB" w:rsidP="00AC0727">
            <w:pPr>
              <w:jc w:val="center"/>
            </w:pPr>
            <w:r w:rsidRPr="00D73845">
              <w:t>2</w:t>
            </w:r>
          </w:p>
        </w:tc>
        <w:tc>
          <w:tcPr>
            <w:tcW w:w="1586" w:type="dxa"/>
            <w:noWrap/>
            <w:hideMark/>
          </w:tcPr>
          <w:p w:rsidR="003539DB" w:rsidRPr="00D73845" w:rsidRDefault="003539DB" w:rsidP="00AC0727">
            <w:pPr>
              <w:jc w:val="center"/>
            </w:pPr>
            <w:r w:rsidRPr="00D73845">
              <w:t>1</w:t>
            </w:r>
          </w:p>
        </w:tc>
        <w:tc>
          <w:tcPr>
            <w:tcW w:w="1133" w:type="dxa"/>
            <w:tcBorders>
              <w:right w:val="single" w:sz="4" w:space="0" w:color="FF0000"/>
            </w:tcBorders>
            <w:noWrap/>
            <w:hideMark/>
          </w:tcPr>
          <w:p w:rsidR="003539DB" w:rsidRPr="00D73845" w:rsidRDefault="003539DB" w:rsidP="00AC0727">
            <w:pPr>
              <w:jc w:val="center"/>
            </w:pPr>
            <w:r w:rsidRPr="00D73845">
              <w:t>4</w:t>
            </w:r>
          </w:p>
        </w:tc>
      </w:tr>
      <w:tr w:rsidR="003539DB" w:rsidRPr="00D73845" w:rsidTr="001D24CF">
        <w:trPr>
          <w:trHeight w:val="276"/>
        </w:trPr>
        <w:tc>
          <w:tcPr>
            <w:tcW w:w="7526" w:type="dxa"/>
            <w:noWrap/>
            <w:hideMark/>
          </w:tcPr>
          <w:p w:rsidR="003539DB" w:rsidRPr="00D73845" w:rsidRDefault="003539DB" w:rsidP="001D24CF">
            <w:r w:rsidRPr="00D73845">
              <w:t>Serious crash</w:t>
            </w:r>
          </w:p>
        </w:tc>
        <w:tc>
          <w:tcPr>
            <w:tcW w:w="1451" w:type="dxa"/>
            <w:noWrap/>
            <w:hideMark/>
          </w:tcPr>
          <w:p w:rsidR="003539DB" w:rsidRPr="00D73845" w:rsidRDefault="003539DB" w:rsidP="00AC0727">
            <w:pPr>
              <w:jc w:val="center"/>
            </w:pPr>
            <w:r w:rsidRPr="00D73845">
              <w:t>76</w:t>
            </w:r>
          </w:p>
        </w:tc>
        <w:tc>
          <w:tcPr>
            <w:tcW w:w="1586" w:type="dxa"/>
            <w:noWrap/>
            <w:hideMark/>
          </w:tcPr>
          <w:p w:rsidR="003539DB" w:rsidRPr="00D73845" w:rsidRDefault="003539DB" w:rsidP="00AC0727">
            <w:pPr>
              <w:jc w:val="center"/>
            </w:pPr>
            <w:r w:rsidRPr="00D73845">
              <w:t>69</w:t>
            </w:r>
          </w:p>
        </w:tc>
        <w:tc>
          <w:tcPr>
            <w:tcW w:w="1133" w:type="dxa"/>
            <w:tcBorders>
              <w:right w:val="single" w:sz="4" w:space="0" w:color="FF0000"/>
            </w:tcBorders>
            <w:noWrap/>
            <w:hideMark/>
          </w:tcPr>
          <w:p w:rsidR="003539DB" w:rsidRPr="00D73845" w:rsidRDefault="003539DB" w:rsidP="00AC0727">
            <w:pPr>
              <w:jc w:val="center"/>
            </w:pPr>
            <w:r w:rsidRPr="00D73845">
              <w:t>83</w:t>
            </w:r>
          </w:p>
        </w:tc>
      </w:tr>
      <w:tr w:rsidR="003539DB" w:rsidRPr="00D73845" w:rsidTr="001D24CF">
        <w:trPr>
          <w:trHeight w:val="276"/>
        </w:trPr>
        <w:tc>
          <w:tcPr>
            <w:tcW w:w="7526" w:type="dxa"/>
            <w:noWrap/>
            <w:hideMark/>
          </w:tcPr>
          <w:p w:rsidR="003539DB" w:rsidRPr="00D73845" w:rsidRDefault="003539DB" w:rsidP="001D24CF">
            <w:r w:rsidRPr="00D73845">
              <w:t>Minor crash</w:t>
            </w:r>
          </w:p>
        </w:tc>
        <w:tc>
          <w:tcPr>
            <w:tcW w:w="1451" w:type="dxa"/>
            <w:noWrap/>
            <w:hideMark/>
          </w:tcPr>
          <w:p w:rsidR="003539DB" w:rsidRPr="00D73845" w:rsidRDefault="003539DB" w:rsidP="00AC0727">
            <w:pPr>
              <w:jc w:val="center"/>
            </w:pPr>
            <w:r w:rsidRPr="00D73845">
              <w:t>309</w:t>
            </w:r>
          </w:p>
        </w:tc>
        <w:tc>
          <w:tcPr>
            <w:tcW w:w="1586" w:type="dxa"/>
            <w:noWrap/>
            <w:hideMark/>
          </w:tcPr>
          <w:p w:rsidR="003539DB" w:rsidRPr="00D73845" w:rsidRDefault="003539DB" w:rsidP="00AC0727">
            <w:pPr>
              <w:jc w:val="center"/>
            </w:pPr>
            <w:r w:rsidRPr="00D73845">
              <w:t>329</w:t>
            </w:r>
          </w:p>
        </w:tc>
        <w:tc>
          <w:tcPr>
            <w:tcW w:w="1133" w:type="dxa"/>
            <w:tcBorders>
              <w:right w:val="single" w:sz="4" w:space="0" w:color="FF0000"/>
            </w:tcBorders>
            <w:noWrap/>
            <w:hideMark/>
          </w:tcPr>
          <w:p w:rsidR="003539DB" w:rsidRPr="00D73845" w:rsidRDefault="003539DB" w:rsidP="00AC0727">
            <w:pPr>
              <w:jc w:val="center"/>
            </w:pPr>
            <w:r w:rsidRPr="00D73845">
              <w:t>360</w:t>
            </w:r>
          </w:p>
        </w:tc>
      </w:tr>
      <w:tr w:rsidR="003539DB" w:rsidRPr="00D73845" w:rsidTr="001D24CF">
        <w:trPr>
          <w:trHeight w:val="276"/>
        </w:trPr>
        <w:tc>
          <w:tcPr>
            <w:tcW w:w="7526" w:type="dxa"/>
            <w:noWrap/>
            <w:hideMark/>
          </w:tcPr>
          <w:p w:rsidR="003539DB" w:rsidRPr="00D73845" w:rsidRDefault="003539DB" w:rsidP="001D24CF">
            <w:r w:rsidRPr="00D73845">
              <w:t>Non injury Crash</w:t>
            </w:r>
          </w:p>
        </w:tc>
        <w:tc>
          <w:tcPr>
            <w:tcW w:w="1451" w:type="dxa"/>
            <w:noWrap/>
            <w:hideMark/>
          </w:tcPr>
          <w:p w:rsidR="003539DB" w:rsidRPr="00D73845" w:rsidRDefault="003539DB" w:rsidP="00AC0727">
            <w:pPr>
              <w:jc w:val="center"/>
            </w:pPr>
            <w:r w:rsidRPr="00D73845">
              <w:t>1259</w:t>
            </w:r>
          </w:p>
        </w:tc>
        <w:tc>
          <w:tcPr>
            <w:tcW w:w="1586" w:type="dxa"/>
            <w:noWrap/>
            <w:hideMark/>
          </w:tcPr>
          <w:p w:rsidR="003539DB" w:rsidRPr="00D73845" w:rsidRDefault="003539DB" w:rsidP="00AC0727">
            <w:pPr>
              <w:jc w:val="center"/>
            </w:pPr>
            <w:r w:rsidRPr="00D73845">
              <w:t>1256</w:t>
            </w:r>
          </w:p>
        </w:tc>
        <w:tc>
          <w:tcPr>
            <w:tcW w:w="1133" w:type="dxa"/>
            <w:tcBorders>
              <w:right w:val="single" w:sz="4" w:space="0" w:color="FF0000"/>
            </w:tcBorders>
            <w:noWrap/>
            <w:hideMark/>
          </w:tcPr>
          <w:p w:rsidR="003539DB" w:rsidRPr="00D73845" w:rsidRDefault="003539DB" w:rsidP="00AC0727">
            <w:pPr>
              <w:jc w:val="center"/>
            </w:pPr>
            <w:r w:rsidRPr="00D73845">
              <w:t>923</w:t>
            </w:r>
          </w:p>
        </w:tc>
      </w:tr>
      <w:tr w:rsidR="003539DB" w:rsidRPr="00D73845" w:rsidTr="001D24CF">
        <w:trPr>
          <w:trHeight w:val="276"/>
        </w:trPr>
        <w:tc>
          <w:tcPr>
            <w:tcW w:w="7526" w:type="dxa"/>
            <w:noWrap/>
            <w:hideMark/>
          </w:tcPr>
          <w:p w:rsidR="003539DB" w:rsidRPr="00D73845" w:rsidRDefault="003539DB" w:rsidP="001D24CF">
            <w:r w:rsidRPr="00D73845">
              <w:t>Reported result Fatal and Serious crashes</w:t>
            </w:r>
          </w:p>
        </w:tc>
        <w:tc>
          <w:tcPr>
            <w:tcW w:w="1451" w:type="dxa"/>
            <w:noWrap/>
            <w:hideMark/>
          </w:tcPr>
          <w:p w:rsidR="003539DB" w:rsidRPr="00D73845" w:rsidRDefault="003539DB" w:rsidP="00AC0727">
            <w:pPr>
              <w:jc w:val="center"/>
            </w:pPr>
            <w:r w:rsidRPr="00D73845">
              <w:t>78</w:t>
            </w:r>
          </w:p>
        </w:tc>
        <w:tc>
          <w:tcPr>
            <w:tcW w:w="1586" w:type="dxa"/>
            <w:noWrap/>
            <w:hideMark/>
          </w:tcPr>
          <w:p w:rsidR="003539DB" w:rsidRPr="00D73845" w:rsidRDefault="003539DB" w:rsidP="00AC0727">
            <w:pPr>
              <w:jc w:val="center"/>
            </w:pPr>
            <w:r w:rsidRPr="00D73845">
              <w:t>70</w:t>
            </w:r>
          </w:p>
        </w:tc>
        <w:tc>
          <w:tcPr>
            <w:tcW w:w="1133" w:type="dxa"/>
            <w:tcBorders>
              <w:right w:val="single" w:sz="4" w:space="0" w:color="FF0000"/>
            </w:tcBorders>
            <w:noWrap/>
            <w:hideMark/>
          </w:tcPr>
          <w:p w:rsidR="003539DB" w:rsidRPr="00D73845" w:rsidRDefault="003539DB" w:rsidP="00AC0727">
            <w:pPr>
              <w:jc w:val="center"/>
            </w:pPr>
            <w:r w:rsidRPr="00D73845">
              <w:t>87</w:t>
            </w:r>
          </w:p>
        </w:tc>
      </w:tr>
      <w:tr w:rsidR="003539DB" w:rsidRPr="00D73845" w:rsidTr="003539DB">
        <w:trPr>
          <w:trHeight w:val="276"/>
        </w:trPr>
        <w:tc>
          <w:tcPr>
            <w:tcW w:w="11696" w:type="dxa"/>
            <w:gridSpan w:val="4"/>
            <w:noWrap/>
          </w:tcPr>
          <w:p w:rsidR="003539DB" w:rsidRPr="00D73845" w:rsidRDefault="003539DB" w:rsidP="001D24CF">
            <w:r w:rsidRPr="006F76AB">
              <w:rPr>
                <w:i/>
              </w:rPr>
              <w:t>Source: CAS database from New Zealand Transport Authority (NZTA)</w:t>
            </w:r>
          </w:p>
        </w:tc>
      </w:tr>
    </w:tbl>
    <w:p w:rsidR="003539DB" w:rsidRDefault="003539DB" w:rsidP="006D2410"/>
    <w:p w:rsidR="003539DB" w:rsidRPr="00297C6D" w:rsidRDefault="00C5399F" w:rsidP="00297C6D">
      <w:pPr>
        <w:ind w:left="426"/>
        <w:rPr>
          <w:b/>
        </w:rPr>
      </w:pPr>
      <w:r w:rsidRPr="00297C6D">
        <w:rPr>
          <w:b/>
        </w:rPr>
        <w:t xml:space="preserve">7a </w:t>
      </w:r>
    </w:p>
    <w:tbl>
      <w:tblPr>
        <w:tblStyle w:val="TableGrid"/>
        <w:tblW w:w="0" w:type="auto"/>
        <w:tblBorders>
          <w:top w:val="single" w:sz="4" w:space="0" w:color="FF0000"/>
          <w:left w:val="none" w:sz="0" w:space="0" w:color="auto"/>
          <w:bottom w:val="single" w:sz="4" w:space="0" w:color="FF0000"/>
          <w:right w:val="none" w:sz="0" w:space="0" w:color="auto"/>
          <w:insideH w:val="single" w:sz="4" w:space="0" w:color="FF0000"/>
          <w:insideV w:val="single" w:sz="4" w:space="0" w:color="FF0000"/>
        </w:tblBorders>
        <w:tblLook w:val="04A0" w:firstRow="1" w:lastRow="0" w:firstColumn="1" w:lastColumn="0" w:noHBand="0" w:noVBand="1"/>
      </w:tblPr>
      <w:tblGrid>
        <w:gridCol w:w="7652"/>
        <w:gridCol w:w="1475"/>
        <w:gridCol w:w="1612"/>
        <w:gridCol w:w="1152"/>
      </w:tblGrid>
      <w:tr w:rsidR="003539DB" w:rsidRPr="00D73845" w:rsidTr="00297C6D">
        <w:trPr>
          <w:trHeight w:val="298"/>
        </w:trPr>
        <w:tc>
          <w:tcPr>
            <w:tcW w:w="7652" w:type="dxa"/>
            <w:tcBorders>
              <w:right w:val="single" w:sz="4" w:space="0" w:color="FFFFFF" w:themeColor="background1"/>
            </w:tcBorders>
            <w:noWrap/>
          </w:tcPr>
          <w:p w:rsidR="003539DB" w:rsidRPr="00D73845" w:rsidRDefault="00C5399F" w:rsidP="001D24CF">
            <w:r w:rsidRPr="00667EBB">
              <w:rPr>
                <w:b/>
              </w:rPr>
              <w:t>Change from previous year in the number of road crashes resulting in fatalities and serious injury</w:t>
            </w:r>
          </w:p>
        </w:tc>
        <w:tc>
          <w:tcPr>
            <w:tcW w:w="14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0000"/>
            <w:noWrap/>
            <w:vAlign w:val="bottom"/>
          </w:tcPr>
          <w:p w:rsidR="003539DB" w:rsidRPr="002F66FD" w:rsidRDefault="003539DB" w:rsidP="00AC0727">
            <w:pPr>
              <w:jc w:val="center"/>
              <w:rPr>
                <w:b/>
                <w:bCs/>
                <w:color w:val="FFFFFF" w:themeColor="background1"/>
              </w:rPr>
            </w:pPr>
          </w:p>
        </w:tc>
        <w:tc>
          <w:tcPr>
            <w:tcW w:w="16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0000"/>
            <w:noWrap/>
            <w:vAlign w:val="bottom"/>
            <w:hideMark/>
          </w:tcPr>
          <w:p w:rsidR="003539DB" w:rsidRPr="002F66FD" w:rsidRDefault="003539DB" w:rsidP="00AC0727">
            <w:pPr>
              <w:jc w:val="center"/>
              <w:rPr>
                <w:b/>
                <w:bCs/>
                <w:color w:val="FFFFFF" w:themeColor="background1"/>
              </w:rPr>
            </w:pPr>
            <w:r w:rsidRPr="002F66FD">
              <w:rPr>
                <w:b/>
                <w:bCs/>
                <w:color w:val="FFFFFF" w:themeColor="background1"/>
              </w:rPr>
              <w:t>2018</w:t>
            </w:r>
          </w:p>
        </w:tc>
        <w:tc>
          <w:tcPr>
            <w:tcW w:w="1152" w:type="dxa"/>
            <w:tcBorders>
              <w:top w:val="single" w:sz="4" w:space="0" w:color="FFFFFF" w:themeColor="background1"/>
              <w:left w:val="single" w:sz="4" w:space="0" w:color="FFFFFF" w:themeColor="background1"/>
              <w:bottom w:val="single" w:sz="4" w:space="0" w:color="FFFFFF" w:themeColor="background1"/>
              <w:right w:val="single" w:sz="4" w:space="0" w:color="FF0000"/>
            </w:tcBorders>
            <w:shd w:val="clear" w:color="auto" w:fill="FF0000"/>
            <w:noWrap/>
            <w:vAlign w:val="bottom"/>
            <w:hideMark/>
          </w:tcPr>
          <w:p w:rsidR="003539DB" w:rsidRPr="002F66FD" w:rsidRDefault="003539DB" w:rsidP="00AC0727">
            <w:pPr>
              <w:jc w:val="center"/>
              <w:rPr>
                <w:b/>
                <w:bCs/>
                <w:color w:val="FFFFFF" w:themeColor="background1"/>
              </w:rPr>
            </w:pPr>
            <w:r w:rsidRPr="002F66FD">
              <w:rPr>
                <w:b/>
                <w:bCs/>
                <w:color w:val="FFFFFF" w:themeColor="background1"/>
              </w:rPr>
              <w:t>2019</w:t>
            </w:r>
          </w:p>
        </w:tc>
      </w:tr>
      <w:tr w:rsidR="003539DB" w:rsidRPr="00D73845" w:rsidTr="00297C6D">
        <w:trPr>
          <w:trHeight w:val="298"/>
        </w:trPr>
        <w:tc>
          <w:tcPr>
            <w:tcW w:w="7652" w:type="dxa"/>
            <w:noWrap/>
            <w:hideMark/>
          </w:tcPr>
          <w:p w:rsidR="003539DB" w:rsidRPr="00D73845" w:rsidRDefault="003539DB" w:rsidP="001D24CF"/>
        </w:tc>
        <w:tc>
          <w:tcPr>
            <w:tcW w:w="1475" w:type="dxa"/>
            <w:noWrap/>
          </w:tcPr>
          <w:p w:rsidR="003539DB" w:rsidRPr="00D73845" w:rsidRDefault="003539DB" w:rsidP="00AC0727">
            <w:pPr>
              <w:jc w:val="center"/>
            </w:pPr>
          </w:p>
        </w:tc>
        <w:tc>
          <w:tcPr>
            <w:tcW w:w="1612" w:type="dxa"/>
            <w:noWrap/>
            <w:hideMark/>
          </w:tcPr>
          <w:p w:rsidR="003539DB" w:rsidRPr="00D73845" w:rsidRDefault="00C5399F" w:rsidP="00C5399F">
            <w:pPr>
              <w:jc w:val="center"/>
            </w:pPr>
            <w:r>
              <w:t>-8</w:t>
            </w:r>
          </w:p>
        </w:tc>
        <w:tc>
          <w:tcPr>
            <w:tcW w:w="1152" w:type="dxa"/>
            <w:tcBorders>
              <w:right w:val="single" w:sz="4" w:space="0" w:color="FF0000"/>
            </w:tcBorders>
            <w:noWrap/>
            <w:hideMark/>
          </w:tcPr>
          <w:p w:rsidR="003539DB" w:rsidRPr="00D73845" w:rsidRDefault="00C5399F" w:rsidP="00AC0727">
            <w:pPr>
              <w:jc w:val="center"/>
            </w:pPr>
            <w:r>
              <w:t>+17</w:t>
            </w:r>
          </w:p>
        </w:tc>
      </w:tr>
      <w:tr w:rsidR="003539DB" w:rsidRPr="00D73845" w:rsidTr="00AC0727">
        <w:trPr>
          <w:trHeight w:val="298"/>
        </w:trPr>
        <w:tc>
          <w:tcPr>
            <w:tcW w:w="11891" w:type="dxa"/>
            <w:gridSpan w:val="4"/>
            <w:noWrap/>
          </w:tcPr>
          <w:p w:rsidR="003539DB" w:rsidRPr="00D73845" w:rsidRDefault="003539DB" w:rsidP="001D24CF">
            <w:r w:rsidRPr="006F76AB">
              <w:rPr>
                <w:i/>
              </w:rPr>
              <w:t>Source: CAS database from New Zealand Transport Authority (NZTA)</w:t>
            </w:r>
          </w:p>
        </w:tc>
      </w:tr>
    </w:tbl>
    <w:p w:rsidR="003539DB" w:rsidRDefault="003539DB" w:rsidP="006D2410"/>
    <w:p w:rsidR="00AC0727" w:rsidRDefault="00AC0727">
      <w:pPr>
        <w:rPr>
          <w:b/>
        </w:rPr>
      </w:pPr>
      <w:r>
        <w:rPr>
          <w:b/>
        </w:rPr>
        <w:br w:type="page"/>
      </w:r>
    </w:p>
    <w:p w:rsidR="003539DB" w:rsidRDefault="00AC0727" w:rsidP="002C7BF8">
      <w:pPr>
        <w:pStyle w:val="ListParagraph"/>
        <w:numPr>
          <w:ilvl w:val="0"/>
          <w:numId w:val="69"/>
        </w:numPr>
        <w:rPr>
          <w:b/>
        </w:rPr>
      </w:pPr>
      <w:r w:rsidRPr="00AC0727">
        <w:rPr>
          <w:b/>
        </w:rPr>
        <w:lastRenderedPageBreak/>
        <w:t>Residents’ perceptions of transport-related safety issues (ie issues of most concern)</w:t>
      </w:r>
    </w:p>
    <w:tbl>
      <w:tblPr>
        <w:tblStyle w:val="TableGrid"/>
        <w:tblW w:w="0" w:type="auto"/>
        <w:tblBorders>
          <w:top w:val="single" w:sz="4" w:space="0" w:color="FF0000"/>
          <w:left w:val="none" w:sz="0" w:space="0" w:color="auto"/>
          <w:bottom w:val="single" w:sz="4" w:space="0" w:color="FF0000"/>
          <w:right w:val="none" w:sz="0" w:space="0" w:color="auto"/>
          <w:insideH w:val="single" w:sz="4" w:space="0" w:color="FF0000"/>
          <w:insideV w:val="single" w:sz="4" w:space="0" w:color="FF0000"/>
        </w:tblBorders>
        <w:tblLook w:val="04A0" w:firstRow="1" w:lastRow="0" w:firstColumn="1" w:lastColumn="0" w:noHBand="0" w:noVBand="1"/>
      </w:tblPr>
      <w:tblGrid>
        <w:gridCol w:w="4501"/>
        <w:gridCol w:w="1550"/>
        <w:gridCol w:w="1727"/>
        <w:gridCol w:w="1499"/>
        <w:gridCol w:w="1639"/>
        <w:gridCol w:w="1171"/>
      </w:tblGrid>
      <w:tr w:rsidR="00AC0727" w:rsidRPr="002F66FD" w:rsidTr="00AC0727">
        <w:trPr>
          <w:trHeight w:val="325"/>
        </w:trPr>
        <w:tc>
          <w:tcPr>
            <w:tcW w:w="4501" w:type="dxa"/>
            <w:tcBorders>
              <w:top w:val="nil"/>
              <w:right w:val="single" w:sz="4" w:space="0" w:color="FFFFFF" w:themeColor="background1"/>
            </w:tcBorders>
            <w:noWrap/>
            <w:hideMark/>
          </w:tcPr>
          <w:p w:rsidR="00AC0727" w:rsidRPr="00D73845" w:rsidRDefault="00AC0727" w:rsidP="001D24CF">
            <w:pPr>
              <w:rPr>
                <w:b/>
                <w:bCs/>
              </w:rPr>
            </w:pPr>
          </w:p>
        </w:tc>
        <w:tc>
          <w:tcPr>
            <w:tcW w:w="1550" w:type="dxa"/>
            <w:tcBorders>
              <w:top w:val="nil"/>
              <w:left w:val="single" w:sz="4" w:space="0" w:color="FFFFFF" w:themeColor="background1"/>
              <w:bottom w:val="single" w:sz="4" w:space="0" w:color="FFFFFF" w:themeColor="background1"/>
              <w:right w:val="single" w:sz="4" w:space="0" w:color="FFFFFF" w:themeColor="background1"/>
            </w:tcBorders>
            <w:shd w:val="clear" w:color="auto" w:fill="FF0000"/>
            <w:noWrap/>
            <w:vAlign w:val="bottom"/>
            <w:hideMark/>
          </w:tcPr>
          <w:p w:rsidR="00AC0727" w:rsidRPr="00AC0727" w:rsidRDefault="00AC0727" w:rsidP="00AC0727">
            <w:pPr>
              <w:jc w:val="center"/>
              <w:rPr>
                <w:b/>
                <w:bCs/>
                <w:color w:val="FFFFFF" w:themeColor="background1"/>
                <w:szCs w:val="20"/>
              </w:rPr>
            </w:pPr>
            <w:r w:rsidRPr="00AC0727">
              <w:rPr>
                <w:b/>
                <w:bCs/>
                <w:color w:val="FFFFFF" w:themeColor="background1"/>
                <w:szCs w:val="20"/>
              </w:rPr>
              <w:t>2015</w:t>
            </w:r>
          </w:p>
        </w:tc>
        <w:tc>
          <w:tcPr>
            <w:tcW w:w="1727" w:type="dxa"/>
            <w:tcBorders>
              <w:top w:val="nil"/>
              <w:left w:val="single" w:sz="4" w:space="0" w:color="FFFFFF" w:themeColor="background1"/>
              <w:bottom w:val="single" w:sz="4" w:space="0" w:color="FFFFFF" w:themeColor="background1"/>
              <w:right w:val="single" w:sz="4" w:space="0" w:color="FFFFFF" w:themeColor="background1"/>
            </w:tcBorders>
            <w:shd w:val="clear" w:color="auto" w:fill="FF0000"/>
            <w:noWrap/>
            <w:vAlign w:val="bottom"/>
            <w:hideMark/>
          </w:tcPr>
          <w:p w:rsidR="00AC0727" w:rsidRPr="00AC0727" w:rsidRDefault="00AC0727" w:rsidP="00AC0727">
            <w:pPr>
              <w:jc w:val="center"/>
              <w:rPr>
                <w:b/>
                <w:bCs/>
                <w:color w:val="FFFFFF" w:themeColor="background1"/>
                <w:szCs w:val="20"/>
              </w:rPr>
            </w:pPr>
            <w:r w:rsidRPr="00AC0727">
              <w:rPr>
                <w:b/>
                <w:bCs/>
                <w:color w:val="FFFFFF" w:themeColor="background1"/>
                <w:szCs w:val="20"/>
              </w:rPr>
              <w:t>2016</w:t>
            </w:r>
          </w:p>
        </w:tc>
        <w:tc>
          <w:tcPr>
            <w:tcW w:w="1499" w:type="dxa"/>
            <w:tcBorders>
              <w:top w:val="nil"/>
              <w:left w:val="single" w:sz="4" w:space="0" w:color="FFFFFF" w:themeColor="background1"/>
              <w:bottom w:val="single" w:sz="4" w:space="0" w:color="FFFFFF" w:themeColor="background1"/>
              <w:right w:val="single" w:sz="4" w:space="0" w:color="FFFFFF" w:themeColor="background1"/>
            </w:tcBorders>
            <w:shd w:val="clear" w:color="auto" w:fill="FF0000"/>
            <w:noWrap/>
            <w:vAlign w:val="bottom"/>
            <w:hideMark/>
          </w:tcPr>
          <w:p w:rsidR="00AC0727" w:rsidRPr="00AC0727" w:rsidRDefault="00AC0727" w:rsidP="00AC0727">
            <w:pPr>
              <w:jc w:val="center"/>
              <w:rPr>
                <w:b/>
                <w:bCs/>
                <w:color w:val="FFFFFF" w:themeColor="background1"/>
                <w:szCs w:val="20"/>
              </w:rPr>
            </w:pPr>
            <w:r w:rsidRPr="00AC0727">
              <w:rPr>
                <w:b/>
                <w:bCs/>
                <w:color w:val="FFFFFF" w:themeColor="background1"/>
                <w:szCs w:val="20"/>
              </w:rPr>
              <w:t>2017</w:t>
            </w:r>
          </w:p>
        </w:tc>
        <w:tc>
          <w:tcPr>
            <w:tcW w:w="1639" w:type="dxa"/>
            <w:tcBorders>
              <w:top w:val="nil"/>
              <w:left w:val="single" w:sz="4" w:space="0" w:color="FFFFFF" w:themeColor="background1"/>
              <w:bottom w:val="single" w:sz="4" w:space="0" w:color="FFFFFF" w:themeColor="background1"/>
              <w:right w:val="single" w:sz="4" w:space="0" w:color="FFFFFF" w:themeColor="background1"/>
            </w:tcBorders>
            <w:shd w:val="clear" w:color="auto" w:fill="FF0000"/>
            <w:noWrap/>
            <w:vAlign w:val="bottom"/>
            <w:hideMark/>
          </w:tcPr>
          <w:p w:rsidR="00AC0727" w:rsidRPr="00AC0727" w:rsidRDefault="00AC0727" w:rsidP="00AC0727">
            <w:pPr>
              <w:jc w:val="center"/>
              <w:rPr>
                <w:b/>
                <w:bCs/>
                <w:color w:val="FFFFFF" w:themeColor="background1"/>
                <w:szCs w:val="20"/>
              </w:rPr>
            </w:pPr>
            <w:r w:rsidRPr="00AC0727">
              <w:rPr>
                <w:b/>
                <w:bCs/>
                <w:color w:val="FFFFFF" w:themeColor="background1"/>
                <w:szCs w:val="20"/>
              </w:rPr>
              <w:t>2018</w:t>
            </w:r>
          </w:p>
        </w:tc>
        <w:tc>
          <w:tcPr>
            <w:tcW w:w="1171" w:type="dxa"/>
            <w:tcBorders>
              <w:top w:val="nil"/>
              <w:left w:val="single" w:sz="4" w:space="0" w:color="FFFFFF" w:themeColor="background1"/>
              <w:bottom w:val="single" w:sz="4" w:space="0" w:color="FFFFFF" w:themeColor="background1"/>
              <w:right w:val="single" w:sz="4" w:space="0" w:color="FFFFFF" w:themeColor="background1"/>
            </w:tcBorders>
            <w:shd w:val="clear" w:color="auto" w:fill="FF0000"/>
            <w:noWrap/>
            <w:vAlign w:val="bottom"/>
            <w:hideMark/>
          </w:tcPr>
          <w:p w:rsidR="00AC0727" w:rsidRPr="00AC0727" w:rsidRDefault="00AC0727" w:rsidP="00AC0727">
            <w:pPr>
              <w:jc w:val="center"/>
              <w:rPr>
                <w:b/>
                <w:bCs/>
                <w:color w:val="FFFFFF" w:themeColor="background1"/>
                <w:szCs w:val="20"/>
              </w:rPr>
            </w:pPr>
            <w:r w:rsidRPr="00AC0727">
              <w:rPr>
                <w:b/>
                <w:bCs/>
                <w:color w:val="FFFFFF" w:themeColor="background1"/>
                <w:szCs w:val="20"/>
              </w:rPr>
              <w:t>2019</w:t>
            </w:r>
          </w:p>
        </w:tc>
      </w:tr>
      <w:tr w:rsidR="00AC0727" w:rsidRPr="00D73845" w:rsidTr="00AC0727">
        <w:trPr>
          <w:trHeight w:val="325"/>
        </w:trPr>
        <w:tc>
          <w:tcPr>
            <w:tcW w:w="4501" w:type="dxa"/>
            <w:noWrap/>
            <w:hideMark/>
          </w:tcPr>
          <w:p w:rsidR="00AC0727" w:rsidRPr="00D73845" w:rsidRDefault="00AC0727" w:rsidP="001D24CF">
            <w:r w:rsidRPr="00D73845">
              <w:t>Traffic or busy roads</w:t>
            </w:r>
          </w:p>
        </w:tc>
        <w:tc>
          <w:tcPr>
            <w:tcW w:w="1550" w:type="dxa"/>
            <w:noWrap/>
            <w:hideMark/>
          </w:tcPr>
          <w:p w:rsidR="00AC0727" w:rsidRPr="00D73845" w:rsidRDefault="00AC0727" w:rsidP="00AC0727">
            <w:pPr>
              <w:jc w:val="center"/>
            </w:pPr>
            <w:r w:rsidRPr="00D73845">
              <w:t>34%</w:t>
            </w:r>
          </w:p>
        </w:tc>
        <w:tc>
          <w:tcPr>
            <w:tcW w:w="1727" w:type="dxa"/>
            <w:noWrap/>
            <w:hideMark/>
          </w:tcPr>
          <w:p w:rsidR="00AC0727" w:rsidRPr="00D73845" w:rsidRDefault="00AC0727" w:rsidP="00AC0727">
            <w:pPr>
              <w:jc w:val="center"/>
            </w:pPr>
            <w:r w:rsidRPr="00D73845">
              <w:t>33%</w:t>
            </w:r>
          </w:p>
        </w:tc>
        <w:tc>
          <w:tcPr>
            <w:tcW w:w="1499" w:type="dxa"/>
            <w:noWrap/>
            <w:hideMark/>
          </w:tcPr>
          <w:p w:rsidR="00AC0727" w:rsidRPr="00D73845" w:rsidRDefault="00AC0727" w:rsidP="00AC0727">
            <w:pPr>
              <w:jc w:val="center"/>
            </w:pPr>
            <w:r w:rsidRPr="00D73845">
              <w:t>33%</w:t>
            </w:r>
          </w:p>
        </w:tc>
        <w:tc>
          <w:tcPr>
            <w:tcW w:w="1639" w:type="dxa"/>
            <w:noWrap/>
            <w:hideMark/>
          </w:tcPr>
          <w:p w:rsidR="00AC0727" w:rsidRPr="00D73845" w:rsidRDefault="00AC0727" w:rsidP="00AC0727">
            <w:pPr>
              <w:jc w:val="center"/>
            </w:pPr>
            <w:r w:rsidRPr="00D73845">
              <w:t>36%</w:t>
            </w:r>
          </w:p>
        </w:tc>
        <w:tc>
          <w:tcPr>
            <w:tcW w:w="1171" w:type="dxa"/>
            <w:noWrap/>
            <w:hideMark/>
          </w:tcPr>
          <w:p w:rsidR="00AC0727" w:rsidRPr="00D73845" w:rsidRDefault="00AC0727" w:rsidP="00AC0727">
            <w:pPr>
              <w:jc w:val="center"/>
            </w:pPr>
            <w:r w:rsidRPr="00D73845">
              <w:t>39%</w:t>
            </w:r>
          </w:p>
        </w:tc>
      </w:tr>
      <w:tr w:rsidR="00AC0727" w:rsidRPr="00D73845" w:rsidTr="00AC0727">
        <w:trPr>
          <w:trHeight w:val="325"/>
        </w:trPr>
        <w:tc>
          <w:tcPr>
            <w:tcW w:w="4501" w:type="dxa"/>
            <w:noWrap/>
            <w:hideMark/>
          </w:tcPr>
          <w:p w:rsidR="00AC0727" w:rsidRPr="00D73845" w:rsidRDefault="00AC0727" w:rsidP="001D24CF">
            <w:r w:rsidRPr="00D73845">
              <w:t>Car theft or vandalism</w:t>
            </w:r>
          </w:p>
        </w:tc>
        <w:tc>
          <w:tcPr>
            <w:tcW w:w="1550" w:type="dxa"/>
            <w:noWrap/>
            <w:hideMark/>
          </w:tcPr>
          <w:p w:rsidR="00AC0727" w:rsidRPr="00D73845" w:rsidRDefault="00AC0727" w:rsidP="00AC0727">
            <w:pPr>
              <w:jc w:val="center"/>
            </w:pPr>
            <w:r w:rsidRPr="00D73845">
              <w:t>36%</w:t>
            </w:r>
          </w:p>
        </w:tc>
        <w:tc>
          <w:tcPr>
            <w:tcW w:w="1727" w:type="dxa"/>
            <w:noWrap/>
            <w:hideMark/>
          </w:tcPr>
          <w:p w:rsidR="00AC0727" w:rsidRPr="00D73845" w:rsidRDefault="00AC0727" w:rsidP="00AC0727">
            <w:pPr>
              <w:jc w:val="center"/>
            </w:pPr>
            <w:r w:rsidRPr="00D73845">
              <w:t>32%</w:t>
            </w:r>
          </w:p>
        </w:tc>
        <w:tc>
          <w:tcPr>
            <w:tcW w:w="1499" w:type="dxa"/>
            <w:noWrap/>
            <w:hideMark/>
          </w:tcPr>
          <w:p w:rsidR="00AC0727" w:rsidRPr="00D73845" w:rsidRDefault="00AC0727" w:rsidP="00AC0727">
            <w:pPr>
              <w:jc w:val="center"/>
            </w:pPr>
            <w:r w:rsidRPr="00D73845">
              <w:t>29%</w:t>
            </w:r>
          </w:p>
        </w:tc>
        <w:tc>
          <w:tcPr>
            <w:tcW w:w="1639" w:type="dxa"/>
            <w:noWrap/>
            <w:hideMark/>
          </w:tcPr>
          <w:p w:rsidR="00AC0727" w:rsidRPr="00D73845" w:rsidRDefault="00AC0727" w:rsidP="00AC0727">
            <w:pPr>
              <w:jc w:val="center"/>
            </w:pPr>
            <w:r w:rsidRPr="00D73845">
              <w:t>27%</w:t>
            </w:r>
          </w:p>
        </w:tc>
        <w:tc>
          <w:tcPr>
            <w:tcW w:w="1171" w:type="dxa"/>
            <w:noWrap/>
            <w:hideMark/>
          </w:tcPr>
          <w:p w:rsidR="00AC0727" w:rsidRPr="00D73845" w:rsidRDefault="00AC0727" w:rsidP="00AC0727">
            <w:pPr>
              <w:jc w:val="center"/>
            </w:pPr>
            <w:r w:rsidRPr="00D73845">
              <w:t>29%</w:t>
            </w:r>
          </w:p>
        </w:tc>
      </w:tr>
      <w:tr w:rsidR="00AC0727" w:rsidRPr="00D73845" w:rsidTr="00AC0727">
        <w:trPr>
          <w:trHeight w:val="325"/>
        </w:trPr>
        <w:tc>
          <w:tcPr>
            <w:tcW w:w="4501" w:type="dxa"/>
            <w:noWrap/>
            <w:hideMark/>
          </w:tcPr>
          <w:p w:rsidR="00AC0727" w:rsidRPr="00D73845" w:rsidRDefault="00AC0727" w:rsidP="001D24CF">
            <w:r w:rsidRPr="00D73845">
              <w:t>Poorly lit or dark public areas</w:t>
            </w:r>
          </w:p>
        </w:tc>
        <w:tc>
          <w:tcPr>
            <w:tcW w:w="1550" w:type="dxa"/>
            <w:noWrap/>
            <w:hideMark/>
          </w:tcPr>
          <w:p w:rsidR="00AC0727" w:rsidRPr="00D73845" w:rsidRDefault="00AC0727" w:rsidP="00AC0727">
            <w:pPr>
              <w:jc w:val="center"/>
            </w:pPr>
            <w:r w:rsidRPr="00D73845">
              <w:t>61%</w:t>
            </w:r>
          </w:p>
        </w:tc>
        <w:tc>
          <w:tcPr>
            <w:tcW w:w="1727" w:type="dxa"/>
            <w:noWrap/>
            <w:hideMark/>
          </w:tcPr>
          <w:p w:rsidR="00AC0727" w:rsidRPr="00D73845" w:rsidRDefault="00AC0727" w:rsidP="00AC0727">
            <w:pPr>
              <w:jc w:val="center"/>
            </w:pPr>
            <w:r w:rsidRPr="00D73845">
              <w:t>63%</w:t>
            </w:r>
          </w:p>
        </w:tc>
        <w:tc>
          <w:tcPr>
            <w:tcW w:w="1499" w:type="dxa"/>
            <w:noWrap/>
            <w:hideMark/>
          </w:tcPr>
          <w:p w:rsidR="00AC0727" w:rsidRPr="00D73845" w:rsidRDefault="00AC0727" w:rsidP="00AC0727">
            <w:pPr>
              <w:jc w:val="center"/>
            </w:pPr>
            <w:r w:rsidRPr="00D73845">
              <w:t>59%</w:t>
            </w:r>
          </w:p>
        </w:tc>
        <w:tc>
          <w:tcPr>
            <w:tcW w:w="1639" w:type="dxa"/>
            <w:noWrap/>
            <w:hideMark/>
          </w:tcPr>
          <w:p w:rsidR="00AC0727" w:rsidRPr="00D73845" w:rsidRDefault="00AC0727" w:rsidP="00AC0727">
            <w:pPr>
              <w:jc w:val="center"/>
            </w:pPr>
            <w:r w:rsidRPr="00D73845">
              <w:t>55%</w:t>
            </w:r>
          </w:p>
        </w:tc>
        <w:tc>
          <w:tcPr>
            <w:tcW w:w="1171" w:type="dxa"/>
            <w:noWrap/>
            <w:hideMark/>
          </w:tcPr>
          <w:p w:rsidR="00AC0727" w:rsidRPr="00D73845" w:rsidRDefault="00AC0727" w:rsidP="00AC0727">
            <w:pPr>
              <w:jc w:val="center"/>
            </w:pPr>
            <w:r w:rsidRPr="00D73845">
              <w:t>61%</w:t>
            </w:r>
          </w:p>
        </w:tc>
      </w:tr>
      <w:tr w:rsidR="00AC0727" w:rsidRPr="00D73845" w:rsidTr="00AC0727">
        <w:trPr>
          <w:trHeight w:val="325"/>
        </w:trPr>
        <w:tc>
          <w:tcPr>
            <w:tcW w:w="4501" w:type="dxa"/>
            <w:noWrap/>
            <w:hideMark/>
          </w:tcPr>
          <w:p w:rsidR="00AC0727" w:rsidRPr="00D73845" w:rsidRDefault="00AC0727" w:rsidP="001D24CF">
            <w:r w:rsidRPr="00D73845">
              <w:t>Dangerous driving</w:t>
            </w:r>
          </w:p>
        </w:tc>
        <w:tc>
          <w:tcPr>
            <w:tcW w:w="1550" w:type="dxa"/>
            <w:noWrap/>
            <w:hideMark/>
          </w:tcPr>
          <w:p w:rsidR="00AC0727" w:rsidRPr="00D73845" w:rsidRDefault="00AC0727" w:rsidP="00AC0727">
            <w:pPr>
              <w:jc w:val="center"/>
            </w:pPr>
            <w:r w:rsidRPr="00D73845">
              <w:t>29%</w:t>
            </w:r>
          </w:p>
        </w:tc>
        <w:tc>
          <w:tcPr>
            <w:tcW w:w="1727" w:type="dxa"/>
            <w:noWrap/>
            <w:hideMark/>
          </w:tcPr>
          <w:p w:rsidR="00AC0727" w:rsidRPr="00D73845" w:rsidRDefault="00AC0727" w:rsidP="00AC0727">
            <w:pPr>
              <w:jc w:val="center"/>
            </w:pPr>
            <w:r w:rsidRPr="00D73845">
              <w:t>30%</w:t>
            </w:r>
          </w:p>
        </w:tc>
        <w:tc>
          <w:tcPr>
            <w:tcW w:w="1499" w:type="dxa"/>
            <w:noWrap/>
            <w:hideMark/>
          </w:tcPr>
          <w:p w:rsidR="00AC0727" w:rsidRPr="00D73845" w:rsidRDefault="00AC0727" w:rsidP="00AC0727">
            <w:pPr>
              <w:jc w:val="center"/>
            </w:pPr>
            <w:r w:rsidRPr="00D73845">
              <w:t>33%</w:t>
            </w:r>
          </w:p>
        </w:tc>
        <w:tc>
          <w:tcPr>
            <w:tcW w:w="1639" w:type="dxa"/>
            <w:noWrap/>
            <w:hideMark/>
          </w:tcPr>
          <w:p w:rsidR="00AC0727" w:rsidRPr="00D73845" w:rsidRDefault="00AC0727" w:rsidP="00AC0727">
            <w:pPr>
              <w:jc w:val="center"/>
            </w:pPr>
            <w:r w:rsidRPr="00D73845">
              <w:t>33%</w:t>
            </w:r>
          </w:p>
        </w:tc>
        <w:tc>
          <w:tcPr>
            <w:tcW w:w="1171" w:type="dxa"/>
            <w:noWrap/>
            <w:hideMark/>
          </w:tcPr>
          <w:p w:rsidR="00AC0727" w:rsidRPr="00D73845" w:rsidRDefault="00AC0727" w:rsidP="00AC0727">
            <w:pPr>
              <w:jc w:val="center"/>
            </w:pPr>
            <w:r w:rsidRPr="00D73845">
              <w:t>40%</w:t>
            </w:r>
          </w:p>
        </w:tc>
      </w:tr>
      <w:tr w:rsidR="00AC0727" w:rsidRPr="00D73845" w:rsidTr="00AC0727">
        <w:trPr>
          <w:trHeight w:val="325"/>
        </w:trPr>
        <w:tc>
          <w:tcPr>
            <w:tcW w:w="12087" w:type="dxa"/>
            <w:gridSpan w:val="6"/>
            <w:noWrap/>
            <w:hideMark/>
          </w:tcPr>
          <w:p w:rsidR="00AC0727" w:rsidRPr="007F6214" w:rsidRDefault="00AC0727" w:rsidP="001D24CF">
            <w:pPr>
              <w:rPr>
                <w:i/>
              </w:rPr>
            </w:pPr>
            <w:r w:rsidRPr="007F6214">
              <w:rPr>
                <w:i/>
              </w:rPr>
              <w:t>Source: Wellington City Council Residents' Monitoring Survey 2018</w:t>
            </w:r>
          </w:p>
        </w:tc>
      </w:tr>
    </w:tbl>
    <w:p w:rsidR="00AC0727" w:rsidRDefault="00AC0727" w:rsidP="002C7BF8">
      <w:pPr>
        <w:pStyle w:val="ListParagraph"/>
        <w:numPr>
          <w:ilvl w:val="0"/>
          <w:numId w:val="69"/>
        </w:numPr>
        <w:spacing w:before="240"/>
        <w:rPr>
          <w:b/>
        </w:rPr>
      </w:pPr>
      <w:r w:rsidRPr="00AC0727">
        <w:rPr>
          <w:b/>
        </w:rPr>
        <w:t>Peak travel times between CBD and suburbs (Kaori, Johnsonville, Island Bay and Miramar)</w:t>
      </w:r>
    </w:p>
    <w:p w:rsidR="00C5399F" w:rsidRDefault="00C5399F" w:rsidP="002C7BF8">
      <w:pPr>
        <w:pStyle w:val="ListParagraph"/>
        <w:numPr>
          <w:ilvl w:val="0"/>
          <w:numId w:val="69"/>
        </w:numPr>
        <w:spacing w:before="240"/>
        <w:rPr>
          <w:b/>
        </w:rPr>
      </w:pPr>
      <w:r>
        <w:rPr>
          <w:b/>
        </w:rPr>
        <w:t>Out of the 480 timed runs only 9 exceeded the 25 minute desired travel limit. On average 98% of trips were completed within target.</w:t>
      </w:r>
    </w:p>
    <w:tbl>
      <w:tblPr>
        <w:tblStyle w:val="TableGrid"/>
        <w:tblW w:w="0" w:type="auto"/>
        <w:tblBorders>
          <w:top w:val="single" w:sz="4" w:space="0" w:color="FF0000"/>
          <w:left w:val="none" w:sz="0" w:space="0" w:color="auto"/>
          <w:bottom w:val="single" w:sz="4" w:space="0" w:color="FF0000"/>
          <w:right w:val="none" w:sz="0" w:space="0" w:color="auto"/>
          <w:insideH w:val="single" w:sz="4" w:space="0" w:color="FF0000"/>
          <w:insideV w:val="single" w:sz="4" w:space="0" w:color="FF0000"/>
        </w:tblBorders>
        <w:tblLook w:val="04A0" w:firstRow="1" w:lastRow="0" w:firstColumn="1" w:lastColumn="0" w:noHBand="0" w:noVBand="1"/>
      </w:tblPr>
      <w:tblGrid>
        <w:gridCol w:w="4596"/>
        <w:gridCol w:w="1583"/>
        <w:gridCol w:w="1763"/>
        <w:gridCol w:w="1531"/>
      </w:tblGrid>
      <w:tr w:rsidR="00AC0727" w:rsidRPr="00197B56" w:rsidTr="00AC0727">
        <w:trPr>
          <w:trHeight w:val="636"/>
        </w:trPr>
        <w:tc>
          <w:tcPr>
            <w:tcW w:w="4596" w:type="dxa"/>
            <w:tcBorders>
              <w:top w:val="nil"/>
              <w:right w:val="single" w:sz="4" w:space="0" w:color="FFFFFF" w:themeColor="background1"/>
            </w:tcBorders>
            <w:noWrap/>
            <w:hideMark/>
          </w:tcPr>
          <w:p w:rsidR="00AC0727" w:rsidRPr="00197B56" w:rsidRDefault="00AC0727" w:rsidP="001D24CF">
            <w:pPr>
              <w:rPr>
                <w:b/>
              </w:rPr>
            </w:pPr>
          </w:p>
        </w:tc>
        <w:tc>
          <w:tcPr>
            <w:tcW w:w="1583" w:type="dxa"/>
            <w:tcBorders>
              <w:top w:val="nil"/>
              <w:left w:val="single" w:sz="4" w:space="0" w:color="FFFFFF" w:themeColor="background1"/>
              <w:bottom w:val="single" w:sz="4" w:space="0" w:color="FFFFFF" w:themeColor="background1"/>
              <w:right w:val="single" w:sz="4" w:space="0" w:color="FFFFFF" w:themeColor="background1"/>
            </w:tcBorders>
            <w:shd w:val="clear" w:color="auto" w:fill="FF0000"/>
            <w:vAlign w:val="bottom"/>
            <w:hideMark/>
          </w:tcPr>
          <w:p w:rsidR="00AC0727" w:rsidRPr="00AC0727" w:rsidRDefault="00AC0727" w:rsidP="00AC0727">
            <w:pPr>
              <w:jc w:val="center"/>
              <w:rPr>
                <w:b/>
                <w:bCs/>
                <w:color w:val="FFFFFF" w:themeColor="background1"/>
                <w:szCs w:val="20"/>
              </w:rPr>
            </w:pPr>
            <w:r w:rsidRPr="00AC0727">
              <w:rPr>
                <w:b/>
                <w:bCs/>
                <w:color w:val="FFFFFF" w:themeColor="background1"/>
                <w:szCs w:val="20"/>
              </w:rPr>
              <w:t>Number of timed runs</w:t>
            </w:r>
          </w:p>
        </w:tc>
        <w:tc>
          <w:tcPr>
            <w:tcW w:w="1763" w:type="dxa"/>
            <w:tcBorders>
              <w:top w:val="nil"/>
              <w:left w:val="single" w:sz="4" w:space="0" w:color="FFFFFF" w:themeColor="background1"/>
              <w:bottom w:val="single" w:sz="4" w:space="0" w:color="FFFFFF" w:themeColor="background1"/>
              <w:right w:val="single" w:sz="4" w:space="0" w:color="FFFFFF" w:themeColor="background1"/>
            </w:tcBorders>
            <w:shd w:val="clear" w:color="auto" w:fill="FF0000"/>
            <w:noWrap/>
            <w:vAlign w:val="bottom"/>
            <w:hideMark/>
          </w:tcPr>
          <w:p w:rsidR="00AC0727" w:rsidRPr="00AC0727" w:rsidRDefault="00AC0727" w:rsidP="00AC0727">
            <w:pPr>
              <w:jc w:val="center"/>
              <w:rPr>
                <w:b/>
                <w:bCs/>
                <w:color w:val="FFFFFF" w:themeColor="background1"/>
                <w:szCs w:val="20"/>
              </w:rPr>
            </w:pPr>
            <w:r w:rsidRPr="00AC0727">
              <w:rPr>
                <w:b/>
                <w:bCs/>
                <w:color w:val="FFFFFF" w:themeColor="background1"/>
                <w:szCs w:val="20"/>
              </w:rPr>
              <w:t>&gt;25min</w:t>
            </w:r>
          </w:p>
        </w:tc>
        <w:tc>
          <w:tcPr>
            <w:tcW w:w="1531" w:type="dxa"/>
            <w:tcBorders>
              <w:top w:val="nil"/>
              <w:left w:val="single" w:sz="4" w:space="0" w:color="FFFFFF" w:themeColor="background1"/>
              <w:bottom w:val="single" w:sz="4" w:space="0" w:color="FFFFFF" w:themeColor="background1"/>
              <w:right w:val="single" w:sz="4" w:space="0" w:color="FFFFFF" w:themeColor="background1"/>
            </w:tcBorders>
            <w:shd w:val="clear" w:color="auto" w:fill="FF0000"/>
            <w:noWrap/>
            <w:vAlign w:val="bottom"/>
            <w:hideMark/>
          </w:tcPr>
          <w:p w:rsidR="00AC0727" w:rsidRPr="00AC0727" w:rsidRDefault="00AC0727" w:rsidP="00AC0727">
            <w:pPr>
              <w:jc w:val="center"/>
              <w:rPr>
                <w:b/>
                <w:bCs/>
                <w:color w:val="FFFFFF" w:themeColor="background1"/>
                <w:szCs w:val="20"/>
              </w:rPr>
            </w:pPr>
            <w:r w:rsidRPr="00AC0727">
              <w:rPr>
                <w:b/>
                <w:bCs/>
                <w:color w:val="FFFFFF" w:themeColor="background1"/>
                <w:szCs w:val="20"/>
              </w:rPr>
              <w:t>Results</w:t>
            </w:r>
          </w:p>
        </w:tc>
      </w:tr>
      <w:tr w:rsidR="00AC0727" w:rsidRPr="00197B56" w:rsidTr="00AC0727">
        <w:trPr>
          <w:trHeight w:val="318"/>
        </w:trPr>
        <w:tc>
          <w:tcPr>
            <w:tcW w:w="4596" w:type="dxa"/>
            <w:noWrap/>
            <w:hideMark/>
          </w:tcPr>
          <w:p w:rsidR="00AC0727" w:rsidRPr="00197B56" w:rsidRDefault="00AC0727" w:rsidP="001D24CF">
            <w:pPr>
              <w:rPr>
                <w:b/>
              </w:rPr>
            </w:pPr>
            <w:r w:rsidRPr="00197B56">
              <w:rPr>
                <w:b/>
              </w:rPr>
              <w:t>Island Bay</w:t>
            </w:r>
          </w:p>
        </w:tc>
        <w:tc>
          <w:tcPr>
            <w:tcW w:w="1583" w:type="dxa"/>
            <w:noWrap/>
            <w:vAlign w:val="bottom"/>
            <w:hideMark/>
          </w:tcPr>
          <w:p w:rsidR="00AC0727" w:rsidRPr="00197B56" w:rsidRDefault="00AC0727" w:rsidP="00AC0727">
            <w:pPr>
              <w:jc w:val="center"/>
              <w:rPr>
                <w:b/>
              </w:rPr>
            </w:pPr>
            <w:r w:rsidRPr="00197B56">
              <w:rPr>
                <w:b/>
              </w:rPr>
              <w:t>96</w:t>
            </w:r>
          </w:p>
        </w:tc>
        <w:tc>
          <w:tcPr>
            <w:tcW w:w="1763" w:type="dxa"/>
            <w:noWrap/>
            <w:vAlign w:val="bottom"/>
            <w:hideMark/>
          </w:tcPr>
          <w:p w:rsidR="00AC0727" w:rsidRPr="00197B56" w:rsidRDefault="00AC0727" w:rsidP="00AC0727">
            <w:pPr>
              <w:jc w:val="center"/>
              <w:rPr>
                <w:b/>
              </w:rPr>
            </w:pPr>
            <w:r w:rsidRPr="00197B56">
              <w:rPr>
                <w:b/>
              </w:rPr>
              <w:t>0</w:t>
            </w:r>
          </w:p>
        </w:tc>
        <w:tc>
          <w:tcPr>
            <w:tcW w:w="1531" w:type="dxa"/>
            <w:noWrap/>
            <w:vAlign w:val="bottom"/>
            <w:hideMark/>
          </w:tcPr>
          <w:p w:rsidR="00AC0727" w:rsidRPr="00197B56" w:rsidRDefault="00AC0727" w:rsidP="00AC0727">
            <w:pPr>
              <w:jc w:val="center"/>
              <w:rPr>
                <w:b/>
              </w:rPr>
            </w:pPr>
            <w:r w:rsidRPr="00197B56">
              <w:rPr>
                <w:b/>
              </w:rPr>
              <w:t>100%</w:t>
            </w:r>
          </w:p>
        </w:tc>
      </w:tr>
      <w:tr w:rsidR="00AC0727" w:rsidRPr="00197B56" w:rsidTr="00AC0727">
        <w:trPr>
          <w:trHeight w:val="318"/>
        </w:trPr>
        <w:tc>
          <w:tcPr>
            <w:tcW w:w="4596" w:type="dxa"/>
            <w:noWrap/>
            <w:hideMark/>
          </w:tcPr>
          <w:p w:rsidR="00AC0727" w:rsidRPr="00197B56" w:rsidRDefault="00AC0727" w:rsidP="001D24CF">
            <w:pPr>
              <w:rPr>
                <w:b/>
              </w:rPr>
            </w:pPr>
            <w:r w:rsidRPr="00197B56">
              <w:rPr>
                <w:b/>
              </w:rPr>
              <w:t>Johnsonville</w:t>
            </w:r>
          </w:p>
        </w:tc>
        <w:tc>
          <w:tcPr>
            <w:tcW w:w="1583" w:type="dxa"/>
            <w:noWrap/>
            <w:vAlign w:val="bottom"/>
            <w:hideMark/>
          </w:tcPr>
          <w:p w:rsidR="00AC0727" w:rsidRPr="00197B56" w:rsidRDefault="00AC0727" w:rsidP="00AC0727">
            <w:pPr>
              <w:jc w:val="center"/>
              <w:rPr>
                <w:b/>
              </w:rPr>
            </w:pPr>
            <w:r w:rsidRPr="00197B56">
              <w:rPr>
                <w:b/>
              </w:rPr>
              <w:t>96</w:t>
            </w:r>
          </w:p>
        </w:tc>
        <w:tc>
          <w:tcPr>
            <w:tcW w:w="1763" w:type="dxa"/>
            <w:noWrap/>
            <w:vAlign w:val="bottom"/>
            <w:hideMark/>
          </w:tcPr>
          <w:p w:rsidR="00AC0727" w:rsidRPr="00197B56" w:rsidRDefault="00AC0727" w:rsidP="00AC0727">
            <w:pPr>
              <w:jc w:val="center"/>
              <w:rPr>
                <w:b/>
              </w:rPr>
            </w:pPr>
            <w:r w:rsidRPr="00197B56">
              <w:rPr>
                <w:b/>
              </w:rPr>
              <w:t>2</w:t>
            </w:r>
          </w:p>
        </w:tc>
        <w:tc>
          <w:tcPr>
            <w:tcW w:w="1531" w:type="dxa"/>
            <w:noWrap/>
            <w:vAlign w:val="bottom"/>
            <w:hideMark/>
          </w:tcPr>
          <w:p w:rsidR="00AC0727" w:rsidRPr="00197B56" w:rsidRDefault="00AC0727" w:rsidP="00AC0727">
            <w:pPr>
              <w:jc w:val="center"/>
              <w:rPr>
                <w:b/>
              </w:rPr>
            </w:pPr>
            <w:r w:rsidRPr="00197B56">
              <w:rPr>
                <w:b/>
              </w:rPr>
              <w:t>98%</w:t>
            </w:r>
          </w:p>
        </w:tc>
      </w:tr>
      <w:tr w:rsidR="00AC0727" w:rsidRPr="00197B56" w:rsidTr="00AC0727">
        <w:trPr>
          <w:trHeight w:val="318"/>
        </w:trPr>
        <w:tc>
          <w:tcPr>
            <w:tcW w:w="4596" w:type="dxa"/>
            <w:noWrap/>
            <w:hideMark/>
          </w:tcPr>
          <w:p w:rsidR="00AC0727" w:rsidRPr="00197B56" w:rsidRDefault="00AC0727" w:rsidP="001D24CF">
            <w:pPr>
              <w:rPr>
                <w:b/>
              </w:rPr>
            </w:pPr>
            <w:r w:rsidRPr="00197B56">
              <w:rPr>
                <w:b/>
              </w:rPr>
              <w:t>Karori</w:t>
            </w:r>
          </w:p>
        </w:tc>
        <w:tc>
          <w:tcPr>
            <w:tcW w:w="1583" w:type="dxa"/>
            <w:noWrap/>
            <w:vAlign w:val="bottom"/>
            <w:hideMark/>
          </w:tcPr>
          <w:p w:rsidR="00AC0727" w:rsidRPr="00197B56" w:rsidRDefault="00AC0727" w:rsidP="00AC0727">
            <w:pPr>
              <w:jc w:val="center"/>
              <w:rPr>
                <w:b/>
              </w:rPr>
            </w:pPr>
            <w:r w:rsidRPr="00197B56">
              <w:rPr>
                <w:b/>
              </w:rPr>
              <w:t>96</w:t>
            </w:r>
          </w:p>
        </w:tc>
        <w:tc>
          <w:tcPr>
            <w:tcW w:w="1763" w:type="dxa"/>
            <w:noWrap/>
            <w:vAlign w:val="bottom"/>
            <w:hideMark/>
          </w:tcPr>
          <w:p w:rsidR="00AC0727" w:rsidRPr="00197B56" w:rsidRDefault="00AC0727" w:rsidP="00AC0727">
            <w:pPr>
              <w:jc w:val="center"/>
              <w:rPr>
                <w:b/>
              </w:rPr>
            </w:pPr>
            <w:r w:rsidRPr="00197B56">
              <w:rPr>
                <w:b/>
              </w:rPr>
              <w:t>0</w:t>
            </w:r>
          </w:p>
        </w:tc>
        <w:tc>
          <w:tcPr>
            <w:tcW w:w="1531" w:type="dxa"/>
            <w:noWrap/>
            <w:vAlign w:val="bottom"/>
            <w:hideMark/>
          </w:tcPr>
          <w:p w:rsidR="00AC0727" w:rsidRPr="00197B56" w:rsidRDefault="00AC0727" w:rsidP="00AC0727">
            <w:pPr>
              <w:jc w:val="center"/>
              <w:rPr>
                <w:b/>
              </w:rPr>
            </w:pPr>
            <w:r w:rsidRPr="00197B56">
              <w:rPr>
                <w:b/>
              </w:rPr>
              <w:t>100%</w:t>
            </w:r>
          </w:p>
        </w:tc>
      </w:tr>
      <w:tr w:rsidR="00AC0727" w:rsidRPr="00197B56" w:rsidTr="00AC0727">
        <w:trPr>
          <w:trHeight w:val="318"/>
        </w:trPr>
        <w:tc>
          <w:tcPr>
            <w:tcW w:w="4596" w:type="dxa"/>
            <w:noWrap/>
            <w:hideMark/>
          </w:tcPr>
          <w:p w:rsidR="00AC0727" w:rsidRPr="00197B56" w:rsidRDefault="00AC0727" w:rsidP="001D24CF">
            <w:pPr>
              <w:rPr>
                <w:b/>
              </w:rPr>
            </w:pPr>
            <w:r w:rsidRPr="00197B56">
              <w:rPr>
                <w:b/>
              </w:rPr>
              <w:t>Miramar</w:t>
            </w:r>
          </w:p>
        </w:tc>
        <w:tc>
          <w:tcPr>
            <w:tcW w:w="1583" w:type="dxa"/>
            <w:noWrap/>
            <w:vAlign w:val="bottom"/>
            <w:hideMark/>
          </w:tcPr>
          <w:p w:rsidR="00AC0727" w:rsidRPr="00197B56" w:rsidRDefault="00AC0727" w:rsidP="00AC0727">
            <w:pPr>
              <w:jc w:val="center"/>
              <w:rPr>
                <w:b/>
              </w:rPr>
            </w:pPr>
            <w:r w:rsidRPr="00197B56">
              <w:rPr>
                <w:b/>
              </w:rPr>
              <w:t>192</w:t>
            </w:r>
          </w:p>
        </w:tc>
        <w:tc>
          <w:tcPr>
            <w:tcW w:w="1763" w:type="dxa"/>
            <w:noWrap/>
            <w:vAlign w:val="bottom"/>
            <w:hideMark/>
          </w:tcPr>
          <w:p w:rsidR="00AC0727" w:rsidRPr="00197B56" w:rsidRDefault="00AC0727" w:rsidP="00AC0727">
            <w:pPr>
              <w:jc w:val="center"/>
              <w:rPr>
                <w:b/>
              </w:rPr>
            </w:pPr>
            <w:r w:rsidRPr="00197B56">
              <w:rPr>
                <w:b/>
              </w:rPr>
              <w:t>7</w:t>
            </w:r>
          </w:p>
        </w:tc>
        <w:tc>
          <w:tcPr>
            <w:tcW w:w="1531" w:type="dxa"/>
            <w:noWrap/>
            <w:vAlign w:val="bottom"/>
            <w:hideMark/>
          </w:tcPr>
          <w:p w:rsidR="00AC0727" w:rsidRPr="00197B56" w:rsidRDefault="00AC0727" w:rsidP="00AC0727">
            <w:pPr>
              <w:jc w:val="center"/>
              <w:rPr>
                <w:b/>
              </w:rPr>
            </w:pPr>
            <w:r w:rsidRPr="00197B56">
              <w:rPr>
                <w:b/>
              </w:rPr>
              <w:t>96%</w:t>
            </w:r>
          </w:p>
        </w:tc>
      </w:tr>
      <w:tr w:rsidR="00AC0727" w:rsidRPr="00197B56" w:rsidTr="00AC0727">
        <w:trPr>
          <w:trHeight w:val="318"/>
        </w:trPr>
        <w:tc>
          <w:tcPr>
            <w:tcW w:w="4596" w:type="dxa"/>
            <w:noWrap/>
            <w:hideMark/>
          </w:tcPr>
          <w:p w:rsidR="00AC0727" w:rsidRPr="00197B56" w:rsidRDefault="00AC0727" w:rsidP="001D24CF">
            <w:pPr>
              <w:rPr>
                <w:b/>
              </w:rPr>
            </w:pPr>
          </w:p>
        </w:tc>
        <w:tc>
          <w:tcPr>
            <w:tcW w:w="1583" w:type="dxa"/>
            <w:noWrap/>
            <w:vAlign w:val="bottom"/>
            <w:hideMark/>
          </w:tcPr>
          <w:p w:rsidR="00AC0727" w:rsidRPr="00197B56" w:rsidRDefault="00AC0727" w:rsidP="00AC0727">
            <w:pPr>
              <w:jc w:val="center"/>
              <w:rPr>
                <w:b/>
              </w:rPr>
            </w:pPr>
            <w:r w:rsidRPr="00197B56">
              <w:rPr>
                <w:b/>
              </w:rPr>
              <w:t>480</w:t>
            </w:r>
          </w:p>
        </w:tc>
        <w:tc>
          <w:tcPr>
            <w:tcW w:w="1763" w:type="dxa"/>
            <w:noWrap/>
            <w:vAlign w:val="bottom"/>
            <w:hideMark/>
          </w:tcPr>
          <w:p w:rsidR="00AC0727" w:rsidRPr="00197B56" w:rsidRDefault="00AC0727" w:rsidP="00AC0727">
            <w:pPr>
              <w:jc w:val="center"/>
              <w:rPr>
                <w:b/>
              </w:rPr>
            </w:pPr>
            <w:r w:rsidRPr="00197B56">
              <w:rPr>
                <w:b/>
              </w:rPr>
              <w:t>9</w:t>
            </w:r>
          </w:p>
        </w:tc>
        <w:tc>
          <w:tcPr>
            <w:tcW w:w="1531" w:type="dxa"/>
            <w:noWrap/>
            <w:vAlign w:val="bottom"/>
            <w:hideMark/>
          </w:tcPr>
          <w:p w:rsidR="00AC0727" w:rsidRPr="00197B56" w:rsidRDefault="00AC0727" w:rsidP="00AC0727">
            <w:pPr>
              <w:jc w:val="center"/>
              <w:rPr>
                <w:b/>
              </w:rPr>
            </w:pPr>
            <w:r w:rsidRPr="00197B56">
              <w:rPr>
                <w:b/>
              </w:rPr>
              <w:t>98%</w:t>
            </w:r>
          </w:p>
        </w:tc>
      </w:tr>
    </w:tbl>
    <w:p w:rsidR="00E5496B" w:rsidRPr="00E5496B" w:rsidRDefault="00E5496B" w:rsidP="00E5496B"/>
    <w:p w:rsidR="00E5496B" w:rsidRPr="00E5496B" w:rsidRDefault="00E5496B" w:rsidP="00E5496B"/>
    <w:p w:rsidR="00E5496B" w:rsidRPr="00E5496B" w:rsidRDefault="00E5496B" w:rsidP="00E5496B"/>
    <w:p w:rsidR="00E5496B" w:rsidRPr="00E5496B" w:rsidRDefault="00E5496B" w:rsidP="00E5496B"/>
    <w:p w:rsidR="00E5496B" w:rsidRPr="00E5496B" w:rsidRDefault="00E5496B" w:rsidP="00E5496B"/>
    <w:p w:rsidR="00E5496B" w:rsidRPr="00E5496B" w:rsidRDefault="00E5496B" w:rsidP="00E5496B"/>
    <w:p w:rsidR="00E5496B" w:rsidRDefault="00E5496B" w:rsidP="00E5496B"/>
    <w:p w:rsidR="00E5496B" w:rsidRDefault="00E5496B" w:rsidP="00E5496B"/>
    <w:p w:rsidR="003539DB" w:rsidRPr="00E5496B" w:rsidRDefault="003539DB" w:rsidP="00E5496B">
      <w:pPr>
        <w:sectPr w:rsidR="003539DB" w:rsidRPr="00E5496B" w:rsidSect="0075165F">
          <w:pgSz w:w="16838" w:h="11906" w:orient="landscape"/>
          <w:pgMar w:top="851" w:right="1276" w:bottom="851" w:left="1418" w:header="426" w:footer="271" w:gutter="0"/>
          <w:cols w:space="708"/>
          <w:docGrid w:linePitch="360"/>
        </w:sectPr>
      </w:pPr>
    </w:p>
    <w:p w:rsidR="007F0DCF" w:rsidRPr="00610DBC" w:rsidRDefault="007F0DCF" w:rsidP="00AA2122">
      <w:pPr>
        <w:pStyle w:val="Heading3"/>
        <w:rPr>
          <w:rStyle w:val="00Text"/>
          <w:b/>
          <w:bCs/>
          <w:color w:val="FF0000"/>
        </w:rPr>
      </w:pPr>
      <w:bookmarkStart w:id="304" w:name="_Toc19085864"/>
      <w:r w:rsidRPr="00610DBC">
        <w:rPr>
          <w:rStyle w:val="00Text"/>
          <w:b/>
          <w:bCs/>
          <w:color w:val="FF0000"/>
        </w:rPr>
        <w:lastRenderedPageBreak/>
        <w:t>Creating Space for All</w:t>
      </w:r>
      <w:bookmarkEnd w:id="304"/>
    </w:p>
    <w:p w:rsidR="007F0DCF" w:rsidRPr="00D5126A" w:rsidRDefault="007F0DCF" w:rsidP="007F0DCF">
      <w:pPr>
        <w:rPr>
          <w:rFonts w:ascii="Arial" w:eastAsia="Times New Roman" w:hAnsi="Arial" w:cs="Arial"/>
          <w:lang w:eastAsia="en-NZ"/>
        </w:rPr>
      </w:pPr>
      <w:r w:rsidRPr="00D5126A">
        <w:rPr>
          <w:rFonts w:ascii="Arial" w:eastAsia="Times New Roman" w:hAnsi="Arial" w:cs="Arial"/>
          <w:lang w:eastAsia="en-NZ"/>
        </w:rPr>
        <w:t xml:space="preserve">Big changes were made to the most congested part of Oriental Bay this year to create more safe space for people to enjoy. </w:t>
      </w:r>
      <w:r w:rsidRPr="00D5126A">
        <w:rPr>
          <w:rFonts w:ascii="Arial" w:eastAsia="Times New Roman" w:hAnsi="Arial" w:cs="Arial"/>
          <w:lang w:eastAsia="en-NZ"/>
        </w:rPr>
        <w:br/>
      </w:r>
      <w:r w:rsidRPr="00D5126A">
        <w:rPr>
          <w:rFonts w:ascii="Arial" w:eastAsia="Times New Roman" w:hAnsi="Arial" w:cs="Arial"/>
          <w:lang w:eastAsia="en-NZ"/>
        </w:rPr>
        <w:br/>
        <w:t>The project involved widening and relieving pressure on the 350m section of promenade between Herd Street and Freyberg Pool which, at busy times, was too narrow to safely accommodate the large numbers of people walking, biking, running and sightseeing. </w:t>
      </w:r>
      <w:r w:rsidRPr="00D5126A">
        <w:rPr>
          <w:rFonts w:ascii="Arial" w:eastAsia="Times New Roman" w:hAnsi="Arial" w:cs="Arial"/>
          <w:lang w:eastAsia="en-NZ"/>
        </w:rPr>
        <w:br/>
      </w:r>
      <w:r w:rsidRPr="00D5126A">
        <w:rPr>
          <w:rFonts w:ascii="Arial" w:eastAsia="Times New Roman" w:hAnsi="Arial" w:cs="Arial"/>
          <w:lang w:eastAsia="en-NZ"/>
        </w:rPr>
        <w:br/>
        <w:t xml:space="preserve">The new layout – developed and refined through a long engagement process – involved using the road space in a different way. </w:t>
      </w:r>
    </w:p>
    <w:p w:rsidR="007F0DCF" w:rsidRPr="00D5126A" w:rsidRDefault="007F0DCF" w:rsidP="007F0DCF">
      <w:pPr>
        <w:rPr>
          <w:rFonts w:ascii="Arial" w:eastAsia="Times New Roman" w:hAnsi="Arial" w:cs="Arial"/>
          <w:lang w:eastAsia="en-NZ"/>
        </w:rPr>
      </w:pPr>
      <w:r w:rsidRPr="00D5126A">
        <w:rPr>
          <w:rFonts w:ascii="Arial" w:eastAsia="Times New Roman" w:hAnsi="Arial" w:cs="Arial"/>
          <w:lang w:eastAsia="en-NZ"/>
        </w:rPr>
        <w:t xml:space="preserve">It includes a new two-way bike path, which is proving very popular with people who ride or scoot to and from the city. An electronic counter recorded 158,180 bike trips in the first 6 months.  </w:t>
      </w:r>
    </w:p>
    <w:p w:rsidR="007F0DCF" w:rsidRPr="00D5126A" w:rsidRDefault="007F0DCF" w:rsidP="007F0DCF">
      <w:pPr>
        <w:rPr>
          <w:rFonts w:ascii="Arial" w:eastAsia="Times New Roman" w:hAnsi="Arial" w:cs="Arial"/>
          <w:lang w:eastAsia="en-NZ"/>
        </w:rPr>
      </w:pPr>
      <w:r w:rsidRPr="00D5126A">
        <w:rPr>
          <w:rFonts w:ascii="Arial" w:eastAsia="Times New Roman" w:hAnsi="Arial" w:cs="Arial"/>
          <w:lang w:eastAsia="en-NZ"/>
        </w:rPr>
        <w:t xml:space="preserve">City Design and Place Planning manager Anna Harley says the improvements are designed to balance the diverse needs of the thousands of people with an interest in this part of the city. </w:t>
      </w:r>
    </w:p>
    <w:p w:rsidR="007F0DCF" w:rsidRPr="00D5126A" w:rsidRDefault="007F0DCF" w:rsidP="007F0DCF">
      <w:pPr>
        <w:rPr>
          <w:rFonts w:ascii="Arial" w:eastAsia="Times New Roman" w:hAnsi="Arial" w:cs="Arial"/>
          <w:lang w:eastAsia="en-NZ"/>
        </w:rPr>
      </w:pPr>
      <w:r w:rsidRPr="00D5126A">
        <w:rPr>
          <w:rFonts w:ascii="Arial" w:eastAsia="Times New Roman" w:hAnsi="Arial" w:cs="Arial"/>
          <w:lang w:eastAsia="en-NZ"/>
        </w:rPr>
        <w:t xml:space="preserve">As with other projects in the eastern suburbs, the Council worked with mana whenua and also established a working group to explore options for Oriental Bay. The group included local resident and business groups including the Oriental Bay Residents Association, Cycle Wellington, walking advocates Living Streets Aotearoa, the NZ Transport Agency and Greater Wellington Regional Council. </w:t>
      </w:r>
    </w:p>
    <w:p w:rsidR="007F0DCF" w:rsidRPr="00D5126A" w:rsidRDefault="007F0DCF" w:rsidP="007F0DCF">
      <w:pPr>
        <w:rPr>
          <w:rFonts w:ascii="Arial" w:eastAsia="Times New Roman" w:hAnsi="Arial" w:cs="Arial"/>
          <w:lang w:eastAsia="en-NZ"/>
        </w:rPr>
      </w:pPr>
      <w:r w:rsidRPr="00D5126A">
        <w:rPr>
          <w:rFonts w:ascii="Arial" w:eastAsia="Times New Roman" w:hAnsi="Arial" w:cs="Arial"/>
          <w:lang w:eastAsia="en-NZ"/>
        </w:rPr>
        <w:t xml:space="preserve">In a series of two to three-hour workshops, the group pored over plans, asked questions, looked at things from a range of different perspectives, debated the pros and cons, grappled with challenges and trade-offs and whittled down the alternatives to come up with the most practical options to go out to the wider public.  </w:t>
      </w:r>
    </w:p>
    <w:p w:rsidR="007F0DCF" w:rsidRPr="00D5126A" w:rsidRDefault="007F0DCF" w:rsidP="007F0DCF">
      <w:pPr>
        <w:rPr>
          <w:rFonts w:ascii="Arial" w:eastAsia="Times New Roman" w:hAnsi="Arial" w:cs="Arial"/>
          <w:lang w:eastAsia="en-NZ"/>
        </w:rPr>
      </w:pPr>
      <w:r w:rsidRPr="00D5126A">
        <w:rPr>
          <w:rFonts w:ascii="Arial" w:eastAsia="Times New Roman" w:hAnsi="Arial" w:cs="Arial"/>
          <w:lang w:eastAsia="en-NZ"/>
        </w:rPr>
        <w:t xml:space="preserve">Through the public engagement that followed, it was clear people preferred defined and separate spaces for people on bikes and on foot rather than a shared path. </w:t>
      </w:r>
      <w:r w:rsidRPr="00D5126A">
        <w:rPr>
          <w:rFonts w:ascii="Arial" w:eastAsia="Times New Roman" w:hAnsi="Arial" w:cs="Arial"/>
          <w:lang w:eastAsia="en-NZ"/>
        </w:rPr>
        <w:br/>
      </w:r>
      <w:r w:rsidRPr="00D5126A">
        <w:rPr>
          <w:rFonts w:ascii="Arial" w:eastAsia="Times New Roman" w:hAnsi="Arial" w:cs="Arial"/>
          <w:lang w:eastAsia="en-NZ"/>
        </w:rPr>
        <w:br/>
        <w:t xml:space="preserve">The final design was a modified version of the more popular of the two options that Wellingtonians gave their thoughts on. </w:t>
      </w:r>
    </w:p>
    <w:p w:rsidR="007F0DCF" w:rsidRPr="00D5126A" w:rsidRDefault="007F0DCF" w:rsidP="007F0DCF">
      <w:pPr>
        <w:rPr>
          <w:rFonts w:ascii="Arial" w:eastAsia="Times New Roman" w:hAnsi="Arial" w:cs="Arial"/>
          <w:lang w:eastAsia="en-NZ"/>
        </w:rPr>
      </w:pPr>
      <w:r w:rsidRPr="00D5126A">
        <w:rPr>
          <w:rFonts w:ascii="Arial" w:eastAsia="Times New Roman" w:hAnsi="Arial" w:cs="Arial"/>
          <w:lang w:eastAsia="en-NZ"/>
        </w:rPr>
        <w:t>The new bike path and extra footpath space adjacent to the parking spaces were created by reducing the width of the traffic lanes and painted median strip. This freed up more space for pedestrians on the original section of path adjacent to the seawall, which was previously a very busy shared path.</w:t>
      </w:r>
    </w:p>
    <w:p w:rsidR="007F0DCF" w:rsidRPr="00D5126A" w:rsidRDefault="007F0DCF" w:rsidP="007F0DCF">
      <w:pPr>
        <w:rPr>
          <w:rFonts w:ascii="Arial" w:eastAsia="Times New Roman" w:hAnsi="Arial" w:cs="Arial"/>
          <w:lang w:eastAsia="en-NZ"/>
        </w:rPr>
      </w:pPr>
      <w:r w:rsidRPr="00D5126A">
        <w:rPr>
          <w:rFonts w:ascii="Arial" w:eastAsia="Times New Roman" w:hAnsi="Arial" w:cs="Arial"/>
          <w:lang w:eastAsia="en-NZ"/>
        </w:rPr>
        <w:t>“In this part of the city, we were fortunate to have enough space so it was possible to retain all the angle parking and a narrow median strip for turning traffic – something that won’t always be possible in other locations,” Anna says.</w:t>
      </w:r>
    </w:p>
    <w:p w:rsidR="007F0DCF" w:rsidRPr="00D5126A" w:rsidRDefault="007F0DCF" w:rsidP="007F0DCF">
      <w:pPr>
        <w:rPr>
          <w:rFonts w:ascii="Arial" w:eastAsia="Times New Roman" w:hAnsi="Arial" w:cs="Arial"/>
          <w:lang w:eastAsia="en-NZ"/>
        </w:rPr>
      </w:pPr>
      <w:r w:rsidRPr="00D5126A">
        <w:rPr>
          <w:rFonts w:ascii="Arial" w:eastAsia="Times New Roman" w:hAnsi="Arial" w:cs="Arial"/>
          <w:lang w:eastAsia="en-NZ"/>
        </w:rPr>
        <w:t xml:space="preserve">Like the work under way around Evans Bay and on Cobham Drive, the Oriental Bay improvements form part of an improved coastal link from the east called Tahitai – a name gifted by Taranaki Whānui which means one tide, one journey. </w:t>
      </w:r>
    </w:p>
    <w:p w:rsidR="007F0DCF" w:rsidRPr="00D5126A" w:rsidRDefault="007F0DCF" w:rsidP="007F0DCF">
      <w:pPr>
        <w:rPr>
          <w:rFonts w:ascii="Arial" w:eastAsia="Times New Roman" w:hAnsi="Arial" w:cs="Arial"/>
          <w:lang w:eastAsia="en-NZ"/>
        </w:rPr>
      </w:pPr>
      <w:r w:rsidRPr="00D5126A">
        <w:rPr>
          <w:rFonts w:ascii="Arial" w:eastAsia="Times New Roman" w:hAnsi="Arial" w:cs="Arial"/>
          <w:lang w:eastAsia="en-NZ"/>
        </w:rPr>
        <w:lastRenderedPageBreak/>
        <w:t>This wider project involves developing new foot and bike paths that will make it safer and easier to walk, run, scoot and ride between Miramar and the central city. In particular, it will make it possible to make the very scenic 7km journey around the coast without having to ride on the road.</w:t>
      </w:r>
    </w:p>
    <w:p w:rsidR="007F0DCF" w:rsidRPr="00D5126A" w:rsidRDefault="007F0DCF" w:rsidP="007F0DCF">
      <w:pPr>
        <w:rPr>
          <w:rFonts w:ascii="Arial" w:eastAsia="Times New Roman" w:hAnsi="Arial" w:cs="Arial"/>
          <w:lang w:eastAsia="en-NZ"/>
        </w:rPr>
      </w:pPr>
      <w:r w:rsidRPr="00D5126A">
        <w:rPr>
          <w:rFonts w:ascii="Arial" w:eastAsia="Times New Roman" w:hAnsi="Arial" w:cs="Arial"/>
          <w:lang w:eastAsia="en-NZ"/>
        </w:rPr>
        <w:t>Anna says helping meet the needs of our growing population and reducing the emissions that cause climate change, means we need a transport system that can move more people with fewer cars.</w:t>
      </w:r>
    </w:p>
    <w:p w:rsidR="007F0DCF" w:rsidRPr="00D5126A" w:rsidRDefault="007F0DCF" w:rsidP="007F0DCF">
      <w:pPr>
        <w:rPr>
          <w:rFonts w:ascii="Arial" w:eastAsia="Times New Roman" w:hAnsi="Arial" w:cs="Arial"/>
          <w:lang w:eastAsia="en-NZ"/>
        </w:rPr>
      </w:pPr>
      <w:r w:rsidRPr="00D5126A">
        <w:rPr>
          <w:rFonts w:ascii="Arial" w:eastAsia="Times New Roman" w:hAnsi="Arial" w:cs="Arial"/>
          <w:lang w:eastAsia="en-NZ"/>
        </w:rPr>
        <w:t xml:space="preserve">“An important part of this is working in partnership with the Government and NZ Transport Agency to develop safer routes and connections so more people of all ages and abilities can choose to make more trips on foot, bike or scooter,” she says. </w:t>
      </w:r>
    </w:p>
    <w:p w:rsidR="007F0DCF" w:rsidRPr="00D5126A" w:rsidRDefault="007F0DCF" w:rsidP="007F0DCF">
      <w:pPr>
        <w:rPr>
          <w:rFonts w:ascii="Arial" w:eastAsia="Times New Roman" w:hAnsi="Arial" w:cs="Arial"/>
          <w:lang w:eastAsia="en-NZ"/>
        </w:rPr>
      </w:pPr>
      <w:r w:rsidRPr="00D5126A">
        <w:rPr>
          <w:rFonts w:ascii="Arial" w:eastAsia="Times New Roman" w:hAnsi="Arial" w:cs="Arial"/>
          <w:lang w:eastAsia="en-NZ"/>
        </w:rPr>
        <w:t>Long-term, Tahitai will form part of Te Aranui o Pōneke/The Great Harbour Way – the regional vision for a walking and biking route all the way around Te Whanganui-a-Tara/Wellington Harbour.</w:t>
      </w:r>
    </w:p>
    <w:p w:rsidR="007F0DCF" w:rsidRPr="00D5126A" w:rsidRDefault="007F0DCF" w:rsidP="007F0DCF">
      <w:pPr>
        <w:rPr>
          <w:rFonts w:ascii="Arial" w:hAnsi="Arial" w:cs="Arial"/>
        </w:rPr>
      </w:pPr>
    </w:p>
    <w:p w:rsidR="00F2506E" w:rsidRPr="00D5126A" w:rsidRDefault="00F2506E" w:rsidP="00F2506E">
      <w:pPr>
        <w:rPr>
          <w:rFonts w:eastAsia="Times New Roman"/>
          <w:lang w:eastAsia="en-NZ"/>
        </w:rPr>
      </w:pPr>
      <w:r w:rsidRPr="00D5126A">
        <w:rPr>
          <w:rFonts w:eastAsia="Times New Roman"/>
          <w:lang w:eastAsia="en-NZ"/>
        </w:rPr>
        <w:br w:type="page"/>
      </w:r>
    </w:p>
    <w:p w:rsidR="006837C4" w:rsidRPr="00610DBC" w:rsidRDefault="006837C4" w:rsidP="00456E92">
      <w:pPr>
        <w:pStyle w:val="Heading2"/>
        <w:rPr>
          <w:color w:val="7030A0"/>
        </w:rPr>
      </w:pPr>
      <w:bookmarkStart w:id="305" w:name="_Toc15998075"/>
      <w:bookmarkStart w:id="306" w:name="_Toc19085865"/>
      <w:bookmarkStart w:id="307" w:name="_Toc23758610"/>
      <w:bookmarkStart w:id="308" w:name="Wellington_Regional_Economic_Development"/>
      <w:bookmarkEnd w:id="286"/>
      <w:r w:rsidRPr="00610DBC">
        <w:rPr>
          <w:color w:val="7030A0"/>
        </w:rPr>
        <w:lastRenderedPageBreak/>
        <w:t xml:space="preserve">8 Ngā rōpū e here ana ki </w:t>
      </w:r>
      <w:proofErr w:type="gramStart"/>
      <w:r w:rsidRPr="00610DBC">
        <w:rPr>
          <w:color w:val="7030A0"/>
        </w:rPr>
        <w:t>te</w:t>
      </w:r>
      <w:proofErr w:type="gramEnd"/>
      <w:r w:rsidRPr="00610DBC">
        <w:rPr>
          <w:color w:val="7030A0"/>
        </w:rPr>
        <w:t xml:space="preserve"> Kaunihera - Council-Controlled Organisations</w:t>
      </w:r>
      <w:bookmarkEnd w:id="305"/>
      <w:bookmarkEnd w:id="306"/>
      <w:bookmarkEnd w:id="307"/>
    </w:p>
    <w:p w:rsidR="006837C4" w:rsidRPr="00D5126A" w:rsidRDefault="006837C4" w:rsidP="006837C4">
      <w:pPr>
        <w:pBdr>
          <w:top w:val="none" w:sz="8" w:space="0" w:color="auto"/>
          <w:left w:val="none" w:sz="8" w:space="0" w:color="auto"/>
          <w:bottom w:val="none" w:sz="8" w:space="0" w:color="auto"/>
          <w:right w:val="none" w:sz="8" w:space="0" w:color="auto"/>
        </w:pBdr>
        <w:spacing w:beforeLines="100" w:before="240" w:after="109" w:line="240" w:lineRule="auto"/>
        <w:rPr>
          <w:rFonts w:ascii="Arial" w:eastAsia="Times New Roman" w:hAnsi="Arial"/>
          <w:szCs w:val="20"/>
          <w:lang w:eastAsia="en"/>
        </w:rPr>
      </w:pPr>
      <w:r w:rsidRPr="00D5126A">
        <w:rPr>
          <w:rFonts w:ascii="Arial" w:eastAsia="Times New Roman" w:hAnsi="Arial"/>
          <w:szCs w:val="20"/>
          <w:lang w:eastAsia="en"/>
        </w:rPr>
        <w:t>These are organisations that undertake activities on behalf of the Council and are each governed by an independent board. Council-Controlled Organisations (CCOs) enable the Council to manage Council assets or deliver Council services, using specialist expertise.</w:t>
      </w:r>
    </w:p>
    <w:p w:rsidR="006837C4" w:rsidRPr="00D5126A" w:rsidRDefault="006837C4" w:rsidP="006837C4">
      <w:pPr>
        <w:pBdr>
          <w:top w:val="none" w:sz="8" w:space="0" w:color="auto"/>
          <w:left w:val="none" w:sz="8" w:space="0" w:color="auto"/>
          <w:bottom w:val="none" w:sz="8" w:space="0" w:color="auto"/>
          <w:right w:val="none" w:sz="8" w:space="0" w:color="auto"/>
        </w:pBdr>
        <w:spacing w:beforeLines="100" w:before="240" w:after="109" w:line="240" w:lineRule="auto"/>
        <w:rPr>
          <w:rFonts w:ascii="Arial" w:eastAsia="Times New Roman" w:hAnsi="Arial"/>
          <w:szCs w:val="20"/>
          <w:lang w:eastAsia="en"/>
        </w:rPr>
      </w:pPr>
      <w:r w:rsidRPr="00D5126A">
        <w:rPr>
          <w:rFonts w:ascii="Arial" w:eastAsia="Times New Roman" w:hAnsi="Arial"/>
          <w:szCs w:val="20"/>
          <w:lang w:eastAsia="en"/>
        </w:rPr>
        <w:t xml:space="preserve">There are seven CCOs plus the Wellington Regional Stadium Trust: </w:t>
      </w:r>
    </w:p>
    <w:p w:rsidR="006837C4" w:rsidRPr="00D5126A" w:rsidRDefault="006837C4" w:rsidP="002C7BF8">
      <w:pPr>
        <w:pStyle w:val="ListParagraph"/>
        <w:numPr>
          <w:ilvl w:val="0"/>
          <w:numId w:val="19"/>
        </w:numPr>
        <w:pBdr>
          <w:top w:val="none" w:sz="8" w:space="0" w:color="auto"/>
          <w:left w:val="none" w:sz="8" w:space="0" w:color="auto"/>
          <w:bottom w:val="none" w:sz="8" w:space="0" w:color="auto"/>
          <w:right w:val="none" w:sz="8" w:space="0" w:color="auto"/>
        </w:pBdr>
        <w:spacing w:before="240" w:after="109" w:line="240" w:lineRule="auto"/>
        <w:rPr>
          <w:rFonts w:ascii="Arial" w:eastAsia="Times New Roman" w:hAnsi="Arial"/>
          <w:szCs w:val="20"/>
          <w:lang w:eastAsia="en"/>
        </w:rPr>
      </w:pPr>
      <w:r w:rsidRPr="00D5126A">
        <w:rPr>
          <w:rFonts w:ascii="Arial" w:eastAsia="Times New Roman" w:hAnsi="Arial" w:cs="Arial"/>
          <w:b/>
          <w:bCs/>
          <w:szCs w:val="20"/>
          <w:lang w:eastAsia="en"/>
        </w:rPr>
        <w:t>Basin Reserve Trust</w:t>
      </w:r>
      <w:r w:rsidRPr="00D5126A">
        <w:rPr>
          <w:rFonts w:ascii="Arial" w:eastAsia="Times New Roman" w:hAnsi="Arial"/>
          <w:szCs w:val="20"/>
          <w:lang w:eastAsia="en"/>
        </w:rPr>
        <w:t>, manages and promotes the Basin Reserve for recreation, leisure, and games domestic and international cricket</w:t>
      </w:r>
    </w:p>
    <w:p w:rsidR="006837C4" w:rsidRPr="00D5126A" w:rsidRDefault="006837C4" w:rsidP="002C7BF8">
      <w:pPr>
        <w:pStyle w:val="ListParagraph"/>
        <w:numPr>
          <w:ilvl w:val="0"/>
          <w:numId w:val="19"/>
        </w:numPr>
        <w:pBdr>
          <w:top w:val="none" w:sz="8" w:space="0" w:color="auto"/>
          <w:left w:val="none" w:sz="8" w:space="0" w:color="auto"/>
          <w:bottom w:val="none" w:sz="8" w:space="0" w:color="auto"/>
          <w:right w:val="none" w:sz="8" w:space="0" w:color="auto"/>
        </w:pBdr>
        <w:spacing w:before="240" w:after="109" w:line="240" w:lineRule="auto"/>
        <w:rPr>
          <w:rFonts w:ascii="Arial" w:eastAsia="Times New Roman" w:hAnsi="Arial"/>
          <w:szCs w:val="20"/>
          <w:lang w:eastAsia="en"/>
        </w:rPr>
      </w:pPr>
      <w:r w:rsidRPr="00D5126A">
        <w:rPr>
          <w:rFonts w:ascii="Arial" w:eastAsia="Times New Roman" w:hAnsi="Arial" w:cs="Arial"/>
          <w:b/>
          <w:bCs/>
          <w:szCs w:val="20"/>
          <w:lang w:eastAsia="en"/>
        </w:rPr>
        <w:t>Karori Sanctuary Trust</w:t>
      </w:r>
      <w:r w:rsidRPr="00D5126A">
        <w:rPr>
          <w:rFonts w:ascii="Arial" w:eastAsia="Times New Roman" w:hAnsi="Arial"/>
          <w:szCs w:val="20"/>
          <w:lang w:eastAsia="en"/>
        </w:rPr>
        <w:t>, trades as Zealandia and manages ongoing conservation and restoration work at its sanctuary in Karori</w:t>
      </w:r>
    </w:p>
    <w:p w:rsidR="006837C4" w:rsidRPr="00D5126A" w:rsidRDefault="006837C4" w:rsidP="002C7BF8">
      <w:pPr>
        <w:pStyle w:val="ListParagraph"/>
        <w:numPr>
          <w:ilvl w:val="0"/>
          <w:numId w:val="19"/>
        </w:numPr>
        <w:pBdr>
          <w:top w:val="none" w:sz="8" w:space="0" w:color="auto"/>
          <w:left w:val="none" w:sz="8" w:space="0" w:color="auto"/>
          <w:bottom w:val="none" w:sz="8" w:space="0" w:color="auto"/>
          <w:right w:val="none" w:sz="8" w:space="0" w:color="auto"/>
        </w:pBdr>
        <w:spacing w:before="240" w:after="109" w:line="240" w:lineRule="auto"/>
        <w:rPr>
          <w:rFonts w:ascii="Arial" w:eastAsia="Times New Roman" w:hAnsi="Arial"/>
          <w:szCs w:val="20"/>
          <w:lang w:eastAsia="en"/>
        </w:rPr>
      </w:pPr>
      <w:r w:rsidRPr="00D5126A">
        <w:rPr>
          <w:rFonts w:ascii="Arial" w:eastAsia="Times New Roman" w:hAnsi="Arial" w:cs="Arial"/>
          <w:b/>
          <w:bCs/>
          <w:szCs w:val="20"/>
          <w:lang w:eastAsia="en"/>
        </w:rPr>
        <w:t>Wellington Cable Car Ltd</w:t>
      </w:r>
      <w:r w:rsidRPr="00D5126A">
        <w:rPr>
          <w:rFonts w:ascii="Arial" w:eastAsia="Times New Roman" w:hAnsi="Arial"/>
          <w:szCs w:val="20"/>
          <w:lang w:eastAsia="en"/>
        </w:rPr>
        <w:t>, maintains and operates Wellington’s iconic Cable Car</w:t>
      </w:r>
    </w:p>
    <w:p w:rsidR="006837C4" w:rsidRPr="00D5126A" w:rsidRDefault="006837C4" w:rsidP="002C7BF8">
      <w:pPr>
        <w:pStyle w:val="ListParagraph"/>
        <w:numPr>
          <w:ilvl w:val="0"/>
          <w:numId w:val="19"/>
        </w:numPr>
        <w:pBdr>
          <w:top w:val="none" w:sz="8" w:space="0" w:color="auto"/>
          <w:left w:val="none" w:sz="8" w:space="0" w:color="auto"/>
          <w:bottom w:val="none" w:sz="8" w:space="0" w:color="auto"/>
          <w:right w:val="none" w:sz="8" w:space="0" w:color="auto"/>
        </w:pBdr>
        <w:spacing w:before="240" w:after="109" w:line="240" w:lineRule="auto"/>
        <w:rPr>
          <w:rFonts w:ascii="Arial" w:eastAsia="Times New Roman" w:hAnsi="Arial"/>
          <w:szCs w:val="20"/>
          <w:lang w:eastAsia="en"/>
        </w:rPr>
      </w:pPr>
      <w:r w:rsidRPr="00D5126A">
        <w:rPr>
          <w:rFonts w:ascii="Arial" w:eastAsia="Times New Roman" w:hAnsi="Arial" w:cs="Arial"/>
          <w:b/>
          <w:bCs/>
          <w:szCs w:val="20"/>
          <w:lang w:eastAsia="en"/>
        </w:rPr>
        <w:t>Wellington Museums Trust</w:t>
      </w:r>
      <w:r w:rsidRPr="00D5126A">
        <w:rPr>
          <w:rFonts w:ascii="Arial" w:eastAsia="Times New Roman" w:hAnsi="Arial"/>
          <w:szCs w:val="20"/>
          <w:lang w:eastAsia="en"/>
        </w:rPr>
        <w:t>, trades as Experience Wellington and manages educational and cultural facilities and experiences</w:t>
      </w:r>
    </w:p>
    <w:p w:rsidR="006837C4" w:rsidRPr="00D5126A" w:rsidRDefault="006837C4" w:rsidP="002C7BF8">
      <w:pPr>
        <w:pStyle w:val="ListParagraph"/>
        <w:numPr>
          <w:ilvl w:val="0"/>
          <w:numId w:val="19"/>
        </w:numPr>
        <w:pBdr>
          <w:top w:val="none" w:sz="8" w:space="0" w:color="auto"/>
          <w:left w:val="none" w:sz="8" w:space="0" w:color="auto"/>
          <w:bottom w:val="none" w:sz="8" w:space="0" w:color="auto"/>
          <w:right w:val="none" w:sz="8" w:space="0" w:color="auto"/>
        </w:pBdr>
        <w:spacing w:before="240" w:after="109" w:line="240" w:lineRule="auto"/>
        <w:rPr>
          <w:rFonts w:ascii="Arial" w:eastAsia="Times New Roman" w:hAnsi="Arial"/>
          <w:szCs w:val="20"/>
          <w:lang w:eastAsia="en"/>
        </w:rPr>
      </w:pPr>
      <w:r w:rsidRPr="00D5126A">
        <w:rPr>
          <w:rFonts w:ascii="Arial" w:eastAsia="Times New Roman" w:hAnsi="Arial" w:cs="Arial"/>
          <w:b/>
          <w:bCs/>
          <w:szCs w:val="20"/>
          <w:lang w:eastAsia="en"/>
        </w:rPr>
        <w:t>Wellington Regional Economic Development Agency Ltd (WREDA)</w:t>
      </w:r>
      <w:r w:rsidRPr="00D5126A">
        <w:rPr>
          <w:rFonts w:ascii="Arial" w:eastAsia="Times New Roman" w:hAnsi="Arial"/>
          <w:szCs w:val="20"/>
          <w:lang w:eastAsia="en"/>
        </w:rPr>
        <w:t>, trades as WellingtonNZ and is the city and region’s economic development organisation</w:t>
      </w:r>
    </w:p>
    <w:p w:rsidR="006837C4" w:rsidRPr="00D5126A" w:rsidRDefault="006837C4" w:rsidP="002C7BF8">
      <w:pPr>
        <w:pStyle w:val="ListParagraph"/>
        <w:numPr>
          <w:ilvl w:val="0"/>
          <w:numId w:val="19"/>
        </w:numPr>
        <w:pBdr>
          <w:top w:val="none" w:sz="8" w:space="0" w:color="auto"/>
          <w:left w:val="none" w:sz="8" w:space="0" w:color="auto"/>
          <w:bottom w:val="none" w:sz="8" w:space="0" w:color="auto"/>
          <w:right w:val="none" w:sz="8" w:space="0" w:color="auto"/>
        </w:pBdr>
        <w:spacing w:before="240" w:after="109" w:line="240" w:lineRule="auto"/>
        <w:rPr>
          <w:rFonts w:ascii="Arial" w:eastAsia="Times New Roman" w:hAnsi="Arial"/>
          <w:szCs w:val="20"/>
          <w:lang w:eastAsia="en"/>
        </w:rPr>
      </w:pPr>
      <w:r w:rsidRPr="00D5126A">
        <w:rPr>
          <w:rFonts w:ascii="Arial" w:eastAsia="Times New Roman" w:hAnsi="Arial" w:cs="Arial"/>
          <w:b/>
          <w:bCs/>
          <w:szCs w:val="20"/>
          <w:lang w:eastAsia="en"/>
        </w:rPr>
        <w:t>Wellington Regional Stadium Trust</w:t>
      </w:r>
      <w:r w:rsidRPr="00D5126A">
        <w:rPr>
          <w:rFonts w:ascii="Arial" w:eastAsia="Times New Roman" w:hAnsi="Arial"/>
          <w:szCs w:val="20"/>
          <w:lang w:eastAsia="en"/>
        </w:rPr>
        <w:t>, owns, operates and maintains the stadium as a high-quality multi-purpose sporting and events venue</w:t>
      </w:r>
    </w:p>
    <w:p w:rsidR="006837C4" w:rsidRPr="00D5126A" w:rsidRDefault="006837C4" w:rsidP="002C7BF8">
      <w:pPr>
        <w:pStyle w:val="ListParagraph"/>
        <w:numPr>
          <w:ilvl w:val="0"/>
          <w:numId w:val="19"/>
        </w:numPr>
        <w:pBdr>
          <w:top w:val="none" w:sz="8" w:space="0" w:color="auto"/>
          <w:left w:val="none" w:sz="8" w:space="0" w:color="auto"/>
          <w:bottom w:val="none" w:sz="8" w:space="0" w:color="auto"/>
          <w:right w:val="none" w:sz="8" w:space="0" w:color="auto"/>
        </w:pBdr>
        <w:spacing w:before="240" w:after="109" w:line="240" w:lineRule="auto"/>
        <w:rPr>
          <w:rFonts w:ascii="Arial" w:eastAsia="Times New Roman" w:hAnsi="Arial"/>
          <w:szCs w:val="20"/>
          <w:lang w:eastAsia="en"/>
        </w:rPr>
      </w:pPr>
      <w:r w:rsidRPr="00D5126A">
        <w:rPr>
          <w:rFonts w:ascii="Arial" w:eastAsia="Times New Roman" w:hAnsi="Arial" w:cs="Arial"/>
          <w:b/>
          <w:bCs/>
          <w:szCs w:val="20"/>
          <w:lang w:eastAsia="en"/>
        </w:rPr>
        <w:t>Wellington Water</w:t>
      </w:r>
      <w:r w:rsidRPr="00D5126A">
        <w:rPr>
          <w:rFonts w:ascii="Arial" w:eastAsia="Times New Roman" w:hAnsi="Arial"/>
          <w:szCs w:val="20"/>
          <w:lang w:eastAsia="en"/>
        </w:rPr>
        <w:t>, manages all Wellington, Hutt, Upper Hutt, and Porirua councils’ drainage and water services</w:t>
      </w:r>
    </w:p>
    <w:p w:rsidR="006837C4" w:rsidRPr="00D5126A" w:rsidRDefault="006837C4" w:rsidP="002C7BF8">
      <w:pPr>
        <w:pStyle w:val="ListParagraph"/>
        <w:numPr>
          <w:ilvl w:val="0"/>
          <w:numId w:val="19"/>
        </w:numPr>
        <w:pBdr>
          <w:top w:val="none" w:sz="8" w:space="0" w:color="auto"/>
          <w:left w:val="none" w:sz="8" w:space="0" w:color="auto"/>
          <w:bottom w:val="none" w:sz="8" w:space="0" w:color="auto"/>
          <w:right w:val="none" w:sz="8" w:space="0" w:color="auto"/>
        </w:pBdr>
        <w:spacing w:before="240" w:after="109" w:line="240" w:lineRule="auto"/>
        <w:rPr>
          <w:rFonts w:ascii="Arial" w:eastAsia="Times New Roman" w:hAnsi="Arial"/>
          <w:szCs w:val="20"/>
          <w:lang w:eastAsia="en"/>
        </w:rPr>
      </w:pPr>
      <w:r w:rsidRPr="00D5126A">
        <w:rPr>
          <w:rFonts w:ascii="Arial" w:eastAsia="Times New Roman" w:hAnsi="Arial" w:cs="Arial"/>
          <w:b/>
          <w:bCs/>
          <w:szCs w:val="20"/>
          <w:lang w:eastAsia="en"/>
        </w:rPr>
        <w:t>Wellington Zoo Trust</w:t>
      </w:r>
      <w:r w:rsidRPr="00D5126A">
        <w:rPr>
          <w:rFonts w:ascii="Arial" w:eastAsia="Times New Roman" w:hAnsi="Arial"/>
          <w:szCs w:val="20"/>
          <w:lang w:eastAsia="en"/>
        </w:rPr>
        <w:t>, manages the zoo, provides experiences and education  and supports conservation initiatives</w:t>
      </w:r>
    </w:p>
    <w:p w:rsidR="006837C4" w:rsidRPr="00D5126A" w:rsidRDefault="006837C4" w:rsidP="006837C4">
      <w:pPr>
        <w:pBdr>
          <w:top w:val="none" w:sz="8" w:space="0" w:color="auto"/>
          <w:left w:val="none" w:sz="8" w:space="0" w:color="auto"/>
          <w:bottom w:val="none" w:sz="8" w:space="0" w:color="auto"/>
          <w:right w:val="none" w:sz="8" w:space="0" w:color="auto"/>
        </w:pBdr>
        <w:spacing w:beforeLines="100" w:before="240" w:after="109" w:line="240" w:lineRule="auto"/>
        <w:rPr>
          <w:rFonts w:ascii="Arial" w:eastAsia="Times New Roman" w:hAnsi="Arial"/>
          <w:szCs w:val="20"/>
          <w:lang w:eastAsia="en"/>
        </w:rPr>
      </w:pPr>
      <w:proofErr w:type="gramStart"/>
      <w:r w:rsidRPr="00D5126A">
        <w:rPr>
          <w:rFonts w:ascii="Arial" w:eastAsia="Times New Roman" w:hAnsi="Arial"/>
          <w:szCs w:val="20"/>
          <w:lang w:eastAsia="en"/>
        </w:rPr>
        <w:t>Sections 5 and 6, Schedules 8 and 9 and Part 5 of the Local Government Act 2002 do not apply to the Wellington Regional Stadium Trust.</w:t>
      </w:r>
      <w:proofErr w:type="gramEnd"/>
      <w:r w:rsidRPr="00D5126A">
        <w:rPr>
          <w:rFonts w:ascii="Arial" w:eastAsia="Times New Roman" w:hAnsi="Arial"/>
          <w:szCs w:val="20"/>
          <w:lang w:eastAsia="en"/>
        </w:rPr>
        <w:t xml:space="preserve"> The Trust is not a Council Controlled </w:t>
      </w:r>
      <w:proofErr w:type="gramStart"/>
      <w:r w:rsidRPr="00D5126A">
        <w:rPr>
          <w:rFonts w:ascii="Arial" w:eastAsia="Times New Roman" w:hAnsi="Arial"/>
          <w:szCs w:val="20"/>
          <w:lang w:eastAsia="en"/>
        </w:rPr>
        <w:t>Organisation,</w:t>
      </w:r>
      <w:proofErr w:type="gramEnd"/>
      <w:r w:rsidRPr="00D5126A">
        <w:rPr>
          <w:rFonts w:ascii="Arial" w:eastAsia="Times New Roman" w:hAnsi="Arial"/>
          <w:szCs w:val="20"/>
          <w:lang w:eastAsia="en"/>
        </w:rPr>
        <w:t xml:space="preserve"> however its relationship with Council is conducted in a similar manner and is reported here for this reason.  </w:t>
      </w:r>
    </w:p>
    <w:p w:rsidR="006837C4" w:rsidRPr="00D5126A" w:rsidRDefault="006837C4" w:rsidP="006837C4">
      <w:pPr>
        <w:pBdr>
          <w:top w:val="none" w:sz="8" w:space="0" w:color="auto"/>
          <w:left w:val="none" w:sz="8" w:space="0" w:color="auto"/>
          <w:bottom w:val="none" w:sz="8" w:space="0" w:color="auto"/>
          <w:right w:val="none" w:sz="8" w:space="0" w:color="auto"/>
        </w:pBdr>
        <w:spacing w:beforeLines="100" w:before="240" w:after="109" w:line="240" w:lineRule="auto"/>
        <w:rPr>
          <w:rFonts w:ascii="Arial" w:eastAsia="Times New Roman" w:hAnsi="Arial"/>
          <w:szCs w:val="20"/>
          <w:lang w:eastAsia="en"/>
        </w:rPr>
      </w:pPr>
      <w:r w:rsidRPr="00D5126A">
        <w:rPr>
          <w:rFonts w:ascii="Arial" w:eastAsia="Times New Roman" w:hAnsi="Arial"/>
          <w:szCs w:val="20"/>
          <w:lang w:eastAsia="en"/>
        </w:rPr>
        <w:t xml:space="preserve">The following pages explain what the organisations do. </w:t>
      </w:r>
    </w:p>
    <w:p w:rsidR="006837C4" w:rsidRPr="00610DBC" w:rsidRDefault="006837C4" w:rsidP="006837C4">
      <w:pPr>
        <w:pBdr>
          <w:top w:val="none" w:sz="8" w:space="0" w:color="auto"/>
          <w:left w:val="none" w:sz="8" w:space="0" w:color="auto"/>
          <w:bottom w:val="none" w:sz="8" w:space="0" w:color="auto"/>
          <w:right w:val="none" w:sz="8" w:space="0" w:color="auto"/>
        </w:pBdr>
        <w:spacing w:beforeLines="100" w:before="240" w:after="109" w:line="240" w:lineRule="auto"/>
        <w:rPr>
          <w:rFonts w:ascii="Arial" w:eastAsia="Times New Roman" w:hAnsi="Arial"/>
          <w:color w:val="000000" w:themeColor="text1"/>
          <w:szCs w:val="20"/>
          <w:lang w:eastAsia="en"/>
        </w:rPr>
      </w:pPr>
      <w:r w:rsidRPr="00610DBC">
        <w:rPr>
          <w:rFonts w:ascii="Arial" w:eastAsia="Times New Roman" w:hAnsi="Arial"/>
          <w:color w:val="000000" w:themeColor="text1"/>
          <w:szCs w:val="20"/>
          <w:lang w:eastAsia="en"/>
        </w:rPr>
        <w:t>FURTHER READING: For details on the performance of each entity, please refer to their respective annual reports.</w:t>
      </w:r>
    </w:p>
    <w:p w:rsidR="006837C4" w:rsidRPr="00D5126A" w:rsidRDefault="006837C4" w:rsidP="006837C4">
      <w:pPr>
        <w:spacing w:before="200"/>
        <w:rPr>
          <w:rFonts w:ascii="Arial" w:eastAsia="Times New Roman" w:hAnsi="Arial"/>
          <w:caps/>
          <w:color w:val="243F60"/>
          <w:spacing w:val="15"/>
          <w:sz w:val="20"/>
          <w:lang w:eastAsia="en"/>
        </w:rPr>
      </w:pPr>
      <w:bookmarkStart w:id="309" w:name="Wellington_Water"/>
      <w:r w:rsidRPr="00D5126A">
        <w:rPr>
          <w:rFonts w:ascii="Arial" w:eastAsia="Times New Roman" w:hAnsi="Arial"/>
          <w:szCs w:val="20"/>
          <w:lang w:eastAsia="en"/>
        </w:rPr>
        <w:br w:type="page"/>
      </w:r>
    </w:p>
    <w:p w:rsidR="006F5E9B" w:rsidRPr="00610DBC" w:rsidRDefault="006F5E9B" w:rsidP="006F5E9B">
      <w:pPr>
        <w:pStyle w:val="Heading3"/>
        <w:rPr>
          <w:color w:val="7030A0"/>
        </w:rPr>
      </w:pPr>
      <w:bookmarkStart w:id="310" w:name="Basin_Reserve_Trust"/>
      <w:bookmarkStart w:id="311" w:name="_Toc19085866"/>
      <w:bookmarkEnd w:id="309"/>
      <w:r w:rsidRPr="00610DBC">
        <w:rPr>
          <w:rFonts w:cs="Times New Roman"/>
          <w:noProof/>
          <w:color w:val="7030A0"/>
          <w:sz w:val="24"/>
          <w:szCs w:val="20"/>
        </w:rPr>
        <w:lastRenderedPageBreak/>
        <w:drawing>
          <wp:anchor distT="0" distB="0" distL="114300" distR="114300" simplePos="0" relativeHeight="251670528" behindDoc="1" locked="0" layoutInCell="1" allowOverlap="1" wp14:anchorId="20420095" wp14:editId="1F1D1997">
            <wp:simplePos x="0" y="0"/>
            <wp:positionH relativeFrom="margin">
              <wp:posOffset>2262505</wp:posOffset>
            </wp:positionH>
            <wp:positionV relativeFrom="margin">
              <wp:posOffset>-423545</wp:posOffset>
            </wp:positionV>
            <wp:extent cx="2870835" cy="754380"/>
            <wp:effectExtent l="0" t="0" r="5715" b="7620"/>
            <wp:wrapTight wrapText="bothSides">
              <wp:wrapPolygon edited="0">
                <wp:start x="0" y="0"/>
                <wp:lineTo x="0" y="21273"/>
                <wp:lineTo x="21500" y="21273"/>
                <wp:lineTo x="21500" y="0"/>
                <wp:lineTo x="0" y="0"/>
              </wp:wrapPolygon>
            </wp:wrapTight>
            <wp:docPr id="412" name="CCO-basin-reserve-trust-RGB.jpg" descr="Basin Reserve Trust logo"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O-basin-reserve-trust-RGB.jpg" descr="Basin Reserve Trust logo"/>
                    <pic:cNvPicPr/>
                  </pic:nvPicPr>
                  <pic:blipFill>
                    <a:blip r:embed="rId23">
                      <a:extLst>
                        <a:ext uri="{28A0092B-C50C-407E-A947-70E740481C1C}">
                          <a14:useLocalDpi xmlns:a14="http://schemas.microsoft.com/office/drawing/2010/main" val="0"/>
                        </a:ext>
                      </a:extLst>
                    </a:blip>
                    <a:stretch>
                      <a:fillRect/>
                    </a:stretch>
                  </pic:blipFill>
                  <pic:spPr>
                    <a:xfrm>
                      <a:off x="0" y="0"/>
                      <a:ext cx="2870835" cy="754380"/>
                    </a:xfrm>
                    <a:prstGeom prst="rect">
                      <a:avLst/>
                    </a:prstGeom>
                  </pic:spPr>
                </pic:pic>
              </a:graphicData>
            </a:graphic>
            <wp14:sizeRelH relativeFrom="margin">
              <wp14:pctWidth>0</wp14:pctWidth>
            </wp14:sizeRelH>
            <wp14:sizeRelV relativeFrom="margin">
              <wp14:pctHeight>0</wp14:pctHeight>
            </wp14:sizeRelV>
          </wp:anchor>
        </w:drawing>
      </w:r>
      <w:r w:rsidRPr="00610DBC">
        <w:rPr>
          <w:color w:val="7030A0"/>
        </w:rPr>
        <w:t>Basin Reserve Trust</w:t>
      </w:r>
      <w:bookmarkEnd w:id="310"/>
      <w:bookmarkEnd w:id="311"/>
    </w:p>
    <w:p w:rsidR="006F5E9B" w:rsidRPr="00D5126A" w:rsidRDefault="006F5E9B" w:rsidP="006F5E9B">
      <w:pPr>
        <w:pBdr>
          <w:top w:val="none" w:sz="8" w:space="0" w:color="auto"/>
          <w:left w:val="none" w:sz="8" w:space="0" w:color="auto"/>
          <w:bottom w:val="none" w:sz="8" w:space="0" w:color="auto"/>
          <w:right w:val="none" w:sz="8" w:space="0" w:color="auto"/>
        </w:pBdr>
        <w:spacing w:before="200" w:after="109" w:line="240" w:lineRule="auto"/>
        <w:rPr>
          <w:rFonts w:ascii="Arial" w:eastAsia="Times New Roman" w:hAnsi="Arial"/>
          <w:szCs w:val="20"/>
          <w:lang w:eastAsia="en"/>
        </w:rPr>
      </w:pPr>
      <w:r w:rsidRPr="00D5126A">
        <w:rPr>
          <w:rFonts w:ascii="Arial" w:eastAsia="Times New Roman" w:hAnsi="Arial"/>
          <w:szCs w:val="20"/>
          <w:lang w:eastAsia="en"/>
        </w:rPr>
        <w:t xml:space="preserve">The Basin Reserve Trust is a partnership between Council and Cricket Wellington with a governing body of four trustees, established to manage, maintain and operate Wellington’s Basin Reserve.  The management function is carried out by Cricket Wellington under a management agreement with the Trust.  </w:t>
      </w:r>
    </w:p>
    <w:p w:rsidR="006F5E9B" w:rsidRPr="00D5126A" w:rsidRDefault="006F5E9B" w:rsidP="006F5E9B">
      <w:pPr>
        <w:pBdr>
          <w:top w:val="none" w:sz="8" w:space="0" w:color="auto"/>
          <w:left w:val="none" w:sz="8" w:space="0" w:color="auto"/>
          <w:bottom w:val="none" w:sz="8" w:space="0" w:color="auto"/>
          <w:right w:val="none" w:sz="8" w:space="0" w:color="auto"/>
        </w:pBdr>
        <w:spacing w:before="200" w:after="109" w:line="240" w:lineRule="auto"/>
        <w:rPr>
          <w:rFonts w:ascii="Arial" w:eastAsia="Times New Roman" w:hAnsi="Arial"/>
          <w:szCs w:val="20"/>
          <w:lang w:eastAsia="en"/>
        </w:rPr>
      </w:pPr>
      <w:r w:rsidRPr="00D5126A">
        <w:rPr>
          <w:rFonts w:ascii="Arial" w:eastAsia="Times New Roman" w:hAnsi="Arial"/>
          <w:szCs w:val="20"/>
          <w:lang w:eastAsia="en"/>
        </w:rPr>
        <w:t xml:space="preserve">The Basin Reserve is Wellington’s first-class cricket ground.  It is the only first-class cricket ground in the region and is one of the </w:t>
      </w:r>
      <w:proofErr w:type="gramStart"/>
      <w:r w:rsidRPr="00D5126A">
        <w:rPr>
          <w:rFonts w:ascii="Arial" w:eastAsia="Times New Roman" w:hAnsi="Arial"/>
          <w:szCs w:val="20"/>
          <w:lang w:eastAsia="en"/>
        </w:rPr>
        <w:t>most well</w:t>
      </w:r>
      <w:proofErr w:type="gramEnd"/>
      <w:r w:rsidRPr="00D5126A">
        <w:rPr>
          <w:rFonts w:ascii="Arial" w:eastAsia="Times New Roman" w:hAnsi="Arial"/>
          <w:szCs w:val="20"/>
          <w:lang w:eastAsia="en"/>
        </w:rPr>
        <w:t>-utilised sporting venues in New Zealand. In addition to hosting international cricket matches, the ground also hosts a full domestic cricket programme and a range of community and business events. Recently the ground hosted Council’s vigil of support for the victims of the 15</w:t>
      </w:r>
      <w:r w:rsidRPr="00D5126A">
        <w:rPr>
          <w:rFonts w:ascii="Arial" w:eastAsia="Times New Roman" w:hAnsi="Arial"/>
          <w:szCs w:val="20"/>
          <w:vertAlign w:val="superscript"/>
          <w:lang w:eastAsia="en"/>
        </w:rPr>
        <w:t>th</w:t>
      </w:r>
      <w:r w:rsidRPr="00D5126A">
        <w:rPr>
          <w:rFonts w:ascii="Arial" w:eastAsia="Times New Roman" w:hAnsi="Arial"/>
          <w:szCs w:val="20"/>
          <w:lang w:eastAsia="en"/>
        </w:rPr>
        <w:t xml:space="preserve"> March 2019 mosque attacks in Christchurch.  </w:t>
      </w:r>
    </w:p>
    <w:p w:rsidR="006F5E9B" w:rsidRPr="00D5126A" w:rsidRDefault="006F5E9B" w:rsidP="006F5E9B">
      <w:pPr>
        <w:pBdr>
          <w:top w:val="none" w:sz="8" w:space="0" w:color="auto"/>
          <w:left w:val="none" w:sz="8" w:space="0" w:color="auto"/>
          <w:bottom w:val="none" w:sz="8" w:space="0" w:color="auto"/>
          <w:right w:val="none" w:sz="8" w:space="0" w:color="auto"/>
        </w:pBdr>
        <w:spacing w:before="200" w:after="109" w:line="240" w:lineRule="auto"/>
        <w:rPr>
          <w:rFonts w:ascii="Arial" w:eastAsia="Times New Roman" w:hAnsi="Arial"/>
          <w:szCs w:val="20"/>
          <w:lang w:eastAsia="en"/>
        </w:rPr>
      </w:pPr>
      <w:r w:rsidRPr="00D5126A">
        <w:rPr>
          <w:rFonts w:ascii="Arial" w:eastAsia="Times New Roman" w:hAnsi="Arial"/>
          <w:szCs w:val="20"/>
          <w:lang w:eastAsia="en"/>
        </w:rPr>
        <w:t xml:space="preserve">The Basin Reserve is the home of Cricket Wellington and the home ground for the Wellington Blaze (women) and Wellington Firebirds (men) cricket teams. </w:t>
      </w:r>
    </w:p>
    <w:p w:rsidR="006F5E9B" w:rsidRPr="00D5126A" w:rsidRDefault="006F5E9B" w:rsidP="006F5E9B">
      <w:pPr>
        <w:pBdr>
          <w:top w:val="none" w:sz="8" w:space="0" w:color="auto"/>
          <w:left w:val="none" w:sz="8" w:space="0" w:color="auto"/>
          <w:bottom w:val="none" w:sz="8" w:space="0" w:color="auto"/>
          <w:right w:val="none" w:sz="8" w:space="0" w:color="auto"/>
        </w:pBdr>
        <w:spacing w:before="200" w:after="109" w:line="240" w:lineRule="auto"/>
        <w:rPr>
          <w:rFonts w:ascii="Arial" w:eastAsia="Times New Roman" w:hAnsi="Arial"/>
          <w:szCs w:val="20"/>
          <w:lang w:eastAsia="en"/>
        </w:rPr>
      </w:pPr>
      <w:r w:rsidRPr="00D5126A">
        <w:rPr>
          <w:rFonts w:ascii="Arial" w:eastAsia="Times New Roman" w:hAnsi="Arial"/>
          <w:szCs w:val="20"/>
          <w:lang w:eastAsia="en"/>
        </w:rPr>
        <w:t xml:space="preserve">The Basin Reserve is also a busy route for commuters on cycles, riding scooters and walking to and from the city year round.  </w:t>
      </w:r>
    </w:p>
    <w:p w:rsidR="006F5E9B" w:rsidRPr="00D5126A" w:rsidRDefault="006F5E9B" w:rsidP="006F5E9B">
      <w:pPr>
        <w:pBdr>
          <w:top w:val="none" w:sz="8" w:space="0" w:color="auto"/>
          <w:left w:val="none" w:sz="8" w:space="0" w:color="auto"/>
          <w:bottom w:val="none" w:sz="8" w:space="0" w:color="auto"/>
          <w:right w:val="none" w:sz="8" w:space="0" w:color="auto"/>
        </w:pBdr>
        <w:spacing w:before="200" w:after="109" w:line="240" w:lineRule="auto"/>
        <w:rPr>
          <w:rFonts w:ascii="Arial" w:eastAsia="Times New Roman" w:hAnsi="Arial"/>
          <w:szCs w:val="20"/>
          <w:lang w:eastAsia="en"/>
        </w:rPr>
      </w:pPr>
      <w:r w:rsidRPr="00D5126A">
        <w:rPr>
          <w:rFonts w:ascii="Arial" w:eastAsia="Times New Roman" w:hAnsi="Arial"/>
          <w:szCs w:val="20"/>
          <w:lang w:eastAsia="en"/>
        </w:rPr>
        <w:t xml:space="preserve">The Basin Reserve is the home of the New Zealand Cricket Museum, which has been temporarily displaced while seismic strengthening and refurbishment of the Museum Stand is carried out as part of the overall redevelopment programme. </w:t>
      </w:r>
    </w:p>
    <w:p w:rsidR="006F5E9B" w:rsidRPr="00D5126A" w:rsidRDefault="006F5E9B" w:rsidP="006F5E9B">
      <w:pPr>
        <w:pBdr>
          <w:top w:val="none" w:sz="8" w:space="0" w:color="auto"/>
          <w:left w:val="none" w:sz="8" w:space="0" w:color="auto"/>
          <w:bottom w:val="none" w:sz="8" w:space="0" w:color="auto"/>
          <w:right w:val="none" w:sz="8" w:space="0" w:color="auto"/>
        </w:pBdr>
        <w:spacing w:beforeLines="100" w:before="240" w:after="109" w:line="240" w:lineRule="auto"/>
        <w:rPr>
          <w:rFonts w:ascii="Arial" w:eastAsia="Times New Roman" w:hAnsi="Arial"/>
          <w:szCs w:val="20"/>
          <w:lang w:eastAsia="en"/>
        </w:rPr>
      </w:pPr>
      <w:r w:rsidRPr="00D5126A">
        <w:rPr>
          <w:rFonts w:ascii="Arial" w:eastAsia="Times New Roman" w:hAnsi="Arial"/>
          <w:szCs w:val="20"/>
          <w:lang w:eastAsia="en"/>
        </w:rPr>
        <w:t>The board of trustees is:</w:t>
      </w:r>
    </w:p>
    <w:p w:rsidR="006F5E9B" w:rsidRPr="00D5126A" w:rsidRDefault="006F5E9B" w:rsidP="002C7BF8">
      <w:pPr>
        <w:pStyle w:val="ListParagraph"/>
        <w:numPr>
          <w:ilvl w:val="0"/>
          <w:numId w:val="23"/>
        </w:numPr>
        <w:pBdr>
          <w:top w:val="none" w:sz="8" w:space="0" w:color="auto"/>
          <w:left w:val="none" w:sz="8" w:space="0" w:color="auto"/>
          <w:bottom w:val="none" w:sz="8" w:space="0" w:color="auto"/>
          <w:right w:val="none" w:sz="8" w:space="0" w:color="auto"/>
        </w:pBdr>
        <w:spacing w:beforeLines="100" w:before="240" w:after="109" w:line="240" w:lineRule="auto"/>
        <w:rPr>
          <w:rFonts w:ascii="Arial" w:eastAsia="Times New Roman" w:hAnsi="Arial"/>
          <w:szCs w:val="20"/>
          <w:lang w:eastAsia="en"/>
        </w:rPr>
      </w:pPr>
      <w:r w:rsidRPr="00D5126A">
        <w:rPr>
          <w:rFonts w:ascii="Arial" w:eastAsia="Times New Roman" w:hAnsi="Arial"/>
          <w:szCs w:val="20"/>
          <w:lang w:eastAsia="en"/>
        </w:rPr>
        <w:t xml:space="preserve">Alan Isaac (Chair) (Council appointee) </w:t>
      </w:r>
    </w:p>
    <w:p w:rsidR="006F5E9B" w:rsidRPr="00D5126A" w:rsidRDefault="006F5E9B" w:rsidP="002C7BF8">
      <w:pPr>
        <w:pStyle w:val="ListParagraph"/>
        <w:numPr>
          <w:ilvl w:val="0"/>
          <w:numId w:val="23"/>
        </w:numPr>
        <w:pBdr>
          <w:top w:val="none" w:sz="8" w:space="0" w:color="auto"/>
          <w:left w:val="none" w:sz="8" w:space="0" w:color="auto"/>
          <w:bottom w:val="none" w:sz="8" w:space="0" w:color="auto"/>
          <w:right w:val="none" w:sz="8" w:space="0" w:color="auto"/>
        </w:pBdr>
        <w:spacing w:beforeLines="100" w:before="240" w:after="109" w:line="240" w:lineRule="auto"/>
        <w:rPr>
          <w:rFonts w:ascii="Arial" w:eastAsia="Times New Roman" w:hAnsi="Arial"/>
          <w:szCs w:val="20"/>
          <w:lang w:eastAsia="en"/>
        </w:rPr>
      </w:pPr>
      <w:r w:rsidRPr="00D5126A">
        <w:rPr>
          <w:rFonts w:ascii="Arial" w:eastAsia="Times New Roman" w:hAnsi="Arial"/>
          <w:szCs w:val="20"/>
          <w:lang w:eastAsia="en"/>
        </w:rPr>
        <w:t xml:space="preserve">Councillor Fleur Fitzsimmons (Council appointee) </w:t>
      </w:r>
    </w:p>
    <w:p w:rsidR="006F5E9B" w:rsidRPr="00D5126A" w:rsidRDefault="006F5E9B" w:rsidP="002C7BF8">
      <w:pPr>
        <w:pStyle w:val="ListParagraph"/>
        <w:numPr>
          <w:ilvl w:val="0"/>
          <w:numId w:val="23"/>
        </w:numPr>
        <w:pBdr>
          <w:top w:val="none" w:sz="8" w:space="0" w:color="auto"/>
          <w:left w:val="none" w:sz="8" w:space="0" w:color="auto"/>
          <w:bottom w:val="none" w:sz="8" w:space="0" w:color="auto"/>
          <w:right w:val="none" w:sz="8" w:space="0" w:color="auto"/>
        </w:pBdr>
        <w:spacing w:beforeLines="100" w:before="240" w:after="109" w:line="240" w:lineRule="auto"/>
        <w:rPr>
          <w:rFonts w:ascii="Arial" w:eastAsia="Times New Roman" w:hAnsi="Arial"/>
          <w:szCs w:val="20"/>
          <w:lang w:eastAsia="en"/>
        </w:rPr>
      </w:pPr>
      <w:r w:rsidRPr="00D5126A">
        <w:rPr>
          <w:rFonts w:ascii="Arial" w:eastAsia="Times New Roman" w:hAnsi="Arial"/>
          <w:szCs w:val="20"/>
          <w:lang w:eastAsia="en"/>
        </w:rPr>
        <w:t xml:space="preserve">Mike Bayley (Cricket Wellington appointee) </w:t>
      </w:r>
    </w:p>
    <w:p w:rsidR="006F5E9B" w:rsidRPr="00D5126A" w:rsidRDefault="006F5E9B" w:rsidP="002C7BF8">
      <w:pPr>
        <w:pStyle w:val="ListParagraph"/>
        <w:numPr>
          <w:ilvl w:val="0"/>
          <w:numId w:val="23"/>
        </w:numPr>
        <w:pBdr>
          <w:top w:val="none" w:sz="8" w:space="0" w:color="auto"/>
          <w:left w:val="none" w:sz="8" w:space="0" w:color="auto"/>
          <w:bottom w:val="none" w:sz="8" w:space="0" w:color="auto"/>
          <w:right w:val="none" w:sz="8" w:space="0" w:color="auto"/>
        </w:pBdr>
        <w:spacing w:beforeLines="100" w:before="240" w:after="109" w:line="240" w:lineRule="auto"/>
        <w:rPr>
          <w:rFonts w:ascii="Arial" w:eastAsia="Times New Roman" w:hAnsi="Arial"/>
          <w:szCs w:val="20"/>
          <w:lang w:eastAsia="en"/>
        </w:rPr>
      </w:pPr>
      <w:r w:rsidRPr="00D5126A">
        <w:rPr>
          <w:rFonts w:ascii="Arial" w:eastAsia="Times New Roman" w:hAnsi="Arial"/>
          <w:szCs w:val="20"/>
          <w:lang w:eastAsia="en"/>
        </w:rPr>
        <w:t xml:space="preserve">John Greenwood (Cricket Wellington appointee) </w:t>
      </w:r>
    </w:p>
    <w:p w:rsidR="006F5E9B" w:rsidRPr="00D5126A" w:rsidRDefault="006F5E9B" w:rsidP="006F5E9B">
      <w:pPr>
        <w:pBdr>
          <w:top w:val="none" w:sz="8" w:space="0" w:color="auto"/>
          <w:left w:val="none" w:sz="8" w:space="0" w:color="auto"/>
          <w:bottom w:val="none" w:sz="8" w:space="0" w:color="auto"/>
          <w:right w:val="none" w:sz="8" w:space="0" w:color="auto"/>
        </w:pBdr>
        <w:spacing w:beforeLines="100" w:before="240" w:after="109" w:line="240" w:lineRule="auto"/>
        <w:rPr>
          <w:rFonts w:ascii="Arial" w:eastAsia="Times New Roman" w:hAnsi="Arial"/>
          <w:szCs w:val="20"/>
          <w:lang w:eastAsia="en"/>
        </w:rPr>
      </w:pPr>
      <w:r w:rsidRPr="00D5126A">
        <w:rPr>
          <w:rFonts w:ascii="Arial" w:eastAsia="Times New Roman" w:hAnsi="Arial"/>
          <w:szCs w:val="20"/>
          <w:lang w:eastAsia="en"/>
        </w:rPr>
        <w:t xml:space="preserve">For information on the activities of the Basin Reserve Trust, see the </w:t>
      </w:r>
      <w:r w:rsidRPr="00D5126A">
        <w:rPr>
          <w:rFonts w:ascii="Arial" w:eastAsia="Times New Roman" w:hAnsi="Arial" w:cs="Arial"/>
          <w:szCs w:val="20"/>
          <w:lang w:eastAsia="en"/>
        </w:rPr>
        <w:t>Social and Recreation</w:t>
      </w:r>
      <w:r w:rsidRPr="00D5126A">
        <w:rPr>
          <w:rFonts w:ascii="Arial" w:eastAsia="Times New Roman" w:hAnsi="Arial"/>
          <w:szCs w:val="20"/>
          <w:lang w:eastAsia="en"/>
        </w:rPr>
        <w:t xml:space="preserve"> section.  </w:t>
      </w:r>
    </w:p>
    <w:p w:rsidR="006F5E9B" w:rsidRPr="00D5126A" w:rsidRDefault="006F5E9B" w:rsidP="006F5E9B">
      <w:pPr>
        <w:spacing w:before="200"/>
        <w:rPr>
          <w:rFonts w:ascii="Arial" w:eastAsia="Times New Roman" w:hAnsi="Arial"/>
          <w:caps/>
          <w:color w:val="243F60"/>
          <w:spacing w:val="15"/>
          <w:sz w:val="20"/>
          <w:lang w:eastAsia="en"/>
        </w:rPr>
      </w:pPr>
      <w:r w:rsidRPr="00D5126A">
        <w:rPr>
          <w:rFonts w:ascii="Arial" w:eastAsia="Times New Roman" w:hAnsi="Arial"/>
          <w:szCs w:val="20"/>
          <w:lang w:eastAsia="en"/>
        </w:rPr>
        <w:t xml:space="preserve">For full details on the trust’s performance please refer to its annual report. </w:t>
      </w:r>
      <w:r w:rsidRPr="00D5126A">
        <w:rPr>
          <w:rFonts w:ascii="Arial" w:eastAsia="Times New Roman" w:hAnsi="Arial"/>
          <w:szCs w:val="20"/>
          <w:lang w:eastAsia="en"/>
        </w:rPr>
        <w:br w:type="page"/>
      </w:r>
    </w:p>
    <w:p w:rsidR="006F5E9B" w:rsidRPr="00610DBC" w:rsidRDefault="006F5E9B" w:rsidP="006F5E9B">
      <w:pPr>
        <w:pStyle w:val="Heading3"/>
        <w:rPr>
          <w:color w:val="7030A0"/>
        </w:rPr>
      </w:pPr>
      <w:bookmarkStart w:id="312" w:name="_Toc19085867"/>
      <w:r w:rsidRPr="00610DBC">
        <w:rPr>
          <w:rFonts w:cs="Times New Roman"/>
          <w:noProof/>
          <w:color w:val="7030A0"/>
          <w:sz w:val="24"/>
          <w:szCs w:val="20"/>
        </w:rPr>
        <w:lastRenderedPageBreak/>
        <w:drawing>
          <wp:anchor distT="0" distB="0" distL="114300" distR="114300" simplePos="0" relativeHeight="251671552" behindDoc="1" locked="0" layoutInCell="1" allowOverlap="1" wp14:anchorId="3A6B77F1" wp14:editId="47E53A55">
            <wp:simplePos x="0" y="0"/>
            <wp:positionH relativeFrom="column">
              <wp:posOffset>2660650</wp:posOffset>
            </wp:positionH>
            <wp:positionV relativeFrom="paragraph">
              <wp:posOffset>-306070</wp:posOffset>
            </wp:positionV>
            <wp:extent cx="1901825" cy="615950"/>
            <wp:effectExtent l="0" t="0" r="3175" b="0"/>
            <wp:wrapTight wrapText="bothSides">
              <wp:wrapPolygon edited="0">
                <wp:start x="0" y="0"/>
                <wp:lineTo x="0" y="20709"/>
                <wp:lineTo x="21420" y="20709"/>
                <wp:lineTo x="21420" y="0"/>
                <wp:lineTo x="0" y="0"/>
              </wp:wrapPolygon>
            </wp:wrapTight>
            <wp:docPr id="2" name="CCO-zealandia-RGB.jpg" descr="Karori Sanctuary Trust logo"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O-zealandia-RGB.jpg" descr="Karori Sanctuary Trust logo"/>
                    <pic:cNvPicPr/>
                  </pic:nvPicPr>
                  <pic:blipFill>
                    <a:blip r:embed="rId24">
                      <a:extLst>
                        <a:ext uri="{28A0092B-C50C-407E-A947-70E740481C1C}">
                          <a14:useLocalDpi xmlns:a14="http://schemas.microsoft.com/office/drawing/2010/main" val="0"/>
                        </a:ext>
                      </a:extLst>
                    </a:blip>
                    <a:stretch>
                      <a:fillRect/>
                    </a:stretch>
                  </pic:blipFill>
                  <pic:spPr>
                    <a:xfrm>
                      <a:off x="0" y="0"/>
                      <a:ext cx="1901825" cy="615950"/>
                    </a:xfrm>
                    <a:prstGeom prst="rect">
                      <a:avLst/>
                    </a:prstGeom>
                  </pic:spPr>
                </pic:pic>
              </a:graphicData>
            </a:graphic>
            <wp14:sizeRelH relativeFrom="page">
              <wp14:pctWidth>0</wp14:pctWidth>
            </wp14:sizeRelH>
            <wp14:sizeRelV relativeFrom="page">
              <wp14:pctHeight>0</wp14:pctHeight>
            </wp14:sizeRelV>
          </wp:anchor>
        </w:drawing>
      </w:r>
      <w:r w:rsidRPr="00610DBC">
        <w:rPr>
          <w:color w:val="7030A0"/>
        </w:rPr>
        <w:t>Karori Sanctuary Trust</w:t>
      </w:r>
      <w:bookmarkEnd w:id="312"/>
    </w:p>
    <w:p w:rsidR="006F5E9B" w:rsidRPr="00D5126A" w:rsidRDefault="006F5E9B" w:rsidP="006F5E9B">
      <w:pPr>
        <w:pBdr>
          <w:top w:val="none" w:sz="8" w:space="0" w:color="auto"/>
          <w:left w:val="none" w:sz="8" w:space="0" w:color="auto"/>
          <w:bottom w:val="none" w:sz="8" w:space="0" w:color="auto"/>
          <w:right w:val="none" w:sz="8" w:space="0" w:color="auto"/>
        </w:pBdr>
        <w:spacing w:beforeLines="100" w:before="240" w:after="109" w:line="240" w:lineRule="auto"/>
        <w:rPr>
          <w:rFonts w:ascii="Arial" w:eastAsia="Times New Roman" w:hAnsi="Arial"/>
          <w:lang w:eastAsia="en"/>
        </w:rPr>
      </w:pPr>
      <w:r w:rsidRPr="00D5126A">
        <w:rPr>
          <w:rFonts w:ascii="Arial" w:eastAsia="Times New Roman" w:hAnsi="Arial"/>
          <w:lang w:eastAsia="en"/>
        </w:rPr>
        <w:t xml:space="preserve">The Karori Sanctuary Trust is a not-for-profit community-led organisation and trades as Zealandia. It is the world’s first fully-fenced urban ecosanctuary, with a 500-year vision to restore Wellington’s forest and freshwater ecosystems as close as possible to their pre-human state.  The 225 hectare Zealandia sanctuary is a ground-breaking conservation project that has reintroduced more than 20 species of native wildlife back into the area, and as a result of ‘spill-over’ beyond the fence, has significantly changed the birdlife of Wellington as a whole. </w:t>
      </w:r>
    </w:p>
    <w:p w:rsidR="006F5E9B" w:rsidRPr="00D5126A" w:rsidRDefault="006F5E9B" w:rsidP="006F5E9B">
      <w:pPr>
        <w:spacing w:beforeLines="100" w:before="240" w:after="109" w:line="240" w:lineRule="auto"/>
        <w:rPr>
          <w:rFonts w:ascii="Arial" w:eastAsia="Times New Roman" w:hAnsi="Arial"/>
          <w:lang w:eastAsia="en"/>
        </w:rPr>
      </w:pPr>
      <w:r w:rsidRPr="00D5126A">
        <w:rPr>
          <w:rFonts w:ascii="Arial" w:eastAsia="Times New Roman" w:hAnsi="Arial"/>
          <w:lang w:eastAsia="en"/>
        </w:rPr>
        <w:t xml:space="preserve">Coupled with its sanctuary-based restoration and conservation work, Zealandia aims to foster a nature-rich future for all Wellingtonians. The organisation has a significant engagement, education and empowerment programme. Zealandia is the city’s largest provider of environmental education outside the classroom, and supports academic research across diverse disciplines. It also has a number of projects outside the sanctuary. For example, Sanctuary to Sea </w:t>
      </w:r>
      <w:r w:rsidRPr="00D5126A">
        <w:rPr>
          <w:rFonts w:ascii="Arial" w:eastAsia="Times New Roman" w:hAnsi="Arial"/>
          <w:i/>
          <w:lang w:eastAsia="en"/>
        </w:rPr>
        <w:t xml:space="preserve">Kia mouriora </w:t>
      </w:r>
      <w:proofErr w:type="gramStart"/>
      <w:r w:rsidRPr="00D5126A">
        <w:rPr>
          <w:rFonts w:ascii="Arial" w:eastAsia="Times New Roman" w:hAnsi="Arial"/>
          <w:i/>
          <w:lang w:eastAsia="en"/>
        </w:rPr>
        <w:t>te</w:t>
      </w:r>
      <w:proofErr w:type="gramEnd"/>
      <w:r w:rsidRPr="00D5126A">
        <w:rPr>
          <w:rFonts w:ascii="Arial" w:eastAsia="Times New Roman" w:hAnsi="Arial"/>
          <w:i/>
          <w:lang w:eastAsia="en"/>
        </w:rPr>
        <w:t xml:space="preserve"> Kaiwharawhara</w:t>
      </w:r>
      <w:r w:rsidRPr="00D5126A">
        <w:rPr>
          <w:rFonts w:ascii="Arial" w:eastAsia="Times New Roman" w:hAnsi="Arial"/>
          <w:lang w:eastAsia="en"/>
        </w:rPr>
        <w:t xml:space="preserve">, which coordinates efforts to restore the mauri (lifeforce) of the Kaiwharawhara Stream. Zealandia also aims to connect the 130,000+ visitors it receives each year with insights into conservation and what it means for people. </w:t>
      </w:r>
    </w:p>
    <w:p w:rsidR="006F5E9B" w:rsidRPr="00D5126A" w:rsidRDefault="006F5E9B" w:rsidP="006F5E9B">
      <w:pPr>
        <w:pBdr>
          <w:top w:val="none" w:sz="8" w:space="0" w:color="auto"/>
          <w:left w:val="none" w:sz="8" w:space="0" w:color="auto"/>
          <w:bottom w:val="none" w:sz="8" w:space="0" w:color="auto"/>
          <w:right w:val="none" w:sz="8" w:space="0" w:color="auto"/>
        </w:pBdr>
        <w:spacing w:beforeLines="100" w:before="240" w:after="109" w:line="240" w:lineRule="auto"/>
        <w:rPr>
          <w:rFonts w:ascii="Arial" w:eastAsia="Times New Roman" w:hAnsi="Arial"/>
          <w:lang w:eastAsia="en"/>
        </w:rPr>
      </w:pPr>
      <w:r w:rsidRPr="00D5126A">
        <w:rPr>
          <w:rFonts w:ascii="Arial" w:eastAsia="Times New Roman" w:hAnsi="Arial"/>
          <w:lang w:eastAsia="en"/>
        </w:rPr>
        <w:t xml:space="preserve">The governance structure for the Trust is somewhat unique with a governing board of trustees and a separate board for the guardians of the sanctuary.  The structure originates from its establishment as a community initiative and membership based organisation.  </w:t>
      </w:r>
    </w:p>
    <w:p w:rsidR="006F5E9B" w:rsidRPr="00D5126A" w:rsidRDefault="006F5E9B" w:rsidP="006F5E9B">
      <w:pPr>
        <w:pBdr>
          <w:top w:val="none" w:sz="8" w:space="0" w:color="auto"/>
          <w:left w:val="none" w:sz="8" w:space="0" w:color="auto"/>
          <w:bottom w:val="none" w:sz="8" w:space="0" w:color="auto"/>
          <w:right w:val="none" w:sz="8" w:space="0" w:color="auto"/>
        </w:pBdr>
        <w:spacing w:beforeLines="100" w:before="240" w:after="109" w:line="240" w:lineRule="auto"/>
        <w:rPr>
          <w:rFonts w:ascii="Arial" w:eastAsia="Times New Roman" w:hAnsi="Arial"/>
          <w:lang w:eastAsia="en"/>
        </w:rPr>
      </w:pPr>
      <w:r w:rsidRPr="00D5126A">
        <w:rPr>
          <w:rFonts w:ascii="Arial" w:eastAsia="Times New Roman" w:hAnsi="Arial"/>
          <w:lang w:eastAsia="en"/>
        </w:rPr>
        <w:t xml:space="preserve">The trustees are appointed by Wellington City Council with guidance from the Guardians of the Sanctuary.  The Chief Executive is Paul Atkins. </w:t>
      </w:r>
    </w:p>
    <w:p w:rsidR="006F5E9B" w:rsidRPr="00D5126A" w:rsidRDefault="006F5E9B" w:rsidP="006F5E9B">
      <w:pPr>
        <w:pBdr>
          <w:top w:val="none" w:sz="8" w:space="0" w:color="auto"/>
          <w:left w:val="none" w:sz="8" w:space="0" w:color="auto"/>
          <w:bottom w:val="none" w:sz="8" w:space="0" w:color="auto"/>
          <w:right w:val="none" w:sz="8" w:space="0" w:color="auto"/>
        </w:pBdr>
        <w:spacing w:beforeLines="100" w:before="240" w:after="109" w:line="240" w:lineRule="auto"/>
        <w:rPr>
          <w:rFonts w:ascii="Arial" w:eastAsia="Times New Roman" w:hAnsi="Arial"/>
          <w:lang w:eastAsia="en"/>
        </w:rPr>
      </w:pPr>
      <w:r w:rsidRPr="00D5126A">
        <w:rPr>
          <w:rFonts w:ascii="Arial" w:eastAsia="Times New Roman" w:hAnsi="Arial"/>
          <w:lang w:eastAsia="en"/>
        </w:rPr>
        <w:t xml:space="preserve">The board of trustees is: </w:t>
      </w:r>
    </w:p>
    <w:p w:rsidR="006F5E9B" w:rsidRPr="00D5126A" w:rsidRDefault="006F5E9B" w:rsidP="002C7BF8">
      <w:pPr>
        <w:pStyle w:val="ListParagraph"/>
        <w:numPr>
          <w:ilvl w:val="0"/>
          <w:numId w:val="29"/>
        </w:numPr>
        <w:pBdr>
          <w:top w:val="none" w:sz="8" w:space="0" w:color="auto"/>
          <w:left w:val="none" w:sz="8" w:space="0" w:color="auto"/>
          <w:bottom w:val="none" w:sz="8" w:space="0" w:color="auto"/>
          <w:right w:val="none" w:sz="8" w:space="0" w:color="auto"/>
        </w:pBdr>
        <w:spacing w:beforeLines="100" w:before="240" w:after="109" w:line="240" w:lineRule="auto"/>
        <w:rPr>
          <w:rFonts w:ascii="Arial" w:eastAsia="Times New Roman" w:hAnsi="Arial"/>
          <w:lang w:eastAsia="en"/>
        </w:rPr>
      </w:pPr>
      <w:r w:rsidRPr="00D5126A">
        <w:rPr>
          <w:rFonts w:ascii="Arial" w:hAnsi="Arial" w:cs="Arial"/>
          <w:bCs/>
          <w:bdr w:val="none" w:sz="0" w:space="0" w:color="auto" w:frame="1"/>
          <w:shd w:val="clear" w:color="auto" w:fill="FFFFFF"/>
        </w:rPr>
        <w:t xml:space="preserve">Phillip Meyer (FAIM, Life FNZIM, CF Inst D, F Fin), (Chair) </w:t>
      </w:r>
    </w:p>
    <w:p w:rsidR="006F5E9B" w:rsidRPr="00D5126A" w:rsidRDefault="006F5E9B" w:rsidP="002C7BF8">
      <w:pPr>
        <w:pStyle w:val="ListParagraph"/>
        <w:numPr>
          <w:ilvl w:val="0"/>
          <w:numId w:val="29"/>
        </w:numPr>
        <w:pBdr>
          <w:top w:val="none" w:sz="8" w:space="0" w:color="auto"/>
          <w:left w:val="none" w:sz="8" w:space="0" w:color="auto"/>
          <w:bottom w:val="none" w:sz="8" w:space="0" w:color="auto"/>
          <w:right w:val="none" w:sz="8" w:space="0" w:color="auto"/>
        </w:pBdr>
        <w:spacing w:beforeLines="100" w:before="240" w:after="109" w:line="240" w:lineRule="auto"/>
        <w:rPr>
          <w:rFonts w:ascii="Arial" w:eastAsia="Times New Roman" w:hAnsi="Arial"/>
          <w:lang w:eastAsia="en"/>
        </w:rPr>
      </w:pPr>
      <w:r w:rsidRPr="00D5126A">
        <w:rPr>
          <w:rFonts w:ascii="Arial" w:hAnsi="Arial" w:cs="Arial"/>
          <w:bCs/>
          <w:bdr w:val="none" w:sz="0" w:space="0" w:color="auto" w:frame="1"/>
          <w:shd w:val="clear" w:color="auto" w:fill="FFFFFF"/>
        </w:rPr>
        <w:t xml:space="preserve">Professor David Bibby (CNZM, PhD, DSc) </w:t>
      </w:r>
    </w:p>
    <w:p w:rsidR="006F5E9B" w:rsidRPr="00D5126A" w:rsidRDefault="006F5E9B" w:rsidP="002C7BF8">
      <w:pPr>
        <w:pStyle w:val="ListParagraph"/>
        <w:numPr>
          <w:ilvl w:val="0"/>
          <w:numId w:val="29"/>
        </w:numPr>
        <w:pBdr>
          <w:top w:val="none" w:sz="8" w:space="0" w:color="auto"/>
          <w:left w:val="none" w:sz="8" w:space="0" w:color="auto"/>
          <w:bottom w:val="none" w:sz="8" w:space="0" w:color="auto"/>
          <w:right w:val="none" w:sz="8" w:space="0" w:color="auto"/>
        </w:pBdr>
        <w:spacing w:beforeLines="100" w:before="240" w:after="109" w:line="240" w:lineRule="auto"/>
        <w:rPr>
          <w:rFonts w:ascii="Arial" w:hAnsi="Arial" w:cs="Arial"/>
          <w:bCs/>
          <w:bdr w:val="none" w:sz="0" w:space="0" w:color="auto" w:frame="1"/>
          <w:shd w:val="clear" w:color="auto" w:fill="FFFFFF"/>
        </w:rPr>
      </w:pPr>
      <w:r w:rsidRPr="00D5126A">
        <w:rPr>
          <w:rFonts w:ascii="Arial" w:hAnsi="Arial" w:cs="Arial"/>
          <w:bCs/>
          <w:bdr w:val="none" w:sz="0" w:space="0" w:color="auto" w:frame="1"/>
          <w:shd w:val="clear" w:color="auto" w:fill="FFFFFF"/>
        </w:rPr>
        <w:t>Jo Breese</w:t>
      </w:r>
    </w:p>
    <w:p w:rsidR="006F5E9B" w:rsidRPr="00D5126A" w:rsidRDefault="006F5E9B" w:rsidP="002C7BF8">
      <w:pPr>
        <w:pStyle w:val="ListParagraph"/>
        <w:numPr>
          <w:ilvl w:val="0"/>
          <w:numId w:val="29"/>
        </w:numPr>
        <w:pBdr>
          <w:top w:val="none" w:sz="8" w:space="0" w:color="auto"/>
          <w:left w:val="none" w:sz="8" w:space="0" w:color="auto"/>
          <w:bottom w:val="none" w:sz="8" w:space="0" w:color="auto"/>
          <w:right w:val="none" w:sz="8" w:space="0" w:color="auto"/>
        </w:pBdr>
        <w:spacing w:beforeLines="100" w:before="240" w:after="109" w:line="240" w:lineRule="auto"/>
        <w:rPr>
          <w:rFonts w:ascii="Arial" w:hAnsi="Arial" w:cs="Arial"/>
          <w:bCs/>
          <w:bdr w:val="none" w:sz="0" w:space="0" w:color="auto" w:frame="1"/>
          <w:shd w:val="clear" w:color="auto" w:fill="FFFFFF"/>
        </w:rPr>
      </w:pPr>
      <w:r w:rsidRPr="00D5126A">
        <w:rPr>
          <w:rFonts w:ascii="Arial" w:hAnsi="Arial" w:cs="Arial"/>
          <w:bCs/>
          <w:bdr w:val="none" w:sz="0" w:space="0" w:color="auto" w:frame="1"/>
          <w:shd w:val="clear" w:color="auto" w:fill="FFFFFF"/>
        </w:rPr>
        <w:t xml:space="preserve">Dr Libby Harrison </w:t>
      </w:r>
    </w:p>
    <w:p w:rsidR="006F5E9B" w:rsidRPr="00D5126A" w:rsidRDefault="006F5E9B" w:rsidP="002C7BF8">
      <w:pPr>
        <w:pStyle w:val="ListParagraph"/>
        <w:numPr>
          <w:ilvl w:val="0"/>
          <w:numId w:val="29"/>
        </w:numPr>
        <w:pBdr>
          <w:top w:val="none" w:sz="8" w:space="0" w:color="auto"/>
          <w:left w:val="none" w:sz="8" w:space="0" w:color="auto"/>
          <w:bottom w:val="none" w:sz="8" w:space="0" w:color="auto"/>
          <w:right w:val="none" w:sz="8" w:space="0" w:color="auto"/>
        </w:pBdr>
        <w:spacing w:beforeLines="100" w:before="240" w:after="109" w:line="240" w:lineRule="auto"/>
        <w:rPr>
          <w:rFonts w:ascii="Arial" w:hAnsi="Arial" w:cs="Arial"/>
          <w:bCs/>
          <w:bdr w:val="none" w:sz="0" w:space="0" w:color="auto" w:frame="1"/>
          <w:shd w:val="clear" w:color="auto" w:fill="FFFFFF"/>
        </w:rPr>
      </w:pPr>
      <w:r w:rsidRPr="00D5126A">
        <w:rPr>
          <w:rFonts w:ascii="Arial" w:hAnsi="Arial" w:cs="Arial"/>
          <w:bCs/>
          <w:bdr w:val="none" w:sz="0" w:space="0" w:color="auto" w:frame="1"/>
          <w:shd w:val="clear" w:color="auto" w:fill="FFFFFF"/>
        </w:rPr>
        <w:t>Pete Monk</w:t>
      </w:r>
    </w:p>
    <w:p w:rsidR="006F5E9B" w:rsidRPr="00D5126A" w:rsidRDefault="006F5E9B" w:rsidP="002C7BF8">
      <w:pPr>
        <w:pStyle w:val="ListParagraph"/>
        <w:numPr>
          <w:ilvl w:val="0"/>
          <w:numId w:val="29"/>
        </w:numPr>
        <w:pBdr>
          <w:top w:val="none" w:sz="8" w:space="0" w:color="auto"/>
          <w:left w:val="none" w:sz="8" w:space="0" w:color="auto"/>
          <w:bottom w:val="none" w:sz="8" w:space="0" w:color="auto"/>
          <w:right w:val="none" w:sz="8" w:space="0" w:color="auto"/>
        </w:pBdr>
        <w:spacing w:beforeLines="100" w:before="240" w:after="109" w:line="240" w:lineRule="auto"/>
        <w:rPr>
          <w:rFonts w:ascii="Arial" w:hAnsi="Arial" w:cs="Arial"/>
          <w:bCs/>
          <w:bdr w:val="none" w:sz="0" w:space="0" w:color="auto" w:frame="1"/>
          <w:shd w:val="clear" w:color="auto" w:fill="FFFFFF"/>
        </w:rPr>
      </w:pPr>
      <w:r w:rsidRPr="00D5126A">
        <w:rPr>
          <w:rFonts w:ascii="Arial" w:hAnsi="Arial" w:cs="Arial"/>
          <w:bCs/>
          <w:bdr w:val="none" w:sz="0" w:space="0" w:color="auto" w:frame="1"/>
          <w:shd w:val="clear" w:color="auto" w:fill="FFFFFF"/>
        </w:rPr>
        <w:t xml:space="preserve">Russell Spratt </w:t>
      </w:r>
    </w:p>
    <w:p w:rsidR="006F5E9B" w:rsidRPr="00D5126A" w:rsidRDefault="006F5E9B" w:rsidP="006F5E9B">
      <w:pPr>
        <w:pBdr>
          <w:top w:val="none" w:sz="8" w:space="0" w:color="auto"/>
          <w:left w:val="none" w:sz="8" w:space="0" w:color="auto"/>
          <w:bottom w:val="none" w:sz="8" w:space="0" w:color="auto"/>
          <w:right w:val="none" w:sz="8" w:space="0" w:color="auto"/>
        </w:pBdr>
        <w:spacing w:beforeLines="100" w:before="240" w:after="109" w:line="240" w:lineRule="auto"/>
        <w:rPr>
          <w:rFonts w:ascii="Arial" w:eastAsia="Times New Roman" w:hAnsi="Arial"/>
          <w:lang w:eastAsia="en"/>
        </w:rPr>
      </w:pPr>
      <w:r w:rsidRPr="00D5126A">
        <w:rPr>
          <w:rFonts w:ascii="Arial" w:eastAsia="Times New Roman" w:hAnsi="Arial"/>
          <w:lang w:eastAsia="en"/>
        </w:rPr>
        <w:t xml:space="preserve">The Guardians provide a long-term strategic perspective on the sanctuary’s evolution and have an active interest in the long term future of the Trust.  </w:t>
      </w:r>
    </w:p>
    <w:p w:rsidR="006F5E9B" w:rsidRPr="00D5126A" w:rsidRDefault="006F5E9B" w:rsidP="006F5E9B">
      <w:pPr>
        <w:pBdr>
          <w:top w:val="none" w:sz="8" w:space="0" w:color="auto"/>
          <w:left w:val="none" w:sz="8" w:space="0" w:color="auto"/>
          <w:bottom w:val="none" w:sz="8" w:space="0" w:color="auto"/>
          <w:right w:val="none" w:sz="8" w:space="0" w:color="auto"/>
        </w:pBdr>
        <w:spacing w:beforeLines="100" w:before="240" w:after="109" w:line="240" w:lineRule="auto"/>
        <w:rPr>
          <w:rFonts w:ascii="Arial" w:eastAsia="Times New Roman" w:hAnsi="Arial"/>
          <w:lang w:eastAsia="en"/>
        </w:rPr>
      </w:pPr>
      <w:r w:rsidRPr="00D5126A">
        <w:rPr>
          <w:rFonts w:ascii="Arial" w:eastAsia="Times New Roman" w:hAnsi="Arial"/>
          <w:lang w:eastAsia="en"/>
        </w:rPr>
        <w:t xml:space="preserve">The Guardians of the Sanctuary are:  </w:t>
      </w:r>
    </w:p>
    <w:p w:rsidR="006F5E9B" w:rsidRPr="00D5126A" w:rsidRDefault="006F5E9B" w:rsidP="002C7BF8">
      <w:pPr>
        <w:pStyle w:val="ListParagraph"/>
        <w:numPr>
          <w:ilvl w:val="0"/>
          <w:numId w:val="29"/>
        </w:numPr>
        <w:pBdr>
          <w:top w:val="none" w:sz="8" w:space="0" w:color="auto"/>
          <w:left w:val="none" w:sz="8" w:space="0" w:color="auto"/>
          <w:bottom w:val="none" w:sz="8" w:space="0" w:color="auto"/>
          <w:right w:val="none" w:sz="8" w:space="0" w:color="auto"/>
        </w:pBdr>
        <w:spacing w:beforeLines="100" w:before="240" w:after="109" w:line="240" w:lineRule="auto"/>
        <w:rPr>
          <w:rFonts w:ascii="Arial" w:hAnsi="Arial" w:cs="Arial"/>
          <w:bCs/>
          <w:bdr w:val="none" w:sz="0" w:space="0" w:color="auto" w:frame="1"/>
          <w:shd w:val="clear" w:color="auto" w:fill="FFFFFF"/>
        </w:rPr>
      </w:pPr>
      <w:r w:rsidRPr="00D5126A">
        <w:rPr>
          <w:rFonts w:ascii="Arial" w:hAnsi="Arial" w:cs="Arial"/>
          <w:bCs/>
          <w:bdr w:val="none" w:sz="0" w:space="0" w:color="auto" w:frame="1"/>
          <w:shd w:val="clear" w:color="auto" w:fill="FFFFFF"/>
        </w:rPr>
        <w:t xml:space="preserve">Roy Sharp (Chair) </w:t>
      </w:r>
    </w:p>
    <w:p w:rsidR="006F5E9B" w:rsidRPr="00D5126A" w:rsidRDefault="006F5E9B" w:rsidP="002C7BF8">
      <w:pPr>
        <w:pStyle w:val="ListParagraph"/>
        <w:numPr>
          <w:ilvl w:val="0"/>
          <w:numId w:val="29"/>
        </w:numPr>
        <w:pBdr>
          <w:top w:val="none" w:sz="8" w:space="0" w:color="auto"/>
          <w:left w:val="none" w:sz="8" w:space="0" w:color="auto"/>
          <w:bottom w:val="none" w:sz="8" w:space="0" w:color="auto"/>
          <w:right w:val="none" w:sz="8" w:space="0" w:color="auto"/>
        </w:pBdr>
        <w:spacing w:beforeLines="100" w:before="240" w:after="109" w:line="240" w:lineRule="auto"/>
        <w:rPr>
          <w:rFonts w:ascii="Arial" w:hAnsi="Arial" w:cs="Arial"/>
          <w:bCs/>
          <w:bdr w:val="none" w:sz="0" w:space="0" w:color="auto" w:frame="1"/>
          <w:shd w:val="clear" w:color="auto" w:fill="FFFFFF"/>
        </w:rPr>
      </w:pPr>
      <w:r w:rsidRPr="00D5126A">
        <w:rPr>
          <w:rFonts w:ascii="Arial" w:hAnsi="Arial" w:cs="Arial"/>
          <w:bCs/>
          <w:bdr w:val="none" w:sz="0" w:space="0" w:color="auto" w:frame="1"/>
          <w:shd w:val="clear" w:color="auto" w:fill="FFFFFF"/>
        </w:rPr>
        <w:t xml:space="preserve">Julia Bracegirdle </w:t>
      </w:r>
    </w:p>
    <w:p w:rsidR="006F5E9B" w:rsidRPr="00D5126A" w:rsidRDefault="006F5E9B" w:rsidP="002C7BF8">
      <w:pPr>
        <w:pStyle w:val="ListParagraph"/>
        <w:numPr>
          <w:ilvl w:val="0"/>
          <w:numId w:val="29"/>
        </w:numPr>
        <w:pBdr>
          <w:top w:val="none" w:sz="8" w:space="0" w:color="auto"/>
          <w:left w:val="none" w:sz="8" w:space="0" w:color="auto"/>
          <w:bottom w:val="none" w:sz="8" w:space="0" w:color="auto"/>
          <w:right w:val="none" w:sz="8" w:space="0" w:color="auto"/>
        </w:pBdr>
        <w:spacing w:beforeLines="100" w:before="240" w:after="109" w:line="240" w:lineRule="auto"/>
        <w:rPr>
          <w:rFonts w:ascii="Arial" w:hAnsi="Arial" w:cs="Arial"/>
          <w:bCs/>
          <w:bdr w:val="none" w:sz="0" w:space="0" w:color="auto" w:frame="1"/>
          <w:shd w:val="clear" w:color="auto" w:fill="FFFFFF"/>
        </w:rPr>
      </w:pPr>
      <w:r w:rsidRPr="00D5126A">
        <w:rPr>
          <w:rFonts w:ascii="Arial" w:hAnsi="Arial" w:cs="Arial"/>
          <w:bCs/>
          <w:bdr w:val="none" w:sz="0" w:space="0" w:color="auto" w:frame="1"/>
          <w:shd w:val="clear" w:color="auto" w:fill="FFFFFF"/>
        </w:rPr>
        <w:t xml:space="preserve">John Burnet </w:t>
      </w:r>
    </w:p>
    <w:p w:rsidR="006F5E9B" w:rsidRPr="00D5126A" w:rsidRDefault="006F5E9B" w:rsidP="002C7BF8">
      <w:pPr>
        <w:pStyle w:val="ListParagraph"/>
        <w:numPr>
          <w:ilvl w:val="0"/>
          <w:numId w:val="29"/>
        </w:numPr>
        <w:pBdr>
          <w:top w:val="none" w:sz="8" w:space="0" w:color="auto"/>
          <w:left w:val="none" w:sz="8" w:space="0" w:color="auto"/>
          <w:bottom w:val="none" w:sz="8" w:space="0" w:color="auto"/>
          <w:right w:val="none" w:sz="8" w:space="0" w:color="auto"/>
        </w:pBdr>
        <w:spacing w:beforeLines="100" w:before="240" w:after="109" w:line="240" w:lineRule="auto"/>
        <w:rPr>
          <w:rFonts w:ascii="Arial" w:hAnsi="Arial" w:cs="Arial"/>
          <w:bCs/>
          <w:bdr w:val="none" w:sz="0" w:space="0" w:color="auto" w:frame="1"/>
          <w:shd w:val="clear" w:color="auto" w:fill="FFFFFF"/>
        </w:rPr>
      </w:pPr>
      <w:r w:rsidRPr="00D5126A">
        <w:rPr>
          <w:rFonts w:ascii="Arial" w:hAnsi="Arial" w:cs="Arial"/>
          <w:bCs/>
          <w:bdr w:val="none" w:sz="0" w:space="0" w:color="auto" w:frame="1"/>
          <w:shd w:val="clear" w:color="auto" w:fill="FFFFFF"/>
        </w:rPr>
        <w:t xml:space="preserve">Dr Peter Gilberd </w:t>
      </w:r>
    </w:p>
    <w:p w:rsidR="006F5E9B" w:rsidRPr="00D5126A" w:rsidRDefault="006F5E9B" w:rsidP="002C7BF8">
      <w:pPr>
        <w:pStyle w:val="ListParagraph"/>
        <w:numPr>
          <w:ilvl w:val="0"/>
          <w:numId w:val="29"/>
        </w:numPr>
        <w:pBdr>
          <w:top w:val="none" w:sz="8" w:space="0" w:color="auto"/>
          <w:left w:val="none" w:sz="8" w:space="0" w:color="auto"/>
          <w:bottom w:val="none" w:sz="8" w:space="0" w:color="auto"/>
          <w:right w:val="none" w:sz="8" w:space="0" w:color="auto"/>
        </w:pBdr>
        <w:spacing w:beforeLines="100" w:before="240" w:after="109" w:line="240" w:lineRule="auto"/>
        <w:rPr>
          <w:rFonts w:ascii="Arial" w:hAnsi="Arial" w:cs="Arial"/>
          <w:bCs/>
          <w:bdr w:val="none" w:sz="0" w:space="0" w:color="auto" w:frame="1"/>
          <w:shd w:val="clear" w:color="auto" w:fill="FFFFFF"/>
        </w:rPr>
      </w:pPr>
      <w:r w:rsidRPr="00D5126A">
        <w:rPr>
          <w:rFonts w:ascii="Arial" w:hAnsi="Arial" w:cs="Arial"/>
          <w:bCs/>
          <w:bdr w:val="none" w:sz="0" w:space="0" w:color="auto" w:frame="1"/>
          <w:shd w:val="clear" w:color="auto" w:fill="FFFFFF"/>
        </w:rPr>
        <w:t xml:space="preserve">Jim Lynch, QSM </w:t>
      </w:r>
    </w:p>
    <w:p w:rsidR="006F5E9B" w:rsidRPr="00D5126A" w:rsidRDefault="006F5E9B" w:rsidP="002C7BF8">
      <w:pPr>
        <w:pStyle w:val="ListParagraph"/>
        <w:numPr>
          <w:ilvl w:val="0"/>
          <w:numId w:val="29"/>
        </w:numPr>
        <w:pBdr>
          <w:top w:val="none" w:sz="8" w:space="0" w:color="auto"/>
          <w:left w:val="none" w:sz="8" w:space="0" w:color="auto"/>
          <w:bottom w:val="none" w:sz="8" w:space="0" w:color="auto"/>
          <w:right w:val="none" w:sz="8" w:space="0" w:color="auto"/>
        </w:pBdr>
        <w:spacing w:beforeLines="100" w:before="240" w:after="109" w:line="240" w:lineRule="auto"/>
        <w:rPr>
          <w:rFonts w:ascii="Arial" w:hAnsi="Arial" w:cs="Arial"/>
          <w:bCs/>
          <w:bdr w:val="none" w:sz="0" w:space="0" w:color="auto" w:frame="1"/>
          <w:shd w:val="clear" w:color="auto" w:fill="FFFFFF"/>
        </w:rPr>
      </w:pPr>
      <w:r w:rsidRPr="00D5126A">
        <w:rPr>
          <w:rFonts w:ascii="Arial" w:hAnsi="Arial" w:cs="Arial"/>
          <w:bCs/>
          <w:bdr w:val="none" w:sz="0" w:space="0" w:color="auto" w:frame="1"/>
          <w:shd w:val="clear" w:color="auto" w:fill="FFFFFF"/>
        </w:rPr>
        <w:t xml:space="preserve">Kevin Mason </w:t>
      </w:r>
    </w:p>
    <w:p w:rsidR="006F5E9B" w:rsidRPr="00D5126A" w:rsidRDefault="006F5E9B" w:rsidP="002C7BF8">
      <w:pPr>
        <w:pStyle w:val="ListParagraph"/>
        <w:numPr>
          <w:ilvl w:val="0"/>
          <w:numId w:val="29"/>
        </w:numPr>
        <w:pBdr>
          <w:top w:val="none" w:sz="8" w:space="0" w:color="auto"/>
          <w:left w:val="none" w:sz="8" w:space="0" w:color="auto"/>
          <w:bottom w:val="none" w:sz="8" w:space="0" w:color="auto"/>
          <w:right w:val="none" w:sz="8" w:space="0" w:color="auto"/>
        </w:pBdr>
        <w:spacing w:beforeLines="100" w:before="240" w:after="109" w:line="240" w:lineRule="auto"/>
        <w:rPr>
          <w:rFonts w:ascii="Arial" w:hAnsi="Arial" w:cs="Arial"/>
          <w:bCs/>
          <w:bdr w:val="none" w:sz="0" w:space="0" w:color="auto" w:frame="1"/>
          <w:shd w:val="clear" w:color="auto" w:fill="FFFFFF"/>
        </w:rPr>
      </w:pPr>
      <w:r w:rsidRPr="00D5126A">
        <w:rPr>
          <w:rFonts w:ascii="Arial" w:hAnsi="Arial" w:cs="Arial"/>
          <w:bCs/>
          <w:bdr w:val="none" w:sz="0" w:space="0" w:color="auto" w:frame="1"/>
          <w:shd w:val="clear" w:color="auto" w:fill="FFFFFF"/>
        </w:rPr>
        <w:t xml:space="preserve">Dr Nicola Nelson </w:t>
      </w:r>
    </w:p>
    <w:p w:rsidR="006F5E9B" w:rsidRPr="00D5126A" w:rsidRDefault="006F5E9B" w:rsidP="006F5E9B">
      <w:pPr>
        <w:pBdr>
          <w:top w:val="none" w:sz="8" w:space="0" w:color="auto"/>
          <w:left w:val="none" w:sz="8" w:space="0" w:color="auto"/>
          <w:bottom w:val="none" w:sz="8" w:space="0" w:color="auto"/>
          <w:right w:val="none" w:sz="8" w:space="0" w:color="auto"/>
        </w:pBdr>
        <w:spacing w:beforeLines="100" w:before="240" w:after="109" w:line="240" w:lineRule="auto"/>
        <w:rPr>
          <w:rFonts w:ascii="Arial" w:eastAsia="Times New Roman" w:hAnsi="Arial"/>
          <w:lang w:eastAsia="en"/>
        </w:rPr>
      </w:pPr>
      <w:r w:rsidRPr="00D5126A">
        <w:rPr>
          <w:rFonts w:ascii="Arial" w:eastAsia="Times New Roman" w:hAnsi="Arial"/>
          <w:lang w:eastAsia="en"/>
        </w:rPr>
        <w:t xml:space="preserve">For details on the activities of the Karori Sanctuary Trust, see the Environment section.  </w:t>
      </w:r>
    </w:p>
    <w:p w:rsidR="006F5E9B" w:rsidRPr="00D5126A" w:rsidRDefault="006F5E9B" w:rsidP="006F5E9B">
      <w:pPr>
        <w:pBdr>
          <w:top w:val="none" w:sz="8" w:space="0" w:color="auto"/>
          <w:left w:val="none" w:sz="8" w:space="0" w:color="auto"/>
          <w:bottom w:val="none" w:sz="8" w:space="0" w:color="auto"/>
          <w:right w:val="none" w:sz="8" w:space="0" w:color="auto"/>
        </w:pBdr>
        <w:spacing w:beforeLines="100" w:before="240" w:after="109" w:line="240" w:lineRule="auto"/>
        <w:rPr>
          <w:rFonts w:ascii="Arial" w:eastAsia="Times New Roman" w:hAnsi="Arial"/>
          <w:lang w:eastAsia="en"/>
        </w:rPr>
      </w:pPr>
      <w:r w:rsidRPr="00D5126A">
        <w:rPr>
          <w:rFonts w:ascii="Arial" w:eastAsia="Times New Roman" w:hAnsi="Arial"/>
          <w:lang w:eastAsia="en"/>
        </w:rPr>
        <w:t xml:space="preserve">For full details on the trust’s performance please refer to its annual report.  </w:t>
      </w:r>
    </w:p>
    <w:p w:rsidR="006F5E9B" w:rsidRPr="00D5126A" w:rsidRDefault="006F5E9B" w:rsidP="006F5E9B">
      <w:pPr>
        <w:spacing w:before="200"/>
        <w:rPr>
          <w:rFonts w:ascii="Arial" w:eastAsia="Times New Roman" w:hAnsi="Arial"/>
          <w:caps/>
          <w:color w:val="243F60"/>
          <w:spacing w:val="15"/>
          <w:lang w:eastAsia="en"/>
        </w:rPr>
      </w:pPr>
      <w:r w:rsidRPr="00D5126A">
        <w:rPr>
          <w:rFonts w:ascii="Arial" w:eastAsia="Times New Roman" w:hAnsi="Arial"/>
          <w:sz w:val="24"/>
          <w:szCs w:val="20"/>
          <w:lang w:eastAsia="en"/>
        </w:rPr>
        <w:br w:type="page"/>
      </w:r>
    </w:p>
    <w:p w:rsidR="006F5E9B" w:rsidRPr="00610DBC" w:rsidRDefault="006F5E9B" w:rsidP="006F5E9B">
      <w:pPr>
        <w:pStyle w:val="Heading3"/>
        <w:rPr>
          <w:color w:val="7030A0"/>
        </w:rPr>
      </w:pPr>
      <w:bookmarkStart w:id="313" w:name="_Toc19085868"/>
      <w:r w:rsidRPr="00610DBC">
        <w:rPr>
          <w:rFonts w:ascii="Arial" w:hAnsi="Arial" w:cs="Times New Roman"/>
          <w:noProof/>
          <w:color w:val="7030A0"/>
          <w:sz w:val="24"/>
          <w:szCs w:val="20"/>
        </w:rPr>
        <w:lastRenderedPageBreak/>
        <w:drawing>
          <wp:anchor distT="0" distB="0" distL="114300" distR="114300" simplePos="0" relativeHeight="251673600" behindDoc="1" locked="0" layoutInCell="1" allowOverlap="1" wp14:anchorId="3FFBAA4B" wp14:editId="34C0C9CD">
            <wp:simplePos x="0" y="0"/>
            <wp:positionH relativeFrom="column">
              <wp:posOffset>3168650</wp:posOffset>
            </wp:positionH>
            <wp:positionV relativeFrom="paragraph">
              <wp:posOffset>-378460</wp:posOffset>
            </wp:positionV>
            <wp:extent cx="1690370" cy="993775"/>
            <wp:effectExtent l="0" t="0" r="5080" b="0"/>
            <wp:wrapTight wrapText="bothSides">
              <wp:wrapPolygon edited="0">
                <wp:start x="0" y="0"/>
                <wp:lineTo x="0" y="21117"/>
                <wp:lineTo x="21421" y="21117"/>
                <wp:lineTo x="21421" y="0"/>
                <wp:lineTo x="0" y="0"/>
              </wp:wrapPolygon>
            </wp:wrapTight>
            <wp:docPr id="413" name="Picture 413" descr="Wellington Cable Car Limited logo"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hayes2w\AppData\Local\Microsoft\Windows\INetCache\Content.Word\00 Cable Car Logo.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90370" cy="993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10DBC">
        <w:rPr>
          <w:color w:val="7030A0"/>
        </w:rPr>
        <w:t>Wellington Cable Car Limited</w:t>
      </w:r>
      <w:bookmarkEnd w:id="313"/>
    </w:p>
    <w:p w:rsidR="006F5E9B" w:rsidRPr="00D5126A" w:rsidRDefault="006F5E9B" w:rsidP="006F5E9B">
      <w:pPr>
        <w:pBdr>
          <w:top w:val="none" w:sz="8" w:space="0" w:color="auto"/>
          <w:left w:val="none" w:sz="8" w:space="0" w:color="auto"/>
          <w:bottom w:val="none" w:sz="8" w:space="0" w:color="auto"/>
          <w:right w:val="none" w:sz="8" w:space="0" w:color="auto"/>
        </w:pBdr>
        <w:spacing w:beforeLines="100" w:before="240" w:after="109" w:line="240" w:lineRule="auto"/>
        <w:rPr>
          <w:rFonts w:ascii="Arial" w:eastAsia="Times New Roman" w:hAnsi="Arial"/>
          <w:sz w:val="24"/>
          <w:szCs w:val="20"/>
          <w:lang w:eastAsia="en"/>
        </w:rPr>
      </w:pPr>
    </w:p>
    <w:p w:rsidR="006F5E9B" w:rsidRPr="00D5126A" w:rsidRDefault="006F5E9B" w:rsidP="006F5E9B">
      <w:pPr>
        <w:pBdr>
          <w:top w:val="none" w:sz="8" w:space="0" w:color="auto"/>
          <w:left w:val="none" w:sz="8" w:space="0" w:color="auto"/>
          <w:bottom w:val="none" w:sz="8" w:space="0" w:color="auto"/>
          <w:right w:val="none" w:sz="8" w:space="0" w:color="auto"/>
        </w:pBdr>
        <w:spacing w:beforeLines="100" w:before="240" w:after="109" w:line="240" w:lineRule="auto"/>
        <w:rPr>
          <w:rFonts w:ascii="Arial" w:eastAsia="Times New Roman" w:hAnsi="Arial"/>
          <w:szCs w:val="20"/>
          <w:lang w:eastAsia="en"/>
        </w:rPr>
      </w:pPr>
      <w:r w:rsidRPr="00D5126A">
        <w:rPr>
          <w:rFonts w:ascii="Arial" w:eastAsia="Times New Roman" w:hAnsi="Arial"/>
          <w:szCs w:val="20"/>
          <w:lang w:eastAsia="en"/>
        </w:rPr>
        <w:t xml:space="preserve">Wellington Cable Car Ltd owns and operates the city’s iconic funicular railway between Lambton Quay in the CBD and Kelburn, a hill suburb overlooking the city and harbour.  The journey rises 120 metres vertically and takes about 5 minutes, with cars leaving every 10 minutes.  It is fully accessible to wheelchairs, mobility scooters and pushchairs.  </w:t>
      </w:r>
    </w:p>
    <w:p w:rsidR="006F5E9B" w:rsidRPr="00D5126A" w:rsidRDefault="006F5E9B" w:rsidP="006F5E9B">
      <w:pPr>
        <w:pBdr>
          <w:top w:val="none" w:sz="8" w:space="0" w:color="auto"/>
          <w:left w:val="none" w:sz="8" w:space="0" w:color="auto"/>
          <w:bottom w:val="none" w:sz="8" w:space="0" w:color="auto"/>
          <w:right w:val="none" w:sz="8" w:space="0" w:color="auto"/>
        </w:pBdr>
        <w:spacing w:beforeLines="100" w:before="240" w:after="109" w:line="240" w:lineRule="auto"/>
        <w:rPr>
          <w:rFonts w:ascii="Arial" w:eastAsia="Times New Roman" w:hAnsi="Arial"/>
          <w:szCs w:val="20"/>
          <w:lang w:eastAsia="en"/>
        </w:rPr>
      </w:pPr>
      <w:r w:rsidRPr="00D5126A">
        <w:rPr>
          <w:rFonts w:ascii="Arial" w:eastAsia="Times New Roman" w:hAnsi="Arial"/>
          <w:szCs w:val="20"/>
          <w:lang w:eastAsia="en"/>
        </w:rPr>
        <w:t xml:space="preserve">The Cable Car is one of Wellington’s most well visited attractions and records more than 1 million passenger journeys a year comprising of commuters, students and residents as well as the many visitors to Wellington.  The cruise ship season in Wellington is a particularly busy time for the Cable Car.  </w:t>
      </w:r>
    </w:p>
    <w:p w:rsidR="006F5E9B" w:rsidRPr="00D5126A" w:rsidRDefault="006F5E9B" w:rsidP="006F5E9B">
      <w:pPr>
        <w:pBdr>
          <w:top w:val="none" w:sz="8" w:space="0" w:color="auto"/>
          <w:left w:val="none" w:sz="8" w:space="0" w:color="auto"/>
          <w:bottom w:val="none" w:sz="8" w:space="0" w:color="auto"/>
          <w:right w:val="none" w:sz="8" w:space="0" w:color="auto"/>
        </w:pBdr>
        <w:spacing w:beforeLines="100" w:before="240" w:after="109" w:line="240" w:lineRule="auto"/>
        <w:rPr>
          <w:rFonts w:ascii="Arial" w:eastAsia="Times New Roman" w:hAnsi="Arial"/>
          <w:szCs w:val="20"/>
          <w:lang w:eastAsia="en"/>
        </w:rPr>
      </w:pPr>
      <w:r w:rsidRPr="00D5126A">
        <w:rPr>
          <w:rFonts w:ascii="Arial" w:eastAsia="Times New Roman" w:hAnsi="Arial"/>
          <w:szCs w:val="20"/>
          <w:lang w:eastAsia="en"/>
        </w:rPr>
        <w:t xml:space="preserve">The first journey was taken on 22 February 1902.  In 1933 electricity replaced steam as the power for the cable car.  The original 1902 cable cars were replaced in September 1978 and new replacements are planned for about 2025.  </w:t>
      </w:r>
    </w:p>
    <w:p w:rsidR="006F5E9B" w:rsidRPr="00D5126A" w:rsidRDefault="006F5E9B" w:rsidP="006F5E9B">
      <w:pPr>
        <w:pBdr>
          <w:top w:val="none" w:sz="8" w:space="0" w:color="auto"/>
          <w:left w:val="none" w:sz="8" w:space="0" w:color="auto"/>
          <w:bottom w:val="none" w:sz="8" w:space="0" w:color="auto"/>
          <w:right w:val="none" w:sz="8" w:space="0" w:color="auto"/>
        </w:pBdr>
        <w:spacing w:beforeLines="100" w:before="240" w:after="109" w:line="240" w:lineRule="auto"/>
        <w:rPr>
          <w:rFonts w:ascii="Arial" w:eastAsia="Times New Roman" w:hAnsi="Arial"/>
          <w:szCs w:val="20"/>
          <w:lang w:eastAsia="en"/>
        </w:rPr>
      </w:pPr>
      <w:r w:rsidRPr="00D5126A">
        <w:rPr>
          <w:rFonts w:ascii="Arial" w:eastAsia="Times New Roman" w:hAnsi="Arial"/>
          <w:szCs w:val="20"/>
          <w:lang w:eastAsia="en"/>
        </w:rPr>
        <w:t xml:space="preserve">Views from the Kelburn precinct are some of the most photographed in Wellington.  The precinct contains the Cable Car Museum and is a gateway to Space Place, the Botanic gardens, the Kelburn village and the free shuttle service to Zealandia.  </w:t>
      </w:r>
    </w:p>
    <w:p w:rsidR="006F5E9B" w:rsidRPr="00D5126A" w:rsidRDefault="006F5E9B" w:rsidP="006F5E9B">
      <w:pPr>
        <w:pBdr>
          <w:top w:val="none" w:sz="8" w:space="0" w:color="auto"/>
          <w:left w:val="none" w:sz="8" w:space="0" w:color="auto"/>
          <w:bottom w:val="none" w:sz="8" w:space="0" w:color="auto"/>
          <w:right w:val="none" w:sz="8" w:space="0" w:color="auto"/>
        </w:pBdr>
        <w:spacing w:beforeLines="100" w:before="240" w:after="109" w:line="240" w:lineRule="auto"/>
        <w:rPr>
          <w:rFonts w:ascii="Arial" w:eastAsia="Times New Roman" w:hAnsi="Arial"/>
          <w:szCs w:val="20"/>
          <w:lang w:eastAsia="en"/>
        </w:rPr>
      </w:pPr>
      <w:r w:rsidRPr="00D5126A">
        <w:rPr>
          <w:rFonts w:ascii="Arial" w:eastAsia="Times New Roman" w:hAnsi="Arial"/>
          <w:szCs w:val="20"/>
          <w:lang w:eastAsia="en"/>
        </w:rPr>
        <w:t xml:space="preserve">Wellington Cable Car Ltd is wholly owned by the Council and directors appointed to the board are Council officers.  The Chief Executive is Simon Fleisher.  </w:t>
      </w:r>
    </w:p>
    <w:p w:rsidR="006F5E9B" w:rsidRPr="00D5126A" w:rsidRDefault="006F5E9B" w:rsidP="006F5E9B">
      <w:pPr>
        <w:pBdr>
          <w:top w:val="none" w:sz="8" w:space="0" w:color="auto"/>
          <w:left w:val="none" w:sz="8" w:space="0" w:color="auto"/>
          <w:bottom w:val="none" w:sz="8" w:space="0" w:color="auto"/>
          <w:right w:val="none" w:sz="8" w:space="0" w:color="auto"/>
        </w:pBdr>
        <w:spacing w:beforeLines="100" w:before="240" w:after="109" w:line="240" w:lineRule="auto"/>
        <w:rPr>
          <w:rFonts w:ascii="Arial" w:eastAsia="Times New Roman" w:hAnsi="Arial"/>
          <w:szCs w:val="20"/>
          <w:lang w:eastAsia="en"/>
        </w:rPr>
      </w:pPr>
      <w:r w:rsidRPr="00D5126A">
        <w:rPr>
          <w:rFonts w:ascii="Arial" w:eastAsia="Times New Roman" w:hAnsi="Arial"/>
          <w:szCs w:val="20"/>
          <w:lang w:eastAsia="en"/>
        </w:rPr>
        <w:t xml:space="preserve">The board of directors is: </w:t>
      </w:r>
    </w:p>
    <w:p w:rsidR="006F5E9B" w:rsidRPr="00D5126A" w:rsidRDefault="006F5E9B" w:rsidP="002C7BF8">
      <w:pPr>
        <w:pStyle w:val="ListParagraph"/>
        <w:numPr>
          <w:ilvl w:val="0"/>
          <w:numId w:val="24"/>
        </w:numPr>
        <w:pBdr>
          <w:top w:val="none" w:sz="8" w:space="0" w:color="auto"/>
          <w:left w:val="none" w:sz="8" w:space="0" w:color="auto"/>
          <w:bottom w:val="none" w:sz="8" w:space="0" w:color="auto"/>
          <w:right w:val="none" w:sz="8" w:space="0" w:color="auto"/>
        </w:pBdr>
        <w:spacing w:beforeLines="100" w:before="240" w:after="109" w:line="240" w:lineRule="auto"/>
        <w:rPr>
          <w:rFonts w:ascii="Arial" w:eastAsia="Times New Roman" w:hAnsi="Arial"/>
          <w:szCs w:val="20"/>
          <w:lang w:eastAsia="en"/>
        </w:rPr>
      </w:pPr>
      <w:r w:rsidRPr="00D5126A">
        <w:rPr>
          <w:rFonts w:ascii="Arial" w:eastAsia="Times New Roman" w:hAnsi="Arial"/>
          <w:szCs w:val="20"/>
          <w:lang w:eastAsia="en"/>
        </w:rPr>
        <w:t xml:space="preserve">Andy Matthews (Chair) </w:t>
      </w:r>
    </w:p>
    <w:p w:rsidR="006F5E9B" w:rsidRPr="00D5126A" w:rsidRDefault="006F5E9B" w:rsidP="002C7BF8">
      <w:pPr>
        <w:pStyle w:val="ListParagraph"/>
        <w:numPr>
          <w:ilvl w:val="0"/>
          <w:numId w:val="24"/>
        </w:numPr>
        <w:pBdr>
          <w:top w:val="none" w:sz="8" w:space="0" w:color="auto"/>
          <w:left w:val="none" w:sz="8" w:space="0" w:color="auto"/>
          <w:bottom w:val="none" w:sz="8" w:space="0" w:color="auto"/>
          <w:right w:val="none" w:sz="8" w:space="0" w:color="auto"/>
        </w:pBdr>
        <w:spacing w:beforeLines="100" w:before="240" w:after="109" w:line="240" w:lineRule="auto"/>
        <w:rPr>
          <w:rFonts w:ascii="Arial" w:eastAsia="Times New Roman" w:hAnsi="Arial"/>
          <w:szCs w:val="20"/>
          <w:lang w:eastAsia="en"/>
        </w:rPr>
      </w:pPr>
      <w:r w:rsidRPr="00D5126A">
        <w:rPr>
          <w:rFonts w:ascii="Arial" w:eastAsia="Times New Roman" w:hAnsi="Arial"/>
          <w:szCs w:val="20"/>
          <w:lang w:eastAsia="en"/>
        </w:rPr>
        <w:t xml:space="preserve">Hayley Evans </w:t>
      </w:r>
    </w:p>
    <w:p w:rsidR="006F5E9B" w:rsidRPr="00D5126A" w:rsidRDefault="006F5E9B" w:rsidP="006F5E9B">
      <w:pPr>
        <w:pBdr>
          <w:top w:val="none" w:sz="8" w:space="0" w:color="auto"/>
          <w:left w:val="none" w:sz="8" w:space="0" w:color="auto"/>
          <w:bottom w:val="none" w:sz="8" w:space="0" w:color="auto"/>
          <w:right w:val="none" w:sz="8" w:space="0" w:color="auto"/>
        </w:pBdr>
        <w:spacing w:beforeLines="100" w:before="240" w:after="109" w:line="240" w:lineRule="auto"/>
        <w:rPr>
          <w:rFonts w:ascii="Arial" w:eastAsia="Times New Roman" w:hAnsi="Arial"/>
          <w:szCs w:val="20"/>
          <w:lang w:eastAsia="en"/>
        </w:rPr>
      </w:pPr>
      <w:r w:rsidRPr="00D5126A">
        <w:rPr>
          <w:rFonts w:ascii="Arial" w:eastAsia="Times New Roman" w:hAnsi="Arial"/>
          <w:szCs w:val="20"/>
          <w:lang w:eastAsia="en"/>
        </w:rPr>
        <w:t xml:space="preserve">For information on the activities of Wellington Cable Car Ltd, see the </w:t>
      </w:r>
      <w:r w:rsidRPr="00D5126A">
        <w:rPr>
          <w:rFonts w:ascii="Arial" w:eastAsia="Times New Roman" w:hAnsi="Arial" w:cs="Arial"/>
          <w:szCs w:val="20"/>
          <w:lang w:eastAsia="en"/>
        </w:rPr>
        <w:t>Transport</w:t>
      </w:r>
      <w:r w:rsidRPr="00D5126A">
        <w:rPr>
          <w:rFonts w:ascii="Arial" w:eastAsia="Times New Roman" w:hAnsi="Arial"/>
          <w:szCs w:val="20"/>
          <w:lang w:eastAsia="en"/>
        </w:rPr>
        <w:t xml:space="preserve"> section.</w:t>
      </w:r>
    </w:p>
    <w:p w:rsidR="006F5E9B" w:rsidRPr="00D5126A" w:rsidRDefault="006F5E9B" w:rsidP="006F5E9B">
      <w:pPr>
        <w:pBdr>
          <w:top w:val="none" w:sz="8" w:space="0" w:color="auto"/>
          <w:left w:val="none" w:sz="8" w:space="0" w:color="auto"/>
          <w:bottom w:val="none" w:sz="8" w:space="0" w:color="auto"/>
          <w:right w:val="none" w:sz="8" w:space="0" w:color="auto"/>
        </w:pBdr>
        <w:spacing w:beforeLines="100" w:before="240" w:after="109" w:line="240" w:lineRule="auto"/>
        <w:rPr>
          <w:rFonts w:ascii="Arial" w:eastAsia="Times New Roman" w:hAnsi="Arial"/>
          <w:szCs w:val="20"/>
          <w:lang w:eastAsia="en"/>
        </w:rPr>
      </w:pPr>
      <w:r w:rsidRPr="00D5126A">
        <w:rPr>
          <w:rFonts w:ascii="Arial" w:eastAsia="Times New Roman" w:hAnsi="Arial"/>
          <w:szCs w:val="20"/>
          <w:lang w:eastAsia="en"/>
        </w:rPr>
        <w:t xml:space="preserve">For full details on the company’s performance, refer to its annual report.  </w:t>
      </w:r>
    </w:p>
    <w:p w:rsidR="006F5E9B" w:rsidRPr="00D5126A" w:rsidRDefault="006F5E9B" w:rsidP="006F5E9B">
      <w:pPr>
        <w:spacing w:before="200" w:line="240" w:lineRule="auto"/>
        <w:rPr>
          <w:rFonts w:ascii="Arial" w:eastAsia="Times New Roman" w:hAnsi="Arial" w:cs="Arial"/>
          <w:sz w:val="20"/>
          <w:lang w:eastAsia="en"/>
        </w:rPr>
      </w:pPr>
    </w:p>
    <w:p w:rsidR="006F5E9B" w:rsidRPr="00D5126A" w:rsidRDefault="006F5E9B" w:rsidP="006F5E9B">
      <w:pPr>
        <w:spacing w:before="200"/>
        <w:rPr>
          <w:rFonts w:ascii="Arial" w:eastAsia="Times New Roman" w:hAnsi="Arial"/>
          <w:lang w:eastAsia="en"/>
        </w:rPr>
      </w:pPr>
      <w:r w:rsidRPr="00D5126A">
        <w:rPr>
          <w:rFonts w:ascii="Arial" w:eastAsia="Times New Roman" w:hAnsi="Arial"/>
          <w:sz w:val="24"/>
          <w:szCs w:val="20"/>
          <w:lang w:eastAsia="en"/>
        </w:rPr>
        <w:br w:type="page"/>
      </w:r>
    </w:p>
    <w:p w:rsidR="006F5E9B" w:rsidRPr="00610DBC" w:rsidRDefault="006F5E9B" w:rsidP="006F5E9B">
      <w:pPr>
        <w:pStyle w:val="Heading3"/>
        <w:rPr>
          <w:color w:val="7030A0"/>
        </w:rPr>
      </w:pPr>
      <w:bookmarkStart w:id="314" w:name="_Toc19085869"/>
      <w:r w:rsidRPr="00610DBC">
        <w:rPr>
          <w:rFonts w:cs="Times New Roman"/>
          <w:noProof/>
          <w:color w:val="7030A0"/>
          <w:sz w:val="24"/>
          <w:szCs w:val="20"/>
        </w:rPr>
        <w:lastRenderedPageBreak/>
        <w:drawing>
          <wp:anchor distT="0" distB="0" distL="114300" distR="114300" simplePos="0" relativeHeight="251672576" behindDoc="1" locked="0" layoutInCell="1" allowOverlap="1" wp14:anchorId="630A8D0B" wp14:editId="26D1DB74">
            <wp:simplePos x="0" y="0"/>
            <wp:positionH relativeFrom="column">
              <wp:posOffset>2770505</wp:posOffset>
            </wp:positionH>
            <wp:positionV relativeFrom="paragraph">
              <wp:posOffset>-329565</wp:posOffset>
            </wp:positionV>
            <wp:extent cx="2530475" cy="605790"/>
            <wp:effectExtent l="0" t="0" r="3175" b="3810"/>
            <wp:wrapTight wrapText="bothSides">
              <wp:wrapPolygon edited="0">
                <wp:start x="0" y="0"/>
                <wp:lineTo x="0" y="21057"/>
                <wp:lineTo x="21464" y="21057"/>
                <wp:lineTo x="21464" y="0"/>
                <wp:lineTo x="0" y="0"/>
              </wp:wrapPolygon>
            </wp:wrapTight>
            <wp:docPr id="414" name="CCO-wellington-museums-trust-RGB.jpg" descr="Wellington Museums Trust (Experience Wellington) logo"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O-wellington-museums-trust-RGB.jpg" descr="Wellington Museums Trust logo"/>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530475" cy="605790"/>
                    </a:xfrm>
                    <a:prstGeom prst="rect">
                      <a:avLst/>
                    </a:prstGeom>
                  </pic:spPr>
                </pic:pic>
              </a:graphicData>
            </a:graphic>
            <wp14:sizeRelH relativeFrom="page">
              <wp14:pctWidth>0</wp14:pctWidth>
            </wp14:sizeRelH>
            <wp14:sizeRelV relativeFrom="page">
              <wp14:pctHeight>0</wp14:pctHeight>
            </wp14:sizeRelV>
          </wp:anchor>
        </w:drawing>
      </w:r>
      <w:r w:rsidRPr="00610DBC">
        <w:rPr>
          <w:color w:val="7030A0"/>
        </w:rPr>
        <w:t>Wellington Museums Trust</w:t>
      </w:r>
      <w:bookmarkEnd w:id="314"/>
    </w:p>
    <w:p w:rsidR="006F5E9B" w:rsidRPr="00D5126A" w:rsidRDefault="006F5E9B" w:rsidP="006F5E9B">
      <w:pPr>
        <w:pBdr>
          <w:top w:val="none" w:sz="8" w:space="0" w:color="auto"/>
          <w:left w:val="none" w:sz="8" w:space="0" w:color="auto"/>
          <w:bottom w:val="none" w:sz="8" w:space="0" w:color="auto"/>
          <w:right w:val="none" w:sz="8" w:space="0" w:color="auto"/>
        </w:pBdr>
        <w:spacing w:beforeLines="100" w:before="240" w:after="109" w:line="240" w:lineRule="auto"/>
        <w:rPr>
          <w:rFonts w:ascii="Arial" w:eastAsia="Times New Roman" w:hAnsi="Arial"/>
          <w:szCs w:val="20"/>
          <w:lang w:eastAsia="en"/>
        </w:rPr>
      </w:pPr>
      <w:r w:rsidRPr="00D5126A">
        <w:rPr>
          <w:rFonts w:ascii="Arial" w:eastAsia="Times New Roman" w:hAnsi="Arial"/>
          <w:szCs w:val="20"/>
          <w:lang w:eastAsia="en"/>
        </w:rPr>
        <w:t xml:space="preserve">The Wellington Museums Trust, which trades as Experience Wellington, operates six institutions on behalf of the Council. These are Capital E, Space Place at Carter Observatory, City Gallery Wellington, Nairn Street Cottage, the Cable Car Museum, and Wellington Museum.  In addition to operating these diverse activities the Trust manages the Plimmer’s Ark display in Old Bank Arcade, the recovered Plimmer’s Ark timbers in storage, Wellington city’s heritage collections, Hannah Playhouse and provides support to the New Zealand Cricket Museum. </w:t>
      </w:r>
    </w:p>
    <w:p w:rsidR="006F5E9B" w:rsidRPr="00D5126A" w:rsidRDefault="006F5E9B" w:rsidP="006F5E9B">
      <w:pPr>
        <w:pBdr>
          <w:top w:val="none" w:sz="8" w:space="0" w:color="auto"/>
          <w:left w:val="none" w:sz="8" w:space="0" w:color="auto"/>
          <w:bottom w:val="none" w:sz="8" w:space="0" w:color="auto"/>
          <w:right w:val="none" w:sz="8" w:space="0" w:color="auto"/>
        </w:pBdr>
        <w:spacing w:beforeLines="100" w:before="240" w:after="109" w:line="240" w:lineRule="auto"/>
        <w:rPr>
          <w:rFonts w:ascii="Arial" w:eastAsia="Times New Roman" w:hAnsi="Arial"/>
          <w:szCs w:val="20"/>
          <w:lang w:eastAsia="en"/>
        </w:rPr>
      </w:pPr>
      <w:r w:rsidRPr="00D5126A">
        <w:rPr>
          <w:rFonts w:ascii="Arial" w:eastAsia="Times New Roman" w:hAnsi="Arial"/>
          <w:szCs w:val="20"/>
          <w:lang w:eastAsia="en"/>
        </w:rPr>
        <w:t>In managing these institutions and artefacts, the Trust’s main activities include:</w:t>
      </w:r>
    </w:p>
    <w:p w:rsidR="006F5E9B" w:rsidRPr="00D5126A" w:rsidRDefault="006F5E9B" w:rsidP="002C7BF8">
      <w:pPr>
        <w:pStyle w:val="ListParagraph"/>
        <w:numPr>
          <w:ilvl w:val="0"/>
          <w:numId w:val="20"/>
        </w:numPr>
        <w:pBdr>
          <w:top w:val="none" w:sz="8" w:space="0" w:color="auto"/>
          <w:left w:val="none" w:sz="8" w:space="0" w:color="auto"/>
          <w:bottom w:val="none" w:sz="8" w:space="0" w:color="auto"/>
          <w:right w:val="none" w:sz="8" w:space="0" w:color="auto"/>
        </w:pBdr>
        <w:spacing w:before="240" w:after="0" w:line="240" w:lineRule="auto"/>
        <w:rPr>
          <w:rFonts w:ascii="Arial" w:eastAsia="Times New Roman" w:hAnsi="Arial"/>
          <w:szCs w:val="20"/>
          <w:lang w:eastAsia="en"/>
        </w:rPr>
      </w:pPr>
      <w:proofErr w:type="gramStart"/>
      <w:r w:rsidRPr="00D5126A">
        <w:rPr>
          <w:rFonts w:ascii="Arial" w:eastAsia="Times New Roman" w:hAnsi="Arial"/>
          <w:szCs w:val="20"/>
          <w:lang w:eastAsia="en"/>
        </w:rPr>
        <w:t>delivering</w:t>
      </w:r>
      <w:proofErr w:type="gramEnd"/>
      <w:r w:rsidRPr="00D5126A">
        <w:rPr>
          <w:rFonts w:ascii="Arial" w:eastAsia="Times New Roman" w:hAnsi="Arial"/>
          <w:szCs w:val="20"/>
          <w:lang w:eastAsia="en"/>
        </w:rPr>
        <w:t xml:space="preserve"> a divers programme of events and exhibitions.</w:t>
      </w:r>
    </w:p>
    <w:p w:rsidR="006F5E9B" w:rsidRPr="00D5126A" w:rsidRDefault="006F5E9B" w:rsidP="002C7BF8">
      <w:pPr>
        <w:pStyle w:val="ListParagraph"/>
        <w:numPr>
          <w:ilvl w:val="0"/>
          <w:numId w:val="20"/>
        </w:numPr>
        <w:pBdr>
          <w:top w:val="none" w:sz="8" w:space="0" w:color="auto"/>
          <w:left w:val="none" w:sz="8" w:space="0" w:color="auto"/>
          <w:bottom w:val="none" w:sz="8" w:space="0" w:color="auto"/>
          <w:right w:val="none" w:sz="8" w:space="0" w:color="auto"/>
        </w:pBdr>
        <w:spacing w:before="240" w:after="0" w:line="240" w:lineRule="auto"/>
        <w:rPr>
          <w:rFonts w:ascii="Arial" w:eastAsia="Times New Roman" w:hAnsi="Arial"/>
          <w:szCs w:val="20"/>
          <w:lang w:eastAsia="en"/>
        </w:rPr>
      </w:pPr>
      <w:proofErr w:type="gramStart"/>
      <w:r w:rsidRPr="00D5126A">
        <w:rPr>
          <w:rFonts w:ascii="Arial" w:eastAsia="Times New Roman" w:hAnsi="Arial"/>
          <w:szCs w:val="20"/>
          <w:lang w:eastAsia="en"/>
        </w:rPr>
        <w:t>working</w:t>
      </w:r>
      <w:proofErr w:type="gramEnd"/>
      <w:r w:rsidRPr="00D5126A">
        <w:rPr>
          <w:rFonts w:ascii="Arial" w:eastAsia="Times New Roman" w:hAnsi="Arial"/>
          <w:szCs w:val="20"/>
          <w:lang w:eastAsia="en"/>
        </w:rPr>
        <w:t xml:space="preserve"> with national and international artists.</w:t>
      </w:r>
    </w:p>
    <w:p w:rsidR="006F5E9B" w:rsidRPr="00D5126A" w:rsidRDefault="006F5E9B" w:rsidP="002C7BF8">
      <w:pPr>
        <w:pStyle w:val="ListParagraph"/>
        <w:numPr>
          <w:ilvl w:val="0"/>
          <w:numId w:val="20"/>
        </w:numPr>
        <w:pBdr>
          <w:top w:val="none" w:sz="8" w:space="0" w:color="auto"/>
          <w:left w:val="none" w:sz="8" w:space="0" w:color="auto"/>
          <w:bottom w:val="none" w:sz="8" w:space="0" w:color="auto"/>
          <w:right w:val="none" w:sz="8" w:space="0" w:color="auto"/>
        </w:pBdr>
        <w:spacing w:before="240" w:after="0" w:line="240" w:lineRule="auto"/>
        <w:rPr>
          <w:rFonts w:ascii="Arial" w:eastAsia="Times New Roman" w:hAnsi="Arial"/>
          <w:szCs w:val="20"/>
          <w:lang w:eastAsia="en"/>
        </w:rPr>
      </w:pPr>
      <w:proofErr w:type="gramStart"/>
      <w:r w:rsidRPr="00D5126A">
        <w:rPr>
          <w:rFonts w:ascii="Arial" w:eastAsia="Times New Roman" w:hAnsi="Arial"/>
          <w:szCs w:val="20"/>
          <w:lang w:eastAsia="en"/>
        </w:rPr>
        <w:t>conserving</w:t>
      </w:r>
      <w:proofErr w:type="gramEnd"/>
      <w:r w:rsidRPr="00D5126A">
        <w:rPr>
          <w:rFonts w:ascii="Arial" w:eastAsia="Times New Roman" w:hAnsi="Arial"/>
          <w:szCs w:val="20"/>
          <w:lang w:eastAsia="en"/>
        </w:rPr>
        <w:t xml:space="preserve"> and caring for the objects of its collections.</w:t>
      </w:r>
    </w:p>
    <w:p w:rsidR="006F5E9B" w:rsidRPr="00D5126A" w:rsidRDefault="006F5E9B" w:rsidP="002C7BF8">
      <w:pPr>
        <w:pStyle w:val="ListParagraph"/>
        <w:numPr>
          <w:ilvl w:val="0"/>
          <w:numId w:val="20"/>
        </w:numPr>
        <w:pBdr>
          <w:top w:val="none" w:sz="8" w:space="0" w:color="auto"/>
          <w:left w:val="none" w:sz="8" w:space="0" w:color="auto"/>
          <w:bottom w:val="none" w:sz="8" w:space="0" w:color="auto"/>
          <w:right w:val="none" w:sz="8" w:space="0" w:color="auto"/>
        </w:pBdr>
        <w:spacing w:before="240" w:after="0" w:line="240" w:lineRule="auto"/>
        <w:rPr>
          <w:rFonts w:eastAsia="Times New Roman"/>
          <w:sz w:val="20"/>
          <w:lang w:eastAsia="en"/>
        </w:rPr>
      </w:pPr>
      <w:proofErr w:type="gramStart"/>
      <w:r w:rsidRPr="00D5126A">
        <w:rPr>
          <w:rFonts w:ascii="Arial" w:eastAsia="Times New Roman" w:hAnsi="Arial"/>
          <w:szCs w:val="20"/>
          <w:lang w:eastAsia="en"/>
        </w:rPr>
        <w:t>delivering</w:t>
      </w:r>
      <w:proofErr w:type="gramEnd"/>
      <w:r w:rsidRPr="00D5126A">
        <w:rPr>
          <w:rFonts w:ascii="Arial" w:eastAsia="Times New Roman" w:hAnsi="Arial"/>
          <w:szCs w:val="20"/>
          <w:lang w:eastAsia="en"/>
        </w:rPr>
        <w:t xml:space="preserve"> education experiences for children and young people.</w:t>
      </w:r>
    </w:p>
    <w:p w:rsidR="006F5E9B" w:rsidRPr="00D5126A" w:rsidRDefault="006F5E9B" w:rsidP="006F5E9B">
      <w:pPr>
        <w:pBdr>
          <w:top w:val="none" w:sz="8" w:space="0" w:color="auto"/>
          <w:left w:val="none" w:sz="8" w:space="0" w:color="auto"/>
          <w:bottom w:val="none" w:sz="8" w:space="0" w:color="auto"/>
          <w:right w:val="none" w:sz="8" w:space="0" w:color="auto"/>
        </w:pBdr>
        <w:spacing w:beforeLines="100" w:before="240" w:after="109" w:line="240" w:lineRule="auto"/>
        <w:rPr>
          <w:rFonts w:ascii="Arial" w:eastAsia="Times New Roman" w:hAnsi="Arial"/>
          <w:szCs w:val="20"/>
          <w:lang w:eastAsia="en"/>
        </w:rPr>
      </w:pPr>
      <w:r w:rsidRPr="00D5126A">
        <w:rPr>
          <w:rFonts w:ascii="Arial" w:eastAsia="Times New Roman" w:hAnsi="Arial"/>
          <w:szCs w:val="20"/>
          <w:lang w:eastAsia="en"/>
        </w:rPr>
        <w:t xml:space="preserve">The board of trustees is: </w:t>
      </w:r>
    </w:p>
    <w:p w:rsidR="006F5E9B" w:rsidRPr="00D5126A" w:rsidRDefault="006F5E9B" w:rsidP="002C7BF8">
      <w:pPr>
        <w:pStyle w:val="ListParagraph"/>
        <w:numPr>
          <w:ilvl w:val="0"/>
          <w:numId w:val="25"/>
        </w:numPr>
        <w:pBdr>
          <w:top w:val="none" w:sz="8" w:space="0" w:color="auto"/>
          <w:left w:val="none" w:sz="8" w:space="0" w:color="auto"/>
          <w:bottom w:val="none" w:sz="8" w:space="0" w:color="auto"/>
          <w:right w:val="none" w:sz="8" w:space="0" w:color="auto"/>
        </w:pBdr>
        <w:spacing w:before="240" w:after="109" w:line="240" w:lineRule="auto"/>
        <w:rPr>
          <w:rFonts w:ascii="Arial" w:eastAsia="Times New Roman" w:hAnsi="Arial"/>
          <w:szCs w:val="20"/>
          <w:lang w:eastAsia="en"/>
        </w:rPr>
      </w:pPr>
      <w:r w:rsidRPr="00D5126A">
        <w:rPr>
          <w:rFonts w:ascii="Arial" w:eastAsia="Times New Roman" w:hAnsi="Arial"/>
          <w:szCs w:val="20"/>
          <w:lang w:eastAsia="en"/>
        </w:rPr>
        <w:t xml:space="preserve">Jackie Lloyd (Chair) </w:t>
      </w:r>
    </w:p>
    <w:p w:rsidR="006F5E9B" w:rsidRPr="00D5126A" w:rsidRDefault="006F5E9B" w:rsidP="002C7BF8">
      <w:pPr>
        <w:pStyle w:val="ListParagraph"/>
        <w:numPr>
          <w:ilvl w:val="0"/>
          <w:numId w:val="25"/>
        </w:numPr>
        <w:pBdr>
          <w:top w:val="none" w:sz="8" w:space="0" w:color="auto"/>
          <w:left w:val="none" w:sz="8" w:space="0" w:color="auto"/>
          <w:bottom w:val="none" w:sz="8" w:space="0" w:color="auto"/>
          <w:right w:val="none" w:sz="8" w:space="0" w:color="auto"/>
        </w:pBdr>
        <w:spacing w:before="240" w:after="109" w:line="240" w:lineRule="auto"/>
        <w:rPr>
          <w:rFonts w:ascii="Arial" w:eastAsia="Times New Roman" w:hAnsi="Arial"/>
          <w:szCs w:val="20"/>
          <w:lang w:eastAsia="en"/>
        </w:rPr>
      </w:pPr>
      <w:r w:rsidRPr="00D5126A">
        <w:rPr>
          <w:rFonts w:ascii="Arial" w:eastAsia="Times New Roman" w:hAnsi="Arial"/>
          <w:szCs w:val="20"/>
          <w:lang w:eastAsia="en"/>
        </w:rPr>
        <w:t xml:space="preserve">Rachel Farrant </w:t>
      </w:r>
    </w:p>
    <w:p w:rsidR="006F5E9B" w:rsidRPr="00D5126A" w:rsidRDefault="006F5E9B" w:rsidP="002C7BF8">
      <w:pPr>
        <w:pStyle w:val="ListParagraph"/>
        <w:numPr>
          <w:ilvl w:val="0"/>
          <w:numId w:val="25"/>
        </w:numPr>
        <w:pBdr>
          <w:top w:val="none" w:sz="8" w:space="0" w:color="auto"/>
          <w:left w:val="none" w:sz="8" w:space="0" w:color="auto"/>
          <w:bottom w:val="none" w:sz="8" w:space="0" w:color="auto"/>
          <w:right w:val="none" w:sz="8" w:space="0" w:color="auto"/>
        </w:pBdr>
        <w:spacing w:before="240" w:after="109" w:line="240" w:lineRule="auto"/>
        <w:rPr>
          <w:rFonts w:ascii="Arial" w:eastAsia="Times New Roman" w:hAnsi="Arial"/>
          <w:szCs w:val="20"/>
          <w:lang w:eastAsia="en"/>
        </w:rPr>
      </w:pPr>
      <w:r w:rsidRPr="00D5126A">
        <w:rPr>
          <w:rFonts w:ascii="Arial" w:eastAsia="Times New Roman" w:hAnsi="Arial"/>
          <w:szCs w:val="20"/>
          <w:lang w:eastAsia="en"/>
        </w:rPr>
        <w:t xml:space="preserve">Peter Jackson </w:t>
      </w:r>
    </w:p>
    <w:p w:rsidR="006F5E9B" w:rsidRPr="00D5126A" w:rsidRDefault="006F5E9B" w:rsidP="002C7BF8">
      <w:pPr>
        <w:pStyle w:val="ListParagraph"/>
        <w:numPr>
          <w:ilvl w:val="0"/>
          <w:numId w:val="25"/>
        </w:numPr>
        <w:pBdr>
          <w:top w:val="none" w:sz="8" w:space="0" w:color="auto"/>
          <w:left w:val="none" w:sz="8" w:space="0" w:color="auto"/>
          <w:bottom w:val="none" w:sz="8" w:space="0" w:color="auto"/>
          <w:right w:val="none" w:sz="8" w:space="0" w:color="auto"/>
        </w:pBdr>
        <w:spacing w:before="240" w:after="109" w:line="240" w:lineRule="auto"/>
        <w:rPr>
          <w:rFonts w:ascii="Arial" w:eastAsia="Times New Roman" w:hAnsi="Arial"/>
          <w:szCs w:val="20"/>
          <w:lang w:eastAsia="en"/>
        </w:rPr>
      </w:pPr>
      <w:r w:rsidRPr="00D5126A">
        <w:rPr>
          <w:rFonts w:ascii="Arial" w:eastAsia="Times New Roman" w:hAnsi="Arial"/>
          <w:szCs w:val="20"/>
          <w:lang w:eastAsia="en"/>
        </w:rPr>
        <w:t xml:space="preserve">Jane Wrightson </w:t>
      </w:r>
    </w:p>
    <w:p w:rsidR="006F5E9B" w:rsidRPr="00D5126A" w:rsidRDefault="006F5E9B" w:rsidP="002C7BF8">
      <w:pPr>
        <w:pStyle w:val="ListParagraph"/>
        <w:numPr>
          <w:ilvl w:val="0"/>
          <w:numId w:val="25"/>
        </w:numPr>
        <w:pBdr>
          <w:top w:val="none" w:sz="8" w:space="0" w:color="auto"/>
          <w:left w:val="none" w:sz="8" w:space="0" w:color="auto"/>
          <w:bottom w:val="none" w:sz="8" w:space="0" w:color="auto"/>
          <w:right w:val="none" w:sz="8" w:space="0" w:color="auto"/>
        </w:pBdr>
        <w:spacing w:before="240" w:after="109" w:line="240" w:lineRule="auto"/>
        <w:rPr>
          <w:rFonts w:ascii="Arial" w:eastAsia="Times New Roman" w:hAnsi="Arial"/>
          <w:szCs w:val="20"/>
          <w:lang w:eastAsia="en"/>
        </w:rPr>
      </w:pPr>
      <w:r w:rsidRPr="00D5126A">
        <w:rPr>
          <w:rFonts w:ascii="Arial" w:eastAsia="Times New Roman" w:hAnsi="Arial"/>
          <w:szCs w:val="20"/>
          <w:lang w:eastAsia="en"/>
        </w:rPr>
        <w:t xml:space="preserve">Peter Johnson </w:t>
      </w:r>
    </w:p>
    <w:p w:rsidR="006F5E9B" w:rsidRPr="00D5126A" w:rsidRDefault="006F5E9B" w:rsidP="002C7BF8">
      <w:pPr>
        <w:pStyle w:val="ListParagraph"/>
        <w:numPr>
          <w:ilvl w:val="0"/>
          <w:numId w:val="25"/>
        </w:numPr>
        <w:pBdr>
          <w:top w:val="none" w:sz="8" w:space="0" w:color="auto"/>
          <w:left w:val="none" w:sz="8" w:space="0" w:color="auto"/>
          <w:bottom w:val="none" w:sz="8" w:space="0" w:color="auto"/>
          <w:right w:val="none" w:sz="8" w:space="0" w:color="auto"/>
        </w:pBdr>
        <w:spacing w:before="240" w:after="109" w:line="240" w:lineRule="auto"/>
        <w:rPr>
          <w:rFonts w:ascii="Arial" w:eastAsia="Times New Roman" w:hAnsi="Arial"/>
          <w:szCs w:val="20"/>
          <w:lang w:eastAsia="en"/>
        </w:rPr>
      </w:pPr>
      <w:r w:rsidRPr="00D5126A">
        <w:rPr>
          <w:rFonts w:ascii="Arial" w:eastAsia="Times New Roman" w:hAnsi="Arial"/>
          <w:szCs w:val="20"/>
          <w:lang w:eastAsia="en"/>
        </w:rPr>
        <w:t xml:space="preserve">Councillor Diane Calvert </w:t>
      </w:r>
    </w:p>
    <w:p w:rsidR="006F5E9B" w:rsidRPr="00D5126A" w:rsidRDefault="006F5E9B" w:rsidP="006F5E9B">
      <w:pPr>
        <w:pBdr>
          <w:top w:val="none" w:sz="8" w:space="0" w:color="auto"/>
          <w:left w:val="none" w:sz="8" w:space="0" w:color="auto"/>
          <w:bottom w:val="none" w:sz="8" w:space="0" w:color="auto"/>
          <w:right w:val="none" w:sz="8" w:space="0" w:color="auto"/>
        </w:pBdr>
        <w:spacing w:before="200" w:after="109" w:line="240" w:lineRule="auto"/>
        <w:rPr>
          <w:rFonts w:ascii="Arial" w:eastAsia="Times New Roman" w:hAnsi="Arial"/>
          <w:szCs w:val="20"/>
          <w:lang w:eastAsia="en"/>
        </w:rPr>
      </w:pPr>
      <w:r w:rsidRPr="00D5126A">
        <w:rPr>
          <w:rFonts w:ascii="Arial" w:eastAsia="Times New Roman" w:hAnsi="Arial"/>
          <w:szCs w:val="20"/>
          <w:lang w:eastAsia="en"/>
        </w:rPr>
        <w:t xml:space="preserve">The Chief Executive is Pat Stuart.  </w:t>
      </w:r>
    </w:p>
    <w:p w:rsidR="006F5E9B" w:rsidRPr="00D5126A" w:rsidRDefault="006F5E9B" w:rsidP="006F5E9B">
      <w:pPr>
        <w:pBdr>
          <w:top w:val="none" w:sz="8" w:space="0" w:color="auto"/>
          <w:left w:val="none" w:sz="8" w:space="0" w:color="auto"/>
          <w:bottom w:val="none" w:sz="8" w:space="0" w:color="auto"/>
          <w:right w:val="none" w:sz="8" w:space="0" w:color="auto"/>
        </w:pBdr>
        <w:spacing w:before="200" w:after="109" w:line="240" w:lineRule="auto"/>
        <w:rPr>
          <w:rFonts w:ascii="Arial" w:eastAsia="Times New Roman" w:hAnsi="Arial"/>
          <w:szCs w:val="20"/>
          <w:lang w:eastAsia="en"/>
        </w:rPr>
      </w:pPr>
      <w:r w:rsidRPr="00D5126A">
        <w:rPr>
          <w:rFonts w:ascii="Arial" w:eastAsia="Times New Roman" w:hAnsi="Arial"/>
          <w:szCs w:val="20"/>
          <w:lang w:eastAsia="en"/>
        </w:rPr>
        <w:t xml:space="preserve">For information on the activities of the Wellington Museums Trust, see the </w:t>
      </w:r>
      <w:r w:rsidRPr="00D5126A">
        <w:rPr>
          <w:rFonts w:ascii="Arial" w:eastAsia="Times New Roman" w:hAnsi="Arial" w:cs="Arial"/>
          <w:szCs w:val="20"/>
          <w:lang w:eastAsia="en"/>
        </w:rPr>
        <w:t>Cultural wellbeing</w:t>
      </w:r>
      <w:r w:rsidRPr="00D5126A">
        <w:rPr>
          <w:rFonts w:ascii="Arial" w:eastAsia="Times New Roman" w:hAnsi="Arial"/>
          <w:szCs w:val="20"/>
          <w:lang w:eastAsia="en"/>
        </w:rPr>
        <w:t xml:space="preserve"> section.</w:t>
      </w:r>
    </w:p>
    <w:p w:rsidR="006F5E9B" w:rsidRPr="00D5126A" w:rsidRDefault="006F5E9B" w:rsidP="006F5E9B">
      <w:pPr>
        <w:spacing w:before="200"/>
        <w:rPr>
          <w:rFonts w:ascii="Arial" w:eastAsia="Times New Roman" w:hAnsi="Arial"/>
          <w:szCs w:val="20"/>
          <w:lang w:eastAsia="en"/>
        </w:rPr>
      </w:pPr>
      <w:r w:rsidRPr="00D5126A">
        <w:rPr>
          <w:rFonts w:ascii="Arial" w:eastAsia="Times New Roman" w:hAnsi="Arial"/>
          <w:szCs w:val="20"/>
          <w:lang w:eastAsia="en"/>
        </w:rPr>
        <w:t xml:space="preserve">For full details on the trust’s performance please refer to its annual report. </w:t>
      </w:r>
    </w:p>
    <w:p w:rsidR="006F5E9B" w:rsidRPr="00D5126A" w:rsidRDefault="006F5E9B" w:rsidP="006F5E9B">
      <w:pPr>
        <w:spacing w:before="200"/>
        <w:rPr>
          <w:rFonts w:ascii="Arial" w:eastAsia="Times New Roman" w:hAnsi="Arial"/>
          <w:caps/>
          <w:color w:val="243F60"/>
          <w:spacing w:val="15"/>
          <w:sz w:val="20"/>
          <w:lang w:eastAsia="en"/>
        </w:rPr>
      </w:pPr>
      <w:r w:rsidRPr="00D5126A">
        <w:rPr>
          <w:rFonts w:ascii="Arial" w:eastAsia="Times New Roman" w:hAnsi="Arial"/>
          <w:szCs w:val="20"/>
          <w:lang w:eastAsia="en"/>
        </w:rPr>
        <w:br w:type="page"/>
      </w:r>
    </w:p>
    <w:p w:rsidR="006F5E9B" w:rsidRPr="00610DBC" w:rsidRDefault="006F5E9B" w:rsidP="006F5E9B">
      <w:pPr>
        <w:pStyle w:val="Heading3"/>
        <w:rPr>
          <w:color w:val="7030A0"/>
        </w:rPr>
      </w:pPr>
      <w:bookmarkStart w:id="315" w:name="_Toc19085870"/>
      <w:r w:rsidRPr="00610DBC">
        <w:rPr>
          <w:rFonts w:ascii="Arial" w:hAnsi="Arial" w:cs="Times New Roman"/>
          <w:noProof/>
          <w:color w:val="7030A0"/>
          <w:szCs w:val="20"/>
        </w:rPr>
        <w:lastRenderedPageBreak/>
        <w:drawing>
          <wp:anchor distT="0" distB="0" distL="114300" distR="114300" simplePos="0" relativeHeight="251677696" behindDoc="1" locked="0" layoutInCell="1" allowOverlap="1" wp14:anchorId="5BDCBFAA" wp14:editId="3EB1C462">
            <wp:simplePos x="0" y="0"/>
            <wp:positionH relativeFrom="column">
              <wp:posOffset>2639695</wp:posOffset>
            </wp:positionH>
            <wp:positionV relativeFrom="paragraph">
              <wp:posOffset>635</wp:posOffset>
            </wp:positionV>
            <wp:extent cx="2871470" cy="861060"/>
            <wp:effectExtent l="0" t="0" r="5080" b="0"/>
            <wp:wrapTight wrapText="bothSides">
              <wp:wrapPolygon edited="0">
                <wp:start x="0" y="0"/>
                <wp:lineTo x="0" y="21027"/>
                <wp:lineTo x="21495" y="21027"/>
                <wp:lineTo x="21495" y="0"/>
                <wp:lineTo x="0" y="0"/>
              </wp:wrapPolygon>
            </wp:wrapTight>
            <wp:docPr id="395" name="Picture 395" descr="Wellington NZ (WREDA) logo" title="Logo"/>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871470" cy="861060"/>
                    </a:xfrm>
                    <a:prstGeom prst="rect">
                      <a:avLst/>
                    </a:prstGeom>
                  </pic:spPr>
                </pic:pic>
              </a:graphicData>
            </a:graphic>
            <wp14:sizeRelH relativeFrom="page">
              <wp14:pctWidth>0</wp14:pctWidth>
            </wp14:sizeRelH>
            <wp14:sizeRelV relativeFrom="page">
              <wp14:pctHeight>0</wp14:pctHeight>
            </wp14:sizeRelV>
          </wp:anchor>
        </w:drawing>
      </w:r>
      <w:r w:rsidRPr="00610DBC">
        <w:rPr>
          <w:color w:val="7030A0"/>
        </w:rPr>
        <w:t>Wellington Regional Economic Development Agency Ltd (WREDA)</w:t>
      </w:r>
      <w:bookmarkEnd w:id="315"/>
    </w:p>
    <w:p w:rsidR="006F5E9B" w:rsidRPr="00D5126A" w:rsidRDefault="006F5E9B" w:rsidP="006F5E9B">
      <w:pPr>
        <w:pBdr>
          <w:top w:val="none" w:sz="8" w:space="0" w:color="auto"/>
          <w:left w:val="none" w:sz="8" w:space="0" w:color="auto"/>
          <w:bottom w:val="none" w:sz="8" w:space="0" w:color="auto"/>
          <w:right w:val="none" w:sz="8" w:space="0" w:color="auto"/>
        </w:pBdr>
        <w:spacing w:beforeLines="100" w:before="240" w:after="109" w:line="240" w:lineRule="auto"/>
        <w:rPr>
          <w:rFonts w:ascii="Arial" w:eastAsia="Times New Roman" w:hAnsi="Arial"/>
          <w:szCs w:val="20"/>
          <w:lang w:eastAsia="en"/>
        </w:rPr>
      </w:pPr>
      <w:r w:rsidRPr="00D5126A">
        <w:rPr>
          <w:rFonts w:ascii="Arial" w:eastAsia="Times New Roman" w:hAnsi="Arial"/>
          <w:szCs w:val="20"/>
          <w:lang w:eastAsia="en"/>
        </w:rPr>
        <w:t xml:space="preserve">The Wellington Economic Regional Development Agency Ltd, which trades as WellingtonNZ, combines the economic development activities of the Wellington region. Wellington City Council owns 80 percent of the company and the balance is owned by Greater Wellington Regional Council on behalf of the Region. </w:t>
      </w:r>
    </w:p>
    <w:p w:rsidR="006F5E9B" w:rsidRPr="00D5126A" w:rsidRDefault="006F5E9B" w:rsidP="006F5E9B">
      <w:pPr>
        <w:pBdr>
          <w:top w:val="none" w:sz="8" w:space="0" w:color="auto"/>
          <w:left w:val="none" w:sz="8" w:space="0" w:color="auto"/>
          <w:bottom w:val="none" w:sz="8" w:space="0" w:color="auto"/>
          <w:right w:val="none" w:sz="8" w:space="0" w:color="auto"/>
        </w:pBdr>
        <w:spacing w:beforeLines="100" w:before="240" w:after="109" w:line="240" w:lineRule="auto"/>
        <w:rPr>
          <w:rFonts w:ascii="Arial" w:eastAsia="Times New Roman" w:hAnsi="Arial"/>
          <w:szCs w:val="20"/>
          <w:lang w:eastAsia="en"/>
        </w:rPr>
      </w:pPr>
      <w:r w:rsidRPr="00D5126A">
        <w:rPr>
          <w:rFonts w:ascii="Arial" w:eastAsia="Times New Roman" w:hAnsi="Arial"/>
          <w:szCs w:val="20"/>
          <w:lang w:eastAsia="en"/>
        </w:rPr>
        <w:t>The Wellington region is made up of eight district and city council areas. These are, in order of largest to smallest population:</w:t>
      </w:r>
    </w:p>
    <w:p w:rsidR="006F5E9B" w:rsidRPr="00D5126A" w:rsidRDefault="006F5E9B" w:rsidP="002C7BF8">
      <w:pPr>
        <w:pStyle w:val="ListParagraph"/>
        <w:numPr>
          <w:ilvl w:val="0"/>
          <w:numId w:val="27"/>
        </w:numPr>
        <w:pBdr>
          <w:top w:val="none" w:sz="8" w:space="0" w:color="auto"/>
          <w:left w:val="none" w:sz="8" w:space="0" w:color="auto"/>
          <w:bottom w:val="none" w:sz="8" w:space="0" w:color="auto"/>
          <w:right w:val="none" w:sz="8" w:space="0" w:color="auto"/>
        </w:pBdr>
        <w:spacing w:beforeLines="100" w:before="240" w:after="109" w:line="240" w:lineRule="auto"/>
        <w:rPr>
          <w:rFonts w:ascii="Arial" w:eastAsia="Times New Roman" w:hAnsi="Arial"/>
          <w:szCs w:val="20"/>
          <w:lang w:eastAsia="en"/>
        </w:rPr>
      </w:pPr>
      <w:r w:rsidRPr="00D5126A">
        <w:rPr>
          <w:rFonts w:ascii="Arial" w:eastAsia="Times New Roman" w:hAnsi="Arial"/>
          <w:szCs w:val="20"/>
          <w:lang w:eastAsia="en"/>
        </w:rPr>
        <w:t>Wellington City</w:t>
      </w:r>
    </w:p>
    <w:p w:rsidR="006F5E9B" w:rsidRPr="00D5126A" w:rsidRDefault="006F5E9B" w:rsidP="002C7BF8">
      <w:pPr>
        <w:pStyle w:val="ListParagraph"/>
        <w:numPr>
          <w:ilvl w:val="0"/>
          <w:numId w:val="27"/>
        </w:numPr>
        <w:pBdr>
          <w:top w:val="none" w:sz="8" w:space="0" w:color="auto"/>
          <w:left w:val="none" w:sz="8" w:space="0" w:color="auto"/>
          <w:bottom w:val="none" w:sz="8" w:space="0" w:color="auto"/>
          <w:right w:val="none" w:sz="8" w:space="0" w:color="auto"/>
        </w:pBdr>
        <w:spacing w:beforeLines="100" w:before="240" w:after="109" w:line="240" w:lineRule="auto"/>
        <w:rPr>
          <w:rFonts w:ascii="Arial" w:eastAsia="Times New Roman" w:hAnsi="Arial"/>
          <w:szCs w:val="20"/>
          <w:lang w:eastAsia="en"/>
        </w:rPr>
      </w:pPr>
      <w:r w:rsidRPr="00D5126A">
        <w:rPr>
          <w:rFonts w:ascii="Arial" w:eastAsia="Times New Roman" w:hAnsi="Arial"/>
          <w:szCs w:val="20"/>
          <w:lang w:eastAsia="en"/>
        </w:rPr>
        <w:t>Lower Hutt City</w:t>
      </w:r>
    </w:p>
    <w:p w:rsidR="006F5E9B" w:rsidRPr="00D5126A" w:rsidRDefault="006F5E9B" w:rsidP="002C7BF8">
      <w:pPr>
        <w:pStyle w:val="ListParagraph"/>
        <w:numPr>
          <w:ilvl w:val="0"/>
          <w:numId w:val="27"/>
        </w:numPr>
        <w:pBdr>
          <w:top w:val="none" w:sz="8" w:space="0" w:color="auto"/>
          <w:left w:val="none" w:sz="8" w:space="0" w:color="auto"/>
          <w:bottom w:val="none" w:sz="8" w:space="0" w:color="auto"/>
          <w:right w:val="none" w:sz="8" w:space="0" w:color="auto"/>
        </w:pBdr>
        <w:spacing w:beforeLines="100" w:before="240" w:after="109" w:line="240" w:lineRule="auto"/>
        <w:rPr>
          <w:rFonts w:ascii="Arial" w:eastAsia="Times New Roman" w:hAnsi="Arial"/>
          <w:szCs w:val="20"/>
          <w:lang w:eastAsia="en"/>
        </w:rPr>
      </w:pPr>
      <w:r w:rsidRPr="00D5126A">
        <w:rPr>
          <w:rFonts w:ascii="Arial" w:eastAsia="Times New Roman" w:hAnsi="Arial"/>
          <w:szCs w:val="20"/>
          <w:lang w:eastAsia="en"/>
        </w:rPr>
        <w:t>Porirua City</w:t>
      </w:r>
    </w:p>
    <w:p w:rsidR="006F5E9B" w:rsidRPr="00D5126A" w:rsidRDefault="006F5E9B" w:rsidP="002C7BF8">
      <w:pPr>
        <w:pStyle w:val="ListParagraph"/>
        <w:numPr>
          <w:ilvl w:val="0"/>
          <w:numId w:val="27"/>
        </w:numPr>
        <w:pBdr>
          <w:top w:val="none" w:sz="8" w:space="0" w:color="auto"/>
          <w:left w:val="none" w:sz="8" w:space="0" w:color="auto"/>
          <w:bottom w:val="none" w:sz="8" w:space="0" w:color="auto"/>
          <w:right w:val="none" w:sz="8" w:space="0" w:color="auto"/>
        </w:pBdr>
        <w:spacing w:beforeLines="100" w:before="240" w:after="109" w:line="240" w:lineRule="auto"/>
        <w:rPr>
          <w:rFonts w:ascii="Arial" w:eastAsia="Times New Roman" w:hAnsi="Arial"/>
          <w:szCs w:val="20"/>
          <w:lang w:eastAsia="en"/>
        </w:rPr>
      </w:pPr>
      <w:r w:rsidRPr="00D5126A">
        <w:rPr>
          <w:rFonts w:ascii="Arial" w:eastAsia="Times New Roman" w:hAnsi="Arial"/>
          <w:szCs w:val="20"/>
          <w:lang w:eastAsia="en"/>
        </w:rPr>
        <w:t>Kapiti Coast District</w:t>
      </w:r>
    </w:p>
    <w:p w:rsidR="006F5E9B" w:rsidRPr="00D5126A" w:rsidRDefault="006F5E9B" w:rsidP="002C7BF8">
      <w:pPr>
        <w:pStyle w:val="ListParagraph"/>
        <w:numPr>
          <w:ilvl w:val="0"/>
          <w:numId w:val="27"/>
        </w:numPr>
        <w:pBdr>
          <w:top w:val="none" w:sz="8" w:space="0" w:color="auto"/>
          <w:left w:val="none" w:sz="8" w:space="0" w:color="auto"/>
          <w:bottom w:val="none" w:sz="8" w:space="0" w:color="auto"/>
          <w:right w:val="none" w:sz="8" w:space="0" w:color="auto"/>
        </w:pBdr>
        <w:spacing w:beforeLines="100" w:before="240" w:after="109" w:line="240" w:lineRule="auto"/>
        <w:rPr>
          <w:rFonts w:ascii="Arial" w:eastAsia="Times New Roman" w:hAnsi="Arial"/>
          <w:szCs w:val="20"/>
          <w:lang w:eastAsia="en"/>
        </w:rPr>
      </w:pPr>
      <w:r w:rsidRPr="00D5126A">
        <w:rPr>
          <w:rFonts w:ascii="Arial" w:eastAsia="Times New Roman" w:hAnsi="Arial"/>
          <w:szCs w:val="20"/>
          <w:lang w:eastAsia="en"/>
        </w:rPr>
        <w:t>Upper Hutt City</w:t>
      </w:r>
    </w:p>
    <w:p w:rsidR="006F5E9B" w:rsidRPr="00D5126A" w:rsidRDefault="006F5E9B" w:rsidP="002C7BF8">
      <w:pPr>
        <w:pStyle w:val="ListParagraph"/>
        <w:numPr>
          <w:ilvl w:val="0"/>
          <w:numId w:val="27"/>
        </w:numPr>
        <w:pBdr>
          <w:top w:val="none" w:sz="8" w:space="0" w:color="auto"/>
          <w:left w:val="none" w:sz="8" w:space="0" w:color="auto"/>
          <w:bottom w:val="none" w:sz="8" w:space="0" w:color="auto"/>
          <w:right w:val="none" w:sz="8" w:space="0" w:color="auto"/>
        </w:pBdr>
        <w:spacing w:beforeLines="100" w:before="240" w:after="109" w:line="240" w:lineRule="auto"/>
        <w:rPr>
          <w:rFonts w:ascii="Arial" w:eastAsia="Times New Roman" w:hAnsi="Arial"/>
          <w:szCs w:val="20"/>
          <w:lang w:eastAsia="en"/>
        </w:rPr>
      </w:pPr>
      <w:r w:rsidRPr="00D5126A">
        <w:rPr>
          <w:rFonts w:ascii="Arial" w:eastAsia="Times New Roman" w:hAnsi="Arial"/>
          <w:szCs w:val="20"/>
          <w:lang w:eastAsia="en"/>
        </w:rPr>
        <w:t>Masterton District</w:t>
      </w:r>
    </w:p>
    <w:p w:rsidR="006F5E9B" w:rsidRPr="00D5126A" w:rsidRDefault="006F5E9B" w:rsidP="002C7BF8">
      <w:pPr>
        <w:pStyle w:val="ListParagraph"/>
        <w:numPr>
          <w:ilvl w:val="0"/>
          <w:numId w:val="27"/>
        </w:numPr>
        <w:pBdr>
          <w:top w:val="none" w:sz="8" w:space="0" w:color="auto"/>
          <w:left w:val="none" w:sz="8" w:space="0" w:color="auto"/>
          <w:bottom w:val="none" w:sz="8" w:space="0" w:color="auto"/>
          <w:right w:val="none" w:sz="8" w:space="0" w:color="auto"/>
        </w:pBdr>
        <w:spacing w:beforeLines="100" w:before="240" w:after="109" w:line="240" w:lineRule="auto"/>
        <w:rPr>
          <w:rFonts w:ascii="Arial" w:eastAsia="Times New Roman" w:hAnsi="Arial"/>
          <w:szCs w:val="20"/>
          <w:lang w:eastAsia="en"/>
        </w:rPr>
      </w:pPr>
      <w:r w:rsidRPr="00D5126A">
        <w:rPr>
          <w:rFonts w:ascii="Arial" w:eastAsia="Times New Roman" w:hAnsi="Arial"/>
          <w:szCs w:val="20"/>
          <w:lang w:eastAsia="en"/>
        </w:rPr>
        <w:t>South Wairarapa District</w:t>
      </w:r>
    </w:p>
    <w:p w:rsidR="006F5E9B" w:rsidRPr="00D5126A" w:rsidRDefault="006F5E9B" w:rsidP="002C7BF8">
      <w:pPr>
        <w:pStyle w:val="ListParagraph"/>
        <w:numPr>
          <w:ilvl w:val="0"/>
          <w:numId w:val="27"/>
        </w:numPr>
        <w:pBdr>
          <w:top w:val="none" w:sz="8" w:space="0" w:color="auto"/>
          <w:left w:val="none" w:sz="8" w:space="0" w:color="auto"/>
          <w:bottom w:val="none" w:sz="8" w:space="0" w:color="auto"/>
          <w:right w:val="none" w:sz="8" w:space="0" w:color="auto"/>
        </w:pBdr>
        <w:spacing w:beforeLines="100" w:before="240" w:after="109" w:line="240" w:lineRule="auto"/>
        <w:rPr>
          <w:rFonts w:ascii="Arial" w:eastAsia="Times New Roman" w:hAnsi="Arial"/>
          <w:szCs w:val="20"/>
          <w:lang w:eastAsia="en"/>
        </w:rPr>
      </w:pPr>
      <w:r w:rsidRPr="00D5126A">
        <w:rPr>
          <w:rFonts w:ascii="Arial" w:eastAsia="Times New Roman" w:hAnsi="Arial"/>
          <w:szCs w:val="20"/>
          <w:lang w:eastAsia="en"/>
        </w:rPr>
        <w:t>Carterton District</w:t>
      </w:r>
    </w:p>
    <w:p w:rsidR="006F5E9B" w:rsidRPr="00D5126A" w:rsidRDefault="006F5E9B" w:rsidP="006F5E9B">
      <w:pPr>
        <w:spacing w:beforeLines="100" w:before="240" w:after="109" w:line="240" w:lineRule="auto"/>
        <w:rPr>
          <w:rFonts w:ascii="Arial" w:eastAsia="Times New Roman" w:hAnsi="Arial"/>
          <w:szCs w:val="20"/>
          <w:lang w:eastAsia="en"/>
        </w:rPr>
      </w:pPr>
      <w:r w:rsidRPr="00D5126A">
        <w:rPr>
          <w:rFonts w:ascii="Arial" w:eastAsia="Times New Roman" w:hAnsi="Arial"/>
          <w:szCs w:val="20"/>
          <w:lang w:eastAsia="en"/>
        </w:rPr>
        <w:t>WellingtonNZ’s stated purpose is to make the Wellington region “Wildly Famous as the best place in New Zealand to live, work, study, visit and play”.  Its main activities include:</w:t>
      </w:r>
    </w:p>
    <w:p w:rsidR="006F5E9B" w:rsidRPr="00D5126A" w:rsidRDefault="006F5E9B" w:rsidP="002C7BF8">
      <w:pPr>
        <w:pStyle w:val="ListParagraph"/>
        <w:numPr>
          <w:ilvl w:val="0"/>
          <w:numId w:val="21"/>
        </w:numPr>
        <w:spacing w:before="240" w:after="0" w:line="240" w:lineRule="auto"/>
        <w:rPr>
          <w:rFonts w:ascii="Arial" w:eastAsia="Times New Roman" w:hAnsi="Arial"/>
          <w:szCs w:val="20"/>
          <w:lang w:eastAsia="en"/>
        </w:rPr>
      </w:pPr>
      <w:r w:rsidRPr="00D5126A">
        <w:rPr>
          <w:rFonts w:ascii="Arial" w:eastAsia="Times New Roman" w:hAnsi="Arial"/>
          <w:szCs w:val="20"/>
          <w:lang w:eastAsia="en"/>
        </w:rPr>
        <w:t>marketing Wellington as a destination for visitors, businesses, students and investors</w:t>
      </w:r>
    </w:p>
    <w:p w:rsidR="006F5E9B" w:rsidRPr="00D5126A" w:rsidRDefault="006F5E9B" w:rsidP="002C7BF8">
      <w:pPr>
        <w:pStyle w:val="ListParagraph"/>
        <w:numPr>
          <w:ilvl w:val="0"/>
          <w:numId w:val="21"/>
        </w:numPr>
        <w:spacing w:before="240" w:after="0" w:line="240" w:lineRule="auto"/>
        <w:rPr>
          <w:rFonts w:ascii="Arial" w:eastAsia="Times New Roman" w:hAnsi="Arial"/>
          <w:szCs w:val="20"/>
          <w:lang w:eastAsia="en"/>
        </w:rPr>
      </w:pPr>
      <w:r w:rsidRPr="00D5126A">
        <w:rPr>
          <w:rFonts w:ascii="Arial" w:eastAsia="Times New Roman" w:hAnsi="Arial"/>
          <w:szCs w:val="20"/>
          <w:lang w:eastAsia="en"/>
        </w:rPr>
        <w:t>helping businesses grow and innovate and advocating for Wellington’s economy</w:t>
      </w:r>
    </w:p>
    <w:p w:rsidR="006F5E9B" w:rsidRPr="00D5126A" w:rsidRDefault="006F5E9B" w:rsidP="002C7BF8">
      <w:pPr>
        <w:pStyle w:val="ListParagraph"/>
        <w:numPr>
          <w:ilvl w:val="0"/>
          <w:numId w:val="21"/>
        </w:numPr>
        <w:spacing w:before="240" w:after="0" w:line="240" w:lineRule="auto"/>
        <w:rPr>
          <w:rFonts w:ascii="Arial" w:eastAsia="Times New Roman" w:hAnsi="Arial"/>
          <w:szCs w:val="20"/>
          <w:lang w:eastAsia="en"/>
        </w:rPr>
      </w:pPr>
      <w:r w:rsidRPr="00D5126A">
        <w:rPr>
          <w:rFonts w:ascii="Arial" w:eastAsia="Times New Roman" w:hAnsi="Arial"/>
          <w:szCs w:val="20"/>
          <w:lang w:eastAsia="en"/>
        </w:rPr>
        <w:t>start-up incubation, acceleration and innovation services via CreativeHQ</w:t>
      </w:r>
    </w:p>
    <w:p w:rsidR="006F5E9B" w:rsidRPr="00D5126A" w:rsidRDefault="006F5E9B" w:rsidP="002C7BF8">
      <w:pPr>
        <w:pStyle w:val="ListParagraph"/>
        <w:numPr>
          <w:ilvl w:val="0"/>
          <w:numId w:val="21"/>
        </w:numPr>
        <w:spacing w:before="240" w:after="0" w:line="240" w:lineRule="auto"/>
        <w:rPr>
          <w:rFonts w:ascii="Arial" w:eastAsia="Times New Roman" w:hAnsi="Arial"/>
          <w:szCs w:val="20"/>
          <w:lang w:eastAsia="en"/>
        </w:rPr>
      </w:pPr>
      <w:r w:rsidRPr="00D5126A">
        <w:rPr>
          <w:rFonts w:ascii="Arial" w:eastAsia="Times New Roman" w:hAnsi="Arial"/>
          <w:szCs w:val="20"/>
          <w:lang w:eastAsia="en"/>
        </w:rPr>
        <w:t>tourism development and destination management</w:t>
      </w:r>
    </w:p>
    <w:p w:rsidR="006F5E9B" w:rsidRPr="00D5126A" w:rsidRDefault="006F5E9B" w:rsidP="002C7BF8">
      <w:pPr>
        <w:pStyle w:val="ListParagraph"/>
        <w:numPr>
          <w:ilvl w:val="0"/>
          <w:numId w:val="21"/>
        </w:numPr>
        <w:spacing w:before="240" w:after="0" w:line="240" w:lineRule="auto"/>
        <w:rPr>
          <w:rFonts w:ascii="Arial" w:eastAsia="Times New Roman" w:hAnsi="Arial"/>
          <w:szCs w:val="20"/>
          <w:lang w:eastAsia="en"/>
        </w:rPr>
      </w:pPr>
      <w:r w:rsidRPr="00D5126A">
        <w:rPr>
          <w:rFonts w:ascii="Arial" w:eastAsia="Times New Roman" w:hAnsi="Arial"/>
          <w:szCs w:val="20"/>
          <w:lang w:eastAsia="en"/>
        </w:rPr>
        <w:t>attracting and promoting major events, conferences and performance events to Wellington</w:t>
      </w:r>
    </w:p>
    <w:p w:rsidR="006F5E9B" w:rsidRPr="00D5126A" w:rsidRDefault="006F5E9B" w:rsidP="002C7BF8">
      <w:pPr>
        <w:pStyle w:val="ListParagraph"/>
        <w:numPr>
          <w:ilvl w:val="0"/>
          <w:numId w:val="21"/>
        </w:numPr>
        <w:spacing w:before="240" w:after="0" w:line="240" w:lineRule="auto"/>
        <w:rPr>
          <w:rFonts w:ascii="Arial" w:eastAsia="Times New Roman" w:hAnsi="Arial"/>
          <w:szCs w:val="20"/>
          <w:lang w:eastAsia="en"/>
        </w:rPr>
      </w:pPr>
      <w:r w:rsidRPr="00D5126A">
        <w:rPr>
          <w:rFonts w:ascii="Arial" w:eastAsia="Times New Roman" w:hAnsi="Arial"/>
          <w:szCs w:val="20"/>
          <w:lang w:eastAsia="en"/>
        </w:rPr>
        <w:t>film attraction, permitting and facilitation</w:t>
      </w:r>
    </w:p>
    <w:p w:rsidR="006F5E9B" w:rsidRPr="00D5126A" w:rsidRDefault="006F5E9B" w:rsidP="002C7BF8">
      <w:pPr>
        <w:pStyle w:val="ListParagraph"/>
        <w:numPr>
          <w:ilvl w:val="0"/>
          <w:numId w:val="21"/>
        </w:numPr>
        <w:spacing w:before="240" w:after="0" w:line="240" w:lineRule="auto"/>
        <w:rPr>
          <w:rFonts w:ascii="Arial" w:eastAsia="Times New Roman" w:hAnsi="Arial"/>
          <w:szCs w:val="20"/>
          <w:lang w:eastAsia="en"/>
        </w:rPr>
      </w:pPr>
      <w:r w:rsidRPr="00D5126A">
        <w:rPr>
          <w:rFonts w:ascii="Arial" w:eastAsia="Times New Roman" w:hAnsi="Arial"/>
          <w:szCs w:val="20"/>
          <w:lang w:eastAsia="en"/>
        </w:rPr>
        <w:t>managing civic venues in Wellington</w:t>
      </w:r>
    </w:p>
    <w:p w:rsidR="006F5E9B" w:rsidRPr="00D5126A" w:rsidRDefault="006F5E9B" w:rsidP="006F5E9B">
      <w:pPr>
        <w:pBdr>
          <w:top w:val="none" w:sz="8" w:space="0" w:color="auto"/>
          <w:left w:val="none" w:sz="8" w:space="0" w:color="auto"/>
          <w:bottom w:val="none" w:sz="8" w:space="0" w:color="auto"/>
          <w:right w:val="none" w:sz="8" w:space="0" w:color="auto"/>
        </w:pBdr>
        <w:spacing w:beforeLines="100" w:before="240" w:after="109" w:line="240" w:lineRule="auto"/>
        <w:rPr>
          <w:rFonts w:ascii="Arial" w:eastAsia="Times New Roman" w:hAnsi="Arial"/>
          <w:szCs w:val="20"/>
          <w:lang w:eastAsia="en"/>
        </w:rPr>
      </w:pPr>
      <w:r w:rsidRPr="00D5126A">
        <w:rPr>
          <w:rFonts w:ascii="Arial" w:eastAsia="Times New Roman" w:hAnsi="Arial"/>
          <w:szCs w:val="20"/>
          <w:lang w:eastAsia="en"/>
        </w:rPr>
        <w:t xml:space="preserve">The board of directors is: </w:t>
      </w:r>
    </w:p>
    <w:p w:rsidR="006F5E9B" w:rsidRPr="00D5126A" w:rsidRDefault="006F5E9B" w:rsidP="002C7BF8">
      <w:pPr>
        <w:pStyle w:val="ListParagraph"/>
        <w:numPr>
          <w:ilvl w:val="0"/>
          <w:numId w:val="26"/>
        </w:numPr>
        <w:pBdr>
          <w:top w:val="none" w:sz="8" w:space="0" w:color="auto"/>
          <w:left w:val="none" w:sz="8" w:space="0" w:color="auto"/>
          <w:bottom w:val="none" w:sz="8" w:space="0" w:color="auto"/>
          <w:right w:val="none" w:sz="8" w:space="0" w:color="auto"/>
        </w:pBdr>
        <w:spacing w:beforeLines="100" w:before="240" w:after="109" w:line="240" w:lineRule="auto"/>
        <w:rPr>
          <w:rFonts w:ascii="Arial" w:eastAsia="Times New Roman" w:hAnsi="Arial"/>
          <w:szCs w:val="20"/>
          <w:lang w:eastAsia="en"/>
        </w:rPr>
      </w:pPr>
      <w:r w:rsidRPr="00D5126A">
        <w:rPr>
          <w:rFonts w:ascii="Arial" w:eastAsia="Times New Roman" w:hAnsi="Arial"/>
          <w:szCs w:val="20"/>
          <w:lang w:eastAsia="en"/>
        </w:rPr>
        <w:t xml:space="preserve">Tracey Bridges (Chair) </w:t>
      </w:r>
    </w:p>
    <w:p w:rsidR="006F5E9B" w:rsidRPr="00D5126A" w:rsidRDefault="006F5E9B" w:rsidP="002C7BF8">
      <w:pPr>
        <w:pStyle w:val="ListParagraph"/>
        <w:numPr>
          <w:ilvl w:val="0"/>
          <w:numId w:val="26"/>
        </w:numPr>
        <w:pBdr>
          <w:top w:val="none" w:sz="8" w:space="0" w:color="auto"/>
          <w:left w:val="none" w:sz="8" w:space="0" w:color="auto"/>
          <w:bottom w:val="none" w:sz="8" w:space="0" w:color="auto"/>
          <w:right w:val="none" w:sz="8" w:space="0" w:color="auto"/>
        </w:pBdr>
        <w:spacing w:beforeLines="100" w:before="240" w:after="109" w:line="240" w:lineRule="auto"/>
        <w:rPr>
          <w:rFonts w:ascii="Arial" w:eastAsia="Times New Roman" w:hAnsi="Arial"/>
          <w:szCs w:val="20"/>
          <w:lang w:eastAsia="en"/>
        </w:rPr>
      </w:pPr>
      <w:r w:rsidRPr="00D5126A">
        <w:rPr>
          <w:rFonts w:ascii="Arial" w:eastAsia="Times New Roman" w:hAnsi="Arial"/>
          <w:szCs w:val="20"/>
          <w:lang w:eastAsia="en"/>
        </w:rPr>
        <w:t xml:space="preserve">Matt Clarke </w:t>
      </w:r>
    </w:p>
    <w:p w:rsidR="006F5E9B" w:rsidRPr="00D5126A" w:rsidRDefault="006F5E9B" w:rsidP="002C7BF8">
      <w:pPr>
        <w:pStyle w:val="ListParagraph"/>
        <w:numPr>
          <w:ilvl w:val="0"/>
          <w:numId w:val="26"/>
        </w:numPr>
        <w:pBdr>
          <w:top w:val="none" w:sz="8" w:space="0" w:color="auto"/>
          <w:left w:val="none" w:sz="8" w:space="0" w:color="auto"/>
          <w:bottom w:val="none" w:sz="8" w:space="0" w:color="auto"/>
          <w:right w:val="none" w:sz="8" w:space="0" w:color="auto"/>
        </w:pBdr>
        <w:spacing w:beforeLines="100" w:before="240" w:after="109" w:line="240" w:lineRule="auto"/>
        <w:rPr>
          <w:rFonts w:ascii="Arial" w:eastAsia="Times New Roman" w:hAnsi="Arial"/>
          <w:szCs w:val="20"/>
          <w:lang w:eastAsia="en"/>
        </w:rPr>
      </w:pPr>
      <w:r w:rsidRPr="00D5126A">
        <w:rPr>
          <w:rFonts w:ascii="Arial" w:eastAsia="Times New Roman" w:hAnsi="Arial"/>
          <w:szCs w:val="20"/>
          <w:lang w:eastAsia="en"/>
        </w:rPr>
        <w:t xml:space="preserve">Thomas Pippos </w:t>
      </w:r>
    </w:p>
    <w:p w:rsidR="006F5E9B" w:rsidRPr="00D5126A" w:rsidRDefault="006F5E9B" w:rsidP="002C7BF8">
      <w:pPr>
        <w:pStyle w:val="ListParagraph"/>
        <w:numPr>
          <w:ilvl w:val="0"/>
          <w:numId w:val="26"/>
        </w:numPr>
        <w:pBdr>
          <w:top w:val="none" w:sz="8" w:space="0" w:color="auto"/>
          <w:left w:val="none" w:sz="8" w:space="0" w:color="auto"/>
          <w:bottom w:val="none" w:sz="8" w:space="0" w:color="auto"/>
          <w:right w:val="none" w:sz="8" w:space="0" w:color="auto"/>
        </w:pBdr>
        <w:spacing w:beforeLines="100" w:before="240" w:after="109" w:line="240" w:lineRule="auto"/>
        <w:rPr>
          <w:rFonts w:ascii="Arial" w:eastAsia="Times New Roman" w:hAnsi="Arial"/>
          <w:szCs w:val="20"/>
          <w:lang w:eastAsia="en"/>
        </w:rPr>
      </w:pPr>
      <w:r w:rsidRPr="00D5126A">
        <w:rPr>
          <w:rFonts w:ascii="Arial" w:eastAsia="Times New Roman" w:hAnsi="Arial"/>
          <w:szCs w:val="20"/>
          <w:lang w:eastAsia="en"/>
        </w:rPr>
        <w:t xml:space="preserve">Wayne Mulligan </w:t>
      </w:r>
    </w:p>
    <w:p w:rsidR="006F5E9B" w:rsidRPr="00D5126A" w:rsidRDefault="006F5E9B" w:rsidP="002C7BF8">
      <w:pPr>
        <w:pStyle w:val="ListParagraph"/>
        <w:numPr>
          <w:ilvl w:val="0"/>
          <w:numId w:val="26"/>
        </w:numPr>
        <w:pBdr>
          <w:top w:val="none" w:sz="8" w:space="0" w:color="auto"/>
          <w:left w:val="none" w:sz="8" w:space="0" w:color="auto"/>
          <w:bottom w:val="none" w:sz="8" w:space="0" w:color="auto"/>
          <w:right w:val="none" w:sz="8" w:space="0" w:color="auto"/>
        </w:pBdr>
        <w:spacing w:beforeLines="100" w:before="240" w:after="109" w:line="240" w:lineRule="auto"/>
        <w:rPr>
          <w:rFonts w:ascii="Arial" w:eastAsia="Times New Roman" w:hAnsi="Arial"/>
          <w:szCs w:val="20"/>
          <w:lang w:eastAsia="en"/>
        </w:rPr>
      </w:pPr>
      <w:r w:rsidRPr="00D5126A">
        <w:rPr>
          <w:rFonts w:ascii="Arial" w:eastAsia="Times New Roman" w:hAnsi="Arial"/>
          <w:szCs w:val="20"/>
          <w:lang w:eastAsia="en"/>
        </w:rPr>
        <w:t xml:space="preserve">Professor Grant Guilford </w:t>
      </w:r>
    </w:p>
    <w:p w:rsidR="006F5E9B" w:rsidRPr="00D5126A" w:rsidRDefault="006F5E9B" w:rsidP="002C7BF8">
      <w:pPr>
        <w:pStyle w:val="ListParagraph"/>
        <w:numPr>
          <w:ilvl w:val="0"/>
          <w:numId w:val="26"/>
        </w:numPr>
        <w:pBdr>
          <w:top w:val="none" w:sz="8" w:space="0" w:color="auto"/>
          <w:left w:val="none" w:sz="8" w:space="0" w:color="auto"/>
          <w:bottom w:val="none" w:sz="8" w:space="0" w:color="auto"/>
          <w:right w:val="none" w:sz="8" w:space="0" w:color="auto"/>
        </w:pBdr>
        <w:spacing w:beforeLines="100" w:before="240" w:after="109" w:line="240" w:lineRule="auto"/>
        <w:rPr>
          <w:rFonts w:ascii="Arial" w:eastAsia="Times New Roman" w:hAnsi="Arial"/>
          <w:szCs w:val="20"/>
          <w:lang w:eastAsia="en"/>
        </w:rPr>
      </w:pPr>
      <w:r w:rsidRPr="00D5126A">
        <w:rPr>
          <w:rFonts w:ascii="Arial" w:eastAsia="Times New Roman" w:hAnsi="Arial"/>
          <w:szCs w:val="20"/>
          <w:lang w:eastAsia="en"/>
        </w:rPr>
        <w:t xml:space="preserve">Kylie Archer </w:t>
      </w:r>
    </w:p>
    <w:p w:rsidR="006F5E9B" w:rsidRPr="00D5126A" w:rsidRDefault="006F5E9B" w:rsidP="002C7BF8">
      <w:pPr>
        <w:pStyle w:val="ListParagraph"/>
        <w:numPr>
          <w:ilvl w:val="0"/>
          <w:numId w:val="26"/>
        </w:numPr>
        <w:pBdr>
          <w:top w:val="none" w:sz="8" w:space="0" w:color="auto"/>
          <w:left w:val="none" w:sz="8" w:space="0" w:color="auto"/>
          <w:bottom w:val="none" w:sz="8" w:space="0" w:color="auto"/>
          <w:right w:val="none" w:sz="8" w:space="0" w:color="auto"/>
        </w:pBdr>
        <w:spacing w:beforeLines="100" w:before="240" w:after="109" w:line="240" w:lineRule="auto"/>
        <w:rPr>
          <w:rFonts w:ascii="Arial" w:eastAsia="Times New Roman" w:hAnsi="Arial"/>
          <w:szCs w:val="20"/>
          <w:lang w:eastAsia="en"/>
        </w:rPr>
      </w:pPr>
      <w:r w:rsidRPr="00D5126A">
        <w:rPr>
          <w:rFonts w:ascii="Arial" w:eastAsia="Times New Roman" w:hAnsi="Arial"/>
          <w:szCs w:val="20"/>
          <w:lang w:eastAsia="en"/>
        </w:rPr>
        <w:t xml:space="preserve">Steve Maharey </w:t>
      </w:r>
    </w:p>
    <w:p w:rsidR="006F5E9B" w:rsidRPr="00D5126A" w:rsidRDefault="006F5E9B" w:rsidP="006F5E9B">
      <w:pPr>
        <w:pBdr>
          <w:top w:val="none" w:sz="8" w:space="0" w:color="auto"/>
          <w:left w:val="none" w:sz="8" w:space="0" w:color="auto"/>
          <w:bottom w:val="none" w:sz="8" w:space="0" w:color="auto"/>
          <w:right w:val="none" w:sz="8" w:space="0" w:color="auto"/>
        </w:pBdr>
        <w:spacing w:beforeLines="100" w:before="240" w:after="109" w:line="240" w:lineRule="auto"/>
        <w:rPr>
          <w:rFonts w:ascii="Arial" w:eastAsia="Times New Roman" w:hAnsi="Arial"/>
          <w:szCs w:val="20"/>
          <w:lang w:eastAsia="en"/>
        </w:rPr>
      </w:pPr>
      <w:r w:rsidRPr="00D5126A">
        <w:rPr>
          <w:rFonts w:ascii="Arial" w:eastAsia="Times New Roman" w:hAnsi="Arial"/>
          <w:szCs w:val="20"/>
          <w:lang w:eastAsia="en"/>
        </w:rPr>
        <w:t xml:space="preserve">The Chief Executive is Lance Walker </w:t>
      </w:r>
    </w:p>
    <w:p w:rsidR="006F5E9B" w:rsidRPr="00D5126A" w:rsidRDefault="006F5E9B" w:rsidP="006F5E9B">
      <w:pPr>
        <w:pBdr>
          <w:top w:val="none" w:sz="8" w:space="0" w:color="auto"/>
          <w:left w:val="none" w:sz="8" w:space="0" w:color="auto"/>
          <w:bottom w:val="none" w:sz="8" w:space="0" w:color="auto"/>
          <w:right w:val="none" w:sz="8" w:space="0" w:color="auto"/>
        </w:pBdr>
        <w:spacing w:beforeLines="100" w:before="240" w:after="109" w:line="240" w:lineRule="auto"/>
        <w:rPr>
          <w:rFonts w:ascii="Arial" w:eastAsia="Times New Roman" w:hAnsi="Arial"/>
          <w:szCs w:val="20"/>
          <w:lang w:eastAsia="en"/>
        </w:rPr>
      </w:pPr>
      <w:r w:rsidRPr="00D5126A">
        <w:rPr>
          <w:rFonts w:ascii="Arial" w:eastAsia="Times New Roman" w:hAnsi="Arial"/>
          <w:szCs w:val="20"/>
          <w:lang w:eastAsia="en"/>
        </w:rPr>
        <w:t xml:space="preserve">For related further details on the activities WellingtonNZ, see the </w:t>
      </w:r>
      <w:r w:rsidRPr="00D5126A">
        <w:rPr>
          <w:rFonts w:ascii="Arial" w:eastAsia="Times New Roman" w:hAnsi="Arial" w:cs="Arial"/>
          <w:szCs w:val="20"/>
          <w:lang w:eastAsia="en"/>
        </w:rPr>
        <w:t>Economic Development</w:t>
      </w:r>
      <w:r w:rsidRPr="00D5126A">
        <w:rPr>
          <w:rFonts w:ascii="Arial" w:eastAsia="Times New Roman" w:hAnsi="Arial"/>
          <w:szCs w:val="20"/>
          <w:lang w:eastAsia="en"/>
        </w:rPr>
        <w:t xml:space="preserve"> section.</w:t>
      </w:r>
    </w:p>
    <w:p w:rsidR="006F5E9B" w:rsidRPr="00D5126A" w:rsidRDefault="006F5E9B" w:rsidP="006F5E9B">
      <w:pPr>
        <w:pBdr>
          <w:top w:val="none" w:sz="8" w:space="0" w:color="auto"/>
          <w:left w:val="none" w:sz="8" w:space="0" w:color="auto"/>
          <w:bottom w:val="none" w:sz="8" w:space="0" w:color="auto"/>
          <w:right w:val="none" w:sz="8" w:space="0" w:color="auto"/>
        </w:pBdr>
        <w:spacing w:beforeLines="100" w:before="240" w:after="109" w:line="240" w:lineRule="auto"/>
        <w:rPr>
          <w:rFonts w:ascii="Arial" w:eastAsia="Times New Roman" w:hAnsi="Arial"/>
          <w:sz w:val="24"/>
          <w:szCs w:val="20"/>
          <w:lang w:eastAsia="en"/>
        </w:rPr>
      </w:pPr>
      <w:r w:rsidRPr="00D5126A">
        <w:rPr>
          <w:rFonts w:ascii="Arial" w:eastAsia="Times New Roman" w:hAnsi="Arial"/>
          <w:szCs w:val="20"/>
          <w:lang w:eastAsia="en"/>
        </w:rPr>
        <w:t xml:space="preserve">For full details on the company’s performance please refer to its annual report. </w:t>
      </w:r>
      <w:r w:rsidRPr="00D5126A">
        <w:rPr>
          <w:rFonts w:ascii="Arial" w:eastAsia="Times New Roman" w:hAnsi="Arial"/>
          <w:sz w:val="24"/>
          <w:szCs w:val="20"/>
          <w:lang w:eastAsia="en"/>
        </w:rPr>
        <w:br w:type="page"/>
      </w:r>
    </w:p>
    <w:p w:rsidR="006F5E9B" w:rsidRPr="00610DBC" w:rsidRDefault="006F5E9B" w:rsidP="006F5E9B">
      <w:pPr>
        <w:pStyle w:val="Heading3"/>
        <w:rPr>
          <w:color w:val="7030A0"/>
        </w:rPr>
      </w:pPr>
      <w:bookmarkStart w:id="316" w:name="_Toc19085871"/>
      <w:r w:rsidRPr="00610DBC">
        <w:rPr>
          <w:rFonts w:ascii="Arial" w:hAnsi="Arial" w:cs="Times New Roman"/>
          <w:noProof/>
          <w:color w:val="7030A0"/>
          <w:sz w:val="24"/>
          <w:szCs w:val="20"/>
        </w:rPr>
        <w:lastRenderedPageBreak/>
        <w:drawing>
          <wp:anchor distT="0" distB="0" distL="114300" distR="114300" simplePos="0" relativeHeight="251674624" behindDoc="1" locked="0" layoutInCell="1" allowOverlap="1" wp14:anchorId="44C7C575" wp14:editId="3EEEFBE3">
            <wp:simplePos x="0" y="0"/>
            <wp:positionH relativeFrom="column">
              <wp:posOffset>3728085</wp:posOffset>
            </wp:positionH>
            <wp:positionV relativeFrom="paragraph">
              <wp:posOffset>-254000</wp:posOffset>
            </wp:positionV>
            <wp:extent cx="1169035" cy="584200"/>
            <wp:effectExtent l="0" t="0" r="0" b="6350"/>
            <wp:wrapTight wrapText="bothSides">
              <wp:wrapPolygon edited="0">
                <wp:start x="0" y="0"/>
                <wp:lineTo x="0" y="21130"/>
                <wp:lineTo x="21119" y="21130"/>
                <wp:lineTo x="21119" y="0"/>
                <wp:lineTo x="0" y="0"/>
              </wp:wrapPolygon>
            </wp:wrapTight>
            <wp:docPr id="1312" name="CCO-westpac-stadium-RGB.jpg" descr="Wellington Regional Stadium Trust logo"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O-westpac-stadium-RGB.jpg" descr="Wellington Regional Stadium Trust logo"/>
                    <pic:cNvPicPr/>
                  </pic:nvPicPr>
                  <pic:blipFill>
                    <a:blip r:embed="rId28">
                      <a:extLst>
                        <a:ext uri="{28A0092B-C50C-407E-A947-70E740481C1C}">
                          <a14:useLocalDpi xmlns:a14="http://schemas.microsoft.com/office/drawing/2010/main" val="0"/>
                        </a:ext>
                      </a:extLst>
                    </a:blip>
                    <a:stretch>
                      <a:fillRect/>
                    </a:stretch>
                  </pic:blipFill>
                  <pic:spPr>
                    <a:xfrm>
                      <a:off x="0" y="0"/>
                      <a:ext cx="1169035" cy="584200"/>
                    </a:xfrm>
                    <a:prstGeom prst="rect">
                      <a:avLst/>
                    </a:prstGeom>
                  </pic:spPr>
                </pic:pic>
              </a:graphicData>
            </a:graphic>
            <wp14:sizeRelH relativeFrom="page">
              <wp14:pctWidth>0</wp14:pctWidth>
            </wp14:sizeRelH>
            <wp14:sizeRelV relativeFrom="page">
              <wp14:pctHeight>0</wp14:pctHeight>
            </wp14:sizeRelV>
          </wp:anchor>
        </w:drawing>
      </w:r>
      <w:r w:rsidRPr="00610DBC">
        <w:rPr>
          <w:color w:val="7030A0"/>
        </w:rPr>
        <w:t>Wellington Regional Stadium Trust</w:t>
      </w:r>
      <w:bookmarkEnd w:id="316"/>
    </w:p>
    <w:p w:rsidR="006F5E9B" w:rsidRPr="00D5126A" w:rsidRDefault="006F5E9B" w:rsidP="006F5E9B">
      <w:pPr>
        <w:pBdr>
          <w:top w:val="none" w:sz="8" w:space="0" w:color="auto"/>
          <w:left w:val="none" w:sz="8" w:space="0" w:color="auto"/>
          <w:bottom w:val="none" w:sz="8" w:space="0" w:color="auto"/>
          <w:right w:val="none" w:sz="8" w:space="0" w:color="auto"/>
        </w:pBdr>
        <w:spacing w:before="218" w:after="109" w:line="240" w:lineRule="auto"/>
        <w:rPr>
          <w:rFonts w:ascii="Arial" w:eastAsia="Times New Roman" w:hAnsi="Arial"/>
          <w:szCs w:val="20"/>
          <w:lang w:eastAsia="en"/>
        </w:rPr>
      </w:pPr>
      <w:r w:rsidRPr="00D5126A">
        <w:rPr>
          <w:rFonts w:ascii="Arial" w:eastAsia="Times New Roman" w:hAnsi="Arial"/>
          <w:szCs w:val="20"/>
          <w:lang w:eastAsia="en"/>
        </w:rPr>
        <w:t xml:space="preserve">The Trust owns, operates and maintains the Westpac Stadium (soon to be known as the Sky Stadium) as a high-quality multi-purpose sporting venue. Highlights of some of the sporting and other events that were held at the Stadium during the year are listed in the front section of this report and in the Economic Development section. </w:t>
      </w:r>
    </w:p>
    <w:p w:rsidR="006F5E9B" w:rsidRPr="00D5126A" w:rsidRDefault="006F5E9B" w:rsidP="006F5E9B">
      <w:pPr>
        <w:pBdr>
          <w:top w:val="none" w:sz="8" w:space="0" w:color="auto"/>
          <w:left w:val="none" w:sz="8" w:space="0" w:color="auto"/>
          <w:bottom w:val="none" w:sz="8" w:space="0" w:color="auto"/>
          <w:right w:val="none" w:sz="8" w:space="0" w:color="auto"/>
        </w:pBdr>
        <w:spacing w:before="200" w:after="109" w:line="240" w:lineRule="auto"/>
        <w:rPr>
          <w:rFonts w:ascii="Arial" w:eastAsia="Times New Roman" w:hAnsi="Arial"/>
          <w:szCs w:val="20"/>
          <w:lang w:eastAsia="en"/>
        </w:rPr>
      </w:pPr>
      <w:r w:rsidRPr="00D5126A">
        <w:rPr>
          <w:rFonts w:ascii="Arial" w:eastAsia="Times New Roman" w:hAnsi="Arial"/>
          <w:szCs w:val="20"/>
          <w:lang w:eastAsia="en"/>
        </w:rPr>
        <w:t xml:space="preserve">The Stadium was opened in 2000 and in the past 18 years it has hosted more than 50 event days each year plus community events.  Although it is primarily a sporting venue, it is also hosts a wide range of non-sporting events.  </w:t>
      </w:r>
    </w:p>
    <w:p w:rsidR="006F5E9B" w:rsidRPr="00D5126A" w:rsidRDefault="006F5E9B" w:rsidP="006F5E9B">
      <w:pPr>
        <w:pBdr>
          <w:top w:val="none" w:sz="8" w:space="0" w:color="auto"/>
          <w:left w:val="none" w:sz="8" w:space="0" w:color="auto"/>
          <w:bottom w:val="none" w:sz="8" w:space="0" w:color="auto"/>
          <w:right w:val="none" w:sz="8" w:space="0" w:color="auto"/>
        </w:pBdr>
        <w:spacing w:before="200" w:after="109" w:line="240" w:lineRule="auto"/>
        <w:rPr>
          <w:rFonts w:ascii="Arial" w:eastAsia="Times New Roman" w:hAnsi="Arial"/>
          <w:szCs w:val="20"/>
          <w:lang w:eastAsia="en"/>
        </w:rPr>
      </w:pPr>
      <w:r w:rsidRPr="00D5126A">
        <w:rPr>
          <w:rFonts w:ascii="Arial" w:eastAsia="Times New Roman" w:hAnsi="Arial"/>
          <w:szCs w:val="20"/>
          <w:lang w:eastAsia="en"/>
        </w:rPr>
        <w:t xml:space="preserve">The Stadium hosts a variety of domestic and international sporting events.  It is home to the Hurricanes and the Wellington Lions rugby teams, the Wellington Phoenix football team, and regularly hosts the New Zealand national men’s and women’s teams in rugby, football and cricket.  </w:t>
      </w:r>
    </w:p>
    <w:p w:rsidR="006F5E9B" w:rsidRPr="00D5126A" w:rsidRDefault="006F5E9B" w:rsidP="006F5E9B">
      <w:pPr>
        <w:pBdr>
          <w:top w:val="none" w:sz="8" w:space="0" w:color="auto"/>
          <w:left w:val="none" w:sz="8" w:space="0" w:color="auto"/>
          <w:bottom w:val="none" w:sz="8" w:space="0" w:color="auto"/>
          <w:right w:val="none" w:sz="8" w:space="0" w:color="auto"/>
        </w:pBdr>
        <w:spacing w:beforeLines="100" w:before="240" w:after="109" w:line="240" w:lineRule="auto"/>
        <w:rPr>
          <w:rFonts w:ascii="Arial" w:eastAsia="Times New Roman" w:hAnsi="Arial"/>
          <w:szCs w:val="20"/>
          <w:lang w:eastAsia="en"/>
        </w:rPr>
      </w:pPr>
      <w:r w:rsidRPr="00D5126A">
        <w:rPr>
          <w:rFonts w:ascii="Arial" w:eastAsia="Times New Roman" w:hAnsi="Arial"/>
          <w:szCs w:val="20"/>
          <w:lang w:eastAsia="en"/>
        </w:rPr>
        <w:t xml:space="preserve">The Trust is part way through a programme of upgrades to the stadium to ensure the venue is better able to meet the needs of its diverse programme of events and the growing expectations of sports fans.  </w:t>
      </w:r>
    </w:p>
    <w:p w:rsidR="006F5E9B" w:rsidRPr="00D5126A" w:rsidRDefault="006F5E9B" w:rsidP="006F5E9B">
      <w:pPr>
        <w:pBdr>
          <w:top w:val="none" w:sz="8" w:space="0" w:color="auto"/>
          <w:left w:val="none" w:sz="8" w:space="0" w:color="auto"/>
          <w:bottom w:val="none" w:sz="8" w:space="0" w:color="auto"/>
          <w:right w:val="none" w:sz="8" w:space="0" w:color="auto"/>
        </w:pBdr>
        <w:spacing w:beforeLines="100" w:before="240" w:after="109" w:line="240" w:lineRule="auto"/>
        <w:rPr>
          <w:rFonts w:ascii="Arial" w:eastAsia="Times New Roman" w:hAnsi="Arial"/>
          <w:szCs w:val="20"/>
          <w:lang w:eastAsia="en"/>
        </w:rPr>
      </w:pPr>
      <w:r w:rsidRPr="00D5126A">
        <w:rPr>
          <w:rFonts w:ascii="Arial" w:eastAsia="Times New Roman" w:hAnsi="Arial"/>
          <w:szCs w:val="20"/>
          <w:lang w:eastAsia="en"/>
        </w:rPr>
        <w:t xml:space="preserve">The board of trustees are jointly appointed by the Council and Greater Wellington Regional Council.  </w:t>
      </w:r>
    </w:p>
    <w:p w:rsidR="006F5E9B" w:rsidRPr="00D5126A" w:rsidRDefault="006F5E9B" w:rsidP="006F5E9B">
      <w:pPr>
        <w:pBdr>
          <w:top w:val="none" w:sz="8" w:space="0" w:color="auto"/>
          <w:left w:val="none" w:sz="8" w:space="0" w:color="auto"/>
          <w:bottom w:val="none" w:sz="8" w:space="0" w:color="auto"/>
          <w:right w:val="none" w:sz="8" w:space="0" w:color="auto"/>
        </w:pBdr>
        <w:spacing w:beforeLines="100" w:before="240" w:after="109" w:line="240" w:lineRule="auto"/>
        <w:rPr>
          <w:rFonts w:ascii="Arial" w:eastAsia="Times New Roman" w:hAnsi="Arial"/>
          <w:szCs w:val="20"/>
          <w:lang w:eastAsia="en"/>
        </w:rPr>
      </w:pPr>
      <w:r w:rsidRPr="00D5126A">
        <w:rPr>
          <w:rFonts w:ascii="Arial" w:eastAsia="Times New Roman" w:hAnsi="Arial"/>
          <w:szCs w:val="20"/>
          <w:lang w:eastAsia="en"/>
        </w:rPr>
        <w:t xml:space="preserve">The board of trustees is: </w:t>
      </w:r>
    </w:p>
    <w:p w:rsidR="006F5E9B" w:rsidRPr="00D5126A" w:rsidRDefault="006F5E9B" w:rsidP="002C7BF8">
      <w:pPr>
        <w:pStyle w:val="ListParagraph"/>
        <w:numPr>
          <w:ilvl w:val="0"/>
          <w:numId w:val="25"/>
        </w:numPr>
        <w:pBdr>
          <w:top w:val="none" w:sz="8" w:space="0" w:color="auto"/>
          <w:left w:val="none" w:sz="8" w:space="0" w:color="auto"/>
          <w:bottom w:val="none" w:sz="8" w:space="0" w:color="auto"/>
          <w:right w:val="none" w:sz="8" w:space="0" w:color="auto"/>
        </w:pBdr>
        <w:spacing w:before="240" w:after="109" w:line="240" w:lineRule="auto"/>
        <w:rPr>
          <w:rFonts w:ascii="Arial" w:eastAsia="Times New Roman" w:hAnsi="Arial"/>
          <w:szCs w:val="20"/>
          <w:lang w:eastAsia="en"/>
        </w:rPr>
      </w:pPr>
      <w:r w:rsidRPr="00D5126A">
        <w:rPr>
          <w:rFonts w:ascii="Arial" w:eastAsia="Times New Roman" w:hAnsi="Arial"/>
          <w:szCs w:val="20"/>
          <w:lang w:eastAsia="en"/>
        </w:rPr>
        <w:t xml:space="preserve">John Shewan (Chair) </w:t>
      </w:r>
    </w:p>
    <w:p w:rsidR="006F5E9B" w:rsidRPr="00D5126A" w:rsidRDefault="006F5E9B" w:rsidP="002C7BF8">
      <w:pPr>
        <w:pStyle w:val="ListParagraph"/>
        <w:numPr>
          <w:ilvl w:val="0"/>
          <w:numId w:val="25"/>
        </w:numPr>
        <w:pBdr>
          <w:top w:val="none" w:sz="8" w:space="0" w:color="auto"/>
          <w:left w:val="none" w:sz="8" w:space="0" w:color="auto"/>
          <w:bottom w:val="none" w:sz="8" w:space="0" w:color="auto"/>
          <w:right w:val="none" w:sz="8" w:space="0" w:color="auto"/>
        </w:pBdr>
        <w:spacing w:before="240" w:after="109" w:line="240" w:lineRule="auto"/>
        <w:rPr>
          <w:rFonts w:ascii="Arial" w:eastAsia="Times New Roman" w:hAnsi="Arial"/>
          <w:szCs w:val="20"/>
          <w:lang w:eastAsia="en"/>
        </w:rPr>
      </w:pPr>
      <w:r w:rsidRPr="00D5126A">
        <w:rPr>
          <w:rFonts w:ascii="Arial" w:eastAsia="Times New Roman" w:hAnsi="Arial"/>
          <w:szCs w:val="20"/>
          <w:lang w:eastAsia="en"/>
        </w:rPr>
        <w:t xml:space="preserve">Tracey Bridges </w:t>
      </w:r>
    </w:p>
    <w:p w:rsidR="006F5E9B" w:rsidRPr="00D5126A" w:rsidRDefault="006F5E9B" w:rsidP="002C7BF8">
      <w:pPr>
        <w:pStyle w:val="ListParagraph"/>
        <w:numPr>
          <w:ilvl w:val="0"/>
          <w:numId w:val="25"/>
        </w:numPr>
        <w:pBdr>
          <w:top w:val="none" w:sz="8" w:space="0" w:color="auto"/>
          <w:left w:val="none" w:sz="8" w:space="0" w:color="auto"/>
          <w:bottom w:val="none" w:sz="8" w:space="0" w:color="auto"/>
          <w:right w:val="none" w:sz="8" w:space="0" w:color="auto"/>
        </w:pBdr>
        <w:spacing w:before="240" w:after="109" w:line="240" w:lineRule="auto"/>
        <w:rPr>
          <w:rFonts w:ascii="Arial" w:eastAsia="Times New Roman" w:hAnsi="Arial"/>
          <w:szCs w:val="20"/>
          <w:lang w:eastAsia="en"/>
        </w:rPr>
      </w:pPr>
      <w:r w:rsidRPr="00D5126A">
        <w:rPr>
          <w:rFonts w:ascii="Arial" w:eastAsia="Times New Roman" w:hAnsi="Arial"/>
          <w:szCs w:val="20"/>
          <w:lang w:eastAsia="en"/>
        </w:rPr>
        <w:t xml:space="preserve">Steven Fyfe </w:t>
      </w:r>
    </w:p>
    <w:p w:rsidR="006F5E9B" w:rsidRPr="00D5126A" w:rsidRDefault="006F5E9B" w:rsidP="002C7BF8">
      <w:pPr>
        <w:pStyle w:val="ListParagraph"/>
        <w:numPr>
          <w:ilvl w:val="0"/>
          <w:numId w:val="25"/>
        </w:numPr>
        <w:pBdr>
          <w:top w:val="none" w:sz="8" w:space="0" w:color="auto"/>
          <w:left w:val="none" w:sz="8" w:space="0" w:color="auto"/>
          <w:bottom w:val="none" w:sz="8" w:space="0" w:color="auto"/>
          <w:right w:val="none" w:sz="8" w:space="0" w:color="auto"/>
        </w:pBdr>
        <w:spacing w:before="240" w:after="109" w:line="240" w:lineRule="auto"/>
        <w:rPr>
          <w:rFonts w:ascii="Arial" w:eastAsia="Times New Roman" w:hAnsi="Arial"/>
          <w:szCs w:val="20"/>
          <w:lang w:eastAsia="en"/>
        </w:rPr>
      </w:pPr>
      <w:r w:rsidRPr="00D5126A">
        <w:rPr>
          <w:rFonts w:ascii="Arial" w:eastAsia="Times New Roman" w:hAnsi="Arial"/>
          <w:szCs w:val="20"/>
          <w:lang w:eastAsia="en"/>
        </w:rPr>
        <w:t xml:space="preserve">Mark McGuinness </w:t>
      </w:r>
    </w:p>
    <w:p w:rsidR="006F5E9B" w:rsidRPr="00D5126A" w:rsidRDefault="006F5E9B" w:rsidP="002C7BF8">
      <w:pPr>
        <w:pStyle w:val="ListParagraph"/>
        <w:numPr>
          <w:ilvl w:val="0"/>
          <w:numId w:val="25"/>
        </w:numPr>
        <w:pBdr>
          <w:top w:val="none" w:sz="8" w:space="0" w:color="auto"/>
          <w:left w:val="none" w:sz="8" w:space="0" w:color="auto"/>
          <w:bottom w:val="none" w:sz="8" w:space="0" w:color="auto"/>
          <w:right w:val="none" w:sz="8" w:space="0" w:color="auto"/>
        </w:pBdr>
        <w:spacing w:before="240" w:after="109" w:line="240" w:lineRule="auto"/>
        <w:rPr>
          <w:rFonts w:ascii="Arial" w:eastAsia="Times New Roman" w:hAnsi="Arial"/>
          <w:szCs w:val="20"/>
          <w:lang w:eastAsia="en"/>
        </w:rPr>
      </w:pPr>
      <w:r w:rsidRPr="00D5126A">
        <w:rPr>
          <w:rFonts w:ascii="Arial" w:eastAsia="Times New Roman" w:hAnsi="Arial"/>
          <w:szCs w:val="20"/>
          <w:lang w:eastAsia="en"/>
        </w:rPr>
        <w:t xml:space="preserve">Rachel Taulelei </w:t>
      </w:r>
    </w:p>
    <w:p w:rsidR="006F5E9B" w:rsidRPr="00D5126A" w:rsidRDefault="006F5E9B" w:rsidP="002C7BF8">
      <w:pPr>
        <w:pStyle w:val="ListParagraph"/>
        <w:numPr>
          <w:ilvl w:val="0"/>
          <w:numId w:val="25"/>
        </w:numPr>
        <w:pBdr>
          <w:top w:val="none" w:sz="8" w:space="0" w:color="auto"/>
          <w:left w:val="none" w:sz="8" w:space="0" w:color="auto"/>
          <w:bottom w:val="none" w:sz="8" w:space="0" w:color="auto"/>
          <w:right w:val="none" w:sz="8" w:space="0" w:color="auto"/>
        </w:pBdr>
        <w:spacing w:before="240" w:after="109" w:line="240" w:lineRule="auto"/>
        <w:rPr>
          <w:rFonts w:ascii="Arial" w:eastAsia="Times New Roman" w:hAnsi="Arial"/>
          <w:szCs w:val="20"/>
          <w:lang w:eastAsia="en"/>
        </w:rPr>
      </w:pPr>
      <w:r w:rsidRPr="00D5126A">
        <w:rPr>
          <w:rFonts w:ascii="Arial" w:eastAsia="Times New Roman" w:hAnsi="Arial"/>
          <w:szCs w:val="20"/>
          <w:lang w:eastAsia="en"/>
        </w:rPr>
        <w:t xml:space="preserve">Dame Therese Walsh </w:t>
      </w:r>
    </w:p>
    <w:p w:rsidR="006F5E9B" w:rsidRPr="00D5126A" w:rsidRDefault="006F5E9B" w:rsidP="002C7BF8">
      <w:pPr>
        <w:pStyle w:val="ListParagraph"/>
        <w:numPr>
          <w:ilvl w:val="0"/>
          <w:numId w:val="25"/>
        </w:numPr>
        <w:pBdr>
          <w:top w:val="none" w:sz="8" w:space="0" w:color="auto"/>
          <w:left w:val="none" w:sz="8" w:space="0" w:color="auto"/>
          <w:bottom w:val="none" w:sz="8" w:space="0" w:color="auto"/>
          <w:right w:val="none" w:sz="8" w:space="0" w:color="auto"/>
        </w:pBdr>
        <w:spacing w:before="240" w:after="109" w:line="240" w:lineRule="auto"/>
        <w:rPr>
          <w:rFonts w:ascii="Arial" w:eastAsia="Times New Roman" w:hAnsi="Arial"/>
          <w:szCs w:val="20"/>
          <w:lang w:eastAsia="en"/>
        </w:rPr>
      </w:pPr>
      <w:r w:rsidRPr="00D5126A">
        <w:rPr>
          <w:rFonts w:ascii="Arial" w:eastAsia="Times New Roman" w:hAnsi="Arial"/>
          <w:szCs w:val="20"/>
          <w:lang w:eastAsia="en"/>
        </w:rPr>
        <w:t xml:space="preserve">Councillor Simon Marsh (for Wellington City Council) </w:t>
      </w:r>
    </w:p>
    <w:p w:rsidR="006F5E9B" w:rsidRPr="00D5126A" w:rsidRDefault="006F5E9B" w:rsidP="002C7BF8">
      <w:pPr>
        <w:pStyle w:val="ListParagraph"/>
        <w:numPr>
          <w:ilvl w:val="0"/>
          <w:numId w:val="25"/>
        </w:numPr>
        <w:pBdr>
          <w:top w:val="none" w:sz="8" w:space="0" w:color="auto"/>
          <w:left w:val="none" w:sz="8" w:space="0" w:color="auto"/>
          <w:bottom w:val="none" w:sz="8" w:space="0" w:color="auto"/>
          <w:right w:val="none" w:sz="8" w:space="0" w:color="auto"/>
        </w:pBdr>
        <w:spacing w:before="240" w:after="109" w:line="240" w:lineRule="auto"/>
        <w:rPr>
          <w:rFonts w:ascii="Arial" w:eastAsia="Times New Roman" w:hAnsi="Arial"/>
          <w:szCs w:val="20"/>
          <w:lang w:eastAsia="en"/>
        </w:rPr>
      </w:pPr>
      <w:r w:rsidRPr="00D5126A">
        <w:rPr>
          <w:rFonts w:ascii="Arial" w:eastAsia="Times New Roman" w:hAnsi="Arial"/>
          <w:szCs w:val="20"/>
          <w:lang w:eastAsia="en"/>
        </w:rPr>
        <w:t xml:space="preserve">Councillor David Ogden (for Greater Wellington Regional Council) </w:t>
      </w:r>
    </w:p>
    <w:p w:rsidR="006F5E9B" w:rsidRPr="00D5126A" w:rsidRDefault="006F5E9B" w:rsidP="006F5E9B">
      <w:pPr>
        <w:pBdr>
          <w:top w:val="none" w:sz="8" w:space="0" w:color="auto"/>
          <w:left w:val="none" w:sz="8" w:space="0" w:color="auto"/>
          <w:bottom w:val="none" w:sz="8" w:space="0" w:color="auto"/>
          <w:right w:val="none" w:sz="8" w:space="0" w:color="auto"/>
        </w:pBdr>
        <w:spacing w:before="200" w:after="109" w:line="240" w:lineRule="auto"/>
        <w:rPr>
          <w:rFonts w:ascii="Arial" w:eastAsia="Times New Roman" w:hAnsi="Arial"/>
          <w:szCs w:val="20"/>
          <w:lang w:eastAsia="en"/>
        </w:rPr>
      </w:pPr>
      <w:r w:rsidRPr="00D5126A">
        <w:rPr>
          <w:rFonts w:ascii="Arial" w:eastAsia="Times New Roman" w:hAnsi="Arial"/>
          <w:szCs w:val="20"/>
          <w:lang w:eastAsia="en"/>
        </w:rPr>
        <w:t xml:space="preserve">The Chief Executive is Shane Harmon.  </w:t>
      </w:r>
    </w:p>
    <w:p w:rsidR="006F5E9B" w:rsidRPr="00D5126A" w:rsidRDefault="006F5E9B" w:rsidP="006F5E9B">
      <w:pPr>
        <w:pBdr>
          <w:top w:val="none" w:sz="8" w:space="0" w:color="auto"/>
          <w:left w:val="none" w:sz="8" w:space="0" w:color="auto"/>
          <w:bottom w:val="none" w:sz="8" w:space="0" w:color="auto"/>
          <w:right w:val="none" w:sz="8" w:space="0" w:color="auto"/>
        </w:pBdr>
        <w:spacing w:beforeLines="100" w:before="240" w:after="109" w:line="240" w:lineRule="auto"/>
        <w:rPr>
          <w:rFonts w:ascii="Arial" w:eastAsia="Times New Roman" w:hAnsi="Arial"/>
          <w:szCs w:val="20"/>
          <w:lang w:eastAsia="en"/>
        </w:rPr>
      </w:pPr>
      <w:r w:rsidRPr="00D5126A">
        <w:rPr>
          <w:rFonts w:ascii="Arial" w:eastAsia="Times New Roman" w:hAnsi="Arial"/>
          <w:szCs w:val="20"/>
          <w:lang w:eastAsia="en"/>
        </w:rPr>
        <w:t xml:space="preserve">For full details on the trust’s performance please refer to its annual report.  </w:t>
      </w:r>
    </w:p>
    <w:p w:rsidR="006F5E9B" w:rsidRPr="00D5126A" w:rsidRDefault="006F5E9B" w:rsidP="006F5E9B">
      <w:pPr>
        <w:pBdr>
          <w:top w:val="none" w:sz="8" w:space="0" w:color="auto"/>
          <w:left w:val="none" w:sz="8" w:space="0" w:color="auto"/>
          <w:bottom w:val="none" w:sz="8" w:space="0" w:color="auto"/>
          <w:right w:val="none" w:sz="8" w:space="0" w:color="auto"/>
        </w:pBdr>
        <w:spacing w:beforeLines="100" w:before="240" w:after="109" w:line="240" w:lineRule="auto"/>
        <w:rPr>
          <w:rFonts w:ascii="Arial" w:eastAsia="Times New Roman" w:hAnsi="Arial"/>
          <w:sz w:val="24"/>
          <w:szCs w:val="20"/>
          <w:lang w:eastAsia="en"/>
        </w:rPr>
      </w:pPr>
    </w:p>
    <w:p w:rsidR="006F5E9B" w:rsidRPr="00D5126A" w:rsidRDefault="006F5E9B" w:rsidP="006F5E9B">
      <w:pPr>
        <w:spacing w:before="200"/>
        <w:rPr>
          <w:rFonts w:ascii="Arial" w:eastAsia="Times New Roman" w:hAnsi="Arial"/>
          <w:caps/>
          <w:color w:val="243F60"/>
          <w:spacing w:val="15"/>
          <w:lang w:eastAsia="en"/>
        </w:rPr>
      </w:pPr>
      <w:bookmarkStart w:id="317" w:name="Wellington_Museums_Trust"/>
      <w:r w:rsidRPr="00D5126A">
        <w:rPr>
          <w:rFonts w:ascii="Arial" w:eastAsia="Times New Roman" w:hAnsi="Arial"/>
          <w:sz w:val="24"/>
          <w:szCs w:val="20"/>
          <w:lang w:eastAsia="en"/>
        </w:rPr>
        <w:br w:type="page"/>
      </w:r>
    </w:p>
    <w:p w:rsidR="006F5E9B" w:rsidRPr="00610DBC" w:rsidRDefault="006F5E9B" w:rsidP="006F5E9B">
      <w:pPr>
        <w:pStyle w:val="Heading3"/>
        <w:rPr>
          <w:color w:val="7030A0"/>
        </w:rPr>
      </w:pPr>
      <w:bookmarkStart w:id="318" w:name="_Toc19085872"/>
      <w:bookmarkEnd w:id="317"/>
      <w:r w:rsidRPr="00610DBC">
        <w:rPr>
          <w:rFonts w:ascii="Arial" w:hAnsi="Arial" w:cs="Times New Roman"/>
          <w:noProof/>
          <w:color w:val="7030A0"/>
          <w:sz w:val="24"/>
          <w:szCs w:val="20"/>
        </w:rPr>
        <w:lastRenderedPageBreak/>
        <w:drawing>
          <wp:anchor distT="0" distB="0" distL="114300" distR="114300" simplePos="0" relativeHeight="251675648" behindDoc="1" locked="0" layoutInCell="1" allowOverlap="1" wp14:anchorId="7141F9E5" wp14:editId="0B1CBC82">
            <wp:simplePos x="0" y="0"/>
            <wp:positionH relativeFrom="column">
              <wp:posOffset>1475105</wp:posOffset>
            </wp:positionH>
            <wp:positionV relativeFrom="paragraph">
              <wp:posOffset>-146685</wp:posOffset>
            </wp:positionV>
            <wp:extent cx="3848735" cy="615315"/>
            <wp:effectExtent l="0" t="0" r="0" b="0"/>
            <wp:wrapTight wrapText="bothSides">
              <wp:wrapPolygon edited="0">
                <wp:start x="0" y="0"/>
                <wp:lineTo x="0" y="20731"/>
                <wp:lineTo x="21490" y="20731"/>
                <wp:lineTo x="21490" y="0"/>
                <wp:lineTo x="0" y="0"/>
              </wp:wrapPolygon>
            </wp:wrapTight>
            <wp:docPr id="1313" name="CCO-wellington-water-RGB.png" descr="Wellington Water logo"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O-wellington-water-RGB.png" descr="Wellington Water logo"/>
                    <pic:cNvPicPr/>
                  </pic:nvPicPr>
                  <pic:blipFill>
                    <a:blip r:embed="rId29">
                      <a:extLst>
                        <a:ext uri="{28A0092B-C50C-407E-A947-70E740481C1C}">
                          <a14:useLocalDpi xmlns:a14="http://schemas.microsoft.com/office/drawing/2010/main" val="0"/>
                        </a:ext>
                      </a:extLst>
                    </a:blip>
                    <a:stretch>
                      <a:fillRect/>
                    </a:stretch>
                  </pic:blipFill>
                  <pic:spPr>
                    <a:xfrm>
                      <a:off x="0" y="0"/>
                      <a:ext cx="3848735" cy="615315"/>
                    </a:xfrm>
                    <a:prstGeom prst="rect">
                      <a:avLst/>
                    </a:prstGeom>
                  </pic:spPr>
                </pic:pic>
              </a:graphicData>
            </a:graphic>
            <wp14:sizeRelH relativeFrom="page">
              <wp14:pctWidth>0</wp14:pctWidth>
            </wp14:sizeRelH>
            <wp14:sizeRelV relativeFrom="page">
              <wp14:pctHeight>0</wp14:pctHeight>
            </wp14:sizeRelV>
          </wp:anchor>
        </w:drawing>
      </w:r>
      <w:r w:rsidRPr="00610DBC">
        <w:rPr>
          <w:color w:val="7030A0"/>
        </w:rPr>
        <w:t>Wellington Water</w:t>
      </w:r>
      <w:bookmarkEnd w:id="318"/>
    </w:p>
    <w:p w:rsidR="006F5E9B" w:rsidRPr="00D5126A" w:rsidRDefault="006F5E9B" w:rsidP="006F5E9B">
      <w:pPr>
        <w:pBdr>
          <w:top w:val="none" w:sz="8" w:space="0" w:color="auto"/>
          <w:left w:val="none" w:sz="8" w:space="0" w:color="auto"/>
          <w:bottom w:val="none" w:sz="8" w:space="0" w:color="auto"/>
          <w:right w:val="none" w:sz="8" w:space="0" w:color="auto"/>
        </w:pBdr>
        <w:spacing w:beforeLines="100" w:before="240" w:after="109" w:line="240" w:lineRule="auto"/>
        <w:rPr>
          <w:rFonts w:ascii="Arial" w:eastAsia="Times New Roman" w:hAnsi="Arial"/>
          <w:szCs w:val="20"/>
          <w:lang w:eastAsia="en"/>
        </w:rPr>
      </w:pPr>
      <w:r w:rsidRPr="00D5126A">
        <w:rPr>
          <w:rFonts w:ascii="Arial" w:eastAsia="Times New Roman" w:hAnsi="Arial"/>
          <w:szCs w:val="20"/>
          <w:lang w:eastAsia="en"/>
        </w:rPr>
        <w:t>Wellington Water Ltd is jointly owned by the Hutt, Porirua, Upper Hutt and Wellington City councils and Greater Wellington Regional Council. The councils are all equal shareholders.</w:t>
      </w:r>
    </w:p>
    <w:p w:rsidR="006F5E9B" w:rsidRPr="00D5126A" w:rsidRDefault="006F5E9B" w:rsidP="006F5E9B">
      <w:pPr>
        <w:pBdr>
          <w:top w:val="none" w:sz="8" w:space="0" w:color="auto"/>
          <w:left w:val="none" w:sz="8" w:space="0" w:color="auto"/>
          <w:bottom w:val="none" w:sz="8" w:space="0" w:color="auto"/>
          <w:right w:val="none" w:sz="8" w:space="0" w:color="auto"/>
        </w:pBdr>
        <w:spacing w:beforeLines="100" w:before="240" w:after="109" w:line="240" w:lineRule="auto"/>
        <w:rPr>
          <w:rFonts w:ascii="Arial" w:eastAsia="Times New Roman" w:hAnsi="Arial"/>
          <w:szCs w:val="20"/>
          <w:lang w:eastAsia="en"/>
        </w:rPr>
      </w:pPr>
      <w:r w:rsidRPr="00D5126A">
        <w:rPr>
          <w:rFonts w:ascii="Arial" w:eastAsia="Times New Roman" w:hAnsi="Arial"/>
          <w:szCs w:val="20"/>
          <w:lang w:eastAsia="en"/>
        </w:rPr>
        <w:t>The company provides water services to customers in Wellington, Lower Hutt, Upper Hutt and Porirua, and maintains the water, wastewater and stormwater infrastructure for the Wellington, Hutt, Upper Hutt and Porirua city councils.</w:t>
      </w:r>
    </w:p>
    <w:p w:rsidR="006F5E9B" w:rsidRPr="00D5126A" w:rsidRDefault="006F5E9B" w:rsidP="006F5E9B">
      <w:pPr>
        <w:pBdr>
          <w:top w:val="none" w:sz="8" w:space="0" w:color="auto"/>
          <w:left w:val="none" w:sz="8" w:space="0" w:color="auto"/>
          <w:bottom w:val="none" w:sz="8" w:space="0" w:color="auto"/>
          <w:right w:val="none" w:sz="8" w:space="0" w:color="auto"/>
        </w:pBdr>
        <w:spacing w:beforeLines="100" w:before="240" w:after="109" w:line="240" w:lineRule="auto"/>
        <w:rPr>
          <w:rFonts w:ascii="Arial" w:eastAsia="Times New Roman" w:hAnsi="Arial"/>
          <w:szCs w:val="20"/>
          <w:lang w:eastAsia="en"/>
        </w:rPr>
      </w:pPr>
      <w:r w:rsidRPr="00D5126A">
        <w:rPr>
          <w:rFonts w:ascii="Arial" w:eastAsia="Times New Roman" w:hAnsi="Arial"/>
          <w:szCs w:val="20"/>
          <w:lang w:eastAsia="en"/>
        </w:rPr>
        <w:t>Wellington Water’s main activities include:</w:t>
      </w:r>
    </w:p>
    <w:p w:rsidR="006F5E9B" w:rsidRPr="00D5126A" w:rsidRDefault="006F5E9B" w:rsidP="002C7BF8">
      <w:pPr>
        <w:pStyle w:val="ListParagraph"/>
        <w:numPr>
          <w:ilvl w:val="0"/>
          <w:numId w:val="22"/>
        </w:numPr>
        <w:pBdr>
          <w:top w:val="none" w:sz="8" w:space="0" w:color="auto"/>
          <w:left w:val="none" w:sz="8" w:space="0" w:color="auto"/>
          <w:bottom w:val="none" w:sz="8" w:space="0" w:color="auto"/>
          <w:right w:val="none" w:sz="8" w:space="0" w:color="auto"/>
        </w:pBdr>
        <w:spacing w:before="240" w:after="109" w:line="240" w:lineRule="auto"/>
        <w:rPr>
          <w:rFonts w:ascii="Arial" w:eastAsia="Times New Roman" w:hAnsi="Arial"/>
          <w:szCs w:val="20"/>
          <w:lang w:eastAsia="en"/>
        </w:rPr>
      </w:pPr>
      <w:r w:rsidRPr="00D5126A">
        <w:rPr>
          <w:rFonts w:ascii="Arial" w:eastAsia="Times New Roman" w:hAnsi="Arial"/>
          <w:szCs w:val="20"/>
          <w:lang w:eastAsia="en"/>
        </w:rPr>
        <w:t>managing water treatment and supply</w:t>
      </w:r>
    </w:p>
    <w:p w:rsidR="006F5E9B" w:rsidRPr="00D5126A" w:rsidRDefault="006F5E9B" w:rsidP="002C7BF8">
      <w:pPr>
        <w:pStyle w:val="ListParagraph"/>
        <w:numPr>
          <w:ilvl w:val="0"/>
          <w:numId w:val="22"/>
        </w:numPr>
        <w:pBdr>
          <w:top w:val="none" w:sz="8" w:space="0" w:color="auto"/>
          <w:left w:val="none" w:sz="8" w:space="0" w:color="auto"/>
          <w:bottom w:val="none" w:sz="8" w:space="0" w:color="auto"/>
          <w:right w:val="none" w:sz="8" w:space="0" w:color="auto"/>
        </w:pBdr>
        <w:spacing w:before="240" w:after="109" w:line="240" w:lineRule="auto"/>
        <w:rPr>
          <w:rFonts w:ascii="Arial" w:eastAsia="Times New Roman" w:hAnsi="Arial"/>
          <w:szCs w:val="20"/>
          <w:lang w:eastAsia="en"/>
        </w:rPr>
      </w:pPr>
      <w:r w:rsidRPr="00D5126A">
        <w:rPr>
          <w:rFonts w:ascii="Arial" w:eastAsia="Times New Roman" w:hAnsi="Arial"/>
          <w:szCs w:val="20"/>
          <w:lang w:eastAsia="en"/>
        </w:rPr>
        <w:t>managing stormwater and wastewater service delivery in the Wellington region</w:t>
      </w:r>
    </w:p>
    <w:p w:rsidR="006F5E9B" w:rsidRPr="00D5126A" w:rsidRDefault="006F5E9B" w:rsidP="002C7BF8">
      <w:pPr>
        <w:pStyle w:val="ListParagraph"/>
        <w:numPr>
          <w:ilvl w:val="0"/>
          <w:numId w:val="22"/>
        </w:numPr>
        <w:pBdr>
          <w:top w:val="none" w:sz="8" w:space="0" w:color="auto"/>
          <w:left w:val="none" w:sz="8" w:space="0" w:color="auto"/>
          <w:bottom w:val="none" w:sz="8" w:space="0" w:color="auto"/>
          <w:right w:val="none" w:sz="8" w:space="0" w:color="auto"/>
        </w:pBdr>
        <w:spacing w:before="240" w:after="109" w:line="240" w:lineRule="auto"/>
        <w:rPr>
          <w:rFonts w:ascii="Arial" w:eastAsia="Times New Roman" w:hAnsi="Arial"/>
          <w:szCs w:val="20"/>
          <w:lang w:eastAsia="en"/>
        </w:rPr>
      </w:pPr>
      <w:proofErr w:type="gramStart"/>
      <w:r w:rsidRPr="00D5126A">
        <w:rPr>
          <w:rFonts w:ascii="Arial" w:eastAsia="Times New Roman" w:hAnsi="Arial"/>
          <w:szCs w:val="20"/>
          <w:lang w:eastAsia="en"/>
        </w:rPr>
        <w:t>promoting</w:t>
      </w:r>
      <w:proofErr w:type="gramEnd"/>
      <w:r w:rsidRPr="00D5126A">
        <w:rPr>
          <w:rFonts w:ascii="Arial" w:eastAsia="Times New Roman" w:hAnsi="Arial"/>
          <w:szCs w:val="20"/>
          <w:lang w:eastAsia="en"/>
        </w:rPr>
        <w:t xml:space="preserve"> water conservation and sustainability.</w:t>
      </w:r>
    </w:p>
    <w:p w:rsidR="006F5E9B" w:rsidRPr="00D5126A" w:rsidRDefault="006F5E9B" w:rsidP="006F5E9B">
      <w:pPr>
        <w:pBdr>
          <w:top w:val="none" w:sz="8" w:space="0" w:color="auto"/>
          <w:left w:val="none" w:sz="8" w:space="0" w:color="auto"/>
          <w:bottom w:val="none" w:sz="8" w:space="0" w:color="auto"/>
          <w:right w:val="none" w:sz="8" w:space="0" w:color="auto"/>
        </w:pBdr>
        <w:spacing w:before="200" w:after="109" w:line="240" w:lineRule="auto"/>
        <w:rPr>
          <w:rFonts w:ascii="Arial" w:eastAsia="Times New Roman" w:hAnsi="Arial"/>
          <w:szCs w:val="20"/>
          <w:lang w:eastAsia="en"/>
        </w:rPr>
      </w:pPr>
      <w:r w:rsidRPr="00D5126A">
        <w:rPr>
          <w:rFonts w:ascii="Arial" w:eastAsia="Times New Roman" w:hAnsi="Arial"/>
          <w:szCs w:val="20"/>
          <w:lang w:eastAsia="en"/>
        </w:rPr>
        <w:t>The shared service approach delivers benefits to Wellingtonians across the region through cost savings, resilience and expertise that each Council could not achieve on its own.</w:t>
      </w:r>
    </w:p>
    <w:p w:rsidR="006F5E9B" w:rsidRPr="00D5126A" w:rsidRDefault="006F5E9B" w:rsidP="006F5E9B">
      <w:pPr>
        <w:pBdr>
          <w:top w:val="none" w:sz="8" w:space="0" w:color="auto"/>
          <w:left w:val="none" w:sz="8" w:space="0" w:color="auto"/>
          <w:bottom w:val="none" w:sz="8" w:space="0" w:color="auto"/>
          <w:right w:val="none" w:sz="8" w:space="0" w:color="auto"/>
        </w:pBdr>
        <w:spacing w:before="200" w:after="109" w:line="240" w:lineRule="auto"/>
        <w:rPr>
          <w:rFonts w:ascii="Arial" w:eastAsia="Times New Roman" w:hAnsi="Arial"/>
          <w:szCs w:val="20"/>
          <w:lang w:eastAsia="en"/>
        </w:rPr>
      </w:pPr>
      <w:r w:rsidRPr="00D5126A">
        <w:rPr>
          <w:rFonts w:ascii="Arial" w:eastAsia="Times New Roman" w:hAnsi="Arial"/>
          <w:szCs w:val="20"/>
          <w:lang w:eastAsia="en"/>
        </w:rPr>
        <w:t xml:space="preserve">Wellington Water does not own any drinking water, stormwater, wastewater or bulk water assets. Nor does it set policies or control rates or user charges.  These functions remain with the local councils and Greater Wellington Regional Council.  </w:t>
      </w:r>
    </w:p>
    <w:p w:rsidR="006F5E9B" w:rsidRPr="00D5126A" w:rsidRDefault="006F5E9B" w:rsidP="006F5E9B">
      <w:pPr>
        <w:pBdr>
          <w:top w:val="none" w:sz="8" w:space="0" w:color="auto"/>
          <w:left w:val="none" w:sz="8" w:space="0" w:color="auto"/>
          <w:bottom w:val="none" w:sz="8" w:space="0" w:color="auto"/>
          <w:right w:val="none" w:sz="8" w:space="0" w:color="auto"/>
        </w:pBdr>
        <w:spacing w:beforeLines="100" w:before="240" w:after="109" w:line="240" w:lineRule="auto"/>
        <w:rPr>
          <w:rFonts w:ascii="Arial" w:eastAsia="Times New Roman" w:hAnsi="Arial"/>
          <w:szCs w:val="20"/>
          <w:lang w:eastAsia="en"/>
        </w:rPr>
      </w:pPr>
      <w:r w:rsidRPr="00D5126A">
        <w:rPr>
          <w:rFonts w:ascii="Arial" w:eastAsia="Times New Roman" w:hAnsi="Arial"/>
          <w:szCs w:val="20"/>
          <w:lang w:eastAsia="en"/>
        </w:rPr>
        <w:t xml:space="preserve">The board of directors is: </w:t>
      </w:r>
    </w:p>
    <w:p w:rsidR="006F5E9B" w:rsidRPr="00D5126A" w:rsidRDefault="006F5E9B" w:rsidP="002C7BF8">
      <w:pPr>
        <w:pStyle w:val="ListParagraph"/>
        <w:numPr>
          <w:ilvl w:val="0"/>
          <w:numId w:val="26"/>
        </w:numPr>
        <w:pBdr>
          <w:top w:val="none" w:sz="8" w:space="0" w:color="auto"/>
          <w:left w:val="none" w:sz="8" w:space="0" w:color="auto"/>
          <w:bottom w:val="none" w:sz="8" w:space="0" w:color="auto"/>
          <w:right w:val="none" w:sz="8" w:space="0" w:color="auto"/>
        </w:pBdr>
        <w:spacing w:beforeLines="100" w:before="240" w:after="109" w:line="240" w:lineRule="auto"/>
        <w:rPr>
          <w:rFonts w:ascii="Arial" w:eastAsia="Times New Roman" w:hAnsi="Arial"/>
          <w:szCs w:val="20"/>
          <w:lang w:eastAsia="en"/>
        </w:rPr>
      </w:pPr>
      <w:r w:rsidRPr="00D5126A">
        <w:rPr>
          <w:rFonts w:ascii="Arial" w:eastAsia="Times New Roman" w:hAnsi="Arial"/>
          <w:szCs w:val="20"/>
          <w:lang w:eastAsia="en"/>
        </w:rPr>
        <w:t xml:space="preserve">David Wright (Chair) </w:t>
      </w:r>
    </w:p>
    <w:p w:rsidR="006F5E9B" w:rsidRPr="00D5126A" w:rsidRDefault="006F5E9B" w:rsidP="002C7BF8">
      <w:pPr>
        <w:pStyle w:val="ListParagraph"/>
        <w:numPr>
          <w:ilvl w:val="0"/>
          <w:numId w:val="26"/>
        </w:numPr>
        <w:pBdr>
          <w:top w:val="none" w:sz="8" w:space="0" w:color="auto"/>
          <w:left w:val="none" w:sz="8" w:space="0" w:color="auto"/>
          <w:bottom w:val="none" w:sz="8" w:space="0" w:color="auto"/>
          <w:right w:val="none" w:sz="8" w:space="0" w:color="auto"/>
        </w:pBdr>
        <w:spacing w:beforeLines="100" w:before="240" w:after="109" w:line="240" w:lineRule="auto"/>
        <w:rPr>
          <w:rFonts w:ascii="Arial" w:eastAsia="Times New Roman" w:hAnsi="Arial"/>
          <w:szCs w:val="20"/>
          <w:lang w:eastAsia="en"/>
        </w:rPr>
      </w:pPr>
      <w:r w:rsidRPr="00D5126A">
        <w:rPr>
          <w:rFonts w:ascii="Arial" w:eastAsia="Times New Roman" w:hAnsi="Arial"/>
          <w:szCs w:val="20"/>
          <w:lang w:eastAsia="en"/>
        </w:rPr>
        <w:t xml:space="preserve">Cynthia Brophy </w:t>
      </w:r>
    </w:p>
    <w:p w:rsidR="006F5E9B" w:rsidRPr="00D5126A" w:rsidRDefault="006F5E9B" w:rsidP="002C7BF8">
      <w:pPr>
        <w:pStyle w:val="ListParagraph"/>
        <w:numPr>
          <w:ilvl w:val="0"/>
          <w:numId w:val="26"/>
        </w:numPr>
        <w:pBdr>
          <w:top w:val="none" w:sz="8" w:space="0" w:color="auto"/>
          <w:left w:val="none" w:sz="8" w:space="0" w:color="auto"/>
          <w:bottom w:val="none" w:sz="8" w:space="0" w:color="auto"/>
          <w:right w:val="none" w:sz="8" w:space="0" w:color="auto"/>
        </w:pBdr>
        <w:spacing w:beforeLines="100" w:before="240" w:after="109" w:line="240" w:lineRule="auto"/>
        <w:rPr>
          <w:rFonts w:ascii="Arial" w:eastAsia="Times New Roman" w:hAnsi="Arial"/>
          <w:szCs w:val="20"/>
          <w:lang w:eastAsia="en"/>
        </w:rPr>
      </w:pPr>
      <w:r w:rsidRPr="00D5126A">
        <w:rPr>
          <w:rFonts w:ascii="Arial" w:eastAsia="Times New Roman" w:hAnsi="Arial"/>
          <w:szCs w:val="20"/>
          <w:lang w:eastAsia="en"/>
        </w:rPr>
        <w:t xml:space="preserve">Geoff Dangerfield </w:t>
      </w:r>
    </w:p>
    <w:p w:rsidR="006F5E9B" w:rsidRPr="00D5126A" w:rsidRDefault="006F5E9B" w:rsidP="002C7BF8">
      <w:pPr>
        <w:pStyle w:val="ListParagraph"/>
        <w:numPr>
          <w:ilvl w:val="0"/>
          <w:numId w:val="26"/>
        </w:numPr>
        <w:pBdr>
          <w:top w:val="none" w:sz="8" w:space="0" w:color="auto"/>
          <w:left w:val="none" w:sz="8" w:space="0" w:color="auto"/>
          <w:bottom w:val="none" w:sz="8" w:space="0" w:color="auto"/>
          <w:right w:val="none" w:sz="8" w:space="0" w:color="auto"/>
        </w:pBdr>
        <w:spacing w:beforeLines="100" w:before="240" w:after="109" w:line="240" w:lineRule="auto"/>
        <w:rPr>
          <w:rFonts w:ascii="Arial" w:eastAsia="Times New Roman" w:hAnsi="Arial"/>
          <w:szCs w:val="20"/>
          <w:lang w:eastAsia="en"/>
        </w:rPr>
      </w:pPr>
      <w:r w:rsidRPr="00D5126A">
        <w:rPr>
          <w:rFonts w:ascii="Arial" w:eastAsia="Times New Roman" w:hAnsi="Arial"/>
          <w:szCs w:val="20"/>
          <w:lang w:eastAsia="en"/>
        </w:rPr>
        <w:t xml:space="preserve">Philip Barry </w:t>
      </w:r>
    </w:p>
    <w:p w:rsidR="006F5E9B" w:rsidRPr="00D5126A" w:rsidRDefault="006F5E9B" w:rsidP="006F5E9B">
      <w:pPr>
        <w:pBdr>
          <w:top w:val="none" w:sz="8" w:space="0" w:color="auto"/>
          <w:left w:val="none" w:sz="8" w:space="0" w:color="auto"/>
          <w:bottom w:val="none" w:sz="8" w:space="0" w:color="auto"/>
          <w:right w:val="none" w:sz="8" w:space="0" w:color="auto"/>
        </w:pBdr>
        <w:spacing w:beforeLines="100" w:before="240" w:after="109" w:line="240" w:lineRule="auto"/>
        <w:rPr>
          <w:rFonts w:ascii="Arial" w:eastAsia="Times New Roman" w:hAnsi="Arial"/>
          <w:szCs w:val="20"/>
          <w:lang w:eastAsia="en"/>
        </w:rPr>
      </w:pPr>
      <w:r w:rsidRPr="00D5126A">
        <w:rPr>
          <w:rFonts w:ascii="Arial" w:eastAsia="Times New Roman" w:hAnsi="Arial"/>
          <w:szCs w:val="20"/>
          <w:lang w:eastAsia="en"/>
        </w:rPr>
        <w:t>A representative from each territorial authority sits on the Wellington Water Committee that provides overall leadership and direction for the company.</w:t>
      </w:r>
    </w:p>
    <w:p w:rsidR="006F5E9B" w:rsidRPr="00D5126A" w:rsidRDefault="006F5E9B" w:rsidP="006F5E9B">
      <w:pPr>
        <w:pBdr>
          <w:top w:val="none" w:sz="8" w:space="0" w:color="auto"/>
          <w:left w:val="none" w:sz="8" w:space="0" w:color="auto"/>
          <w:bottom w:val="none" w:sz="8" w:space="0" w:color="auto"/>
          <w:right w:val="none" w:sz="8" w:space="0" w:color="auto"/>
        </w:pBdr>
        <w:spacing w:beforeLines="100" w:before="240" w:after="109" w:line="240" w:lineRule="auto"/>
        <w:rPr>
          <w:rFonts w:ascii="Arial" w:eastAsia="Times New Roman" w:hAnsi="Arial"/>
          <w:szCs w:val="20"/>
          <w:lang w:eastAsia="en"/>
        </w:rPr>
      </w:pPr>
      <w:r w:rsidRPr="00D5126A">
        <w:rPr>
          <w:rFonts w:ascii="Arial" w:eastAsia="Times New Roman" w:hAnsi="Arial"/>
          <w:szCs w:val="20"/>
          <w:lang w:eastAsia="en"/>
        </w:rPr>
        <w:t xml:space="preserve">The Wellington Water Committee is: </w:t>
      </w:r>
    </w:p>
    <w:p w:rsidR="006F5E9B" w:rsidRPr="00D5126A" w:rsidRDefault="006F5E9B" w:rsidP="002C7BF8">
      <w:pPr>
        <w:pStyle w:val="ListParagraph"/>
        <w:numPr>
          <w:ilvl w:val="0"/>
          <w:numId w:val="26"/>
        </w:numPr>
        <w:pBdr>
          <w:top w:val="none" w:sz="8" w:space="0" w:color="auto"/>
          <w:left w:val="none" w:sz="8" w:space="0" w:color="auto"/>
          <w:bottom w:val="none" w:sz="8" w:space="0" w:color="auto"/>
          <w:right w:val="none" w:sz="8" w:space="0" w:color="auto"/>
        </w:pBdr>
        <w:spacing w:beforeLines="100" w:before="240" w:after="109" w:line="240" w:lineRule="auto"/>
        <w:rPr>
          <w:rFonts w:ascii="Arial" w:eastAsia="Times New Roman" w:hAnsi="Arial"/>
          <w:szCs w:val="20"/>
          <w:lang w:eastAsia="en"/>
        </w:rPr>
      </w:pPr>
      <w:r w:rsidRPr="00D5126A">
        <w:rPr>
          <w:rFonts w:ascii="Arial" w:eastAsia="Times New Roman" w:hAnsi="Arial"/>
          <w:szCs w:val="20"/>
          <w:lang w:eastAsia="en"/>
        </w:rPr>
        <w:t>David Bassett (Chair) – for Hutt City Council</w:t>
      </w:r>
    </w:p>
    <w:p w:rsidR="006F5E9B" w:rsidRPr="00D5126A" w:rsidRDefault="006F5E9B" w:rsidP="002C7BF8">
      <w:pPr>
        <w:pStyle w:val="ListParagraph"/>
        <w:numPr>
          <w:ilvl w:val="0"/>
          <w:numId w:val="26"/>
        </w:numPr>
        <w:pBdr>
          <w:top w:val="none" w:sz="8" w:space="0" w:color="auto"/>
          <w:left w:val="none" w:sz="8" w:space="0" w:color="auto"/>
          <w:bottom w:val="none" w:sz="8" w:space="0" w:color="auto"/>
          <w:right w:val="none" w:sz="8" w:space="0" w:color="auto"/>
        </w:pBdr>
        <w:spacing w:beforeLines="100" w:before="240" w:after="109" w:line="240" w:lineRule="auto"/>
        <w:rPr>
          <w:rFonts w:ascii="Arial" w:eastAsia="Times New Roman" w:hAnsi="Arial"/>
          <w:szCs w:val="20"/>
          <w:lang w:eastAsia="en"/>
        </w:rPr>
      </w:pPr>
      <w:r w:rsidRPr="00D5126A">
        <w:rPr>
          <w:rFonts w:ascii="Arial" w:eastAsia="Times New Roman" w:hAnsi="Arial"/>
          <w:szCs w:val="20"/>
          <w:lang w:eastAsia="en"/>
        </w:rPr>
        <w:t>Wayne Guppy (Deputy Chair) – for Upper Hutt City Council</w:t>
      </w:r>
    </w:p>
    <w:p w:rsidR="006F5E9B" w:rsidRPr="00D5126A" w:rsidRDefault="006F5E9B" w:rsidP="002C7BF8">
      <w:pPr>
        <w:pStyle w:val="ListParagraph"/>
        <w:numPr>
          <w:ilvl w:val="0"/>
          <w:numId w:val="26"/>
        </w:numPr>
        <w:pBdr>
          <w:top w:val="none" w:sz="8" w:space="0" w:color="auto"/>
          <w:left w:val="none" w:sz="8" w:space="0" w:color="auto"/>
          <w:bottom w:val="none" w:sz="8" w:space="0" w:color="auto"/>
          <w:right w:val="none" w:sz="8" w:space="0" w:color="auto"/>
        </w:pBdr>
        <w:spacing w:beforeLines="100" w:before="240" w:after="109" w:line="240" w:lineRule="auto"/>
        <w:rPr>
          <w:rFonts w:ascii="Arial" w:eastAsia="Times New Roman" w:hAnsi="Arial"/>
          <w:szCs w:val="20"/>
          <w:lang w:eastAsia="en"/>
        </w:rPr>
      </w:pPr>
      <w:r w:rsidRPr="00D5126A">
        <w:rPr>
          <w:rFonts w:ascii="Arial" w:eastAsia="Times New Roman" w:hAnsi="Arial"/>
          <w:szCs w:val="20"/>
          <w:lang w:eastAsia="en"/>
        </w:rPr>
        <w:t xml:space="preserve">Iona Pannett – for Wellington City Council </w:t>
      </w:r>
    </w:p>
    <w:p w:rsidR="006F5E9B" w:rsidRPr="00D5126A" w:rsidRDefault="006F5E9B" w:rsidP="002C7BF8">
      <w:pPr>
        <w:pStyle w:val="ListParagraph"/>
        <w:numPr>
          <w:ilvl w:val="0"/>
          <w:numId w:val="26"/>
        </w:numPr>
        <w:pBdr>
          <w:top w:val="none" w:sz="8" w:space="0" w:color="auto"/>
          <w:left w:val="none" w:sz="8" w:space="0" w:color="auto"/>
          <w:bottom w:val="none" w:sz="8" w:space="0" w:color="auto"/>
          <w:right w:val="none" w:sz="8" w:space="0" w:color="auto"/>
        </w:pBdr>
        <w:spacing w:beforeLines="100" w:before="240" w:after="109" w:line="240" w:lineRule="auto"/>
        <w:rPr>
          <w:rFonts w:ascii="Arial" w:eastAsia="Times New Roman" w:hAnsi="Arial"/>
          <w:szCs w:val="20"/>
          <w:lang w:eastAsia="en"/>
        </w:rPr>
      </w:pPr>
      <w:r w:rsidRPr="00D5126A">
        <w:rPr>
          <w:rFonts w:ascii="Arial" w:eastAsia="Times New Roman" w:hAnsi="Arial"/>
          <w:szCs w:val="20"/>
          <w:lang w:eastAsia="en"/>
        </w:rPr>
        <w:t xml:space="preserve">Mike Tana – for Porirua City Council </w:t>
      </w:r>
    </w:p>
    <w:p w:rsidR="006F5E9B" w:rsidRPr="00D5126A" w:rsidRDefault="006F5E9B" w:rsidP="002C7BF8">
      <w:pPr>
        <w:pStyle w:val="ListParagraph"/>
        <w:numPr>
          <w:ilvl w:val="0"/>
          <w:numId w:val="26"/>
        </w:numPr>
        <w:pBdr>
          <w:top w:val="none" w:sz="8" w:space="0" w:color="auto"/>
          <w:left w:val="none" w:sz="8" w:space="0" w:color="auto"/>
          <w:bottom w:val="none" w:sz="8" w:space="0" w:color="auto"/>
          <w:right w:val="none" w:sz="8" w:space="0" w:color="auto"/>
        </w:pBdr>
        <w:spacing w:beforeLines="100" w:before="240" w:after="109" w:line="240" w:lineRule="auto"/>
        <w:rPr>
          <w:rFonts w:ascii="Arial" w:eastAsia="Times New Roman" w:hAnsi="Arial"/>
          <w:szCs w:val="20"/>
          <w:lang w:eastAsia="en"/>
        </w:rPr>
      </w:pPr>
      <w:r w:rsidRPr="00D5126A">
        <w:rPr>
          <w:rFonts w:ascii="Arial" w:eastAsia="Times New Roman" w:hAnsi="Arial"/>
          <w:szCs w:val="20"/>
          <w:lang w:eastAsia="en"/>
        </w:rPr>
        <w:t xml:space="preserve">Jenny Brash – for Greater Wellington Regional Council </w:t>
      </w:r>
    </w:p>
    <w:p w:rsidR="006F5E9B" w:rsidRPr="00D5126A" w:rsidRDefault="006F5E9B" w:rsidP="006F5E9B">
      <w:pPr>
        <w:pBdr>
          <w:top w:val="none" w:sz="8" w:space="0" w:color="auto"/>
          <w:left w:val="none" w:sz="8" w:space="0" w:color="auto"/>
          <w:bottom w:val="none" w:sz="8" w:space="0" w:color="auto"/>
          <w:right w:val="none" w:sz="8" w:space="0" w:color="auto"/>
        </w:pBdr>
        <w:spacing w:beforeLines="100" w:before="240" w:after="109" w:line="240" w:lineRule="auto"/>
        <w:rPr>
          <w:rFonts w:ascii="Arial" w:eastAsia="Times New Roman" w:hAnsi="Arial"/>
          <w:szCs w:val="20"/>
          <w:lang w:eastAsia="en"/>
        </w:rPr>
      </w:pPr>
      <w:r w:rsidRPr="00D5126A">
        <w:rPr>
          <w:rFonts w:ascii="Arial" w:eastAsia="Times New Roman" w:hAnsi="Arial"/>
          <w:szCs w:val="20"/>
          <w:lang w:eastAsia="en"/>
        </w:rPr>
        <w:t xml:space="preserve">The Chief Executive is Colin Crampton. </w:t>
      </w:r>
    </w:p>
    <w:p w:rsidR="006F5E9B" w:rsidRPr="00D5126A" w:rsidRDefault="006F5E9B" w:rsidP="006F5E9B">
      <w:pPr>
        <w:pBdr>
          <w:top w:val="none" w:sz="8" w:space="0" w:color="auto"/>
          <w:left w:val="none" w:sz="8" w:space="0" w:color="auto"/>
          <w:bottom w:val="none" w:sz="8" w:space="0" w:color="auto"/>
          <w:right w:val="none" w:sz="8" w:space="0" w:color="auto"/>
        </w:pBdr>
        <w:spacing w:beforeLines="100" w:before="240" w:after="109" w:line="240" w:lineRule="auto"/>
        <w:rPr>
          <w:rFonts w:ascii="Arial" w:eastAsia="Times New Roman" w:hAnsi="Arial"/>
          <w:szCs w:val="20"/>
          <w:lang w:eastAsia="en"/>
        </w:rPr>
      </w:pPr>
      <w:r w:rsidRPr="00D5126A">
        <w:rPr>
          <w:rFonts w:ascii="Arial" w:eastAsia="Times New Roman" w:hAnsi="Arial"/>
          <w:szCs w:val="20"/>
          <w:lang w:eastAsia="en"/>
        </w:rPr>
        <w:t xml:space="preserve">For information on how Wellington Water performed, see the </w:t>
      </w:r>
      <w:r w:rsidRPr="00D5126A">
        <w:rPr>
          <w:rFonts w:ascii="Arial" w:eastAsia="Times New Roman" w:hAnsi="Arial" w:cs="Arial"/>
          <w:szCs w:val="20"/>
          <w:lang w:eastAsia="en"/>
        </w:rPr>
        <w:t>Environment</w:t>
      </w:r>
      <w:r w:rsidRPr="00D5126A">
        <w:rPr>
          <w:rFonts w:ascii="Arial" w:eastAsia="Times New Roman" w:hAnsi="Arial"/>
          <w:szCs w:val="20"/>
          <w:lang w:eastAsia="en"/>
        </w:rPr>
        <w:t xml:space="preserve"> section.</w:t>
      </w:r>
    </w:p>
    <w:p w:rsidR="006F5E9B" w:rsidRPr="00D5126A" w:rsidRDefault="006F5E9B" w:rsidP="006F5E9B">
      <w:pPr>
        <w:pBdr>
          <w:top w:val="none" w:sz="8" w:space="0" w:color="auto"/>
          <w:left w:val="none" w:sz="8" w:space="0" w:color="auto"/>
          <w:bottom w:val="none" w:sz="8" w:space="0" w:color="auto"/>
          <w:right w:val="none" w:sz="8" w:space="0" w:color="auto"/>
        </w:pBdr>
        <w:spacing w:beforeLines="100" w:before="240" w:after="109" w:line="240" w:lineRule="auto"/>
        <w:rPr>
          <w:rFonts w:ascii="Arial" w:eastAsia="Times New Roman" w:hAnsi="Arial"/>
          <w:szCs w:val="20"/>
          <w:lang w:eastAsia="en"/>
        </w:rPr>
      </w:pPr>
      <w:r w:rsidRPr="00D5126A">
        <w:rPr>
          <w:rFonts w:ascii="Arial" w:eastAsia="Times New Roman" w:hAnsi="Arial"/>
          <w:szCs w:val="20"/>
          <w:lang w:eastAsia="en"/>
        </w:rPr>
        <w:t xml:space="preserve">For further details on its budget and performance, refer to the annual report for Wellington Water Ltd.  </w:t>
      </w:r>
    </w:p>
    <w:p w:rsidR="006F5E9B" w:rsidRPr="00D5126A" w:rsidRDefault="006F5E9B" w:rsidP="006F5E9B">
      <w:pPr>
        <w:spacing w:before="200"/>
        <w:rPr>
          <w:rFonts w:ascii="Arial" w:eastAsia="Times New Roman" w:hAnsi="Arial"/>
          <w:caps/>
          <w:color w:val="243F60"/>
          <w:spacing w:val="15"/>
          <w:lang w:eastAsia="en"/>
        </w:rPr>
      </w:pPr>
      <w:bookmarkStart w:id="319" w:name="Wellington_Regional_Stadium_Trust"/>
      <w:r w:rsidRPr="00D5126A">
        <w:rPr>
          <w:rFonts w:ascii="Arial" w:eastAsia="Times New Roman" w:hAnsi="Arial"/>
          <w:sz w:val="24"/>
          <w:szCs w:val="20"/>
          <w:lang w:eastAsia="en"/>
        </w:rPr>
        <w:br w:type="page"/>
      </w:r>
    </w:p>
    <w:p w:rsidR="006F5E9B" w:rsidRPr="00610DBC" w:rsidRDefault="006F5E9B" w:rsidP="006F5E9B">
      <w:pPr>
        <w:pStyle w:val="Heading3"/>
        <w:rPr>
          <w:color w:val="7030A0"/>
        </w:rPr>
      </w:pPr>
      <w:bookmarkStart w:id="320" w:name="Wellington_Zoo_Trust"/>
      <w:bookmarkStart w:id="321" w:name="_Toc19085873"/>
      <w:bookmarkEnd w:id="319"/>
      <w:r w:rsidRPr="00610DBC">
        <w:rPr>
          <w:rFonts w:ascii="Arial" w:hAnsi="Arial" w:cs="Times New Roman"/>
          <w:noProof/>
          <w:color w:val="7030A0"/>
          <w:sz w:val="24"/>
          <w:szCs w:val="20"/>
        </w:rPr>
        <w:lastRenderedPageBreak/>
        <w:drawing>
          <wp:anchor distT="0" distB="0" distL="114300" distR="114300" simplePos="0" relativeHeight="251676672" behindDoc="1" locked="0" layoutInCell="1" allowOverlap="1" wp14:anchorId="68787382" wp14:editId="6FF4297A">
            <wp:simplePos x="0" y="0"/>
            <wp:positionH relativeFrom="column">
              <wp:posOffset>2357120</wp:posOffset>
            </wp:positionH>
            <wp:positionV relativeFrom="paragraph">
              <wp:posOffset>-199390</wp:posOffset>
            </wp:positionV>
            <wp:extent cx="1012190" cy="594995"/>
            <wp:effectExtent l="0" t="0" r="0" b="0"/>
            <wp:wrapTight wrapText="bothSides">
              <wp:wrapPolygon edited="0">
                <wp:start x="0" y="0"/>
                <wp:lineTo x="0" y="20747"/>
                <wp:lineTo x="21139" y="20747"/>
                <wp:lineTo x="21139" y="0"/>
                <wp:lineTo x="0" y="0"/>
              </wp:wrapPolygon>
            </wp:wrapTight>
            <wp:docPr id="1314" name="CCO-wellington-zoo-RGB.jpg" descr="Wellington Zoo Trust logo"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O-wellington-zoo-RGB.jpg" descr="Wellington Zoo Trust logo"/>
                    <pic:cNvPicPr/>
                  </pic:nvPicPr>
                  <pic:blipFill>
                    <a:blip r:embed="rId30">
                      <a:extLst>
                        <a:ext uri="{28A0092B-C50C-407E-A947-70E740481C1C}">
                          <a14:useLocalDpi xmlns:a14="http://schemas.microsoft.com/office/drawing/2010/main" val="0"/>
                        </a:ext>
                      </a:extLst>
                    </a:blip>
                    <a:stretch>
                      <a:fillRect/>
                    </a:stretch>
                  </pic:blipFill>
                  <pic:spPr>
                    <a:xfrm>
                      <a:off x="0" y="0"/>
                      <a:ext cx="1012190" cy="594995"/>
                    </a:xfrm>
                    <a:prstGeom prst="rect">
                      <a:avLst/>
                    </a:prstGeom>
                  </pic:spPr>
                </pic:pic>
              </a:graphicData>
            </a:graphic>
            <wp14:sizeRelH relativeFrom="page">
              <wp14:pctWidth>0</wp14:pctWidth>
            </wp14:sizeRelH>
            <wp14:sizeRelV relativeFrom="page">
              <wp14:pctHeight>0</wp14:pctHeight>
            </wp14:sizeRelV>
          </wp:anchor>
        </w:drawing>
      </w:r>
      <w:r w:rsidRPr="00610DBC">
        <w:rPr>
          <w:color w:val="7030A0"/>
        </w:rPr>
        <w:t>Wellington Zoo Trust</w:t>
      </w:r>
      <w:bookmarkEnd w:id="320"/>
      <w:bookmarkEnd w:id="321"/>
    </w:p>
    <w:p w:rsidR="006F5E9B" w:rsidRPr="00D5126A" w:rsidRDefault="006F5E9B" w:rsidP="006F5E9B">
      <w:pPr>
        <w:pBdr>
          <w:top w:val="none" w:sz="8" w:space="0" w:color="auto"/>
          <w:left w:val="none" w:sz="8" w:space="0" w:color="auto"/>
          <w:bottom w:val="none" w:sz="8" w:space="0" w:color="auto"/>
          <w:right w:val="none" w:sz="8" w:space="0" w:color="auto"/>
        </w:pBdr>
        <w:spacing w:before="218" w:after="109" w:line="240" w:lineRule="auto"/>
        <w:rPr>
          <w:rFonts w:ascii="Arial" w:eastAsia="Times New Roman" w:hAnsi="Arial"/>
          <w:sz w:val="24"/>
          <w:szCs w:val="20"/>
          <w:lang w:eastAsia="en"/>
        </w:rPr>
      </w:pPr>
    </w:p>
    <w:p w:rsidR="006F5E9B" w:rsidRPr="00D5126A" w:rsidRDefault="006F5E9B" w:rsidP="006F5E9B">
      <w:pPr>
        <w:rPr>
          <w:rFonts w:ascii="Arial" w:eastAsia="Times New Roman" w:hAnsi="Arial"/>
          <w:szCs w:val="20"/>
          <w:lang w:eastAsia="en"/>
        </w:rPr>
      </w:pPr>
      <w:r w:rsidRPr="00D5126A">
        <w:rPr>
          <w:rFonts w:ascii="Arial" w:eastAsia="Times New Roman" w:hAnsi="Arial"/>
          <w:szCs w:val="20"/>
          <w:lang w:eastAsia="en"/>
        </w:rPr>
        <w:t>Wellington Zoo was New Zealand’s first zoo, opening in 1906.  It is nestled in Wellington’s green belt, occupying 13-hectares of land that is dedicated to more than 100 species from across the globe.</w:t>
      </w:r>
      <w:r w:rsidRPr="00D5126A">
        <w:t xml:space="preserve">  Wellington Zoo has local and global influence in animal welfare, sustainability initiatives, </w:t>
      </w:r>
      <w:proofErr w:type="gramStart"/>
      <w:r w:rsidRPr="00D5126A">
        <w:t>community</w:t>
      </w:r>
      <w:proofErr w:type="gramEnd"/>
      <w:r w:rsidRPr="00D5126A">
        <w:t xml:space="preserve"> engagement and conservation outcomes.</w:t>
      </w:r>
    </w:p>
    <w:p w:rsidR="006F5E9B" w:rsidRPr="00D5126A" w:rsidRDefault="006F5E9B" w:rsidP="006F5E9B">
      <w:pPr>
        <w:rPr>
          <w:rFonts w:ascii="Arial" w:eastAsia="Times New Roman" w:hAnsi="Arial"/>
          <w:szCs w:val="20"/>
          <w:lang w:eastAsia="en"/>
        </w:rPr>
      </w:pPr>
      <w:r w:rsidRPr="00D5126A">
        <w:rPr>
          <w:rFonts w:ascii="Arial" w:eastAsia="Times New Roman" w:hAnsi="Arial"/>
          <w:szCs w:val="20"/>
          <w:lang w:eastAsia="en"/>
        </w:rPr>
        <w:t xml:space="preserve">The Zoo is a member of the World Association of Zoos and Aquariums and follows its commitments to excellence in animal welfare, sustainability and conservation. It is also an animal welfare accredited member of the Zoo and Aquarium Association Australasia - which manages the coordination of breeding programmes and sets the level of professional standards and practice for members.  The Zoo has been a not-for-profit charitable trust since 2003.  For more than 10 years, Council has invested in upgrading and renewing the Zoo’s assets and enclosures and today it is the world’s first CarboNZero certified zoo and a popular attraction for tourists and locals. </w:t>
      </w:r>
    </w:p>
    <w:p w:rsidR="006F5E9B" w:rsidRPr="00D5126A" w:rsidRDefault="006F5E9B" w:rsidP="006F5E9B">
      <w:pPr>
        <w:pBdr>
          <w:top w:val="none" w:sz="8" w:space="0" w:color="auto"/>
          <w:left w:val="none" w:sz="8" w:space="0" w:color="auto"/>
          <w:bottom w:val="none" w:sz="8" w:space="0" w:color="auto"/>
          <w:right w:val="none" w:sz="8" w:space="0" w:color="auto"/>
        </w:pBdr>
        <w:spacing w:before="200" w:after="109" w:line="240" w:lineRule="auto"/>
        <w:rPr>
          <w:rFonts w:ascii="Arial" w:eastAsia="Times New Roman" w:hAnsi="Arial"/>
          <w:szCs w:val="20"/>
          <w:lang w:eastAsia="en"/>
        </w:rPr>
      </w:pPr>
      <w:r w:rsidRPr="00D5126A">
        <w:rPr>
          <w:rFonts w:ascii="Arial" w:eastAsia="Times New Roman" w:hAnsi="Arial"/>
          <w:szCs w:val="20"/>
          <w:lang w:eastAsia="en"/>
        </w:rPr>
        <w:t xml:space="preserve">The board of trustees is; </w:t>
      </w:r>
    </w:p>
    <w:p w:rsidR="006F5E9B" w:rsidRPr="00D5126A" w:rsidRDefault="006F5E9B" w:rsidP="002C7BF8">
      <w:pPr>
        <w:pStyle w:val="ListParagraph"/>
        <w:numPr>
          <w:ilvl w:val="0"/>
          <w:numId w:val="28"/>
        </w:numPr>
        <w:pBdr>
          <w:top w:val="none" w:sz="8" w:space="0" w:color="auto"/>
          <w:left w:val="none" w:sz="8" w:space="0" w:color="auto"/>
          <w:bottom w:val="none" w:sz="8" w:space="0" w:color="auto"/>
          <w:right w:val="none" w:sz="8" w:space="0" w:color="auto"/>
        </w:pBdr>
        <w:spacing w:before="240" w:after="109" w:line="240" w:lineRule="auto"/>
        <w:rPr>
          <w:rFonts w:ascii="Arial" w:eastAsia="Times New Roman" w:hAnsi="Arial"/>
          <w:szCs w:val="20"/>
          <w:lang w:eastAsia="en"/>
        </w:rPr>
      </w:pPr>
      <w:r w:rsidRPr="00D5126A">
        <w:rPr>
          <w:rFonts w:ascii="Arial" w:eastAsia="Times New Roman" w:hAnsi="Arial"/>
          <w:szCs w:val="20"/>
          <w:lang w:eastAsia="en"/>
        </w:rPr>
        <w:t>Craig Ellison (Chair)</w:t>
      </w:r>
    </w:p>
    <w:p w:rsidR="006F5E9B" w:rsidRPr="00D5126A" w:rsidRDefault="006F5E9B" w:rsidP="002C7BF8">
      <w:pPr>
        <w:pStyle w:val="ListParagraph"/>
        <w:numPr>
          <w:ilvl w:val="0"/>
          <w:numId w:val="28"/>
        </w:numPr>
        <w:pBdr>
          <w:top w:val="none" w:sz="8" w:space="0" w:color="auto"/>
          <w:left w:val="none" w:sz="8" w:space="0" w:color="auto"/>
          <w:bottom w:val="none" w:sz="8" w:space="0" w:color="auto"/>
          <w:right w:val="none" w:sz="8" w:space="0" w:color="auto"/>
        </w:pBdr>
        <w:spacing w:before="240" w:after="109" w:line="240" w:lineRule="auto"/>
        <w:rPr>
          <w:rFonts w:ascii="Arial" w:eastAsia="Times New Roman" w:hAnsi="Arial"/>
          <w:szCs w:val="20"/>
          <w:lang w:eastAsia="en"/>
        </w:rPr>
      </w:pPr>
      <w:r w:rsidRPr="00D5126A">
        <w:rPr>
          <w:rFonts w:ascii="Arial" w:eastAsia="Times New Roman" w:hAnsi="Arial"/>
          <w:szCs w:val="20"/>
          <w:lang w:eastAsia="en"/>
        </w:rPr>
        <w:t>Raewyn Bleakley</w:t>
      </w:r>
    </w:p>
    <w:p w:rsidR="006F5E9B" w:rsidRPr="00D5126A" w:rsidRDefault="006F5E9B" w:rsidP="002C7BF8">
      <w:pPr>
        <w:pStyle w:val="ListParagraph"/>
        <w:numPr>
          <w:ilvl w:val="0"/>
          <w:numId w:val="28"/>
        </w:numPr>
        <w:pBdr>
          <w:top w:val="none" w:sz="8" w:space="0" w:color="auto"/>
          <w:left w:val="none" w:sz="8" w:space="0" w:color="auto"/>
          <w:bottom w:val="none" w:sz="8" w:space="0" w:color="auto"/>
          <w:right w:val="none" w:sz="8" w:space="0" w:color="auto"/>
        </w:pBdr>
        <w:spacing w:before="240" w:after="109" w:line="240" w:lineRule="auto"/>
        <w:rPr>
          <w:rFonts w:ascii="Arial" w:eastAsia="Times New Roman" w:hAnsi="Arial"/>
          <w:szCs w:val="20"/>
          <w:lang w:eastAsia="en"/>
        </w:rPr>
      </w:pPr>
      <w:r w:rsidRPr="00D5126A">
        <w:rPr>
          <w:rFonts w:ascii="Arial" w:eastAsia="Times New Roman" w:hAnsi="Arial"/>
          <w:szCs w:val="20"/>
          <w:lang w:eastAsia="en"/>
        </w:rPr>
        <w:t xml:space="preserve">Michael Potts </w:t>
      </w:r>
    </w:p>
    <w:p w:rsidR="006F5E9B" w:rsidRPr="00D5126A" w:rsidRDefault="006F5E9B" w:rsidP="002C7BF8">
      <w:pPr>
        <w:pStyle w:val="ListParagraph"/>
        <w:numPr>
          <w:ilvl w:val="0"/>
          <w:numId w:val="28"/>
        </w:numPr>
        <w:pBdr>
          <w:top w:val="none" w:sz="8" w:space="0" w:color="auto"/>
          <w:left w:val="none" w:sz="8" w:space="0" w:color="auto"/>
          <w:bottom w:val="none" w:sz="8" w:space="0" w:color="auto"/>
          <w:right w:val="none" w:sz="8" w:space="0" w:color="auto"/>
        </w:pBdr>
        <w:spacing w:before="240" w:after="109" w:line="240" w:lineRule="auto"/>
        <w:rPr>
          <w:rFonts w:ascii="Arial" w:eastAsia="Times New Roman" w:hAnsi="Arial"/>
          <w:szCs w:val="20"/>
          <w:lang w:eastAsia="en"/>
        </w:rPr>
      </w:pPr>
      <w:r w:rsidRPr="00D5126A">
        <w:rPr>
          <w:rFonts w:ascii="Arial" w:eastAsia="Times New Roman" w:hAnsi="Arial"/>
          <w:szCs w:val="20"/>
          <w:lang w:eastAsia="en"/>
        </w:rPr>
        <w:t xml:space="preserve">Benjamin Bateman </w:t>
      </w:r>
    </w:p>
    <w:p w:rsidR="006F5E9B" w:rsidRPr="00D5126A" w:rsidRDefault="006F5E9B" w:rsidP="002C7BF8">
      <w:pPr>
        <w:pStyle w:val="ListParagraph"/>
        <w:numPr>
          <w:ilvl w:val="0"/>
          <w:numId w:val="28"/>
        </w:numPr>
        <w:pBdr>
          <w:top w:val="none" w:sz="8" w:space="0" w:color="auto"/>
          <w:left w:val="none" w:sz="8" w:space="0" w:color="auto"/>
          <w:bottom w:val="none" w:sz="8" w:space="0" w:color="auto"/>
          <w:right w:val="none" w:sz="8" w:space="0" w:color="auto"/>
        </w:pBdr>
        <w:spacing w:before="240" w:after="109" w:line="240" w:lineRule="auto"/>
        <w:rPr>
          <w:rFonts w:ascii="Arial" w:eastAsia="Times New Roman" w:hAnsi="Arial"/>
          <w:szCs w:val="20"/>
          <w:lang w:eastAsia="en"/>
        </w:rPr>
      </w:pPr>
      <w:r w:rsidRPr="00D5126A">
        <w:rPr>
          <w:rFonts w:ascii="Arial" w:eastAsia="Times New Roman" w:hAnsi="Arial"/>
          <w:szCs w:val="20"/>
          <w:lang w:eastAsia="en"/>
        </w:rPr>
        <w:t xml:space="preserve">Nina Welanyk Brown </w:t>
      </w:r>
    </w:p>
    <w:p w:rsidR="006F5E9B" w:rsidRPr="00D5126A" w:rsidRDefault="006F5E9B" w:rsidP="002C7BF8">
      <w:pPr>
        <w:pStyle w:val="ListParagraph"/>
        <w:numPr>
          <w:ilvl w:val="0"/>
          <w:numId w:val="28"/>
        </w:numPr>
        <w:pBdr>
          <w:top w:val="none" w:sz="8" w:space="0" w:color="auto"/>
          <w:left w:val="none" w:sz="8" w:space="0" w:color="auto"/>
          <w:bottom w:val="none" w:sz="8" w:space="0" w:color="auto"/>
          <w:right w:val="none" w:sz="8" w:space="0" w:color="auto"/>
        </w:pBdr>
        <w:spacing w:before="240" w:after="109" w:line="240" w:lineRule="auto"/>
        <w:rPr>
          <w:rFonts w:ascii="Arial" w:eastAsia="Times New Roman" w:hAnsi="Arial"/>
          <w:szCs w:val="20"/>
          <w:lang w:eastAsia="en"/>
        </w:rPr>
      </w:pPr>
      <w:r w:rsidRPr="00D5126A">
        <w:rPr>
          <w:rFonts w:ascii="Arial" w:eastAsia="Times New Roman" w:hAnsi="Arial"/>
          <w:szCs w:val="20"/>
          <w:lang w:eastAsia="en"/>
        </w:rPr>
        <w:t xml:space="preserve">Councillor Peter Gilberd </w:t>
      </w:r>
    </w:p>
    <w:p w:rsidR="006F5E9B" w:rsidRPr="00D5126A" w:rsidRDefault="006F5E9B" w:rsidP="006F5E9B">
      <w:pPr>
        <w:pBdr>
          <w:top w:val="none" w:sz="8" w:space="0" w:color="auto"/>
          <w:left w:val="none" w:sz="8" w:space="0" w:color="auto"/>
          <w:bottom w:val="none" w:sz="8" w:space="0" w:color="auto"/>
          <w:right w:val="none" w:sz="8" w:space="0" w:color="auto"/>
        </w:pBdr>
        <w:spacing w:before="200" w:after="109" w:line="240" w:lineRule="auto"/>
        <w:rPr>
          <w:rFonts w:ascii="Arial" w:eastAsia="Times New Roman" w:hAnsi="Arial"/>
          <w:szCs w:val="20"/>
          <w:lang w:eastAsia="en"/>
        </w:rPr>
      </w:pPr>
      <w:r w:rsidRPr="00D5126A">
        <w:rPr>
          <w:rFonts w:ascii="Arial" w:eastAsia="Times New Roman" w:hAnsi="Arial"/>
          <w:szCs w:val="20"/>
          <w:lang w:eastAsia="en"/>
        </w:rPr>
        <w:t xml:space="preserve">The Chief Executive is Karen Fifield MNZM.  </w:t>
      </w:r>
    </w:p>
    <w:p w:rsidR="006F5E9B" w:rsidRPr="00D5126A" w:rsidRDefault="006F5E9B" w:rsidP="006F5E9B">
      <w:pPr>
        <w:pBdr>
          <w:top w:val="none" w:sz="8" w:space="0" w:color="auto"/>
          <w:left w:val="none" w:sz="8" w:space="0" w:color="auto"/>
          <w:bottom w:val="none" w:sz="8" w:space="0" w:color="auto"/>
          <w:right w:val="none" w:sz="8" w:space="0" w:color="auto"/>
        </w:pBdr>
        <w:spacing w:beforeLines="100" w:before="240" w:after="109" w:line="240" w:lineRule="auto"/>
        <w:rPr>
          <w:rFonts w:ascii="Arial" w:eastAsia="Times New Roman" w:hAnsi="Arial"/>
          <w:szCs w:val="20"/>
          <w:lang w:eastAsia="en"/>
        </w:rPr>
      </w:pPr>
      <w:r w:rsidRPr="00D5126A">
        <w:rPr>
          <w:rFonts w:ascii="Arial" w:eastAsia="Times New Roman" w:hAnsi="Arial"/>
          <w:szCs w:val="20"/>
          <w:lang w:eastAsia="en"/>
        </w:rPr>
        <w:t xml:space="preserve">For information on the Zoo’s activities, see the </w:t>
      </w:r>
      <w:r w:rsidRPr="00D5126A">
        <w:rPr>
          <w:rFonts w:ascii="Arial" w:eastAsia="Times New Roman" w:hAnsi="Arial" w:cs="Arial"/>
          <w:szCs w:val="20"/>
          <w:lang w:eastAsia="en"/>
        </w:rPr>
        <w:t>Environment</w:t>
      </w:r>
      <w:r w:rsidRPr="00D5126A">
        <w:rPr>
          <w:rFonts w:ascii="Arial" w:eastAsia="Times New Roman" w:hAnsi="Arial"/>
          <w:szCs w:val="20"/>
          <w:lang w:eastAsia="en"/>
        </w:rPr>
        <w:t xml:space="preserve"> section. </w:t>
      </w:r>
    </w:p>
    <w:p w:rsidR="006F5E9B" w:rsidRPr="00D5126A" w:rsidRDefault="006F5E9B" w:rsidP="006F5E9B">
      <w:pPr>
        <w:pBdr>
          <w:top w:val="none" w:sz="8" w:space="0" w:color="auto"/>
          <w:left w:val="none" w:sz="8" w:space="0" w:color="auto"/>
          <w:bottom w:val="none" w:sz="8" w:space="0" w:color="auto"/>
          <w:right w:val="none" w:sz="8" w:space="0" w:color="auto"/>
        </w:pBdr>
        <w:spacing w:beforeLines="100" w:before="240" w:after="109" w:line="240" w:lineRule="auto"/>
        <w:rPr>
          <w:rFonts w:ascii="Arial" w:eastAsia="Times New Roman" w:hAnsi="Arial"/>
          <w:szCs w:val="20"/>
          <w:lang w:eastAsia="en"/>
        </w:rPr>
      </w:pPr>
      <w:r w:rsidRPr="00D5126A">
        <w:rPr>
          <w:rFonts w:ascii="Arial" w:eastAsia="Times New Roman" w:hAnsi="Arial"/>
          <w:szCs w:val="20"/>
          <w:lang w:eastAsia="en"/>
        </w:rPr>
        <w:t>For further details on its budget and performance, refer to the Wellington Zoo Trust’s annual report.</w:t>
      </w:r>
    </w:p>
    <w:p w:rsidR="00F558F4" w:rsidRPr="00D5126A" w:rsidRDefault="00F558F4">
      <w:pPr>
        <w:rPr>
          <w:caps/>
          <w:color w:val="243F60" w:themeColor="accent1" w:themeShade="7F"/>
          <w:spacing w:val="15"/>
        </w:rPr>
      </w:pPr>
      <w:r w:rsidRPr="00D5126A">
        <w:br w:type="page"/>
      </w:r>
    </w:p>
    <w:p w:rsidR="009D3428" w:rsidRPr="00D5126A" w:rsidRDefault="00E62C3F" w:rsidP="009D3428">
      <w:pPr>
        <w:pStyle w:val="Heading1"/>
      </w:pPr>
      <w:bookmarkStart w:id="322" w:name="_Toc19085874"/>
      <w:bookmarkStart w:id="323" w:name="_Toc23758611"/>
      <w:bookmarkStart w:id="324" w:name="PPSid1726"/>
      <w:bookmarkStart w:id="325" w:name="_Toc528234308"/>
      <w:bookmarkStart w:id="326" w:name="_Toc14178570"/>
      <w:bookmarkEnd w:id="308"/>
      <w:r w:rsidRPr="00D5126A">
        <w:lastRenderedPageBreak/>
        <w:t xml:space="preserve">Section 4: </w:t>
      </w:r>
      <w:r w:rsidR="009D3428" w:rsidRPr="00D5126A">
        <w:t>Governance and Management</w:t>
      </w:r>
      <w:bookmarkEnd w:id="322"/>
      <w:bookmarkEnd w:id="323"/>
    </w:p>
    <w:p w:rsidR="009D3428" w:rsidRPr="00D5126A" w:rsidRDefault="009D3428" w:rsidP="00027D0C">
      <w:pPr>
        <w:pStyle w:val="Heading5"/>
      </w:pPr>
      <w:r w:rsidRPr="00D5126A">
        <w:t>In this section</w:t>
      </w:r>
    </w:p>
    <w:p w:rsidR="009D3428" w:rsidRPr="00D5126A" w:rsidRDefault="009D3428" w:rsidP="009D3428">
      <w:pPr>
        <w:spacing w:line="240" w:lineRule="auto"/>
      </w:pPr>
      <w:r w:rsidRPr="00D5126A">
        <w:t xml:space="preserve">This section describes the City’s democratic and corporate governance arrangements and presents information relating </w:t>
      </w:r>
      <w:r w:rsidR="00E554B8" w:rsidRPr="00D5126A">
        <w:t xml:space="preserve">to </w:t>
      </w:r>
      <w:r w:rsidRPr="00D5126A">
        <w:t>our elected members, committees, directorates, organisational structure and staff.</w:t>
      </w:r>
    </w:p>
    <w:p w:rsidR="009D3428" w:rsidRPr="00D5126A" w:rsidRDefault="00D12365" w:rsidP="00D12365">
      <w:pPr>
        <w:pStyle w:val="Heading2"/>
      </w:pPr>
      <w:bookmarkStart w:id="327" w:name="_Toc14178511"/>
      <w:bookmarkStart w:id="328" w:name="_Toc19085875"/>
      <w:bookmarkStart w:id="329" w:name="_Toc23758612"/>
      <w:r w:rsidRPr="00D5126A">
        <w:t>Our C</w:t>
      </w:r>
      <w:r w:rsidR="009D3428" w:rsidRPr="00D5126A">
        <w:t>ouncil</w:t>
      </w:r>
      <w:bookmarkEnd w:id="327"/>
      <w:bookmarkEnd w:id="328"/>
      <w:bookmarkEnd w:id="329"/>
    </w:p>
    <w:p w:rsidR="009D3428" w:rsidRPr="00D5126A" w:rsidRDefault="009D3428" w:rsidP="009D3428">
      <w:pPr>
        <w:pStyle w:val="Quote"/>
        <w:rPr>
          <w:rStyle w:val="Strong"/>
          <w:b w:val="0"/>
          <w:i w:val="0"/>
          <w:szCs w:val="34"/>
        </w:rPr>
      </w:pPr>
      <w:r w:rsidRPr="00D5126A">
        <w:rPr>
          <w:rStyle w:val="Strong"/>
          <w:b w:val="0"/>
          <w:i w:val="0"/>
          <w:szCs w:val="34"/>
        </w:rPr>
        <w:t>The essence of the role elected councillors have is to set the direction and priorities for the city, and provide oversight of the organisation.</w:t>
      </w:r>
    </w:p>
    <w:p w:rsidR="009D3428" w:rsidRPr="00D5126A" w:rsidRDefault="009D3428" w:rsidP="009D3428">
      <w:r w:rsidRPr="00D5126A">
        <w:t>Wellington City Council is made up of 14 Councillors and a Mayor. Along with all other local authorities in New Zealand, the Council is elected every three years. The Mayor is elected “at large”, meaning by all the city’s residents. The Councillors are elected by voters from their respective geographical areas (wards). The next election is on October 12, 2019, and will be held under the single transferable vote system (STV).</w:t>
      </w:r>
    </w:p>
    <w:p w:rsidR="009D3428" w:rsidRPr="00D5126A" w:rsidRDefault="009D3428" w:rsidP="00846C1B">
      <w:pPr>
        <w:pStyle w:val="Heading4"/>
      </w:pPr>
      <w:r w:rsidRPr="00D5126A">
        <w:t>Setting the direction</w:t>
      </w:r>
    </w:p>
    <w:p w:rsidR="009D3428" w:rsidRPr="00D5126A" w:rsidRDefault="009D3428" w:rsidP="009D3428">
      <w:r w:rsidRPr="00D5126A">
        <w:t>Elected councillors have the responsibility to set the direction and priorities for the city, and provide oversight of the organisation. The Council then appoints the chief executive to deliver the services needed to fulfil its direction.</w:t>
      </w:r>
    </w:p>
    <w:p w:rsidR="009D3428" w:rsidRPr="00D5126A" w:rsidRDefault="009D3428" w:rsidP="009D3428">
      <w:r w:rsidRPr="00D5126A">
        <w:t>Under the Local Government Act 2002, certain powers are reserved for the elected Council. They include setting bylaws and rates, setting the city’s budget through long-term and annual plans, making decisions about borrowing money and buying or selling assets, setting up and giving powers to Council committees, determining how council meetings will be run, setting a Councillor code of conduct, and adopting annual reports.</w:t>
      </w:r>
    </w:p>
    <w:p w:rsidR="009D3428" w:rsidRPr="00D5126A" w:rsidRDefault="009D3428" w:rsidP="009D3428">
      <w:r w:rsidRPr="00D5126A">
        <w:t>Subject to these powers, day-to-day management of Council services and operations is delegated to the chief executive, with councillors monitoring progress.</w:t>
      </w:r>
    </w:p>
    <w:p w:rsidR="009D3428" w:rsidRPr="00D5126A" w:rsidRDefault="009D3428" w:rsidP="00846C1B">
      <w:pPr>
        <w:pStyle w:val="Heading4"/>
        <w:rPr>
          <w:color w:val="auto"/>
        </w:rPr>
      </w:pPr>
      <w:r w:rsidRPr="00D5126A">
        <w:t>Community advocates</w:t>
      </w:r>
    </w:p>
    <w:p w:rsidR="009D3428" w:rsidRPr="00D5126A" w:rsidRDefault="009D3428" w:rsidP="009D3428">
      <w:r w:rsidRPr="00D5126A">
        <w:t>Councillors are responsible for looking after those from the geographical area (ward) they are elected to. This involves meeting people and organisations and advocating on their behalf or addressing any issues they may face.</w:t>
      </w:r>
    </w:p>
    <w:p w:rsidR="009D3428" w:rsidRPr="00D5126A" w:rsidRDefault="009D3428" w:rsidP="009D3428">
      <w:r w:rsidRPr="00D5126A">
        <w:t>However, when councillors come together to make decisions in the Council or a council committee or subcommittee, they are required to put aside local interests and exercise their powers in the best interests of the city as a whole.</w:t>
      </w:r>
    </w:p>
    <w:p w:rsidR="009D3428" w:rsidRPr="00D5126A" w:rsidRDefault="009D3428" w:rsidP="00846C1B">
      <w:pPr>
        <w:pStyle w:val="Heading4"/>
      </w:pPr>
      <w:r w:rsidRPr="00D5126A">
        <w:t>Making the hard decisions</w:t>
      </w:r>
    </w:p>
    <w:p w:rsidR="009D3428" w:rsidRPr="00D5126A" w:rsidRDefault="009D3428" w:rsidP="009D3428">
      <w:r w:rsidRPr="00D5126A">
        <w:t>Whatever decisions councillors make, some people will like it better than others – that’</w:t>
      </w:r>
      <w:r w:rsidR="00E554B8" w:rsidRPr="00D5126A">
        <w:t>s the nature of</w:t>
      </w:r>
      <w:r w:rsidRPr="00D5126A">
        <w:t xml:space="preserve"> democracy. In addition, Council decisions are made in a climate where public </w:t>
      </w:r>
      <w:r w:rsidRPr="00D5126A">
        <w:lastRenderedPageBreak/>
        <w:t xml:space="preserve">organisations are scrutinised more than ever before, and trust in public organisations is generally declining. </w:t>
      </w:r>
    </w:p>
    <w:p w:rsidR="009D3428" w:rsidRPr="00D5126A" w:rsidRDefault="009D3428" w:rsidP="009D3428">
      <w:r w:rsidRPr="00D5126A">
        <w:t xml:space="preserve">Before councillors make any decision, they – with advice from council staff – examine it from every angle. They will think about the wellbeing and collective needs and aspirations of Wellington’s people, legal requirements and contractual obligations, how it fits with the Council’s strategic direction and policies, and whether it’s a sensible use of ratepayer funding. </w:t>
      </w:r>
    </w:p>
    <w:p w:rsidR="009D3428" w:rsidRPr="00D5126A" w:rsidRDefault="009D3428" w:rsidP="009D3428">
      <w:r w:rsidRPr="00D5126A">
        <w:t>Councillors will often ask for information to be presented to them such as: How much will it cost? How can it be funded? Will someone else do the work if we don’t? Will the benefits be significantly less or the costs significantly greater if we wait? And are there any risks involved?</w:t>
      </w:r>
    </w:p>
    <w:p w:rsidR="009D3428" w:rsidRPr="00D5126A" w:rsidRDefault="009D3428" w:rsidP="009D3428">
      <w:r w:rsidRPr="00D5126A">
        <w:t xml:space="preserve">We also engage with our community on </w:t>
      </w:r>
      <w:r w:rsidR="00E554B8" w:rsidRPr="00D5126A">
        <w:t>most</w:t>
      </w:r>
      <w:r w:rsidRPr="00D5126A">
        <w:t xml:space="preserve"> decisions we are making, ensuring they are able to have their say and </w:t>
      </w:r>
      <w:r w:rsidR="00E554B8" w:rsidRPr="00D5126A">
        <w:t>contribute and influence how their city is shaped</w:t>
      </w:r>
      <w:r w:rsidRPr="00D5126A">
        <w:t>.</w:t>
      </w:r>
    </w:p>
    <w:p w:rsidR="009D3428" w:rsidRPr="00D5126A" w:rsidRDefault="009D3428" w:rsidP="009D3428">
      <w:r w:rsidRPr="00D5126A">
        <w:t xml:space="preserve">Altogether, we </w:t>
      </w:r>
      <w:r w:rsidR="009749D7" w:rsidRPr="00D5126A">
        <w:t>strive to ensure</w:t>
      </w:r>
      <w:r w:rsidRPr="00D5126A">
        <w:t xml:space="preserve"> our decision-making processes are fair and robust.</w:t>
      </w:r>
    </w:p>
    <w:p w:rsidR="009D3428" w:rsidRPr="00D5126A" w:rsidRDefault="009D3428" w:rsidP="00AA2122">
      <w:pPr>
        <w:pStyle w:val="Heading3"/>
      </w:pPr>
      <w:bookmarkStart w:id="330" w:name="Standing_committees_and_subcommittees"/>
      <w:bookmarkStart w:id="331" w:name="Standing_committees_and_subcommittees_Th"/>
      <w:bookmarkStart w:id="332" w:name="_Toc528234288"/>
      <w:bookmarkStart w:id="333" w:name="_Toc13211809"/>
      <w:bookmarkStart w:id="334" w:name="_Toc14178512"/>
      <w:bookmarkStart w:id="335" w:name="_Toc19085876"/>
      <w:r w:rsidRPr="00D5126A">
        <w:t>Standing committees and subcommittees</w:t>
      </w:r>
      <w:bookmarkEnd w:id="330"/>
      <w:bookmarkEnd w:id="331"/>
      <w:bookmarkEnd w:id="332"/>
      <w:bookmarkEnd w:id="333"/>
      <w:bookmarkEnd w:id="334"/>
      <w:bookmarkEnd w:id="335"/>
    </w:p>
    <w:p w:rsidR="009D3428" w:rsidRPr="00D5126A" w:rsidRDefault="009D3428" w:rsidP="009D3428">
      <w:pPr>
        <w:pStyle w:val="Para086"/>
        <w:spacing w:line="240" w:lineRule="auto"/>
        <w:rPr>
          <w:rStyle w:val="Strong"/>
          <w:b w:val="0"/>
        </w:rPr>
      </w:pPr>
      <w:r w:rsidRPr="00D5126A">
        <w:rPr>
          <w:rStyle w:val="Strong"/>
          <w:b w:val="0"/>
        </w:rPr>
        <w:t xml:space="preserve">The Council conducts its business at open and publicly-advertised meetings. </w:t>
      </w:r>
    </w:p>
    <w:p w:rsidR="009D3428" w:rsidRPr="00D5126A" w:rsidRDefault="009D3428" w:rsidP="009D3428">
      <w:pPr>
        <w:pStyle w:val="Para003"/>
        <w:spacing w:before="240" w:line="240" w:lineRule="auto"/>
        <w:rPr>
          <w:rFonts w:cstheme="minorHAnsi"/>
          <w:szCs w:val="24"/>
        </w:rPr>
      </w:pPr>
      <w:r w:rsidRPr="00D5126A">
        <w:rPr>
          <w:rFonts w:cstheme="minorHAnsi"/>
          <w:szCs w:val="24"/>
        </w:rPr>
        <w:t>The Mayor (as required by section 41A of the Local Government Act 2002) put in place the current structure of committees and subcommittees following the 2016 election. The Council retains the power to revisit the structure.</w:t>
      </w:r>
    </w:p>
    <w:p w:rsidR="009D3428" w:rsidRPr="00D5126A" w:rsidRDefault="009D3428" w:rsidP="009D3428">
      <w:pPr>
        <w:autoSpaceDE w:val="0"/>
        <w:autoSpaceDN w:val="0"/>
        <w:adjustRightInd w:val="0"/>
        <w:spacing w:after="0" w:line="240" w:lineRule="auto"/>
        <w:rPr>
          <w:rFonts w:cstheme="minorHAnsi"/>
          <w:szCs w:val="24"/>
        </w:rPr>
      </w:pPr>
      <w:r w:rsidRPr="00D5126A">
        <w:rPr>
          <w:rFonts w:cstheme="minorHAnsi"/>
          <w:szCs w:val="24"/>
        </w:rPr>
        <w:t>The Council’s committee structure ensures that all decisions take account of the wider issues facing the city. All services are linked, so it makes good sense to consider them all together. For example, urban development decisions affect the transport network and the environment. Our decision-making structure – with the City Strategy Committee playing a lead role – ensures that all councillors are aware of the full range of issues facing the city. The beginning of each meeting is set aside for members of the public to have their say.</w:t>
      </w:r>
    </w:p>
    <w:p w:rsidR="009D3428" w:rsidRPr="00D5126A" w:rsidRDefault="009D3428" w:rsidP="009D3428">
      <w:pPr>
        <w:pStyle w:val="Para003"/>
        <w:spacing w:before="240" w:line="240" w:lineRule="auto"/>
        <w:rPr>
          <w:rFonts w:cstheme="minorHAnsi"/>
          <w:szCs w:val="24"/>
        </w:rPr>
      </w:pPr>
      <w:r w:rsidRPr="00D5126A">
        <w:rPr>
          <w:rFonts w:cstheme="minorHAnsi"/>
          <w:szCs w:val="24"/>
        </w:rPr>
        <w:t xml:space="preserve">The structure adopted for the 2016-2019 </w:t>
      </w:r>
      <w:proofErr w:type="gramStart"/>
      <w:r w:rsidRPr="00D5126A">
        <w:rPr>
          <w:rFonts w:cstheme="minorHAnsi"/>
          <w:szCs w:val="24"/>
        </w:rPr>
        <w:t>triennium</w:t>
      </w:r>
      <w:proofErr w:type="gramEnd"/>
      <w:r w:rsidRPr="00D5126A">
        <w:rPr>
          <w:rFonts w:cstheme="minorHAnsi"/>
          <w:szCs w:val="24"/>
        </w:rPr>
        <w:t xml:space="preserve"> is based on two committees of the whole – City Strategy and Long-term and Annual Plans. The membership of these committees comprises of the Mayor and all Councillors. The City Strategy Committee meets three times a month and is chaired by Councillor Iona Pannett. The Long-term Plan and Annual Plan Committee </w:t>
      </w:r>
      <w:proofErr w:type="gramStart"/>
      <w:r w:rsidRPr="00D5126A">
        <w:rPr>
          <w:rFonts w:cstheme="minorHAnsi"/>
          <w:szCs w:val="24"/>
        </w:rPr>
        <w:t>is</w:t>
      </w:r>
      <w:proofErr w:type="gramEnd"/>
      <w:r w:rsidRPr="00D5126A">
        <w:rPr>
          <w:rFonts w:cstheme="minorHAnsi"/>
          <w:szCs w:val="24"/>
        </w:rPr>
        <w:t xml:space="preserve"> chaired by the Deputy Mayor. The Council meets monthly. There are also several other committees and subcommittees. Examples include the District Licensing Committee, the Finance, Audit &amp; Risk Management Subcommittee and the Grants Subcommittee.</w:t>
      </w:r>
    </w:p>
    <w:p w:rsidR="009D3428" w:rsidRPr="00D5126A" w:rsidRDefault="009D3428" w:rsidP="009D3428">
      <w:pPr>
        <w:pStyle w:val="Para003"/>
        <w:spacing w:before="240" w:line="240" w:lineRule="auto"/>
        <w:rPr>
          <w:rFonts w:cstheme="minorHAnsi"/>
          <w:szCs w:val="24"/>
        </w:rPr>
      </w:pPr>
      <w:r w:rsidRPr="00D5126A">
        <w:rPr>
          <w:rFonts w:cstheme="minorHAnsi"/>
          <w:szCs w:val="24"/>
        </w:rPr>
        <w:t>A</w:t>
      </w:r>
      <w:r w:rsidR="004D384A">
        <w:rPr>
          <w:rFonts w:cstheme="minorHAnsi"/>
          <w:szCs w:val="24"/>
        </w:rPr>
        <w:t>s at</w:t>
      </w:r>
      <w:r w:rsidRPr="00D5126A">
        <w:rPr>
          <w:rFonts w:cstheme="minorHAnsi"/>
          <w:szCs w:val="24"/>
        </w:rPr>
        <w:t xml:space="preserve"> 30 June 2019, there were five committees, four subcommittees, and seven joint regional committees. The Mayor is an ex-officio member of all Wellington City Council committees. </w:t>
      </w:r>
    </w:p>
    <w:p w:rsidR="009D3428" w:rsidRPr="00D5126A" w:rsidRDefault="009D3428" w:rsidP="009D3428">
      <w:pPr>
        <w:pStyle w:val="Para003"/>
        <w:spacing w:before="240" w:line="240" w:lineRule="auto"/>
        <w:rPr>
          <w:rFonts w:cstheme="minorHAnsi"/>
          <w:szCs w:val="24"/>
        </w:rPr>
      </w:pPr>
    </w:p>
    <w:p w:rsidR="004D384A" w:rsidRDefault="004D384A">
      <w:pPr>
        <w:rPr>
          <w:rFonts w:eastAsia="Times New Roman" w:cstheme="minorHAnsi"/>
          <w:b/>
          <w:bCs/>
          <w:color w:val="4F81BD" w:themeColor="accent1"/>
          <w:sz w:val="34"/>
          <w:szCs w:val="34"/>
          <w:lang w:eastAsia="en-NZ"/>
        </w:rPr>
      </w:pPr>
      <w:bookmarkStart w:id="336" w:name="_Toc19085877"/>
      <w:r>
        <w:br w:type="page"/>
      </w:r>
    </w:p>
    <w:p w:rsidR="009D3428" w:rsidRPr="00D5126A" w:rsidRDefault="00A31E3B" w:rsidP="00AA2122">
      <w:pPr>
        <w:pStyle w:val="Heading3"/>
      </w:pPr>
      <w:r w:rsidRPr="00D5126A">
        <w:lastRenderedPageBreak/>
        <w:t>Mayor and Councillors</w:t>
      </w:r>
      <w:bookmarkEnd w:id="336"/>
    </w:p>
    <w:p w:rsidR="009D3428" w:rsidRPr="00D5126A" w:rsidRDefault="009D3428" w:rsidP="009D3428">
      <w:pPr>
        <w:pStyle w:val="Para003"/>
        <w:spacing w:before="240" w:line="240" w:lineRule="auto"/>
      </w:pPr>
      <w:r w:rsidRPr="00D5126A">
        <w:t xml:space="preserve">All Councillors are members of the City Strategy Committee and Long Term and Annual Plan Committee. Each Councillor has one or more portfolios and is a member of committees or subcommittees related to those portfolio areas. Councillors are able to attend and speak at any Council committee, but can only vote if they are a member of the committee. </w:t>
      </w:r>
    </w:p>
    <w:p w:rsidR="009D3428" w:rsidRPr="00D5126A" w:rsidRDefault="009D3428" w:rsidP="009D3428">
      <w:pPr>
        <w:pStyle w:val="Para003"/>
        <w:spacing w:before="240" w:line="240" w:lineRule="auto"/>
      </w:pPr>
      <w:r w:rsidRPr="00D5126A">
        <w:t xml:space="preserve">Councillors also have responsibilities in the wider Wellington region. They sit as Council-appointed representatives on various trusts and organisations that Council has an interest in, on Council Controlled Organisation boards and on committees that have members from the region’s other territorial local authorities. </w:t>
      </w:r>
    </w:p>
    <w:p w:rsidR="009D3428" w:rsidRPr="00D5126A" w:rsidRDefault="004D384A" w:rsidP="009D3428">
      <w:pPr>
        <w:pStyle w:val="Para003"/>
        <w:spacing w:before="240" w:line="240" w:lineRule="auto"/>
      </w:pPr>
      <w:r>
        <w:t>See Note 37 in Section 5: F</w:t>
      </w:r>
      <w:r w:rsidRPr="002C1CC6">
        <w:t>inancial</w:t>
      </w:r>
      <w:r>
        <w:t xml:space="preserve"> statements </w:t>
      </w:r>
      <w:r w:rsidR="009D3428" w:rsidRPr="002C1CC6">
        <w:t>for details of Councillor and Community B</w:t>
      </w:r>
      <w:r w:rsidR="002C1CC6">
        <w:t xml:space="preserve">oard member remuneration </w:t>
      </w:r>
      <w:r w:rsidR="002C1CC6" w:rsidRPr="00B768DD">
        <w:t xml:space="preserve">on pg </w:t>
      </w:r>
      <w:r w:rsidR="00B768DD" w:rsidRPr="00B768DD">
        <w:t>309</w:t>
      </w:r>
      <w:r w:rsidR="009D3428" w:rsidRPr="00B768DD">
        <w:t>.</w:t>
      </w:r>
    </w:p>
    <w:p w:rsidR="009D3428" w:rsidRPr="00D5126A" w:rsidRDefault="009D3428" w:rsidP="009D3428">
      <w:pPr>
        <w:spacing w:after="0"/>
      </w:pPr>
    </w:p>
    <w:p w:rsidR="009D3428" w:rsidRPr="00D5126A" w:rsidRDefault="009D3428" w:rsidP="009D3428">
      <w:pPr>
        <w:spacing w:after="0"/>
        <w:sectPr w:rsidR="009D3428" w:rsidRPr="00D5126A" w:rsidSect="006837C4">
          <w:pgSz w:w="11905" w:h="16837"/>
          <w:pgMar w:top="1276" w:right="1440" w:bottom="1440" w:left="1440" w:header="720" w:footer="562" w:gutter="0"/>
          <w:cols w:space="720"/>
          <w:docGrid w:linePitch="360"/>
        </w:sectPr>
      </w:pPr>
    </w:p>
    <w:p w:rsidR="006C62C0" w:rsidRPr="00D5126A" w:rsidRDefault="006C62C0" w:rsidP="006C62C0">
      <w:pPr>
        <w:pStyle w:val="Para003"/>
        <w:spacing w:before="240" w:line="240" w:lineRule="auto"/>
      </w:pPr>
      <w:r w:rsidRPr="00D5126A">
        <w:rPr>
          <w:noProof/>
          <w:lang w:eastAsia="en-NZ"/>
        </w:rPr>
        <w:lastRenderedPageBreak/>
        <w:drawing>
          <wp:inline distT="0" distB="0" distL="0" distR="0" wp14:anchorId="04E812B4" wp14:editId="56222DB9">
            <wp:extent cx="949036" cy="949036"/>
            <wp:effectExtent l="0" t="0" r="3810" b="3810"/>
            <wp:docPr id="8" name="mc-Justin-RGB.jpg" descr="Mayor Justin Lester" title="Profile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Justin-RGB.jpg" descr="Mayor Justin Lester"/>
                    <pic:cNvPicPr/>
                  </pic:nvPicPr>
                  <pic:blipFill>
                    <a:blip r:embed="rId31"/>
                    <a:stretch>
                      <a:fillRect/>
                    </a:stretch>
                  </pic:blipFill>
                  <pic:spPr>
                    <a:xfrm>
                      <a:off x="0" y="0"/>
                      <a:ext cx="949036" cy="949036"/>
                    </a:xfrm>
                    <a:prstGeom prst="rect">
                      <a:avLst/>
                    </a:prstGeom>
                  </pic:spPr>
                </pic:pic>
              </a:graphicData>
            </a:graphic>
          </wp:inline>
        </w:drawing>
      </w:r>
    </w:p>
    <w:p w:rsidR="006C62C0" w:rsidRPr="00D5126A" w:rsidRDefault="006C62C0" w:rsidP="006C62C0">
      <w:pPr>
        <w:pStyle w:val="Para050"/>
        <w:spacing w:before="240" w:line="240" w:lineRule="auto"/>
      </w:pPr>
      <w:r w:rsidRPr="00D5126A">
        <w:t>Mayor Justin Lester</w:t>
      </w:r>
      <w:r w:rsidRPr="00D5126A">
        <w:rPr>
          <w:rStyle w:val="07Text"/>
          <w:rFonts w:ascii="Arial" w:hAnsi="Arial" w:cs="Arial"/>
        </w:rPr>
        <w:t> </w:t>
      </w:r>
      <w:r w:rsidRPr="00D5126A">
        <w:rPr>
          <w:rStyle w:val="07Text"/>
          <w:rFonts w:ascii="Arial" w:hAnsi="Arial" w:cs="Arial"/>
        </w:rPr>
        <w:br/>
      </w:r>
      <w:r w:rsidRPr="00D5126A">
        <w:t>Citywide</w:t>
      </w:r>
    </w:p>
    <w:p w:rsidR="006C62C0" w:rsidRPr="00D5126A" w:rsidRDefault="006C62C0" w:rsidP="006C62C0">
      <w:pPr>
        <w:pStyle w:val="Para068"/>
        <w:spacing w:before="240" w:line="240" w:lineRule="auto"/>
        <w:rPr>
          <w:b w:val="0"/>
        </w:rPr>
      </w:pPr>
      <w:r w:rsidRPr="00D5126A">
        <w:rPr>
          <w:b w:val="0"/>
        </w:rPr>
        <w:t>Justin was elected Mayor in 2016. He joined Wellington City Council as a Northern Ward Councillor in 2010 and then served as Deputy Mayor from 2013 until 2016.</w:t>
      </w:r>
    </w:p>
    <w:p w:rsidR="006C62C0" w:rsidRPr="00D5126A" w:rsidRDefault="006C62C0" w:rsidP="006C62C0">
      <w:pPr>
        <w:pStyle w:val="Para068"/>
        <w:spacing w:before="240" w:line="240" w:lineRule="auto"/>
        <w:rPr>
          <w:b w:val="0"/>
        </w:rPr>
      </w:pPr>
      <w:r w:rsidRPr="00D5126A">
        <w:rPr>
          <w:b w:val="0"/>
        </w:rPr>
        <w:t xml:space="preserve">As Mayor, Justin is Chair of Council meetings and an ex-officio member of all committees and subcommittees. </w:t>
      </w:r>
    </w:p>
    <w:p w:rsidR="006C62C0" w:rsidRPr="00D5126A" w:rsidRDefault="006C62C0" w:rsidP="006C62C0">
      <w:pPr>
        <w:pStyle w:val="Para068"/>
        <w:spacing w:before="240" w:line="240" w:lineRule="auto"/>
        <w:rPr>
          <w:b w:val="0"/>
        </w:rPr>
      </w:pPr>
      <w:r w:rsidRPr="00D5126A">
        <w:rPr>
          <w:b w:val="0"/>
        </w:rPr>
        <w:t xml:space="preserve">He is also chair of the Wellington Regional Strategy Committee, a member of the Wellington Regional Amenities Fund Joint Committee, and represents Council on a variety of trusts. He is the Presiding Delegate over LGNZ Zone 4 and a member of </w:t>
      </w:r>
      <w:r w:rsidRPr="00D5126A">
        <w:rPr>
          <w:rFonts w:eastAsia="Times New Roman"/>
          <w:b w:val="0"/>
        </w:rPr>
        <w:t>the LGNZ National Council</w:t>
      </w:r>
      <w:r w:rsidRPr="00D5126A">
        <w:rPr>
          <w:b w:val="0"/>
        </w:rPr>
        <w:t>.</w:t>
      </w:r>
    </w:p>
    <w:p w:rsidR="006C62C0" w:rsidRPr="00D5126A" w:rsidRDefault="006C62C0" w:rsidP="006C62C0">
      <w:pPr>
        <w:pStyle w:val="Para068"/>
        <w:spacing w:before="240" w:line="240" w:lineRule="auto"/>
      </w:pPr>
      <w:r w:rsidRPr="00D5126A">
        <w:rPr>
          <w:rStyle w:val="00Text"/>
          <w:rFonts w:ascii="Arial" w:hAnsi="Arial" w:cs="Arial"/>
          <w:b/>
        </w:rPr>
        <w:t xml:space="preserve">Portfolio Leader: </w:t>
      </w:r>
      <w:r w:rsidRPr="00D5126A">
        <w:rPr>
          <w:b w:val="0"/>
        </w:rPr>
        <w:t>Arts and Culture, Major City Projects</w:t>
      </w:r>
    </w:p>
    <w:p w:rsidR="006C62C0" w:rsidRPr="00D5126A" w:rsidRDefault="006C62C0" w:rsidP="006C62C0">
      <w:pPr>
        <w:pStyle w:val="Para026"/>
        <w:spacing w:before="240" w:line="240" w:lineRule="auto"/>
      </w:pPr>
      <w:r w:rsidRPr="00D5126A">
        <w:rPr>
          <w:rStyle w:val="00Text"/>
          <w:rFonts w:ascii="Arial" w:hAnsi="Arial" w:cs="Arial"/>
        </w:rPr>
        <w:t xml:space="preserve">Contact: </w:t>
      </w:r>
      <w:r w:rsidRPr="00D5126A">
        <w:t>04 499 4444</w:t>
      </w:r>
      <w:r w:rsidRPr="00D5126A">
        <w:br/>
        <w:t xml:space="preserve"> mayor@wcc.govt.nz</w:t>
      </w:r>
    </w:p>
    <w:p w:rsidR="006C62C0" w:rsidRPr="00D5126A" w:rsidRDefault="006C62C0" w:rsidP="006C62C0">
      <w:pPr>
        <w:pStyle w:val="Para026"/>
        <w:spacing w:before="240" w:line="240" w:lineRule="auto"/>
      </w:pPr>
      <w:r w:rsidRPr="00D5126A">
        <w:rPr>
          <w:noProof/>
          <w:lang w:eastAsia="en-NZ"/>
        </w:rPr>
        <w:lastRenderedPageBreak/>
        <w:drawing>
          <wp:inline distT="0" distB="0" distL="0" distR="0" wp14:anchorId="78410418" wp14:editId="71471084">
            <wp:extent cx="949036" cy="949036"/>
            <wp:effectExtent l="0" t="0" r="3810" b="3810"/>
            <wp:docPr id="12" name="mc-Jill-RGB.jpg" descr="Deputy Mayor Jill Day" title="Profile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Jill-RGB.jpg" descr="Deputy Mayor Jill Day"/>
                    <pic:cNvPicPr/>
                  </pic:nvPicPr>
                  <pic:blipFill>
                    <a:blip r:embed="rId32"/>
                    <a:stretch>
                      <a:fillRect/>
                    </a:stretch>
                  </pic:blipFill>
                  <pic:spPr>
                    <a:xfrm>
                      <a:off x="0" y="0"/>
                      <a:ext cx="949036" cy="949036"/>
                    </a:xfrm>
                    <a:prstGeom prst="rect">
                      <a:avLst/>
                    </a:prstGeom>
                  </pic:spPr>
                </pic:pic>
              </a:graphicData>
            </a:graphic>
          </wp:inline>
        </w:drawing>
      </w:r>
    </w:p>
    <w:p w:rsidR="006C62C0" w:rsidRPr="00D5126A" w:rsidRDefault="006C62C0" w:rsidP="006C62C0">
      <w:pPr>
        <w:pStyle w:val="Para050"/>
        <w:spacing w:before="240" w:line="240" w:lineRule="auto"/>
      </w:pPr>
      <w:r w:rsidRPr="00D5126A">
        <w:t>Deputy Mayor Jill Day</w:t>
      </w:r>
      <w:r w:rsidRPr="00D5126A">
        <w:br/>
        <w:t>Takapū Northern Ward</w:t>
      </w:r>
    </w:p>
    <w:p w:rsidR="006C62C0" w:rsidRPr="00D5126A" w:rsidRDefault="006C62C0" w:rsidP="006C62C0">
      <w:pPr>
        <w:pStyle w:val="Para026"/>
        <w:spacing w:before="240" w:line="240" w:lineRule="auto"/>
        <w:rPr>
          <w:rStyle w:val="00Text"/>
          <w:rFonts w:ascii="Arial" w:hAnsi="Arial" w:cs="Arial"/>
          <w:b w:val="0"/>
        </w:rPr>
      </w:pPr>
      <w:r w:rsidRPr="00D5126A">
        <w:rPr>
          <w:rStyle w:val="00Text"/>
          <w:rFonts w:ascii="Arial" w:hAnsi="Arial" w:cs="Arial"/>
          <w:b w:val="0"/>
        </w:rPr>
        <w:t xml:space="preserve">Jill was elected to the Takapū Northern Ward in 2016 and appointed Deputy Mayor in 2017 after former Deputy Mayor Paul Eagle was elected to Central Government. </w:t>
      </w:r>
    </w:p>
    <w:p w:rsidR="006C62C0" w:rsidRPr="00D5126A" w:rsidRDefault="006C62C0" w:rsidP="006C62C0">
      <w:pPr>
        <w:pStyle w:val="Para026"/>
        <w:spacing w:before="240" w:line="240" w:lineRule="auto"/>
      </w:pPr>
      <w:r w:rsidRPr="00D5126A">
        <w:rPr>
          <w:rStyle w:val="00Text"/>
          <w:rFonts w:ascii="Arial" w:hAnsi="Arial" w:cs="Arial"/>
          <w:b w:val="0"/>
        </w:rPr>
        <w:t xml:space="preserve">She is the chair of the </w:t>
      </w:r>
      <w:r w:rsidRPr="00D5126A">
        <w:t xml:space="preserve">Long-term and Annual Plan Committee and CEO Performance Review Committee. </w:t>
      </w:r>
    </w:p>
    <w:p w:rsidR="006C62C0" w:rsidRPr="00D5126A" w:rsidRDefault="006C62C0" w:rsidP="006C62C0">
      <w:pPr>
        <w:pStyle w:val="Para026"/>
        <w:spacing w:before="240" w:line="240" w:lineRule="auto"/>
      </w:pPr>
      <w:r w:rsidRPr="00D5126A">
        <w:t>She is also a member of the Grants Subcommittee, Wellington Regional Strategy Committee, Tawa Community Board, and is a Council-appointed representative on Te Wharewaka o Pōneke Trust and Youth Council.</w:t>
      </w:r>
    </w:p>
    <w:p w:rsidR="006C62C0" w:rsidRPr="00D5126A" w:rsidRDefault="006C62C0" w:rsidP="006C62C0">
      <w:pPr>
        <w:pStyle w:val="Para026"/>
        <w:spacing w:before="240" w:line="240" w:lineRule="auto"/>
      </w:pPr>
      <w:r w:rsidRPr="00D5126A">
        <w:t xml:space="preserve">She is </w:t>
      </w:r>
      <w:r w:rsidRPr="00D5126A">
        <w:rPr>
          <w:rStyle w:val="00Text"/>
          <w:rFonts w:ascii="Arial" w:hAnsi="Arial" w:cs="Arial"/>
          <w:b w:val="0"/>
        </w:rPr>
        <w:t>an alternate representative for the Mayor on the Wellington Regional Amenities Fund Joint Committee.</w:t>
      </w:r>
    </w:p>
    <w:p w:rsidR="006C62C0" w:rsidRPr="00D5126A" w:rsidRDefault="006C62C0" w:rsidP="006C62C0">
      <w:pPr>
        <w:pStyle w:val="Para026"/>
        <w:spacing w:before="240" w:line="240" w:lineRule="auto"/>
      </w:pPr>
      <w:r w:rsidRPr="00D5126A">
        <w:rPr>
          <w:rStyle w:val="00Text"/>
          <w:rFonts w:ascii="Arial" w:hAnsi="Arial" w:cs="Arial"/>
        </w:rPr>
        <w:t>Portfolio Leader:</w:t>
      </w:r>
      <w:r w:rsidRPr="00D5126A">
        <w:t xml:space="preserve"> Children and Young People, Governance, Māori Partnerships</w:t>
      </w:r>
    </w:p>
    <w:p w:rsidR="006C62C0" w:rsidRPr="00D5126A" w:rsidRDefault="006C62C0" w:rsidP="006C62C0">
      <w:pPr>
        <w:pStyle w:val="Para047"/>
        <w:spacing w:line="240" w:lineRule="auto"/>
      </w:pPr>
      <w:r w:rsidRPr="00D5126A">
        <w:rPr>
          <w:rStyle w:val="00Text"/>
          <w:rFonts w:ascii="Arial" w:hAnsi="Arial" w:cs="Arial"/>
        </w:rPr>
        <w:t xml:space="preserve">Contact: </w:t>
      </w:r>
      <w:r w:rsidRPr="00D5126A">
        <w:t>04 801 3102</w:t>
      </w:r>
      <w:r w:rsidRPr="00D5126A">
        <w:br/>
        <w:t xml:space="preserve"> jill.day@wcc.govt.nz</w:t>
      </w:r>
    </w:p>
    <w:p w:rsidR="006C62C0" w:rsidRPr="00D5126A" w:rsidRDefault="006C62C0" w:rsidP="006C62C0">
      <w:pPr>
        <w:pStyle w:val="Para026"/>
        <w:spacing w:before="240" w:line="240" w:lineRule="auto"/>
      </w:pPr>
      <w:r w:rsidRPr="00D5126A">
        <w:rPr>
          <w:noProof/>
          <w:lang w:eastAsia="en-NZ"/>
        </w:rPr>
        <w:lastRenderedPageBreak/>
        <w:drawing>
          <wp:inline distT="0" distB="0" distL="0" distR="0" wp14:anchorId="4E518546" wp14:editId="2872A8DF">
            <wp:extent cx="949036" cy="949036"/>
            <wp:effectExtent l="0" t="0" r="3810" b="3810"/>
            <wp:docPr id="10" name="mc-Diane-RGB.jpg" descr="Councillor Diane Calvert" title="Profile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Diane-RGB.jpg" descr="Councillor Diane Calvert"/>
                    <pic:cNvPicPr/>
                  </pic:nvPicPr>
                  <pic:blipFill>
                    <a:blip r:embed="rId33"/>
                    <a:stretch>
                      <a:fillRect/>
                    </a:stretch>
                  </pic:blipFill>
                  <pic:spPr>
                    <a:xfrm>
                      <a:off x="0" y="0"/>
                      <a:ext cx="949036" cy="949036"/>
                    </a:xfrm>
                    <a:prstGeom prst="rect">
                      <a:avLst/>
                    </a:prstGeom>
                  </pic:spPr>
                </pic:pic>
              </a:graphicData>
            </a:graphic>
          </wp:inline>
        </w:drawing>
      </w:r>
    </w:p>
    <w:p w:rsidR="006C62C0" w:rsidRPr="00D5126A" w:rsidRDefault="006C62C0" w:rsidP="006C62C0">
      <w:pPr>
        <w:pStyle w:val="Para050"/>
        <w:spacing w:before="240" w:line="240" w:lineRule="auto"/>
      </w:pPr>
      <w:r w:rsidRPr="00D5126A">
        <w:t>Councillor Diane Calvert</w:t>
      </w:r>
      <w:r w:rsidRPr="00D5126A">
        <w:br/>
        <w:t>Wharangi Onslow-Western Ward</w:t>
      </w:r>
    </w:p>
    <w:p w:rsidR="006C62C0" w:rsidRPr="00D5126A" w:rsidRDefault="006C62C0" w:rsidP="006C62C0">
      <w:pPr>
        <w:pStyle w:val="Para026"/>
        <w:spacing w:before="240" w:line="240" w:lineRule="auto"/>
        <w:rPr>
          <w:rStyle w:val="00Text"/>
          <w:rFonts w:ascii="Arial" w:hAnsi="Arial" w:cs="Arial"/>
          <w:b w:val="0"/>
        </w:rPr>
      </w:pPr>
      <w:r w:rsidRPr="00D5126A">
        <w:rPr>
          <w:rStyle w:val="00Text"/>
          <w:rFonts w:ascii="Arial" w:hAnsi="Arial" w:cs="Arial"/>
          <w:b w:val="0"/>
        </w:rPr>
        <w:t xml:space="preserve">Diane was elected to the Wharangi Onslow-Western Ward in 2016. </w:t>
      </w:r>
    </w:p>
    <w:p w:rsidR="006C62C0" w:rsidRPr="00D5126A" w:rsidRDefault="006C62C0" w:rsidP="006C62C0">
      <w:pPr>
        <w:pStyle w:val="Para026"/>
        <w:spacing w:before="240" w:line="240" w:lineRule="auto"/>
        <w:rPr>
          <w:rStyle w:val="00Text"/>
          <w:rFonts w:ascii="Arial" w:hAnsi="Arial" w:cs="Arial"/>
          <w:b w:val="0"/>
        </w:rPr>
      </w:pPr>
      <w:r w:rsidRPr="00D5126A">
        <w:rPr>
          <w:rStyle w:val="00Text"/>
          <w:rFonts w:ascii="Arial" w:hAnsi="Arial" w:cs="Arial"/>
          <w:b w:val="0"/>
        </w:rPr>
        <w:t>She is a member of Council’s CEO Performance Review Committee, Regulatory Processes Committee, and the Finance, Audit and Risk Management Subcommittee.</w:t>
      </w:r>
    </w:p>
    <w:p w:rsidR="006C62C0" w:rsidRPr="00D5126A" w:rsidRDefault="006C62C0" w:rsidP="006C62C0">
      <w:pPr>
        <w:pStyle w:val="Para026"/>
        <w:spacing w:before="240" w:line="240" w:lineRule="auto"/>
        <w:rPr>
          <w:rStyle w:val="00Text"/>
          <w:rFonts w:ascii="Arial" w:hAnsi="Arial" w:cs="Arial"/>
          <w:b w:val="0"/>
        </w:rPr>
      </w:pPr>
      <w:r w:rsidRPr="00D5126A">
        <w:rPr>
          <w:rStyle w:val="00Text"/>
          <w:rFonts w:ascii="Arial" w:hAnsi="Arial" w:cs="Arial"/>
          <w:b w:val="0"/>
        </w:rPr>
        <w:t>She is also Council’s board appointee on the Wellington Museums Trust, a representative on the Wellington Regional Strategy Committee and a liaison for the Wellington Multicultural Council.</w:t>
      </w:r>
    </w:p>
    <w:p w:rsidR="006C62C0" w:rsidRPr="00D5126A" w:rsidRDefault="006C62C0" w:rsidP="006C62C0">
      <w:pPr>
        <w:pStyle w:val="Para026"/>
        <w:spacing w:before="240" w:line="240" w:lineRule="auto"/>
      </w:pPr>
      <w:r w:rsidRPr="00D5126A">
        <w:rPr>
          <w:rStyle w:val="00Text"/>
          <w:rFonts w:ascii="Arial" w:hAnsi="Arial" w:cs="Arial"/>
        </w:rPr>
        <w:t>Portfolio Leader:</w:t>
      </w:r>
      <w:r w:rsidRPr="00D5126A">
        <w:t xml:space="preserve"> Community Planning and Community Engagement</w:t>
      </w:r>
    </w:p>
    <w:p w:rsidR="006C62C0" w:rsidRPr="00D5126A" w:rsidRDefault="006C62C0" w:rsidP="006C62C0">
      <w:pPr>
        <w:pStyle w:val="Para026"/>
        <w:spacing w:before="240" w:line="240" w:lineRule="auto"/>
      </w:pPr>
      <w:r w:rsidRPr="00D5126A">
        <w:rPr>
          <w:rStyle w:val="00Text"/>
          <w:rFonts w:ascii="Arial" w:hAnsi="Arial" w:cs="Arial"/>
        </w:rPr>
        <w:t xml:space="preserve">Contact: </w:t>
      </w:r>
      <w:r w:rsidRPr="00D5126A">
        <w:t>029 971 8944</w:t>
      </w:r>
      <w:r w:rsidRPr="00D5126A">
        <w:br/>
        <w:t xml:space="preserve"> diane.calvert@wcc.govt.nz</w:t>
      </w:r>
    </w:p>
    <w:p w:rsidR="006C62C0" w:rsidRPr="00D5126A" w:rsidRDefault="006C62C0" w:rsidP="006C62C0">
      <w:pPr>
        <w:pStyle w:val="Para047"/>
        <w:spacing w:line="240" w:lineRule="auto"/>
      </w:pPr>
      <w:r w:rsidRPr="00D5126A">
        <w:rPr>
          <w:noProof/>
          <w:lang w:eastAsia="en-NZ"/>
        </w:rPr>
        <w:drawing>
          <wp:inline distT="0" distB="0" distL="0" distR="0" wp14:anchorId="51C52FB4" wp14:editId="14C3EB2E">
            <wp:extent cx="949036" cy="949036"/>
            <wp:effectExtent l="0" t="0" r="3810" b="3810"/>
            <wp:docPr id="11" name="mc-Chris-RGB.jpg" descr="Councillor Chris Calvi-Freeman" title="Profile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Chris-RGB.jpg" descr="Councillor Chris Calvi-Freeman"/>
                    <pic:cNvPicPr/>
                  </pic:nvPicPr>
                  <pic:blipFill>
                    <a:blip r:embed="rId34"/>
                    <a:stretch>
                      <a:fillRect/>
                    </a:stretch>
                  </pic:blipFill>
                  <pic:spPr>
                    <a:xfrm>
                      <a:off x="0" y="0"/>
                      <a:ext cx="949036" cy="949036"/>
                    </a:xfrm>
                    <a:prstGeom prst="rect">
                      <a:avLst/>
                    </a:prstGeom>
                  </pic:spPr>
                </pic:pic>
              </a:graphicData>
            </a:graphic>
          </wp:inline>
        </w:drawing>
      </w:r>
    </w:p>
    <w:p w:rsidR="006C62C0" w:rsidRPr="00D5126A" w:rsidRDefault="006C62C0" w:rsidP="006C62C0">
      <w:pPr>
        <w:pStyle w:val="Para050"/>
        <w:spacing w:before="240" w:line="240" w:lineRule="auto"/>
      </w:pPr>
      <w:r w:rsidRPr="00D5126A">
        <w:t>Councillor Chris Calvi-Freeman</w:t>
      </w:r>
      <w:r w:rsidRPr="00D5126A">
        <w:br/>
        <w:t>Motukairangi Eastern Ward</w:t>
      </w:r>
    </w:p>
    <w:p w:rsidR="006C62C0" w:rsidRPr="00D5126A" w:rsidRDefault="006C62C0" w:rsidP="006C62C0">
      <w:pPr>
        <w:pStyle w:val="Para026"/>
        <w:spacing w:before="240" w:line="240" w:lineRule="auto"/>
        <w:rPr>
          <w:rStyle w:val="00Text"/>
          <w:rFonts w:ascii="Arial" w:hAnsi="Arial" w:cs="Arial"/>
          <w:b w:val="0"/>
        </w:rPr>
      </w:pPr>
      <w:r w:rsidRPr="00D5126A">
        <w:rPr>
          <w:rStyle w:val="00Text"/>
          <w:rFonts w:ascii="Arial" w:hAnsi="Arial" w:cs="Arial"/>
          <w:b w:val="0"/>
        </w:rPr>
        <w:t xml:space="preserve">Chris was elected to the Motukairangi Eastern Ward in 2016. </w:t>
      </w:r>
    </w:p>
    <w:p w:rsidR="006C62C0" w:rsidRPr="00D5126A" w:rsidRDefault="006C62C0" w:rsidP="006C62C0">
      <w:pPr>
        <w:pStyle w:val="Para026"/>
        <w:spacing w:before="240" w:line="240" w:lineRule="auto"/>
        <w:rPr>
          <w:rStyle w:val="00Text"/>
          <w:rFonts w:ascii="Arial" w:hAnsi="Arial" w:cs="Arial"/>
          <w:b w:val="0"/>
        </w:rPr>
      </w:pPr>
      <w:r w:rsidRPr="00D5126A">
        <w:rPr>
          <w:rStyle w:val="00Text"/>
          <w:rFonts w:ascii="Arial" w:hAnsi="Arial" w:cs="Arial"/>
          <w:b w:val="0"/>
        </w:rPr>
        <w:t xml:space="preserve">He is a member of Council’s Regulatory Processes Committee and </w:t>
      </w:r>
      <w:r w:rsidR="002C1CC6">
        <w:rPr>
          <w:rStyle w:val="00Text"/>
          <w:rFonts w:ascii="Arial" w:hAnsi="Arial" w:cs="Arial"/>
          <w:b w:val="0"/>
        </w:rPr>
        <w:t xml:space="preserve">chairs the </w:t>
      </w:r>
      <w:r w:rsidRPr="00D5126A">
        <w:t>Safe and Sustainability Transport Forum</w:t>
      </w:r>
      <w:r w:rsidRPr="00D5126A">
        <w:rPr>
          <w:rStyle w:val="00Text"/>
          <w:rFonts w:ascii="Arial" w:hAnsi="Arial" w:cs="Arial"/>
          <w:b w:val="0"/>
        </w:rPr>
        <w:t>.</w:t>
      </w:r>
    </w:p>
    <w:p w:rsidR="006C62C0" w:rsidRPr="00D5126A" w:rsidRDefault="006C62C0" w:rsidP="006C62C0">
      <w:pPr>
        <w:pStyle w:val="Para026"/>
        <w:spacing w:before="240" w:line="240" w:lineRule="auto"/>
        <w:rPr>
          <w:rStyle w:val="00Text"/>
          <w:rFonts w:ascii="Arial" w:hAnsi="Arial" w:cs="Arial"/>
        </w:rPr>
      </w:pPr>
      <w:r w:rsidRPr="00D5126A">
        <w:rPr>
          <w:rStyle w:val="00Text"/>
          <w:rFonts w:ascii="Arial" w:hAnsi="Arial" w:cs="Arial"/>
          <w:b w:val="0"/>
        </w:rPr>
        <w:t xml:space="preserve">He is one of Council’s board members on the Joe Aspell Trust, and </w:t>
      </w:r>
      <w:r w:rsidR="002C1CC6">
        <w:rPr>
          <w:rStyle w:val="00Text"/>
          <w:rFonts w:ascii="Arial" w:hAnsi="Arial" w:cs="Arial"/>
          <w:b w:val="0"/>
        </w:rPr>
        <w:t>Council’s</w:t>
      </w:r>
      <w:r w:rsidRPr="00D5126A">
        <w:rPr>
          <w:rStyle w:val="00Text"/>
          <w:rFonts w:ascii="Arial" w:hAnsi="Arial" w:cs="Arial"/>
          <w:b w:val="0"/>
        </w:rPr>
        <w:t xml:space="preserve"> representative on the Wellington Regional Transport Committee.</w:t>
      </w:r>
    </w:p>
    <w:p w:rsidR="006C62C0" w:rsidRPr="00D5126A" w:rsidRDefault="006C62C0" w:rsidP="006C62C0">
      <w:pPr>
        <w:pStyle w:val="Para026"/>
        <w:spacing w:before="240" w:line="240" w:lineRule="auto"/>
      </w:pPr>
      <w:r w:rsidRPr="00D5126A">
        <w:rPr>
          <w:rStyle w:val="00Text"/>
          <w:rFonts w:ascii="Arial" w:hAnsi="Arial" w:cs="Arial"/>
        </w:rPr>
        <w:t>Portfolio Leader:</w:t>
      </w:r>
      <w:r w:rsidRPr="00D5126A">
        <w:t xml:space="preserve"> Transport Strategy and Operation</w:t>
      </w:r>
    </w:p>
    <w:p w:rsidR="006C62C0" w:rsidRPr="00D5126A" w:rsidRDefault="006C62C0" w:rsidP="006C62C0">
      <w:pPr>
        <w:pStyle w:val="Para026"/>
        <w:spacing w:before="240" w:line="240" w:lineRule="auto"/>
      </w:pPr>
      <w:r w:rsidRPr="00D5126A">
        <w:rPr>
          <w:rStyle w:val="00Text"/>
          <w:rFonts w:ascii="Arial" w:hAnsi="Arial" w:cs="Arial"/>
        </w:rPr>
        <w:lastRenderedPageBreak/>
        <w:t xml:space="preserve">Contact: </w:t>
      </w:r>
      <w:r w:rsidRPr="00D5126A">
        <w:t>027 803 0015</w:t>
      </w:r>
      <w:r w:rsidRPr="00D5126A">
        <w:br/>
        <w:t xml:space="preserve"> chris.calvi-freeman@wcc.govt.nz</w:t>
      </w:r>
    </w:p>
    <w:p w:rsidR="006C62C0" w:rsidRPr="00D5126A" w:rsidRDefault="006C62C0" w:rsidP="006C62C0">
      <w:pPr>
        <w:pStyle w:val="Para047"/>
        <w:spacing w:line="240" w:lineRule="auto"/>
      </w:pPr>
      <w:r w:rsidRPr="00D5126A">
        <w:rPr>
          <w:noProof/>
          <w:lang w:eastAsia="en-NZ"/>
        </w:rPr>
        <w:drawing>
          <wp:inline distT="0" distB="0" distL="0" distR="0" wp14:anchorId="3B21EE92" wp14:editId="1FCA2CFC">
            <wp:extent cx="949036" cy="949036"/>
            <wp:effectExtent l="0" t="0" r="3810" b="3810"/>
            <wp:docPr id="15" name="mc-Brian-RGB.jpg" descr="Councillor Brian Dawson" title="Profile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Brian-RGB.jpg" descr="Councillor Brian Dawson"/>
                    <pic:cNvPicPr/>
                  </pic:nvPicPr>
                  <pic:blipFill>
                    <a:blip r:embed="rId35"/>
                    <a:stretch>
                      <a:fillRect/>
                    </a:stretch>
                  </pic:blipFill>
                  <pic:spPr>
                    <a:xfrm>
                      <a:off x="0" y="0"/>
                      <a:ext cx="949036" cy="949036"/>
                    </a:xfrm>
                    <a:prstGeom prst="rect">
                      <a:avLst/>
                    </a:prstGeom>
                  </pic:spPr>
                </pic:pic>
              </a:graphicData>
            </a:graphic>
          </wp:inline>
        </w:drawing>
      </w:r>
    </w:p>
    <w:p w:rsidR="006C62C0" w:rsidRPr="00D5126A" w:rsidRDefault="006C62C0" w:rsidP="006C62C0">
      <w:pPr>
        <w:pStyle w:val="Para050"/>
        <w:spacing w:before="240" w:line="240" w:lineRule="auto"/>
      </w:pPr>
      <w:r w:rsidRPr="00D5126A">
        <w:t>Councillor Brian Dawson</w:t>
      </w:r>
      <w:r w:rsidRPr="00D5126A">
        <w:br/>
        <w:t>Pukehīnau Lambton Ward</w:t>
      </w:r>
    </w:p>
    <w:p w:rsidR="006C62C0" w:rsidRPr="00D5126A" w:rsidRDefault="006C62C0" w:rsidP="006C62C0">
      <w:pPr>
        <w:pStyle w:val="Para026"/>
        <w:spacing w:before="240" w:line="240" w:lineRule="auto"/>
        <w:rPr>
          <w:rStyle w:val="00Text"/>
          <w:rFonts w:ascii="Arial" w:hAnsi="Arial" w:cs="Arial"/>
          <w:b w:val="0"/>
        </w:rPr>
      </w:pPr>
      <w:r w:rsidRPr="00D5126A">
        <w:rPr>
          <w:rStyle w:val="00Text"/>
          <w:rFonts w:ascii="Arial" w:hAnsi="Arial" w:cs="Arial"/>
          <w:b w:val="0"/>
        </w:rPr>
        <w:t xml:space="preserve">Brian was elected to the Pukehīnau Lambton Ward in 2016. </w:t>
      </w:r>
    </w:p>
    <w:p w:rsidR="006C62C0" w:rsidRPr="00D5126A" w:rsidRDefault="006C62C0" w:rsidP="006C62C0">
      <w:pPr>
        <w:pStyle w:val="Para026"/>
        <w:spacing w:before="240" w:line="240" w:lineRule="auto"/>
        <w:rPr>
          <w:rStyle w:val="00Text"/>
          <w:rFonts w:ascii="Arial" w:hAnsi="Arial" w:cs="Arial"/>
        </w:rPr>
      </w:pPr>
      <w:r w:rsidRPr="00D5126A">
        <w:rPr>
          <w:rStyle w:val="00Text"/>
          <w:rFonts w:ascii="Arial" w:hAnsi="Arial" w:cs="Arial"/>
          <w:b w:val="0"/>
        </w:rPr>
        <w:t xml:space="preserve">He is a member of Council’s Grants Subcommittee and the Councillor </w:t>
      </w:r>
      <w:proofErr w:type="gramStart"/>
      <w:r w:rsidRPr="00D5126A">
        <w:rPr>
          <w:rStyle w:val="00Text"/>
          <w:rFonts w:ascii="Arial" w:hAnsi="Arial" w:cs="Arial"/>
          <w:b w:val="0"/>
        </w:rPr>
        <w:t>representative</w:t>
      </w:r>
      <w:proofErr w:type="gramEnd"/>
      <w:r w:rsidRPr="00D5126A">
        <w:rPr>
          <w:rStyle w:val="00Text"/>
          <w:rFonts w:ascii="Arial" w:hAnsi="Arial" w:cs="Arial"/>
          <w:b w:val="0"/>
        </w:rPr>
        <w:t xml:space="preserve"> on the Pacific Advisory Group.</w:t>
      </w:r>
    </w:p>
    <w:p w:rsidR="006C62C0" w:rsidRPr="00D5126A" w:rsidRDefault="006C62C0" w:rsidP="006C62C0">
      <w:pPr>
        <w:pStyle w:val="Para026"/>
        <w:spacing w:before="240" w:line="240" w:lineRule="auto"/>
      </w:pPr>
      <w:r w:rsidRPr="00D5126A">
        <w:rPr>
          <w:rStyle w:val="00Text"/>
          <w:rFonts w:ascii="Arial" w:hAnsi="Arial" w:cs="Arial"/>
        </w:rPr>
        <w:t xml:space="preserve">Portfolio Leader: </w:t>
      </w:r>
      <w:r w:rsidRPr="00D5126A">
        <w:t>Housing, Social Development (excluding City Safety)</w:t>
      </w:r>
    </w:p>
    <w:p w:rsidR="006C62C0" w:rsidRPr="00D5126A" w:rsidRDefault="006C62C0" w:rsidP="006C62C0">
      <w:pPr>
        <w:pStyle w:val="Para026"/>
        <w:spacing w:before="240" w:line="240" w:lineRule="auto"/>
      </w:pPr>
      <w:r w:rsidRPr="00D5126A">
        <w:rPr>
          <w:rStyle w:val="00Text"/>
          <w:rFonts w:ascii="Arial" w:hAnsi="Arial" w:cs="Arial"/>
        </w:rPr>
        <w:t xml:space="preserve">Contact: </w:t>
      </w:r>
      <w:r w:rsidRPr="00D5126A">
        <w:t>027 413 5809</w:t>
      </w:r>
      <w:r w:rsidRPr="00D5126A">
        <w:br/>
        <w:t xml:space="preserve"> brian.dawson@wcc.govt.nz</w:t>
      </w:r>
    </w:p>
    <w:p w:rsidR="006C62C0" w:rsidRPr="00D5126A" w:rsidRDefault="006C62C0" w:rsidP="006C62C0">
      <w:pPr>
        <w:pStyle w:val="Para047"/>
        <w:spacing w:line="240" w:lineRule="auto"/>
      </w:pPr>
      <w:r w:rsidRPr="00D5126A">
        <w:rPr>
          <w:noProof/>
          <w:lang w:eastAsia="en-NZ"/>
        </w:rPr>
        <w:drawing>
          <wp:inline distT="0" distB="0" distL="0" distR="0" wp14:anchorId="2A2C8023" wp14:editId="083C8839">
            <wp:extent cx="949036" cy="949036"/>
            <wp:effectExtent l="0" t="0" r="3810" b="3810"/>
            <wp:docPr id="13" name="mc-Fleur-RGB.jpg" descr="Councillor Fleur Fitzsimons" title="Profile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Fleur-RGB.jpg" descr="Councillor Fleur Fitzsimons"/>
                    <pic:cNvPicPr/>
                  </pic:nvPicPr>
                  <pic:blipFill>
                    <a:blip r:embed="rId36"/>
                    <a:stretch>
                      <a:fillRect/>
                    </a:stretch>
                  </pic:blipFill>
                  <pic:spPr>
                    <a:xfrm>
                      <a:off x="0" y="0"/>
                      <a:ext cx="949036" cy="949036"/>
                    </a:xfrm>
                    <a:prstGeom prst="rect">
                      <a:avLst/>
                    </a:prstGeom>
                  </pic:spPr>
                </pic:pic>
              </a:graphicData>
            </a:graphic>
          </wp:inline>
        </w:drawing>
      </w:r>
    </w:p>
    <w:p w:rsidR="006C62C0" w:rsidRPr="00D5126A" w:rsidRDefault="006C62C0" w:rsidP="006C62C0">
      <w:pPr>
        <w:pStyle w:val="Para050"/>
        <w:spacing w:before="240" w:line="240" w:lineRule="auto"/>
      </w:pPr>
      <w:r w:rsidRPr="00D5126A">
        <w:t>Councillor Fleur Fitzsimons</w:t>
      </w:r>
      <w:r w:rsidRPr="00D5126A">
        <w:br/>
        <w:t>Paekawakawa Southern Ward </w:t>
      </w:r>
    </w:p>
    <w:p w:rsidR="006C62C0" w:rsidRPr="00D5126A" w:rsidRDefault="006C62C0" w:rsidP="006C62C0">
      <w:pPr>
        <w:pStyle w:val="Para026"/>
        <w:spacing w:before="240" w:line="240" w:lineRule="auto"/>
        <w:rPr>
          <w:rStyle w:val="00Text"/>
          <w:rFonts w:ascii="Arial" w:hAnsi="Arial" w:cs="Arial"/>
          <w:b w:val="0"/>
        </w:rPr>
      </w:pPr>
      <w:r w:rsidRPr="00D5126A">
        <w:rPr>
          <w:rStyle w:val="00Text"/>
          <w:rFonts w:ascii="Arial" w:hAnsi="Arial" w:cs="Arial"/>
          <w:b w:val="0"/>
        </w:rPr>
        <w:t xml:space="preserve">Fleur was elected to the Paekawakawa Southern Ward in the 2017 by-election, which was triggered when former Deputy Mayor Paul Eagle was elected to Central Government. </w:t>
      </w:r>
    </w:p>
    <w:p w:rsidR="006C62C0" w:rsidRPr="00D5126A" w:rsidRDefault="006C62C0" w:rsidP="006C62C0">
      <w:pPr>
        <w:pStyle w:val="Para026"/>
        <w:spacing w:before="240" w:line="240" w:lineRule="auto"/>
        <w:rPr>
          <w:rStyle w:val="00Text"/>
          <w:rFonts w:ascii="Arial" w:hAnsi="Arial" w:cs="Arial"/>
          <w:b w:val="0"/>
        </w:rPr>
      </w:pPr>
      <w:r w:rsidRPr="00D5126A">
        <w:rPr>
          <w:rStyle w:val="00Text"/>
          <w:rFonts w:ascii="Arial" w:hAnsi="Arial" w:cs="Arial"/>
          <w:b w:val="0"/>
        </w:rPr>
        <w:t xml:space="preserve">She is a member of Council’s </w:t>
      </w:r>
      <w:r w:rsidRPr="00D5126A">
        <w:t>CEO Performance Review Committee, and Council Controlled Organisations S</w:t>
      </w:r>
      <w:r w:rsidRPr="00D5126A">
        <w:rPr>
          <w:rStyle w:val="00Text"/>
          <w:rFonts w:ascii="Arial" w:hAnsi="Arial" w:cs="Arial"/>
          <w:b w:val="0"/>
        </w:rPr>
        <w:t>ubcommittee.</w:t>
      </w:r>
    </w:p>
    <w:p w:rsidR="006C62C0" w:rsidRPr="00D5126A" w:rsidRDefault="006C62C0" w:rsidP="006C62C0">
      <w:pPr>
        <w:pStyle w:val="Para026"/>
        <w:spacing w:before="240" w:line="240" w:lineRule="auto"/>
        <w:rPr>
          <w:rStyle w:val="00Text"/>
          <w:rFonts w:ascii="Arial" w:hAnsi="Arial" w:cs="Arial"/>
        </w:rPr>
      </w:pPr>
      <w:r w:rsidRPr="00D5126A">
        <w:rPr>
          <w:rStyle w:val="00Text"/>
          <w:rFonts w:ascii="Arial" w:hAnsi="Arial" w:cs="Arial"/>
          <w:b w:val="0"/>
        </w:rPr>
        <w:t>She is also Council’s board appointee on the Basin Reserve Trust.</w:t>
      </w:r>
    </w:p>
    <w:p w:rsidR="006C62C0" w:rsidRPr="00D5126A" w:rsidRDefault="006C62C0" w:rsidP="006C62C0">
      <w:pPr>
        <w:pStyle w:val="Para026"/>
        <w:spacing w:before="240" w:line="240" w:lineRule="auto"/>
      </w:pPr>
      <w:r w:rsidRPr="00D5126A">
        <w:rPr>
          <w:rStyle w:val="00Text"/>
          <w:rFonts w:ascii="Arial" w:hAnsi="Arial" w:cs="Arial"/>
        </w:rPr>
        <w:t>Portfolio Leader:</w:t>
      </w:r>
      <w:r w:rsidRPr="00D5126A">
        <w:t xml:space="preserve"> Living Wage, Social Development (City Safety), Recreation, City Safety, Community Facilities</w:t>
      </w:r>
    </w:p>
    <w:p w:rsidR="006C62C0" w:rsidRPr="00D5126A" w:rsidRDefault="006C62C0" w:rsidP="006C62C0">
      <w:pPr>
        <w:pStyle w:val="Para026"/>
        <w:spacing w:before="240" w:line="240" w:lineRule="auto"/>
      </w:pPr>
      <w:r w:rsidRPr="00D5126A">
        <w:rPr>
          <w:rStyle w:val="00Text"/>
          <w:rFonts w:ascii="Arial" w:hAnsi="Arial" w:cs="Arial"/>
        </w:rPr>
        <w:lastRenderedPageBreak/>
        <w:t xml:space="preserve">Contact: </w:t>
      </w:r>
      <w:r w:rsidRPr="00D5126A">
        <w:t>027 803 0515</w:t>
      </w:r>
      <w:r w:rsidRPr="00D5126A">
        <w:br/>
        <w:t xml:space="preserve"> fleur.fitzsimons@wcc.govt.nz</w:t>
      </w:r>
    </w:p>
    <w:p w:rsidR="006C62C0" w:rsidRPr="00D5126A" w:rsidRDefault="006C62C0" w:rsidP="006C62C0">
      <w:pPr>
        <w:pStyle w:val="Para047"/>
        <w:spacing w:line="240" w:lineRule="auto"/>
      </w:pPr>
      <w:r w:rsidRPr="00D5126A">
        <w:rPr>
          <w:noProof/>
          <w:lang w:eastAsia="en-NZ"/>
        </w:rPr>
        <w:drawing>
          <wp:inline distT="0" distB="0" distL="0" distR="0" wp14:anchorId="1542AD74" wp14:editId="3A04FE34">
            <wp:extent cx="949036" cy="949036"/>
            <wp:effectExtent l="0" t="0" r="3810" b="3810"/>
            <wp:docPr id="14" name="mc-Andy-RGB.jpg" descr="Councillor Andy Foster" title="Profile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Andy-RGB.jpg" descr="Councillor Andy Foster"/>
                    <pic:cNvPicPr/>
                  </pic:nvPicPr>
                  <pic:blipFill>
                    <a:blip r:embed="rId37"/>
                    <a:stretch>
                      <a:fillRect/>
                    </a:stretch>
                  </pic:blipFill>
                  <pic:spPr>
                    <a:xfrm>
                      <a:off x="0" y="0"/>
                      <a:ext cx="949036" cy="949036"/>
                    </a:xfrm>
                    <a:prstGeom prst="rect">
                      <a:avLst/>
                    </a:prstGeom>
                  </pic:spPr>
                </pic:pic>
              </a:graphicData>
            </a:graphic>
          </wp:inline>
        </w:drawing>
      </w:r>
    </w:p>
    <w:p w:rsidR="006C62C0" w:rsidRPr="00D5126A" w:rsidRDefault="006C62C0" w:rsidP="006C62C0">
      <w:pPr>
        <w:pStyle w:val="Para050"/>
        <w:spacing w:before="240" w:line="240" w:lineRule="auto"/>
      </w:pPr>
      <w:r w:rsidRPr="00D5126A">
        <w:t>Councillor Andy Foster</w:t>
      </w:r>
      <w:r w:rsidRPr="00D5126A">
        <w:br/>
        <w:t>Wharangi Onslow-Western Ward  </w:t>
      </w:r>
    </w:p>
    <w:p w:rsidR="006C62C0" w:rsidRPr="00D5126A" w:rsidRDefault="006C62C0" w:rsidP="006C62C0">
      <w:pPr>
        <w:pStyle w:val="Para026"/>
        <w:spacing w:before="240" w:line="240" w:lineRule="auto"/>
        <w:rPr>
          <w:rStyle w:val="00Text"/>
          <w:rFonts w:ascii="Arial" w:hAnsi="Arial" w:cs="Arial"/>
          <w:b w:val="0"/>
        </w:rPr>
      </w:pPr>
      <w:r w:rsidRPr="00D5126A">
        <w:rPr>
          <w:rStyle w:val="00Text"/>
          <w:rFonts w:ascii="Arial" w:hAnsi="Arial" w:cs="Arial"/>
          <w:b w:val="0"/>
        </w:rPr>
        <w:t xml:space="preserve">Andy was elected to the Wharangi Onslow-Western Ward in 1992. </w:t>
      </w:r>
    </w:p>
    <w:p w:rsidR="006C62C0" w:rsidRPr="00D5126A" w:rsidRDefault="006C62C0" w:rsidP="006C62C0">
      <w:pPr>
        <w:pStyle w:val="Para026"/>
        <w:spacing w:before="240" w:line="240" w:lineRule="auto"/>
        <w:rPr>
          <w:rStyle w:val="00Text"/>
          <w:rFonts w:ascii="Arial" w:hAnsi="Arial" w:cs="Arial"/>
          <w:b w:val="0"/>
        </w:rPr>
      </w:pPr>
      <w:r w:rsidRPr="00D5126A">
        <w:rPr>
          <w:rStyle w:val="00Text"/>
          <w:rFonts w:ascii="Arial" w:hAnsi="Arial" w:cs="Arial"/>
          <w:b w:val="0"/>
        </w:rPr>
        <w:t xml:space="preserve">He is the chair of the Finance, Audit and Risk Management Subcommittee, and a member of Council’s </w:t>
      </w:r>
      <w:r w:rsidRPr="00D5126A">
        <w:t>CEO Performance Review Committee, and District Licensing Committee</w:t>
      </w:r>
      <w:r w:rsidRPr="00D5126A">
        <w:rPr>
          <w:rStyle w:val="00Text"/>
          <w:rFonts w:ascii="Arial" w:hAnsi="Arial" w:cs="Arial"/>
          <w:b w:val="0"/>
        </w:rPr>
        <w:t>.</w:t>
      </w:r>
    </w:p>
    <w:p w:rsidR="006C62C0" w:rsidRPr="00D5126A" w:rsidRDefault="006C62C0" w:rsidP="006C62C0">
      <w:pPr>
        <w:pStyle w:val="Para026"/>
        <w:spacing w:before="240" w:line="240" w:lineRule="auto"/>
        <w:rPr>
          <w:rStyle w:val="00Text"/>
          <w:rFonts w:ascii="Arial" w:hAnsi="Arial" w:cs="Arial"/>
        </w:rPr>
      </w:pPr>
      <w:r w:rsidRPr="00D5126A">
        <w:rPr>
          <w:rStyle w:val="00Text"/>
          <w:rFonts w:ascii="Arial" w:hAnsi="Arial" w:cs="Arial"/>
          <w:b w:val="0"/>
        </w:rPr>
        <w:t>He is also Council’s representative on the Wellington International Airport Ltd board and LGNZ Zone 4, and the alternate representative on Wellington Regional Strategy Committee and the Accessibility Advisory Group.</w:t>
      </w:r>
    </w:p>
    <w:p w:rsidR="006C62C0" w:rsidRPr="00D5126A" w:rsidRDefault="006C62C0" w:rsidP="006C62C0">
      <w:pPr>
        <w:pStyle w:val="Para026"/>
        <w:spacing w:before="240" w:line="240" w:lineRule="auto"/>
      </w:pPr>
      <w:r w:rsidRPr="00D5126A">
        <w:rPr>
          <w:rStyle w:val="00Text"/>
          <w:rFonts w:ascii="Arial" w:hAnsi="Arial" w:cs="Arial"/>
        </w:rPr>
        <w:t>Portfolio Leader:</w:t>
      </w:r>
      <w:r w:rsidRPr="00D5126A">
        <w:t xml:space="preserve"> Urban Development, Finance, Predator Free Wellington, Karori Framework</w:t>
      </w:r>
    </w:p>
    <w:p w:rsidR="006C62C0" w:rsidRPr="00D5126A" w:rsidRDefault="006C62C0" w:rsidP="006C62C0">
      <w:pPr>
        <w:pStyle w:val="Para026"/>
        <w:spacing w:before="240" w:line="240" w:lineRule="auto"/>
      </w:pPr>
      <w:r w:rsidRPr="00D5126A">
        <w:rPr>
          <w:rStyle w:val="00Text"/>
          <w:rFonts w:ascii="Arial" w:hAnsi="Arial" w:cs="Arial"/>
        </w:rPr>
        <w:t xml:space="preserve">Contact </w:t>
      </w:r>
      <w:r w:rsidRPr="00D5126A">
        <w:t>021 227 8537</w:t>
      </w:r>
      <w:r w:rsidRPr="00D5126A">
        <w:br/>
        <w:t xml:space="preserve"> </w:t>
      </w:r>
      <w:hyperlink r:id="rId38" w:history="1">
        <w:r w:rsidRPr="00D5126A">
          <w:rPr>
            <w:rStyle w:val="Hyperlink"/>
          </w:rPr>
          <w:t>andy.foster@wcc.govt.nz</w:t>
        </w:r>
      </w:hyperlink>
    </w:p>
    <w:p w:rsidR="006C62C0" w:rsidRPr="00D5126A" w:rsidRDefault="006C62C0" w:rsidP="006C62C0">
      <w:pPr>
        <w:pStyle w:val="Para047"/>
        <w:spacing w:line="240" w:lineRule="auto"/>
      </w:pPr>
      <w:r w:rsidRPr="00D5126A">
        <w:rPr>
          <w:noProof/>
          <w:lang w:eastAsia="en-NZ"/>
        </w:rPr>
        <w:drawing>
          <wp:inline distT="0" distB="0" distL="0" distR="0" wp14:anchorId="6C98DA2B" wp14:editId="3EF69630">
            <wp:extent cx="949036" cy="949036"/>
            <wp:effectExtent l="0" t="0" r="3810" b="3810"/>
            <wp:docPr id="18" name="mc-Sarah-RGB.jpg" descr="Councillor Sarah Free" title="Profile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Sarah-RGB.jpg" descr="Councillor Sarah Free"/>
                    <pic:cNvPicPr/>
                  </pic:nvPicPr>
                  <pic:blipFill>
                    <a:blip r:embed="rId39"/>
                    <a:stretch>
                      <a:fillRect/>
                    </a:stretch>
                  </pic:blipFill>
                  <pic:spPr>
                    <a:xfrm>
                      <a:off x="0" y="0"/>
                      <a:ext cx="949036" cy="949036"/>
                    </a:xfrm>
                    <a:prstGeom prst="rect">
                      <a:avLst/>
                    </a:prstGeom>
                  </pic:spPr>
                </pic:pic>
              </a:graphicData>
            </a:graphic>
          </wp:inline>
        </w:drawing>
      </w:r>
    </w:p>
    <w:p w:rsidR="006C62C0" w:rsidRPr="00D5126A" w:rsidRDefault="006C62C0" w:rsidP="006C62C0">
      <w:pPr>
        <w:pStyle w:val="Para050"/>
        <w:spacing w:before="240" w:line="240" w:lineRule="auto"/>
      </w:pPr>
      <w:r w:rsidRPr="00D5126A">
        <w:t>Councillor Sarah Free</w:t>
      </w:r>
      <w:r w:rsidRPr="00D5126A">
        <w:br/>
        <w:t>Motukairangi Eastern Ward</w:t>
      </w:r>
    </w:p>
    <w:p w:rsidR="006C62C0" w:rsidRPr="00D5126A" w:rsidRDefault="006C62C0" w:rsidP="006C62C0">
      <w:pPr>
        <w:pStyle w:val="Para026"/>
        <w:spacing w:before="240" w:line="240" w:lineRule="auto"/>
        <w:rPr>
          <w:rStyle w:val="00Text"/>
          <w:rFonts w:ascii="Arial" w:hAnsi="Arial" w:cs="Arial"/>
          <w:b w:val="0"/>
        </w:rPr>
      </w:pPr>
      <w:r w:rsidRPr="00D5126A">
        <w:rPr>
          <w:rStyle w:val="00Text"/>
          <w:rFonts w:ascii="Arial" w:hAnsi="Arial" w:cs="Arial"/>
          <w:b w:val="0"/>
        </w:rPr>
        <w:t xml:space="preserve">Sarah was elected to the Motukairangi Eastern Ward in 2013. </w:t>
      </w:r>
    </w:p>
    <w:p w:rsidR="006C62C0" w:rsidRPr="00D5126A" w:rsidRDefault="006C62C0" w:rsidP="006C62C0">
      <w:pPr>
        <w:pStyle w:val="Para026"/>
        <w:spacing w:before="240" w:line="240" w:lineRule="auto"/>
        <w:rPr>
          <w:rStyle w:val="00Text"/>
          <w:rFonts w:ascii="Arial" w:hAnsi="Arial" w:cs="Arial"/>
          <w:b w:val="0"/>
        </w:rPr>
      </w:pPr>
      <w:r w:rsidRPr="00D5126A">
        <w:rPr>
          <w:rStyle w:val="00Text"/>
          <w:rFonts w:ascii="Arial" w:hAnsi="Arial" w:cs="Arial"/>
          <w:b w:val="0"/>
        </w:rPr>
        <w:t xml:space="preserve">She is the chair of the Grants Subcommittee, and a member of Council’s </w:t>
      </w:r>
      <w:r w:rsidRPr="00D5126A">
        <w:t>Finance, Audit and Risk Management Subcommittee</w:t>
      </w:r>
      <w:r w:rsidRPr="00D5126A">
        <w:rPr>
          <w:rStyle w:val="00Text"/>
          <w:rFonts w:ascii="Arial" w:hAnsi="Arial" w:cs="Arial"/>
          <w:b w:val="0"/>
        </w:rPr>
        <w:t>.</w:t>
      </w:r>
    </w:p>
    <w:p w:rsidR="006C62C0" w:rsidRPr="00D5126A" w:rsidRDefault="006C62C0" w:rsidP="006C62C0">
      <w:pPr>
        <w:pStyle w:val="Para026"/>
        <w:spacing w:before="240" w:line="240" w:lineRule="auto"/>
        <w:rPr>
          <w:rStyle w:val="00Text"/>
          <w:rFonts w:ascii="Arial" w:hAnsi="Arial" w:cs="Arial"/>
        </w:rPr>
      </w:pPr>
      <w:r w:rsidRPr="00D5126A">
        <w:rPr>
          <w:rStyle w:val="00Text"/>
          <w:rFonts w:ascii="Arial" w:hAnsi="Arial" w:cs="Arial"/>
          <w:b w:val="0"/>
        </w:rPr>
        <w:t xml:space="preserve">She is also Council’s alternate representative for the Safe and </w:t>
      </w:r>
      <w:r w:rsidRPr="00D5126A">
        <w:rPr>
          <w:rStyle w:val="00Text"/>
          <w:rFonts w:ascii="Arial" w:hAnsi="Arial" w:cs="Arial"/>
          <w:b w:val="0"/>
        </w:rPr>
        <w:lastRenderedPageBreak/>
        <w:t>Sustainable Transport Forum, Wellington Regional Transport Committee, the Wellington Regional Strategy Committee, and the Pacific Advisory Group.</w:t>
      </w:r>
    </w:p>
    <w:p w:rsidR="006C62C0" w:rsidRPr="00D5126A" w:rsidRDefault="006C62C0" w:rsidP="006C62C0">
      <w:pPr>
        <w:pStyle w:val="Para026"/>
        <w:spacing w:before="240" w:line="240" w:lineRule="auto"/>
      </w:pPr>
      <w:r w:rsidRPr="00D5126A">
        <w:rPr>
          <w:rStyle w:val="00Text"/>
          <w:rFonts w:ascii="Arial" w:hAnsi="Arial" w:cs="Arial"/>
        </w:rPr>
        <w:t xml:space="preserve">Portfolio Leader: </w:t>
      </w:r>
      <w:r w:rsidRPr="00D5126A">
        <w:rPr>
          <w:rFonts w:eastAsia="Times New Roman"/>
        </w:rPr>
        <w:t>Walking, Cycling, and Public Transport (Infrastructure)</w:t>
      </w:r>
      <w:r w:rsidR="00107245" w:rsidRPr="00D5126A">
        <w:rPr>
          <w:rFonts w:eastAsia="Times New Roman"/>
        </w:rPr>
        <w:t>.</w:t>
      </w:r>
    </w:p>
    <w:p w:rsidR="006C62C0" w:rsidRPr="00D5126A" w:rsidRDefault="006C62C0" w:rsidP="006C62C0">
      <w:pPr>
        <w:pStyle w:val="Para026"/>
        <w:spacing w:before="240" w:line="240" w:lineRule="auto"/>
      </w:pPr>
      <w:r w:rsidRPr="00D5126A">
        <w:rPr>
          <w:rStyle w:val="00Text"/>
          <w:rFonts w:ascii="Arial" w:hAnsi="Arial" w:cs="Arial"/>
        </w:rPr>
        <w:t xml:space="preserve">Contact: </w:t>
      </w:r>
      <w:r w:rsidRPr="00D5126A">
        <w:t>022 121 6412</w:t>
      </w:r>
      <w:r w:rsidRPr="00D5126A">
        <w:br/>
        <w:t xml:space="preserve"> sarah.free@wcc.govt.nz</w:t>
      </w:r>
    </w:p>
    <w:p w:rsidR="006C62C0" w:rsidRPr="00D5126A" w:rsidRDefault="006C62C0" w:rsidP="006C62C0">
      <w:pPr>
        <w:pStyle w:val="Para003"/>
        <w:spacing w:before="240" w:line="240" w:lineRule="auto"/>
      </w:pPr>
      <w:r w:rsidRPr="00D5126A">
        <w:t xml:space="preserve"> </w:t>
      </w:r>
      <w:r w:rsidRPr="00D5126A">
        <w:rPr>
          <w:noProof/>
          <w:lang w:eastAsia="en-NZ"/>
        </w:rPr>
        <w:drawing>
          <wp:inline distT="0" distB="0" distL="0" distR="0" wp14:anchorId="14EC7EF0" wp14:editId="4FCE8C50">
            <wp:extent cx="949036" cy="949036"/>
            <wp:effectExtent l="0" t="0" r="3810" b="3810"/>
            <wp:docPr id="16" name="mc-Peter-RGB.jpg" descr="Councillor Peter Gilberd" title="Profile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Peter-RGB.jpg" descr="Councillor Peter Gilberd"/>
                    <pic:cNvPicPr/>
                  </pic:nvPicPr>
                  <pic:blipFill>
                    <a:blip r:embed="rId40"/>
                    <a:stretch>
                      <a:fillRect/>
                    </a:stretch>
                  </pic:blipFill>
                  <pic:spPr>
                    <a:xfrm>
                      <a:off x="0" y="0"/>
                      <a:ext cx="949036" cy="949036"/>
                    </a:xfrm>
                    <a:prstGeom prst="rect">
                      <a:avLst/>
                    </a:prstGeom>
                  </pic:spPr>
                </pic:pic>
              </a:graphicData>
            </a:graphic>
          </wp:inline>
        </w:drawing>
      </w:r>
    </w:p>
    <w:p w:rsidR="006C62C0" w:rsidRPr="00D5126A" w:rsidRDefault="006C62C0" w:rsidP="006C62C0">
      <w:pPr>
        <w:pStyle w:val="Para050"/>
        <w:spacing w:before="240" w:line="240" w:lineRule="auto"/>
      </w:pPr>
      <w:r w:rsidRPr="00D5126A">
        <w:t xml:space="preserve">Councillor Peter Gilberd </w:t>
      </w:r>
      <w:r w:rsidRPr="00D5126A">
        <w:br/>
        <w:t>Takapū Northern Ward</w:t>
      </w:r>
    </w:p>
    <w:p w:rsidR="006C62C0" w:rsidRPr="00D5126A" w:rsidRDefault="006C62C0" w:rsidP="006C62C0">
      <w:pPr>
        <w:pStyle w:val="Para026"/>
        <w:spacing w:before="240" w:line="240" w:lineRule="auto"/>
        <w:rPr>
          <w:rStyle w:val="00Text"/>
          <w:rFonts w:ascii="Arial" w:hAnsi="Arial" w:cs="Arial"/>
          <w:b w:val="0"/>
        </w:rPr>
      </w:pPr>
      <w:r w:rsidRPr="00D5126A">
        <w:rPr>
          <w:rStyle w:val="00Text"/>
          <w:rFonts w:ascii="Arial" w:hAnsi="Arial" w:cs="Arial"/>
          <w:b w:val="0"/>
        </w:rPr>
        <w:t xml:space="preserve">Peter was elected to the Takapū Northern Ward in 2016. </w:t>
      </w:r>
    </w:p>
    <w:p w:rsidR="006C62C0" w:rsidRPr="00D5126A" w:rsidRDefault="006C62C0" w:rsidP="006C62C0">
      <w:pPr>
        <w:pStyle w:val="Para026"/>
        <w:spacing w:before="240" w:line="240" w:lineRule="auto"/>
        <w:rPr>
          <w:rStyle w:val="00Text"/>
          <w:rFonts w:ascii="Arial" w:hAnsi="Arial" w:cs="Arial"/>
          <w:b w:val="0"/>
        </w:rPr>
      </w:pPr>
      <w:r w:rsidRPr="00D5126A">
        <w:rPr>
          <w:rStyle w:val="00Text"/>
          <w:rFonts w:ascii="Arial" w:hAnsi="Arial" w:cs="Arial"/>
          <w:b w:val="0"/>
        </w:rPr>
        <w:t xml:space="preserve">He is a member of Council’s </w:t>
      </w:r>
      <w:r w:rsidRPr="00D5126A">
        <w:t>Grants Subcommittee</w:t>
      </w:r>
      <w:r w:rsidRPr="00D5126A">
        <w:rPr>
          <w:rStyle w:val="00Text"/>
          <w:rFonts w:ascii="Arial" w:hAnsi="Arial" w:cs="Arial"/>
          <w:b w:val="0"/>
        </w:rPr>
        <w:t>.</w:t>
      </w:r>
    </w:p>
    <w:p w:rsidR="00E312C9" w:rsidRPr="00D5126A" w:rsidRDefault="00E312C9" w:rsidP="00E312C9">
      <w:pPr>
        <w:pStyle w:val="Para026"/>
        <w:spacing w:before="240" w:line="240" w:lineRule="auto"/>
        <w:rPr>
          <w:rStyle w:val="00Text"/>
          <w:rFonts w:ascii="Arial" w:hAnsi="Arial" w:cs="Arial"/>
          <w:b w:val="0"/>
        </w:rPr>
      </w:pPr>
      <w:r w:rsidRPr="00D5126A">
        <w:rPr>
          <w:rStyle w:val="00Text"/>
          <w:rFonts w:ascii="Arial" w:hAnsi="Arial" w:cs="Arial"/>
          <w:b w:val="0"/>
        </w:rPr>
        <w:t xml:space="preserve">He also sits as Council’s representative on the Guardians of Karori Sanctuary (Zealandia), Wellington Zoo Trust Board, Porirua Harbour and Catchment Community Trust, </w:t>
      </w:r>
      <w:r w:rsidRPr="00D5126A">
        <w:rPr>
          <w:rStyle w:val="00Text"/>
          <w:b w:val="0"/>
        </w:rPr>
        <w:t>Te Awarua-o-Porirua Harbour and Catchment Joint Committee</w:t>
      </w:r>
      <w:r w:rsidRPr="00D5126A">
        <w:rPr>
          <w:rStyle w:val="00Text"/>
          <w:rFonts w:ascii="Arial" w:hAnsi="Arial" w:cs="Arial"/>
          <w:b w:val="0"/>
        </w:rPr>
        <w:t>, Whaitua Te Whanganui-a-Tara Committee, Te Wharewaka o Pōneke Trust Board, Environmental Reference Group, LGNZ Zone 4, and is a liaison with the Wellington Multicultural Council.</w:t>
      </w:r>
    </w:p>
    <w:p w:rsidR="006C62C0" w:rsidRPr="00D5126A" w:rsidRDefault="00E312C9" w:rsidP="00E312C9">
      <w:pPr>
        <w:pStyle w:val="Para026"/>
        <w:spacing w:before="240" w:line="240" w:lineRule="auto"/>
      </w:pPr>
      <w:r w:rsidRPr="00D5126A">
        <w:rPr>
          <w:rStyle w:val="00Text"/>
          <w:rFonts w:ascii="Arial" w:hAnsi="Arial" w:cs="Arial"/>
        </w:rPr>
        <w:t xml:space="preserve">Portfolio Leader: </w:t>
      </w:r>
      <w:r w:rsidRPr="00D5126A">
        <w:t xml:space="preserve">City Scientist, Natural Environment </w:t>
      </w:r>
    </w:p>
    <w:p w:rsidR="006C62C0" w:rsidRPr="00D5126A" w:rsidRDefault="006C62C0" w:rsidP="006C62C0">
      <w:pPr>
        <w:pStyle w:val="Para026"/>
        <w:spacing w:before="240" w:line="240" w:lineRule="auto"/>
      </w:pPr>
      <w:r w:rsidRPr="00D5126A">
        <w:rPr>
          <w:rStyle w:val="00Text"/>
          <w:rFonts w:ascii="Arial" w:hAnsi="Arial" w:cs="Arial"/>
        </w:rPr>
        <w:t xml:space="preserve">Contact: </w:t>
      </w:r>
      <w:r w:rsidRPr="00D5126A">
        <w:t>027 614 1416</w:t>
      </w:r>
      <w:r w:rsidRPr="00D5126A">
        <w:br/>
        <w:t xml:space="preserve"> </w:t>
      </w:r>
      <w:hyperlink r:id="rId41" w:history="1">
        <w:r w:rsidRPr="00D5126A">
          <w:rPr>
            <w:rStyle w:val="Hyperlink"/>
          </w:rPr>
          <w:t>peter.gilberd@wcc.govt.nz</w:t>
        </w:r>
      </w:hyperlink>
    </w:p>
    <w:p w:rsidR="006C62C0" w:rsidRPr="00D5126A" w:rsidRDefault="006C62C0" w:rsidP="006C62C0">
      <w:pPr>
        <w:pStyle w:val="Para026"/>
        <w:spacing w:before="240" w:line="240" w:lineRule="auto"/>
      </w:pPr>
    </w:p>
    <w:p w:rsidR="006C62C0" w:rsidRPr="00D5126A" w:rsidRDefault="006C62C0" w:rsidP="006C62C0">
      <w:pPr>
        <w:pStyle w:val="Para047"/>
        <w:spacing w:line="240" w:lineRule="auto"/>
      </w:pPr>
      <w:r w:rsidRPr="00D5126A">
        <w:rPr>
          <w:noProof/>
          <w:lang w:eastAsia="en-NZ"/>
        </w:rPr>
        <w:drawing>
          <wp:inline distT="0" distB="0" distL="0" distR="0" wp14:anchorId="41E9ABB5" wp14:editId="3C6D2601">
            <wp:extent cx="949036" cy="949036"/>
            <wp:effectExtent l="0" t="0" r="3810" b="3810"/>
            <wp:docPr id="17" name="mc-David-RGB.jpg" descr="Councillor David Lee" title="Profile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David-RGB.jpg" descr="Councillor David Lee"/>
                    <pic:cNvPicPr/>
                  </pic:nvPicPr>
                  <pic:blipFill>
                    <a:blip r:embed="rId42"/>
                    <a:stretch>
                      <a:fillRect/>
                    </a:stretch>
                  </pic:blipFill>
                  <pic:spPr>
                    <a:xfrm>
                      <a:off x="0" y="0"/>
                      <a:ext cx="949036" cy="949036"/>
                    </a:xfrm>
                    <a:prstGeom prst="rect">
                      <a:avLst/>
                    </a:prstGeom>
                  </pic:spPr>
                </pic:pic>
              </a:graphicData>
            </a:graphic>
          </wp:inline>
        </w:drawing>
      </w:r>
    </w:p>
    <w:p w:rsidR="006C62C0" w:rsidRPr="00D5126A" w:rsidRDefault="006C62C0" w:rsidP="006C62C0">
      <w:pPr>
        <w:pStyle w:val="Para050"/>
        <w:spacing w:before="240" w:line="240" w:lineRule="auto"/>
      </w:pPr>
      <w:r w:rsidRPr="00D5126A">
        <w:t>Councillor David Lee</w:t>
      </w:r>
      <w:r w:rsidRPr="00D5126A">
        <w:br/>
        <w:t>Paekawakawa Southern Ward</w:t>
      </w:r>
    </w:p>
    <w:p w:rsidR="006C62C0" w:rsidRPr="00D5126A" w:rsidRDefault="006C62C0" w:rsidP="006C62C0">
      <w:pPr>
        <w:pStyle w:val="Para026"/>
        <w:spacing w:before="240" w:line="240" w:lineRule="auto"/>
        <w:rPr>
          <w:rStyle w:val="00Text"/>
          <w:rFonts w:ascii="Arial" w:hAnsi="Arial" w:cs="Arial"/>
          <w:b w:val="0"/>
        </w:rPr>
      </w:pPr>
      <w:r w:rsidRPr="00D5126A">
        <w:rPr>
          <w:rStyle w:val="00Text"/>
          <w:rFonts w:ascii="Arial" w:hAnsi="Arial" w:cs="Arial"/>
          <w:b w:val="0"/>
        </w:rPr>
        <w:lastRenderedPageBreak/>
        <w:t xml:space="preserve">David was elected to the Paekawakawa Southern Ward in 2013. </w:t>
      </w:r>
    </w:p>
    <w:p w:rsidR="006C62C0" w:rsidRPr="00D5126A" w:rsidRDefault="006C62C0" w:rsidP="006C62C0">
      <w:pPr>
        <w:pStyle w:val="Para026"/>
        <w:spacing w:before="240" w:line="240" w:lineRule="auto"/>
        <w:rPr>
          <w:rStyle w:val="00Text"/>
          <w:rFonts w:ascii="Arial" w:hAnsi="Arial" w:cs="Arial"/>
          <w:b w:val="0"/>
        </w:rPr>
      </w:pPr>
      <w:r w:rsidRPr="00D5126A">
        <w:rPr>
          <w:rStyle w:val="00Text"/>
          <w:rFonts w:ascii="Arial" w:hAnsi="Arial" w:cs="Arial"/>
          <w:b w:val="0"/>
        </w:rPr>
        <w:t xml:space="preserve">He is a member of the </w:t>
      </w:r>
      <w:r w:rsidRPr="00D5126A">
        <w:t>Council Controlled Organisations S</w:t>
      </w:r>
      <w:r w:rsidRPr="00D5126A">
        <w:rPr>
          <w:rStyle w:val="00Text"/>
          <w:rFonts w:ascii="Arial" w:hAnsi="Arial" w:cs="Arial"/>
          <w:b w:val="0"/>
        </w:rPr>
        <w:t>ubcommittee and Regulatory Process Committee.</w:t>
      </w:r>
    </w:p>
    <w:p w:rsidR="006C62C0" w:rsidRPr="00D5126A" w:rsidRDefault="006C62C0" w:rsidP="006C62C0">
      <w:pPr>
        <w:pStyle w:val="Para026"/>
        <w:spacing w:before="240" w:line="240" w:lineRule="auto"/>
        <w:rPr>
          <w:rStyle w:val="00Text"/>
          <w:rFonts w:ascii="Arial" w:hAnsi="Arial" w:cs="Arial"/>
        </w:rPr>
      </w:pPr>
      <w:r w:rsidRPr="00D5126A">
        <w:rPr>
          <w:rStyle w:val="00Text"/>
          <w:rFonts w:ascii="Arial" w:hAnsi="Arial" w:cs="Arial"/>
          <w:b w:val="0"/>
        </w:rPr>
        <w:t>He also sits as Council’s representative on the Accessibility Advisory Group. He is the alternate representative for the Waste Forum -Wellington Region.</w:t>
      </w:r>
    </w:p>
    <w:p w:rsidR="006C62C0" w:rsidRPr="00D5126A" w:rsidRDefault="006C62C0" w:rsidP="006C62C0">
      <w:pPr>
        <w:pStyle w:val="Para026"/>
        <w:spacing w:before="240" w:line="240" w:lineRule="auto"/>
      </w:pPr>
      <w:r w:rsidRPr="00D5126A">
        <w:rPr>
          <w:rStyle w:val="00Text"/>
          <w:rFonts w:ascii="Arial" w:hAnsi="Arial" w:cs="Arial"/>
        </w:rPr>
        <w:t xml:space="preserve">Portfolio Leader: </w:t>
      </w:r>
      <w:r w:rsidRPr="00D5126A">
        <w:t>Technology, Innovation &amp; Enterprise, Climate Change</w:t>
      </w:r>
    </w:p>
    <w:p w:rsidR="006C62C0" w:rsidRPr="00D5126A" w:rsidRDefault="006C62C0" w:rsidP="006C62C0">
      <w:pPr>
        <w:pStyle w:val="Para026"/>
        <w:spacing w:before="240" w:line="240" w:lineRule="auto"/>
      </w:pPr>
      <w:r w:rsidRPr="00D5126A">
        <w:rPr>
          <w:rStyle w:val="00Text"/>
          <w:rFonts w:ascii="Arial" w:hAnsi="Arial" w:cs="Arial"/>
        </w:rPr>
        <w:t xml:space="preserve">Contact: </w:t>
      </w:r>
      <w:r w:rsidRPr="00D5126A">
        <w:t>021 220 2357</w:t>
      </w:r>
      <w:r w:rsidRPr="00D5126A">
        <w:br/>
        <w:t xml:space="preserve"> </w:t>
      </w:r>
      <w:hyperlink r:id="rId43" w:history="1">
        <w:r w:rsidRPr="00D5126A">
          <w:rPr>
            <w:rStyle w:val="Hyperlink"/>
          </w:rPr>
          <w:t>david.lee@wcc.govt.nz</w:t>
        </w:r>
      </w:hyperlink>
    </w:p>
    <w:p w:rsidR="006C62C0" w:rsidRPr="00D5126A" w:rsidRDefault="006C62C0" w:rsidP="006C62C0">
      <w:pPr>
        <w:pStyle w:val="Para047"/>
        <w:spacing w:line="240" w:lineRule="auto"/>
      </w:pPr>
      <w:r w:rsidRPr="00D5126A">
        <w:rPr>
          <w:noProof/>
          <w:lang w:eastAsia="en-NZ"/>
        </w:rPr>
        <w:drawing>
          <wp:inline distT="0" distB="0" distL="0" distR="0" wp14:anchorId="4257D9BE" wp14:editId="3F491EA6">
            <wp:extent cx="949036" cy="949036"/>
            <wp:effectExtent l="0" t="0" r="3810" b="3810"/>
            <wp:docPr id="21" name="mc-Simon-RGB.jpg" descr="Councillor Simon Marsh" title="Profile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Simon-RGB.jpg" descr="Councillor Simon Marsh"/>
                    <pic:cNvPicPr/>
                  </pic:nvPicPr>
                  <pic:blipFill>
                    <a:blip r:embed="rId44"/>
                    <a:stretch>
                      <a:fillRect/>
                    </a:stretch>
                  </pic:blipFill>
                  <pic:spPr>
                    <a:xfrm>
                      <a:off x="0" y="0"/>
                      <a:ext cx="949036" cy="949036"/>
                    </a:xfrm>
                    <a:prstGeom prst="rect">
                      <a:avLst/>
                    </a:prstGeom>
                  </pic:spPr>
                </pic:pic>
              </a:graphicData>
            </a:graphic>
          </wp:inline>
        </w:drawing>
      </w:r>
    </w:p>
    <w:p w:rsidR="006C62C0" w:rsidRPr="00D5126A" w:rsidRDefault="006C62C0" w:rsidP="006C62C0">
      <w:pPr>
        <w:pStyle w:val="Para050"/>
        <w:spacing w:before="240" w:line="240" w:lineRule="auto"/>
      </w:pPr>
      <w:r w:rsidRPr="00D5126A">
        <w:t xml:space="preserve">Councillor Simon Marsh </w:t>
      </w:r>
      <w:r w:rsidR="00E312C9" w:rsidRPr="00D5126A">
        <w:br/>
      </w:r>
      <w:r w:rsidRPr="00D5126A">
        <w:t>Motukairangi Eastern Ward</w:t>
      </w:r>
    </w:p>
    <w:p w:rsidR="006C62C0" w:rsidRPr="00D5126A" w:rsidRDefault="006C62C0" w:rsidP="006C62C0">
      <w:pPr>
        <w:pStyle w:val="Para026"/>
        <w:spacing w:before="240" w:line="240" w:lineRule="auto"/>
        <w:rPr>
          <w:rStyle w:val="00Text"/>
          <w:rFonts w:ascii="Arial" w:hAnsi="Arial" w:cs="Arial"/>
          <w:b w:val="0"/>
        </w:rPr>
      </w:pPr>
      <w:r w:rsidRPr="00D5126A">
        <w:rPr>
          <w:rStyle w:val="00Text"/>
          <w:rFonts w:ascii="Arial" w:hAnsi="Arial" w:cs="Arial"/>
          <w:b w:val="0"/>
        </w:rPr>
        <w:t xml:space="preserve">Simon was elected to the Motukairangi Eastern Ward in 2010. </w:t>
      </w:r>
    </w:p>
    <w:p w:rsidR="006C62C0" w:rsidRPr="00D5126A" w:rsidRDefault="006C62C0" w:rsidP="006C62C0">
      <w:pPr>
        <w:pStyle w:val="Para026"/>
        <w:spacing w:before="240" w:line="240" w:lineRule="auto"/>
        <w:rPr>
          <w:rStyle w:val="00Text"/>
          <w:rFonts w:ascii="Arial" w:hAnsi="Arial" w:cs="Arial"/>
          <w:b w:val="0"/>
        </w:rPr>
      </w:pPr>
      <w:r w:rsidRPr="00D5126A">
        <w:rPr>
          <w:rStyle w:val="00Text"/>
          <w:rFonts w:ascii="Arial" w:hAnsi="Arial" w:cs="Arial"/>
          <w:b w:val="0"/>
        </w:rPr>
        <w:t xml:space="preserve">He is a member of the </w:t>
      </w:r>
      <w:r w:rsidRPr="00D5126A">
        <w:t>Council Controlled Organisations S</w:t>
      </w:r>
      <w:r w:rsidRPr="00D5126A">
        <w:rPr>
          <w:rStyle w:val="00Text"/>
          <w:rFonts w:ascii="Arial" w:hAnsi="Arial" w:cs="Arial"/>
          <w:b w:val="0"/>
        </w:rPr>
        <w:t>ubcommittee.</w:t>
      </w:r>
    </w:p>
    <w:p w:rsidR="006C62C0" w:rsidRPr="00D5126A" w:rsidRDefault="006C62C0" w:rsidP="006C62C0">
      <w:pPr>
        <w:pStyle w:val="Para026"/>
        <w:spacing w:before="240" w:line="240" w:lineRule="auto"/>
        <w:rPr>
          <w:rStyle w:val="00Text"/>
          <w:rFonts w:ascii="Arial" w:hAnsi="Arial" w:cs="Arial"/>
        </w:rPr>
      </w:pPr>
      <w:r w:rsidRPr="00D5126A">
        <w:rPr>
          <w:rStyle w:val="00Text"/>
          <w:rFonts w:ascii="Arial" w:hAnsi="Arial" w:cs="Arial"/>
          <w:b w:val="0"/>
        </w:rPr>
        <w:t>He is also Council’s board member on the Wellington Regional Stadium Trust (Westpac Stadium) and a representative on the Wellington Regional Strategy Committee.</w:t>
      </w:r>
    </w:p>
    <w:p w:rsidR="006C62C0" w:rsidRPr="00D5126A" w:rsidRDefault="006C62C0" w:rsidP="006C62C0">
      <w:pPr>
        <w:pStyle w:val="Para026"/>
        <w:spacing w:before="240" w:line="240" w:lineRule="auto"/>
      </w:pPr>
      <w:r w:rsidRPr="00D5126A">
        <w:rPr>
          <w:rStyle w:val="00Text"/>
          <w:rFonts w:ascii="Arial" w:hAnsi="Arial" w:cs="Arial"/>
        </w:rPr>
        <w:t xml:space="preserve">Portfolio Leader: </w:t>
      </w:r>
      <w:r w:rsidRPr="00D5126A">
        <w:t>Economic Development, Events, Small Business (joint)</w:t>
      </w:r>
    </w:p>
    <w:p w:rsidR="006C62C0" w:rsidRPr="00D5126A" w:rsidRDefault="006C62C0" w:rsidP="006C62C0">
      <w:pPr>
        <w:pStyle w:val="Para026"/>
        <w:spacing w:before="240" w:line="240" w:lineRule="auto"/>
      </w:pPr>
      <w:r w:rsidRPr="00D5126A">
        <w:rPr>
          <w:rStyle w:val="00Text"/>
          <w:rFonts w:ascii="Arial" w:hAnsi="Arial" w:cs="Arial"/>
        </w:rPr>
        <w:t xml:space="preserve">Contact: </w:t>
      </w:r>
      <w:r w:rsidRPr="00D5126A">
        <w:t>021 922 196</w:t>
      </w:r>
      <w:r w:rsidRPr="00D5126A">
        <w:br/>
        <w:t>simon.marsh@wcc.govt.nz</w:t>
      </w:r>
    </w:p>
    <w:p w:rsidR="006C62C0" w:rsidRPr="00D5126A" w:rsidRDefault="006C62C0" w:rsidP="006C62C0">
      <w:pPr>
        <w:pStyle w:val="Para047"/>
        <w:spacing w:line="240" w:lineRule="auto"/>
      </w:pPr>
      <w:r w:rsidRPr="00D5126A">
        <w:rPr>
          <w:noProof/>
          <w:lang w:eastAsia="en-NZ"/>
        </w:rPr>
        <w:drawing>
          <wp:inline distT="0" distB="0" distL="0" distR="0" wp14:anchorId="73298ADC" wp14:editId="1BC121D8">
            <wp:extent cx="949036" cy="949036"/>
            <wp:effectExtent l="0" t="0" r="3810" b="3810"/>
            <wp:docPr id="19" name="mc-Iona-RGB.jpg" descr="Councillor Iona Pannett" title="Profile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Iona-RGB.jpg" descr="Councillor Iona Pannett"/>
                    <pic:cNvPicPr/>
                  </pic:nvPicPr>
                  <pic:blipFill>
                    <a:blip r:embed="rId45"/>
                    <a:stretch>
                      <a:fillRect/>
                    </a:stretch>
                  </pic:blipFill>
                  <pic:spPr>
                    <a:xfrm>
                      <a:off x="0" y="0"/>
                      <a:ext cx="949036" cy="949036"/>
                    </a:xfrm>
                    <a:prstGeom prst="rect">
                      <a:avLst/>
                    </a:prstGeom>
                  </pic:spPr>
                </pic:pic>
              </a:graphicData>
            </a:graphic>
          </wp:inline>
        </w:drawing>
      </w:r>
    </w:p>
    <w:p w:rsidR="006C62C0" w:rsidRPr="00D5126A" w:rsidRDefault="006C62C0" w:rsidP="006C62C0">
      <w:pPr>
        <w:pStyle w:val="Para050"/>
        <w:pBdr>
          <w:top w:val="none" w:sz="8" w:space="1" w:color="auto"/>
        </w:pBdr>
        <w:spacing w:before="240" w:line="240" w:lineRule="auto"/>
      </w:pPr>
      <w:r w:rsidRPr="00D5126A">
        <w:t xml:space="preserve">Councillor Iona Pannett </w:t>
      </w:r>
      <w:r w:rsidRPr="00D5126A">
        <w:br/>
        <w:t>Pukehīnau Lambton Ward</w:t>
      </w:r>
    </w:p>
    <w:p w:rsidR="006C62C0" w:rsidRPr="00D5126A" w:rsidRDefault="006C62C0" w:rsidP="006C62C0">
      <w:pPr>
        <w:pStyle w:val="Para026"/>
        <w:spacing w:before="240" w:line="240" w:lineRule="auto"/>
        <w:rPr>
          <w:rStyle w:val="00Text"/>
          <w:rFonts w:ascii="Arial" w:hAnsi="Arial" w:cs="Arial"/>
          <w:b w:val="0"/>
        </w:rPr>
      </w:pPr>
      <w:r w:rsidRPr="00D5126A">
        <w:rPr>
          <w:rStyle w:val="00Text"/>
          <w:rFonts w:ascii="Arial" w:hAnsi="Arial" w:cs="Arial"/>
          <w:b w:val="0"/>
        </w:rPr>
        <w:lastRenderedPageBreak/>
        <w:t xml:space="preserve">Iona was elected to the Pukehīnau Lambton Ward in 2007. </w:t>
      </w:r>
    </w:p>
    <w:p w:rsidR="006C62C0" w:rsidRPr="00D5126A" w:rsidRDefault="006C62C0" w:rsidP="006C62C0">
      <w:pPr>
        <w:pStyle w:val="Para026"/>
        <w:spacing w:before="240" w:line="240" w:lineRule="auto"/>
        <w:rPr>
          <w:rStyle w:val="00Text"/>
          <w:rFonts w:ascii="Arial" w:hAnsi="Arial" w:cs="Arial"/>
          <w:b w:val="0"/>
        </w:rPr>
      </w:pPr>
      <w:r w:rsidRPr="00D5126A">
        <w:rPr>
          <w:rStyle w:val="00Text"/>
          <w:rFonts w:ascii="Arial" w:hAnsi="Arial" w:cs="Arial"/>
          <w:b w:val="0"/>
        </w:rPr>
        <w:t>She is chair of the City Strategy Committee and a member of the CEO Performance Review Committee.</w:t>
      </w:r>
    </w:p>
    <w:p w:rsidR="006C62C0" w:rsidRPr="00D5126A" w:rsidRDefault="006C62C0" w:rsidP="006C62C0">
      <w:pPr>
        <w:pStyle w:val="Para026"/>
        <w:spacing w:before="240" w:line="240" w:lineRule="auto"/>
        <w:rPr>
          <w:rStyle w:val="00Text"/>
          <w:rFonts w:ascii="Arial" w:hAnsi="Arial" w:cs="Arial"/>
          <w:b w:val="0"/>
        </w:rPr>
      </w:pPr>
      <w:r w:rsidRPr="00D5126A">
        <w:rPr>
          <w:rStyle w:val="00Text"/>
          <w:rFonts w:ascii="Arial" w:hAnsi="Arial" w:cs="Arial"/>
          <w:b w:val="0"/>
        </w:rPr>
        <w:t xml:space="preserve">She is also the chair of the Wellington Region Waste Management and Minimisation Plan Joint Committee, a representative for Council on the Wastewater Treatment Plant and Landfill Joint Committee, and Wellington Water Committee. </w:t>
      </w:r>
    </w:p>
    <w:p w:rsidR="006C62C0" w:rsidRPr="00D5126A" w:rsidRDefault="006C62C0" w:rsidP="006C62C0">
      <w:pPr>
        <w:pStyle w:val="Para026"/>
        <w:spacing w:before="240" w:line="240" w:lineRule="auto"/>
        <w:rPr>
          <w:rStyle w:val="00Text"/>
          <w:rFonts w:ascii="Arial" w:hAnsi="Arial" w:cs="Arial"/>
          <w:b w:val="0"/>
        </w:rPr>
      </w:pPr>
      <w:r w:rsidRPr="00D5126A">
        <w:rPr>
          <w:rStyle w:val="00Text"/>
          <w:rFonts w:ascii="Arial" w:hAnsi="Arial" w:cs="Arial"/>
          <w:b w:val="0"/>
        </w:rPr>
        <w:t xml:space="preserve">She is the alternate representative on the Environmental Reference Group, Waste Forum - Wellington Region and the Wellington Regional Strategy Committee. </w:t>
      </w:r>
    </w:p>
    <w:p w:rsidR="006C62C0" w:rsidRPr="00D5126A" w:rsidRDefault="006C62C0" w:rsidP="006C62C0">
      <w:pPr>
        <w:pStyle w:val="Para026"/>
        <w:spacing w:before="240" w:line="240" w:lineRule="auto"/>
      </w:pPr>
      <w:r w:rsidRPr="00D5126A">
        <w:rPr>
          <w:rStyle w:val="00Text"/>
          <w:rFonts w:ascii="Arial" w:hAnsi="Arial" w:cs="Arial"/>
        </w:rPr>
        <w:t>Portfolio Leader:</w:t>
      </w:r>
      <w:r w:rsidRPr="00D5126A">
        <w:t xml:space="preserve"> Infrastructure and Sustainability  </w:t>
      </w:r>
    </w:p>
    <w:p w:rsidR="006C62C0" w:rsidRPr="00D5126A" w:rsidRDefault="006C62C0" w:rsidP="006C62C0">
      <w:pPr>
        <w:pStyle w:val="Para026"/>
        <w:spacing w:before="240" w:line="240" w:lineRule="auto"/>
      </w:pPr>
      <w:r w:rsidRPr="00D5126A">
        <w:rPr>
          <w:rStyle w:val="00Text"/>
          <w:rFonts w:ascii="Arial" w:hAnsi="Arial" w:cs="Arial"/>
        </w:rPr>
        <w:t xml:space="preserve">Contact </w:t>
      </w:r>
      <w:r w:rsidRPr="00D5126A">
        <w:t>021 227 8509</w:t>
      </w:r>
      <w:r w:rsidRPr="00D5126A">
        <w:br/>
        <w:t xml:space="preserve"> iona.pannett@wcc.govt.nz</w:t>
      </w:r>
    </w:p>
    <w:p w:rsidR="006C62C0" w:rsidRPr="00D5126A" w:rsidRDefault="006C62C0" w:rsidP="006C62C0">
      <w:pPr>
        <w:pStyle w:val="Para047"/>
        <w:spacing w:line="240" w:lineRule="auto"/>
      </w:pPr>
      <w:r w:rsidRPr="00D5126A">
        <w:rPr>
          <w:noProof/>
          <w:lang w:eastAsia="en-NZ"/>
        </w:rPr>
        <w:drawing>
          <wp:inline distT="0" distB="0" distL="0" distR="0" wp14:anchorId="5B3C21FA" wp14:editId="2CF04ABD">
            <wp:extent cx="949036" cy="949036"/>
            <wp:effectExtent l="0" t="0" r="3810" b="3810"/>
            <wp:docPr id="20" name="mc-Malcolm-RGB.jpg" descr="Councillor Malcolm Sparrow" title="Profile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Malcolm-RGB.jpg" descr="Councillor Malcolm Sparrow"/>
                    <pic:cNvPicPr/>
                  </pic:nvPicPr>
                  <pic:blipFill>
                    <a:blip r:embed="rId46"/>
                    <a:stretch>
                      <a:fillRect/>
                    </a:stretch>
                  </pic:blipFill>
                  <pic:spPr>
                    <a:xfrm>
                      <a:off x="0" y="0"/>
                      <a:ext cx="949036" cy="949036"/>
                    </a:xfrm>
                    <a:prstGeom prst="rect">
                      <a:avLst/>
                    </a:prstGeom>
                  </pic:spPr>
                </pic:pic>
              </a:graphicData>
            </a:graphic>
          </wp:inline>
        </w:drawing>
      </w:r>
    </w:p>
    <w:p w:rsidR="006C62C0" w:rsidRPr="00D5126A" w:rsidRDefault="006C62C0" w:rsidP="006C62C0">
      <w:pPr>
        <w:pStyle w:val="Para050"/>
        <w:spacing w:before="240" w:line="240" w:lineRule="auto"/>
      </w:pPr>
      <w:r w:rsidRPr="00D5126A">
        <w:t>Councillor Malcolm Sparrow</w:t>
      </w:r>
      <w:r w:rsidRPr="00D5126A">
        <w:br/>
        <w:t>Takapū Northern Ward</w:t>
      </w:r>
    </w:p>
    <w:p w:rsidR="006C62C0" w:rsidRPr="00D5126A" w:rsidRDefault="006C62C0" w:rsidP="006C62C0">
      <w:pPr>
        <w:pStyle w:val="Para026"/>
        <w:spacing w:before="240" w:line="240" w:lineRule="auto"/>
        <w:rPr>
          <w:rStyle w:val="00Text"/>
          <w:rFonts w:ascii="Arial" w:hAnsi="Arial" w:cs="Arial"/>
          <w:b w:val="0"/>
        </w:rPr>
      </w:pPr>
      <w:r w:rsidRPr="00D5126A">
        <w:rPr>
          <w:rStyle w:val="00Text"/>
          <w:rFonts w:ascii="Arial" w:hAnsi="Arial" w:cs="Arial"/>
          <w:b w:val="0"/>
        </w:rPr>
        <w:t xml:space="preserve">Malcolm was elected to the Takapū Northern Ward in 2013. </w:t>
      </w:r>
    </w:p>
    <w:p w:rsidR="006C62C0" w:rsidRPr="00D5126A" w:rsidRDefault="006C62C0" w:rsidP="006C62C0">
      <w:pPr>
        <w:pStyle w:val="Para026"/>
        <w:spacing w:before="240" w:line="240" w:lineRule="auto"/>
        <w:rPr>
          <w:rStyle w:val="00Text"/>
          <w:rFonts w:ascii="Arial" w:hAnsi="Arial" w:cs="Arial"/>
          <w:b w:val="0"/>
        </w:rPr>
      </w:pPr>
      <w:r w:rsidRPr="00D5126A">
        <w:rPr>
          <w:rStyle w:val="00Text"/>
          <w:rFonts w:ascii="Arial" w:hAnsi="Arial" w:cs="Arial"/>
          <w:b w:val="0"/>
        </w:rPr>
        <w:t>He is chair of the Regulatory Process Committee and a member of the Tawa Community Board.</w:t>
      </w:r>
    </w:p>
    <w:p w:rsidR="006C62C0" w:rsidRPr="00D5126A" w:rsidRDefault="006C62C0" w:rsidP="006C62C0">
      <w:pPr>
        <w:pStyle w:val="Para026"/>
        <w:spacing w:before="240" w:line="240" w:lineRule="auto"/>
        <w:rPr>
          <w:rStyle w:val="00Text"/>
          <w:rFonts w:ascii="Arial" w:hAnsi="Arial" w:cs="Arial"/>
        </w:rPr>
      </w:pPr>
      <w:r w:rsidRPr="00D5126A">
        <w:rPr>
          <w:rStyle w:val="00Text"/>
          <w:rFonts w:ascii="Arial" w:hAnsi="Arial" w:cs="Arial"/>
          <w:b w:val="0"/>
        </w:rPr>
        <w:t xml:space="preserve">He is one of Council’s board members on the Joe Aspell Trust and an alternate representative on the Wastewater Treatment Plant and Landfill Joint Committee. </w:t>
      </w:r>
    </w:p>
    <w:p w:rsidR="006C62C0" w:rsidRPr="00D5126A" w:rsidRDefault="006C62C0" w:rsidP="006C62C0">
      <w:pPr>
        <w:pStyle w:val="Para068"/>
        <w:spacing w:before="240" w:line="240" w:lineRule="auto"/>
      </w:pPr>
      <w:r w:rsidRPr="00D5126A">
        <w:t>Portfolio Leader:</w:t>
      </w:r>
      <w:r w:rsidRPr="00D5126A">
        <w:rPr>
          <w:rStyle w:val="00Text"/>
          <w:rFonts w:ascii="Arial" w:hAnsi="Arial" w:cs="Arial"/>
        </w:rPr>
        <w:t xml:space="preserve"> Community Resilience</w:t>
      </w:r>
    </w:p>
    <w:p w:rsidR="006C62C0" w:rsidRPr="00D5126A" w:rsidRDefault="006C62C0" w:rsidP="006C62C0">
      <w:pPr>
        <w:pStyle w:val="Para026"/>
        <w:spacing w:before="240" w:line="240" w:lineRule="auto"/>
      </w:pPr>
      <w:r w:rsidRPr="00D5126A">
        <w:rPr>
          <w:rStyle w:val="00Text"/>
          <w:rFonts w:ascii="Arial" w:hAnsi="Arial" w:cs="Arial"/>
        </w:rPr>
        <w:t xml:space="preserve">Contact </w:t>
      </w:r>
      <w:r w:rsidRPr="00D5126A">
        <w:t>027 232 2320</w:t>
      </w:r>
      <w:r w:rsidRPr="00D5126A">
        <w:br/>
        <w:t xml:space="preserve"> malcolm.sparrow@wcc.govt.nz</w:t>
      </w:r>
    </w:p>
    <w:p w:rsidR="006C62C0" w:rsidRPr="00D5126A" w:rsidRDefault="006C62C0" w:rsidP="006C62C0">
      <w:pPr>
        <w:pStyle w:val="Para047"/>
        <w:spacing w:line="240" w:lineRule="auto"/>
      </w:pPr>
      <w:r w:rsidRPr="00D5126A">
        <w:rPr>
          <w:noProof/>
          <w:lang w:eastAsia="en-NZ"/>
        </w:rPr>
        <w:lastRenderedPageBreak/>
        <w:drawing>
          <wp:inline distT="0" distB="0" distL="0" distR="0" wp14:anchorId="1970031D" wp14:editId="793429D4">
            <wp:extent cx="949036" cy="949036"/>
            <wp:effectExtent l="0" t="0" r="3810" b="3810"/>
            <wp:docPr id="22" name="mc-SimonW-RGB.jpg" descr="Councillor Simon Woolf" title="Profile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SimonW-RGB.jpg" descr="Councillor Simon Woolf"/>
                    <pic:cNvPicPr/>
                  </pic:nvPicPr>
                  <pic:blipFill>
                    <a:blip r:embed="rId47"/>
                    <a:stretch>
                      <a:fillRect/>
                    </a:stretch>
                  </pic:blipFill>
                  <pic:spPr>
                    <a:xfrm>
                      <a:off x="0" y="0"/>
                      <a:ext cx="949036" cy="949036"/>
                    </a:xfrm>
                    <a:prstGeom prst="rect">
                      <a:avLst/>
                    </a:prstGeom>
                  </pic:spPr>
                </pic:pic>
              </a:graphicData>
            </a:graphic>
          </wp:inline>
        </w:drawing>
      </w:r>
    </w:p>
    <w:p w:rsidR="006C62C0" w:rsidRPr="00D5126A" w:rsidRDefault="006C62C0" w:rsidP="006C62C0">
      <w:pPr>
        <w:pStyle w:val="Para050"/>
        <w:spacing w:before="240" w:line="240" w:lineRule="auto"/>
      </w:pPr>
      <w:r w:rsidRPr="00D5126A">
        <w:t>Councillor Simon Woolf</w:t>
      </w:r>
      <w:r w:rsidRPr="00D5126A">
        <w:br/>
        <w:t>Wharangi Onslow-Western Ward</w:t>
      </w:r>
    </w:p>
    <w:p w:rsidR="006C62C0" w:rsidRPr="00D5126A" w:rsidRDefault="006C62C0" w:rsidP="006C62C0">
      <w:pPr>
        <w:pStyle w:val="Para026"/>
        <w:spacing w:before="240" w:line="240" w:lineRule="auto"/>
        <w:rPr>
          <w:rStyle w:val="00Text"/>
          <w:rFonts w:ascii="Arial" w:hAnsi="Arial" w:cs="Arial"/>
          <w:b w:val="0"/>
        </w:rPr>
      </w:pPr>
      <w:r w:rsidRPr="00D5126A">
        <w:rPr>
          <w:rStyle w:val="00Text"/>
          <w:rFonts w:ascii="Arial" w:hAnsi="Arial" w:cs="Arial"/>
          <w:b w:val="0"/>
        </w:rPr>
        <w:t xml:space="preserve">Simon was elected to the </w:t>
      </w:r>
      <w:r w:rsidRPr="00D5126A">
        <w:t>Wharangi Onslow-Western Ward</w:t>
      </w:r>
      <w:r w:rsidRPr="00D5126A">
        <w:rPr>
          <w:rStyle w:val="00Text"/>
          <w:rFonts w:ascii="Arial" w:hAnsi="Arial" w:cs="Arial"/>
          <w:b w:val="0"/>
        </w:rPr>
        <w:t xml:space="preserve"> in 2013. </w:t>
      </w:r>
    </w:p>
    <w:p w:rsidR="006C62C0" w:rsidRPr="00D5126A" w:rsidRDefault="006C62C0" w:rsidP="006C62C0">
      <w:pPr>
        <w:pStyle w:val="Para026"/>
        <w:spacing w:before="240" w:line="240" w:lineRule="auto"/>
        <w:rPr>
          <w:rStyle w:val="00Text"/>
          <w:rFonts w:ascii="Arial" w:hAnsi="Arial" w:cs="Arial"/>
        </w:rPr>
      </w:pPr>
      <w:r w:rsidRPr="00D5126A">
        <w:rPr>
          <w:rStyle w:val="00Text"/>
          <w:rFonts w:ascii="Arial" w:hAnsi="Arial" w:cs="Arial"/>
          <w:b w:val="0"/>
        </w:rPr>
        <w:t xml:space="preserve">He is chair of the </w:t>
      </w:r>
      <w:r w:rsidRPr="00D5126A">
        <w:t>Council Controlled Organisations Subcommittee</w:t>
      </w:r>
      <w:r w:rsidRPr="00D5126A">
        <w:rPr>
          <w:rStyle w:val="00Text"/>
          <w:rFonts w:ascii="Arial" w:hAnsi="Arial" w:cs="Arial"/>
          <w:b w:val="0"/>
        </w:rPr>
        <w:t xml:space="preserve">. He is also the alternate representative for Youth Council. </w:t>
      </w:r>
    </w:p>
    <w:p w:rsidR="006C62C0" w:rsidRPr="00D5126A" w:rsidRDefault="006C62C0" w:rsidP="006C62C0">
      <w:pPr>
        <w:pStyle w:val="Para026"/>
        <w:spacing w:before="240" w:line="240" w:lineRule="auto"/>
      </w:pPr>
      <w:r w:rsidRPr="00D5126A">
        <w:rPr>
          <w:rStyle w:val="00Text"/>
          <w:rFonts w:ascii="Arial" w:hAnsi="Arial" w:cs="Arial"/>
        </w:rPr>
        <w:t>Portfolio Leader:</w:t>
      </w:r>
      <w:r w:rsidRPr="00D5126A">
        <w:t xml:space="preserve"> Wellington</w:t>
      </w:r>
      <w:r w:rsidRPr="00D5126A">
        <w:br/>
        <w:t xml:space="preserve"> Ambassador Tourism, Small Business (joint), Sport </w:t>
      </w:r>
    </w:p>
    <w:p w:rsidR="006C62C0" w:rsidRPr="00D5126A" w:rsidRDefault="006C62C0" w:rsidP="006C62C0">
      <w:pPr>
        <w:pStyle w:val="Para026"/>
        <w:spacing w:before="240" w:line="240" w:lineRule="auto"/>
      </w:pPr>
      <w:r w:rsidRPr="00D5126A">
        <w:rPr>
          <w:rStyle w:val="00Text"/>
          <w:rFonts w:ascii="Arial" w:hAnsi="Arial" w:cs="Arial"/>
        </w:rPr>
        <w:t xml:space="preserve">Contact </w:t>
      </w:r>
      <w:r w:rsidRPr="00D5126A">
        <w:t>027 975 3163</w:t>
      </w:r>
      <w:r w:rsidRPr="00D5126A">
        <w:br/>
        <w:t xml:space="preserve"> simon.woolf@wcc.govt.nz</w:t>
      </w:r>
    </w:p>
    <w:p w:rsidR="006C62C0" w:rsidRPr="00D5126A" w:rsidRDefault="006C62C0" w:rsidP="006C62C0">
      <w:pPr>
        <w:pStyle w:val="Para047"/>
        <w:spacing w:line="240" w:lineRule="auto"/>
      </w:pPr>
      <w:r w:rsidRPr="00D5126A">
        <w:rPr>
          <w:noProof/>
          <w:lang w:eastAsia="en-NZ"/>
        </w:rPr>
        <w:lastRenderedPageBreak/>
        <w:drawing>
          <wp:inline distT="0" distB="0" distL="0" distR="0" wp14:anchorId="61358FFE" wp14:editId="5EE1E55A">
            <wp:extent cx="949036" cy="949036"/>
            <wp:effectExtent l="0" t="0" r="3810" b="3810"/>
            <wp:docPr id="23" name="mc-Nicola-RGB.jpg" descr="Councillor Nicola Young" title="Profile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Nicola-RGB.jpg" descr="Councillor Nicola Young"/>
                    <pic:cNvPicPr/>
                  </pic:nvPicPr>
                  <pic:blipFill>
                    <a:blip r:embed="rId48"/>
                    <a:stretch>
                      <a:fillRect/>
                    </a:stretch>
                  </pic:blipFill>
                  <pic:spPr>
                    <a:xfrm>
                      <a:off x="0" y="0"/>
                      <a:ext cx="949036" cy="949036"/>
                    </a:xfrm>
                    <a:prstGeom prst="rect">
                      <a:avLst/>
                    </a:prstGeom>
                  </pic:spPr>
                </pic:pic>
              </a:graphicData>
            </a:graphic>
          </wp:inline>
        </w:drawing>
      </w:r>
    </w:p>
    <w:p w:rsidR="006C62C0" w:rsidRPr="00D5126A" w:rsidRDefault="006C62C0" w:rsidP="006C62C0">
      <w:pPr>
        <w:pStyle w:val="Para050"/>
        <w:pBdr>
          <w:top w:val="none" w:sz="8" w:space="1" w:color="auto"/>
        </w:pBdr>
        <w:spacing w:before="240" w:line="240" w:lineRule="auto"/>
      </w:pPr>
      <w:r w:rsidRPr="00D5126A">
        <w:t>Councillor Nicola Young</w:t>
      </w:r>
      <w:r w:rsidRPr="00D5126A">
        <w:br/>
        <w:t>Pukehīnau Lambton Ward</w:t>
      </w:r>
    </w:p>
    <w:p w:rsidR="006C62C0" w:rsidRPr="00D5126A" w:rsidRDefault="006C62C0" w:rsidP="006C62C0">
      <w:pPr>
        <w:pStyle w:val="Para026"/>
        <w:spacing w:before="240" w:line="240" w:lineRule="auto"/>
        <w:rPr>
          <w:rStyle w:val="00Text"/>
          <w:rFonts w:ascii="Arial" w:hAnsi="Arial" w:cs="Arial"/>
          <w:b w:val="0"/>
        </w:rPr>
      </w:pPr>
      <w:r w:rsidRPr="00D5126A">
        <w:rPr>
          <w:rStyle w:val="00Text"/>
          <w:rFonts w:ascii="Arial" w:hAnsi="Arial" w:cs="Arial"/>
          <w:b w:val="0"/>
        </w:rPr>
        <w:t xml:space="preserve">Nicola was elected to the Pukehīnau Lambton Ward in 2013. </w:t>
      </w:r>
    </w:p>
    <w:p w:rsidR="006C62C0" w:rsidRPr="00D5126A" w:rsidRDefault="006C62C0" w:rsidP="006C62C0">
      <w:pPr>
        <w:pStyle w:val="Para026"/>
        <w:spacing w:before="240" w:line="240" w:lineRule="auto"/>
        <w:rPr>
          <w:rStyle w:val="00Text"/>
          <w:rFonts w:ascii="Arial" w:hAnsi="Arial" w:cs="Arial"/>
          <w:b w:val="0"/>
        </w:rPr>
      </w:pPr>
      <w:r w:rsidRPr="00D5126A">
        <w:rPr>
          <w:rStyle w:val="00Text"/>
          <w:rFonts w:ascii="Arial" w:hAnsi="Arial" w:cs="Arial"/>
          <w:b w:val="0"/>
        </w:rPr>
        <w:t>She is a member of the Grants Subcommittee.</w:t>
      </w:r>
    </w:p>
    <w:p w:rsidR="006C62C0" w:rsidRPr="00D5126A" w:rsidRDefault="006C62C0" w:rsidP="006C62C0">
      <w:pPr>
        <w:pStyle w:val="Para026"/>
        <w:spacing w:before="240" w:line="240" w:lineRule="auto"/>
        <w:rPr>
          <w:rStyle w:val="00Text"/>
          <w:rFonts w:ascii="Arial" w:hAnsi="Arial" w:cs="Arial"/>
          <w:b w:val="0"/>
        </w:rPr>
      </w:pPr>
      <w:r w:rsidRPr="00D5126A">
        <w:rPr>
          <w:rStyle w:val="00Text"/>
          <w:rFonts w:ascii="Arial" w:hAnsi="Arial" w:cs="Arial"/>
          <w:b w:val="0"/>
        </w:rPr>
        <w:t>She is one of Council’s board members on the Joe Aspell Trust, a representative on LGNZ Zone 4, an alternate representative for the Mayor on the Art Collection Group, and an alternate representative on the Wellington Regional Strategy Committee.</w:t>
      </w:r>
    </w:p>
    <w:p w:rsidR="006C62C0" w:rsidRPr="00D5126A" w:rsidRDefault="006C62C0" w:rsidP="006C62C0">
      <w:pPr>
        <w:pStyle w:val="Para026"/>
        <w:spacing w:before="240" w:line="240" w:lineRule="auto"/>
      </w:pPr>
      <w:r w:rsidRPr="00D5126A">
        <w:rPr>
          <w:rStyle w:val="00Text"/>
          <w:rFonts w:ascii="Arial" w:hAnsi="Arial" w:cs="Arial"/>
        </w:rPr>
        <w:t xml:space="preserve">Portfolio Leader: </w:t>
      </w:r>
      <w:r w:rsidRPr="00D5126A">
        <w:t>Arts and Culture (associate), Central City Projects, Education Partnerships</w:t>
      </w:r>
    </w:p>
    <w:p w:rsidR="009D3428" w:rsidRPr="00D5126A" w:rsidRDefault="006C62C0" w:rsidP="006C62C0">
      <w:r w:rsidRPr="00D5126A">
        <w:rPr>
          <w:rStyle w:val="00Text"/>
          <w:rFonts w:ascii="Arial" w:hAnsi="Arial" w:cs="Arial"/>
        </w:rPr>
        <w:t xml:space="preserve">Contact: </w:t>
      </w:r>
      <w:r w:rsidRPr="00D5126A">
        <w:t>021 654 844</w:t>
      </w:r>
      <w:r w:rsidRPr="00D5126A">
        <w:br/>
        <w:t>nicola.young@wcc.govt.nz</w:t>
      </w:r>
    </w:p>
    <w:p w:rsidR="009D3428" w:rsidRPr="00D5126A" w:rsidRDefault="009D3428" w:rsidP="009D3428">
      <w:pPr>
        <w:sectPr w:rsidR="009D3428" w:rsidRPr="00D5126A" w:rsidSect="009C620A">
          <w:type w:val="continuous"/>
          <w:pgSz w:w="11905" w:h="16837"/>
          <w:pgMar w:top="1276" w:right="1440" w:bottom="1440" w:left="1440" w:header="720" w:footer="562" w:gutter="0"/>
          <w:cols w:num="2" w:space="720"/>
          <w:docGrid w:linePitch="360"/>
        </w:sectPr>
      </w:pPr>
    </w:p>
    <w:p w:rsidR="009D3428" w:rsidRPr="00D5126A" w:rsidRDefault="009D3428" w:rsidP="009D3428">
      <w:pPr>
        <w:rPr>
          <w:caps/>
          <w:spacing w:val="15"/>
        </w:rPr>
      </w:pPr>
      <w:bookmarkStart w:id="337" w:name="_Toc13211810"/>
      <w:bookmarkStart w:id="338" w:name="_Toc14178513"/>
      <w:r w:rsidRPr="00D5126A">
        <w:lastRenderedPageBreak/>
        <w:br w:type="page"/>
      </w:r>
    </w:p>
    <w:p w:rsidR="009D3428" w:rsidRPr="00D5126A" w:rsidRDefault="009D3428" w:rsidP="00AA2122">
      <w:pPr>
        <w:pStyle w:val="Heading3"/>
      </w:pPr>
      <w:bookmarkStart w:id="339" w:name="Council_meeting_attendanceCouncillor_Mee"/>
      <w:bookmarkStart w:id="340" w:name="Council_meeting_attendance"/>
      <w:bookmarkStart w:id="341" w:name="_Toc528234323"/>
      <w:bookmarkStart w:id="342" w:name="_Toc13211812"/>
      <w:bookmarkStart w:id="343" w:name="_Toc14178515"/>
      <w:bookmarkStart w:id="344" w:name="_Toc19085878"/>
      <w:bookmarkEnd w:id="337"/>
      <w:bookmarkEnd w:id="338"/>
      <w:r w:rsidRPr="00D5126A">
        <w:lastRenderedPageBreak/>
        <w:t>Councillor meeting attendance</w:t>
      </w:r>
      <w:bookmarkEnd w:id="339"/>
      <w:bookmarkEnd w:id="340"/>
      <w:bookmarkEnd w:id="341"/>
      <w:bookmarkEnd w:id="342"/>
      <w:bookmarkEnd w:id="343"/>
      <w:bookmarkEnd w:id="344"/>
    </w:p>
    <w:p w:rsidR="009D3428" w:rsidRPr="00D5126A" w:rsidRDefault="009D3428" w:rsidP="009D3428">
      <w:pPr>
        <w:spacing w:after="0"/>
      </w:pPr>
    </w:p>
    <w:tbl>
      <w:tblPr>
        <w:tblStyle w:val="MediumGrid3-Accent6"/>
        <w:tblpPr w:leftFromText="180" w:rightFromText="180" w:vertAnchor="text" w:tblpX="-635" w:tblpY="1"/>
        <w:tblOverlap w:val="never"/>
        <w:tblW w:w="10632" w:type="dxa"/>
        <w:tblLayout w:type="fixed"/>
        <w:tblLook w:val="04A0" w:firstRow="1" w:lastRow="0" w:firstColumn="1" w:lastColumn="0" w:noHBand="0" w:noVBand="1"/>
      </w:tblPr>
      <w:tblGrid>
        <w:gridCol w:w="1418"/>
        <w:gridCol w:w="709"/>
        <w:gridCol w:w="488"/>
        <w:gridCol w:w="646"/>
        <w:gridCol w:w="566"/>
        <w:gridCol w:w="538"/>
        <w:gridCol w:w="739"/>
        <w:gridCol w:w="567"/>
        <w:gridCol w:w="388"/>
        <w:gridCol w:w="462"/>
        <w:gridCol w:w="709"/>
        <w:gridCol w:w="709"/>
        <w:gridCol w:w="708"/>
        <w:gridCol w:w="425"/>
        <w:gridCol w:w="851"/>
        <w:gridCol w:w="709"/>
      </w:tblGrid>
      <w:tr w:rsidR="005D6D1F" w:rsidRPr="00D5126A" w:rsidTr="00107245">
        <w:trPr>
          <w:cnfStyle w:val="100000000000" w:firstRow="1" w:lastRow="0" w:firstColumn="0" w:lastColumn="0" w:oddVBand="0" w:evenVBand="0" w:oddHBand="0" w:evenHBand="0" w:firstRowFirstColumn="0" w:firstRowLastColumn="0" w:lastRowFirstColumn="0" w:lastRowLastColumn="0"/>
          <w:cantSplit/>
          <w:trHeight w:val="3493"/>
        </w:trPr>
        <w:tc>
          <w:tcPr>
            <w:cnfStyle w:val="001000000000" w:firstRow="0" w:lastRow="0" w:firstColumn="1" w:lastColumn="0" w:oddVBand="0" w:evenVBand="0" w:oddHBand="0" w:evenHBand="0" w:firstRowFirstColumn="0" w:firstRowLastColumn="0" w:lastRowFirstColumn="0" w:lastRowLastColumn="0"/>
            <w:tcW w:w="1418" w:type="dxa"/>
            <w:shd w:val="clear" w:color="auto" w:fill="8DB3E2" w:themeFill="text2" w:themeFillTint="66"/>
            <w:noWrap/>
            <w:textDirection w:val="btLr"/>
            <w:hideMark/>
          </w:tcPr>
          <w:p w:rsidR="00107245" w:rsidRPr="00D5126A" w:rsidRDefault="00107245" w:rsidP="00107245">
            <w:pPr>
              <w:ind w:left="113" w:right="113"/>
              <w:jc w:val="center"/>
              <w:rPr>
                <w:rFonts w:ascii="Arial" w:eastAsia="Times New Roman" w:hAnsi="Arial" w:cs="Arial"/>
                <w:color w:val="000000"/>
                <w:sz w:val="20"/>
                <w:lang w:eastAsia="en-NZ"/>
              </w:rPr>
            </w:pPr>
          </w:p>
        </w:tc>
        <w:tc>
          <w:tcPr>
            <w:tcW w:w="709" w:type="dxa"/>
            <w:shd w:val="clear" w:color="auto" w:fill="8DB3E2" w:themeFill="text2" w:themeFillTint="66"/>
            <w:textDirection w:val="btLr"/>
            <w:vAlign w:val="center"/>
            <w:hideMark/>
          </w:tcPr>
          <w:p w:rsidR="00107245" w:rsidRPr="00D5126A" w:rsidRDefault="00107245" w:rsidP="00107245">
            <w:pPr>
              <w:ind w:left="113" w:right="113"/>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lang w:eastAsia="en-NZ"/>
              </w:rPr>
            </w:pPr>
            <w:r w:rsidRPr="00D5126A">
              <w:rPr>
                <w:rFonts w:ascii="Arial" w:eastAsia="Times New Roman" w:hAnsi="Arial" w:cs="Arial"/>
                <w:color w:val="000000"/>
                <w:sz w:val="20"/>
                <w:lang w:eastAsia="en-NZ"/>
              </w:rPr>
              <w:t>Meetings held of which the Councillor is a member</w:t>
            </w:r>
          </w:p>
        </w:tc>
        <w:tc>
          <w:tcPr>
            <w:tcW w:w="1134" w:type="dxa"/>
            <w:gridSpan w:val="2"/>
            <w:shd w:val="clear" w:color="auto" w:fill="8DB3E2" w:themeFill="text2" w:themeFillTint="66"/>
            <w:textDirection w:val="btLr"/>
            <w:vAlign w:val="center"/>
            <w:hideMark/>
          </w:tcPr>
          <w:p w:rsidR="00107245" w:rsidRPr="00D5126A" w:rsidRDefault="00107245" w:rsidP="00107245">
            <w:pPr>
              <w:ind w:left="113" w:right="113"/>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lang w:eastAsia="en-NZ"/>
              </w:rPr>
            </w:pPr>
            <w:r w:rsidRPr="00D5126A">
              <w:rPr>
                <w:rFonts w:ascii="Arial" w:eastAsia="Times New Roman" w:hAnsi="Arial" w:cs="Arial"/>
                <w:color w:val="000000"/>
                <w:sz w:val="20"/>
                <w:lang w:eastAsia="en-NZ"/>
              </w:rPr>
              <w:t xml:space="preserve">Meetings </w:t>
            </w:r>
            <w:r w:rsidRPr="00D5126A">
              <w:rPr>
                <w:rFonts w:ascii="Arial" w:eastAsia="Times New Roman" w:hAnsi="Arial" w:cs="Arial"/>
                <w:color w:val="000000"/>
                <w:sz w:val="20"/>
                <w:lang w:eastAsia="en-NZ"/>
              </w:rPr>
              <w:br/>
              <w:t>Attended</w:t>
            </w:r>
          </w:p>
        </w:tc>
        <w:tc>
          <w:tcPr>
            <w:tcW w:w="566" w:type="dxa"/>
            <w:shd w:val="clear" w:color="auto" w:fill="8DB3E2" w:themeFill="text2" w:themeFillTint="66"/>
            <w:textDirection w:val="btLr"/>
            <w:vAlign w:val="center"/>
            <w:hideMark/>
          </w:tcPr>
          <w:p w:rsidR="00107245" w:rsidRPr="00D5126A" w:rsidRDefault="00107245" w:rsidP="00107245">
            <w:pPr>
              <w:ind w:left="113" w:right="113"/>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lang w:eastAsia="en-NZ"/>
              </w:rPr>
            </w:pPr>
            <w:r w:rsidRPr="00D5126A">
              <w:rPr>
                <w:rFonts w:ascii="Arial" w:eastAsia="Times New Roman" w:hAnsi="Arial" w:cs="Arial"/>
                <w:color w:val="000000"/>
                <w:sz w:val="20"/>
                <w:lang w:eastAsia="en-NZ"/>
              </w:rPr>
              <w:t>Full Council (10)</w:t>
            </w:r>
          </w:p>
        </w:tc>
        <w:tc>
          <w:tcPr>
            <w:tcW w:w="538" w:type="dxa"/>
            <w:shd w:val="clear" w:color="auto" w:fill="8DB3E2" w:themeFill="text2" w:themeFillTint="66"/>
            <w:textDirection w:val="btLr"/>
            <w:vAlign w:val="center"/>
            <w:hideMark/>
          </w:tcPr>
          <w:p w:rsidR="00107245" w:rsidRPr="00D5126A" w:rsidRDefault="00107245" w:rsidP="00107245">
            <w:pPr>
              <w:ind w:left="113" w:right="113"/>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lang w:eastAsia="en-NZ"/>
              </w:rPr>
            </w:pPr>
            <w:r w:rsidRPr="00D5126A">
              <w:rPr>
                <w:rFonts w:ascii="Arial" w:eastAsia="Times New Roman" w:hAnsi="Arial" w:cs="Arial"/>
                <w:color w:val="000000"/>
                <w:sz w:val="20"/>
                <w:lang w:eastAsia="en-NZ"/>
              </w:rPr>
              <w:t>City Strategy Committee (27)</w:t>
            </w:r>
          </w:p>
        </w:tc>
        <w:tc>
          <w:tcPr>
            <w:tcW w:w="739" w:type="dxa"/>
            <w:shd w:val="clear" w:color="auto" w:fill="8DB3E2" w:themeFill="text2" w:themeFillTint="66"/>
            <w:textDirection w:val="btLr"/>
            <w:vAlign w:val="center"/>
            <w:hideMark/>
          </w:tcPr>
          <w:p w:rsidR="00107245" w:rsidRPr="00D5126A" w:rsidRDefault="00107245" w:rsidP="00107245">
            <w:pPr>
              <w:ind w:left="113" w:right="113"/>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lang w:eastAsia="en-NZ"/>
              </w:rPr>
            </w:pPr>
            <w:r w:rsidRPr="00D5126A">
              <w:rPr>
                <w:rFonts w:ascii="Arial" w:eastAsia="Times New Roman" w:hAnsi="Arial" w:cs="Arial"/>
                <w:color w:val="000000"/>
                <w:sz w:val="20"/>
                <w:lang w:eastAsia="en-NZ"/>
              </w:rPr>
              <w:t>Long-term and Annual Plan Committee (5)</w:t>
            </w:r>
          </w:p>
        </w:tc>
        <w:tc>
          <w:tcPr>
            <w:tcW w:w="567" w:type="dxa"/>
            <w:shd w:val="clear" w:color="auto" w:fill="8DB3E2" w:themeFill="text2" w:themeFillTint="66"/>
            <w:textDirection w:val="btLr"/>
            <w:vAlign w:val="center"/>
            <w:hideMark/>
          </w:tcPr>
          <w:p w:rsidR="00107245" w:rsidRPr="00D5126A" w:rsidRDefault="00107245" w:rsidP="00107245">
            <w:pPr>
              <w:ind w:left="113" w:right="113"/>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lang w:eastAsia="en-NZ"/>
              </w:rPr>
            </w:pPr>
            <w:r w:rsidRPr="00D5126A">
              <w:rPr>
                <w:rFonts w:ascii="Arial" w:eastAsia="Times New Roman" w:hAnsi="Arial" w:cs="Arial"/>
                <w:color w:val="000000"/>
                <w:sz w:val="20"/>
                <w:lang w:eastAsia="en-NZ"/>
              </w:rPr>
              <w:t>Regulatory Processes (13)</w:t>
            </w:r>
          </w:p>
        </w:tc>
        <w:tc>
          <w:tcPr>
            <w:tcW w:w="388" w:type="dxa"/>
            <w:shd w:val="clear" w:color="auto" w:fill="8DB3E2" w:themeFill="text2" w:themeFillTint="66"/>
            <w:textDirection w:val="btLr"/>
            <w:vAlign w:val="center"/>
            <w:hideMark/>
          </w:tcPr>
          <w:p w:rsidR="00107245" w:rsidRPr="00D5126A" w:rsidRDefault="00107245" w:rsidP="00107245">
            <w:pPr>
              <w:ind w:left="113" w:right="113"/>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lang w:eastAsia="en-NZ"/>
              </w:rPr>
            </w:pPr>
            <w:r w:rsidRPr="00D5126A">
              <w:rPr>
                <w:rFonts w:ascii="Arial" w:eastAsia="Times New Roman" w:hAnsi="Arial" w:cs="Arial"/>
                <w:color w:val="000000"/>
                <w:sz w:val="20"/>
                <w:lang w:eastAsia="en-NZ"/>
              </w:rPr>
              <w:t>CEO Performance Review (4)</w:t>
            </w:r>
          </w:p>
        </w:tc>
        <w:tc>
          <w:tcPr>
            <w:tcW w:w="462" w:type="dxa"/>
            <w:shd w:val="clear" w:color="auto" w:fill="8DB3E2" w:themeFill="text2" w:themeFillTint="66"/>
            <w:textDirection w:val="btLr"/>
            <w:vAlign w:val="center"/>
            <w:hideMark/>
          </w:tcPr>
          <w:p w:rsidR="00107245" w:rsidRPr="00D5126A" w:rsidRDefault="00107245" w:rsidP="00107245">
            <w:pPr>
              <w:ind w:left="113" w:right="113"/>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lang w:eastAsia="en-NZ"/>
              </w:rPr>
            </w:pPr>
            <w:r w:rsidRPr="00D5126A">
              <w:rPr>
                <w:rFonts w:ascii="Arial" w:eastAsia="Times New Roman" w:hAnsi="Arial" w:cs="Arial"/>
                <w:color w:val="000000"/>
                <w:sz w:val="20"/>
                <w:lang w:eastAsia="en-NZ"/>
              </w:rPr>
              <w:t>District Licensing Committee (8)</w:t>
            </w:r>
          </w:p>
        </w:tc>
        <w:tc>
          <w:tcPr>
            <w:tcW w:w="709" w:type="dxa"/>
            <w:shd w:val="clear" w:color="auto" w:fill="8DB3E2" w:themeFill="text2" w:themeFillTint="66"/>
            <w:textDirection w:val="btLr"/>
            <w:vAlign w:val="center"/>
            <w:hideMark/>
          </w:tcPr>
          <w:p w:rsidR="00107245" w:rsidRPr="00D5126A" w:rsidRDefault="00107245" w:rsidP="00107245">
            <w:pPr>
              <w:ind w:left="113" w:right="113"/>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lang w:eastAsia="en-NZ"/>
              </w:rPr>
            </w:pPr>
            <w:r w:rsidRPr="00D5126A">
              <w:rPr>
                <w:rFonts w:ascii="Arial" w:eastAsia="Times New Roman" w:hAnsi="Arial" w:cs="Arial"/>
                <w:color w:val="000000"/>
                <w:sz w:val="20"/>
                <w:lang w:eastAsia="en-NZ"/>
              </w:rPr>
              <w:t>Council Controlled Organisations Subcommittee (3)</w:t>
            </w:r>
          </w:p>
        </w:tc>
        <w:tc>
          <w:tcPr>
            <w:tcW w:w="709" w:type="dxa"/>
            <w:shd w:val="clear" w:color="auto" w:fill="8DB3E2" w:themeFill="text2" w:themeFillTint="66"/>
            <w:textDirection w:val="btLr"/>
            <w:vAlign w:val="center"/>
            <w:hideMark/>
          </w:tcPr>
          <w:p w:rsidR="00107245" w:rsidRPr="00D5126A" w:rsidRDefault="00107245" w:rsidP="00107245">
            <w:pPr>
              <w:ind w:left="113" w:right="113"/>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lang w:eastAsia="en-NZ"/>
              </w:rPr>
            </w:pPr>
            <w:r w:rsidRPr="00D5126A">
              <w:rPr>
                <w:rFonts w:ascii="Arial" w:eastAsia="Times New Roman" w:hAnsi="Arial" w:cs="Arial"/>
                <w:color w:val="000000"/>
                <w:sz w:val="20"/>
                <w:lang w:eastAsia="en-NZ"/>
              </w:rPr>
              <w:t>Finance, Audit &amp; Risk </w:t>
            </w:r>
            <w:r w:rsidRPr="00D5126A">
              <w:rPr>
                <w:rFonts w:ascii="Arial" w:eastAsia="Times New Roman" w:hAnsi="Arial" w:cs="Arial"/>
                <w:color w:val="000000"/>
                <w:sz w:val="20"/>
                <w:lang w:eastAsia="en-NZ"/>
              </w:rPr>
              <w:br/>
              <w:t>Subcommittee (4)</w:t>
            </w:r>
          </w:p>
        </w:tc>
        <w:tc>
          <w:tcPr>
            <w:tcW w:w="708" w:type="dxa"/>
            <w:shd w:val="clear" w:color="auto" w:fill="8DB3E2" w:themeFill="text2" w:themeFillTint="66"/>
            <w:textDirection w:val="btLr"/>
            <w:vAlign w:val="center"/>
            <w:hideMark/>
          </w:tcPr>
          <w:p w:rsidR="00107245" w:rsidRPr="00D5126A" w:rsidRDefault="00107245" w:rsidP="00107245">
            <w:pPr>
              <w:ind w:left="113" w:right="113"/>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lang w:eastAsia="en-NZ"/>
              </w:rPr>
            </w:pPr>
            <w:r w:rsidRPr="00D5126A">
              <w:rPr>
                <w:rFonts w:ascii="Arial" w:eastAsia="Times New Roman" w:hAnsi="Arial" w:cs="Arial"/>
                <w:color w:val="000000"/>
                <w:sz w:val="20"/>
                <w:lang w:eastAsia="en-NZ"/>
              </w:rPr>
              <w:t>Outer Green Belt Management Plan Hearings Subcommittee (2)</w:t>
            </w:r>
          </w:p>
        </w:tc>
        <w:tc>
          <w:tcPr>
            <w:tcW w:w="425" w:type="dxa"/>
            <w:shd w:val="clear" w:color="auto" w:fill="8DB3E2" w:themeFill="text2" w:themeFillTint="66"/>
            <w:textDirection w:val="btLr"/>
            <w:vAlign w:val="center"/>
            <w:hideMark/>
          </w:tcPr>
          <w:p w:rsidR="00107245" w:rsidRPr="00D5126A" w:rsidRDefault="00107245" w:rsidP="00107245">
            <w:pPr>
              <w:ind w:left="113" w:right="113"/>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lang w:eastAsia="en-NZ"/>
              </w:rPr>
            </w:pPr>
            <w:r w:rsidRPr="00D5126A">
              <w:rPr>
                <w:rFonts w:ascii="Arial" w:eastAsia="Times New Roman" w:hAnsi="Arial" w:cs="Arial"/>
                <w:color w:val="000000"/>
                <w:sz w:val="20"/>
                <w:lang w:eastAsia="en-NZ"/>
              </w:rPr>
              <w:t>Grants Subcommittee (8)</w:t>
            </w:r>
          </w:p>
        </w:tc>
        <w:tc>
          <w:tcPr>
            <w:tcW w:w="851" w:type="dxa"/>
            <w:shd w:val="clear" w:color="auto" w:fill="8DB3E2" w:themeFill="text2" w:themeFillTint="66"/>
            <w:textDirection w:val="btLr"/>
            <w:vAlign w:val="center"/>
            <w:hideMark/>
          </w:tcPr>
          <w:p w:rsidR="00107245" w:rsidRPr="00D5126A" w:rsidRDefault="00107245" w:rsidP="00107245">
            <w:pPr>
              <w:ind w:left="113" w:right="113"/>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lang w:eastAsia="en-NZ"/>
              </w:rPr>
            </w:pPr>
            <w:r w:rsidRPr="00D5126A">
              <w:rPr>
                <w:rFonts w:ascii="Arial" w:eastAsia="Times New Roman" w:hAnsi="Arial" w:cs="Arial"/>
                <w:color w:val="000000"/>
                <w:sz w:val="20"/>
                <w:lang w:eastAsia="en-NZ"/>
              </w:rPr>
              <w:t>Wellington Region Waste Management and Minimisation Plan (joint committee) (1)</w:t>
            </w:r>
          </w:p>
        </w:tc>
        <w:tc>
          <w:tcPr>
            <w:tcW w:w="709" w:type="dxa"/>
            <w:shd w:val="clear" w:color="auto" w:fill="8DB3E2" w:themeFill="text2" w:themeFillTint="66"/>
            <w:textDirection w:val="btLr"/>
            <w:vAlign w:val="center"/>
            <w:hideMark/>
          </w:tcPr>
          <w:p w:rsidR="00107245" w:rsidRPr="00D5126A" w:rsidRDefault="00107245" w:rsidP="00107245">
            <w:pPr>
              <w:ind w:left="113" w:right="113"/>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lang w:eastAsia="en-NZ"/>
              </w:rPr>
            </w:pPr>
            <w:r w:rsidRPr="00D5126A">
              <w:rPr>
                <w:rFonts w:ascii="Arial" w:eastAsia="Times New Roman" w:hAnsi="Arial" w:cs="Arial"/>
                <w:color w:val="000000"/>
                <w:sz w:val="20"/>
                <w:lang w:eastAsia="en-NZ"/>
              </w:rPr>
              <w:t>Wellington Regional Amenities Fund (joint committee) (2)</w:t>
            </w:r>
          </w:p>
        </w:tc>
      </w:tr>
      <w:tr w:rsidR="005D6D1F" w:rsidRPr="00D5126A" w:rsidTr="00107245">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418" w:type="dxa"/>
            <w:shd w:val="clear" w:color="auto" w:fill="8DB3E2" w:themeFill="text2" w:themeFillTint="66"/>
            <w:noWrap/>
            <w:hideMark/>
          </w:tcPr>
          <w:p w:rsidR="00107245" w:rsidRPr="00D5126A" w:rsidRDefault="00107245" w:rsidP="00107245">
            <w:pPr>
              <w:rPr>
                <w:rFonts w:ascii="Arial" w:eastAsia="Times New Roman" w:hAnsi="Arial" w:cs="Arial"/>
                <w:color w:val="000000"/>
                <w:sz w:val="20"/>
                <w:lang w:eastAsia="en-NZ"/>
              </w:rPr>
            </w:pPr>
            <w:r w:rsidRPr="00D5126A">
              <w:rPr>
                <w:rFonts w:ascii="Arial" w:eastAsia="Times New Roman" w:hAnsi="Arial" w:cs="Arial"/>
                <w:color w:val="000000"/>
                <w:sz w:val="20"/>
                <w:lang w:eastAsia="en-NZ"/>
              </w:rPr>
              <w:t>Mayor Justin Lester</w:t>
            </w:r>
          </w:p>
        </w:tc>
        <w:tc>
          <w:tcPr>
            <w:tcW w:w="709" w:type="dxa"/>
            <w:shd w:val="clear" w:color="auto" w:fill="FFFFFF" w:themeFill="background1"/>
            <w:noWrap/>
            <w:hideMark/>
          </w:tcPr>
          <w:p w:rsidR="00107245" w:rsidRPr="00D5126A" w:rsidRDefault="00107245" w:rsidP="0010724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lang w:eastAsia="en-NZ"/>
              </w:rPr>
            </w:pPr>
            <w:r w:rsidRPr="00D5126A">
              <w:rPr>
                <w:rFonts w:ascii="Arial" w:eastAsia="Times New Roman" w:hAnsi="Arial" w:cs="Arial"/>
                <w:color w:val="000000"/>
                <w:sz w:val="20"/>
                <w:lang w:eastAsia="en-NZ"/>
              </w:rPr>
              <w:t>78</w:t>
            </w:r>
          </w:p>
        </w:tc>
        <w:tc>
          <w:tcPr>
            <w:tcW w:w="488" w:type="dxa"/>
            <w:shd w:val="clear" w:color="auto" w:fill="FFFFFF" w:themeFill="background1"/>
            <w:noWrap/>
            <w:hideMark/>
          </w:tcPr>
          <w:p w:rsidR="00107245" w:rsidRPr="00D5126A" w:rsidRDefault="00107245" w:rsidP="0010724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lang w:eastAsia="en-NZ"/>
              </w:rPr>
            </w:pPr>
            <w:r w:rsidRPr="00D5126A">
              <w:rPr>
                <w:rFonts w:ascii="Arial" w:eastAsia="Times New Roman" w:hAnsi="Arial" w:cs="Arial"/>
                <w:color w:val="000000"/>
                <w:sz w:val="20"/>
                <w:lang w:eastAsia="en-NZ"/>
              </w:rPr>
              <w:t>70</w:t>
            </w:r>
          </w:p>
        </w:tc>
        <w:tc>
          <w:tcPr>
            <w:tcW w:w="646" w:type="dxa"/>
            <w:shd w:val="clear" w:color="auto" w:fill="FFFFFF" w:themeFill="background1"/>
            <w:noWrap/>
            <w:hideMark/>
          </w:tcPr>
          <w:p w:rsidR="00107245" w:rsidRPr="00D5126A" w:rsidRDefault="00107245" w:rsidP="0010724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lang w:eastAsia="en-NZ"/>
              </w:rPr>
            </w:pPr>
            <w:r w:rsidRPr="00D5126A">
              <w:rPr>
                <w:rFonts w:ascii="Arial" w:eastAsia="Times New Roman" w:hAnsi="Arial" w:cs="Arial"/>
                <w:color w:val="000000"/>
                <w:sz w:val="20"/>
                <w:lang w:eastAsia="en-NZ"/>
              </w:rPr>
              <w:t>90%</w:t>
            </w:r>
          </w:p>
        </w:tc>
        <w:tc>
          <w:tcPr>
            <w:tcW w:w="566" w:type="dxa"/>
            <w:shd w:val="clear" w:color="auto" w:fill="FFFFFF" w:themeFill="background1"/>
            <w:noWrap/>
            <w:hideMark/>
          </w:tcPr>
          <w:p w:rsidR="00107245" w:rsidRPr="00D5126A" w:rsidRDefault="00107245" w:rsidP="0010724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lang w:eastAsia="en-NZ"/>
              </w:rPr>
            </w:pPr>
            <w:r w:rsidRPr="00D5126A">
              <w:rPr>
                <w:rFonts w:ascii="Arial" w:eastAsia="Times New Roman" w:hAnsi="Arial" w:cs="Arial"/>
                <w:color w:val="000000"/>
                <w:sz w:val="20"/>
                <w:lang w:eastAsia="en-NZ"/>
              </w:rPr>
              <w:t>10</w:t>
            </w:r>
          </w:p>
        </w:tc>
        <w:tc>
          <w:tcPr>
            <w:tcW w:w="538" w:type="dxa"/>
            <w:shd w:val="clear" w:color="auto" w:fill="FFFFFF" w:themeFill="background1"/>
            <w:noWrap/>
            <w:hideMark/>
          </w:tcPr>
          <w:p w:rsidR="00107245" w:rsidRPr="00D5126A" w:rsidRDefault="00107245" w:rsidP="0010724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lang w:eastAsia="en-NZ"/>
              </w:rPr>
            </w:pPr>
            <w:r w:rsidRPr="00D5126A">
              <w:rPr>
                <w:rFonts w:ascii="Arial" w:eastAsia="Times New Roman" w:hAnsi="Arial" w:cs="Arial"/>
                <w:color w:val="000000"/>
                <w:sz w:val="20"/>
                <w:lang w:eastAsia="en-NZ"/>
              </w:rPr>
              <w:t>26</w:t>
            </w:r>
          </w:p>
        </w:tc>
        <w:tc>
          <w:tcPr>
            <w:tcW w:w="739" w:type="dxa"/>
            <w:shd w:val="clear" w:color="auto" w:fill="FFFFFF" w:themeFill="background1"/>
            <w:noWrap/>
            <w:hideMark/>
          </w:tcPr>
          <w:p w:rsidR="00107245" w:rsidRPr="00D5126A" w:rsidRDefault="00107245" w:rsidP="0010724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lang w:eastAsia="en-NZ"/>
              </w:rPr>
            </w:pPr>
            <w:r w:rsidRPr="00D5126A">
              <w:rPr>
                <w:rFonts w:ascii="Arial" w:eastAsia="Times New Roman" w:hAnsi="Arial" w:cs="Arial"/>
                <w:color w:val="000000"/>
                <w:sz w:val="20"/>
                <w:lang w:eastAsia="en-NZ"/>
              </w:rPr>
              <w:t>5</w:t>
            </w:r>
          </w:p>
        </w:tc>
        <w:tc>
          <w:tcPr>
            <w:tcW w:w="567" w:type="dxa"/>
            <w:shd w:val="clear" w:color="auto" w:fill="FFFFFF" w:themeFill="background1"/>
            <w:noWrap/>
            <w:hideMark/>
          </w:tcPr>
          <w:p w:rsidR="00107245" w:rsidRPr="00D5126A" w:rsidRDefault="00107245" w:rsidP="0010724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lang w:eastAsia="en-NZ"/>
              </w:rPr>
            </w:pPr>
            <w:r w:rsidRPr="00D5126A">
              <w:rPr>
                <w:rFonts w:ascii="Arial" w:eastAsia="Times New Roman" w:hAnsi="Arial" w:cs="Arial"/>
                <w:color w:val="000000"/>
                <w:sz w:val="20"/>
                <w:lang w:eastAsia="en-NZ"/>
              </w:rPr>
              <w:t>9</w:t>
            </w:r>
          </w:p>
        </w:tc>
        <w:tc>
          <w:tcPr>
            <w:tcW w:w="388" w:type="dxa"/>
            <w:shd w:val="clear" w:color="auto" w:fill="FFFFFF" w:themeFill="background1"/>
            <w:noWrap/>
            <w:hideMark/>
          </w:tcPr>
          <w:p w:rsidR="00107245" w:rsidRPr="00D5126A" w:rsidRDefault="00107245" w:rsidP="0010724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lang w:eastAsia="en-NZ"/>
              </w:rPr>
            </w:pPr>
            <w:r w:rsidRPr="00D5126A">
              <w:rPr>
                <w:rFonts w:ascii="Arial" w:eastAsia="Times New Roman" w:hAnsi="Arial" w:cs="Arial"/>
                <w:color w:val="000000"/>
                <w:sz w:val="20"/>
                <w:lang w:eastAsia="en-NZ"/>
              </w:rPr>
              <w:t>4</w:t>
            </w:r>
          </w:p>
        </w:tc>
        <w:tc>
          <w:tcPr>
            <w:tcW w:w="462" w:type="dxa"/>
            <w:shd w:val="clear" w:color="auto" w:fill="FFFFFF" w:themeFill="background1"/>
            <w:noWrap/>
            <w:hideMark/>
          </w:tcPr>
          <w:p w:rsidR="00107245" w:rsidRPr="00D5126A" w:rsidRDefault="00107245" w:rsidP="0010724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lang w:eastAsia="en-NZ"/>
              </w:rPr>
            </w:pPr>
            <w:r w:rsidRPr="00D5126A">
              <w:rPr>
                <w:rFonts w:ascii="Arial" w:eastAsia="Times New Roman" w:hAnsi="Arial" w:cs="Arial"/>
                <w:color w:val="000000"/>
                <w:sz w:val="20"/>
                <w:lang w:eastAsia="en-NZ"/>
              </w:rPr>
              <w:t> </w:t>
            </w:r>
          </w:p>
        </w:tc>
        <w:tc>
          <w:tcPr>
            <w:tcW w:w="709" w:type="dxa"/>
            <w:shd w:val="clear" w:color="auto" w:fill="FFFFFF" w:themeFill="background1"/>
            <w:noWrap/>
            <w:hideMark/>
          </w:tcPr>
          <w:p w:rsidR="00107245" w:rsidRPr="00D5126A" w:rsidRDefault="00107245" w:rsidP="0010724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lang w:eastAsia="en-NZ"/>
              </w:rPr>
            </w:pPr>
            <w:r w:rsidRPr="00D5126A">
              <w:rPr>
                <w:rFonts w:ascii="Arial" w:eastAsia="Times New Roman" w:hAnsi="Arial" w:cs="Arial"/>
                <w:color w:val="000000"/>
                <w:sz w:val="20"/>
                <w:lang w:eastAsia="en-NZ"/>
              </w:rPr>
              <w:t>2</w:t>
            </w:r>
          </w:p>
        </w:tc>
        <w:tc>
          <w:tcPr>
            <w:tcW w:w="709" w:type="dxa"/>
            <w:shd w:val="clear" w:color="auto" w:fill="FFFFFF" w:themeFill="background1"/>
            <w:noWrap/>
            <w:hideMark/>
          </w:tcPr>
          <w:p w:rsidR="00107245" w:rsidRPr="00D5126A" w:rsidRDefault="00107245" w:rsidP="0010724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lang w:eastAsia="en-NZ"/>
              </w:rPr>
            </w:pPr>
            <w:r w:rsidRPr="00D5126A">
              <w:rPr>
                <w:rFonts w:ascii="Arial" w:eastAsia="Times New Roman" w:hAnsi="Arial" w:cs="Arial"/>
                <w:color w:val="000000"/>
                <w:sz w:val="20"/>
                <w:lang w:eastAsia="en-NZ"/>
              </w:rPr>
              <w:t>3</w:t>
            </w:r>
          </w:p>
        </w:tc>
        <w:tc>
          <w:tcPr>
            <w:tcW w:w="708" w:type="dxa"/>
            <w:shd w:val="clear" w:color="auto" w:fill="FFFFFF" w:themeFill="background1"/>
            <w:noWrap/>
            <w:hideMark/>
          </w:tcPr>
          <w:p w:rsidR="00107245" w:rsidRPr="00D5126A" w:rsidRDefault="00107245" w:rsidP="0010724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lang w:eastAsia="en-NZ"/>
              </w:rPr>
            </w:pPr>
            <w:r w:rsidRPr="00D5126A">
              <w:rPr>
                <w:rFonts w:ascii="Arial" w:eastAsia="Times New Roman" w:hAnsi="Arial" w:cs="Arial"/>
                <w:color w:val="000000"/>
                <w:sz w:val="20"/>
                <w:lang w:eastAsia="en-NZ"/>
              </w:rPr>
              <w:t>2</w:t>
            </w:r>
          </w:p>
        </w:tc>
        <w:tc>
          <w:tcPr>
            <w:tcW w:w="425" w:type="dxa"/>
            <w:shd w:val="clear" w:color="auto" w:fill="FFFFFF" w:themeFill="background1"/>
            <w:noWrap/>
            <w:hideMark/>
          </w:tcPr>
          <w:p w:rsidR="00107245" w:rsidRPr="00D5126A" w:rsidRDefault="00107245" w:rsidP="0010724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lang w:eastAsia="en-NZ"/>
              </w:rPr>
            </w:pPr>
            <w:r w:rsidRPr="00D5126A">
              <w:rPr>
                <w:rFonts w:ascii="Arial" w:eastAsia="Times New Roman" w:hAnsi="Arial" w:cs="Arial"/>
                <w:color w:val="000000"/>
                <w:sz w:val="20"/>
                <w:lang w:eastAsia="en-NZ"/>
              </w:rPr>
              <w:t>7</w:t>
            </w:r>
          </w:p>
        </w:tc>
        <w:tc>
          <w:tcPr>
            <w:tcW w:w="851" w:type="dxa"/>
            <w:shd w:val="clear" w:color="auto" w:fill="FFFFFF" w:themeFill="background1"/>
            <w:noWrap/>
            <w:hideMark/>
          </w:tcPr>
          <w:p w:rsidR="00107245" w:rsidRPr="00D5126A" w:rsidRDefault="00107245" w:rsidP="0010724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lang w:eastAsia="en-NZ"/>
              </w:rPr>
            </w:pPr>
            <w:r w:rsidRPr="00D5126A">
              <w:rPr>
                <w:rFonts w:ascii="Arial" w:eastAsia="Times New Roman" w:hAnsi="Arial" w:cs="Arial"/>
                <w:color w:val="000000"/>
                <w:sz w:val="20"/>
                <w:lang w:eastAsia="en-NZ"/>
              </w:rPr>
              <w:t> </w:t>
            </w:r>
          </w:p>
        </w:tc>
        <w:tc>
          <w:tcPr>
            <w:tcW w:w="709" w:type="dxa"/>
            <w:shd w:val="clear" w:color="auto" w:fill="FFFFFF" w:themeFill="background1"/>
            <w:noWrap/>
            <w:hideMark/>
          </w:tcPr>
          <w:p w:rsidR="00107245" w:rsidRPr="00D5126A" w:rsidRDefault="00107245" w:rsidP="0010724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lang w:eastAsia="en-NZ"/>
              </w:rPr>
            </w:pPr>
            <w:r w:rsidRPr="00D5126A">
              <w:rPr>
                <w:rFonts w:ascii="Arial" w:eastAsia="Times New Roman" w:hAnsi="Arial" w:cs="Arial"/>
                <w:color w:val="000000"/>
                <w:sz w:val="20"/>
                <w:lang w:eastAsia="en-NZ"/>
              </w:rPr>
              <w:t>2</w:t>
            </w:r>
          </w:p>
        </w:tc>
      </w:tr>
      <w:tr w:rsidR="005D6D1F" w:rsidRPr="00D5126A" w:rsidTr="00107245">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418" w:type="dxa"/>
            <w:shd w:val="clear" w:color="auto" w:fill="8DB3E2" w:themeFill="text2" w:themeFillTint="66"/>
            <w:noWrap/>
            <w:hideMark/>
          </w:tcPr>
          <w:p w:rsidR="00107245" w:rsidRPr="00D5126A" w:rsidRDefault="00107245" w:rsidP="00107245">
            <w:pPr>
              <w:rPr>
                <w:rFonts w:ascii="Arial" w:eastAsia="Times New Roman" w:hAnsi="Arial" w:cs="Arial"/>
                <w:color w:val="000000"/>
                <w:sz w:val="20"/>
                <w:lang w:eastAsia="en-NZ"/>
              </w:rPr>
            </w:pPr>
            <w:r w:rsidRPr="00D5126A">
              <w:rPr>
                <w:rFonts w:ascii="Arial" w:eastAsia="Times New Roman" w:hAnsi="Arial" w:cs="Arial"/>
                <w:color w:val="000000"/>
                <w:sz w:val="20"/>
                <w:lang w:eastAsia="en-NZ"/>
              </w:rPr>
              <w:t>Diane Calvert</w:t>
            </w:r>
          </w:p>
        </w:tc>
        <w:tc>
          <w:tcPr>
            <w:tcW w:w="709" w:type="dxa"/>
            <w:shd w:val="clear" w:color="auto" w:fill="FFFFFF" w:themeFill="background1"/>
            <w:noWrap/>
            <w:hideMark/>
          </w:tcPr>
          <w:p w:rsidR="00107245" w:rsidRPr="00D5126A" w:rsidRDefault="00107245" w:rsidP="00107245">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20"/>
                <w:lang w:eastAsia="en-NZ"/>
              </w:rPr>
            </w:pPr>
            <w:r w:rsidRPr="00D5126A">
              <w:rPr>
                <w:rFonts w:ascii="Arial" w:eastAsia="Times New Roman" w:hAnsi="Arial" w:cs="Arial"/>
                <w:color w:val="000000"/>
                <w:sz w:val="20"/>
                <w:lang w:eastAsia="en-NZ"/>
              </w:rPr>
              <w:t>65</w:t>
            </w:r>
          </w:p>
        </w:tc>
        <w:tc>
          <w:tcPr>
            <w:tcW w:w="488" w:type="dxa"/>
            <w:shd w:val="clear" w:color="auto" w:fill="FFFFFF" w:themeFill="background1"/>
            <w:noWrap/>
            <w:hideMark/>
          </w:tcPr>
          <w:p w:rsidR="00107245" w:rsidRPr="00D5126A" w:rsidRDefault="00107245" w:rsidP="00107245">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20"/>
                <w:lang w:eastAsia="en-NZ"/>
              </w:rPr>
            </w:pPr>
            <w:r w:rsidRPr="00D5126A">
              <w:rPr>
                <w:rFonts w:ascii="Arial" w:eastAsia="Times New Roman" w:hAnsi="Arial" w:cs="Arial"/>
                <w:color w:val="000000"/>
                <w:sz w:val="20"/>
                <w:lang w:eastAsia="en-NZ"/>
              </w:rPr>
              <w:t>57</w:t>
            </w:r>
          </w:p>
        </w:tc>
        <w:tc>
          <w:tcPr>
            <w:tcW w:w="646" w:type="dxa"/>
            <w:shd w:val="clear" w:color="auto" w:fill="FFFFFF" w:themeFill="background1"/>
            <w:noWrap/>
            <w:hideMark/>
          </w:tcPr>
          <w:p w:rsidR="00107245" w:rsidRPr="00D5126A" w:rsidRDefault="00107245" w:rsidP="00107245">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20"/>
                <w:lang w:eastAsia="en-NZ"/>
              </w:rPr>
            </w:pPr>
            <w:r w:rsidRPr="00D5126A">
              <w:rPr>
                <w:rFonts w:ascii="Arial" w:eastAsia="Times New Roman" w:hAnsi="Arial" w:cs="Arial"/>
                <w:color w:val="000000"/>
                <w:sz w:val="20"/>
                <w:lang w:eastAsia="en-NZ"/>
              </w:rPr>
              <w:t>88%</w:t>
            </w:r>
          </w:p>
        </w:tc>
        <w:tc>
          <w:tcPr>
            <w:tcW w:w="566" w:type="dxa"/>
            <w:shd w:val="clear" w:color="auto" w:fill="FFFFFF" w:themeFill="background1"/>
            <w:noWrap/>
            <w:hideMark/>
          </w:tcPr>
          <w:p w:rsidR="00107245" w:rsidRPr="00D5126A" w:rsidRDefault="00107245" w:rsidP="00107245">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20"/>
                <w:lang w:eastAsia="en-NZ"/>
              </w:rPr>
            </w:pPr>
            <w:r w:rsidRPr="00D5126A">
              <w:rPr>
                <w:rFonts w:ascii="Arial" w:eastAsia="Times New Roman" w:hAnsi="Arial" w:cs="Arial"/>
                <w:color w:val="000000"/>
                <w:sz w:val="20"/>
                <w:lang w:eastAsia="en-NZ"/>
              </w:rPr>
              <w:t>9</w:t>
            </w:r>
          </w:p>
        </w:tc>
        <w:tc>
          <w:tcPr>
            <w:tcW w:w="538" w:type="dxa"/>
            <w:shd w:val="clear" w:color="auto" w:fill="FFFFFF" w:themeFill="background1"/>
            <w:noWrap/>
            <w:hideMark/>
          </w:tcPr>
          <w:p w:rsidR="00107245" w:rsidRPr="00D5126A" w:rsidRDefault="00107245" w:rsidP="00107245">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20"/>
                <w:lang w:eastAsia="en-NZ"/>
              </w:rPr>
            </w:pPr>
            <w:r w:rsidRPr="00D5126A">
              <w:rPr>
                <w:rFonts w:ascii="Arial" w:eastAsia="Times New Roman" w:hAnsi="Arial" w:cs="Arial"/>
                <w:color w:val="000000"/>
                <w:sz w:val="20"/>
                <w:lang w:eastAsia="en-NZ"/>
              </w:rPr>
              <w:t>24</w:t>
            </w:r>
          </w:p>
        </w:tc>
        <w:tc>
          <w:tcPr>
            <w:tcW w:w="739" w:type="dxa"/>
            <w:shd w:val="clear" w:color="auto" w:fill="FFFFFF" w:themeFill="background1"/>
            <w:noWrap/>
            <w:hideMark/>
          </w:tcPr>
          <w:p w:rsidR="00107245" w:rsidRPr="00D5126A" w:rsidRDefault="00107245" w:rsidP="00107245">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20"/>
                <w:lang w:eastAsia="en-NZ"/>
              </w:rPr>
            </w:pPr>
            <w:r w:rsidRPr="00D5126A">
              <w:rPr>
                <w:rFonts w:ascii="Arial" w:eastAsia="Times New Roman" w:hAnsi="Arial" w:cs="Arial"/>
                <w:color w:val="000000"/>
                <w:sz w:val="20"/>
                <w:lang w:eastAsia="en-NZ"/>
              </w:rPr>
              <w:t>5</w:t>
            </w:r>
          </w:p>
        </w:tc>
        <w:tc>
          <w:tcPr>
            <w:tcW w:w="567" w:type="dxa"/>
            <w:shd w:val="clear" w:color="auto" w:fill="FFFFFF" w:themeFill="background1"/>
            <w:noWrap/>
            <w:hideMark/>
          </w:tcPr>
          <w:p w:rsidR="00107245" w:rsidRPr="00D5126A" w:rsidRDefault="00107245" w:rsidP="00107245">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20"/>
                <w:lang w:eastAsia="en-NZ"/>
              </w:rPr>
            </w:pPr>
            <w:r w:rsidRPr="00D5126A">
              <w:rPr>
                <w:rFonts w:ascii="Arial" w:eastAsia="Times New Roman" w:hAnsi="Arial" w:cs="Arial"/>
                <w:color w:val="000000"/>
                <w:sz w:val="20"/>
                <w:lang w:eastAsia="en-NZ"/>
              </w:rPr>
              <w:t>10</w:t>
            </w:r>
          </w:p>
        </w:tc>
        <w:tc>
          <w:tcPr>
            <w:tcW w:w="388" w:type="dxa"/>
            <w:shd w:val="clear" w:color="auto" w:fill="FFFFFF" w:themeFill="background1"/>
            <w:noWrap/>
            <w:hideMark/>
          </w:tcPr>
          <w:p w:rsidR="00107245" w:rsidRPr="00D5126A" w:rsidRDefault="00107245" w:rsidP="00107245">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20"/>
                <w:lang w:eastAsia="en-NZ"/>
              </w:rPr>
            </w:pPr>
            <w:r w:rsidRPr="00D5126A">
              <w:rPr>
                <w:rFonts w:ascii="Arial" w:eastAsia="Times New Roman" w:hAnsi="Arial" w:cs="Arial"/>
                <w:color w:val="000000"/>
                <w:sz w:val="20"/>
                <w:lang w:eastAsia="en-NZ"/>
              </w:rPr>
              <w:t>4</w:t>
            </w:r>
          </w:p>
        </w:tc>
        <w:tc>
          <w:tcPr>
            <w:tcW w:w="462" w:type="dxa"/>
            <w:shd w:val="clear" w:color="auto" w:fill="FFFFFF" w:themeFill="background1"/>
            <w:noWrap/>
            <w:hideMark/>
          </w:tcPr>
          <w:p w:rsidR="00107245" w:rsidRPr="00D5126A" w:rsidRDefault="00107245" w:rsidP="00107245">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20"/>
                <w:lang w:eastAsia="en-NZ"/>
              </w:rPr>
            </w:pPr>
            <w:r w:rsidRPr="00D5126A">
              <w:rPr>
                <w:rFonts w:ascii="Arial" w:eastAsia="Times New Roman" w:hAnsi="Arial" w:cs="Arial"/>
                <w:color w:val="000000"/>
                <w:sz w:val="20"/>
                <w:lang w:eastAsia="en-NZ"/>
              </w:rPr>
              <w:t> </w:t>
            </w:r>
          </w:p>
        </w:tc>
        <w:tc>
          <w:tcPr>
            <w:tcW w:w="709" w:type="dxa"/>
            <w:shd w:val="clear" w:color="auto" w:fill="FFFFFF" w:themeFill="background1"/>
            <w:noWrap/>
            <w:hideMark/>
          </w:tcPr>
          <w:p w:rsidR="00107245" w:rsidRPr="00D5126A" w:rsidRDefault="00107245" w:rsidP="00107245">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20"/>
                <w:lang w:eastAsia="en-NZ"/>
              </w:rPr>
            </w:pPr>
            <w:r w:rsidRPr="00D5126A">
              <w:rPr>
                <w:rFonts w:ascii="Arial" w:eastAsia="Times New Roman" w:hAnsi="Arial" w:cs="Arial"/>
                <w:color w:val="000000"/>
                <w:sz w:val="20"/>
                <w:lang w:eastAsia="en-NZ"/>
              </w:rPr>
              <w:t> </w:t>
            </w:r>
          </w:p>
        </w:tc>
        <w:tc>
          <w:tcPr>
            <w:tcW w:w="709" w:type="dxa"/>
            <w:shd w:val="clear" w:color="auto" w:fill="FFFFFF" w:themeFill="background1"/>
            <w:noWrap/>
            <w:hideMark/>
          </w:tcPr>
          <w:p w:rsidR="00107245" w:rsidRPr="00D5126A" w:rsidRDefault="00107245" w:rsidP="00107245">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20"/>
                <w:lang w:eastAsia="en-NZ"/>
              </w:rPr>
            </w:pPr>
            <w:r w:rsidRPr="00D5126A">
              <w:rPr>
                <w:rFonts w:ascii="Arial" w:eastAsia="Times New Roman" w:hAnsi="Arial" w:cs="Arial"/>
                <w:color w:val="000000"/>
                <w:sz w:val="20"/>
                <w:lang w:eastAsia="en-NZ"/>
              </w:rPr>
              <w:t>3</w:t>
            </w:r>
          </w:p>
        </w:tc>
        <w:tc>
          <w:tcPr>
            <w:tcW w:w="708" w:type="dxa"/>
            <w:shd w:val="clear" w:color="auto" w:fill="FFFFFF" w:themeFill="background1"/>
            <w:noWrap/>
            <w:hideMark/>
          </w:tcPr>
          <w:p w:rsidR="00107245" w:rsidRPr="00D5126A" w:rsidRDefault="00107245" w:rsidP="00107245">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20"/>
                <w:lang w:eastAsia="en-NZ"/>
              </w:rPr>
            </w:pPr>
            <w:r w:rsidRPr="00D5126A">
              <w:rPr>
                <w:rFonts w:ascii="Arial" w:eastAsia="Times New Roman" w:hAnsi="Arial" w:cs="Arial"/>
                <w:color w:val="000000"/>
                <w:sz w:val="20"/>
                <w:lang w:eastAsia="en-NZ"/>
              </w:rPr>
              <w:t>2</w:t>
            </w:r>
          </w:p>
        </w:tc>
        <w:tc>
          <w:tcPr>
            <w:tcW w:w="425" w:type="dxa"/>
            <w:shd w:val="clear" w:color="auto" w:fill="FFFFFF" w:themeFill="background1"/>
            <w:noWrap/>
            <w:hideMark/>
          </w:tcPr>
          <w:p w:rsidR="00107245" w:rsidRPr="00D5126A" w:rsidRDefault="00107245" w:rsidP="00107245">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20"/>
                <w:lang w:eastAsia="en-NZ"/>
              </w:rPr>
            </w:pPr>
            <w:r w:rsidRPr="00D5126A">
              <w:rPr>
                <w:rFonts w:ascii="Arial" w:eastAsia="Times New Roman" w:hAnsi="Arial" w:cs="Arial"/>
                <w:color w:val="000000"/>
                <w:sz w:val="20"/>
                <w:lang w:eastAsia="en-NZ"/>
              </w:rPr>
              <w:t> </w:t>
            </w:r>
          </w:p>
        </w:tc>
        <w:tc>
          <w:tcPr>
            <w:tcW w:w="851" w:type="dxa"/>
            <w:shd w:val="clear" w:color="auto" w:fill="FFFFFF" w:themeFill="background1"/>
            <w:noWrap/>
            <w:hideMark/>
          </w:tcPr>
          <w:p w:rsidR="00107245" w:rsidRPr="00D5126A" w:rsidRDefault="00107245" w:rsidP="00107245">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20"/>
                <w:lang w:eastAsia="en-NZ"/>
              </w:rPr>
            </w:pPr>
            <w:r w:rsidRPr="00D5126A">
              <w:rPr>
                <w:rFonts w:ascii="Arial" w:eastAsia="Times New Roman" w:hAnsi="Arial" w:cs="Arial"/>
                <w:color w:val="000000"/>
                <w:sz w:val="20"/>
                <w:lang w:eastAsia="en-NZ"/>
              </w:rPr>
              <w:t> </w:t>
            </w:r>
          </w:p>
        </w:tc>
        <w:tc>
          <w:tcPr>
            <w:tcW w:w="709" w:type="dxa"/>
            <w:shd w:val="clear" w:color="auto" w:fill="FFFFFF" w:themeFill="background1"/>
            <w:noWrap/>
            <w:hideMark/>
          </w:tcPr>
          <w:p w:rsidR="00107245" w:rsidRPr="00D5126A" w:rsidRDefault="00107245" w:rsidP="00107245">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20"/>
                <w:lang w:eastAsia="en-NZ"/>
              </w:rPr>
            </w:pPr>
            <w:r w:rsidRPr="00D5126A">
              <w:rPr>
                <w:rFonts w:ascii="Arial" w:eastAsia="Times New Roman" w:hAnsi="Arial" w:cs="Arial"/>
                <w:color w:val="000000"/>
                <w:sz w:val="20"/>
                <w:lang w:eastAsia="en-NZ"/>
              </w:rPr>
              <w:t> </w:t>
            </w:r>
          </w:p>
        </w:tc>
      </w:tr>
      <w:tr w:rsidR="005D6D1F" w:rsidRPr="00D5126A" w:rsidTr="00107245">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418" w:type="dxa"/>
            <w:shd w:val="clear" w:color="auto" w:fill="8DB3E2" w:themeFill="text2" w:themeFillTint="66"/>
            <w:noWrap/>
            <w:hideMark/>
          </w:tcPr>
          <w:p w:rsidR="00107245" w:rsidRPr="00D5126A" w:rsidRDefault="00107245" w:rsidP="00107245">
            <w:pPr>
              <w:rPr>
                <w:rFonts w:ascii="Arial" w:eastAsia="Times New Roman" w:hAnsi="Arial" w:cs="Arial"/>
                <w:color w:val="000000"/>
                <w:sz w:val="20"/>
                <w:lang w:eastAsia="en-NZ"/>
              </w:rPr>
            </w:pPr>
            <w:r w:rsidRPr="00D5126A">
              <w:rPr>
                <w:rFonts w:ascii="Arial" w:eastAsia="Times New Roman" w:hAnsi="Arial" w:cs="Arial"/>
                <w:color w:val="000000"/>
                <w:sz w:val="20"/>
                <w:lang w:eastAsia="en-NZ"/>
              </w:rPr>
              <w:t>Chris Calvi-Freeman</w:t>
            </w:r>
          </w:p>
        </w:tc>
        <w:tc>
          <w:tcPr>
            <w:tcW w:w="709" w:type="dxa"/>
            <w:shd w:val="clear" w:color="auto" w:fill="FFFFFF" w:themeFill="background1"/>
            <w:noWrap/>
            <w:hideMark/>
          </w:tcPr>
          <w:p w:rsidR="00107245" w:rsidRPr="00D5126A" w:rsidRDefault="00107245" w:rsidP="0010724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lang w:eastAsia="en-NZ"/>
              </w:rPr>
            </w:pPr>
            <w:r w:rsidRPr="00D5126A">
              <w:rPr>
                <w:rFonts w:ascii="Arial" w:eastAsia="Times New Roman" w:hAnsi="Arial" w:cs="Arial"/>
                <w:color w:val="000000"/>
                <w:sz w:val="20"/>
                <w:lang w:eastAsia="en-NZ"/>
              </w:rPr>
              <w:t>55</w:t>
            </w:r>
          </w:p>
        </w:tc>
        <w:tc>
          <w:tcPr>
            <w:tcW w:w="488" w:type="dxa"/>
            <w:shd w:val="clear" w:color="auto" w:fill="FFFFFF" w:themeFill="background1"/>
            <w:noWrap/>
            <w:hideMark/>
          </w:tcPr>
          <w:p w:rsidR="00107245" w:rsidRPr="00D5126A" w:rsidRDefault="00107245" w:rsidP="0010724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lang w:eastAsia="en-NZ"/>
              </w:rPr>
            </w:pPr>
            <w:r w:rsidRPr="00D5126A">
              <w:rPr>
                <w:rFonts w:ascii="Arial" w:eastAsia="Times New Roman" w:hAnsi="Arial" w:cs="Arial"/>
                <w:color w:val="000000"/>
                <w:sz w:val="20"/>
                <w:lang w:eastAsia="en-NZ"/>
              </w:rPr>
              <w:t>53</w:t>
            </w:r>
          </w:p>
        </w:tc>
        <w:tc>
          <w:tcPr>
            <w:tcW w:w="646" w:type="dxa"/>
            <w:shd w:val="clear" w:color="auto" w:fill="FFFFFF" w:themeFill="background1"/>
            <w:noWrap/>
            <w:hideMark/>
          </w:tcPr>
          <w:p w:rsidR="00107245" w:rsidRPr="00D5126A" w:rsidRDefault="00107245" w:rsidP="0010724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lang w:eastAsia="en-NZ"/>
              </w:rPr>
            </w:pPr>
            <w:r w:rsidRPr="00D5126A">
              <w:rPr>
                <w:rFonts w:ascii="Arial" w:eastAsia="Times New Roman" w:hAnsi="Arial" w:cs="Arial"/>
                <w:color w:val="000000"/>
                <w:sz w:val="20"/>
                <w:lang w:eastAsia="en-NZ"/>
              </w:rPr>
              <w:t>96%</w:t>
            </w:r>
          </w:p>
        </w:tc>
        <w:tc>
          <w:tcPr>
            <w:tcW w:w="566" w:type="dxa"/>
            <w:shd w:val="clear" w:color="auto" w:fill="FFFFFF" w:themeFill="background1"/>
            <w:noWrap/>
            <w:hideMark/>
          </w:tcPr>
          <w:p w:rsidR="00107245" w:rsidRPr="00D5126A" w:rsidRDefault="00107245" w:rsidP="0010724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lang w:eastAsia="en-NZ"/>
              </w:rPr>
            </w:pPr>
            <w:r w:rsidRPr="00D5126A">
              <w:rPr>
                <w:rFonts w:ascii="Arial" w:eastAsia="Times New Roman" w:hAnsi="Arial" w:cs="Arial"/>
                <w:color w:val="000000"/>
                <w:sz w:val="20"/>
                <w:lang w:eastAsia="en-NZ"/>
              </w:rPr>
              <w:t>10</w:t>
            </w:r>
          </w:p>
        </w:tc>
        <w:tc>
          <w:tcPr>
            <w:tcW w:w="538" w:type="dxa"/>
            <w:shd w:val="clear" w:color="auto" w:fill="FFFFFF" w:themeFill="background1"/>
            <w:noWrap/>
            <w:hideMark/>
          </w:tcPr>
          <w:p w:rsidR="00107245" w:rsidRPr="00D5126A" w:rsidRDefault="00107245" w:rsidP="0010724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lang w:eastAsia="en-NZ"/>
              </w:rPr>
            </w:pPr>
            <w:r w:rsidRPr="00D5126A">
              <w:rPr>
                <w:rFonts w:ascii="Arial" w:eastAsia="Times New Roman" w:hAnsi="Arial" w:cs="Arial"/>
                <w:color w:val="000000"/>
                <w:sz w:val="20"/>
                <w:lang w:eastAsia="en-NZ"/>
              </w:rPr>
              <w:t>27</w:t>
            </w:r>
          </w:p>
        </w:tc>
        <w:tc>
          <w:tcPr>
            <w:tcW w:w="739" w:type="dxa"/>
            <w:shd w:val="clear" w:color="auto" w:fill="FFFFFF" w:themeFill="background1"/>
            <w:noWrap/>
            <w:hideMark/>
          </w:tcPr>
          <w:p w:rsidR="00107245" w:rsidRPr="00D5126A" w:rsidRDefault="00107245" w:rsidP="0010724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lang w:eastAsia="en-NZ"/>
              </w:rPr>
            </w:pPr>
            <w:r w:rsidRPr="00D5126A">
              <w:rPr>
                <w:rFonts w:ascii="Arial" w:eastAsia="Times New Roman" w:hAnsi="Arial" w:cs="Arial"/>
                <w:color w:val="000000"/>
                <w:sz w:val="20"/>
                <w:lang w:eastAsia="en-NZ"/>
              </w:rPr>
              <w:t>5</w:t>
            </w:r>
          </w:p>
        </w:tc>
        <w:tc>
          <w:tcPr>
            <w:tcW w:w="567" w:type="dxa"/>
            <w:shd w:val="clear" w:color="auto" w:fill="FFFFFF" w:themeFill="background1"/>
            <w:noWrap/>
            <w:hideMark/>
          </w:tcPr>
          <w:p w:rsidR="00107245" w:rsidRPr="00D5126A" w:rsidRDefault="00107245" w:rsidP="0010724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lang w:eastAsia="en-NZ"/>
              </w:rPr>
            </w:pPr>
            <w:r w:rsidRPr="00D5126A">
              <w:rPr>
                <w:rFonts w:ascii="Arial" w:eastAsia="Times New Roman" w:hAnsi="Arial" w:cs="Arial"/>
                <w:color w:val="000000"/>
                <w:sz w:val="20"/>
                <w:lang w:eastAsia="en-NZ"/>
              </w:rPr>
              <w:t>11</w:t>
            </w:r>
          </w:p>
        </w:tc>
        <w:tc>
          <w:tcPr>
            <w:tcW w:w="388" w:type="dxa"/>
            <w:shd w:val="clear" w:color="auto" w:fill="FFFFFF" w:themeFill="background1"/>
            <w:noWrap/>
            <w:hideMark/>
          </w:tcPr>
          <w:p w:rsidR="00107245" w:rsidRPr="00D5126A" w:rsidRDefault="00107245" w:rsidP="0010724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lang w:eastAsia="en-NZ"/>
              </w:rPr>
            </w:pPr>
            <w:r w:rsidRPr="00D5126A">
              <w:rPr>
                <w:rFonts w:ascii="Arial" w:eastAsia="Times New Roman" w:hAnsi="Arial" w:cs="Arial"/>
                <w:color w:val="000000"/>
                <w:sz w:val="20"/>
                <w:lang w:eastAsia="en-NZ"/>
              </w:rPr>
              <w:t> </w:t>
            </w:r>
          </w:p>
        </w:tc>
        <w:tc>
          <w:tcPr>
            <w:tcW w:w="462" w:type="dxa"/>
            <w:shd w:val="clear" w:color="auto" w:fill="FFFFFF" w:themeFill="background1"/>
            <w:noWrap/>
            <w:hideMark/>
          </w:tcPr>
          <w:p w:rsidR="00107245" w:rsidRPr="00D5126A" w:rsidRDefault="00107245" w:rsidP="0010724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lang w:eastAsia="en-NZ"/>
              </w:rPr>
            </w:pPr>
            <w:r w:rsidRPr="00D5126A">
              <w:rPr>
                <w:rFonts w:ascii="Arial" w:eastAsia="Times New Roman" w:hAnsi="Arial" w:cs="Arial"/>
                <w:color w:val="000000"/>
                <w:sz w:val="20"/>
                <w:lang w:eastAsia="en-NZ"/>
              </w:rPr>
              <w:t> </w:t>
            </w:r>
          </w:p>
        </w:tc>
        <w:tc>
          <w:tcPr>
            <w:tcW w:w="709" w:type="dxa"/>
            <w:shd w:val="clear" w:color="auto" w:fill="FFFFFF" w:themeFill="background1"/>
            <w:noWrap/>
            <w:hideMark/>
          </w:tcPr>
          <w:p w:rsidR="00107245" w:rsidRPr="00D5126A" w:rsidRDefault="00107245" w:rsidP="0010724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lang w:eastAsia="en-NZ"/>
              </w:rPr>
            </w:pPr>
            <w:r w:rsidRPr="00D5126A">
              <w:rPr>
                <w:rFonts w:ascii="Arial" w:eastAsia="Times New Roman" w:hAnsi="Arial" w:cs="Arial"/>
                <w:color w:val="000000"/>
                <w:sz w:val="20"/>
                <w:lang w:eastAsia="en-NZ"/>
              </w:rPr>
              <w:t> </w:t>
            </w:r>
          </w:p>
        </w:tc>
        <w:tc>
          <w:tcPr>
            <w:tcW w:w="709" w:type="dxa"/>
            <w:shd w:val="clear" w:color="auto" w:fill="FFFFFF" w:themeFill="background1"/>
            <w:noWrap/>
            <w:hideMark/>
          </w:tcPr>
          <w:p w:rsidR="00107245" w:rsidRPr="00D5126A" w:rsidRDefault="00107245" w:rsidP="0010724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lang w:eastAsia="en-NZ"/>
              </w:rPr>
            </w:pPr>
            <w:r w:rsidRPr="00D5126A">
              <w:rPr>
                <w:rFonts w:ascii="Arial" w:eastAsia="Times New Roman" w:hAnsi="Arial" w:cs="Arial"/>
                <w:color w:val="000000"/>
                <w:sz w:val="20"/>
                <w:lang w:eastAsia="en-NZ"/>
              </w:rPr>
              <w:t> </w:t>
            </w:r>
          </w:p>
        </w:tc>
        <w:tc>
          <w:tcPr>
            <w:tcW w:w="708" w:type="dxa"/>
            <w:shd w:val="clear" w:color="auto" w:fill="FFFFFF" w:themeFill="background1"/>
            <w:noWrap/>
            <w:hideMark/>
          </w:tcPr>
          <w:p w:rsidR="00107245" w:rsidRPr="00D5126A" w:rsidRDefault="00107245" w:rsidP="0010724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lang w:eastAsia="en-NZ"/>
              </w:rPr>
            </w:pPr>
            <w:r w:rsidRPr="00D5126A">
              <w:rPr>
                <w:rFonts w:ascii="Arial" w:eastAsia="Times New Roman" w:hAnsi="Arial" w:cs="Arial"/>
                <w:color w:val="000000"/>
                <w:sz w:val="20"/>
                <w:lang w:eastAsia="en-NZ"/>
              </w:rPr>
              <w:t> </w:t>
            </w:r>
          </w:p>
        </w:tc>
        <w:tc>
          <w:tcPr>
            <w:tcW w:w="425" w:type="dxa"/>
            <w:shd w:val="clear" w:color="auto" w:fill="FFFFFF" w:themeFill="background1"/>
            <w:noWrap/>
            <w:hideMark/>
          </w:tcPr>
          <w:p w:rsidR="00107245" w:rsidRPr="00D5126A" w:rsidRDefault="00107245" w:rsidP="0010724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lang w:eastAsia="en-NZ"/>
              </w:rPr>
            </w:pPr>
            <w:r w:rsidRPr="00D5126A">
              <w:rPr>
                <w:rFonts w:ascii="Arial" w:eastAsia="Times New Roman" w:hAnsi="Arial" w:cs="Arial"/>
                <w:color w:val="000000"/>
                <w:sz w:val="20"/>
                <w:lang w:eastAsia="en-NZ"/>
              </w:rPr>
              <w:t> </w:t>
            </w:r>
          </w:p>
        </w:tc>
        <w:tc>
          <w:tcPr>
            <w:tcW w:w="851" w:type="dxa"/>
            <w:shd w:val="clear" w:color="auto" w:fill="FFFFFF" w:themeFill="background1"/>
            <w:noWrap/>
            <w:hideMark/>
          </w:tcPr>
          <w:p w:rsidR="00107245" w:rsidRPr="00D5126A" w:rsidRDefault="00107245" w:rsidP="0010724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lang w:eastAsia="en-NZ"/>
              </w:rPr>
            </w:pPr>
            <w:r w:rsidRPr="00D5126A">
              <w:rPr>
                <w:rFonts w:ascii="Arial" w:eastAsia="Times New Roman" w:hAnsi="Arial" w:cs="Arial"/>
                <w:color w:val="000000"/>
                <w:sz w:val="20"/>
                <w:lang w:eastAsia="en-NZ"/>
              </w:rPr>
              <w:t> </w:t>
            </w:r>
          </w:p>
        </w:tc>
        <w:tc>
          <w:tcPr>
            <w:tcW w:w="709" w:type="dxa"/>
            <w:shd w:val="clear" w:color="auto" w:fill="FFFFFF" w:themeFill="background1"/>
            <w:noWrap/>
            <w:hideMark/>
          </w:tcPr>
          <w:p w:rsidR="00107245" w:rsidRPr="00D5126A" w:rsidRDefault="00107245" w:rsidP="0010724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lang w:eastAsia="en-NZ"/>
              </w:rPr>
            </w:pPr>
            <w:r w:rsidRPr="00D5126A">
              <w:rPr>
                <w:rFonts w:ascii="Arial" w:eastAsia="Times New Roman" w:hAnsi="Arial" w:cs="Arial"/>
                <w:color w:val="000000"/>
                <w:sz w:val="20"/>
                <w:lang w:eastAsia="en-NZ"/>
              </w:rPr>
              <w:t> </w:t>
            </w:r>
          </w:p>
        </w:tc>
      </w:tr>
      <w:tr w:rsidR="005D6D1F" w:rsidRPr="00D5126A" w:rsidTr="00107245">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418" w:type="dxa"/>
            <w:shd w:val="clear" w:color="auto" w:fill="8DB3E2" w:themeFill="text2" w:themeFillTint="66"/>
            <w:noWrap/>
            <w:hideMark/>
          </w:tcPr>
          <w:p w:rsidR="00107245" w:rsidRPr="00D5126A" w:rsidRDefault="00107245" w:rsidP="00107245">
            <w:pPr>
              <w:rPr>
                <w:rFonts w:ascii="Arial" w:eastAsia="Times New Roman" w:hAnsi="Arial" w:cs="Arial"/>
                <w:color w:val="000000"/>
                <w:sz w:val="20"/>
                <w:lang w:eastAsia="en-NZ"/>
              </w:rPr>
            </w:pPr>
            <w:r w:rsidRPr="00D5126A">
              <w:rPr>
                <w:rFonts w:ascii="Arial" w:eastAsia="Times New Roman" w:hAnsi="Arial" w:cs="Arial"/>
                <w:color w:val="000000"/>
                <w:sz w:val="20"/>
                <w:lang w:eastAsia="en-NZ"/>
              </w:rPr>
              <w:t>Brian Dawson</w:t>
            </w:r>
          </w:p>
        </w:tc>
        <w:tc>
          <w:tcPr>
            <w:tcW w:w="709" w:type="dxa"/>
            <w:shd w:val="clear" w:color="auto" w:fill="FFFFFF" w:themeFill="background1"/>
            <w:noWrap/>
            <w:hideMark/>
          </w:tcPr>
          <w:p w:rsidR="00107245" w:rsidRPr="00D5126A" w:rsidRDefault="00107245" w:rsidP="00107245">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20"/>
                <w:lang w:eastAsia="en-NZ"/>
              </w:rPr>
            </w:pPr>
            <w:r w:rsidRPr="00D5126A">
              <w:rPr>
                <w:rFonts w:ascii="Arial" w:eastAsia="Times New Roman" w:hAnsi="Arial" w:cs="Arial"/>
                <w:color w:val="000000"/>
                <w:sz w:val="20"/>
                <w:lang w:eastAsia="en-NZ"/>
              </w:rPr>
              <w:t>50</w:t>
            </w:r>
          </w:p>
        </w:tc>
        <w:tc>
          <w:tcPr>
            <w:tcW w:w="488" w:type="dxa"/>
            <w:shd w:val="clear" w:color="auto" w:fill="FFFFFF" w:themeFill="background1"/>
            <w:noWrap/>
            <w:hideMark/>
          </w:tcPr>
          <w:p w:rsidR="00107245" w:rsidRPr="00D5126A" w:rsidRDefault="00107245" w:rsidP="00107245">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20"/>
                <w:lang w:eastAsia="en-NZ"/>
              </w:rPr>
            </w:pPr>
            <w:r w:rsidRPr="00D5126A">
              <w:rPr>
                <w:rFonts w:ascii="Arial" w:eastAsia="Times New Roman" w:hAnsi="Arial" w:cs="Arial"/>
                <w:color w:val="000000"/>
                <w:sz w:val="20"/>
                <w:lang w:eastAsia="en-NZ"/>
              </w:rPr>
              <w:t>50</w:t>
            </w:r>
          </w:p>
        </w:tc>
        <w:tc>
          <w:tcPr>
            <w:tcW w:w="646" w:type="dxa"/>
            <w:shd w:val="clear" w:color="auto" w:fill="FFFFFF" w:themeFill="background1"/>
            <w:noWrap/>
            <w:hideMark/>
          </w:tcPr>
          <w:p w:rsidR="00107245" w:rsidRPr="00D5126A" w:rsidRDefault="00107245" w:rsidP="00107245">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20"/>
                <w:lang w:eastAsia="en-NZ"/>
              </w:rPr>
            </w:pPr>
            <w:r w:rsidRPr="00D5126A">
              <w:rPr>
                <w:rFonts w:ascii="Arial" w:eastAsia="Times New Roman" w:hAnsi="Arial" w:cs="Arial"/>
                <w:color w:val="000000"/>
                <w:sz w:val="20"/>
                <w:lang w:eastAsia="en-NZ"/>
              </w:rPr>
              <w:t>100%</w:t>
            </w:r>
          </w:p>
        </w:tc>
        <w:tc>
          <w:tcPr>
            <w:tcW w:w="566" w:type="dxa"/>
            <w:shd w:val="clear" w:color="auto" w:fill="FFFFFF" w:themeFill="background1"/>
            <w:noWrap/>
            <w:hideMark/>
          </w:tcPr>
          <w:p w:rsidR="00107245" w:rsidRPr="00D5126A" w:rsidRDefault="00107245" w:rsidP="00107245">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20"/>
                <w:lang w:eastAsia="en-NZ"/>
              </w:rPr>
            </w:pPr>
            <w:r w:rsidRPr="00D5126A">
              <w:rPr>
                <w:rFonts w:ascii="Arial" w:eastAsia="Times New Roman" w:hAnsi="Arial" w:cs="Arial"/>
                <w:color w:val="000000"/>
                <w:sz w:val="20"/>
                <w:lang w:eastAsia="en-NZ"/>
              </w:rPr>
              <w:t>10</w:t>
            </w:r>
          </w:p>
        </w:tc>
        <w:tc>
          <w:tcPr>
            <w:tcW w:w="538" w:type="dxa"/>
            <w:shd w:val="clear" w:color="auto" w:fill="FFFFFF" w:themeFill="background1"/>
            <w:noWrap/>
            <w:hideMark/>
          </w:tcPr>
          <w:p w:rsidR="00107245" w:rsidRPr="00D5126A" w:rsidRDefault="00107245" w:rsidP="00107245">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20"/>
                <w:lang w:eastAsia="en-NZ"/>
              </w:rPr>
            </w:pPr>
            <w:r w:rsidRPr="00D5126A">
              <w:rPr>
                <w:rFonts w:ascii="Arial" w:eastAsia="Times New Roman" w:hAnsi="Arial" w:cs="Arial"/>
                <w:color w:val="000000"/>
                <w:sz w:val="20"/>
                <w:lang w:eastAsia="en-NZ"/>
              </w:rPr>
              <w:t>27</w:t>
            </w:r>
          </w:p>
        </w:tc>
        <w:tc>
          <w:tcPr>
            <w:tcW w:w="739" w:type="dxa"/>
            <w:shd w:val="clear" w:color="auto" w:fill="FFFFFF" w:themeFill="background1"/>
            <w:noWrap/>
            <w:hideMark/>
          </w:tcPr>
          <w:p w:rsidR="00107245" w:rsidRPr="00D5126A" w:rsidRDefault="00107245" w:rsidP="00107245">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20"/>
                <w:lang w:eastAsia="en-NZ"/>
              </w:rPr>
            </w:pPr>
            <w:r w:rsidRPr="00D5126A">
              <w:rPr>
                <w:rFonts w:ascii="Arial" w:eastAsia="Times New Roman" w:hAnsi="Arial" w:cs="Arial"/>
                <w:color w:val="000000"/>
                <w:sz w:val="20"/>
                <w:lang w:eastAsia="en-NZ"/>
              </w:rPr>
              <w:t>5</w:t>
            </w:r>
          </w:p>
        </w:tc>
        <w:tc>
          <w:tcPr>
            <w:tcW w:w="567" w:type="dxa"/>
            <w:shd w:val="clear" w:color="auto" w:fill="FFFFFF" w:themeFill="background1"/>
            <w:noWrap/>
            <w:hideMark/>
          </w:tcPr>
          <w:p w:rsidR="00107245" w:rsidRPr="00D5126A" w:rsidRDefault="00107245" w:rsidP="00107245">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20"/>
                <w:lang w:eastAsia="en-NZ"/>
              </w:rPr>
            </w:pPr>
            <w:r w:rsidRPr="00D5126A">
              <w:rPr>
                <w:rFonts w:ascii="Arial" w:eastAsia="Times New Roman" w:hAnsi="Arial" w:cs="Arial"/>
                <w:color w:val="000000"/>
                <w:sz w:val="20"/>
                <w:lang w:eastAsia="en-NZ"/>
              </w:rPr>
              <w:t> </w:t>
            </w:r>
          </w:p>
        </w:tc>
        <w:tc>
          <w:tcPr>
            <w:tcW w:w="388" w:type="dxa"/>
            <w:shd w:val="clear" w:color="auto" w:fill="FFFFFF" w:themeFill="background1"/>
            <w:noWrap/>
            <w:hideMark/>
          </w:tcPr>
          <w:p w:rsidR="00107245" w:rsidRPr="00D5126A" w:rsidRDefault="00107245" w:rsidP="00107245">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20"/>
                <w:lang w:eastAsia="en-NZ"/>
              </w:rPr>
            </w:pPr>
            <w:r w:rsidRPr="00D5126A">
              <w:rPr>
                <w:rFonts w:ascii="Arial" w:eastAsia="Times New Roman" w:hAnsi="Arial" w:cs="Arial"/>
                <w:color w:val="000000"/>
                <w:sz w:val="20"/>
                <w:lang w:eastAsia="en-NZ"/>
              </w:rPr>
              <w:t> </w:t>
            </w:r>
          </w:p>
        </w:tc>
        <w:tc>
          <w:tcPr>
            <w:tcW w:w="462" w:type="dxa"/>
            <w:shd w:val="clear" w:color="auto" w:fill="FFFFFF" w:themeFill="background1"/>
            <w:noWrap/>
            <w:hideMark/>
          </w:tcPr>
          <w:p w:rsidR="00107245" w:rsidRPr="00D5126A" w:rsidRDefault="00107245" w:rsidP="00107245">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20"/>
                <w:lang w:eastAsia="en-NZ"/>
              </w:rPr>
            </w:pPr>
            <w:r w:rsidRPr="00D5126A">
              <w:rPr>
                <w:rFonts w:ascii="Arial" w:eastAsia="Times New Roman" w:hAnsi="Arial" w:cs="Arial"/>
                <w:color w:val="000000"/>
                <w:sz w:val="20"/>
                <w:lang w:eastAsia="en-NZ"/>
              </w:rPr>
              <w:t> </w:t>
            </w:r>
          </w:p>
        </w:tc>
        <w:tc>
          <w:tcPr>
            <w:tcW w:w="709" w:type="dxa"/>
            <w:shd w:val="clear" w:color="auto" w:fill="FFFFFF" w:themeFill="background1"/>
            <w:noWrap/>
            <w:hideMark/>
          </w:tcPr>
          <w:p w:rsidR="00107245" w:rsidRPr="00D5126A" w:rsidRDefault="00107245" w:rsidP="00107245">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20"/>
                <w:lang w:eastAsia="en-NZ"/>
              </w:rPr>
            </w:pPr>
            <w:r w:rsidRPr="00D5126A">
              <w:rPr>
                <w:rFonts w:ascii="Arial" w:eastAsia="Times New Roman" w:hAnsi="Arial" w:cs="Arial"/>
                <w:color w:val="000000"/>
                <w:sz w:val="20"/>
                <w:lang w:eastAsia="en-NZ"/>
              </w:rPr>
              <w:t> </w:t>
            </w:r>
          </w:p>
        </w:tc>
        <w:tc>
          <w:tcPr>
            <w:tcW w:w="709" w:type="dxa"/>
            <w:shd w:val="clear" w:color="auto" w:fill="FFFFFF" w:themeFill="background1"/>
            <w:noWrap/>
            <w:hideMark/>
          </w:tcPr>
          <w:p w:rsidR="00107245" w:rsidRPr="00D5126A" w:rsidRDefault="00107245" w:rsidP="00107245">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20"/>
                <w:lang w:eastAsia="en-NZ"/>
              </w:rPr>
            </w:pPr>
            <w:r w:rsidRPr="00D5126A">
              <w:rPr>
                <w:rFonts w:ascii="Arial" w:eastAsia="Times New Roman" w:hAnsi="Arial" w:cs="Arial"/>
                <w:color w:val="000000"/>
                <w:sz w:val="20"/>
                <w:lang w:eastAsia="en-NZ"/>
              </w:rPr>
              <w:t> </w:t>
            </w:r>
          </w:p>
        </w:tc>
        <w:tc>
          <w:tcPr>
            <w:tcW w:w="708" w:type="dxa"/>
            <w:shd w:val="clear" w:color="auto" w:fill="FFFFFF" w:themeFill="background1"/>
            <w:noWrap/>
            <w:hideMark/>
          </w:tcPr>
          <w:p w:rsidR="00107245" w:rsidRPr="00D5126A" w:rsidRDefault="00107245" w:rsidP="00107245">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20"/>
                <w:lang w:eastAsia="en-NZ"/>
              </w:rPr>
            </w:pPr>
            <w:r w:rsidRPr="00D5126A">
              <w:rPr>
                <w:rFonts w:ascii="Arial" w:eastAsia="Times New Roman" w:hAnsi="Arial" w:cs="Arial"/>
                <w:color w:val="000000"/>
                <w:sz w:val="20"/>
                <w:lang w:eastAsia="en-NZ"/>
              </w:rPr>
              <w:t> </w:t>
            </w:r>
          </w:p>
        </w:tc>
        <w:tc>
          <w:tcPr>
            <w:tcW w:w="425" w:type="dxa"/>
            <w:shd w:val="clear" w:color="auto" w:fill="FFFFFF" w:themeFill="background1"/>
            <w:noWrap/>
            <w:hideMark/>
          </w:tcPr>
          <w:p w:rsidR="00107245" w:rsidRPr="00D5126A" w:rsidRDefault="00107245" w:rsidP="00107245">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20"/>
                <w:lang w:eastAsia="en-NZ"/>
              </w:rPr>
            </w:pPr>
            <w:r w:rsidRPr="00D5126A">
              <w:rPr>
                <w:rFonts w:ascii="Arial" w:eastAsia="Times New Roman" w:hAnsi="Arial" w:cs="Arial"/>
                <w:color w:val="000000"/>
                <w:sz w:val="20"/>
                <w:lang w:eastAsia="en-NZ"/>
              </w:rPr>
              <w:t>8</w:t>
            </w:r>
          </w:p>
        </w:tc>
        <w:tc>
          <w:tcPr>
            <w:tcW w:w="851" w:type="dxa"/>
            <w:shd w:val="clear" w:color="auto" w:fill="FFFFFF" w:themeFill="background1"/>
            <w:noWrap/>
            <w:hideMark/>
          </w:tcPr>
          <w:p w:rsidR="00107245" w:rsidRPr="00D5126A" w:rsidRDefault="00107245" w:rsidP="00107245">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20"/>
                <w:lang w:eastAsia="en-NZ"/>
              </w:rPr>
            </w:pPr>
            <w:r w:rsidRPr="00D5126A">
              <w:rPr>
                <w:rFonts w:ascii="Arial" w:eastAsia="Times New Roman" w:hAnsi="Arial" w:cs="Arial"/>
                <w:color w:val="000000"/>
                <w:sz w:val="20"/>
                <w:lang w:eastAsia="en-NZ"/>
              </w:rPr>
              <w:t> </w:t>
            </w:r>
          </w:p>
        </w:tc>
        <w:tc>
          <w:tcPr>
            <w:tcW w:w="709" w:type="dxa"/>
            <w:shd w:val="clear" w:color="auto" w:fill="FFFFFF" w:themeFill="background1"/>
            <w:noWrap/>
            <w:hideMark/>
          </w:tcPr>
          <w:p w:rsidR="00107245" w:rsidRPr="00D5126A" w:rsidRDefault="00107245" w:rsidP="00107245">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20"/>
                <w:lang w:eastAsia="en-NZ"/>
              </w:rPr>
            </w:pPr>
            <w:r w:rsidRPr="00D5126A">
              <w:rPr>
                <w:rFonts w:ascii="Arial" w:eastAsia="Times New Roman" w:hAnsi="Arial" w:cs="Arial"/>
                <w:color w:val="000000"/>
                <w:sz w:val="20"/>
                <w:lang w:eastAsia="en-NZ"/>
              </w:rPr>
              <w:t> </w:t>
            </w:r>
          </w:p>
        </w:tc>
      </w:tr>
      <w:tr w:rsidR="005D6D1F" w:rsidRPr="00D5126A" w:rsidTr="00107245">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418" w:type="dxa"/>
            <w:shd w:val="clear" w:color="auto" w:fill="8DB3E2" w:themeFill="text2" w:themeFillTint="66"/>
            <w:noWrap/>
            <w:hideMark/>
          </w:tcPr>
          <w:p w:rsidR="00107245" w:rsidRPr="00D5126A" w:rsidRDefault="00107245" w:rsidP="00107245">
            <w:pPr>
              <w:rPr>
                <w:rFonts w:ascii="Arial" w:eastAsia="Times New Roman" w:hAnsi="Arial" w:cs="Arial"/>
                <w:color w:val="000000"/>
                <w:sz w:val="20"/>
                <w:lang w:eastAsia="en-NZ"/>
              </w:rPr>
            </w:pPr>
            <w:r w:rsidRPr="00D5126A">
              <w:rPr>
                <w:rFonts w:ascii="Arial" w:eastAsia="Times New Roman" w:hAnsi="Arial" w:cs="Arial"/>
                <w:color w:val="000000"/>
                <w:sz w:val="20"/>
                <w:lang w:eastAsia="en-NZ"/>
              </w:rPr>
              <w:t>Jill Day</w:t>
            </w:r>
          </w:p>
        </w:tc>
        <w:tc>
          <w:tcPr>
            <w:tcW w:w="709" w:type="dxa"/>
            <w:shd w:val="clear" w:color="auto" w:fill="FFFFFF" w:themeFill="background1"/>
            <w:noWrap/>
            <w:hideMark/>
          </w:tcPr>
          <w:p w:rsidR="00107245" w:rsidRPr="00D5126A" w:rsidRDefault="00107245" w:rsidP="0010724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lang w:eastAsia="en-NZ"/>
              </w:rPr>
            </w:pPr>
            <w:r w:rsidRPr="00D5126A">
              <w:rPr>
                <w:rFonts w:ascii="Arial" w:eastAsia="Times New Roman" w:hAnsi="Arial" w:cs="Arial"/>
                <w:color w:val="000000"/>
                <w:sz w:val="20"/>
                <w:lang w:eastAsia="en-NZ"/>
              </w:rPr>
              <w:t>54</w:t>
            </w:r>
          </w:p>
        </w:tc>
        <w:tc>
          <w:tcPr>
            <w:tcW w:w="488" w:type="dxa"/>
            <w:shd w:val="clear" w:color="auto" w:fill="FFFFFF" w:themeFill="background1"/>
            <w:noWrap/>
            <w:hideMark/>
          </w:tcPr>
          <w:p w:rsidR="00107245" w:rsidRPr="00D5126A" w:rsidRDefault="00107245" w:rsidP="0010724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lang w:eastAsia="en-NZ"/>
              </w:rPr>
            </w:pPr>
            <w:r w:rsidRPr="00D5126A">
              <w:rPr>
                <w:rFonts w:ascii="Arial" w:eastAsia="Times New Roman" w:hAnsi="Arial" w:cs="Arial"/>
                <w:color w:val="000000"/>
                <w:sz w:val="20"/>
                <w:lang w:eastAsia="en-NZ"/>
              </w:rPr>
              <w:t>50</w:t>
            </w:r>
          </w:p>
        </w:tc>
        <w:tc>
          <w:tcPr>
            <w:tcW w:w="646" w:type="dxa"/>
            <w:shd w:val="clear" w:color="auto" w:fill="FFFFFF" w:themeFill="background1"/>
            <w:noWrap/>
            <w:hideMark/>
          </w:tcPr>
          <w:p w:rsidR="00107245" w:rsidRPr="00D5126A" w:rsidRDefault="00107245" w:rsidP="0010724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lang w:eastAsia="en-NZ"/>
              </w:rPr>
            </w:pPr>
            <w:r w:rsidRPr="00D5126A">
              <w:rPr>
                <w:rFonts w:ascii="Arial" w:eastAsia="Times New Roman" w:hAnsi="Arial" w:cs="Arial"/>
                <w:color w:val="000000"/>
                <w:sz w:val="20"/>
                <w:lang w:eastAsia="en-NZ"/>
              </w:rPr>
              <w:t>93%</w:t>
            </w:r>
          </w:p>
        </w:tc>
        <w:tc>
          <w:tcPr>
            <w:tcW w:w="566" w:type="dxa"/>
            <w:shd w:val="clear" w:color="auto" w:fill="FFFFFF" w:themeFill="background1"/>
            <w:noWrap/>
            <w:hideMark/>
          </w:tcPr>
          <w:p w:rsidR="00107245" w:rsidRPr="00D5126A" w:rsidRDefault="00107245" w:rsidP="0010724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lang w:eastAsia="en-NZ"/>
              </w:rPr>
            </w:pPr>
            <w:r w:rsidRPr="00D5126A">
              <w:rPr>
                <w:rFonts w:ascii="Arial" w:eastAsia="Times New Roman" w:hAnsi="Arial" w:cs="Arial"/>
                <w:color w:val="000000"/>
                <w:sz w:val="20"/>
                <w:lang w:eastAsia="en-NZ"/>
              </w:rPr>
              <w:t>10</w:t>
            </w:r>
          </w:p>
        </w:tc>
        <w:tc>
          <w:tcPr>
            <w:tcW w:w="538" w:type="dxa"/>
            <w:shd w:val="clear" w:color="auto" w:fill="FFFFFF" w:themeFill="background1"/>
            <w:noWrap/>
            <w:hideMark/>
          </w:tcPr>
          <w:p w:rsidR="00107245" w:rsidRPr="00D5126A" w:rsidRDefault="00107245" w:rsidP="0010724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lang w:eastAsia="en-NZ"/>
              </w:rPr>
            </w:pPr>
            <w:r w:rsidRPr="00D5126A">
              <w:rPr>
                <w:rFonts w:ascii="Arial" w:eastAsia="Times New Roman" w:hAnsi="Arial" w:cs="Arial"/>
                <w:color w:val="000000"/>
                <w:sz w:val="20"/>
                <w:lang w:eastAsia="en-NZ"/>
              </w:rPr>
              <w:t>24</w:t>
            </w:r>
          </w:p>
        </w:tc>
        <w:tc>
          <w:tcPr>
            <w:tcW w:w="739" w:type="dxa"/>
            <w:shd w:val="clear" w:color="auto" w:fill="FFFFFF" w:themeFill="background1"/>
            <w:noWrap/>
            <w:hideMark/>
          </w:tcPr>
          <w:p w:rsidR="00107245" w:rsidRPr="00D5126A" w:rsidRDefault="00107245" w:rsidP="0010724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lang w:eastAsia="en-NZ"/>
              </w:rPr>
            </w:pPr>
            <w:r w:rsidRPr="00D5126A">
              <w:rPr>
                <w:rFonts w:ascii="Arial" w:eastAsia="Times New Roman" w:hAnsi="Arial" w:cs="Arial"/>
                <w:color w:val="000000"/>
                <w:sz w:val="20"/>
                <w:lang w:eastAsia="en-NZ"/>
              </w:rPr>
              <w:t>5</w:t>
            </w:r>
          </w:p>
        </w:tc>
        <w:tc>
          <w:tcPr>
            <w:tcW w:w="567" w:type="dxa"/>
            <w:shd w:val="clear" w:color="auto" w:fill="FFFFFF" w:themeFill="background1"/>
            <w:noWrap/>
            <w:hideMark/>
          </w:tcPr>
          <w:p w:rsidR="00107245" w:rsidRPr="00D5126A" w:rsidRDefault="00107245" w:rsidP="0010724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lang w:eastAsia="en-NZ"/>
              </w:rPr>
            </w:pPr>
            <w:r w:rsidRPr="00D5126A">
              <w:rPr>
                <w:rFonts w:ascii="Arial" w:eastAsia="Times New Roman" w:hAnsi="Arial" w:cs="Arial"/>
                <w:color w:val="000000"/>
                <w:sz w:val="20"/>
                <w:lang w:eastAsia="en-NZ"/>
              </w:rPr>
              <w:t> </w:t>
            </w:r>
          </w:p>
        </w:tc>
        <w:tc>
          <w:tcPr>
            <w:tcW w:w="388" w:type="dxa"/>
            <w:shd w:val="clear" w:color="auto" w:fill="FFFFFF" w:themeFill="background1"/>
            <w:noWrap/>
            <w:hideMark/>
          </w:tcPr>
          <w:p w:rsidR="00107245" w:rsidRPr="00D5126A" w:rsidRDefault="00107245" w:rsidP="0010724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lang w:eastAsia="en-NZ"/>
              </w:rPr>
            </w:pPr>
            <w:r w:rsidRPr="00D5126A">
              <w:rPr>
                <w:rFonts w:ascii="Arial" w:eastAsia="Times New Roman" w:hAnsi="Arial" w:cs="Arial"/>
                <w:color w:val="000000"/>
                <w:sz w:val="20"/>
                <w:lang w:eastAsia="en-NZ"/>
              </w:rPr>
              <w:t>4</w:t>
            </w:r>
          </w:p>
        </w:tc>
        <w:tc>
          <w:tcPr>
            <w:tcW w:w="462" w:type="dxa"/>
            <w:shd w:val="clear" w:color="auto" w:fill="FFFFFF" w:themeFill="background1"/>
            <w:noWrap/>
            <w:hideMark/>
          </w:tcPr>
          <w:p w:rsidR="00107245" w:rsidRPr="00D5126A" w:rsidRDefault="00107245" w:rsidP="0010724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lang w:eastAsia="en-NZ"/>
              </w:rPr>
            </w:pPr>
            <w:r w:rsidRPr="00D5126A">
              <w:rPr>
                <w:rFonts w:ascii="Arial" w:eastAsia="Times New Roman" w:hAnsi="Arial" w:cs="Arial"/>
                <w:color w:val="000000"/>
                <w:sz w:val="20"/>
                <w:lang w:eastAsia="en-NZ"/>
              </w:rPr>
              <w:t> </w:t>
            </w:r>
          </w:p>
        </w:tc>
        <w:tc>
          <w:tcPr>
            <w:tcW w:w="709" w:type="dxa"/>
            <w:shd w:val="clear" w:color="auto" w:fill="FFFFFF" w:themeFill="background1"/>
            <w:noWrap/>
            <w:hideMark/>
          </w:tcPr>
          <w:p w:rsidR="00107245" w:rsidRPr="00D5126A" w:rsidRDefault="00107245" w:rsidP="0010724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lang w:eastAsia="en-NZ"/>
              </w:rPr>
            </w:pPr>
            <w:r w:rsidRPr="00D5126A">
              <w:rPr>
                <w:rFonts w:ascii="Arial" w:eastAsia="Times New Roman" w:hAnsi="Arial" w:cs="Arial"/>
                <w:color w:val="000000"/>
                <w:sz w:val="20"/>
                <w:lang w:eastAsia="en-NZ"/>
              </w:rPr>
              <w:t> </w:t>
            </w:r>
          </w:p>
        </w:tc>
        <w:tc>
          <w:tcPr>
            <w:tcW w:w="709" w:type="dxa"/>
            <w:shd w:val="clear" w:color="auto" w:fill="FFFFFF" w:themeFill="background1"/>
            <w:noWrap/>
            <w:hideMark/>
          </w:tcPr>
          <w:p w:rsidR="00107245" w:rsidRPr="00D5126A" w:rsidRDefault="00107245" w:rsidP="0010724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lang w:eastAsia="en-NZ"/>
              </w:rPr>
            </w:pPr>
            <w:r w:rsidRPr="00D5126A">
              <w:rPr>
                <w:rFonts w:ascii="Arial" w:eastAsia="Times New Roman" w:hAnsi="Arial" w:cs="Arial"/>
                <w:color w:val="000000"/>
                <w:sz w:val="20"/>
                <w:lang w:eastAsia="en-NZ"/>
              </w:rPr>
              <w:t> </w:t>
            </w:r>
          </w:p>
        </w:tc>
        <w:tc>
          <w:tcPr>
            <w:tcW w:w="708" w:type="dxa"/>
            <w:shd w:val="clear" w:color="auto" w:fill="FFFFFF" w:themeFill="background1"/>
            <w:noWrap/>
            <w:hideMark/>
          </w:tcPr>
          <w:p w:rsidR="00107245" w:rsidRPr="00D5126A" w:rsidRDefault="00107245" w:rsidP="0010724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lang w:eastAsia="en-NZ"/>
              </w:rPr>
            </w:pPr>
            <w:r w:rsidRPr="00D5126A">
              <w:rPr>
                <w:rFonts w:ascii="Arial" w:eastAsia="Times New Roman" w:hAnsi="Arial" w:cs="Arial"/>
                <w:color w:val="000000"/>
                <w:sz w:val="20"/>
                <w:lang w:eastAsia="en-NZ"/>
              </w:rPr>
              <w:t> </w:t>
            </w:r>
          </w:p>
        </w:tc>
        <w:tc>
          <w:tcPr>
            <w:tcW w:w="425" w:type="dxa"/>
            <w:shd w:val="clear" w:color="auto" w:fill="FFFFFF" w:themeFill="background1"/>
            <w:noWrap/>
            <w:hideMark/>
          </w:tcPr>
          <w:p w:rsidR="00107245" w:rsidRPr="00D5126A" w:rsidRDefault="00107245" w:rsidP="0010724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lang w:eastAsia="en-NZ"/>
              </w:rPr>
            </w:pPr>
            <w:r w:rsidRPr="00D5126A">
              <w:rPr>
                <w:rFonts w:ascii="Arial" w:eastAsia="Times New Roman" w:hAnsi="Arial" w:cs="Arial"/>
                <w:color w:val="000000"/>
                <w:sz w:val="20"/>
                <w:lang w:eastAsia="en-NZ"/>
              </w:rPr>
              <w:t>7</w:t>
            </w:r>
          </w:p>
        </w:tc>
        <w:tc>
          <w:tcPr>
            <w:tcW w:w="851" w:type="dxa"/>
            <w:shd w:val="clear" w:color="auto" w:fill="FFFFFF" w:themeFill="background1"/>
            <w:noWrap/>
            <w:hideMark/>
          </w:tcPr>
          <w:p w:rsidR="00107245" w:rsidRPr="00D5126A" w:rsidRDefault="00107245" w:rsidP="0010724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lang w:eastAsia="en-NZ"/>
              </w:rPr>
            </w:pPr>
            <w:r w:rsidRPr="00D5126A">
              <w:rPr>
                <w:rFonts w:ascii="Arial" w:eastAsia="Times New Roman" w:hAnsi="Arial" w:cs="Arial"/>
                <w:color w:val="000000"/>
                <w:sz w:val="20"/>
                <w:lang w:eastAsia="en-NZ"/>
              </w:rPr>
              <w:t> </w:t>
            </w:r>
          </w:p>
        </w:tc>
        <w:tc>
          <w:tcPr>
            <w:tcW w:w="709" w:type="dxa"/>
            <w:shd w:val="clear" w:color="auto" w:fill="FFFFFF" w:themeFill="background1"/>
            <w:noWrap/>
            <w:hideMark/>
          </w:tcPr>
          <w:p w:rsidR="00107245" w:rsidRPr="00D5126A" w:rsidRDefault="00107245" w:rsidP="0010724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lang w:eastAsia="en-NZ"/>
              </w:rPr>
            </w:pPr>
            <w:r w:rsidRPr="00D5126A">
              <w:rPr>
                <w:rFonts w:ascii="Arial" w:eastAsia="Times New Roman" w:hAnsi="Arial" w:cs="Arial"/>
                <w:color w:val="000000"/>
                <w:sz w:val="20"/>
                <w:lang w:eastAsia="en-NZ"/>
              </w:rPr>
              <w:t> </w:t>
            </w:r>
          </w:p>
        </w:tc>
      </w:tr>
      <w:tr w:rsidR="005D6D1F" w:rsidRPr="00D5126A" w:rsidTr="00107245">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418" w:type="dxa"/>
            <w:shd w:val="clear" w:color="auto" w:fill="8DB3E2" w:themeFill="text2" w:themeFillTint="66"/>
            <w:noWrap/>
            <w:hideMark/>
          </w:tcPr>
          <w:p w:rsidR="00107245" w:rsidRPr="00D5126A" w:rsidRDefault="00107245" w:rsidP="00107245">
            <w:pPr>
              <w:rPr>
                <w:rFonts w:ascii="Arial" w:eastAsia="Times New Roman" w:hAnsi="Arial" w:cs="Arial"/>
                <w:color w:val="000000"/>
                <w:sz w:val="20"/>
                <w:lang w:eastAsia="en-NZ"/>
              </w:rPr>
            </w:pPr>
            <w:r w:rsidRPr="00D5126A">
              <w:rPr>
                <w:rFonts w:ascii="Arial" w:eastAsia="Times New Roman" w:hAnsi="Arial" w:cs="Arial"/>
                <w:color w:val="000000"/>
                <w:sz w:val="20"/>
                <w:lang w:eastAsia="en-NZ"/>
              </w:rPr>
              <w:t>Fleur Fitzsimons</w:t>
            </w:r>
          </w:p>
        </w:tc>
        <w:tc>
          <w:tcPr>
            <w:tcW w:w="709" w:type="dxa"/>
            <w:shd w:val="clear" w:color="auto" w:fill="FFFFFF" w:themeFill="background1"/>
            <w:noWrap/>
            <w:hideMark/>
          </w:tcPr>
          <w:p w:rsidR="00107245" w:rsidRPr="00D5126A" w:rsidRDefault="00107245" w:rsidP="00107245">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20"/>
                <w:lang w:eastAsia="en-NZ"/>
              </w:rPr>
            </w:pPr>
            <w:r w:rsidRPr="00D5126A">
              <w:rPr>
                <w:rFonts w:ascii="Arial" w:eastAsia="Times New Roman" w:hAnsi="Arial" w:cs="Arial"/>
                <w:color w:val="000000"/>
                <w:sz w:val="20"/>
                <w:lang w:eastAsia="en-NZ"/>
              </w:rPr>
              <w:t>51</w:t>
            </w:r>
          </w:p>
        </w:tc>
        <w:tc>
          <w:tcPr>
            <w:tcW w:w="488" w:type="dxa"/>
            <w:shd w:val="clear" w:color="auto" w:fill="FFFFFF" w:themeFill="background1"/>
            <w:noWrap/>
            <w:hideMark/>
          </w:tcPr>
          <w:p w:rsidR="00107245" w:rsidRPr="00D5126A" w:rsidRDefault="00107245" w:rsidP="00107245">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20"/>
                <w:lang w:eastAsia="en-NZ"/>
              </w:rPr>
            </w:pPr>
            <w:r w:rsidRPr="00D5126A">
              <w:rPr>
                <w:rFonts w:ascii="Arial" w:eastAsia="Times New Roman" w:hAnsi="Arial" w:cs="Arial"/>
                <w:color w:val="000000"/>
                <w:sz w:val="20"/>
                <w:lang w:eastAsia="en-NZ"/>
              </w:rPr>
              <w:t>50</w:t>
            </w:r>
          </w:p>
        </w:tc>
        <w:tc>
          <w:tcPr>
            <w:tcW w:w="646" w:type="dxa"/>
            <w:shd w:val="clear" w:color="auto" w:fill="FFFFFF" w:themeFill="background1"/>
            <w:noWrap/>
            <w:hideMark/>
          </w:tcPr>
          <w:p w:rsidR="00107245" w:rsidRPr="00D5126A" w:rsidRDefault="00107245" w:rsidP="00107245">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20"/>
                <w:lang w:eastAsia="en-NZ"/>
              </w:rPr>
            </w:pPr>
            <w:r w:rsidRPr="00D5126A">
              <w:rPr>
                <w:rFonts w:ascii="Arial" w:eastAsia="Times New Roman" w:hAnsi="Arial" w:cs="Arial"/>
                <w:color w:val="000000"/>
                <w:sz w:val="20"/>
                <w:lang w:eastAsia="en-NZ"/>
              </w:rPr>
              <w:t>98%</w:t>
            </w:r>
          </w:p>
        </w:tc>
        <w:tc>
          <w:tcPr>
            <w:tcW w:w="566" w:type="dxa"/>
            <w:shd w:val="clear" w:color="auto" w:fill="FFFFFF" w:themeFill="background1"/>
            <w:noWrap/>
            <w:hideMark/>
          </w:tcPr>
          <w:p w:rsidR="00107245" w:rsidRPr="00D5126A" w:rsidRDefault="00107245" w:rsidP="00107245">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20"/>
                <w:lang w:eastAsia="en-NZ"/>
              </w:rPr>
            </w:pPr>
            <w:r w:rsidRPr="00D5126A">
              <w:rPr>
                <w:rFonts w:ascii="Arial" w:eastAsia="Times New Roman" w:hAnsi="Arial" w:cs="Arial"/>
                <w:color w:val="000000"/>
                <w:sz w:val="20"/>
                <w:lang w:eastAsia="en-NZ"/>
              </w:rPr>
              <w:t>10</w:t>
            </w:r>
          </w:p>
        </w:tc>
        <w:tc>
          <w:tcPr>
            <w:tcW w:w="538" w:type="dxa"/>
            <w:shd w:val="clear" w:color="auto" w:fill="FFFFFF" w:themeFill="background1"/>
            <w:noWrap/>
            <w:hideMark/>
          </w:tcPr>
          <w:p w:rsidR="00107245" w:rsidRPr="00D5126A" w:rsidRDefault="00107245" w:rsidP="00107245">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20"/>
                <w:lang w:eastAsia="en-NZ"/>
              </w:rPr>
            </w:pPr>
            <w:r w:rsidRPr="00D5126A">
              <w:rPr>
                <w:rFonts w:ascii="Arial" w:eastAsia="Times New Roman" w:hAnsi="Arial" w:cs="Arial"/>
                <w:color w:val="000000"/>
                <w:sz w:val="20"/>
                <w:lang w:eastAsia="en-NZ"/>
              </w:rPr>
              <w:t>27</w:t>
            </w:r>
          </w:p>
        </w:tc>
        <w:tc>
          <w:tcPr>
            <w:tcW w:w="739" w:type="dxa"/>
            <w:shd w:val="clear" w:color="auto" w:fill="FFFFFF" w:themeFill="background1"/>
            <w:noWrap/>
            <w:hideMark/>
          </w:tcPr>
          <w:p w:rsidR="00107245" w:rsidRPr="00D5126A" w:rsidRDefault="00107245" w:rsidP="00107245">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20"/>
                <w:lang w:eastAsia="en-NZ"/>
              </w:rPr>
            </w:pPr>
            <w:r w:rsidRPr="00D5126A">
              <w:rPr>
                <w:rFonts w:ascii="Arial" w:eastAsia="Times New Roman" w:hAnsi="Arial" w:cs="Arial"/>
                <w:color w:val="000000"/>
                <w:sz w:val="20"/>
                <w:lang w:eastAsia="en-NZ"/>
              </w:rPr>
              <w:t>5</w:t>
            </w:r>
          </w:p>
        </w:tc>
        <w:tc>
          <w:tcPr>
            <w:tcW w:w="567" w:type="dxa"/>
            <w:shd w:val="clear" w:color="auto" w:fill="FFFFFF" w:themeFill="background1"/>
            <w:noWrap/>
            <w:hideMark/>
          </w:tcPr>
          <w:p w:rsidR="00107245" w:rsidRPr="00D5126A" w:rsidRDefault="00107245" w:rsidP="00107245">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20"/>
                <w:lang w:eastAsia="en-NZ"/>
              </w:rPr>
            </w:pPr>
            <w:r w:rsidRPr="00D5126A">
              <w:rPr>
                <w:rFonts w:ascii="Arial" w:eastAsia="Times New Roman" w:hAnsi="Arial" w:cs="Arial"/>
                <w:color w:val="000000"/>
                <w:sz w:val="20"/>
                <w:lang w:eastAsia="en-NZ"/>
              </w:rPr>
              <w:t> </w:t>
            </w:r>
          </w:p>
        </w:tc>
        <w:tc>
          <w:tcPr>
            <w:tcW w:w="388" w:type="dxa"/>
            <w:shd w:val="clear" w:color="auto" w:fill="FFFFFF" w:themeFill="background1"/>
            <w:noWrap/>
            <w:hideMark/>
          </w:tcPr>
          <w:p w:rsidR="00107245" w:rsidRPr="00D5126A" w:rsidRDefault="00107245" w:rsidP="00107245">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20"/>
                <w:lang w:eastAsia="en-NZ"/>
              </w:rPr>
            </w:pPr>
            <w:r w:rsidRPr="00D5126A">
              <w:rPr>
                <w:rFonts w:ascii="Arial" w:eastAsia="Times New Roman" w:hAnsi="Arial" w:cs="Arial"/>
                <w:color w:val="000000"/>
                <w:sz w:val="20"/>
                <w:lang w:eastAsia="en-NZ"/>
              </w:rPr>
              <w:t>3</w:t>
            </w:r>
          </w:p>
        </w:tc>
        <w:tc>
          <w:tcPr>
            <w:tcW w:w="462" w:type="dxa"/>
            <w:shd w:val="clear" w:color="auto" w:fill="FFFFFF" w:themeFill="background1"/>
            <w:noWrap/>
            <w:hideMark/>
          </w:tcPr>
          <w:p w:rsidR="00107245" w:rsidRPr="00D5126A" w:rsidRDefault="00107245" w:rsidP="00107245">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20"/>
                <w:lang w:eastAsia="en-NZ"/>
              </w:rPr>
            </w:pPr>
            <w:r w:rsidRPr="00D5126A">
              <w:rPr>
                <w:rFonts w:ascii="Arial" w:eastAsia="Times New Roman" w:hAnsi="Arial" w:cs="Arial"/>
                <w:color w:val="000000"/>
                <w:sz w:val="20"/>
                <w:lang w:eastAsia="en-NZ"/>
              </w:rPr>
              <w:t> </w:t>
            </w:r>
          </w:p>
        </w:tc>
        <w:tc>
          <w:tcPr>
            <w:tcW w:w="709" w:type="dxa"/>
            <w:shd w:val="clear" w:color="auto" w:fill="FFFFFF" w:themeFill="background1"/>
            <w:noWrap/>
            <w:hideMark/>
          </w:tcPr>
          <w:p w:rsidR="00107245" w:rsidRPr="00D5126A" w:rsidRDefault="00107245" w:rsidP="00107245">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20"/>
                <w:lang w:eastAsia="en-NZ"/>
              </w:rPr>
            </w:pPr>
            <w:r w:rsidRPr="00D5126A">
              <w:rPr>
                <w:rFonts w:ascii="Arial" w:eastAsia="Times New Roman" w:hAnsi="Arial" w:cs="Arial"/>
                <w:color w:val="000000"/>
                <w:sz w:val="20"/>
                <w:lang w:eastAsia="en-NZ"/>
              </w:rPr>
              <w:t>3</w:t>
            </w:r>
          </w:p>
        </w:tc>
        <w:tc>
          <w:tcPr>
            <w:tcW w:w="709" w:type="dxa"/>
            <w:shd w:val="clear" w:color="auto" w:fill="FFFFFF" w:themeFill="background1"/>
            <w:noWrap/>
            <w:hideMark/>
          </w:tcPr>
          <w:p w:rsidR="00107245" w:rsidRPr="00D5126A" w:rsidRDefault="00107245" w:rsidP="00107245">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20"/>
                <w:lang w:eastAsia="en-NZ"/>
              </w:rPr>
            </w:pPr>
            <w:r w:rsidRPr="00D5126A">
              <w:rPr>
                <w:rFonts w:ascii="Arial" w:eastAsia="Times New Roman" w:hAnsi="Arial" w:cs="Arial"/>
                <w:color w:val="000000"/>
                <w:sz w:val="20"/>
                <w:lang w:eastAsia="en-NZ"/>
              </w:rPr>
              <w:t> </w:t>
            </w:r>
          </w:p>
        </w:tc>
        <w:tc>
          <w:tcPr>
            <w:tcW w:w="708" w:type="dxa"/>
            <w:shd w:val="clear" w:color="auto" w:fill="FFFFFF" w:themeFill="background1"/>
            <w:noWrap/>
            <w:hideMark/>
          </w:tcPr>
          <w:p w:rsidR="00107245" w:rsidRPr="00D5126A" w:rsidRDefault="00107245" w:rsidP="00107245">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20"/>
                <w:lang w:eastAsia="en-NZ"/>
              </w:rPr>
            </w:pPr>
            <w:r w:rsidRPr="00D5126A">
              <w:rPr>
                <w:rFonts w:ascii="Arial" w:eastAsia="Times New Roman" w:hAnsi="Arial" w:cs="Arial"/>
                <w:color w:val="000000"/>
                <w:sz w:val="20"/>
                <w:lang w:eastAsia="en-NZ"/>
              </w:rPr>
              <w:t>2</w:t>
            </w:r>
          </w:p>
        </w:tc>
        <w:tc>
          <w:tcPr>
            <w:tcW w:w="425" w:type="dxa"/>
            <w:shd w:val="clear" w:color="auto" w:fill="FFFFFF" w:themeFill="background1"/>
            <w:noWrap/>
            <w:hideMark/>
          </w:tcPr>
          <w:p w:rsidR="00107245" w:rsidRPr="00D5126A" w:rsidRDefault="00107245" w:rsidP="00107245">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20"/>
                <w:lang w:eastAsia="en-NZ"/>
              </w:rPr>
            </w:pPr>
            <w:r w:rsidRPr="00D5126A">
              <w:rPr>
                <w:rFonts w:ascii="Arial" w:eastAsia="Times New Roman" w:hAnsi="Arial" w:cs="Arial"/>
                <w:color w:val="000000"/>
                <w:sz w:val="20"/>
                <w:lang w:eastAsia="en-NZ"/>
              </w:rPr>
              <w:t> </w:t>
            </w:r>
          </w:p>
        </w:tc>
        <w:tc>
          <w:tcPr>
            <w:tcW w:w="851" w:type="dxa"/>
            <w:shd w:val="clear" w:color="auto" w:fill="FFFFFF" w:themeFill="background1"/>
            <w:noWrap/>
            <w:hideMark/>
          </w:tcPr>
          <w:p w:rsidR="00107245" w:rsidRPr="00D5126A" w:rsidRDefault="00107245" w:rsidP="00107245">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20"/>
                <w:lang w:eastAsia="en-NZ"/>
              </w:rPr>
            </w:pPr>
            <w:r w:rsidRPr="00D5126A">
              <w:rPr>
                <w:rFonts w:ascii="Arial" w:eastAsia="Times New Roman" w:hAnsi="Arial" w:cs="Arial"/>
                <w:color w:val="000000"/>
                <w:sz w:val="20"/>
                <w:lang w:eastAsia="en-NZ"/>
              </w:rPr>
              <w:t> </w:t>
            </w:r>
          </w:p>
        </w:tc>
        <w:tc>
          <w:tcPr>
            <w:tcW w:w="709" w:type="dxa"/>
            <w:shd w:val="clear" w:color="auto" w:fill="FFFFFF" w:themeFill="background1"/>
            <w:noWrap/>
            <w:hideMark/>
          </w:tcPr>
          <w:p w:rsidR="00107245" w:rsidRPr="00D5126A" w:rsidRDefault="00107245" w:rsidP="00107245">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20"/>
                <w:lang w:eastAsia="en-NZ"/>
              </w:rPr>
            </w:pPr>
            <w:r w:rsidRPr="00D5126A">
              <w:rPr>
                <w:rFonts w:ascii="Arial" w:eastAsia="Times New Roman" w:hAnsi="Arial" w:cs="Arial"/>
                <w:color w:val="000000"/>
                <w:sz w:val="20"/>
                <w:lang w:eastAsia="en-NZ"/>
              </w:rPr>
              <w:t> </w:t>
            </w:r>
          </w:p>
        </w:tc>
      </w:tr>
      <w:tr w:rsidR="005D6D1F" w:rsidRPr="00D5126A" w:rsidTr="00107245">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418" w:type="dxa"/>
            <w:shd w:val="clear" w:color="auto" w:fill="8DB3E2" w:themeFill="text2" w:themeFillTint="66"/>
            <w:noWrap/>
            <w:hideMark/>
          </w:tcPr>
          <w:p w:rsidR="00107245" w:rsidRPr="00D5126A" w:rsidRDefault="00107245" w:rsidP="00107245">
            <w:pPr>
              <w:rPr>
                <w:rFonts w:ascii="Arial" w:eastAsia="Times New Roman" w:hAnsi="Arial" w:cs="Arial"/>
                <w:color w:val="000000"/>
                <w:sz w:val="20"/>
                <w:lang w:eastAsia="en-NZ"/>
              </w:rPr>
            </w:pPr>
            <w:r w:rsidRPr="00D5126A">
              <w:rPr>
                <w:rFonts w:ascii="Arial" w:eastAsia="Times New Roman" w:hAnsi="Arial" w:cs="Arial"/>
                <w:color w:val="000000"/>
                <w:sz w:val="20"/>
                <w:lang w:eastAsia="en-NZ"/>
              </w:rPr>
              <w:t>Andy Foster</w:t>
            </w:r>
          </w:p>
        </w:tc>
        <w:tc>
          <w:tcPr>
            <w:tcW w:w="709" w:type="dxa"/>
            <w:shd w:val="clear" w:color="auto" w:fill="FFFFFF" w:themeFill="background1"/>
            <w:noWrap/>
            <w:hideMark/>
          </w:tcPr>
          <w:p w:rsidR="00107245" w:rsidRPr="00D5126A" w:rsidRDefault="00107245" w:rsidP="0010724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lang w:eastAsia="en-NZ"/>
              </w:rPr>
            </w:pPr>
            <w:r w:rsidRPr="00D5126A">
              <w:rPr>
                <w:rFonts w:ascii="Arial" w:eastAsia="Times New Roman" w:hAnsi="Arial" w:cs="Arial"/>
                <w:color w:val="000000"/>
                <w:sz w:val="20"/>
                <w:lang w:eastAsia="en-NZ"/>
              </w:rPr>
              <w:t>53</w:t>
            </w:r>
          </w:p>
        </w:tc>
        <w:tc>
          <w:tcPr>
            <w:tcW w:w="488" w:type="dxa"/>
            <w:shd w:val="clear" w:color="auto" w:fill="FFFFFF" w:themeFill="background1"/>
            <w:noWrap/>
            <w:hideMark/>
          </w:tcPr>
          <w:p w:rsidR="00107245" w:rsidRPr="00D5126A" w:rsidRDefault="00107245" w:rsidP="0010724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lang w:eastAsia="en-NZ"/>
              </w:rPr>
            </w:pPr>
            <w:r w:rsidRPr="00D5126A">
              <w:rPr>
                <w:rFonts w:ascii="Arial" w:eastAsia="Times New Roman" w:hAnsi="Arial" w:cs="Arial"/>
                <w:color w:val="000000"/>
                <w:sz w:val="20"/>
                <w:lang w:eastAsia="en-NZ"/>
              </w:rPr>
              <w:t>51</w:t>
            </w:r>
          </w:p>
        </w:tc>
        <w:tc>
          <w:tcPr>
            <w:tcW w:w="646" w:type="dxa"/>
            <w:shd w:val="clear" w:color="auto" w:fill="FFFFFF" w:themeFill="background1"/>
            <w:noWrap/>
            <w:hideMark/>
          </w:tcPr>
          <w:p w:rsidR="00107245" w:rsidRPr="00D5126A" w:rsidRDefault="00107245" w:rsidP="0010724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lang w:eastAsia="en-NZ"/>
              </w:rPr>
            </w:pPr>
            <w:r w:rsidRPr="00D5126A">
              <w:rPr>
                <w:rFonts w:ascii="Arial" w:eastAsia="Times New Roman" w:hAnsi="Arial" w:cs="Arial"/>
                <w:color w:val="000000"/>
                <w:sz w:val="20"/>
                <w:lang w:eastAsia="en-NZ"/>
              </w:rPr>
              <w:t>96%</w:t>
            </w:r>
          </w:p>
        </w:tc>
        <w:tc>
          <w:tcPr>
            <w:tcW w:w="566" w:type="dxa"/>
            <w:shd w:val="clear" w:color="auto" w:fill="FFFFFF" w:themeFill="background1"/>
            <w:noWrap/>
            <w:hideMark/>
          </w:tcPr>
          <w:p w:rsidR="00107245" w:rsidRPr="00D5126A" w:rsidRDefault="00107245" w:rsidP="0010724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lang w:eastAsia="en-NZ"/>
              </w:rPr>
            </w:pPr>
            <w:r w:rsidRPr="00D5126A">
              <w:rPr>
                <w:rFonts w:ascii="Arial" w:eastAsia="Times New Roman" w:hAnsi="Arial" w:cs="Arial"/>
                <w:color w:val="000000"/>
                <w:sz w:val="20"/>
                <w:lang w:eastAsia="en-NZ"/>
              </w:rPr>
              <w:t>10</w:t>
            </w:r>
          </w:p>
        </w:tc>
        <w:tc>
          <w:tcPr>
            <w:tcW w:w="538" w:type="dxa"/>
            <w:shd w:val="clear" w:color="auto" w:fill="FFFFFF" w:themeFill="background1"/>
            <w:noWrap/>
            <w:hideMark/>
          </w:tcPr>
          <w:p w:rsidR="00107245" w:rsidRPr="00D5126A" w:rsidRDefault="00107245" w:rsidP="0010724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lang w:eastAsia="en-NZ"/>
              </w:rPr>
            </w:pPr>
            <w:r w:rsidRPr="00D5126A">
              <w:rPr>
                <w:rFonts w:ascii="Arial" w:eastAsia="Times New Roman" w:hAnsi="Arial" w:cs="Arial"/>
                <w:color w:val="000000"/>
                <w:sz w:val="20"/>
                <w:lang w:eastAsia="en-NZ"/>
              </w:rPr>
              <w:t>26</w:t>
            </w:r>
          </w:p>
        </w:tc>
        <w:tc>
          <w:tcPr>
            <w:tcW w:w="739" w:type="dxa"/>
            <w:shd w:val="clear" w:color="auto" w:fill="FFFFFF" w:themeFill="background1"/>
            <w:noWrap/>
            <w:hideMark/>
          </w:tcPr>
          <w:p w:rsidR="00107245" w:rsidRPr="00D5126A" w:rsidRDefault="00107245" w:rsidP="0010724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lang w:eastAsia="en-NZ"/>
              </w:rPr>
            </w:pPr>
            <w:r w:rsidRPr="00D5126A">
              <w:rPr>
                <w:rFonts w:ascii="Arial" w:eastAsia="Times New Roman" w:hAnsi="Arial" w:cs="Arial"/>
                <w:color w:val="000000"/>
                <w:sz w:val="20"/>
                <w:lang w:eastAsia="en-NZ"/>
              </w:rPr>
              <w:t>4</w:t>
            </w:r>
          </w:p>
        </w:tc>
        <w:tc>
          <w:tcPr>
            <w:tcW w:w="567" w:type="dxa"/>
            <w:shd w:val="clear" w:color="auto" w:fill="FFFFFF" w:themeFill="background1"/>
            <w:noWrap/>
            <w:hideMark/>
          </w:tcPr>
          <w:p w:rsidR="00107245" w:rsidRPr="00D5126A" w:rsidRDefault="00107245" w:rsidP="0010724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lang w:eastAsia="en-NZ"/>
              </w:rPr>
            </w:pPr>
            <w:r w:rsidRPr="00D5126A">
              <w:rPr>
                <w:rFonts w:ascii="Arial" w:eastAsia="Times New Roman" w:hAnsi="Arial" w:cs="Arial"/>
                <w:color w:val="000000"/>
                <w:sz w:val="20"/>
                <w:lang w:eastAsia="en-NZ"/>
              </w:rPr>
              <w:t> </w:t>
            </w:r>
          </w:p>
        </w:tc>
        <w:tc>
          <w:tcPr>
            <w:tcW w:w="388" w:type="dxa"/>
            <w:shd w:val="clear" w:color="auto" w:fill="FFFFFF" w:themeFill="background1"/>
            <w:noWrap/>
            <w:hideMark/>
          </w:tcPr>
          <w:p w:rsidR="00107245" w:rsidRPr="00D5126A" w:rsidRDefault="00107245" w:rsidP="0010724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lang w:eastAsia="en-NZ"/>
              </w:rPr>
            </w:pPr>
            <w:r w:rsidRPr="00D5126A">
              <w:rPr>
                <w:rFonts w:ascii="Arial" w:eastAsia="Times New Roman" w:hAnsi="Arial" w:cs="Arial"/>
                <w:color w:val="000000"/>
                <w:sz w:val="20"/>
                <w:lang w:eastAsia="en-NZ"/>
              </w:rPr>
              <w:t>4</w:t>
            </w:r>
          </w:p>
        </w:tc>
        <w:tc>
          <w:tcPr>
            <w:tcW w:w="462" w:type="dxa"/>
            <w:shd w:val="clear" w:color="auto" w:fill="FFFFFF" w:themeFill="background1"/>
            <w:noWrap/>
            <w:hideMark/>
          </w:tcPr>
          <w:p w:rsidR="00107245" w:rsidRPr="00D5126A" w:rsidRDefault="00107245" w:rsidP="0010724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lang w:eastAsia="en-NZ"/>
              </w:rPr>
            </w:pPr>
            <w:r w:rsidRPr="00D5126A">
              <w:rPr>
                <w:rFonts w:ascii="Arial" w:eastAsia="Times New Roman" w:hAnsi="Arial" w:cs="Arial"/>
                <w:color w:val="000000"/>
                <w:sz w:val="20"/>
                <w:lang w:eastAsia="en-NZ"/>
              </w:rPr>
              <w:t>1</w:t>
            </w:r>
          </w:p>
        </w:tc>
        <w:tc>
          <w:tcPr>
            <w:tcW w:w="709" w:type="dxa"/>
            <w:shd w:val="clear" w:color="auto" w:fill="FFFFFF" w:themeFill="background1"/>
            <w:noWrap/>
            <w:hideMark/>
          </w:tcPr>
          <w:p w:rsidR="00107245" w:rsidRPr="00D5126A" w:rsidRDefault="00107245" w:rsidP="0010724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lang w:eastAsia="en-NZ"/>
              </w:rPr>
            </w:pPr>
            <w:r w:rsidRPr="00D5126A">
              <w:rPr>
                <w:rFonts w:ascii="Arial" w:eastAsia="Times New Roman" w:hAnsi="Arial" w:cs="Arial"/>
                <w:color w:val="000000"/>
                <w:sz w:val="20"/>
                <w:lang w:eastAsia="en-NZ"/>
              </w:rPr>
              <w:t> </w:t>
            </w:r>
          </w:p>
        </w:tc>
        <w:tc>
          <w:tcPr>
            <w:tcW w:w="709" w:type="dxa"/>
            <w:shd w:val="clear" w:color="auto" w:fill="FFFFFF" w:themeFill="background1"/>
            <w:noWrap/>
            <w:hideMark/>
          </w:tcPr>
          <w:p w:rsidR="00107245" w:rsidRPr="00D5126A" w:rsidRDefault="00107245" w:rsidP="0010724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lang w:eastAsia="en-NZ"/>
              </w:rPr>
            </w:pPr>
            <w:r w:rsidRPr="00D5126A">
              <w:rPr>
                <w:rFonts w:ascii="Arial" w:eastAsia="Times New Roman" w:hAnsi="Arial" w:cs="Arial"/>
                <w:color w:val="000000"/>
                <w:sz w:val="20"/>
                <w:lang w:eastAsia="en-NZ"/>
              </w:rPr>
              <w:t>4</w:t>
            </w:r>
          </w:p>
        </w:tc>
        <w:tc>
          <w:tcPr>
            <w:tcW w:w="708" w:type="dxa"/>
            <w:shd w:val="clear" w:color="auto" w:fill="FFFFFF" w:themeFill="background1"/>
            <w:noWrap/>
            <w:hideMark/>
          </w:tcPr>
          <w:p w:rsidR="00107245" w:rsidRPr="00D5126A" w:rsidRDefault="00107245" w:rsidP="0010724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lang w:eastAsia="en-NZ"/>
              </w:rPr>
            </w:pPr>
            <w:r w:rsidRPr="00D5126A">
              <w:rPr>
                <w:rFonts w:ascii="Arial" w:eastAsia="Times New Roman" w:hAnsi="Arial" w:cs="Arial"/>
                <w:color w:val="000000"/>
                <w:sz w:val="20"/>
                <w:lang w:eastAsia="en-NZ"/>
              </w:rPr>
              <w:t>2</w:t>
            </w:r>
          </w:p>
        </w:tc>
        <w:tc>
          <w:tcPr>
            <w:tcW w:w="425" w:type="dxa"/>
            <w:shd w:val="clear" w:color="auto" w:fill="FFFFFF" w:themeFill="background1"/>
            <w:noWrap/>
            <w:hideMark/>
          </w:tcPr>
          <w:p w:rsidR="00107245" w:rsidRPr="00D5126A" w:rsidRDefault="00107245" w:rsidP="0010724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lang w:eastAsia="en-NZ"/>
              </w:rPr>
            </w:pPr>
            <w:r w:rsidRPr="00D5126A">
              <w:rPr>
                <w:rFonts w:ascii="Arial" w:eastAsia="Times New Roman" w:hAnsi="Arial" w:cs="Arial"/>
                <w:color w:val="000000"/>
                <w:sz w:val="20"/>
                <w:lang w:eastAsia="en-NZ"/>
              </w:rPr>
              <w:t> </w:t>
            </w:r>
          </w:p>
        </w:tc>
        <w:tc>
          <w:tcPr>
            <w:tcW w:w="851" w:type="dxa"/>
            <w:shd w:val="clear" w:color="auto" w:fill="FFFFFF" w:themeFill="background1"/>
            <w:noWrap/>
            <w:hideMark/>
          </w:tcPr>
          <w:p w:rsidR="00107245" w:rsidRPr="00D5126A" w:rsidRDefault="00107245" w:rsidP="0010724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lang w:eastAsia="en-NZ"/>
              </w:rPr>
            </w:pPr>
            <w:r w:rsidRPr="00D5126A">
              <w:rPr>
                <w:rFonts w:ascii="Arial" w:eastAsia="Times New Roman" w:hAnsi="Arial" w:cs="Arial"/>
                <w:color w:val="000000"/>
                <w:sz w:val="20"/>
                <w:lang w:eastAsia="en-NZ"/>
              </w:rPr>
              <w:t> </w:t>
            </w:r>
          </w:p>
        </w:tc>
        <w:tc>
          <w:tcPr>
            <w:tcW w:w="709" w:type="dxa"/>
            <w:shd w:val="clear" w:color="auto" w:fill="FFFFFF" w:themeFill="background1"/>
            <w:noWrap/>
            <w:hideMark/>
          </w:tcPr>
          <w:p w:rsidR="00107245" w:rsidRPr="00D5126A" w:rsidRDefault="00107245" w:rsidP="0010724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lang w:eastAsia="en-NZ"/>
              </w:rPr>
            </w:pPr>
            <w:r w:rsidRPr="00D5126A">
              <w:rPr>
                <w:rFonts w:ascii="Arial" w:eastAsia="Times New Roman" w:hAnsi="Arial" w:cs="Arial"/>
                <w:color w:val="000000"/>
                <w:sz w:val="20"/>
                <w:lang w:eastAsia="en-NZ"/>
              </w:rPr>
              <w:t> </w:t>
            </w:r>
          </w:p>
        </w:tc>
      </w:tr>
      <w:tr w:rsidR="005D6D1F" w:rsidRPr="00D5126A" w:rsidTr="00107245">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418" w:type="dxa"/>
            <w:shd w:val="clear" w:color="auto" w:fill="8DB3E2" w:themeFill="text2" w:themeFillTint="66"/>
            <w:noWrap/>
            <w:hideMark/>
          </w:tcPr>
          <w:p w:rsidR="00107245" w:rsidRPr="00D5126A" w:rsidRDefault="00107245" w:rsidP="00107245">
            <w:pPr>
              <w:rPr>
                <w:rFonts w:ascii="Arial" w:eastAsia="Times New Roman" w:hAnsi="Arial" w:cs="Arial"/>
                <w:color w:val="000000"/>
                <w:sz w:val="20"/>
                <w:lang w:eastAsia="en-NZ"/>
              </w:rPr>
            </w:pPr>
            <w:r w:rsidRPr="00D5126A">
              <w:rPr>
                <w:rFonts w:ascii="Arial" w:eastAsia="Times New Roman" w:hAnsi="Arial" w:cs="Arial"/>
                <w:color w:val="000000"/>
                <w:sz w:val="20"/>
                <w:lang w:eastAsia="en-NZ"/>
              </w:rPr>
              <w:t>Sarah Free</w:t>
            </w:r>
          </w:p>
        </w:tc>
        <w:tc>
          <w:tcPr>
            <w:tcW w:w="709" w:type="dxa"/>
            <w:shd w:val="clear" w:color="auto" w:fill="FFFFFF" w:themeFill="background1"/>
            <w:noWrap/>
            <w:hideMark/>
          </w:tcPr>
          <w:p w:rsidR="00107245" w:rsidRPr="00D5126A" w:rsidRDefault="00107245" w:rsidP="00107245">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20"/>
                <w:lang w:eastAsia="en-NZ"/>
              </w:rPr>
            </w:pPr>
            <w:r w:rsidRPr="00D5126A">
              <w:rPr>
                <w:rFonts w:ascii="Arial" w:eastAsia="Times New Roman" w:hAnsi="Arial" w:cs="Arial"/>
                <w:color w:val="000000"/>
                <w:sz w:val="20"/>
                <w:lang w:eastAsia="en-NZ"/>
              </w:rPr>
              <w:t>54</w:t>
            </w:r>
          </w:p>
        </w:tc>
        <w:tc>
          <w:tcPr>
            <w:tcW w:w="488" w:type="dxa"/>
            <w:shd w:val="clear" w:color="auto" w:fill="FFFFFF" w:themeFill="background1"/>
            <w:noWrap/>
            <w:hideMark/>
          </w:tcPr>
          <w:p w:rsidR="00107245" w:rsidRPr="00D5126A" w:rsidRDefault="00107245" w:rsidP="00107245">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20"/>
                <w:lang w:eastAsia="en-NZ"/>
              </w:rPr>
            </w:pPr>
            <w:r w:rsidRPr="00D5126A">
              <w:rPr>
                <w:rFonts w:ascii="Arial" w:eastAsia="Times New Roman" w:hAnsi="Arial" w:cs="Arial"/>
                <w:color w:val="000000"/>
                <w:sz w:val="20"/>
                <w:lang w:eastAsia="en-NZ"/>
              </w:rPr>
              <w:t>51</w:t>
            </w:r>
          </w:p>
        </w:tc>
        <w:tc>
          <w:tcPr>
            <w:tcW w:w="646" w:type="dxa"/>
            <w:shd w:val="clear" w:color="auto" w:fill="FFFFFF" w:themeFill="background1"/>
            <w:noWrap/>
            <w:hideMark/>
          </w:tcPr>
          <w:p w:rsidR="00107245" w:rsidRPr="00D5126A" w:rsidRDefault="00107245" w:rsidP="00107245">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20"/>
                <w:lang w:eastAsia="en-NZ"/>
              </w:rPr>
            </w:pPr>
            <w:r w:rsidRPr="00D5126A">
              <w:rPr>
                <w:rFonts w:ascii="Arial" w:eastAsia="Times New Roman" w:hAnsi="Arial" w:cs="Arial"/>
                <w:color w:val="000000"/>
                <w:sz w:val="20"/>
                <w:lang w:eastAsia="en-NZ"/>
              </w:rPr>
              <w:t>94%</w:t>
            </w:r>
          </w:p>
        </w:tc>
        <w:tc>
          <w:tcPr>
            <w:tcW w:w="566" w:type="dxa"/>
            <w:shd w:val="clear" w:color="auto" w:fill="FFFFFF" w:themeFill="background1"/>
            <w:noWrap/>
            <w:hideMark/>
          </w:tcPr>
          <w:p w:rsidR="00107245" w:rsidRPr="00D5126A" w:rsidRDefault="00107245" w:rsidP="00107245">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20"/>
                <w:lang w:eastAsia="en-NZ"/>
              </w:rPr>
            </w:pPr>
            <w:r w:rsidRPr="00D5126A">
              <w:rPr>
                <w:rFonts w:ascii="Arial" w:eastAsia="Times New Roman" w:hAnsi="Arial" w:cs="Arial"/>
                <w:color w:val="000000"/>
                <w:sz w:val="20"/>
                <w:lang w:eastAsia="en-NZ"/>
              </w:rPr>
              <w:t>10</w:t>
            </w:r>
          </w:p>
        </w:tc>
        <w:tc>
          <w:tcPr>
            <w:tcW w:w="538" w:type="dxa"/>
            <w:shd w:val="clear" w:color="auto" w:fill="FFFFFF" w:themeFill="background1"/>
            <w:noWrap/>
            <w:hideMark/>
          </w:tcPr>
          <w:p w:rsidR="00107245" w:rsidRPr="00D5126A" w:rsidRDefault="00107245" w:rsidP="00107245">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20"/>
                <w:lang w:eastAsia="en-NZ"/>
              </w:rPr>
            </w:pPr>
            <w:r w:rsidRPr="00D5126A">
              <w:rPr>
                <w:rFonts w:ascii="Arial" w:eastAsia="Times New Roman" w:hAnsi="Arial" w:cs="Arial"/>
                <w:color w:val="000000"/>
                <w:sz w:val="20"/>
                <w:lang w:eastAsia="en-NZ"/>
              </w:rPr>
              <w:t>26</w:t>
            </w:r>
          </w:p>
        </w:tc>
        <w:tc>
          <w:tcPr>
            <w:tcW w:w="739" w:type="dxa"/>
            <w:shd w:val="clear" w:color="auto" w:fill="FFFFFF" w:themeFill="background1"/>
            <w:noWrap/>
            <w:hideMark/>
          </w:tcPr>
          <w:p w:rsidR="00107245" w:rsidRPr="00D5126A" w:rsidRDefault="00107245" w:rsidP="00107245">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20"/>
                <w:lang w:eastAsia="en-NZ"/>
              </w:rPr>
            </w:pPr>
            <w:r w:rsidRPr="00D5126A">
              <w:rPr>
                <w:rFonts w:ascii="Arial" w:eastAsia="Times New Roman" w:hAnsi="Arial" w:cs="Arial"/>
                <w:color w:val="000000"/>
                <w:sz w:val="20"/>
                <w:lang w:eastAsia="en-NZ"/>
              </w:rPr>
              <w:t>5</w:t>
            </w:r>
          </w:p>
        </w:tc>
        <w:tc>
          <w:tcPr>
            <w:tcW w:w="567" w:type="dxa"/>
            <w:shd w:val="clear" w:color="auto" w:fill="FFFFFF" w:themeFill="background1"/>
            <w:noWrap/>
            <w:hideMark/>
          </w:tcPr>
          <w:p w:rsidR="00107245" w:rsidRPr="00D5126A" w:rsidRDefault="00107245" w:rsidP="00107245">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20"/>
                <w:lang w:eastAsia="en-NZ"/>
              </w:rPr>
            </w:pPr>
            <w:r w:rsidRPr="00D5126A">
              <w:rPr>
                <w:rFonts w:ascii="Arial" w:eastAsia="Times New Roman" w:hAnsi="Arial" w:cs="Arial"/>
                <w:color w:val="000000"/>
                <w:sz w:val="20"/>
                <w:lang w:eastAsia="en-NZ"/>
              </w:rPr>
              <w:t> </w:t>
            </w:r>
          </w:p>
        </w:tc>
        <w:tc>
          <w:tcPr>
            <w:tcW w:w="388" w:type="dxa"/>
            <w:shd w:val="clear" w:color="auto" w:fill="FFFFFF" w:themeFill="background1"/>
            <w:noWrap/>
            <w:hideMark/>
          </w:tcPr>
          <w:p w:rsidR="00107245" w:rsidRPr="00D5126A" w:rsidRDefault="00107245" w:rsidP="00107245">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20"/>
                <w:lang w:eastAsia="en-NZ"/>
              </w:rPr>
            </w:pPr>
            <w:r w:rsidRPr="00D5126A">
              <w:rPr>
                <w:rFonts w:ascii="Arial" w:eastAsia="Times New Roman" w:hAnsi="Arial" w:cs="Arial"/>
                <w:color w:val="000000"/>
                <w:sz w:val="20"/>
                <w:lang w:eastAsia="en-NZ"/>
              </w:rPr>
              <w:t> </w:t>
            </w:r>
          </w:p>
        </w:tc>
        <w:tc>
          <w:tcPr>
            <w:tcW w:w="462" w:type="dxa"/>
            <w:shd w:val="clear" w:color="auto" w:fill="FFFFFF" w:themeFill="background1"/>
            <w:noWrap/>
            <w:hideMark/>
          </w:tcPr>
          <w:p w:rsidR="00107245" w:rsidRPr="00D5126A" w:rsidRDefault="00107245" w:rsidP="00107245">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20"/>
                <w:lang w:eastAsia="en-NZ"/>
              </w:rPr>
            </w:pPr>
            <w:r w:rsidRPr="00D5126A">
              <w:rPr>
                <w:rFonts w:ascii="Arial" w:eastAsia="Times New Roman" w:hAnsi="Arial" w:cs="Arial"/>
                <w:color w:val="000000"/>
                <w:sz w:val="20"/>
                <w:lang w:eastAsia="en-NZ"/>
              </w:rPr>
              <w:t> </w:t>
            </w:r>
          </w:p>
        </w:tc>
        <w:tc>
          <w:tcPr>
            <w:tcW w:w="709" w:type="dxa"/>
            <w:shd w:val="clear" w:color="auto" w:fill="FFFFFF" w:themeFill="background1"/>
            <w:noWrap/>
            <w:hideMark/>
          </w:tcPr>
          <w:p w:rsidR="00107245" w:rsidRPr="00D5126A" w:rsidRDefault="00107245" w:rsidP="00107245">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20"/>
                <w:lang w:eastAsia="en-NZ"/>
              </w:rPr>
            </w:pPr>
            <w:r w:rsidRPr="00D5126A">
              <w:rPr>
                <w:rFonts w:ascii="Arial" w:eastAsia="Times New Roman" w:hAnsi="Arial" w:cs="Arial"/>
                <w:color w:val="000000"/>
                <w:sz w:val="20"/>
                <w:lang w:eastAsia="en-NZ"/>
              </w:rPr>
              <w:t> </w:t>
            </w:r>
          </w:p>
        </w:tc>
        <w:tc>
          <w:tcPr>
            <w:tcW w:w="709" w:type="dxa"/>
            <w:shd w:val="clear" w:color="auto" w:fill="FFFFFF" w:themeFill="background1"/>
            <w:noWrap/>
            <w:hideMark/>
          </w:tcPr>
          <w:p w:rsidR="00107245" w:rsidRPr="00D5126A" w:rsidRDefault="00107245" w:rsidP="00107245">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20"/>
                <w:lang w:eastAsia="en-NZ"/>
              </w:rPr>
            </w:pPr>
            <w:r w:rsidRPr="00D5126A">
              <w:rPr>
                <w:rFonts w:ascii="Arial" w:eastAsia="Times New Roman" w:hAnsi="Arial" w:cs="Arial"/>
                <w:color w:val="000000"/>
                <w:sz w:val="20"/>
                <w:lang w:eastAsia="en-NZ"/>
              </w:rPr>
              <w:t>3</w:t>
            </w:r>
          </w:p>
        </w:tc>
        <w:tc>
          <w:tcPr>
            <w:tcW w:w="708" w:type="dxa"/>
            <w:shd w:val="clear" w:color="auto" w:fill="FFFFFF" w:themeFill="background1"/>
            <w:noWrap/>
            <w:hideMark/>
          </w:tcPr>
          <w:p w:rsidR="00107245" w:rsidRPr="00D5126A" w:rsidRDefault="00107245" w:rsidP="00107245">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20"/>
                <w:lang w:eastAsia="en-NZ"/>
              </w:rPr>
            </w:pPr>
            <w:r w:rsidRPr="00D5126A">
              <w:rPr>
                <w:rFonts w:ascii="Arial" w:eastAsia="Times New Roman" w:hAnsi="Arial" w:cs="Arial"/>
                <w:color w:val="000000"/>
                <w:sz w:val="20"/>
                <w:lang w:eastAsia="en-NZ"/>
              </w:rPr>
              <w:t> </w:t>
            </w:r>
          </w:p>
        </w:tc>
        <w:tc>
          <w:tcPr>
            <w:tcW w:w="425" w:type="dxa"/>
            <w:shd w:val="clear" w:color="auto" w:fill="FFFFFF" w:themeFill="background1"/>
            <w:noWrap/>
            <w:hideMark/>
          </w:tcPr>
          <w:p w:rsidR="00107245" w:rsidRPr="00D5126A" w:rsidRDefault="00107245" w:rsidP="00107245">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20"/>
                <w:lang w:eastAsia="en-NZ"/>
              </w:rPr>
            </w:pPr>
            <w:r w:rsidRPr="00D5126A">
              <w:rPr>
                <w:rFonts w:ascii="Arial" w:eastAsia="Times New Roman" w:hAnsi="Arial" w:cs="Arial"/>
                <w:color w:val="000000"/>
                <w:sz w:val="20"/>
                <w:lang w:eastAsia="en-NZ"/>
              </w:rPr>
              <w:t>7</w:t>
            </w:r>
          </w:p>
        </w:tc>
        <w:tc>
          <w:tcPr>
            <w:tcW w:w="851" w:type="dxa"/>
            <w:shd w:val="clear" w:color="auto" w:fill="FFFFFF" w:themeFill="background1"/>
            <w:noWrap/>
            <w:hideMark/>
          </w:tcPr>
          <w:p w:rsidR="00107245" w:rsidRPr="00D5126A" w:rsidRDefault="00107245" w:rsidP="00107245">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20"/>
                <w:lang w:eastAsia="en-NZ"/>
              </w:rPr>
            </w:pPr>
            <w:r w:rsidRPr="00D5126A">
              <w:rPr>
                <w:rFonts w:ascii="Arial" w:eastAsia="Times New Roman" w:hAnsi="Arial" w:cs="Arial"/>
                <w:color w:val="000000"/>
                <w:sz w:val="20"/>
                <w:lang w:eastAsia="en-NZ"/>
              </w:rPr>
              <w:t> </w:t>
            </w:r>
          </w:p>
        </w:tc>
        <w:tc>
          <w:tcPr>
            <w:tcW w:w="709" w:type="dxa"/>
            <w:shd w:val="clear" w:color="auto" w:fill="FFFFFF" w:themeFill="background1"/>
            <w:noWrap/>
            <w:hideMark/>
          </w:tcPr>
          <w:p w:rsidR="00107245" w:rsidRPr="00D5126A" w:rsidRDefault="00107245" w:rsidP="00107245">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20"/>
                <w:lang w:eastAsia="en-NZ"/>
              </w:rPr>
            </w:pPr>
            <w:r w:rsidRPr="00D5126A">
              <w:rPr>
                <w:rFonts w:ascii="Arial" w:eastAsia="Times New Roman" w:hAnsi="Arial" w:cs="Arial"/>
                <w:color w:val="000000"/>
                <w:sz w:val="20"/>
                <w:lang w:eastAsia="en-NZ"/>
              </w:rPr>
              <w:t> </w:t>
            </w:r>
          </w:p>
        </w:tc>
      </w:tr>
      <w:tr w:rsidR="005D6D1F" w:rsidRPr="00D5126A" w:rsidTr="00107245">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418" w:type="dxa"/>
            <w:shd w:val="clear" w:color="auto" w:fill="8DB3E2" w:themeFill="text2" w:themeFillTint="66"/>
            <w:noWrap/>
            <w:hideMark/>
          </w:tcPr>
          <w:p w:rsidR="00107245" w:rsidRPr="00D5126A" w:rsidRDefault="00107245" w:rsidP="00107245">
            <w:pPr>
              <w:rPr>
                <w:rFonts w:ascii="Arial" w:eastAsia="Times New Roman" w:hAnsi="Arial" w:cs="Arial"/>
                <w:color w:val="000000"/>
                <w:sz w:val="20"/>
                <w:lang w:eastAsia="en-NZ"/>
              </w:rPr>
            </w:pPr>
            <w:r w:rsidRPr="00D5126A">
              <w:rPr>
                <w:rFonts w:ascii="Arial" w:eastAsia="Times New Roman" w:hAnsi="Arial" w:cs="Arial"/>
                <w:color w:val="000000"/>
                <w:sz w:val="20"/>
                <w:lang w:eastAsia="en-NZ"/>
              </w:rPr>
              <w:t>Peter Gilberd</w:t>
            </w:r>
          </w:p>
        </w:tc>
        <w:tc>
          <w:tcPr>
            <w:tcW w:w="709" w:type="dxa"/>
            <w:shd w:val="clear" w:color="auto" w:fill="FFFFFF" w:themeFill="background1"/>
            <w:noWrap/>
            <w:hideMark/>
          </w:tcPr>
          <w:p w:rsidR="00107245" w:rsidRPr="00D5126A" w:rsidRDefault="00107245" w:rsidP="0010724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lang w:eastAsia="en-NZ"/>
              </w:rPr>
            </w:pPr>
            <w:r w:rsidRPr="00D5126A">
              <w:rPr>
                <w:rFonts w:ascii="Arial" w:eastAsia="Times New Roman" w:hAnsi="Arial" w:cs="Arial"/>
                <w:color w:val="000000"/>
                <w:sz w:val="20"/>
                <w:lang w:eastAsia="en-NZ"/>
              </w:rPr>
              <w:t>52</w:t>
            </w:r>
          </w:p>
        </w:tc>
        <w:tc>
          <w:tcPr>
            <w:tcW w:w="488" w:type="dxa"/>
            <w:shd w:val="clear" w:color="auto" w:fill="FFFFFF" w:themeFill="background1"/>
            <w:noWrap/>
            <w:hideMark/>
          </w:tcPr>
          <w:p w:rsidR="00107245" w:rsidRPr="00D5126A" w:rsidRDefault="00107245" w:rsidP="0010724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lang w:eastAsia="en-NZ"/>
              </w:rPr>
            </w:pPr>
            <w:r w:rsidRPr="00D5126A">
              <w:rPr>
                <w:rFonts w:ascii="Arial" w:eastAsia="Times New Roman" w:hAnsi="Arial" w:cs="Arial"/>
                <w:color w:val="000000"/>
                <w:sz w:val="20"/>
                <w:lang w:eastAsia="en-NZ"/>
              </w:rPr>
              <w:t>51</w:t>
            </w:r>
          </w:p>
        </w:tc>
        <w:tc>
          <w:tcPr>
            <w:tcW w:w="646" w:type="dxa"/>
            <w:shd w:val="clear" w:color="auto" w:fill="FFFFFF" w:themeFill="background1"/>
            <w:noWrap/>
            <w:hideMark/>
          </w:tcPr>
          <w:p w:rsidR="00107245" w:rsidRPr="00D5126A" w:rsidRDefault="00107245" w:rsidP="0010724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lang w:eastAsia="en-NZ"/>
              </w:rPr>
            </w:pPr>
            <w:r w:rsidRPr="00D5126A">
              <w:rPr>
                <w:rFonts w:ascii="Arial" w:eastAsia="Times New Roman" w:hAnsi="Arial" w:cs="Arial"/>
                <w:color w:val="000000"/>
                <w:sz w:val="20"/>
                <w:lang w:eastAsia="en-NZ"/>
              </w:rPr>
              <w:t>98%</w:t>
            </w:r>
          </w:p>
        </w:tc>
        <w:tc>
          <w:tcPr>
            <w:tcW w:w="566" w:type="dxa"/>
            <w:shd w:val="clear" w:color="auto" w:fill="FFFFFF" w:themeFill="background1"/>
            <w:noWrap/>
            <w:hideMark/>
          </w:tcPr>
          <w:p w:rsidR="00107245" w:rsidRPr="00D5126A" w:rsidRDefault="00107245" w:rsidP="0010724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lang w:eastAsia="en-NZ"/>
              </w:rPr>
            </w:pPr>
            <w:r w:rsidRPr="00D5126A">
              <w:rPr>
                <w:rFonts w:ascii="Arial" w:eastAsia="Times New Roman" w:hAnsi="Arial" w:cs="Arial"/>
                <w:color w:val="000000"/>
                <w:sz w:val="20"/>
                <w:lang w:eastAsia="en-NZ"/>
              </w:rPr>
              <w:t>10</w:t>
            </w:r>
          </w:p>
        </w:tc>
        <w:tc>
          <w:tcPr>
            <w:tcW w:w="538" w:type="dxa"/>
            <w:shd w:val="clear" w:color="auto" w:fill="FFFFFF" w:themeFill="background1"/>
            <w:noWrap/>
            <w:hideMark/>
          </w:tcPr>
          <w:p w:rsidR="00107245" w:rsidRPr="00D5126A" w:rsidRDefault="00107245" w:rsidP="0010724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lang w:eastAsia="en-NZ"/>
              </w:rPr>
            </w:pPr>
            <w:r w:rsidRPr="00D5126A">
              <w:rPr>
                <w:rFonts w:ascii="Arial" w:eastAsia="Times New Roman" w:hAnsi="Arial" w:cs="Arial"/>
                <w:color w:val="000000"/>
                <w:sz w:val="20"/>
                <w:lang w:eastAsia="en-NZ"/>
              </w:rPr>
              <w:t>27</w:t>
            </w:r>
          </w:p>
        </w:tc>
        <w:tc>
          <w:tcPr>
            <w:tcW w:w="739" w:type="dxa"/>
            <w:shd w:val="clear" w:color="auto" w:fill="FFFFFF" w:themeFill="background1"/>
            <w:noWrap/>
            <w:hideMark/>
          </w:tcPr>
          <w:p w:rsidR="00107245" w:rsidRPr="00D5126A" w:rsidRDefault="00107245" w:rsidP="0010724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lang w:eastAsia="en-NZ"/>
              </w:rPr>
            </w:pPr>
            <w:r w:rsidRPr="00D5126A">
              <w:rPr>
                <w:rFonts w:ascii="Arial" w:eastAsia="Times New Roman" w:hAnsi="Arial" w:cs="Arial"/>
                <w:color w:val="000000"/>
                <w:sz w:val="20"/>
                <w:lang w:eastAsia="en-NZ"/>
              </w:rPr>
              <w:t>5</w:t>
            </w:r>
          </w:p>
        </w:tc>
        <w:tc>
          <w:tcPr>
            <w:tcW w:w="567" w:type="dxa"/>
            <w:shd w:val="clear" w:color="auto" w:fill="FFFFFF" w:themeFill="background1"/>
            <w:noWrap/>
            <w:hideMark/>
          </w:tcPr>
          <w:p w:rsidR="00107245" w:rsidRPr="00D5126A" w:rsidRDefault="00107245" w:rsidP="0010724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lang w:eastAsia="en-NZ"/>
              </w:rPr>
            </w:pPr>
            <w:r w:rsidRPr="00D5126A">
              <w:rPr>
                <w:rFonts w:ascii="Arial" w:eastAsia="Times New Roman" w:hAnsi="Arial" w:cs="Arial"/>
                <w:color w:val="000000"/>
                <w:sz w:val="20"/>
                <w:lang w:eastAsia="en-NZ"/>
              </w:rPr>
              <w:t> </w:t>
            </w:r>
          </w:p>
        </w:tc>
        <w:tc>
          <w:tcPr>
            <w:tcW w:w="388" w:type="dxa"/>
            <w:shd w:val="clear" w:color="auto" w:fill="FFFFFF" w:themeFill="background1"/>
            <w:noWrap/>
            <w:hideMark/>
          </w:tcPr>
          <w:p w:rsidR="00107245" w:rsidRPr="00D5126A" w:rsidRDefault="00107245" w:rsidP="0010724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lang w:eastAsia="en-NZ"/>
              </w:rPr>
            </w:pPr>
            <w:r w:rsidRPr="00D5126A">
              <w:rPr>
                <w:rFonts w:ascii="Arial" w:eastAsia="Times New Roman" w:hAnsi="Arial" w:cs="Arial"/>
                <w:color w:val="000000"/>
                <w:sz w:val="20"/>
                <w:lang w:eastAsia="en-NZ"/>
              </w:rPr>
              <w:t> </w:t>
            </w:r>
          </w:p>
        </w:tc>
        <w:tc>
          <w:tcPr>
            <w:tcW w:w="462" w:type="dxa"/>
            <w:shd w:val="clear" w:color="auto" w:fill="FFFFFF" w:themeFill="background1"/>
            <w:noWrap/>
            <w:hideMark/>
          </w:tcPr>
          <w:p w:rsidR="00107245" w:rsidRPr="00D5126A" w:rsidRDefault="00107245" w:rsidP="0010724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lang w:eastAsia="en-NZ"/>
              </w:rPr>
            </w:pPr>
            <w:r w:rsidRPr="00D5126A">
              <w:rPr>
                <w:rFonts w:ascii="Arial" w:eastAsia="Times New Roman" w:hAnsi="Arial" w:cs="Arial"/>
                <w:color w:val="000000"/>
                <w:sz w:val="20"/>
                <w:lang w:eastAsia="en-NZ"/>
              </w:rPr>
              <w:t> </w:t>
            </w:r>
          </w:p>
        </w:tc>
        <w:tc>
          <w:tcPr>
            <w:tcW w:w="709" w:type="dxa"/>
            <w:shd w:val="clear" w:color="auto" w:fill="FFFFFF" w:themeFill="background1"/>
            <w:noWrap/>
            <w:hideMark/>
          </w:tcPr>
          <w:p w:rsidR="00107245" w:rsidRPr="00D5126A" w:rsidRDefault="00107245" w:rsidP="0010724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lang w:eastAsia="en-NZ"/>
              </w:rPr>
            </w:pPr>
            <w:r w:rsidRPr="00D5126A">
              <w:rPr>
                <w:rFonts w:ascii="Arial" w:eastAsia="Times New Roman" w:hAnsi="Arial" w:cs="Arial"/>
                <w:color w:val="000000"/>
                <w:sz w:val="20"/>
                <w:lang w:eastAsia="en-NZ"/>
              </w:rPr>
              <w:t> </w:t>
            </w:r>
          </w:p>
        </w:tc>
        <w:tc>
          <w:tcPr>
            <w:tcW w:w="709" w:type="dxa"/>
            <w:shd w:val="clear" w:color="auto" w:fill="FFFFFF" w:themeFill="background1"/>
            <w:noWrap/>
            <w:hideMark/>
          </w:tcPr>
          <w:p w:rsidR="00107245" w:rsidRPr="00D5126A" w:rsidRDefault="00107245" w:rsidP="0010724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lang w:eastAsia="en-NZ"/>
              </w:rPr>
            </w:pPr>
            <w:r w:rsidRPr="00D5126A">
              <w:rPr>
                <w:rFonts w:ascii="Arial" w:eastAsia="Times New Roman" w:hAnsi="Arial" w:cs="Arial"/>
                <w:color w:val="000000"/>
                <w:sz w:val="20"/>
                <w:lang w:eastAsia="en-NZ"/>
              </w:rPr>
              <w:t> </w:t>
            </w:r>
          </w:p>
        </w:tc>
        <w:tc>
          <w:tcPr>
            <w:tcW w:w="708" w:type="dxa"/>
            <w:shd w:val="clear" w:color="auto" w:fill="FFFFFF" w:themeFill="background1"/>
            <w:noWrap/>
            <w:hideMark/>
          </w:tcPr>
          <w:p w:rsidR="00107245" w:rsidRPr="00D5126A" w:rsidRDefault="00107245" w:rsidP="0010724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lang w:eastAsia="en-NZ"/>
              </w:rPr>
            </w:pPr>
            <w:r w:rsidRPr="00D5126A">
              <w:rPr>
                <w:rFonts w:ascii="Arial" w:eastAsia="Times New Roman" w:hAnsi="Arial" w:cs="Arial"/>
                <w:color w:val="000000"/>
                <w:sz w:val="20"/>
                <w:lang w:eastAsia="en-NZ"/>
              </w:rPr>
              <w:t>2</w:t>
            </w:r>
          </w:p>
        </w:tc>
        <w:tc>
          <w:tcPr>
            <w:tcW w:w="425" w:type="dxa"/>
            <w:shd w:val="clear" w:color="auto" w:fill="FFFFFF" w:themeFill="background1"/>
            <w:noWrap/>
            <w:hideMark/>
          </w:tcPr>
          <w:p w:rsidR="00107245" w:rsidRPr="00D5126A" w:rsidRDefault="00107245" w:rsidP="0010724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lang w:eastAsia="en-NZ"/>
              </w:rPr>
            </w:pPr>
            <w:r w:rsidRPr="00D5126A">
              <w:rPr>
                <w:rFonts w:ascii="Arial" w:eastAsia="Times New Roman" w:hAnsi="Arial" w:cs="Arial"/>
                <w:color w:val="000000"/>
                <w:sz w:val="20"/>
                <w:lang w:eastAsia="en-NZ"/>
              </w:rPr>
              <w:t>7</w:t>
            </w:r>
          </w:p>
        </w:tc>
        <w:tc>
          <w:tcPr>
            <w:tcW w:w="851" w:type="dxa"/>
            <w:shd w:val="clear" w:color="auto" w:fill="FFFFFF" w:themeFill="background1"/>
            <w:noWrap/>
            <w:hideMark/>
          </w:tcPr>
          <w:p w:rsidR="00107245" w:rsidRPr="00D5126A" w:rsidRDefault="00107245" w:rsidP="0010724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lang w:eastAsia="en-NZ"/>
              </w:rPr>
            </w:pPr>
            <w:r w:rsidRPr="00D5126A">
              <w:rPr>
                <w:rFonts w:ascii="Arial" w:eastAsia="Times New Roman" w:hAnsi="Arial" w:cs="Arial"/>
                <w:color w:val="000000"/>
                <w:sz w:val="20"/>
                <w:lang w:eastAsia="en-NZ"/>
              </w:rPr>
              <w:t> </w:t>
            </w:r>
          </w:p>
        </w:tc>
        <w:tc>
          <w:tcPr>
            <w:tcW w:w="709" w:type="dxa"/>
            <w:shd w:val="clear" w:color="auto" w:fill="FFFFFF" w:themeFill="background1"/>
            <w:noWrap/>
            <w:hideMark/>
          </w:tcPr>
          <w:p w:rsidR="00107245" w:rsidRPr="00D5126A" w:rsidRDefault="00107245" w:rsidP="0010724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lang w:eastAsia="en-NZ"/>
              </w:rPr>
            </w:pPr>
            <w:r w:rsidRPr="00D5126A">
              <w:rPr>
                <w:rFonts w:ascii="Arial" w:eastAsia="Times New Roman" w:hAnsi="Arial" w:cs="Arial"/>
                <w:color w:val="000000"/>
                <w:sz w:val="20"/>
                <w:lang w:eastAsia="en-NZ"/>
              </w:rPr>
              <w:t> </w:t>
            </w:r>
          </w:p>
        </w:tc>
      </w:tr>
      <w:tr w:rsidR="005D6D1F" w:rsidRPr="00D5126A" w:rsidTr="00107245">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418" w:type="dxa"/>
            <w:shd w:val="clear" w:color="auto" w:fill="8DB3E2" w:themeFill="text2" w:themeFillTint="66"/>
            <w:noWrap/>
            <w:hideMark/>
          </w:tcPr>
          <w:p w:rsidR="00107245" w:rsidRPr="00D5126A" w:rsidRDefault="00107245" w:rsidP="00107245">
            <w:pPr>
              <w:rPr>
                <w:rFonts w:ascii="Arial" w:eastAsia="Times New Roman" w:hAnsi="Arial" w:cs="Arial"/>
                <w:color w:val="000000"/>
                <w:sz w:val="20"/>
                <w:lang w:eastAsia="en-NZ"/>
              </w:rPr>
            </w:pPr>
            <w:r w:rsidRPr="00D5126A">
              <w:rPr>
                <w:rFonts w:ascii="Arial" w:eastAsia="Times New Roman" w:hAnsi="Arial" w:cs="Arial"/>
                <w:color w:val="000000"/>
                <w:sz w:val="20"/>
                <w:lang w:eastAsia="en-NZ"/>
              </w:rPr>
              <w:t>David Lee</w:t>
            </w:r>
          </w:p>
        </w:tc>
        <w:tc>
          <w:tcPr>
            <w:tcW w:w="709" w:type="dxa"/>
            <w:shd w:val="clear" w:color="auto" w:fill="FFFFFF" w:themeFill="background1"/>
            <w:noWrap/>
            <w:hideMark/>
          </w:tcPr>
          <w:p w:rsidR="00107245" w:rsidRPr="00D5126A" w:rsidRDefault="00107245" w:rsidP="00107245">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20"/>
                <w:lang w:eastAsia="en-NZ"/>
              </w:rPr>
            </w:pPr>
            <w:r w:rsidRPr="00D5126A">
              <w:rPr>
                <w:rFonts w:ascii="Arial" w:eastAsia="Times New Roman" w:hAnsi="Arial" w:cs="Arial"/>
                <w:color w:val="000000"/>
                <w:sz w:val="20"/>
                <w:lang w:eastAsia="en-NZ"/>
              </w:rPr>
              <w:t>58</w:t>
            </w:r>
          </w:p>
        </w:tc>
        <w:tc>
          <w:tcPr>
            <w:tcW w:w="488" w:type="dxa"/>
            <w:shd w:val="clear" w:color="auto" w:fill="FFFFFF" w:themeFill="background1"/>
            <w:noWrap/>
            <w:hideMark/>
          </w:tcPr>
          <w:p w:rsidR="00107245" w:rsidRPr="00D5126A" w:rsidRDefault="00107245" w:rsidP="00107245">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20"/>
                <w:lang w:eastAsia="en-NZ"/>
              </w:rPr>
            </w:pPr>
            <w:r w:rsidRPr="00D5126A">
              <w:rPr>
                <w:rFonts w:ascii="Arial" w:eastAsia="Times New Roman" w:hAnsi="Arial" w:cs="Arial"/>
                <w:color w:val="000000"/>
                <w:sz w:val="20"/>
                <w:lang w:eastAsia="en-NZ"/>
              </w:rPr>
              <w:t>50</w:t>
            </w:r>
          </w:p>
        </w:tc>
        <w:tc>
          <w:tcPr>
            <w:tcW w:w="646" w:type="dxa"/>
            <w:shd w:val="clear" w:color="auto" w:fill="FFFFFF" w:themeFill="background1"/>
            <w:noWrap/>
            <w:hideMark/>
          </w:tcPr>
          <w:p w:rsidR="00107245" w:rsidRPr="00D5126A" w:rsidRDefault="00107245" w:rsidP="00107245">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20"/>
                <w:lang w:eastAsia="en-NZ"/>
              </w:rPr>
            </w:pPr>
            <w:r w:rsidRPr="00D5126A">
              <w:rPr>
                <w:rFonts w:ascii="Arial" w:eastAsia="Times New Roman" w:hAnsi="Arial" w:cs="Arial"/>
                <w:color w:val="000000"/>
                <w:sz w:val="20"/>
                <w:lang w:eastAsia="en-NZ"/>
              </w:rPr>
              <w:t>86%</w:t>
            </w:r>
          </w:p>
        </w:tc>
        <w:tc>
          <w:tcPr>
            <w:tcW w:w="566" w:type="dxa"/>
            <w:shd w:val="clear" w:color="auto" w:fill="FFFFFF" w:themeFill="background1"/>
            <w:noWrap/>
            <w:hideMark/>
          </w:tcPr>
          <w:p w:rsidR="00107245" w:rsidRPr="00D5126A" w:rsidRDefault="00107245" w:rsidP="00107245">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20"/>
                <w:lang w:eastAsia="en-NZ"/>
              </w:rPr>
            </w:pPr>
            <w:r w:rsidRPr="00D5126A">
              <w:rPr>
                <w:rFonts w:ascii="Arial" w:eastAsia="Times New Roman" w:hAnsi="Arial" w:cs="Arial"/>
                <w:color w:val="000000"/>
                <w:sz w:val="20"/>
                <w:lang w:eastAsia="en-NZ"/>
              </w:rPr>
              <w:t>8</w:t>
            </w:r>
          </w:p>
        </w:tc>
        <w:tc>
          <w:tcPr>
            <w:tcW w:w="538" w:type="dxa"/>
            <w:shd w:val="clear" w:color="auto" w:fill="FFFFFF" w:themeFill="background1"/>
            <w:noWrap/>
            <w:hideMark/>
          </w:tcPr>
          <w:p w:rsidR="00107245" w:rsidRPr="00D5126A" w:rsidRDefault="00107245" w:rsidP="00107245">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20"/>
                <w:lang w:eastAsia="en-NZ"/>
              </w:rPr>
            </w:pPr>
            <w:r w:rsidRPr="00D5126A">
              <w:rPr>
                <w:rFonts w:ascii="Arial" w:eastAsia="Times New Roman" w:hAnsi="Arial" w:cs="Arial"/>
                <w:color w:val="000000"/>
                <w:sz w:val="20"/>
                <w:lang w:eastAsia="en-NZ"/>
              </w:rPr>
              <w:t>22</w:t>
            </w:r>
          </w:p>
        </w:tc>
        <w:tc>
          <w:tcPr>
            <w:tcW w:w="739" w:type="dxa"/>
            <w:shd w:val="clear" w:color="auto" w:fill="FFFFFF" w:themeFill="background1"/>
            <w:noWrap/>
            <w:hideMark/>
          </w:tcPr>
          <w:p w:rsidR="00107245" w:rsidRPr="00D5126A" w:rsidRDefault="00107245" w:rsidP="00107245">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20"/>
                <w:lang w:eastAsia="en-NZ"/>
              </w:rPr>
            </w:pPr>
            <w:r w:rsidRPr="00D5126A">
              <w:rPr>
                <w:rFonts w:ascii="Arial" w:eastAsia="Times New Roman" w:hAnsi="Arial" w:cs="Arial"/>
                <w:color w:val="000000"/>
                <w:sz w:val="20"/>
                <w:lang w:eastAsia="en-NZ"/>
              </w:rPr>
              <w:t>4</w:t>
            </w:r>
          </w:p>
        </w:tc>
        <w:tc>
          <w:tcPr>
            <w:tcW w:w="567" w:type="dxa"/>
            <w:shd w:val="clear" w:color="auto" w:fill="FFFFFF" w:themeFill="background1"/>
            <w:noWrap/>
            <w:hideMark/>
          </w:tcPr>
          <w:p w:rsidR="00107245" w:rsidRPr="00D5126A" w:rsidRDefault="00107245" w:rsidP="00107245">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20"/>
                <w:lang w:eastAsia="en-NZ"/>
              </w:rPr>
            </w:pPr>
            <w:r w:rsidRPr="00D5126A">
              <w:rPr>
                <w:rFonts w:ascii="Arial" w:eastAsia="Times New Roman" w:hAnsi="Arial" w:cs="Arial"/>
                <w:color w:val="000000"/>
                <w:sz w:val="20"/>
                <w:lang w:eastAsia="en-NZ"/>
              </w:rPr>
              <w:t>13</w:t>
            </w:r>
          </w:p>
        </w:tc>
        <w:tc>
          <w:tcPr>
            <w:tcW w:w="388" w:type="dxa"/>
            <w:shd w:val="clear" w:color="auto" w:fill="FFFFFF" w:themeFill="background1"/>
            <w:noWrap/>
            <w:hideMark/>
          </w:tcPr>
          <w:p w:rsidR="00107245" w:rsidRPr="00D5126A" w:rsidRDefault="00107245" w:rsidP="00107245">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20"/>
                <w:lang w:eastAsia="en-NZ"/>
              </w:rPr>
            </w:pPr>
            <w:r w:rsidRPr="00D5126A">
              <w:rPr>
                <w:rFonts w:ascii="Arial" w:eastAsia="Times New Roman" w:hAnsi="Arial" w:cs="Arial"/>
                <w:color w:val="000000"/>
                <w:sz w:val="20"/>
                <w:lang w:eastAsia="en-NZ"/>
              </w:rPr>
              <w:t> </w:t>
            </w:r>
          </w:p>
        </w:tc>
        <w:tc>
          <w:tcPr>
            <w:tcW w:w="462" w:type="dxa"/>
            <w:shd w:val="clear" w:color="auto" w:fill="FFFFFF" w:themeFill="background1"/>
            <w:noWrap/>
            <w:hideMark/>
          </w:tcPr>
          <w:p w:rsidR="00107245" w:rsidRPr="00D5126A" w:rsidRDefault="00107245" w:rsidP="00107245">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20"/>
                <w:lang w:eastAsia="en-NZ"/>
              </w:rPr>
            </w:pPr>
            <w:r w:rsidRPr="00D5126A">
              <w:rPr>
                <w:rFonts w:ascii="Arial" w:eastAsia="Times New Roman" w:hAnsi="Arial" w:cs="Arial"/>
                <w:color w:val="000000"/>
                <w:sz w:val="20"/>
                <w:lang w:eastAsia="en-NZ"/>
              </w:rPr>
              <w:t> </w:t>
            </w:r>
          </w:p>
        </w:tc>
        <w:tc>
          <w:tcPr>
            <w:tcW w:w="709" w:type="dxa"/>
            <w:shd w:val="clear" w:color="auto" w:fill="FFFFFF" w:themeFill="background1"/>
            <w:noWrap/>
            <w:hideMark/>
          </w:tcPr>
          <w:p w:rsidR="00107245" w:rsidRPr="00D5126A" w:rsidRDefault="00107245" w:rsidP="00107245">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20"/>
                <w:lang w:eastAsia="en-NZ"/>
              </w:rPr>
            </w:pPr>
            <w:r w:rsidRPr="00D5126A">
              <w:rPr>
                <w:rFonts w:ascii="Arial" w:eastAsia="Times New Roman" w:hAnsi="Arial" w:cs="Arial"/>
                <w:color w:val="000000"/>
                <w:sz w:val="20"/>
                <w:lang w:eastAsia="en-NZ"/>
              </w:rPr>
              <w:t>3</w:t>
            </w:r>
          </w:p>
        </w:tc>
        <w:tc>
          <w:tcPr>
            <w:tcW w:w="709" w:type="dxa"/>
            <w:shd w:val="clear" w:color="auto" w:fill="FFFFFF" w:themeFill="background1"/>
            <w:noWrap/>
            <w:hideMark/>
          </w:tcPr>
          <w:p w:rsidR="00107245" w:rsidRPr="00D5126A" w:rsidRDefault="00107245" w:rsidP="00107245">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20"/>
                <w:lang w:eastAsia="en-NZ"/>
              </w:rPr>
            </w:pPr>
            <w:r w:rsidRPr="00D5126A">
              <w:rPr>
                <w:rFonts w:ascii="Arial" w:eastAsia="Times New Roman" w:hAnsi="Arial" w:cs="Arial"/>
                <w:color w:val="000000"/>
                <w:sz w:val="20"/>
                <w:lang w:eastAsia="en-NZ"/>
              </w:rPr>
              <w:t> </w:t>
            </w:r>
          </w:p>
        </w:tc>
        <w:tc>
          <w:tcPr>
            <w:tcW w:w="708" w:type="dxa"/>
            <w:shd w:val="clear" w:color="auto" w:fill="FFFFFF" w:themeFill="background1"/>
            <w:noWrap/>
            <w:hideMark/>
          </w:tcPr>
          <w:p w:rsidR="00107245" w:rsidRPr="00D5126A" w:rsidRDefault="00107245" w:rsidP="00107245">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20"/>
                <w:lang w:eastAsia="en-NZ"/>
              </w:rPr>
            </w:pPr>
            <w:r w:rsidRPr="00D5126A">
              <w:rPr>
                <w:rFonts w:ascii="Arial" w:eastAsia="Times New Roman" w:hAnsi="Arial" w:cs="Arial"/>
                <w:color w:val="000000"/>
                <w:sz w:val="20"/>
                <w:lang w:eastAsia="en-NZ"/>
              </w:rPr>
              <w:t> </w:t>
            </w:r>
          </w:p>
        </w:tc>
        <w:tc>
          <w:tcPr>
            <w:tcW w:w="425" w:type="dxa"/>
            <w:shd w:val="clear" w:color="auto" w:fill="FFFFFF" w:themeFill="background1"/>
            <w:noWrap/>
            <w:hideMark/>
          </w:tcPr>
          <w:p w:rsidR="00107245" w:rsidRPr="00D5126A" w:rsidRDefault="00107245" w:rsidP="00107245">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20"/>
                <w:lang w:eastAsia="en-NZ"/>
              </w:rPr>
            </w:pPr>
            <w:r w:rsidRPr="00D5126A">
              <w:rPr>
                <w:rFonts w:ascii="Arial" w:eastAsia="Times New Roman" w:hAnsi="Arial" w:cs="Arial"/>
                <w:color w:val="000000"/>
                <w:sz w:val="20"/>
                <w:lang w:eastAsia="en-NZ"/>
              </w:rPr>
              <w:t> </w:t>
            </w:r>
          </w:p>
        </w:tc>
        <w:tc>
          <w:tcPr>
            <w:tcW w:w="851" w:type="dxa"/>
            <w:shd w:val="clear" w:color="auto" w:fill="FFFFFF" w:themeFill="background1"/>
            <w:noWrap/>
            <w:hideMark/>
          </w:tcPr>
          <w:p w:rsidR="00107245" w:rsidRPr="00D5126A" w:rsidRDefault="00107245" w:rsidP="00107245">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20"/>
                <w:lang w:eastAsia="en-NZ"/>
              </w:rPr>
            </w:pPr>
            <w:r w:rsidRPr="00D5126A">
              <w:rPr>
                <w:rFonts w:ascii="Arial" w:eastAsia="Times New Roman" w:hAnsi="Arial" w:cs="Arial"/>
                <w:color w:val="000000"/>
                <w:sz w:val="20"/>
                <w:lang w:eastAsia="en-NZ"/>
              </w:rPr>
              <w:t> </w:t>
            </w:r>
          </w:p>
        </w:tc>
        <w:tc>
          <w:tcPr>
            <w:tcW w:w="709" w:type="dxa"/>
            <w:shd w:val="clear" w:color="auto" w:fill="FFFFFF" w:themeFill="background1"/>
            <w:noWrap/>
            <w:hideMark/>
          </w:tcPr>
          <w:p w:rsidR="00107245" w:rsidRPr="00D5126A" w:rsidRDefault="00107245" w:rsidP="00107245">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20"/>
                <w:lang w:eastAsia="en-NZ"/>
              </w:rPr>
            </w:pPr>
            <w:r w:rsidRPr="00D5126A">
              <w:rPr>
                <w:rFonts w:ascii="Arial" w:eastAsia="Times New Roman" w:hAnsi="Arial" w:cs="Arial"/>
                <w:color w:val="000000"/>
                <w:sz w:val="20"/>
                <w:lang w:eastAsia="en-NZ"/>
              </w:rPr>
              <w:t> </w:t>
            </w:r>
          </w:p>
        </w:tc>
      </w:tr>
      <w:tr w:rsidR="005D6D1F" w:rsidRPr="00D5126A" w:rsidTr="00107245">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418" w:type="dxa"/>
            <w:shd w:val="clear" w:color="auto" w:fill="8DB3E2" w:themeFill="text2" w:themeFillTint="66"/>
            <w:noWrap/>
            <w:hideMark/>
          </w:tcPr>
          <w:p w:rsidR="00107245" w:rsidRPr="00D5126A" w:rsidRDefault="00107245" w:rsidP="00107245">
            <w:pPr>
              <w:rPr>
                <w:rFonts w:ascii="Arial" w:eastAsia="Times New Roman" w:hAnsi="Arial" w:cs="Arial"/>
                <w:color w:val="000000"/>
                <w:sz w:val="20"/>
                <w:lang w:eastAsia="en-NZ"/>
              </w:rPr>
            </w:pPr>
            <w:r w:rsidRPr="00D5126A">
              <w:rPr>
                <w:rFonts w:ascii="Arial" w:eastAsia="Times New Roman" w:hAnsi="Arial" w:cs="Arial"/>
                <w:color w:val="000000"/>
                <w:sz w:val="20"/>
                <w:lang w:eastAsia="en-NZ"/>
              </w:rPr>
              <w:t>Simon Marsh</w:t>
            </w:r>
          </w:p>
        </w:tc>
        <w:tc>
          <w:tcPr>
            <w:tcW w:w="709" w:type="dxa"/>
            <w:shd w:val="clear" w:color="auto" w:fill="FFFFFF" w:themeFill="background1"/>
            <w:noWrap/>
            <w:hideMark/>
          </w:tcPr>
          <w:p w:rsidR="00107245" w:rsidRPr="00D5126A" w:rsidRDefault="00107245" w:rsidP="0010724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lang w:eastAsia="en-NZ"/>
              </w:rPr>
            </w:pPr>
            <w:r w:rsidRPr="00D5126A">
              <w:rPr>
                <w:rFonts w:ascii="Arial" w:eastAsia="Times New Roman" w:hAnsi="Arial" w:cs="Arial"/>
                <w:color w:val="000000"/>
                <w:sz w:val="20"/>
                <w:lang w:eastAsia="en-NZ"/>
              </w:rPr>
              <w:t>45</w:t>
            </w:r>
          </w:p>
        </w:tc>
        <w:tc>
          <w:tcPr>
            <w:tcW w:w="488" w:type="dxa"/>
            <w:shd w:val="clear" w:color="auto" w:fill="FFFFFF" w:themeFill="background1"/>
            <w:noWrap/>
            <w:hideMark/>
          </w:tcPr>
          <w:p w:rsidR="00107245" w:rsidRPr="00D5126A" w:rsidRDefault="00107245" w:rsidP="0010724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lang w:eastAsia="en-NZ"/>
              </w:rPr>
            </w:pPr>
            <w:r w:rsidRPr="00D5126A">
              <w:rPr>
                <w:rFonts w:ascii="Arial" w:eastAsia="Times New Roman" w:hAnsi="Arial" w:cs="Arial"/>
                <w:color w:val="000000"/>
                <w:sz w:val="20"/>
                <w:lang w:eastAsia="en-NZ"/>
              </w:rPr>
              <w:t>43</w:t>
            </w:r>
          </w:p>
        </w:tc>
        <w:tc>
          <w:tcPr>
            <w:tcW w:w="646" w:type="dxa"/>
            <w:shd w:val="clear" w:color="auto" w:fill="FFFFFF" w:themeFill="background1"/>
            <w:noWrap/>
            <w:hideMark/>
          </w:tcPr>
          <w:p w:rsidR="00107245" w:rsidRPr="00D5126A" w:rsidRDefault="00107245" w:rsidP="0010724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lang w:eastAsia="en-NZ"/>
              </w:rPr>
            </w:pPr>
            <w:r w:rsidRPr="00D5126A">
              <w:rPr>
                <w:rFonts w:ascii="Arial" w:eastAsia="Times New Roman" w:hAnsi="Arial" w:cs="Arial"/>
                <w:color w:val="000000"/>
                <w:sz w:val="20"/>
                <w:lang w:eastAsia="en-NZ"/>
              </w:rPr>
              <w:t>96%</w:t>
            </w:r>
          </w:p>
        </w:tc>
        <w:tc>
          <w:tcPr>
            <w:tcW w:w="566" w:type="dxa"/>
            <w:shd w:val="clear" w:color="auto" w:fill="FFFFFF" w:themeFill="background1"/>
            <w:noWrap/>
            <w:hideMark/>
          </w:tcPr>
          <w:p w:rsidR="00107245" w:rsidRPr="00D5126A" w:rsidRDefault="00107245" w:rsidP="0010724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lang w:eastAsia="en-NZ"/>
              </w:rPr>
            </w:pPr>
            <w:r w:rsidRPr="00D5126A">
              <w:rPr>
                <w:rFonts w:ascii="Arial" w:eastAsia="Times New Roman" w:hAnsi="Arial" w:cs="Arial"/>
                <w:color w:val="000000"/>
                <w:sz w:val="20"/>
                <w:lang w:eastAsia="en-NZ"/>
              </w:rPr>
              <w:t>10</w:t>
            </w:r>
          </w:p>
        </w:tc>
        <w:tc>
          <w:tcPr>
            <w:tcW w:w="538" w:type="dxa"/>
            <w:shd w:val="clear" w:color="auto" w:fill="FFFFFF" w:themeFill="background1"/>
            <w:noWrap/>
            <w:hideMark/>
          </w:tcPr>
          <w:p w:rsidR="00107245" w:rsidRPr="00D5126A" w:rsidRDefault="00107245" w:rsidP="0010724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lang w:eastAsia="en-NZ"/>
              </w:rPr>
            </w:pPr>
            <w:r w:rsidRPr="00D5126A">
              <w:rPr>
                <w:rFonts w:ascii="Arial" w:eastAsia="Times New Roman" w:hAnsi="Arial" w:cs="Arial"/>
                <w:color w:val="000000"/>
                <w:sz w:val="20"/>
                <w:lang w:eastAsia="en-NZ"/>
              </w:rPr>
              <w:t>25</w:t>
            </w:r>
          </w:p>
        </w:tc>
        <w:tc>
          <w:tcPr>
            <w:tcW w:w="739" w:type="dxa"/>
            <w:shd w:val="clear" w:color="auto" w:fill="FFFFFF" w:themeFill="background1"/>
            <w:noWrap/>
            <w:hideMark/>
          </w:tcPr>
          <w:p w:rsidR="00107245" w:rsidRPr="00D5126A" w:rsidRDefault="00107245" w:rsidP="0010724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lang w:eastAsia="en-NZ"/>
              </w:rPr>
            </w:pPr>
            <w:r w:rsidRPr="00D5126A">
              <w:rPr>
                <w:rFonts w:ascii="Arial" w:eastAsia="Times New Roman" w:hAnsi="Arial" w:cs="Arial"/>
                <w:color w:val="000000"/>
                <w:sz w:val="20"/>
                <w:lang w:eastAsia="en-NZ"/>
              </w:rPr>
              <w:t>5</w:t>
            </w:r>
          </w:p>
        </w:tc>
        <w:tc>
          <w:tcPr>
            <w:tcW w:w="567" w:type="dxa"/>
            <w:shd w:val="clear" w:color="auto" w:fill="FFFFFF" w:themeFill="background1"/>
            <w:noWrap/>
            <w:hideMark/>
          </w:tcPr>
          <w:p w:rsidR="00107245" w:rsidRPr="00D5126A" w:rsidRDefault="00107245" w:rsidP="0010724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lang w:eastAsia="en-NZ"/>
              </w:rPr>
            </w:pPr>
            <w:r w:rsidRPr="00D5126A">
              <w:rPr>
                <w:rFonts w:ascii="Arial" w:eastAsia="Times New Roman" w:hAnsi="Arial" w:cs="Arial"/>
                <w:color w:val="000000"/>
                <w:sz w:val="20"/>
                <w:lang w:eastAsia="en-NZ"/>
              </w:rPr>
              <w:t> </w:t>
            </w:r>
          </w:p>
        </w:tc>
        <w:tc>
          <w:tcPr>
            <w:tcW w:w="388" w:type="dxa"/>
            <w:shd w:val="clear" w:color="auto" w:fill="FFFFFF" w:themeFill="background1"/>
            <w:noWrap/>
            <w:hideMark/>
          </w:tcPr>
          <w:p w:rsidR="00107245" w:rsidRPr="00D5126A" w:rsidRDefault="00107245" w:rsidP="0010724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lang w:eastAsia="en-NZ"/>
              </w:rPr>
            </w:pPr>
            <w:r w:rsidRPr="00D5126A">
              <w:rPr>
                <w:rFonts w:ascii="Arial" w:eastAsia="Times New Roman" w:hAnsi="Arial" w:cs="Arial"/>
                <w:color w:val="000000"/>
                <w:sz w:val="20"/>
                <w:lang w:eastAsia="en-NZ"/>
              </w:rPr>
              <w:t> </w:t>
            </w:r>
          </w:p>
        </w:tc>
        <w:tc>
          <w:tcPr>
            <w:tcW w:w="462" w:type="dxa"/>
            <w:shd w:val="clear" w:color="auto" w:fill="FFFFFF" w:themeFill="background1"/>
            <w:noWrap/>
            <w:hideMark/>
          </w:tcPr>
          <w:p w:rsidR="00107245" w:rsidRPr="00D5126A" w:rsidRDefault="00107245" w:rsidP="0010724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lang w:eastAsia="en-NZ"/>
              </w:rPr>
            </w:pPr>
            <w:r w:rsidRPr="00D5126A">
              <w:rPr>
                <w:rFonts w:ascii="Arial" w:eastAsia="Times New Roman" w:hAnsi="Arial" w:cs="Arial"/>
                <w:color w:val="000000"/>
                <w:sz w:val="20"/>
                <w:lang w:eastAsia="en-NZ"/>
              </w:rPr>
              <w:t> </w:t>
            </w:r>
          </w:p>
        </w:tc>
        <w:tc>
          <w:tcPr>
            <w:tcW w:w="709" w:type="dxa"/>
            <w:shd w:val="clear" w:color="auto" w:fill="FFFFFF" w:themeFill="background1"/>
            <w:noWrap/>
            <w:hideMark/>
          </w:tcPr>
          <w:p w:rsidR="00107245" w:rsidRPr="00D5126A" w:rsidRDefault="00107245" w:rsidP="0010724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lang w:eastAsia="en-NZ"/>
              </w:rPr>
            </w:pPr>
            <w:r w:rsidRPr="00D5126A">
              <w:rPr>
                <w:rFonts w:ascii="Arial" w:eastAsia="Times New Roman" w:hAnsi="Arial" w:cs="Arial"/>
                <w:color w:val="000000"/>
                <w:sz w:val="20"/>
                <w:lang w:eastAsia="en-NZ"/>
              </w:rPr>
              <w:t>3</w:t>
            </w:r>
          </w:p>
        </w:tc>
        <w:tc>
          <w:tcPr>
            <w:tcW w:w="709" w:type="dxa"/>
            <w:shd w:val="clear" w:color="auto" w:fill="FFFFFF" w:themeFill="background1"/>
            <w:noWrap/>
            <w:hideMark/>
          </w:tcPr>
          <w:p w:rsidR="00107245" w:rsidRPr="00D5126A" w:rsidRDefault="00107245" w:rsidP="0010724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lang w:eastAsia="en-NZ"/>
              </w:rPr>
            </w:pPr>
            <w:r w:rsidRPr="00D5126A">
              <w:rPr>
                <w:rFonts w:ascii="Arial" w:eastAsia="Times New Roman" w:hAnsi="Arial" w:cs="Arial"/>
                <w:color w:val="000000"/>
                <w:sz w:val="20"/>
                <w:lang w:eastAsia="en-NZ"/>
              </w:rPr>
              <w:t> </w:t>
            </w:r>
          </w:p>
        </w:tc>
        <w:tc>
          <w:tcPr>
            <w:tcW w:w="708" w:type="dxa"/>
            <w:shd w:val="clear" w:color="auto" w:fill="FFFFFF" w:themeFill="background1"/>
            <w:noWrap/>
            <w:hideMark/>
          </w:tcPr>
          <w:p w:rsidR="00107245" w:rsidRPr="00D5126A" w:rsidRDefault="00107245" w:rsidP="0010724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lang w:eastAsia="en-NZ"/>
              </w:rPr>
            </w:pPr>
            <w:r w:rsidRPr="00D5126A">
              <w:rPr>
                <w:rFonts w:ascii="Arial" w:eastAsia="Times New Roman" w:hAnsi="Arial" w:cs="Arial"/>
                <w:color w:val="000000"/>
                <w:sz w:val="20"/>
                <w:lang w:eastAsia="en-NZ"/>
              </w:rPr>
              <w:t> </w:t>
            </w:r>
          </w:p>
        </w:tc>
        <w:tc>
          <w:tcPr>
            <w:tcW w:w="425" w:type="dxa"/>
            <w:shd w:val="clear" w:color="auto" w:fill="FFFFFF" w:themeFill="background1"/>
            <w:noWrap/>
            <w:hideMark/>
          </w:tcPr>
          <w:p w:rsidR="00107245" w:rsidRPr="00D5126A" w:rsidRDefault="00107245" w:rsidP="0010724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lang w:eastAsia="en-NZ"/>
              </w:rPr>
            </w:pPr>
            <w:r w:rsidRPr="00D5126A">
              <w:rPr>
                <w:rFonts w:ascii="Arial" w:eastAsia="Times New Roman" w:hAnsi="Arial" w:cs="Arial"/>
                <w:color w:val="000000"/>
                <w:sz w:val="20"/>
                <w:lang w:eastAsia="en-NZ"/>
              </w:rPr>
              <w:t> </w:t>
            </w:r>
          </w:p>
        </w:tc>
        <w:tc>
          <w:tcPr>
            <w:tcW w:w="851" w:type="dxa"/>
            <w:shd w:val="clear" w:color="auto" w:fill="FFFFFF" w:themeFill="background1"/>
            <w:noWrap/>
            <w:hideMark/>
          </w:tcPr>
          <w:p w:rsidR="00107245" w:rsidRPr="00D5126A" w:rsidRDefault="00107245" w:rsidP="0010724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lang w:eastAsia="en-NZ"/>
              </w:rPr>
            </w:pPr>
            <w:r w:rsidRPr="00D5126A">
              <w:rPr>
                <w:rFonts w:ascii="Arial" w:eastAsia="Times New Roman" w:hAnsi="Arial" w:cs="Arial"/>
                <w:color w:val="000000"/>
                <w:sz w:val="20"/>
                <w:lang w:eastAsia="en-NZ"/>
              </w:rPr>
              <w:t> </w:t>
            </w:r>
          </w:p>
        </w:tc>
        <w:tc>
          <w:tcPr>
            <w:tcW w:w="709" w:type="dxa"/>
            <w:shd w:val="clear" w:color="auto" w:fill="FFFFFF" w:themeFill="background1"/>
            <w:noWrap/>
            <w:hideMark/>
          </w:tcPr>
          <w:p w:rsidR="00107245" w:rsidRPr="00D5126A" w:rsidRDefault="00107245" w:rsidP="0010724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lang w:eastAsia="en-NZ"/>
              </w:rPr>
            </w:pPr>
            <w:r w:rsidRPr="00D5126A">
              <w:rPr>
                <w:rFonts w:ascii="Arial" w:eastAsia="Times New Roman" w:hAnsi="Arial" w:cs="Arial"/>
                <w:color w:val="000000"/>
                <w:sz w:val="20"/>
                <w:lang w:eastAsia="en-NZ"/>
              </w:rPr>
              <w:t> </w:t>
            </w:r>
          </w:p>
        </w:tc>
      </w:tr>
      <w:tr w:rsidR="005D6D1F" w:rsidRPr="00D5126A" w:rsidTr="00107245">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418" w:type="dxa"/>
            <w:shd w:val="clear" w:color="auto" w:fill="8DB3E2" w:themeFill="text2" w:themeFillTint="66"/>
            <w:noWrap/>
            <w:hideMark/>
          </w:tcPr>
          <w:p w:rsidR="00107245" w:rsidRPr="00D5126A" w:rsidRDefault="00107245" w:rsidP="00107245">
            <w:pPr>
              <w:rPr>
                <w:rFonts w:ascii="Arial" w:eastAsia="Times New Roman" w:hAnsi="Arial" w:cs="Arial"/>
                <w:color w:val="000000"/>
                <w:sz w:val="20"/>
                <w:lang w:eastAsia="en-NZ"/>
              </w:rPr>
            </w:pPr>
            <w:r w:rsidRPr="00D5126A">
              <w:rPr>
                <w:rFonts w:ascii="Arial" w:eastAsia="Times New Roman" w:hAnsi="Arial" w:cs="Arial"/>
                <w:color w:val="000000"/>
                <w:sz w:val="20"/>
                <w:lang w:eastAsia="en-NZ"/>
              </w:rPr>
              <w:t>Iona Pannett</w:t>
            </w:r>
          </w:p>
        </w:tc>
        <w:tc>
          <w:tcPr>
            <w:tcW w:w="709" w:type="dxa"/>
            <w:shd w:val="clear" w:color="auto" w:fill="FFFFFF" w:themeFill="background1"/>
            <w:noWrap/>
            <w:hideMark/>
          </w:tcPr>
          <w:p w:rsidR="00107245" w:rsidRPr="00D5126A" w:rsidRDefault="00107245" w:rsidP="00107245">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20"/>
                <w:lang w:eastAsia="en-NZ"/>
              </w:rPr>
            </w:pPr>
            <w:r w:rsidRPr="00D5126A">
              <w:rPr>
                <w:rFonts w:ascii="Arial" w:eastAsia="Times New Roman" w:hAnsi="Arial" w:cs="Arial"/>
                <w:color w:val="000000"/>
                <w:sz w:val="20"/>
                <w:lang w:eastAsia="en-NZ"/>
              </w:rPr>
              <w:t>47</w:t>
            </w:r>
          </w:p>
        </w:tc>
        <w:tc>
          <w:tcPr>
            <w:tcW w:w="488" w:type="dxa"/>
            <w:shd w:val="clear" w:color="auto" w:fill="FFFFFF" w:themeFill="background1"/>
            <w:noWrap/>
            <w:hideMark/>
          </w:tcPr>
          <w:p w:rsidR="00107245" w:rsidRPr="00D5126A" w:rsidRDefault="00107245" w:rsidP="00107245">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20"/>
                <w:lang w:eastAsia="en-NZ"/>
              </w:rPr>
            </w:pPr>
            <w:r w:rsidRPr="00D5126A">
              <w:rPr>
                <w:rFonts w:ascii="Arial" w:eastAsia="Times New Roman" w:hAnsi="Arial" w:cs="Arial"/>
                <w:color w:val="000000"/>
                <w:sz w:val="20"/>
                <w:lang w:eastAsia="en-NZ"/>
              </w:rPr>
              <w:t>46</w:t>
            </w:r>
          </w:p>
        </w:tc>
        <w:tc>
          <w:tcPr>
            <w:tcW w:w="646" w:type="dxa"/>
            <w:shd w:val="clear" w:color="auto" w:fill="FFFFFF" w:themeFill="background1"/>
            <w:noWrap/>
            <w:hideMark/>
          </w:tcPr>
          <w:p w:rsidR="00107245" w:rsidRPr="00D5126A" w:rsidRDefault="00107245" w:rsidP="00107245">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20"/>
                <w:lang w:eastAsia="en-NZ"/>
              </w:rPr>
            </w:pPr>
            <w:r w:rsidRPr="00D5126A">
              <w:rPr>
                <w:rFonts w:ascii="Arial" w:eastAsia="Times New Roman" w:hAnsi="Arial" w:cs="Arial"/>
                <w:color w:val="000000"/>
                <w:sz w:val="20"/>
                <w:lang w:eastAsia="en-NZ"/>
              </w:rPr>
              <w:t>98%</w:t>
            </w:r>
          </w:p>
        </w:tc>
        <w:tc>
          <w:tcPr>
            <w:tcW w:w="566" w:type="dxa"/>
            <w:shd w:val="clear" w:color="auto" w:fill="FFFFFF" w:themeFill="background1"/>
            <w:noWrap/>
            <w:hideMark/>
          </w:tcPr>
          <w:p w:rsidR="00107245" w:rsidRPr="00D5126A" w:rsidRDefault="00107245" w:rsidP="00107245">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20"/>
                <w:lang w:eastAsia="en-NZ"/>
              </w:rPr>
            </w:pPr>
            <w:r w:rsidRPr="00D5126A">
              <w:rPr>
                <w:rFonts w:ascii="Arial" w:eastAsia="Times New Roman" w:hAnsi="Arial" w:cs="Arial"/>
                <w:color w:val="000000"/>
                <w:sz w:val="20"/>
                <w:lang w:eastAsia="en-NZ"/>
              </w:rPr>
              <w:t>10</w:t>
            </w:r>
          </w:p>
        </w:tc>
        <w:tc>
          <w:tcPr>
            <w:tcW w:w="538" w:type="dxa"/>
            <w:shd w:val="clear" w:color="auto" w:fill="FFFFFF" w:themeFill="background1"/>
            <w:noWrap/>
            <w:hideMark/>
          </w:tcPr>
          <w:p w:rsidR="00107245" w:rsidRPr="00D5126A" w:rsidRDefault="00107245" w:rsidP="00107245">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20"/>
                <w:lang w:eastAsia="en-NZ"/>
              </w:rPr>
            </w:pPr>
            <w:r w:rsidRPr="00D5126A">
              <w:rPr>
                <w:rFonts w:ascii="Arial" w:eastAsia="Times New Roman" w:hAnsi="Arial" w:cs="Arial"/>
                <w:color w:val="000000"/>
                <w:sz w:val="20"/>
                <w:lang w:eastAsia="en-NZ"/>
              </w:rPr>
              <w:t>26</w:t>
            </w:r>
          </w:p>
        </w:tc>
        <w:tc>
          <w:tcPr>
            <w:tcW w:w="739" w:type="dxa"/>
            <w:shd w:val="clear" w:color="auto" w:fill="FFFFFF" w:themeFill="background1"/>
            <w:noWrap/>
            <w:hideMark/>
          </w:tcPr>
          <w:p w:rsidR="00107245" w:rsidRPr="00D5126A" w:rsidRDefault="00107245" w:rsidP="00107245">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20"/>
                <w:lang w:eastAsia="en-NZ"/>
              </w:rPr>
            </w:pPr>
            <w:r w:rsidRPr="00D5126A">
              <w:rPr>
                <w:rFonts w:ascii="Arial" w:eastAsia="Times New Roman" w:hAnsi="Arial" w:cs="Arial"/>
                <w:color w:val="000000"/>
                <w:sz w:val="20"/>
                <w:lang w:eastAsia="en-NZ"/>
              </w:rPr>
              <w:t>5</w:t>
            </w:r>
          </w:p>
        </w:tc>
        <w:tc>
          <w:tcPr>
            <w:tcW w:w="567" w:type="dxa"/>
            <w:shd w:val="clear" w:color="auto" w:fill="FFFFFF" w:themeFill="background1"/>
            <w:noWrap/>
            <w:hideMark/>
          </w:tcPr>
          <w:p w:rsidR="00107245" w:rsidRPr="00D5126A" w:rsidRDefault="00107245" w:rsidP="00107245">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20"/>
                <w:lang w:eastAsia="en-NZ"/>
              </w:rPr>
            </w:pPr>
            <w:r w:rsidRPr="00D5126A">
              <w:rPr>
                <w:rFonts w:ascii="Arial" w:eastAsia="Times New Roman" w:hAnsi="Arial" w:cs="Arial"/>
                <w:color w:val="000000"/>
                <w:sz w:val="20"/>
                <w:lang w:eastAsia="en-NZ"/>
              </w:rPr>
              <w:t> </w:t>
            </w:r>
          </w:p>
        </w:tc>
        <w:tc>
          <w:tcPr>
            <w:tcW w:w="388" w:type="dxa"/>
            <w:shd w:val="clear" w:color="auto" w:fill="FFFFFF" w:themeFill="background1"/>
            <w:noWrap/>
            <w:hideMark/>
          </w:tcPr>
          <w:p w:rsidR="00107245" w:rsidRPr="00D5126A" w:rsidRDefault="00107245" w:rsidP="00107245">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20"/>
                <w:lang w:eastAsia="en-NZ"/>
              </w:rPr>
            </w:pPr>
            <w:r w:rsidRPr="00D5126A">
              <w:rPr>
                <w:rFonts w:ascii="Arial" w:eastAsia="Times New Roman" w:hAnsi="Arial" w:cs="Arial"/>
                <w:color w:val="000000"/>
                <w:sz w:val="20"/>
                <w:lang w:eastAsia="en-NZ"/>
              </w:rPr>
              <w:t>4</w:t>
            </w:r>
          </w:p>
        </w:tc>
        <w:tc>
          <w:tcPr>
            <w:tcW w:w="462" w:type="dxa"/>
            <w:shd w:val="clear" w:color="auto" w:fill="FFFFFF" w:themeFill="background1"/>
            <w:noWrap/>
            <w:hideMark/>
          </w:tcPr>
          <w:p w:rsidR="00107245" w:rsidRPr="00D5126A" w:rsidRDefault="00107245" w:rsidP="00107245">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20"/>
                <w:lang w:eastAsia="en-NZ"/>
              </w:rPr>
            </w:pPr>
            <w:r w:rsidRPr="00D5126A">
              <w:rPr>
                <w:rFonts w:ascii="Arial" w:eastAsia="Times New Roman" w:hAnsi="Arial" w:cs="Arial"/>
                <w:color w:val="000000"/>
                <w:sz w:val="20"/>
                <w:lang w:eastAsia="en-NZ"/>
              </w:rPr>
              <w:t> </w:t>
            </w:r>
          </w:p>
        </w:tc>
        <w:tc>
          <w:tcPr>
            <w:tcW w:w="709" w:type="dxa"/>
            <w:shd w:val="clear" w:color="auto" w:fill="FFFFFF" w:themeFill="background1"/>
            <w:noWrap/>
            <w:hideMark/>
          </w:tcPr>
          <w:p w:rsidR="00107245" w:rsidRPr="00D5126A" w:rsidRDefault="00107245" w:rsidP="00107245">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20"/>
                <w:lang w:eastAsia="en-NZ"/>
              </w:rPr>
            </w:pPr>
            <w:r w:rsidRPr="00D5126A">
              <w:rPr>
                <w:rFonts w:ascii="Arial" w:eastAsia="Times New Roman" w:hAnsi="Arial" w:cs="Arial"/>
                <w:color w:val="000000"/>
                <w:sz w:val="20"/>
                <w:lang w:eastAsia="en-NZ"/>
              </w:rPr>
              <w:t> </w:t>
            </w:r>
          </w:p>
        </w:tc>
        <w:tc>
          <w:tcPr>
            <w:tcW w:w="709" w:type="dxa"/>
            <w:shd w:val="clear" w:color="auto" w:fill="FFFFFF" w:themeFill="background1"/>
            <w:noWrap/>
            <w:hideMark/>
          </w:tcPr>
          <w:p w:rsidR="00107245" w:rsidRPr="00D5126A" w:rsidRDefault="00107245" w:rsidP="00107245">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20"/>
                <w:lang w:eastAsia="en-NZ"/>
              </w:rPr>
            </w:pPr>
            <w:r w:rsidRPr="00D5126A">
              <w:rPr>
                <w:rFonts w:ascii="Arial" w:eastAsia="Times New Roman" w:hAnsi="Arial" w:cs="Arial"/>
                <w:color w:val="000000"/>
                <w:sz w:val="20"/>
                <w:lang w:eastAsia="en-NZ"/>
              </w:rPr>
              <w:t> </w:t>
            </w:r>
          </w:p>
        </w:tc>
        <w:tc>
          <w:tcPr>
            <w:tcW w:w="708" w:type="dxa"/>
            <w:shd w:val="clear" w:color="auto" w:fill="FFFFFF" w:themeFill="background1"/>
            <w:noWrap/>
            <w:hideMark/>
          </w:tcPr>
          <w:p w:rsidR="00107245" w:rsidRPr="00D5126A" w:rsidRDefault="00107245" w:rsidP="00107245">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20"/>
                <w:lang w:eastAsia="en-NZ"/>
              </w:rPr>
            </w:pPr>
            <w:r w:rsidRPr="00D5126A">
              <w:rPr>
                <w:rFonts w:ascii="Arial" w:eastAsia="Times New Roman" w:hAnsi="Arial" w:cs="Arial"/>
                <w:color w:val="000000"/>
                <w:sz w:val="20"/>
                <w:lang w:eastAsia="en-NZ"/>
              </w:rPr>
              <w:t> </w:t>
            </w:r>
          </w:p>
        </w:tc>
        <w:tc>
          <w:tcPr>
            <w:tcW w:w="425" w:type="dxa"/>
            <w:shd w:val="clear" w:color="auto" w:fill="FFFFFF" w:themeFill="background1"/>
            <w:noWrap/>
            <w:hideMark/>
          </w:tcPr>
          <w:p w:rsidR="00107245" w:rsidRPr="00D5126A" w:rsidRDefault="00107245" w:rsidP="00107245">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20"/>
                <w:lang w:eastAsia="en-NZ"/>
              </w:rPr>
            </w:pPr>
            <w:r w:rsidRPr="00D5126A">
              <w:rPr>
                <w:rFonts w:ascii="Arial" w:eastAsia="Times New Roman" w:hAnsi="Arial" w:cs="Arial"/>
                <w:color w:val="000000"/>
                <w:sz w:val="20"/>
                <w:lang w:eastAsia="en-NZ"/>
              </w:rPr>
              <w:t> </w:t>
            </w:r>
          </w:p>
        </w:tc>
        <w:tc>
          <w:tcPr>
            <w:tcW w:w="851" w:type="dxa"/>
            <w:shd w:val="clear" w:color="auto" w:fill="FFFFFF" w:themeFill="background1"/>
            <w:noWrap/>
            <w:hideMark/>
          </w:tcPr>
          <w:p w:rsidR="00107245" w:rsidRPr="00D5126A" w:rsidRDefault="00107245" w:rsidP="00107245">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20"/>
                <w:lang w:eastAsia="en-NZ"/>
              </w:rPr>
            </w:pPr>
            <w:r w:rsidRPr="00D5126A">
              <w:rPr>
                <w:rFonts w:ascii="Arial" w:eastAsia="Times New Roman" w:hAnsi="Arial" w:cs="Arial"/>
                <w:color w:val="000000"/>
                <w:sz w:val="20"/>
                <w:lang w:eastAsia="en-NZ"/>
              </w:rPr>
              <w:t>1</w:t>
            </w:r>
          </w:p>
        </w:tc>
        <w:tc>
          <w:tcPr>
            <w:tcW w:w="709" w:type="dxa"/>
            <w:shd w:val="clear" w:color="auto" w:fill="FFFFFF" w:themeFill="background1"/>
            <w:noWrap/>
            <w:hideMark/>
          </w:tcPr>
          <w:p w:rsidR="00107245" w:rsidRPr="00D5126A" w:rsidRDefault="00107245" w:rsidP="00107245">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20"/>
                <w:lang w:eastAsia="en-NZ"/>
              </w:rPr>
            </w:pPr>
            <w:r w:rsidRPr="00D5126A">
              <w:rPr>
                <w:rFonts w:ascii="Arial" w:eastAsia="Times New Roman" w:hAnsi="Arial" w:cs="Arial"/>
                <w:color w:val="000000"/>
                <w:sz w:val="20"/>
                <w:lang w:eastAsia="en-NZ"/>
              </w:rPr>
              <w:t> </w:t>
            </w:r>
          </w:p>
        </w:tc>
      </w:tr>
      <w:tr w:rsidR="005D6D1F" w:rsidRPr="00D5126A" w:rsidTr="00107245">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418" w:type="dxa"/>
            <w:shd w:val="clear" w:color="auto" w:fill="8DB3E2" w:themeFill="text2" w:themeFillTint="66"/>
            <w:noWrap/>
            <w:hideMark/>
          </w:tcPr>
          <w:p w:rsidR="00107245" w:rsidRPr="00D5126A" w:rsidRDefault="00107245" w:rsidP="00107245">
            <w:pPr>
              <w:rPr>
                <w:rFonts w:ascii="Arial" w:eastAsia="Times New Roman" w:hAnsi="Arial" w:cs="Arial"/>
                <w:color w:val="000000"/>
                <w:sz w:val="20"/>
                <w:lang w:eastAsia="en-NZ"/>
              </w:rPr>
            </w:pPr>
            <w:r w:rsidRPr="00D5126A">
              <w:rPr>
                <w:rFonts w:ascii="Arial" w:eastAsia="Times New Roman" w:hAnsi="Arial" w:cs="Arial"/>
                <w:color w:val="000000"/>
                <w:sz w:val="20"/>
                <w:lang w:eastAsia="en-NZ"/>
              </w:rPr>
              <w:t>Malcolm Sparrow</w:t>
            </w:r>
          </w:p>
        </w:tc>
        <w:tc>
          <w:tcPr>
            <w:tcW w:w="709" w:type="dxa"/>
            <w:shd w:val="clear" w:color="auto" w:fill="FFFFFF" w:themeFill="background1"/>
            <w:noWrap/>
            <w:hideMark/>
          </w:tcPr>
          <w:p w:rsidR="00107245" w:rsidRPr="00D5126A" w:rsidRDefault="00107245" w:rsidP="0010724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lang w:eastAsia="en-NZ"/>
              </w:rPr>
            </w:pPr>
            <w:r w:rsidRPr="00D5126A">
              <w:rPr>
                <w:rFonts w:ascii="Arial" w:eastAsia="Times New Roman" w:hAnsi="Arial" w:cs="Arial"/>
                <w:color w:val="000000"/>
                <w:sz w:val="20"/>
                <w:lang w:eastAsia="en-NZ"/>
              </w:rPr>
              <w:t>57</w:t>
            </w:r>
          </w:p>
        </w:tc>
        <w:tc>
          <w:tcPr>
            <w:tcW w:w="488" w:type="dxa"/>
            <w:shd w:val="clear" w:color="auto" w:fill="FFFFFF" w:themeFill="background1"/>
            <w:noWrap/>
            <w:hideMark/>
          </w:tcPr>
          <w:p w:rsidR="00107245" w:rsidRPr="00D5126A" w:rsidRDefault="00107245" w:rsidP="0010724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lang w:eastAsia="en-NZ"/>
              </w:rPr>
            </w:pPr>
            <w:r w:rsidRPr="00D5126A">
              <w:rPr>
                <w:rFonts w:ascii="Arial" w:eastAsia="Times New Roman" w:hAnsi="Arial" w:cs="Arial"/>
                <w:color w:val="000000"/>
                <w:sz w:val="20"/>
                <w:lang w:eastAsia="en-NZ"/>
              </w:rPr>
              <w:t>56</w:t>
            </w:r>
          </w:p>
        </w:tc>
        <w:tc>
          <w:tcPr>
            <w:tcW w:w="646" w:type="dxa"/>
            <w:shd w:val="clear" w:color="auto" w:fill="FFFFFF" w:themeFill="background1"/>
            <w:noWrap/>
            <w:hideMark/>
          </w:tcPr>
          <w:p w:rsidR="00107245" w:rsidRPr="00D5126A" w:rsidRDefault="00107245" w:rsidP="0010724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lang w:eastAsia="en-NZ"/>
              </w:rPr>
            </w:pPr>
            <w:r w:rsidRPr="00D5126A">
              <w:rPr>
                <w:rFonts w:ascii="Arial" w:eastAsia="Times New Roman" w:hAnsi="Arial" w:cs="Arial"/>
                <w:color w:val="000000"/>
                <w:sz w:val="20"/>
                <w:lang w:eastAsia="en-NZ"/>
              </w:rPr>
              <w:t>98%</w:t>
            </w:r>
          </w:p>
        </w:tc>
        <w:tc>
          <w:tcPr>
            <w:tcW w:w="566" w:type="dxa"/>
            <w:shd w:val="clear" w:color="auto" w:fill="FFFFFF" w:themeFill="background1"/>
            <w:noWrap/>
            <w:hideMark/>
          </w:tcPr>
          <w:p w:rsidR="00107245" w:rsidRPr="00D5126A" w:rsidRDefault="00107245" w:rsidP="0010724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lang w:eastAsia="en-NZ"/>
              </w:rPr>
            </w:pPr>
            <w:r w:rsidRPr="00D5126A">
              <w:rPr>
                <w:rFonts w:ascii="Arial" w:eastAsia="Times New Roman" w:hAnsi="Arial" w:cs="Arial"/>
                <w:color w:val="000000"/>
                <w:sz w:val="20"/>
                <w:lang w:eastAsia="en-NZ"/>
              </w:rPr>
              <w:t>10</w:t>
            </w:r>
          </w:p>
        </w:tc>
        <w:tc>
          <w:tcPr>
            <w:tcW w:w="538" w:type="dxa"/>
            <w:shd w:val="clear" w:color="auto" w:fill="FFFFFF" w:themeFill="background1"/>
            <w:noWrap/>
            <w:hideMark/>
          </w:tcPr>
          <w:p w:rsidR="00107245" w:rsidRPr="00D5126A" w:rsidRDefault="00107245" w:rsidP="0010724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lang w:eastAsia="en-NZ"/>
              </w:rPr>
            </w:pPr>
            <w:r w:rsidRPr="00D5126A">
              <w:rPr>
                <w:rFonts w:ascii="Arial" w:eastAsia="Times New Roman" w:hAnsi="Arial" w:cs="Arial"/>
                <w:color w:val="000000"/>
                <w:sz w:val="20"/>
                <w:lang w:eastAsia="en-NZ"/>
              </w:rPr>
              <w:t>26</w:t>
            </w:r>
          </w:p>
        </w:tc>
        <w:tc>
          <w:tcPr>
            <w:tcW w:w="739" w:type="dxa"/>
            <w:shd w:val="clear" w:color="auto" w:fill="FFFFFF" w:themeFill="background1"/>
            <w:noWrap/>
            <w:hideMark/>
          </w:tcPr>
          <w:p w:rsidR="00107245" w:rsidRPr="00D5126A" w:rsidRDefault="00107245" w:rsidP="0010724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lang w:eastAsia="en-NZ"/>
              </w:rPr>
            </w:pPr>
            <w:r w:rsidRPr="00D5126A">
              <w:rPr>
                <w:rFonts w:ascii="Arial" w:eastAsia="Times New Roman" w:hAnsi="Arial" w:cs="Arial"/>
                <w:color w:val="000000"/>
                <w:sz w:val="20"/>
                <w:lang w:eastAsia="en-NZ"/>
              </w:rPr>
              <w:t>5</w:t>
            </w:r>
          </w:p>
        </w:tc>
        <w:tc>
          <w:tcPr>
            <w:tcW w:w="567" w:type="dxa"/>
            <w:shd w:val="clear" w:color="auto" w:fill="FFFFFF" w:themeFill="background1"/>
            <w:noWrap/>
            <w:hideMark/>
          </w:tcPr>
          <w:p w:rsidR="00107245" w:rsidRPr="00D5126A" w:rsidRDefault="00107245" w:rsidP="0010724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lang w:eastAsia="en-NZ"/>
              </w:rPr>
            </w:pPr>
            <w:r w:rsidRPr="00D5126A">
              <w:rPr>
                <w:rFonts w:ascii="Arial" w:eastAsia="Times New Roman" w:hAnsi="Arial" w:cs="Arial"/>
                <w:color w:val="000000"/>
                <w:sz w:val="20"/>
                <w:lang w:eastAsia="en-NZ"/>
              </w:rPr>
              <w:t>13</w:t>
            </w:r>
          </w:p>
        </w:tc>
        <w:tc>
          <w:tcPr>
            <w:tcW w:w="388" w:type="dxa"/>
            <w:shd w:val="clear" w:color="auto" w:fill="FFFFFF" w:themeFill="background1"/>
            <w:noWrap/>
            <w:hideMark/>
          </w:tcPr>
          <w:p w:rsidR="00107245" w:rsidRPr="00D5126A" w:rsidRDefault="00107245" w:rsidP="0010724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lang w:eastAsia="en-NZ"/>
              </w:rPr>
            </w:pPr>
            <w:r w:rsidRPr="00D5126A">
              <w:rPr>
                <w:rFonts w:ascii="Arial" w:eastAsia="Times New Roman" w:hAnsi="Arial" w:cs="Arial"/>
                <w:color w:val="000000"/>
                <w:sz w:val="20"/>
                <w:lang w:eastAsia="en-NZ"/>
              </w:rPr>
              <w:t> </w:t>
            </w:r>
          </w:p>
        </w:tc>
        <w:tc>
          <w:tcPr>
            <w:tcW w:w="462" w:type="dxa"/>
            <w:shd w:val="clear" w:color="auto" w:fill="FFFFFF" w:themeFill="background1"/>
            <w:noWrap/>
            <w:hideMark/>
          </w:tcPr>
          <w:p w:rsidR="00107245" w:rsidRPr="00D5126A" w:rsidRDefault="00107245" w:rsidP="0010724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lang w:eastAsia="en-NZ"/>
              </w:rPr>
            </w:pPr>
            <w:r w:rsidRPr="00D5126A">
              <w:rPr>
                <w:rFonts w:ascii="Arial" w:eastAsia="Times New Roman" w:hAnsi="Arial" w:cs="Arial"/>
                <w:color w:val="000000"/>
                <w:sz w:val="20"/>
                <w:lang w:eastAsia="en-NZ"/>
              </w:rPr>
              <w:t> </w:t>
            </w:r>
          </w:p>
        </w:tc>
        <w:tc>
          <w:tcPr>
            <w:tcW w:w="709" w:type="dxa"/>
            <w:shd w:val="clear" w:color="auto" w:fill="FFFFFF" w:themeFill="background1"/>
            <w:noWrap/>
            <w:hideMark/>
          </w:tcPr>
          <w:p w:rsidR="00107245" w:rsidRPr="00D5126A" w:rsidRDefault="00107245" w:rsidP="0010724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lang w:eastAsia="en-NZ"/>
              </w:rPr>
            </w:pPr>
            <w:r w:rsidRPr="00D5126A">
              <w:rPr>
                <w:rFonts w:ascii="Arial" w:eastAsia="Times New Roman" w:hAnsi="Arial" w:cs="Arial"/>
                <w:color w:val="000000"/>
                <w:sz w:val="20"/>
                <w:lang w:eastAsia="en-NZ"/>
              </w:rPr>
              <w:t> </w:t>
            </w:r>
          </w:p>
        </w:tc>
        <w:tc>
          <w:tcPr>
            <w:tcW w:w="709" w:type="dxa"/>
            <w:shd w:val="clear" w:color="auto" w:fill="FFFFFF" w:themeFill="background1"/>
            <w:noWrap/>
            <w:hideMark/>
          </w:tcPr>
          <w:p w:rsidR="00107245" w:rsidRPr="00D5126A" w:rsidRDefault="00107245" w:rsidP="0010724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lang w:eastAsia="en-NZ"/>
              </w:rPr>
            </w:pPr>
            <w:r w:rsidRPr="00D5126A">
              <w:rPr>
                <w:rFonts w:ascii="Arial" w:eastAsia="Times New Roman" w:hAnsi="Arial" w:cs="Arial"/>
                <w:color w:val="000000"/>
                <w:sz w:val="20"/>
                <w:lang w:eastAsia="en-NZ"/>
              </w:rPr>
              <w:t> </w:t>
            </w:r>
          </w:p>
        </w:tc>
        <w:tc>
          <w:tcPr>
            <w:tcW w:w="708" w:type="dxa"/>
            <w:shd w:val="clear" w:color="auto" w:fill="FFFFFF" w:themeFill="background1"/>
            <w:noWrap/>
            <w:hideMark/>
          </w:tcPr>
          <w:p w:rsidR="00107245" w:rsidRPr="00D5126A" w:rsidRDefault="00107245" w:rsidP="0010724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lang w:eastAsia="en-NZ"/>
              </w:rPr>
            </w:pPr>
            <w:r w:rsidRPr="00D5126A">
              <w:rPr>
                <w:rFonts w:ascii="Arial" w:eastAsia="Times New Roman" w:hAnsi="Arial" w:cs="Arial"/>
                <w:color w:val="000000"/>
                <w:sz w:val="20"/>
                <w:lang w:eastAsia="en-NZ"/>
              </w:rPr>
              <w:t>2</w:t>
            </w:r>
          </w:p>
        </w:tc>
        <w:tc>
          <w:tcPr>
            <w:tcW w:w="425" w:type="dxa"/>
            <w:shd w:val="clear" w:color="auto" w:fill="FFFFFF" w:themeFill="background1"/>
            <w:noWrap/>
            <w:hideMark/>
          </w:tcPr>
          <w:p w:rsidR="00107245" w:rsidRPr="00D5126A" w:rsidRDefault="00107245" w:rsidP="0010724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lang w:eastAsia="en-NZ"/>
              </w:rPr>
            </w:pPr>
            <w:r w:rsidRPr="00D5126A">
              <w:rPr>
                <w:rFonts w:ascii="Arial" w:eastAsia="Times New Roman" w:hAnsi="Arial" w:cs="Arial"/>
                <w:color w:val="000000"/>
                <w:sz w:val="20"/>
                <w:lang w:eastAsia="en-NZ"/>
              </w:rPr>
              <w:t> </w:t>
            </w:r>
          </w:p>
        </w:tc>
        <w:tc>
          <w:tcPr>
            <w:tcW w:w="851" w:type="dxa"/>
            <w:shd w:val="clear" w:color="auto" w:fill="FFFFFF" w:themeFill="background1"/>
            <w:noWrap/>
            <w:hideMark/>
          </w:tcPr>
          <w:p w:rsidR="00107245" w:rsidRPr="00D5126A" w:rsidRDefault="00107245" w:rsidP="0010724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lang w:eastAsia="en-NZ"/>
              </w:rPr>
            </w:pPr>
            <w:r w:rsidRPr="00D5126A">
              <w:rPr>
                <w:rFonts w:ascii="Arial" w:eastAsia="Times New Roman" w:hAnsi="Arial" w:cs="Arial"/>
                <w:color w:val="000000"/>
                <w:sz w:val="20"/>
                <w:lang w:eastAsia="en-NZ"/>
              </w:rPr>
              <w:t> </w:t>
            </w:r>
          </w:p>
        </w:tc>
        <w:tc>
          <w:tcPr>
            <w:tcW w:w="709" w:type="dxa"/>
            <w:shd w:val="clear" w:color="auto" w:fill="FFFFFF" w:themeFill="background1"/>
            <w:noWrap/>
            <w:hideMark/>
          </w:tcPr>
          <w:p w:rsidR="00107245" w:rsidRPr="00D5126A" w:rsidRDefault="00107245" w:rsidP="0010724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lang w:eastAsia="en-NZ"/>
              </w:rPr>
            </w:pPr>
            <w:r w:rsidRPr="00D5126A">
              <w:rPr>
                <w:rFonts w:ascii="Arial" w:eastAsia="Times New Roman" w:hAnsi="Arial" w:cs="Arial"/>
                <w:color w:val="000000"/>
                <w:sz w:val="20"/>
                <w:lang w:eastAsia="en-NZ"/>
              </w:rPr>
              <w:t> </w:t>
            </w:r>
          </w:p>
        </w:tc>
      </w:tr>
      <w:tr w:rsidR="005D6D1F" w:rsidRPr="00D5126A" w:rsidTr="00107245">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418" w:type="dxa"/>
            <w:shd w:val="clear" w:color="auto" w:fill="8DB3E2" w:themeFill="text2" w:themeFillTint="66"/>
            <w:noWrap/>
            <w:hideMark/>
          </w:tcPr>
          <w:p w:rsidR="00107245" w:rsidRPr="00D5126A" w:rsidRDefault="00107245" w:rsidP="00107245">
            <w:pPr>
              <w:rPr>
                <w:rFonts w:ascii="Arial" w:eastAsia="Times New Roman" w:hAnsi="Arial" w:cs="Arial"/>
                <w:color w:val="000000"/>
                <w:sz w:val="20"/>
                <w:lang w:eastAsia="en-NZ"/>
              </w:rPr>
            </w:pPr>
            <w:r w:rsidRPr="00D5126A">
              <w:rPr>
                <w:rFonts w:ascii="Arial" w:eastAsia="Times New Roman" w:hAnsi="Arial" w:cs="Arial"/>
                <w:color w:val="000000"/>
                <w:sz w:val="20"/>
                <w:lang w:eastAsia="en-NZ"/>
              </w:rPr>
              <w:t>Simon Woolf</w:t>
            </w:r>
          </w:p>
        </w:tc>
        <w:tc>
          <w:tcPr>
            <w:tcW w:w="709" w:type="dxa"/>
            <w:shd w:val="clear" w:color="auto" w:fill="FFFFFF" w:themeFill="background1"/>
            <w:noWrap/>
            <w:hideMark/>
          </w:tcPr>
          <w:p w:rsidR="00107245" w:rsidRPr="00D5126A" w:rsidRDefault="00107245" w:rsidP="00107245">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20"/>
                <w:lang w:eastAsia="en-NZ"/>
              </w:rPr>
            </w:pPr>
            <w:r w:rsidRPr="00D5126A">
              <w:rPr>
                <w:rFonts w:ascii="Arial" w:eastAsia="Times New Roman" w:hAnsi="Arial" w:cs="Arial"/>
                <w:color w:val="000000"/>
                <w:sz w:val="20"/>
                <w:lang w:eastAsia="en-NZ"/>
              </w:rPr>
              <w:t>47</w:t>
            </w:r>
          </w:p>
        </w:tc>
        <w:tc>
          <w:tcPr>
            <w:tcW w:w="488" w:type="dxa"/>
            <w:shd w:val="clear" w:color="auto" w:fill="FFFFFF" w:themeFill="background1"/>
            <w:noWrap/>
            <w:hideMark/>
          </w:tcPr>
          <w:p w:rsidR="00107245" w:rsidRPr="00D5126A" w:rsidRDefault="00107245" w:rsidP="00107245">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20"/>
                <w:lang w:eastAsia="en-NZ"/>
              </w:rPr>
            </w:pPr>
            <w:r w:rsidRPr="00D5126A">
              <w:rPr>
                <w:rFonts w:ascii="Arial" w:eastAsia="Times New Roman" w:hAnsi="Arial" w:cs="Arial"/>
                <w:color w:val="000000"/>
                <w:sz w:val="20"/>
                <w:lang w:eastAsia="en-NZ"/>
              </w:rPr>
              <w:t>46</w:t>
            </w:r>
          </w:p>
        </w:tc>
        <w:tc>
          <w:tcPr>
            <w:tcW w:w="646" w:type="dxa"/>
            <w:shd w:val="clear" w:color="auto" w:fill="FFFFFF" w:themeFill="background1"/>
            <w:noWrap/>
            <w:hideMark/>
          </w:tcPr>
          <w:p w:rsidR="00107245" w:rsidRPr="00D5126A" w:rsidRDefault="00107245" w:rsidP="00107245">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20"/>
                <w:lang w:eastAsia="en-NZ"/>
              </w:rPr>
            </w:pPr>
            <w:r w:rsidRPr="00D5126A">
              <w:rPr>
                <w:rFonts w:ascii="Arial" w:eastAsia="Times New Roman" w:hAnsi="Arial" w:cs="Arial"/>
                <w:color w:val="000000"/>
                <w:sz w:val="20"/>
                <w:lang w:eastAsia="en-NZ"/>
              </w:rPr>
              <w:t>98%</w:t>
            </w:r>
          </w:p>
        </w:tc>
        <w:tc>
          <w:tcPr>
            <w:tcW w:w="566" w:type="dxa"/>
            <w:shd w:val="clear" w:color="auto" w:fill="FFFFFF" w:themeFill="background1"/>
            <w:noWrap/>
            <w:hideMark/>
          </w:tcPr>
          <w:p w:rsidR="00107245" w:rsidRPr="00D5126A" w:rsidRDefault="00107245" w:rsidP="00107245">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20"/>
                <w:lang w:eastAsia="en-NZ"/>
              </w:rPr>
            </w:pPr>
            <w:r w:rsidRPr="00D5126A">
              <w:rPr>
                <w:rFonts w:ascii="Arial" w:eastAsia="Times New Roman" w:hAnsi="Arial" w:cs="Arial"/>
                <w:color w:val="000000"/>
                <w:sz w:val="20"/>
                <w:lang w:eastAsia="en-NZ"/>
              </w:rPr>
              <w:t>10</w:t>
            </w:r>
          </w:p>
        </w:tc>
        <w:tc>
          <w:tcPr>
            <w:tcW w:w="538" w:type="dxa"/>
            <w:shd w:val="clear" w:color="auto" w:fill="FFFFFF" w:themeFill="background1"/>
            <w:noWrap/>
            <w:hideMark/>
          </w:tcPr>
          <w:p w:rsidR="00107245" w:rsidRPr="00D5126A" w:rsidRDefault="00107245" w:rsidP="00107245">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20"/>
                <w:lang w:eastAsia="en-NZ"/>
              </w:rPr>
            </w:pPr>
            <w:r w:rsidRPr="00D5126A">
              <w:rPr>
                <w:rFonts w:ascii="Arial" w:eastAsia="Times New Roman" w:hAnsi="Arial" w:cs="Arial"/>
                <w:color w:val="000000"/>
                <w:sz w:val="20"/>
                <w:lang w:eastAsia="en-NZ"/>
              </w:rPr>
              <w:t>26</w:t>
            </w:r>
          </w:p>
        </w:tc>
        <w:tc>
          <w:tcPr>
            <w:tcW w:w="739" w:type="dxa"/>
            <w:shd w:val="clear" w:color="auto" w:fill="FFFFFF" w:themeFill="background1"/>
            <w:noWrap/>
            <w:hideMark/>
          </w:tcPr>
          <w:p w:rsidR="00107245" w:rsidRPr="00D5126A" w:rsidRDefault="00107245" w:rsidP="00107245">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20"/>
                <w:lang w:eastAsia="en-NZ"/>
              </w:rPr>
            </w:pPr>
            <w:r w:rsidRPr="00D5126A">
              <w:rPr>
                <w:rFonts w:ascii="Arial" w:eastAsia="Times New Roman" w:hAnsi="Arial" w:cs="Arial"/>
                <w:color w:val="000000"/>
                <w:sz w:val="20"/>
                <w:lang w:eastAsia="en-NZ"/>
              </w:rPr>
              <w:t>5</w:t>
            </w:r>
          </w:p>
        </w:tc>
        <w:tc>
          <w:tcPr>
            <w:tcW w:w="567" w:type="dxa"/>
            <w:shd w:val="clear" w:color="auto" w:fill="FFFFFF" w:themeFill="background1"/>
            <w:noWrap/>
            <w:hideMark/>
          </w:tcPr>
          <w:p w:rsidR="00107245" w:rsidRPr="00D5126A" w:rsidRDefault="00107245" w:rsidP="00107245">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20"/>
                <w:lang w:eastAsia="en-NZ"/>
              </w:rPr>
            </w:pPr>
            <w:r w:rsidRPr="00D5126A">
              <w:rPr>
                <w:rFonts w:ascii="Arial" w:eastAsia="Times New Roman" w:hAnsi="Arial" w:cs="Arial"/>
                <w:color w:val="000000"/>
                <w:sz w:val="20"/>
                <w:lang w:eastAsia="en-NZ"/>
              </w:rPr>
              <w:t> </w:t>
            </w:r>
          </w:p>
        </w:tc>
        <w:tc>
          <w:tcPr>
            <w:tcW w:w="388" w:type="dxa"/>
            <w:shd w:val="clear" w:color="auto" w:fill="FFFFFF" w:themeFill="background1"/>
            <w:noWrap/>
            <w:hideMark/>
          </w:tcPr>
          <w:p w:rsidR="00107245" w:rsidRPr="00D5126A" w:rsidRDefault="00107245" w:rsidP="00107245">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20"/>
                <w:lang w:eastAsia="en-NZ"/>
              </w:rPr>
            </w:pPr>
            <w:r w:rsidRPr="00D5126A">
              <w:rPr>
                <w:rFonts w:ascii="Arial" w:eastAsia="Times New Roman" w:hAnsi="Arial" w:cs="Arial"/>
                <w:color w:val="000000"/>
                <w:sz w:val="20"/>
                <w:lang w:eastAsia="en-NZ"/>
              </w:rPr>
              <w:t> </w:t>
            </w:r>
          </w:p>
        </w:tc>
        <w:tc>
          <w:tcPr>
            <w:tcW w:w="462" w:type="dxa"/>
            <w:shd w:val="clear" w:color="auto" w:fill="FFFFFF" w:themeFill="background1"/>
            <w:noWrap/>
            <w:hideMark/>
          </w:tcPr>
          <w:p w:rsidR="00107245" w:rsidRPr="00D5126A" w:rsidRDefault="00107245" w:rsidP="00107245">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20"/>
                <w:lang w:eastAsia="en-NZ"/>
              </w:rPr>
            </w:pPr>
            <w:r w:rsidRPr="00D5126A">
              <w:rPr>
                <w:rFonts w:ascii="Arial" w:eastAsia="Times New Roman" w:hAnsi="Arial" w:cs="Arial"/>
                <w:color w:val="000000"/>
                <w:sz w:val="20"/>
                <w:lang w:eastAsia="en-NZ"/>
              </w:rPr>
              <w:t> </w:t>
            </w:r>
          </w:p>
        </w:tc>
        <w:tc>
          <w:tcPr>
            <w:tcW w:w="709" w:type="dxa"/>
            <w:shd w:val="clear" w:color="auto" w:fill="FFFFFF" w:themeFill="background1"/>
            <w:noWrap/>
            <w:hideMark/>
          </w:tcPr>
          <w:p w:rsidR="00107245" w:rsidRPr="00D5126A" w:rsidRDefault="00107245" w:rsidP="00107245">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20"/>
                <w:lang w:eastAsia="en-NZ"/>
              </w:rPr>
            </w:pPr>
            <w:r w:rsidRPr="00D5126A">
              <w:rPr>
                <w:rFonts w:ascii="Arial" w:eastAsia="Times New Roman" w:hAnsi="Arial" w:cs="Arial"/>
                <w:color w:val="000000"/>
                <w:sz w:val="20"/>
                <w:lang w:eastAsia="en-NZ"/>
              </w:rPr>
              <w:t>3</w:t>
            </w:r>
          </w:p>
        </w:tc>
        <w:tc>
          <w:tcPr>
            <w:tcW w:w="709" w:type="dxa"/>
            <w:shd w:val="clear" w:color="auto" w:fill="FFFFFF" w:themeFill="background1"/>
            <w:noWrap/>
            <w:hideMark/>
          </w:tcPr>
          <w:p w:rsidR="00107245" w:rsidRPr="00D5126A" w:rsidRDefault="00107245" w:rsidP="00107245">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20"/>
                <w:lang w:eastAsia="en-NZ"/>
              </w:rPr>
            </w:pPr>
            <w:r w:rsidRPr="00D5126A">
              <w:rPr>
                <w:rFonts w:ascii="Arial" w:eastAsia="Times New Roman" w:hAnsi="Arial" w:cs="Arial"/>
                <w:color w:val="000000"/>
                <w:sz w:val="20"/>
                <w:lang w:eastAsia="en-NZ"/>
              </w:rPr>
              <w:t> </w:t>
            </w:r>
          </w:p>
        </w:tc>
        <w:tc>
          <w:tcPr>
            <w:tcW w:w="708" w:type="dxa"/>
            <w:shd w:val="clear" w:color="auto" w:fill="FFFFFF" w:themeFill="background1"/>
            <w:noWrap/>
            <w:hideMark/>
          </w:tcPr>
          <w:p w:rsidR="00107245" w:rsidRPr="00D5126A" w:rsidRDefault="00107245" w:rsidP="00107245">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20"/>
                <w:lang w:eastAsia="en-NZ"/>
              </w:rPr>
            </w:pPr>
            <w:r w:rsidRPr="00D5126A">
              <w:rPr>
                <w:rFonts w:ascii="Arial" w:eastAsia="Times New Roman" w:hAnsi="Arial" w:cs="Arial"/>
                <w:color w:val="000000"/>
                <w:sz w:val="20"/>
                <w:lang w:eastAsia="en-NZ"/>
              </w:rPr>
              <w:t>2</w:t>
            </w:r>
          </w:p>
        </w:tc>
        <w:tc>
          <w:tcPr>
            <w:tcW w:w="425" w:type="dxa"/>
            <w:shd w:val="clear" w:color="auto" w:fill="FFFFFF" w:themeFill="background1"/>
            <w:noWrap/>
            <w:hideMark/>
          </w:tcPr>
          <w:p w:rsidR="00107245" w:rsidRPr="00D5126A" w:rsidRDefault="00107245" w:rsidP="00107245">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20"/>
                <w:lang w:eastAsia="en-NZ"/>
              </w:rPr>
            </w:pPr>
            <w:r w:rsidRPr="00D5126A">
              <w:rPr>
                <w:rFonts w:ascii="Arial" w:eastAsia="Times New Roman" w:hAnsi="Arial" w:cs="Arial"/>
                <w:color w:val="000000"/>
                <w:sz w:val="20"/>
                <w:lang w:eastAsia="en-NZ"/>
              </w:rPr>
              <w:t> </w:t>
            </w:r>
          </w:p>
        </w:tc>
        <w:tc>
          <w:tcPr>
            <w:tcW w:w="851" w:type="dxa"/>
            <w:shd w:val="clear" w:color="auto" w:fill="FFFFFF" w:themeFill="background1"/>
            <w:noWrap/>
            <w:hideMark/>
          </w:tcPr>
          <w:p w:rsidR="00107245" w:rsidRPr="00D5126A" w:rsidRDefault="00107245" w:rsidP="00107245">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20"/>
                <w:lang w:eastAsia="en-NZ"/>
              </w:rPr>
            </w:pPr>
            <w:r w:rsidRPr="00D5126A">
              <w:rPr>
                <w:rFonts w:ascii="Arial" w:eastAsia="Times New Roman" w:hAnsi="Arial" w:cs="Arial"/>
                <w:color w:val="000000"/>
                <w:sz w:val="20"/>
                <w:lang w:eastAsia="en-NZ"/>
              </w:rPr>
              <w:t> </w:t>
            </w:r>
          </w:p>
        </w:tc>
        <w:tc>
          <w:tcPr>
            <w:tcW w:w="709" w:type="dxa"/>
            <w:shd w:val="clear" w:color="auto" w:fill="FFFFFF" w:themeFill="background1"/>
            <w:noWrap/>
            <w:hideMark/>
          </w:tcPr>
          <w:p w:rsidR="00107245" w:rsidRPr="00D5126A" w:rsidRDefault="00107245" w:rsidP="00107245">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20"/>
                <w:lang w:eastAsia="en-NZ"/>
              </w:rPr>
            </w:pPr>
            <w:r w:rsidRPr="00D5126A">
              <w:rPr>
                <w:rFonts w:ascii="Arial" w:eastAsia="Times New Roman" w:hAnsi="Arial" w:cs="Arial"/>
                <w:color w:val="000000"/>
                <w:sz w:val="20"/>
                <w:lang w:eastAsia="en-NZ"/>
              </w:rPr>
              <w:t> </w:t>
            </w:r>
          </w:p>
        </w:tc>
      </w:tr>
      <w:tr w:rsidR="005D6D1F" w:rsidRPr="00D5126A" w:rsidTr="00107245">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418" w:type="dxa"/>
            <w:shd w:val="clear" w:color="auto" w:fill="8DB3E2" w:themeFill="text2" w:themeFillTint="66"/>
            <w:noWrap/>
            <w:hideMark/>
          </w:tcPr>
          <w:p w:rsidR="00107245" w:rsidRPr="00D5126A" w:rsidRDefault="00107245" w:rsidP="00107245">
            <w:pPr>
              <w:rPr>
                <w:rFonts w:ascii="Arial" w:eastAsia="Times New Roman" w:hAnsi="Arial" w:cs="Arial"/>
                <w:color w:val="000000"/>
                <w:sz w:val="20"/>
                <w:lang w:eastAsia="en-NZ"/>
              </w:rPr>
            </w:pPr>
            <w:r w:rsidRPr="00D5126A">
              <w:rPr>
                <w:rFonts w:ascii="Arial" w:eastAsia="Times New Roman" w:hAnsi="Arial" w:cs="Arial"/>
                <w:color w:val="000000"/>
                <w:sz w:val="20"/>
                <w:lang w:eastAsia="en-NZ"/>
              </w:rPr>
              <w:t>Nicola Young</w:t>
            </w:r>
          </w:p>
        </w:tc>
        <w:tc>
          <w:tcPr>
            <w:tcW w:w="709" w:type="dxa"/>
            <w:shd w:val="clear" w:color="auto" w:fill="FFFFFF" w:themeFill="background1"/>
            <w:noWrap/>
            <w:hideMark/>
          </w:tcPr>
          <w:p w:rsidR="00107245" w:rsidRPr="00D5126A" w:rsidRDefault="00107245" w:rsidP="0010724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lang w:eastAsia="en-NZ"/>
              </w:rPr>
            </w:pPr>
            <w:r w:rsidRPr="00D5126A">
              <w:rPr>
                <w:rFonts w:ascii="Arial" w:eastAsia="Times New Roman" w:hAnsi="Arial" w:cs="Arial"/>
                <w:color w:val="000000"/>
                <w:sz w:val="20"/>
                <w:lang w:eastAsia="en-NZ"/>
              </w:rPr>
              <w:t>50</w:t>
            </w:r>
          </w:p>
        </w:tc>
        <w:tc>
          <w:tcPr>
            <w:tcW w:w="488" w:type="dxa"/>
            <w:shd w:val="clear" w:color="auto" w:fill="FFFFFF" w:themeFill="background1"/>
            <w:noWrap/>
            <w:hideMark/>
          </w:tcPr>
          <w:p w:rsidR="00107245" w:rsidRPr="00D5126A" w:rsidRDefault="00107245" w:rsidP="0010724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lang w:eastAsia="en-NZ"/>
              </w:rPr>
            </w:pPr>
            <w:r w:rsidRPr="00D5126A">
              <w:rPr>
                <w:rFonts w:ascii="Arial" w:eastAsia="Times New Roman" w:hAnsi="Arial" w:cs="Arial"/>
                <w:color w:val="000000"/>
                <w:sz w:val="20"/>
                <w:lang w:eastAsia="en-NZ"/>
              </w:rPr>
              <w:t>48</w:t>
            </w:r>
          </w:p>
        </w:tc>
        <w:tc>
          <w:tcPr>
            <w:tcW w:w="646" w:type="dxa"/>
            <w:shd w:val="clear" w:color="auto" w:fill="FFFFFF" w:themeFill="background1"/>
            <w:noWrap/>
            <w:hideMark/>
          </w:tcPr>
          <w:p w:rsidR="00107245" w:rsidRPr="00D5126A" w:rsidRDefault="00107245" w:rsidP="0010724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lang w:eastAsia="en-NZ"/>
              </w:rPr>
            </w:pPr>
            <w:r w:rsidRPr="00D5126A">
              <w:rPr>
                <w:rFonts w:ascii="Arial" w:eastAsia="Times New Roman" w:hAnsi="Arial" w:cs="Arial"/>
                <w:color w:val="000000"/>
                <w:sz w:val="20"/>
                <w:lang w:eastAsia="en-NZ"/>
              </w:rPr>
              <w:t>96%</w:t>
            </w:r>
          </w:p>
        </w:tc>
        <w:tc>
          <w:tcPr>
            <w:tcW w:w="566" w:type="dxa"/>
            <w:shd w:val="clear" w:color="auto" w:fill="FFFFFF" w:themeFill="background1"/>
            <w:noWrap/>
            <w:hideMark/>
          </w:tcPr>
          <w:p w:rsidR="00107245" w:rsidRPr="00D5126A" w:rsidRDefault="00107245" w:rsidP="0010724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lang w:eastAsia="en-NZ"/>
              </w:rPr>
            </w:pPr>
            <w:r w:rsidRPr="00D5126A">
              <w:rPr>
                <w:rFonts w:ascii="Arial" w:eastAsia="Times New Roman" w:hAnsi="Arial" w:cs="Arial"/>
                <w:color w:val="000000"/>
                <w:sz w:val="20"/>
                <w:lang w:eastAsia="en-NZ"/>
              </w:rPr>
              <w:t>9</w:t>
            </w:r>
          </w:p>
        </w:tc>
        <w:tc>
          <w:tcPr>
            <w:tcW w:w="538" w:type="dxa"/>
            <w:shd w:val="clear" w:color="auto" w:fill="FFFFFF" w:themeFill="background1"/>
            <w:noWrap/>
            <w:hideMark/>
          </w:tcPr>
          <w:p w:rsidR="00107245" w:rsidRPr="00D5126A" w:rsidRDefault="00107245" w:rsidP="0010724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lang w:eastAsia="en-NZ"/>
              </w:rPr>
            </w:pPr>
            <w:r w:rsidRPr="00D5126A">
              <w:rPr>
                <w:rFonts w:ascii="Arial" w:eastAsia="Times New Roman" w:hAnsi="Arial" w:cs="Arial"/>
                <w:color w:val="000000"/>
                <w:sz w:val="20"/>
                <w:lang w:eastAsia="en-NZ"/>
              </w:rPr>
              <w:t>26</w:t>
            </w:r>
          </w:p>
        </w:tc>
        <w:tc>
          <w:tcPr>
            <w:tcW w:w="739" w:type="dxa"/>
            <w:shd w:val="clear" w:color="auto" w:fill="FFFFFF" w:themeFill="background1"/>
            <w:noWrap/>
            <w:hideMark/>
          </w:tcPr>
          <w:p w:rsidR="00107245" w:rsidRPr="00D5126A" w:rsidRDefault="00107245" w:rsidP="0010724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lang w:eastAsia="en-NZ"/>
              </w:rPr>
            </w:pPr>
            <w:r w:rsidRPr="00D5126A">
              <w:rPr>
                <w:rFonts w:ascii="Arial" w:eastAsia="Times New Roman" w:hAnsi="Arial" w:cs="Arial"/>
                <w:color w:val="000000"/>
                <w:sz w:val="20"/>
                <w:lang w:eastAsia="en-NZ"/>
              </w:rPr>
              <w:t>5</w:t>
            </w:r>
          </w:p>
        </w:tc>
        <w:tc>
          <w:tcPr>
            <w:tcW w:w="567" w:type="dxa"/>
            <w:shd w:val="clear" w:color="auto" w:fill="FFFFFF" w:themeFill="background1"/>
            <w:noWrap/>
            <w:hideMark/>
          </w:tcPr>
          <w:p w:rsidR="00107245" w:rsidRPr="00D5126A" w:rsidRDefault="00107245" w:rsidP="0010724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lang w:eastAsia="en-NZ"/>
              </w:rPr>
            </w:pPr>
            <w:r w:rsidRPr="00D5126A">
              <w:rPr>
                <w:rFonts w:ascii="Arial" w:eastAsia="Times New Roman" w:hAnsi="Arial" w:cs="Arial"/>
                <w:color w:val="000000"/>
                <w:sz w:val="20"/>
                <w:lang w:eastAsia="en-NZ"/>
              </w:rPr>
              <w:t> </w:t>
            </w:r>
          </w:p>
        </w:tc>
        <w:tc>
          <w:tcPr>
            <w:tcW w:w="388" w:type="dxa"/>
            <w:shd w:val="clear" w:color="auto" w:fill="FFFFFF" w:themeFill="background1"/>
            <w:noWrap/>
            <w:hideMark/>
          </w:tcPr>
          <w:p w:rsidR="00107245" w:rsidRPr="00D5126A" w:rsidRDefault="00107245" w:rsidP="0010724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lang w:eastAsia="en-NZ"/>
              </w:rPr>
            </w:pPr>
            <w:r w:rsidRPr="00D5126A">
              <w:rPr>
                <w:rFonts w:ascii="Arial" w:eastAsia="Times New Roman" w:hAnsi="Arial" w:cs="Arial"/>
                <w:color w:val="000000"/>
                <w:sz w:val="20"/>
                <w:lang w:eastAsia="en-NZ"/>
              </w:rPr>
              <w:t> </w:t>
            </w:r>
          </w:p>
        </w:tc>
        <w:tc>
          <w:tcPr>
            <w:tcW w:w="462" w:type="dxa"/>
            <w:shd w:val="clear" w:color="auto" w:fill="FFFFFF" w:themeFill="background1"/>
            <w:noWrap/>
            <w:hideMark/>
          </w:tcPr>
          <w:p w:rsidR="00107245" w:rsidRPr="00D5126A" w:rsidRDefault="00107245" w:rsidP="0010724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lang w:eastAsia="en-NZ"/>
              </w:rPr>
            </w:pPr>
            <w:r w:rsidRPr="00D5126A">
              <w:rPr>
                <w:rFonts w:ascii="Arial" w:eastAsia="Times New Roman" w:hAnsi="Arial" w:cs="Arial"/>
                <w:color w:val="000000"/>
                <w:sz w:val="20"/>
                <w:lang w:eastAsia="en-NZ"/>
              </w:rPr>
              <w:t> </w:t>
            </w:r>
          </w:p>
        </w:tc>
        <w:tc>
          <w:tcPr>
            <w:tcW w:w="709" w:type="dxa"/>
            <w:shd w:val="clear" w:color="auto" w:fill="FFFFFF" w:themeFill="background1"/>
            <w:noWrap/>
            <w:hideMark/>
          </w:tcPr>
          <w:p w:rsidR="00107245" w:rsidRPr="00D5126A" w:rsidRDefault="00107245" w:rsidP="0010724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lang w:eastAsia="en-NZ"/>
              </w:rPr>
            </w:pPr>
            <w:r w:rsidRPr="00D5126A">
              <w:rPr>
                <w:rFonts w:ascii="Arial" w:eastAsia="Times New Roman" w:hAnsi="Arial" w:cs="Arial"/>
                <w:color w:val="000000"/>
                <w:sz w:val="20"/>
                <w:lang w:eastAsia="en-NZ"/>
              </w:rPr>
              <w:t> </w:t>
            </w:r>
          </w:p>
        </w:tc>
        <w:tc>
          <w:tcPr>
            <w:tcW w:w="709" w:type="dxa"/>
            <w:shd w:val="clear" w:color="auto" w:fill="FFFFFF" w:themeFill="background1"/>
            <w:noWrap/>
            <w:hideMark/>
          </w:tcPr>
          <w:p w:rsidR="00107245" w:rsidRPr="00D5126A" w:rsidRDefault="00107245" w:rsidP="0010724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lang w:eastAsia="en-NZ"/>
              </w:rPr>
            </w:pPr>
            <w:r w:rsidRPr="00D5126A">
              <w:rPr>
                <w:rFonts w:ascii="Arial" w:eastAsia="Times New Roman" w:hAnsi="Arial" w:cs="Arial"/>
                <w:color w:val="000000"/>
                <w:sz w:val="20"/>
                <w:lang w:eastAsia="en-NZ"/>
              </w:rPr>
              <w:t> </w:t>
            </w:r>
          </w:p>
        </w:tc>
        <w:tc>
          <w:tcPr>
            <w:tcW w:w="708" w:type="dxa"/>
            <w:shd w:val="clear" w:color="auto" w:fill="FFFFFF" w:themeFill="background1"/>
            <w:noWrap/>
            <w:hideMark/>
          </w:tcPr>
          <w:p w:rsidR="00107245" w:rsidRPr="00D5126A" w:rsidRDefault="00107245" w:rsidP="0010724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lang w:eastAsia="en-NZ"/>
              </w:rPr>
            </w:pPr>
            <w:r w:rsidRPr="00D5126A">
              <w:rPr>
                <w:rFonts w:ascii="Arial" w:eastAsia="Times New Roman" w:hAnsi="Arial" w:cs="Arial"/>
                <w:color w:val="000000"/>
                <w:sz w:val="20"/>
                <w:lang w:eastAsia="en-NZ"/>
              </w:rPr>
              <w:t> </w:t>
            </w:r>
          </w:p>
        </w:tc>
        <w:tc>
          <w:tcPr>
            <w:tcW w:w="425" w:type="dxa"/>
            <w:shd w:val="clear" w:color="auto" w:fill="FFFFFF" w:themeFill="background1"/>
            <w:noWrap/>
            <w:hideMark/>
          </w:tcPr>
          <w:p w:rsidR="00107245" w:rsidRPr="00D5126A" w:rsidRDefault="00107245" w:rsidP="0010724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lang w:eastAsia="en-NZ"/>
              </w:rPr>
            </w:pPr>
            <w:r w:rsidRPr="00D5126A">
              <w:rPr>
                <w:rFonts w:ascii="Arial" w:eastAsia="Times New Roman" w:hAnsi="Arial" w:cs="Arial"/>
                <w:color w:val="000000"/>
                <w:sz w:val="20"/>
                <w:lang w:eastAsia="en-NZ"/>
              </w:rPr>
              <w:t>8</w:t>
            </w:r>
          </w:p>
        </w:tc>
        <w:tc>
          <w:tcPr>
            <w:tcW w:w="851" w:type="dxa"/>
            <w:shd w:val="clear" w:color="auto" w:fill="FFFFFF" w:themeFill="background1"/>
            <w:noWrap/>
            <w:hideMark/>
          </w:tcPr>
          <w:p w:rsidR="00107245" w:rsidRPr="00D5126A" w:rsidRDefault="00107245" w:rsidP="0010724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lang w:eastAsia="en-NZ"/>
              </w:rPr>
            </w:pPr>
            <w:r w:rsidRPr="00D5126A">
              <w:rPr>
                <w:rFonts w:ascii="Arial" w:eastAsia="Times New Roman" w:hAnsi="Arial" w:cs="Arial"/>
                <w:color w:val="000000"/>
                <w:sz w:val="20"/>
                <w:lang w:eastAsia="en-NZ"/>
              </w:rPr>
              <w:t> </w:t>
            </w:r>
          </w:p>
        </w:tc>
        <w:tc>
          <w:tcPr>
            <w:tcW w:w="709" w:type="dxa"/>
            <w:shd w:val="clear" w:color="auto" w:fill="FFFFFF" w:themeFill="background1"/>
            <w:noWrap/>
            <w:hideMark/>
          </w:tcPr>
          <w:p w:rsidR="00107245" w:rsidRPr="00D5126A" w:rsidRDefault="00107245" w:rsidP="0010724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lang w:eastAsia="en-NZ"/>
              </w:rPr>
            </w:pPr>
            <w:r w:rsidRPr="00D5126A">
              <w:rPr>
                <w:rFonts w:ascii="Arial" w:eastAsia="Times New Roman" w:hAnsi="Arial" w:cs="Arial"/>
                <w:color w:val="000000"/>
                <w:sz w:val="20"/>
                <w:lang w:eastAsia="en-NZ"/>
              </w:rPr>
              <w:t> </w:t>
            </w:r>
          </w:p>
        </w:tc>
      </w:tr>
      <w:tr w:rsidR="005D6D1F" w:rsidRPr="00D5126A" w:rsidTr="00107245">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418" w:type="dxa"/>
            <w:shd w:val="clear" w:color="auto" w:fill="8DB3E2" w:themeFill="text2" w:themeFillTint="66"/>
            <w:noWrap/>
            <w:hideMark/>
          </w:tcPr>
          <w:p w:rsidR="00107245" w:rsidRPr="00D5126A" w:rsidRDefault="00107245" w:rsidP="00107245">
            <w:pPr>
              <w:rPr>
                <w:rFonts w:ascii="Arial" w:eastAsia="Times New Roman" w:hAnsi="Arial" w:cs="Arial"/>
                <w:color w:val="000000"/>
                <w:sz w:val="20"/>
                <w:lang w:eastAsia="en-NZ"/>
              </w:rPr>
            </w:pPr>
            <w:r w:rsidRPr="00D5126A">
              <w:rPr>
                <w:rFonts w:ascii="Arial" w:eastAsia="Times New Roman" w:hAnsi="Arial" w:cs="Arial"/>
                <w:color w:val="000000"/>
                <w:sz w:val="20"/>
                <w:lang w:eastAsia="en-NZ"/>
              </w:rPr>
              <w:t>Total meetings held</w:t>
            </w:r>
          </w:p>
        </w:tc>
        <w:tc>
          <w:tcPr>
            <w:tcW w:w="709" w:type="dxa"/>
            <w:shd w:val="clear" w:color="auto" w:fill="FFFFFF" w:themeFill="background1"/>
            <w:noWrap/>
            <w:hideMark/>
          </w:tcPr>
          <w:p w:rsidR="00107245" w:rsidRPr="00D5126A" w:rsidRDefault="00107245" w:rsidP="00107245">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bCs/>
                <w:color w:val="000000"/>
                <w:sz w:val="20"/>
                <w:lang w:eastAsia="en-NZ"/>
              </w:rPr>
            </w:pPr>
            <w:r w:rsidRPr="00D5126A">
              <w:rPr>
                <w:rFonts w:ascii="Arial" w:eastAsia="Times New Roman" w:hAnsi="Arial" w:cs="Arial"/>
                <w:b/>
                <w:bCs/>
                <w:color w:val="000000"/>
                <w:sz w:val="20"/>
                <w:lang w:eastAsia="en-NZ"/>
              </w:rPr>
              <w:t>80</w:t>
            </w:r>
          </w:p>
        </w:tc>
        <w:tc>
          <w:tcPr>
            <w:tcW w:w="488" w:type="dxa"/>
            <w:shd w:val="clear" w:color="auto" w:fill="FFFFFF" w:themeFill="background1"/>
            <w:noWrap/>
            <w:hideMark/>
          </w:tcPr>
          <w:p w:rsidR="00107245" w:rsidRPr="00D5126A" w:rsidRDefault="00107245" w:rsidP="00107245">
            <w:pP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bCs/>
                <w:color w:val="000000"/>
                <w:sz w:val="20"/>
                <w:lang w:eastAsia="en-NZ"/>
              </w:rPr>
            </w:pPr>
            <w:r w:rsidRPr="00D5126A">
              <w:rPr>
                <w:rFonts w:ascii="Arial" w:eastAsia="Times New Roman" w:hAnsi="Arial" w:cs="Arial"/>
                <w:b/>
                <w:bCs/>
                <w:color w:val="000000"/>
                <w:sz w:val="20"/>
                <w:lang w:eastAsia="en-NZ"/>
              </w:rPr>
              <w:t> </w:t>
            </w:r>
          </w:p>
        </w:tc>
        <w:tc>
          <w:tcPr>
            <w:tcW w:w="646" w:type="dxa"/>
            <w:shd w:val="clear" w:color="auto" w:fill="FFFFFF" w:themeFill="background1"/>
            <w:noWrap/>
            <w:hideMark/>
          </w:tcPr>
          <w:p w:rsidR="00107245" w:rsidRPr="00D5126A" w:rsidRDefault="00107245" w:rsidP="00107245">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bCs/>
                <w:color w:val="000000"/>
                <w:sz w:val="20"/>
                <w:lang w:eastAsia="en-NZ"/>
              </w:rPr>
            </w:pPr>
            <w:r w:rsidRPr="00D5126A">
              <w:rPr>
                <w:rFonts w:ascii="Arial" w:eastAsia="Times New Roman" w:hAnsi="Arial" w:cs="Arial"/>
                <w:b/>
                <w:bCs/>
                <w:color w:val="000000"/>
                <w:sz w:val="20"/>
                <w:lang w:eastAsia="en-NZ"/>
              </w:rPr>
              <w:t> </w:t>
            </w:r>
          </w:p>
        </w:tc>
        <w:tc>
          <w:tcPr>
            <w:tcW w:w="566" w:type="dxa"/>
            <w:shd w:val="clear" w:color="auto" w:fill="FFFFFF" w:themeFill="background1"/>
            <w:noWrap/>
            <w:hideMark/>
          </w:tcPr>
          <w:p w:rsidR="00107245" w:rsidRPr="00D5126A" w:rsidRDefault="00107245" w:rsidP="00107245">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bCs/>
                <w:color w:val="000000"/>
                <w:sz w:val="20"/>
                <w:lang w:eastAsia="en-NZ"/>
              </w:rPr>
            </w:pPr>
            <w:r w:rsidRPr="00D5126A">
              <w:rPr>
                <w:rFonts w:ascii="Arial" w:eastAsia="Times New Roman" w:hAnsi="Arial" w:cs="Arial"/>
                <w:b/>
                <w:bCs/>
                <w:color w:val="000000"/>
                <w:sz w:val="20"/>
                <w:lang w:eastAsia="en-NZ"/>
              </w:rPr>
              <w:t>10</w:t>
            </w:r>
          </w:p>
        </w:tc>
        <w:tc>
          <w:tcPr>
            <w:tcW w:w="538" w:type="dxa"/>
            <w:shd w:val="clear" w:color="auto" w:fill="FFFFFF" w:themeFill="background1"/>
            <w:noWrap/>
            <w:hideMark/>
          </w:tcPr>
          <w:p w:rsidR="00107245" w:rsidRPr="00D5126A" w:rsidRDefault="00107245" w:rsidP="00107245">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bCs/>
                <w:color w:val="000000"/>
                <w:sz w:val="20"/>
                <w:lang w:eastAsia="en-NZ"/>
              </w:rPr>
            </w:pPr>
            <w:r w:rsidRPr="00D5126A">
              <w:rPr>
                <w:rFonts w:ascii="Arial" w:eastAsia="Times New Roman" w:hAnsi="Arial" w:cs="Arial"/>
                <w:b/>
                <w:bCs/>
                <w:color w:val="000000"/>
                <w:sz w:val="20"/>
                <w:lang w:eastAsia="en-NZ"/>
              </w:rPr>
              <w:t>27</w:t>
            </w:r>
          </w:p>
        </w:tc>
        <w:tc>
          <w:tcPr>
            <w:tcW w:w="739" w:type="dxa"/>
            <w:shd w:val="clear" w:color="auto" w:fill="FFFFFF" w:themeFill="background1"/>
            <w:noWrap/>
            <w:hideMark/>
          </w:tcPr>
          <w:p w:rsidR="00107245" w:rsidRPr="00D5126A" w:rsidRDefault="00107245" w:rsidP="00107245">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bCs/>
                <w:color w:val="000000"/>
                <w:sz w:val="20"/>
                <w:lang w:eastAsia="en-NZ"/>
              </w:rPr>
            </w:pPr>
            <w:r w:rsidRPr="00D5126A">
              <w:rPr>
                <w:rFonts w:ascii="Arial" w:eastAsia="Times New Roman" w:hAnsi="Arial" w:cs="Arial"/>
                <w:b/>
                <w:bCs/>
                <w:color w:val="000000"/>
                <w:sz w:val="20"/>
                <w:lang w:eastAsia="en-NZ"/>
              </w:rPr>
              <w:t>5</w:t>
            </w:r>
          </w:p>
        </w:tc>
        <w:tc>
          <w:tcPr>
            <w:tcW w:w="567" w:type="dxa"/>
            <w:shd w:val="clear" w:color="auto" w:fill="FFFFFF" w:themeFill="background1"/>
            <w:noWrap/>
            <w:hideMark/>
          </w:tcPr>
          <w:p w:rsidR="00107245" w:rsidRPr="00D5126A" w:rsidRDefault="00107245" w:rsidP="00107245">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bCs/>
                <w:color w:val="000000"/>
                <w:sz w:val="20"/>
                <w:lang w:eastAsia="en-NZ"/>
              </w:rPr>
            </w:pPr>
            <w:r w:rsidRPr="00D5126A">
              <w:rPr>
                <w:rFonts w:ascii="Arial" w:eastAsia="Times New Roman" w:hAnsi="Arial" w:cs="Arial"/>
                <w:b/>
                <w:bCs/>
                <w:color w:val="000000"/>
                <w:sz w:val="20"/>
                <w:lang w:eastAsia="en-NZ"/>
              </w:rPr>
              <w:t>13</w:t>
            </w:r>
          </w:p>
        </w:tc>
        <w:tc>
          <w:tcPr>
            <w:tcW w:w="388" w:type="dxa"/>
            <w:shd w:val="clear" w:color="auto" w:fill="FFFFFF" w:themeFill="background1"/>
            <w:noWrap/>
            <w:hideMark/>
          </w:tcPr>
          <w:p w:rsidR="00107245" w:rsidRPr="00D5126A" w:rsidRDefault="00107245" w:rsidP="00107245">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bCs/>
                <w:color w:val="000000"/>
                <w:sz w:val="20"/>
                <w:lang w:eastAsia="en-NZ"/>
              </w:rPr>
            </w:pPr>
            <w:r w:rsidRPr="00D5126A">
              <w:rPr>
                <w:rFonts w:ascii="Arial" w:eastAsia="Times New Roman" w:hAnsi="Arial" w:cs="Arial"/>
                <w:b/>
                <w:bCs/>
                <w:color w:val="000000"/>
                <w:sz w:val="20"/>
                <w:lang w:eastAsia="en-NZ"/>
              </w:rPr>
              <w:t>4</w:t>
            </w:r>
          </w:p>
        </w:tc>
        <w:tc>
          <w:tcPr>
            <w:tcW w:w="462" w:type="dxa"/>
            <w:shd w:val="clear" w:color="auto" w:fill="FFFFFF" w:themeFill="background1"/>
            <w:noWrap/>
            <w:hideMark/>
          </w:tcPr>
          <w:p w:rsidR="00107245" w:rsidRPr="00D5126A" w:rsidRDefault="00107245" w:rsidP="00107245">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bCs/>
                <w:color w:val="000000"/>
                <w:sz w:val="20"/>
                <w:lang w:eastAsia="en-NZ"/>
              </w:rPr>
            </w:pPr>
            <w:r w:rsidRPr="00D5126A">
              <w:rPr>
                <w:rFonts w:ascii="Arial" w:eastAsia="Times New Roman" w:hAnsi="Arial" w:cs="Arial"/>
                <w:b/>
                <w:bCs/>
                <w:color w:val="000000"/>
                <w:sz w:val="20"/>
                <w:lang w:eastAsia="en-NZ"/>
              </w:rPr>
              <w:t>1</w:t>
            </w:r>
          </w:p>
        </w:tc>
        <w:tc>
          <w:tcPr>
            <w:tcW w:w="709" w:type="dxa"/>
            <w:shd w:val="clear" w:color="auto" w:fill="FFFFFF" w:themeFill="background1"/>
            <w:noWrap/>
            <w:hideMark/>
          </w:tcPr>
          <w:p w:rsidR="00107245" w:rsidRPr="00D5126A" w:rsidRDefault="00107245" w:rsidP="00107245">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bCs/>
                <w:color w:val="000000"/>
                <w:sz w:val="20"/>
                <w:lang w:eastAsia="en-NZ"/>
              </w:rPr>
            </w:pPr>
            <w:r w:rsidRPr="00D5126A">
              <w:rPr>
                <w:rFonts w:ascii="Arial" w:eastAsia="Times New Roman" w:hAnsi="Arial" w:cs="Arial"/>
                <w:b/>
                <w:bCs/>
                <w:color w:val="000000"/>
                <w:sz w:val="20"/>
                <w:lang w:eastAsia="en-NZ"/>
              </w:rPr>
              <w:t>3</w:t>
            </w:r>
          </w:p>
        </w:tc>
        <w:tc>
          <w:tcPr>
            <w:tcW w:w="709" w:type="dxa"/>
            <w:shd w:val="clear" w:color="auto" w:fill="FFFFFF" w:themeFill="background1"/>
            <w:noWrap/>
            <w:hideMark/>
          </w:tcPr>
          <w:p w:rsidR="00107245" w:rsidRPr="00D5126A" w:rsidRDefault="00107245" w:rsidP="00107245">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bCs/>
                <w:color w:val="000000"/>
                <w:sz w:val="20"/>
                <w:lang w:eastAsia="en-NZ"/>
              </w:rPr>
            </w:pPr>
            <w:r w:rsidRPr="00D5126A">
              <w:rPr>
                <w:rFonts w:ascii="Arial" w:eastAsia="Times New Roman" w:hAnsi="Arial" w:cs="Arial"/>
                <w:b/>
                <w:bCs/>
                <w:color w:val="000000"/>
                <w:sz w:val="20"/>
                <w:lang w:eastAsia="en-NZ"/>
              </w:rPr>
              <w:t>4</w:t>
            </w:r>
          </w:p>
        </w:tc>
        <w:tc>
          <w:tcPr>
            <w:tcW w:w="708" w:type="dxa"/>
            <w:shd w:val="clear" w:color="auto" w:fill="FFFFFF" w:themeFill="background1"/>
            <w:noWrap/>
            <w:hideMark/>
          </w:tcPr>
          <w:p w:rsidR="00107245" w:rsidRPr="00D5126A" w:rsidRDefault="00107245" w:rsidP="00107245">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bCs/>
                <w:color w:val="000000"/>
                <w:sz w:val="20"/>
                <w:lang w:eastAsia="en-NZ"/>
              </w:rPr>
            </w:pPr>
            <w:r w:rsidRPr="00D5126A">
              <w:rPr>
                <w:rFonts w:ascii="Arial" w:eastAsia="Times New Roman" w:hAnsi="Arial" w:cs="Arial"/>
                <w:b/>
                <w:bCs/>
                <w:color w:val="000000"/>
                <w:sz w:val="20"/>
                <w:lang w:eastAsia="en-NZ"/>
              </w:rPr>
              <w:t>2</w:t>
            </w:r>
          </w:p>
        </w:tc>
        <w:tc>
          <w:tcPr>
            <w:tcW w:w="425" w:type="dxa"/>
            <w:shd w:val="clear" w:color="auto" w:fill="FFFFFF" w:themeFill="background1"/>
            <w:noWrap/>
            <w:hideMark/>
          </w:tcPr>
          <w:p w:rsidR="00107245" w:rsidRPr="00D5126A" w:rsidRDefault="00107245" w:rsidP="00107245">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bCs/>
                <w:color w:val="000000"/>
                <w:sz w:val="20"/>
                <w:lang w:eastAsia="en-NZ"/>
              </w:rPr>
            </w:pPr>
            <w:r w:rsidRPr="00D5126A">
              <w:rPr>
                <w:rFonts w:ascii="Arial" w:eastAsia="Times New Roman" w:hAnsi="Arial" w:cs="Arial"/>
                <w:b/>
                <w:bCs/>
                <w:color w:val="000000"/>
                <w:sz w:val="20"/>
                <w:lang w:eastAsia="en-NZ"/>
              </w:rPr>
              <w:t>8</w:t>
            </w:r>
          </w:p>
        </w:tc>
        <w:tc>
          <w:tcPr>
            <w:tcW w:w="851" w:type="dxa"/>
            <w:shd w:val="clear" w:color="auto" w:fill="FFFFFF" w:themeFill="background1"/>
            <w:noWrap/>
            <w:hideMark/>
          </w:tcPr>
          <w:p w:rsidR="00107245" w:rsidRPr="00D5126A" w:rsidRDefault="00107245" w:rsidP="00107245">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bCs/>
                <w:color w:val="000000"/>
                <w:sz w:val="20"/>
                <w:lang w:eastAsia="en-NZ"/>
              </w:rPr>
            </w:pPr>
            <w:r w:rsidRPr="00D5126A">
              <w:rPr>
                <w:rFonts w:ascii="Arial" w:eastAsia="Times New Roman" w:hAnsi="Arial" w:cs="Arial"/>
                <w:b/>
                <w:bCs/>
                <w:color w:val="000000"/>
                <w:sz w:val="20"/>
                <w:lang w:eastAsia="en-NZ"/>
              </w:rPr>
              <w:t>1</w:t>
            </w:r>
          </w:p>
        </w:tc>
        <w:tc>
          <w:tcPr>
            <w:tcW w:w="709" w:type="dxa"/>
            <w:shd w:val="clear" w:color="auto" w:fill="FFFFFF" w:themeFill="background1"/>
            <w:noWrap/>
            <w:hideMark/>
          </w:tcPr>
          <w:p w:rsidR="00107245" w:rsidRPr="00D5126A" w:rsidRDefault="00107245" w:rsidP="00107245">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bCs/>
                <w:color w:val="000000"/>
                <w:sz w:val="20"/>
                <w:lang w:eastAsia="en-NZ"/>
              </w:rPr>
            </w:pPr>
            <w:r w:rsidRPr="00D5126A">
              <w:rPr>
                <w:rFonts w:ascii="Arial" w:eastAsia="Times New Roman" w:hAnsi="Arial" w:cs="Arial"/>
                <w:b/>
                <w:bCs/>
                <w:color w:val="000000"/>
                <w:sz w:val="20"/>
                <w:lang w:eastAsia="en-NZ"/>
              </w:rPr>
              <w:t>2</w:t>
            </w:r>
          </w:p>
        </w:tc>
      </w:tr>
    </w:tbl>
    <w:p w:rsidR="00107245" w:rsidRPr="00D5126A" w:rsidRDefault="00107245" w:rsidP="00107245">
      <w:pPr>
        <w:pStyle w:val="Para114"/>
        <w:spacing w:before="240" w:line="240" w:lineRule="auto"/>
        <w:sectPr w:rsidR="00107245" w:rsidRPr="00D5126A" w:rsidSect="009C620A">
          <w:type w:val="continuous"/>
          <w:pgSz w:w="11905" w:h="16837"/>
          <w:pgMar w:top="993" w:right="1440" w:bottom="1440" w:left="1440" w:header="720" w:footer="562" w:gutter="0"/>
          <w:cols w:space="720"/>
          <w:docGrid w:linePitch="360"/>
        </w:sectPr>
      </w:pPr>
    </w:p>
    <w:p w:rsidR="00107245" w:rsidRPr="00D5126A" w:rsidRDefault="00107245" w:rsidP="00107245">
      <w:pPr>
        <w:pStyle w:val="Para114"/>
        <w:spacing w:before="240" w:after="0" w:line="240" w:lineRule="auto"/>
      </w:pPr>
      <w:r w:rsidRPr="00D5126A">
        <w:t>Notes</w:t>
      </w:r>
    </w:p>
    <w:p w:rsidR="00107245" w:rsidRPr="00D5126A" w:rsidRDefault="00107245" w:rsidP="002C7BF8">
      <w:pPr>
        <w:pStyle w:val="Para084"/>
        <w:numPr>
          <w:ilvl w:val="0"/>
          <w:numId w:val="32"/>
        </w:numPr>
        <w:spacing w:before="240" w:after="0" w:line="240" w:lineRule="auto"/>
      </w:pPr>
      <w:r w:rsidRPr="00D5126A">
        <w:t>The meeting attendance figure relates to Council, committee (excluding City Strategy pre-meeting sessions) and subcommittee meetings of which the councillor is a member. Councillors are also appointed to Council-controlled organisations, community boards, working parties, advisory groups and other external bodies (including Council representation at LGNZ). The meeting attendance figures provided do not include Councillors’ attendance at these meetings. Such meetings can conflict with Council meeting times.</w:t>
      </w:r>
    </w:p>
    <w:p w:rsidR="00107245" w:rsidRPr="00D5126A" w:rsidRDefault="00107245" w:rsidP="002C7BF8">
      <w:pPr>
        <w:pStyle w:val="Para084"/>
        <w:numPr>
          <w:ilvl w:val="0"/>
          <w:numId w:val="32"/>
        </w:numPr>
        <w:spacing w:beforeLines="0" w:before="240" w:after="0" w:line="240" w:lineRule="auto"/>
        <w:contextualSpacing/>
      </w:pPr>
      <w:r w:rsidRPr="00D5126A">
        <w:t>There were 8 hearing days for District Licensing Committee however Clr Foster was only appointed to one committee meeting and attended.</w:t>
      </w:r>
    </w:p>
    <w:p w:rsidR="00107245" w:rsidRPr="00D5126A" w:rsidRDefault="00107245" w:rsidP="002C7BF8">
      <w:pPr>
        <w:pStyle w:val="Para084"/>
        <w:numPr>
          <w:ilvl w:val="0"/>
          <w:numId w:val="32"/>
        </w:numPr>
        <w:spacing w:beforeLines="0" w:before="240" w:after="0" w:line="240" w:lineRule="auto"/>
        <w:contextualSpacing/>
      </w:pPr>
      <w:r w:rsidRPr="00D5126A">
        <w:t>Excluded: Committees administered by other Councils: Porirua Harbour and Catchment (joint committee), Waste Water Treatment Plant and Landfill (joint committee). For more information, see Council and Committee meetings – Porirua City.</w:t>
      </w:r>
    </w:p>
    <w:p w:rsidR="00107245" w:rsidRPr="00D5126A" w:rsidRDefault="00107245" w:rsidP="00107245">
      <w:pPr>
        <w:pStyle w:val="Heading3"/>
      </w:pPr>
      <w:bookmarkStart w:id="345" w:name="_Toc19085879"/>
      <w:r w:rsidRPr="00D5126A">
        <w:lastRenderedPageBreak/>
        <w:t>Community boards</w:t>
      </w:r>
      <w:bookmarkEnd w:id="345"/>
      <w:r w:rsidRPr="00D5126A">
        <w:t xml:space="preserve"> </w:t>
      </w:r>
    </w:p>
    <w:p w:rsidR="00107245" w:rsidRPr="00D5126A" w:rsidRDefault="00107245" w:rsidP="00107245">
      <w:r w:rsidRPr="00D5126A">
        <w:t>Wellington City Council has two community boards – Tawa Community Board and Makara/</w:t>
      </w:r>
      <w:r w:rsidR="00251826" w:rsidRPr="00D76945">
        <w:t>Ōhāriu</w:t>
      </w:r>
      <w:r w:rsidRPr="00D5126A">
        <w:t xml:space="preserve"> Community Board. These boards are constituted under section 49 of the Local Government Act 2002 to: </w:t>
      </w:r>
    </w:p>
    <w:p w:rsidR="00107245" w:rsidRPr="00D5126A" w:rsidRDefault="00107245" w:rsidP="00107245">
      <w:pPr>
        <w:pStyle w:val="ListParagraph"/>
        <w:numPr>
          <w:ilvl w:val="0"/>
          <w:numId w:val="2"/>
        </w:numPr>
      </w:pPr>
      <w:r w:rsidRPr="00D5126A">
        <w:t>represent and act as an advocate for the interests of their community</w:t>
      </w:r>
    </w:p>
    <w:p w:rsidR="00107245" w:rsidRPr="00D5126A" w:rsidRDefault="00107245" w:rsidP="00107245">
      <w:pPr>
        <w:pStyle w:val="ListParagraph"/>
        <w:numPr>
          <w:ilvl w:val="0"/>
          <w:numId w:val="2"/>
        </w:numPr>
      </w:pPr>
      <w:r w:rsidRPr="00D5126A">
        <w:t>consider and report on any matter referred to it by the Council and any issues of interest or concern to the community board</w:t>
      </w:r>
    </w:p>
    <w:p w:rsidR="00107245" w:rsidRPr="00D5126A" w:rsidRDefault="00107245" w:rsidP="00107245">
      <w:pPr>
        <w:pStyle w:val="ListParagraph"/>
        <w:numPr>
          <w:ilvl w:val="0"/>
          <w:numId w:val="2"/>
        </w:numPr>
      </w:pPr>
      <w:r w:rsidRPr="00D5126A">
        <w:t>make an annual submission to the Council on expenditure in the community</w:t>
      </w:r>
    </w:p>
    <w:p w:rsidR="00107245" w:rsidRPr="00D5126A" w:rsidRDefault="00107245" w:rsidP="00107245">
      <w:pPr>
        <w:pStyle w:val="ListParagraph"/>
        <w:numPr>
          <w:ilvl w:val="0"/>
          <w:numId w:val="2"/>
        </w:numPr>
      </w:pPr>
      <w:r w:rsidRPr="00D5126A">
        <w:t>maintain an overview of services provided by the Council within the community</w:t>
      </w:r>
    </w:p>
    <w:p w:rsidR="00107245" w:rsidRPr="00D5126A" w:rsidRDefault="00107245" w:rsidP="00107245">
      <w:pPr>
        <w:pStyle w:val="ListParagraph"/>
        <w:numPr>
          <w:ilvl w:val="0"/>
          <w:numId w:val="2"/>
        </w:numPr>
      </w:pPr>
      <w:r w:rsidRPr="00D5126A">
        <w:t>communicate with community organisations and special interest groups</w:t>
      </w:r>
    </w:p>
    <w:p w:rsidR="00107245" w:rsidRPr="00D5126A" w:rsidRDefault="00107245" w:rsidP="00107245">
      <w:pPr>
        <w:pStyle w:val="ListParagraph"/>
        <w:numPr>
          <w:ilvl w:val="0"/>
          <w:numId w:val="2"/>
        </w:numPr>
      </w:pPr>
      <w:proofErr w:type="gramStart"/>
      <w:r w:rsidRPr="00D5126A">
        <w:t>undertake</w:t>
      </w:r>
      <w:proofErr w:type="gramEnd"/>
      <w:r w:rsidRPr="00D5126A">
        <w:t xml:space="preserve"> any responsibilities delegated by the Council.</w:t>
      </w:r>
    </w:p>
    <w:p w:rsidR="00107245" w:rsidRPr="00D5126A" w:rsidRDefault="00107245" w:rsidP="00107245">
      <w:r w:rsidRPr="00D5126A">
        <w:t xml:space="preserve">Both community boards have six members elected triennially by the electors in the respective communities. </w:t>
      </w:r>
    </w:p>
    <w:p w:rsidR="00107245" w:rsidRPr="00D5126A" w:rsidRDefault="00107245" w:rsidP="00107245">
      <w:r w:rsidRPr="00D5126A">
        <w:t xml:space="preserve">In addition to its six elected members, Tawa Community Board has two appointed members. These members are appointed by the Council and must be Councillors who have been elected by the electors of the ward in which the community board is located (Northern Ward for Tawa Community Board). The Makara/Ohariu Community Board does not have any appointed members. The boards elect their own chairpersons at their first meeting after the election. </w:t>
      </w:r>
    </w:p>
    <w:p w:rsidR="00107245" w:rsidRPr="00D5126A" w:rsidRDefault="00107245" w:rsidP="00107245">
      <w:pPr>
        <w:rPr>
          <w:highlight w:val="cyan"/>
        </w:rPr>
      </w:pPr>
      <w:r w:rsidRPr="00D5126A">
        <w:t>The Council last reviewed its community board structures in 2018 as part of its review of representation arrangements for the 2019 local authority elections. Apart from some minor boundary changes for the Makara/</w:t>
      </w:r>
      <w:r w:rsidR="00251826" w:rsidRPr="00D76945">
        <w:t>Ōhāriu</w:t>
      </w:r>
      <w:r w:rsidRPr="00D5126A">
        <w:t xml:space="preserve"> Board, the Council decided not to make any changes to the existing structure or to establish any new community boards at that stage. </w:t>
      </w:r>
    </w:p>
    <w:p w:rsidR="00107245" w:rsidRPr="00D5126A" w:rsidRDefault="00107245" w:rsidP="00107245">
      <w:pPr>
        <w:pStyle w:val="Heading4"/>
      </w:pPr>
      <w:r w:rsidRPr="00D5126A">
        <w:rPr>
          <w:rStyle w:val="Heading4Char"/>
          <w:b/>
          <w:bCs/>
          <w:i/>
          <w:iCs/>
        </w:rPr>
        <w:t>Tawa Community Board</w:t>
      </w:r>
      <w:r w:rsidRPr="00D5126A">
        <w:t xml:space="preserve"> </w:t>
      </w:r>
    </w:p>
    <w:p w:rsidR="00107245" w:rsidRPr="00D5126A" w:rsidRDefault="00107245" w:rsidP="00107245">
      <w:pPr>
        <w:pStyle w:val="Para003"/>
        <w:spacing w:before="240" w:line="240" w:lineRule="auto"/>
      </w:pPr>
      <w:r w:rsidRPr="00D5126A">
        <w:t xml:space="preserve">Chair: Richard Herbert. Deputy Chair: Margaret Lucas. Members: Graeme Hansen, Richard Herbert, Liz Langham, Jack Marshall, and Robyn Parkinson. Council Appointed Members: Cr Malcolm Sparrow and Deputy Mayor Jill Day </w:t>
      </w:r>
    </w:p>
    <w:p w:rsidR="000B1796" w:rsidRDefault="000B1796" w:rsidP="000B1796">
      <w:r>
        <w:t xml:space="preserve">The Tawa Community Board met nine times in 2018/19. The committee discussed a wide range of matters affecting the community, including among other things: the Tawa Community Board Service Award, Mervyn Kemp Library and Tawa Community Centre, Tawa Swimming Clubrooms Development Project, the recipient of the annual award granted by the Tawa Borough Scholarship Trust, and the Planning for Growth city-wide engagement.  </w:t>
      </w:r>
    </w:p>
    <w:p w:rsidR="000B1796" w:rsidRDefault="000B1796" w:rsidP="000B1796">
      <w:r>
        <w:t>The committee was also regularly updated on allocations of the Tawa Community Board Discretionary fund, resource consent applications and approvals, as well as current or upcoming council consultations and surveys affecting Tawa.</w:t>
      </w:r>
    </w:p>
    <w:p w:rsidR="000B1796" w:rsidRDefault="000B1796" w:rsidP="000B1796">
      <w:pPr>
        <w:pStyle w:val="Heading5"/>
      </w:pPr>
      <w:r>
        <w:t>Tawa Community Board Grants Subcommittee</w:t>
      </w:r>
    </w:p>
    <w:p w:rsidR="000B1796" w:rsidRDefault="000B1796" w:rsidP="000B1796">
      <w:r>
        <w:t xml:space="preserve">The Tawa Community Board Grants Subcommittee met once in 2018/19. The committee has approximately $15,000 available to allocate per year and for 2018/19 approved the allocation of $15,000 on 15 projects to benefit the community. The top three beneficiary organisations were: Tawa Community Patrol Charitable Trust ($3,500 for patrol car operating expenses); Tawa Youth and Families Trust Board ($2,500 to provide two 24-7 youth workers </w:t>
      </w:r>
      <w:r>
        <w:lastRenderedPageBreak/>
        <w:t xml:space="preserve">to support at risk and struggling students at Tawa College); and Tawa Progressive and Ratepayers Association Inc. ($2,000 towards the </w:t>
      </w:r>
      <w:proofErr w:type="gramStart"/>
      <w:r>
        <w:t>Spring</w:t>
      </w:r>
      <w:proofErr w:type="gramEnd"/>
      <w:r>
        <w:t xml:space="preserve"> into Tawa Festival). </w:t>
      </w:r>
    </w:p>
    <w:p w:rsidR="000B1796" w:rsidRPr="00D5126A" w:rsidRDefault="000B1796" w:rsidP="000B1796">
      <w:pPr>
        <w:pStyle w:val="Heading4"/>
      </w:pPr>
      <w:r w:rsidRPr="00D5126A">
        <w:t>Makara/Ohariu Community Board</w:t>
      </w:r>
    </w:p>
    <w:p w:rsidR="000B1796" w:rsidRPr="00D5126A" w:rsidRDefault="000B1796" w:rsidP="000B1796">
      <w:pPr>
        <w:pStyle w:val="Para003"/>
        <w:spacing w:before="240" w:line="240" w:lineRule="auto"/>
      </w:pPr>
      <w:r w:rsidRPr="00D5126A">
        <w:t xml:space="preserve">Chair: Christine Grace. Deputy Chair: John Apanowicz. Members: Hamish Todd, Chris Renner, Wayne Rudd, Judy Liddell. </w:t>
      </w:r>
    </w:p>
    <w:p w:rsidR="000B1796" w:rsidRDefault="000B1796" w:rsidP="000B1796">
      <w:r>
        <w:t xml:space="preserve">The Makara/Ohariu Community Board met </w:t>
      </w:r>
      <w:r>
        <w:rPr>
          <w:color w:val="1F497D"/>
        </w:rPr>
        <w:t xml:space="preserve">7 </w:t>
      </w:r>
      <w:r>
        <w:t xml:space="preserve">times in 2018/19. The committee discussed a wide range of matters affecting the community, including among other things: community- led climate adaption, roading/traffic updates, security issues, and emergency management. </w:t>
      </w:r>
    </w:p>
    <w:p w:rsidR="000B1796" w:rsidRDefault="000B1796" w:rsidP="000B1796">
      <w:r>
        <w:t>The committee was also regularly updated on resource consent applications and approvals, as well as current or upcoming council consultations and surveys affecting Makara/Ohariu.</w:t>
      </w:r>
    </w:p>
    <w:p w:rsidR="00107245" w:rsidRPr="00D5126A" w:rsidRDefault="00107245" w:rsidP="00107245">
      <w:pPr>
        <w:pStyle w:val="Para003"/>
        <w:spacing w:before="240" w:line="240" w:lineRule="auto"/>
      </w:pPr>
      <w:r w:rsidRPr="00D5126A">
        <w:t xml:space="preserve"> </w:t>
      </w:r>
    </w:p>
    <w:p w:rsidR="00107245" w:rsidRPr="00D5126A" w:rsidRDefault="00107245" w:rsidP="00107245">
      <w:pPr>
        <w:pStyle w:val="Para003"/>
        <w:spacing w:before="240" w:line="240" w:lineRule="auto"/>
        <w:sectPr w:rsidR="00107245" w:rsidRPr="00D5126A" w:rsidSect="009C620A">
          <w:type w:val="continuous"/>
          <w:pgSz w:w="11905" w:h="16837"/>
          <w:pgMar w:top="993" w:right="1440" w:bottom="1440" w:left="1440" w:header="720" w:footer="562" w:gutter="0"/>
          <w:cols w:space="720"/>
          <w:docGrid w:linePitch="360"/>
        </w:sectPr>
      </w:pPr>
    </w:p>
    <w:p w:rsidR="00107245" w:rsidRPr="00D5126A" w:rsidRDefault="00107245" w:rsidP="00107245">
      <w:bookmarkStart w:id="346" w:name="_Toc14178516"/>
    </w:p>
    <w:p w:rsidR="00107245" w:rsidRPr="00D5126A" w:rsidRDefault="00107245" w:rsidP="00107245">
      <w:pPr>
        <w:sectPr w:rsidR="00107245" w:rsidRPr="00D5126A" w:rsidSect="009C620A">
          <w:type w:val="continuous"/>
          <w:pgSz w:w="11905" w:h="16837"/>
          <w:pgMar w:top="993" w:right="1440" w:bottom="1440" w:left="1440" w:header="720" w:footer="562" w:gutter="0"/>
          <w:cols w:num="2" w:space="720"/>
          <w:docGrid w:linePitch="360"/>
        </w:sectPr>
      </w:pPr>
    </w:p>
    <w:p w:rsidR="008D1C20" w:rsidRPr="00D5126A" w:rsidRDefault="008D1C20">
      <w:pPr>
        <w:rPr>
          <w:rFonts w:asciiTheme="majorHAnsi" w:eastAsiaTheme="majorEastAsia" w:hAnsiTheme="majorHAnsi"/>
          <w:b/>
          <w:bCs/>
          <w:color w:val="1F497D" w:themeColor="text2"/>
          <w:sz w:val="40"/>
          <w:szCs w:val="40"/>
        </w:rPr>
      </w:pPr>
      <w:bookmarkStart w:id="347" w:name="_Toc18922455"/>
      <w:bookmarkEnd w:id="346"/>
      <w:r w:rsidRPr="00D5126A">
        <w:lastRenderedPageBreak/>
        <w:br w:type="page"/>
      </w:r>
    </w:p>
    <w:p w:rsidR="00107245" w:rsidRPr="00D5126A" w:rsidRDefault="00107245" w:rsidP="00107245">
      <w:pPr>
        <w:pStyle w:val="Heading2"/>
      </w:pPr>
      <w:bookmarkStart w:id="348" w:name="_Toc19085880"/>
      <w:bookmarkStart w:id="349" w:name="_Toc23758613"/>
      <w:r w:rsidRPr="00D5126A">
        <w:lastRenderedPageBreak/>
        <w:t>Working with our Community</w:t>
      </w:r>
      <w:bookmarkEnd w:id="347"/>
      <w:bookmarkEnd w:id="348"/>
      <w:bookmarkEnd w:id="349"/>
    </w:p>
    <w:p w:rsidR="00107245" w:rsidRPr="00D5126A" w:rsidRDefault="00107245" w:rsidP="00107245">
      <w:r w:rsidRPr="00D5126A">
        <w:t xml:space="preserve">Every day the Council </w:t>
      </w:r>
      <w:r w:rsidR="00F30CAE">
        <w:t>engages</w:t>
      </w:r>
      <w:r w:rsidRPr="00D5126A">
        <w:t xml:space="preserve"> with our community on city-wide and local issues from the delivery of front-line services to plans for the future, for example the development of our Annual Plan. This partnership with our community is so impor</w:t>
      </w:r>
      <w:r w:rsidR="00F30CAE">
        <w:t>tant in collectively achieving our</w:t>
      </w:r>
      <w:r w:rsidRPr="00D5126A">
        <w:t xml:space="preserve"> aspirations for the city. </w:t>
      </w:r>
    </w:p>
    <w:p w:rsidR="00107245" w:rsidRPr="00D5126A" w:rsidRDefault="00107245" w:rsidP="00107245">
      <w:r w:rsidRPr="00D5126A">
        <w:t>In 2018/19 we continued consulting on council decisions, working jointly on community projects, providing grants for community initiatives and actively engaging with stakeholder groups as part of work with the community.</w:t>
      </w:r>
    </w:p>
    <w:p w:rsidR="00107245" w:rsidRPr="00D5126A" w:rsidRDefault="00107245" w:rsidP="00107245">
      <w:pPr>
        <w:pStyle w:val="Heading3"/>
      </w:pPr>
      <w:bookmarkStart w:id="350" w:name="_Toc19085881"/>
      <w:r w:rsidRPr="00D5126A">
        <w:t>Listening to your views</w:t>
      </w:r>
      <w:bookmarkEnd w:id="350"/>
    </w:p>
    <w:p w:rsidR="00107245" w:rsidRPr="00D5126A" w:rsidRDefault="00107245" w:rsidP="00107245">
      <w:r w:rsidRPr="00D5126A">
        <w:t>To help Council make sound decisions, it seeks input and advice from the city’s communities.</w:t>
      </w:r>
    </w:p>
    <w:p w:rsidR="00107245" w:rsidRPr="00D5126A" w:rsidRDefault="00107245" w:rsidP="00107245">
      <w:r w:rsidRPr="00D5126A">
        <w:t>We can only make sound decisions if we have a good understanding of the needs and wishes of the people affected by those decisions. We seek input from anyone interested or affected – whether that’s an individual, a group, a neighbourhood or the entire city.</w:t>
      </w:r>
    </w:p>
    <w:p w:rsidR="00107245" w:rsidRPr="00D5126A" w:rsidRDefault="00107245" w:rsidP="00107245">
      <w:r w:rsidRPr="00D5126A">
        <w:t xml:space="preserve">One of the more common ways you help with our decision-making is when you have your say on a proposal we are consulting on. This year, we consulted formally on more than 50 proposals, including our Zero Carbon blueprint, town centre plans, changes to traffic rules, changes to bylaws, policy and strategy reviews, and our Annual Plan. Altogether, we heard from more than 7500 people. </w:t>
      </w:r>
    </w:p>
    <w:p w:rsidR="00107245" w:rsidRPr="00D5126A" w:rsidRDefault="00107245" w:rsidP="00107245">
      <w:r w:rsidRPr="00D5126A">
        <w:t>People also share their views at public meetings, make contact with our Call Centre, social media channels, and have informal chats with a councillor or staff members. We also seek public input through surveys and focus groups.</w:t>
      </w:r>
    </w:p>
    <w:p w:rsidR="00107245" w:rsidRPr="00D5126A" w:rsidRDefault="00107245" w:rsidP="00107245">
      <w:pPr>
        <w:pStyle w:val="Heading5"/>
      </w:pPr>
      <w:r w:rsidRPr="00D5126A">
        <w:t>The type of consultation depends on the decision being made.</w:t>
      </w:r>
    </w:p>
    <w:p w:rsidR="00107245" w:rsidRPr="00D5126A" w:rsidRDefault="00107245" w:rsidP="00107245">
      <w:r w:rsidRPr="00D5126A">
        <w:t>All Wellingtonians can have input on our overall direction, our budgets and priorities for each year, decisions about bylaws, and any other significant decisions affecting the city and its people.</w:t>
      </w:r>
    </w:p>
    <w:p w:rsidR="00107245" w:rsidRPr="00D5126A" w:rsidRDefault="00107245" w:rsidP="00107245">
      <w:r w:rsidRPr="00D5126A">
        <w:t>On decisions that affect specific locations or groups of people, all stakeholders can have a say. The stage at which we ask for input from different people and groups depends on the extent to which they are affected by or interested in the issue we’re considering.</w:t>
      </w:r>
    </w:p>
    <w:p w:rsidR="00107245" w:rsidRPr="00D5126A" w:rsidRDefault="00107245" w:rsidP="00107245">
      <w:r w:rsidRPr="00D5126A">
        <w:t>Decisions on consultation are determined by: the requirements of the Local Government Act 2002; our Significance and Engagement Policy; the level of public interest in the matter; the potential impact on affected and interested parties; the urgency of the matter; and the extent to which the views of the community are already known to the Council.</w:t>
      </w:r>
    </w:p>
    <w:p w:rsidR="00107245" w:rsidRPr="00D5126A" w:rsidRDefault="00107245" w:rsidP="00107245">
      <w:pPr>
        <w:pStyle w:val="Heading3"/>
      </w:pPr>
      <w:bookmarkStart w:id="351" w:name="_Toc19085882"/>
      <w:r w:rsidRPr="00D5126A">
        <w:t>Advisory Groups</w:t>
      </w:r>
      <w:bookmarkEnd w:id="351"/>
    </w:p>
    <w:p w:rsidR="00107245" w:rsidRPr="00D5126A" w:rsidRDefault="00107245" w:rsidP="00107245">
      <w:r w:rsidRPr="00D5126A">
        <w:t>Forums and advisory groups help specific sectors of the community to have their say and guide us in our work.</w:t>
      </w:r>
    </w:p>
    <w:p w:rsidR="00107245" w:rsidRPr="00D5126A" w:rsidRDefault="00107245" w:rsidP="00107245">
      <w:r w:rsidRPr="00D5126A">
        <w:t xml:space="preserve">Our advisory groups consist of members of the community with specialist knowledge in a specific area of council responsibility. Their role is to help their communities to understand Council processes and participate in the Council’s decision-making processes, and to help </w:t>
      </w:r>
      <w:r w:rsidRPr="00D5126A">
        <w:lastRenderedPageBreak/>
        <w:t>the Council understand the needs of their particular communities and how those needs may be addressed.</w:t>
      </w:r>
    </w:p>
    <w:p w:rsidR="00107245" w:rsidRPr="00D5126A" w:rsidRDefault="00107245" w:rsidP="00107245">
      <w:r w:rsidRPr="00D5126A">
        <w:t>Our five advisory groups are: the Pacific Advisory Group; Accessibility Advisory Group; Safe and Sustainability Transport Forum; Environmental Reference Group; and the Youth Council.</w:t>
      </w:r>
    </w:p>
    <w:p w:rsidR="00107245" w:rsidRPr="00D5126A" w:rsidRDefault="00107245" w:rsidP="00107245">
      <w:pPr>
        <w:pStyle w:val="Heading4"/>
      </w:pPr>
      <w:r w:rsidRPr="00D5126A">
        <w:t>Accessibility Advisory Group (AAG)</w:t>
      </w:r>
    </w:p>
    <w:p w:rsidR="00107245" w:rsidRPr="00D5126A" w:rsidRDefault="00107245" w:rsidP="00107245">
      <w:pPr>
        <w:pStyle w:val="MainBodyText"/>
      </w:pPr>
      <w:r w:rsidRPr="00D5126A">
        <w:t>Co-chairs: Tristram Ingham and Rachel Noble. Members: Erikka Helliwell, Rosie MacLeod, Stuart Mills, and Alan Royal</w:t>
      </w:r>
    </w:p>
    <w:p w:rsidR="00107245" w:rsidRDefault="00107245" w:rsidP="00107245">
      <w:pPr>
        <w:pStyle w:val="MainBodyText"/>
        <w:rPr>
          <w:rFonts w:cs="Arial"/>
          <w:color w:val="auto"/>
        </w:rPr>
      </w:pPr>
      <w:r w:rsidRPr="00D5126A">
        <w:t xml:space="preserve">Purpose: To </w:t>
      </w:r>
      <w:r w:rsidRPr="00D5126A">
        <w:rPr>
          <w:rFonts w:asciiTheme="minorHAnsi" w:hAnsiTheme="minorHAnsi" w:cstheme="minorHAnsi"/>
          <w:szCs w:val="24"/>
        </w:rPr>
        <w:t xml:space="preserve">advise </w:t>
      </w:r>
      <w:r w:rsidRPr="00D5126A">
        <w:rPr>
          <w:rFonts w:asciiTheme="minorHAnsi" w:hAnsiTheme="minorHAnsi" w:cstheme="minorHAnsi"/>
          <w:color w:val="auto"/>
          <w:szCs w:val="24"/>
        </w:rPr>
        <w:t xml:space="preserve">Council on how to help grow a great and accessible city, where barriers to people with impairments are minimised. </w:t>
      </w:r>
      <w:r w:rsidRPr="00D5126A">
        <w:rPr>
          <w:rFonts w:asciiTheme="minorHAnsi" w:hAnsiTheme="minorHAnsi" w:cstheme="minorHAnsi"/>
          <w:color w:val="auto"/>
        </w:rPr>
        <w:t xml:space="preserve">Bring lived experience and knowledge to Council around accessibility issues in the context of Council’s roles and priorities. </w:t>
      </w:r>
      <w:r w:rsidRPr="00D5126A">
        <w:rPr>
          <w:rFonts w:cs="Arial"/>
          <w:color w:val="auto"/>
        </w:rPr>
        <w:t xml:space="preserve">The AAG is not seen as representing all views on accessibility in the city.  </w:t>
      </w:r>
    </w:p>
    <w:p w:rsidR="000B1796" w:rsidRPr="00D5126A" w:rsidRDefault="000B1796" w:rsidP="00107245">
      <w:pPr>
        <w:pStyle w:val="MainBodyText"/>
      </w:pPr>
      <w:r>
        <w:t>AAG met nine times in the 2018/19 year and provided feedback and advice to Council on a range of matters including: accessibility action plan, accessibility awards, advisory group review, FIXiT App, Frank Kitts Park children’s playground, Keith Spry Pool, mobility parking, new customer service centre in Manners Street, the Wellington Convention and Exhibition Centre and the Basin Reserve Museum Stand.</w:t>
      </w:r>
    </w:p>
    <w:p w:rsidR="00107245" w:rsidRPr="00D5126A" w:rsidRDefault="00107245" w:rsidP="00107245">
      <w:pPr>
        <w:pStyle w:val="Heading4"/>
      </w:pPr>
      <w:r w:rsidRPr="00D5126A">
        <w:t>Environmental Reference Group (ERG)</w:t>
      </w:r>
    </w:p>
    <w:p w:rsidR="00107245" w:rsidRPr="00D5126A" w:rsidRDefault="00107245" w:rsidP="00107245">
      <w:r w:rsidRPr="00D5126A">
        <w:t>Chair: Mark Fenwick. Members: Mark Ashby, Mike Britton, Lynn Cadenhead, Chris Paulin, Martin Payne, Paula Warren, Chris Watson, and Andrew Wilks</w:t>
      </w:r>
    </w:p>
    <w:p w:rsidR="00107245" w:rsidRPr="00D5126A" w:rsidRDefault="00107245" w:rsidP="00107245">
      <w:r w:rsidRPr="00D5126A">
        <w:t xml:space="preserve">Purpose: To advise Council on the best ways to improve </w:t>
      </w:r>
      <w:r w:rsidR="00251826" w:rsidRPr="00D5126A">
        <w:t>Wellingtonian’ s</w:t>
      </w:r>
      <w:r w:rsidRPr="00D5126A">
        <w:t xml:space="preserve"> quality of life environmentally, socially, culturally and economically by protecting and enhancing the local environment. Bring knowledge and insight into Council around the environment, including water, energy, waste, biodiversity, urban design and transport management, in the context of Council’s roles and priorities. The ERG is not seen as representing all views on the environment in the City.</w:t>
      </w:r>
    </w:p>
    <w:p w:rsidR="00107245" w:rsidRPr="00D5126A" w:rsidRDefault="00107245" w:rsidP="00107245">
      <w:r w:rsidRPr="00D5126A">
        <w:t xml:space="preserve">ERG met 11 times in the 2018/19 year and provided feedback and advice to Council on several matters including the Te Atakura – First to Zero low carbon capital </w:t>
      </w:r>
      <w:proofErr w:type="gramStart"/>
      <w:r w:rsidRPr="00D5126A">
        <w:t>plan</w:t>
      </w:r>
      <w:proofErr w:type="gramEnd"/>
      <w:r w:rsidRPr="00D5126A">
        <w:t xml:space="preserve">, the draft Outer Green Belt Management Plan, the Smoke Free Action Plan, and Planning for Growth. </w:t>
      </w:r>
    </w:p>
    <w:p w:rsidR="00107245" w:rsidRPr="00D5126A" w:rsidRDefault="00107245" w:rsidP="00107245">
      <w:pPr>
        <w:pStyle w:val="Heading4"/>
      </w:pPr>
      <w:r w:rsidRPr="00D5126A">
        <w:t>Pacific Advisory Group (PAG)</w:t>
      </w:r>
    </w:p>
    <w:p w:rsidR="00107245" w:rsidRPr="00D5126A" w:rsidRDefault="00107245" w:rsidP="00107245">
      <w:r w:rsidRPr="00D5126A">
        <w:t xml:space="preserve">Chair: Jocelyn Kua. Deputy Chair: Anthony Carter. </w:t>
      </w:r>
      <w:r w:rsidR="00251826" w:rsidRPr="00D5126A">
        <w:t>Members: Mino Cleverley, Natalia Fareti, Aseri Kua</w:t>
      </w:r>
      <w:r w:rsidR="00251826">
        <w:t xml:space="preserve">, </w:t>
      </w:r>
      <w:r w:rsidR="00251826" w:rsidRPr="00D5126A">
        <w:t>Sunia Foliaki, Kira</w:t>
      </w:r>
      <w:r w:rsidR="00251826">
        <w:t xml:space="preserve"> </w:t>
      </w:r>
      <w:r w:rsidR="00251826" w:rsidRPr="00D5126A">
        <w:t>(Christine) Hundleby, Ofania Ikiua, Sai Lealea, Merio Marsters, Alvin Mitikulena, and Llisapeti (Lisa) Pouvalu</w:t>
      </w:r>
    </w:p>
    <w:p w:rsidR="00107245" w:rsidRPr="00D5126A" w:rsidRDefault="00107245" w:rsidP="00107245">
      <w:r w:rsidRPr="00D5126A">
        <w:t>PAG has specific membership requirements to ensure it represents a broad range of the Pasifika communities in Wellington. It includes up to 17 members. Three members will be from Samoan communities. Two members will be from each of the following communities: Cook Islands, Tonga, Fiji, Niue, Tokelau and Tuvalu. One member will be from a Melanesian community and one member will be from a Micronesian community.</w:t>
      </w:r>
    </w:p>
    <w:p w:rsidR="00107245" w:rsidRPr="00D5126A" w:rsidRDefault="00107245" w:rsidP="00107245">
      <w:r w:rsidRPr="00D5126A">
        <w:t xml:space="preserve">Purpose: To advise Council on how to help grow a great city, where Pasifika peoples thrive and contribute to Council’s priorities. Bring knowledge and extra insight into Council about how the different needs of Wellington’s Pasifika communities can be addressed in the </w:t>
      </w:r>
      <w:r w:rsidRPr="00D5126A">
        <w:lastRenderedPageBreak/>
        <w:t>context of Council’s roles and priorities. The PAG is not seen as representing all Pasifika people in the City.</w:t>
      </w:r>
    </w:p>
    <w:p w:rsidR="00107245" w:rsidRPr="00D5126A" w:rsidRDefault="00107245" w:rsidP="00107245">
      <w:r w:rsidRPr="00D5126A">
        <w:t xml:space="preserve">PAG met 10 times in the 2018/19 year and provided feedback and advice to Council on several matters including Housing, Youth Engagement Framework, </w:t>
      </w:r>
      <w:proofErr w:type="gramStart"/>
      <w:r w:rsidRPr="00D5126A">
        <w:t>Economic</w:t>
      </w:r>
      <w:proofErr w:type="gramEnd"/>
      <w:r w:rsidRPr="00D5126A">
        <w:t xml:space="preserve"> Development Priorities for Council and WellingtonNZ, Planning for Growth, Outer Green Belt Management Plan, Pacific Financial Literacy Plan, and the Smoke Free Wellington Action Plan. </w:t>
      </w:r>
    </w:p>
    <w:p w:rsidR="00107245" w:rsidRPr="00D5126A" w:rsidRDefault="00107245" w:rsidP="00107245">
      <w:pPr>
        <w:pStyle w:val="Heading4"/>
      </w:pPr>
      <w:r w:rsidRPr="00D5126A">
        <w:t>Youth Council</w:t>
      </w:r>
    </w:p>
    <w:p w:rsidR="00107245" w:rsidRPr="00D5126A" w:rsidRDefault="00107245" w:rsidP="00107245">
      <w:r w:rsidRPr="00D5126A">
        <w:t xml:space="preserve">Chair: Brad Olsen until April, then Shine Wu. Deputy Chair: Oliver Michie until April, then Freja Cook. </w:t>
      </w:r>
      <w:r w:rsidR="00251826" w:rsidRPr="00D5126A">
        <w:t>Members: Carl Bennett, Watene Campbell</w:t>
      </w:r>
      <w:r w:rsidR="00251826">
        <w:t>, Raihaam Dalwai, Sarah Gardenie</w:t>
      </w:r>
      <w:r w:rsidR="00251826" w:rsidRPr="00D5126A">
        <w:t>r, Liam Davies, Neesha Dixon, Ella Flavell, Bethany Kaye-Blake, Jackson Lacy, Melania Lui-Fai, Teri O’Neill, Timothy Rutherford, Dexter Smith, and Laura Somerset.</w:t>
      </w:r>
    </w:p>
    <w:p w:rsidR="00107245" w:rsidRPr="00D5126A" w:rsidRDefault="00107245" w:rsidP="00107245">
      <w:r w:rsidRPr="00D5126A">
        <w:t>Purpose: To assist and advise the City Council on how to help grow a great City where young people thrive and contribute to the City Council’s priorities. Bring extra insight to Council (a youth perspective) to solve problems facing a changing world. Develop the capabilities of its members (including leadership and engaging wider youth). The Youth Council is not seen as representing all young people in the City.</w:t>
      </w:r>
    </w:p>
    <w:p w:rsidR="00107245" w:rsidRPr="00D5126A" w:rsidRDefault="00107245" w:rsidP="00107245">
      <w:r w:rsidRPr="00D5126A">
        <w:t xml:space="preserve">Youth Council met 20 times in the 2018/19 year and provided feedback and advice to Council on several matters including the Annual Plan 2019/20, the Youth Engagement Framework, the Alcohol Control Bylaw and alcohol management strategy, the Service Centre redesign, the Central Library closure, the Outer Green Belt Management Plan, transport issues (including e-scooters), a draft Social Wellbeing framework, Aho Tini (arts and culture strategy), and Te Atakura – First to Zero (low carbon capital blueprint). </w:t>
      </w:r>
    </w:p>
    <w:p w:rsidR="00107245" w:rsidRPr="00D5126A" w:rsidRDefault="00107245" w:rsidP="00107245">
      <w:r w:rsidRPr="00D5126A">
        <w:t xml:space="preserve">Members also assisted Council to plan and deliver its community engagement on Planning for Growth, Te Atakura – First to Zero, and the 2019 local government election. </w:t>
      </w:r>
    </w:p>
    <w:p w:rsidR="00107245" w:rsidRPr="00D5126A" w:rsidRDefault="00107245" w:rsidP="00107245">
      <w:r w:rsidRPr="00D5126A">
        <w:t>Youth Council also provided feedback and advice to Parliament and government departments on mental health, the minimum wage, the New Zealand Qualifications Framework review, online voting, the Zero Carbon Bill, and state care.</w:t>
      </w:r>
    </w:p>
    <w:p w:rsidR="00107245" w:rsidRPr="00D5126A" w:rsidRDefault="00107245" w:rsidP="00107245">
      <w:pPr>
        <w:pStyle w:val="Heading4"/>
      </w:pPr>
      <w:r w:rsidRPr="00D5126A">
        <w:t>Safe and Sustainability Transport Forum (SASTF)</w:t>
      </w:r>
    </w:p>
    <w:p w:rsidR="00107245" w:rsidRPr="00D5126A" w:rsidRDefault="00107245" w:rsidP="00107245">
      <w:r w:rsidRPr="00D5126A">
        <w:t>Members: Representatives from 10 organisations and agencies interested in road safety and/or sustainable transport are invited to participate in the quarterly SASTF meetings including: Greater Wellington Regional Council, Living Streets Wellington, Cycle Aware Wellington, New Zealand Transport Agency, New Zealand Police, Automobile Association, Accident Compensation Corporation, Regional Public Health, Bikers’ Rights Organisation of New Zealand (BRONZ) and Wellington City Councillors Chris Calvi-Freeman and Sarah Free.</w:t>
      </w:r>
    </w:p>
    <w:p w:rsidR="00107245" w:rsidRPr="00D5126A" w:rsidRDefault="00107245" w:rsidP="00107245">
      <w:r w:rsidRPr="00D5126A">
        <w:t xml:space="preserve">Purpose: to advise on the development and implementation of relevant road safety and sustainable transport projects, programmes and policies. </w:t>
      </w:r>
      <w:proofErr w:type="gramStart"/>
      <w:r w:rsidRPr="00D5126A">
        <w:t>Advise</w:t>
      </w:r>
      <w:proofErr w:type="gramEnd"/>
      <w:r w:rsidRPr="00D5126A">
        <w:t xml:space="preserve"> on community concerns and expectations associated with road safety and sustainable transport in Wellington City. Assist the Transport Safety, Choice and Sustainability co-ordinators in their role. Help develop projects that are included in the Council’s Long Term Plan and Annual Plan. The group will not have an independent budget to commission work or undertake activities outside of this advisory role.</w:t>
      </w:r>
    </w:p>
    <w:p w:rsidR="00107245" w:rsidRPr="00D5126A" w:rsidRDefault="00107245" w:rsidP="00107245">
      <w:pPr>
        <w:pStyle w:val="Heading3"/>
      </w:pPr>
      <w:bookmarkStart w:id="352" w:name="_Toc19085883"/>
      <w:r w:rsidRPr="00D5126A">
        <w:lastRenderedPageBreak/>
        <w:t>Stakeholders</w:t>
      </w:r>
      <w:bookmarkEnd w:id="352"/>
    </w:p>
    <w:p w:rsidR="00107245" w:rsidRPr="00D5126A" w:rsidRDefault="00107245" w:rsidP="00107245">
      <w:r w:rsidRPr="00D5126A">
        <w:t xml:space="preserve">While Council has a several roles in progressing our long-term vision for the Wellington community, we are unable to do it alone and it is not always our responsibility to implement or resource all of the aspirations identified in </w:t>
      </w:r>
      <w:proofErr w:type="gramStart"/>
      <w:r w:rsidRPr="00D5126A">
        <w:t>Our</w:t>
      </w:r>
      <w:proofErr w:type="gramEnd"/>
      <w:r w:rsidRPr="00D5126A">
        <w:t xml:space="preserve"> 10-Year Plan.</w:t>
      </w:r>
    </w:p>
    <w:p w:rsidR="00107245" w:rsidRPr="00D5126A" w:rsidRDefault="00107245" w:rsidP="00107245">
      <w:r w:rsidRPr="00D5126A">
        <w:t xml:space="preserve">It is important to work in partnerships with other stakeholders, such as central government agencies, not-for-profit organisations, business, community groups and individuals, because they have a role to play in delivering our vision for the city. </w:t>
      </w:r>
    </w:p>
    <w:p w:rsidR="00107245" w:rsidRPr="00D5126A" w:rsidRDefault="00107245" w:rsidP="00107245">
      <w:r w:rsidRPr="00D5126A">
        <w:t>Our stakeholders contribute in numerous ways, many of which are mentioned in this report, including as contributors of ideas and views on proposed projects or service levels, formal partners in delivering specific outcomes, or as the deliverers of outcomes on behalf of Council.</w:t>
      </w:r>
    </w:p>
    <w:p w:rsidR="00107245" w:rsidRPr="00D5126A" w:rsidRDefault="00107245" w:rsidP="00107245">
      <w:r w:rsidRPr="00D5126A">
        <w:t xml:space="preserve">Further Reading: Significance and Engagement Policy </w:t>
      </w:r>
      <w:hyperlink r:id="rId49" w:history="1">
        <w:r w:rsidRPr="00D5126A">
          <w:rPr>
            <w:rStyle w:val="Hyperlink"/>
          </w:rPr>
          <w:t>https://wellington.govt.nz/your-council/plans-policies-and-bylaws/policies/significance-and-engagement-policy</w:t>
        </w:r>
      </w:hyperlink>
    </w:p>
    <w:p w:rsidR="00107245" w:rsidRPr="00D5126A" w:rsidRDefault="00107245" w:rsidP="00107245">
      <w:r w:rsidRPr="00D5126A">
        <w:t xml:space="preserve">The important relationship between Council and our stakeholders is </w:t>
      </w:r>
      <w:r w:rsidR="005B7013">
        <w:t>listed</w:t>
      </w:r>
      <w:r w:rsidRPr="00D5126A">
        <w:t xml:space="preserve"> below.</w:t>
      </w:r>
    </w:p>
    <w:p w:rsidR="00107245" w:rsidRPr="00D5126A" w:rsidRDefault="00107245" w:rsidP="00107245">
      <w:pPr>
        <w:rPr>
          <w:color w:val="808080" w:themeColor="background1" w:themeShade="80"/>
        </w:rPr>
        <w:sectPr w:rsidR="00107245" w:rsidRPr="00D5126A" w:rsidSect="009C620A">
          <w:type w:val="continuous"/>
          <w:pgSz w:w="11905" w:h="16837"/>
          <w:pgMar w:top="993" w:right="1440" w:bottom="1440" w:left="1440" w:header="720" w:footer="562" w:gutter="0"/>
          <w:cols w:space="720"/>
          <w:docGrid w:linePitch="360"/>
        </w:sectPr>
      </w:pPr>
    </w:p>
    <w:p w:rsidR="00107245" w:rsidRPr="00D5126A" w:rsidRDefault="00107245" w:rsidP="00107245">
      <w:pPr>
        <w:rPr>
          <w:b/>
        </w:rPr>
      </w:pPr>
      <w:r w:rsidRPr="00D5126A">
        <w:rPr>
          <w:b/>
        </w:rPr>
        <w:lastRenderedPageBreak/>
        <w:t>Council’s Role</w:t>
      </w:r>
    </w:p>
    <w:p w:rsidR="00107245" w:rsidRPr="00D5126A" w:rsidRDefault="00107245" w:rsidP="00107245">
      <w:r w:rsidRPr="00D5126A">
        <w:t>Lead</w:t>
      </w:r>
    </w:p>
    <w:p w:rsidR="00107245" w:rsidRPr="00D5126A" w:rsidRDefault="00107245" w:rsidP="00107245">
      <w:r w:rsidRPr="00D5126A">
        <w:t>Facilitate</w:t>
      </w:r>
    </w:p>
    <w:p w:rsidR="00107245" w:rsidRPr="00D5126A" w:rsidRDefault="00107245" w:rsidP="00107245">
      <w:r w:rsidRPr="00D5126A">
        <w:t>Advocate</w:t>
      </w:r>
    </w:p>
    <w:p w:rsidR="00107245" w:rsidRPr="00D5126A" w:rsidRDefault="00107245" w:rsidP="00107245">
      <w:r w:rsidRPr="00D5126A">
        <w:t>Educate</w:t>
      </w:r>
    </w:p>
    <w:p w:rsidR="00107245" w:rsidRPr="00D5126A" w:rsidRDefault="00107245" w:rsidP="00107245">
      <w:r w:rsidRPr="00D5126A">
        <w:t>Regulate</w:t>
      </w:r>
    </w:p>
    <w:p w:rsidR="00107245" w:rsidRPr="00D5126A" w:rsidRDefault="00107245" w:rsidP="00107245">
      <w:r w:rsidRPr="00D5126A">
        <w:t>Deliver</w:t>
      </w:r>
    </w:p>
    <w:p w:rsidR="00107245" w:rsidRPr="00D5126A" w:rsidRDefault="00107245" w:rsidP="00107245">
      <w:pPr>
        <w:rPr>
          <w:b/>
        </w:rPr>
      </w:pPr>
      <w:r w:rsidRPr="00D5126A">
        <w:br w:type="column"/>
      </w:r>
      <w:r w:rsidRPr="00D5126A">
        <w:rPr>
          <w:b/>
        </w:rPr>
        <w:lastRenderedPageBreak/>
        <w:t>Helped by</w:t>
      </w:r>
    </w:p>
    <w:p w:rsidR="00107245" w:rsidRPr="00D5126A" w:rsidRDefault="00107245" w:rsidP="00107245">
      <w:pPr>
        <w:rPr>
          <w:b/>
        </w:rPr>
      </w:pPr>
      <w:r w:rsidRPr="00D5126A">
        <w:rPr>
          <w:b/>
        </w:rPr>
        <w:t xml:space="preserve">Regional/National: </w:t>
      </w:r>
    </w:p>
    <w:p w:rsidR="00107245" w:rsidRPr="00D5126A" w:rsidRDefault="00107245" w:rsidP="00107245">
      <w:r w:rsidRPr="00D5126A">
        <w:t>Central Government</w:t>
      </w:r>
    </w:p>
    <w:p w:rsidR="00107245" w:rsidRPr="00D5126A" w:rsidRDefault="00107245" w:rsidP="00107245">
      <w:r w:rsidRPr="00D5126A">
        <w:t>Other Councils</w:t>
      </w:r>
    </w:p>
    <w:p w:rsidR="00107245" w:rsidRPr="00D5126A" w:rsidRDefault="00107245" w:rsidP="00107245">
      <w:r w:rsidRPr="00D5126A">
        <w:t xml:space="preserve">Regional Organisations </w:t>
      </w:r>
    </w:p>
    <w:p w:rsidR="00107245" w:rsidRPr="00D5126A" w:rsidRDefault="00107245" w:rsidP="00107245">
      <w:r w:rsidRPr="00D5126A">
        <w:t>Businesses</w:t>
      </w:r>
    </w:p>
    <w:p w:rsidR="00107245" w:rsidRPr="00D5126A" w:rsidRDefault="00107245" w:rsidP="00107245">
      <w:r w:rsidRPr="00D5126A">
        <w:t>Visitors</w:t>
      </w:r>
    </w:p>
    <w:p w:rsidR="00107245" w:rsidRPr="00D5126A" w:rsidRDefault="00107245" w:rsidP="00107245">
      <w:r w:rsidRPr="00D5126A">
        <w:t>Suppliers</w:t>
      </w:r>
    </w:p>
    <w:p w:rsidR="00107245" w:rsidRPr="00D5126A" w:rsidRDefault="00107245" w:rsidP="00107245">
      <w:pPr>
        <w:rPr>
          <w:b/>
        </w:rPr>
      </w:pPr>
      <w:r w:rsidRPr="00D5126A">
        <w:br w:type="column"/>
      </w:r>
      <w:r w:rsidRPr="00D5126A">
        <w:rPr>
          <w:b/>
        </w:rPr>
        <w:lastRenderedPageBreak/>
        <w:t>Local:</w:t>
      </w:r>
    </w:p>
    <w:p w:rsidR="00107245" w:rsidRPr="00D5126A" w:rsidRDefault="00107245" w:rsidP="00107245">
      <w:r w:rsidRPr="00D5126A">
        <w:t>Other Councils</w:t>
      </w:r>
    </w:p>
    <w:p w:rsidR="00107245" w:rsidRPr="00D5126A" w:rsidRDefault="00107245" w:rsidP="00107245">
      <w:r w:rsidRPr="00D5126A">
        <w:t>Local Businesses</w:t>
      </w:r>
    </w:p>
    <w:p w:rsidR="00107245" w:rsidRPr="00D5126A" w:rsidRDefault="00107245" w:rsidP="00107245">
      <w:r w:rsidRPr="00D5126A">
        <w:t>Advisory Groups</w:t>
      </w:r>
    </w:p>
    <w:p w:rsidR="00107245" w:rsidRPr="00D5126A" w:rsidRDefault="00107245" w:rsidP="00107245">
      <w:r w:rsidRPr="00D5126A">
        <w:t>Volunteers</w:t>
      </w:r>
    </w:p>
    <w:p w:rsidR="00107245" w:rsidRPr="00D5126A" w:rsidRDefault="00107245" w:rsidP="00107245">
      <w:r w:rsidRPr="00D5126A">
        <w:t>Community Groups</w:t>
      </w:r>
    </w:p>
    <w:p w:rsidR="00107245" w:rsidRPr="00D5126A" w:rsidRDefault="00107245" w:rsidP="00107245">
      <w:r w:rsidRPr="00D5126A">
        <w:t>Central Government Departments</w:t>
      </w:r>
    </w:p>
    <w:p w:rsidR="00107245" w:rsidRPr="00D5126A" w:rsidRDefault="00107245" w:rsidP="00107245">
      <w:r w:rsidRPr="00D5126A">
        <w:t>Non-Profit Organisations</w:t>
      </w:r>
    </w:p>
    <w:p w:rsidR="00107245" w:rsidRPr="00D5126A" w:rsidRDefault="00107245" w:rsidP="00107245">
      <w:r w:rsidRPr="00D5126A">
        <w:t>Employees</w:t>
      </w:r>
    </w:p>
    <w:p w:rsidR="00107245" w:rsidRPr="00D5126A" w:rsidRDefault="00107245" w:rsidP="00107245">
      <w:r w:rsidRPr="00D5126A">
        <w:t>Visitors</w:t>
      </w:r>
    </w:p>
    <w:p w:rsidR="00107245" w:rsidRPr="00D5126A" w:rsidRDefault="00107245" w:rsidP="00107245">
      <w:pPr>
        <w:sectPr w:rsidR="00107245" w:rsidRPr="00D5126A" w:rsidSect="009C620A">
          <w:type w:val="continuous"/>
          <w:pgSz w:w="11905" w:h="16837"/>
          <w:pgMar w:top="993" w:right="1440" w:bottom="1440" w:left="1440" w:header="720" w:footer="562" w:gutter="0"/>
          <w:cols w:num="3" w:space="720"/>
          <w:docGrid w:linePitch="360"/>
        </w:sectPr>
      </w:pPr>
      <w:r w:rsidRPr="00D5126A">
        <w:t>Suppliers</w:t>
      </w:r>
    </w:p>
    <w:p w:rsidR="00107245" w:rsidRPr="00D5126A" w:rsidRDefault="00107245" w:rsidP="00107245"/>
    <w:p w:rsidR="00107245" w:rsidRPr="00D5126A" w:rsidRDefault="00107245" w:rsidP="00107245">
      <w:pPr>
        <w:rPr>
          <w:rFonts w:eastAsia="Times New Roman" w:cstheme="minorHAnsi"/>
          <w:b/>
          <w:bCs/>
          <w:color w:val="4F81BD" w:themeColor="accent1"/>
          <w:sz w:val="34"/>
          <w:szCs w:val="34"/>
          <w:lang w:eastAsia="en-NZ"/>
        </w:rPr>
      </w:pPr>
      <w:r w:rsidRPr="00D5126A">
        <w:br w:type="page"/>
      </w:r>
    </w:p>
    <w:p w:rsidR="00107245" w:rsidRPr="00D5126A" w:rsidRDefault="00107245" w:rsidP="00107245">
      <w:pPr>
        <w:pStyle w:val="Heading3"/>
      </w:pPr>
      <w:bookmarkStart w:id="353" w:name="_Toc19085884"/>
      <w:r w:rsidRPr="00D5126A">
        <w:lastRenderedPageBreak/>
        <w:t>Grants</w:t>
      </w:r>
      <w:bookmarkEnd w:id="353"/>
    </w:p>
    <w:p w:rsidR="00107245" w:rsidRPr="00D5126A" w:rsidRDefault="00107245" w:rsidP="00107245">
      <w:pPr>
        <w:rPr>
          <w:rFonts w:ascii="Arial" w:hAnsi="Arial" w:cs="Arial"/>
          <w:szCs w:val="24"/>
        </w:rPr>
      </w:pPr>
      <w:r w:rsidRPr="00D5126A">
        <w:rPr>
          <w:rFonts w:ascii="Arial" w:hAnsi="Arial" w:cs="Arial"/>
          <w:szCs w:val="24"/>
        </w:rPr>
        <w:t xml:space="preserve">Grants provide the Council with the ability to support community </w:t>
      </w:r>
      <w:proofErr w:type="gramStart"/>
      <w:r w:rsidRPr="00D5126A">
        <w:rPr>
          <w:rFonts w:ascii="Arial" w:hAnsi="Arial" w:cs="Arial"/>
          <w:szCs w:val="24"/>
        </w:rPr>
        <w:t>resilience</w:t>
      </w:r>
      <w:r w:rsidR="00837042">
        <w:rPr>
          <w:rFonts w:ascii="Arial" w:hAnsi="Arial" w:cs="Arial"/>
          <w:szCs w:val="24"/>
        </w:rPr>
        <w:t>,</w:t>
      </w:r>
      <w:proofErr w:type="gramEnd"/>
      <w:r w:rsidRPr="00D5126A">
        <w:rPr>
          <w:rFonts w:ascii="Arial" w:hAnsi="Arial" w:cs="Arial"/>
          <w:szCs w:val="24"/>
        </w:rPr>
        <w:t xml:space="preserve"> encourage innovation, diversity and creativity as well as support the city’s social, cultural and environmental infrastructure. </w:t>
      </w:r>
    </w:p>
    <w:p w:rsidR="00107245" w:rsidRPr="00D5126A" w:rsidRDefault="00107245" w:rsidP="00107245">
      <w:pPr>
        <w:rPr>
          <w:rFonts w:ascii="Arial" w:hAnsi="Arial" w:cs="Arial"/>
          <w:szCs w:val="24"/>
        </w:rPr>
      </w:pPr>
      <w:r w:rsidRPr="00D5126A">
        <w:rPr>
          <w:rFonts w:ascii="Arial" w:hAnsi="Arial" w:cs="Arial"/>
          <w:szCs w:val="24"/>
        </w:rPr>
        <w:t xml:space="preserve">During the year our Grants Subcommittee allocated 192 grants to community projects from six main funds. </w:t>
      </w:r>
    </w:p>
    <w:p w:rsidR="00107245" w:rsidRPr="00D5126A" w:rsidRDefault="00107245" w:rsidP="00107245">
      <w:pPr>
        <w:pStyle w:val="ListParagraph"/>
        <w:numPr>
          <w:ilvl w:val="0"/>
          <w:numId w:val="5"/>
        </w:numPr>
        <w:ind w:left="709"/>
        <w:rPr>
          <w:rFonts w:ascii="Arial" w:hAnsi="Arial" w:cs="Arial"/>
          <w:szCs w:val="24"/>
        </w:rPr>
      </w:pPr>
      <w:r w:rsidRPr="00D5126A">
        <w:rPr>
          <w:rFonts w:ascii="Arial" w:hAnsi="Arial" w:cs="Arial"/>
        </w:rPr>
        <w:t xml:space="preserve">Arts and Culture Fund: 84 applications funded, total $385,065, average grant size $4,584, largest $15,000, smallest $600. In 2018/19 this also included the Professional Performing Arts Fund. </w:t>
      </w:r>
    </w:p>
    <w:p w:rsidR="00107245" w:rsidRPr="00D5126A" w:rsidRDefault="00107245" w:rsidP="00107245">
      <w:pPr>
        <w:pStyle w:val="ListParagraph"/>
        <w:numPr>
          <w:ilvl w:val="0"/>
          <w:numId w:val="5"/>
        </w:numPr>
        <w:spacing w:line="240" w:lineRule="auto"/>
        <w:ind w:left="709"/>
        <w:rPr>
          <w:rFonts w:ascii="Arial" w:hAnsi="Arial" w:cs="Arial"/>
        </w:rPr>
      </w:pPr>
      <w:r w:rsidRPr="00D5126A">
        <w:rPr>
          <w:rFonts w:ascii="Arial" w:hAnsi="Arial" w:cs="Arial"/>
        </w:rPr>
        <w:t xml:space="preserve">Social and Recreation Fund: 64 applications funded, total $537,158, average grant size $8,393, largest $30,000, smallest $430. </w:t>
      </w:r>
    </w:p>
    <w:p w:rsidR="00107245" w:rsidRPr="00D5126A" w:rsidRDefault="00107245" w:rsidP="00107245">
      <w:pPr>
        <w:pStyle w:val="ListParagraph"/>
        <w:numPr>
          <w:ilvl w:val="0"/>
          <w:numId w:val="5"/>
        </w:numPr>
        <w:spacing w:line="240" w:lineRule="auto"/>
        <w:ind w:left="709"/>
        <w:rPr>
          <w:rFonts w:ascii="Arial" w:hAnsi="Arial" w:cs="Arial"/>
        </w:rPr>
      </w:pPr>
      <w:r w:rsidRPr="00D5126A">
        <w:rPr>
          <w:rFonts w:ascii="Arial" w:hAnsi="Arial" w:cs="Arial"/>
        </w:rPr>
        <w:t>Natural Environment Fund: 19 applications funded, total $82,804, average grant size $4,358, largest $9,600, smallest $804.</w:t>
      </w:r>
    </w:p>
    <w:p w:rsidR="00107245" w:rsidRPr="00D5126A" w:rsidRDefault="00107245" w:rsidP="00107245">
      <w:pPr>
        <w:pStyle w:val="ListParagraph"/>
        <w:numPr>
          <w:ilvl w:val="0"/>
          <w:numId w:val="5"/>
        </w:numPr>
        <w:spacing w:line="240" w:lineRule="auto"/>
        <w:ind w:left="709"/>
        <w:rPr>
          <w:rFonts w:ascii="Arial" w:hAnsi="Arial" w:cs="Arial"/>
        </w:rPr>
      </w:pPr>
      <w:r w:rsidRPr="00D5126A">
        <w:rPr>
          <w:rFonts w:ascii="Arial" w:hAnsi="Arial" w:cs="Arial"/>
        </w:rPr>
        <w:t xml:space="preserve">Built Heritage Incentive Fund: 18 applications funded, total $550,000, average grant size $30,555, largest $168,500, smallest $3,000. </w:t>
      </w:r>
    </w:p>
    <w:p w:rsidR="00107245" w:rsidRPr="00D5126A" w:rsidRDefault="00107245" w:rsidP="00107245">
      <w:pPr>
        <w:pStyle w:val="ListParagraph"/>
        <w:numPr>
          <w:ilvl w:val="0"/>
          <w:numId w:val="5"/>
        </w:numPr>
        <w:ind w:left="709"/>
        <w:rPr>
          <w:rFonts w:ascii="Arial" w:hAnsi="Arial" w:cs="Arial"/>
        </w:rPr>
      </w:pPr>
      <w:r w:rsidRPr="00D5126A">
        <w:rPr>
          <w:rFonts w:ascii="Arial" w:hAnsi="Arial" w:cs="Arial"/>
        </w:rPr>
        <w:t xml:space="preserve">Sportsville Partnership Feasibility Fund: two grants totalling $35,259. </w:t>
      </w:r>
    </w:p>
    <w:p w:rsidR="00107245" w:rsidRPr="00D5126A" w:rsidRDefault="00107245" w:rsidP="00107245">
      <w:pPr>
        <w:pStyle w:val="ListParagraph"/>
        <w:numPr>
          <w:ilvl w:val="0"/>
          <w:numId w:val="5"/>
        </w:numPr>
        <w:spacing w:line="240" w:lineRule="auto"/>
        <w:ind w:left="709"/>
        <w:rPr>
          <w:rFonts w:ascii="Arial" w:hAnsi="Arial" w:cs="Arial"/>
        </w:rPr>
      </w:pPr>
      <w:r w:rsidRPr="00D5126A">
        <w:rPr>
          <w:rFonts w:ascii="Arial" w:hAnsi="Arial" w:cs="Arial"/>
        </w:rPr>
        <w:t>Waste Minimisation Seed Fund: six applications funded through the fund for larger (over $2,000 grant fund delegated to the Grants subcommittee), total $54,000, average $9,000, largest $10,000, smallest $4,820.</w:t>
      </w:r>
    </w:p>
    <w:p w:rsidR="00107245" w:rsidRPr="00D5126A" w:rsidRDefault="00107245" w:rsidP="00107245">
      <w:pPr>
        <w:rPr>
          <w:rFonts w:ascii="Arial" w:hAnsi="Arial" w:cs="Arial"/>
          <w:szCs w:val="24"/>
        </w:rPr>
      </w:pPr>
      <w:r w:rsidRPr="00D5126A">
        <w:rPr>
          <w:rFonts w:ascii="Arial" w:hAnsi="Arial" w:cs="Arial"/>
          <w:szCs w:val="24"/>
        </w:rPr>
        <w:t xml:space="preserve">For the Arts and Culture and Social and Recreation funds, the majority of funding is allocated through ongoing multi-year contracts with established organisations that deliver programmes, services and activities for Wellingtonians. These are reviewed every three years. In 2018/19 there were 75 organisations supported through multi-year funding contracts across the arts, social and environmental sectors. </w:t>
      </w:r>
    </w:p>
    <w:p w:rsidR="00107245" w:rsidRPr="00D5126A" w:rsidRDefault="00107245" w:rsidP="00107245">
      <w:pPr>
        <w:rPr>
          <w:rFonts w:ascii="Arial" w:hAnsi="Arial" w:cs="Arial"/>
          <w:szCs w:val="24"/>
        </w:rPr>
      </w:pPr>
      <w:r w:rsidRPr="00D5126A">
        <w:rPr>
          <w:rFonts w:ascii="Arial" w:hAnsi="Arial" w:cs="Arial"/>
          <w:szCs w:val="24"/>
        </w:rPr>
        <w:t>We also award grants through Tawa Community Board Grants Subcommittee (Tawa Community Grants), make recommendations to the trustees of the CH Izard Bequest and allocate funding through the Discretionary Grant Fund, which supports projects outside the timing of our funding rounds.</w:t>
      </w:r>
    </w:p>
    <w:p w:rsidR="00107245" w:rsidRPr="00D5126A" w:rsidRDefault="00107245" w:rsidP="00107245">
      <w:pPr>
        <w:rPr>
          <w:rFonts w:ascii="Arial" w:hAnsi="Arial" w:cs="Arial"/>
          <w:szCs w:val="24"/>
        </w:rPr>
      </w:pPr>
      <w:r w:rsidRPr="00D5126A">
        <w:rPr>
          <w:rFonts w:ascii="Arial" w:hAnsi="Arial" w:cs="Arial"/>
          <w:szCs w:val="24"/>
        </w:rPr>
        <w:t xml:space="preserve">We administer the Creative Communities Funding Scheme in partnership with Creative New Zealand and allocated a total of $140,356 to 47 projects through two funding rounds during the year. </w:t>
      </w:r>
    </w:p>
    <w:p w:rsidR="00107245" w:rsidRPr="00D5126A" w:rsidRDefault="00107245" w:rsidP="00107245">
      <w:pPr>
        <w:rPr>
          <w:rFonts w:ascii="Arial" w:hAnsi="Arial" w:cs="Arial"/>
          <w:szCs w:val="24"/>
        </w:rPr>
      </w:pPr>
      <w:r w:rsidRPr="00D5126A">
        <w:rPr>
          <w:rFonts w:ascii="Arial" w:hAnsi="Arial" w:cs="Arial"/>
          <w:szCs w:val="24"/>
        </w:rPr>
        <w:t xml:space="preserve">Through our partnership with other councils in the region, via the Wellington Regional Amenities Fund, five grants totalling $970,000 were allocated to larger scale events or programmes in the region. </w:t>
      </w:r>
    </w:p>
    <w:p w:rsidR="00107245" w:rsidRPr="00D5126A" w:rsidRDefault="00107245" w:rsidP="00107245">
      <w:pPr>
        <w:spacing w:line="240" w:lineRule="auto"/>
      </w:pPr>
      <w:r w:rsidRPr="00D5126A">
        <w:rPr>
          <w:rFonts w:ascii="Arial" w:hAnsi="Arial" w:cs="Arial"/>
          <w:szCs w:val="24"/>
        </w:rPr>
        <w:t>Further Reading: A full list of grant recipients are listed on the funding pages of the Wellington City Council website</w:t>
      </w:r>
    </w:p>
    <w:p w:rsidR="00107245" w:rsidRPr="00D5126A" w:rsidRDefault="00107245" w:rsidP="00107245">
      <w:pPr>
        <w:rPr>
          <w:rFonts w:cstheme="minorHAnsi"/>
          <w:szCs w:val="24"/>
          <w:highlight w:val="magenta"/>
        </w:rPr>
      </w:pPr>
      <w:r w:rsidRPr="00D5126A">
        <w:rPr>
          <w:rFonts w:cstheme="minorHAnsi"/>
          <w:szCs w:val="24"/>
          <w:highlight w:val="magenta"/>
        </w:rPr>
        <w:br w:type="page"/>
      </w:r>
    </w:p>
    <w:p w:rsidR="00107245" w:rsidRPr="00D5126A" w:rsidRDefault="00107245" w:rsidP="00107245">
      <w:pPr>
        <w:pStyle w:val="Heading2"/>
      </w:pPr>
      <w:bookmarkStart w:id="354" w:name="_Toc18922456"/>
      <w:bookmarkStart w:id="355" w:name="_Toc19085885"/>
      <w:bookmarkStart w:id="356" w:name="_Toc23758614"/>
      <w:r w:rsidRPr="00D5126A">
        <w:lastRenderedPageBreak/>
        <w:t>Making Ourselves Accountable</w:t>
      </w:r>
      <w:bookmarkEnd w:id="354"/>
      <w:bookmarkEnd w:id="355"/>
      <w:bookmarkEnd w:id="356"/>
    </w:p>
    <w:p w:rsidR="00107245" w:rsidRPr="00D5126A" w:rsidRDefault="00107245" w:rsidP="00107245">
      <w:pPr>
        <w:pStyle w:val="Heading3"/>
      </w:pPr>
      <w:bookmarkStart w:id="357" w:name="_Toc19085886"/>
      <w:bookmarkStart w:id="358" w:name="_Toc14178518"/>
      <w:bookmarkStart w:id="359" w:name="Executive_team"/>
      <w:bookmarkStart w:id="360" w:name="Executive_teamKevin_LaveryChief_Executiv"/>
      <w:bookmarkStart w:id="361" w:name="_Toc528234290"/>
      <w:r w:rsidRPr="00D5126A">
        <w:t>Our decision-making is open and transparent.</w:t>
      </w:r>
      <w:bookmarkEnd w:id="357"/>
    </w:p>
    <w:p w:rsidR="00107245" w:rsidRPr="00D5126A" w:rsidRDefault="00107245" w:rsidP="00107245">
      <w:pPr>
        <w:autoSpaceDE w:val="0"/>
        <w:autoSpaceDN w:val="0"/>
        <w:rPr>
          <w:rFonts w:cstheme="minorHAnsi"/>
          <w:szCs w:val="24"/>
        </w:rPr>
      </w:pPr>
      <w:r w:rsidRPr="00D5126A">
        <w:rPr>
          <w:rFonts w:cstheme="minorHAnsi"/>
          <w:szCs w:val="24"/>
        </w:rPr>
        <w:t>The Local Government Official Information and Meetings Act 1987 is the legislation that ensures our community can access official information, participate in meetings and influence local decision making. It also ensures as a public organisation we promote good local government by being transparent in our work, accountable and open to public, independent authorities and media scrutiny.</w:t>
      </w:r>
    </w:p>
    <w:p w:rsidR="00107245" w:rsidRPr="00D5126A" w:rsidRDefault="00107245" w:rsidP="00107245">
      <w:pPr>
        <w:autoSpaceDE w:val="0"/>
        <w:autoSpaceDN w:val="0"/>
        <w:rPr>
          <w:rFonts w:cstheme="minorHAnsi"/>
          <w:szCs w:val="24"/>
        </w:rPr>
      </w:pPr>
      <w:r w:rsidRPr="00D5126A">
        <w:rPr>
          <w:rFonts w:cstheme="minorHAnsi"/>
          <w:szCs w:val="24"/>
        </w:rPr>
        <w:t xml:space="preserve">All meeting agendas and reports are publicly available two days before meetings in our libraries, at Arapaki and online at </w:t>
      </w:r>
      <w:hyperlink r:id="rId50" w:history="1">
        <w:r w:rsidR="00837042" w:rsidRPr="00837042">
          <w:rPr>
            <w:rStyle w:val="Hyperlink"/>
            <w:rFonts w:cstheme="minorHAnsi"/>
            <w:szCs w:val="24"/>
          </w:rPr>
          <w:t>www.wellington.govt.nz</w:t>
        </w:r>
      </w:hyperlink>
      <w:r w:rsidRPr="00D5126A">
        <w:rPr>
          <w:rFonts w:cstheme="minorHAnsi"/>
          <w:szCs w:val="24"/>
        </w:rPr>
        <w:t xml:space="preserve">. The minutes of our meetings are made available on our website and we also live stream our full Council meetings. </w:t>
      </w:r>
    </w:p>
    <w:p w:rsidR="00107245" w:rsidRPr="00D5126A" w:rsidRDefault="00107245" w:rsidP="00107245">
      <w:pPr>
        <w:autoSpaceDE w:val="0"/>
        <w:autoSpaceDN w:val="0"/>
        <w:rPr>
          <w:rFonts w:cstheme="minorHAnsi"/>
          <w:szCs w:val="24"/>
        </w:rPr>
      </w:pPr>
      <w:r w:rsidRPr="00D5126A">
        <w:rPr>
          <w:rFonts w:cstheme="minorHAnsi"/>
          <w:szCs w:val="24"/>
        </w:rPr>
        <w:t>While the provisions of the Local Government Official Information and Meetings Act allows us to exclude the public from meetings on special grounds (e.g. commercial sensitivity)</w:t>
      </w:r>
      <w:r w:rsidR="00837042">
        <w:rPr>
          <w:rFonts w:cstheme="minorHAnsi"/>
          <w:szCs w:val="24"/>
        </w:rPr>
        <w:t>,</w:t>
      </w:r>
      <w:r w:rsidRPr="00D5126A">
        <w:rPr>
          <w:rFonts w:cstheme="minorHAnsi"/>
          <w:szCs w:val="24"/>
        </w:rPr>
        <w:t xml:space="preserve"> we seek to make use of these provisions as infrequently as possible.</w:t>
      </w:r>
    </w:p>
    <w:p w:rsidR="00107245" w:rsidRPr="00D5126A" w:rsidRDefault="00107245" w:rsidP="00107245">
      <w:pPr>
        <w:autoSpaceDE w:val="0"/>
        <w:autoSpaceDN w:val="0"/>
        <w:rPr>
          <w:rFonts w:cstheme="minorHAnsi"/>
          <w:szCs w:val="24"/>
        </w:rPr>
      </w:pPr>
      <w:r w:rsidRPr="00D5126A">
        <w:rPr>
          <w:rFonts w:cstheme="minorHAnsi"/>
          <w:szCs w:val="24"/>
        </w:rPr>
        <w:t xml:space="preserve">We also ensure any decisions are communicated effectively to the community – through media releases, </w:t>
      </w:r>
      <w:r w:rsidR="00837042">
        <w:rPr>
          <w:rFonts w:cstheme="minorHAnsi"/>
          <w:szCs w:val="24"/>
        </w:rPr>
        <w:t xml:space="preserve">social media, </w:t>
      </w:r>
      <w:r w:rsidRPr="00D5126A">
        <w:rPr>
          <w:rFonts w:cstheme="minorHAnsi"/>
          <w:szCs w:val="24"/>
        </w:rPr>
        <w:t>web alerts, and our website.</w:t>
      </w:r>
    </w:p>
    <w:p w:rsidR="00107245" w:rsidRPr="00D5126A" w:rsidRDefault="00107245" w:rsidP="00107245">
      <w:pPr>
        <w:autoSpaceDE w:val="0"/>
        <w:autoSpaceDN w:val="0"/>
        <w:rPr>
          <w:rFonts w:cstheme="minorHAnsi"/>
          <w:szCs w:val="24"/>
        </w:rPr>
      </w:pPr>
      <w:r w:rsidRPr="00D5126A">
        <w:rPr>
          <w:rFonts w:cstheme="minorHAnsi"/>
          <w:szCs w:val="24"/>
        </w:rPr>
        <w:t xml:space="preserve">We also make ourselves accountable in many ways. This annual report is one. It explains what we did during 2018/19, how our work contributed to the city, what it cost, and whether our performance met the expectations we set ourselves. </w:t>
      </w:r>
    </w:p>
    <w:p w:rsidR="00107245" w:rsidRPr="00D5126A" w:rsidRDefault="00107245" w:rsidP="00107245">
      <w:pPr>
        <w:autoSpaceDE w:val="0"/>
        <w:autoSpaceDN w:val="0"/>
        <w:rPr>
          <w:rFonts w:cstheme="minorHAnsi"/>
          <w:szCs w:val="24"/>
        </w:rPr>
      </w:pPr>
      <w:r w:rsidRPr="00D5126A">
        <w:rPr>
          <w:rFonts w:cstheme="minorHAnsi"/>
          <w:szCs w:val="24"/>
        </w:rPr>
        <w:t>Its contents have been thoroughly scrutinised by Audit New Zealand to ensure they fairly reflect our financial performance and position, and the services we’ve provided. We also produce quarterly reports which are available to members of the public and media.</w:t>
      </w:r>
    </w:p>
    <w:p w:rsidR="00107245" w:rsidRPr="00D5126A" w:rsidRDefault="00107245" w:rsidP="00107245">
      <w:pPr>
        <w:pStyle w:val="Heading3"/>
      </w:pPr>
      <w:bookmarkStart w:id="362" w:name="_Toc19085887"/>
      <w:r w:rsidRPr="00D5126A">
        <w:t>Managing Risk</w:t>
      </w:r>
      <w:bookmarkEnd w:id="362"/>
      <w:r w:rsidRPr="00D5126A">
        <w:t xml:space="preserve"> </w:t>
      </w:r>
    </w:p>
    <w:p w:rsidR="00107245" w:rsidRPr="00D5126A" w:rsidRDefault="00107245" w:rsidP="00107245">
      <w:r w:rsidRPr="00D5126A">
        <w:t>Risk is a challenge because it is inherent in everything we do.  Our Risk Management programme of work is designed to ensure that we understand what risks we are facing in our activities, how we’re managing and monitoring them.</w:t>
      </w:r>
    </w:p>
    <w:p w:rsidR="00107245" w:rsidRPr="00D5126A" w:rsidRDefault="00107245" w:rsidP="00107245">
      <w:r w:rsidRPr="00D5126A">
        <w:t xml:space="preserve">Through our Finance, Audit and Risk Management Subcommittee, we have undertaken a programme of refreshing the Council’s risk matrix, which is the reference point we use to ensure we are seeing the relativity of our risks, and identifying the Council’s strategic risks.  </w:t>
      </w:r>
    </w:p>
    <w:p w:rsidR="00107245" w:rsidRPr="00D5126A" w:rsidRDefault="00107245" w:rsidP="00107245">
      <w:r w:rsidRPr="00D5126A">
        <w:t>Operationally, we undertook an assessment against the All-of-Government (AoG) Enterprise Risk Maturity Assessment Framework to establish a baseline maturity against which we will continue to measure ourselves in coming years, and which underpins our programme of work. Two of the key risks we identified this year were our project management and insurance.</w:t>
      </w:r>
    </w:p>
    <w:p w:rsidR="00107245" w:rsidRPr="00D5126A" w:rsidRDefault="00107245" w:rsidP="00107245">
      <w:pPr>
        <w:pStyle w:val="Heading4"/>
      </w:pPr>
      <w:r w:rsidRPr="00D5126A">
        <w:t>Case studies</w:t>
      </w:r>
    </w:p>
    <w:p w:rsidR="00107245" w:rsidRPr="00D5126A" w:rsidRDefault="00107245" w:rsidP="00107245">
      <w:pPr>
        <w:pStyle w:val="Heading5"/>
      </w:pPr>
      <w:r w:rsidRPr="00D5126A">
        <w:t>Project Governance</w:t>
      </w:r>
    </w:p>
    <w:p w:rsidR="00107245" w:rsidRPr="00D5126A" w:rsidRDefault="00107245" w:rsidP="00107245">
      <w:r w:rsidRPr="00D5126A">
        <w:t xml:space="preserve">In identifying our strategic risks, we recognised the organisation needed to have strong project governance and project management frameworks in place.  We used this insight to establish our Project Governance team who are establishing an Investment Delivery </w:t>
      </w:r>
      <w:r w:rsidRPr="00D5126A">
        <w:lastRenderedPageBreak/>
        <w:t xml:space="preserve">Framework for Council.  This framework will ensure risks are managed in our significant portfolio of projects, and all projects are monitored and reported on regularly to Council committees. </w:t>
      </w:r>
    </w:p>
    <w:p w:rsidR="00107245" w:rsidRPr="00D5126A" w:rsidRDefault="00107245" w:rsidP="00107245">
      <w:pPr>
        <w:pStyle w:val="Heading5"/>
      </w:pPr>
      <w:r w:rsidRPr="00D5126A">
        <w:t>Insurance</w:t>
      </w:r>
    </w:p>
    <w:p w:rsidR="00107245" w:rsidRPr="00D5126A" w:rsidRDefault="00107245" w:rsidP="00107245">
      <w:r w:rsidRPr="00D5126A">
        <w:t>Insurance is an increasingly challenging area for Council in the current market.  This year, we have retained more risk in our portfolio rather than purchasing cover.  There are two reasons for this.  The first is cost.  Insurance premiums have increased to higher than they were after the Christchurch earthquake.  The second is capacity in the market.  Council has not been able to purchase cover at the same levels as before because the market does not have the capacity to carry that risk.  In terms of the risk Council retains, Council maintains a self-insurance fund, and is supported by a robust balance sheet.</w:t>
      </w:r>
      <w:r w:rsidRPr="00D5126A">
        <w:br w:type="page"/>
      </w:r>
    </w:p>
    <w:p w:rsidR="00107245" w:rsidRPr="00D5126A" w:rsidRDefault="00107245" w:rsidP="00107245">
      <w:pPr>
        <w:pStyle w:val="Heading2"/>
      </w:pPr>
      <w:bookmarkStart w:id="363" w:name="_Toc18922457"/>
      <w:bookmarkStart w:id="364" w:name="_Toc19085888"/>
      <w:bookmarkStart w:id="365" w:name="_Toc23758615"/>
      <w:bookmarkEnd w:id="358"/>
      <w:r w:rsidRPr="00D5126A">
        <w:lastRenderedPageBreak/>
        <w:t>Our Organisation</w:t>
      </w:r>
      <w:bookmarkEnd w:id="363"/>
      <w:bookmarkEnd w:id="364"/>
      <w:bookmarkEnd w:id="365"/>
    </w:p>
    <w:p w:rsidR="00107245" w:rsidRPr="00D5126A" w:rsidRDefault="00107245" w:rsidP="00107245">
      <w:r w:rsidRPr="00D5126A">
        <w:t>The Mayor and Councillors employ and delegate the management and delivery of Council services to the chief executive.</w:t>
      </w:r>
    </w:p>
    <w:p w:rsidR="00107245" w:rsidRPr="00D5126A" w:rsidRDefault="00107245" w:rsidP="00107245">
      <w:r w:rsidRPr="00D5126A">
        <w:t>The chief executive has the delegated authority to manage Wellington City Council under approved annual and long term plans, legislation, policies and guidelines. The chief executive is responsible for the efficient and effective implementation of the Council’s decisions within agreed parameters. The chief executive employs the Council’s 1803 staff to help with these responsibilities.</w:t>
      </w:r>
    </w:p>
    <w:p w:rsidR="00107245" w:rsidRPr="00D5126A" w:rsidRDefault="00107245" w:rsidP="00107245">
      <w:r w:rsidRPr="00D5126A">
        <w:t xml:space="preserve">The chief executive is also responsible for providing independent and impartial advice to the elected council before decisions are made. All advice is tested amongst council staff and reviewed by the Executive Leadership Team to ensure all realistic options have been considered and any risks have been identified and assessed before the advice is presented to the mayor and councillors for further consideration and decision. </w:t>
      </w:r>
    </w:p>
    <w:p w:rsidR="00107245" w:rsidRPr="00D5126A" w:rsidRDefault="00107245" w:rsidP="00107245">
      <w:r w:rsidRPr="00D5126A">
        <w:t xml:space="preserve">The chief executive </w:t>
      </w:r>
      <w:r w:rsidR="00837042">
        <w:t>ensures</w:t>
      </w:r>
      <w:r w:rsidRPr="00D5126A">
        <w:t xml:space="preserve"> the Council has effective systems to monitor financial and service level performance and recommend changes where appropriate.</w:t>
      </w:r>
    </w:p>
    <w:p w:rsidR="00107245" w:rsidRPr="00D5126A" w:rsidRDefault="00107245" w:rsidP="00107245">
      <w:pPr>
        <w:pStyle w:val="Heading3"/>
      </w:pPr>
      <w:bookmarkStart w:id="366" w:name="_Toc13211816"/>
      <w:bookmarkStart w:id="367" w:name="_Toc14178519"/>
      <w:bookmarkStart w:id="368" w:name="_Toc19085889"/>
      <w:r w:rsidRPr="00D5126A">
        <w:t>Executive team and structure</w:t>
      </w:r>
      <w:bookmarkEnd w:id="366"/>
      <w:bookmarkEnd w:id="367"/>
      <w:bookmarkEnd w:id="368"/>
    </w:p>
    <w:p w:rsidR="00107245" w:rsidRPr="00D5126A" w:rsidRDefault="00107245" w:rsidP="00107245">
      <w:r w:rsidRPr="00D5126A">
        <w:t>The chief executive’s performance is monitored by the Council’s Performance Review Committee.</w:t>
      </w:r>
    </w:p>
    <w:p w:rsidR="00107245" w:rsidRPr="00D5126A" w:rsidRDefault="00107245" w:rsidP="00107245">
      <w:r w:rsidRPr="00D5126A">
        <w:t xml:space="preserve">The committee is chaired by the </w:t>
      </w:r>
      <w:r w:rsidR="00837042">
        <w:t>Deputy Mayor</w:t>
      </w:r>
      <w:r w:rsidR="00837042" w:rsidRPr="00D5126A">
        <w:t xml:space="preserve"> </w:t>
      </w:r>
      <w:r w:rsidRPr="00D5126A">
        <w:t xml:space="preserve">and includes </w:t>
      </w:r>
      <w:r w:rsidR="00837042">
        <w:t xml:space="preserve">three </w:t>
      </w:r>
      <w:r w:rsidRPr="00D5126A">
        <w:t>councillors</w:t>
      </w:r>
      <w:r w:rsidR="00837042">
        <w:t xml:space="preserve"> and the Mayor</w:t>
      </w:r>
      <w:r w:rsidRPr="00D5126A">
        <w:t>. The Committee meets regularly to review the chief executive’s performance.</w:t>
      </w:r>
    </w:p>
    <w:p w:rsidR="00107245" w:rsidRPr="00D5126A" w:rsidRDefault="00107245" w:rsidP="00107245">
      <w:r w:rsidRPr="00D5126A">
        <w:t xml:space="preserve">Kevin Lavery has been Wellington City Council’s chief executive for six years. See Note 37 in the financial statements on page </w:t>
      </w:r>
      <w:r w:rsidR="00FC04C4">
        <w:t>309</w:t>
      </w:r>
      <w:r w:rsidRPr="00D5126A">
        <w:t xml:space="preserve"> for details of the chief executive’s remuneration package.</w:t>
      </w:r>
    </w:p>
    <w:p w:rsidR="00107245" w:rsidRPr="00D5126A" w:rsidRDefault="00107245" w:rsidP="00107245">
      <w:r w:rsidRPr="00D5126A">
        <w:t xml:space="preserve">The Executive Leadership Team (ELT) supports the chief executive in leading our staff. This year ELT was made up of the chief executive and </w:t>
      </w:r>
      <w:r w:rsidR="00837042">
        <w:t>five</w:t>
      </w:r>
      <w:r w:rsidR="00837042" w:rsidRPr="00D5126A">
        <w:t xml:space="preserve"> </w:t>
      </w:r>
      <w:r w:rsidRPr="00D5126A">
        <w:t xml:space="preserve">directors. Two directors left during the year and an acting director was appointed </w:t>
      </w:r>
      <w:r w:rsidR="00837042">
        <w:t>while</w:t>
      </w:r>
      <w:r w:rsidR="00837042" w:rsidRPr="00D5126A">
        <w:t xml:space="preserve"> </w:t>
      </w:r>
      <w:r w:rsidRPr="00D5126A">
        <w:t>the recruitment process</w:t>
      </w:r>
      <w:r w:rsidR="00837042">
        <w:t xml:space="preserve"> was carried out</w:t>
      </w:r>
      <w:r w:rsidRPr="00D5126A">
        <w:t>.</w:t>
      </w:r>
      <w:r w:rsidR="00837042">
        <w:t xml:space="preserve"> Two new directors started on July 1, 2019 and a new </w:t>
      </w:r>
      <w:r w:rsidR="00837042" w:rsidRPr="00837042">
        <w:t>Director</w:t>
      </w:r>
      <w:r w:rsidR="00837042">
        <w:t xml:space="preserve"> of</w:t>
      </w:r>
      <w:r w:rsidR="00837042" w:rsidRPr="00837042">
        <w:t xml:space="preserve"> Legal </w:t>
      </w:r>
      <w:r w:rsidR="00837042">
        <w:t>a</w:t>
      </w:r>
      <w:r w:rsidR="00837042" w:rsidRPr="00837042">
        <w:t>nd Risk</w:t>
      </w:r>
      <w:r w:rsidR="00837042">
        <w:t xml:space="preserve"> position was created, bringing the director total to six for the 2019/20 year.</w:t>
      </w:r>
    </w:p>
    <w:p w:rsidR="00107245" w:rsidRPr="00D5126A" w:rsidRDefault="00107245" w:rsidP="00107245">
      <w:r w:rsidRPr="00D5126A">
        <w:t>The ELT structure reflects the full breadth of council activities. This ensures that all points of view are considered before advice is given and operational decisions made.</w:t>
      </w:r>
    </w:p>
    <w:bookmarkEnd w:id="359"/>
    <w:bookmarkEnd w:id="360"/>
    <w:bookmarkEnd w:id="361"/>
    <w:p w:rsidR="00107245" w:rsidRPr="00D5126A" w:rsidRDefault="00107245" w:rsidP="00107245">
      <w:r w:rsidRPr="00D5126A">
        <w:br w:type="page"/>
      </w:r>
    </w:p>
    <w:p w:rsidR="00107245" w:rsidRPr="00D5126A" w:rsidRDefault="00107245" w:rsidP="00107245">
      <w:pPr>
        <w:pStyle w:val="Para047"/>
        <w:spacing w:line="240" w:lineRule="auto"/>
        <w:sectPr w:rsidR="00107245" w:rsidRPr="00D5126A" w:rsidSect="009C620A">
          <w:type w:val="continuous"/>
          <w:pgSz w:w="11905" w:h="16837"/>
          <w:pgMar w:top="1276" w:right="1440" w:bottom="1440" w:left="1440" w:header="720" w:footer="562" w:gutter="0"/>
          <w:cols w:space="720"/>
          <w:docGrid w:linePitch="360"/>
        </w:sectPr>
      </w:pPr>
    </w:p>
    <w:p w:rsidR="00107245" w:rsidRPr="00D5126A" w:rsidRDefault="00107245" w:rsidP="00107245">
      <w:pPr>
        <w:pStyle w:val="Para047"/>
        <w:spacing w:line="240" w:lineRule="auto"/>
      </w:pPr>
      <w:r w:rsidRPr="00D5126A">
        <w:rPr>
          <w:noProof/>
          <w:lang w:eastAsia="en-NZ"/>
        </w:rPr>
        <w:lastRenderedPageBreak/>
        <w:drawing>
          <wp:inline distT="0" distB="0" distL="0" distR="0" wp14:anchorId="1B28A4FC" wp14:editId="014E119F">
            <wp:extent cx="949036" cy="949036"/>
            <wp:effectExtent l="0" t="0" r="3810" b="3810"/>
            <wp:docPr id="25" name="exe-Kevin-RGB.jpg" descr="Chief Executive Kevin Lavery" title="Profile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e-Kevin-RGB.jpg" descr="Chief Executive Kevin Lavery"/>
                    <pic:cNvPicPr/>
                  </pic:nvPicPr>
                  <pic:blipFill>
                    <a:blip r:embed="rId51"/>
                    <a:stretch>
                      <a:fillRect/>
                    </a:stretch>
                  </pic:blipFill>
                  <pic:spPr>
                    <a:xfrm>
                      <a:off x="0" y="0"/>
                      <a:ext cx="949036" cy="949036"/>
                    </a:xfrm>
                    <a:prstGeom prst="rect">
                      <a:avLst/>
                    </a:prstGeom>
                  </pic:spPr>
                </pic:pic>
              </a:graphicData>
            </a:graphic>
          </wp:inline>
        </w:drawing>
      </w:r>
    </w:p>
    <w:p w:rsidR="00107245" w:rsidRPr="00D5126A" w:rsidRDefault="00107245" w:rsidP="00107245">
      <w:pPr>
        <w:pStyle w:val="Para068"/>
        <w:spacing w:before="240" w:line="240" w:lineRule="auto"/>
      </w:pPr>
      <w:r w:rsidRPr="00D5126A">
        <w:t>Kevin Lavery</w:t>
      </w:r>
    </w:p>
    <w:p w:rsidR="00107245" w:rsidRPr="00D5126A" w:rsidRDefault="00107245" w:rsidP="00107245">
      <w:pPr>
        <w:pStyle w:val="Para077"/>
        <w:spacing w:before="240" w:line="240" w:lineRule="auto"/>
      </w:pPr>
      <w:r w:rsidRPr="00D5126A">
        <w:t>Chief Executive</w:t>
      </w:r>
    </w:p>
    <w:p w:rsidR="00107245" w:rsidRPr="00D5126A" w:rsidRDefault="00107245" w:rsidP="00107245">
      <w:pPr>
        <w:spacing w:before="100" w:beforeAutospacing="1" w:after="100" w:afterAutospacing="1"/>
        <w:rPr>
          <w:lang w:eastAsia="en-NZ"/>
        </w:rPr>
      </w:pPr>
      <w:r w:rsidRPr="00D5126A">
        <w:rPr>
          <w:lang w:eastAsia="en-NZ"/>
        </w:rPr>
        <w:t>Kevin has a Bachelor of Arts degree from the University of Manchester and a PhD from the University of Kent at Canterbury.  He has also been a Harkness Fellow at the University of Southern California</w:t>
      </w:r>
      <w:r w:rsidRPr="00D5126A">
        <w:rPr>
          <w:color w:val="1F497D"/>
          <w:lang w:eastAsia="en-NZ"/>
        </w:rPr>
        <w:t xml:space="preserve">. </w:t>
      </w:r>
    </w:p>
    <w:p w:rsidR="00107245" w:rsidRPr="00D5126A" w:rsidRDefault="00107245" w:rsidP="00107245">
      <w:pPr>
        <w:spacing w:before="100" w:beforeAutospacing="1" w:after="100" w:afterAutospacing="1"/>
        <w:rPr>
          <w:lang w:eastAsia="en-NZ"/>
        </w:rPr>
      </w:pPr>
      <w:r w:rsidRPr="00D5126A">
        <w:rPr>
          <w:lang w:eastAsia="en-NZ"/>
        </w:rPr>
        <w:t xml:space="preserve">Kevin was appointed Chief Executive in March 2013 after holding a number of CE positions in the UK, where he was known for delivering successful economic growth projects. </w:t>
      </w:r>
    </w:p>
    <w:p w:rsidR="00107245" w:rsidRPr="00D5126A" w:rsidRDefault="00107245" w:rsidP="00107245">
      <w:pPr>
        <w:pStyle w:val="Para047"/>
        <w:spacing w:line="240" w:lineRule="auto"/>
        <w:rPr>
          <w:lang w:eastAsia="en-NZ"/>
        </w:rPr>
      </w:pPr>
      <w:r w:rsidRPr="00D5126A">
        <w:rPr>
          <w:lang w:eastAsia="en-NZ"/>
        </w:rPr>
        <w:t xml:space="preserve">Kevin has decades of local government experience as well as working for a range of private sector organisations. He was a consultant with Price Waterhouse Coopers, a managing director with BT and Enterprise PLC and CE roles at Agilisy’s and Serco. </w:t>
      </w:r>
    </w:p>
    <w:p w:rsidR="00107245" w:rsidRPr="00D5126A" w:rsidRDefault="00107245" w:rsidP="00107245">
      <w:pPr>
        <w:pStyle w:val="Para047"/>
        <w:spacing w:line="240" w:lineRule="auto"/>
      </w:pPr>
      <w:r w:rsidRPr="00D5126A">
        <w:rPr>
          <w:lang w:eastAsia="en-NZ"/>
        </w:rPr>
        <w:t xml:space="preserve">Over the past six years he has focused on urban growth, renewal and resilience in Wellington. His approach takes inspiration from the way transport investments have facilitated sustainable urban growth and development in some of the most successful cities around the world. </w:t>
      </w:r>
      <w:r w:rsidRPr="00D5126A">
        <w:rPr>
          <w:lang w:eastAsia="en-NZ"/>
        </w:rPr>
        <w:br w:type="column"/>
      </w:r>
      <w:r w:rsidRPr="00D5126A">
        <w:rPr>
          <w:noProof/>
          <w:lang w:eastAsia="en-NZ"/>
        </w:rPr>
        <w:lastRenderedPageBreak/>
        <w:drawing>
          <wp:inline distT="0" distB="0" distL="0" distR="0" wp14:anchorId="2B06AB79" wp14:editId="39ED08F7">
            <wp:extent cx="949036" cy="949036"/>
            <wp:effectExtent l="0" t="0" r="3810" b="3810"/>
            <wp:docPr id="26" name="exe-David-RGB.jpg" descr="Chief City Planner David Chick" title="Profile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e-David-RGB.jpg" descr="Chief City Planner David Chick"/>
                    <pic:cNvPicPr/>
                  </pic:nvPicPr>
                  <pic:blipFill>
                    <a:blip r:embed="rId52"/>
                    <a:stretch>
                      <a:fillRect/>
                    </a:stretch>
                  </pic:blipFill>
                  <pic:spPr>
                    <a:xfrm>
                      <a:off x="0" y="0"/>
                      <a:ext cx="949036" cy="949036"/>
                    </a:xfrm>
                    <a:prstGeom prst="rect">
                      <a:avLst/>
                    </a:prstGeom>
                  </pic:spPr>
                </pic:pic>
              </a:graphicData>
            </a:graphic>
          </wp:inline>
        </w:drawing>
      </w:r>
    </w:p>
    <w:p w:rsidR="00107245" w:rsidRPr="00D5126A" w:rsidRDefault="00107245" w:rsidP="00107245">
      <w:pPr>
        <w:pStyle w:val="Para068"/>
        <w:spacing w:before="240" w:line="240" w:lineRule="auto"/>
      </w:pPr>
      <w:r w:rsidRPr="00D5126A">
        <w:t>David Chick</w:t>
      </w:r>
    </w:p>
    <w:p w:rsidR="00107245" w:rsidRPr="00D5126A" w:rsidRDefault="00107245" w:rsidP="00107245">
      <w:pPr>
        <w:pStyle w:val="Para077"/>
        <w:spacing w:before="240" w:line="240" w:lineRule="auto"/>
      </w:pPr>
      <w:r w:rsidRPr="00D5126A">
        <w:t>Chief City Planner</w:t>
      </w:r>
    </w:p>
    <w:p w:rsidR="00107245" w:rsidRPr="00D5126A" w:rsidRDefault="00107245" w:rsidP="00107245">
      <w:pPr>
        <w:pStyle w:val="Para047"/>
        <w:spacing w:line="240" w:lineRule="auto"/>
        <w:rPr>
          <w:rStyle w:val="00Text"/>
          <w:rFonts w:ascii="Arial" w:hAnsi="Arial" w:cs="Arial"/>
          <w:b w:val="0"/>
        </w:rPr>
      </w:pPr>
      <w:r w:rsidRPr="00D5126A">
        <w:rPr>
          <w:rStyle w:val="00Text"/>
          <w:rFonts w:ascii="Arial" w:hAnsi="Arial" w:cs="Arial"/>
          <w:b w:val="0"/>
        </w:rPr>
        <w:t>David has a Bachelor of Environmental Design and a Graduate Diploma in Landscape Architecture.</w:t>
      </w:r>
    </w:p>
    <w:p w:rsidR="00107245" w:rsidRPr="00D5126A" w:rsidRDefault="00107245" w:rsidP="00107245">
      <w:pPr>
        <w:pStyle w:val="Para047"/>
        <w:spacing w:line="240" w:lineRule="auto"/>
        <w:rPr>
          <w:rStyle w:val="00Text"/>
          <w:rFonts w:ascii="Arial" w:hAnsi="Arial" w:cs="Arial"/>
          <w:b w:val="0"/>
        </w:rPr>
      </w:pPr>
      <w:r w:rsidRPr="00D5126A">
        <w:rPr>
          <w:rStyle w:val="00Text"/>
          <w:rFonts w:ascii="Arial" w:hAnsi="Arial" w:cs="Arial"/>
          <w:b w:val="0"/>
        </w:rPr>
        <w:t xml:space="preserve">He was appointed as Council’s Chief City Planner in April 2016. </w:t>
      </w:r>
    </w:p>
    <w:p w:rsidR="00107245" w:rsidRPr="00D5126A" w:rsidRDefault="00107245" w:rsidP="00107245">
      <w:pPr>
        <w:pStyle w:val="Para047"/>
        <w:spacing w:line="240" w:lineRule="auto"/>
        <w:rPr>
          <w:rStyle w:val="00Text"/>
          <w:rFonts w:ascii="Arial" w:hAnsi="Arial" w:cs="Arial"/>
          <w:b w:val="0"/>
        </w:rPr>
      </w:pPr>
      <w:r w:rsidRPr="00D5126A">
        <w:rPr>
          <w:rStyle w:val="00Text"/>
          <w:rFonts w:ascii="Arial" w:hAnsi="Arial" w:cs="Arial"/>
          <w:b w:val="0"/>
        </w:rPr>
        <w:t xml:space="preserve">David’s local government and integrated design experience spans almost 20 years throughout Australia and now New Zealand.  </w:t>
      </w:r>
    </w:p>
    <w:p w:rsidR="00107245" w:rsidRPr="00D5126A" w:rsidRDefault="00107245" w:rsidP="00107245">
      <w:pPr>
        <w:pStyle w:val="Para047"/>
        <w:spacing w:line="240" w:lineRule="auto"/>
        <w:rPr>
          <w:rStyle w:val="00Text"/>
          <w:rFonts w:ascii="Arial" w:hAnsi="Arial" w:cs="Arial"/>
          <w:b w:val="0"/>
        </w:rPr>
      </w:pPr>
      <w:r w:rsidRPr="00D5126A">
        <w:rPr>
          <w:rStyle w:val="00Text"/>
          <w:rFonts w:ascii="Arial" w:hAnsi="Arial" w:cs="Arial"/>
          <w:b w:val="0"/>
        </w:rPr>
        <w:t>His current responsibilities cover consenting and compliance, resilience and sustainability, transport and infrastructure, heritage and urban development, land use and transport planning, urban design and waste management.</w:t>
      </w:r>
    </w:p>
    <w:p w:rsidR="00107245" w:rsidRPr="00D5126A" w:rsidRDefault="00107245" w:rsidP="00107245">
      <w:pPr>
        <w:pStyle w:val="Para047"/>
        <w:spacing w:line="240" w:lineRule="auto"/>
        <w:rPr>
          <w:rStyle w:val="00Text"/>
          <w:rFonts w:ascii="Arial" w:hAnsi="Arial" w:cs="Arial"/>
          <w:b w:val="0"/>
        </w:rPr>
      </w:pPr>
      <w:r w:rsidRPr="00D5126A">
        <w:rPr>
          <w:rStyle w:val="00Text"/>
          <w:rFonts w:ascii="Arial" w:hAnsi="Arial" w:cs="Arial"/>
          <w:b w:val="0"/>
        </w:rPr>
        <w:t>David already considers himself a passionate Wellingtonian and thrives on the exciting challenges and opportunities facing us, especially the way we design and shape our city to respond to the future shocks and stresses; such as climate change, population growth and seismic risk in a way that enhances our way of life and celebrates the very things that make Wellington one of the world’s most liveable cities.</w:t>
      </w:r>
    </w:p>
    <w:p w:rsidR="00107245" w:rsidRPr="00D5126A" w:rsidRDefault="00107245" w:rsidP="00107245">
      <w:pPr>
        <w:pStyle w:val="Para047"/>
        <w:spacing w:line="240" w:lineRule="auto"/>
      </w:pPr>
      <w:r w:rsidRPr="00D5126A">
        <w:rPr>
          <w:rStyle w:val="00Text"/>
          <w:rFonts w:ascii="Arial" w:hAnsi="Arial" w:cs="Arial"/>
          <w:b w:val="0"/>
        </w:rPr>
        <w:br w:type="column"/>
      </w:r>
      <w:r w:rsidRPr="00D5126A">
        <w:rPr>
          <w:noProof/>
          <w:lang w:eastAsia="en-NZ"/>
        </w:rPr>
        <w:lastRenderedPageBreak/>
        <w:drawing>
          <wp:inline distT="0" distB="0" distL="0" distR="0" wp14:anchorId="557DC010" wp14:editId="543DFD41">
            <wp:extent cx="949036" cy="949036"/>
            <wp:effectExtent l="0" t="0" r="3810" b="3810"/>
            <wp:docPr id="27" name="exe-Barbara-RGB.jpg" descr="Chief Operations Officer Barbara McKerrow" title="Profile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e-Barbara-RGB.jpg" descr="Chief Operations Officer Barbara McKerrow"/>
                    <pic:cNvPicPr/>
                  </pic:nvPicPr>
                  <pic:blipFill>
                    <a:blip r:embed="rId53"/>
                    <a:stretch>
                      <a:fillRect/>
                    </a:stretch>
                  </pic:blipFill>
                  <pic:spPr>
                    <a:xfrm>
                      <a:off x="0" y="0"/>
                      <a:ext cx="949036" cy="949036"/>
                    </a:xfrm>
                    <a:prstGeom prst="rect">
                      <a:avLst/>
                    </a:prstGeom>
                  </pic:spPr>
                </pic:pic>
              </a:graphicData>
            </a:graphic>
          </wp:inline>
        </w:drawing>
      </w:r>
    </w:p>
    <w:p w:rsidR="00107245" w:rsidRPr="00D5126A" w:rsidRDefault="00107245" w:rsidP="00107245">
      <w:pPr>
        <w:pStyle w:val="Para068"/>
        <w:spacing w:before="240" w:line="240" w:lineRule="auto"/>
      </w:pPr>
      <w:r w:rsidRPr="00D5126A">
        <w:t>Barbara McKerrow</w:t>
      </w:r>
    </w:p>
    <w:p w:rsidR="00107245" w:rsidRPr="00D5126A" w:rsidRDefault="00107245" w:rsidP="00107245">
      <w:pPr>
        <w:pStyle w:val="Para077"/>
        <w:spacing w:before="240" w:line="240" w:lineRule="auto"/>
      </w:pPr>
      <w:r w:rsidRPr="00D5126A">
        <w:t>Chief Operations Officer</w:t>
      </w:r>
    </w:p>
    <w:p w:rsidR="00107245" w:rsidRPr="00D5126A" w:rsidRDefault="00107245" w:rsidP="00107245">
      <w:pPr>
        <w:rPr>
          <w:rStyle w:val="00Text"/>
          <w:rFonts w:ascii="Arial" w:hAnsi="Arial" w:cs="Arial"/>
          <w:b w:val="0"/>
        </w:rPr>
      </w:pPr>
      <w:r w:rsidRPr="00D5126A">
        <w:rPr>
          <w:rStyle w:val="00Text"/>
          <w:rFonts w:ascii="Arial" w:hAnsi="Arial" w:cs="Arial"/>
          <w:b w:val="0"/>
        </w:rPr>
        <w:t xml:space="preserve">Barbara is responsible for more than 1200 staff and a diverse range of services including city housing, parks, sport and recreation, libraries, community services, parking, ICT, digital, smart city, business transformation, customer service, and city arts and events. </w:t>
      </w:r>
    </w:p>
    <w:p w:rsidR="00107245" w:rsidRPr="00D5126A" w:rsidRDefault="00107245" w:rsidP="00107245">
      <w:pPr>
        <w:rPr>
          <w:rStyle w:val="00Text"/>
          <w:rFonts w:ascii="Arial" w:hAnsi="Arial" w:cs="Arial"/>
          <w:b w:val="0"/>
        </w:rPr>
      </w:pPr>
      <w:r w:rsidRPr="00D5126A">
        <w:rPr>
          <w:rStyle w:val="00Text"/>
          <w:rFonts w:ascii="Arial" w:hAnsi="Arial" w:cs="Arial"/>
          <w:b w:val="0"/>
        </w:rPr>
        <w:t xml:space="preserve">Barbara has been an executive leader in local government for more than twenty years and was previously the Chief Executive of New Plymouth District Council from 2008 to 2017. Barbara is committed to driving excellent customer service, and contributing to Wellington’s future as New Zealand’s creative city. </w:t>
      </w:r>
    </w:p>
    <w:p w:rsidR="00107245" w:rsidRPr="00D5126A" w:rsidRDefault="00107245" w:rsidP="00107245">
      <w:r w:rsidRPr="00D5126A">
        <w:rPr>
          <w:rStyle w:val="00Text"/>
          <w:rFonts w:ascii="Arial" w:hAnsi="Arial" w:cs="Arial"/>
          <w:b w:val="0"/>
        </w:rPr>
        <w:t>Barbara has served in several senior governance roles including a three year term as the national President of the Society of Local Government Managers (SOLGM).</w:t>
      </w:r>
      <w:r w:rsidRPr="00D5126A">
        <w:rPr>
          <w:rStyle w:val="00Text"/>
          <w:rFonts w:ascii="Arial" w:hAnsi="Arial" w:cs="Arial"/>
          <w:b w:val="0"/>
        </w:rPr>
        <w:br w:type="column"/>
      </w:r>
      <w:r w:rsidRPr="00D5126A">
        <w:rPr>
          <w:noProof/>
          <w:lang w:eastAsia="en-NZ"/>
        </w:rPr>
        <w:lastRenderedPageBreak/>
        <w:drawing>
          <wp:inline distT="0" distB="0" distL="0" distR="0" wp14:anchorId="69297F7A" wp14:editId="780C557E">
            <wp:extent cx="949036" cy="949036"/>
            <wp:effectExtent l="0" t="0" r="3810" b="3810"/>
            <wp:docPr id="28" name="exe-Kane-RGB.jpg" descr="Director Strategy and Governance Kane Patena" title="Profile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e-Kane-RGB.jpg" descr="Director Strategy and Governance Kane Patena"/>
                    <pic:cNvPicPr/>
                  </pic:nvPicPr>
                  <pic:blipFill>
                    <a:blip r:embed="rId54"/>
                    <a:stretch>
                      <a:fillRect/>
                    </a:stretch>
                  </pic:blipFill>
                  <pic:spPr>
                    <a:xfrm>
                      <a:off x="0" y="0"/>
                      <a:ext cx="949036" cy="949036"/>
                    </a:xfrm>
                    <a:prstGeom prst="rect">
                      <a:avLst/>
                    </a:prstGeom>
                  </pic:spPr>
                </pic:pic>
              </a:graphicData>
            </a:graphic>
          </wp:inline>
        </w:drawing>
      </w:r>
    </w:p>
    <w:p w:rsidR="00107245" w:rsidRPr="00D5126A" w:rsidRDefault="00107245" w:rsidP="00107245">
      <w:pPr>
        <w:pStyle w:val="Para068"/>
        <w:spacing w:before="240" w:line="240" w:lineRule="auto"/>
      </w:pPr>
      <w:r w:rsidRPr="00D5126A">
        <w:t xml:space="preserve">Kane Patena </w:t>
      </w:r>
    </w:p>
    <w:p w:rsidR="00107245" w:rsidRPr="00D5126A" w:rsidRDefault="00107245" w:rsidP="00107245">
      <w:pPr>
        <w:pStyle w:val="Para077"/>
        <w:spacing w:before="240" w:line="240" w:lineRule="auto"/>
      </w:pPr>
      <w:r w:rsidRPr="00D5126A">
        <w:t>Director Strategy and Governance</w:t>
      </w:r>
    </w:p>
    <w:p w:rsidR="00107245" w:rsidRPr="00D5126A" w:rsidRDefault="00107245" w:rsidP="00107245">
      <w:pPr>
        <w:spacing w:after="240"/>
      </w:pPr>
      <w:r w:rsidRPr="00D5126A">
        <w:t xml:space="preserve">Kane has a Bachelor of Law with honours from the University of Auckland. He also has a Graduate Certificate in Compliance Management from the GRC Institute. </w:t>
      </w:r>
    </w:p>
    <w:p w:rsidR="00107245" w:rsidRPr="00D5126A" w:rsidRDefault="00107245" w:rsidP="00107245">
      <w:pPr>
        <w:spacing w:after="240"/>
      </w:pPr>
      <w:r w:rsidRPr="00D5126A">
        <w:t xml:space="preserve">Kane Patena is responsible for managing the Mayor’s Office and elected member support, International Relations, Treaty Relations, Legal, Audit, Risk, Official Information and Privacy and complaints. </w:t>
      </w:r>
    </w:p>
    <w:p w:rsidR="00107245" w:rsidRPr="00D5126A" w:rsidRDefault="00107245" w:rsidP="00107245">
      <w:pPr>
        <w:spacing w:after="240"/>
      </w:pPr>
      <w:r w:rsidRPr="00D5126A">
        <w:t>Prior to joining the council he was a partner at law firm, Meredith Connell, and has worked in corporate and governance roles in both the private and public sectors.</w:t>
      </w:r>
    </w:p>
    <w:p w:rsidR="00107245" w:rsidRPr="00D5126A" w:rsidRDefault="00107245" w:rsidP="00107245">
      <w:pPr>
        <w:spacing w:after="240"/>
      </w:pPr>
      <w:r w:rsidRPr="00D5126A">
        <w:t xml:space="preserve">Kane left Council in April to be General Manager Regulatory at NZTA. </w:t>
      </w:r>
    </w:p>
    <w:p w:rsidR="00107245" w:rsidRPr="00D5126A" w:rsidRDefault="00107245" w:rsidP="00107245">
      <w:pPr>
        <w:spacing w:after="240"/>
      </w:pPr>
      <w:r w:rsidRPr="00D5126A">
        <w:t xml:space="preserve">Head of Legal and Risk Hayley Evans </w:t>
      </w:r>
      <w:proofErr w:type="gramStart"/>
      <w:r w:rsidRPr="00D5126A">
        <w:t>was</w:t>
      </w:r>
      <w:proofErr w:type="gramEnd"/>
      <w:r w:rsidRPr="00D5126A">
        <w:t xml:space="preserve"> appointed as acting director. </w:t>
      </w:r>
    </w:p>
    <w:p w:rsidR="00107245" w:rsidRPr="00D5126A" w:rsidRDefault="00107245" w:rsidP="00107245">
      <w:pPr>
        <w:spacing w:after="240"/>
      </w:pPr>
      <w:r w:rsidRPr="00D5126A">
        <w:t>Stephen McArthur was appointed the new director and started on July 1.</w:t>
      </w:r>
    </w:p>
    <w:p w:rsidR="00107245" w:rsidRPr="00D5126A" w:rsidRDefault="00107245" w:rsidP="00107245">
      <w:pPr>
        <w:spacing w:after="240"/>
      </w:pPr>
      <w:r w:rsidRPr="00D5126A">
        <w:br w:type="column"/>
      </w:r>
      <w:r w:rsidRPr="00D5126A">
        <w:rPr>
          <w:noProof/>
          <w:lang w:eastAsia="en-NZ"/>
        </w:rPr>
        <w:lastRenderedPageBreak/>
        <w:drawing>
          <wp:inline distT="0" distB="0" distL="0" distR="0" wp14:anchorId="0C38AB60" wp14:editId="75134B3A">
            <wp:extent cx="942109" cy="942109"/>
            <wp:effectExtent l="0" t="0" r="0" b="0"/>
            <wp:docPr id="29" name="exe-Andy-RGB.jpg" descr="Chief Financial Officer Andy Matthews" title="Profile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e-Andy-RGB.jpg" descr="Chief Financial Officer Andy Matthews"/>
                    <pic:cNvPicPr/>
                  </pic:nvPicPr>
                  <pic:blipFill>
                    <a:blip r:embed="rId55"/>
                    <a:stretch>
                      <a:fillRect/>
                    </a:stretch>
                  </pic:blipFill>
                  <pic:spPr>
                    <a:xfrm>
                      <a:off x="0" y="0"/>
                      <a:ext cx="942109" cy="942109"/>
                    </a:xfrm>
                    <a:prstGeom prst="rect">
                      <a:avLst/>
                    </a:prstGeom>
                  </pic:spPr>
                </pic:pic>
              </a:graphicData>
            </a:graphic>
          </wp:inline>
        </w:drawing>
      </w:r>
    </w:p>
    <w:p w:rsidR="00107245" w:rsidRPr="00D5126A" w:rsidRDefault="00107245" w:rsidP="00107245">
      <w:pPr>
        <w:pStyle w:val="Para068"/>
        <w:spacing w:before="240" w:line="240" w:lineRule="auto"/>
      </w:pPr>
      <w:r w:rsidRPr="00D5126A">
        <w:t>Andy Matthews</w:t>
      </w:r>
    </w:p>
    <w:p w:rsidR="00107245" w:rsidRPr="00D5126A" w:rsidRDefault="00107245" w:rsidP="00107245">
      <w:pPr>
        <w:pStyle w:val="Para077"/>
        <w:spacing w:before="240" w:line="240" w:lineRule="auto"/>
      </w:pPr>
      <w:r w:rsidRPr="00D5126A">
        <w:t>Chief Financial Officer</w:t>
      </w:r>
    </w:p>
    <w:p w:rsidR="00F12A29" w:rsidRPr="00D5126A" w:rsidRDefault="00F12A29" w:rsidP="00F12A29">
      <w:r w:rsidRPr="00D5126A">
        <w:t xml:space="preserve">Andy is Chief Financial Officer and Director Finance and Business which incorporates financial strategy and planning, treasury, procurement, financial performance, accounting and reporting along with management of Council’s corporate property. </w:t>
      </w:r>
    </w:p>
    <w:p w:rsidR="00F12A29" w:rsidRPr="00D5126A" w:rsidRDefault="00F12A29" w:rsidP="00F12A29">
      <w:r w:rsidRPr="00D5126A">
        <w:t xml:space="preserve">Originally from an agri-business background Andy has over 20 years of experience in local government finance and funding. He has been Chief Financial Officer at Wellington City Council for the past six years. </w:t>
      </w:r>
    </w:p>
    <w:p w:rsidR="00107245" w:rsidRPr="00D5126A" w:rsidRDefault="00107245" w:rsidP="00107245">
      <w:pPr>
        <w:pStyle w:val="Para044"/>
        <w:spacing w:before="240" w:line="240" w:lineRule="auto"/>
      </w:pPr>
      <w:r w:rsidRPr="00D5126A">
        <w:br w:type="column"/>
      </w:r>
      <w:r w:rsidRPr="00D5126A">
        <w:rPr>
          <w:noProof/>
          <w:lang w:eastAsia="en-NZ"/>
        </w:rPr>
        <w:lastRenderedPageBreak/>
        <w:drawing>
          <wp:inline distT="0" distB="0" distL="0" distR="0" wp14:anchorId="0039E99C" wp14:editId="48C3AA9C">
            <wp:extent cx="949036" cy="949036"/>
            <wp:effectExtent l="0" t="0" r="3810" b="3810"/>
            <wp:docPr id="30" name="exe-Nicola-RGB.jpg" descr="Director Human Resources Nicola Brown" title="Profile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e-Nicola-RGB.jpg" descr="Director Human Resources Nicola Brown"/>
                    <pic:cNvPicPr/>
                  </pic:nvPicPr>
                  <pic:blipFill>
                    <a:blip r:embed="rId56"/>
                    <a:stretch>
                      <a:fillRect/>
                    </a:stretch>
                  </pic:blipFill>
                  <pic:spPr>
                    <a:xfrm>
                      <a:off x="0" y="0"/>
                      <a:ext cx="949036" cy="949036"/>
                    </a:xfrm>
                    <a:prstGeom prst="rect">
                      <a:avLst/>
                    </a:prstGeom>
                  </pic:spPr>
                </pic:pic>
              </a:graphicData>
            </a:graphic>
          </wp:inline>
        </w:drawing>
      </w:r>
    </w:p>
    <w:p w:rsidR="00107245" w:rsidRPr="00D5126A" w:rsidRDefault="00107245" w:rsidP="00107245">
      <w:pPr>
        <w:pStyle w:val="Para068"/>
        <w:spacing w:before="240" w:line="240" w:lineRule="auto"/>
      </w:pPr>
      <w:r w:rsidRPr="00D5126A">
        <w:t>Nicola Brown</w:t>
      </w:r>
    </w:p>
    <w:p w:rsidR="00107245" w:rsidRPr="00D5126A" w:rsidRDefault="00107245" w:rsidP="00107245">
      <w:pPr>
        <w:pStyle w:val="Para077"/>
        <w:spacing w:before="240" w:line="240" w:lineRule="auto"/>
      </w:pPr>
      <w:r w:rsidRPr="00D5126A">
        <w:t>Director Human Resources</w:t>
      </w:r>
    </w:p>
    <w:p w:rsidR="00107245" w:rsidRPr="00D5126A" w:rsidRDefault="00107245" w:rsidP="00107245">
      <w:pPr>
        <w:rPr>
          <w:lang w:eastAsia="en-NZ"/>
        </w:rPr>
      </w:pPr>
      <w:bookmarkStart w:id="369" w:name="Our_staff"/>
      <w:bookmarkStart w:id="370" w:name="Our_staffWellington_s_economy_is_growing"/>
      <w:bookmarkStart w:id="371" w:name="_Toc528234291"/>
      <w:r w:rsidRPr="00D5126A">
        <w:rPr>
          <w:lang w:eastAsia="en-NZ"/>
        </w:rPr>
        <w:t xml:space="preserve">Nicola worked for Wellington City Council for 7 year and 5 months, first as a change manager and the as the Director of Human Resources. Her directorate covers Human Resources, Organisational Development, Health and Safety, Leading Organisational Change and SmartCouncil. </w:t>
      </w:r>
    </w:p>
    <w:p w:rsidR="00107245" w:rsidRPr="00D5126A" w:rsidRDefault="00107245" w:rsidP="00107245">
      <w:pPr>
        <w:rPr>
          <w:lang w:eastAsia="en-NZ"/>
        </w:rPr>
      </w:pPr>
      <w:r w:rsidRPr="00D5126A">
        <w:rPr>
          <w:lang w:eastAsia="en-NZ"/>
        </w:rPr>
        <w:t xml:space="preserve">Prior to Wellington City Council, Nicola spent six years as General Manager of Human Resources at KiwiRail at the time when it was merged with Toll, United Group Rail and Transfield Services. </w:t>
      </w:r>
    </w:p>
    <w:p w:rsidR="00107245" w:rsidRPr="00D5126A" w:rsidRDefault="00107245" w:rsidP="00107245">
      <w:pPr>
        <w:rPr>
          <w:lang w:eastAsia="en-NZ"/>
        </w:rPr>
      </w:pPr>
      <w:r w:rsidRPr="00D5126A">
        <w:rPr>
          <w:lang w:eastAsia="en-NZ"/>
        </w:rPr>
        <w:t>She is passionate about people capability and building a constructive work force culture and believes the future success of Local Government depends on its ability to attract, retain and build careers for everyone, but in particular young people.</w:t>
      </w:r>
    </w:p>
    <w:p w:rsidR="00107245" w:rsidRPr="00D5126A" w:rsidRDefault="00107245" w:rsidP="00107245">
      <w:r w:rsidRPr="00D5126A">
        <w:rPr>
          <w:lang w:eastAsia="en-NZ"/>
        </w:rPr>
        <w:t xml:space="preserve">Nicola moved to England in June 2019. New director Meredith </w:t>
      </w:r>
      <w:proofErr w:type="gramStart"/>
      <w:r w:rsidRPr="00D5126A">
        <w:rPr>
          <w:lang w:eastAsia="en-NZ"/>
        </w:rPr>
        <w:t>Blackler,</w:t>
      </w:r>
      <w:proofErr w:type="gramEnd"/>
      <w:r w:rsidRPr="00D5126A">
        <w:rPr>
          <w:lang w:eastAsia="en-NZ"/>
        </w:rPr>
        <w:t xml:space="preserve"> started on July 15.</w:t>
      </w:r>
    </w:p>
    <w:p w:rsidR="00107245" w:rsidRDefault="00107245" w:rsidP="00107245">
      <w:pPr>
        <w:pStyle w:val="Para044"/>
        <w:spacing w:before="240" w:line="240" w:lineRule="auto"/>
      </w:pPr>
    </w:p>
    <w:p w:rsidR="00CB3328" w:rsidRDefault="00CB3328" w:rsidP="00107245">
      <w:pPr>
        <w:pStyle w:val="Para044"/>
        <w:spacing w:before="240" w:line="240" w:lineRule="auto"/>
        <w:sectPr w:rsidR="00CB3328" w:rsidSect="009C620A">
          <w:type w:val="continuous"/>
          <w:pgSz w:w="11905" w:h="16837"/>
          <w:pgMar w:top="1276" w:right="1440" w:bottom="1440" w:left="1440" w:header="720" w:footer="562" w:gutter="0"/>
          <w:cols w:num="2" w:space="720"/>
          <w:docGrid w:linePitch="360"/>
        </w:sectPr>
      </w:pPr>
    </w:p>
    <w:p w:rsidR="00107245" w:rsidRPr="00D5126A" w:rsidRDefault="00107245" w:rsidP="00107245">
      <w:pPr>
        <w:pStyle w:val="Heading2"/>
        <w:rPr>
          <w:rFonts w:eastAsia="Times New Roman"/>
        </w:rPr>
      </w:pPr>
      <w:bookmarkStart w:id="372" w:name="_Toc16599563"/>
      <w:bookmarkStart w:id="373" w:name="_Toc18922458"/>
      <w:bookmarkStart w:id="374" w:name="_Toc19085891"/>
      <w:bookmarkStart w:id="375" w:name="_Toc23758616"/>
      <w:bookmarkEnd w:id="369"/>
      <w:bookmarkEnd w:id="370"/>
      <w:bookmarkEnd w:id="371"/>
      <w:r w:rsidRPr="00D5126A">
        <w:rPr>
          <w:rFonts w:eastAsia="Times New Roman"/>
        </w:rPr>
        <w:lastRenderedPageBreak/>
        <w:t>Our Staff</w:t>
      </w:r>
      <w:bookmarkEnd w:id="372"/>
      <w:bookmarkEnd w:id="373"/>
      <w:bookmarkEnd w:id="374"/>
      <w:bookmarkEnd w:id="375"/>
    </w:p>
    <w:p w:rsidR="00107245" w:rsidRPr="00D5126A" w:rsidRDefault="00107245" w:rsidP="00107245">
      <w:pPr>
        <w:pBdr>
          <w:top w:val="none" w:sz="8" w:space="0" w:color="auto"/>
          <w:left w:val="none" w:sz="8" w:space="0" w:color="auto"/>
          <w:bottom w:val="none" w:sz="8" w:space="0" w:color="auto"/>
          <w:right w:val="none" w:sz="8" w:space="0" w:color="auto"/>
        </w:pBdr>
        <w:spacing w:beforeLines="100" w:before="240" w:after="109" w:line="240" w:lineRule="auto"/>
        <w:rPr>
          <w:rFonts w:ascii="Arial" w:eastAsia="Times New Roman" w:hAnsi="Arial"/>
        </w:rPr>
      </w:pPr>
      <w:r w:rsidRPr="00D5126A">
        <w:rPr>
          <w:rFonts w:ascii="Arial" w:eastAsia="Times New Roman" w:hAnsi="Arial"/>
        </w:rPr>
        <w:t>Wellington’s economy is growing and unemployment is low. In this climate, staff retention becomes more challenging. The job market continues to have strong competition for qualified people.</w:t>
      </w:r>
    </w:p>
    <w:p w:rsidR="00107245" w:rsidRPr="00D5126A" w:rsidRDefault="00107245" w:rsidP="00107245">
      <w:pPr>
        <w:pBdr>
          <w:top w:val="none" w:sz="8" w:space="0" w:color="auto"/>
          <w:left w:val="none" w:sz="8" w:space="0" w:color="auto"/>
          <w:bottom w:val="none" w:sz="8" w:space="0" w:color="auto"/>
          <w:right w:val="none" w:sz="8" w:space="0" w:color="auto"/>
        </w:pBdr>
        <w:spacing w:beforeLines="100" w:before="240" w:after="109" w:line="240" w:lineRule="auto"/>
        <w:rPr>
          <w:rFonts w:ascii="Arial" w:eastAsia="Times New Roman" w:hAnsi="Arial"/>
        </w:rPr>
      </w:pPr>
      <w:r w:rsidRPr="00D5126A">
        <w:rPr>
          <w:rFonts w:ascii="Arial" w:eastAsia="Times New Roman" w:hAnsi="Arial"/>
        </w:rPr>
        <w:t xml:space="preserve">We’ve taken steps to make the Council a more attractive place to work and to support the retention of our people. We have implemented an organisation development programme focusing on building a constructive culture and this has been well subscribed to by all levels this year. </w:t>
      </w:r>
    </w:p>
    <w:p w:rsidR="00107245" w:rsidRPr="00D5126A" w:rsidRDefault="00107245" w:rsidP="00107245">
      <w:pPr>
        <w:pBdr>
          <w:top w:val="none" w:sz="8" w:space="0" w:color="auto"/>
          <w:left w:val="none" w:sz="8" w:space="0" w:color="auto"/>
          <w:bottom w:val="none" w:sz="8" w:space="0" w:color="auto"/>
          <w:right w:val="none" w:sz="8" w:space="0" w:color="auto"/>
        </w:pBdr>
        <w:spacing w:beforeLines="100" w:before="240" w:after="109" w:line="240" w:lineRule="auto"/>
        <w:rPr>
          <w:rFonts w:ascii="Arial" w:eastAsia="Times New Roman" w:hAnsi="Arial"/>
        </w:rPr>
      </w:pPr>
      <w:r w:rsidRPr="00D5126A">
        <w:rPr>
          <w:rFonts w:ascii="Arial" w:eastAsia="Times New Roman" w:hAnsi="Arial"/>
        </w:rPr>
        <w:t xml:space="preserve">In 2018/19 we implemented our new vision and values that were created with input from all staff. These are visible throughout the building and are being referenced in how we work. The engagement from staff in the values has been strong. These are highlighted on page </w:t>
      </w:r>
      <w:r w:rsidR="00FC04C4">
        <w:rPr>
          <w:rFonts w:ascii="Arial" w:eastAsia="Times New Roman" w:hAnsi="Arial"/>
        </w:rPr>
        <w:t>14</w:t>
      </w:r>
      <w:r w:rsidRPr="00D5126A">
        <w:rPr>
          <w:rFonts w:ascii="Arial" w:eastAsia="Times New Roman" w:hAnsi="Arial"/>
        </w:rPr>
        <w:t xml:space="preserve"> of this report.</w:t>
      </w:r>
    </w:p>
    <w:p w:rsidR="00107245" w:rsidRPr="00D5126A" w:rsidRDefault="00107245" w:rsidP="00107245">
      <w:pPr>
        <w:pBdr>
          <w:top w:val="none" w:sz="8" w:space="0" w:color="auto"/>
          <w:left w:val="none" w:sz="8" w:space="0" w:color="auto"/>
          <w:bottom w:val="none" w:sz="8" w:space="0" w:color="auto"/>
          <w:right w:val="none" w:sz="8" w:space="0" w:color="auto"/>
        </w:pBdr>
        <w:spacing w:beforeLines="100" w:before="240" w:after="109" w:line="240" w:lineRule="auto"/>
        <w:rPr>
          <w:rFonts w:ascii="Arial" w:eastAsia="Times New Roman" w:hAnsi="Arial"/>
        </w:rPr>
      </w:pPr>
      <w:r w:rsidRPr="00D5126A">
        <w:rPr>
          <w:rFonts w:ascii="Arial" w:eastAsia="Times New Roman" w:hAnsi="Arial"/>
        </w:rPr>
        <w:t>We have also implemented a diversity and inclusion programme. This acknowledges the rich mix of people who work at the Council and the positive impact this has on our work culture and productivity.</w:t>
      </w:r>
    </w:p>
    <w:p w:rsidR="00107245" w:rsidRPr="00D5126A" w:rsidRDefault="00107245" w:rsidP="00107245">
      <w:pPr>
        <w:pBdr>
          <w:top w:val="none" w:sz="8" w:space="0" w:color="auto"/>
          <w:left w:val="none" w:sz="8" w:space="0" w:color="auto"/>
          <w:bottom w:val="none" w:sz="8" w:space="0" w:color="auto"/>
          <w:right w:val="none" w:sz="8" w:space="0" w:color="auto"/>
        </w:pBdr>
        <w:spacing w:beforeLines="100" w:before="240" w:after="109" w:line="240" w:lineRule="auto"/>
        <w:rPr>
          <w:rFonts w:ascii="Arial" w:eastAsia="Times New Roman" w:hAnsi="Arial"/>
        </w:rPr>
      </w:pPr>
      <w:r w:rsidRPr="00D5126A">
        <w:rPr>
          <w:rFonts w:ascii="Arial" w:eastAsia="Times New Roman" w:hAnsi="Arial"/>
        </w:rPr>
        <w:t xml:space="preserve">The graphs in this section show the directorates our staff work in, their gender and type of employment. The division with the greatest number of staff is Customer and Community, which includes all our parks and recreation staff. </w:t>
      </w:r>
    </w:p>
    <w:p w:rsidR="00107245" w:rsidRPr="00D5126A" w:rsidRDefault="00107245" w:rsidP="00107245">
      <w:pPr>
        <w:pBdr>
          <w:top w:val="none" w:sz="8" w:space="0" w:color="auto"/>
          <w:left w:val="none" w:sz="8" w:space="0" w:color="auto"/>
          <w:bottom w:val="none" w:sz="8" w:space="0" w:color="auto"/>
          <w:right w:val="none" w:sz="8" w:space="0" w:color="auto"/>
        </w:pBdr>
        <w:spacing w:beforeLines="100" w:before="240" w:after="109" w:line="240" w:lineRule="auto"/>
        <w:rPr>
          <w:rFonts w:ascii="Arial" w:eastAsia="Times New Roman" w:hAnsi="Arial"/>
          <w:b/>
        </w:rPr>
      </w:pPr>
      <w:r w:rsidRPr="00D5126A">
        <w:rPr>
          <w:rFonts w:ascii="Arial" w:eastAsia="Times New Roman" w:hAnsi="Arial"/>
          <w:b/>
        </w:rPr>
        <w:t>Breakdown of staff numbers by directorate and contract type</w:t>
      </w:r>
    </w:p>
    <w:tbl>
      <w:tblPr>
        <w:tblW w:w="10312" w:type="dxa"/>
        <w:tblInd w:w="-176" w:type="dxa"/>
        <w:tblBorders>
          <w:top w:val="single" w:sz="4" w:space="0" w:color="auto"/>
          <w:bottom w:val="single" w:sz="4" w:space="0" w:color="31869B"/>
          <w:insideH w:val="single" w:sz="4" w:space="0" w:color="31869B"/>
          <w:insideV w:val="single" w:sz="4" w:space="0" w:color="31869B"/>
        </w:tblBorders>
        <w:tblLook w:val="04A0" w:firstRow="1" w:lastRow="0" w:firstColumn="1" w:lastColumn="0" w:noHBand="0" w:noVBand="1"/>
      </w:tblPr>
      <w:tblGrid>
        <w:gridCol w:w="1373"/>
        <w:gridCol w:w="993"/>
        <w:gridCol w:w="1275"/>
        <w:gridCol w:w="1134"/>
        <w:gridCol w:w="1113"/>
        <w:gridCol w:w="872"/>
        <w:gridCol w:w="1276"/>
        <w:gridCol w:w="1281"/>
        <w:gridCol w:w="995"/>
      </w:tblGrid>
      <w:tr w:rsidR="00107245" w:rsidRPr="00D5126A" w:rsidTr="009A2162">
        <w:trPr>
          <w:trHeight w:val="300"/>
        </w:trPr>
        <w:tc>
          <w:tcPr>
            <w:tcW w:w="1373" w:type="dxa"/>
            <w:vMerge w:val="restart"/>
            <w:tcBorders>
              <w:top w:val="single" w:sz="4" w:space="0" w:color="31869B"/>
              <w:left w:val="single" w:sz="4" w:space="0" w:color="FFFFFF" w:themeColor="background1"/>
              <w:bottom w:val="nil"/>
              <w:right w:val="single" w:sz="4" w:space="0" w:color="FFFFFF" w:themeColor="background1"/>
            </w:tcBorders>
            <w:shd w:val="clear" w:color="auto" w:fill="00B0F0"/>
            <w:vAlign w:val="center"/>
            <w:hideMark/>
          </w:tcPr>
          <w:p w:rsidR="00107245" w:rsidRPr="00D5126A" w:rsidRDefault="00107245" w:rsidP="008D1C20">
            <w:pPr>
              <w:spacing w:after="0" w:line="240" w:lineRule="auto"/>
              <w:jc w:val="center"/>
              <w:rPr>
                <w:rFonts w:ascii="Arial" w:eastAsia="Times New Roman" w:hAnsi="Arial" w:cs="Arial"/>
                <w:b/>
                <w:color w:val="FFFFFF"/>
                <w:sz w:val="20"/>
                <w:szCs w:val="20"/>
                <w:lang w:eastAsia="en-NZ"/>
              </w:rPr>
            </w:pPr>
            <w:r w:rsidRPr="00D5126A">
              <w:rPr>
                <w:rFonts w:ascii="Arial" w:eastAsia="Times New Roman" w:hAnsi="Arial" w:cs="Arial"/>
                <w:b/>
                <w:color w:val="FFFFFF"/>
                <w:sz w:val="20"/>
                <w:szCs w:val="20"/>
                <w:lang w:eastAsia="en-NZ"/>
              </w:rPr>
              <w:t>Directorate</w:t>
            </w:r>
          </w:p>
        </w:tc>
        <w:tc>
          <w:tcPr>
            <w:tcW w:w="2268" w:type="dxa"/>
            <w:gridSpan w:val="2"/>
            <w:tcBorders>
              <w:top w:val="single" w:sz="4" w:space="0" w:color="31869B"/>
              <w:left w:val="single" w:sz="4" w:space="0" w:color="FFFFFF" w:themeColor="background1"/>
              <w:bottom w:val="single" w:sz="4" w:space="0" w:color="FFFFFF" w:themeColor="background1"/>
              <w:right w:val="single" w:sz="4" w:space="0" w:color="FFFFFF" w:themeColor="background1"/>
            </w:tcBorders>
            <w:shd w:val="clear" w:color="auto" w:fill="00B0F0"/>
            <w:noWrap/>
            <w:vAlign w:val="bottom"/>
            <w:hideMark/>
          </w:tcPr>
          <w:p w:rsidR="00107245" w:rsidRPr="00D5126A" w:rsidRDefault="00107245" w:rsidP="008D1C20">
            <w:pPr>
              <w:spacing w:after="0" w:line="240" w:lineRule="auto"/>
              <w:jc w:val="center"/>
              <w:rPr>
                <w:rFonts w:ascii="Arial" w:eastAsia="Times New Roman" w:hAnsi="Arial" w:cs="Arial"/>
                <w:b/>
                <w:color w:val="FFFFFF"/>
                <w:sz w:val="20"/>
                <w:szCs w:val="20"/>
                <w:lang w:eastAsia="en-NZ"/>
              </w:rPr>
            </w:pPr>
            <w:r w:rsidRPr="00D5126A">
              <w:rPr>
                <w:rFonts w:ascii="Arial" w:eastAsia="Times New Roman" w:hAnsi="Arial" w:cs="Arial"/>
                <w:b/>
                <w:color w:val="FFFFFF"/>
                <w:sz w:val="20"/>
                <w:szCs w:val="20"/>
                <w:lang w:eastAsia="en-NZ"/>
              </w:rPr>
              <w:t>Permanent</w:t>
            </w:r>
          </w:p>
        </w:tc>
        <w:tc>
          <w:tcPr>
            <w:tcW w:w="2247" w:type="dxa"/>
            <w:gridSpan w:val="2"/>
            <w:tcBorders>
              <w:top w:val="single" w:sz="4" w:space="0" w:color="31869B"/>
              <w:left w:val="single" w:sz="4" w:space="0" w:color="FFFFFF" w:themeColor="background1"/>
              <w:bottom w:val="single" w:sz="4" w:space="0" w:color="FFFFFF" w:themeColor="background1"/>
              <w:right w:val="single" w:sz="4" w:space="0" w:color="FFFFFF" w:themeColor="background1"/>
            </w:tcBorders>
            <w:shd w:val="clear" w:color="auto" w:fill="00B0F0"/>
            <w:noWrap/>
            <w:vAlign w:val="bottom"/>
            <w:hideMark/>
          </w:tcPr>
          <w:p w:rsidR="00107245" w:rsidRPr="00D5126A" w:rsidRDefault="00107245" w:rsidP="008D1C20">
            <w:pPr>
              <w:spacing w:after="0" w:line="240" w:lineRule="auto"/>
              <w:jc w:val="center"/>
              <w:rPr>
                <w:rFonts w:ascii="Arial" w:eastAsia="Times New Roman" w:hAnsi="Arial" w:cs="Arial"/>
                <w:b/>
                <w:color w:val="FFFFFF"/>
                <w:sz w:val="20"/>
                <w:szCs w:val="20"/>
                <w:lang w:eastAsia="en-NZ"/>
              </w:rPr>
            </w:pPr>
            <w:r w:rsidRPr="00D5126A">
              <w:rPr>
                <w:rFonts w:ascii="Arial" w:eastAsia="Times New Roman" w:hAnsi="Arial" w:cs="Arial"/>
                <w:b/>
                <w:color w:val="FFFFFF"/>
                <w:sz w:val="20"/>
                <w:szCs w:val="20"/>
                <w:lang w:eastAsia="en-NZ"/>
              </w:rPr>
              <w:t>Fixed Term</w:t>
            </w:r>
          </w:p>
        </w:tc>
        <w:tc>
          <w:tcPr>
            <w:tcW w:w="872" w:type="dxa"/>
            <w:vMerge w:val="restart"/>
            <w:tcBorders>
              <w:top w:val="nil"/>
              <w:left w:val="single" w:sz="4" w:space="0" w:color="FFFFFF" w:themeColor="background1"/>
              <w:bottom w:val="nil"/>
              <w:right w:val="single" w:sz="4" w:space="0" w:color="FFFFFF" w:themeColor="background1"/>
            </w:tcBorders>
            <w:shd w:val="clear" w:color="auto" w:fill="00B0F0"/>
            <w:vAlign w:val="center"/>
            <w:hideMark/>
          </w:tcPr>
          <w:p w:rsidR="00107245" w:rsidRPr="00D5126A" w:rsidRDefault="00107245" w:rsidP="008D1C20">
            <w:pPr>
              <w:spacing w:after="0" w:line="240" w:lineRule="auto"/>
              <w:jc w:val="center"/>
              <w:rPr>
                <w:rFonts w:ascii="Arial" w:eastAsia="Times New Roman" w:hAnsi="Arial" w:cs="Arial"/>
                <w:b/>
                <w:color w:val="FFFFFF"/>
                <w:sz w:val="20"/>
                <w:szCs w:val="20"/>
                <w:lang w:eastAsia="en-NZ"/>
              </w:rPr>
            </w:pPr>
            <w:r w:rsidRPr="00D5126A">
              <w:rPr>
                <w:rFonts w:ascii="Arial" w:eastAsia="Times New Roman" w:hAnsi="Arial" w:cs="Arial"/>
                <w:b/>
                <w:color w:val="FFFFFF"/>
                <w:sz w:val="20"/>
                <w:szCs w:val="20"/>
                <w:lang w:eastAsia="en-NZ"/>
              </w:rPr>
              <w:t>Casual</w:t>
            </w:r>
          </w:p>
        </w:tc>
        <w:tc>
          <w:tcPr>
            <w:tcW w:w="1276" w:type="dxa"/>
            <w:vMerge w:val="restart"/>
            <w:tcBorders>
              <w:top w:val="single" w:sz="4" w:space="0" w:color="31869B"/>
              <w:left w:val="single" w:sz="4" w:space="0" w:color="FFFFFF" w:themeColor="background1"/>
              <w:bottom w:val="nil"/>
              <w:right w:val="single" w:sz="4" w:space="0" w:color="FFFFFF" w:themeColor="background1"/>
            </w:tcBorders>
            <w:shd w:val="clear" w:color="auto" w:fill="00B0F0"/>
            <w:vAlign w:val="center"/>
            <w:hideMark/>
          </w:tcPr>
          <w:p w:rsidR="00107245" w:rsidRPr="00D5126A" w:rsidRDefault="00107245" w:rsidP="008D1C20">
            <w:pPr>
              <w:spacing w:after="0" w:line="240" w:lineRule="auto"/>
              <w:jc w:val="center"/>
              <w:rPr>
                <w:rFonts w:ascii="Arial" w:eastAsia="Times New Roman" w:hAnsi="Arial" w:cs="Arial"/>
                <w:b/>
                <w:color w:val="FFFFFF"/>
                <w:sz w:val="20"/>
                <w:szCs w:val="20"/>
                <w:lang w:eastAsia="en-NZ"/>
              </w:rPr>
            </w:pPr>
            <w:r w:rsidRPr="00D5126A">
              <w:rPr>
                <w:rFonts w:ascii="Arial" w:eastAsia="Times New Roman" w:hAnsi="Arial" w:cs="Arial"/>
                <w:b/>
                <w:color w:val="FFFFFF"/>
                <w:sz w:val="20"/>
                <w:szCs w:val="20"/>
                <w:lang w:eastAsia="en-NZ"/>
              </w:rPr>
              <w:t>Contractor</w:t>
            </w:r>
          </w:p>
        </w:tc>
        <w:tc>
          <w:tcPr>
            <w:tcW w:w="1281" w:type="dxa"/>
            <w:vMerge w:val="restart"/>
            <w:tcBorders>
              <w:top w:val="single" w:sz="4" w:space="0" w:color="31869B"/>
              <w:left w:val="single" w:sz="4" w:space="0" w:color="FFFFFF" w:themeColor="background1"/>
              <w:bottom w:val="nil"/>
              <w:right w:val="single" w:sz="4" w:space="0" w:color="FFFFFF" w:themeColor="background1"/>
            </w:tcBorders>
            <w:shd w:val="clear" w:color="auto" w:fill="00B0F0"/>
            <w:vAlign w:val="center"/>
            <w:hideMark/>
          </w:tcPr>
          <w:p w:rsidR="00107245" w:rsidRPr="00D5126A" w:rsidRDefault="00107245" w:rsidP="008D1C20">
            <w:pPr>
              <w:spacing w:after="0" w:line="240" w:lineRule="auto"/>
              <w:jc w:val="center"/>
              <w:rPr>
                <w:rFonts w:ascii="Arial" w:eastAsia="Times New Roman" w:hAnsi="Arial" w:cs="Arial"/>
                <w:b/>
                <w:color w:val="FFFFFF"/>
                <w:sz w:val="20"/>
                <w:szCs w:val="20"/>
                <w:lang w:eastAsia="en-NZ"/>
              </w:rPr>
            </w:pPr>
            <w:r w:rsidRPr="00D5126A">
              <w:rPr>
                <w:rFonts w:ascii="Arial" w:eastAsia="Times New Roman" w:hAnsi="Arial" w:cs="Arial"/>
                <w:b/>
                <w:color w:val="FFFFFF"/>
                <w:sz w:val="20"/>
                <w:szCs w:val="20"/>
                <w:lang w:eastAsia="en-NZ"/>
              </w:rPr>
              <w:t>Headcount</w:t>
            </w:r>
          </w:p>
        </w:tc>
        <w:tc>
          <w:tcPr>
            <w:tcW w:w="995" w:type="dxa"/>
            <w:vMerge w:val="restart"/>
            <w:tcBorders>
              <w:top w:val="single" w:sz="4" w:space="0" w:color="31869B"/>
              <w:left w:val="single" w:sz="4" w:space="0" w:color="FFFFFF" w:themeColor="background1"/>
              <w:bottom w:val="nil"/>
              <w:right w:val="nil"/>
            </w:tcBorders>
            <w:shd w:val="clear" w:color="auto" w:fill="00B0F0"/>
            <w:vAlign w:val="center"/>
            <w:hideMark/>
          </w:tcPr>
          <w:p w:rsidR="00107245" w:rsidRPr="00D5126A" w:rsidRDefault="00107245" w:rsidP="008D1C20">
            <w:pPr>
              <w:spacing w:after="0" w:line="240" w:lineRule="auto"/>
              <w:jc w:val="center"/>
              <w:rPr>
                <w:rFonts w:ascii="Arial" w:eastAsia="Times New Roman" w:hAnsi="Arial" w:cs="Arial"/>
                <w:b/>
                <w:color w:val="FFFFFF"/>
                <w:sz w:val="20"/>
                <w:szCs w:val="20"/>
                <w:lang w:eastAsia="en-NZ"/>
              </w:rPr>
            </w:pPr>
            <w:r w:rsidRPr="00D5126A">
              <w:rPr>
                <w:rFonts w:ascii="Arial" w:eastAsia="Times New Roman" w:hAnsi="Arial" w:cs="Arial"/>
                <w:b/>
                <w:color w:val="FFFFFF"/>
                <w:sz w:val="20"/>
                <w:szCs w:val="20"/>
                <w:lang w:eastAsia="en-NZ"/>
              </w:rPr>
              <w:t>FTE</w:t>
            </w:r>
          </w:p>
        </w:tc>
      </w:tr>
      <w:tr w:rsidR="00107245" w:rsidRPr="00D5126A" w:rsidTr="009A2162">
        <w:trPr>
          <w:trHeight w:val="300"/>
        </w:trPr>
        <w:tc>
          <w:tcPr>
            <w:tcW w:w="1373" w:type="dxa"/>
            <w:vMerge/>
            <w:tcBorders>
              <w:top w:val="nil"/>
              <w:right w:val="single" w:sz="4" w:space="0" w:color="FFFFFF" w:themeColor="background1"/>
            </w:tcBorders>
            <w:vAlign w:val="center"/>
            <w:hideMark/>
          </w:tcPr>
          <w:p w:rsidR="00107245" w:rsidRPr="00D5126A" w:rsidRDefault="00107245" w:rsidP="008D1C20">
            <w:pPr>
              <w:spacing w:after="0" w:line="240" w:lineRule="auto"/>
              <w:rPr>
                <w:rFonts w:ascii="Arial" w:eastAsia="Times New Roman" w:hAnsi="Arial" w:cs="Arial"/>
                <w:color w:val="000000"/>
                <w:lang w:eastAsia="en-NZ"/>
              </w:rPr>
            </w:pPr>
          </w:p>
        </w:tc>
        <w:tc>
          <w:tcPr>
            <w:tcW w:w="993" w:type="dxa"/>
            <w:tcBorders>
              <w:top w:val="single" w:sz="4" w:space="0" w:color="FFFFFF" w:themeColor="background1"/>
              <w:left w:val="single" w:sz="4" w:space="0" w:color="FFFFFF" w:themeColor="background1"/>
              <w:right w:val="single" w:sz="4" w:space="0" w:color="FFFFFF" w:themeColor="background1"/>
            </w:tcBorders>
            <w:shd w:val="clear" w:color="auto" w:fill="00B0F0"/>
            <w:noWrap/>
            <w:vAlign w:val="bottom"/>
            <w:hideMark/>
          </w:tcPr>
          <w:p w:rsidR="00107245" w:rsidRPr="00D5126A" w:rsidRDefault="00107245" w:rsidP="008D1C20">
            <w:pPr>
              <w:spacing w:after="0" w:line="240" w:lineRule="auto"/>
              <w:jc w:val="center"/>
              <w:rPr>
                <w:rFonts w:ascii="Arial" w:eastAsia="Times New Roman" w:hAnsi="Arial" w:cs="Arial"/>
                <w:color w:val="FFFFFF"/>
                <w:lang w:eastAsia="en-NZ"/>
              </w:rPr>
            </w:pPr>
            <w:r w:rsidRPr="00D5126A">
              <w:rPr>
                <w:rFonts w:ascii="Arial" w:eastAsia="Times New Roman" w:hAnsi="Arial" w:cs="Arial"/>
                <w:color w:val="FFFFFF"/>
                <w:lang w:eastAsia="en-NZ"/>
              </w:rPr>
              <w:t>Full-Time</w:t>
            </w:r>
          </w:p>
        </w:tc>
        <w:tc>
          <w:tcPr>
            <w:tcW w:w="1275" w:type="dxa"/>
            <w:tcBorders>
              <w:top w:val="single" w:sz="4" w:space="0" w:color="FFFFFF" w:themeColor="background1"/>
              <w:left w:val="single" w:sz="4" w:space="0" w:color="FFFFFF" w:themeColor="background1"/>
              <w:right w:val="single" w:sz="4" w:space="0" w:color="FFFFFF" w:themeColor="background1"/>
            </w:tcBorders>
            <w:shd w:val="clear" w:color="auto" w:fill="00B0F0"/>
            <w:noWrap/>
            <w:vAlign w:val="bottom"/>
            <w:hideMark/>
          </w:tcPr>
          <w:p w:rsidR="00107245" w:rsidRPr="00D5126A" w:rsidRDefault="00107245" w:rsidP="008D1C20">
            <w:pPr>
              <w:spacing w:after="0" w:line="240" w:lineRule="auto"/>
              <w:jc w:val="center"/>
              <w:rPr>
                <w:rFonts w:ascii="Arial" w:eastAsia="Times New Roman" w:hAnsi="Arial" w:cs="Arial"/>
                <w:color w:val="FFFFFF"/>
                <w:lang w:eastAsia="en-NZ"/>
              </w:rPr>
            </w:pPr>
            <w:r w:rsidRPr="00D5126A">
              <w:rPr>
                <w:rFonts w:ascii="Arial" w:eastAsia="Times New Roman" w:hAnsi="Arial" w:cs="Arial"/>
                <w:color w:val="FFFFFF"/>
                <w:lang w:eastAsia="en-NZ"/>
              </w:rPr>
              <w:t>Part-Time</w:t>
            </w:r>
          </w:p>
        </w:tc>
        <w:tc>
          <w:tcPr>
            <w:tcW w:w="1134" w:type="dxa"/>
            <w:tcBorders>
              <w:top w:val="single" w:sz="4" w:space="0" w:color="FFFFFF" w:themeColor="background1"/>
              <w:left w:val="single" w:sz="4" w:space="0" w:color="FFFFFF" w:themeColor="background1"/>
              <w:right w:val="single" w:sz="4" w:space="0" w:color="FFFFFF" w:themeColor="background1"/>
            </w:tcBorders>
            <w:shd w:val="clear" w:color="auto" w:fill="00B0F0"/>
            <w:noWrap/>
            <w:vAlign w:val="bottom"/>
            <w:hideMark/>
          </w:tcPr>
          <w:p w:rsidR="00107245" w:rsidRPr="00D5126A" w:rsidRDefault="00107245" w:rsidP="008D1C20">
            <w:pPr>
              <w:spacing w:after="0" w:line="240" w:lineRule="auto"/>
              <w:jc w:val="center"/>
              <w:rPr>
                <w:rFonts w:ascii="Arial" w:eastAsia="Times New Roman" w:hAnsi="Arial" w:cs="Arial"/>
                <w:color w:val="FFFFFF"/>
                <w:lang w:eastAsia="en-NZ"/>
              </w:rPr>
            </w:pPr>
            <w:r w:rsidRPr="00D5126A">
              <w:rPr>
                <w:rFonts w:ascii="Arial" w:eastAsia="Times New Roman" w:hAnsi="Arial" w:cs="Arial"/>
                <w:color w:val="FFFFFF"/>
                <w:lang w:eastAsia="en-NZ"/>
              </w:rPr>
              <w:t>Full-Time</w:t>
            </w:r>
          </w:p>
        </w:tc>
        <w:tc>
          <w:tcPr>
            <w:tcW w:w="1113" w:type="dxa"/>
            <w:tcBorders>
              <w:top w:val="single" w:sz="4" w:space="0" w:color="FFFFFF" w:themeColor="background1"/>
              <w:left w:val="single" w:sz="4" w:space="0" w:color="FFFFFF" w:themeColor="background1"/>
              <w:right w:val="single" w:sz="4" w:space="0" w:color="FFFFFF" w:themeColor="background1"/>
            </w:tcBorders>
            <w:shd w:val="clear" w:color="auto" w:fill="00B0F0"/>
            <w:noWrap/>
            <w:vAlign w:val="bottom"/>
            <w:hideMark/>
          </w:tcPr>
          <w:p w:rsidR="00107245" w:rsidRPr="00D5126A" w:rsidRDefault="00107245" w:rsidP="008D1C20">
            <w:pPr>
              <w:spacing w:after="0" w:line="240" w:lineRule="auto"/>
              <w:jc w:val="center"/>
              <w:rPr>
                <w:rFonts w:ascii="Arial" w:eastAsia="Times New Roman" w:hAnsi="Arial" w:cs="Arial"/>
                <w:color w:val="FFFFFF"/>
                <w:lang w:eastAsia="en-NZ"/>
              </w:rPr>
            </w:pPr>
            <w:r w:rsidRPr="00D5126A">
              <w:rPr>
                <w:rFonts w:ascii="Arial" w:eastAsia="Times New Roman" w:hAnsi="Arial" w:cs="Arial"/>
                <w:color w:val="FFFFFF"/>
                <w:lang w:eastAsia="en-NZ"/>
              </w:rPr>
              <w:t>Part-Time</w:t>
            </w:r>
          </w:p>
        </w:tc>
        <w:tc>
          <w:tcPr>
            <w:tcW w:w="872" w:type="dxa"/>
            <w:vMerge/>
            <w:tcBorders>
              <w:top w:val="single" w:sz="4" w:space="0" w:color="00B0F0"/>
              <w:left w:val="single" w:sz="4" w:space="0" w:color="FFFFFF" w:themeColor="background1"/>
              <w:bottom w:val="nil"/>
              <w:right w:val="nil"/>
            </w:tcBorders>
            <w:vAlign w:val="center"/>
            <w:hideMark/>
          </w:tcPr>
          <w:p w:rsidR="00107245" w:rsidRPr="00D5126A" w:rsidRDefault="00107245" w:rsidP="008D1C20">
            <w:pPr>
              <w:spacing w:after="0" w:line="240" w:lineRule="auto"/>
              <w:rPr>
                <w:rFonts w:ascii="Arial" w:eastAsia="Times New Roman" w:hAnsi="Arial" w:cs="Arial"/>
                <w:color w:val="000000"/>
                <w:lang w:eastAsia="en-NZ"/>
              </w:rPr>
            </w:pPr>
          </w:p>
        </w:tc>
        <w:tc>
          <w:tcPr>
            <w:tcW w:w="1276" w:type="dxa"/>
            <w:vMerge/>
            <w:tcBorders>
              <w:top w:val="single" w:sz="4" w:space="0" w:color="00B0F0"/>
              <w:left w:val="nil"/>
              <w:bottom w:val="nil"/>
              <w:right w:val="single" w:sz="4" w:space="0" w:color="FFFFFF" w:themeColor="background1"/>
            </w:tcBorders>
            <w:vAlign w:val="center"/>
            <w:hideMark/>
          </w:tcPr>
          <w:p w:rsidR="00107245" w:rsidRPr="00D5126A" w:rsidRDefault="00107245" w:rsidP="008D1C20">
            <w:pPr>
              <w:spacing w:after="0" w:line="240" w:lineRule="auto"/>
              <w:rPr>
                <w:rFonts w:ascii="Arial" w:eastAsia="Times New Roman" w:hAnsi="Arial" w:cs="Arial"/>
                <w:color w:val="000000"/>
                <w:lang w:eastAsia="en-NZ"/>
              </w:rPr>
            </w:pPr>
          </w:p>
        </w:tc>
        <w:tc>
          <w:tcPr>
            <w:tcW w:w="1281" w:type="dxa"/>
            <w:vMerge/>
            <w:tcBorders>
              <w:top w:val="single" w:sz="4" w:space="0" w:color="31869B"/>
              <w:left w:val="single" w:sz="4" w:space="0" w:color="FFFFFF" w:themeColor="background1"/>
              <w:bottom w:val="nil"/>
              <w:right w:val="single" w:sz="4" w:space="0" w:color="FFFFFF" w:themeColor="background1"/>
            </w:tcBorders>
            <w:vAlign w:val="center"/>
            <w:hideMark/>
          </w:tcPr>
          <w:p w:rsidR="00107245" w:rsidRPr="00D5126A" w:rsidRDefault="00107245" w:rsidP="008D1C20">
            <w:pPr>
              <w:spacing w:after="0" w:line="240" w:lineRule="auto"/>
              <w:rPr>
                <w:rFonts w:ascii="Arial" w:eastAsia="Times New Roman" w:hAnsi="Arial" w:cs="Arial"/>
                <w:color w:val="000000"/>
                <w:lang w:eastAsia="en-NZ"/>
              </w:rPr>
            </w:pPr>
          </w:p>
        </w:tc>
        <w:tc>
          <w:tcPr>
            <w:tcW w:w="995" w:type="dxa"/>
            <w:vMerge/>
            <w:tcBorders>
              <w:top w:val="single" w:sz="4" w:space="0" w:color="31869B"/>
              <w:left w:val="single" w:sz="4" w:space="0" w:color="FFFFFF" w:themeColor="background1"/>
              <w:bottom w:val="nil"/>
              <w:right w:val="single" w:sz="4" w:space="0" w:color="FFFFFF" w:themeColor="background1"/>
            </w:tcBorders>
            <w:vAlign w:val="center"/>
            <w:hideMark/>
          </w:tcPr>
          <w:p w:rsidR="00107245" w:rsidRPr="00D5126A" w:rsidRDefault="00107245" w:rsidP="008D1C20">
            <w:pPr>
              <w:spacing w:after="0" w:line="240" w:lineRule="auto"/>
              <w:rPr>
                <w:rFonts w:ascii="Arial" w:eastAsia="Times New Roman" w:hAnsi="Arial" w:cs="Arial"/>
                <w:color w:val="000000"/>
                <w:lang w:eastAsia="en-NZ"/>
              </w:rPr>
            </w:pPr>
          </w:p>
        </w:tc>
      </w:tr>
      <w:tr w:rsidR="00107245" w:rsidRPr="00D5126A" w:rsidTr="009A2162">
        <w:trPr>
          <w:trHeight w:val="300"/>
        </w:trPr>
        <w:tc>
          <w:tcPr>
            <w:tcW w:w="1373" w:type="dxa"/>
            <w:shd w:val="clear" w:color="auto" w:fill="auto"/>
            <w:noWrap/>
            <w:vAlign w:val="bottom"/>
            <w:hideMark/>
          </w:tcPr>
          <w:p w:rsidR="00107245" w:rsidRPr="00D5126A" w:rsidRDefault="00107245" w:rsidP="008D1C20">
            <w:pPr>
              <w:spacing w:after="0" w:line="240" w:lineRule="auto"/>
              <w:rPr>
                <w:rFonts w:ascii="Arial" w:eastAsia="Times New Roman" w:hAnsi="Arial" w:cs="Arial"/>
                <w:b/>
                <w:color w:val="000000"/>
                <w:sz w:val="20"/>
                <w:lang w:eastAsia="en-NZ"/>
              </w:rPr>
            </w:pPr>
            <w:r w:rsidRPr="00D5126A">
              <w:rPr>
                <w:rFonts w:ascii="Arial" w:eastAsia="Times New Roman" w:hAnsi="Arial" w:cs="Arial"/>
                <w:b/>
                <w:color w:val="000000"/>
                <w:sz w:val="20"/>
                <w:lang w:eastAsia="en-NZ"/>
              </w:rPr>
              <w:t>City Planning</w:t>
            </w:r>
          </w:p>
        </w:tc>
        <w:tc>
          <w:tcPr>
            <w:tcW w:w="993" w:type="dxa"/>
            <w:shd w:val="clear" w:color="auto" w:fill="auto"/>
            <w:noWrap/>
            <w:vAlign w:val="center"/>
            <w:hideMark/>
          </w:tcPr>
          <w:p w:rsidR="00107245" w:rsidRPr="00D5126A" w:rsidRDefault="00107245" w:rsidP="008D1C20">
            <w:pPr>
              <w:spacing w:after="0" w:line="240" w:lineRule="auto"/>
              <w:jc w:val="center"/>
              <w:rPr>
                <w:rFonts w:ascii="Arial" w:eastAsia="Times New Roman" w:hAnsi="Arial" w:cs="Arial"/>
                <w:color w:val="000000"/>
                <w:sz w:val="20"/>
                <w:lang w:eastAsia="en-NZ"/>
              </w:rPr>
            </w:pPr>
            <w:r w:rsidRPr="00D5126A">
              <w:rPr>
                <w:rFonts w:ascii="Arial" w:eastAsia="Times New Roman" w:hAnsi="Arial" w:cs="Arial"/>
                <w:color w:val="000000"/>
                <w:sz w:val="20"/>
                <w:lang w:eastAsia="en-NZ"/>
              </w:rPr>
              <w:t>267</w:t>
            </w:r>
          </w:p>
        </w:tc>
        <w:tc>
          <w:tcPr>
            <w:tcW w:w="1275" w:type="dxa"/>
            <w:shd w:val="clear" w:color="auto" w:fill="auto"/>
            <w:noWrap/>
            <w:vAlign w:val="center"/>
            <w:hideMark/>
          </w:tcPr>
          <w:p w:rsidR="00107245" w:rsidRPr="00D5126A" w:rsidRDefault="00107245" w:rsidP="008D1C20">
            <w:pPr>
              <w:spacing w:after="0" w:line="240" w:lineRule="auto"/>
              <w:jc w:val="center"/>
              <w:rPr>
                <w:rFonts w:ascii="Arial" w:eastAsia="Times New Roman" w:hAnsi="Arial" w:cs="Arial"/>
                <w:color w:val="000000"/>
                <w:sz w:val="20"/>
                <w:lang w:eastAsia="en-NZ"/>
              </w:rPr>
            </w:pPr>
            <w:r w:rsidRPr="00D5126A">
              <w:rPr>
                <w:rFonts w:ascii="Arial" w:eastAsia="Times New Roman" w:hAnsi="Arial" w:cs="Arial"/>
                <w:color w:val="000000"/>
                <w:sz w:val="20"/>
                <w:lang w:eastAsia="en-NZ"/>
              </w:rPr>
              <w:t>26</w:t>
            </w:r>
          </w:p>
        </w:tc>
        <w:tc>
          <w:tcPr>
            <w:tcW w:w="1134" w:type="dxa"/>
            <w:shd w:val="clear" w:color="auto" w:fill="auto"/>
            <w:noWrap/>
            <w:vAlign w:val="center"/>
            <w:hideMark/>
          </w:tcPr>
          <w:p w:rsidR="00107245" w:rsidRPr="00D5126A" w:rsidRDefault="00107245" w:rsidP="008D1C20">
            <w:pPr>
              <w:spacing w:after="0" w:line="240" w:lineRule="auto"/>
              <w:jc w:val="center"/>
              <w:rPr>
                <w:rFonts w:ascii="Arial" w:eastAsia="Times New Roman" w:hAnsi="Arial" w:cs="Arial"/>
                <w:color w:val="000000"/>
                <w:sz w:val="20"/>
                <w:lang w:eastAsia="en-NZ"/>
              </w:rPr>
            </w:pPr>
            <w:r w:rsidRPr="00D5126A">
              <w:rPr>
                <w:rFonts w:ascii="Arial" w:eastAsia="Times New Roman" w:hAnsi="Arial" w:cs="Arial"/>
                <w:color w:val="000000"/>
                <w:sz w:val="20"/>
                <w:lang w:eastAsia="en-NZ"/>
              </w:rPr>
              <w:t>26</w:t>
            </w:r>
          </w:p>
        </w:tc>
        <w:tc>
          <w:tcPr>
            <w:tcW w:w="1113" w:type="dxa"/>
            <w:shd w:val="clear" w:color="auto" w:fill="auto"/>
            <w:noWrap/>
            <w:vAlign w:val="center"/>
            <w:hideMark/>
          </w:tcPr>
          <w:p w:rsidR="00107245" w:rsidRPr="00D5126A" w:rsidRDefault="00107245" w:rsidP="008D1C20">
            <w:pPr>
              <w:spacing w:after="0" w:line="240" w:lineRule="auto"/>
              <w:jc w:val="center"/>
              <w:rPr>
                <w:rFonts w:ascii="Arial" w:eastAsia="Times New Roman" w:hAnsi="Arial" w:cs="Arial"/>
                <w:color w:val="000000"/>
                <w:sz w:val="20"/>
                <w:lang w:eastAsia="en-NZ"/>
              </w:rPr>
            </w:pPr>
            <w:r w:rsidRPr="00D5126A">
              <w:rPr>
                <w:rFonts w:ascii="Arial" w:eastAsia="Times New Roman" w:hAnsi="Arial" w:cs="Arial"/>
                <w:color w:val="000000"/>
                <w:sz w:val="20"/>
                <w:lang w:eastAsia="en-NZ"/>
              </w:rPr>
              <w:t>5</w:t>
            </w:r>
          </w:p>
        </w:tc>
        <w:tc>
          <w:tcPr>
            <w:tcW w:w="872" w:type="dxa"/>
            <w:tcBorders>
              <w:top w:val="nil"/>
            </w:tcBorders>
            <w:shd w:val="clear" w:color="auto" w:fill="auto"/>
            <w:noWrap/>
            <w:vAlign w:val="center"/>
            <w:hideMark/>
          </w:tcPr>
          <w:p w:rsidR="00107245" w:rsidRPr="00D5126A" w:rsidRDefault="00107245" w:rsidP="008D1C20">
            <w:pPr>
              <w:spacing w:after="0" w:line="240" w:lineRule="auto"/>
              <w:jc w:val="center"/>
              <w:rPr>
                <w:rFonts w:ascii="Arial" w:eastAsia="Times New Roman" w:hAnsi="Arial" w:cs="Arial"/>
                <w:color w:val="000000"/>
                <w:sz w:val="20"/>
                <w:lang w:eastAsia="en-NZ"/>
              </w:rPr>
            </w:pPr>
            <w:r w:rsidRPr="00D5126A">
              <w:rPr>
                <w:rFonts w:ascii="Arial" w:eastAsia="Times New Roman" w:hAnsi="Arial" w:cs="Arial"/>
                <w:color w:val="000000"/>
                <w:sz w:val="20"/>
                <w:lang w:eastAsia="en-NZ"/>
              </w:rPr>
              <w:t>16</w:t>
            </w:r>
          </w:p>
        </w:tc>
        <w:tc>
          <w:tcPr>
            <w:tcW w:w="1276" w:type="dxa"/>
            <w:tcBorders>
              <w:top w:val="nil"/>
            </w:tcBorders>
            <w:shd w:val="clear" w:color="auto" w:fill="auto"/>
            <w:noWrap/>
            <w:vAlign w:val="center"/>
            <w:hideMark/>
          </w:tcPr>
          <w:p w:rsidR="00107245" w:rsidRPr="00D5126A" w:rsidRDefault="00107245" w:rsidP="008D1C20">
            <w:pPr>
              <w:spacing w:after="0" w:line="240" w:lineRule="auto"/>
              <w:jc w:val="center"/>
              <w:rPr>
                <w:rFonts w:ascii="Arial" w:eastAsia="Times New Roman" w:hAnsi="Arial" w:cs="Arial"/>
                <w:color w:val="000000"/>
                <w:sz w:val="20"/>
                <w:lang w:eastAsia="en-NZ"/>
              </w:rPr>
            </w:pPr>
            <w:r w:rsidRPr="00D5126A">
              <w:rPr>
                <w:rFonts w:ascii="Arial" w:eastAsia="Times New Roman" w:hAnsi="Arial" w:cs="Arial"/>
                <w:color w:val="000000"/>
                <w:sz w:val="20"/>
                <w:lang w:eastAsia="en-NZ"/>
              </w:rPr>
              <w:t>0</w:t>
            </w:r>
          </w:p>
        </w:tc>
        <w:tc>
          <w:tcPr>
            <w:tcW w:w="1281" w:type="dxa"/>
            <w:tcBorders>
              <w:top w:val="nil"/>
            </w:tcBorders>
            <w:shd w:val="clear" w:color="auto" w:fill="auto"/>
            <w:noWrap/>
            <w:vAlign w:val="center"/>
            <w:hideMark/>
          </w:tcPr>
          <w:p w:rsidR="00107245" w:rsidRPr="00D5126A" w:rsidRDefault="00107245" w:rsidP="008D1C20">
            <w:pPr>
              <w:spacing w:after="0" w:line="240" w:lineRule="auto"/>
              <w:jc w:val="center"/>
              <w:rPr>
                <w:rFonts w:ascii="Arial" w:eastAsia="Times New Roman" w:hAnsi="Arial" w:cs="Arial"/>
                <w:color w:val="000000"/>
                <w:sz w:val="20"/>
                <w:lang w:eastAsia="en-NZ"/>
              </w:rPr>
            </w:pPr>
            <w:r w:rsidRPr="00D5126A">
              <w:rPr>
                <w:rFonts w:ascii="Arial" w:eastAsia="Times New Roman" w:hAnsi="Arial" w:cs="Arial"/>
                <w:color w:val="000000"/>
                <w:sz w:val="20"/>
                <w:lang w:eastAsia="en-NZ"/>
              </w:rPr>
              <w:t>340</w:t>
            </w:r>
          </w:p>
        </w:tc>
        <w:tc>
          <w:tcPr>
            <w:tcW w:w="995" w:type="dxa"/>
            <w:tcBorders>
              <w:top w:val="nil"/>
            </w:tcBorders>
            <w:shd w:val="clear" w:color="auto" w:fill="auto"/>
            <w:noWrap/>
            <w:vAlign w:val="center"/>
            <w:hideMark/>
          </w:tcPr>
          <w:p w:rsidR="00107245" w:rsidRPr="00D5126A" w:rsidRDefault="00107245" w:rsidP="008D1C20">
            <w:pPr>
              <w:spacing w:after="0" w:line="240" w:lineRule="auto"/>
              <w:jc w:val="center"/>
              <w:rPr>
                <w:rFonts w:ascii="Arial" w:eastAsia="Times New Roman" w:hAnsi="Arial" w:cs="Arial"/>
                <w:color w:val="000000"/>
                <w:sz w:val="20"/>
                <w:lang w:eastAsia="en-NZ"/>
              </w:rPr>
            </w:pPr>
            <w:r w:rsidRPr="00D5126A">
              <w:rPr>
                <w:rFonts w:ascii="Arial" w:eastAsia="Times New Roman" w:hAnsi="Arial" w:cs="Arial"/>
                <w:color w:val="000000"/>
                <w:sz w:val="20"/>
                <w:lang w:eastAsia="en-NZ"/>
              </w:rPr>
              <w:t>318.18</w:t>
            </w:r>
          </w:p>
        </w:tc>
      </w:tr>
      <w:tr w:rsidR="00107245" w:rsidRPr="00D5126A" w:rsidTr="009A2162">
        <w:trPr>
          <w:trHeight w:val="300"/>
        </w:trPr>
        <w:tc>
          <w:tcPr>
            <w:tcW w:w="1373" w:type="dxa"/>
            <w:shd w:val="clear" w:color="auto" w:fill="auto"/>
            <w:noWrap/>
            <w:vAlign w:val="bottom"/>
            <w:hideMark/>
          </w:tcPr>
          <w:p w:rsidR="00107245" w:rsidRPr="00D5126A" w:rsidRDefault="00107245" w:rsidP="008D1C20">
            <w:pPr>
              <w:spacing w:after="0" w:line="240" w:lineRule="auto"/>
              <w:rPr>
                <w:rFonts w:ascii="Arial" w:eastAsia="Times New Roman" w:hAnsi="Arial" w:cs="Arial"/>
                <w:b/>
                <w:color w:val="000000"/>
                <w:sz w:val="20"/>
                <w:lang w:eastAsia="en-NZ"/>
              </w:rPr>
            </w:pPr>
            <w:r w:rsidRPr="00D5126A">
              <w:rPr>
                <w:rFonts w:ascii="Arial" w:eastAsia="Times New Roman" w:hAnsi="Arial" w:cs="Arial"/>
                <w:b/>
                <w:color w:val="000000"/>
                <w:sz w:val="20"/>
                <w:lang w:eastAsia="en-NZ"/>
              </w:rPr>
              <w:t>Customer and Community</w:t>
            </w:r>
          </w:p>
        </w:tc>
        <w:tc>
          <w:tcPr>
            <w:tcW w:w="993" w:type="dxa"/>
            <w:shd w:val="clear" w:color="auto" w:fill="auto"/>
            <w:noWrap/>
            <w:vAlign w:val="center"/>
            <w:hideMark/>
          </w:tcPr>
          <w:p w:rsidR="00107245" w:rsidRPr="00D5126A" w:rsidRDefault="00107245" w:rsidP="008D1C20">
            <w:pPr>
              <w:spacing w:after="0" w:line="240" w:lineRule="auto"/>
              <w:jc w:val="center"/>
              <w:rPr>
                <w:rFonts w:ascii="Arial" w:eastAsia="Times New Roman" w:hAnsi="Arial" w:cs="Arial"/>
                <w:color w:val="000000"/>
                <w:sz w:val="20"/>
                <w:lang w:eastAsia="en-NZ"/>
              </w:rPr>
            </w:pPr>
            <w:r w:rsidRPr="00D5126A">
              <w:rPr>
                <w:rFonts w:ascii="Arial" w:eastAsia="Times New Roman" w:hAnsi="Arial" w:cs="Arial"/>
                <w:color w:val="000000"/>
                <w:sz w:val="20"/>
                <w:lang w:eastAsia="en-NZ"/>
              </w:rPr>
              <w:t>549</w:t>
            </w:r>
          </w:p>
        </w:tc>
        <w:tc>
          <w:tcPr>
            <w:tcW w:w="1275" w:type="dxa"/>
            <w:shd w:val="clear" w:color="auto" w:fill="auto"/>
            <w:noWrap/>
            <w:vAlign w:val="center"/>
            <w:hideMark/>
          </w:tcPr>
          <w:p w:rsidR="00107245" w:rsidRPr="00D5126A" w:rsidRDefault="00107245" w:rsidP="008D1C20">
            <w:pPr>
              <w:spacing w:after="0" w:line="240" w:lineRule="auto"/>
              <w:jc w:val="center"/>
              <w:rPr>
                <w:rFonts w:ascii="Arial" w:eastAsia="Times New Roman" w:hAnsi="Arial" w:cs="Arial"/>
                <w:color w:val="000000"/>
                <w:sz w:val="20"/>
                <w:lang w:eastAsia="en-NZ"/>
              </w:rPr>
            </w:pPr>
            <w:r w:rsidRPr="00D5126A">
              <w:rPr>
                <w:rFonts w:ascii="Arial" w:eastAsia="Times New Roman" w:hAnsi="Arial" w:cs="Arial"/>
                <w:color w:val="000000"/>
                <w:sz w:val="20"/>
                <w:lang w:eastAsia="en-NZ"/>
              </w:rPr>
              <w:t>478</w:t>
            </w:r>
          </w:p>
        </w:tc>
        <w:tc>
          <w:tcPr>
            <w:tcW w:w="1134" w:type="dxa"/>
            <w:shd w:val="clear" w:color="auto" w:fill="auto"/>
            <w:noWrap/>
            <w:vAlign w:val="center"/>
            <w:hideMark/>
          </w:tcPr>
          <w:p w:rsidR="00107245" w:rsidRPr="00D5126A" w:rsidRDefault="00107245" w:rsidP="008D1C20">
            <w:pPr>
              <w:spacing w:after="0" w:line="240" w:lineRule="auto"/>
              <w:jc w:val="center"/>
              <w:rPr>
                <w:rFonts w:ascii="Arial" w:eastAsia="Times New Roman" w:hAnsi="Arial" w:cs="Arial"/>
                <w:color w:val="000000"/>
                <w:sz w:val="20"/>
                <w:lang w:eastAsia="en-NZ"/>
              </w:rPr>
            </w:pPr>
            <w:r w:rsidRPr="00D5126A">
              <w:rPr>
                <w:rFonts w:ascii="Arial" w:eastAsia="Times New Roman" w:hAnsi="Arial" w:cs="Arial"/>
                <w:color w:val="000000"/>
                <w:sz w:val="20"/>
                <w:lang w:eastAsia="en-NZ"/>
              </w:rPr>
              <w:t>33</w:t>
            </w:r>
          </w:p>
        </w:tc>
        <w:tc>
          <w:tcPr>
            <w:tcW w:w="1113" w:type="dxa"/>
            <w:shd w:val="clear" w:color="auto" w:fill="auto"/>
            <w:noWrap/>
            <w:vAlign w:val="center"/>
            <w:hideMark/>
          </w:tcPr>
          <w:p w:rsidR="00107245" w:rsidRPr="00D5126A" w:rsidRDefault="00107245" w:rsidP="008D1C20">
            <w:pPr>
              <w:spacing w:after="0" w:line="240" w:lineRule="auto"/>
              <w:jc w:val="center"/>
              <w:rPr>
                <w:rFonts w:ascii="Arial" w:eastAsia="Times New Roman" w:hAnsi="Arial" w:cs="Arial"/>
                <w:color w:val="000000"/>
                <w:sz w:val="20"/>
                <w:lang w:eastAsia="en-NZ"/>
              </w:rPr>
            </w:pPr>
            <w:r w:rsidRPr="00D5126A">
              <w:rPr>
                <w:rFonts w:ascii="Arial" w:eastAsia="Times New Roman" w:hAnsi="Arial" w:cs="Arial"/>
                <w:color w:val="000000"/>
                <w:sz w:val="20"/>
                <w:lang w:eastAsia="en-NZ"/>
              </w:rPr>
              <w:t>7</w:t>
            </w:r>
          </w:p>
        </w:tc>
        <w:tc>
          <w:tcPr>
            <w:tcW w:w="872" w:type="dxa"/>
            <w:shd w:val="clear" w:color="auto" w:fill="auto"/>
            <w:noWrap/>
            <w:vAlign w:val="center"/>
            <w:hideMark/>
          </w:tcPr>
          <w:p w:rsidR="00107245" w:rsidRPr="00D5126A" w:rsidRDefault="00107245" w:rsidP="008D1C20">
            <w:pPr>
              <w:spacing w:after="0" w:line="240" w:lineRule="auto"/>
              <w:jc w:val="center"/>
              <w:rPr>
                <w:rFonts w:ascii="Arial" w:eastAsia="Times New Roman" w:hAnsi="Arial" w:cs="Arial"/>
                <w:color w:val="000000"/>
                <w:sz w:val="20"/>
                <w:lang w:eastAsia="en-NZ"/>
              </w:rPr>
            </w:pPr>
            <w:r w:rsidRPr="00D5126A">
              <w:rPr>
                <w:rFonts w:ascii="Arial" w:eastAsia="Times New Roman" w:hAnsi="Arial" w:cs="Arial"/>
                <w:color w:val="000000"/>
                <w:sz w:val="20"/>
                <w:lang w:eastAsia="en-NZ"/>
              </w:rPr>
              <w:t>156</w:t>
            </w:r>
          </w:p>
        </w:tc>
        <w:tc>
          <w:tcPr>
            <w:tcW w:w="1276" w:type="dxa"/>
            <w:shd w:val="clear" w:color="auto" w:fill="auto"/>
            <w:noWrap/>
            <w:vAlign w:val="center"/>
            <w:hideMark/>
          </w:tcPr>
          <w:p w:rsidR="00107245" w:rsidRPr="00D5126A" w:rsidRDefault="00107245" w:rsidP="008D1C20">
            <w:pPr>
              <w:spacing w:after="0" w:line="240" w:lineRule="auto"/>
              <w:jc w:val="center"/>
              <w:rPr>
                <w:rFonts w:ascii="Arial" w:eastAsia="Times New Roman" w:hAnsi="Arial" w:cs="Arial"/>
                <w:color w:val="000000"/>
                <w:sz w:val="20"/>
                <w:lang w:eastAsia="en-NZ"/>
              </w:rPr>
            </w:pPr>
            <w:r w:rsidRPr="00D5126A">
              <w:rPr>
                <w:rFonts w:ascii="Arial" w:eastAsia="Times New Roman" w:hAnsi="Arial" w:cs="Arial"/>
                <w:color w:val="000000"/>
                <w:sz w:val="20"/>
                <w:lang w:eastAsia="en-NZ"/>
              </w:rPr>
              <w:t>1</w:t>
            </w:r>
          </w:p>
        </w:tc>
        <w:tc>
          <w:tcPr>
            <w:tcW w:w="1281" w:type="dxa"/>
            <w:shd w:val="clear" w:color="auto" w:fill="auto"/>
            <w:noWrap/>
            <w:vAlign w:val="center"/>
            <w:hideMark/>
          </w:tcPr>
          <w:p w:rsidR="00107245" w:rsidRPr="00D5126A" w:rsidRDefault="00107245" w:rsidP="008D1C20">
            <w:pPr>
              <w:spacing w:after="0" w:line="240" w:lineRule="auto"/>
              <w:jc w:val="center"/>
              <w:rPr>
                <w:rFonts w:ascii="Arial" w:eastAsia="Times New Roman" w:hAnsi="Arial" w:cs="Arial"/>
                <w:color w:val="000000"/>
                <w:sz w:val="20"/>
                <w:lang w:eastAsia="en-NZ"/>
              </w:rPr>
            </w:pPr>
            <w:r w:rsidRPr="00D5126A">
              <w:rPr>
                <w:rFonts w:ascii="Arial" w:eastAsia="Times New Roman" w:hAnsi="Arial" w:cs="Arial"/>
                <w:color w:val="000000"/>
                <w:sz w:val="20"/>
                <w:lang w:eastAsia="en-NZ"/>
              </w:rPr>
              <w:t>1,225</w:t>
            </w:r>
          </w:p>
        </w:tc>
        <w:tc>
          <w:tcPr>
            <w:tcW w:w="995" w:type="dxa"/>
            <w:shd w:val="clear" w:color="auto" w:fill="auto"/>
            <w:noWrap/>
            <w:vAlign w:val="center"/>
            <w:hideMark/>
          </w:tcPr>
          <w:p w:rsidR="00107245" w:rsidRPr="00D5126A" w:rsidRDefault="00107245" w:rsidP="008D1C20">
            <w:pPr>
              <w:spacing w:after="0" w:line="240" w:lineRule="auto"/>
              <w:jc w:val="center"/>
              <w:rPr>
                <w:rFonts w:ascii="Arial" w:eastAsia="Times New Roman" w:hAnsi="Arial" w:cs="Arial"/>
                <w:color w:val="000000"/>
                <w:sz w:val="20"/>
                <w:lang w:eastAsia="en-NZ"/>
              </w:rPr>
            </w:pPr>
            <w:r w:rsidRPr="00D5126A">
              <w:rPr>
                <w:rFonts w:ascii="Arial" w:eastAsia="Times New Roman" w:hAnsi="Arial" w:cs="Arial"/>
                <w:color w:val="000000"/>
                <w:sz w:val="20"/>
                <w:lang w:eastAsia="en-NZ"/>
              </w:rPr>
              <w:t>797.64</w:t>
            </w:r>
          </w:p>
        </w:tc>
      </w:tr>
      <w:tr w:rsidR="00107245" w:rsidRPr="00D5126A" w:rsidTr="009A2162">
        <w:trPr>
          <w:trHeight w:val="300"/>
        </w:trPr>
        <w:tc>
          <w:tcPr>
            <w:tcW w:w="1373" w:type="dxa"/>
            <w:shd w:val="clear" w:color="auto" w:fill="auto"/>
            <w:noWrap/>
            <w:vAlign w:val="bottom"/>
            <w:hideMark/>
          </w:tcPr>
          <w:p w:rsidR="00107245" w:rsidRPr="00D5126A" w:rsidRDefault="00107245" w:rsidP="008D1C20">
            <w:pPr>
              <w:spacing w:after="0" w:line="240" w:lineRule="auto"/>
              <w:rPr>
                <w:rFonts w:ascii="Arial" w:eastAsia="Times New Roman" w:hAnsi="Arial" w:cs="Arial"/>
                <w:b/>
                <w:color w:val="000000"/>
                <w:sz w:val="20"/>
                <w:lang w:eastAsia="en-NZ"/>
              </w:rPr>
            </w:pPr>
            <w:r w:rsidRPr="00D5126A">
              <w:rPr>
                <w:rFonts w:ascii="Arial" w:eastAsia="Times New Roman" w:hAnsi="Arial" w:cs="Arial"/>
                <w:b/>
                <w:color w:val="000000"/>
                <w:sz w:val="20"/>
                <w:lang w:eastAsia="en-NZ"/>
              </w:rPr>
              <w:t>Finance and Business</w:t>
            </w:r>
          </w:p>
        </w:tc>
        <w:tc>
          <w:tcPr>
            <w:tcW w:w="993" w:type="dxa"/>
            <w:shd w:val="clear" w:color="auto" w:fill="auto"/>
            <w:noWrap/>
            <w:vAlign w:val="center"/>
            <w:hideMark/>
          </w:tcPr>
          <w:p w:rsidR="00107245" w:rsidRPr="00D5126A" w:rsidRDefault="00107245" w:rsidP="008D1C20">
            <w:pPr>
              <w:spacing w:after="0" w:line="240" w:lineRule="auto"/>
              <w:jc w:val="center"/>
              <w:rPr>
                <w:rFonts w:ascii="Arial" w:eastAsia="Times New Roman" w:hAnsi="Arial" w:cs="Arial"/>
                <w:color w:val="000000"/>
                <w:sz w:val="20"/>
                <w:lang w:eastAsia="en-NZ"/>
              </w:rPr>
            </w:pPr>
            <w:r w:rsidRPr="00D5126A">
              <w:rPr>
                <w:rFonts w:ascii="Arial" w:eastAsia="Times New Roman" w:hAnsi="Arial" w:cs="Arial"/>
                <w:color w:val="000000"/>
                <w:sz w:val="20"/>
                <w:lang w:eastAsia="en-NZ"/>
              </w:rPr>
              <w:t>77</w:t>
            </w:r>
          </w:p>
        </w:tc>
        <w:tc>
          <w:tcPr>
            <w:tcW w:w="1275" w:type="dxa"/>
            <w:shd w:val="clear" w:color="auto" w:fill="auto"/>
            <w:noWrap/>
            <w:vAlign w:val="center"/>
            <w:hideMark/>
          </w:tcPr>
          <w:p w:rsidR="00107245" w:rsidRPr="00D5126A" w:rsidRDefault="00107245" w:rsidP="008D1C20">
            <w:pPr>
              <w:spacing w:after="0" w:line="240" w:lineRule="auto"/>
              <w:jc w:val="center"/>
              <w:rPr>
                <w:rFonts w:ascii="Arial" w:eastAsia="Times New Roman" w:hAnsi="Arial" w:cs="Arial"/>
                <w:color w:val="000000"/>
                <w:sz w:val="20"/>
                <w:lang w:eastAsia="en-NZ"/>
              </w:rPr>
            </w:pPr>
            <w:r w:rsidRPr="00D5126A">
              <w:rPr>
                <w:rFonts w:ascii="Arial" w:eastAsia="Times New Roman" w:hAnsi="Arial" w:cs="Arial"/>
                <w:color w:val="000000"/>
                <w:sz w:val="20"/>
                <w:lang w:eastAsia="en-NZ"/>
              </w:rPr>
              <w:t>9</w:t>
            </w:r>
          </w:p>
        </w:tc>
        <w:tc>
          <w:tcPr>
            <w:tcW w:w="1134" w:type="dxa"/>
            <w:shd w:val="clear" w:color="auto" w:fill="auto"/>
            <w:noWrap/>
            <w:vAlign w:val="center"/>
            <w:hideMark/>
          </w:tcPr>
          <w:p w:rsidR="00107245" w:rsidRPr="00D5126A" w:rsidRDefault="00107245" w:rsidP="008D1C20">
            <w:pPr>
              <w:spacing w:after="0" w:line="240" w:lineRule="auto"/>
              <w:jc w:val="center"/>
              <w:rPr>
                <w:rFonts w:ascii="Arial" w:eastAsia="Times New Roman" w:hAnsi="Arial" w:cs="Arial"/>
                <w:color w:val="000000"/>
                <w:sz w:val="20"/>
                <w:lang w:eastAsia="en-NZ"/>
              </w:rPr>
            </w:pPr>
            <w:r w:rsidRPr="00D5126A">
              <w:rPr>
                <w:rFonts w:ascii="Arial" w:eastAsia="Times New Roman" w:hAnsi="Arial" w:cs="Arial"/>
                <w:color w:val="000000"/>
                <w:sz w:val="20"/>
                <w:lang w:eastAsia="en-NZ"/>
              </w:rPr>
              <w:t>3</w:t>
            </w:r>
          </w:p>
        </w:tc>
        <w:tc>
          <w:tcPr>
            <w:tcW w:w="1113" w:type="dxa"/>
            <w:shd w:val="clear" w:color="auto" w:fill="auto"/>
            <w:noWrap/>
            <w:vAlign w:val="center"/>
            <w:hideMark/>
          </w:tcPr>
          <w:p w:rsidR="00107245" w:rsidRPr="00D5126A" w:rsidRDefault="00107245" w:rsidP="008D1C20">
            <w:pPr>
              <w:spacing w:after="0" w:line="240" w:lineRule="auto"/>
              <w:jc w:val="center"/>
              <w:rPr>
                <w:rFonts w:ascii="Arial" w:eastAsia="Times New Roman" w:hAnsi="Arial" w:cs="Arial"/>
                <w:color w:val="000000"/>
                <w:sz w:val="20"/>
                <w:lang w:eastAsia="en-NZ"/>
              </w:rPr>
            </w:pPr>
            <w:r w:rsidRPr="00D5126A">
              <w:rPr>
                <w:rFonts w:ascii="Arial" w:eastAsia="Times New Roman" w:hAnsi="Arial" w:cs="Arial"/>
                <w:color w:val="000000"/>
                <w:sz w:val="20"/>
                <w:lang w:eastAsia="en-NZ"/>
              </w:rPr>
              <w:t>0</w:t>
            </w:r>
          </w:p>
        </w:tc>
        <w:tc>
          <w:tcPr>
            <w:tcW w:w="872" w:type="dxa"/>
            <w:shd w:val="clear" w:color="auto" w:fill="auto"/>
            <w:noWrap/>
            <w:vAlign w:val="center"/>
            <w:hideMark/>
          </w:tcPr>
          <w:p w:rsidR="00107245" w:rsidRPr="00D5126A" w:rsidRDefault="00107245" w:rsidP="008D1C20">
            <w:pPr>
              <w:spacing w:after="0" w:line="240" w:lineRule="auto"/>
              <w:jc w:val="center"/>
              <w:rPr>
                <w:rFonts w:ascii="Arial" w:eastAsia="Times New Roman" w:hAnsi="Arial" w:cs="Arial"/>
                <w:color w:val="000000"/>
                <w:sz w:val="20"/>
                <w:lang w:eastAsia="en-NZ"/>
              </w:rPr>
            </w:pPr>
            <w:r w:rsidRPr="00D5126A">
              <w:rPr>
                <w:rFonts w:ascii="Arial" w:eastAsia="Times New Roman" w:hAnsi="Arial" w:cs="Arial"/>
                <w:color w:val="000000"/>
                <w:sz w:val="20"/>
                <w:lang w:eastAsia="en-NZ"/>
              </w:rPr>
              <w:t>0</w:t>
            </w:r>
          </w:p>
        </w:tc>
        <w:tc>
          <w:tcPr>
            <w:tcW w:w="1276" w:type="dxa"/>
            <w:shd w:val="clear" w:color="auto" w:fill="auto"/>
            <w:noWrap/>
            <w:vAlign w:val="center"/>
            <w:hideMark/>
          </w:tcPr>
          <w:p w:rsidR="00107245" w:rsidRPr="00D5126A" w:rsidRDefault="00107245" w:rsidP="008D1C20">
            <w:pPr>
              <w:spacing w:after="0" w:line="240" w:lineRule="auto"/>
              <w:jc w:val="center"/>
              <w:rPr>
                <w:rFonts w:ascii="Arial" w:eastAsia="Times New Roman" w:hAnsi="Arial" w:cs="Arial"/>
                <w:color w:val="000000"/>
                <w:sz w:val="20"/>
                <w:lang w:eastAsia="en-NZ"/>
              </w:rPr>
            </w:pPr>
            <w:r w:rsidRPr="00D5126A">
              <w:rPr>
                <w:rFonts w:ascii="Arial" w:eastAsia="Times New Roman" w:hAnsi="Arial" w:cs="Arial"/>
                <w:color w:val="000000"/>
                <w:sz w:val="20"/>
                <w:lang w:eastAsia="en-NZ"/>
              </w:rPr>
              <w:t>1</w:t>
            </w:r>
          </w:p>
        </w:tc>
        <w:tc>
          <w:tcPr>
            <w:tcW w:w="1281" w:type="dxa"/>
            <w:shd w:val="clear" w:color="auto" w:fill="auto"/>
            <w:noWrap/>
            <w:vAlign w:val="center"/>
            <w:hideMark/>
          </w:tcPr>
          <w:p w:rsidR="00107245" w:rsidRPr="00D5126A" w:rsidRDefault="00107245" w:rsidP="008D1C20">
            <w:pPr>
              <w:spacing w:after="0" w:line="240" w:lineRule="auto"/>
              <w:jc w:val="center"/>
              <w:rPr>
                <w:rFonts w:ascii="Arial" w:eastAsia="Times New Roman" w:hAnsi="Arial" w:cs="Arial"/>
                <w:color w:val="000000"/>
                <w:sz w:val="20"/>
                <w:lang w:eastAsia="en-NZ"/>
              </w:rPr>
            </w:pPr>
            <w:r w:rsidRPr="00D5126A">
              <w:rPr>
                <w:rFonts w:ascii="Arial" w:eastAsia="Times New Roman" w:hAnsi="Arial" w:cs="Arial"/>
                <w:color w:val="000000"/>
                <w:sz w:val="20"/>
                <w:lang w:eastAsia="en-NZ"/>
              </w:rPr>
              <w:t>90</w:t>
            </w:r>
          </w:p>
        </w:tc>
        <w:tc>
          <w:tcPr>
            <w:tcW w:w="995" w:type="dxa"/>
            <w:shd w:val="clear" w:color="auto" w:fill="auto"/>
            <w:noWrap/>
            <w:vAlign w:val="center"/>
            <w:hideMark/>
          </w:tcPr>
          <w:p w:rsidR="00107245" w:rsidRPr="00D5126A" w:rsidRDefault="00107245" w:rsidP="008D1C20">
            <w:pPr>
              <w:spacing w:after="0" w:line="240" w:lineRule="auto"/>
              <w:jc w:val="center"/>
              <w:rPr>
                <w:rFonts w:ascii="Arial" w:eastAsia="Times New Roman" w:hAnsi="Arial" w:cs="Arial"/>
                <w:color w:val="000000"/>
                <w:sz w:val="20"/>
                <w:lang w:eastAsia="en-NZ"/>
              </w:rPr>
            </w:pPr>
            <w:r w:rsidRPr="00D5126A">
              <w:rPr>
                <w:rFonts w:ascii="Arial" w:eastAsia="Times New Roman" w:hAnsi="Arial" w:cs="Arial"/>
                <w:color w:val="000000"/>
                <w:sz w:val="20"/>
                <w:lang w:eastAsia="en-NZ"/>
              </w:rPr>
              <w:t>85.62</w:t>
            </w:r>
          </w:p>
        </w:tc>
      </w:tr>
      <w:tr w:rsidR="00107245" w:rsidRPr="00D5126A" w:rsidTr="009A2162">
        <w:trPr>
          <w:trHeight w:val="300"/>
        </w:trPr>
        <w:tc>
          <w:tcPr>
            <w:tcW w:w="1373" w:type="dxa"/>
            <w:shd w:val="clear" w:color="auto" w:fill="auto"/>
            <w:noWrap/>
            <w:vAlign w:val="bottom"/>
            <w:hideMark/>
          </w:tcPr>
          <w:p w:rsidR="00107245" w:rsidRPr="00D5126A" w:rsidRDefault="00107245" w:rsidP="008D1C20">
            <w:pPr>
              <w:spacing w:after="0" w:line="240" w:lineRule="auto"/>
              <w:rPr>
                <w:rFonts w:ascii="Arial" w:eastAsia="Times New Roman" w:hAnsi="Arial" w:cs="Arial"/>
                <w:b/>
                <w:color w:val="000000"/>
                <w:sz w:val="20"/>
                <w:lang w:eastAsia="en-NZ"/>
              </w:rPr>
            </w:pPr>
            <w:r w:rsidRPr="00D5126A">
              <w:rPr>
                <w:rFonts w:ascii="Arial" w:eastAsia="Times New Roman" w:hAnsi="Arial" w:cs="Arial"/>
                <w:b/>
                <w:color w:val="000000"/>
                <w:sz w:val="20"/>
                <w:lang w:eastAsia="en-NZ"/>
              </w:rPr>
              <w:t>Human Resources</w:t>
            </w:r>
          </w:p>
        </w:tc>
        <w:tc>
          <w:tcPr>
            <w:tcW w:w="993" w:type="dxa"/>
            <w:shd w:val="clear" w:color="auto" w:fill="auto"/>
            <w:noWrap/>
            <w:vAlign w:val="center"/>
            <w:hideMark/>
          </w:tcPr>
          <w:p w:rsidR="00107245" w:rsidRPr="00D5126A" w:rsidRDefault="00107245" w:rsidP="008D1C20">
            <w:pPr>
              <w:spacing w:after="0" w:line="240" w:lineRule="auto"/>
              <w:jc w:val="center"/>
              <w:rPr>
                <w:rFonts w:ascii="Arial" w:eastAsia="Times New Roman" w:hAnsi="Arial" w:cs="Arial"/>
                <w:color w:val="000000"/>
                <w:sz w:val="20"/>
                <w:lang w:eastAsia="en-NZ"/>
              </w:rPr>
            </w:pPr>
            <w:r w:rsidRPr="00D5126A">
              <w:rPr>
                <w:rFonts w:ascii="Arial" w:eastAsia="Times New Roman" w:hAnsi="Arial" w:cs="Arial"/>
                <w:color w:val="000000"/>
                <w:sz w:val="20"/>
                <w:lang w:eastAsia="en-NZ"/>
              </w:rPr>
              <w:t>26</w:t>
            </w:r>
          </w:p>
        </w:tc>
        <w:tc>
          <w:tcPr>
            <w:tcW w:w="1275" w:type="dxa"/>
            <w:shd w:val="clear" w:color="auto" w:fill="auto"/>
            <w:noWrap/>
            <w:vAlign w:val="center"/>
            <w:hideMark/>
          </w:tcPr>
          <w:p w:rsidR="00107245" w:rsidRPr="00D5126A" w:rsidRDefault="00107245" w:rsidP="008D1C20">
            <w:pPr>
              <w:spacing w:after="0" w:line="240" w:lineRule="auto"/>
              <w:jc w:val="center"/>
              <w:rPr>
                <w:rFonts w:ascii="Arial" w:eastAsia="Times New Roman" w:hAnsi="Arial" w:cs="Arial"/>
                <w:color w:val="000000"/>
                <w:sz w:val="20"/>
                <w:lang w:eastAsia="en-NZ"/>
              </w:rPr>
            </w:pPr>
            <w:r w:rsidRPr="00D5126A">
              <w:rPr>
                <w:rFonts w:ascii="Arial" w:eastAsia="Times New Roman" w:hAnsi="Arial" w:cs="Arial"/>
                <w:color w:val="000000"/>
                <w:sz w:val="20"/>
                <w:lang w:eastAsia="en-NZ"/>
              </w:rPr>
              <w:t>7</w:t>
            </w:r>
          </w:p>
        </w:tc>
        <w:tc>
          <w:tcPr>
            <w:tcW w:w="1134" w:type="dxa"/>
            <w:shd w:val="clear" w:color="auto" w:fill="auto"/>
            <w:noWrap/>
            <w:vAlign w:val="center"/>
            <w:hideMark/>
          </w:tcPr>
          <w:p w:rsidR="00107245" w:rsidRPr="00D5126A" w:rsidRDefault="00107245" w:rsidP="008D1C20">
            <w:pPr>
              <w:spacing w:after="0" w:line="240" w:lineRule="auto"/>
              <w:jc w:val="center"/>
              <w:rPr>
                <w:rFonts w:ascii="Arial" w:eastAsia="Times New Roman" w:hAnsi="Arial" w:cs="Arial"/>
                <w:color w:val="000000"/>
                <w:sz w:val="20"/>
                <w:lang w:eastAsia="en-NZ"/>
              </w:rPr>
            </w:pPr>
            <w:r w:rsidRPr="00D5126A">
              <w:rPr>
                <w:rFonts w:ascii="Arial" w:eastAsia="Times New Roman" w:hAnsi="Arial" w:cs="Arial"/>
                <w:color w:val="000000"/>
                <w:sz w:val="20"/>
                <w:lang w:eastAsia="en-NZ"/>
              </w:rPr>
              <w:t>7</w:t>
            </w:r>
          </w:p>
        </w:tc>
        <w:tc>
          <w:tcPr>
            <w:tcW w:w="1113" w:type="dxa"/>
            <w:shd w:val="clear" w:color="auto" w:fill="auto"/>
            <w:noWrap/>
            <w:vAlign w:val="center"/>
            <w:hideMark/>
          </w:tcPr>
          <w:p w:rsidR="00107245" w:rsidRPr="00D5126A" w:rsidRDefault="00107245" w:rsidP="008D1C20">
            <w:pPr>
              <w:spacing w:after="0" w:line="240" w:lineRule="auto"/>
              <w:jc w:val="center"/>
              <w:rPr>
                <w:rFonts w:ascii="Arial" w:eastAsia="Times New Roman" w:hAnsi="Arial" w:cs="Arial"/>
                <w:color w:val="000000"/>
                <w:sz w:val="20"/>
                <w:lang w:eastAsia="en-NZ"/>
              </w:rPr>
            </w:pPr>
            <w:r w:rsidRPr="00D5126A">
              <w:rPr>
                <w:rFonts w:ascii="Arial" w:eastAsia="Times New Roman" w:hAnsi="Arial" w:cs="Arial"/>
                <w:color w:val="000000"/>
                <w:sz w:val="20"/>
                <w:lang w:eastAsia="en-NZ"/>
              </w:rPr>
              <w:t>0</w:t>
            </w:r>
          </w:p>
        </w:tc>
        <w:tc>
          <w:tcPr>
            <w:tcW w:w="872" w:type="dxa"/>
            <w:shd w:val="clear" w:color="auto" w:fill="auto"/>
            <w:noWrap/>
            <w:vAlign w:val="center"/>
            <w:hideMark/>
          </w:tcPr>
          <w:p w:rsidR="00107245" w:rsidRPr="00D5126A" w:rsidRDefault="00107245" w:rsidP="008D1C20">
            <w:pPr>
              <w:spacing w:after="0" w:line="240" w:lineRule="auto"/>
              <w:jc w:val="center"/>
              <w:rPr>
                <w:rFonts w:ascii="Arial" w:eastAsia="Times New Roman" w:hAnsi="Arial" w:cs="Arial"/>
                <w:color w:val="000000"/>
                <w:sz w:val="20"/>
                <w:lang w:eastAsia="en-NZ"/>
              </w:rPr>
            </w:pPr>
            <w:r w:rsidRPr="00D5126A">
              <w:rPr>
                <w:rFonts w:ascii="Arial" w:eastAsia="Times New Roman" w:hAnsi="Arial" w:cs="Arial"/>
                <w:color w:val="000000"/>
                <w:sz w:val="20"/>
                <w:lang w:eastAsia="en-NZ"/>
              </w:rPr>
              <w:t>0</w:t>
            </w:r>
          </w:p>
        </w:tc>
        <w:tc>
          <w:tcPr>
            <w:tcW w:w="1276" w:type="dxa"/>
            <w:shd w:val="clear" w:color="auto" w:fill="auto"/>
            <w:noWrap/>
            <w:vAlign w:val="center"/>
            <w:hideMark/>
          </w:tcPr>
          <w:p w:rsidR="00107245" w:rsidRPr="00D5126A" w:rsidRDefault="00107245" w:rsidP="008D1C20">
            <w:pPr>
              <w:spacing w:after="0" w:line="240" w:lineRule="auto"/>
              <w:jc w:val="center"/>
              <w:rPr>
                <w:rFonts w:ascii="Arial" w:eastAsia="Times New Roman" w:hAnsi="Arial" w:cs="Arial"/>
                <w:color w:val="000000"/>
                <w:sz w:val="20"/>
                <w:lang w:eastAsia="en-NZ"/>
              </w:rPr>
            </w:pPr>
            <w:r w:rsidRPr="00D5126A">
              <w:rPr>
                <w:rFonts w:ascii="Arial" w:eastAsia="Times New Roman" w:hAnsi="Arial" w:cs="Arial"/>
                <w:color w:val="000000"/>
                <w:sz w:val="20"/>
                <w:lang w:eastAsia="en-NZ"/>
              </w:rPr>
              <w:t>0</w:t>
            </w:r>
          </w:p>
        </w:tc>
        <w:tc>
          <w:tcPr>
            <w:tcW w:w="1281" w:type="dxa"/>
            <w:shd w:val="clear" w:color="auto" w:fill="auto"/>
            <w:noWrap/>
            <w:vAlign w:val="center"/>
            <w:hideMark/>
          </w:tcPr>
          <w:p w:rsidR="00107245" w:rsidRPr="00D5126A" w:rsidRDefault="00107245" w:rsidP="008D1C20">
            <w:pPr>
              <w:spacing w:after="0" w:line="240" w:lineRule="auto"/>
              <w:jc w:val="center"/>
              <w:rPr>
                <w:rFonts w:ascii="Arial" w:eastAsia="Times New Roman" w:hAnsi="Arial" w:cs="Arial"/>
                <w:color w:val="000000"/>
                <w:sz w:val="20"/>
                <w:lang w:eastAsia="en-NZ"/>
              </w:rPr>
            </w:pPr>
            <w:r w:rsidRPr="00D5126A">
              <w:rPr>
                <w:rFonts w:ascii="Arial" w:eastAsia="Times New Roman" w:hAnsi="Arial" w:cs="Arial"/>
                <w:color w:val="000000"/>
                <w:sz w:val="20"/>
                <w:lang w:eastAsia="en-NZ"/>
              </w:rPr>
              <w:t>40</w:t>
            </w:r>
          </w:p>
        </w:tc>
        <w:tc>
          <w:tcPr>
            <w:tcW w:w="995" w:type="dxa"/>
            <w:shd w:val="clear" w:color="auto" w:fill="auto"/>
            <w:noWrap/>
            <w:vAlign w:val="center"/>
            <w:hideMark/>
          </w:tcPr>
          <w:p w:rsidR="00107245" w:rsidRPr="00D5126A" w:rsidRDefault="00107245" w:rsidP="008D1C20">
            <w:pPr>
              <w:spacing w:after="0" w:line="240" w:lineRule="auto"/>
              <w:jc w:val="center"/>
              <w:rPr>
                <w:rFonts w:ascii="Arial" w:eastAsia="Times New Roman" w:hAnsi="Arial" w:cs="Arial"/>
                <w:color w:val="000000"/>
                <w:sz w:val="20"/>
                <w:lang w:eastAsia="en-NZ"/>
              </w:rPr>
            </w:pPr>
            <w:r w:rsidRPr="00D5126A">
              <w:rPr>
                <w:rFonts w:ascii="Arial" w:eastAsia="Times New Roman" w:hAnsi="Arial" w:cs="Arial"/>
                <w:color w:val="000000"/>
                <w:sz w:val="20"/>
                <w:lang w:eastAsia="en-NZ"/>
              </w:rPr>
              <w:t>37.66</w:t>
            </w:r>
          </w:p>
        </w:tc>
      </w:tr>
      <w:tr w:rsidR="00107245" w:rsidRPr="00D5126A" w:rsidTr="009A2162">
        <w:trPr>
          <w:trHeight w:val="300"/>
        </w:trPr>
        <w:tc>
          <w:tcPr>
            <w:tcW w:w="1373" w:type="dxa"/>
            <w:shd w:val="clear" w:color="auto" w:fill="auto"/>
            <w:noWrap/>
            <w:vAlign w:val="bottom"/>
            <w:hideMark/>
          </w:tcPr>
          <w:p w:rsidR="00107245" w:rsidRPr="00D5126A" w:rsidRDefault="00107245" w:rsidP="008D1C20">
            <w:pPr>
              <w:spacing w:after="0" w:line="240" w:lineRule="auto"/>
              <w:rPr>
                <w:rFonts w:ascii="Arial" w:eastAsia="Times New Roman" w:hAnsi="Arial" w:cs="Arial"/>
                <w:b/>
                <w:color w:val="000000"/>
                <w:sz w:val="20"/>
                <w:lang w:eastAsia="en-NZ"/>
              </w:rPr>
            </w:pPr>
            <w:r w:rsidRPr="00D5126A">
              <w:rPr>
                <w:rFonts w:ascii="Arial" w:eastAsia="Times New Roman" w:hAnsi="Arial" w:cs="Arial"/>
                <w:b/>
                <w:color w:val="000000"/>
                <w:sz w:val="20"/>
                <w:lang w:eastAsia="en-NZ"/>
              </w:rPr>
              <w:t>Strategy and Governance</w:t>
            </w:r>
          </w:p>
        </w:tc>
        <w:tc>
          <w:tcPr>
            <w:tcW w:w="993" w:type="dxa"/>
            <w:shd w:val="clear" w:color="auto" w:fill="auto"/>
            <w:noWrap/>
            <w:vAlign w:val="center"/>
            <w:hideMark/>
          </w:tcPr>
          <w:p w:rsidR="00107245" w:rsidRPr="00D5126A" w:rsidRDefault="00107245" w:rsidP="008D1C20">
            <w:pPr>
              <w:spacing w:after="0" w:line="240" w:lineRule="auto"/>
              <w:jc w:val="center"/>
              <w:rPr>
                <w:rFonts w:ascii="Arial" w:eastAsia="Times New Roman" w:hAnsi="Arial" w:cs="Arial"/>
                <w:color w:val="000000"/>
                <w:sz w:val="20"/>
                <w:lang w:eastAsia="en-NZ"/>
              </w:rPr>
            </w:pPr>
            <w:r w:rsidRPr="00D5126A">
              <w:rPr>
                <w:rFonts w:ascii="Arial" w:eastAsia="Times New Roman" w:hAnsi="Arial" w:cs="Arial"/>
                <w:color w:val="000000"/>
                <w:sz w:val="20"/>
                <w:lang w:eastAsia="en-NZ"/>
              </w:rPr>
              <w:t>80</w:t>
            </w:r>
          </w:p>
        </w:tc>
        <w:tc>
          <w:tcPr>
            <w:tcW w:w="1275" w:type="dxa"/>
            <w:shd w:val="clear" w:color="auto" w:fill="auto"/>
            <w:noWrap/>
            <w:vAlign w:val="center"/>
            <w:hideMark/>
          </w:tcPr>
          <w:p w:rsidR="00107245" w:rsidRPr="00D5126A" w:rsidRDefault="00107245" w:rsidP="008D1C20">
            <w:pPr>
              <w:spacing w:after="0" w:line="240" w:lineRule="auto"/>
              <w:jc w:val="center"/>
              <w:rPr>
                <w:rFonts w:ascii="Arial" w:eastAsia="Times New Roman" w:hAnsi="Arial" w:cs="Arial"/>
                <w:color w:val="000000"/>
                <w:sz w:val="20"/>
                <w:lang w:eastAsia="en-NZ"/>
              </w:rPr>
            </w:pPr>
            <w:r w:rsidRPr="00D5126A">
              <w:rPr>
                <w:rFonts w:ascii="Arial" w:eastAsia="Times New Roman" w:hAnsi="Arial" w:cs="Arial"/>
                <w:color w:val="000000"/>
                <w:sz w:val="20"/>
                <w:lang w:eastAsia="en-NZ"/>
              </w:rPr>
              <w:t>9</w:t>
            </w:r>
          </w:p>
        </w:tc>
        <w:tc>
          <w:tcPr>
            <w:tcW w:w="1134" w:type="dxa"/>
            <w:shd w:val="clear" w:color="auto" w:fill="auto"/>
            <w:noWrap/>
            <w:vAlign w:val="center"/>
            <w:hideMark/>
          </w:tcPr>
          <w:p w:rsidR="00107245" w:rsidRPr="00D5126A" w:rsidRDefault="00107245" w:rsidP="008D1C20">
            <w:pPr>
              <w:spacing w:after="0" w:line="240" w:lineRule="auto"/>
              <w:jc w:val="center"/>
              <w:rPr>
                <w:rFonts w:ascii="Arial" w:eastAsia="Times New Roman" w:hAnsi="Arial" w:cs="Arial"/>
                <w:color w:val="000000"/>
                <w:sz w:val="20"/>
                <w:lang w:eastAsia="en-NZ"/>
              </w:rPr>
            </w:pPr>
            <w:r w:rsidRPr="00D5126A">
              <w:rPr>
                <w:rFonts w:ascii="Arial" w:eastAsia="Times New Roman" w:hAnsi="Arial" w:cs="Arial"/>
                <w:color w:val="000000"/>
                <w:sz w:val="20"/>
                <w:lang w:eastAsia="en-NZ"/>
              </w:rPr>
              <w:t>11</w:t>
            </w:r>
          </w:p>
        </w:tc>
        <w:tc>
          <w:tcPr>
            <w:tcW w:w="1113" w:type="dxa"/>
            <w:shd w:val="clear" w:color="auto" w:fill="auto"/>
            <w:noWrap/>
            <w:vAlign w:val="center"/>
            <w:hideMark/>
          </w:tcPr>
          <w:p w:rsidR="00107245" w:rsidRPr="00D5126A" w:rsidRDefault="00107245" w:rsidP="008D1C20">
            <w:pPr>
              <w:spacing w:after="0" w:line="240" w:lineRule="auto"/>
              <w:jc w:val="center"/>
              <w:rPr>
                <w:rFonts w:ascii="Arial" w:eastAsia="Times New Roman" w:hAnsi="Arial" w:cs="Arial"/>
                <w:color w:val="000000"/>
                <w:sz w:val="20"/>
                <w:lang w:eastAsia="en-NZ"/>
              </w:rPr>
            </w:pPr>
            <w:r w:rsidRPr="00D5126A">
              <w:rPr>
                <w:rFonts w:ascii="Arial" w:eastAsia="Times New Roman" w:hAnsi="Arial" w:cs="Arial"/>
                <w:color w:val="000000"/>
                <w:sz w:val="20"/>
                <w:lang w:eastAsia="en-NZ"/>
              </w:rPr>
              <w:t>3</w:t>
            </w:r>
          </w:p>
        </w:tc>
        <w:tc>
          <w:tcPr>
            <w:tcW w:w="872" w:type="dxa"/>
            <w:shd w:val="clear" w:color="auto" w:fill="auto"/>
            <w:noWrap/>
            <w:vAlign w:val="center"/>
            <w:hideMark/>
          </w:tcPr>
          <w:p w:rsidR="00107245" w:rsidRPr="00D5126A" w:rsidRDefault="00107245" w:rsidP="008D1C20">
            <w:pPr>
              <w:spacing w:after="0" w:line="240" w:lineRule="auto"/>
              <w:jc w:val="center"/>
              <w:rPr>
                <w:rFonts w:ascii="Arial" w:eastAsia="Times New Roman" w:hAnsi="Arial" w:cs="Arial"/>
                <w:color w:val="000000"/>
                <w:sz w:val="20"/>
                <w:lang w:eastAsia="en-NZ"/>
              </w:rPr>
            </w:pPr>
            <w:r w:rsidRPr="00D5126A">
              <w:rPr>
                <w:rFonts w:ascii="Arial" w:eastAsia="Times New Roman" w:hAnsi="Arial" w:cs="Arial"/>
                <w:color w:val="000000"/>
                <w:sz w:val="20"/>
                <w:lang w:eastAsia="en-NZ"/>
              </w:rPr>
              <w:t>1</w:t>
            </w:r>
          </w:p>
        </w:tc>
        <w:tc>
          <w:tcPr>
            <w:tcW w:w="1276" w:type="dxa"/>
            <w:shd w:val="clear" w:color="auto" w:fill="auto"/>
            <w:noWrap/>
            <w:vAlign w:val="center"/>
            <w:hideMark/>
          </w:tcPr>
          <w:p w:rsidR="00107245" w:rsidRPr="00D5126A" w:rsidRDefault="00107245" w:rsidP="008D1C20">
            <w:pPr>
              <w:spacing w:after="0" w:line="240" w:lineRule="auto"/>
              <w:jc w:val="center"/>
              <w:rPr>
                <w:rFonts w:ascii="Arial" w:eastAsia="Times New Roman" w:hAnsi="Arial" w:cs="Arial"/>
                <w:color w:val="000000"/>
                <w:sz w:val="20"/>
                <w:lang w:eastAsia="en-NZ"/>
              </w:rPr>
            </w:pPr>
            <w:r w:rsidRPr="00D5126A">
              <w:rPr>
                <w:rFonts w:ascii="Arial" w:eastAsia="Times New Roman" w:hAnsi="Arial" w:cs="Arial"/>
                <w:color w:val="000000"/>
                <w:sz w:val="20"/>
                <w:lang w:eastAsia="en-NZ"/>
              </w:rPr>
              <w:t>4</w:t>
            </w:r>
          </w:p>
        </w:tc>
        <w:tc>
          <w:tcPr>
            <w:tcW w:w="1281" w:type="dxa"/>
            <w:shd w:val="clear" w:color="auto" w:fill="auto"/>
            <w:noWrap/>
            <w:vAlign w:val="center"/>
            <w:hideMark/>
          </w:tcPr>
          <w:p w:rsidR="00107245" w:rsidRPr="00D5126A" w:rsidRDefault="00107245" w:rsidP="008D1C20">
            <w:pPr>
              <w:spacing w:after="0" w:line="240" w:lineRule="auto"/>
              <w:jc w:val="center"/>
              <w:rPr>
                <w:rFonts w:ascii="Arial" w:eastAsia="Times New Roman" w:hAnsi="Arial" w:cs="Arial"/>
                <w:color w:val="000000"/>
                <w:sz w:val="20"/>
                <w:lang w:eastAsia="en-NZ"/>
              </w:rPr>
            </w:pPr>
            <w:r w:rsidRPr="00D5126A">
              <w:rPr>
                <w:rFonts w:ascii="Arial" w:eastAsia="Times New Roman" w:hAnsi="Arial" w:cs="Arial"/>
                <w:color w:val="000000"/>
                <w:sz w:val="20"/>
                <w:lang w:eastAsia="en-NZ"/>
              </w:rPr>
              <w:t>108</w:t>
            </w:r>
          </w:p>
        </w:tc>
        <w:tc>
          <w:tcPr>
            <w:tcW w:w="995" w:type="dxa"/>
            <w:shd w:val="clear" w:color="auto" w:fill="auto"/>
            <w:noWrap/>
            <w:vAlign w:val="center"/>
            <w:hideMark/>
          </w:tcPr>
          <w:p w:rsidR="00107245" w:rsidRPr="00D5126A" w:rsidRDefault="00107245" w:rsidP="008D1C20">
            <w:pPr>
              <w:spacing w:after="0" w:line="240" w:lineRule="auto"/>
              <w:jc w:val="center"/>
              <w:rPr>
                <w:rFonts w:ascii="Arial" w:eastAsia="Times New Roman" w:hAnsi="Arial" w:cs="Arial"/>
                <w:color w:val="000000"/>
                <w:sz w:val="20"/>
                <w:lang w:eastAsia="en-NZ"/>
              </w:rPr>
            </w:pPr>
            <w:r w:rsidRPr="00D5126A">
              <w:rPr>
                <w:rFonts w:ascii="Arial" w:eastAsia="Times New Roman" w:hAnsi="Arial" w:cs="Arial"/>
                <w:color w:val="000000"/>
                <w:sz w:val="20"/>
                <w:lang w:eastAsia="en-NZ"/>
              </w:rPr>
              <w:t>100.41</w:t>
            </w:r>
          </w:p>
        </w:tc>
      </w:tr>
      <w:tr w:rsidR="00107245" w:rsidRPr="00D5126A" w:rsidTr="009A2162">
        <w:trPr>
          <w:trHeight w:val="300"/>
        </w:trPr>
        <w:tc>
          <w:tcPr>
            <w:tcW w:w="1373" w:type="dxa"/>
            <w:shd w:val="clear" w:color="auto" w:fill="auto"/>
            <w:noWrap/>
            <w:vAlign w:val="bottom"/>
            <w:hideMark/>
          </w:tcPr>
          <w:p w:rsidR="00107245" w:rsidRPr="00D5126A" w:rsidRDefault="00107245" w:rsidP="008D1C20">
            <w:pPr>
              <w:spacing w:after="0" w:line="240" w:lineRule="auto"/>
              <w:rPr>
                <w:rFonts w:ascii="Arial" w:eastAsia="Times New Roman" w:hAnsi="Arial" w:cs="Arial"/>
                <w:b/>
                <w:bCs/>
                <w:color w:val="000000"/>
                <w:sz w:val="20"/>
                <w:lang w:eastAsia="en-NZ"/>
              </w:rPr>
            </w:pPr>
            <w:r w:rsidRPr="00D5126A">
              <w:rPr>
                <w:rFonts w:ascii="Arial" w:eastAsia="Times New Roman" w:hAnsi="Arial" w:cs="Arial"/>
                <w:b/>
                <w:bCs/>
                <w:color w:val="000000"/>
                <w:sz w:val="20"/>
                <w:lang w:eastAsia="en-NZ"/>
              </w:rPr>
              <w:t>Wellington City Council</w:t>
            </w:r>
          </w:p>
        </w:tc>
        <w:tc>
          <w:tcPr>
            <w:tcW w:w="993" w:type="dxa"/>
            <w:shd w:val="clear" w:color="auto" w:fill="auto"/>
            <w:noWrap/>
            <w:vAlign w:val="center"/>
            <w:hideMark/>
          </w:tcPr>
          <w:p w:rsidR="00107245" w:rsidRPr="00D5126A" w:rsidRDefault="00107245" w:rsidP="008D1C20">
            <w:pPr>
              <w:spacing w:after="0" w:line="240" w:lineRule="auto"/>
              <w:jc w:val="center"/>
              <w:rPr>
                <w:rFonts w:ascii="Arial" w:eastAsia="Times New Roman" w:hAnsi="Arial" w:cs="Arial"/>
                <w:b/>
                <w:bCs/>
                <w:color w:val="000000"/>
                <w:sz w:val="20"/>
                <w:lang w:eastAsia="en-NZ"/>
              </w:rPr>
            </w:pPr>
            <w:r w:rsidRPr="00D5126A">
              <w:rPr>
                <w:rFonts w:ascii="Arial" w:eastAsia="Times New Roman" w:hAnsi="Arial" w:cs="Arial"/>
                <w:b/>
                <w:bCs/>
                <w:color w:val="000000"/>
                <w:sz w:val="20"/>
                <w:lang w:eastAsia="en-NZ"/>
              </w:rPr>
              <w:t>1,000</w:t>
            </w:r>
          </w:p>
        </w:tc>
        <w:tc>
          <w:tcPr>
            <w:tcW w:w="1275" w:type="dxa"/>
            <w:shd w:val="clear" w:color="auto" w:fill="auto"/>
            <w:noWrap/>
            <w:vAlign w:val="center"/>
            <w:hideMark/>
          </w:tcPr>
          <w:p w:rsidR="00107245" w:rsidRPr="00D5126A" w:rsidRDefault="00107245" w:rsidP="008D1C20">
            <w:pPr>
              <w:spacing w:after="0" w:line="240" w:lineRule="auto"/>
              <w:jc w:val="center"/>
              <w:rPr>
                <w:rFonts w:ascii="Arial" w:eastAsia="Times New Roman" w:hAnsi="Arial" w:cs="Arial"/>
                <w:b/>
                <w:bCs/>
                <w:color w:val="000000"/>
                <w:sz w:val="20"/>
                <w:lang w:eastAsia="en-NZ"/>
              </w:rPr>
            </w:pPr>
            <w:r w:rsidRPr="00D5126A">
              <w:rPr>
                <w:rFonts w:ascii="Arial" w:eastAsia="Times New Roman" w:hAnsi="Arial" w:cs="Arial"/>
                <w:b/>
                <w:bCs/>
                <w:color w:val="000000"/>
                <w:sz w:val="20"/>
                <w:lang w:eastAsia="en-NZ"/>
              </w:rPr>
              <w:t>529</w:t>
            </w:r>
          </w:p>
        </w:tc>
        <w:tc>
          <w:tcPr>
            <w:tcW w:w="1134" w:type="dxa"/>
            <w:shd w:val="clear" w:color="auto" w:fill="auto"/>
            <w:noWrap/>
            <w:vAlign w:val="center"/>
            <w:hideMark/>
          </w:tcPr>
          <w:p w:rsidR="00107245" w:rsidRPr="00D5126A" w:rsidRDefault="00107245" w:rsidP="008D1C20">
            <w:pPr>
              <w:spacing w:after="0" w:line="240" w:lineRule="auto"/>
              <w:jc w:val="center"/>
              <w:rPr>
                <w:rFonts w:ascii="Arial" w:eastAsia="Times New Roman" w:hAnsi="Arial" w:cs="Arial"/>
                <w:b/>
                <w:bCs/>
                <w:color w:val="000000"/>
                <w:sz w:val="20"/>
                <w:lang w:eastAsia="en-NZ"/>
              </w:rPr>
            </w:pPr>
            <w:r w:rsidRPr="00D5126A">
              <w:rPr>
                <w:rFonts w:ascii="Arial" w:eastAsia="Times New Roman" w:hAnsi="Arial" w:cs="Arial"/>
                <w:b/>
                <w:bCs/>
                <w:color w:val="000000"/>
                <w:sz w:val="20"/>
                <w:lang w:eastAsia="en-NZ"/>
              </w:rPr>
              <w:t>80</w:t>
            </w:r>
          </w:p>
        </w:tc>
        <w:tc>
          <w:tcPr>
            <w:tcW w:w="1113" w:type="dxa"/>
            <w:shd w:val="clear" w:color="auto" w:fill="auto"/>
            <w:noWrap/>
            <w:vAlign w:val="center"/>
            <w:hideMark/>
          </w:tcPr>
          <w:p w:rsidR="00107245" w:rsidRPr="00D5126A" w:rsidRDefault="00107245" w:rsidP="008D1C20">
            <w:pPr>
              <w:spacing w:after="0" w:line="240" w:lineRule="auto"/>
              <w:jc w:val="center"/>
              <w:rPr>
                <w:rFonts w:ascii="Arial" w:eastAsia="Times New Roman" w:hAnsi="Arial" w:cs="Arial"/>
                <w:b/>
                <w:bCs/>
                <w:color w:val="000000"/>
                <w:sz w:val="20"/>
                <w:lang w:eastAsia="en-NZ"/>
              </w:rPr>
            </w:pPr>
            <w:r w:rsidRPr="00D5126A">
              <w:rPr>
                <w:rFonts w:ascii="Arial" w:eastAsia="Times New Roman" w:hAnsi="Arial" w:cs="Arial"/>
                <w:b/>
                <w:bCs/>
                <w:color w:val="000000"/>
                <w:sz w:val="20"/>
                <w:lang w:eastAsia="en-NZ"/>
              </w:rPr>
              <w:t>15</w:t>
            </w:r>
          </w:p>
        </w:tc>
        <w:tc>
          <w:tcPr>
            <w:tcW w:w="872" w:type="dxa"/>
            <w:shd w:val="clear" w:color="auto" w:fill="auto"/>
            <w:noWrap/>
            <w:vAlign w:val="center"/>
            <w:hideMark/>
          </w:tcPr>
          <w:p w:rsidR="00107245" w:rsidRPr="00D5126A" w:rsidRDefault="00107245" w:rsidP="008D1C20">
            <w:pPr>
              <w:spacing w:after="0" w:line="240" w:lineRule="auto"/>
              <w:jc w:val="center"/>
              <w:rPr>
                <w:rFonts w:ascii="Arial" w:eastAsia="Times New Roman" w:hAnsi="Arial" w:cs="Arial"/>
                <w:b/>
                <w:bCs/>
                <w:color w:val="000000"/>
                <w:sz w:val="20"/>
                <w:lang w:eastAsia="en-NZ"/>
              </w:rPr>
            </w:pPr>
            <w:r w:rsidRPr="00D5126A">
              <w:rPr>
                <w:rFonts w:ascii="Arial" w:eastAsia="Times New Roman" w:hAnsi="Arial" w:cs="Arial"/>
                <w:b/>
                <w:bCs/>
                <w:color w:val="000000"/>
                <w:sz w:val="20"/>
                <w:lang w:eastAsia="en-NZ"/>
              </w:rPr>
              <w:t>173</w:t>
            </w:r>
          </w:p>
        </w:tc>
        <w:tc>
          <w:tcPr>
            <w:tcW w:w="1276" w:type="dxa"/>
            <w:shd w:val="clear" w:color="auto" w:fill="auto"/>
            <w:noWrap/>
            <w:vAlign w:val="center"/>
            <w:hideMark/>
          </w:tcPr>
          <w:p w:rsidR="00107245" w:rsidRPr="00D5126A" w:rsidRDefault="00107245" w:rsidP="008D1C20">
            <w:pPr>
              <w:spacing w:after="0" w:line="240" w:lineRule="auto"/>
              <w:jc w:val="center"/>
              <w:rPr>
                <w:rFonts w:ascii="Arial" w:eastAsia="Times New Roman" w:hAnsi="Arial" w:cs="Arial"/>
                <w:b/>
                <w:bCs/>
                <w:color w:val="000000"/>
                <w:sz w:val="20"/>
                <w:lang w:eastAsia="en-NZ"/>
              </w:rPr>
            </w:pPr>
            <w:r w:rsidRPr="00D5126A">
              <w:rPr>
                <w:rFonts w:ascii="Arial" w:eastAsia="Times New Roman" w:hAnsi="Arial" w:cs="Arial"/>
                <w:b/>
                <w:bCs/>
                <w:color w:val="000000"/>
                <w:sz w:val="20"/>
                <w:lang w:eastAsia="en-NZ"/>
              </w:rPr>
              <w:t>6</w:t>
            </w:r>
          </w:p>
        </w:tc>
        <w:tc>
          <w:tcPr>
            <w:tcW w:w="1281" w:type="dxa"/>
            <w:shd w:val="clear" w:color="auto" w:fill="auto"/>
            <w:noWrap/>
            <w:vAlign w:val="center"/>
            <w:hideMark/>
          </w:tcPr>
          <w:p w:rsidR="00107245" w:rsidRPr="00D5126A" w:rsidRDefault="00107245" w:rsidP="008D1C20">
            <w:pPr>
              <w:spacing w:after="0" w:line="240" w:lineRule="auto"/>
              <w:jc w:val="center"/>
              <w:rPr>
                <w:rFonts w:ascii="Arial" w:eastAsia="Times New Roman" w:hAnsi="Arial" w:cs="Arial"/>
                <w:b/>
                <w:bCs/>
                <w:color w:val="000000"/>
                <w:sz w:val="20"/>
                <w:lang w:eastAsia="en-NZ"/>
              </w:rPr>
            </w:pPr>
            <w:r w:rsidRPr="00D5126A">
              <w:rPr>
                <w:rFonts w:ascii="Arial" w:eastAsia="Times New Roman" w:hAnsi="Arial" w:cs="Arial"/>
                <w:b/>
                <w:bCs/>
                <w:color w:val="000000"/>
                <w:sz w:val="20"/>
                <w:lang w:eastAsia="en-NZ"/>
              </w:rPr>
              <w:t>1,803</w:t>
            </w:r>
          </w:p>
        </w:tc>
        <w:tc>
          <w:tcPr>
            <w:tcW w:w="995" w:type="dxa"/>
            <w:shd w:val="clear" w:color="auto" w:fill="auto"/>
            <w:noWrap/>
            <w:vAlign w:val="center"/>
            <w:hideMark/>
          </w:tcPr>
          <w:p w:rsidR="00107245" w:rsidRPr="00D5126A" w:rsidRDefault="00107245" w:rsidP="008D1C20">
            <w:pPr>
              <w:spacing w:after="0" w:line="240" w:lineRule="auto"/>
              <w:jc w:val="center"/>
              <w:rPr>
                <w:rFonts w:ascii="Arial" w:eastAsia="Times New Roman" w:hAnsi="Arial" w:cs="Arial"/>
                <w:b/>
                <w:bCs/>
                <w:color w:val="000000"/>
                <w:sz w:val="20"/>
                <w:lang w:eastAsia="en-NZ"/>
              </w:rPr>
            </w:pPr>
            <w:r w:rsidRPr="00D5126A">
              <w:rPr>
                <w:rFonts w:ascii="Arial" w:eastAsia="Times New Roman" w:hAnsi="Arial" w:cs="Arial"/>
                <w:b/>
                <w:bCs/>
                <w:color w:val="000000"/>
                <w:sz w:val="20"/>
                <w:lang w:eastAsia="en-NZ"/>
              </w:rPr>
              <w:t>1,339.51</w:t>
            </w:r>
          </w:p>
        </w:tc>
      </w:tr>
    </w:tbl>
    <w:p w:rsidR="00107245" w:rsidRPr="00D5126A" w:rsidRDefault="00107245" w:rsidP="00107245">
      <w:pPr>
        <w:pBdr>
          <w:top w:val="none" w:sz="8" w:space="0" w:color="auto"/>
          <w:left w:val="none" w:sz="8" w:space="0" w:color="auto"/>
          <w:bottom w:val="none" w:sz="8" w:space="0" w:color="auto"/>
          <w:right w:val="none" w:sz="8" w:space="0" w:color="auto"/>
        </w:pBdr>
        <w:spacing w:beforeLines="100" w:before="240" w:after="109" w:line="240" w:lineRule="auto"/>
        <w:rPr>
          <w:rFonts w:ascii="Arial" w:eastAsia="Times New Roman" w:hAnsi="Arial"/>
          <w:b/>
        </w:rPr>
      </w:pPr>
      <w:r w:rsidRPr="00D5126A">
        <w:rPr>
          <w:rFonts w:ascii="Arial" w:eastAsia="Times New Roman" w:hAnsi="Arial"/>
          <w:b/>
        </w:rPr>
        <w:t>Staff numbers by contract type</w:t>
      </w:r>
    </w:p>
    <w:tbl>
      <w:tblPr>
        <w:tblW w:w="5400" w:type="dxa"/>
        <w:tblInd w:w="93" w:type="dxa"/>
        <w:tblLook w:val="04A0" w:firstRow="1" w:lastRow="0" w:firstColumn="1" w:lastColumn="0" w:noHBand="0" w:noVBand="1"/>
      </w:tblPr>
      <w:tblGrid>
        <w:gridCol w:w="2560"/>
        <w:gridCol w:w="1420"/>
        <w:gridCol w:w="1420"/>
      </w:tblGrid>
      <w:tr w:rsidR="00107245" w:rsidRPr="00D5126A" w:rsidTr="008D1C20">
        <w:trPr>
          <w:trHeight w:val="300"/>
        </w:trPr>
        <w:tc>
          <w:tcPr>
            <w:tcW w:w="2560" w:type="dxa"/>
            <w:tcBorders>
              <w:top w:val="single" w:sz="4" w:space="0" w:color="0070C0"/>
              <w:left w:val="single" w:sz="4" w:space="0" w:color="0070C0"/>
              <w:bottom w:val="single" w:sz="4" w:space="0" w:color="0070C0"/>
              <w:right w:val="single" w:sz="4" w:space="0" w:color="0070C0"/>
            </w:tcBorders>
            <w:shd w:val="clear" w:color="auto" w:fill="00B0F0"/>
            <w:noWrap/>
            <w:vAlign w:val="bottom"/>
            <w:hideMark/>
          </w:tcPr>
          <w:p w:rsidR="00107245" w:rsidRPr="00D5126A" w:rsidRDefault="00107245" w:rsidP="008D1C20">
            <w:pPr>
              <w:spacing w:after="0" w:line="240" w:lineRule="auto"/>
              <w:rPr>
                <w:rFonts w:ascii="Arial" w:eastAsia="Times New Roman" w:hAnsi="Arial" w:cs="Arial"/>
                <w:b/>
                <w:color w:val="FFFFFF"/>
                <w:sz w:val="20"/>
                <w:szCs w:val="20"/>
                <w:lang w:eastAsia="en-NZ"/>
              </w:rPr>
            </w:pPr>
            <w:r w:rsidRPr="00D5126A">
              <w:rPr>
                <w:rFonts w:ascii="Arial" w:eastAsia="Times New Roman" w:hAnsi="Arial" w:cs="Arial"/>
                <w:b/>
                <w:color w:val="FFFFFF"/>
                <w:sz w:val="20"/>
                <w:szCs w:val="20"/>
                <w:lang w:eastAsia="en-NZ"/>
              </w:rPr>
              <w:t>Staff Numbers by Employee Type</w:t>
            </w:r>
          </w:p>
        </w:tc>
        <w:tc>
          <w:tcPr>
            <w:tcW w:w="1420" w:type="dxa"/>
            <w:tcBorders>
              <w:top w:val="single" w:sz="4" w:space="0" w:color="0070C0"/>
              <w:left w:val="nil"/>
              <w:bottom w:val="single" w:sz="4" w:space="0" w:color="0070C0"/>
              <w:right w:val="single" w:sz="4" w:space="0" w:color="0070C0"/>
            </w:tcBorders>
            <w:shd w:val="clear" w:color="auto" w:fill="00B0F0"/>
            <w:noWrap/>
            <w:vAlign w:val="bottom"/>
            <w:hideMark/>
          </w:tcPr>
          <w:p w:rsidR="00107245" w:rsidRPr="00D5126A" w:rsidRDefault="00107245" w:rsidP="008D1C20">
            <w:pPr>
              <w:spacing w:after="0" w:line="240" w:lineRule="auto"/>
              <w:rPr>
                <w:rFonts w:ascii="Calibri" w:eastAsia="Times New Roman" w:hAnsi="Calibri" w:cs="Calibri"/>
                <w:b/>
                <w:bCs/>
                <w:color w:val="FFFFFF"/>
                <w:sz w:val="20"/>
                <w:szCs w:val="20"/>
                <w:lang w:eastAsia="en-NZ"/>
              </w:rPr>
            </w:pPr>
            <w:r w:rsidRPr="00D5126A">
              <w:rPr>
                <w:rFonts w:ascii="Calibri" w:eastAsia="Times New Roman" w:hAnsi="Calibri" w:cs="Calibri"/>
                <w:b/>
                <w:bCs/>
                <w:color w:val="FFFFFF"/>
                <w:sz w:val="20"/>
                <w:szCs w:val="20"/>
                <w:lang w:eastAsia="en-NZ"/>
              </w:rPr>
              <w:t> Number</w:t>
            </w:r>
          </w:p>
        </w:tc>
        <w:tc>
          <w:tcPr>
            <w:tcW w:w="1420" w:type="dxa"/>
            <w:tcBorders>
              <w:top w:val="single" w:sz="4" w:space="0" w:color="0070C0"/>
              <w:left w:val="nil"/>
              <w:bottom w:val="single" w:sz="4" w:space="0" w:color="0070C0"/>
              <w:right w:val="single" w:sz="4" w:space="0" w:color="0070C0"/>
            </w:tcBorders>
            <w:shd w:val="clear" w:color="auto" w:fill="00B0F0"/>
            <w:noWrap/>
            <w:vAlign w:val="bottom"/>
            <w:hideMark/>
          </w:tcPr>
          <w:p w:rsidR="00107245" w:rsidRPr="00D5126A" w:rsidRDefault="00107245" w:rsidP="008D1C20">
            <w:pPr>
              <w:spacing w:after="0" w:line="240" w:lineRule="auto"/>
              <w:jc w:val="center"/>
              <w:rPr>
                <w:rFonts w:ascii="Arial" w:eastAsia="Times New Roman" w:hAnsi="Arial" w:cs="Arial"/>
                <w:b/>
                <w:color w:val="FFFFFF"/>
                <w:sz w:val="20"/>
                <w:szCs w:val="20"/>
                <w:lang w:eastAsia="en-NZ"/>
              </w:rPr>
            </w:pPr>
            <w:r w:rsidRPr="00D5126A">
              <w:rPr>
                <w:rFonts w:ascii="Arial" w:eastAsia="Times New Roman" w:hAnsi="Arial" w:cs="Arial"/>
                <w:b/>
                <w:color w:val="FFFFFF"/>
                <w:sz w:val="20"/>
                <w:szCs w:val="20"/>
                <w:lang w:eastAsia="en-NZ"/>
              </w:rPr>
              <w:t>% of total</w:t>
            </w:r>
          </w:p>
        </w:tc>
      </w:tr>
      <w:tr w:rsidR="00107245" w:rsidRPr="00D5126A" w:rsidTr="008D1C20">
        <w:trPr>
          <w:trHeight w:val="300"/>
        </w:trPr>
        <w:tc>
          <w:tcPr>
            <w:tcW w:w="2560" w:type="dxa"/>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rsidR="00107245" w:rsidRPr="00D5126A" w:rsidRDefault="00107245" w:rsidP="008D1C20">
            <w:pPr>
              <w:spacing w:after="0" w:line="240" w:lineRule="auto"/>
              <w:rPr>
                <w:rFonts w:ascii="Arial" w:eastAsia="Times New Roman" w:hAnsi="Arial" w:cs="Arial"/>
                <w:color w:val="000000"/>
                <w:sz w:val="20"/>
                <w:lang w:eastAsia="en-NZ"/>
              </w:rPr>
            </w:pPr>
            <w:r w:rsidRPr="00D5126A">
              <w:rPr>
                <w:rFonts w:ascii="Arial" w:eastAsia="Times New Roman" w:hAnsi="Arial" w:cs="Arial"/>
                <w:color w:val="000000"/>
                <w:sz w:val="20"/>
                <w:lang w:eastAsia="en-NZ"/>
              </w:rPr>
              <w:t>Full-Time</w:t>
            </w:r>
          </w:p>
        </w:tc>
        <w:tc>
          <w:tcPr>
            <w:tcW w:w="1420" w:type="dxa"/>
            <w:tcBorders>
              <w:top w:val="single" w:sz="4" w:space="0" w:color="0070C0"/>
              <w:left w:val="nil"/>
              <w:bottom w:val="single" w:sz="4" w:space="0" w:color="0070C0"/>
              <w:right w:val="single" w:sz="4" w:space="0" w:color="0070C0"/>
            </w:tcBorders>
            <w:shd w:val="clear" w:color="auto" w:fill="auto"/>
            <w:noWrap/>
            <w:vAlign w:val="bottom"/>
            <w:hideMark/>
          </w:tcPr>
          <w:p w:rsidR="00107245" w:rsidRPr="00D5126A" w:rsidRDefault="00107245" w:rsidP="008D1C20">
            <w:pPr>
              <w:spacing w:after="0" w:line="240" w:lineRule="auto"/>
              <w:jc w:val="right"/>
              <w:rPr>
                <w:rFonts w:ascii="Arial" w:eastAsia="Times New Roman" w:hAnsi="Arial" w:cs="Arial"/>
                <w:color w:val="000000"/>
                <w:sz w:val="20"/>
                <w:lang w:eastAsia="en-NZ"/>
              </w:rPr>
            </w:pPr>
            <w:r w:rsidRPr="00D5126A">
              <w:rPr>
                <w:rFonts w:ascii="Arial" w:eastAsia="Times New Roman" w:hAnsi="Arial" w:cs="Arial"/>
                <w:color w:val="000000"/>
                <w:sz w:val="20"/>
                <w:lang w:eastAsia="en-NZ"/>
              </w:rPr>
              <w:t>1,080</w:t>
            </w:r>
          </w:p>
        </w:tc>
        <w:tc>
          <w:tcPr>
            <w:tcW w:w="1420" w:type="dxa"/>
            <w:tcBorders>
              <w:top w:val="single" w:sz="4" w:space="0" w:color="0070C0"/>
              <w:left w:val="nil"/>
              <w:bottom w:val="single" w:sz="4" w:space="0" w:color="0070C0"/>
              <w:right w:val="single" w:sz="4" w:space="0" w:color="0070C0"/>
            </w:tcBorders>
            <w:shd w:val="clear" w:color="auto" w:fill="auto"/>
            <w:noWrap/>
            <w:vAlign w:val="bottom"/>
            <w:hideMark/>
          </w:tcPr>
          <w:p w:rsidR="00107245" w:rsidRPr="00D5126A" w:rsidRDefault="00107245" w:rsidP="008D1C20">
            <w:pPr>
              <w:spacing w:after="0" w:line="240" w:lineRule="auto"/>
              <w:jc w:val="center"/>
              <w:rPr>
                <w:rFonts w:ascii="Arial" w:eastAsia="Times New Roman" w:hAnsi="Arial" w:cs="Arial"/>
                <w:color w:val="000000"/>
                <w:sz w:val="20"/>
                <w:lang w:eastAsia="en-NZ"/>
              </w:rPr>
            </w:pPr>
            <w:r w:rsidRPr="00D5126A">
              <w:rPr>
                <w:rFonts w:ascii="Arial" w:eastAsia="Times New Roman" w:hAnsi="Arial" w:cs="Arial"/>
                <w:color w:val="000000"/>
                <w:sz w:val="20"/>
                <w:lang w:eastAsia="en-NZ"/>
              </w:rPr>
              <w:t>60%</w:t>
            </w:r>
          </w:p>
        </w:tc>
      </w:tr>
      <w:tr w:rsidR="00107245" w:rsidRPr="00D5126A" w:rsidTr="008D1C20">
        <w:trPr>
          <w:trHeight w:val="300"/>
        </w:trPr>
        <w:tc>
          <w:tcPr>
            <w:tcW w:w="2560" w:type="dxa"/>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rsidR="00107245" w:rsidRPr="00D5126A" w:rsidRDefault="00107245" w:rsidP="008D1C20">
            <w:pPr>
              <w:spacing w:after="0" w:line="240" w:lineRule="auto"/>
              <w:rPr>
                <w:rFonts w:ascii="Arial" w:eastAsia="Times New Roman" w:hAnsi="Arial" w:cs="Arial"/>
                <w:color w:val="000000"/>
                <w:sz w:val="20"/>
                <w:lang w:eastAsia="en-NZ"/>
              </w:rPr>
            </w:pPr>
            <w:r w:rsidRPr="00D5126A">
              <w:rPr>
                <w:rFonts w:ascii="Arial" w:eastAsia="Times New Roman" w:hAnsi="Arial" w:cs="Arial"/>
                <w:color w:val="000000"/>
                <w:sz w:val="20"/>
                <w:lang w:eastAsia="en-NZ"/>
              </w:rPr>
              <w:t>Part-Time</w:t>
            </w:r>
          </w:p>
        </w:tc>
        <w:tc>
          <w:tcPr>
            <w:tcW w:w="1420" w:type="dxa"/>
            <w:tcBorders>
              <w:top w:val="single" w:sz="4" w:space="0" w:color="0070C0"/>
              <w:left w:val="nil"/>
              <w:bottom w:val="single" w:sz="4" w:space="0" w:color="0070C0"/>
              <w:right w:val="single" w:sz="4" w:space="0" w:color="0070C0"/>
            </w:tcBorders>
            <w:shd w:val="clear" w:color="auto" w:fill="auto"/>
            <w:noWrap/>
            <w:vAlign w:val="bottom"/>
            <w:hideMark/>
          </w:tcPr>
          <w:p w:rsidR="00107245" w:rsidRPr="00D5126A" w:rsidRDefault="00107245" w:rsidP="008D1C20">
            <w:pPr>
              <w:spacing w:after="0" w:line="240" w:lineRule="auto"/>
              <w:jc w:val="right"/>
              <w:rPr>
                <w:rFonts w:ascii="Arial" w:eastAsia="Times New Roman" w:hAnsi="Arial" w:cs="Arial"/>
                <w:color w:val="000000"/>
                <w:sz w:val="20"/>
                <w:lang w:eastAsia="en-NZ"/>
              </w:rPr>
            </w:pPr>
            <w:r w:rsidRPr="00D5126A">
              <w:rPr>
                <w:rFonts w:ascii="Arial" w:eastAsia="Times New Roman" w:hAnsi="Arial" w:cs="Arial"/>
                <w:color w:val="000000"/>
                <w:sz w:val="20"/>
                <w:lang w:eastAsia="en-NZ"/>
              </w:rPr>
              <w:t>544</w:t>
            </w:r>
          </w:p>
        </w:tc>
        <w:tc>
          <w:tcPr>
            <w:tcW w:w="1420" w:type="dxa"/>
            <w:tcBorders>
              <w:top w:val="single" w:sz="4" w:space="0" w:color="0070C0"/>
              <w:left w:val="nil"/>
              <w:bottom w:val="single" w:sz="4" w:space="0" w:color="0070C0"/>
              <w:right w:val="single" w:sz="4" w:space="0" w:color="0070C0"/>
            </w:tcBorders>
            <w:shd w:val="clear" w:color="auto" w:fill="auto"/>
            <w:noWrap/>
            <w:vAlign w:val="bottom"/>
            <w:hideMark/>
          </w:tcPr>
          <w:p w:rsidR="00107245" w:rsidRPr="00D5126A" w:rsidRDefault="00107245" w:rsidP="008D1C20">
            <w:pPr>
              <w:spacing w:after="0" w:line="240" w:lineRule="auto"/>
              <w:jc w:val="center"/>
              <w:rPr>
                <w:rFonts w:ascii="Arial" w:eastAsia="Times New Roman" w:hAnsi="Arial" w:cs="Arial"/>
                <w:color w:val="000000"/>
                <w:sz w:val="20"/>
                <w:lang w:eastAsia="en-NZ"/>
              </w:rPr>
            </w:pPr>
            <w:r w:rsidRPr="00D5126A">
              <w:rPr>
                <w:rFonts w:ascii="Arial" w:eastAsia="Times New Roman" w:hAnsi="Arial" w:cs="Arial"/>
                <w:color w:val="000000"/>
                <w:sz w:val="20"/>
                <w:lang w:eastAsia="en-NZ"/>
              </w:rPr>
              <w:t>30%</w:t>
            </w:r>
          </w:p>
        </w:tc>
      </w:tr>
      <w:tr w:rsidR="00107245" w:rsidRPr="00D5126A" w:rsidTr="008D1C20">
        <w:trPr>
          <w:trHeight w:val="300"/>
        </w:trPr>
        <w:tc>
          <w:tcPr>
            <w:tcW w:w="2560" w:type="dxa"/>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rsidR="00107245" w:rsidRPr="00D5126A" w:rsidRDefault="00107245" w:rsidP="008D1C20">
            <w:pPr>
              <w:spacing w:after="0" w:line="240" w:lineRule="auto"/>
              <w:rPr>
                <w:rFonts w:ascii="Arial" w:eastAsia="Times New Roman" w:hAnsi="Arial" w:cs="Arial"/>
                <w:color w:val="000000"/>
                <w:sz w:val="20"/>
                <w:lang w:eastAsia="en-NZ"/>
              </w:rPr>
            </w:pPr>
            <w:r w:rsidRPr="00D5126A">
              <w:rPr>
                <w:rFonts w:ascii="Arial" w:eastAsia="Times New Roman" w:hAnsi="Arial" w:cs="Arial"/>
                <w:color w:val="000000"/>
                <w:sz w:val="20"/>
                <w:lang w:eastAsia="en-NZ"/>
              </w:rPr>
              <w:t>Casual</w:t>
            </w:r>
          </w:p>
        </w:tc>
        <w:tc>
          <w:tcPr>
            <w:tcW w:w="1420" w:type="dxa"/>
            <w:tcBorders>
              <w:top w:val="single" w:sz="4" w:space="0" w:color="0070C0"/>
              <w:left w:val="nil"/>
              <w:bottom w:val="single" w:sz="4" w:space="0" w:color="0070C0"/>
              <w:right w:val="single" w:sz="4" w:space="0" w:color="0070C0"/>
            </w:tcBorders>
            <w:shd w:val="clear" w:color="auto" w:fill="auto"/>
            <w:noWrap/>
            <w:vAlign w:val="bottom"/>
            <w:hideMark/>
          </w:tcPr>
          <w:p w:rsidR="00107245" w:rsidRPr="00D5126A" w:rsidRDefault="00107245" w:rsidP="008D1C20">
            <w:pPr>
              <w:spacing w:after="0" w:line="240" w:lineRule="auto"/>
              <w:jc w:val="right"/>
              <w:rPr>
                <w:rFonts w:ascii="Arial" w:eastAsia="Times New Roman" w:hAnsi="Arial" w:cs="Arial"/>
                <w:color w:val="000000"/>
                <w:sz w:val="20"/>
                <w:lang w:eastAsia="en-NZ"/>
              </w:rPr>
            </w:pPr>
            <w:r w:rsidRPr="00D5126A">
              <w:rPr>
                <w:rFonts w:ascii="Arial" w:eastAsia="Times New Roman" w:hAnsi="Arial" w:cs="Arial"/>
                <w:color w:val="000000"/>
                <w:sz w:val="20"/>
                <w:lang w:eastAsia="en-NZ"/>
              </w:rPr>
              <w:t>173</w:t>
            </w:r>
          </w:p>
        </w:tc>
        <w:tc>
          <w:tcPr>
            <w:tcW w:w="1420" w:type="dxa"/>
            <w:tcBorders>
              <w:top w:val="single" w:sz="4" w:space="0" w:color="0070C0"/>
              <w:left w:val="nil"/>
              <w:bottom w:val="single" w:sz="4" w:space="0" w:color="0070C0"/>
              <w:right w:val="single" w:sz="4" w:space="0" w:color="0070C0"/>
            </w:tcBorders>
            <w:shd w:val="clear" w:color="auto" w:fill="auto"/>
            <w:noWrap/>
            <w:vAlign w:val="bottom"/>
            <w:hideMark/>
          </w:tcPr>
          <w:p w:rsidR="00107245" w:rsidRPr="00D5126A" w:rsidRDefault="00107245" w:rsidP="008D1C20">
            <w:pPr>
              <w:spacing w:after="0" w:line="240" w:lineRule="auto"/>
              <w:jc w:val="center"/>
              <w:rPr>
                <w:rFonts w:ascii="Arial" w:eastAsia="Times New Roman" w:hAnsi="Arial" w:cs="Arial"/>
                <w:color w:val="000000"/>
                <w:sz w:val="20"/>
                <w:lang w:eastAsia="en-NZ"/>
              </w:rPr>
            </w:pPr>
            <w:r w:rsidRPr="00D5126A">
              <w:rPr>
                <w:rFonts w:ascii="Arial" w:eastAsia="Times New Roman" w:hAnsi="Arial" w:cs="Arial"/>
                <w:color w:val="000000"/>
                <w:sz w:val="20"/>
                <w:lang w:eastAsia="en-NZ"/>
              </w:rPr>
              <w:t>10%</w:t>
            </w:r>
          </w:p>
        </w:tc>
      </w:tr>
      <w:tr w:rsidR="00107245" w:rsidRPr="00D5126A" w:rsidTr="008D1C20">
        <w:trPr>
          <w:trHeight w:val="300"/>
        </w:trPr>
        <w:tc>
          <w:tcPr>
            <w:tcW w:w="2560" w:type="dxa"/>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rsidR="00107245" w:rsidRPr="00D5126A" w:rsidRDefault="00107245" w:rsidP="008D1C20">
            <w:pPr>
              <w:spacing w:after="0" w:line="240" w:lineRule="auto"/>
              <w:rPr>
                <w:rFonts w:ascii="Arial" w:eastAsia="Times New Roman" w:hAnsi="Arial" w:cs="Arial"/>
                <w:color w:val="000000"/>
                <w:sz w:val="20"/>
                <w:lang w:eastAsia="en-NZ"/>
              </w:rPr>
            </w:pPr>
            <w:r w:rsidRPr="00D5126A">
              <w:rPr>
                <w:rFonts w:ascii="Arial" w:eastAsia="Times New Roman" w:hAnsi="Arial" w:cs="Arial"/>
                <w:color w:val="000000"/>
                <w:sz w:val="20"/>
                <w:lang w:eastAsia="en-NZ"/>
              </w:rPr>
              <w:t>WCC headcount*</w:t>
            </w:r>
          </w:p>
        </w:tc>
        <w:tc>
          <w:tcPr>
            <w:tcW w:w="1420" w:type="dxa"/>
            <w:tcBorders>
              <w:top w:val="single" w:sz="4" w:space="0" w:color="0070C0"/>
              <w:left w:val="nil"/>
              <w:bottom w:val="single" w:sz="4" w:space="0" w:color="0070C0"/>
              <w:right w:val="single" w:sz="4" w:space="0" w:color="0070C0"/>
            </w:tcBorders>
            <w:shd w:val="clear" w:color="auto" w:fill="auto"/>
            <w:noWrap/>
            <w:vAlign w:val="bottom"/>
            <w:hideMark/>
          </w:tcPr>
          <w:p w:rsidR="00107245" w:rsidRPr="00D5126A" w:rsidRDefault="00107245" w:rsidP="008D1C20">
            <w:pPr>
              <w:spacing w:after="0" w:line="240" w:lineRule="auto"/>
              <w:jc w:val="right"/>
              <w:rPr>
                <w:rFonts w:ascii="Arial" w:eastAsia="Times New Roman" w:hAnsi="Arial" w:cs="Arial"/>
                <w:color w:val="000000"/>
                <w:sz w:val="20"/>
                <w:lang w:eastAsia="en-NZ"/>
              </w:rPr>
            </w:pPr>
            <w:r w:rsidRPr="00D5126A">
              <w:rPr>
                <w:rFonts w:ascii="Arial" w:eastAsia="Times New Roman" w:hAnsi="Arial" w:cs="Arial"/>
                <w:color w:val="000000"/>
                <w:sz w:val="20"/>
                <w:lang w:eastAsia="en-NZ"/>
              </w:rPr>
              <w:t>1,797</w:t>
            </w:r>
          </w:p>
        </w:tc>
        <w:tc>
          <w:tcPr>
            <w:tcW w:w="1420" w:type="dxa"/>
            <w:tcBorders>
              <w:top w:val="single" w:sz="4" w:space="0" w:color="0070C0"/>
              <w:left w:val="nil"/>
              <w:bottom w:val="single" w:sz="4" w:space="0" w:color="0070C0"/>
              <w:right w:val="single" w:sz="4" w:space="0" w:color="0070C0"/>
            </w:tcBorders>
            <w:shd w:val="clear" w:color="auto" w:fill="auto"/>
            <w:noWrap/>
            <w:vAlign w:val="bottom"/>
            <w:hideMark/>
          </w:tcPr>
          <w:p w:rsidR="00107245" w:rsidRPr="00D5126A" w:rsidRDefault="00107245" w:rsidP="008D1C20">
            <w:pPr>
              <w:spacing w:after="0" w:line="240" w:lineRule="auto"/>
              <w:jc w:val="center"/>
              <w:rPr>
                <w:rFonts w:ascii="Arial" w:eastAsia="Times New Roman" w:hAnsi="Arial" w:cs="Arial"/>
                <w:color w:val="000000"/>
                <w:sz w:val="20"/>
                <w:lang w:eastAsia="en-NZ"/>
              </w:rPr>
            </w:pPr>
            <w:r w:rsidRPr="00D5126A">
              <w:rPr>
                <w:rFonts w:ascii="Arial" w:eastAsia="Times New Roman" w:hAnsi="Arial" w:cs="Arial"/>
                <w:color w:val="000000"/>
                <w:sz w:val="20"/>
                <w:lang w:eastAsia="en-NZ"/>
              </w:rPr>
              <w:t>100%</w:t>
            </w:r>
          </w:p>
        </w:tc>
      </w:tr>
      <w:tr w:rsidR="00107245" w:rsidRPr="00D5126A" w:rsidTr="008D1C20">
        <w:trPr>
          <w:trHeight w:val="300"/>
        </w:trPr>
        <w:tc>
          <w:tcPr>
            <w:tcW w:w="5400" w:type="dxa"/>
            <w:gridSpan w:val="3"/>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rsidR="00107245" w:rsidRPr="00D5126A" w:rsidRDefault="00107245" w:rsidP="008D1C20">
            <w:pPr>
              <w:spacing w:after="0" w:line="240" w:lineRule="auto"/>
              <w:rPr>
                <w:rFonts w:ascii="Calibri" w:eastAsia="Times New Roman" w:hAnsi="Calibri" w:cs="Calibri"/>
                <w:color w:val="000000"/>
                <w:lang w:eastAsia="en-NZ"/>
              </w:rPr>
            </w:pPr>
            <w:r w:rsidRPr="00D5126A">
              <w:rPr>
                <w:rFonts w:ascii="Arial" w:eastAsia="Times New Roman" w:hAnsi="Arial" w:cs="Arial"/>
                <w:i/>
                <w:iCs/>
                <w:color w:val="000000"/>
                <w:sz w:val="20"/>
                <w:lang w:eastAsia="en-NZ"/>
              </w:rPr>
              <w:t>*excludes contractors</w:t>
            </w:r>
          </w:p>
        </w:tc>
      </w:tr>
    </w:tbl>
    <w:p w:rsidR="00107245" w:rsidRPr="00D5126A" w:rsidRDefault="00107245" w:rsidP="00060BDF">
      <w:pPr>
        <w:pBdr>
          <w:top w:val="none" w:sz="8" w:space="0" w:color="auto"/>
          <w:left w:val="none" w:sz="8" w:space="0" w:color="auto"/>
          <w:bottom w:val="none" w:sz="8" w:space="0" w:color="auto"/>
          <w:right w:val="none" w:sz="8" w:space="0" w:color="auto"/>
        </w:pBdr>
        <w:spacing w:beforeLines="100" w:before="240" w:after="109" w:line="240" w:lineRule="auto"/>
        <w:rPr>
          <w:rFonts w:ascii="Arial" w:eastAsia="Times New Roman" w:hAnsi="Arial"/>
        </w:rPr>
      </w:pPr>
      <w:r w:rsidRPr="00D5126A">
        <w:rPr>
          <w:rFonts w:ascii="Arial" w:eastAsia="Times New Roman" w:hAnsi="Arial"/>
        </w:rPr>
        <w:t>Of our 1803 staff, 85 percent are permanent employees and 15 percent are on other contract types.</w:t>
      </w:r>
      <w:r w:rsidR="0093151B">
        <w:rPr>
          <w:rFonts w:ascii="Arial" w:eastAsia="Times New Roman" w:hAnsi="Arial"/>
        </w:rPr>
        <w:t xml:space="preserve"> During the year 345 permanent staff exited the organisation and 302 were hired.</w:t>
      </w:r>
    </w:p>
    <w:p w:rsidR="00107245" w:rsidRPr="00D5126A" w:rsidRDefault="00107245" w:rsidP="00107245">
      <w:pPr>
        <w:pBdr>
          <w:top w:val="none" w:sz="8" w:space="0" w:color="auto"/>
          <w:left w:val="none" w:sz="8" w:space="0" w:color="auto"/>
          <w:bottom w:val="none" w:sz="8" w:space="0" w:color="auto"/>
          <w:right w:val="none" w:sz="8" w:space="0" w:color="auto"/>
        </w:pBdr>
        <w:spacing w:beforeLines="100" w:before="240" w:after="109" w:line="240" w:lineRule="auto"/>
        <w:rPr>
          <w:rFonts w:ascii="Arial" w:eastAsia="Times New Roman" w:hAnsi="Arial"/>
          <w:b/>
        </w:rPr>
      </w:pPr>
      <w:r w:rsidRPr="00D5126A">
        <w:rPr>
          <w:rFonts w:ascii="Arial" w:eastAsia="Times New Roman" w:hAnsi="Arial"/>
          <w:b/>
        </w:rPr>
        <w:t>Breakdown of staff by contract type</w:t>
      </w:r>
    </w:p>
    <w:tbl>
      <w:tblPr>
        <w:tblW w:w="5400" w:type="dxa"/>
        <w:tblInd w:w="93" w:type="dxa"/>
        <w:tblLook w:val="04A0" w:firstRow="1" w:lastRow="0" w:firstColumn="1" w:lastColumn="0" w:noHBand="0" w:noVBand="1"/>
      </w:tblPr>
      <w:tblGrid>
        <w:gridCol w:w="2560"/>
        <w:gridCol w:w="1420"/>
        <w:gridCol w:w="1420"/>
      </w:tblGrid>
      <w:tr w:rsidR="00107245" w:rsidRPr="00D5126A" w:rsidTr="008D1C20">
        <w:trPr>
          <w:trHeight w:val="300"/>
        </w:trPr>
        <w:tc>
          <w:tcPr>
            <w:tcW w:w="2560" w:type="dxa"/>
            <w:tcBorders>
              <w:top w:val="single" w:sz="4" w:space="0" w:color="0070C0"/>
              <w:left w:val="single" w:sz="4" w:space="0" w:color="0070C0"/>
              <w:bottom w:val="single" w:sz="4" w:space="0" w:color="0070C0"/>
              <w:right w:val="single" w:sz="4" w:space="0" w:color="0070C0"/>
            </w:tcBorders>
            <w:shd w:val="clear" w:color="auto" w:fill="00B0F0"/>
            <w:noWrap/>
            <w:vAlign w:val="bottom"/>
            <w:hideMark/>
          </w:tcPr>
          <w:p w:rsidR="00107245" w:rsidRPr="00D5126A" w:rsidRDefault="00107245" w:rsidP="008D1C20">
            <w:pPr>
              <w:spacing w:after="0" w:line="240" w:lineRule="auto"/>
              <w:rPr>
                <w:rFonts w:ascii="Arial" w:eastAsia="Times New Roman" w:hAnsi="Arial" w:cs="Arial"/>
                <w:b/>
                <w:color w:val="FFFFFF"/>
                <w:sz w:val="20"/>
                <w:szCs w:val="20"/>
                <w:lang w:eastAsia="en-NZ"/>
              </w:rPr>
            </w:pPr>
            <w:r w:rsidRPr="00D5126A">
              <w:rPr>
                <w:rFonts w:ascii="Arial" w:eastAsia="Times New Roman" w:hAnsi="Arial" w:cs="Arial"/>
                <w:b/>
                <w:color w:val="FFFFFF"/>
                <w:sz w:val="20"/>
                <w:szCs w:val="20"/>
                <w:lang w:eastAsia="en-NZ"/>
              </w:rPr>
              <w:lastRenderedPageBreak/>
              <w:t>Staff Numbers by Employee Class</w:t>
            </w:r>
          </w:p>
        </w:tc>
        <w:tc>
          <w:tcPr>
            <w:tcW w:w="1420" w:type="dxa"/>
            <w:tcBorders>
              <w:top w:val="single" w:sz="4" w:space="0" w:color="0070C0"/>
              <w:left w:val="nil"/>
              <w:bottom w:val="single" w:sz="4" w:space="0" w:color="0070C0"/>
              <w:right w:val="single" w:sz="4" w:space="0" w:color="0070C0"/>
            </w:tcBorders>
            <w:shd w:val="clear" w:color="auto" w:fill="00B0F0"/>
            <w:noWrap/>
            <w:vAlign w:val="bottom"/>
            <w:hideMark/>
          </w:tcPr>
          <w:p w:rsidR="00107245" w:rsidRPr="00D5126A" w:rsidRDefault="00107245" w:rsidP="008D1C20">
            <w:pPr>
              <w:spacing w:after="0" w:line="240" w:lineRule="auto"/>
              <w:rPr>
                <w:rFonts w:ascii="Calibri" w:eastAsia="Times New Roman" w:hAnsi="Calibri" w:cs="Calibri"/>
                <w:b/>
                <w:color w:val="FFFFFF"/>
                <w:sz w:val="20"/>
                <w:szCs w:val="20"/>
                <w:lang w:eastAsia="en-NZ"/>
              </w:rPr>
            </w:pPr>
            <w:r w:rsidRPr="00D5126A">
              <w:rPr>
                <w:rFonts w:ascii="Calibri" w:eastAsia="Times New Roman" w:hAnsi="Calibri" w:cs="Calibri"/>
                <w:b/>
                <w:color w:val="FFFFFF"/>
                <w:sz w:val="20"/>
                <w:szCs w:val="20"/>
                <w:lang w:eastAsia="en-NZ"/>
              </w:rPr>
              <w:t> </w:t>
            </w:r>
          </w:p>
        </w:tc>
        <w:tc>
          <w:tcPr>
            <w:tcW w:w="1420" w:type="dxa"/>
            <w:tcBorders>
              <w:top w:val="single" w:sz="4" w:space="0" w:color="0070C0"/>
              <w:left w:val="nil"/>
              <w:bottom w:val="single" w:sz="4" w:space="0" w:color="0070C0"/>
              <w:right w:val="single" w:sz="4" w:space="0" w:color="0070C0"/>
            </w:tcBorders>
            <w:shd w:val="clear" w:color="auto" w:fill="00B0F0"/>
            <w:noWrap/>
            <w:vAlign w:val="bottom"/>
            <w:hideMark/>
          </w:tcPr>
          <w:p w:rsidR="00107245" w:rsidRPr="00D5126A" w:rsidRDefault="00107245" w:rsidP="008D1C20">
            <w:pPr>
              <w:spacing w:after="0" w:line="240" w:lineRule="auto"/>
              <w:jc w:val="center"/>
              <w:rPr>
                <w:rFonts w:ascii="Arial" w:eastAsia="Times New Roman" w:hAnsi="Arial" w:cs="Arial"/>
                <w:b/>
                <w:color w:val="FFFFFF"/>
                <w:sz w:val="20"/>
                <w:szCs w:val="20"/>
                <w:lang w:eastAsia="en-NZ"/>
              </w:rPr>
            </w:pPr>
            <w:r w:rsidRPr="00D5126A">
              <w:rPr>
                <w:rFonts w:ascii="Arial" w:eastAsia="Times New Roman" w:hAnsi="Arial" w:cs="Arial"/>
                <w:b/>
                <w:color w:val="FFFFFF"/>
                <w:sz w:val="20"/>
                <w:szCs w:val="20"/>
                <w:lang w:eastAsia="en-NZ"/>
              </w:rPr>
              <w:t>Ratio</w:t>
            </w:r>
          </w:p>
        </w:tc>
      </w:tr>
      <w:tr w:rsidR="00107245" w:rsidRPr="00D5126A" w:rsidTr="008D1C20">
        <w:trPr>
          <w:trHeight w:val="300"/>
        </w:trPr>
        <w:tc>
          <w:tcPr>
            <w:tcW w:w="2560" w:type="dxa"/>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rsidR="00107245" w:rsidRPr="00D5126A" w:rsidRDefault="00107245" w:rsidP="008D1C20">
            <w:pPr>
              <w:spacing w:after="0" w:line="240" w:lineRule="auto"/>
              <w:rPr>
                <w:rFonts w:ascii="Arial" w:eastAsia="Times New Roman" w:hAnsi="Arial" w:cs="Arial"/>
                <w:color w:val="000000"/>
                <w:sz w:val="20"/>
                <w:lang w:eastAsia="en-NZ"/>
              </w:rPr>
            </w:pPr>
            <w:r w:rsidRPr="00D5126A">
              <w:rPr>
                <w:rFonts w:ascii="Arial" w:eastAsia="Times New Roman" w:hAnsi="Arial" w:cs="Arial"/>
                <w:color w:val="000000"/>
                <w:sz w:val="20"/>
                <w:lang w:eastAsia="en-NZ"/>
              </w:rPr>
              <w:t>Permanent</w:t>
            </w:r>
          </w:p>
        </w:tc>
        <w:tc>
          <w:tcPr>
            <w:tcW w:w="1420" w:type="dxa"/>
            <w:tcBorders>
              <w:top w:val="single" w:sz="4" w:space="0" w:color="0070C0"/>
              <w:left w:val="nil"/>
              <w:bottom w:val="single" w:sz="4" w:space="0" w:color="0070C0"/>
              <w:right w:val="single" w:sz="4" w:space="0" w:color="0070C0"/>
            </w:tcBorders>
            <w:shd w:val="clear" w:color="auto" w:fill="auto"/>
            <w:noWrap/>
            <w:vAlign w:val="bottom"/>
            <w:hideMark/>
          </w:tcPr>
          <w:p w:rsidR="00107245" w:rsidRPr="00D5126A" w:rsidRDefault="00107245" w:rsidP="008D1C20">
            <w:pPr>
              <w:spacing w:after="0" w:line="240" w:lineRule="auto"/>
              <w:jc w:val="right"/>
              <w:rPr>
                <w:rFonts w:ascii="Arial" w:eastAsia="Times New Roman" w:hAnsi="Arial" w:cs="Arial"/>
                <w:color w:val="000000"/>
                <w:sz w:val="20"/>
                <w:lang w:eastAsia="en-NZ"/>
              </w:rPr>
            </w:pPr>
            <w:r w:rsidRPr="00D5126A">
              <w:rPr>
                <w:rFonts w:ascii="Arial" w:eastAsia="Times New Roman" w:hAnsi="Arial" w:cs="Arial"/>
                <w:color w:val="000000"/>
                <w:sz w:val="20"/>
                <w:lang w:eastAsia="en-NZ"/>
              </w:rPr>
              <w:t>1,529</w:t>
            </w:r>
          </w:p>
        </w:tc>
        <w:tc>
          <w:tcPr>
            <w:tcW w:w="1420" w:type="dxa"/>
            <w:tcBorders>
              <w:top w:val="single" w:sz="4" w:space="0" w:color="0070C0"/>
              <w:left w:val="nil"/>
              <w:bottom w:val="single" w:sz="4" w:space="0" w:color="0070C0"/>
              <w:right w:val="single" w:sz="4" w:space="0" w:color="0070C0"/>
            </w:tcBorders>
            <w:shd w:val="clear" w:color="auto" w:fill="auto"/>
            <w:noWrap/>
            <w:vAlign w:val="bottom"/>
            <w:hideMark/>
          </w:tcPr>
          <w:p w:rsidR="00107245" w:rsidRPr="00D5126A" w:rsidRDefault="00107245" w:rsidP="008D1C20">
            <w:pPr>
              <w:spacing w:after="0" w:line="240" w:lineRule="auto"/>
              <w:jc w:val="center"/>
              <w:rPr>
                <w:rFonts w:ascii="Arial" w:eastAsia="Times New Roman" w:hAnsi="Arial" w:cs="Arial"/>
                <w:color w:val="000000"/>
                <w:sz w:val="20"/>
                <w:lang w:eastAsia="en-NZ"/>
              </w:rPr>
            </w:pPr>
            <w:r w:rsidRPr="00D5126A">
              <w:rPr>
                <w:rFonts w:ascii="Arial" w:eastAsia="Times New Roman" w:hAnsi="Arial" w:cs="Arial"/>
                <w:color w:val="000000"/>
                <w:sz w:val="20"/>
                <w:lang w:eastAsia="en-NZ"/>
              </w:rPr>
              <w:t>85%</w:t>
            </w:r>
          </w:p>
        </w:tc>
      </w:tr>
      <w:tr w:rsidR="00107245" w:rsidRPr="00D5126A" w:rsidTr="008D1C20">
        <w:trPr>
          <w:trHeight w:val="300"/>
        </w:trPr>
        <w:tc>
          <w:tcPr>
            <w:tcW w:w="2560" w:type="dxa"/>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rsidR="00107245" w:rsidRPr="00D5126A" w:rsidRDefault="00107245" w:rsidP="008D1C20">
            <w:pPr>
              <w:spacing w:after="0" w:line="240" w:lineRule="auto"/>
              <w:rPr>
                <w:rFonts w:ascii="Arial" w:eastAsia="Times New Roman" w:hAnsi="Arial" w:cs="Arial"/>
                <w:color w:val="000000"/>
                <w:sz w:val="20"/>
                <w:lang w:eastAsia="en-NZ"/>
              </w:rPr>
            </w:pPr>
            <w:r w:rsidRPr="00D5126A">
              <w:rPr>
                <w:rFonts w:ascii="Arial" w:eastAsia="Times New Roman" w:hAnsi="Arial" w:cs="Arial"/>
                <w:color w:val="000000"/>
                <w:sz w:val="20"/>
                <w:lang w:eastAsia="en-NZ"/>
              </w:rPr>
              <w:t>Fixed Term</w:t>
            </w:r>
          </w:p>
        </w:tc>
        <w:tc>
          <w:tcPr>
            <w:tcW w:w="1420" w:type="dxa"/>
            <w:tcBorders>
              <w:top w:val="single" w:sz="4" w:space="0" w:color="0070C0"/>
              <w:left w:val="nil"/>
              <w:bottom w:val="single" w:sz="4" w:space="0" w:color="0070C0"/>
              <w:right w:val="single" w:sz="4" w:space="0" w:color="0070C0"/>
            </w:tcBorders>
            <w:shd w:val="clear" w:color="auto" w:fill="auto"/>
            <w:noWrap/>
            <w:vAlign w:val="bottom"/>
            <w:hideMark/>
          </w:tcPr>
          <w:p w:rsidR="00107245" w:rsidRPr="00D5126A" w:rsidRDefault="00107245" w:rsidP="008D1C20">
            <w:pPr>
              <w:spacing w:after="0" w:line="240" w:lineRule="auto"/>
              <w:jc w:val="right"/>
              <w:rPr>
                <w:rFonts w:ascii="Arial" w:eastAsia="Times New Roman" w:hAnsi="Arial" w:cs="Arial"/>
                <w:color w:val="000000"/>
                <w:sz w:val="20"/>
                <w:lang w:eastAsia="en-NZ"/>
              </w:rPr>
            </w:pPr>
            <w:r w:rsidRPr="00D5126A">
              <w:rPr>
                <w:rFonts w:ascii="Arial" w:eastAsia="Times New Roman" w:hAnsi="Arial" w:cs="Arial"/>
                <w:color w:val="000000"/>
                <w:sz w:val="20"/>
                <w:lang w:eastAsia="en-NZ"/>
              </w:rPr>
              <w:t>95</w:t>
            </w:r>
          </w:p>
        </w:tc>
        <w:tc>
          <w:tcPr>
            <w:tcW w:w="1420" w:type="dxa"/>
            <w:tcBorders>
              <w:top w:val="single" w:sz="4" w:space="0" w:color="0070C0"/>
              <w:left w:val="nil"/>
              <w:bottom w:val="single" w:sz="4" w:space="0" w:color="0070C0"/>
              <w:right w:val="single" w:sz="4" w:space="0" w:color="0070C0"/>
            </w:tcBorders>
            <w:shd w:val="clear" w:color="auto" w:fill="auto"/>
            <w:noWrap/>
            <w:vAlign w:val="bottom"/>
            <w:hideMark/>
          </w:tcPr>
          <w:p w:rsidR="00107245" w:rsidRPr="00D5126A" w:rsidRDefault="00107245" w:rsidP="008D1C20">
            <w:pPr>
              <w:spacing w:after="0" w:line="240" w:lineRule="auto"/>
              <w:jc w:val="center"/>
              <w:rPr>
                <w:rFonts w:ascii="Arial" w:eastAsia="Times New Roman" w:hAnsi="Arial" w:cs="Arial"/>
                <w:color w:val="000000"/>
                <w:sz w:val="20"/>
                <w:lang w:eastAsia="en-NZ"/>
              </w:rPr>
            </w:pPr>
            <w:r w:rsidRPr="00D5126A">
              <w:rPr>
                <w:rFonts w:ascii="Arial" w:eastAsia="Times New Roman" w:hAnsi="Arial" w:cs="Arial"/>
                <w:color w:val="000000"/>
                <w:sz w:val="20"/>
                <w:lang w:eastAsia="en-NZ"/>
              </w:rPr>
              <w:t>5%</w:t>
            </w:r>
          </w:p>
        </w:tc>
      </w:tr>
      <w:tr w:rsidR="00107245" w:rsidRPr="00D5126A" w:rsidTr="008D1C20">
        <w:trPr>
          <w:trHeight w:val="300"/>
        </w:trPr>
        <w:tc>
          <w:tcPr>
            <w:tcW w:w="2560" w:type="dxa"/>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rsidR="00107245" w:rsidRPr="00D5126A" w:rsidRDefault="00107245" w:rsidP="008D1C20">
            <w:pPr>
              <w:spacing w:after="0" w:line="240" w:lineRule="auto"/>
              <w:rPr>
                <w:rFonts w:ascii="Arial" w:eastAsia="Times New Roman" w:hAnsi="Arial" w:cs="Arial"/>
                <w:color w:val="000000"/>
                <w:sz w:val="20"/>
                <w:lang w:eastAsia="en-NZ"/>
              </w:rPr>
            </w:pPr>
            <w:r w:rsidRPr="00D5126A">
              <w:rPr>
                <w:rFonts w:ascii="Arial" w:eastAsia="Times New Roman" w:hAnsi="Arial" w:cs="Arial"/>
                <w:color w:val="000000"/>
                <w:sz w:val="20"/>
                <w:lang w:eastAsia="en-NZ"/>
              </w:rPr>
              <w:t>Casual</w:t>
            </w:r>
          </w:p>
        </w:tc>
        <w:tc>
          <w:tcPr>
            <w:tcW w:w="1420" w:type="dxa"/>
            <w:tcBorders>
              <w:top w:val="single" w:sz="4" w:space="0" w:color="0070C0"/>
              <w:left w:val="nil"/>
              <w:bottom w:val="single" w:sz="4" w:space="0" w:color="0070C0"/>
              <w:right w:val="single" w:sz="4" w:space="0" w:color="0070C0"/>
            </w:tcBorders>
            <w:shd w:val="clear" w:color="auto" w:fill="auto"/>
            <w:noWrap/>
            <w:vAlign w:val="bottom"/>
            <w:hideMark/>
          </w:tcPr>
          <w:p w:rsidR="00107245" w:rsidRPr="00D5126A" w:rsidRDefault="00107245" w:rsidP="008D1C20">
            <w:pPr>
              <w:spacing w:after="0" w:line="240" w:lineRule="auto"/>
              <w:jc w:val="right"/>
              <w:rPr>
                <w:rFonts w:ascii="Arial" w:eastAsia="Times New Roman" w:hAnsi="Arial" w:cs="Arial"/>
                <w:color w:val="000000"/>
                <w:sz w:val="20"/>
                <w:lang w:eastAsia="en-NZ"/>
              </w:rPr>
            </w:pPr>
            <w:r w:rsidRPr="00D5126A">
              <w:rPr>
                <w:rFonts w:ascii="Arial" w:eastAsia="Times New Roman" w:hAnsi="Arial" w:cs="Arial"/>
                <w:color w:val="000000"/>
                <w:sz w:val="20"/>
                <w:lang w:eastAsia="en-NZ"/>
              </w:rPr>
              <w:t>173</w:t>
            </w:r>
          </w:p>
        </w:tc>
        <w:tc>
          <w:tcPr>
            <w:tcW w:w="1420" w:type="dxa"/>
            <w:tcBorders>
              <w:top w:val="single" w:sz="4" w:space="0" w:color="0070C0"/>
              <w:left w:val="nil"/>
              <w:bottom w:val="single" w:sz="4" w:space="0" w:color="0070C0"/>
              <w:right w:val="single" w:sz="4" w:space="0" w:color="0070C0"/>
            </w:tcBorders>
            <w:shd w:val="clear" w:color="auto" w:fill="auto"/>
            <w:noWrap/>
            <w:vAlign w:val="bottom"/>
            <w:hideMark/>
          </w:tcPr>
          <w:p w:rsidR="00107245" w:rsidRPr="00D5126A" w:rsidRDefault="00107245" w:rsidP="008D1C20">
            <w:pPr>
              <w:spacing w:after="0" w:line="240" w:lineRule="auto"/>
              <w:jc w:val="center"/>
              <w:rPr>
                <w:rFonts w:ascii="Arial" w:eastAsia="Times New Roman" w:hAnsi="Arial" w:cs="Arial"/>
                <w:color w:val="000000"/>
                <w:sz w:val="20"/>
                <w:lang w:eastAsia="en-NZ"/>
              </w:rPr>
            </w:pPr>
            <w:r w:rsidRPr="00D5126A">
              <w:rPr>
                <w:rFonts w:ascii="Arial" w:eastAsia="Times New Roman" w:hAnsi="Arial" w:cs="Arial"/>
                <w:color w:val="000000"/>
                <w:sz w:val="20"/>
                <w:lang w:eastAsia="en-NZ"/>
              </w:rPr>
              <w:t>10%</w:t>
            </w:r>
          </w:p>
        </w:tc>
      </w:tr>
      <w:tr w:rsidR="00107245" w:rsidRPr="00D5126A" w:rsidTr="008D1C20">
        <w:trPr>
          <w:trHeight w:val="300"/>
        </w:trPr>
        <w:tc>
          <w:tcPr>
            <w:tcW w:w="2560" w:type="dxa"/>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rsidR="00107245" w:rsidRPr="00D5126A" w:rsidRDefault="00107245" w:rsidP="008D1C20">
            <w:pPr>
              <w:spacing w:after="0" w:line="240" w:lineRule="auto"/>
              <w:rPr>
                <w:rFonts w:ascii="Arial" w:eastAsia="Times New Roman" w:hAnsi="Arial" w:cs="Arial"/>
                <w:color w:val="000000"/>
                <w:sz w:val="20"/>
                <w:lang w:eastAsia="en-NZ"/>
              </w:rPr>
            </w:pPr>
            <w:r w:rsidRPr="00D5126A">
              <w:rPr>
                <w:rFonts w:ascii="Arial" w:eastAsia="Times New Roman" w:hAnsi="Arial" w:cs="Arial"/>
                <w:color w:val="000000"/>
                <w:sz w:val="20"/>
                <w:lang w:eastAsia="en-NZ"/>
              </w:rPr>
              <w:t>WCC headcount*</w:t>
            </w:r>
          </w:p>
        </w:tc>
        <w:tc>
          <w:tcPr>
            <w:tcW w:w="1420" w:type="dxa"/>
            <w:tcBorders>
              <w:top w:val="single" w:sz="4" w:space="0" w:color="0070C0"/>
              <w:left w:val="nil"/>
              <w:bottom w:val="single" w:sz="4" w:space="0" w:color="0070C0"/>
              <w:right w:val="single" w:sz="4" w:space="0" w:color="0070C0"/>
            </w:tcBorders>
            <w:shd w:val="clear" w:color="auto" w:fill="auto"/>
            <w:noWrap/>
            <w:vAlign w:val="bottom"/>
            <w:hideMark/>
          </w:tcPr>
          <w:p w:rsidR="00107245" w:rsidRPr="00D5126A" w:rsidRDefault="00107245" w:rsidP="008D1C20">
            <w:pPr>
              <w:spacing w:after="0" w:line="240" w:lineRule="auto"/>
              <w:jc w:val="right"/>
              <w:rPr>
                <w:rFonts w:ascii="Arial" w:eastAsia="Times New Roman" w:hAnsi="Arial" w:cs="Arial"/>
                <w:color w:val="000000"/>
                <w:sz w:val="20"/>
                <w:lang w:eastAsia="en-NZ"/>
              </w:rPr>
            </w:pPr>
            <w:r w:rsidRPr="00D5126A">
              <w:rPr>
                <w:rFonts w:ascii="Arial" w:eastAsia="Times New Roman" w:hAnsi="Arial" w:cs="Arial"/>
                <w:color w:val="000000"/>
                <w:sz w:val="20"/>
                <w:lang w:eastAsia="en-NZ"/>
              </w:rPr>
              <w:t>1,797</w:t>
            </w:r>
          </w:p>
        </w:tc>
        <w:tc>
          <w:tcPr>
            <w:tcW w:w="1420" w:type="dxa"/>
            <w:tcBorders>
              <w:top w:val="single" w:sz="4" w:space="0" w:color="0070C0"/>
              <w:left w:val="nil"/>
              <w:bottom w:val="single" w:sz="4" w:space="0" w:color="0070C0"/>
              <w:right w:val="single" w:sz="4" w:space="0" w:color="0070C0"/>
            </w:tcBorders>
            <w:shd w:val="clear" w:color="auto" w:fill="auto"/>
            <w:noWrap/>
            <w:vAlign w:val="bottom"/>
            <w:hideMark/>
          </w:tcPr>
          <w:p w:rsidR="00107245" w:rsidRPr="00D5126A" w:rsidRDefault="00107245" w:rsidP="008D1C20">
            <w:pPr>
              <w:spacing w:after="0" w:line="240" w:lineRule="auto"/>
              <w:jc w:val="center"/>
              <w:rPr>
                <w:rFonts w:ascii="Arial" w:eastAsia="Times New Roman" w:hAnsi="Arial" w:cs="Arial"/>
                <w:color w:val="000000"/>
                <w:sz w:val="20"/>
                <w:lang w:eastAsia="en-NZ"/>
              </w:rPr>
            </w:pPr>
            <w:r w:rsidRPr="00D5126A">
              <w:rPr>
                <w:rFonts w:ascii="Arial" w:eastAsia="Times New Roman" w:hAnsi="Arial" w:cs="Arial"/>
                <w:color w:val="000000"/>
                <w:sz w:val="20"/>
                <w:lang w:eastAsia="en-NZ"/>
              </w:rPr>
              <w:t>100%</w:t>
            </w:r>
          </w:p>
        </w:tc>
      </w:tr>
      <w:tr w:rsidR="00107245" w:rsidRPr="00D5126A" w:rsidTr="008D1C20">
        <w:trPr>
          <w:trHeight w:val="300"/>
        </w:trPr>
        <w:tc>
          <w:tcPr>
            <w:tcW w:w="5400" w:type="dxa"/>
            <w:gridSpan w:val="3"/>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rsidR="00107245" w:rsidRPr="00D5126A" w:rsidRDefault="00107245" w:rsidP="008D1C20">
            <w:pPr>
              <w:spacing w:after="0" w:line="240" w:lineRule="auto"/>
              <w:rPr>
                <w:rFonts w:ascii="Calibri" w:eastAsia="Times New Roman" w:hAnsi="Calibri" w:cs="Calibri"/>
                <w:color w:val="000000"/>
                <w:lang w:eastAsia="en-NZ"/>
              </w:rPr>
            </w:pPr>
            <w:r w:rsidRPr="00D5126A">
              <w:rPr>
                <w:rFonts w:ascii="Arial" w:eastAsia="Times New Roman" w:hAnsi="Arial" w:cs="Arial"/>
                <w:i/>
                <w:iCs/>
                <w:color w:val="000000"/>
                <w:sz w:val="20"/>
                <w:lang w:eastAsia="en-NZ"/>
              </w:rPr>
              <w:t>*excluding contractors</w:t>
            </w:r>
          </w:p>
        </w:tc>
      </w:tr>
    </w:tbl>
    <w:p w:rsidR="00107245" w:rsidRPr="00D5126A" w:rsidRDefault="00107245" w:rsidP="00107245">
      <w:pPr>
        <w:pBdr>
          <w:top w:val="none" w:sz="8" w:space="0" w:color="auto"/>
          <w:left w:val="none" w:sz="8" w:space="0" w:color="auto"/>
          <w:bottom w:val="none" w:sz="8" w:space="0" w:color="auto"/>
          <w:right w:val="none" w:sz="8" w:space="0" w:color="auto"/>
        </w:pBdr>
        <w:spacing w:beforeLines="100" w:before="240" w:after="109" w:line="240" w:lineRule="auto"/>
        <w:rPr>
          <w:rFonts w:ascii="Arial" w:eastAsia="Times New Roman" w:hAnsi="Arial"/>
          <w:b/>
        </w:rPr>
      </w:pPr>
      <w:r w:rsidRPr="00D5126A">
        <w:rPr>
          <w:rFonts w:ascii="Arial" w:eastAsia="Times New Roman" w:hAnsi="Arial"/>
          <w:b/>
        </w:rPr>
        <w:t>Breakdown of staff by Directorate and contract type</w:t>
      </w:r>
    </w:p>
    <w:tbl>
      <w:tblPr>
        <w:tblW w:w="8240" w:type="dxa"/>
        <w:tblInd w:w="93" w:type="dxa"/>
        <w:tblLook w:val="04A0" w:firstRow="1" w:lastRow="0" w:firstColumn="1" w:lastColumn="0" w:noHBand="0" w:noVBand="1"/>
      </w:tblPr>
      <w:tblGrid>
        <w:gridCol w:w="2560"/>
        <w:gridCol w:w="1420"/>
        <w:gridCol w:w="1420"/>
        <w:gridCol w:w="1420"/>
        <w:gridCol w:w="1420"/>
      </w:tblGrid>
      <w:tr w:rsidR="00107245" w:rsidRPr="00D5126A" w:rsidTr="008D1C20">
        <w:trPr>
          <w:trHeight w:val="508"/>
        </w:trPr>
        <w:tc>
          <w:tcPr>
            <w:tcW w:w="2560" w:type="dxa"/>
            <w:tcBorders>
              <w:top w:val="single" w:sz="4" w:space="0" w:color="4F81BD"/>
              <w:left w:val="single" w:sz="4" w:space="0" w:color="4F81BD"/>
              <w:bottom w:val="single" w:sz="4" w:space="0" w:color="4F81BD"/>
              <w:right w:val="single" w:sz="4" w:space="0" w:color="4F81BD"/>
            </w:tcBorders>
            <w:shd w:val="clear" w:color="auto" w:fill="00B0F0"/>
            <w:hideMark/>
          </w:tcPr>
          <w:p w:rsidR="00107245" w:rsidRPr="00D5126A" w:rsidRDefault="00107245" w:rsidP="008D1C20">
            <w:pPr>
              <w:spacing w:after="0" w:line="240" w:lineRule="auto"/>
              <w:rPr>
                <w:rFonts w:ascii="Arial" w:eastAsia="Times New Roman" w:hAnsi="Arial" w:cs="Arial"/>
                <w:b/>
                <w:color w:val="FFFFFF"/>
                <w:sz w:val="20"/>
                <w:szCs w:val="20"/>
                <w:lang w:eastAsia="en-NZ"/>
              </w:rPr>
            </w:pPr>
            <w:r w:rsidRPr="00D5126A">
              <w:rPr>
                <w:rFonts w:ascii="Arial" w:eastAsia="Times New Roman" w:hAnsi="Arial" w:cs="Arial"/>
                <w:b/>
                <w:color w:val="FFFFFF"/>
                <w:sz w:val="20"/>
                <w:szCs w:val="20"/>
                <w:lang w:eastAsia="en-NZ"/>
              </w:rPr>
              <w:t>Directorate</w:t>
            </w:r>
          </w:p>
        </w:tc>
        <w:tc>
          <w:tcPr>
            <w:tcW w:w="1420" w:type="dxa"/>
            <w:tcBorders>
              <w:top w:val="single" w:sz="4" w:space="0" w:color="4F81BD"/>
              <w:left w:val="nil"/>
              <w:bottom w:val="single" w:sz="4" w:space="0" w:color="4F81BD"/>
              <w:right w:val="single" w:sz="4" w:space="0" w:color="4F81BD"/>
            </w:tcBorders>
            <w:shd w:val="clear" w:color="auto" w:fill="00B0F0"/>
            <w:hideMark/>
          </w:tcPr>
          <w:p w:rsidR="00107245" w:rsidRPr="00D5126A" w:rsidRDefault="00107245" w:rsidP="008D1C20">
            <w:pPr>
              <w:spacing w:after="0" w:line="240" w:lineRule="auto"/>
              <w:rPr>
                <w:rFonts w:ascii="Arial" w:eastAsia="Times New Roman" w:hAnsi="Arial" w:cs="Arial"/>
                <w:b/>
                <w:color w:val="FFFFFF"/>
                <w:sz w:val="20"/>
                <w:szCs w:val="20"/>
                <w:lang w:eastAsia="en-NZ"/>
              </w:rPr>
            </w:pPr>
            <w:r w:rsidRPr="00D5126A">
              <w:rPr>
                <w:rFonts w:ascii="Arial" w:eastAsia="Times New Roman" w:hAnsi="Arial" w:cs="Arial"/>
                <w:b/>
                <w:color w:val="FFFFFF"/>
                <w:sz w:val="20"/>
                <w:szCs w:val="20"/>
                <w:lang w:eastAsia="en-NZ"/>
              </w:rPr>
              <w:t>Permanent Full-Time</w:t>
            </w:r>
          </w:p>
        </w:tc>
        <w:tc>
          <w:tcPr>
            <w:tcW w:w="1420" w:type="dxa"/>
            <w:tcBorders>
              <w:top w:val="single" w:sz="4" w:space="0" w:color="4F81BD"/>
              <w:left w:val="nil"/>
              <w:bottom w:val="single" w:sz="4" w:space="0" w:color="4F81BD"/>
              <w:right w:val="single" w:sz="4" w:space="0" w:color="4F81BD"/>
            </w:tcBorders>
            <w:shd w:val="clear" w:color="auto" w:fill="00B0F0"/>
            <w:hideMark/>
          </w:tcPr>
          <w:p w:rsidR="00107245" w:rsidRPr="00D5126A" w:rsidRDefault="00107245" w:rsidP="008D1C20">
            <w:pPr>
              <w:spacing w:after="0" w:line="240" w:lineRule="auto"/>
              <w:rPr>
                <w:rFonts w:ascii="Arial" w:eastAsia="Times New Roman" w:hAnsi="Arial" w:cs="Arial"/>
                <w:b/>
                <w:color w:val="FFFFFF"/>
                <w:sz w:val="20"/>
                <w:szCs w:val="20"/>
                <w:lang w:eastAsia="en-NZ"/>
              </w:rPr>
            </w:pPr>
            <w:r w:rsidRPr="00D5126A">
              <w:rPr>
                <w:rFonts w:ascii="Arial" w:eastAsia="Times New Roman" w:hAnsi="Arial" w:cs="Arial"/>
                <w:b/>
                <w:color w:val="FFFFFF"/>
                <w:sz w:val="20"/>
                <w:szCs w:val="20"/>
                <w:lang w:eastAsia="en-NZ"/>
              </w:rPr>
              <w:t>Permanent Part-Time</w:t>
            </w:r>
          </w:p>
        </w:tc>
        <w:tc>
          <w:tcPr>
            <w:tcW w:w="1420" w:type="dxa"/>
            <w:tcBorders>
              <w:top w:val="single" w:sz="4" w:space="0" w:color="4F81BD"/>
              <w:left w:val="nil"/>
              <w:bottom w:val="single" w:sz="4" w:space="0" w:color="4F81BD"/>
              <w:right w:val="single" w:sz="4" w:space="0" w:color="4F81BD"/>
            </w:tcBorders>
            <w:shd w:val="clear" w:color="auto" w:fill="00B0F0"/>
            <w:hideMark/>
          </w:tcPr>
          <w:p w:rsidR="00107245" w:rsidRPr="00D5126A" w:rsidRDefault="00107245" w:rsidP="008D1C20">
            <w:pPr>
              <w:spacing w:after="0" w:line="240" w:lineRule="auto"/>
              <w:rPr>
                <w:rFonts w:ascii="Arial" w:eastAsia="Times New Roman" w:hAnsi="Arial" w:cs="Arial"/>
                <w:b/>
                <w:color w:val="FFFFFF"/>
                <w:sz w:val="20"/>
                <w:szCs w:val="20"/>
                <w:lang w:eastAsia="en-NZ"/>
              </w:rPr>
            </w:pPr>
            <w:r w:rsidRPr="00D5126A">
              <w:rPr>
                <w:rFonts w:ascii="Arial" w:eastAsia="Times New Roman" w:hAnsi="Arial" w:cs="Arial"/>
                <w:b/>
                <w:color w:val="FFFFFF"/>
                <w:sz w:val="20"/>
                <w:szCs w:val="20"/>
                <w:lang w:eastAsia="en-NZ"/>
              </w:rPr>
              <w:t>Total of Permanent staff</w:t>
            </w:r>
          </w:p>
        </w:tc>
        <w:tc>
          <w:tcPr>
            <w:tcW w:w="1420" w:type="dxa"/>
            <w:tcBorders>
              <w:top w:val="single" w:sz="4" w:space="0" w:color="4F81BD"/>
              <w:left w:val="nil"/>
              <w:bottom w:val="single" w:sz="4" w:space="0" w:color="4F81BD"/>
              <w:right w:val="single" w:sz="4" w:space="0" w:color="4F81BD"/>
            </w:tcBorders>
            <w:shd w:val="clear" w:color="auto" w:fill="00B0F0"/>
            <w:hideMark/>
          </w:tcPr>
          <w:p w:rsidR="00107245" w:rsidRPr="00D5126A" w:rsidRDefault="00107245" w:rsidP="008D1C20">
            <w:pPr>
              <w:spacing w:after="0" w:line="240" w:lineRule="auto"/>
              <w:rPr>
                <w:rFonts w:ascii="Arial" w:eastAsia="Times New Roman" w:hAnsi="Arial" w:cs="Arial"/>
                <w:b/>
                <w:color w:val="FFFFFF"/>
                <w:sz w:val="20"/>
                <w:szCs w:val="20"/>
                <w:lang w:eastAsia="en-NZ"/>
              </w:rPr>
            </w:pPr>
            <w:r w:rsidRPr="00D5126A">
              <w:rPr>
                <w:rFonts w:ascii="Arial" w:eastAsia="Times New Roman" w:hAnsi="Arial" w:cs="Arial"/>
                <w:b/>
                <w:color w:val="FFFFFF"/>
                <w:sz w:val="20"/>
                <w:szCs w:val="20"/>
                <w:lang w:eastAsia="en-NZ"/>
              </w:rPr>
              <w:t>Ratio of Permanent staff</w:t>
            </w:r>
          </w:p>
        </w:tc>
      </w:tr>
      <w:tr w:rsidR="00107245" w:rsidRPr="00D5126A" w:rsidTr="008D1C20">
        <w:trPr>
          <w:trHeight w:val="300"/>
        </w:trPr>
        <w:tc>
          <w:tcPr>
            <w:tcW w:w="2560" w:type="dxa"/>
            <w:tcBorders>
              <w:top w:val="nil"/>
              <w:left w:val="single" w:sz="4" w:space="0" w:color="4F81BD"/>
              <w:bottom w:val="single" w:sz="4" w:space="0" w:color="4F81BD"/>
              <w:right w:val="single" w:sz="4" w:space="0" w:color="4F81BD"/>
            </w:tcBorders>
            <w:shd w:val="clear" w:color="auto" w:fill="auto"/>
            <w:noWrap/>
            <w:vAlign w:val="bottom"/>
            <w:hideMark/>
          </w:tcPr>
          <w:p w:rsidR="00107245" w:rsidRPr="00D5126A" w:rsidRDefault="00107245" w:rsidP="008D1C20">
            <w:pPr>
              <w:spacing w:after="0" w:line="240" w:lineRule="auto"/>
              <w:rPr>
                <w:rFonts w:ascii="Arial" w:eastAsia="Times New Roman" w:hAnsi="Arial" w:cs="Arial"/>
                <w:color w:val="000000"/>
                <w:sz w:val="20"/>
                <w:lang w:eastAsia="en-NZ"/>
              </w:rPr>
            </w:pPr>
            <w:r w:rsidRPr="00D5126A">
              <w:rPr>
                <w:rFonts w:ascii="Arial" w:eastAsia="Times New Roman" w:hAnsi="Arial" w:cs="Arial"/>
                <w:color w:val="000000"/>
                <w:sz w:val="20"/>
                <w:lang w:eastAsia="en-NZ"/>
              </w:rPr>
              <w:t>City Planning</w:t>
            </w:r>
          </w:p>
        </w:tc>
        <w:tc>
          <w:tcPr>
            <w:tcW w:w="1420" w:type="dxa"/>
            <w:tcBorders>
              <w:top w:val="nil"/>
              <w:left w:val="nil"/>
              <w:bottom w:val="single" w:sz="4" w:space="0" w:color="4F81BD"/>
              <w:right w:val="single" w:sz="4" w:space="0" w:color="4F81BD"/>
            </w:tcBorders>
            <w:shd w:val="clear" w:color="auto" w:fill="auto"/>
            <w:noWrap/>
            <w:vAlign w:val="center"/>
            <w:hideMark/>
          </w:tcPr>
          <w:p w:rsidR="00107245" w:rsidRPr="00D5126A" w:rsidRDefault="00107245" w:rsidP="008D1C20">
            <w:pPr>
              <w:spacing w:after="0" w:line="240" w:lineRule="auto"/>
              <w:jc w:val="center"/>
              <w:rPr>
                <w:rFonts w:ascii="Arial" w:eastAsia="Times New Roman" w:hAnsi="Arial" w:cs="Arial"/>
                <w:color w:val="000000"/>
                <w:sz w:val="20"/>
                <w:lang w:eastAsia="en-NZ"/>
              </w:rPr>
            </w:pPr>
            <w:r w:rsidRPr="00D5126A">
              <w:rPr>
                <w:rFonts w:ascii="Arial" w:eastAsia="Times New Roman" w:hAnsi="Arial" w:cs="Arial"/>
                <w:color w:val="000000"/>
                <w:sz w:val="20"/>
                <w:lang w:eastAsia="en-NZ"/>
              </w:rPr>
              <w:t>267</w:t>
            </w:r>
          </w:p>
        </w:tc>
        <w:tc>
          <w:tcPr>
            <w:tcW w:w="1420" w:type="dxa"/>
            <w:tcBorders>
              <w:top w:val="nil"/>
              <w:left w:val="nil"/>
              <w:bottom w:val="single" w:sz="4" w:space="0" w:color="4F81BD"/>
              <w:right w:val="single" w:sz="4" w:space="0" w:color="4F81BD"/>
            </w:tcBorders>
            <w:shd w:val="clear" w:color="auto" w:fill="auto"/>
            <w:noWrap/>
            <w:vAlign w:val="center"/>
            <w:hideMark/>
          </w:tcPr>
          <w:p w:rsidR="00107245" w:rsidRPr="00D5126A" w:rsidRDefault="00107245" w:rsidP="008D1C20">
            <w:pPr>
              <w:spacing w:after="0" w:line="240" w:lineRule="auto"/>
              <w:jc w:val="center"/>
              <w:rPr>
                <w:rFonts w:ascii="Arial" w:eastAsia="Times New Roman" w:hAnsi="Arial" w:cs="Arial"/>
                <w:color w:val="000000"/>
                <w:sz w:val="20"/>
                <w:lang w:eastAsia="en-NZ"/>
              </w:rPr>
            </w:pPr>
            <w:r w:rsidRPr="00D5126A">
              <w:rPr>
                <w:rFonts w:ascii="Arial" w:eastAsia="Times New Roman" w:hAnsi="Arial" w:cs="Arial"/>
                <w:color w:val="000000"/>
                <w:sz w:val="20"/>
                <w:lang w:eastAsia="en-NZ"/>
              </w:rPr>
              <w:t>26</w:t>
            </w:r>
          </w:p>
        </w:tc>
        <w:tc>
          <w:tcPr>
            <w:tcW w:w="1420" w:type="dxa"/>
            <w:tcBorders>
              <w:top w:val="nil"/>
              <w:left w:val="nil"/>
              <w:bottom w:val="single" w:sz="4" w:space="0" w:color="4F81BD"/>
              <w:right w:val="single" w:sz="4" w:space="0" w:color="4F81BD"/>
            </w:tcBorders>
            <w:shd w:val="clear" w:color="auto" w:fill="auto"/>
            <w:noWrap/>
            <w:vAlign w:val="bottom"/>
            <w:hideMark/>
          </w:tcPr>
          <w:p w:rsidR="00107245" w:rsidRPr="00D5126A" w:rsidRDefault="00107245" w:rsidP="008D1C20">
            <w:pPr>
              <w:spacing w:after="0" w:line="240" w:lineRule="auto"/>
              <w:jc w:val="right"/>
              <w:rPr>
                <w:rFonts w:ascii="Arial" w:eastAsia="Times New Roman" w:hAnsi="Arial" w:cs="Arial"/>
                <w:color w:val="000000"/>
                <w:sz w:val="20"/>
                <w:lang w:eastAsia="en-NZ"/>
              </w:rPr>
            </w:pPr>
            <w:r w:rsidRPr="00D5126A">
              <w:rPr>
                <w:rFonts w:ascii="Arial" w:eastAsia="Times New Roman" w:hAnsi="Arial" w:cs="Arial"/>
                <w:color w:val="000000"/>
                <w:sz w:val="20"/>
                <w:lang w:eastAsia="en-NZ"/>
              </w:rPr>
              <w:t>293</w:t>
            </w:r>
          </w:p>
        </w:tc>
        <w:tc>
          <w:tcPr>
            <w:tcW w:w="1420" w:type="dxa"/>
            <w:tcBorders>
              <w:top w:val="nil"/>
              <w:left w:val="nil"/>
              <w:bottom w:val="single" w:sz="4" w:space="0" w:color="4F81BD"/>
              <w:right w:val="single" w:sz="4" w:space="0" w:color="4F81BD"/>
            </w:tcBorders>
            <w:shd w:val="clear" w:color="auto" w:fill="auto"/>
            <w:noWrap/>
            <w:vAlign w:val="bottom"/>
            <w:hideMark/>
          </w:tcPr>
          <w:p w:rsidR="00107245" w:rsidRPr="00D5126A" w:rsidRDefault="00107245" w:rsidP="008D1C20">
            <w:pPr>
              <w:spacing w:after="0" w:line="240" w:lineRule="auto"/>
              <w:jc w:val="center"/>
              <w:rPr>
                <w:rFonts w:ascii="Arial" w:eastAsia="Times New Roman" w:hAnsi="Arial" w:cs="Arial"/>
                <w:color w:val="000000"/>
                <w:sz w:val="20"/>
                <w:lang w:eastAsia="en-NZ"/>
              </w:rPr>
            </w:pPr>
            <w:r w:rsidRPr="00D5126A">
              <w:rPr>
                <w:rFonts w:ascii="Arial" w:eastAsia="Times New Roman" w:hAnsi="Arial" w:cs="Arial"/>
                <w:color w:val="000000"/>
                <w:sz w:val="20"/>
                <w:lang w:eastAsia="en-NZ"/>
              </w:rPr>
              <w:t>19%</w:t>
            </w:r>
          </w:p>
        </w:tc>
      </w:tr>
      <w:tr w:rsidR="00107245" w:rsidRPr="00D5126A" w:rsidTr="008D1C20">
        <w:trPr>
          <w:trHeight w:val="300"/>
        </w:trPr>
        <w:tc>
          <w:tcPr>
            <w:tcW w:w="2560" w:type="dxa"/>
            <w:tcBorders>
              <w:top w:val="nil"/>
              <w:left w:val="single" w:sz="4" w:space="0" w:color="4F81BD"/>
              <w:bottom w:val="single" w:sz="4" w:space="0" w:color="4F81BD"/>
              <w:right w:val="single" w:sz="4" w:space="0" w:color="4F81BD"/>
            </w:tcBorders>
            <w:shd w:val="clear" w:color="auto" w:fill="auto"/>
            <w:noWrap/>
            <w:vAlign w:val="bottom"/>
            <w:hideMark/>
          </w:tcPr>
          <w:p w:rsidR="00107245" w:rsidRPr="00D5126A" w:rsidRDefault="00107245" w:rsidP="008D1C20">
            <w:pPr>
              <w:spacing w:after="0" w:line="240" w:lineRule="auto"/>
              <w:rPr>
                <w:rFonts w:ascii="Arial" w:eastAsia="Times New Roman" w:hAnsi="Arial" w:cs="Arial"/>
                <w:color w:val="000000"/>
                <w:sz w:val="20"/>
                <w:lang w:eastAsia="en-NZ"/>
              </w:rPr>
            </w:pPr>
            <w:r w:rsidRPr="00D5126A">
              <w:rPr>
                <w:rFonts w:ascii="Arial" w:eastAsia="Times New Roman" w:hAnsi="Arial" w:cs="Arial"/>
                <w:color w:val="000000"/>
                <w:sz w:val="20"/>
                <w:lang w:eastAsia="en-NZ"/>
              </w:rPr>
              <w:t>Customer and Community</w:t>
            </w:r>
          </w:p>
        </w:tc>
        <w:tc>
          <w:tcPr>
            <w:tcW w:w="1420" w:type="dxa"/>
            <w:tcBorders>
              <w:top w:val="nil"/>
              <w:left w:val="nil"/>
              <w:bottom w:val="single" w:sz="4" w:space="0" w:color="4F81BD"/>
              <w:right w:val="single" w:sz="4" w:space="0" w:color="4F81BD"/>
            </w:tcBorders>
            <w:shd w:val="clear" w:color="auto" w:fill="auto"/>
            <w:noWrap/>
            <w:vAlign w:val="center"/>
            <w:hideMark/>
          </w:tcPr>
          <w:p w:rsidR="00107245" w:rsidRPr="00D5126A" w:rsidRDefault="00107245" w:rsidP="008D1C20">
            <w:pPr>
              <w:spacing w:after="0" w:line="240" w:lineRule="auto"/>
              <w:jc w:val="center"/>
              <w:rPr>
                <w:rFonts w:ascii="Arial" w:eastAsia="Times New Roman" w:hAnsi="Arial" w:cs="Arial"/>
                <w:color w:val="000000"/>
                <w:sz w:val="20"/>
                <w:lang w:eastAsia="en-NZ"/>
              </w:rPr>
            </w:pPr>
            <w:r w:rsidRPr="00D5126A">
              <w:rPr>
                <w:rFonts w:ascii="Arial" w:eastAsia="Times New Roman" w:hAnsi="Arial" w:cs="Arial"/>
                <w:color w:val="000000"/>
                <w:sz w:val="20"/>
                <w:lang w:eastAsia="en-NZ"/>
              </w:rPr>
              <w:t>549</w:t>
            </w:r>
          </w:p>
        </w:tc>
        <w:tc>
          <w:tcPr>
            <w:tcW w:w="1420" w:type="dxa"/>
            <w:tcBorders>
              <w:top w:val="nil"/>
              <w:left w:val="nil"/>
              <w:bottom w:val="single" w:sz="4" w:space="0" w:color="4F81BD"/>
              <w:right w:val="single" w:sz="4" w:space="0" w:color="4F81BD"/>
            </w:tcBorders>
            <w:shd w:val="clear" w:color="auto" w:fill="auto"/>
            <w:noWrap/>
            <w:vAlign w:val="center"/>
            <w:hideMark/>
          </w:tcPr>
          <w:p w:rsidR="00107245" w:rsidRPr="00D5126A" w:rsidRDefault="00107245" w:rsidP="008D1C20">
            <w:pPr>
              <w:spacing w:after="0" w:line="240" w:lineRule="auto"/>
              <w:jc w:val="center"/>
              <w:rPr>
                <w:rFonts w:ascii="Arial" w:eastAsia="Times New Roman" w:hAnsi="Arial" w:cs="Arial"/>
                <w:color w:val="000000"/>
                <w:sz w:val="20"/>
                <w:lang w:eastAsia="en-NZ"/>
              </w:rPr>
            </w:pPr>
            <w:r w:rsidRPr="00D5126A">
              <w:rPr>
                <w:rFonts w:ascii="Arial" w:eastAsia="Times New Roman" w:hAnsi="Arial" w:cs="Arial"/>
                <w:color w:val="000000"/>
                <w:sz w:val="20"/>
                <w:lang w:eastAsia="en-NZ"/>
              </w:rPr>
              <w:t>478</w:t>
            </w:r>
          </w:p>
        </w:tc>
        <w:tc>
          <w:tcPr>
            <w:tcW w:w="1420" w:type="dxa"/>
            <w:tcBorders>
              <w:top w:val="nil"/>
              <w:left w:val="nil"/>
              <w:bottom w:val="single" w:sz="4" w:space="0" w:color="4F81BD"/>
              <w:right w:val="single" w:sz="4" w:space="0" w:color="4F81BD"/>
            </w:tcBorders>
            <w:shd w:val="clear" w:color="auto" w:fill="auto"/>
            <w:noWrap/>
            <w:vAlign w:val="bottom"/>
            <w:hideMark/>
          </w:tcPr>
          <w:p w:rsidR="00107245" w:rsidRPr="00D5126A" w:rsidRDefault="00107245" w:rsidP="008D1C20">
            <w:pPr>
              <w:spacing w:after="0" w:line="240" w:lineRule="auto"/>
              <w:jc w:val="right"/>
              <w:rPr>
                <w:rFonts w:ascii="Arial" w:eastAsia="Times New Roman" w:hAnsi="Arial" w:cs="Arial"/>
                <w:color w:val="000000"/>
                <w:sz w:val="20"/>
                <w:lang w:eastAsia="en-NZ"/>
              </w:rPr>
            </w:pPr>
            <w:r w:rsidRPr="00D5126A">
              <w:rPr>
                <w:rFonts w:ascii="Arial" w:eastAsia="Times New Roman" w:hAnsi="Arial" w:cs="Arial"/>
                <w:color w:val="000000"/>
                <w:sz w:val="20"/>
                <w:lang w:eastAsia="en-NZ"/>
              </w:rPr>
              <w:t>1,027</w:t>
            </w:r>
          </w:p>
        </w:tc>
        <w:tc>
          <w:tcPr>
            <w:tcW w:w="1420" w:type="dxa"/>
            <w:tcBorders>
              <w:top w:val="nil"/>
              <w:left w:val="nil"/>
              <w:bottom w:val="single" w:sz="4" w:space="0" w:color="4F81BD"/>
              <w:right w:val="single" w:sz="4" w:space="0" w:color="4F81BD"/>
            </w:tcBorders>
            <w:shd w:val="clear" w:color="auto" w:fill="auto"/>
            <w:noWrap/>
            <w:vAlign w:val="bottom"/>
            <w:hideMark/>
          </w:tcPr>
          <w:p w:rsidR="00107245" w:rsidRPr="00D5126A" w:rsidRDefault="00107245" w:rsidP="008D1C20">
            <w:pPr>
              <w:spacing w:after="0" w:line="240" w:lineRule="auto"/>
              <w:jc w:val="center"/>
              <w:rPr>
                <w:rFonts w:ascii="Arial" w:eastAsia="Times New Roman" w:hAnsi="Arial" w:cs="Arial"/>
                <w:color w:val="000000"/>
                <w:sz w:val="20"/>
                <w:lang w:eastAsia="en-NZ"/>
              </w:rPr>
            </w:pPr>
            <w:r w:rsidRPr="00D5126A">
              <w:rPr>
                <w:rFonts w:ascii="Arial" w:eastAsia="Times New Roman" w:hAnsi="Arial" w:cs="Arial"/>
                <w:color w:val="000000"/>
                <w:sz w:val="20"/>
                <w:lang w:eastAsia="en-NZ"/>
              </w:rPr>
              <w:t>67%</w:t>
            </w:r>
          </w:p>
        </w:tc>
      </w:tr>
      <w:tr w:rsidR="00107245" w:rsidRPr="00D5126A" w:rsidTr="008D1C20">
        <w:trPr>
          <w:trHeight w:val="300"/>
        </w:trPr>
        <w:tc>
          <w:tcPr>
            <w:tcW w:w="2560" w:type="dxa"/>
            <w:tcBorders>
              <w:top w:val="nil"/>
              <w:left w:val="single" w:sz="4" w:space="0" w:color="4F81BD"/>
              <w:bottom w:val="single" w:sz="4" w:space="0" w:color="4F81BD"/>
              <w:right w:val="single" w:sz="4" w:space="0" w:color="4F81BD"/>
            </w:tcBorders>
            <w:shd w:val="clear" w:color="auto" w:fill="auto"/>
            <w:noWrap/>
            <w:vAlign w:val="bottom"/>
            <w:hideMark/>
          </w:tcPr>
          <w:p w:rsidR="00107245" w:rsidRPr="00D5126A" w:rsidRDefault="00107245" w:rsidP="008D1C20">
            <w:pPr>
              <w:spacing w:after="0" w:line="240" w:lineRule="auto"/>
              <w:rPr>
                <w:rFonts w:ascii="Arial" w:eastAsia="Times New Roman" w:hAnsi="Arial" w:cs="Arial"/>
                <w:color w:val="000000"/>
                <w:sz w:val="20"/>
                <w:lang w:eastAsia="en-NZ"/>
              </w:rPr>
            </w:pPr>
            <w:r w:rsidRPr="00D5126A">
              <w:rPr>
                <w:rFonts w:ascii="Arial" w:eastAsia="Times New Roman" w:hAnsi="Arial" w:cs="Arial"/>
                <w:color w:val="000000"/>
                <w:sz w:val="20"/>
                <w:lang w:eastAsia="en-NZ"/>
              </w:rPr>
              <w:t>Finance and Business</w:t>
            </w:r>
          </w:p>
        </w:tc>
        <w:tc>
          <w:tcPr>
            <w:tcW w:w="1420" w:type="dxa"/>
            <w:tcBorders>
              <w:top w:val="nil"/>
              <w:left w:val="nil"/>
              <w:bottom w:val="single" w:sz="4" w:space="0" w:color="4F81BD"/>
              <w:right w:val="single" w:sz="4" w:space="0" w:color="4F81BD"/>
            </w:tcBorders>
            <w:shd w:val="clear" w:color="auto" w:fill="auto"/>
            <w:noWrap/>
            <w:vAlign w:val="center"/>
            <w:hideMark/>
          </w:tcPr>
          <w:p w:rsidR="00107245" w:rsidRPr="00D5126A" w:rsidRDefault="00107245" w:rsidP="008D1C20">
            <w:pPr>
              <w:spacing w:after="0" w:line="240" w:lineRule="auto"/>
              <w:jc w:val="center"/>
              <w:rPr>
                <w:rFonts w:ascii="Arial" w:eastAsia="Times New Roman" w:hAnsi="Arial" w:cs="Arial"/>
                <w:color w:val="000000"/>
                <w:sz w:val="20"/>
                <w:lang w:eastAsia="en-NZ"/>
              </w:rPr>
            </w:pPr>
            <w:r w:rsidRPr="00D5126A">
              <w:rPr>
                <w:rFonts w:ascii="Arial" w:eastAsia="Times New Roman" w:hAnsi="Arial" w:cs="Arial"/>
                <w:color w:val="000000"/>
                <w:sz w:val="20"/>
                <w:lang w:eastAsia="en-NZ"/>
              </w:rPr>
              <w:t>77</w:t>
            </w:r>
          </w:p>
        </w:tc>
        <w:tc>
          <w:tcPr>
            <w:tcW w:w="1420" w:type="dxa"/>
            <w:tcBorders>
              <w:top w:val="nil"/>
              <w:left w:val="nil"/>
              <w:bottom w:val="single" w:sz="4" w:space="0" w:color="4F81BD"/>
              <w:right w:val="single" w:sz="4" w:space="0" w:color="4F81BD"/>
            </w:tcBorders>
            <w:shd w:val="clear" w:color="auto" w:fill="auto"/>
            <w:noWrap/>
            <w:vAlign w:val="center"/>
            <w:hideMark/>
          </w:tcPr>
          <w:p w:rsidR="00107245" w:rsidRPr="00D5126A" w:rsidRDefault="00107245" w:rsidP="008D1C20">
            <w:pPr>
              <w:spacing w:after="0" w:line="240" w:lineRule="auto"/>
              <w:jc w:val="center"/>
              <w:rPr>
                <w:rFonts w:ascii="Arial" w:eastAsia="Times New Roman" w:hAnsi="Arial" w:cs="Arial"/>
                <w:color w:val="000000"/>
                <w:sz w:val="20"/>
                <w:lang w:eastAsia="en-NZ"/>
              </w:rPr>
            </w:pPr>
            <w:r w:rsidRPr="00D5126A">
              <w:rPr>
                <w:rFonts w:ascii="Arial" w:eastAsia="Times New Roman" w:hAnsi="Arial" w:cs="Arial"/>
                <w:color w:val="000000"/>
                <w:sz w:val="20"/>
                <w:lang w:eastAsia="en-NZ"/>
              </w:rPr>
              <w:t>9</w:t>
            </w:r>
          </w:p>
        </w:tc>
        <w:tc>
          <w:tcPr>
            <w:tcW w:w="1420" w:type="dxa"/>
            <w:tcBorders>
              <w:top w:val="nil"/>
              <w:left w:val="nil"/>
              <w:bottom w:val="single" w:sz="4" w:space="0" w:color="4F81BD"/>
              <w:right w:val="single" w:sz="4" w:space="0" w:color="4F81BD"/>
            </w:tcBorders>
            <w:shd w:val="clear" w:color="auto" w:fill="auto"/>
            <w:noWrap/>
            <w:vAlign w:val="bottom"/>
            <w:hideMark/>
          </w:tcPr>
          <w:p w:rsidR="00107245" w:rsidRPr="00D5126A" w:rsidRDefault="00107245" w:rsidP="008D1C20">
            <w:pPr>
              <w:spacing w:after="0" w:line="240" w:lineRule="auto"/>
              <w:jc w:val="right"/>
              <w:rPr>
                <w:rFonts w:ascii="Arial" w:eastAsia="Times New Roman" w:hAnsi="Arial" w:cs="Arial"/>
                <w:color w:val="000000"/>
                <w:sz w:val="20"/>
                <w:lang w:eastAsia="en-NZ"/>
              </w:rPr>
            </w:pPr>
            <w:r w:rsidRPr="00D5126A">
              <w:rPr>
                <w:rFonts w:ascii="Arial" w:eastAsia="Times New Roman" w:hAnsi="Arial" w:cs="Arial"/>
                <w:color w:val="000000"/>
                <w:sz w:val="20"/>
                <w:lang w:eastAsia="en-NZ"/>
              </w:rPr>
              <w:t>86</w:t>
            </w:r>
          </w:p>
        </w:tc>
        <w:tc>
          <w:tcPr>
            <w:tcW w:w="1420" w:type="dxa"/>
            <w:tcBorders>
              <w:top w:val="nil"/>
              <w:left w:val="nil"/>
              <w:bottom w:val="single" w:sz="4" w:space="0" w:color="4F81BD"/>
              <w:right w:val="single" w:sz="4" w:space="0" w:color="4F81BD"/>
            </w:tcBorders>
            <w:shd w:val="clear" w:color="auto" w:fill="auto"/>
            <w:noWrap/>
            <w:vAlign w:val="bottom"/>
            <w:hideMark/>
          </w:tcPr>
          <w:p w:rsidR="00107245" w:rsidRPr="00D5126A" w:rsidRDefault="00107245" w:rsidP="008D1C20">
            <w:pPr>
              <w:spacing w:after="0" w:line="240" w:lineRule="auto"/>
              <w:jc w:val="center"/>
              <w:rPr>
                <w:rFonts w:ascii="Arial" w:eastAsia="Times New Roman" w:hAnsi="Arial" w:cs="Arial"/>
                <w:color w:val="000000"/>
                <w:sz w:val="20"/>
                <w:lang w:eastAsia="en-NZ"/>
              </w:rPr>
            </w:pPr>
            <w:r w:rsidRPr="00D5126A">
              <w:rPr>
                <w:rFonts w:ascii="Arial" w:eastAsia="Times New Roman" w:hAnsi="Arial" w:cs="Arial"/>
                <w:color w:val="000000"/>
                <w:sz w:val="20"/>
                <w:lang w:eastAsia="en-NZ"/>
              </w:rPr>
              <w:t>6%</w:t>
            </w:r>
          </w:p>
        </w:tc>
      </w:tr>
      <w:tr w:rsidR="00107245" w:rsidRPr="00D5126A" w:rsidTr="008D1C20">
        <w:trPr>
          <w:trHeight w:val="300"/>
        </w:trPr>
        <w:tc>
          <w:tcPr>
            <w:tcW w:w="2560" w:type="dxa"/>
            <w:tcBorders>
              <w:top w:val="nil"/>
              <w:left w:val="single" w:sz="4" w:space="0" w:color="4F81BD"/>
              <w:bottom w:val="single" w:sz="4" w:space="0" w:color="4F81BD"/>
              <w:right w:val="single" w:sz="4" w:space="0" w:color="4F81BD"/>
            </w:tcBorders>
            <w:shd w:val="clear" w:color="auto" w:fill="auto"/>
            <w:noWrap/>
            <w:vAlign w:val="bottom"/>
            <w:hideMark/>
          </w:tcPr>
          <w:p w:rsidR="00107245" w:rsidRPr="00D5126A" w:rsidRDefault="00107245" w:rsidP="008D1C20">
            <w:pPr>
              <w:spacing w:after="0" w:line="240" w:lineRule="auto"/>
              <w:rPr>
                <w:rFonts w:ascii="Arial" w:eastAsia="Times New Roman" w:hAnsi="Arial" w:cs="Arial"/>
                <w:color w:val="000000"/>
                <w:sz w:val="20"/>
                <w:lang w:eastAsia="en-NZ"/>
              </w:rPr>
            </w:pPr>
            <w:r w:rsidRPr="00D5126A">
              <w:rPr>
                <w:rFonts w:ascii="Arial" w:eastAsia="Times New Roman" w:hAnsi="Arial" w:cs="Arial"/>
                <w:color w:val="000000"/>
                <w:sz w:val="20"/>
                <w:lang w:eastAsia="en-NZ"/>
              </w:rPr>
              <w:t>Human Resources</w:t>
            </w:r>
          </w:p>
        </w:tc>
        <w:tc>
          <w:tcPr>
            <w:tcW w:w="1420" w:type="dxa"/>
            <w:tcBorders>
              <w:top w:val="nil"/>
              <w:left w:val="nil"/>
              <w:bottom w:val="single" w:sz="4" w:space="0" w:color="4F81BD"/>
              <w:right w:val="single" w:sz="4" w:space="0" w:color="4F81BD"/>
            </w:tcBorders>
            <w:shd w:val="clear" w:color="auto" w:fill="auto"/>
            <w:noWrap/>
            <w:vAlign w:val="center"/>
            <w:hideMark/>
          </w:tcPr>
          <w:p w:rsidR="00107245" w:rsidRPr="00D5126A" w:rsidRDefault="00107245" w:rsidP="008D1C20">
            <w:pPr>
              <w:spacing w:after="0" w:line="240" w:lineRule="auto"/>
              <w:jc w:val="center"/>
              <w:rPr>
                <w:rFonts w:ascii="Arial" w:eastAsia="Times New Roman" w:hAnsi="Arial" w:cs="Arial"/>
                <w:color w:val="000000"/>
                <w:sz w:val="20"/>
                <w:lang w:eastAsia="en-NZ"/>
              </w:rPr>
            </w:pPr>
            <w:r w:rsidRPr="00D5126A">
              <w:rPr>
                <w:rFonts w:ascii="Arial" w:eastAsia="Times New Roman" w:hAnsi="Arial" w:cs="Arial"/>
                <w:color w:val="000000"/>
                <w:sz w:val="20"/>
                <w:lang w:eastAsia="en-NZ"/>
              </w:rPr>
              <w:t>26</w:t>
            </w:r>
          </w:p>
        </w:tc>
        <w:tc>
          <w:tcPr>
            <w:tcW w:w="1420" w:type="dxa"/>
            <w:tcBorders>
              <w:top w:val="nil"/>
              <w:left w:val="nil"/>
              <w:bottom w:val="single" w:sz="4" w:space="0" w:color="4F81BD"/>
              <w:right w:val="single" w:sz="4" w:space="0" w:color="4F81BD"/>
            </w:tcBorders>
            <w:shd w:val="clear" w:color="auto" w:fill="auto"/>
            <w:noWrap/>
            <w:vAlign w:val="center"/>
            <w:hideMark/>
          </w:tcPr>
          <w:p w:rsidR="00107245" w:rsidRPr="00D5126A" w:rsidRDefault="00107245" w:rsidP="008D1C20">
            <w:pPr>
              <w:spacing w:after="0" w:line="240" w:lineRule="auto"/>
              <w:jc w:val="center"/>
              <w:rPr>
                <w:rFonts w:ascii="Arial" w:eastAsia="Times New Roman" w:hAnsi="Arial" w:cs="Arial"/>
                <w:color w:val="000000"/>
                <w:sz w:val="20"/>
                <w:lang w:eastAsia="en-NZ"/>
              </w:rPr>
            </w:pPr>
            <w:r w:rsidRPr="00D5126A">
              <w:rPr>
                <w:rFonts w:ascii="Arial" w:eastAsia="Times New Roman" w:hAnsi="Arial" w:cs="Arial"/>
                <w:color w:val="000000"/>
                <w:sz w:val="20"/>
                <w:lang w:eastAsia="en-NZ"/>
              </w:rPr>
              <w:t>7</w:t>
            </w:r>
          </w:p>
        </w:tc>
        <w:tc>
          <w:tcPr>
            <w:tcW w:w="1420" w:type="dxa"/>
            <w:tcBorders>
              <w:top w:val="nil"/>
              <w:left w:val="nil"/>
              <w:bottom w:val="single" w:sz="4" w:space="0" w:color="4F81BD"/>
              <w:right w:val="single" w:sz="4" w:space="0" w:color="4F81BD"/>
            </w:tcBorders>
            <w:shd w:val="clear" w:color="auto" w:fill="auto"/>
            <w:noWrap/>
            <w:vAlign w:val="bottom"/>
            <w:hideMark/>
          </w:tcPr>
          <w:p w:rsidR="00107245" w:rsidRPr="00D5126A" w:rsidRDefault="00107245" w:rsidP="008D1C20">
            <w:pPr>
              <w:spacing w:after="0" w:line="240" w:lineRule="auto"/>
              <w:jc w:val="right"/>
              <w:rPr>
                <w:rFonts w:ascii="Arial" w:eastAsia="Times New Roman" w:hAnsi="Arial" w:cs="Arial"/>
                <w:color w:val="000000"/>
                <w:sz w:val="20"/>
                <w:lang w:eastAsia="en-NZ"/>
              </w:rPr>
            </w:pPr>
            <w:r w:rsidRPr="00D5126A">
              <w:rPr>
                <w:rFonts w:ascii="Arial" w:eastAsia="Times New Roman" w:hAnsi="Arial" w:cs="Arial"/>
                <w:color w:val="000000"/>
                <w:sz w:val="20"/>
                <w:lang w:eastAsia="en-NZ"/>
              </w:rPr>
              <w:t>33</w:t>
            </w:r>
          </w:p>
        </w:tc>
        <w:tc>
          <w:tcPr>
            <w:tcW w:w="1420" w:type="dxa"/>
            <w:tcBorders>
              <w:top w:val="nil"/>
              <w:left w:val="nil"/>
              <w:bottom w:val="single" w:sz="4" w:space="0" w:color="4F81BD"/>
              <w:right w:val="single" w:sz="4" w:space="0" w:color="4F81BD"/>
            </w:tcBorders>
            <w:shd w:val="clear" w:color="auto" w:fill="auto"/>
            <w:noWrap/>
            <w:vAlign w:val="bottom"/>
            <w:hideMark/>
          </w:tcPr>
          <w:p w:rsidR="00107245" w:rsidRPr="00D5126A" w:rsidRDefault="00107245" w:rsidP="008D1C20">
            <w:pPr>
              <w:spacing w:after="0" w:line="240" w:lineRule="auto"/>
              <w:jc w:val="center"/>
              <w:rPr>
                <w:rFonts w:ascii="Arial" w:eastAsia="Times New Roman" w:hAnsi="Arial" w:cs="Arial"/>
                <w:color w:val="000000"/>
                <w:sz w:val="20"/>
                <w:lang w:eastAsia="en-NZ"/>
              </w:rPr>
            </w:pPr>
            <w:r w:rsidRPr="00D5126A">
              <w:rPr>
                <w:rFonts w:ascii="Arial" w:eastAsia="Times New Roman" w:hAnsi="Arial" w:cs="Arial"/>
                <w:color w:val="000000"/>
                <w:sz w:val="20"/>
                <w:lang w:eastAsia="en-NZ"/>
              </w:rPr>
              <w:t>2%</w:t>
            </w:r>
          </w:p>
        </w:tc>
      </w:tr>
      <w:tr w:rsidR="00107245" w:rsidRPr="00D5126A" w:rsidTr="008D1C20">
        <w:trPr>
          <w:trHeight w:val="300"/>
        </w:trPr>
        <w:tc>
          <w:tcPr>
            <w:tcW w:w="2560" w:type="dxa"/>
            <w:tcBorders>
              <w:top w:val="nil"/>
              <w:left w:val="single" w:sz="4" w:space="0" w:color="4F81BD"/>
              <w:bottom w:val="single" w:sz="4" w:space="0" w:color="4F81BD"/>
              <w:right w:val="single" w:sz="4" w:space="0" w:color="4F81BD"/>
            </w:tcBorders>
            <w:shd w:val="clear" w:color="auto" w:fill="auto"/>
            <w:noWrap/>
            <w:vAlign w:val="bottom"/>
            <w:hideMark/>
          </w:tcPr>
          <w:p w:rsidR="00107245" w:rsidRPr="00D5126A" w:rsidRDefault="00107245" w:rsidP="008D1C20">
            <w:pPr>
              <w:spacing w:after="0" w:line="240" w:lineRule="auto"/>
              <w:rPr>
                <w:rFonts w:ascii="Arial" w:eastAsia="Times New Roman" w:hAnsi="Arial" w:cs="Arial"/>
                <w:color w:val="000000"/>
                <w:sz w:val="20"/>
                <w:lang w:eastAsia="en-NZ"/>
              </w:rPr>
            </w:pPr>
            <w:r w:rsidRPr="00D5126A">
              <w:rPr>
                <w:rFonts w:ascii="Arial" w:eastAsia="Times New Roman" w:hAnsi="Arial" w:cs="Arial"/>
                <w:color w:val="000000"/>
                <w:sz w:val="20"/>
                <w:lang w:eastAsia="en-NZ"/>
              </w:rPr>
              <w:t>Strategy and Governance</w:t>
            </w:r>
          </w:p>
        </w:tc>
        <w:tc>
          <w:tcPr>
            <w:tcW w:w="1420" w:type="dxa"/>
            <w:tcBorders>
              <w:top w:val="nil"/>
              <w:left w:val="nil"/>
              <w:bottom w:val="single" w:sz="4" w:space="0" w:color="4F81BD"/>
              <w:right w:val="single" w:sz="4" w:space="0" w:color="4F81BD"/>
            </w:tcBorders>
            <w:shd w:val="clear" w:color="auto" w:fill="auto"/>
            <w:noWrap/>
            <w:vAlign w:val="center"/>
            <w:hideMark/>
          </w:tcPr>
          <w:p w:rsidR="00107245" w:rsidRPr="00D5126A" w:rsidRDefault="00107245" w:rsidP="008D1C20">
            <w:pPr>
              <w:spacing w:after="0" w:line="240" w:lineRule="auto"/>
              <w:jc w:val="center"/>
              <w:rPr>
                <w:rFonts w:ascii="Arial" w:eastAsia="Times New Roman" w:hAnsi="Arial" w:cs="Arial"/>
                <w:color w:val="000000"/>
                <w:sz w:val="20"/>
                <w:lang w:eastAsia="en-NZ"/>
              </w:rPr>
            </w:pPr>
            <w:r w:rsidRPr="00D5126A">
              <w:rPr>
                <w:rFonts w:ascii="Arial" w:eastAsia="Times New Roman" w:hAnsi="Arial" w:cs="Arial"/>
                <w:color w:val="000000"/>
                <w:sz w:val="20"/>
                <w:lang w:eastAsia="en-NZ"/>
              </w:rPr>
              <w:t>80</w:t>
            </w:r>
          </w:p>
        </w:tc>
        <w:tc>
          <w:tcPr>
            <w:tcW w:w="1420" w:type="dxa"/>
            <w:tcBorders>
              <w:top w:val="nil"/>
              <w:left w:val="nil"/>
              <w:bottom w:val="single" w:sz="4" w:space="0" w:color="4F81BD"/>
              <w:right w:val="single" w:sz="4" w:space="0" w:color="4F81BD"/>
            </w:tcBorders>
            <w:shd w:val="clear" w:color="auto" w:fill="auto"/>
            <w:noWrap/>
            <w:vAlign w:val="center"/>
            <w:hideMark/>
          </w:tcPr>
          <w:p w:rsidR="00107245" w:rsidRPr="00D5126A" w:rsidRDefault="00107245" w:rsidP="008D1C20">
            <w:pPr>
              <w:spacing w:after="0" w:line="240" w:lineRule="auto"/>
              <w:jc w:val="center"/>
              <w:rPr>
                <w:rFonts w:ascii="Arial" w:eastAsia="Times New Roman" w:hAnsi="Arial" w:cs="Arial"/>
                <w:color w:val="000000"/>
                <w:sz w:val="20"/>
                <w:lang w:eastAsia="en-NZ"/>
              </w:rPr>
            </w:pPr>
            <w:r w:rsidRPr="00D5126A">
              <w:rPr>
                <w:rFonts w:ascii="Arial" w:eastAsia="Times New Roman" w:hAnsi="Arial" w:cs="Arial"/>
                <w:color w:val="000000"/>
                <w:sz w:val="20"/>
                <w:lang w:eastAsia="en-NZ"/>
              </w:rPr>
              <w:t>9</w:t>
            </w:r>
          </w:p>
        </w:tc>
        <w:tc>
          <w:tcPr>
            <w:tcW w:w="1420" w:type="dxa"/>
            <w:tcBorders>
              <w:top w:val="nil"/>
              <w:left w:val="nil"/>
              <w:bottom w:val="single" w:sz="4" w:space="0" w:color="4F81BD"/>
              <w:right w:val="single" w:sz="4" w:space="0" w:color="4F81BD"/>
            </w:tcBorders>
            <w:shd w:val="clear" w:color="auto" w:fill="auto"/>
            <w:noWrap/>
            <w:vAlign w:val="bottom"/>
            <w:hideMark/>
          </w:tcPr>
          <w:p w:rsidR="00107245" w:rsidRPr="00D5126A" w:rsidRDefault="00107245" w:rsidP="008D1C20">
            <w:pPr>
              <w:spacing w:after="0" w:line="240" w:lineRule="auto"/>
              <w:jc w:val="right"/>
              <w:rPr>
                <w:rFonts w:ascii="Arial" w:eastAsia="Times New Roman" w:hAnsi="Arial" w:cs="Arial"/>
                <w:color w:val="000000"/>
                <w:sz w:val="20"/>
                <w:lang w:eastAsia="en-NZ"/>
              </w:rPr>
            </w:pPr>
            <w:r w:rsidRPr="00D5126A">
              <w:rPr>
                <w:rFonts w:ascii="Arial" w:eastAsia="Times New Roman" w:hAnsi="Arial" w:cs="Arial"/>
                <w:color w:val="000000"/>
                <w:sz w:val="20"/>
                <w:lang w:eastAsia="en-NZ"/>
              </w:rPr>
              <w:t>89</w:t>
            </w:r>
          </w:p>
        </w:tc>
        <w:tc>
          <w:tcPr>
            <w:tcW w:w="1420" w:type="dxa"/>
            <w:tcBorders>
              <w:top w:val="nil"/>
              <w:left w:val="nil"/>
              <w:bottom w:val="single" w:sz="4" w:space="0" w:color="4F81BD"/>
              <w:right w:val="single" w:sz="4" w:space="0" w:color="4F81BD"/>
            </w:tcBorders>
            <w:shd w:val="clear" w:color="auto" w:fill="auto"/>
            <w:noWrap/>
            <w:vAlign w:val="bottom"/>
            <w:hideMark/>
          </w:tcPr>
          <w:p w:rsidR="00107245" w:rsidRPr="00D5126A" w:rsidRDefault="00107245" w:rsidP="008D1C20">
            <w:pPr>
              <w:spacing w:after="0" w:line="240" w:lineRule="auto"/>
              <w:jc w:val="center"/>
              <w:rPr>
                <w:rFonts w:ascii="Arial" w:eastAsia="Times New Roman" w:hAnsi="Arial" w:cs="Arial"/>
                <w:color w:val="000000"/>
                <w:sz w:val="20"/>
                <w:lang w:eastAsia="en-NZ"/>
              </w:rPr>
            </w:pPr>
            <w:r w:rsidRPr="00D5126A">
              <w:rPr>
                <w:rFonts w:ascii="Arial" w:eastAsia="Times New Roman" w:hAnsi="Arial" w:cs="Arial"/>
                <w:color w:val="000000"/>
                <w:sz w:val="20"/>
                <w:lang w:eastAsia="en-NZ"/>
              </w:rPr>
              <w:t>6%</w:t>
            </w:r>
          </w:p>
        </w:tc>
      </w:tr>
      <w:tr w:rsidR="00107245" w:rsidRPr="00D5126A" w:rsidTr="008D1C20">
        <w:trPr>
          <w:trHeight w:val="300"/>
        </w:trPr>
        <w:tc>
          <w:tcPr>
            <w:tcW w:w="2560" w:type="dxa"/>
            <w:tcBorders>
              <w:top w:val="nil"/>
              <w:left w:val="single" w:sz="4" w:space="0" w:color="4F81BD"/>
              <w:bottom w:val="single" w:sz="4" w:space="0" w:color="4F81BD"/>
              <w:right w:val="single" w:sz="4" w:space="0" w:color="4F81BD"/>
            </w:tcBorders>
            <w:shd w:val="clear" w:color="auto" w:fill="auto"/>
            <w:noWrap/>
            <w:vAlign w:val="bottom"/>
            <w:hideMark/>
          </w:tcPr>
          <w:p w:rsidR="00107245" w:rsidRPr="00D5126A" w:rsidRDefault="00107245" w:rsidP="008D1C20">
            <w:pPr>
              <w:spacing w:after="0" w:line="240" w:lineRule="auto"/>
              <w:rPr>
                <w:rFonts w:ascii="Arial" w:eastAsia="Times New Roman" w:hAnsi="Arial" w:cs="Arial"/>
                <w:b/>
                <w:bCs/>
                <w:color w:val="000000"/>
                <w:sz w:val="20"/>
                <w:lang w:eastAsia="en-NZ"/>
              </w:rPr>
            </w:pPr>
            <w:r w:rsidRPr="00D5126A">
              <w:rPr>
                <w:rFonts w:ascii="Arial" w:eastAsia="Times New Roman" w:hAnsi="Arial" w:cs="Arial"/>
                <w:b/>
                <w:bCs/>
                <w:color w:val="000000"/>
                <w:sz w:val="20"/>
                <w:lang w:eastAsia="en-NZ"/>
              </w:rPr>
              <w:t>Wellington City Council</w:t>
            </w:r>
          </w:p>
        </w:tc>
        <w:tc>
          <w:tcPr>
            <w:tcW w:w="1420" w:type="dxa"/>
            <w:tcBorders>
              <w:top w:val="nil"/>
              <w:left w:val="nil"/>
              <w:bottom w:val="single" w:sz="4" w:space="0" w:color="4F81BD"/>
              <w:right w:val="single" w:sz="4" w:space="0" w:color="4F81BD"/>
            </w:tcBorders>
            <w:shd w:val="clear" w:color="auto" w:fill="auto"/>
            <w:noWrap/>
            <w:vAlign w:val="center"/>
            <w:hideMark/>
          </w:tcPr>
          <w:p w:rsidR="00107245" w:rsidRPr="00D5126A" w:rsidRDefault="00107245" w:rsidP="008D1C20">
            <w:pPr>
              <w:spacing w:after="0" w:line="240" w:lineRule="auto"/>
              <w:jc w:val="center"/>
              <w:rPr>
                <w:rFonts w:ascii="Arial" w:eastAsia="Times New Roman" w:hAnsi="Arial" w:cs="Arial"/>
                <w:b/>
                <w:bCs/>
                <w:color w:val="000000"/>
                <w:sz w:val="20"/>
                <w:lang w:eastAsia="en-NZ"/>
              </w:rPr>
            </w:pPr>
            <w:r w:rsidRPr="00D5126A">
              <w:rPr>
                <w:rFonts w:ascii="Arial" w:eastAsia="Times New Roman" w:hAnsi="Arial" w:cs="Arial"/>
                <w:b/>
                <w:bCs/>
                <w:color w:val="000000"/>
                <w:sz w:val="20"/>
                <w:lang w:eastAsia="en-NZ"/>
              </w:rPr>
              <w:t>1,000</w:t>
            </w:r>
          </w:p>
        </w:tc>
        <w:tc>
          <w:tcPr>
            <w:tcW w:w="1420" w:type="dxa"/>
            <w:tcBorders>
              <w:top w:val="nil"/>
              <w:left w:val="nil"/>
              <w:bottom w:val="single" w:sz="4" w:space="0" w:color="4F81BD"/>
              <w:right w:val="single" w:sz="4" w:space="0" w:color="4F81BD"/>
            </w:tcBorders>
            <w:shd w:val="clear" w:color="auto" w:fill="auto"/>
            <w:noWrap/>
            <w:vAlign w:val="center"/>
            <w:hideMark/>
          </w:tcPr>
          <w:p w:rsidR="00107245" w:rsidRPr="00D5126A" w:rsidRDefault="00107245" w:rsidP="008D1C20">
            <w:pPr>
              <w:spacing w:after="0" w:line="240" w:lineRule="auto"/>
              <w:jc w:val="center"/>
              <w:rPr>
                <w:rFonts w:ascii="Arial" w:eastAsia="Times New Roman" w:hAnsi="Arial" w:cs="Arial"/>
                <w:b/>
                <w:bCs/>
                <w:color w:val="000000"/>
                <w:sz w:val="20"/>
                <w:lang w:eastAsia="en-NZ"/>
              </w:rPr>
            </w:pPr>
            <w:r w:rsidRPr="00D5126A">
              <w:rPr>
                <w:rFonts w:ascii="Arial" w:eastAsia="Times New Roman" w:hAnsi="Arial" w:cs="Arial"/>
                <w:b/>
                <w:bCs/>
                <w:color w:val="000000"/>
                <w:sz w:val="20"/>
                <w:lang w:eastAsia="en-NZ"/>
              </w:rPr>
              <w:t>529</w:t>
            </w:r>
          </w:p>
        </w:tc>
        <w:tc>
          <w:tcPr>
            <w:tcW w:w="1420" w:type="dxa"/>
            <w:tcBorders>
              <w:top w:val="nil"/>
              <w:left w:val="nil"/>
              <w:bottom w:val="single" w:sz="4" w:space="0" w:color="4F81BD"/>
              <w:right w:val="single" w:sz="4" w:space="0" w:color="4F81BD"/>
            </w:tcBorders>
            <w:shd w:val="clear" w:color="auto" w:fill="auto"/>
            <w:noWrap/>
            <w:vAlign w:val="bottom"/>
            <w:hideMark/>
          </w:tcPr>
          <w:p w:rsidR="00107245" w:rsidRPr="00D5126A" w:rsidRDefault="00107245" w:rsidP="008D1C20">
            <w:pPr>
              <w:spacing w:after="0" w:line="240" w:lineRule="auto"/>
              <w:jc w:val="right"/>
              <w:rPr>
                <w:rFonts w:ascii="Arial" w:eastAsia="Times New Roman" w:hAnsi="Arial" w:cs="Arial"/>
                <w:color w:val="000000"/>
                <w:sz w:val="20"/>
                <w:lang w:eastAsia="en-NZ"/>
              </w:rPr>
            </w:pPr>
            <w:r w:rsidRPr="00D5126A">
              <w:rPr>
                <w:rFonts w:ascii="Arial" w:eastAsia="Times New Roman" w:hAnsi="Arial" w:cs="Arial"/>
                <w:color w:val="000000"/>
                <w:sz w:val="20"/>
                <w:lang w:eastAsia="en-NZ"/>
              </w:rPr>
              <w:t>1,529</w:t>
            </w:r>
          </w:p>
        </w:tc>
        <w:tc>
          <w:tcPr>
            <w:tcW w:w="1420" w:type="dxa"/>
            <w:tcBorders>
              <w:top w:val="nil"/>
              <w:left w:val="nil"/>
              <w:bottom w:val="single" w:sz="4" w:space="0" w:color="4F81BD"/>
              <w:right w:val="single" w:sz="4" w:space="0" w:color="4F81BD"/>
            </w:tcBorders>
            <w:shd w:val="clear" w:color="auto" w:fill="auto"/>
            <w:noWrap/>
            <w:vAlign w:val="bottom"/>
            <w:hideMark/>
          </w:tcPr>
          <w:p w:rsidR="00107245" w:rsidRPr="00D5126A" w:rsidRDefault="00107245" w:rsidP="008D1C20">
            <w:pPr>
              <w:spacing w:after="0" w:line="240" w:lineRule="auto"/>
              <w:jc w:val="center"/>
              <w:rPr>
                <w:rFonts w:ascii="Arial" w:eastAsia="Times New Roman" w:hAnsi="Arial" w:cs="Arial"/>
                <w:color w:val="000000"/>
                <w:sz w:val="20"/>
                <w:lang w:eastAsia="en-NZ"/>
              </w:rPr>
            </w:pPr>
            <w:r w:rsidRPr="00D5126A">
              <w:rPr>
                <w:rFonts w:ascii="Arial" w:eastAsia="Times New Roman" w:hAnsi="Arial" w:cs="Arial"/>
                <w:color w:val="000000"/>
                <w:sz w:val="20"/>
                <w:lang w:eastAsia="en-NZ"/>
              </w:rPr>
              <w:t>100%</w:t>
            </w:r>
          </w:p>
        </w:tc>
      </w:tr>
    </w:tbl>
    <w:p w:rsidR="0093151B" w:rsidRDefault="0093151B" w:rsidP="0093151B">
      <w:pPr>
        <w:rPr>
          <w:b/>
        </w:rPr>
      </w:pPr>
      <w:bookmarkStart w:id="376" w:name="_Toc19085892"/>
    </w:p>
    <w:p w:rsidR="0093151B" w:rsidRPr="0093151B" w:rsidRDefault="0093151B" w:rsidP="0093151B">
      <w:pPr>
        <w:rPr>
          <w:b/>
        </w:rPr>
      </w:pPr>
      <w:r w:rsidRPr="0093151B">
        <w:rPr>
          <w:b/>
        </w:rPr>
        <w:t>Breakdown of staff turnover</w:t>
      </w:r>
    </w:p>
    <w:tbl>
      <w:tblPr>
        <w:tblW w:w="7928" w:type="dxa"/>
        <w:tblInd w:w="108" w:type="dxa"/>
        <w:tblBorders>
          <w:top w:val="single" w:sz="8" w:space="0" w:color="1F497D" w:themeColor="text2"/>
          <w:left w:val="single" w:sz="8" w:space="0" w:color="1F497D" w:themeColor="text2"/>
          <w:bottom w:val="single" w:sz="8" w:space="0" w:color="1F497D" w:themeColor="text2"/>
          <w:right w:val="single" w:sz="8" w:space="0" w:color="1F497D" w:themeColor="text2"/>
          <w:insideH w:val="single" w:sz="8" w:space="0" w:color="1F497D" w:themeColor="text2"/>
          <w:insideV w:val="single" w:sz="8" w:space="0" w:color="1F497D" w:themeColor="text2"/>
        </w:tblBorders>
        <w:tblLayout w:type="fixed"/>
        <w:tblCellMar>
          <w:left w:w="0" w:type="dxa"/>
          <w:right w:w="0" w:type="dxa"/>
        </w:tblCellMar>
        <w:tblLook w:val="04A0" w:firstRow="1" w:lastRow="0" w:firstColumn="1" w:lastColumn="0" w:noHBand="0" w:noVBand="1"/>
      </w:tblPr>
      <w:tblGrid>
        <w:gridCol w:w="1832"/>
        <w:gridCol w:w="1219"/>
        <w:gridCol w:w="1219"/>
        <w:gridCol w:w="1219"/>
        <w:gridCol w:w="1219"/>
        <w:gridCol w:w="1220"/>
      </w:tblGrid>
      <w:tr w:rsidR="00722B49" w:rsidRPr="00722B49" w:rsidTr="00722B49">
        <w:trPr>
          <w:trHeight w:val="211"/>
        </w:trPr>
        <w:tc>
          <w:tcPr>
            <w:tcW w:w="1832" w:type="dxa"/>
            <w:shd w:val="clear" w:color="auto" w:fill="00B0F0"/>
            <w:tcMar>
              <w:top w:w="0" w:type="dxa"/>
              <w:left w:w="108" w:type="dxa"/>
              <w:bottom w:w="0" w:type="dxa"/>
              <w:right w:w="108" w:type="dxa"/>
            </w:tcMar>
            <w:vAlign w:val="bottom"/>
          </w:tcPr>
          <w:p w:rsidR="00722B49" w:rsidRPr="00722B49" w:rsidRDefault="00722B49" w:rsidP="0093151B">
            <w:pPr>
              <w:spacing w:after="0"/>
              <w:jc w:val="center"/>
              <w:rPr>
                <w:rFonts w:cstheme="minorHAnsi"/>
                <w:b/>
                <w:bCs/>
                <w:color w:val="FFFFFF" w:themeColor="background1"/>
                <w:sz w:val="20"/>
                <w:szCs w:val="20"/>
                <w:lang w:eastAsia="en-NZ"/>
              </w:rPr>
            </w:pPr>
          </w:p>
        </w:tc>
        <w:tc>
          <w:tcPr>
            <w:tcW w:w="1219" w:type="dxa"/>
            <w:shd w:val="clear" w:color="auto" w:fill="00B0F0"/>
            <w:tcMar>
              <w:top w:w="0" w:type="dxa"/>
              <w:left w:w="108" w:type="dxa"/>
              <w:bottom w:w="0" w:type="dxa"/>
              <w:right w:w="108" w:type="dxa"/>
            </w:tcMar>
            <w:vAlign w:val="bottom"/>
          </w:tcPr>
          <w:p w:rsidR="00722B49" w:rsidRPr="00722B49" w:rsidRDefault="00722B49" w:rsidP="0093151B">
            <w:pPr>
              <w:spacing w:after="0"/>
              <w:jc w:val="center"/>
              <w:rPr>
                <w:rFonts w:cstheme="minorHAnsi"/>
                <w:b/>
                <w:color w:val="FFFFFF" w:themeColor="background1"/>
                <w:sz w:val="20"/>
                <w:szCs w:val="20"/>
                <w:lang w:eastAsia="en-NZ"/>
              </w:rPr>
            </w:pPr>
            <w:r w:rsidRPr="00722B49">
              <w:rPr>
                <w:rFonts w:cstheme="minorHAnsi"/>
                <w:b/>
                <w:color w:val="FFFFFF" w:themeColor="background1"/>
                <w:sz w:val="20"/>
                <w:szCs w:val="20"/>
                <w:lang w:eastAsia="en-NZ"/>
              </w:rPr>
              <w:t>2015</w:t>
            </w:r>
          </w:p>
        </w:tc>
        <w:tc>
          <w:tcPr>
            <w:tcW w:w="1219" w:type="dxa"/>
            <w:shd w:val="clear" w:color="auto" w:fill="00B0F0"/>
            <w:tcMar>
              <w:top w:w="0" w:type="dxa"/>
              <w:left w:w="108" w:type="dxa"/>
              <w:bottom w:w="0" w:type="dxa"/>
              <w:right w:w="108" w:type="dxa"/>
            </w:tcMar>
            <w:vAlign w:val="bottom"/>
          </w:tcPr>
          <w:p w:rsidR="00722B49" w:rsidRPr="00722B49" w:rsidRDefault="00722B49" w:rsidP="0093151B">
            <w:pPr>
              <w:spacing w:after="0"/>
              <w:jc w:val="center"/>
              <w:rPr>
                <w:rFonts w:eastAsiaTheme="minorHAnsi" w:cstheme="minorHAnsi"/>
                <w:b/>
                <w:bCs/>
                <w:color w:val="FFFFFF" w:themeColor="background1"/>
                <w:sz w:val="20"/>
                <w:szCs w:val="20"/>
                <w:lang w:eastAsia="en-NZ"/>
              </w:rPr>
            </w:pPr>
            <w:r w:rsidRPr="00722B49">
              <w:rPr>
                <w:rFonts w:eastAsiaTheme="minorHAnsi" w:cstheme="minorHAnsi"/>
                <w:b/>
                <w:bCs/>
                <w:color w:val="FFFFFF" w:themeColor="background1"/>
                <w:sz w:val="20"/>
                <w:szCs w:val="20"/>
                <w:lang w:eastAsia="en-NZ"/>
              </w:rPr>
              <w:t>2016</w:t>
            </w:r>
          </w:p>
        </w:tc>
        <w:tc>
          <w:tcPr>
            <w:tcW w:w="1219" w:type="dxa"/>
            <w:shd w:val="clear" w:color="auto" w:fill="00B0F0"/>
            <w:tcMar>
              <w:top w:w="0" w:type="dxa"/>
              <w:left w:w="108" w:type="dxa"/>
              <w:bottom w:w="0" w:type="dxa"/>
              <w:right w:w="108" w:type="dxa"/>
            </w:tcMar>
            <w:vAlign w:val="bottom"/>
          </w:tcPr>
          <w:p w:rsidR="00722B49" w:rsidRPr="00722B49" w:rsidRDefault="00722B49" w:rsidP="0093151B">
            <w:pPr>
              <w:spacing w:after="0"/>
              <w:jc w:val="center"/>
              <w:rPr>
                <w:rFonts w:eastAsiaTheme="minorHAnsi" w:cstheme="minorHAnsi"/>
                <w:b/>
                <w:bCs/>
                <w:color w:val="FFFFFF" w:themeColor="background1"/>
                <w:sz w:val="20"/>
                <w:szCs w:val="20"/>
                <w:lang w:eastAsia="en-NZ"/>
              </w:rPr>
            </w:pPr>
            <w:r w:rsidRPr="00722B49">
              <w:rPr>
                <w:rFonts w:eastAsiaTheme="minorHAnsi" w:cstheme="minorHAnsi"/>
                <w:b/>
                <w:bCs/>
                <w:color w:val="FFFFFF" w:themeColor="background1"/>
                <w:sz w:val="20"/>
                <w:szCs w:val="20"/>
                <w:lang w:eastAsia="en-NZ"/>
              </w:rPr>
              <w:t>2017</w:t>
            </w:r>
          </w:p>
        </w:tc>
        <w:tc>
          <w:tcPr>
            <w:tcW w:w="1219" w:type="dxa"/>
            <w:shd w:val="clear" w:color="auto" w:fill="00B0F0"/>
            <w:noWrap/>
            <w:tcMar>
              <w:top w:w="0" w:type="dxa"/>
              <w:left w:w="108" w:type="dxa"/>
              <w:bottom w:w="0" w:type="dxa"/>
              <w:right w:w="108" w:type="dxa"/>
            </w:tcMar>
            <w:vAlign w:val="bottom"/>
          </w:tcPr>
          <w:p w:rsidR="00722B49" w:rsidRPr="00722B49" w:rsidRDefault="00722B49" w:rsidP="0093151B">
            <w:pPr>
              <w:spacing w:after="0"/>
              <w:jc w:val="center"/>
              <w:rPr>
                <w:rFonts w:eastAsiaTheme="minorHAnsi" w:cstheme="minorHAnsi"/>
                <w:b/>
                <w:bCs/>
                <w:color w:val="FFFFFF" w:themeColor="background1"/>
                <w:sz w:val="20"/>
                <w:szCs w:val="20"/>
                <w:lang w:eastAsia="en-NZ"/>
              </w:rPr>
            </w:pPr>
            <w:r w:rsidRPr="00722B49">
              <w:rPr>
                <w:rFonts w:eastAsiaTheme="minorHAnsi" w:cstheme="minorHAnsi"/>
                <w:b/>
                <w:bCs/>
                <w:color w:val="FFFFFF" w:themeColor="background1"/>
                <w:sz w:val="20"/>
                <w:szCs w:val="20"/>
                <w:lang w:eastAsia="en-NZ"/>
              </w:rPr>
              <w:t>2018</w:t>
            </w:r>
          </w:p>
        </w:tc>
        <w:tc>
          <w:tcPr>
            <w:tcW w:w="1220" w:type="dxa"/>
            <w:shd w:val="clear" w:color="auto" w:fill="00B0F0"/>
          </w:tcPr>
          <w:p w:rsidR="00722B49" w:rsidRPr="00722B49" w:rsidRDefault="00722B49" w:rsidP="0093151B">
            <w:pPr>
              <w:spacing w:after="0"/>
              <w:jc w:val="center"/>
              <w:rPr>
                <w:rFonts w:eastAsiaTheme="minorHAnsi" w:cstheme="minorHAnsi"/>
                <w:b/>
                <w:bCs/>
                <w:color w:val="FFFFFF" w:themeColor="background1"/>
                <w:sz w:val="20"/>
                <w:szCs w:val="20"/>
                <w:lang w:eastAsia="en-NZ"/>
              </w:rPr>
            </w:pPr>
            <w:r w:rsidRPr="00722B49">
              <w:rPr>
                <w:rFonts w:eastAsiaTheme="minorHAnsi" w:cstheme="minorHAnsi"/>
                <w:b/>
                <w:bCs/>
                <w:color w:val="FFFFFF" w:themeColor="background1"/>
                <w:sz w:val="20"/>
                <w:szCs w:val="20"/>
                <w:lang w:eastAsia="en-NZ"/>
              </w:rPr>
              <w:t>2019</w:t>
            </w:r>
          </w:p>
        </w:tc>
      </w:tr>
      <w:tr w:rsidR="00722B49" w:rsidRPr="00722B49" w:rsidTr="00722B49">
        <w:trPr>
          <w:trHeight w:val="253"/>
        </w:trPr>
        <w:tc>
          <w:tcPr>
            <w:tcW w:w="1832" w:type="dxa"/>
            <w:noWrap/>
            <w:tcMar>
              <w:top w:w="0" w:type="dxa"/>
              <w:left w:w="108" w:type="dxa"/>
              <w:bottom w:w="0" w:type="dxa"/>
              <w:right w:w="108" w:type="dxa"/>
            </w:tcMar>
            <w:vAlign w:val="center"/>
          </w:tcPr>
          <w:p w:rsidR="00722B49" w:rsidRPr="00722B49" w:rsidRDefault="00722B49" w:rsidP="00722B49">
            <w:pPr>
              <w:spacing w:after="0"/>
              <w:jc w:val="center"/>
              <w:rPr>
                <w:rFonts w:cstheme="minorHAnsi"/>
                <w:sz w:val="20"/>
                <w:szCs w:val="20"/>
                <w:lang w:eastAsia="en-NZ"/>
              </w:rPr>
            </w:pPr>
            <w:r w:rsidRPr="00722B49">
              <w:rPr>
                <w:rFonts w:cstheme="minorHAnsi"/>
                <w:sz w:val="20"/>
                <w:szCs w:val="20"/>
                <w:lang w:eastAsia="en-NZ"/>
              </w:rPr>
              <w:t>Total exit</w:t>
            </w:r>
          </w:p>
        </w:tc>
        <w:tc>
          <w:tcPr>
            <w:tcW w:w="1219" w:type="dxa"/>
            <w:noWrap/>
            <w:tcMar>
              <w:top w:w="0" w:type="dxa"/>
              <w:left w:w="108" w:type="dxa"/>
              <w:bottom w:w="0" w:type="dxa"/>
              <w:right w:w="108" w:type="dxa"/>
            </w:tcMar>
            <w:vAlign w:val="center"/>
          </w:tcPr>
          <w:p w:rsidR="00722B49" w:rsidRPr="00722B49" w:rsidRDefault="00722B49" w:rsidP="00722B49">
            <w:pPr>
              <w:spacing w:after="0"/>
              <w:jc w:val="center"/>
              <w:rPr>
                <w:rFonts w:cstheme="minorHAnsi"/>
                <w:sz w:val="20"/>
                <w:szCs w:val="20"/>
                <w:lang w:eastAsia="en-NZ"/>
              </w:rPr>
            </w:pPr>
            <w:r w:rsidRPr="00722B49">
              <w:rPr>
                <w:rFonts w:cstheme="minorHAnsi"/>
                <w:sz w:val="20"/>
                <w:szCs w:val="20"/>
                <w:lang w:eastAsia="en-NZ"/>
              </w:rPr>
              <w:t>238</w:t>
            </w:r>
          </w:p>
        </w:tc>
        <w:tc>
          <w:tcPr>
            <w:tcW w:w="1219" w:type="dxa"/>
            <w:noWrap/>
            <w:tcMar>
              <w:top w:w="0" w:type="dxa"/>
              <w:left w:w="108" w:type="dxa"/>
              <w:bottom w:w="0" w:type="dxa"/>
              <w:right w:w="108" w:type="dxa"/>
            </w:tcMar>
            <w:vAlign w:val="center"/>
          </w:tcPr>
          <w:p w:rsidR="00722B49" w:rsidRPr="00722B49" w:rsidRDefault="00722B49" w:rsidP="00722B49">
            <w:pPr>
              <w:spacing w:after="0"/>
              <w:jc w:val="center"/>
              <w:rPr>
                <w:rFonts w:cstheme="minorHAnsi"/>
                <w:sz w:val="20"/>
                <w:szCs w:val="20"/>
                <w:lang w:eastAsia="en-NZ"/>
              </w:rPr>
            </w:pPr>
            <w:r w:rsidRPr="00722B49">
              <w:rPr>
                <w:rFonts w:cstheme="minorHAnsi"/>
                <w:sz w:val="20"/>
                <w:szCs w:val="20"/>
                <w:lang w:eastAsia="en-NZ"/>
              </w:rPr>
              <w:t>293</w:t>
            </w:r>
          </w:p>
        </w:tc>
        <w:tc>
          <w:tcPr>
            <w:tcW w:w="1219" w:type="dxa"/>
            <w:shd w:val="clear" w:color="auto" w:fill="FFFFFF"/>
            <w:noWrap/>
            <w:tcMar>
              <w:top w:w="0" w:type="dxa"/>
              <w:left w:w="108" w:type="dxa"/>
              <w:bottom w:w="0" w:type="dxa"/>
              <w:right w:w="108" w:type="dxa"/>
            </w:tcMar>
            <w:vAlign w:val="center"/>
          </w:tcPr>
          <w:p w:rsidR="00722B49" w:rsidRPr="00722B49" w:rsidRDefault="00722B49" w:rsidP="00722B49">
            <w:pPr>
              <w:spacing w:after="0"/>
              <w:jc w:val="center"/>
              <w:rPr>
                <w:rFonts w:cstheme="minorHAnsi"/>
                <w:sz w:val="20"/>
                <w:szCs w:val="20"/>
                <w:lang w:eastAsia="en-NZ"/>
              </w:rPr>
            </w:pPr>
            <w:r w:rsidRPr="00722B49">
              <w:rPr>
                <w:rFonts w:cstheme="minorHAnsi"/>
                <w:sz w:val="20"/>
                <w:szCs w:val="20"/>
                <w:lang w:eastAsia="en-NZ"/>
              </w:rPr>
              <w:t>323</w:t>
            </w:r>
          </w:p>
        </w:tc>
        <w:tc>
          <w:tcPr>
            <w:tcW w:w="1219" w:type="dxa"/>
            <w:noWrap/>
            <w:tcMar>
              <w:top w:w="0" w:type="dxa"/>
              <w:left w:w="108" w:type="dxa"/>
              <w:bottom w:w="0" w:type="dxa"/>
              <w:right w:w="108" w:type="dxa"/>
            </w:tcMar>
            <w:vAlign w:val="center"/>
          </w:tcPr>
          <w:p w:rsidR="00722B49" w:rsidRPr="00722B49" w:rsidRDefault="00722B49" w:rsidP="00722B49">
            <w:pPr>
              <w:spacing w:after="0"/>
              <w:jc w:val="center"/>
              <w:rPr>
                <w:rFonts w:cstheme="minorHAnsi"/>
                <w:sz w:val="20"/>
                <w:szCs w:val="20"/>
                <w:lang w:eastAsia="en-NZ"/>
              </w:rPr>
            </w:pPr>
            <w:r w:rsidRPr="00722B49">
              <w:rPr>
                <w:rFonts w:cstheme="minorHAnsi"/>
                <w:sz w:val="20"/>
                <w:szCs w:val="20"/>
                <w:lang w:eastAsia="en-NZ"/>
              </w:rPr>
              <w:t>319</w:t>
            </w:r>
          </w:p>
        </w:tc>
        <w:tc>
          <w:tcPr>
            <w:tcW w:w="1220" w:type="dxa"/>
            <w:vAlign w:val="center"/>
          </w:tcPr>
          <w:p w:rsidR="00722B49" w:rsidRPr="00722B49" w:rsidRDefault="00722B49" w:rsidP="00722B49">
            <w:pPr>
              <w:spacing w:after="0"/>
              <w:jc w:val="center"/>
              <w:rPr>
                <w:rFonts w:cstheme="minorHAnsi"/>
                <w:sz w:val="20"/>
                <w:szCs w:val="20"/>
                <w:lang w:eastAsia="en-NZ"/>
              </w:rPr>
            </w:pPr>
            <w:r w:rsidRPr="00722B49">
              <w:rPr>
                <w:rFonts w:cstheme="minorHAnsi"/>
                <w:sz w:val="20"/>
                <w:szCs w:val="20"/>
                <w:lang w:eastAsia="en-NZ"/>
              </w:rPr>
              <w:t>345</w:t>
            </w:r>
          </w:p>
        </w:tc>
      </w:tr>
      <w:tr w:rsidR="00722B49" w:rsidRPr="00722B49" w:rsidTr="00722B49">
        <w:trPr>
          <w:trHeight w:val="253"/>
        </w:trPr>
        <w:tc>
          <w:tcPr>
            <w:tcW w:w="1832" w:type="dxa"/>
            <w:noWrap/>
            <w:tcMar>
              <w:top w:w="0" w:type="dxa"/>
              <w:left w:w="108" w:type="dxa"/>
              <w:bottom w:w="0" w:type="dxa"/>
              <w:right w:w="108" w:type="dxa"/>
            </w:tcMar>
            <w:vAlign w:val="center"/>
          </w:tcPr>
          <w:p w:rsidR="00722B49" w:rsidRPr="00722B49" w:rsidRDefault="00722B49" w:rsidP="00722B49">
            <w:pPr>
              <w:spacing w:after="0"/>
              <w:jc w:val="center"/>
              <w:rPr>
                <w:rFonts w:cstheme="minorHAnsi"/>
                <w:sz w:val="20"/>
                <w:szCs w:val="20"/>
                <w:lang w:eastAsia="en-NZ"/>
              </w:rPr>
            </w:pPr>
            <w:r w:rsidRPr="00722B49">
              <w:rPr>
                <w:rFonts w:cstheme="minorHAnsi"/>
                <w:sz w:val="20"/>
                <w:szCs w:val="20"/>
                <w:lang w:eastAsia="en-NZ"/>
              </w:rPr>
              <w:t>Average headcount – permanent staff</w:t>
            </w:r>
          </w:p>
        </w:tc>
        <w:tc>
          <w:tcPr>
            <w:tcW w:w="1219" w:type="dxa"/>
            <w:noWrap/>
            <w:tcMar>
              <w:top w:w="0" w:type="dxa"/>
              <w:left w:w="108" w:type="dxa"/>
              <w:bottom w:w="0" w:type="dxa"/>
              <w:right w:w="108" w:type="dxa"/>
            </w:tcMar>
            <w:vAlign w:val="center"/>
          </w:tcPr>
          <w:p w:rsidR="00722B49" w:rsidRPr="00722B49" w:rsidRDefault="00722B49" w:rsidP="00722B49">
            <w:pPr>
              <w:spacing w:after="0"/>
              <w:jc w:val="center"/>
              <w:rPr>
                <w:rFonts w:cstheme="minorHAnsi"/>
                <w:sz w:val="20"/>
                <w:szCs w:val="20"/>
                <w:lang w:eastAsia="en-NZ"/>
              </w:rPr>
            </w:pPr>
            <w:r w:rsidRPr="00722B49">
              <w:rPr>
                <w:rFonts w:cstheme="minorHAnsi"/>
                <w:sz w:val="20"/>
                <w:szCs w:val="20"/>
                <w:lang w:eastAsia="en-NZ"/>
              </w:rPr>
              <w:t>1403</w:t>
            </w:r>
          </w:p>
        </w:tc>
        <w:tc>
          <w:tcPr>
            <w:tcW w:w="1219" w:type="dxa"/>
            <w:noWrap/>
            <w:tcMar>
              <w:top w:w="0" w:type="dxa"/>
              <w:left w:w="108" w:type="dxa"/>
              <w:bottom w:w="0" w:type="dxa"/>
              <w:right w:w="108" w:type="dxa"/>
            </w:tcMar>
            <w:vAlign w:val="center"/>
          </w:tcPr>
          <w:p w:rsidR="00722B49" w:rsidRPr="00722B49" w:rsidRDefault="00722B49" w:rsidP="00722B49">
            <w:pPr>
              <w:spacing w:after="0"/>
              <w:jc w:val="center"/>
              <w:rPr>
                <w:rFonts w:cstheme="minorHAnsi"/>
                <w:sz w:val="20"/>
                <w:szCs w:val="20"/>
                <w:lang w:eastAsia="en-NZ"/>
              </w:rPr>
            </w:pPr>
            <w:r w:rsidRPr="00722B49">
              <w:rPr>
                <w:rFonts w:cstheme="minorHAnsi"/>
                <w:sz w:val="20"/>
                <w:szCs w:val="20"/>
                <w:lang w:eastAsia="en-NZ"/>
              </w:rPr>
              <w:t>1453</w:t>
            </w:r>
          </w:p>
        </w:tc>
        <w:tc>
          <w:tcPr>
            <w:tcW w:w="1219" w:type="dxa"/>
            <w:shd w:val="clear" w:color="auto" w:fill="FFFFFF"/>
            <w:noWrap/>
            <w:tcMar>
              <w:top w:w="0" w:type="dxa"/>
              <w:left w:w="108" w:type="dxa"/>
              <w:bottom w:w="0" w:type="dxa"/>
              <w:right w:w="108" w:type="dxa"/>
            </w:tcMar>
            <w:vAlign w:val="center"/>
          </w:tcPr>
          <w:p w:rsidR="00722B49" w:rsidRPr="00722B49" w:rsidRDefault="00722B49" w:rsidP="00722B49">
            <w:pPr>
              <w:spacing w:after="0"/>
              <w:jc w:val="center"/>
              <w:rPr>
                <w:rFonts w:cstheme="minorHAnsi"/>
                <w:sz w:val="20"/>
                <w:szCs w:val="20"/>
                <w:lang w:eastAsia="en-NZ"/>
              </w:rPr>
            </w:pPr>
            <w:r w:rsidRPr="00722B49">
              <w:rPr>
                <w:rFonts w:cstheme="minorHAnsi"/>
                <w:sz w:val="20"/>
                <w:szCs w:val="20"/>
                <w:lang w:eastAsia="en-NZ"/>
              </w:rPr>
              <w:t>1465</w:t>
            </w:r>
          </w:p>
        </w:tc>
        <w:tc>
          <w:tcPr>
            <w:tcW w:w="1219" w:type="dxa"/>
            <w:noWrap/>
            <w:tcMar>
              <w:top w:w="0" w:type="dxa"/>
              <w:left w:w="108" w:type="dxa"/>
              <w:bottom w:w="0" w:type="dxa"/>
              <w:right w:w="108" w:type="dxa"/>
            </w:tcMar>
            <w:vAlign w:val="center"/>
          </w:tcPr>
          <w:p w:rsidR="00722B49" w:rsidRPr="00722B49" w:rsidRDefault="00722B49" w:rsidP="00722B49">
            <w:pPr>
              <w:spacing w:after="0"/>
              <w:jc w:val="center"/>
              <w:rPr>
                <w:rFonts w:cstheme="minorHAnsi"/>
                <w:sz w:val="20"/>
                <w:szCs w:val="20"/>
                <w:lang w:eastAsia="en-NZ"/>
              </w:rPr>
            </w:pPr>
            <w:r w:rsidRPr="00722B49">
              <w:rPr>
                <w:rFonts w:cstheme="minorHAnsi"/>
                <w:sz w:val="20"/>
                <w:szCs w:val="20"/>
                <w:lang w:eastAsia="en-NZ"/>
              </w:rPr>
              <w:t>1496</w:t>
            </w:r>
          </w:p>
        </w:tc>
        <w:tc>
          <w:tcPr>
            <w:tcW w:w="1220" w:type="dxa"/>
            <w:vAlign w:val="center"/>
          </w:tcPr>
          <w:p w:rsidR="00722B49" w:rsidRPr="00722B49" w:rsidRDefault="00722B49" w:rsidP="00722B49">
            <w:pPr>
              <w:spacing w:after="0"/>
              <w:jc w:val="center"/>
              <w:rPr>
                <w:rFonts w:cstheme="minorHAnsi"/>
                <w:sz w:val="20"/>
                <w:szCs w:val="20"/>
                <w:lang w:eastAsia="en-NZ"/>
              </w:rPr>
            </w:pPr>
            <w:r w:rsidRPr="00722B49">
              <w:rPr>
                <w:rFonts w:cstheme="minorHAnsi"/>
                <w:sz w:val="20"/>
                <w:szCs w:val="20"/>
                <w:lang w:eastAsia="en-NZ"/>
              </w:rPr>
              <w:t>1526</w:t>
            </w:r>
          </w:p>
        </w:tc>
      </w:tr>
      <w:tr w:rsidR="00722B49" w:rsidRPr="00722B49" w:rsidTr="00722B49">
        <w:trPr>
          <w:trHeight w:val="253"/>
        </w:trPr>
        <w:tc>
          <w:tcPr>
            <w:tcW w:w="1832" w:type="dxa"/>
            <w:noWrap/>
            <w:tcMar>
              <w:top w:w="0" w:type="dxa"/>
              <w:left w:w="108" w:type="dxa"/>
              <w:bottom w:w="0" w:type="dxa"/>
              <w:right w:w="108" w:type="dxa"/>
            </w:tcMar>
            <w:vAlign w:val="center"/>
          </w:tcPr>
          <w:p w:rsidR="00722B49" w:rsidRPr="00722B49" w:rsidRDefault="00722B49" w:rsidP="00722B49">
            <w:pPr>
              <w:spacing w:after="0"/>
              <w:jc w:val="center"/>
              <w:rPr>
                <w:rFonts w:cstheme="minorHAnsi"/>
                <w:sz w:val="20"/>
                <w:szCs w:val="20"/>
                <w:lang w:eastAsia="en-NZ"/>
              </w:rPr>
            </w:pPr>
            <w:r w:rsidRPr="00722B49">
              <w:rPr>
                <w:rFonts w:cstheme="minorHAnsi"/>
                <w:sz w:val="20"/>
                <w:szCs w:val="20"/>
                <w:lang w:eastAsia="en-NZ"/>
              </w:rPr>
              <w:t>Turnover (%)</w:t>
            </w:r>
          </w:p>
        </w:tc>
        <w:tc>
          <w:tcPr>
            <w:tcW w:w="1219" w:type="dxa"/>
            <w:noWrap/>
            <w:tcMar>
              <w:top w:w="0" w:type="dxa"/>
              <w:left w:w="108" w:type="dxa"/>
              <w:bottom w:w="0" w:type="dxa"/>
              <w:right w:w="108" w:type="dxa"/>
            </w:tcMar>
            <w:vAlign w:val="center"/>
          </w:tcPr>
          <w:p w:rsidR="00722B49" w:rsidRPr="00722B49" w:rsidRDefault="00722B49" w:rsidP="00722B49">
            <w:pPr>
              <w:spacing w:after="0"/>
              <w:jc w:val="center"/>
              <w:rPr>
                <w:rFonts w:cstheme="minorHAnsi"/>
                <w:sz w:val="20"/>
                <w:szCs w:val="20"/>
                <w:lang w:eastAsia="en-NZ"/>
              </w:rPr>
            </w:pPr>
            <w:r w:rsidRPr="00722B49">
              <w:rPr>
                <w:rFonts w:cstheme="minorHAnsi"/>
                <w:sz w:val="20"/>
                <w:szCs w:val="20"/>
                <w:lang w:eastAsia="en-NZ"/>
              </w:rPr>
              <w:t>17%</w:t>
            </w:r>
          </w:p>
        </w:tc>
        <w:tc>
          <w:tcPr>
            <w:tcW w:w="1219" w:type="dxa"/>
            <w:noWrap/>
            <w:tcMar>
              <w:top w:w="0" w:type="dxa"/>
              <w:left w:w="108" w:type="dxa"/>
              <w:bottom w:w="0" w:type="dxa"/>
              <w:right w:w="108" w:type="dxa"/>
            </w:tcMar>
            <w:vAlign w:val="center"/>
          </w:tcPr>
          <w:p w:rsidR="00722B49" w:rsidRPr="00722B49" w:rsidRDefault="00722B49" w:rsidP="00722B49">
            <w:pPr>
              <w:spacing w:after="0"/>
              <w:jc w:val="center"/>
              <w:rPr>
                <w:rFonts w:cstheme="minorHAnsi"/>
                <w:sz w:val="20"/>
                <w:szCs w:val="20"/>
                <w:lang w:eastAsia="en-NZ"/>
              </w:rPr>
            </w:pPr>
            <w:r w:rsidRPr="00722B49">
              <w:rPr>
                <w:rFonts w:cstheme="minorHAnsi"/>
                <w:sz w:val="20"/>
                <w:szCs w:val="20"/>
                <w:lang w:eastAsia="en-NZ"/>
              </w:rPr>
              <w:t>20.2%</w:t>
            </w:r>
          </w:p>
        </w:tc>
        <w:tc>
          <w:tcPr>
            <w:tcW w:w="1219" w:type="dxa"/>
            <w:shd w:val="clear" w:color="auto" w:fill="FFFFFF"/>
            <w:noWrap/>
            <w:tcMar>
              <w:top w:w="0" w:type="dxa"/>
              <w:left w:w="108" w:type="dxa"/>
              <w:bottom w:w="0" w:type="dxa"/>
              <w:right w:w="108" w:type="dxa"/>
            </w:tcMar>
            <w:vAlign w:val="center"/>
          </w:tcPr>
          <w:p w:rsidR="00722B49" w:rsidRPr="00722B49" w:rsidRDefault="00722B49" w:rsidP="00722B49">
            <w:pPr>
              <w:spacing w:after="0"/>
              <w:jc w:val="center"/>
              <w:rPr>
                <w:rFonts w:cstheme="minorHAnsi"/>
                <w:sz w:val="20"/>
                <w:szCs w:val="20"/>
                <w:lang w:eastAsia="en-NZ"/>
              </w:rPr>
            </w:pPr>
            <w:r w:rsidRPr="00722B49">
              <w:rPr>
                <w:rFonts w:cstheme="minorHAnsi"/>
                <w:sz w:val="20"/>
                <w:szCs w:val="20"/>
                <w:lang w:eastAsia="en-NZ"/>
              </w:rPr>
              <w:t>22%</w:t>
            </w:r>
          </w:p>
        </w:tc>
        <w:tc>
          <w:tcPr>
            <w:tcW w:w="1219" w:type="dxa"/>
            <w:noWrap/>
            <w:tcMar>
              <w:top w:w="0" w:type="dxa"/>
              <w:left w:w="108" w:type="dxa"/>
              <w:bottom w:w="0" w:type="dxa"/>
              <w:right w:w="108" w:type="dxa"/>
            </w:tcMar>
            <w:vAlign w:val="center"/>
          </w:tcPr>
          <w:p w:rsidR="00722B49" w:rsidRPr="00722B49" w:rsidRDefault="00722B49" w:rsidP="00722B49">
            <w:pPr>
              <w:spacing w:after="0"/>
              <w:jc w:val="center"/>
              <w:rPr>
                <w:rFonts w:cstheme="minorHAnsi"/>
                <w:sz w:val="20"/>
                <w:szCs w:val="20"/>
                <w:lang w:eastAsia="en-NZ"/>
              </w:rPr>
            </w:pPr>
            <w:r w:rsidRPr="00722B49">
              <w:rPr>
                <w:rFonts w:cstheme="minorHAnsi"/>
                <w:sz w:val="20"/>
                <w:szCs w:val="20"/>
                <w:lang w:eastAsia="en-NZ"/>
              </w:rPr>
              <w:t>21.3%</w:t>
            </w:r>
          </w:p>
        </w:tc>
        <w:tc>
          <w:tcPr>
            <w:tcW w:w="1220" w:type="dxa"/>
            <w:vAlign w:val="center"/>
          </w:tcPr>
          <w:p w:rsidR="00722B49" w:rsidRPr="00722B49" w:rsidRDefault="00722B49" w:rsidP="00722B49">
            <w:pPr>
              <w:spacing w:after="0"/>
              <w:jc w:val="center"/>
              <w:rPr>
                <w:rFonts w:cstheme="minorHAnsi"/>
                <w:sz w:val="20"/>
                <w:szCs w:val="20"/>
                <w:lang w:eastAsia="en-NZ"/>
              </w:rPr>
            </w:pPr>
            <w:r w:rsidRPr="00722B49">
              <w:rPr>
                <w:rFonts w:cstheme="minorHAnsi"/>
                <w:sz w:val="20"/>
                <w:szCs w:val="20"/>
                <w:lang w:eastAsia="en-NZ"/>
              </w:rPr>
              <w:t>22.6%</w:t>
            </w:r>
          </w:p>
        </w:tc>
      </w:tr>
    </w:tbl>
    <w:p w:rsidR="0093151B" w:rsidRDefault="0093151B" w:rsidP="0093151B">
      <w:pPr>
        <w:rPr>
          <w:rFonts w:ascii="Arial Narrow" w:hAnsi="Arial Narrow"/>
          <w:color w:val="1F497D"/>
          <w:sz w:val="24"/>
          <w:szCs w:val="24"/>
        </w:rPr>
      </w:pPr>
    </w:p>
    <w:p w:rsidR="00107245" w:rsidRPr="00D5126A" w:rsidRDefault="00107245" w:rsidP="00107245">
      <w:pPr>
        <w:pStyle w:val="Heading3"/>
      </w:pPr>
      <w:r w:rsidRPr="00D5126A">
        <w:t>Diversity and Inclusion</w:t>
      </w:r>
      <w:bookmarkEnd w:id="376"/>
    </w:p>
    <w:p w:rsidR="00107245" w:rsidRPr="00D5126A" w:rsidRDefault="00107245" w:rsidP="006E1DFB">
      <w:pPr>
        <w:rPr>
          <w:rFonts w:eastAsia="Times New Roman"/>
        </w:rPr>
      </w:pPr>
      <w:r w:rsidRPr="00D5126A">
        <w:rPr>
          <w:rFonts w:eastAsia="Times New Roman"/>
        </w:rPr>
        <w:t>The Council’s Diversity and Inclusion strategy ‘Mō te katoa – For everyone, for all’ launched in October 2018.  The aim is to create an organisation that supports all people to thrive and grow.  Having a more diverse and inclusive workforce will help Council to respond to specific organisational needs including:</w:t>
      </w:r>
    </w:p>
    <w:p w:rsidR="00107245" w:rsidRPr="006E1DFB" w:rsidRDefault="00107245" w:rsidP="002C7BF8">
      <w:pPr>
        <w:pStyle w:val="ListParagraph"/>
        <w:numPr>
          <w:ilvl w:val="0"/>
          <w:numId w:val="70"/>
        </w:numPr>
        <w:rPr>
          <w:rFonts w:eastAsia="Times New Roman"/>
        </w:rPr>
      </w:pPr>
      <w:r w:rsidRPr="006E1DFB">
        <w:rPr>
          <w:rFonts w:eastAsia="Times New Roman"/>
        </w:rPr>
        <w:t>Delivering an ambitious Long Term Plan and programme of work</w:t>
      </w:r>
    </w:p>
    <w:p w:rsidR="00107245" w:rsidRPr="006E1DFB" w:rsidRDefault="00107245" w:rsidP="002C7BF8">
      <w:pPr>
        <w:pStyle w:val="ListParagraph"/>
        <w:numPr>
          <w:ilvl w:val="0"/>
          <w:numId w:val="70"/>
        </w:numPr>
        <w:rPr>
          <w:rFonts w:eastAsia="Times New Roman"/>
        </w:rPr>
      </w:pPr>
      <w:r w:rsidRPr="006E1DFB">
        <w:rPr>
          <w:rFonts w:eastAsia="Times New Roman"/>
        </w:rPr>
        <w:t>To ‘build the team we need’ to deliver on our organisational priorities</w:t>
      </w:r>
    </w:p>
    <w:p w:rsidR="00107245" w:rsidRPr="006E1DFB" w:rsidRDefault="00107245" w:rsidP="002C7BF8">
      <w:pPr>
        <w:pStyle w:val="ListParagraph"/>
        <w:numPr>
          <w:ilvl w:val="0"/>
          <w:numId w:val="70"/>
        </w:numPr>
        <w:rPr>
          <w:rFonts w:eastAsia="Times New Roman"/>
        </w:rPr>
      </w:pPr>
      <w:r w:rsidRPr="006E1DFB">
        <w:rPr>
          <w:rFonts w:eastAsia="Times New Roman"/>
        </w:rPr>
        <w:t>Building a highly collaborative and productive culture</w:t>
      </w:r>
    </w:p>
    <w:p w:rsidR="00107245" w:rsidRPr="006E1DFB" w:rsidRDefault="00107245" w:rsidP="002C7BF8">
      <w:pPr>
        <w:pStyle w:val="ListParagraph"/>
        <w:numPr>
          <w:ilvl w:val="0"/>
          <w:numId w:val="70"/>
        </w:numPr>
        <w:rPr>
          <w:rFonts w:eastAsia="Times New Roman"/>
        </w:rPr>
      </w:pPr>
      <w:r w:rsidRPr="006E1DFB">
        <w:rPr>
          <w:rFonts w:eastAsia="Times New Roman"/>
        </w:rPr>
        <w:t>Embedding our refreshed organisational values and behaviours</w:t>
      </w:r>
    </w:p>
    <w:p w:rsidR="00107245" w:rsidRPr="00D5126A" w:rsidRDefault="00107245" w:rsidP="006E1DFB">
      <w:pPr>
        <w:rPr>
          <w:rFonts w:eastAsia="Times New Roman"/>
        </w:rPr>
      </w:pPr>
      <w:r w:rsidRPr="00D5126A">
        <w:rPr>
          <w:rFonts w:eastAsia="Times New Roman"/>
        </w:rPr>
        <w:t>To help us achieve this, the strategy is focused on four key areas:</w:t>
      </w:r>
    </w:p>
    <w:p w:rsidR="00107245" w:rsidRPr="006E1DFB" w:rsidRDefault="00107245" w:rsidP="002C7BF8">
      <w:pPr>
        <w:pStyle w:val="ListParagraph"/>
        <w:numPr>
          <w:ilvl w:val="0"/>
          <w:numId w:val="71"/>
        </w:numPr>
        <w:rPr>
          <w:rFonts w:ascii="Arial" w:eastAsia="Times New Roman" w:hAnsi="Arial"/>
        </w:rPr>
      </w:pPr>
      <w:r w:rsidRPr="006E1DFB">
        <w:rPr>
          <w:rFonts w:ascii="Arial" w:eastAsia="Times New Roman" w:hAnsi="Arial"/>
        </w:rPr>
        <w:t>Education and awareness</w:t>
      </w:r>
    </w:p>
    <w:p w:rsidR="00107245" w:rsidRPr="006E1DFB" w:rsidRDefault="00107245" w:rsidP="002C7BF8">
      <w:pPr>
        <w:pStyle w:val="ListParagraph"/>
        <w:numPr>
          <w:ilvl w:val="0"/>
          <w:numId w:val="71"/>
        </w:numPr>
        <w:rPr>
          <w:rFonts w:ascii="Arial" w:eastAsia="Times New Roman" w:hAnsi="Arial"/>
        </w:rPr>
      </w:pPr>
      <w:r w:rsidRPr="006E1DFB">
        <w:rPr>
          <w:rFonts w:ascii="Arial" w:eastAsia="Times New Roman" w:hAnsi="Arial"/>
        </w:rPr>
        <w:t>Leadership</w:t>
      </w:r>
    </w:p>
    <w:p w:rsidR="00107245" w:rsidRPr="006E1DFB" w:rsidRDefault="00107245" w:rsidP="002C7BF8">
      <w:pPr>
        <w:pStyle w:val="ListParagraph"/>
        <w:numPr>
          <w:ilvl w:val="0"/>
          <w:numId w:val="71"/>
        </w:numPr>
        <w:rPr>
          <w:rFonts w:ascii="Arial" w:eastAsia="Times New Roman" w:hAnsi="Arial"/>
        </w:rPr>
      </w:pPr>
      <w:r w:rsidRPr="006E1DFB">
        <w:rPr>
          <w:rFonts w:ascii="Arial" w:eastAsia="Times New Roman" w:hAnsi="Arial"/>
        </w:rPr>
        <w:t>Workforce equity</w:t>
      </w:r>
    </w:p>
    <w:p w:rsidR="00107245" w:rsidRPr="006E1DFB" w:rsidRDefault="00107245" w:rsidP="002C7BF8">
      <w:pPr>
        <w:pStyle w:val="ListParagraph"/>
        <w:numPr>
          <w:ilvl w:val="0"/>
          <w:numId w:val="71"/>
        </w:numPr>
        <w:rPr>
          <w:rFonts w:ascii="Arial" w:eastAsia="Times New Roman" w:hAnsi="Arial"/>
        </w:rPr>
      </w:pPr>
      <w:r w:rsidRPr="006E1DFB">
        <w:rPr>
          <w:rFonts w:ascii="Arial" w:eastAsia="Times New Roman" w:hAnsi="Arial"/>
        </w:rPr>
        <w:t>Data collection and integrity</w:t>
      </w:r>
    </w:p>
    <w:p w:rsidR="00107245" w:rsidRPr="00D5126A" w:rsidRDefault="00107245" w:rsidP="00107245">
      <w:pPr>
        <w:rPr>
          <w:rFonts w:ascii="Arial" w:eastAsia="Times New Roman" w:hAnsi="Arial"/>
        </w:rPr>
      </w:pPr>
      <w:r w:rsidRPr="00D5126A">
        <w:rPr>
          <w:rFonts w:ascii="Arial" w:eastAsia="Times New Roman" w:hAnsi="Arial"/>
        </w:rPr>
        <w:t>Actions taken since the strategy was launched include:</w:t>
      </w:r>
    </w:p>
    <w:p w:rsidR="00107245" w:rsidRPr="006E1DFB" w:rsidRDefault="00107245" w:rsidP="002C7BF8">
      <w:pPr>
        <w:pStyle w:val="ListParagraph"/>
        <w:numPr>
          <w:ilvl w:val="0"/>
          <w:numId w:val="72"/>
        </w:numPr>
        <w:ind w:left="709"/>
        <w:rPr>
          <w:rFonts w:ascii="Arial" w:eastAsia="Times New Roman" w:hAnsi="Arial"/>
        </w:rPr>
      </w:pPr>
      <w:r w:rsidRPr="006E1DFB">
        <w:rPr>
          <w:rFonts w:ascii="Arial" w:eastAsia="Times New Roman" w:hAnsi="Arial"/>
        </w:rPr>
        <w:lastRenderedPageBreak/>
        <w:t>Established a Diversity and Inclusion (D&amp;I) Steering group, chaired by the CE, Kevin Lavery which provides leadership and direction to the D&amp;I work programme.</w:t>
      </w:r>
    </w:p>
    <w:p w:rsidR="00107245" w:rsidRPr="006E1DFB" w:rsidRDefault="00107245" w:rsidP="002C7BF8">
      <w:pPr>
        <w:pStyle w:val="ListParagraph"/>
        <w:numPr>
          <w:ilvl w:val="0"/>
          <w:numId w:val="72"/>
        </w:numPr>
        <w:ind w:left="709"/>
        <w:rPr>
          <w:rFonts w:ascii="Arial" w:eastAsia="Times New Roman" w:hAnsi="Arial"/>
        </w:rPr>
      </w:pPr>
      <w:r w:rsidRPr="006E1DFB">
        <w:rPr>
          <w:rFonts w:ascii="Arial" w:eastAsia="Times New Roman" w:hAnsi="Arial"/>
        </w:rPr>
        <w:t>Formed a D&amp;I committee, made up of staff who have a passion for D&amp;I who are a sounding board for D&amp;I initiatives and who have taken on responsibility for formalising our staff groups and developing and running a D&amp;I event calendar.</w:t>
      </w:r>
    </w:p>
    <w:p w:rsidR="00107245" w:rsidRPr="006E1DFB" w:rsidRDefault="00107245" w:rsidP="002C7BF8">
      <w:pPr>
        <w:pStyle w:val="ListParagraph"/>
        <w:numPr>
          <w:ilvl w:val="0"/>
          <w:numId w:val="72"/>
        </w:numPr>
        <w:ind w:left="709"/>
        <w:rPr>
          <w:rFonts w:ascii="Arial" w:eastAsia="Times New Roman" w:hAnsi="Arial"/>
        </w:rPr>
      </w:pPr>
      <w:r w:rsidRPr="006E1DFB">
        <w:rPr>
          <w:rFonts w:ascii="Arial" w:eastAsia="Times New Roman" w:hAnsi="Arial"/>
        </w:rPr>
        <w:t>Gathered diversity and inclusion information through our annual Korero Mai (business improvement) survey.</w:t>
      </w:r>
    </w:p>
    <w:p w:rsidR="00107245" w:rsidRPr="006E1DFB" w:rsidRDefault="00107245" w:rsidP="002C7BF8">
      <w:pPr>
        <w:pStyle w:val="ListParagraph"/>
        <w:numPr>
          <w:ilvl w:val="0"/>
          <w:numId w:val="72"/>
        </w:numPr>
        <w:ind w:left="709"/>
        <w:rPr>
          <w:rFonts w:ascii="Arial" w:eastAsia="Times New Roman" w:hAnsi="Arial"/>
        </w:rPr>
      </w:pPr>
      <w:r w:rsidRPr="006E1DFB">
        <w:rPr>
          <w:rFonts w:ascii="Arial" w:eastAsia="Times New Roman" w:hAnsi="Arial"/>
        </w:rPr>
        <w:t xml:space="preserve">Started planning for how we implement flexible working into the organisation and how we build diversity and inclusion practices into our leadership and management development programmes. </w:t>
      </w:r>
    </w:p>
    <w:p w:rsidR="00107245" w:rsidRPr="00D5126A" w:rsidRDefault="00107245" w:rsidP="00107245">
      <w:pPr>
        <w:rPr>
          <w:rFonts w:ascii="Arial" w:eastAsia="Times New Roman" w:hAnsi="Arial"/>
        </w:rPr>
      </w:pPr>
      <w:r w:rsidRPr="00D5126A">
        <w:rPr>
          <w:rFonts w:ascii="Arial" w:eastAsia="Times New Roman" w:hAnsi="Arial"/>
        </w:rPr>
        <w:t>From our recent Korero Mai survey it was found that people on the whole feel that Council is doing good work to build a more diverse and inclusive workplace, but agree there is still much room for improvement.  We will monitor this in the next survey for improvement.</w:t>
      </w:r>
    </w:p>
    <w:p w:rsidR="00107245" w:rsidRPr="00D5126A" w:rsidRDefault="00107245" w:rsidP="006E1DFB">
      <w:pPr>
        <w:rPr>
          <w:rFonts w:eastAsia="Times New Roman"/>
        </w:rPr>
      </w:pPr>
      <w:r w:rsidRPr="00D5126A">
        <w:rPr>
          <w:rFonts w:eastAsia="Times New Roman"/>
        </w:rPr>
        <w:t xml:space="preserve">Between 1 July 2018 and 30 June 2019, there were in general, a similar number of females and males in tiers 1 to 3 of the organisation and 20 more females than males in tier 4. Tier 1 is the chief executive and tier 4 in general covers team leader roles. When all 1,803 employees across the organisation are taken into account, there are 197 more females than males. Women make up 55 percent of our workforce.  </w:t>
      </w:r>
    </w:p>
    <w:p w:rsidR="00107245" w:rsidRPr="00D5126A" w:rsidRDefault="00107245" w:rsidP="00107245">
      <w:pPr>
        <w:pStyle w:val="Heading4"/>
      </w:pPr>
      <w:r w:rsidRPr="00D5126A">
        <w:t>Te Tauihu and Te Tiriti o Waitangi</w:t>
      </w:r>
    </w:p>
    <w:p w:rsidR="00107245" w:rsidRPr="00D5126A" w:rsidRDefault="00107245" w:rsidP="006E1DFB">
      <w:pPr>
        <w:rPr>
          <w:lang w:eastAsia="en-NZ"/>
        </w:rPr>
      </w:pPr>
      <w:r w:rsidRPr="00D5126A">
        <w:rPr>
          <w:lang w:eastAsia="en-NZ"/>
        </w:rPr>
        <w:t xml:space="preserve">In June 2018 Council adopted its Te Tauihu </w:t>
      </w:r>
      <w:proofErr w:type="gramStart"/>
      <w:r w:rsidRPr="00D5126A">
        <w:rPr>
          <w:lang w:eastAsia="en-NZ"/>
        </w:rPr>
        <w:t>te</w:t>
      </w:r>
      <w:proofErr w:type="gramEnd"/>
      <w:r w:rsidRPr="00D5126A">
        <w:rPr>
          <w:lang w:eastAsia="en-NZ"/>
        </w:rPr>
        <w:t xml:space="preserve"> reo Māori policy to help the revitalisation of the language. Part of the policy was “Te Reo for Wellington City Council”, which aims to create an organisation where everyone understands the importance of </w:t>
      </w:r>
      <w:proofErr w:type="gramStart"/>
      <w:r w:rsidRPr="00D5126A">
        <w:rPr>
          <w:lang w:eastAsia="en-NZ"/>
        </w:rPr>
        <w:t>te</w:t>
      </w:r>
      <w:proofErr w:type="gramEnd"/>
      <w:r w:rsidRPr="00D5126A">
        <w:rPr>
          <w:lang w:eastAsia="en-NZ"/>
        </w:rPr>
        <w:t xml:space="preserve"> reo Māori and feels support in learning and using it. Being familiar with </w:t>
      </w:r>
      <w:proofErr w:type="gramStart"/>
      <w:r w:rsidRPr="00D5126A">
        <w:rPr>
          <w:lang w:eastAsia="en-NZ"/>
        </w:rPr>
        <w:t>te</w:t>
      </w:r>
      <w:proofErr w:type="gramEnd"/>
      <w:r w:rsidRPr="00D5126A">
        <w:rPr>
          <w:lang w:eastAsia="en-NZ"/>
        </w:rPr>
        <w:t xml:space="preserve"> reo, Māori aspirations, values and cultural customs helps us to acknowledge our unique cultural heritage and identity, build stronger te reo communities and serve the people of Wellington more equitably. We also have a vision of Wellington being a reo rua city by 2040.</w:t>
      </w:r>
    </w:p>
    <w:p w:rsidR="00107245" w:rsidRPr="00D5126A" w:rsidRDefault="00107245" w:rsidP="006E1DFB">
      <w:pPr>
        <w:rPr>
          <w:lang w:eastAsia="en-NZ"/>
        </w:rPr>
      </w:pPr>
      <w:r w:rsidRPr="00D5126A">
        <w:rPr>
          <w:lang w:eastAsia="en-NZ"/>
        </w:rPr>
        <w:t xml:space="preserve">We know there is work to do in this area. Only 5.4 percent of staff reported as Māori, 99 out of 1803. However, this year there has been an increase in </w:t>
      </w:r>
      <w:proofErr w:type="gramStart"/>
      <w:r w:rsidRPr="00D5126A">
        <w:rPr>
          <w:lang w:eastAsia="en-NZ"/>
        </w:rPr>
        <w:t>te</w:t>
      </w:r>
      <w:proofErr w:type="gramEnd"/>
      <w:r w:rsidRPr="00D5126A">
        <w:rPr>
          <w:lang w:eastAsia="en-NZ"/>
        </w:rPr>
        <w:t xml:space="preserve"> reo and te Ao Māori offerings and participation from staff. In this financial year there were </w:t>
      </w:r>
      <w:r w:rsidR="00403037" w:rsidRPr="00D5126A">
        <w:rPr>
          <w:lang w:eastAsia="en-NZ"/>
        </w:rPr>
        <w:t>131</w:t>
      </w:r>
      <w:r w:rsidRPr="00D5126A">
        <w:rPr>
          <w:lang w:eastAsia="en-NZ"/>
        </w:rPr>
        <w:t xml:space="preserve"> enrolments Council’s </w:t>
      </w:r>
      <w:proofErr w:type="gramStart"/>
      <w:r w:rsidRPr="00D5126A">
        <w:rPr>
          <w:lang w:eastAsia="en-NZ"/>
        </w:rPr>
        <w:t>te</w:t>
      </w:r>
      <w:proofErr w:type="gramEnd"/>
      <w:r w:rsidRPr="00D5126A">
        <w:rPr>
          <w:lang w:eastAsia="en-NZ"/>
        </w:rPr>
        <w:t xml:space="preserve"> reo Māori language courses, including </w:t>
      </w:r>
      <w:r w:rsidR="00403037" w:rsidRPr="00D5126A">
        <w:rPr>
          <w:lang w:eastAsia="en-NZ"/>
        </w:rPr>
        <w:t>44</w:t>
      </w:r>
      <w:r w:rsidRPr="00D5126A">
        <w:rPr>
          <w:lang w:eastAsia="en-NZ"/>
        </w:rPr>
        <w:t xml:space="preserve"> at the beginner level. Also, </w:t>
      </w:r>
      <w:r w:rsidRPr="00D5126A">
        <w:rPr>
          <w:rFonts w:eastAsia="Times New Roman"/>
        </w:rPr>
        <w:t xml:space="preserve">69 people completed our Te Rito </w:t>
      </w:r>
      <w:proofErr w:type="gramStart"/>
      <w:r w:rsidRPr="00D5126A">
        <w:rPr>
          <w:rFonts w:eastAsia="Times New Roman"/>
        </w:rPr>
        <w:t>te</w:t>
      </w:r>
      <w:proofErr w:type="gramEnd"/>
      <w:r w:rsidRPr="00D5126A">
        <w:rPr>
          <w:rFonts w:eastAsia="Times New Roman"/>
        </w:rPr>
        <w:t xml:space="preserve"> reo Māori modules</w:t>
      </w:r>
      <w:r w:rsidR="00403037" w:rsidRPr="00D5126A">
        <w:rPr>
          <w:rFonts w:eastAsia="Times New Roman"/>
        </w:rPr>
        <w:t xml:space="preserve">. Some staff members completed more than one </w:t>
      </w:r>
      <w:proofErr w:type="gramStart"/>
      <w:r w:rsidR="00403037" w:rsidRPr="00D5126A">
        <w:rPr>
          <w:rFonts w:eastAsia="Times New Roman"/>
        </w:rPr>
        <w:t>te</w:t>
      </w:r>
      <w:proofErr w:type="gramEnd"/>
      <w:r w:rsidR="00403037" w:rsidRPr="00D5126A">
        <w:rPr>
          <w:rFonts w:eastAsia="Times New Roman"/>
        </w:rPr>
        <w:t xml:space="preserve"> reo Māori course.</w:t>
      </w:r>
    </w:p>
    <w:p w:rsidR="00107245" w:rsidRPr="00D5126A" w:rsidRDefault="00107245" w:rsidP="006E1DFB">
      <w:pPr>
        <w:rPr>
          <w:lang w:eastAsia="en-NZ"/>
        </w:rPr>
      </w:pPr>
      <w:r w:rsidRPr="00D5126A">
        <w:rPr>
          <w:lang w:eastAsia="en-NZ"/>
        </w:rPr>
        <w:t xml:space="preserve">Council also has a kapa haka rōpū that performs throughout the year and practices weekly. Staff participated in the Te Wiki o </w:t>
      </w:r>
      <w:proofErr w:type="gramStart"/>
      <w:r w:rsidRPr="00D5126A">
        <w:rPr>
          <w:lang w:eastAsia="en-NZ"/>
        </w:rPr>
        <w:t>te</w:t>
      </w:r>
      <w:proofErr w:type="gramEnd"/>
      <w:r w:rsidRPr="00D5126A">
        <w:rPr>
          <w:lang w:eastAsia="en-NZ"/>
        </w:rPr>
        <w:t xml:space="preserve"> reo Māori street parade, attended Te Matatini (the national kapa haka festival) and the Te Rā o </w:t>
      </w:r>
      <w:r w:rsidR="00251826" w:rsidRPr="00D5126A">
        <w:rPr>
          <w:lang w:eastAsia="en-NZ"/>
        </w:rPr>
        <w:t>Wa</w:t>
      </w:r>
      <w:r w:rsidR="00251826">
        <w:rPr>
          <w:lang w:eastAsia="en-NZ"/>
        </w:rPr>
        <w:t>i</w:t>
      </w:r>
      <w:r w:rsidR="00251826" w:rsidRPr="00D5126A">
        <w:rPr>
          <w:lang w:eastAsia="en-NZ"/>
        </w:rPr>
        <w:t>tangi</w:t>
      </w:r>
      <w:r w:rsidRPr="00D5126A">
        <w:rPr>
          <w:lang w:eastAsia="en-NZ"/>
        </w:rPr>
        <w:t xml:space="preserve"> festival, and have adopted bilingual Māori and English internal values. There is also increased </w:t>
      </w:r>
      <w:proofErr w:type="gramStart"/>
      <w:r w:rsidRPr="00D5126A">
        <w:rPr>
          <w:lang w:eastAsia="en-NZ"/>
        </w:rPr>
        <w:t>te</w:t>
      </w:r>
      <w:proofErr w:type="gramEnd"/>
      <w:r w:rsidRPr="00D5126A">
        <w:rPr>
          <w:lang w:eastAsia="en-NZ"/>
        </w:rPr>
        <w:t xml:space="preserve"> reo signage in our offices, including Māori names for meeting rooms. </w:t>
      </w:r>
    </w:p>
    <w:p w:rsidR="00107245" w:rsidRPr="00D5126A" w:rsidRDefault="00107245" w:rsidP="006E1DFB">
      <w:pPr>
        <w:rPr>
          <w:lang w:eastAsia="en-NZ"/>
        </w:rPr>
      </w:pPr>
      <w:r w:rsidRPr="00D5126A">
        <w:rPr>
          <w:lang w:eastAsia="en-NZ"/>
        </w:rPr>
        <w:t>Wellington City Council also has Te Tiriti o Waitangi legislative obligations and considerations, which are reflected in how we work on a day-to-day basis. Some of the key documents that aid our approach include:</w:t>
      </w:r>
    </w:p>
    <w:p w:rsidR="00107245" w:rsidRPr="00D5126A" w:rsidRDefault="00107245" w:rsidP="002C7BF8">
      <w:pPr>
        <w:pStyle w:val="ListParagraph"/>
        <w:numPr>
          <w:ilvl w:val="0"/>
          <w:numId w:val="33"/>
        </w:numPr>
        <w:rPr>
          <w:rFonts w:ascii="Arial" w:hAnsi="Arial" w:cs="Arial"/>
          <w:lang w:eastAsia="en-NZ"/>
        </w:rPr>
      </w:pPr>
      <w:r w:rsidRPr="00D5126A">
        <w:rPr>
          <w:rFonts w:ascii="Arial" w:hAnsi="Arial" w:cs="Arial"/>
          <w:lang w:eastAsia="en-NZ"/>
        </w:rPr>
        <w:t xml:space="preserve">Iwi Memoranda of Understanding to work together, including providing cultural advice and activities. </w:t>
      </w:r>
    </w:p>
    <w:p w:rsidR="00107245" w:rsidRPr="00D5126A" w:rsidRDefault="00107245" w:rsidP="002C7BF8">
      <w:pPr>
        <w:pStyle w:val="ListParagraph"/>
        <w:numPr>
          <w:ilvl w:val="0"/>
          <w:numId w:val="33"/>
        </w:numPr>
        <w:rPr>
          <w:rFonts w:ascii="Arial" w:hAnsi="Arial" w:cs="Arial"/>
          <w:lang w:eastAsia="en-NZ"/>
        </w:rPr>
      </w:pPr>
      <w:r w:rsidRPr="00D5126A">
        <w:rPr>
          <w:rFonts w:ascii="Arial" w:hAnsi="Arial" w:cs="Arial"/>
          <w:lang w:eastAsia="en-NZ"/>
        </w:rPr>
        <w:t xml:space="preserve">Mahi Tahi agreement to work closely with Te Taura Whiri i </w:t>
      </w:r>
      <w:proofErr w:type="gramStart"/>
      <w:r w:rsidRPr="00D5126A">
        <w:rPr>
          <w:rFonts w:ascii="Arial" w:hAnsi="Arial" w:cs="Arial"/>
          <w:lang w:eastAsia="en-NZ"/>
        </w:rPr>
        <w:t>te</w:t>
      </w:r>
      <w:proofErr w:type="gramEnd"/>
      <w:r w:rsidRPr="00D5126A">
        <w:rPr>
          <w:rFonts w:ascii="Arial" w:hAnsi="Arial" w:cs="Arial"/>
          <w:lang w:eastAsia="en-NZ"/>
        </w:rPr>
        <w:t xml:space="preserve"> Reo Māori (Māori Language Commission) to revitalise the language.</w:t>
      </w:r>
    </w:p>
    <w:p w:rsidR="00107245" w:rsidRPr="00D5126A" w:rsidRDefault="00107245" w:rsidP="002C7BF8">
      <w:pPr>
        <w:pStyle w:val="ListParagraph"/>
        <w:numPr>
          <w:ilvl w:val="0"/>
          <w:numId w:val="33"/>
        </w:numPr>
        <w:rPr>
          <w:rFonts w:ascii="Arial" w:hAnsi="Arial" w:cs="Arial"/>
          <w:lang w:eastAsia="en-NZ"/>
        </w:rPr>
      </w:pPr>
      <w:r w:rsidRPr="00D5126A">
        <w:rPr>
          <w:rFonts w:ascii="Arial" w:hAnsi="Arial" w:cs="Arial"/>
          <w:lang w:eastAsia="en-NZ"/>
        </w:rPr>
        <w:lastRenderedPageBreak/>
        <w:t>Spatial (Growth) Plan and the District Plan</w:t>
      </w:r>
    </w:p>
    <w:p w:rsidR="00107245" w:rsidRPr="00D5126A" w:rsidRDefault="00107245" w:rsidP="002C7BF8">
      <w:pPr>
        <w:pStyle w:val="ListParagraph"/>
        <w:numPr>
          <w:ilvl w:val="0"/>
          <w:numId w:val="33"/>
        </w:numPr>
        <w:rPr>
          <w:rFonts w:ascii="Arial" w:hAnsi="Arial" w:cs="Arial"/>
          <w:lang w:eastAsia="en-NZ"/>
        </w:rPr>
      </w:pPr>
      <w:r w:rsidRPr="00D5126A">
        <w:rPr>
          <w:rFonts w:ascii="Arial" w:hAnsi="Arial" w:cs="Arial"/>
          <w:lang w:eastAsia="en-NZ"/>
        </w:rPr>
        <w:t>Arts and Culture Strategy</w:t>
      </w:r>
    </w:p>
    <w:p w:rsidR="00107245" w:rsidRPr="00D5126A" w:rsidRDefault="00107245" w:rsidP="002C7BF8">
      <w:pPr>
        <w:pStyle w:val="ListParagraph"/>
        <w:numPr>
          <w:ilvl w:val="0"/>
          <w:numId w:val="33"/>
        </w:numPr>
        <w:rPr>
          <w:rFonts w:ascii="Arial" w:hAnsi="Arial" w:cs="Arial"/>
          <w:lang w:eastAsia="en-NZ"/>
        </w:rPr>
      </w:pPr>
      <w:r w:rsidRPr="00D5126A">
        <w:rPr>
          <w:rFonts w:ascii="Arial" w:hAnsi="Arial" w:cs="Arial"/>
          <w:lang w:eastAsia="en-NZ"/>
        </w:rPr>
        <w:t>Our community grants and funding criteria</w:t>
      </w:r>
    </w:p>
    <w:p w:rsidR="00107245" w:rsidRPr="00D5126A" w:rsidRDefault="00107245" w:rsidP="002C7BF8">
      <w:pPr>
        <w:pStyle w:val="ListParagraph"/>
        <w:numPr>
          <w:ilvl w:val="0"/>
          <w:numId w:val="33"/>
        </w:numPr>
        <w:rPr>
          <w:rFonts w:ascii="Arial" w:hAnsi="Arial" w:cs="Arial"/>
          <w:lang w:eastAsia="en-NZ"/>
        </w:rPr>
      </w:pPr>
      <w:r w:rsidRPr="00D5126A">
        <w:rPr>
          <w:rFonts w:ascii="Arial" w:hAnsi="Arial" w:cs="Arial"/>
          <w:lang w:eastAsia="en-NZ"/>
        </w:rPr>
        <w:t>Reserve Management Plans</w:t>
      </w:r>
    </w:p>
    <w:p w:rsidR="00107245" w:rsidRPr="00D5126A" w:rsidRDefault="00107245" w:rsidP="002C7BF8">
      <w:pPr>
        <w:pStyle w:val="ListParagraph"/>
        <w:numPr>
          <w:ilvl w:val="0"/>
          <w:numId w:val="33"/>
        </w:numPr>
        <w:rPr>
          <w:rFonts w:ascii="Arial" w:hAnsi="Arial" w:cs="Arial"/>
          <w:lang w:eastAsia="en-NZ"/>
        </w:rPr>
      </w:pPr>
      <w:r w:rsidRPr="00D5126A">
        <w:rPr>
          <w:rFonts w:ascii="Arial" w:hAnsi="Arial" w:cs="Arial"/>
          <w:lang w:eastAsia="en-NZ"/>
        </w:rPr>
        <w:t>Open Space Naming Policy: Kaupapa Whakaingoa Whenua Māhorahora</w:t>
      </w:r>
    </w:p>
    <w:p w:rsidR="00107245" w:rsidRPr="00D5126A" w:rsidRDefault="00107245" w:rsidP="002C7BF8">
      <w:pPr>
        <w:pStyle w:val="ListParagraph"/>
        <w:numPr>
          <w:ilvl w:val="0"/>
          <w:numId w:val="33"/>
        </w:numPr>
        <w:rPr>
          <w:rFonts w:ascii="Arial" w:hAnsi="Arial" w:cs="Arial"/>
          <w:lang w:eastAsia="en-NZ"/>
        </w:rPr>
      </w:pPr>
      <w:r w:rsidRPr="00D5126A">
        <w:rPr>
          <w:rFonts w:ascii="Arial" w:hAnsi="Arial" w:cs="Arial"/>
          <w:lang w:eastAsia="en-NZ"/>
        </w:rPr>
        <w:t>Road Naming Policy</w:t>
      </w:r>
    </w:p>
    <w:p w:rsidR="00107245" w:rsidRPr="00D5126A" w:rsidRDefault="00107245" w:rsidP="002C7BF8">
      <w:pPr>
        <w:pStyle w:val="ListParagraph"/>
        <w:numPr>
          <w:ilvl w:val="0"/>
          <w:numId w:val="33"/>
        </w:numPr>
        <w:rPr>
          <w:rFonts w:ascii="Arial" w:hAnsi="Arial" w:cs="Arial"/>
          <w:lang w:eastAsia="en-NZ"/>
        </w:rPr>
      </w:pPr>
      <w:r w:rsidRPr="00D5126A">
        <w:rPr>
          <w:rFonts w:ascii="Arial" w:hAnsi="Arial" w:cs="Arial"/>
          <w:lang w:eastAsia="en-NZ"/>
        </w:rPr>
        <w:t>Te Mahana Homelessness Strategy</w:t>
      </w:r>
    </w:p>
    <w:p w:rsidR="00107245" w:rsidRPr="00D5126A" w:rsidRDefault="00107245" w:rsidP="002C7BF8">
      <w:pPr>
        <w:pStyle w:val="ListParagraph"/>
        <w:numPr>
          <w:ilvl w:val="0"/>
          <w:numId w:val="33"/>
        </w:numPr>
        <w:rPr>
          <w:rFonts w:ascii="Arial" w:hAnsi="Arial" w:cs="Arial"/>
          <w:lang w:eastAsia="en-NZ"/>
        </w:rPr>
      </w:pPr>
      <w:r w:rsidRPr="00D5126A">
        <w:rPr>
          <w:rFonts w:ascii="Arial" w:hAnsi="Arial" w:cs="Arial"/>
          <w:lang w:eastAsia="en-NZ"/>
        </w:rPr>
        <w:t>Three Waters Strategy</w:t>
      </w:r>
    </w:p>
    <w:p w:rsidR="00107245" w:rsidRPr="00D5126A" w:rsidRDefault="00107245" w:rsidP="002C7BF8">
      <w:pPr>
        <w:pStyle w:val="ListParagraph"/>
        <w:numPr>
          <w:ilvl w:val="0"/>
          <w:numId w:val="33"/>
        </w:numPr>
        <w:rPr>
          <w:rFonts w:ascii="Arial" w:hAnsi="Arial" w:cs="Arial"/>
          <w:lang w:eastAsia="en-NZ"/>
        </w:rPr>
      </w:pPr>
      <w:r w:rsidRPr="00D5126A">
        <w:rPr>
          <w:rFonts w:ascii="Arial" w:hAnsi="Arial" w:cs="Arial"/>
          <w:lang w:eastAsia="en-NZ"/>
        </w:rPr>
        <w:t>Terms of reference and delegations that enable our two iwi mana whenua partners to sit as members of the City Strategy and Annual Plan/ Long-term Plan Committees.</w:t>
      </w:r>
    </w:p>
    <w:p w:rsidR="00107245" w:rsidRPr="00D5126A" w:rsidRDefault="00107245" w:rsidP="00107245">
      <w:pPr>
        <w:pStyle w:val="Heading4"/>
        <w:rPr>
          <w:rFonts w:eastAsia="Times New Roman"/>
        </w:rPr>
      </w:pPr>
      <w:r w:rsidRPr="00D5126A">
        <w:rPr>
          <w:rFonts w:eastAsia="Times New Roman"/>
        </w:rPr>
        <w:t>Staff diversity profiles</w:t>
      </w:r>
    </w:p>
    <w:tbl>
      <w:tblPr>
        <w:tblW w:w="9660" w:type="dxa"/>
        <w:tblInd w:w="93" w:type="dxa"/>
        <w:tblLook w:val="04A0" w:firstRow="1" w:lastRow="0" w:firstColumn="1" w:lastColumn="0" w:noHBand="0" w:noVBand="1"/>
      </w:tblPr>
      <w:tblGrid>
        <w:gridCol w:w="1625"/>
        <w:gridCol w:w="2355"/>
        <w:gridCol w:w="1420"/>
        <w:gridCol w:w="1420"/>
        <w:gridCol w:w="1420"/>
        <w:gridCol w:w="1420"/>
      </w:tblGrid>
      <w:tr w:rsidR="00107245" w:rsidRPr="00D5126A" w:rsidTr="008D1C20">
        <w:trPr>
          <w:trHeight w:val="420"/>
        </w:trPr>
        <w:tc>
          <w:tcPr>
            <w:tcW w:w="3980" w:type="dxa"/>
            <w:gridSpan w:val="2"/>
            <w:tcBorders>
              <w:top w:val="nil"/>
              <w:left w:val="nil"/>
              <w:bottom w:val="nil"/>
              <w:right w:val="nil"/>
            </w:tcBorders>
            <w:shd w:val="clear" w:color="auto" w:fill="auto"/>
            <w:noWrap/>
            <w:vAlign w:val="bottom"/>
            <w:hideMark/>
          </w:tcPr>
          <w:p w:rsidR="00107245" w:rsidRPr="00D5126A" w:rsidRDefault="00107245" w:rsidP="008D1C20">
            <w:pPr>
              <w:spacing w:after="0" w:line="240" w:lineRule="auto"/>
              <w:rPr>
                <w:rFonts w:ascii="Arial" w:eastAsia="Times New Roman" w:hAnsi="Arial" w:cs="Arial"/>
                <w:b/>
                <w:bCs/>
                <w:color w:val="000000"/>
                <w:szCs w:val="24"/>
                <w:lang w:eastAsia="en-NZ"/>
              </w:rPr>
            </w:pPr>
            <w:r w:rsidRPr="00D5126A">
              <w:rPr>
                <w:rFonts w:ascii="Arial" w:eastAsia="Times New Roman" w:hAnsi="Arial" w:cs="Arial"/>
                <w:b/>
                <w:bCs/>
                <w:color w:val="000000"/>
                <w:szCs w:val="24"/>
                <w:lang w:eastAsia="en-NZ"/>
              </w:rPr>
              <w:t>Staff composition – gender</w:t>
            </w:r>
          </w:p>
          <w:p w:rsidR="00107245" w:rsidRPr="00D5126A" w:rsidRDefault="00107245" w:rsidP="008D1C20">
            <w:pPr>
              <w:spacing w:after="0" w:line="240" w:lineRule="auto"/>
              <w:rPr>
                <w:rFonts w:ascii="Arial" w:eastAsia="Times New Roman" w:hAnsi="Arial" w:cs="Arial"/>
                <w:b/>
                <w:bCs/>
                <w:color w:val="000000"/>
                <w:szCs w:val="24"/>
                <w:lang w:eastAsia="en-NZ"/>
              </w:rPr>
            </w:pPr>
          </w:p>
        </w:tc>
        <w:tc>
          <w:tcPr>
            <w:tcW w:w="1420" w:type="dxa"/>
            <w:tcBorders>
              <w:top w:val="nil"/>
              <w:left w:val="nil"/>
              <w:bottom w:val="nil"/>
              <w:right w:val="nil"/>
            </w:tcBorders>
            <w:shd w:val="clear" w:color="auto" w:fill="auto"/>
            <w:noWrap/>
            <w:vAlign w:val="bottom"/>
            <w:hideMark/>
          </w:tcPr>
          <w:p w:rsidR="00107245" w:rsidRPr="00D5126A" w:rsidRDefault="00107245" w:rsidP="008D1C20">
            <w:pPr>
              <w:spacing w:after="0" w:line="240" w:lineRule="auto"/>
              <w:rPr>
                <w:rFonts w:ascii="Calibri" w:eastAsia="Times New Roman" w:hAnsi="Calibri" w:cs="Calibri"/>
                <w:color w:val="000000"/>
                <w:lang w:eastAsia="en-NZ"/>
              </w:rPr>
            </w:pPr>
          </w:p>
        </w:tc>
        <w:tc>
          <w:tcPr>
            <w:tcW w:w="1420" w:type="dxa"/>
            <w:tcBorders>
              <w:top w:val="nil"/>
              <w:left w:val="nil"/>
              <w:bottom w:val="nil"/>
              <w:right w:val="nil"/>
            </w:tcBorders>
            <w:shd w:val="clear" w:color="auto" w:fill="auto"/>
            <w:noWrap/>
            <w:vAlign w:val="bottom"/>
            <w:hideMark/>
          </w:tcPr>
          <w:p w:rsidR="00107245" w:rsidRPr="00D5126A" w:rsidRDefault="00107245" w:rsidP="008D1C20">
            <w:pPr>
              <w:spacing w:after="0" w:line="240" w:lineRule="auto"/>
              <w:rPr>
                <w:rFonts w:ascii="Calibri" w:eastAsia="Times New Roman" w:hAnsi="Calibri" w:cs="Calibri"/>
                <w:color w:val="000000"/>
                <w:lang w:eastAsia="en-NZ"/>
              </w:rPr>
            </w:pPr>
          </w:p>
        </w:tc>
        <w:tc>
          <w:tcPr>
            <w:tcW w:w="1420" w:type="dxa"/>
            <w:tcBorders>
              <w:top w:val="nil"/>
              <w:left w:val="nil"/>
              <w:bottom w:val="nil"/>
              <w:right w:val="nil"/>
            </w:tcBorders>
            <w:shd w:val="clear" w:color="auto" w:fill="auto"/>
            <w:noWrap/>
            <w:vAlign w:val="bottom"/>
            <w:hideMark/>
          </w:tcPr>
          <w:p w:rsidR="00107245" w:rsidRPr="00D5126A" w:rsidRDefault="00107245" w:rsidP="008D1C20">
            <w:pPr>
              <w:spacing w:after="0" w:line="240" w:lineRule="auto"/>
              <w:rPr>
                <w:rFonts w:ascii="Calibri" w:eastAsia="Times New Roman" w:hAnsi="Calibri" w:cs="Calibri"/>
                <w:color w:val="000000"/>
                <w:lang w:eastAsia="en-NZ"/>
              </w:rPr>
            </w:pPr>
          </w:p>
        </w:tc>
        <w:tc>
          <w:tcPr>
            <w:tcW w:w="1420" w:type="dxa"/>
            <w:tcBorders>
              <w:top w:val="nil"/>
              <w:left w:val="nil"/>
              <w:bottom w:val="nil"/>
              <w:right w:val="nil"/>
            </w:tcBorders>
            <w:shd w:val="clear" w:color="auto" w:fill="auto"/>
            <w:noWrap/>
            <w:vAlign w:val="bottom"/>
            <w:hideMark/>
          </w:tcPr>
          <w:p w:rsidR="00107245" w:rsidRPr="00D5126A" w:rsidRDefault="00107245" w:rsidP="008D1C20">
            <w:pPr>
              <w:spacing w:after="0" w:line="240" w:lineRule="auto"/>
              <w:rPr>
                <w:rFonts w:ascii="Calibri" w:eastAsia="Times New Roman" w:hAnsi="Calibri" w:cs="Calibri"/>
                <w:color w:val="000000"/>
                <w:lang w:eastAsia="en-NZ"/>
              </w:rPr>
            </w:pPr>
          </w:p>
        </w:tc>
      </w:tr>
      <w:tr w:rsidR="00107245" w:rsidRPr="00D5126A" w:rsidTr="008D1C20">
        <w:trPr>
          <w:trHeight w:val="300"/>
        </w:trPr>
        <w:tc>
          <w:tcPr>
            <w:tcW w:w="1625" w:type="dxa"/>
            <w:tcBorders>
              <w:top w:val="single" w:sz="4" w:space="0" w:color="0070C0"/>
              <w:left w:val="single" w:sz="4" w:space="0" w:color="0070C0"/>
              <w:bottom w:val="single" w:sz="4" w:space="0" w:color="0070C0"/>
              <w:right w:val="single" w:sz="4" w:space="0" w:color="0070C0"/>
            </w:tcBorders>
            <w:shd w:val="clear" w:color="auto" w:fill="00B0F0"/>
            <w:noWrap/>
            <w:vAlign w:val="bottom"/>
            <w:hideMark/>
          </w:tcPr>
          <w:p w:rsidR="00107245" w:rsidRPr="00D5126A" w:rsidRDefault="00107245" w:rsidP="008D1C20">
            <w:pPr>
              <w:spacing w:after="0" w:line="240" w:lineRule="auto"/>
              <w:rPr>
                <w:rFonts w:ascii="Arial" w:eastAsia="Times New Roman" w:hAnsi="Arial" w:cs="Arial"/>
                <w:b/>
                <w:color w:val="FFFFFF"/>
                <w:sz w:val="20"/>
                <w:szCs w:val="20"/>
                <w:lang w:eastAsia="en-NZ"/>
              </w:rPr>
            </w:pPr>
            <w:r w:rsidRPr="00D5126A">
              <w:rPr>
                <w:rFonts w:ascii="Arial" w:eastAsia="Times New Roman" w:hAnsi="Arial" w:cs="Arial"/>
                <w:b/>
                <w:color w:val="FFFFFF"/>
                <w:sz w:val="20"/>
                <w:szCs w:val="20"/>
                <w:lang w:eastAsia="en-NZ"/>
              </w:rPr>
              <w:t>Gender</w:t>
            </w:r>
          </w:p>
        </w:tc>
        <w:tc>
          <w:tcPr>
            <w:tcW w:w="2355" w:type="dxa"/>
            <w:tcBorders>
              <w:top w:val="single" w:sz="4" w:space="0" w:color="0070C0"/>
              <w:left w:val="nil"/>
              <w:bottom w:val="single" w:sz="4" w:space="0" w:color="0070C0"/>
              <w:right w:val="single" w:sz="4" w:space="0" w:color="0070C0"/>
            </w:tcBorders>
            <w:shd w:val="clear" w:color="auto" w:fill="00B0F0"/>
            <w:noWrap/>
            <w:vAlign w:val="bottom"/>
            <w:hideMark/>
          </w:tcPr>
          <w:p w:rsidR="00107245" w:rsidRPr="00D5126A" w:rsidRDefault="00107245" w:rsidP="008D1C20">
            <w:pPr>
              <w:spacing w:after="0" w:line="240" w:lineRule="auto"/>
              <w:rPr>
                <w:rFonts w:ascii="Arial" w:eastAsia="Times New Roman" w:hAnsi="Arial" w:cs="Arial"/>
                <w:b/>
                <w:color w:val="FFFFFF"/>
                <w:sz w:val="20"/>
                <w:szCs w:val="20"/>
                <w:lang w:eastAsia="en-NZ"/>
              </w:rPr>
            </w:pPr>
            <w:r w:rsidRPr="00D5126A">
              <w:rPr>
                <w:rFonts w:ascii="Arial" w:eastAsia="Times New Roman" w:hAnsi="Arial" w:cs="Arial"/>
                <w:b/>
                <w:color w:val="FFFFFF"/>
                <w:sz w:val="20"/>
                <w:szCs w:val="20"/>
                <w:lang w:eastAsia="en-NZ"/>
              </w:rPr>
              <w:t>Permanent</w:t>
            </w:r>
          </w:p>
        </w:tc>
        <w:tc>
          <w:tcPr>
            <w:tcW w:w="1420" w:type="dxa"/>
            <w:tcBorders>
              <w:top w:val="single" w:sz="4" w:space="0" w:color="0070C0"/>
              <w:left w:val="nil"/>
              <w:bottom w:val="single" w:sz="4" w:space="0" w:color="0070C0"/>
              <w:right w:val="single" w:sz="4" w:space="0" w:color="0070C0"/>
            </w:tcBorders>
            <w:shd w:val="clear" w:color="auto" w:fill="00B0F0"/>
            <w:noWrap/>
            <w:vAlign w:val="bottom"/>
            <w:hideMark/>
          </w:tcPr>
          <w:p w:rsidR="00107245" w:rsidRPr="00D5126A" w:rsidRDefault="00107245" w:rsidP="008D1C20">
            <w:pPr>
              <w:spacing w:after="0" w:line="240" w:lineRule="auto"/>
              <w:rPr>
                <w:rFonts w:ascii="Arial" w:eastAsia="Times New Roman" w:hAnsi="Arial" w:cs="Arial"/>
                <w:b/>
                <w:color w:val="FFFFFF"/>
                <w:sz w:val="20"/>
                <w:szCs w:val="20"/>
                <w:lang w:eastAsia="en-NZ"/>
              </w:rPr>
            </w:pPr>
            <w:r w:rsidRPr="00D5126A">
              <w:rPr>
                <w:rFonts w:ascii="Arial" w:eastAsia="Times New Roman" w:hAnsi="Arial" w:cs="Arial"/>
                <w:b/>
                <w:color w:val="FFFFFF"/>
                <w:sz w:val="20"/>
                <w:szCs w:val="20"/>
                <w:lang w:eastAsia="en-NZ"/>
              </w:rPr>
              <w:t>Fixed Term</w:t>
            </w:r>
          </w:p>
        </w:tc>
        <w:tc>
          <w:tcPr>
            <w:tcW w:w="1420" w:type="dxa"/>
            <w:tcBorders>
              <w:top w:val="single" w:sz="4" w:space="0" w:color="0070C0"/>
              <w:left w:val="nil"/>
              <w:bottom w:val="single" w:sz="4" w:space="0" w:color="0070C0"/>
              <w:right w:val="single" w:sz="4" w:space="0" w:color="0070C0"/>
            </w:tcBorders>
            <w:shd w:val="clear" w:color="auto" w:fill="00B0F0"/>
            <w:noWrap/>
            <w:vAlign w:val="bottom"/>
            <w:hideMark/>
          </w:tcPr>
          <w:p w:rsidR="00107245" w:rsidRPr="00D5126A" w:rsidRDefault="00107245" w:rsidP="008D1C20">
            <w:pPr>
              <w:spacing w:after="0" w:line="240" w:lineRule="auto"/>
              <w:rPr>
                <w:rFonts w:ascii="Arial" w:eastAsia="Times New Roman" w:hAnsi="Arial" w:cs="Arial"/>
                <w:b/>
                <w:color w:val="FFFFFF"/>
                <w:sz w:val="20"/>
                <w:szCs w:val="20"/>
                <w:lang w:eastAsia="en-NZ"/>
              </w:rPr>
            </w:pPr>
            <w:r w:rsidRPr="00D5126A">
              <w:rPr>
                <w:rFonts w:ascii="Arial" w:eastAsia="Times New Roman" w:hAnsi="Arial" w:cs="Arial"/>
                <w:b/>
                <w:color w:val="FFFFFF"/>
                <w:sz w:val="20"/>
                <w:szCs w:val="20"/>
                <w:lang w:eastAsia="en-NZ"/>
              </w:rPr>
              <w:t>Casual</w:t>
            </w:r>
          </w:p>
        </w:tc>
        <w:tc>
          <w:tcPr>
            <w:tcW w:w="1420" w:type="dxa"/>
            <w:tcBorders>
              <w:top w:val="single" w:sz="4" w:space="0" w:color="0070C0"/>
              <w:left w:val="nil"/>
              <w:bottom w:val="single" w:sz="4" w:space="0" w:color="0070C0"/>
              <w:right w:val="single" w:sz="4" w:space="0" w:color="0070C0"/>
            </w:tcBorders>
            <w:shd w:val="clear" w:color="auto" w:fill="00B0F0"/>
            <w:noWrap/>
            <w:vAlign w:val="bottom"/>
            <w:hideMark/>
          </w:tcPr>
          <w:p w:rsidR="00107245" w:rsidRPr="00D5126A" w:rsidRDefault="00107245" w:rsidP="008D1C20">
            <w:pPr>
              <w:spacing w:after="0" w:line="240" w:lineRule="auto"/>
              <w:rPr>
                <w:rFonts w:ascii="Arial" w:eastAsia="Times New Roman" w:hAnsi="Arial" w:cs="Arial"/>
                <w:b/>
                <w:color w:val="FFFFFF"/>
                <w:sz w:val="20"/>
                <w:szCs w:val="20"/>
                <w:lang w:eastAsia="en-NZ"/>
              </w:rPr>
            </w:pPr>
            <w:r w:rsidRPr="00D5126A">
              <w:rPr>
                <w:rFonts w:ascii="Arial" w:eastAsia="Times New Roman" w:hAnsi="Arial" w:cs="Arial"/>
                <w:b/>
                <w:color w:val="FFFFFF"/>
                <w:sz w:val="20"/>
                <w:szCs w:val="20"/>
                <w:lang w:eastAsia="en-NZ"/>
              </w:rPr>
              <w:t>Contractor</w:t>
            </w:r>
          </w:p>
        </w:tc>
        <w:tc>
          <w:tcPr>
            <w:tcW w:w="1420" w:type="dxa"/>
            <w:tcBorders>
              <w:top w:val="single" w:sz="4" w:space="0" w:color="0070C0"/>
              <w:left w:val="nil"/>
              <w:bottom w:val="single" w:sz="4" w:space="0" w:color="0070C0"/>
              <w:right w:val="single" w:sz="4" w:space="0" w:color="0070C0"/>
            </w:tcBorders>
            <w:shd w:val="clear" w:color="auto" w:fill="00B0F0"/>
            <w:noWrap/>
            <w:vAlign w:val="bottom"/>
            <w:hideMark/>
          </w:tcPr>
          <w:p w:rsidR="00107245" w:rsidRPr="00D5126A" w:rsidRDefault="00107245" w:rsidP="008D1C20">
            <w:pPr>
              <w:spacing w:after="0" w:line="240" w:lineRule="auto"/>
              <w:rPr>
                <w:rFonts w:ascii="Arial" w:eastAsia="Times New Roman" w:hAnsi="Arial" w:cs="Arial"/>
                <w:b/>
                <w:color w:val="FFFFFF"/>
                <w:sz w:val="20"/>
                <w:szCs w:val="20"/>
                <w:lang w:eastAsia="en-NZ"/>
              </w:rPr>
            </w:pPr>
            <w:r w:rsidRPr="00D5126A">
              <w:rPr>
                <w:rFonts w:ascii="Arial" w:eastAsia="Times New Roman" w:hAnsi="Arial" w:cs="Arial"/>
                <w:b/>
                <w:color w:val="FFFFFF"/>
                <w:sz w:val="20"/>
                <w:szCs w:val="20"/>
                <w:lang w:eastAsia="en-NZ"/>
              </w:rPr>
              <w:t>Grand Total</w:t>
            </w:r>
          </w:p>
        </w:tc>
      </w:tr>
      <w:tr w:rsidR="00107245" w:rsidRPr="00D5126A" w:rsidTr="008D1C20">
        <w:trPr>
          <w:trHeight w:val="300"/>
        </w:trPr>
        <w:tc>
          <w:tcPr>
            <w:tcW w:w="1625" w:type="dxa"/>
            <w:tcBorders>
              <w:top w:val="nil"/>
              <w:left w:val="single" w:sz="4" w:space="0" w:color="0070C0"/>
              <w:bottom w:val="single" w:sz="4" w:space="0" w:color="0070C0"/>
              <w:right w:val="single" w:sz="4" w:space="0" w:color="0070C0"/>
            </w:tcBorders>
            <w:shd w:val="clear" w:color="auto" w:fill="auto"/>
            <w:noWrap/>
            <w:vAlign w:val="bottom"/>
            <w:hideMark/>
          </w:tcPr>
          <w:p w:rsidR="00107245" w:rsidRPr="00D5126A" w:rsidRDefault="00107245" w:rsidP="008D1C20">
            <w:pPr>
              <w:spacing w:after="0" w:line="240" w:lineRule="auto"/>
              <w:rPr>
                <w:rFonts w:ascii="Arial" w:eastAsia="Times New Roman" w:hAnsi="Arial" w:cs="Arial"/>
                <w:color w:val="000000"/>
                <w:sz w:val="20"/>
                <w:lang w:eastAsia="en-NZ"/>
              </w:rPr>
            </w:pPr>
            <w:r w:rsidRPr="00D5126A">
              <w:rPr>
                <w:rFonts w:ascii="Arial" w:eastAsia="Times New Roman" w:hAnsi="Arial" w:cs="Arial"/>
                <w:color w:val="000000"/>
                <w:sz w:val="20"/>
                <w:lang w:eastAsia="en-NZ"/>
              </w:rPr>
              <w:t>Female</w:t>
            </w:r>
          </w:p>
        </w:tc>
        <w:tc>
          <w:tcPr>
            <w:tcW w:w="2355" w:type="dxa"/>
            <w:tcBorders>
              <w:top w:val="nil"/>
              <w:left w:val="nil"/>
              <w:bottom w:val="single" w:sz="4" w:space="0" w:color="0070C0"/>
              <w:right w:val="single" w:sz="4" w:space="0" w:color="0070C0"/>
            </w:tcBorders>
            <w:shd w:val="clear" w:color="auto" w:fill="auto"/>
            <w:noWrap/>
            <w:vAlign w:val="bottom"/>
            <w:hideMark/>
          </w:tcPr>
          <w:p w:rsidR="00107245" w:rsidRPr="00D5126A" w:rsidRDefault="00107245" w:rsidP="008D1C20">
            <w:pPr>
              <w:spacing w:after="0" w:line="240" w:lineRule="auto"/>
              <w:jc w:val="right"/>
              <w:rPr>
                <w:rFonts w:ascii="Arial" w:eastAsia="Times New Roman" w:hAnsi="Arial" w:cs="Arial"/>
                <w:color w:val="000000"/>
                <w:sz w:val="20"/>
                <w:lang w:eastAsia="en-NZ"/>
              </w:rPr>
            </w:pPr>
            <w:r w:rsidRPr="00D5126A">
              <w:rPr>
                <w:rFonts w:ascii="Arial" w:eastAsia="Times New Roman" w:hAnsi="Arial" w:cs="Arial"/>
                <w:color w:val="000000"/>
                <w:sz w:val="20"/>
                <w:lang w:eastAsia="en-NZ"/>
              </w:rPr>
              <w:t>55%</w:t>
            </w:r>
          </w:p>
        </w:tc>
        <w:tc>
          <w:tcPr>
            <w:tcW w:w="1420" w:type="dxa"/>
            <w:tcBorders>
              <w:top w:val="nil"/>
              <w:left w:val="nil"/>
              <w:bottom w:val="single" w:sz="4" w:space="0" w:color="0070C0"/>
              <w:right w:val="single" w:sz="4" w:space="0" w:color="0070C0"/>
            </w:tcBorders>
            <w:shd w:val="clear" w:color="auto" w:fill="auto"/>
            <w:noWrap/>
            <w:vAlign w:val="bottom"/>
            <w:hideMark/>
          </w:tcPr>
          <w:p w:rsidR="00107245" w:rsidRPr="00D5126A" w:rsidRDefault="00107245" w:rsidP="008D1C20">
            <w:pPr>
              <w:spacing w:after="0" w:line="240" w:lineRule="auto"/>
              <w:jc w:val="right"/>
              <w:rPr>
                <w:rFonts w:ascii="Arial" w:eastAsia="Times New Roman" w:hAnsi="Arial" w:cs="Arial"/>
                <w:color w:val="000000"/>
                <w:sz w:val="20"/>
                <w:lang w:eastAsia="en-NZ"/>
              </w:rPr>
            </w:pPr>
            <w:r w:rsidRPr="00D5126A">
              <w:rPr>
                <w:rFonts w:ascii="Arial" w:eastAsia="Times New Roman" w:hAnsi="Arial" w:cs="Arial"/>
                <w:color w:val="000000"/>
                <w:sz w:val="20"/>
                <w:lang w:eastAsia="en-NZ"/>
              </w:rPr>
              <w:t>61%</w:t>
            </w:r>
          </w:p>
        </w:tc>
        <w:tc>
          <w:tcPr>
            <w:tcW w:w="1420" w:type="dxa"/>
            <w:tcBorders>
              <w:top w:val="nil"/>
              <w:left w:val="nil"/>
              <w:bottom w:val="single" w:sz="4" w:space="0" w:color="0070C0"/>
              <w:right w:val="single" w:sz="4" w:space="0" w:color="0070C0"/>
            </w:tcBorders>
            <w:shd w:val="clear" w:color="auto" w:fill="auto"/>
            <w:noWrap/>
            <w:vAlign w:val="bottom"/>
            <w:hideMark/>
          </w:tcPr>
          <w:p w:rsidR="00107245" w:rsidRPr="00D5126A" w:rsidRDefault="00107245" w:rsidP="008D1C20">
            <w:pPr>
              <w:spacing w:after="0" w:line="240" w:lineRule="auto"/>
              <w:jc w:val="right"/>
              <w:rPr>
                <w:rFonts w:ascii="Arial" w:eastAsia="Times New Roman" w:hAnsi="Arial" w:cs="Arial"/>
                <w:color w:val="000000"/>
                <w:sz w:val="20"/>
                <w:lang w:eastAsia="en-NZ"/>
              </w:rPr>
            </w:pPr>
            <w:r w:rsidRPr="00D5126A">
              <w:rPr>
                <w:rFonts w:ascii="Arial" w:eastAsia="Times New Roman" w:hAnsi="Arial" w:cs="Arial"/>
                <w:color w:val="000000"/>
                <w:sz w:val="20"/>
                <w:lang w:eastAsia="en-NZ"/>
              </w:rPr>
              <w:t>57%</w:t>
            </w:r>
          </w:p>
        </w:tc>
        <w:tc>
          <w:tcPr>
            <w:tcW w:w="1420" w:type="dxa"/>
            <w:tcBorders>
              <w:top w:val="nil"/>
              <w:left w:val="nil"/>
              <w:bottom w:val="single" w:sz="4" w:space="0" w:color="0070C0"/>
              <w:right w:val="single" w:sz="4" w:space="0" w:color="0070C0"/>
            </w:tcBorders>
            <w:shd w:val="clear" w:color="auto" w:fill="auto"/>
            <w:noWrap/>
            <w:vAlign w:val="bottom"/>
            <w:hideMark/>
          </w:tcPr>
          <w:p w:rsidR="00107245" w:rsidRPr="00D5126A" w:rsidRDefault="00107245" w:rsidP="008D1C20">
            <w:pPr>
              <w:spacing w:after="0" w:line="240" w:lineRule="auto"/>
              <w:jc w:val="right"/>
              <w:rPr>
                <w:rFonts w:ascii="Arial" w:eastAsia="Times New Roman" w:hAnsi="Arial" w:cs="Arial"/>
                <w:color w:val="000000"/>
                <w:sz w:val="20"/>
                <w:lang w:eastAsia="en-NZ"/>
              </w:rPr>
            </w:pPr>
            <w:r w:rsidRPr="00D5126A">
              <w:rPr>
                <w:rFonts w:ascii="Arial" w:eastAsia="Times New Roman" w:hAnsi="Arial" w:cs="Arial"/>
                <w:color w:val="000000"/>
                <w:sz w:val="20"/>
                <w:lang w:eastAsia="en-NZ"/>
              </w:rPr>
              <w:t>50%</w:t>
            </w:r>
          </w:p>
        </w:tc>
        <w:tc>
          <w:tcPr>
            <w:tcW w:w="1420" w:type="dxa"/>
            <w:tcBorders>
              <w:top w:val="nil"/>
              <w:left w:val="nil"/>
              <w:bottom w:val="single" w:sz="4" w:space="0" w:color="0070C0"/>
              <w:right w:val="single" w:sz="4" w:space="0" w:color="0070C0"/>
            </w:tcBorders>
            <w:shd w:val="clear" w:color="auto" w:fill="auto"/>
            <w:noWrap/>
            <w:vAlign w:val="bottom"/>
            <w:hideMark/>
          </w:tcPr>
          <w:p w:rsidR="00107245" w:rsidRPr="00D5126A" w:rsidRDefault="00107245" w:rsidP="008D1C20">
            <w:pPr>
              <w:spacing w:after="0" w:line="240" w:lineRule="auto"/>
              <w:jc w:val="right"/>
              <w:rPr>
                <w:rFonts w:ascii="Arial" w:eastAsia="Times New Roman" w:hAnsi="Arial" w:cs="Arial"/>
                <w:color w:val="000000"/>
                <w:sz w:val="20"/>
                <w:lang w:eastAsia="en-NZ"/>
              </w:rPr>
            </w:pPr>
            <w:r w:rsidRPr="00D5126A">
              <w:rPr>
                <w:rFonts w:ascii="Arial" w:eastAsia="Times New Roman" w:hAnsi="Arial" w:cs="Arial"/>
                <w:color w:val="000000"/>
                <w:sz w:val="20"/>
                <w:lang w:eastAsia="en-NZ"/>
              </w:rPr>
              <w:t>55%</w:t>
            </w:r>
          </w:p>
        </w:tc>
      </w:tr>
      <w:tr w:rsidR="00107245" w:rsidRPr="00D5126A" w:rsidTr="008D1C20">
        <w:trPr>
          <w:trHeight w:val="300"/>
        </w:trPr>
        <w:tc>
          <w:tcPr>
            <w:tcW w:w="1625" w:type="dxa"/>
            <w:tcBorders>
              <w:top w:val="nil"/>
              <w:left w:val="single" w:sz="4" w:space="0" w:color="0070C0"/>
              <w:bottom w:val="single" w:sz="4" w:space="0" w:color="0070C0"/>
              <w:right w:val="single" w:sz="4" w:space="0" w:color="0070C0"/>
            </w:tcBorders>
            <w:shd w:val="clear" w:color="auto" w:fill="auto"/>
            <w:noWrap/>
            <w:vAlign w:val="bottom"/>
            <w:hideMark/>
          </w:tcPr>
          <w:p w:rsidR="00107245" w:rsidRPr="00D5126A" w:rsidRDefault="00107245" w:rsidP="008D1C20">
            <w:pPr>
              <w:spacing w:after="0" w:line="240" w:lineRule="auto"/>
              <w:rPr>
                <w:rFonts w:ascii="Arial" w:eastAsia="Times New Roman" w:hAnsi="Arial" w:cs="Arial"/>
                <w:color w:val="000000"/>
                <w:sz w:val="20"/>
                <w:lang w:eastAsia="en-NZ"/>
              </w:rPr>
            </w:pPr>
            <w:r w:rsidRPr="00D5126A">
              <w:rPr>
                <w:rFonts w:ascii="Arial" w:eastAsia="Times New Roman" w:hAnsi="Arial" w:cs="Arial"/>
                <w:color w:val="000000"/>
                <w:sz w:val="20"/>
                <w:lang w:eastAsia="en-NZ"/>
              </w:rPr>
              <w:t>Male</w:t>
            </w:r>
          </w:p>
        </w:tc>
        <w:tc>
          <w:tcPr>
            <w:tcW w:w="2355" w:type="dxa"/>
            <w:tcBorders>
              <w:top w:val="nil"/>
              <w:left w:val="nil"/>
              <w:bottom w:val="single" w:sz="4" w:space="0" w:color="0070C0"/>
              <w:right w:val="single" w:sz="4" w:space="0" w:color="0070C0"/>
            </w:tcBorders>
            <w:shd w:val="clear" w:color="auto" w:fill="auto"/>
            <w:noWrap/>
            <w:vAlign w:val="bottom"/>
            <w:hideMark/>
          </w:tcPr>
          <w:p w:rsidR="00107245" w:rsidRPr="00D5126A" w:rsidRDefault="00107245" w:rsidP="008D1C20">
            <w:pPr>
              <w:spacing w:after="0" w:line="240" w:lineRule="auto"/>
              <w:jc w:val="right"/>
              <w:rPr>
                <w:rFonts w:ascii="Arial" w:eastAsia="Times New Roman" w:hAnsi="Arial" w:cs="Arial"/>
                <w:color w:val="000000"/>
                <w:sz w:val="20"/>
                <w:lang w:eastAsia="en-NZ"/>
              </w:rPr>
            </w:pPr>
            <w:r w:rsidRPr="00D5126A">
              <w:rPr>
                <w:rFonts w:ascii="Arial" w:eastAsia="Times New Roman" w:hAnsi="Arial" w:cs="Arial"/>
                <w:color w:val="000000"/>
                <w:sz w:val="20"/>
                <w:lang w:eastAsia="en-NZ"/>
              </w:rPr>
              <w:t>45%</w:t>
            </w:r>
          </w:p>
        </w:tc>
        <w:tc>
          <w:tcPr>
            <w:tcW w:w="1420" w:type="dxa"/>
            <w:tcBorders>
              <w:top w:val="nil"/>
              <w:left w:val="nil"/>
              <w:bottom w:val="single" w:sz="4" w:space="0" w:color="0070C0"/>
              <w:right w:val="single" w:sz="4" w:space="0" w:color="0070C0"/>
            </w:tcBorders>
            <w:shd w:val="clear" w:color="auto" w:fill="auto"/>
            <w:noWrap/>
            <w:vAlign w:val="bottom"/>
            <w:hideMark/>
          </w:tcPr>
          <w:p w:rsidR="00107245" w:rsidRPr="00D5126A" w:rsidRDefault="00107245" w:rsidP="008D1C20">
            <w:pPr>
              <w:spacing w:after="0" w:line="240" w:lineRule="auto"/>
              <w:jc w:val="right"/>
              <w:rPr>
                <w:rFonts w:ascii="Arial" w:eastAsia="Times New Roman" w:hAnsi="Arial" w:cs="Arial"/>
                <w:color w:val="000000"/>
                <w:sz w:val="20"/>
                <w:lang w:eastAsia="en-NZ"/>
              </w:rPr>
            </w:pPr>
            <w:r w:rsidRPr="00D5126A">
              <w:rPr>
                <w:rFonts w:ascii="Arial" w:eastAsia="Times New Roman" w:hAnsi="Arial" w:cs="Arial"/>
                <w:color w:val="000000"/>
                <w:sz w:val="20"/>
                <w:lang w:eastAsia="en-NZ"/>
              </w:rPr>
              <w:t>39%</w:t>
            </w:r>
          </w:p>
        </w:tc>
        <w:tc>
          <w:tcPr>
            <w:tcW w:w="1420" w:type="dxa"/>
            <w:tcBorders>
              <w:top w:val="nil"/>
              <w:left w:val="nil"/>
              <w:bottom w:val="single" w:sz="4" w:space="0" w:color="0070C0"/>
              <w:right w:val="single" w:sz="4" w:space="0" w:color="0070C0"/>
            </w:tcBorders>
            <w:shd w:val="clear" w:color="auto" w:fill="auto"/>
            <w:noWrap/>
            <w:vAlign w:val="bottom"/>
            <w:hideMark/>
          </w:tcPr>
          <w:p w:rsidR="00107245" w:rsidRPr="00D5126A" w:rsidRDefault="00107245" w:rsidP="008D1C20">
            <w:pPr>
              <w:spacing w:after="0" w:line="240" w:lineRule="auto"/>
              <w:jc w:val="right"/>
              <w:rPr>
                <w:rFonts w:ascii="Arial" w:eastAsia="Times New Roman" w:hAnsi="Arial" w:cs="Arial"/>
                <w:color w:val="000000"/>
                <w:sz w:val="20"/>
                <w:lang w:eastAsia="en-NZ"/>
              </w:rPr>
            </w:pPr>
            <w:r w:rsidRPr="00D5126A">
              <w:rPr>
                <w:rFonts w:ascii="Arial" w:eastAsia="Times New Roman" w:hAnsi="Arial" w:cs="Arial"/>
                <w:color w:val="000000"/>
                <w:sz w:val="20"/>
                <w:lang w:eastAsia="en-NZ"/>
              </w:rPr>
              <w:t>43%</w:t>
            </w:r>
          </w:p>
        </w:tc>
        <w:tc>
          <w:tcPr>
            <w:tcW w:w="1420" w:type="dxa"/>
            <w:tcBorders>
              <w:top w:val="nil"/>
              <w:left w:val="nil"/>
              <w:bottom w:val="single" w:sz="4" w:space="0" w:color="0070C0"/>
              <w:right w:val="single" w:sz="4" w:space="0" w:color="0070C0"/>
            </w:tcBorders>
            <w:shd w:val="clear" w:color="auto" w:fill="auto"/>
            <w:noWrap/>
            <w:vAlign w:val="bottom"/>
            <w:hideMark/>
          </w:tcPr>
          <w:p w:rsidR="00107245" w:rsidRPr="00D5126A" w:rsidRDefault="00107245" w:rsidP="008D1C20">
            <w:pPr>
              <w:spacing w:after="0" w:line="240" w:lineRule="auto"/>
              <w:jc w:val="right"/>
              <w:rPr>
                <w:rFonts w:ascii="Arial" w:eastAsia="Times New Roman" w:hAnsi="Arial" w:cs="Arial"/>
                <w:color w:val="000000"/>
                <w:sz w:val="20"/>
                <w:lang w:eastAsia="en-NZ"/>
              </w:rPr>
            </w:pPr>
            <w:r w:rsidRPr="00D5126A">
              <w:rPr>
                <w:rFonts w:ascii="Arial" w:eastAsia="Times New Roman" w:hAnsi="Arial" w:cs="Arial"/>
                <w:color w:val="000000"/>
                <w:sz w:val="20"/>
                <w:lang w:eastAsia="en-NZ"/>
              </w:rPr>
              <w:t>50%</w:t>
            </w:r>
          </w:p>
        </w:tc>
        <w:tc>
          <w:tcPr>
            <w:tcW w:w="1420" w:type="dxa"/>
            <w:tcBorders>
              <w:top w:val="nil"/>
              <w:left w:val="nil"/>
              <w:bottom w:val="single" w:sz="4" w:space="0" w:color="0070C0"/>
              <w:right w:val="single" w:sz="4" w:space="0" w:color="0070C0"/>
            </w:tcBorders>
            <w:shd w:val="clear" w:color="auto" w:fill="auto"/>
            <w:noWrap/>
            <w:vAlign w:val="bottom"/>
            <w:hideMark/>
          </w:tcPr>
          <w:p w:rsidR="00107245" w:rsidRPr="00D5126A" w:rsidRDefault="00107245" w:rsidP="008D1C20">
            <w:pPr>
              <w:spacing w:after="0" w:line="240" w:lineRule="auto"/>
              <w:jc w:val="right"/>
              <w:rPr>
                <w:rFonts w:ascii="Arial" w:eastAsia="Times New Roman" w:hAnsi="Arial" w:cs="Arial"/>
                <w:color w:val="000000"/>
                <w:sz w:val="20"/>
                <w:lang w:eastAsia="en-NZ"/>
              </w:rPr>
            </w:pPr>
            <w:r w:rsidRPr="00D5126A">
              <w:rPr>
                <w:rFonts w:ascii="Arial" w:eastAsia="Times New Roman" w:hAnsi="Arial" w:cs="Arial"/>
                <w:color w:val="000000"/>
                <w:sz w:val="20"/>
                <w:lang w:eastAsia="en-NZ"/>
              </w:rPr>
              <w:t>45%</w:t>
            </w:r>
          </w:p>
        </w:tc>
      </w:tr>
    </w:tbl>
    <w:p w:rsidR="00107245" w:rsidRPr="00D5126A" w:rsidRDefault="00107245" w:rsidP="00107245">
      <w:pPr>
        <w:pBdr>
          <w:top w:val="none" w:sz="8" w:space="0" w:color="auto"/>
          <w:left w:val="none" w:sz="8" w:space="0" w:color="auto"/>
          <w:bottom w:val="none" w:sz="8" w:space="0" w:color="auto"/>
          <w:right w:val="none" w:sz="8" w:space="0" w:color="auto"/>
        </w:pBdr>
        <w:spacing w:beforeLines="100" w:before="240" w:after="0" w:line="240" w:lineRule="auto"/>
        <w:rPr>
          <w:rFonts w:ascii="Arial" w:eastAsia="Times New Roman" w:hAnsi="Arial"/>
        </w:rPr>
      </w:pPr>
    </w:p>
    <w:tbl>
      <w:tblPr>
        <w:tblW w:w="6820" w:type="dxa"/>
        <w:tblInd w:w="93" w:type="dxa"/>
        <w:tblLook w:val="04A0" w:firstRow="1" w:lastRow="0" w:firstColumn="1" w:lastColumn="0" w:noHBand="0" w:noVBand="1"/>
      </w:tblPr>
      <w:tblGrid>
        <w:gridCol w:w="2913"/>
        <w:gridCol w:w="1067"/>
        <w:gridCol w:w="1420"/>
        <w:gridCol w:w="1420"/>
      </w:tblGrid>
      <w:tr w:rsidR="00107245" w:rsidRPr="00D5126A" w:rsidTr="008D1C20">
        <w:trPr>
          <w:trHeight w:val="420"/>
        </w:trPr>
        <w:tc>
          <w:tcPr>
            <w:tcW w:w="3980" w:type="dxa"/>
            <w:gridSpan w:val="2"/>
            <w:tcBorders>
              <w:top w:val="nil"/>
              <w:left w:val="nil"/>
              <w:bottom w:val="nil"/>
              <w:right w:val="nil"/>
            </w:tcBorders>
            <w:shd w:val="clear" w:color="auto" w:fill="auto"/>
            <w:noWrap/>
            <w:vAlign w:val="bottom"/>
            <w:hideMark/>
          </w:tcPr>
          <w:p w:rsidR="00107245" w:rsidRPr="00D5126A" w:rsidRDefault="00107245" w:rsidP="008D1C20">
            <w:pPr>
              <w:spacing w:after="0" w:line="240" w:lineRule="auto"/>
              <w:rPr>
                <w:rFonts w:ascii="Arial" w:eastAsia="Times New Roman" w:hAnsi="Arial" w:cs="Arial"/>
                <w:b/>
                <w:bCs/>
                <w:color w:val="000000"/>
                <w:szCs w:val="24"/>
                <w:lang w:eastAsia="en-NZ"/>
              </w:rPr>
            </w:pPr>
            <w:r w:rsidRPr="00D5126A">
              <w:rPr>
                <w:rFonts w:ascii="Arial" w:eastAsia="Times New Roman" w:hAnsi="Arial" w:cs="Arial"/>
                <w:b/>
                <w:bCs/>
                <w:color w:val="000000"/>
                <w:szCs w:val="24"/>
                <w:lang w:eastAsia="en-NZ"/>
              </w:rPr>
              <w:t>Gender by organisation level</w:t>
            </w:r>
          </w:p>
          <w:p w:rsidR="00107245" w:rsidRPr="00D5126A" w:rsidRDefault="00107245" w:rsidP="008D1C20">
            <w:pPr>
              <w:spacing w:after="0" w:line="240" w:lineRule="auto"/>
              <w:rPr>
                <w:rFonts w:ascii="Arial" w:eastAsia="Times New Roman" w:hAnsi="Arial" w:cs="Arial"/>
                <w:b/>
                <w:bCs/>
                <w:color w:val="000000"/>
                <w:szCs w:val="24"/>
                <w:lang w:eastAsia="en-NZ"/>
              </w:rPr>
            </w:pPr>
          </w:p>
        </w:tc>
        <w:tc>
          <w:tcPr>
            <w:tcW w:w="1420" w:type="dxa"/>
            <w:tcBorders>
              <w:top w:val="nil"/>
              <w:left w:val="nil"/>
              <w:bottom w:val="nil"/>
              <w:right w:val="nil"/>
            </w:tcBorders>
            <w:shd w:val="clear" w:color="auto" w:fill="auto"/>
            <w:noWrap/>
            <w:vAlign w:val="bottom"/>
            <w:hideMark/>
          </w:tcPr>
          <w:p w:rsidR="00107245" w:rsidRPr="00D5126A" w:rsidRDefault="00107245" w:rsidP="008D1C20">
            <w:pPr>
              <w:spacing w:after="0" w:line="240" w:lineRule="auto"/>
              <w:rPr>
                <w:rFonts w:ascii="Calibri" w:eastAsia="Times New Roman" w:hAnsi="Calibri" w:cs="Calibri"/>
                <w:color w:val="000000"/>
                <w:lang w:eastAsia="en-NZ"/>
              </w:rPr>
            </w:pPr>
          </w:p>
        </w:tc>
        <w:tc>
          <w:tcPr>
            <w:tcW w:w="1420" w:type="dxa"/>
            <w:tcBorders>
              <w:top w:val="nil"/>
              <w:left w:val="nil"/>
              <w:bottom w:val="nil"/>
              <w:right w:val="nil"/>
            </w:tcBorders>
            <w:shd w:val="clear" w:color="auto" w:fill="auto"/>
            <w:noWrap/>
            <w:vAlign w:val="bottom"/>
            <w:hideMark/>
          </w:tcPr>
          <w:p w:rsidR="00107245" w:rsidRPr="00D5126A" w:rsidRDefault="00107245" w:rsidP="008D1C20">
            <w:pPr>
              <w:spacing w:after="0" w:line="240" w:lineRule="auto"/>
              <w:rPr>
                <w:rFonts w:ascii="Calibri" w:eastAsia="Times New Roman" w:hAnsi="Calibri" w:cs="Calibri"/>
                <w:color w:val="000000"/>
                <w:lang w:eastAsia="en-NZ"/>
              </w:rPr>
            </w:pPr>
          </w:p>
        </w:tc>
      </w:tr>
      <w:tr w:rsidR="00107245" w:rsidRPr="00D5126A" w:rsidTr="008D1C20">
        <w:trPr>
          <w:trHeight w:val="300"/>
        </w:trPr>
        <w:tc>
          <w:tcPr>
            <w:tcW w:w="2913" w:type="dxa"/>
            <w:tcBorders>
              <w:top w:val="single" w:sz="4" w:space="0" w:color="4F81BD"/>
              <w:left w:val="single" w:sz="4" w:space="0" w:color="4F81BD"/>
              <w:bottom w:val="single" w:sz="4" w:space="0" w:color="4F81BD"/>
              <w:right w:val="single" w:sz="4" w:space="0" w:color="4F81BD"/>
            </w:tcBorders>
            <w:shd w:val="clear" w:color="auto" w:fill="00B0F0"/>
            <w:noWrap/>
            <w:vAlign w:val="center"/>
            <w:hideMark/>
          </w:tcPr>
          <w:p w:rsidR="00107245" w:rsidRPr="00D5126A" w:rsidRDefault="00107245" w:rsidP="008D1C20">
            <w:pPr>
              <w:spacing w:after="0" w:line="240" w:lineRule="auto"/>
              <w:jc w:val="center"/>
              <w:rPr>
                <w:rFonts w:ascii="Arial" w:eastAsia="Times New Roman" w:hAnsi="Arial" w:cs="Arial"/>
                <w:color w:val="FFFFFF"/>
                <w:lang w:eastAsia="en-NZ"/>
              </w:rPr>
            </w:pPr>
            <w:r w:rsidRPr="00D5126A">
              <w:rPr>
                <w:rFonts w:ascii="Arial" w:eastAsia="Times New Roman" w:hAnsi="Arial" w:cs="Arial"/>
                <w:color w:val="FFFFFF"/>
                <w:lang w:eastAsia="en-NZ"/>
              </w:rPr>
              <w:t>Tier Level</w:t>
            </w:r>
          </w:p>
        </w:tc>
        <w:tc>
          <w:tcPr>
            <w:tcW w:w="1067" w:type="dxa"/>
            <w:tcBorders>
              <w:top w:val="single" w:sz="4" w:space="0" w:color="4F81BD"/>
              <w:left w:val="nil"/>
              <w:bottom w:val="single" w:sz="4" w:space="0" w:color="4F81BD"/>
              <w:right w:val="single" w:sz="4" w:space="0" w:color="4F81BD"/>
            </w:tcBorders>
            <w:shd w:val="clear" w:color="auto" w:fill="00B0F0"/>
            <w:noWrap/>
            <w:vAlign w:val="center"/>
            <w:hideMark/>
          </w:tcPr>
          <w:p w:rsidR="00107245" w:rsidRPr="00D5126A" w:rsidRDefault="00107245" w:rsidP="008D1C20">
            <w:pPr>
              <w:spacing w:after="0" w:line="240" w:lineRule="auto"/>
              <w:jc w:val="center"/>
              <w:rPr>
                <w:rFonts w:ascii="Arial" w:eastAsia="Times New Roman" w:hAnsi="Arial" w:cs="Arial"/>
                <w:color w:val="FFFFFF"/>
                <w:lang w:eastAsia="en-NZ"/>
              </w:rPr>
            </w:pPr>
            <w:r w:rsidRPr="00D5126A">
              <w:rPr>
                <w:rFonts w:ascii="Arial" w:eastAsia="Times New Roman" w:hAnsi="Arial" w:cs="Arial"/>
                <w:color w:val="FFFFFF"/>
                <w:lang w:eastAsia="en-NZ"/>
              </w:rPr>
              <w:t>Female</w:t>
            </w:r>
          </w:p>
        </w:tc>
        <w:tc>
          <w:tcPr>
            <w:tcW w:w="1420" w:type="dxa"/>
            <w:tcBorders>
              <w:top w:val="single" w:sz="4" w:space="0" w:color="4F81BD"/>
              <w:left w:val="nil"/>
              <w:bottom w:val="single" w:sz="4" w:space="0" w:color="4F81BD"/>
              <w:right w:val="single" w:sz="4" w:space="0" w:color="4F81BD"/>
            </w:tcBorders>
            <w:shd w:val="clear" w:color="auto" w:fill="00B0F0"/>
            <w:noWrap/>
            <w:vAlign w:val="center"/>
            <w:hideMark/>
          </w:tcPr>
          <w:p w:rsidR="00107245" w:rsidRPr="00D5126A" w:rsidRDefault="00107245" w:rsidP="008D1C20">
            <w:pPr>
              <w:spacing w:after="0" w:line="240" w:lineRule="auto"/>
              <w:jc w:val="center"/>
              <w:rPr>
                <w:rFonts w:ascii="Arial" w:eastAsia="Times New Roman" w:hAnsi="Arial" w:cs="Arial"/>
                <w:color w:val="FFFFFF"/>
                <w:lang w:eastAsia="en-NZ"/>
              </w:rPr>
            </w:pPr>
            <w:r w:rsidRPr="00D5126A">
              <w:rPr>
                <w:rFonts w:ascii="Arial" w:eastAsia="Times New Roman" w:hAnsi="Arial" w:cs="Arial"/>
                <w:color w:val="FFFFFF"/>
                <w:lang w:eastAsia="en-NZ"/>
              </w:rPr>
              <w:t>Male</w:t>
            </w:r>
          </w:p>
        </w:tc>
        <w:tc>
          <w:tcPr>
            <w:tcW w:w="1420" w:type="dxa"/>
            <w:tcBorders>
              <w:top w:val="single" w:sz="4" w:space="0" w:color="4F81BD"/>
              <w:left w:val="nil"/>
              <w:bottom w:val="single" w:sz="4" w:space="0" w:color="4F81BD"/>
              <w:right w:val="single" w:sz="4" w:space="0" w:color="4F81BD"/>
            </w:tcBorders>
            <w:shd w:val="clear" w:color="auto" w:fill="00B0F0"/>
            <w:noWrap/>
            <w:vAlign w:val="center"/>
            <w:hideMark/>
          </w:tcPr>
          <w:p w:rsidR="00107245" w:rsidRPr="00D5126A" w:rsidRDefault="00107245" w:rsidP="008D1C20">
            <w:pPr>
              <w:spacing w:after="0" w:line="240" w:lineRule="auto"/>
              <w:jc w:val="center"/>
              <w:rPr>
                <w:rFonts w:ascii="Arial" w:eastAsia="Times New Roman" w:hAnsi="Arial" w:cs="Arial"/>
                <w:color w:val="FFFFFF"/>
                <w:lang w:eastAsia="en-NZ"/>
              </w:rPr>
            </w:pPr>
            <w:r w:rsidRPr="00D5126A">
              <w:rPr>
                <w:rFonts w:ascii="Arial" w:eastAsia="Times New Roman" w:hAnsi="Arial" w:cs="Arial"/>
                <w:color w:val="FFFFFF"/>
                <w:lang w:eastAsia="en-NZ"/>
              </w:rPr>
              <w:t>Grand Total</w:t>
            </w:r>
          </w:p>
        </w:tc>
      </w:tr>
      <w:tr w:rsidR="00107245" w:rsidRPr="00D5126A" w:rsidTr="008D1C20">
        <w:trPr>
          <w:trHeight w:val="300"/>
        </w:trPr>
        <w:tc>
          <w:tcPr>
            <w:tcW w:w="2913" w:type="dxa"/>
            <w:tcBorders>
              <w:top w:val="nil"/>
              <w:left w:val="single" w:sz="4" w:space="0" w:color="4F81BD"/>
              <w:bottom w:val="single" w:sz="4" w:space="0" w:color="4F81BD"/>
              <w:right w:val="single" w:sz="4" w:space="0" w:color="4F81BD"/>
            </w:tcBorders>
            <w:shd w:val="clear" w:color="auto" w:fill="auto"/>
            <w:noWrap/>
            <w:vAlign w:val="bottom"/>
            <w:hideMark/>
          </w:tcPr>
          <w:p w:rsidR="00107245" w:rsidRPr="00D5126A" w:rsidRDefault="00107245" w:rsidP="008D1C20">
            <w:pPr>
              <w:spacing w:after="0" w:line="240" w:lineRule="auto"/>
              <w:jc w:val="center"/>
              <w:rPr>
                <w:rFonts w:ascii="Arial" w:eastAsia="Times New Roman" w:hAnsi="Arial" w:cs="Arial"/>
                <w:b/>
                <w:color w:val="000000"/>
                <w:sz w:val="20"/>
                <w:lang w:eastAsia="en-NZ"/>
              </w:rPr>
            </w:pPr>
            <w:r w:rsidRPr="00D5126A">
              <w:rPr>
                <w:rFonts w:ascii="Arial" w:eastAsia="Times New Roman" w:hAnsi="Arial" w:cs="Arial"/>
                <w:b/>
                <w:color w:val="000000"/>
                <w:sz w:val="20"/>
                <w:lang w:eastAsia="en-NZ"/>
              </w:rPr>
              <w:t>1</w:t>
            </w:r>
          </w:p>
        </w:tc>
        <w:tc>
          <w:tcPr>
            <w:tcW w:w="1067" w:type="dxa"/>
            <w:tcBorders>
              <w:top w:val="nil"/>
              <w:left w:val="nil"/>
              <w:bottom w:val="single" w:sz="4" w:space="0" w:color="4F81BD"/>
              <w:right w:val="single" w:sz="4" w:space="0" w:color="4F81BD"/>
            </w:tcBorders>
            <w:shd w:val="clear" w:color="auto" w:fill="auto"/>
            <w:noWrap/>
            <w:vAlign w:val="center"/>
            <w:hideMark/>
          </w:tcPr>
          <w:p w:rsidR="00107245" w:rsidRPr="00D5126A" w:rsidRDefault="00107245" w:rsidP="008D1C20">
            <w:pPr>
              <w:spacing w:after="0" w:line="240" w:lineRule="auto"/>
              <w:jc w:val="center"/>
              <w:rPr>
                <w:rFonts w:ascii="Arial" w:eastAsia="Times New Roman" w:hAnsi="Arial" w:cs="Arial"/>
                <w:color w:val="000000"/>
                <w:sz w:val="20"/>
                <w:lang w:eastAsia="en-NZ"/>
              </w:rPr>
            </w:pPr>
            <w:r w:rsidRPr="00D5126A">
              <w:rPr>
                <w:rFonts w:ascii="Arial" w:eastAsia="Times New Roman" w:hAnsi="Arial" w:cs="Arial"/>
                <w:color w:val="000000"/>
                <w:sz w:val="20"/>
                <w:lang w:eastAsia="en-NZ"/>
              </w:rPr>
              <w:t> </w:t>
            </w:r>
          </w:p>
        </w:tc>
        <w:tc>
          <w:tcPr>
            <w:tcW w:w="1420" w:type="dxa"/>
            <w:tcBorders>
              <w:top w:val="nil"/>
              <w:left w:val="nil"/>
              <w:bottom w:val="single" w:sz="4" w:space="0" w:color="4F81BD"/>
              <w:right w:val="single" w:sz="4" w:space="0" w:color="4F81BD"/>
            </w:tcBorders>
            <w:shd w:val="clear" w:color="auto" w:fill="auto"/>
            <w:noWrap/>
            <w:vAlign w:val="center"/>
            <w:hideMark/>
          </w:tcPr>
          <w:p w:rsidR="00107245" w:rsidRPr="00D5126A" w:rsidRDefault="00107245" w:rsidP="008D1C20">
            <w:pPr>
              <w:spacing w:after="0" w:line="240" w:lineRule="auto"/>
              <w:jc w:val="center"/>
              <w:rPr>
                <w:rFonts w:ascii="Arial" w:eastAsia="Times New Roman" w:hAnsi="Arial" w:cs="Arial"/>
                <w:color w:val="000000"/>
                <w:sz w:val="20"/>
                <w:lang w:eastAsia="en-NZ"/>
              </w:rPr>
            </w:pPr>
            <w:r w:rsidRPr="00D5126A">
              <w:rPr>
                <w:rFonts w:ascii="Arial" w:eastAsia="Times New Roman" w:hAnsi="Arial" w:cs="Arial"/>
                <w:color w:val="000000"/>
                <w:sz w:val="20"/>
                <w:lang w:eastAsia="en-NZ"/>
              </w:rPr>
              <w:t>1</w:t>
            </w:r>
          </w:p>
        </w:tc>
        <w:tc>
          <w:tcPr>
            <w:tcW w:w="1420" w:type="dxa"/>
            <w:tcBorders>
              <w:top w:val="nil"/>
              <w:left w:val="nil"/>
              <w:bottom w:val="single" w:sz="4" w:space="0" w:color="4F81BD"/>
              <w:right w:val="single" w:sz="4" w:space="0" w:color="4F81BD"/>
            </w:tcBorders>
            <w:shd w:val="clear" w:color="auto" w:fill="auto"/>
            <w:noWrap/>
            <w:vAlign w:val="center"/>
            <w:hideMark/>
          </w:tcPr>
          <w:p w:rsidR="00107245" w:rsidRPr="00D5126A" w:rsidRDefault="00107245" w:rsidP="008D1C20">
            <w:pPr>
              <w:spacing w:after="0" w:line="240" w:lineRule="auto"/>
              <w:jc w:val="center"/>
              <w:rPr>
                <w:rFonts w:ascii="Arial" w:eastAsia="Times New Roman" w:hAnsi="Arial" w:cs="Arial"/>
                <w:color w:val="000000"/>
                <w:sz w:val="20"/>
                <w:lang w:eastAsia="en-NZ"/>
              </w:rPr>
            </w:pPr>
            <w:r w:rsidRPr="00D5126A">
              <w:rPr>
                <w:rFonts w:ascii="Arial" w:eastAsia="Times New Roman" w:hAnsi="Arial" w:cs="Arial"/>
                <w:color w:val="000000"/>
                <w:sz w:val="20"/>
                <w:lang w:eastAsia="en-NZ"/>
              </w:rPr>
              <w:t>1</w:t>
            </w:r>
          </w:p>
        </w:tc>
      </w:tr>
      <w:tr w:rsidR="00107245" w:rsidRPr="00D5126A" w:rsidTr="008D1C20">
        <w:trPr>
          <w:trHeight w:val="300"/>
        </w:trPr>
        <w:tc>
          <w:tcPr>
            <w:tcW w:w="2913" w:type="dxa"/>
            <w:tcBorders>
              <w:top w:val="nil"/>
              <w:left w:val="single" w:sz="4" w:space="0" w:color="4F81BD"/>
              <w:bottom w:val="single" w:sz="4" w:space="0" w:color="4F81BD"/>
              <w:right w:val="single" w:sz="4" w:space="0" w:color="4F81BD"/>
            </w:tcBorders>
            <w:shd w:val="clear" w:color="auto" w:fill="auto"/>
            <w:noWrap/>
            <w:vAlign w:val="bottom"/>
            <w:hideMark/>
          </w:tcPr>
          <w:p w:rsidR="00107245" w:rsidRPr="00D5126A" w:rsidRDefault="00107245" w:rsidP="008D1C20">
            <w:pPr>
              <w:spacing w:after="0" w:line="240" w:lineRule="auto"/>
              <w:jc w:val="center"/>
              <w:rPr>
                <w:rFonts w:ascii="Arial" w:eastAsia="Times New Roman" w:hAnsi="Arial" w:cs="Arial"/>
                <w:b/>
                <w:color w:val="000000"/>
                <w:sz w:val="20"/>
                <w:lang w:eastAsia="en-NZ"/>
              </w:rPr>
            </w:pPr>
            <w:r w:rsidRPr="00D5126A">
              <w:rPr>
                <w:rFonts w:ascii="Arial" w:eastAsia="Times New Roman" w:hAnsi="Arial" w:cs="Arial"/>
                <w:b/>
                <w:color w:val="000000"/>
                <w:sz w:val="20"/>
                <w:lang w:eastAsia="en-NZ"/>
              </w:rPr>
              <w:t>2</w:t>
            </w:r>
          </w:p>
        </w:tc>
        <w:tc>
          <w:tcPr>
            <w:tcW w:w="1067" w:type="dxa"/>
            <w:tcBorders>
              <w:top w:val="nil"/>
              <w:left w:val="nil"/>
              <w:bottom w:val="single" w:sz="4" w:space="0" w:color="4F81BD"/>
              <w:right w:val="single" w:sz="4" w:space="0" w:color="4F81BD"/>
            </w:tcBorders>
            <w:shd w:val="clear" w:color="auto" w:fill="auto"/>
            <w:noWrap/>
            <w:vAlign w:val="center"/>
            <w:hideMark/>
          </w:tcPr>
          <w:p w:rsidR="00107245" w:rsidRPr="00D5126A" w:rsidRDefault="00107245" w:rsidP="008D1C20">
            <w:pPr>
              <w:spacing w:after="0" w:line="240" w:lineRule="auto"/>
              <w:jc w:val="center"/>
              <w:rPr>
                <w:rFonts w:ascii="Arial" w:eastAsia="Times New Roman" w:hAnsi="Arial" w:cs="Arial"/>
                <w:color w:val="000000"/>
                <w:sz w:val="20"/>
                <w:lang w:eastAsia="en-NZ"/>
              </w:rPr>
            </w:pPr>
            <w:r w:rsidRPr="00D5126A">
              <w:rPr>
                <w:rFonts w:ascii="Arial" w:eastAsia="Times New Roman" w:hAnsi="Arial" w:cs="Arial"/>
                <w:color w:val="000000"/>
                <w:sz w:val="20"/>
                <w:lang w:eastAsia="en-NZ"/>
              </w:rPr>
              <w:t>3</w:t>
            </w:r>
          </w:p>
        </w:tc>
        <w:tc>
          <w:tcPr>
            <w:tcW w:w="1420" w:type="dxa"/>
            <w:tcBorders>
              <w:top w:val="nil"/>
              <w:left w:val="nil"/>
              <w:bottom w:val="single" w:sz="4" w:space="0" w:color="4F81BD"/>
              <w:right w:val="single" w:sz="4" w:space="0" w:color="4F81BD"/>
            </w:tcBorders>
            <w:shd w:val="clear" w:color="auto" w:fill="auto"/>
            <w:noWrap/>
            <w:vAlign w:val="center"/>
            <w:hideMark/>
          </w:tcPr>
          <w:p w:rsidR="00107245" w:rsidRPr="00D5126A" w:rsidRDefault="00107245" w:rsidP="008D1C20">
            <w:pPr>
              <w:spacing w:after="0" w:line="240" w:lineRule="auto"/>
              <w:jc w:val="center"/>
              <w:rPr>
                <w:rFonts w:ascii="Arial" w:eastAsia="Times New Roman" w:hAnsi="Arial" w:cs="Arial"/>
                <w:color w:val="000000"/>
                <w:sz w:val="20"/>
                <w:lang w:eastAsia="en-NZ"/>
              </w:rPr>
            </w:pPr>
            <w:r w:rsidRPr="00D5126A">
              <w:rPr>
                <w:rFonts w:ascii="Arial" w:eastAsia="Times New Roman" w:hAnsi="Arial" w:cs="Arial"/>
                <w:color w:val="000000"/>
                <w:sz w:val="20"/>
                <w:lang w:eastAsia="en-NZ"/>
              </w:rPr>
              <w:t>4</w:t>
            </w:r>
          </w:p>
        </w:tc>
        <w:tc>
          <w:tcPr>
            <w:tcW w:w="1420" w:type="dxa"/>
            <w:tcBorders>
              <w:top w:val="nil"/>
              <w:left w:val="nil"/>
              <w:bottom w:val="single" w:sz="4" w:space="0" w:color="4F81BD"/>
              <w:right w:val="single" w:sz="4" w:space="0" w:color="4F81BD"/>
            </w:tcBorders>
            <w:shd w:val="clear" w:color="auto" w:fill="auto"/>
            <w:noWrap/>
            <w:vAlign w:val="center"/>
            <w:hideMark/>
          </w:tcPr>
          <w:p w:rsidR="00107245" w:rsidRPr="00D5126A" w:rsidRDefault="00107245" w:rsidP="008D1C20">
            <w:pPr>
              <w:spacing w:after="0" w:line="240" w:lineRule="auto"/>
              <w:jc w:val="center"/>
              <w:rPr>
                <w:rFonts w:ascii="Arial" w:eastAsia="Times New Roman" w:hAnsi="Arial" w:cs="Arial"/>
                <w:color w:val="000000"/>
                <w:sz w:val="20"/>
                <w:lang w:eastAsia="en-NZ"/>
              </w:rPr>
            </w:pPr>
            <w:r w:rsidRPr="00D5126A">
              <w:rPr>
                <w:rFonts w:ascii="Arial" w:eastAsia="Times New Roman" w:hAnsi="Arial" w:cs="Arial"/>
                <w:color w:val="000000"/>
                <w:sz w:val="20"/>
                <w:lang w:eastAsia="en-NZ"/>
              </w:rPr>
              <w:t>7</w:t>
            </w:r>
          </w:p>
        </w:tc>
      </w:tr>
      <w:tr w:rsidR="00107245" w:rsidRPr="00D5126A" w:rsidTr="008D1C20">
        <w:trPr>
          <w:trHeight w:val="300"/>
        </w:trPr>
        <w:tc>
          <w:tcPr>
            <w:tcW w:w="2913" w:type="dxa"/>
            <w:tcBorders>
              <w:top w:val="nil"/>
              <w:left w:val="single" w:sz="4" w:space="0" w:color="4F81BD"/>
              <w:bottom w:val="single" w:sz="4" w:space="0" w:color="4F81BD"/>
              <w:right w:val="single" w:sz="4" w:space="0" w:color="4F81BD"/>
            </w:tcBorders>
            <w:shd w:val="clear" w:color="auto" w:fill="auto"/>
            <w:noWrap/>
            <w:vAlign w:val="bottom"/>
            <w:hideMark/>
          </w:tcPr>
          <w:p w:rsidR="00107245" w:rsidRPr="00D5126A" w:rsidRDefault="00107245" w:rsidP="008D1C20">
            <w:pPr>
              <w:spacing w:after="0" w:line="240" w:lineRule="auto"/>
              <w:jc w:val="center"/>
              <w:rPr>
                <w:rFonts w:ascii="Arial" w:eastAsia="Times New Roman" w:hAnsi="Arial" w:cs="Arial"/>
                <w:b/>
                <w:color w:val="000000"/>
                <w:sz w:val="20"/>
                <w:lang w:eastAsia="en-NZ"/>
              </w:rPr>
            </w:pPr>
            <w:r w:rsidRPr="00D5126A">
              <w:rPr>
                <w:rFonts w:ascii="Arial" w:eastAsia="Times New Roman" w:hAnsi="Arial" w:cs="Arial"/>
                <w:b/>
                <w:color w:val="000000"/>
                <w:sz w:val="20"/>
                <w:lang w:eastAsia="en-NZ"/>
              </w:rPr>
              <w:t>3</w:t>
            </w:r>
          </w:p>
        </w:tc>
        <w:tc>
          <w:tcPr>
            <w:tcW w:w="1067" w:type="dxa"/>
            <w:tcBorders>
              <w:top w:val="nil"/>
              <w:left w:val="nil"/>
              <w:bottom w:val="single" w:sz="4" w:space="0" w:color="4F81BD"/>
              <w:right w:val="single" w:sz="4" w:space="0" w:color="4F81BD"/>
            </w:tcBorders>
            <w:shd w:val="clear" w:color="auto" w:fill="auto"/>
            <w:noWrap/>
            <w:vAlign w:val="center"/>
            <w:hideMark/>
          </w:tcPr>
          <w:p w:rsidR="00107245" w:rsidRPr="00D5126A" w:rsidRDefault="00107245" w:rsidP="008D1C20">
            <w:pPr>
              <w:spacing w:after="0" w:line="240" w:lineRule="auto"/>
              <w:jc w:val="center"/>
              <w:rPr>
                <w:rFonts w:ascii="Arial" w:eastAsia="Times New Roman" w:hAnsi="Arial" w:cs="Arial"/>
                <w:color w:val="000000"/>
                <w:sz w:val="20"/>
                <w:lang w:eastAsia="en-NZ"/>
              </w:rPr>
            </w:pPr>
            <w:r w:rsidRPr="00D5126A">
              <w:rPr>
                <w:rFonts w:ascii="Arial" w:eastAsia="Times New Roman" w:hAnsi="Arial" w:cs="Arial"/>
                <w:color w:val="000000"/>
                <w:sz w:val="20"/>
                <w:lang w:eastAsia="en-NZ"/>
              </w:rPr>
              <w:t>17</w:t>
            </w:r>
          </w:p>
        </w:tc>
        <w:tc>
          <w:tcPr>
            <w:tcW w:w="1420" w:type="dxa"/>
            <w:tcBorders>
              <w:top w:val="nil"/>
              <w:left w:val="nil"/>
              <w:bottom w:val="single" w:sz="4" w:space="0" w:color="4F81BD"/>
              <w:right w:val="single" w:sz="4" w:space="0" w:color="4F81BD"/>
            </w:tcBorders>
            <w:shd w:val="clear" w:color="auto" w:fill="auto"/>
            <w:noWrap/>
            <w:vAlign w:val="center"/>
            <w:hideMark/>
          </w:tcPr>
          <w:p w:rsidR="00107245" w:rsidRPr="00D5126A" w:rsidRDefault="00107245" w:rsidP="008D1C20">
            <w:pPr>
              <w:spacing w:after="0" w:line="240" w:lineRule="auto"/>
              <w:jc w:val="center"/>
              <w:rPr>
                <w:rFonts w:ascii="Arial" w:eastAsia="Times New Roman" w:hAnsi="Arial" w:cs="Arial"/>
                <w:color w:val="000000"/>
                <w:sz w:val="20"/>
                <w:lang w:eastAsia="en-NZ"/>
              </w:rPr>
            </w:pPr>
            <w:r w:rsidRPr="00D5126A">
              <w:rPr>
                <w:rFonts w:ascii="Arial" w:eastAsia="Times New Roman" w:hAnsi="Arial" w:cs="Arial"/>
                <w:color w:val="000000"/>
                <w:sz w:val="20"/>
                <w:lang w:eastAsia="en-NZ"/>
              </w:rPr>
              <w:t>16</w:t>
            </w:r>
          </w:p>
        </w:tc>
        <w:tc>
          <w:tcPr>
            <w:tcW w:w="1420" w:type="dxa"/>
            <w:tcBorders>
              <w:top w:val="nil"/>
              <w:left w:val="nil"/>
              <w:bottom w:val="single" w:sz="4" w:space="0" w:color="4F81BD"/>
              <w:right w:val="single" w:sz="4" w:space="0" w:color="4F81BD"/>
            </w:tcBorders>
            <w:shd w:val="clear" w:color="auto" w:fill="auto"/>
            <w:noWrap/>
            <w:vAlign w:val="center"/>
            <w:hideMark/>
          </w:tcPr>
          <w:p w:rsidR="00107245" w:rsidRPr="00D5126A" w:rsidRDefault="00107245" w:rsidP="008D1C20">
            <w:pPr>
              <w:spacing w:after="0" w:line="240" w:lineRule="auto"/>
              <w:jc w:val="center"/>
              <w:rPr>
                <w:rFonts w:ascii="Arial" w:eastAsia="Times New Roman" w:hAnsi="Arial" w:cs="Arial"/>
                <w:color w:val="000000"/>
                <w:sz w:val="20"/>
                <w:lang w:eastAsia="en-NZ"/>
              </w:rPr>
            </w:pPr>
            <w:r w:rsidRPr="00D5126A">
              <w:rPr>
                <w:rFonts w:ascii="Arial" w:eastAsia="Times New Roman" w:hAnsi="Arial" w:cs="Arial"/>
                <w:color w:val="000000"/>
                <w:sz w:val="20"/>
                <w:lang w:eastAsia="en-NZ"/>
              </w:rPr>
              <w:t>33</w:t>
            </w:r>
          </w:p>
        </w:tc>
      </w:tr>
      <w:tr w:rsidR="00107245" w:rsidRPr="00D5126A" w:rsidTr="008D1C20">
        <w:trPr>
          <w:trHeight w:val="300"/>
        </w:trPr>
        <w:tc>
          <w:tcPr>
            <w:tcW w:w="2913" w:type="dxa"/>
            <w:tcBorders>
              <w:top w:val="nil"/>
              <w:left w:val="single" w:sz="4" w:space="0" w:color="4F81BD"/>
              <w:bottom w:val="single" w:sz="4" w:space="0" w:color="4F81BD"/>
              <w:right w:val="single" w:sz="4" w:space="0" w:color="4F81BD"/>
            </w:tcBorders>
            <w:shd w:val="clear" w:color="auto" w:fill="auto"/>
            <w:noWrap/>
            <w:vAlign w:val="bottom"/>
            <w:hideMark/>
          </w:tcPr>
          <w:p w:rsidR="00107245" w:rsidRPr="00D5126A" w:rsidRDefault="00107245" w:rsidP="008D1C20">
            <w:pPr>
              <w:spacing w:after="0" w:line="240" w:lineRule="auto"/>
              <w:jc w:val="center"/>
              <w:rPr>
                <w:rFonts w:ascii="Arial" w:eastAsia="Times New Roman" w:hAnsi="Arial" w:cs="Arial"/>
                <w:b/>
                <w:color w:val="000000"/>
                <w:sz w:val="20"/>
                <w:lang w:eastAsia="en-NZ"/>
              </w:rPr>
            </w:pPr>
            <w:r w:rsidRPr="00D5126A">
              <w:rPr>
                <w:rFonts w:ascii="Arial" w:eastAsia="Times New Roman" w:hAnsi="Arial" w:cs="Arial"/>
                <w:b/>
                <w:color w:val="000000"/>
                <w:sz w:val="20"/>
                <w:lang w:eastAsia="en-NZ"/>
              </w:rPr>
              <w:t>4</w:t>
            </w:r>
          </w:p>
        </w:tc>
        <w:tc>
          <w:tcPr>
            <w:tcW w:w="1067" w:type="dxa"/>
            <w:tcBorders>
              <w:top w:val="nil"/>
              <w:left w:val="nil"/>
              <w:bottom w:val="single" w:sz="4" w:space="0" w:color="4F81BD"/>
              <w:right w:val="single" w:sz="4" w:space="0" w:color="4F81BD"/>
            </w:tcBorders>
            <w:shd w:val="clear" w:color="auto" w:fill="auto"/>
            <w:noWrap/>
            <w:vAlign w:val="center"/>
            <w:hideMark/>
          </w:tcPr>
          <w:p w:rsidR="00107245" w:rsidRPr="00D5126A" w:rsidRDefault="00107245" w:rsidP="008D1C20">
            <w:pPr>
              <w:spacing w:after="0" w:line="240" w:lineRule="auto"/>
              <w:jc w:val="center"/>
              <w:rPr>
                <w:rFonts w:ascii="Arial" w:eastAsia="Times New Roman" w:hAnsi="Arial" w:cs="Arial"/>
                <w:color w:val="000000"/>
                <w:sz w:val="20"/>
                <w:lang w:eastAsia="en-NZ"/>
              </w:rPr>
            </w:pPr>
            <w:r w:rsidRPr="00D5126A">
              <w:rPr>
                <w:rFonts w:ascii="Arial" w:eastAsia="Times New Roman" w:hAnsi="Arial" w:cs="Arial"/>
                <w:color w:val="000000"/>
                <w:sz w:val="20"/>
                <w:lang w:eastAsia="en-NZ"/>
              </w:rPr>
              <w:t>79</w:t>
            </w:r>
          </w:p>
        </w:tc>
        <w:tc>
          <w:tcPr>
            <w:tcW w:w="1420" w:type="dxa"/>
            <w:tcBorders>
              <w:top w:val="nil"/>
              <w:left w:val="nil"/>
              <w:bottom w:val="single" w:sz="4" w:space="0" w:color="4F81BD"/>
              <w:right w:val="single" w:sz="4" w:space="0" w:color="4F81BD"/>
            </w:tcBorders>
            <w:shd w:val="clear" w:color="auto" w:fill="auto"/>
            <w:noWrap/>
            <w:vAlign w:val="center"/>
            <w:hideMark/>
          </w:tcPr>
          <w:p w:rsidR="00107245" w:rsidRPr="00D5126A" w:rsidRDefault="00107245" w:rsidP="008D1C20">
            <w:pPr>
              <w:spacing w:after="0" w:line="240" w:lineRule="auto"/>
              <w:jc w:val="center"/>
              <w:rPr>
                <w:rFonts w:ascii="Arial" w:eastAsia="Times New Roman" w:hAnsi="Arial" w:cs="Arial"/>
                <w:color w:val="000000"/>
                <w:sz w:val="20"/>
                <w:lang w:eastAsia="en-NZ"/>
              </w:rPr>
            </w:pPr>
            <w:r w:rsidRPr="00D5126A">
              <w:rPr>
                <w:rFonts w:ascii="Arial" w:eastAsia="Times New Roman" w:hAnsi="Arial" w:cs="Arial"/>
                <w:color w:val="000000"/>
                <w:sz w:val="20"/>
                <w:lang w:eastAsia="en-NZ"/>
              </w:rPr>
              <w:t>54</w:t>
            </w:r>
          </w:p>
        </w:tc>
        <w:tc>
          <w:tcPr>
            <w:tcW w:w="1420" w:type="dxa"/>
            <w:tcBorders>
              <w:top w:val="nil"/>
              <w:left w:val="nil"/>
              <w:bottom w:val="single" w:sz="4" w:space="0" w:color="4F81BD"/>
              <w:right w:val="single" w:sz="4" w:space="0" w:color="4F81BD"/>
            </w:tcBorders>
            <w:shd w:val="clear" w:color="auto" w:fill="auto"/>
            <w:noWrap/>
            <w:vAlign w:val="center"/>
            <w:hideMark/>
          </w:tcPr>
          <w:p w:rsidR="00107245" w:rsidRPr="00D5126A" w:rsidRDefault="00107245" w:rsidP="008D1C20">
            <w:pPr>
              <w:spacing w:after="0" w:line="240" w:lineRule="auto"/>
              <w:jc w:val="center"/>
              <w:rPr>
                <w:rFonts w:ascii="Arial" w:eastAsia="Times New Roman" w:hAnsi="Arial" w:cs="Arial"/>
                <w:color w:val="000000"/>
                <w:sz w:val="20"/>
                <w:lang w:eastAsia="en-NZ"/>
              </w:rPr>
            </w:pPr>
            <w:r w:rsidRPr="00D5126A">
              <w:rPr>
                <w:rFonts w:ascii="Arial" w:eastAsia="Times New Roman" w:hAnsi="Arial" w:cs="Arial"/>
                <w:color w:val="000000"/>
                <w:sz w:val="20"/>
                <w:lang w:eastAsia="en-NZ"/>
              </w:rPr>
              <w:t>133</w:t>
            </w:r>
          </w:p>
        </w:tc>
      </w:tr>
      <w:tr w:rsidR="00107245" w:rsidRPr="00D5126A" w:rsidTr="008D1C20">
        <w:trPr>
          <w:trHeight w:val="300"/>
        </w:trPr>
        <w:tc>
          <w:tcPr>
            <w:tcW w:w="2913" w:type="dxa"/>
            <w:tcBorders>
              <w:top w:val="nil"/>
              <w:left w:val="single" w:sz="4" w:space="0" w:color="4F81BD"/>
              <w:bottom w:val="single" w:sz="4" w:space="0" w:color="4F81BD"/>
              <w:right w:val="single" w:sz="4" w:space="0" w:color="4F81BD"/>
            </w:tcBorders>
            <w:shd w:val="clear" w:color="auto" w:fill="auto"/>
            <w:noWrap/>
            <w:vAlign w:val="bottom"/>
            <w:hideMark/>
          </w:tcPr>
          <w:p w:rsidR="00107245" w:rsidRPr="00D5126A" w:rsidRDefault="00107245" w:rsidP="008D1C20">
            <w:pPr>
              <w:spacing w:after="0" w:line="240" w:lineRule="auto"/>
              <w:jc w:val="center"/>
              <w:rPr>
                <w:rFonts w:ascii="Arial" w:eastAsia="Times New Roman" w:hAnsi="Arial" w:cs="Arial"/>
                <w:b/>
                <w:color w:val="000000"/>
                <w:sz w:val="20"/>
                <w:lang w:eastAsia="en-NZ"/>
              </w:rPr>
            </w:pPr>
            <w:r w:rsidRPr="00D5126A">
              <w:rPr>
                <w:rFonts w:ascii="Arial" w:eastAsia="Times New Roman" w:hAnsi="Arial" w:cs="Arial"/>
                <w:b/>
                <w:color w:val="000000"/>
                <w:sz w:val="20"/>
                <w:lang w:eastAsia="en-NZ"/>
              </w:rPr>
              <w:t>5</w:t>
            </w:r>
          </w:p>
        </w:tc>
        <w:tc>
          <w:tcPr>
            <w:tcW w:w="1067" w:type="dxa"/>
            <w:tcBorders>
              <w:top w:val="nil"/>
              <w:left w:val="nil"/>
              <w:bottom w:val="single" w:sz="4" w:space="0" w:color="4F81BD"/>
              <w:right w:val="single" w:sz="4" w:space="0" w:color="4F81BD"/>
            </w:tcBorders>
            <w:shd w:val="clear" w:color="auto" w:fill="auto"/>
            <w:noWrap/>
            <w:vAlign w:val="center"/>
            <w:hideMark/>
          </w:tcPr>
          <w:p w:rsidR="00107245" w:rsidRPr="00D5126A" w:rsidRDefault="00107245" w:rsidP="008D1C20">
            <w:pPr>
              <w:spacing w:after="0" w:line="240" w:lineRule="auto"/>
              <w:jc w:val="center"/>
              <w:rPr>
                <w:rFonts w:ascii="Arial" w:eastAsia="Times New Roman" w:hAnsi="Arial" w:cs="Arial"/>
                <w:color w:val="000000"/>
                <w:sz w:val="20"/>
                <w:lang w:eastAsia="en-NZ"/>
              </w:rPr>
            </w:pPr>
            <w:r w:rsidRPr="00D5126A">
              <w:rPr>
                <w:rFonts w:ascii="Arial" w:eastAsia="Times New Roman" w:hAnsi="Arial" w:cs="Arial"/>
                <w:color w:val="000000"/>
                <w:sz w:val="20"/>
                <w:lang w:eastAsia="en-NZ"/>
              </w:rPr>
              <w:t>180</w:t>
            </w:r>
          </w:p>
        </w:tc>
        <w:tc>
          <w:tcPr>
            <w:tcW w:w="1420" w:type="dxa"/>
            <w:tcBorders>
              <w:top w:val="nil"/>
              <w:left w:val="nil"/>
              <w:bottom w:val="single" w:sz="4" w:space="0" w:color="4F81BD"/>
              <w:right w:val="single" w:sz="4" w:space="0" w:color="4F81BD"/>
            </w:tcBorders>
            <w:shd w:val="clear" w:color="auto" w:fill="auto"/>
            <w:noWrap/>
            <w:vAlign w:val="center"/>
            <w:hideMark/>
          </w:tcPr>
          <w:p w:rsidR="00107245" w:rsidRPr="00D5126A" w:rsidRDefault="00107245" w:rsidP="008D1C20">
            <w:pPr>
              <w:spacing w:after="0" w:line="240" w:lineRule="auto"/>
              <w:jc w:val="center"/>
              <w:rPr>
                <w:rFonts w:ascii="Arial" w:eastAsia="Times New Roman" w:hAnsi="Arial" w:cs="Arial"/>
                <w:color w:val="000000"/>
                <w:sz w:val="20"/>
                <w:lang w:eastAsia="en-NZ"/>
              </w:rPr>
            </w:pPr>
            <w:r w:rsidRPr="00D5126A">
              <w:rPr>
                <w:rFonts w:ascii="Arial" w:eastAsia="Times New Roman" w:hAnsi="Arial" w:cs="Arial"/>
                <w:color w:val="000000"/>
                <w:sz w:val="20"/>
                <w:lang w:eastAsia="en-NZ"/>
              </w:rPr>
              <w:t>142</w:t>
            </w:r>
          </w:p>
        </w:tc>
        <w:tc>
          <w:tcPr>
            <w:tcW w:w="1420" w:type="dxa"/>
            <w:tcBorders>
              <w:top w:val="nil"/>
              <w:left w:val="nil"/>
              <w:bottom w:val="single" w:sz="4" w:space="0" w:color="4F81BD"/>
              <w:right w:val="single" w:sz="4" w:space="0" w:color="4F81BD"/>
            </w:tcBorders>
            <w:shd w:val="clear" w:color="auto" w:fill="auto"/>
            <w:noWrap/>
            <w:vAlign w:val="center"/>
            <w:hideMark/>
          </w:tcPr>
          <w:p w:rsidR="00107245" w:rsidRPr="00D5126A" w:rsidRDefault="00107245" w:rsidP="008D1C20">
            <w:pPr>
              <w:spacing w:after="0" w:line="240" w:lineRule="auto"/>
              <w:jc w:val="center"/>
              <w:rPr>
                <w:rFonts w:ascii="Arial" w:eastAsia="Times New Roman" w:hAnsi="Arial" w:cs="Arial"/>
                <w:color w:val="000000"/>
                <w:sz w:val="20"/>
                <w:lang w:eastAsia="en-NZ"/>
              </w:rPr>
            </w:pPr>
            <w:r w:rsidRPr="00D5126A">
              <w:rPr>
                <w:rFonts w:ascii="Arial" w:eastAsia="Times New Roman" w:hAnsi="Arial" w:cs="Arial"/>
                <w:color w:val="000000"/>
                <w:sz w:val="20"/>
                <w:lang w:eastAsia="en-NZ"/>
              </w:rPr>
              <w:t>322</w:t>
            </w:r>
          </w:p>
        </w:tc>
      </w:tr>
      <w:tr w:rsidR="00107245" w:rsidRPr="00D5126A" w:rsidTr="008D1C20">
        <w:trPr>
          <w:trHeight w:val="300"/>
        </w:trPr>
        <w:tc>
          <w:tcPr>
            <w:tcW w:w="2913" w:type="dxa"/>
            <w:tcBorders>
              <w:top w:val="nil"/>
              <w:left w:val="single" w:sz="4" w:space="0" w:color="4F81BD"/>
              <w:bottom w:val="single" w:sz="4" w:space="0" w:color="4F81BD"/>
              <w:right w:val="single" w:sz="4" w:space="0" w:color="4F81BD"/>
            </w:tcBorders>
            <w:shd w:val="clear" w:color="auto" w:fill="auto"/>
            <w:noWrap/>
            <w:vAlign w:val="bottom"/>
            <w:hideMark/>
          </w:tcPr>
          <w:p w:rsidR="00107245" w:rsidRPr="00D5126A" w:rsidRDefault="00107245" w:rsidP="008D1C20">
            <w:pPr>
              <w:spacing w:after="0" w:line="240" w:lineRule="auto"/>
              <w:jc w:val="center"/>
              <w:rPr>
                <w:rFonts w:ascii="Arial" w:eastAsia="Times New Roman" w:hAnsi="Arial" w:cs="Arial"/>
                <w:b/>
                <w:color w:val="000000"/>
                <w:sz w:val="20"/>
                <w:lang w:eastAsia="en-NZ"/>
              </w:rPr>
            </w:pPr>
            <w:r w:rsidRPr="00D5126A">
              <w:rPr>
                <w:rFonts w:ascii="Arial" w:eastAsia="Times New Roman" w:hAnsi="Arial" w:cs="Arial"/>
                <w:b/>
                <w:color w:val="000000"/>
                <w:sz w:val="20"/>
                <w:lang w:eastAsia="en-NZ"/>
              </w:rPr>
              <w:t>6</w:t>
            </w:r>
          </w:p>
        </w:tc>
        <w:tc>
          <w:tcPr>
            <w:tcW w:w="1067" w:type="dxa"/>
            <w:tcBorders>
              <w:top w:val="nil"/>
              <w:left w:val="nil"/>
              <w:bottom w:val="single" w:sz="4" w:space="0" w:color="4F81BD"/>
              <w:right w:val="single" w:sz="4" w:space="0" w:color="4F81BD"/>
            </w:tcBorders>
            <w:shd w:val="clear" w:color="auto" w:fill="auto"/>
            <w:noWrap/>
            <w:vAlign w:val="center"/>
            <w:hideMark/>
          </w:tcPr>
          <w:p w:rsidR="00107245" w:rsidRPr="00D5126A" w:rsidRDefault="00107245" w:rsidP="008D1C20">
            <w:pPr>
              <w:spacing w:after="0" w:line="240" w:lineRule="auto"/>
              <w:jc w:val="center"/>
              <w:rPr>
                <w:rFonts w:ascii="Arial" w:eastAsia="Times New Roman" w:hAnsi="Arial" w:cs="Arial"/>
                <w:color w:val="000000"/>
                <w:sz w:val="20"/>
                <w:lang w:eastAsia="en-NZ"/>
              </w:rPr>
            </w:pPr>
            <w:r w:rsidRPr="00D5126A">
              <w:rPr>
                <w:rFonts w:ascii="Arial" w:eastAsia="Times New Roman" w:hAnsi="Arial" w:cs="Arial"/>
                <w:color w:val="000000"/>
                <w:sz w:val="20"/>
                <w:lang w:eastAsia="en-NZ"/>
              </w:rPr>
              <w:t>262</w:t>
            </w:r>
          </w:p>
        </w:tc>
        <w:tc>
          <w:tcPr>
            <w:tcW w:w="1420" w:type="dxa"/>
            <w:tcBorders>
              <w:top w:val="nil"/>
              <w:left w:val="nil"/>
              <w:bottom w:val="single" w:sz="4" w:space="0" w:color="4F81BD"/>
              <w:right w:val="single" w:sz="4" w:space="0" w:color="4F81BD"/>
            </w:tcBorders>
            <w:shd w:val="clear" w:color="auto" w:fill="auto"/>
            <w:noWrap/>
            <w:vAlign w:val="center"/>
            <w:hideMark/>
          </w:tcPr>
          <w:p w:rsidR="00107245" w:rsidRPr="00D5126A" w:rsidRDefault="00107245" w:rsidP="008D1C20">
            <w:pPr>
              <w:spacing w:after="0" w:line="240" w:lineRule="auto"/>
              <w:jc w:val="center"/>
              <w:rPr>
                <w:rFonts w:ascii="Arial" w:eastAsia="Times New Roman" w:hAnsi="Arial" w:cs="Arial"/>
                <w:color w:val="000000"/>
                <w:sz w:val="20"/>
                <w:lang w:eastAsia="en-NZ"/>
              </w:rPr>
            </w:pPr>
            <w:r w:rsidRPr="00D5126A">
              <w:rPr>
                <w:rFonts w:ascii="Arial" w:eastAsia="Times New Roman" w:hAnsi="Arial" w:cs="Arial"/>
                <w:color w:val="000000"/>
                <w:sz w:val="20"/>
                <w:lang w:eastAsia="en-NZ"/>
              </w:rPr>
              <w:t>262</w:t>
            </w:r>
          </w:p>
        </w:tc>
        <w:tc>
          <w:tcPr>
            <w:tcW w:w="1420" w:type="dxa"/>
            <w:tcBorders>
              <w:top w:val="nil"/>
              <w:left w:val="nil"/>
              <w:bottom w:val="single" w:sz="4" w:space="0" w:color="4F81BD"/>
              <w:right w:val="single" w:sz="4" w:space="0" w:color="4F81BD"/>
            </w:tcBorders>
            <w:shd w:val="clear" w:color="auto" w:fill="auto"/>
            <w:noWrap/>
            <w:vAlign w:val="center"/>
            <w:hideMark/>
          </w:tcPr>
          <w:p w:rsidR="00107245" w:rsidRPr="00D5126A" w:rsidRDefault="00107245" w:rsidP="008D1C20">
            <w:pPr>
              <w:spacing w:after="0" w:line="240" w:lineRule="auto"/>
              <w:jc w:val="center"/>
              <w:rPr>
                <w:rFonts w:ascii="Arial" w:eastAsia="Times New Roman" w:hAnsi="Arial" w:cs="Arial"/>
                <w:color w:val="000000"/>
                <w:sz w:val="20"/>
                <w:lang w:eastAsia="en-NZ"/>
              </w:rPr>
            </w:pPr>
            <w:r w:rsidRPr="00D5126A">
              <w:rPr>
                <w:rFonts w:ascii="Arial" w:eastAsia="Times New Roman" w:hAnsi="Arial" w:cs="Arial"/>
                <w:color w:val="000000"/>
                <w:sz w:val="20"/>
                <w:lang w:eastAsia="en-NZ"/>
              </w:rPr>
              <w:t>524</w:t>
            </w:r>
          </w:p>
        </w:tc>
      </w:tr>
      <w:tr w:rsidR="00107245" w:rsidRPr="00D5126A" w:rsidTr="008D1C20">
        <w:trPr>
          <w:trHeight w:val="300"/>
        </w:trPr>
        <w:tc>
          <w:tcPr>
            <w:tcW w:w="2913" w:type="dxa"/>
            <w:tcBorders>
              <w:top w:val="nil"/>
              <w:left w:val="single" w:sz="4" w:space="0" w:color="4F81BD"/>
              <w:bottom w:val="single" w:sz="4" w:space="0" w:color="4F81BD"/>
              <w:right w:val="single" w:sz="4" w:space="0" w:color="4F81BD"/>
            </w:tcBorders>
            <w:shd w:val="clear" w:color="auto" w:fill="auto"/>
            <w:noWrap/>
            <w:vAlign w:val="bottom"/>
            <w:hideMark/>
          </w:tcPr>
          <w:p w:rsidR="00107245" w:rsidRPr="00D5126A" w:rsidRDefault="00107245" w:rsidP="008D1C20">
            <w:pPr>
              <w:spacing w:after="0" w:line="240" w:lineRule="auto"/>
              <w:jc w:val="center"/>
              <w:rPr>
                <w:rFonts w:ascii="Arial" w:eastAsia="Times New Roman" w:hAnsi="Arial" w:cs="Arial"/>
                <w:b/>
                <w:color w:val="000000"/>
                <w:sz w:val="20"/>
                <w:lang w:eastAsia="en-NZ"/>
              </w:rPr>
            </w:pPr>
            <w:r w:rsidRPr="00D5126A">
              <w:rPr>
                <w:rFonts w:ascii="Arial" w:eastAsia="Times New Roman" w:hAnsi="Arial" w:cs="Arial"/>
                <w:b/>
                <w:color w:val="000000"/>
                <w:sz w:val="20"/>
                <w:lang w:eastAsia="en-NZ"/>
              </w:rPr>
              <w:t>7</w:t>
            </w:r>
          </w:p>
        </w:tc>
        <w:tc>
          <w:tcPr>
            <w:tcW w:w="1067" w:type="dxa"/>
            <w:tcBorders>
              <w:top w:val="nil"/>
              <w:left w:val="nil"/>
              <w:bottom w:val="single" w:sz="4" w:space="0" w:color="4F81BD"/>
              <w:right w:val="single" w:sz="4" w:space="0" w:color="4F81BD"/>
            </w:tcBorders>
            <w:shd w:val="clear" w:color="auto" w:fill="auto"/>
            <w:noWrap/>
            <w:vAlign w:val="center"/>
            <w:hideMark/>
          </w:tcPr>
          <w:p w:rsidR="00107245" w:rsidRPr="00D5126A" w:rsidRDefault="00107245" w:rsidP="008D1C20">
            <w:pPr>
              <w:spacing w:after="0" w:line="240" w:lineRule="auto"/>
              <w:jc w:val="center"/>
              <w:rPr>
                <w:rFonts w:ascii="Arial" w:eastAsia="Times New Roman" w:hAnsi="Arial" w:cs="Arial"/>
                <w:color w:val="000000"/>
                <w:sz w:val="20"/>
                <w:lang w:eastAsia="en-NZ"/>
              </w:rPr>
            </w:pPr>
            <w:r w:rsidRPr="00D5126A">
              <w:rPr>
                <w:rFonts w:ascii="Arial" w:eastAsia="Times New Roman" w:hAnsi="Arial" w:cs="Arial"/>
                <w:color w:val="000000"/>
                <w:sz w:val="20"/>
                <w:lang w:eastAsia="en-NZ"/>
              </w:rPr>
              <w:t>427</w:t>
            </w:r>
          </w:p>
        </w:tc>
        <w:tc>
          <w:tcPr>
            <w:tcW w:w="1420" w:type="dxa"/>
            <w:tcBorders>
              <w:top w:val="nil"/>
              <w:left w:val="nil"/>
              <w:bottom w:val="single" w:sz="4" w:space="0" w:color="4F81BD"/>
              <w:right w:val="single" w:sz="4" w:space="0" w:color="4F81BD"/>
            </w:tcBorders>
            <w:shd w:val="clear" w:color="auto" w:fill="auto"/>
            <w:noWrap/>
            <w:vAlign w:val="center"/>
            <w:hideMark/>
          </w:tcPr>
          <w:p w:rsidR="00107245" w:rsidRPr="00D5126A" w:rsidRDefault="00107245" w:rsidP="008D1C20">
            <w:pPr>
              <w:spacing w:after="0" w:line="240" w:lineRule="auto"/>
              <w:jc w:val="center"/>
              <w:rPr>
                <w:rFonts w:ascii="Arial" w:eastAsia="Times New Roman" w:hAnsi="Arial" w:cs="Arial"/>
                <w:color w:val="000000"/>
                <w:sz w:val="20"/>
                <w:lang w:eastAsia="en-NZ"/>
              </w:rPr>
            </w:pPr>
            <w:r w:rsidRPr="00D5126A">
              <w:rPr>
                <w:rFonts w:ascii="Arial" w:eastAsia="Times New Roman" w:hAnsi="Arial" w:cs="Arial"/>
                <w:color w:val="000000"/>
                <w:sz w:val="20"/>
                <w:lang w:eastAsia="en-NZ"/>
              </w:rPr>
              <w:t>297</w:t>
            </w:r>
          </w:p>
        </w:tc>
        <w:tc>
          <w:tcPr>
            <w:tcW w:w="1420" w:type="dxa"/>
            <w:tcBorders>
              <w:top w:val="nil"/>
              <w:left w:val="nil"/>
              <w:bottom w:val="single" w:sz="4" w:space="0" w:color="4F81BD"/>
              <w:right w:val="single" w:sz="4" w:space="0" w:color="4F81BD"/>
            </w:tcBorders>
            <w:shd w:val="clear" w:color="auto" w:fill="auto"/>
            <w:noWrap/>
            <w:vAlign w:val="center"/>
            <w:hideMark/>
          </w:tcPr>
          <w:p w:rsidR="00107245" w:rsidRPr="00D5126A" w:rsidRDefault="00107245" w:rsidP="008D1C20">
            <w:pPr>
              <w:spacing w:after="0" w:line="240" w:lineRule="auto"/>
              <w:jc w:val="center"/>
              <w:rPr>
                <w:rFonts w:ascii="Arial" w:eastAsia="Times New Roman" w:hAnsi="Arial" w:cs="Arial"/>
                <w:color w:val="000000"/>
                <w:sz w:val="20"/>
                <w:lang w:eastAsia="en-NZ"/>
              </w:rPr>
            </w:pPr>
            <w:r w:rsidRPr="00D5126A">
              <w:rPr>
                <w:rFonts w:ascii="Arial" w:eastAsia="Times New Roman" w:hAnsi="Arial" w:cs="Arial"/>
                <w:color w:val="000000"/>
                <w:sz w:val="20"/>
                <w:lang w:eastAsia="en-NZ"/>
              </w:rPr>
              <w:t>724</w:t>
            </w:r>
          </w:p>
        </w:tc>
      </w:tr>
      <w:tr w:rsidR="00107245" w:rsidRPr="00D5126A" w:rsidTr="008D1C20">
        <w:trPr>
          <w:trHeight w:val="300"/>
        </w:trPr>
        <w:tc>
          <w:tcPr>
            <w:tcW w:w="2913" w:type="dxa"/>
            <w:tcBorders>
              <w:top w:val="nil"/>
              <w:left w:val="single" w:sz="4" w:space="0" w:color="4F81BD"/>
              <w:bottom w:val="single" w:sz="4" w:space="0" w:color="4F81BD"/>
              <w:right w:val="single" w:sz="4" w:space="0" w:color="4F81BD"/>
            </w:tcBorders>
            <w:shd w:val="clear" w:color="auto" w:fill="auto"/>
            <w:noWrap/>
            <w:vAlign w:val="bottom"/>
            <w:hideMark/>
          </w:tcPr>
          <w:p w:rsidR="00107245" w:rsidRPr="00D5126A" w:rsidRDefault="00107245" w:rsidP="008D1C20">
            <w:pPr>
              <w:spacing w:after="0" w:line="240" w:lineRule="auto"/>
              <w:jc w:val="center"/>
              <w:rPr>
                <w:rFonts w:ascii="Arial" w:eastAsia="Times New Roman" w:hAnsi="Arial" w:cs="Arial"/>
                <w:b/>
                <w:color w:val="000000"/>
                <w:sz w:val="20"/>
                <w:lang w:eastAsia="en-NZ"/>
              </w:rPr>
            </w:pPr>
            <w:r w:rsidRPr="00D5126A">
              <w:rPr>
                <w:rFonts w:ascii="Arial" w:eastAsia="Times New Roman" w:hAnsi="Arial" w:cs="Arial"/>
                <w:b/>
                <w:color w:val="000000"/>
                <w:sz w:val="20"/>
                <w:lang w:eastAsia="en-NZ"/>
              </w:rPr>
              <w:t>8</w:t>
            </w:r>
          </w:p>
        </w:tc>
        <w:tc>
          <w:tcPr>
            <w:tcW w:w="1067" w:type="dxa"/>
            <w:tcBorders>
              <w:top w:val="nil"/>
              <w:left w:val="nil"/>
              <w:bottom w:val="single" w:sz="4" w:space="0" w:color="4F81BD"/>
              <w:right w:val="single" w:sz="4" w:space="0" w:color="4F81BD"/>
            </w:tcBorders>
            <w:shd w:val="clear" w:color="auto" w:fill="auto"/>
            <w:noWrap/>
            <w:vAlign w:val="center"/>
            <w:hideMark/>
          </w:tcPr>
          <w:p w:rsidR="00107245" w:rsidRPr="00D5126A" w:rsidRDefault="00107245" w:rsidP="008D1C20">
            <w:pPr>
              <w:spacing w:after="0" w:line="240" w:lineRule="auto"/>
              <w:jc w:val="center"/>
              <w:rPr>
                <w:rFonts w:ascii="Arial" w:eastAsia="Times New Roman" w:hAnsi="Arial" w:cs="Arial"/>
                <w:color w:val="000000"/>
                <w:sz w:val="20"/>
                <w:lang w:eastAsia="en-NZ"/>
              </w:rPr>
            </w:pPr>
            <w:r w:rsidRPr="00D5126A">
              <w:rPr>
                <w:rFonts w:ascii="Arial" w:eastAsia="Times New Roman" w:hAnsi="Arial" w:cs="Arial"/>
                <w:color w:val="000000"/>
                <w:sz w:val="20"/>
                <w:lang w:eastAsia="en-NZ"/>
              </w:rPr>
              <w:t>32</w:t>
            </w:r>
          </w:p>
        </w:tc>
        <w:tc>
          <w:tcPr>
            <w:tcW w:w="1420" w:type="dxa"/>
            <w:tcBorders>
              <w:top w:val="nil"/>
              <w:left w:val="nil"/>
              <w:bottom w:val="single" w:sz="4" w:space="0" w:color="4F81BD"/>
              <w:right w:val="single" w:sz="4" w:space="0" w:color="4F81BD"/>
            </w:tcBorders>
            <w:shd w:val="clear" w:color="auto" w:fill="auto"/>
            <w:noWrap/>
            <w:vAlign w:val="center"/>
            <w:hideMark/>
          </w:tcPr>
          <w:p w:rsidR="00107245" w:rsidRPr="00D5126A" w:rsidRDefault="00107245" w:rsidP="008D1C20">
            <w:pPr>
              <w:spacing w:after="0" w:line="240" w:lineRule="auto"/>
              <w:jc w:val="center"/>
              <w:rPr>
                <w:rFonts w:ascii="Arial" w:eastAsia="Times New Roman" w:hAnsi="Arial" w:cs="Arial"/>
                <w:color w:val="000000"/>
                <w:sz w:val="20"/>
                <w:lang w:eastAsia="en-NZ"/>
              </w:rPr>
            </w:pPr>
            <w:r w:rsidRPr="00D5126A">
              <w:rPr>
                <w:rFonts w:ascii="Arial" w:eastAsia="Times New Roman" w:hAnsi="Arial" w:cs="Arial"/>
                <w:color w:val="000000"/>
                <w:sz w:val="20"/>
                <w:lang w:eastAsia="en-NZ"/>
              </w:rPr>
              <w:t>27</w:t>
            </w:r>
          </w:p>
        </w:tc>
        <w:tc>
          <w:tcPr>
            <w:tcW w:w="1420" w:type="dxa"/>
            <w:tcBorders>
              <w:top w:val="nil"/>
              <w:left w:val="nil"/>
              <w:bottom w:val="single" w:sz="4" w:space="0" w:color="4F81BD"/>
              <w:right w:val="single" w:sz="4" w:space="0" w:color="4F81BD"/>
            </w:tcBorders>
            <w:shd w:val="clear" w:color="auto" w:fill="auto"/>
            <w:noWrap/>
            <w:vAlign w:val="center"/>
            <w:hideMark/>
          </w:tcPr>
          <w:p w:rsidR="00107245" w:rsidRPr="00D5126A" w:rsidRDefault="00107245" w:rsidP="008D1C20">
            <w:pPr>
              <w:spacing w:after="0" w:line="240" w:lineRule="auto"/>
              <w:jc w:val="center"/>
              <w:rPr>
                <w:rFonts w:ascii="Arial" w:eastAsia="Times New Roman" w:hAnsi="Arial" w:cs="Arial"/>
                <w:color w:val="000000"/>
                <w:sz w:val="20"/>
                <w:lang w:eastAsia="en-NZ"/>
              </w:rPr>
            </w:pPr>
            <w:r w:rsidRPr="00D5126A">
              <w:rPr>
                <w:rFonts w:ascii="Arial" w:eastAsia="Times New Roman" w:hAnsi="Arial" w:cs="Arial"/>
                <w:color w:val="000000"/>
                <w:sz w:val="20"/>
                <w:lang w:eastAsia="en-NZ"/>
              </w:rPr>
              <w:t>59</w:t>
            </w:r>
          </w:p>
        </w:tc>
      </w:tr>
      <w:tr w:rsidR="00107245" w:rsidRPr="00D5126A" w:rsidTr="008D1C20">
        <w:trPr>
          <w:trHeight w:val="300"/>
        </w:trPr>
        <w:tc>
          <w:tcPr>
            <w:tcW w:w="2913" w:type="dxa"/>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rsidR="00107245" w:rsidRPr="00D5126A" w:rsidRDefault="00107245" w:rsidP="008D1C20">
            <w:pPr>
              <w:spacing w:after="0" w:line="240" w:lineRule="auto"/>
              <w:rPr>
                <w:rFonts w:ascii="Arial" w:eastAsia="Times New Roman" w:hAnsi="Arial" w:cs="Arial"/>
                <w:b/>
                <w:color w:val="000000"/>
                <w:sz w:val="20"/>
                <w:lang w:eastAsia="en-NZ"/>
              </w:rPr>
            </w:pPr>
            <w:r w:rsidRPr="00D5126A">
              <w:rPr>
                <w:rFonts w:ascii="Arial" w:eastAsia="Times New Roman" w:hAnsi="Arial" w:cs="Arial"/>
                <w:b/>
                <w:color w:val="000000"/>
                <w:sz w:val="20"/>
                <w:lang w:eastAsia="en-NZ"/>
              </w:rPr>
              <w:t>Wellington City Council</w:t>
            </w:r>
          </w:p>
        </w:tc>
        <w:tc>
          <w:tcPr>
            <w:tcW w:w="1067" w:type="dxa"/>
            <w:tcBorders>
              <w:top w:val="nil"/>
              <w:left w:val="single" w:sz="4" w:space="0" w:color="4F81BD"/>
              <w:bottom w:val="single" w:sz="4" w:space="0" w:color="4F81BD"/>
              <w:right w:val="single" w:sz="4" w:space="0" w:color="4F81BD"/>
            </w:tcBorders>
            <w:shd w:val="clear" w:color="auto" w:fill="auto"/>
            <w:noWrap/>
            <w:vAlign w:val="center"/>
            <w:hideMark/>
          </w:tcPr>
          <w:p w:rsidR="00107245" w:rsidRPr="00D5126A" w:rsidRDefault="00107245" w:rsidP="008D1C20">
            <w:pPr>
              <w:spacing w:after="0" w:line="240" w:lineRule="auto"/>
              <w:jc w:val="center"/>
              <w:rPr>
                <w:rFonts w:ascii="Arial" w:eastAsia="Times New Roman" w:hAnsi="Arial" w:cs="Arial"/>
                <w:color w:val="000000"/>
                <w:sz w:val="20"/>
                <w:lang w:eastAsia="en-NZ"/>
              </w:rPr>
            </w:pPr>
            <w:r w:rsidRPr="00D5126A">
              <w:rPr>
                <w:rFonts w:ascii="Arial" w:eastAsia="Times New Roman" w:hAnsi="Arial" w:cs="Arial"/>
                <w:color w:val="000000"/>
                <w:sz w:val="20"/>
                <w:lang w:eastAsia="en-NZ"/>
              </w:rPr>
              <w:t>1,000</w:t>
            </w:r>
          </w:p>
        </w:tc>
        <w:tc>
          <w:tcPr>
            <w:tcW w:w="1420" w:type="dxa"/>
            <w:tcBorders>
              <w:top w:val="nil"/>
              <w:left w:val="nil"/>
              <w:bottom w:val="single" w:sz="4" w:space="0" w:color="4F81BD"/>
              <w:right w:val="single" w:sz="4" w:space="0" w:color="4F81BD"/>
            </w:tcBorders>
            <w:shd w:val="clear" w:color="auto" w:fill="auto"/>
            <w:noWrap/>
            <w:vAlign w:val="center"/>
            <w:hideMark/>
          </w:tcPr>
          <w:p w:rsidR="00107245" w:rsidRPr="00D5126A" w:rsidRDefault="00107245" w:rsidP="008D1C20">
            <w:pPr>
              <w:spacing w:after="0" w:line="240" w:lineRule="auto"/>
              <w:jc w:val="center"/>
              <w:rPr>
                <w:rFonts w:ascii="Arial" w:eastAsia="Times New Roman" w:hAnsi="Arial" w:cs="Arial"/>
                <w:color w:val="000000"/>
                <w:sz w:val="20"/>
                <w:lang w:eastAsia="en-NZ"/>
              </w:rPr>
            </w:pPr>
            <w:r w:rsidRPr="00D5126A">
              <w:rPr>
                <w:rFonts w:ascii="Arial" w:eastAsia="Times New Roman" w:hAnsi="Arial" w:cs="Arial"/>
                <w:color w:val="000000"/>
                <w:sz w:val="20"/>
                <w:lang w:eastAsia="en-NZ"/>
              </w:rPr>
              <w:t>803</w:t>
            </w:r>
          </w:p>
        </w:tc>
        <w:tc>
          <w:tcPr>
            <w:tcW w:w="1420" w:type="dxa"/>
            <w:tcBorders>
              <w:top w:val="nil"/>
              <w:left w:val="nil"/>
              <w:bottom w:val="single" w:sz="4" w:space="0" w:color="4F81BD"/>
              <w:right w:val="single" w:sz="4" w:space="0" w:color="4F81BD"/>
            </w:tcBorders>
            <w:shd w:val="clear" w:color="auto" w:fill="auto"/>
            <w:noWrap/>
            <w:vAlign w:val="center"/>
            <w:hideMark/>
          </w:tcPr>
          <w:p w:rsidR="00107245" w:rsidRPr="00D5126A" w:rsidRDefault="00107245" w:rsidP="008D1C20">
            <w:pPr>
              <w:spacing w:after="0" w:line="240" w:lineRule="auto"/>
              <w:jc w:val="center"/>
              <w:rPr>
                <w:rFonts w:ascii="Arial" w:eastAsia="Times New Roman" w:hAnsi="Arial" w:cs="Arial"/>
                <w:color w:val="000000"/>
                <w:sz w:val="20"/>
                <w:lang w:eastAsia="en-NZ"/>
              </w:rPr>
            </w:pPr>
            <w:r w:rsidRPr="00D5126A">
              <w:rPr>
                <w:rFonts w:ascii="Arial" w:eastAsia="Times New Roman" w:hAnsi="Arial" w:cs="Arial"/>
                <w:color w:val="000000"/>
                <w:sz w:val="20"/>
                <w:lang w:eastAsia="en-NZ"/>
              </w:rPr>
              <w:t>1,803</w:t>
            </w:r>
          </w:p>
        </w:tc>
      </w:tr>
    </w:tbl>
    <w:p w:rsidR="00107245" w:rsidRPr="00D5126A" w:rsidRDefault="00107245" w:rsidP="00107245">
      <w:pPr>
        <w:spacing w:after="0"/>
        <w:rPr>
          <w:rFonts w:ascii="Arial" w:eastAsia="Times New Roman" w:hAnsi="Arial"/>
        </w:rPr>
      </w:pPr>
    </w:p>
    <w:tbl>
      <w:tblPr>
        <w:tblW w:w="6820" w:type="dxa"/>
        <w:tblInd w:w="93" w:type="dxa"/>
        <w:tblLook w:val="04A0" w:firstRow="1" w:lastRow="0" w:firstColumn="1" w:lastColumn="0" w:noHBand="0" w:noVBand="1"/>
      </w:tblPr>
      <w:tblGrid>
        <w:gridCol w:w="2534"/>
        <w:gridCol w:w="1446"/>
        <w:gridCol w:w="1420"/>
        <w:gridCol w:w="1420"/>
      </w:tblGrid>
      <w:tr w:rsidR="00107245" w:rsidRPr="00D5126A" w:rsidTr="008D1C20">
        <w:trPr>
          <w:trHeight w:val="420"/>
        </w:trPr>
        <w:tc>
          <w:tcPr>
            <w:tcW w:w="3980" w:type="dxa"/>
            <w:gridSpan w:val="2"/>
            <w:tcBorders>
              <w:top w:val="nil"/>
              <w:left w:val="nil"/>
              <w:bottom w:val="nil"/>
              <w:right w:val="nil"/>
            </w:tcBorders>
            <w:shd w:val="clear" w:color="auto" w:fill="auto"/>
            <w:noWrap/>
            <w:vAlign w:val="bottom"/>
            <w:hideMark/>
          </w:tcPr>
          <w:p w:rsidR="00107245" w:rsidRPr="00D5126A" w:rsidRDefault="00107245" w:rsidP="008D1C20">
            <w:pPr>
              <w:spacing w:after="0" w:line="240" w:lineRule="auto"/>
              <w:rPr>
                <w:rFonts w:ascii="Arial" w:eastAsia="Times New Roman" w:hAnsi="Arial" w:cs="Arial"/>
                <w:b/>
                <w:bCs/>
                <w:color w:val="000000"/>
                <w:szCs w:val="24"/>
                <w:lang w:eastAsia="en-NZ"/>
              </w:rPr>
            </w:pPr>
            <w:r w:rsidRPr="00D5126A">
              <w:rPr>
                <w:rFonts w:ascii="Arial" w:eastAsia="Times New Roman" w:hAnsi="Arial" w:cs="Arial"/>
                <w:b/>
                <w:bCs/>
                <w:color w:val="000000"/>
                <w:szCs w:val="24"/>
                <w:lang w:eastAsia="en-NZ"/>
              </w:rPr>
              <w:t>Breakdown by age profile</w:t>
            </w:r>
          </w:p>
        </w:tc>
        <w:tc>
          <w:tcPr>
            <w:tcW w:w="1420" w:type="dxa"/>
            <w:tcBorders>
              <w:top w:val="nil"/>
              <w:left w:val="nil"/>
              <w:bottom w:val="nil"/>
              <w:right w:val="nil"/>
            </w:tcBorders>
            <w:shd w:val="clear" w:color="auto" w:fill="auto"/>
            <w:noWrap/>
            <w:vAlign w:val="bottom"/>
            <w:hideMark/>
          </w:tcPr>
          <w:p w:rsidR="00107245" w:rsidRPr="00D5126A" w:rsidRDefault="00107245" w:rsidP="008D1C20">
            <w:pPr>
              <w:spacing w:after="0" w:line="240" w:lineRule="auto"/>
              <w:rPr>
                <w:rFonts w:ascii="Calibri" w:eastAsia="Times New Roman" w:hAnsi="Calibri" w:cs="Calibri"/>
                <w:color w:val="000000"/>
                <w:lang w:eastAsia="en-NZ"/>
              </w:rPr>
            </w:pPr>
          </w:p>
        </w:tc>
        <w:tc>
          <w:tcPr>
            <w:tcW w:w="1420" w:type="dxa"/>
            <w:tcBorders>
              <w:top w:val="nil"/>
              <w:left w:val="nil"/>
              <w:bottom w:val="nil"/>
              <w:right w:val="nil"/>
            </w:tcBorders>
            <w:shd w:val="clear" w:color="auto" w:fill="auto"/>
            <w:noWrap/>
            <w:vAlign w:val="bottom"/>
            <w:hideMark/>
          </w:tcPr>
          <w:p w:rsidR="00107245" w:rsidRPr="00D5126A" w:rsidRDefault="00107245" w:rsidP="008D1C20">
            <w:pPr>
              <w:spacing w:after="0" w:line="240" w:lineRule="auto"/>
              <w:rPr>
                <w:rFonts w:ascii="Calibri" w:eastAsia="Times New Roman" w:hAnsi="Calibri" w:cs="Calibri"/>
                <w:color w:val="000000"/>
                <w:lang w:eastAsia="en-NZ"/>
              </w:rPr>
            </w:pPr>
          </w:p>
        </w:tc>
      </w:tr>
      <w:tr w:rsidR="00107245" w:rsidRPr="00D5126A" w:rsidTr="008D1C20">
        <w:trPr>
          <w:trHeight w:val="300"/>
        </w:trPr>
        <w:tc>
          <w:tcPr>
            <w:tcW w:w="2534" w:type="dxa"/>
            <w:tcBorders>
              <w:top w:val="single" w:sz="4" w:space="0" w:color="4F81BD"/>
              <w:left w:val="single" w:sz="4" w:space="0" w:color="4F81BD"/>
              <w:bottom w:val="single" w:sz="4" w:space="0" w:color="4F81BD"/>
              <w:right w:val="single" w:sz="4" w:space="0" w:color="4F81BD"/>
            </w:tcBorders>
            <w:shd w:val="clear" w:color="auto" w:fill="00B0F0"/>
            <w:noWrap/>
            <w:vAlign w:val="center"/>
            <w:hideMark/>
          </w:tcPr>
          <w:p w:rsidR="00107245" w:rsidRPr="00D5126A" w:rsidRDefault="00107245" w:rsidP="008D1C20">
            <w:pPr>
              <w:spacing w:after="0" w:line="240" w:lineRule="auto"/>
              <w:jc w:val="center"/>
              <w:rPr>
                <w:rFonts w:ascii="Arial" w:eastAsia="Times New Roman" w:hAnsi="Arial" w:cs="Arial"/>
                <w:b/>
                <w:color w:val="FFFFFF"/>
                <w:sz w:val="20"/>
                <w:szCs w:val="20"/>
                <w:lang w:eastAsia="en-NZ"/>
              </w:rPr>
            </w:pPr>
            <w:r w:rsidRPr="00D5126A">
              <w:rPr>
                <w:rFonts w:ascii="Arial" w:eastAsia="Times New Roman" w:hAnsi="Arial" w:cs="Arial"/>
                <w:b/>
                <w:color w:val="FFFFFF"/>
                <w:sz w:val="20"/>
                <w:szCs w:val="20"/>
                <w:lang w:eastAsia="en-NZ"/>
              </w:rPr>
              <w:t>Age Brackets</w:t>
            </w:r>
          </w:p>
        </w:tc>
        <w:tc>
          <w:tcPr>
            <w:tcW w:w="1446" w:type="dxa"/>
            <w:tcBorders>
              <w:top w:val="single" w:sz="4" w:space="0" w:color="4F81BD"/>
              <w:left w:val="nil"/>
              <w:bottom w:val="single" w:sz="4" w:space="0" w:color="4F81BD"/>
              <w:right w:val="single" w:sz="4" w:space="0" w:color="4F81BD"/>
            </w:tcBorders>
            <w:shd w:val="clear" w:color="auto" w:fill="00B0F0"/>
            <w:noWrap/>
            <w:vAlign w:val="center"/>
            <w:hideMark/>
          </w:tcPr>
          <w:p w:rsidR="00107245" w:rsidRPr="00D5126A" w:rsidRDefault="00107245" w:rsidP="008D1C20">
            <w:pPr>
              <w:spacing w:after="0" w:line="240" w:lineRule="auto"/>
              <w:jc w:val="center"/>
              <w:rPr>
                <w:rFonts w:ascii="Arial" w:eastAsia="Times New Roman" w:hAnsi="Arial" w:cs="Arial"/>
                <w:b/>
                <w:color w:val="FFFFFF"/>
                <w:sz w:val="20"/>
                <w:szCs w:val="20"/>
                <w:lang w:eastAsia="en-NZ"/>
              </w:rPr>
            </w:pPr>
            <w:r w:rsidRPr="00D5126A">
              <w:rPr>
                <w:rFonts w:ascii="Arial" w:eastAsia="Times New Roman" w:hAnsi="Arial" w:cs="Arial"/>
                <w:b/>
                <w:color w:val="FFFFFF"/>
                <w:sz w:val="20"/>
                <w:szCs w:val="20"/>
                <w:lang w:eastAsia="en-NZ"/>
              </w:rPr>
              <w:t>Female</w:t>
            </w:r>
          </w:p>
        </w:tc>
        <w:tc>
          <w:tcPr>
            <w:tcW w:w="1420" w:type="dxa"/>
            <w:tcBorders>
              <w:top w:val="single" w:sz="4" w:space="0" w:color="4F81BD"/>
              <w:left w:val="nil"/>
              <w:bottom w:val="single" w:sz="4" w:space="0" w:color="4F81BD"/>
              <w:right w:val="single" w:sz="4" w:space="0" w:color="4F81BD"/>
            </w:tcBorders>
            <w:shd w:val="clear" w:color="auto" w:fill="00B0F0"/>
            <w:noWrap/>
            <w:vAlign w:val="center"/>
            <w:hideMark/>
          </w:tcPr>
          <w:p w:rsidR="00107245" w:rsidRPr="00D5126A" w:rsidRDefault="00107245" w:rsidP="008D1C20">
            <w:pPr>
              <w:spacing w:after="0" w:line="240" w:lineRule="auto"/>
              <w:jc w:val="center"/>
              <w:rPr>
                <w:rFonts w:ascii="Arial" w:eastAsia="Times New Roman" w:hAnsi="Arial" w:cs="Arial"/>
                <w:b/>
                <w:color w:val="FFFFFF"/>
                <w:sz w:val="20"/>
                <w:szCs w:val="20"/>
                <w:lang w:eastAsia="en-NZ"/>
              </w:rPr>
            </w:pPr>
            <w:r w:rsidRPr="00D5126A">
              <w:rPr>
                <w:rFonts w:ascii="Arial" w:eastAsia="Times New Roman" w:hAnsi="Arial" w:cs="Arial"/>
                <w:b/>
                <w:color w:val="FFFFFF"/>
                <w:sz w:val="20"/>
                <w:szCs w:val="20"/>
                <w:lang w:eastAsia="en-NZ"/>
              </w:rPr>
              <w:t>Male</w:t>
            </w:r>
          </w:p>
        </w:tc>
        <w:tc>
          <w:tcPr>
            <w:tcW w:w="1420" w:type="dxa"/>
            <w:tcBorders>
              <w:top w:val="single" w:sz="4" w:space="0" w:color="4F81BD"/>
              <w:left w:val="nil"/>
              <w:bottom w:val="single" w:sz="4" w:space="0" w:color="4F81BD"/>
              <w:right w:val="single" w:sz="4" w:space="0" w:color="4F81BD"/>
            </w:tcBorders>
            <w:shd w:val="clear" w:color="auto" w:fill="00B0F0"/>
            <w:noWrap/>
            <w:vAlign w:val="center"/>
            <w:hideMark/>
          </w:tcPr>
          <w:p w:rsidR="00107245" w:rsidRPr="00D5126A" w:rsidRDefault="00107245" w:rsidP="008D1C20">
            <w:pPr>
              <w:spacing w:after="0" w:line="240" w:lineRule="auto"/>
              <w:jc w:val="center"/>
              <w:rPr>
                <w:rFonts w:ascii="Arial" w:eastAsia="Times New Roman" w:hAnsi="Arial" w:cs="Arial"/>
                <w:b/>
                <w:color w:val="FFFFFF"/>
                <w:sz w:val="20"/>
                <w:szCs w:val="20"/>
                <w:lang w:eastAsia="en-NZ"/>
              </w:rPr>
            </w:pPr>
            <w:r w:rsidRPr="00D5126A">
              <w:rPr>
                <w:rFonts w:ascii="Arial" w:eastAsia="Times New Roman" w:hAnsi="Arial" w:cs="Arial"/>
                <w:b/>
                <w:color w:val="FFFFFF"/>
                <w:sz w:val="20"/>
                <w:szCs w:val="20"/>
                <w:lang w:eastAsia="en-NZ"/>
              </w:rPr>
              <w:t>Grand Total</w:t>
            </w:r>
          </w:p>
        </w:tc>
      </w:tr>
      <w:tr w:rsidR="00107245" w:rsidRPr="00D5126A" w:rsidTr="008D1C20">
        <w:trPr>
          <w:trHeight w:val="300"/>
        </w:trPr>
        <w:tc>
          <w:tcPr>
            <w:tcW w:w="2534" w:type="dxa"/>
            <w:tcBorders>
              <w:top w:val="nil"/>
              <w:left w:val="single" w:sz="4" w:space="0" w:color="4F81BD"/>
              <w:bottom w:val="single" w:sz="4" w:space="0" w:color="4F81BD"/>
              <w:right w:val="single" w:sz="4" w:space="0" w:color="4F81BD"/>
            </w:tcBorders>
            <w:shd w:val="clear" w:color="auto" w:fill="auto"/>
            <w:noWrap/>
            <w:vAlign w:val="bottom"/>
            <w:hideMark/>
          </w:tcPr>
          <w:p w:rsidR="00107245" w:rsidRPr="00D5126A" w:rsidRDefault="00107245" w:rsidP="008D1C20">
            <w:pPr>
              <w:spacing w:after="0" w:line="240" w:lineRule="auto"/>
              <w:jc w:val="center"/>
              <w:rPr>
                <w:rFonts w:ascii="Arial" w:eastAsia="Times New Roman" w:hAnsi="Arial" w:cs="Arial"/>
                <w:color w:val="000000"/>
                <w:sz w:val="20"/>
                <w:lang w:eastAsia="en-NZ"/>
              </w:rPr>
            </w:pPr>
            <w:r w:rsidRPr="00D5126A">
              <w:rPr>
                <w:rFonts w:ascii="Arial" w:eastAsia="Times New Roman" w:hAnsi="Arial" w:cs="Arial"/>
                <w:color w:val="000000"/>
                <w:sz w:val="20"/>
                <w:lang w:eastAsia="en-NZ"/>
              </w:rPr>
              <w:t>&lt; 25yrs</w:t>
            </w:r>
          </w:p>
        </w:tc>
        <w:tc>
          <w:tcPr>
            <w:tcW w:w="1446" w:type="dxa"/>
            <w:tcBorders>
              <w:top w:val="nil"/>
              <w:left w:val="nil"/>
              <w:bottom w:val="single" w:sz="4" w:space="0" w:color="4F81BD"/>
              <w:right w:val="single" w:sz="4" w:space="0" w:color="4F81BD"/>
            </w:tcBorders>
            <w:shd w:val="clear" w:color="auto" w:fill="auto"/>
            <w:noWrap/>
            <w:vAlign w:val="center"/>
            <w:hideMark/>
          </w:tcPr>
          <w:p w:rsidR="00107245" w:rsidRPr="00D5126A" w:rsidRDefault="00107245" w:rsidP="008D1C20">
            <w:pPr>
              <w:spacing w:after="0" w:line="240" w:lineRule="auto"/>
              <w:jc w:val="center"/>
              <w:rPr>
                <w:rFonts w:ascii="Arial" w:eastAsia="Times New Roman" w:hAnsi="Arial" w:cs="Arial"/>
                <w:color w:val="000000"/>
                <w:sz w:val="20"/>
                <w:lang w:eastAsia="en-NZ"/>
              </w:rPr>
            </w:pPr>
            <w:r w:rsidRPr="00D5126A">
              <w:rPr>
                <w:rFonts w:ascii="Arial" w:eastAsia="Times New Roman" w:hAnsi="Arial" w:cs="Arial"/>
                <w:color w:val="000000"/>
                <w:sz w:val="20"/>
                <w:lang w:eastAsia="en-NZ"/>
              </w:rPr>
              <w:t>274</w:t>
            </w:r>
          </w:p>
        </w:tc>
        <w:tc>
          <w:tcPr>
            <w:tcW w:w="1420" w:type="dxa"/>
            <w:tcBorders>
              <w:top w:val="nil"/>
              <w:left w:val="nil"/>
              <w:bottom w:val="single" w:sz="4" w:space="0" w:color="4F81BD"/>
              <w:right w:val="single" w:sz="4" w:space="0" w:color="4F81BD"/>
            </w:tcBorders>
            <w:shd w:val="clear" w:color="auto" w:fill="auto"/>
            <w:noWrap/>
            <w:vAlign w:val="center"/>
            <w:hideMark/>
          </w:tcPr>
          <w:p w:rsidR="00107245" w:rsidRPr="00D5126A" w:rsidRDefault="00107245" w:rsidP="008D1C20">
            <w:pPr>
              <w:spacing w:after="0" w:line="240" w:lineRule="auto"/>
              <w:jc w:val="center"/>
              <w:rPr>
                <w:rFonts w:ascii="Arial" w:eastAsia="Times New Roman" w:hAnsi="Arial" w:cs="Arial"/>
                <w:color w:val="000000"/>
                <w:sz w:val="20"/>
                <w:lang w:eastAsia="en-NZ"/>
              </w:rPr>
            </w:pPr>
            <w:r w:rsidRPr="00D5126A">
              <w:rPr>
                <w:rFonts w:ascii="Arial" w:eastAsia="Times New Roman" w:hAnsi="Arial" w:cs="Arial"/>
                <w:color w:val="000000"/>
                <w:sz w:val="20"/>
                <w:lang w:eastAsia="en-NZ"/>
              </w:rPr>
              <w:t>186</w:t>
            </w:r>
          </w:p>
        </w:tc>
        <w:tc>
          <w:tcPr>
            <w:tcW w:w="1420" w:type="dxa"/>
            <w:tcBorders>
              <w:top w:val="nil"/>
              <w:left w:val="nil"/>
              <w:bottom w:val="single" w:sz="4" w:space="0" w:color="4F81BD"/>
              <w:right w:val="single" w:sz="4" w:space="0" w:color="4F81BD"/>
            </w:tcBorders>
            <w:shd w:val="clear" w:color="auto" w:fill="auto"/>
            <w:noWrap/>
            <w:vAlign w:val="center"/>
            <w:hideMark/>
          </w:tcPr>
          <w:p w:rsidR="00107245" w:rsidRPr="00D5126A" w:rsidRDefault="00107245" w:rsidP="008D1C20">
            <w:pPr>
              <w:spacing w:after="0" w:line="240" w:lineRule="auto"/>
              <w:jc w:val="center"/>
              <w:rPr>
                <w:rFonts w:ascii="Arial" w:eastAsia="Times New Roman" w:hAnsi="Arial" w:cs="Arial"/>
                <w:color w:val="000000"/>
                <w:sz w:val="20"/>
                <w:lang w:eastAsia="en-NZ"/>
              </w:rPr>
            </w:pPr>
            <w:r w:rsidRPr="00D5126A">
              <w:rPr>
                <w:rFonts w:ascii="Arial" w:eastAsia="Times New Roman" w:hAnsi="Arial" w:cs="Arial"/>
                <w:color w:val="000000"/>
                <w:sz w:val="20"/>
                <w:lang w:eastAsia="en-NZ"/>
              </w:rPr>
              <w:t>460</w:t>
            </w:r>
          </w:p>
        </w:tc>
      </w:tr>
      <w:tr w:rsidR="00107245" w:rsidRPr="00D5126A" w:rsidTr="008D1C20">
        <w:trPr>
          <w:trHeight w:val="300"/>
        </w:trPr>
        <w:tc>
          <w:tcPr>
            <w:tcW w:w="2534" w:type="dxa"/>
            <w:tcBorders>
              <w:top w:val="nil"/>
              <w:left w:val="single" w:sz="4" w:space="0" w:color="4F81BD"/>
              <w:bottom w:val="single" w:sz="4" w:space="0" w:color="4F81BD"/>
              <w:right w:val="single" w:sz="4" w:space="0" w:color="4F81BD"/>
            </w:tcBorders>
            <w:shd w:val="clear" w:color="auto" w:fill="auto"/>
            <w:noWrap/>
            <w:vAlign w:val="bottom"/>
            <w:hideMark/>
          </w:tcPr>
          <w:p w:rsidR="00107245" w:rsidRPr="00D5126A" w:rsidRDefault="00107245" w:rsidP="008D1C20">
            <w:pPr>
              <w:spacing w:after="0" w:line="240" w:lineRule="auto"/>
              <w:jc w:val="center"/>
              <w:rPr>
                <w:rFonts w:ascii="Arial" w:eastAsia="Times New Roman" w:hAnsi="Arial" w:cs="Arial"/>
                <w:color w:val="000000"/>
                <w:sz w:val="20"/>
                <w:lang w:eastAsia="en-NZ"/>
              </w:rPr>
            </w:pPr>
            <w:r w:rsidRPr="00D5126A">
              <w:rPr>
                <w:rFonts w:ascii="Arial" w:eastAsia="Times New Roman" w:hAnsi="Arial" w:cs="Arial"/>
                <w:color w:val="000000"/>
                <w:sz w:val="20"/>
                <w:lang w:eastAsia="en-NZ"/>
              </w:rPr>
              <w:t>25 - 40yrs</w:t>
            </w:r>
          </w:p>
        </w:tc>
        <w:tc>
          <w:tcPr>
            <w:tcW w:w="1446" w:type="dxa"/>
            <w:tcBorders>
              <w:top w:val="nil"/>
              <w:left w:val="nil"/>
              <w:bottom w:val="single" w:sz="4" w:space="0" w:color="4F81BD"/>
              <w:right w:val="single" w:sz="4" w:space="0" w:color="4F81BD"/>
            </w:tcBorders>
            <w:shd w:val="clear" w:color="auto" w:fill="auto"/>
            <w:noWrap/>
            <w:vAlign w:val="center"/>
            <w:hideMark/>
          </w:tcPr>
          <w:p w:rsidR="00107245" w:rsidRPr="00D5126A" w:rsidRDefault="00107245" w:rsidP="008D1C20">
            <w:pPr>
              <w:spacing w:after="0" w:line="240" w:lineRule="auto"/>
              <w:jc w:val="center"/>
              <w:rPr>
                <w:rFonts w:ascii="Arial" w:eastAsia="Times New Roman" w:hAnsi="Arial" w:cs="Arial"/>
                <w:color w:val="000000"/>
                <w:sz w:val="20"/>
                <w:lang w:eastAsia="en-NZ"/>
              </w:rPr>
            </w:pPr>
            <w:r w:rsidRPr="00D5126A">
              <w:rPr>
                <w:rFonts w:ascii="Arial" w:eastAsia="Times New Roman" w:hAnsi="Arial" w:cs="Arial"/>
                <w:color w:val="000000"/>
                <w:sz w:val="20"/>
                <w:lang w:eastAsia="en-NZ"/>
              </w:rPr>
              <w:t>326</w:t>
            </w:r>
          </w:p>
        </w:tc>
        <w:tc>
          <w:tcPr>
            <w:tcW w:w="1420" w:type="dxa"/>
            <w:tcBorders>
              <w:top w:val="nil"/>
              <w:left w:val="nil"/>
              <w:bottom w:val="single" w:sz="4" w:space="0" w:color="4F81BD"/>
              <w:right w:val="single" w:sz="4" w:space="0" w:color="4F81BD"/>
            </w:tcBorders>
            <w:shd w:val="clear" w:color="auto" w:fill="auto"/>
            <w:noWrap/>
            <w:vAlign w:val="center"/>
            <w:hideMark/>
          </w:tcPr>
          <w:p w:rsidR="00107245" w:rsidRPr="00D5126A" w:rsidRDefault="00107245" w:rsidP="008D1C20">
            <w:pPr>
              <w:spacing w:after="0" w:line="240" w:lineRule="auto"/>
              <w:jc w:val="center"/>
              <w:rPr>
                <w:rFonts w:ascii="Arial" w:eastAsia="Times New Roman" w:hAnsi="Arial" w:cs="Arial"/>
                <w:color w:val="000000"/>
                <w:sz w:val="20"/>
                <w:lang w:eastAsia="en-NZ"/>
              </w:rPr>
            </w:pPr>
            <w:r w:rsidRPr="00D5126A">
              <w:rPr>
                <w:rFonts w:ascii="Arial" w:eastAsia="Times New Roman" w:hAnsi="Arial" w:cs="Arial"/>
                <w:color w:val="000000"/>
                <w:sz w:val="20"/>
                <w:lang w:eastAsia="en-NZ"/>
              </w:rPr>
              <w:t>279</w:t>
            </w:r>
          </w:p>
        </w:tc>
        <w:tc>
          <w:tcPr>
            <w:tcW w:w="1420" w:type="dxa"/>
            <w:tcBorders>
              <w:top w:val="nil"/>
              <w:left w:val="nil"/>
              <w:bottom w:val="single" w:sz="4" w:space="0" w:color="4F81BD"/>
              <w:right w:val="single" w:sz="4" w:space="0" w:color="4F81BD"/>
            </w:tcBorders>
            <w:shd w:val="clear" w:color="auto" w:fill="auto"/>
            <w:noWrap/>
            <w:vAlign w:val="center"/>
            <w:hideMark/>
          </w:tcPr>
          <w:p w:rsidR="00107245" w:rsidRPr="00D5126A" w:rsidRDefault="00107245" w:rsidP="008D1C20">
            <w:pPr>
              <w:spacing w:after="0" w:line="240" w:lineRule="auto"/>
              <w:jc w:val="center"/>
              <w:rPr>
                <w:rFonts w:ascii="Arial" w:eastAsia="Times New Roman" w:hAnsi="Arial" w:cs="Arial"/>
                <w:color w:val="000000"/>
                <w:sz w:val="20"/>
                <w:lang w:eastAsia="en-NZ"/>
              </w:rPr>
            </w:pPr>
            <w:r w:rsidRPr="00D5126A">
              <w:rPr>
                <w:rFonts w:ascii="Arial" w:eastAsia="Times New Roman" w:hAnsi="Arial" w:cs="Arial"/>
                <w:color w:val="000000"/>
                <w:sz w:val="20"/>
                <w:lang w:eastAsia="en-NZ"/>
              </w:rPr>
              <w:t>605</w:t>
            </w:r>
          </w:p>
        </w:tc>
      </w:tr>
      <w:tr w:rsidR="00107245" w:rsidRPr="00D5126A" w:rsidTr="008D1C20">
        <w:trPr>
          <w:trHeight w:val="300"/>
        </w:trPr>
        <w:tc>
          <w:tcPr>
            <w:tcW w:w="2534" w:type="dxa"/>
            <w:tcBorders>
              <w:top w:val="nil"/>
              <w:left w:val="single" w:sz="4" w:space="0" w:color="4F81BD"/>
              <w:bottom w:val="single" w:sz="4" w:space="0" w:color="4F81BD"/>
              <w:right w:val="single" w:sz="4" w:space="0" w:color="4F81BD"/>
            </w:tcBorders>
            <w:shd w:val="clear" w:color="auto" w:fill="auto"/>
            <w:noWrap/>
            <w:vAlign w:val="bottom"/>
            <w:hideMark/>
          </w:tcPr>
          <w:p w:rsidR="00107245" w:rsidRPr="00D5126A" w:rsidRDefault="00107245" w:rsidP="008D1C20">
            <w:pPr>
              <w:spacing w:after="0" w:line="240" w:lineRule="auto"/>
              <w:jc w:val="center"/>
              <w:rPr>
                <w:rFonts w:ascii="Arial" w:eastAsia="Times New Roman" w:hAnsi="Arial" w:cs="Arial"/>
                <w:color w:val="000000"/>
                <w:sz w:val="20"/>
                <w:lang w:eastAsia="en-NZ"/>
              </w:rPr>
            </w:pPr>
            <w:r w:rsidRPr="00D5126A">
              <w:rPr>
                <w:rFonts w:ascii="Arial" w:eastAsia="Times New Roman" w:hAnsi="Arial" w:cs="Arial"/>
                <w:color w:val="000000"/>
                <w:sz w:val="20"/>
                <w:lang w:eastAsia="en-NZ"/>
              </w:rPr>
              <w:t>41 - 55yrs</w:t>
            </w:r>
          </w:p>
        </w:tc>
        <w:tc>
          <w:tcPr>
            <w:tcW w:w="1446" w:type="dxa"/>
            <w:tcBorders>
              <w:top w:val="nil"/>
              <w:left w:val="nil"/>
              <w:bottom w:val="single" w:sz="4" w:space="0" w:color="4F81BD"/>
              <w:right w:val="single" w:sz="4" w:space="0" w:color="4F81BD"/>
            </w:tcBorders>
            <w:shd w:val="clear" w:color="auto" w:fill="auto"/>
            <w:noWrap/>
            <w:vAlign w:val="center"/>
            <w:hideMark/>
          </w:tcPr>
          <w:p w:rsidR="00107245" w:rsidRPr="00D5126A" w:rsidRDefault="00107245" w:rsidP="008D1C20">
            <w:pPr>
              <w:spacing w:after="0" w:line="240" w:lineRule="auto"/>
              <w:jc w:val="center"/>
              <w:rPr>
                <w:rFonts w:ascii="Arial" w:eastAsia="Times New Roman" w:hAnsi="Arial" w:cs="Arial"/>
                <w:color w:val="000000"/>
                <w:sz w:val="20"/>
                <w:lang w:eastAsia="en-NZ"/>
              </w:rPr>
            </w:pPr>
            <w:r w:rsidRPr="00D5126A">
              <w:rPr>
                <w:rFonts w:ascii="Arial" w:eastAsia="Times New Roman" w:hAnsi="Arial" w:cs="Arial"/>
                <w:color w:val="000000"/>
                <w:sz w:val="20"/>
                <w:lang w:eastAsia="en-NZ"/>
              </w:rPr>
              <w:t>263</w:t>
            </w:r>
          </w:p>
        </w:tc>
        <w:tc>
          <w:tcPr>
            <w:tcW w:w="1420" w:type="dxa"/>
            <w:tcBorders>
              <w:top w:val="nil"/>
              <w:left w:val="nil"/>
              <w:bottom w:val="single" w:sz="4" w:space="0" w:color="4F81BD"/>
              <w:right w:val="single" w:sz="4" w:space="0" w:color="4F81BD"/>
            </w:tcBorders>
            <w:shd w:val="clear" w:color="auto" w:fill="auto"/>
            <w:noWrap/>
            <w:vAlign w:val="center"/>
            <w:hideMark/>
          </w:tcPr>
          <w:p w:rsidR="00107245" w:rsidRPr="00D5126A" w:rsidRDefault="00107245" w:rsidP="008D1C20">
            <w:pPr>
              <w:spacing w:after="0" w:line="240" w:lineRule="auto"/>
              <w:jc w:val="center"/>
              <w:rPr>
                <w:rFonts w:ascii="Arial" w:eastAsia="Times New Roman" w:hAnsi="Arial" w:cs="Arial"/>
                <w:color w:val="000000"/>
                <w:sz w:val="20"/>
                <w:lang w:eastAsia="en-NZ"/>
              </w:rPr>
            </w:pPr>
            <w:r w:rsidRPr="00D5126A">
              <w:rPr>
                <w:rFonts w:ascii="Arial" w:eastAsia="Times New Roman" w:hAnsi="Arial" w:cs="Arial"/>
                <w:color w:val="000000"/>
                <w:sz w:val="20"/>
                <w:lang w:eastAsia="en-NZ"/>
              </w:rPr>
              <w:t>200</w:t>
            </w:r>
          </w:p>
        </w:tc>
        <w:tc>
          <w:tcPr>
            <w:tcW w:w="1420" w:type="dxa"/>
            <w:tcBorders>
              <w:top w:val="nil"/>
              <w:left w:val="nil"/>
              <w:bottom w:val="single" w:sz="4" w:space="0" w:color="4F81BD"/>
              <w:right w:val="single" w:sz="4" w:space="0" w:color="4F81BD"/>
            </w:tcBorders>
            <w:shd w:val="clear" w:color="auto" w:fill="auto"/>
            <w:noWrap/>
            <w:vAlign w:val="center"/>
            <w:hideMark/>
          </w:tcPr>
          <w:p w:rsidR="00107245" w:rsidRPr="00D5126A" w:rsidRDefault="00107245" w:rsidP="008D1C20">
            <w:pPr>
              <w:spacing w:after="0" w:line="240" w:lineRule="auto"/>
              <w:jc w:val="center"/>
              <w:rPr>
                <w:rFonts w:ascii="Arial" w:eastAsia="Times New Roman" w:hAnsi="Arial" w:cs="Arial"/>
                <w:color w:val="000000"/>
                <w:sz w:val="20"/>
                <w:lang w:eastAsia="en-NZ"/>
              </w:rPr>
            </w:pPr>
            <w:r w:rsidRPr="00D5126A">
              <w:rPr>
                <w:rFonts w:ascii="Arial" w:eastAsia="Times New Roman" w:hAnsi="Arial" w:cs="Arial"/>
                <w:color w:val="000000"/>
                <w:sz w:val="20"/>
                <w:lang w:eastAsia="en-NZ"/>
              </w:rPr>
              <w:t>463</w:t>
            </w:r>
          </w:p>
        </w:tc>
      </w:tr>
      <w:tr w:rsidR="00107245" w:rsidRPr="00D5126A" w:rsidTr="008D1C20">
        <w:trPr>
          <w:trHeight w:val="300"/>
        </w:trPr>
        <w:tc>
          <w:tcPr>
            <w:tcW w:w="2534" w:type="dxa"/>
            <w:tcBorders>
              <w:top w:val="nil"/>
              <w:left w:val="single" w:sz="4" w:space="0" w:color="4F81BD"/>
              <w:bottom w:val="single" w:sz="4" w:space="0" w:color="4F81BD"/>
              <w:right w:val="single" w:sz="4" w:space="0" w:color="4F81BD"/>
            </w:tcBorders>
            <w:shd w:val="clear" w:color="auto" w:fill="auto"/>
            <w:noWrap/>
            <w:vAlign w:val="bottom"/>
            <w:hideMark/>
          </w:tcPr>
          <w:p w:rsidR="00107245" w:rsidRPr="00D5126A" w:rsidRDefault="00107245" w:rsidP="008D1C20">
            <w:pPr>
              <w:spacing w:after="0" w:line="240" w:lineRule="auto"/>
              <w:jc w:val="center"/>
              <w:rPr>
                <w:rFonts w:ascii="Arial" w:eastAsia="Times New Roman" w:hAnsi="Arial" w:cs="Arial"/>
                <w:color w:val="000000"/>
                <w:sz w:val="20"/>
                <w:lang w:eastAsia="en-NZ"/>
              </w:rPr>
            </w:pPr>
            <w:r w:rsidRPr="00D5126A">
              <w:rPr>
                <w:rFonts w:ascii="Arial" w:eastAsia="Times New Roman" w:hAnsi="Arial" w:cs="Arial"/>
                <w:color w:val="000000"/>
                <w:sz w:val="20"/>
                <w:lang w:eastAsia="en-NZ"/>
              </w:rPr>
              <w:t>56 - 60yrs</w:t>
            </w:r>
          </w:p>
        </w:tc>
        <w:tc>
          <w:tcPr>
            <w:tcW w:w="1446" w:type="dxa"/>
            <w:tcBorders>
              <w:top w:val="nil"/>
              <w:left w:val="nil"/>
              <w:bottom w:val="single" w:sz="4" w:space="0" w:color="4F81BD"/>
              <w:right w:val="single" w:sz="4" w:space="0" w:color="4F81BD"/>
            </w:tcBorders>
            <w:shd w:val="clear" w:color="auto" w:fill="auto"/>
            <w:noWrap/>
            <w:vAlign w:val="center"/>
            <w:hideMark/>
          </w:tcPr>
          <w:p w:rsidR="00107245" w:rsidRPr="00D5126A" w:rsidRDefault="00107245" w:rsidP="008D1C20">
            <w:pPr>
              <w:spacing w:after="0" w:line="240" w:lineRule="auto"/>
              <w:jc w:val="center"/>
              <w:rPr>
                <w:rFonts w:ascii="Arial" w:eastAsia="Times New Roman" w:hAnsi="Arial" w:cs="Arial"/>
                <w:color w:val="000000"/>
                <w:sz w:val="20"/>
                <w:lang w:eastAsia="en-NZ"/>
              </w:rPr>
            </w:pPr>
            <w:r w:rsidRPr="00D5126A">
              <w:rPr>
                <w:rFonts w:ascii="Arial" w:eastAsia="Times New Roman" w:hAnsi="Arial" w:cs="Arial"/>
                <w:color w:val="000000"/>
                <w:sz w:val="20"/>
                <w:lang w:eastAsia="en-NZ"/>
              </w:rPr>
              <w:t>65</w:t>
            </w:r>
          </w:p>
        </w:tc>
        <w:tc>
          <w:tcPr>
            <w:tcW w:w="1420" w:type="dxa"/>
            <w:tcBorders>
              <w:top w:val="nil"/>
              <w:left w:val="nil"/>
              <w:bottom w:val="single" w:sz="4" w:space="0" w:color="4F81BD"/>
              <w:right w:val="single" w:sz="4" w:space="0" w:color="4F81BD"/>
            </w:tcBorders>
            <w:shd w:val="clear" w:color="auto" w:fill="auto"/>
            <w:noWrap/>
            <w:vAlign w:val="center"/>
            <w:hideMark/>
          </w:tcPr>
          <w:p w:rsidR="00107245" w:rsidRPr="00D5126A" w:rsidRDefault="00107245" w:rsidP="008D1C20">
            <w:pPr>
              <w:spacing w:after="0" w:line="240" w:lineRule="auto"/>
              <w:jc w:val="center"/>
              <w:rPr>
                <w:rFonts w:ascii="Arial" w:eastAsia="Times New Roman" w:hAnsi="Arial" w:cs="Arial"/>
                <w:color w:val="000000"/>
                <w:sz w:val="20"/>
                <w:lang w:eastAsia="en-NZ"/>
              </w:rPr>
            </w:pPr>
            <w:r w:rsidRPr="00D5126A">
              <w:rPr>
                <w:rFonts w:ascii="Arial" w:eastAsia="Times New Roman" w:hAnsi="Arial" w:cs="Arial"/>
                <w:color w:val="000000"/>
                <w:sz w:val="20"/>
                <w:lang w:eastAsia="en-NZ"/>
              </w:rPr>
              <w:t>63</w:t>
            </w:r>
          </w:p>
        </w:tc>
        <w:tc>
          <w:tcPr>
            <w:tcW w:w="1420" w:type="dxa"/>
            <w:tcBorders>
              <w:top w:val="nil"/>
              <w:left w:val="nil"/>
              <w:bottom w:val="single" w:sz="4" w:space="0" w:color="4F81BD"/>
              <w:right w:val="single" w:sz="4" w:space="0" w:color="4F81BD"/>
            </w:tcBorders>
            <w:shd w:val="clear" w:color="auto" w:fill="auto"/>
            <w:noWrap/>
            <w:vAlign w:val="center"/>
            <w:hideMark/>
          </w:tcPr>
          <w:p w:rsidR="00107245" w:rsidRPr="00D5126A" w:rsidRDefault="00107245" w:rsidP="008D1C20">
            <w:pPr>
              <w:spacing w:after="0" w:line="240" w:lineRule="auto"/>
              <w:jc w:val="center"/>
              <w:rPr>
                <w:rFonts w:ascii="Arial" w:eastAsia="Times New Roman" w:hAnsi="Arial" w:cs="Arial"/>
                <w:color w:val="000000"/>
                <w:sz w:val="20"/>
                <w:lang w:eastAsia="en-NZ"/>
              </w:rPr>
            </w:pPr>
            <w:r w:rsidRPr="00D5126A">
              <w:rPr>
                <w:rFonts w:ascii="Arial" w:eastAsia="Times New Roman" w:hAnsi="Arial" w:cs="Arial"/>
                <w:color w:val="000000"/>
                <w:sz w:val="20"/>
                <w:lang w:eastAsia="en-NZ"/>
              </w:rPr>
              <w:t>128</w:t>
            </w:r>
          </w:p>
        </w:tc>
      </w:tr>
      <w:tr w:rsidR="00107245" w:rsidRPr="00D5126A" w:rsidTr="008D1C20">
        <w:trPr>
          <w:trHeight w:val="300"/>
        </w:trPr>
        <w:tc>
          <w:tcPr>
            <w:tcW w:w="2534" w:type="dxa"/>
            <w:tcBorders>
              <w:top w:val="nil"/>
              <w:left w:val="single" w:sz="4" w:space="0" w:color="4F81BD"/>
              <w:bottom w:val="single" w:sz="4" w:space="0" w:color="4F81BD"/>
              <w:right w:val="single" w:sz="4" w:space="0" w:color="4F81BD"/>
            </w:tcBorders>
            <w:shd w:val="clear" w:color="auto" w:fill="auto"/>
            <w:noWrap/>
            <w:vAlign w:val="bottom"/>
            <w:hideMark/>
          </w:tcPr>
          <w:p w:rsidR="00107245" w:rsidRPr="00D5126A" w:rsidRDefault="00107245" w:rsidP="008D1C20">
            <w:pPr>
              <w:spacing w:after="0" w:line="240" w:lineRule="auto"/>
              <w:jc w:val="center"/>
              <w:rPr>
                <w:rFonts w:ascii="Arial" w:eastAsia="Times New Roman" w:hAnsi="Arial" w:cs="Arial"/>
                <w:color w:val="000000"/>
                <w:sz w:val="20"/>
                <w:lang w:eastAsia="en-NZ"/>
              </w:rPr>
            </w:pPr>
            <w:r w:rsidRPr="00D5126A">
              <w:rPr>
                <w:rFonts w:ascii="Arial" w:eastAsia="Times New Roman" w:hAnsi="Arial" w:cs="Arial"/>
                <w:color w:val="000000"/>
                <w:sz w:val="20"/>
                <w:lang w:eastAsia="en-NZ"/>
              </w:rPr>
              <w:t>61yrs+</w:t>
            </w:r>
          </w:p>
        </w:tc>
        <w:tc>
          <w:tcPr>
            <w:tcW w:w="1446" w:type="dxa"/>
            <w:tcBorders>
              <w:top w:val="nil"/>
              <w:left w:val="nil"/>
              <w:bottom w:val="single" w:sz="4" w:space="0" w:color="4F81BD"/>
              <w:right w:val="single" w:sz="4" w:space="0" w:color="4F81BD"/>
            </w:tcBorders>
            <w:shd w:val="clear" w:color="auto" w:fill="auto"/>
            <w:noWrap/>
            <w:vAlign w:val="center"/>
            <w:hideMark/>
          </w:tcPr>
          <w:p w:rsidR="00107245" w:rsidRPr="00D5126A" w:rsidRDefault="00107245" w:rsidP="008D1C20">
            <w:pPr>
              <w:spacing w:after="0" w:line="240" w:lineRule="auto"/>
              <w:jc w:val="center"/>
              <w:rPr>
                <w:rFonts w:ascii="Arial" w:eastAsia="Times New Roman" w:hAnsi="Arial" w:cs="Arial"/>
                <w:color w:val="000000"/>
                <w:sz w:val="20"/>
                <w:lang w:eastAsia="en-NZ"/>
              </w:rPr>
            </w:pPr>
            <w:r w:rsidRPr="00D5126A">
              <w:rPr>
                <w:rFonts w:ascii="Arial" w:eastAsia="Times New Roman" w:hAnsi="Arial" w:cs="Arial"/>
                <w:color w:val="000000"/>
                <w:sz w:val="20"/>
                <w:lang w:eastAsia="en-NZ"/>
              </w:rPr>
              <w:t>72</w:t>
            </w:r>
          </w:p>
        </w:tc>
        <w:tc>
          <w:tcPr>
            <w:tcW w:w="1420" w:type="dxa"/>
            <w:tcBorders>
              <w:top w:val="nil"/>
              <w:left w:val="nil"/>
              <w:bottom w:val="single" w:sz="4" w:space="0" w:color="4F81BD"/>
              <w:right w:val="single" w:sz="4" w:space="0" w:color="4F81BD"/>
            </w:tcBorders>
            <w:shd w:val="clear" w:color="auto" w:fill="auto"/>
            <w:noWrap/>
            <w:vAlign w:val="center"/>
            <w:hideMark/>
          </w:tcPr>
          <w:p w:rsidR="00107245" w:rsidRPr="00D5126A" w:rsidRDefault="00107245" w:rsidP="008D1C20">
            <w:pPr>
              <w:spacing w:after="0" w:line="240" w:lineRule="auto"/>
              <w:jc w:val="center"/>
              <w:rPr>
                <w:rFonts w:ascii="Arial" w:eastAsia="Times New Roman" w:hAnsi="Arial" w:cs="Arial"/>
                <w:color w:val="000000"/>
                <w:sz w:val="20"/>
                <w:lang w:eastAsia="en-NZ"/>
              </w:rPr>
            </w:pPr>
            <w:r w:rsidRPr="00D5126A">
              <w:rPr>
                <w:rFonts w:ascii="Arial" w:eastAsia="Times New Roman" w:hAnsi="Arial" w:cs="Arial"/>
                <w:color w:val="000000"/>
                <w:sz w:val="20"/>
                <w:lang w:eastAsia="en-NZ"/>
              </w:rPr>
              <w:t>75</w:t>
            </w:r>
          </w:p>
        </w:tc>
        <w:tc>
          <w:tcPr>
            <w:tcW w:w="1420" w:type="dxa"/>
            <w:tcBorders>
              <w:top w:val="nil"/>
              <w:left w:val="nil"/>
              <w:bottom w:val="single" w:sz="4" w:space="0" w:color="4F81BD"/>
              <w:right w:val="single" w:sz="4" w:space="0" w:color="4F81BD"/>
            </w:tcBorders>
            <w:shd w:val="clear" w:color="auto" w:fill="auto"/>
            <w:noWrap/>
            <w:vAlign w:val="center"/>
            <w:hideMark/>
          </w:tcPr>
          <w:p w:rsidR="00107245" w:rsidRPr="00D5126A" w:rsidRDefault="00107245" w:rsidP="008D1C20">
            <w:pPr>
              <w:spacing w:after="0" w:line="240" w:lineRule="auto"/>
              <w:jc w:val="center"/>
              <w:rPr>
                <w:rFonts w:ascii="Arial" w:eastAsia="Times New Roman" w:hAnsi="Arial" w:cs="Arial"/>
                <w:color w:val="000000"/>
                <w:sz w:val="20"/>
                <w:lang w:eastAsia="en-NZ"/>
              </w:rPr>
            </w:pPr>
            <w:r w:rsidRPr="00D5126A">
              <w:rPr>
                <w:rFonts w:ascii="Arial" w:eastAsia="Times New Roman" w:hAnsi="Arial" w:cs="Arial"/>
                <w:color w:val="000000"/>
                <w:sz w:val="20"/>
                <w:lang w:eastAsia="en-NZ"/>
              </w:rPr>
              <w:t>147</w:t>
            </w:r>
          </w:p>
        </w:tc>
      </w:tr>
      <w:tr w:rsidR="00107245" w:rsidRPr="00D5126A" w:rsidTr="008D1C20">
        <w:trPr>
          <w:trHeight w:val="300"/>
        </w:trPr>
        <w:tc>
          <w:tcPr>
            <w:tcW w:w="2534" w:type="dxa"/>
            <w:tcBorders>
              <w:top w:val="nil"/>
              <w:left w:val="single" w:sz="4" w:space="0" w:color="4F81BD"/>
              <w:bottom w:val="single" w:sz="4" w:space="0" w:color="4F81BD"/>
              <w:right w:val="single" w:sz="4" w:space="0" w:color="4F81BD"/>
            </w:tcBorders>
            <w:shd w:val="clear" w:color="auto" w:fill="auto"/>
            <w:noWrap/>
            <w:vAlign w:val="bottom"/>
            <w:hideMark/>
          </w:tcPr>
          <w:p w:rsidR="00107245" w:rsidRPr="00D5126A" w:rsidRDefault="00107245" w:rsidP="008D1C20">
            <w:pPr>
              <w:spacing w:after="0" w:line="240" w:lineRule="auto"/>
              <w:jc w:val="center"/>
              <w:rPr>
                <w:rFonts w:ascii="Arial" w:eastAsia="Times New Roman" w:hAnsi="Arial" w:cs="Arial"/>
                <w:color w:val="000000"/>
                <w:sz w:val="20"/>
                <w:lang w:eastAsia="en-NZ"/>
              </w:rPr>
            </w:pPr>
            <w:r w:rsidRPr="00D5126A">
              <w:rPr>
                <w:rFonts w:ascii="Arial" w:eastAsia="Times New Roman" w:hAnsi="Arial" w:cs="Arial"/>
                <w:color w:val="000000"/>
                <w:sz w:val="20"/>
                <w:lang w:eastAsia="en-NZ"/>
              </w:rPr>
              <w:t>Grand Total</w:t>
            </w:r>
          </w:p>
        </w:tc>
        <w:tc>
          <w:tcPr>
            <w:tcW w:w="1446" w:type="dxa"/>
            <w:tcBorders>
              <w:top w:val="nil"/>
              <w:left w:val="nil"/>
              <w:bottom w:val="single" w:sz="4" w:space="0" w:color="4F81BD"/>
              <w:right w:val="single" w:sz="4" w:space="0" w:color="4F81BD"/>
            </w:tcBorders>
            <w:shd w:val="clear" w:color="auto" w:fill="auto"/>
            <w:noWrap/>
            <w:vAlign w:val="center"/>
            <w:hideMark/>
          </w:tcPr>
          <w:p w:rsidR="00107245" w:rsidRPr="00D5126A" w:rsidRDefault="00107245" w:rsidP="008D1C20">
            <w:pPr>
              <w:spacing w:after="0" w:line="240" w:lineRule="auto"/>
              <w:jc w:val="center"/>
              <w:rPr>
                <w:rFonts w:ascii="Arial" w:eastAsia="Times New Roman" w:hAnsi="Arial" w:cs="Arial"/>
                <w:color w:val="000000"/>
                <w:sz w:val="20"/>
                <w:lang w:eastAsia="en-NZ"/>
              </w:rPr>
            </w:pPr>
            <w:r w:rsidRPr="00D5126A">
              <w:rPr>
                <w:rFonts w:ascii="Arial" w:eastAsia="Times New Roman" w:hAnsi="Arial" w:cs="Arial"/>
                <w:color w:val="000000"/>
                <w:sz w:val="20"/>
                <w:lang w:eastAsia="en-NZ"/>
              </w:rPr>
              <w:t>1,000</w:t>
            </w:r>
          </w:p>
        </w:tc>
        <w:tc>
          <w:tcPr>
            <w:tcW w:w="1420" w:type="dxa"/>
            <w:tcBorders>
              <w:top w:val="nil"/>
              <w:left w:val="nil"/>
              <w:bottom w:val="single" w:sz="4" w:space="0" w:color="4F81BD"/>
              <w:right w:val="single" w:sz="4" w:space="0" w:color="4F81BD"/>
            </w:tcBorders>
            <w:shd w:val="clear" w:color="auto" w:fill="auto"/>
            <w:noWrap/>
            <w:vAlign w:val="center"/>
            <w:hideMark/>
          </w:tcPr>
          <w:p w:rsidR="00107245" w:rsidRPr="00D5126A" w:rsidRDefault="00107245" w:rsidP="008D1C20">
            <w:pPr>
              <w:spacing w:after="0" w:line="240" w:lineRule="auto"/>
              <w:jc w:val="center"/>
              <w:rPr>
                <w:rFonts w:ascii="Arial" w:eastAsia="Times New Roman" w:hAnsi="Arial" w:cs="Arial"/>
                <w:color w:val="000000"/>
                <w:sz w:val="20"/>
                <w:lang w:eastAsia="en-NZ"/>
              </w:rPr>
            </w:pPr>
            <w:r w:rsidRPr="00D5126A">
              <w:rPr>
                <w:rFonts w:ascii="Arial" w:eastAsia="Times New Roman" w:hAnsi="Arial" w:cs="Arial"/>
                <w:color w:val="000000"/>
                <w:sz w:val="20"/>
                <w:lang w:eastAsia="en-NZ"/>
              </w:rPr>
              <w:t>803</w:t>
            </w:r>
          </w:p>
        </w:tc>
        <w:tc>
          <w:tcPr>
            <w:tcW w:w="1420" w:type="dxa"/>
            <w:tcBorders>
              <w:top w:val="nil"/>
              <w:left w:val="nil"/>
              <w:bottom w:val="single" w:sz="4" w:space="0" w:color="4F81BD"/>
              <w:right w:val="single" w:sz="4" w:space="0" w:color="4F81BD"/>
            </w:tcBorders>
            <w:shd w:val="clear" w:color="auto" w:fill="auto"/>
            <w:noWrap/>
            <w:vAlign w:val="center"/>
            <w:hideMark/>
          </w:tcPr>
          <w:p w:rsidR="00107245" w:rsidRPr="00D5126A" w:rsidRDefault="00107245" w:rsidP="008D1C20">
            <w:pPr>
              <w:spacing w:after="0" w:line="240" w:lineRule="auto"/>
              <w:jc w:val="center"/>
              <w:rPr>
                <w:rFonts w:ascii="Arial" w:eastAsia="Times New Roman" w:hAnsi="Arial" w:cs="Arial"/>
                <w:color w:val="000000"/>
                <w:sz w:val="20"/>
                <w:lang w:eastAsia="en-NZ"/>
              </w:rPr>
            </w:pPr>
            <w:r w:rsidRPr="00D5126A">
              <w:rPr>
                <w:rFonts w:ascii="Arial" w:eastAsia="Times New Roman" w:hAnsi="Arial" w:cs="Arial"/>
                <w:color w:val="000000"/>
                <w:sz w:val="20"/>
                <w:lang w:eastAsia="en-NZ"/>
              </w:rPr>
              <w:t>1,803</w:t>
            </w:r>
          </w:p>
        </w:tc>
      </w:tr>
    </w:tbl>
    <w:p w:rsidR="00107245" w:rsidRPr="00D5126A" w:rsidRDefault="00107245" w:rsidP="00107245">
      <w:pPr>
        <w:pBdr>
          <w:top w:val="none" w:sz="8" w:space="0" w:color="auto"/>
          <w:left w:val="none" w:sz="8" w:space="0" w:color="auto"/>
          <w:bottom w:val="none" w:sz="8" w:space="0" w:color="auto"/>
          <w:right w:val="none" w:sz="8" w:space="0" w:color="auto"/>
        </w:pBdr>
        <w:spacing w:beforeLines="100" w:before="240" w:after="0" w:line="240" w:lineRule="auto"/>
        <w:rPr>
          <w:rFonts w:ascii="Arial" w:eastAsia="Times New Roman" w:hAnsi="Arial"/>
          <w:highlight w:val="magenta"/>
        </w:rPr>
      </w:pPr>
    </w:p>
    <w:p w:rsidR="00F93806" w:rsidRDefault="00F93806">
      <w:r>
        <w:br w:type="page"/>
      </w:r>
    </w:p>
    <w:tbl>
      <w:tblPr>
        <w:tblW w:w="6820" w:type="dxa"/>
        <w:tblInd w:w="93" w:type="dxa"/>
        <w:tblLook w:val="04A0" w:firstRow="1" w:lastRow="0" w:firstColumn="1" w:lastColumn="0" w:noHBand="0" w:noVBand="1"/>
      </w:tblPr>
      <w:tblGrid>
        <w:gridCol w:w="2784"/>
        <w:gridCol w:w="1196"/>
        <w:gridCol w:w="1420"/>
        <w:gridCol w:w="1420"/>
      </w:tblGrid>
      <w:tr w:rsidR="00107245" w:rsidRPr="00D5126A" w:rsidTr="008D1C20">
        <w:trPr>
          <w:trHeight w:val="315"/>
        </w:trPr>
        <w:tc>
          <w:tcPr>
            <w:tcW w:w="6820" w:type="dxa"/>
            <w:gridSpan w:val="4"/>
            <w:tcBorders>
              <w:top w:val="nil"/>
              <w:left w:val="nil"/>
              <w:bottom w:val="nil"/>
              <w:right w:val="nil"/>
            </w:tcBorders>
            <w:shd w:val="clear" w:color="auto" w:fill="auto"/>
            <w:noWrap/>
            <w:vAlign w:val="bottom"/>
            <w:hideMark/>
          </w:tcPr>
          <w:p w:rsidR="00107245" w:rsidRPr="00D5126A" w:rsidRDefault="00107245" w:rsidP="008D1C20">
            <w:pPr>
              <w:spacing w:after="0" w:line="240" w:lineRule="auto"/>
              <w:rPr>
                <w:rFonts w:ascii="Arial" w:eastAsia="Times New Roman" w:hAnsi="Arial" w:cs="Arial"/>
                <w:b/>
                <w:bCs/>
                <w:color w:val="000000"/>
                <w:szCs w:val="24"/>
                <w:lang w:eastAsia="en-NZ"/>
              </w:rPr>
            </w:pPr>
            <w:r w:rsidRPr="00D5126A">
              <w:rPr>
                <w:rFonts w:ascii="Arial" w:eastAsia="Times New Roman" w:hAnsi="Arial" w:cs="Arial"/>
                <w:b/>
                <w:bCs/>
                <w:color w:val="000000"/>
                <w:szCs w:val="24"/>
                <w:lang w:eastAsia="en-NZ"/>
              </w:rPr>
              <w:lastRenderedPageBreak/>
              <w:t>Breakdown by length of service (LOS)</w:t>
            </w:r>
          </w:p>
          <w:p w:rsidR="00107245" w:rsidRPr="00D5126A" w:rsidRDefault="00107245" w:rsidP="008D1C20">
            <w:pPr>
              <w:spacing w:after="0" w:line="240" w:lineRule="auto"/>
              <w:rPr>
                <w:rFonts w:ascii="Calibri" w:eastAsia="Times New Roman" w:hAnsi="Calibri" w:cs="Calibri"/>
                <w:color w:val="000000"/>
                <w:lang w:eastAsia="en-NZ"/>
              </w:rPr>
            </w:pPr>
          </w:p>
        </w:tc>
      </w:tr>
      <w:tr w:rsidR="00107245" w:rsidRPr="00D5126A" w:rsidTr="008D1C20">
        <w:trPr>
          <w:trHeight w:val="300"/>
        </w:trPr>
        <w:tc>
          <w:tcPr>
            <w:tcW w:w="2784" w:type="dxa"/>
            <w:tcBorders>
              <w:top w:val="single" w:sz="4" w:space="0" w:color="4F81BD"/>
              <w:left w:val="single" w:sz="4" w:space="0" w:color="4F81BD"/>
              <w:bottom w:val="single" w:sz="4" w:space="0" w:color="4F81BD"/>
              <w:right w:val="single" w:sz="4" w:space="0" w:color="4F81BD"/>
            </w:tcBorders>
            <w:shd w:val="clear" w:color="auto" w:fill="00B0F0"/>
            <w:noWrap/>
            <w:vAlign w:val="center"/>
            <w:hideMark/>
          </w:tcPr>
          <w:p w:rsidR="00107245" w:rsidRPr="00D5126A" w:rsidRDefault="00107245" w:rsidP="008D1C20">
            <w:pPr>
              <w:spacing w:after="0" w:line="240" w:lineRule="auto"/>
              <w:jc w:val="center"/>
              <w:rPr>
                <w:rFonts w:ascii="Arial" w:eastAsia="Times New Roman" w:hAnsi="Arial" w:cs="Arial"/>
                <w:b/>
                <w:color w:val="FFFFFF"/>
                <w:sz w:val="20"/>
                <w:szCs w:val="20"/>
                <w:lang w:eastAsia="en-NZ"/>
              </w:rPr>
            </w:pPr>
            <w:r w:rsidRPr="00D5126A">
              <w:rPr>
                <w:rFonts w:ascii="Arial" w:eastAsia="Times New Roman" w:hAnsi="Arial" w:cs="Arial"/>
                <w:b/>
                <w:color w:val="FFFFFF"/>
                <w:sz w:val="20"/>
                <w:szCs w:val="20"/>
                <w:lang w:eastAsia="en-NZ"/>
              </w:rPr>
              <w:t>LOS (years)</w:t>
            </w:r>
          </w:p>
        </w:tc>
        <w:tc>
          <w:tcPr>
            <w:tcW w:w="1196" w:type="dxa"/>
            <w:tcBorders>
              <w:top w:val="single" w:sz="4" w:space="0" w:color="4F81BD"/>
              <w:left w:val="nil"/>
              <w:bottom w:val="single" w:sz="4" w:space="0" w:color="4F81BD"/>
              <w:right w:val="single" w:sz="4" w:space="0" w:color="4F81BD"/>
            </w:tcBorders>
            <w:shd w:val="clear" w:color="auto" w:fill="00B0F0"/>
            <w:noWrap/>
            <w:vAlign w:val="center"/>
            <w:hideMark/>
          </w:tcPr>
          <w:p w:rsidR="00107245" w:rsidRPr="00D5126A" w:rsidRDefault="00107245" w:rsidP="008D1C20">
            <w:pPr>
              <w:spacing w:after="0" w:line="240" w:lineRule="auto"/>
              <w:jc w:val="center"/>
              <w:rPr>
                <w:rFonts w:ascii="Arial" w:eastAsia="Times New Roman" w:hAnsi="Arial" w:cs="Arial"/>
                <w:b/>
                <w:color w:val="FFFFFF"/>
                <w:sz w:val="20"/>
                <w:szCs w:val="20"/>
                <w:lang w:eastAsia="en-NZ"/>
              </w:rPr>
            </w:pPr>
            <w:r w:rsidRPr="00D5126A">
              <w:rPr>
                <w:rFonts w:ascii="Arial" w:eastAsia="Times New Roman" w:hAnsi="Arial" w:cs="Arial"/>
                <w:b/>
                <w:color w:val="FFFFFF"/>
                <w:sz w:val="20"/>
                <w:szCs w:val="20"/>
                <w:lang w:eastAsia="en-NZ"/>
              </w:rPr>
              <w:t>Female</w:t>
            </w:r>
          </w:p>
        </w:tc>
        <w:tc>
          <w:tcPr>
            <w:tcW w:w="1420" w:type="dxa"/>
            <w:tcBorders>
              <w:top w:val="single" w:sz="4" w:space="0" w:color="4F81BD"/>
              <w:left w:val="nil"/>
              <w:bottom w:val="single" w:sz="4" w:space="0" w:color="4F81BD"/>
              <w:right w:val="single" w:sz="4" w:space="0" w:color="4F81BD"/>
            </w:tcBorders>
            <w:shd w:val="clear" w:color="auto" w:fill="00B0F0"/>
            <w:noWrap/>
            <w:vAlign w:val="center"/>
            <w:hideMark/>
          </w:tcPr>
          <w:p w:rsidR="00107245" w:rsidRPr="00D5126A" w:rsidRDefault="00107245" w:rsidP="008D1C20">
            <w:pPr>
              <w:spacing w:after="0" w:line="240" w:lineRule="auto"/>
              <w:jc w:val="center"/>
              <w:rPr>
                <w:rFonts w:ascii="Arial" w:eastAsia="Times New Roman" w:hAnsi="Arial" w:cs="Arial"/>
                <w:b/>
                <w:color w:val="FFFFFF"/>
                <w:sz w:val="20"/>
                <w:szCs w:val="20"/>
                <w:lang w:eastAsia="en-NZ"/>
              </w:rPr>
            </w:pPr>
            <w:r w:rsidRPr="00D5126A">
              <w:rPr>
                <w:rFonts w:ascii="Arial" w:eastAsia="Times New Roman" w:hAnsi="Arial" w:cs="Arial"/>
                <w:b/>
                <w:color w:val="FFFFFF"/>
                <w:sz w:val="20"/>
                <w:szCs w:val="20"/>
                <w:lang w:eastAsia="en-NZ"/>
              </w:rPr>
              <w:t>Male</w:t>
            </w:r>
          </w:p>
        </w:tc>
        <w:tc>
          <w:tcPr>
            <w:tcW w:w="1420" w:type="dxa"/>
            <w:tcBorders>
              <w:top w:val="single" w:sz="4" w:space="0" w:color="4F81BD"/>
              <w:left w:val="nil"/>
              <w:bottom w:val="single" w:sz="4" w:space="0" w:color="4F81BD"/>
              <w:right w:val="single" w:sz="4" w:space="0" w:color="4F81BD"/>
            </w:tcBorders>
            <w:shd w:val="clear" w:color="auto" w:fill="00B0F0"/>
            <w:noWrap/>
            <w:vAlign w:val="center"/>
            <w:hideMark/>
          </w:tcPr>
          <w:p w:rsidR="00107245" w:rsidRPr="00D5126A" w:rsidRDefault="00107245" w:rsidP="008D1C20">
            <w:pPr>
              <w:spacing w:after="0" w:line="240" w:lineRule="auto"/>
              <w:jc w:val="center"/>
              <w:rPr>
                <w:rFonts w:ascii="Arial" w:eastAsia="Times New Roman" w:hAnsi="Arial" w:cs="Arial"/>
                <w:b/>
                <w:color w:val="FFFFFF"/>
                <w:sz w:val="20"/>
                <w:szCs w:val="20"/>
                <w:lang w:eastAsia="en-NZ"/>
              </w:rPr>
            </w:pPr>
            <w:r w:rsidRPr="00D5126A">
              <w:rPr>
                <w:rFonts w:ascii="Arial" w:eastAsia="Times New Roman" w:hAnsi="Arial" w:cs="Arial"/>
                <w:b/>
                <w:color w:val="FFFFFF"/>
                <w:sz w:val="20"/>
                <w:szCs w:val="20"/>
                <w:lang w:eastAsia="en-NZ"/>
              </w:rPr>
              <w:t>Grand Total</w:t>
            </w:r>
          </w:p>
        </w:tc>
      </w:tr>
      <w:tr w:rsidR="00107245" w:rsidRPr="00D5126A" w:rsidTr="008D1C20">
        <w:trPr>
          <w:trHeight w:val="300"/>
        </w:trPr>
        <w:tc>
          <w:tcPr>
            <w:tcW w:w="2784" w:type="dxa"/>
            <w:tcBorders>
              <w:top w:val="nil"/>
              <w:left w:val="single" w:sz="4" w:space="0" w:color="4F81BD"/>
              <w:bottom w:val="single" w:sz="4" w:space="0" w:color="4F81BD"/>
              <w:right w:val="single" w:sz="4" w:space="0" w:color="4F81BD"/>
            </w:tcBorders>
            <w:shd w:val="clear" w:color="auto" w:fill="auto"/>
            <w:noWrap/>
            <w:vAlign w:val="bottom"/>
            <w:hideMark/>
          </w:tcPr>
          <w:p w:rsidR="00107245" w:rsidRPr="00D5126A" w:rsidRDefault="00107245" w:rsidP="008D1C20">
            <w:pPr>
              <w:spacing w:after="0" w:line="240" w:lineRule="auto"/>
              <w:jc w:val="center"/>
              <w:rPr>
                <w:rFonts w:ascii="Arial" w:eastAsia="Times New Roman" w:hAnsi="Arial" w:cs="Arial"/>
                <w:color w:val="000000"/>
                <w:sz w:val="20"/>
                <w:lang w:eastAsia="en-NZ"/>
              </w:rPr>
            </w:pPr>
            <w:r w:rsidRPr="00D5126A">
              <w:rPr>
                <w:rFonts w:ascii="Arial" w:eastAsia="Times New Roman" w:hAnsi="Arial" w:cs="Arial"/>
                <w:color w:val="000000"/>
                <w:sz w:val="20"/>
                <w:lang w:eastAsia="en-NZ"/>
              </w:rPr>
              <w:t>0 - 1 yr</w:t>
            </w:r>
          </w:p>
        </w:tc>
        <w:tc>
          <w:tcPr>
            <w:tcW w:w="1196" w:type="dxa"/>
            <w:tcBorders>
              <w:top w:val="nil"/>
              <w:left w:val="nil"/>
              <w:bottom w:val="single" w:sz="4" w:space="0" w:color="4F81BD"/>
              <w:right w:val="single" w:sz="4" w:space="0" w:color="4F81BD"/>
            </w:tcBorders>
            <w:shd w:val="clear" w:color="auto" w:fill="auto"/>
            <w:noWrap/>
            <w:vAlign w:val="center"/>
            <w:hideMark/>
          </w:tcPr>
          <w:p w:rsidR="00107245" w:rsidRPr="00D5126A" w:rsidRDefault="00107245" w:rsidP="008D1C20">
            <w:pPr>
              <w:spacing w:after="0" w:line="240" w:lineRule="auto"/>
              <w:jc w:val="center"/>
              <w:rPr>
                <w:rFonts w:ascii="Arial" w:eastAsia="Times New Roman" w:hAnsi="Arial" w:cs="Arial"/>
                <w:color w:val="000000"/>
                <w:sz w:val="20"/>
                <w:lang w:eastAsia="en-NZ"/>
              </w:rPr>
            </w:pPr>
            <w:r w:rsidRPr="00D5126A">
              <w:rPr>
                <w:rFonts w:ascii="Arial" w:eastAsia="Times New Roman" w:hAnsi="Arial" w:cs="Arial"/>
                <w:color w:val="000000"/>
                <w:sz w:val="20"/>
                <w:lang w:eastAsia="en-NZ"/>
              </w:rPr>
              <w:t>258</w:t>
            </w:r>
          </w:p>
        </w:tc>
        <w:tc>
          <w:tcPr>
            <w:tcW w:w="1420" w:type="dxa"/>
            <w:tcBorders>
              <w:top w:val="nil"/>
              <w:left w:val="nil"/>
              <w:bottom w:val="single" w:sz="4" w:space="0" w:color="4F81BD"/>
              <w:right w:val="single" w:sz="4" w:space="0" w:color="4F81BD"/>
            </w:tcBorders>
            <w:shd w:val="clear" w:color="auto" w:fill="auto"/>
            <w:noWrap/>
            <w:vAlign w:val="center"/>
            <w:hideMark/>
          </w:tcPr>
          <w:p w:rsidR="00107245" w:rsidRPr="00D5126A" w:rsidRDefault="00107245" w:rsidP="008D1C20">
            <w:pPr>
              <w:spacing w:after="0" w:line="240" w:lineRule="auto"/>
              <w:jc w:val="center"/>
              <w:rPr>
                <w:rFonts w:ascii="Arial" w:eastAsia="Times New Roman" w:hAnsi="Arial" w:cs="Arial"/>
                <w:color w:val="000000"/>
                <w:sz w:val="20"/>
                <w:lang w:eastAsia="en-NZ"/>
              </w:rPr>
            </w:pPr>
            <w:r w:rsidRPr="00D5126A">
              <w:rPr>
                <w:rFonts w:ascii="Arial" w:eastAsia="Times New Roman" w:hAnsi="Arial" w:cs="Arial"/>
                <w:color w:val="000000"/>
                <w:sz w:val="20"/>
                <w:lang w:eastAsia="en-NZ"/>
              </w:rPr>
              <w:t>167</w:t>
            </w:r>
          </w:p>
        </w:tc>
        <w:tc>
          <w:tcPr>
            <w:tcW w:w="1420" w:type="dxa"/>
            <w:tcBorders>
              <w:top w:val="nil"/>
              <w:left w:val="nil"/>
              <w:bottom w:val="single" w:sz="4" w:space="0" w:color="4F81BD"/>
              <w:right w:val="single" w:sz="4" w:space="0" w:color="4F81BD"/>
            </w:tcBorders>
            <w:shd w:val="clear" w:color="auto" w:fill="auto"/>
            <w:noWrap/>
            <w:vAlign w:val="center"/>
            <w:hideMark/>
          </w:tcPr>
          <w:p w:rsidR="00107245" w:rsidRPr="00D5126A" w:rsidRDefault="00107245" w:rsidP="008D1C20">
            <w:pPr>
              <w:spacing w:after="0" w:line="240" w:lineRule="auto"/>
              <w:jc w:val="center"/>
              <w:rPr>
                <w:rFonts w:ascii="Arial" w:eastAsia="Times New Roman" w:hAnsi="Arial" w:cs="Arial"/>
                <w:color w:val="000000"/>
                <w:sz w:val="20"/>
                <w:lang w:eastAsia="en-NZ"/>
              </w:rPr>
            </w:pPr>
            <w:r w:rsidRPr="00D5126A">
              <w:rPr>
                <w:rFonts w:ascii="Arial" w:eastAsia="Times New Roman" w:hAnsi="Arial" w:cs="Arial"/>
                <w:color w:val="000000"/>
                <w:sz w:val="20"/>
                <w:lang w:eastAsia="en-NZ"/>
              </w:rPr>
              <w:t>425</w:t>
            </w:r>
          </w:p>
        </w:tc>
      </w:tr>
      <w:tr w:rsidR="00107245" w:rsidRPr="00D5126A" w:rsidTr="008D1C20">
        <w:trPr>
          <w:trHeight w:val="300"/>
        </w:trPr>
        <w:tc>
          <w:tcPr>
            <w:tcW w:w="2784" w:type="dxa"/>
            <w:tcBorders>
              <w:top w:val="nil"/>
              <w:left w:val="single" w:sz="4" w:space="0" w:color="4F81BD"/>
              <w:bottom w:val="single" w:sz="4" w:space="0" w:color="4F81BD"/>
              <w:right w:val="single" w:sz="4" w:space="0" w:color="4F81BD"/>
            </w:tcBorders>
            <w:shd w:val="clear" w:color="auto" w:fill="auto"/>
            <w:noWrap/>
            <w:vAlign w:val="bottom"/>
            <w:hideMark/>
          </w:tcPr>
          <w:p w:rsidR="00107245" w:rsidRPr="00D5126A" w:rsidRDefault="00107245" w:rsidP="008D1C20">
            <w:pPr>
              <w:spacing w:after="0" w:line="240" w:lineRule="auto"/>
              <w:jc w:val="center"/>
              <w:rPr>
                <w:rFonts w:ascii="Arial" w:eastAsia="Times New Roman" w:hAnsi="Arial" w:cs="Arial"/>
                <w:color w:val="000000"/>
                <w:sz w:val="20"/>
                <w:lang w:eastAsia="en-NZ"/>
              </w:rPr>
            </w:pPr>
            <w:r w:rsidRPr="00D5126A">
              <w:rPr>
                <w:rFonts w:ascii="Arial" w:eastAsia="Times New Roman" w:hAnsi="Arial" w:cs="Arial"/>
                <w:color w:val="000000"/>
                <w:sz w:val="20"/>
                <w:lang w:eastAsia="en-NZ"/>
              </w:rPr>
              <w:t>1 - 2 yrs</w:t>
            </w:r>
          </w:p>
        </w:tc>
        <w:tc>
          <w:tcPr>
            <w:tcW w:w="1196" w:type="dxa"/>
            <w:tcBorders>
              <w:top w:val="nil"/>
              <w:left w:val="nil"/>
              <w:bottom w:val="single" w:sz="4" w:space="0" w:color="4F81BD"/>
              <w:right w:val="single" w:sz="4" w:space="0" w:color="4F81BD"/>
            </w:tcBorders>
            <w:shd w:val="clear" w:color="auto" w:fill="auto"/>
            <w:noWrap/>
            <w:vAlign w:val="center"/>
            <w:hideMark/>
          </w:tcPr>
          <w:p w:rsidR="00107245" w:rsidRPr="00D5126A" w:rsidRDefault="00107245" w:rsidP="008D1C20">
            <w:pPr>
              <w:spacing w:after="0" w:line="240" w:lineRule="auto"/>
              <w:jc w:val="center"/>
              <w:rPr>
                <w:rFonts w:ascii="Arial" w:eastAsia="Times New Roman" w:hAnsi="Arial" w:cs="Arial"/>
                <w:color w:val="000000"/>
                <w:sz w:val="20"/>
                <w:lang w:eastAsia="en-NZ"/>
              </w:rPr>
            </w:pPr>
            <w:r w:rsidRPr="00D5126A">
              <w:rPr>
                <w:rFonts w:ascii="Arial" w:eastAsia="Times New Roman" w:hAnsi="Arial" w:cs="Arial"/>
                <w:color w:val="000000"/>
                <w:sz w:val="20"/>
                <w:lang w:eastAsia="en-NZ"/>
              </w:rPr>
              <w:t>180</w:t>
            </w:r>
          </w:p>
        </w:tc>
        <w:tc>
          <w:tcPr>
            <w:tcW w:w="1420" w:type="dxa"/>
            <w:tcBorders>
              <w:top w:val="nil"/>
              <w:left w:val="nil"/>
              <w:bottom w:val="single" w:sz="4" w:space="0" w:color="4F81BD"/>
              <w:right w:val="single" w:sz="4" w:space="0" w:color="4F81BD"/>
            </w:tcBorders>
            <w:shd w:val="clear" w:color="auto" w:fill="auto"/>
            <w:noWrap/>
            <w:vAlign w:val="center"/>
            <w:hideMark/>
          </w:tcPr>
          <w:p w:rsidR="00107245" w:rsidRPr="00D5126A" w:rsidRDefault="00107245" w:rsidP="008D1C20">
            <w:pPr>
              <w:spacing w:after="0" w:line="240" w:lineRule="auto"/>
              <w:jc w:val="center"/>
              <w:rPr>
                <w:rFonts w:ascii="Arial" w:eastAsia="Times New Roman" w:hAnsi="Arial" w:cs="Arial"/>
                <w:color w:val="000000"/>
                <w:sz w:val="20"/>
                <w:lang w:eastAsia="en-NZ"/>
              </w:rPr>
            </w:pPr>
            <w:r w:rsidRPr="00D5126A">
              <w:rPr>
                <w:rFonts w:ascii="Arial" w:eastAsia="Times New Roman" w:hAnsi="Arial" w:cs="Arial"/>
                <w:color w:val="000000"/>
                <w:sz w:val="20"/>
                <w:lang w:eastAsia="en-NZ"/>
              </w:rPr>
              <w:t>119</w:t>
            </w:r>
          </w:p>
        </w:tc>
        <w:tc>
          <w:tcPr>
            <w:tcW w:w="1420" w:type="dxa"/>
            <w:tcBorders>
              <w:top w:val="nil"/>
              <w:left w:val="nil"/>
              <w:bottom w:val="single" w:sz="4" w:space="0" w:color="4F81BD"/>
              <w:right w:val="single" w:sz="4" w:space="0" w:color="4F81BD"/>
            </w:tcBorders>
            <w:shd w:val="clear" w:color="auto" w:fill="auto"/>
            <w:noWrap/>
            <w:vAlign w:val="center"/>
            <w:hideMark/>
          </w:tcPr>
          <w:p w:rsidR="00107245" w:rsidRPr="00D5126A" w:rsidRDefault="00107245" w:rsidP="008D1C20">
            <w:pPr>
              <w:spacing w:after="0" w:line="240" w:lineRule="auto"/>
              <w:jc w:val="center"/>
              <w:rPr>
                <w:rFonts w:ascii="Arial" w:eastAsia="Times New Roman" w:hAnsi="Arial" w:cs="Arial"/>
                <w:color w:val="000000"/>
                <w:sz w:val="20"/>
                <w:lang w:eastAsia="en-NZ"/>
              </w:rPr>
            </w:pPr>
            <w:r w:rsidRPr="00D5126A">
              <w:rPr>
                <w:rFonts w:ascii="Arial" w:eastAsia="Times New Roman" w:hAnsi="Arial" w:cs="Arial"/>
                <w:color w:val="000000"/>
                <w:sz w:val="20"/>
                <w:lang w:eastAsia="en-NZ"/>
              </w:rPr>
              <w:t>299</w:t>
            </w:r>
          </w:p>
        </w:tc>
      </w:tr>
      <w:tr w:rsidR="00107245" w:rsidRPr="00D5126A" w:rsidTr="008D1C20">
        <w:trPr>
          <w:trHeight w:val="300"/>
        </w:trPr>
        <w:tc>
          <w:tcPr>
            <w:tcW w:w="2784" w:type="dxa"/>
            <w:tcBorders>
              <w:top w:val="nil"/>
              <w:left w:val="single" w:sz="4" w:space="0" w:color="4F81BD"/>
              <w:bottom w:val="single" w:sz="4" w:space="0" w:color="4F81BD"/>
              <w:right w:val="single" w:sz="4" w:space="0" w:color="4F81BD"/>
            </w:tcBorders>
            <w:shd w:val="clear" w:color="auto" w:fill="auto"/>
            <w:noWrap/>
            <w:vAlign w:val="bottom"/>
            <w:hideMark/>
          </w:tcPr>
          <w:p w:rsidR="00107245" w:rsidRPr="00D5126A" w:rsidRDefault="00107245" w:rsidP="008D1C20">
            <w:pPr>
              <w:spacing w:after="0" w:line="240" w:lineRule="auto"/>
              <w:jc w:val="center"/>
              <w:rPr>
                <w:rFonts w:ascii="Arial" w:eastAsia="Times New Roman" w:hAnsi="Arial" w:cs="Arial"/>
                <w:color w:val="000000"/>
                <w:sz w:val="20"/>
                <w:lang w:eastAsia="en-NZ"/>
              </w:rPr>
            </w:pPr>
            <w:r w:rsidRPr="00D5126A">
              <w:rPr>
                <w:rFonts w:ascii="Arial" w:eastAsia="Times New Roman" w:hAnsi="Arial" w:cs="Arial"/>
                <w:color w:val="000000"/>
                <w:sz w:val="20"/>
                <w:lang w:eastAsia="en-NZ"/>
              </w:rPr>
              <w:t>2 - 5 yrs</w:t>
            </w:r>
          </w:p>
        </w:tc>
        <w:tc>
          <w:tcPr>
            <w:tcW w:w="1196" w:type="dxa"/>
            <w:tcBorders>
              <w:top w:val="nil"/>
              <w:left w:val="nil"/>
              <w:bottom w:val="single" w:sz="4" w:space="0" w:color="4F81BD"/>
              <w:right w:val="single" w:sz="4" w:space="0" w:color="4F81BD"/>
            </w:tcBorders>
            <w:shd w:val="clear" w:color="auto" w:fill="auto"/>
            <w:noWrap/>
            <w:vAlign w:val="center"/>
            <w:hideMark/>
          </w:tcPr>
          <w:p w:rsidR="00107245" w:rsidRPr="00D5126A" w:rsidRDefault="00107245" w:rsidP="008D1C20">
            <w:pPr>
              <w:spacing w:after="0" w:line="240" w:lineRule="auto"/>
              <w:jc w:val="center"/>
              <w:rPr>
                <w:rFonts w:ascii="Arial" w:eastAsia="Times New Roman" w:hAnsi="Arial" w:cs="Arial"/>
                <w:color w:val="000000"/>
                <w:sz w:val="20"/>
                <w:lang w:eastAsia="en-NZ"/>
              </w:rPr>
            </w:pPr>
            <w:r w:rsidRPr="00D5126A">
              <w:rPr>
                <w:rFonts w:ascii="Arial" w:eastAsia="Times New Roman" w:hAnsi="Arial" w:cs="Arial"/>
                <w:color w:val="000000"/>
                <w:sz w:val="20"/>
                <w:lang w:eastAsia="en-NZ"/>
              </w:rPr>
              <w:t>239</w:t>
            </w:r>
          </w:p>
        </w:tc>
        <w:tc>
          <w:tcPr>
            <w:tcW w:w="1420" w:type="dxa"/>
            <w:tcBorders>
              <w:top w:val="nil"/>
              <w:left w:val="nil"/>
              <w:bottom w:val="single" w:sz="4" w:space="0" w:color="4F81BD"/>
              <w:right w:val="single" w:sz="4" w:space="0" w:color="4F81BD"/>
            </w:tcBorders>
            <w:shd w:val="clear" w:color="auto" w:fill="auto"/>
            <w:noWrap/>
            <w:vAlign w:val="center"/>
            <w:hideMark/>
          </w:tcPr>
          <w:p w:rsidR="00107245" w:rsidRPr="00D5126A" w:rsidRDefault="00107245" w:rsidP="008D1C20">
            <w:pPr>
              <w:spacing w:after="0" w:line="240" w:lineRule="auto"/>
              <w:jc w:val="center"/>
              <w:rPr>
                <w:rFonts w:ascii="Arial" w:eastAsia="Times New Roman" w:hAnsi="Arial" w:cs="Arial"/>
                <w:color w:val="000000"/>
                <w:sz w:val="20"/>
                <w:lang w:eastAsia="en-NZ"/>
              </w:rPr>
            </w:pPr>
            <w:r w:rsidRPr="00D5126A">
              <w:rPr>
                <w:rFonts w:ascii="Arial" w:eastAsia="Times New Roman" w:hAnsi="Arial" w:cs="Arial"/>
                <w:color w:val="000000"/>
                <w:sz w:val="20"/>
                <w:lang w:eastAsia="en-NZ"/>
              </w:rPr>
              <w:t>213</w:t>
            </w:r>
          </w:p>
        </w:tc>
        <w:tc>
          <w:tcPr>
            <w:tcW w:w="1420" w:type="dxa"/>
            <w:tcBorders>
              <w:top w:val="nil"/>
              <w:left w:val="nil"/>
              <w:bottom w:val="single" w:sz="4" w:space="0" w:color="4F81BD"/>
              <w:right w:val="single" w:sz="4" w:space="0" w:color="4F81BD"/>
            </w:tcBorders>
            <w:shd w:val="clear" w:color="auto" w:fill="auto"/>
            <w:noWrap/>
            <w:vAlign w:val="center"/>
            <w:hideMark/>
          </w:tcPr>
          <w:p w:rsidR="00107245" w:rsidRPr="00D5126A" w:rsidRDefault="00107245" w:rsidP="008D1C20">
            <w:pPr>
              <w:spacing w:after="0" w:line="240" w:lineRule="auto"/>
              <w:jc w:val="center"/>
              <w:rPr>
                <w:rFonts w:ascii="Arial" w:eastAsia="Times New Roman" w:hAnsi="Arial" w:cs="Arial"/>
                <w:color w:val="000000"/>
                <w:sz w:val="20"/>
                <w:lang w:eastAsia="en-NZ"/>
              </w:rPr>
            </w:pPr>
            <w:r w:rsidRPr="00D5126A">
              <w:rPr>
                <w:rFonts w:ascii="Arial" w:eastAsia="Times New Roman" w:hAnsi="Arial" w:cs="Arial"/>
                <w:color w:val="000000"/>
                <w:sz w:val="20"/>
                <w:lang w:eastAsia="en-NZ"/>
              </w:rPr>
              <w:t>452</w:t>
            </w:r>
          </w:p>
        </w:tc>
      </w:tr>
      <w:tr w:rsidR="00107245" w:rsidRPr="00D5126A" w:rsidTr="008D1C20">
        <w:trPr>
          <w:trHeight w:val="300"/>
        </w:trPr>
        <w:tc>
          <w:tcPr>
            <w:tcW w:w="2784" w:type="dxa"/>
            <w:tcBorders>
              <w:top w:val="nil"/>
              <w:left w:val="single" w:sz="4" w:space="0" w:color="4F81BD"/>
              <w:bottom w:val="single" w:sz="4" w:space="0" w:color="4F81BD"/>
              <w:right w:val="single" w:sz="4" w:space="0" w:color="4F81BD"/>
            </w:tcBorders>
            <w:shd w:val="clear" w:color="auto" w:fill="auto"/>
            <w:noWrap/>
            <w:vAlign w:val="bottom"/>
            <w:hideMark/>
          </w:tcPr>
          <w:p w:rsidR="00107245" w:rsidRPr="00D5126A" w:rsidRDefault="00107245" w:rsidP="008D1C20">
            <w:pPr>
              <w:spacing w:after="0" w:line="240" w:lineRule="auto"/>
              <w:jc w:val="center"/>
              <w:rPr>
                <w:rFonts w:ascii="Arial" w:eastAsia="Times New Roman" w:hAnsi="Arial" w:cs="Arial"/>
                <w:color w:val="000000"/>
                <w:sz w:val="20"/>
                <w:lang w:eastAsia="en-NZ"/>
              </w:rPr>
            </w:pPr>
            <w:r w:rsidRPr="00D5126A">
              <w:rPr>
                <w:rFonts w:ascii="Arial" w:eastAsia="Times New Roman" w:hAnsi="Arial" w:cs="Arial"/>
                <w:color w:val="000000"/>
                <w:sz w:val="20"/>
                <w:lang w:eastAsia="en-NZ"/>
              </w:rPr>
              <w:t>Over 5 yrs</w:t>
            </w:r>
          </w:p>
        </w:tc>
        <w:tc>
          <w:tcPr>
            <w:tcW w:w="1196" w:type="dxa"/>
            <w:tcBorders>
              <w:top w:val="nil"/>
              <w:left w:val="nil"/>
              <w:bottom w:val="single" w:sz="4" w:space="0" w:color="4F81BD"/>
              <w:right w:val="single" w:sz="4" w:space="0" w:color="4F81BD"/>
            </w:tcBorders>
            <w:shd w:val="clear" w:color="auto" w:fill="auto"/>
            <w:noWrap/>
            <w:vAlign w:val="center"/>
            <w:hideMark/>
          </w:tcPr>
          <w:p w:rsidR="00107245" w:rsidRPr="00D5126A" w:rsidRDefault="00107245" w:rsidP="008D1C20">
            <w:pPr>
              <w:spacing w:after="0" w:line="240" w:lineRule="auto"/>
              <w:jc w:val="center"/>
              <w:rPr>
                <w:rFonts w:ascii="Arial" w:eastAsia="Times New Roman" w:hAnsi="Arial" w:cs="Arial"/>
                <w:color w:val="000000"/>
                <w:sz w:val="20"/>
                <w:lang w:eastAsia="en-NZ"/>
              </w:rPr>
            </w:pPr>
            <w:r w:rsidRPr="00D5126A">
              <w:rPr>
                <w:rFonts w:ascii="Arial" w:eastAsia="Times New Roman" w:hAnsi="Arial" w:cs="Arial"/>
                <w:color w:val="000000"/>
                <w:sz w:val="20"/>
                <w:lang w:eastAsia="en-NZ"/>
              </w:rPr>
              <w:t>323</w:t>
            </w:r>
          </w:p>
        </w:tc>
        <w:tc>
          <w:tcPr>
            <w:tcW w:w="1420" w:type="dxa"/>
            <w:tcBorders>
              <w:top w:val="nil"/>
              <w:left w:val="nil"/>
              <w:bottom w:val="single" w:sz="4" w:space="0" w:color="4F81BD"/>
              <w:right w:val="single" w:sz="4" w:space="0" w:color="4F81BD"/>
            </w:tcBorders>
            <w:shd w:val="clear" w:color="auto" w:fill="auto"/>
            <w:noWrap/>
            <w:vAlign w:val="center"/>
            <w:hideMark/>
          </w:tcPr>
          <w:p w:rsidR="00107245" w:rsidRPr="00D5126A" w:rsidRDefault="00107245" w:rsidP="008D1C20">
            <w:pPr>
              <w:spacing w:after="0" w:line="240" w:lineRule="auto"/>
              <w:jc w:val="center"/>
              <w:rPr>
                <w:rFonts w:ascii="Arial" w:eastAsia="Times New Roman" w:hAnsi="Arial" w:cs="Arial"/>
                <w:color w:val="000000"/>
                <w:sz w:val="20"/>
                <w:lang w:eastAsia="en-NZ"/>
              </w:rPr>
            </w:pPr>
            <w:r w:rsidRPr="00D5126A">
              <w:rPr>
                <w:rFonts w:ascii="Arial" w:eastAsia="Times New Roman" w:hAnsi="Arial" w:cs="Arial"/>
                <w:color w:val="000000"/>
                <w:sz w:val="20"/>
                <w:lang w:eastAsia="en-NZ"/>
              </w:rPr>
              <w:t>304</w:t>
            </w:r>
          </w:p>
        </w:tc>
        <w:tc>
          <w:tcPr>
            <w:tcW w:w="1420" w:type="dxa"/>
            <w:tcBorders>
              <w:top w:val="nil"/>
              <w:left w:val="nil"/>
              <w:bottom w:val="single" w:sz="4" w:space="0" w:color="4F81BD"/>
              <w:right w:val="single" w:sz="4" w:space="0" w:color="4F81BD"/>
            </w:tcBorders>
            <w:shd w:val="clear" w:color="auto" w:fill="auto"/>
            <w:noWrap/>
            <w:vAlign w:val="center"/>
            <w:hideMark/>
          </w:tcPr>
          <w:p w:rsidR="00107245" w:rsidRPr="00D5126A" w:rsidRDefault="00107245" w:rsidP="008D1C20">
            <w:pPr>
              <w:spacing w:after="0" w:line="240" w:lineRule="auto"/>
              <w:jc w:val="center"/>
              <w:rPr>
                <w:rFonts w:ascii="Arial" w:eastAsia="Times New Roman" w:hAnsi="Arial" w:cs="Arial"/>
                <w:color w:val="000000"/>
                <w:sz w:val="20"/>
                <w:lang w:eastAsia="en-NZ"/>
              </w:rPr>
            </w:pPr>
            <w:r w:rsidRPr="00D5126A">
              <w:rPr>
                <w:rFonts w:ascii="Arial" w:eastAsia="Times New Roman" w:hAnsi="Arial" w:cs="Arial"/>
                <w:color w:val="000000"/>
                <w:sz w:val="20"/>
                <w:lang w:eastAsia="en-NZ"/>
              </w:rPr>
              <w:t>627</w:t>
            </w:r>
          </w:p>
        </w:tc>
      </w:tr>
      <w:tr w:rsidR="00107245" w:rsidRPr="00D5126A" w:rsidTr="008D1C20">
        <w:trPr>
          <w:trHeight w:val="300"/>
        </w:trPr>
        <w:tc>
          <w:tcPr>
            <w:tcW w:w="2784" w:type="dxa"/>
            <w:tcBorders>
              <w:top w:val="nil"/>
              <w:left w:val="single" w:sz="4" w:space="0" w:color="4F81BD"/>
              <w:bottom w:val="single" w:sz="4" w:space="0" w:color="4F81BD"/>
              <w:right w:val="single" w:sz="4" w:space="0" w:color="4F81BD"/>
            </w:tcBorders>
            <w:shd w:val="clear" w:color="auto" w:fill="auto"/>
            <w:noWrap/>
            <w:vAlign w:val="bottom"/>
            <w:hideMark/>
          </w:tcPr>
          <w:p w:rsidR="00107245" w:rsidRPr="00D5126A" w:rsidRDefault="00107245" w:rsidP="008D1C20">
            <w:pPr>
              <w:spacing w:after="0" w:line="240" w:lineRule="auto"/>
              <w:jc w:val="center"/>
              <w:rPr>
                <w:rFonts w:ascii="Arial" w:eastAsia="Times New Roman" w:hAnsi="Arial" w:cs="Arial"/>
                <w:color w:val="000000"/>
                <w:sz w:val="20"/>
                <w:lang w:eastAsia="en-NZ"/>
              </w:rPr>
            </w:pPr>
            <w:r w:rsidRPr="00D5126A">
              <w:rPr>
                <w:rFonts w:ascii="Arial" w:eastAsia="Times New Roman" w:hAnsi="Arial" w:cs="Arial"/>
                <w:color w:val="000000"/>
                <w:sz w:val="20"/>
                <w:lang w:eastAsia="en-NZ"/>
              </w:rPr>
              <w:t>Grand Total</w:t>
            </w:r>
          </w:p>
        </w:tc>
        <w:tc>
          <w:tcPr>
            <w:tcW w:w="1196" w:type="dxa"/>
            <w:tcBorders>
              <w:top w:val="nil"/>
              <w:left w:val="nil"/>
              <w:bottom w:val="single" w:sz="4" w:space="0" w:color="4F81BD"/>
              <w:right w:val="single" w:sz="4" w:space="0" w:color="4F81BD"/>
            </w:tcBorders>
            <w:shd w:val="clear" w:color="auto" w:fill="auto"/>
            <w:noWrap/>
            <w:vAlign w:val="center"/>
            <w:hideMark/>
          </w:tcPr>
          <w:p w:rsidR="00107245" w:rsidRPr="00D5126A" w:rsidRDefault="00107245" w:rsidP="008D1C20">
            <w:pPr>
              <w:spacing w:after="0" w:line="240" w:lineRule="auto"/>
              <w:jc w:val="center"/>
              <w:rPr>
                <w:rFonts w:ascii="Arial" w:eastAsia="Times New Roman" w:hAnsi="Arial" w:cs="Arial"/>
                <w:color w:val="000000"/>
                <w:sz w:val="20"/>
                <w:lang w:eastAsia="en-NZ"/>
              </w:rPr>
            </w:pPr>
            <w:r w:rsidRPr="00D5126A">
              <w:rPr>
                <w:rFonts w:ascii="Arial" w:eastAsia="Times New Roman" w:hAnsi="Arial" w:cs="Arial"/>
                <w:color w:val="000000"/>
                <w:sz w:val="20"/>
                <w:lang w:eastAsia="en-NZ"/>
              </w:rPr>
              <w:t>1,000</w:t>
            </w:r>
          </w:p>
        </w:tc>
        <w:tc>
          <w:tcPr>
            <w:tcW w:w="1420" w:type="dxa"/>
            <w:tcBorders>
              <w:top w:val="nil"/>
              <w:left w:val="nil"/>
              <w:bottom w:val="single" w:sz="4" w:space="0" w:color="4F81BD"/>
              <w:right w:val="single" w:sz="4" w:space="0" w:color="4F81BD"/>
            </w:tcBorders>
            <w:shd w:val="clear" w:color="auto" w:fill="auto"/>
            <w:noWrap/>
            <w:vAlign w:val="center"/>
            <w:hideMark/>
          </w:tcPr>
          <w:p w:rsidR="00107245" w:rsidRPr="00D5126A" w:rsidRDefault="00107245" w:rsidP="008D1C20">
            <w:pPr>
              <w:spacing w:after="0" w:line="240" w:lineRule="auto"/>
              <w:jc w:val="center"/>
              <w:rPr>
                <w:rFonts w:ascii="Arial" w:eastAsia="Times New Roman" w:hAnsi="Arial" w:cs="Arial"/>
                <w:color w:val="000000"/>
                <w:sz w:val="20"/>
                <w:lang w:eastAsia="en-NZ"/>
              </w:rPr>
            </w:pPr>
            <w:r w:rsidRPr="00D5126A">
              <w:rPr>
                <w:rFonts w:ascii="Arial" w:eastAsia="Times New Roman" w:hAnsi="Arial" w:cs="Arial"/>
                <w:color w:val="000000"/>
                <w:sz w:val="20"/>
                <w:lang w:eastAsia="en-NZ"/>
              </w:rPr>
              <w:t>803</w:t>
            </w:r>
          </w:p>
        </w:tc>
        <w:tc>
          <w:tcPr>
            <w:tcW w:w="1420" w:type="dxa"/>
            <w:tcBorders>
              <w:top w:val="nil"/>
              <w:left w:val="nil"/>
              <w:bottom w:val="single" w:sz="4" w:space="0" w:color="4F81BD"/>
              <w:right w:val="single" w:sz="4" w:space="0" w:color="4F81BD"/>
            </w:tcBorders>
            <w:shd w:val="clear" w:color="auto" w:fill="auto"/>
            <w:noWrap/>
            <w:vAlign w:val="center"/>
            <w:hideMark/>
          </w:tcPr>
          <w:p w:rsidR="00107245" w:rsidRPr="00D5126A" w:rsidRDefault="00107245" w:rsidP="008D1C20">
            <w:pPr>
              <w:spacing w:after="0" w:line="240" w:lineRule="auto"/>
              <w:jc w:val="center"/>
              <w:rPr>
                <w:rFonts w:ascii="Arial" w:eastAsia="Times New Roman" w:hAnsi="Arial" w:cs="Arial"/>
                <w:color w:val="000000"/>
                <w:sz w:val="20"/>
                <w:lang w:eastAsia="en-NZ"/>
              </w:rPr>
            </w:pPr>
            <w:r w:rsidRPr="00D5126A">
              <w:rPr>
                <w:rFonts w:ascii="Arial" w:eastAsia="Times New Roman" w:hAnsi="Arial" w:cs="Arial"/>
                <w:color w:val="000000"/>
                <w:sz w:val="20"/>
                <w:lang w:eastAsia="en-NZ"/>
              </w:rPr>
              <w:t>1,803</w:t>
            </w:r>
          </w:p>
        </w:tc>
      </w:tr>
    </w:tbl>
    <w:p w:rsidR="00107245" w:rsidRPr="00D5126A" w:rsidRDefault="00107245" w:rsidP="00107245">
      <w:pPr>
        <w:pBdr>
          <w:top w:val="none" w:sz="8" w:space="0" w:color="auto"/>
          <w:left w:val="none" w:sz="8" w:space="0" w:color="auto"/>
          <w:bottom w:val="none" w:sz="8" w:space="0" w:color="auto"/>
          <w:right w:val="none" w:sz="8" w:space="0" w:color="auto"/>
        </w:pBdr>
        <w:spacing w:beforeLines="100" w:before="240" w:after="0" w:line="240" w:lineRule="auto"/>
        <w:rPr>
          <w:rFonts w:ascii="Arial" w:eastAsia="Times New Roman" w:hAnsi="Arial"/>
          <w:highlight w:val="magenta"/>
        </w:rPr>
      </w:pPr>
    </w:p>
    <w:tbl>
      <w:tblPr>
        <w:tblW w:w="6820" w:type="dxa"/>
        <w:tblInd w:w="93" w:type="dxa"/>
        <w:tblLook w:val="04A0" w:firstRow="1" w:lastRow="0" w:firstColumn="1" w:lastColumn="0" w:noHBand="0" w:noVBand="1"/>
      </w:tblPr>
      <w:tblGrid>
        <w:gridCol w:w="2560"/>
        <w:gridCol w:w="1420"/>
        <w:gridCol w:w="1420"/>
        <w:gridCol w:w="1420"/>
      </w:tblGrid>
      <w:tr w:rsidR="00107245" w:rsidRPr="00D5126A" w:rsidTr="008D1C20">
        <w:trPr>
          <w:trHeight w:val="315"/>
        </w:trPr>
        <w:tc>
          <w:tcPr>
            <w:tcW w:w="2560" w:type="dxa"/>
            <w:tcBorders>
              <w:top w:val="nil"/>
              <w:left w:val="nil"/>
              <w:bottom w:val="nil"/>
              <w:right w:val="nil"/>
            </w:tcBorders>
            <w:shd w:val="clear" w:color="auto" w:fill="auto"/>
            <w:noWrap/>
            <w:vAlign w:val="bottom"/>
            <w:hideMark/>
          </w:tcPr>
          <w:p w:rsidR="00107245" w:rsidRPr="00D5126A" w:rsidRDefault="00107245" w:rsidP="008D1C20">
            <w:pPr>
              <w:spacing w:after="0" w:line="240" w:lineRule="auto"/>
              <w:rPr>
                <w:rFonts w:ascii="Arial" w:eastAsia="Times New Roman" w:hAnsi="Arial" w:cs="Arial"/>
                <w:b/>
                <w:bCs/>
                <w:color w:val="000000"/>
                <w:szCs w:val="24"/>
                <w:lang w:eastAsia="en-NZ"/>
              </w:rPr>
            </w:pPr>
            <w:r w:rsidRPr="00D5126A">
              <w:rPr>
                <w:rFonts w:ascii="Arial" w:eastAsia="Times New Roman" w:hAnsi="Arial" w:cs="Arial"/>
                <w:b/>
                <w:bCs/>
                <w:color w:val="000000"/>
                <w:szCs w:val="24"/>
                <w:lang w:eastAsia="en-NZ"/>
              </w:rPr>
              <w:t>Staff Ethnicity</w:t>
            </w:r>
          </w:p>
        </w:tc>
        <w:tc>
          <w:tcPr>
            <w:tcW w:w="1420" w:type="dxa"/>
            <w:tcBorders>
              <w:top w:val="nil"/>
              <w:left w:val="nil"/>
              <w:bottom w:val="nil"/>
              <w:right w:val="nil"/>
            </w:tcBorders>
            <w:shd w:val="clear" w:color="auto" w:fill="auto"/>
            <w:noWrap/>
            <w:vAlign w:val="bottom"/>
            <w:hideMark/>
          </w:tcPr>
          <w:p w:rsidR="00107245" w:rsidRPr="00D5126A" w:rsidRDefault="00107245" w:rsidP="008D1C20">
            <w:pPr>
              <w:spacing w:after="0" w:line="240" w:lineRule="auto"/>
              <w:rPr>
                <w:rFonts w:ascii="Calibri" w:eastAsia="Times New Roman" w:hAnsi="Calibri" w:cs="Calibri"/>
                <w:color w:val="000000"/>
                <w:lang w:eastAsia="en-NZ"/>
              </w:rPr>
            </w:pPr>
          </w:p>
        </w:tc>
        <w:tc>
          <w:tcPr>
            <w:tcW w:w="1420" w:type="dxa"/>
            <w:tcBorders>
              <w:top w:val="nil"/>
              <w:left w:val="nil"/>
              <w:bottom w:val="nil"/>
              <w:right w:val="nil"/>
            </w:tcBorders>
            <w:shd w:val="clear" w:color="auto" w:fill="auto"/>
            <w:noWrap/>
            <w:vAlign w:val="bottom"/>
            <w:hideMark/>
          </w:tcPr>
          <w:p w:rsidR="00107245" w:rsidRPr="00D5126A" w:rsidRDefault="00107245" w:rsidP="008D1C20">
            <w:pPr>
              <w:spacing w:after="0" w:line="240" w:lineRule="auto"/>
              <w:rPr>
                <w:rFonts w:ascii="Calibri" w:eastAsia="Times New Roman" w:hAnsi="Calibri" w:cs="Calibri"/>
                <w:color w:val="000000"/>
                <w:lang w:eastAsia="en-NZ"/>
              </w:rPr>
            </w:pPr>
          </w:p>
        </w:tc>
        <w:tc>
          <w:tcPr>
            <w:tcW w:w="1420" w:type="dxa"/>
            <w:tcBorders>
              <w:top w:val="nil"/>
              <w:left w:val="nil"/>
              <w:bottom w:val="nil"/>
              <w:right w:val="nil"/>
            </w:tcBorders>
            <w:shd w:val="clear" w:color="auto" w:fill="auto"/>
            <w:noWrap/>
            <w:vAlign w:val="bottom"/>
            <w:hideMark/>
          </w:tcPr>
          <w:p w:rsidR="00107245" w:rsidRPr="00D5126A" w:rsidRDefault="00107245" w:rsidP="008D1C20">
            <w:pPr>
              <w:spacing w:after="0" w:line="240" w:lineRule="auto"/>
              <w:rPr>
                <w:rFonts w:ascii="Calibri" w:eastAsia="Times New Roman" w:hAnsi="Calibri" w:cs="Calibri"/>
                <w:color w:val="000000"/>
                <w:lang w:eastAsia="en-NZ"/>
              </w:rPr>
            </w:pPr>
          </w:p>
        </w:tc>
      </w:tr>
      <w:tr w:rsidR="00107245" w:rsidRPr="00D5126A" w:rsidTr="008D1C20">
        <w:trPr>
          <w:trHeight w:val="300"/>
        </w:trPr>
        <w:tc>
          <w:tcPr>
            <w:tcW w:w="2560" w:type="dxa"/>
            <w:tcBorders>
              <w:top w:val="single" w:sz="4" w:space="0" w:color="4F81BD"/>
              <w:left w:val="single" w:sz="4" w:space="0" w:color="4F81BD"/>
              <w:bottom w:val="single" w:sz="4" w:space="0" w:color="4F81BD"/>
              <w:right w:val="single" w:sz="4" w:space="0" w:color="4F81BD"/>
            </w:tcBorders>
            <w:shd w:val="clear" w:color="auto" w:fill="00B0F0"/>
            <w:noWrap/>
            <w:vAlign w:val="center"/>
            <w:hideMark/>
          </w:tcPr>
          <w:p w:rsidR="00107245" w:rsidRPr="00D5126A" w:rsidRDefault="00107245" w:rsidP="008D1C20">
            <w:pPr>
              <w:spacing w:after="0" w:line="240" w:lineRule="auto"/>
              <w:rPr>
                <w:rFonts w:ascii="Arial" w:eastAsia="Times New Roman" w:hAnsi="Arial" w:cs="Arial"/>
                <w:b/>
                <w:color w:val="FFFFFF"/>
                <w:sz w:val="20"/>
                <w:szCs w:val="20"/>
                <w:lang w:eastAsia="en-NZ"/>
              </w:rPr>
            </w:pPr>
            <w:r w:rsidRPr="00D5126A">
              <w:rPr>
                <w:rFonts w:ascii="Arial" w:eastAsia="Times New Roman" w:hAnsi="Arial" w:cs="Arial"/>
                <w:b/>
                <w:color w:val="FFFFFF"/>
                <w:sz w:val="20"/>
                <w:szCs w:val="20"/>
                <w:lang w:eastAsia="en-NZ"/>
              </w:rPr>
              <w:t>Ethnicity</w:t>
            </w:r>
          </w:p>
        </w:tc>
        <w:tc>
          <w:tcPr>
            <w:tcW w:w="1420" w:type="dxa"/>
            <w:tcBorders>
              <w:top w:val="single" w:sz="4" w:space="0" w:color="4F81BD"/>
              <w:left w:val="nil"/>
              <w:bottom w:val="single" w:sz="4" w:space="0" w:color="4F81BD"/>
              <w:right w:val="single" w:sz="4" w:space="0" w:color="4F81BD"/>
            </w:tcBorders>
            <w:shd w:val="clear" w:color="auto" w:fill="00B0F0"/>
            <w:noWrap/>
            <w:vAlign w:val="center"/>
            <w:hideMark/>
          </w:tcPr>
          <w:p w:rsidR="00107245" w:rsidRPr="00D5126A" w:rsidRDefault="00107245" w:rsidP="008D1C20">
            <w:pPr>
              <w:spacing w:after="0" w:line="240" w:lineRule="auto"/>
              <w:jc w:val="center"/>
              <w:rPr>
                <w:rFonts w:ascii="Arial" w:eastAsia="Times New Roman" w:hAnsi="Arial" w:cs="Arial"/>
                <w:b/>
                <w:color w:val="FFFFFF"/>
                <w:sz w:val="20"/>
                <w:szCs w:val="20"/>
                <w:lang w:eastAsia="en-NZ"/>
              </w:rPr>
            </w:pPr>
            <w:r w:rsidRPr="00D5126A">
              <w:rPr>
                <w:rFonts w:ascii="Arial" w:eastAsia="Times New Roman" w:hAnsi="Arial" w:cs="Arial"/>
                <w:b/>
                <w:color w:val="FFFFFF"/>
                <w:sz w:val="20"/>
                <w:szCs w:val="20"/>
                <w:lang w:eastAsia="en-NZ"/>
              </w:rPr>
              <w:t>Female</w:t>
            </w:r>
          </w:p>
        </w:tc>
        <w:tc>
          <w:tcPr>
            <w:tcW w:w="1420" w:type="dxa"/>
            <w:tcBorders>
              <w:top w:val="single" w:sz="4" w:space="0" w:color="4F81BD"/>
              <w:left w:val="nil"/>
              <w:bottom w:val="single" w:sz="4" w:space="0" w:color="4F81BD"/>
              <w:right w:val="single" w:sz="4" w:space="0" w:color="4F81BD"/>
            </w:tcBorders>
            <w:shd w:val="clear" w:color="auto" w:fill="00B0F0"/>
            <w:noWrap/>
            <w:vAlign w:val="center"/>
            <w:hideMark/>
          </w:tcPr>
          <w:p w:rsidR="00107245" w:rsidRPr="00D5126A" w:rsidRDefault="00107245" w:rsidP="008D1C20">
            <w:pPr>
              <w:spacing w:after="0" w:line="240" w:lineRule="auto"/>
              <w:jc w:val="center"/>
              <w:rPr>
                <w:rFonts w:ascii="Arial" w:eastAsia="Times New Roman" w:hAnsi="Arial" w:cs="Arial"/>
                <w:b/>
                <w:color w:val="FFFFFF"/>
                <w:sz w:val="20"/>
                <w:szCs w:val="20"/>
                <w:lang w:eastAsia="en-NZ"/>
              </w:rPr>
            </w:pPr>
            <w:r w:rsidRPr="00D5126A">
              <w:rPr>
                <w:rFonts w:ascii="Arial" w:eastAsia="Times New Roman" w:hAnsi="Arial" w:cs="Arial"/>
                <w:b/>
                <w:color w:val="FFFFFF"/>
                <w:sz w:val="20"/>
                <w:szCs w:val="20"/>
                <w:lang w:eastAsia="en-NZ"/>
              </w:rPr>
              <w:t>Male</w:t>
            </w:r>
          </w:p>
        </w:tc>
        <w:tc>
          <w:tcPr>
            <w:tcW w:w="1420" w:type="dxa"/>
            <w:tcBorders>
              <w:top w:val="single" w:sz="4" w:space="0" w:color="4F81BD"/>
              <w:left w:val="nil"/>
              <w:bottom w:val="single" w:sz="4" w:space="0" w:color="4F81BD"/>
              <w:right w:val="single" w:sz="4" w:space="0" w:color="4F81BD"/>
            </w:tcBorders>
            <w:shd w:val="clear" w:color="auto" w:fill="00B0F0"/>
            <w:noWrap/>
            <w:vAlign w:val="center"/>
            <w:hideMark/>
          </w:tcPr>
          <w:p w:rsidR="00107245" w:rsidRPr="00D5126A" w:rsidRDefault="00107245" w:rsidP="008D1C20">
            <w:pPr>
              <w:spacing w:after="0" w:line="240" w:lineRule="auto"/>
              <w:jc w:val="center"/>
              <w:rPr>
                <w:rFonts w:ascii="Arial" w:eastAsia="Times New Roman" w:hAnsi="Arial" w:cs="Arial"/>
                <w:b/>
                <w:color w:val="FFFFFF"/>
                <w:sz w:val="20"/>
                <w:szCs w:val="20"/>
                <w:lang w:eastAsia="en-NZ"/>
              </w:rPr>
            </w:pPr>
            <w:r w:rsidRPr="00D5126A">
              <w:rPr>
                <w:rFonts w:ascii="Arial" w:eastAsia="Times New Roman" w:hAnsi="Arial" w:cs="Arial"/>
                <w:b/>
                <w:color w:val="FFFFFF"/>
                <w:sz w:val="20"/>
                <w:szCs w:val="20"/>
                <w:lang w:eastAsia="en-NZ"/>
              </w:rPr>
              <w:t>Grand Total</w:t>
            </w:r>
          </w:p>
        </w:tc>
      </w:tr>
      <w:tr w:rsidR="00107245" w:rsidRPr="00D5126A" w:rsidTr="008D1C20">
        <w:trPr>
          <w:trHeight w:val="300"/>
        </w:trPr>
        <w:tc>
          <w:tcPr>
            <w:tcW w:w="2560" w:type="dxa"/>
            <w:tcBorders>
              <w:top w:val="nil"/>
              <w:left w:val="single" w:sz="4" w:space="0" w:color="4F81BD"/>
              <w:bottom w:val="single" w:sz="4" w:space="0" w:color="4F81BD"/>
              <w:right w:val="single" w:sz="4" w:space="0" w:color="4F81BD"/>
            </w:tcBorders>
            <w:shd w:val="clear" w:color="auto" w:fill="auto"/>
            <w:noWrap/>
            <w:vAlign w:val="bottom"/>
            <w:hideMark/>
          </w:tcPr>
          <w:p w:rsidR="00107245" w:rsidRPr="00D5126A" w:rsidRDefault="00107245" w:rsidP="008D1C20">
            <w:pPr>
              <w:spacing w:after="0" w:line="240" w:lineRule="auto"/>
              <w:rPr>
                <w:rFonts w:ascii="Arial" w:eastAsia="Times New Roman" w:hAnsi="Arial" w:cs="Arial"/>
                <w:color w:val="000000"/>
                <w:sz w:val="20"/>
                <w:lang w:eastAsia="en-NZ"/>
              </w:rPr>
            </w:pPr>
            <w:r w:rsidRPr="00D5126A">
              <w:rPr>
                <w:rFonts w:ascii="Arial" w:eastAsia="Times New Roman" w:hAnsi="Arial" w:cs="Arial"/>
                <w:color w:val="000000"/>
                <w:sz w:val="20"/>
                <w:lang w:eastAsia="en-NZ"/>
              </w:rPr>
              <w:t>African</w:t>
            </w:r>
          </w:p>
        </w:tc>
        <w:tc>
          <w:tcPr>
            <w:tcW w:w="1420" w:type="dxa"/>
            <w:tcBorders>
              <w:top w:val="nil"/>
              <w:left w:val="nil"/>
              <w:bottom w:val="single" w:sz="4" w:space="0" w:color="4F81BD"/>
              <w:right w:val="single" w:sz="4" w:space="0" w:color="4F81BD"/>
            </w:tcBorders>
            <w:shd w:val="clear" w:color="auto" w:fill="auto"/>
            <w:noWrap/>
            <w:vAlign w:val="center"/>
            <w:hideMark/>
          </w:tcPr>
          <w:p w:rsidR="00107245" w:rsidRPr="00D5126A" w:rsidRDefault="00107245" w:rsidP="008D1C20">
            <w:pPr>
              <w:spacing w:after="0" w:line="240" w:lineRule="auto"/>
              <w:jc w:val="center"/>
              <w:rPr>
                <w:rFonts w:ascii="Arial" w:eastAsia="Times New Roman" w:hAnsi="Arial" w:cs="Arial"/>
                <w:color w:val="000000"/>
                <w:sz w:val="20"/>
                <w:lang w:eastAsia="en-NZ"/>
              </w:rPr>
            </w:pPr>
            <w:r w:rsidRPr="00D5126A">
              <w:rPr>
                <w:rFonts w:ascii="Arial" w:eastAsia="Times New Roman" w:hAnsi="Arial" w:cs="Arial"/>
                <w:color w:val="000000"/>
                <w:sz w:val="20"/>
                <w:lang w:eastAsia="en-NZ"/>
              </w:rPr>
              <w:t>2</w:t>
            </w:r>
          </w:p>
        </w:tc>
        <w:tc>
          <w:tcPr>
            <w:tcW w:w="1420" w:type="dxa"/>
            <w:tcBorders>
              <w:top w:val="nil"/>
              <w:left w:val="nil"/>
              <w:bottom w:val="single" w:sz="4" w:space="0" w:color="4F81BD"/>
              <w:right w:val="single" w:sz="4" w:space="0" w:color="4F81BD"/>
            </w:tcBorders>
            <w:shd w:val="clear" w:color="auto" w:fill="auto"/>
            <w:noWrap/>
            <w:vAlign w:val="center"/>
            <w:hideMark/>
          </w:tcPr>
          <w:p w:rsidR="00107245" w:rsidRPr="00D5126A" w:rsidRDefault="00107245" w:rsidP="008D1C20">
            <w:pPr>
              <w:spacing w:after="0" w:line="240" w:lineRule="auto"/>
              <w:jc w:val="center"/>
              <w:rPr>
                <w:rFonts w:ascii="Arial" w:eastAsia="Times New Roman" w:hAnsi="Arial" w:cs="Arial"/>
                <w:color w:val="000000"/>
                <w:sz w:val="20"/>
                <w:lang w:eastAsia="en-NZ"/>
              </w:rPr>
            </w:pPr>
            <w:r w:rsidRPr="00D5126A">
              <w:rPr>
                <w:rFonts w:ascii="Arial" w:eastAsia="Times New Roman" w:hAnsi="Arial" w:cs="Arial"/>
                <w:color w:val="000000"/>
                <w:sz w:val="20"/>
                <w:lang w:eastAsia="en-NZ"/>
              </w:rPr>
              <w:t>1</w:t>
            </w:r>
          </w:p>
        </w:tc>
        <w:tc>
          <w:tcPr>
            <w:tcW w:w="1420" w:type="dxa"/>
            <w:tcBorders>
              <w:top w:val="nil"/>
              <w:left w:val="nil"/>
              <w:bottom w:val="single" w:sz="4" w:space="0" w:color="4F81BD"/>
              <w:right w:val="single" w:sz="4" w:space="0" w:color="4F81BD"/>
            </w:tcBorders>
            <w:shd w:val="clear" w:color="auto" w:fill="auto"/>
            <w:noWrap/>
            <w:vAlign w:val="center"/>
            <w:hideMark/>
          </w:tcPr>
          <w:p w:rsidR="00107245" w:rsidRPr="00D5126A" w:rsidRDefault="00107245" w:rsidP="008D1C20">
            <w:pPr>
              <w:spacing w:after="0" w:line="240" w:lineRule="auto"/>
              <w:jc w:val="center"/>
              <w:rPr>
                <w:rFonts w:ascii="Arial" w:eastAsia="Times New Roman" w:hAnsi="Arial" w:cs="Arial"/>
                <w:color w:val="000000"/>
                <w:sz w:val="20"/>
                <w:lang w:eastAsia="en-NZ"/>
              </w:rPr>
            </w:pPr>
            <w:r w:rsidRPr="00D5126A">
              <w:rPr>
                <w:rFonts w:ascii="Arial" w:eastAsia="Times New Roman" w:hAnsi="Arial" w:cs="Arial"/>
                <w:color w:val="000000"/>
                <w:sz w:val="20"/>
                <w:lang w:eastAsia="en-NZ"/>
              </w:rPr>
              <w:t>3</w:t>
            </w:r>
          </w:p>
        </w:tc>
      </w:tr>
      <w:tr w:rsidR="00107245" w:rsidRPr="00D5126A" w:rsidTr="008D1C20">
        <w:trPr>
          <w:trHeight w:val="300"/>
        </w:trPr>
        <w:tc>
          <w:tcPr>
            <w:tcW w:w="2560" w:type="dxa"/>
            <w:tcBorders>
              <w:top w:val="nil"/>
              <w:left w:val="single" w:sz="4" w:space="0" w:color="4F81BD"/>
              <w:bottom w:val="single" w:sz="4" w:space="0" w:color="4F81BD"/>
              <w:right w:val="single" w:sz="4" w:space="0" w:color="4F81BD"/>
            </w:tcBorders>
            <w:shd w:val="clear" w:color="auto" w:fill="auto"/>
            <w:noWrap/>
            <w:vAlign w:val="bottom"/>
            <w:hideMark/>
          </w:tcPr>
          <w:p w:rsidR="00107245" w:rsidRPr="00D5126A" w:rsidRDefault="00107245" w:rsidP="008D1C20">
            <w:pPr>
              <w:spacing w:after="0" w:line="240" w:lineRule="auto"/>
              <w:rPr>
                <w:rFonts w:ascii="Arial" w:eastAsia="Times New Roman" w:hAnsi="Arial" w:cs="Arial"/>
                <w:color w:val="000000"/>
                <w:sz w:val="20"/>
                <w:lang w:eastAsia="en-NZ"/>
              </w:rPr>
            </w:pPr>
            <w:r w:rsidRPr="00D5126A">
              <w:rPr>
                <w:rFonts w:ascii="Arial" w:eastAsia="Times New Roman" w:hAnsi="Arial" w:cs="Arial"/>
                <w:color w:val="000000"/>
                <w:sz w:val="20"/>
                <w:lang w:eastAsia="en-NZ"/>
              </w:rPr>
              <w:t>Asian</w:t>
            </w:r>
          </w:p>
        </w:tc>
        <w:tc>
          <w:tcPr>
            <w:tcW w:w="1420" w:type="dxa"/>
            <w:tcBorders>
              <w:top w:val="nil"/>
              <w:left w:val="nil"/>
              <w:bottom w:val="single" w:sz="4" w:space="0" w:color="4F81BD"/>
              <w:right w:val="single" w:sz="4" w:space="0" w:color="4F81BD"/>
            </w:tcBorders>
            <w:shd w:val="clear" w:color="auto" w:fill="auto"/>
            <w:noWrap/>
            <w:vAlign w:val="center"/>
            <w:hideMark/>
          </w:tcPr>
          <w:p w:rsidR="00107245" w:rsidRPr="00D5126A" w:rsidRDefault="00107245" w:rsidP="008D1C20">
            <w:pPr>
              <w:spacing w:after="0" w:line="240" w:lineRule="auto"/>
              <w:jc w:val="center"/>
              <w:rPr>
                <w:rFonts w:ascii="Arial" w:eastAsia="Times New Roman" w:hAnsi="Arial" w:cs="Arial"/>
                <w:color w:val="000000"/>
                <w:sz w:val="20"/>
                <w:lang w:eastAsia="en-NZ"/>
              </w:rPr>
            </w:pPr>
            <w:r w:rsidRPr="00D5126A">
              <w:rPr>
                <w:rFonts w:ascii="Arial" w:eastAsia="Times New Roman" w:hAnsi="Arial" w:cs="Arial"/>
                <w:color w:val="000000"/>
                <w:sz w:val="20"/>
                <w:lang w:eastAsia="en-NZ"/>
              </w:rPr>
              <w:t>40</w:t>
            </w:r>
          </w:p>
        </w:tc>
        <w:tc>
          <w:tcPr>
            <w:tcW w:w="1420" w:type="dxa"/>
            <w:tcBorders>
              <w:top w:val="nil"/>
              <w:left w:val="nil"/>
              <w:bottom w:val="single" w:sz="4" w:space="0" w:color="4F81BD"/>
              <w:right w:val="single" w:sz="4" w:space="0" w:color="4F81BD"/>
            </w:tcBorders>
            <w:shd w:val="clear" w:color="auto" w:fill="auto"/>
            <w:noWrap/>
            <w:vAlign w:val="center"/>
            <w:hideMark/>
          </w:tcPr>
          <w:p w:rsidR="00107245" w:rsidRPr="00D5126A" w:rsidRDefault="00107245" w:rsidP="008D1C20">
            <w:pPr>
              <w:spacing w:after="0" w:line="240" w:lineRule="auto"/>
              <w:jc w:val="center"/>
              <w:rPr>
                <w:rFonts w:ascii="Arial" w:eastAsia="Times New Roman" w:hAnsi="Arial" w:cs="Arial"/>
                <w:color w:val="000000"/>
                <w:sz w:val="20"/>
                <w:lang w:eastAsia="en-NZ"/>
              </w:rPr>
            </w:pPr>
            <w:r w:rsidRPr="00D5126A">
              <w:rPr>
                <w:rFonts w:ascii="Arial" w:eastAsia="Times New Roman" w:hAnsi="Arial" w:cs="Arial"/>
                <w:color w:val="000000"/>
                <w:sz w:val="20"/>
                <w:lang w:eastAsia="en-NZ"/>
              </w:rPr>
              <w:t>58</w:t>
            </w:r>
          </w:p>
        </w:tc>
        <w:tc>
          <w:tcPr>
            <w:tcW w:w="1420" w:type="dxa"/>
            <w:tcBorders>
              <w:top w:val="nil"/>
              <w:left w:val="nil"/>
              <w:bottom w:val="single" w:sz="4" w:space="0" w:color="4F81BD"/>
              <w:right w:val="single" w:sz="4" w:space="0" w:color="4F81BD"/>
            </w:tcBorders>
            <w:shd w:val="clear" w:color="auto" w:fill="auto"/>
            <w:noWrap/>
            <w:vAlign w:val="center"/>
            <w:hideMark/>
          </w:tcPr>
          <w:p w:rsidR="00107245" w:rsidRPr="00D5126A" w:rsidRDefault="00107245" w:rsidP="008D1C20">
            <w:pPr>
              <w:spacing w:after="0" w:line="240" w:lineRule="auto"/>
              <w:jc w:val="center"/>
              <w:rPr>
                <w:rFonts w:ascii="Arial" w:eastAsia="Times New Roman" w:hAnsi="Arial" w:cs="Arial"/>
                <w:color w:val="000000"/>
                <w:sz w:val="20"/>
                <w:lang w:eastAsia="en-NZ"/>
              </w:rPr>
            </w:pPr>
            <w:r w:rsidRPr="00D5126A">
              <w:rPr>
                <w:rFonts w:ascii="Arial" w:eastAsia="Times New Roman" w:hAnsi="Arial" w:cs="Arial"/>
                <w:color w:val="000000"/>
                <w:sz w:val="20"/>
                <w:lang w:eastAsia="en-NZ"/>
              </w:rPr>
              <w:t>98</w:t>
            </w:r>
          </w:p>
        </w:tc>
      </w:tr>
      <w:tr w:rsidR="00107245" w:rsidRPr="00D5126A" w:rsidTr="008D1C20">
        <w:trPr>
          <w:trHeight w:val="300"/>
        </w:trPr>
        <w:tc>
          <w:tcPr>
            <w:tcW w:w="2560" w:type="dxa"/>
            <w:tcBorders>
              <w:top w:val="nil"/>
              <w:left w:val="single" w:sz="4" w:space="0" w:color="4F81BD"/>
              <w:bottom w:val="single" w:sz="4" w:space="0" w:color="4F81BD"/>
              <w:right w:val="single" w:sz="4" w:space="0" w:color="4F81BD"/>
            </w:tcBorders>
            <w:shd w:val="clear" w:color="auto" w:fill="auto"/>
            <w:noWrap/>
            <w:vAlign w:val="bottom"/>
            <w:hideMark/>
          </w:tcPr>
          <w:p w:rsidR="00107245" w:rsidRPr="00D5126A" w:rsidRDefault="00107245" w:rsidP="008D1C20">
            <w:pPr>
              <w:spacing w:after="0" w:line="240" w:lineRule="auto"/>
              <w:rPr>
                <w:rFonts w:ascii="Arial" w:eastAsia="Times New Roman" w:hAnsi="Arial" w:cs="Arial"/>
                <w:color w:val="000000"/>
                <w:sz w:val="20"/>
                <w:lang w:eastAsia="en-NZ"/>
              </w:rPr>
            </w:pPr>
            <w:r w:rsidRPr="00D5126A">
              <w:rPr>
                <w:rFonts w:ascii="Arial" w:eastAsia="Times New Roman" w:hAnsi="Arial" w:cs="Arial"/>
                <w:color w:val="000000"/>
                <w:sz w:val="20"/>
                <w:lang w:eastAsia="en-NZ"/>
              </w:rPr>
              <w:t>European</w:t>
            </w:r>
          </w:p>
        </w:tc>
        <w:tc>
          <w:tcPr>
            <w:tcW w:w="1420" w:type="dxa"/>
            <w:tcBorders>
              <w:top w:val="nil"/>
              <w:left w:val="nil"/>
              <w:bottom w:val="single" w:sz="4" w:space="0" w:color="4F81BD"/>
              <w:right w:val="single" w:sz="4" w:space="0" w:color="4F81BD"/>
            </w:tcBorders>
            <w:shd w:val="clear" w:color="auto" w:fill="auto"/>
            <w:noWrap/>
            <w:vAlign w:val="center"/>
            <w:hideMark/>
          </w:tcPr>
          <w:p w:rsidR="00107245" w:rsidRPr="00D5126A" w:rsidRDefault="00107245" w:rsidP="008D1C20">
            <w:pPr>
              <w:spacing w:after="0" w:line="240" w:lineRule="auto"/>
              <w:jc w:val="center"/>
              <w:rPr>
                <w:rFonts w:ascii="Arial" w:eastAsia="Times New Roman" w:hAnsi="Arial" w:cs="Arial"/>
                <w:color w:val="000000"/>
                <w:sz w:val="20"/>
                <w:lang w:eastAsia="en-NZ"/>
              </w:rPr>
            </w:pPr>
            <w:r w:rsidRPr="00D5126A">
              <w:rPr>
                <w:rFonts w:ascii="Arial" w:eastAsia="Times New Roman" w:hAnsi="Arial" w:cs="Arial"/>
                <w:color w:val="000000"/>
                <w:sz w:val="20"/>
                <w:lang w:eastAsia="en-NZ"/>
              </w:rPr>
              <w:t>348</w:t>
            </w:r>
          </w:p>
        </w:tc>
        <w:tc>
          <w:tcPr>
            <w:tcW w:w="1420" w:type="dxa"/>
            <w:tcBorders>
              <w:top w:val="nil"/>
              <w:left w:val="nil"/>
              <w:bottom w:val="single" w:sz="4" w:space="0" w:color="4F81BD"/>
              <w:right w:val="single" w:sz="4" w:space="0" w:color="4F81BD"/>
            </w:tcBorders>
            <w:shd w:val="clear" w:color="auto" w:fill="auto"/>
            <w:noWrap/>
            <w:vAlign w:val="center"/>
            <w:hideMark/>
          </w:tcPr>
          <w:p w:rsidR="00107245" w:rsidRPr="00D5126A" w:rsidRDefault="00107245" w:rsidP="008D1C20">
            <w:pPr>
              <w:spacing w:after="0" w:line="240" w:lineRule="auto"/>
              <w:jc w:val="center"/>
              <w:rPr>
                <w:rFonts w:ascii="Arial" w:eastAsia="Times New Roman" w:hAnsi="Arial" w:cs="Arial"/>
                <w:color w:val="000000"/>
                <w:sz w:val="20"/>
                <w:lang w:eastAsia="en-NZ"/>
              </w:rPr>
            </w:pPr>
            <w:r w:rsidRPr="00D5126A">
              <w:rPr>
                <w:rFonts w:ascii="Arial" w:eastAsia="Times New Roman" w:hAnsi="Arial" w:cs="Arial"/>
                <w:color w:val="000000"/>
                <w:sz w:val="20"/>
                <w:lang w:eastAsia="en-NZ"/>
              </w:rPr>
              <w:t>252</w:t>
            </w:r>
          </w:p>
        </w:tc>
        <w:tc>
          <w:tcPr>
            <w:tcW w:w="1420" w:type="dxa"/>
            <w:tcBorders>
              <w:top w:val="nil"/>
              <w:left w:val="nil"/>
              <w:bottom w:val="single" w:sz="4" w:space="0" w:color="4F81BD"/>
              <w:right w:val="single" w:sz="4" w:space="0" w:color="4F81BD"/>
            </w:tcBorders>
            <w:shd w:val="clear" w:color="auto" w:fill="auto"/>
            <w:noWrap/>
            <w:vAlign w:val="center"/>
            <w:hideMark/>
          </w:tcPr>
          <w:p w:rsidR="00107245" w:rsidRPr="00D5126A" w:rsidRDefault="00107245" w:rsidP="008D1C20">
            <w:pPr>
              <w:spacing w:after="0" w:line="240" w:lineRule="auto"/>
              <w:jc w:val="center"/>
              <w:rPr>
                <w:rFonts w:ascii="Arial" w:eastAsia="Times New Roman" w:hAnsi="Arial" w:cs="Arial"/>
                <w:color w:val="000000"/>
                <w:sz w:val="20"/>
                <w:lang w:eastAsia="en-NZ"/>
              </w:rPr>
            </w:pPr>
            <w:r w:rsidRPr="00D5126A">
              <w:rPr>
                <w:rFonts w:ascii="Arial" w:eastAsia="Times New Roman" w:hAnsi="Arial" w:cs="Arial"/>
                <w:color w:val="000000"/>
                <w:sz w:val="20"/>
                <w:lang w:eastAsia="en-NZ"/>
              </w:rPr>
              <w:t>600</w:t>
            </w:r>
          </w:p>
        </w:tc>
      </w:tr>
      <w:tr w:rsidR="00107245" w:rsidRPr="00D5126A" w:rsidTr="008D1C20">
        <w:trPr>
          <w:trHeight w:val="300"/>
        </w:trPr>
        <w:tc>
          <w:tcPr>
            <w:tcW w:w="2560" w:type="dxa"/>
            <w:tcBorders>
              <w:top w:val="nil"/>
              <w:left w:val="single" w:sz="4" w:space="0" w:color="4F81BD"/>
              <w:bottom w:val="single" w:sz="4" w:space="0" w:color="4F81BD"/>
              <w:right w:val="single" w:sz="4" w:space="0" w:color="4F81BD"/>
            </w:tcBorders>
            <w:shd w:val="clear" w:color="auto" w:fill="auto"/>
            <w:noWrap/>
            <w:vAlign w:val="bottom"/>
            <w:hideMark/>
          </w:tcPr>
          <w:p w:rsidR="00107245" w:rsidRPr="00D5126A" w:rsidRDefault="00107245" w:rsidP="008D1C20">
            <w:pPr>
              <w:spacing w:after="0" w:line="240" w:lineRule="auto"/>
              <w:rPr>
                <w:rFonts w:ascii="Arial" w:eastAsia="Times New Roman" w:hAnsi="Arial" w:cs="Arial"/>
                <w:color w:val="000000"/>
                <w:sz w:val="20"/>
                <w:lang w:eastAsia="en-NZ"/>
              </w:rPr>
            </w:pPr>
            <w:r w:rsidRPr="00D5126A">
              <w:rPr>
                <w:rFonts w:ascii="Arial" w:eastAsia="Times New Roman" w:hAnsi="Arial" w:cs="Arial"/>
                <w:color w:val="000000"/>
                <w:sz w:val="20"/>
                <w:lang w:eastAsia="en-NZ"/>
              </w:rPr>
              <w:t>Latin American</w:t>
            </w:r>
          </w:p>
        </w:tc>
        <w:tc>
          <w:tcPr>
            <w:tcW w:w="1420" w:type="dxa"/>
            <w:tcBorders>
              <w:top w:val="nil"/>
              <w:left w:val="nil"/>
              <w:bottom w:val="single" w:sz="4" w:space="0" w:color="4F81BD"/>
              <w:right w:val="single" w:sz="4" w:space="0" w:color="4F81BD"/>
            </w:tcBorders>
            <w:shd w:val="clear" w:color="auto" w:fill="auto"/>
            <w:noWrap/>
            <w:vAlign w:val="center"/>
            <w:hideMark/>
          </w:tcPr>
          <w:p w:rsidR="00107245" w:rsidRPr="00D5126A" w:rsidRDefault="00107245" w:rsidP="008D1C20">
            <w:pPr>
              <w:spacing w:after="0" w:line="240" w:lineRule="auto"/>
              <w:jc w:val="center"/>
              <w:rPr>
                <w:rFonts w:ascii="Arial" w:eastAsia="Times New Roman" w:hAnsi="Arial" w:cs="Arial"/>
                <w:color w:val="000000"/>
                <w:sz w:val="20"/>
                <w:lang w:eastAsia="en-NZ"/>
              </w:rPr>
            </w:pPr>
            <w:r w:rsidRPr="00D5126A">
              <w:rPr>
                <w:rFonts w:ascii="Arial" w:eastAsia="Times New Roman" w:hAnsi="Arial" w:cs="Arial"/>
                <w:color w:val="000000"/>
                <w:sz w:val="20"/>
                <w:lang w:eastAsia="en-NZ"/>
              </w:rPr>
              <w:t>7</w:t>
            </w:r>
          </w:p>
        </w:tc>
        <w:tc>
          <w:tcPr>
            <w:tcW w:w="1420" w:type="dxa"/>
            <w:tcBorders>
              <w:top w:val="nil"/>
              <w:left w:val="nil"/>
              <w:bottom w:val="single" w:sz="4" w:space="0" w:color="4F81BD"/>
              <w:right w:val="single" w:sz="4" w:space="0" w:color="4F81BD"/>
            </w:tcBorders>
            <w:shd w:val="clear" w:color="auto" w:fill="auto"/>
            <w:noWrap/>
            <w:vAlign w:val="center"/>
            <w:hideMark/>
          </w:tcPr>
          <w:p w:rsidR="00107245" w:rsidRPr="00D5126A" w:rsidRDefault="00107245" w:rsidP="008D1C20">
            <w:pPr>
              <w:spacing w:after="0" w:line="240" w:lineRule="auto"/>
              <w:jc w:val="center"/>
              <w:rPr>
                <w:rFonts w:ascii="Arial" w:eastAsia="Times New Roman" w:hAnsi="Arial" w:cs="Arial"/>
                <w:color w:val="000000"/>
                <w:sz w:val="20"/>
                <w:lang w:eastAsia="en-NZ"/>
              </w:rPr>
            </w:pPr>
            <w:r w:rsidRPr="00D5126A">
              <w:rPr>
                <w:rFonts w:ascii="Arial" w:eastAsia="Times New Roman" w:hAnsi="Arial" w:cs="Arial"/>
                <w:color w:val="000000"/>
                <w:sz w:val="20"/>
                <w:lang w:eastAsia="en-NZ"/>
              </w:rPr>
              <w:t> </w:t>
            </w:r>
          </w:p>
        </w:tc>
        <w:tc>
          <w:tcPr>
            <w:tcW w:w="1420" w:type="dxa"/>
            <w:tcBorders>
              <w:top w:val="nil"/>
              <w:left w:val="nil"/>
              <w:bottom w:val="single" w:sz="4" w:space="0" w:color="4F81BD"/>
              <w:right w:val="single" w:sz="4" w:space="0" w:color="4F81BD"/>
            </w:tcBorders>
            <w:shd w:val="clear" w:color="auto" w:fill="auto"/>
            <w:noWrap/>
            <w:vAlign w:val="center"/>
            <w:hideMark/>
          </w:tcPr>
          <w:p w:rsidR="00107245" w:rsidRPr="00D5126A" w:rsidRDefault="00107245" w:rsidP="008D1C20">
            <w:pPr>
              <w:spacing w:after="0" w:line="240" w:lineRule="auto"/>
              <w:jc w:val="center"/>
              <w:rPr>
                <w:rFonts w:ascii="Arial" w:eastAsia="Times New Roman" w:hAnsi="Arial" w:cs="Arial"/>
                <w:color w:val="000000"/>
                <w:sz w:val="20"/>
                <w:lang w:eastAsia="en-NZ"/>
              </w:rPr>
            </w:pPr>
            <w:r w:rsidRPr="00D5126A">
              <w:rPr>
                <w:rFonts w:ascii="Arial" w:eastAsia="Times New Roman" w:hAnsi="Arial" w:cs="Arial"/>
                <w:color w:val="000000"/>
                <w:sz w:val="20"/>
                <w:lang w:eastAsia="en-NZ"/>
              </w:rPr>
              <w:t>7</w:t>
            </w:r>
          </w:p>
        </w:tc>
      </w:tr>
      <w:tr w:rsidR="00107245" w:rsidRPr="00D5126A" w:rsidTr="008D1C20">
        <w:trPr>
          <w:trHeight w:val="300"/>
        </w:trPr>
        <w:tc>
          <w:tcPr>
            <w:tcW w:w="2560" w:type="dxa"/>
            <w:tcBorders>
              <w:top w:val="nil"/>
              <w:left w:val="single" w:sz="4" w:space="0" w:color="4F81BD"/>
              <w:bottom w:val="single" w:sz="4" w:space="0" w:color="4F81BD"/>
              <w:right w:val="single" w:sz="4" w:space="0" w:color="4F81BD"/>
            </w:tcBorders>
            <w:shd w:val="clear" w:color="auto" w:fill="auto"/>
            <w:noWrap/>
            <w:vAlign w:val="center"/>
            <w:hideMark/>
          </w:tcPr>
          <w:p w:rsidR="00107245" w:rsidRPr="00D5126A" w:rsidRDefault="00107245" w:rsidP="008D1C20">
            <w:pPr>
              <w:spacing w:after="0" w:line="240" w:lineRule="auto"/>
              <w:rPr>
                <w:rFonts w:ascii="Arial" w:eastAsia="Times New Roman" w:hAnsi="Arial" w:cs="Arial"/>
                <w:color w:val="000000"/>
                <w:lang w:eastAsia="en-NZ"/>
              </w:rPr>
            </w:pPr>
            <w:r w:rsidRPr="00D5126A">
              <w:rPr>
                <w:rFonts w:ascii="Arial" w:eastAsia="Times New Roman" w:hAnsi="Arial" w:cs="Arial"/>
                <w:color w:val="000000"/>
                <w:lang w:eastAsia="en-NZ"/>
              </w:rPr>
              <w:t>Maori</w:t>
            </w:r>
          </w:p>
        </w:tc>
        <w:tc>
          <w:tcPr>
            <w:tcW w:w="1420" w:type="dxa"/>
            <w:tcBorders>
              <w:top w:val="nil"/>
              <w:left w:val="nil"/>
              <w:bottom w:val="single" w:sz="4" w:space="0" w:color="4F81BD"/>
              <w:right w:val="single" w:sz="4" w:space="0" w:color="4F81BD"/>
            </w:tcBorders>
            <w:shd w:val="clear" w:color="auto" w:fill="auto"/>
            <w:noWrap/>
            <w:vAlign w:val="center"/>
            <w:hideMark/>
          </w:tcPr>
          <w:p w:rsidR="00107245" w:rsidRPr="00D5126A" w:rsidRDefault="00107245" w:rsidP="008D1C20">
            <w:pPr>
              <w:spacing w:after="0" w:line="240" w:lineRule="auto"/>
              <w:jc w:val="center"/>
              <w:rPr>
                <w:rFonts w:ascii="Arial" w:eastAsia="Times New Roman" w:hAnsi="Arial" w:cs="Arial"/>
                <w:color w:val="000000"/>
                <w:lang w:eastAsia="en-NZ"/>
              </w:rPr>
            </w:pPr>
            <w:r w:rsidRPr="00D5126A">
              <w:rPr>
                <w:rFonts w:ascii="Arial" w:eastAsia="Times New Roman" w:hAnsi="Arial" w:cs="Arial"/>
                <w:color w:val="000000"/>
                <w:lang w:eastAsia="en-NZ"/>
              </w:rPr>
              <w:t>55</w:t>
            </w:r>
          </w:p>
        </w:tc>
        <w:tc>
          <w:tcPr>
            <w:tcW w:w="1420" w:type="dxa"/>
            <w:tcBorders>
              <w:top w:val="nil"/>
              <w:left w:val="nil"/>
              <w:bottom w:val="single" w:sz="4" w:space="0" w:color="4F81BD"/>
              <w:right w:val="single" w:sz="4" w:space="0" w:color="4F81BD"/>
            </w:tcBorders>
            <w:shd w:val="clear" w:color="auto" w:fill="auto"/>
            <w:noWrap/>
            <w:vAlign w:val="center"/>
            <w:hideMark/>
          </w:tcPr>
          <w:p w:rsidR="00107245" w:rsidRPr="00D5126A" w:rsidRDefault="00107245" w:rsidP="008D1C20">
            <w:pPr>
              <w:spacing w:after="0" w:line="240" w:lineRule="auto"/>
              <w:jc w:val="center"/>
              <w:rPr>
                <w:rFonts w:ascii="Arial" w:eastAsia="Times New Roman" w:hAnsi="Arial" w:cs="Arial"/>
                <w:color w:val="000000"/>
                <w:lang w:eastAsia="en-NZ"/>
              </w:rPr>
            </w:pPr>
            <w:r w:rsidRPr="00D5126A">
              <w:rPr>
                <w:rFonts w:ascii="Arial" w:eastAsia="Times New Roman" w:hAnsi="Arial" w:cs="Arial"/>
                <w:color w:val="000000"/>
                <w:lang w:eastAsia="en-NZ"/>
              </w:rPr>
              <w:t>44</w:t>
            </w:r>
          </w:p>
        </w:tc>
        <w:tc>
          <w:tcPr>
            <w:tcW w:w="1420" w:type="dxa"/>
            <w:tcBorders>
              <w:top w:val="nil"/>
              <w:left w:val="nil"/>
              <w:bottom w:val="single" w:sz="4" w:space="0" w:color="4F81BD"/>
              <w:right w:val="single" w:sz="4" w:space="0" w:color="4F81BD"/>
            </w:tcBorders>
            <w:shd w:val="clear" w:color="auto" w:fill="auto"/>
            <w:noWrap/>
            <w:vAlign w:val="center"/>
            <w:hideMark/>
          </w:tcPr>
          <w:p w:rsidR="00107245" w:rsidRPr="00D5126A" w:rsidRDefault="00107245" w:rsidP="008D1C20">
            <w:pPr>
              <w:spacing w:after="0" w:line="240" w:lineRule="auto"/>
              <w:jc w:val="center"/>
              <w:rPr>
                <w:rFonts w:ascii="Arial" w:eastAsia="Times New Roman" w:hAnsi="Arial" w:cs="Arial"/>
                <w:color w:val="000000"/>
                <w:lang w:eastAsia="en-NZ"/>
              </w:rPr>
            </w:pPr>
            <w:r w:rsidRPr="00D5126A">
              <w:rPr>
                <w:rFonts w:ascii="Arial" w:eastAsia="Times New Roman" w:hAnsi="Arial" w:cs="Arial"/>
                <w:color w:val="000000"/>
                <w:lang w:eastAsia="en-NZ"/>
              </w:rPr>
              <w:t>99</w:t>
            </w:r>
          </w:p>
        </w:tc>
      </w:tr>
      <w:tr w:rsidR="00107245" w:rsidRPr="00D5126A" w:rsidTr="008D1C20">
        <w:trPr>
          <w:trHeight w:val="300"/>
        </w:trPr>
        <w:tc>
          <w:tcPr>
            <w:tcW w:w="2560" w:type="dxa"/>
            <w:tcBorders>
              <w:top w:val="nil"/>
              <w:left w:val="single" w:sz="4" w:space="0" w:color="4F81BD"/>
              <w:bottom w:val="single" w:sz="4" w:space="0" w:color="4F81BD"/>
              <w:right w:val="single" w:sz="4" w:space="0" w:color="4F81BD"/>
            </w:tcBorders>
            <w:shd w:val="clear" w:color="auto" w:fill="auto"/>
            <w:noWrap/>
            <w:vAlign w:val="bottom"/>
            <w:hideMark/>
          </w:tcPr>
          <w:p w:rsidR="00107245" w:rsidRPr="00D5126A" w:rsidRDefault="00107245" w:rsidP="008D1C20">
            <w:pPr>
              <w:spacing w:after="0" w:line="240" w:lineRule="auto"/>
              <w:rPr>
                <w:rFonts w:ascii="Arial" w:eastAsia="Times New Roman" w:hAnsi="Arial" w:cs="Arial"/>
                <w:color w:val="000000"/>
                <w:sz w:val="20"/>
                <w:lang w:eastAsia="en-NZ"/>
              </w:rPr>
            </w:pPr>
            <w:r w:rsidRPr="00D5126A">
              <w:rPr>
                <w:rFonts w:ascii="Arial" w:eastAsia="Times New Roman" w:hAnsi="Arial" w:cs="Arial"/>
                <w:color w:val="000000"/>
                <w:sz w:val="20"/>
                <w:lang w:eastAsia="en-NZ"/>
              </w:rPr>
              <w:t>Middle Eastern</w:t>
            </w:r>
          </w:p>
        </w:tc>
        <w:tc>
          <w:tcPr>
            <w:tcW w:w="1420" w:type="dxa"/>
            <w:tcBorders>
              <w:top w:val="nil"/>
              <w:left w:val="nil"/>
              <w:bottom w:val="single" w:sz="4" w:space="0" w:color="4F81BD"/>
              <w:right w:val="single" w:sz="4" w:space="0" w:color="4F81BD"/>
            </w:tcBorders>
            <w:shd w:val="clear" w:color="auto" w:fill="auto"/>
            <w:noWrap/>
            <w:vAlign w:val="center"/>
            <w:hideMark/>
          </w:tcPr>
          <w:p w:rsidR="00107245" w:rsidRPr="00D5126A" w:rsidRDefault="00107245" w:rsidP="008D1C20">
            <w:pPr>
              <w:spacing w:after="0" w:line="240" w:lineRule="auto"/>
              <w:jc w:val="center"/>
              <w:rPr>
                <w:rFonts w:ascii="Arial" w:eastAsia="Times New Roman" w:hAnsi="Arial" w:cs="Arial"/>
                <w:color w:val="000000"/>
                <w:sz w:val="20"/>
                <w:lang w:eastAsia="en-NZ"/>
              </w:rPr>
            </w:pPr>
            <w:r w:rsidRPr="00D5126A">
              <w:rPr>
                <w:rFonts w:ascii="Arial" w:eastAsia="Times New Roman" w:hAnsi="Arial" w:cs="Arial"/>
                <w:color w:val="000000"/>
                <w:sz w:val="20"/>
                <w:lang w:eastAsia="en-NZ"/>
              </w:rPr>
              <w:t>5</w:t>
            </w:r>
          </w:p>
        </w:tc>
        <w:tc>
          <w:tcPr>
            <w:tcW w:w="1420" w:type="dxa"/>
            <w:tcBorders>
              <w:top w:val="nil"/>
              <w:left w:val="nil"/>
              <w:bottom w:val="single" w:sz="4" w:space="0" w:color="4F81BD"/>
              <w:right w:val="single" w:sz="4" w:space="0" w:color="4F81BD"/>
            </w:tcBorders>
            <w:shd w:val="clear" w:color="auto" w:fill="auto"/>
            <w:noWrap/>
            <w:vAlign w:val="center"/>
            <w:hideMark/>
          </w:tcPr>
          <w:p w:rsidR="00107245" w:rsidRPr="00D5126A" w:rsidRDefault="00107245" w:rsidP="008D1C20">
            <w:pPr>
              <w:spacing w:after="0" w:line="240" w:lineRule="auto"/>
              <w:jc w:val="center"/>
              <w:rPr>
                <w:rFonts w:ascii="Arial" w:eastAsia="Times New Roman" w:hAnsi="Arial" w:cs="Arial"/>
                <w:color w:val="000000"/>
                <w:sz w:val="20"/>
                <w:lang w:eastAsia="en-NZ"/>
              </w:rPr>
            </w:pPr>
            <w:r w:rsidRPr="00D5126A">
              <w:rPr>
                <w:rFonts w:ascii="Arial" w:eastAsia="Times New Roman" w:hAnsi="Arial" w:cs="Arial"/>
                <w:color w:val="000000"/>
                <w:sz w:val="20"/>
                <w:lang w:eastAsia="en-NZ"/>
              </w:rPr>
              <w:t>3</w:t>
            </w:r>
          </w:p>
        </w:tc>
        <w:tc>
          <w:tcPr>
            <w:tcW w:w="1420" w:type="dxa"/>
            <w:tcBorders>
              <w:top w:val="nil"/>
              <w:left w:val="nil"/>
              <w:bottom w:val="single" w:sz="4" w:space="0" w:color="4F81BD"/>
              <w:right w:val="single" w:sz="4" w:space="0" w:color="4F81BD"/>
            </w:tcBorders>
            <w:shd w:val="clear" w:color="auto" w:fill="auto"/>
            <w:noWrap/>
            <w:vAlign w:val="center"/>
            <w:hideMark/>
          </w:tcPr>
          <w:p w:rsidR="00107245" w:rsidRPr="00D5126A" w:rsidRDefault="00107245" w:rsidP="008D1C20">
            <w:pPr>
              <w:spacing w:after="0" w:line="240" w:lineRule="auto"/>
              <w:jc w:val="center"/>
              <w:rPr>
                <w:rFonts w:ascii="Arial" w:eastAsia="Times New Roman" w:hAnsi="Arial" w:cs="Arial"/>
                <w:color w:val="000000"/>
                <w:sz w:val="20"/>
                <w:lang w:eastAsia="en-NZ"/>
              </w:rPr>
            </w:pPr>
            <w:r w:rsidRPr="00D5126A">
              <w:rPr>
                <w:rFonts w:ascii="Arial" w:eastAsia="Times New Roman" w:hAnsi="Arial" w:cs="Arial"/>
                <w:color w:val="000000"/>
                <w:sz w:val="20"/>
                <w:lang w:eastAsia="en-NZ"/>
              </w:rPr>
              <w:t>8</w:t>
            </w:r>
          </w:p>
        </w:tc>
      </w:tr>
      <w:tr w:rsidR="00107245" w:rsidRPr="00D5126A" w:rsidTr="008D1C20">
        <w:trPr>
          <w:trHeight w:val="300"/>
        </w:trPr>
        <w:tc>
          <w:tcPr>
            <w:tcW w:w="2560" w:type="dxa"/>
            <w:tcBorders>
              <w:top w:val="nil"/>
              <w:left w:val="single" w:sz="4" w:space="0" w:color="4F81BD"/>
              <w:bottom w:val="single" w:sz="4" w:space="0" w:color="4F81BD"/>
              <w:right w:val="single" w:sz="4" w:space="0" w:color="4F81BD"/>
            </w:tcBorders>
            <w:shd w:val="clear" w:color="auto" w:fill="auto"/>
            <w:noWrap/>
            <w:vAlign w:val="bottom"/>
            <w:hideMark/>
          </w:tcPr>
          <w:p w:rsidR="00107245" w:rsidRPr="00D5126A" w:rsidRDefault="00107245" w:rsidP="008D1C20">
            <w:pPr>
              <w:spacing w:after="0" w:line="240" w:lineRule="auto"/>
              <w:rPr>
                <w:rFonts w:ascii="Arial" w:eastAsia="Times New Roman" w:hAnsi="Arial" w:cs="Arial"/>
                <w:color w:val="000000"/>
                <w:sz w:val="20"/>
                <w:lang w:eastAsia="en-NZ"/>
              </w:rPr>
            </w:pPr>
            <w:r w:rsidRPr="00D5126A">
              <w:rPr>
                <w:rFonts w:ascii="Arial" w:eastAsia="Times New Roman" w:hAnsi="Arial" w:cs="Arial"/>
                <w:color w:val="000000"/>
                <w:sz w:val="20"/>
                <w:lang w:eastAsia="en-NZ"/>
              </w:rPr>
              <w:t>Other European</w:t>
            </w:r>
          </w:p>
        </w:tc>
        <w:tc>
          <w:tcPr>
            <w:tcW w:w="1420" w:type="dxa"/>
            <w:tcBorders>
              <w:top w:val="nil"/>
              <w:left w:val="nil"/>
              <w:bottom w:val="single" w:sz="4" w:space="0" w:color="4F81BD"/>
              <w:right w:val="single" w:sz="4" w:space="0" w:color="4F81BD"/>
            </w:tcBorders>
            <w:shd w:val="clear" w:color="auto" w:fill="auto"/>
            <w:noWrap/>
            <w:vAlign w:val="center"/>
            <w:hideMark/>
          </w:tcPr>
          <w:p w:rsidR="00107245" w:rsidRPr="00D5126A" w:rsidRDefault="00107245" w:rsidP="008D1C20">
            <w:pPr>
              <w:spacing w:after="0" w:line="240" w:lineRule="auto"/>
              <w:jc w:val="center"/>
              <w:rPr>
                <w:rFonts w:ascii="Arial" w:eastAsia="Times New Roman" w:hAnsi="Arial" w:cs="Arial"/>
                <w:color w:val="000000"/>
                <w:sz w:val="20"/>
                <w:lang w:eastAsia="en-NZ"/>
              </w:rPr>
            </w:pPr>
            <w:r w:rsidRPr="00D5126A">
              <w:rPr>
                <w:rFonts w:ascii="Arial" w:eastAsia="Times New Roman" w:hAnsi="Arial" w:cs="Arial"/>
                <w:color w:val="000000"/>
                <w:sz w:val="20"/>
                <w:lang w:eastAsia="en-NZ"/>
              </w:rPr>
              <w:t>87</w:t>
            </w:r>
          </w:p>
        </w:tc>
        <w:tc>
          <w:tcPr>
            <w:tcW w:w="1420" w:type="dxa"/>
            <w:tcBorders>
              <w:top w:val="nil"/>
              <w:left w:val="nil"/>
              <w:bottom w:val="single" w:sz="4" w:space="0" w:color="4F81BD"/>
              <w:right w:val="single" w:sz="4" w:space="0" w:color="4F81BD"/>
            </w:tcBorders>
            <w:shd w:val="clear" w:color="auto" w:fill="auto"/>
            <w:noWrap/>
            <w:vAlign w:val="center"/>
            <w:hideMark/>
          </w:tcPr>
          <w:p w:rsidR="00107245" w:rsidRPr="00D5126A" w:rsidRDefault="00107245" w:rsidP="008D1C20">
            <w:pPr>
              <w:spacing w:after="0" w:line="240" w:lineRule="auto"/>
              <w:jc w:val="center"/>
              <w:rPr>
                <w:rFonts w:ascii="Arial" w:eastAsia="Times New Roman" w:hAnsi="Arial" w:cs="Arial"/>
                <w:color w:val="000000"/>
                <w:sz w:val="20"/>
                <w:lang w:eastAsia="en-NZ"/>
              </w:rPr>
            </w:pPr>
            <w:r w:rsidRPr="00D5126A">
              <w:rPr>
                <w:rFonts w:ascii="Arial" w:eastAsia="Times New Roman" w:hAnsi="Arial" w:cs="Arial"/>
                <w:color w:val="000000"/>
                <w:sz w:val="20"/>
                <w:lang w:eastAsia="en-NZ"/>
              </w:rPr>
              <w:t>45</w:t>
            </w:r>
          </w:p>
        </w:tc>
        <w:tc>
          <w:tcPr>
            <w:tcW w:w="1420" w:type="dxa"/>
            <w:tcBorders>
              <w:top w:val="nil"/>
              <w:left w:val="nil"/>
              <w:bottom w:val="single" w:sz="4" w:space="0" w:color="4F81BD"/>
              <w:right w:val="single" w:sz="4" w:space="0" w:color="4F81BD"/>
            </w:tcBorders>
            <w:shd w:val="clear" w:color="auto" w:fill="auto"/>
            <w:noWrap/>
            <w:vAlign w:val="center"/>
            <w:hideMark/>
          </w:tcPr>
          <w:p w:rsidR="00107245" w:rsidRPr="00D5126A" w:rsidRDefault="00107245" w:rsidP="008D1C20">
            <w:pPr>
              <w:spacing w:after="0" w:line="240" w:lineRule="auto"/>
              <w:jc w:val="center"/>
              <w:rPr>
                <w:rFonts w:ascii="Arial" w:eastAsia="Times New Roman" w:hAnsi="Arial" w:cs="Arial"/>
                <w:color w:val="000000"/>
                <w:sz w:val="20"/>
                <w:lang w:eastAsia="en-NZ"/>
              </w:rPr>
            </w:pPr>
            <w:r w:rsidRPr="00D5126A">
              <w:rPr>
                <w:rFonts w:ascii="Arial" w:eastAsia="Times New Roman" w:hAnsi="Arial" w:cs="Arial"/>
                <w:color w:val="000000"/>
                <w:sz w:val="20"/>
                <w:lang w:eastAsia="en-NZ"/>
              </w:rPr>
              <w:t>132</w:t>
            </w:r>
          </w:p>
        </w:tc>
      </w:tr>
      <w:tr w:rsidR="00107245" w:rsidRPr="00D5126A" w:rsidTr="008D1C20">
        <w:trPr>
          <w:trHeight w:val="300"/>
        </w:trPr>
        <w:tc>
          <w:tcPr>
            <w:tcW w:w="2560" w:type="dxa"/>
            <w:tcBorders>
              <w:top w:val="nil"/>
              <w:left w:val="single" w:sz="4" w:space="0" w:color="4F81BD"/>
              <w:bottom w:val="single" w:sz="4" w:space="0" w:color="4F81BD"/>
              <w:right w:val="single" w:sz="4" w:space="0" w:color="4F81BD"/>
            </w:tcBorders>
            <w:shd w:val="clear" w:color="auto" w:fill="auto"/>
            <w:noWrap/>
            <w:vAlign w:val="bottom"/>
            <w:hideMark/>
          </w:tcPr>
          <w:p w:rsidR="00107245" w:rsidRPr="00D5126A" w:rsidRDefault="00107245" w:rsidP="008D1C20">
            <w:pPr>
              <w:spacing w:after="0" w:line="240" w:lineRule="auto"/>
              <w:rPr>
                <w:rFonts w:ascii="Arial" w:eastAsia="Times New Roman" w:hAnsi="Arial" w:cs="Arial"/>
                <w:color w:val="000000"/>
                <w:sz w:val="20"/>
                <w:lang w:eastAsia="en-NZ"/>
              </w:rPr>
            </w:pPr>
            <w:r w:rsidRPr="00D5126A">
              <w:rPr>
                <w:rFonts w:ascii="Arial" w:eastAsia="Times New Roman" w:hAnsi="Arial" w:cs="Arial"/>
                <w:color w:val="000000"/>
                <w:sz w:val="20"/>
                <w:lang w:eastAsia="en-NZ"/>
              </w:rPr>
              <w:t>Pacific Peoples</w:t>
            </w:r>
          </w:p>
        </w:tc>
        <w:tc>
          <w:tcPr>
            <w:tcW w:w="1420" w:type="dxa"/>
            <w:tcBorders>
              <w:top w:val="nil"/>
              <w:left w:val="nil"/>
              <w:bottom w:val="single" w:sz="4" w:space="0" w:color="4F81BD"/>
              <w:right w:val="single" w:sz="4" w:space="0" w:color="4F81BD"/>
            </w:tcBorders>
            <w:shd w:val="clear" w:color="auto" w:fill="auto"/>
            <w:noWrap/>
            <w:vAlign w:val="center"/>
            <w:hideMark/>
          </w:tcPr>
          <w:p w:rsidR="00107245" w:rsidRPr="00D5126A" w:rsidRDefault="00107245" w:rsidP="008D1C20">
            <w:pPr>
              <w:spacing w:after="0" w:line="240" w:lineRule="auto"/>
              <w:jc w:val="center"/>
              <w:rPr>
                <w:rFonts w:ascii="Arial" w:eastAsia="Times New Roman" w:hAnsi="Arial" w:cs="Arial"/>
                <w:color w:val="000000"/>
                <w:sz w:val="20"/>
                <w:lang w:eastAsia="en-NZ"/>
              </w:rPr>
            </w:pPr>
            <w:r w:rsidRPr="00D5126A">
              <w:rPr>
                <w:rFonts w:ascii="Arial" w:eastAsia="Times New Roman" w:hAnsi="Arial" w:cs="Arial"/>
                <w:color w:val="000000"/>
                <w:sz w:val="20"/>
                <w:lang w:eastAsia="en-NZ"/>
              </w:rPr>
              <w:t>24</w:t>
            </w:r>
          </w:p>
        </w:tc>
        <w:tc>
          <w:tcPr>
            <w:tcW w:w="1420" w:type="dxa"/>
            <w:tcBorders>
              <w:top w:val="nil"/>
              <w:left w:val="nil"/>
              <w:bottom w:val="single" w:sz="4" w:space="0" w:color="4F81BD"/>
              <w:right w:val="single" w:sz="4" w:space="0" w:color="4F81BD"/>
            </w:tcBorders>
            <w:shd w:val="clear" w:color="auto" w:fill="auto"/>
            <w:noWrap/>
            <w:vAlign w:val="center"/>
            <w:hideMark/>
          </w:tcPr>
          <w:p w:rsidR="00107245" w:rsidRPr="00D5126A" w:rsidRDefault="00107245" w:rsidP="008D1C20">
            <w:pPr>
              <w:spacing w:after="0" w:line="240" w:lineRule="auto"/>
              <w:jc w:val="center"/>
              <w:rPr>
                <w:rFonts w:ascii="Arial" w:eastAsia="Times New Roman" w:hAnsi="Arial" w:cs="Arial"/>
                <w:color w:val="000000"/>
                <w:sz w:val="20"/>
                <w:lang w:eastAsia="en-NZ"/>
              </w:rPr>
            </w:pPr>
            <w:r w:rsidRPr="00D5126A">
              <w:rPr>
                <w:rFonts w:ascii="Arial" w:eastAsia="Times New Roman" w:hAnsi="Arial" w:cs="Arial"/>
                <w:color w:val="000000"/>
                <w:sz w:val="20"/>
                <w:lang w:eastAsia="en-NZ"/>
              </w:rPr>
              <w:t>19</w:t>
            </w:r>
          </w:p>
        </w:tc>
        <w:tc>
          <w:tcPr>
            <w:tcW w:w="1420" w:type="dxa"/>
            <w:tcBorders>
              <w:top w:val="nil"/>
              <w:left w:val="nil"/>
              <w:bottom w:val="single" w:sz="4" w:space="0" w:color="4F81BD"/>
              <w:right w:val="single" w:sz="4" w:space="0" w:color="4F81BD"/>
            </w:tcBorders>
            <w:shd w:val="clear" w:color="auto" w:fill="auto"/>
            <w:noWrap/>
            <w:vAlign w:val="center"/>
            <w:hideMark/>
          </w:tcPr>
          <w:p w:rsidR="00107245" w:rsidRPr="00D5126A" w:rsidRDefault="00107245" w:rsidP="008D1C20">
            <w:pPr>
              <w:spacing w:after="0" w:line="240" w:lineRule="auto"/>
              <w:jc w:val="center"/>
              <w:rPr>
                <w:rFonts w:ascii="Arial" w:eastAsia="Times New Roman" w:hAnsi="Arial" w:cs="Arial"/>
                <w:color w:val="000000"/>
                <w:sz w:val="20"/>
                <w:lang w:eastAsia="en-NZ"/>
              </w:rPr>
            </w:pPr>
            <w:r w:rsidRPr="00D5126A">
              <w:rPr>
                <w:rFonts w:ascii="Arial" w:eastAsia="Times New Roman" w:hAnsi="Arial" w:cs="Arial"/>
                <w:color w:val="000000"/>
                <w:sz w:val="20"/>
                <w:lang w:eastAsia="en-NZ"/>
              </w:rPr>
              <w:t>43</w:t>
            </w:r>
          </w:p>
        </w:tc>
      </w:tr>
      <w:tr w:rsidR="00107245" w:rsidRPr="00D5126A" w:rsidTr="008D1C20">
        <w:trPr>
          <w:trHeight w:val="300"/>
        </w:trPr>
        <w:tc>
          <w:tcPr>
            <w:tcW w:w="2560" w:type="dxa"/>
            <w:tcBorders>
              <w:top w:val="nil"/>
              <w:left w:val="single" w:sz="4" w:space="0" w:color="4F81BD"/>
              <w:bottom w:val="single" w:sz="4" w:space="0" w:color="4F81BD"/>
              <w:right w:val="single" w:sz="4" w:space="0" w:color="4F81BD"/>
            </w:tcBorders>
            <w:shd w:val="clear" w:color="auto" w:fill="auto"/>
            <w:noWrap/>
            <w:vAlign w:val="bottom"/>
            <w:hideMark/>
          </w:tcPr>
          <w:p w:rsidR="00107245" w:rsidRPr="00D5126A" w:rsidRDefault="00107245" w:rsidP="008D1C20">
            <w:pPr>
              <w:spacing w:after="0" w:line="240" w:lineRule="auto"/>
              <w:rPr>
                <w:rFonts w:ascii="Arial" w:eastAsia="Times New Roman" w:hAnsi="Arial" w:cs="Arial"/>
                <w:color w:val="000000"/>
                <w:sz w:val="20"/>
                <w:lang w:eastAsia="en-NZ"/>
              </w:rPr>
            </w:pPr>
            <w:r w:rsidRPr="00D5126A">
              <w:rPr>
                <w:rFonts w:ascii="Arial" w:eastAsia="Times New Roman" w:hAnsi="Arial" w:cs="Arial"/>
                <w:color w:val="000000"/>
                <w:sz w:val="20"/>
                <w:lang w:eastAsia="en-NZ"/>
              </w:rPr>
              <w:t>New Zealander</w:t>
            </w:r>
          </w:p>
        </w:tc>
        <w:tc>
          <w:tcPr>
            <w:tcW w:w="1420" w:type="dxa"/>
            <w:tcBorders>
              <w:top w:val="nil"/>
              <w:left w:val="nil"/>
              <w:bottom w:val="single" w:sz="4" w:space="0" w:color="4F81BD"/>
              <w:right w:val="single" w:sz="4" w:space="0" w:color="4F81BD"/>
            </w:tcBorders>
            <w:shd w:val="clear" w:color="auto" w:fill="auto"/>
            <w:noWrap/>
            <w:vAlign w:val="center"/>
            <w:hideMark/>
          </w:tcPr>
          <w:p w:rsidR="00107245" w:rsidRPr="00D5126A" w:rsidRDefault="00107245" w:rsidP="008D1C20">
            <w:pPr>
              <w:spacing w:after="0" w:line="240" w:lineRule="auto"/>
              <w:jc w:val="center"/>
              <w:rPr>
                <w:rFonts w:ascii="Arial" w:eastAsia="Times New Roman" w:hAnsi="Arial" w:cs="Arial"/>
                <w:color w:val="000000"/>
                <w:sz w:val="20"/>
                <w:lang w:eastAsia="en-NZ"/>
              </w:rPr>
            </w:pPr>
            <w:r w:rsidRPr="00D5126A">
              <w:rPr>
                <w:rFonts w:ascii="Arial" w:eastAsia="Times New Roman" w:hAnsi="Arial" w:cs="Arial"/>
                <w:color w:val="000000"/>
                <w:sz w:val="20"/>
                <w:lang w:eastAsia="en-NZ"/>
              </w:rPr>
              <w:t>106</w:t>
            </w:r>
          </w:p>
        </w:tc>
        <w:tc>
          <w:tcPr>
            <w:tcW w:w="1420" w:type="dxa"/>
            <w:tcBorders>
              <w:top w:val="nil"/>
              <w:left w:val="nil"/>
              <w:bottom w:val="single" w:sz="4" w:space="0" w:color="4F81BD"/>
              <w:right w:val="single" w:sz="4" w:space="0" w:color="4F81BD"/>
            </w:tcBorders>
            <w:shd w:val="clear" w:color="auto" w:fill="auto"/>
            <w:noWrap/>
            <w:vAlign w:val="center"/>
            <w:hideMark/>
          </w:tcPr>
          <w:p w:rsidR="00107245" w:rsidRPr="00D5126A" w:rsidRDefault="00107245" w:rsidP="008D1C20">
            <w:pPr>
              <w:spacing w:after="0" w:line="240" w:lineRule="auto"/>
              <w:jc w:val="center"/>
              <w:rPr>
                <w:rFonts w:ascii="Arial" w:eastAsia="Times New Roman" w:hAnsi="Arial" w:cs="Arial"/>
                <w:color w:val="000000"/>
                <w:sz w:val="20"/>
                <w:lang w:eastAsia="en-NZ"/>
              </w:rPr>
            </w:pPr>
            <w:r w:rsidRPr="00D5126A">
              <w:rPr>
                <w:rFonts w:ascii="Arial" w:eastAsia="Times New Roman" w:hAnsi="Arial" w:cs="Arial"/>
                <w:color w:val="000000"/>
                <w:sz w:val="20"/>
                <w:lang w:eastAsia="en-NZ"/>
              </w:rPr>
              <w:t>96</w:t>
            </w:r>
          </w:p>
        </w:tc>
        <w:tc>
          <w:tcPr>
            <w:tcW w:w="1420" w:type="dxa"/>
            <w:tcBorders>
              <w:top w:val="nil"/>
              <w:left w:val="nil"/>
              <w:bottom w:val="single" w:sz="4" w:space="0" w:color="4F81BD"/>
              <w:right w:val="single" w:sz="4" w:space="0" w:color="4F81BD"/>
            </w:tcBorders>
            <w:shd w:val="clear" w:color="auto" w:fill="auto"/>
            <w:noWrap/>
            <w:vAlign w:val="center"/>
            <w:hideMark/>
          </w:tcPr>
          <w:p w:rsidR="00107245" w:rsidRPr="00D5126A" w:rsidRDefault="00107245" w:rsidP="008D1C20">
            <w:pPr>
              <w:spacing w:after="0" w:line="240" w:lineRule="auto"/>
              <w:jc w:val="center"/>
              <w:rPr>
                <w:rFonts w:ascii="Arial" w:eastAsia="Times New Roman" w:hAnsi="Arial" w:cs="Arial"/>
                <w:color w:val="000000"/>
                <w:sz w:val="20"/>
                <w:lang w:eastAsia="en-NZ"/>
              </w:rPr>
            </w:pPr>
            <w:r w:rsidRPr="00D5126A">
              <w:rPr>
                <w:rFonts w:ascii="Arial" w:eastAsia="Times New Roman" w:hAnsi="Arial" w:cs="Arial"/>
                <w:color w:val="000000"/>
                <w:sz w:val="20"/>
                <w:lang w:eastAsia="en-NZ"/>
              </w:rPr>
              <w:t>202</w:t>
            </w:r>
          </w:p>
        </w:tc>
      </w:tr>
      <w:tr w:rsidR="00107245" w:rsidRPr="00D5126A" w:rsidTr="008D1C20">
        <w:trPr>
          <w:trHeight w:val="300"/>
        </w:trPr>
        <w:tc>
          <w:tcPr>
            <w:tcW w:w="2560" w:type="dxa"/>
            <w:tcBorders>
              <w:top w:val="nil"/>
              <w:left w:val="single" w:sz="4" w:space="0" w:color="4F81BD"/>
              <w:bottom w:val="single" w:sz="4" w:space="0" w:color="4F81BD"/>
              <w:right w:val="single" w:sz="4" w:space="0" w:color="4F81BD"/>
            </w:tcBorders>
            <w:shd w:val="clear" w:color="auto" w:fill="auto"/>
            <w:noWrap/>
            <w:vAlign w:val="bottom"/>
            <w:hideMark/>
          </w:tcPr>
          <w:p w:rsidR="00107245" w:rsidRPr="00D5126A" w:rsidRDefault="00107245" w:rsidP="008D1C20">
            <w:pPr>
              <w:spacing w:after="0" w:line="240" w:lineRule="auto"/>
              <w:rPr>
                <w:rFonts w:ascii="Arial" w:eastAsia="Times New Roman" w:hAnsi="Arial" w:cs="Arial"/>
                <w:color w:val="000000"/>
                <w:sz w:val="20"/>
                <w:lang w:eastAsia="en-NZ"/>
              </w:rPr>
            </w:pPr>
            <w:r w:rsidRPr="00D5126A">
              <w:rPr>
                <w:rFonts w:ascii="Arial" w:eastAsia="Times New Roman" w:hAnsi="Arial" w:cs="Arial"/>
                <w:color w:val="000000"/>
                <w:sz w:val="20"/>
                <w:lang w:eastAsia="en-NZ"/>
              </w:rPr>
              <w:t>Not Indicated</w:t>
            </w:r>
          </w:p>
        </w:tc>
        <w:tc>
          <w:tcPr>
            <w:tcW w:w="1420" w:type="dxa"/>
            <w:tcBorders>
              <w:top w:val="nil"/>
              <w:left w:val="nil"/>
              <w:bottom w:val="single" w:sz="4" w:space="0" w:color="4F81BD"/>
              <w:right w:val="single" w:sz="4" w:space="0" w:color="4F81BD"/>
            </w:tcBorders>
            <w:shd w:val="clear" w:color="auto" w:fill="auto"/>
            <w:noWrap/>
            <w:vAlign w:val="center"/>
            <w:hideMark/>
          </w:tcPr>
          <w:p w:rsidR="00107245" w:rsidRPr="00D5126A" w:rsidRDefault="00107245" w:rsidP="008D1C20">
            <w:pPr>
              <w:spacing w:after="0" w:line="240" w:lineRule="auto"/>
              <w:jc w:val="center"/>
              <w:rPr>
                <w:rFonts w:ascii="Arial" w:eastAsia="Times New Roman" w:hAnsi="Arial" w:cs="Arial"/>
                <w:color w:val="000000"/>
                <w:sz w:val="20"/>
                <w:lang w:eastAsia="en-NZ"/>
              </w:rPr>
            </w:pPr>
            <w:r w:rsidRPr="00D5126A">
              <w:rPr>
                <w:rFonts w:ascii="Arial" w:eastAsia="Times New Roman" w:hAnsi="Arial" w:cs="Arial"/>
                <w:color w:val="000000"/>
                <w:sz w:val="20"/>
                <w:lang w:eastAsia="en-NZ"/>
              </w:rPr>
              <w:t>326</w:t>
            </w:r>
          </w:p>
        </w:tc>
        <w:tc>
          <w:tcPr>
            <w:tcW w:w="1420" w:type="dxa"/>
            <w:tcBorders>
              <w:top w:val="nil"/>
              <w:left w:val="nil"/>
              <w:bottom w:val="single" w:sz="4" w:space="0" w:color="4F81BD"/>
              <w:right w:val="single" w:sz="4" w:space="0" w:color="4F81BD"/>
            </w:tcBorders>
            <w:shd w:val="clear" w:color="auto" w:fill="auto"/>
            <w:noWrap/>
            <w:vAlign w:val="center"/>
            <w:hideMark/>
          </w:tcPr>
          <w:p w:rsidR="00107245" w:rsidRPr="00D5126A" w:rsidRDefault="00107245" w:rsidP="008D1C20">
            <w:pPr>
              <w:spacing w:after="0" w:line="240" w:lineRule="auto"/>
              <w:jc w:val="center"/>
              <w:rPr>
                <w:rFonts w:ascii="Arial" w:eastAsia="Times New Roman" w:hAnsi="Arial" w:cs="Arial"/>
                <w:color w:val="000000"/>
                <w:sz w:val="20"/>
                <w:lang w:eastAsia="en-NZ"/>
              </w:rPr>
            </w:pPr>
            <w:r w:rsidRPr="00D5126A">
              <w:rPr>
                <w:rFonts w:ascii="Arial" w:eastAsia="Times New Roman" w:hAnsi="Arial" w:cs="Arial"/>
                <w:color w:val="000000"/>
                <w:sz w:val="20"/>
                <w:lang w:eastAsia="en-NZ"/>
              </w:rPr>
              <w:t>285</w:t>
            </w:r>
          </w:p>
        </w:tc>
        <w:tc>
          <w:tcPr>
            <w:tcW w:w="1420" w:type="dxa"/>
            <w:tcBorders>
              <w:top w:val="nil"/>
              <w:left w:val="nil"/>
              <w:bottom w:val="single" w:sz="4" w:space="0" w:color="4F81BD"/>
              <w:right w:val="single" w:sz="4" w:space="0" w:color="4F81BD"/>
            </w:tcBorders>
            <w:shd w:val="clear" w:color="auto" w:fill="auto"/>
            <w:noWrap/>
            <w:vAlign w:val="center"/>
            <w:hideMark/>
          </w:tcPr>
          <w:p w:rsidR="00107245" w:rsidRPr="00D5126A" w:rsidRDefault="00107245" w:rsidP="008D1C20">
            <w:pPr>
              <w:spacing w:after="0" w:line="240" w:lineRule="auto"/>
              <w:jc w:val="center"/>
              <w:rPr>
                <w:rFonts w:ascii="Arial" w:eastAsia="Times New Roman" w:hAnsi="Arial" w:cs="Arial"/>
                <w:color w:val="000000"/>
                <w:sz w:val="20"/>
                <w:lang w:eastAsia="en-NZ"/>
              </w:rPr>
            </w:pPr>
            <w:r w:rsidRPr="00D5126A">
              <w:rPr>
                <w:rFonts w:ascii="Arial" w:eastAsia="Times New Roman" w:hAnsi="Arial" w:cs="Arial"/>
                <w:color w:val="000000"/>
                <w:sz w:val="20"/>
                <w:lang w:eastAsia="en-NZ"/>
              </w:rPr>
              <w:t>611</w:t>
            </w:r>
          </w:p>
        </w:tc>
      </w:tr>
      <w:tr w:rsidR="00107245" w:rsidRPr="00D5126A" w:rsidTr="008D1C20">
        <w:trPr>
          <w:trHeight w:val="300"/>
        </w:trPr>
        <w:tc>
          <w:tcPr>
            <w:tcW w:w="2560" w:type="dxa"/>
            <w:tcBorders>
              <w:top w:val="nil"/>
              <w:left w:val="single" w:sz="4" w:space="0" w:color="4F81BD"/>
              <w:bottom w:val="single" w:sz="4" w:space="0" w:color="4F81BD"/>
              <w:right w:val="single" w:sz="4" w:space="0" w:color="4F81BD"/>
            </w:tcBorders>
            <w:shd w:val="clear" w:color="auto" w:fill="auto"/>
            <w:noWrap/>
            <w:vAlign w:val="bottom"/>
            <w:hideMark/>
          </w:tcPr>
          <w:p w:rsidR="00107245" w:rsidRPr="00D5126A" w:rsidRDefault="00107245" w:rsidP="008D1C20">
            <w:pPr>
              <w:spacing w:after="0" w:line="240" w:lineRule="auto"/>
              <w:rPr>
                <w:rFonts w:ascii="Arial" w:eastAsia="Times New Roman" w:hAnsi="Arial" w:cs="Arial"/>
                <w:color w:val="000000"/>
                <w:sz w:val="20"/>
                <w:lang w:eastAsia="en-NZ"/>
              </w:rPr>
            </w:pPr>
            <w:r w:rsidRPr="00D5126A">
              <w:rPr>
                <w:rFonts w:ascii="Arial" w:eastAsia="Times New Roman" w:hAnsi="Arial" w:cs="Arial"/>
                <w:color w:val="000000"/>
                <w:sz w:val="20"/>
                <w:lang w:eastAsia="en-NZ"/>
              </w:rPr>
              <w:t>Grand Total</w:t>
            </w:r>
          </w:p>
        </w:tc>
        <w:tc>
          <w:tcPr>
            <w:tcW w:w="1420" w:type="dxa"/>
            <w:tcBorders>
              <w:top w:val="nil"/>
              <w:left w:val="nil"/>
              <w:bottom w:val="single" w:sz="4" w:space="0" w:color="4F81BD"/>
              <w:right w:val="single" w:sz="4" w:space="0" w:color="4F81BD"/>
            </w:tcBorders>
            <w:shd w:val="clear" w:color="auto" w:fill="auto"/>
            <w:noWrap/>
            <w:vAlign w:val="center"/>
            <w:hideMark/>
          </w:tcPr>
          <w:p w:rsidR="00107245" w:rsidRPr="00D5126A" w:rsidRDefault="00107245" w:rsidP="008D1C20">
            <w:pPr>
              <w:spacing w:after="0" w:line="240" w:lineRule="auto"/>
              <w:jc w:val="center"/>
              <w:rPr>
                <w:rFonts w:ascii="Arial" w:eastAsia="Times New Roman" w:hAnsi="Arial" w:cs="Arial"/>
                <w:color w:val="000000"/>
                <w:sz w:val="20"/>
                <w:lang w:eastAsia="en-NZ"/>
              </w:rPr>
            </w:pPr>
            <w:r w:rsidRPr="00D5126A">
              <w:rPr>
                <w:rFonts w:ascii="Arial" w:eastAsia="Times New Roman" w:hAnsi="Arial" w:cs="Arial"/>
                <w:color w:val="000000"/>
                <w:sz w:val="20"/>
                <w:lang w:eastAsia="en-NZ"/>
              </w:rPr>
              <w:t>1,000</w:t>
            </w:r>
          </w:p>
        </w:tc>
        <w:tc>
          <w:tcPr>
            <w:tcW w:w="1420" w:type="dxa"/>
            <w:tcBorders>
              <w:top w:val="nil"/>
              <w:left w:val="nil"/>
              <w:bottom w:val="single" w:sz="4" w:space="0" w:color="4F81BD"/>
              <w:right w:val="single" w:sz="4" w:space="0" w:color="4F81BD"/>
            </w:tcBorders>
            <w:shd w:val="clear" w:color="auto" w:fill="auto"/>
            <w:noWrap/>
            <w:vAlign w:val="center"/>
            <w:hideMark/>
          </w:tcPr>
          <w:p w:rsidR="00107245" w:rsidRPr="00D5126A" w:rsidRDefault="00107245" w:rsidP="008D1C20">
            <w:pPr>
              <w:spacing w:after="0" w:line="240" w:lineRule="auto"/>
              <w:jc w:val="center"/>
              <w:rPr>
                <w:rFonts w:ascii="Arial" w:eastAsia="Times New Roman" w:hAnsi="Arial" w:cs="Arial"/>
                <w:color w:val="000000"/>
                <w:sz w:val="20"/>
                <w:lang w:eastAsia="en-NZ"/>
              </w:rPr>
            </w:pPr>
            <w:r w:rsidRPr="00D5126A">
              <w:rPr>
                <w:rFonts w:ascii="Arial" w:eastAsia="Times New Roman" w:hAnsi="Arial" w:cs="Arial"/>
                <w:color w:val="000000"/>
                <w:sz w:val="20"/>
                <w:lang w:eastAsia="en-NZ"/>
              </w:rPr>
              <w:t>803</w:t>
            </w:r>
          </w:p>
        </w:tc>
        <w:tc>
          <w:tcPr>
            <w:tcW w:w="1420" w:type="dxa"/>
            <w:tcBorders>
              <w:top w:val="nil"/>
              <w:left w:val="nil"/>
              <w:bottom w:val="single" w:sz="4" w:space="0" w:color="4F81BD"/>
              <w:right w:val="single" w:sz="4" w:space="0" w:color="4F81BD"/>
            </w:tcBorders>
            <w:shd w:val="clear" w:color="auto" w:fill="auto"/>
            <w:noWrap/>
            <w:vAlign w:val="center"/>
            <w:hideMark/>
          </w:tcPr>
          <w:p w:rsidR="00107245" w:rsidRPr="00D5126A" w:rsidRDefault="00107245" w:rsidP="008D1C20">
            <w:pPr>
              <w:spacing w:after="0" w:line="240" w:lineRule="auto"/>
              <w:jc w:val="center"/>
              <w:rPr>
                <w:rFonts w:ascii="Arial" w:eastAsia="Times New Roman" w:hAnsi="Arial" w:cs="Arial"/>
                <w:color w:val="000000"/>
                <w:sz w:val="20"/>
                <w:lang w:eastAsia="en-NZ"/>
              </w:rPr>
            </w:pPr>
            <w:r w:rsidRPr="00D5126A">
              <w:rPr>
                <w:rFonts w:ascii="Arial" w:eastAsia="Times New Roman" w:hAnsi="Arial" w:cs="Arial"/>
                <w:color w:val="000000"/>
                <w:sz w:val="20"/>
                <w:lang w:eastAsia="en-NZ"/>
              </w:rPr>
              <w:t>1,803</w:t>
            </w:r>
          </w:p>
        </w:tc>
      </w:tr>
    </w:tbl>
    <w:p w:rsidR="00107245" w:rsidRPr="00D5126A" w:rsidRDefault="00107245" w:rsidP="00107245">
      <w:pPr>
        <w:rPr>
          <w:rFonts w:ascii="Arial" w:eastAsia="Times New Roman" w:hAnsi="Arial"/>
        </w:rPr>
      </w:pPr>
    </w:p>
    <w:p w:rsidR="00107245" w:rsidRPr="00D5126A" w:rsidRDefault="00107245" w:rsidP="00107245">
      <w:pPr>
        <w:keepNext/>
        <w:keepLines/>
        <w:spacing w:before="200" w:after="0"/>
        <w:outlineLvl w:val="2"/>
        <w:rPr>
          <w:rFonts w:ascii="Arial" w:eastAsia="Times New Roman" w:hAnsi="Arial" w:cs="Arial"/>
          <w:b/>
          <w:bCs/>
          <w:color w:val="4F81BD"/>
          <w:sz w:val="32"/>
          <w:lang w:eastAsia="en-NZ"/>
        </w:rPr>
      </w:pPr>
      <w:bookmarkStart w:id="377" w:name="_Toc19085893"/>
      <w:r w:rsidRPr="00D5126A">
        <w:rPr>
          <w:rFonts w:ascii="Arial" w:eastAsia="Times New Roman" w:hAnsi="Arial" w:cs="Arial"/>
          <w:b/>
          <w:bCs/>
          <w:color w:val="4F81BD"/>
          <w:sz w:val="32"/>
          <w:lang w:eastAsia="en-NZ"/>
        </w:rPr>
        <w:t>Continuous learning and development</w:t>
      </w:r>
      <w:bookmarkEnd w:id="377"/>
    </w:p>
    <w:p w:rsidR="00107245" w:rsidRPr="00D5126A" w:rsidRDefault="00107245" w:rsidP="00107245">
      <w:pPr>
        <w:rPr>
          <w:rFonts w:ascii="Arial" w:eastAsia="Times New Roman" w:hAnsi="Arial"/>
        </w:rPr>
      </w:pPr>
      <w:r w:rsidRPr="00D5126A">
        <w:rPr>
          <w:rFonts w:ascii="Arial" w:eastAsia="Times New Roman" w:hAnsi="Arial"/>
        </w:rPr>
        <w:t>We continue to invest in learning and development including for: leadership and management development; using Council IT systems; and learning that will help build a highly constructive culture.</w:t>
      </w:r>
    </w:p>
    <w:p w:rsidR="00107245" w:rsidRPr="00D5126A" w:rsidRDefault="00107245" w:rsidP="00107245">
      <w:pPr>
        <w:rPr>
          <w:rFonts w:ascii="Arial" w:eastAsia="Times New Roman" w:hAnsi="Arial"/>
        </w:rPr>
      </w:pPr>
      <w:r w:rsidRPr="00D5126A">
        <w:rPr>
          <w:rFonts w:ascii="Arial" w:eastAsia="Times New Roman" w:hAnsi="Arial"/>
        </w:rPr>
        <w:t xml:space="preserve">This year the Organisational Development team provided 44 courses to staff. This doesn’t include training that was provided by individual business units. Overall Council spent $1,921,892 on training (Business Unit: $1,039,313, OD: $882,579). This equates to an average of $1,183.43 per employee. </w:t>
      </w:r>
    </w:p>
    <w:p w:rsidR="00107245" w:rsidRPr="00D5126A" w:rsidRDefault="00107245" w:rsidP="00107245">
      <w:pPr>
        <w:rPr>
          <w:rFonts w:ascii="Arial" w:eastAsia="Times New Roman" w:hAnsi="Arial"/>
        </w:rPr>
      </w:pPr>
      <w:r w:rsidRPr="00D5126A">
        <w:rPr>
          <w:rFonts w:ascii="Arial" w:eastAsia="Times New Roman" w:hAnsi="Arial"/>
        </w:rPr>
        <w:t xml:space="preserve">This year continued the strong uptake in our leadership programme, with 116 people attending which has four levels Personal Leadership, Emerging Leaders, Leading Teams and Leading Leaders. </w:t>
      </w:r>
    </w:p>
    <w:p w:rsidR="00107245" w:rsidRPr="00D5126A" w:rsidRDefault="00107245" w:rsidP="00107245">
      <w:pPr>
        <w:rPr>
          <w:rFonts w:ascii="Arial" w:eastAsia="Times New Roman" w:hAnsi="Arial"/>
        </w:rPr>
      </w:pPr>
      <w:r w:rsidRPr="00D5126A">
        <w:rPr>
          <w:rFonts w:ascii="Arial" w:eastAsia="Times New Roman" w:hAnsi="Arial"/>
        </w:rPr>
        <w:t xml:space="preserve">There has also been 104 staff through Managing Actual and Perceived Aggression training, 69 completed our Te Rito </w:t>
      </w:r>
      <w:proofErr w:type="gramStart"/>
      <w:r w:rsidRPr="00D5126A">
        <w:rPr>
          <w:rFonts w:ascii="Arial" w:eastAsia="Times New Roman" w:hAnsi="Arial"/>
        </w:rPr>
        <w:t>te</w:t>
      </w:r>
      <w:proofErr w:type="gramEnd"/>
      <w:r w:rsidRPr="00D5126A">
        <w:rPr>
          <w:rFonts w:ascii="Arial" w:eastAsia="Times New Roman" w:hAnsi="Arial"/>
        </w:rPr>
        <w:t xml:space="preserve"> reo Māori modules and </w:t>
      </w:r>
      <w:r w:rsidR="00BB543F" w:rsidRPr="00D5126A">
        <w:rPr>
          <w:rFonts w:ascii="Arial" w:eastAsia="Times New Roman" w:hAnsi="Arial"/>
        </w:rPr>
        <w:t>several staff</w:t>
      </w:r>
      <w:r w:rsidRPr="00D5126A">
        <w:rPr>
          <w:rFonts w:ascii="Arial" w:eastAsia="Times New Roman" w:hAnsi="Arial"/>
        </w:rPr>
        <w:t xml:space="preserve"> were trained as Health and Safety Representatives</w:t>
      </w:r>
      <w:r w:rsidR="00BB543F" w:rsidRPr="00D5126A">
        <w:rPr>
          <w:rFonts w:ascii="Arial" w:eastAsia="Times New Roman" w:hAnsi="Arial"/>
        </w:rPr>
        <w:t>.</w:t>
      </w:r>
    </w:p>
    <w:p w:rsidR="00107245" w:rsidRPr="00D5126A" w:rsidRDefault="00107245" w:rsidP="00107245">
      <w:pPr>
        <w:rPr>
          <w:rFonts w:ascii="Arial" w:eastAsia="Times New Roman" w:hAnsi="Arial"/>
        </w:rPr>
      </w:pPr>
      <w:r w:rsidRPr="00D5126A">
        <w:rPr>
          <w:rFonts w:ascii="Arial" w:eastAsia="Times New Roman" w:hAnsi="Arial"/>
        </w:rPr>
        <w:t>Through the refresh of our Performance, Career and Development plan, more focus is now required in development the knowledge and skill of our staff.  To support this we have created a new organisation core capability framework that provides expectations of capability required across the organisation at seven levels.  Managers and staff can use these capabilities to focus their development to deliver their performance expectations and to support growth related to their career aspirations.</w:t>
      </w:r>
    </w:p>
    <w:p w:rsidR="00107245" w:rsidRPr="00D5126A" w:rsidRDefault="00107245" w:rsidP="00107245">
      <w:pPr>
        <w:rPr>
          <w:rFonts w:ascii="Arial" w:eastAsia="Times New Roman" w:hAnsi="Arial"/>
        </w:rPr>
      </w:pPr>
      <w:r w:rsidRPr="00D5126A">
        <w:rPr>
          <w:rFonts w:ascii="Arial" w:eastAsia="Times New Roman" w:hAnsi="Arial"/>
        </w:rPr>
        <w:t xml:space="preserve">We received a good score in our Korero Mai survey related to the statement ‘WCC provides opportunities for me to develop my skills and competencies and actively encourages career </w:t>
      </w:r>
      <w:r w:rsidRPr="00D5126A">
        <w:rPr>
          <w:rFonts w:ascii="Arial" w:eastAsia="Times New Roman" w:hAnsi="Arial"/>
        </w:rPr>
        <w:lastRenderedPageBreak/>
        <w:t>development’ which was 68%.  Our overall index for training and development was 68% which tells us we have some room for improvement.</w:t>
      </w:r>
    </w:p>
    <w:p w:rsidR="00107245" w:rsidRPr="00D5126A" w:rsidRDefault="00107245" w:rsidP="00107245">
      <w:pPr>
        <w:rPr>
          <w:rFonts w:ascii="Arial" w:eastAsia="Times New Roman" w:hAnsi="Arial"/>
        </w:rPr>
      </w:pPr>
      <w:r w:rsidRPr="00D5126A">
        <w:rPr>
          <w:rFonts w:ascii="Arial" w:eastAsia="Times New Roman" w:hAnsi="Arial"/>
        </w:rPr>
        <w:t xml:space="preserve">We are in the process of updating our learning strategy that will identify the levers to support us to create a learning culture at Council.  </w:t>
      </w:r>
    </w:p>
    <w:p w:rsidR="00107245" w:rsidRPr="00D5126A" w:rsidRDefault="00107245" w:rsidP="00107245">
      <w:pPr>
        <w:keepNext/>
        <w:keepLines/>
        <w:spacing w:before="200" w:after="0"/>
        <w:outlineLvl w:val="2"/>
        <w:rPr>
          <w:rFonts w:ascii="Arial" w:eastAsia="Times New Roman" w:hAnsi="Arial" w:cs="Arial"/>
          <w:b/>
          <w:bCs/>
          <w:color w:val="4F81BD"/>
          <w:sz w:val="32"/>
          <w:lang w:eastAsia="en-NZ"/>
        </w:rPr>
      </w:pPr>
      <w:bookmarkStart w:id="378" w:name="_Toc19085894"/>
      <w:r w:rsidRPr="00D5126A">
        <w:rPr>
          <w:rFonts w:ascii="Arial" w:eastAsia="Times New Roman" w:hAnsi="Arial" w:cs="Arial"/>
          <w:b/>
          <w:bCs/>
          <w:color w:val="4F81BD"/>
          <w:sz w:val="32"/>
          <w:lang w:eastAsia="en-NZ"/>
        </w:rPr>
        <w:t>Health and Safety</w:t>
      </w:r>
      <w:bookmarkEnd w:id="378"/>
    </w:p>
    <w:p w:rsidR="00107245" w:rsidRPr="00D5126A" w:rsidRDefault="00107245" w:rsidP="00107245">
      <w:pPr>
        <w:rPr>
          <w:rFonts w:ascii="Arial" w:eastAsia="Times New Roman" w:hAnsi="Arial"/>
        </w:rPr>
      </w:pPr>
      <w:r w:rsidRPr="00D5126A">
        <w:rPr>
          <w:rFonts w:ascii="Arial" w:eastAsia="Times New Roman" w:hAnsi="Arial"/>
        </w:rPr>
        <w:t xml:space="preserve">The Council’s Health &amp; Safety Steering group has convened regularly throughout the year and is made up of the Council’s Directors, senior managers from high risk Health &amp; Safety areas and nominated Health &amp; Safety representatives who represent Councils workers. </w:t>
      </w:r>
    </w:p>
    <w:p w:rsidR="00107245" w:rsidRPr="00D5126A" w:rsidRDefault="00107245" w:rsidP="00107245">
      <w:pPr>
        <w:rPr>
          <w:rFonts w:ascii="Arial" w:eastAsia="Times New Roman" w:hAnsi="Arial"/>
        </w:rPr>
      </w:pPr>
      <w:r w:rsidRPr="00D5126A">
        <w:rPr>
          <w:rFonts w:ascii="Arial" w:eastAsia="Times New Roman" w:hAnsi="Arial"/>
        </w:rPr>
        <w:t xml:space="preserve">The purpose of the group is to provide governance and oversight of Health, Safety &amp; Wellbeing operations and activities, and to positively influence health, safety and wellbeing outcomes for Councils workers. </w:t>
      </w:r>
    </w:p>
    <w:p w:rsidR="00107245" w:rsidRPr="00D5126A" w:rsidRDefault="00107245" w:rsidP="00107245">
      <w:pPr>
        <w:rPr>
          <w:rFonts w:ascii="Arial" w:eastAsia="Times New Roman" w:hAnsi="Arial"/>
        </w:rPr>
      </w:pPr>
      <w:r w:rsidRPr="00D5126A">
        <w:rPr>
          <w:rFonts w:ascii="Arial" w:eastAsia="Times New Roman" w:hAnsi="Arial"/>
        </w:rPr>
        <w:t xml:space="preserve">As such the Safety, Security and Wellbeing business units have provided the steering group with monthly and quarterly statistical reporting, significant incident - investigation reporting and the reporting of the progress of key activities that are outlined in the Councils Safety, Security and Wellbeing biennial work plan. </w:t>
      </w:r>
    </w:p>
    <w:p w:rsidR="00107245" w:rsidRPr="00D5126A" w:rsidRDefault="00107245" w:rsidP="00107245">
      <w:pPr>
        <w:rPr>
          <w:rFonts w:ascii="Arial" w:eastAsia="Times New Roman" w:hAnsi="Arial"/>
        </w:rPr>
      </w:pPr>
      <w:r w:rsidRPr="00D5126A">
        <w:rPr>
          <w:rFonts w:ascii="Arial" w:eastAsia="Times New Roman" w:hAnsi="Arial"/>
        </w:rPr>
        <w:t>This oversight has formed a key component of the Council’s Officers due diligence throughout the year. Following on, summarised quarterly reports have been provided to Councillors through the Finance Audit Risk Management Subcommittee (FARMS) and also the City Strategy Committee (CSC) as part of Councillors due diligence activity.</w:t>
      </w:r>
    </w:p>
    <w:p w:rsidR="00107245" w:rsidRPr="00D5126A" w:rsidRDefault="00107245" w:rsidP="00107245">
      <w:pPr>
        <w:rPr>
          <w:rFonts w:ascii="Arial" w:eastAsia="Times New Roman" w:hAnsi="Arial"/>
        </w:rPr>
      </w:pPr>
      <w:r w:rsidRPr="00D5126A">
        <w:rPr>
          <w:rFonts w:ascii="Arial" w:eastAsia="Times New Roman" w:hAnsi="Arial"/>
        </w:rPr>
        <w:t xml:space="preserve">The Monthly and Quarterly Safety, Security and Wellbeing reports have included a number of key lag and lead indicators. Lag indicators have included workplace injury statistics and incident statistics and this year there has been a decrease in the number of reported incidents in relation to the Councils critical H&amp;S risks from 1000 to 836. </w:t>
      </w:r>
    </w:p>
    <w:p w:rsidR="00107245" w:rsidRPr="00D5126A" w:rsidRDefault="00107245" w:rsidP="00107245">
      <w:pPr>
        <w:rPr>
          <w:rFonts w:ascii="Arial" w:eastAsia="Times New Roman" w:hAnsi="Arial"/>
        </w:rPr>
      </w:pPr>
      <w:r w:rsidRPr="00D5126A">
        <w:rPr>
          <w:rFonts w:ascii="Arial" w:eastAsia="Times New Roman" w:hAnsi="Arial"/>
        </w:rPr>
        <w:t>Council takes bullying and harassment seriously, and as such, our strategy for supporting a safe working environment is focused on a series of actions across the organisation.</w:t>
      </w:r>
    </w:p>
    <w:p w:rsidR="00107245" w:rsidRPr="00D5126A" w:rsidRDefault="00107245" w:rsidP="00107245">
      <w:pPr>
        <w:rPr>
          <w:rFonts w:ascii="Arial" w:eastAsia="Times New Roman" w:hAnsi="Arial"/>
        </w:rPr>
      </w:pPr>
      <w:r w:rsidRPr="00D5126A">
        <w:rPr>
          <w:rFonts w:ascii="Arial" w:eastAsia="Times New Roman" w:hAnsi="Arial"/>
        </w:rPr>
        <w:t>At the organisational level, we have refreshed our code of conduct to be clearer about how we can prevent bullying and harassment at Council, we have rolled out manager training on how to manage employment issues, with a focus on early intervention before they escalate into bullying and harassment situations. And, at a staff level we are investing in communications campaigns to provide staff with clear definitions about what bullying and harassment is and support and reporting mechanisms when they feel they have been bullied and harassed.</w:t>
      </w:r>
    </w:p>
    <w:p w:rsidR="00107245" w:rsidRPr="00D5126A" w:rsidRDefault="00107245" w:rsidP="00107245">
      <w:pPr>
        <w:rPr>
          <w:rFonts w:ascii="Arial" w:eastAsia="Times New Roman" w:hAnsi="Arial"/>
        </w:rPr>
      </w:pPr>
      <w:r w:rsidRPr="00D5126A">
        <w:rPr>
          <w:rFonts w:ascii="Arial" w:eastAsia="Times New Roman" w:hAnsi="Arial"/>
        </w:rPr>
        <w:t xml:space="preserve">Through our Korero Mai staff survey we have created an index that collates score for statements that when combined give us a sense around whether there is a culture of undesirable behaviour (this includes bullying and harassment).  </w:t>
      </w:r>
    </w:p>
    <w:p w:rsidR="00107245" w:rsidRPr="00D5126A" w:rsidRDefault="00107245" w:rsidP="00107245">
      <w:pPr>
        <w:rPr>
          <w:rFonts w:ascii="Arial" w:eastAsia="Times New Roman" w:hAnsi="Arial"/>
        </w:rPr>
      </w:pPr>
      <w:r w:rsidRPr="00D5126A">
        <w:rPr>
          <w:rFonts w:ascii="Arial" w:eastAsia="Times New Roman" w:hAnsi="Arial"/>
        </w:rPr>
        <w:t xml:space="preserve">Our organisational score in our March survey was 72% which is a good score.  Most of the interventions detailed above were developed and launched only slightly before or after the survey was undertaken.  </w:t>
      </w:r>
    </w:p>
    <w:p w:rsidR="00107245" w:rsidRPr="00D5126A" w:rsidRDefault="00107245" w:rsidP="00107245">
      <w:pPr>
        <w:rPr>
          <w:rFonts w:ascii="Arial" w:eastAsia="Times New Roman" w:hAnsi="Arial"/>
        </w:rPr>
      </w:pPr>
      <w:r w:rsidRPr="00D5126A">
        <w:rPr>
          <w:rFonts w:ascii="Arial" w:eastAsia="Times New Roman" w:hAnsi="Arial"/>
        </w:rPr>
        <w:t xml:space="preserve">A broad range of lead indicators have included updates on activities undertaken to strengthen the controls in place for the Council’s ‘Nasty Nine Critical’ risks. Staff health, safety and wellbeing training has been undertaken, we do health monitoring, health and safety observations, have early intervention programmes for injuries and several wellbeing initiatives that have been provided to our </w:t>
      </w:r>
      <w:r w:rsidRPr="00D5126A">
        <w:rPr>
          <w:rFonts w:ascii="Arial" w:eastAsia="Times New Roman" w:hAnsi="Arial"/>
        </w:rPr>
        <w:lastRenderedPageBreak/>
        <w:t xml:space="preserve">workers throughout the year, for example increased numbers accessing the seasonal flu vaccination with 61 more staff accessing the vaccination. </w:t>
      </w:r>
    </w:p>
    <w:p w:rsidR="00107245" w:rsidRPr="00D5126A" w:rsidRDefault="00107245" w:rsidP="00107245">
      <w:pPr>
        <w:rPr>
          <w:rFonts w:ascii="Arial" w:eastAsia="Times New Roman" w:hAnsi="Arial"/>
        </w:rPr>
      </w:pPr>
      <w:r w:rsidRPr="00D5126A">
        <w:rPr>
          <w:rFonts w:ascii="Arial" w:eastAsia="Times New Roman" w:hAnsi="Arial"/>
        </w:rPr>
        <w:t>In relation to overall performance the results of the Councils Ko</w:t>
      </w:r>
      <w:r w:rsidR="00BB543F" w:rsidRPr="00D5126A">
        <w:rPr>
          <w:rFonts w:ascii="Arial" w:eastAsia="Times New Roman" w:hAnsi="Arial"/>
        </w:rPr>
        <w:t>rero Mai staff </w:t>
      </w:r>
      <w:r w:rsidRPr="00D5126A">
        <w:rPr>
          <w:rFonts w:ascii="Arial" w:eastAsia="Times New Roman" w:hAnsi="Arial"/>
        </w:rPr>
        <w:t>survey in March 2019 have indicated that 79% of responders agree with the Health &amp; Safety assertion that ‘WCC places an emphasis on the health and safety of its employees and customers’.</w:t>
      </w:r>
    </w:p>
    <w:p w:rsidR="00107245" w:rsidRPr="00D5126A" w:rsidRDefault="00107245" w:rsidP="00107245">
      <w:pPr>
        <w:keepNext/>
        <w:keepLines/>
        <w:spacing w:before="200" w:after="0"/>
        <w:outlineLvl w:val="2"/>
        <w:rPr>
          <w:rFonts w:ascii="Arial" w:eastAsia="Times New Roman" w:hAnsi="Arial" w:cs="Arial"/>
          <w:b/>
          <w:bCs/>
          <w:color w:val="4F81BD"/>
          <w:sz w:val="32"/>
          <w:lang w:eastAsia="en-NZ"/>
        </w:rPr>
      </w:pPr>
      <w:bookmarkStart w:id="379" w:name="_Toc19085895"/>
      <w:r w:rsidRPr="00D5126A">
        <w:rPr>
          <w:rFonts w:ascii="Arial" w:eastAsia="Times New Roman" w:hAnsi="Arial" w:cs="Arial"/>
          <w:b/>
          <w:bCs/>
          <w:color w:val="4F81BD"/>
          <w:sz w:val="32"/>
          <w:lang w:eastAsia="en-NZ"/>
        </w:rPr>
        <w:t>Volunteers</w:t>
      </w:r>
      <w:bookmarkEnd w:id="379"/>
    </w:p>
    <w:p w:rsidR="00107245" w:rsidRPr="00D5126A" w:rsidRDefault="00107245" w:rsidP="00107245">
      <w:pPr>
        <w:rPr>
          <w:rFonts w:ascii="Arial" w:eastAsia="Times New Roman" w:hAnsi="Arial"/>
        </w:rPr>
      </w:pPr>
      <w:r w:rsidRPr="00D5126A">
        <w:rPr>
          <w:rFonts w:ascii="Arial" w:eastAsia="Times New Roman" w:hAnsi="Arial"/>
        </w:rPr>
        <w:t xml:space="preserve">One of the greatest assets of our city is our people. We are privileged to have hundreds of people willing to donate their time to ensuring the city is a better place for all. Without all the help from these wonderful people, Wellington would not look or feel the same. Our network of volunteers is essential and many of them have worked in their own time for the city for decades.  </w:t>
      </w:r>
    </w:p>
    <w:p w:rsidR="00107245" w:rsidRPr="00D5126A" w:rsidRDefault="00107245" w:rsidP="00107245">
      <w:pPr>
        <w:keepNext/>
        <w:keepLines/>
        <w:spacing w:before="200" w:after="0"/>
        <w:outlineLvl w:val="4"/>
        <w:rPr>
          <w:rFonts w:ascii="Arial Black" w:eastAsia="Times New Roman" w:hAnsi="Arial Black"/>
        </w:rPr>
      </w:pPr>
      <w:r w:rsidRPr="00D5126A">
        <w:rPr>
          <w:rFonts w:ascii="Arial Black" w:eastAsia="Times New Roman" w:hAnsi="Arial Black"/>
        </w:rPr>
        <w:t>Environmental volunteers</w:t>
      </w:r>
    </w:p>
    <w:p w:rsidR="00107245" w:rsidRPr="00D5126A" w:rsidRDefault="00107245" w:rsidP="00107245">
      <w:pPr>
        <w:rPr>
          <w:rFonts w:ascii="Arial" w:eastAsia="Times New Roman" w:hAnsi="Arial"/>
        </w:rPr>
      </w:pPr>
      <w:r w:rsidRPr="00D5126A">
        <w:rPr>
          <w:rFonts w:ascii="Arial" w:eastAsia="Times New Roman" w:hAnsi="Arial"/>
        </w:rPr>
        <w:t xml:space="preserve">We continue to expand our network of volunteer trappers through the city helping us maintain low pest animal numbers. We currently have 27 groups trapping on public land and maintaining a network of 3500 traps. Many of these groups also have residential backyard trappers and there are an additional 16 groups trapping on backyards alone. </w:t>
      </w:r>
    </w:p>
    <w:p w:rsidR="00107245" w:rsidRPr="00D5126A" w:rsidRDefault="00107245" w:rsidP="00107245">
      <w:pPr>
        <w:rPr>
          <w:rFonts w:ascii="Arial" w:eastAsia="Times New Roman" w:hAnsi="Arial"/>
        </w:rPr>
      </w:pPr>
      <w:r w:rsidRPr="00D5126A">
        <w:rPr>
          <w:rFonts w:ascii="Arial" w:eastAsia="Times New Roman" w:hAnsi="Arial"/>
        </w:rPr>
        <w:t>We also continue to work with community nurseries to produce eco-sourced native plants and our restoration volunteers have planted 50,072 trees over the last year.</w:t>
      </w:r>
    </w:p>
    <w:p w:rsidR="00107245" w:rsidRPr="00D5126A" w:rsidRDefault="00107245" w:rsidP="00107245">
      <w:pPr>
        <w:rPr>
          <w:rFonts w:ascii="Arial" w:eastAsia="Times New Roman" w:hAnsi="Arial"/>
        </w:rPr>
      </w:pPr>
      <w:r w:rsidRPr="00D5126A">
        <w:rPr>
          <w:rFonts w:ascii="Arial" w:eastAsia="Times New Roman" w:hAnsi="Arial"/>
        </w:rPr>
        <w:t>Our volunteers have contributed a total of 70,230 hours to revitalising Wellington’s natural environment and they are vital in our dream of restoring out native bush covered hills and abundant native wild and bird life. These volunteers include those who work in our Wellington Gardens and at the Berhampore Nursery.</w:t>
      </w:r>
    </w:p>
    <w:p w:rsidR="00107245" w:rsidRPr="00D5126A" w:rsidRDefault="00107245" w:rsidP="002C7BF8">
      <w:pPr>
        <w:numPr>
          <w:ilvl w:val="0"/>
          <w:numId w:val="9"/>
        </w:numPr>
        <w:contextualSpacing/>
        <w:rPr>
          <w:rFonts w:ascii="Arial" w:eastAsia="Times New Roman" w:hAnsi="Arial"/>
        </w:rPr>
      </w:pPr>
      <w:r w:rsidRPr="00D5126A">
        <w:rPr>
          <w:rFonts w:ascii="Arial" w:eastAsia="Times New Roman" w:hAnsi="Arial"/>
        </w:rPr>
        <w:t>Wellington Gardens: 6048 hours</w:t>
      </w:r>
    </w:p>
    <w:p w:rsidR="00107245" w:rsidRPr="00D5126A" w:rsidRDefault="00107245" w:rsidP="002C7BF8">
      <w:pPr>
        <w:numPr>
          <w:ilvl w:val="0"/>
          <w:numId w:val="9"/>
        </w:numPr>
        <w:contextualSpacing/>
        <w:rPr>
          <w:rFonts w:ascii="Arial" w:eastAsia="Times New Roman" w:hAnsi="Arial"/>
        </w:rPr>
      </w:pPr>
      <w:r w:rsidRPr="00D5126A">
        <w:rPr>
          <w:rFonts w:ascii="Arial" w:eastAsia="Times New Roman" w:hAnsi="Arial"/>
        </w:rPr>
        <w:t>Berhampore Nursery: 2032 hours</w:t>
      </w:r>
    </w:p>
    <w:p w:rsidR="00107245" w:rsidRPr="00D5126A" w:rsidRDefault="00107245" w:rsidP="002C7BF8">
      <w:pPr>
        <w:numPr>
          <w:ilvl w:val="0"/>
          <w:numId w:val="9"/>
        </w:numPr>
        <w:contextualSpacing/>
        <w:rPr>
          <w:rFonts w:ascii="Arial" w:eastAsia="Times New Roman" w:hAnsi="Arial"/>
        </w:rPr>
      </w:pPr>
      <w:r w:rsidRPr="00D5126A">
        <w:rPr>
          <w:rFonts w:ascii="Arial" w:eastAsia="Times New Roman" w:hAnsi="Arial"/>
        </w:rPr>
        <w:t xml:space="preserve">Community volunteers: 62150 hours </w:t>
      </w:r>
    </w:p>
    <w:p w:rsidR="00107245" w:rsidRPr="00D5126A" w:rsidRDefault="00107245" w:rsidP="00107245">
      <w:pPr>
        <w:rPr>
          <w:rFonts w:ascii="Arial" w:eastAsia="Times New Roman" w:hAnsi="Arial"/>
        </w:rPr>
      </w:pPr>
      <w:r w:rsidRPr="00D5126A">
        <w:rPr>
          <w:rFonts w:ascii="Arial" w:eastAsia="Times New Roman" w:hAnsi="Arial"/>
        </w:rPr>
        <w:t xml:space="preserve">These hours include various activities across a range of sites, from beach clean ups to planting trees to guiding people around our amazing Wellington Gardens. </w:t>
      </w:r>
    </w:p>
    <w:p w:rsidR="00107245" w:rsidRPr="00D5126A" w:rsidRDefault="00107245" w:rsidP="00107245">
      <w:pPr>
        <w:keepNext/>
        <w:keepLines/>
        <w:spacing w:before="200" w:after="0"/>
        <w:outlineLvl w:val="3"/>
        <w:rPr>
          <w:rFonts w:ascii="Arial Black" w:eastAsia="Times New Roman" w:hAnsi="Arial Black"/>
          <w:b/>
          <w:bCs/>
          <w:i/>
          <w:iCs/>
          <w:color w:val="4F81BD"/>
          <w:sz w:val="28"/>
        </w:rPr>
      </w:pPr>
      <w:r w:rsidRPr="00D5126A">
        <w:rPr>
          <w:rFonts w:ascii="Arial Black" w:eastAsia="Times New Roman" w:hAnsi="Arial Black"/>
          <w:b/>
          <w:bCs/>
          <w:i/>
          <w:iCs/>
          <w:color w:val="4F81BD"/>
          <w:sz w:val="28"/>
        </w:rPr>
        <w:t>Libraries</w:t>
      </w:r>
    </w:p>
    <w:p w:rsidR="00107245" w:rsidRPr="00D5126A" w:rsidRDefault="00107245" w:rsidP="00107245">
      <w:pPr>
        <w:jc w:val="both"/>
        <w:rPr>
          <w:rFonts w:ascii="Arial" w:eastAsia="Times New Roman" w:hAnsi="Arial"/>
          <w:color w:val="000000"/>
        </w:rPr>
      </w:pPr>
      <w:r w:rsidRPr="00D5126A">
        <w:rPr>
          <w:rFonts w:ascii="Arial" w:eastAsia="Times New Roman" w:hAnsi="Arial"/>
          <w:bCs/>
          <w:color w:val="000000"/>
        </w:rPr>
        <w:t xml:space="preserve">In our libraries volunteers work in three areas. </w:t>
      </w:r>
      <w:r w:rsidRPr="00D5126A">
        <w:rPr>
          <w:rFonts w:ascii="Arial" w:eastAsia="Times New Roman" w:hAnsi="Arial"/>
          <w:color w:val="000000"/>
        </w:rPr>
        <w:t>Without this help our libraries would likely need additional staff resourcing. The volunteers are a valued part of the libraries network.</w:t>
      </w:r>
    </w:p>
    <w:p w:rsidR="00107245" w:rsidRPr="00D5126A" w:rsidRDefault="00107245" w:rsidP="00107245">
      <w:pPr>
        <w:keepNext/>
        <w:keepLines/>
        <w:spacing w:before="200" w:after="0"/>
        <w:outlineLvl w:val="4"/>
        <w:rPr>
          <w:rFonts w:ascii="Arial Black" w:eastAsia="Times New Roman" w:hAnsi="Arial Black"/>
        </w:rPr>
      </w:pPr>
      <w:r w:rsidRPr="00D5126A">
        <w:rPr>
          <w:rFonts w:ascii="Arial Black" w:eastAsia="Times New Roman" w:hAnsi="Arial Black"/>
        </w:rPr>
        <w:t>Shelving volunteers</w:t>
      </w:r>
    </w:p>
    <w:p w:rsidR="00107245" w:rsidRPr="00D5126A" w:rsidRDefault="00107245" w:rsidP="00107245">
      <w:pPr>
        <w:jc w:val="both"/>
        <w:rPr>
          <w:rFonts w:ascii="Arial" w:eastAsia="Times New Roman" w:hAnsi="Arial"/>
          <w:color w:val="000000"/>
        </w:rPr>
      </w:pPr>
      <w:proofErr w:type="gramStart"/>
      <w:r w:rsidRPr="00D5126A">
        <w:rPr>
          <w:rFonts w:ascii="Arial" w:eastAsia="Times New Roman" w:hAnsi="Arial"/>
          <w:iCs/>
          <w:color w:val="000000"/>
        </w:rPr>
        <w:t>Staff in our libraries are</w:t>
      </w:r>
      <w:proofErr w:type="gramEnd"/>
      <w:r w:rsidRPr="00D5126A">
        <w:rPr>
          <w:rFonts w:ascii="Arial" w:eastAsia="Times New Roman" w:hAnsi="Arial"/>
          <w:iCs/>
          <w:color w:val="000000"/>
        </w:rPr>
        <w:t xml:space="preserve"> often assisted by volunteers to shelve books, tidy the library, </w:t>
      </w:r>
      <w:r w:rsidRPr="00D5126A">
        <w:rPr>
          <w:rFonts w:ascii="Arial" w:eastAsia="Times New Roman" w:hAnsi="Arial"/>
          <w:color w:val="000000"/>
        </w:rPr>
        <w:t>sticker and box withdrawn items, clean book covers, and children’s toys</w:t>
      </w:r>
      <w:r w:rsidRPr="00D5126A">
        <w:rPr>
          <w:rFonts w:ascii="Arial" w:eastAsia="Times New Roman" w:hAnsi="Arial"/>
          <w:iCs/>
          <w:color w:val="000000"/>
        </w:rPr>
        <w:t xml:space="preserve">. There are about </w:t>
      </w:r>
      <w:r w:rsidRPr="00D5126A">
        <w:rPr>
          <w:rFonts w:ascii="Arial" w:eastAsia="Times New Roman" w:hAnsi="Arial"/>
          <w:color w:val="000000"/>
        </w:rPr>
        <w:t xml:space="preserve">5 volunteers at any one time, doing an hour of work per week, specifically working in the South East Libraries. Most of these volunteers are doing activities such as Duke of Edinburgh, or are unable to take on employment for some other reason, such as a disability. </w:t>
      </w:r>
    </w:p>
    <w:p w:rsidR="00107245" w:rsidRPr="00D5126A" w:rsidRDefault="00107245" w:rsidP="00107245">
      <w:pPr>
        <w:keepNext/>
        <w:keepLines/>
        <w:spacing w:before="200" w:after="0"/>
        <w:outlineLvl w:val="4"/>
        <w:rPr>
          <w:rFonts w:ascii="Arial Black" w:eastAsia="Times New Roman" w:hAnsi="Arial Black"/>
        </w:rPr>
      </w:pPr>
      <w:r w:rsidRPr="00D5126A">
        <w:rPr>
          <w:rFonts w:ascii="Arial Black" w:eastAsia="Times New Roman" w:hAnsi="Arial Black"/>
        </w:rPr>
        <w:t>Housebound carriers</w:t>
      </w:r>
    </w:p>
    <w:p w:rsidR="00107245" w:rsidRPr="00D5126A" w:rsidRDefault="00107245" w:rsidP="00107245">
      <w:pPr>
        <w:jc w:val="both"/>
        <w:rPr>
          <w:rFonts w:ascii="Arial" w:eastAsia="Times New Roman" w:hAnsi="Arial"/>
          <w:color w:val="000000"/>
        </w:rPr>
      </w:pPr>
      <w:r w:rsidRPr="00D5126A">
        <w:rPr>
          <w:rFonts w:ascii="Arial" w:eastAsia="Times New Roman" w:hAnsi="Arial"/>
          <w:color w:val="000000"/>
        </w:rPr>
        <w:t xml:space="preserve">These volunteers deliver books to and from library members who are housebound and unable to visit the library themselves for various mobility reasons. We currently have 40 volunteers who deliver and uplift book deliveries every six weeks, but this number varies depending on demand.  These volunteers are essential to the housebound library service operation. We recognise the work and </w:t>
      </w:r>
      <w:r w:rsidRPr="00D5126A">
        <w:rPr>
          <w:rFonts w:ascii="Arial" w:eastAsia="Times New Roman" w:hAnsi="Arial"/>
          <w:color w:val="000000"/>
        </w:rPr>
        <w:lastRenderedPageBreak/>
        <w:t xml:space="preserve">contribution that housebound carriers do through writing thank you letters, and offering free reserves (more latterly by a concession card of their choice).  </w:t>
      </w:r>
    </w:p>
    <w:p w:rsidR="00107245" w:rsidRPr="00D5126A" w:rsidRDefault="00107245" w:rsidP="00107245">
      <w:pPr>
        <w:jc w:val="both"/>
        <w:rPr>
          <w:rFonts w:ascii="Arial" w:eastAsia="Times New Roman" w:hAnsi="Arial"/>
          <w:color w:val="000000"/>
        </w:rPr>
      </w:pPr>
      <w:r w:rsidRPr="00D5126A">
        <w:rPr>
          <w:rFonts w:ascii="Arial" w:eastAsia="Times New Roman" w:hAnsi="Arial"/>
          <w:color w:val="000000"/>
        </w:rPr>
        <w:t xml:space="preserve">We have also arranged thank you morning teas in the past and have occasionally highlighted their contribution in publicity.  </w:t>
      </w:r>
    </w:p>
    <w:p w:rsidR="00107245" w:rsidRPr="00D5126A" w:rsidRDefault="00107245" w:rsidP="00107245">
      <w:pPr>
        <w:keepNext/>
        <w:keepLines/>
        <w:spacing w:before="200" w:after="0"/>
        <w:outlineLvl w:val="4"/>
        <w:rPr>
          <w:rFonts w:ascii="Arial Black" w:eastAsia="Times New Roman" w:hAnsi="Arial Black"/>
        </w:rPr>
      </w:pPr>
      <w:r w:rsidRPr="00D5126A">
        <w:rPr>
          <w:rFonts w:ascii="Arial Black" w:eastAsia="Times New Roman" w:hAnsi="Arial Black"/>
        </w:rPr>
        <w:t>Event presenters</w:t>
      </w:r>
    </w:p>
    <w:p w:rsidR="00107245" w:rsidRPr="00D5126A" w:rsidRDefault="00107245" w:rsidP="00107245">
      <w:pPr>
        <w:jc w:val="both"/>
        <w:rPr>
          <w:rFonts w:ascii="Arial" w:eastAsia="Times New Roman" w:hAnsi="Arial"/>
          <w:color w:val="000000"/>
        </w:rPr>
      </w:pPr>
      <w:r w:rsidRPr="00D5126A">
        <w:rPr>
          <w:rFonts w:ascii="Arial" w:eastAsia="Times New Roman" w:hAnsi="Arial"/>
          <w:iCs/>
          <w:color w:val="000000"/>
        </w:rPr>
        <w:t>This year we engaged 20 p</w:t>
      </w:r>
      <w:r w:rsidRPr="00D5126A">
        <w:rPr>
          <w:rFonts w:ascii="Arial" w:eastAsia="Times New Roman" w:hAnsi="Arial"/>
          <w:color w:val="000000"/>
        </w:rPr>
        <w:t>eople to present information talks within Libraries and Community Spaces. Most of these volunteers contributed on a single occasion only. These presenters allow us to provide a variety of events to the public. These events are usually arranged as a partnership with the presenter and there is a benefit to the presenter in the promotion of the topic and/or their organisation through the event and the event publicity on Council promotional channels. </w:t>
      </w:r>
    </w:p>
    <w:p w:rsidR="00107245" w:rsidRPr="00D5126A" w:rsidRDefault="00107245" w:rsidP="00107245">
      <w:pPr>
        <w:keepNext/>
        <w:keepLines/>
        <w:spacing w:before="200" w:after="0"/>
        <w:outlineLvl w:val="3"/>
        <w:rPr>
          <w:rFonts w:ascii="Arial Black" w:eastAsia="Times New Roman" w:hAnsi="Arial Black"/>
          <w:b/>
          <w:bCs/>
          <w:i/>
          <w:iCs/>
          <w:color w:val="4F81BD"/>
          <w:sz w:val="28"/>
        </w:rPr>
      </w:pPr>
      <w:r w:rsidRPr="00D5126A">
        <w:rPr>
          <w:rFonts w:ascii="Arial Black" w:eastAsia="Times New Roman" w:hAnsi="Arial Black"/>
          <w:b/>
          <w:bCs/>
          <w:i/>
          <w:iCs/>
          <w:color w:val="4F81BD"/>
          <w:sz w:val="28"/>
        </w:rPr>
        <w:t>Heritage</w:t>
      </w:r>
    </w:p>
    <w:p w:rsidR="00107245" w:rsidRPr="00D5126A" w:rsidRDefault="00107245" w:rsidP="00107245">
      <w:pPr>
        <w:jc w:val="both"/>
        <w:rPr>
          <w:rFonts w:ascii="Arial" w:eastAsia="Times New Roman" w:hAnsi="Arial"/>
        </w:rPr>
      </w:pPr>
      <w:r w:rsidRPr="00D5126A">
        <w:rPr>
          <w:rFonts w:ascii="Arial" w:eastAsia="Times New Roman" w:hAnsi="Arial"/>
        </w:rPr>
        <w:t>Council hosts student placements from the post-graduate Victoria University Museum and Heritage Studies programme.  We have had two in two years: both for five weeks of supervised research into an agreed heritage topic relevant to the Council’s work.</w:t>
      </w:r>
    </w:p>
    <w:p w:rsidR="00107245" w:rsidRPr="00D5126A" w:rsidRDefault="00107245" w:rsidP="00107245">
      <w:pPr>
        <w:keepNext/>
        <w:keepLines/>
        <w:spacing w:before="200" w:after="0"/>
        <w:outlineLvl w:val="3"/>
        <w:rPr>
          <w:rFonts w:ascii="Arial Black" w:eastAsia="Times New Roman" w:hAnsi="Arial Black"/>
          <w:b/>
          <w:bCs/>
          <w:i/>
          <w:iCs/>
          <w:color w:val="4F81BD"/>
          <w:sz w:val="28"/>
        </w:rPr>
      </w:pPr>
      <w:r w:rsidRPr="00D5126A">
        <w:rPr>
          <w:rFonts w:ascii="Arial Black" w:eastAsia="Times New Roman" w:hAnsi="Arial Black"/>
          <w:b/>
          <w:bCs/>
          <w:i/>
          <w:iCs/>
          <w:color w:val="4F81BD"/>
          <w:sz w:val="28"/>
        </w:rPr>
        <w:t>Anti-Graffiti Programme</w:t>
      </w:r>
    </w:p>
    <w:p w:rsidR="00107245" w:rsidRPr="00D5126A" w:rsidRDefault="00107245" w:rsidP="00107245">
      <w:pPr>
        <w:rPr>
          <w:rFonts w:ascii="Arial" w:eastAsia="Times New Roman" w:hAnsi="Arial"/>
          <w:color w:val="1F497D"/>
        </w:rPr>
      </w:pPr>
      <w:r w:rsidRPr="00D5126A">
        <w:rPr>
          <w:rFonts w:ascii="Arial" w:eastAsia="Times New Roman" w:hAnsi="Arial"/>
          <w:iCs/>
        </w:rPr>
        <w:t>We s</w:t>
      </w:r>
      <w:r w:rsidRPr="00D5126A">
        <w:rPr>
          <w:rFonts w:ascii="Arial" w:eastAsia="Times New Roman" w:hAnsi="Arial"/>
        </w:rPr>
        <w:t>upport individuals and communities who want to remove graffiti vandalism.  The programme provides coordination of community-based clean-up activities, advice and support on the best ways to remove tagging, and resources and equipment for clean-up projects. We have 90 volunteers currently registered.</w:t>
      </w:r>
    </w:p>
    <w:p w:rsidR="00107245" w:rsidRPr="00D5126A" w:rsidRDefault="00107245" w:rsidP="00107245">
      <w:pPr>
        <w:rPr>
          <w:rFonts w:ascii="Arial" w:eastAsia="Times New Roman" w:hAnsi="Arial" w:cs="Arial"/>
          <w:color w:val="1F497D"/>
        </w:rPr>
      </w:pPr>
    </w:p>
    <w:p w:rsidR="00107245" w:rsidRPr="00D5126A" w:rsidRDefault="00107245" w:rsidP="00107245">
      <w:pPr>
        <w:pStyle w:val="Heading2"/>
        <w:rPr>
          <w:rFonts w:eastAsia="Times New Roman"/>
        </w:rPr>
      </w:pPr>
      <w:r w:rsidRPr="00D5126A">
        <w:rPr>
          <w:rFonts w:ascii="Cambria" w:eastAsia="Times New Roman" w:hAnsi="Cambria"/>
        </w:rPr>
        <w:br w:type="page"/>
      </w:r>
      <w:bookmarkStart w:id="380" w:name="_Toc18922459"/>
      <w:bookmarkStart w:id="381" w:name="_Toc19085896"/>
      <w:bookmarkStart w:id="382" w:name="_Toc23758617"/>
      <w:r w:rsidRPr="00D5126A">
        <w:rPr>
          <w:rFonts w:eastAsia="Times New Roman"/>
        </w:rPr>
        <w:lastRenderedPageBreak/>
        <w:t xml:space="preserve">Homai </w:t>
      </w:r>
      <w:proofErr w:type="gramStart"/>
      <w:r w:rsidRPr="00D5126A">
        <w:rPr>
          <w:rFonts w:eastAsia="Times New Roman"/>
        </w:rPr>
        <w:t>te</w:t>
      </w:r>
      <w:proofErr w:type="gramEnd"/>
      <w:r w:rsidRPr="00D5126A">
        <w:rPr>
          <w:rFonts w:eastAsia="Times New Roman"/>
        </w:rPr>
        <w:t xml:space="preserve"> pakipaki – A round of applause</w:t>
      </w:r>
      <w:bookmarkEnd w:id="380"/>
      <w:bookmarkEnd w:id="381"/>
      <w:bookmarkEnd w:id="382"/>
    </w:p>
    <w:p w:rsidR="00107245" w:rsidRPr="00D5126A" w:rsidRDefault="00107245" w:rsidP="00107245">
      <w:pPr>
        <w:rPr>
          <w:rFonts w:ascii="Arial" w:eastAsia="Times New Roman" w:hAnsi="Arial" w:cs="Arial"/>
        </w:rPr>
      </w:pPr>
      <w:r w:rsidRPr="00D5126A">
        <w:rPr>
          <w:rFonts w:ascii="Arial" w:eastAsia="Times New Roman" w:hAnsi="Arial" w:cs="Arial"/>
        </w:rPr>
        <w:t xml:space="preserve">Some of the awards won by Wellington City Council projects and staff this year. </w:t>
      </w:r>
    </w:p>
    <w:p w:rsidR="00107245" w:rsidRPr="00D5126A" w:rsidRDefault="00107245" w:rsidP="00107245">
      <w:pPr>
        <w:keepNext/>
        <w:keepLines/>
        <w:spacing w:before="200" w:after="0"/>
        <w:outlineLvl w:val="4"/>
        <w:rPr>
          <w:rFonts w:ascii="Arial" w:eastAsia="Times New Roman" w:hAnsi="Arial" w:cs="Arial"/>
          <w:b/>
        </w:rPr>
      </w:pPr>
      <w:r w:rsidRPr="00D5126A">
        <w:rPr>
          <w:rFonts w:ascii="Arial" w:eastAsia="Times New Roman" w:hAnsi="Arial" w:cs="Arial"/>
          <w:b/>
        </w:rPr>
        <w:t>July 2018</w:t>
      </w:r>
    </w:p>
    <w:p w:rsidR="00107245" w:rsidRPr="00D5126A" w:rsidRDefault="00107245" w:rsidP="00107245">
      <w:pPr>
        <w:spacing w:line="240" w:lineRule="auto"/>
        <w:rPr>
          <w:rFonts w:ascii="Arial" w:eastAsia="Times New Roman" w:hAnsi="Arial" w:cs="Arial"/>
        </w:rPr>
      </w:pPr>
      <w:r w:rsidRPr="00D5126A">
        <w:rPr>
          <w:rFonts w:ascii="Arial" w:eastAsia="Times New Roman" w:hAnsi="Arial" w:cs="Arial"/>
        </w:rPr>
        <w:t>Local Government New Zealand Awards, Excellence Award for Environmental Impact: for Our Natural Capital programme.</w:t>
      </w:r>
    </w:p>
    <w:p w:rsidR="00107245" w:rsidRPr="00D5126A" w:rsidRDefault="00107245" w:rsidP="00107245">
      <w:pPr>
        <w:spacing w:line="240" w:lineRule="auto"/>
        <w:rPr>
          <w:rFonts w:ascii="Arial" w:eastAsia="Times New Roman" w:hAnsi="Arial" w:cs="Arial"/>
        </w:rPr>
      </w:pPr>
      <w:r w:rsidRPr="00D5126A">
        <w:rPr>
          <w:rFonts w:ascii="Arial" w:eastAsia="Times New Roman" w:hAnsi="Arial" w:cs="Arial"/>
        </w:rPr>
        <w:t>Esri User conference, Award for Special Achievement in Geographic Information Systems: for innovation in the fields of emergency management and resilience.</w:t>
      </w:r>
    </w:p>
    <w:p w:rsidR="00107245" w:rsidRPr="00D5126A" w:rsidRDefault="00107245" w:rsidP="00107245">
      <w:pPr>
        <w:keepNext/>
        <w:keepLines/>
        <w:spacing w:before="200" w:after="0"/>
        <w:outlineLvl w:val="4"/>
        <w:rPr>
          <w:rFonts w:ascii="Arial" w:eastAsia="Times New Roman" w:hAnsi="Arial" w:cs="Arial"/>
          <w:b/>
        </w:rPr>
      </w:pPr>
      <w:r w:rsidRPr="00D5126A">
        <w:rPr>
          <w:rFonts w:ascii="Arial" w:eastAsia="Times New Roman" w:hAnsi="Arial" w:cs="Arial"/>
          <w:b/>
        </w:rPr>
        <w:t>September</w:t>
      </w:r>
    </w:p>
    <w:p w:rsidR="00107245" w:rsidRPr="00D5126A" w:rsidRDefault="00107245" w:rsidP="00107245">
      <w:pPr>
        <w:spacing w:line="240" w:lineRule="auto"/>
        <w:rPr>
          <w:rFonts w:ascii="Arial" w:eastAsia="Times New Roman" w:hAnsi="Arial" w:cs="Arial"/>
        </w:rPr>
      </w:pPr>
      <w:r w:rsidRPr="00D5126A">
        <w:rPr>
          <w:rFonts w:ascii="Arial" w:eastAsia="Times New Roman" w:hAnsi="Arial" w:cs="Arial"/>
        </w:rPr>
        <w:t>Designers Institute of New Zealand Best Design Awards:</w:t>
      </w:r>
    </w:p>
    <w:p w:rsidR="00107245" w:rsidRPr="00D5126A" w:rsidRDefault="00107245" w:rsidP="00107245">
      <w:pPr>
        <w:spacing w:line="240" w:lineRule="auto"/>
        <w:ind w:left="720"/>
        <w:rPr>
          <w:rFonts w:ascii="Arial" w:eastAsia="Times New Roman" w:hAnsi="Arial" w:cs="Arial"/>
        </w:rPr>
      </w:pPr>
      <w:r w:rsidRPr="00D5126A">
        <w:rPr>
          <w:rFonts w:ascii="Arial" w:eastAsia="Times New Roman" w:hAnsi="Arial" w:cs="Arial"/>
        </w:rPr>
        <w:t xml:space="preserve">- Silver in Environmental Graphics: for </w:t>
      </w:r>
      <w:proofErr w:type="gramStart"/>
      <w:r w:rsidRPr="00D5126A">
        <w:rPr>
          <w:rFonts w:ascii="Arial" w:eastAsia="Times New Roman" w:hAnsi="Arial" w:cs="Arial"/>
        </w:rPr>
        <w:t>Our</w:t>
      </w:r>
      <w:proofErr w:type="gramEnd"/>
      <w:r w:rsidRPr="00D5126A">
        <w:rPr>
          <w:rFonts w:ascii="Arial" w:eastAsia="Times New Roman" w:hAnsi="Arial" w:cs="Arial"/>
        </w:rPr>
        <w:t xml:space="preserve"> 10-Year Plan projections.</w:t>
      </w:r>
    </w:p>
    <w:p w:rsidR="00107245" w:rsidRPr="00D5126A" w:rsidRDefault="00107245" w:rsidP="00107245">
      <w:pPr>
        <w:spacing w:line="240" w:lineRule="auto"/>
        <w:ind w:left="720"/>
        <w:rPr>
          <w:rFonts w:ascii="Arial" w:eastAsia="Times New Roman" w:hAnsi="Arial" w:cs="Arial"/>
        </w:rPr>
      </w:pPr>
      <w:r w:rsidRPr="00D5126A">
        <w:rPr>
          <w:rFonts w:ascii="Arial" w:eastAsia="Times New Roman" w:hAnsi="Arial" w:cs="Arial"/>
        </w:rPr>
        <w:t>- Gold in Public and Institutional Spaces: for North Kumutoto Pavilion.</w:t>
      </w:r>
    </w:p>
    <w:p w:rsidR="00107245" w:rsidRPr="00D5126A" w:rsidRDefault="00107245" w:rsidP="00107245">
      <w:pPr>
        <w:spacing w:line="240" w:lineRule="auto"/>
        <w:rPr>
          <w:rFonts w:ascii="Arial" w:eastAsia="Times New Roman" w:hAnsi="Arial" w:cs="Arial"/>
        </w:rPr>
      </w:pPr>
      <w:r w:rsidRPr="00D5126A">
        <w:rPr>
          <w:rFonts w:ascii="Arial" w:eastAsia="Times New Roman" w:hAnsi="Arial" w:cs="Arial"/>
        </w:rPr>
        <w:t>NZ Wood Resene Timber Design Awards 2018, Exterior Innovation and Infrastructure award winner, North Kumutoto Pavilion.</w:t>
      </w:r>
    </w:p>
    <w:p w:rsidR="00107245" w:rsidRPr="00D5126A" w:rsidRDefault="00107245" w:rsidP="00107245">
      <w:pPr>
        <w:keepNext/>
        <w:keepLines/>
        <w:spacing w:before="200" w:after="0"/>
        <w:outlineLvl w:val="4"/>
        <w:rPr>
          <w:rFonts w:ascii="Arial" w:eastAsia="Times New Roman" w:hAnsi="Arial" w:cs="Arial"/>
          <w:b/>
        </w:rPr>
      </w:pPr>
      <w:r w:rsidRPr="00D5126A">
        <w:rPr>
          <w:rFonts w:ascii="Arial" w:eastAsia="Times New Roman" w:hAnsi="Arial" w:cs="Arial"/>
          <w:b/>
        </w:rPr>
        <w:t>November</w:t>
      </w:r>
    </w:p>
    <w:p w:rsidR="00107245" w:rsidRPr="00D5126A" w:rsidRDefault="00107245" w:rsidP="00107245">
      <w:pPr>
        <w:spacing w:line="240" w:lineRule="auto"/>
        <w:rPr>
          <w:rFonts w:ascii="Arial" w:eastAsia="Times New Roman" w:hAnsi="Arial" w:cs="Arial"/>
        </w:rPr>
      </w:pPr>
      <w:r w:rsidRPr="00D5126A">
        <w:rPr>
          <w:rFonts w:ascii="Arial" w:eastAsia="Times New Roman" w:hAnsi="Arial" w:cs="Arial"/>
        </w:rPr>
        <w:t>2018 NZ Law Awards, In-House Team of the Year: for Legal Services team.</w:t>
      </w:r>
    </w:p>
    <w:p w:rsidR="00107245" w:rsidRPr="00D5126A" w:rsidRDefault="00107245" w:rsidP="00107245">
      <w:pPr>
        <w:spacing w:line="240" w:lineRule="auto"/>
        <w:rPr>
          <w:rFonts w:ascii="Arial" w:eastAsia="Times New Roman" w:hAnsi="Arial" w:cs="Arial"/>
        </w:rPr>
      </w:pPr>
      <w:r w:rsidRPr="00D5126A">
        <w:rPr>
          <w:rFonts w:ascii="Arial" w:eastAsia="Times New Roman" w:hAnsi="Arial" w:cs="Arial"/>
        </w:rPr>
        <w:t xml:space="preserve">2018 Ngā Tohu Reo Māori Awards, Te Toa Reo Māori Te Tohu Kairangi, for Te Tauihu </w:t>
      </w:r>
      <w:proofErr w:type="gramStart"/>
      <w:r w:rsidRPr="00D5126A">
        <w:rPr>
          <w:rFonts w:ascii="Arial" w:eastAsia="Times New Roman" w:hAnsi="Arial" w:cs="Arial"/>
        </w:rPr>
        <w:t>te</w:t>
      </w:r>
      <w:proofErr w:type="gramEnd"/>
      <w:r w:rsidRPr="00D5126A">
        <w:rPr>
          <w:rFonts w:ascii="Arial" w:eastAsia="Times New Roman" w:hAnsi="Arial" w:cs="Arial"/>
        </w:rPr>
        <w:t xml:space="preserve"> reo Māori policy.</w:t>
      </w:r>
    </w:p>
    <w:p w:rsidR="00107245" w:rsidRPr="00D5126A" w:rsidRDefault="00107245" w:rsidP="00107245">
      <w:pPr>
        <w:spacing w:line="240" w:lineRule="auto"/>
        <w:rPr>
          <w:rFonts w:ascii="Arial" w:eastAsia="Times New Roman" w:hAnsi="Arial" w:cs="Arial"/>
        </w:rPr>
      </w:pPr>
      <w:r w:rsidRPr="00D5126A">
        <w:rPr>
          <w:rFonts w:ascii="Arial" w:eastAsia="Times New Roman" w:hAnsi="Arial" w:cs="Arial"/>
        </w:rPr>
        <w:t>Annual Local Government and Information Management Conference (ALGIM), Finalist for GIS work relating to the pre-1930s character areas (Inner Suburbs).</w:t>
      </w:r>
    </w:p>
    <w:p w:rsidR="00107245" w:rsidRPr="00D5126A" w:rsidRDefault="00107245" w:rsidP="00107245">
      <w:pPr>
        <w:keepNext/>
        <w:keepLines/>
        <w:spacing w:before="200" w:after="0"/>
        <w:outlineLvl w:val="4"/>
        <w:rPr>
          <w:rFonts w:ascii="Arial" w:eastAsia="Times New Roman" w:hAnsi="Arial" w:cs="Arial"/>
          <w:b/>
        </w:rPr>
      </w:pPr>
      <w:r w:rsidRPr="00D5126A">
        <w:rPr>
          <w:rFonts w:ascii="Arial" w:eastAsia="Times New Roman" w:hAnsi="Arial" w:cs="Arial"/>
          <w:b/>
        </w:rPr>
        <w:t>April 2019</w:t>
      </w:r>
    </w:p>
    <w:p w:rsidR="00107245" w:rsidRPr="00D5126A" w:rsidRDefault="00107245" w:rsidP="00107245">
      <w:pPr>
        <w:spacing w:line="240" w:lineRule="auto"/>
        <w:rPr>
          <w:rFonts w:ascii="Arial" w:eastAsia="Times New Roman" w:hAnsi="Arial" w:cs="Arial"/>
        </w:rPr>
      </w:pPr>
      <w:r w:rsidRPr="00D5126A">
        <w:rPr>
          <w:rFonts w:ascii="Arial" w:eastAsia="Times New Roman" w:hAnsi="Arial" w:cs="Arial"/>
        </w:rPr>
        <w:t>New Zealand Planning Institute Awards, Best Practice in District Planning: for Pre-1930s Character Area Review.</w:t>
      </w:r>
    </w:p>
    <w:p w:rsidR="00107245" w:rsidRPr="00D5126A" w:rsidRDefault="00107245" w:rsidP="00107245">
      <w:pPr>
        <w:spacing w:line="240" w:lineRule="auto"/>
        <w:rPr>
          <w:rFonts w:ascii="Arial" w:eastAsia="Times New Roman" w:hAnsi="Arial" w:cs="Arial"/>
        </w:rPr>
      </w:pPr>
      <w:proofErr w:type="gramStart"/>
      <w:r w:rsidRPr="00D5126A">
        <w:rPr>
          <w:rFonts w:ascii="Arial" w:eastAsia="Times New Roman" w:hAnsi="Arial" w:cs="Arial"/>
        </w:rPr>
        <w:t>New Zealand Sport and Recreation Awards, Future Leaders Scholarship finalist, Sarah Murray.</w:t>
      </w:r>
      <w:proofErr w:type="gramEnd"/>
    </w:p>
    <w:p w:rsidR="00107245" w:rsidRPr="00D5126A" w:rsidRDefault="00107245" w:rsidP="00107245">
      <w:pPr>
        <w:keepNext/>
        <w:keepLines/>
        <w:spacing w:before="200" w:after="0"/>
        <w:outlineLvl w:val="4"/>
        <w:rPr>
          <w:rFonts w:ascii="Arial" w:eastAsia="Times New Roman" w:hAnsi="Arial" w:cs="Arial"/>
          <w:b/>
        </w:rPr>
      </w:pPr>
      <w:r w:rsidRPr="00D5126A">
        <w:rPr>
          <w:rFonts w:ascii="Arial" w:eastAsia="Times New Roman" w:hAnsi="Arial" w:cs="Arial"/>
          <w:b/>
        </w:rPr>
        <w:t>May</w:t>
      </w:r>
    </w:p>
    <w:p w:rsidR="00107245" w:rsidRPr="00D5126A" w:rsidRDefault="00107245" w:rsidP="00107245">
      <w:pPr>
        <w:spacing w:line="240" w:lineRule="auto"/>
        <w:rPr>
          <w:rFonts w:ascii="Arial" w:eastAsia="Times New Roman" w:hAnsi="Arial" w:cs="Arial"/>
          <w:szCs w:val="24"/>
        </w:rPr>
      </w:pPr>
      <w:r w:rsidRPr="00D5126A">
        <w:rPr>
          <w:rFonts w:ascii="Arial" w:eastAsia="Times New Roman" w:hAnsi="Arial" w:cs="Arial"/>
          <w:szCs w:val="24"/>
        </w:rPr>
        <w:t>NZ Institute of Architects Wellington Branch Awards:</w:t>
      </w:r>
    </w:p>
    <w:p w:rsidR="00107245" w:rsidRPr="00D5126A" w:rsidRDefault="00107245" w:rsidP="00107245">
      <w:pPr>
        <w:spacing w:line="240" w:lineRule="auto"/>
        <w:ind w:left="720"/>
        <w:rPr>
          <w:rFonts w:ascii="Arial" w:eastAsia="Times New Roman" w:hAnsi="Arial" w:cs="Arial"/>
          <w:szCs w:val="24"/>
        </w:rPr>
      </w:pPr>
      <w:r w:rsidRPr="00D5126A">
        <w:rPr>
          <w:rFonts w:ascii="Arial" w:eastAsia="Times New Roman" w:hAnsi="Arial" w:cs="Arial"/>
          <w:szCs w:val="24"/>
        </w:rPr>
        <w:t>- Best Multi-Unit Housing: for Te Mara social housing apartments.</w:t>
      </w:r>
    </w:p>
    <w:p w:rsidR="00107245" w:rsidRPr="00D5126A" w:rsidRDefault="00107245" w:rsidP="00107245">
      <w:pPr>
        <w:spacing w:line="240" w:lineRule="auto"/>
        <w:ind w:left="720"/>
        <w:rPr>
          <w:rFonts w:ascii="Arial" w:eastAsia="Times New Roman" w:hAnsi="Arial" w:cs="Arial"/>
          <w:szCs w:val="24"/>
        </w:rPr>
      </w:pPr>
      <w:r w:rsidRPr="00D5126A">
        <w:rPr>
          <w:rFonts w:ascii="Arial" w:eastAsia="Times New Roman" w:hAnsi="Arial" w:cs="Arial"/>
          <w:szCs w:val="24"/>
        </w:rPr>
        <w:t xml:space="preserve">- Best Public Architecture: for </w:t>
      </w:r>
      <w:r w:rsidRPr="00D5126A">
        <w:rPr>
          <w:rFonts w:ascii="Arial" w:eastAsia="Times New Roman" w:hAnsi="Arial" w:cs="Arial"/>
        </w:rPr>
        <w:t>North Kumutoto Pavilion.</w:t>
      </w:r>
    </w:p>
    <w:p w:rsidR="00107245" w:rsidRPr="00D5126A" w:rsidRDefault="00107245" w:rsidP="00107245">
      <w:pPr>
        <w:spacing w:line="240" w:lineRule="auto"/>
        <w:ind w:left="720"/>
        <w:rPr>
          <w:rFonts w:ascii="Arial" w:eastAsia="Times New Roman" w:hAnsi="Arial" w:cs="Arial"/>
          <w:szCs w:val="24"/>
        </w:rPr>
      </w:pPr>
      <w:r w:rsidRPr="00D5126A">
        <w:rPr>
          <w:rFonts w:ascii="Arial" w:eastAsia="Times New Roman" w:hAnsi="Arial" w:cs="Arial"/>
          <w:szCs w:val="24"/>
        </w:rPr>
        <w:t xml:space="preserve">- Resene Colour Award: for </w:t>
      </w:r>
      <w:r w:rsidRPr="00D5126A">
        <w:rPr>
          <w:rFonts w:ascii="Arial" w:eastAsia="Times New Roman" w:hAnsi="Arial" w:cs="Arial"/>
        </w:rPr>
        <w:t>North Kumutoto Pavilion.</w:t>
      </w:r>
    </w:p>
    <w:p w:rsidR="00107245" w:rsidRPr="00D5126A" w:rsidRDefault="00107245" w:rsidP="00107245">
      <w:pPr>
        <w:spacing w:line="240" w:lineRule="auto"/>
        <w:rPr>
          <w:rFonts w:ascii="Arial" w:eastAsia="Times New Roman" w:hAnsi="Arial" w:cs="Arial"/>
        </w:rPr>
      </w:pPr>
      <w:r w:rsidRPr="00D5126A">
        <w:rPr>
          <w:rFonts w:ascii="Arial" w:eastAsia="Times New Roman" w:hAnsi="Arial" w:cs="Arial"/>
        </w:rPr>
        <w:t>2019 Linked Organisation of Local Authority ICT Societies, International Award winners, for GoShift (Simpli) consenting project.</w:t>
      </w:r>
    </w:p>
    <w:p w:rsidR="00107245" w:rsidRPr="00D5126A" w:rsidRDefault="00107245" w:rsidP="00107245">
      <w:pPr>
        <w:keepNext/>
        <w:keepLines/>
        <w:spacing w:before="200" w:after="0"/>
        <w:outlineLvl w:val="4"/>
        <w:rPr>
          <w:rFonts w:ascii="Arial" w:eastAsia="Times New Roman" w:hAnsi="Arial" w:cs="Arial"/>
          <w:b/>
        </w:rPr>
      </w:pPr>
      <w:r w:rsidRPr="00D5126A">
        <w:rPr>
          <w:rFonts w:ascii="Arial" w:eastAsia="Times New Roman" w:hAnsi="Arial" w:cs="Arial"/>
          <w:b/>
        </w:rPr>
        <w:t>June</w:t>
      </w:r>
    </w:p>
    <w:p w:rsidR="00107245" w:rsidRPr="00D5126A" w:rsidRDefault="00107245" w:rsidP="00107245">
      <w:pPr>
        <w:spacing w:line="240" w:lineRule="auto"/>
        <w:rPr>
          <w:rFonts w:ascii="Arial" w:eastAsia="Times New Roman" w:hAnsi="Arial" w:cs="Arial"/>
        </w:rPr>
      </w:pPr>
      <w:r w:rsidRPr="00D5126A">
        <w:rPr>
          <w:rFonts w:ascii="Arial" w:eastAsia="Times New Roman" w:hAnsi="Arial" w:cs="Arial"/>
        </w:rPr>
        <w:t>IPWEA NZ Excellence Awards, Best Public Works Project less than $5m: Dixon St Pump Station and Rising Main</w:t>
      </w:r>
    </w:p>
    <w:p w:rsidR="00107245" w:rsidRPr="00D5126A" w:rsidRDefault="00107245" w:rsidP="00107245">
      <w:pPr>
        <w:spacing w:line="240" w:lineRule="auto"/>
        <w:rPr>
          <w:rFonts w:ascii="Arial" w:eastAsia="Times New Roman" w:hAnsi="Arial" w:cs="Arial"/>
        </w:rPr>
      </w:pPr>
      <w:r w:rsidRPr="00D5126A">
        <w:rPr>
          <w:rFonts w:ascii="Arial" w:eastAsia="Times New Roman" w:hAnsi="Arial" w:cs="Arial"/>
        </w:rPr>
        <w:t>Property Council New Zealand Awards, Multi Unit Residential Property Award, Merit in category for Te Mara Apartments</w:t>
      </w:r>
    </w:p>
    <w:p w:rsidR="00107245" w:rsidRPr="00D5126A" w:rsidRDefault="00107245" w:rsidP="00107245">
      <w:pPr>
        <w:spacing w:line="240" w:lineRule="auto"/>
        <w:rPr>
          <w:rFonts w:ascii="Arial" w:eastAsia="Times New Roman" w:hAnsi="Arial" w:cs="Arial"/>
          <w:szCs w:val="24"/>
          <w:lang w:eastAsia="en-NZ"/>
        </w:rPr>
      </w:pPr>
      <w:r w:rsidRPr="00D5126A">
        <w:rPr>
          <w:rFonts w:ascii="Arial" w:eastAsia="Times New Roman" w:hAnsi="Arial" w:cs="Arial"/>
        </w:rPr>
        <w:t>Smart Seeds Wellington, Judges Award winner, Team Up</w:t>
      </w:r>
      <w:r w:rsidRPr="00D5126A">
        <w:rPr>
          <w:rFonts w:ascii="Arial" w:eastAsia="Times New Roman" w:hAnsi="Arial" w:cs="Arial"/>
          <w:sz w:val="18"/>
          <w:szCs w:val="18"/>
        </w:rPr>
        <w:t xml:space="preserve"> </w:t>
      </w:r>
      <w:r w:rsidRPr="00D5126A">
        <w:rPr>
          <w:rFonts w:ascii="Arial" w:eastAsia="Times New Roman" w:hAnsi="Arial" w:cs="Arial"/>
          <w:szCs w:val="24"/>
        </w:rPr>
        <w:t>(</w:t>
      </w:r>
      <w:r w:rsidRPr="00D5126A">
        <w:rPr>
          <w:rFonts w:ascii="Arial" w:eastAsia="Times New Roman" w:hAnsi="Arial" w:cs="Arial"/>
          <w:szCs w:val="24"/>
          <w:lang w:eastAsia="en-NZ"/>
        </w:rPr>
        <w:t>Clyde Monteiro, Ellie Fromont and Olivia Stevens)</w:t>
      </w:r>
    </w:p>
    <w:p w:rsidR="00107245" w:rsidRPr="00D5126A" w:rsidRDefault="00107245" w:rsidP="00107245">
      <w:pPr>
        <w:spacing w:line="240" w:lineRule="auto"/>
        <w:rPr>
          <w:rFonts w:ascii="Arial" w:eastAsia="Times New Roman" w:hAnsi="Arial" w:cs="Arial"/>
          <w:szCs w:val="24"/>
          <w:lang w:eastAsia="en-NZ"/>
        </w:rPr>
      </w:pPr>
      <w:r w:rsidRPr="00D5126A">
        <w:rPr>
          <w:rFonts w:ascii="Arial" w:eastAsia="Times New Roman" w:hAnsi="Arial" w:cs="Arial"/>
          <w:szCs w:val="24"/>
          <w:lang w:eastAsia="en-NZ"/>
        </w:rPr>
        <w:lastRenderedPageBreak/>
        <w:t>RiskNZ Awards of Excellence:</w:t>
      </w:r>
    </w:p>
    <w:p w:rsidR="00107245" w:rsidRPr="00D5126A" w:rsidRDefault="00107245" w:rsidP="00107245">
      <w:pPr>
        <w:spacing w:line="240" w:lineRule="auto"/>
        <w:rPr>
          <w:rFonts w:ascii="Arial" w:eastAsia="Times New Roman" w:hAnsi="Arial" w:cs="Arial"/>
        </w:rPr>
      </w:pPr>
      <w:r w:rsidRPr="00D5126A">
        <w:rPr>
          <w:rFonts w:ascii="Arial" w:eastAsia="Times New Roman" w:hAnsi="Arial" w:cs="Arial"/>
          <w:szCs w:val="24"/>
          <w:lang w:eastAsia="en-NZ"/>
        </w:rPr>
        <w:t>-</w:t>
      </w:r>
      <w:r w:rsidRPr="00D5126A">
        <w:rPr>
          <w:rFonts w:ascii="Arial" w:eastAsia="Times New Roman" w:hAnsi="Arial" w:cs="Arial"/>
        </w:rPr>
        <w:t xml:space="preserve"> Risk Professional of the Year: for Duncan Stuart.</w:t>
      </w:r>
    </w:p>
    <w:p w:rsidR="00107245" w:rsidRPr="00D5126A" w:rsidRDefault="00107245" w:rsidP="00107245">
      <w:pPr>
        <w:spacing w:line="240" w:lineRule="auto"/>
        <w:rPr>
          <w:rFonts w:ascii="Arial" w:eastAsia="Times New Roman" w:hAnsi="Arial" w:cs="Arial"/>
        </w:rPr>
      </w:pPr>
      <w:r w:rsidRPr="00D5126A">
        <w:rPr>
          <w:rFonts w:ascii="Arial" w:eastAsia="Times New Roman" w:hAnsi="Arial" w:cs="Arial"/>
        </w:rPr>
        <w:t>- Governance and Leadership in Risk Management: for Risk team.</w:t>
      </w:r>
    </w:p>
    <w:p w:rsidR="00107245" w:rsidRPr="00D5126A" w:rsidRDefault="00107245" w:rsidP="00107245">
      <w:pPr>
        <w:keepNext/>
        <w:keepLines/>
        <w:spacing w:before="200" w:after="0"/>
        <w:outlineLvl w:val="2"/>
        <w:rPr>
          <w:rFonts w:ascii="Arial" w:eastAsia="Helvetica Neue" w:hAnsi="Arial" w:cs="Arial"/>
          <w:b/>
          <w:bCs/>
          <w:color w:val="4F81BD"/>
          <w:sz w:val="32"/>
          <w:lang w:eastAsia="en-NZ"/>
        </w:rPr>
      </w:pPr>
      <w:bookmarkStart w:id="383" w:name="_Toc19085897"/>
      <w:r w:rsidRPr="00D5126A">
        <w:rPr>
          <w:rFonts w:ascii="Arial" w:eastAsia="Helvetica Neue" w:hAnsi="Arial" w:cs="Arial"/>
          <w:b/>
          <w:bCs/>
          <w:color w:val="4F81BD"/>
          <w:sz w:val="32"/>
          <w:lang w:eastAsia="en-NZ"/>
        </w:rPr>
        <w:t>Staff Awards</w:t>
      </w:r>
      <w:bookmarkEnd w:id="383"/>
    </w:p>
    <w:p w:rsidR="00107245" w:rsidRPr="00D5126A" w:rsidRDefault="00107245" w:rsidP="00107245">
      <w:pPr>
        <w:shd w:val="clear" w:color="auto" w:fill="FFFFFF"/>
        <w:spacing w:before="240" w:after="100" w:afterAutospacing="1" w:line="240" w:lineRule="auto"/>
        <w:rPr>
          <w:rFonts w:ascii="Arial" w:eastAsia="Times New Roman" w:hAnsi="Arial" w:cs="Arial"/>
          <w:lang w:eastAsia="en-NZ"/>
        </w:rPr>
      </w:pPr>
      <w:r w:rsidRPr="00D5126A">
        <w:rPr>
          <w:rFonts w:ascii="Arial" w:eastAsia="Times New Roman" w:hAnsi="Arial" w:cs="Arial"/>
          <w:lang w:eastAsia="en-NZ"/>
        </w:rPr>
        <w:t>Our annual awards programme recognises the achievements of our people who are living Council's values and helping us realise our vision, </w:t>
      </w:r>
      <w:r w:rsidRPr="00D5126A">
        <w:rPr>
          <w:rFonts w:ascii="Arial" w:eastAsia="Helvetica Neue" w:hAnsi="Arial" w:cs="Arial"/>
          <w:i/>
          <w:iCs/>
          <w:lang w:eastAsia="en-NZ"/>
        </w:rPr>
        <w:t>Kia mahi ngātahi mō Pōneke mō tōna ā āpōpō: Working together for Wellington's future.</w:t>
      </w:r>
    </w:p>
    <w:p w:rsidR="00107245" w:rsidRPr="00D5126A" w:rsidRDefault="00107245" w:rsidP="00107245">
      <w:pPr>
        <w:keepNext/>
        <w:keepLines/>
        <w:spacing w:before="200" w:after="0"/>
        <w:outlineLvl w:val="3"/>
        <w:rPr>
          <w:rFonts w:ascii="Arial" w:eastAsia="Times New Roman" w:hAnsi="Arial" w:cs="Arial"/>
          <w:b/>
          <w:bCs/>
          <w:i/>
          <w:iCs/>
          <w:color w:val="4F81BD"/>
          <w:sz w:val="28"/>
        </w:rPr>
      </w:pPr>
      <w:r w:rsidRPr="00D5126A">
        <w:rPr>
          <w:rFonts w:ascii="Arial" w:eastAsia="Times New Roman" w:hAnsi="Arial" w:cs="Arial"/>
          <w:b/>
          <w:bCs/>
          <w:i/>
          <w:iCs/>
          <w:color w:val="4F81BD"/>
          <w:sz w:val="28"/>
        </w:rPr>
        <w:t>Winners of the 2019 awards</w:t>
      </w:r>
    </w:p>
    <w:p w:rsidR="00107245" w:rsidRPr="00D5126A" w:rsidRDefault="00107245" w:rsidP="00107245">
      <w:pPr>
        <w:rPr>
          <w:rFonts w:eastAsia="Times New Roman"/>
        </w:rPr>
      </w:pPr>
      <w:r w:rsidRPr="00D5126A">
        <w:rPr>
          <w:rFonts w:eastAsia="Times New Roman"/>
          <w:b/>
        </w:rPr>
        <w:t xml:space="preserve">He Tangata Award: </w:t>
      </w:r>
      <w:r w:rsidRPr="00D5126A">
        <w:rPr>
          <w:rFonts w:eastAsia="Times New Roman"/>
        </w:rPr>
        <w:t xml:space="preserve">Recognising exceptional achievement in customer service, working with the community, or in demonstrating care and respect for others. </w:t>
      </w:r>
    </w:p>
    <w:p w:rsidR="00107245" w:rsidRPr="00D5126A" w:rsidRDefault="00107245" w:rsidP="002C7BF8">
      <w:pPr>
        <w:pStyle w:val="ListParagraph"/>
        <w:numPr>
          <w:ilvl w:val="0"/>
          <w:numId w:val="14"/>
        </w:numPr>
        <w:rPr>
          <w:rFonts w:eastAsia="Times New Roman"/>
          <w:b/>
        </w:rPr>
      </w:pPr>
      <w:r w:rsidRPr="00D5126A">
        <w:rPr>
          <w:rFonts w:eastAsia="Times New Roman"/>
          <w:b/>
        </w:rPr>
        <w:t xml:space="preserve">Winner: Gillian Christian, Wellington Regional Aquatic Centre Fitness Consultant. </w:t>
      </w:r>
      <w:r w:rsidRPr="00D5126A">
        <w:rPr>
          <w:rFonts w:eastAsia="Times New Roman"/>
        </w:rPr>
        <w:t>Gillian was recognised for her efforts to encourage the health and wellbeing of Wellington’s senior citizen community through the Activate programme.</w:t>
      </w:r>
    </w:p>
    <w:p w:rsidR="00107245" w:rsidRPr="00D5126A" w:rsidRDefault="00107245" w:rsidP="00107245">
      <w:pPr>
        <w:rPr>
          <w:rFonts w:eastAsia="Times New Roman"/>
        </w:rPr>
      </w:pPr>
      <w:r w:rsidRPr="00D5126A">
        <w:rPr>
          <w:rFonts w:eastAsia="Times New Roman"/>
          <w:b/>
        </w:rPr>
        <w:t xml:space="preserve">Mahi Ngātahi Award: </w:t>
      </w:r>
      <w:r w:rsidRPr="00D5126A">
        <w:rPr>
          <w:rFonts w:eastAsia="Times New Roman"/>
        </w:rPr>
        <w:t xml:space="preserve">Recognising innovative thinking that challenges the way we do things or improves our business processes. </w:t>
      </w:r>
    </w:p>
    <w:p w:rsidR="00107245" w:rsidRPr="00D5126A" w:rsidRDefault="00107245" w:rsidP="002C7BF8">
      <w:pPr>
        <w:pStyle w:val="ListParagraph"/>
        <w:numPr>
          <w:ilvl w:val="0"/>
          <w:numId w:val="14"/>
        </w:numPr>
        <w:rPr>
          <w:rFonts w:eastAsia="Times New Roman"/>
          <w:b/>
          <w:color w:val="333333"/>
        </w:rPr>
      </w:pPr>
      <w:r w:rsidRPr="00D5126A">
        <w:rPr>
          <w:rFonts w:eastAsia="Times New Roman"/>
          <w:b/>
        </w:rPr>
        <w:t>Winner:</w:t>
      </w:r>
      <w:r w:rsidRPr="00D5126A">
        <w:rPr>
          <w:rFonts w:eastAsia="Times New Roman"/>
        </w:rPr>
        <w:t xml:space="preserve"> </w:t>
      </w:r>
      <w:r w:rsidRPr="00D5126A">
        <w:rPr>
          <w:rFonts w:eastAsia="Times New Roman"/>
          <w:b/>
        </w:rPr>
        <w:t xml:space="preserve">Lloyd Pallesen, Business Development &amp; Improvement Officer, Business Compliance and Consents. </w:t>
      </w:r>
      <w:r w:rsidRPr="00D5126A">
        <w:rPr>
          <w:rFonts w:eastAsia="Times New Roman"/>
        </w:rPr>
        <w:t>Lloyd was recognised for leading the development of a Quality Management System in City Consenting and Compliance – influencing other Councils who have adopted it.</w:t>
      </w:r>
    </w:p>
    <w:p w:rsidR="00107245" w:rsidRPr="00D5126A" w:rsidRDefault="00107245" w:rsidP="00107245">
      <w:pPr>
        <w:rPr>
          <w:rFonts w:eastAsia="Times New Roman"/>
          <w:b/>
        </w:rPr>
      </w:pPr>
      <w:r w:rsidRPr="00D5126A">
        <w:rPr>
          <w:rFonts w:eastAsia="Times New Roman"/>
          <w:b/>
        </w:rPr>
        <w:t>Whakapai Ake Award:</w:t>
      </w:r>
      <w:r w:rsidRPr="00D5126A">
        <w:rPr>
          <w:rFonts w:eastAsia="Times New Roman"/>
        </w:rPr>
        <w:t xml:space="preserve"> Recognising innovative thinking that challenges the way we do things or improves our business processes.</w:t>
      </w:r>
    </w:p>
    <w:p w:rsidR="00107245" w:rsidRPr="00D5126A" w:rsidRDefault="00107245" w:rsidP="002C7BF8">
      <w:pPr>
        <w:pStyle w:val="ListParagraph"/>
        <w:numPr>
          <w:ilvl w:val="0"/>
          <w:numId w:val="14"/>
        </w:numPr>
        <w:rPr>
          <w:rFonts w:eastAsia="Helvetica Neue"/>
          <w:b/>
          <w:bCs/>
          <w:lang w:eastAsia="en-NZ"/>
        </w:rPr>
      </w:pPr>
      <w:r w:rsidRPr="00D5126A">
        <w:rPr>
          <w:rFonts w:eastAsia="Helvetica Neue"/>
          <w:b/>
          <w:bCs/>
          <w:lang w:eastAsia="en-NZ"/>
        </w:rPr>
        <w:t xml:space="preserve">Winner: Nadine Dodge, Senior Advisor Transport Strategy. </w:t>
      </w:r>
      <w:r w:rsidRPr="00D5126A">
        <w:rPr>
          <w:rFonts w:eastAsia="Helvetica Neue"/>
          <w:bCs/>
          <w:lang w:eastAsia="en-NZ"/>
        </w:rPr>
        <w:t>Nadine was recognised for her championing of evidence-based decision making and innovative thinking, particularly on Let’s Get Wellington Moving.</w:t>
      </w:r>
    </w:p>
    <w:p w:rsidR="00107245" w:rsidRPr="00D5126A" w:rsidRDefault="00107245" w:rsidP="00107245">
      <w:pPr>
        <w:rPr>
          <w:rFonts w:eastAsia="Times New Roman"/>
          <w:b/>
        </w:rPr>
      </w:pPr>
      <w:r w:rsidRPr="00D5126A">
        <w:rPr>
          <w:rFonts w:eastAsia="Times New Roman"/>
          <w:b/>
        </w:rPr>
        <w:t xml:space="preserve">Mana Tiaki Award: </w:t>
      </w:r>
      <w:r w:rsidRPr="00D5126A">
        <w:rPr>
          <w:rFonts w:eastAsia="Times New Roman"/>
        </w:rPr>
        <w:t>Recognising an exceptional contribution towards making Wellington a great place to live, work and play.</w:t>
      </w:r>
    </w:p>
    <w:p w:rsidR="00107245" w:rsidRPr="00D5126A" w:rsidRDefault="00107245" w:rsidP="002C7BF8">
      <w:pPr>
        <w:pStyle w:val="ListParagraph"/>
        <w:numPr>
          <w:ilvl w:val="0"/>
          <w:numId w:val="14"/>
        </w:numPr>
        <w:rPr>
          <w:rFonts w:eastAsia="Times New Roman"/>
          <w:lang w:eastAsia="en-NZ"/>
        </w:rPr>
      </w:pPr>
      <w:r w:rsidRPr="00D5126A">
        <w:rPr>
          <w:rFonts w:eastAsia="Times New Roman"/>
          <w:b/>
          <w:lang w:eastAsia="en-NZ"/>
        </w:rPr>
        <w:t xml:space="preserve">Winner: Karin van der Walt, Conservation &amp; Science Advisor. </w:t>
      </w:r>
      <w:r w:rsidRPr="00D5126A">
        <w:rPr>
          <w:rFonts w:eastAsia="Times New Roman"/>
          <w:lang w:eastAsia="en-NZ"/>
        </w:rPr>
        <w:t xml:space="preserve">Karin was recognised for her work to conserve our natural </w:t>
      </w:r>
      <w:proofErr w:type="gramStart"/>
      <w:r w:rsidRPr="00D5126A">
        <w:rPr>
          <w:rFonts w:eastAsia="Times New Roman"/>
          <w:lang w:eastAsia="en-NZ"/>
        </w:rPr>
        <w:t>heritage,</w:t>
      </w:r>
      <w:proofErr w:type="gramEnd"/>
      <w:r w:rsidRPr="00D5126A">
        <w:rPr>
          <w:rFonts w:eastAsia="Times New Roman"/>
          <w:lang w:eastAsia="en-NZ"/>
        </w:rPr>
        <w:t xml:space="preserve"> and as a leader in her field, working at a national level with the response to myrtle rust, representing Wellington Gardens and NZ Botanic Gardens on the national working group.</w:t>
      </w:r>
    </w:p>
    <w:p w:rsidR="00107245" w:rsidRPr="00D5126A" w:rsidRDefault="00107245" w:rsidP="00107245">
      <w:pPr>
        <w:rPr>
          <w:rFonts w:eastAsia="Times New Roman"/>
        </w:rPr>
      </w:pPr>
      <w:r w:rsidRPr="00D5126A">
        <w:rPr>
          <w:rFonts w:eastAsia="Times New Roman"/>
          <w:b/>
        </w:rPr>
        <w:t>Emerging Leader Award:</w:t>
      </w:r>
      <w:r w:rsidRPr="00D5126A">
        <w:rPr>
          <w:rFonts w:eastAsia="Times New Roman"/>
        </w:rPr>
        <w:t xml:space="preserve">  Recognises individuals who have demonstrated leadership potential.</w:t>
      </w:r>
    </w:p>
    <w:p w:rsidR="00107245" w:rsidRPr="00D5126A" w:rsidRDefault="00107245" w:rsidP="002C7BF8">
      <w:pPr>
        <w:pStyle w:val="ListParagraph"/>
        <w:numPr>
          <w:ilvl w:val="0"/>
          <w:numId w:val="14"/>
        </w:numPr>
        <w:rPr>
          <w:rFonts w:eastAsia="Helvetica Neue"/>
          <w:b/>
          <w:bCs/>
          <w:lang w:eastAsia="en-NZ"/>
        </w:rPr>
      </w:pPr>
      <w:r w:rsidRPr="00D5126A">
        <w:rPr>
          <w:rFonts w:eastAsia="Helvetica Neue"/>
          <w:b/>
          <w:bCs/>
          <w:lang w:eastAsia="en-NZ"/>
        </w:rPr>
        <w:t xml:space="preserve">Winner: Hasitha Darshaka – Lead Enterprise App Support Analyst. </w:t>
      </w:r>
      <w:r w:rsidRPr="00D5126A">
        <w:rPr>
          <w:rFonts w:eastAsia="Helvetica Neue"/>
          <w:bCs/>
          <w:lang w:eastAsia="en-NZ"/>
        </w:rPr>
        <w:t>Hasitha was recognised as a dedicated, passionate and highly driven emerging leader, respected by peers and customer alike, who is living and breathing the behaviours critical to achieving a Smarter City.</w:t>
      </w:r>
    </w:p>
    <w:p w:rsidR="00107245" w:rsidRPr="00D5126A" w:rsidRDefault="00107245" w:rsidP="00107245">
      <w:pPr>
        <w:rPr>
          <w:rFonts w:eastAsia="Times New Roman"/>
          <w:b/>
        </w:rPr>
      </w:pPr>
      <w:r w:rsidRPr="00D5126A">
        <w:rPr>
          <w:rFonts w:eastAsia="Times New Roman"/>
          <w:b/>
        </w:rPr>
        <w:t xml:space="preserve">Leadership Award: </w:t>
      </w:r>
      <w:r w:rsidRPr="00D5126A">
        <w:rPr>
          <w:rFonts w:eastAsia="Times New Roman"/>
        </w:rPr>
        <w:t>Recognises individuals who positively influence others by demonstrating good leadership. The award is open to anyone - not just managers.</w:t>
      </w:r>
    </w:p>
    <w:p w:rsidR="00107245" w:rsidRPr="00D5126A" w:rsidRDefault="00107245" w:rsidP="002C7BF8">
      <w:pPr>
        <w:pStyle w:val="ListParagraph"/>
        <w:numPr>
          <w:ilvl w:val="0"/>
          <w:numId w:val="14"/>
        </w:numPr>
        <w:rPr>
          <w:rFonts w:eastAsia="Helvetica Neue"/>
          <w:bCs/>
          <w:lang w:eastAsia="en-NZ"/>
        </w:rPr>
      </w:pPr>
      <w:r w:rsidRPr="00D5126A">
        <w:rPr>
          <w:rFonts w:eastAsia="Helvetica Neue"/>
          <w:b/>
          <w:bCs/>
          <w:lang w:eastAsia="en-NZ"/>
        </w:rPr>
        <w:lastRenderedPageBreak/>
        <w:t xml:space="preserve">Winner: Vikki Muxlow, Business Support &amp; Performance Manager. </w:t>
      </w:r>
      <w:r w:rsidRPr="00D5126A">
        <w:rPr>
          <w:rFonts w:eastAsia="Helvetica Neue"/>
          <w:bCs/>
          <w:lang w:eastAsia="en-NZ"/>
        </w:rPr>
        <w:t>The judging panel said of Vikki: "this leader is really well-known across the organisation as an exceptional leader and contributor."</w:t>
      </w:r>
    </w:p>
    <w:p w:rsidR="00107245" w:rsidRPr="00D5126A" w:rsidRDefault="00107245" w:rsidP="00107245">
      <w:pPr>
        <w:rPr>
          <w:rFonts w:eastAsia="Times New Roman"/>
          <w:b/>
        </w:rPr>
      </w:pPr>
      <w:r w:rsidRPr="00D5126A">
        <w:rPr>
          <w:rFonts w:eastAsia="Times New Roman"/>
          <w:b/>
        </w:rPr>
        <w:t xml:space="preserve">People's Choice: </w:t>
      </w:r>
      <w:r w:rsidRPr="00D5126A">
        <w:rPr>
          <w:rFonts w:eastAsia="Times New Roman"/>
        </w:rPr>
        <w:t xml:space="preserve">This award is voted by Council staff out of the shortlisted nominees. </w:t>
      </w:r>
    </w:p>
    <w:p w:rsidR="00107245" w:rsidRPr="00D5126A" w:rsidRDefault="00107245" w:rsidP="002C7BF8">
      <w:pPr>
        <w:pStyle w:val="ListParagraph"/>
        <w:numPr>
          <w:ilvl w:val="0"/>
          <w:numId w:val="14"/>
        </w:numPr>
        <w:rPr>
          <w:rFonts w:eastAsia="Times New Roman"/>
          <w:b/>
          <w:lang w:eastAsia="en-NZ"/>
        </w:rPr>
      </w:pPr>
      <w:r w:rsidRPr="00D5126A">
        <w:rPr>
          <w:rFonts w:eastAsia="Times New Roman"/>
          <w:b/>
          <w:lang w:eastAsia="en-NZ"/>
        </w:rPr>
        <w:t xml:space="preserve">Winner: Kevin Ward, Tahiwi Reception. </w:t>
      </w:r>
      <w:r w:rsidRPr="00D5126A">
        <w:rPr>
          <w:rFonts w:eastAsia="Times New Roman"/>
          <w:lang w:eastAsia="en-NZ"/>
        </w:rPr>
        <w:t>Comments from Kevin’s Council colleagues included that he was helpful, welcoming, a great face for the organisation, and a source of excellent ‘dad jokes’.</w:t>
      </w:r>
    </w:p>
    <w:p w:rsidR="00107245" w:rsidRPr="00D5126A" w:rsidRDefault="00107245" w:rsidP="00107245">
      <w:pPr>
        <w:rPr>
          <w:rFonts w:eastAsia="Times New Roman"/>
          <w:b/>
        </w:rPr>
      </w:pPr>
      <w:r w:rsidRPr="00D5126A">
        <w:rPr>
          <w:rFonts w:eastAsia="Times New Roman"/>
          <w:b/>
        </w:rPr>
        <w:t xml:space="preserve">Chief Executive's Award: </w:t>
      </w:r>
      <w:r w:rsidRPr="00D5126A">
        <w:rPr>
          <w:rFonts w:eastAsia="Times New Roman"/>
        </w:rPr>
        <w:t>This award is the Chief Executive’s opportunity to recognise any one of the shortlisted entries with a special award.</w:t>
      </w:r>
    </w:p>
    <w:p w:rsidR="00107245" w:rsidRPr="00D5126A" w:rsidRDefault="00107245" w:rsidP="002C7BF8">
      <w:pPr>
        <w:pStyle w:val="ListParagraph"/>
        <w:numPr>
          <w:ilvl w:val="0"/>
          <w:numId w:val="14"/>
        </w:numPr>
        <w:rPr>
          <w:rFonts w:eastAsia="Times New Roman"/>
          <w:b/>
          <w:lang w:eastAsia="en-NZ"/>
        </w:rPr>
      </w:pPr>
      <w:r w:rsidRPr="00D5126A">
        <w:rPr>
          <w:rFonts w:eastAsia="Times New Roman"/>
          <w:b/>
          <w:lang w:eastAsia="en-NZ"/>
        </w:rPr>
        <w:t>Winner: Lucy Lang, Team Leader Libraries.</w:t>
      </w:r>
      <w:r w:rsidRPr="00D5126A">
        <w:rPr>
          <w:rFonts w:eastAsia="Times New Roman"/>
          <w:lang w:eastAsia="en-NZ"/>
        </w:rPr>
        <w:t xml:space="preserve"> CE Kevin Lavery said: "It was a really difficult decision, because as you've seen </w:t>
      </w:r>
      <w:proofErr w:type="gramStart"/>
      <w:r w:rsidRPr="00D5126A">
        <w:rPr>
          <w:rFonts w:eastAsia="Times New Roman"/>
          <w:lang w:eastAsia="en-NZ"/>
        </w:rPr>
        <w:t>there's</w:t>
      </w:r>
      <w:proofErr w:type="gramEnd"/>
      <w:r w:rsidRPr="00D5126A">
        <w:rPr>
          <w:rFonts w:eastAsia="Times New Roman"/>
          <w:lang w:eastAsia="en-NZ"/>
        </w:rPr>
        <w:t xml:space="preserve"> been so many outstanding people. But the things I saw and heard about this person made her an obvious choice."</w:t>
      </w:r>
    </w:p>
    <w:p w:rsidR="00107245" w:rsidRPr="00D5126A" w:rsidRDefault="00107245" w:rsidP="00107245"/>
    <w:p w:rsidR="009D3428" w:rsidRPr="00D5126A" w:rsidRDefault="009D3428">
      <w:pPr>
        <w:rPr>
          <w:rFonts w:asciiTheme="majorHAnsi" w:eastAsiaTheme="majorEastAsia" w:hAnsiTheme="majorHAnsi"/>
          <w:b/>
          <w:bCs/>
          <w:color w:val="002060"/>
          <w:sz w:val="52"/>
          <w:szCs w:val="28"/>
        </w:rPr>
      </w:pPr>
      <w:r w:rsidRPr="00D5126A">
        <w:br w:type="page"/>
      </w:r>
    </w:p>
    <w:p w:rsidR="00B27C37" w:rsidRPr="00D5126A" w:rsidRDefault="00D72472" w:rsidP="00556359">
      <w:pPr>
        <w:pStyle w:val="Heading1"/>
      </w:pPr>
      <w:bookmarkStart w:id="384" w:name="_Toc23758618"/>
      <w:r w:rsidRPr="00D5126A">
        <w:lastRenderedPageBreak/>
        <w:t xml:space="preserve">Section 5: </w:t>
      </w:r>
      <w:r w:rsidR="00A3111E" w:rsidRPr="00D5126A">
        <w:t>Financial Statements</w:t>
      </w:r>
      <w:bookmarkEnd w:id="324"/>
      <w:bookmarkEnd w:id="325"/>
      <w:bookmarkEnd w:id="326"/>
      <w:bookmarkEnd w:id="384"/>
    </w:p>
    <w:p w:rsidR="00FA6A77" w:rsidRPr="00D5126A" w:rsidRDefault="00FA6A77" w:rsidP="00FA6A77">
      <w:pPr>
        <w:pStyle w:val="Heading5"/>
      </w:pPr>
      <w:r w:rsidRPr="00D5126A">
        <w:t>In this section</w:t>
      </w:r>
    </w:p>
    <w:p w:rsidR="00FA6A77" w:rsidRPr="00D5126A" w:rsidRDefault="00FA6A77" w:rsidP="00FA6A77">
      <w:pPr>
        <w:spacing w:line="240" w:lineRule="auto"/>
      </w:pPr>
      <w:r w:rsidRPr="00D5126A">
        <w:t xml:space="preserve">This section includes the statements of Compliance and Responsibility, Revenue and Expense, the Financial Position, Changes in Equity, and Cash Flow, along with other disclosures for Wellington City Council for the year ended 30 June 2019. </w:t>
      </w:r>
    </w:p>
    <w:sdt>
      <w:sdtPr>
        <w:rPr>
          <w:rFonts w:asciiTheme="minorHAnsi" w:eastAsiaTheme="minorEastAsia" w:hAnsiTheme="minorHAnsi" w:cs="Times New Roman"/>
          <w:b w:val="0"/>
          <w:bCs w:val="0"/>
          <w:color w:val="auto"/>
          <w:sz w:val="22"/>
          <w:szCs w:val="22"/>
        </w:rPr>
        <w:id w:val="1171837038"/>
        <w:docPartObj>
          <w:docPartGallery w:val="Table of Contents"/>
          <w:docPartUnique/>
        </w:docPartObj>
      </w:sdtPr>
      <w:sdtContent>
        <w:p w:rsidR="00456E92" w:rsidRPr="00D5126A" w:rsidRDefault="008919FB" w:rsidP="00956AB3">
          <w:pPr>
            <w:pStyle w:val="TOCHeading"/>
            <w:pBdr>
              <w:bottom w:val="none" w:sz="0" w:space="0" w:color="auto"/>
            </w:pBdr>
            <w:rPr>
              <w:rStyle w:val="Heading2Char"/>
            </w:rPr>
          </w:pPr>
          <w:r w:rsidRPr="00D5126A">
            <w:rPr>
              <w:rStyle w:val="Heading2Char"/>
            </w:rPr>
            <w:t xml:space="preserve">Ihirangi | </w:t>
          </w:r>
          <w:r w:rsidR="00456E92" w:rsidRPr="00D5126A">
            <w:rPr>
              <w:rStyle w:val="Heading2Char"/>
            </w:rPr>
            <w:t>Contents</w:t>
          </w:r>
        </w:p>
        <w:p w:rsidR="0035019C" w:rsidRDefault="00456E92" w:rsidP="0035019C">
          <w:pPr>
            <w:pStyle w:val="TOC2"/>
            <w:rPr>
              <w:rFonts w:cstheme="minorBidi"/>
              <w:noProof/>
              <w:lang w:eastAsia="en-NZ"/>
            </w:rPr>
          </w:pPr>
          <w:r w:rsidRPr="00D5126A">
            <w:fldChar w:fldCharType="begin"/>
          </w:r>
          <w:r w:rsidR="00956AB3" w:rsidRPr="00D5126A">
            <w:instrText xml:space="preserve"> TOC \o "1-3</w:instrText>
          </w:r>
          <w:r w:rsidRPr="00D5126A">
            <w:instrText>" \h \z \</w:instrText>
          </w:r>
          <w:r w:rsidR="000B1EE6" w:rsidRPr="00D5126A">
            <w:instrText>b Financial_Statements</w:instrText>
          </w:r>
          <w:r w:rsidRPr="00D5126A">
            <w:instrText xml:space="preserve"> </w:instrText>
          </w:r>
          <w:r w:rsidRPr="00D5126A">
            <w:fldChar w:fldCharType="separate"/>
          </w:r>
          <w:hyperlink w:anchor="_Toc23848688" w:history="1">
            <w:r w:rsidR="0035019C" w:rsidRPr="00277EEC">
              <w:rPr>
                <w:rStyle w:val="Hyperlink"/>
                <w:noProof/>
              </w:rPr>
              <w:t>Statement of Compliance and Responsibility</w:t>
            </w:r>
            <w:r w:rsidR="0035019C">
              <w:rPr>
                <w:noProof/>
                <w:webHidden/>
              </w:rPr>
              <w:tab/>
            </w:r>
            <w:r w:rsidR="0035019C">
              <w:rPr>
                <w:noProof/>
                <w:webHidden/>
              </w:rPr>
              <w:fldChar w:fldCharType="begin"/>
            </w:r>
            <w:r w:rsidR="0035019C">
              <w:rPr>
                <w:noProof/>
                <w:webHidden/>
              </w:rPr>
              <w:instrText xml:space="preserve"> PAGEREF _Toc23848688 \h </w:instrText>
            </w:r>
            <w:r w:rsidR="0035019C">
              <w:rPr>
                <w:noProof/>
                <w:webHidden/>
              </w:rPr>
            </w:r>
            <w:r w:rsidR="0035019C">
              <w:rPr>
                <w:noProof/>
                <w:webHidden/>
              </w:rPr>
              <w:fldChar w:fldCharType="separate"/>
            </w:r>
            <w:r w:rsidR="0035019C">
              <w:rPr>
                <w:noProof/>
                <w:webHidden/>
              </w:rPr>
              <w:t>218</w:t>
            </w:r>
            <w:r w:rsidR="0035019C">
              <w:rPr>
                <w:noProof/>
                <w:webHidden/>
              </w:rPr>
              <w:fldChar w:fldCharType="end"/>
            </w:r>
          </w:hyperlink>
        </w:p>
        <w:p w:rsidR="0035019C" w:rsidRDefault="005D6D1F" w:rsidP="0035019C">
          <w:pPr>
            <w:pStyle w:val="TOC2"/>
            <w:rPr>
              <w:rFonts w:cstheme="minorBidi"/>
              <w:noProof/>
              <w:lang w:eastAsia="en-NZ"/>
            </w:rPr>
          </w:pPr>
          <w:hyperlink w:anchor="_Toc23848689" w:history="1">
            <w:r w:rsidR="0035019C" w:rsidRPr="00277EEC">
              <w:rPr>
                <w:rStyle w:val="Hyperlink"/>
                <w:noProof/>
              </w:rPr>
              <w:t>Council and Group Structure</w:t>
            </w:r>
            <w:r w:rsidR="0035019C">
              <w:rPr>
                <w:noProof/>
                <w:webHidden/>
              </w:rPr>
              <w:tab/>
            </w:r>
            <w:r w:rsidR="0035019C">
              <w:rPr>
                <w:noProof/>
                <w:webHidden/>
              </w:rPr>
              <w:fldChar w:fldCharType="begin"/>
            </w:r>
            <w:r w:rsidR="0035019C">
              <w:rPr>
                <w:noProof/>
                <w:webHidden/>
              </w:rPr>
              <w:instrText xml:space="preserve"> PAGEREF _Toc23848689 \h </w:instrText>
            </w:r>
            <w:r w:rsidR="0035019C">
              <w:rPr>
                <w:noProof/>
                <w:webHidden/>
              </w:rPr>
            </w:r>
            <w:r w:rsidR="0035019C">
              <w:rPr>
                <w:noProof/>
                <w:webHidden/>
              </w:rPr>
              <w:fldChar w:fldCharType="separate"/>
            </w:r>
            <w:r w:rsidR="0035019C">
              <w:rPr>
                <w:noProof/>
                <w:webHidden/>
              </w:rPr>
              <w:t>219</w:t>
            </w:r>
            <w:r w:rsidR="0035019C">
              <w:rPr>
                <w:noProof/>
                <w:webHidden/>
              </w:rPr>
              <w:fldChar w:fldCharType="end"/>
            </w:r>
          </w:hyperlink>
        </w:p>
        <w:p w:rsidR="0035019C" w:rsidRDefault="005D6D1F" w:rsidP="0035019C">
          <w:pPr>
            <w:pStyle w:val="TOC2"/>
            <w:rPr>
              <w:rFonts w:cstheme="minorBidi"/>
              <w:noProof/>
              <w:lang w:eastAsia="en-NZ"/>
            </w:rPr>
          </w:pPr>
          <w:hyperlink w:anchor="_Toc23848690" w:history="1">
            <w:r w:rsidR="0035019C" w:rsidRPr="00277EEC">
              <w:rPr>
                <w:rStyle w:val="Hyperlink"/>
                <w:noProof/>
              </w:rPr>
              <w:t>Basis of Consolidation</w:t>
            </w:r>
            <w:r w:rsidR="0035019C">
              <w:rPr>
                <w:noProof/>
                <w:webHidden/>
              </w:rPr>
              <w:tab/>
            </w:r>
            <w:r w:rsidR="0035019C">
              <w:rPr>
                <w:noProof/>
                <w:webHidden/>
              </w:rPr>
              <w:fldChar w:fldCharType="begin"/>
            </w:r>
            <w:r w:rsidR="0035019C">
              <w:rPr>
                <w:noProof/>
                <w:webHidden/>
              </w:rPr>
              <w:instrText xml:space="preserve"> PAGEREF _Toc23848690 \h </w:instrText>
            </w:r>
            <w:r w:rsidR="0035019C">
              <w:rPr>
                <w:noProof/>
                <w:webHidden/>
              </w:rPr>
            </w:r>
            <w:r w:rsidR="0035019C">
              <w:rPr>
                <w:noProof/>
                <w:webHidden/>
              </w:rPr>
              <w:fldChar w:fldCharType="separate"/>
            </w:r>
            <w:r w:rsidR="0035019C">
              <w:rPr>
                <w:noProof/>
                <w:webHidden/>
              </w:rPr>
              <w:t>220</w:t>
            </w:r>
            <w:r w:rsidR="0035019C">
              <w:rPr>
                <w:noProof/>
                <w:webHidden/>
              </w:rPr>
              <w:fldChar w:fldCharType="end"/>
            </w:r>
          </w:hyperlink>
        </w:p>
        <w:p w:rsidR="0035019C" w:rsidRDefault="005D6D1F" w:rsidP="0035019C">
          <w:pPr>
            <w:pStyle w:val="TOC2"/>
            <w:rPr>
              <w:rFonts w:cstheme="minorBidi"/>
              <w:noProof/>
              <w:lang w:eastAsia="en-NZ"/>
            </w:rPr>
          </w:pPr>
          <w:hyperlink w:anchor="_Toc23848691" w:history="1">
            <w:r w:rsidR="0035019C" w:rsidRPr="00277EEC">
              <w:rPr>
                <w:rStyle w:val="Hyperlink"/>
                <w:noProof/>
              </w:rPr>
              <w:t>Statement of Comprehensive Revenue and Expense</w:t>
            </w:r>
            <w:r w:rsidR="0035019C">
              <w:rPr>
                <w:noProof/>
                <w:webHidden/>
              </w:rPr>
              <w:tab/>
            </w:r>
            <w:r w:rsidR="0035019C">
              <w:rPr>
                <w:noProof/>
                <w:webHidden/>
              </w:rPr>
              <w:fldChar w:fldCharType="begin"/>
            </w:r>
            <w:r w:rsidR="0035019C">
              <w:rPr>
                <w:noProof/>
                <w:webHidden/>
              </w:rPr>
              <w:instrText xml:space="preserve"> PAGEREF _Toc23848691 \h </w:instrText>
            </w:r>
            <w:r w:rsidR="0035019C">
              <w:rPr>
                <w:noProof/>
                <w:webHidden/>
              </w:rPr>
            </w:r>
            <w:r w:rsidR="0035019C">
              <w:rPr>
                <w:noProof/>
                <w:webHidden/>
              </w:rPr>
              <w:fldChar w:fldCharType="separate"/>
            </w:r>
            <w:r w:rsidR="0035019C">
              <w:rPr>
                <w:noProof/>
                <w:webHidden/>
              </w:rPr>
              <w:t>221</w:t>
            </w:r>
            <w:r w:rsidR="0035019C">
              <w:rPr>
                <w:noProof/>
                <w:webHidden/>
              </w:rPr>
              <w:fldChar w:fldCharType="end"/>
            </w:r>
          </w:hyperlink>
        </w:p>
        <w:p w:rsidR="0035019C" w:rsidRDefault="005D6D1F" w:rsidP="0035019C">
          <w:pPr>
            <w:pStyle w:val="TOC3"/>
            <w:rPr>
              <w:rFonts w:cstheme="minorBidi"/>
              <w:noProof/>
              <w:lang w:eastAsia="en-NZ"/>
            </w:rPr>
          </w:pPr>
          <w:hyperlink w:anchor="_Toc23848692" w:history="1">
            <w:r w:rsidR="0035019C" w:rsidRPr="00277EEC">
              <w:rPr>
                <w:rStyle w:val="Hyperlink"/>
                <w:noProof/>
              </w:rPr>
              <w:t>Note 1: Rates revenue</w:t>
            </w:r>
            <w:r w:rsidR="0035019C">
              <w:rPr>
                <w:noProof/>
                <w:webHidden/>
              </w:rPr>
              <w:tab/>
            </w:r>
            <w:r w:rsidR="0035019C">
              <w:rPr>
                <w:noProof/>
                <w:webHidden/>
              </w:rPr>
              <w:fldChar w:fldCharType="begin"/>
            </w:r>
            <w:r w:rsidR="0035019C">
              <w:rPr>
                <w:noProof/>
                <w:webHidden/>
              </w:rPr>
              <w:instrText xml:space="preserve"> PAGEREF _Toc23848692 \h </w:instrText>
            </w:r>
            <w:r w:rsidR="0035019C">
              <w:rPr>
                <w:noProof/>
                <w:webHidden/>
              </w:rPr>
            </w:r>
            <w:r w:rsidR="0035019C">
              <w:rPr>
                <w:noProof/>
                <w:webHidden/>
              </w:rPr>
              <w:fldChar w:fldCharType="separate"/>
            </w:r>
            <w:r w:rsidR="0035019C">
              <w:rPr>
                <w:noProof/>
                <w:webHidden/>
              </w:rPr>
              <w:t>224</w:t>
            </w:r>
            <w:r w:rsidR="0035019C">
              <w:rPr>
                <w:noProof/>
                <w:webHidden/>
              </w:rPr>
              <w:fldChar w:fldCharType="end"/>
            </w:r>
          </w:hyperlink>
        </w:p>
        <w:p w:rsidR="0035019C" w:rsidRDefault="005D6D1F" w:rsidP="0035019C">
          <w:pPr>
            <w:pStyle w:val="TOC3"/>
            <w:rPr>
              <w:rFonts w:cstheme="minorBidi"/>
              <w:noProof/>
              <w:lang w:eastAsia="en-NZ"/>
            </w:rPr>
          </w:pPr>
          <w:hyperlink w:anchor="_Toc23848693" w:history="1">
            <w:r w:rsidR="0035019C" w:rsidRPr="00277EEC">
              <w:rPr>
                <w:rStyle w:val="Hyperlink"/>
                <w:noProof/>
              </w:rPr>
              <w:t>Note 2: Revenue from operating activities</w:t>
            </w:r>
            <w:r w:rsidR="0035019C">
              <w:rPr>
                <w:noProof/>
                <w:webHidden/>
              </w:rPr>
              <w:tab/>
            </w:r>
            <w:r w:rsidR="0035019C">
              <w:rPr>
                <w:noProof/>
                <w:webHidden/>
              </w:rPr>
              <w:fldChar w:fldCharType="begin"/>
            </w:r>
            <w:r w:rsidR="0035019C">
              <w:rPr>
                <w:noProof/>
                <w:webHidden/>
              </w:rPr>
              <w:instrText xml:space="preserve"> PAGEREF _Toc23848693 \h </w:instrText>
            </w:r>
            <w:r w:rsidR="0035019C">
              <w:rPr>
                <w:noProof/>
                <w:webHidden/>
              </w:rPr>
            </w:r>
            <w:r w:rsidR="0035019C">
              <w:rPr>
                <w:noProof/>
                <w:webHidden/>
              </w:rPr>
              <w:fldChar w:fldCharType="separate"/>
            </w:r>
            <w:r w:rsidR="0035019C">
              <w:rPr>
                <w:noProof/>
                <w:webHidden/>
              </w:rPr>
              <w:t>225</w:t>
            </w:r>
            <w:r w:rsidR="0035019C">
              <w:rPr>
                <w:noProof/>
                <w:webHidden/>
              </w:rPr>
              <w:fldChar w:fldCharType="end"/>
            </w:r>
          </w:hyperlink>
        </w:p>
        <w:p w:rsidR="0035019C" w:rsidRDefault="005D6D1F" w:rsidP="0035019C">
          <w:pPr>
            <w:pStyle w:val="TOC3"/>
            <w:rPr>
              <w:rFonts w:cstheme="minorBidi"/>
              <w:noProof/>
              <w:lang w:eastAsia="en-NZ"/>
            </w:rPr>
          </w:pPr>
          <w:hyperlink w:anchor="_Toc23848694" w:history="1">
            <w:r w:rsidR="0035019C" w:rsidRPr="00277EEC">
              <w:rPr>
                <w:rStyle w:val="Hyperlink"/>
                <w:noProof/>
              </w:rPr>
              <w:t>Note 3: Investments revenue</w:t>
            </w:r>
            <w:r w:rsidR="0035019C">
              <w:rPr>
                <w:noProof/>
                <w:webHidden/>
              </w:rPr>
              <w:tab/>
            </w:r>
            <w:r w:rsidR="0035019C">
              <w:rPr>
                <w:noProof/>
                <w:webHidden/>
              </w:rPr>
              <w:fldChar w:fldCharType="begin"/>
            </w:r>
            <w:r w:rsidR="0035019C">
              <w:rPr>
                <w:noProof/>
                <w:webHidden/>
              </w:rPr>
              <w:instrText xml:space="preserve"> PAGEREF _Toc23848694 \h </w:instrText>
            </w:r>
            <w:r w:rsidR="0035019C">
              <w:rPr>
                <w:noProof/>
                <w:webHidden/>
              </w:rPr>
            </w:r>
            <w:r w:rsidR="0035019C">
              <w:rPr>
                <w:noProof/>
                <w:webHidden/>
              </w:rPr>
              <w:fldChar w:fldCharType="separate"/>
            </w:r>
            <w:r w:rsidR="0035019C">
              <w:rPr>
                <w:noProof/>
                <w:webHidden/>
              </w:rPr>
              <w:t>228</w:t>
            </w:r>
            <w:r w:rsidR="0035019C">
              <w:rPr>
                <w:noProof/>
                <w:webHidden/>
              </w:rPr>
              <w:fldChar w:fldCharType="end"/>
            </w:r>
          </w:hyperlink>
        </w:p>
        <w:p w:rsidR="0035019C" w:rsidRDefault="005D6D1F" w:rsidP="0035019C">
          <w:pPr>
            <w:pStyle w:val="TOC3"/>
            <w:rPr>
              <w:rFonts w:cstheme="minorBidi"/>
              <w:noProof/>
              <w:lang w:eastAsia="en-NZ"/>
            </w:rPr>
          </w:pPr>
          <w:hyperlink w:anchor="_Toc23848695" w:history="1">
            <w:r w:rsidR="0035019C" w:rsidRPr="00277EEC">
              <w:rPr>
                <w:rStyle w:val="Hyperlink"/>
                <w:noProof/>
              </w:rPr>
              <w:t>Note 4: Vested assets and other revenue</w:t>
            </w:r>
            <w:r w:rsidR="0035019C">
              <w:rPr>
                <w:noProof/>
                <w:webHidden/>
              </w:rPr>
              <w:tab/>
            </w:r>
            <w:r w:rsidR="0035019C">
              <w:rPr>
                <w:noProof/>
                <w:webHidden/>
              </w:rPr>
              <w:fldChar w:fldCharType="begin"/>
            </w:r>
            <w:r w:rsidR="0035019C">
              <w:rPr>
                <w:noProof/>
                <w:webHidden/>
              </w:rPr>
              <w:instrText xml:space="preserve"> PAGEREF _Toc23848695 \h </w:instrText>
            </w:r>
            <w:r w:rsidR="0035019C">
              <w:rPr>
                <w:noProof/>
                <w:webHidden/>
              </w:rPr>
            </w:r>
            <w:r w:rsidR="0035019C">
              <w:rPr>
                <w:noProof/>
                <w:webHidden/>
              </w:rPr>
              <w:fldChar w:fldCharType="separate"/>
            </w:r>
            <w:r w:rsidR="0035019C">
              <w:rPr>
                <w:noProof/>
                <w:webHidden/>
              </w:rPr>
              <w:t>229</w:t>
            </w:r>
            <w:r w:rsidR="0035019C">
              <w:rPr>
                <w:noProof/>
                <w:webHidden/>
              </w:rPr>
              <w:fldChar w:fldCharType="end"/>
            </w:r>
          </w:hyperlink>
        </w:p>
        <w:p w:rsidR="0035019C" w:rsidRDefault="005D6D1F" w:rsidP="0035019C">
          <w:pPr>
            <w:pStyle w:val="TOC3"/>
            <w:rPr>
              <w:rFonts w:cstheme="minorBidi"/>
              <w:noProof/>
              <w:lang w:eastAsia="en-NZ"/>
            </w:rPr>
          </w:pPr>
          <w:hyperlink w:anchor="_Toc23848696" w:history="1">
            <w:r w:rsidR="0035019C" w:rsidRPr="00277EEC">
              <w:rPr>
                <w:rStyle w:val="Hyperlink"/>
                <w:noProof/>
              </w:rPr>
              <w:t>Note 5: Fair value movements</w:t>
            </w:r>
            <w:r w:rsidR="0035019C">
              <w:rPr>
                <w:noProof/>
                <w:webHidden/>
              </w:rPr>
              <w:tab/>
            </w:r>
            <w:r w:rsidR="0035019C">
              <w:rPr>
                <w:noProof/>
                <w:webHidden/>
              </w:rPr>
              <w:fldChar w:fldCharType="begin"/>
            </w:r>
            <w:r w:rsidR="0035019C">
              <w:rPr>
                <w:noProof/>
                <w:webHidden/>
              </w:rPr>
              <w:instrText xml:space="preserve"> PAGEREF _Toc23848696 \h </w:instrText>
            </w:r>
            <w:r w:rsidR="0035019C">
              <w:rPr>
                <w:noProof/>
                <w:webHidden/>
              </w:rPr>
            </w:r>
            <w:r w:rsidR="0035019C">
              <w:rPr>
                <w:noProof/>
                <w:webHidden/>
              </w:rPr>
              <w:fldChar w:fldCharType="separate"/>
            </w:r>
            <w:r w:rsidR="0035019C">
              <w:rPr>
                <w:noProof/>
                <w:webHidden/>
              </w:rPr>
              <w:t>230</w:t>
            </w:r>
            <w:r w:rsidR="0035019C">
              <w:rPr>
                <w:noProof/>
                <w:webHidden/>
              </w:rPr>
              <w:fldChar w:fldCharType="end"/>
            </w:r>
          </w:hyperlink>
        </w:p>
        <w:p w:rsidR="0035019C" w:rsidRDefault="005D6D1F" w:rsidP="0035019C">
          <w:pPr>
            <w:pStyle w:val="TOC3"/>
            <w:rPr>
              <w:rFonts w:cstheme="minorBidi"/>
              <w:noProof/>
              <w:lang w:eastAsia="en-NZ"/>
            </w:rPr>
          </w:pPr>
          <w:hyperlink w:anchor="_Toc23848697" w:history="1">
            <w:r w:rsidR="0035019C" w:rsidRPr="00277EEC">
              <w:rPr>
                <w:rStyle w:val="Hyperlink"/>
                <w:noProof/>
              </w:rPr>
              <w:t>Note 6: Finance expense</w:t>
            </w:r>
            <w:r w:rsidR="0035019C">
              <w:rPr>
                <w:noProof/>
                <w:webHidden/>
              </w:rPr>
              <w:tab/>
            </w:r>
            <w:r w:rsidR="0035019C">
              <w:rPr>
                <w:noProof/>
                <w:webHidden/>
              </w:rPr>
              <w:fldChar w:fldCharType="begin"/>
            </w:r>
            <w:r w:rsidR="0035019C">
              <w:rPr>
                <w:noProof/>
                <w:webHidden/>
              </w:rPr>
              <w:instrText xml:space="preserve"> PAGEREF _Toc23848697 \h </w:instrText>
            </w:r>
            <w:r w:rsidR="0035019C">
              <w:rPr>
                <w:noProof/>
                <w:webHidden/>
              </w:rPr>
            </w:r>
            <w:r w:rsidR="0035019C">
              <w:rPr>
                <w:noProof/>
                <w:webHidden/>
              </w:rPr>
              <w:fldChar w:fldCharType="separate"/>
            </w:r>
            <w:r w:rsidR="0035019C">
              <w:rPr>
                <w:noProof/>
                <w:webHidden/>
              </w:rPr>
              <w:t>231</w:t>
            </w:r>
            <w:r w:rsidR="0035019C">
              <w:rPr>
                <w:noProof/>
                <w:webHidden/>
              </w:rPr>
              <w:fldChar w:fldCharType="end"/>
            </w:r>
          </w:hyperlink>
        </w:p>
        <w:p w:rsidR="0035019C" w:rsidRDefault="005D6D1F" w:rsidP="0035019C">
          <w:pPr>
            <w:pStyle w:val="TOC3"/>
            <w:rPr>
              <w:rFonts w:cstheme="minorBidi"/>
              <w:noProof/>
              <w:lang w:eastAsia="en-NZ"/>
            </w:rPr>
          </w:pPr>
          <w:hyperlink w:anchor="_Toc23848698" w:history="1">
            <w:r w:rsidR="0035019C" w:rsidRPr="00277EEC">
              <w:rPr>
                <w:rStyle w:val="Hyperlink"/>
                <w:noProof/>
              </w:rPr>
              <w:t>Note 7: Expenditure on operating activities</w:t>
            </w:r>
            <w:r w:rsidR="0035019C">
              <w:rPr>
                <w:noProof/>
                <w:webHidden/>
              </w:rPr>
              <w:tab/>
            </w:r>
            <w:r w:rsidR="0035019C">
              <w:rPr>
                <w:noProof/>
                <w:webHidden/>
              </w:rPr>
              <w:fldChar w:fldCharType="begin"/>
            </w:r>
            <w:r w:rsidR="0035019C">
              <w:rPr>
                <w:noProof/>
                <w:webHidden/>
              </w:rPr>
              <w:instrText xml:space="preserve"> PAGEREF _Toc23848698 \h </w:instrText>
            </w:r>
            <w:r w:rsidR="0035019C">
              <w:rPr>
                <w:noProof/>
                <w:webHidden/>
              </w:rPr>
            </w:r>
            <w:r w:rsidR="0035019C">
              <w:rPr>
                <w:noProof/>
                <w:webHidden/>
              </w:rPr>
              <w:fldChar w:fldCharType="separate"/>
            </w:r>
            <w:r w:rsidR="0035019C">
              <w:rPr>
                <w:noProof/>
                <w:webHidden/>
              </w:rPr>
              <w:t>232</w:t>
            </w:r>
            <w:r w:rsidR="0035019C">
              <w:rPr>
                <w:noProof/>
                <w:webHidden/>
              </w:rPr>
              <w:fldChar w:fldCharType="end"/>
            </w:r>
          </w:hyperlink>
        </w:p>
        <w:p w:rsidR="0035019C" w:rsidRDefault="005D6D1F" w:rsidP="0035019C">
          <w:pPr>
            <w:pStyle w:val="TOC3"/>
            <w:rPr>
              <w:rFonts w:cstheme="minorBidi"/>
              <w:noProof/>
              <w:lang w:eastAsia="en-NZ"/>
            </w:rPr>
          </w:pPr>
          <w:hyperlink w:anchor="_Toc23848699" w:history="1">
            <w:r w:rsidR="0035019C" w:rsidRPr="00277EEC">
              <w:rPr>
                <w:rStyle w:val="Hyperlink"/>
                <w:noProof/>
              </w:rPr>
              <w:t>Note 8: Depreciation and amortisation</w:t>
            </w:r>
            <w:r w:rsidR="0035019C">
              <w:rPr>
                <w:noProof/>
                <w:webHidden/>
              </w:rPr>
              <w:tab/>
            </w:r>
            <w:r w:rsidR="0035019C">
              <w:rPr>
                <w:noProof/>
                <w:webHidden/>
              </w:rPr>
              <w:fldChar w:fldCharType="begin"/>
            </w:r>
            <w:r w:rsidR="0035019C">
              <w:rPr>
                <w:noProof/>
                <w:webHidden/>
              </w:rPr>
              <w:instrText xml:space="preserve"> PAGEREF _Toc23848699 \h </w:instrText>
            </w:r>
            <w:r w:rsidR="0035019C">
              <w:rPr>
                <w:noProof/>
                <w:webHidden/>
              </w:rPr>
            </w:r>
            <w:r w:rsidR="0035019C">
              <w:rPr>
                <w:noProof/>
                <w:webHidden/>
              </w:rPr>
              <w:fldChar w:fldCharType="separate"/>
            </w:r>
            <w:r w:rsidR="0035019C">
              <w:rPr>
                <w:noProof/>
                <w:webHidden/>
              </w:rPr>
              <w:t>234</w:t>
            </w:r>
            <w:r w:rsidR="0035019C">
              <w:rPr>
                <w:noProof/>
                <w:webHidden/>
              </w:rPr>
              <w:fldChar w:fldCharType="end"/>
            </w:r>
          </w:hyperlink>
        </w:p>
        <w:p w:rsidR="0035019C" w:rsidRDefault="005D6D1F" w:rsidP="0035019C">
          <w:pPr>
            <w:pStyle w:val="TOC3"/>
            <w:rPr>
              <w:rFonts w:cstheme="minorBidi"/>
              <w:noProof/>
              <w:lang w:eastAsia="en-NZ"/>
            </w:rPr>
          </w:pPr>
          <w:hyperlink w:anchor="_Toc23848700" w:history="1">
            <w:r w:rsidR="0035019C" w:rsidRPr="00277EEC">
              <w:rPr>
                <w:rStyle w:val="Hyperlink"/>
                <w:noProof/>
              </w:rPr>
              <w:t>Note 9: Share of associates’ and jointly controlled entity’s surplus or deficit</w:t>
            </w:r>
            <w:r w:rsidR="0035019C">
              <w:rPr>
                <w:noProof/>
                <w:webHidden/>
              </w:rPr>
              <w:tab/>
            </w:r>
            <w:r w:rsidR="0035019C">
              <w:rPr>
                <w:noProof/>
                <w:webHidden/>
              </w:rPr>
              <w:fldChar w:fldCharType="begin"/>
            </w:r>
            <w:r w:rsidR="0035019C">
              <w:rPr>
                <w:noProof/>
                <w:webHidden/>
              </w:rPr>
              <w:instrText xml:space="preserve"> PAGEREF _Toc23848700 \h </w:instrText>
            </w:r>
            <w:r w:rsidR="0035019C">
              <w:rPr>
                <w:noProof/>
                <w:webHidden/>
              </w:rPr>
            </w:r>
            <w:r w:rsidR="0035019C">
              <w:rPr>
                <w:noProof/>
                <w:webHidden/>
              </w:rPr>
              <w:fldChar w:fldCharType="separate"/>
            </w:r>
            <w:r w:rsidR="0035019C">
              <w:rPr>
                <w:noProof/>
                <w:webHidden/>
              </w:rPr>
              <w:t>235</w:t>
            </w:r>
            <w:r w:rsidR="0035019C">
              <w:rPr>
                <w:noProof/>
                <w:webHidden/>
              </w:rPr>
              <w:fldChar w:fldCharType="end"/>
            </w:r>
          </w:hyperlink>
        </w:p>
        <w:p w:rsidR="0035019C" w:rsidRDefault="005D6D1F" w:rsidP="0035019C">
          <w:pPr>
            <w:pStyle w:val="TOC3"/>
            <w:rPr>
              <w:rFonts w:cstheme="minorBidi"/>
              <w:noProof/>
              <w:lang w:eastAsia="en-NZ"/>
            </w:rPr>
          </w:pPr>
          <w:hyperlink w:anchor="_Toc23848701" w:history="1">
            <w:r w:rsidR="0035019C" w:rsidRPr="00277EEC">
              <w:rPr>
                <w:rStyle w:val="Hyperlink"/>
                <w:noProof/>
              </w:rPr>
              <w:t>Note 10: Income tax expense</w:t>
            </w:r>
            <w:r w:rsidR="0035019C">
              <w:rPr>
                <w:noProof/>
                <w:webHidden/>
              </w:rPr>
              <w:tab/>
            </w:r>
            <w:r w:rsidR="0035019C">
              <w:rPr>
                <w:noProof/>
                <w:webHidden/>
              </w:rPr>
              <w:fldChar w:fldCharType="begin"/>
            </w:r>
            <w:r w:rsidR="0035019C">
              <w:rPr>
                <w:noProof/>
                <w:webHidden/>
              </w:rPr>
              <w:instrText xml:space="preserve"> PAGEREF _Toc23848701 \h </w:instrText>
            </w:r>
            <w:r w:rsidR="0035019C">
              <w:rPr>
                <w:noProof/>
                <w:webHidden/>
              </w:rPr>
            </w:r>
            <w:r w:rsidR="0035019C">
              <w:rPr>
                <w:noProof/>
                <w:webHidden/>
              </w:rPr>
              <w:fldChar w:fldCharType="separate"/>
            </w:r>
            <w:r w:rsidR="0035019C">
              <w:rPr>
                <w:noProof/>
                <w:webHidden/>
              </w:rPr>
              <w:t>237</w:t>
            </w:r>
            <w:r w:rsidR="0035019C">
              <w:rPr>
                <w:noProof/>
                <w:webHidden/>
              </w:rPr>
              <w:fldChar w:fldCharType="end"/>
            </w:r>
          </w:hyperlink>
        </w:p>
        <w:p w:rsidR="0035019C" w:rsidRDefault="005D6D1F" w:rsidP="0035019C">
          <w:pPr>
            <w:pStyle w:val="TOC2"/>
            <w:rPr>
              <w:rFonts w:cstheme="minorBidi"/>
              <w:noProof/>
              <w:lang w:eastAsia="en-NZ"/>
            </w:rPr>
          </w:pPr>
          <w:hyperlink w:anchor="_Toc23848702" w:history="1">
            <w:r w:rsidR="0035019C" w:rsidRPr="00277EEC">
              <w:rPr>
                <w:rStyle w:val="Hyperlink"/>
                <w:noProof/>
              </w:rPr>
              <w:t>Statement of Financial Position</w:t>
            </w:r>
            <w:r w:rsidR="0035019C">
              <w:rPr>
                <w:noProof/>
                <w:webHidden/>
              </w:rPr>
              <w:tab/>
            </w:r>
            <w:r w:rsidR="0035019C">
              <w:rPr>
                <w:noProof/>
                <w:webHidden/>
              </w:rPr>
              <w:fldChar w:fldCharType="begin"/>
            </w:r>
            <w:r w:rsidR="0035019C">
              <w:rPr>
                <w:noProof/>
                <w:webHidden/>
              </w:rPr>
              <w:instrText xml:space="preserve"> PAGEREF _Toc23848702 \h </w:instrText>
            </w:r>
            <w:r w:rsidR="0035019C">
              <w:rPr>
                <w:noProof/>
                <w:webHidden/>
              </w:rPr>
            </w:r>
            <w:r w:rsidR="0035019C">
              <w:rPr>
                <w:noProof/>
                <w:webHidden/>
              </w:rPr>
              <w:fldChar w:fldCharType="separate"/>
            </w:r>
            <w:r w:rsidR="0035019C">
              <w:rPr>
                <w:noProof/>
                <w:webHidden/>
              </w:rPr>
              <w:t>238</w:t>
            </w:r>
            <w:r w:rsidR="0035019C">
              <w:rPr>
                <w:noProof/>
                <w:webHidden/>
              </w:rPr>
              <w:fldChar w:fldCharType="end"/>
            </w:r>
          </w:hyperlink>
        </w:p>
        <w:p w:rsidR="0035019C" w:rsidRDefault="005D6D1F">
          <w:pPr>
            <w:pStyle w:val="TOC3"/>
            <w:rPr>
              <w:rFonts w:cstheme="minorBidi"/>
              <w:noProof/>
              <w:lang w:eastAsia="en-NZ"/>
            </w:rPr>
          </w:pPr>
          <w:hyperlink w:anchor="_Toc23848703" w:history="1">
            <w:r w:rsidR="0035019C" w:rsidRPr="00277EEC">
              <w:rPr>
                <w:rStyle w:val="Hyperlink"/>
                <w:noProof/>
              </w:rPr>
              <w:t>Note 11: Cash and cash equivalents</w:t>
            </w:r>
            <w:r w:rsidR="0035019C">
              <w:rPr>
                <w:noProof/>
                <w:webHidden/>
              </w:rPr>
              <w:tab/>
            </w:r>
            <w:r w:rsidR="0035019C">
              <w:rPr>
                <w:noProof/>
                <w:webHidden/>
              </w:rPr>
              <w:fldChar w:fldCharType="begin"/>
            </w:r>
            <w:r w:rsidR="0035019C">
              <w:rPr>
                <w:noProof/>
                <w:webHidden/>
              </w:rPr>
              <w:instrText xml:space="preserve"> PAGEREF _Toc23848703 \h </w:instrText>
            </w:r>
            <w:r w:rsidR="0035019C">
              <w:rPr>
                <w:noProof/>
                <w:webHidden/>
              </w:rPr>
            </w:r>
            <w:r w:rsidR="0035019C">
              <w:rPr>
                <w:noProof/>
                <w:webHidden/>
              </w:rPr>
              <w:fldChar w:fldCharType="separate"/>
            </w:r>
            <w:r w:rsidR="0035019C">
              <w:rPr>
                <w:noProof/>
                <w:webHidden/>
              </w:rPr>
              <w:t>240</w:t>
            </w:r>
            <w:r w:rsidR="0035019C">
              <w:rPr>
                <w:noProof/>
                <w:webHidden/>
              </w:rPr>
              <w:fldChar w:fldCharType="end"/>
            </w:r>
          </w:hyperlink>
        </w:p>
        <w:p w:rsidR="0035019C" w:rsidRDefault="005D6D1F">
          <w:pPr>
            <w:pStyle w:val="TOC3"/>
            <w:rPr>
              <w:rFonts w:cstheme="minorBidi"/>
              <w:noProof/>
              <w:lang w:eastAsia="en-NZ"/>
            </w:rPr>
          </w:pPr>
          <w:hyperlink w:anchor="_Toc23848704" w:history="1">
            <w:r w:rsidR="0035019C" w:rsidRPr="00277EEC">
              <w:rPr>
                <w:rStyle w:val="Hyperlink"/>
                <w:noProof/>
              </w:rPr>
              <w:t>Note 12: Derivative financial instruments</w:t>
            </w:r>
            <w:r w:rsidR="0035019C">
              <w:rPr>
                <w:noProof/>
                <w:webHidden/>
              </w:rPr>
              <w:tab/>
            </w:r>
            <w:r w:rsidR="0035019C">
              <w:rPr>
                <w:noProof/>
                <w:webHidden/>
              </w:rPr>
              <w:fldChar w:fldCharType="begin"/>
            </w:r>
            <w:r w:rsidR="0035019C">
              <w:rPr>
                <w:noProof/>
                <w:webHidden/>
              </w:rPr>
              <w:instrText xml:space="preserve"> PAGEREF _Toc23848704 \h </w:instrText>
            </w:r>
            <w:r w:rsidR="0035019C">
              <w:rPr>
                <w:noProof/>
                <w:webHidden/>
              </w:rPr>
            </w:r>
            <w:r w:rsidR="0035019C">
              <w:rPr>
                <w:noProof/>
                <w:webHidden/>
              </w:rPr>
              <w:fldChar w:fldCharType="separate"/>
            </w:r>
            <w:r w:rsidR="0035019C">
              <w:rPr>
                <w:noProof/>
                <w:webHidden/>
              </w:rPr>
              <w:t>241</w:t>
            </w:r>
            <w:r w:rsidR="0035019C">
              <w:rPr>
                <w:noProof/>
                <w:webHidden/>
              </w:rPr>
              <w:fldChar w:fldCharType="end"/>
            </w:r>
          </w:hyperlink>
        </w:p>
        <w:p w:rsidR="0035019C" w:rsidRDefault="005D6D1F">
          <w:pPr>
            <w:pStyle w:val="TOC3"/>
            <w:rPr>
              <w:rFonts w:cstheme="minorBidi"/>
              <w:noProof/>
              <w:lang w:eastAsia="en-NZ"/>
            </w:rPr>
          </w:pPr>
          <w:hyperlink w:anchor="_Toc23848705" w:history="1">
            <w:r w:rsidR="0035019C" w:rsidRPr="00277EEC">
              <w:rPr>
                <w:rStyle w:val="Hyperlink"/>
                <w:noProof/>
              </w:rPr>
              <w:t>Note 13: Receivables and recoverables</w:t>
            </w:r>
            <w:r w:rsidR="0035019C">
              <w:rPr>
                <w:noProof/>
                <w:webHidden/>
              </w:rPr>
              <w:tab/>
            </w:r>
            <w:r w:rsidR="0035019C">
              <w:rPr>
                <w:noProof/>
                <w:webHidden/>
              </w:rPr>
              <w:fldChar w:fldCharType="begin"/>
            </w:r>
            <w:r w:rsidR="0035019C">
              <w:rPr>
                <w:noProof/>
                <w:webHidden/>
              </w:rPr>
              <w:instrText xml:space="preserve"> PAGEREF _Toc23848705 \h </w:instrText>
            </w:r>
            <w:r w:rsidR="0035019C">
              <w:rPr>
                <w:noProof/>
                <w:webHidden/>
              </w:rPr>
            </w:r>
            <w:r w:rsidR="0035019C">
              <w:rPr>
                <w:noProof/>
                <w:webHidden/>
              </w:rPr>
              <w:fldChar w:fldCharType="separate"/>
            </w:r>
            <w:r w:rsidR="0035019C">
              <w:rPr>
                <w:noProof/>
                <w:webHidden/>
              </w:rPr>
              <w:t>242</w:t>
            </w:r>
            <w:r w:rsidR="0035019C">
              <w:rPr>
                <w:noProof/>
                <w:webHidden/>
              </w:rPr>
              <w:fldChar w:fldCharType="end"/>
            </w:r>
          </w:hyperlink>
        </w:p>
        <w:p w:rsidR="0035019C" w:rsidRDefault="005D6D1F">
          <w:pPr>
            <w:pStyle w:val="TOC3"/>
            <w:rPr>
              <w:rFonts w:cstheme="minorBidi"/>
              <w:noProof/>
              <w:lang w:eastAsia="en-NZ"/>
            </w:rPr>
          </w:pPr>
          <w:hyperlink w:anchor="_Toc23848706" w:history="1">
            <w:r w:rsidR="0035019C" w:rsidRPr="00277EEC">
              <w:rPr>
                <w:rStyle w:val="Hyperlink"/>
                <w:noProof/>
              </w:rPr>
              <w:t>Note 14: Other financial assets</w:t>
            </w:r>
            <w:r w:rsidR="0035019C">
              <w:rPr>
                <w:noProof/>
                <w:webHidden/>
              </w:rPr>
              <w:tab/>
            </w:r>
            <w:r w:rsidR="0035019C">
              <w:rPr>
                <w:noProof/>
                <w:webHidden/>
              </w:rPr>
              <w:fldChar w:fldCharType="begin"/>
            </w:r>
            <w:r w:rsidR="0035019C">
              <w:rPr>
                <w:noProof/>
                <w:webHidden/>
              </w:rPr>
              <w:instrText xml:space="preserve"> PAGEREF _Toc23848706 \h </w:instrText>
            </w:r>
            <w:r w:rsidR="0035019C">
              <w:rPr>
                <w:noProof/>
                <w:webHidden/>
              </w:rPr>
            </w:r>
            <w:r w:rsidR="0035019C">
              <w:rPr>
                <w:noProof/>
                <w:webHidden/>
              </w:rPr>
              <w:fldChar w:fldCharType="separate"/>
            </w:r>
            <w:r w:rsidR="0035019C">
              <w:rPr>
                <w:noProof/>
                <w:webHidden/>
              </w:rPr>
              <w:t>244</w:t>
            </w:r>
            <w:r w:rsidR="0035019C">
              <w:rPr>
                <w:noProof/>
                <w:webHidden/>
              </w:rPr>
              <w:fldChar w:fldCharType="end"/>
            </w:r>
          </w:hyperlink>
        </w:p>
        <w:p w:rsidR="0035019C" w:rsidRDefault="005D6D1F">
          <w:pPr>
            <w:pStyle w:val="TOC3"/>
            <w:rPr>
              <w:rFonts w:cstheme="minorBidi"/>
              <w:noProof/>
              <w:lang w:eastAsia="en-NZ"/>
            </w:rPr>
          </w:pPr>
          <w:hyperlink w:anchor="_Toc23848707" w:history="1">
            <w:r w:rsidR="0035019C" w:rsidRPr="00277EEC">
              <w:rPr>
                <w:rStyle w:val="Hyperlink"/>
                <w:noProof/>
              </w:rPr>
              <w:t>Note 15: Non-current assets classified as held for sale</w:t>
            </w:r>
            <w:r w:rsidR="0035019C">
              <w:rPr>
                <w:noProof/>
                <w:webHidden/>
              </w:rPr>
              <w:tab/>
            </w:r>
            <w:r w:rsidR="0035019C">
              <w:rPr>
                <w:noProof/>
                <w:webHidden/>
              </w:rPr>
              <w:fldChar w:fldCharType="begin"/>
            </w:r>
            <w:r w:rsidR="0035019C">
              <w:rPr>
                <w:noProof/>
                <w:webHidden/>
              </w:rPr>
              <w:instrText xml:space="preserve"> PAGEREF _Toc23848707 \h </w:instrText>
            </w:r>
            <w:r w:rsidR="0035019C">
              <w:rPr>
                <w:noProof/>
                <w:webHidden/>
              </w:rPr>
            </w:r>
            <w:r w:rsidR="0035019C">
              <w:rPr>
                <w:noProof/>
                <w:webHidden/>
              </w:rPr>
              <w:fldChar w:fldCharType="separate"/>
            </w:r>
            <w:r w:rsidR="0035019C">
              <w:rPr>
                <w:noProof/>
                <w:webHidden/>
              </w:rPr>
              <w:t>246</w:t>
            </w:r>
            <w:r w:rsidR="0035019C">
              <w:rPr>
                <w:noProof/>
                <w:webHidden/>
              </w:rPr>
              <w:fldChar w:fldCharType="end"/>
            </w:r>
          </w:hyperlink>
        </w:p>
        <w:p w:rsidR="0035019C" w:rsidRDefault="005D6D1F">
          <w:pPr>
            <w:pStyle w:val="TOC3"/>
            <w:rPr>
              <w:rFonts w:cstheme="minorBidi"/>
              <w:noProof/>
              <w:lang w:eastAsia="en-NZ"/>
            </w:rPr>
          </w:pPr>
          <w:hyperlink w:anchor="_Toc23848708" w:history="1">
            <w:r w:rsidR="0035019C" w:rsidRPr="00277EEC">
              <w:rPr>
                <w:rStyle w:val="Hyperlink"/>
                <w:noProof/>
              </w:rPr>
              <w:t>Note 16: Intangibles</w:t>
            </w:r>
            <w:r w:rsidR="0035019C">
              <w:rPr>
                <w:noProof/>
                <w:webHidden/>
              </w:rPr>
              <w:tab/>
            </w:r>
            <w:r w:rsidR="0035019C">
              <w:rPr>
                <w:noProof/>
                <w:webHidden/>
              </w:rPr>
              <w:fldChar w:fldCharType="begin"/>
            </w:r>
            <w:r w:rsidR="0035019C">
              <w:rPr>
                <w:noProof/>
                <w:webHidden/>
              </w:rPr>
              <w:instrText xml:space="preserve"> PAGEREF _Toc23848708 \h </w:instrText>
            </w:r>
            <w:r w:rsidR="0035019C">
              <w:rPr>
                <w:noProof/>
                <w:webHidden/>
              </w:rPr>
            </w:r>
            <w:r w:rsidR="0035019C">
              <w:rPr>
                <w:noProof/>
                <w:webHidden/>
              </w:rPr>
              <w:fldChar w:fldCharType="separate"/>
            </w:r>
            <w:r w:rsidR="0035019C">
              <w:rPr>
                <w:noProof/>
                <w:webHidden/>
              </w:rPr>
              <w:t>247</w:t>
            </w:r>
            <w:r w:rsidR="0035019C">
              <w:rPr>
                <w:noProof/>
                <w:webHidden/>
              </w:rPr>
              <w:fldChar w:fldCharType="end"/>
            </w:r>
          </w:hyperlink>
        </w:p>
        <w:p w:rsidR="0035019C" w:rsidRDefault="005D6D1F">
          <w:pPr>
            <w:pStyle w:val="TOC3"/>
            <w:rPr>
              <w:rFonts w:cstheme="minorBidi"/>
              <w:noProof/>
              <w:lang w:eastAsia="en-NZ"/>
            </w:rPr>
          </w:pPr>
          <w:hyperlink w:anchor="_Toc23848709" w:history="1">
            <w:r w:rsidR="0035019C" w:rsidRPr="00277EEC">
              <w:rPr>
                <w:rStyle w:val="Hyperlink"/>
                <w:noProof/>
              </w:rPr>
              <w:t>Note 17: Investment properties</w:t>
            </w:r>
            <w:r w:rsidR="0035019C">
              <w:rPr>
                <w:noProof/>
                <w:webHidden/>
              </w:rPr>
              <w:tab/>
            </w:r>
            <w:r w:rsidR="0035019C">
              <w:rPr>
                <w:noProof/>
                <w:webHidden/>
              </w:rPr>
              <w:fldChar w:fldCharType="begin"/>
            </w:r>
            <w:r w:rsidR="0035019C">
              <w:rPr>
                <w:noProof/>
                <w:webHidden/>
              </w:rPr>
              <w:instrText xml:space="preserve"> PAGEREF _Toc23848709 \h </w:instrText>
            </w:r>
            <w:r w:rsidR="0035019C">
              <w:rPr>
                <w:noProof/>
                <w:webHidden/>
              </w:rPr>
            </w:r>
            <w:r w:rsidR="0035019C">
              <w:rPr>
                <w:noProof/>
                <w:webHidden/>
              </w:rPr>
              <w:fldChar w:fldCharType="separate"/>
            </w:r>
            <w:r w:rsidR="0035019C">
              <w:rPr>
                <w:noProof/>
                <w:webHidden/>
              </w:rPr>
              <w:t>249</w:t>
            </w:r>
            <w:r w:rsidR="0035019C">
              <w:rPr>
                <w:noProof/>
                <w:webHidden/>
              </w:rPr>
              <w:fldChar w:fldCharType="end"/>
            </w:r>
          </w:hyperlink>
        </w:p>
        <w:p w:rsidR="0035019C" w:rsidRDefault="005D6D1F">
          <w:pPr>
            <w:pStyle w:val="TOC3"/>
            <w:rPr>
              <w:rFonts w:cstheme="minorBidi"/>
              <w:noProof/>
              <w:lang w:eastAsia="en-NZ"/>
            </w:rPr>
          </w:pPr>
          <w:hyperlink w:anchor="_Toc23848710" w:history="1">
            <w:r w:rsidR="0035019C" w:rsidRPr="00277EEC">
              <w:rPr>
                <w:rStyle w:val="Hyperlink"/>
                <w:noProof/>
              </w:rPr>
              <w:t>Note 18: Property, plant and equipment</w:t>
            </w:r>
            <w:r w:rsidR="0035019C">
              <w:rPr>
                <w:noProof/>
                <w:webHidden/>
              </w:rPr>
              <w:tab/>
            </w:r>
            <w:r w:rsidR="0035019C">
              <w:rPr>
                <w:noProof/>
                <w:webHidden/>
              </w:rPr>
              <w:fldChar w:fldCharType="begin"/>
            </w:r>
            <w:r w:rsidR="0035019C">
              <w:rPr>
                <w:noProof/>
                <w:webHidden/>
              </w:rPr>
              <w:instrText xml:space="preserve"> PAGEREF _Toc23848710 \h </w:instrText>
            </w:r>
            <w:r w:rsidR="0035019C">
              <w:rPr>
                <w:noProof/>
                <w:webHidden/>
              </w:rPr>
            </w:r>
            <w:r w:rsidR="0035019C">
              <w:rPr>
                <w:noProof/>
                <w:webHidden/>
              </w:rPr>
              <w:fldChar w:fldCharType="separate"/>
            </w:r>
            <w:r w:rsidR="0035019C">
              <w:rPr>
                <w:noProof/>
                <w:webHidden/>
              </w:rPr>
              <w:t>250</w:t>
            </w:r>
            <w:r w:rsidR="0035019C">
              <w:rPr>
                <w:noProof/>
                <w:webHidden/>
              </w:rPr>
              <w:fldChar w:fldCharType="end"/>
            </w:r>
          </w:hyperlink>
        </w:p>
        <w:p w:rsidR="0035019C" w:rsidRDefault="005D6D1F">
          <w:pPr>
            <w:pStyle w:val="TOC3"/>
            <w:rPr>
              <w:rFonts w:cstheme="minorBidi"/>
              <w:noProof/>
              <w:lang w:eastAsia="en-NZ"/>
            </w:rPr>
          </w:pPr>
          <w:hyperlink w:anchor="_Toc23848711" w:history="1">
            <w:r w:rsidR="0035019C" w:rsidRPr="00277EEC">
              <w:rPr>
                <w:rStyle w:val="Hyperlink"/>
                <w:noProof/>
              </w:rPr>
              <w:t>Note 19: Investment in controlled entities</w:t>
            </w:r>
            <w:r w:rsidR="0035019C">
              <w:rPr>
                <w:noProof/>
                <w:webHidden/>
              </w:rPr>
              <w:tab/>
            </w:r>
            <w:r w:rsidR="0035019C">
              <w:rPr>
                <w:noProof/>
                <w:webHidden/>
              </w:rPr>
              <w:fldChar w:fldCharType="begin"/>
            </w:r>
            <w:r w:rsidR="0035019C">
              <w:rPr>
                <w:noProof/>
                <w:webHidden/>
              </w:rPr>
              <w:instrText xml:space="preserve"> PAGEREF _Toc23848711 \h </w:instrText>
            </w:r>
            <w:r w:rsidR="0035019C">
              <w:rPr>
                <w:noProof/>
                <w:webHidden/>
              </w:rPr>
            </w:r>
            <w:r w:rsidR="0035019C">
              <w:rPr>
                <w:noProof/>
                <w:webHidden/>
              </w:rPr>
              <w:fldChar w:fldCharType="separate"/>
            </w:r>
            <w:r w:rsidR="0035019C">
              <w:rPr>
                <w:noProof/>
                <w:webHidden/>
              </w:rPr>
              <w:t>261</w:t>
            </w:r>
            <w:r w:rsidR="0035019C">
              <w:rPr>
                <w:noProof/>
                <w:webHidden/>
              </w:rPr>
              <w:fldChar w:fldCharType="end"/>
            </w:r>
          </w:hyperlink>
        </w:p>
        <w:p w:rsidR="0035019C" w:rsidRDefault="005D6D1F">
          <w:pPr>
            <w:pStyle w:val="TOC3"/>
            <w:rPr>
              <w:rFonts w:cstheme="minorBidi"/>
              <w:noProof/>
              <w:lang w:eastAsia="en-NZ"/>
            </w:rPr>
          </w:pPr>
          <w:hyperlink w:anchor="_Toc23848712" w:history="1">
            <w:r w:rsidR="0035019C" w:rsidRPr="00277EEC">
              <w:rPr>
                <w:rStyle w:val="Hyperlink"/>
                <w:noProof/>
              </w:rPr>
              <w:t>Note 20: Investment in associates and jointly controlled entity</w:t>
            </w:r>
            <w:r w:rsidR="0035019C">
              <w:rPr>
                <w:noProof/>
                <w:webHidden/>
              </w:rPr>
              <w:tab/>
            </w:r>
            <w:r w:rsidR="0035019C">
              <w:rPr>
                <w:noProof/>
                <w:webHidden/>
              </w:rPr>
              <w:fldChar w:fldCharType="begin"/>
            </w:r>
            <w:r w:rsidR="0035019C">
              <w:rPr>
                <w:noProof/>
                <w:webHidden/>
              </w:rPr>
              <w:instrText xml:space="preserve"> PAGEREF _Toc23848712 \h </w:instrText>
            </w:r>
            <w:r w:rsidR="0035019C">
              <w:rPr>
                <w:noProof/>
                <w:webHidden/>
              </w:rPr>
            </w:r>
            <w:r w:rsidR="0035019C">
              <w:rPr>
                <w:noProof/>
                <w:webHidden/>
              </w:rPr>
              <w:fldChar w:fldCharType="separate"/>
            </w:r>
            <w:r w:rsidR="0035019C">
              <w:rPr>
                <w:noProof/>
                <w:webHidden/>
              </w:rPr>
              <w:t>262</w:t>
            </w:r>
            <w:r w:rsidR="0035019C">
              <w:rPr>
                <w:noProof/>
                <w:webHidden/>
              </w:rPr>
              <w:fldChar w:fldCharType="end"/>
            </w:r>
          </w:hyperlink>
        </w:p>
        <w:p w:rsidR="0035019C" w:rsidRDefault="005D6D1F">
          <w:pPr>
            <w:pStyle w:val="TOC3"/>
            <w:rPr>
              <w:rFonts w:cstheme="minorBidi"/>
              <w:noProof/>
              <w:lang w:eastAsia="en-NZ"/>
            </w:rPr>
          </w:pPr>
          <w:hyperlink w:anchor="_Toc23848713" w:history="1">
            <w:r w:rsidR="0035019C" w:rsidRPr="00277EEC">
              <w:rPr>
                <w:rStyle w:val="Hyperlink"/>
                <w:noProof/>
              </w:rPr>
              <w:t>Note 21: Exchange transactions, transfers and taxes payable</w:t>
            </w:r>
            <w:r w:rsidR="0035019C">
              <w:rPr>
                <w:noProof/>
                <w:webHidden/>
              </w:rPr>
              <w:tab/>
            </w:r>
            <w:r w:rsidR="0035019C">
              <w:rPr>
                <w:noProof/>
                <w:webHidden/>
              </w:rPr>
              <w:fldChar w:fldCharType="begin"/>
            </w:r>
            <w:r w:rsidR="0035019C">
              <w:rPr>
                <w:noProof/>
                <w:webHidden/>
              </w:rPr>
              <w:instrText xml:space="preserve"> PAGEREF _Toc23848713 \h </w:instrText>
            </w:r>
            <w:r w:rsidR="0035019C">
              <w:rPr>
                <w:noProof/>
                <w:webHidden/>
              </w:rPr>
            </w:r>
            <w:r w:rsidR="0035019C">
              <w:rPr>
                <w:noProof/>
                <w:webHidden/>
              </w:rPr>
              <w:fldChar w:fldCharType="separate"/>
            </w:r>
            <w:r w:rsidR="0035019C">
              <w:rPr>
                <w:noProof/>
                <w:webHidden/>
              </w:rPr>
              <w:t>265</w:t>
            </w:r>
            <w:r w:rsidR="0035019C">
              <w:rPr>
                <w:noProof/>
                <w:webHidden/>
              </w:rPr>
              <w:fldChar w:fldCharType="end"/>
            </w:r>
          </w:hyperlink>
        </w:p>
        <w:p w:rsidR="0035019C" w:rsidRDefault="005D6D1F">
          <w:pPr>
            <w:pStyle w:val="TOC3"/>
            <w:rPr>
              <w:rFonts w:cstheme="minorBidi"/>
              <w:noProof/>
              <w:lang w:eastAsia="en-NZ"/>
            </w:rPr>
          </w:pPr>
          <w:hyperlink w:anchor="_Toc23848714" w:history="1">
            <w:r w:rsidR="0035019C" w:rsidRPr="00277EEC">
              <w:rPr>
                <w:rStyle w:val="Hyperlink"/>
                <w:noProof/>
              </w:rPr>
              <w:t>Note 22: Revenue in advance</w:t>
            </w:r>
            <w:r w:rsidR="0035019C">
              <w:rPr>
                <w:noProof/>
                <w:webHidden/>
              </w:rPr>
              <w:tab/>
            </w:r>
            <w:r w:rsidR="0035019C">
              <w:rPr>
                <w:noProof/>
                <w:webHidden/>
              </w:rPr>
              <w:fldChar w:fldCharType="begin"/>
            </w:r>
            <w:r w:rsidR="0035019C">
              <w:rPr>
                <w:noProof/>
                <w:webHidden/>
              </w:rPr>
              <w:instrText xml:space="preserve"> PAGEREF _Toc23848714 \h </w:instrText>
            </w:r>
            <w:r w:rsidR="0035019C">
              <w:rPr>
                <w:noProof/>
                <w:webHidden/>
              </w:rPr>
            </w:r>
            <w:r w:rsidR="0035019C">
              <w:rPr>
                <w:noProof/>
                <w:webHidden/>
              </w:rPr>
              <w:fldChar w:fldCharType="separate"/>
            </w:r>
            <w:r w:rsidR="0035019C">
              <w:rPr>
                <w:noProof/>
                <w:webHidden/>
              </w:rPr>
              <w:t>267</w:t>
            </w:r>
            <w:r w:rsidR="0035019C">
              <w:rPr>
                <w:noProof/>
                <w:webHidden/>
              </w:rPr>
              <w:fldChar w:fldCharType="end"/>
            </w:r>
          </w:hyperlink>
        </w:p>
        <w:p w:rsidR="0035019C" w:rsidRDefault="005D6D1F">
          <w:pPr>
            <w:pStyle w:val="TOC3"/>
            <w:rPr>
              <w:rFonts w:cstheme="minorBidi"/>
              <w:noProof/>
              <w:lang w:eastAsia="en-NZ"/>
            </w:rPr>
          </w:pPr>
          <w:hyperlink w:anchor="_Toc23848715" w:history="1">
            <w:r w:rsidR="0035019C" w:rsidRPr="00277EEC">
              <w:rPr>
                <w:rStyle w:val="Hyperlink"/>
                <w:noProof/>
              </w:rPr>
              <w:t>Note 23: Borrowings</w:t>
            </w:r>
            <w:r w:rsidR="0035019C">
              <w:rPr>
                <w:noProof/>
                <w:webHidden/>
              </w:rPr>
              <w:tab/>
            </w:r>
            <w:r w:rsidR="0035019C">
              <w:rPr>
                <w:noProof/>
                <w:webHidden/>
              </w:rPr>
              <w:fldChar w:fldCharType="begin"/>
            </w:r>
            <w:r w:rsidR="0035019C">
              <w:rPr>
                <w:noProof/>
                <w:webHidden/>
              </w:rPr>
              <w:instrText xml:space="preserve"> PAGEREF _Toc23848715 \h </w:instrText>
            </w:r>
            <w:r w:rsidR="0035019C">
              <w:rPr>
                <w:noProof/>
                <w:webHidden/>
              </w:rPr>
            </w:r>
            <w:r w:rsidR="0035019C">
              <w:rPr>
                <w:noProof/>
                <w:webHidden/>
              </w:rPr>
              <w:fldChar w:fldCharType="separate"/>
            </w:r>
            <w:r w:rsidR="0035019C">
              <w:rPr>
                <w:noProof/>
                <w:webHidden/>
              </w:rPr>
              <w:t>268</w:t>
            </w:r>
            <w:r w:rsidR="0035019C">
              <w:rPr>
                <w:noProof/>
                <w:webHidden/>
              </w:rPr>
              <w:fldChar w:fldCharType="end"/>
            </w:r>
          </w:hyperlink>
        </w:p>
        <w:p w:rsidR="0035019C" w:rsidRDefault="005D6D1F">
          <w:pPr>
            <w:pStyle w:val="TOC3"/>
            <w:rPr>
              <w:rFonts w:cstheme="minorBidi"/>
              <w:noProof/>
              <w:lang w:eastAsia="en-NZ"/>
            </w:rPr>
          </w:pPr>
          <w:hyperlink w:anchor="_Toc23848716" w:history="1">
            <w:r w:rsidR="0035019C" w:rsidRPr="00277EEC">
              <w:rPr>
                <w:rStyle w:val="Hyperlink"/>
                <w:noProof/>
              </w:rPr>
              <w:t>Note 24: Employee benefit liabilities and provisions</w:t>
            </w:r>
            <w:r w:rsidR="0035019C">
              <w:rPr>
                <w:noProof/>
                <w:webHidden/>
              </w:rPr>
              <w:tab/>
            </w:r>
            <w:r w:rsidR="0035019C">
              <w:rPr>
                <w:noProof/>
                <w:webHidden/>
              </w:rPr>
              <w:fldChar w:fldCharType="begin"/>
            </w:r>
            <w:r w:rsidR="0035019C">
              <w:rPr>
                <w:noProof/>
                <w:webHidden/>
              </w:rPr>
              <w:instrText xml:space="preserve"> PAGEREF _Toc23848716 \h </w:instrText>
            </w:r>
            <w:r w:rsidR="0035019C">
              <w:rPr>
                <w:noProof/>
                <w:webHidden/>
              </w:rPr>
            </w:r>
            <w:r w:rsidR="0035019C">
              <w:rPr>
                <w:noProof/>
                <w:webHidden/>
              </w:rPr>
              <w:fldChar w:fldCharType="separate"/>
            </w:r>
            <w:r w:rsidR="0035019C">
              <w:rPr>
                <w:noProof/>
                <w:webHidden/>
              </w:rPr>
              <w:t>270</w:t>
            </w:r>
            <w:r w:rsidR="0035019C">
              <w:rPr>
                <w:noProof/>
                <w:webHidden/>
              </w:rPr>
              <w:fldChar w:fldCharType="end"/>
            </w:r>
          </w:hyperlink>
        </w:p>
        <w:p w:rsidR="0035019C" w:rsidRDefault="005D6D1F">
          <w:pPr>
            <w:pStyle w:val="TOC3"/>
            <w:rPr>
              <w:rFonts w:cstheme="minorBidi"/>
              <w:noProof/>
              <w:lang w:eastAsia="en-NZ"/>
            </w:rPr>
          </w:pPr>
          <w:hyperlink w:anchor="_Toc23848717" w:history="1">
            <w:r w:rsidR="0035019C" w:rsidRPr="00277EEC">
              <w:rPr>
                <w:rStyle w:val="Hyperlink"/>
                <w:noProof/>
              </w:rPr>
              <w:t>Note 25: Provisions for other liabilities</w:t>
            </w:r>
            <w:r w:rsidR="0035019C">
              <w:rPr>
                <w:noProof/>
                <w:webHidden/>
              </w:rPr>
              <w:tab/>
            </w:r>
            <w:r w:rsidR="0035019C">
              <w:rPr>
                <w:noProof/>
                <w:webHidden/>
              </w:rPr>
              <w:fldChar w:fldCharType="begin"/>
            </w:r>
            <w:r w:rsidR="0035019C">
              <w:rPr>
                <w:noProof/>
                <w:webHidden/>
              </w:rPr>
              <w:instrText xml:space="preserve"> PAGEREF _Toc23848717 \h </w:instrText>
            </w:r>
            <w:r w:rsidR="0035019C">
              <w:rPr>
                <w:noProof/>
                <w:webHidden/>
              </w:rPr>
            </w:r>
            <w:r w:rsidR="0035019C">
              <w:rPr>
                <w:noProof/>
                <w:webHidden/>
              </w:rPr>
              <w:fldChar w:fldCharType="separate"/>
            </w:r>
            <w:r w:rsidR="0035019C">
              <w:rPr>
                <w:noProof/>
                <w:webHidden/>
              </w:rPr>
              <w:t>272</w:t>
            </w:r>
            <w:r w:rsidR="0035019C">
              <w:rPr>
                <w:noProof/>
                <w:webHidden/>
              </w:rPr>
              <w:fldChar w:fldCharType="end"/>
            </w:r>
          </w:hyperlink>
        </w:p>
        <w:p w:rsidR="0035019C" w:rsidRDefault="005D6D1F">
          <w:pPr>
            <w:pStyle w:val="TOC3"/>
            <w:rPr>
              <w:rFonts w:cstheme="minorBidi"/>
              <w:noProof/>
              <w:lang w:eastAsia="en-NZ"/>
            </w:rPr>
          </w:pPr>
          <w:hyperlink w:anchor="_Toc23848718" w:history="1">
            <w:r w:rsidR="0035019C" w:rsidRPr="00277EEC">
              <w:rPr>
                <w:rStyle w:val="Hyperlink"/>
                <w:noProof/>
              </w:rPr>
              <w:t>Note 26: Deferred tax</w:t>
            </w:r>
            <w:r w:rsidR="0035019C">
              <w:rPr>
                <w:noProof/>
                <w:webHidden/>
              </w:rPr>
              <w:tab/>
            </w:r>
            <w:r w:rsidR="0035019C">
              <w:rPr>
                <w:noProof/>
                <w:webHidden/>
              </w:rPr>
              <w:fldChar w:fldCharType="begin"/>
            </w:r>
            <w:r w:rsidR="0035019C">
              <w:rPr>
                <w:noProof/>
                <w:webHidden/>
              </w:rPr>
              <w:instrText xml:space="preserve"> PAGEREF _Toc23848718 \h </w:instrText>
            </w:r>
            <w:r w:rsidR="0035019C">
              <w:rPr>
                <w:noProof/>
                <w:webHidden/>
              </w:rPr>
            </w:r>
            <w:r w:rsidR="0035019C">
              <w:rPr>
                <w:noProof/>
                <w:webHidden/>
              </w:rPr>
              <w:fldChar w:fldCharType="separate"/>
            </w:r>
            <w:r w:rsidR="0035019C">
              <w:rPr>
                <w:noProof/>
                <w:webHidden/>
              </w:rPr>
              <w:t>276</w:t>
            </w:r>
            <w:r w:rsidR="0035019C">
              <w:rPr>
                <w:noProof/>
                <w:webHidden/>
              </w:rPr>
              <w:fldChar w:fldCharType="end"/>
            </w:r>
          </w:hyperlink>
        </w:p>
        <w:p w:rsidR="0035019C" w:rsidRDefault="005D6D1F" w:rsidP="0035019C">
          <w:pPr>
            <w:pStyle w:val="TOC2"/>
            <w:rPr>
              <w:rFonts w:cstheme="minorBidi"/>
              <w:noProof/>
              <w:lang w:eastAsia="en-NZ"/>
            </w:rPr>
          </w:pPr>
          <w:hyperlink w:anchor="_Toc23848719" w:history="1">
            <w:r w:rsidR="0035019C" w:rsidRPr="00277EEC">
              <w:rPr>
                <w:rStyle w:val="Hyperlink"/>
                <w:noProof/>
              </w:rPr>
              <w:t>Statement of Changes in Equity</w:t>
            </w:r>
            <w:r w:rsidR="0035019C">
              <w:rPr>
                <w:noProof/>
                <w:webHidden/>
              </w:rPr>
              <w:tab/>
            </w:r>
            <w:r w:rsidR="0035019C">
              <w:rPr>
                <w:noProof/>
                <w:webHidden/>
              </w:rPr>
              <w:fldChar w:fldCharType="begin"/>
            </w:r>
            <w:r w:rsidR="0035019C">
              <w:rPr>
                <w:noProof/>
                <w:webHidden/>
              </w:rPr>
              <w:instrText xml:space="preserve"> PAGEREF _Toc23848719 \h </w:instrText>
            </w:r>
            <w:r w:rsidR="0035019C">
              <w:rPr>
                <w:noProof/>
                <w:webHidden/>
              </w:rPr>
            </w:r>
            <w:r w:rsidR="0035019C">
              <w:rPr>
                <w:noProof/>
                <w:webHidden/>
              </w:rPr>
              <w:fldChar w:fldCharType="separate"/>
            </w:r>
            <w:r w:rsidR="0035019C">
              <w:rPr>
                <w:noProof/>
                <w:webHidden/>
              </w:rPr>
              <w:t>278</w:t>
            </w:r>
            <w:r w:rsidR="0035019C">
              <w:rPr>
                <w:noProof/>
                <w:webHidden/>
              </w:rPr>
              <w:fldChar w:fldCharType="end"/>
            </w:r>
          </w:hyperlink>
        </w:p>
        <w:p w:rsidR="0035019C" w:rsidRDefault="005D6D1F">
          <w:pPr>
            <w:pStyle w:val="TOC3"/>
            <w:rPr>
              <w:rFonts w:cstheme="minorBidi"/>
              <w:noProof/>
              <w:lang w:eastAsia="en-NZ"/>
            </w:rPr>
          </w:pPr>
          <w:hyperlink w:anchor="_Toc23848720" w:history="1">
            <w:r w:rsidR="0035019C" w:rsidRPr="00277EEC">
              <w:rPr>
                <w:rStyle w:val="Hyperlink"/>
                <w:noProof/>
              </w:rPr>
              <w:t>Note 27: Revaluation reserves</w:t>
            </w:r>
            <w:r w:rsidR="0035019C">
              <w:rPr>
                <w:noProof/>
                <w:webHidden/>
              </w:rPr>
              <w:tab/>
            </w:r>
            <w:r w:rsidR="0035019C">
              <w:rPr>
                <w:noProof/>
                <w:webHidden/>
              </w:rPr>
              <w:fldChar w:fldCharType="begin"/>
            </w:r>
            <w:r w:rsidR="0035019C">
              <w:rPr>
                <w:noProof/>
                <w:webHidden/>
              </w:rPr>
              <w:instrText xml:space="preserve"> PAGEREF _Toc23848720 \h </w:instrText>
            </w:r>
            <w:r w:rsidR="0035019C">
              <w:rPr>
                <w:noProof/>
                <w:webHidden/>
              </w:rPr>
            </w:r>
            <w:r w:rsidR="0035019C">
              <w:rPr>
                <w:noProof/>
                <w:webHidden/>
              </w:rPr>
              <w:fldChar w:fldCharType="separate"/>
            </w:r>
            <w:r w:rsidR="0035019C">
              <w:rPr>
                <w:noProof/>
                <w:webHidden/>
              </w:rPr>
              <w:t>281</w:t>
            </w:r>
            <w:r w:rsidR="0035019C">
              <w:rPr>
                <w:noProof/>
                <w:webHidden/>
              </w:rPr>
              <w:fldChar w:fldCharType="end"/>
            </w:r>
          </w:hyperlink>
        </w:p>
        <w:p w:rsidR="0035019C" w:rsidRDefault="005D6D1F">
          <w:pPr>
            <w:pStyle w:val="TOC3"/>
            <w:rPr>
              <w:rFonts w:cstheme="minorBidi"/>
              <w:noProof/>
              <w:lang w:eastAsia="en-NZ"/>
            </w:rPr>
          </w:pPr>
          <w:hyperlink w:anchor="_Toc23848721" w:history="1">
            <w:r w:rsidR="0035019C" w:rsidRPr="00277EEC">
              <w:rPr>
                <w:rStyle w:val="Hyperlink"/>
                <w:noProof/>
              </w:rPr>
              <w:t>Note 28: Hedging reserve</w:t>
            </w:r>
            <w:r w:rsidR="0035019C">
              <w:rPr>
                <w:noProof/>
                <w:webHidden/>
              </w:rPr>
              <w:tab/>
            </w:r>
            <w:r w:rsidR="0035019C">
              <w:rPr>
                <w:noProof/>
                <w:webHidden/>
              </w:rPr>
              <w:fldChar w:fldCharType="begin"/>
            </w:r>
            <w:r w:rsidR="0035019C">
              <w:rPr>
                <w:noProof/>
                <w:webHidden/>
              </w:rPr>
              <w:instrText xml:space="preserve"> PAGEREF _Toc23848721 \h </w:instrText>
            </w:r>
            <w:r w:rsidR="0035019C">
              <w:rPr>
                <w:noProof/>
                <w:webHidden/>
              </w:rPr>
            </w:r>
            <w:r w:rsidR="0035019C">
              <w:rPr>
                <w:noProof/>
                <w:webHidden/>
              </w:rPr>
              <w:fldChar w:fldCharType="separate"/>
            </w:r>
            <w:r w:rsidR="0035019C">
              <w:rPr>
                <w:noProof/>
                <w:webHidden/>
              </w:rPr>
              <w:t>283</w:t>
            </w:r>
            <w:r w:rsidR="0035019C">
              <w:rPr>
                <w:noProof/>
                <w:webHidden/>
              </w:rPr>
              <w:fldChar w:fldCharType="end"/>
            </w:r>
          </w:hyperlink>
        </w:p>
        <w:p w:rsidR="0035019C" w:rsidRDefault="005D6D1F">
          <w:pPr>
            <w:pStyle w:val="TOC3"/>
            <w:rPr>
              <w:rFonts w:cstheme="minorBidi"/>
              <w:noProof/>
              <w:lang w:eastAsia="en-NZ"/>
            </w:rPr>
          </w:pPr>
          <w:hyperlink w:anchor="_Toc23848722" w:history="1">
            <w:r w:rsidR="0035019C" w:rsidRPr="00277EEC">
              <w:rPr>
                <w:rStyle w:val="Hyperlink"/>
                <w:noProof/>
              </w:rPr>
              <w:t>Note 29: Fair value through other comprehensive revenue and expense reserve</w:t>
            </w:r>
            <w:r w:rsidR="0035019C">
              <w:rPr>
                <w:noProof/>
                <w:webHidden/>
              </w:rPr>
              <w:tab/>
            </w:r>
            <w:r w:rsidR="0035019C">
              <w:rPr>
                <w:noProof/>
                <w:webHidden/>
              </w:rPr>
              <w:fldChar w:fldCharType="begin"/>
            </w:r>
            <w:r w:rsidR="0035019C">
              <w:rPr>
                <w:noProof/>
                <w:webHidden/>
              </w:rPr>
              <w:instrText xml:space="preserve"> PAGEREF _Toc23848722 \h </w:instrText>
            </w:r>
            <w:r w:rsidR="0035019C">
              <w:rPr>
                <w:noProof/>
                <w:webHidden/>
              </w:rPr>
            </w:r>
            <w:r w:rsidR="0035019C">
              <w:rPr>
                <w:noProof/>
                <w:webHidden/>
              </w:rPr>
              <w:fldChar w:fldCharType="separate"/>
            </w:r>
            <w:r w:rsidR="0035019C">
              <w:rPr>
                <w:noProof/>
                <w:webHidden/>
              </w:rPr>
              <w:t>283</w:t>
            </w:r>
            <w:r w:rsidR="0035019C">
              <w:rPr>
                <w:noProof/>
                <w:webHidden/>
              </w:rPr>
              <w:fldChar w:fldCharType="end"/>
            </w:r>
          </w:hyperlink>
        </w:p>
        <w:p w:rsidR="0035019C" w:rsidRDefault="005D6D1F">
          <w:pPr>
            <w:pStyle w:val="TOC3"/>
            <w:rPr>
              <w:rFonts w:cstheme="minorBidi"/>
              <w:noProof/>
              <w:lang w:eastAsia="en-NZ"/>
            </w:rPr>
          </w:pPr>
          <w:hyperlink w:anchor="_Toc23848723" w:history="1">
            <w:r w:rsidR="0035019C" w:rsidRPr="00277EEC">
              <w:rPr>
                <w:rStyle w:val="Hyperlink"/>
                <w:noProof/>
              </w:rPr>
              <w:t>Note 30: Restricted funds</w:t>
            </w:r>
            <w:r w:rsidR="0035019C">
              <w:rPr>
                <w:noProof/>
                <w:webHidden/>
              </w:rPr>
              <w:tab/>
            </w:r>
            <w:r w:rsidR="0035019C">
              <w:rPr>
                <w:noProof/>
                <w:webHidden/>
              </w:rPr>
              <w:fldChar w:fldCharType="begin"/>
            </w:r>
            <w:r w:rsidR="0035019C">
              <w:rPr>
                <w:noProof/>
                <w:webHidden/>
              </w:rPr>
              <w:instrText xml:space="preserve"> PAGEREF _Toc23848723 \h </w:instrText>
            </w:r>
            <w:r w:rsidR="0035019C">
              <w:rPr>
                <w:noProof/>
                <w:webHidden/>
              </w:rPr>
            </w:r>
            <w:r w:rsidR="0035019C">
              <w:rPr>
                <w:noProof/>
                <w:webHidden/>
              </w:rPr>
              <w:fldChar w:fldCharType="separate"/>
            </w:r>
            <w:r w:rsidR="0035019C">
              <w:rPr>
                <w:noProof/>
                <w:webHidden/>
              </w:rPr>
              <w:t>284</w:t>
            </w:r>
            <w:r w:rsidR="0035019C">
              <w:rPr>
                <w:noProof/>
                <w:webHidden/>
              </w:rPr>
              <w:fldChar w:fldCharType="end"/>
            </w:r>
          </w:hyperlink>
        </w:p>
        <w:p w:rsidR="0035019C" w:rsidRDefault="005D6D1F" w:rsidP="0035019C">
          <w:pPr>
            <w:pStyle w:val="TOC2"/>
            <w:rPr>
              <w:rFonts w:cstheme="minorBidi"/>
              <w:noProof/>
              <w:lang w:eastAsia="en-NZ"/>
            </w:rPr>
          </w:pPr>
          <w:hyperlink w:anchor="_Toc23848724" w:history="1">
            <w:r w:rsidR="0035019C" w:rsidRPr="00277EEC">
              <w:rPr>
                <w:rStyle w:val="Hyperlink"/>
                <w:noProof/>
              </w:rPr>
              <w:t>Statement of Cash Flows</w:t>
            </w:r>
            <w:r w:rsidR="0035019C">
              <w:rPr>
                <w:noProof/>
                <w:webHidden/>
              </w:rPr>
              <w:tab/>
            </w:r>
            <w:r w:rsidR="0035019C">
              <w:rPr>
                <w:noProof/>
                <w:webHidden/>
              </w:rPr>
              <w:fldChar w:fldCharType="begin"/>
            </w:r>
            <w:r w:rsidR="0035019C">
              <w:rPr>
                <w:noProof/>
                <w:webHidden/>
              </w:rPr>
              <w:instrText xml:space="preserve"> PAGEREF _Toc23848724 \h </w:instrText>
            </w:r>
            <w:r w:rsidR="0035019C">
              <w:rPr>
                <w:noProof/>
                <w:webHidden/>
              </w:rPr>
            </w:r>
            <w:r w:rsidR="0035019C">
              <w:rPr>
                <w:noProof/>
                <w:webHidden/>
              </w:rPr>
              <w:fldChar w:fldCharType="separate"/>
            </w:r>
            <w:r w:rsidR="0035019C">
              <w:rPr>
                <w:noProof/>
                <w:webHidden/>
              </w:rPr>
              <w:t>286</w:t>
            </w:r>
            <w:r w:rsidR="0035019C">
              <w:rPr>
                <w:noProof/>
                <w:webHidden/>
              </w:rPr>
              <w:fldChar w:fldCharType="end"/>
            </w:r>
          </w:hyperlink>
        </w:p>
        <w:p w:rsidR="0035019C" w:rsidRDefault="005D6D1F">
          <w:pPr>
            <w:pStyle w:val="TOC3"/>
            <w:rPr>
              <w:rFonts w:cstheme="minorBidi"/>
              <w:noProof/>
              <w:lang w:eastAsia="en-NZ"/>
            </w:rPr>
          </w:pPr>
          <w:hyperlink w:anchor="_Toc23848725" w:history="1">
            <w:r w:rsidR="0035019C" w:rsidRPr="00277EEC">
              <w:rPr>
                <w:rStyle w:val="Hyperlink"/>
                <w:noProof/>
              </w:rPr>
              <w:t>Note 31: Reconciliation of net surplus / (deficit) to net cash flows from operating activities</w:t>
            </w:r>
            <w:r w:rsidR="0035019C">
              <w:rPr>
                <w:noProof/>
                <w:webHidden/>
              </w:rPr>
              <w:tab/>
            </w:r>
            <w:r w:rsidR="0035019C">
              <w:rPr>
                <w:noProof/>
                <w:webHidden/>
              </w:rPr>
              <w:fldChar w:fldCharType="begin"/>
            </w:r>
            <w:r w:rsidR="0035019C">
              <w:rPr>
                <w:noProof/>
                <w:webHidden/>
              </w:rPr>
              <w:instrText xml:space="preserve"> PAGEREF _Toc23848725 \h </w:instrText>
            </w:r>
            <w:r w:rsidR="0035019C">
              <w:rPr>
                <w:noProof/>
                <w:webHidden/>
              </w:rPr>
            </w:r>
            <w:r w:rsidR="0035019C">
              <w:rPr>
                <w:noProof/>
                <w:webHidden/>
              </w:rPr>
              <w:fldChar w:fldCharType="separate"/>
            </w:r>
            <w:r w:rsidR="0035019C">
              <w:rPr>
                <w:noProof/>
                <w:webHidden/>
              </w:rPr>
              <w:t>288</w:t>
            </w:r>
            <w:r w:rsidR="0035019C">
              <w:rPr>
                <w:noProof/>
                <w:webHidden/>
              </w:rPr>
              <w:fldChar w:fldCharType="end"/>
            </w:r>
          </w:hyperlink>
        </w:p>
        <w:p w:rsidR="0035019C" w:rsidRDefault="005D6D1F" w:rsidP="0035019C">
          <w:pPr>
            <w:pStyle w:val="TOC2"/>
            <w:rPr>
              <w:rFonts w:cstheme="minorBidi"/>
              <w:noProof/>
              <w:lang w:eastAsia="en-NZ"/>
            </w:rPr>
          </w:pPr>
          <w:hyperlink w:anchor="_Toc23848726" w:history="1">
            <w:r w:rsidR="0035019C" w:rsidRPr="00277EEC">
              <w:rPr>
                <w:rStyle w:val="Hyperlink"/>
                <w:noProof/>
              </w:rPr>
              <w:t>Other disclosures</w:t>
            </w:r>
            <w:r w:rsidR="0035019C">
              <w:rPr>
                <w:noProof/>
                <w:webHidden/>
              </w:rPr>
              <w:tab/>
            </w:r>
            <w:r w:rsidR="0035019C">
              <w:rPr>
                <w:noProof/>
                <w:webHidden/>
              </w:rPr>
              <w:fldChar w:fldCharType="begin"/>
            </w:r>
            <w:r w:rsidR="0035019C">
              <w:rPr>
                <w:noProof/>
                <w:webHidden/>
              </w:rPr>
              <w:instrText xml:space="preserve"> PAGEREF _Toc23848726 \h </w:instrText>
            </w:r>
            <w:r w:rsidR="0035019C">
              <w:rPr>
                <w:noProof/>
                <w:webHidden/>
              </w:rPr>
            </w:r>
            <w:r w:rsidR="0035019C">
              <w:rPr>
                <w:noProof/>
                <w:webHidden/>
              </w:rPr>
              <w:fldChar w:fldCharType="separate"/>
            </w:r>
            <w:r w:rsidR="0035019C">
              <w:rPr>
                <w:noProof/>
                <w:webHidden/>
              </w:rPr>
              <w:t>289</w:t>
            </w:r>
            <w:r w:rsidR="0035019C">
              <w:rPr>
                <w:noProof/>
                <w:webHidden/>
              </w:rPr>
              <w:fldChar w:fldCharType="end"/>
            </w:r>
          </w:hyperlink>
        </w:p>
        <w:p w:rsidR="0035019C" w:rsidRDefault="005D6D1F">
          <w:pPr>
            <w:pStyle w:val="TOC3"/>
            <w:rPr>
              <w:rFonts w:cstheme="minorBidi"/>
              <w:noProof/>
              <w:lang w:eastAsia="en-NZ"/>
            </w:rPr>
          </w:pPr>
          <w:hyperlink w:anchor="_Toc23848727" w:history="1">
            <w:r w:rsidR="0035019C" w:rsidRPr="00277EEC">
              <w:rPr>
                <w:rStyle w:val="Hyperlink"/>
                <w:noProof/>
              </w:rPr>
              <w:t>Note 32: Financial instruments</w:t>
            </w:r>
            <w:r w:rsidR="0035019C">
              <w:rPr>
                <w:noProof/>
                <w:webHidden/>
              </w:rPr>
              <w:tab/>
            </w:r>
            <w:r w:rsidR="0035019C">
              <w:rPr>
                <w:noProof/>
                <w:webHidden/>
              </w:rPr>
              <w:fldChar w:fldCharType="begin"/>
            </w:r>
            <w:r w:rsidR="0035019C">
              <w:rPr>
                <w:noProof/>
                <w:webHidden/>
              </w:rPr>
              <w:instrText xml:space="preserve"> PAGEREF _Toc23848727 \h </w:instrText>
            </w:r>
            <w:r w:rsidR="0035019C">
              <w:rPr>
                <w:noProof/>
                <w:webHidden/>
              </w:rPr>
            </w:r>
            <w:r w:rsidR="0035019C">
              <w:rPr>
                <w:noProof/>
                <w:webHidden/>
              </w:rPr>
              <w:fldChar w:fldCharType="separate"/>
            </w:r>
            <w:r w:rsidR="0035019C">
              <w:rPr>
                <w:noProof/>
                <w:webHidden/>
              </w:rPr>
              <w:t>289</w:t>
            </w:r>
            <w:r w:rsidR="0035019C">
              <w:rPr>
                <w:noProof/>
                <w:webHidden/>
              </w:rPr>
              <w:fldChar w:fldCharType="end"/>
            </w:r>
          </w:hyperlink>
        </w:p>
        <w:p w:rsidR="0035019C" w:rsidRDefault="005D6D1F">
          <w:pPr>
            <w:pStyle w:val="TOC3"/>
            <w:rPr>
              <w:rFonts w:cstheme="minorBidi"/>
              <w:noProof/>
              <w:lang w:eastAsia="en-NZ"/>
            </w:rPr>
          </w:pPr>
          <w:hyperlink w:anchor="_Toc23848728" w:history="1">
            <w:r w:rsidR="0035019C" w:rsidRPr="00277EEC">
              <w:rPr>
                <w:rStyle w:val="Hyperlink"/>
                <w:noProof/>
              </w:rPr>
              <w:t>Note 33: Commitments</w:t>
            </w:r>
            <w:r w:rsidR="0035019C">
              <w:rPr>
                <w:noProof/>
                <w:webHidden/>
              </w:rPr>
              <w:tab/>
            </w:r>
            <w:r w:rsidR="0035019C">
              <w:rPr>
                <w:noProof/>
                <w:webHidden/>
              </w:rPr>
              <w:fldChar w:fldCharType="begin"/>
            </w:r>
            <w:r w:rsidR="0035019C">
              <w:rPr>
                <w:noProof/>
                <w:webHidden/>
              </w:rPr>
              <w:instrText xml:space="preserve"> PAGEREF _Toc23848728 \h </w:instrText>
            </w:r>
            <w:r w:rsidR="0035019C">
              <w:rPr>
                <w:noProof/>
                <w:webHidden/>
              </w:rPr>
            </w:r>
            <w:r w:rsidR="0035019C">
              <w:rPr>
                <w:noProof/>
                <w:webHidden/>
              </w:rPr>
              <w:fldChar w:fldCharType="separate"/>
            </w:r>
            <w:r w:rsidR="0035019C">
              <w:rPr>
                <w:noProof/>
                <w:webHidden/>
              </w:rPr>
              <w:t>298</w:t>
            </w:r>
            <w:r w:rsidR="0035019C">
              <w:rPr>
                <w:noProof/>
                <w:webHidden/>
              </w:rPr>
              <w:fldChar w:fldCharType="end"/>
            </w:r>
          </w:hyperlink>
        </w:p>
        <w:p w:rsidR="0035019C" w:rsidRDefault="005D6D1F">
          <w:pPr>
            <w:pStyle w:val="TOC3"/>
            <w:rPr>
              <w:rFonts w:cstheme="minorBidi"/>
              <w:noProof/>
              <w:lang w:eastAsia="en-NZ"/>
            </w:rPr>
          </w:pPr>
          <w:hyperlink w:anchor="_Toc23848729" w:history="1">
            <w:r w:rsidR="0035019C" w:rsidRPr="00277EEC">
              <w:rPr>
                <w:rStyle w:val="Hyperlink"/>
                <w:noProof/>
              </w:rPr>
              <w:t>Note 34: Contingencies</w:t>
            </w:r>
            <w:r w:rsidR="0035019C">
              <w:rPr>
                <w:noProof/>
                <w:webHidden/>
              </w:rPr>
              <w:tab/>
            </w:r>
            <w:r w:rsidR="0035019C">
              <w:rPr>
                <w:noProof/>
                <w:webHidden/>
              </w:rPr>
              <w:fldChar w:fldCharType="begin"/>
            </w:r>
            <w:r w:rsidR="0035019C">
              <w:rPr>
                <w:noProof/>
                <w:webHidden/>
              </w:rPr>
              <w:instrText xml:space="preserve"> PAGEREF _Toc23848729 \h </w:instrText>
            </w:r>
            <w:r w:rsidR="0035019C">
              <w:rPr>
                <w:noProof/>
                <w:webHidden/>
              </w:rPr>
            </w:r>
            <w:r w:rsidR="0035019C">
              <w:rPr>
                <w:noProof/>
                <w:webHidden/>
              </w:rPr>
              <w:fldChar w:fldCharType="separate"/>
            </w:r>
            <w:r w:rsidR="0035019C">
              <w:rPr>
                <w:noProof/>
                <w:webHidden/>
              </w:rPr>
              <w:t>300</w:t>
            </w:r>
            <w:r w:rsidR="0035019C">
              <w:rPr>
                <w:noProof/>
                <w:webHidden/>
              </w:rPr>
              <w:fldChar w:fldCharType="end"/>
            </w:r>
          </w:hyperlink>
        </w:p>
        <w:p w:rsidR="0035019C" w:rsidRDefault="005D6D1F">
          <w:pPr>
            <w:pStyle w:val="TOC3"/>
            <w:rPr>
              <w:rFonts w:cstheme="minorBidi"/>
              <w:noProof/>
              <w:lang w:eastAsia="en-NZ"/>
            </w:rPr>
          </w:pPr>
          <w:hyperlink w:anchor="_Toc23848730" w:history="1">
            <w:r w:rsidR="0035019C" w:rsidRPr="00277EEC">
              <w:rPr>
                <w:rStyle w:val="Hyperlink"/>
                <w:noProof/>
              </w:rPr>
              <w:t>Note 35: Jointly controlled assets</w:t>
            </w:r>
            <w:r w:rsidR="0035019C">
              <w:rPr>
                <w:noProof/>
                <w:webHidden/>
              </w:rPr>
              <w:tab/>
            </w:r>
            <w:r w:rsidR="0035019C">
              <w:rPr>
                <w:noProof/>
                <w:webHidden/>
              </w:rPr>
              <w:fldChar w:fldCharType="begin"/>
            </w:r>
            <w:r w:rsidR="0035019C">
              <w:rPr>
                <w:noProof/>
                <w:webHidden/>
              </w:rPr>
              <w:instrText xml:space="preserve"> PAGEREF _Toc23848730 \h </w:instrText>
            </w:r>
            <w:r w:rsidR="0035019C">
              <w:rPr>
                <w:noProof/>
                <w:webHidden/>
              </w:rPr>
            </w:r>
            <w:r w:rsidR="0035019C">
              <w:rPr>
                <w:noProof/>
                <w:webHidden/>
              </w:rPr>
              <w:fldChar w:fldCharType="separate"/>
            </w:r>
            <w:r w:rsidR="0035019C">
              <w:rPr>
                <w:noProof/>
                <w:webHidden/>
              </w:rPr>
              <w:t>302</w:t>
            </w:r>
            <w:r w:rsidR="0035019C">
              <w:rPr>
                <w:noProof/>
                <w:webHidden/>
              </w:rPr>
              <w:fldChar w:fldCharType="end"/>
            </w:r>
          </w:hyperlink>
        </w:p>
        <w:p w:rsidR="0035019C" w:rsidRDefault="005D6D1F">
          <w:pPr>
            <w:pStyle w:val="TOC3"/>
            <w:rPr>
              <w:rFonts w:cstheme="minorBidi"/>
              <w:noProof/>
              <w:lang w:eastAsia="en-NZ"/>
            </w:rPr>
          </w:pPr>
          <w:hyperlink w:anchor="_Toc23848731" w:history="1">
            <w:r w:rsidR="0035019C" w:rsidRPr="00277EEC">
              <w:rPr>
                <w:rStyle w:val="Hyperlink"/>
                <w:noProof/>
              </w:rPr>
              <w:t>Note 36: Related party disclosures</w:t>
            </w:r>
            <w:r w:rsidR="0035019C">
              <w:rPr>
                <w:noProof/>
                <w:webHidden/>
              </w:rPr>
              <w:tab/>
            </w:r>
            <w:r w:rsidR="0035019C">
              <w:rPr>
                <w:noProof/>
                <w:webHidden/>
              </w:rPr>
              <w:fldChar w:fldCharType="begin"/>
            </w:r>
            <w:r w:rsidR="0035019C">
              <w:rPr>
                <w:noProof/>
                <w:webHidden/>
              </w:rPr>
              <w:instrText xml:space="preserve"> PAGEREF _Toc23848731 \h </w:instrText>
            </w:r>
            <w:r w:rsidR="0035019C">
              <w:rPr>
                <w:noProof/>
                <w:webHidden/>
              </w:rPr>
            </w:r>
            <w:r w:rsidR="0035019C">
              <w:rPr>
                <w:noProof/>
                <w:webHidden/>
              </w:rPr>
              <w:fldChar w:fldCharType="separate"/>
            </w:r>
            <w:r w:rsidR="0035019C">
              <w:rPr>
                <w:noProof/>
                <w:webHidden/>
              </w:rPr>
              <w:t>303</w:t>
            </w:r>
            <w:r w:rsidR="0035019C">
              <w:rPr>
                <w:noProof/>
                <w:webHidden/>
              </w:rPr>
              <w:fldChar w:fldCharType="end"/>
            </w:r>
          </w:hyperlink>
        </w:p>
        <w:p w:rsidR="0035019C" w:rsidRDefault="005D6D1F">
          <w:pPr>
            <w:pStyle w:val="TOC3"/>
            <w:rPr>
              <w:rFonts w:cstheme="minorBidi"/>
              <w:noProof/>
              <w:lang w:eastAsia="en-NZ"/>
            </w:rPr>
          </w:pPr>
          <w:hyperlink w:anchor="_Toc23848732" w:history="1">
            <w:r w:rsidR="0035019C" w:rsidRPr="00277EEC">
              <w:rPr>
                <w:rStyle w:val="Hyperlink"/>
                <w:noProof/>
              </w:rPr>
              <w:t>Note 37: Remuneration and staffing</w:t>
            </w:r>
            <w:r w:rsidR="0035019C">
              <w:rPr>
                <w:noProof/>
                <w:webHidden/>
              </w:rPr>
              <w:tab/>
            </w:r>
            <w:r w:rsidR="0035019C">
              <w:rPr>
                <w:noProof/>
                <w:webHidden/>
              </w:rPr>
              <w:fldChar w:fldCharType="begin"/>
            </w:r>
            <w:r w:rsidR="0035019C">
              <w:rPr>
                <w:noProof/>
                <w:webHidden/>
              </w:rPr>
              <w:instrText xml:space="preserve"> PAGEREF _Toc23848732 \h </w:instrText>
            </w:r>
            <w:r w:rsidR="0035019C">
              <w:rPr>
                <w:noProof/>
                <w:webHidden/>
              </w:rPr>
            </w:r>
            <w:r w:rsidR="0035019C">
              <w:rPr>
                <w:noProof/>
                <w:webHidden/>
              </w:rPr>
              <w:fldChar w:fldCharType="separate"/>
            </w:r>
            <w:r w:rsidR="0035019C">
              <w:rPr>
                <w:noProof/>
                <w:webHidden/>
              </w:rPr>
              <w:t>308</w:t>
            </w:r>
            <w:r w:rsidR="0035019C">
              <w:rPr>
                <w:noProof/>
                <w:webHidden/>
              </w:rPr>
              <w:fldChar w:fldCharType="end"/>
            </w:r>
          </w:hyperlink>
        </w:p>
        <w:p w:rsidR="0035019C" w:rsidRDefault="005D6D1F">
          <w:pPr>
            <w:pStyle w:val="TOC3"/>
            <w:rPr>
              <w:rFonts w:cstheme="minorBidi"/>
              <w:noProof/>
              <w:lang w:eastAsia="en-NZ"/>
            </w:rPr>
          </w:pPr>
          <w:hyperlink w:anchor="_Toc23848733" w:history="1">
            <w:r w:rsidR="0035019C" w:rsidRPr="00277EEC">
              <w:rPr>
                <w:rStyle w:val="Hyperlink"/>
                <w:noProof/>
              </w:rPr>
              <w:t>Note 38: Events after the end of the reporting period</w:t>
            </w:r>
            <w:r w:rsidR="0035019C">
              <w:rPr>
                <w:noProof/>
                <w:webHidden/>
              </w:rPr>
              <w:tab/>
            </w:r>
            <w:r w:rsidR="0035019C">
              <w:rPr>
                <w:noProof/>
                <w:webHidden/>
              </w:rPr>
              <w:fldChar w:fldCharType="begin"/>
            </w:r>
            <w:r w:rsidR="0035019C">
              <w:rPr>
                <w:noProof/>
                <w:webHidden/>
              </w:rPr>
              <w:instrText xml:space="preserve"> PAGEREF _Toc23848733 \h </w:instrText>
            </w:r>
            <w:r w:rsidR="0035019C">
              <w:rPr>
                <w:noProof/>
                <w:webHidden/>
              </w:rPr>
            </w:r>
            <w:r w:rsidR="0035019C">
              <w:rPr>
                <w:noProof/>
                <w:webHidden/>
              </w:rPr>
              <w:fldChar w:fldCharType="separate"/>
            </w:r>
            <w:r w:rsidR="0035019C">
              <w:rPr>
                <w:noProof/>
                <w:webHidden/>
              </w:rPr>
              <w:t>311</w:t>
            </w:r>
            <w:r w:rsidR="0035019C">
              <w:rPr>
                <w:noProof/>
                <w:webHidden/>
              </w:rPr>
              <w:fldChar w:fldCharType="end"/>
            </w:r>
          </w:hyperlink>
        </w:p>
        <w:p w:rsidR="0035019C" w:rsidRDefault="005D6D1F" w:rsidP="0035019C">
          <w:pPr>
            <w:pStyle w:val="TOC2"/>
            <w:rPr>
              <w:rFonts w:cstheme="minorBidi"/>
              <w:noProof/>
              <w:lang w:eastAsia="en-NZ"/>
            </w:rPr>
          </w:pPr>
          <w:hyperlink w:anchor="_Toc23848734" w:history="1">
            <w:r w:rsidR="0035019C" w:rsidRPr="00277EEC">
              <w:rPr>
                <w:rStyle w:val="Hyperlink"/>
                <w:noProof/>
                <w:lang w:eastAsia="en-GB"/>
              </w:rPr>
              <w:t>Other Significant Accounting Policies</w:t>
            </w:r>
            <w:r w:rsidR="0035019C">
              <w:rPr>
                <w:noProof/>
                <w:webHidden/>
              </w:rPr>
              <w:tab/>
            </w:r>
            <w:r w:rsidR="0035019C">
              <w:rPr>
                <w:noProof/>
                <w:webHidden/>
              </w:rPr>
              <w:fldChar w:fldCharType="begin"/>
            </w:r>
            <w:r w:rsidR="0035019C">
              <w:rPr>
                <w:noProof/>
                <w:webHidden/>
              </w:rPr>
              <w:instrText xml:space="preserve"> PAGEREF _Toc23848734 \h </w:instrText>
            </w:r>
            <w:r w:rsidR="0035019C">
              <w:rPr>
                <w:noProof/>
                <w:webHidden/>
              </w:rPr>
            </w:r>
            <w:r w:rsidR="0035019C">
              <w:rPr>
                <w:noProof/>
                <w:webHidden/>
              </w:rPr>
              <w:fldChar w:fldCharType="separate"/>
            </w:r>
            <w:r w:rsidR="0035019C">
              <w:rPr>
                <w:noProof/>
                <w:webHidden/>
              </w:rPr>
              <w:t>312</w:t>
            </w:r>
            <w:r w:rsidR="0035019C">
              <w:rPr>
                <w:noProof/>
                <w:webHidden/>
              </w:rPr>
              <w:fldChar w:fldCharType="end"/>
            </w:r>
          </w:hyperlink>
        </w:p>
        <w:p w:rsidR="0035019C" w:rsidRDefault="005D6D1F">
          <w:pPr>
            <w:pStyle w:val="TOC3"/>
            <w:rPr>
              <w:rFonts w:cstheme="minorBidi"/>
              <w:noProof/>
              <w:lang w:eastAsia="en-NZ"/>
            </w:rPr>
          </w:pPr>
          <w:hyperlink w:anchor="_Toc23848735" w:history="1">
            <w:r w:rsidR="0035019C" w:rsidRPr="00277EEC">
              <w:rPr>
                <w:rStyle w:val="Hyperlink"/>
                <w:noProof/>
                <w:lang w:eastAsia="en-GB"/>
              </w:rPr>
              <w:t>Basis of preparation</w:t>
            </w:r>
            <w:r w:rsidR="0035019C">
              <w:rPr>
                <w:noProof/>
                <w:webHidden/>
              </w:rPr>
              <w:tab/>
            </w:r>
            <w:r w:rsidR="0035019C">
              <w:rPr>
                <w:noProof/>
                <w:webHidden/>
              </w:rPr>
              <w:fldChar w:fldCharType="begin"/>
            </w:r>
            <w:r w:rsidR="0035019C">
              <w:rPr>
                <w:noProof/>
                <w:webHidden/>
              </w:rPr>
              <w:instrText xml:space="preserve"> PAGEREF _Toc23848735 \h </w:instrText>
            </w:r>
            <w:r w:rsidR="0035019C">
              <w:rPr>
                <w:noProof/>
                <w:webHidden/>
              </w:rPr>
            </w:r>
            <w:r w:rsidR="0035019C">
              <w:rPr>
                <w:noProof/>
                <w:webHidden/>
              </w:rPr>
              <w:fldChar w:fldCharType="separate"/>
            </w:r>
            <w:r w:rsidR="0035019C">
              <w:rPr>
                <w:noProof/>
                <w:webHidden/>
              </w:rPr>
              <w:t>312</w:t>
            </w:r>
            <w:r w:rsidR="0035019C">
              <w:rPr>
                <w:noProof/>
                <w:webHidden/>
              </w:rPr>
              <w:fldChar w:fldCharType="end"/>
            </w:r>
          </w:hyperlink>
        </w:p>
        <w:p w:rsidR="0035019C" w:rsidRDefault="005D6D1F" w:rsidP="0035019C">
          <w:pPr>
            <w:pStyle w:val="TOC2"/>
            <w:rPr>
              <w:rFonts w:cstheme="minorBidi"/>
              <w:noProof/>
              <w:lang w:eastAsia="en-NZ"/>
            </w:rPr>
          </w:pPr>
          <w:hyperlink w:anchor="_Toc23848736" w:history="1">
            <w:r w:rsidR="0035019C" w:rsidRPr="00277EEC">
              <w:rPr>
                <w:rStyle w:val="Hyperlink"/>
                <w:noProof/>
              </w:rPr>
              <w:t>Financial Prudence</w:t>
            </w:r>
            <w:r w:rsidR="0035019C">
              <w:rPr>
                <w:noProof/>
                <w:webHidden/>
              </w:rPr>
              <w:tab/>
            </w:r>
            <w:r w:rsidR="0035019C">
              <w:rPr>
                <w:noProof/>
                <w:webHidden/>
              </w:rPr>
              <w:fldChar w:fldCharType="begin"/>
            </w:r>
            <w:r w:rsidR="0035019C">
              <w:rPr>
                <w:noProof/>
                <w:webHidden/>
              </w:rPr>
              <w:instrText xml:space="preserve"> PAGEREF _Toc23848736 \h </w:instrText>
            </w:r>
            <w:r w:rsidR="0035019C">
              <w:rPr>
                <w:noProof/>
                <w:webHidden/>
              </w:rPr>
            </w:r>
            <w:r w:rsidR="0035019C">
              <w:rPr>
                <w:noProof/>
                <w:webHidden/>
              </w:rPr>
              <w:fldChar w:fldCharType="separate"/>
            </w:r>
            <w:r w:rsidR="0035019C">
              <w:rPr>
                <w:noProof/>
                <w:webHidden/>
              </w:rPr>
              <w:t>315</w:t>
            </w:r>
            <w:r w:rsidR="0035019C">
              <w:rPr>
                <w:noProof/>
                <w:webHidden/>
              </w:rPr>
              <w:fldChar w:fldCharType="end"/>
            </w:r>
          </w:hyperlink>
        </w:p>
        <w:p w:rsidR="0035019C" w:rsidRDefault="005D6D1F">
          <w:pPr>
            <w:pStyle w:val="TOC3"/>
            <w:rPr>
              <w:rFonts w:cstheme="minorBidi"/>
              <w:noProof/>
              <w:lang w:eastAsia="en-NZ"/>
            </w:rPr>
          </w:pPr>
          <w:hyperlink w:anchor="_Toc23848737" w:history="1">
            <w:r w:rsidR="0035019C" w:rsidRPr="00277EEC">
              <w:rPr>
                <w:rStyle w:val="Hyperlink"/>
                <w:noProof/>
              </w:rPr>
              <w:t>Annual Report disclosure statement for year ending 30 June 2019</w:t>
            </w:r>
            <w:r w:rsidR="0035019C">
              <w:rPr>
                <w:noProof/>
                <w:webHidden/>
              </w:rPr>
              <w:tab/>
            </w:r>
            <w:r w:rsidR="0035019C">
              <w:rPr>
                <w:noProof/>
                <w:webHidden/>
              </w:rPr>
              <w:fldChar w:fldCharType="begin"/>
            </w:r>
            <w:r w:rsidR="0035019C">
              <w:rPr>
                <w:noProof/>
                <w:webHidden/>
              </w:rPr>
              <w:instrText xml:space="preserve"> PAGEREF _Toc23848737 \h </w:instrText>
            </w:r>
            <w:r w:rsidR="0035019C">
              <w:rPr>
                <w:noProof/>
                <w:webHidden/>
              </w:rPr>
            </w:r>
            <w:r w:rsidR="0035019C">
              <w:rPr>
                <w:noProof/>
                <w:webHidden/>
              </w:rPr>
              <w:fldChar w:fldCharType="separate"/>
            </w:r>
            <w:r w:rsidR="0035019C">
              <w:rPr>
                <w:noProof/>
                <w:webHidden/>
              </w:rPr>
              <w:t>315</w:t>
            </w:r>
            <w:r w:rsidR="0035019C">
              <w:rPr>
                <w:noProof/>
                <w:webHidden/>
              </w:rPr>
              <w:fldChar w:fldCharType="end"/>
            </w:r>
          </w:hyperlink>
        </w:p>
        <w:p w:rsidR="0035019C" w:rsidRDefault="005D6D1F" w:rsidP="0035019C">
          <w:pPr>
            <w:pStyle w:val="TOC2"/>
            <w:rPr>
              <w:rFonts w:cstheme="minorBidi"/>
              <w:noProof/>
              <w:lang w:eastAsia="en-NZ"/>
            </w:rPr>
          </w:pPr>
          <w:hyperlink w:anchor="_Toc23848738" w:history="1">
            <w:r w:rsidR="0035019C" w:rsidRPr="00277EEC">
              <w:rPr>
                <w:rStyle w:val="Hyperlink"/>
                <w:noProof/>
                <w:lang w:eastAsia="en-GB"/>
              </w:rPr>
              <w:t>Funding Impact Statements</w:t>
            </w:r>
            <w:r w:rsidR="0035019C">
              <w:rPr>
                <w:noProof/>
                <w:webHidden/>
              </w:rPr>
              <w:tab/>
            </w:r>
            <w:r w:rsidR="0035019C">
              <w:rPr>
                <w:noProof/>
                <w:webHidden/>
              </w:rPr>
              <w:fldChar w:fldCharType="begin"/>
            </w:r>
            <w:r w:rsidR="0035019C">
              <w:rPr>
                <w:noProof/>
                <w:webHidden/>
              </w:rPr>
              <w:instrText xml:space="preserve"> PAGEREF _Toc23848738 \h </w:instrText>
            </w:r>
            <w:r w:rsidR="0035019C">
              <w:rPr>
                <w:noProof/>
                <w:webHidden/>
              </w:rPr>
            </w:r>
            <w:r w:rsidR="0035019C">
              <w:rPr>
                <w:noProof/>
                <w:webHidden/>
              </w:rPr>
              <w:fldChar w:fldCharType="separate"/>
            </w:r>
            <w:r w:rsidR="0035019C">
              <w:rPr>
                <w:noProof/>
                <w:webHidden/>
              </w:rPr>
              <w:t>327</w:t>
            </w:r>
            <w:r w:rsidR="0035019C">
              <w:rPr>
                <w:noProof/>
                <w:webHidden/>
              </w:rPr>
              <w:fldChar w:fldCharType="end"/>
            </w:r>
          </w:hyperlink>
        </w:p>
        <w:p w:rsidR="00456E92" w:rsidRPr="00D5126A" w:rsidRDefault="00456E92" w:rsidP="0085686E">
          <w:pPr>
            <w:tabs>
              <w:tab w:val="right" w:pos="9639"/>
            </w:tabs>
          </w:pPr>
          <w:r w:rsidRPr="00D5126A">
            <w:rPr>
              <w:b/>
              <w:bCs/>
            </w:rPr>
            <w:fldChar w:fldCharType="end"/>
          </w:r>
        </w:p>
      </w:sdtContent>
    </w:sdt>
    <w:p w:rsidR="00FA6A77" w:rsidRPr="00D5126A" w:rsidRDefault="00FA6A77" w:rsidP="00456E92">
      <w:pPr>
        <w:pStyle w:val="Body"/>
        <w:rPr>
          <w:b/>
        </w:rPr>
      </w:pPr>
      <w:r w:rsidRPr="00D5126A">
        <w:tab/>
      </w:r>
      <w:r w:rsidRPr="00D5126A">
        <w:tab/>
      </w:r>
      <w:r w:rsidRPr="00D5126A">
        <w:tab/>
      </w:r>
      <w:r w:rsidRPr="00D5126A">
        <w:tab/>
      </w:r>
      <w:r w:rsidRPr="00D5126A">
        <w:tab/>
      </w:r>
      <w:r w:rsidRPr="00D5126A">
        <w:tab/>
      </w:r>
      <w:r w:rsidRPr="00D5126A">
        <w:tab/>
      </w:r>
      <w:r w:rsidRPr="00D5126A">
        <w:tab/>
      </w:r>
      <w:r w:rsidRPr="00D5126A">
        <w:tab/>
      </w:r>
      <w:r w:rsidRPr="00D5126A">
        <w:tab/>
      </w:r>
      <w:r w:rsidRPr="00D5126A">
        <w:tab/>
      </w:r>
    </w:p>
    <w:p w:rsidR="00EB1016" w:rsidRPr="00D5126A" w:rsidRDefault="00EB1016">
      <w:pPr>
        <w:rPr>
          <w:rFonts w:asciiTheme="majorHAnsi" w:eastAsiaTheme="majorEastAsia" w:hAnsiTheme="majorHAnsi"/>
          <w:b/>
          <w:bCs/>
          <w:color w:val="1F497D" w:themeColor="text2"/>
          <w:sz w:val="40"/>
          <w:szCs w:val="40"/>
        </w:rPr>
      </w:pPr>
      <w:bookmarkStart w:id="385" w:name="_Toc432777498"/>
      <w:bookmarkStart w:id="386" w:name="_Toc432173943"/>
      <w:bookmarkStart w:id="387" w:name="Financial_Statements"/>
      <w:r w:rsidRPr="00D5126A">
        <w:br w:type="page"/>
      </w:r>
    </w:p>
    <w:p w:rsidR="00FA6A77" w:rsidRPr="00D5126A" w:rsidRDefault="00FA6A77" w:rsidP="00FA6A77">
      <w:pPr>
        <w:pStyle w:val="Heading2"/>
      </w:pPr>
      <w:bookmarkStart w:id="388" w:name="_Toc23758619"/>
      <w:bookmarkStart w:id="389" w:name="_Toc23848688"/>
      <w:r w:rsidRPr="00D5126A">
        <w:lastRenderedPageBreak/>
        <w:t>Statement of Compliance and Responsibility</w:t>
      </w:r>
      <w:bookmarkEnd w:id="385"/>
      <w:bookmarkEnd w:id="386"/>
      <w:bookmarkEnd w:id="388"/>
      <w:bookmarkEnd w:id="389"/>
    </w:p>
    <w:p w:rsidR="00FA6A77" w:rsidRPr="00D5126A" w:rsidRDefault="00FA6A77" w:rsidP="00972CA2">
      <w:pPr>
        <w:pStyle w:val="Heading5"/>
      </w:pPr>
      <w:r w:rsidRPr="00D5126A">
        <w:t>Reporting entity</w:t>
      </w:r>
    </w:p>
    <w:p w:rsidR="00FA6A77" w:rsidRPr="00D5126A" w:rsidRDefault="00FA6A77" w:rsidP="00FA6A77">
      <w:pPr>
        <w:pStyle w:val="Body"/>
        <w:jc w:val="both"/>
      </w:pPr>
      <w:r w:rsidRPr="00D5126A">
        <w:t>Wellington City Council is a territorial local authority governed by the Local Government Act 2002.</w:t>
      </w:r>
    </w:p>
    <w:p w:rsidR="00FA6A77" w:rsidRPr="00D5126A" w:rsidRDefault="00FA6A77" w:rsidP="00FA6A77">
      <w:pPr>
        <w:pStyle w:val="Body"/>
        <w:jc w:val="both"/>
      </w:pPr>
      <w:r w:rsidRPr="00D5126A">
        <w:t>The primary purpose of the Council and Group is to provide goods or services for community or social benefits rather than making a financial return. As a defined public entity under the Public Audit Act 2001, the Council is audited by the Office of the Auditor General and is classed as a Public Sector Public Benefit Entity for financial reporting purposes.</w:t>
      </w:r>
    </w:p>
    <w:p w:rsidR="00FA6A77" w:rsidRPr="00BF629A" w:rsidRDefault="00FA6A77" w:rsidP="00FA6A77">
      <w:pPr>
        <w:pStyle w:val="Body"/>
        <w:jc w:val="both"/>
      </w:pPr>
      <w:r w:rsidRPr="00D5126A">
        <w:t xml:space="preserve">The reported Council figures includes the results and operations of Wellington City Council and </w:t>
      </w:r>
      <w:r w:rsidRPr="00BF629A">
        <w:t xml:space="preserve">the Council’s interests in the joint ventures as disclosed in Note 35: Jointly controlled assets (page </w:t>
      </w:r>
      <w:r w:rsidR="00BF629A" w:rsidRPr="00BF629A">
        <w:t>303</w:t>
      </w:r>
      <w:r w:rsidRPr="00BF629A">
        <w:t>).</w:t>
      </w:r>
    </w:p>
    <w:p w:rsidR="00FA6A77" w:rsidRPr="00D5126A" w:rsidRDefault="00FA6A77" w:rsidP="00FA6A77">
      <w:pPr>
        <w:pStyle w:val="Body"/>
        <w:jc w:val="both"/>
      </w:pPr>
      <w:r w:rsidRPr="00BF629A">
        <w:t xml:space="preserve">The reported Group figures includes the Council (as defined above), its controlled entities as disclosed in Note 19 (page </w:t>
      </w:r>
      <w:r w:rsidR="00BF629A" w:rsidRPr="00BF629A">
        <w:t>262</w:t>
      </w:r>
      <w:r w:rsidRPr="00BF629A">
        <w:t xml:space="preserve">) and the Council’s equity accounted interest in the associates and a jointly controlled entity as disclosed in Note 20 (page </w:t>
      </w:r>
      <w:r w:rsidR="00BF629A" w:rsidRPr="00BF629A">
        <w:t>263</w:t>
      </w:r>
      <w:r w:rsidRPr="00BF629A">
        <w:t>).</w:t>
      </w:r>
      <w:r w:rsidRPr="00D5126A">
        <w:t xml:space="preserve">  A structural diagram of the Council and Group is included on the following page. </w:t>
      </w:r>
    </w:p>
    <w:p w:rsidR="00FA6A77" w:rsidRPr="00D5126A" w:rsidRDefault="00FA6A77" w:rsidP="00972CA2">
      <w:pPr>
        <w:pStyle w:val="Heading5"/>
      </w:pPr>
      <w:r w:rsidRPr="00D5126A">
        <w:t>Compliance</w:t>
      </w:r>
    </w:p>
    <w:p w:rsidR="00FA6A77" w:rsidRPr="00D5126A" w:rsidRDefault="00FA6A77" w:rsidP="00FA6A77">
      <w:pPr>
        <w:pStyle w:val="Body"/>
        <w:jc w:val="both"/>
      </w:pPr>
      <w:r w:rsidRPr="00D5126A">
        <w:t>The Council and management of Wellington City Council confirm that all the statutory requirements in relation to the Annual Report, as outlined in Schedule 10 of the Local Government Act 2002, including the requirement to comply with New Zealand Generally Accepted Accounting Practice (NZ GAAP) have been complied with.</w:t>
      </w:r>
    </w:p>
    <w:p w:rsidR="00FA6A77" w:rsidRPr="00D5126A" w:rsidRDefault="00FA6A77" w:rsidP="00FA6A77">
      <w:pPr>
        <w:pStyle w:val="Body"/>
        <w:jc w:val="both"/>
      </w:pPr>
      <w:r w:rsidRPr="00D5126A">
        <w:t>The financial statements have been prepared to comply with Public Sector Public Benefit Entity Accounting Standards (PBE accounting standards) for a Tier 1 entity</w:t>
      </w:r>
      <w:r w:rsidRPr="00D5126A">
        <w:rPr>
          <w:vertAlign w:val="superscript"/>
        </w:rPr>
        <w:t xml:space="preserve">1 </w:t>
      </w:r>
      <w:r w:rsidRPr="00D5126A">
        <w:t>and were authorised for issue by the Council on 25 September 2019.</w:t>
      </w:r>
    </w:p>
    <w:p w:rsidR="00FA6A77" w:rsidRPr="00D5126A" w:rsidRDefault="00FA6A77" w:rsidP="00972CA2">
      <w:pPr>
        <w:pStyle w:val="Heading5"/>
      </w:pPr>
      <w:r w:rsidRPr="00D5126A">
        <w:t>Responsibility</w:t>
      </w:r>
    </w:p>
    <w:p w:rsidR="00FA6A77" w:rsidRPr="00D5126A" w:rsidRDefault="00FA6A77" w:rsidP="00FA6A77">
      <w:pPr>
        <w:pStyle w:val="Body"/>
        <w:jc w:val="both"/>
      </w:pPr>
      <w:r w:rsidRPr="00D5126A">
        <w:t>The Council and management accept responsibility for the preparation of the annual financial statements and judgements used in them. They also accept responsibility for establishing and maintaining a system of internal control designed to provide reasonable assurance as to the integrity and reliability of financial reporting.</w:t>
      </w:r>
    </w:p>
    <w:p w:rsidR="00FA6A77" w:rsidRPr="00D5126A" w:rsidRDefault="00FA6A77" w:rsidP="00FA6A77">
      <w:pPr>
        <w:pStyle w:val="Body"/>
        <w:jc w:val="both"/>
      </w:pPr>
      <w:r w:rsidRPr="00D5126A">
        <w:t>In the opinion of the Council and management, the Annual Report for the year ended 30 June 2019 fairly reflect the financial position, results of operations and service performance achievements of Wellington City Council and Group.</w:t>
      </w:r>
    </w:p>
    <w:p w:rsidR="00FA6A77" w:rsidRPr="00D5126A" w:rsidRDefault="00FA6A77" w:rsidP="00FA6A77">
      <w:pPr>
        <w:pStyle w:val="Body"/>
      </w:pPr>
    </w:p>
    <w:p w:rsidR="003F3CF8" w:rsidRPr="00D5126A" w:rsidRDefault="0085686E" w:rsidP="0085686E">
      <w:pPr>
        <w:pStyle w:val="Body"/>
        <w:jc w:val="center"/>
      </w:pPr>
      <w:r>
        <w:rPr>
          <w:noProof/>
          <w:lang w:eastAsia="en-NZ"/>
        </w:rPr>
        <w:drawing>
          <wp:inline distT="0" distB="0" distL="0" distR="0">
            <wp:extent cx="5624623" cy="717050"/>
            <wp:effectExtent l="0" t="0" r="0" b="6985"/>
            <wp:docPr id="1365" name="Picture 1365" descr="Signatures of Mayor Justin Lester, CEO Kevin Lavery and CFO Andy Matthews" title="Signa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626577" cy="717299"/>
                    </a:xfrm>
                    <a:prstGeom prst="rect">
                      <a:avLst/>
                    </a:prstGeom>
                    <a:noFill/>
                    <a:ln>
                      <a:noFill/>
                    </a:ln>
                  </pic:spPr>
                </pic:pic>
              </a:graphicData>
            </a:graphic>
          </wp:inline>
        </w:drawing>
      </w:r>
    </w:p>
    <w:p w:rsidR="00FA6A77" w:rsidRPr="00D5126A" w:rsidRDefault="00FA6A77" w:rsidP="00FA6A77">
      <w:pPr>
        <w:pStyle w:val="Body"/>
      </w:pPr>
    </w:p>
    <w:tbl>
      <w:tblPr>
        <w:tblW w:w="10065" w:type="dxa"/>
        <w:tblInd w:w="108" w:type="dxa"/>
        <w:tblLayout w:type="fixed"/>
        <w:tblLook w:val="04A0" w:firstRow="1" w:lastRow="0" w:firstColumn="1" w:lastColumn="0" w:noHBand="0" w:noVBand="1"/>
      </w:tblPr>
      <w:tblGrid>
        <w:gridCol w:w="3355"/>
        <w:gridCol w:w="3355"/>
        <w:gridCol w:w="3355"/>
      </w:tblGrid>
      <w:tr w:rsidR="00FA6A77" w:rsidRPr="00D5126A" w:rsidTr="0085686E">
        <w:tc>
          <w:tcPr>
            <w:tcW w:w="3355" w:type="dxa"/>
            <w:hideMark/>
          </w:tcPr>
          <w:p w:rsidR="00FA6A77" w:rsidRPr="00D5126A" w:rsidRDefault="00FA6A77">
            <w:pPr>
              <w:pStyle w:val="Body"/>
              <w:rPr>
                <w:b/>
                <w:i/>
                <w:lang w:eastAsia="en-GB"/>
              </w:rPr>
            </w:pPr>
            <w:r w:rsidRPr="00D5126A">
              <w:rPr>
                <w:b/>
                <w:lang w:eastAsia="en-GB"/>
              </w:rPr>
              <w:t>Justin Lester</w:t>
            </w:r>
          </w:p>
        </w:tc>
        <w:tc>
          <w:tcPr>
            <w:tcW w:w="3355" w:type="dxa"/>
            <w:hideMark/>
          </w:tcPr>
          <w:p w:rsidR="00FA6A77" w:rsidRPr="00D5126A" w:rsidRDefault="00FA6A77">
            <w:pPr>
              <w:pStyle w:val="Body"/>
              <w:rPr>
                <w:b/>
                <w:lang w:eastAsia="en-GB"/>
              </w:rPr>
            </w:pPr>
            <w:r w:rsidRPr="00D5126A">
              <w:rPr>
                <w:b/>
                <w:lang w:eastAsia="en-GB"/>
              </w:rPr>
              <w:t>Kevin Lavery</w:t>
            </w:r>
          </w:p>
        </w:tc>
        <w:tc>
          <w:tcPr>
            <w:tcW w:w="3355" w:type="dxa"/>
            <w:hideMark/>
          </w:tcPr>
          <w:p w:rsidR="00FA6A77" w:rsidRPr="00D5126A" w:rsidRDefault="00FA6A77">
            <w:pPr>
              <w:pStyle w:val="Body"/>
              <w:rPr>
                <w:b/>
                <w:lang w:eastAsia="en-GB"/>
              </w:rPr>
            </w:pPr>
            <w:r w:rsidRPr="00D5126A">
              <w:rPr>
                <w:b/>
                <w:lang w:eastAsia="en-GB"/>
              </w:rPr>
              <w:t>Andy Matthews</w:t>
            </w:r>
          </w:p>
        </w:tc>
      </w:tr>
      <w:tr w:rsidR="00FA6A77" w:rsidRPr="00D5126A" w:rsidTr="0085686E">
        <w:tc>
          <w:tcPr>
            <w:tcW w:w="3355" w:type="dxa"/>
            <w:hideMark/>
          </w:tcPr>
          <w:p w:rsidR="00FA6A77" w:rsidRPr="00D5126A" w:rsidRDefault="00FA6A77">
            <w:pPr>
              <w:pStyle w:val="Body"/>
              <w:rPr>
                <w:b/>
                <w:lang w:eastAsia="en-GB"/>
              </w:rPr>
            </w:pPr>
            <w:r w:rsidRPr="00D5126A">
              <w:rPr>
                <w:b/>
                <w:lang w:eastAsia="en-GB"/>
              </w:rPr>
              <w:t>Mayor</w:t>
            </w:r>
            <w:r w:rsidRPr="00D5126A">
              <w:rPr>
                <w:b/>
                <w:lang w:eastAsia="en-GB"/>
              </w:rPr>
              <w:tab/>
            </w:r>
          </w:p>
        </w:tc>
        <w:tc>
          <w:tcPr>
            <w:tcW w:w="3355" w:type="dxa"/>
            <w:hideMark/>
          </w:tcPr>
          <w:p w:rsidR="00FA6A77" w:rsidRPr="00D5126A" w:rsidRDefault="00FA6A77">
            <w:pPr>
              <w:pStyle w:val="Body"/>
              <w:rPr>
                <w:b/>
                <w:lang w:eastAsia="en-GB"/>
              </w:rPr>
            </w:pPr>
            <w:r w:rsidRPr="00D5126A">
              <w:rPr>
                <w:b/>
                <w:lang w:eastAsia="en-GB"/>
              </w:rPr>
              <w:t xml:space="preserve">Chief Executive </w:t>
            </w:r>
          </w:p>
        </w:tc>
        <w:tc>
          <w:tcPr>
            <w:tcW w:w="3355" w:type="dxa"/>
            <w:hideMark/>
          </w:tcPr>
          <w:p w:rsidR="00FA6A77" w:rsidRPr="00D5126A" w:rsidRDefault="00FA6A77">
            <w:pPr>
              <w:pStyle w:val="Body"/>
              <w:rPr>
                <w:b/>
                <w:lang w:eastAsia="en-GB"/>
              </w:rPr>
            </w:pPr>
            <w:r w:rsidRPr="00D5126A">
              <w:rPr>
                <w:b/>
                <w:lang w:eastAsia="en-GB"/>
              </w:rPr>
              <w:t>Chief Financial Officer</w:t>
            </w:r>
          </w:p>
        </w:tc>
      </w:tr>
      <w:tr w:rsidR="00FA6A77" w:rsidRPr="00D5126A" w:rsidTr="0085686E">
        <w:tc>
          <w:tcPr>
            <w:tcW w:w="3355" w:type="dxa"/>
            <w:hideMark/>
          </w:tcPr>
          <w:p w:rsidR="00FA6A77" w:rsidRPr="00D5126A" w:rsidRDefault="00FA6A77">
            <w:pPr>
              <w:rPr>
                <w:rFonts w:ascii="Arial" w:hAnsi="Arial" w:cs="Arial"/>
                <w:color w:val="333333"/>
                <w:lang w:eastAsia="en-GB"/>
              </w:rPr>
            </w:pPr>
            <w:r w:rsidRPr="00D5126A">
              <w:rPr>
                <w:rFonts w:ascii="Arial" w:hAnsi="Arial" w:cs="Arial"/>
                <w:color w:val="333333"/>
                <w:lang w:eastAsia="en-GB"/>
              </w:rPr>
              <w:t>25 September 2019</w:t>
            </w:r>
          </w:p>
        </w:tc>
        <w:tc>
          <w:tcPr>
            <w:tcW w:w="3355" w:type="dxa"/>
            <w:hideMark/>
          </w:tcPr>
          <w:p w:rsidR="00FA6A77" w:rsidRPr="00D5126A" w:rsidRDefault="00FA6A77">
            <w:pPr>
              <w:ind w:hanging="30"/>
              <w:rPr>
                <w:rFonts w:ascii="Arial" w:hAnsi="Arial" w:cs="Arial"/>
                <w:color w:val="333333"/>
                <w:lang w:eastAsia="en-GB"/>
              </w:rPr>
            </w:pPr>
            <w:r w:rsidRPr="00D5126A">
              <w:rPr>
                <w:rFonts w:ascii="Arial" w:hAnsi="Arial" w:cs="Arial"/>
                <w:color w:val="333333"/>
                <w:lang w:eastAsia="en-GB"/>
              </w:rPr>
              <w:t xml:space="preserve"> 25 September 2019</w:t>
            </w:r>
          </w:p>
        </w:tc>
        <w:tc>
          <w:tcPr>
            <w:tcW w:w="3355" w:type="dxa"/>
          </w:tcPr>
          <w:p w:rsidR="00FA6A77" w:rsidRPr="00D5126A" w:rsidRDefault="00FA6A77" w:rsidP="00094394">
            <w:pPr>
              <w:rPr>
                <w:rFonts w:ascii="Arial" w:hAnsi="Arial" w:cs="Arial"/>
                <w:color w:val="333333"/>
                <w:lang w:eastAsia="en-GB"/>
              </w:rPr>
            </w:pPr>
            <w:r w:rsidRPr="00D5126A">
              <w:rPr>
                <w:rFonts w:ascii="Arial" w:hAnsi="Arial" w:cs="Arial"/>
                <w:color w:val="333333"/>
                <w:lang w:eastAsia="en-GB"/>
              </w:rPr>
              <w:t>25 September 2019</w:t>
            </w:r>
          </w:p>
        </w:tc>
      </w:tr>
    </w:tbl>
    <w:p w:rsidR="00FA6A77" w:rsidRPr="00D5126A" w:rsidRDefault="00FA6A77" w:rsidP="00FA6A77">
      <w:pPr>
        <w:ind w:left="568"/>
        <w:rPr>
          <w:rFonts w:ascii="Times New Roman" w:hAnsi="Times New Roman"/>
          <w:sz w:val="20"/>
          <w:szCs w:val="20"/>
          <w:lang w:eastAsia="en-GB"/>
        </w:rPr>
      </w:pPr>
    </w:p>
    <w:p w:rsidR="00094394" w:rsidRPr="00D5126A" w:rsidRDefault="00094394" w:rsidP="00094394">
      <w:pPr>
        <w:rPr>
          <w:lang w:eastAsia="en-GB"/>
        </w:rPr>
      </w:pPr>
      <w:r w:rsidRPr="00D5126A">
        <w:rPr>
          <w:sz w:val="18"/>
          <w:lang w:eastAsia="en-GB"/>
        </w:rPr>
        <w:t xml:space="preserve">Note: </w:t>
      </w:r>
      <w:r w:rsidR="00FA6A77" w:rsidRPr="00D5126A">
        <w:rPr>
          <w:sz w:val="18"/>
          <w:lang w:eastAsia="en-GB"/>
        </w:rPr>
        <w:t xml:space="preserve">A Tier 1 entity is defined as being either, publicly accountable or large (ie. expenses over $30m). Council exceeds the expenses threshold. </w:t>
      </w:r>
      <w:r w:rsidRPr="00D5126A">
        <w:rPr>
          <w:lang w:eastAsia="en-GB"/>
        </w:rPr>
        <w:br w:type="page"/>
      </w:r>
    </w:p>
    <w:p w:rsidR="00FA6A77" w:rsidRPr="00D5126A" w:rsidRDefault="00FA6A77" w:rsidP="00094394">
      <w:pPr>
        <w:pStyle w:val="Heading2"/>
        <w:rPr>
          <w:sz w:val="18"/>
          <w:lang w:eastAsia="en-GB"/>
        </w:rPr>
      </w:pPr>
      <w:bookmarkStart w:id="390" w:name="_Toc23758620"/>
      <w:bookmarkStart w:id="391" w:name="_Toc23848689"/>
      <w:r w:rsidRPr="00D5126A">
        <w:lastRenderedPageBreak/>
        <w:t>Council and Group Structure</w:t>
      </w:r>
      <w:bookmarkEnd w:id="390"/>
      <w:bookmarkEnd w:id="391"/>
    </w:p>
    <w:p w:rsidR="00094394" w:rsidRPr="00D5126A" w:rsidRDefault="00FA6A77" w:rsidP="00B430FF">
      <w:pPr>
        <w:pStyle w:val="Heading4"/>
      </w:pPr>
      <w:r w:rsidRPr="00D5126A">
        <w:t>Wellington City Council Reporting Entity (Council)</w:t>
      </w:r>
    </w:p>
    <w:p w:rsidR="00FA6A77" w:rsidRPr="00D5126A" w:rsidRDefault="0085686E" w:rsidP="00B430FF">
      <w:pPr>
        <w:pStyle w:val="Heading4"/>
      </w:pPr>
      <w:r w:rsidRPr="00D5126A">
        <w:rPr>
          <w:noProof/>
          <w:lang w:eastAsia="en-NZ"/>
        </w:rPr>
        <mc:AlternateContent>
          <mc:Choice Requires="wpg">
            <w:drawing>
              <wp:anchor distT="0" distB="0" distL="114300" distR="114300" simplePos="0" relativeHeight="251735040" behindDoc="0" locked="0" layoutInCell="1" allowOverlap="1" wp14:anchorId="589BBEA6" wp14:editId="69EDDB31">
                <wp:simplePos x="0" y="0"/>
                <wp:positionH relativeFrom="column">
                  <wp:posOffset>-238125</wp:posOffset>
                </wp:positionH>
                <wp:positionV relativeFrom="paragraph">
                  <wp:posOffset>2235835</wp:posOffset>
                </wp:positionV>
                <wp:extent cx="6696075" cy="4431665"/>
                <wp:effectExtent l="0" t="0" r="28575" b="26035"/>
                <wp:wrapSquare wrapText="bothSides"/>
                <wp:docPr id="293" name="Group 293"/>
                <wp:cNvGraphicFramePr/>
                <a:graphic xmlns:a="http://schemas.openxmlformats.org/drawingml/2006/main">
                  <a:graphicData uri="http://schemas.microsoft.com/office/word/2010/wordprocessingGroup">
                    <wpg:wgp>
                      <wpg:cNvGrpSpPr/>
                      <wpg:grpSpPr>
                        <a:xfrm>
                          <a:off x="0" y="0"/>
                          <a:ext cx="6696075" cy="4431665"/>
                          <a:chOff x="0" y="0"/>
                          <a:chExt cx="6696149" cy="4431665"/>
                        </a:xfrm>
                      </wpg:grpSpPr>
                      <wpg:grpSp>
                        <wpg:cNvPr id="288" name="Group 288"/>
                        <wpg:cNvGrpSpPr/>
                        <wpg:grpSpPr>
                          <a:xfrm>
                            <a:off x="244549" y="0"/>
                            <a:ext cx="6451600" cy="4431665"/>
                            <a:chOff x="210280" y="0"/>
                            <a:chExt cx="6379750" cy="4196080"/>
                          </a:xfrm>
                        </wpg:grpSpPr>
                        <wpg:grpSp>
                          <wpg:cNvPr id="59" name="Group 59"/>
                          <wpg:cNvGrpSpPr/>
                          <wpg:grpSpPr>
                            <a:xfrm>
                              <a:off x="210280" y="0"/>
                              <a:ext cx="6379750" cy="4196080"/>
                              <a:chOff x="210312" y="171437"/>
                              <a:chExt cx="6380710" cy="4196093"/>
                            </a:xfrm>
                          </wpg:grpSpPr>
                          <wpg:grpSp>
                            <wpg:cNvPr id="46" name="Group 46"/>
                            <wpg:cNvGrpSpPr/>
                            <wpg:grpSpPr>
                              <a:xfrm>
                                <a:off x="210312" y="171437"/>
                                <a:ext cx="6380710" cy="4196093"/>
                                <a:chOff x="210312" y="171450"/>
                                <a:chExt cx="6380710" cy="4196419"/>
                              </a:xfrm>
                            </wpg:grpSpPr>
                            <wps:wsp>
                              <wps:cNvPr id="313" name="AutoShape 5"/>
                              <wps:cNvSpPr>
                                <a:spLocks noChangeArrowheads="1"/>
                              </wps:cNvSpPr>
                              <wps:spPr bwMode="auto">
                                <a:xfrm>
                                  <a:off x="210312" y="171450"/>
                                  <a:ext cx="1061720" cy="638175"/>
                                </a:xfrm>
                                <a:prstGeom prst="roundRect">
                                  <a:avLst>
                                    <a:gd name="adj" fmla="val 16667"/>
                                  </a:avLst>
                                </a:prstGeom>
                                <a:solidFill>
                                  <a:srgbClr val="CCFFFF"/>
                                </a:solidFill>
                                <a:ln w="9525">
                                  <a:solidFill>
                                    <a:srgbClr val="000000"/>
                                  </a:solidFill>
                                  <a:round/>
                                  <a:headEnd/>
                                  <a:tailEnd/>
                                </a:ln>
                              </wps:spPr>
                              <wps:txbx>
                                <w:txbxContent>
                                  <w:p w:rsidR="005D6D1F" w:rsidRPr="00094394" w:rsidRDefault="005D6D1F" w:rsidP="00094394">
                                    <w:pPr>
                                      <w:spacing w:after="0"/>
                                      <w:jc w:val="center"/>
                                      <w:rPr>
                                        <w:sz w:val="16"/>
                                        <w:szCs w:val="16"/>
                                        <w:lang w:val="mi-NZ"/>
                                      </w:rPr>
                                    </w:pPr>
                                    <w:r>
                                      <w:rPr>
                                        <w:sz w:val="16"/>
                                        <w:szCs w:val="16"/>
                                        <w:lang w:val="mi-NZ"/>
                                      </w:rPr>
                                      <w:t>Council</w:t>
                                    </w:r>
                                  </w:p>
                                </w:txbxContent>
                              </wps:txbx>
                              <wps:bodyPr rot="0" vert="horz" wrap="square" lIns="91440" tIns="45720" rIns="91440" bIns="45720" anchor="ctr" anchorCtr="0" upright="1">
                                <a:noAutofit/>
                              </wps:bodyPr>
                            </wps:wsp>
                            <wps:wsp>
                              <wps:cNvPr id="314" name="AutoShape 6"/>
                              <wps:cNvSpPr>
                                <a:spLocks noChangeArrowheads="1"/>
                              </wps:cNvSpPr>
                              <wps:spPr bwMode="auto">
                                <a:xfrm>
                                  <a:off x="1569422" y="171450"/>
                                  <a:ext cx="1133475" cy="657225"/>
                                </a:xfrm>
                                <a:prstGeom prst="roundRect">
                                  <a:avLst>
                                    <a:gd name="adj" fmla="val 16667"/>
                                  </a:avLst>
                                </a:prstGeom>
                                <a:ln>
                                  <a:headEnd/>
                                  <a:tailEnd/>
                                </a:ln>
                              </wps:spPr>
                              <wps:style>
                                <a:lnRef idx="2">
                                  <a:schemeClr val="accent6"/>
                                </a:lnRef>
                                <a:fillRef idx="1">
                                  <a:schemeClr val="lt1"/>
                                </a:fillRef>
                                <a:effectRef idx="0">
                                  <a:schemeClr val="accent6"/>
                                </a:effectRef>
                                <a:fontRef idx="minor">
                                  <a:schemeClr val="dk1"/>
                                </a:fontRef>
                              </wps:style>
                              <wps:txbx>
                                <w:txbxContent>
                                  <w:p w:rsidR="005D6D1F" w:rsidRDefault="005D6D1F" w:rsidP="00094394">
                                    <w:pPr>
                                      <w:spacing w:after="0"/>
                                      <w:jc w:val="center"/>
                                      <w:rPr>
                                        <w:sz w:val="16"/>
                                        <w:szCs w:val="16"/>
                                      </w:rPr>
                                    </w:pPr>
                                    <w:r>
                                      <w:rPr>
                                        <w:sz w:val="16"/>
                                        <w:szCs w:val="16"/>
                                      </w:rPr>
                                      <w:t>Controlled Entities</w:t>
                                    </w:r>
                                  </w:p>
                                </w:txbxContent>
                              </wps:txbx>
                              <wps:bodyPr rot="0" vert="horz" wrap="square" lIns="91440" tIns="45720" rIns="91440" bIns="45720" anchor="ctr" anchorCtr="0" upright="1">
                                <a:noAutofit/>
                              </wps:bodyPr>
                            </wps:wsp>
                            <wps:wsp>
                              <wps:cNvPr id="315" name="AutoShape 7"/>
                              <wps:cNvSpPr>
                                <a:spLocks noChangeArrowheads="1"/>
                              </wps:cNvSpPr>
                              <wps:spPr bwMode="auto">
                                <a:xfrm>
                                  <a:off x="4448175" y="190500"/>
                                  <a:ext cx="1276765" cy="895350"/>
                                </a:xfrm>
                                <a:prstGeom prst="roundRect">
                                  <a:avLst>
                                    <a:gd name="adj" fmla="val 16667"/>
                                  </a:avLst>
                                </a:prstGeom>
                                <a:solidFill>
                                  <a:srgbClr val="FFFFFF"/>
                                </a:solidFill>
                                <a:ln w="9525">
                                  <a:solidFill>
                                    <a:srgbClr val="000000"/>
                                  </a:solidFill>
                                  <a:round/>
                                  <a:headEnd/>
                                  <a:tailEnd/>
                                </a:ln>
                              </wps:spPr>
                              <wps:txbx>
                                <w:txbxContent>
                                  <w:p w:rsidR="005D6D1F" w:rsidRDefault="005D6D1F" w:rsidP="00B017B4">
                                    <w:pPr>
                                      <w:spacing w:after="0"/>
                                      <w:jc w:val="center"/>
                                      <w:rPr>
                                        <w:sz w:val="16"/>
                                        <w:szCs w:val="16"/>
                                      </w:rPr>
                                    </w:pPr>
                                    <w:r>
                                      <w:rPr>
                                        <w:sz w:val="16"/>
                                        <w:szCs w:val="16"/>
                                      </w:rPr>
                                      <w:t>Council’s equity accounted interest in</w:t>
                                    </w:r>
                                  </w:p>
                                  <w:p w:rsidR="005D6D1F" w:rsidRDefault="005D6D1F" w:rsidP="00B017B4">
                                    <w:pPr>
                                      <w:spacing w:after="0"/>
                                      <w:jc w:val="center"/>
                                      <w:rPr>
                                        <w:sz w:val="16"/>
                                        <w:szCs w:val="16"/>
                                      </w:rPr>
                                    </w:pPr>
                                    <w:r>
                                      <w:rPr>
                                        <w:sz w:val="16"/>
                                        <w:szCs w:val="16"/>
                                      </w:rPr>
                                      <w:t>Associates and Jointly Controlled Entity</w:t>
                                    </w:r>
                                  </w:p>
                                </w:txbxContent>
                              </wps:txbx>
                              <wps:bodyPr rot="0" vert="horz" wrap="square" lIns="91440" tIns="45720" rIns="91440" bIns="45720" anchor="ctr" anchorCtr="0" upright="1">
                                <a:noAutofit/>
                              </wps:bodyPr>
                            </wps:wsp>
                            <wps:wsp>
                              <wps:cNvPr id="316" name="AutoShape 8"/>
                              <wps:cNvSpPr>
                                <a:spLocks noChangeArrowheads="1"/>
                              </wps:cNvSpPr>
                              <wps:spPr bwMode="auto">
                                <a:xfrm>
                                  <a:off x="348916" y="1905000"/>
                                  <a:ext cx="1412402" cy="607943"/>
                                </a:xfrm>
                                <a:prstGeom prst="roundRect">
                                  <a:avLst>
                                    <a:gd name="adj" fmla="val 16667"/>
                                  </a:avLst>
                                </a:prstGeom>
                                <a:ln>
                                  <a:headEnd/>
                                  <a:tailEnd/>
                                </a:ln>
                              </wps:spPr>
                              <wps:style>
                                <a:lnRef idx="2">
                                  <a:schemeClr val="accent6"/>
                                </a:lnRef>
                                <a:fillRef idx="1">
                                  <a:schemeClr val="lt1"/>
                                </a:fillRef>
                                <a:effectRef idx="0">
                                  <a:schemeClr val="accent6"/>
                                </a:effectRef>
                                <a:fontRef idx="minor">
                                  <a:schemeClr val="dk1"/>
                                </a:fontRef>
                              </wps:style>
                              <wps:txbx>
                                <w:txbxContent>
                                  <w:p w:rsidR="005D6D1F" w:rsidRDefault="005D6D1F" w:rsidP="00094394">
                                    <w:pPr>
                                      <w:spacing w:after="0"/>
                                      <w:jc w:val="center"/>
                                      <w:rPr>
                                        <w:sz w:val="16"/>
                                        <w:szCs w:val="16"/>
                                      </w:rPr>
                                    </w:pPr>
                                    <w:r>
                                      <w:rPr>
                                        <w:sz w:val="16"/>
                                        <w:szCs w:val="16"/>
                                      </w:rPr>
                                      <w:t>Wellington Cable Car Limited</w:t>
                                    </w:r>
                                  </w:p>
                                  <w:p w:rsidR="005D6D1F" w:rsidRDefault="005D6D1F" w:rsidP="000E05ED">
                                    <w:pPr>
                                      <w:spacing w:after="0"/>
                                      <w:jc w:val="center"/>
                                      <w:rPr>
                                        <w:sz w:val="16"/>
                                        <w:szCs w:val="16"/>
                                      </w:rPr>
                                    </w:pPr>
                                    <w:r>
                                      <w:rPr>
                                        <w:sz w:val="16"/>
                                        <w:szCs w:val="16"/>
                                      </w:rPr>
                                      <w:t>100%</w:t>
                                    </w:r>
                                  </w:p>
                                </w:txbxContent>
                              </wps:txbx>
                              <wps:bodyPr rot="0" vert="horz" wrap="square" lIns="91440" tIns="45720" rIns="91440" bIns="45720" anchor="ctr" anchorCtr="0" upright="1">
                                <a:noAutofit/>
                              </wps:bodyPr>
                            </wps:wsp>
                            <wps:wsp>
                              <wps:cNvPr id="317" name="AutoShape 9"/>
                              <wps:cNvSpPr>
                                <a:spLocks noChangeArrowheads="1"/>
                              </wps:cNvSpPr>
                              <wps:spPr bwMode="auto">
                                <a:xfrm>
                                  <a:off x="369951" y="2581275"/>
                                  <a:ext cx="1401306" cy="988695"/>
                                </a:xfrm>
                                <a:custGeom>
                                  <a:avLst/>
                                  <a:gdLst>
                                    <a:gd name="connsiteX0" fmla="*/ 0 w 1200150"/>
                                    <a:gd name="connsiteY0" fmla="*/ 169866 h 1019175"/>
                                    <a:gd name="connsiteX1" fmla="*/ 169866 w 1200150"/>
                                    <a:gd name="connsiteY1" fmla="*/ 0 h 1019175"/>
                                    <a:gd name="connsiteX2" fmla="*/ 1030284 w 1200150"/>
                                    <a:gd name="connsiteY2" fmla="*/ 0 h 1019175"/>
                                    <a:gd name="connsiteX3" fmla="*/ 1200150 w 1200150"/>
                                    <a:gd name="connsiteY3" fmla="*/ 169866 h 1019175"/>
                                    <a:gd name="connsiteX4" fmla="*/ 1200150 w 1200150"/>
                                    <a:gd name="connsiteY4" fmla="*/ 849309 h 1019175"/>
                                    <a:gd name="connsiteX5" fmla="*/ 1030284 w 1200150"/>
                                    <a:gd name="connsiteY5" fmla="*/ 1019175 h 1019175"/>
                                    <a:gd name="connsiteX6" fmla="*/ 169866 w 1200150"/>
                                    <a:gd name="connsiteY6" fmla="*/ 1019175 h 1019175"/>
                                    <a:gd name="connsiteX7" fmla="*/ 0 w 1200150"/>
                                    <a:gd name="connsiteY7" fmla="*/ 849309 h 1019175"/>
                                    <a:gd name="connsiteX8" fmla="*/ 0 w 1200150"/>
                                    <a:gd name="connsiteY8" fmla="*/ 169866 h 1019175"/>
                                    <a:gd name="connsiteX0" fmla="*/ 0 w 1200150"/>
                                    <a:gd name="connsiteY0" fmla="*/ 169866 h 1020091"/>
                                    <a:gd name="connsiteX1" fmla="*/ 169866 w 1200150"/>
                                    <a:gd name="connsiteY1" fmla="*/ 0 h 1020091"/>
                                    <a:gd name="connsiteX2" fmla="*/ 1030284 w 1200150"/>
                                    <a:gd name="connsiteY2" fmla="*/ 0 h 1020091"/>
                                    <a:gd name="connsiteX3" fmla="*/ 1200150 w 1200150"/>
                                    <a:gd name="connsiteY3" fmla="*/ 169866 h 1020091"/>
                                    <a:gd name="connsiteX4" fmla="*/ 1200150 w 1200150"/>
                                    <a:gd name="connsiteY4" fmla="*/ 849309 h 1020091"/>
                                    <a:gd name="connsiteX5" fmla="*/ 1030284 w 1200150"/>
                                    <a:gd name="connsiteY5" fmla="*/ 1019175 h 1020091"/>
                                    <a:gd name="connsiteX6" fmla="*/ 597535 w 1200150"/>
                                    <a:gd name="connsiteY6" fmla="*/ 1019175 h 1020091"/>
                                    <a:gd name="connsiteX7" fmla="*/ 169866 w 1200150"/>
                                    <a:gd name="connsiteY7" fmla="*/ 1019175 h 1020091"/>
                                    <a:gd name="connsiteX8" fmla="*/ 0 w 1200150"/>
                                    <a:gd name="connsiteY8" fmla="*/ 849309 h 1020091"/>
                                    <a:gd name="connsiteX9" fmla="*/ 0 w 1200150"/>
                                    <a:gd name="connsiteY9" fmla="*/ 169866 h 1020091"/>
                                    <a:gd name="connsiteX0" fmla="*/ 0 w 1200150"/>
                                    <a:gd name="connsiteY0" fmla="*/ 169866 h 1020203"/>
                                    <a:gd name="connsiteX1" fmla="*/ 169866 w 1200150"/>
                                    <a:gd name="connsiteY1" fmla="*/ 0 h 1020203"/>
                                    <a:gd name="connsiteX2" fmla="*/ 1030284 w 1200150"/>
                                    <a:gd name="connsiteY2" fmla="*/ 0 h 1020203"/>
                                    <a:gd name="connsiteX3" fmla="*/ 1200150 w 1200150"/>
                                    <a:gd name="connsiteY3" fmla="*/ 169866 h 1020203"/>
                                    <a:gd name="connsiteX4" fmla="*/ 1200150 w 1200150"/>
                                    <a:gd name="connsiteY4" fmla="*/ 849309 h 1020203"/>
                                    <a:gd name="connsiteX5" fmla="*/ 1030284 w 1200150"/>
                                    <a:gd name="connsiteY5" fmla="*/ 1019175 h 1020203"/>
                                    <a:gd name="connsiteX6" fmla="*/ 597535 w 1200150"/>
                                    <a:gd name="connsiteY6" fmla="*/ 1019175 h 1020203"/>
                                    <a:gd name="connsiteX7" fmla="*/ 169866 w 1200150"/>
                                    <a:gd name="connsiteY7" fmla="*/ 1019175 h 1020203"/>
                                    <a:gd name="connsiteX8" fmla="*/ 0 w 1200150"/>
                                    <a:gd name="connsiteY8" fmla="*/ 849309 h 1020203"/>
                                    <a:gd name="connsiteX9" fmla="*/ 0 w 1200150"/>
                                    <a:gd name="connsiteY9" fmla="*/ 169866 h 102020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200150" h="1020203">
                                      <a:moveTo>
                                        <a:pt x="0" y="169866"/>
                                      </a:moveTo>
                                      <a:cubicBezTo>
                                        <a:pt x="0" y="76052"/>
                                        <a:pt x="76052" y="0"/>
                                        <a:pt x="169866" y="0"/>
                                      </a:cubicBezTo>
                                      <a:lnTo>
                                        <a:pt x="1030284" y="0"/>
                                      </a:lnTo>
                                      <a:cubicBezTo>
                                        <a:pt x="1124098" y="0"/>
                                        <a:pt x="1200150" y="76052"/>
                                        <a:pt x="1200150" y="169866"/>
                                      </a:cubicBezTo>
                                      <a:lnTo>
                                        <a:pt x="1200150" y="849309"/>
                                      </a:lnTo>
                                      <a:cubicBezTo>
                                        <a:pt x="1200150" y="943123"/>
                                        <a:pt x="1124098" y="1019175"/>
                                        <a:pt x="1030284" y="1019175"/>
                                      </a:cubicBezTo>
                                      <a:cubicBezTo>
                                        <a:pt x="874181" y="1016000"/>
                                        <a:pt x="753638" y="1022350"/>
                                        <a:pt x="597535" y="1019175"/>
                                      </a:cubicBezTo>
                                      <a:cubicBezTo>
                                        <a:pt x="581132" y="1022632"/>
                                        <a:pt x="300569" y="1016000"/>
                                        <a:pt x="169866" y="1019175"/>
                                      </a:cubicBezTo>
                                      <a:cubicBezTo>
                                        <a:pt x="76052" y="1019175"/>
                                        <a:pt x="0" y="943123"/>
                                        <a:pt x="0" y="849309"/>
                                      </a:cubicBezTo>
                                      <a:lnTo>
                                        <a:pt x="0" y="169866"/>
                                      </a:lnTo>
                                      <a:close/>
                                    </a:path>
                                  </a:pathLst>
                                </a:custGeom>
                                <a:ln>
                                  <a:headEnd/>
                                  <a:tailEnd/>
                                </a:ln>
                              </wps:spPr>
                              <wps:style>
                                <a:lnRef idx="2">
                                  <a:schemeClr val="accent6"/>
                                </a:lnRef>
                                <a:fillRef idx="1">
                                  <a:schemeClr val="lt1"/>
                                </a:fillRef>
                                <a:effectRef idx="0">
                                  <a:schemeClr val="accent6"/>
                                </a:effectRef>
                                <a:fontRef idx="minor">
                                  <a:schemeClr val="dk1"/>
                                </a:fontRef>
                              </wps:style>
                              <wps:txbx>
                                <w:txbxContent>
                                  <w:p w:rsidR="005D6D1F" w:rsidRDefault="005D6D1F" w:rsidP="000E05ED">
                                    <w:pPr>
                                      <w:spacing w:after="0"/>
                                      <w:jc w:val="center"/>
                                      <w:rPr>
                                        <w:sz w:val="16"/>
                                        <w:szCs w:val="16"/>
                                      </w:rPr>
                                    </w:pPr>
                                    <w:r>
                                      <w:rPr>
                                        <w:sz w:val="16"/>
                                        <w:szCs w:val="16"/>
                                      </w:rPr>
                                      <w:t xml:space="preserve">Wellington Regional Economic Development Agency Limited </w:t>
                                    </w:r>
                                    <w:r>
                                      <w:rPr>
                                        <w:sz w:val="16"/>
                                        <w:szCs w:val="16"/>
                                      </w:rPr>
                                      <w:br/>
                                      <w:t xml:space="preserve">(Trading as WellingtonNZ) </w:t>
                                    </w:r>
                                    <w:r>
                                      <w:rPr>
                                        <w:sz w:val="16"/>
                                        <w:szCs w:val="16"/>
                                      </w:rPr>
                                      <w:br/>
                                      <w:t>80%</w:t>
                                    </w:r>
                                  </w:p>
                                </w:txbxContent>
                              </wps:txbx>
                              <wps:bodyPr rot="0" vert="horz" wrap="square" lIns="91440" tIns="45720" rIns="91440" bIns="45720" anchor="ctr" anchorCtr="0" upright="1">
                                <a:noAutofit/>
                              </wps:bodyPr>
                            </wps:wsp>
                            <wps:wsp>
                              <wps:cNvPr id="318" name="AutoShape 11"/>
                              <wps:cNvSpPr>
                                <a:spLocks noChangeArrowheads="1"/>
                              </wps:cNvSpPr>
                              <wps:spPr bwMode="auto">
                                <a:xfrm>
                                  <a:off x="2101295" y="2591214"/>
                                  <a:ext cx="1400175" cy="988695"/>
                                </a:xfrm>
                                <a:prstGeom prst="roundRect">
                                  <a:avLst>
                                    <a:gd name="adj" fmla="val 16667"/>
                                  </a:avLst>
                                </a:prstGeom>
                                <a:ln>
                                  <a:headEnd/>
                                  <a:tailEnd/>
                                </a:ln>
                              </wps:spPr>
                              <wps:style>
                                <a:lnRef idx="2">
                                  <a:schemeClr val="accent6"/>
                                </a:lnRef>
                                <a:fillRef idx="1">
                                  <a:schemeClr val="lt1"/>
                                </a:fillRef>
                                <a:effectRef idx="0">
                                  <a:schemeClr val="accent6"/>
                                </a:effectRef>
                                <a:fontRef idx="minor">
                                  <a:schemeClr val="dk1"/>
                                </a:fontRef>
                              </wps:style>
                              <wps:txbx>
                                <w:txbxContent>
                                  <w:p w:rsidR="005D6D1F" w:rsidRDefault="005D6D1F" w:rsidP="000E05ED">
                                    <w:pPr>
                                      <w:spacing w:after="0"/>
                                      <w:jc w:val="center"/>
                                      <w:rPr>
                                        <w:sz w:val="16"/>
                                        <w:szCs w:val="16"/>
                                      </w:rPr>
                                    </w:pPr>
                                    <w:r>
                                      <w:rPr>
                                        <w:sz w:val="16"/>
                                        <w:szCs w:val="16"/>
                                      </w:rPr>
                                      <w:t xml:space="preserve">Wellington Museums Trust </w:t>
                                    </w:r>
                                    <w:r>
                                      <w:rPr>
                                        <w:sz w:val="16"/>
                                        <w:szCs w:val="16"/>
                                      </w:rPr>
                                      <w:br/>
                                      <w:t>(Trading as Experience Wellington</w:t>
                                    </w:r>
                                    <w:proofErr w:type="gramStart"/>
                                    <w:r>
                                      <w:rPr>
                                        <w:sz w:val="16"/>
                                        <w:szCs w:val="16"/>
                                      </w:rPr>
                                      <w:t>)</w:t>
                                    </w:r>
                                    <w:proofErr w:type="gramEnd"/>
                                    <w:r>
                                      <w:rPr>
                                        <w:sz w:val="16"/>
                                        <w:szCs w:val="16"/>
                                      </w:rPr>
                                      <w:br/>
                                      <w:t>100%</w:t>
                                    </w:r>
                                  </w:p>
                                </w:txbxContent>
                              </wps:txbx>
                              <wps:bodyPr rot="0" vert="horz" wrap="square" lIns="91440" tIns="45720" rIns="91440" bIns="45720" anchor="ctr" anchorCtr="0" upright="1">
                                <a:noAutofit/>
                              </wps:bodyPr>
                            </wps:wsp>
                            <wps:wsp>
                              <wps:cNvPr id="319" name="AutoShape 12"/>
                              <wps:cNvSpPr>
                                <a:spLocks noChangeArrowheads="1"/>
                              </wps:cNvSpPr>
                              <wps:spPr bwMode="auto">
                                <a:xfrm>
                                  <a:off x="2089411" y="1894647"/>
                                  <a:ext cx="1412512" cy="618296"/>
                                </a:xfrm>
                                <a:prstGeom prst="roundRect">
                                  <a:avLst>
                                    <a:gd name="adj" fmla="val 16667"/>
                                  </a:avLst>
                                </a:prstGeom>
                                <a:ln>
                                  <a:headEnd/>
                                  <a:tailEnd/>
                                </a:ln>
                              </wps:spPr>
                              <wps:style>
                                <a:lnRef idx="2">
                                  <a:schemeClr val="accent6"/>
                                </a:lnRef>
                                <a:fillRef idx="1">
                                  <a:schemeClr val="lt1"/>
                                </a:fillRef>
                                <a:effectRef idx="0">
                                  <a:schemeClr val="accent6"/>
                                </a:effectRef>
                                <a:fontRef idx="minor">
                                  <a:schemeClr val="dk1"/>
                                </a:fontRef>
                              </wps:style>
                              <wps:txbx>
                                <w:txbxContent>
                                  <w:p w:rsidR="005D6D1F" w:rsidRPr="00094394" w:rsidRDefault="005D6D1F" w:rsidP="00094394">
                                    <w:pPr>
                                      <w:spacing w:after="0"/>
                                      <w:jc w:val="center"/>
                                      <w:rPr>
                                        <w:sz w:val="16"/>
                                        <w:szCs w:val="16"/>
                                        <w:lang w:val="mi-NZ"/>
                                      </w:rPr>
                                    </w:pPr>
                                    <w:r>
                                      <w:rPr>
                                        <w:sz w:val="16"/>
                                        <w:szCs w:val="16"/>
                                        <w:lang w:val="mi-NZ"/>
                                      </w:rPr>
                                      <w:t>Wellington Waterfront Limited 100%</w:t>
                                    </w:r>
                                  </w:p>
                                </w:txbxContent>
                              </wps:txbx>
                              <wps:bodyPr rot="0" vert="horz" wrap="square" lIns="91440" tIns="45720" rIns="91440" bIns="45720" anchor="ctr" anchorCtr="0" upright="1">
                                <a:noAutofit/>
                              </wps:bodyPr>
                            </wps:wsp>
                            <wps:wsp>
                              <wps:cNvPr id="320" name="AutoShape 13"/>
                              <wps:cNvSpPr>
                                <a:spLocks noChangeArrowheads="1"/>
                              </wps:cNvSpPr>
                              <wps:spPr bwMode="auto">
                                <a:xfrm>
                                  <a:off x="2062650" y="1136788"/>
                                  <a:ext cx="1412402" cy="682487"/>
                                </a:xfrm>
                                <a:prstGeom prst="roundRect">
                                  <a:avLst>
                                    <a:gd name="adj" fmla="val 16667"/>
                                  </a:avLst>
                                </a:prstGeom>
                                <a:ln>
                                  <a:headEnd/>
                                  <a:tailEnd/>
                                </a:ln>
                                <a:extLst/>
                              </wps:spPr>
                              <wps:style>
                                <a:lnRef idx="2">
                                  <a:schemeClr val="accent6"/>
                                </a:lnRef>
                                <a:fillRef idx="1">
                                  <a:schemeClr val="lt1"/>
                                </a:fillRef>
                                <a:effectRef idx="0">
                                  <a:schemeClr val="accent6"/>
                                </a:effectRef>
                                <a:fontRef idx="minor">
                                  <a:schemeClr val="dk1"/>
                                </a:fontRef>
                              </wps:style>
                              <wps:txbx>
                                <w:txbxContent>
                                  <w:p w:rsidR="005D6D1F" w:rsidRDefault="005D6D1F" w:rsidP="00094394">
                                    <w:pPr>
                                      <w:spacing w:after="0"/>
                                      <w:jc w:val="center"/>
                                      <w:rPr>
                                        <w:sz w:val="16"/>
                                        <w:szCs w:val="16"/>
                                      </w:rPr>
                                    </w:pPr>
                                    <w:r>
                                      <w:rPr>
                                        <w:sz w:val="16"/>
                                        <w:szCs w:val="16"/>
                                      </w:rPr>
                                      <w:t>Wellington Zoo Trust</w:t>
                                    </w:r>
                                  </w:p>
                                  <w:p w:rsidR="005D6D1F" w:rsidRDefault="005D6D1F" w:rsidP="00094394">
                                    <w:pPr>
                                      <w:spacing w:after="0"/>
                                      <w:jc w:val="center"/>
                                      <w:rPr>
                                        <w:sz w:val="16"/>
                                        <w:szCs w:val="16"/>
                                      </w:rPr>
                                    </w:pPr>
                                    <w:r>
                                      <w:rPr>
                                        <w:sz w:val="16"/>
                                        <w:szCs w:val="16"/>
                                      </w:rPr>
                                      <w:t>100%</w:t>
                                    </w:r>
                                  </w:p>
                                </w:txbxContent>
                              </wps:txbx>
                              <wps:bodyPr rot="0" vert="horz" wrap="square" lIns="91440" tIns="45720" rIns="91440" bIns="45720" anchor="ctr" anchorCtr="0" upright="1">
                                <a:noAutofit/>
                              </wps:bodyPr>
                            </wps:wsp>
                            <wps:wsp>
                              <wps:cNvPr id="321" name="AutoShape 14"/>
                              <wps:cNvSpPr>
                                <a:spLocks noChangeArrowheads="1"/>
                              </wps:cNvSpPr>
                              <wps:spPr bwMode="auto">
                                <a:xfrm>
                                  <a:off x="3606157" y="1143412"/>
                                  <a:ext cx="1412402" cy="527776"/>
                                </a:xfrm>
                                <a:prstGeom prst="roundRect">
                                  <a:avLst>
                                    <a:gd name="adj" fmla="val 16667"/>
                                  </a:avLst>
                                </a:prstGeom>
                                <a:solidFill>
                                  <a:srgbClr val="FFFFFF"/>
                                </a:solidFill>
                                <a:ln w="9525">
                                  <a:solidFill>
                                    <a:srgbClr val="000000"/>
                                  </a:solidFill>
                                  <a:round/>
                                  <a:headEnd/>
                                  <a:tailEnd/>
                                </a:ln>
                              </wps:spPr>
                              <wps:txbx>
                                <w:txbxContent>
                                  <w:p w:rsidR="005D6D1F" w:rsidRDefault="005D6D1F" w:rsidP="00B017B4">
                                    <w:pPr>
                                      <w:spacing w:after="0"/>
                                      <w:jc w:val="center"/>
                                      <w:rPr>
                                        <w:sz w:val="16"/>
                                        <w:szCs w:val="16"/>
                                      </w:rPr>
                                    </w:pPr>
                                    <w:r>
                                      <w:rPr>
                                        <w:sz w:val="16"/>
                                        <w:szCs w:val="16"/>
                                      </w:rPr>
                                      <w:t>Chaffers Marina Holdings Limited</w:t>
                                    </w:r>
                                  </w:p>
                                  <w:p w:rsidR="005D6D1F" w:rsidRDefault="005D6D1F" w:rsidP="00B017B4">
                                    <w:pPr>
                                      <w:spacing w:after="0"/>
                                      <w:jc w:val="center"/>
                                      <w:rPr>
                                        <w:sz w:val="16"/>
                                        <w:szCs w:val="16"/>
                                      </w:rPr>
                                    </w:pPr>
                                    <w:r>
                                      <w:rPr>
                                        <w:sz w:val="16"/>
                                        <w:szCs w:val="16"/>
                                      </w:rPr>
                                      <w:t>10.52%</w:t>
                                    </w:r>
                                  </w:p>
                                  <w:p w:rsidR="005D6D1F" w:rsidRDefault="005D6D1F" w:rsidP="00094394">
                                    <w:pPr>
                                      <w:jc w:val="center"/>
                                      <w:rPr>
                                        <w:sz w:val="16"/>
                                        <w:szCs w:val="16"/>
                                      </w:rPr>
                                    </w:pPr>
                                  </w:p>
                                </w:txbxContent>
                              </wps:txbx>
                              <wps:bodyPr rot="0" vert="horz" wrap="square" lIns="91440" tIns="45720" rIns="91440" bIns="45720" anchor="ctr" anchorCtr="0" upright="1">
                                <a:noAutofit/>
                              </wps:bodyPr>
                            </wps:wsp>
                            <wps:wsp>
                              <wps:cNvPr id="322" name="AutoShape 15"/>
                              <wps:cNvSpPr>
                                <a:spLocks noChangeArrowheads="1"/>
                              </wps:cNvSpPr>
                              <wps:spPr bwMode="auto">
                                <a:xfrm>
                                  <a:off x="5181600" y="1136442"/>
                                  <a:ext cx="1409422" cy="53474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C0C0C0"/>
                                      </a:solidFill>
                                    </a14:hiddenFill>
                                  </a:ext>
                                </a:extLst>
                              </wps:spPr>
                              <wps:txbx>
                                <w:txbxContent>
                                  <w:p w:rsidR="005D6D1F" w:rsidRDefault="005D6D1F" w:rsidP="00B017B4">
                                    <w:pPr>
                                      <w:spacing w:after="0"/>
                                      <w:jc w:val="center"/>
                                      <w:rPr>
                                        <w:sz w:val="16"/>
                                        <w:szCs w:val="16"/>
                                      </w:rPr>
                                    </w:pPr>
                                    <w:r>
                                      <w:rPr>
                                        <w:sz w:val="16"/>
                                        <w:szCs w:val="16"/>
                                      </w:rPr>
                                      <w:t>Wellington International Airport Limited</w:t>
                                    </w:r>
                                  </w:p>
                                  <w:p w:rsidR="005D6D1F" w:rsidRDefault="005D6D1F" w:rsidP="00094394">
                                    <w:pPr>
                                      <w:jc w:val="center"/>
                                      <w:rPr>
                                        <w:sz w:val="16"/>
                                        <w:szCs w:val="16"/>
                                      </w:rPr>
                                    </w:pPr>
                                    <w:r>
                                      <w:rPr>
                                        <w:sz w:val="16"/>
                                        <w:szCs w:val="16"/>
                                      </w:rPr>
                                      <w:t>34%</w:t>
                                    </w:r>
                                  </w:p>
                                  <w:p w:rsidR="005D6D1F" w:rsidRDefault="005D6D1F" w:rsidP="00094394">
                                    <w:pPr>
                                      <w:rPr>
                                        <w:szCs w:val="16"/>
                                      </w:rPr>
                                    </w:pPr>
                                  </w:p>
                                </w:txbxContent>
                              </wps:txbx>
                              <wps:bodyPr rot="0" vert="horz" wrap="square" lIns="91440" tIns="45720" rIns="91440" bIns="45720" anchor="ctr" anchorCtr="0" upright="1">
                                <a:noAutofit/>
                              </wps:bodyPr>
                            </wps:wsp>
                            <wps:wsp>
                              <wps:cNvPr id="323" name="AutoShape 19"/>
                              <wps:cNvSpPr>
                                <a:spLocks noChangeArrowheads="1"/>
                              </wps:cNvSpPr>
                              <wps:spPr bwMode="auto">
                                <a:xfrm>
                                  <a:off x="3606157" y="1828363"/>
                                  <a:ext cx="1412402" cy="466439"/>
                                </a:xfrm>
                                <a:prstGeom prst="roundRect">
                                  <a:avLst>
                                    <a:gd name="adj" fmla="val 16667"/>
                                  </a:avLst>
                                </a:prstGeom>
                                <a:solidFill>
                                  <a:srgbClr val="FFFFFF"/>
                                </a:solidFill>
                                <a:ln w="9525">
                                  <a:solidFill>
                                    <a:srgbClr val="000000"/>
                                  </a:solidFill>
                                  <a:round/>
                                  <a:headEnd/>
                                  <a:tailEnd/>
                                </a:ln>
                              </wps:spPr>
                              <wps:txbx>
                                <w:txbxContent>
                                  <w:p w:rsidR="005D6D1F" w:rsidRDefault="005D6D1F" w:rsidP="00B017B4">
                                    <w:pPr>
                                      <w:spacing w:after="0"/>
                                      <w:jc w:val="center"/>
                                      <w:rPr>
                                        <w:sz w:val="16"/>
                                        <w:szCs w:val="16"/>
                                      </w:rPr>
                                    </w:pPr>
                                    <w:r>
                                      <w:rPr>
                                        <w:sz w:val="16"/>
                                        <w:szCs w:val="16"/>
                                      </w:rPr>
                                      <w:t>Chaffers Marina Limited</w:t>
                                    </w:r>
                                  </w:p>
                                  <w:p w:rsidR="005D6D1F" w:rsidRDefault="005D6D1F" w:rsidP="00B017B4">
                                    <w:pPr>
                                      <w:spacing w:after="0"/>
                                      <w:jc w:val="center"/>
                                      <w:rPr>
                                        <w:sz w:val="16"/>
                                        <w:szCs w:val="16"/>
                                      </w:rPr>
                                    </w:pPr>
                                    <w:r>
                                      <w:rPr>
                                        <w:sz w:val="16"/>
                                        <w:szCs w:val="16"/>
                                      </w:rPr>
                                      <w:t>10.52%</w:t>
                                    </w:r>
                                  </w:p>
                                </w:txbxContent>
                              </wps:txbx>
                              <wps:bodyPr rot="0" vert="horz" wrap="square" lIns="91440" tIns="45720" rIns="91440" bIns="45720" anchor="ctr" anchorCtr="0" upright="1">
                                <a:noAutofit/>
                              </wps:bodyPr>
                            </wps:wsp>
                            <wps:wsp>
                              <wps:cNvPr id="324" name="AutoShape 51"/>
                              <wps:cNvSpPr>
                                <a:spLocks noChangeArrowheads="1"/>
                              </wps:cNvSpPr>
                              <wps:spPr bwMode="auto">
                                <a:xfrm>
                                  <a:off x="347870" y="1066800"/>
                                  <a:ext cx="1414255" cy="752475"/>
                                </a:xfrm>
                                <a:prstGeom prst="roundRect">
                                  <a:avLst>
                                    <a:gd name="adj" fmla="val 16667"/>
                                  </a:avLst>
                                </a:prstGeom>
                                <a:ln>
                                  <a:headEnd/>
                                  <a:tailEnd/>
                                </a:ln>
                              </wps:spPr>
                              <wps:style>
                                <a:lnRef idx="2">
                                  <a:schemeClr val="accent6"/>
                                </a:lnRef>
                                <a:fillRef idx="1">
                                  <a:schemeClr val="lt1"/>
                                </a:fillRef>
                                <a:effectRef idx="0">
                                  <a:schemeClr val="accent6"/>
                                </a:effectRef>
                                <a:fontRef idx="minor">
                                  <a:schemeClr val="dk1"/>
                                </a:fontRef>
                              </wps:style>
                              <wps:txbx>
                                <w:txbxContent>
                                  <w:p w:rsidR="005D6D1F" w:rsidRDefault="005D6D1F" w:rsidP="00094394">
                                    <w:pPr>
                                      <w:spacing w:after="0" w:line="240" w:lineRule="auto"/>
                                      <w:jc w:val="center"/>
                                      <w:rPr>
                                        <w:sz w:val="16"/>
                                        <w:szCs w:val="16"/>
                                      </w:rPr>
                                    </w:pPr>
                                    <w:r>
                                      <w:rPr>
                                        <w:sz w:val="16"/>
                                        <w:szCs w:val="16"/>
                                      </w:rPr>
                                      <w:t xml:space="preserve">Karori Sanctuary Trust </w:t>
                                    </w:r>
                                  </w:p>
                                  <w:p w:rsidR="005D6D1F" w:rsidRDefault="005D6D1F" w:rsidP="00094394">
                                    <w:pPr>
                                      <w:spacing w:after="0" w:line="240" w:lineRule="auto"/>
                                      <w:jc w:val="center"/>
                                      <w:rPr>
                                        <w:sz w:val="16"/>
                                        <w:szCs w:val="16"/>
                                      </w:rPr>
                                    </w:pPr>
                                    <w:r>
                                      <w:rPr>
                                        <w:sz w:val="16"/>
                                        <w:szCs w:val="16"/>
                                      </w:rPr>
                                      <w:t>(Trading as Zealandia)</w:t>
                                    </w:r>
                                  </w:p>
                                  <w:p w:rsidR="005D6D1F" w:rsidRDefault="005D6D1F" w:rsidP="00094394">
                                    <w:pPr>
                                      <w:spacing w:after="0" w:line="240" w:lineRule="auto"/>
                                      <w:jc w:val="center"/>
                                      <w:rPr>
                                        <w:sz w:val="16"/>
                                        <w:szCs w:val="16"/>
                                      </w:rPr>
                                    </w:pPr>
                                    <w:r>
                                      <w:rPr>
                                        <w:sz w:val="16"/>
                                        <w:szCs w:val="16"/>
                                      </w:rPr>
                                      <w:t>100%</w:t>
                                    </w:r>
                                  </w:p>
                                </w:txbxContent>
                              </wps:txbx>
                              <wps:bodyPr rot="0" vert="horz" wrap="square" lIns="91440" tIns="45720" rIns="91440" bIns="45720" anchor="ctr" anchorCtr="0" upright="1">
                                <a:noAutofit/>
                              </wps:bodyPr>
                            </wps:wsp>
                            <wps:wsp>
                              <wps:cNvPr id="325" name="AutoShape 52"/>
                              <wps:cNvSpPr>
                                <a:spLocks noChangeArrowheads="1"/>
                              </wps:cNvSpPr>
                              <wps:spPr bwMode="auto">
                                <a:xfrm>
                                  <a:off x="5181600" y="1819275"/>
                                  <a:ext cx="1409422" cy="466439"/>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C0C0C0"/>
                                      </a:solidFill>
                                    </a14:hiddenFill>
                                  </a:ext>
                                </a:extLst>
                              </wps:spPr>
                              <wps:txbx>
                                <w:txbxContent>
                                  <w:p w:rsidR="005D6D1F" w:rsidRDefault="005D6D1F" w:rsidP="00B017B4">
                                    <w:pPr>
                                      <w:spacing w:after="0"/>
                                      <w:jc w:val="center"/>
                                      <w:rPr>
                                        <w:sz w:val="16"/>
                                        <w:szCs w:val="16"/>
                                      </w:rPr>
                                    </w:pPr>
                                    <w:r>
                                      <w:rPr>
                                        <w:sz w:val="16"/>
                                        <w:szCs w:val="16"/>
                                      </w:rPr>
                                      <w:t>Wellington Water Limited</w:t>
                                    </w:r>
                                  </w:p>
                                  <w:p w:rsidR="005D6D1F" w:rsidRDefault="005D6D1F" w:rsidP="00B017B4">
                                    <w:pPr>
                                      <w:spacing w:after="0"/>
                                      <w:jc w:val="center"/>
                                      <w:rPr>
                                        <w:sz w:val="16"/>
                                        <w:szCs w:val="16"/>
                                      </w:rPr>
                                    </w:pPr>
                                    <w:r>
                                      <w:rPr>
                                        <w:sz w:val="16"/>
                                        <w:szCs w:val="16"/>
                                      </w:rPr>
                                      <w:t>42.11%</w:t>
                                    </w:r>
                                  </w:p>
                                  <w:p w:rsidR="005D6D1F" w:rsidRDefault="005D6D1F" w:rsidP="00094394">
                                    <w:pPr>
                                      <w:rPr>
                                        <w:szCs w:val="16"/>
                                      </w:rPr>
                                    </w:pPr>
                                  </w:p>
                                </w:txbxContent>
                              </wps:txbx>
                              <wps:bodyPr rot="0" vert="horz" wrap="square" lIns="91440" tIns="45720" rIns="91440" bIns="45720" anchor="ctr" anchorCtr="0" upright="1">
                                <a:noAutofit/>
                              </wps:bodyPr>
                            </wps:wsp>
                            <wps:wsp>
                              <wps:cNvPr id="326" name="AutoShape 55"/>
                              <wps:cNvSpPr>
                                <a:spLocks noChangeArrowheads="1"/>
                              </wps:cNvSpPr>
                              <wps:spPr bwMode="auto">
                                <a:xfrm>
                                  <a:off x="755374" y="3691594"/>
                                  <a:ext cx="797201" cy="676275"/>
                                </a:xfrm>
                                <a:prstGeom prst="roundRect">
                                  <a:avLst>
                                    <a:gd name="adj" fmla="val 16667"/>
                                  </a:avLst>
                                </a:prstGeom>
                                <a:ln>
                                  <a:headEnd/>
                                  <a:tailEnd/>
                                </a:ln>
                              </wps:spPr>
                              <wps:style>
                                <a:lnRef idx="2">
                                  <a:schemeClr val="accent6"/>
                                </a:lnRef>
                                <a:fillRef idx="1">
                                  <a:schemeClr val="lt1"/>
                                </a:fillRef>
                                <a:effectRef idx="0">
                                  <a:schemeClr val="accent6"/>
                                </a:effectRef>
                                <a:fontRef idx="minor">
                                  <a:schemeClr val="dk1"/>
                                </a:fontRef>
                              </wps:style>
                              <wps:txbx>
                                <w:txbxContent>
                                  <w:p w:rsidR="005D6D1F" w:rsidRDefault="005D6D1F" w:rsidP="00B017B4">
                                    <w:pPr>
                                      <w:spacing w:after="0"/>
                                      <w:jc w:val="center"/>
                                      <w:rPr>
                                        <w:sz w:val="16"/>
                                        <w:szCs w:val="16"/>
                                      </w:rPr>
                                    </w:pPr>
                                    <w:r>
                                      <w:rPr>
                                        <w:sz w:val="16"/>
                                        <w:szCs w:val="16"/>
                                      </w:rPr>
                                      <w:t>Creative HQ Limited</w:t>
                                    </w:r>
                                    <w:r>
                                      <w:rPr>
                                        <w:sz w:val="16"/>
                                        <w:szCs w:val="16"/>
                                      </w:rPr>
                                      <w:br/>
                                      <w:t>80%</w:t>
                                    </w:r>
                                  </w:p>
                                </w:txbxContent>
                              </wps:txbx>
                              <wps:bodyPr rot="0" vert="horz" wrap="square" lIns="91440" tIns="45720" rIns="91440" bIns="45720" anchor="ctr" anchorCtr="0" upright="1">
                                <a:noAutofit/>
                              </wps:bodyPr>
                            </wps:wsp>
                          </wpg:grpSp>
                          <wps:wsp>
                            <wps:cNvPr id="52" name="Straight Connector 52"/>
                            <wps:cNvCnPr/>
                            <wps:spPr>
                              <a:xfrm>
                                <a:off x="1113748" y="3566593"/>
                                <a:ext cx="0" cy="122087"/>
                              </a:xfrm>
                              <a:prstGeom prst="line">
                                <a:avLst/>
                              </a:prstGeom>
                            </wps:spPr>
                            <wps:style>
                              <a:lnRef idx="1">
                                <a:schemeClr val="dk1"/>
                              </a:lnRef>
                              <a:fillRef idx="0">
                                <a:schemeClr val="dk1"/>
                              </a:fillRef>
                              <a:effectRef idx="0">
                                <a:schemeClr val="dk1"/>
                              </a:effectRef>
                              <a:fontRef idx="minor">
                                <a:schemeClr val="tx1"/>
                              </a:fontRef>
                            </wps:style>
                            <wps:bodyPr/>
                          </wps:wsp>
                          <wps:wsp>
                            <wps:cNvPr id="54" name="Straight Connector 54"/>
                            <wps:cNvCnPr/>
                            <wps:spPr>
                              <a:xfrm>
                                <a:off x="1937141" y="827727"/>
                                <a:ext cx="0" cy="2294890"/>
                              </a:xfrm>
                              <a:prstGeom prst="line">
                                <a:avLst/>
                              </a:prstGeom>
                            </wps:spPr>
                            <wps:style>
                              <a:lnRef idx="1">
                                <a:schemeClr val="dk1"/>
                              </a:lnRef>
                              <a:fillRef idx="0">
                                <a:schemeClr val="dk1"/>
                              </a:fillRef>
                              <a:effectRef idx="0">
                                <a:schemeClr val="dk1"/>
                              </a:effectRef>
                              <a:fontRef idx="minor">
                                <a:schemeClr val="tx1"/>
                              </a:fontRef>
                            </wps:style>
                            <wps:bodyPr/>
                          </wps:wsp>
                          <wps:wsp>
                            <wps:cNvPr id="55" name="Straight Connector 55"/>
                            <wps:cNvCnPr/>
                            <wps:spPr>
                              <a:xfrm>
                                <a:off x="1776796" y="3124561"/>
                                <a:ext cx="333437" cy="0"/>
                              </a:xfrm>
                              <a:prstGeom prst="line">
                                <a:avLst/>
                              </a:prstGeom>
                            </wps:spPr>
                            <wps:style>
                              <a:lnRef idx="1">
                                <a:schemeClr val="dk1"/>
                              </a:lnRef>
                              <a:fillRef idx="0">
                                <a:schemeClr val="dk1"/>
                              </a:fillRef>
                              <a:effectRef idx="0">
                                <a:schemeClr val="dk1"/>
                              </a:effectRef>
                              <a:fontRef idx="minor">
                                <a:schemeClr val="tx1"/>
                              </a:fontRef>
                            </wps:style>
                            <wps:bodyPr/>
                          </wps:wsp>
                          <wps:wsp>
                            <wps:cNvPr id="56" name="Straight Connector 56"/>
                            <wps:cNvCnPr/>
                            <wps:spPr>
                              <a:xfrm>
                                <a:off x="1768129" y="2136489"/>
                                <a:ext cx="330416" cy="0"/>
                              </a:xfrm>
                              <a:prstGeom prst="line">
                                <a:avLst/>
                              </a:prstGeom>
                            </wps:spPr>
                            <wps:style>
                              <a:lnRef idx="1">
                                <a:schemeClr val="dk1"/>
                              </a:lnRef>
                              <a:fillRef idx="0">
                                <a:schemeClr val="dk1"/>
                              </a:fillRef>
                              <a:effectRef idx="0">
                                <a:schemeClr val="dk1"/>
                              </a:effectRef>
                              <a:fontRef idx="minor">
                                <a:schemeClr val="tx1"/>
                              </a:fontRef>
                            </wps:style>
                            <wps:bodyPr/>
                          </wps:wsp>
                          <wps:wsp>
                            <wps:cNvPr id="58" name="Straight Connector 58"/>
                            <wps:cNvCnPr/>
                            <wps:spPr>
                              <a:xfrm>
                                <a:off x="1763795" y="1425771"/>
                                <a:ext cx="301835" cy="0"/>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60" name="Straight Connector 60"/>
                          <wps:cNvCnPr/>
                          <wps:spPr>
                            <a:xfrm>
                              <a:off x="5099323" y="914400"/>
                              <a:ext cx="0" cy="1006475"/>
                            </a:xfrm>
                            <a:prstGeom prst="line">
                              <a:avLst/>
                            </a:prstGeom>
                          </wps:spPr>
                          <wps:style>
                            <a:lnRef idx="1">
                              <a:schemeClr val="dk1"/>
                            </a:lnRef>
                            <a:fillRef idx="0">
                              <a:schemeClr val="dk1"/>
                            </a:fillRef>
                            <a:effectRef idx="0">
                              <a:schemeClr val="dk1"/>
                            </a:effectRef>
                            <a:fontRef idx="minor">
                              <a:schemeClr val="tx1"/>
                            </a:fontRef>
                          </wps:style>
                          <wps:bodyPr/>
                        </wps:wsp>
                        <wps:wsp>
                          <wps:cNvPr id="62" name="Straight Connector 62"/>
                          <wps:cNvCnPr/>
                          <wps:spPr>
                            <a:xfrm>
                              <a:off x="5017980" y="1921362"/>
                              <a:ext cx="163017" cy="0"/>
                            </a:xfrm>
                            <a:prstGeom prst="line">
                              <a:avLst/>
                            </a:prstGeom>
                          </wps:spPr>
                          <wps:style>
                            <a:lnRef idx="1">
                              <a:schemeClr val="dk1"/>
                            </a:lnRef>
                            <a:fillRef idx="0">
                              <a:schemeClr val="dk1"/>
                            </a:fillRef>
                            <a:effectRef idx="0">
                              <a:schemeClr val="dk1"/>
                            </a:effectRef>
                            <a:fontRef idx="minor">
                              <a:schemeClr val="tx1"/>
                            </a:fontRef>
                          </wps:style>
                          <wps:bodyPr/>
                        </wps:wsp>
                        <wps:wsp>
                          <wps:cNvPr id="63" name="Straight Connector 63"/>
                          <wps:cNvCnPr/>
                          <wps:spPr>
                            <a:xfrm>
                              <a:off x="5017980" y="1217330"/>
                              <a:ext cx="162560" cy="0"/>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289" name="Plus 289"/>
                        <wps:cNvSpPr/>
                        <wps:spPr>
                          <a:xfrm>
                            <a:off x="1360967" y="244549"/>
                            <a:ext cx="227965" cy="207010"/>
                          </a:xfrm>
                          <a:prstGeom prst="mathPlus">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0" name="Equal 290"/>
                        <wps:cNvSpPr/>
                        <wps:spPr>
                          <a:xfrm>
                            <a:off x="0" y="212651"/>
                            <a:ext cx="217805" cy="207645"/>
                          </a:xfrm>
                          <a:prstGeom prst="mathEqual">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293" o:spid="_x0000_s1026" style="position:absolute;margin-left:-18.75pt;margin-top:176.05pt;width:527.25pt;height:348.95pt;z-index:251735040" coordsize="66961,443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">
                <v:group id="Group 288" o:spid="_x0000_s1027" style="position:absolute;left:2445;width:64516;height:44316" coordorigin="2102" coordsize="63797,419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0T0fMIAAADcAAAADwAAAGRycy9kb3ducmV2LnhtbERPy4rCMBTdC/5DuII7&#10;Taso0jEVkZlhFiL4AJndpbm2pc1NaTJt/fvJQnB5OO/tbjC16Kh1pWUF8TwCQZxZXXKu4Hb9mm1A&#10;OI+ssbZMCp7kYJeOR1tMtO35TN3F5yKEsEtQQeF9k0jpsoIMurltiAP3sK1BH2CbS91iH8JNLRdR&#10;tJYGSw4NBTZ0KCirLn9GwXeP/X4Zf3bH6nF4/l5Xp/sxJqWmk2H/AcLT4N/il/tHK1hswtp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NE9HzCAAAA3AAAAA8A&#10;AAAAAAAAAAAAAAAAqgIAAGRycy9kb3ducmV2LnhtbFBLBQYAAAAABAAEAPoAAACZAwAAAAA=&#10;">
                  <v:group id="Group 59" o:spid="_x0000_s1028" style="position:absolute;left:2102;width:63798;height:41960" coordorigin="2103,1714" coordsize="63807,419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3SR8UAAADbAAAADwAAAGRycy9kb3ducmV2LnhtbESPT2vCQBTE70K/w/IK&#10;vdVNWlJqdBWRtvQgBZOCeHtkn0kw+zZkt/nz7V2h4HGYmd8wq81oGtFT52rLCuJ5BIK4sLrmUsFv&#10;/vn8DsJ5ZI2NZVIwkYPN+mG2wlTbgQ/UZ74UAcIuRQWV920qpSsqMujmtiUO3tl2Bn2QXSl1h0OA&#10;m0a+RNGbNFhzWKiwpV1FxSX7Mwq+Bhy2r/FHv7+cd9MpT36O+5iUenoct0sQnkZ/D/+3v7WCZAG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pt0kfFAAAA2wAA&#10;AA8AAAAAAAAAAAAAAAAAqgIAAGRycy9kb3ducmV2LnhtbFBLBQYAAAAABAAEAPoAAACcAwAAAAA=&#10;">
                    <v:group id="Group 46" o:spid="_x0000_s1029" style="position:absolute;left:2103;top:1714;width:63807;height:41961" coordorigin="2103,1714" coordsize="63807,419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vQ6MQAAADbAAAADwAAAGRycy9kb3ducmV2LnhtbESPT4vCMBTE74LfITzB&#10;m6bVXVm6RhFR8SAL/oFlb4/m2Rabl9LEtn77jSB4HGbmN8x82ZlSNFS7wrKCeByBIE6tLjhTcDlv&#10;R18gnEfWWFomBQ9ysFz0e3NMtG35SM3JZyJA2CWoIPe+SqR0aU4G3dhWxMG72tqgD7LOpK6xDXBT&#10;ykkUzaTBgsNCjhWtc0pvp7tRsGuxXU3jTXO4XdePv/Pnz+8hJqWGg271DcJT59/hV3uvFXzM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ivQ6MQAAADbAAAA&#10;DwAAAAAAAAAAAAAAAACqAgAAZHJzL2Rvd25yZXYueG1sUEsFBgAAAAAEAAQA+gAAAJsDAAAAAA==&#10;">
                      <v:roundrect id="AutoShape 5" o:spid="_x0000_s1030" style="position:absolute;left:2103;top:1714;width:10617;height:638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ZRFscA&#10;AADcAAAADwAAAGRycy9kb3ducmV2LnhtbESP3WoCMRSE7wu+QziCdzW7WkrZGkVEbZFa/CleHzbH&#10;zeLmZNmkuvr0plDwcpiZb5jRpLWVOFPjS8cK0n4Cgjh3uuRCwc9+8fwGwgdkjZVjUnAlD5Nx52mE&#10;mXYX3tJ5FwoRIewzVGBCqDMpfW7Iou+7mjh6R9dYDFE2hdQNXiLcVnKQJK/SYslxwWBNM0P5afdr&#10;Fcza+ctyag4fq/X8+5R+5bfNdrNXqtdtp+8gArXhEf5vf2oFw3QIf2fiEZDj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32URbHAAAA3AAAAA8AAAAAAAAAAAAAAAAAmAIAAGRy&#10;cy9kb3ducmV2LnhtbFBLBQYAAAAABAAEAPUAAACMAwAAAAA=&#10;" fillcolor="#cff">
                        <v:textbox>
                          <w:txbxContent>
                            <w:p w:rsidR="005D6D1F" w:rsidRPr="00094394" w:rsidRDefault="005D6D1F" w:rsidP="00094394">
                              <w:pPr>
                                <w:spacing w:after="0"/>
                                <w:jc w:val="center"/>
                                <w:rPr>
                                  <w:sz w:val="16"/>
                                  <w:szCs w:val="16"/>
                                  <w:lang w:val="mi-NZ"/>
                                </w:rPr>
                              </w:pPr>
                              <w:r>
                                <w:rPr>
                                  <w:sz w:val="16"/>
                                  <w:szCs w:val="16"/>
                                  <w:lang w:val="mi-NZ"/>
                                </w:rPr>
                                <w:t>Council</w:t>
                              </w:r>
                            </w:p>
                          </w:txbxContent>
                        </v:textbox>
                      </v:roundrect>
                      <v:roundrect id="AutoShape 6" o:spid="_x0000_s1031" style="position:absolute;left:15694;top:1714;width:11334;height:657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okWsUA&#10;AADcAAAADwAAAGRycy9kb3ducmV2LnhtbESPT2vCQBTE7wW/w/KEXoputG2UmI1IW6HX+ufg7ZF9&#10;JsHdtyG7auqnd4VCj8PM/IbJl7014kKdbxwrmIwTEMSl0w1XCnbb9WgOwgdkjcYxKfglD8ti8JRj&#10;pt2Vf+iyCZWIEPYZKqhDaDMpfVmTRT92LXH0jq6zGKLsKqk7vEa4NXKaJKm02HBcqLGlj5rK0+Zs&#10;Fbj3Fb7cwnQ/+zpoQ60p0/RzrtTzsF8tQATqw3/4r/2tFbxO3uBxJh4BWd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aiRaxQAAANwAAAAPAAAAAAAAAAAAAAAAAJgCAABkcnMv&#10;ZG93bnJldi54bWxQSwUGAAAAAAQABAD1AAAAigMAAAAA&#10;" fillcolor="white [3201]" strokecolor="#f79646 [3209]" strokeweight="1pt">
                        <v:stroke joinstyle="miter"/>
                        <v:textbox>
                          <w:txbxContent>
                            <w:p w:rsidR="005D6D1F" w:rsidRDefault="005D6D1F" w:rsidP="00094394">
                              <w:pPr>
                                <w:spacing w:after="0"/>
                                <w:jc w:val="center"/>
                                <w:rPr>
                                  <w:sz w:val="16"/>
                                  <w:szCs w:val="16"/>
                                </w:rPr>
                              </w:pPr>
                              <w:r>
                                <w:rPr>
                                  <w:sz w:val="16"/>
                                  <w:szCs w:val="16"/>
                                </w:rPr>
                                <w:t>Controlled Entities</w:t>
                              </w:r>
                            </w:p>
                          </w:txbxContent>
                        </v:textbox>
                      </v:roundrect>
                      <v:roundrect id="AutoShape 7" o:spid="_x0000_s1032" style="position:absolute;left:44481;top:1905;width:12768;height:895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wHVcYA&#10;AADcAAAADwAAAGRycy9kb3ducmV2LnhtbESP0WrCQBRE3wv9h+UW+iK6sbFqo6sUpSC0fTD6AZfs&#10;bRLM3k13V439elcQ+jjMzBlmvuxMI07kfG1ZwXCQgCAurK65VLDfffSnIHxA1thYJgUX8rBcPD7M&#10;MdP2zFs65aEUEcI+QwVVCG0mpS8qMugHtiWO3o91BkOUrpTa4TnCTSNfkmQsDdYcFypsaVVRcciP&#10;RkH5/ZvyZJd+vo3a4OSXPf6t1j2lnp+69xmIQF34D9/bG60gHb7C7Uw8AnJx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hwHVcYAAADcAAAADwAAAAAAAAAAAAAAAACYAgAAZHJz&#10;L2Rvd25yZXYueG1sUEsFBgAAAAAEAAQA9QAAAIsDAAAAAA==&#10;">
                        <v:textbox>
                          <w:txbxContent>
                            <w:p w:rsidR="005D6D1F" w:rsidRDefault="005D6D1F" w:rsidP="00B017B4">
                              <w:pPr>
                                <w:spacing w:after="0"/>
                                <w:jc w:val="center"/>
                                <w:rPr>
                                  <w:sz w:val="16"/>
                                  <w:szCs w:val="16"/>
                                </w:rPr>
                              </w:pPr>
                              <w:r>
                                <w:rPr>
                                  <w:sz w:val="16"/>
                                  <w:szCs w:val="16"/>
                                </w:rPr>
                                <w:t>Council’s equity accounted interest in</w:t>
                              </w:r>
                            </w:p>
                            <w:p w:rsidR="005D6D1F" w:rsidRDefault="005D6D1F" w:rsidP="00B017B4">
                              <w:pPr>
                                <w:spacing w:after="0"/>
                                <w:jc w:val="center"/>
                                <w:rPr>
                                  <w:sz w:val="16"/>
                                  <w:szCs w:val="16"/>
                                </w:rPr>
                              </w:pPr>
                              <w:r>
                                <w:rPr>
                                  <w:sz w:val="16"/>
                                  <w:szCs w:val="16"/>
                                </w:rPr>
                                <w:t>Associates and Jointly Controlled Entity</w:t>
                              </w:r>
                            </w:p>
                          </w:txbxContent>
                        </v:textbox>
                      </v:roundrect>
                      <v:roundrect id="AutoShape 8" o:spid="_x0000_s1033" style="position:absolute;left:3489;top:19050;width:14124;height:607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QftsMA&#10;AADcAAAADwAAAGRycy9kb3ducmV2LnhtbESPT4vCMBTE74LfIbyFvYimKnalGkV0Ba/+2YO3R/Ns&#10;yyYvpYna3U9vBMHjMDO/YebL1hpxo8ZXjhUMBwkI4tzpigsFp+O2PwXhA7JG45gU/JGH5aLbmWOm&#10;3Z33dDuEQkQI+wwVlCHUmZQ+L8miH7iaOHoX11gMUTaF1A3eI9waOUqSVFqsOC6UWNO6pPz3cLUK&#10;3GSFvf8w+vn6PmtDtcnTdDNV6vOjXc1ABGrDO/xq77SC8TCF55l4BOTi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vQftsMAAADcAAAADwAAAAAAAAAAAAAAAACYAgAAZHJzL2Rv&#10;d25yZXYueG1sUEsFBgAAAAAEAAQA9QAAAIgDAAAAAA==&#10;" fillcolor="white [3201]" strokecolor="#f79646 [3209]" strokeweight="1pt">
                        <v:stroke joinstyle="miter"/>
                        <v:textbox>
                          <w:txbxContent>
                            <w:p w:rsidR="005D6D1F" w:rsidRDefault="005D6D1F" w:rsidP="00094394">
                              <w:pPr>
                                <w:spacing w:after="0"/>
                                <w:jc w:val="center"/>
                                <w:rPr>
                                  <w:sz w:val="16"/>
                                  <w:szCs w:val="16"/>
                                </w:rPr>
                              </w:pPr>
                              <w:r>
                                <w:rPr>
                                  <w:sz w:val="16"/>
                                  <w:szCs w:val="16"/>
                                </w:rPr>
                                <w:t>Wellington Cable Car Limited</w:t>
                              </w:r>
                            </w:p>
                            <w:p w:rsidR="005D6D1F" w:rsidRDefault="005D6D1F" w:rsidP="000E05ED">
                              <w:pPr>
                                <w:spacing w:after="0"/>
                                <w:jc w:val="center"/>
                                <w:rPr>
                                  <w:sz w:val="16"/>
                                  <w:szCs w:val="16"/>
                                </w:rPr>
                              </w:pPr>
                              <w:r>
                                <w:rPr>
                                  <w:sz w:val="16"/>
                                  <w:szCs w:val="16"/>
                                </w:rPr>
                                <w:t>100%</w:t>
                              </w:r>
                            </w:p>
                          </w:txbxContent>
                        </v:textbox>
                      </v:roundrect>
                      <v:shape id="AutoShape 9" o:spid="_x0000_s1034" style="position:absolute;left:3699;top:25812;width:14013;height:9887;visibility:visible;mso-wrap-style:square;v-text-anchor:middle" coordsize="1200150,102020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Dp4scA&#10;AADcAAAADwAAAGRycy9kb3ducmV2LnhtbESPS2vDMBCE74H8B7GF3BrZLbTBjRLSRyCh5BD3Ab0t&#10;1tYysVZGUhw3v74qFHIcZuYbZr4cbCt68qFxrCCfZiCIK6cbrhW8v62vZyBCRNbYOiYFPxRguRiP&#10;5lhod+I99WWsRYJwKFCBibErpAyVIYth6jri5H07bzEm6WupPZ4S3LbyJsvupMWG04LBjp4MVYfy&#10;aBW89vrl6/Ej74159uew2m35s+yUmlwNqwcQkYZ4Cf+3N1rBbX4Pf2fSEZ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jw6eLHAAAA3AAAAA8AAAAAAAAAAAAAAAAAmAIAAGRy&#10;cy9kb3ducmV2LnhtbFBLBQYAAAAABAAEAPUAAACMAwAAAAA=&#10;" adj="-11796480,,5400" path="m,169866c,76052,76052,,169866,r860418,c1124098,,1200150,76052,1200150,169866r,679443c1200150,943123,1124098,1019175,1030284,1019175v-156103,-3175,-276646,3175,-432749,c581132,1022632,300569,1016000,169866,1019175,76052,1019175,,943123,,849309l,169866xe" fillcolor="white [3201]" strokecolor="#f79646 [3209]" strokeweight="1pt">
                        <v:stroke joinstyle="miter"/>
                        <v:formulas/>
                        <v:path o:connecttype="custom" o:connectlocs="0,164620;198337,0;1202969,0;1401306,164620;1401306,823079;1202969,987699;697687,987699;198337,987699;0,823079;0,164620" o:connectangles="0,0,0,0,0,0,0,0,0,0" textboxrect="0,0,1200150,1020203"/>
                        <v:textbox>
                          <w:txbxContent>
                            <w:p w:rsidR="005D6D1F" w:rsidRDefault="005D6D1F" w:rsidP="000E05ED">
                              <w:pPr>
                                <w:spacing w:after="0"/>
                                <w:jc w:val="center"/>
                                <w:rPr>
                                  <w:sz w:val="16"/>
                                  <w:szCs w:val="16"/>
                                </w:rPr>
                              </w:pPr>
                              <w:r>
                                <w:rPr>
                                  <w:sz w:val="16"/>
                                  <w:szCs w:val="16"/>
                                </w:rPr>
                                <w:t xml:space="preserve">Wellington Regional Economic Development Agency Limited </w:t>
                              </w:r>
                              <w:r>
                                <w:rPr>
                                  <w:sz w:val="16"/>
                                  <w:szCs w:val="16"/>
                                </w:rPr>
                                <w:br/>
                                <w:t xml:space="preserve">(Trading as WellingtonNZ) </w:t>
                              </w:r>
                              <w:r>
                                <w:rPr>
                                  <w:sz w:val="16"/>
                                  <w:szCs w:val="16"/>
                                </w:rPr>
                                <w:br/>
                                <w:t>80%</w:t>
                              </w:r>
                            </w:p>
                          </w:txbxContent>
                        </v:textbox>
                      </v:shape>
                      <v:roundrect id="AutoShape 11" o:spid="_x0000_s1035" style="position:absolute;left:21012;top:25912;width:14002;height:988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cuX8AA&#10;AADcAAAADwAAAGRycy9kb3ducmV2LnhtbERPy4rCMBTdD/gP4QpuBk1Vpko1ijgKbsfHwt2lubbF&#10;5KY0Ga1+vVkILg/nPV+21ogbNb5yrGA4SEAQ505XXCg4Hrb9KQgfkDUax6TgQR6Wi87XHDPt7vxH&#10;t30oRAxhn6GCMoQ6k9LnJVn0A1cTR+7iGoshwqaQusF7DLdGjpIklRYrjg0l1rQuKb/u/60C97PC&#10;72cYnSabszZUmzxNf6dK9brtagYiUBs+4rd7pxWMh3FtPBOPgFy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CcuX8AAAADcAAAADwAAAAAAAAAAAAAAAACYAgAAZHJzL2Rvd25y&#10;ZXYueG1sUEsFBgAAAAAEAAQA9QAAAIUDAAAAAA==&#10;" fillcolor="white [3201]" strokecolor="#f79646 [3209]" strokeweight="1pt">
                        <v:stroke joinstyle="miter"/>
                        <v:textbox>
                          <w:txbxContent>
                            <w:p w:rsidR="005D6D1F" w:rsidRDefault="005D6D1F" w:rsidP="000E05ED">
                              <w:pPr>
                                <w:spacing w:after="0"/>
                                <w:jc w:val="center"/>
                                <w:rPr>
                                  <w:sz w:val="16"/>
                                  <w:szCs w:val="16"/>
                                </w:rPr>
                              </w:pPr>
                              <w:r>
                                <w:rPr>
                                  <w:sz w:val="16"/>
                                  <w:szCs w:val="16"/>
                                </w:rPr>
                                <w:t xml:space="preserve">Wellington Museums Trust </w:t>
                              </w:r>
                              <w:r>
                                <w:rPr>
                                  <w:sz w:val="16"/>
                                  <w:szCs w:val="16"/>
                                </w:rPr>
                                <w:br/>
                                <w:t>(Trading as Experience Wellington</w:t>
                              </w:r>
                              <w:proofErr w:type="gramStart"/>
                              <w:r>
                                <w:rPr>
                                  <w:sz w:val="16"/>
                                  <w:szCs w:val="16"/>
                                </w:rPr>
                                <w:t>)</w:t>
                              </w:r>
                              <w:proofErr w:type="gramEnd"/>
                              <w:r>
                                <w:rPr>
                                  <w:sz w:val="16"/>
                                  <w:szCs w:val="16"/>
                                </w:rPr>
                                <w:br/>
                                <w:t>100%</w:t>
                              </w:r>
                            </w:p>
                          </w:txbxContent>
                        </v:textbox>
                      </v:roundrect>
                      <v:roundrect id="AutoShape 12" o:spid="_x0000_s1036" style="position:absolute;left:20894;top:18946;width:14125;height:618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2uLxMUA&#10;AADcAAAADwAAAGRycy9kb3ducmV2LnhtbESPT2vCQBTE74LfYXlCL6IbLY2aZiPSP+DVaA+9PbLP&#10;JHT3bchuNe2n7woFj8PM/IbJt4M14kK9bx0rWMwTEMSV0y3XCk7H99kahA/IGo1jUvBDHrbFeJRj&#10;pt2VD3QpQy0ihH2GCpoQukxKXzVk0c9dRxy9s+sthij7WuoerxFujVwmSSotthwXGuzopaHqq/y2&#10;CtzTDqe/YfmxevvUhjpTpenrWqmHybB7BhFoCPfwf3uvFTwuNnA7E4+AL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a4vExQAAANwAAAAPAAAAAAAAAAAAAAAAAJgCAABkcnMv&#10;ZG93bnJldi54bWxQSwUGAAAAAAQABAD1AAAAigMAAAAA&#10;" fillcolor="white [3201]" strokecolor="#f79646 [3209]" strokeweight="1pt">
                        <v:stroke joinstyle="miter"/>
                        <v:textbox>
                          <w:txbxContent>
                            <w:p w:rsidR="005D6D1F" w:rsidRPr="00094394" w:rsidRDefault="005D6D1F" w:rsidP="00094394">
                              <w:pPr>
                                <w:spacing w:after="0"/>
                                <w:jc w:val="center"/>
                                <w:rPr>
                                  <w:sz w:val="16"/>
                                  <w:szCs w:val="16"/>
                                  <w:lang w:val="mi-NZ"/>
                                </w:rPr>
                              </w:pPr>
                              <w:r>
                                <w:rPr>
                                  <w:sz w:val="16"/>
                                  <w:szCs w:val="16"/>
                                  <w:lang w:val="mi-NZ"/>
                                </w:rPr>
                                <w:t>Wellington Waterfront Limited 100%</w:t>
                              </w:r>
                            </w:p>
                          </w:txbxContent>
                        </v:textbox>
                      </v:roundrect>
                      <v:roundrect id="AutoShape 13" o:spid="_x0000_s1037" style="position:absolute;left:20626;top:11367;width:14124;height:682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3o5MAA&#10;AADcAAAADwAAAGRycy9kb3ducmV2LnhtbERPy4rCMBTdD/gP4QpuhjG1Ykc6RhEf4NbXwt2lubZl&#10;kpvSRO3M15uF4PJw3rNFZ424U+trxwpGwwQEceF0zaWC03H7NQXhA7JG45gU/JGHxbz3McNcuwfv&#10;6X4IpYgh7HNUUIXQ5FL6oiKLfuga4shdXWsxRNiWUrf4iOHWyDRJMmmx5thQYUOriorfw80qcJMl&#10;fv6H9Py9uWhDjSmybD1VatDvlj8gAnXhLX65d1rBOI3z45l4BOT8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D3o5MAAAADcAAAADwAAAAAAAAAAAAAAAACYAgAAZHJzL2Rvd25y&#10;ZXYueG1sUEsFBgAAAAAEAAQA9QAAAIUDAAAAAA==&#10;" fillcolor="white [3201]" strokecolor="#f79646 [3209]" strokeweight="1pt">
                        <v:stroke joinstyle="miter"/>
                        <v:textbox>
                          <w:txbxContent>
                            <w:p w:rsidR="005D6D1F" w:rsidRDefault="005D6D1F" w:rsidP="00094394">
                              <w:pPr>
                                <w:spacing w:after="0"/>
                                <w:jc w:val="center"/>
                                <w:rPr>
                                  <w:sz w:val="16"/>
                                  <w:szCs w:val="16"/>
                                </w:rPr>
                              </w:pPr>
                              <w:r>
                                <w:rPr>
                                  <w:sz w:val="16"/>
                                  <w:szCs w:val="16"/>
                                </w:rPr>
                                <w:t>Wellington Zoo Trust</w:t>
                              </w:r>
                            </w:p>
                            <w:p w:rsidR="005D6D1F" w:rsidRDefault="005D6D1F" w:rsidP="00094394">
                              <w:pPr>
                                <w:spacing w:after="0"/>
                                <w:jc w:val="center"/>
                                <w:rPr>
                                  <w:sz w:val="16"/>
                                  <w:szCs w:val="16"/>
                                </w:rPr>
                              </w:pPr>
                              <w:r>
                                <w:rPr>
                                  <w:sz w:val="16"/>
                                  <w:szCs w:val="16"/>
                                </w:rPr>
                                <w:t>100%</w:t>
                              </w:r>
                            </w:p>
                          </w:txbxContent>
                        </v:textbox>
                      </v:roundrect>
                      <v:roundrect id="AutoShape 14" o:spid="_x0000_s1038" style="position:absolute;left:36061;top:11434;width:14124;height:527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vL68YA&#10;AADcAAAADwAAAGRycy9kb3ducmV2LnhtbESP0WrCQBRE3wv9h+UWfCm60UjV1E0oiiC0faj6AZfs&#10;NQnN3k13V41+fVco9HGYmTPMsuhNK87kfGNZwXiUgCAurW64UnDYb4ZzED4ga2wtk4IreSjyx4cl&#10;Ztpe+IvOu1CJCGGfoYI6hC6T0pc1GfQj2xFH72idwRClq6R2eIlw08pJkrxIgw3HhRo7WtVUfu9O&#10;RkH1+ZPybJ++L6ZdcPLDnm6r9bNSg6f+7RVEoD78h//aW60gnYzhfiYeAZn/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0vL68YAAADcAAAADwAAAAAAAAAAAAAAAACYAgAAZHJz&#10;L2Rvd25yZXYueG1sUEsFBgAAAAAEAAQA9QAAAIsDAAAAAA==&#10;">
                        <v:textbox>
                          <w:txbxContent>
                            <w:p w:rsidR="005D6D1F" w:rsidRDefault="005D6D1F" w:rsidP="00B017B4">
                              <w:pPr>
                                <w:spacing w:after="0"/>
                                <w:jc w:val="center"/>
                                <w:rPr>
                                  <w:sz w:val="16"/>
                                  <w:szCs w:val="16"/>
                                </w:rPr>
                              </w:pPr>
                              <w:r>
                                <w:rPr>
                                  <w:sz w:val="16"/>
                                  <w:szCs w:val="16"/>
                                </w:rPr>
                                <w:t>Chaffers Marina Holdings Limited</w:t>
                              </w:r>
                            </w:p>
                            <w:p w:rsidR="005D6D1F" w:rsidRDefault="005D6D1F" w:rsidP="00B017B4">
                              <w:pPr>
                                <w:spacing w:after="0"/>
                                <w:jc w:val="center"/>
                                <w:rPr>
                                  <w:sz w:val="16"/>
                                  <w:szCs w:val="16"/>
                                </w:rPr>
                              </w:pPr>
                              <w:r>
                                <w:rPr>
                                  <w:sz w:val="16"/>
                                  <w:szCs w:val="16"/>
                                </w:rPr>
                                <w:t>10.52%</w:t>
                              </w:r>
                            </w:p>
                            <w:p w:rsidR="005D6D1F" w:rsidRDefault="005D6D1F" w:rsidP="00094394">
                              <w:pPr>
                                <w:jc w:val="center"/>
                                <w:rPr>
                                  <w:sz w:val="16"/>
                                  <w:szCs w:val="16"/>
                                </w:rPr>
                              </w:pPr>
                            </w:p>
                          </w:txbxContent>
                        </v:textbox>
                      </v:roundrect>
                      <v:roundrect id="AutoShape 15" o:spid="_x0000_s1039" style="position:absolute;left:51816;top:11364;width:14094;height:534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rd0cQA&#10;AADcAAAADwAAAGRycy9kb3ducmV2LnhtbESPQWvCQBSE7wX/w/KE3nSzKWibuopoCwURaerF2yP7&#10;TEKzb0N2jem/dwWhx2FmvmEWq8E2oqfO1441qGkCgrhwpuZSw/Hnc/IKwgdkg41j0vBHHlbL0dMC&#10;M+Ou/E19HkoRIewz1FCF0GZS+qIii37qWuLonV1nMUTZldJ0eI1w28g0SWbSYs1xocKWNhUVv/nF&#10;arD7/C2UH/38pFhtd3xWs8Ncaf08HtbvIAIN4T/8aH8ZDS9pCvcz8QjI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ta3dHEAAAA3AAAAA8AAAAAAAAAAAAAAAAAmAIAAGRycy9k&#10;b3ducmV2LnhtbFBLBQYAAAAABAAEAPUAAACJAwAAAAA=&#10;" filled="f" fillcolor="silver">
                        <v:textbox>
                          <w:txbxContent>
                            <w:p w:rsidR="005D6D1F" w:rsidRDefault="005D6D1F" w:rsidP="00B017B4">
                              <w:pPr>
                                <w:spacing w:after="0"/>
                                <w:jc w:val="center"/>
                                <w:rPr>
                                  <w:sz w:val="16"/>
                                  <w:szCs w:val="16"/>
                                </w:rPr>
                              </w:pPr>
                              <w:r>
                                <w:rPr>
                                  <w:sz w:val="16"/>
                                  <w:szCs w:val="16"/>
                                </w:rPr>
                                <w:t>Wellington International Airport Limited</w:t>
                              </w:r>
                            </w:p>
                            <w:p w:rsidR="005D6D1F" w:rsidRDefault="005D6D1F" w:rsidP="00094394">
                              <w:pPr>
                                <w:jc w:val="center"/>
                                <w:rPr>
                                  <w:sz w:val="16"/>
                                  <w:szCs w:val="16"/>
                                </w:rPr>
                              </w:pPr>
                              <w:r>
                                <w:rPr>
                                  <w:sz w:val="16"/>
                                  <w:szCs w:val="16"/>
                                </w:rPr>
                                <w:t>34%</w:t>
                              </w:r>
                            </w:p>
                            <w:p w:rsidR="005D6D1F" w:rsidRDefault="005D6D1F" w:rsidP="00094394">
                              <w:pPr>
                                <w:rPr>
                                  <w:szCs w:val="16"/>
                                </w:rPr>
                              </w:pPr>
                            </w:p>
                          </w:txbxContent>
                        </v:textbox>
                      </v:roundrect>
                      <v:roundrect id="AutoShape 19" o:spid="_x0000_s1040" style="position:absolute;left:36061;top:18283;width:14124;height:466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wB8YA&#10;AADcAAAADwAAAGRycy9kb3ducmV2LnhtbESP3WrCQBSE74W+w3IKvRHd1Eh/UjdBLAVBe1H1AQ7Z&#10;0yQ0ezburpr69K4geDnMzDfMrOhNK47kfGNZwfM4AUFcWt1wpWC3/Rq9gfABWWNrmRT8k4cifxjM&#10;MNP2xD903IRKRAj7DBXUIXSZlL6syaAf2444er/WGQxRukpqh6cIN62cJMmLNNhwXKixo0VN5d/m&#10;YBRU3/uUX7fp6n3aBSfX9nBefA6Venrs5x8gAvXhHr61l1pBOknheiYeAZl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XwB8YAAADcAAAADwAAAAAAAAAAAAAAAACYAgAAZHJz&#10;L2Rvd25yZXYueG1sUEsFBgAAAAAEAAQA9QAAAIsDAAAAAA==&#10;">
                        <v:textbox>
                          <w:txbxContent>
                            <w:p w:rsidR="005D6D1F" w:rsidRDefault="005D6D1F" w:rsidP="00B017B4">
                              <w:pPr>
                                <w:spacing w:after="0"/>
                                <w:jc w:val="center"/>
                                <w:rPr>
                                  <w:sz w:val="16"/>
                                  <w:szCs w:val="16"/>
                                </w:rPr>
                              </w:pPr>
                              <w:r>
                                <w:rPr>
                                  <w:sz w:val="16"/>
                                  <w:szCs w:val="16"/>
                                </w:rPr>
                                <w:t>Chaffers Marina Limited</w:t>
                              </w:r>
                            </w:p>
                            <w:p w:rsidR="005D6D1F" w:rsidRDefault="005D6D1F" w:rsidP="00B017B4">
                              <w:pPr>
                                <w:spacing w:after="0"/>
                                <w:jc w:val="center"/>
                                <w:rPr>
                                  <w:sz w:val="16"/>
                                  <w:szCs w:val="16"/>
                                </w:rPr>
                              </w:pPr>
                              <w:r>
                                <w:rPr>
                                  <w:sz w:val="16"/>
                                  <w:szCs w:val="16"/>
                                </w:rPr>
                                <w:t>10.52%</w:t>
                              </w:r>
                            </w:p>
                          </w:txbxContent>
                        </v:textbox>
                      </v:roundrect>
                      <v:roundrect id="AutoShape 51" o:spid="_x0000_s1041" style="position:absolute;left:3478;top:10668;width:14143;height:752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u58QA&#10;AADcAAAADwAAAGRycy9kb3ducmV2LnhtbESPT2vCQBTE7wW/w/KEXopuTGuU6CpSK/Tqv4O3R/aZ&#10;BHffhuyqsZ++KxR6HGbmN8x82VkjbtT62rGC0TABQVw4XXOp4LDfDKYgfEDWaByTggd5WC56L3PM&#10;tbvzlm67UIoIYZ+jgiqEJpfSFxVZ9EPXEEfv7FqLIcq2lLrFe4RbI9MkyaTFmuNChQ19VlRcdler&#10;wI1X+PYT0uPk66QNNabIsvVUqdd+t5qBCNSF//Bf+1sreE8/4HkmHg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G7ufEAAAA3AAAAA8AAAAAAAAAAAAAAAAAmAIAAGRycy9k&#10;b3ducmV2LnhtbFBLBQYAAAAABAAEAPUAAACJAwAAAAA=&#10;" fillcolor="white [3201]" strokecolor="#f79646 [3209]" strokeweight="1pt">
                        <v:stroke joinstyle="miter"/>
                        <v:textbox>
                          <w:txbxContent>
                            <w:p w:rsidR="005D6D1F" w:rsidRDefault="005D6D1F" w:rsidP="00094394">
                              <w:pPr>
                                <w:spacing w:after="0" w:line="240" w:lineRule="auto"/>
                                <w:jc w:val="center"/>
                                <w:rPr>
                                  <w:sz w:val="16"/>
                                  <w:szCs w:val="16"/>
                                </w:rPr>
                              </w:pPr>
                              <w:r>
                                <w:rPr>
                                  <w:sz w:val="16"/>
                                  <w:szCs w:val="16"/>
                                </w:rPr>
                                <w:t xml:space="preserve">Karori Sanctuary Trust </w:t>
                              </w:r>
                            </w:p>
                            <w:p w:rsidR="005D6D1F" w:rsidRDefault="005D6D1F" w:rsidP="00094394">
                              <w:pPr>
                                <w:spacing w:after="0" w:line="240" w:lineRule="auto"/>
                                <w:jc w:val="center"/>
                                <w:rPr>
                                  <w:sz w:val="16"/>
                                  <w:szCs w:val="16"/>
                                </w:rPr>
                              </w:pPr>
                              <w:r>
                                <w:rPr>
                                  <w:sz w:val="16"/>
                                  <w:szCs w:val="16"/>
                                </w:rPr>
                                <w:t>(Trading as Zealandia)</w:t>
                              </w:r>
                            </w:p>
                            <w:p w:rsidR="005D6D1F" w:rsidRDefault="005D6D1F" w:rsidP="00094394">
                              <w:pPr>
                                <w:spacing w:after="0" w:line="240" w:lineRule="auto"/>
                                <w:jc w:val="center"/>
                                <w:rPr>
                                  <w:sz w:val="16"/>
                                  <w:szCs w:val="16"/>
                                </w:rPr>
                              </w:pPr>
                              <w:r>
                                <w:rPr>
                                  <w:sz w:val="16"/>
                                  <w:szCs w:val="16"/>
                                </w:rPr>
                                <w:t>100%</w:t>
                              </w:r>
                            </w:p>
                          </w:txbxContent>
                        </v:textbox>
                      </v:roundrect>
                      <v:roundrect id="AutoShape 52" o:spid="_x0000_s1042" style="position:absolute;left:51816;top:18192;width:14094;height:466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NFpcYA&#10;AADcAAAADwAAAGRycy9kb3ducmV2LnhtbESPS2vDMBCE74X8B7GB3hpZCc3DiRJCHlAopcTJJbfF&#10;2tgm1spYquP++6pQ6HGYmW+Y1aa3teio9ZVjDWqUgCDOnam40HA5H1/mIHxANlg7Jg3f5GGzHjyt&#10;MDXuwSfqslCICGGfooYyhCaV0uclWfQj1xBH7+ZaiyHKtpCmxUeE21qOk2QqLVYcF0psaFdSfs++&#10;rAb7kS1CcehmV8Vq/843Nf2cKa2fh/12CSJQH/7Df+03o2EyfoXfM/EIyP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LNFpcYAAADcAAAADwAAAAAAAAAAAAAAAACYAgAAZHJz&#10;L2Rvd25yZXYueG1sUEsFBgAAAAAEAAQA9QAAAIsDAAAAAA==&#10;" filled="f" fillcolor="silver">
                        <v:textbox>
                          <w:txbxContent>
                            <w:p w:rsidR="005D6D1F" w:rsidRDefault="005D6D1F" w:rsidP="00B017B4">
                              <w:pPr>
                                <w:spacing w:after="0"/>
                                <w:jc w:val="center"/>
                                <w:rPr>
                                  <w:sz w:val="16"/>
                                  <w:szCs w:val="16"/>
                                </w:rPr>
                              </w:pPr>
                              <w:r>
                                <w:rPr>
                                  <w:sz w:val="16"/>
                                  <w:szCs w:val="16"/>
                                </w:rPr>
                                <w:t>Wellington Water Limited</w:t>
                              </w:r>
                            </w:p>
                            <w:p w:rsidR="005D6D1F" w:rsidRDefault="005D6D1F" w:rsidP="00B017B4">
                              <w:pPr>
                                <w:spacing w:after="0"/>
                                <w:jc w:val="center"/>
                                <w:rPr>
                                  <w:sz w:val="16"/>
                                  <w:szCs w:val="16"/>
                                </w:rPr>
                              </w:pPr>
                              <w:r>
                                <w:rPr>
                                  <w:sz w:val="16"/>
                                  <w:szCs w:val="16"/>
                                </w:rPr>
                                <w:t>42.11%</w:t>
                              </w:r>
                            </w:p>
                            <w:p w:rsidR="005D6D1F" w:rsidRDefault="005D6D1F" w:rsidP="00094394">
                              <w:pPr>
                                <w:rPr>
                                  <w:szCs w:val="16"/>
                                </w:rPr>
                              </w:pPr>
                            </w:p>
                          </w:txbxContent>
                        </v:textbox>
                      </v:roundrect>
                      <v:roundrect id="AutoShape 55" o:spid="_x0000_s1043" style="position:absolute;left:7553;top:36915;width:7972;height:676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jVC8UA&#10;AADcAAAADwAAAGRycy9kb3ducmV2LnhtbESPzWrDMBCE74W8g9hALqWR41LXuJFNSFPotfk55LZY&#10;G9tUWhlLTZw8fVUo5DjMzDfMshqtEWcafOdYwWKegCCune64UbDffTzlIHxA1mgck4IreajKycMS&#10;C+0u/EXnbWhEhLAvUEEbQl9I6euWLPq564mjd3KDxRDl0Eg94CXCrZFpkmTSYsdxocWe1i3V39sf&#10;q8C9rPDxFtLD6+aoDfWmzrL3XKnZdFy9gQg0hnv4v/2pFTynGfydiUdAl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mNULxQAAANwAAAAPAAAAAAAAAAAAAAAAAJgCAABkcnMv&#10;ZG93bnJldi54bWxQSwUGAAAAAAQABAD1AAAAigMAAAAA&#10;" fillcolor="white [3201]" strokecolor="#f79646 [3209]" strokeweight="1pt">
                        <v:stroke joinstyle="miter"/>
                        <v:textbox>
                          <w:txbxContent>
                            <w:p w:rsidR="005D6D1F" w:rsidRDefault="005D6D1F" w:rsidP="00B017B4">
                              <w:pPr>
                                <w:spacing w:after="0"/>
                                <w:jc w:val="center"/>
                                <w:rPr>
                                  <w:sz w:val="16"/>
                                  <w:szCs w:val="16"/>
                                </w:rPr>
                              </w:pPr>
                              <w:r>
                                <w:rPr>
                                  <w:sz w:val="16"/>
                                  <w:szCs w:val="16"/>
                                </w:rPr>
                                <w:t>Creative HQ Limited</w:t>
                              </w:r>
                              <w:r>
                                <w:rPr>
                                  <w:sz w:val="16"/>
                                  <w:szCs w:val="16"/>
                                </w:rPr>
                                <w:br/>
                                <w:t>80%</w:t>
                              </w:r>
                            </w:p>
                          </w:txbxContent>
                        </v:textbox>
                      </v:roundrect>
                    </v:group>
                    <v:line id="Straight Connector 52" o:spid="_x0000_s1044" style="position:absolute;visibility:visible;mso-wrap-style:square" from="11137,35665" to="11137,368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X9n8UAAADbAAAADwAAAGRycy9kb3ducmV2LnhtbESPQWvCQBSE74X+h+UVvBTdqLRo6ipF&#10;FASL1rh4fmRfk9Ds25BdNf57t1DwOMzMN8xs0dlaXKj1lWMFw0ECgjh3puJCgT6u+xMQPiAbrB2T&#10;ght5WMyfn2aYGnflA12yUIgIYZ+igjKEJpXS5yVZ9APXEEfvx7UWQ5RtIU2L1wi3tRwlybu0WHFc&#10;KLGhZUn5b3a2CrZ6enod7yda22O2w29drfZfS6V6L93nB4hAXXiE/9sbo+BtBH9f4g+Q8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DX9n8UAAADbAAAADwAAAAAAAAAA&#10;AAAAAAChAgAAZHJzL2Rvd25yZXYueG1sUEsFBgAAAAAEAAQA+QAAAJMDAAAAAA==&#10;" strokecolor="black [3200]" strokeweight=".5pt">
                      <v:stroke joinstyle="miter"/>
                    </v:line>
                    <v:line id="Straight Connector 54" o:spid="_x0000_s1045" style="position:absolute;visibility:visible;mso-wrap-style:square" from="19371,8277" to="19371,312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AcMUAAADbAAAADwAAAGRycy9kb3ducmV2LnhtbESPQWvCQBSE70L/w/IKvUjdWG2xqauI&#10;KAgVbePS8yP7moRm34bsqvHfdwXB4zAz3zDTeWdrcaLWV44VDAcJCOLcmYoLBfqwfp6A8AHZYO2Y&#10;FFzIw3z20JtiatyZv+mUhUJECPsUFZQhNKmUPi/Joh+4hjh6v661GKJsC2laPEe4reVLkrxJixXH&#10;hRIbWpaU/2VHq+BTv//0R/uJ1vaQ7fBLV6v9dqnU02O3+AARqAv38K29MQpex3D9En+AnP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DAcMUAAADbAAAADwAAAAAAAAAA&#10;AAAAAAChAgAAZHJzL2Rvd25yZXYueG1sUEsFBgAAAAAEAAQA+QAAAJMDAAAAAA==&#10;" strokecolor="black [3200]" strokeweight=".5pt">
                      <v:stroke joinstyle="miter"/>
                    </v:line>
                    <v:line id="Straight Connector 55" o:spid="_x0000_s1046" style="position:absolute;visibility:visible;mso-wrap-style:square" from="17767,31245" to="21102,312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9xl68UAAADbAAAADwAAAGRycy9kb3ducmV2LnhtbESPQWvCQBSE74X+h+UVvBTdaLHE1FWK&#10;WCgotcbF8yP7moRm34bsVuO/dwWhx2FmvmHmy9424kSdrx0rGI8SEMSFMzWXCvThY5iC8AHZYOOY&#10;FFzIw3Lx+DDHzLgz7+mUh1JECPsMFVQhtJmUvqjIoh+5ljh6P66zGKLsSmk6PEe4beQkSV6lxZrj&#10;QoUtrSoqfvM/q2CjZ8fnl12qtT3kX/it6/Vuu1Jq8NS/v4EI1If/8L39aRRMp3D7En+AXF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9xl68UAAADbAAAADwAAAAAAAAAA&#10;AAAAAAChAgAAZHJzL2Rvd25yZXYueG1sUEsFBgAAAAAEAAQA+QAAAJMDAAAAAA==&#10;" strokecolor="black [3200]" strokeweight=".5pt">
                      <v:stroke joinstyle="miter"/>
                    </v:line>
                    <v:line id="Straight Connector 56" o:spid="_x0000_s1047" style="position:absolute;visibility:visible;mso-wrap-style:square" from="17681,21364" to="20985,213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77nMUAAADbAAAADwAAAGRycy9kb3ducmV2LnhtbESPQWvCQBSE70L/w/IKXqRurDTY1FVE&#10;KggWbePS8yP7moRm34bsqvHfu4WCx2FmvmHmy9424kydrx0rmIwTEMSFMzWXCvRx8zQD4QOywcYx&#10;KbiSh+XiYTDHzLgLf9E5D6WIEPYZKqhCaDMpfVGRRT92LXH0flxnMUTZldJ0eIlw28jnJEmlxZrj&#10;QoUtrSsqfvOTVbDTr9+j6WGmtT3me/zU9fvhY63U8LFfvYEI1Id7+L+9NQpeUvj7En+AXN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w77nMUAAADbAAAADwAAAAAAAAAA&#10;AAAAAAChAgAAZHJzL2Rvd25yZXYueG1sUEsFBgAAAAAEAAQA+QAAAJMDAAAAAA==&#10;" strokecolor="black [3200]" strokeweight=".5pt">
                      <v:stroke joinstyle="miter"/>
                    </v:line>
                    <v:line id="Straight Connector 58" o:spid="_x0000_s1048" style="position:absolute;visibility:visible;mso-wrap-style:square" from="17637,14257" to="20656,14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3KdcIAAADbAAAADwAAAGRycy9kb3ducmV2LnhtbERPXWvCMBR9F/Yfwh3sRTTdhqJdUxky&#10;QVB0q2HPl+auLWtuSpNp9+/Ng+Dj4Xxnq8G24ky9bxwreJ4mIIhLZxquFOjTZrIA4QOywdYxKfgn&#10;D6v8YZRhatyFv+hchErEEPYpKqhD6FIpfVmTRT91HXHkflxvMUTYV9L0eInhtpUvSTKXFhuODTV2&#10;tK6p/C3+rIKdXn6PX48Lre2pOOCnbj6O+7VST4/D+xuIQEO4i2/urVEwi2Pjl/gDZH4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d3KdcIAAADbAAAADwAAAAAAAAAAAAAA&#10;AAChAgAAZHJzL2Rvd25yZXYueG1sUEsFBgAAAAAEAAQA+QAAAJADAAAAAA==&#10;" strokecolor="black [3200]" strokeweight=".5pt">
                      <v:stroke joinstyle="miter"/>
                    </v:line>
                  </v:group>
                  <v:line id="Straight Connector 60" o:spid="_x0000_s1049" style="position:absolute;visibility:visible;mso-wrap-style:square" from="50993,9144" to="50993,19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cMzsIAAADbAAAADwAAAGRycy9kb3ducmV2LnhtbERPXWvCMBR9F/wP4Qp7EU3nQFzXVEQm&#10;DCa61eDzpblri81NaTLt/r15EPZ4ON/ZerCtuFLvG8cKnucJCOLSmYYrBfq0m61A+IBssHVMCv7I&#10;wzofjzJMjbvxN12LUIkYwj5FBXUIXSqlL2uy6OeuI47cj+sthgj7SpoebzHctnKRJEtpseHYUGNH&#10;25rKS/FrFXzq1/P05bjS2p6KA37p5v243yr1NBk2byACDeFf/HB/GAXLuD5+iT9A5n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ccMzsIAAADbAAAADwAAAAAAAAAAAAAA&#10;AAChAgAAZHJzL2Rvd25yZXYueG1sUEsFBgAAAAAEAAQA+QAAAJADAAAAAA==&#10;" strokecolor="black [3200]" strokeweight=".5pt">
                    <v:stroke joinstyle="miter"/>
                  </v:line>
                  <v:line id="Straight Connector 62" o:spid="_x0000_s1050" style="position:absolute;visibility:visible;mso-wrap-style:square" from="50179,19213" to="51809,192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lk3IsUAAADbAAAADwAAAGRycy9kb3ducmV2LnhtbESPQWvCQBSE7wX/w/KEXopumoJodBUJ&#10;LRRaao2L50f2mQSzb0N2q/Hfu4VCj8PMfMOsNoNtxYV63zhW8DxNQBCXzjRcKdCHt8kchA/IBlvH&#10;pOBGHjbr0cMKM+OuvKdLESoRIewzVFCH0GVS+rImi37qOuLonVxvMUTZV9L0eI1w28o0SWbSYsNx&#10;ocaO8prKc/FjFXzoxfHpZTfX2h6KL/zWzevuM1fqcTxslyACDeE//Nd+NwpmKfx+iT9Ar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lk3IsUAAADbAAAADwAAAAAAAAAA&#10;AAAAAAChAgAAZHJzL2Rvd25yZXYueG1sUEsFBgAAAAAEAAQA+QAAAJMDAAAAAA==&#10;" strokecolor="black [3200]" strokeweight=".5pt">
                    <v:stroke joinstyle="miter"/>
                  </v:line>
                  <v:line id="Straight Connector 63" o:spid="_x0000_s1051" style="position:absolute;visibility:visible;mso-wrap-style:square" from="50179,12173" to="51805,12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WSucQAAADbAAAADwAAAGRycy9kb3ducmV2LnhtbESPQWvCQBSE74L/YXlCL1I3VhBNXUXE&#10;gqBojUvPj+xrEsy+Ddmtpv++Kwg9DjPzDbNYdbYWN2p95VjBeJSAIM6dqbhQoC8frzMQPiAbrB2T&#10;gl/ysFr2ewtMjbvzmW5ZKESEsE9RQRlCk0rp85Is+pFriKP37VqLIcq2kKbFe4TbWr4lyVRarDgu&#10;lNjQpqT8mv1YBXs9/xpOTjOt7SU74qeutqfDRqmXQbd+BxGoC//hZ3tnFEwn8PgSf4Bc/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5FZK5xAAAANsAAAAPAAAAAAAAAAAA&#10;AAAAAKECAABkcnMvZG93bnJldi54bWxQSwUGAAAAAAQABAD5AAAAkgMAAAAA&#10;" strokecolor="black [3200]" strokeweight=".5pt">
                    <v:stroke joinstyle="miter"/>
                  </v:line>
                </v:group>
                <v:shape id="Plus 289" o:spid="_x0000_s1052" style="position:absolute;left:13609;top:2445;width:2280;height:2070;visibility:visible;mso-wrap-style:square;v-text-anchor:middle" coordsize="227965,207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NnYsQA&#10;AADcAAAADwAAAGRycy9kb3ducmV2LnhtbESPQWvCQBSE70L/w/IKvenGQItJXUUEwZvtKoq3R/Y1&#10;CWbfxuyq8d93BcHjMDPfMNN5bxtxpc7XjhWMRwkI4sKZmksFu+1qOAHhA7LBxjEpuJOH+extMMXc&#10;uBv/0lWHUkQI+xwVVCG0uZS+qMiiH7mWOHp/rrMYouxKaTq8RbhtZJokX9JizXGhwpaWFRUnfbEK&#10;9Hmzv5gfve+PJ0up/sxWh3um1Md7v/gGEagPr/CzvTYK0kkGjzPxCMj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TZ2LEAAAA3AAAAA8AAAAAAAAAAAAAAAAAmAIAAGRycy9k&#10;b3ducmV2LnhtbFBLBQYAAAAABAAEAPUAAACJAwAAAAA=&#10;" path="m30217,79161r59421,l89638,27439r48689,l138327,79161r59421,l197748,127849r-59421,l138327,179571r-48689,l89638,127849r-59421,l30217,79161xe" fillcolor="black [3213]" stroked="f" strokeweight="1pt">
                  <v:stroke joinstyle="miter"/>
                  <v:path arrowok="t" o:connecttype="custom" o:connectlocs="30217,79161;89638,79161;89638,27439;138327,27439;138327,79161;197748,79161;197748,127849;138327,127849;138327,179571;89638,179571;89638,127849;30217,127849;30217,79161" o:connectangles="0,0,0,0,0,0,0,0,0,0,0,0,0"/>
                </v:shape>
                <v:shape id="Equal 290" o:spid="_x0000_s1053" style="position:absolute;top:2126;width:2178;height:2076;visibility:visible;mso-wrap-style:square;v-text-anchor:middle" coordsize="217805,2076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NPyMMA&#10;AADcAAAADwAAAGRycy9kb3ducmV2LnhtbERPz2vCMBS+C/sfwhvspmkLG2s1Stlw7DCQuSF6ezTP&#10;tti81CSr9b9fDoLHj+/3YjWaTgzkfGtZQTpLQBBXVrdcK/j9WU9fQfiArLGzTAqu5GG1fJgssND2&#10;wt80bEMtYgj7AhU0IfSFlL5qyKCf2Z44ckfrDIYIXS21w0sMN53MkuRFGmw5NjTY01tD1Wn7ZxQ8&#10;Dx/u+r7zLi03IR+zGg/7r7NST49jOQcRaAx38c39qRVkeZwfz8QjIJ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vNPyMMAAADcAAAADwAAAAAAAAAAAAAAAACYAgAAZHJzL2Rv&#10;d25yZXYueG1sUEsFBgAAAAAEAAQA9QAAAIgDAAAAAA==&#10;" path="m28870,42775r160065,l188935,91613r-160065,l28870,42775xm28870,116032r160065,l188935,164870r-160065,l28870,116032xe" fillcolor="black [3213]" stroked="f" strokeweight="1pt">
                  <v:stroke joinstyle="miter"/>
                  <v:path arrowok="t" o:connecttype="custom" o:connectlocs="28870,42775;188935,42775;188935,91613;28870,91613;28870,42775;28870,116032;188935,116032;188935,164870;28870,164870;28870,116032" o:connectangles="0,0,0,0,0,0,0,0,0,0"/>
                </v:shape>
                <w10:wrap type="square"/>
              </v:group>
            </w:pict>
          </mc:Fallback>
        </mc:AlternateContent>
      </w:r>
      <w:r w:rsidR="003B3677" w:rsidRPr="00D5126A">
        <w:rPr>
          <w:rFonts w:ascii="Times New Roman" w:hAnsi="Times New Roman"/>
          <w:noProof/>
          <w:sz w:val="24"/>
          <w:szCs w:val="24"/>
          <w:lang w:eastAsia="en-NZ"/>
        </w:rPr>
        <mc:AlternateContent>
          <mc:Choice Requires="wpg">
            <w:drawing>
              <wp:anchor distT="0" distB="0" distL="114300" distR="114300" simplePos="0" relativeHeight="251715584" behindDoc="0" locked="0" layoutInCell="1" allowOverlap="1" wp14:anchorId="6FA43FF8" wp14:editId="0B3703DC">
                <wp:simplePos x="0" y="0"/>
                <wp:positionH relativeFrom="column">
                  <wp:posOffset>79375</wp:posOffset>
                </wp:positionH>
                <wp:positionV relativeFrom="paragraph">
                  <wp:posOffset>217170</wp:posOffset>
                </wp:positionV>
                <wp:extent cx="4043680" cy="1540510"/>
                <wp:effectExtent l="0" t="0" r="13970" b="21590"/>
                <wp:wrapTopAndBottom/>
                <wp:docPr id="42" name="Group 42"/>
                <wp:cNvGraphicFramePr/>
                <a:graphic xmlns:a="http://schemas.openxmlformats.org/drawingml/2006/main">
                  <a:graphicData uri="http://schemas.microsoft.com/office/word/2010/wordprocessingGroup">
                    <wpg:wgp>
                      <wpg:cNvGrpSpPr/>
                      <wpg:grpSpPr>
                        <a:xfrm>
                          <a:off x="0" y="0"/>
                          <a:ext cx="4043680" cy="1540510"/>
                          <a:chOff x="0" y="0"/>
                          <a:chExt cx="4043984" cy="1540565"/>
                        </a:xfrm>
                      </wpg:grpSpPr>
                      <wpg:grpSp>
                        <wpg:cNvPr id="39" name="Group 39"/>
                        <wpg:cNvGrpSpPr/>
                        <wpg:grpSpPr>
                          <a:xfrm>
                            <a:off x="278296" y="0"/>
                            <a:ext cx="3765688" cy="1540565"/>
                            <a:chOff x="0" y="0"/>
                            <a:chExt cx="3714750" cy="1314450"/>
                          </a:xfrm>
                        </wpg:grpSpPr>
                        <wps:wsp>
                          <wps:cNvPr id="296" name="AutoShape 2"/>
                          <wps:cNvSpPr>
                            <a:spLocks noChangeArrowheads="1"/>
                          </wps:cNvSpPr>
                          <wps:spPr bwMode="auto">
                            <a:xfrm>
                              <a:off x="0" y="295275"/>
                              <a:ext cx="1118870" cy="752475"/>
                            </a:xfrm>
                            <a:prstGeom prst="roundRect">
                              <a:avLst>
                                <a:gd name="adj" fmla="val 16667"/>
                              </a:avLst>
                            </a:prstGeom>
                            <a:solidFill>
                              <a:srgbClr val="CCFFFF"/>
                            </a:solidFill>
                            <a:ln w="9525">
                              <a:solidFill>
                                <a:srgbClr val="000000"/>
                              </a:solidFill>
                              <a:round/>
                              <a:headEnd/>
                              <a:tailEnd/>
                            </a:ln>
                          </wps:spPr>
                          <wps:txbx>
                            <w:txbxContent>
                              <w:p w:rsidR="005D6D1F" w:rsidRDefault="005D6D1F" w:rsidP="00094394">
                                <w:pPr>
                                  <w:spacing w:after="0"/>
                                  <w:jc w:val="center"/>
                                  <w:rPr>
                                    <w:rFonts w:ascii="Times" w:hAnsi="Times"/>
                                    <w:sz w:val="16"/>
                                    <w:szCs w:val="16"/>
                                    <w14:shadow w14:blurRad="50800" w14:dist="38100" w14:dir="2700000" w14:sx="100000" w14:sy="100000" w14:kx="0" w14:ky="0" w14:algn="tl">
                                      <w14:srgbClr w14:val="000000">
                                        <w14:alpha w14:val="60000"/>
                                      </w14:srgbClr>
                                    </w14:shadow>
                                  </w:rPr>
                                </w:pPr>
                                <w:r>
                                  <w:rPr>
                                    <w:sz w:val="16"/>
                                    <w:szCs w:val="16"/>
                                  </w:rPr>
                                  <w:t>Wellington City Council</w:t>
                                </w:r>
                              </w:p>
                            </w:txbxContent>
                          </wps:txbx>
                          <wps:bodyPr rot="0" vert="horz" wrap="square" lIns="91440" tIns="45720" rIns="91440" bIns="45720" anchor="ctr" anchorCtr="0" upright="1">
                            <a:noAutofit/>
                          </wps:bodyPr>
                        </wps:wsp>
                        <wps:wsp>
                          <wps:cNvPr id="297" name="AutoShape 4"/>
                          <wps:cNvSpPr>
                            <a:spLocks noChangeArrowheads="1"/>
                          </wps:cNvSpPr>
                          <wps:spPr bwMode="auto">
                            <a:xfrm>
                              <a:off x="1447800" y="295275"/>
                              <a:ext cx="1048385" cy="762000"/>
                            </a:xfrm>
                            <a:prstGeom prst="roundRect">
                              <a:avLst>
                                <a:gd name="adj" fmla="val 16667"/>
                              </a:avLst>
                            </a:prstGeom>
                            <a:solidFill>
                              <a:srgbClr val="CCFFFF"/>
                            </a:solidFill>
                            <a:ln w="9525">
                              <a:solidFill>
                                <a:srgbClr val="000000"/>
                              </a:solidFill>
                              <a:round/>
                              <a:headEnd/>
                              <a:tailEnd/>
                            </a:ln>
                          </wps:spPr>
                          <wps:txbx>
                            <w:txbxContent>
                              <w:p w:rsidR="005D6D1F" w:rsidRDefault="005D6D1F" w:rsidP="00094394">
                                <w:pPr>
                                  <w:spacing w:after="0"/>
                                  <w:jc w:val="center"/>
                                  <w:rPr>
                                    <w:sz w:val="16"/>
                                    <w:szCs w:val="16"/>
                                  </w:rPr>
                                </w:pPr>
                                <w:r>
                                  <w:rPr>
                                    <w:sz w:val="16"/>
                                    <w:szCs w:val="16"/>
                                  </w:rPr>
                                  <w:t>Porirua City Council Joint Ventures</w:t>
                                </w:r>
                              </w:p>
                            </w:txbxContent>
                          </wps:txbx>
                          <wps:bodyPr rot="0" vert="horz" wrap="square" lIns="91440" tIns="45720" rIns="91440" bIns="45720" anchor="ctr" anchorCtr="0" upright="1">
                            <a:noAutofit/>
                          </wps:bodyPr>
                        </wps:wsp>
                        <wps:wsp>
                          <wps:cNvPr id="298" name="AutoShape 43"/>
                          <wps:cNvSpPr>
                            <a:spLocks noChangeArrowheads="1"/>
                          </wps:cNvSpPr>
                          <wps:spPr bwMode="auto">
                            <a:xfrm>
                              <a:off x="2781300" y="704850"/>
                              <a:ext cx="933450" cy="609600"/>
                            </a:xfrm>
                            <a:prstGeom prst="roundRect">
                              <a:avLst>
                                <a:gd name="adj" fmla="val 16667"/>
                              </a:avLst>
                            </a:prstGeom>
                            <a:solidFill>
                              <a:srgbClr val="FFFFFF"/>
                            </a:solidFill>
                            <a:ln w="9525">
                              <a:solidFill>
                                <a:srgbClr val="000000"/>
                              </a:solidFill>
                              <a:round/>
                              <a:headEnd/>
                              <a:tailEnd/>
                            </a:ln>
                          </wps:spPr>
                          <wps:txbx>
                            <w:txbxContent>
                              <w:p w:rsidR="005D6D1F" w:rsidRDefault="005D6D1F" w:rsidP="00094394">
                                <w:pPr>
                                  <w:spacing w:after="0"/>
                                  <w:jc w:val="center"/>
                                  <w:rPr>
                                    <w:sz w:val="16"/>
                                    <w:szCs w:val="16"/>
                                  </w:rPr>
                                </w:pPr>
                                <w:r>
                                  <w:rPr>
                                    <w:sz w:val="16"/>
                                    <w:szCs w:val="16"/>
                                  </w:rPr>
                                  <w:t>Wastewater Treatment Plant</w:t>
                                </w:r>
                              </w:p>
                              <w:p w:rsidR="005D6D1F" w:rsidRDefault="005D6D1F" w:rsidP="00094394">
                                <w:pPr>
                                  <w:spacing w:after="0"/>
                                  <w:jc w:val="center"/>
                                  <w:rPr>
                                    <w:sz w:val="16"/>
                                    <w:szCs w:val="16"/>
                                  </w:rPr>
                                </w:pPr>
                                <w:r>
                                  <w:rPr>
                                    <w:sz w:val="16"/>
                                    <w:szCs w:val="16"/>
                                  </w:rPr>
                                  <w:t>27.60%</w:t>
                                </w:r>
                              </w:p>
                              <w:p w:rsidR="005D6D1F" w:rsidRDefault="005D6D1F" w:rsidP="00094394">
                                <w:pPr>
                                  <w:jc w:val="center"/>
                                  <w:rPr>
                                    <w:sz w:val="16"/>
                                    <w:szCs w:val="16"/>
                                  </w:rPr>
                                </w:pPr>
                              </w:p>
                            </w:txbxContent>
                          </wps:txbx>
                          <wps:bodyPr rot="0" vert="horz" wrap="square" lIns="91440" tIns="45720" rIns="91440" bIns="45720" anchor="t" anchorCtr="0" upright="1">
                            <a:noAutofit/>
                          </wps:bodyPr>
                        </wps:wsp>
                        <wps:wsp>
                          <wps:cNvPr id="299" name="AutoShape 44"/>
                          <wps:cNvSpPr>
                            <a:spLocks noChangeArrowheads="1"/>
                          </wps:cNvSpPr>
                          <wps:spPr bwMode="auto">
                            <a:xfrm>
                              <a:off x="2781300" y="0"/>
                              <a:ext cx="933450" cy="601980"/>
                            </a:xfrm>
                            <a:prstGeom prst="roundRect">
                              <a:avLst>
                                <a:gd name="adj" fmla="val 16667"/>
                              </a:avLst>
                            </a:prstGeom>
                            <a:solidFill>
                              <a:srgbClr val="FFFFFF"/>
                            </a:solidFill>
                            <a:ln w="9525">
                              <a:solidFill>
                                <a:srgbClr val="000000"/>
                              </a:solidFill>
                              <a:round/>
                              <a:headEnd/>
                              <a:tailEnd/>
                            </a:ln>
                          </wps:spPr>
                          <wps:txbx>
                            <w:txbxContent>
                              <w:p w:rsidR="005D6D1F" w:rsidRDefault="005D6D1F" w:rsidP="00094394">
                                <w:pPr>
                                  <w:spacing w:after="0"/>
                                  <w:jc w:val="center"/>
                                  <w:rPr>
                                    <w:sz w:val="16"/>
                                    <w:szCs w:val="16"/>
                                  </w:rPr>
                                </w:pPr>
                                <w:r>
                                  <w:rPr>
                                    <w:sz w:val="16"/>
                                    <w:szCs w:val="16"/>
                                  </w:rPr>
                                  <w:t>Spicer Valley Landfill 21.50%</w:t>
                                </w:r>
                              </w:p>
                            </w:txbxContent>
                          </wps:txbx>
                          <wps:bodyPr rot="0" vert="horz" wrap="square" lIns="91440" tIns="45720" rIns="91440" bIns="45720" anchor="ctr" anchorCtr="0" upright="1">
                            <a:noAutofit/>
                          </wps:bodyPr>
                        </wps:wsp>
                        <wps:wsp>
                          <wps:cNvPr id="300" name="Freeform 300"/>
                          <wps:cNvSpPr>
                            <a:spLocks/>
                          </wps:cNvSpPr>
                          <wps:spPr bwMode="auto">
                            <a:xfrm>
                              <a:off x="2495550" y="466725"/>
                              <a:ext cx="284480" cy="135255"/>
                            </a:xfrm>
                            <a:custGeom>
                              <a:avLst/>
                              <a:gdLst>
                                <a:gd name="T0" fmla="*/ 427 w 427"/>
                                <a:gd name="T1" fmla="*/ 0 h 125"/>
                                <a:gd name="T2" fmla="*/ 0 w 427"/>
                                <a:gd name="T3" fmla="*/ 125 h 125"/>
                                <a:gd name="connsiteX0" fmla="*/ 13794 w 13794"/>
                                <a:gd name="connsiteY0" fmla="*/ 0 h 17200"/>
                                <a:gd name="connsiteX1" fmla="*/ 0 w 13794"/>
                                <a:gd name="connsiteY1" fmla="*/ 17200 h 17200"/>
                                <a:gd name="connsiteX0" fmla="*/ 11241 w 11241"/>
                                <a:gd name="connsiteY0" fmla="*/ 0 h 17200"/>
                                <a:gd name="connsiteX1" fmla="*/ 0 w 11241"/>
                                <a:gd name="connsiteY1" fmla="*/ 17200 h 17200"/>
                              </a:gdLst>
                              <a:ahLst/>
                              <a:cxnLst>
                                <a:cxn ang="0">
                                  <a:pos x="connsiteX0" y="connsiteY0"/>
                                </a:cxn>
                                <a:cxn ang="0">
                                  <a:pos x="connsiteX1" y="connsiteY1"/>
                                </a:cxn>
                              </a:cxnLst>
                              <a:rect l="l" t="t" r="r" b="b"/>
                              <a:pathLst>
                                <a:path w="11241" h="17200">
                                  <a:moveTo>
                                    <a:pt x="11241" y="0"/>
                                  </a:moveTo>
                                  <a:cubicBezTo>
                                    <a:pt x="7908" y="3333"/>
                                    <a:pt x="3333" y="13867"/>
                                    <a:pt x="0" y="1720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1" name="Freeform 301"/>
                          <wps:cNvSpPr>
                            <a:spLocks/>
                          </wps:cNvSpPr>
                          <wps:spPr bwMode="auto">
                            <a:xfrm>
                              <a:off x="2495550" y="704850"/>
                              <a:ext cx="296030" cy="74295"/>
                            </a:xfrm>
                            <a:custGeom>
                              <a:avLst/>
                              <a:gdLst>
                                <a:gd name="T0" fmla="*/ 435 w 435"/>
                                <a:gd name="T1" fmla="*/ 117 h 117"/>
                                <a:gd name="T2" fmla="*/ 349 w 435"/>
                                <a:gd name="T3" fmla="*/ 90 h 117"/>
                                <a:gd name="T4" fmla="*/ 0 w 435"/>
                                <a:gd name="T5" fmla="*/ 0 h 117"/>
                                <a:gd name="connsiteX0" fmla="*/ 10000 w 10000"/>
                                <a:gd name="connsiteY0" fmla="*/ 10000 h 10000"/>
                                <a:gd name="connsiteX1" fmla="*/ 9632 w 10000"/>
                                <a:gd name="connsiteY1" fmla="*/ 10000 h 10000"/>
                                <a:gd name="connsiteX2" fmla="*/ 0 w 10000"/>
                                <a:gd name="connsiteY2" fmla="*/ 0 h 10000"/>
                                <a:gd name="connsiteX0" fmla="*/ 10667 w 10667"/>
                                <a:gd name="connsiteY0" fmla="*/ 10000 h 10000"/>
                                <a:gd name="connsiteX1" fmla="*/ 10299 w 10667"/>
                                <a:gd name="connsiteY1" fmla="*/ 10000 h 10000"/>
                                <a:gd name="connsiteX2" fmla="*/ 0 w 10667"/>
                                <a:gd name="connsiteY2" fmla="*/ 0 h 10000"/>
                                <a:gd name="connsiteX0" fmla="*/ 10717 w 10717"/>
                                <a:gd name="connsiteY0" fmla="*/ 10000 h 10000"/>
                                <a:gd name="connsiteX1" fmla="*/ 10349 w 10717"/>
                                <a:gd name="connsiteY1" fmla="*/ 10000 h 10000"/>
                                <a:gd name="connsiteX2" fmla="*/ 50 w 10717"/>
                                <a:gd name="connsiteY2" fmla="*/ 0 h 10000"/>
                              </a:gdLst>
                              <a:ahLst/>
                              <a:cxnLst>
                                <a:cxn ang="0">
                                  <a:pos x="connsiteX0" y="connsiteY0"/>
                                </a:cxn>
                                <a:cxn ang="0">
                                  <a:pos x="connsiteX1" y="connsiteY1"/>
                                </a:cxn>
                                <a:cxn ang="0">
                                  <a:pos x="connsiteX2" y="connsiteY2"/>
                                </a:cxn>
                              </a:cxnLst>
                              <a:rect l="l" t="t" r="r" b="b"/>
                              <a:pathLst>
                                <a:path w="10717" h="10000">
                                  <a:moveTo>
                                    <a:pt x="10717" y="10000"/>
                                  </a:moveTo>
                                  <a:lnTo>
                                    <a:pt x="10349" y="10000"/>
                                  </a:lnTo>
                                  <a:cubicBezTo>
                                    <a:pt x="7675" y="7436"/>
                                    <a:pt x="-724" y="0"/>
                                    <a:pt x="5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40" name="Plus 40"/>
                        <wps:cNvSpPr/>
                        <wps:spPr>
                          <a:xfrm>
                            <a:off x="1461052" y="705678"/>
                            <a:ext cx="228600" cy="207634"/>
                          </a:xfrm>
                          <a:prstGeom prst="mathPlus">
                            <a:avLst/>
                          </a:prstGeom>
                          <a:solidFill>
                            <a:schemeClr val="tx1"/>
                          </a:solidFill>
                          <a:ln w="317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Equal 41"/>
                        <wps:cNvSpPr/>
                        <wps:spPr>
                          <a:xfrm>
                            <a:off x="0" y="705678"/>
                            <a:ext cx="218440" cy="208280"/>
                          </a:xfrm>
                          <a:prstGeom prst="mathEqual">
                            <a:avLst>
                              <a:gd name="adj1" fmla="val 23520"/>
                              <a:gd name="adj2" fmla="val 11761"/>
                            </a:avLst>
                          </a:prstGeom>
                          <a:solidFill>
                            <a:schemeClr val="tx1"/>
                          </a:solidFill>
                          <a:ln w="317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42" o:spid="_x0000_s1054" style="position:absolute;margin-left:6.25pt;margin-top:17.1pt;width:318.4pt;height:121.3pt;z-index:251715584;mso-width-relative:margin;mso-height-relative:margin" coordsize="40439,15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">
                <v:group id="Group 39" o:spid="_x0000_s1055" style="position:absolute;left:2782;width:37657;height:15405" coordsize="37147,13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7I358QAAADbAAAADwAAAGRycy9kb3ducmV2LnhtbESPT4vCMBTE7wt+h/AE&#10;b2taxUWrUURc8SCCf0C8PZpnW2xeSpNt67ffLAh7HGbmN8xi1ZlSNFS7wrKCeBiBIE6tLjhTcL18&#10;f05BOI+ssbRMCl7kYLXsfSww0bblEzVnn4kAYZeggtz7KpHSpTkZdENbEQfvYWuDPsg6k7rGNsBN&#10;KUdR9CUNFhwWcqxok1P6PP8YBbsW2/U43jaH52Pzul8mx9shJqUG/W49B+Gp8//hd3uvFYx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7I358QAAADbAAAA&#10;DwAAAAAAAAAAAAAAAACqAgAAZHJzL2Rvd25yZXYueG1sUEsFBgAAAAAEAAQA+gAAAJsDAAAAAA==&#10;">
                  <v:roundrect id="AutoShape 2" o:spid="_x0000_s1056" style="position:absolute;top:2952;width:11188;height:752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P+ScYA&#10;AADcAAAADwAAAGRycy9kb3ducmV2LnhtbESP3WoCMRSE7wu+QziCdzWriNTVKCJqS6nFP7w+bI6b&#10;xc3Jsom69elNodDLYWa+YSazxpbiRrUvHCvodRMQxJnTBecKjofV6xsIH5A1lo5JwQ95mE1bLxNM&#10;tbvzjm77kIsIYZ+iAhNClUrpM0MWfddVxNE7u9piiLLOpa7xHuG2lP0kGUqLBccFgxUtDGWX/dUq&#10;WDTLwXpuTu+fm+X3pfeVPba77UGpTruZj0EEasJ/+K/9oRX0R0P4PROPgJw+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rP+ScYAAADcAAAADwAAAAAAAAAAAAAAAACYAgAAZHJz&#10;L2Rvd25yZXYueG1sUEsFBgAAAAAEAAQA9QAAAIsDAAAAAA==&#10;" fillcolor="#cff">
                    <v:textbox>
                      <w:txbxContent>
                        <w:p w:rsidR="005D6D1F" w:rsidRDefault="005D6D1F" w:rsidP="00094394">
                          <w:pPr>
                            <w:spacing w:after="0"/>
                            <w:jc w:val="center"/>
                            <w:rPr>
                              <w:rFonts w:ascii="Times" w:hAnsi="Times"/>
                              <w:sz w:val="16"/>
                              <w:szCs w:val="16"/>
                              <w14:shadow w14:blurRad="50800" w14:dist="38100" w14:dir="2700000" w14:sx="100000" w14:sy="100000" w14:kx="0" w14:ky="0" w14:algn="tl">
                                <w14:srgbClr w14:val="000000">
                                  <w14:alpha w14:val="60000"/>
                                </w14:srgbClr>
                              </w14:shadow>
                            </w:rPr>
                          </w:pPr>
                          <w:r>
                            <w:rPr>
                              <w:sz w:val="16"/>
                              <w:szCs w:val="16"/>
                            </w:rPr>
                            <w:t>Wellington City Council</w:t>
                          </w:r>
                        </w:p>
                      </w:txbxContent>
                    </v:textbox>
                  </v:roundrect>
                  <v:roundrect id="AutoShape 4" o:spid="_x0000_s1057" style="position:absolute;left:14478;top:2952;width:10483;height:762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9b0sYA&#10;AADcAAAADwAAAGRycy9kb3ducmV2LnhtbESP3WoCMRSE7wu+QzhC72pWKW1djSKirRQr/uH1YXPc&#10;LG5Olk2qq09vCgUvh5n5hhmOG1uKM9W+cKyg20lAEGdOF5wr2O/mLx8gfEDWWDomBVfyMB61noaY&#10;anfhDZ23IRcRwj5FBSaEKpXSZ4Ys+o6riKN3dLXFEGWdS13jJcJtKXtJ8iYtFhwXDFY0NZSdtr9W&#10;wbSZvX5OzOHr+2e2OnWX2W29We+Uem43kwGIQE14hP/bC62g13+HvzPxCMjR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f9b0sYAAADcAAAADwAAAAAAAAAAAAAAAACYAgAAZHJz&#10;L2Rvd25yZXYueG1sUEsFBgAAAAAEAAQA9QAAAIsDAAAAAA==&#10;" fillcolor="#cff">
                    <v:textbox>
                      <w:txbxContent>
                        <w:p w:rsidR="005D6D1F" w:rsidRDefault="005D6D1F" w:rsidP="00094394">
                          <w:pPr>
                            <w:spacing w:after="0"/>
                            <w:jc w:val="center"/>
                            <w:rPr>
                              <w:sz w:val="16"/>
                              <w:szCs w:val="16"/>
                            </w:rPr>
                          </w:pPr>
                          <w:r>
                            <w:rPr>
                              <w:sz w:val="16"/>
                              <w:szCs w:val="16"/>
                            </w:rPr>
                            <w:t>Porirua City Council Joint Ventures</w:t>
                          </w:r>
                        </w:p>
                      </w:txbxContent>
                    </v:textbox>
                  </v:roundrect>
                  <v:roundrect id="AutoShape 43" o:spid="_x0000_s1058" style="position:absolute;left:27813;top:7048;width:9334;height:609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nM8MEA&#10;AADcAAAADwAAAGRycy9kb3ducmV2LnhtbERPz2vCMBS+D/wfwhO8zWSCY1ZjGYJjN1nnweOzeWvL&#10;mpc2SWvdX78cBjt+fL93+WRbMZIPjWMNT0sFgrh0puFKw/nz+PgCIkRkg61j0nCnAPl+9rDDzLgb&#10;f9BYxEqkEA4Zaqhj7DIpQ1mTxbB0HXHivpy3GBP0lTQebynctnKl1LO02HBqqLGjQ03ldzFYDaVR&#10;g/KX8bS5rmPxMw49y7de68V8et2CiDTFf/Gf+91oWG3S2nQmHQG5/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EpzPDBAAAA3AAAAA8AAAAAAAAAAAAAAAAAmAIAAGRycy9kb3du&#10;cmV2LnhtbFBLBQYAAAAABAAEAPUAAACGAwAAAAA=&#10;">
                    <v:textbox>
                      <w:txbxContent>
                        <w:p w:rsidR="005D6D1F" w:rsidRDefault="005D6D1F" w:rsidP="00094394">
                          <w:pPr>
                            <w:spacing w:after="0"/>
                            <w:jc w:val="center"/>
                            <w:rPr>
                              <w:sz w:val="16"/>
                              <w:szCs w:val="16"/>
                            </w:rPr>
                          </w:pPr>
                          <w:r>
                            <w:rPr>
                              <w:sz w:val="16"/>
                              <w:szCs w:val="16"/>
                            </w:rPr>
                            <w:t>Wastewater Treatment Plant</w:t>
                          </w:r>
                        </w:p>
                        <w:p w:rsidR="005D6D1F" w:rsidRDefault="005D6D1F" w:rsidP="00094394">
                          <w:pPr>
                            <w:spacing w:after="0"/>
                            <w:jc w:val="center"/>
                            <w:rPr>
                              <w:sz w:val="16"/>
                              <w:szCs w:val="16"/>
                            </w:rPr>
                          </w:pPr>
                          <w:r>
                            <w:rPr>
                              <w:sz w:val="16"/>
                              <w:szCs w:val="16"/>
                            </w:rPr>
                            <w:t>27.60%</w:t>
                          </w:r>
                        </w:p>
                        <w:p w:rsidR="005D6D1F" w:rsidRDefault="005D6D1F" w:rsidP="00094394">
                          <w:pPr>
                            <w:jc w:val="center"/>
                            <w:rPr>
                              <w:sz w:val="16"/>
                              <w:szCs w:val="16"/>
                            </w:rPr>
                          </w:pPr>
                        </w:p>
                      </w:txbxContent>
                    </v:textbox>
                  </v:roundrect>
                  <v:roundrect id="AutoShape 44" o:spid="_x0000_s1059" style="position:absolute;left:27813;width:9334;height:601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MBl8YA&#10;AADcAAAADwAAAGRycy9kb3ducmV2LnhtbESP3WrCQBSE7wXfYTlCb0rdqMWa1E0QS6Fge+HPAxyy&#10;p0kwezburpr26d1CwcthZr5hlkVvWnEh5xvLCibjBARxaXXDlYLD/v1pAcIHZI2tZVLwQx6KfDhY&#10;Yqbtlbd02YVKRAj7DBXUIXSZlL6syaAf2444et/WGQxRukpqh9cIN62cJslcGmw4LtTY0bqm8rg7&#10;GwXV12nGL/vZJn3ugpOf9vy7fntU6mHUr15BBOrDPfzf/tAKpmkKf2fiEZD5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GMBl8YAAADcAAAADwAAAAAAAAAAAAAAAACYAgAAZHJz&#10;L2Rvd25yZXYueG1sUEsFBgAAAAAEAAQA9QAAAIsDAAAAAA==&#10;">
                    <v:textbox>
                      <w:txbxContent>
                        <w:p w:rsidR="005D6D1F" w:rsidRDefault="005D6D1F" w:rsidP="00094394">
                          <w:pPr>
                            <w:spacing w:after="0"/>
                            <w:jc w:val="center"/>
                            <w:rPr>
                              <w:sz w:val="16"/>
                              <w:szCs w:val="16"/>
                            </w:rPr>
                          </w:pPr>
                          <w:r>
                            <w:rPr>
                              <w:sz w:val="16"/>
                              <w:szCs w:val="16"/>
                            </w:rPr>
                            <w:t>Spicer Valley Landfill 21.50%</w:t>
                          </w:r>
                        </w:p>
                      </w:txbxContent>
                    </v:textbox>
                  </v:roundrect>
                  <v:shape id="Freeform 300" o:spid="_x0000_s1060" style="position:absolute;left:24955;top:4667;width:2845;height:1352;visibility:visible;mso-wrap-style:square;v-text-anchor:top" coordsize="11241,17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4DXsQA&#10;AADcAAAADwAAAGRycy9kb3ducmV2LnhtbERPz2vCMBS+D/Y/hDfwMmyqxSmdUVRwzItgJuLxrXlr&#10;65qX0kTt/vvlMNjx4/s9X/a2ETfqfO1YwShJQRAXztRcKjh+bIczED4gG2wck4If8rBcPD7MMTfu&#10;zge66VCKGMI+RwVVCG0upS8qsugT1xJH7st1FkOEXSlNh/cYbhs5TtMXabHm2FBhS5uKim99tQqm&#10;l92+nmT6bXx5Xmens9H2c62VGjz1q1cQgfrwL/5zvxsFWRrnxzPxCMj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7+A17EAAAA3AAAAA8AAAAAAAAAAAAAAAAAmAIAAGRycy9k&#10;b3ducmV2LnhtbFBLBQYAAAAABAAEAPUAAACJAwAAAAA=&#10;" path="m11241,c7908,3333,3333,13867,,17200e" filled="f">
                    <v:path arrowok="t" o:connecttype="custom" o:connectlocs="284480,0;0,135255" o:connectangles="0,0"/>
                  </v:shape>
                  <v:shape id="Freeform 301" o:spid="_x0000_s1061" style="position:absolute;left:24955;top:7048;width:2960;height:743;visibility:visible;mso-wrap-style:square;v-text-anchor:top" coordsize="10717,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TT8MQA&#10;AADcAAAADwAAAGRycy9kb3ducmV2LnhtbESPT4vCMBTE74LfIbwFb5qqIFpNyyIIyuLBP5feHs3b&#10;tmzzUpvYdr+9WVjwOMzMb5hdOphadNS6yrKC+SwCQZxbXXGh4H47TNcgnEfWWFsmBb/kIE3Gox3G&#10;2vZ8oe7qCxEg7GJUUHrfxFK6vCSDbmYb4uB929agD7ItpG6xD3BTy0UUraTBisNCiQ3tS8p/rk+j&#10;4MutK3oss8PpuXGdzFbnU9ZrpSYfw+cWhKfBv8P/7aNWsIzm8HcmHAGZv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E0/DEAAAA3AAAAA8AAAAAAAAAAAAAAAAAmAIAAGRycy9k&#10;b3ducmV2LnhtbFBLBQYAAAAABAAEAPUAAACJAwAAAAA=&#10;" path="m10717,10000r-368,c7675,7436,-724,,50,e" filled="f">
                    <v:path arrowok="t" o:connecttype="custom" o:connectlocs="296030,74295;285865,74295;1381,0" o:connectangles="0,0,0"/>
                  </v:shape>
                </v:group>
                <v:shape id="Plus 40" o:spid="_x0000_s1062" style="position:absolute;left:14610;top:7056;width:2286;height:2077;visibility:visible;mso-wrap-style:square;v-text-anchor:middle" coordsize="228600,2076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G/AcEA&#10;AADbAAAADwAAAGRycy9kb3ducmV2LnhtbERPz2vCMBS+D/Y/hDfwNpPNrYzOKJvo8CCCOjw/mre2&#10;2LyUJLbVv94chB0/vt/T+WAb0ZEPtWMNL2MFgrhwpuZSw+9h9fwBIkRkg41j0nChAPPZ48MUc+N6&#10;3lG3j6VIIRxy1FDF2OZShqIii2HsWuLE/TlvMSboS2k89incNvJVqUxarDk1VNjSoqLitD9bDTJz&#10;6krN8bvO3v1xszmdJ8ufrdajp+HrE0SkIf6L7+610fCW1qcv6QfI2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4hvwHBAAAA2wAAAA8AAAAAAAAAAAAAAAAAmAIAAGRycy9kb3du&#10;cmV2LnhtbFBLBQYAAAAABAAEAPUAAACGAwAAAAA=&#10;" path="m30301,79399r59581,l89882,27522r48836,l138718,79399r59581,l198299,128235r-59581,l138718,180112r-48836,l89882,128235r-59581,l30301,79399xe" fillcolor="black [3213]" stroked="f" strokeweight=".25pt">
                  <v:stroke joinstyle="miter"/>
                  <v:path arrowok="t" o:connecttype="custom" o:connectlocs="30301,79399;89882,79399;89882,27522;138718,27522;138718,79399;198299,79399;198299,128235;138718,128235;138718,180112;89882,180112;89882,128235;30301,128235;30301,79399" o:connectangles="0,0,0,0,0,0,0,0,0,0,0,0,0"/>
                </v:shape>
                <v:shape id="Equal 41" o:spid="_x0000_s1063" style="position:absolute;top:7056;width:2184;height:2083;visibility:visible;mso-wrap-style:square;v-text-anchor:middle" coordsize="218440,208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BfFsUA&#10;AADbAAAADwAAAGRycy9kb3ducmV2LnhtbESPQWvCQBSE7wX/w/KE3uomtpQasxEVWoTSQzUHj4/s&#10;Mwlm34bd1UR/fbdQ6HGYmW+YfDWaTlzJ+daygnSWgCCurG65VlAe3p/eQPiArLGzTApu5GFVTB5y&#10;zLQd+Juu+1CLCGGfoYImhD6T0lcNGfQz2xNH72SdwRClq6V2OES46eQ8SV6lwZbjQoM9bRuqzvuL&#10;UXD3i83XPP0oN74a9LP7PG5LuVPqcTqulyACjeE//NfeaQUvKfx+iT9AF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kF8WxQAAANsAAAAPAAAAAAAAAAAAAAAAAJgCAABkcnMv&#10;ZG93bnJldi54bWxQSwUGAAAAAAQABAD1AAAAigMAAAAA&#10;" path="m28954,42905r160532,l189486,91892r-160532,l28954,42905xm28954,116388r160532,l189486,165375r-160532,l28954,116388xe" fillcolor="black [3213]" stroked="f" strokeweight=".25pt">
                  <v:stroke joinstyle="miter"/>
                  <v:path arrowok="t" o:connecttype="custom" o:connectlocs="28954,42905;189486,42905;189486,91892;28954,91892;28954,42905;28954,116388;189486,116388;189486,165375;28954,165375;28954,116388" o:connectangles="0,0,0,0,0,0,0,0,0,0"/>
                </v:shape>
                <w10:wrap type="topAndBottom"/>
              </v:group>
            </w:pict>
          </mc:Fallback>
        </mc:AlternateContent>
      </w:r>
      <w:r w:rsidR="00FA6A77" w:rsidRPr="00D5126A">
        <w:t>Wellington City Council Group Reporting Entity (Group)</w:t>
      </w:r>
    </w:p>
    <w:p w:rsidR="00FA6A77" w:rsidRPr="00D5126A" w:rsidRDefault="00FA6A77" w:rsidP="00FA6A77">
      <w:pPr>
        <w:pStyle w:val="Body"/>
      </w:pPr>
    </w:p>
    <w:p w:rsidR="00135461" w:rsidRPr="00D5126A" w:rsidRDefault="00135461" w:rsidP="00135461">
      <w:pPr>
        <w:pStyle w:val="Body"/>
        <w:rPr>
          <w:rFonts w:cs="Arial"/>
          <w:color w:val="333333"/>
          <w:lang w:eastAsia="en-GB"/>
        </w:rPr>
      </w:pPr>
      <w:r w:rsidRPr="00D5126A">
        <w:t>All entities included within the Group are domiciled in Wellington, New Zealand</w:t>
      </w:r>
    </w:p>
    <w:p w:rsidR="00135461" w:rsidRPr="00D5126A" w:rsidRDefault="00135461" w:rsidP="00135461">
      <w:pPr>
        <w:pStyle w:val="Body"/>
        <w:rPr>
          <w:rFonts w:ascii="Arial" w:hAnsi="Arial"/>
          <w:szCs w:val="20"/>
        </w:rPr>
      </w:pPr>
      <w:r w:rsidRPr="00D5126A">
        <w:t xml:space="preserve">The percentages represent the Council’s interest and/or ownership (for accounting purposes) in each of the entities in the Group. Refer to Notes 19 and </w:t>
      </w:r>
      <w:r w:rsidRPr="00BF629A">
        <w:t xml:space="preserve">20 (pages </w:t>
      </w:r>
      <w:r w:rsidR="00BF629A" w:rsidRPr="00BF629A">
        <w:t>262</w:t>
      </w:r>
      <w:r w:rsidRPr="00BF629A">
        <w:t xml:space="preserve"> and </w:t>
      </w:r>
      <w:r w:rsidR="00BF629A" w:rsidRPr="00BF629A">
        <w:t>263</w:t>
      </w:r>
      <w:r w:rsidRPr="00BF629A">
        <w:t>)</w:t>
      </w:r>
      <w:r w:rsidRPr="00D5126A">
        <w:t xml:space="preserve"> for more information.</w:t>
      </w:r>
    </w:p>
    <w:p w:rsidR="00A3493E" w:rsidRPr="00D5126A" w:rsidRDefault="00A3493E" w:rsidP="00135461">
      <w:pPr>
        <w:rPr>
          <w:rFonts w:eastAsiaTheme="majorEastAsia"/>
        </w:rPr>
      </w:pPr>
    </w:p>
    <w:p w:rsidR="00FA6A77" w:rsidRPr="00D5126A" w:rsidRDefault="00FA6A77" w:rsidP="00FA6A77">
      <w:pPr>
        <w:pStyle w:val="Heading2"/>
        <w:rPr>
          <w:szCs w:val="28"/>
        </w:rPr>
      </w:pPr>
      <w:bookmarkStart w:id="392" w:name="_Toc23758621"/>
      <w:bookmarkStart w:id="393" w:name="_Toc23848690"/>
      <w:r w:rsidRPr="00D5126A">
        <w:lastRenderedPageBreak/>
        <w:t>Basis of Consolidation</w:t>
      </w:r>
      <w:bookmarkEnd w:id="392"/>
      <w:bookmarkEnd w:id="393"/>
    </w:p>
    <w:p w:rsidR="00FA6A77" w:rsidRPr="00D5126A" w:rsidRDefault="00FA6A77" w:rsidP="00972CA2">
      <w:pPr>
        <w:pStyle w:val="Heading4"/>
      </w:pPr>
      <w:r w:rsidRPr="00D5126A">
        <w:t>Joint ventures</w:t>
      </w:r>
    </w:p>
    <w:p w:rsidR="00FA6A77" w:rsidRPr="00D5126A" w:rsidRDefault="00FA6A77" w:rsidP="00FA6A77">
      <w:pPr>
        <w:pStyle w:val="Body"/>
        <w:jc w:val="both"/>
      </w:pPr>
      <w:r w:rsidRPr="00D5126A">
        <w:t>Joint ventures are binding contractual arrangements with other parties to jointly control an undertaken activity. The accounting treatment can vary according to the structure of the venture concerned. The two structure types are either a jointly controlled asset or a jointly controlled entity.</w:t>
      </w:r>
    </w:p>
    <w:p w:rsidR="00FA6A77" w:rsidRPr="00D5126A" w:rsidRDefault="00FA6A77" w:rsidP="00FA6A77">
      <w:pPr>
        <w:pStyle w:val="Body"/>
        <w:jc w:val="both"/>
      </w:pPr>
      <w:r w:rsidRPr="00D5126A">
        <w:t>For a jointly controlled asset the Council has a liability in respect of its share of joint ventures’ operational deficits and liabilities, and shares in any operational surpluses and assets. The Council’s proportionate interest (ie. 21.5% of the Spicer Valley landfill) in the assets, liabilities, revenue and expenditure is included in the financial statements of the Council and Group on a line-by-line basis.</w:t>
      </w:r>
    </w:p>
    <w:p w:rsidR="00FA6A77" w:rsidRPr="00D5126A" w:rsidRDefault="00FA6A77" w:rsidP="00FA6A77">
      <w:pPr>
        <w:pStyle w:val="Body"/>
        <w:jc w:val="both"/>
      </w:pPr>
      <w:r w:rsidRPr="00D5126A">
        <w:t>For a jointly controlled entity the Council chooses to use the equity accounting treatment option available as it better reflects its investment in the joint venture. The investment is initially recognised at cost, and adjusted thereafter for the post-acquisition changes in the Council’s share of net assets/equity of the entity. The Council’s share of the surplus or deficit of the entity is included in the Group’s surplus or deficit on a single line.</w:t>
      </w:r>
    </w:p>
    <w:p w:rsidR="00FA6A77" w:rsidRPr="00D5126A" w:rsidRDefault="00FA6A77" w:rsidP="00972CA2">
      <w:pPr>
        <w:pStyle w:val="Heading4"/>
      </w:pPr>
      <w:r w:rsidRPr="00D5126A">
        <w:t>Controlled entities</w:t>
      </w:r>
    </w:p>
    <w:p w:rsidR="00FA6A77" w:rsidRPr="00D5126A" w:rsidRDefault="00FA6A77" w:rsidP="00FA6A77">
      <w:pPr>
        <w:pStyle w:val="Body"/>
        <w:jc w:val="both"/>
      </w:pPr>
      <w:r w:rsidRPr="00D5126A">
        <w:t xml:space="preserve">Controlled entities are entities that are controlled by the Council. In the Council financial statements, the investment in controlled entities are carried at cost. In the Group financial statements, controlled entities are accounted for using the purchase method where assets, liabilities, revenue and expenditure are added on a line-by-line basis. Where a non-controlling interest is held by another party in a Council controlled entity, the controlled entity is consolidated as if it was fully controlled and the share of any surplus or deficit attributable to the non-controlling interest is disclosed within the Statement of Comprehensive Revenue and Expense. </w:t>
      </w:r>
    </w:p>
    <w:p w:rsidR="00FA6A77" w:rsidRPr="00D5126A" w:rsidRDefault="00FA6A77" w:rsidP="00FA6A77">
      <w:pPr>
        <w:pStyle w:val="Body"/>
        <w:jc w:val="both"/>
      </w:pPr>
      <w:r w:rsidRPr="00D5126A">
        <w:t>All significant transactions between Group entities, other than rates, are eliminated on consolidation. Rates are charged on an arm’s length basis and are not eliminated to ensure that reported costs and revenues are consistent with the Council’s Annual Plan.</w:t>
      </w:r>
    </w:p>
    <w:p w:rsidR="00FA6A77" w:rsidRPr="00D5126A" w:rsidRDefault="00FA6A77" w:rsidP="00972CA2">
      <w:pPr>
        <w:pStyle w:val="Heading4"/>
      </w:pPr>
      <w:r w:rsidRPr="00D5126A">
        <w:t>Associates</w:t>
      </w:r>
    </w:p>
    <w:p w:rsidR="00FA6A77" w:rsidRPr="00D5126A" w:rsidRDefault="00FA6A77" w:rsidP="00FA6A77">
      <w:pPr>
        <w:pStyle w:val="Body"/>
        <w:jc w:val="both"/>
      </w:pPr>
      <w:r w:rsidRPr="00D5126A">
        <w:t>Associates are entities where the Council has significant influence over their operating and financial policies but they are not controlled entities or joint ventures. In the Council financial statements, the investments in associates are carried at cost. In the Group financial statements, the Council’s share of the assets, liabilities, revenue and expenditure of associates is included on an equity accounting basis as a single line.</w:t>
      </w:r>
    </w:p>
    <w:p w:rsidR="00FA6A77" w:rsidRPr="00D5126A" w:rsidRDefault="00FA6A77" w:rsidP="00972CA2">
      <w:pPr>
        <w:pStyle w:val="Heading4"/>
      </w:pPr>
      <w:r w:rsidRPr="00D5126A">
        <w:t>Council Controlled Organisations</w:t>
      </w:r>
    </w:p>
    <w:p w:rsidR="00A3493E" w:rsidRPr="00D5126A" w:rsidRDefault="00FA6A77" w:rsidP="00A3493E">
      <w:pPr>
        <w:pStyle w:val="Body"/>
        <w:jc w:val="both"/>
      </w:pPr>
      <w:r w:rsidRPr="00D5126A">
        <w:t>The Council has established several Council Controlled Organisations (CCO’s) and Council Controlled Trading Organisations (CCTO’s) to help it achieve its goals for Wellington. These organisations were set up to independently manage Council facilities, or deliver specific services and developments on behalf of Wellington residents. A report on thes</w:t>
      </w:r>
      <w:r w:rsidR="00A3493E" w:rsidRPr="00D5126A">
        <w:t xml:space="preserve">e organisations is found on page </w:t>
      </w:r>
      <w:r w:rsidR="00BF629A">
        <w:t>175</w:t>
      </w:r>
      <w:r w:rsidRPr="00D5126A">
        <w:t>. Council has made appointments to other organisations, which make them Council Organisations (as defined in the Local Government Act 2002) but they are not Council controlled or part of the Group.</w:t>
      </w:r>
      <w:bookmarkStart w:id="394" w:name="_Toc19085911"/>
    </w:p>
    <w:p w:rsidR="00A3493E" w:rsidRPr="00D5126A" w:rsidRDefault="00A3493E" w:rsidP="00A3493E">
      <w:pPr>
        <w:rPr>
          <w:rFonts w:eastAsia="Times New Roman"/>
        </w:rPr>
      </w:pPr>
      <w:r w:rsidRPr="00D5126A">
        <w:br w:type="page"/>
      </w:r>
    </w:p>
    <w:p w:rsidR="00972CA2" w:rsidRPr="00D5126A" w:rsidRDefault="00972CA2" w:rsidP="00972CA2">
      <w:pPr>
        <w:pStyle w:val="Heading2"/>
      </w:pPr>
      <w:bookmarkStart w:id="395" w:name="_Toc23758622"/>
      <w:bookmarkStart w:id="396" w:name="_Toc23848691"/>
      <w:bookmarkEnd w:id="394"/>
      <w:r w:rsidRPr="00D5126A">
        <w:lastRenderedPageBreak/>
        <w:t>Statement of Comprehensive Revenue and Expense</w:t>
      </w:r>
      <w:bookmarkEnd w:id="395"/>
      <w:bookmarkEnd w:id="396"/>
      <w:r w:rsidRPr="00D5126A">
        <w:t xml:space="preserve"> </w:t>
      </w:r>
    </w:p>
    <w:p w:rsidR="00FA6A77" w:rsidRPr="00D5126A" w:rsidRDefault="00FA6A77" w:rsidP="00A3493E">
      <w:pPr>
        <w:pStyle w:val="Heading5"/>
      </w:pPr>
      <w:r w:rsidRPr="00D5126A">
        <w:t>For the year ended 30 June 20</w:t>
      </w:r>
      <w:r w:rsidR="00A3493E" w:rsidRPr="00D5126A">
        <w:t>19</w:t>
      </w:r>
    </w:p>
    <w:p w:rsidR="005F3159" w:rsidRPr="00D5126A" w:rsidRDefault="005F3159" w:rsidP="005F3159">
      <w:pPr>
        <w:rPr>
          <w:rFonts w:eastAsia="Times New Roman"/>
          <w:lang w:eastAsia="en-NZ"/>
        </w:rPr>
      </w:pPr>
      <w:r w:rsidRPr="00D5126A">
        <w:rPr>
          <w:noProof/>
          <w:lang w:eastAsia="en-NZ"/>
        </w:rPr>
        <w:drawing>
          <wp:anchor distT="0" distB="0" distL="114300" distR="114300" simplePos="0" relativeHeight="251727872" behindDoc="1" locked="0" layoutInCell="1" allowOverlap="1" wp14:anchorId="521CE132" wp14:editId="38F82D6E">
            <wp:simplePos x="0" y="0"/>
            <wp:positionH relativeFrom="column">
              <wp:posOffset>-255905</wp:posOffset>
            </wp:positionH>
            <wp:positionV relativeFrom="paragraph">
              <wp:posOffset>159385</wp:posOffset>
            </wp:positionV>
            <wp:extent cx="6291580" cy="6539865"/>
            <wp:effectExtent l="0" t="0" r="0" b="0"/>
            <wp:wrapTight wrapText="bothSides">
              <wp:wrapPolygon edited="0">
                <wp:start x="0" y="0"/>
                <wp:lineTo x="0" y="21518"/>
                <wp:lineTo x="21517" y="21518"/>
                <wp:lineTo x="21517" y="19379"/>
                <wp:lineTo x="19228" y="19127"/>
                <wp:lineTo x="21517" y="18939"/>
                <wp:lineTo x="21517" y="14471"/>
                <wp:lineTo x="21386" y="14408"/>
                <wp:lineTo x="19228" y="14094"/>
                <wp:lineTo x="21517" y="14031"/>
                <wp:lineTo x="21517" y="3020"/>
                <wp:lineTo x="19228" y="3020"/>
                <wp:lineTo x="21517" y="2643"/>
                <wp:lineTo x="21517" y="2013"/>
                <wp:lineTo x="20602" y="2013"/>
                <wp:lineTo x="21517" y="1636"/>
                <wp:lineTo x="21517" y="0"/>
                <wp:lineTo x="0" y="0"/>
              </wp:wrapPolygon>
            </wp:wrapTight>
            <wp:docPr id="1467" name="Picture 1467" descr="Statement of Comprehensive Revenue and Expense part 1" title="Statement of Comprehensive Revenue and Expens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291580" cy="65398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F3159" w:rsidRPr="00D5126A" w:rsidRDefault="005F3159" w:rsidP="005F3159">
      <w:r w:rsidRPr="00D5126A">
        <w:rPr>
          <w:rFonts w:eastAsia="Times New Roman"/>
          <w:lang w:eastAsia="en-NZ"/>
        </w:rPr>
        <w:t xml:space="preserve">The notes from pages </w:t>
      </w:r>
      <w:r w:rsidR="00213CD7">
        <w:rPr>
          <w:rFonts w:eastAsia="Times New Roman"/>
          <w:lang w:eastAsia="en-NZ"/>
        </w:rPr>
        <w:t>225 to 312</w:t>
      </w:r>
      <w:r w:rsidRPr="00D5126A">
        <w:rPr>
          <w:rFonts w:eastAsia="Times New Roman"/>
          <w:lang w:eastAsia="en-NZ"/>
        </w:rPr>
        <w:t xml:space="preserve"> form part of the Financial Statements and should be read in conjunction with them</w:t>
      </w:r>
    </w:p>
    <w:p w:rsidR="00FA6A77" w:rsidRPr="00D5126A" w:rsidRDefault="00FA6A77" w:rsidP="00A3493E">
      <w:pPr>
        <w:rPr>
          <w:rFonts w:eastAsia="Times New Roman"/>
          <w:lang w:eastAsia="en-NZ"/>
        </w:rPr>
      </w:pPr>
    </w:p>
    <w:p w:rsidR="00FA6A77" w:rsidRPr="00D5126A" w:rsidRDefault="00FA6A77" w:rsidP="003B3677">
      <w:pPr>
        <w:pStyle w:val="Heading4"/>
      </w:pPr>
      <w:r w:rsidRPr="00D5126A">
        <w:lastRenderedPageBreak/>
        <w:t>Statement of Comprehensive Revenue and Expense - continued</w:t>
      </w:r>
    </w:p>
    <w:p w:rsidR="00FA6A77" w:rsidRPr="00D5126A" w:rsidRDefault="00FA6A77" w:rsidP="00A3493E">
      <w:pPr>
        <w:pStyle w:val="Heading5"/>
      </w:pPr>
      <w:r w:rsidRPr="00D5126A">
        <w:t>For the year ended 30 June 2019</w:t>
      </w:r>
    </w:p>
    <w:p w:rsidR="00FA6A77" w:rsidRPr="00D5126A" w:rsidRDefault="00FA6A77" w:rsidP="009608BE">
      <w:pPr>
        <w:ind w:left="-284"/>
      </w:pPr>
      <w:r w:rsidRPr="00D5126A">
        <w:rPr>
          <w:noProof/>
          <w:lang w:eastAsia="en-NZ"/>
        </w:rPr>
        <w:drawing>
          <wp:inline distT="0" distB="0" distL="0" distR="0" wp14:anchorId="23F3AEE0" wp14:editId="5688A004">
            <wp:extent cx="6281420" cy="6500495"/>
            <wp:effectExtent l="0" t="0" r="5080" b="0"/>
            <wp:docPr id="1466" name="Picture 1466" descr="Statement of Comprehensive Revenue and Expense part 2" title="Statement of Comprehensive Revenue and Expens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281420" cy="6500495"/>
                    </a:xfrm>
                    <a:prstGeom prst="rect">
                      <a:avLst/>
                    </a:prstGeom>
                    <a:noFill/>
                    <a:ln>
                      <a:noFill/>
                    </a:ln>
                  </pic:spPr>
                </pic:pic>
              </a:graphicData>
            </a:graphic>
          </wp:inline>
        </w:drawing>
      </w:r>
    </w:p>
    <w:p w:rsidR="00FA6A77" w:rsidRPr="00D5126A" w:rsidRDefault="00FA6A77" w:rsidP="002C7BF8">
      <w:pPr>
        <w:pStyle w:val="ListParagraph"/>
        <w:numPr>
          <w:ilvl w:val="0"/>
          <w:numId w:val="42"/>
        </w:numPr>
        <w:rPr>
          <w:rFonts w:ascii="Arial" w:hAnsi="Arial" w:cs="Arial"/>
          <w:sz w:val="18"/>
          <w:szCs w:val="18"/>
          <w:lang w:eastAsia="en-GB"/>
        </w:rPr>
      </w:pPr>
      <w:r w:rsidRPr="00D5126A">
        <w:rPr>
          <w:rFonts w:ascii="Arial" w:hAnsi="Arial" w:cs="Arial"/>
          <w:sz w:val="18"/>
          <w:szCs w:val="18"/>
          <w:lang w:eastAsia="en-GB"/>
        </w:rPr>
        <w:t>Other</w:t>
      </w:r>
      <w:r w:rsidR="005F3159" w:rsidRPr="00D5126A">
        <w:rPr>
          <w:rFonts w:ascii="Arial" w:hAnsi="Arial" w:cs="Arial"/>
          <w:sz w:val="18"/>
          <w:szCs w:val="18"/>
          <w:lang w:eastAsia="en-GB"/>
        </w:rPr>
        <w:t>/</w:t>
      </w:r>
      <w:r w:rsidRPr="00D5126A">
        <w:rPr>
          <w:rFonts w:ascii="Arial" w:hAnsi="Arial" w:cs="Arial"/>
          <w:sz w:val="18"/>
          <w:szCs w:val="18"/>
          <w:lang w:eastAsia="en-GB"/>
        </w:rPr>
        <w:t xml:space="preserve"> comprehensive revenue or expense is non-cash in nature and only reflects changes in equity.</w:t>
      </w:r>
    </w:p>
    <w:p w:rsidR="00A3493E" w:rsidRPr="00D5126A" w:rsidRDefault="00FA6A77" w:rsidP="002C7BF8">
      <w:pPr>
        <w:pStyle w:val="ListParagraph"/>
        <w:numPr>
          <w:ilvl w:val="0"/>
          <w:numId w:val="42"/>
        </w:numPr>
        <w:rPr>
          <w:rFonts w:eastAsia="MS Gothic"/>
          <w:iCs/>
        </w:rPr>
      </w:pPr>
      <w:r w:rsidRPr="00D5126A">
        <w:rPr>
          <w:rFonts w:ascii="Arial" w:hAnsi="Arial" w:cs="Arial"/>
          <w:sz w:val="18"/>
          <w:szCs w:val="18"/>
          <w:lang w:eastAsia="en-GB"/>
        </w:rPr>
        <w:t xml:space="preserve">Statement of Changes in Equity – see page </w:t>
      </w:r>
      <w:r w:rsidR="00213CD7">
        <w:rPr>
          <w:rFonts w:ascii="Arial" w:hAnsi="Arial" w:cs="Arial"/>
          <w:sz w:val="18"/>
          <w:szCs w:val="18"/>
          <w:lang w:eastAsia="en-GB"/>
        </w:rPr>
        <w:t>279</w:t>
      </w:r>
    </w:p>
    <w:p w:rsidR="00A3493E" w:rsidRPr="00D5126A" w:rsidRDefault="005F3159">
      <w:pPr>
        <w:rPr>
          <w:rFonts w:eastAsia="Times New Roman" w:cstheme="minorHAnsi"/>
          <w:b/>
          <w:bCs/>
          <w:color w:val="4F81BD" w:themeColor="accent1"/>
          <w:sz w:val="34"/>
          <w:szCs w:val="34"/>
          <w:lang w:eastAsia="en-NZ"/>
        </w:rPr>
      </w:pPr>
      <w:r w:rsidRPr="00D5126A">
        <w:rPr>
          <w:rFonts w:eastAsia="Times New Roman"/>
          <w:lang w:eastAsia="en-NZ"/>
        </w:rPr>
        <w:t xml:space="preserve">The notes from pages </w:t>
      </w:r>
      <w:r w:rsidR="00213CD7">
        <w:rPr>
          <w:rFonts w:eastAsia="Times New Roman"/>
          <w:lang w:eastAsia="en-NZ"/>
        </w:rPr>
        <w:t xml:space="preserve">225 to 312 </w:t>
      </w:r>
      <w:r w:rsidRPr="00D5126A">
        <w:rPr>
          <w:rFonts w:eastAsia="Times New Roman"/>
          <w:lang w:eastAsia="en-NZ"/>
        </w:rPr>
        <w:t>form part of the Financial Statements and should be read in conjunction with them</w:t>
      </w:r>
      <w:r w:rsidR="00135461" w:rsidRPr="00D5126A">
        <w:rPr>
          <w:rFonts w:eastAsia="Times New Roman"/>
          <w:lang w:eastAsia="en-NZ"/>
        </w:rPr>
        <w:t>.</w:t>
      </w:r>
      <w:r w:rsidRPr="00D5126A">
        <w:t xml:space="preserve"> </w:t>
      </w:r>
      <w:r w:rsidR="00A3493E" w:rsidRPr="00D5126A">
        <w:br w:type="page"/>
      </w:r>
    </w:p>
    <w:p w:rsidR="00FA6A77" w:rsidRPr="00D5126A" w:rsidRDefault="001A2239" w:rsidP="00972CA2">
      <w:pPr>
        <w:pStyle w:val="Heading4"/>
        <w:rPr>
          <w:rFonts w:eastAsia="MS Gothic"/>
        </w:rPr>
      </w:pPr>
      <w:r w:rsidRPr="00D5126A">
        <w:lastRenderedPageBreak/>
        <w:t>S</w:t>
      </w:r>
      <w:r w:rsidR="00FA6A77" w:rsidRPr="00D5126A">
        <w:t>tatement of Comprehensive Revenue and Expense - Major budget variations</w:t>
      </w:r>
    </w:p>
    <w:p w:rsidR="00FA6A77" w:rsidRPr="00D5126A" w:rsidRDefault="00FA6A77" w:rsidP="001A2239">
      <w:pPr>
        <w:pStyle w:val="Heading5"/>
      </w:pPr>
      <w:r w:rsidRPr="00D5126A">
        <w:t>Significant variations from budgeted revenues and expenses are as follows:</w:t>
      </w:r>
    </w:p>
    <w:p w:rsidR="00FA6A77" w:rsidRPr="00D5126A" w:rsidRDefault="00FA6A77" w:rsidP="00FA6A77">
      <w:pPr>
        <w:pStyle w:val="Body"/>
      </w:pPr>
      <w:r w:rsidRPr="00D5126A">
        <w:t>Revenues were $33.952m higher than budgeted, major variances included:</w:t>
      </w:r>
    </w:p>
    <w:p w:rsidR="00FA6A77" w:rsidRPr="00D5126A" w:rsidRDefault="00FA6A77" w:rsidP="002C7BF8">
      <w:pPr>
        <w:pStyle w:val="Body"/>
        <w:numPr>
          <w:ilvl w:val="0"/>
          <w:numId w:val="36"/>
        </w:numPr>
        <w:ind w:left="720"/>
      </w:pPr>
      <w:r w:rsidRPr="00D5126A">
        <w:t>$1.990m of additional city transport and infrastructure revenue due to a number of factors including NZTA operating subsidies being higher than budget</w:t>
      </w:r>
    </w:p>
    <w:p w:rsidR="00FA6A77" w:rsidRPr="00D5126A" w:rsidRDefault="00FA6A77" w:rsidP="002C7BF8">
      <w:pPr>
        <w:pStyle w:val="Body"/>
        <w:numPr>
          <w:ilvl w:val="0"/>
          <w:numId w:val="36"/>
        </w:numPr>
        <w:ind w:left="720"/>
      </w:pPr>
      <w:r w:rsidRPr="00D5126A">
        <w:t>$1.437m of additional dividend revenue largely from the Council’s investment in Wellington International Airport Limited</w:t>
      </w:r>
    </w:p>
    <w:p w:rsidR="00FA6A77" w:rsidRPr="00D5126A" w:rsidRDefault="00FA6A77" w:rsidP="002C7BF8">
      <w:pPr>
        <w:pStyle w:val="Body"/>
        <w:numPr>
          <w:ilvl w:val="0"/>
          <w:numId w:val="36"/>
        </w:numPr>
        <w:ind w:left="720"/>
      </w:pPr>
      <w:r w:rsidRPr="00D5126A">
        <w:t>$0.897m of additional development contribution revenue</w:t>
      </w:r>
    </w:p>
    <w:p w:rsidR="00FA6A77" w:rsidRPr="00D5126A" w:rsidRDefault="00FA6A77" w:rsidP="002C7BF8">
      <w:pPr>
        <w:pStyle w:val="Body"/>
        <w:numPr>
          <w:ilvl w:val="0"/>
          <w:numId w:val="36"/>
        </w:numPr>
        <w:ind w:left="720"/>
      </w:pPr>
      <w:r w:rsidRPr="00D5126A">
        <w:t>$13.411m of vested assets from developments</w:t>
      </w:r>
    </w:p>
    <w:p w:rsidR="00FA6A77" w:rsidRPr="00D5126A" w:rsidRDefault="00FA6A77" w:rsidP="002C7BF8">
      <w:pPr>
        <w:pStyle w:val="Body"/>
        <w:numPr>
          <w:ilvl w:val="0"/>
          <w:numId w:val="36"/>
        </w:numPr>
        <w:ind w:left="720"/>
      </w:pPr>
      <w:r w:rsidRPr="00D5126A">
        <w:t>$14.196m higher than budgeted movement in investment property revaluations</w:t>
      </w:r>
    </w:p>
    <w:p w:rsidR="00FA6A77" w:rsidRPr="00D5126A" w:rsidRDefault="00FA6A77" w:rsidP="00FA6A77">
      <w:pPr>
        <w:pStyle w:val="Body"/>
      </w:pPr>
    </w:p>
    <w:p w:rsidR="00FA6A77" w:rsidRPr="00D5126A" w:rsidRDefault="00FA6A77" w:rsidP="00FA6A77">
      <w:pPr>
        <w:pStyle w:val="Body"/>
      </w:pPr>
      <w:r w:rsidRPr="00D5126A">
        <w:t>Expenses were $25.054 higher than budgeted, major variances included:</w:t>
      </w:r>
    </w:p>
    <w:p w:rsidR="00FA6A77" w:rsidRPr="00D5126A" w:rsidRDefault="00FA6A77" w:rsidP="002C7BF8">
      <w:pPr>
        <w:pStyle w:val="Body"/>
        <w:numPr>
          <w:ilvl w:val="0"/>
          <w:numId w:val="36"/>
        </w:numPr>
        <w:ind w:left="720"/>
      </w:pPr>
      <w:r w:rsidRPr="00D5126A">
        <w:t>$13.000m release from the Housing NZ deed of grant to enable the long-term lease agreement for the Arlington development sites 1 and 3 to Housing New Zealand</w:t>
      </w:r>
    </w:p>
    <w:p w:rsidR="00FA6A77" w:rsidRPr="00D5126A" w:rsidRDefault="00FA6A77" w:rsidP="002C7BF8">
      <w:pPr>
        <w:pStyle w:val="Body"/>
        <w:numPr>
          <w:ilvl w:val="0"/>
          <w:numId w:val="36"/>
        </w:numPr>
        <w:ind w:left="720"/>
      </w:pPr>
      <w:r w:rsidRPr="00D5126A">
        <w:t xml:space="preserve">$2.025m higher than budgeted IT and telecommunication costs </w:t>
      </w:r>
    </w:p>
    <w:p w:rsidR="00FA6A77" w:rsidRPr="00D5126A" w:rsidRDefault="00FA6A77" w:rsidP="002C7BF8">
      <w:pPr>
        <w:pStyle w:val="Body"/>
        <w:numPr>
          <w:ilvl w:val="0"/>
          <w:numId w:val="36"/>
        </w:numPr>
        <w:ind w:left="720"/>
      </w:pPr>
      <w:r w:rsidRPr="00D5126A">
        <w:t>$1.790m related to the reassessment of the landfill provision</w:t>
      </w:r>
    </w:p>
    <w:p w:rsidR="00FA6A77" w:rsidRPr="00D5126A" w:rsidRDefault="00FA6A77" w:rsidP="002C7BF8">
      <w:pPr>
        <w:pStyle w:val="Body"/>
        <w:numPr>
          <w:ilvl w:val="0"/>
          <w:numId w:val="36"/>
        </w:numPr>
        <w:ind w:left="720"/>
      </w:pPr>
      <w:r w:rsidRPr="00D5126A">
        <w:t>$2.794m for the increase in the Weathertight homes provision</w:t>
      </w:r>
    </w:p>
    <w:p w:rsidR="00FA6A77" w:rsidRPr="00D5126A" w:rsidRDefault="00FA6A77" w:rsidP="001A2239">
      <w:pPr>
        <w:spacing w:before="240"/>
      </w:pPr>
      <w:r w:rsidRPr="00D5126A">
        <w:t xml:space="preserve">Net finance expense was $2.065m lower than budgeted reflecting the lower than planned capital expenditure, which is debt funded, resulting in lower interest charges. </w:t>
      </w:r>
    </w:p>
    <w:p w:rsidR="001A2239" w:rsidRPr="00D5126A" w:rsidRDefault="00FA6A77" w:rsidP="001A2239">
      <w:pPr>
        <w:spacing w:before="240"/>
      </w:pPr>
      <w:r w:rsidRPr="00D5126A">
        <w:t>In addition, Council made an unbudgeted impairment adjustment of $50.521m in relation to the Civic Precinct. Refer to Note 18 – Property, Plant and Equipment for more detailed information (</w:t>
      </w:r>
      <w:r w:rsidRPr="00213CD7">
        <w:t xml:space="preserve">page </w:t>
      </w:r>
      <w:r w:rsidR="00213CD7" w:rsidRPr="00213CD7">
        <w:t>251</w:t>
      </w:r>
      <w:r w:rsidRPr="00213CD7">
        <w:t>).</w:t>
      </w:r>
    </w:p>
    <w:p w:rsidR="001A2239" w:rsidRPr="00D5126A" w:rsidRDefault="001A2239" w:rsidP="001A2239">
      <w:r w:rsidRPr="00D5126A">
        <w:br w:type="page"/>
      </w:r>
    </w:p>
    <w:p w:rsidR="00FA6A77" w:rsidRPr="00D5126A" w:rsidRDefault="00FA6A77" w:rsidP="00ED7E9C">
      <w:pPr>
        <w:pStyle w:val="Heading3"/>
      </w:pPr>
      <w:bookmarkStart w:id="397" w:name="_Toc23848692"/>
      <w:r w:rsidRPr="00D5126A">
        <w:lastRenderedPageBreak/>
        <w:t>Note 1: Rates revenue</w:t>
      </w:r>
      <w:bookmarkEnd w:id="397"/>
    </w:p>
    <w:p w:rsidR="0088528B" w:rsidRDefault="0088528B" w:rsidP="0088528B">
      <w:pPr>
        <w:pStyle w:val="Caption"/>
      </w:pPr>
      <w:r>
        <w:t xml:space="preserve">Section 5 - Table </w:t>
      </w:r>
      <w:fldSimple w:instr=" SEQ Section_5_-_Table \* ARABIC ">
        <w:r w:rsidR="005908C4">
          <w:rPr>
            <w:noProof/>
          </w:rPr>
          <w:t>1</w:t>
        </w:r>
      </w:fldSimple>
      <w:r>
        <w:t xml:space="preserve">: </w:t>
      </w:r>
      <w:r w:rsidRPr="00AD27EA">
        <w:t>Rates revenue</w:t>
      </w:r>
    </w:p>
    <w:p w:rsidR="0088528B" w:rsidRDefault="00015B43" w:rsidP="0088528B">
      <w:pPr>
        <w:keepNext/>
        <w:spacing w:before="240"/>
      </w:pPr>
      <w:r w:rsidRPr="00D5126A">
        <w:rPr>
          <w:noProof/>
          <w:lang w:eastAsia="en-NZ"/>
        </w:rPr>
        <w:drawing>
          <wp:inline distT="0" distB="0" distL="0" distR="0" wp14:anchorId="526F8EB9" wp14:editId="1CC31DCF">
            <wp:extent cx="6242050" cy="1798955"/>
            <wp:effectExtent l="0" t="0" r="6350" b="0"/>
            <wp:docPr id="1465" name="Picture 1465" descr="Total rates revenue table - total is $309,887,000" title="Section 5 - Table 1: Rates reven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242050" cy="1798955"/>
                    </a:xfrm>
                    <a:prstGeom prst="rect">
                      <a:avLst/>
                    </a:prstGeom>
                    <a:noFill/>
                    <a:ln>
                      <a:noFill/>
                    </a:ln>
                  </pic:spPr>
                </pic:pic>
              </a:graphicData>
            </a:graphic>
          </wp:inline>
        </w:drawing>
      </w:r>
    </w:p>
    <w:p w:rsidR="00FA6A77" w:rsidRPr="00D5126A" w:rsidRDefault="00FA6A77" w:rsidP="00D9040A">
      <w:pPr>
        <w:spacing w:before="240"/>
        <w:rPr>
          <w:lang w:eastAsia="en-GB"/>
        </w:rPr>
      </w:pPr>
      <w:r w:rsidRPr="00D5126A">
        <w:rPr>
          <w:lang w:eastAsia="en-GB"/>
        </w:rPr>
        <w:t xml:space="preserve">The total amount of rates charged on Council owned properties that have not been eliminated from revenue and expenditure is $14.521m (2018: $13.915m). For the Group, rates of $14.604m (2018: $13.981m) have not been eliminated. </w:t>
      </w:r>
    </w:p>
    <w:p w:rsidR="00FA6A77" w:rsidRPr="00D5126A" w:rsidRDefault="00FA6A77" w:rsidP="009E07AB">
      <w:pPr>
        <w:rPr>
          <w:lang w:eastAsia="en-GB"/>
        </w:rPr>
      </w:pPr>
      <w:r w:rsidRPr="00D5126A">
        <w:rPr>
          <w:lang w:eastAsia="en-GB"/>
        </w:rPr>
        <w:t>The revenue from rates for Wellington City Council was billed on the following rating information held as at 30 June 2018.</w:t>
      </w:r>
    </w:p>
    <w:p w:rsidR="009E07AB" w:rsidRPr="00D5126A" w:rsidRDefault="009E07AB" w:rsidP="009E07AB">
      <w:pPr>
        <w:rPr>
          <w:lang w:eastAsia="en-GB"/>
        </w:rPr>
      </w:pPr>
      <w:r w:rsidRPr="00D5126A">
        <w:rPr>
          <w:lang w:eastAsia="en-GB"/>
        </w:rPr>
        <w:t>The number of rating units:  78,724 (30 June 2017: 78,192).</w:t>
      </w:r>
    </w:p>
    <w:p w:rsidR="0088528B" w:rsidRDefault="0088528B" w:rsidP="0088528B">
      <w:pPr>
        <w:pStyle w:val="Caption"/>
      </w:pPr>
      <w:r>
        <w:t xml:space="preserve">Section 5 - Table </w:t>
      </w:r>
      <w:fldSimple w:instr=" SEQ Section_5_-_Table \* ARABIC ">
        <w:r w:rsidR="005908C4">
          <w:rPr>
            <w:noProof/>
          </w:rPr>
          <w:t>2</w:t>
        </w:r>
      </w:fldSimple>
      <w:r>
        <w:t xml:space="preserve">: </w:t>
      </w:r>
      <w:r w:rsidRPr="00552A84">
        <w:t>Value of rating units</w:t>
      </w:r>
    </w:p>
    <w:p w:rsidR="00D9040A" w:rsidRPr="00D5126A" w:rsidRDefault="00015B43" w:rsidP="00D9040A">
      <w:pPr>
        <w:spacing w:after="0"/>
        <w:rPr>
          <w:lang w:eastAsia="en-GB"/>
        </w:rPr>
      </w:pPr>
      <w:r w:rsidRPr="00D5126A">
        <w:rPr>
          <w:noProof/>
          <w:lang w:eastAsia="en-NZ"/>
        </w:rPr>
        <w:drawing>
          <wp:inline distT="0" distB="0" distL="0" distR="0" wp14:anchorId="045B566F" wp14:editId="3F0F97B2">
            <wp:extent cx="6043295" cy="984250"/>
            <wp:effectExtent l="0" t="0" r="0" b="6350"/>
            <wp:docPr id="1464" name="Picture 1464" descr="Capital value of rating units - $59,296,956,000&#10;Total land value: $23,453,009,000" title="Section 5 - Table 2: Value of rating un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043295" cy="984250"/>
                    </a:xfrm>
                    <a:prstGeom prst="rect">
                      <a:avLst/>
                    </a:prstGeom>
                    <a:noFill/>
                    <a:ln>
                      <a:noFill/>
                    </a:ln>
                  </pic:spPr>
                </pic:pic>
              </a:graphicData>
            </a:graphic>
          </wp:inline>
        </w:drawing>
      </w:r>
    </w:p>
    <w:p w:rsidR="00FA6A77" w:rsidRPr="00D5126A" w:rsidRDefault="00FA6A77" w:rsidP="006869E5">
      <w:pPr>
        <w:pStyle w:val="Heading4"/>
        <w:rPr>
          <w:lang w:eastAsia="en-GB"/>
        </w:rPr>
      </w:pPr>
      <w:r w:rsidRPr="00D5126A">
        <w:t xml:space="preserve">Rates remissions    </w:t>
      </w:r>
    </w:p>
    <w:p w:rsidR="00FA6A77" w:rsidRPr="00D5126A" w:rsidRDefault="00FA6A77" w:rsidP="001A2239">
      <w:pPr>
        <w:rPr>
          <w:b/>
        </w:rPr>
      </w:pPr>
      <w:r w:rsidRPr="00D5126A">
        <w:rPr>
          <w:lang w:eastAsia="en-GB"/>
        </w:rPr>
        <w:t>Revenue from rates is shown net of rates remissions. The Council’s Rates Remission and Postponement Policies provide for general rates to be partially remitted for rural open space; land used principally for games or sport and in special circumstances (where the rating policy is deemed to unfairly disadvantage an individual ratepayer). A remission of the Downtown targeted rate may also be granted to provide rates relief for downtown commercial property temporarily not fit for the purpose due to the property undergoing development and therefore not receiving the benefits derived by contributing to the Downtown targeted rate. The Council committed itself at the start of the year to certain remissions, which for the reporting period ended 30 June 2019 totalled $1.331m (2018: $0.888m).</w:t>
      </w:r>
    </w:p>
    <w:p w:rsidR="00FA6A77" w:rsidRPr="00D5126A" w:rsidRDefault="00FA6A77" w:rsidP="006869E5">
      <w:pPr>
        <w:pStyle w:val="Heading4"/>
      </w:pPr>
      <w:r w:rsidRPr="00D5126A">
        <w:t xml:space="preserve">Non-rateable land </w:t>
      </w:r>
    </w:p>
    <w:p w:rsidR="00FA6A77" w:rsidRDefault="00FA6A77" w:rsidP="001A2239">
      <w:pPr>
        <w:rPr>
          <w:lang w:eastAsia="en-GB"/>
        </w:rPr>
      </w:pPr>
      <w:r w:rsidRPr="00D5126A">
        <w:rPr>
          <w:lang w:eastAsia="en-GB"/>
        </w:rPr>
        <w:t>Under the Local Government (Rating) Act 2002 certain properties are non-rateable. This includes schools, churches, public gardens and certain land vested in the Crown. This land is non-rateable in respect of general rates but, where applicable, is rateable in respect of sewerage and water. Non-rateable land does not constitute a remission under the Council’s Rates Remission and Postponement Policies.</w:t>
      </w:r>
    </w:p>
    <w:p w:rsidR="006869E5" w:rsidRPr="00D5126A" w:rsidRDefault="006869E5" w:rsidP="006869E5">
      <w:pPr>
        <w:pStyle w:val="Heading4"/>
        <w:spacing w:before="0"/>
      </w:pPr>
      <w:r w:rsidRPr="00D5126A">
        <w:lastRenderedPageBreak/>
        <w:t>Relevant significant accounting policies</w:t>
      </w:r>
    </w:p>
    <w:p w:rsidR="006869E5" w:rsidRPr="00D5126A" w:rsidRDefault="006869E5" w:rsidP="006869E5">
      <w:pPr>
        <w:rPr>
          <w:lang w:eastAsia="en-GB"/>
        </w:rPr>
      </w:pPr>
      <w:r w:rsidRPr="00D5126A">
        <w:rPr>
          <w:lang w:eastAsia="en-GB"/>
        </w:rPr>
        <w:t>Rates are set annually by resolution from the Council and relate to a particular financial year. All ratepayers are invoiced within the financial year for which the rates have been set. Rates revenue is recognised in full as at the date when rate assessment notices are sent to the ratepayers. Rates are a tax as they are payable under the Local Government Ratings Act 2002 and therefore meet the definition of non-exchange.</w:t>
      </w:r>
    </w:p>
    <w:p w:rsidR="006869E5" w:rsidRPr="00D5126A" w:rsidRDefault="006869E5" w:rsidP="006869E5">
      <w:pPr>
        <w:rPr>
          <w:lang w:eastAsia="en-GB"/>
        </w:rPr>
      </w:pPr>
      <w:r w:rsidRPr="00D5126A">
        <w:rPr>
          <w:lang w:eastAsia="en-GB"/>
        </w:rPr>
        <w:t xml:space="preserve">Water rates by meter are regulated in the same way as other rates and are taxes that use a specific charging mechanism to collect the rate. However, as the rates charged are primarily based on </w:t>
      </w:r>
      <w:proofErr w:type="gramStart"/>
      <w:r w:rsidRPr="00D5126A">
        <w:rPr>
          <w:lang w:eastAsia="en-GB"/>
        </w:rPr>
        <w:t>a per</w:t>
      </w:r>
      <w:proofErr w:type="gramEnd"/>
      <w:r w:rsidRPr="00D5126A">
        <w:rPr>
          <w:lang w:eastAsia="en-GB"/>
        </w:rPr>
        <w:t xml:space="preserve"> unit of consumption basis, water rates by meter are considered to be more in the nature of an exchange transaction. Revenue from water rates by meter is recognised on an accrual basis based on usage.</w:t>
      </w:r>
    </w:p>
    <w:p w:rsidR="00FA6A77" w:rsidRPr="00D5126A" w:rsidRDefault="00FA6A77" w:rsidP="00ED7E9C">
      <w:pPr>
        <w:pStyle w:val="Heading3"/>
        <w:rPr>
          <w:rFonts w:ascii="Arial" w:hAnsi="Arial" w:cs="Arial"/>
          <w:color w:val="333333"/>
          <w:lang w:eastAsia="en-GB"/>
        </w:rPr>
      </w:pPr>
      <w:bookmarkStart w:id="398" w:name="_Toc23848693"/>
      <w:r w:rsidRPr="00D5126A">
        <w:t>Note 2: Revenue from operating activities</w:t>
      </w:r>
      <w:bookmarkEnd w:id="398"/>
    </w:p>
    <w:p w:rsidR="0088528B" w:rsidRDefault="0088528B" w:rsidP="0088528B">
      <w:pPr>
        <w:pStyle w:val="Caption"/>
      </w:pPr>
      <w:r>
        <w:t xml:space="preserve">Section 5 - Table </w:t>
      </w:r>
      <w:fldSimple w:instr=" SEQ Section_5_-_Table \* ARABIC ">
        <w:r w:rsidR="005908C4">
          <w:rPr>
            <w:noProof/>
          </w:rPr>
          <w:t>3</w:t>
        </w:r>
      </w:fldSimple>
      <w:r>
        <w:t xml:space="preserve">: </w:t>
      </w:r>
      <w:r w:rsidRPr="00CB6E70">
        <w:t>Revenue from operating activities</w:t>
      </w:r>
    </w:p>
    <w:p w:rsidR="00FA6A77" w:rsidRPr="00D5126A" w:rsidRDefault="00972CA2" w:rsidP="00D9040A">
      <w:pPr>
        <w:spacing w:before="240"/>
        <w:rPr>
          <w:lang w:eastAsia="en-GB"/>
        </w:rPr>
      </w:pPr>
      <w:r w:rsidRPr="00D5126A">
        <w:rPr>
          <w:noProof/>
          <w:lang w:eastAsia="en-NZ"/>
        </w:rPr>
        <w:drawing>
          <wp:inline distT="0" distB="0" distL="0" distR="0" wp14:anchorId="543B6A6B" wp14:editId="066E7426">
            <wp:extent cx="6142355" cy="3289935"/>
            <wp:effectExtent l="0" t="0" r="0" b="5715"/>
            <wp:docPr id="1463" name="Picture 1463" descr="Total revenue form operating activities: $185,271,000" title="Section 5 - Table 3: Revenue from operating activ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142355" cy="3289935"/>
                    </a:xfrm>
                    <a:prstGeom prst="rect">
                      <a:avLst/>
                    </a:prstGeom>
                    <a:noFill/>
                    <a:ln>
                      <a:noFill/>
                    </a:ln>
                  </pic:spPr>
                </pic:pic>
              </a:graphicData>
            </a:graphic>
          </wp:inline>
        </w:drawing>
      </w:r>
      <w:r w:rsidR="00FA6A77" w:rsidRPr="00D5126A">
        <w:rPr>
          <w:lang w:eastAsia="en-GB"/>
        </w:rPr>
        <w:t xml:space="preserve">For the Council, the principal grants and reimbursements are from the New Zealand Transport Agency (NZTA), which reimburses part of the Council’s costs for maintaining the local roading and cycling infrastructure. The capital reimbursements recognised from NZTA of $29.331m (2018: $27.835m) and operating reimbursements of $7.983m (2018: $6.005m) are for costs already incurred and there are no unfulfilled conditions or other contingencies relating to the reimbursements. </w:t>
      </w:r>
    </w:p>
    <w:p w:rsidR="006869E5" w:rsidRDefault="00FA6A77" w:rsidP="00972CA2">
      <w:pPr>
        <w:rPr>
          <w:lang w:eastAsia="en-GB"/>
        </w:rPr>
      </w:pPr>
      <w:r w:rsidRPr="00D5126A">
        <w:rPr>
          <w:lang w:eastAsia="en-GB"/>
        </w:rPr>
        <w:t xml:space="preserve">Previously, significant grant contributions were recognised from the Crown in relation to the upgrade of the Council's social housing stock. The recognition of the capital grant and operating grant in 2017/2018, being $14.616m and $0.555m respectively, fully extinguished the total grant received. There are no unfulfilled conditions or other contingencies relating to this utilised grant revenue apart from the overarching requirement for Council to maintain its investment and provision of social housing until 2037. </w:t>
      </w:r>
    </w:p>
    <w:p w:rsidR="006869E5" w:rsidRDefault="006869E5" w:rsidP="00972CA2">
      <w:pPr>
        <w:rPr>
          <w:lang w:eastAsia="en-GB"/>
        </w:rPr>
      </w:pPr>
      <w:r w:rsidRPr="002357A5">
        <w:rPr>
          <w:lang w:eastAsia="en-GB"/>
        </w:rPr>
        <w:lastRenderedPageBreak/>
        <w:t>Subject to the signed long-term lease agreement with Housing NZ, for Arlington development sites 1 and 3, going unconditional, a one-off enabling adjustment has been made to compensate for the previously received capital grant.</w:t>
      </w:r>
    </w:p>
    <w:p w:rsidR="001A2239" w:rsidRPr="00D5126A" w:rsidRDefault="00FA6A77" w:rsidP="00972CA2">
      <w:pPr>
        <w:rPr>
          <w:lang w:eastAsia="en-GB"/>
        </w:rPr>
      </w:pPr>
      <w:r w:rsidRPr="00D5126A">
        <w:rPr>
          <w:lang w:eastAsia="en-GB"/>
        </w:rPr>
        <w:t xml:space="preserve">For the Group, the additional principal subsidy was $0.967m (2018: $4.194m) from Greater Wellington Regional Council to Wellington Cable Car Limited for the decommissioning of the overhead traction system that commenced on 1 November 2017. This subsidy ended part </w:t>
      </w:r>
      <w:r w:rsidR="001A2239" w:rsidRPr="00D5126A">
        <w:rPr>
          <w:lang w:eastAsia="en-GB"/>
        </w:rPr>
        <w:t>way through the 2018/19 period.</w:t>
      </w:r>
    </w:p>
    <w:p w:rsidR="00FA6A77" w:rsidRPr="00D5126A" w:rsidRDefault="00FA6A77" w:rsidP="00972CA2">
      <w:pPr>
        <w:rPr>
          <w:lang w:eastAsia="en-GB"/>
        </w:rPr>
      </w:pPr>
      <w:r w:rsidRPr="00D5126A">
        <w:rPr>
          <w:lang w:eastAsia="en-GB"/>
        </w:rPr>
        <w:t>For other operating activities of Council, the main services provided were:</w:t>
      </w:r>
    </w:p>
    <w:p w:rsidR="00FA6A77" w:rsidRPr="00D5126A" w:rsidRDefault="00FA6A77" w:rsidP="002C7BF8">
      <w:pPr>
        <w:pStyle w:val="ListParagraph"/>
        <w:numPr>
          <w:ilvl w:val="0"/>
          <w:numId w:val="14"/>
        </w:numPr>
        <w:rPr>
          <w:lang w:eastAsia="en-GB"/>
        </w:rPr>
      </w:pPr>
      <w:r w:rsidRPr="00D5126A">
        <w:rPr>
          <w:lang w:eastAsia="en-GB"/>
        </w:rPr>
        <w:t>City housing - $23.310m (2018: $21.261m)</w:t>
      </w:r>
    </w:p>
    <w:p w:rsidR="00FA6A77" w:rsidRPr="00D5126A" w:rsidRDefault="00FA6A77" w:rsidP="002C7BF8">
      <w:pPr>
        <w:pStyle w:val="ListParagraph"/>
        <w:numPr>
          <w:ilvl w:val="0"/>
          <w:numId w:val="14"/>
        </w:numPr>
        <w:rPr>
          <w:lang w:eastAsia="en-GB"/>
        </w:rPr>
      </w:pPr>
      <w:r w:rsidRPr="00D5126A">
        <w:rPr>
          <w:lang w:eastAsia="en-GB"/>
        </w:rPr>
        <w:t>Parking fees and permits - $22.067m (2018: $20.386m)</w:t>
      </w:r>
    </w:p>
    <w:p w:rsidR="00FA6A77" w:rsidRPr="00D5126A" w:rsidRDefault="00FA6A77" w:rsidP="002C7BF8">
      <w:pPr>
        <w:pStyle w:val="ListParagraph"/>
        <w:numPr>
          <w:ilvl w:val="0"/>
          <w:numId w:val="14"/>
        </w:numPr>
        <w:rPr>
          <w:lang w:eastAsia="en-GB"/>
        </w:rPr>
      </w:pPr>
      <w:r w:rsidRPr="00D5126A">
        <w:rPr>
          <w:lang w:eastAsia="en-GB"/>
        </w:rPr>
        <w:t>Consents and licensing services - $15.609m (2018: $14.670m)</w:t>
      </w:r>
    </w:p>
    <w:p w:rsidR="00FA6A77" w:rsidRPr="00D5126A" w:rsidRDefault="00FA6A77" w:rsidP="002C7BF8">
      <w:pPr>
        <w:pStyle w:val="ListParagraph"/>
        <w:numPr>
          <w:ilvl w:val="0"/>
          <w:numId w:val="14"/>
        </w:numPr>
        <w:rPr>
          <w:lang w:eastAsia="en-GB"/>
        </w:rPr>
      </w:pPr>
      <w:r w:rsidRPr="00D5126A">
        <w:rPr>
          <w:lang w:eastAsia="en-GB"/>
        </w:rPr>
        <w:t>Landfill operations and recycling - $13.422m (2018: $14.645m) – including unbudgeted revenue from the joint ventures with Porirua City Council $1.780m (2018: $1.601m).</w:t>
      </w:r>
    </w:p>
    <w:p w:rsidR="00FA6A77" w:rsidRPr="00D5126A" w:rsidRDefault="00FA6A77" w:rsidP="002C7BF8">
      <w:pPr>
        <w:pStyle w:val="ListParagraph"/>
        <w:numPr>
          <w:ilvl w:val="0"/>
          <w:numId w:val="14"/>
        </w:numPr>
        <w:rPr>
          <w:lang w:eastAsia="en-GB"/>
        </w:rPr>
      </w:pPr>
      <w:r w:rsidRPr="00D5126A">
        <w:rPr>
          <w:lang w:eastAsia="en-GB"/>
        </w:rPr>
        <w:t>Convention and conferences centres – $13.037m (2018: $12.723m)</w:t>
      </w:r>
    </w:p>
    <w:p w:rsidR="00723C17" w:rsidRDefault="00723C17" w:rsidP="00FA6A77">
      <w:pPr>
        <w:pStyle w:val="Body"/>
        <w:jc w:val="both"/>
        <w:rPr>
          <w:lang w:eastAsia="en-GB"/>
        </w:rPr>
      </w:pPr>
      <w:r w:rsidRPr="00723C17">
        <w:rPr>
          <w:lang w:eastAsia="en-GB"/>
        </w:rPr>
        <w:t>See Figure 1 for a 5-year trend analysis of these 5 major revenue streams.</w:t>
      </w:r>
    </w:p>
    <w:p w:rsidR="0088528B" w:rsidRDefault="0088528B" w:rsidP="0088528B">
      <w:pPr>
        <w:pStyle w:val="Caption"/>
        <w:jc w:val="both"/>
      </w:pPr>
      <w:r>
        <w:t xml:space="preserve">Section 5 - Figure </w:t>
      </w:r>
      <w:r>
        <w:fldChar w:fldCharType="begin"/>
      </w:r>
      <w:r>
        <w:instrText xml:space="preserve"> SEQ Section_5_-_Figure \* ARABIC </w:instrText>
      </w:r>
      <w:r>
        <w:fldChar w:fldCharType="separate"/>
      </w:r>
      <w:proofErr w:type="gramStart"/>
      <w:r>
        <w:rPr>
          <w:noProof/>
        </w:rPr>
        <w:t>1</w:t>
      </w:r>
      <w:r>
        <w:fldChar w:fldCharType="end"/>
      </w:r>
      <w:r>
        <w:t xml:space="preserve">: </w:t>
      </w:r>
      <w:r w:rsidRPr="001C4ABF">
        <w:t>5-year trend</w:t>
      </w:r>
      <w:proofErr w:type="gramEnd"/>
      <w:r w:rsidRPr="001C4ABF">
        <w:t xml:space="preserve"> for major revenue streams ($000)</w:t>
      </w:r>
    </w:p>
    <w:p w:rsidR="00B22256" w:rsidRDefault="00FA6A77" w:rsidP="00B22256">
      <w:pPr>
        <w:pStyle w:val="Body"/>
        <w:keepNext/>
        <w:jc w:val="both"/>
      </w:pPr>
      <w:r w:rsidRPr="00D5126A">
        <w:rPr>
          <w:noProof/>
          <w:color w:val="FF9900"/>
          <w:shd w:val="clear" w:color="auto" w:fill="009999"/>
          <w:lang w:eastAsia="en-NZ"/>
        </w:rPr>
        <w:drawing>
          <wp:inline distT="0" distB="0" distL="0" distR="0" wp14:anchorId="566A9126" wp14:editId="514F3340">
            <wp:extent cx="5854065" cy="3379470"/>
            <wp:effectExtent l="0" t="0" r="13335" b="11430"/>
            <wp:docPr id="1462" name="Chart 1462"/>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FA6A77" w:rsidRPr="00D5126A" w:rsidRDefault="00FA6A77" w:rsidP="00F234FC">
      <w:pPr>
        <w:pStyle w:val="Heading5"/>
      </w:pPr>
      <w:r w:rsidRPr="00D5126A">
        <w:t>5-year Trend analysis</w:t>
      </w:r>
    </w:p>
    <w:p w:rsidR="00FA6A77" w:rsidRPr="00D5126A" w:rsidRDefault="00FA6A77" w:rsidP="00F234FC">
      <w:pPr>
        <w:rPr>
          <w:lang w:eastAsia="en-GB"/>
        </w:rPr>
      </w:pPr>
      <w:r w:rsidRPr="00D5126A">
        <w:rPr>
          <w:b/>
          <w:i/>
          <w:lang w:eastAsia="en-GB"/>
        </w:rPr>
        <w:t>City Housing –</w:t>
      </w:r>
      <w:r w:rsidRPr="00D5126A">
        <w:rPr>
          <w:b/>
          <w:lang w:eastAsia="en-GB"/>
        </w:rPr>
        <w:t xml:space="preserve"> </w:t>
      </w:r>
      <w:r w:rsidRPr="00D5126A">
        <w:rPr>
          <w:lang w:eastAsia="en-GB"/>
        </w:rPr>
        <w:t>Fairly consistent increases especially in light of lower levels of housing units available during the upgrade process.</w:t>
      </w:r>
    </w:p>
    <w:p w:rsidR="00FA6A77" w:rsidRPr="00D5126A" w:rsidRDefault="00FA6A77" w:rsidP="00F234FC">
      <w:pPr>
        <w:rPr>
          <w:lang w:eastAsia="en-GB"/>
        </w:rPr>
      </w:pPr>
      <w:r w:rsidRPr="00D5126A">
        <w:rPr>
          <w:b/>
          <w:i/>
          <w:lang w:eastAsia="en-GB"/>
        </w:rPr>
        <w:t>Parking fees and permits –</w:t>
      </w:r>
      <w:r w:rsidRPr="00D5126A">
        <w:rPr>
          <w:b/>
          <w:lang w:eastAsia="en-GB"/>
        </w:rPr>
        <w:t xml:space="preserve"> </w:t>
      </w:r>
      <w:r w:rsidRPr="00D5126A">
        <w:rPr>
          <w:lang w:eastAsia="en-GB"/>
        </w:rPr>
        <w:t>Reasonably consistent, but with increases in the last couple of years due to the increase of fees and introduction of weekend parking fees that ensures greater turnover and utilisation of car parking spaces in the CBD to support retail.</w:t>
      </w:r>
    </w:p>
    <w:p w:rsidR="00FA6A77" w:rsidRPr="00D5126A" w:rsidRDefault="00FA6A77" w:rsidP="00F234FC">
      <w:pPr>
        <w:rPr>
          <w:lang w:eastAsia="en-GB"/>
        </w:rPr>
      </w:pPr>
      <w:proofErr w:type="gramStart"/>
      <w:r w:rsidRPr="00D5126A">
        <w:rPr>
          <w:b/>
          <w:i/>
          <w:lang w:eastAsia="en-GB"/>
        </w:rPr>
        <w:t xml:space="preserve">Consents and licensing services – </w:t>
      </w:r>
      <w:r w:rsidRPr="00D5126A">
        <w:rPr>
          <w:lang w:eastAsia="en-GB"/>
        </w:rPr>
        <w:t>A reasonably consistent upward trend.</w:t>
      </w:r>
      <w:proofErr w:type="gramEnd"/>
    </w:p>
    <w:p w:rsidR="00FA6A77" w:rsidRPr="00D5126A" w:rsidRDefault="00FA6A77" w:rsidP="00F234FC">
      <w:pPr>
        <w:rPr>
          <w:lang w:eastAsia="en-GB"/>
        </w:rPr>
      </w:pPr>
      <w:r w:rsidRPr="00D5126A">
        <w:rPr>
          <w:b/>
          <w:i/>
          <w:lang w:eastAsia="en-GB"/>
        </w:rPr>
        <w:lastRenderedPageBreak/>
        <w:t xml:space="preserve">Landfill operations and recycling – </w:t>
      </w:r>
      <w:r w:rsidRPr="00D5126A">
        <w:rPr>
          <w:lang w:eastAsia="en-GB"/>
        </w:rPr>
        <w:t>A big uplift in 2017 revenues primarily due to the extra demolition work resulting from the November 2016 Kaikoura earthquake.</w:t>
      </w:r>
    </w:p>
    <w:p w:rsidR="00FA6A77" w:rsidRPr="00D5126A" w:rsidRDefault="00FA6A77" w:rsidP="00F234FC">
      <w:pPr>
        <w:rPr>
          <w:lang w:eastAsia="en-GB"/>
        </w:rPr>
      </w:pPr>
      <w:proofErr w:type="gramStart"/>
      <w:r w:rsidRPr="00D5126A">
        <w:rPr>
          <w:b/>
          <w:i/>
          <w:lang w:eastAsia="en-GB"/>
        </w:rPr>
        <w:t xml:space="preserve">Convention and conference centres – </w:t>
      </w:r>
      <w:r w:rsidRPr="00D5126A">
        <w:rPr>
          <w:lang w:eastAsia="en-GB"/>
        </w:rPr>
        <w:t>A decrease in revenues after 2016 due to lower venue capacity as a result of the earthquake strengthening related closure of the St James Theatre, and the Michael Fowler Car Park being closed for the temporary building for the NZ Ballet.</w:t>
      </w:r>
      <w:proofErr w:type="gramEnd"/>
    </w:p>
    <w:p w:rsidR="00FA6A77" w:rsidRPr="00D5126A" w:rsidRDefault="00FA6A77" w:rsidP="00972CA2">
      <w:pPr>
        <w:pStyle w:val="Heading4"/>
      </w:pPr>
      <w:r w:rsidRPr="00D5126A">
        <w:t>Relevant significant accounting policies</w:t>
      </w:r>
    </w:p>
    <w:p w:rsidR="00FA6A77" w:rsidRPr="00D5126A" w:rsidRDefault="00FA6A77" w:rsidP="00972CA2">
      <w:pPr>
        <w:rPr>
          <w:b/>
          <w:bCs/>
          <w:lang w:eastAsia="en-GB"/>
        </w:rPr>
      </w:pPr>
      <w:r w:rsidRPr="00D5126A">
        <w:rPr>
          <w:lang w:eastAsia="en-GB"/>
        </w:rPr>
        <w:t>Revenue from operating activities is generally measured at the fair value of consideration received or receivable.</w:t>
      </w:r>
    </w:p>
    <w:p w:rsidR="00FA6A77" w:rsidRPr="00D5126A" w:rsidRDefault="00FA6A77" w:rsidP="00972CA2">
      <w:pPr>
        <w:rPr>
          <w:bCs/>
          <w:lang w:eastAsia="en-GB"/>
        </w:rPr>
      </w:pPr>
      <w:r w:rsidRPr="00D5126A">
        <w:rPr>
          <w:bCs/>
          <w:lang w:eastAsia="en-GB"/>
        </w:rPr>
        <w:t xml:space="preserve">The Council undertakes various activities as part of its normal operations which generates revenue, but generally at below market prices or at fees and user charges subsidised by rates. The following categories (except where noted) are classified as transfers, which are non-exchange transactions other than taxes. </w:t>
      </w:r>
    </w:p>
    <w:p w:rsidR="00FA6A77" w:rsidRPr="00D5126A" w:rsidRDefault="00FA6A77" w:rsidP="00972CA2">
      <w:pPr>
        <w:rPr>
          <w:bCs/>
          <w:lang w:eastAsia="en-GB"/>
        </w:rPr>
      </w:pPr>
      <w:r w:rsidRPr="00D5126A">
        <w:rPr>
          <w:bCs/>
          <w:lang w:eastAsia="en-GB"/>
        </w:rPr>
        <w:t>See Note 13: Re</w:t>
      </w:r>
      <w:r w:rsidR="00972CA2" w:rsidRPr="00D5126A">
        <w:rPr>
          <w:bCs/>
          <w:lang w:eastAsia="en-GB"/>
        </w:rPr>
        <w:t xml:space="preserve">ceivables and recoverables </w:t>
      </w:r>
      <w:r w:rsidR="00972CA2" w:rsidRPr="00213CD7">
        <w:rPr>
          <w:bCs/>
          <w:lang w:eastAsia="en-GB"/>
        </w:rPr>
        <w:t xml:space="preserve">(page </w:t>
      </w:r>
      <w:r w:rsidR="00213CD7">
        <w:rPr>
          <w:bCs/>
          <w:lang w:eastAsia="en-GB"/>
        </w:rPr>
        <w:t>243</w:t>
      </w:r>
      <w:r w:rsidRPr="00D5126A">
        <w:rPr>
          <w:bCs/>
          <w:lang w:eastAsia="en-GB"/>
        </w:rPr>
        <w:t>), for an explanation of exchange and non-exchange transactions, transfers and taxes.</w:t>
      </w:r>
    </w:p>
    <w:p w:rsidR="00FA6A77" w:rsidRPr="00D5126A" w:rsidRDefault="00FA6A77" w:rsidP="00972CA2">
      <w:pPr>
        <w:pStyle w:val="Heading5"/>
        <w:rPr>
          <w:bCs/>
          <w:lang w:eastAsia="en-GB"/>
        </w:rPr>
      </w:pPr>
      <w:r w:rsidRPr="00D5126A">
        <w:rPr>
          <w:lang w:eastAsia="en-GB"/>
        </w:rPr>
        <w:t>Development contributions</w:t>
      </w:r>
    </w:p>
    <w:p w:rsidR="00FA6A77" w:rsidRPr="00D5126A" w:rsidRDefault="00FA6A77" w:rsidP="00972CA2">
      <w:pPr>
        <w:rPr>
          <w:lang w:eastAsia="en-GB"/>
        </w:rPr>
      </w:pPr>
      <w:r w:rsidRPr="00D5126A">
        <w:rPr>
          <w:lang w:eastAsia="en-GB"/>
        </w:rPr>
        <w:t>Development contributions are recognised as revenue when the Council provides, or is able to provide, the service for which the contribution was charged. Until such time as the Council provides, or is able to provide the service, development contributions are recognised as liabilities.</w:t>
      </w:r>
    </w:p>
    <w:p w:rsidR="00FA6A77" w:rsidRPr="00D5126A" w:rsidRDefault="00FA6A77" w:rsidP="00972CA2">
      <w:pPr>
        <w:pStyle w:val="Heading5"/>
        <w:rPr>
          <w:lang w:eastAsia="en-GB"/>
        </w:rPr>
      </w:pPr>
      <w:r w:rsidRPr="00D5126A">
        <w:rPr>
          <w:lang w:eastAsia="en-GB"/>
        </w:rPr>
        <w:t>Grants, subsidies and reimbursements</w:t>
      </w:r>
    </w:p>
    <w:p w:rsidR="00FA6A77" w:rsidRPr="00D5126A" w:rsidRDefault="00FA6A77" w:rsidP="00972CA2">
      <w:pPr>
        <w:rPr>
          <w:lang w:eastAsia="en-GB"/>
        </w:rPr>
      </w:pPr>
      <w:r w:rsidRPr="00D5126A">
        <w:rPr>
          <w:lang w:eastAsia="en-GB"/>
        </w:rPr>
        <w:t xml:space="preserve">Grants, subsidies and reimbursements are initially recognised at their fair value where there is reasonable assurance that the monies will be received and all attaching conditions will be complied with. Grants and subsidies received in relation to the provision of services are recognised on a percentage of completion </w:t>
      </w:r>
      <w:proofErr w:type="gramStart"/>
      <w:r w:rsidRPr="00D5126A">
        <w:rPr>
          <w:lang w:eastAsia="en-GB"/>
        </w:rPr>
        <w:t>basis</w:t>
      </w:r>
      <w:proofErr w:type="gramEnd"/>
      <w:r w:rsidRPr="00D5126A">
        <w:rPr>
          <w:lang w:eastAsia="en-GB"/>
        </w:rPr>
        <w:t xml:space="preserve">. </w:t>
      </w:r>
      <w:proofErr w:type="gramStart"/>
      <w:r w:rsidRPr="00D5126A">
        <w:rPr>
          <w:lang w:eastAsia="en-GB"/>
        </w:rPr>
        <w:t>Reimbursements (eg.</w:t>
      </w:r>
      <w:proofErr w:type="gramEnd"/>
      <w:r w:rsidRPr="00D5126A">
        <w:rPr>
          <w:lang w:eastAsia="en-GB"/>
        </w:rPr>
        <w:t xml:space="preserve"> NZ Transport Agency roading claim payments) are recognised upon entitlement, which is when conditions pertaining to eligible expenditure have been fulfilled.</w:t>
      </w:r>
    </w:p>
    <w:p w:rsidR="00FA6A77" w:rsidRPr="00D5126A" w:rsidRDefault="00FA6A77" w:rsidP="00972CA2">
      <w:pPr>
        <w:pStyle w:val="Heading5"/>
        <w:rPr>
          <w:lang w:eastAsia="en-GB"/>
        </w:rPr>
      </w:pPr>
      <w:r w:rsidRPr="00D5126A">
        <w:rPr>
          <w:lang w:eastAsia="en-GB"/>
        </w:rPr>
        <w:t>Fines and penalties</w:t>
      </w:r>
    </w:p>
    <w:p w:rsidR="00FA6A77" w:rsidRPr="00D5126A" w:rsidRDefault="00FA6A77" w:rsidP="00972CA2">
      <w:pPr>
        <w:rPr>
          <w:lang w:eastAsia="en-GB"/>
        </w:rPr>
      </w:pPr>
      <w:r w:rsidRPr="00D5126A">
        <w:rPr>
          <w:lang w:eastAsia="en-GB"/>
        </w:rPr>
        <w:t>Revenue from fines and penalties (eg. traffic and parking infringements and library overdue book fines) is recognised when infringement notices are issued or when the fines/penalties are otherwise imposed. In particular the fair value of parking related fines is determined based on the probability of collecting fines considering previous collection history and a discount for the time value of money.</w:t>
      </w:r>
    </w:p>
    <w:p w:rsidR="00FA6A77" w:rsidRPr="00D5126A" w:rsidRDefault="00FA6A77" w:rsidP="00972CA2">
      <w:pPr>
        <w:pStyle w:val="Heading5"/>
        <w:rPr>
          <w:lang w:eastAsia="en-GB"/>
        </w:rPr>
      </w:pPr>
      <w:r w:rsidRPr="00D5126A">
        <w:rPr>
          <w:lang w:eastAsia="en-GB"/>
        </w:rPr>
        <w:t>Rendering of services</w:t>
      </w:r>
    </w:p>
    <w:p w:rsidR="00FA6A77" w:rsidRPr="00D5126A" w:rsidRDefault="00FA6A77" w:rsidP="00972CA2">
      <w:r w:rsidRPr="00D5126A">
        <w:rPr>
          <w:lang w:eastAsia="en-GB"/>
        </w:rPr>
        <w:t xml:space="preserve">Revenue from the rendering of services (eg. building consent fees) is recognised by reference to the stage of completion of the transaction, based on the actual service provided as a percentage of the total services to be provided. Under this method, revenue is recognised in the accounting periods in which the services are provided. Some rendering of services are provided at a market rate or on a full cost recovery basis (eg. Parking fees) and </w:t>
      </w:r>
      <w:r w:rsidRPr="00D5126A">
        <w:t xml:space="preserve">these are classified as exchange. </w:t>
      </w:r>
    </w:p>
    <w:p w:rsidR="00FA6A77" w:rsidRPr="00D5126A" w:rsidRDefault="00FA6A77" w:rsidP="00972CA2">
      <w:pPr>
        <w:pStyle w:val="Heading5"/>
        <w:rPr>
          <w:lang w:eastAsia="en-GB"/>
        </w:rPr>
      </w:pPr>
      <w:r w:rsidRPr="00D5126A">
        <w:rPr>
          <w:lang w:eastAsia="en-GB"/>
        </w:rPr>
        <w:t>Sale of goods</w:t>
      </w:r>
    </w:p>
    <w:p w:rsidR="00972CA2" w:rsidRPr="00D5126A" w:rsidRDefault="00FA6A77">
      <w:pPr>
        <w:rPr>
          <w:rFonts w:eastAsia="Times New Roman" w:cstheme="minorHAnsi"/>
          <w:b/>
          <w:bCs/>
          <w:color w:val="4F81BD" w:themeColor="accent1"/>
          <w:sz w:val="34"/>
          <w:szCs w:val="34"/>
          <w:lang w:eastAsia="en-NZ"/>
        </w:rPr>
      </w:pPr>
      <w:r w:rsidRPr="00D5126A">
        <w:rPr>
          <w:bCs/>
          <w:lang w:eastAsia="en-GB"/>
        </w:rPr>
        <w:t xml:space="preserve">The sale of goods is classified as exchange revenue. </w:t>
      </w:r>
      <w:r w:rsidRPr="00D5126A">
        <w:rPr>
          <w:lang w:eastAsia="en-GB"/>
        </w:rPr>
        <w:t>Sale of goods is recognised when products are sold to the customer and all risks and rewards of ownership have transferred to the customer.</w:t>
      </w:r>
      <w:bookmarkStart w:id="399" w:name="_Toc19092053"/>
      <w:r w:rsidR="00972CA2" w:rsidRPr="00D5126A">
        <w:br w:type="page"/>
      </w:r>
    </w:p>
    <w:p w:rsidR="00FA6A77" w:rsidRPr="00D5126A" w:rsidRDefault="00972CA2" w:rsidP="00972CA2">
      <w:pPr>
        <w:pStyle w:val="Heading3"/>
        <w:rPr>
          <w:rFonts w:ascii="Arial" w:hAnsi="Arial" w:cs="Arial"/>
          <w:color w:val="333333"/>
          <w:lang w:eastAsia="en-GB"/>
        </w:rPr>
      </w:pPr>
      <w:bookmarkStart w:id="400" w:name="_Toc23848694"/>
      <w:r w:rsidRPr="00D5126A">
        <w:lastRenderedPageBreak/>
        <w:t>Note</w:t>
      </w:r>
      <w:r w:rsidR="00FA6A77" w:rsidRPr="00D5126A">
        <w:t xml:space="preserve"> 3: Investments revenue</w:t>
      </w:r>
      <w:bookmarkEnd w:id="399"/>
      <w:bookmarkEnd w:id="400"/>
    </w:p>
    <w:p w:rsidR="0088528B" w:rsidRDefault="0088528B" w:rsidP="0088528B">
      <w:pPr>
        <w:pStyle w:val="Caption"/>
      </w:pPr>
      <w:r>
        <w:t xml:space="preserve">Section 5 - Table </w:t>
      </w:r>
      <w:fldSimple w:instr=" SEQ Section_5_-_Table \* ARABIC ">
        <w:r w:rsidR="005908C4">
          <w:rPr>
            <w:noProof/>
          </w:rPr>
          <w:t>4</w:t>
        </w:r>
      </w:fldSimple>
      <w:r>
        <w:t>: Investment revenue</w:t>
      </w:r>
    </w:p>
    <w:p w:rsidR="008871C6" w:rsidRDefault="003E6340" w:rsidP="008871C6">
      <w:pPr>
        <w:pStyle w:val="Heading4"/>
      </w:pPr>
      <w:r>
        <w:rPr>
          <w:noProof/>
          <w:lang w:eastAsia="en-NZ"/>
        </w:rPr>
        <mc:AlternateContent>
          <mc:Choice Requires="wpc">
            <w:drawing>
              <wp:inline distT="0" distB="0" distL="0" distR="0">
                <wp:extent cx="6124575" cy="1626870"/>
                <wp:effectExtent l="0" t="0" r="28575" b="30480"/>
                <wp:docPr id="1495" name="Canvas 1495" descr="Total: 25,946,000" title="Section 5 - Table 4: Investment revenue"/>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4" name="Rectangle 5"/>
                        <wps:cNvSpPr>
                          <a:spLocks noChangeArrowheads="1"/>
                        </wps:cNvSpPr>
                        <wps:spPr bwMode="auto">
                          <a:xfrm>
                            <a:off x="3373120" y="485140"/>
                            <a:ext cx="694690" cy="979805"/>
                          </a:xfrm>
                          <a:prstGeom prst="rect">
                            <a:avLst/>
                          </a:prstGeom>
                          <a:solidFill>
                            <a:srgbClr val="CC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58" name="Rectangle 6"/>
                        <wps:cNvSpPr>
                          <a:spLocks noChangeArrowheads="1"/>
                        </wps:cNvSpPr>
                        <wps:spPr bwMode="auto">
                          <a:xfrm>
                            <a:off x="4744085" y="485140"/>
                            <a:ext cx="694690" cy="979805"/>
                          </a:xfrm>
                          <a:prstGeom prst="rect">
                            <a:avLst/>
                          </a:prstGeom>
                          <a:solidFill>
                            <a:srgbClr val="CC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71" name="Rectangle 7"/>
                        <wps:cNvSpPr>
                          <a:spLocks noChangeArrowheads="1"/>
                        </wps:cNvSpPr>
                        <wps:spPr bwMode="auto">
                          <a:xfrm>
                            <a:off x="3592195" y="171450"/>
                            <a:ext cx="341851"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6D1F" w:rsidRDefault="005D6D1F">
                              <w:r>
                                <w:rPr>
                                  <w:rFonts w:ascii="Arial" w:hAnsi="Arial" w:cs="Arial"/>
                                  <w:b/>
                                  <w:bCs/>
                                  <w:color w:val="000000"/>
                                  <w:sz w:val="20"/>
                                  <w:szCs w:val="20"/>
                                  <w:lang w:val="en-US"/>
                                </w:rPr>
                                <w:t>2019</w:t>
                              </w:r>
                            </w:p>
                          </w:txbxContent>
                        </wps:txbx>
                        <wps:bodyPr rot="0" vert="horz" wrap="square" lIns="0" tIns="0" rIns="0" bIns="0" anchor="t" anchorCtr="0">
                          <a:spAutoFit/>
                        </wps:bodyPr>
                      </wps:wsp>
                      <wps:wsp>
                        <wps:cNvPr id="1375" name="Rectangle 8"/>
                        <wps:cNvSpPr>
                          <a:spLocks noChangeArrowheads="1"/>
                        </wps:cNvSpPr>
                        <wps:spPr bwMode="auto">
                          <a:xfrm>
                            <a:off x="4277995" y="171450"/>
                            <a:ext cx="347168"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6D1F" w:rsidRDefault="005D6D1F">
                              <w:r>
                                <w:rPr>
                                  <w:rFonts w:ascii="Arial" w:hAnsi="Arial" w:cs="Arial"/>
                                  <w:b/>
                                  <w:bCs/>
                                  <w:color w:val="000000"/>
                                  <w:sz w:val="20"/>
                                  <w:szCs w:val="20"/>
                                  <w:lang w:val="en-US"/>
                                </w:rPr>
                                <w:t>2018</w:t>
                              </w:r>
                            </w:p>
                          </w:txbxContent>
                        </wps:txbx>
                        <wps:bodyPr rot="0" vert="horz" wrap="square" lIns="0" tIns="0" rIns="0" bIns="0" anchor="t" anchorCtr="0">
                          <a:spAutoFit/>
                        </wps:bodyPr>
                      </wps:wsp>
                      <wps:wsp>
                        <wps:cNvPr id="33" name="Rectangle 9"/>
                        <wps:cNvSpPr>
                          <a:spLocks noChangeArrowheads="1"/>
                        </wps:cNvSpPr>
                        <wps:spPr bwMode="auto">
                          <a:xfrm>
                            <a:off x="4963795" y="171450"/>
                            <a:ext cx="374650"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6D1F" w:rsidRDefault="005D6D1F">
                              <w:r>
                                <w:rPr>
                                  <w:rFonts w:ascii="Arial" w:hAnsi="Arial" w:cs="Arial"/>
                                  <w:b/>
                                  <w:bCs/>
                                  <w:color w:val="000000"/>
                                  <w:sz w:val="20"/>
                                  <w:szCs w:val="20"/>
                                  <w:lang w:val="en-US"/>
                                </w:rPr>
                                <w:t>2019</w:t>
                              </w:r>
                            </w:p>
                          </w:txbxContent>
                        </wps:txbx>
                        <wps:bodyPr rot="0" vert="horz" wrap="square" lIns="0" tIns="0" rIns="0" bIns="0" anchor="t" anchorCtr="0">
                          <a:spAutoFit/>
                        </wps:bodyPr>
                      </wps:wsp>
                      <wps:wsp>
                        <wps:cNvPr id="34" name="Rectangle 10"/>
                        <wps:cNvSpPr>
                          <a:spLocks noChangeArrowheads="1"/>
                        </wps:cNvSpPr>
                        <wps:spPr bwMode="auto">
                          <a:xfrm>
                            <a:off x="5648960" y="171450"/>
                            <a:ext cx="356870"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6D1F" w:rsidRDefault="005D6D1F">
                              <w:r>
                                <w:rPr>
                                  <w:rFonts w:ascii="Arial" w:hAnsi="Arial" w:cs="Arial"/>
                                  <w:b/>
                                  <w:bCs/>
                                  <w:color w:val="000000"/>
                                  <w:sz w:val="20"/>
                                  <w:szCs w:val="20"/>
                                  <w:lang w:val="en-US"/>
                                </w:rPr>
                                <w:t>2018</w:t>
                              </w:r>
                            </w:p>
                          </w:txbxContent>
                        </wps:txbx>
                        <wps:bodyPr rot="0" vert="horz" wrap="square" lIns="0" tIns="0" rIns="0" bIns="0" anchor="t" anchorCtr="0">
                          <a:spAutoFit/>
                        </wps:bodyPr>
                      </wps:wsp>
                      <wps:wsp>
                        <wps:cNvPr id="43" name="Rectangle 11"/>
                        <wps:cNvSpPr>
                          <a:spLocks noChangeArrowheads="1"/>
                        </wps:cNvSpPr>
                        <wps:spPr bwMode="auto">
                          <a:xfrm>
                            <a:off x="3592195" y="332740"/>
                            <a:ext cx="341851"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6D1F" w:rsidRDefault="005D6D1F">
                              <w:r>
                                <w:rPr>
                                  <w:rFonts w:ascii="Arial" w:hAnsi="Arial" w:cs="Arial"/>
                                  <w:b/>
                                  <w:bCs/>
                                  <w:color w:val="000000"/>
                                  <w:sz w:val="20"/>
                                  <w:szCs w:val="20"/>
                                  <w:lang w:val="en-US"/>
                                </w:rPr>
                                <w:t>$000</w:t>
                              </w:r>
                            </w:p>
                          </w:txbxContent>
                        </wps:txbx>
                        <wps:bodyPr rot="0" vert="horz" wrap="square" lIns="0" tIns="0" rIns="0" bIns="0" anchor="t" anchorCtr="0">
                          <a:spAutoFit/>
                        </wps:bodyPr>
                      </wps:wsp>
                      <wps:wsp>
                        <wps:cNvPr id="49" name="Rectangle 12"/>
                        <wps:cNvSpPr>
                          <a:spLocks noChangeArrowheads="1"/>
                        </wps:cNvSpPr>
                        <wps:spPr bwMode="auto">
                          <a:xfrm>
                            <a:off x="4277995" y="332740"/>
                            <a:ext cx="347168"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6D1F" w:rsidRDefault="005D6D1F">
                              <w:r>
                                <w:rPr>
                                  <w:rFonts w:ascii="Arial" w:hAnsi="Arial" w:cs="Arial"/>
                                  <w:b/>
                                  <w:bCs/>
                                  <w:color w:val="000000"/>
                                  <w:sz w:val="20"/>
                                  <w:szCs w:val="20"/>
                                  <w:lang w:val="en-US"/>
                                </w:rPr>
                                <w:t>$000</w:t>
                              </w:r>
                            </w:p>
                          </w:txbxContent>
                        </wps:txbx>
                        <wps:bodyPr rot="0" vert="horz" wrap="square" lIns="0" tIns="0" rIns="0" bIns="0" anchor="t" anchorCtr="0">
                          <a:spAutoFit/>
                        </wps:bodyPr>
                      </wps:wsp>
                      <wps:wsp>
                        <wps:cNvPr id="50" name="Rectangle 13"/>
                        <wps:cNvSpPr>
                          <a:spLocks noChangeArrowheads="1"/>
                        </wps:cNvSpPr>
                        <wps:spPr bwMode="auto">
                          <a:xfrm>
                            <a:off x="4963795" y="332740"/>
                            <a:ext cx="374650"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6D1F" w:rsidRDefault="005D6D1F">
                              <w:r>
                                <w:rPr>
                                  <w:rFonts w:ascii="Arial" w:hAnsi="Arial" w:cs="Arial"/>
                                  <w:b/>
                                  <w:bCs/>
                                  <w:color w:val="000000"/>
                                  <w:sz w:val="20"/>
                                  <w:szCs w:val="20"/>
                                  <w:lang w:val="en-US"/>
                                </w:rPr>
                                <w:t>$000</w:t>
                              </w:r>
                            </w:p>
                          </w:txbxContent>
                        </wps:txbx>
                        <wps:bodyPr rot="0" vert="horz" wrap="square" lIns="0" tIns="0" rIns="0" bIns="0" anchor="t" anchorCtr="0">
                          <a:spAutoFit/>
                        </wps:bodyPr>
                      </wps:wsp>
                      <wps:wsp>
                        <wps:cNvPr id="51" name="Rectangle 14"/>
                        <wps:cNvSpPr>
                          <a:spLocks noChangeArrowheads="1"/>
                        </wps:cNvSpPr>
                        <wps:spPr bwMode="auto">
                          <a:xfrm>
                            <a:off x="5648960" y="332740"/>
                            <a:ext cx="37528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6D1F" w:rsidRDefault="005D6D1F">
                              <w:r>
                                <w:rPr>
                                  <w:rFonts w:ascii="Arial" w:hAnsi="Arial" w:cs="Arial"/>
                                  <w:b/>
                                  <w:bCs/>
                                  <w:color w:val="000000"/>
                                  <w:sz w:val="20"/>
                                  <w:szCs w:val="20"/>
                                  <w:lang w:val="en-US"/>
                                </w:rPr>
                                <w:t>$000</w:t>
                              </w:r>
                            </w:p>
                          </w:txbxContent>
                        </wps:txbx>
                        <wps:bodyPr rot="0" vert="horz" wrap="square" lIns="0" tIns="0" rIns="0" bIns="0" anchor="t" anchorCtr="0">
                          <a:spAutoFit/>
                        </wps:bodyPr>
                      </wps:wsp>
                      <wps:wsp>
                        <wps:cNvPr id="57" name="Rectangle 15"/>
                        <wps:cNvSpPr>
                          <a:spLocks noChangeArrowheads="1"/>
                        </wps:cNvSpPr>
                        <wps:spPr bwMode="auto">
                          <a:xfrm>
                            <a:off x="27305" y="656590"/>
                            <a:ext cx="1493151"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6D1F" w:rsidRDefault="005D6D1F">
                              <w:r>
                                <w:rPr>
                                  <w:rFonts w:ascii="Arial" w:hAnsi="Arial" w:cs="Arial"/>
                                  <w:color w:val="000000"/>
                                  <w:sz w:val="20"/>
                                  <w:szCs w:val="20"/>
                                  <w:lang w:val="en-US"/>
                                </w:rPr>
                                <w:t>Dividend from associates</w:t>
                              </w:r>
                            </w:p>
                          </w:txbxContent>
                        </wps:txbx>
                        <wps:bodyPr rot="0" vert="horz" wrap="square" lIns="0" tIns="0" rIns="0" bIns="0" anchor="t" anchorCtr="0">
                          <a:spAutoFit/>
                        </wps:bodyPr>
                      </wps:wsp>
                      <wps:wsp>
                        <wps:cNvPr id="61" name="Rectangle 16"/>
                        <wps:cNvSpPr>
                          <a:spLocks noChangeArrowheads="1"/>
                        </wps:cNvSpPr>
                        <wps:spPr bwMode="auto">
                          <a:xfrm>
                            <a:off x="3647440" y="656590"/>
                            <a:ext cx="388620"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6D1F" w:rsidRDefault="005D6D1F">
                              <w:r>
                                <w:rPr>
                                  <w:rFonts w:ascii="Arial" w:hAnsi="Arial" w:cs="Arial"/>
                                  <w:color w:val="000000"/>
                                  <w:sz w:val="20"/>
                                  <w:szCs w:val="20"/>
                                  <w:lang w:val="en-US"/>
                                </w:rPr>
                                <w:t>13,881</w:t>
                              </w:r>
                            </w:p>
                          </w:txbxContent>
                        </wps:txbx>
                        <wps:bodyPr rot="0" vert="horz" wrap="none" lIns="0" tIns="0" rIns="0" bIns="0" anchor="t" anchorCtr="0">
                          <a:spAutoFit/>
                        </wps:bodyPr>
                      </wps:wsp>
                      <wps:wsp>
                        <wps:cNvPr id="1386" name="Rectangle 17"/>
                        <wps:cNvSpPr>
                          <a:spLocks noChangeArrowheads="1"/>
                        </wps:cNvSpPr>
                        <wps:spPr bwMode="auto">
                          <a:xfrm>
                            <a:off x="3437255" y="656590"/>
                            <a:ext cx="35560"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6D1F" w:rsidRDefault="005D6D1F">
                              <w:r>
                                <w:rPr>
                                  <w:rFonts w:ascii="Arial" w:hAnsi="Arial" w:cs="Arial"/>
                                  <w:color w:val="000000"/>
                                  <w:sz w:val="20"/>
                                  <w:szCs w:val="20"/>
                                  <w:lang w:val="en-US"/>
                                </w:rPr>
                                <w:t xml:space="preserve">     </w:t>
                              </w:r>
                            </w:p>
                          </w:txbxContent>
                        </wps:txbx>
                        <wps:bodyPr rot="0" vert="horz" wrap="none" lIns="0" tIns="0" rIns="0" bIns="0" anchor="t" anchorCtr="0">
                          <a:spAutoFit/>
                        </wps:bodyPr>
                      </wps:wsp>
                      <wps:wsp>
                        <wps:cNvPr id="291" name="Rectangle 18"/>
                        <wps:cNvSpPr>
                          <a:spLocks noChangeArrowheads="1"/>
                        </wps:cNvSpPr>
                        <wps:spPr bwMode="auto">
                          <a:xfrm>
                            <a:off x="3620135" y="656590"/>
                            <a:ext cx="35560"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6D1F" w:rsidRDefault="005D6D1F">
                              <w:r>
                                <w:rPr>
                                  <w:rFonts w:ascii="Arial" w:hAnsi="Arial" w:cs="Arial"/>
                                  <w:color w:val="000000"/>
                                  <w:sz w:val="20"/>
                                  <w:szCs w:val="20"/>
                                  <w:lang w:val="en-US"/>
                                </w:rPr>
                                <w:t xml:space="preserve"> </w:t>
                              </w:r>
                            </w:p>
                          </w:txbxContent>
                        </wps:txbx>
                        <wps:bodyPr rot="0" vert="horz" wrap="none" lIns="0" tIns="0" rIns="0" bIns="0" anchor="t" anchorCtr="0">
                          <a:spAutoFit/>
                        </wps:bodyPr>
                      </wps:wsp>
                      <wps:wsp>
                        <wps:cNvPr id="295" name="Rectangle 19"/>
                        <wps:cNvSpPr>
                          <a:spLocks noChangeArrowheads="1"/>
                        </wps:cNvSpPr>
                        <wps:spPr bwMode="auto">
                          <a:xfrm>
                            <a:off x="4311339" y="656590"/>
                            <a:ext cx="496880"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6D1F" w:rsidRDefault="005D6D1F">
                              <w:r>
                                <w:rPr>
                                  <w:rFonts w:ascii="Arial" w:hAnsi="Arial" w:cs="Arial"/>
                                  <w:color w:val="000000"/>
                                  <w:sz w:val="20"/>
                                  <w:szCs w:val="20"/>
                                  <w:lang w:val="en-US"/>
                                </w:rPr>
                                <w:t>12,610</w:t>
                              </w:r>
                            </w:p>
                          </w:txbxContent>
                        </wps:txbx>
                        <wps:bodyPr rot="0" vert="horz" wrap="square" lIns="0" tIns="0" rIns="0" bIns="0" anchor="t" anchorCtr="0">
                          <a:spAutoFit/>
                        </wps:bodyPr>
                      </wps:wsp>
                      <wps:wsp>
                        <wps:cNvPr id="303" name="Rectangle 20"/>
                        <wps:cNvSpPr>
                          <a:spLocks noChangeArrowheads="1"/>
                        </wps:cNvSpPr>
                        <wps:spPr bwMode="auto">
                          <a:xfrm>
                            <a:off x="4122420" y="656590"/>
                            <a:ext cx="35560"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6D1F" w:rsidRDefault="005D6D1F">
                              <w:r>
                                <w:rPr>
                                  <w:rFonts w:ascii="Arial" w:hAnsi="Arial" w:cs="Arial"/>
                                  <w:color w:val="000000"/>
                                  <w:sz w:val="20"/>
                                  <w:szCs w:val="20"/>
                                  <w:lang w:val="en-US"/>
                                </w:rPr>
                                <w:t xml:space="preserve">     </w:t>
                              </w:r>
                            </w:p>
                          </w:txbxContent>
                        </wps:txbx>
                        <wps:bodyPr rot="0" vert="horz" wrap="none" lIns="0" tIns="0" rIns="0" bIns="0" anchor="t" anchorCtr="0">
                          <a:spAutoFit/>
                        </wps:bodyPr>
                      </wps:wsp>
                      <wps:wsp>
                        <wps:cNvPr id="304" name="Rectangle 21"/>
                        <wps:cNvSpPr>
                          <a:spLocks noChangeArrowheads="1"/>
                        </wps:cNvSpPr>
                        <wps:spPr bwMode="auto">
                          <a:xfrm>
                            <a:off x="4305300" y="656590"/>
                            <a:ext cx="35560"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6D1F" w:rsidRDefault="005D6D1F">
                              <w:r>
                                <w:rPr>
                                  <w:rFonts w:ascii="Arial" w:hAnsi="Arial" w:cs="Arial"/>
                                  <w:color w:val="000000"/>
                                  <w:sz w:val="20"/>
                                  <w:szCs w:val="20"/>
                                  <w:lang w:val="en-US"/>
                                </w:rPr>
                                <w:t xml:space="preserve"> </w:t>
                              </w:r>
                            </w:p>
                          </w:txbxContent>
                        </wps:txbx>
                        <wps:bodyPr rot="0" vert="horz" wrap="none" lIns="0" tIns="0" rIns="0" bIns="0" anchor="t" anchorCtr="0">
                          <a:spAutoFit/>
                        </wps:bodyPr>
                      </wps:wsp>
                      <wps:wsp>
                        <wps:cNvPr id="305" name="Rectangle 22"/>
                        <wps:cNvSpPr>
                          <a:spLocks noChangeArrowheads="1"/>
                        </wps:cNvSpPr>
                        <wps:spPr bwMode="auto">
                          <a:xfrm>
                            <a:off x="5338445" y="656590"/>
                            <a:ext cx="4254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6D1F" w:rsidRDefault="005D6D1F">
                              <w:r>
                                <w:rPr>
                                  <w:rFonts w:ascii="Arial" w:hAnsi="Arial" w:cs="Arial"/>
                                  <w:color w:val="000000"/>
                                  <w:sz w:val="20"/>
                                  <w:szCs w:val="20"/>
                                  <w:lang w:val="en-US"/>
                                </w:rPr>
                                <w:t>-</w:t>
                              </w:r>
                            </w:p>
                          </w:txbxContent>
                        </wps:txbx>
                        <wps:bodyPr rot="0" vert="horz" wrap="none" lIns="0" tIns="0" rIns="0" bIns="0" anchor="t" anchorCtr="0">
                          <a:spAutoFit/>
                        </wps:bodyPr>
                      </wps:wsp>
                      <wps:wsp>
                        <wps:cNvPr id="306" name="Rectangle 23"/>
                        <wps:cNvSpPr>
                          <a:spLocks noChangeArrowheads="1"/>
                        </wps:cNvSpPr>
                        <wps:spPr bwMode="auto">
                          <a:xfrm>
                            <a:off x="4808220" y="656590"/>
                            <a:ext cx="35560"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6D1F" w:rsidRDefault="005D6D1F">
                              <w:r>
                                <w:rPr>
                                  <w:rFonts w:ascii="Arial" w:hAnsi="Arial" w:cs="Arial"/>
                                  <w:color w:val="000000"/>
                                  <w:sz w:val="20"/>
                                  <w:szCs w:val="20"/>
                                  <w:lang w:val="en-US"/>
                                </w:rPr>
                                <w:t xml:space="preserve">              </w:t>
                              </w:r>
                            </w:p>
                          </w:txbxContent>
                        </wps:txbx>
                        <wps:bodyPr rot="0" vert="horz" wrap="none" lIns="0" tIns="0" rIns="0" bIns="0" anchor="t" anchorCtr="0">
                          <a:spAutoFit/>
                        </wps:bodyPr>
                      </wps:wsp>
                      <wps:wsp>
                        <wps:cNvPr id="307" name="Rectangle 24"/>
                        <wps:cNvSpPr>
                          <a:spLocks noChangeArrowheads="1"/>
                        </wps:cNvSpPr>
                        <wps:spPr bwMode="auto">
                          <a:xfrm>
                            <a:off x="5320030" y="656590"/>
                            <a:ext cx="35560"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6D1F" w:rsidRDefault="005D6D1F">
                              <w:r>
                                <w:rPr>
                                  <w:rFonts w:ascii="Arial" w:hAnsi="Arial" w:cs="Arial"/>
                                  <w:color w:val="000000"/>
                                  <w:sz w:val="20"/>
                                  <w:szCs w:val="20"/>
                                  <w:lang w:val="en-US"/>
                                </w:rPr>
                                <w:t xml:space="preserve"> </w:t>
                              </w:r>
                            </w:p>
                          </w:txbxContent>
                        </wps:txbx>
                        <wps:bodyPr rot="0" vert="horz" wrap="none" lIns="0" tIns="0" rIns="0" bIns="0" anchor="t" anchorCtr="0">
                          <a:spAutoFit/>
                        </wps:bodyPr>
                      </wps:wsp>
                      <wps:wsp>
                        <wps:cNvPr id="308" name="Rectangle 25"/>
                        <wps:cNvSpPr>
                          <a:spLocks noChangeArrowheads="1"/>
                        </wps:cNvSpPr>
                        <wps:spPr bwMode="auto">
                          <a:xfrm>
                            <a:off x="6024245" y="656590"/>
                            <a:ext cx="4254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6D1F" w:rsidRDefault="005D6D1F">
                              <w:r>
                                <w:rPr>
                                  <w:rFonts w:ascii="Arial" w:hAnsi="Arial" w:cs="Arial"/>
                                  <w:color w:val="000000"/>
                                  <w:sz w:val="20"/>
                                  <w:szCs w:val="20"/>
                                  <w:lang w:val="en-US"/>
                                </w:rPr>
                                <w:t>-</w:t>
                              </w:r>
                            </w:p>
                          </w:txbxContent>
                        </wps:txbx>
                        <wps:bodyPr rot="0" vert="horz" wrap="none" lIns="0" tIns="0" rIns="0" bIns="0" anchor="t" anchorCtr="0">
                          <a:spAutoFit/>
                        </wps:bodyPr>
                      </wps:wsp>
                      <wps:wsp>
                        <wps:cNvPr id="309" name="Rectangle 26"/>
                        <wps:cNvSpPr>
                          <a:spLocks noChangeArrowheads="1"/>
                        </wps:cNvSpPr>
                        <wps:spPr bwMode="auto">
                          <a:xfrm>
                            <a:off x="5494020" y="656590"/>
                            <a:ext cx="35560"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6D1F" w:rsidRDefault="005D6D1F">
                              <w:r>
                                <w:rPr>
                                  <w:rFonts w:ascii="Arial" w:hAnsi="Arial" w:cs="Arial"/>
                                  <w:color w:val="000000"/>
                                  <w:sz w:val="20"/>
                                  <w:szCs w:val="20"/>
                                  <w:lang w:val="en-US"/>
                                </w:rPr>
                                <w:t xml:space="preserve">              </w:t>
                              </w:r>
                            </w:p>
                          </w:txbxContent>
                        </wps:txbx>
                        <wps:bodyPr rot="0" vert="horz" wrap="none" lIns="0" tIns="0" rIns="0" bIns="0" anchor="t" anchorCtr="0">
                          <a:spAutoFit/>
                        </wps:bodyPr>
                      </wps:wsp>
                      <wps:wsp>
                        <wps:cNvPr id="310" name="Rectangle 27"/>
                        <wps:cNvSpPr>
                          <a:spLocks noChangeArrowheads="1"/>
                        </wps:cNvSpPr>
                        <wps:spPr bwMode="auto">
                          <a:xfrm>
                            <a:off x="6005830" y="656590"/>
                            <a:ext cx="35560"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6D1F" w:rsidRDefault="005D6D1F">
                              <w:r>
                                <w:rPr>
                                  <w:rFonts w:ascii="Arial" w:hAnsi="Arial" w:cs="Arial"/>
                                  <w:color w:val="000000"/>
                                  <w:sz w:val="20"/>
                                  <w:szCs w:val="20"/>
                                  <w:lang w:val="en-US"/>
                                </w:rPr>
                                <w:t xml:space="preserve"> </w:t>
                              </w:r>
                            </w:p>
                          </w:txbxContent>
                        </wps:txbx>
                        <wps:bodyPr rot="0" vert="horz" wrap="none" lIns="0" tIns="0" rIns="0" bIns="0" anchor="t" anchorCtr="0">
                          <a:spAutoFit/>
                        </wps:bodyPr>
                      </wps:wsp>
                      <wps:wsp>
                        <wps:cNvPr id="311" name="Rectangle 28"/>
                        <wps:cNvSpPr>
                          <a:spLocks noChangeArrowheads="1"/>
                        </wps:cNvSpPr>
                        <wps:spPr bwMode="auto">
                          <a:xfrm>
                            <a:off x="27304" y="817880"/>
                            <a:ext cx="201104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6D1F" w:rsidRDefault="005D6D1F">
                              <w:r>
                                <w:rPr>
                                  <w:rFonts w:ascii="Arial" w:hAnsi="Arial" w:cs="Arial"/>
                                  <w:color w:val="000000"/>
                                  <w:sz w:val="20"/>
                                  <w:szCs w:val="20"/>
                                  <w:lang w:val="en-US"/>
                                </w:rPr>
                                <w:t>Dividend from equity investments</w:t>
                              </w:r>
                            </w:p>
                          </w:txbxContent>
                        </wps:txbx>
                        <wps:bodyPr rot="0" vert="horz" wrap="square" lIns="0" tIns="0" rIns="0" bIns="0" anchor="t" anchorCtr="0">
                          <a:spAutoFit/>
                        </wps:bodyPr>
                      </wps:wsp>
                      <wps:wsp>
                        <wps:cNvPr id="312" name="Rectangle 29"/>
                        <wps:cNvSpPr>
                          <a:spLocks noChangeArrowheads="1"/>
                        </wps:cNvSpPr>
                        <wps:spPr bwMode="auto">
                          <a:xfrm>
                            <a:off x="3811905" y="817880"/>
                            <a:ext cx="212090"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6D1F" w:rsidRDefault="005D6D1F">
                              <w:r>
                                <w:rPr>
                                  <w:rFonts w:ascii="Arial" w:hAnsi="Arial" w:cs="Arial"/>
                                  <w:color w:val="000000"/>
                                  <w:sz w:val="20"/>
                                  <w:szCs w:val="20"/>
                                  <w:lang w:val="en-US"/>
                                </w:rPr>
                                <w:t>537</w:t>
                              </w:r>
                            </w:p>
                          </w:txbxContent>
                        </wps:txbx>
                        <wps:bodyPr rot="0" vert="horz" wrap="none" lIns="0" tIns="0" rIns="0" bIns="0" anchor="t" anchorCtr="0">
                          <a:spAutoFit/>
                        </wps:bodyPr>
                      </wps:wsp>
                      <wps:wsp>
                        <wps:cNvPr id="1410" name="Rectangle 30"/>
                        <wps:cNvSpPr>
                          <a:spLocks noChangeArrowheads="1"/>
                        </wps:cNvSpPr>
                        <wps:spPr bwMode="auto">
                          <a:xfrm>
                            <a:off x="3437255" y="817880"/>
                            <a:ext cx="35560"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6D1F" w:rsidRDefault="005D6D1F">
                              <w:r>
                                <w:rPr>
                                  <w:rFonts w:ascii="Arial" w:hAnsi="Arial" w:cs="Arial"/>
                                  <w:color w:val="000000"/>
                                  <w:sz w:val="20"/>
                                  <w:szCs w:val="20"/>
                                  <w:lang w:val="en-US"/>
                                </w:rPr>
                                <w:t xml:space="preserve">          </w:t>
                              </w:r>
                            </w:p>
                          </w:txbxContent>
                        </wps:txbx>
                        <wps:bodyPr rot="0" vert="horz" wrap="none" lIns="0" tIns="0" rIns="0" bIns="0" anchor="t" anchorCtr="0">
                          <a:spAutoFit/>
                        </wps:bodyPr>
                      </wps:wsp>
                      <wps:wsp>
                        <wps:cNvPr id="1424" name="Rectangle 31"/>
                        <wps:cNvSpPr>
                          <a:spLocks noChangeArrowheads="1"/>
                        </wps:cNvSpPr>
                        <wps:spPr bwMode="auto">
                          <a:xfrm>
                            <a:off x="3803015" y="817880"/>
                            <a:ext cx="35560"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6D1F" w:rsidRDefault="005D6D1F">
                              <w:r>
                                <w:rPr>
                                  <w:rFonts w:ascii="Arial" w:hAnsi="Arial" w:cs="Arial"/>
                                  <w:color w:val="000000"/>
                                  <w:sz w:val="20"/>
                                  <w:szCs w:val="20"/>
                                  <w:lang w:val="en-US"/>
                                </w:rPr>
                                <w:t xml:space="preserve"> </w:t>
                              </w:r>
                            </w:p>
                          </w:txbxContent>
                        </wps:txbx>
                        <wps:bodyPr rot="0" vert="horz" wrap="none" lIns="0" tIns="0" rIns="0" bIns="0" anchor="t" anchorCtr="0">
                          <a:spAutoFit/>
                        </wps:bodyPr>
                      </wps:wsp>
                      <wps:wsp>
                        <wps:cNvPr id="1429" name="Rectangle 32"/>
                        <wps:cNvSpPr>
                          <a:spLocks noChangeArrowheads="1"/>
                        </wps:cNvSpPr>
                        <wps:spPr bwMode="auto">
                          <a:xfrm>
                            <a:off x="4497705" y="817880"/>
                            <a:ext cx="212090"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6D1F" w:rsidRDefault="005D6D1F">
                              <w:r>
                                <w:rPr>
                                  <w:rFonts w:ascii="Arial" w:hAnsi="Arial" w:cs="Arial"/>
                                  <w:color w:val="000000"/>
                                  <w:sz w:val="20"/>
                                  <w:szCs w:val="20"/>
                                  <w:lang w:val="en-US"/>
                                </w:rPr>
                                <w:t>104</w:t>
                              </w:r>
                            </w:p>
                          </w:txbxContent>
                        </wps:txbx>
                        <wps:bodyPr rot="0" vert="horz" wrap="none" lIns="0" tIns="0" rIns="0" bIns="0" anchor="t" anchorCtr="0">
                          <a:spAutoFit/>
                        </wps:bodyPr>
                      </wps:wsp>
                      <wps:wsp>
                        <wps:cNvPr id="327" name="Rectangle 33"/>
                        <wps:cNvSpPr>
                          <a:spLocks noChangeArrowheads="1"/>
                        </wps:cNvSpPr>
                        <wps:spPr bwMode="auto">
                          <a:xfrm>
                            <a:off x="4122420" y="817880"/>
                            <a:ext cx="35560"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6D1F" w:rsidRDefault="005D6D1F">
                              <w:r>
                                <w:rPr>
                                  <w:rFonts w:ascii="Arial" w:hAnsi="Arial" w:cs="Arial"/>
                                  <w:color w:val="000000"/>
                                  <w:sz w:val="20"/>
                                  <w:szCs w:val="20"/>
                                  <w:lang w:val="en-US"/>
                                </w:rPr>
                                <w:t xml:space="preserve">          </w:t>
                              </w:r>
                            </w:p>
                          </w:txbxContent>
                        </wps:txbx>
                        <wps:bodyPr rot="0" vert="horz" wrap="none" lIns="0" tIns="0" rIns="0" bIns="0" anchor="t" anchorCtr="0">
                          <a:spAutoFit/>
                        </wps:bodyPr>
                      </wps:wsp>
                      <wps:wsp>
                        <wps:cNvPr id="328" name="Rectangle 34"/>
                        <wps:cNvSpPr>
                          <a:spLocks noChangeArrowheads="1"/>
                        </wps:cNvSpPr>
                        <wps:spPr bwMode="auto">
                          <a:xfrm>
                            <a:off x="4488180" y="817880"/>
                            <a:ext cx="35560"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6D1F" w:rsidRDefault="005D6D1F">
                              <w:r>
                                <w:rPr>
                                  <w:rFonts w:ascii="Arial" w:hAnsi="Arial" w:cs="Arial"/>
                                  <w:color w:val="000000"/>
                                  <w:sz w:val="20"/>
                                  <w:szCs w:val="20"/>
                                  <w:lang w:val="en-US"/>
                                </w:rPr>
                                <w:t xml:space="preserve"> </w:t>
                              </w:r>
                            </w:p>
                          </w:txbxContent>
                        </wps:txbx>
                        <wps:bodyPr rot="0" vert="horz" wrap="none" lIns="0" tIns="0" rIns="0" bIns="0" anchor="t" anchorCtr="0">
                          <a:spAutoFit/>
                        </wps:bodyPr>
                      </wps:wsp>
                      <wps:wsp>
                        <wps:cNvPr id="329" name="Rectangle 35"/>
                        <wps:cNvSpPr>
                          <a:spLocks noChangeArrowheads="1"/>
                        </wps:cNvSpPr>
                        <wps:spPr bwMode="auto">
                          <a:xfrm>
                            <a:off x="5182870" y="817880"/>
                            <a:ext cx="212090"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6D1F" w:rsidRDefault="005D6D1F">
                              <w:r>
                                <w:rPr>
                                  <w:rFonts w:ascii="Arial" w:hAnsi="Arial" w:cs="Arial"/>
                                  <w:color w:val="000000"/>
                                  <w:sz w:val="20"/>
                                  <w:szCs w:val="20"/>
                                  <w:lang w:val="en-US"/>
                                </w:rPr>
                                <w:t>537</w:t>
                              </w:r>
                            </w:p>
                          </w:txbxContent>
                        </wps:txbx>
                        <wps:bodyPr rot="0" vert="horz" wrap="none" lIns="0" tIns="0" rIns="0" bIns="0" anchor="t" anchorCtr="0">
                          <a:spAutoFit/>
                        </wps:bodyPr>
                      </wps:wsp>
                      <wps:wsp>
                        <wps:cNvPr id="330" name="Rectangle 36"/>
                        <wps:cNvSpPr>
                          <a:spLocks noChangeArrowheads="1"/>
                        </wps:cNvSpPr>
                        <wps:spPr bwMode="auto">
                          <a:xfrm>
                            <a:off x="4808220" y="817880"/>
                            <a:ext cx="35560"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6D1F" w:rsidRDefault="005D6D1F">
                              <w:r>
                                <w:rPr>
                                  <w:rFonts w:ascii="Arial" w:hAnsi="Arial" w:cs="Arial"/>
                                  <w:color w:val="000000"/>
                                  <w:sz w:val="20"/>
                                  <w:szCs w:val="20"/>
                                  <w:lang w:val="en-US"/>
                                </w:rPr>
                                <w:t xml:space="preserve">          </w:t>
                              </w:r>
                            </w:p>
                          </w:txbxContent>
                        </wps:txbx>
                        <wps:bodyPr rot="0" vert="horz" wrap="none" lIns="0" tIns="0" rIns="0" bIns="0" anchor="t" anchorCtr="0">
                          <a:spAutoFit/>
                        </wps:bodyPr>
                      </wps:wsp>
                      <wps:wsp>
                        <wps:cNvPr id="331" name="Rectangle 37"/>
                        <wps:cNvSpPr>
                          <a:spLocks noChangeArrowheads="1"/>
                        </wps:cNvSpPr>
                        <wps:spPr bwMode="auto">
                          <a:xfrm>
                            <a:off x="5173980" y="817880"/>
                            <a:ext cx="35560"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6D1F" w:rsidRDefault="005D6D1F">
                              <w:r>
                                <w:rPr>
                                  <w:rFonts w:ascii="Arial" w:hAnsi="Arial" w:cs="Arial"/>
                                  <w:color w:val="000000"/>
                                  <w:sz w:val="20"/>
                                  <w:szCs w:val="20"/>
                                  <w:lang w:val="en-US"/>
                                </w:rPr>
                                <w:t xml:space="preserve"> </w:t>
                              </w:r>
                            </w:p>
                          </w:txbxContent>
                        </wps:txbx>
                        <wps:bodyPr rot="0" vert="horz" wrap="none" lIns="0" tIns="0" rIns="0" bIns="0" anchor="t" anchorCtr="0">
                          <a:spAutoFit/>
                        </wps:bodyPr>
                      </wps:wsp>
                      <wps:wsp>
                        <wps:cNvPr id="332" name="Rectangle 38"/>
                        <wps:cNvSpPr>
                          <a:spLocks noChangeArrowheads="1"/>
                        </wps:cNvSpPr>
                        <wps:spPr bwMode="auto">
                          <a:xfrm>
                            <a:off x="5868670" y="817880"/>
                            <a:ext cx="212090"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6D1F" w:rsidRDefault="005D6D1F">
                              <w:r>
                                <w:rPr>
                                  <w:rFonts w:ascii="Arial" w:hAnsi="Arial" w:cs="Arial"/>
                                  <w:color w:val="000000"/>
                                  <w:sz w:val="20"/>
                                  <w:szCs w:val="20"/>
                                  <w:lang w:val="en-US"/>
                                </w:rPr>
                                <w:t>104</w:t>
                              </w:r>
                            </w:p>
                          </w:txbxContent>
                        </wps:txbx>
                        <wps:bodyPr rot="0" vert="horz" wrap="none" lIns="0" tIns="0" rIns="0" bIns="0" anchor="t" anchorCtr="0">
                          <a:spAutoFit/>
                        </wps:bodyPr>
                      </wps:wsp>
                      <wps:wsp>
                        <wps:cNvPr id="333" name="Rectangle 39"/>
                        <wps:cNvSpPr>
                          <a:spLocks noChangeArrowheads="1"/>
                        </wps:cNvSpPr>
                        <wps:spPr bwMode="auto">
                          <a:xfrm>
                            <a:off x="5494020" y="817880"/>
                            <a:ext cx="35560"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6D1F" w:rsidRDefault="005D6D1F">
                              <w:r>
                                <w:rPr>
                                  <w:rFonts w:ascii="Arial" w:hAnsi="Arial" w:cs="Arial"/>
                                  <w:color w:val="000000"/>
                                  <w:sz w:val="20"/>
                                  <w:szCs w:val="20"/>
                                  <w:lang w:val="en-US"/>
                                </w:rPr>
                                <w:t xml:space="preserve">          </w:t>
                              </w:r>
                            </w:p>
                          </w:txbxContent>
                        </wps:txbx>
                        <wps:bodyPr rot="0" vert="horz" wrap="none" lIns="0" tIns="0" rIns="0" bIns="0" anchor="t" anchorCtr="0">
                          <a:spAutoFit/>
                        </wps:bodyPr>
                      </wps:wsp>
                      <wps:wsp>
                        <wps:cNvPr id="334" name="Rectangle 40"/>
                        <wps:cNvSpPr>
                          <a:spLocks noChangeArrowheads="1"/>
                        </wps:cNvSpPr>
                        <wps:spPr bwMode="auto">
                          <a:xfrm>
                            <a:off x="5859780" y="817880"/>
                            <a:ext cx="35560"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6D1F" w:rsidRDefault="005D6D1F">
                              <w:r>
                                <w:rPr>
                                  <w:rFonts w:ascii="Arial" w:hAnsi="Arial" w:cs="Arial"/>
                                  <w:color w:val="000000"/>
                                  <w:sz w:val="20"/>
                                  <w:szCs w:val="20"/>
                                  <w:lang w:val="en-US"/>
                                </w:rPr>
                                <w:t xml:space="preserve"> </w:t>
                              </w:r>
                            </w:p>
                          </w:txbxContent>
                        </wps:txbx>
                        <wps:bodyPr rot="0" vert="horz" wrap="none" lIns="0" tIns="0" rIns="0" bIns="0" anchor="t" anchorCtr="0">
                          <a:spAutoFit/>
                        </wps:bodyPr>
                      </wps:wsp>
                      <wps:wsp>
                        <wps:cNvPr id="335" name="Rectangle 41"/>
                        <wps:cNvSpPr>
                          <a:spLocks noChangeArrowheads="1"/>
                        </wps:cNvSpPr>
                        <wps:spPr bwMode="auto">
                          <a:xfrm>
                            <a:off x="27304" y="979805"/>
                            <a:ext cx="180149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6D1F" w:rsidRDefault="005D6D1F">
                              <w:r>
                                <w:rPr>
                                  <w:rFonts w:ascii="Arial" w:hAnsi="Arial" w:cs="Arial"/>
                                  <w:color w:val="000000"/>
                                  <w:sz w:val="20"/>
                                  <w:szCs w:val="20"/>
                                  <w:lang w:val="en-US"/>
                                </w:rPr>
                                <w:t>Investment property revenues</w:t>
                              </w:r>
                            </w:p>
                          </w:txbxContent>
                        </wps:txbx>
                        <wps:bodyPr rot="0" vert="horz" wrap="square" lIns="0" tIns="0" rIns="0" bIns="0" anchor="t" anchorCtr="0">
                          <a:spAutoFit/>
                        </wps:bodyPr>
                      </wps:wsp>
                      <wps:wsp>
                        <wps:cNvPr id="336" name="Rectangle 42"/>
                        <wps:cNvSpPr>
                          <a:spLocks noChangeArrowheads="1"/>
                        </wps:cNvSpPr>
                        <wps:spPr bwMode="auto">
                          <a:xfrm>
                            <a:off x="3647440" y="979805"/>
                            <a:ext cx="388620"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6D1F" w:rsidRDefault="005D6D1F">
                              <w:r>
                                <w:rPr>
                                  <w:rFonts w:ascii="Arial" w:hAnsi="Arial" w:cs="Arial"/>
                                  <w:color w:val="000000"/>
                                  <w:sz w:val="20"/>
                                  <w:szCs w:val="20"/>
                                  <w:lang w:val="en-US"/>
                                </w:rPr>
                                <w:t>11,528</w:t>
                              </w:r>
                            </w:p>
                          </w:txbxContent>
                        </wps:txbx>
                        <wps:bodyPr rot="0" vert="horz" wrap="none" lIns="0" tIns="0" rIns="0" bIns="0" anchor="t" anchorCtr="0">
                          <a:spAutoFit/>
                        </wps:bodyPr>
                      </wps:wsp>
                      <wps:wsp>
                        <wps:cNvPr id="337" name="Rectangle 43"/>
                        <wps:cNvSpPr>
                          <a:spLocks noChangeArrowheads="1"/>
                        </wps:cNvSpPr>
                        <wps:spPr bwMode="auto">
                          <a:xfrm>
                            <a:off x="3437255" y="979805"/>
                            <a:ext cx="35560"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6D1F" w:rsidRDefault="005D6D1F">
                              <w:r>
                                <w:rPr>
                                  <w:rFonts w:ascii="Arial" w:hAnsi="Arial" w:cs="Arial"/>
                                  <w:color w:val="000000"/>
                                  <w:sz w:val="20"/>
                                  <w:szCs w:val="20"/>
                                  <w:lang w:val="en-US"/>
                                </w:rPr>
                                <w:t xml:space="preserve">     </w:t>
                              </w:r>
                            </w:p>
                          </w:txbxContent>
                        </wps:txbx>
                        <wps:bodyPr rot="0" vert="horz" wrap="none" lIns="0" tIns="0" rIns="0" bIns="0" anchor="t" anchorCtr="0">
                          <a:spAutoFit/>
                        </wps:bodyPr>
                      </wps:wsp>
                      <wps:wsp>
                        <wps:cNvPr id="338" name="Rectangle 44"/>
                        <wps:cNvSpPr>
                          <a:spLocks noChangeArrowheads="1"/>
                        </wps:cNvSpPr>
                        <wps:spPr bwMode="auto">
                          <a:xfrm>
                            <a:off x="3620135" y="979805"/>
                            <a:ext cx="35560"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6D1F" w:rsidRDefault="005D6D1F">
                              <w:r>
                                <w:rPr>
                                  <w:rFonts w:ascii="Arial" w:hAnsi="Arial" w:cs="Arial"/>
                                  <w:color w:val="000000"/>
                                  <w:sz w:val="20"/>
                                  <w:szCs w:val="20"/>
                                  <w:lang w:val="en-US"/>
                                </w:rPr>
                                <w:t xml:space="preserve"> </w:t>
                              </w:r>
                            </w:p>
                          </w:txbxContent>
                        </wps:txbx>
                        <wps:bodyPr rot="0" vert="horz" wrap="none" lIns="0" tIns="0" rIns="0" bIns="0" anchor="t" anchorCtr="0">
                          <a:spAutoFit/>
                        </wps:bodyPr>
                      </wps:wsp>
                      <wps:wsp>
                        <wps:cNvPr id="339" name="Rectangle 45"/>
                        <wps:cNvSpPr>
                          <a:spLocks noChangeArrowheads="1"/>
                        </wps:cNvSpPr>
                        <wps:spPr bwMode="auto">
                          <a:xfrm>
                            <a:off x="4332604" y="979805"/>
                            <a:ext cx="51117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6D1F" w:rsidRDefault="005D6D1F">
                              <w:r>
                                <w:rPr>
                                  <w:rFonts w:ascii="Arial" w:hAnsi="Arial" w:cs="Arial"/>
                                  <w:color w:val="000000"/>
                                  <w:sz w:val="20"/>
                                  <w:szCs w:val="20"/>
                                  <w:lang w:val="en-US"/>
                                </w:rPr>
                                <w:t>11,648</w:t>
                              </w:r>
                            </w:p>
                          </w:txbxContent>
                        </wps:txbx>
                        <wps:bodyPr rot="0" vert="horz" wrap="square" lIns="0" tIns="0" rIns="0" bIns="0" anchor="t" anchorCtr="0">
                          <a:spAutoFit/>
                        </wps:bodyPr>
                      </wps:wsp>
                      <wps:wsp>
                        <wps:cNvPr id="340" name="Rectangle 46"/>
                        <wps:cNvSpPr>
                          <a:spLocks noChangeArrowheads="1"/>
                        </wps:cNvSpPr>
                        <wps:spPr bwMode="auto">
                          <a:xfrm>
                            <a:off x="4122420" y="979805"/>
                            <a:ext cx="35560"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6D1F" w:rsidRDefault="005D6D1F">
                              <w:r>
                                <w:rPr>
                                  <w:rFonts w:ascii="Arial" w:hAnsi="Arial" w:cs="Arial"/>
                                  <w:color w:val="000000"/>
                                  <w:sz w:val="20"/>
                                  <w:szCs w:val="20"/>
                                  <w:lang w:val="en-US"/>
                                </w:rPr>
                                <w:t xml:space="preserve">     </w:t>
                              </w:r>
                            </w:p>
                          </w:txbxContent>
                        </wps:txbx>
                        <wps:bodyPr rot="0" vert="horz" wrap="none" lIns="0" tIns="0" rIns="0" bIns="0" anchor="t" anchorCtr="0">
                          <a:spAutoFit/>
                        </wps:bodyPr>
                      </wps:wsp>
                      <wps:wsp>
                        <wps:cNvPr id="341" name="Rectangle 47"/>
                        <wps:cNvSpPr>
                          <a:spLocks noChangeArrowheads="1"/>
                        </wps:cNvSpPr>
                        <wps:spPr bwMode="auto">
                          <a:xfrm>
                            <a:off x="4305300" y="979805"/>
                            <a:ext cx="35560"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6D1F" w:rsidRDefault="005D6D1F">
                              <w:r>
                                <w:rPr>
                                  <w:rFonts w:ascii="Arial" w:hAnsi="Arial" w:cs="Arial"/>
                                  <w:color w:val="000000"/>
                                  <w:sz w:val="20"/>
                                  <w:szCs w:val="20"/>
                                  <w:lang w:val="en-US"/>
                                </w:rPr>
                                <w:t xml:space="preserve"> </w:t>
                              </w:r>
                            </w:p>
                          </w:txbxContent>
                        </wps:txbx>
                        <wps:bodyPr rot="0" vert="horz" wrap="none" lIns="0" tIns="0" rIns="0" bIns="0" anchor="t" anchorCtr="0">
                          <a:spAutoFit/>
                        </wps:bodyPr>
                      </wps:wsp>
                      <wps:wsp>
                        <wps:cNvPr id="342" name="Rectangle 48"/>
                        <wps:cNvSpPr>
                          <a:spLocks noChangeArrowheads="1"/>
                        </wps:cNvSpPr>
                        <wps:spPr bwMode="auto">
                          <a:xfrm>
                            <a:off x="5018405" y="979805"/>
                            <a:ext cx="388620"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6D1F" w:rsidRDefault="005D6D1F">
                              <w:r>
                                <w:rPr>
                                  <w:rFonts w:ascii="Arial" w:hAnsi="Arial" w:cs="Arial"/>
                                  <w:color w:val="000000"/>
                                  <w:sz w:val="20"/>
                                  <w:szCs w:val="20"/>
                                  <w:lang w:val="en-US"/>
                                </w:rPr>
                                <w:t>11,528</w:t>
                              </w:r>
                            </w:p>
                          </w:txbxContent>
                        </wps:txbx>
                        <wps:bodyPr rot="0" vert="horz" wrap="none" lIns="0" tIns="0" rIns="0" bIns="0" anchor="t" anchorCtr="0">
                          <a:spAutoFit/>
                        </wps:bodyPr>
                      </wps:wsp>
                      <wps:wsp>
                        <wps:cNvPr id="343" name="Rectangle 49"/>
                        <wps:cNvSpPr>
                          <a:spLocks noChangeArrowheads="1"/>
                        </wps:cNvSpPr>
                        <wps:spPr bwMode="auto">
                          <a:xfrm>
                            <a:off x="4808220" y="979805"/>
                            <a:ext cx="35560"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6D1F" w:rsidRDefault="005D6D1F">
                              <w:r>
                                <w:rPr>
                                  <w:rFonts w:ascii="Arial" w:hAnsi="Arial" w:cs="Arial"/>
                                  <w:color w:val="000000"/>
                                  <w:sz w:val="20"/>
                                  <w:szCs w:val="20"/>
                                  <w:lang w:val="en-US"/>
                                </w:rPr>
                                <w:t xml:space="preserve">     </w:t>
                              </w:r>
                            </w:p>
                          </w:txbxContent>
                        </wps:txbx>
                        <wps:bodyPr rot="0" vert="horz" wrap="none" lIns="0" tIns="0" rIns="0" bIns="0" anchor="t" anchorCtr="0">
                          <a:spAutoFit/>
                        </wps:bodyPr>
                      </wps:wsp>
                      <wps:wsp>
                        <wps:cNvPr id="344" name="Rectangle 50"/>
                        <wps:cNvSpPr>
                          <a:spLocks noChangeArrowheads="1"/>
                        </wps:cNvSpPr>
                        <wps:spPr bwMode="auto">
                          <a:xfrm>
                            <a:off x="4991100" y="979805"/>
                            <a:ext cx="35560"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6D1F" w:rsidRDefault="005D6D1F">
                              <w:r>
                                <w:rPr>
                                  <w:rFonts w:ascii="Arial" w:hAnsi="Arial" w:cs="Arial"/>
                                  <w:color w:val="000000"/>
                                  <w:sz w:val="20"/>
                                  <w:szCs w:val="20"/>
                                  <w:lang w:val="en-US"/>
                                </w:rPr>
                                <w:t xml:space="preserve"> </w:t>
                              </w:r>
                            </w:p>
                          </w:txbxContent>
                        </wps:txbx>
                        <wps:bodyPr rot="0" vert="horz" wrap="none" lIns="0" tIns="0" rIns="0" bIns="0" anchor="t" anchorCtr="0">
                          <a:spAutoFit/>
                        </wps:bodyPr>
                      </wps:wsp>
                      <wps:wsp>
                        <wps:cNvPr id="345" name="Rectangle 51"/>
                        <wps:cNvSpPr>
                          <a:spLocks noChangeArrowheads="1"/>
                        </wps:cNvSpPr>
                        <wps:spPr bwMode="auto">
                          <a:xfrm>
                            <a:off x="5704205" y="979805"/>
                            <a:ext cx="420148"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6D1F" w:rsidRDefault="005D6D1F">
                              <w:r>
                                <w:rPr>
                                  <w:rFonts w:ascii="Arial" w:hAnsi="Arial" w:cs="Arial"/>
                                  <w:color w:val="000000"/>
                                  <w:sz w:val="20"/>
                                  <w:szCs w:val="20"/>
                                  <w:lang w:val="en-US"/>
                                </w:rPr>
                                <w:t xml:space="preserve">11,648 </w:t>
                              </w:r>
                            </w:p>
                          </w:txbxContent>
                        </wps:txbx>
                        <wps:bodyPr rot="0" vert="horz" wrap="square" lIns="0" tIns="0" rIns="0" bIns="0" anchor="t" anchorCtr="0">
                          <a:spAutoFit/>
                        </wps:bodyPr>
                      </wps:wsp>
                      <wps:wsp>
                        <wps:cNvPr id="346" name="Rectangle 52"/>
                        <wps:cNvSpPr>
                          <a:spLocks noChangeArrowheads="1"/>
                        </wps:cNvSpPr>
                        <wps:spPr bwMode="auto">
                          <a:xfrm>
                            <a:off x="5494020" y="979805"/>
                            <a:ext cx="35560"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6D1F" w:rsidRDefault="005D6D1F">
                              <w:r>
                                <w:rPr>
                                  <w:rFonts w:ascii="Arial" w:hAnsi="Arial" w:cs="Arial"/>
                                  <w:color w:val="000000"/>
                                  <w:sz w:val="20"/>
                                  <w:szCs w:val="20"/>
                                  <w:lang w:val="en-US"/>
                                </w:rPr>
                                <w:t xml:space="preserve">     </w:t>
                              </w:r>
                            </w:p>
                          </w:txbxContent>
                        </wps:txbx>
                        <wps:bodyPr rot="0" vert="horz" wrap="none" lIns="0" tIns="0" rIns="0" bIns="0" anchor="t" anchorCtr="0">
                          <a:spAutoFit/>
                        </wps:bodyPr>
                      </wps:wsp>
                      <wps:wsp>
                        <wps:cNvPr id="347" name="Rectangle 53"/>
                        <wps:cNvSpPr>
                          <a:spLocks noChangeArrowheads="1"/>
                        </wps:cNvSpPr>
                        <wps:spPr bwMode="auto">
                          <a:xfrm>
                            <a:off x="5676900" y="979805"/>
                            <a:ext cx="35560"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6D1F" w:rsidRDefault="005D6D1F">
                              <w:r>
                                <w:rPr>
                                  <w:rFonts w:ascii="Arial" w:hAnsi="Arial" w:cs="Arial"/>
                                  <w:color w:val="000000"/>
                                  <w:sz w:val="20"/>
                                  <w:szCs w:val="20"/>
                                  <w:lang w:val="en-US"/>
                                </w:rPr>
                                <w:t xml:space="preserve"> </w:t>
                              </w:r>
                            </w:p>
                          </w:txbxContent>
                        </wps:txbx>
                        <wps:bodyPr rot="0" vert="horz" wrap="none" lIns="0" tIns="0" rIns="0" bIns="0" anchor="t" anchorCtr="0">
                          <a:spAutoFit/>
                        </wps:bodyPr>
                      </wps:wsp>
                      <wps:wsp>
                        <wps:cNvPr id="348" name="Rectangle 54"/>
                        <wps:cNvSpPr>
                          <a:spLocks noChangeArrowheads="1"/>
                        </wps:cNvSpPr>
                        <wps:spPr bwMode="auto">
                          <a:xfrm>
                            <a:off x="27305" y="1303655"/>
                            <a:ext cx="201104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6D1F" w:rsidRDefault="005D6D1F">
                              <w:r>
                                <w:rPr>
                                  <w:rFonts w:ascii="Arial" w:hAnsi="Arial" w:cs="Arial"/>
                                  <w:b/>
                                  <w:bCs/>
                                  <w:color w:val="000000"/>
                                  <w:sz w:val="20"/>
                                  <w:szCs w:val="20"/>
                                  <w:lang w:val="en-US"/>
                                </w:rPr>
                                <w:t>TOTAL INVESTMENTS REVENUE</w:t>
                              </w:r>
                            </w:p>
                          </w:txbxContent>
                        </wps:txbx>
                        <wps:bodyPr rot="0" vert="horz" wrap="none" lIns="0" tIns="0" rIns="0" bIns="0" anchor="t" anchorCtr="0">
                          <a:spAutoFit/>
                        </wps:bodyPr>
                      </wps:wsp>
                      <wps:wsp>
                        <wps:cNvPr id="349" name="Rectangle 55"/>
                        <wps:cNvSpPr>
                          <a:spLocks noChangeArrowheads="1"/>
                        </wps:cNvSpPr>
                        <wps:spPr bwMode="auto">
                          <a:xfrm>
                            <a:off x="3647440" y="1303655"/>
                            <a:ext cx="474980"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6D1F" w:rsidRDefault="005D6D1F">
                              <w:r>
                                <w:rPr>
                                  <w:rFonts w:ascii="Arial" w:hAnsi="Arial" w:cs="Arial"/>
                                  <w:b/>
                                  <w:bCs/>
                                  <w:color w:val="000000"/>
                                  <w:sz w:val="20"/>
                                  <w:szCs w:val="20"/>
                                  <w:lang w:val="en-US"/>
                                </w:rPr>
                                <w:t>25,946</w:t>
                              </w:r>
                            </w:p>
                          </w:txbxContent>
                        </wps:txbx>
                        <wps:bodyPr rot="0" vert="horz" wrap="square" lIns="0" tIns="0" rIns="0" bIns="0" anchor="t" anchorCtr="0">
                          <a:spAutoFit/>
                        </wps:bodyPr>
                      </wps:wsp>
                      <wps:wsp>
                        <wps:cNvPr id="350" name="Rectangle 56"/>
                        <wps:cNvSpPr>
                          <a:spLocks noChangeArrowheads="1"/>
                        </wps:cNvSpPr>
                        <wps:spPr bwMode="auto">
                          <a:xfrm>
                            <a:off x="3437255" y="1303655"/>
                            <a:ext cx="35560"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6D1F" w:rsidRDefault="005D6D1F">
                              <w:r>
                                <w:rPr>
                                  <w:rFonts w:ascii="Arial" w:hAnsi="Arial" w:cs="Arial"/>
                                  <w:b/>
                                  <w:bCs/>
                                  <w:color w:val="000000"/>
                                  <w:sz w:val="20"/>
                                  <w:szCs w:val="20"/>
                                  <w:lang w:val="en-US"/>
                                </w:rPr>
                                <w:t xml:space="preserve">     </w:t>
                              </w:r>
                            </w:p>
                          </w:txbxContent>
                        </wps:txbx>
                        <wps:bodyPr rot="0" vert="horz" wrap="none" lIns="0" tIns="0" rIns="0" bIns="0" anchor="t" anchorCtr="0">
                          <a:spAutoFit/>
                        </wps:bodyPr>
                      </wps:wsp>
                      <wps:wsp>
                        <wps:cNvPr id="351" name="Rectangle 57"/>
                        <wps:cNvSpPr>
                          <a:spLocks noChangeArrowheads="1"/>
                        </wps:cNvSpPr>
                        <wps:spPr bwMode="auto">
                          <a:xfrm>
                            <a:off x="3620135" y="1303655"/>
                            <a:ext cx="35560"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6D1F" w:rsidRDefault="005D6D1F">
                              <w:r>
                                <w:rPr>
                                  <w:rFonts w:ascii="Arial" w:hAnsi="Arial" w:cs="Arial"/>
                                  <w:b/>
                                  <w:bCs/>
                                  <w:color w:val="000000"/>
                                  <w:sz w:val="20"/>
                                  <w:szCs w:val="20"/>
                                  <w:lang w:val="en-US"/>
                                </w:rPr>
                                <w:t xml:space="preserve"> </w:t>
                              </w:r>
                            </w:p>
                          </w:txbxContent>
                        </wps:txbx>
                        <wps:bodyPr rot="0" vert="horz" wrap="none" lIns="0" tIns="0" rIns="0" bIns="0" anchor="t" anchorCtr="0">
                          <a:spAutoFit/>
                        </wps:bodyPr>
                      </wps:wsp>
                      <wps:wsp>
                        <wps:cNvPr id="1450" name="Rectangle 58"/>
                        <wps:cNvSpPr>
                          <a:spLocks noChangeArrowheads="1"/>
                        </wps:cNvSpPr>
                        <wps:spPr bwMode="auto">
                          <a:xfrm>
                            <a:off x="4332604" y="1303655"/>
                            <a:ext cx="47561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6D1F" w:rsidRDefault="005D6D1F">
                              <w:r>
                                <w:rPr>
                                  <w:rFonts w:ascii="Arial" w:hAnsi="Arial" w:cs="Arial"/>
                                  <w:b/>
                                  <w:bCs/>
                                  <w:color w:val="000000"/>
                                  <w:sz w:val="20"/>
                                  <w:szCs w:val="20"/>
                                  <w:lang w:val="en-US"/>
                                </w:rPr>
                                <w:t>24,362</w:t>
                              </w:r>
                            </w:p>
                          </w:txbxContent>
                        </wps:txbx>
                        <wps:bodyPr rot="0" vert="horz" wrap="square" lIns="0" tIns="0" rIns="0" bIns="0" anchor="t" anchorCtr="0">
                          <a:spAutoFit/>
                        </wps:bodyPr>
                      </wps:wsp>
                      <wps:wsp>
                        <wps:cNvPr id="1456" name="Rectangle 59"/>
                        <wps:cNvSpPr>
                          <a:spLocks noChangeArrowheads="1"/>
                        </wps:cNvSpPr>
                        <wps:spPr bwMode="auto">
                          <a:xfrm>
                            <a:off x="4122420" y="1303655"/>
                            <a:ext cx="35560"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6D1F" w:rsidRDefault="005D6D1F">
                              <w:r>
                                <w:rPr>
                                  <w:rFonts w:ascii="Arial" w:hAnsi="Arial" w:cs="Arial"/>
                                  <w:b/>
                                  <w:bCs/>
                                  <w:color w:val="000000"/>
                                  <w:sz w:val="20"/>
                                  <w:szCs w:val="20"/>
                                  <w:lang w:val="en-US"/>
                                </w:rPr>
                                <w:t xml:space="preserve">     </w:t>
                              </w:r>
                            </w:p>
                          </w:txbxContent>
                        </wps:txbx>
                        <wps:bodyPr rot="0" vert="horz" wrap="none" lIns="0" tIns="0" rIns="0" bIns="0" anchor="t" anchorCtr="0">
                          <a:spAutoFit/>
                        </wps:bodyPr>
                      </wps:wsp>
                      <wps:wsp>
                        <wps:cNvPr id="1468" name="Rectangle 60"/>
                        <wps:cNvSpPr>
                          <a:spLocks noChangeArrowheads="1"/>
                        </wps:cNvSpPr>
                        <wps:spPr bwMode="auto">
                          <a:xfrm>
                            <a:off x="4305300" y="1303655"/>
                            <a:ext cx="35560"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6D1F" w:rsidRDefault="005D6D1F">
                              <w:r>
                                <w:rPr>
                                  <w:rFonts w:ascii="Arial" w:hAnsi="Arial" w:cs="Arial"/>
                                  <w:b/>
                                  <w:bCs/>
                                  <w:color w:val="000000"/>
                                  <w:sz w:val="20"/>
                                  <w:szCs w:val="20"/>
                                  <w:lang w:val="en-US"/>
                                </w:rPr>
                                <w:t xml:space="preserve"> </w:t>
                              </w:r>
                            </w:p>
                          </w:txbxContent>
                        </wps:txbx>
                        <wps:bodyPr rot="0" vert="horz" wrap="none" lIns="0" tIns="0" rIns="0" bIns="0" anchor="t" anchorCtr="0">
                          <a:spAutoFit/>
                        </wps:bodyPr>
                      </wps:wsp>
                      <wps:wsp>
                        <wps:cNvPr id="1469" name="Rectangle 61"/>
                        <wps:cNvSpPr>
                          <a:spLocks noChangeArrowheads="1"/>
                        </wps:cNvSpPr>
                        <wps:spPr bwMode="auto">
                          <a:xfrm>
                            <a:off x="5018404" y="1303655"/>
                            <a:ext cx="47561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6D1F" w:rsidRDefault="005D6D1F">
                              <w:r>
                                <w:rPr>
                                  <w:rFonts w:ascii="Arial" w:hAnsi="Arial" w:cs="Arial"/>
                                  <w:b/>
                                  <w:bCs/>
                                  <w:color w:val="000000"/>
                                  <w:sz w:val="20"/>
                                  <w:szCs w:val="20"/>
                                  <w:lang w:val="en-US"/>
                                </w:rPr>
                                <w:t>12,065</w:t>
                              </w:r>
                            </w:p>
                          </w:txbxContent>
                        </wps:txbx>
                        <wps:bodyPr rot="0" vert="horz" wrap="square" lIns="0" tIns="0" rIns="0" bIns="0" anchor="t" anchorCtr="0">
                          <a:spAutoFit/>
                        </wps:bodyPr>
                      </wps:wsp>
                      <wps:wsp>
                        <wps:cNvPr id="1470" name="Rectangle 62"/>
                        <wps:cNvSpPr>
                          <a:spLocks noChangeArrowheads="1"/>
                        </wps:cNvSpPr>
                        <wps:spPr bwMode="auto">
                          <a:xfrm>
                            <a:off x="4808220" y="1303655"/>
                            <a:ext cx="35560"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6D1F" w:rsidRDefault="005D6D1F">
                              <w:r>
                                <w:rPr>
                                  <w:rFonts w:ascii="Arial" w:hAnsi="Arial" w:cs="Arial"/>
                                  <w:b/>
                                  <w:bCs/>
                                  <w:color w:val="000000"/>
                                  <w:sz w:val="20"/>
                                  <w:szCs w:val="20"/>
                                  <w:lang w:val="en-US"/>
                                </w:rPr>
                                <w:t xml:space="preserve">     </w:t>
                              </w:r>
                            </w:p>
                          </w:txbxContent>
                        </wps:txbx>
                        <wps:bodyPr rot="0" vert="horz" wrap="none" lIns="0" tIns="0" rIns="0" bIns="0" anchor="t" anchorCtr="0">
                          <a:spAutoFit/>
                        </wps:bodyPr>
                      </wps:wsp>
                      <wps:wsp>
                        <wps:cNvPr id="1471" name="Rectangle 63"/>
                        <wps:cNvSpPr>
                          <a:spLocks noChangeArrowheads="1"/>
                        </wps:cNvSpPr>
                        <wps:spPr bwMode="auto">
                          <a:xfrm>
                            <a:off x="4991100" y="1303655"/>
                            <a:ext cx="35560"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6D1F" w:rsidRDefault="005D6D1F">
                              <w:r>
                                <w:rPr>
                                  <w:rFonts w:ascii="Arial" w:hAnsi="Arial" w:cs="Arial"/>
                                  <w:b/>
                                  <w:bCs/>
                                  <w:color w:val="000000"/>
                                  <w:sz w:val="20"/>
                                  <w:szCs w:val="20"/>
                                  <w:lang w:val="en-US"/>
                                </w:rPr>
                                <w:t xml:space="preserve"> </w:t>
                              </w:r>
                            </w:p>
                          </w:txbxContent>
                        </wps:txbx>
                        <wps:bodyPr rot="0" vert="horz" wrap="none" lIns="0" tIns="0" rIns="0" bIns="0" anchor="t" anchorCtr="0">
                          <a:spAutoFit/>
                        </wps:bodyPr>
                      </wps:wsp>
                      <wps:wsp>
                        <wps:cNvPr id="1280" name="Rectangle 64"/>
                        <wps:cNvSpPr>
                          <a:spLocks noChangeArrowheads="1"/>
                        </wps:cNvSpPr>
                        <wps:spPr bwMode="auto">
                          <a:xfrm>
                            <a:off x="5704205" y="1303655"/>
                            <a:ext cx="420148"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6D1F" w:rsidRDefault="005D6D1F">
                              <w:r>
                                <w:rPr>
                                  <w:rFonts w:ascii="Arial" w:hAnsi="Arial" w:cs="Arial"/>
                                  <w:b/>
                                  <w:bCs/>
                                  <w:color w:val="000000"/>
                                  <w:sz w:val="20"/>
                                  <w:szCs w:val="20"/>
                                  <w:lang w:val="en-US"/>
                                </w:rPr>
                                <w:t>11,752</w:t>
                              </w:r>
                            </w:p>
                          </w:txbxContent>
                        </wps:txbx>
                        <wps:bodyPr rot="0" vert="horz" wrap="square" lIns="0" tIns="0" rIns="0" bIns="0" anchor="t" anchorCtr="0">
                          <a:noAutofit/>
                        </wps:bodyPr>
                      </wps:wsp>
                      <wps:wsp>
                        <wps:cNvPr id="1281" name="Rectangle 65"/>
                        <wps:cNvSpPr>
                          <a:spLocks noChangeArrowheads="1"/>
                        </wps:cNvSpPr>
                        <wps:spPr bwMode="auto">
                          <a:xfrm>
                            <a:off x="5494020" y="1303655"/>
                            <a:ext cx="35560"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6D1F" w:rsidRDefault="005D6D1F">
                              <w:r>
                                <w:rPr>
                                  <w:rFonts w:ascii="Arial" w:hAnsi="Arial" w:cs="Arial"/>
                                  <w:b/>
                                  <w:bCs/>
                                  <w:color w:val="000000"/>
                                  <w:sz w:val="20"/>
                                  <w:szCs w:val="20"/>
                                  <w:lang w:val="en-US"/>
                                </w:rPr>
                                <w:t xml:space="preserve">     </w:t>
                              </w:r>
                            </w:p>
                          </w:txbxContent>
                        </wps:txbx>
                        <wps:bodyPr rot="0" vert="horz" wrap="none" lIns="0" tIns="0" rIns="0" bIns="0" anchor="t" anchorCtr="0">
                          <a:spAutoFit/>
                        </wps:bodyPr>
                      </wps:wsp>
                      <wps:wsp>
                        <wps:cNvPr id="1282" name="Rectangle 66"/>
                        <wps:cNvSpPr>
                          <a:spLocks noChangeArrowheads="1"/>
                        </wps:cNvSpPr>
                        <wps:spPr bwMode="auto">
                          <a:xfrm>
                            <a:off x="5676900" y="1303655"/>
                            <a:ext cx="35560"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6D1F" w:rsidRDefault="005D6D1F">
                              <w:r>
                                <w:rPr>
                                  <w:rFonts w:ascii="Arial" w:hAnsi="Arial" w:cs="Arial"/>
                                  <w:b/>
                                  <w:bCs/>
                                  <w:color w:val="000000"/>
                                  <w:sz w:val="20"/>
                                  <w:szCs w:val="20"/>
                                  <w:lang w:val="en-US"/>
                                </w:rPr>
                                <w:t xml:space="preserve"> </w:t>
                              </w:r>
                            </w:p>
                          </w:txbxContent>
                        </wps:txbx>
                        <wps:bodyPr rot="0" vert="horz" wrap="none" lIns="0" tIns="0" rIns="0" bIns="0" anchor="t" anchorCtr="0">
                          <a:spAutoFit/>
                        </wps:bodyPr>
                      </wps:wsp>
                      <wps:wsp>
                        <wps:cNvPr id="1283" name="Rectangle 67"/>
                        <wps:cNvSpPr>
                          <a:spLocks noChangeArrowheads="1"/>
                        </wps:cNvSpPr>
                        <wps:spPr bwMode="auto">
                          <a:xfrm>
                            <a:off x="3848735" y="9525"/>
                            <a:ext cx="466090"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6D1F" w:rsidRDefault="005D6D1F">
                              <w:r>
                                <w:rPr>
                                  <w:rFonts w:ascii="Arial" w:hAnsi="Arial" w:cs="Arial"/>
                                  <w:b/>
                                  <w:bCs/>
                                  <w:color w:val="000000"/>
                                  <w:sz w:val="20"/>
                                  <w:szCs w:val="20"/>
                                  <w:lang w:val="en-US"/>
                                </w:rPr>
                                <w:t>Council</w:t>
                              </w:r>
                            </w:p>
                          </w:txbxContent>
                        </wps:txbx>
                        <wps:bodyPr rot="0" vert="horz" wrap="none" lIns="0" tIns="0" rIns="0" bIns="0" anchor="t" anchorCtr="0">
                          <a:spAutoFit/>
                        </wps:bodyPr>
                      </wps:wsp>
                      <wps:wsp>
                        <wps:cNvPr id="1284" name="Rectangle 68"/>
                        <wps:cNvSpPr>
                          <a:spLocks noChangeArrowheads="1"/>
                        </wps:cNvSpPr>
                        <wps:spPr bwMode="auto">
                          <a:xfrm>
                            <a:off x="5255895" y="9525"/>
                            <a:ext cx="381000"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6D1F" w:rsidRDefault="005D6D1F">
                              <w:r>
                                <w:rPr>
                                  <w:rFonts w:ascii="Arial" w:hAnsi="Arial" w:cs="Arial"/>
                                  <w:b/>
                                  <w:bCs/>
                                  <w:color w:val="000000"/>
                                  <w:sz w:val="20"/>
                                  <w:szCs w:val="20"/>
                                  <w:lang w:val="en-US"/>
                                </w:rPr>
                                <w:t>Group</w:t>
                              </w:r>
                            </w:p>
                          </w:txbxContent>
                        </wps:txbx>
                        <wps:bodyPr rot="0" vert="horz" wrap="none" lIns="0" tIns="0" rIns="0" bIns="0" anchor="t" anchorCtr="0">
                          <a:spAutoFit/>
                        </wps:bodyPr>
                      </wps:wsp>
                      <wps:wsp>
                        <wps:cNvPr id="1287" name="Rectangle 69"/>
                        <wps:cNvSpPr>
                          <a:spLocks noChangeArrowheads="1"/>
                        </wps:cNvSpPr>
                        <wps:spPr bwMode="auto">
                          <a:xfrm>
                            <a:off x="0" y="0"/>
                            <a:ext cx="889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88" name="Rectangle 70"/>
                        <wps:cNvSpPr>
                          <a:spLocks noChangeArrowheads="1"/>
                        </wps:cNvSpPr>
                        <wps:spPr bwMode="auto">
                          <a:xfrm>
                            <a:off x="3373120" y="0"/>
                            <a:ext cx="889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89" name="Rectangle 71"/>
                        <wps:cNvSpPr>
                          <a:spLocks noChangeArrowheads="1"/>
                        </wps:cNvSpPr>
                        <wps:spPr bwMode="auto">
                          <a:xfrm>
                            <a:off x="4744085" y="0"/>
                            <a:ext cx="9525"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90" name="Line 72"/>
                        <wps:cNvCnPr/>
                        <wps:spPr bwMode="auto">
                          <a:xfrm>
                            <a:off x="8890" y="0"/>
                            <a:ext cx="611568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91" name="Rectangle 73"/>
                        <wps:cNvSpPr>
                          <a:spLocks noChangeArrowheads="1"/>
                        </wps:cNvSpPr>
                        <wps:spPr bwMode="auto">
                          <a:xfrm>
                            <a:off x="8890" y="0"/>
                            <a:ext cx="6115685" cy="9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92" name="Rectangle 74"/>
                        <wps:cNvSpPr>
                          <a:spLocks noChangeArrowheads="1"/>
                        </wps:cNvSpPr>
                        <wps:spPr bwMode="auto">
                          <a:xfrm>
                            <a:off x="6115685" y="0"/>
                            <a:ext cx="889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93" name="Line 75"/>
                        <wps:cNvCnPr/>
                        <wps:spPr bwMode="auto">
                          <a:xfrm>
                            <a:off x="8890" y="161925"/>
                            <a:ext cx="3364230" cy="0"/>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294" name="Rectangle 76"/>
                        <wps:cNvSpPr>
                          <a:spLocks noChangeArrowheads="1"/>
                        </wps:cNvSpPr>
                        <wps:spPr bwMode="auto">
                          <a:xfrm>
                            <a:off x="8890" y="161925"/>
                            <a:ext cx="336423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95" name="Rectangle 77"/>
                        <wps:cNvSpPr>
                          <a:spLocks noChangeArrowheads="1"/>
                        </wps:cNvSpPr>
                        <wps:spPr bwMode="auto">
                          <a:xfrm>
                            <a:off x="4058920" y="0"/>
                            <a:ext cx="889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96" name="Line 78"/>
                        <wps:cNvCnPr/>
                        <wps:spPr bwMode="auto">
                          <a:xfrm>
                            <a:off x="3382010" y="161925"/>
                            <a:ext cx="1362075" cy="0"/>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297" name="Rectangle 79"/>
                        <wps:cNvSpPr>
                          <a:spLocks noChangeArrowheads="1"/>
                        </wps:cNvSpPr>
                        <wps:spPr bwMode="auto">
                          <a:xfrm>
                            <a:off x="3382010" y="161925"/>
                            <a:ext cx="1362075"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98" name="Rectangle 80"/>
                        <wps:cNvSpPr>
                          <a:spLocks noChangeArrowheads="1"/>
                        </wps:cNvSpPr>
                        <wps:spPr bwMode="auto">
                          <a:xfrm>
                            <a:off x="5429885" y="0"/>
                            <a:ext cx="889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99" name="Line 81"/>
                        <wps:cNvCnPr/>
                        <wps:spPr bwMode="auto">
                          <a:xfrm>
                            <a:off x="4753610" y="161925"/>
                            <a:ext cx="1362075" cy="0"/>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300" name="Rectangle 82"/>
                        <wps:cNvSpPr>
                          <a:spLocks noChangeArrowheads="1"/>
                        </wps:cNvSpPr>
                        <wps:spPr bwMode="auto">
                          <a:xfrm>
                            <a:off x="4753610" y="161925"/>
                            <a:ext cx="1362075"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01" name="Line 83"/>
                        <wps:cNvCnPr/>
                        <wps:spPr bwMode="auto">
                          <a:xfrm>
                            <a:off x="8890" y="323215"/>
                            <a:ext cx="3364230" cy="0"/>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302" name="Rectangle 84"/>
                        <wps:cNvSpPr>
                          <a:spLocks noChangeArrowheads="1"/>
                        </wps:cNvSpPr>
                        <wps:spPr bwMode="auto">
                          <a:xfrm>
                            <a:off x="8890" y="323215"/>
                            <a:ext cx="336423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03" name="Line 85"/>
                        <wps:cNvCnPr/>
                        <wps:spPr bwMode="auto">
                          <a:xfrm>
                            <a:off x="3382010" y="323215"/>
                            <a:ext cx="1362075" cy="0"/>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304" name="Rectangle 86"/>
                        <wps:cNvSpPr>
                          <a:spLocks noChangeArrowheads="1"/>
                        </wps:cNvSpPr>
                        <wps:spPr bwMode="auto">
                          <a:xfrm>
                            <a:off x="3382010" y="323215"/>
                            <a:ext cx="1362075"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05" name="Line 87"/>
                        <wps:cNvCnPr/>
                        <wps:spPr bwMode="auto">
                          <a:xfrm>
                            <a:off x="4753610" y="323215"/>
                            <a:ext cx="1362075" cy="0"/>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306" name="Rectangle 88"/>
                        <wps:cNvSpPr>
                          <a:spLocks noChangeArrowheads="1"/>
                        </wps:cNvSpPr>
                        <wps:spPr bwMode="auto">
                          <a:xfrm>
                            <a:off x="4753610" y="323215"/>
                            <a:ext cx="1362075"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07" name="Line 89"/>
                        <wps:cNvCnPr/>
                        <wps:spPr bwMode="auto">
                          <a:xfrm>
                            <a:off x="0" y="0"/>
                            <a:ext cx="0" cy="49466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08" name="Rectangle 90"/>
                        <wps:cNvSpPr>
                          <a:spLocks noChangeArrowheads="1"/>
                        </wps:cNvSpPr>
                        <wps:spPr bwMode="auto">
                          <a:xfrm>
                            <a:off x="0" y="0"/>
                            <a:ext cx="8890" cy="4946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09" name="Line 91"/>
                        <wps:cNvCnPr/>
                        <wps:spPr bwMode="auto">
                          <a:xfrm>
                            <a:off x="3373120" y="9525"/>
                            <a:ext cx="0" cy="48514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10" name="Rectangle 92"/>
                        <wps:cNvSpPr>
                          <a:spLocks noChangeArrowheads="1"/>
                        </wps:cNvSpPr>
                        <wps:spPr bwMode="auto">
                          <a:xfrm>
                            <a:off x="3373120" y="9525"/>
                            <a:ext cx="8890" cy="48514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1" name="Line 93"/>
                        <wps:cNvCnPr/>
                        <wps:spPr bwMode="auto">
                          <a:xfrm>
                            <a:off x="4058920" y="171450"/>
                            <a:ext cx="0" cy="313690"/>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384" name="Rectangle 94"/>
                        <wps:cNvSpPr>
                          <a:spLocks noChangeArrowheads="1"/>
                        </wps:cNvSpPr>
                        <wps:spPr bwMode="auto">
                          <a:xfrm>
                            <a:off x="4058920" y="171450"/>
                            <a:ext cx="8890" cy="31369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5" name="Line 95"/>
                        <wps:cNvCnPr/>
                        <wps:spPr bwMode="auto">
                          <a:xfrm>
                            <a:off x="4744085" y="9525"/>
                            <a:ext cx="0" cy="48514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6" name="Rectangle 96"/>
                        <wps:cNvSpPr>
                          <a:spLocks noChangeArrowheads="1"/>
                        </wps:cNvSpPr>
                        <wps:spPr bwMode="auto">
                          <a:xfrm>
                            <a:off x="4744085" y="9525"/>
                            <a:ext cx="9525" cy="48514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7" name="Line 97"/>
                        <wps:cNvCnPr/>
                        <wps:spPr bwMode="auto">
                          <a:xfrm>
                            <a:off x="5429885" y="171450"/>
                            <a:ext cx="0" cy="313690"/>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388" name="Rectangle 98"/>
                        <wps:cNvSpPr>
                          <a:spLocks noChangeArrowheads="1"/>
                        </wps:cNvSpPr>
                        <wps:spPr bwMode="auto">
                          <a:xfrm>
                            <a:off x="5429885" y="171450"/>
                            <a:ext cx="8890" cy="31369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9" name="Line 99"/>
                        <wps:cNvCnPr/>
                        <wps:spPr bwMode="auto">
                          <a:xfrm>
                            <a:off x="8890" y="485140"/>
                            <a:ext cx="611568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90" name="Rectangle 100"/>
                        <wps:cNvSpPr>
                          <a:spLocks noChangeArrowheads="1"/>
                        </wps:cNvSpPr>
                        <wps:spPr bwMode="auto">
                          <a:xfrm>
                            <a:off x="8890" y="485140"/>
                            <a:ext cx="6115685" cy="9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1" name="Line 101"/>
                        <wps:cNvCnPr/>
                        <wps:spPr bwMode="auto">
                          <a:xfrm>
                            <a:off x="6115685" y="9525"/>
                            <a:ext cx="0" cy="48514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92" name="Rectangle 102"/>
                        <wps:cNvSpPr>
                          <a:spLocks noChangeArrowheads="1"/>
                        </wps:cNvSpPr>
                        <wps:spPr bwMode="auto">
                          <a:xfrm>
                            <a:off x="6115685" y="9525"/>
                            <a:ext cx="8890" cy="48514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3" name="Line 103"/>
                        <wps:cNvCnPr/>
                        <wps:spPr bwMode="auto">
                          <a:xfrm>
                            <a:off x="0" y="647065"/>
                            <a:ext cx="3373120" cy="0"/>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394" name="Rectangle 104"/>
                        <wps:cNvSpPr>
                          <a:spLocks noChangeArrowheads="1"/>
                        </wps:cNvSpPr>
                        <wps:spPr bwMode="auto">
                          <a:xfrm>
                            <a:off x="0" y="647065"/>
                            <a:ext cx="337312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6" name="Line 105"/>
                        <wps:cNvCnPr/>
                        <wps:spPr bwMode="auto">
                          <a:xfrm>
                            <a:off x="4067810" y="647065"/>
                            <a:ext cx="676275" cy="0"/>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397" name="Rectangle 106"/>
                        <wps:cNvSpPr>
                          <a:spLocks noChangeArrowheads="1"/>
                        </wps:cNvSpPr>
                        <wps:spPr bwMode="auto">
                          <a:xfrm>
                            <a:off x="4067810" y="647065"/>
                            <a:ext cx="676275"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8" name="Line 107"/>
                        <wps:cNvCnPr/>
                        <wps:spPr bwMode="auto">
                          <a:xfrm>
                            <a:off x="0" y="808990"/>
                            <a:ext cx="3373120" cy="0"/>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399" name="Rectangle 108"/>
                        <wps:cNvSpPr>
                          <a:spLocks noChangeArrowheads="1"/>
                        </wps:cNvSpPr>
                        <wps:spPr bwMode="auto">
                          <a:xfrm>
                            <a:off x="0" y="808990"/>
                            <a:ext cx="3373120" cy="889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0" name="Line 109"/>
                        <wps:cNvCnPr/>
                        <wps:spPr bwMode="auto">
                          <a:xfrm>
                            <a:off x="4067810" y="808990"/>
                            <a:ext cx="676275" cy="0"/>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401" name="Rectangle 110"/>
                        <wps:cNvSpPr>
                          <a:spLocks noChangeArrowheads="1"/>
                        </wps:cNvSpPr>
                        <wps:spPr bwMode="auto">
                          <a:xfrm>
                            <a:off x="4067810" y="808990"/>
                            <a:ext cx="676275" cy="889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2" name="Line 111"/>
                        <wps:cNvCnPr/>
                        <wps:spPr bwMode="auto">
                          <a:xfrm>
                            <a:off x="0" y="970280"/>
                            <a:ext cx="3373120" cy="0"/>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404" name="Rectangle 112"/>
                        <wps:cNvSpPr>
                          <a:spLocks noChangeArrowheads="1"/>
                        </wps:cNvSpPr>
                        <wps:spPr bwMode="auto">
                          <a:xfrm>
                            <a:off x="0" y="970280"/>
                            <a:ext cx="337312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5" name="Line 113"/>
                        <wps:cNvCnPr/>
                        <wps:spPr bwMode="auto">
                          <a:xfrm>
                            <a:off x="4067810" y="970280"/>
                            <a:ext cx="676275" cy="0"/>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406" name="Rectangle 114"/>
                        <wps:cNvSpPr>
                          <a:spLocks noChangeArrowheads="1"/>
                        </wps:cNvSpPr>
                        <wps:spPr bwMode="auto">
                          <a:xfrm>
                            <a:off x="4067810" y="970280"/>
                            <a:ext cx="676275"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7" name="Line 115"/>
                        <wps:cNvCnPr/>
                        <wps:spPr bwMode="auto">
                          <a:xfrm>
                            <a:off x="0" y="1132205"/>
                            <a:ext cx="3373120" cy="0"/>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408" name="Rectangle 116"/>
                        <wps:cNvSpPr>
                          <a:spLocks noChangeArrowheads="1"/>
                        </wps:cNvSpPr>
                        <wps:spPr bwMode="auto">
                          <a:xfrm>
                            <a:off x="0" y="1132205"/>
                            <a:ext cx="337312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9" name="Line 117"/>
                        <wps:cNvCnPr/>
                        <wps:spPr bwMode="auto">
                          <a:xfrm>
                            <a:off x="4067810" y="1132205"/>
                            <a:ext cx="676275" cy="0"/>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410" name="Rectangle 118"/>
                        <wps:cNvSpPr>
                          <a:spLocks noChangeArrowheads="1"/>
                        </wps:cNvSpPr>
                        <wps:spPr bwMode="auto">
                          <a:xfrm>
                            <a:off x="4067810" y="1132205"/>
                            <a:ext cx="676275"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1" name="Line 119"/>
                        <wps:cNvCnPr/>
                        <wps:spPr bwMode="auto">
                          <a:xfrm>
                            <a:off x="0" y="1294130"/>
                            <a:ext cx="3373120" cy="0"/>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415" name="Rectangle 120"/>
                        <wps:cNvSpPr>
                          <a:spLocks noChangeArrowheads="1"/>
                        </wps:cNvSpPr>
                        <wps:spPr bwMode="auto">
                          <a:xfrm>
                            <a:off x="0" y="1294130"/>
                            <a:ext cx="337312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5" name="Line 121"/>
                        <wps:cNvCnPr/>
                        <wps:spPr bwMode="auto">
                          <a:xfrm>
                            <a:off x="3373120" y="1294130"/>
                            <a:ext cx="275145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16" name="Rectangle 122"/>
                        <wps:cNvSpPr>
                          <a:spLocks noChangeArrowheads="1"/>
                        </wps:cNvSpPr>
                        <wps:spPr bwMode="auto">
                          <a:xfrm>
                            <a:off x="3373120" y="1294130"/>
                            <a:ext cx="2751455" cy="9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7" name="Line 123"/>
                        <wps:cNvCnPr/>
                        <wps:spPr bwMode="auto">
                          <a:xfrm>
                            <a:off x="6115685" y="494665"/>
                            <a:ext cx="0" cy="79946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318" name="Rectangle 124"/>
                        <wps:cNvSpPr>
                          <a:spLocks noChangeArrowheads="1"/>
                        </wps:cNvSpPr>
                        <wps:spPr bwMode="auto">
                          <a:xfrm>
                            <a:off x="6115685" y="494665"/>
                            <a:ext cx="8890" cy="79946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9" name="Line 125"/>
                        <wps:cNvCnPr/>
                        <wps:spPr bwMode="auto">
                          <a:xfrm>
                            <a:off x="0" y="1455420"/>
                            <a:ext cx="3373120" cy="0"/>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324" name="Rectangle 126"/>
                        <wps:cNvSpPr>
                          <a:spLocks noChangeArrowheads="1"/>
                        </wps:cNvSpPr>
                        <wps:spPr bwMode="auto">
                          <a:xfrm>
                            <a:off x="0" y="1455420"/>
                            <a:ext cx="337312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25" name="Line 127"/>
                        <wps:cNvCnPr/>
                        <wps:spPr bwMode="auto">
                          <a:xfrm>
                            <a:off x="3373120" y="1455420"/>
                            <a:ext cx="275145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26" name="Rectangle 128"/>
                        <wps:cNvSpPr>
                          <a:spLocks noChangeArrowheads="1"/>
                        </wps:cNvSpPr>
                        <wps:spPr bwMode="auto">
                          <a:xfrm>
                            <a:off x="3373120" y="1455420"/>
                            <a:ext cx="2751455" cy="9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27" name="Line 129"/>
                        <wps:cNvCnPr/>
                        <wps:spPr bwMode="auto">
                          <a:xfrm>
                            <a:off x="6115685" y="1303655"/>
                            <a:ext cx="0" cy="15176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328" name="Rectangle 130"/>
                        <wps:cNvSpPr>
                          <a:spLocks noChangeArrowheads="1"/>
                        </wps:cNvSpPr>
                        <wps:spPr bwMode="auto">
                          <a:xfrm>
                            <a:off x="6115685" y="1303655"/>
                            <a:ext cx="8890" cy="15176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29" name="Line 131"/>
                        <wps:cNvCnPr/>
                        <wps:spPr bwMode="auto">
                          <a:xfrm>
                            <a:off x="0" y="494665"/>
                            <a:ext cx="635" cy="113220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330" name="Rectangle 132"/>
                        <wps:cNvSpPr>
                          <a:spLocks noChangeArrowheads="1"/>
                        </wps:cNvSpPr>
                        <wps:spPr bwMode="auto">
                          <a:xfrm>
                            <a:off x="0" y="494665"/>
                            <a:ext cx="8890" cy="114173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31" name="Line 133"/>
                        <wps:cNvCnPr/>
                        <wps:spPr bwMode="auto">
                          <a:xfrm>
                            <a:off x="3373120" y="1464945"/>
                            <a:ext cx="635" cy="16192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332" name="Rectangle 134"/>
                        <wps:cNvSpPr>
                          <a:spLocks noChangeArrowheads="1"/>
                        </wps:cNvSpPr>
                        <wps:spPr bwMode="auto">
                          <a:xfrm>
                            <a:off x="3373120" y="1464945"/>
                            <a:ext cx="8890" cy="17145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33" name="Line 135"/>
                        <wps:cNvCnPr/>
                        <wps:spPr bwMode="auto">
                          <a:xfrm>
                            <a:off x="4058920" y="1464945"/>
                            <a:ext cx="635" cy="16192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334" name="Rectangle 136"/>
                        <wps:cNvSpPr>
                          <a:spLocks noChangeArrowheads="1"/>
                        </wps:cNvSpPr>
                        <wps:spPr bwMode="auto">
                          <a:xfrm>
                            <a:off x="4058920" y="1464945"/>
                            <a:ext cx="8890" cy="17145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35" name="Line 137"/>
                        <wps:cNvCnPr/>
                        <wps:spPr bwMode="auto">
                          <a:xfrm>
                            <a:off x="4744085" y="1464945"/>
                            <a:ext cx="635" cy="16192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336" name="Rectangle 138"/>
                        <wps:cNvSpPr>
                          <a:spLocks noChangeArrowheads="1"/>
                        </wps:cNvSpPr>
                        <wps:spPr bwMode="auto">
                          <a:xfrm>
                            <a:off x="4744085" y="1464945"/>
                            <a:ext cx="9525" cy="17145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37" name="Line 139"/>
                        <wps:cNvCnPr/>
                        <wps:spPr bwMode="auto">
                          <a:xfrm>
                            <a:off x="5429885" y="1464945"/>
                            <a:ext cx="635" cy="16192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338" name="Rectangle 140"/>
                        <wps:cNvSpPr>
                          <a:spLocks noChangeArrowheads="1"/>
                        </wps:cNvSpPr>
                        <wps:spPr bwMode="auto">
                          <a:xfrm>
                            <a:off x="5429885" y="1464945"/>
                            <a:ext cx="8890" cy="17145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39" name="Line 141"/>
                        <wps:cNvCnPr/>
                        <wps:spPr bwMode="auto">
                          <a:xfrm>
                            <a:off x="6115685" y="1464945"/>
                            <a:ext cx="635" cy="16192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472" name="Rectangle 142"/>
                        <wps:cNvSpPr>
                          <a:spLocks noChangeArrowheads="1"/>
                        </wps:cNvSpPr>
                        <wps:spPr bwMode="auto">
                          <a:xfrm>
                            <a:off x="6115685" y="1464945"/>
                            <a:ext cx="8890" cy="17145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73" name="Line 143"/>
                        <wps:cNvCnPr/>
                        <wps:spPr bwMode="auto">
                          <a:xfrm>
                            <a:off x="6124575" y="0"/>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474" name="Rectangle 144"/>
                        <wps:cNvSpPr>
                          <a:spLocks noChangeArrowheads="1"/>
                        </wps:cNvSpPr>
                        <wps:spPr bwMode="auto">
                          <a:xfrm>
                            <a:off x="6124575" y="0"/>
                            <a:ext cx="889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75" name="Line 145"/>
                        <wps:cNvCnPr/>
                        <wps:spPr bwMode="auto">
                          <a:xfrm>
                            <a:off x="6124575" y="161925"/>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476" name="Rectangle 146"/>
                        <wps:cNvSpPr>
                          <a:spLocks noChangeArrowheads="1"/>
                        </wps:cNvSpPr>
                        <wps:spPr bwMode="auto">
                          <a:xfrm>
                            <a:off x="6124575" y="161925"/>
                            <a:ext cx="889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77" name="Line 147"/>
                        <wps:cNvCnPr/>
                        <wps:spPr bwMode="auto">
                          <a:xfrm>
                            <a:off x="6124575" y="323215"/>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478" name="Rectangle 148"/>
                        <wps:cNvSpPr>
                          <a:spLocks noChangeArrowheads="1"/>
                        </wps:cNvSpPr>
                        <wps:spPr bwMode="auto">
                          <a:xfrm>
                            <a:off x="6124575" y="323215"/>
                            <a:ext cx="889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79" name="Line 149"/>
                        <wps:cNvCnPr/>
                        <wps:spPr bwMode="auto">
                          <a:xfrm>
                            <a:off x="6124575" y="485140"/>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480" name="Rectangle 150"/>
                        <wps:cNvSpPr>
                          <a:spLocks noChangeArrowheads="1"/>
                        </wps:cNvSpPr>
                        <wps:spPr bwMode="auto">
                          <a:xfrm>
                            <a:off x="6124575" y="485140"/>
                            <a:ext cx="889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81" name="Line 151"/>
                        <wps:cNvCnPr/>
                        <wps:spPr bwMode="auto">
                          <a:xfrm>
                            <a:off x="5438775" y="647065"/>
                            <a:ext cx="685800"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482" name="Rectangle 152"/>
                        <wps:cNvSpPr>
                          <a:spLocks noChangeArrowheads="1"/>
                        </wps:cNvSpPr>
                        <wps:spPr bwMode="auto">
                          <a:xfrm>
                            <a:off x="5438775" y="647065"/>
                            <a:ext cx="69469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83" name="Line 153"/>
                        <wps:cNvCnPr/>
                        <wps:spPr bwMode="auto">
                          <a:xfrm>
                            <a:off x="5438775" y="808990"/>
                            <a:ext cx="685800"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484" name="Rectangle 154"/>
                        <wps:cNvSpPr>
                          <a:spLocks noChangeArrowheads="1"/>
                        </wps:cNvSpPr>
                        <wps:spPr bwMode="auto">
                          <a:xfrm>
                            <a:off x="5438775" y="808990"/>
                            <a:ext cx="694690" cy="889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85" name="Line 155"/>
                        <wps:cNvCnPr/>
                        <wps:spPr bwMode="auto">
                          <a:xfrm>
                            <a:off x="5438775" y="970280"/>
                            <a:ext cx="685800"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486" name="Rectangle 156"/>
                        <wps:cNvSpPr>
                          <a:spLocks noChangeArrowheads="1"/>
                        </wps:cNvSpPr>
                        <wps:spPr bwMode="auto">
                          <a:xfrm>
                            <a:off x="5438775" y="970280"/>
                            <a:ext cx="69469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87" name="Line 157"/>
                        <wps:cNvCnPr/>
                        <wps:spPr bwMode="auto">
                          <a:xfrm flipV="1">
                            <a:off x="5438775" y="1129665"/>
                            <a:ext cx="685579" cy="2540"/>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488" name="Rectangle 158"/>
                        <wps:cNvSpPr>
                          <a:spLocks noChangeArrowheads="1"/>
                        </wps:cNvSpPr>
                        <wps:spPr bwMode="auto">
                          <a:xfrm>
                            <a:off x="5438775" y="1132205"/>
                            <a:ext cx="69469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89" name="Line 159"/>
                        <wps:cNvCnPr/>
                        <wps:spPr bwMode="auto">
                          <a:xfrm>
                            <a:off x="6124575" y="1294130"/>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490" name="Rectangle 160"/>
                        <wps:cNvSpPr>
                          <a:spLocks noChangeArrowheads="1"/>
                        </wps:cNvSpPr>
                        <wps:spPr bwMode="auto">
                          <a:xfrm>
                            <a:off x="6124575" y="1294130"/>
                            <a:ext cx="889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91" name="Line 161"/>
                        <wps:cNvCnPr/>
                        <wps:spPr bwMode="auto">
                          <a:xfrm>
                            <a:off x="6124575" y="1455420"/>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492" name="Rectangle 162"/>
                        <wps:cNvSpPr>
                          <a:spLocks noChangeArrowheads="1"/>
                        </wps:cNvSpPr>
                        <wps:spPr bwMode="auto">
                          <a:xfrm>
                            <a:off x="6124575" y="1455420"/>
                            <a:ext cx="889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93" name="Line 163"/>
                        <wps:cNvCnPr/>
                        <wps:spPr bwMode="auto">
                          <a:xfrm>
                            <a:off x="0" y="1617345"/>
                            <a:ext cx="612457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494" name="Rectangle 164"/>
                        <wps:cNvSpPr>
                          <a:spLocks noChangeArrowheads="1"/>
                        </wps:cNvSpPr>
                        <wps:spPr bwMode="auto">
                          <a:xfrm>
                            <a:off x="0" y="1617345"/>
                            <a:ext cx="6133465"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c:wpc>
                  </a:graphicData>
                </a:graphic>
              </wp:inline>
            </w:drawing>
          </mc:Choice>
          <mc:Fallback>
            <w:pict>
              <v:group id="Canvas 1495" o:spid="_x0000_s1064" editas="canvas" alt="Title: Section 5 - Table 4: Investment revenue - Description: Total: 25,946,000" style="width:482.25pt;height:128.1pt;mso-position-horizontal-relative:char;mso-position-vertical-relative:line" coordsize="61245,16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5" type="#_x0000_t75" alt="Total: 25,946,000" style="position:absolute;width:61245;height:16268;visibility:visible;mso-wrap-style:square">
                  <v:fill o:detectmouseclick="t"/>
                  <v:path o:connecttype="none"/>
                </v:shape>
                <v:rect id="Rectangle 5" o:spid="_x0000_s1066" style="position:absolute;left:33731;top:4851;width:6947;height:97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0/HsQA&#10;AADbAAAADwAAAGRycy9kb3ducmV2LnhtbESPQWvCQBSE74L/YXlCb7ox2lZSV2kLoheRpnp/ZF+T&#10;xezbkF01+utdoeBxmJlvmPmys7U4U+uNYwXjUQKCuHDacKlg/7sazkD4gKyxdkwKruRhuej35php&#10;d+EfOuehFBHCPkMFVQhNJqUvKrLoR64hjt6fay2GKNtS6hYvEW5rmSbJm7RoOC5U2NB3RcUxP1kF&#10;u/2kuJlpethO1q/X03sZduZrq9TLoPv8ABGoC8/wf3ujFaRTeHyJP0A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9Px7EAAAA2wAAAA8AAAAAAAAAAAAAAAAAmAIAAGRycy9k&#10;b3ducmV2LnhtbFBLBQYAAAAABAAEAPUAAACJAwAAAAA=&#10;" fillcolor="#cff" stroked="f"/>
                <v:rect id="Rectangle 6" o:spid="_x0000_s1067" style="position:absolute;left:47440;top:4851;width:6947;height:97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4HMYA&#10;AADdAAAADwAAAGRycy9kb3ducmV2LnhtbESPQW/CMAyF75P2HyIj7TZS6GCoENA2aRoXhAbsbjVe&#10;G61xqiZA4dfjA9Jutt7ze58Xq9436kRddIENjIYZKOIyWMeVgcP+83kGKiZki01gMnChCKvl48MC&#10;CxvO/E2nXaqUhHAs0ECdUltoHcuaPMZhaIlF+w2dxyRrV2nb4VnCfaPHWTbVHh1LQ40tfdRU/u2O&#10;3sD2kJdX9zL+2eRfk8vxtUpb974x5mnQv81BJerTv/l+vbaCn08EV76REfTy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z4HMYAAADdAAAADwAAAAAAAAAAAAAAAACYAgAAZHJz&#10;L2Rvd25yZXYueG1sUEsFBgAAAAAEAAQA9QAAAIsDAAAAAA==&#10;" fillcolor="#cff" stroked="f"/>
                <v:rect id="Rectangle 7" o:spid="_x0000_s1068" style="position:absolute;left:35921;top:1714;width:3419;height:29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twl8QA&#10;AADdAAAADwAAAGRycy9kb3ducmV2LnhtbERPTWvCQBC9C/0PyxR6Ed2oYDW6SikIPQhi7EFvQ3bM&#10;RrOzIbs1aX99VxC8zeN9znLd2UrcqPGlYwWjYQKCOHe65ELB92EzmIHwAVlj5ZgU/JKH9eqlt8RU&#10;u5b3dMtCIWII+xQVmBDqVEqfG7Loh64mjtzZNRZDhE0hdYNtDLeVHCfJVFosOTYYrOnTUH7NfqyC&#10;ze5YEv/JfX8+a90lH58ys62VenvtPhYgAnXhKX64v3ScP3kfwf2beIJ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bcJfEAAAA3QAAAA8AAAAAAAAAAAAAAAAAmAIAAGRycy9k&#10;b3ducmV2LnhtbFBLBQYAAAAABAAEAPUAAACJAwAAAAA=&#10;" filled="f" stroked="f">
                  <v:textbox style="mso-fit-shape-to-text:t" inset="0,0,0,0">
                    <w:txbxContent>
                      <w:p w:rsidR="005D6D1F" w:rsidRDefault="005D6D1F">
                        <w:r>
                          <w:rPr>
                            <w:rFonts w:ascii="Arial" w:hAnsi="Arial" w:cs="Arial"/>
                            <w:b/>
                            <w:bCs/>
                            <w:color w:val="000000"/>
                            <w:sz w:val="20"/>
                            <w:szCs w:val="20"/>
                            <w:lang w:val="en-US"/>
                          </w:rPr>
                          <w:t>2019</w:t>
                        </w:r>
                      </w:p>
                    </w:txbxContent>
                  </v:textbox>
                </v:rect>
                <v:rect id="Rectangle 8" o:spid="_x0000_s1069" style="position:absolute;left:42779;top:1714;width:3472;height:29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B2lMUA&#10;AADdAAAADwAAAGRycy9kb3ducmV2LnhtbERPTWvCQBC9C/6HZYReRDcqtWl0FSkIHgrF2IO9Ddkx&#10;mzY7G7Krif313UKht3m8z1lve1uLG7W+cqxgNk1AEBdOV1wqeD/tJykIH5A11o5JwZ08bDfDwRoz&#10;7To+0i0PpYgh7DNUYEJoMil9Yciin7qGOHIX11oMEbal1C12MdzWcp4kS2mx4thgsKEXQ8VXfrUK&#10;9m/nivhbHsfPaec+i/lHbl4bpR5G/W4FIlAf/sV/7oOO8xdPj/D7TTxBb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oHaUxQAAAN0AAAAPAAAAAAAAAAAAAAAAAJgCAABkcnMv&#10;ZG93bnJldi54bWxQSwUGAAAAAAQABAD1AAAAigMAAAAA&#10;" filled="f" stroked="f">
                  <v:textbox style="mso-fit-shape-to-text:t" inset="0,0,0,0">
                    <w:txbxContent>
                      <w:p w:rsidR="005D6D1F" w:rsidRDefault="005D6D1F">
                        <w:r>
                          <w:rPr>
                            <w:rFonts w:ascii="Arial" w:hAnsi="Arial" w:cs="Arial"/>
                            <w:b/>
                            <w:bCs/>
                            <w:color w:val="000000"/>
                            <w:sz w:val="20"/>
                            <w:szCs w:val="20"/>
                            <w:lang w:val="en-US"/>
                          </w:rPr>
                          <w:t>2018</w:t>
                        </w:r>
                      </w:p>
                    </w:txbxContent>
                  </v:textbox>
                </v:rect>
                <v:rect id="Rectangle 9" o:spid="_x0000_s1070" style="position:absolute;left:49637;top:1714;width:3747;height:29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Nk38QA&#10;AADbAAAADwAAAGRycy9kb3ducmV2LnhtbESPQWvCQBSE74X+h+UVvIhuVBCNrlIEwYMgxh7q7ZF9&#10;ZmOzb0N2NdFf7xYKPQ4z8w2zXHe2EndqfOlYwWiYgCDOnS65UPB12g5mIHxA1lg5JgUP8rBevb8t&#10;MdWu5SPds1CICGGfogITQp1K6XNDFv3Q1cTRu7jGYoiyKaRusI1wW8lxkkylxZLjgsGaNobyn+xm&#10;FWwP3yXxUx7781nrrvn4nJl9rVTvo/tcgAjUhf/wX3unFUwm8Psl/gC5e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5zZN/EAAAA2wAAAA8AAAAAAAAAAAAAAAAAmAIAAGRycy9k&#10;b3ducmV2LnhtbFBLBQYAAAAABAAEAPUAAACJAwAAAAA=&#10;" filled="f" stroked="f">
                  <v:textbox style="mso-fit-shape-to-text:t" inset="0,0,0,0">
                    <w:txbxContent>
                      <w:p w:rsidR="005D6D1F" w:rsidRDefault="005D6D1F">
                        <w:r>
                          <w:rPr>
                            <w:rFonts w:ascii="Arial" w:hAnsi="Arial" w:cs="Arial"/>
                            <w:b/>
                            <w:bCs/>
                            <w:color w:val="000000"/>
                            <w:sz w:val="20"/>
                            <w:szCs w:val="20"/>
                            <w:lang w:val="en-US"/>
                          </w:rPr>
                          <w:t>2019</w:t>
                        </w:r>
                      </w:p>
                    </w:txbxContent>
                  </v:textbox>
                </v:rect>
                <v:rect id="Rectangle 10" o:spid="_x0000_s1071" style="position:absolute;left:56489;top:1714;width:3569;height:29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r8q8YA&#10;AADbAAAADwAAAGRycy9kb3ducmV2LnhtbESPT2vCQBTE74V+h+UVeim68Q/Fpq6hCAEPgpj2UG+P&#10;7Gs2bfZtyG5N9NO7guBxmJnfMMtssI04Uudrxwom4wQEcel0zZWCr898tADhA7LGxjEpOJGHbPX4&#10;sMRUu573dCxCJSKEfYoKTAhtKqUvDVn0Y9cSR+/HdRZDlF0ldYd9hNtGTpPkVVqsOS4YbGltqPwr&#10;/q2CfPddE5/l/uVt0bvfcnoozLZV6vlp+HgHEWgI9/CtvdEKZnO4fok/QK4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Zr8q8YAAADbAAAADwAAAAAAAAAAAAAAAACYAgAAZHJz&#10;L2Rvd25yZXYueG1sUEsFBgAAAAAEAAQA9QAAAIsDAAAAAA==&#10;" filled="f" stroked="f">
                  <v:textbox style="mso-fit-shape-to-text:t" inset="0,0,0,0">
                    <w:txbxContent>
                      <w:p w:rsidR="005D6D1F" w:rsidRDefault="005D6D1F">
                        <w:r>
                          <w:rPr>
                            <w:rFonts w:ascii="Arial" w:hAnsi="Arial" w:cs="Arial"/>
                            <w:b/>
                            <w:bCs/>
                            <w:color w:val="000000"/>
                            <w:sz w:val="20"/>
                            <w:szCs w:val="20"/>
                            <w:lang w:val="en-US"/>
                          </w:rPr>
                          <w:t>2018</w:t>
                        </w:r>
                      </w:p>
                    </w:txbxContent>
                  </v:textbox>
                </v:rect>
                <v:rect id="Rectangle 11" o:spid="_x0000_s1072" style="position:absolute;left:35921;top:3327;width:3419;height:29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UXosYA&#10;AADbAAAADwAAAGRycy9kb3ducmV2LnhtbESPT2vCQBTE74V+h+UVeim68Q/Fpq6hCAEPgpj2UG+P&#10;7Gs2bfZtyG5N9NO7guBxmJnfMMtssI04Uudrxwom4wQEcel0zZWCr898tADhA7LGxjEpOJGHbPX4&#10;sMRUu573dCxCJSKEfYoKTAhtKqUvDVn0Y9cSR+/HdRZDlF0ldYd9hNtGTpPkVVqsOS4YbGltqPwr&#10;/q2CfPddE5/l/uVt0bvfcnoozLZV6vlp+HgHEWgI9/CtvdEK5jO4fok/QK4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nUXosYAAADbAAAADwAAAAAAAAAAAAAAAACYAgAAZHJz&#10;L2Rvd25yZXYueG1sUEsFBgAAAAAEAAQA9QAAAIsDAAAAAA==&#10;" filled="f" stroked="f">
                  <v:textbox style="mso-fit-shape-to-text:t" inset="0,0,0,0">
                    <w:txbxContent>
                      <w:p w:rsidR="005D6D1F" w:rsidRDefault="005D6D1F">
                        <w:r>
                          <w:rPr>
                            <w:rFonts w:ascii="Arial" w:hAnsi="Arial" w:cs="Arial"/>
                            <w:b/>
                            <w:bCs/>
                            <w:color w:val="000000"/>
                            <w:sz w:val="20"/>
                            <w:szCs w:val="20"/>
                            <w:lang w:val="en-US"/>
                          </w:rPr>
                          <w:t>$000</w:t>
                        </w:r>
                      </w:p>
                    </w:txbxContent>
                  </v:textbox>
                </v:rect>
                <v:rect id="Rectangle 12" o:spid="_x0000_s1073" style="position:absolute;left:42779;top:3327;width:3472;height:29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50gSMUA&#10;AADbAAAADwAAAGRycy9kb3ducmV2LnhtbESPQWvCQBSE70L/w/IKXkQ3ShGN2UgpCB4KxdhDvT2y&#10;z2w0+zZkV5P213cLBY/DzHzDZNvBNuJOna8dK5jPEhDEpdM1Vwo+j7vpCoQPyBobx6Tgmzxs86dR&#10;hql2PR/oXoRKRAj7FBWYENpUSl8asuhnriWO3tl1FkOUXSV1h32E20YukmQpLdYcFwy29GaovBY3&#10;q2D38VUT/8jDZL3q3aVcnArz3io1fh5eNyACDeER/m/vtYKXNfx9iT9A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nSBIxQAAANsAAAAPAAAAAAAAAAAAAAAAAJgCAABkcnMv&#10;ZG93bnJldi54bWxQSwUGAAAAAAQABAD1AAAAigMAAAAA&#10;" filled="f" stroked="f">
                  <v:textbox style="mso-fit-shape-to-text:t" inset="0,0,0,0">
                    <w:txbxContent>
                      <w:p w:rsidR="005D6D1F" w:rsidRDefault="005D6D1F">
                        <w:r>
                          <w:rPr>
                            <w:rFonts w:ascii="Arial" w:hAnsi="Arial" w:cs="Arial"/>
                            <w:b/>
                            <w:bCs/>
                            <w:color w:val="000000"/>
                            <w:sz w:val="20"/>
                            <w:szCs w:val="20"/>
                            <w:lang w:val="en-US"/>
                          </w:rPr>
                          <w:t>$000</w:t>
                        </w:r>
                      </w:p>
                    </w:txbxContent>
                  </v:textbox>
                </v:rect>
                <v:rect id="Rectangle 13" o:spid="_x0000_s1074" style="position:absolute;left:49637;top:3327;width:3747;height:29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4fCMIA&#10;AADbAAAADwAAAGRycy9kb3ducmV2LnhtbERPz2vCMBS+D/wfwhN2GTZdYaNWo8hA2GEwrB709mie&#10;TbV5KU3Wdvvrl8Ngx4/v93o72VYM1PvGsYLnJAVBXDndcK3gdNwvchA+IGtsHZOCb/Kw3cwe1lho&#10;N/KBhjLUIoawL1CBCaErpPSVIYs+cR1x5K6utxgi7GupexxjuG1llqav0mLDscFgR2+Gqnv5ZRXs&#10;P88N8Y88PC3z0d2q7FKaj06px/m0W4EINIV/8Z/7XSt4ievjl/gD5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fh8IwgAAANsAAAAPAAAAAAAAAAAAAAAAAJgCAABkcnMvZG93&#10;bnJldi54bWxQSwUGAAAAAAQABAD1AAAAhwMAAAAA&#10;" filled="f" stroked="f">
                  <v:textbox style="mso-fit-shape-to-text:t" inset="0,0,0,0">
                    <w:txbxContent>
                      <w:p w:rsidR="005D6D1F" w:rsidRDefault="005D6D1F">
                        <w:r>
                          <w:rPr>
                            <w:rFonts w:ascii="Arial" w:hAnsi="Arial" w:cs="Arial"/>
                            <w:b/>
                            <w:bCs/>
                            <w:color w:val="000000"/>
                            <w:sz w:val="20"/>
                            <w:szCs w:val="20"/>
                            <w:lang w:val="en-US"/>
                          </w:rPr>
                          <w:t>$000</w:t>
                        </w:r>
                      </w:p>
                    </w:txbxContent>
                  </v:textbox>
                </v:rect>
                <v:rect id="Rectangle 14" o:spid="_x0000_s1075" style="position:absolute;left:56489;top:3327;width:3753;height:29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K6k8QA&#10;AADbAAAADwAAAGRycy9kb3ducmV2LnhtbESPQWvCQBSE70L/w/IKvYhuFBSNrlIKQg+CGHuot0f2&#10;mY3Nvg3ZrYn+elcQPA4z8w2zXHe2EhdqfOlYwWiYgCDOnS65UPBz2AxmIHxA1lg5JgVX8rBevfWW&#10;mGrX8p4uWShEhLBPUYEJoU6l9Lkhi37oauLonVxjMUTZFFI32Ea4reQ4SabSYslxwWBNX4byv+zf&#10;Ktjsfkvim9z357PWnfPxMTPbWqmP9+5zASJQF17hZ/tbK5iM4PEl/gC5u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yupPEAAAA2wAAAA8AAAAAAAAAAAAAAAAAmAIAAGRycy9k&#10;b3ducmV2LnhtbFBLBQYAAAAABAAEAPUAAACJAwAAAAA=&#10;" filled="f" stroked="f">
                  <v:textbox style="mso-fit-shape-to-text:t" inset="0,0,0,0">
                    <w:txbxContent>
                      <w:p w:rsidR="005D6D1F" w:rsidRDefault="005D6D1F">
                        <w:r>
                          <w:rPr>
                            <w:rFonts w:ascii="Arial" w:hAnsi="Arial" w:cs="Arial"/>
                            <w:b/>
                            <w:bCs/>
                            <w:color w:val="000000"/>
                            <w:sz w:val="20"/>
                            <w:szCs w:val="20"/>
                            <w:lang w:val="en-US"/>
                          </w:rPr>
                          <w:t>$000</w:t>
                        </w:r>
                      </w:p>
                    </w:txbxContent>
                  </v:textbox>
                </v:rect>
                <v:rect id="Rectangle 15" o:spid="_x0000_s1076" style="position:absolute;left:273;top:6565;width:14931;height:29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eHfMUA&#10;AADbAAAADwAAAGRycy9kb3ducmV2LnhtbESPQWvCQBSE74X+h+UVeim6UdDa1DUUIeBBENMe6u2R&#10;fc2mzb4N2a2J/npXEDwOM/MNs8wG24gjdb52rGAyTkAQl07XXCn4+sxHCxA+IGtsHJOCE3nIVo8P&#10;S0y163lPxyJUIkLYp6jAhNCmUvrSkEU/di1x9H5cZzFE2VVSd9hHuG3kNEnm0mLNccFgS2tD5V/x&#10;bxXku++a+Cz3L2+L3v2W00Nhtq1Sz0/DxzuIQEO4h2/tjVYwe4Xrl/gD5O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l4d8xQAAANsAAAAPAAAAAAAAAAAAAAAAAJgCAABkcnMv&#10;ZG93bnJldi54bWxQSwUGAAAAAAQABAD1AAAAigMAAAAA&#10;" filled="f" stroked="f">
                  <v:textbox style="mso-fit-shape-to-text:t" inset="0,0,0,0">
                    <w:txbxContent>
                      <w:p w:rsidR="005D6D1F" w:rsidRDefault="005D6D1F">
                        <w:r>
                          <w:rPr>
                            <w:rFonts w:ascii="Arial" w:hAnsi="Arial" w:cs="Arial"/>
                            <w:color w:val="000000"/>
                            <w:sz w:val="20"/>
                            <w:szCs w:val="20"/>
                            <w:lang w:val="en-US"/>
                          </w:rPr>
                          <w:t>Dividend from associates</w:t>
                        </w:r>
                      </w:p>
                    </w:txbxContent>
                  </v:textbox>
                </v:rect>
                <v:rect id="Rectangle 16" o:spid="_x0000_s1077" style="position:absolute;left:36474;top:6565;width:3886;height:29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zAZMEA&#10;AADbAAAADwAAAGRycy9kb3ducmV2LnhtbESP3YrCMBSE7xf2HcJZ8G5N64VINYosFFS8se4DHJrT&#10;H0xOSpK19e2NIOzlMDPfMJvdZI24kw+9YwX5PANBXDvdc6vg91p+r0CEiKzROCYFDwqw235+bLDQ&#10;buQL3avYigThUKCCLsahkDLUHVkMczcQJ69x3mJM0rdSexwT3Bq5yLKltNhzWuhwoJ+O6lv1ZxXI&#10;a1WOq8r4zJ0WzdkcD5eGnFKzr2m/BhFpiv/hd/ugFSxzeH1JP0B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N8wGTBAAAA2wAAAA8AAAAAAAAAAAAAAAAAmAIAAGRycy9kb3du&#10;cmV2LnhtbFBLBQYAAAAABAAEAPUAAACGAwAAAAA=&#10;" filled="f" stroked="f">
                  <v:textbox style="mso-fit-shape-to-text:t" inset="0,0,0,0">
                    <w:txbxContent>
                      <w:p w:rsidR="005D6D1F" w:rsidRDefault="005D6D1F">
                        <w:r>
                          <w:rPr>
                            <w:rFonts w:ascii="Arial" w:hAnsi="Arial" w:cs="Arial"/>
                            <w:color w:val="000000"/>
                            <w:sz w:val="20"/>
                            <w:szCs w:val="20"/>
                            <w:lang w:val="en-US"/>
                          </w:rPr>
                          <w:t>13,881</w:t>
                        </w:r>
                      </w:p>
                    </w:txbxContent>
                  </v:textbox>
                </v:rect>
                <v:rect id="Rectangle 17" o:spid="_x0000_s1078" style="position:absolute;left:34372;top:6565;width:356;height:311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3jCMAA&#10;AADdAAAADwAAAGRycy9kb3ducmV2LnhtbERP24rCMBB9X/Afwgi+rakKUqpRlgVBl32x+gFDM71g&#10;MilJtPXvNwuCb3M419nuR2vEg3zoHCtYzDMQxJXTHTcKrpfDZw4iRGSNxjEpeFKA/W7yscVCu4HP&#10;9ChjI1IIhwIVtDH2hZShaslimLueOHG18xZjgr6R2uOQwq2RyyxbS4sdp4YWe/puqbqVd6tAXsrD&#10;kJfGZ+5nWf+a0/Fck1NqNh2/NiAijfEtfrmPOs1f5Wv4/yadIH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J3jCMAAAADdAAAADwAAAAAAAAAAAAAAAACYAgAAZHJzL2Rvd25y&#10;ZXYueG1sUEsFBgAAAAAEAAQA9QAAAIUDAAAAAA==&#10;" filled="f" stroked="f">
                  <v:textbox style="mso-fit-shape-to-text:t" inset="0,0,0,0">
                    <w:txbxContent>
                      <w:p w:rsidR="005D6D1F" w:rsidRDefault="005D6D1F">
                        <w:r>
                          <w:rPr>
                            <w:rFonts w:ascii="Arial" w:hAnsi="Arial" w:cs="Arial"/>
                            <w:color w:val="000000"/>
                            <w:sz w:val="20"/>
                            <w:szCs w:val="20"/>
                            <w:lang w:val="en-US"/>
                          </w:rPr>
                          <w:t xml:space="preserve">     </w:t>
                        </w:r>
                      </w:p>
                    </w:txbxContent>
                  </v:textbox>
                </v:rect>
                <v:rect id="Rectangle 18" o:spid="_x0000_s1079" style="position:absolute;left:36201;top:6565;width:355;height:311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jujsIA&#10;AADcAAAADwAAAGRycy9kb3ducmV2LnhtbESPzYoCMRCE7wu+Q2jB25pxDuLOGmVZEFS8OPoAzaTn&#10;h006QxKd8e2NIOyxqKqvqPV2tEbcyYfOsYLFPANBXDndcaPgetl9rkCEiKzROCYFDwqw3Uw+1lho&#10;N/CZ7mVsRIJwKFBBG2NfSBmqliyGueuJk1c7bzEm6RupPQ4Jbo3Ms2wpLXacFlrs6bel6q+8WQXy&#10;Uu6GVWl85o55fTKH/bkmp9RsOv58g4g0xv/wu73XCvKvBbzOpCMgN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eO6OwgAAANwAAAAPAAAAAAAAAAAAAAAAAJgCAABkcnMvZG93&#10;bnJldi54bWxQSwUGAAAAAAQABAD1AAAAhwMAAAAA&#10;" filled="f" stroked="f">
                  <v:textbox style="mso-fit-shape-to-text:t" inset="0,0,0,0">
                    <w:txbxContent>
                      <w:p w:rsidR="005D6D1F" w:rsidRDefault="005D6D1F">
                        <w:r>
                          <w:rPr>
                            <w:rFonts w:ascii="Arial" w:hAnsi="Arial" w:cs="Arial"/>
                            <w:color w:val="000000"/>
                            <w:sz w:val="20"/>
                            <w:szCs w:val="20"/>
                            <w:lang w:val="en-US"/>
                          </w:rPr>
                          <w:t xml:space="preserve"> </w:t>
                        </w:r>
                      </w:p>
                    </w:txbxContent>
                  </v:textbox>
                </v:rect>
                <v:rect id="Rectangle 19" o:spid="_x0000_s1080" style="position:absolute;left:43113;top:6565;width:4969;height:29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l+sYA&#10;AADcAAAADwAAAGRycy9kb3ducmV2LnhtbESPQWvCQBSE74X+h+UVvJS6MWDR6CaUguBBKMYe2tsj&#10;+8xGs29DdjWxv94tFHocZuYbZl2MthVX6n3jWMFsmoAgrpxuuFbwedi8LED4gKyxdUwKbuShyB8f&#10;1phpN/CermWoRYSwz1CBCaHLpPSVIYt+6jri6B1dbzFE2ddS9zhEuG1lmiSv0mLDccFgR++GqnN5&#10;sQo2H18N8Y/cPy8XgztV6Xdpdp1Sk6fxbQUi0Bj+w3/trVaQLufweyYeAZn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Ol+sYAAADcAAAADwAAAAAAAAAAAAAAAACYAgAAZHJz&#10;L2Rvd25yZXYueG1sUEsFBgAAAAAEAAQA9QAAAIsDAAAAAA==&#10;" filled="f" stroked="f">
                  <v:textbox style="mso-fit-shape-to-text:t" inset="0,0,0,0">
                    <w:txbxContent>
                      <w:p w:rsidR="005D6D1F" w:rsidRDefault="005D6D1F">
                        <w:r>
                          <w:rPr>
                            <w:rFonts w:ascii="Arial" w:hAnsi="Arial" w:cs="Arial"/>
                            <w:color w:val="000000"/>
                            <w:sz w:val="20"/>
                            <w:szCs w:val="20"/>
                            <w:lang w:val="en-US"/>
                          </w:rPr>
                          <w:t>12,610</w:t>
                        </w:r>
                      </w:p>
                    </w:txbxContent>
                  </v:textbox>
                </v:rect>
                <v:rect id="Rectangle 20" o:spid="_x0000_s1081" style="position:absolute;left:41224;top:6565;width:355;height:311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1PeMEA&#10;AADcAAAADwAAAGRycy9kb3ducmV2LnhtbESP3WoCMRSE74W+QzhC7zRRQWRrFBEEK71x9QEOm7M/&#10;NDlZktTdvr0pFLwcZuYbZrsfnRUPCrHzrGExVyCIK286bjTcb6fZBkRMyAatZ9LwSxH2u7fJFgvj&#10;B77So0yNyBCOBWpoU+oLKWPVksM49z1x9mofHKYsQyNNwCHDnZVLpdbSYcd5ocWeji1V3+WP0yBv&#10;5WnYlDYof1nWX/bzfK3Ja/0+HQ8fIBKN6RX+b5+NhpVawd+ZfATk7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UNT3jBAAAA3AAAAA8AAAAAAAAAAAAAAAAAmAIAAGRycy9kb3du&#10;cmV2LnhtbFBLBQYAAAAABAAEAPUAAACGAwAAAAA=&#10;" filled="f" stroked="f">
                  <v:textbox style="mso-fit-shape-to-text:t" inset="0,0,0,0">
                    <w:txbxContent>
                      <w:p w:rsidR="005D6D1F" w:rsidRDefault="005D6D1F">
                        <w:r>
                          <w:rPr>
                            <w:rFonts w:ascii="Arial" w:hAnsi="Arial" w:cs="Arial"/>
                            <w:color w:val="000000"/>
                            <w:sz w:val="20"/>
                            <w:szCs w:val="20"/>
                            <w:lang w:val="en-US"/>
                          </w:rPr>
                          <w:t xml:space="preserve">     </w:t>
                        </w:r>
                      </w:p>
                    </w:txbxContent>
                  </v:textbox>
                </v:rect>
                <v:rect id="Rectangle 21" o:spid="_x0000_s1082" style="position:absolute;left:43053;top:6565;width:355;height:311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TXDMIA&#10;AADcAAAADwAAAGRycy9kb3ducmV2LnhtbESP3WoCMRSE74W+QziF3mmilSJbo4ggWPHG1Qc4bM7+&#10;0ORkSaK7fXtTKPRymJlvmPV2dFY8KMTOs4b5TIEgrrzpuNFwux6mKxAxIRu0nknDD0XYbl4mayyM&#10;H/hCjzI1IkM4FqihTakvpIxVSw7jzPfE2at9cJiyDI00AYcMd1YulPqQDjvOCy32tG+p+i7vToO8&#10;lodhVdqg/GlRn+3X8VKT1/rtddx9gkg0pv/wX/toNLyrJfyeyUdAb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5NcMwgAAANwAAAAPAAAAAAAAAAAAAAAAAJgCAABkcnMvZG93&#10;bnJldi54bWxQSwUGAAAAAAQABAD1AAAAhwMAAAAA&#10;" filled="f" stroked="f">
                  <v:textbox style="mso-fit-shape-to-text:t" inset="0,0,0,0">
                    <w:txbxContent>
                      <w:p w:rsidR="005D6D1F" w:rsidRDefault="005D6D1F">
                        <w:r>
                          <w:rPr>
                            <w:rFonts w:ascii="Arial" w:hAnsi="Arial" w:cs="Arial"/>
                            <w:color w:val="000000"/>
                            <w:sz w:val="20"/>
                            <w:szCs w:val="20"/>
                            <w:lang w:val="en-US"/>
                          </w:rPr>
                          <w:t xml:space="preserve"> </w:t>
                        </w:r>
                      </w:p>
                    </w:txbxContent>
                  </v:textbox>
                </v:rect>
                <v:rect id="Rectangle 22" o:spid="_x0000_s1083" style="position:absolute;left:53384;top:6565;width:425;height:29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hyl8IA&#10;AADcAAAADwAAAGRycy9kb3ducmV2LnhtbESP3WoCMRSE74W+QziF3mmixSJbo4ggWPHG1Qc4bM7+&#10;0ORkSaK7fXtTKPRymJlvmPV2dFY8KMTOs4b5TIEgrrzpuNFwux6mKxAxIRu0nknDD0XYbl4mayyM&#10;H/hCjzI1IkM4FqihTakvpIxVSw7jzPfE2at9cJiyDI00AYcMd1YulPqQDjvOCy32tG+p+i7vToO8&#10;lodhVdqg/GlRn+3X8VKT1/rtddx9gkg0pv/wX/toNLyrJfyeyUdAb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qHKXwgAAANwAAAAPAAAAAAAAAAAAAAAAAJgCAABkcnMvZG93&#10;bnJldi54bWxQSwUGAAAAAAQABAD1AAAAhwMAAAAA&#10;" filled="f" stroked="f">
                  <v:textbox style="mso-fit-shape-to-text:t" inset="0,0,0,0">
                    <w:txbxContent>
                      <w:p w:rsidR="005D6D1F" w:rsidRDefault="005D6D1F">
                        <w:r>
                          <w:rPr>
                            <w:rFonts w:ascii="Arial" w:hAnsi="Arial" w:cs="Arial"/>
                            <w:color w:val="000000"/>
                            <w:sz w:val="20"/>
                            <w:szCs w:val="20"/>
                            <w:lang w:val="en-US"/>
                          </w:rPr>
                          <w:t>-</w:t>
                        </w:r>
                      </w:p>
                    </w:txbxContent>
                  </v:textbox>
                </v:rect>
                <v:rect id="Rectangle 23" o:spid="_x0000_s1084" style="position:absolute;left:48082;top:6565;width:355;height:311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rs4MEA&#10;AADcAAAADwAAAGRycy9kb3ducmV2LnhtbESP3WoCMRSE74W+QzhC7zTRgsjWKCIIVnrj6gMcNmd/&#10;aHKyJKm7fXtTELwcZuYbZrMbnRV3CrHzrGExVyCIK286bjTcrsfZGkRMyAatZ9LwRxF227fJBgvj&#10;B77QvUyNyBCOBWpoU+oLKWPVksM49z1x9mofHKYsQyNNwCHDnZVLpVbSYcd5ocWeDi1VP+Wv0yCv&#10;5XFYlzYof17W3/brdKnJa/0+HfefIBKN6RV+tk9Gw4dawf+ZfATk9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V67ODBAAAA3AAAAA8AAAAAAAAAAAAAAAAAmAIAAGRycy9kb3du&#10;cmV2LnhtbFBLBQYAAAAABAAEAPUAAACGAwAAAAA=&#10;" filled="f" stroked="f">
                  <v:textbox style="mso-fit-shape-to-text:t" inset="0,0,0,0">
                    <w:txbxContent>
                      <w:p w:rsidR="005D6D1F" w:rsidRDefault="005D6D1F">
                        <w:r>
                          <w:rPr>
                            <w:rFonts w:ascii="Arial" w:hAnsi="Arial" w:cs="Arial"/>
                            <w:color w:val="000000"/>
                            <w:sz w:val="20"/>
                            <w:szCs w:val="20"/>
                            <w:lang w:val="en-US"/>
                          </w:rPr>
                          <w:t xml:space="preserve">              </w:t>
                        </w:r>
                      </w:p>
                    </w:txbxContent>
                  </v:textbox>
                </v:rect>
                <v:rect id="Rectangle 24" o:spid="_x0000_s1085" style="position:absolute;left:53200;top:6565;width:355;height:311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ZJe8IA&#10;AADcAAAADwAAAGRycy9kb3ducmV2LnhtbESP3WoCMRSE74W+QziF3mmiBStbo4ggWPHG1Qc4bM7+&#10;0ORkSaK7fXtTKPRymJlvmPV2dFY8KMTOs4b5TIEgrrzpuNFwux6mKxAxIRu0nknDD0XYbl4mayyM&#10;H/hCjzI1IkM4FqihTakvpIxVSw7jzPfE2at9cJiyDI00AYcMd1YulFpKhx3nhRZ72rdUfZd3p0Fe&#10;y8OwKm1Q/rSoz/breKnJa/32Ou4+QSQa03/4r300Gt7VB/yeyUdAb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Nkl7wgAAANwAAAAPAAAAAAAAAAAAAAAAAJgCAABkcnMvZG93&#10;bnJldi54bWxQSwUGAAAAAAQABAD1AAAAhwMAAAAA&#10;" filled="f" stroked="f">
                  <v:textbox style="mso-fit-shape-to-text:t" inset="0,0,0,0">
                    <w:txbxContent>
                      <w:p w:rsidR="005D6D1F" w:rsidRDefault="005D6D1F">
                        <w:r>
                          <w:rPr>
                            <w:rFonts w:ascii="Arial" w:hAnsi="Arial" w:cs="Arial"/>
                            <w:color w:val="000000"/>
                            <w:sz w:val="20"/>
                            <w:szCs w:val="20"/>
                            <w:lang w:val="en-US"/>
                          </w:rPr>
                          <w:t xml:space="preserve"> </w:t>
                        </w:r>
                      </w:p>
                    </w:txbxContent>
                  </v:textbox>
                </v:rect>
                <v:rect id="Rectangle 25" o:spid="_x0000_s1086" style="position:absolute;left:60242;top:6565;width:425;height:29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ndCb4A&#10;AADcAAAADwAAAGRycy9kb3ducmV2LnhtbERPy2oCMRTdC/5DuEJ3mmihyGgUEQRb3Dj6AZfJnQcm&#10;N0MSnenfNwuhy8N5b/ejs+JFIXaeNSwXCgRx5U3HjYb77TRfg4gJ2aD1TBp+KcJ+N51ssTB+4Cu9&#10;ytSIHMKxQA1tSn0hZaxachgXvifOXO2Dw5RhaKQJOORwZ+VKqS/psOPc0GJPx5aqR/l0GuStPA3r&#10;0gblf1b1xX6frzV5rT9m42EDItGY/sVv99lo+FR5bT6Tj4Dc/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up3Qm+AAAA3AAAAA8AAAAAAAAAAAAAAAAAmAIAAGRycy9kb3ducmV2&#10;LnhtbFBLBQYAAAAABAAEAPUAAACDAwAAAAA=&#10;" filled="f" stroked="f">
                  <v:textbox style="mso-fit-shape-to-text:t" inset="0,0,0,0">
                    <w:txbxContent>
                      <w:p w:rsidR="005D6D1F" w:rsidRDefault="005D6D1F">
                        <w:r>
                          <w:rPr>
                            <w:rFonts w:ascii="Arial" w:hAnsi="Arial" w:cs="Arial"/>
                            <w:color w:val="000000"/>
                            <w:sz w:val="20"/>
                            <w:szCs w:val="20"/>
                            <w:lang w:val="en-US"/>
                          </w:rPr>
                          <w:t>-</w:t>
                        </w:r>
                      </w:p>
                    </w:txbxContent>
                  </v:textbox>
                </v:rect>
                <v:rect id="Rectangle 26" o:spid="_x0000_s1087" style="position:absolute;left:54940;top:6565;width:355;height:311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V4ksIA&#10;AADcAAAADwAAAGRycy9kb3ducmV2LnhtbESP3WoCMRSE74W+QzgF7zSpBbFbo0hBsNIbVx/gsDn7&#10;g8nJkqTu9u2NUPBymJlvmPV2dFbcKMTOs4a3uQJBXHnTcaPhct7PViBiQjZoPZOGP4qw3bxM1lgY&#10;P/CJbmVqRIZwLFBDm1JfSBmrlhzGue+Js1f74DBlGRppAg4Z7qxcKLWUDjvOCy329NVSdS1/nQZ5&#10;LvfDqrRB+eOi/rHfh1NNXuvp67j7BJFoTM/wf/tgNLyrD3icyUdAb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5XiSwgAAANwAAAAPAAAAAAAAAAAAAAAAAJgCAABkcnMvZG93&#10;bnJldi54bWxQSwUGAAAAAAQABAD1AAAAhwMAAAAA&#10;" filled="f" stroked="f">
                  <v:textbox style="mso-fit-shape-to-text:t" inset="0,0,0,0">
                    <w:txbxContent>
                      <w:p w:rsidR="005D6D1F" w:rsidRDefault="005D6D1F">
                        <w:r>
                          <w:rPr>
                            <w:rFonts w:ascii="Arial" w:hAnsi="Arial" w:cs="Arial"/>
                            <w:color w:val="000000"/>
                            <w:sz w:val="20"/>
                            <w:szCs w:val="20"/>
                            <w:lang w:val="en-US"/>
                          </w:rPr>
                          <w:t xml:space="preserve">              </w:t>
                        </w:r>
                      </w:p>
                    </w:txbxContent>
                  </v:textbox>
                </v:rect>
                <v:rect id="Rectangle 27" o:spid="_x0000_s1088" style="position:absolute;left:60058;top:6565;width:355;height:311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ZH0sAA&#10;AADcAAAADwAAAGRycy9kb3ducmV2LnhtbERPS2rDMBDdF3IHMYHsGjkJFONGNiUQSEs2sXuAwRp/&#10;qDQykhK7t68WgS4f73+sFmvEg3wYHSvYbTMQxK3TI/cKvpvzaw4iRGSNxjEp+KUAVbl6OWKh3cw3&#10;etSxFymEQ4EKhhinQsrQDmQxbN1EnLjOeYsxQd9L7XFO4dbIfZa9SYsjp4YBJzoN1P7Ud6tANvV5&#10;zmvjM/e1767m83LryCm1WS8f7yAiLfFf/HRftILDLs1PZ9IRkO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AZH0sAAAADcAAAADwAAAAAAAAAAAAAAAACYAgAAZHJzL2Rvd25y&#10;ZXYueG1sUEsFBgAAAAAEAAQA9QAAAIUDAAAAAA==&#10;" filled="f" stroked="f">
                  <v:textbox style="mso-fit-shape-to-text:t" inset="0,0,0,0">
                    <w:txbxContent>
                      <w:p w:rsidR="005D6D1F" w:rsidRDefault="005D6D1F">
                        <w:r>
                          <w:rPr>
                            <w:rFonts w:ascii="Arial" w:hAnsi="Arial" w:cs="Arial"/>
                            <w:color w:val="000000"/>
                            <w:sz w:val="20"/>
                            <w:szCs w:val="20"/>
                            <w:lang w:val="en-US"/>
                          </w:rPr>
                          <w:t xml:space="preserve"> </w:t>
                        </w:r>
                      </w:p>
                    </w:txbxContent>
                  </v:textbox>
                </v:rect>
                <v:rect id="Rectangle 28" o:spid="_x0000_s1089" style="position:absolute;left:273;top:8178;width:20110;height:29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qvPsYA&#10;AADcAAAADwAAAGRycy9kb3ducmV2LnhtbESPQWvCQBSE74X+h+UVvBTdRKFozEZKQfAgFGMP9fbI&#10;vmbTZt+G7NbE/npXEHocZuYbJt+MthVn6n3jWEE6S0AQV043XCv4OG6nSxA+IGtsHZOCC3nYFI8P&#10;OWbaDXygcxlqESHsM1RgQugyKX1lyKKfuY44el+utxii7Gupexwi3LZyniQv0mLDccFgR2+Gqp/y&#10;1yrYvn82xH/y8LxaDu67mp9Ks++UmjyNr2sQgcbwH763d1rBIk3hdiYeAVl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8qvPsYAAADcAAAADwAAAAAAAAAAAAAAAACYAgAAZHJz&#10;L2Rvd25yZXYueG1sUEsFBgAAAAAEAAQA9QAAAIsDAAAAAA==&#10;" filled="f" stroked="f">
                  <v:textbox style="mso-fit-shape-to-text:t" inset="0,0,0,0">
                    <w:txbxContent>
                      <w:p w:rsidR="005D6D1F" w:rsidRDefault="005D6D1F">
                        <w:r>
                          <w:rPr>
                            <w:rFonts w:ascii="Arial" w:hAnsi="Arial" w:cs="Arial"/>
                            <w:color w:val="000000"/>
                            <w:sz w:val="20"/>
                            <w:szCs w:val="20"/>
                            <w:lang w:val="en-US"/>
                          </w:rPr>
                          <w:t>Dividend from equity investments</w:t>
                        </w:r>
                      </w:p>
                    </w:txbxContent>
                  </v:textbox>
                </v:rect>
                <v:rect id="Rectangle 29" o:spid="_x0000_s1090" style="position:absolute;left:38119;top:8178;width:2120;height:29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5h8PsEA&#10;AADcAAAADwAAAGRycy9kb3ducmV2LnhtbESP3YrCMBSE7xd8h3AE79bUCot0jbIsCCreWH2AQ3P6&#10;wyYnJYm2vr0RhL0cZuYbZr0drRF38qFzrGAxz0AQV0533Ci4XnafKxAhIms0jknBgwJsN5OPNRba&#10;DXymexkbkSAcClTQxtgXUoaqJYth7nri5NXOW4xJ+kZqj0OCWyPzLPuSFjtOCy329NtS9VferAJ5&#10;KXfDqjQ+c8e8PpnD/lyTU2o2HX++QUQa43/43d5rBctFDq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YfD7BAAAA3AAAAA8AAAAAAAAAAAAAAAAAmAIAAGRycy9kb3du&#10;cmV2LnhtbFBLBQYAAAAABAAEAPUAAACGAwAAAAA=&#10;" filled="f" stroked="f">
                  <v:textbox style="mso-fit-shape-to-text:t" inset="0,0,0,0">
                    <w:txbxContent>
                      <w:p w:rsidR="005D6D1F" w:rsidRDefault="005D6D1F">
                        <w:r>
                          <w:rPr>
                            <w:rFonts w:ascii="Arial" w:hAnsi="Arial" w:cs="Arial"/>
                            <w:color w:val="000000"/>
                            <w:sz w:val="20"/>
                            <w:szCs w:val="20"/>
                            <w:lang w:val="en-US"/>
                          </w:rPr>
                          <w:t>537</w:t>
                        </w:r>
                      </w:p>
                    </w:txbxContent>
                  </v:textbox>
                </v:rect>
                <v:rect id="Rectangle 30" o:spid="_x0000_s1091" style="position:absolute;left:34372;top:8178;width:356;height:311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iGBcMA&#10;AADdAAAADwAAAGRycy9kb3ducmV2LnhtbESP3WoCMRCF74W+Q5hC7zSrFJHVKKUgaOmNqw8wbGZ/&#10;aDJZktRd375zUfBuhnPmnG92h8k7daeY+sAGlosCFHEdbM+tgdv1ON+AShnZogtMBh6U4LB/me2w&#10;tGHkC92r3CoJ4VSigS7nodQ61R15TIswEIvWhOgxyxpbbSOOEu6dXhXFWnvsWRo6HOizo/qn+vUG&#10;9LU6jpvKxSJ8rZpvdz5dGgrGvL1OH1tQmab8NP9fn6zgvy+FX76REfT+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JiGBcMAAADdAAAADwAAAAAAAAAAAAAAAACYAgAAZHJzL2Rv&#10;d25yZXYueG1sUEsFBgAAAAAEAAQA9QAAAIgDAAAAAA==&#10;" filled="f" stroked="f">
                  <v:textbox style="mso-fit-shape-to-text:t" inset="0,0,0,0">
                    <w:txbxContent>
                      <w:p w:rsidR="005D6D1F" w:rsidRDefault="005D6D1F">
                        <w:r>
                          <w:rPr>
                            <w:rFonts w:ascii="Arial" w:hAnsi="Arial" w:cs="Arial"/>
                            <w:color w:val="000000"/>
                            <w:sz w:val="20"/>
                            <w:szCs w:val="20"/>
                            <w:lang w:val="en-US"/>
                          </w:rPr>
                          <w:t xml:space="preserve">          </w:t>
                        </w:r>
                      </w:p>
                    </w:txbxContent>
                  </v:textbox>
                </v:rect>
                <v:rect id="Rectangle 31" o:spid="_x0000_s1092" style="position:absolute;left:38030;top:8178;width:355;height:311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9Ku8AA&#10;AADdAAAADwAAAGRycy9kb3ducmV2LnhtbERP24rCMBB9F/Yfwgj7pqlFFqlGEUFwxRerHzA00wsm&#10;k5JkbffvzYKwb3M419nsRmvEk3zoHCtYzDMQxJXTHTcK7rfjbAUiRGSNxjEp+KUAu+3HZIOFdgNf&#10;6VnGRqQQDgUqaGPsCylD1ZLFMHc9ceJq5y3GBH0jtcchhVsj8yz7khY7Tg0t9nRoqXqUP1aBvJXH&#10;YVUan7lzXl/M9+lak1Pqczru1yAijfFf/HafdJq/zJfw9006QW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c9Ku8AAAADdAAAADwAAAAAAAAAAAAAAAACYAgAAZHJzL2Rvd25y&#10;ZXYueG1sUEsFBgAAAAAEAAQA9QAAAIUDAAAAAA==&#10;" filled="f" stroked="f">
                  <v:textbox style="mso-fit-shape-to-text:t" inset="0,0,0,0">
                    <w:txbxContent>
                      <w:p w:rsidR="005D6D1F" w:rsidRDefault="005D6D1F">
                        <w:r>
                          <w:rPr>
                            <w:rFonts w:ascii="Arial" w:hAnsi="Arial" w:cs="Arial"/>
                            <w:color w:val="000000"/>
                            <w:sz w:val="20"/>
                            <w:szCs w:val="20"/>
                            <w:lang w:val="en-US"/>
                          </w:rPr>
                          <w:t xml:space="preserve"> </w:t>
                        </w:r>
                      </w:p>
                    </w:txbxContent>
                  </v:textbox>
                </v:rect>
                <v:rect id="Rectangle 32" o:spid="_x0000_s1093" style="position:absolute;left:44977;top:8178;width:2120;height:29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7lJcAA&#10;AADdAAAADwAAAGRycy9kb3ducmV2LnhtbERP22oCMRB9L/gPYQTfatZFiq5GEUHQ0hdXP2DYzF4w&#10;mSxJ6m7/3hQKfZvDuc52P1ojnuRD51jBYp6BIK6c7rhRcL+d3lcgQkTWaByTgh8KsN9N3rZYaDfw&#10;lZ5lbEQK4VCggjbGvpAyVC1ZDHPXEyeudt5iTNA3UnscUrg1Ms+yD2mx49TQYk/HlqpH+W0VyFt5&#10;Glal8Zn7zOsvczlfa3JKzabjYQMi0hj/xX/us07zl/kafr9JJ8jd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87lJcAAAADdAAAADwAAAAAAAAAAAAAAAACYAgAAZHJzL2Rvd25y&#10;ZXYueG1sUEsFBgAAAAAEAAQA9QAAAIUDAAAAAA==&#10;" filled="f" stroked="f">
                  <v:textbox style="mso-fit-shape-to-text:t" inset="0,0,0,0">
                    <w:txbxContent>
                      <w:p w:rsidR="005D6D1F" w:rsidRDefault="005D6D1F">
                        <w:r>
                          <w:rPr>
                            <w:rFonts w:ascii="Arial" w:hAnsi="Arial" w:cs="Arial"/>
                            <w:color w:val="000000"/>
                            <w:sz w:val="20"/>
                            <w:szCs w:val="20"/>
                            <w:lang w:val="en-US"/>
                          </w:rPr>
                          <w:t>104</w:t>
                        </w:r>
                      </w:p>
                    </w:txbxContent>
                  </v:textbox>
                </v:rect>
                <v:rect id="Rectangle 33" o:spid="_x0000_s1094" style="position:absolute;left:41224;top:8178;width:355;height:311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MVG8IA&#10;AADcAAAADwAAAGRycy9kb3ducmV2LnhtbESP3WoCMRSE7wXfIRzBO826QiurUUQQbOmNqw9w2Jz9&#10;weRkSaK7ffumUOjlMDPfMLvDaI14kQ+dYwWrZQaCuHK640bB/XZebECEiKzROCYF3xTgsJ9Odlho&#10;N/CVXmVsRIJwKFBBG2NfSBmqliyGpeuJk1c7bzEm6RupPQ4Jbo3Ms+xNWuw4LbTY06ml6lE+rQJ5&#10;K8/DpjQ+c595/WU+LteanFLz2Xjcgog0xv/wX/uiFazzd/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gxUbwgAAANwAAAAPAAAAAAAAAAAAAAAAAJgCAABkcnMvZG93&#10;bnJldi54bWxQSwUGAAAAAAQABAD1AAAAhwMAAAAA&#10;" filled="f" stroked="f">
                  <v:textbox style="mso-fit-shape-to-text:t" inset="0,0,0,0">
                    <w:txbxContent>
                      <w:p w:rsidR="005D6D1F" w:rsidRDefault="005D6D1F">
                        <w:r>
                          <w:rPr>
                            <w:rFonts w:ascii="Arial" w:hAnsi="Arial" w:cs="Arial"/>
                            <w:color w:val="000000"/>
                            <w:sz w:val="20"/>
                            <w:szCs w:val="20"/>
                            <w:lang w:val="en-US"/>
                          </w:rPr>
                          <w:t xml:space="preserve">          </w:t>
                        </w:r>
                      </w:p>
                    </w:txbxContent>
                  </v:textbox>
                </v:rect>
                <v:rect id="Rectangle 34" o:spid="_x0000_s1095" style="position:absolute;left:44881;top:8178;width:356;height:311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yBab4A&#10;AADcAAAADwAAAGRycy9kb3ducmV2LnhtbERPy4rCMBTdC/5DuMLsNLUDItUoIgiOzMbqB1ya2wcm&#10;NyWJtvP3ZjHg8nDe2/1ojXiRD51jBctFBoK4crrjRsH9dpqvQYSIrNE4JgV/FGC/m062WGg38JVe&#10;ZWxECuFQoII2xr6QMlQtWQwL1xMnrnbeYkzQN1J7HFK4NTLPspW02HFqaLGnY0vVo3xaBfJWnoZ1&#10;aXzmLnn9a37O15qcUl+z8bABEWmMH/G/+6wVfOdpbTqTjoDcv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AcgWm+AAAA3AAAAA8AAAAAAAAAAAAAAAAAmAIAAGRycy9kb3ducmV2&#10;LnhtbFBLBQYAAAAABAAEAPUAAACDAwAAAAA=&#10;" filled="f" stroked="f">
                  <v:textbox style="mso-fit-shape-to-text:t" inset="0,0,0,0">
                    <w:txbxContent>
                      <w:p w:rsidR="005D6D1F" w:rsidRDefault="005D6D1F">
                        <w:r>
                          <w:rPr>
                            <w:rFonts w:ascii="Arial" w:hAnsi="Arial" w:cs="Arial"/>
                            <w:color w:val="000000"/>
                            <w:sz w:val="20"/>
                            <w:szCs w:val="20"/>
                            <w:lang w:val="en-US"/>
                          </w:rPr>
                          <w:t xml:space="preserve"> </w:t>
                        </w:r>
                      </w:p>
                    </w:txbxContent>
                  </v:textbox>
                </v:rect>
                <v:rect id="Rectangle 35" o:spid="_x0000_s1096" style="position:absolute;left:51828;top:8178;width:2121;height:29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Ak8sIA&#10;AADcAAAADwAAAGRycy9kb3ducmV2LnhtbESP3WoCMRSE7wu+QziCdzXrCkVXo4ggaOmNqw9w2Jz9&#10;weRkSVJ3+/amUOjlMDPfMNv9aI14kg+dYwWLeQaCuHK640bB/XZ6X4EIEVmjcUwKfijAfjd522Kh&#10;3cBXepaxEQnCoUAFbYx9IWWoWrIY5q4nTl7tvMWYpG+k9jgkuDUyz7IPabHjtNBiT8eWqkf5bRXI&#10;W3kaVqXxmfvM6y9zOV9rckrNpuNhAyLSGP/Df+2zVrDM1/B7Jh0Bu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UCTywgAAANwAAAAPAAAAAAAAAAAAAAAAAJgCAABkcnMvZG93&#10;bnJldi54bWxQSwUGAAAAAAQABAD1AAAAhwMAAAAA&#10;" filled="f" stroked="f">
                  <v:textbox style="mso-fit-shape-to-text:t" inset="0,0,0,0">
                    <w:txbxContent>
                      <w:p w:rsidR="005D6D1F" w:rsidRDefault="005D6D1F">
                        <w:r>
                          <w:rPr>
                            <w:rFonts w:ascii="Arial" w:hAnsi="Arial" w:cs="Arial"/>
                            <w:color w:val="000000"/>
                            <w:sz w:val="20"/>
                            <w:szCs w:val="20"/>
                            <w:lang w:val="en-US"/>
                          </w:rPr>
                          <w:t>537</w:t>
                        </w:r>
                      </w:p>
                    </w:txbxContent>
                  </v:textbox>
                </v:rect>
                <v:rect id="Rectangle 36" o:spid="_x0000_s1097" style="position:absolute;left:48082;top:8178;width:355;height:311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MbssAA&#10;AADcAAAADwAAAGRycy9kb3ducmV2LnhtbERPS2rDMBDdF3IHMYHsGrkJFONaDqUQSEI2sXuAwRp/&#10;qDQykhK7t68WgS4f718eFmvEg3wYHSt422YgiFunR+4VfDfH1xxEiMgajWNS8EsBDtXqpcRCu5lv&#10;9KhjL1IIhwIVDDFOhZShHchi2LqJOHGd8xZjgr6X2uOcwq2Ruyx7lxZHTg0DTvQ1UPtT360C2dTH&#10;Oa+Nz9xl113N+XTryCm1WS+fHyAiLfFf/HSftIL9Ps1PZ9IRkN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7MbssAAAADcAAAADwAAAAAAAAAAAAAAAACYAgAAZHJzL2Rvd25y&#10;ZXYueG1sUEsFBgAAAAAEAAQA9QAAAIUDAAAAAA==&#10;" filled="f" stroked="f">
                  <v:textbox style="mso-fit-shape-to-text:t" inset="0,0,0,0">
                    <w:txbxContent>
                      <w:p w:rsidR="005D6D1F" w:rsidRDefault="005D6D1F">
                        <w:r>
                          <w:rPr>
                            <w:rFonts w:ascii="Arial" w:hAnsi="Arial" w:cs="Arial"/>
                            <w:color w:val="000000"/>
                            <w:sz w:val="20"/>
                            <w:szCs w:val="20"/>
                            <w:lang w:val="en-US"/>
                          </w:rPr>
                          <w:t xml:space="preserve">          </w:t>
                        </w:r>
                      </w:p>
                    </w:txbxContent>
                  </v:textbox>
                </v:rect>
                <v:rect id="Rectangle 37" o:spid="_x0000_s1098" style="position:absolute;left:51739;top:8178;width:356;height:311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KcIA&#10;AADcAAAADwAAAGRycy9kb3ducmV2LnhtbESP3YrCMBSE74V9h3AE72yqwiJdoyyCoOKNdR/g0Jz+&#10;sMlJSbK2vr0RhL0cZuYbZrMbrRF38qFzrGCR5SCIK6c7bhT83A7zNYgQkTUax6TgQQF224/JBgvt&#10;Br7SvYyNSBAOBSpoY+wLKUPVksWQuZ44ebXzFmOSvpHa45Dg1shlnn9Kix2nhRZ72rdU/ZZ/VoG8&#10;lYdhXRqfu/OyvpjT8VqTU2o2Hb+/QEQa43/43T5qBavVAl5n0hGQ2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74pwgAAANwAAAAPAAAAAAAAAAAAAAAAAJgCAABkcnMvZG93&#10;bnJldi54bWxQSwUGAAAAAAQABAD1AAAAhwMAAAAA&#10;" filled="f" stroked="f">
                  <v:textbox style="mso-fit-shape-to-text:t" inset="0,0,0,0">
                    <w:txbxContent>
                      <w:p w:rsidR="005D6D1F" w:rsidRDefault="005D6D1F">
                        <w:r>
                          <w:rPr>
                            <w:rFonts w:ascii="Arial" w:hAnsi="Arial" w:cs="Arial"/>
                            <w:color w:val="000000"/>
                            <w:sz w:val="20"/>
                            <w:szCs w:val="20"/>
                            <w:lang w:val="en-US"/>
                          </w:rPr>
                          <w:t xml:space="preserve"> </w:t>
                        </w:r>
                      </w:p>
                    </w:txbxContent>
                  </v:textbox>
                </v:rect>
                <v:rect id="Rectangle 38" o:spid="_x0000_s1099" style="position:absolute;left:58686;top:8178;width:2121;height:29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0gXsEA&#10;AADcAAAADwAAAGRycy9kb3ducmV2LnhtbESP3YrCMBSE74V9h3CEvdPUCotUo4gguOKN1Qc4NKc/&#10;mJyUJGu7b28WhL0cZuYbZrMbrRFP8qFzrGAxz0AQV0533Ci4346zFYgQkTUax6TglwLsth+TDRba&#10;DXylZxkbkSAcClTQxtgXUoaqJYth7nri5NXOW4xJ+kZqj0OCWyPzLPuSFjtOCy32dGipepQ/VoG8&#10;lcdhVRqfuXNeX8z36VqTU+pzOu7XICKN8T/8bp+0guUyh7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QtIF7BAAAA3AAAAA8AAAAAAAAAAAAAAAAAmAIAAGRycy9kb3du&#10;cmV2LnhtbFBLBQYAAAAABAAEAPUAAACGAwAAAAA=&#10;" filled="f" stroked="f">
                  <v:textbox style="mso-fit-shape-to-text:t" inset="0,0,0,0">
                    <w:txbxContent>
                      <w:p w:rsidR="005D6D1F" w:rsidRDefault="005D6D1F">
                        <w:r>
                          <w:rPr>
                            <w:rFonts w:ascii="Arial" w:hAnsi="Arial" w:cs="Arial"/>
                            <w:color w:val="000000"/>
                            <w:sz w:val="20"/>
                            <w:szCs w:val="20"/>
                            <w:lang w:val="en-US"/>
                          </w:rPr>
                          <w:t>104</w:t>
                        </w:r>
                      </w:p>
                    </w:txbxContent>
                  </v:textbox>
                </v:rect>
                <v:rect id="Rectangle 39" o:spid="_x0000_s1100" style="position:absolute;left:54940;top:8178;width:355;height:311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FxcEA&#10;AADcAAAADwAAAGRycy9kb3ducmV2LnhtbESP3YrCMBSE74V9h3CEvdNUC4tUo4gguOKN1Qc4NKc/&#10;mJyUJGu7b28WhL0cZuYbZrMbrRFP8qFzrGAxz0AQV0533Ci4346zFYgQkTUax6TglwLsth+TDRba&#10;DXylZxkbkSAcClTQxtgXUoaqJYth7nri5NXOW4xJ+kZqj0OCWyOXWfYlLXacFlrs6dBS9Sh/rAJ5&#10;K4/DqjQ+c+dlfTHfp2tNTqnP6bhfg4g0xv/wu33SCvI8h7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thhcXBAAAA3AAAAA8AAAAAAAAAAAAAAAAAmAIAAGRycy9kb3du&#10;cmV2LnhtbFBLBQYAAAAABAAEAPUAAACGAwAAAAA=&#10;" filled="f" stroked="f">
                  <v:textbox style="mso-fit-shape-to-text:t" inset="0,0,0,0">
                    <w:txbxContent>
                      <w:p w:rsidR="005D6D1F" w:rsidRDefault="005D6D1F">
                        <w:r>
                          <w:rPr>
                            <w:rFonts w:ascii="Arial" w:hAnsi="Arial" w:cs="Arial"/>
                            <w:color w:val="000000"/>
                            <w:sz w:val="20"/>
                            <w:szCs w:val="20"/>
                            <w:lang w:val="en-US"/>
                          </w:rPr>
                          <w:t xml:space="preserve">          </w:t>
                        </w:r>
                      </w:p>
                    </w:txbxContent>
                  </v:textbox>
                </v:rect>
                <v:rect id="Rectangle 40" o:spid="_x0000_s1101" style="position:absolute;left:58597;top:8178;width:356;height:311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gdscIA&#10;AADcAAAADwAAAGRycy9kb3ducmV2LnhtbESPzYoCMRCE74LvEFrwphl/EJk1igiCLl4c9wGaSc8P&#10;Jp0hyTqzb79ZWPBYVNVX1O4wWCNe5EPrWMFinoEgLp1uuVbw9TjPtiBCRNZoHJOCHwpw2I9HO8y1&#10;6/lOryLWIkE45KigibHLpQxlQxbD3HXEyauctxiT9LXUHvsEt0Yus2wjLbacFhrs6NRQ+Sy+rQL5&#10;KM79tjA+c5/L6maul3tFTqnpZDh+gIg0xHf4v33RClarNfydSUdA7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iB2xwgAAANwAAAAPAAAAAAAAAAAAAAAAAJgCAABkcnMvZG93&#10;bnJldi54bWxQSwUGAAAAAAQABAD1AAAAhwMAAAAA&#10;" filled="f" stroked="f">
                  <v:textbox style="mso-fit-shape-to-text:t" inset="0,0,0,0">
                    <w:txbxContent>
                      <w:p w:rsidR="005D6D1F" w:rsidRDefault="005D6D1F">
                        <w:r>
                          <w:rPr>
                            <w:rFonts w:ascii="Arial" w:hAnsi="Arial" w:cs="Arial"/>
                            <w:color w:val="000000"/>
                            <w:sz w:val="20"/>
                            <w:szCs w:val="20"/>
                            <w:lang w:val="en-US"/>
                          </w:rPr>
                          <w:t xml:space="preserve"> </w:t>
                        </w:r>
                      </w:p>
                    </w:txbxContent>
                  </v:textbox>
                </v:rect>
                <v:rect id="Rectangle 41" o:spid="_x0000_s1102" style="position:absolute;left:273;top:9798;width:18014;height:29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T1XcUA&#10;AADcAAAADwAAAGRycy9kb3ducmV2LnhtbESPQWvCQBSE74X+h+UVvBTdVGnR6CpFEDwIYuxBb4/s&#10;M5s2+zZkVxP99a5Q8DjMzDfMbNHZSlyo8aVjBR+DBARx7nTJhYKf/ao/BuEDssbKMSm4kofF/PVl&#10;hql2Le/okoVCRAj7FBWYEOpUSp8bsugHriaO3sk1FkOUTSF1g22E20oOk+RLWiw5LhisaWko/8vO&#10;VsFqeyiJb3L3Phm37jcfHjOzqZXqvXXfUxCBuvAM/7fXWsFo9AmPM/EI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RPVdxQAAANwAAAAPAAAAAAAAAAAAAAAAAJgCAABkcnMv&#10;ZG93bnJldi54bWxQSwUGAAAAAAQABAD1AAAAigMAAAAA&#10;" filled="f" stroked="f">
                  <v:textbox style="mso-fit-shape-to-text:t" inset="0,0,0,0">
                    <w:txbxContent>
                      <w:p w:rsidR="005D6D1F" w:rsidRDefault="005D6D1F">
                        <w:r>
                          <w:rPr>
                            <w:rFonts w:ascii="Arial" w:hAnsi="Arial" w:cs="Arial"/>
                            <w:color w:val="000000"/>
                            <w:sz w:val="20"/>
                            <w:szCs w:val="20"/>
                            <w:lang w:val="en-US"/>
                          </w:rPr>
                          <w:t>Investment property revenues</w:t>
                        </w:r>
                      </w:p>
                    </w:txbxContent>
                  </v:textbox>
                </v:rect>
                <v:rect id="Rectangle 42" o:spid="_x0000_s1103" style="position:absolute;left:36474;top:9798;width:3886;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YmXcEA&#10;AADcAAAADwAAAGRycy9kb3ducmV2LnhtbESPzYoCMRCE7wu+Q2jB25pRQWTWKCIIKl4c9wGaSc8P&#10;Jp0hic749kZY2GNRVV9R6+1gjXiSD61jBbNpBoK4dLrlWsHv7fC9AhEiskbjmBS8KMB2M/paY65d&#10;z1d6FrEWCcIhRwVNjF0uZSgbshimriNOXuW8xZikr6X22Ce4NXKeZUtpseW00GBH+4bKe/GwCuSt&#10;OPSrwvjMnefVxZyO14qcUpPxsPsBEWmI/+G/9lErWCyW8DmTjoDcv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sWJl3BAAAA3AAAAA8AAAAAAAAAAAAAAAAAmAIAAGRycy9kb3du&#10;cmV2LnhtbFBLBQYAAAAABAAEAPUAAACGAwAAAAA=&#10;" filled="f" stroked="f">
                  <v:textbox style="mso-fit-shape-to-text:t" inset="0,0,0,0">
                    <w:txbxContent>
                      <w:p w:rsidR="005D6D1F" w:rsidRDefault="005D6D1F">
                        <w:r>
                          <w:rPr>
                            <w:rFonts w:ascii="Arial" w:hAnsi="Arial" w:cs="Arial"/>
                            <w:color w:val="000000"/>
                            <w:sz w:val="20"/>
                            <w:szCs w:val="20"/>
                            <w:lang w:val="en-US"/>
                          </w:rPr>
                          <w:t>11,528</w:t>
                        </w:r>
                      </w:p>
                    </w:txbxContent>
                  </v:textbox>
                </v:rect>
                <v:rect id="Rectangle 43" o:spid="_x0000_s1104" style="position:absolute;left:34372;top:9798;width:356;height:31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qDxsIA&#10;AADcAAAADwAAAGRycy9kb3ducmV2LnhtbESPzYoCMRCE74LvEFrwphkVVGaNIoKgixfHfYBm0vOD&#10;SWdIss7s228WFjwWVfUVtTsM1ogX+dA6VrCYZyCIS6dbrhV8Pc6zLYgQkTUax6TghwIc9uPRDnPt&#10;er7Tq4i1SBAOOSpoYuxyKUPZkMUwdx1x8irnLcYkfS21xz7BrZHLLFtLiy2nhQY7OjVUPotvq0A+&#10;inO/LYzP3Oeyupnr5V6RU2o6GY4fICIN8R3+b1+0gtVqA39n0hG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WoPGwgAAANwAAAAPAAAAAAAAAAAAAAAAAJgCAABkcnMvZG93&#10;bnJldi54bWxQSwUGAAAAAAQABAD1AAAAhwMAAAAA&#10;" filled="f" stroked="f">
                  <v:textbox style="mso-fit-shape-to-text:t" inset="0,0,0,0">
                    <w:txbxContent>
                      <w:p w:rsidR="005D6D1F" w:rsidRDefault="005D6D1F">
                        <w:r>
                          <w:rPr>
                            <w:rFonts w:ascii="Arial" w:hAnsi="Arial" w:cs="Arial"/>
                            <w:color w:val="000000"/>
                            <w:sz w:val="20"/>
                            <w:szCs w:val="20"/>
                            <w:lang w:val="en-US"/>
                          </w:rPr>
                          <w:t xml:space="preserve">     </w:t>
                        </w:r>
                      </w:p>
                    </w:txbxContent>
                  </v:textbox>
                </v:rect>
                <v:rect id="Rectangle 44" o:spid="_x0000_s1105" style="position:absolute;left:36201;top:9798;width:355;height:31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UXtMAA&#10;AADcAAAADwAAAGRycy9kb3ducmV2LnhtbERPS2rDMBDdF3IHMYHsGrkJFONaDqUQSEI2sXuAwRp/&#10;qDQykhK7t68WgS4f718eFmvEg3wYHSt422YgiFunR+4VfDfH1xxEiMgajWNS8EsBDtXqpcRCu5lv&#10;9KhjL1IIhwIVDDFOhZShHchi2LqJOHGd8xZjgr6X2uOcwq2Ruyx7lxZHTg0DTvQ1UPtT360C2dTH&#10;Oa+Nz9xl113N+XTryCm1WS+fHyAiLfFf/HSftIL9Pq1NZ9IRkN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cUXtMAAAADcAAAADwAAAAAAAAAAAAAAAACYAgAAZHJzL2Rvd25y&#10;ZXYueG1sUEsFBgAAAAAEAAQA9QAAAIUDAAAAAA==&#10;" filled="f" stroked="f">
                  <v:textbox style="mso-fit-shape-to-text:t" inset="0,0,0,0">
                    <w:txbxContent>
                      <w:p w:rsidR="005D6D1F" w:rsidRDefault="005D6D1F">
                        <w:r>
                          <w:rPr>
                            <w:rFonts w:ascii="Arial" w:hAnsi="Arial" w:cs="Arial"/>
                            <w:color w:val="000000"/>
                            <w:sz w:val="20"/>
                            <w:szCs w:val="20"/>
                            <w:lang w:val="en-US"/>
                          </w:rPr>
                          <w:t xml:space="preserve"> </w:t>
                        </w:r>
                      </w:p>
                    </w:txbxContent>
                  </v:textbox>
                </v:rect>
                <v:rect id="Rectangle 45" o:spid="_x0000_s1106" style="position:absolute;left:43326;top:9798;width:5111;height:29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n/WMYA&#10;AADcAAAADwAAAGRycy9kb3ducmV2LnhtbESPQWvCQBSE74L/YXmCF9FNFURjNiIFoQehmPagt0f2&#10;NZuafRuyW5P213cLBY/DzHzDZPvBNuJOna8dK3haJCCIS6drrhS8vx3nGxA+IGtsHJOCb/Kwz8ej&#10;DFPtej7TvQiViBD2KSowIbSplL40ZNEvXEscvQ/XWQxRdpXUHfYRbhu5TJK1tFhzXDDY0rOh8lZ8&#10;WQXH10tN/CPPs+2md5/l8lqYU6vUdDIcdiACDeER/m+/aAWr1Rb+zsQjI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gn/WMYAAADcAAAADwAAAAAAAAAAAAAAAACYAgAAZHJz&#10;L2Rvd25yZXYueG1sUEsFBgAAAAAEAAQA9QAAAIsDAAAAAA==&#10;" filled="f" stroked="f">
                  <v:textbox style="mso-fit-shape-to-text:t" inset="0,0,0,0">
                    <w:txbxContent>
                      <w:p w:rsidR="005D6D1F" w:rsidRDefault="005D6D1F">
                        <w:r>
                          <w:rPr>
                            <w:rFonts w:ascii="Arial" w:hAnsi="Arial" w:cs="Arial"/>
                            <w:color w:val="000000"/>
                            <w:sz w:val="20"/>
                            <w:szCs w:val="20"/>
                            <w:lang w:val="en-US"/>
                          </w:rPr>
                          <w:t>11,648</w:t>
                        </w:r>
                      </w:p>
                    </w:txbxContent>
                  </v:textbox>
                </v:rect>
                <v:rect id="Rectangle 46" o:spid="_x0000_s1107" style="position:absolute;left:41224;top:9798;width:355;height:31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Voz78A&#10;AADcAAAADwAAAGRycy9kb3ducmV2LnhtbERPy4rCMBTdC/MP4Q7MTtNREalGkQFBBze2fsCluX1g&#10;clOSaOvfTxYDLg/nvd2P1ogn+dA5VvA9y0AQV0533Ci4lcfpGkSIyBqNY1LwogD73cdki7l2A1/p&#10;WcRGpBAOOSpoY+xzKUPVksUwcz1x4mrnLcYEfSO1xyGFWyPnWbaSFjtODS329NNSdS8eVoEsi+Ow&#10;LozP3O+8vpjz6VqTU+rrczxsQEQa41v87z5pBYtlmp/OpCMgd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TtWjPvwAAANwAAAAPAAAAAAAAAAAAAAAAAJgCAABkcnMvZG93bnJl&#10;di54bWxQSwUGAAAAAAQABAD1AAAAhAMAAAAA&#10;" filled="f" stroked="f">
                  <v:textbox style="mso-fit-shape-to-text:t" inset="0,0,0,0">
                    <w:txbxContent>
                      <w:p w:rsidR="005D6D1F" w:rsidRDefault="005D6D1F">
                        <w:r>
                          <w:rPr>
                            <w:rFonts w:ascii="Arial" w:hAnsi="Arial" w:cs="Arial"/>
                            <w:color w:val="000000"/>
                            <w:sz w:val="20"/>
                            <w:szCs w:val="20"/>
                            <w:lang w:val="en-US"/>
                          </w:rPr>
                          <w:t xml:space="preserve">     </w:t>
                        </w:r>
                      </w:p>
                    </w:txbxContent>
                  </v:textbox>
                </v:rect>
                <v:rect id="Rectangle 47" o:spid="_x0000_s1108" style="position:absolute;left:43053;top:9798;width:355;height:31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nNVMIA&#10;AADcAAAADwAAAGRycy9kb3ducmV2LnhtbESPzYoCMRCE74LvEFrwphl/WGQ0igiCu3hx9AGaSc8P&#10;Jp0hic7s228WFvZYVNVX1O4wWCPe5EPrWMFinoEgLp1uuVbwuJ9nGxAhIms0jknBNwU47MejHeba&#10;9XyjdxFrkSAcclTQxNjlUoayIYth7jri5FXOW4xJ+lpqj32CWyOXWfYhLbacFhrs6NRQ+SxeVoG8&#10;F+d+Uxifua9ldTWfl1tFTqnpZDhuQUQa4n/4r33RClbrBfyeSUdA7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c1UwgAAANwAAAAPAAAAAAAAAAAAAAAAAJgCAABkcnMvZG93&#10;bnJldi54bWxQSwUGAAAAAAQABAD1AAAAhwMAAAAA&#10;" filled="f" stroked="f">
                  <v:textbox style="mso-fit-shape-to-text:t" inset="0,0,0,0">
                    <w:txbxContent>
                      <w:p w:rsidR="005D6D1F" w:rsidRDefault="005D6D1F">
                        <w:r>
                          <w:rPr>
                            <w:rFonts w:ascii="Arial" w:hAnsi="Arial" w:cs="Arial"/>
                            <w:color w:val="000000"/>
                            <w:sz w:val="20"/>
                            <w:szCs w:val="20"/>
                            <w:lang w:val="en-US"/>
                          </w:rPr>
                          <w:t xml:space="preserve"> </w:t>
                        </w:r>
                      </w:p>
                    </w:txbxContent>
                  </v:textbox>
                </v:rect>
                <v:rect id="Rectangle 48" o:spid="_x0000_s1109" style="position:absolute;left:50184;top:9798;width:3886;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tTI8IA&#10;AADcAAAADwAAAGRycy9kb3ducmV2LnhtbESP3WoCMRSE7wXfIRzBO826liKrUUQQbOmNqw9w2Jz9&#10;weRkSaK7ffumUOjlMDPfMLvDaI14kQ+dYwWrZQaCuHK640bB/XZebECEiKzROCYF3xTgsJ9Odlho&#10;N/CVXmVsRIJwKFBBG2NfSBmqliyGpeuJk1c7bzEm6RupPQ4Jbo3Ms+xdWuw4LbTY06ml6lE+rQJ5&#10;K8/DpjQ+c595/WU+LteanFLz2Xjcgog0xv/wX/uiFazfcv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K1MjwgAAANwAAAAPAAAAAAAAAAAAAAAAAJgCAABkcnMvZG93&#10;bnJldi54bWxQSwUGAAAAAAQABAD1AAAAhwMAAAAA&#10;" filled="f" stroked="f">
                  <v:textbox style="mso-fit-shape-to-text:t" inset="0,0,0,0">
                    <w:txbxContent>
                      <w:p w:rsidR="005D6D1F" w:rsidRDefault="005D6D1F">
                        <w:r>
                          <w:rPr>
                            <w:rFonts w:ascii="Arial" w:hAnsi="Arial" w:cs="Arial"/>
                            <w:color w:val="000000"/>
                            <w:sz w:val="20"/>
                            <w:szCs w:val="20"/>
                            <w:lang w:val="en-US"/>
                          </w:rPr>
                          <w:t>11,528</w:t>
                        </w:r>
                      </w:p>
                    </w:txbxContent>
                  </v:textbox>
                </v:rect>
                <v:rect id="Rectangle 49" o:spid="_x0000_s1110" style="position:absolute;left:48082;top:9798;width:355;height:31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f2uMIA&#10;AADcAAAADwAAAGRycy9kb3ducmV2LnhtbESPzYoCMRCE74LvEFrwphl/EJk1igiCLl4c9wGaSc8P&#10;Jp0hyTqzb79ZWPBYVNVX1O4wWCNe5EPrWMFinoEgLp1uuVbw9TjPtiBCRNZoHJOCHwpw2I9HO8y1&#10;6/lOryLWIkE45KigibHLpQxlQxbD3HXEyauctxiT9LXUHvsEt0Yus2wjLbacFhrs6NRQ+Sy+rQL5&#10;KM79tjA+c5/L6maul3tFTqnpZDh+gIg0xHf4v33RClbrFfydSUdA7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Z/a4wgAAANwAAAAPAAAAAAAAAAAAAAAAAJgCAABkcnMvZG93&#10;bnJldi54bWxQSwUGAAAAAAQABAD1AAAAhwMAAAAA&#10;" filled="f" stroked="f">
                  <v:textbox style="mso-fit-shape-to-text:t" inset="0,0,0,0">
                    <w:txbxContent>
                      <w:p w:rsidR="005D6D1F" w:rsidRDefault="005D6D1F">
                        <w:r>
                          <w:rPr>
                            <w:rFonts w:ascii="Arial" w:hAnsi="Arial" w:cs="Arial"/>
                            <w:color w:val="000000"/>
                            <w:sz w:val="20"/>
                            <w:szCs w:val="20"/>
                            <w:lang w:val="en-US"/>
                          </w:rPr>
                          <w:t xml:space="preserve">     </w:t>
                        </w:r>
                      </w:p>
                    </w:txbxContent>
                  </v:textbox>
                </v:rect>
                <v:rect id="Rectangle 50" o:spid="_x0000_s1111" style="position:absolute;left:49911;top:9798;width:355;height:31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5uzMIA&#10;AADcAAAADwAAAGRycy9kb3ducmV2LnhtbESPzYoCMRCE74LvEFrYm2b8YZFZo4ggqHhx3AdoJj0/&#10;mHSGJOvMvv1GEPZYVNVX1GY3WCOe5EPrWMF8loEgLp1uuVbwfT9O1yBCRNZoHJOCXwqw245HG8y1&#10;6/lGzyLWIkE45KigibHLpQxlQxbDzHXEyauctxiT9LXUHvsEt0YusuxTWmw5LTTY0aGh8lH8WAXy&#10;Xhz7dWF85i6L6mrOp1tFTqmPybD/AhFpiP/hd/ukFSxXK3idSUdAb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jm7MwgAAANwAAAAPAAAAAAAAAAAAAAAAAJgCAABkcnMvZG93&#10;bnJldi54bWxQSwUGAAAAAAQABAD1AAAAhwMAAAAA&#10;" filled="f" stroked="f">
                  <v:textbox style="mso-fit-shape-to-text:t" inset="0,0,0,0">
                    <w:txbxContent>
                      <w:p w:rsidR="005D6D1F" w:rsidRDefault="005D6D1F">
                        <w:r>
                          <w:rPr>
                            <w:rFonts w:ascii="Arial" w:hAnsi="Arial" w:cs="Arial"/>
                            <w:color w:val="000000"/>
                            <w:sz w:val="20"/>
                            <w:szCs w:val="20"/>
                            <w:lang w:val="en-US"/>
                          </w:rPr>
                          <w:t xml:space="preserve"> </w:t>
                        </w:r>
                      </w:p>
                    </w:txbxContent>
                  </v:textbox>
                </v:rect>
                <v:rect id="Rectangle 51" o:spid="_x0000_s1112" style="position:absolute;left:57042;top:9798;width:4201;height:29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0KGIMYA&#10;AADcAAAADwAAAGRycy9kb3ducmV2LnhtbESPQWvCQBSE74X+h+UVvBTd1FrR1FWKIPQgiKkHvT2y&#10;r9lo9m3Ibk3qr3cFweMwM98ws0VnK3GmxpeOFbwNEhDEudMlFwp2P6v+BIQPyBorx6Tgnzws5s9P&#10;M0y1a3lL5ywUIkLYp6jAhFCnUvrckEU/cDVx9H5dYzFE2RRSN9hGuK3kMEnG0mLJccFgTUtD+Sn7&#10;swpWm31JfJHb1+mkdcd8eMjMulaq99J9fYII1IVH+N7+1greRx9wOxOPgJx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0KGIMYAAADcAAAADwAAAAAAAAAAAAAAAACYAgAAZHJz&#10;L2Rvd25yZXYueG1sUEsFBgAAAAAEAAQA9QAAAIsDAAAAAA==&#10;" filled="f" stroked="f">
                  <v:textbox style="mso-fit-shape-to-text:t" inset="0,0,0,0">
                    <w:txbxContent>
                      <w:p w:rsidR="005D6D1F" w:rsidRDefault="005D6D1F">
                        <w:r>
                          <w:rPr>
                            <w:rFonts w:ascii="Arial" w:hAnsi="Arial" w:cs="Arial"/>
                            <w:color w:val="000000"/>
                            <w:sz w:val="20"/>
                            <w:szCs w:val="20"/>
                            <w:lang w:val="en-US"/>
                          </w:rPr>
                          <w:t xml:space="preserve">11,648 </w:t>
                        </w:r>
                      </w:p>
                    </w:txbxContent>
                  </v:textbox>
                </v:rect>
                <v:rect id="Rectangle 52" o:spid="_x0000_s1113" style="position:absolute;left:54940;top:9798;width:355;height:31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BVIMIA&#10;AADcAAAADwAAAGRycy9kb3ducmV2LnhtbESPzYoCMRCE74LvEFrwphl1EZk1igiCLl4c9wGaSc8P&#10;Jp0hyTqzb28WhD0WVfUVtd0P1ogn+dA6VrCYZyCIS6dbrhV830+zDYgQkTUax6TglwLsd+PRFnPt&#10;er7Rs4i1SBAOOSpoYuxyKUPZkMUwdx1x8irnLcYkfS21xz7BrZHLLFtLiy2nhQY7OjZUPoofq0De&#10;i1O/KYzP3NeyuprL+VaRU2o6GQ6fICIN8T/8bp+1gtXHG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EFUgwgAAANwAAAAPAAAAAAAAAAAAAAAAAJgCAABkcnMvZG93&#10;bnJldi54bWxQSwUGAAAAAAQABAD1AAAAhwMAAAAA&#10;" filled="f" stroked="f">
                  <v:textbox style="mso-fit-shape-to-text:t" inset="0,0,0,0">
                    <w:txbxContent>
                      <w:p w:rsidR="005D6D1F" w:rsidRDefault="005D6D1F">
                        <w:r>
                          <w:rPr>
                            <w:rFonts w:ascii="Arial" w:hAnsi="Arial" w:cs="Arial"/>
                            <w:color w:val="000000"/>
                            <w:sz w:val="20"/>
                            <w:szCs w:val="20"/>
                            <w:lang w:val="en-US"/>
                          </w:rPr>
                          <w:t xml:space="preserve">     </w:t>
                        </w:r>
                      </w:p>
                    </w:txbxContent>
                  </v:textbox>
                </v:rect>
                <v:rect id="Rectangle 53" o:spid="_x0000_s1114" style="position:absolute;left:56769;top:9798;width:355;height:31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zwu8IA&#10;AADcAAAADwAAAGRycy9kb3ducmV2LnhtbESP3WoCMRSE7wu+QziCdzWrFpXVKFIQbPHG1Qc4bM7+&#10;YHKyJKm7ffumIHg5zMw3zHY/WCMe5EPrWMFsmoEgLp1uuVZwux7f1yBCRNZoHJOCXwqw343etphr&#10;1/OFHkWsRYJwyFFBE2OXSxnKhiyGqeuIk1c5bzEm6WupPfYJbo2cZ9lSWmw5LTTY0WdD5b34sQrk&#10;tTj268L4zH3Pq7P5Ol0qckpNxsNhAyLSEF/hZ/ukFSw+V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XPC7wgAAANwAAAAPAAAAAAAAAAAAAAAAAJgCAABkcnMvZG93&#10;bnJldi54bWxQSwUGAAAAAAQABAD1AAAAhwMAAAAA&#10;" filled="f" stroked="f">
                  <v:textbox style="mso-fit-shape-to-text:t" inset="0,0,0,0">
                    <w:txbxContent>
                      <w:p w:rsidR="005D6D1F" w:rsidRDefault="005D6D1F">
                        <w:r>
                          <w:rPr>
                            <w:rFonts w:ascii="Arial" w:hAnsi="Arial" w:cs="Arial"/>
                            <w:color w:val="000000"/>
                            <w:sz w:val="20"/>
                            <w:szCs w:val="20"/>
                            <w:lang w:val="en-US"/>
                          </w:rPr>
                          <w:t xml:space="preserve"> </w:t>
                        </w:r>
                      </w:p>
                    </w:txbxContent>
                  </v:textbox>
                </v:rect>
                <v:rect id="Rectangle 54" o:spid="_x0000_s1115" style="position:absolute;left:273;top:13036;width:20110;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Nkyb8A&#10;AADcAAAADwAAAGRycy9kb3ducmV2LnhtbERPy4rCMBTdC/MP4Q7MTtNREalGkQFBBze2fsCluX1g&#10;clOSaOvfTxYDLg/nvd2P1ogn+dA5VvA9y0AQV0533Ci4lcfpGkSIyBqNY1LwogD73cdki7l2A1/p&#10;WcRGpBAOOSpoY+xzKUPVksUwcz1x4mrnLcYEfSO1xyGFWyPnWbaSFjtODS329NNSdS8eVoEsi+Ow&#10;LozP3O+8vpjz6VqTU+rrczxsQEQa41v87z5pBYtlWpvOpCMgd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tw2TJvwAAANwAAAAPAAAAAAAAAAAAAAAAAJgCAABkcnMvZG93bnJl&#10;di54bWxQSwUGAAAAAAQABAD1AAAAhAMAAAAA&#10;" filled="f" stroked="f">
                  <v:textbox style="mso-fit-shape-to-text:t" inset="0,0,0,0">
                    <w:txbxContent>
                      <w:p w:rsidR="005D6D1F" w:rsidRDefault="005D6D1F">
                        <w:r>
                          <w:rPr>
                            <w:rFonts w:ascii="Arial" w:hAnsi="Arial" w:cs="Arial"/>
                            <w:b/>
                            <w:bCs/>
                            <w:color w:val="000000"/>
                            <w:sz w:val="20"/>
                            <w:szCs w:val="20"/>
                            <w:lang w:val="en-US"/>
                          </w:rPr>
                          <w:t>TOTAL INVESTMENTS REVENUE</w:t>
                        </w:r>
                      </w:p>
                    </w:txbxContent>
                  </v:textbox>
                </v:rect>
                <v:rect id="Rectangle 55" o:spid="_x0000_s1116" style="position:absolute;left:36474;top:13036;width:4750;height:29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MJcYA&#10;AADcAAAADwAAAGRycy9kb3ducmV2LnhtbESPT2vCQBTE74V+h+UVeim68Q9Fo6sUQehBEGMPentk&#10;n9nY7NuQ3ZrUT+8KgsdhZn7DzJedrcSFGl86VjDoJyCIc6dLLhT87Ne9CQgfkDVWjknBP3lYLl5f&#10;5phq1/KOLlkoRISwT1GBCaFOpfS5IYu+72ri6J1cYzFE2RRSN9hGuK3kMEk+pcWS44LBmlaG8t/s&#10;zypYbw8l8VXuPqaT1p3z4TEzm1qp97fuawYiUBee4Uf7WysYjadwPxOP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g+MJcYAAADcAAAADwAAAAAAAAAAAAAAAACYAgAAZHJz&#10;L2Rvd25yZXYueG1sUEsFBgAAAAAEAAQA9QAAAIsDAAAAAA==&#10;" filled="f" stroked="f">
                  <v:textbox style="mso-fit-shape-to-text:t" inset="0,0,0,0">
                    <w:txbxContent>
                      <w:p w:rsidR="005D6D1F" w:rsidRDefault="005D6D1F">
                        <w:r>
                          <w:rPr>
                            <w:rFonts w:ascii="Arial" w:hAnsi="Arial" w:cs="Arial"/>
                            <w:b/>
                            <w:bCs/>
                            <w:color w:val="000000"/>
                            <w:sz w:val="20"/>
                            <w:szCs w:val="20"/>
                            <w:lang w:val="en-US"/>
                          </w:rPr>
                          <w:t>25,946</w:t>
                        </w:r>
                      </w:p>
                    </w:txbxContent>
                  </v:textbox>
                </v:rect>
                <v:rect id="Rectangle 56" o:spid="_x0000_s1117" style="position:absolute;left:34372;top:13036;width:356;height:311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z+Er8A&#10;AADcAAAADwAAAGRycy9kb3ducmV2LnhtbERPy4rCMBTdC/MP4Q7MTtNRFKlGkQFBBze2fsCluX1g&#10;clOSaOvfTxYDLg/nvd2P1ogn+dA5VvA9y0AQV0533Ci4lcfpGkSIyBqNY1LwogD73cdki7l2A1/p&#10;WcRGpBAOOSpoY+xzKUPVksUwcz1x4mrnLcYEfSO1xyGFWyPnWbaSFjtODS329NNSdS8eVoEsi+Ow&#10;LozP3O+8vpjz6VqTU+rrczxsQEQa41v87z5pBYtlmp/OpCMgd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WbP4SvwAAANwAAAAPAAAAAAAAAAAAAAAAAJgCAABkcnMvZG93bnJl&#10;di54bWxQSwUGAAAAAAQABAD1AAAAhAMAAAAA&#10;" filled="f" stroked="f">
                  <v:textbox style="mso-fit-shape-to-text:t" inset="0,0,0,0">
                    <w:txbxContent>
                      <w:p w:rsidR="005D6D1F" w:rsidRDefault="005D6D1F">
                        <w:r>
                          <w:rPr>
                            <w:rFonts w:ascii="Arial" w:hAnsi="Arial" w:cs="Arial"/>
                            <w:b/>
                            <w:bCs/>
                            <w:color w:val="000000"/>
                            <w:sz w:val="20"/>
                            <w:szCs w:val="20"/>
                            <w:lang w:val="en-US"/>
                          </w:rPr>
                          <w:t xml:space="preserve">     </w:t>
                        </w:r>
                      </w:p>
                    </w:txbxContent>
                  </v:textbox>
                </v:rect>
                <v:rect id="Rectangle 57" o:spid="_x0000_s1118" style="position:absolute;left:36201;top:13036;width:355;height:311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BbicIA&#10;AADcAAAADwAAAGRycy9kb3ducmV2LnhtbESPzYoCMRCE74LvEFrwphkVFxmNIoLgLl4cfYBm0vOD&#10;SWdIojP79puFhT0WVfUVtTsM1og3+dA6VrCYZyCIS6dbrhU87ufZBkSIyBqNY1LwTQEO+/Foh7l2&#10;Pd/oXcRaJAiHHBU0MXa5lKFsyGKYu444eZXzFmOSvpbaY5/g1shlln1Iiy2nhQY7OjVUPouXVSDv&#10;xbnfFMZn7mtZXc3n5VaRU2o6GY5bEJGG+B/+a1+0gtV6A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IFuJwgAAANwAAAAPAAAAAAAAAAAAAAAAAJgCAABkcnMvZG93&#10;bnJldi54bWxQSwUGAAAAAAQABAD1AAAAhwMAAAAA&#10;" filled="f" stroked="f">
                  <v:textbox style="mso-fit-shape-to-text:t" inset="0,0,0,0">
                    <w:txbxContent>
                      <w:p w:rsidR="005D6D1F" w:rsidRDefault="005D6D1F">
                        <w:r>
                          <w:rPr>
                            <w:rFonts w:ascii="Arial" w:hAnsi="Arial" w:cs="Arial"/>
                            <w:b/>
                            <w:bCs/>
                            <w:color w:val="000000"/>
                            <w:sz w:val="20"/>
                            <w:szCs w:val="20"/>
                            <w:lang w:val="en-US"/>
                          </w:rPr>
                          <w:t xml:space="preserve"> </w:t>
                        </w:r>
                      </w:p>
                    </w:txbxContent>
                  </v:textbox>
                </v:rect>
                <v:rect id="Rectangle 58" o:spid="_x0000_s1119" style="position:absolute;left:43326;top:13036;width:4756;height:29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8hECccA&#10;AADdAAAADwAAAGRycy9kb3ducmV2LnhtbESPQWvCQBCF7wX/wzKCl1I3Sis2uooUBA+FYuqhvQ3Z&#10;MRvNzobs1qT99Z1DobcZ3pv3vllvB9+oG3WxDmxgNs1AEZfB1lwZOL3vH5agYkK22AQmA98UYbsZ&#10;3a0xt6HnI92KVCkJ4ZijAZdSm2sdS0ce4zS0xKKdQ+cxydpV2nbYS7hv9DzLFtpjzdLgsKUXR+W1&#10;+PIG9m8fNfGPPt4/L/twKeefhXttjZmMh90KVKIh/Zv/rg9W8B+fhF++kRH05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IRAnHAAAA3QAAAA8AAAAAAAAAAAAAAAAAmAIAAGRy&#10;cy9kb3ducmV2LnhtbFBLBQYAAAAABAAEAPUAAACMAwAAAAA=&#10;" filled="f" stroked="f">
                  <v:textbox style="mso-fit-shape-to-text:t" inset="0,0,0,0">
                    <w:txbxContent>
                      <w:p w:rsidR="005D6D1F" w:rsidRDefault="005D6D1F">
                        <w:r>
                          <w:rPr>
                            <w:rFonts w:ascii="Arial" w:hAnsi="Arial" w:cs="Arial"/>
                            <w:b/>
                            <w:bCs/>
                            <w:color w:val="000000"/>
                            <w:sz w:val="20"/>
                            <w:szCs w:val="20"/>
                            <w:lang w:val="en-US"/>
                          </w:rPr>
                          <w:t>24,362</w:t>
                        </w:r>
                      </w:p>
                    </w:txbxContent>
                  </v:textbox>
                </v:rect>
                <v:rect id="Rectangle 59" o:spid="_x0000_s1120" style="position:absolute;left:41224;top:13036;width:355;height:311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cCKsAA&#10;AADdAAAADwAAAGRycy9kb3ducmV2LnhtbERP24rCMBB9F/yHMIJvmiquSNcoIgi6+GLdDxia6QWT&#10;SUmytvv3ZkHYtzmc62z3gzXiST60jhUs5hkI4tLplmsF3/fTbAMiRGSNxjEp+KUA+914tMVcu55v&#10;9CxiLVIIhxwVNDF2uZShbMhimLuOOHGV8xZjgr6W2mOfwq2RyyxbS4stp4YGOzo2VD6KH6tA3otT&#10;vymMz9zXsrqay/lWkVNqOhkOnyAiDfFf/HafdZq/+ljD3zfpB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lcCKsAAAADdAAAADwAAAAAAAAAAAAAAAACYAgAAZHJzL2Rvd25y&#10;ZXYueG1sUEsFBgAAAAAEAAQA9QAAAIUDAAAAAA==&#10;" filled="f" stroked="f">
                  <v:textbox style="mso-fit-shape-to-text:t" inset="0,0,0,0">
                    <w:txbxContent>
                      <w:p w:rsidR="005D6D1F" w:rsidRDefault="005D6D1F">
                        <w:r>
                          <w:rPr>
                            <w:rFonts w:ascii="Arial" w:hAnsi="Arial" w:cs="Arial"/>
                            <w:b/>
                            <w:bCs/>
                            <w:color w:val="000000"/>
                            <w:sz w:val="20"/>
                            <w:szCs w:val="20"/>
                            <w:lang w:val="en-US"/>
                          </w:rPr>
                          <w:t xml:space="preserve">     </w:t>
                        </w:r>
                      </w:p>
                    </w:txbxContent>
                  </v:textbox>
                </v:rect>
                <v:rect id="Rectangle 60" o:spid="_x0000_s1121" style="position:absolute;left:43053;top:13036;width:355;height:311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5fsMA&#10;AADdAAAADwAAAGRycy9kb3ducmV2LnhtbESP3WoCMRCF74W+Q5hC7zRbKSKrUaQg2NIbVx9g2Mz+&#10;YDJZktRd3965KPRuhnPmnG+2+8k7daeY+sAG3hcFKOI62J5bA9fLcb4GlTKyRReYDDwowX73Mtti&#10;acPIZ7pXuVUSwqlEA13OQ6l1qjvymBZhIBatCdFjljW22kYcJdw7vSyKlfbYszR0ONBnR/Wt+vUG&#10;9KU6juvKxSJ8L5sf93U6NxSMeXudDhtQmab8b/67PlnB/1gJrnwjI+jd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j5fsMAAADdAAAADwAAAAAAAAAAAAAAAACYAgAAZHJzL2Rv&#10;d25yZXYueG1sUEsFBgAAAAAEAAQA9QAAAIgDAAAAAA==&#10;" filled="f" stroked="f">
                  <v:textbox style="mso-fit-shape-to-text:t" inset="0,0,0,0">
                    <w:txbxContent>
                      <w:p w:rsidR="005D6D1F" w:rsidRDefault="005D6D1F">
                        <w:r>
                          <w:rPr>
                            <w:rFonts w:ascii="Arial" w:hAnsi="Arial" w:cs="Arial"/>
                            <w:b/>
                            <w:bCs/>
                            <w:color w:val="000000"/>
                            <w:sz w:val="20"/>
                            <w:szCs w:val="20"/>
                            <w:lang w:val="en-US"/>
                          </w:rPr>
                          <w:t xml:space="preserve"> </w:t>
                        </w:r>
                      </w:p>
                    </w:txbxContent>
                  </v:textbox>
                </v:rect>
                <v:rect id="Rectangle 61" o:spid="_x0000_s1122" style="position:absolute;left:50184;top:13036;width:4756;height:29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4nKcQA&#10;AADdAAAADwAAAGRycy9kb3ducmV2LnhtbERPTWvCQBC9F/oflin0IrqpiMToKqUgeCiI0UN7G7Jj&#10;NjY7G7Krif56VxB6m8f7nMWqt7W4UOsrxwo+RgkI4sLpiksFh/16mILwAVlj7ZgUXMnDavn6ssBM&#10;u453dMlDKWII+wwVmBCaTEpfGLLoR64hjtzRtRZDhG0pdYtdDLe1HCfJVFqsODYYbOjLUPGXn62C&#10;9fanIr7J3WCWdu5UjH9z890o9f7Wf85BBOrDv/jp3ug4fzKdweObeIJc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CeJynEAAAA3QAAAA8AAAAAAAAAAAAAAAAAmAIAAGRycy9k&#10;b3ducmV2LnhtbFBLBQYAAAAABAAEAPUAAACJAwAAAAA=&#10;" filled="f" stroked="f">
                  <v:textbox style="mso-fit-shape-to-text:t" inset="0,0,0,0">
                    <w:txbxContent>
                      <w:p w:rsidR="005D6D1F" w:rsidRDefault="005D6D1F">
                        <w:r>
                          <w:rPr>
                            <w:rFonts w:ascii="Arial" w:hAnsi="Arial" w:cs="Arial"/>
                            <w:b/>
                            <w:bCs/>
                            <w:color w:val="000000"/>
                            <w:sz w:val="20"/>
                            <w:szCs w:val="20"/>
                            <w:lang w:val="en-US"/>
                          </w:rPr>
                          <w:t>12,065</w:t>
                        </w:r>
                      </w:p>
                    </w:txbxContent>
                  </v:textbox>
                </v:rect>
                <v:rect id="Rectangle 62" o:spid="_x0000_s1123" style="position:absolute;left:48082;top:13036;width:355;height:311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djpcQA&#10;AADdAAAADwAAAGRycy9kb3ducmV2LnhtbESP3WoCMRCF74W+Q5hC72q2Ila2RpGCoMUb1z7AsJn9&#10;wWSyJKm7ffvORcG7Gc6Zc77Z7Cbv1J1i6gMbeJsXoIjrYHtuDXxfD69rUCkjW3SBycAvJdhtn2Yb&#10;LG0Y+UL3KrdKQjiVaKDLeSi1TnVHHtM8DMSiNSF6zLLGVtuIo4R7pxdFsdIee5aGDgf67Ki+VT/e&#10;gL5Wh3FduViEr0VzdqfjpaFgzMvztP8AlWnKD/P/9dEK/vJd+OUbGUF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HY6XEAAAA3QAAAA8AAAAAAAAAAAAAAAAAmAIAAGRycy9k&#10;b3ducmV2LnhtbFBLBQYAAAAABAAEAPUAAACJAwAAAAA=&#10;" filled="f" stroked="f">
                  <v:textbox style="mso-fit-shape-to-text:t" inset="0,0,0,0">
                    <w:txbxContent>
                      <w:p w:rsidR="005D6D1F" w:rsidRDefault="005D6D1F">
                        <w:r>
                          <w:rPr>
                            <w:rFonts w:ascii="Arial" w:hAnsi="Arial" w:cs="Arial"/>
                            <w:b/>
                            <w:bCs/>
                            <w:color w:val="000000"/>
                            <w:sz w:val="20"/>
                            <w:szCs w:val="20"/>
                            <w:lang w:val="en-US"/>
                          </w:rPr>
                          <w:t xml:space="preserve">     </w:t>
                        </w:r>
                      </w:p>
                    </w:txbxContent>
                  </v:textbox>
                </v:rect>
                <v:rect id="Rectangle 63" o:spid="_x0000_s1124" style="position:absolute;left:49911;top:13036;width:355;height:311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vGPsAA&#10;AADdAAAADwAAAGRycy9kb3ducmV2LnhtbERP24rCMBB9F/yHMIJvmiriSjWKCIK7+GL1A4ZmesFk&#10;UpJou3+/WVjYtzmc6+wOgzXiTT60jhUs5hkI4tLplmsFj/t5tgERIrJG45gUfFOAw3482mGuXc83&#10;ehexFimEQ44Kmhi7XMpQNmQxzF1HnLjKeYsxQV9L7bFP4dbIZZatpcWWU0ODHZ0aKp/FyyqQ9+Lc&#10;bwrjM/e1rK7m83KryCk1nQzHLYhIQ/wX/7kvOs1ffSzg95t0gt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gvGPsAAAADdAAAADwAAAAAAAAAAAAAAAACYAgAAZHJzL2Rvd25y&#10;ZXYueG1sUEsFBgAAAAAEAAQA9QAAAIUDAAAAAA==&#10;" filled="f" stroked="f">
                  <v:textbox style="mso-fit-shape-to-text:t" inset="0,0,0,0">
                    <w:txbxContent>
                      <w:p w:rsidR="005D6D1F" w:rsidRDefault="005D6D1F">
                        <w:r>
                          <w:rPr>
                            <w:rFonts w:ascii="Arial" w:hAnsi="Arial" w:cs="Arial"/>
                            <w:b/>
                            <w:bCs/>
                            <w:color w:val="000000"/>
                            <w:sz w:val="20"/>
                            <w:szCs w:val="20"/>
                            <w:lang w:val="en-US"/>
                          </w:rPr>
                          <w:t xml:space="preserve"> </w:t>
                        </w:r>
                      </w:p>
                    </w:txbxContent>
                  </v:textbox>
                </v:rect>
                <v:rect id="Rectangle 64" o:spid="_x0000_s1125" style="position:absolute;left:57042;top:13036;width:4201;height:29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zHMsYA&#10;AADdAAAADwAAAGRycy9kb3ducmV2LnhtbESPQW/CMAyF75P4D5GRuI0UDqgUAkJjExwZIMFuVuO1&#10;1RqnagIt/Pr5MGk3W+/5vc/Lde9qdac2VJ4NTMYJKOLc24oLA+fTx2sKKkRki7VnMvCgAOvV4GWJ&#10;mfUdf9L9GAslIRwyNFDG2GRah7wkh2HsG2LRvn3rMMraFtq22Em4q/U0SWbaYcXSUGJDbyXlP8eb&#10;M7BLm811759dUb9/7S6Hy3x7mkdjRsN+swAVqY//5r/rvRX8aSr88o2Mo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bzHMsYAAADdAAAADwAAAAAAAAAAAAAAAACYAgAAZHJz&#10;L2Rvd25yZXYueG1sUEsFBgAAAAAEAAQA9QAAAIsDAAAAAA==&#10;" filled="f" stroked="f">
                  <v:textbox inset="0,0,0,0">
                    <w:txbxContent>
                      <w:p w:rsidR="005D6D1F" w:rsidRDefault="005D6D1F">
                        <w:r>
                          <w:rPr>
                            <w:rFonts w:ascii="Arial" w:hAnsi="Arial" w:cs="Arial"/>
                            <w:b/>
                            <w:bCs/>
                            <w:color w:val="000000"/>
                            <w:sz w:val="20"/>
                            <w:szCs w:val="20"/>
                            <w:lang w:val="en-US"/>
                          </w:rPr>
                          <w:t>11,752</w:t>
                        </w:r>
                      </w:p>
                    </w:txbxContent>
                  </v:textbox>
                </v:rect>
                <v:rect id="Rectangle 65" o:spid="_x0000_s1126" style="position:absolute;left:54940;top:13036;width:355;height:311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V04cAA&#10;AADdAAAADwAAAGRycy9kb3ducmV2LnhtbERPzYrCMBC+C/sOYRa8aWoPUrpGWRYEFS/WfYChmf6w&#10;yaQk0da3N4Kwt/n4fmezm6wRd/Khd6xgtcxAENdO99wq+L3uFwWIEJE1Gsek4EEBdtuP2QZL7Ua+&#10;0L2KrUghHEpU0MU4lFKGuiOLYekG4sQ1zluMCfpWao9jCrdG5lm2lhZ7Tg0dDvTTUf1X3awCea32&#10;Y1EZn7lT3pzN8XBpyCk1/5y+v0BEmuK/+O0+6DQ/L1bw+iadIL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ZV04cAAAADdAAAADwAAAAAAAAAAAAAAAACYAgAAZHJzL2Rvd25y&#10;ZXYueG1sUEsFBgAAAAAEAAQA9QAAAIUDAAAAAA==&#10;" filled="f" stroked="f">
                  <v:textbox style="mso-fit-shape-to-text:t" inset="0,0,0,0">
                    <w:txbxContent>
                      <w:p w:rsidR="005D6D1F" w:rsidRDefault="005D6D1F">
                        <w:r>
                          <w:rPr>
                            <w:rFonts w:ascii="Arial" w:hAnsi="Arial" w:cs="Arial"/>
                            <w:b/>
                            <w:bCs/>
                            <w:color w:val="000000"/>
                            <w:sz w:val="20"/>
                            <w:szCs w:val="20"/>
                            <w:lang w:val="en-US"/>
                          </w:rPr>
                          <w:t xml:space="preserve">     </w:t>
                        </w:r>
                      </w:p>
                    </w:txbxContent>
                  </v:textbox>
                </v:rect>
                <v:rect id="Rectangle 66" o:spid="_x0000_s1127" style="position:absolute;left:56769;top:13036;width:355;height:311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fqlsAA&#10;AADdAAAADwAAAGRycy9kb3ducmV2LnhtbERPzYrCMBC+L/gOYQRva7o9SKlGkQVBFy/WfYChmf5g&#10;MilJtN23N4Kwt/n4fmezm6wRD/Khd6zga5mBIK6d7rlV8Hs9fBYgQkTWaByTgj8KsNvOPjZYajfy&#10;hR5VbEUK4VCigi7GoZQy1B1ZDEs3ECeucd5iTNC3UnscU7g1Ms+ylbTYc2rocKDvjupbdbcK5LU6&#10;jEVlfOZ+8uZsTsdLQ06pxXzar0FEmuK/+O0+6jQ/L3J4fZNOkN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UfqlsAAAADdAAAADwAAAAAAAAAAAAAAAACYAgAAZHJzL2Rvd25y&#10;ZXYueG1sUEsFBgAAAAAEAAQA9QAAAIUDAAAAAA==&#10;" filled="f" stroked="f">
                  <v:textbox style="mso-fit-shape-to-text:t" inset="0,0,0,0">
                    <w:txbxContent>
                      <w:p w:rsidR="005D6D1F" w:rsidRDefault="005D6D1F">
                        <w:r>
                          <w:rPr>
                            <w:rFonts w:ascii="Arial" w:hAnsi="Arial" w:cs="Arial"/>
                            <w:b/>
                            <w:bCs/>
                            <w:color w:val="000000"/>
                            <w:sz w:val="20"/>
                            <w:szCs w:val="20"/>
                            <w:lang w:val="en-US"/>
                          </w:rPr>
                          <w:t xml:space="preserve"> </w:t>
                        </w:r>
                      </w:p>
                    </w:txbxContent>
                  </v:textbox>
                </v:rect>
                <v:rect id="Rectangle 67" o:spid="_x0000_s1128" style="position:absolute;left:38487;top:95;width:4661;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tPDcEA&#10;AADdAAAADwAAAGRycy9kb3ducmV2LnhtbERP3WrCMBS+F3yHcITd2XQdSKlGGQNBx26sPsChOf1h&#10;yUlJou3efhkMvDsf3+/ZHWZrxIN8GBwreM1yEMSN0wN3Cm7X47oEESKyRuOYFPxQgMN+udhhpd3E&#10;F3rUsRMphEOFCvoYx0rK0PRkMWRuJE5c67zFmKDvpPY4pXBrZJHnG2lx4NTQ40gfPTXf9d0qkNf6&#10;OJW18bn7LNovcz5dWnJKvazm9y2ISHN8iv/dJ53mF+Ub/H2TTpD7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ILTw3BAAAA3QAAAA8AAAAAAAAAAAAAAAAAmAIAAGRycy9kb3du&#10;cmV2LnhtbFBLBQYAAAAABAAEAPUAAACGAwAAAAA=&#10;" filled="f" stroked="f">
                  <v:textbox style="mso-fit-shape-to-text:t" inset="0,0,0,0">
                    <w:txbxContent>
                      <w:p w:rsidR="005D6D1F" w:rsidRDefault="005D6D1F">
                        <w:r>
                          <w:rPr>
                            <w:rFonts w:ascii="Arial" w:hAnsi="Arial" w:cs="Arial"/>
                            <w:b/>
                            <w:bCs/>
                            <w:color w:val="000000"/>
                            <w:sz w:val="20"/>
                            <w:szCs w:val="20"/>
                            <w:lang w:val="en-US"/>
                          </w:rPr>
                          <w:t>Council</w:t>
                        </w:r>
                      </w:p>
                    </w:txbxContent>
                  </v:textbox>
                </v:rect>
                <v:rect id="Rectangle 68" o:spid="_x0000_s1129" style="position:absolute;left:52558;top:95;width:3810;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LXecEA&#10;AADdAAAADwAAAGRycy9kb3ducmV2LnhtbERP3WrCMBS+F3yHcITd2XRlSKlGGQNBx26sPsChOf1h&#10;yUlJou3efhkMvDsf3+/ZHWZrxIN8GBwreM1yEMSN0wN3Cm7X47oEESKyRuOYFPxQgMN+udhhpd3E&#10;F3rUsRMphEOFCvoYx0rK0PRkMWRuJE5c67zFmKDvpPY4pXBrZJHnG2lx4NTQ40gfPTXf9d0qkNf6&#10;OJW18bn7LNovcz5dWnJKvazm9y2ISHN8iv/dJ53mF+Ub/H2TTpD7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3i13nBAAAA3QAAAA8AAAAAAAAAAAAAAAAAmAIAAGRycy9kb3du&#10;cmV2LnhtbFBLBQYAAAAABAAEAPUAAACGAwAAAAA=&#10;" filled="f" stroked="f">
                  <v:textbox style="mso-fit-shape-to-text:t" inset="0,0,0,0">
                    <w:txbxContent>
                      <w:p w:rsidR="005D6D1F" w:rsidRDefault="005D6D1F">
                        <w:r>
                          <w:rPr>
                            <w:rFonts w:ascii="Arial" w:hAnsi="Arial" w:cs="Arial"/>
                            <w:b/>
                            <w:bCs/>
                            <w:color w:val="000000"/>
                            <w:sz w:val="20"/>
                            <w:szCs w:val="20"/>
                            <w:lang w:val="en-US"/>
                          </w:rPr>
                          <w:t>Group</w:t>
                        </w:r>
                      </w:p>
                    </w:txbxContent>
                  </v:textbox>
                </v:rect>
                <v:rect id="Rectangle 69" o:spid="_x0000_s1130" style="position:absolute;width:88;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sZgsMA&#10;AADdAAAADwAAAGRycy9kb3ducmV2LnhtbERP32vCMBB+H/g/hBP2NlN9UOmayjaYDISBbsoej+Zs&#10;gs2lNFHb/94MBN/u4/t5xap3jbhQF6xnBdNJBoK48tpyreD35/NlCSJEZI2NZ1IwUIBVOXoqMNf+&#10;ylu67GItUgiHHBWYGNtcylAZchgmviVO3NF3DmOCXS11h9cU7ho5y7K5dGg5NRhs6cNQddqdnYLN&#10;cLD7uZ7i/u/wPZjF+t26bKvU87h/ewURqY8P8d39pdP82XIB/9+kE2R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QsZgsMAAADdAAAADwAAAAAAAAAAAAAAAACYAgAAZHJzL2Rv&#10;d25yZXYueG1sUEsFBgAAAAAEAAQA9QAAAIgDAAAAAA==&#10;" fillcolor="#dadcdd" stroked="f"/>
                <v:rect id="Rectangle 70" o:spid="_x0000_s1131" style="position:absolute;left:33731;width:89;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SN8MYA&#10;AADdAAAADwAAAGRycy9kb3ducmV2LnhtbESPQWsCMRCF70L/Q5hCb5rVg5XVKG2hpVAoaKt4HDbj&#10;JriZLJtUd/995yB4m+G9ee+b1aYPjbpQl3xkA9NJAYq4itZzbeD35328AJUyssUmMhkYKMFm/TBa&#10;YWnjlbd02eVaSQinEg24nNtS61Q5CpgmsSUW7RS7gFnWrta2w6uEh0bPimKuA3qWBoctvTmqzru/&#10;YOBrOPj93E5xfzx8D+7549WHYmvM02P/sgSVqc938+360wr+bCG48o2Mo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JSN8MYAAADdAAAADwAAAAAAAAAAAAAAAACYAgAAZHJz&#10;L2Rvd25yZXYueG1sUEsFBgAAAAAEAAQA9QAAAIsDAAAAAA==&#10;" fillcolor="#dadcdd" stroked="f"/>
                <v:rect id="Rectangle 71" o:spid="_x0000_s1132" style="position:absolute;left:47440;width:96;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oa8MA&#10;AADdAAAADwAAAGRycy9kb3ducmV2LnhtbERPTWsCMRC9F/ofwgjealYP1m6NYgWLUBDUKj0Om3ET&#10;3EyWTaq7/94Igrd5vM+ZzltXiQs1wXpWMBxkIIgLry2XCn73q7cJiBCRNVaeSUFHAeaz15cp5tpf&#10;eUuXXSxFCuGQowITY51LGQpDDsPA18SJO/nGYUywKaVu8JrCXSVHWTaWDi2nBoM1LQ0V592/U/DT&#10;He1hrId4+DtuOvP+/WVdtlWq32sXnyAitfEpfrjXOs0fTT7g/k06Qc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goa8MAAADdAAAADwAAAAAAAAAAAAAAAACYAgAAZHJzL2Rv&#10;d25yZXYueG1sUEsFBgAAAAAEAAQA9QAAAIgDAAAAAA==&#10;" fillcolor="#dadcdd" stroked="f"/>
                <v:line id="Line 72" o:spid="_x0000_s1133" style="position:absolute;visibility:visible;mso-wrap-style:square" from="88,0" to="6124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zUhJcYAAADdAAAADwAAAGRycy9kb3ducmV2LnhtbESPQWvCQBCF7wX/wzJCb3WjUBujq4hY&#10;bG+tVfA4ZMdkMTsbsltN/33nIHib4b1575vFqveNulIXXWAD41EGirgM1nFl4PDz/pKDignZYhOY&#10;DPxRhNVy8LTAwoYbf9N1nyolIRwLNFCn1BZax7Imj3EUWmLRzqHzmGTtKm07vEm4b/Qky6bao2Np&#10;qLGlTU3lZf/rDbiv6e718+04O+rtLo1P+SV3/mDM87Bfz0El6tPDfL/+sII/mQm/fCMj6O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s1ISXGAAAA3QAAAA8AAAAAAAAA&#10;AAAAAAAAoQIAAGRycy9kb3ducmV2LnhtbFBLBQYAAAAABAAEAPkAAACUAwAAAAA=&#10;" strokeweight="0"/>
                <v:rect id="Rectangle 73" o:spid="_x0000_s1134" style="position:absolute;left:88;width:61157;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gjFMUA&#10;AADdAAAADwAAAGRycy9kb3ducmV2LnhtbERPS2sCMRC+C/6HMEJvmnWpRVejVEHoRaiPg97Gzbi7&#10;uJlsk1S3/fVNQfA2H99zZovW1OJGzleWFQwHCQji3OqKCwWH/bo/BuEDssbaMin4IQ+Lebczw0zb&#10;O2/ptguFiCHsM1RQhtBkUvq8JIN+YBviyF2sMxgidIXUDu8x3NQyTZI3abDi2FBiQ6uS8uvu2yhY&#10;TsbLr89X3vxuzyc6Hc/XUeoSpV567fsURKA2PMUP94eO89PJEP6/iSf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GCMUxQAAAN0AAAAPAAAAAAAAAAAAAAAAAJgCAABkcnMv&#10;ZG93bnJldi54bWxQSwUGAAAAAAQABAD1AAAAigMAAAAA&#10;" fillcolor="black" stroked="f"/>
                <v:rect id="Rectangle 74" o:spid="_x0000_s1135" style="position:absolute;left:61156;width:89;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Usx8MA&#10;AADdAAAADwAAAGRycy9kb3ducmV2LnhtbERPS2sCMRC+C/0PYQq9adY9+NgapQqWQqGgVulx2Ew3&#10;oZvJsom6++9NQfA2H99zFqvO1eJCbbCeFYxHGQji0mvLlYLvw3Y4AxEissbaMynoKcBq+TRYYKH9&#10;lXd02cdKpBAOBSowMTaFlKE05DCMfEOcuF/fOowJtpXULV5TuKtlnmUT6dByajDY0MZQ+bc/OwWf&#10;/ckeJ3qMx5/TV2+m72vrsp1SL8/d2yuISF18iO/uD53m5/Mc/r9JJ8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KUsx8MAAADdAAAADwAAAAAAAAAAAAAAAACYAgAAZHJzL2Rv&#10;d25yZXYueG1sUEsFBgAAAAAEAAQA9QAAAIgDAAAAAA==&#10;" fillcolor="#dadcdd" stroked="f"/>
                <v:line id="Line 75" o:spid="_x0000_s1136" style="position:absolute;visibility:visible;mso-wrap-style:square" from="88,1619" to="33731,1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9eJ38QAAADdAAAADwAAAGRycy9kb3ducmV2LnhtbERPTWvCQBC9F/wPywheRDdGKDG6SkkR&#10;evBQ04rXMTtNYrOzIbvV+O+7guBtHu9zVpveNOJCnastK5hNIxDEhdU1lwq+v7aTBITzyBoby6Tg&#10;Rg4268HLClNtr7ynS+5LEULYpaig8r5NpXRFRQbd1LbEgfuxnUEfYFdK3eE1hJtGxlH0Kg3WHBoq&#10;bCmrqPjN/4yC8TEZz/GQn7NZGWd0/tyd3vdOqdGwf1uC8NT7p/jh/tBhfryYw/2bcIJc/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14nfxAAAAN0AAAAPAAAAAAAAAAAA&#10;AAAAAKECAABkcnMvZG93bnJldi54bWxQSwUGAAAAAAQABAD5AAAAkgMAAAAA&#10;" strokecolor="#dadcdd" strokeweight="0"/>
                <v:rect id="Rectangle 76" o:spid="_x0000_s1137" style="position:absolute;left:88;top:1619;width:33643;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ARKMMA&#10;AADdAAAADwAAAGRycy9kb3ducmV2LnhtbERP22oCMRB9L/gPYQq+1axSvGyNokJLoVDwio/DZroJ&#10;3UyWTdTdv28Kgm9zONeZL1tXiSs1wXpWMBxkIIgLry2XCg7795cpiBCRNVaeSUFHAZaL3tMcc+1v&#10;vKXrLpYihXDIUYGJsc6lDIUhh2Hga+LE/fjGYUywKaVu8JbCXSVHWTaWDi2nBoM1bQwVv7uLU/DV&#10;nexxrId4PJ++OzP5WFuXbZXqP7erNxCR2vgQ392fOs0fzV7h/5t0gl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AARKMMAAADdAAAADwAAAAAAAAAAAAAAAACYAgAAZHJzL2Rv&#10;d25yZXYueG1sUEsFBgAAAAAEAAQA9QAAAIgDAAAAAA==&#10;" fillcolor="#dadcdd" stroked="f"/>
                <v:rect id="Rectangle 77" o:spid="_x0000_s1138" style="position:absolute;left:40589;width:89;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0s8MA&#10;AADdAAAADwAAAGRycy9kb3ducmV2LnhtbERP22oCMRB9L/gPYQq+1axCvWyNokJLoVDwio/DZroJ&#10;3UyWTdTdv28Kgm9zONeZL1tXiSs1wXpWMBxkIIgLry2XCg7795cpiBCRNVaeSUFHAZaL3tMcc+1v&#10;vKXrLpYihXDIUYGJsc6lDIUhh2Hga+LE/fjGYUywKaVu8JbCXSVHWTaWDi2nBoM1bQwVv7uLU/DV&#10;nexxrId4PJ++OzP5WFuXbZXqP7erNxCR2vgQ392fOs0fzV7h/5t0gl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y0s8MAAADdAAAADwAAAAAAAAAAAAAAAACYAgAAZHJzL2Rv&#10;d25yZXYueG1sUEsFBgAAAAAEAAQA9QAAAIgDAAAAAA==&#10;" fillcolor="#dadcdd" stroked="f"/>
                <v:line id="Line 78" o:spid="_x0000_s1139" style="position:absolute;visibility:visible;mso-wrap-style:square" from="33820,1619" to="47440,1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6AqR8QAAADdAAAADwAAAGRycy9kb3ducmV2LnhtbERPS2vCQBC+F/oflin0InVjCmJTNyKR&#10;goceNFp6nWbHPMzOhuyq8d+7BcHbfHzPmS8G04oz9a62rGAyjkAQF1bXXCrY777eZiCcR9bYWiYF&#10;V3KwSJ+f5phoe+EtnXNfihDCLkEFlfddIqUrKjLoxrYjDtzB9gZ9gH0pdY+XEG5aGUfRVBqsOTRU&#10;2FFWUXHMT0bB6Hc2esefvMkmZZxRs/n+W22dUq8vw/IThKfBP8R391qH+fHHFP6/CSfI9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oCpHxAAAAN0AAAAPAAAAAAAAAAAA&#10;AAAAAKECAABkcnMvZG93bnJldi54bWxQSwUGAAAAAAQABAD5AAAAkgMAAAAA&#10;" strokecolor="#dadcdd" strokeweight="0"/>
                <v:rect id="Rectangle 79" o:spid="_x0000_s1140" style="position:absolute;left:33820;top:1619;width:13620;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KPX8MA&#10;AADdAAAADwAAAGRycy9kb3ducmV2LnhtbERPTWsCMRC9C/6HMII3zepB261RtNAiFAS1So/DZtwE&#10;N5Nlk+ruv2+Egrd5vM9ZrFpXiRs1wXpWMBlnIIgLry2XCr6PH6MXECEia6w8k4KOAqyW/d4Cc+3v&#10;vKfbIZYihXDIUYGJsc6lDIUhh2Hsa+LEXXzjMCbYlFI3eE/hrpLTLJtJh5ZTg8Ga3g0V18OvU/DV&#10;ne1ppid4+jnvOjP/3FiX7ZUaDtr1G4hIbXyK/91bneZPX+fw+Cad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NKPX8MAAADdAAAADwAAAAAAAAAAAAAAAACYAgAAZHJzL2Rv&#10;d25yZXYueG1sUEsFBgAAAAAEAAQA9QAAAIgDAAAAAA==&#10;" fillcolor="#dadcdd" stroked="f"/>
                <v:rect id="Rectangle 80" o:spid="_x0000_s1141" style="position:absolute;left:54298;width:89;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0bLcYA&#10;AADdAAAADwAAAGRycy9kb3ducmV2LnhtbESPT2vDMAzF74N9B6PBbqvTHro1rVu2QcdgMOhfehSx&#10;GpvFcojdNvn202Gwm8R7eu+nxaoPjbpSl3xkA+NRAYq4itZzbWC/Wz+9gEoZ2WITmQwMlGC1vL9b&#10;YGnjjTd03eZaSQinEg24nNtS61Q5CphGsSUW7Ry7gFnWrta2w5uEh0ZPimKqA3qWBoctvTuqfraX&#10;YOBrOPrD1I7xcDp+D+75482HYmPM40P/OgeVqc//5r/rTyv4k5ngyjcygl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U0bLcYAAADdAAAADwAAAAAAAAAAAAAAAACYAgAAZHJz&#10;L2Rvd25yZXYueG1sUEsFBgAAAAAEAAQA9QAAAIsDAAAAAA==&#10;" fillcolor="#dadcdd" stroked="f"/>
                <v:line id="Line 81" o:spid="_x0000_s1142" style="position:absolute;visibility:visible;mso-wrap-style:square" from="47536,1619" to="61156,1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j++NcQAAADdAAAADwAAAGRycy9kb3ducmV2LnhtbERPTWvCQBC9C/6HZYReRDdGEI2uIimF&#10;HnrQtOJ1zI5JNDsbsluN/94tFLzN433OatOZWtyodZVlBZNxBII4t7riQsHP98doDsJ5ZI21ZVLw&#10;IAebdb+3wkTbO+/plvlChBB2CSoovW8SKV1ekkE3tg1x4M62NegDbAupW7yHcFPLOIpm0mDFoaHE&#10;htKS8mv2axQMj/PhFA/ZJZ0UcUqX3dfpfe+Ueht02yUIT51/if/dnzrMjxcL+PsmnCDX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P741xAAAAN0AAAAPAAAAAAAAAAAA&#10;AAAAAKECAABkcnMvZG93bnJldi54bWxQSwUGAAAAAAQABAD5AAAAkgMAAAAA&#10;" strokecolor="#dadcdd" strokeweight="0"/>
                <v:rect id="Rectangle 82" o:spid="_x0000_s1143" style="position:absolute;left:47536;top:1619;width:13620;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CNMcYA&#10;AADdAAAADwAAAGRycy9kb3ducmV2LnhtbESPQUsDMRCF70L/Q5iCN5tUocratLSCIghCW1s8Dptx&#10;E9xMlk1sd/+9cxC8zfDevPfNcj3EVp2pzyGxhfnMgCKukwvcWPg4PN88gMoF2WGbmCyMlGG9mlwt&#10;sXLpwjs670ujJIRzhRZ8KV2lda49Rcyz1BGL9pX6iEXWvtGux4uEx1bfGrPQEQNLg8eOnjzV3/uf&#10;aOFtPIXjws3x+Hl6H/39yzZEs7P2ejpsHkEVGsq/+e/61Qn+nRF++UZG0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dCNMcYAAADdAAAADwAAAAAAAAAAAAAAAACYAgAAZHJz&#10;L2Rvd25yZXYueG1sUEsFBgAAAAAEAAQA9QAAAIsDAAAAAA==&#10;" fillcolor="#dadcdd" stroked="f"/>
                <v:line id="Line 83" o:spid="_x0000_s1144" style="position:absolute;visibility:visible;mso-wrap-style:square" from="88,3232" to="33731,32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IoKcMAAADdAAAADwAAAGRycy9kb3ducmV2LnhtbERPTYvCMBC9C/sfwix4EU2rIFKNsnRZ&#10;8OBBq8tex2Zs6zaT0kSt/94Igrd5vM9ZrDpTiyu1rrKsIB5FIIhzqysuFBz2P8MZCOeRNdaWScGd&#10;HKyWH70FJtreeEfXzBcihLBLUEHpfZNI6fKSDLqRbYgDd7KtQR9gW0jd4i2Em1qOo2gqDVYcGkps&#10;KC0p/88uRsHgbzaY4G92TuNinNJ5uzl+75xS/c/uaw7CU+ff4pd7rcP8SRTD85twglw+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6iKCnDAAAA3QAAAA8AAAAAAAAAAAAA&#10;AAAAoQIAAGRycy9kb3ducmV2LnhtbFBLBQYAAAAABAAEAPkAAACRAwAAAAA=&#10;" strokecolor="#dadcdd" strokeweight="0"/>
                <v:rect id="Rectangle 84" o:spid="_x0000_s1145" style="position:absolute;left:88;top:3232;width:33643;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623cMA&#10;AADdAAAADwAAAGRycy9kb3ducmV2LnhtbERPTWsCMRC9F/ofwhR6q4kKtqxGqUKlIAjaKj0Om3ET&#10;upksm1R3/70RCt7m8T5ntuh8Lc7URhdYw3CgQBCXwTiuNHx/fby8gYgJ2WAdmDT0FGExf3yYYWHC&#10;hXd03qdK5BCOBWqwKTWFlLG05DEOQkOcuVNoPaYM20qaFi853NdypNREenScGyw2tLJU/u7/vIZN&#10;f3SHiRni4ee47e3reum82mn9/NS9T0Ek6tJd/O/+NHn+WI3g9k0+Qc6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k623cMAAADdAAAADwAAAAAAAAAAAAAAAACYAgAAZHJzL2Rv&#10;d25yZXYueG1sUEsFBgAAAAAEAAQA9QAAAIgDAAAAAA==&#10;" fillcolor="#dadcdd" stroked="f"/>
                <v:line id="Line 85" o:spid="_x0000_s1146" style="position:absolute;visibility:visible;mso-wrap-style:square" from="33820,3232" to="47440,32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TwTxcQAAADdAAAADwAAAGRycy9kb3ducmV2LnhtbERPS2vCQBC+F/wPywi9iG4eUCR1FUkp&#10;9NBDTStex+w0iWZnQ3abpP/eFQq9zcf3nM1uMq0YqHeNZQXxKgJBXFrdcKXg6/N1uQbhPLLG1jIp&#10;+CUHu+3sYYOZtiMfaCh8JUIIuwwV1N53mZSurMmgW9mOOHDftjfoA+wrqXscQ7hpZRJFT9Jgw6Gh&#10;xo7ymspr8WMULE7rRYrH4pLHVZLT5eP9/HJwSj3Op/0zCE+T/xf/ud90mJ9GKdy/CSfI7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PBPFxAAAAN0AAAAPAAAAAAAAAAAA&#10;AAAAAKECAABkcnMvZG93bnJldi54bWxQSwUGAAAAAAQABAD5AAAAkgMAAAAA&#10;" strokecolor="#dadcdd" strokeweight="0"/>
                <v:rect id="Rectangle 86" o:spid="_x0000_s1147" style="position:absolute;left:33820;top:3232;width:13620;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uLMsMA&#10;AADdAAAADwAAAGRycy9kb3ducmV2LnhtbERPTWsCMRC9F/wPYYTeamIttqxG0YIiFAraKh6HzXQT&#10;upksm1R3/31TKHibx/uc+bLztbhQG11gDeORAkFcBuO40vD5sXl4ARETssE6MGnoKcJyMbibY2HC&#10;lfd0OaRK5BCOBWqwKTWFlLG05DGOQkOcua/QekwZtpU0LV5zuK/lo1JT6dFxbrDY0Kul8vvw4zW8&#10;9Sd3nJoxHs+n994+b9fOq73W98NuNQORqEs38b97Z/L8iXqCv2/yCXL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uuLMsMAAADdAAAADwAAAAAAAAAAAAAAAACYAgAAZHJzL2Rv&#10;d25yZXYueG1sUEsFBgAAAAAEAAQA9QAAAIgDAAAAAA==&#10;" fillcolor="#dadcdd" stroked="f"/>
                <v:line id="Line 87" o:spid="_x0000_s1148" style="position:absolute;visibility:visible;mso-wrap-style:square" from="47536,3232" to="61156,32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kuKsMAAADdAAAADwAAAGRycy9kb3ducmV2LnhtbERPTYvCMBC9L/gfwgheRFOVXaQaRSqC&#10;hz1oV/E6NrNt3WZSmqjdf28Ewds83ufMl62pxI0aV1pWMBpGIIgzq0vOFRx+NoMpCOeRNVaWScE/&#10;OVguOh9zjLW9855uqc9FCGEXo4LC+zqW0mUFGXRDWxMH7tc2Bn2ATS51g/cQbio5jqIvabDk0FBg&#10;TUlB2V96NQr6p2l/gsf0kozycUKX3fd5vXdK9brtagbCU+vf4pd7q8P8SfQJz2/CCXL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GZLirDAAAA3QAAAA8AAAAAAAAAAAAA&#10;AAAAoQIAAGRycy9kb3ducmV2LnhtbFBLBQYAAAAABAAEAPkAAACRAwAAAAA=&#10;" strokecolor="#dadcdd" strokeweight="0"/>
                <v:rect id="Rectangle 88" o:spid="_x0000_s1149" style="position:absolute;left:47536;top:3232;width:13620;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Ww3sMA&#10;AADdAAAADwAAAGRycy9kb3ducmV2LnhtbERP30vDMBB+H/g/hBN825JN6KQuGzpQBEHYtMPHo7k1&#10;Yc2lNHFr/3sjDHy7j+/nrTaDb8WZ+ugCa5jPFAjiOhjHjYavz5fpA4iYkA22gUnDSBE265vJCksT&#10;Lryj8z41IodwLFGDTakrpYy1JY9xFjrizB1D7zFl2DfS9HjJ4b6VC6UK6dFxbrDY0dZSfdr/eA3v&#10;48FVhZlj9X34GO3y9dl5tdP67nZ4egSRaEj/4qv7zeT596qAv2/yC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XWw3sMAAADdAAAADwAAAAAAAAAAAAAAAACYAgAAZHJzL2Rv&#10;d25yZXYueG1sUEsFBgAAAAAEAAQA9QAAAIgDAAAAAA==&#10;" fillcolor="#dadcdd" stroked="f"/>
                <v:line id="Line 89" o:spid="_x0000_s1150" style="position:absolute;visibility:visible;mso-wrap-style:square" from="0,0" to="0,49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cjS8MAAADdAAAADwAAAGRycy9kb3ducmV2LnhtbERPTWvCQBC9C/0PyxR6040tmhhdpZQW&#10;9WatgschOyaL2dmQ3Wr8964geJvH+5zZorO1OFPrjWMFw0ECgrhw2nCpYPf3089A+ICssXZMCq7k&#10;YTF/6c0w1+7Cv3TehlLEEPY5KqhCaHIpfVGRRT9wDXHkjq61GCJsS6lbvMRwW8v3JBlLi4ZjQ4UN&#10;fVVUnLb/VoHZjJejdbqf7OX3MgwP2SkzdqfU22v3OQURqAtP8cO90nH+R5LC/Zt4gpz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o3I0vDAAAA3QAAAA8AAAAAAAAAAAAA&#10;AAAAoQIAAGRycy9kb3ducmV2LnhtbFBLBQYAAAAABAAEAPkAAACRAwAAAAA=&#10;" strokeweight="0"/>
                <v:rect id="Rectangle 90" o:spid="_x0000_s1151" style="position:absolute;width:88;height:49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kQk8cA&#10;AADdAAAADwAAAGRycy9kb3ducmV2LnhtbESPQU8CMRCF7yb+h2ZMuEkrKIGVQsTExIuJoAe4Ddtx&#10;d8N2urYVVn+9cyDhNpP35r1v5svet+pIMTWBLdwNDSjiMriGKwufHy+3U1ApIztsA5OFX0qwXFxf&#10;zbFw4cRrOm5ypSSEU4EW6py7QutU1uQxDUNHLNpXiB6zrLHSLuJJwn2rR8ZMtMeGpaHGjp5rKg+b&#10;H29hNZuuvt/v+e1vvd/Rbrs/PIyisXZw0z89gsrU54v5fP3qBH9sBFe+kRH04h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JEJPHAAAA3QAAAA8AAAAAAAAAAAAAAAAAmAIAAGRy&#10;cy9kb3ducmV2LnhtbFBLBQYAAAAABAAEAPUAAACMAwAAAAA=&#10;" fillcolor="black" stroked="f"/>
                <v:line id="Line 91" o:spid="_x0000_s1152" style="position:absolute;visibility:visible;mso-wrap-style:square" from="33731,95" to="33731,49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OQSosMAAADdAAAADwAAAGRycy9kb3ducmV2LnhtbERPTWvCQBC9C/0PyxR6040t2hhdpZQW&#10;9WajgschOyaL2dmQ3Wr8964geJvH+5zZorO1OFPrjWMFw0ECgrhw2nCpYLf97acgfEDWWDsmBVfy&#10;sJi/9GaYaXfhPzrnoRQxhH2GCqoQmkxKX1Rk0Q9cQxy5o2sthgjbUuoWLzHc1vI9ScbSouHYUGFD&#10;3xUVp/zfKjCb8XK0/txP9vJnGYaH9JQau1Pq7bX7moII1IWn+OFe6Tj/I5nA/Zt4gpz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TkEqLDAAAA3QAAAA8AAAAAAAAAAAAA&#10;AAAAoQIAAGRycy9kb3ducmV2LnhtbFBLBQYAAAAABAAEAPkAAACRAwAAAAA=&#10;" strokeweight="0"/>
                <v:rect id="Rectangle 92" o:spid="_x0000_s1153" style="position:absolute;left:33731;top:95;width:89;height:48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aKSMgA&#10;AADdAAAADwAAAGRycy9kb3ducmV2LnhtbESPT2/CMAzF75P2HSJP2m2ksIGgENCYNGmXSfw7wM00&#10;XlvROF2SQcenx4dJu9l6z+/9PFt0rlFnCrH2bKDfy0ARF97WXBrYbd+fxqBiQrbYeCYDvxRhMb+/&#10;m2Fu/YXXdN6kUkkIxxwNVCm1udaxqMhh7PmWWLQvHxwmWUOpbcCLhLtGD7JspB3WLA0VtvRWUXHa&#10;/DgDy8l4+b164c/r+nigw/54Gg5CZszjQ/c6BZWoS//mv+sPK/jPfeGXb2QEPb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0ZopIyAAAAN0AAAAPAAAAAAAAAAAAAAAAAJgCAABk&#10;cnMvZG93bnJldi54bWxQSwUGAAAAAAQABAD1AAAAjQMAAAAA&#10;" fillcolor="black" stroked="f"/>
                <v:line id="Line 93" o:spid="_x0000_s1154" style="position:absolute;visibility:visible;mso-wrap-style:square" from="40589,1714" to="40589,48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3u+9MUAAADdAAAADwAAAGRycy9kb3ducmV2LnhtbERPTWvCQBC9C/0PyxR6EbOJgRJSVykp&#10;BQ891GjpdcxOk9jsbMiuJv33rlDwNo/3OavNZDpxocG1lhUkUQyCuLK65VrBYf++yEA4j6yxs0wK&#10;/sjBZv0wW2Gu7cg7upS+FiGEXY4KGu/7XEpXNWTQRbYnDtyPHQz6AIda6gHHEG46uYzjZ2mw5dDQ&#10;YE9FQ9VveTYK5t/ZPMWv8lQk9bKg0+fH8W3nlHp6nF5fQHia/F38797qMD9NErh9E06Q6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3u+9MUAAADdAAAADwAAAAAAAAAA&#10;AAAAAAChAgAAZHJzL2Rvd25yZXYueG1sUEsFBgAAAAAEAAQA+QAAAJMDAAAAAA==&#10;" strokecolor="#dadcdd" strokeweight="0"/>
                <v:rect id="Rectangle 94" o:spid="_x0000_s1155" style="position:absolute;left:40589;top:1714;width:89;height:3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yT1cUA&#10;AADcAAAADwAAAGRycy9kb3ducmV2LnhtbESP3WoCMRSE7wu+QzhC72rWWqysRtGCpSAU/MXLw+a4&#10;CW5Olk2qu2/fCIVeDjPzDTNbtK4SN2qC9axgOMhAEBdeWy4VHPbrlwmIEJE1Vp5JQUcBFvPe0wxz&#10;7e+8pdsuliJBOOSowMRY51KGwpDDMPA1cfIuvnEYk2xKqRu8J7ir5GuWjaVDy2nBYE0fhorr7scp&#10;2HQnexzrIR7Pp+/OvH+urMu2Sj332+UURKQ2/of/2l9awWjyBo8z6QjI+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rJPVxQAAANwAAAAPAAAAAAAAAAAAAAAAAJgCAABkcnMv&#10;ZG93bnJldi54bWxQSwUGAAAAAAQABAD1AAAAigMAAAAA&#10;" fillcolor="#dadcdd" stroked="f"/>
                <v:line id="Line 95" o:spid="_x0000_s1156" style="position:absolute;visibility:visible;mso-wrap-style:square" from="47440,95" to="47440,49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uawo8QAAADcAAAADwAAAGRycy9kb3ducmV2LnhtbESPT4vCMBTE7wt+h/CEvWnqilqrUWRx&#10;0b35Fzw+mmcbbF5Kk9XutzcLwh6HmfkNM1+2thJ3arxxrGDQT0AQ504bLhScjl+9FIQPyBorx6Tg&#10;lzwsF523OWbaPXhP90MoRISwz1BBGUKdSenzkiz6vquJo3d1jcUQZVNI3eAjwm0lP5JkLC0ajgsl&#10;1vRZUn47/FgFZjfejL4n5+lZrjdhcElvqbEnpd677WoGIlAb/sOv9lYrGKYj+DsTj4BcP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5rCjxAAAANwAAAAPAAAAAAAAAAAA&#10;AAAAAKECAABkcnMvZG93bnJldi54bWxQSwUGAAAAAAQABAD5AAAAkgMAAAAA&#10;" strokeweight="0"/>
                <v:rect id="Rectangle 96" o:spid="_x0000_s1157" style="position:absolute;left:47440;top:95;width:96;height:48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8DeccA&#10;AADcAAAADwAAAGRycy9kb3ducmV2LnhtbESPT2sCMRTE7wW/Q3iF3mq21sq6GkWFgpdC/XPQ23Pz&#10;3F3cvKxJqls/vREKPQ4z8xtmPG1NLS7kfGVZwVs3AUGcW11xoWC7+XxNQfiArLG2TAp+ycN00nka&#10;Y6btlVd0WYdCRAj7DBWUITSZlD4vyaDv2oY4ekfrDIYoXSG1w2uEm1r2kmQgDVYcF0psaFFSflr/&#10;GAXzYTo/f/f567Y67Gm/O5w+ei5R6uW5nY1ABGrDf/ivvdQK3tMBPM7EIyA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AfA3nHAAAA3AAAAA8AAAAAAAAAAAAAAAAAmAIAAGRy&#10;cy9kb3ducmV2LnhtbFBLBQYAAAAABAAEAPUAAACMAwAAAAA=&#10;" fillcolor="black" stroked="f"/>
                <v:line id="Line 97" o:spid="_x0000_s1158" style="position:absolute;visibility:visible;mso-wrap-style:square" from="54298,1714" to="54298,48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m2ccYAAADcAAAADwAAAGRycy9kb3ducmV2LnhtbESPT2vCQBTE70K/w/IKXqRuVNCQugaJ&#10;CD30oLGl19fsM3/Mvg3Zrabf3i0UPA4z8xtmnQ6mFVfqXW1ZwWwagSAurK65VPBx2r/EIJxH1tha&#10;JgW/5CDdPI3WmGh74yNdc1+KAGGXoILK+y6R0hUVGXRT2xEH72x7gz7IvpS6x1uAm1bOo2gpDdYc&#10;FirsKKuouOQ/RsHkK54s8DNvslk5z6g5vH/vjk6p8fOwfQXhafCP8H/7TStYxCv4OxOOgNzc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7ptnHGAAAA3AAAAA8AAAAAAAAA&#10;AAAAAAAAoQIAAGRycy9kb3ducmV2LnhtbFBLBQYAAAAABAAEAPkAAACUAwAAAAA=&#10;" strokecolor="#dadcdd" strokeweight="0"/>
                <v:rect id="Rectangle 98" o:spid="_x0000_s1159" style="position:absolute;left:54298;top:1714;width:89;height:3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GZ0MIA&#10;AADcAAAADwAAAGRycy9kb3ducmV2LnhtbERPW2vCMBR+F/wP4Qh709QJTrqmogNlMBh4ZY+H5qwJ&#10;a05KE7X998vDYI8f371Y964Rd+qC9axgPstAEFdeW64VnE+76QpEiMgaG8+kYKAA63I8KjDX/sEH&#10;uh9jLVIIhxwVmBjbXMpQGXIYZr4lTty37xzGBLta6g4fKdw18jnLltKh5dRgsKU3Q9XP8eYUfAxX&#10;e1nqOV6+rp+DedlvrcsOSj1N+s0riEh9/Bf/ud+1gsUqrU1n0hGQ5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4ZnQwgAAANwAAAAPAAAAAAAAAAAAAAAAAJgCAABkcnMvZG93&#10;bnJldi54bWxQSwUGAAAAAAQABAD1AAAAhwMAAAAA&#10;" fillcolor="#dadcdd" stroked="f"/>
                <v:line id="Line 99" o:spid="_x0000_s1160" style="position:absolute;visibility:visible;mso-wrap-style:square" from="88,4851" to="61245,48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6u6psQAAADcAAAADwAAAGRycy9kb3ducmV2LnhtbESPT4vCMBTE7wt+h/AEb5qqrNZqFFl2&#10;0b35Fzw+mmcbbF5Kk9XutzcLwh6HmfkNs1i1thJ3arxxrGA4SEAQ504bLhScjl/9FIQPyBorx6Tg&#10;lzyslp23BWbaPXhP90MoRISwz1BBGUKdSenzkiz6gauJo3d1jcUQZVNI3eAjwm0lR0kykRYNx4US&#10;a/ooKb8dfqwCs5ts3r+n59lZfm7C8JLeUmNPSvW67XoOIlAb/sOv9lYrGKcz+DsTj4BcP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q7qmxAAAANwAAAAPAAAAAAAAAAAA&#10;AAAAAKECAABkcnMvZG93bnJldi54bWxQSwUGAAAAAAQABAD5AAAAkgMAAAAA&#10;" strokeweight="0"/>
                <v:rect id="Rectangle 100" o:spid="_x0000_s1161" style="position:absolute;left:88;top:4851;width:61157;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OoS8QA&#10;AADcAAAADwAAAGRycy9kb3ducmV2LnhtbERPu27CMBTdkfoP1q3EBk55VBAwqFRCYqkEtEOz3cSX&#10;JCK+Tm0DKV+Ph0odj857ue5MI67kfG1ZwcswAUFcWF1zqeDrczuYgfABWWNjmRT8kof16qm3xFTb&#10;Gx/oegyliCHsU1RQhdCmUvqiIoN+aFviyJ2sMxgidKXUDm8x3DRylCSv0mDNsaHClt4rKs7Hi1Gw&#10;mc82P/sJf9wPeUbZd36ejlyiVP+5e1uACNSFf/Gfe6cVjOdxfjwTj4B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jqEvEAAAA3AAAAA8AAAAAAAAAAAAAAAAAmAIAAGRycy9k&#10;b3ducmV2LnhtbFBLBQYAAAAABAAEAPUAAACJAwAAAAA=&#10;" fillcolor="black" stroked="f"/>
                <v:line id="Line 101" o:spid="_x0000_s1162" style="position:absolute;visibility:visible;mso-wrap-style:square" from="61156,95" to="61156,49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QgfcUAAADcAAAADwAAAGRycy9kb3ducmV2LnhtbESPT2vCQBTE70K/w/IK3uomSm2MriJi&#10;0d6sf8DjI/tMFrNvQ3ar6bd3CwWPw8z8hpktOluLG7XeOFaQDhIQxIXThksFx8PnWwbCB2SNtWNS&#10;8EseFvOX3gxz7e78Tbd9KEWEsM9RQRVCk0vpi4os+oFriKN3ca3FEGVbSt3iPcJtLYdJMpYWDceF&#10;ChtaVVRc9z9WgdmNN+9fH6fJSa43IT1n18zYo1L91245BRGoC8/wf3urFYwmKfydiUdAzh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AQgfcUAAADcAAAADwAAAAAAAAAA&#10;AAAAAAChAgAAZHJzL2Rvd25yZXYueG1sUEsFBgAAAAAEAAQA+QAAAJMDAAAAAA==&#10;" strokeweight="0"/>
                <v:rect id="Rectangle 102" o:spid="_x0000_s1163" style="position:absolute;left:61156;top:95;width:89;height:48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2Tp8YA&#10;AADcAAAADwAAAGRycy9kb3ducmV2LnhtbESPQWsCMRSE7wX/Q3iCt5rt1oquRtGC4KVQbQ96e25e&#10;dxc3L2sSde2vb4SCx2FmvmGm89bU4kLOV5YVvPQTEMS51RUXCr6/Vs8jED4ga6wtk4IbeZjPOk9T&#10;zLS98oYu21CICGGfoYIyhCaT0uclGfR92xBH78c6gyFKV0jt8BrhppZpkgylwYrjQokNvZeUH7dn&#10;o2A5Hi1PnwP++N0c9rTfHY5vqUuU6nXbxQREoDY8wv/ttVbwOk7hfiYeATn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v2Tp8YAAADcAAAADwAAAAAAAAAAAAAAAACYAgAAZHJz&#10;L2Rvd25yZXYueG1sUEsFBgAAAAAEAAQA9QAAAIsDAAAAAA==&#10;" fillcolor="black" stroked="f"/>
                <v:line id="Line 103" o:spid="_x0000_s1164" style="position:absolute;visibility:visible;mso-wrap-style:square" from="0,6470" to="33731,64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smr8UAAADcAAAADwAAAGRycy9kb3ducmV2LnhtbESPQWvCQBSE7wX/w/KEXkQ3GigxukpJ&#10;KXjwUNOK12f2NYnNvg3ZVeO/7wqCx2FmvmGW69404kKdqy0rmE4iEMSF1TWXCn6+P8cJCOeRNTaW&#10;ScGNHKxXg5clptpeeUeX3JciQNilqKDyvk2ldEVFBt3EtsTB+7WdQR9kV0rd4TXATSNnUfQmDdYc&#10;FipsKauo+MvPRsHokIxi3OenbFrOMjp9bY8fO6fU67B/X4Dw1Ptn+NHeaAXxPIb7mXAE5O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Asmr8UAAADcAAAADwAAAAAAAAAA&#10;AAAAAAChAgAAZHJzL2Rvd25yZXYueG1sUEsFBgAAAAAEAAQA+QAAAJMDAAAAAA==&#10;" strokecolor="#dadcdd" strokeweight="0"/>
                <v:rect id="Rectangle 104" o:spid="_x0000_s1165" style="position:absolute;top:6470;width:33731;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UFCMUA&#10;AADcAAAADwAAAGRycy9kb3ducmV2LnhtbESPQWsCMRSE74X+h/AKvdWsWmxdjVKFloIgaKt4fGye&#10;m9DNy7JJdfffG0HwOMzMN8x03rpKnKgJ1rOCfi8DQVx4bblU8Pvz+fIOIkRkjZVnUtBRgPns8WGK&#10;ufZn3tBpG0uRIBxyVGBirHMpQ2HIYej5mjh5R984jEk2pdQNnhPcVXKQZSPp0HJaMFjT0lDxt/13&#10;Clbd3u5Guo+7w37dmbevhXXZRqnnp/ZjAiJSG+/hW/tbKxiOX+F6Jh0BOb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dQUIxQAAANwAAAAPAAAAAAAAAAAAAAAAAJgCAABkcnMv&#10;ZG93bnJldi54bWxQSwUGAAAAAAQABAD1AAAAigMAAAAA&#10;" fillcolor="#dadcdd" stroked="f"/>
                <v:line id="Line 105" o:spid="_x0000_s1166" style="position:absolute;visibility:visible;mso-wrap-style:square" from="40678,6470" to="47440,64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yFN8UAAADcAAAADwAAAGRycy9kb3ducmV2LnhtbESPQYvCMBSE7wv+h/AWvIimKohWo0hF&#10;8OBB6y57fds827rNS2mi1n9vFgSPw8x8wyxWranEjRpXWlYwHEQgiDOrS84VfJ22/SkI55E1VpZJ&#10;wYMcrJadjwXG2t75SLfU5yJA2MWooPC+jqV0WUEG3cDWxME728agD7LJpW7wHuCmkqMomkiDJYeF&#10;AmtKCsr+0qtR0PuZ9sb4nV6SYT5K6HLY/26OTqnuZ7ueg/DU+nf41d5pBePZBP7PhCMgl0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HyFN8UAAADcAAAADwAAAAAAAAAA&#10;AAAAAAChAgAAZHJzL2Rvd25yZXYueG1sUEsFBgAAAAAEAAQA+QAAAJMDAAAAAA==&#10;" strokecolor="#dadcdd" strokeweight="0"/>
                <v:rect id="Rectangle 106" o:spid="_x0000_s1167" style="position:absolute;left:40678;top:6470;width:6762;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bf8UA&#10;AADcAAAADwAAAGRycy9kb3ducmV2LnhtbESPW2sCMRSE3wX/QziFvmnWFrxsjWILLUJB8IqPh83p&#10;JnRzsmxS3f33piD4OMzMN8x82bpKXKgJ1rOC0TADQVx4bblUcNh/DqYgQkTWWHkmBR0FWC76vTnm&#10;2l95S5ddLEWCcMhRgYmxzqUMhSGHYehr4uT9+MZhTLIppW7wmuCuki9ZNpYOLacFgzV9GCp+d39O&#10;wXd3ssexHuHxfNp0ZvL1bl22Ver5qV29gYjUxkf43l5rBa+zCfyfSUd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p5t/xQAAANwAAAAPAAAAAAAAAAAAAAAAAJgCAABkcnMv&#10;ZG93bnJldi54bWxQSwUGAAAAAAQABAD1AAAAigMAAAAA&#10;" fillcolor="#dadcdd" stroked="f"/>
                <v:line id="Line 107" o:spid="_x0000_s1168" style="position:absolute;visibility:visible;mso-wrap-style:square" from="0,8089" to="33731,80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03sEAAADcAAAADwAAAGRycy9kb3ducmV2LnhtbERPTYvCMBC9C/6HMIIXWVMVxO0aRbos&#10;ePCgVfE6NrNttZmUJmr99+YgeHy87/myNZW4U+NKywpGwwgEcWZ1ybmCw/7vawbCeWSNlWVS8CQH&#10;y0W3M8dY2wfv6J76XIQQdjEqKLyvYyldVpBBN7Q1ceD+bWPQB9jkUjf4COGmkuMomkqDJYeGAmtK&#10;Csqu6c0oGJxmgwke00syyscJXbab8+/OKdXvtasfEJ5a/xG/3WutYPId1oYz4QjIx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ar7TewQAAANwAAAAPAAAAAAAAAAAAAAAA&#10;AKECAABkcnMvZG93bnJldi54bWxQSwUGAAAAAAQABAD5AAAAjwMAAAAA&#10;" strokecolor="#dadcdd" strokeweight="0"/>
                <v:rect id="Rectangle 108" o:spid="_x0000_s1169" style="position:absolute;top:8089;width:33731;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SqlsUA&#10;AADcAAAADwAAAGRycy9kb3ducmV2LnhtbESP3WoCMRSE7wu+QzhC72rWCrauRtGCpVAQ/MXLw+a4&#10;CW5Olk2qu2/fCIVeDjPzDTNbtK4SN2qC9axgOMhAEBdeWy4VHPbrl3cQISJrrDyTgo4CLOa9pxnm&#10;2t95S7ddLEWCcMhRgYmxzqUMhSGHYeBr4uRdfOMwJtmUUjd4T3BXydcsG0uHltOCwZo+DBXX3Y9T&#10;8N2d7HGsh3g8nzadeftcWZdtlXrut8spiEht/A//tb+0gtFkAo8z6QjI+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dKqWxQAAANwAAAAPAAAAAAAAAAAAAAAAAJgCAABkcnMv&#10;ZG93bnJldi54bWxQSwUGAAAAAAQABAD1AAAAigMAAAAA&#10;" fillcolor="#dadcdd" stroked="f"/>
                <v:line id="Line 109" o:spid="_x0000_s1170" style="position:absolute;visibility:visible;mso-wrap-style:square" from="40678,8089" to="47440,80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ngOsEAAADcAAAADwAAAGRycy9kb3ducmV2LnhtbERPTYvCMBC9L/gfwgheRFPdRaQaRSqC&#10;hz2sVfE6NmNbbSaliVr/vTkseHy87/myNZV4UONKywpGwwgEcWZ1ybmCw34zmIJwHlljZZkUvMjB&#10;ctH5mmOs7ZN39Eh9LkIIuxgVFN7XsZQuK8igG9qaOHAX2xj0ATa51A0+Q7ip5DiKJtJgyaGhwJqS&#10;grJbejcK+qdp/xuP6TUZ5eOErn+/5/XOKdXrtqsZCE+t/4j/3Vut4CcK88OZcATk4g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MeeA6wQAAANwAAAAPAAAAAAAAAAAAAAAA&#10;AKECAABkcnMvZG93bnJldi54bWxQSwUGAAAAAAQABAD5AAAAjwMAAAAA&#10;" strokecolor="#dadcdd" strokeweight="0"/>
                <v:rect id="Rectangle 110" o:spid="_x0000_s1171" style="position:absolute;left:40678;top:8089;width:6762;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L+csUA&#10;AADcAAAADwAAAGRycy9kb3ducmV2LnhtbESPQWsCMRSE74X+h/AKvdVki9iyNUpbUAoFQa3S42Pz&#10;3AQ3L8sm6u6/b4SCx2FmvmGm89434kxddIE1FCMFgrgKxnGt4We7eHoFEROywSYwaRgownx2fzfF&#10;0oQLr+m8SbXIEI4larAptaWUsbLkMY5CS5y9Q+g8piy7WpoOLxnuG/ms1ER6dJwXLLb0aak6bk5e&#10;w/ewd7uJKXD3u18N9mX54bxaa/340L+/gUjUp1v4v/1lNIxVAdcz+Qj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ov5yxQAAANwAAAAPAAAAAAAAAAAAAAAAAJgCAABkcnMv&#10;ZG93bnJldi54bWxQSwUGAAAAAAQABAD1AAAAigMAAAAA&#10;" fillcolor="#dadcdd" stroked="f"/>
                <v:line id="Line 111" o:spid="_x0000_s1172" style="position:absolute;visibility:visible;mso-wrap-style:square" from="0,9702" to="33731,97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fb1sUAAADcAAAADwAAAGRycy9kb3ducmV2LnhtbESPQWvCQBSE70L/w/IKXkQ3RikhukqJ&#10;CD30UNOK12f2mcRm34bsqvHfdwWhx2FmvmGW69404kqdqy0rmE4iEMSF1TWXCn6+t+MEhPPIGhvL&#10;pOBODtarl8ESU21vvKNr7ksRIOxSVFB536ZSuqIig25iW+LgnWxn0AfZlVJ3eAtw08g4it6kwZrD&#10;QoUtZRUVv/nFKBgdktEM9/k5m5ZxRuevz+Nm55QavvbvCxCeev8ffrY/tIJ5FMPjTDgCcvU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fb1sUAAADcAAAADwAAAAAAAAAA&#10;AAAAAAChAgAAZHJzL2Rvd25yZXYueG1sUEsFBgAAAAAEAAQA+QAAAJMDAAAAAA==&#10;" strokecolor="#dadcdd" strokeweight="0"/>
                <v:rect id="Rectangle 112" o:spid="_x0000_s1173" style="position:absolute;top:9702;width:33731;height: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Vd6sQA&#10;AADcAAAADwAAAGRycy9kb3ducmV2LnhtbESPQWsCMRSE74X+h/AK3mpiEVtWo1ShIggFbZUeH5vn&#10;JnTzsmyi7v57Uyh4HGbmG2a26HwtLtRGF1jDaKhAEJfBOK40fH99PL+BiAnZYB2YNPQUYTF/fJhh&#10;YcKVd3TZp0pkCMcCNdiUmkLKWFryGIehIc7eKbQeU5ZtJU2L1wz3tXxRaiI9Os4LFhtaWSp/92ev&#10;Ydsf3WFiRnj4OX729nW9dF7ttB48de9TEIm6dA//tzdGw1iN4e9MPgJyf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VXerEAAAA3AAAAA8AAAAAAAAAAAAAAAAAmAIAAGRycy9k&#10;b3ducmV2LnhtbFBLBQYAAAAABAAEAPUAAACJAwAAAAA=&#10;" fillcolor="#dadcdd" stroked="f"/>
                <v:line id="Line 113" o:spid="_x0000_s1174" style="position:absolute;visibility:visible;mso-wrap-style:square" from="40678,9702" to="47440,97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5DosYAAADcAAAADwAAAGRycy9kb3ducmV2LnhtbESPT2vCQBTE74V+h+UVvIhutK2E6EYk&#10;InjooaYVr8/sa/40+zZkV02/fbcg9DjMzG+Y1XowrbhS72rLCmbTCARxYXXNpYLPj90kBuE8ssbW&#10;Min4IQfr9PFhhYm2Nz7QNfelCBB2CSqovO8SKV1RkUE3tR1x8L5sb9AH2ZdS93gLcNPKeRQtpMGa&#10;w0KFHWUVFd/5xSgYn+LxMx7zJpuV84ya97fz9uCUGj0NmyUIT4P/D9/be63gJXqFvzPhCMj0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wOQ6LGAAAA3AAAAA8AAAAAAAAA&#10;AAAAAAAAoQIAAGRycy9kb3ducmV2LnhtbFBLBQYAAAAABAAEAPkAAACUAwAAAAA=&#10;" strokecolor="#dadcdd" strokeweight="0"/>
                <v:rect id="Rectangle 114" o:spid="_x0000_s1175" style="position:absolute;left:40678;top:9702;width:6762;height: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tmBsUA&#10;AADcAAAADwAAAGRycy9kb3ducmV2LnhtbESPQUsDMRSE7wX/Q3iCtzZpka2sTYsWFEEQWt3i8bF5&#10;3YRuXpZNbHf/vREKHoeZ+YZZbQbfijP10QXWMJ8pEMR1MI4bDV+fL9MHEDEhG2wDk4aRImzWN5MV&#10;liZceEfnfWpEhnAsUYNNqSuljLUlj3EWOuLsHUPvMWXZN9L0eMlw38qFUoX06DgvWOxoa6k+7X+8&#10;hvfx4KrCzLH6PnyMdvn67LzaaX13Ozw9gkg0pP/wtf1mNNyrAv7O5CM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S2YGxQAAANwAAAAPAAAAAAAAAAAAAAAAAJgCAABkcnMv&#10;ZG93bnJldi54bWxQSwUGAAAAAAQABAD1AAAAigMAAAAA&#10;" fillcolor="#dadcdd" stroked="f"/>
                <v:line id="Line 115" o:spid="_x0000_s1176" style="position:absolute;visibility:visible;mso-wrap-style:square" from="0,11322" to="33731,113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5B4TsYAAADcAAAADwAAAGRycy9kb3ducmV2LnhtbESPT2vCQBTE74V+h+UVvIhutKWG6EYk&#10;InjooaYVr8/sa/40+zZkV02/fbcg9DjMzG+Y1XowrbhS72rLCmbTCARxYXXNpYLPj90kBuE8ssbW&#10;Min4IQfr9PFhhYm2Nz7QNfelCBB2CSqovO8SKV1RkUE3tR1x8L5sb9AH2ZdS93gLcNPKeRS9SoM1&#10;h4UKO8oqKr7zi1EwPsXjZzzmTTYr5xk172/n7cEpNXoaNksQngb/H76391rBS7SAvzPhCMj0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OQeE7GAAAA3AAAAA8AAAAAAAAA&#10;AAAAAAAAoQIAAGRycy9kb3ducmV2LnhtbFBLBQYAAAAABAAEAPkAAACUAwAAAAA=&#10;" strokecolor="#dadcdd" strokeweight="0"/>
                <v:rect id="Rectangle 116" o:spid="_x0000_s1177" style="position:absolute;top:11322;width:33731;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hX78EA&#10;AADcAAAADwAAAGRycy9kb3ducmV2LnhtbERPTWsCMRC9C/6HMII3TSzFlq1RtGARCoJapcdhM92E&#10;bibLJuruv28OQo+P971Ydb4WN2qjC6xhNlUgiMtgHFcavk7bySuImJAN1oFJQ08RVsvhYIGFCXc+&#10;0O2YKpFDOBaowabUFFLG0pLHOA0NceZ+QusxZdhW0rR4z+G+lk9KzaVHx7nBYkPvlsrf49Vr+Owv&#10;7jw3Mzx/X/a9ffnYOK8OWo9H3foNRKIu/Ysf7p3R8Kzy2nwmHwG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WYV+/BAAAA3AAAAA8AAAAAAAAAAAAAAAAAmAIAAGRycy9kb3du&#10;cmV2LnhtbFBLBQYAAAAABAAEAPUAAACGAwAAAAA=&#10;" fillcolor="#dadcdd" stroked="f"/>
                <v:line id="Line 117" o:spid="_x0000_s1178" style="position:absolute;visibility:visible;mso-wrap-style:square" from="40678,11322" to="47440,113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UNJp8YAAADcAAAADwAAAGRycy9kb3ducmV2LnhtbESPT2vCQBTE74V+h+UVehHdqEVi6kYk&#10;UuihhxoVr6/Z1/xp9m3IbjV++25B8DjMzG+Y1XowrThT72rLCqaTCARxYXXNpYLD/m0cg3AeWWNr&#10;mRRcycE6fXxYYaLthXd0zn0pAoRdggoq77tESldUZNBNbEccvG/bG/RB9qXUPV4C3LRyFkULabDm&#10;sFBhR1lFxU/+axSMTvFojse8yablLKPm8+Nru3NKPT8Nm1cQngZ/D9/a71rBS7SE/zPhCMj0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1DSafGAAAA3AAAAA8AAAAAAAAA&#10;AAAAAAAAoQIAAGRycy9kb3ducmV2LnhtbFBLBQYAAAAABAAEAPkAAACUAwAAAAA=&#10;" strokecolor="#dadcdd" strokeweight="0"/>
                <v:rect id="Rectangle 118" o:spid="_x0000_s1179" style="position:absolute;left:40678;top:11322;width:6762;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fNNMEA&#10;AADcAAAADwAAAGRycy9kb3ducmV2LnhtbERPW2vCMBR+H/gfwhH2NtMOcVKNogNlMBh4xcdDc2yC&#10;zUlporb/fnkY7PHju8+XnavFg9pgPSvIRxkI4tJry5WC42HzNgURIrLG2jMp6CnAcjF4mWOh/ZN3&#10;9NjHSqQQDgUqMDE2hZShNOQwjHxDnLirbx3GBNtK6hafKdzV8j3LJtKh5dRgsKFPQ+Vtf3cKvvuz&#10;PU10jqfL+ac3H9u1ddlOqddht5qBiNTFf/Gf+0srGOdpfjqTjoBc/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43zTTBAAAA3AAAAA8AAAAAAAAAAAAAAAAAmAIAAGRycy9kb3du&#10;cmV2LnhtbFBLBQYAAAAABAAEAPUAAACGAwAAAAA=&#10;" fillcolor="#dadcdd" stroked="f"/>
                <v:line id="Line 119" o:spid="_x0000_s1180" style="position:absolute;visibility:visible;mso-wrap-style:square" from="0,12941" to="33731,129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zTfMUAAADcAAAADwAAAGRycy9kb3ducmV2LnhtbESPQWvCQBSE70L/w/IKXkQ3USkhukqJ&#10;CD30UNOK12f2mcRm34bsqvHfdwWhx2FmvmGW69404kqdqy0riCcRCOLC6ppLBT/f23ECwnlkjY1l&#10;UnAnB+vVy2CJqbY33tE196UIEHYpKqi8b1MpXVGRQTexLXHwTrYz6IPsSqk7vAW4aeQ0it6kwZrD&#10;QoUtZRUVv/nFKBgdktEM9/k5i8tpRuevz+Nm55QavvbvCxCeev8ffrY/tIJ5HMPjTDgCcvU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uzTfMUAAADcAAAADwAAAAAAAAAA&#10;AAAAAAChAgAAZHJzL2Rvd25yZXYueG1sUEsFBgAAAAAEAAQA+QAAAJMDAAAAAA==&#10;" strokecolor="#dadcdd" strokeweight="0"/>
                <v:rect id="Rectangle 120" o:spid="_x0000_s1181" style="position:absolute;top:12941;width:33731;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BurMUA&#10;AADcAAAADwAAAGRycy9kb3ducmV2LnhtbESPQWsCMRSE7wX/Q3iCt5pdqbZsjaJCRSgUtFV6fGxe&#10;N6Gbl2UTdfffm0LB4zAz3zDzZedqcaE2WM8K8nEGgrj02nKl4Ovz7fEFRIjIGmvPpKCnAMvF4GGO&#10;hfZX3tPlECuRIBwKVGBibAopQ2nIYRj7hjh5P751GJNsK6lbvCa4q+Uky2bSoeW0YLChjaHy93B2&#10;Ct77kz3OdI7H79NHb563a+uyvVKjYbd6BRGpi/fwf3unFTzlU/g7k46AX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QG6sxQAAANwAAAAPAAAAAAAAAAAAAAAAAJgCAABkcnMv&#10;ZG93bnJldi54bWxQSwUGAAAAAAQABAD1AAAAigMAAAAA&#10;" fillcolor="#dadcdd" stroked="f"/>
                <v:line id="Line 121" o:spid="_x0000_s1182" style="position:absolute;visibility:visible;mso-wrap-style:square" from="33731,12941" to="61245,129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HCOesMAAADdAAAADwAAAGRycy9kb3ducmV2LnhtbERPTWvCQBC9F/wPyxS86SYWNY2uIlKx&#10;valV8Dhkp8lidjZkV43/vlsQepvH+5z5srO1uFHrjWMF6TABQVw4bbhUcPzeDDIQPiBrrB2Tggd5&#10;WC56L3PMtbvznm6HUIoYwj5HBVUITS6lLyqy6IeuIY7cj2sthgjbUuoW7zHc1nKUJBNp0XBsqLCh&#10;dUXF5XC1Csxush1/TU/vJ/mxDek5u2TGHpXqv3arGYhAXfgXP92fOs5/S8fw9008QS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BwjnrDAAAA3QAAAA8AAAAAAAAAAAAA&#10;AAAAoQIAAGRycy9kb3ducmV2LnhtbFBLBQYAAAAABAAEAPkAAACRAwAAAAA=&#10;" strokeweight="0"/>
                <v:rect id="Rectangle 122" o:spid="_x0000_s1183" style="position:absolute;left:33731;top:12941;width:27514;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O3p8UA&#10;AADdAAAADwAAAGRycy9kb3ducmV2LnhtbERPTWvCQBC9F/wPywi91Y3Wik2zihYKXgpVe6i3MTsm&#10;IdnZdHerqb/eFQRv83ifk80704gjOV9ZVjAcJCCIc6srLhR8bz+epiB8QNbYWCYF/+RhPus9ZJhq&#10;e+I1HTehEDGEfYoKyhDaVEqfl2TQD2xLHLmDdQZDhK6Q2uEphptGjpJkIg1WHBtKbOm9pLze/BkF&#10;y9fp8vdrzJ/n9X5Hu599/TJyiVKP/W7xBiJQF+7im3ul4/zn4QSu38QT5O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w7enxQAAAN0AAAAPAAAAAAAAAAAAAAAAAJgCAABkcnMv&#10;ZG93bnJldi54bWxQSwUGAAAAAAQABAD1AAAAigMAAAAA&#10;" fillcolor="black" stroked="f"/>
                <v:line id="Line 123" o:spid="_x0000_s1184" style="position:absolute;visibility:visible;mso-wrap-style:square" from="61156,4946" to="61156,129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96DG8QAAADdAAAADwAAAGRycy9kb3ducmV2LnhtbERPTWvCQBC9F/wPywi9iG6i0IboKiWl&#10;4MFDTRWvY3aaxGZnQ3bV+O+7guBtHu9zFqveNOJCnastK4gnEQjiwuqaSwW7n69xAsJ5ZI2NZVJw&#10;Iwer5eBlgam2V97SJfelCCHsUlRQed+mUrqiIoNuYlviwP3azqAPsCul7vAawk0jp1H0Jg3WHBoq&#10;bCmrqPjLz0bB6JCMZrjPT1lcTjM6fW+On1un1Ouw/5iD8NT7p/jhXuswfxa/w/2bcIJc/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3oMbxAAAAN0AAAAPAAAAAAAAAAAA&#10;AAAAAKECAABkcnMvZG93bnJldi54bWxQSwUGAAAAAAQABAD5AAAAkgMAAAAA&#10;" strokecolor="#dadcdd" strokeweight="0"/>
                <v:rect id="Rectangle 124" o:spid="_x0000_s1185" style="position:absolute;left:61156;top:4946;width:89;height:79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8X6sYA&#10;AADdAAAADwAAAGRycy9kb3ducmV2LnhtbESPQUsDMRCF70L/Q5iCN5tdhSpr09IKiiAIbW3xOGym&#10;m9DNZNnEdvffOwfB2wzvzXvfLFZDaNWF+uQjGyhnBSjiOlrPjYGv/evdE6iUkS22kcnASAlWy8nN&#10;Aisbr7ylyy43SkI4VWjA5dxVWqfaUcA0ix2xaKfYB8yy9o22PV4lPLT6vijmOqBnaXDY0Yuj+rz7&#10;CQY+xqM/zG2Jh+/j5+ge3zY+FFtjbqfD+hlUpiH/m/+u363gP5SCK9/ICHr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n8X6sYAAADdAAAADwAAAAAAAAAAAAAAAACYAgAAZHJz&#10;L2Rvd25yZXYueG1sUEsFBgAAAAAEAAQA9QAAAIsDAAAAAA==&#10;" fillcolor="#dadcdd" stroked="f"/>
                <v:line id="Line 125" o:spid="_x0000_s1186" style="position:absolute;visibility:visible;mso-wrap-style:square" from="0,14554" to="33731,145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2y8sQAAADdAAAADwAAAGRycy9kb3ducmV2LnhtbERPTWvCQBC9F/wPywi9iG6iUGJ0lZJS&#10;8OChphWvY3aaxGZnQ3bV+O+7guBtHu9zluveNOJCnastK4gnEQjiwuqaSwU/35/jBITzyBoby6Tg&#10;Rg7Wq8HLElNtr7yjS+5LEULYpaig8r5NpXRFRQbdxLbEgfu1nUEfYFdK3eE1hJtGTqPoTRqsOTRU&#10;2FJWUfGXn42C0SEZzXCfn7K4nGZ0+toeP3ZOqddh/74A4an3T/HDvdFh/iyew/2bcIJc/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1DbLyxAAAAN0AAAAPAAAAAAAAAAAA&#10;AAAAAKECAABkcnMvZG93bnJldi54bWxQSwUGAAAAAAQABAD5AAAAkgMAAAAA&#10;" strokecolor="#dadcdd" strokeweight="0"/>
                <v:rect id="Rectangle 126" o:spid="_x0000_s1187" style="position:absolute;top:14554;width:33731;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7XUsQA&#10;AADdAAAADwAAAGRycy9kb3ducmV2LnhtbERP22oCMRB9L/gPYQp9q1mtqGyNokJLoVBwveDjsJlu&#10;QjeTZZPq7t+bQsG3OZzrLFadq8WF2mA9KxgNMxDEpdeWKwWH/dvzHESIyBprz6SgpwCr5eBhgbn2&#10;V97RpYiVSCEcclRgYmxyKUNpyGEY+oY4cd++dRgTbCupW7ymcFfLcZZNpUPLqcFgQ1tD5U/x6xR8&#10;9id7nOoRHs+nr97M3jfWZTulnh679SuISF28i//dHzrNfxlP4O+bdIJc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e11LEAAAA3QAAAA8AAAAAAAAAAAAAAAAAmAIAAGRycy9k&#10;b3ducmV2LnhtbFBLBQYAAAAABAAEAPUAAACJAwAAAAA=&#10;" fillcolor="#dadcdd" stroked="f"/>
                <v:line id="Line 127" o:spid="_x0000_s1188" style="position:absolute;visibility:visible;mso-wrap-style:square" from="33731,14554" to="61245,145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xEx8IAAADdAAAADwAAAGRycy9kb3ducmV2LnhtbERPS4vCMBC+C/sfwix4W1Nd1FqNIrKL&#10;7s0neByasQ02k9JE7f57s7DgbT6+58wWra3EnRpvHCvo9xIQxLnThgsFx8P3RwrCB2SNlWNS8Ese&#10;FvO3zgwz7R68o/s+FCKGsM9QQRlCnUnp85Is+p6riSN3cY3FEGFTSN3gI4bbSg6SZCQtGo4NJda0&#10;Kim/7m9WgdmO1sOf8Wlykl/r0D+n19TYo1Ld93Y5BRGoDS/xv3uj4/zPwRD+voknyPk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hxEx8IAAADdAAAADwAAAAAAAAAAAAAA&#10;AAChAgAAZHJzL2Rvd25yZXYueG1sUEsFBgAAAAAEAAQA+QAAAJADAAAAAA==&#10;" strokeweight="0"/>
                <v:rect id="Rectangle 128" o:spid="_x0000_s1189" style="position:absolute;left:33731;top:14554;width:27514;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99GsUA&#10;AADdAAAADwAAAGRycy9kb3ducmV2LnhtbERPTWsCMRC9F/wPYQRvNetaRbdG0UKhl4LaHvQ2bqa7&#10;i5vJNkl16683guBtHu9zZovW1OJEzleWFQz6CQji3OqKCwXfX+/PExA+IGusLZOCf/KwmHeeZphp&#10;e+YNnbahEDGEfYYKyhCaTEqfl2TQ921DHLkf6wyGCF0htcNzDDe1TJNkLA1WHBtKbOitpPy4/TMK&#10;VtPJ6nf9wp+XzWFP+93hOEpdolSv2y5fQQRqw0N8d3/oOH+YjuH2TTxB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r30axQAAAN0AAAAPAAAAAAAAAAAAAAAAAJgCAABkcnMv&#10;ZG93bnJldi54bWxQSwUGAAAAAAQABAD1AAAAigMAAAAA&#10;" fillcolor="black" stroked="f"/>
                <v:line id="Line 129" o:spid="_x0000_s1190" style="position:absolute;visibility:visible;mso-wrap-style:square" from="61156,13036" to="61156,145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bJJpsQAAADdAAAADwAAAGRycy9kb3ducmV2LnhtbERPTWvCQBC9F/wPywheRDdGaEN0lZIi&#10;9OChporXMTtNYrOzIbvV+O+7guBtHu9zluveNOJCnastK5hNIxDEhdU1lwr235tJAsJ5ZI2NZVJw&#10;Iwfr1eBliam2V97RJfelCCHsUlRQed+mUrqiIoNualviwP3YzqAPsCul7vAawk0j4yh6lQZrDg0V&#10;tpRVVPzmf0bB+JiM53jIz9msjDM6f21PHzun1GjYvy9AeOr9U/xwf+owfx6/wf2bcIJc/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skmmxAAAAN0AAAAPAAAAAAAAAAAA&#10;AAAAAKECAABkcnMvZG93bnJldi54bWxQSwUGAAAAAAQABAD5AAAAkgMAAAAA&#10;" strokecolor="#dadcdd" strokeweight="0"/>
                <v:rect id="Rectangle 130" o:spid="_x0000_s1191" style="position:absolute;left:61156;top:13036;width:89;height:15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PdV8YA&#10;AADdAAAADwAAAGRycy9kb3ducmV2LnhtbESPQUvDQBCF74L/YRnBm90kQiux26KCIghCoy0eh+yY&#10;XczOhuzaJv/eOQi9zfDevPfNejuFXh1pTD6ygXJRgCJuo/XcGfj8eL65A5UyssU+MhmYKcF2c3mx&#10;xtrGE+/o2OROSQinGg24nIda69Q6CpgWcSAW7TuOAbOsY6ftiCcJD72uimKpA3qWBocDPTlqf5rf&#10;YOBtPvj90pa4/zq8z2718uhDsTPm+mp6uAeVacpn8//1qxX820pw5RsZQ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BPdV8YAAADdAAAADwAAAAAAAAAAAAAAAACYAgAAZHJz&#10;L2Rvd25yZXYueG1sUEsFBgAAAAAEAAQA9QAAAIsDAAAAAA==&#10;" fillcolor="#dadcdd" stroked="f"/>
                <v:line id="Line 131" o:spid="_x0000_s1192" style="position:absolute;visibility:visible;mso-wrap-style:square" from="0,4946" to="6,162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F4T8QAAADdAAAADwAAAGRycy9kb3ducmV2LnhtbERPTWvCQBC9F/wPywheRDdGKDG6SkkR&#10;evBQ04rXMTtNYrOzIbvV+O+7guBtHu9zVpveNOJCnastK5hNIxDEhdU1lwq+v7aTBITzyBoby6Tg&#10;Rg4268HLClNtr7ynS+5LEULYpaig8r5NpXRFRQbd1LbEgfuxnUEfYFdK3eE1hJtGxlH0Kg3WHBoq&#10;bCmrqPjN/4yC8TEZz/GQn7NZGWd0/tyd3vdOqdGwf1uC8NT7p/jh/tBh/jxewP2bcIJc/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7YXhPxAAAAN0AAAAPAAAAAAAAAAAA&#10;AAAAAKECAABkcnMvZG93bnJldi54bWxQSwUGAAAAAAQABAD5AAAAkgMAAAAA&#10;" strokecolor="#dadcdd" strokeweight="0"/>
                <v:rect id="Rectangle 132" o:spid="_x0000_s1193" style="position:absolute;top:4946;width:88;height:11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xHjMYA&#10;AADdAAAADwAAAGRycy9kb3ducmV2LnhtbESPQWsCMRCF70L/Q5hCb5pVwcrWKG3BUigIapUeh810&#10;E7qZLJtUd/995yD0NsN78943q00fGnWhLvnIBqaTAhRxFa3n2sDncTtegkoZ2WITmQwMlGCzvhut&#10;sLTxynu6HHKtJIRTiQZczm2pdaocBUyT2BKL9h27gFnWrta2w6uEh0bPimKhA3qWBoctvTqqfg6/&#10;wcDHcPanhZ3i6eu8G9zj24sPxd6Yh/v++QlUpj7/m2/X71bw53Phl29kBL3+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7xHjMYAAADdAAAADwAAAAAAAAAAAAAAAACYAgAAZHJz&#10;L2Rvd25yZXYueG1sUEsFBgAAAAAEAAQA9QAAAIsDAAAAAA==&#10;" fillcolor="#dadcdd" stroked="f"/>
                <v:line id="Line 133" o:spid="_x0000_s1194" style="position:absolute;visibility:visible;mso-wrap-style:square" from="33731,14649" to="33737,162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7ilMMAAADdAAAADwAAAGRycy9kb3ducmV2LnhtbERPTWvCQBC9F/oflin0IrqJAZHoKiUi&#10;9NCDRsXrmB2T2OxsyG41/ntXEHqbx/uc+bI3jbhS52rLCuJRBIK4sLrmUsF+tx5OQTiPrLGxTAru&#10;5GC5eH+bY6rtjbd0zX0pQgi7FBVU3replK6oyKAb2ZY4cGfbGfQBdqXUHd5CuGnkOIom0mDNoaHC&#10;lrKKit/8zygYHKeDBA/5JYvLcUaXzc9ptXVKfX70XzMQnnr/L365v3WYnyQxPL8JJ8jF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DO4pTDAAAA3QAAAA8AAAAAAAAAAAAA&#10;AAAAoQIAAGRycy9kb3ducmV2LnhtbFBLBQYAAAAABAAEAPkAAACRAwAAAAA=&#10;" strokecolor="#dadcdd" strokeweight="0"/>
                <v:rect id="Rectangle 134" o:spid="_x0000_s1195" style="position:absolute;left:33731;top:14649;width:89;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J8YMMA&#10;AADdAAAADwAAAGRycy9kb3ducmV2LnhtbERPTWsCMRC9C/6HMII3zapgy9YoWmgRCoJapcdhM26C&#10;m8mySXX33zdCwds83ucsVq2rxI2aYD0rmIwzEMSF15ZLBd/Hj9EriBCRNVaeSUFHAVbLfm+BufZ3&#10;3tPtEEuRQjjkqMDEWOdShsKQwzD2NXHiLr5xGBNsSqkbvKdwV8lpls2lQ8upwWBN74aK6+HXKfjq&#10;zvY01xM8/Zx3nXn53FiX7ZUaDtr1G4hIbXyK/91bnebPZlN4fJNOkM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CJ8YMMAAADdAAAADwAAAAAAAAAAAAAAAACYAgAAZHJzL2Rv&#10;d25yZXYueG1sUEsFBgAAAAAEAAQA9QAAAIgDAAAAAA==&#10;" fillcolor="#dadcdd" stroked="f"/>
                <v:line id="Line 135" o:spid="_x0000_s1196" style="position:absolute;visibility:visible;mso-wrap-style:square" from="40589,14649" to="40595,162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1DZeMQAAADdAAAADwAAAGRycy9kb3ducmV2LnhtbERPS2vCQBC+F/wPywi9iG4eUCR1FUkp&#10;9NBDTStex+w0iWZnQ3abpP/eFQq9zcf3nM1uMq0YqHeNZQXxKgJBXFrdcKXg6/N1uQbhPLLG1jIp&#10;+CUHu+3sYYOZtiMfaCh8JUIIuwwV1N53mZSurMmgW9mOOHDftjfoA+wrqXscQ7hpZRJFT9Jgw6Gh&#10;xo7ymspr8WMULE7rRYrH4pLHVZLT5eP9/HJwSj3Op/0zCE+T/xf/ud90mJ+mKdy/CSfI7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UNl4xAAAAN0AAAAPAAAAAAAAAAAA&#10;AAAAAKECAABkcnMvZG93bnJldi54bWxQSwUGAAAAAAQABAD5AAAAkgMAAAAA&#10;" strokecolor="#dadcdd" strokeweight="0"/>
                <v:rect id="Rectangle 136" o:spid="_x0000_s1197" style="position:absolute;left:40589;top:14649;width:89;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dBj8MA&#10;AADdAAAADwAAAGRycy9kb3ducmV2LnhtbERP22oCMRB9L/gPYQp9q1mrqGyNYgVFKBS84uOwmW5C&#10;N5Nlk+ru35tCwbc5nOvMFq2rxJWaYD0rGPQzEMSF15ZLBcfD+nUKIkRkjZVnUtBRgMW89zTDXPsb&#10;7+i6j6VIIRxyVGBirHMpQ2HIYej7mjhx375xGBNsSqkbvKVwV8m3LBtLh5ZTg8GaVoaKn/2vU/DZ&#10;ne1prAd4upy/OjPZfFiX7ZR6eW6X7yAitfEh/ndvdZo/HI7g75t0gpz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IdBj8MAAADdAAAADwAAAAAAAAAAAAAAAACYAgAAZHJzL2Rv&#10;d25yZXYueG1sUEsFBgAAAAAEAAQA9QAAAIgDAAAAAA==&#10;" fillcolor="#dadcdd" stroked="f"/>
                <v:line id="Line 137" o:spid="_x0000_s1198" style="position:absolute;visibility:visible;mso-wrap-style:square" from="47440,14649" to="47447,162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l8QAAADdAAAADwAAAGRycy9kb3ducmV2LnhtbERPS2vCQBC+C/0PyxS8SN1oUCR1IxIR&#10;euhBY0uv0+yYh9nZkN1q+u/dQsHbfHzPWW8G04or9a62rGA2jUAQF1bXXCr4OO1fViCcR9bYWiYF&#10;v+Rgkz6N1phoe+MjXXNfihDCLkEFlfddIqUrKjLoprYjDtzZ9gZ9gH0pdY+3EG5aOY+ipTRYc2io&#10;sKOsouKS/xgFk6/VJMbPvMlm5Tyj5vD+vTs6pcbPw/YVhKfBP8T/7jcd5sfxAv6+CSfI9A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9eSXxAAAAN0AAAAPAAAAAAAAAAAA&#10;AAAAAKECAABkcnMvZG93bnJldi54bWxQSwUGAAAAAAQABAD5AAAAkgMAAAAA&#10;" strokecolor="#dadcdd" strokeweight="0"/>
                <v:rect id="Rectangle 138" o:spid="_x0000_s1199" style="position:absolute;left:47440;top:14649;width:96;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l6Y8MA&#10;AADdAAAADwAAAGRycy9kb3ducmV2LnhtbERP32vCMBB+F/Y/hBv4pqkK3eiMMgVFEAa6KXs8mlsT&#10;1lxKE7X9781g4Nt9fD9vvuxcLa7UButZwWScgSAuvbZcKfj63IxeQYSIrLH2TAp6CrBcPA3mWGh/&#10;4wNdj7ESKYRDgQpMjE0hZSgNOQxj3xAn7se3DmOCbSV1i7cU7mo5zbJcOrScGgw2tDZU/h4vTsG+&#10;P9tTrid4+j5/9OZlu7IuOyg1fO7e30BE6uJD/O/e6TR/Nsvh75t0glz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xl6Y8MAAADdAAAADwAAAAAAAAAAAAAAAACYAgAAZHJzL2Rv&#10;d25yZXYueG1sUEsFBgAAAAAEAAQA9QAAAIgDAAAAAA==&#10;" fillcolor="#dadcdd" stroked="f"/>
                <v:line id="Line 139" o:spid="_x0000_s1200" style="position:absolute;visibility:visible;mso-wrap-style:square" from="54298,14649" to="54305,162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vfe8QAAADdAAAADwAAAGRycy9kb3ducmV2LnhtbERPS2vCQBC+C/0PyxS8SN1oQCV1IxIR&#10;euhBY0uv0+yYh9nZkN1q+u/dQsHbfHzPWW8G04or9a62rGA2jUAQF1bXXCr4OO1fViCcR9bYWiYF&#10;v+Rgkz6N1phoe+MjXXNfihDCLkEFlfddIqUrKjLoprYjDtzZ9gZ9gH0pdY+3EG5aOY+ihTRYc2io&#10;sKOsouKS/xgFk6/VJMbPvMlm5Tyj5vD+vTs6pcbPw/YVhKfBP8T/7jcd5sfxEv6+CSfI9A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a997xAAAAN0AAAAPAAAAAAAAAAAA&#10;AAAAAKECAABkcnMvZG93bnJldi54bWxQSwUGAAAAAAQABAD5AAAAkgMAAAAA&#10;" strokecolor="#dadcdd" strokeweight="0"/>
                <v:rect id="Rectangle 140" o:spid="_x0000_s1201" style="position:absolute;left:54298;top:14649;width:89;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pLisYA&#10;AADdAAAADwAAAGRycy9kb3ducmV2LnhtbESPQWsCMRCF70L/Q5hCb5pVwcrWKG3BUigIapUeh810&#10;E7qZLJtUd/995yD0NsN78943q00fGnWhLvnIBqaTAhRxFa3n2sDncTtegkoZ2WITmQwMlGCzvhut&#10;sLTxynu6HHKtJIRTiQZczm2pdaocBUyT2BKL9h27gFnWrta2w6uEh0bPimKhA3qWBoctvTqqfg6/&#10;wcDHcPanhZ3i6eu8G9zj24sPxd6Yh/v++QlUpj7/m2/X71bw53PBlW9kBL3+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cpLisYAAADdAAAADwAAAAAAAAAAAAAAAACYAgAAZHJz&#10;L2Rvd25yZXYueG1sUEsFBgAAAAAEAAQA9QAAAIsDAAAAAA==&#10;" fillcolor="#dadcdd" stroked="f"/>
                <v:line id="Line 141" o:spid="_x0000_s1202" style="position:absolute;visibility:visible;mso-wrap-style:square" from="61156,14649" to="61163,162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juksQAAADdAAAADwAAAGRycy9kb3ducmV2LnhtbERPS2vCQBC+C/0PyxS8SN1oQGzqRiQi&#10;9NCDRkuv0+yYh9nZkN1q+u/dQsHbfHzPWa0H04or9a62rGA2jUAQF1bXXCo4HXcvSxDOI2tsLZOC&#10;X3KwTp9GK0y0vfGBrrkvRQhhl6CCyvsukdIVFRl0U9sRB+5se4M+wL6UusdbCDetnEfRQhqsOTRU&#10;2FFWUXHJf4yCyddyEuNn3mSzcp5Rs//43h6cUuPnYfMGwtPgH+J/97sO8+P4Ff6+CSfI9A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O6SxAAAAN0AAAAPAAAAAAAAAAAA&#10;AAAAAKECAABkcnMvZG93bnJldi54bWxQSwUGAAAAAAQABAD5AAAAkgMAAAAA&#10;" strokecolor="#dadcdd" strokeweight="0"/>
                <v:rect id="Rectangle 142" o:spid="_x0000_s1203" style="position:absolute;left:61156;top:14649;width:89;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IIxcMA&#10;AADdAAAADwAAAGRycy9kb3ducmV2LnhtbERPTWsCMRC9F/ofwgjealYRLVujWMFSKAhqlR6HzbgJ&#10;bibLJtXdf28Ewds83ufMFq2rxIWaYD0rGA4yEMSF15ZLBb/79ds7iBCRNVaeSUFHARbz15cZ5tpf&#10;eUuXXSxFCuGQowITY51LGQpDDsPA18SJO/nGYUywKaVu8JrCXSVHWTaRDi2nBoM1rQwV592/U/DT&#10;He1hood4+DtuOjP9+rQu2yrV77XLDxCR2vgUP9zfOs0fT0dw/yadIO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uIIxcMAAADdAAAADwAAAAAAAAAAAAAAAACYAgAAZHJzL2Rv&#10;d25yZXYueG1sUEsFBgAAAAAEAAQA9QAAAIgDAAAAAA==&#10;" fillcolor="#dadcdd" stroked="f"/>
                <v:line id="Line 143" o:spid="_x0000_s1204" style="position:absolute;visibility:visible;mso-wrap-style:square" from="61245,0" to="612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Ct3cUAAADdAAAADwAAAGRycy9kb3ducmV2LnhtbERPTWvCQBC9F/wPywi9iG7UYiW6CZIi&#10;9NCDxkqv0+yYRLOzIbtq+u/dQqG3ebzPWae9acSNOldbVjCdRCCIC6trLhV8HrbjJQjnkTU2lknB&#10;DzlIk8HTGmNt77ynW+5LEULYxaig8r6NpXRFRQbdxLbEgTvZzqAPsCul7vAewk0jZ1G0kAZrDg0V&#10;tpRVVFzyq1Ew+lqO5njMz9m0nGV03n18v+2dUs/DfrMC4an3/+I/97sO819e5/D7TThBJg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ZCt3cUAAADdAAAADwAAAAAAAAAA&#10;AAAAAAChAgAAZHJzL2Rvd25yZXYueG1sUEsFBgAAAAAEAAQA+QAAAJMDAAAAAA==&#10;" strokecolor="#dadcdd" strokeweight="0"/>
                <v:rect id="Rectangle 144" o:spid="_x0000_s1205" style="position:absolute;left:61245;width:89;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c1KsMA&#10;AADdAAAADwAAAGRycy9kb3ducmV2LnhtbERPTWsCMRC9C/0PYYTeNKuIlq1RrNBSKAhqlR6HzbgJ&#10;bibLJtXdf28Ewds83ufMl62rxIWaYD0rGA0zEMSF15ZLBb/7z8EbiBCRNVaeSUFHAZaLl94cc+2v&#10;vKXLLpYihXDIUYGJsc6lDIUhh2Hoa+LEnXzjMCbYlFI3eE3hrpLjLJtKh5ZTg8Ga1oaK8+7fKfjp&#10;jvYw1SM8/B03nZl9fViXbZV67berdxCR2vgUP9zfOs2fzCZw/yadIB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kc1KsMAAADdAAAADwAAAAAAAAAAAAAAAACYAgAAZHJzL2Rv&#10;d25yZXYueG1sUEsFBgAAAAAEAAQA9QAAAIgDAAAAAA==&#10;" fillcolor="#dadcdd" stroked="f"/>
                <v:line id="Line 145" o:spid="_x0000_s1206" style="position:absolute;visibility:visible;mso-wrap-style:square" from="61245,1619" to="61252,16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WQMsUAAADdAAAADwAAAGRycy9kb3ducmV2LnhtbERPS2vCQBC+F/wPyxR6kbpRaysxq5QU&#10;oYceNCq9jtlpHmZnQ3ar6b93hYK3+fiek6x604gzda6yrGA8ikAQ51ZXXCjY79bPcxDOI2tsLJOC&#10;P3KwWg4eEoy1vfCWzpkvRAhhF6OC0vs2ltLlJRl0I9sSB+7HdgZ9gF0hdYeXEG4aOYmiV2mw4tBQ&#10;YktpSfkp+zUKht/z4RQPWZ2Oi0lK9ebr+LF1Sj099u8LEJ56fxf/uz91mP/yNoPbN+EEub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TWQMsUAAADdAAAADwAAAAAAAAAA&#10;AAAAAAChAgAAZHJzL2Rvd25yZXYueG1sUEsFBgAAAAAEAAQA+QAAAJMDAAAAAA==&#10;" strokecolor="#dadcdd" strokeweight="0"/>
                <v:rect id="Rectangle 146" o:spid="_x0000_s1207" style="position:absolute;left:61245;top:1619;width:89;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kOxsMA&#10;AADdAAAADwAAAGRycy9kb3ducmV2LnhtbERP32vCMBB+H+x/CDfwbaYOqdIZZQobgiCoq+zxaG5N&#10;WHMpTabtf28GA9/u4/t5i1XvGnGhLljPCibjDARx5bXlWsHn6f15DiJEZI2NZ1IwUIDV8vFhgYX2&#10;Vz7Q5RhrkUI4FKjAxNgWUobKkMMw9i1x4r595zAm2NVSd3hN4a6RL1mWS4eWU4PBljaGqp/jr1Ow&#10;G862zPUEy6/zfjCzj7V12UGp0VP/9goiUh/v4n/3Vqf501kOf9+kE+Ty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dkOxsMAAADdAAAADwAAAAAAAAAAAAAAAACYAgAAZHJzL2Rv&#10;d25yZXYueG1sUEsFBgAAAAAEAAQA9QAAAIgDAAAAAA==&#10;" fillcolor="#dadcdd" stroked="f"/>
                <v:line id="Line 147" o:spid="_x0000_s1208" style="position:absolute;visibility:visible;mso-wrap-style:square" from="61245,3232" to="61252,3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ur3sUAAADdAAAADwAAAGRycy9kb3ducmV2LnhtbERPS2vCQBC+C/0PyxS8iG580Eh0FYkU&#10;euihporXMTtNYrOzIbtq/PfdguBtPr7nLNedqcWVWldZVjAeRSCIc6srLhTsv9+HcxDOI2usLZOC&#10;OzlYr156S0y0vfGOrpkvRAhhl6CC0vsmkdLlJRl0I9sQB+7HtgZ9gG0hdYu3EG5qOYmiN2mw4tBQ&#10;YkNpSflvdjEKBsf5YIqH7JyOi0lK56/P03bnlOq/dpsFCE+df4of7g8d5s/iGP6/CSfI1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qur3sUAAADdAAAADwAAAAAAAAAA&#10;AAAAAAChAgAAZHJzL2Rvd25yZXYueG1sUEsFBgAAAAAEAAQA+QAAAJMDAAAAAA==&#10;" strokecolor="#dadcdd" strokeweight="0"/>
                <v:rect id="Rectangle 148" o:spid="_x0000_s1209" style="position:absolute;left:61245;top:3232;width:89;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o/L8YA&#10;AADdAAAADwAAAGRycy9kb3ducmV2LnhtbESPQWsCMRCF70L/Q5iCN80qomVrlLZgKRQEbZUeh810&#10;E7qZLJtUd/+9cyj0NsN78943620fGnWhLvnIBmbTAhRxFa3n2sDnx27yACplZItNZDIwUILt5m60&#10;xtLGKx/ocsy1khBOJRpwObel1qlyFDBNY0ss2nfsAmZZu1rbDq8SHho9L4qlDuhZGhy29OKo+jn+&#10;BgPvw9mflnaGp6/zfnCr12cfioMx4/v+6RFUpj7/m/+u36zgL1aCK9/ICHp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wo/L8YAAADdAAAADwAAAAAAAAAAAAAAAACYAgAAZHJz&#10;L2Rvd25yZXYueG1sUEsFBgAAAAAEAAQA9QAAAIsDAAAAAA==&#10;" fillcolor="#dadcdd" stroked="f"/>
                <v:line id="Line 149" o:spid="_x0000_s1210" style="position:absolute;visibility:visible;mso-wrap-style:square" from="61245,4851" to="61252,4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iaN8UAAADdAAAADwAAAGRycy9kb3ducmV2LnhtbERPS2vCQBC+F/wPyxR6kbpRi7Uxq5QU&#10;oYceNCq9jtlpHmZnQ3ar6b93hYK3+fiek6x604gzda6yrGA8ikAQ51ZXXCjY79bPcxDOI2tsLJOC&#10;P3KwWg4eEoy1vfCWzpkvRAhhF6OC0vs2ltLlJRl0I9sSB+7HdgZ9gF0hdYeXEG4aOYmimTRYcWgo&#10;saW0pPyU/RoFw+/5cIqHrE7HxSSlevN1/Ng6pZ4e+/cFCE+9v4v/3Z86zH95fYPbN+EEub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HiaN8UAAADdAAAADwAAAAAAAAAA&#10;AAAAAAChAgAAZHJzL2Rvd25yZXYueG1sUEsFBgAAAAAEAAQA+QAAAJMDAAAAAA==&#10;" strokecolor="#dadcdd" strokeweight="0"/>
                <v:rect id="Rectangle 150" o:spid="_x0000_s1211" style="position:absolute;left:61245;top:4851;width:89;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lDDsYA&#10;AADdAAAADwAAAGRycy9kb3ducmV2LnhtbESPQWsCMRCF74X+hzAFbzWrFCtbo7RCiyAI2io9Dpvp&#10;JnQzWTap7v575yD0NsN78943i1UfGnWmLvnIBibjAhRxFa3n2sDX5/vjHFTKyBabyGRgoASr5f3d&#10;AksbL7yn8yHXSkI4lWjA5dyWWqfKUcA0ji2xaD+xC5hl7WptO7xIeGj0tChmOqBnaXDY0tpR9Xv4&#10;Cwa2w8kfZ3aCx+/TbnDPH28+FHtjRg/96wuoTH3+N9+uN1bwn+bCL9/ICHp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KlDDsYAAADdAAAADwAAAAAAAAAAAAAAAACYAgAAZHJz&#10;L2Rvd25yZXYueG1sUEsFBgAAAAAEAAQA9QAAAIsDAAAAAA==&#10;" fillcolor="#dadcdd" stroked="f"/>
                <v:line id="Line 151" o:spid="_x0000_s1212" style="position:absolute;visibility:visible;mso-wrap-style:square" from="54387,6470" to="61245,6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9vmFsQAAADdAAAADwAAAGRycy9kb3ducmV2LnhtbERPTWvCQBC9F/wPywhepG5ii4ToKpJS&#10;8OBBU0uv0+yYRLOzIbtq+u9dQehtHu9zFqveNOJKnastK4gnEQjiwuqaSwWHr8/XBITzyBoby6Tg&#10;jxysloOXBaba3nhP19yXIoSwS1FB5X2bSumKigy6iW2JA3e0nUEfYFdK3eEthJtGTqNoJg3WHBoq&#10;bCmrqDjnF6Ng/JOM3/A7P2VxOc3otNv+fuydUqNhv56D8NT7f/HTvdFh/nsSw+ObcIJc3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2+YWxAAAAN0AAAAPAAAAAAAAAAAA&#10;AAAAAKECAABkcnMvZG93bnJldi54bWxQSwUGAAAAAAQABAD5AAAAkgMAAAAA&#10;" strokecolor="#dadcdd" strokeweight="0"/>
                <v:rect id="Rectangle 152" o:spid="_x0000_s1213" style="position:absolute;left:54387;top:6470;width:6947;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d44sMA&#10;AADdAAAADwAAAGRycy9kb3ducmV2LnhtbERPTWsCMRC9F/wPYYTealYRK6tRVFAKhYJWxeOwGTfB&#10;zWTZRN39902h0Ns83ufMl62rxIOaYD0rGA4yEMSF15ZLBcfv7dsURIjIGivPpKCjAMtF72WOufZP&#10;3tPjEEuRQjjkqMDEWOdShsKQwzDwNXHirr5xGBNsSqkbfKZwV8lRlk2kQ8upwWBNG0PF7XB3Cj67&#10;sz1N9BBPl/NXZ953a+uyvVKv/XY1AxGpjf/iP/eHTvPH0xH8fpNOkI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zd44sMAAADdAAAADwAAAAAAAAAAAAAAAACYAgAAZHJzL2Rv&#10;d25yZXYueG1sUEsFBgAAAAAEAAQA9QAAAIgDAAAAAA==&#10;" fillcolor="#dadcdd" stroked="f"/>
                <v:line id="Line 153" o:spid="_x0000_s1214" style="position:absolute;visibility:visible;mso-wrap-style:square" from="54387,8089" to="61245,8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Xd+sQAAADdAAAADwAAAGRycy9kb3ducmV2LnhtbERPS2vCQBC+C/0PyxS8SN34QELqGiQi&#10;9NCDxpZep9kxD7OzIbvV9N+7hYK3+fies04H04or9a62rGA2jUAQF1bXXCr4OO1fYhDOI2tsLZOC&#10;X3KQbp5Ga0y0vfGRrrkvRQhhl6CCyvsukdIVFRl0U9sRB+5se4M+wL6UusdbCDetnEfRShqsOTRU&#10;2FFWUXHJf4yCyVc8WeBn3mSzcp5Rc3j/3h2dUuPnYfsKwtPgH+J/95sO85fxAv6+CSfIz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8Rd36xAAAAN0AAAAPAAAAAAAAAAAA&#10;AAAAAKECAABkcnMvZG93bnJldi54bWxQSwUGAAAAAAQABAD5AAAAkgMAAAAA&#10;" strokecolor="#dadcdd" strokeweight="0"/>
                <v:rect id="Rectangle 154" o:spid="_x0000_s1215" style="position:absolute;left:54387;top:8089;width:6947;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JFDcMA&#10;AADdAAAADwAAAGRycy9kb3ducmV2LnhtbERPTWsCMRC9F/wPYYTeatYiVlajqFApCAWtisdhM26C&#10;m8myibr7702h0Ns83ufMFq2rxJ2aYD0rGA4yEMSF15ZLBYefz7cJiBCRNVaeSUFHARbz3ssMc+0f&#10;vKP7PpYihXDIUYGJsc6lDIUhh2Hga+LEXXzjMCbYlFI3+EjhrpLvWTaWDi2nBoM1rQ0V1/3NKdh2&#10;J3sc6yEez6fvznxsVtZlO6Ve++1yCiJSG//Ff+4vneaPJiP4/SadIO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5JFDcMAAADdAAAADwAAAAAAAAAAAAAAAACYAgAAZHJzL2Rv&#10;d25yZXYueG1sUEsFBgAAAAAEAAQA9QAAAIgDAAAAAA==&#10;" fillcolor="#dadcdd" stroked="f"/>
                <v:line id="Line 155" o:spid="_x0000_s1216" style="position:absolute;visibility:visible;mso-wrap-style:square" from="54387,9702" to="61245,97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DgFcQAAADdAAAADwAAAGRycy9kb3ducmV2LnhtbERPS2vCQBC+C/6HZYReRDc+KiG6ikQK&#10;PfSgaUuvY3ZMotnZkN1q/PduQehtPr7nrDadqcWVWldZVjAZRyCIc6srLhR8fb6NYhDOI2usLZOC&#10;OznYrPu9FSba3vhA18wXIoSwS1BB6X2TSOnykgy6sW2IA3eyrUEfYFtI3eIthJtaTqNoIQ1WHBpK&#10;bCgtKb9kv0bB8CcezvA7O6eTYprSef9x3B2cUi+DbrsE4anz/+Kn+12H+fP4Ff6+CSfI9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4OAVxAAAAN0AAAAPAAAAAAAAAAAA&#10;AAAAAKECAABkcnMvZG93bnJldi54bWxQSwUGAAAAAAQABAD5AAAAkgMAAAAA&#10;" strokecolor="#dadcdd" strokeweight="0"/>
                <v:rect id="Rectangle 156" o:spid="_x0000_s1217" style="position:absolute;left:54387;top:9702;width:6947;height: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x+4cMA&#10;AADdAAAADwAAAGRycy9kb3ducmV2LnhtbERP22oCMRB9L/gPYYS+1axFtrI1ihaUQkHwSh+HzXQT&#10;upksm6i7f98IBd/mcK4zW3SuFldqg/WsYDzKQBCXXluuFBwP65cpiBCRNdaeSUFPARbzwdMMC+1v&#10;vKPrPlYihXAoUIGJsSmkDKUhh2HkG+LE/fjWYUywraRu8ZbCXS1fsyyXDi2nBoMNfRgqf/cXp+Cr&#10;P9tTrsd4+j5ve/O2WVmX7ZR6HnbLdxCRuvgQ/7s/dZo/meZw/yadIO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Ax+4cMAAADdAAAADwAAAAAAAAAAAAAAAACYAgAAZHJzL2Rv&#10;d25yZXYueG1sUEsFBgAAAAAEAAQA9QAAAIgDAAAAAA==&#10;" fillcolor="#dadcdd" stroked="f"/>
                <v:line id="Line 157" o:spid="_x0000_s1218" style="position:absolute;flip:y;visibility:visible;mso-wrap-style:square" from="54387,11296" to="61243,113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x7v08QAAADdAAAADwAAAGRycy9kb3ducmV2LnhtbERP32vCMBB+H/g/hBvsRTRVRKUaRebG&#10;BNnEqu9Hc2uLzaU0man//SIM9nYf389brjtTixu1rrKsYDRMQBDnVldcKDif3gdzEM4ja6wtk4I7&#10;OVivek9LTLUNfKRb5gsRQ9ilqKD0vkmldHlJBt3QNsSR+7atQR9hW0jdYojhppbjJJlKgxXHhhIb&#10;ei0pv2Y/RsFX/y1ct5+jyz70w3ZcZXyY7j+UennuNgsQnjr/L/5z73ScP5nP4PFNPEG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3Hu/TxAAAAN0AAAAPAAAAAAAAAAAA&#10;AAAAAKECAABkcnMvZG93bnJldi54bWxQSwUGAAAAAAQABAD5AAAAkgMAAAAA&#10;" strokecolor="#dadcdd" strokeweight="0"/>
                <v:rect id="Rectangle 158" o:spid="_x0000_s1219" style="position:absolute;left:54387;top:11322;width:6947;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9PCMYA&#10;AADdAAAADwAAAGRycy9kb3ducmV2LnhtbESPQWsCMRCF74X+hzAFbzWrFCtbo7RCiyAI2io9Dpvp&#10;JnQzWTap7v575yD0NsN78943i1UfGnWmLvnIBibjAhRxFa3n2sDX5/vjHFTKyBabyGRgoASr5f3d&#10;AksbL7yn8yHXSkI4lWjA5dyWWqfKUcA0ji2xaD+xC5hl7WptO7xIeGj0tChmOqBnaXDY0tpR9Xv4&#10;Cwa2w8kfZ3aCx+/TbnDPH28+FHtjRg/96wuoTH3+N9+uN1bwn+aCK9/ICHp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t9PCMYAAADdAAAADwAAAAAAAAAAAAAAAACYAgAAZHJz&#10;L2Rvd25yZXYueG1sUEsFBgAAAAAEAAQA9QAAAIsDAAAAAA==&#10;" fillcolor="#dadcdd" stroked="f"/>
                <v:line id="Line 159" o:spid="_x0000_s1220" style="position:absolute;visibility:visible;mso-wrap-style:square" from="61245,12941" to="61252,129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a3qEMUAAADdAAAADwAAAGRycy9kb3ducmV2LnhtbERPS2vCQBC+F/oflhF6kbrRlpJGN1JS&#10;BA8eNFp6HbNjHs3OhuxW03/vCkJv8/E9Z7EcTCvO1LvasoLpJAJBXFhdc6ngsF89xyCcR9bYWiYF&#10;f+RgmT4+LDDR9sI7Oue+FCGEXYIKKu+7REpXVGTQTWxHHLiT7Q36APtS6h4vIdy0chZFb9JgzaGh&#10;wo6yioqf/NcoGH/H4xf8yptsWs4yarab4+fOKfU0Gj7mIDwN/l98d691mP8av8Ptm3CCTK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a3qEMUAAADdAAAADwAAAAAAAAAA&#10;AAAAAAChAgAAZHJzL2Rvd25yZXYueG1sUEsFBgAAAAAEAAQA+QAAAJMDAAAAAA==&#10;" strokecolor="#dadcdd" strokeweight="0"/>
                <v:rect id="Rectangle 160" o:spid="_x0000_s1221" style="position:absolute;left:61245;top:12941;width:89;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DV08cA&#10;AADdAAAADwAAAGRycy9kb3ducmV2LnhtbESPQUsDMRCF74L/IYzgzWYrUttt06KCIhSEVlt6HDbT&#10;TXAzWTax3f33zqHQ2wzvzXvfLFZ9aNSJuuQjGxiPClDEVbSeawM/3+8PU1ApI1tsIpOBgRKslrc3&#10;CyxtPPOGTttcKwnhVKIBl3Nbap0qRwHTKLbEoh1jFzDL2tXadniW8NDox6KY6ICepcFhS2+Oqt/t&#10;XzCwHvZ+N7Fj3B32X4N7/nj1odgYc3/Xv8xBZerz1Xy5/rSC/zQTfvlGRtDL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lw1dPHAAAA3QAAAA8AAAAAAAAAAAAAAAAAmAIAAGRy&#10;cy9kb3ducmV2LnhtbFBLBQYAAAAABAAEAPUAAACMAwAAAAA=&#10;" fillcolor="#dadcdd" stroked="f"/>
                <v:line id="Line 161" o:spid="_x0000_s1222" style="position:absolute;visibility:visible;mso-wrap-style:square" from="61245,14554" to="61252,145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Jwy8UAAADdAAAADwAAAGRycy9kb3ducmV2LnhtbERPS2vCQBC+F/oflhF6kbqJLcXGrFJS&#10;BA8eNFp6HbNjHs3OhuxW03/vCkJv8/E9J10OphVn6l1tWUE8iUAQF1bXXCo47FfPMxDOI2tsLZOC&#10;P3KwXDw+pJhoe+EdnXNfihDCLkEFlfddIqUrKjLoJrYjDtzJ9gZ9gH0pdY+XEG5aOY2iN2mw5tBQ&#10;YUdZRcVP/msUjL9n4xf8ypssLqcZNdvN8XPnlHoaDR9zEJ4G/y++u9c6zH99j+H2TThBL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gJwy8UAAADdAAAADwAAAAAAAAAA&#10;AAAAAAChAgAAZHJzL2Rvd25yZXYueG1sUEsFBgAAAAAEAAQA+QAAAJMDAAAAAA==&#10;" strokecolor="#dadcdd" strokeweight="0"/>
                <v:rect id="Rectangle 162" o:spid="_x0000_s1223" style="position:absolute;left:61245;top:14554;width:89;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7uP8MA&#10;AADdAAAADwAAAGRycy9kb3ducmV2LnhtbERP22oCMRB9L/gPYQq+1axSvGyNokJLoVDwio/DZroJ&#10;3UyWTdTdv28Kgm9zONeZL1tXiSs1wXpWMBxkIIgLry2XCg7795cpiBCRNVaeSUFHAZaL3tMcc+1v&#10;vKXrLpYihXDIUYGJsc6lDIUhh2Hga+LE/fjGYUywKaVu8JbCXSVHWTaWDi2nBoM1bQwVv7uLU/DV&#10;nexxrId4PJ++OzP5WFuXbZXqP7erNxCR2vgQ392fOs1/nY3g/5t0gl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u7uP8MAAADdAAAADwAAAAAAAAAAAAAAAACYAgAAZHJzL2Rv&#10;d25yZXYueG1sUEsFBgAAAAAEAAQA9QAAAIgDAAAAAA==&#10;" fillcolor="#dadcdd" stroked="f"/>
                <v:line id="Line 163" o:spid="_x0000_s1224" style="position:absolute;visibility:visible;mso-wrap-style:square" from="0,16173" to="61245,161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LJ8UAAADdAAAADwAAAGRycy9kb3ducmV2LnhtbERPS2vCQBC+F/oflil4kbpRi9iYVSRS&#10;6MGDxorXaXbMw+xsyG41/feuUOhtPr7nJKveNOJKnassKxiPIhDEudUVFwq+Dh+vcxDOI2tsLJOC&#10;X3KwWj4/JRhre+M9XTNfiBDCLkYFpfdtLKXLSzLoRrYlDtzZdgZ9gF0hdYe3EG4aOYmimTRYcWgo&#10;saW0pPyS/RgFw9N8OMVjVqfjYpJSvdt+b/ZOqcFLv16A8NT7f/Gf+1OH+W/vU3h8E06Qy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xLJ8UAAADdAAAADwAAAAAAAAAA&#10;AAAAAAChAgAAZHJzL2Rvd25yZXYueG1sUEsFBgAAAAAEAAQA+QAAAJMDAAAAAA==&#10;" strokecolor="#dadcdd" strokeweight="0"/>
                <v:rect id="Rectangle 164" o:spid="_x0000_s1225" style="position:absolute;top:16173;width:61334;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vT0MMA&#10;AADdAAAADwAAAGRycy9kb3ducmV2LnhtbERP22oCMRB9L/gPYQp9q1lFvGyNooWWglDwio/DZroJ&#10;3UyWTaq7f28Kgm9zONeZL1tXiQs1wXpWMOhnIIgLry2XCg77j9cpiBCRNVaeSUFHAZaL3tMcc+2v&#10;vKXLLpYihXDIUYGJsc6lDIUhh6Hva+LE/fjGYUywKaVu8JrCXSWHWTaWDi2nBoM1vRsqfnd/TsGm&#10;O9njWA/weD59d2byubYu2yr18tyu3kBEauNDfHd/6TR/NBvB/zfpBLm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kvT0MMAAADdAAAADwAAAAAAAAAAAAAAAACYAgAAZHJzL2Rv&#10;d25yZXYueG1sUEsFBgAAAAAEAAQA9QAAAIgDAAAAAA==&#10;" fillcolor="#dadcdd" stroked="f"/>
                <w10:anchorlock/>
              </v:group>
            </w:pict>
          </mc:Fallback>
        </mc:AlternateContent>
      </w:r>
      <w:r w:rsidR="008871C6">
        <w:t>Dividends</w:t>
      </w:r>
    </w:p>
    <w:p w:rsidR="00FA6A77" w:rsidRPr="00D5126A" w:rsidRDefault="00FA6A77" w:rsidP="00FA6A77">
      <w:pPr>
        <w:pStyle w:val="Body"/>
        <w:jc w:val="both"/>
      </w:pPr>
      <w:r w:rsidRPr="00D5126A">
        <w:t>The dividend from associates was from Council’s 34% holding in Wellington International Airport Limited</w:t>
      </w:r>
      <w:r w:rsidR="008871C6">
        <w:t xml:space="preserve"> (see Figure 2 below)</w:t>
      </w:r>
      <w:r w:rsidRPr="00D5126A">
        <w:t xml:space="preserve">. </w:t>
      </w:r>
    </w:p>
    <w:p w:rsidR="00FA6A77" w:rsidRPr="00D5126A" w:rsidRDefault="00FA6A77" w:rsidP="00FA6A77">
      <w:pPr>
        <w:pStyle w:val="Body"/>
        <w:jc w:val="both"/>
      </w:pPr>
      <w:r w:rsidRPr="00D5126A">
        <w:t>The Council received a dividend ($0.441m) from its equity investment in Civic Financial Services Limited, following the sale of its building, Civic Assurance House. The balance ($0.096m) was from its equity investment in the LGFA.</w:t>
      </w:r>
    </w:p>
    <w:p w:rsidR="00FA6A77" w:rsidRPr="00D5126A" w:rsidRDefault="00FA6A77" w:rsidP="00FA6A77">
      <w:pPr>
        <w:pStyle w:val="Body"/>
        <w:jc w:val="both"/>
      </w:pPr>
      <w:r w:rsidRPr="00D5126A">
        <w:t xml:space="preserve">The Council continues to maintain its current level of investment as it considers the dividend stream adds diversity to normal rates revenue. The investment portfolio is presently maintained as it is strategically, financially and economically prudent to do so. </w:t>
      </w:r>
    </w:p>
    <w:p w:rsidR="00FA6A77" w:rsidRPr="00D5126A" w:rsidRDefault="00FA6A77" w:rsidP="00FA6A77">
      <w:pPr>
        <w:pStyle w:val="Body"/>
        <w:jc w:val="both"/>
      </w:pPr>
    </w:p>
    <w:p w:rsidR="0088528B" w:rsidRDefault="0088528B" w:rsidP="0088528B">
      <w:pPr>
        <w:pStyle w:val="Caption"/>
      </w:pPr>
      <w:r>
        <w:t xml:space="preserve">Section 5 - Figure </w:t>
      </w:r>
      <w:fldSimple w:instr=" SEQ Section_5_-_Figure \* ARABIC ">
        <w:r>
          <w:rPr>
            <w:noProof/>
          </w:rPr>
          <w:t>2</w:t>
        </w:r>
      </w:fldSimple>
      <w:r>
        <w:t>: Dividends ($000) - Wellington International Airport Limited</w:t>
      </w:r>
    </w:p>
    <w:p w:rsidR="00FA6A77" w:rsidRPr="00D5126A" w:rsidRDefault="00FA6A77" w:rsidP="0088528B">
      <w:pPr>
        <w:pStyle w:val="Body"/>
      </w:pPr>
      <w:r w:rsidRPr="00D5126A">
        <w:rPr>
          <w:noProof/>
          <w:lang w:eastAsia="en-NZ"/>
        </w:rPr>
        <w:drawing>
          <wp:inline distT="0" distB="0" distL="0" distR="0" wp14:anchorId="4F82B039" wp14:editId="63AF5DD6">
            <wp:extent cx="5148580" cy="2753360"/>
            <wp:effectExtent l="0" t="0" r="0" b="8890"/>
            <wp:docPr id="1460" name="Picture 1460" descr="2019: 13,881,000" title="Section 5 - Figure 2: Dividends ($000) - Wellington International Airport Limi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148580" cy="2753360"/>
                    </a:xfrm>
                    <a:prstGeom prst="rect">
                      <a:avLst/>
                    </a:prstGeom>
                    <a:noFill/>
                    <a:ln>
                      <a:noFill/>
                    </a:ln>
                  </pic:spPr>
                </pic:pic>
              </a:graphicData>
            </a:graphic>
          </wp:inline>
        </w:drawing>
      </w:r>
    </w:p>
    <w:p w:rsidR="00FA6A77" w:rsidRPr="00D5126A" w:rsidRDefault="00FA6A77" w:rsidP="00D9040A">
      <w:pPr>
        <w:spacing w:before="240"/>
        <w:rPr>
          <w:lang w:eastAsia="en-GB"/>
        </w:rPr>
      </w:pPr>
      <w:r w:rsidRPr="00D5126A">
        <w:rPr>
          <w:lang w:eastAsia="en-GB"/>
        </w:rPr>
        <w:t xml:space="preserve">For further information refer to Note 20: Investment in associates and jointly controlled entity </w:t>
      </w:r>
      <w:r w:rsidRPr="00213CD7">
        <w:rPr>
          <w:lang w:eastAsia="en-GB"/>
        </w:rPr>
        <w:t>(</w:t>
      </w:r>
      <w:r w:rsidR="00972CA2" w:rsidRPr="00213CD7">
        <w:rPr>
          <w:lang w:eastAsia="en-GB"/>
        </w:rPr>
        <w:t xml:space="preserve">page </w:t>
      </w:r>
      <w:r w:rsidR="00213CD7" w:rsidRPr="00213CD7">
        <w:rPr>
          <w:lang w:eastAsia="en-GB"/>
        </w:rPr>
        <w:t>263</w:t>
      </w:r>
      <w:r w:rsidRPr="00213CD7">
        <w:rPr>
          <w:lang w:eastAsia="en-GB"/>
        </w:rPr>
        <w:t>).</w:t>
      </w:r>
    </w:p>
    <w:p w:rsidR="008871C6" w:rsidRDefault="008871C6" w:rsidP="008871C6">
      <w:pPr>
        <w:pStyle w:val="Heading4"/>
        <w:rPr>
          <w:lang w:eastAsia="en-GB"/>
        </w:rPr>
      </w:pPr>
      <w:r>
        <w:rPr>
          <w:lang w:eastAsia="en-GB"/>
        </w:rPr>
        <w:t>Investment properties</w:t>
      </w:r>
    </w:p>
    <w:p w:rsidR="00FA6A77" w:rsidRPr="00D5126A" w:rsidRDefault="00FA6A77" w:rsidP="00972CA2">
      <w:pPr>
        <w:rPr>
          <w:lang w:eastAsia="en-GB"/>
        </w:rPr>
      </w:pPr>
      <w:r w:rsidRPr="00D5126A">
        <w:rPr>
          <w:lang w:eastAsia="en-GB"/>
        </w:rPr>
        <w:t xml:space="preserve">The revenues from investment properties are primarily from ground leases around the CBD and on the waterfront.  The Council periodically reviews its continued ownership of investment properties by assessing the benefits against other arrangements that could deliver similar benefits. Any assessment is based on both the strategic benefit of the investment/ownership and in terms of the most financially viable method of achieving the delivery of Council services. </w:t>
      </w:r>
    </w:p>
    <w:p w:rsidR="00FA6A77" w:rsidRPr="00D5126A" w:rsidRDefault="00FA6A77" w:rsidP="00972CA2">
      <w:pPr>
        <w:rPr>
          <w:lang w:eastAsia="en-GB"/>
        </w:rPr>
      </w:pPr>
      <w:r w:rsidRPr="00D5126A">
        <w:rPr>
          <w:lang w:eastAsia="en-GB"/>
        </w:rPr>
        <w:lastRenderedPageBreak/>
        <w:t xml:space="preserve">For further information refer to Note 17: Investment </w:t>
      </w:r>
      <w:r w:rsidRPr="00213CD7">
        <w:rPr>
          <w:lang w:eastAsia="en-GB"/>
        </w:rPr>
        <w:t xml:space="preserve">properties </w:t>
      </w:r>
      <w:r w:rsidR="00972CA2" w:rsidRPr="00213CD7">
        <w:rPr>
          <w:lang w:eastAsia="en-GB"/>
        </w:rPr>
        <w:t xml:space="preserve">(page </w:t>
      </w:r>
      <w:r w:rsidR="00213CD7" w:rsidRPr="00213CD7">
        <w:rPr>
          <w:lang w:eastAsia="en-GB"/>
        </w:rPr>
        <w:t>250</w:t>
      </w:r>
      <w:r w:rsidR="00972CA2" w:rsidRPr="00213CD7">
        <w:rPr>
          <w:lang w:eastAsia="en-GB"/>
        </w:rPr>
        <w:t>)</w:t>
      </w:r>
      <w:r w:rsidRPr="00213CD7">
        <w:rPr>
          <w:lang w:eastAsia="en-GB"/>
        </w:rPr>
        <w:t>.</w:t>
      </w:r>
    </w:p>
    <w:p w:rsidR="00FA6A77" w:rsidRPr="00D5126A" w:rsidRDefault="00FA6A77" w:rsidP="00972CA2">
      <w:pPr>
        <w:pStyle w:val="Heading4"/>
        <w:rPr>
          <w:lang w:eastAsia="en-GB"/>
        </w:rPr>
      </w:pPr>
      <w:r w:rsidRPr="00D5126A">
        <w:rPr>
          <w:lang w:eastAsia="en-GB"/>
        </w:rPr>
        <w:t>Relevant significant accounting policies</w:t>
      </w:r>
    </w:p>
    <w:p w:rsidR="00FA6A77" w:rsidRPr="00D5126A" w:rsidRDefault="00FA6A77" w:rsidP="00972CA2">
      <w:pPr>
        <w:pStyle w:val="Heading5"/>
        <w:rPr>
          <w:lang w:eastAsia="en-GB"/>
        </w:rPr>
      </w:pPr>
      <w:r w:rsidRPr="00D5126A">
        <w:rPr>
          <w:lang w:eastAsia="en-GB"/>
        </w:rPr>
        <w:t>Dividends</w:t>
      </w:r>
    </w:p>
    <w:p w:rsidR="00FA6A77" w:rsidRPr="00D5126A" w:rsidRDefault="00FA6A77" w:rsidP="00972CA2">
      <w:pPr>
        <w:rPr>
          <w:lang w:eastAsia="en-GB"/>
        </w:rPr>
      </w:pPr>
      <w:r w:rsidRPr="00D5126A">
        <w:rPr>
          <w:lang w:eastAsia="en-GB"/>
        </w:rPr>
        <w:t xml:space="preserve">Dividends from equity investments are recognised when the Council’s right to receive payment has been established.  </w:t>
      </w:r>
    </w:p>
    <w:p w:rsidR="00FA6A77" w:rsidRPr="00D5126A" w:rsidRDefault="00FA6A77" w:rsidP="00972CA2">
      <w:pPr>
        <w:pStyle w:val="Heading5"/>
        <w:rPr>
          <w:lang w:eastAsia="en-GB"/>
        </w:rPr>
      </w:pPr>
      <w:r w:rsidRPr="00D5126A">
        <w:rPr>
          <w:lang w:eastAsia="en-GB"/>
        </w:rPr>
        <w:t>Investment property lease rentals</w:t>
      </w:r>
    </w:p>
    <w:p w:rsidR="00972CA2" w:rsidRPr="00D5126A" w:rsidRDefault="00FA6A77">
      <w:pPr>
        <w:rPr>
          <w:rFonts w:asciiTheme="majorHAnsi" w:eastAsiaTheme="majorEastAsia" w:hAnsiTheme="majorHAnsi"/>
          <w:b/>
          <w:bCs/>
          <w:color w:val="1F497D" w:themeColor="text2"/>
          <w:sz w:val="40"/>
          <w:szCs w:val="40"/>
        </w:rPr>
      </w:pPr>
      <w:r w:rsidRPr="00D5126A">
        <w:rPr>
          <w:lang w:eastAsia="en-GB"/>
        </w:rPr>
        <w:t>Lease rentals (net of any incentives given) are recognised on a straight line basis over the term of the lease unless another systematic basis is more representative of the time pattern in which benefits derived from</w:t>
      </w:r>
      <w:r w:rsidR="008871C6">
        <w:rPr>
          <w:lang w:eastAsia="en-GB"/>
        </w:rPr>
        <w:t xml:space="preserve"> the leased asset is diminished.</w:t>
      </w:r>
      <w:bookmarkStart w:id="401" w:name="_Toc19092054"/>
    </w:p>
    <w:p w:rsidR="00FA6A77" w:rsidRPr="00D5126A" w:rsidRDefault="00FA6A77" w:rsidP="009E28FB">
      <w:pPr>
        <w:pStyle w:val="Heading3"/>
      </w:pPr>
      <w:bookmarkStart w:id="402" w:name="_Toc23848695"/>
      <w:r w:rsidRPr="00D5126A">
        <w:t>Note 4: Vested assets and other revenue</w:t>
      </w:r>
      <w:bookmarkEnd w:id="401"/>
      <w:bookmarkEnd w:id="402"/>
    </w:p>
    <w:p w:rsidR="0088528B" w:rsidRDefault="0088528B" w:rsidP="0088528B">
      <w:pPr>
        <w:pStyle w:val="Caption"/>
      </w:pPr>
      <w:r>
        <w:t xml:space="preserve">Section 5 - Table </w:t>
      </w:r>
      <w:fldSimple w:instr=" SEQ Section_5_-_Table \* ARABIC ">
        <w:r w:rsidR="005908C4">
          <w:rPr>
            <w:noProof/>
          </w:rPr>
          <w:t>5</w:t>
        </w:r>
      </w:fldSimple>
      <w:r>
        <w:t>: Vested assets and other revenue</w:t>
      </w:r>
    </w:p>
    <w:p w:rsidR="009E28FB" w:rsidRPr="00D5126A" w:rsidRDefault="0088528B" w:rsidP="009E28FB">
      <w:r w:rsidRPr="00D5126A">
        <w:rPr>
          <w:noProof/>
          <w:lang w:eastAsia="en-NZ"/>
        </w:rPr>
        <w:drawing>
          <wp:inline distT="0" distB="0" distL="0" distR="0" wp14:anchorId="59AFC07E" wp14:editId="4678953D">
            <wp:extent cx="6182360" cy="1471295"/>
            <wp:effectExtent l="0" t="0" r="8890" b="0"/>
            <wp:docPr id="1459" name="Picture 1459" descr="Total vested assets and other revenue: $17,460,000" title="Section 5 - Table 5: Vested assets and other reven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182360" cy="1471295"/>
                    </a:xfrm>
                    <a:prstGeom prst="rect">
                      <a:avLst/>
                    </a:prstGeom>
                    <a:noFill/>
                    <a:ln>
                      <a:noFill/>
                    </a:ln>
                  </pic:spPr>
                </pic:pic>
              </a:graphicData>
            </a:graphic>
          </wp:inline>
        </w:drawing>
      </w:r>
    </w:p>
    <w:p w:rsidR="00FA6A77" w:rsidRPr="00D5126A" w:rsidRDefault="00FA6A77" w:rsidP="00972CA2">
      <w:pPr>
        <w:rPr>
          <w:lang w:eastAsia="en-GB"/>
        </w:rPr>
      </w:pPr>
      <w:r w:rsidRPr="00D5126A">
        <w:rPr>
          <w:lang w:eastAsia="en-GB"/>
        </w:rPr>
        <w:t>Vested assets are principally infrastructural assets such as roading, drainage, waste and water assets that have been constructed by developers. As part of the consents process, ownership of these assets is transferred to the Council, and on completion they become part of the city’s network. Although vested assets are non-cash in nature and represent a future obligation to the Council, as the Council will have the ongoing costs associated with maintaining the assets, they are recognised as revenue in accordance with the applicable accounting standard.</w:t>
      </w:r>
    </w:p>
    <w:p w:rsidR="00FA6A77" w:rsidRPr="00D5126A" w:rsidRDefault="00FA6A77" w:rsidP="00972CA2">
      <w:pPr>
        <w:rPr>
          <w:lang w:eastAsia="en-GB"/>
        </w:rPr>
      </w:pPr>
      <w:r w:rsidRPr="00D5126A">
        <w:rPr>
          <w:lang w:eastAsia="en-GB"/>
        </w:rPr>
        <w:t>The breakdown of principal vested assets received is:</w:t>
      </w:r>
    </w:p>
    <w:p w:rsidR="00FA6A77" w:rsidRPr="00D5126A" w:rsidRDefault="00FA6A77" w:rsidP="002C7BF8">
      <w:pPr>
        <w:pStyle w:val="ListParagraph"/>
        <w:numPr>
          <w:ilvl w:val="0"/>
          <w:numId w:val="43"/>
        </w:numPr>
        <w:rPr>
          <w:lang w:eastAsia="en-GB"/>
        </w:rPr>
      </w:pPr>
      <w:r w:rsidRPr="00D5126A">
        <w:rPr>
          <w:lang w:eastAsia="en-GB"/>
        </w:rPr>
        <w:t xml:space="preserve">Drainage, waste and water - $8.082m (2018: $4.950m). </w:t>
      </w:r>
    </w:p>
    <w:p w:rsidR="00FA6A77" w:rsidRPr="00D5126A" w:rsidRDefault="00FA6A77" w:rsidP="002C7BF8">
      <w:pPr>
        <w:pStyle w:val="ListParagraph"/>
        <w:numPr>
          <w:ilvl w:val="0"/>
          <w:numId w:val="43"/>
        </w:numPr>
        <w:rPr>
          <w:lang w:eastAsia="en-GB"/>
        </w:rPr>
      </w:pPr>
      <w:r w:rsidRPr="00D5126A">
        <w:rPr>
          <w:lang w:eastAsia="en-GB"/>
        </w:rPr>
        <w:t>(This includes $3.161m from the Crown in relation to emergency water stations to add to the resilience of the city.)</w:t>
      </w:r>
    </w:p>
    <w:p w:rsidR="00FA6A77" w:rsidRPr="00D5126A" w:rsidRDefault="00FA6A77" w:rsidP="002C7BF8">
      <w:pPr>
        <w:pStyle w:val="ListParagraph"/>
        <w:numPr>
          <w:ilvl w:val="0"/>
          <w:numId w:val="43"/>
        </w:numPr>
        <w:rPr>
          <w:lang w:eastAsia="en-GB"/>
        </w:rPr>
      </w:pPr>
      <w:r w:rsidRPr="00D5126A">
        <w:rPr>
          <w:lang w:eastAsia="en-GB"/>
        </w:rPr>
        <w:t>Roading - $4.148m (2018: $2.102m)</w:t>
      </w:r>
    </w:p>
    <w:p w:rsidR="00FA6A77" w:rsidRPr="00D5126A" w:rsidRDefault="00FA6A77" w:rsidP="002C7BF8">
      <w:pPr>
        <w:pStyle w:val="ListParagraph"/>
        <w:numPr>
          <w:ilvl w:val="0"/>
          <w:numId w:val="43"/>
        </w:numPr>
        <w:rPr>
          <w:lang w:eastAsia="en-GB"/>
        </w:rPr>
      </w:pPr>
      <w:r w:rsidRPr="00D5126A">
        <w:rPr>
          <w:lang w:eastAsia="en-GB"/>
        </w:rPr>
        <w:t xml:space="preserve">Outer Greenbelt land - $1.118m (2018: Nil) </w:t>
      </w:r>
    </w:p>
    <w:p w:rsidR="00FA6A77" w:rsidRPr="00D5126A" w:rsidRDefault="00972CA2" w:rsidP="00972CA2">
      <w:pPr>
        <w:rPr>
          <w:lang w:eastAsia="en-GB"/>
        </w:rPr>
      </w:pPr>
      <w:r w:rsidRPr="00D5126A">
        <w:rPr>
          <w:lang w:eastAsia="en-GB"/>
        </w:rPr>
        <w:t>O</w:t>
      </w:r>
      <w:r w:rsidR="00FA6A77" w:rsidRPr="00D5126A">
        <w:rPr>
          <w:lang w:eastAsia="en-GB"/>
        </w:rPr>
        <w:t>ther revenue consisted of:</w:t>
      </w:r>
    </w:p>
    <w:p w:rsidR="00FA6A77" w:rsidRPr="00D5126A" w:rsidRDefault="00FA6A77" w:rsidP="002C7BF8">
      <w:pPr>
        <w:pStyle w:val="ListParagraph"/>
        <w:numPr>
          <w:ilvl w:val="0"/>
          <w:numId w:val="44"/>
        </w:numPr>
        <w:rPr>
          <w:lang w:eastAsia="en-GB"/>
        </w:rPr>
      </w:pPr>
      <w:r w:rsidRPr="00D5126A">
        <w:rPr>
          <w:lang w:eastAsia="en-GB"/>
        </w:rPr>
        <w:t>Externally funded contributions for capital works $2.011m</w:t>
      </w:r>
    </w:p>
    <w:p w:rsidR="00FA6A77" w:rsidRPr="00D5126A" w:rsidRDefault="00FA6A77" w:rsidP="002C7BF8">
      <w:pPr>
        <w:pStyle w:val="ListParagraph"/>
        <w:numPr>
          <w:ilvl w:val="0"/>
          <w:numId w:val="44"/>
        </w:numPr>
        <w:rPr>
          <w:lang w:eastAsia="en-GB"/>
        </w:rPr>
      </w:pPr>
      <w:r w:rsidRPr="00D5126A">
        <w:rPr>
          <w:lang w:eastAsia="en-GB"/>
        </w:rPr>
        <w:t>Fuel tax - $1.139m (2018: $1.132m)</w:t>
      </w:r>
    </w:p>
    <w:p w:rsidR="00FA6A77" w:rsidRPr="00D5126A" w:rsidRDefault="00FA6A77" w:rsidP="00972CA2">
      <w:pPr>
        <w:pStyle w:val="Heading4"/>
        <w:rPr>
          <w:rFonts w:asciiTheme="majorHAnsi" w:hAnsiTheme="majorHAnsi"/>
          <w:lang w:eastAsia="en-GB"/>
        </w:rPr>
      </w:pPr>
      <w:r w:rsidRPr="00D5126A">
        <w:rPr>
          <w:lang w:eastAsia="en-GB"/>
        </w:rPr>
        <w:lastRenderedPageBreak/>
        <w:t>Relevant significant accounting policies</w:t>
      </w:r>
    </w:p>
    <w:p w:rsidR="00FA6A77" w:rsidRPr="00D5126A" w:rsidRDefault="00FA6A77" w:rsidP="00972CA2">
      <w:pPr>
        <w:pStyle w:val="Heading5"/>
        <w:rPr>
          <w:lang w:eastAsia="en-GB"/>
        </w:rPr>
      </w:pPr>
      <w:r w:rsidRPr="00D5126A">
        <w:rPr>
          <w:lang w:eastAsia="en-GB"/>
        </w:rPr>
        <w:t xml:space="preserve">Donated, subsidised or vested assets </w:t>
      </w:r>
    </w:p>
    <w:p w:rsidR="00FA6A77" w:rsidRPr="00D5126A" w:rsidRDefault="00FA6A77" w:rsidP="00972CA2">
      <w:pPr>
        <w:rPr>
          <w:rFonts w:ascii="Arial" w:hAnsi="Arial" w:cs="Arial"/>
          <w:sz w:val="20"/>
          <w:szCs w:val="20"/>
          <w:lang w:eastAsia="en-GB"/>
        </w:rPr>
      </w:pPr>
      <w:r w:rsidRPr="00D5126A">
        <w:rPr>
          <w:rFonts w:ascii="Arial" w:hAnsi="Arial" w:cs="Arial"/>
          <w:color w:val="333333"/>
          <w:lang w:eastAsia="en-GB"/>
        </w:rPr>
        <w:t>Where a physical asset is acquired for nil or nominal consideration, with no conditions attached, the fair value of the asset received, as determined by active market prices, is recognised as non-exchange revenue when the control of the asset is transferred to the Council.</w:t>
      </w:r>
    </w:p>
    <w:p w:rsidR="00FA6A77" w:rsidRPr="00D5126A" w:rsidRDefault="00FA6A77" w:rsidP="00972CA2">
      <w:pPr>
        <w:pStyle w:val="Heading5"/>
        <w:rPr>
          <w:sz w:val="24"/>
          <w:szCs w:val="28"/>
          <w:lang w:eastAsia="en-GB"/>
        </w:rPr>
      </w:pPr>
      <w:r w:rsidRPr="00D5126A">
        <w:rPr>
          <w:lang w:eastAsia="en-GB"/>
        </w:rPr>
        <w:t>Gains</w:t>
      </w:r>
    </w:p>
    <w:p w:rsidR="00FA6A77" w:rsidRPr="00D5126A" w:rsidRDefault="00FA6A77" w:rsidP="00972CA2">
      <w:pPr>
        <w:rPr>
          <w:rFonts w:ascii="Arial" w:hAnsi="Arial" w:cs="Arial"/>
          <w:color w:val="333333"/>
          <w:lang w:eastAsia="en-GB"/>
        </w:rPr>
      </w:pPr>
      <w:r w:rsidRPr="00D5126A">
        <w:rPr>
          <w:rFonts w:ascii="Arial" w:hAnsi="Arial" w:cs="Arial"/>
          <w:color w:val="333333"/>
          <w:lang w:eastAsia="en-GB"/>
        </w:rPr>
        <w:t xml:space="preserve">Gains include additional earnings (ie. sale proceeds in excess of the book value) on the disposal of property, plant and equipment. </w:t>
      </w:r>
    </w:p>
    <w:p w:rsidR="00FA6A77" w:rsidRPr="00D5126A" w:rsidRDefault="00FA6A77" w:rsidP="00972CA2">
      <w:pPr>
        <w:pStyle w:val="Heading5"/>
        <w:rPr>
          <w:lang w:eastAsia="en-GB"/>
        </w:rPr>
      </w:pPr>
      <w:r w:rsidRPr="00D5126A">
        <w:rPr>
          <w:lang w:eastAsia="en-GB"/>
        </w:rPr>
        <w:t>Donated services</w:t>
      </w:r>
    </w:p>
    <w:p w:rsidR="00972CA2" w:rsidRPr="00D5126A" w:rsidRDefault="00FA6A77" w:rsidP="00972CA2">
      <w:pPr>
        <w:rPr>
          <w:lang w:eastAsia="en-GB"/>
        </w:rPr>
      </w:pPr>
      <w:r w:rsidRPr="00D5126A">
        <w:rPr>
          <w:rFonts w:ascii="Arial" w:hAnsi="Arial" w:cs="Arial"/>
          <w:color w:val="333333"/>
          <w:lang w:eastAsia="en-GB"/>
        </w:rPr>
        <w:t>The Council benefits from the voluntary service of many Wellingtonians in the delivery of its activities and services (eg. beach cleaning and Otari-Wilton’s Bush guiding and planting). Due to the difficulty in determining the precise value of these donated services with sufficient reliability, donated services are not recognised in these financial statements.</w:t>
      </w:r>
      <w:bookmarkStart w:id="403" w:name="_Toc19092055"/>
    </w:p>
    <w:p w:rsidR="00FA6A77" w:rsidRPr="00D5126A" w:rsidRDefault="00FA6A77" w:rsidP="00972CA2">
      <w:pPr>
        <w:pStyle w:val="Heading3"/>
        <w:rPr>
          <w:rFonts w:ascii="Arial" w:hAnsi="Arial" w:cs="Arial"/>
          <w:color w:val="333333"/>
          <w:lang w:eastAsia="en-GB"/>
        </w:rPr>
      </w:pPr>
      <w:bookmarkStart w:id="404" w:name="_Toc23848696"/>
      <w:r w:rsidRPr="00D5126A">
        <w:t>Note 5: Fair value movements</w:t>
      </w:r>
      <w:bookmarkEnd w:id="403"/>
      <w:bookmarkEnd w:id="404"/>
    </w:p>
    <w:p w:rsidR="0088528B" w:rsidRDefault="0088528B" w:rsidP="0088528B">
      <w:pPr>
        <w:pStyle w:val="Caption"/>
      </w:pPr>
      <w:r>
        <w:t xml:space="preserve">Section 5 - Table </w:t>
      </w:r>
      <w:fldSimple w:instr=" SEQ Section_5_-_Table \* ARABIC ">
        <w:r w:rsidR="005908C4">
          <w:rPr>
            <w:noProof/>
          </w:rPr>
          <w:t>6</w:t>
        </w:r>
      </w:fldSimple>
      <w:r>
        <w:t>: Fair value movements</w:t>
      </w:r>
    </w:p>
    <w:p w:rsidR="00FA6A77" w:rsidRPr="00D5126A" w:rsidRDefault="0088528B" w:rsidP="00972CA2">
      <w:r w:rsidRPr="00D5126A">
        <w:rPr>
          <w:noProof/>
          <w:lang w:eastAsia="en-NZ"/>
        </w:rPr>
        <w:drawing>
          <wp:inline distT="0" distB="0" distL="0" distR="0" wp14:anchorId="1B021B7B" wp14:editId="3AE4FAC0">
            <wp:extent cx="6191885" cy="1471295"/>
            <wp:effectExtent l="0" t="0" r="0" b="0"/>
            <wp:docPr id="1458" name="Picture 1458" descr="Total Fair value gains: $18,458,000" title="Section 5 - Table 6: Fair value mov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191885" cy="1471295"/>
                    </a:xfrm>
                    <a:prstGeom prst="rect">
                      <a:avLst/>
                    </a:prstGeom>
                    <a:noFill/>
                    <a:ln>
                      <a:noFill/>
                    </a:ln>
                  </pic:spPr>
                </pic:pic>
              </a:graphicData>
            </a:graphic>
          </wp:inline>
        </w:drawing>
      </w:r>
    </w:p>
    <w:p w:rsidR="00FA6A77" w:rsidRPr="00213CD7" w:rsidRDefault="00FA6A77" w:rsidP="00972CA2">
      <w:pPr>
        <w:rPr>
          <w:rFonts w:ascii="Arial" w:hAnsi="Arial" w:cs="Arial"/>
          <w:color w:val="333333"/>
          <w:lang w:eastAsia="en-GB"/>
        </w:rPr>
      </w:pPr>
      <w:r w:rsidRPr="00D5126A">
        <w:rPr>
          <w:rFonts w:ascii="Arial" w:hAnsi="Arial" w:cs="Arial"/>
          <w:color w:val="333333"/>
          <w:lang w:eastAsia="en-GB"/>
        </w:rPr>
        <w:t>Investment properties, which are revalued annually, are held primarily to earn lease revenue and/or for capital growth. These properties include the Council’s ground leases and certain lands and buildings, including the waterfront‘s investment properties. For more information refer to Note 17: Investment prop</w:t>
      </w:r>
      <w:r w:rsidRPr="00213CD7">
        <w:rPr>
          <w:rFonts w:ascii="Arial" w:hAnsi="Arial" w:cs="Arial"/>
          <w:color w:val="333333"/>
          <w:lang w:eastAsia="en-GB"/>
        </w:rPr>
        <w:t xml:space="preserve">erties </w:t>
      </w:r>
      <w:r w:rsidR="00972CA2" w:rsidRPr="00213CD7">
        <w:rPr>
          <w:lang w:eastAsia="en-GB"/>
        </w:rPr>
        <w:t xml:space="preserve">(page </w:t>
      </w:r>
      <w:r w:rsidR="00213CD7" w:rsidRPr="00213CD7">
        <w:rPr>
          <w:lang w:eastAsia="en-GB"/>
        </w:rPr>
        <w:t>250</w:t>
      </w:r>
      <w:r w:rsidR="00972CA2" w:rsidRPr="00213CD7">
        <w:rPr>
          <w:lang w:eastAsia="en-GB"/>
        </w:rPr>
        <w:t>)</w:t>
      </w:r>
      <w:r w:rsidRPr="00213CD7">
        <w:rPr>
          <w:rFonts w:ascii="Arial" w:hAnsi="Arial" w:cs="Arial"/>
          <w:color w:val="333333"/>
          <w:lang w:eastAsia="en-GB"/>
        </w:rPr>
        <w:t>.</w:t>
      </w:r>
    </w:p>
    <w:p w:rsidR="00FA6A77" w:rsidRPr="00213CD7" w:rsidRDefault="00FA6A77" w:rsidP="00972CA2">
      <w:pPr>
        <w:pStyle w:val="Heading4"/>
        <w:rPr>
          <w:rFonts w:asciiTheme="majorHAnsi" w:hAnsiTheme="majorHAnsi"/>
          <w:lang w:eastAsia="en-GB"/>
        </w:rPr>
      </w:pPr>
      <w:r w:rsidRPr="00213CD7">
        <w:rPr>
          <w:lang w:eastAsia="en-GB"/>
        </w:rPr>
        <w:t>Relevant significant accounting policies</w:t>
      </w:r>
    </w:p>
    <w:p w:rsidR="00FA6A77" w:rsidRPr="00213CD7" w:rsidRDefault="00FA6A77" w:rsidP="00972CA2">
      <w:pPr>
        <w:pStyle w:val="Heading5"/>
        <w:rPr>
          <w:lang w:eastAsia="en-GB"/>
        </w:rPr>
      </w:pPr>
      <w:r w:rsidRPr="00213CD7">
        <w:rPr>
          <w:lang w:eastAsia="en-GB"/>
        </w:rPr>
        <w:t>Gains</w:t>
      </w:r>
    </w:p>
    <w:p w:rsidR="00FA6A77" w:rsidRPr="00213CD7" w:rsidRDefault="00FA6A77" w:rsidP="00972CA2">
      <w:pPr>
        <w:rPr>
          <w:rFonts w:ascii="Arial" w:hAnsi="Arial" w:cs="Arial"/>
          <w:color w:val="333333"/>
        </w:rPr>
      </w:pPr>
      <w:r w:rsidRPr="00213CD7">
        <w:rPr>
          <w:rFonts w:ascii="Arial" w:hAnsi="Arial" w:cs="Arial"/>
          <w:color w:val="333333"/>
        </w:rPr>
        <w:t>Gains include increases on the revaluation of investment property and in the fair value of financial assets and liabilities.</w:t>
      </w:r>
    </w:p>
    <w:p w:rsidR="00FA6A77" w:rsidRPr="00213CD7" w:rsidRDefault="00FA6A77" w:rsidP="00972CA2">
      <w:pPr>
        <w:pStyle w:val="Heading5"/>
        <w:rPr>
          <w:lang w:eastAsia="en-GB"/>
        </w:rPr>
      </w:pPr>
      <w:r w:rsidRPr="00213CD7">
        <w:rPr>
          <w:lang w:eastAsia="en-GB"/>
        </w:rPr>
        <w:t>Investment properties</w:t>
      </w:r>
    </w:p>
    <w:p w:rsidR="00FA6A77" w:rsidRPr="00213CD7" w:rsidRDefault="00FA6A77" w:rsidP="00972CA2">
      <w:pPr>
        <w:rPr>
          <w:rFonts w:ascii="Arial" w:hAnsi="Arial" w:cs="Arial"/>
        </w:rPr>
      </w:pPr>
      <w:r w:rsidRPr="00213CD7">
        <w:rPr>
          <w:rFonts w:ascii="Arial" w:hAnsi="Arial" w:cs="Arial"/>
          <w:color w:val="333333"/>
          <w:lang w:eastAsia="en-GB"/>
        </w:rPr>
        <w:t>Investment properties are measured initially at cost and subsequently measured at fair value, determined annually by an independent registered valuer. Any gain or loss arising is recognised within surplus or deficit. Investment properties are not depreciated</w:t>
      </w:r>
      <w:r w:rsidRPr="00213CD7">
        <w:rPr>
          <w:rFonts w:ascii="Arial" w:hAnsi="Arial" w:cs="Arial"/>
        </w:rPr>
        <w:t>.</w:t>
      </w:r>
    </w:p>
    <w:p w:rsidR="00FA6A77" w:rsidRPr="00213CD7" w:rsidRDefault="00FA6A77" w:rsidP="00972CA2">
      <w:pPr>
        <w:pStyle w:val="Heading5"/>
        <w:rPr>
          <w:lang w:eastAsia="en-GB"/>
        </w:rPr>
      </w:pPr>
      <w:r w:rsidRPr="00213CD7">
        <w:rPr>
          <w:lang w:eastAsia="en-GB"/>
        </w:rPr>
        <w:t>Derivatives</w:t>
      </w:r>
    </w:p>
    <w:p w:rsidR="00FA6A77" w:rsidRPr="00213CD7" w:rsidRDefault="00FA6A77" w:rsidP="00FA6A77">
      <w:r w:rsidRPr="00213CD7">
        <w:rPr>
          <w:rFonts w:ascii="Arial" w:hAnsi="Arial" w:cs="Arial"/>
          <w:color w:val="333333"/>
          <w:lang w:eastAsia="en-GB"/>
        </w:rPr>
        <w:t xml:space="preserve">Movements on derivatives at fair value through surplus or deficit represents the fair value movements on interest rate swaps that do not meet the criteria for hedge accounting. Movements in the Group's </w:t>
      </w:r>
      <w:r w:rsidRPr="00213CD7">
        <w:rPr>
          <w:rFonts w:ascii="Arial" w:hAnsi="Arial" w:cs="Arial"/>
          <w:color w:val="333333"/>
          <w:lang w:eastAsia="en-GB"/>
        </w:rPr>
        <w:lastRenderedPageBreak/>
        <w:t>other derivatives that meet the criteria for hedge accounting, are taken to the cash flow hedge reserve and have no impact on the net surplus / (deficit) for the year.</w:t>
      </w:r>
      <w:r w:rsidR="00972CA2" w:rsidRPr="00213CD7">
        <w:t xml:space="preserve"> </w:t>
      </w:r>
    </w:p>
    <w:p w:rsidR="00FA6A77" w:rsidRPr="00213CD7" w:rsidRDefault="0088528B" w:rsidP="00972CA2">
      <w:pPr>
        <w:pStyle w:val="Heading3"/>
      </w:pPr>
      <w:bookmarkStart w:id="405" w:name="_Toc19092056"/>
      <w:bookmarkStart w:id="406" w:name="_Toc23848697"/>
      <w:r w:rsidRPr="00213CD7">
        <w:rPr>
          <w:noProof/>
        </w:rPr>
        <mc:AlternateContent>
          <mc:Choice Requires="wps">
            <w:drawing>
              <wp:anchor distT="0" distB="0" distL="114300" distR="114300" simplePos="0" relativeHeight="251755520" behindDoc="0" locked="0" layoutInCell="1" allowOverlap="1" wp14:anchorId="7D747302" wp14:editId="776D1D11">
                <wp:simplePos x="0" y="0"/>
                <wp:positionH relativeFrom="column">
                  <wp:posOffset>22225</wp:posOffset>
                </wp:positionH>
                <wp:positionV relativeFrom="paragraph">
                  <wp:posOffset>320040</wp:posOffset>
                </wp:positionV>
                <wp:extent cx="6162040" cy="244475"/>
                <wp:effectExtent l="0" t="0" r="0" b="3175"/>
                <wp:wrapSquare wrapText="bothSides"/>
                <wp:docPr id="302" name="Text Box 302"/>
                <wp:cNvGraphicFramePr/>
                <a:graphic xmlns:a="http://schemas.openxmlformats.org/drawingml/2006/main">
                  <a:graphicData uri="http://schemas.microsoft.com/office/word/2010/wordprocessingShape">
                    <wps:wsp>
                      <wps:cNvSpPr txBox="1"/>
                      <wps:spPr>
                        <a:xfrm>
                          <a:off x="0" y="0"/>
                          <a:ext cx="6162040" cy="244475"/>
                        </a:xfrm>
                        <a:prstGeom prst="rect">
                          <a:avLst/>
                        </a:prstGeom>
                        <a:solidFill>
                          <a:prstClr val="white"/>
                        </a:solidFill>
                        <a:ln>
                          <a:noFill/>
                        </a:ln>
                        <a:effectLst/>
                      </wps:spPr>
                      <wps:txbx>
                        <w:txbxContent>
                          <w:p w:rsidR="005D6D1F" w:rsidRPr="00C7014C" w:rsidRDefault="005D6D1F" w:rsidP="0088528B">
                            <w:pPr>
                              <w:pStyle w:val="Caption"/>
                              <w:rPr>
                                <w:rFonts w:eastAsia="Times New Roman" w:cstheme="minorHAnsi"/>
                                <w:noProof/>
                                <w:sz w:val="34"/>
                                <w:szCs w:val="34"/>
                              </w:rPr>
                            </w:pPr>
                            <w:r>
                              <w:t xml:space="preserve">Section 5 - Table </w:t>
                            </w:r>
                            <w:fldSimple w:instr=" SEQ Section_5_-_Table \* ARABIC ">
                              <w:r>
                                <w:rPr>
                                  <w:noProof/>
                                </w:rPr>
                                <w:t>7</w:t>
                              </w:r>
                            </w:fldSimple>
                            <w:r>
                              <w:t>: Finance expense and net finance cost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02" o:spid="_x0000_s1226" type="#_x0000_t202" style="position:absolute;margin-left:1.75pt;margin-top:25.2pt;width:485.2pt;height:19.25pt;z-index:2517555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" stroked="f">
                <v:textbox inset="0,0,0,0">
                  <w:txbxContent>
                    <w:p w:rsidR="005D6D1F" w:rsidRPr="00C7014C" w:rsidRDefault="005D6D1F" w:rsidP="0088528B">
                      <w:pPr>
                        <w:pStyle w:val="Caption"/>
                        <w:rPr>
                          <w:rFonts w:eastAsia="Times New Roman" w:cstheme="minorHAnsi"/>
                          <w:noProof/>
                          <w:sz w:val="34"/>
                          <w:szCs w:val="34"/>
                        </w:rPr>
                      </w:pPr>
                      <w:r>
                        <w:t xml:space="preserve">Section 5 - Table </w:t>
                      </w:r>
                      <w:fldSimple w:instr=" SEQ Section_5_-_Table \* ARABIC ">
                        <w:r>
                          <w:rPr>
                            <w:noProof/>
                          </w:rPr>
                          <w:t>7</w:t>
                        </w:r>
                      </w:fldSimple>
                      <w:r>
                        <w:t>: Finance expense and net finance cost</w:t>
                      </w:r>
                    </w:p>
                  </w:txbxContent>
                </v:textbox>
                <w10:wrap type="square"/>
              </v:shape>
            </w:pict>
          </mc:Fallback>
        </mc:AlternateContent>
      </w:r>
      <w:r w:rsidR="00FA6A77" w:rsidRPr="00213CD7">
        <w:t>Note 6: Finance expense</w:t>
      </w:r>
      <w:bookmarkEnd w:id="405"/>
      <w:bookmarkEnd w:id="406"/>
    </w:p>
    <w:p w:rsidR="00FA6A77" w:rsidRPr="00213CD7" w:rsidRDefault="0088528B" w:rsidP="00FA6A77">
      <w:r w:rsidRPr="00213CD7">
        <w:rPr>
          <w:noProof/>
          <w:lang w:eastAsia="en-NZ"/>
        </w:rPr>
        <w:drawing>
          <wp:inline distT="0" distB="0" distL="0" distR="0" wp14:anchorId="3001136E" wp14:editId="34533F59">
            <wp:extent cx="6162040" cy="2435225"/>
            <wp:effectExtent l="0" t="0" r="0" b="3175"/>
            <wp:docPr id="1457" name="Picture 1457" descr="Net finance cost: $22,840,000" title="Section 5 - Table 7: Finance expense and net finance c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162040" cy="2435225"/>
                    </a:xfrm>
                    <a:prstGeom prst="rect">
                      <a:avLst/>
                    </a:prstGeom>
                    <a:noFill/>
                    <a:ln>
                      <a:noFill/>
                    </a:ln>
                  </pic:spPr>
                </pic:pic>
              </a:graphicData>
            </a:graphic>
          </wp:inline>
        </w:drawing>
      </w:r>
    </w:p>
    <w:p w:rsidR="00FA6A77" w:rsidRPr="00213CD7" w:rsidRDefault="00FA6A77" w:rsidP="00972CA2">
      <w:pPr>
        <w:pStyle w:val="Heading4"/>
        <w:rPr>
          <w:lang w:eastAsia="en-GB"/>
        </w:rPr>
      </w:pPr>
      <w:r w:rsidRPr="00213CD7">
        <w:rPr>
          <w:lang w:eastAsia="en-GB"/>
        </w:rPr>
        <w:t>Relevant significant accounting policies</w:t>
      </w:r>
    </w:p>
    <w:p w:rsidR="00FA6A77" w:rsidRPr="00213CD7" w:rsidRDefault="00FA6A77" w:rsidP="00972CA2">
      <w:pPr>
        <w:pStyle w:val="Heading5"/>
        <w:rPr>
          <w:lang w:eastAsia="en-GB"/>
        </w:rPr>
      </w:pPr>
      <w:r w:rsidRPr="00213CD7">
        <w:rPr>
          <w:lang w:eastAsia="en-GB"/>
        </w:rPr>
        <w:t>Interest on borrowings</w:t>
      </w:r>
    </w:p>
    <w:p w:rsidR="00FA6A77" w:rsidRPr="00213CD7" w:rsidRDefault="00FA6A77" w:rsidP="00972CA2">
      <w:pPr>
        <w:rPr>
          <w:rFonts w:ascii="Arial" w:hAnsi="Arial" w:cs="Arial"/>
          <w:color w:val="333333"/>
          <w:lang w:eastAsia="en-GB"/>
        </w:rPr>
      </w:pPr>
      <w:r w:rsidRPr="00213CD7">
        <w:rPr>
          <w:rFonts w:ascii="Arial" w:hAnsi="Arial" w:cs="Arial"/>
          <w:color w:val="333333"/>
          <w:lang w:eastAsia="en-GB"/>
        </w:rPr>
        <w:t>Interest expense is recognised using the effective interest rate method. All borrowing costs are expensed in the period in which they are incurred.</w:t>
      </w:r>
    </w:p>
    <w:p w:rsidR="00FA6A77" w:rsidRPr="00213CD7" w:rsidRDefault="00FA6A77" w:rsidP="00972CA2">
      <w:pPr>
        <w:pStyle w:val="Heading5"/>
        <w:rPr>
          <w:lang w:eastAsia="en-GB"/>
        </w:rPr>
      </w:pPr>
      <w:r w:rsidRPr="00213CD7">
        <w:rPr>
          <w:lang w:eastAsia="en-GB"/>
        </w:rPr>
        <w:t>Re-discounting of interest</w:t>
      </w:r>
    </w:p>
    <w:p w:rsidR="00FA6A77" w:rsidRPr="00D5126A" w:rsidRDefault="00FA6A77" w:rsidP="00972CA2">
      <w:pPr>
        <w:rPr>
          <w:rFonts w:ascii="Arial" w:hAnsi="Arial" w:cs="Arial"/>
          <w:color w:val="333333"/>
          <w:lang w:eastAsia="en-GB"/>
        </w:rPr>
      </w:pPr>
      <w:r w:rsidRPr="00213CD7">
        <w:rPr>
          <w:rFonts w:ascii="Arial" w:hAnsi="Arial" w:cs="Arial"/>
          <w:color w:val="333333"/>
          <w:lang w:eastAsia="en-GB"/>
        </w:rPr>
        <w:t xml:space="preserve">Re-discounting of interest on provisions is the Council’s funding cost for non-current provisions (where the cash flows will not occur until a future date). For further information refer to Note 24: Employee benefit liabilities and provisions </w:t>
      </w:r>
      <w:r w:rsidR="00972CA2" w:rsidRPr="00213CD7">
        <w:rPr>
          <w:lang w:eastAsia="en-GB"/>
        </w:rPr>
        <w:t xml:space="preserve">(page </w:t>
      </w:r>
      <w:r w:rsidR="00213CD7" w:rsidRPr="00213CD7">
        <w:rPr>
          <w:lang w:eastAsia="en-GB"/>
        </w:rPr>
        <w:t>271)</w:t>
      </w:r>
      <w:r w:rsidR="00972CA2" w:rsidRPr="00213CD7">
        <w:rPr>
          <w:lang w:eastAsia="en-GB"/>
        </w:rPr>
        <w:t xml:space="preserve"> </w:t>
      </w:r>
      <w:r w:rsidRPr="00213CD7">
        <w:rPr>
          <w:rFonts w:ascii="Arial" w:hAnsi="Arial" w:cs="Arial"/>
          <w:color w:val="333333"/>
          <w:lang w:eastAsia="en-GB"/>
        </w:rPr>
        <w:t xml:space="preserve">and Note 25: Provision for other liabilities </w:t>
      </w:r>
      <w:r w:rsidR="00972CA2" w:rsidRPr="00213CD7">
        <w:rPr>
          <w:lang w:eastAsia="en-GB"/>
        </w:rPr>
        <w:t>(page</w:t>
      </w:r>
      <w:r w:rsidR="00213CD7" w:rsidRPr="00213CD7">
        <w:rPr>
          <w:lang w:eastAsia="en-GB"/>
        </w:rPr>
        <w:t xml:space="preserve"> 273</w:t>
      </w:r>
      <w:r w:rsidR="00972CA2" w:rsidRPr="00213CD7">
        <w:rPr>
          <w:lang w:eastAsia="en-GB"/>
        </w:rPr>
        <w:t>)</w:t>
      </w:r>
      <w:r w:rsidRPr="00213CD7">
        <w:rPr>
          <w:rFonts w:ascii="Arial" w:hAnsi="Arial" w:cs="Arial"/>
          <w:color w:val="333333"/>
          <w:lang w:eastAsia="en-GB"/>
        </w:rPr>
        <w:t>.</w:t>
      </w:r>
    </w:p>
    <w:p w:rsidR="00FA6A77" w:rsidRPr="00D5126A" w:rsidRDefault="00FA6A77" w:rsidP="00972CA2">
      <w:pPr>
        <w:pStyle w:val="Heading5"/>
        <w:rPr>
          <w:lang w:eastAsia="en-GB"/>
        </w:rPr>
      </w:pPr>
      <w:r w:rsidRPr="00D5126A">
        <w:rPr>
          <w:lang w:eastAsia="en-GB"/>
        </w:rPr>
        <w:t>Interest earned</w:t>
      </w:r>
    </w:p>
    <w:p w:rsidR="00FA6A77" w:rsidRPr="00D5126A" w:rsidRDefault="00FA6A77" w:rsidP="00FA6A77">
      <w:r w:rsidRPr="00D5126A">
        <w:rPr>
          <w:rFonts w:ascii="Arial" w:hAnsi="Arial" w:cs="Arial"/>
          <w:color w:val="333333"/>
          <w:lang w:eastAsia="en-GB"/>
        </w:rPr>
        <w:t>Interest earned is recognised using the effective interest rate method.</w:t>
      </w:r>
      <w:r w:rsidRPr="00D5126A">
        <w:rPr>
          <w:rFonts w:ascii="Arial" w:hAnsi="Arial" w:cs="Arial"/>
          <w:color w:val="333333"/>
          <w:lang w:eastAsia="en-GB"/>
        </w:rPr>
        <w:tab/>
      </w:r>
    </w:p>
    <w:p w:rsidR="00FA6A77" w:rsidRPr="00D5126A" w:rsidRDefault="00FA6A77" w:rsidP="00FA6A77"/>
    <w:p w:rsidR="00650E51" w:rsidRPr="00D5126A" w:rsidRDefault="00650E51">
      <w:pPr>
        <w:rPr>
          <w:rFonts w:eastAsia="Times New Roman" w:cstheme="minorHAnsi"/>
          <w:b/>
          <w:bCs/>
          <w:color w:val="4F81BD" w:themeColor="accent1"/>
          <w:sz w:val="34"/>
          <w:szCs w:val="34"/>
          <w:lang w:eastAsia="en-NZ"/>
        </w:rPr>
      </w:pPr>
      <w:bookmarkStart w:id="407" w:name="_Toc19092057"/>
      <w:r w:rsidRPr="00D5126A">
        <w:br w:type="page"/>
      </w:r>
    </w:p>
    <w:p w:rsidR="00FA6A77" w:rsidRPr="00D5126A" w:rsidRDefault="00FA6A77" w:rsidP="00972CA2">
      <w:pPr>
        <w:pStyle w:val="Heading3"/>
      </w:pPr>
      <w:bookmarkStart w:id="408" w:name="_Toc23848698"/>
      <w:r w:rsidRPr="00D5126A">
        <w:lastRenderedPageBreak/>
        <w:t>Note 7: Expenditure on operating activities</w:t>
      </w:r>
      <w:bookmarkEnd w:id="407"/>
      <w:bookmarkEnd w:id="408"/>
    </w:p>
    <w:p w:rsidR="0088528B" w:rsidRDefault="0088528B" w:rsidP="0088528B">
      <w:pPr>
        <w:pStyle w:val="Caption"/>
      </w:pPr>
      <w:r>
        <w:t xml:space="preserve">Section 5 - Table </w:t>
      </w:r>
      <w:fldSimple w:instr=" SEQ Section_5_-_Table \* ARABIC ">
        <w:r w:rsidR="005908C4">
          <w:rPr>
            <w:noProof/>
          </w:rPr>
          <w:t>8</w:t>
        </w:r>
      </w:fldSimple>
      <w:r>
        <w:t>: Expenditure on operating activities</w:t>
      </w:r>
    </w:p>
    <w:p w:rsidR="00FA6A77" w:rsidRPr="00D5126A" w:rsidRDefault="0088528B" w:rsidP="00972CA2">
      <w:pPr>
        <w:pStyle w:val="Heading5"/>
        <w:rPr>
          <w:lang w:eastAsia="en-GB"/>
        </w:rPr>
      </w:pPr>
      <w:r w:rsidRPr="00D4584A">
        <w:rPr>
          <w:noProof/>
          <w:lang w:eastAsia="en-NZ"/>
        </w:rPr>
        <w:drawing>
          <wp:inline distT="0" distB="0" distL="0" distR="0" wp14:anchorId="78B211BF" wp14:editId="625FB31D">
            <wp:extent cx="6433185" cy="6951345"/>
            <wp:effectExtent l="0" t="0" r="5715" b="1905"/>
            <wp:docPr id="7" name="Picture 7" descr="Total expenditure on operating activities including Civic Square Precinct impairment ($50,522,000): $441,928,000" title="Section 5 - Table 8: Expenditure on operating activ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433185" cy="6951345"/>
                    </a:xfrm>
                    <a:prstGeom prst="rect">
                      <a:avLst/>
                    </a:prstGeom>
                    <a:noFill/>
                    <a:ln>
                      <a:noFill/>
                    </a:ln>
                  </pic:spPr>
                </pic:pic>
              </a:graphicData>
            </a:graphic>
          </wp:inline>
        </w:drawing>
      </w:r>
      <w:r w:rsidR="00FA6A77" w:rsidRPr="00D5126A">
        <w:rPr>
          <w:lang w:eastAsia="en-GB"/>
        </w:rPr>
        <w:t>Governance and employment</w:t>
      </w:r>
    </w:p>
    <w:p w:rsidR="00972CA2" w:rsidRPr="00D5126A" w:rsidRDefault="00FA6A77" w:rsidP="00972CA2">
      <w:pPr>
        <w:rPr>
          <w:rFonts w:ascii="Arial" w:hAnsi="Arial" w:cs="Arial"/>
          <w:color w:val="333333"/>
          <w:lang w:eastAsia="en-GB"/>
        </w:rPr>
      </w:pPr>
      <w:r w:rsidRPr="00D5126A">
        <w:rPr>
          <w:rFonts w:ascii="Arial" w:hAnsi="Arial" w:cs="Arial"/>
          <w:color w:val="333333"/>
          <w:lang w:eastAsia="en-GB"/>
        </w:rPr>
        <w:t xml:space="preserve">Governance costs relate to the remuneration made to all elected members, comprising the Mayor, Councillors and Community Board members and also to directors appointed to boards of controlled entities. </w:t>
      </w:r>
    </w:p>
    <w:p w:rsidR="00972CA2" w:rsidRPr="00D5126A" w:rsidRDefault="00FA6A77" w:rsidP="00972CA2">
      <w:pPr>
        <w:rPr>
          <w:rFonts w:ascii="Arial" w:hAnsi="Arial" w:cs="Arial"/>
          <w:color w:val="333333"/>
          <w:lang w:eastAsia="en-GB"/>
        </w:rPr>
      </w:pPr>
      <w:r w:rsidRPr="00D5126A">
        <w:rPr>
          <w:rFonts w:ascii="Arial" w:hAnsi="Arial" w:cs="Arial"/>
          <w:color w:val="333333"/>
          <w:lang w:eastAsia="en-GB"/>
        </w:rPr>
        <w:t xml:space="preserve">Employment costs relate to the remuneration paid directly to staff, other employee benefits such as KiwiSaver and other associated costs such as recruitment and training. </w:t>
      </w:r>
    </w:p>
    <w:p w:rsidR="00972CA2" w:rsidRPr="00213CD7" w:rsidRDefault="00FA6A77" w:rsidP="00972CA2">
      <w:pPr>
        <w:rPr>
          <w:rFonts w:ascii="Arial" w:hAnsi="Arial" w:cs="Arial"/>
          <w:color w:val="333333"/>
          <w:lang w:eastAsia="en-GB"/>
        </w:rPr>
      </w:pPr>
      <w:r w:rsidRPr="00D5126A">
        <w:rPr>
          <w:rFonts w:ascii="Arial" w:hAnsi="Arial" w:cs="Arial"/>
          <w:color w:val="333333"/>
          <w:lang w:eastAsia="en-GB"/>
        </w:rPr>
        <w:lastRenderedPageBreak/>
        <w:t>During the year $0.684m (2018: $0.907m) of termination benefits were incurred by the Council and $0.945m (2018: $1.077m) by the Group. Termination benefits include all payments relating to the end of employment other than unpaid salary and leave entit</w:t>
      </w:r>
      <w:r w:rsidRPr="00213CD7">
        <w:rPr>
          <w:rFonts w:ascii="Arial" w:hAnsi="Arial" w:cs="Arial"/>
          <w:color w:val="333333"/>
          <w:lang w:eastAsia="en-GB"/>
        </w:rPr>
        <w:t xml:space="preserve">lements. Termination benefits include both contractual (eg redundancy, in lieu of notice) and non-contractual (eg severance) payments. </w:t>
      </w:r>
    </w:p>
    <w:p w:rsidR="00FA6A77" w:rsidRPr="00213CD7" w:rsidRDefault="00FA6A77" w:rsidP="00972CA2">
      <w:pPr>
        <w:rPr>
          <w:rFonts w:ascii="Arial" w:hAnsi="Arial" w:cs="Arial"/>
          <w:color w:val="333333"/>
          <w:lang w:eastAsia="en-GB"/>
        </w:rPr>
      </w:pPr>
      <w:r w:rsidRPr="00213CD7">
        <w:rPr>
          <w:rFonts w:ascii="Arial" w:hAnsi="Arial" w:cs="Arial"/>
          <w:color w:val="333333"/>
          <w:lang w:eastAsia="en-GB"/>
        </w:rPr>
        <w:t xml:space="preserve">For further information refer to Note 37: Remuneration and staffing levels </w:t>
      </w:r>
      <w:r w:rsidR="00972CA2" w:rsidRPr="00213CD7">
        <w:rPr>
          <w:lang w:eastAsia="en-GB"/>
        </w:rPr>
        <w:t xml:space="preserve">(page </w:t>
      </w:r>
      <w:r w:rsidR="00213CD7" w:rsidRPr="00213CD7">
        <w:rPr>
          <w:lang w:eastAsia="en-GB"/>
        </w:rPr>
        <w:t>309</w:t>
      </w:r>
      <w:r w:rsidR="00972CA2" w:rsidRPr="00213CD7">
        <w:rPr>
          <w:lang w:eastAsia="en-GB"/>
        </w:rPr>
        <w:t>).</w:t>
      </w:r>
    </w:p>
    <w:p w:rsidR="00FA6A77" w:rsidRPr="00213CD7" w:rsidRDefault="00FA6A77" w:rsidP="00972CA2">
      <w:pPr>
        <w:pStyle w:val="Heading5"/>
        <w:rPr>
          <w:lang w:eastAsia="en-GB"/>
        </w:rPr>
      </w:pPr>
      <w:r w:rsidRPr="00213CD7">
        <w:rPr>
          <w:lang w:eastAsia="en-GB"/>
        </w:rPr>
        <w:t>Impairments</w:t>
      </w:r>
    </w:p>
    <w:p w:rsidR="00FA6A77" w:rsidRPr="00213CD7" w:rsidRDefault="00FA6A77" w:rsidP="00972CA2">
      <w:pPr>
        <w:rPr>
          <w:rFonts w:eastAsia="Times New Roman"/>
          <w:color w:val="333333"/>
          <w:lang w:eastAsia="en-GB"/>
        </w:rPr>
      </w:pPr>
      <w:r w:rsidRPr="00213CD7">
        <w:rPr>
          <w:rFonts w:eastAsia="Times New Roman"/>
          <w:color w:val="333333"/>
          <w:lang w:eastAsia="en-GB"/>
        </w:rPr>
        <w:t xml:space="preserve">The primary impairments relate to the Civic Precinct. For more detailed information on these impairments see Note 18: Property, plant and equipment </w:t>
      </w:r>
      <w:r w:rsidR="00972CA2" w:rsidRPr="00213CD7">
        <w:rPr>
          <w:lang w:eastAsia="en-GB"/>
        </w:rPr>
        <w:t xml:space="preserve">(page </w:t>
      </w:r>
      <w:r w:rsidR="00213CD7" w:rsidRPr="00213CD7">
        <w:rPr>
          <w:lang w:eastAsia="en-GB"/>
        </w:rPr>
        <w:t>251</w:t>
      </w:r>
      <w:r w:rsidR="00972CA2" w:rsidRPr="00213CD7">
        <w:rPr>
          <w:lang w:eastAsia="en-GB"/>
        </w:rPr>
        <w:t>).</w:t>
      </w:r>
    </w:p>
    <w:p w:rsidR="00FA6A77" w:rsidRPr="00213CD7" w:rsidRDefault="00FA6A77" w:rsidP="00972CA2">
      <w:pPr>
        <w:pStyle w:val="Heading5"/>
        <w:rPr>
          <w:rFonts w:eastAsia="MS Mincho"/>
          <w:sz w:val="24"/>
          <w:szCs w:val="28"/>
          <w:lang w:eastAsia="en-GB"/>
        </w:rPr>
      </w:pPr>
      <w:r w:rsidRPr="00213CD7">
        <w:rPr>
          <w:lang w:eastAsia="en-GB"/>
        </w:rPr>
        <w:t xml:space="preserve">General </w:t>
      </w:r>
    </w:p>
    <w:p w:rsidR="0088528B" w:rsidRPr="00213CD7" w:rsidRDefault="0088528B" w:rsidP="0088528B">
      <w:pPr>
        <w:pStyle w:val="Caption"/>
      </w:pPr>
      <w:r w:rsidRPr="00213CD7">
        <w:t xml:space="preserve">Section 5 - Table </w:t>
      </w:r>
      <w:fldSimple w:instr=" SEQ Section_5_-_Table \* ARABIC ">
        <w:r w:rsidR="005908C4" w:rsidRPr="00213CD7">
          <w:rPr>
            <w:noProof/>
          </w:rPr>
          <w:t>9</w:t>
        </w:r>
      </w:fldSimple>
      <w:r w:rsidRPr="00213CD7">
        <w:t>: Auditor's remuneration</w:t>
      </w:r>
    </w:p>
    <w:p w:rsidR="00FA6A77" w:rsidRPr="00213CD7" w:rsidRDefault="0088528B" w:rsidP="00FA6A77">
      <w:pPr>
        <w:pStyle w:val="Body"/>
        <w:rPr>
          <w:lang w:eastAsia="en-GB"/>
        </w:rPr>
      </w:pPr>
      <w:r w:rsidRPr="00213CD7">
        <w:rPr>
          <w:noProof/>
          <w:lang w:eastAsia="en-NZ"/>
        </w:rPr>
        <w:drawing>
          <wp:inline distT="0" distB="0" distL="0" distR="0" wp14:anchorId="0C673A94" wp14:editId="6F3EE77A">
            <wp:extent cx="6242050" cy="1431290"/>
            <wp:effectExtent l="0" t="0" r="6350" b="0"/>
            <wp:docPr id="1455" name="Picture 1455" descr="Auditor's remuneration 2019: $461,000" title="Section 5 - Table 9: Auditor's remune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242050" cy="1431290"/>
                    </a:xfrm>
                    <a:prstGeom prst="rect">
                      <a:avLst/>
                    </a:prstGeom>
                    <a:noFill/>
                    <a:ln>
                      <a:noFill/>
                    </a:ln>
                  </pic:spPr>
                </pic:pic>
              </a:graphicData>
            </a:graphic>
          </wp:inline>
        </w:drawing>
      </w:r>
    </w:p>
    <w:p w:rsidR="00FA6A77" w:rsidRPr="00213CD7" w:rsidRDefault="00FA6A77" w:rsidP="00972CA2">
      <w:pPr>
        <w:rPr>
          <w:lang w:eastAsia="en-GB"/>
        </w:rPr>
      </w:pPr>
      <w:r w:rsidRPr="00213CD7">
        <w:rPr>
          <w:lang w:eastAsia="en-GB"/>
        </w:rPr>
        <w:t>During the period Audit New Zealand provided other services to the Council, namely assurance services relating to the Clifton Terrace Carpark managed by the Council on behalf of the New Zealand Transport Agency and assurance services relating to Council’s debenture trust deed compliance</w:t>
      </w:r>
      <w:r w:rsidR="00FF0FD2" w:rsidRPr="00213CD7">
        <w:rPr>
          <w:lang w:eastAsia="en-GB"/>
        </w:rPr>
        <w:t xml:space="preserve"> (see Table 9 above)</w:t>
      </w:r>
      <w:r w:rsidRPr="00213CD7">
        <w:rPr>
          <w:lang w:eastAsia="en-GB"/>
        </w:rPr>
        <w:t>.</w:t>
      </w:r>
    </w:p>
    <w:p w:rsidR="00FA6A77" w:rsidRPr="00213CD7" w:rsidRDefault="00FA6A77" w:rsidP="00972CA2">
      <w:pPr>
        <w:rPr>
          <w:lang w:eastAsia="en-GB"/>
        </w:rPr>
      </w:pPr>
      <w:r w:rsidRPr="00213CD7">
        <w:rPr>
          <w:lang w:eastAsia="en-GB"/>
        </w:rPr>
        <w:t>Direct costs are costs directly attributable to the rendering of Council services, including contracts, maintenance, management fees, materials and services.</w:t>
      </w:r>
    </w:p>
    <w:p w:rsidR="00FA6A77" w:rsidRPr="00213CD7" w:rsidRDefault="00FF0FD2" w:rsidP="00972CA2">
      <w:pPr>
        <w:rPr>
          <w:lang w:eastAsia="en-GB"/>
        </w:rPr>
      </w:pPr>
      <w:r w:rsidRPr="00213CD7">
        <w:rPr>
          <w:lang w:eastAsia="en-GB"/>
        </w:rPr>
        <w:t>Grants</w:t>
      </w:r>
      <w:r w:rsidR="00FA6A77" w:rsidRPr="00213CD7">
        <w:rPr>
          <w:lang w:eastAsia="en-GB"/>
        </w:rPr>
        <w:t xml:space="preserve"> include $2.250m (2018: $2.250m) towards the funding of the Museum of New Zealand, Te Papa Tongarewa.</w:t>
      </w:r>
    </w:p>
    <w:p w:rsidR="00FA6A77" w:rsidRPr="00213CD7" w:rsidRDefault="00FA6A77" w:rsidP="00972CA2">
      <w:pPr>
        <w:rPr>
          <w:lang w:eastAsia="en-GB"/>
        </w:rPr>
      </w:pPr>
      <w:r w:rsidRPr="00213CD7">
        <w:rPr>
          <w:lang w:eastAsia="en-GB"/>
        </w:rPr>
        <w:t xml:space="preserve">Grants to controlled entities such as the Wellington Zoo Trust are for operational funding purposes. For details of the funding to these entities refer to Note 36: Related party disclosures </w:t>
      </w:r>
      <w:r w:rsidR="00972CA2" w:rsidRPr="00213CD7">
        <w:rPr>
          <w:lang w:eastAsia="en-GB"/>
        </w:rPr>
        <w:t xml:space="preserve">(page </w:t>
      </w:r>
      <w:r w:rsidR="00213CD7" w:rsidRPr="00213CD7">
        <w:rPr>
          <w:lang w:eastAsia="en-GB"/>
        </w:rPr>
        <w:t>304</w:t>
      </w:r>
      <w:r w:rsidR="00972CA2" w:rsidRPr="00213CD7">
        <w:rPr>
          <w:lang w:eastAsia="en-GB"/>
        </w:rPr>
        <w:t>).</w:t>
      </w:r>
    </w:p>
    <w:p w:rsidR="00FA6A77" w:rsidRPr="00213CD7" w:rsidRDefault="00FA6A77" w:rsidP="00972CA2">
      <w:pPr>
        <w:rPr>
          <w:lang w:eastAsia="en-GB"/>
        </w:rPr>
      </w:pPr>
      <w:r w:rsidRPr="00213CD7">
        <w:rPr>
          <w:lang w:eastAsia="en-GB"/>
        </w:rPr>
        <w:t xml:space="preserve">Operating lease minimum lease payments are for non-cancellable agreements for the use of assets such as buildings and specialised computer equipment. </w:t>
      </w:r>
    </w:p>
    <w:p w:rsidR="00FA6A77" w:rsidRPr="00D5126A" w:rsidRDefault="00FA6A77" w:rsidP="00972CA2">
      <w:pPr>
        <w:rPr>
          <w:lang w:eastAsia="en-GB"/>
        </w:rPr>
      </w:pPr>
      <w:r w:rsidRPr="00213CD7">
        <w:rPr>
          <w:lang w:eastAsia="en-GB"/>
        </w:rPr>
        <w:t xml:space="preserve">For further information in relation to the Weathertight homes provision. Refer to Note 25: Provisions for other liabilities </w:t>
      </w:r>
      <w:r w:rsidR="00972CA2" w:rsidRPr="00213CD7">
        <w:rPr>
          <w:lang w:eastAsia="en-GB"/>
        </w:rPr>
        <w:t xml:space="preserve">(page </w:t>
      </w:r>
      <w:r w:rsidR="00213CD7" w:rsidRPr="00213CD7">
        <w:rPr>
          <w:lang w:eastAsia="en-GB"/>
        </w:rPr>
        <w:t>273</w:t>
      </w:r>
      <w:r w:rsidR="00972CA2" w:rsidRPr="00213CD7">
        <w:rPr>
          <w:lang w:eastAsia="en-GB"/>
        </w:rPr>
        <w:t>).</w:t>
      </w:r>
    </w:p>
    <w:p w:rsidR="00FA6A77" w:rsidRPr="00D5126A" w:rsidRDefault="00FA6A77" w:rsidP="00546DD1">
      <w:pPr>
        <w:rPr>
          <w:lang w:eastAsia="en-GB"/>
        </w:rPr>
      </w:pPr>
      <w:r w:rsidRPr="00D5126A">
        <w:rPr>
          <w:lang w:eastAsia="en-GB"/>
        </w:rPr>
        <w:t xml:space="preserve">Utility costs are those relating to the use of electricity, gas, and water. It also includes the payment of rates and water meter charges of $14.521m (2018: $13.915m) on Council owned properties. </w:t>
      </w:r>
    </w:p>
    <w:p w:rsidR="00FA6A77" w:rsidRPr="00D5126A" w:rsidRDefault="00FA6A77" w:rsidP="00546DD1">
      <w:pPr>
        <w:pStyle w:val="Heading4"/>
        <w:rPr>
          <w:rFonts w:asciiTheme="majorHAnsi" w:hAnsiTheme="majorHAnsi"/>
          <w:lang w:eastAsia="en-GB"/>
        </w:rPr>
      </w:pPr>
      <w:r w:rsidRPr="00D5126A">
        <w:rPr>
          <w:lang w:eastAsia="en-GB"/>
        </w:rPr>
        <w:t>Relevant significant accounting policies</w:t>
      </w:r>
    </w:p>
    <w:p w:rsidR="00FA6A77" w:rsidRPr="00D5126A" w:rsidRDefault="00FA6A77" w:rsidP="00546DD1">
      <w:pPr>
        <w:pStyle w:val="Heading5"/>
      </w:pPr>
      <w:r w:rsidRPr="00D5126A">
        <w:t>Grants and sponsorships</w:t>
      </w:r>
    </w:p>
    <w:p w:rsidR="00FA6A77" w:rsidRPr="00D5126A" w:rsidRDefault="00FA6A77" w:rsidP="00FA1ACE">
      <w:pPr>
        <w:rPr>
          <w:lang w:eastAsia="en-GB"/>
        </w:rPr>
      </w:pPr>
      <w:r w:rsidRPr="00D5126A">
        <w:rPr>
          <w:lang w:eastAsia="en-GB"/>
        </w:rPr>
        <w:t xml:space="preserve">Expenditure is classified as a grant or sponsorship if it results in a transfer of resources (eg. cash or physical assets) to another entity or individual in return for compliance with certain conditions relating to the operating activities of that entity. It includes any expenditure arising from a funding arrangement </w:t>
      </w:r>
      <w:r w:rsidRPr="00D5126A">
        <w:rPr>
          <w:lang w:eastAsia="en-GB"/>
        </w:rPr>
        <w:lastRenderedPageBreak/>
        <w:t>with another entity that has been entered into to achieve the objectives of the Council. Grants and sponsorships are distinct from donations which are discretionary or charitable gifts. Where grants and sponsorships are discretionary until payment, the expense is recognised when the payment is made. Otherwise, the expense is recognised when the specified criteria have been fulfilled.</w:t>
      </w:r>
    </w:p>
    <w:p w:rsidR="00FA6A77" w:rsidRPr="00D5126A" w:rsidRDefault="00FA6A77" w:rsidP="00FA1ACE">
      <w:pPr>
        <w:pStyle w:val="Heading5"/>
        <w:rPr>
          <w:lang w:eastAsia="en-GB"/>
        </w:rPr>
      </w:pPr>
      <w:r w:rsidRPr="00D5126A">
        <w:rPr>
          <w:lang w:eastAsia="en-GB"/>
        </w:rPr>
        <w:t>Cost allocation</w:t>
      </w:r>
    </w:p>
    <w:p w:rsidR="00FA6A77" w:rsidRPr="00D5126A" w:rsidRDefault="00FA6A77" w:rsidP="00FA1ACE">
      <w:pPr>
        <w:rPr>
          <w:lang w:eastAsia="en-GB"/>
        </w:rPr>
      </w:pPr>
      <w:r w:rsidRPr="00D5126A">
        <w:rPr>
          <w:lang w:eastAsia="en-GB"/>
        </w:rPr>
        <w:t>The Council has derived the cost of service for each significant activity (as reported within the Statements of Service Performance). Direct costs are expensed directly to the activity. Indirect costs relate to the overall costs of running the organisation and include staff time, office space and information technology costs. These indirect costs are allocated as overheads across all activities</w:t>
      </w:r>
    </w:p>
    <w:p w:rsidR="00FA6A77" w:rsidRPr="00D5126A" w:rsidRDefault="00FA6A77" w:rsidP="00FA1ACE">
      <w:pPr>
        <w:pStyle w:val="Heading5"/>
        <w:rPr>
          <w:lang w:eastAsia="en-GB"/>
        </w:rPr>
      </w:pPr>
      <w:r w:rsidRPr="00D5126A">
        <w:rPr>
          <w:lang w:eastAsia="en-GB"/>
        </w:rPr>
        <w:t>Research and Development</w:t>
      </w:r>
    </w:p>
    <w:p w:rsidR="00546DD1" w:rsidRPr="00D5126A" w:rsidRDefault="00FA6A77" w:rsidP="00FA1ACE">
      <w:r w:rsidRPr="00D5126A">
        <w:rPr>
          <w:lang w:eastAsia="en-GB"/>
        </w:rPr>
        <w:t>Research costs are expensed as incurred. Development expenditure on individual projects is capitalised and recognised as an asset when it meets the definition and criteria for capitalisation as an asset and it is probable</w:t>
      </w:r>
      <w:r w:rsidRPr="00D5126A">
        <w:t xml:space="preserve"> that the Council will receive future economic benefits from the asset. Assets which have finite lives are stated at cost less accumulated amortisation and are amortised on a straight-line basis over their useful lives.</w:t>
      </w:r>
      <w:bookmarkStart w:id="409" w:name="_Toc19092058"/>
    </w:p>
    <w:p w:rsidR="00FA6A77" w:rsidRPr="00D5126A" w:rsidRDefault="00FA6A77" w:rsidP="00546DD1">
      <w:pPr>
        <w:pStyle w:val="Heading3"/>
      </w:pPr>
      <w:bookmarkStart w:id="410" w:name="_Toc23848699"/>
      <w:r w:rsidRPr="00D5126A">
        <w:t>Note 8: Depreciation and amortisation</w:t>
      </w:r>
      <w:bookmarkEnd w:id="409"/>
      <w:bookmarkEnd w:id="410"/>
    </w:p>
    <w:p w:rsidR="0088528B" w:rsidRDefault="0088528B" w:rsidP="0088528B">
      <w:pPr>
        <w:pStyle w:val="Caption"/>
      </w:pPr>
      <w:r>
        <w:t xml:space="preserve">Section 5 - Table </w:t>
      </w:r>
      <w:fldSimple w:instr=" SEQ Section_5_-_Table \* ARABIC ">
        <w:r w:rsidR="005908C4">
          <w:rPr>
            <w:noProof/>
          </w:rPr>
          <w:t>10</w:t>
        </w:r>
      </w:fldSimple>
      <w:r>
        <w:t>: Depreciation and amortisation</w:t>
      </w:r>
    </w:p>
    <w:p w:rsidR="0088528B" w:rsidRDefault="0088528B" w:rsidP="001251D9">
      <w:pPr>
        <w:spacing w:before="240"/>
        <w:rPr>
          <w:rFonts w:ascii="Arial" w:hAnsi="Arial" w:cs="Arial"/>
        </w:rPr>
      </w:pPr>
      <w:r w:rsidRPr="00D5126A">
        <w:rPr>
          <w:noProof/>
          <w:lang w:eastAsia="en-NZ"/>
        </w:rPr>
        <w:drawing>
          <wp:inline distT="0" distB="0" distL="0" distR="0" wp14:anchorId="5B431780" wp14:editId="37E95DCC">
            <wp:extent cx="5582093" cy="3228962"/>
            <wp:effectExtent l="0" t="0" r="0" b="0"/>
            <wp:docPr id="1454" name="Picture 1454" descr="Total Depreciation and amortisation: $116,121,000" title="Section 5 - Table 10: Depreciation and amortis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70">
                      <a:extLst>
                        <a:ext uri="{28A0092B-C50C-407E-A947-70E740481C1C}">
                          <a14:useLocalDpi xmlns:a14="http://schemas.microsoft.com/office/drawing/2010/main" val="0"/>
                        </a:ext>
                      </a:extLst>
                    </a:blip>
                    <a:srcRect b="3378"/>
                    <a:stretch/>
                  </pic:blipFill>
                  <pic:spPr bwMode="auto">
                    <a:xfrm>
                      <a:off x="0" y="0"/>
                      <a:ext cx="5592565" cy="3235020"/>
                    </a:xfrm>
                    <a:prstGeom prst="rect">
                      <a:avLst/>
                    </a:prstGeom>
                    <a:noFill/>
                    <a:ln>
                      <a:noFill/>
                    </a:ln>
                    <a:extLst>
                      <a:ext uri="{53640926-AAD7-44D8-BBD7-CCE9431645EC}">
                        <a14:shadowObscured xmlns:a14="http://schemas.microsoft.com/office/drawing/2010/main"/>
                      </a:ext>
                    </a:extLst>
                  </pic:spPr>
                </pic:pic>
              </a:graphicData>
            </a:graphic>
          </wp:inline>
        </w:drawing>
      </w:r>
    </w:p>
    <w:p w:rsidR="00FA6A77" w:rsidRPr="00D5126A" w:rsidRDefault="00FA6A77" w:rsidP="001251D9">
      <w:pPr>
        <w:spacing w:before="240"/>
        <w:rPr>
          <w:rFonts w:ascii="Arial" w:hAnsi="Arial" w:cs="Arial"/>
        </w:rPr>
      </w:pPr>
      <w:r w:rsidRPr="00D5126A">
        <w:rPr>
          <w:rFonts w:ascii="Arial" w:hAnsi="Arial" w:cs="Arial"/>
        </w:rPr>
        <w:t>Depreciation (amortisation) is an expense charged each year to reflect the estimated cost of using our assets over their lives. Amortisation relates to ‘intangible’ assets such as software (as distinct from physical assets, which are covered by the term depreciation).</w:t>
      </w:r>
    </w:p>
    <w:p w:rsidR="00FA6A77" w:rsidRPr="00D5126A" w:rsidRDefault="00FA6A77" w:rsidP="00546DD1">
      <w:pPr>
        <w:pStyle w:val="Heading4"/>
        <w:rPr>
          <w:rFonts w:asciiTheme="majorHAnsi" w:hAnsiTheme="majorHAnsi"/>
          <w:lang w:eastAsia="en-GB"/>
        </w:rPr>
      </w:pPr>
      <w:r w:rsidRPr="00D5126A">
        <w:rPr>
          <w:lang w:eastAsia="en-GB"/>
        </w:rPr>
        <w:t>Relevant significant accounting policies</w:t>
      </w:r>
    </w:p>
    <w:p w:rsidR="00FA6A77" w:rsidRPr="00D5126A" w:rsidRDefault="00FA6A77" w:rsidP="00546DD1">
      <w:pPr>
        <w:pStyle w:val="Heading5"/>
        <w:rPr>
          <w:lang w:eastAsia="en-GB"/>
        </w:rPr>
      </w:pPr>
      <w:r w:rsidRPr="00D5126A">
        <w:rPr>
          <w:lang w:eastAsia="en-GB"/>
        </w:rPr>
        <w:t>Depreciation</w:t>
      </w:r>
    </w:p>
    <w:p w:rsidR="00FA6A77" w:rsidRPr="00D5126A" w:rsidRDefault="00FA6A77" w:rsidP="00546DD1">
      <w:pPr>
        <w:rPr>
          <w:rFonts w:ascii="Arial" w:hAnsi="Arial" w:cs="Arial"/>
        </w:rPr>
      </w:pPr>
      <w:r w:rsidRPr="00D5126A">
        <w:rPr>
          <w:rFonts w:ascii="Arial" w:hAnsi="Arial" w:cs="Arial"/>
        </w:rPr>
        <w:t xml:space="preserve">Depreciation is provided on all property, plant and equipment, with certain exceptions. The exceptions are land, restricted assets other than buildings, and assets under construction (work in progress). </w:t>
      </w:r>
      <w:r w:rsidRPr="00D5126A">
        <w:rPr>
          <w:rFonts w:ascii="Arial" w:hAnsi="Arial" w:cs="Arial"/>
        </w:rPr>
        <w:lastRenderedPageBreak/>
        <w:t xml:space="preserve">Depreciation is calculated on a straight-line basis, to allocate the cost or value of the asset (less any assessed residual value) over its estimated useful life. </w:t>
      </w:r>
    </w:p>
    <w:p w:rsidR="00FA6A77" w:rsidRPr="00D5126A" w:rsidRDefault="00FA6A77" w:rsidP="00546DD1">
      <w:pPr>
        <w:rPr>
          <w:rFonts w:ascii="Arial" w:hAnsi="Arial" w:cs="Arial"/>
        </w:rPr>
      </w:pPr>
      <w:r w:rsidRPr="00D5126A">
        <w:rPr>
          <w:rFonts w:ascii="Arial" w:hAnsi="Arial" w:cs="Arial"/>
        </w:rPr>
        <w:t>The landfill post closure asset is depreciated over the life of the landfill based on the capacity of the landfill.</w:t>
      </w:r>
    </w:p>
    <w:p w:rsidR="00FA6A77" w:rsidRPr="00D5126A" w:rsidRDefault="00FA6A77" w:rsidP="00546DD1">
      <w:pPr>
        <w:pStyle w:val="Heading5"/>
      </w:pPr>
      <w:r w:rsidRPr="00D5126A">
        <w:t>Amortisation</w:t>
      </w:r>
    </w:p>
    <w:p w:rsidR="00105A07" w:rsidRDefault="00FA6A77" w:rsidP="00546DD1">
      <w:r w:rsidRPr="00D5126A">
        <w:rPr>
          <w:rFonts w:ascii="Arial" w:hAnsi="Arial" w:cs="Arial"/>
        </w:rPr>
        <w:t>The amortisation of intangible assets is charged on a straight-line basis over the estimated useful life of the associated assets</w:t>
      </w:r>
      <w:r w:rsidR="00FF0FD2">
        <w:rPr>
          <w:rFonts w:ascii="Arial" w:hAnsi="Arial" w:cs="Arial"/>
        </w:rPr>
        <w:t xml:space="preserve"> (see Table 12).</w:t>
      </w:r>
      <w:r w:rsidRPr="00D5126A">
        <w:rPr>
          <w:rFonts w:ascii="Arial" w:hAnsi="Arial" w:cs="Arial"/>
        </w:rPr>
        <w:t xml:space="preserve"> </w:t>
      </w:r>
    </w:p>
    <w:p w:rsidR="00105A07" w:rsidRDefault="00105A07" w:rsidP="00105A07">
      <w:pPr>
        <w:pStyle w:val="Caption"/>
      </w:pPr>
      <w:r>
        <w:t xml:space="preserve">Section 5 - Table </w:t>
      </w:r>
      <w:fldSimple w:instr=" SEQ Section_5_-_Table \* ARABIC ">
        <w:r w:rsidR="005908C4">
          <w:rPr>
            <w:noProof/>
          </w:rPr>
          <w:t>11</w:t>
        </w:r>
      </w:fldSimple>
      <w:r>
        <w:t>: Estimated useful lives of tangible assets</w:t>
      </w:r>
    </w:p>
    <w:p w:rsidR="00FA6A77" w:rsidRPr="00D5126A" w:rsidRDefault="00105A07" w:rsidP="00546DD1">
      <w:pPr>
        <w:rPr>
          <w:rFonts w:ascii="Arial" w:hAnsi="Arial" w:cs="Arial"/>
        </w:rPr>
      </w:pPr>
      <w:r w:rsidRPr="00D5126A">
        <w:rPr>
          <w:rFonts w:ascii="Arial" w:hAnsi="Arial" w:cs="Arial"/>
          <w:noProof/>
          <w:lang w:eastAsia="en-NZ"/>
        </w:rPr>
        <w:drawing>
          <wp:inline distT="0" distB="0" distL="0" distR="0" wp14:anchorId="0EC01BDA" wp14:editId="7AF92B45">
            <wp:extent cx="5847907" cy="2465722"/>
            <wp:effectExtent l="0" t="0" r="635" b="0"/>
            <wp:docPr id="1453" name="Picture 1453" descr="eg: land, buildings and library collections" title="Section 5 - Table 11: Estimated useful lives of tangible ass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853802" cy="2468208"/>
                    </a:xfrm>
                    <a:prstGeom prst="rect">
                      <a:avLst/>
                    </a:prstGeom>
                    <a:noFill/>
                    <a:ln>
                      <a:noFill/>
                    </a:ln>
                  </pic:spPr>
                </pic:pic>
              </a:graphicData>
            </a:graphic>
          </wp:inline>
        </w:drawing>
      </w:r>
    </w:p>
    <w:p w:rsidR="00FA6A77" w:rsidRPr="00D5126A" w:rsidRDefault="00FA6A77" w:rsidP="00546DD1">
      <w:pPr>
        <w:rPr>
          <w:rFonts w:ascii="Arial" w:hAnsi="Arial" w:cs="Arial"/>
        </w:rPr>
      </w:pPr>
      <w:r w:rsidRPr="00D5126A">
        <w:rPr>
          <w:rFonts w:ascii="Arial" w:hAnsi="Arial" w:cs="Arial"/>
        </w:rPr>
        <w:t>The variation in the range of lives for infrastructural assets is due to these assets being managed and depreciated by individual component rather than as a whole asset.</w:t>
      </w:r>
    </w:p>
    <w:p w:rsidR="00FA6A77" w:rsidRPr="00D5126A" w:rsidRDefault="00FA6A77" w:rsidP="00546DD1">
      <w:pPr>
        <w:rPr>
          <w:rFonts w:ascii="Arial" w:hAnsi="Arial" w:cs="Arial"/>
        </w:rPr>
      </w:pPr>
      <w:r w:rsidRPr="00D5126A">
        <w:rPr>
          <w:rFonts w:ascii="Arial" w:hAnsi="Arial" w:cs="Arial"/>
        </w:rPr>
        <w:t xml:space="preserve">Computer software has a finite economic life and amortisation is charged to surplus or deficit on a straight-line basis over the estimated useful life of the asset. </w:t>
      </w:r>
    </w:p>
    <w:p w:rsidR="00105A07" w:rsidRDefault="00105A07" w:rsidP="00105A07">
      <w:pPr>
        <w:pStyle w:val="Caption"/>
      </w:pPr>
      <w:r>
        <w:t xml:space="preserve">Section 5 - Table </w:t>
      </w:r>
      <w:fldSimple w:instr=" SEQ Section_5_-_Table \* ARABIC ">
        <w:r w:rsidR="005908C4">
          <w:rPr>
            <w:noProof/>
          </w:rPr>
          <w:t>12</w:t>
        </w:r>
      </w:fldSimple>
      <w:r>
        <w:t>: Estimated useful life of intangible assets</w:t>
      </w:r>
    </w:p>
    <w:p w:rsidR="00FA6A77" w:rsidRPr="00D5126A" w:rsidRDefault="00FA6A77" w:rsidP="00546DD1">
      <w:r w:rsidRPr="00D5126A">
        <w:rPr>
          <w:noProof/>
          <w:lang w:eastAsia="en-NZ"/>
        </w:rPr>
        <w:drawing>
          <wp:inline distT="0" distB="0" distL="0" distR="0" wp14:anchorId="43FDF54B" wp14:editId="00B8286C">
            <wp:extent cx="5699051" cy="765544"/>
            <wp:effectExtent l="0" t="0" r="0" b="0"/>
            <wp:docPr id="1452" name="Picture 1452" descr="Computer software" title="Section 5 - Table 12: Estimated useful life of intangible ass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771940" cy="775335"/>
                    </a:xfrm>
                    <a:prstGeom prst="rect">
                      <a:avLst/>
                    </a:prstGeom>
                    <a:noFill/>
                    <a:ln>
                      <a:noFill/>
                    </a:ln>
                  </pic:spPr>
                </pic:pic>
              </a:graphicData>
            </a:graphic>
          </wp:inline>
        </w:drawing>
      </w:r>
    </w:p>
    <w:p w:rsidR="00FA1ACE" w:rsidRPr="00D5126A" w:rsidRDefault="00FA1ACE">
      <w:bookmarkStart w:id="411" w:name="_Toc19092059"/>
    </w:p>
    <w:p w:rsidR="00FA6A77" w:rsidRPr="00D5126A" w:rsidRDefault="00FA6A77" w:rsidP="00FA1ACE">
      <w:pPr>
        <w:pStyle w:val="Heading3"/>
      </w:pPr>
      <w:bookmarkStart w:id="412" w:name="_Toc23848700"/>
      <w:r w:rsidRPr="00D5126A">
        <w:t>Note 9: Share of associates</w:t>
      </w:r>
      <w:r w:rsidR="00945B50">
        <w:t>’</w:t>
      </w:r>
      <w:r w:rsidRPr="00D5126A">
        <w:t xml:space="preserve"> and jointly controlled entity’s surplus or deficit</w:t>
      </w:r>
      <w:bookmarkEnd w:id="411"/>
      <w:bookmarkEnd w:id="412"/>
    </w:p>
    <w:p w:rsidR="00945B50" w:rsidRDefault="00FA6A77" w:rsidP="00FA1ACE">
      <w:r w:rsidRPr="00D5126A">
        <w:t>The Council’s share of the results of the Chaffers Marina Holdings Limited, Wellington International Airport Limited and Wellington Water Limited is as follows:</w:t>
      </w:r>
      <w:r w:rsidR="00945B50" w:rsidRPr="00945B50">
        <w:rPr>
          <w:noProof/>
          <w:lang w:eastAsia="en-NZ"/>
        </w:rPr>
        <w:t xml:space="preserve"> </w:t>
      </w:r>
    </w:p>
    <w:p w:rsidR="00945B50" w:rsidRDefault="00945B50" w:rsidP="00945B50">
      <w:pPr>
        <w:pStyle w:val="Caption"/>
      </w:pPr>
      <w:r>
        <w:lastRenderedPageBreak/>
        <w:t xml:space="preserve">Section 5 - Table </w:t>
      </w:r>
      <w:fldSimple w:instr=" SEQ Section_5_-_Table \* ARABIC ">
        <w:r w:rsidR="005908C4">
          <w:rPr>
            <w:noProof/>
          </w:rPr>
          <w:t>13</w:t>
        </w:r>
      </w:fldSimple>
      <w:r>
        <w:t>: Share of associates' and jointly controlled entity's surplus or (deficit)</w:t>
      </w:r>
    </w:p>
    <w:p w:rsidR="00FA6A77" w:rsidRPr="00D5126A" w:rsidRDefault="00945B50" w:rsidP="00FA1ACE">
      <w:r w:rsidRPr="00D5126A">
        <w:rPr>
          <w:noProof/>
          <w:lang w:eastAsia="en-NZ"/>
        </w:rPr>
        <w:drawing>
          <wp:inline distT="0" distB="0" distL="0" distR="0" wp14:anchorId="33F37979" wp14:editId="1E87E051">
            <wp:extent cx="6082665" cy="2604135"/>
            <wp:effectExtent l="0" t="0" r="0" b="5715"/>
            <wp:docPr id="1451" name="Picture 1451" descr="Total share of associates' and jointly controlled entity's surplus or (deficit): $16,332,000" title="Section 5 - Table 13: Share of associates' and jointly controlled entity's surplus or (defic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082665" cy="2604135"/>
                    </a:xfrm>
                    <a:prstGeom prst="rect">
                      <a:avLst/>
                    </a:prstGeom>
                    <a:noFill/>
                    <a:ln>
                      <a:noFill/>
                    </a:ln>
                  </pic:spPr>
                </pic:pic>
              </a:graphicData>
            </a:graphic>
          </wp:inline>
        </w:drawing>
      </w:r>
    </w:p>
    <w:p w:rsidR="00FA6A77" w:rsidRPr="00D5126A" w:rsidRDefault="00FA6A77" w:rsidP="00FA1ACE">
      <w:r w:rsidRPr="00D5126A">
        <w:t xml:space="preserve">Further information on the cost and value of the above investments is found in Note 20: Investments in Associates and Jointly Controlled </w:t>
      </w:r>
      <w:r w:rsidRPr="00213CD7">
        <w:t xml:space="preserve">Entity </w:t>
      </w:r>
      <w:r w:rsidR="00213CD7" w:rsidRPr="00213CD7">
        <w:rPr>
          <w:lang w:eastAsia="en-GB"/>
        </w:rPr>
        <w:t>(page 263</w:t>
      </w:r>
      <w:r w:rsidR="00FA1ACE" w:rsidRPr="00D5126A">
        <w:rPr>
          <w:lang w:eastAsia="en-GB"/>
        </w:rPr>
        <w:t>).</w:t>
      </w:r>
    </w:p>
    <w:p w:rsidR="00FA6A77" w:rsidRPr="00D5126A" w:rsidRDefault="00FA6A77" w:rsidP="00FA1ACE">
      <w:pPr>
        <w:pStyle w:val="Heading4"/>
        <w:rPr>
          <w:rFonts w:asciiTheme="majorHAnsi" w:hAnsiTheme="majorHAnsi" w:cs="Times New Roman"/>
          <w:lang w:eastAsia="en-GB"/>
        </w:rPr>
      </w:pPr>
      <w:r w:rsidRPr="00D5126A">
        <w:rPr>
          <w:lang w:eastAsia="en-GB"/>
        </w:rPr>
        <w:t>Relevant significant accounting policies</w:t>
      </w:r>
    </w:p>
    <w:p w:rsidR="00FA6A77" w:rsidRPr="00D5126A" w:rsidRDefault="00FA6A77" w:rsidP="00FA1ACE">
      <w:pPr>
        <w:rPr>
          <w:szCs w:val="20"/>
        </w:rPr>
      </w:pPr>
      <w:r w:rsidRPr="00D5126A">
        <w:rPr>
          <w:szCs w:val="20"/>
        </w:rPr>
        <w:t>Associates are entities where the Council has significant influence over their operating and financial policies but they are not controlled entities or joint ventures. In the Council financial statements, the investments in associates are carried at cost. In the Group financial statements, the Council’s share of the assets, liabilities, revenue and expenditure of associates is included on an equity accounting basis as a single line.</w:t>
      </w:r>
    </w:p>
    <w:p w:rsidR="00FF0FD2" w:rsidRDefault="00FA6A77" w:rsidP="00FA6A77">
      <w:pPr>
        <w:rPr>
          <w:szCs w:val="20"/>
        </w:rPr>
      </w:pPr>
      <w:r w:rsidRPr="00D5126A">
        <w:rPr>
          <w:szCs w:val="20"/>
        </w:rPr>
        <w:t>For a jointly controlled entity the Council chooses to use the equity accounting treatment option available as it better reflects its investment in the joint venture. The investment is initially recognised at cost, and adjusted thereafter for the post-acquisition changes in the Council’s share of net assets/equity of the entity. The Council’s share of the surplus or deficit of the entity is included in the Group’s surplus or deficit on a single line.</w:t>
      </w:r>
      <w:bookmarkStart w:id="413" w:name="_Toc19092060"/>
    </w:p>
    <w:p w:rsidR="00FF0FD2" w:rsidRDefault="00FA6A77" w:rsidP="00FF0FD2">
      <w:pPr>
        <w:pStyle w:val="Heading3"/>
      </w:pPr>
      <w:bookmarkStart w:id="414" w:name="_Toc23848701"/>
      <w:r w:rsidRPr="00D5126A">
        <w:lastRenderedPageBreak/>
        <w:t>Note 10: Income tax expense</w:t>
      </w:r>
      <w:bookmarkEnd w:id="413"/>
      <w:bookmarkEnd w:id="414"/>
    </w:p>
    <w:p w:rsidR="00945B50" w:rsidRDefault="00945B50" w:rsidP="00945B50">
      <w:pPr>
        <w:pStyle w:val="Caption"/>
      </w:pPr>
      <w:r>
        <w:t xml:space="preserve">Section 5 - Table </w:t>
      </w:r>
      <w:fldSimple w:instr=" SEQ Section_5_-_Table \* ARABIC ">
        <w:r w:rsidR="005908C4">
          <w:rPr>
            <w:noProof/>
          </w:rPr>
          <w:t>14</w:t>
        </w:r>
      </w:fldSimple>
      <w:r>
        <w:t>: Income tax expense</w:t>
      </w:r>
    </w:p>
    <w:p w:rsidR="007A7C40" w:rsidRDefault="007A7C40" w:rsidP="0035019C">
      <w:pPr>
        <w:rPr>
          <w:lang w:eastAsia="en-GB"/>
        </w:rPr>
      </w:pPr>
      <w:r w:rsidRPr="008F6F28">
        <w:rPr>
          <w:noProof/>
          <w:lang w:eastAsia="en-NZ"/>
        </w:rPr>
        <w:drawing>
          <wp:inline distT="0" distB="0" distL="0" distR="0" wp14:anchorId="370BC079" wp14:editId="58E3A996">
            <wp:extent cx="5348177" cy="6375738"/>
            <wp:effectExtent l="0" t="0" r="5080" b="6350"/>
            <wp:docPr id="48" name="Picture 48" descr="Total income tax expense/(credit): $187,000" title="Section 5 - Table 14: Income tax expe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352770" cy="6381214"/>
                    </a:xfrm>
                    <a:prstGeom prst="rect">
                      <a:avLst/>
                    </a:prstGeom>
                    <a:noFill/>
                    <a:ln>
                      <a:noFill/>
                    </a:ln>
                  </pic:spPr>
                </pic:pic>
              </a:graphicData>
            </a:graphic>
          </wp:inline>
        </w:drawing>
      </w:r>
    </w:p>
    <w:p w:rsidR="00FA6A77" w:rsidRPr="00D5126A" w:rsidRDefault="00FA6A77" w:rsidP="00FF0FD2">
      <w:pPr>
        <w:pStyle w:val="Heading4"/>
        <w:rPr>
          <w:lang w:eastAsia="en-GB"/>
        </w:rPr>
      </w:pPr>
      <w:r w:rsidRPr="00D5126A">
        <w:rPr>
          <w:lang w:eastAsia="en-GB"/>
        </w:rPr>
        <w:t>Relevant significant accounting policies</w:t>
      </w:r>
    </w:p>
    <w:p w:rsidR="00945B50" w:rsidRDefault="00FA6A77" w:rsidP="00945B50">
      <w:pPr>
        <w:spacing w:after="150"/>
        <w:jc w:val="both"/>
        <w:rPr>
          <w:rFonts w:ascii="Arial" w:hAnsi="Arial" w:cs="Arial"/>
          <w:color w:val="333333"/>
          <w:lang w:eastAsia="en-GB"/>
        </w:rPr>
      </w:pPr>
      <w:r w:rsidRPr="00D5126A">
        <w:rPr>
          <w:rFonts w:ascii="Arial" w:hAnsi="Arial" w:cs="Arial"/>
          <w:color w:val="333333"/>
          <w:lang w:eastAsia="en-GB"/>
        </w:rPr>
        <w:t>Council, as a local authority is only liable for income tax on the surplus or deficit for the year derived from any council controlled trading organisations and comprises current and deferred tax. Other members of the Group are subject to normal taxation unless they have tax exempt status as charitable trusts.</w:t>
      </w:r>
      <w:r w:rsidR="00945B50">
        <w:rPr>
          <w:rFonts w:ascii="Arial" w:hAnsi="Arial" w:cs="Arial"/>
          <w:color w:val="333333"/>
          <w:lang w:eastAsia="en-GB"/>
        </w:rPr>
        <w:t xml:space="preserve"> </w:t>
      </w:r>
    </w:p>
    <w:p w:rsidR="00945B50" w:rsidRDefault="00FA6A77" w:rsidP="00945B50">
      <w:pPr>
        <w:spacing w:after="150"/>
        <w:jc w:val="both"/>
        <w:rPr>
          <w:rFonts w:asciiTheme="majorHAnsi" w:eastAsia="MS Gothic" w:hAnsiTheme="majorHAnsi"/>
          <w:b/>
          <w:bCs/>
          <w:iCs/>
          <w:sz w:val="36"/>
          <w:szCs w:val="28"/>
        </w:rPr>
      </w:pPr>
      <w:r w:rsidRPr="00D5126A">
        <w:rPr>
          <w:rFonts w:ascii="Arial" w:hAnsi="Arial" w:cs="Arial"/>
          <w:color w:val="333333"/>
          <w:lang w:eastAsia="en-GB"/>
        </w:rPr>
        <w:t>Current tax is the expected tax payable on the taxable income for the year, using tax rates enacted or substantively enacted at the end of the reporting period, plus any adjustment to tax payable in respect of previous periods.</w:t>
      </w:r>
      <w:r w:rsidR="00FA1ACE" w:rsidRPr="00D5126A">
        <w:rPr>
          <w:rFonts w:asciiTheme="majorHAnsi" w:eastAsia="MS Gothic" w:hAnsiTheme="majorHAnsi"/>
          <w:b/>
          <w:bCs/>
          <w:iCs/>
          <w:sz w:val="36"/>
          <w:szCs w:val="28"/>
        </w:rPr>
        <w:t xml:space="preserve"> </w:t>
      </w:r>
      <w:bookmarkStart w:id="415" w:name="OLE_LINK2"/>
    </w:p>
    <w:p w:rsidR="00FA6A77" w:rsidRPr="00D5126A" w:rsidRDefault="00FA6A77" w:rsidP="00945B50">
      <w:pPr>
        <w:pStyle w:val="Heading2"/>
        <w:rPr>
          <w:rFonts w:eastAsia="MS Gothic"/>
          <w:iCs/>
          <w:sz w:val="36"/>
          <w:szCs w:val="28"/>
        </w:rPr>
      </w:pPr>
      <w:bookmarkStart w:id="416" w:name="_Toc23758623"/>
      <w:bookmarkStart w:id="417" w:name="_Toc23848702"/>
      <w:r w:rsidRPr="00D5126A">
        <w:lastRenderedPageBreak/>
        <w:t>Statement of Financial Position</w:t>
      </w:r>
      <w:bookmarkEnd w:id="416"/>
      <w:bookmarkEnd w:id="417"/>
    </w:p>
    <w:bookmarkEnd w:id="415"/>
    <w:p w:rsidR="00FA6A77" w:rsidRPr="00D5126A" w:rsidRDefault="009E28FB" w:rsidP="009E28FB">
      <w:pPr>
        <w:pStyle w:val="Heading5"/>
      </w:pPr>
      <w:r w:rsidRPr="00D5126A">
        <w:t>For the year ended 30 June 2019</w:t>
      </w:r>
    </w:p>
    <w:p w:rsidR="00FA6A77" w:rsidRPr="00D5126A" w:rsidRDefault="00FA6A77" w:rsidP="00FF0FD2">
      <w:pPr>
        <w:ind w:left="-567"/>
      </w:pPr>
      <w:r w:rsidRPr="00D5126A">
        <w:t xml:space="preserve"> </w:t>
      </w:r>
      <w:r w:rsidR="00FF0FD2" w:rsidRPr="00D5126A">
        <w:rPr>
          <w:noProof/>
          <w:lang w:eastAsia="en-NZ"/>
        </w:rPr>
        <w:drawing>
          <wp:inline distT="0" distB="0" distL="0" distR="0" wp14:anchorId="74BBE13A" wp14:editId="66BC6B20">
            <wp:extent cx="6082916" cy="7857460"/>
            <wp:effectExtent l="0" t="0" r="0" b="0"/>
            <wp:docPr id="1449" name="Picture 1449" descr="Total assets: $7,781,101,000&#10;&#10;Total liabilities: $910,936,000&#10;Total equity: $6,870,165,000&#10;Tota  liabilities and equity: $7,781,101,000&#10;" title="Statement of Financial Po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089330" cy="7865746"/>
                    </a:xfrm>
                    <a:prstGeom prst="rect">
                      <a:avLst/>
                    </a:prstGeom>
                    <a:noFill/>
                    <a:ln>
                      <a:noFill/>
                    </a:ln>
                  </pic:spPr>
                </pic:pic>
              </a:graphicData>
            </a:graphic>
          </wp:inline>
        </w:drawing>
      </w:r>
    </w:p>
    <w:p w:rsidR="00FF0FD2" w:rsidRDefault="00FF0FD2" w:rsidP="00FF0FD2">
      <w:pPr>
        <w:ind w:left="-426"/>
        <w:rPr>
          <w:lang w:eastAsia="en-NZ"/>
        </w:rPr>
      </w:pPr>
      <w:bookmarkStart w:id="418" w:name="_Toc19092062"/>
      <w:r w:rsidRPr="00D5126A">
        <w:rPr>
          <w:noProof/>
          <w:lang w:eastAsia="en-NZ"/>
        </w:rPr>
        <w:lastRenderedPageBreak/>
        <w:drawing>
          <wp:inline distT="0" distB="0" distL="0" distR="0" wp14:anchorId="65668A9B" wp14:editId="29E0504D">
            <wp:extent cx="6172200" cy="596265"/>
            <wp:effectExtent l="0" t="0" r="0" b="0"/>
            <wp:docPr id="1448" name="Picture 1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172200" cy="596265"/>
                    </a:xfrm>
                    <a:prstGeom prst="rect">
                      <a:avLst/>
                    </a:prstGeom>
                    <a:noFill/>
                    <a:ln>
                      <a:noFill/>
                    </a:ln>
                  </pic:spPr>
                </pic:pic>
              </a:graphicData>
            </a:graphic>
          </wp:inline>
        </w:drawing>
      </w:r>
      <w:bookmarkEnd w:id="418"/>
      <w:r w:rsidRPr="00D5126A">
        <w:rPr>
          <w:noProof/>
          <w:lang w:eastAsia="en-NZ"/>
        </w:rPr>
        <w:drawing>
          <wp:inline distT="0" distB="0" distL="0" distR="0" wp14:anchorId="1D755458" wp14:editId="39317A8D">
            <wp:extent cx="6172200" cy="2037715"/>
            <wp:effectExtent l="0" t="0" r="0" b="635"/>
            <wp:docPr id="1447" name="Picture 1447" descr="Total assets: $7,781,101,000&#10;&#10;Total liabilities: $910,936,000&#10;Total equity: $6,870,165,000&#10;Tota  liabilities and equity: $7,781,101,000&#10;" title="Statement of Financial Po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172200" cy="2037715"/>
                    </a:xfrm>
                    <a:prstGeom prst="rect">
                      <a:avLst/>
                    </a:prstGeom>
                    <a:noFill/>
                    <a:ln>
                      <a:noFill/>
                    </a:ln>
                  </pic:spPr>
                </pic:pic>
              </a:graphicData>
            </a:graphic>
          </wp:inline>
        </w:drawing>
      </w:r>
    </w:p>
    <w:p w:rsidR="00FA6A77" w:rsidRPr="00D5126A" w:rsidRDefault="00FA6A77" w:rsidP="00FF0FD2">
      <w:pPr>
        <w:rPr>
          <w:lang w:eastAsia="en-NZ"/>
        </w:rPr>
      </w:pPr>
      <w:r w:rsidRPr="00D5126A">
        <w:rPr>
          <w:lang w:eastAsia="en-NZ"/>
        </w:rPr>
        <w:t xml:space="preserve">The notes </w:t>
      </w:r>
      <w:r w:rsidR="009E28FB" w:rsidRPr="00D5126A">
        <w:rPr>
          <w:lang w:eastAsia="en-NZ"/>
        </w:rPr>
        <w:t>from</w:t>
      </w:r>
      <w:r w:rsidRPr="00D5126A">
        <w:rPr>
          <w:lang w:eastAsia="en-NZ"/>
        </w:rPr>
        <w:t xml:space="preserve"> </w:t>
      </w:r>
      <w:r w:rsidR="009E28FB" w:rsidRPr="00D5126A">
        <w:rPr>
          <w:lang w:eastAsia="en-NZ"/>
        </w:rPr>
        <w:t xml:space="preserve">pages </w:t>
      </w:r>
      <w:r w:rsidR="00213CD7">
        <w:rPr>
          <w:lang w:eastAsia="en-NZ"/>
        </w:rPr>
        <w:t>225 to 312</w:t>
      </w:r>
      <w:r w:rsidRPr="00D5126A">
        <w:rPr>
          <w:lang w:eastAsia="en-NZ"/>
        </w:rPr>
        <w:t xml:space="preserve"> form part of and should be read in conjunction with the financial statements</w:t>
      </w:r>
    </w:p>
    <w:p w:rsidR="00FA6A77" w:rsidRPr="00D5126A" w:rsidRDefault="00FA6A77" w:rsidP="00006113">
      <w:pPr>
        <w:pStyle w:val="Heading4"/>
      </w:pPr>
      <w:bookmarkStart w:id="419" w:name="_Toc19092063"/>
      <w:r w:rsidRPr="00D5126A">
        <w:t>Statement of Financial Position - Major budget variations</w:t>
      </w:r>
      <w:bookmarkEnd w:id="419"/>
    </w:p>
    <w:p w:rsidR="00FA6A77" w:rsidRPr="00D5126A" w:rsidRDefault="00FA6A77" w:rsidP="009E28FB">
      <w:pPr>
        <w:pStyle w:val="Heading5"/>
        <w:rPr>
          <w:lang w:eastAsia="en-GB"/>
        </w:rPr>
      </w:pPr>
      <w:r w:rsidRPr="00D5126A">
        <w:rPr>
          <w:lang w:eastAsia="en-GB"/>
        </w:rPr>
        <w:t>Significant variations from budget are as follows:</w:t>
      </w:r>
    </w:p>
    <w:p w:rsidR="00FA6A77" w:rsidRPr="00D5126A" w:rsidRDefault="00FA6A77" w:rsidP="009E28FB">
      <w:pPr>
        <w:spacing w:after="0"/>
      </w:pPr>
      <w:r w:rsidRPr="00D5126A">
        <w:t>Current assets are $172.389m higher than budgeted, major variances included:</w:t>
      </w:r>
    </w:p>
    <w:p w:rsidR="00FA6A77" w:rsidRPr="00D5126A" w:rsidRDefault="00FA6A77" w:rsidP="002C7BF8">
      <w:pPr>
        <w:pStyle w:val="ListParagraph"/>
        <w:numPr>
          <w:ilvl w:val="0"/>
          <w:numId w:val="45"/>
        </w:numPr>
        <w:spacing w:after="0"/>
      </w:pPr>
      <w:r w:rsidRPr="00D5126A">
        <w:t>$133.000m of short-term deposits and $9.000m of deposits with a term between 3 and 12 months are held due to certain favourable interest rates and liquidity requirements.</w:t>
      </w:r>
    </w:p>
    <w:p w:rsidR="00FA6A77" w:rsidRPr="00D5126A" w:rsidRDefault="00FA6A77" w:rsidP="002C7BF8">
      <w:pPr>
        <w:pStyle w:val="ListParagraph"/>
        <w:numPr>
          <w:ilvl w:val="0"/>
          <w:numId w:val="45"/>
        </w:numPr>
        <w:spacing w:after="0"/>
      </w:pPr>
      <w:r w:rsidRPr="00D5126A">
        <w:t>$19.744m of non-current assets classified as held for sale have been moved to current assets from property, plant and equipment relating to earthquake prone social housing and the long-term lease of Arlington sites 1 and 3 to Housing NZ.</w:t>
      </w:r>
    </w:p>
    <w:p w:rsidR="00FA6A77" w:rsidRPr="00D5126A" w:rsidRDefault="00FA6A77" w:rsidP="009E28FB">
      <w:pPr>
        <w:spacing w:after="0"/>
      </w:pPr>
      <w:r w:rsidRPr="00D5126A">
        <w:t>Non-current assets are $40.231m higher than budget, major variances included:</w:t>
      </w:r>
    </w:p>
    <w:p w:rsidR="00FA6A77" w:rsidRPr="00D5126A" w:rsidRDefault="00FA6A77" w:rsidP="002C7BF8">
      <w:pPr>
        <w:pStyle w:val="ListParagraph"/>
        <w:numPr>
          <w:ilvl w:val="0"/>
          <w:numId w:val="46"/>
        </w:numPr>
        <w:spacing w:after="0"/>
      </w:pPr>
      <w:r w:rsidRPr="00D5126A">
        <w:t>$14.465m of increase in investment properties primarily due to a revaluation increase reflecting commercial market returns</w:t>
      </w:r>
    </w:p>
    <w:p w:rsidR="00FA6A77" w:rsidRPr="00D5126A" w:rsidRDefault="00FA6A77" w:rsidP="002C7BF8">
      <w:pPr>
        <w:pStyle w:val="ListParagraph"/>
        <w:numPr>
          <w:ilvl w:val="0"/>
          <w:numId w:val="46"/>
        </w:numPr>
        <w:spacing w:after="0"/>
      </w:pPr>
      <w:r w:rsidRPr="00D5126A">
        <w:t>$31.105m of property, plant and equipment above budget. This is partly due to timing differences arising from the recognition of property, plant and equipment revaluations in 2017/18 as well as unbudgeted vested assets recognised in 2018/19 totalling $13.411m. This is partially offset by lower than budgeted additions as well as the recognition of Civic Precinct impairments and transfers to non-current assets classified as held for sale.</w:t>
      </w:r>
    </w:p>
    <w:p w:rsidR="00FA6A77" w:rsidRPr="00D5126A" w:rsidRDefault="00FA6A77" w:rsidP="009E28FB">
      <w:pPr>
        <w:spacing w:after="0"/>
      </w:pPr>
      <w:r w:rsidRPr="00D5126A">
        <w:t>Total liabilities are $150.461m higher than budget, major variances included:</w:t>
      </w:r>
    </w:p>
    <w:p w:rsidR="00FA6A77" w:rsidRPr="00D5126A" w:rsidRDefault="00251826" w:rsidP="002C7BF8">
      <w:pPr>
        <w:pStyle w:val="ListParagraph"/>
        <w:numPr>
          <w:ilvl w:val="0"/>
          <w:numId w:val="47"/>
        </w:numPr>
        <w:spacing w:after="0"/>
      </w:pPr>
      <w:r w:rsidRPr="00D5126A">
        <w:t>$67.153m</w:t>
      </w:r>
      <w:r>
        <w:t>,</w:t>
      </w:r>
      <w:r w:rsidRPr="00D5126A">
        <w:t xml:space="preserve"> relating to derivative financial liabilities which are not budgeted for.</w:t>
      </w:r>
    </w:p>
    <w:p w:rsidR="00FA6A77" w:rsidRPr="00D5126A" w:rsidRDefault="00FA6A77" w:rsidP="002C7BF8">
      <w:pPr>
        <w:pStyle w:val="ListParagraph"/>
        <w:numPr>
          <w:ilvl w:val="0"/>
          <w:numId w:val="47"/>
        </w:numPr>
        <w:spacing w:after="0"/>
      </w:pPr>
      <w:r w:rsidRPr="00D5126A">
        <w:t>$26.833m relating to provision for other liabilities due to timing differences related to the weathertight homes and landfill provisions compared to budget.</w:t>
      </w:r>
    </w:p>
    <w:p w:rsidR="00FA6A77" w:rsidRPr="00D5126A" w:rsidRDefault="00FA6A77" w:rsidP="002C7BF8">
      <w:pPr>
        <w:pStyle w:val="ListParagraph"/>
        <w:numPr>
          <w:ilvl w:val="0"/>
          <w:numId w:val="47"/>
        </w:numPr>
        <w:spacing w:after="0"/>
      </w:pPr>
      <w:r w:rsidRPr="00D5126A">
        <w:t>$57.647m of additional borrowings compared to budget. Net borrowings, once cash and short term deposits are taken into account, is actually down on budget due to capital expenditure underspends as a result of the re-phasing of some projects over a longer period of time.</w:t>
      </w:r>
    </w:p>
    <w:p w:rsidR="00FA6A77" w:rsidRPr="00D5126A" w:rsidRDefault="00FA6A77" w:rsidP="002C7BF8">
      <w:pPr>
        <w:pStyle w:val="ListParagraph"/>
        <w:numPr>
          <w:ilvl w:val="0"/>
          <w:numId w:val="47"/>
        </w:numPr>
        <w:spacing w:after="0"/>
      </w:pPr>
      <w:r w:rsidRPr="00D5126A">
        <w:t>$6.599m of taxes payable which are not budgeted for, these largely relate to PAYE payable to the IRD and amounts due to GWRC for rates collected on their behalf.</w:t>
      </w:r>
    </w:p>
    <w:p w:rsidR="00FA6A77" w:rsidRPr="00D5126A" w:rsidRDefault="00FA6A77" w:rsidP="009E28FB">
      <w:pPr>
        <w:pStyle w:val="Heading3"/>
      </w:pPr>
      <w:bookmarkStart w:id="420" w:name="_Toc19092064"/>
      <w:bookmarkStart w:id="421" w:name="_Toc23848703"/>
      <w:r w:rsidRPr="00D5126A">
        <w:lastRenderedPageBreak/>
        <w:t>Note 11: Cash and cash equivalents</w:t>
      </w:r>
      <w:bookmarkEnd w:id="420"/>
      <w:bookmarkEnd w:id="421"/>
    </w:p>
    <w:p w:rsidR="006D4F99" w:rsidRDefault="006D4F99" w:rsidP="006D4F99">
      <w:pPr>
        <w:pStyle w:val="Caption"/>
      </w:pPr>
      <w:r>
        <w:t xml:space="preserve">Section 5 - Table </w:t>
      </w:r>
      <w:fldSimple w:instr=" SEQ Section_5_-_Table \* ARABIC ">
        <w:r w:rsidR="005908C4">
          <w:rPr>
            <w:noProof/>
          </w:rPr>
          <w:t>15</w:t>
        </w:r>
      </w:fldSimple>
      <w:r>
        <w:t xml:space="preserve">: </w:t>
      </w:r>
      <w:r w:rsidRPr="00023C77">
        <w:t>Cash and cash equivalents</w:t>
      </w:r>
    </w:p>
    <w:p w:rsidR="00FA6A77" w:rsidRPr="00D5126A" w:rsidRDefault="006D4F99" w:rsidP="009E28FB">
      <w:pPr>
        <w:rPr>
          <w:rFonts w:ascii="Arial" w:hAnsi="Arial" w:cs="Arial"/>
          <w:color w:val="333333"/>
          <w:lang w:eastAsia="en-GB"/>
        </w:rPr>
      </w:pPr>
      <w:r w:rsidRPr="00D5126A">
        <w:rPr>
          <w:noProof/>
          <w:lang w:eastAsia="en-NZ"/>
        </w:rPr>
        <w:drawing>
          <wp:inline distT="0" distB="0" distL="0" distR="0" wp14:anchorId="3A37511C" wp14:editId="772F697F">
            <wp:extent cx="6172200" cy="1709420"/>
            <wp:effectExtent l="0" t="0" r="0" b="5080"/>
            <wp:docPr id="1446" name="Picture 1446" descr="Total Cash and cash equivalents: $135,246,000" title="Section 5 - Table 15: Cash and cash equival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172200" cy="1709420"/>
                    </a:xfrm>
                    <a:prstGeom prst="rect">
                      <a:avLst/>
                    </a:prstGeom>
                    <a:noFill/>
                    <a:ln>
                      <a:noFill/>
                    </a:ln>
                  </pic:spPr>
                </pic:pic>
              </a:graphicData>
            </a:graphic>
          </wp:inline>
        </w:drawing>
      </w:r>
      <w:r w:rsidR="00FA6A77" w:rsidRPr="00D5126A">
        <w:rPr>
          <w:rFonts w:ascii="Arial" w:hAnsi="Arial" w:cs="Arial"/>
          <w:color w:val="333333"/>
          <w:lang w:eastAsia="en-GB"/>
        </w:rPr>
        <w:t>Bank balances that are interest bearing earn interest based on current floating bank deposit rates.</w:t>
      </w:r>
    </w:p>
    <w:p w:rsidR="00FA6A77" w:rsidRPr="00D5126A" w:rsidRDefault="00FA6A77" w:rsidP="009E28FB">
      <w:pPr>
        <w:rPr>
          <w:rFonts w:ascii="Arial" w:hAnsi="Arial" w:cs="Arial"/>
          <w:color w:val="333333"/>
          <w:lang w:eastAsia="en-GB"/>
        </w:rPr>
      </w:pPr>
      <w:r w:rsidRPr="00D5126A">
        <w:rPr>
          <w:rFonts w:ascii="Arial" w:hAnsi="Arial" w:cs="Arial"/>
          <w:color w:val="333333"/>
          <w:lang w:eastAsia="en-GB"/>
        </w:rPr>
        <w:t>Short term deposits are made with a registered bank, with a credit rating of at least A, for varying periods of up to three months depending on the immediate cash requirements and short term borrowings of the Group, and earn interest at the applicable short term deposit rates.</w:t>
      </w:r>
    </w:p>
    <w:p w:rsidR="00FA6A77" w:rsidRPr="00D5126A" w:rsidRDefault="00FA6A77" w:rsidP="009E28FB">
      <w:pPr>
        <w:rPr>
          <w:rFonts w:ascii="Arial" w:hAnsi="Arial" w:cs="Arial"/>
          <w:color w:val="333333"/>
          <w:lang w:eastAsia="en-GB"/>
        </w:rPr>
      </w:pPr>
      <w:r w:rsidRPr="00D5126A">
        <w:rPr>
          <w:rFonts w:ascii="Arial" w:hAnsi="Arial" w:cs="Arial"/>
          <w:color w:val="333333"/>
          <w:lang w:eastAsia="en-GB"/>
        </w:rPr>
        <w:t>Council holds short term deposits as part of its overall liquidity risk management programme. This programme enables Council to maintain its regular commercial paper programme and to pre-fund upcoming debt maturities. The combination of the commercial paper programme and holding short term deposits reduces Council’s cost of funds.</w:t>
      </w:r>
    </w:p>
    <w:p w:rsidR="007A7C40" w:rsidRDefault="007A7C40" w:rsidP="0035019C">
      <w:bookmarkStart w:id="422" w:name="_Toc19092065"/>
    </w:p>
    <w:p w:rsidR="007A7C40" w:rsidRDefault="007A7C40">
      <w:pPr>
        <w:rPr>
          <w:rFonts w:eastAsia="Times New Roman" w:cstheme="minorHAnsi"/>
          <w:b/>
          <w:bCs/>
          <w:color w:val="4F81BD" w:themeColor="accent1"/>
          <w:sz w:val="34"/>
          <w:szCs w:val="34"/>
          <w:lang w:eastAsia="en-NZ"/>
        </w:rPr>
      </w:pPr>
      <w:r>
        <w:br w:type="page"/>
      </w:r>
    </w:p>
    <w:p w:rsidR="00FA6A77" w:rsidRPr="00D5126A" w:rsidRDefault="00FA6A77" w:rsidP="009E28FB">
      <w:pPr>
        <w:pStyle w:val="Heading3"/>
        <w:rPr>
          <w:rFonts w:eastAsia="MS Gothic"/>
        </w:rPr>
      </w:pPr>
      <w:bookmarkStart w:id="423" w:name="_Toc23848704"/>
      <w:r w:rsidRPr="00D5126A">
        <w:lastRenderedPageBreak/>
        <w:t>Note 12: Derivative financial instruments</w:t>
      </w:r>
      <w:bookmarkEnd w:id="422"/>
      <w:bookmarkEnd w:id="423"/>
    </w:p>
    <w:p w:rsidR="006D4F99" w:rsidRDefault="006D4F99" w:rsidP="006D4F99">
      <w:pPr>
        <w:pStyle w:val="Caption"/>
      </w:pPr>
      <w:r>
        <w:t xml:space="preserve">Section 5 - Table </w:t>
      </w:r>
      <w:fldSimple w:instr=" SEQ Section_5_-_Table \* ARABIC ">
        <w:r w:rsidR="005908C4">
          <w:rPr>
            <w:noProof/>
          </w:rPr>
          <w:t>16</w:t>
        </w:r>
      </w:fldSimple>
      <w:r>
        <w:t>: Derivative financial instruments</w:t>
      </w:r>
    </w:p>
    <w:p w:rsidR="00FA6A77" w:rsidRPr="00D5126A" w:rsidRDefault="006D4F99" w:rsidP="009E28FB">
      <w:pPr>
        <w:rPr>
          <w:rFonts w:ascii="Arial" w:hAnsi="Arial" w:cs="Arial"/>
          <w:color w:val="333333"/>
          <w:lang w:eastAsia="en-GB"/>
        </w:rPr>
      </w:pPr>
      <w:r w:rsidRPr="00D5126A">
        <w:rPr>
          <w:noProof/>
          <w:lang w:eastAsia="en-NZ"/>
        </w:rPr>
        <w:drawing>
          <wp:inline distT="0" distB="0" distL="0" distR="0" wp14:anchorId="70EF3488" wp14:editId="23BF27F0">
            <wp:extent cx="5666740" cy="3759200"/>
            <wp:effectExtent l="0" t="0" r="0" b="0"/>
            <wp:docPr id="1445" name="Picture 1445" descr="Total Derivative financial instruments" title="Section 5 - Table 16: Derivative financial instru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666740" cy="3759200"/>
                    </a:xfrm>
                    <a:prstGeom prst="rect">
                      <a:avLst/>
                    </a:prstGeom>
                    <a:noFill/>
                    <a:ln>
                      <a:noFill/>
                    </a:ln>
                  </pic:spPr>
                </pic:pic>
              </a:graphicData>
            </a:graphic>
          </wp:inline>
        </w:drawing>
      </w:r>
      <w:r w:rsidR="00FA6A77" w:rsidRPr="00D5126A">
        <w:rPr>
          <w:rFonts w:ascii="Arial" w:hAnsi="Arial" w:cs="Arial"/>
          <w:color w:val="333333"/>
          <w:lang w:eastAsia="en-GB"/>
        </w:rPr>
        <w:t>Derivative financial instruments are used by the Group in the normal course of business to hedge exposure to cash flow and fair value interest rate risk. The amounts shown above represent the fair values of these derivative financial instruments. Although these are managed as a portfolio, the Group has no rights to offset assets and liabilities and must present these figures separately.</w:t>
      </w:r>
    </w:p>
    <w:p w:rsidR="00FA6A77" w:rsidRPr="00D5126A" w:rsidRDefault="00FA6A77" w:rsidP="009E28FB">
      <w:pPr>
        <w:rPr>
          <w:rFonts w:ascii="Arial" w:hAnsi="Arial" w:cs="Arial"/>
          <w:color w:val="333333"/>
          <w:lang w:eastAsia="en-GB"/>
        </w:rPr>
      </w:pPr>
      <w:r w:rsidRPr="00D5126A">
        <w:rPr>
          <w:rFonts w:ascii="Arial" w:hAnsi="Arial" w:cs="Arial"/>
          <w:color w:val="333333"/>
          <w:lang w:eastAsia="en-GB"/>
        </w:rPr>
        <w:t>Cash flow hedges are used to fix interest rates on floating rate debt (floating rate notes or commercial paper) or bank borrowings. Fair value hedges are used to convert interest rates on some fixed rate debt (bonds) to floating rates.</w:t>
      </w:r>
    </w:p>
    <w:p w:rsidR="00FA6A77" w:rsidRPr="00D5126A" w:rsidRDefault="00FA6A77" w:rsidP="009E28FB">
      <w:pPr>
        <w:rPr>
          <w:rFonts w:ascii="Arial" w:hAnsi="Arial" w:cs="Arial"/>
          <w:color w:val="333333"/>
          <w:lang w:eastAsia="en-GB"/>
        </w:rPr>
      </w:pPr>
      <w:r w:rsidRPr="00D5126A">
        <w:rPr>
          <w:rFonts w:ascii="Arial" w:hAnsi="Arial" w:cs="Arial"/>
          <w:color w:val="333333"/>
          <w:lang w:eastAsia="en-GB"/>
        </w:rPr>
        <w:t>For further information on the Council’s interest rate swaps please refer t</w:t>
      </w:r>
      <w:r w:rsidR="00321CD6" w:rsidRPr="00D5126A">
        <w:rPr>
          <w:rFonts w:ascii="Arial" w:hAnsi="Arial" w:cs="Arial"/>
          <w:color w:val="333333"/>
          <w:lang w:eastAsia="en-GB"/>
        </w:rPr>
        <w:t xml:space="preserve">o Note 28: Hedging </w:t>
      </w:r>
      <w:r w:rsidR="00321CD6" w:rsidRPr="00213CD7">
        <w:rPr>
          <w:rFonts w:ascii="Arial" w:hAnsi="Arial" w:cs="Arial"/>
          <w:color w:val="333333"/>
          <w:lang w:eastAsia="en-GB"/>
        </w:rPr>
        <w:t xml:space="preserve">Reserve (page </w:t>
      </w:r>
      <w:r w:rsidR="00213CD7" w:rsidRPr="00213CD7">
        <w:rPr>
          <w:rFonts w:ascii="Arial" w:hAnsi="Arial" w:cs="Arial"/>
          <w:color w:val="333333"/>
          <w:lang w:eastAsia="en-GB"/>
        </w:rPr>
        <w:t>284</w:t>
      </w:r>
      <w:r w:rsidRPr="00213CD7">
        <w:rPr>
          <w:rFonts w:ascii="Arial" w:hAnsi="Arial" w:cs="Arial"/>
          <w:color w:val="333333"/>
          <w:lang w:eastAsia="en-GB"/>
        </w:rPr>
        <w:t xml:space="preserve">) and Note 32: Financial instruments </w:t>
      </w:r>
      <w:r w:rsidR="00321CD6" w:rsidRPr="00213CD7">
        <w:rPr>
          <w:rFonts w:ascii="Arial" w:hAnsi="Arial" w:cs="Arial"/>
          <w:color w:val="333333"/>
          <w:lang w:eastAsia="en-GB"/>
        </w:rPr>
        <w:t xml:space="preserve">(page </w:t>
      </w:r>
      <w:r w:rsidR="00213CD7" w:rsidRPr="00213CD7">
        <w:rPr>
          <w:rFonts w:ascii="Arial" w:hAnsi="Arial" w:cs="Arial"/>
          <w:color w:val="333333"/>
          <w:lang w:eastAsia="en-GB"/>
        </w:rPr>
        <w:t>290</w:t>
      </w:r>
      <w:r w:rsidR="00321CD6" w:rsidRPr="00213CD7">
        <w:rPr>
          <w:rFonts w:ascii="Arial" w:hAnsi="Arial" w:cs="Arial"/>
          <w:color w:val="333333"/>
          <w:lang w:eastAsia="en-GB"/>
        </w:rPr>
        <w:t>).</w:t>
      </w:r>
    </w:p>
    <w:p w:rsidR="00FA6A77" w:rsidRPr="00D5126A" w:rsidRDefault="00FA6A77" w:rsidP="009E28FB">
      <w:pPr>
        <w:pStyle w:val="Heading4"/>
        <w:rPr>
          <w:rFonts w:asciiTheme="majorHAnsi" w:hAnsiTheme="majorHAnsi"/>
          <w:lang w:eastAsia="en-GB"/>
        </w:rPr>
      </w:pPr>
      <w:r w:rsidRPr="00D5126A">
        <w:rPr>
          <w:lang w:eastAsia="en-GB"/>
        </w:rPr>
        <w:t>Relevant significant accounting policies</w:t>
      </w:r>
    </w:p>
    <w:p w:rsidR="00FA6A77" w:rsidRPr="00D5126A" w:rsidRDefault="00FA6A77" w:rsidP="009E28FB">
      <w:pPr>
        <w:rPr>
          <w:rFonts w:ascii="Arial" w:hAnsi="Arial" w:cs="Arial"/>
          <w:color w:val="333333"/>
          <w:lang w:eastAsia="en-GB"/>
        </w:rPr>
      </w:pPr>
      <w:r w:rsidRPr="00D5126A">
        <w:rPr>
          <w:rFonts w:ascii="Arial" w:hAnsi="Arial" w:cs="Arial"/>
          <w:color w:val="333333"/>
          <w:lang w:eastAsia="en-GB"/>
        </w:rPr>
        <w:t>Derivative financial instruments include interest rate swaps used to hedge exposure to interest rate risk on borrowings. Derivatives are initially recognised at fair value, based on quoted market prices, and subsequently remeasured to fair value at the end of each reporting period. Fair value is determined by reference to quoted prices for similar instruments in active markets. Derivatives that do not qualify for hedge accounting are classified as non-hedged and fair value gains or losses are recognised within surplus or deficit.</w:t>
      </w:r>
    </w:p>
    <w:p w:rsidR="00FA6A77" w:rsidRPr="00D5126A" w:rsidRDefault="00FA6A77" w:rsidP="009E28FB">
      <w:pPr>
        <w:rPr>
          <w:rFonts w:ascii="Arial" w:hAnsi="Arial" w:cs="Arial"/>
          <w:color w:val="333333"/>
          <w:lang w:eastAsia="en-GB"/>
        </w:rPr>
      </w:pPr>
      <w:r w:rsidRPr="00D5126A">
        <w:rPr>
          <w:rFonts w:ascii="Arial" w:hAnsi="Arial" w:cs="Arial"/>
          <w:color w:val="333333"/>
          <w:lang w:eastAsia="en-GB"/>
        </w:rPr>
        <w:t xml:space="preserve">Recognition of fair value gains or losses on derivatives that qualify for hedge accounting depends on the nature of the item being hedged. Where a derivative is used to hedge variability of cash flows (cash flow hedge), the effective part of any gain or loss is recognised within other comprehensive revenue and expense while the ineffective part is recognised within surplus or deficit. Gains or losses recognised in other comprehensive revenue and expense transfer to surplus or deficit in the same periods as when the hedged item affects the surplus or deficit. </w:t>
      </w:r>
    </w:p>
    <w:p w:rsidR="00FA6A77" w:rsidRPr="00D5126A" w:rsidRDefault="00FA6A77" w:rsidP="009E28FB">
      <w:pPr>
        <w:rPr>
          <w:rFonts w:ascii="Arial" w:hAnsi="Arial" w:cs="Arial"/>
          <w:color w:val="333333"/>
          <w:lang w:eastAsia="en-GB"/>
        </w:rPr>
      </w:pPr>
      <w:r w:rsidRPr="00D5126A">
        <w:rPr>
          <w:rFonts w:ascii="Arial" w:hAnsi="Arial" w:cs="Arial"/>
          <w:color w:val="333333"/>
          <w:lang w:eastAsia="en-GB"/>
        </w:rPr>
        <w:lastRenderedPageBreak/>
        <w:t>As per the International Swap Dealers’ Association (ISDA) master agreements, all swap payments or receipts are settled net.</w:t>
      </w:r>
    </w:p>
    <w:p w:rsidR="00FA6A77" w:rsidRPr="00D5126A" w:rsidRDefault="00FA6A77" w:rsidP="00C27638">
      <w:pPr>
        <w:pStyle w:val="Heading3"/>
      </w:pPr>
      <w:bookmarkStart w:id="424" w:name="_Toc19092066"/>
      <w:bookmarkStart w:id="425" w:name="_Toc23848705"/>
      <w:r w:rsidRPr="00D5126A">
        <w:t>Note 13: Receivables and recoverables</w:t>
      </w:r>
      <w:bookmarkEnd w:id="424"/>
      <w:bookmarkEnd w:id="425"/>
    </w:p>
    <w:p w:rsidR="006D4F99" w:rsidRDefault="006D4F99" w:rsidP="006D4F99">
      <w:pPr>
        <w:pStyle w:val="Caption"/>
      </w:pPr>
      <w:r>
        <w:t xml:space="preserve">Section 5 - Table </w:t>
      </w:r>
      <w:fldSimple w:instr=" SEQ Section_5_-_Table \* ARABIC ">
        <w:r w:rsidR="005908C4">
          <w:rPr>
            <w:noProof/>
          </w:rPr>
          <w:t>17</w:t>
        </w:r>
      </w:fldSimple>
      <w:r>
        <w:t>: Receivables and recoverables</w:t>
      </w:r>
    </w:p>
    <w:p w:rsidR="006D4F99" w:rsidRDefault="006D4F99" w:rsidP="00321CD6">
      <w:r w:rsidRPr="00D5126A">
        <w:rPr>
          <w:noProof/>
          <w:lang w:eastAsia="en-NZ"/>
        </w:rPr>
        <w:drawing>
          <wp:inline distT="0" distB="0" distL="0" distR="0" wp14:anchorId="776BF6A1" wp14:editId="03E17388">
            <wp:extent cx="6198235" cy="3487420"/>
            <wp:effectExtent l="0" t="0" r="0" b="0"/>
            <wp:docPr id="1444" name="Picture 1444" title="Section 5 - Table 17: Receivables and recoverab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198235" cy="3487420"/>
                    </a:xfrm>
                    <a:prstGeom prst="rect">
                      <a:avLst/>
                    </a:prstGeom>
                    <a:noFill/>
                    <a:ln>
                      <a:noFill/>
                    </a:ln>
                  </pic:spPr>
                </pic:pic>
              </a:graphicData>
            </a:graphic>
          </wp:inline>
        </w:drawing>
      </w:r>
      <w:r w:rsidR="00FA6A77" w:rsidRPr="00D5126A">
        <w:rPr>
          <w:rFonts w:ascii="Arial" w:hAnsi="Arial" w:cs="Arial"/>
          <w:color w:val="333333"/>
          <w:lang w:eastAsia="en-GB"/>
        </w:rPr>
        <w:t>Current trade, rates and sundry receivables and recoverables are non-interest bearing and receipt is generally on 30 day terms, therefore the carrying value approximates their fair value.</w:t>
      </w:r>
      <w:r w:rsidRPr="006D4F99">
        <w:rPr>
          <w:noProof/>
          <w:lang w:eastAsia="en-NZ"/>
        </w:rPr>
        <w:t xml:space="preserve"> </w:t>
      </w:r>
    </w:p>
    <w:p w:rsidR="006D4F99" w:rsidRDefault="006D4F99" w:rsidP="006D4F99">
      <w:pPr>
        <w:pStyle w:val="Caption"/>
      </w:pPr>
      <w:r>
        <w:t xml:space="preserve">Section 5 - Table </w:t>
      </w:r>
      <w:fldSimple w:instr=" SEQ Section_5_-_Table \* ARABIC ">
        <w:r w:rsidR="005908C4">
          <w:rPr>
            <w:noProof/>
          </w:rPr>
          <w:t>18</w:t>
        </w:r>
      </w:fldSimple>
      <w:r>
        <w:t>: Receivables and recoverables from related parties</w:t>
      </w:r>
    </w:p>
    <w:p w:rsidR="00FA6A77" w:rsidRPr="00D5126A" w:rsidRDefault="006D4F99" w:rsidP="00321CD6">
      <w:pPr>
        <w:rPr>
          <w:rFonts w:ascii="Arial" w:hAnsi="Arial" w:cs="Arial"/>
          <w:color w:val="333333"/>
          <w:lang w:eastAsia="en-GB"/>
        </w:rPr>
      </w:pPr>
      <w:r w:rsidRPr="00D5126A">
        <w:rPr>
          <w:noProof/>
          <w:lang w:eastAsia="en-NZ"/>
        </w:rPr>
        <w:drawing>
          <wp:inline distT="0" distB="0" distL="0" distR="0" wp14:anchorId="7B19D13D" wp14:editId="287D1124">
            <wp:extent cx="6156251" cy="1750319"/>
            <wp:effectExtent l="0" t="0" r="0" b="2540"/>
            <wp:docPr id="1442" name="Picture 1442" title="Section 5 - Table 18: Receivables and recoverables from related par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164953" cy="1752793"/>
                    </a:xfrm>
                    <a:prstGeom prst="rect">
                      <a:avLst/>
                    </a:prstGeom>
                    <a:noFill/>
                    <a:ln>
                      <a:noFill/>
                    </a:ln>
                  </pic:spPr>
                </pic:pic>
              </a:graphicData>
            </a:graphic>
          </wp:inline>
        </w:drawing>
      </w:r>
    </w:p>
    <w:p w:rsidR="006D4F99" w:rsidRDefault="00FA6A77" w:rsidP="00C27638">
      <w:pPr>
        <w:tabs>
          <w:tab w:val="right" w:leader="dot" w:pos="3686"/>
          <w:tab w:val="right" w:leader="dot" w:pos="4253"/>
        </w:tabs>
      </w:pPr>
      <w:r w:rsidRPr="00D5126A">
        <w:rPr>
          <w:rFonts w:ascii="Arial" w:hAnsi="Arial" w:cs="Arial"/>
          <w:color w:val="333333"/>
          <w:lang w:eastAsia="en-GB"/>
        </w:rPr>
        <w:t>The movement in the provision for impairment of total receivables and recoverables is analysed as follows</w:t>
      </w:r>
      <w:r w:rsidR="00C2190D">
        <w:rPr>
          <w:rFonts w:ascii="Arial" w:hAnsi="Arial" w:cs="Arial"/>
          <w:color w:val="333333"/>
          <w:lang w:eastAsia="en-GB"/>
        </w:rPr>
        <w:t xml:space="preserve"> </w:t>
      </w:r>
      <w:r w:rsidR="006D4F99">
        <w:rPr>
          <w:rFonts w:ascii="Arial" w:hAnsi="Arial" w:cs="Arial"/>
          <w:color w:val="333333"/>
          <w:lang w:eastAsia="en-GB"/>
        </w:rPr>
        <w:t>in Table 19.</w:t>
      </w:r>
      <w:r w:rsidR="006D4F99" w:rsidRPr="006D4F99">
        <w:rPr>
          <w:noProof/>
          <w:lang w:eastAsia="en-NZ"/>
        </w:rPr>
        <w:t xml:space="preserve"> </w:t>
      </w:r>
    </w:p>
    <w:p w:rsidR="006D4F99" w:rsidRDefault="006D4F99" w:rsidP="006D4F99">
      <w:pPr>
        <w:pStyle w:val="Caption"/>
      </w:pPr>
      <w:r>
        <w:lastRenderedPageBreak/>
        <w:t xml:space="preserve">Section 5 - Table </w:t>
      </w:r>
      <w:fldSimple w:instr=" SEQ Section_5_-_Table \* ARABIC ">
        <w:r w:rsidR="005908C4">
          <w:rPr>
            <w:noProof/>
          </w:rPr>
          <w:t>19</w:t>
        </w:r>
      </w:fldSimple>
      <w:r>
        <w:t>: Provision for impairment of total receivables and recoverables</w:t>
      </w:r>
    </w:p>
    <w:p w:rsidR="006D4F99" w:rsidRDefault="006D4F99" w:rsidP="006D4F99">
      <w:pPr>
        <w:tabs>
          <w:tab w:val="right" w:leader="dot" w:pos="3686"/>
          <w:tab w:val="right" w:leader="dot" w:pos="4253"/>
        </w:tabs>
        <w:spacing w:before="240"/>
        <w:rPr>
          <w:lang w:eastAsia="en-GB"/>
        </w:rPr>
      </w:pPr>
      <w:r w:rsidRPr="00D5126A">
        <w:rPr>
          <w:noProof/>
          <w:lang w:eastAsia="en-NZ"/>
        </w:rPr>
        <w:drawing>
          <wp:inline distT="0" distB="0" distL="0" distR="0" wp14:anchorId="61074ED8" wp14:editId="70689A38">
            <wp:extent cx="6156251" cy="1582525"/>
            <wp:effectExtent l="0" t="0" r="0" b="0"/>
            <wp:docPr id="1443" name="Picture 1443" title="Section 5 - Table 19: Provision for impairment of total receivables and recoverab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168599" cy="1585699"/>
                    </a:xfrm>
                    <a:prstGeom prst="rect">
                      <a:avLst/>
                    </a:prstGeom>
                    <a:noFill/>
                    <a:ln>
                      <a:noFill/>
                    </a:ln>
                  </pic:spPr>
                </pic:pic>
              </a:graphicData>
            </a:graphic>
          </wp:inline>
        </w:drawing>
      </w:r>
    </w:p>
    <w:p w:rsidR="006D4F99" w:rsidRDefault="00FA6A77" w:rsidP="006D4F99">
      <w:pPr>
        <w:tabs>
          <w:tab w:val="right" w:leader="dot" w:pos="3686"/>
          <w:tab w:val="right" w:leader="dot" w:pos="4253"/>
        </w:tabs>
        <w:spacing w:before="240"/>
      </w:pPr>
      <w:r w:rsidRPr="00D5126A">
        <w:rPr>
          <w:lang w:eastAsia="en-GB"/>
        </w:rPr>
        <w:t>The ageing profile of total net receivables and recoverables at the reporting date is</w:t>
      </w:r>
      <w:r w:rsidR="00C2190D">
        <w:rPr>
          <w:lang w:eastAsia="en-GB"/>
        </w:rPr>
        <w:t xml:space="preserve"> as follows</w:t>
      </w:r>
      <w:r w:rsidRPr="00D5126A">
        <w:rPr>
          <w:lang w:eastAsia="en-GB"/>
        </w:rPr>
        <w:t xml:space="preserve"> </w:t>
      </w:r>
      <w:r w:rsidR="00C2190D">
        <w:rPr>
          <w:lang w:eastAsia="en-GB"/>
        </w:rPr>
        <w:t>in Table 20</w:t>
      </w:r>
      <w:r w:rsidRPr="00D5126A">
        <w:rPr>
          <w:lang w:eastAsia="en-GB"/>
        </w:rPr>
        <w:t>:</w:t>
      </w:r>
      <w:r w:rsidR="006D4F99" w:rsidRPr="006D4F99">
        <w:rPr>
          <w:noProof/>
          <w:lang w:eastAsia="en-NZ"/>
        </w:rPr>
        <w:t xml:space="preserve"> </w:t>
      </w:r>
    </w:p>
    <w:p w:rsidR="006D4F99" w:rsidRDefault="006D4F99" w:rsidP="006D4F99">
      <w:pPr>
        <w:pStyle w:val="Caption"/>
      </w:pPr>
      <w:r>
        <w:t xml:space="preserve">Section 5 - Table </w:t>
      </w:r>
      <w:fldSimple w:instr=" SEQ Section_5_-_Table \* ARABIC ">
        <w:r w:rsidR="005908C4">
          <w:rPr>
            <w:noProof/>
          </w:rPr>
          <w:t>20</w:t>
        </w:r>
      </w:fldSimple>
      <w:r>
        <w:t>: Debt aging profile</w:t>
      </w:r>
    </w:p>
    <w:p w:rsidR="00FA6A77" w:rsidRPr="006D4F99" w:rsidRDefault="006D4F99" w:rsidP="006D4F99">
      <w:pPr>
        <w:tabs>
          <w:tab w:val="right" w:leader="dot" w:pos="3686"/>
          <w:tab w:val="right" w:leader="dot" w:pos="4253"/>
        </w:tabs>
        <w:spacing w:before="240"/>
        <w:rPr>
          <w:rFonts w:ascii="Arial" w:hAnsi="Arial" w:cs="Arial"/>
          <w:color w:val="333333"/>
          <w:lang w:eastAsia="en-GB"/>
        </w:rPr>
      </w:pPr>
      <w:r w:rsidRPr="00D5126A">
        <w:rPr>
          <w:noProof/>
          <w:lang w:eastAsia="en-NZ"/>
        </w:rPr>
        <w:drawing>
          <wp:inline distT="0" distB="0" distL="0" distR="0" wp14:anchorId="77F149CE" wp14:editId="7EA96097">
            <wp:extent cx="6291580" cy="4224020"/>
            <wp:effectExtent l="0" t="0" r="0" b="5080"/>
            <wp:docPr id="1441" name="Picture 1441" title="Section 5 - Table 20: Debt aging pro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291580" cy="4224020"/>
                    </a:xfrm>
                    <a:prstGeom prst="rect">
                      <a:avLst/>
                    </a:prstGeom>
                    <a:noFill/>
                    <a:ln>
                      <a:noFill/>
                    </a:ln>
                  </pic:spPr>
                </pic:pic>
              </a:graphicData>
            </a:graphic>
          </wp:inline>
        </w:drawing>
      </w:r>
    </w:p>
    <w:p w:rsidR="00FA6A77" w:rsidRPr="00D5126A" w:rsidRDefault="00FA6A77" w:rsidP="006D4F99">
      <w:pPr>
        <w:spacing w:before="240"/>
        <w:rPr>
          <w:lang w:eastAsia="en-GB"/>
        </w:rPr>
      </w:pPr>
      <w:r w:rsidRPr="00D5126A">
        <w:rPr>
          <w:lang w:eastAsia="en-GB"/>
        </w:rPr>
        <w:t>The net receivables and recoverables past due for more than six months primarily relates to fines. Due to their nature, the collection pattern for fines is longer than for trade debtors.</w:t>
      </w:r>
    </w:p>
    <w:p w:rsidR="00FA6A77" w:rsidRPr="00D5126A" w:rsidRDefault="00FA6A77" w:rsidP="00321CD6">
      <w:pPr>
        <w:pStyle w:val="Heading4"/>
        <w:rPr>
          <w:rFonts w:asciiTheme="majorHAnsi" w:hAnsiTheme="majorHAnsi" w:cs="Times New Roman"/>
          <w:color w:val="auto"/>
          <w:lang w:eastAsia="en-GB"/>
        </w:rPr>
      </w:pPr>
      <w:r w:rsidRPr="00D5126A">
        <w:rPr>
          <w:lang w:eastAsia="en-GB"/>
        </w:rPr>
        <w:t>Relevant significant accounting policies</w:t>
      </w:r>
    </w:p>
    <w:p w:rsidR="00FA6A77" w:rsidRPr="00D5126A" w:rsidRDefault="00FA6A77" w:rsidP="00321CD6">
      <w:pPr>
        <w:pStyle w:val="Heading5"/>
        <w:rPr>
          <w:rFonts w:ascii="Times New Roman" w:hAnsi="Times New Roman"/>
          <w:sz w:val="19"/>
          <w:szCs w:val="20"/>
          <w:lang w:eastAsia="en-GB"/>
        </w:rPr>
      </w:pPr>
      <w:r w:rsidRPr="00D5126A">
        <w:rPr>
          <w:lang w:eastAsia="en-GB"/>
        </w:rPr>
        <w:t>Receivables from exchange transactions</w:t>
      </w:r>
    </w:p>
    <w:p w:rsidR="00FA6A77" w:rsidRPr="00D5126A" w:rsidRDefault="00FA6A77" w:rsidP="00321CD6">
      <w:pPr>
        <w:rPr>
          <w:rFonts w:ascii="Arial" w:hAnsi="Arial" w:cs="Arial"/>
          <w:color w:val="333333"/>
          <w:lang w:eastAsia="en-GB"/>
        </w:rPr>
      </w:pPr>
      <w:r w:rsidRPr="00D5126A">
        <w:rPr>
          <w:rFonts w:ascii="Arial" w:hAnsi="Arial" w:cs="Arial"/>
          <w:color w:val="333333"/>
          <w:lang w:eastAsia="en-GB"/>
        </w:rPr>
        <w:t>Receivables from exchange transactions arise when the Council is owed by another entity or individual for goods or services provided directly by Council and will receive approximately equal value in a willing arm’s length transaction (primarily in the form of cash in exchange). Examples of exchange transactions include parking services and metered water rates.</w:t>
      </w:r>
    </w:p>
    <w:p w:rsidR="00FA6A77" w:rsidRPr="00D5126A" w:rsidRDefault="00FA6A77" w:rsidP="00321CD6">
      <w:pPr>
        <w:pStyle w:val="Heading5"/>
        <w:rPr>
          <w:lang w:eastAsia="en-GB"/>
        </w:rPr>
      </w:pPr>
      <w:r w:rsidRPr="00D5126A">
        <w:rPr>
          <w:lang w:eastAsia="en-GB"/>
        </w:rPr>
        <w:lastRenderedPageBreak/>
        <w:t>Recoverables from non-exchange transactions</w:t>
      </w:r>
    </w:p>
    <w:p w:rsidR="00FA6A77" w:rsidRPr="00D5126A" w:rsidRDefault="00FA6A77" w:rsidP="00321CD6">
      <w:pPr>
        <w:rPr>
          <w:rFonts w:ascii="Arial" w:hAnsi="Arial" w:cs="Arial"/>
          <w:color w:val="333333"/>
          <w:lang w:eastAsia="en-GB"/>
        </w:rPr>
      </w:pPr>
      <w:r w:rsidRPr="00D5126A">
        <w:rPr>
          <w:rFonts w:ascii="Arial" w:hAnsi="Arial" w:cs="Arial"/>
          <w:color w:val="333333"/>
          <w:lang w:eastAsia="en-GB"/>
        </w:rPr>
        <w:t>Recoverables from non-exchange transactions arise when the Council is owed value from another party without giving approximately equal value directly in exchange for the value received.  Most of the goods or services that Council provide are subsidised by rates revenue and therefore the exchange is unequal. Examples of non-exchange transactions include social housing rentals, parking fines and recreational centre activities. Non-exchange transactions are comprised of either taxes or transfers. Transfers also include grants that do not have specific conditions attached which require return of the grant for non-performance.</w:t>
      </w:r>
    </w:p>
    <w:p w:rsidR="00321CD6" w:rsidRPr="00D5126A" w:rsidRDefault="00FA6A77">
      <w:pPr>
        <w:rPr>
          <w:rFonts w:asciiTheme="majorHAnsi" w:eastAsiaTheme="majorEastAsia" w:hAnsiTheme="majorHAnsi"/>
          <w:b/>
          <w:bCs/>
          <w:color w:val="1F497D" w:themeColor="text2"/>
          <w:sz w:val="40"/>
          <w:szCs w:val="40"/>
        </w:rPr>
      </w:pPr>
      <w:r w:rsidRPr="00D5126A">
        <w:rPr>
          <w:rFonts w:ascii="Arial" w:hAnsi="Arial" w:cs="Arial"/>
          <w:color w:val="333333"/>
          <w:lang w:eastAsia="en-GB"/>
        </w:rPr>
        <w:t>An inflow of resources from a non-exchange transaction recognised as an asset is recognised as revenue, except to the extent that a liability is also recognised in respect of the same inflow. As Council satisfies a present obligation recognised as a liability in respect of an inflow of resources from a non-exchange transaction recognised as an asset, it reduces the carrying amount of the liability recognised and recognises an amount of revenue equal to that reduction.</w:t>
      </w:r>
      <w:bookmarkStart w:id="426" w:name="_Toc19092067"/>
    </w:p>
    <w:p w:rsidR="00FA6A77" w:rsidRPr="00D5126A" w:rsidRDefault="00FA6A77" w:rsidP="00D21E11">
      <w:pPr>
        <w:pStyle w:val="Heading3"/>
        <w:rPr>
          <w:color w:val="auto"/>
        </w:rPr>
      </w:pPr>
      <w:bookmarkStart w:id="427" w:name="_Toc23848706"/>
      <w:r w:rsidRPr="00D5126A">
        <w:t>Note 14: Other financial assets</w:t>
      </w:r>
      <w:bookmarkEnd w:id="426"/>
      <w:bookmarkEnd w:id="427"/>
    </w:p>
    <w:p w:rsidR="005D16E2" w:rsidRDefault="005D16E2" w:rsidP="005D16E2">
      <w:pPr>
        <w:pStyle w:val="Caption"/>
      </w:pPr>
      <w:r>
        <w:t xml:space="preserve">Section 5 - Table </w:t>
      </w:r>
      <w:fldSimple w:instr=" SEQ Section_5_-_Table \* ARABIC ">
        <w:r w:rsidR="005908C4">
          <w:rPr>
            <w:noProof/>
          </w:rPr>
          <w:t>21</w:t>
        </w:r>
      </w:fldSimple>
      <w:r>
        <w:t>: Other financial assets</w:t>
      </w:r>
    </w:p>
    <w:p w:rsidR="00FA6A77" w:rsidRPr="00D5126A" w:rsidRDefault="005D16E2" w:rsidP="005D16E2">
      <w:r w:rsidRPr="00D5126A">
        <w:rPr>
          <w:noProof/>
          <w:lang w:eastAsia="en-NZ"/>
        </w:rPr>
        <w:drawing>
          <wp:inline distT="0" distB="0" distL="0" distR="0" wp14:anchorId="42EB6B54" wp14:editId="5C8153B3">
            <wp:extent cx="6202045" cy="4055110"/>
            <wp:effectExtent l="0" t="0" r="8255" b="2540"/>
            <wp:docPr id="1440" name="Picture 1440" title="Section 5 - Table 21: Other financial ass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202045" cy="4055110"/>
                    </a:xfrm>
                    <a:prstGeom prst="rect">
                      <a:avLst/>
                    </a:prstGeom>
                    <a:noFill/>
                    <a:ln>
                      <a:noFill/>
                    </a:ln>
                  </pic:spPr>
                </pic:pic>
              </a:graphicData>
            </a:graphic>
          </wp:inline>
        </w:drawing>
      </w:r>
    </w:p>
    <w:p w:rsidR="00FA6A77" w:rsidRPr="00D5126A" w:rsidRDefault="00FA6A77" w:rsidP="00FA6A77">
      <w:pPr>
        <w:pStyle w:val="Heading4"/>
        <w:jc w:val="both"/>
        <w:rPr>
          <w:lang w:eastAsia="en-GB"/>
        </w:rPr>
      </w:pPr>
      <w:r w:rsidRPr="00D5126A">
        <w:rPr>
          <w:lang w:eastAsia="en-GB"/>
        </w:rPr>
        <w:t>Equity investments</w:t>
      </w:r>
    </w:p>
    <w:p w:rsidR="00FA6A77" w:rsidRPr="00D5126A" w:rsidRDefault="00FA6A77" w:rsidP="00FA6A77">
      <w:pPr>
        <w:jc w:val="both"/>
        <w:rPr>
          <w:rFonts w:ascii="Arial" w:hAnsi="Arial" w:cs="Arial"/>
          <w:color w:val="333333"/>
          <w:lang w:eastAsia="en-GB"/>
        </w:rPr>
      </w:pPr>
      <w:r w:rsidRPr="00D5126A">
        <w:rPr>
          <w:rFonts w:ascii="Arial" w:hAnsi="Arial" w:cs="Arial"/>
          <w:color w:val="333333"/>
          <w:lang w:eastAsia="en-GB"/>
        </w:rPr>
        <w:t>Civic Financial Services Limited (formerly Civic Assurance) is the trading name for the New Zealand Local Government Insurance Corporation Lim</w:t>
      </w:r>
      <w:r w:rsidR="00790F7A" w:rsidRPr="00D5126A">
        <w:rPr>
          <w:rFonts w:ascii="Arial" w:hAnsi="Arial" w:cs="Arial"/>
          <w:color w:val="333333"/>
          <w:lang w:eastAsia="en-GB"/>
        </w:rPr>
        <w:t xml:space="preserve">ited. The Council holds a 4.78% </w:t>
      </w:r>
      <w:r w:rsidRPr="00D5126A">
        <w:rPr>
          <w:rFonts w:ascii="Arial" w:hAnsi="Arial" w:cs="Arial"/>
          <w:color w:val="333333"/>
          <w:lang w:eastAsia="en-GB"/>
        </w:rPr>
        <w:t xml:space="preserve">(2018: 4.78%) shareholding in this entity and has no present intention to sell. </w:t>
      </w:r>
    </w:p>
    <w:p w:rsidR="00FA6A77" w:rsidRPr="00D5126A" w:rsidRDefault="00FA6A77" w:rsidP="00FA6A77">
      <w:pPr>
        <w:jc w:val="both"/>
        <w:rPr>
          <w:rFonts w:ascii="Arial" w:hAnsi="Arial" w:cs="Arial"/>
          <w:color w:val="333333"/>
          <w:lang w:eastAsia="en-GB"/>
        </w:rPr>
      </w:pPr>
      <w:r w:rsidRPr="00D5126A">
        <w:rPr>
          <w:rFonts w:ascii="Arial" w:hAnsi="Arial" w:cs="Arial"/>
          <w:color w:val="333333"/>
          <w:lang w:eastAsia="en-GB"/>
        </w:rPr>
        <w:t xml:space="preserve">The New Zealand Local Government Funding Agency Limited (LGFA), which commenced in December 2011 is an alternative debt provider majority owned by and operated for local authorities. The Council holds an 8% shareholding of the paid-up capital and as a shareholder will benefit from a </w:t>
      </w:r>
      <w:r w:rsidRPr="00D5126A">
        <w:rPr>
          <w:rFonts w:ascii="Arial" w:hAnsi="Arial" w:cs="Arial"/>
          <w:color w:val="333333"/>
          <w:lang w:eastAsia="en-GB"/>
        </w:rPr>
        <w:lastRenderedPageBreak/>
        <w:t>return on its investment and as a borrower from lower borrowing costs. The LGFA has an AA+ (domestic long term) credit rating from Standard and Poors.</w:t>
      </w:r>
    </w:p>
    <w:p w:rsidR="00FA6A77" w:rsidRPr="00D5126A" w:rsidRDefault="00FA6A77" w:rsidP="00FA6A77">
      <w:pPr>
        <w:ind w:right="-201"/>
        <w:jc w:val="both"/>
        <w:rPr>
          <w:rFonts w:ascii="Arial" w:hAnsi="Arial" w:cs="Arial"/>
          <w:color w:val="333333"/>
          <w:lang w:eastAsia="en-GB"/>
        </w:rPr>
      </w:pPr>
      <w:r w:rsidRPr="00D5126A">
        <w:rPr>
          <w:rFonts w:ascii="Arial" w:hAnsi="Arial" w:cs="Arial"/>
          <w:color w:val="333333"/>
          <w:lang w:eastAsia="en-GB"/>
        </w:rPr>
        <w:t xml:space="preserve">Creative HQ, a controlled entity of Wellington Regional Economic Development Agency Limited (WREDA), has small shareholdings in various incubator and accelerator programme companies. These shares are held until the companies mature or cease operations. </w:t>
      </w:r>
    </w:p>
    <w:p w:rsidR="00FA6A77" w:rsidRPr="00D5126A" w:rsidRDefault="00FA6A77" w:rsidP="00FA6A77">
      <w:pPr>
        <w:pStyle w:val="Heading4"/>
        <w:rPr>
          <w:lang w:eastAsia="en-GB"/>
        </w:rPr>
      </w:pPr>
      <w:r w:rsidRPr="00D5126A">
        <w:rPr>
          <w:lang w:eastAsia="en-GB"/>
        </w:rPr>
        <w:t xml:space="preserve">Loans </w:t>
      </w:r>
    </w:p>
    <w:p w:rsidR="005D16E2" w:rsidRDefault="00FA6A77" w:rsidP="00FA6A77">
      <w:r w:rsidRPr="00D5126A">
        <w:rPr>
          <w:rFonts w:ascii="Arial" w:hAnsi="Arial" w:cs="Arial"/>
          <w:color w:val="333333"/>
          <w:lang w:eastAsia="en-GB"/>
        </w:rPr>
        <w:t>The loans to related parties are concessionary in nature, since the loans have been granted on interest free terms. The movements in the loans are as follows:</w:t>
      </w:r>
      <w:r w:rsidR="005D16E2" w:rsidRPr="005D16E2">
        <w:rPr>
          <w:b/>
          <w:bCs/>
          <w:noProof/>
          <w:lang w:eastAsia="en-NZ"/>
        </w:rPr>
        <w:t xml:space="preserve"> </w:t>
      </w:r>
    </w:p>
    <w:p w:rsidR="005D16E2" w:rsidRDefault="005D16E2" w:rsidP="005D16E2">
      <w:pPr>
        <w:pStyle w:val="Caption"/>
      </w:pPr>
      <w:r>
        <w:t xml:space="preserve">Section 5 - Table </w:t>
      </w:r>
      <w:fldSimple w:instr=" SEQ Section_5_-_Table \* ARABIC ">
        <w:r w:rsidR="005908C4">
          <w:rPr>
            <w:noProof/>
          </w:rPr>
          <w:t>22</w:t>
        </w:r>
      </w:fldSimple>
      <w:r>
        <w:t>: Loans</w:t>
      </w:r>
    </w:p>
    <w:p w:rsidR="00FA6A77" w:rsidRPr="00D5126A" w:rsidRDefault="005D16E2" w:rsidP="00FA6A77">
      <w:pPr>
        <w:rPr>
          <w:rFonts w:ascii="Arial" w:hAnsi="Arial" w:cs="Arial"/>
          <w:color w:val="333333"/>
          <w:lang w:eastAsia="en-GB"/>
        </w:rPr>
      </w:pPr>
      <w:r w:rsidRPr="00D5126A">
        <w:rPr>
          <w:b/>
          <w:bCs/>
          <w:noProof/>
          <w:lang w:eastAsia="en-NZ"/>
        </w:rPr>
        <w:drawing>
          <wp:inline distT="0" distB="0" distL="0" distR="0" wp14:anchorId="6874E03A" wp14:editId="66CB07FB">
            <wp:extent cx="6202045" cy="3538220"/>
            <wp:effectExtent l="0" t="0" r="8255" b="5080"/>
            <wp:docPr id="1439" name="Picture 1439" title="Section 5 - Table 22: Lo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202045" cy="3538220"/>
                    </a:xfrm>
                    <a:prstGeom prst="rect">
                      <a:avLst/>
                    </a:prstGeom>
                    <a:noFill/>
                    <a:ln>
                      <a:noFill/>
                    </a:ln>
                  </pic:spPr>
                </pic:pic>
              </a:graphicData>
            </a:graphic>
          </wp:inline>
        </w:drawing>
      </w:r>
    </w:p>
    <w:p w:rsidR="00FA6A77" w:rsidRPr="00D5126A" w:rsidRDefault="00FA6A77" w:rsidP="00790F7A">
      <w:pPr>
        <w:rPr>
          <w:lang w:eastAsia="en-GB"/>
        </w:rPr>
      </w:pPr>
      <w:r w:rsidRPr="00D5126A">
        <w:rPr>
          <w:lang w:eastAsia="en-GB"/>
        </w:rPr>
        <w:t xml:space="preserve">The fair value movement on loans reflects the timing of their expected repayments and the interest free or other nature of the loan. Over the remaining life of the loans their fair value will be amortised back up to their full nominal value. </w:t>
      </w:r>
    </w:p>
    <w:p w:rsidR="00FA6A77" w:rsidRPr="00D5126A" w:rsidRDefault="00FA6A77" w:rsidP="00790F7A">
      <w:pPr>
        <w:pStyle w:val="Heading5"/>
        <w:rPr>
          <w:lang w:eastAsia="en-GB"/>
        </w:rPr>
      </w:pPr>
      <w:r w:rsidRPr="00D5126A">
        <w:rPr>
          <w:lang w:eastAsia="en-GB"/>
        </w:rPr>
        <w:t>Wellington Regional Stadium Trust</w:t>
      </w:r>
    </w:p>
    <w:p w:rsidR="00FA6A77" w:rsidRPr="00D5126A" w:rsidRDefault="00FA6A77" w:rsidP="00790F7A">
      <w:pPr>
        <w:rPr>
          <w:lang w:eastAsia="en-GB"/>
        </w:rPr>
      </w:pPr>
      <w:r w:rsidRPr="00D5126A">
        <w:rPr>
          <w:lang w:eastAsia="en-GB"/>
        </w:rPr>
        <w:t xml:space="preserve">Council holds a $15m limited recourse loan to WRST, which is unsecured, with no specified maturity and at no interest. The loan is not repayable until all other debts are extinguished </w:t>
      </w:r>
    </w:p>
    <w:p w:rsidR="00FA6A77" w:rsidRPr="00D5126A" w:rsidRDefault="00FA6A77" w:rsidP="00790F7A">
      <w:pPr>
        <w:rPr>
          <w:lang w:eastAsia="en-GB"/>
        </w:rPr>
      </w:pPr>
      <w:r w:rsidRPr="00D5126A">
        <w:rPr>
          <w:lang w:eastAsia="en-GB"/>
        </w:rPr>
        <w:t xml:space="preserve">The amortisation rate applicable to the Wellington Regional Stadium Trust loan is 12.710%. </w:t>
      </w:r>
    </w:p>
    <w:p w:rsidR="00FA6A77" w:rsidRPr="00D5126A" w:rsidRDefault="00FA6A77" w:rsidP="00790F7A">
      <w:pPr>
        <w:rPr>
          <w:lang w:eastAsia="en-GB"/>
        </w:rPr>
      </w:pPr>
      <w:r w:rsidRPr="00D5126A">
        <w:rPr>
          <w:lang w:eastAsia="en-GB"/>
        </w:rPr>
        <w:t xml:space="preserve">On maturity of the initial WRST membership underwrite, the unpaid interest was converted to a $0.395m advance repayable after all other advances made by the Council and Greater Wellington Regional Council. The current expected repayment of the loan and the advance back to the Council, as advised by WRST, is in 2070. </w:t>
      </w:r>
    </w:p>
    <w:p w:rsidR="00FA6A77" w:rsidRPr="00D5126A" w:rsidRDefault="00FA6A77" w:rsidP="00790F7A">
      <w:pPr>
        <w:pStyle w:val="Heading5"/>
        <w:rPr>
          <w:lang w:eastAsia="en-GB"/>
        </w:rPr>
      </w:pPr>
      <w:r w:rsidRPr="00D5126A">
        <w:rPr>
          <w:lang w:eastAsia="en-GB"/>
        </w:rPr>
        <w:t>Loans to other external organisations</w:t>
      </w:r>
    </w:p>
    <w:p w:rsidR="00FA6A77" w:rsidRPr="00D5126A" w:rsidRDefault="00FA6A77" w:rsidP="00790F7A">
      <w:pPr>
        <w:rPr>
          <w:lang w:eastAsia="en-GB"/>
        </w:rPr>
      </w:pPr>
      <w:r w:rsidRPr="00D5126A">
        <w:rPr>
          <w:lang w:eastAsia="en-GB"/>
        </w:rPr>
        <w:t>Loans to other external organisations are generally suspensory loan arrangements associated with economic development grants provided by Council to achieve defined outcomes.  </w:t>
      </w:r>
    </w:p>
    <w:p w:rsidR="00FA6A77" w:rsidRPr="00D5126A" w:rsidRDefault="00FA6A77" w:rsidP="00790F7A">
      <w:pPr>
        <w:rPr>
          <w:lang w:eastAsia="en-GB"/>
        </w:rPr>
      </w:pPr>
      <w:r w:rsidRPr="00D5126A">
        <w:rPr>
          <w:lang w:eastAsia="en-GB"/>
        </w:rPr>
        <w:lastRenderedPageBreak/>
        <w:t>All Council loans to other external organisations have now been repaid as at 30 June 2019</w:t>
      </w:r>
    </w:p>
    <w:p w:rsidR="00790F7A" w:rsidRPr="00D5126A" w:rsidRDefault="00FA6A77" w:rsidP="00790F7A">
      <w:pPr>
        <w:rPr>
          <w:lang w:eastAsia="en-GB"/>
        </w:rPr>
      </w:pPr>
      <w:r w:rsidRPr="00D5126A">
        <w:rPr>
          <w:lang w:eastAsia="en-GB"/>
        </w:rPr>
        <w:t>Further information on the related parties is disclosed in Note</w:t>
      </w:r>
      <w:r w:rsidR="00790F7A" w:rsidRPr="00D5126A">
        <w:rPr>
          <w:lang w:eastAsia="en-GB"/>
        </w:rPr>
        <w:t xml:space="preserve"> 36: Related party disclosures </w:t>
      </w:r>
      <w:r w:rsidR="00790F7A" w:rsidRPr="00D5126A">
        <w:rPr>
          <w:rFonts w:ascii="Arial" w:hAnsi="Arial" w:cs="Arial"/>
          <w:color w:val="333333"/>
          <w:lang w:eastAsia="en-GB"/>
        </w:rPr>
        <w:t>(</w:t>
      </w:r>
      <w:r w:rsidR="00790F7A" w:rsidRPr="00213CD7">
        <w:rPr>
          <w:rFonts w:ascii="Arial" w:hAnsi="Arial" w:cs="Arial"/>
          <w:color w:val="333333"/>
          <w:lang w:eastAsia="en-GB"/>
        </w:rPr>
        <w:t xml:space="preserve">page </w:t>
      </w:r>
      <w:r w:rsidR="00213CD7" w:rsidRPr="00213CD7">
        <w:rPr>
          <w:rFonts w:ascii="Arial" w:hAnsi="Arial" w:cs="Arial"/>
          <w:color w:val="333333"/>
          <w:lang w:eastAsia="en-GB"/>
        </w:rPr>
        <w:t>304</w:t>
      </w:r>
      <w:r w:rsidR="00790F7A" w:rsidRPr="00213CD7">
        <w:rPr>
          <w:rFonts w:ascii="Arial" w:hAnsi="Arial" w:cs="Arial"/>
          <w:color w:val="333333"/>
          <w:lang w:eastAsia="en-GB"/>
        </w:rPr>
        <w:t>)</w:t>
      </w:r>
      <w:r w:rsidRPr="00213CD7">
        <w:rPr>
          <w:lang w:eastAsia="en-GB"/>
        </w:rPr>
        <w:t>.</w:t>
      </w:r>
      <w:bookmarkStart w:id="428" w:name="_Toc19092068"/>
    </w:p>
    <w:p w:rsidR="00FA6A77" w:rsidRPr="00D5126A" w:rsidRDefault="00FA6A77" w:rsidP="00790F7A">
      <w:pPr>
        <w:pStyle w:val="Heading3"/>
        <w:rPr>
          <w:color w:val="auto"/>
        </w:rPr>
      </w:pPr>
      <w:bookmarkStart w:id="429" w:name="_Toc23848707"/>
      <w:r w:rsidRPr="00D5126A">
        <w:t>Note 15: Non-current assets classified as held for sale</w:t>
      </w:r>
      <w:bookmarkEnd w:id="428"/>
      <w:bookmarkEnd w:id="429"/>
    </w:p>
    <w:p w:rsidR="005D16E2" w:rsidRDefault="005D16E2" w:rsidP="005D16E2">
      <w:pPr>
        <w:pStyle w:val="Caption"/>
      </w:pPr>
      <w:r>
        <w:t xml:space="preserve">Section 5 - Table </w:t>
      </w:r>
      <w:fldSimple w:instr=" SEQ Section_5_-_Table \* ARABIC ">
        <w:r w:rsidR="005908C4">
          <w:rPr>
            <w:noProof/>
          </w:rPr>
          <w:t>23</w:t>
        </w:r>
      </w:fldSimple>
      <w:r>
        <w:t>: Non-current assets classified as held for sale</w:t>
      </w:r>
    </w:p>
    <w:p w:rsidR="003D7C76" w:rsidRDefault="005D16E2" w:rsidP="003D7C76">
      <w:pPr>
        <w:rPr>
          <w:lang w:eastAsia="en-GB"/>
        </w:rPr>
      </w:pPr>
      <w:r w:rsidRPr="00D5126A">
        <w:rPr>
          <w:noProof/>
          <w:lang w:eastAsia="en-NZ"/>
        </w:rPr>
        <w:drawing>
          <wp:inline distT="0" distB="0" distL="0" distR="0" wp14:anchorId="15FE0C24" wp14:editId="4E248064">
            <wp:extent cx="6092825" cy="1788795"/>
            <wp:effectExtent l="0" t="0" r="3175" b="1905"/>
            <wp:docPr id="1438" name="Picture 1438" title="Section 5 - Table 23: Non-current assets classified as held for s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092825" cy="1788795"/>
                    </a:xfrm>
                    <a:prstGeom prst="rect">
                      <a:avLst/>
                    </a:prstGeom>
                    <a:noFill/>
                    <a:ln>
                      <a:noFill/>
                    </a:ln>
                  </pic:spPr>
                </pic:pic>
              </a:graphicData>
            </a:graphic>
          </wp:inline>
        </w:drawing>
      </w:r>
      <w:r w:rsidR="003D7C76" w:rsidRPr="00CF162A">
        <w:rPr>
          <w:lang w:eastAsia="en-GB"/>
        </w:rPr>
        <w:t>The additions to non-current assets classified as held for sale primarily relate to the Arlington sites 1 and 3 that are subject to a signed long-term lease to Housing New Zealand going unconditional in the 2019/20 period. For accounting purposes this transaction is treated as a sale.</w:t>
      </w:r>
    </w:p>
    <w:p w:rsidR="00FA6A77" w:rsidRPr="00D5126A" w:rsidRDefault="00FA6A77" w:rsidP="00790F7A">
      <w:pPr>
        <w:pStyle w:val="Heading4"/>
        <w:rPr>
          <w:rFonts w:asciiTheme="majorHAnsi" w:hAnsiTheme="majorHAnsi" w:cs="Times New Roman"/>
          <w:color w:val="auto"/>
          <w:lang w:eastAsia="en-GB"/>
        </w:rPr>
      </w:pPr>
      <w:r w:rsidRPr="00D5126A">
        <w:rPr>
          <w:lang w:eastAsia="en-GB"/>
        </w:rPr>
        <w:t>Relevant significant accounting policies</w:t>
      </w:r>
    </w:p>
    <w:p w:rsidR="00FA6A77" w:rsidRPr="00D5126A" w:rsidRDefault="00FA6A77" w:rsidP="00FA6A77">
      <w:pPr>
        <w:jc w:val="both"/>
        <w:rPr>
          <w:rFonts w:ascii="Arial" w:hAnsi="Arial" w:cs="Arial"/>
          <w:color w:val="333333"/>
          <w:lang w:eastAsia="en-GB"/>
        </w:rPr>
      </w:pPr>
      <w:r w:rsidRPr="00D5126A">
        <w:rPr>
          <w:rFonts w:ascii="Arial" w:hAnsi="Arial" w:cs="Arial"/>
          <w:color w:val="333333"/>
          <w:lang w:eastAsia="en-GB"/>
        </w:rPr>
        <w:t xml:space="preserve">Non-current assets held for sale are valued at the lower of the carrying amount and fair value less costs to sell at the time of reclassification. </w:t>
      </w:r>
    </w:p>
    <w:p w:rsidR="00FA6A77" w:rsidRPr="00D5126A" w:rsidRDefault="00FA6A77" w:rsidP="00FA6A77">
      <w:pPr>
        <w:spacing w:after="160" w:line="240" w:lineRule="exact"/>
        <w:jc w:val="both"/>
        <w:rPr>
          <w:rFonts w:ascii="Arial" w:hAnsi="Arial" w:cs="Arial"/>
          <w:color w:val="333333"/>
          <w:lang w:eastAsia="en-GB"/>
        </w:rPr>
      </w:pPr>
      <w:r w:rsidRPr="00D5126A">
        <w:rPr>
          <w:rFonts w:ascii="Arial" w:hAnsi="Arial" w:cs="Arial"/>
          <w:color w:val="333333"/>
          <w:lang w:eastAsia="en-GB"/>
        </w:rPr>
        <w:t>Non-current assets held for sale are separately classified as their carrying amount will be recovered through a sale transaction rather than through continuing use. A non-current asset is classified as held for sale where:</w:t>
      </w:r>
    </w:p>
    <w:p w:rsidR="00FA6A77" w:rsidRPr="00D5126A" w:rsidRDefault="00FA6A77" w:rsidP="002C7BF8">
      <w:pPr>
        <w:numPr>
          <w:ilvl w:val="0"/>
          <w:numId w:val="37"/>
        </w:numPr>
        <w:spacing w:after="160" w:line="240" w:lineRule="exact"/>
        <w:jc w:val="both"/>
        <w:rPr>
          <w:rFonts w:ascii="Arial" w:hAnsi="Arial" w:cs="Arial"/>
          <w:color w:val="333333"/>
          <w:lang w:eastAsia="en-GB"/>
        </w:rPr>
      </w:pPr>
      <w:r w:rsidRPr="00D5126A">
        <w:rPr>
          <w:rFonts w:ascii="Arial" w:hAnsi="Arial" w:cs="Arial"/>
          <w:color w:val="333333"/>
          <w:lang w:eastAsia="en-GB"/>
        </w:rPr>
        <w:t xml:space="preserve">the asset is available for immediate sale in its present condition subject only to terms that are usual and customary for sales of such assets; </w:t>
      </w:r>
    </w:p>
    <w:p w:rsidR="00FA6A77" w:rsidRPr="00D5126A" w:rsidRDefault="00FA6A77" w:rsidP="002C7BF8">
      <w:pPr>
        <w:numPr>
          <w:ilvl w:val="0"/>
          <w:numId w:val="37"/>
        </w:numPr>
        <w:spacing w:after="160" w:line="240" w:lineRule="exact"/>
        <w:jc w:val="both"/>
        <w:rPr>
          <w:rFonts w:ascii="Arial" w:hAnsi="Arial" w:cs="Arial"/>
          <w:color w:val="333333"/>
          <w:lang w:eastAsia="en-GB"/>
        </w:rPr>
      </w:pPr>
      <w:r w:rsidRPr="00D5126A">
        <w:rPr>
          <w:rFonts w:ascii="Arial" w:hAnsi="Arial" w:cs="Arial"/>
          <w:color w:val="333333"/>
          <w:lang w:eastAsia="en-GB"/>
        </w:rPr>
        <w:t xml:space="preserve">a plan to sell the asset is in place and an active programme to locate a buyer has been initiated; </w:t>
      </w:r>
    </w:p>
    <w:p w:rsidR="00FA6A77" w:rsidRPr="00D5126A" w:rsidRDefault="00FA6A77" w:rsidP="002C7BF8">
      <w:pPr>
        <w:numPr>
          <w:ilvl w:val="0"/>
          <w:numId w:val="37"/>
        </w:numPr>
        <w:spacing w:after="160" w:line="240" w:lineRule="exact"/>
        <w:jc w:val="both"/>
        <w:rPr>
          <w:rFonts w:ascii="Arial" w:hAnsi="Arial" w:cs="Arial"/>
          <w:color w:val="333333"/>
          <w:lang w:eastAsia="en-GB"/>
        </w:rPr>
      </w:pPr>
      <w:r w:rsidRPr="00D5126A">
        <w:rPr>
          <w:rFonts w:ascii="Arial" w:hAnsi="Arial" w:cs="Arial"/>
          <w:color w:val="333333"/>
          <w:lang w:eastAsia="en-GB"/>
        </w:rPr>
        <w:t xml:space="preserve">the asset is being actively marketed for sale at a price that is reasonable in relation to its current fair value; </w:t>
      </w:r>
    </w:p>
    <w:p w:rsidR="00FA6A77" w:rsidRPr="00D5126A" w:rsidRDefault="00FA6A77" w:rsidP="002C7BF8">
      <w:pPr>
        <w:numPr>
          <w:ilvl w:val="0"/>
          <w:numId w:val="37"/>
        </w:numPr>
        <w:spacing w:after="160" w:line="240" w:lineRule="exact"/>
        <w:jc w:val="both"/>
        <w:rPr>
          <w:rFonts w:ascii="Arial" w:hAnsi="Arial" w:cs="Arial"/>
          <w:color w:val="333333"/>
          <w:lang w:eastAsia="en-GB"/>
        </w:rPr>
      </w:pPr>
      <w:r w:rsidRPr="00D5126A">
        <w:rPr>
          <w:rFonts w:ascii="Arial" w:hAnsi="Arial" w:cs="Arial"/>
          <w:color w:val="333333"/>
          <w:lang w:eastAsia="en-GB"/>
        </w:rPr>
        <w:t xml:space="preserve">the sale is expected to occur within one year or beyond one year where a delay has occurred which is caused by events beyond the Group’s control and there is sufficient evidence the Group remains committed to sell the asset; and </w:t>
      </w:r>
    </w:p>
    <w:p w:rsidR="00FA6A77" w:rsidRPr="00D5126A" w:rsidRDefault="00FA6A77" w:rsidP="002C7BF8">
      <w:pPr>
        <w:numPr>
          <w:ilvl w:val="0"/>
          <w:numId w:val="37"/>
        </w:numPr>
        <w:spacing w:after="160" w:line="240" w:lineRule="exact"/>
        <w:jc w:val="both"/>
        <w:rPr>
          <w:rFonts w:ascii="Arial" w:hAnsi="Arial" w:cs="Arial"/>
          <w:color w:val="333333"/>
          <w:lang w:eastAsia="en-GB"/>
        </w:rPr>
      </w:pPr>
      <w:r w:rsidRPr="00D5126A">
        <w:rPr>
          <w:rFonts w:ascii="Arial" w:hAnsi="Arial" w:cs="Arial"/>
          <w:color w:val="333333"/>
          <w:lang w:eastAsia="en-GB"/>
        </w:rPr>
        <w:t>​</w:t>
      </w:r>
      <w:proofErr w:type="gramStart"/>
      <w:r w:rsidRPr="00D5126A">
        <w:rPr>
          <w:rFonts w:ascii="Arial" w:hAnsi="Arial" w:cs="Arial"/>
          <w:color w:val="333333"/>
          <w:lang w:eastAsia="en-GB"/>
        </w:rPr>
        <w:t>actions</w:t>
      </w:r>
      <w:proofErr w:type="gramEnd"/>
      <w:r w:rsidRPr="00D5126A">
        <w:rPr>
          <w:rFonts w:ascii="Arial" w:hAnsi="Arial" w:cs="Arial"/>
          <w:color w:val="333333"/>
          <w:lang w:eastAsia="en-GB"/>
        </w:rPr>
        <w:t xml:space="preserve"> required to complete the sale indicate it is unlikely that significant changes to the plan will be made or the plan will be withdrawn.</w:t>
      </w:r>
    </w:p>
    <w:p w:rsidR="00790F7A" w:rsidRPr="00D5126A" w:rsidRDefault="00FA6A77" w:rsidP="00790F7A">
      <w:pPr>
        <w:spacing w:after="160" w:line="240" w:lineRule="exact"/>
        <w:jc w:val="both"/>
        <w:rPr>
          <w:rFonts w:ascii="Arial" w:hAnsi="Arial" w:cs="Arial"/>
          <w:color w:val="333333"/>
          <w:lang w:eastAsia="en-GB"/>
        </w:rPr>
      </w:pPr>
      <w:r w:rsidRPr="00D5126A">
        <w:rPr>
          <w:rFonts w:ascii="Arial" w:hAnsi="Arial" w:cs="Arial"/>
          <w:color w:val="333333"/>
          <w:lang w:eastAsia="en-GB"/>
        </w:rPr>
        <w:t>A non-current asset classified as held for sale is recognised at the lower of its carrying amount or fair value less costs to sell. Impairment losses on initial classification are included within surplus or deficit.</w:t>
      </w:r>
      <w:bookmarkStart w:id="430" w:name="_Toc19092069"/>
    </w:p>
    <w:p w:rsidR="00790F7A" w:rsidRPr="00D5126A" w:rsidRDefault="00790F7A" w:rsidP="00790F7A">
      <w:pPr>
        <w:rPr>
          <w:lang w:eastAsia="en-GB"/>
        </w:rPr>
      </w:pPr>
      <w:r w:rsidRPr="00D5126A">
        <w:rPr>
          <w:lang w:eastAsia="en-GB"/>
        </w:rPr>
        <w:br w:type="page"/>
      </w:r>
    </w:p>
    <w:p w:rsidR="00FA6A77" w:rsidRPr="00D5126A" w:rsidRDefault="00FA6A77" w:rsidP="00790F7A">
      <w:pPr>
        <w:pStyle w:val="Heading3"/>
        <w:rPr>
          <w:color w:val="auto"/>
        </w:rPr>
      </w:pPr>
      <w:bookmarkStart w:id="431" w:name="_Toc23848708"/>
      <w:r w:rsidRPr="00D5126A">
        <w:lastRenderedPageBreak/>
        <w:t>Note 16: Intangibles</w:t>
      </w:r>
      <w:bookmarkEnd w:id="430"/>
      <w:bookmarkEnd w:id="431"/>
    </w:p>
    <w:p w:rsidR="00F50A47" w:rsidRDefault="00F50A47" w:rsidP="00F50A47">
      <w:pPr>
        <w:pStyle w:val="Caption"/>
      </w:pPr>
      <w:r>
        <w:t xml:space="preserve">Section 5 - Table </w:t>
      </w:r>
      <w:fldSimple w:instr=" SEQ Section_5_-_Table \* ARABIC ">
        <w:r w:rsidR="005908C4">
          <w:rPr>
            <w:noProof/>
          </w:rPr>
          <w:t>24</w:t>
        </w:r>
      </w:fldSimple>
      <w:r>
        <w:t>: Intangibles</w:t>
      </w:r>
      <w:r w:rsidRPr="00D5126A">
        <w:rPr>
          <w:noProof/>
          <w:lang w:eastAsia="en-NZ"/>
        </w:rPr>
        <w:drawing>
          <wp:inline distT="0" distB="0" distL="0" distR="0" wp14:anchorId="695E68D2" wp14:editId="65E84117">
            <wp:extent cx="6202045" cy="5377180"/>
            <wp:effectExtent l="0" t="0" r="8255" b="0"/>
            <wp:docPr id="1437" name="Picture 1437" title="Section 5 - Table 24: Intangib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202045" cy="5377180"/>
                    </a:xfrm>
                    <a:prstGeom prst="rect">
                      <a:avLst/>
                    </a:prstGeom>
                    <a:noFill/>
                    <a:ln>
                      <a:noFill/>
                    </a:ln>
                  </pic:spPr>
                </pic:pic>
              </a:graphicData>
            </a:graphic>
          </wp:inline>
        </w:drawing>
      </w:r>
    </w:p>
    <w:p w:rsidR="00FA6A77" w:rsidRPr="00D5126A" w:rsidRDefault="00FA6A77" w:rsidP="001C14D7">
      <w:pPr>
        <w:rPr>
          <w:rFonts w:ascii="Arial" w:hAnsi="Arial" w:cs="Arial"/>
          <w:color w:val="333333"/>
          <w:lang w:eastAsia="en-GB"/>
        </w:rPr>
      </w:pPr>
      <w:r w:rsidRPr="00D5126A">
        <w:rPr>
          <w:rFonts w:ascii="Arial" w:hAnsi="Arial" w:cs="Arial"/>
          <w:color w:val="333333"/>
          <w:lang w:eastAsia="en-GB"/>
        </w:rPr>
        <w:t>Disposals and transfers are reported net of accumulated amortisation.</w:t>
      </w:r>
    </w:p>
    <w:p w:rsidR="00FA6A77" w:rsidRPr="00D5126A" w:rsidRDefault="00FA6A77" w:rsidP="001C14D7">
      <w:pPr>
        <w:pStyle w:val="Heading4"/>
        <w:rPr>
          <w:rFonts w:asciiTheme="majorHAnsi" w:hAnsiTheme="majorHAnsi"/>
          <w:lang w:eastAsia="en-GB"/>
        </w:rPr>
      </w:pPr>
      <w:r w:rsidRPr="00D5126A">
        <w:rPr>
          <w:lang w:eastAsia="en-GB"/>
        </w:rPr>
        <w:t>Carbon credits</w:t>
      </w:r>
    </w:p>
    <w:p w:rsidR="00FA6A77" w:rsidRPr="00D5126A" w:rsidRDefault="00FA6A77" w:rsidP="001C14D7">
      <w:pPr>
        <w:rPr>
          <w:rFonts w:ascii="Arial" w:hAnsi="Arial" w:cs="Arial"/>
          <w:color w:val="333333"/>
          <w:lang w:eastAsia="en-GB"/>
        </w:rPr>
      </w:pPr>
      <w:r w:rsidRPr="00D5126A">
        <w:rPr>
          <w:rFonts w:ascii="Arial" w:hAnsi="Arial" w:cs="Arial"/>
          <w:color w:val="333333"/>
          <w:lang w:eastAsia="en-GB"/>
        </w:rPr>
        <w:t xml:space="preserve">As part of the Emissions Trading Scheme (ETS) the Council receives carbon credits from Central Government in recognition of the carbon absorbed by a portion of the Council’s green belt. For the year ending 30 June 2019 the Council received 986 credits (2018: 1,044). </w:t>
      </w:r>
    </w:p>
    <w:p w:rsidR="00FA6A77" w:rsidRPr="00D5126A" w:rsidRDefault="00FA6A77" w:rsidP="001C14D7">
      <w:pPr>
        <w:rPr>
          <w:rFonts w:ascii="Arial" w:hAnsi="Arial" w:cs="Arial"/>
          <w:color w:val="333333"/>
          <w:lang w:eastAsia="en-GB"/>
        </w:rPr>
      </w:pPr>
      <w:r w:rsidRPr="00D5126A">
        <w:rPr>
          <w:rFonts w:ascii="Arial" w:hAnsi="Arial" w:cs="Arial"/>
          <w:color w:val="333333"/>
          <w:lang w:eastAsia="en-GB"/>
        </w:rPr>
        <w:t>The Council purchased 41,800 credits (2018: 62,057) in the market to cover the expected liabilities associated with landfill operations. Due to upward movements in the market price for carbon credits a decision was made to use the fixed price payment method to meet the Council’s ETS obligations for the 2018 calendar year. As a result no credits were surrendered in 2019 (2018: 32,715).</w:t>
      </w:r>
    </w:p>
    <w:p w:rsidR="001C14D7" w:rsidRPr="00D5126A" w:rsidRDefault="00FA6A77" w:rsidP="001C14D7">
      <w:pPr>
        <w:rPr>
          <w:rFonts w:ascii="Arial" w:hAnsi="Arial" w:cs="Arial"/>
          <w:color w:val="333333"/>
          <w:lang w:eastAsia="en-GB"/>
        </w:rPr>
      </w:pPr>
      <w:r w:rsidRPr="00D5126A">
        <w:rPr>
          <w:rFonts w:ascii="Arial" w:hAnsi="Arial" w:cs="Arial"/>
          <w:color w:val="333333"/>
          <w:lang w:eastAsia="en-GB"/>
        </w:rPr>
        <w:t>A further 17,000 credits (2018: 3,900) were purchased to offset sales made to Air New Zealand for them to offer as credits to offset their passenger air miles.</w:t>
      </w:r>
    </w:p>
    <w:p w:rsidR="00FA6A77" w:rsidRPr="00D5126A" w:rsidRDefault="00FA6A77" w:rsidP="001C14D7">
      <w:pPr>
        <w:rPr>
          <w:rFonts w:ascii="Arial" w:hAnsi="Arial" w:cs="Arial"/>
          <w:color w:val="333333"/>
          <w:lang w:eastAsia="en-GB"/>
        </w:rPr>
      </w:pPr>
      <w:r w:rsidRPr="00D5126A">
        <w:rPr>
          <w:rFonts w:ascii="Arial" w:hAnsi="Arial" w:cs="Arial"/>
          <w:color w:val="333333"/>
          <w:lang w:eastAsia="en-GB"/>
        </w:rPr>
        <w:t xml:space="preserve">Due </w:t>
      </w:r>
      <w:proofErr w:type="gramStart"/>
      <w:r w:rsidRPr="00D5126A">
        <w:rPr>
          <w:rFonts w:ascii="Arial" w:hAnsi="Arial" w:cs="Arial"/>
          <w:color w:val="333333"/>
          <w:lang w:eastAsia="en-GB"/>
        </w:rPr>
        <w:t>to</w:t>
      </w:r>
      <w:proofErr w:type="gramEnd"/>
      <w:r w:rsidRPr="00D5126A">
        <w:rPr>
          <w:rFonts w:ascii="Arial" w:hAnsi="Arial" w:cs="Arial"/>
          <w:color w:val="333333"/>
          <w:lang w:eastAsia="en-GB"/>
        </w:rPr>
        <w:t xml:space="preserve"> previously over estimated carbon forest estimates, which are performed 5-yearly, Council was required to repay 40,543 units to the Crown.</w:t>
      </w:r>
    </w:p>
    <w:p w:rsidR="00FA6A77" w:rsidRPr="00D5126A" w:rsidRDefault="00FA6A77" w:rsidP="001C14D7">
      <w:pPr>
        <w:rPr>
          <w:rFonts w:ascii="Arial" w:hAnsi="Arial" w:cs="Arial"/>
          <w:color w:val="333333"/>
          <w:lang w:eastAsia="en-GB"/>
        </w:rPr>
      </w:pPr>
      <w:r w:rsidRPr="00D5126A">
        <w:rPr>
          <w:rFonts w:ascii="Arial" w:hAnsi="Arial" w:cs="Arial"/>
          <w:color w:val="333333"/>
          <w:lang w:eastAsia="en-GB"/>
        </w:rPr>
        <w:lastRenderedPageBreak/>
        <w:t>During the period, 6,900 units were sold to Air New Zealand.</w:t>
      </w:r>
    </w:p>
    <w:p w:rsidR="00FA6A77" w:rsidRPr="00D5126A" w:rsidRDefault="00FA6A77" w:rsidP="001C14D7">
      <w:pPr>
        <w:rPr>
          <w:rFonts w:ascii="Arial" w:hAnsi="Arial" w:cs="Arial"/>
          <w:color w:val="333333"/>
          <w:lang w:eastAsia="en-GB"/>
        </w:rPr>
      </w:pPr>
      <w:r w:rsidRPr="00D5126A">
        <w:rPr>
          <w:rFonts w:ascii="Arial" w:hAnsi="Arial" w:cs="Arial"/>
          <w:color w:val="333333"/>
          <w:lang w:eastAsia="en-GB"/>
        </w:rPr>
        <w:t>At 30 June 2019 the total liability relating to landfill carbon emissions is $0.928m (2018: $0.359m), with $0.215m of this relating to a technical monitoring understatement in the 2017 calendar year.</w:t>
      </w:r>
    </w:p>
    <w:p w:rsidR="00FA6A77" w:rsidRPr="00D5126A" w:rsidRDefault="00FA6A77" w:rsidP="001C14D7">
      <w:pPr>
        <w:rPr>
          <w:rFonts w:ascii="Arial" w:hAnsi="Arial" w:cs="Arial"/>
          <w:color w:val="333333"/>
          <w:lang w:eastAsia="en-GB"/>
        </w:rPr>
      </w:pPr>
      <w:r w:rsidRPr="00D5126A">
        <w:rPr>
          <w:rFonts w:ascii="Arial" w:hAnsi="Arial" w:cs="Arial"/>
          <w:color w:val="333333"/>
          <w:lang w:eastAsia="en-GB"/>
        </w:rPr>
        <w:t xml:space="preserve">More information on carbon credits can be found in the Statements of Service Provision under activity 2.2: Waste reduction and energy conservation </w:t>
      </w:r>
      <w:r w:rsidR="001C14D7" w:rsidRPr="00D5126A">
        <w:rPr>
          <w:rFonts w:ascii="Arial" w:hAnsi="Arial" w:cs="Arial"/>
          <w:color w:val="333333"/>
          <w:lang w:eastAsia="en-GB"/>
        </w:rPr>
        <w:t xml:space="preserve">(page </w:t>
      </w:r>
      <w:r w:rsidR="00213CD7">
        <w:rPr>
          <w:rFonts w:ascii="Arial" w:hAnsi="Arial" w:cs="Arial"/>
          <w:color w:val="333333"/>
          <w:lang w:eastAsia="en-GB"/>
        </w:rPr>
        <w:t>53</w:t>
      </w:r>
      <w:r w:rsidR="001C14D7" w:rsidRPr="00D5126A">
        <w:rPr>
          <w:rFonts w:ascii="Arial" w:hAnsi="Arial" w:cs="Arial"/>
          <w:color w:val="333333"/>
          <w:lang w:eastAsia="en-GB"/>
        </w:rPr>
        <w:t>).</w:t>
      </w:r>
    </w:p>
    <w:p w:rsidR="00F50A47" w:rsidRDefault="00FA6A77" w:rsidP="001C14D7">
      <w:r w:rsidRPr="00D5126A">
        <w:rPr>
          <w:rFonts w:ascii="Arial" w:hAnsi="Arial" w:cs="Arial"/>
          <w:color w:val="333333"/>
          <w:lang w:eastAsia="en-GB"/>
        </w:rPr>
        <w:t xml:space="preserve">The movement in units held is as </w:t>
      </w:r>
      <w:r w:rsidR="00060BDF" w:rsidRPr="00060BDF">
        <w:rPr>
          <w:rFonts w:ascii="Arial" w:hAnsi="Arial" w:cs="Arial"/>
          <w:color w:val="333333"/>
          <w:lang w:eastAsia="en-GB"/>
        </w:rPr>
        <w:t>follows in Table 25</w:t>
      </w:r>
      <w:r w:rsidR="00060BDF">
        <w:rPr>
          <w:rFonts w:ascii="Arial" w:hAnsi="Arial" w:cs="Arial"/>
          <w:color w:val="333333"/>
          <w:lang w:eastAsia="en-GB"/>
        </w:rPr>
        <w:t>:</w:t>
      </w:r>
      <w:r w:rsidR="00F50A47" w:rsidRPr="00F50A47">
        <w:rPr>
          <w:noProof/>
          <w:lang w:eastAsia="en-NZ"/>
        </w:rPr>
        <w:t xml:space="preserve"> </w:t>
      </w:r>
    </w:p>
    <w:p w:rsidR="00F50A47" w:rsidRDefault="00F50A47" w:rsidP="00F50A47">
      <w:pPr>
        <w:pStyle w:val="Caption"/>
      </w:pPr>
      <w:r>
        <w:t xml:space="preserve">Section 5 - Table </w:t>
      </w:r>
      <w:fldSimple w:instr=" SEQ Section_5_-_Table \* ARABIC ">
        <w:r w:rsidR="005908C4">
          <w:rPr>
            <w:noProof/>
          </w:rPr>
          <w:t>25</w:t>
        </w:r>
      </w:fldSimple>
      <w:r>
        <w:t>: Carbon credits</w:t>
      </w:r>
    </w:p>
    <w:p w:rsidR="00FA6A77" w:rsidRPr="00D5126A" w:rsidRDefault="00F50A47" w:rsidP="001C14D7">
      <w:pPr>
        <w:rPr>
          <w:rFonts w:ascii="Arial" w:hAnsi="Arial" w:cs="Arial"/>
          <w:color w:val="333333"/>
          <w:lang w:eastAsia="en-GB"/>
        </w:rPr>
      </w:pPr>
      <w:r w:rsidRPr="00D5126A">
        <w:rPr>
          <w:noProof/>
          <w:lang w:eastAsia="en-NZ"/>
        </w:rPr>
        <w:drawing>
          <wp:inline distT="0" distB="0" distL="0" distR="0" wp14:anchorId="1A15F26A" wp14:editId="570184EE">
            <wp:extent cx="6291580" cy="2057400"/>
            <wp:effectExtent l="0" t="0" r="0" b="0"/>
            <wp:docPr id="1436" name="Picture 1436" title="Section 5 - Table 25: Carbon cred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291580" cy="2057400"/>
                    </a:xfrm>
                    <a:prstGeom prst="rect">
                      <a:avLst/>
                    </a:prstGeom>
                    <a:noFill/>
                    <a:ln>
                      <a:noFill/>
                    </a:ln>
                  </pic:spPr>
                </pic:pic>
              </a:graphicData>
            </a:graphic>
          </wp:inline>
        </w:drawing>
      </w:r>
    </w:p>
    <w:p w:rsidR="00FA6A77" w:rsidRPr="00D5126A" w:rsidRDefault="00FA6A77" w:rsidP="001C14D7">
      <w:pPr>
        <w:pStyle w:val="Heading4"/>
        <w:rPr>
          <w:rFonts w:asciiTheme="majorHAnsi" w:hAnsiTheme="majorHAnsi"/>
          <w:lang w:eastAsia="en-GB"/>
        </w:rPr>
      </w:pPr>
      <w:r w:rsidRPr="00D5126A">
        <w:rPr>
          <w:lang w:eastAsia="en-GB"/>
        </w:rPr>
        <w:t>Relevant significant accounting policies</w:t>
      </w:r>
    </w:p>
    <w:p w:rsidR="00FA6A77" w:rsidRPr="00D5126A" w:rsidRDefault="00FA6A77" w:rsidP="001C14D7">
      <w:pPr>
        <w:pStyle w:val="Heading5"/>
      </w:pPr>
      <w:r w:rsidRPr="00D5126A">
        <w:t xml:space="preserve">Computer software </w:t>
      </w:r>
    </w:p>
    <w:p w:rsidR="00FA6A77" w:rsidRPr="00D5126A" w:rsidRDefault="00FA6A77" w:rsidP="001C14D7">
      <w:pPr>
        <w:rPr>
          <w:rFonts w:ascii="Arial" w:hAnsi="Arial" w:cs="Arial"/>
        </w:rPr>
      </w:pPr>
      <w:r w:rsidRPr="00D5126A">
        <w:rPr>
          <w:rFonts w:ascii="Arial" w:hAnsi="Arial" w:cs="Arial"/>
        </w:rPr>
        <w:t>Acquired computer software is measured on initial recognition at the costs to acquire and bring to use and subsequently less any amortisation and impairment losses.</w:t>
      </w:r>
    </w:p>
    <w:p w:rsidR="00F50A47" w:rsidRDefault="00FA6A77" w:rsidP="001C14D7">
      <w:r w:rsidRPr="00D5126A">
        <w:rPr>
          <w:rFonts w:ascii="Arial" w:hAnsi="Arial" w:cs="Arial"/>
        </w:rPr>
        <w:t>Typically, the estimated useful li</w:t>
      </w:r>
      <w:r w:rsidR="00060BDF">
        <w:rPr>
          <w:rFonts w:ascii="Arial" w:hAnsi="Arial" w:cs="Arial"/>
        </w:rPr>
        <w:t>fe</w:t>
      </w:r>
      <w:r w:rsidRPr="00D5126A">
        <w:rPr>
          <w:rFonts w:ascii="Arial" w:hAnsi="Arial" w:cs="Arial"/>
        </w:rPr>
        <w:t xml:space="preserve"> of these assets </w:t>
      </w:r>
      <w:r w:rsidR="00060BDF">
        <w:rPr>
          <w:rFonts w:ascii="Arial" w:hAnsi="Arial" w:cs="Arial"/>
        </w:rPr>
        <w:t>is</w:t>
      </w:r>
      <w:r w:rsidRPr="00D5126A">
        <w:rPr>
          <w:rFonts w:ascii="Arial" w:hAnsi="Arial" w:cs="Arial"/>
        </w:rPr>
        <w:t xml:space="preserve"> as follows: </w:t>
      </w:r>
    </w:p>
    <w:p w:rsidR="00F50A47" w:rsidRDefault="00F50A47" w:rsidP="00F50A47">
      <w:pPr>
        <w:pStyle w:val="Caption"/>
      </w:pPr>
      <w:r>
        <w:t xml:space="preserve">Section 5 - Table </w:t>
      </w:r>
      <w:fldSimple w:instr=" SEQ Section_5_-_Table \* ARABIC ">
        <w:r w:rsidR="005908C4">
          <w:rPr>
            <w:noProof/>
          </w:rPr>
          <w:t>26</w:t>
        </w:r>
      </w:fldSimple>
      <w:r>
        <w:t>: Estimated useful life of computer software</w:t>
      </w:r>
    </w:p>
    <w:p w:rsidR="00FA6A77" w:rsidRPr="00D5126A" w:rsidRDefault="00F50A47" w:rsidP="001C14D7">
      <w:pPr>
        <w:rPr>
          <w:rFonts w:ascii="Arial" w:hAnsi="Arial" w:cs="Arial"/>
        </w:rPr>
      </w:pPr>
      <w:r w:rsidRPr="00D5126A">
        <w:rPr>
          <w:noProof/>
          <w:lang w:eastAsia="en-NZ"/>
        </w:rPr>
        <w:drawing>
          <wp:inline distT="0" distB="0" distL="0" distR="0" wp14:anchorId="70556FAE" wp14:editId="18AA6285">
            <wp:extent cx="5975497" cy="739893"/>
            <wp:effectExtent l="0" t="0" r="6350" b="3175"/>
            <wp:docPr id="1435" name="Picture 1435" title="Section 5 - Table 26: Estimated useful life of computer softw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051921" cy="749356"/>
                    </a:xfrm>
                    <a:prstGeom prst="rect">
                      <a:avLst/>
                    </a:prstGeom>
                    <a:noFill/>
                    <a:ln>
                      <a:noFill/>
                    </a:ln>
                  </pic:spPr>
                </pic:pic>
              </a:graphicData>
            </a:graphic>
          </wp:inline>
        </w:drawing>
      </w:r>
    </w:p>
    <w:p w:rsidR="00FA6A77" w:rsidRPr="00D5126A" w:rsidRDefault="00FA6A77" w:rsidP="001C14D7">
      <w:pPr>
        <w:pStyle w:val="Heading5"/>
      </w:pPr>
      <w:r w:rsidRPr="00D5126A">
        <w:t>Carbon Credits</w:t>
      </w:r>
    </w:p>
    <w:p w:rsidR="00FA6A77" w:rsidRPr="00D5126A" w:rsidRDefault="00FA6A77" w:rsidP="001C14D7">
      <w:pPr>
        <w:rPr>
          <w:rFonts w:ascii="Arial" w:hAnsi="Arial" w:cs="Arial"/>
        </w:rPr>
      </w:pPr>
      <w:r w:rsidRPr="00D5126A">
        <w:rPr>
          <w:rFonts w:ascii="Arial" w:hAnsi="Arial" w:cs="Arial"/>
        </w:rPr>
        <w:t>Carbon credits comprise either allocations of emission allowances granted by the Government related to forestry assets or units purchased in the market to cover liabilities associated with landfill operations. Carbon credits allocated as a non-exchange transaction are initially recognised at fair value, which then becomes the deemed cost.  Carbon credits that are purchased are recognised at cost.</w:t>
      </w:r>
    </w:p>
    <w:p w:rsidR="001C14D7" w:rsidRPr="00D5126A" w:rsidRDefault="00FA6A77" w:rsidP="001C14D7">
      <w:pPr>
        <w:rPr>
          <w:rFonts w:ascii="Arial" w:hAnsi="Arial" w:cs="Arial"/>
        </w:rPr>
      </w:pPr>
      <w:r w:rsidRPr="00D5126A">
        <w:rPr>
          <w:rFonts w:ascii="Arial" w:hAnsi="Arial" w:cs="Arial"/>
        </w:rPr>
        <w:t>Gains and losses arising from disposal of intangible assets are recognised within surplus or deficit in the period in which the transaction occurs. Intangible assets are reviewed at least annually to determine if there is any indication of impairment. Where an intangible asset’s recoverable amount is less than its carrying amount, it will be reported at its recoverable amount and an impairment loss will be recognised. Losses resulting from impairment are reported within surplus or deficit.</w:t>
      </w:r>
      <w:bookmarkStart w:id="432" w:name="_Toc19092070"/>
    </w:p>
    <w:p w:rsidR="00FA6A77" w:rsidRPr="00D5126A" w:rsidRDefault="00FA6A77" w:rsidP="001C14D7">
      <w:pPr>
        <w:pStyle w:val="Heading3"/>
      </w:pPr>
      <w:bookmarkStart w:id="433" w:name="_Toc23848709"/>
      <w:r w:rsidRPr="00D5126A">
        <w:lastRenderedPageBreak/>
        <w:t>Note 17: Investment properties</w:t>
      </w:r>
      <w:bookmarkEnd w:id="432"/>
      <w:bookmarkEnd w:id="433"/>
    </w:p>
    <w:p w:rsidR="00F50A47" w:rsidRDefault="00F50A47" w:rsidP="00F50A47">
      <w:pPr>
        <w:pStyle w:val="Caption"/>
      </w:pPr>
      <w:r>
        <w:t xml:space="preserve">Section 5 - Table </w:t>
      </w:r>
      <w:fldSimple w:instr=" SEQ Section_5_-_Table \* ARABIC ">
        <w:r w:rsidR="005908C4">
          <w:rPr>
            <w:noProof/>
          </w:rPr>
          <w:t>27</w:t>
        </w:r>
      </w:fldSimple>
      <w:r>
        <w:t>: Investment properties</w:t>
      </w:r>
    </w:p>
    <w:p w:rsidR="00FA6A77" w:rsidRPr="00D5126A" w:rsidRDefault="00F50A47" w:rsidP="001C14D7">
      <w:pPr>
        <w:rPr>
          <w:rFonts w:ascii="Arial" w:hAnsi="Arial" w:cs="Arial"/>
        </w:rPr>
      </w:pPr>
      <w:r w:rsidRPr="00D5126A">
        <w:rPr>
          <w:noProof/>
          <w:lang w:eastAsia="en-NZ"/>
        </w:rPr>
        <w:drawing>
          <wp:inline distT="0" distB="0" distL="0" distR="0" wp14:anchorId="5B9248FA" wp14:editId="160695A9">
            <wp:extent cx="6142355" cy="3249930"/>
            <wp:effectExtent l="0" t="0" r="0" b="7620"/>
            <wp:docPr id="1434" name="Picture 1434" title="Section 5 - Table 27: Investment proper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6142355" cy="3249930"/>
                    </a:xfrm>
                    <a:prstGeom prst="rect">
                      <a:avLst/>
                    </a:prstGeom>
                    <a:noFill/>
                    <a:ln>
                      <a:noFill/>
                    </a:ln>
                  </pic:spPr>
                </pic:pic>
              </a:graphicData>
            </a:graphic>
          </wp:inline>
        </w:drawing>
      </w:r>
      <w:r w:rsidR="00FA6A77" w:rsidRPr="00D5126A">
        <w:rPr>
          <w:rFonts w:ascii="Arial" w:hAnsi="Arial" w:cs="Arial"/>
        </w:rPr>
        <w:t xml:space="preserve">Wellington City Council’s investment properties including the waterfront investment properties were valued as at 30 June 2019 by an independent valuer, William Bunt (FNZIV, FPINZ), registered valuer and Director of Valuation Services for CBRE Limited.  </w:t>
      </w:r>
    </w:p>
    <w:p w:rsidR="00FA6A77" w:rsidRPr="00D5126A" w:rsidRDefault="00FA6A77" w:rsidP="001C14D7">
      <w:pPr>
        <w:rPr>
          <w:rFonts w:ascii="Arial" w:hAnsi="Arial" w:cs="Arial"/>
        </w:rPr>
      </w:pPr>
      <w:r w:rsidRPr="00D5126A">
        <w:rPr>
          <w:rFonts w:ascii="Arial" w:hAnsi="Arial" w:cs="Arial"/>
        </w:rPr>
        <w:t xml:space="preserve">The Council’s total investment properties comprise ground leases of $205.192m (2018: $192.693m) and land and buildings (including work in progress) of $49.820m (2018: $44.212m) held for investment purposes. </w:t>
      </w:r>
    </w:p>
    <w:p w:rsidR="00FA6A77" w:rsidRPr="00D5126A" w:rsidRDefault="00FA6A77" w:rsidP="001C14D7">
      <w:pPr>
        <w:rPr>
          <w:rFonts w:ascii="Arial" w:hAnsi="Arial" w:cs="Arial"/>
        </w:rPr>
      </w:pPr>
      <w:r w:rsidRPr="00D5126A">
        <w:rPr>
          <w:rFonts w:ascii="Arial" w:hAnsi="Arial" w:cs="Arial"/>
        </w:rPr>
        <w:t>Investment properties are properties which are held primarily to earn lease revenue and/or for capital growth. These properties include the Council’s ground leases and certain land and buildings.</w:t>
      </w:r>
    </w:p>
    <w:p w:rsidR="00FA6A77" w:rsidRPr="00D5126A" w:rsidRDefault="00FA6A77" w:rsidP="001C14D7">
      <w:pPr>
        <w:rPr>
          <w:rFonts w:ascii="Arial" w:hAnsi="Arial" w:cs="Arial"/>
        </w:rPr>
      </w:pPr>
      <w:r w:rsidRPr="00D5126A">
        <w:rPr>
          <w:rFonts w:ascii="Arial" w:hAnsi="Arial" w:cs="Arial"/>
        </w:rPr>
        <w:t>Ground leases are parcels of land owned by the Council in the central city or on the waterfront that are leased to other parties who own the buildings situated on the land. The leases are generally based on 21-year perpetually renewable terms. As these parcels of land are held for investment purposes the leases are charged on a commercial market basis.</w:t>
      </w:r>
    </w:p>
    <w:p w:rsidR="00FA6A77" w:rsidRPr="00D5126A" w:rsidRDefault="00FA6A77" w:rsidP="001C14D7">
      <w:pPr>
        <w:rPr>
          <w:rFonts w:ascii="Arial" w:hAnsi="Arial" w:cs="Arial"/>
        </w:rPr>
      </w:pPr>
      <w:r w:rsidRPr="00D5126A">
        <w:rPr>
          <w:rFonts w:ascii="Arial" w:hAnsi="Arial" w:cs="Arial"/>
        </w:rPr>
        <w:t>Investment properties exclude those properties held for strategic purposes or to provide a social service. This includes properties which generate cash inflows as the lease revenue is incidental to the purpose for holding the property. Such properties include the Council’s social housing assets, which are held within operational assets in property, plant and equipment.</w:t>
      </w:r>
    </w:p>
    <w:p w:rsidR="00FA6A77" w:rsidRPr="00D5126A" w:rsidRDefault="00FA6A77" w:rsidP="001C14D7">
      <w:pPr>
        <w:pStyle w:val="Heading4"/>
        <w:rPr>
          <w:rFonts w:asciiTheme="majorHAnsi" w:hAnsiTheme="majorHAnsi"/>
          <w:lang w:eastAsia="en-GB"/>
        </w:rPr>
      </w:pPr>
      <w:r w:rsidRPr="00D5126A">
        <w:rPr>
          <w:lang w:eastAsia="en-GB"/>
        </w:rPr>
        <w:t>Relevant significant accounting policies</w:t>
      </w:r>
    </w:p>
    <w:p w:rsidR="00FA6A77" w:rsidRPr="00D5126A" w:rsidRDefault="00FA6A77" w:rsidP="001C14D7">
      <w:pPr>
        <w:rPr>
          <w:rFonts w:ascii="Arial" w:hAnsi="Arial" w:cs="Arial"/>
        </w:rPr>
      </w:pPr>
      <w:r w:rsidRPr="00D5126A">
        <w:rPr>
          <w:rFonts w:ascii="Arial" w:hAnsi="Arial" w:cs="Arial"/>
        </w:rPr>
        <w:t>The basis of valuation varies depending on the nature of the lease. For sites that are subject to a terminating lease the approach is to assess the value of the lease revenue over the remaining term of the lease and add the residual value of the land at lease expiry. For sites subject to perpetually renewable leases values have been assessed utilising a discounted cash flow and arriving at a net present value of all future anticipated gross lease payments.</w:t>
      </w:r>
    </w:p>
    <w:p w:rsidR="00FA6A77" w:rsidRPr="00D5126A" w:rsidRDefault="00FA6A77" w:rsidP="001C14D7">
      <w:pPr>
        <w:rPr>
          <w:rFonts w:ascii="Arial" w:hAnsi="Arial" w:cs="Arial"/>
        </w:rPr>
      </w:pPr>
      <w:r w:rsidRPr="00D5126A">
        <w:rPr>
          <w:rFonts w:ascii="Arial" w:hAnsi="Arial" w:cs="Arial"/>
        </w:rPr>
        <w:t>Borrowing costs incurred during the construction of investment property are not capitalised.</w:t>
      </w:r>
    </w:p>
    <w:p w:rsidR="00FA6A77" w:rsidRPr="00D5126A" w:rsidRDefault="00FA6A77" w:rsidP="001C14D7">
      <w:pPr>
        <w:rPr>
          <w:rFonts w:ascii="Arial" w:hAnsi="Arial" w:cs="Arial"/>
        </w:rPr>
      </w:pPr>
      <w:r w:rsidRPr="00D5126A">
        <w:rPr>
          <w:rFonts w:ascii="Arial" w:hAnsi="Arial" w:cs="Arial"/>
        </w:rPr>
        <w:lastRenderedPageBreak/>
        <w:t>Investment properties are measured initially at cost and subsequently measured at fair value, determined annually by an independent registered valuer. Any gain or loss arising is recognised within surplus or deficit. Investment properties are not depreciated.</w:t>
      </w:r>
    </w:p>
    <w:p w:rsidR="00FA6A77" w:rsidRDefault="00FA6A77" w:rsidP="001C14D7">
      <w:pPr>
        <w:rPr>
          <w:rFonts w:ascii="Arial" w:hAnsi="Arial" w:cs="Arial"/>
          <w:bCs/>
        </w:rPr>
      </w:pPr>
      <w:r w:rsidRPr="00D5126A">
        <w:rPr>
          <w:rFonts w:ascii="Arial" w:hAnsi="Arial" w:cs="Arial"/>
          <w:bCs/>
        </w:rPr>
        <w:t>Certain ground leases on the waterfront and within the CBD have, for accounting purposes, been treated as sold assets due to the very long term nature of the lease and peppercorn rentals. At a future point in time, prior to the asset being returned to Council ownership, Council will begin to incrementally re-recognise the value of the asset. The amortisation of the estimated future value will reflect the prevalent economic situation and will be more relevant in terms of both the estimated value and materiality.</w:t>
      </w:r>
    </w:p>
    <w:p w:rsidR="0086168B" w:rsidRDefault="00FA6A77" w:rsidP="001C14D7">
      <w:pPr>
        <w:pStyle w:val="Heading3"/>
      </w:pPr>
      <w:bookmarkStart w:id="434" w:name="_Toc19092071"/>
      <w:bookmarkStart w:id="435" w:name="_Toc23848710"/>
      <w:r w:rsidRPr="00D5126A">
        <w:t>Note 18: Property, plant and equipment</w:t>
      </w:r>
      <w:bookmarkEnd w:id="434"/>
      <w:bookmarkEnd w:id="435"/>
    </w:p>
    <w:p w:rsidR="0086168B" w:rsidRDefault="0086168B" w:rsidP="0086168B">
      <w:pPr>
        <w:pStyle w:val="Caption"/>
      </w:pPr>
      <w:r>
        <w:t xml:space="preserve">Section 5 - Table </w:t>
      </w:r>
      <w:fldSimple w:instr=" SEQ Section_5_-_Table \* ARABIC ">
        <w:r w:rsidR="005908C4">
          <w:rPr>
            <w:noProof/>
          </w:rPr>
          <w:t>28</w:t>
        </w:r>
      </w:fldSimple>
      <w:r>
        <w:t>a: Summary of property, plant and equipment</w:t>
      </w:r>
    </w:p>
    <w:p w:rsidR="00FA6A77" w:rsidRPr="00D5126A" w:rsidRDefault="0086168B" w:rsidP="0035019C">
      <w:r w:rsidRPr="00D5126A">
        <w:rPr>
          <w:noProof/>
          <w:lang w:eastAsia="en-NZ"/>
        </w:rPr>
        <w:drawing>
          <wp:inline distT="0" distB="0" distL="0" distR="0" wp14:anchorId="3D1B9212" wp14:editId="65BF9D32">
            <wp:extent cx="6202045" cy="2762885"/>
            <wp:effectExtent l="0" t="0" r="8255" b="0"/>
            <wp:docPr id="1433" name="Picture 1433" title="Section 5 - Table 28a: Summary of property, plant and equip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6202045" cy="2762885"/>
                    </a:xfrm>
                    <a:prstGeom prst="rect">
                      <a:avLst/>
                    </a:prstGeom>
                    <a:noFill/>
                    <a:ln>
                      <a:noFill/>
                    </a:ln>
                  </pic:spPr>
                </pic:pic>
              </a:graphicData>
            </a:graphic>
          </wp:inline>
        </w:drawing>
      </w:r>
    </w:p>
    <w:p w:rsidR="00FA6A77" w:rsidRPr="00D5126A" w:rsidRDefault="00FA6A77" w:rsidP="001C14D7">
      <w:pPr>
        <w:pStyle w:val="Heading4"/>
        <w:rPr>
          <w:lang w:eastAsia="en-GB"/>
        </w:rPr>
      </w:pPr>
      <w:r w:rsidRPr="00D5126A">
        <w:rPr>
          <w:lang w:eastAsia="en-GB"/>
        </w:rPr>
        <w:t>Relevant significant accounting policies</w:t>
      </w:r>
    </w:p>
    <w:p w:rsidR="00FA6A77" w:rsidRPr="00D5126A" w:rsidRDefault="00FA6A77" w:rsidP="00FA6A77">
      <w:pPr>
        <w:spacing w:after="160"/>
        <w:jc w:val="both"/>
        <w:rPr>
          <w:rFonts w:ascii="Arial" w:hAnsi="Arial" w:cs="Arial"/>
        </w:rPr>
      </w:pPr>
      <w:r w:rsidRPr="00D5126A">
        <w:rPr>
          <w:rFonts w:ascii="Arial" w:hAnsi="Arial" w:cs="Arial"/>
        </w:rPr>
        <w:t xml:space="preserve">Property, plant and equipment </w:t>
      </w:r>
      <w:proofErr w:type="gramStart"/>
      <w:r w:rsidRPr="00D5126A">
        <w:rPr>
          <w:rFonts w:ascii="Arial" w:hAnsi="Arial" w:cs="Arial"/>
        </w:rPr>
        <w:t>consists</w:t>
      </w:r>
      <w:proofErr w:type="gramEnd"/>
      <w:r w:rsidRPr="00D5126A">
        <w:rPr>
          <w:rFonts w:ascii="Arial" w:hAnsi="Arial" w:cs="Arial"/>
        </w:rPr>
        <w:t xml:space="preserve"> of operational assets, restricted assets and infrastructure assets.</w:t>
      </w:r>
    </w:p>
    <w:p w:rsidR="00FA6A77" w:rsidRPr="00D5126A" w:rsidRDefault="00FA6A77" w:rsidP="00FA6A77">
      <w:pPr>
        <w:spacing w:after="160"/>
        <w:jc w:val="both"/>
        <w:rPr>
          <w:rFonts w:ascii="Arial" w:hAnsi="Arial" w:cs="Arial"/>
        </w:rPr>
      </w:pPr>
      <w:r w:rsidRPr="00D5126A">
        <w:rPr>
          <w:rFonts w:ascii="Arial" w:hAnsi="Arial" w:cs="Arial"/>
        </w:rPr>
        <w:t>Operational assets include land, the landfill post-closure asset, buildings, the Civic Precinct, the library collection, and plant and equipment.</w:t>
      </w:r>
    </w:p>
    <w:p w:rsidR="00FA6A77" w:rsidRPr="00D5126A" w:rsidRDefault="00FA6A77" w:rsidP="00FA6A77">
      <w:pPr>
        <w:spacing w:after="160" w:line="240" w:lineRule="exact"/>
        <w:jc w:val="both"/>
        <w:rPr>
          <w:rFonts w:ascii="Arial" w:hAnsi="Arial" w:cs="Arial"/>
        </w:rPr>
      </w:pPr>
      <w:r w:rsidRPr="00D5126A">
        <w:rPr>
          <w:rFonts w:ascii="Arial" w:hAnsi="Arial" w:cs="Arial"/>
        </w:rPr>
        <w:t>Restricted assets include art and cultural assets, zoo animals, restricted buildings, parks and reserves and the Town Belt. These assets provide a benefit or service to the community and in most cases cannot be disposed of because of legal or other restrictions (for example, land declared as a reserve under the Reserves Act 1977.) The use of the asset may also be restricted such as the donated Basin Reserve land which must be retained for the purposes of providing a cricket and recreation ground with no permitted thoroughfare.</w:t>
      </w:r>
    </w:p>
    <w:p w:rsidR="00FA6A77" w:rsidRPr="00D5126A" w:rsidRDefault="00FA6A77" w:rsidP="00FA6A77">
      <w:pPr>
        <w:spacing w:after="160" w:line="240" w:lineRule="exact"/>
        <w:jc w:val="both"/>
        <w:rPr>
          <w:rFonts w:ascii="Arial" w:hAnsi="Arial" w:cs="Arial"/>
        </w:rPr>
      </w:pPr>
      <w:r w:rsidRPr="00D5126A">
        <w:rPr>
          <w:rFonts w:ascii="Arial" w:hAnsi="Arial" w:cs="Arial"/>
        </w:rPr>
        <w:t>Infrastructure assets include the roading network, water, waste and drainage reticulation networks, service concession arrangement assets and infrastructure land (including land under roads). Each asset type includes all items that are required for the network to function.</w:t>
      </w:r>
    </w:p>
    <w:p w:rsidR="00FA6A77" w:rsidRPr="00D5126A" w:rsidRDefault="00FA6A77" w:rsidP="00FA6A77">
      <w:pPr>
        <w:spacing w:after="160" w:line="240" w:lineRule="exact"/>
        <w:jc w:val="both"/>
        <w:rPr>
          <w:rFonts w:ascii="Arial" w:hAnsi="Arial" w:cs="Arial"/>
        </w:rPr>
      </w:pPr>
      <w:r w:rsidRPr="00D5126A">
        <w:rPr>
          <w:rFonts w:ascii="Arial" w:hAnsi="Arial" w:cs="Arial"/>
        </w:rPr>
        <w:t>Vested assets are those assets where ownership and control is transferred to the Council from a third party (eg. infrastructure assets constructed by developers and transferred to the Council on completion of a subdivision). Vested assets are recognised within their respective asset classes as above.</w:t>
      </w:r>
    </w:p>
    <w:p w:rsidR="00FA6A77" w:rsidRPr="00D5126A" w:rsidRDefault="00FA6A77" w:rsidP="00FA6A77">
      <w:pPr>
        <w:jc w:val="both"/>
        <w:rPr>
          <w:rFonts w:ascii="Arial" w:hAnsi="Arial" w:cs="Arial"/>
        </w:rPr>
      </w:pPr>
      <w:r w:rsidRPr="00D5126A">
        <w:rPr>
          <w:rFonts w:ascii="Arial" w:hAnsi="Arial" w:cs="Arial"/>
        </w:rPr>
        <w:lastRenderedPageBreak/>
        <w:t xml:space="preserve">Heritage assets are tangible assets with historical, artistic, scientific, technological, geophysical or environmental qualities that are held and maintained principally for their contribution to knowledge and culture. The Council and Group recognises these assets within these financial statements to the extent their value can be reliably measured. </w:t>
      </w:r>
    </w:p>
    <w:p w:rsidR="00FA6A77" w:rsidRPr="00D5126A" w:rsidRDefault="00FA6A77" w:rsidP="001C14D7">
      <w:pPr>
        <w:pStyle w:val="Heading5"/>
      </w:pPr>
      <w:r w:rsidRPr="00D5126A">
        <w:t>Recognition</w:t>
      </w:r>
    </w:p>
    <w:p w:rsidR="00FA6A77" w:rsidRPr="00D5126A" w:rsidRDefault="00FA6A77" w:rsidP="00FA6A77">
      <w:pPr>
        <w:spacing w:after="160" w:line="240" w:lineRule="exact"/>
        <w:jc w:val="both"/>
        <w:rPr>
          <w:rFonts w:ascii="Arial" w:hAnsi="Arial" w:cs="Arial"/>
        </w:rPr>
      </w:pPr>
      <w:r w:rsidRPr="00D5126A">
        <w:rPr>
          <w:rFonts w:ascii="Arial" w:hAnsi="Arial" w:cs="Arial"/>
        </w:rPr>
        <w:t>Expenditure is capitalised as property, plant and equipment when it creates a new asset or increases the economic benefits of an existing asset. Costs that do not meet the criteria for capitalisation are expensed.</w:t>
      </w:r>
    </w:p>
    <w:p w:rsidR="00FA6A77" w:rsidRPr="00D5126A" w:rsidRDefault="00FA6A77" w:rsidP="001C14D7">
      <w:pPr>
        <w:pStyle w:val="Heading5"/>
      </w:pPr>
      <w:r w:rsidRPr="00D5126A">
        <w:t>Measurement</w:t>
      </w:r>
    </w:p>
    <w:p w:rsidR="00FA6A77" w:rsidRPr="00D5126A" w:rsidRDefault="00FA6A77" w:rsidP="00FA6A77">
      <w:pPr>
        <w:spacing w:after="160" w:line="240" w:lineRule="exact"/>
        <w:jc w:val="both"/>
        <w:rPr>
          <w:rFonts w:ascii="Arial" w:hAnsi="Arial" w:cs="Arial"/>
        </w:rPr>
      </w:pPr>
      <w:r w:rsidRPr="00D5126A">
        <w:rPr>
          <w:rFonts w:ascii="Arial" w:hAnsi="Arial" w:cs="Arial"/>
        </w:rPr>
        <w:t>Property, plant and equipment is recognised initially at cost, unless acquired for nil or nominal cost (eg. vested assets), in which case the asset is recognised at fair value at the date of transfer. The initial cost of property, plant and equipment includes the purchase consideration (or the fair value in the case of vested assets), and those costs that are directly attributable to bringing the asset into the location and condition necessary for its intended purpose. Subsequent expenditure that extends or expands the asset’s service potential is capitalised.</w:t>
      </w:r>
    </w:p>
    <w:p w:rsidR="00FA6A77" w:rsidRPr="00D5126A" w:rsidRDefault="00FA6A77" w:rsidP="00FA6A77">
      <w:pPr>
        <w:spacing w:after="160" w:line="240" w:lineRule="exact"/>
        <w:jc w:val="both"/>
        <w:rPr>
          <w:rFonts w:ascii="Arial" w:hAnsi="Arial" w:cs="Arial"/>
        </w:rPr>
      </w:pPr>
      <w:r w:rsidRPr="00D5126A">
        <w:rPr>
          <w:rFonts w:ascii="Arial" w:hAnsi="Arial" w:cs="Arial"/>
        </w:rPr>
        <w:t>Borrowing costs incurred during the construction of property, plant and equipment are not capitalised.</w:t>
      </w:r>
    </w:p>
    <w:p w:rsidR="00FA6A77" w:rsidRPr="00D5126A" w:rsidRDefault="00FA6A77" w:rsidP="00FA6A77">
      <w:pPr>
        <w:spacing w:after="160" w:line="240" w:lineRule="exact"/>
        <w:jc w:val="both"/>
        <w:rPr>
          <w:rFonts w:ascii="Arial" w:hAnsi="Arial" w:cs="Arial"/>
        </w:rPr>
      </w:pPr>
      <w:r w:rsidRPr="00D5126A">
        <w:rPr>
          <w:rFonts w:ascii="Arial" w:hAnsi="Arial" w:cs="Arial"/>
        </w:rPr>
        <w:t>After initial recognition, certain classes of property, plant and equipment are revalued to fair value. Where there is no active market for an asset, fair value is determined by optimised depreciated replacement cost.</w:t>
      </w:r>
    </w:p>
    <w:p w:rsidR="00FA6A77" w:rsidRPr="00D5126A" w:rsidRDefault="00FA6A77" w:rsidP="00FA6A77">
      <w:pPr>
        <w:spacing w:after="160" w:line="240" w:lineRule="exact"/>
        <w:jc w:val="both"/>
        <w:rPr>
          <w:rFonts w:ascii="Arial" w:hAnsi="Arial" w:cs="Arial"/>
        </w:rPr>
      </w:pPr>
      <w:r w:rsidRPr="00D5126A">
        <w:rPr>
          <w:rFonts w:ascii="Arial" w:hAnsi="Arial" w:cs="Arial"/>
        </w:rPr>
        <w:t>Optimised depreciated replacement cost is a valuation methodology where the value of an asset is based on the cost of replacement with an efficient modern equivalent making allowance for obsolesce or surplus capacity. The remaining life is of the asset is estimated and straight line depreciation applied to bring the replacement cost to a fair value.</w:t>
      </w:r>
    </w:p>
    <w:p w:rsidR="00FA6A77" w:rsidRPr="00D5126A" w:rsidRDefault="00FA6A77" w:rsidP="00FA6A77">
      <w:pPr>
        <w:spacing w:after="160" w:line="240" w:lineRule="exact"/>
        <w:jc w:val="both"/>
        <w:rPr>
          <w:rFonts w:ascii="Arial" w:hAnsi="Arial" w:cs="Arial"/>
        </w:rPr>
      </w:pPr>
      <w:r w:rsidRPr="00D5126A">
        <w:rPr>
          <w:rFonts w:ascii="Arial" w:hAnsi="Arial" w:cs="Arial"/>
        </w:rPr>
        <w:t>Specific measurement policies for categories of property, plant and equipment are shown below:</w:t>
      </w:r>
    </w:p>
    <w:p w:rsidR="00FA6A77" w:rsidRPr="00D5126A" w:rsidRDefault="00FA6A77" w:rsidP="001C14D7">
      <w:pPr>
        <w:pStyle w:val="Heading5"/>
      </w:pPr>
      <w:r w:rsidRPr="00D5126A">
        <w:t>Library Collections</w:t>
      </w:r>
    </w:p>
    <w:p w:rsidR="00FA6A77" w:rsidRPr="00D5126A" w:rsidRDefault="00FA6A77" w:rsidP="00FA6A77">
      <w:pPr>
        <w:spacing w:after="160" w:line="240" w:lineRule="exact"/>
        <w:jc w:val="both"/>
        <w:rPr>
          <w:rFonts w:ascii="Arial" w:hAnsi="Arial" w:cs="Arial"/>
        </w:rPr>
      </w:pPr>
      <w:r w:rsidRPr="00D5126A">
        <w:rPr>
          <w:rFonts w:ascii="Arial" w:hAnsi="Arial" w:cs="Arial"/>
        </w:rPr>
        <w:t xml:space="preserve">Library collections are valued at depreciated replacement cost on a three-year cycle by the Council’s library staff in accordance with guidelines outlined in </w:t>
      </w:r>
      <w:r w:rsidRPr="00D5126A">
        <w:rPr>
          <w:rFonts w:ascii="Arial" w:hAnsi="Arial" w:cs="Arial"/>
          <w:i/>
          <w:iCs/>
        </w:rPr>
        <w:t>Valuation Guidance for Cultural and Heritage Assets,</w:t>
      </w:r>
      <w:r w:rsidRPr="00D5126A">
        <w:rPr>
          <w:rFonts w:ascii="Arial" w:hAnsi="Arial" w:cs="Arial"/>
        </w:rPr>
        <w:t xml:space="preserve"> published by the Treasury Accounting Team, November 2002.</w:t>
      </w:r>
    </w:p>
    <w:p w:rsidR="00FA6A77" w:rsidRPr="00D5126A" w:rsidRDefault="00FA6A77" w:rsidP="001C14D7">
      <w:pPr>
        <w:pStyle w:val="Heading5"/>
      </w:pPr>
      <w:r w:rsidRPr="00D5126A">
        <w:t>Operational Land &amp; Buildings</w:t>
      </w:r>
    </w:p>
    <w:p w:rsidR="00FA6A77" w:rsidRPr="00D5126A" w:rsidRDefault="00FA6A77" w:rsidP="00FA6A77">
      <w:pPr>
        <w:spacing w:after="160" w:line="240" w:lineRule="exact"/>
        <w:jc w:val="both"/>
        <w:rPr>
          <w:rFonts w:ascii="Arial" w:hAnsi="Arial" w:cs="Arial"/>
        </w:rPr>
      </w:pPr>
      <w:r w:rsidRPr="00D5126A">
        <w:rPr>
          <w:rFonts w:ascii="Arial" w:hAnsi="Arial" w:cs="Arial"/>
        </w:rPr>
        <w:t xml:space="preserve">Operational land and buildings are valued at fair value on a regular basis or, whenever the carrying amount differs materially to fair value, by independent registered valuers. Where the information is available, land and buildings </w:t>
      </w:r>
      <w:proofErr w:type="gramStart"/>
      <w:r w:rsidRPr="00D5126A">
        <w:rPr>
          <w:rFonts w:ascii="Arial" w:hAnsi="Arial" w:cs="Arial"/>
        </w:rPr>
        <w:t>are</w:t>
      </w:r>
      <w:proofErr w:type="gramEnd"/>
      <w:r w:rsidRPr="00D5126A">
        <w:rPr>
          <w:rFonts w:ascii="Arial" w:hAnsi="Arial" w:cs="Arial"/>
        </w:rPr>
        <w:t xml:space="preserve"> valued based on market evidence. The majority of Councils land and buildings are of a ‘non-tradeable’ or specialist nature and the value is based on the fair value of the land plus the optimised depreciated replacement cost of the buildings.</w:t>
      </w:r>
    </w:p>
    <w:p w:rsidR="00FA6A77" w:rsidRPr="00D5126A" w:rsidRDefault="00FA6A77" w:rsidP="00FA6A77">
      <w:pPr>
        <w:spacing w:after="160" w:line="240" w:lineRule="exact"/>
        <w:jc w:val="both"/>
        <w:rPr>
          <w:rFonts w:ascii="Arial" w:hAnsi="Arial" w:cs="Arial"/>
        </w:rPr>
      </w:pPr>
      <w:r w:rsidRPr="00D5126A">
        <w:rPr>
          <w:rFonts w:ascii="Arial" w:hAnsi="Arial" w:cs="Arial"/>
        </w:rPr>
        <w:t>For earthquake prone buildings that are expected to be strengthened, the estimated cost to strengthen the building has been deducted from the optimised depreciated replacement cost.</w:t>
      </w:r>
    </w:p>
    <w:p w:rsidR="00FA6A77" w:rsidRPr="00D5126A" w:rsidRDefault="00FA6A77" w:rsidP="00FA6A77">
      <w:pPr>
        <w:spacing w:after="160" w:line="240" w:lineRule="exact"/>
        <w:jc w:val="both"/>
        <w:rPr>
          <w:rFonts w:ascii="Arial" w:hAnsi="Arial" w:cs="Arial"/>
        </w:rPr>
      </w:pPr>
      <w:r w:rsidRPr="00D5126A">
        <w:rPr>
          <w:rFonts w:ascii="Arial" w:hAnsi="Arial" w:cs="Arial"/>
        </w:rPr>
        <w:t>Buildings that comprise the Social Housing portfolio have been valued on market based approach with the associated land value being established through analysis of sales and market evidence.</w:t>
      </w:r>
    </w:p>
    <w:p w:rsidR="00FA6A77" w:rsidRPr="00D5126A" w:rsidRDefault="00FA6A77" w:rsidP="001C14D7">
      <w:pPr>
        <w:pStyle w:val="Heading5"/>
      </w:pPr>
      <w:r w:rsidRPr="00D5126A">
        <w:t>Restricted assets</w:t>
      </w:r>
    </w:p>
    <w:p w:rsidR="00FA6A77" w:rsidRPr="00D5126A" w:rsidRDefault="00FA6A77" w:rsidP="00FA6A77">
      <w:pPr>
        <w:spacing w:after="160" w:line="240" w:lineRule="exact"/>
        <w:jc w:val="both"/>
        <w:rPr>
          <w:rFonts w:ascii="Arial" w:hAnsi="Arial" w:cs="Arial"/>
        </w:rPr>
      </w:pPr>
      <w:r w:rsidRPr="00D5126A">
        <w:rPr>
          <w:rFonts w:ascii="Arial" w:hAnsi="Arial" w:cs="Arial"/>
        </w:rPr>
        <w:t>Art and cultural assets (artworks, sculptures and statues) are valued at historical cost. Zoo animals are stated at estimated replacement cost. All other restricted assets (buildings, parks and reserves and the Town Belt) were valued at fair value as at 30 June 2005 by independent registered valuers. The Council has elected to use the fair value of other restricted assets at 30 June 2005 as the deemed cost of the assets. These assets are no longer revalued. Subsequent additions have been recorded at cost.</w:t>
      </w:r>
    </w:p>
    <w:p w:rsidR="00FA6A77" w:rsidRPr="00D5126A" w:rsidRDefault="00FA6A77" w:rsidP="001C14D7">
      <w:pPr>
        <w:pStyle w:val="Heading5"/>
      </w:pPr>
      <w:r w:rsidRPr="00D5126A">
        <w:lastRenderedPageBreak/>
        <w:t>Infrastructure assets</w:t>
      </w:r>
    </w:p>
    <w:p w:rsidR="00FA6A77" w:rsidRPr="00D5126A" w:rsidRDefault="00FA6A77" w:rsidP="00FA6A77">
      <w:pPr>
        <w:spacing w:after="160" w:line="240" w:lineRule="exact"/>
        <w:jc w:val="both"/>
        <w:rPr>
          <w:rFonts w:ascii="Arial" w:hAnsi="Arial" w:cs="Arial"/>
        </w:rPr>
      </w:pPr>
      <w:r w:rsidRPr="00D5126A">
        <w:rPr>
          <w:rFonts w:ascii="Arial" w:hAnsi="Arial" w:cs="Arial"/>
        </w:rPr>
        <w:t>Infrastructure assets (the roading network, water, waste and drainage reticulation networks including service concession arrangement assets (waste water treatment plants)) are valued at optimised depreciated replacement cost on a regular basis or, whenever the carrying amount differs materially to fair value, by independent registered valuers. Infrastructure valuations are based on the physical attributes of the assets, their condition and their remaining lives based on Council’s best information reflected in its assets management plans. The costs are based on current quotes from actual suppliers. As such, they include ancillary costs such as breaking through seal, traffic control and rehabilitation. Between valuations, expenditure on asset improvements is capitalised at cost.</w:t>
      </w:r>
    </w:p>
    <w:p w:rsidR="00FA6A77" w:rsidRPr="00D5126A" w:rsidRDefault="00FA6A77" w:rsidP="00FA6A77">
      <w:pPr>
        <w:spacing w:after="160" w:line="240" w:lineRule="exact"/>
        <w:jc w:val="both"/>
        <w:rPr>
          <w:rFonts w:ascii="Arial" w:hAnsi="Arial" w:cs="Arial"/>
        </w:rPr>
      </w:pPr>
      <w:r w:rsidRPr="00D5126A">
        <w:rPr>
          <w:rFonts w:ascii="Arial" w:hAnsi="Arial" w:cs="Arial"/>
        </w:rPr>
        <w:t xml:space="preserve">Infrastructure land (excluding land under roads) is valued on a regular basis or, whenever the carrying amount differs materially to fair value, by independent registered valuers </w:t>
      </w:r>
    </w:p>
    <w:p w:rsidR="00FA6A77" w:rsidRPr="00D5126A" w:rsidRDefault="00FA6A77" w:rsidP="00FA6A77">
      <w:pPr>
        <w:spacing w:after="160" w:line="240" w:lineRule="exact"/>
        <w:jc w:val="both"/>
        <w:rPr>
          <w:rFonts w:ascii="Arial" w:hAnsi="Arial" w:cs="Arial"/>
        </w:rPr>
      </w:pPr>
      <w:r w:rsidRPr="00D5126A">
        <w:rPr>
          <w:rFonts w:ascii="Arial" w:hAnsi="Arial" w:cs="Arial"/>
        </w:rPr>
        <w:t>Land under roads, which represents the corridor of land directly under and adjacent to the Council’s roading network, was valued as at 30 June 2005 at the average value of surrounding adjacent land discounted by 50% to reflect its restricted nature. The Council elected to use the fair value of land under roads at 30 June 2005 as the deemed cost of the asset. Land under roads is no longer revalued. Subsequent additions have been recorded at cost.</w:t>
      </w:r>
    </w:p>
    <w:p w:rsidR="00FA6A77" w:rsidRPr="00D5126A" w:rsidRDefault="00FA6A77" w:rsidP="00FA6A77">
      <w:pPr>
        <w:spacing w:after="160" w:line="240" w:lineRule="exact"/>
        <w:jc w:val="both"/>
        <w:rPr>
          <w:rFonts w:ascii="Arial" w:hAnsi="Arial" w:cs="Arial"/>
        </w:rPr>
      </w:pPr>
      <w:r w:rsidRPr="00D5126A">
        <w:rPr>
          <w:rFonts w:ascii="Arial" w:hAnsi="Arial" w:cs="Arial"/>
        </w:rPr>
        <w:t>The carrying values of revalued property, plant and equipment are reviewed at the end of each reporting period to ensure that those values are not materially different to fair value.</w:t>
      </w:r>
    </w:p>
    <w:p w:rsidR="00FA6A77" w:rsidRPr="00D5126A" w:rsidRDefault="00FA6A77" w:rsidP="001C14D7">
      <w:pPr>
        <w:pStyle w:val="Heading5"/>
      </w:pPr>
      <w:r w:rsidRPr="00D5126A">
        <w:t>Other Assets</w:t>
      </w:r>
    </w:p>
    <w:p w:rsidR="00FA6A77" w:rsidRPr="00D5126A" w:rsidRDefault="00FA6A77" w:rsidP="00FA6A77">
      <w:pPr>
        <w:spacing w:after="160" w:line="240" w:lineRule="exact"/>
        <w:jc w:val="both"/>
        <w:rPr>
          <w:rFonts w:ascii="Arial" w:hAnsi="Arial" w:cs="Arial"/>
        </w:rPr>
      </w:pPr>
      <w:r w:rsidRPr="00D5126A">
        <w:rPr>
          <w:rFonts w:ascii="Arial" w:hAnsi="Arial" w:cs="Arial"/>
        </w:rPr>
        <w:t>Plan</w:t>
      </w:r>
      <w:r w:rsidR="00095009">
        <w:rPr>
          <w:rFonts w:ascii="Arial" w:hAnsi="Arial" w:cs="Arial"/>
        </w:rPr>
        <w:t>,</w:t>
      </w:r>
      <w:r w:rsidRPr="00D5126A">
        <w:rPr>
          <w:rFonts w:ascii="Arial" w:hAnsi="Arial" w:cs="Arial"/>
        </w:rPr>
        <w:t xml:space="preserve"> equipment and the Civic Precinct are measured at historical cost and </w:t>
      </w:r>
      <w:r w:rsidR="00095009">
        <w:rPr>
          <w:rFonts w:ascii="Arial" w:hAnsi="Arial" w:cs="Arial"/>
        </w:rPr>
        <w:t xml:space="preserve">are </w:t>
      </w:r>
      <w:r w:rsidRPr="00D5126A">
        <w:rPr>
          <w:rFonts w:ascii="Arial" w:hAnsi="Arial" w:cs="Arial"/>
        </w:rPr>
        <w:t>not revalued.</w:t>
      </w:r>
    </w:p>
    <w:p w:rsidR="00FA6A77" w:rsidRPr="00D5126A" w:rsidRDefault="00FA6A77" w:rsidP="001C14D7">
      <w:pPr>
        <w:pStyle w:val="Heading5"/>
      </w:pPr>
      <w:r w:rsidRPr="00D5126A">
        <w:t>Impairment</w:t>
      </w:r>
    </w:p>
    <w:p w:rsidR="00FA6A77" w:rsidRPr="00D5126A" w:rsidRDefault="00FA6A77" w:rsidP="00FA6A77">
      <w:pPr>
        <w:spacing w:after="160" w:line="240" w:lineRule="exact"/>
        <w:jc w:val="both"/>
        <w:rPr>
          <w:rFonts w:ascii="Arial" w:hAnsi="Arial" w:cs="Arial"/>
          <w:b/>
          <w:bCs/>
        </w:rPr>
      </w:pPr>
      <w:r w:rsidRPr="00D5126A">
        <w:rPr>
          <w:rFonts w:ascii="Arial" w:hAnsi="Arial" w:cs="Arial"/>
        </w:rPr>
        <w:t>The Council’s assets are defined as cash generating if the primary purpose of the asset is to provide a commercial return. Non-cash generating assets are assets other than cash generating assets. Property, plant and equipment assets, measured at fair value, are not required to be reviewed and tested for impairment.</w:t>
      </w:r>
    </w:p>
    <w:p w:rsidR="00FA6A77" w:rsidRPr="00D5126A" w:rsidRDefault="00FA6A77" w:rsidP="00FA6A77">
      <w:pPr>
        <w:spacing w:after="160" w:line="240" w:lineRule="exact"/>
        <w:jc w:val="both"/>
        <w:rPr>
          <w:rFonts w:ascii="Arial" w:hAnsi="Arial" w:cs="Arial"/>
        </w:rPr>
      </w:pPr>
      <w:r w:rsidRPr="00D5126A">
        <w:rPr>
          <w:rFonts w:ascii="Arial" w:hAnsi="Arial" w:cs="Arial"/>
        </w:rPr>
        <w:t xml:space="preserve">The carrying amounts of cash generating property, plant and equipment assets are reviewed at least annually to determine if there is any indication of impairment. Where an asset’s, or class of assets’, recoverable amount is less than its carrying amount it will be reported at its recoverable amount and an impairment loss will be recognised. The recoverable amount is the higher of an item’s fair value less costs to sell and value in use. Losses resulting from impairment are reported within surplus or deficit, unless the asset is carried at a revalued amount in which case any impairment loss is treated as a revaluation decrease and recorded within other comprehensive revenue and expense. </w:t>
      </w:r>
    </w:p>
    <w:p w:rsidR="00FA6A77" w:rsidRPr="00D5126A" w:rsidRDefault="00FA6A77" w:rsidP="00FA6A77">
      <w:pPr>
        <w:spacing w:after="160" w:line="240" w:lineRule="exact"/>
        <w:jc w:val="both"/>
        <w:rPr>
          <w:rFonts w:ascii="Arial" w:hAnsi="Arial" w:cs="Arial"/>
        </w:rPr>
      </w:pPr>
      <w:r w:rsidRPr="00D5126A">
        <w:rPr>
          <w:rFonts w:ascii="Arial" w:hAnsi="Arial" w:cs="Arial"/>
        </w:rPr>
        <w:t xml:space="preserve">The carrying amounts of non-cash generating property, plant and equipment assets are reviewed at least annually to determine if there is any indication of impairment. Where an asset’s, or class of assets’, recoverable service amount is less than its carrying amount it will be reported at its recoverable service amount and an impairment loss will be recognised. The recoverable service amount is the higher of an item’s fair value less costs to sell and value in use. </w:t>
      </w:r>
      <w:proofErr w:type="gramStart"/>
      <w:r w:rsidRPr="00D5126A">
        <w:rPr>
          <w:rFonts w:ascii="Arial" w:hAnsi="Arial" w:cs="Arial"/>
        </w:rPr>
        <w:t>A non-cash</w:t>
      </w:r>
      <w:proofErr w:type="gramEnd"/>
      <w:r w:rsidRPr="00D5126A">
        <w:rPr>
          <w:rFonts w:ascii="Arial" w:hAnsi="Arial" w:cs="Arial"/>
        </w:rPr>
        <w:t xml:space="preserve"> generating asset’s value in use is the present value of the asset’s remaining service potential. Losses resulting from impairment are reported within surplus or deficit, unless the asset is carried at a revalued amount in which case any impairment loss is treated as a revaluation decrease and recorded within other comprehensive revenue and expense. </w:t>
      </w:r>
    </w:p>
    <w:p w:rsidR="00FA6A77" w:rsidRPr="00D5126A" w:rsidRDefault="00FA6A77" w:rsidP="001C14D7">
      <w:pPr>
        <w:pStyle w:val="Heading5"/>
      </w:pPr>
      <w:r w:rsidRPr="00D5126A">
        <w:t>Disposal</w:t>
      </w:r>
    </w:p>
    <w:p w:rsidR="00FA6A77" w:rsidRPr="00D5126A" w:rsidRDefault="00FA6A77" w:rsidP="00FA6A77">
      <w:pPr>
        <w:spacing w:after="160" w:line="240" w:lineRule="exact"/>
        <w:jc w:val="both"/>
        <w:rPr>
          <w:rFonts w:ascii="Arial" w:hAnsi="Arial" w:cs="Arial"/>
        </w:rPr>
      </w:pPr>
      <w:r w:rsidRPr="00D5126A">
        <w:rPr>
          <w:rFonts w:ascii="Arial" w:hAnsi="Arial" w:cs="Arial"/>
        </w:rPr>
        <w:t>Gains and losses arising from the disposal of property, plant and equipment are recognised within surplus or deficit in the period in which the transaction occurs. Any balance attributable to the disposed asset in the asset revaluation reserve is transferred to retained earnings.</w:t>
      </w:r>
    </w:p>
    <w:p w:rsidR="00FA6A77" w:rsidRPr="00D5126A" w:rsidRDefault="00FA6A77" w:rsidP="001C14D7">
      <w:pPr>
        <w:pStyle w:val="Heading5"/>
      </w:pPr>
      <w:r w:rsidRPr="00D5126A">
        <w:t>Work in progress</w:t>
      </w:r>
    </w:p>
    <w:p w:rsidR="00FA6A77" w:rsidRPr="00D5126A" w:rsidRDefault="00FA6A77" w:rsidP="00FA6A77">
      <w:pPr>
        <w:pStyle w:val="Body"/>
        <w:jc w:val="both"/>
        <w:rPr>
          <w:rFonts w:ascii="Arial" w:hAnsi="Arial" w:cs="Arial"/>
        </w:rPr>
      </w:pPr>
      <w:r w:rsidRPr="00D5126A">
        <w:t xml:space="preserve">Work in progress represents the cost of capital expenditure projects that are not financially complete. </w:t>
      </w:r>
      <w:r w:rsidRPr="00D5126A">
        <w:rPr>
          <w:rFonts w:ascii="Arial" w:hAnsi="Arial" w:cs="Arial"/>
        </w:rPr>
        <w:t>The cost of projects within work in progress is transferred to the relevant asset class when the project is completed and is then subject to depreciation.</w:t>
      </w:r>
    </w:p>
    <w:p w:rsidR="00B654D5" w:rsidRDefault="00FA6A77" w:rsidP="00FA6A77">
      <w:pPr>
        <w:rPr>
          <w:noProof/>
          <w:lang w:eastAsia="en-NZ"/>
        </w:rPr>
      </w:pPr>
      <w:r w:rsidRPr="00D5126A">
        <w:lastRenderedPageBreak/>
        <w:t>The movements according to the individual classes of assets are as follows</w:t>
      </w:r>
      <w:r w:rsidR="0086168B">
        <w:t xml:space="preserve"> on the next page in Table 28</w:t>
      </w:r>
      <w:r w:rsidR="00FD7685">
        <w:t>b</w:t>
      </w:r>
      <w:r w:rsidR="0086168B">
        <w:t>.</w:t>
      </w:r>
      <w:r w:rsidR="0086168B" w:rsidRPr="0086168B">
        <w:rPr>
          <w:noProof/>
          <w:lang w:eastAsia="en-NZ"/>
        </w:rPr>
        <w:t xml:space="preserve"> </w:t>
      </w:r>
    </w:p>
    <w:p w:rsidR="00B654D5" w:rsidRDefault="00B654D5" w:rsidP="00B654D5">
      <w:pPr>
        <w:pStyle w:val="Caption"/>
      </w:pPr>
      <w:r>
        <w:t>Section 5 - Table 28b: Property, plant and equipment by class of asset</w:t>
      </w:r>
    </w:p>
    <w:p w:rsidR="00FA6A77" w:rsidRPr="00D5126A" w:rsidRDefault="00B654D5" w:rsidP="00FA6A77">
      <w:r w:rsidRPr="00D5126A">
        <w:rPr>
          <w:noProof/>
          <w:lang w:eastAsia="en-NZ"/>
        </w:rPr>
        <w:drawing>
          <wp:inline distT="0" distB="0" distL="0" distR="0" wp14:anchorId="2E39DD5F" wp14:editId="7CEE638B">
            <wp:extent cx="5433237" cy="436957"/>
            <wp:effectExtent l="0" t="0" r="0" b="1270"/>
            <wp:docPr id="1432" name="Picture 1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439892" cy="437492"/>
                    </a:xfrm>
                    <a:prstGeom prst="rect">
                      <a:avLst/>
                    </a:prstGeom>
                    <a:noFill/>
                    <a:ln>
                      <a:noFill/>
                    </a:ln>
                  </pic:spPr>
                </pic:pic>
              </a:graphicData>
            </a:graphic>
          </wp:inline>
        </w:drawing>
      </w:r>
      <w:r w:rsidRPr="00D5126A">
        <w:rPr>
          <w:noProof/>
          <w:lang w:eastAsia="en-NZ"/>
        </w:rPr>
        <w:drawing>
          <wp:inline distT="0" distB="0" distL="0" distR="0" wp14:anchorId="606DCA20" wp14:editId="6EF0066A">
            <wp:extent cx="5433365" cy="6900530"/>
            <wp:effectExtent l="0" t="0" r="0" b="0"/>
            <wp:docPr id="1431" name="Picture 1431" descr="Section 5 - Table 28b: Property, plant and equipment by class of asset" title="Section 5 - Table 28b: Property, plant and equipment by class of as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448322" cy="6919525"/>
                    </a:xfrm>
                    <a:prstGeom prst="rect">
                      <a:avLst/>
                    </a:prstGeom>
                    <a:noFill/>
                    <a:ln>
                      <a:noFill/>
                    </a:ln>
                  </pic:spPr>
                </pic:pic>
              </a:graphicData>
            </a:graphic>
          </wp:inline>
        </w:drawing>
      </w:r>
    </w:p>
    <w:p w:rsidR="00B654D5" w:rsidRDefault="00B654D5" w:rsidP="0086168B">
      <w:pPr>
        <w:spacing w:after="0" w:line="240" w:lineRule="auto"/>
        <w:rPr>
          <w:sz w:val="20"/>
          <w:szCs w:val="20"/>
        </w:rPr>
      </w:pPr>
    </w:p>
    <w:p w:rsidR="00B654D5" w:rsidRDefault="00B654D5" w:rsidP="0086168B">
      <w:pPr>
        <w:spacing w:after="0" w:line="240" w:lineRule="auto"/>
        <w:rPr>
          <w:sz w:val="20"/>
          <w:szCs w:val="20"/>
        </w:rPr>
      </w:pPr>
    </w:p>
    <w:p w:rsidR="00FA6A77" w:rsidRPr="00D5126A" w:rsidRDefault="0085686E" w:rsidP="00FA6A77">
      <w:r w:rsidRPr="00D5126A">
        <w:rPr>
          <w:noProof/>
          <w:lang w:eastAsia="en-NZ"/>
        </w:rPr>
        <w:lastRenderedPageBreak/>
        <w:drawing>
          <wp:inline distT="0" distB="0" distL="0" distR="0" wp14:anchorId="2459D159" wp14:editId="24C10F63">
            <wp:extent cx="6202045" cy="497205"/>
            <wp:effectExtent l="0" t="0" r="8255" b="0"/>
            <wp:docPr id="1430" name="Picture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6202045" cy="497205"/>
                    </a:xfrm>
                    <a:prstGeom prst="rect">
                      <a:avLst/>
                    </a:prstGeom>
                    <a:noFill/>
                    <a:ln>
                      <a:noFill/>
                    </a:ln>
                  </pic:spPr>
                </pic:pic>
              </a:graphicData>
            </a:graphic>
          </wp:inline>
        </w:drawing>
      </w:r>
      <w:r w:rsidR="00095009">
        <w:fldChar w:fldCharType="begin"/>
      </w:r>
      <w:r w:rsidR="00095009">
        <w:instrText xml:space="preserve"> LINK Excel.Sheet.12 "\\\\wcc\\dfs\\groups\\fingroups\\Account\\Brendan\\Annual Reports\\Annual Report 2018-2019\\Financial Statements\\Draft PBE Financial Statements  - 2018-19.xlsx!Note 18A - PP&amp;E!R60C1:R113C5" "" \a \p </w:instrText>
      </w:r>
      <w:r w:rsidR="00095009">
        <w:fldChar w:fldCharType="separate"/>
      </w:r>
      <w:r w:rsidR="00095009">
        <w:rPr>
          <w:noProof/>
          <w:lang w:eastAsia="en-NZ"/>
        </w:rPr>
        <w:drawing>
          <wp:inline distT="0" distB="0" distL="0" distR="0" wp14:anchorId="2483DC2B" wp14:editId="71A2124B">
            <wp:extent cx="6181725" cy="7505700"/>
            <wp:effectExtent l="0" t="0" r="9525" b="0"/>
            <wp:docPr id="1" name="Picture 1" title="Section 5 - Table 28b: Property, plant and equipment by class of as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6181725" cy="7505700"/>
                    </a:xfrm>
                    <a:prstGeom prst="rect">
                      <a:avLst/>
                    </a:prstGeom>
                    <a:noFill/>
                    <a:ln>
                      <a:noFill/>
                    </a:ln>
                  </pic:spPr>
                </pic:pic>
              </a:graphicData>
            </a:graphic>
          </wp:inline>
        </w:drawing>
      </w:r>
      <w:r w:rsidR="00095009">
        <w:fldChar w:fldCharType="end"/>
      </w:r>
    </w:p>
    <w:p w:rsidR="00FA6A77" w:rsidRPr="00D5126A" w:rsidRDefault="00FA6A77" w:rsidP="00FA6A77">
      <w:r w:rsidRPr="00D5126A">
        <w:t>Disposals and transfers are reported net of accumulated depreciation</w:t>
      </w:r>
    </w:p>
    <w:p w:rsidR="00FA6A77" w:rsidRPr="00D5126A" w:rsidRDefault="00FA6A77" w:rsidP="00FA6A77">
      <w:r w:rsidRPr="00D5126A">
        <w:rPr>
          <w:noProof/>
          <w:lang w:eastAsia="en-NZ"/>
        </w:rPr>
        <w:lastRenderedPageBreak/>
        <w:drawing>
          <wp:inline distT="0" distB="0" distL="0" distR="0" wp14:anchorId="2B58B07D" wp14:editId="04776901">
            <wp:extent cx="6152515" cy="497205"/>
            <wp:effectExtent l="0" t="0" r="635" b="0"/>
            <wp:docPr id="1428" name="Picture 1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6152515" cy="497205"/>
                    </a:xfrm>
                    <a:prstGeom prst="rect">
                      <a:avLst/>
                    </a:prstGeom>
                    <a:noFill/>
                    <a:ln>
                      <a:noFill/>
                    </a:ln>
                  </pic:spPr>
                </pic:pic>
              </a:graphicData>
            </a:graphic>
          </wp:inline>
        </w:drawing>
      </w:r>
      <w:r w:rsidRPr="00D5126A">
        <w:rPr>
          <w:noProof/>
          <w:lang w:eastAsia="en-NZ"/>
        </w:rPr>
        <w:drawing>
          <wp:inline distT="0" distB="0" distL="0" distR="0" wp14:anchorId="74040AAD" wp14:editId="5A1A7B58">
            <wp:extent cx="6075556" cy="7783032"/>
            <wp:effectExtent l="0" t="0" r="1905" b="8890"/>
            <wp:docPr id="1427" name="Picture 1427" title="Section 5 - Table 28b: Property, plant and equipment by class of as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6071869" cy="7778309"/>
                    </a:xfrm>
                    <a:prstGeom prst="rect">
                      <a:avLst/>
                    </a:prstGeom>
                    <a:noFill/>
                    <a:ln>
                      <a:noFill/>
                    </a:ln>
                  </pic:spPr>
                </pic:pic>
              </a:graphicData>
            </a:graphic>
          </wp:inline>
        </w:drawing>
      </w:r>
      <w:r w:rsidRPr="00D5126A">
        <w:t xml:space="preserve"> Disposals and transfers are reported net of accumulated depreciation</w:t>
      </w:r>
    </w:p>
    <w:p w:rsidR="00963A74" w:rsidRDefault="00FA6A77" w:rsidP="00963A74">
      <w:pPr>
        <w:spacing w:after="0"/>
      </w:pPr>
      <w:r w:rsidRPr="00D5126A">
        <w:rPr>
          <w:noProof/>
          <w:lang w:eastAsia="en-NZ"/>
        </w:rPr>
        <w:lastRenderedPageBreak/>
        <w:drawing>
          <wp:inline distT="0" distB="0" distL="0" distR="0" wp14:anchorId="44FAB968" wp14:editId="61A7ADD6">
            <wp:extent cx="5773479" cy="456262"/>
            <wp:effectExtent l="0" t="0" r="0" b="1270"/>
            <wp:docPr id="1426" name="Picture 1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779960" cy="456774"/>
                    </a:xfrm>
                    <a:prstGeom prst="rect">
                      <a:avLst/>
                    </a:prstGeom>
                    <a:noFill/>
                    <a:ln>
                      <a:noFill/>
                    </a:ln>
                  </pic:spPr>
                </pic:pic>
              </a:graphicData>
            </a:graphic>
          </wp:inline>
        </w:drawing>
      </w:r>
      <w:r w:rsidRPr="00D5126A">
        <w:rPr>
          <w:noProof/>
          <w:lang w:eastAsia="en-NZ"/>
        </w:rPr>
        <w:drawing>
          <wp:inline distT="0" distB="0" distL="0" distR="0" wp14:anchorId="78C4C986" wp14:editId="30741144">
            <wp:extent cx="5775809" cy="6879265"/>
            <wp:effectExtent l="0" t="0" r="0" b="0"/>
            <wp:docPr id="1425" name="Picture 1425" title="Section 5 - Table 28b: Property, plant and equipment by class of as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777691" cy="6881507"/>
                    </a:xfrm>
                    <a:prstGeom prst="rect">
                      <a:avLst/>
                    </a:prstGeom>
                    <a:noFill/>
                    <a:ln>
                      <a:noFill/>
                    </a:ln>
                  </pic:spPr>
                </pic:pic>
              </a:graphicData>
            </a:graphic>
          </wp:inline>
        </w:drawing>
      </w:r>
      <w:r w:rsidR="00963A74">
        <w:rPr>
          <w:rStyle w:val="FootnoteReference"/>
        </w:rPr>
        <w:footnoteReference w:id="1"/>
      </w:r>
    </w:p>
    <w:p w:rsidR="00FA6A77" w:rsidRPr="00D5126A" w:rsidRDefault="009064D3" w:rsidP="00963A74">
      <w:pPr>
        <w:spacing w:after="0"/>
      </w:pPr>
      <w:r w:rsidRPr="00D5126A">
        <w:rPr>
          <w:noProof/>
          <w:lang w:eastAsia="en-NZ"/>
        </w:rPr>
        <w:drawing>
          <wp:inline distT="0" distB="0" distL="0" distR="0" wp14:anchorId="6FC733A5" wp14:editId="481527E5">
            <wp:extent cx="5773479" cy="680405"/>
            <wp:effectExtent l="0" t="0" r="0" b="5715"/>
            <wp:docPr id="1423" name="Picture 1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799932" cy="683522"/>
                    </a:xfrm>
                    <a:prstGeom prst="rect">
                      <a:avLst/>
                    </a:prstGeom>
                    <a:noFill/>
                    <a:ln>
                      <a:noFill/>
                    </a:ln>
                  </pic:spPr>
                </pic:pic>
              </a:graphicData>
            </a:graphic>
          </wp:inline>
        </w:drawing>
      </w:r>
      <w:r w:rsidR="00FA6A77" w:rsidRPr="00D5126A">
        <w:t>Disposals and transfers are reported net of accumulated depreciation</w:t>
      </w:r>
    </w:p>
    <w:p w:rsidR="00FA6A77" w:rsidRPr="00D5126A" w:rsidRDefault="00FA6A77" w:rsidP="00972DE7">
      <w:pPr>
        <w:pStyle w:val="Heading4"/>
      </w:pPr>
      <w:r w:rsidRPr="00D5126A">
        <w:lastRenderedPageBreak/>
        <w:t>Revaluation of property, plant and equipment</w:t>
      </w:r>
    </w:p>
    <w:p w:rsidR="00FA6A77" w:rsidRPr="00D5126A" w:rsidRDefault="00FA6A77" w:rsidP="00FA6A77">
      <w:pPr>
        <w:jc w:val="both"/>
        <w:rPr>
          <w:rFonts w:ascii="Arial" w:hAnsi="Arial" w:cs="Arial"/>
        </w:rPr>
      </w:pPr>
      <w:r w:rsidRPr="00D5126A">
        <w:rPr>
          <w:rFonts w:ascii="Arial" w:hAnsi="Arial" w:cs="Arial"/>
        </w:rPr>
        <w:t>The Council’s operational land and buildings were valued as at 30 June 2018, and infrastructural land as at 30 June 2017 by William Bunt (FNZIV, FPINZI), registered valuer and Director of Valuation Services for CBRE Limited.</w:t>
      </w:r>
    </w:p>
    <w:p w:rsidR="00FA6A77" w:rsidRPr="00D5126A" w:rsidRDefault="00FA6A77" w:rsidP="00FA6A77">
      <w:pPr>
        <w:jc w:val="both"/>
        <w:rPr>
          <w:rFonts w:ascii="Arial" w:hAnsi="Arial" w:cs="Arial"/>
        </w:rPr>
      </w:pPr>
      <w:r w:rsidRPr="00D5126A">
        <w:rPr>
          <w:rFonts w:ascii="Arial" w:hAnsi="Arial" w:cs="Arial"/>
        </w:rPr>
        <w:t xml:space="preserve">Library collections were valued as at 30 June 2017 by the Council’s library staff.  The revaluation was carried out in accordance with guidelines outlined in Valuation Guidance for Cultural and Heritage Assets published by the Treasury Accounting Team, November 2002.  </w:t>
      </w:r>
    </w:p>
    <w:p w:rsidR="00FA6A77" w:rsidRPr="00D5126A" w:rsidRDefault="00FA6A77" w:rsidP="00FA6A77">
      <w:pPr>
        <w:jc w:val="both"/>
        <w:rPr>
          <w:rFonts w:ascii="Arial" w:hAnsi="Arial" w:cs="Arial"/>
        </w:rPr>
      </w:pPr>
      <w:r w:rsidRPr="00D5126A">
        <w:rPr>
          <w:rFonts w:ascii="Arial" w:hAnsi="Arial" w:cs="Arial"/>
        </w:rPr>
        <w:t xml:space="preserve">The drainage, waste and water infrastructure and roading networks and the service concession assets were valued as at 30 June 2017 by John Vessey (MIPENZ), Partner of Opus International Consultants Limited. </w:t>
      </w:r>
    </w:p>
    <w:p w:rsidR="00FA6A77" w:rsidRPr="00D5126A" w:rsidRDefault="00FA6A77" w:rsidP="00FA6A77">
      <w:pPr>
        <w:autoSpaceDE w:val="0"/>
        <w:autoSpaceDN w:val="0"/>
        <w:adjustRightInd w:val="0"/>
        <w:jc w:val="both"/>
        <w:rPr>
          <w:rFonts w:ascii="Arial" w:hAnsi="Arial" w:cs="Arial"/>
        </w:rPr>
      </w:pPr>
      <w:r w:rsidRPr="00D5126A">
        <w:rPr>
          <w:rFonts w:ascii="Arial" w:hAnsi="Arial" w:cs="Arial"/>
        </w:rPr>
        <w:t>Assets are valued at regular intervals by independent registered valuers or whenever the carrying amount differs materially to fair value. In the years which an asset class is not revalued, the Group assesses whether there has been any material change in the value of that asset class. The movement in asset values between 30 June 2017 and 30 June 2019 for infrastructural network and infrastructural land assets were assessed using appropriate indices. The increase in asset value of 2.2% of Total Assets was not considered material by management and accordingly the assets were not revalued at 30 June 2019.</w:t>
      </w:r>
    </w:p>
    <w:p w:rsidR="00FA6A77" w:rsidRPr="00D5126A" w:rsidRDefault="00FA6A77" w:rsidP="00FA6A77">
      <w:pPr>
        <w:jc w:val="both"/>
        <w:rPr>
          <w:rFonts w:ascii="Arial" w:hAnsi="Arial" w:cs="Arial"/>
          <w:sz w:val="20"/>
          <w:szCs w:val="20"/>
          <w:lang w:eastAsia="en-GB"/>
        </w:rPr>
      </w:pPr>
      <w:r w:rsidRPr="00D5126A">
        <w:rPr>
          <w:rFonts w:ascii="Arial" w:hAnsi="Arial" w:cs="Arial"/>
        </w:rPr>
        <w:t>Further information on revaluation reserves and movements is contained in Note 27: Revaluation reserves</w:t>
      </w:r>
      <w:r w:rsidR="00095009">
        <w:rPr>
          <w:rFonts w:ascii="Arial" w:hAnsi="Arial" w:cs="Arial"/>
        </w:rPr>
        <w:t xml:space="preserve"> </w:t>
      </w:r>
      <w:r w:rsidR="00095009" w:rsidRPr="00213CD7">
        <w:rPr>
          <w:rFonts w:ascii="Arial" w:hAnsi="Arial" w:cs="Arial"/>
        </w:rPr>
        <w:t xml:space="preserve">on page </w:t>
      </w:r>
      <w:r w:rsidR="00213CD7" w:rsidRPr="00213CD7">
        <w:rPr>
          <w:rFonts w:ascii="Arial" w:hAnsi="Arial" w:cs="Arial"/>
        </w:rPr>
        <w:t>282</w:t>
      </w:r>
      <w:r w:rsidRPr="00213CD7">
        <w:rPr>
          <w:rFonts w:ascii="Arial" w:hAnsi="Arial" w:cs="Arial"/>
          <w:sz w:val="20"/>
          <w:szCs w:val="20"/>
          <w:lang w:eastAsia="en-GB"/>
        </w:rPr>
        <w:t>.</w:t>
      </w:r>
    </w:p>
    <w:p w:rsidR="00FA6A77" w:rsidRPr="00D5126A" w:rsidRDefault="00FA6A77" w:rsidP="00972DE7">
      <w:pPr>
        <w:pStyle w:val="Heading4"/>
        <w:rPr>
          <w:rFonts w:asciiTheme="majorHAnsi" w:hAnsiTheme="majorHAnsi" w:cs="Times New Roman"/>
          <w:sz w:val="24"/>
          <w:szCs w:val="26"/>
        </w:rPr>
      </w:pPr>
      <w:r w:rsidRPr="00D5126A">
        <w:t>Significant acquisitions and replacements of assets</w:t>
      </w:r>
    </w:p>
    <w:p w:rsidR="00FA6A77" w:rsidRPr="00D5126A" w:rsidRDefault="00FA6A77" w:rsidP="00FA6A77">
      <w:pPr>
        <w:jc w:val="both"/>
        <w:rPr>
          <w:rFonts w:ascii="Arial" w:hAnsi="Arial" w:cs="Arial"/>
        </w:rPr>
      </w:pPr>
      <w:r w:rsidRPr="00D5126A">
        <w:rPr>
          <w:rFonts w:ascii="Arial" w:hAnsi="Arial" w:cs="Arial"/>
        </w:rPr>
        <w:t>In accordance with the provisions of Schedule 10 of the Local Government Act 2002, information in respect of significant acquisitions and replacements of assets is reported within the Statements of Service Provision.</w:t>
      </w:r>
    </w:p>
    <w:p w:rsidR="00C355B4" w:rsidRDefault="00C355B4">
      <w:pPr>
        <w:rPr>
          <w:rFonts w:ascii="Arial" w:eastAsiaTheme="majorEastAsia" w:hAnsi="Arial" w:cs="Arial"/>
          <w:b/>
          <w:bCs/>
          <w:i/>
          <w:iCs/>
          <w:color w:val="4F81BD" w:themeColor="accent1"/>
          <w:sz w:val="28"/>
        </w:rPr>
      </w:pPr>
      <w:r>
        <w:br w:type="page"/>
      </w:r>
    </w:p>
    <w:p w:rsidR="00FA6A77" w:rsidRPr="00D5126A" w:rsidRDefault="00FA6A77" w:rsidP="00972DE7">
      <w:pPr>
        <w:pStyle w:val="Heading4"/>
        <w:rPr>
          <w:rFonts w:asciiTheme="majorHAnsi" w:hAnsiTheme="majorHAnsi" w:cs="Times New Roman"/>
        </w:rPr>
      </w:pPr>
      <w:r w:rsidRPr="00D5126A">
        <w:lastRenderedPageBreak/>
        <w:t>Core Assets</w:t>
      </w:r>
    </w:p>
    <w:p w:rsidR="00FA6A77" w:rsidRPr="00D5126A" w:rsidRDefault="00FA6A77" w:rsidP="00FA6A77">
      <w:pPr>
        <w:rPr>
          <w:rFonts w:ascii="Arial" w:hAnsi="Arial" w:cs="Arial"/>
        </w:rPr>
      </w:pPr>
      <w:r w:rsidRPr="00D5126A">
        <w:rPr>
          <w:rFonts w:ascii="Arial" w:hAnsi="Arial" w:cs="Arial"/>
        </w:rPr>
        <w:t>Included within the infrastructure assets above are the following core Council assets:</w:t>
      </w:r>
    </w:p>
    <w:p w:rsidR="00B654D5" w:rsidRDefault="00B654D5" w:rsidP="00B654D5">
      <w:pPr>
        <w:pStyle w:val="Caption"/>
      </w:pPr>
      <w:r>
        <w:t xml:space="preserve">Section 5 - Table </w:t>
      </w:r>
      <w:fldSimple w:instr=" SEQ Section_5_-_Table \* ARABIC ">
        <w:r w:rsidR="005908C4">
          <w:rPr>
            <w:noProof/>
          </w:rPr>
          <w:t>29</w:t>
        </w:r>
      </w:fldSimple>
      <w:r>
        <w:t>: Core assets</w:t>
      </w:r>
    </w:p>
    <w:p w:rsidR="00FA6A77" w:rsidRPr="00D5126A" w:rsidRDefault="00FA6A77" w:rsidP="00C355B4">
      <w:pPr>
        <w:ind w:left="-284"/>
        <w:rPr>
          <w:b/>
          <w:bCs/>
        </w:rPr>
      </w:pPr>
      <w:r w:rsidRPr="00D5126A">
        <w:rPr>
          <w:b/>
          <w:bCs/>
          <w:noProof/>
          <w:lang w:eastAsia="en-NZ"/>
        </w:rPr>
        <w:drawing>
          <wp:inline distT="0" distB="0" distL="0" distR="0" wp14:anchorId="6EA845B2" wp14:editId="48869EC5">
            <wp:extent cx="6202045" cy="6729095"/>
            <wp:effectExtent l="0" t="0" r="8255" b="0"/>
            <wp:docPr id="1422" name="Picture 1422" title="Section 5 - Table 29: Core ass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6202045" cy="6729095"/>
                    </a:xfrm>
                    <a:prstGeom prst="rect">
                      <a:avLst/>
                    </a:prstGeom>
                    <a:noFill/>
                    <a:ln>
                      <a:noFill/>
                    </a:ln>
                  </pic:spPr>
                </pic:pic>
              </a:graphicData>
            </a:graphic>
          </wp:inline>
        </w:drawing>
      </w:r>
    </w:p>
    <w:p w:rsidR="00FA6A77" w:rsidRPr="00D5126A" w:rsidRDefault="00FA6A77" w:rsidP="00FA6A77">
      <w:pPr>
        <w:tabs>
          <w:tab w:val="right" w:pos="4503"/>
          <w:tab w:val="left" w:pos="5637"/>
          <w:tab w:val="left" w:pos="6771"/>
          <w:tab w:val="left" w:pos="7905"/>
          <w:tab w:val="left" w:pos="9039"/>
          <w:tab w:val="left" w:pos="10173"/>
        </w:tabs>
        <w:ind w:right="-250"/>
        <w:rPr>
          <w:rFonts w:ascii="Arial" w:hAnsi="Arial" w:cs="Arial"/>
        </w:rPr>
      </w:pPr>
      <w:r w:rsidRPr="00D5126A">
        <w:rPr>
          <w:rFonts w:ascii="Arial" w:hAnsi="Arial" w:cs="Arial"/>
        </w:rPr>
        <w:t>Drainage, waste, water and roads assets were revalued for the year ending 30 June 2017 by Opus International Limited as part of the normal revaluation cycle.</w:t>
      </w:r>
    </w:p>
    <w:p w:rsidR="00FA6A77" w:rsidRPr="00D5126A" w:rsidRDefault="00FA6A77" w:rsidP="00972DE7">
      <w:pPr>
        <w:pStyle w:val="Heading4"/>
        <w:rPr>
          <w:rFonts w:asciiTheme="majorHAnsi" w:hAnsiTheme="majorHAnsi" w:cs="Times New Roman"/>
        </w:rPr>
      </w:pPr>
      <w:r w:rsidRPr="00D5126A">
        <w:t>Service concession arrangements</w:t>
      </w:r>
    </w:p>
    <w:p w:rsidR="00FA6A77" w:rsidRPr="00D5126A" w:rsidRDefault="00FA6A77" w:rsidP="00FA6A77">
      <w:pPr>
        <w:spacing w:after="160"/>
        <w:jc w:val="both"/>
        <w:rPr>
          <w:rFonts w:ascii="Arial" w:hAnsi="Arial" w:cs="Arial"/>
        </w:rPr>
      </w:pPr>
      <w:r w:rsidRPr="00D5126A">
        <w:rPr>
          <w:rFonts w:ascii="Arial" w:hAnsi="Arial" w:cs="Arial"/>
        </w:rPr>
        <w:t xml:space="preserve">The service concession arrangement assets consists of the Moa Point, Western (Karori) and Carey’s Gulley waste water treatment plants which are owned by the Council but operated by Veolia Water </w:t>
      </w:r>
      <w:r w:rsidRPr="00D5126A">
        <w:rPr>
          <w:rFonts w:ascii="Arial" w:hAnsi="Arial" w:cs="Arial"/>
        </w:rPr>
        <w:lastRenderedPageBreak/>
        <w:t xml:space="preserve">under agreement. These assets are included in the infrastructure assets class and are valued consistently with other waste infrastructure network assets. </w:t>
      </w:r>
    </w:p>
    <w:p w:rsidR="00FA6A77" w:rsidRPr="00D5126A" w:rsidRDefault="00FA6A77" w:rsidP="00FA6A77">
      <w:pPr>
        <w:spacing w:after="160"/>
        <w:jc w:val="both"/>
        <w:rPr>
          <w:rFonts w:ascii="Arial" w:hAnsi="Arial" w:cs="Arial"/>
        </w:rPr>
      </w:pPr>
      <w:r w:rsidRPr="00D5126A">
        <w:rPr>
          <w:rFonts w:ascii="Arial" w:hAnsi="Arial" w:cs="Arial"/>
        </w:rPr>
        <w:t>The carrying value of these service concession assets for the Group is $148.632m (2018: $151.431)</w:t>
      </w:r>
    </w:p>
    <w:p w:rsidR="00FA6A77" w:rsidRPr="00D5126A" w:rsidRDefault="00FA6A77" w:rsidP="00FA6A77">
      <w:pPr>
        <w:jc w:val="both"/>
        <w:rPr>
          <w:rFonts w:ascii="Arial" w:hAnsi="Arial" w:cs="Arial"/>
        </w:rPr>
      </w:pPr>
      <w:r w:rsidRPr="00D5126A">
        <w:rPr>
          <w:rFonts w:ascii="Arial" w:hAnsi="Arial" w:cs="Arial"/>
        </w:rPr>
        <w:t>The Moa Point sewerage treatment plant is owned by the Council and operated by Veolia Water under a design, build and operate contract. Veolia Water also operates the Council owned Western (Karori) and Carey’s Gully treatment plants. The plants and building assets are included in the infrastructure assets class above.</w:t>
      </w:r>
    </w:p>
    <w:p w:rsidR="00FA6A77" w:rsidRPr="00D5126A" w:rsidRDefault="00FA6A77" w:rsidP="00FA6A77">
      <w:pPr>
        <w:jc w:val="both"/>
        <w:rPr>
          <w:rFonts w:ascii="Arial" w:hAnsi="Arial" w:cs="Arial"/>
        </w:rPr>
      </w:pPr>
      <w:r w:rsidRPr="00D5126A">
        <w:rPr>
          <w:rFonts w:ascii="Arial" w:hAnsi="Arial" w:cs="Arial"/>
        </w:rPr>
        <w:t>Veolia Water is required to fund all renewals and repairs and return the plants to the Council in 2020 with a future life expectancy of at least 25 years.</w:t>
      </w:r>
    </w:p>
    <w:p w:rsidR="00FA6A77" w:rsidRPr="00D5126A" w:rsidRDefault="00FA6A77" w:rsidP="00FA6A77">
      <w:pPr>
        <w:jc w:val="both"/>
        <w:rPr>
          <w:rFonts w:ascii="Arial" w:hAnsi="Arial" w:cs="Arial"/>
        </w:rPr>
      </w:pPr>
      <w:r w:rsidRPr="00D5126A">
        <w:rPr>
          <w:rFonts w:ascii="Arial" w:hAnsi="Arial" w:cs="Arial"/>
        </w:rPr>
        <w:t>As asset owner, the Council incurs all associated operating expenses, namely management fees, depreciation and finance costs. In accordance with section100 of the Local Government Act 2002, the Council does not fully rates fund the plant’s depreciation expenditure.</w:t>
      </w:r>
    </w:p>
    <w:p w:rsidR="00FA6A77" w:rsidRDefault="00FA6A77" w:rsidP="00FA6A77">
      <w:pPr>
        <w:jc w:val="both"/>
        <w:rPr>
          <w:rFonts w:ascii="Arial" w:hAnsi="Arial" w:cs="Arial"/>
        </w:rPr>
      </w:pPr>
      <w:r w:rsidRPr="00D5126A">
        <w:rPr>
          <w:rFonts w:ascii="Arial" w:hAnsi="Arial" w:cs="Arial"/>
        </w:rPr>
        <w:t>Veolia’s monthly management fee is determined in accordance with annually adjusted tariffs. The contract terminates either on the expiry of the 25 year term (2020) or on the occurrence of a contract default event by either party. The contract’s right of renewal resides with the Council.</w:t>
      </w:r>
    </w:p>
    <w:p w:rsidR="00095009" w:rsidRPr="00D5126A" w:rsidRDefault="00095009" w:rsidP="00FA6A77">
      <w:pPr>
        <w:jc w:val="both"/>
        <w:rPr>
          <w:rFonts w:ascii="Arial" w:hAnsi="Arial" w:cs="Arial"/>
        </w:rPr>
      </w:pPr>
      <w:r w:rsidRPr="00095009">
        <w:rPr>
          <w:rFonts w:ascii="Arial" w:hAnsi="Arial" w:cs="Arial"/>
        </w:rPr>
        <w:t>A new contract for the operation and management of these assets has been entered into with Veolia Water Services, through Wellington Water Limited, with a business as usual (BAU) transition date of 24 February 2020. This new contract expires 30 June 2030 with two rights of renewal for further subsequent terms of three and two years respectively.</w:t>
      </w:r>
    </w:p>
    <w:p w:rsidR="00FA6A77" w:rsidRPr="00D5126A" w:rsidRDefault="00FA6A77" w:rsidP="00972DE7">
      <w:pPr>
        <w:pStyle w:val="Heading4"/>
        <w:rPr>
          <w:rFonts w:asciiTheme="majorHAnsi" w:hAnsiTheme="majorHAnsi" w:cs="Times New Roman"/>
        </w:rPr>
      </w:pPr>
      <w:r w:rsidRPr="00D5126A">
        <w:t>Insurance of assets</w:t>
      </w:r>
    </w:p>
    <w:p w:rsidR="00B654D5" w:rsidRDefault="00B654D5" w:rsidP="00B654D5">
      <w:pPr>
        <w:pStyle w:val="Caption"/>
      </w:pPr>
      <w:r>
        <w:t xml:space="preserve">Section 5 - Table </w:t>
      </w:r>
      <w:fldSimple w:instr=" SEQ Section_5_-_Table \* ARABIC ">
        <w:r w:rsidR="005908C4">
          <w:rPr>
            <w:noProof/>
          </w:rPr>
          <w:t>30</w:t>
        </w:r>
      </w:fldSimple>
      <w:r>
        <w:t>: Insurance cover</w:t>
      </w:r>
    </w:p>
    <w:p w:rsidR="00FA6A77" w:rsidRPr="00D5126A" w:rsidRDefault="00FA6A77" w:rsidP="00972DE7">
      <w:pPr>
        <w:ind w:left="-284"/>
        <w:rPr>
          <w:b/>
          <w:bCs/>
        </w:rPr>
      </w:pPr>
      <w:r w:rsidRPr="00D5126A">
        <w:rPr>
          <w:b/>
          <w:bCs/>
          <w:noProof/>
          <w:lang w:eastAsia="en-NZ"/>
        </w:rPr>
        <w:drawing>
          <wp:inline distT="0" distB="0" distL="0" distR="0" wp14:anchorId="6F85D4FD" wp14:editId="7C48DD8D">
            <wp:extent cx="6191885" cy="1788795"/>
            <wp:effectExtent l="0" t="0" r="0" b="1905"/>
            <wp:docPr id="1421" name="Picture 1421" title="Section 5 - Table 30: Insurance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6191885" cy="1788795"/>
                    </a:xfrm>
                    <a:prstGeom prst="rect">
                      <a:avLst/>
                    </a:prstGeom>
                    <a:noFill/>
                    <a:ln>
                      <a:noFill/>
                    </a:ln>
                  </pic:spPr>
                </pic:pic>
              </a:graphicData>
            </a:graphic>
          </wp:inline>
        </w:drawing>
      </w:r>
    </w:p>
    <w:p w:rsidR="00FA6A77" w:rsidRPr="00D5126A" w:rsidRDefault="00FA6A77" w:rsidP="00FA6A77">
      <w:pPr>
        <w:jc w:val="both"/>
        <w:rPr>
          <w:rFonts w:ascii="Arial" w:hAnsi="Arial" w:cs="Arial"/>
        </w:rPr>
      </w:pPr>
      <w:r w:rsidRPr="00D5126A">
        <w:rPr>
          <w:rFonts w:ascii="Arial" w:hAnsi="Arial" w:cs="Arial"/>
        </w:rPr>
        <w:t>In addition to Council’s insurance, in the event of natural disaster it is assumed that Central Government will contribute 60% towards the rebuild or repair of essential Council owned infrastructure (drainage, waste and water assets) subject to eligibility considerations. Also, the New Zealand Transport Agency will contribute approximately 55% towards the restoration of qualifying roading assets.</w:t>
      </w:r>
    </w:p>
    <w:p w:rsidR="00FA6A77" w:rsidRPr="00D5126A" w:rsidRDefault="00FA6A77" w:rsidP="00FA6A77">
      <w:pPr>
        <w:jc w:val="both"/>
        <w:rPr>
          <w:rFonts w:ascii="Arial" w:hAnsi="Arial" w:cs="Arial"/>
        </w:rPr>
      </w:pPr>
      <w:r w:rsidRPr="00D5126A">
        <w:rPr>
          <w:rFonts w:ascii="Arial" w:hAnsi="Arial" w:cs="Arial"/>
        </w:rPr>
        <w:t>The Council is not covered by any financial risk sharing arrangements in relation to its assets.</w:t>
      </w:r>
    </w:p>
    <w:p w:rsidR="00FA6A77" w:rsidRPr="00D5126A" w:rsidRDefault="00FA6A77" w:rsidP="00FA6A77">
      <w:pPr>
        <w:jc w:val="both"/>
        <w:rPr>
          <w:rFonts w:eastAsia="MS Gothic"/>
        </w:rPr>
      </w:pPr>
      <w:r w:rsidRPr="00D5126A">
        <w:rPr>
          <w:rFonts w:ascii="Arial" w:hAnsi="Arial" w:cs="Arial"/>
        </w:rPr>
        <w:t xml:space="preserve">An insurance reserve of $11.198m (2018: $11.406m) exists to meet the cost of claims that fall below deductible limits under Council insurance policies. The reserve is funded annually through rates by $1.500m (2018: $1.500m). The net cost of claims applied to the reserve during the year amounted to </w:t>
      </w:r>
      <w:r w:rsidRPr="00D5126A">
        <w:rPr>
          <w:rFonts w:ascii="Arial" w:hAnsi="Arial" w:cs="Arial"/>
        </w:rPr>
        <w:lastRenderedPageBreak/>
        <w:t xml:space="preserve">$1.708m (2018: $2.750m). Of this, </w:t>
      </w:r>
      <w:r w:rsidRPr="00D5126A">
        <w:rPr>
          <w:rFonts w:eastAsia="MS Gothic"/>
        </w:rPr>
        <w:t xml:space="preserve">$1.064m (2018: $2.026m) was related to earthquake repairs and relocation costs.  </w:t>
      </w:r>
    </w:p>
    <w:p w:rsidR="00FA6A77" w:rsidRPr="00D5126A" w:rsidRDefault="00FA6A77" w:rsidP="00972DE7">
      <w:pPr>
        <w:pStyle w:val="Heading4"/>
      </w:pPr>
      <w:r w:rsidRPr="00D5126A">
        <w:t>Civic Precinct impairment</w:t>
      </w:r>
    </w:p>
    <w:p w:rsidR="00FA6A77" w:rsidRPr="00D5126A" w:rsidRDefault="00FA6A77" w:rsidP="00FA6A77">
      <w:pPr>
        <w:jc w:val="both"/>
        <w:rPr>
          <w:rStyle w:val="ilfuvd"/>
          <w:color w:val="222222"/>
        </w:rPr>
      </w:pPr>
      <w:r w:rsidRPr="00D5126A">
        <w:rPr>
          <w:rFonts w:ascii="Arial" w:hAnsi="Arial" w:cs="Arial"/>
        </w:rPr>
        <w:t>The Civic Precinct is made up of a number of different buildings situated around Civic Square -</w:t>
      </w:r>
      <w:r w:rsidRPr="00D5126A">
        <w:rPr>
          <w:rStyle w:val="ilfuvd"/>
          <w:rFonts w:ascii="Arial" w:hAnsi="Arial" w:cs="Arial"/>
          <w:color w:val="222222"/>
        </w:rPr>
        <w:t>Te Ngākau. The primary functions of these buildings have been to house and provide various Council services such as Council Administration, library services, art and cultural event venues and Civic Chambers for the Mayor and Councillors.</w:t>
      </w:r>
    </w:p>
    <w:p w:rsidR="00FA6A77" w:rsidRPr="00D5126A" w:rsidRDefault="00FA6A77" w:rsidP="00FA6A77">
      <w:pPr>
        <w:jc w:val="both"/>
        <w:rPr>
          <w:rStyle w:val="ilfuvd"/>
          <w:rFonts w:ascii="Arial" w:hAnsi="Arial" w:cs="Arial"/>
          <w:color w:val="222222"/>
        </w:rPr>
      </w:pPr>
      <w:r w:rsidRPr="00D5126A">
        <w:rPr>
          <w:rStyle w:val="ilfuvd"/>
          <w:rFonts w:ascii="Arial" w:hAnsi="Arial" w:cs="Arial"/>
          <w:color w:val="222222"/>
        </w:rPr>
        <w:t>There are a number of buildings in the Civic Precinct that need varying degrees of work to make them safer when future earthquakes occur. Some of this work was already known before the Kaikoura earthquake in November 2016 and some has arisen either directly because of this event or because of new guidelines issued from the Ministry of Business, Innovation and Employment (MBIE) in November 2018 on pre-cast concrete flooring systems.</w:t>
      </w:r>
    </w:p>
    <w:p w:rsidR="00FA6A77" w:rsidRPr="00D5126A" w:rsidRDefault="00FA6A77" w:rsidP="00FA6A77">
      <w:pPr>
        <w:jc w:val="both"/>
        <w:rPr>
          <w:rStyle w:val="ilfuvd"/>
          <w:rFonts w:ascii="Arial" w:hAnsi="Arial" w:cs="Arial"/>
          <w:color w:val="222222"/>
        </w:rPr>
      </w:pPr>
      <w:proofErr w:type="gramStart"/>
      <w:r w:rsidRPr="00D5126A">
        <w:rPr>
          <w:rStyle w:val="ilfuvd"/>
          <w:rFonts w:ascii="Arial" w:hAnsi="Arial" w:cs="Arial"/>
          <w:color w:val="222222"/>
        </w:rPr>
        <w:t>An impairment</w:t>
      </w:r>
      <w:proofErr w:type="gramEnd"/>
      <w:r w:rsidRPr="00D5126A">
        <w:rPr>
          <w:rStyle w:val="ilfuvd"/>
          <w:rFonts w:ascii="Arial" w:hAnsi="Arial" w:cs="Arial"/>
          <w:color w:val="222222"/>
        </w:rPr>
        <w:t xml:space="preserve"> is recognised when the fair value of a building is less than its carrying value in the financial statements. Every year Council reviews and assesses its assets for impairment as per its accounting policy. For assets that are held at revalued amounts which are considered impaired, impairments would generally be recognised in the revaluation reserve within equity. However, the Civic Precinct assets are a class of assets that are not revalued and therefore any impairment must be recognised in the Statement of Comprehensive Revenue and Expense. This expense is non-cash in nature and does not affect rates in the current year.</w:t>
      </w:r>
    </w:p>
    <w:p w:rsidR="00FA6A77" w:rsidRPr="00D5126A" w:rsidRDefault="00FA6A77" w:rsidP="00FA6A77">
      <w:pPr>
        <w:jc w:val="both"/>
        <w:rPr>
          <w:rStyle w:val="ilfuvd"/>
          <w:rFonts w:ascii="Arial" w:hAnsi="Arial" w:cs="Arial"/>
          <w:color w:val="222222"/>
        </w:rPr>
      </w:pPr>
      <w:r w:rsidRPr="00D5126A">
        <w:rPr>
          <w:rStyle w:val="ilfuvd"/>
          <w:rFonts w:ascii="Arial" w:hAnsi="Arial" w:cs="Arial"/>
          <w:color w:val="222222"/>
        </w:rPr>
        <w:t xml:space="preserve">The Civic Precinct buildings that have been impaired in previous years are: the Town Hall and the Civic Administration building (CAB), with the latter occurring after it was damaged during the Kaikoura earthquake in November 2016 and was subsequently vacated. </w:t>
      </w:r>
    </w:p>
    <w:p w:rsidR="00FA6A77" w:rsidRPr="00D5126A" w:rsidRDefault="00FA6A77" w:rsidP="00FA6A77">
      <w:pPr>
        <w:jc w:val="both"/>
        <w:rPr>
          <w:rStyle w:val="ilfuvd"/>
          <w:rFonts w:ascii="Arial" w:hAnsi="Arial" w:cs="Arial"/>
          <w:color w:val="222222"/>
        </w:rPr>
      </w:pPr>
      <w:r w:rsidRPr="00D5126A">
        <w:rPr>
          <w:rStyle w:val="ilfuvd"/>
          <w:rFonts w:ascii="Arial" w:hAnsi="Arial" w:cs="Arial"/>
          <w:color w:val="222222"/>
        </w:rPr>
        <w:t>During the 2018/19 period a full review of the Civic Precinct assets has been performed and the following have been impaired:</w:t>
      </w:r>
    </w:p>
    <w:p w:rsidR="00FA6A77" w:rsidRPr="00ED4C78" w:rsidRDefault="00FA6A77" w:rsidP="002C7BF8">
      <w:pPr>
        <w:pStyle w:val="ListParagraph"/>
        <w:numPr>
          <w:ilvl w:val="0"/>
          <w:numId w:val="85"/>
        </w:numPr>
        <w:spacing w:after="0" w:line="240" w:lineRule="auto"/>
        <w:jc w:val="both"/>
        <w:rPr>
          <w:rStyle w:val="ilfuvd"/>
          <w:rFonts w:ascii="Arial" w:hAnsi="Arial" w:cs="Arial"/>
          <w:color w:val="222222"/>
        </w:rPr>
      </w:pPr>
      <w:r w:rsidRPr="00ED4C78">
        <w:rPr>
          <w:rStyle w:val="ilfuvd"/>
          <w:rFonts w:ascii="Arial" w:hAnsi="Arial" w:cs="Arial"/>
          <w:color w:val="222222"/>
        </w:rPr>
        <w:t>Central Library and underground car park: impairment of $30.210m which brings the book value down to zero. This has arisen due to their closure in March 2019 following an engineering report which identified structural vulnerabilities that mean it may not perform well in the event of a significant earthquake. Council is considering its options with the Central Library as part of a review of the whole Civic Precinct and the likely cost to rectify structural issues.</w:t>
      </w:r>
    </w:p>
    <w:p w:rsidR="00FA6A77" w:rsidRPr="00ED4C78" w:rsidRDefault="00FA6A77" w:rsidP="002C7BF8">
      <w:pPr>
        <w:pStyle w:val="ListParagraph"/>
        <w:numPr>
          <w:ilvl w:val="0"/>
          <w:numId w:val="85"/>
        </w:numPr>
        <w:spacing w:after="0" w:line="240" w:lineRule="auto"/>
        <w:jc w:val="both"/>
        <w:rPr>
          <w:rStyle w:val="ilfuvd"/>
          <w:rFonts w:ascii="Arial" w:hAnsi="Arial" w:cs="Arial"/>
          <w:color w:val="222222"/>
        </w:rPr>
      </w:pPr>
      <w:r w:rsidRPr="00ED4C78">
        <w:rPr>
          <w:rStyle w:val="ilfuvd"/>
          <w:rFonts w:ascii="Arial" w:hAnsi="Arial" w:cs="Arial"/>
          <w:color w:val="222222"/>
        </w:rPr>
        <w:t xml:space="preserve">Town Hall: further impairment of $7.213m which brings the book value down to zero. Once the strengthening work on the Town Hall has been completed the full project value of $112.400m will be capitalised as an asset. </w:t>
      </w:r>
    </w:p>
    <w:p w:rsidR="00FA6A77" w:rsidRPr="00ED4C78" w:rsidRDefault="00FA6A77" w:rsidP="002C7BF8">
      <w:pPr>
        <w:pStyle w:val="ListParagraph"/>
        <w:numPr>
          <w:ilvl w:val="0"/>
          <w:numId w:val="85"/>
        </w:numPr>
        <w:spacing w:after="0" w:line="240" w:lineRule="auto"/>
        <w:jc w:val="both"/>
        <w:rPr>
          <w:rStyle w:val="ilfuvd"/>
          <w:rFonts w:ascii="Arial" w:hAnsi="Arial" w:cs="Arial"/>
          <w:color w:val="222222"/>
        </w:rPr>
      </w:pPr>
      <w:r w:rsidRPr="00ED4C78">
        <w:rPr>
          <w:rStyle w:val="ilfuvd"/>
          <w:rFonts w:ascii="Arial" w:hAnsi="Arial" w:cs="Arial"/>
          <w:color w:val="222222"/>
        </w:rPr>
        <w:t>Municipal Office Building (MOB): building has been impaired by $10.177m. The MOB building is being vacated due to the strengthening work on the Town Hall.</w:t>
      </w:r>
    </w:p>
    <w:p w:rsidR="00FA6A77" w:rsidRPr="00ED4C78" w:rsidRDefault="00FA6A77" w:rsidP="002C7BF8">
      <w:pPr>
        <w:pStyle w:val="ListParagraph"/>
        <w:numPr>
          <w:ilvl w:val="0"/>
          <w:numId w:val="85"/>
        </w:numPr>
        <w:spacing w:after="0" w:line="240" w:lineRule="auto"/>
        <w:jc w:val="both"/>
        <w:rPr>
          <w:rStyle w:val="ilfuvd"/>
          <w:rFonts w:ascii="Arial" w:hAnsi="Arial" w:cs="Arial"/>
          <w:color w:val="222222"/>
        </w:rPr>
      </w:pPr>
      <w:r w:rsidRPr="00ED4C78">
        <w:rPr>
          <w:rStyle w:val="ilfuvd"/>
          <w:rFonts w:ascii="Arial" w:hAnsi="Arial" w:cs="Arial"/>
          <w:color w:val="222222"/>
        </w:rPr>
        <w:t>CAB: further impairment of $0.655m which brings the book value down to zero. The CAB building is still subject to an insurance claim and its future is undecided</w:t>
      </w:r>
    </w:p>
    <w:p w:rsidR="00FA6A77" w:rsidRPr="00ED4C78" w:rsidRDefault="00FA6A77" w:rsidP="002C7BF8">
      <w:pPr>
        <w:pStyle w:val="ListParagraph"/>
        <w:numPr>
          <w:ilvl w:val="0"/>
          <w:numId w:val="85"/>
        </w:numPr>
        <w:spacing w:after="0" w:line="240" w:lineRule="auto"/>
        <w:jc w:val="both"/>
        <w:rPr>
          <w:rStyle w:val="ilfuvd"/>
          <w:rFonts w:ascii="Arial" w:hAnsi="Arial" w:cs="Arial"/>
          <w:color w:val="222222"/>
        </w:rPr>
      </w:pPr>
      <w:r w:rsidRPr="00ED4C78">
        <w:rPr>
          <w:rStyle w:val="ilfuvd"/>
          <w:rFonts w:ascii="Arial" w:hAnsi="Arial" w:cs="Arial"/>
          <w:color w:val="222222"/>
        </w:rPr>
        <w:t>Capital E: an impairment of $2.267m which brings the book value down to zero.</w:t>
      </w:r>
    </w:p>
    <w:p w:rsidR="00FA6A77" w:rsidRPr="00D5126A" w:rsidRDefault="00FA6A77" w:rsidP="00FA6A77">
      <w:pPr>
        <w:pStyle w:val="ListParagraph"/>
        <w:rPr>
          <w:rStyle w:val="ilfuvd"/>
          <w:rFonts w:ascii="Arial" w:hAnsi="Arial" w:cs="Arial"/>
          <w:color w:val="222222"/>
        </w:rPr>
      </w:pPr>
    </w:p>
    <w:p w:rsidR="00972DE7" w:rsidRPr="00D5126A" w:rsidRDefault="00972DE7">
      <w:pPr>
        <w:rPr>
          <w:rFonts w:asciiTheme="majorHAnsi" w:eastAsiaTheme="majorEastAsia" w:hAnsiTheme="majorHAnsi"/>
          <w:b/>
          <w:bCs/>
          <w:color w:val="1F497D" w:themeColor="text2"/>
          <w:sz w:val="40"/>
          <w:szCs w:val="40"/>
        </w:rPr>
      </w:pPr>
      <w:bookmarkStart w:id="436" w:name="_Toc19092072"/>
      <w:r w:rsidRPr="00D5126A">
        <w:br w:type="page"/>
      </w:r>
    </w:p>
    <w:p w:rsidR="00FA6A77" w:rsidRPr="00D5126A" w:rsidRDefault="00FA6A77" w:rsidP="00972DE7">
      <w:pPr>
        <w:pStyle w:val="Heading3"/>
      </w:pPr>
      <w:bookmarkStart w:id="437" w:name="_Toc23848711"/>
      <w:r w:rsidRPr="00D5126A">
        <w:lastRenderedPageBreak/>
        <w:t>Note 19: Investment in controlled entities</w:t>
      </w:r>
      <w:bookmarkEnd w:id="436"/>
      <w:bookmarkEnd w:id="437"/>
    </w:p>
    <w:p w:rsidR="00FA6A77" w:rsidRPr="00D5126A" w:rsidRDefault="00FA6A77" w:rsidP="00FA6A77">
      <w:r w:rsidRPr="00D5126A">
        <w:t>The cost of the Council’s investment in controlled entities is reflected in the Council’s financial statements as follows:</w:t>
      </w:r>
    </w:p>
    <w:p w:rsidR="00B654D5" w:rsidRDefault="00B654D5" w:rsidP="00B654D5">
      <w:pPr>
        <w:pStyle w:val="Caption"/>
      </w:pPr>
      <w:r>
        <w:t xml:space="preserve">Section 5 - Table </w:t>
      </w:r>
      <w:fldSimple w:instr=" SEQ Section_5_-_Table \* ARABIC ">
        <w:r w:rsidR="005908C4">
          <w:rPr>
            <w:noProof/>
          </w:rPr>
          <w:t>31</w:t>
        </w:r>
      </w:fldSimple>
      <w:r>
        <w:t>: Investment in controlled entities</w:t>
      </w:r>
    </w:p>
    <w:p w:rsidR="00FA6A77" w:rsidRPr="00D5126A" w:rsidRDefault="00FA6A77" w:rsidP="00806B22">
      <w:pPr>
        <w:spacing w:after="0" w:line="240" w:lineRule="auto"/>
        <w:ind w:left="-426"/>
      </w:pPr>
      <w:r w:rsidRPr="00D5126A">
        <w:rPr>
          <w:noProof/>
          <w:lang w:eastAsia="en-NZ"/>
        </w:rPr>
        <w:drawing>
          <wp:inline distT="0" distB="0" distL="0" distR="0" wp14:anchorId="12685CCB" wp14:editId="48BC80E2">
            <wp:extent cx="6341110" cy="1471295"/>
            <wp:effectExtent l="0" t="0" r="2540" b="0"/>
            <wp:docPr id="1420" name="Picture 1420" title="Section 5 - Table 31: Investment in controlled ent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6341110" cy="1471295"/>
                    </a:xfrm>
                    <a:prstGeom prst="rect">
                      <a:avLst/>
                    </a:prstGeom>
                    <a:noFill/>
                    <a:ln>
                      <a:noFill/>
                    </a:ln>
                  </pic:spPr>
                </pic:pic>
              </a:graphicData>
            </a:graphic>
          </wp:inline>
        </w:drawing>
      </w:r>
      <w:r w:rsidRPr="00D5126A">
        <w:t xml:space="preserve"> </w:t>
      </w:r>
    </w:p>
    <w:p w:rsidR="00FA6A77" w:rsidRPr="00D5126A" w:rsidRDefault="00FA6A77" w:rsidP="00FA6A77">
      <w:pPr>
        <w:ind w:right="-201"/>
        <w:jc w:val="both"/>
        <w:rPr>
          <w:rFonts w:ascii="Arial" w:hAnsi="Arial" w:cs="Arial"/>
        </w:rPr>
      </w:pPr>
      <w:r w:rsidRPr="00D5126A">
        <w:rPr>
          <w:rFonts w:ascii="Arial" w:hAnsi="Arial" w:cs="Arial"/>
        </w:rPr>
        <w:t>The equity investment represents the cost of the investment to the Council and includes all capital contributions made by the Council to controlled entities. The Council has only made equity investments as shareholders as noted in the table above.  Nominal settlement amounts (i.e. $100) made in respect of Trusts, for which Council is the settlor, have not been recognised due to their materiality or are considered as equity investments.</w:t>
      </w:r>
    </w:p>
    <w:p w:rsidR="00FA6A77" w:rsidRPr="00D5126A" w:rsidRDefault="00FA6A77" w:rsidP="00FA6A77">
      <w:pPr>
        <w:jc w:val="both"/>
        <w:rPr>
          <w:rFonts w:ascii="Arial" w:hAnsi="Arial" w:cs="Arial"/>
        </w:rPr>
      </w:pPr>
      <w:r w:rsidRPr="00D5126A">
        <w:rPr>
          <w:rFonts w:ascii="Arial" w:hAnsi="Arial" w:cs="Arial"/>
        </w:rPr>
        <w:t xml:space="preserve">Information on inter-company transactions is included in the Note 36: Related party disclosures </w:t>
      </w:r>
      <w:r w:rsidR="00972DE7" w:rsidRPr="00213CD7">
        <w:rPr>
          <w:rFonts w:ascii="Arial" w:hAnsi="Arial" w:cs="Arial"/>
          <w:color w:val="333333"/>
          <w:lang w:eastAsia="en-GB"/>
        </w:rPr>
        <w:t xml:space="preserve">(page </w:t>
      </w:r>
      <w:r w:rsidR="00213CD7" w:rsidRPr="00213CD7">
        <w:rPr>
          <w:rFonts w:ascii="Arial" w:hAnsi="Arial" w:cs="Arial"/>
          <w:color w:val="333333"/>
          <w:lang w:eastAsia="en-GB"/>
        </w:rPr>
        <w:t>304</w:t>
      </w:r>
      <w:r w:rsidR="00972DE7" w:rsidRPr="00D5126A">
        <w:rPr>
          <w:rFonts w:ascii="Arial" w:hAnsi="Arial" w:cs="Arial"/>
          <w:color w:val="333333"/>
          <w:lang w:eastAsia="en-GB"/>
        </w:rPr>
        <w:t>).</w:t>
      </w:r>
    </w:p>
    <w:p w:rsidR="00FA6A77" w:rsidRPr="00D5126A" w:rsidRDefault="0071534A" w:rsidP="00FA6A77">
      <w:pPr>
        <w:jc w:val="both"/>
        <w:rPr>
          <w:rFonts w:ascii="Arial" w:hAnsi="Arial" w:cs="Arial"/>
        </w:rPr>
      </w:pPr>
      <w:r>
        <w:rPr>
          <w:rFonts w:ascii="Arial" w:hAnsi="Arial" w:cs="Arial"/>
        </w:rPr>
        <w:t xml:space="preserve">Table 32 lists the controlled entities of Council. </w:t>
      </w:r>
    </w:p>
    <w:p w:rsidR="00B654D5" w:rsidRDefault="00B654D5" w:rsidP="00B654D5">
      <w:pPr>
        <w:pStyle w:val="Caption"/>
      </w:pPr>
      <w:r>
        <w:t xml:space="preserve">Section 5 - Table </w:t>
      </w:r>
      <w:fldSimple w:instr=" SEQ Section_5_-_Table \* ARABIC ">
        <w:r w:rsidR="005908C4">
          <w:rPr>
            <w:noProof/>
          </w:rPr>
          <w:t>32</w:t>
        </w:r>
      </w:fldSimple>
      <w:r>
        <w:t>: Controlled entities of Council</w:t>
      </w:r>
    </w:p>
    <w:tbl>
      <w:tblPr>
        <w:tblW w:w="10065" w:type="dxa"/>
        <w:tblInd w:w="-318" w:type="dxa"/>
        <w:tblBorders>
          <w:insideH w:val="single" w:sz="4" w:space="0" w:color="auto"/>
        </w:tblBorders>
        <w:tblLayout w:type="fixed"/>
        <w:tblLook w:val="04A0" w:firstRow="1" w:lastRow="0" w:firstColumn="1" w:lastColumn="0" w:noHBand="0" w:noVBand="1"/>
      </w:tblPr>
      <w:tblGrid>
        <w:gridCol w:w="2977"/>
        <w:gridCol w:w="1418"/>
        <w:gridCol w:w="1417"/>
        <w:gridCol w:w="4253"/>
      </w:tblGrid>
      <w:tr w:rsidR="00FA6A77" w:rsidRPr="00D5126A" w:rsidTr="0071534A">
        <w:trPr>
          <w:cantSplit/>
          <w:trHeight w:val="542"/>
        </w:trPr>
        <w:tc>
          <w:tcPr>
            <w:tcW w:w="2977" w:type="dxa"/>
            <w:tcBorders>
              <w:top w:val="single" w:sz="4" w:space="0" w:color="auto"/>
              <w:left w:val="single" w:sz="4" w:space="0" w:color="auto"/>
              <w:bottom w:val="single" w:sz="4" w:space="0" w:color="auto"/>
              <w:right w:val="nil"/>
            </w:tcBorders>
            <w:hideMark/>
          </w:tcPr>
          <w:p w:rsidR="00FA6A77" w:rsidRPr="00D5126A" w:rsidRDefault="00FA6A77" w:rsidP="0071534A">
            <w:pPr>
              <w:spacing w:after="0"/>
              <w:rPr>
                <w:rFonts w:ascii="Arial" w:hAnsi="Arial" w:cs="Arial"/>
                <w:b/>
                <w:sz w:val="20"/>
                <w:szCs w:val="20"/>
                <w:lang w:eastAsia="en-GB"/>
              </w:rPr>
            </w:pPr>
            <w:r w:rsidRPr="00D5126A">
              <w:rPr>
                <w:rFonts w:ascii="Arial" w:hAnsi="Arial" w:cs="Arial"/>
                <w:b/>
                <w:sz w:val="20"/>
                <w:szCs w:val="20"/>
                <w:lang w:eastAsia="en-GB"/>
              </w:rPr>
              <w:t>Controlled entities</w:t>
            </w:r>
          </w:p>
        </w:tc>
        <w:tc>
          <w:tcPr>
            <w:tcW w:w="1418" w:type="dxa"/>
            <w:tcBorders>
              <w:top w:val="single" w:sz="4" w:space="0" w:color="auto"/>
              <w:left w:val="single" w:sz="4" w:space="0" w:color="auto"/>
              <w:bottom w:val="single" w:sz="4" w:space="0" w:color="auto"/>
              <w:right w:val="single" w:sz="4" w:space="0" w:color="auto"/>
            </w:tcBorders>
            <w:hideMark/>
          </w:tcPr>
          <w:p w:rsidR="00FA6A77" w:rsidRPr="00D5126A" w:rsidRDefault="00FA6A77" w:rsidP="0071534A">
            <w:pPr>
              <w:spacing w:after="0"/>
              <w:jc w:val="center"/>
              <w:rPr>
                <w:rFonts w:ascii="Arial" w:hAnsi="Arial" w:cs="Arial"/>
                <w:b/>
                <w:sz w:val="20"/>
                <w:szCs w:val="20"/>
                <w:lang w:eastAsia="en-GB"/>
              </w:rPr>
            </w:pPr>
            <w:r w:rsidRPr="00D5126A">
              <w:rPr>
                <w:rFonts w:ascii="Arial" w:hAnsi="Arial" w:cs="Arial"/>
                <w:b/>
                <w:sz w:val="20"/>
                <w:szCs w:val="20"/>
                <w:lang w:eastAsia="en-GB"/>
              </w:rPr>
              <w:t>Accounting Interest</w:t>
            </w:r>
          </w:p>
          <w:p w:rsidR="00FA6A77" w:rsidRPr="00D5126A" w:rsidRDefault="00FA6A77" w:rsidP="0071534A">
            <w:pPr>
              <w:spacing w:after="0"/>
              <w:jc w:val="center"/>
              <w:rPr>
                <w:rFonts w:ascii="Arial" w:hAnsi="Arial" w:cs="Arial"/>
                <w:b/>
                <w:sz w:val="20"/>
                <w:szCs w:val="20"/>
                <w:lang w:eastAsia="en-GB"/>
              </w:rPr>
            </w:pPr>
            <w:r w:rsidRPr="00D5126A">
              <w:rPr>
                <w:rFonts w:ascii="Arial" w:hAnsi="Arial" w:cs="Arial"/>
                <w:b/>
                <w:sz w:val="20"/>
                <w:szCs w:val="20"/>
                <w:lang w:eastAsia="en-GB"/>
              </w:rPr>
              <w:t>2019</w:t>
            </w:r>
          </w:p>
        </w:tc>
        <w:tc>
          <w:tcPr>
            <w:tcW w:w="1417" w:type="dxa"/>
            <w:tcBorders>
              <w:top w:val="single" w:sz="4" w:space="0" w:color="auto"/>
              <w:left w:val="nil"/>
              <w:bottom w:val="single" w:sz="4" w:space="0" w:color="auto"/>
              <w:right w:val="single" w:sz="4" w:space="0" w:color="auto"/>
            </w:tcBorders>
            <w:hideMark/>
          </w:tcPr>
          <w:p w:rsidR="00FA6A77" w:rsidRPr="00D5126A" w:rsidRDefault="00FA6A77" w:rsidP="0071534A">
            <w:pPr>
              <w:spacing w:after="0"/>
              <w:jc w:val="center"/>
              <w:rPr>
                <w:rFonts w:ascii="Arial" w:hAnsi="Arial" w:cs="Arial"/>
                <w:b/>
                <w:sz w:val="20"/>
                <w:szCs w:val="20"/>
                <w:lang w:eastAsia="en-GB"/>
              </w:rPr>
            </w:pPr>
            <w:r w:rsidRPr="00D5126A">
              <w:rPr>
                <w:rFonts w:ascii="Arial" w:hAnsi="Arial" w:cs="Arial"/>
                <w:b/>
                <w:sz w:val="20"/>
                <w:szCs w:val="20"/>
                <w:lang w:eastAsia="en-GB"/>
              </w:rPr>
              <w:t>Accounting Interest</w:t>
            </w:r>
          </w:p>
          <w:p w:rsidR="00FA6A77" w:rsidRPr="00D5126A" w:rsidRDefault="00FA6A77" w:rsidP="0071534A">
            <w:pPr>
              <w:spacing w:after="0"/>
              <w:jc w:val="center"/>
              <w:rPr>
                <w:rFonts w:ascii="Arial" w:hAnsi="Arial" w:cs="Arial"/>
                <w:b/>
                <w:sz w:val="20"/>
                <w:szCs w:val="20"/>
                <w:lang w:eastAsia="en-GB"/>
              </w:rPr>
            </w:pPr>
            <w:r w:rsidRPr="00D5126A">
              <w:rPr>
                <w:rFonts w:ascii="Arial" w:hAnsi="Arial" w:cs="Arial"/>
                <w:b/>
                <w:sz w:val="20"/>
                <w:szCs w:val="20"/>
                <w:lang w:eastAsia="en-GB"/>
              </w:rPr>
              <w:t>2018</w:t>
            </w:r>
          </w:p>
        </w:tc>
        <w:tc>
          <w:tcPr>
            <w:tcW w:w="4253" w:type="dxa"/>
            <w:tcBorders>
              <w:top w:val="single" w:sz="4" w:space="0" w:color="auto"/>
              <w:left w:val="single" w:sz="4" w:space="0" w:color="auto"/>
              <w:bottom w:val="single" w:sz="4" w:space="0" w:color="auto"/>
              <w:right w:val="single" w:sz="4" w:space="0" w:color="auto"/>
            </w:tcBorders>
            <w:hideMark/>
          </w:tcPr>
          <w:p w:rsidR="00FA6A77" w:rsidRPr="00D5126A" w:rsidRDefault="00FA6A77" w:rsidP="0071534A">
            <w:pPr>
              <w:spacing w:after="0"/>
              <w:rPr>
                <w:rFonts w:ascii="Arial" w:hAnsi="Arial" w:cs="Arial"/>
                <w:b/>
                <w:sz w:val="20"/>
                <w:szCs w:val="20"/>
                <w:lang w:eastAsia="en-GB"/>
              </w:rPr>
            </w:pPr>
            <w:r w:rsidRPr="00D5126A">
              <w:rPr>
                <w:rFonts w:ascii="Arial" w:hAnsi="Arial" w:cs="Arial"/>
                <w:b/>
                <w:sz w:val="20"/>
                <w:szCs w:val="20"/>
                <w:lang w:eastAsia="en-GB"/>
              </w:rPr>
              <w:t>Nature of business</w:t>
            </w:r>
          </w:p>
        </w:tc>
      </w:tr>
      <w:tr w:rsidR="00FA6A77" w:rsidRPr="00D5126A" w:rsidTr="00972DE7">
        <w:trPr>
          <w:cantSplit/>
          <w:trHeight w:val="302"/>
        </w:trPr>
        <w:tc>
          <w:tcPr>
            <w:tcW w:w="2977" w:type="dxa"/>
            <w:tcBorders>
              <w:top w:val="single" w:sz="4" w:space="0" w:color="auto"/>
              <w:left w:val="single" w:sz="4" w:space="0" w:color="auto"/>
              <w:bottom w:val="single" w:sz="4" w:space="0" w:color="auto"/>
              <w:right w:val="single" w:sz="4" w:space="0" w:color="auto"/>
            </w:tcBorders>
            <w:hideMark/>
          </w:tcPr>
          <w:p w:rsidR="00FA6A77" w:rsidRPr="00D5126A" w:rsidRDefault="00FA6A77" w:rsidP="0071534A">
            <w:pPr>
              <w:tabs>
                <w:tab w:val="right" w:pos="794"/>
              </w:tabs>
              <w:spacing w:after="0"/>
              <w:ind w:right="-250"/>
              <w:rPr>
                <w:rFonts w:ascii="Arial" w:hAnsi="Arial" w:cs="Arial"/>
                <w:sz w:val="20"/>
                <w:szCs w:val="20"/>
                <w:lang w:eastAsia="en-GB"/>
              </w:rPr>
            </w:pPr>
            <w:r w:rsidRPr="00D5126A">
              <w:rPr>
                <w:rFonts w:ascii="Arial" w:hAnsi="Arial" w:cs="Arial"/>
                <w:sz w:val="20"/>
                <w:szCs w:val="20"/>
                <w:lang w:eastAsia="en-GB"/>
              </w:rPr>
              <w:t xml:space="preserve">Karori Sanctuary Trust </w:t>
            </w:r>
          </w:p>
          <w:p w:rsidR="00FA6A77" w:rsidRPr="00D5126A" w:rsidRDefault="00FA6A77" w:rsidP="0071534A">
            <w:pPr>
              <w:tabs>
                <w:tab w:val="right" w:pos="794"/>
              </w:tabs>
              <w:spacing w:after="0"/>
              <w:ind w:right="-250"/>
              <w:rPr>
                <w:rFonts w:ascii="Arial" w:hAnsi="Arial" w:cs="Arial"/>
                <w:sz w:val="20"/>
                <w:szCs w:val="20"/>
                <w:lang w:eastAsia="en-GB"/>
              </w:rPr>
            </w:pPr>
            <w:r w:rsidRPr="00D5126A">
              <w:rPr>
                <w:rFonts w:ascii="Arial" w:hAnsi="Arial" w:cs="Arial"/>
                <w:sz w:val="20"/>
                <w:szCs w:val="20"/>
                <w:lang w:eastAsia="en-GB"/>
              </w:rPr>
              <w:t>(Trading as Zealandia)</w:t>
            </w:r>
          </w:p>
        </w:tc>
        <w:tc>
          <w:tcPr>
            <w:tcW w:w="1418" w:type="dxa"/>
            <w:tcBorders>
              <w:top w:val="single" w:sz="4" w:space="0" w:color="auto"/>
              <w:left w:val="single" w:sz="4" w:space="0" w:color="auto"/>
              <w:bottom w:val="single" w:sz="4" w:space="0" w:color="auto"/>
              <w:right w:val="single" w:sz="4" w:space="0" w:color="auto"/>
            </w:tcBorders>
            <w:hideMark/>
          </w:tcPr>
          <w:p w:rsidR="00FA6A77" w:rsidRPr="00D5126A" w:rsidRDefault="00FA6A77" w:rsidP="0071534A">
            <w:pPr>
              <w:tabs>
                <w:tab w:val="right" w:pos="794"/>
              </w:tabs>
              <w:spacing w:after="0"/>
              <w:ind w:right="-250"/>
              <w:jc w:val="center"/>
              <w:rPr>
                <w:rFonts w:ascii="Arial" w:hAnsi="Arial" w:cs="Arial"/>
                <w:sz w:val="20"/>
                <w:szCs w:val="20"/>
                <w:lang w:eastAsia="en-GB"/>
              </w:rPr>
            </w:pPr>
            <w:r w:rsidRPr="00D5126A">
              <w:rPr>
                <w:rFonts w:ascii="Arial" w:hAnsi="Arial" w:cs="Arial"/>
                <w:sz w:val="20"/>
                <w:szCs w:val="20"/>
                <w:lang w:eastAsia="en-GB"/>
              </w:rPr>
              <w:t>100%</w:t>
            </w:r>
          </w:p>
        </w:tc>
        <w:tc>
          <w:tcPr>
            <w:tcW w:w="1417" w:type="dxa"/>
            <w:tcBorders>
              <w:top w:val="single" w:sz="4" w:space="0" w:color="auto"/>
              <w:left w:val="single" w:sz="4" w:space="0" w:color="auto"/>
              <w:bottom w:val="single" w:sz="4" w:space="0" w:color="auto"/>
              <w:right w:val="single" w:sz="4" w:space="0" w:color="auto"/>
            </w:tcBorders>
            <w:hideMark/>
          </w:tcPr>
          <w:p w:rsidR="00FA6A77" w:rsidRPr="00D5126A" w:rsidRDefault="00FA6A77" w:rsidP="0071534A">
            <w:pPr>
              <w:tabs>
                <w:tab w:val="right" w:pos="794"/>
              </w:tabs>
              <w:spacing w:after="0"/>
              <w:ind w:right="-250"/>
              <w:jc w:val="center"/>
              <w:rPr>
                <w:rFonts w:ascii="Arial" w:hAnsi="Arial" w:cs="Arial"/>
                <w:sz w:val="20"/>
                <w:szCs w:val="20"/>
                <w:lang w:eastAsia="en-GB"/>
              </w:rPr>
            </w:pPr>
            <w:r w:rsidRPr="00D5126A">
              <w:rPr>
                <w:rFonts w:ascii="Arial" w:hAnsi="Arial" w:cs="Arial"/>
                <w:sz w:val="20"/>
                <w:szCs w:val="20"/>
                <w:lang w:eastAsia="en-GB"/>
              </w:rPr>
              <w:t>100%</w:t>
            </w:r>
          </w:p>
        </w:tc>
        <w:tc>
          <w:tcPr>
            <w:tcW w:w="4253" w:type="dxa"/>
            <w:tcBorders>
              <w:top w:val="single" w:sz="4" w:space="0" w:color="auto"/>
              <w:left w:val="single" w:sz="4" w:space="0" w:color="auto"/>
              <w:bottom w:val="single" w:sz="4" w:space="0" w:color="auto"/>
              <w:right w:val="single" w:sz="4" w:space="0" w:color="auto"/>
            </w:tcBorders>
            <w:hideMark/>
          </w:tcPr>
          <w:p w:rsidR="00FA6A77" w:rsidRPr="00D5126A" w:rsidRDefault="00FA6A77" w:rsidP="0071534A">
            <w:pPr>
              <w:tabs>
                <w:tab w:val="right" w:pos="794"/>
              </w:tabs>
              <w:spacing w:after="0"/>
              <w:ind w:right="-250"/>
              <w:rPr>
                <w:rFonts w:ascii="Arial" w:hAnsi="Arial" w:cs="Arial"/>
                <w:sz w:val="20"/>
                <w:szCs w:val="20"/>
                <w:lang w:eastAsia="en-GB"/>
              </w:rPr>
            </w:pPr>
            <w:r w:rsidRPr="00D5126A">
              <w:rPr>
                <w:rFonts w:ascii="Arial" w:hAnsi="Arial" w:cs="Arial"/>
                <w:sz w:val="20"/>
                <w:szCs w:val="20"/>
                <w:lang w:eastAsia="en-GB"/>
              </w:rPr>
              <w:t xml:space="preserve">Owns and manages the activities of the urban eco-sanctuary in Karori. </w:t>
            </w:r>
          </w:p>
        </w:tc>
      </w:tr>
      <w:tr w:rsidR="00FA6A77" w:rsidRPr="00D5126A" w:rsidTr="00972DE7">
        <w:trPr>
          <w:cantSplit/>
          <w:trHeight w:val="302"/>
        </w:trPr>
        <w:tc>
          <w:tcPr>
            <w:tcW w:w="2977" w:type="dxa"/>
            <w:tcBorders>
              <w:top w:val="single" w:sz="4" w:space="0" w:color="auto"/>
              <w:left w:val="single" w:sz="4" w:space="0" w:color="auto"/>
              <w:bottom w:val="single" w:sz="4" w:space="0" w:color="auto"/>
              <w:right w:val="single" w:sz="4" w:space="0" w:color="auto"/>
            </w:tcBorders>
          </w:tcPr>
          <w:p w:rsidR="00FA6A77" w:rsidRPr="00D5126A" w:rsidRDefault="00FA6A77" w:rsidP="0071534A">
            <w:pPr>
              <w:spacing w:after="0"/>
              <w:rPr>
                <w:rFonts w:ascii="Arial" w:hAnsi="Arial" w:cs="Arial"/>
                <w:sz w:val="20"/>
                <w:szCs w:val="20"/>
                <w:lang w:eastAsia="en-GB"/>
              </w:rPr>
            </w:pPr>
            <w:r w:rsidRPr="00D5126A">
              <w:rPr>
                <w:rFonts w:ascii="Arial" w:hAnsi="Arial" w:cs="Arial"/>
                <w:sz w:val="20"/>
                <w:szCs w:val="20"/>
                <w:lang w:eastAsia="en-GB"/>
              </w:rPr>
              <w:t>Wellington Cable Car Limited</w:t>
            </w:r>
          </w:p>
          <w:p w:rsidR="00FA6A77" w:rsidRPr="00D5126A" w:rsidRDefault="00FA6A77" w:rsidP="0071534A">
            <w:pPr>
              <w:spacing w:after="0"/>
              <w:rPr>
                <w:rFonts w:ascii="Arial" w:hAnsi="Arial" w:cs="Arial"/>
                <w:b/>
                <w:sz w:val="20"/>
                <w:szCs w:val="20"/>
                <w:lang w:eastAsia="en-GB"/>
              </w:rPr>
            </w:pPr>
          </w:p>
        </w:tc>
        <w:tc>
          <w:tcPr>
            <w:tcW w:w="1418" w:type="dxa"/>
            <w:tcBorders>
              <w:top w:val="single" w:sz="4" w:space="0" w:color="auto"/>
              <w:left w:val="single" w:sz="4" w:space="0" w:color="auto"/>
              <w:bottom w:val="single" w:sz="4" w:space="0" w:color="auto"/>
              <w:right w:val="single" w:sz="4" w:space="0" w:color="auto"/>
            </w:tcBorders>
            <w:hideMark/>
          </w:tcPr>
          <w:p w:rsidR="00FA6A77" w:rsidRPr="00D5126A" w:rsidRDefault="00FA6A77" w:rsidP="0071534A">
            <w:pPr>
              <w:tabs>
                <w:tab w:val="right" w:pos="794"/>
              </w:tabs>
              <w:spacing w:after="0"/>
              <w:ind w:right="-250"/>
              <w:jc w:val="center"/>
              <w:rPr>
                <w:rFonts w:ascii="Arial" w:hAnsi="Arial" w:cs="Arial"/>
                <w:sz w:val="20"/>
                <w:szCs w:val="20"/>
                <w:lang w:eastAsia="en-GB"/>
              </w:rPr>
            </w:pPr>
            <w:r w:rsidRPr="00D5126A">
              <w:rPr>
                <w:rFonts w:ascii="Arial" w:hAnsi="Arial" w:cs="Arial"/>
                <w:sz w:val="20"/>
                <w:szCs w:val="20"/>
                <w:lang w:eastAsia="en-GB"/>
              </w:rPr>
              <w:t>100%</w:t>
            </w:r>
          </w:p>
        </w:tc>
        <w:tc>
          <w:tcPr>
            <w:tcW w:w="1417" w:type="dxa"/>
            <w:tcBorders>
              <w:top w:val="single" w:sz="4" w:space="0" w:color="auto"/>
              <w:left w:val="single" w:sz="4" w:space="0" w:color="auto"/>
              <w:bottom w:val="single" w:sz="4" w:space="0" w:color="auto"/>
              <w:right w:val="single" w:sz="4" w:space="0" w:color="auto"/>
            </w:tcBorders>
            <w:hideMark/>
          </w:tcPr>
          <w:p w:rsidR="00FA6A77" w:rsidRPr="00D5126A" w:rsidRDefault="00FA6A77" w:rsidP="0071534A">
            <w:pPr>
              <w:tabs>
                <w:tab w:val="right" w:pos="794"/>
              </w:tabs>
              <w:spacing w:after="0"/>
              <w:ind w:right="-250"/>
              <w:jc w:val="center"/>
              <w:rPr>
                <w:rFonts w:ascii="Arial" w:hAnsi="Arial" w:cs="Arial"/>
                <w:sz w:val="20"/>
                <w:szCs w:val="20"/>
                <w:lang w:eastAsia="en-GB"/>
              </w:rPr>
            </w:pPr>
            <w:r w:rsidRPr="00D5126A">
              <w:rPr>
                <w:rFonts w:ascii="Arial" w:hAnsi="Arial" w:cs="Arial"/>
                <w:sz w:val="20"/>
                <w:szCs w:val="20"/>
                <w:lang w:eastAsia="en-GB"/>
              </w:rPr>
              <w:t>100%</w:t>
            </w:r>
          </w:p>
        </w:tc>
        <w:tc>
          <w:tcPr>
            <w:tcW w:w="4253" w:type="dxa"/>
            <w:tcBorders>
              <w:top w:val="single" w:sz="4" w:space="0" w:color="auto"/>
              <w:left w:val="single" w:sz="4" w:space="0" w:color="auto"/>
              <w:bottom w:val="single" w:sz="4" w:space="0" w:color="auto"/>
              <w:right w:val="single" w:sz="4" w:space="0" w:color="auto"/>
            </w:tcBorders>
            <w:hideMark/>
          </w:tcPr>
          <w:p w:rsidR="00FA6A77" w:rsidRPr="00D5126A" w:rsidRDefault="00FA6A77" w:rsidP="0071534A">
            <w:pPr>
              <w:tabs>
                <w:tab w:val="right" w:pos="794"/>
              </w:tabs>
              <w:spacing w:after="0"/>
              <w:ind w:right="-250"/>
              <w:rPr>
                <w:rFonts w:ascii="Arial" w:hAnsi="Arial" w:cs="Arial"/>
                <w:sz w:val="20"/>
                <w:szCs w:val="20"/>
                <w:lang w:eastAsia="en-GB"/>
              </w:rPr>
            </w:pPr>
            <w:r w:rsidRPr="00D5126A">
              <w:rPr>
                <w:rFonts w:ascii="Arial" w:hAnsi="Arial" w:cs="Arial"/>
                <w:sz w:val="20"/>
                <w:szCs w:val="20"/>
                <w:lang w:eastAsia="en-GB"/>
              </w:rPr>
              <w:t>Owns and manages the Cable Car.</w:t>
            </w:r>
          </w:p>
        </w:tc>
      </w:tr>
      <w:tr w:rsidR="00FA6A77" w:rsidRPr="00D5126A" w:rsidTr="00972DE7">
        <w:trPr>
          <w:cantSplit/>
          <w:trHeight w:val="768"/>
        </w:trPr>
        <w:tc>
          <w:tcPr>
            <w:tcW w:w="2977" w:type="dxa"/>
            <w:tcBorders>
              <w:top w:val="single" w:sz="4" w:space="0" w:color="auto"/>
              <w:left w:val="single" w:sz="4" w:space="0" w:color="auto"/>
              <w:bottom w:val="single" w:sz="4" w:space="0" w:color="auto"/>
              <w:right w:val="single" w:sz="4" w:space="0" w:color="auto"/>
            </w:tcBorders>
            <w:hideMark/>
          </w:tcPr>
          <w:p w:rsidR="00FA6A77" w:rsidRPr="00D5126A" w:rsidRDefault="00FA6A77" w:rsidP="0071534A">
            <w:pPr>
              <w:tabs>
                <w:tab w:val="right" w:pos="794"/>
              </w:tabs>
              <w:spacing w:after="0"/>
              <w:ind w:right="-250"/>
              <w:rPr>
                <w:rFonts w:ascii="Arial" w:hAnsi="Arial" w:cs="Arial"/>
                <w:sz w:val="20"/>
                <w:szCs w:val="20"/>
                <w:lang w:eastAsia="en-GB"/>
              </w:rPr>
            </w:pPr>
            <w:r w:rsidRPr="00D5126A">
              <w:rPr>
                <w:rFonts w:ascii="Arial" w:hAnsi="Arial" w:cs="Arial"/>
                <w:sz w:val="20"/>
                <w:szCs w:val="20"/>
                <w:lang w:eastAsia="en-GB"/>
              </w:rPr>
              <w:t>Wellington Museums Trust (Trading as Experience Wellington)</w:t>
            </w:r>
          </w:p>
        </w:tc>
        <w:tc>
          <w:tcPr>
            <w:tcW w:w="1418" w:type="dxa"/>
            <w:tcBorders>
              <w:top w:val="single" w:sz="4" w:space="0" w:color="auto"/>
              <w:left w:val="single" w:sz="4" w:space="0" w:color="auto"/>
              <w:bottom w:val="single" w:sz="4" w:space="0" w:color="auto"/>
              <w:right w:val="single" w:sz="4" w:space="0" w:color="auto"/>
            </w:tcBorders>
            <w:hideMark/>
          </w:tcPr>
          <w:p w:rsidR="00FA6A77" w:rsidRPr="00D5126A" w:rsidRDefault="00FA6A77" w:rsidP="0071534A">
            <w:pPr>
              <w:tabs>
                <w:tab w:val="right" w:pos="794"/>
              </w:tabs>
              <w:spacing w:after="0"/>
              <w:ind w:right="-250"/>
              <w:jc w:val="center"/>
              <w:rPr>
                <w:rFonts w:ascii="Arial" w:hAnsi="Arial" w:cs="Arial"/>
                <w:sz w:val="20"/>
                <w:szCs w:val="20"/>
                <w:lang w:eastAsia="en-GB"/>
              </w:rPr>
            </w:pPr>
            <w:r w:rsidRPr="00D5126A">
              <w:rPr>
                <w:rFonts w:ascii="Arial" w:hAnsi="Arial" w:cs="Arial"/>
                <w:sz w:val="20"/>
                <w:szCs w:val="20"/>
                <w:lang w:eastAsia="en-GB"/>
              </w:rPr>
              <w:t>100%</w:t>
            </w:r>
          </w:p>
        </w:tc>
        <w:tc>
          <w:tcPr>
            <w:tcW w:w="1417" w:type="dxa"/>
            <w:tcBorders>
              <w:top w:val="single" w:sz="4" w:space="0" w:color="auto"/>
              <w:left w:val="single" w:sz="4" w:space="0" w:color="auto"/>
              <w:bottom w:val="single" w:sz="4" w:space="0" w:color="auto"/>
              <w:right w:val="single" w:sz="4" w:space="0" w:color="auto"/>
            </w:tcBorders>
            <w:hideMark/>
          </w:tcPr>
          <w:p w:rsidR="00FA6A77" w:rsidRPr="00D5126A" w:rsidRDefault="00FA6A77" w:rsidP="0071534A">
            <w:pPr>
              <w:tabs>
                <w:tab w:val="right" w:pos="794"/>
              </w:tabs>
              <w:spacing w:after="0"/>
              <w:ind w:right="-250"/>
              <w:jc w:val="center"/>
              <w:rPr>
                <w:rFonts w:ascii="Arial" w:hAnsi="Arial" w:cs="Arial"/>
                <w:sz w:val="20"/>
                <w:szCs w:val="20"/>
                <w:lang w:eastAsia="en-GB"/>
              </w:rPr>
            </w:pPr>
            <w:r w:rsidRPr="00D5126A">
              <w:rPr>
                <w:rFonts w:ascii="Arial" w:hAnsi="Arial" w:cs="Arial"/>
                <w:sz w:val="20"/>
                <w:szCs w:val="20"/>
                <w:lang w:eastAsia="en-GB"/>
              </w:rPr>
              <w:t>100%</w:t>
            </w:r>
          </w:p>
        </w:tc>
        <w:tc>
          <w:tcPr>
            <w:tcW w:w="4253" w:type="dxa"/>
            <w:tcBorders>
              <w:top w:val="single" w:sz="4" w:space="0" w:color="auto"/>
              <w:left w:val="single" w:sz="4" w:space="0" w:color="auto"/>
              <w:bottom w:val="single" w:sz="4" w:space="0" w:color="auto"/>
              <w:right w:val="single" w:sz="4" w:space="0" w:color="auto"/>
            </w:tcBorders>
            <w:hideMark/>
          </w:tcPr>
          <w:p w:rsidR="00FA6A77" w:rsidRPr="00D5126A" w:rsidRDefault="00FA6A77" w:rsidP="0071534A">
            <w:pPr>
              <w:tabs>
                <w:tab w:val="right" w:pos="794"/>
              </w:tabs>
              <w:spacing w:after="0"/>
              <w:ind w:right="-250"/>
              <w:rPr>
                <w:rFonts w:ascii="Arial" w:hAnsi="Arial" w:cs="Arial"/>
                <w:sz w:val="20"/>
                <w:szCs w:val="20"/>
                <w:lang w:eastAsia="en-GB"/>
              </w:rPr>
            </w:pPr>
            <w:r w:rsidRPr="00D5126A">
              <w:rPr>
                <w:rFonts w:ascii="Arial" w:hAnsi="Arial" w:cs="Arial"/>
                <w:sz w:val="20"/>
                <w:szCs w:val="20"/>
                <w:lang w:eastAsia="en-GB"/>
              </w:rPr>
              <w:t>Administers the Cable Car Museum, Capital E, the City Gallery, the Nairn Street Cottage, the Space Place (Carter Observatory), the</w:t>
            </w:r>
          </w:p>
          <w:p w:rsidR="00FA6A77" w:rsidRPr="00D5126A" w:rsidRDefault="00FA6A77" w:rsidP="0071534A">
            <w:pPr>
              <w:tabs>
                <w:tab w:val="right" w:pos="794"/>
              </w:tabs>
              <w:spacing w:after="0"/>
              <w:ind w:right="-250"/>
              <w:rPr>
                <w:rFonts w:ascii="Arial" w:hAnsi="Arial" w:cs="Arial"/>
                <w:sz w:val="20"/>
                <w:szCs w:val="20"/>
                <w:lang w:eastAsia="en-GB"/>
              </w:rPr>
            </w:pPr>
            <w:r w:rsidRPr="00D5126A">
              <w:rPr>
                <w:rFonts w:ascii="Arial" w:hAnsi="Arial" w:cs="Arial"/>
                <w:sz w:val="20"/>
                <w:szCs w:val="20"/>
                <w:lang w:eastAsia="en-GB"/>
              </w:rPr>
              <w:t>Wellington Museum and the NZ Cricket Museum</w:t>
            </w:r>
          </w:p>
        </w:tc>
      </w:tr>
      <w:tr w:rsidR="00FA6A77" w:rsidRPr="00D5126A" w:rsidTr="00972DE7">
        <w:trPr>
          <w:cantSplit/>
          <w:trHeight w:val="768"/>
        </w:trPr>
        <w:tc>
          <w:tcPr>
            <w:tcW w:w="2977" w:type="dxa"/>
            <w:tcBorders>
              <w:top w:val="single" w:sz="4" w:space="0" w:color="auto"/>
              <w:left w:val="single" w:sz="4" w:space="0" w:color="auto"/>
              <w:bottom w:val="nil"/>
              <w:right w:val="single" w:sz="4" w:space="0" w:color="auto"/>
            </w:tcBorders>
            <w:hideMark/>
          </w:tcPr>
          <w:p w:rsidR="00FA6A77" w:rsidRPr="00D5126A" w:rsidRDefault="00FA6A77" w:rsidP="0071534A">
            <w:pPr>
              <w:tabs>
                <w:tab w:val="right" w:pos="794"/>
              </w:tabs>
              <w:spacing w:after="0"/>
              <w:ind w:right="-250"/>
              <w:rPr>
                <w:rFonts w:ascii="Arial" w:hAnsi="Arial" w:cs="Arial"/>
                <w:sz w:val="20"/>
                <w:szCs w:val="20"/>
                <w:lang w:eastAsia="en-GB"/>
              </w:rPr>
            </w:pPr>
            <w:r w:rsidRPr="00D5126A">
              <w:rPr>
                <w:rFonts w:ascii="Arial" w:hAnsi="Arial" w:cs="Arial"/>
                <w:sz w:val="20"/>
                <w:szCs w:val="20"/>
                <w:lang w:eastAsia="en-GB"/>
              </w:rPr>
              <w:t xml:space="preserve">Wellington Regional Economic Development Agency Limited (WREDA) </w:t>
            </w:r>
          </w:p>
          <w:p w:rsidR="00FA6A77" w:rsidRPr="00D5126A" w:rsidRDefault="00FA6A77" w:rsidP="0071534A">
            <w:pPr>
              <w:tabs>
                <w:tab w:val="right" w:pos="794"/>
              </w:tabs>
              <w:spacing w:after="0"/>
              <w:ind w:right="-250"/>
              <w:rPr>
                <w:rFonts w:ascii="Arial" w:hAnsi="Arial" w:cs="Arial"/>
                <w:sz w:val="20"/>
                <w:szCs w:val="20"/>
                <w:lang w:eastAsia="en-GB"/>
              </w:rPr>
            </w:pPr>
            <w:r w:rsidRPr="00D5126A">
              <w:rPr>
                <w:rFonts w:ascii="Arial" w:hAnsi="Arial" w:cs="Arial"/>
                <w:sz w:val="20"/>
                <w:szCs w:val="20"/>
                <w:lang w:eastAsia="en-GB"/>
              </w:rPr>
              <w:t>(Trading as WellingtonNZ)</w:t>
            </w:r>
          </w:p>
        </w:tc>
        <w:tc>
          <w:tcPr>
            <w:tcW w:w="1418" w:type="dxa"/>
            <w:tcBorders>
              <w:top w:val="single" w:sz="4" w:space="0" w:color="auto"/>
              <w:left w:val="single" w:sz="4" w:space="0" w:color="auto"/>
              <w:bottom w:val="single" w:sz="4" w:space="0" w:color="auto"/>
              <w:right w:val="single" w:sz="4" w:space="0" w:color="auto"/>
            </w:tcBorders>
            <w:hideMark/>
          </w:tcPr>
          <w:p w:rsidR="00FA6A77" w:rsidRPr="00D5126A" w:rsidRDefault="00FA6A77" w:rsidP="0071534A">
            <w:pPr>
              <w:tabs>
                <w:tab w:val="right" w:pos="794"/>
              </w:tabs>
              <w:spacing w:after="0"/>
              <w:ind w:right="-250"/>
              <w:jc w:val="center"/>
              <w:rPr>
                <w:rFonts w:ascii="Arial" w:hAnsi="Arial" w:cs="Arial"/>
                <w:sz w:val="20"/>
                <w:szCs w:val="20"/>
                <w:lang w:eastAsia="en-GB"/>
              </w:rPr>
            </w:pPr>
            <w:r w:rsidRPr="00D5126A">
              <w:rPr>
                <w:rFonts w:ascii="Arial" w:hAnsi="Arial" w:cs="Arial"/>
                <w:sz w:val="20"/>
                <w:szCs w:val="20"/>
                <w:lang w:eastAsia="en-GB"/>
              </w:rPr>
              <w:t>80%</w:t>
            </w:r>
          </w:p>
        </w:tc>
        <w:tc>
          <w:tcPr>
            <w:tcW w:w="1417" w:type="dxa"/>
            <w:tcBorders>
              <w:top w:val="single" w:sz="4" w:space="0" w:color="auto"/>
              <w:left w:val="single" w:sz="4" w:space="0" w:color="auto"/>
              <w:bottom w:val="single" w:sz="4" w:space="0" w:color="auto"/>
              <w:right w:val="single" w:sz="4" w:space="0" w:color="auto"/>
            </w:tcBorders>
            <w:hideMark/>
          </w:tcPr>
          <w:p w:rsidR="00FA6A77" w:rsidRPr="00D5126A" w:rsidRDefault="00FA6A77" w:rsidP="0071534A">
            <w:pPr>
              <w:tabs>
                <w:tab w:val="right" w:pos="794"/>
              </w:tabs>
              <w:spacing w:after="0"/>
              <w:ind w:right="-250"/>
              <w:jc w:val="center"/>
              <w:rPr>
                <w:rFonts w:ascii="Arial" w:hAnsi="Arial" w:cs="Arial"/>
                <w:sz w:val="20"/>
                <w:szCs w:val="20"/>
                <w:lang w:eastAsia="en-GB"/>
              </w:rPr>
            </w:pPr>
            <w:r w:rsidRPr="00D5126A">
              <w:rPr>
                <w:rFonts w:ascii="Arial" w:hAnsi="Arial" w:cs="Arial"/>
                <w:sz w:val="20"/>
                <w:szCs w:val="20"/>
                <w:lang w:eastAsia="en-GB"/>
              </w:rPr>
              <w:t>80%</w:t>
            </w:r>
          </w:p>
        </w:tc>
        <w:tc>
          <w:tcPr>
            <w:tcW w:w="4253" w:type="dxa"/>
            <w:tcBorders>
              <w:top w:val="single" w:sz="4" w:space="0" w:color="auto"/>
              <w:left w:val="single" w:sz="4" w:space="0" w:color="auto"/>
              <w:bottom w:val="single" w:sz="4" w:space="0" w:color="auto"/>
              <w:right w:val="single" w:sz="4" w:space="0" w:color="auto"/>
            </w:tcBorders>
            <w:hideMark/>
          </w:tcPr>
          <w:p w:rsidR="00FA6A77" w:rsidRPr="00D5126A" w:rsidRDefault="00FA6A77" w:rsidP="0071534A">
            <w:pPr>
              <w:tabs>
                <w:tab w:val="right" w:pos="794"/>
              </w:tabs>
              <w:spacing w:after="0"/>
              <w:ind w:right="-250"/>
              <w:rPr>
                <w:rFonts w:ascii="Arial" w:hAnsi="Arial" w:cs="Arial"/>
                <w:sz w:val="20"/>
                <w:szCs w:val="20"/>
                <w:lang w:eastAsia="en-GB"/>
              </w:rPr>
            </w:pPr>
            <w:r w:rsidRPr="00D5126A">
              <w:rPr>
                <w:rFonts w:ascii="Arial" w:hAnsi="Arial" w:cs="Arial"/>
                <w:sz w:val="20"/>
                <w:szCs w:val="20"/>
                <w:lang w:eastAsia="en-GB"/>
              </w:rPr>
              <w:t xml:space="preserve">Manages the Wellington Venues Project and creates economic and social benefit by marketing the city with the private sector as a tourism destination. </w:t>
            </w:r>
          </w:p>
        </w:tc>
      </w:tr>
      <w:tr w:rsidR="00FA6A77" w:rsidRPr="00D5126A" w:rsidTr="0071534A">
        <w:trPr>
          <w:cantSplit/>
          <w:trHeight w:val="221"/>
        </w:trPr>
        <w:tc>
          <w:tcPr>
            <w:tcW w:w="2977" w:type="dxa"/>
            <w:tcBorders>
              <w:top w:val="nil"/>
              <w:left w:val="single" w:sz="4" w:space="0" w:color="auto"/>
              <w:bottom w:val="single" w:sz="4" w:space="0" w:color="auto"/>
              <w:right w:val="single" w:sz="4" w:space="0" w:color="auto"/>
            </w:tcBorders>
          </w:tcPr>
          <w:p w:rsidR="00FA6A77" w:rsidRPr="00D5126A" w:rsidRDefault="00FA6A77" w:rsidP="0071534A">
            <w:pPr>
              <w:tabs>
                <w:tab w:val="right" w:pos="794"/>
              </w:tabs>
              <w:spacing w:after="0"/>
              <w:ind w:right="-250"/>
              <w:rPr>
                <w:rFonts w:ascii="Arial" w:hAnsi="Arial" w:cs="Arial"/>
                <w:sz w:val="20"/>
                <w:szCs w:val="20"/>
                <w:lang w:eastAsia="en-GB"/>
              </w:rPr>
            </w:pPr>
            <w:r w:rsidRPr="00D5126A">
              <w:rPr>
                <w:rFonts w:ascii="Arial" w:hAnsi="Arial" w:cs="Arial"/>
                <w:sz w:val="20"/>
                <w:szCs w:val="20"/>
                <w:lang w:eastAsia="en-GB"/>
              </w:rPr>
              <w:t xml:space="preserve">           - Creative HQ Limited</w:t>
            </w:r>
          </w:p>
          <w:p w:rsidR="00FA6A77" w:rsidRPr="00D5126A" w:rsidRDefault="00FA6A77" w:rsidP="002C7BF8">
            <w:pPr>
              <w:numPr>
                <w:ilvl w:val="0"/>
                <w:numId w:val="39"/>
              </w:numPr>
              <w:tabs>
                <w:tab w:val="right" w:pos="794"/>
              </w:tabs>
              <w:spacing w:after="0" w:line="240" w:lineRule="auto"/>
              <w:ind w:right="-250"/>
              <w:rPr>
                <w:rFonts w:ascii="Arial" w:hAnsi="Arial" w:cs="Arial"/>
                <w:sz w:val="20"/>
                <w:szCs w:val="20"/>
                <w:lang w:eastAsia="en-GB"/>
              </w:rPr>
            </w:pPr>
          </w:p>
        </w:tc>
        <w:tc>
          <w:tcPr>
            <w:tcW w:w="1418" w:type="dxa"/>
            <w:tcBorders>
              <w:top w:val="single" w:sz="4" w:space="0" w:color="auto"/>
              <w:left w:val="single" w:sz="4" w:space="0" w:color="auto"/>
              <w:bottom w:val="single" w:sz="4" w:space="0" w:color="auto"/>
              <w:right w:val="single" w:sz="4" w:space="0" w:color="auto"/>
            </w:tcBorders>
            <w:hideMark/>
          </w:tcPr>
          <w:p w:rsidR="00FA6A77" w:rsidRPr="00D5126A" w:rsidRDefault="00FA6A77" w:rsidP="0071534A">
            <w:pPr>
              <w:spacing w:after="0"/>
              <w:jc w:val="center"/>
              <w:rPr>
                <w:rFonts w:ascii="Arial" w:hAnsi="Arial" w:cs="Arial"/>
                <w:sz w:val="20"/>
                <w:szCs w:val="20"/>
                <w:lang w:eastAsia="en-GB"/>
              </w:rPr>
            </w:pPr>
            <w:r w:rsidRPr="00D5126A">
              <w:rPr>
                <w:rFonts w:ascii="Arial" w:hAnsi="Arial" w:cs="Arial"/>
                <w:sz w:val="20"/>
                <w:szCs w:val="20"/>
                <w:lang w:eastAsia="en-GB"/>
              </w:rPr>
              <w:t xml:space="preserve">    80%</w:t>
            </w:r>
          </w:p>
        </w:tc>
        <w:tc>
          <w:tcPr>
            <w:tcW w:w="1417" w:type="dxa"/>
            <w:tcBorders>
              <w:top w:val="single" w:sz="4" w:space="0" w:color="auto"/>
              <w:left w:val="single" w:sz="4" w:space="0" w:color="auto"/>
              <w:bottom w:val="single" w:sz="4" w:space="0" w:color="auto"/>
              <w:right w:val="single" w:sz="4" w:space="0" w:color="auto"/>
            </w:tcBorders>
            <w:hideMark/>
          </w:tcPr>
          <w:p w:rsidR="00FA6A77" w:rsidRPr="00D5126A" w:rsidRDefault="00FA6A77" w:rsidP="0071534A">
            <w:pPr>
              <w:spacing w:after="0"/>
              <w:jc w:val="center"/>
              <w:rPr>
                <w:rFonts w:ascii="Arial" w:hAnsi="Arial" w:cs="Arial"/>
                <w:sz w:val="20"/>
                <w:szCs w:val="20"/>
                <w:lang w:eastAsia="en-GB"/>
              </w:rPr>
            </w:pPr>
            <w:r w:rsidRPr="00D5126A">
              <w:rPr>
                <w:rFonts w:ascii="Arial" w:hAnsi="Arial" w:cs="Arial"/>
                <w:sz w:val="20"/>
                <w:szCs w:val="20"/>
                <w:lang w:eastAsia="en-GB"/>
              </w:rPr>
              <w:t xml:space="preserve">    80%</w:t>
            </w:r>
          </w:p>
        </w:tc>
        <w:tc>
          <w:tcPr>
            <w:tcW w:w="4253" w:type="dxa"/>
            <w:tcBorders>
              <w:top w:val="single" w:sz="4" w:space="0" w:color="auto"/>
              <w:left w:val="single" w:sz="4" w:space="0" w:color="auto"/>
              <w:bottom w:val="single" w:sz="4" w:space="0" w:color="auto"/>
              <w:right w:val="single" w:sz="4" w:space="0" w:color="auto"/>
            </w:tcBorders>
            <w:hideMark/>
          </w:tcPr>
          <w:p w:rsidR="00FA6A77" w:rsidRPr="00D5126A" w:rsidRDefault="00FA6A77" w:rsidP="0071534A">
            <w:pPr>
              <w:tabs>
                <w:tab w:val="right" w:pos="794"/>
              </w:tabs>
              <w:spacing w:after="0"/>
              <w:ind w:right="-250"/>
              <w:rPr>
                <w:rFonts w:ascii="Arial" w:hAnsi="Arial" w:cs="Arial"/>
                <w:sz w:val="20"/>
                <w:szCs w:val="20"/>
                <w:lang w:eastAsia="en-GB"/>
              </w:rPr>
            </w:pPr>
            <w:r w:rsidRPr="00D5126A">
              <w:rPr>
                <w:rFonts w:ascii="Arial" w:hAnsi="Arial" w:cs="Arial"/>
                <w:sz w:val="20"/>
                <w:szCs w:val="20"/>
                <w:lang w:eastAsia="en-GB"/>
              </w:rPr>
              <w:t>Business incubators</w:t>
            </w:r>
          </w:p>
        </w:tc>
      </w:tr>
      <w:tr w:rsidR="00FA6A77" w:rsidRPr="00D5126A" w:rsidTr="00972DE7">
        <w:trPr>
          <w:cantSplit/>
          <w:trHeight w:val="481"/>
        </w:trPr>
        <w:tc>
          <w:tcPr>
            <w:tcW w:w="2977" w:type="dxa"/>
            <w:tcBorders>
              <w:top w:val="nil"/>
              <w:left w:val="single" w:sz="4" w:space="0" w:color="auto"/>
              <w:bottom w:val="single" w:sz="4" w:space="0" w:color="auto"/>
              <w:right w:val="single" w:sz="4" w:space="0" w:color="auto"/>
            </w:tcBorders>
            <w:hideMark/>
          </w:tcPr>
          <w:p w:rsidR="00FA6A77" w:rsidRPr="00D5126A" w:rsidRDefault="00FA6A77" w:rsidP="0071534A">
            <w:pPr>
              <w:tabs>
                <w:tab w:val="right" w:pos="794"/>
              </w:tabs>
              <w:spacing w:after="0"/>
              <w:ind w:right="-250"/>
              <w:rPr>
                <w:rFonts w:ascii="Arial" w:hAnsi="Arial" w:cs="Arial"/>
                <w:sz w:val="20"/>
                <w:szCs w:val="20"/>
                <w:lang w:eastAsia="en-GB"/>
              </w:rPr>
            </w:pPr>
            <w:r w:rsidRPr="00D5126A">
              <w:rPr>
                <w:rFonts w:ascii="Arial" w:hAnsi="Arial" w:cs="Arial"/>
                <w:sz w:val="20"/>
                <w:szCs w:val="20"/>
                <w:lang w:eastAsia="en-GB"/>
              </w:rPr>
              <w:t>Wellington Waterfront Limited</w:t>
            </w:r>
          </w:p>
        </w:tc>
        <w:tc>
          <w:tcPr>
            <w:tcW w:w="1418" w:type="dxa"/>
            <w:tcBorders>
              <w:top w:val="single" w:sz="4" w:space="0" w:color="auto"/>
              <w:left w:val="single" w:sz="4" w:space="0" w:color="auto"/>
              <w:bottom w:val="single" w:sz="4" w:space="0" w:color="auto"/>
              <w:right w:val="single" w:sz="4" w:space="0" w:color="auto"/>
            </w:tcBorders>
            <w:hideMark/>
          </w:tcPr>
          <w:p w:rsidR="00FA6A77" w:rsidRPr="00D5126A" w:rsidRDefault="00FA6A77" w:rsidP="0071534A">
            <w:pPr>
              <w:tabs>
                <w:tab w:val="right" w:pos="794"/>
              </w:tabs>
              <w:spacing w:after="0"/>
              <w:ind w:right="-250"/>
              <w:jc w:val="center"/>
              <w:rPr>
                <w:rFonts w:ascii="Arial" w:hAnsi="Arial" w:cs="Arial"/>
                <w:sz w:val="20"/>
                <w:szCs w:val="20"/>
                <w:lang w:eastAsia="en-GB"/>
              </w:rPr>
            </w:pPr>
            <w:r w:rsidRPr="00D5126A">
              <w:rPr>
                <w:rFonts w:ascii="Arial" w:hAnsi="Arial" w:cs="Arial"/>
                <w:sz w:val="20"/>
                <w:szCs w:val="20"/>
                <w:lang w:eastAsia="en-GB"/>
              </w:rPr>
              <w:t>100%</w:t>
            </w:r>
          </w:p>
        </w:tc>
        <w:tc>
          <w:tcPr>
            <w:tcW w:w="1417" w:type="dxa"/>
            <w:tcBorders>
              <w:top w:val="single" w:sz="4" w:space="0" w:color="auto"/>
              <w:left w:val="single" w:sz="4" w:space="0" w:color="auto"/>
              <w:bottom w:val="single" w:sz="4" w:space="0" w:color="auto"/>
              <w:right w:val="single" w:sz="4" w:space="0" w:color="auto"/>
            </w:tcBorders>
            <w:hideMark/>
          </w:tcPr>
          <w:p w:rsidR="00FA6A77" w:rsidRPr="00D5126A" w:rsidRDefault="00FA6A77" w:rsidP="0071534A">
            <w:pPr>
              <w:tabs>
                <w:tab w:val="right" w:pos="794"/>
              </w:tabs>
              <w:spacing w:after="0"/>
              <w:ind w:right="-250"/>
              <w:jc w:val="center"/>
              <w:rPr>
                <w:rFonts w:ascii="Arial" w:hAnsi="Arial" w:cs="Arial"/>
                <w:sz w:val="20"/>
                <w:szCs w:val="20"/>
                <w:lang w:eastAsia="en-GB"/>
              </w:rPr>
            </w:pPr>
            <w:r w:rsidRPr="00D5126A">
              <w:rPr>
                <w:rFonts w:ascii="Arial" w:hAnsi="Arial" w:cs="Arial"/>
                <w:sz w:val="20"/>
                <w:szCs w:val="20"/>
                <w:lang w:eastAsia="en-GB"/>
              </w:rPr>
              <w:t>100%</w:t>
            </w:r>
          </w:p>
        </w:tc>
        <w:tc>
          <w:tcPr>
            <w:tcW w:w="4253" w:type="dxa"/>
            <w:tcBorders>
              <w:top w:val="single" w:sz="4" w:space="0" w:color="auto"/>
              <w:left w:val="single" w:sz="4" w:space="0" w:color="auto"/>
              <w:bottom w:val="single" w:sz="4" w:space="0" w:color="auto"/>
              <w:right w:val="single" w:sz="4" w:space="0" w:color="auto"/>
            </w:tcBorders>
            <w:hideMark/>
          </w:tcPr>
          <w:p w:rsidR="00FA6A77" w:rsidRPr="00D5126A" w:rsidRDefault="00FA6A77" w:rsidP="0071534A">
            <w:pPr>
              <w:tabs>
                <w:tab w:val="right" w:pos="794"/>
              </w:tabs>
              <w:spacing w:after="0"/>
              <w:ind w:right="-250"/>
              <w:rPr>
                <w:rFonts w:ascii="Arial" w:hAnsi="Arial" w:cs="Arial"/>
                <w:sz w:val="20"/>
                <w:szCs w:val="20"/>
                <w:lang w:eastAsia="en-GB"/>
              </w:rPr>
            </w:pPr>
            <w:r w:rsidRPr="00D5126A">
              <w:rPr>
                <w:rFonts w:ascii="Arial" w:hAnsi="Arial" w:cs="Arial"/>
                <w:sz w:val="20"/>
                <w:szCs w:val="20"/>
                <w:lang w:eastAsia="en-GB"/>
              </w:rPr>
              <w:t>Acts as bare trustee for the Waterfront project</w:t>
            </w:r>
          </w:p>
        </w:tc>
      </w:tr>
      <w:tr w:rsidR="00FA6A77" w:rsidRPr="00D5126A" w:rsidTr="00972DE7">
        <w:trPr>
          <w:cantSplit/>
          <w:trHeight w:val="633"/>
        </w:trPr>
        <w:tc>
          <w:tcPr>
            <w:tcW w:w="2977" w:type="dxa"/>
            <w:tcBorders>
              <w:top w:val="single" w:sz="4" w:space="0" w:color="auto"/>
              <w:left w:val="single" w:sz="4" w:space="0" w:color="auto"/>
              <w:bottom w:val="single" w:sz="4" w:space="0" w:color="auto"/>
              <w:right w:val="single" w:sz="4" w:space="0" w:color="auto"/>
            </w:tcBorders>
            <w:hideMark/>
          </w:tcPr>
          <w:p w:rsidR="00FA6A77" w:rsidRPr="00D5126A" w:rsidRDefault="00FA6A77" w:rsidP="0071534A">
            <w:pPr>
              <w:tabs>
                <w:tab w:val="right" w:pos="794"/>
              </w:tabs>
              <w:spacing w:after="0"/>
              <w:ind w:right="-250"/>
              <w:rPr>
                <w:rFonts w:ascii="Arial" w:hAnsi="Arial" w:cs="Arial"/>
                <w:sz w:val="20"/>
                <w:szCs w:val="20"/>
                <w:lang w:eastAsia="en-GB"/>
              </w:rPr>
            </w:pPr>
            <w:r w:rsidRPr="00D5126A">
              <w:rPr>
                <w:rFonts w:ascii="Arial" w:hAnsi="Arial" w:cs="Arial"/>
                <w:sz w:val="20"/>
                <w:szCs w:val="20"/>
                <w:lang w:eastAsia="en-GB"/>
              </w:rPr>
              <w:t>Wellington Zoo Trust</w:t>
            </w:r>
          </w:p>
        </w:tc>
        <w:tc>
          <w:tcPr>
            <w:tcW w:w="1418" w:type="dxa"/>
            <w:tcBorders>
              <w:top w:val="single" w:sz="4" w:space="0" w:color="auto"/>
              <w:left w:val="single" w:sz="4" w:space="0" w:color="auto"/>
              <w:bottom w:val="single" w:sz="4" w:space="0" w:color="auto"/>
              <w:right w:val="single" w:sz="4" w:space="0" w:color="auto"/>
            </w:tcBorders>
            <w:hideMark/>
          </w:tcPr>
          <w:p w:rsidR="00FA6A77" w:rsidRPr="00D5126A" w:rsidRDefault="00FA6A77" w:rsidP="0071534A">
            <w:pPr>
              <w:tabs>
                <w:tab w:val="right" w:pos="794"/>
              </w:tabs>
              <w:spacing w:after="0"/>
              <w:ind w:right="-250"/>
              <w:jc w:val="center"/>
              <w:rPr>
                <w:rFonts w:ascii="Arial" w:hAnsi="Arial" w:cs="Arial"/>
                <w:sz w:val="20"/>
                <w:szCs w:val="20"/>
                <w:lang w:eastAsia="en-GB"/>
              </w:rPr>
            </w:pPr>
            <w:r w:rsidRPr="00D5126A">
              <w:rPr>
                <w:rFonts w:ascii="Arial" w:hAnsi="Arial" w:cs="Arial"/>
                <w:sz w:val="20"/>
                <w:szCs w:val="20"/>
                <w:lang w:eastAsia="en-GB"/>
              </w:rPr>
              <w:t>100%</w:t>
            </w:r>
          </w:p>
        </w:tc>
        <w:tc>
          <w:tcPr>
            <w:tcW w:w="1417" w:type="dxa"/>
            <w:tcBorders>
              <w:top w:val="single" w:sz="4" w:space="0" w:color="auto"/>
              <w:left w:val="single" w:sz="4" w:space="0" w:color="auto"/>
              <w:bottom w:val="single" w:sz="4" w:space="0" w:color="auto"/>
              <w:right w:val="single" w:sz="4" w:space="0" w:color="auto"/>
            </w:tcBorders>
            <w:hideMark/>
          </w:tcPr>
          <w:p w:rsidR="00FA6A77" w:rsidRPr="00D5126A" w:rsidRDefault="00FA6A77" w:rsidP="0071534A">
            <w:pPr>
              <w:tabs>
                <w:tab w:val="right" w:pos="794"/>
              </w:tabs>
              <w:spacing w:after="0"/>
              <w:ind w:right="-250"/>
              <w:jc w:val="center"/>
              <w:rPr>
                <w:rFonts w:ascii="Arial" w:hAnsi="Arial" w:cs="Arial"/>
                <w:sz w:val="20"/>
                <w:szCs w:val="20"/>
                <w:lang w:eastAsia="en-GB"/>
              </w:rPr>
            </w:pPr>
            <w:r w:rsidRPr="00D5126A">
              <w:rPr>
                <w:rFonts w:ascii="Arial" w:hAnsi="Arial" w:cs="Arial"/>
                <w:sz w:val="20"/>
                <w:szCs w:val="20"/>
                <w:lang w:eastAsia="en-GB"/>
              </w:rPr>
              <w:t>100%</w:t>
            </w:r>
          </w:p>
        </w:tc>
        <w:tc>
          <w:tcPr>
            <w:tcW w:w="4253" w:type="dxa"/>
            <w:tcBorders>
              <w:top w:val="single" w:sz="4" w:space="0" w:color="auto"/>
              <w:left w:val="single" w:sz="4" w:space="0" w:color="auto"/>
              <w:bottom w:val="single" w:sz="4" w:space="0" w:color="auto"/>
              <w:right w:val="single" w:sz="4" w:space="0" w:color="auto"/>
            </w:tcBorders>
            <w:hideMark/>
          </w:tcPr>
          <w:p w:rsidR="00FA6A77" w:rsidRPr="00D5126A" w:rsidRDefault="00FA6A77" w:rsidP="0071534A">
            <w:pPr>
              <w:tabs>
                <w:tab w:val="right" w:pos="794"/>
              </w:tabs>
              <w:spacing w:after="0"/>
              <w:ind w:right="-250"/>
              <w:rPr>
                <w:rFonts w:ascii="Arial" w:hAnsi="Arial" w:cs="Arial"/>
                <w:sz w:val="20"/>
                <w:szCs w:val="20"/>
                <w:lang w:eastAsia="en-GB"/>
              </w:rPr>
            </w:pPr>
            <w:r w:rsidRPr="00D5126A">
              <w:rPr>
                <w:rFonts w:ascii="Arial" w:hAnsi="Arial" w:cs="Arial"/>
                <w:sz w:val="20"/>
                <w:szCs w:val="20"/>
                <w:lang w:eastAsia="en-GB"/>
              </w:rPr>
              <w:t xml:space="preserve">Manages and guides the future direction of </w:t>
            </w:r>
          </w:p>
          <w:p w:rsidR="00FA6A77" w:rsidRPr="00D5126A" w:rsidRDefault="00FA6A77" w:rsidP="0071534A">
            <w:pPr>
              <w:tabs>
                <w:tab w:val="right" w:pos="794"/>
              </w:tabs>
              <w:spacing w:after="0"/>
              <w:ind w:right="-250"/>
              <w:rPr>
                <w:rFonts w:ascii="Arial" w:hAnsi="Arial" w:cs="Arial"/>
                <w:sz w:val="20"/>
                <w:szCs w:val="20"/>
                <w:lang w:eastAsia="en-GB"/>
              </w:rPr>
            </w:pPr>
            <w:proofErr w:type="gramStart"/>
            <w:r w:rsidRPr="00D5126A">
              <w:rPr>
                <w:rFonts w:ascii="Arial" w:hAnsi="Arial" w:cs="Arial"/>
                <w:sz w:val="20"/>
                <w:szCs w:val="20"/>
                <w:lang w:eastAsia="en-GB"/>
              </w:rPr>
              <w:t>the</w:t>
            </w:r>
            <w:proofErr w:type="gramEnd"/>
            <w:r w:rsidRPr="00D5126A">
              <w:rPr>
                <w:rFonts w:ascii="Arial" w:hAnsi="Arial" w:cs="Arial"/>
                <w:sz w:val="20"/>
                <w:szCs w:val="20"/>
                <w:lang w:eastAsia="en-GB"/>
              </w:rPr>
              <w:t xml:space="preserve"> Wellington Zoo.</w:t>
            </w:r>
          </w:p>
        </w:tc>
      </w:tr>
    </w:tbl>
    <w:p w:rsidR="00FA6A77" w:rsidRPr="00D5126A" w:rsidRDefault="00FA6A77" w:rsidP="00FA6A77">
      <w:pPr>
        <w:rPr>
          <w:rFonts w:ascii="Arial" w:hAnsi="Arial" w:cs="Arial"/>
        </w:rPr>
      </w:pPr>
    </w:p>
    <w:p w:rsidR="00FA6A77" w:rsidRPr="00D5126A" w:rsidRDefault="00FA6A77" w:rsidP="00FA6A77">
      <w:pPr>
        <w:jc w:val="both"/>
        <w:rPr>
          <w:rFonts w:ascii="Arial" w:hAnsi="Arial" w:cs="Arial"/>
        </w:rPr>
      </w:pPr>
      <w:r w:rsidRPr="00D5126A">
        <w:rPr>
          <w:rFonts w:ascii="Arial" w:hAnsi="Arial" w:cs="Arial"/>
        </w:rPr>
        <w:t xml:space="preserve">The reporting period end date for all controlled entities is 30 June. Full copies of their financial statements can be obtained directly from their offices. Further information on the structure, objectives, </w:t>
      </w:r>
      <w:r w:rsidRPr="00D5126A">
        <w:rPr>
          <w:rFonts w:ascii="Arial" w:hAnsi="Arial" w:cs="Arial"/>
        </w:rPr>
        <w:lastRenderedPageBreak/>
        <w:t>the nature and scope of activities, and the performance measures and targets of the entities can be found in the relevant sections of the Statements of Service Provision.</w:t>
      </w:r>
    </w:p>
    <w:p w:rsidR="00FA6A77" w:rsidRPr="00D5126A" w:rsidRDefault="00FA6A77" w:rsidP="00201F90">
      <w:pPr>
        <w:pStyle w:val="Heading3"/>
      </w:pPr>
      <w:bookmarkStart w:id="438" w:name="_Toc19092073"/>
      <w:bookmarkStart w:id="439" w:name="_Toc23848712"/>
      <w:bookmarkStart w:id="440" w:name="OLE_LINK1"/>
      <w:r w:rsidRPr="00D5126A">
        <w:t>Note 20: Investment in associates and jointly controlled entity</w:t>
      </w:r>
      <w:bookmarkEnd w:id="438"/>
      <w:bookmarkEnd w:id="439"/>
    </w:p>
    <w:bookmarkEnd w:id="440"/>
    <w:p w:rsidR="00FA6A77" w:rsidRPr="00D5126A" w:rsidRDefault="00FA6A77" w:rsidP="00FA6A77">
      <w:pPr>
        <w:jc w:val="both"/>
      </w:pPr>
      <w:r w:rsidRPr="00D5126A">
        <w:t>The cost of the Council’s investment in associates and a jointly controlled entity is reflected in the Council financial statements as follows</w:t>
      </w:r>
      <w:r w:rsidR="00806B22">
        <w:t xml:space="preserve"> in Table 33</w:t>
      </w:r>
      <w:r w:rsidRPr="00D5126A">
        <w:t>:</w:t>
      </w:r>
    </w:p>
    <w:p w:rsidR="00B654D5" w:rsidRDefault="00B654D5" w:rsidP="00B654D5">
      <w:pPr>
        <w:pStyle w:val="Caption"/>
      </w:pPr>
      <w:r>
        <w:t xml:space="preserve">Section 5 - Table </w:t>
      </w:r>
      <w:fldSimple w:instr=" SEQ Section_5_-_Table \* ARABIC ">
        <w:r w:rsidR="005908C4">
          <w:rPr>
            <w:noProof/>
          </w:rPr>
          <w:t>33</w:t>
        </w:r>
      </w:fldSimple>
      <w:r>
        <w:t>: Investment in associates and jointly controlled entity</w:t>
      </w:r>
    </w:p>
    <w:p w:rsidR="00FA6A77" w:rsidRPr="00D5126A" w:rsidRDefault="00FA6A77" w:rsidP="00972DE7">
      <w:pPr>
        <w:ind w:left="-284"/>
        <w:rPr>
          <w:rFonts w:asciiTheme="majorHAnsi" w:eastAsia="MS Gothic" w:hAnsiTheme="majorHAnsi"/>
          <w:b/>
          <w:bCs/>
          <w:iCs/>
          <w:sz w:val="36"/>
          <w:szCs w:val="28"/>
        </w:rPr>
      </w:pPr>
      <w:r w:rsidRPr="00D5126A">
        <w:rPr>
          <w:rFonts w:asciiTheme="majorHAnsi" w:eastAsia="MS Gothic" w:hAnsiTheme="majorHAnsi"/>
          <w:b/>
          <w:bCs/>
          <w:iCs/>
          <w:noProof/>
          <w:sz w:val="36"/>
          <w:szCs w:val="28"/>
          <w:lang w:eastAsia="en-NZ"/>
        </w:rPr>
        <w:drawing>
          <wp:inline distT="0" distB="0" distL="0" distR="0" wp14:anchorId="02A92D3B" wp14:editId="2F38DCB8">
            <wp:extent cx="6330950" cy="1490980"/>
            <wp:effectExtent l="0" t="0" r="0" b="0"/>
            <wp:docPr id="1419" name="Picture 1419" title="Section 5 - Table 33: Investment in associates and jointly controlled ent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6330950" cy="1490980"/>
                    </a:xfrm>
                    <a:prstGeom prst="rect">
                      <a:avLst/>
                    </a:prstGeom>
                    <a:noFill/>
                    <a:ln>
                      <a:noFill/>
                    </a:ln>
                  </pic:spPr>
                </pic:pic>
              </a:graphicData>
            </a:graphic>
          </wp:inline>
        </w:drawing>
      </w:r>
    </w:p>
    <w:p w:rsidR="00806B22" w:rsidRDefault="00806B22" w:rsidP="00806B22">
      <w:pPr>
        <w:autoSpaceDE w:val="0"/>
        <w:autoSpaceDN w:val="0"/>
        <w:adjustRightInd w:val="0"/>
        <w:spacing w:after="0" w:line="240" w:lineRule="auto"/>
        <w:rPr>
          <w:rFonts w:cstheme="minorHAnsi"/>
          <w:color w:val="000000"/>
          <w:sz w:val="21"/>
          <w:szCs w:val="21"/>
        </w:rPr>
      </w:pPr>
      <w:r w:rsidRPr="00806B22">
        <w:rPr>
          <w:rFonts w:cstheme="minorHAnsi"/>
          <w:color w:val="000000"/>
          <w:sz w:val="21"/>
          <w:szCs w:val="21"/>
        </w:rPr>
        <w:t xml:space="preserve">The Council's significant interests in its associates and the jointly controlled entity are detailed in </w:t>
      </w:r>
      <w:r>
        <w:rPr>
          <w:rFonts w:cstheme="minorHAnsi"/>
          <w:color w:val="000000"/>
          <w:sz w:val="21"/>
          <w:szCs w:val="21"/>
        </w:rPr>
        <w:t xml:space="preserve">Table 34 which follows. </w:t>
      </w:r>
    </w:p>
    <w:p w:rsidR="00806B22" w:rsidRPr="00806B22" w:rsidRDefault="00806B22" w:rsidP="00806B22">
      <w:pPr>
        <w:autoSpaceDE w:val="0"/>
        <w:autoSpaceDN w:val="0"/>
        <w:adjustRightInd w:val="0"/>
        <w:spacing w:after="0" w:line="240" w:lineRule="auto"/>
        <w:rPr>
          <w:rFonts w:cstheme="minorHAnsi"/>
          <w:color w:val="000000"/>
          <w:sz w:val="21"/>
          <w:szCs w:val="21"/>
        </w:rPr>
      </w:pPr>
    </w:p>
    <w:p w:rsidR="00B654D5" w:rsidRDefault="00B654D5" w:rsidP="00B654D5">
      <w:pPr>
        <w:pStyle w:val="Caption"/>
      </w:pPr>
      <w:r>
        <w:t xml:space="preserve">Section 5 - Table </w:t>
      </w:r>
      <w:fldSimple w:instr=" SEQ Section_5_-_Table \* ARABIC ">
        <w:r w:rsidR="005908C4">
          <w:rPr>
            <w:noProof/>
          </w:rPr>
          <w:t>34</w:t>
        </w:r>
      </w:fldSimple>
      <w:r>
        <w:t>: Associates and jointly controlled entity of Council</w:t>
      </w:r>
    </w:p>
    <w:tbl>
      <w:tblPr>
        <w:tblW w:w="9923" w:type="dxa"/>
        <w:tblInd w:w="-176" w:type="dxa"/>
        <w:tblBorders>
          <w:insideH w:val="single" w:sz="4" w:space="0" w:color="auto"/>
        </w:tblBorders>
        <w:tblLayout w:type="fixed"/>
        <w:tblLook w:val="04A0" w:firstRow="1" w:lastRow="0" w:firstColumn="1" w:lastColumn="0" w:noHBand="0" w:noVBand="1"/>
      </w:tblPr>
      <w:tblGrid>
        <w:gridCol w:w="3403"/>
        <w:gridCol w:w="1417"/>
        <w:gridCol w:w="1276"/>
        <w:gridCol w:w="3827"/>
      </w:tblGrid>
      <w:tr w:rsidR="00FA6A77" w:rsidRPr="00D5126A" w:rsidTr="00201F90">
        <w:trPr>
          <w:cantSplit/>
          <w:trHeight w:val="678"/>
        </w:trPr>
        <w:tc>
          <w:tcPr>
            <w:tcW w:w="3403" w:type="dxa"/>
            <w:tcBorders>
              <w:top w:val="single" w:sz="4" w:space="0" w:color="auto"/>
              <w:left w:val="single" w:sz="4" w:space="0" w:color="auto"/>
              <w:bottom w:val="single" w:sz="4" w:space="0" w:color="auto"/>
              <w:right w:val="single" w:sz="4" w:space="0" w:color="auto"/>
            </w:tcBorders>
            <w:hideMark/>
          </w:tcPr>
          <w:p w:rsidR="00FA6A77" w:rsidRPr="00D5126A" w:rsidRDefault="00FA6A77" w:rsidP="0071534A">
            <w:pPr>
              <w:spacing w:after="0"/>
              <w:rPr>
                <w:rFonts w:ascii="Arial" w:hAnsi="Arial" w:cs="Arial"/>
                <w:sz w:val="20"/>
                <w:szCs w:val="20"/>
                <w:lang w:eastAsia="en-GB"/>
              </w:rPr>
            </w:pPr>
            <w:r w:rsidRPr="00D5126A">
              <w:rPr>
                <w:rFonts w:ascii="Arial" w:hAnsi="Arial" w:cs="Arial"/>
                <w:b/>
                <w:sz w:val="20"/>
                <w:szCs w:val="20"/>
                <w:lang w:eastAsia="en-GB"/>
              </w:rPr>
              <w:t>Associates and Jointly controlled entities</w:t>
            </w:r>
          </w:p>
        </w:tc>
        <w:tc>
          <w:tcPr>
            <w:tcW w:w="1417" w:type="dxa"/>
            <w:tcBorders>
              <w:top w:val="single" w:sz="4" w:space="0" w:color="auto"/>
              <w:left w:val="nil"/>
              <w:bottom w:val="single" w:sz="4" w:space="0" w:color="auto"/>
              <w:right w:val="single" w:sz="4" w:space="0" w:color="auto"/>
            </w:tcBorders>
            <w:hideMark/>
          </w:tcPr>
          <w:p w:rsidR="00FA6A77" w:rsidRPr="00D5126A" w:rsidRDefault="00FA6A77" w:rsidP="0071534A">
            <w:pPr>
              <w:spacing w:after="0"/>
              <w:jc w:val="center"/>
              <w:rPr>
                <w:rFonts w:ascii="Arial" w:hAnsi="Arial" w:cs="Arial"/>
                <w:b/>
                <w:sz w:val="20"/>
                <w:szCs w:val="20"/>
                <w:lang w:eastAsia="en-GB"/>
              </w:rPr>
            </w:pPr>
            <w:r w:rsidRPr="00D5126A">
              <w:rPr>
                <w:rFonts w:ascii="Arial" w:hAnsi="Arial" w:cs="Arial"/>
                <w:b/>
                <w:sz w:val="20"/>
                <w:szCs w:val="20"/>
                <w:lang w:eastAsia="en-GB"/>
              </w:rPr>
              <w:t>Accounting Interest</w:t>
            </w:r>
          </w:p>
          <w:p w:rsidR="00FA6A77" w:rsidRPr="00D5126A" w:rsidRDefault="00FA6A77" w:rsidP="0071534A">
            <w:pPr>
              <w:spacing w:after="0"/>
              <w:jc w:val="center"/>
              <w:rPr>
                <w:rFonts w:ascii="Arial" w:hAnsi="Arial" w:cs="Arial"/>
                <w:b/>
                <w:sz w:val="20"/>
                <w:szCs w:val="20"/>
                <w:lang w:eastAsia="en-GB"/>
              </w:rPr>
            </w:pPr>
            <w:r w:rsidRPr="00D5126A">
              <w:rPr>
                <w:rFonts w:ascii="Arial" w:hAnsi="Arial" w:cs="Arial"/>
                <w:b/>
                <w:sz w:val="20"/>
                <w:szCs w:val="20"/>
                <w:lang w:eastAsia="en-GB"/>
              </w:rPr>
              <w:t>2019</w:t>
            </w:r>
          </w:p>
        </w:tc>
        <w:tc>
          <w:tcPr>
            <w:tcW w:w="1276" w:type="dxa"/>
            <w:tcBorders>
              <w:top w:val="single" w:sz="4" w:space="0" w:color="auto"/>
              <w:left w:val="nil"/>
              <w:bottom w:val="single" w:sz="4" w:space="0" w:color="auto"/>
              <w:right w:val="single" w:sz="4" w:space="0" w:color="auto"/>
            </w:tcBorders>
            <w:hideMark/>
          </w:tcPr>
          <w:p w:rsidR="00FA6A77" w:rsidRPr="00D5126A" w:rsidRDefault="00FA6A77" w:rsidP="0071534A">
            <w:pPr>
              <w:spacing w:after="0"/>
              <w:jc w:val="center"/>
              <w:rPr>
                <w:rFonts w:ascii="Arial" w:hAnsi="Arial" w:cs="Arial"/>
                <w:b/>
                <w:sz w:val="20"/>
                <w:szCs w:val="20"/>
                <w:lang w:eastAsia="en-GB"/>
              </w:rPr>
            </w:pPr>
            <w:r w:rsidRPr="00D5126A">
              <w:rPr>
                <w:rFonts w:ascii="Arial" w:hAnsi="Arial" w:cs="Arial"/>
                <w:b/>
                <w:sz w:val="20"/>
                <w:szCs w:val="20"/>
                <w:lang w:eastAsia="en-GB"/>
              </w:rPr>
              <w:t>Accounting Interest</w:t>
            </w:r>
          </w:p>
          <w:p w:rsidR="00FA6A77" w:rsidRPr="00D5126A" w:rsidRDefault="00FA6A77" w:rsidP="0071534A">
            <w:pPr>
              <w:spacing w:after="0"/>
              <w:jc w:val="center"/>
              <w:rPr>
                <w:rFonts w:ascii="Arial" w:hAnsi="Arial" w:cs="Arial"/>
                <w:b/>
                <w:sz w:val="20"/>
                <w:szCs w:val="20"/>
                <w:lang w:eastAsia="en-GB"/>
              </w:rPr>
            </w:pPr>
            <w:r w:rsidRPr="00D5126A">
              <w:rPr>
                <w:rFonts w:ascii="Arial" w:hAnsi="Arial" w:cs="Arial"/>
                <w:b/>
                <w:sz w:val="20"/>
                <w:szCs w:val="20"/>
                <w:lang w:eastAsia="en-GB"/>
              </w:rPr>
              <w:t>2018</w:t>
            </w:r>
          </w:p>
        </w:tc>
        <w:tc>
          <w:tcPr>
            <w:tcW w:w="3827" w:type="dxa"/>
            <w:tcBorders>
              <w:top w:val="single" w:sz="4" w:space="0" w:color="auto"/>
              <w:left w:val="single" w:sz="4" w:space="0" w:color="auto"/>
              <w:bottom w:val="single" w:sz="4" w:space="0" w:color="auto"/>
              <w:right w:val="single" w:sz="4" w:space="0" w:color="auto"/>
            </w:tcBorders>
            <w:hideMark/>
          </w:tcPr>
          <w:p w:rsidR="00FA6A77" w:rsidRPr="00D5126A" w:rsidRDefault="00FA6A77" w:rsidP="0071534A">
            <w:pPr>
              <w:spacing w:after="0"/>
              <w:rPr>
                <w:rFonts w:ascii="Arial" w:hAnsi="Arial" w:cs="Arial"/>
                <w:b/>
                <w:sz w:val="20"/>
                <w:szCs w:val="20"/>
                <w:lang w:eastAsia="en-GB"/>
              </w:rPr>
            </w:pPr>
            <w:r w:rsidRPr="00D5126A">
              <w:rPr>
                <w:rFonts w:ascii="Arial" w:hAnsi="Arial" w:cs="Arial"/>
                <w:b/>
                <w:sz w:val="20"/>
                <w:szCs w:val="20"/>
                <w:lang w:eastAsia="en-GB"/>
              </w:rPr>
              <w:t>Nature of business</w:t>
            </w:r>
          </w:p>
        </w:tc>
      </w:tr>
      <w:tr w:rsidR="00FA6A77" w:rsidRPr="00D5126A" w:rsidTr="00201F90">
        <w:trPr>
          <w:cantSplit/>
          <w:trHeight w:val="341"/>
        </w:trPr>
        <w:tc>
          <w:tcPr>
            <w:tcW w:w="3403" w:type="dxa"/>
            <w:tcBorders>
              <w:top w:val="single" w:sz="4" w:space="0" w:color="auto"/>
              <w:left w:val="single" w:sz="4" w:space="0" w:color="auto"/>
              <w:bottom w:val="nil"/>
              <w:right w:val="single" w:sz="4" w:space="0" w:color="auto"/>
            </w:tcBorders>
            <w:hideMark/>
          </w:tcPr>
          <w:p w:rsidR="00FA6A77" w:rsidRPr="00D5126A" w:rsidRDefault="00FA6A77" w:rsidP="0071534A">
            <w:pPr>
              <w:spacing w:after="0"/>
              <w:rPr>
                <w:rFonts w:ascii="Arial" w:hAnsi="Arial" w:cs="Arial"/>
                <w:sz w:val="20"/>
                <w:szCs w:val="20"/>
                <w:lang w:eastAsia="en-GB"/>
              </w:rPr>
            </w:pPr>
            <w:r w:rsidRPr="00D5126A">
              <w:rPr>
                <w:rFonts w:ascii="Arial" w:hAnsi="Arial" w:cs="Arial"/>
                <w:sz w:val="20"/>
                <w:szCs w:val="20"/>
                <w:lang w:eastAsia="en-GB"/>
              </w:rPr>
              <w:t>Chaffers Marina Holdings Limited</w:t>
            </w:r>
          </w:p>
        </w:tc>
        <w:tc>
          <w:tcPr>
            <w:tcW w:w="1417" w:type="dxa"/>
            <w:tcBorders>
              <w:top w:val="single" w:sz="4" w:space="0" w:color="auto"/>
              <w:left w:val="single" w:sz="4" w:space="0" w:color="auto"/>
              <w:bottom w:val="single" w:sz="4" w:space="0" w:color="auto"/>
              <w:right w:val="single" w:sz="4" w:space="0" w:color="auto"/>
            </w:tcBorders>
            <w:hideMark/>
          </w:tcPr>
          <w:p w:rsidR="00FA6A77" w:rsidRPr="00D5126A" w:rsidRDefault="00FA6A77" w:rsidP="0071534A">
            <w:pPr>
              <w:tabs>
                <w:tab w:val="right" w:pos="794"/>
              </w:tabs>
              <w:spacing w:after="0"/>
              <w:ind w:right="-250"/>
              <w:jc w:val="center"/>
              <w:rPr>
                <w:rFonts w:ascii="Arial" w:hAnsi="Arial" w:cs="Arial"/>
                <w:sz w:val="20"/>
                <w:szCs w:val="20"/>
                <w:lang w:eastAsia="en-GB"/>
              </w:rPr>
            </w:pPr>
            <w:r w:rsidRPr="00D5126A">
              <w:rPr>
                <w:rFonts w:ascii="Arial" w:hAnsi="Arial" w:cs="Arial"/>
                <w:sz w:val="20"/>
                <w:szCs w:val="20"/>
                <w:lang w:eastAsia="en-GB"/>
              </w:rPr>
              <w:t>10.52%</w:t>
            </w:r>
          </w:p>
        </w:tc>
        <w:tc>
          <w:tcPr>
            <w:tcW w:w="1276" w:type="dxa"/>
            <w:tcBorders>
              <w:top w:val="single" w:sz="4" w:space="0" w:color="auto"/>
              <w:left w:val="single" w:sz="4" w:space="0" w:color="auto"/>
              <w:bottom w:val="single" w:sz="4" w:space="0" w:color="auto"/>
              <w:right w:val="single" w:sz="4" w:space="0" w:color="auto"/>
            </w:tcBorders>
            <w:hideMark/>
          </w:tcPr>
          <w:p w:rsidR="00FA6A77" w:rsidRPr="00D5126A" w:rsidRDefault="00FA6A77" w:rsidP="0071534A">
            <w:pPr>
              <w:tabs>
                <w:tab w:val="right" w:pos="794"/>
              </w:tabs>
              <w:spacing w:after="0"/>
              <w:ind w:right="-250"/>
              <w:jc w:val="center"/>
              <w:rPr>
                <w:rFonts w:ascii="Arial" w:hAnsi="Arial" w:cs="Arial"/>
                <w:sz w:val="20"/>
                <w:szCs w:val="20"/>
                <w:lang w:eastAsia="en-GB"/>
              </w:rPr>
            </w:pPr>
            <w:r w:rsidRPr="00D5126A">
              <w:rPr>
                <w:rFonts w:ascii="Arial" w:hAnsi="Arial" w:cs="Arial"/>
                <w:sz w:val="20"/>
                <w:szCs w:val="20"/>
                <w:lang w:eastAsia="en-GB"/>
              </w:rPr>
              <w:t>10.52%</w:t>
            </w:r>
          </w:p>
        </w:tc>
        <w:tc>
          <w:tcPr>
            <w:tcW w:w="3827" w:type="dxa"/>
            <w:tcBorders>
              <w:top w:val="single" w:sz="4" w:space="0" w:color="auto"/>
              <w:left w:val="single" w:sz="4" w:space="0" w:color="auto"/>
              <w:bottom w:val="single" w:sz="4" w:space="0" w:color="auto"/>
              <w:right w:val="single" w:sz="4" w:space="0" w:color="auto"/>
            </w:tcBorders>
            <w:hideMark/>
          </w:tcPr>
          <w:p w:rsidR="00FA6A77" w:rsidRPr="00D5126A" w:rsidRDefault="00FA6A77" w:rsidP="0071534A">
            <w:pPr>
              <w:tabs>
                <w:tab w:val="right" w:pos="4253"/>
              </w:tabs>
              <w:spacing w:after="0"/>
              <w:rPr>
                <w:rFonts w:ascii="Arial" w:hAnsi="Arial" w:cs="Arial"/>
                <w:sz w:val="20"/>
                <w:szCs w:val="20"/>
                <w:lang w:eastAsia="en-GB"/>
              </w:rPr>
            </w:pPr>
            <w:r w:rsidRPr="00D5126A">
              <w:rPr>
                <w:rFonts w:ascii="Arial" w:hAnsi="Arial" w:cs="Arial"/>
                <w:sz w:val="20"/>
                <w:szCs w:val="20"/>
                <w:lang w:eastAsia="en-GB"/>
              </w:rPr>
              <w:t>Holding company for Chaffers Marina Limited.</w:t>
            </w:r>
          </w:p>
        </w:tc>
      </w:tr>
      <w:tr w:rsidR="00FA6A77" w:rsidRPr="00D5126A" w:rsidTr="00201F90">
        <w:trPr>
          <w:cantSplit/>
          <w:trHeight w:val="341"/>
        </w:trPr>
        <w:tc>
          <w:tcPr>
            <w:tcW w:w="3403" w:type="dxa"/>
            <w:tcBorders>
              <w:top w:val="nil"/>
              <w:left w:val="single" w:sz="4" w:space="0" w:color="auto"/>
              <w:bottom w:val="single" w:sz="4" w:space="0" w:color="auto"/>
              <w:right w:val="single" w:sz="4" w:space="0" w:color="auto"/>
            </w:tcBorders>
            <w:hideMark/>
          </w:tcPr>
          <w:p w:rsidR="00FA6A77" w:rsidRPr="00D5126A" w:rsidRDefault="00FA6A77" w:rsidP="0071534A">
            <w:pPr>
              <w:spacing w:after="0"/>
              <w:rPr>
                <w:rFonts w:ascii="Arial" w:hAnsi="Arial" w:cs="Arial"/>
                <w:sz w:val="20"/>
                <w:szCs w:val="20"/>
                <w:lang w:eastAsia="en-GB"/>
              </w:rPr>
            </w:pPr>
            <w:r w:rsidRPr="00D5126A">
              <w:rPr>
                <w:rFonts w:ascii="Arial" w:hAnsi="Arial" w:cs="Arial"/>
                <w:sz w:val="20"/>
                <w:szCs w:val="20"/>
                <w:lang w:eastAsia="en-GB"/>
              </w:rPr>
              <w:t xml:space="preserve">    - Chaffers Marina Limited</w:t>
            </w:r>
          </w:p>
        </w:tc>
        <w:tc>
          <w:tcPr>
            <w:tcW w:w="1417" w:type="dxa"/>
            <w:tcBorders>
              <w:top w:val="single" w:sz="4" w:space="0" w:color="auto"/>
              <w:left w:val="single" w:sz="4" w:space="0" w:color="auto"/>
              <w:bottom w:val="single" w:sz="4" w:space="0" w:color="auto"/>
              <w:right w:val="single" w:sz="4" w:space="0" w:color="auto"/>
            </w:tcBorders>
            <w:hideMark/>
          </w:tcPr>
          <w:p w:rsidR="00FA6A77" w:rsidRPr="00D5126A" w:rsidRDefault="00FA6A77" w:rsidP="0071534A">
            <w:pPr>
              <w:tabs>
                <w:tab w:val="right" w:pos="794"/>
              </w:tabs>
              <w:spacing w:after="0"/>
              <w:ind w:right="-250"/>
              <w:jc w:val="center"/>
              <w:rPr>
                <w:rFonts w:ascii="Arial" w:hAnsi="Arial" w:cs="Arial"/>
                <w:sz w:val="20"/>
                <w:szCs w:val="20"/>
                <w:lang w:eastAsia="en-GB"/>
              </w:rPr>
            </w:pPr>
            <w:r w:rsidRPr="00D5126A">
              <w:rPr>
                <w:rFonts w:ascii="Arial" w:hAnsi="Arial" w:cs="Arial"/>
                <w:sz w:val="20"/>
                <w:szCs w:val="20"/>
                <w:lang w:eastAsia="en-GB"/>
              </w:rPr>
              <w:t>10.52%</w:t>
            </w:r>
          </w:p>
        </w:tc>
        <w:tc>
          <w:tcPr>
            <w:tcW w:w="1276" w:type="dxa"/>
            <w:tcBorders>
              <w:top w:val="single" w:sz="4" w:space="0" w:color="auto"/>
              <w:left w:val="single" w:sz="4" w:space="0" w:color="auto"/>
              <w:bottom w:val="single" w:sz="4" w:space="0" w:color="auto"/>
              <w:right w:val="single" w:sz="4" w:space="0" w:color="auto"/>
            </w:tcBorders>
            <w:hideMark/>
          </w:tcPr>
          <w:p w:rsidR="00FA6A77" w:rsidRPr="00D5126A" w:rsidRDefault="00FA6A77" w:rsidP="0071534A">
            <w:pPr>
              <w:tabs>
                <w:tab w:val="right" w:pos="794"/>
              </w:tabs>
              <w:spacing w:after="0"/>
              <w:ind w:right="-250"/>
              <w:jc w:val="center"/>
              <w:rPr>
                <w:rFonts w:ascii="Arial" w:hAnsi="Arial" w:cs="Arial"/>
                <w:sz w:val="20"/>
                <w:szCs w:val="20"/>
                <w:lang w:eastAsia="en-GB"/>
              </w:rPr>
            </w:pPr>
            <w:r w:rsidRPr="00D5126A">
              <w:rPr>
                <w:rFonts w:ascii="Arial" w:hAnsi="Arial" w:cs="Arial"/>
                <w:sz w:val="20"/>
                <w:szCs w:val="20"/>
                <w:lang w:eastAsia="en-GB"/>
              </w:rPr>
              <w:t>10.52%</w:t>
            </w:r>
          </w:p>
        </w:tc>
        <w:tc>
          <w:tcPr>
            <w:tcW w:w="3827" w:type="dxa"/>
            <w:tcBorders>
              <w:top w:val="single" w:sz="4" w:space="0" w:color="auto"/>
              <w:left w:val="single" w:sz="4" w:space="0" w:color="auto"/>
              <w:bottom w:val="single" w:sz="4" w:space="0" w:color="auto"/>
              <w:right w:val="single" w:sz="4" w:space="0" w:color="auto"/>
            </w:tcBorders>
            <w:hideMark/>
          </w:tcPr>
          <w:p w:rsidR="00FA6A77" w:rsidRPr="00D5126A" w:rsidRDefault="00FA6A77" w:rsidP="0071534A">
            <w:pPr>
              <w:tabs>
                <w:tab w:val="right" w:pos="4253"/>
              </w:tabs>
              <w:spacing w:after="0"/>
              <w:rPr>
                <w:rFonts w:ascii="Arial" w:hAnsi="Arial" w:cs="Arial"/>
                <w:sz w:val="20"/>
                <w:szCs w:val="20"/>
                <w:lang w:eastAsia="en-GB"/>
              </w:rPr>
            </w:pPr>
            <w:r w:rsidRPr="00D5126A">
              <w:rPr>
                <w:rFonts w:ascii="Arial" w:hAnsi="Arial" w:cs="Arial"/>
                <w:sz w:val="20"/>
                <w:szCs w:val="20"/>
                <w:lang w:eastAsia="en-GB"/>
              </w:rPr>
              <w:t>Owns and manages the marina.</w:t>
            </w:r>
          </w:p>
        </w:tc>
      </w:tr>
      <w:tr w:rsidR="00FA6A77" w:rsidRPr="00D5126A" w:rsidTr="00201F90">
        <w:trPr>
          <w:cantSplit/>
          <w:trHeight w:val="520"/>
        </w:trPr>
        <w:tc>
          <w:tcPr>
            <w:tcW w:w="3403" w:type="dxa"/>
            <w:tcBorders>
              <w:top w:val="single" w:sz="4" w:space="0" w:color="auto"/>
              <w:left w:val="single" w:sz="4" w:space="0" w:color="auto"/>
              <w:bottom w:val="single" w:sz="4" w:space="0" w:color="auto"/>
              <w:right w:val="single" w:sz="4" w:space="0" w:color="auto"/>
            </w:tcBorders>
            <w:hideMark/>
          </w:tcPr>
          <w:p w:rsidR="00FA6A77" w:rsidRPr="00D5126A" w:rsidRDefault="00FA6A77" w:rsidP="0071534A">
            <w:pPr>
              <w:spacing w:after="0"/>
              <w:rPr>
                <w:rFonts w:ascii="Arial" w:hAnsi="Arial" w:cs="Arial"/>
                <w:sz w:val="20"/>
                <w:szCs w:val="20"/>
                <w:lang w:eastAsia="en-GB"/>
              </w:rPr>
            </w:pPr>
            <w:r w:rsidRPr="00D5126A">
              <w:rPr>
                <w:rFonts w:ascii="Arial" w:hAnsi="Arial" w:cs="Arial"/>
                <w:sz w:val="20"/>
                <w:szCs w:val="20"/>
                <w:lang w:eastAsia="en-GB"/>
              </w:rPr>
              <w:t>Wellington International Airport Limited</w:t>
            </w:r>
          </w:p>
        </w:tc>
        <w:tc>
          <w:tcPr>
            <w:tcW w:w="1417" w:type="dxa"/>
            <w:tcBorders>
              <w:top w:val="single" w:sz="4" w:space="0" w:color="auto"/>
              <w:left w:val="single" w:sz="4" w:space="0" w:color="auto"/>
              <w:bottom w:val="single" w:sz="4" w:space="0" w:color="auto"/>
              <w:right w:val="single" w:sz="4" w:space="0" w:color="auto"/>
            </w:tcBorders>
            <w:hideMark/>
          </w:tcPr>
          <w:p w:rsidR="00FA6A77" w:rsidRPr="00D5126A" w:rsidRDefault="00FA6A77" w:rsidP="0071534A">
            <w:pPr>
              <w:tabs>
                <w:tab w:val="right" w:pos="794"/>
              </w:tabs>
              <w:spacing w:after="0"/>
              <w:ind w:right="-250"/>
              <w:jc w:val="center"/>
              <w:rPr>
                <w:rFonts w:ascii="Arial" w:hAnsi="Arial" w:cs="Arial"/>
                <w:sz w:val="20"/>
                <w:szCs w:val="20"/>
                <w:lang w:eastAsia="en-GB"/>
              </w:rPr>
            </w:pPr>
            <w:r w:rsidRPr="00D5126A">
              <w:rPr>
                <w:rFonts w:ascii="Arial" w:hAnsi="Arial" w:cs="Arial"/>
                <w:sz w:val="20"/>
                <w:szCs w:val="20"/>
                <w:lang w:eastAsia="en-GB"/>
              </w:rPr>
              <w:t>34%</w:t>
            </w:r>
          </w:p>
        </w:tc>
        <w:tc>
          <w:tcPr>
            <w:tcW w:w="1276" w:type="dxa"/>
            <w:tcBorders>
              <w:top w:val="single" w:sz="4" w:space="0" w:color="auto"/>
              <w:left w:val="single" w:sz="4" w:space="0" w:color="auto"/>
              <w:bottom w:val="single" w:sz="4" w:space="0" w:color="auto"/>
              <w:right w:val="single" w:sz="4" w:space="0" w:color="auto"/>
            </w:tcBorders>
            <w:hideMark/>
          </w:tcPr>
          <w:p w:rsidR="00FA6A77" w:rsidRPr="00D5126A" w:rsidRDefault="00FA6A77" w:rsidP="0071534A">
            <w:pPr>
              <w:tabs>
                <w:tab w:val="right" w:pos="794"/>
              </w:tabs>
              <w:spacing w:after="0"/>
              <w:ind w:right="-250"/>
              <w:jc w:val="center"/>
              <w:rPr>
                <w:rFonts w:ascii="Arial" w:hAnsi="Arial" w:cs="Arial"/>
                <w:sz w:val="20"/>
                <w:szCs w:val="20"/>
                <w:lang w:eastAsia="en-GB"/>
              </w:rPr>
            </w:pPr>
            <w:r w:rsidRPr="00D5126A">
              <w:rPr>
                <w:rFonts w:ascii="Arial" w:hAnsi="Arial" w:cs="Arial"/>
                <w:sz w:val="20"/>
                <w:szCs w:val="20"/>
                <w:lang w:eastAsia="en-GB"/>
              </w:rPr>
              <w:t>34%</w:t>
            </w:r>
          </w:p>
        </w:tc>
        <w:tc>
          <w:tcPr>
            <w:tcW w:w="3827" w:type="dxa"/>
            <w:tcBorders>
              <w:top w:val="single" w:sz="4" w:space="0" w:color="auto"/>
              <w:left w:val="single" w:sz="4" w:space="0" w:color="auto"/>
              <w:bottom w:val="single" w:sz="4" w:space="0" w:color="auto"/>
              <w:right w:val="single" w:sz="4" w:space="0" w:color="auto"/>
            </w:tcBorders>
            <w:hideMark/>
          </w:tcPr>
          <w:p w:rsidR="00FA6A77" w:rsidRPr="00D5126A" w:rsidRDefault="00FA6A77" w:rsidP="0071534A">
            <w:pPr>
              <w:tabs>
                <w:tab w:val="right" w:pos="4253"/>
              </w:tabs>
              <w:spacing w:after="0"/>
              <w:rPr>
                <w:rFonts w:ascii="Arial" w:hAnsi="Arial" w:cs="Arial"/>
                <w:sz w:val="20"/>
                <w:szCs w:val="20"/>
                <w:lang w:eastAsia="en-GB"/>
              </w:rPr>
            </w:pPr>
            <w:r w:rsidRPr="00D5126A">
              <w:rPr>
                <w:rFonts w:ascii="Arial" w:hAnsi="Arial" w:cs="Arial"/>
                <w:sz w:val="20"/>
                <w:szCs w:val="20"/>
                <w:lang w:eastAsia="en-GB"/>
              </w:rPr>
              <w:t>Owns and manages Wellington International Airport facilities and services.</w:t>
            </w:r>
          </w:p>
        </w:tc>
      </w:tr>
      <w:tr w:rsidR="00FA6A77" w:rsidRPr="00D5126A" w:rsidTr="00201F90">
        <w:trPr>
          <w:cantSplit/>
          <w:trHeight w:val="848"/>
        </w:trPr>
        <w:tc>
          <w:tcPr>
            <w:tcW w:w="3403" w:type="dxa"/>
            <w:tcBorders>
              <w:top w:val="single" w:sz="4" w:space="0" w:color="auto"/>
              <w:left w:val="single" w:sz="4" w:space="0" w:color="auto"/>
              <w:bottom w:val="single" w:sz="4" w:space="0" w:color="auto"/>
              <w:right w:val="single" w:sz="4" w:space="0" w:color="auto"/>
            </w:tcBorders>
            <w:hideMark/>
          </w:tcPr>
          <w:p w:rsidR="00FA6A77" w:rsidRPr="00D5126A" w:rsidRDefault="00FA6A77" w:rsidP="0071534A">
            <w:pPr>
              <w:tabs>
                <w:tab w:val="right" w:pos="4253"/>
              </w:tabs>
              <w:spacing w:after="0"/>
              <w:rPr>
                <w:rFonts w:ascii="Arial" w:hAnsi="Arial" w:cs="Arial"/>
                <w:sz w:val="20"/>
                <w:szCs w:val="20"/>
                <w:lang w:eastAsia="en-GB"/>
              </w:rPr>
            </w:pPr>
            <w:r w:rsidRPr="00D5126A">
              <w:rPr>
                <w:rFonts w:ascii="Arial" w:hAnsi="Arial" w:cs="Arial"/>
                <w:sz w:val="20"/>
                <w:szCs w:val="20"/>
                <w:lang w:eastAsia="en-GB"/>
              </w:rPr>
              <w:t>Wellington Water Limited</w:t>
            </w:r>
          </w:p>
          <w:p w:rsidR="00FA6A77" w:rsidRPr="00D5126A" w:rsidRDefault="00FA6A77" w:rsidP="0071534A">
            <w:pPr>
              <w:tabs>
                <w:tab w:val="right" w:pos="4253"/>
              </w:tabs>
              <w:spacing w:after="0"/>
              <w:rPr>
                <w:rFonts w:ascii="Arial" w:hAnsi="Arial" w:cs="Arial"/>
                <w:sz w:val="20"/>
                <w:szCs w:val="20"/>
                <w:lang w:eastAsia="en-GB"/>
              </w:rPr>
            </w:pPr>
            <w:r w:rsidRPr="00D5126A">
              <w:rPr>
                <w:rFonts w:ascii="Arial" w:hAnsi="Arial" w:cs="Arial"/>
                <w:sz w:val="20"/>
                <w:szCs w:val="20"/>
                <w:lang w:eastAsia="en-GB"/>
              </w:rPr>
              <w:t>(Previously Capacity Infrastructure Services Limited)</w:t>
            </w:r>
          </w:p>
        </w:tc>
        <w:tc>
          <w:tcPr>
            <w:tcW w:w="1417" w:type="dxa"/>
            <w:tcBorders>
              <w:top w:val="single" w:sz="4" w:space="0" w:color="auto"/>
              <w:left w:val="single" w:sz="4" w:space="0" w:color="auto"/>
              <w:bottom w:val="single" w:sz="4" w:space="0" w:color="auto"/>
              <w:right w:val="single" w:sz="4" w:space="0" w:color="auto"/>
            </w:tcBorders>
            <w:hideMark/>
          </w:tcPr>
          <w:p w:rsidR="00FA6A77" w:rsidRPr="00D5126A" w:rsidRDefault="00FA6A77" w:rsidP="0071534A">
            <w:pPr>
              <w:tabs>
                <w:tab w:val="right" w:pos="794"/>
              </w:tabs>
              <w:spacing w:after="0"/>
              <w:ind w:right="-250"/>
              <w:jc w:val="center"/>
              <w:rPr>
                <w:rFonts w:ascii="Arial" w:hAnsi="Arial" w:cs="Arial"/>
                <w:sz w:val="20"/>
                <w:szCs w:val="20"/>
                <w:lang w:eastAsia="en-GB"/>
              </w:rPr>
            </w:pPr>
            <w:r w:rsidRPr="00D5126A">
              <w:rPr>
                <w:rFonts w:ascii="Arial" w:hAnsi="Arial" w:cs="Arial"/>
                <w:sz w:val="20"/>
                <w:szCs w:val="20"/>
                <w:lang w:eastAsia="en-GB"/>
              </w:rPr>
              <w:t>42.11%</w:t>
            </w:r>
          </w:p>
        </w:tc>
        <w:tc>
          <w:tcPr>
            <w:tcW w:w="1276" w:type="dxa"/>
            <w:tcBorders>
              <w:top w:val="single" w:sz="4" w:space="0" w:color="auto"/>
              <w:left w:val="single" w:sz="4" w:space="0" w:color="auto"/>
              <w:bottom w:val="single" w:sz="4" w:space="0" w:color="auto"/>
              <w:right w:val="single" w:sz="4" w:space="0" w:color="auto"/>
            </w:tcBorders>
            <w:hideMark/>
          </w:tcPr>
          <w:p w:rsidR="00FA6A77" w:rsidRPr="00D5126A" w:rsidRDefault="00FA6A77" w:rsidP="0071534A">
            <w:pPr>
              <w:tabs>
                <w:tab w:val="right" w:pos="794"/>
              </w:tabs>
              <w:spacing w:after="0"/>
              <w:ind w:right="-250"/>
              <w:jc w:val="center"/>
              <w:rPr>
                <w:rFonts w:ascii="Arial" w:hAnsi="Arial" w:cs="Arial"/>
                <w:sz w:val="20"/>
                <w:szCs w:val="20"/>
                <w:lang w:eastAsia="en-GB"/>
              </w:rPr>
            </w:pPr>
            <w:r w:rsidRPr="00D5126A">
              <w:rPr>
                <w:rFonts w:ascii="Arial" w:hAnsi="Arial" w:cs="Arial"/>
                <w:sz w:val="20"/>
                <w:szCs w:val="20"/>
                <w:lang w:eastAsia="en-GB"/>
              </w:rPr>
              <w:t>42.11%</w:t>
            </w:r>
          </w:p>
        </w:tc>
        <w:tc>
          <w:tcPr>
            <w:tcW w:w="3827" w:type="dxa"/>
            <w:tcBorders>
              <w:top w:val="single" w:sz="4" w:space="0" w:color="auto"/>
              <w:left w:val="single" w:sz="4" w:space="0" w:color="auto"/>
              <w:bottom w:val="single" w:sz="4" w:space="0" w:color="auto"/>
              <w:right w:val="single" w:sz="4" w:space="0" w:color="auto"/>
            </w:tcBorders>
            <w:hideMark/>
          </w:tcPr>
          <w:p w:rsidR="00FA6A77" w:rsidRPr="00D5126A" w:rsidRDefault="00FA6A77" w:rsidP="0071534A">
            <w:pPr>
              <w:tabs>
                <w:tab w:val="right" w:pos="4253"/>
              </w:tabs>
              <w:spacing w:after="0"/>
              <w:rPr>
                <w:rFonts w:ascii="Arial" w:hAnsi="Arial" w:cs="Arial"/>
                <w:sz w:val="20"/>
                <w:szCs w:val="20"/>
                <w:lang w:eastAsia="en-GB"/>
              </w:rPr>
            </w:pPr>
            <w:r w:rsidRPr="00D5126A">
              <w:rPr>
                <w:rFonts w:ascii="Arial" w:hAnsi="Arial" w:cs="Arial"/>
                <w:sz w:val="20"/>
                <w:szCs w:val="20"/>
                <w:lang w:eastAsia="en-GB"/>
              </w:rPr>
              <w:t>Manages all water services for Wellington, Lower Hutt, Upper Hutt and Porirua City Councils and the Greater Wellington Regional Council.</w:t>
            </w:r>
          </w:p>
        </w:tc>
      </w:tr>
      <w:tr w:rsidR="00FA6A77" w:rsidRPr="00D5126A" w:rsidTr="0071534A">
        <w:trPr>
          <w:cantSplit/>
          <w:trHeight w:val="347"/>
        </w:trPr>
        <w:tc>
          <w:tcPr>
            <w:tcW w:w="3403" w:type="dxa"/>
            <w:tcBorders>
              <w:top w:val="single" w:sz="4" w:space="0" w:color="auto"/>
              <w:left w:val="single" w:sz="4" w:space="0" w:color="auto"/>
              <w:bottom w:val="single" w:sz="4" w:space="0" w:color="auto"/>
              <w:right w:val="single" w:sz="4" w:space="0" w:color="auto"/>
            </w:tcBorders>
            <w:hideMark/>
          </w:tcPr>
          <w:p w:rsidR="00FA6A77" w:rsidRPr="00D5126A" w:rsidRDefault="00FA6A77" w:rsidP="0071534A">
            <w:pPr>
              <w:spacing w:after="0"/>
              <w:rPr>
                <w:rFonts w:ascii="Times New Roman" w:hAnsi="Times New Roman"/>
                <w:sz w:val="20"/>
                <w:szCs w:val="20"/>
                <w:lang w:eastAsia="en-GB"/>
              </w:rPr>
            </w:pPr>
            <w:r w:rsidRPr="00D5126A">
              <w:rPr>
                <w:rFonts w:ascii="Arial" w:hAnsi="Arial" w:cs="Arial"/>
                <w:sz w:val="20"/>
                <w:szCs w:val="20"/>
                <w:lang w:eastAsia="en-GB"/>
              </w:rPr>
              <w:t>Basin Reserve Trust</w:t>
            </w:r>
          </w:p>
        </w:tc>
        <w:tc>
          <w:tcPr>
            <w:tcW w:w="1417" w:type="dxa"/>
            <w:tcBorders>
              <w:top w:val="single" w:sz="4" w:space="0" w:color="auto"/>
              <w:left w:val="single" w:sz="4" w:space="0" w:color="auto"/>
              <w:bottom w:val="single" w:sz="4" w:space="0" w:color="auto"/>
              <w:right w:val="single" w:sz="4" w:space="0" w:color="auto"/>
            </w:tcBorders>
            <w:hideMark/>
          </w:tcPr>
          <w:p w:rsidR="00FA6A77" w:rsidRPr="00D5126A" w:rsidRDefault="00FA6A77" w:rsidP="0071534A">
            <w:pPr>
              <w:tabs>
                <w:tab w:val="right" w:pos="4253"/>
              </w:tabs>
              <w:spacing w:after="0"/>
              <w:jc w:val="center"/>
              <w:rPr>
                <w:rFonts w:ascii="Arial" w:hAnsi="Arial" w:cs="Arial"/>
                <w:sz w:val="19"/>
                <w:szCs w:val="20"/>
                <w:lang w:eastAsia="en-GB"/>
              </w:rPr>
            </w:pPr>
            <w:r w:rsidRPr="00D5126A">
              <w:rPr>
                <w:rFonts w:ascii="Arial" w:hAnsi="Arial" w:cs="Arial"/>
                <w:sz w:val="19"/>
                <w:szCs w:val="20"/>
                <w:lang w:eastAsia="en-GB"/>
              </w:rPr>
              <w:t xml:space="preserve">   0%</w:t>
            </w:r>
          </w:p>
          <w:p w:rsidR="00FA6A77" w:rsidRPr="00D5126A" w:rsidRDefault="00FA6A77" w:rsidP="0071534A">
            <w:pPr>
              <w:tabs>
                <w:tab w:val="right" w:pos="4253"/>
              </w:tabs>
              <w:spacing w:after="0"/>
              <w:jc w:val="center"/>
              <w:rPr>
                <w:rFonts w:ascii="Times New Roman" w:hAnsi="Times New Roman"/>
                <w:sz w:val="19"/>
                <w:szCs w:val="20"/>
                <w:lang w:eastAsia="en-GB"/>
              </w:rPr>
            </w:pPr>
            <w:r w:rsidRPr="00D5126A">
              <w:rPr>
                <w:rFonts w:ascii="Arial" w:hAnsi="Arial" w:cs="Arial"/>
                <w:sz w:val="19"/>
                <w:szCs w:val="20"/>
                <w:lang w:eastAsia="en-GB"/>
              </w:rPr>
              <w:t>(See below)</w:t>
            </w:r>
          </w:p>
        </w:tc>
        <w:tc>
          <w:tcPr>
            <w:tcW w:w="1276" w:type="dxa"/>
            <w:tcBorders>
              <w:top w:val="single" w:sz="4" w:space="0" w:color="auto"/>
              <w:left w:val="single" w:sz="4" w:space="0" w:color="auto"/>
              <w:bottom w:val="single" w:sz="4" w:space="0" w:color="auto"/>
              <w:right w:val="single" w:sz="4" w:space="0" w:color="auto"/>
            </w:tcBorders>
            <w:hideMark/>
          </w:tcPr>
          <w:p w:rsidR="00FA6A77" w:rsidRPr="00D5126A" w:rsidRDefault="00FA6A77" w:rsidP="0071534A">
            <w:pPr>
              <w:tabs>
                <w:tab w:val="right" w:pos="4253"/>
              </w:tabs>
              <w:spacing w:after="0"/>
              <w:jc w:val="center"/>
              <w:rPr>
                <w:rFonts w:ascii="Arial" w:hAnsi="Arial" w:cs="Arial"/>
                <w:sz w:val="19"/>
                <w:szCs w:val="20"/>
                <w:lang w:eastAsia="en-GB"/>
              </w:rPr>
            </w:pPr>
            <w:r w:rsidRPr="00D5126A">
              <w:rPr>
                <w:rFonts w:ascii="Arial" w:hAnsi="Arial" w:cs="Arial"/>
                <w:sz w:val="19"/>
                <w:szCs w:val="20"/>
                <w:lang w:eastAsia="en-GB"/>
              </w:rPr>
              <w:t xml:space="preserve">   0%</w:t>
            </w:r>
          </w:p>
        </w:tc>
        <w:tc>
          <w:tcPr>
            <w:tcW w:w="3827" w:type="dxa"/>
            <w:tcBorders>
              <w:top w:val="single" w:sz="4" w:space="0" w:color="auto"/>
              <w:left w:val="single" w:sz="4" w:space="0" w:color="auto"/>
              <w:bottom w:val="single" w:sz="4" w:space="0" w:color="auto"/>
              <w:right w:val="single" w:sz="4" w:space="0" w:color="auto"/>
            </w:tcBorders>
            <w:hideMark/>
          </w:tcPr>
          <w:p w:rsidR="00FA6A77" w:rsidRPr="00D5126A" w:rsidRDefault="00FA6A77" w:rsidP="0071534A">
            <w:pPr>
              <w:tabs>
                <w:tab w:val="right" w:pos="4253"/>
              </w:tabs>
              <w:spacing w:after="0"/>
              <w:rPr>
                <w:rFonts w:ascii="Times New Roman" w:hAnsi="Times New Roman"/>
                <w:sz w:val="19"/>
                <w:szCs w:val="20"/>
                <w:lang w:eastAsia="en-GB"/>
              </w:rPr>
            </w:pPr>
            <w:r w:rsidRPr="00D5126A">
              <w:rPr>
                <w:rFonts w:ascii="Arial" w:hAnsi="Arial" w:cs="Arial"/>
                <w:sz w:val="20"/>
                <w:szCs w:val="20"/>
                <w:lang w:eastAsia="en-GB"/>
              </w:rPr>
              <w:t>Manages, operates and maintains the Basin Reserve</w:t>
            </w:r>
          </w:p>
        </w:tc>
      </w:tr>
      <w:tr w:rsidR="00FA6A77" w:rsidRPr="00D5126A" w:rsidTr="0071534A">
        <w:trPr>
          <w:cantSplit/>
          <w:trHeight w:val="472"/>
        </w:trPr>
        <w:tc>
          <w:tcPr>
            <w:tcW w:w="3403" w:type="dxa"/>
            <w:tcBorders>
              <w:top w:val="single" w:sz="4" w:space="0" w:color="auto"/>
              <w:left w:val="single" w:sz="4" w:space="0" w:color="auto"/>
              <w:bottom w:val="single" w:sz="4" w:space="0" w:color="auto"/>
              <w:right w:val="single" w:sz="4" w:space="0" w:color="auto"/>
            </w:tcBorders>
            <w:hideMark/>
          </w:tcPr>
          <w:p w:rsidR="00FA6A77" w:rsidRPr="00D5126A" w:rsidRDefault="00FA6A77" w:rsidP="0071534A">
            <w:pPr>
              <w:spacing w:after="0"/>
              <w:rPr>
                <w:rFonts w:ascii="Arial" w:hAnsi="Arial" w:cs="Arial"/>
                <w:sz w:val="20"/>
                <w:szCs w:val="20"/>
                <w:lang w:eastAsia="en-GB"/>
              </w:rPr>
            </w:pPr>
            <w:r w:rsidRPr="00D5126A">
              <w:rPr>
                <w:rFonts w:ascii="Arial" w:hAnsi="Arial" w:cs="Arial"/>
                <w:sz w:val="20"/>
                <w:szCs w:val="20"/>
                <w:lang w:eastAsia="en-GB"/>
              </w:rPr>
              <w:t>Wellington Regional Stadium Trust</w:t>
            </w:r>
          </w:p>
        </w:tc>
        <w:tc>
          <w:tcPr>
            <w:tcW w:w="1417" w:type="dxa"/>
            <w:tcBorders>
              <w:top w:val="single" w:sz="4" w:space="0" w:color="auto"/>
              <w:left w:val="single" w:sz="4" w:space="0" w:color="auto"/>
              <w:bottom w:val="single" w:sz="4" w:space="0" w:color="auto"/>
              <w:right w:val="single" w:sz="4" w:space="0" w:color="auto"/>
            </w:tcBorders>
            <w:hideMark/>
          </w:tcPr>
          <w:p w:rsidR="00FA6A77" w:rsidRPr="00D5126A" w:rsidRDefault="00FA6A77" w:rsidP="0071534A">
            <w:pPr>
              <w:tabs>
                <w:tab w:val="right" w:pos="794"/>
              </w:tabs>
              <w:spacing w:after="0"/>
              <w:ind w:right="-250"/>
              <w:jc w:val="center"/>
              <w:rPr>
                <w:rFonts w:ascii="Arial" w:hAnsi="Arial" w:cs="Arial"/>
                <w:sz w:val="20"/>
                <w:szCs w:val="20"/>
                <w:lang w:eastAsia="en-GB"/>
              </w:rPr>
            </w:pPr>
            <w:r w:rsidRPr="00D5126A">
              <w:rPr>
                <w:rFonts w:ascii="Arial" w:hAnsi="Arial" w:cs="Arial"/>
                <w:sz w:val="20"/>
                <w:szCs w:val="20"/>
                <w:lang w:eastAsia="en-GB"/>
              </w:rPr>
              <w:t>0%</w:t>
            </w:r>
          </w:p>
          <w:p w:rsidR="00FA6A77" w:rsidRPr="00D5126A" w:rsidRDefault="00FA6A77" w:rsidP="0071534A">
            <w:pPr>
              <w:tabs>
                <w:tab w:val="right" w:pos="794"/>
              </w:tabs>
              <w:spacing w:after="0"/>
              <w:ind w:right="-250"/>
              <w:rPr>
                <w:rFonts w:ascii="Arial" w:hAnsi="Arial" w:cs="Arial"/>
                <w:sz w:val="20"/>
                <w:szCs w:val="20"/>
                <w:lang w:eastAsia="en-GB"/>
              </w:rPr>
            </w:pPr>
            <w:r w:rsidRPr="00D5126A">
              <w:rPr>
                <w:rFonts w:ascii="Arial" w:hAnsi="Arial" w:cs="Arial"/>
                <w:sz w:val="20"/>
                <w:szCs w:val="20"/>
                <w:lang w:eastAsia="en-GB"/>
              </w:rPr>
              <w:t>(see below)</w:t>
            </w:r>
          </w:p>
        </w:tc>
        <w:tc>
          <w:tcPr>
            <w:tcW w:w="1276" w:type="dxa"/>
            <w:tcBorders>
              <w:top w:val="single" w:sz="4" w:space="0" w:color="auto"/>
              <w:left w:val="single" w:sz="4" w:space="0" w:color="auto"/>
              <w:bottom w:val="single" w:sz="4" w:space="0" w:color="auto"/>
              <w:right w:val="single" w:sz="4" w:space="0" w:color="auto"/>
            </w:tcBorders>
            <w:hideMark/>
          </w:tcPr>
          <w:p w:rsidR="00FA6A77" w:rsidRPr="00D5126A" w:rsidRDefault="00FA6A77" w:rsidP="0071534A">
            <w:pPr>
              <w:tabs>
                <w:tab w:val="right" w:pos="794"/>
              </w:tabs>
              <w:spacing w:after="0"/>
              <w:ind w:right="-250"/>
              <w:jc w:val="center"/>
              <w:rPr>
                <w:rFonts w:ascii="Arial" w:hAnsi="Arial" w:cs="Arial"/>
                <w:sz w:val="20"/>
                <w:szCs w:val="20"/>
                <w:lang w:eastAsia="en-GB"/>
              </w:rPr>
            </w:pPr>
            <w:r w:rsidRPr="00D5126A">
              <w:rPr>
                <w:rFonts w:ascii="Arial" w:hAnsi="Arial" w:cs="Arial"/>
                <w:sz w:val="20"/>
                <w:szCs w:val="20"/>
                <w:lang w:eastAsia="en-GB"/>
              </w:rPr>
              <w:t>0%</w:t>
            </w:r>
          </w:p>
        </w:tc>
        <w:tc>
          <w:tcPr>
            <w:tcW w:w="3827" w:type="dxa"/>
            <w:tcBorders>
              <w:top w:val="single" w:sz="4" w:space="0" w:color="auto"/>
              <w:left w:val="single" w:sz="4" w:space="0" w:color="auto"/>
              <w:bottom w:val="single" w:sz="4" w:space="0" w:color="auto"/>
              <w:right w:val="single" w:sz="4" w:space="0" w:color="auto"/>
            </w:tcBorders>
            <w:hideMark/>
          </w:tcPr>
          <w:p w:rsidR="00FA6A77" w:rsidRPr="00D5126A" w:rsidRDefault="00FA6A77" w:rsidP="0071534A">
            <w:pPr>
              <w:tabs>
                <w:tab w:val="right" w:pos="4253"/>
              </w:tabs>
              <w:spacing w:after="0"/>
              <w:rPr>
                <w:rFonts w:ascii="Arial" w:hAnsi="Arial" w:cs="Arial"/>
                <w:sz w:val="20"/>
                <w:szCs w:val="20"/>
                <w:lang w:eastAsia="en-GB"/>
              </w:rPr>
            </w:pPr>
            <w:r w:rsidRPr="00D5126A">
              <w:rPr>
                <w:rFonts w:ascii="Arial" w:hAnsi="Arial" w:cs="Arial"/>
                <w:sz w:val="20"/>
                <w:szCs w:val="20"/>
                <w:lang w:eastAsia="en-GB"/>
              </w:rPr>
              <w:t>Owns and manages the Westpac Stadium.</w:t>
            </w:r>
          </w:p>
        </w:tc>
      </w:tr>
    </w:tbl>
    <w:p w:rsidR="00FA6A77" w:rsidRPr="00D5126A" w:rsidRDefault="00FA6A77" w:rsidP="001D0396">
      <w:pPr>
        <w:spacing w:before="240"/>
        <w:jc w:val="both"/>
        <w:rPr>
          <w:rFonts w:ascii="Arial" w:hAnsi="Arial" w:cs="Arial"/>
        </w:rPr>
      </w:pPr>
      <w:r w:rsidRPr="00D5126A">
        <w:rPr>
          <w:rFonts w:ascii="Arial" w:hAnsi="Arial" w:cs="Arial"/>
        </w:rPr>
        <w:t>Full copies of the separately prepared financial statements can be obtained directly from their respective offices.</w:t>
      </w:r>
    </w:p>
    <w:p w:rsidR="00FA6A77" w:rsidRPr="00D5126A" w:rsidRDefault="00FA6A77" w:rsidP="00201F90">
      <w:pPr>
        <w:pStyle w:val="Heading4"/>
      </w:pPr>
      <w:r w:rsidRPr="00D5126A">
        <w:t xml:space="preserve">Associates </w:t>
      </w:r>
    </w:p>
    <w:p w:rsidR="00FA6A77" w:rsidRPr="00D5126A" w:rsidRDefault="00FA6A77" w:rsidP="00201F90">
      <w:pPr>
        <w:pStyle w:val="Heading5"/>
      </w:pPr>
      <w:r w:rsidRPr="00D5126A">
        <w:t>Chaffers Marina</w:t>
      </w:r>
    </w:p>
    <w:p w:rsidR="00FA6A77" w:rsidRPr="00D5126A" w:rsidRDefault="00FA6A77" w:rsidP="00FA6A77">
      <w:pPr>
        <w:jc w:val="both"/>
        <w:rPr>
          <w:rFonts w:ascii="Arial" w:hAnsi="Arial" w:cs="Arial"/>
        </w:rPr>
      </w:pPr>
      <w:r w:rsidRPr="00D5126A">
        <w:rPr>
          <w:rFonts w:ascii="Arial" w:hAnsi="Arial" w:cs="Arial"/>
        </w:rPr>
        <w:t xml:space="preserve">Chaffers Marina Holdings Limited and Chaffers Marina Limited have a reporting period end date of 30 June. The shares in Chaffers Marina Holdings Limited are held by Wellington Waterfront Limited in a fiduciary capacity. As at 30 June 2019 Council held a 10.52% interest in Chaffers Marina Holdings </w:t>
      </w:r>
      <w:r w:rsidRPr="00D5126A">
        <w:rPr>
          <w:rFonts w:ascii="Arial" w:hAnsi="Arial" w:cs="Arial"/>
        </w:rPr>
        <w:lastRenderedPageBreak/>
        <w:t xml:space="preserve">Limited (2018: 10.52%) which has been recognised in the Group financial statements on an equity accounting basis reflecting the special rights (as set out in Chaffers Marina Limited’s Constitution) which attach to the golden share that it holds in Chaffers Marina Limited. </w:t>
      </w:r>
    </w:p>
    <w:p w:rsidR="00FA6A77" w:rsidRPr="00D5126A" w:rsidRDefault="00FA6A77" w:rsidP="00201F90">
      <w:pPr>
        <w:pStyle w:val="Heading5"/>
      </w:pPr>
      <w:r w:rsidRPr="00D5126A">
        <w:t>Wellington International Airport Limited</w:t>
      </w:r>
    </w:p>
    <w:p w:rsidR="00FA6A77" w:rsidRPr="00D5126A" w:rsidRDefault="00FA6A77" w:rsidP="00FA6A77">
      <w:pPr>
        <w:jc w:val="both"/>
        <w:rPr>
          <w:rFonts w:ascii="Arial" w:hAnsi="Arial" w:cs="Arial"/>
        </w:rPr>
      </w:pPr>
      <w:r w:rsidRPr="00D5126A">
        <w:rPr>
          <w:rFonts w:ascii="Arial" w:hAnsi="Arial" w:cs="Arial"/>
        </w:rPr>
        <w:t>Wellington International Airport Limited has a reporting period end date of 31 March. The ultimate majority owner, Infratil Limited, has determined a different end of reporting period to Council, which is legislatively required to use 30 June. The Council owns 34% of the company, with the remaining 66% owned by NZ Airports Limited (which is wholly owned by Infratil Limited).</w:t>
      </w:r>
    </w:p>
    <w:p w:rsidR="00FA6A77" w:rsidRPr="00D5126A" w:rsidRDefault="00FA6A77" w:rsidP="00201F90">
      <w:pPr>
        <w:pStyle w:val="Heading5"/>
      </w:pPr>
      <w:r w:rsidRPr="00D5126A">
        <w:t>Basin Reserve Trust</w:t>
      </w:r>
    </w:p>
    <w:p w:rsidR="00FA6A77" w:rsidRPr="00D5126A" w:rsidRDefault="00FA6A77" w:rsidP="00FA6A77">
      <w:pPr>
        <w:jc w:val="both"/>
        <w:rPr>
          <w:rFonts w:ascii="Arial" w:hAnsi="Arial" w:cs="Arial"/>
        </w:rPr>
      </w:pPr>
      <w:r w:rsidRPr="00D5126A">
        <w:rPr>
          <w:rFonts w:ascii="Arial" w:hAnsi="Arial" w:cs="Arial"/>
        </w:rPr>
        <w:t>The Basin Reserve Trust was established on 24 February 2005 to manage, operate and maintain the Basin Reserve. The Trust was jointly created with Cricket Wellington Incorporated (CWI). Wellington City Council and CWI each appoint two of the four trustees. Wellington City Council has significant influence over the Trust through the appointment of trustees, and receives benefits from the complementary activities of the Trust.</w:t>
      </w:r>
    </w:p>
    <w:p w:rsidR="00FA6A77" w:rsidRPr="00D5126A" w:rsidRDefault="00FA6A77" w:rsidP="00FA6A77">
      <w:pPr>
        <w:jc w:val="both"/>
        <w:rPr>
          <w:rFonts w:ascii="Arial" w:hAnsi="Arial" w:cs="Arial"/>
        </w:rPr>
      </w:pPr>
      <w:r w:rsidRPr="00D5126A">
        <w:rPr>
          <w:rFonts w:ascii="Arial" w:hAnsi="Arial" w:cs="Arial"/>
        </w:rPr>
        <w:t xml:space="preserve">The Council no longer considers the Trust meets the requirements of PBE IPSAS 7 </w:t>
      </w:r>
      <w:r w:rsidRPr="00D5126A">
        <w:rPr>
          <w:rFonts w:ascii="Arial" w:hAnsi="Arial" w:cs="Arial"/>
          <w:i/>
        </w:rPr>
        <w:t>Investments in Associates</w:t>
      </w:r>
      <w:r w:rsidRPr="00D5126A">
        <w:rPr>
          <w:rFonts w:ascii="Arial" w:hAnsi="Arial" w:cs="Arial"/>
        </w:rPr>
        <w:t xml:space="preserve"> to enable continued consolidation on an equity accounted basis. The Trust is still identified as an associate given the Council’s level of influence and financial support but due to the lack of an equity investment the Council believes it is no longer appropriate to include the Trust in the Group financial statements.</w:t>
      </w:r>
    </w:p>
    <w:p w:rsidR="00FA6A77" w:rsidRPr="00D5126A" w:rsidRDefault="00FA6A77" w:rsidP="00201F90">
      <w:pPr>
        <w:pStyle w:val="Heading5"/>
      </w:pPr>
      <w:r w:rsidRPr="00D5126A">
        <w:t>Wellington Regional Stadium Trust</w:t>
      </w:r>
    </w:p>
    <w:p w:rsidR="00FA6A77" w:rsidRPr="00D5126A" w:rsidRDefault="00FA6A77" w:rsidP="00FA6A77">
      <w:pPr>
        <w:jc w:val="both"/>
        <w:rPr>
          <w:rFonts w:ascii="Arial" w:hAnsi="Arial" w:cs="Arial"/>
        </w:rPr>
      </w:pPr>
      <w:r w:rsidRPr="00D5126A">
        <w:rPr>
          <w:rFonts w:ascii="Arial" w:hAnsi="Arial" w:cs="Arial"/>
        </w:rPr>
        <w:t xml:space="preserve">Wellington Regional Stadium Trust was jointly created with Greater Wellington Regional Council and Wellington City Council has significant influence over the Wellington Regional Stadium Trust through the appointment of trustees and receives benefits from the complementary activities of the Trust. </w:t>
      </w:r>
    </w:p>
    <w:p w:rsidR="00FA6A77" w:rsidRPr="00D5126A" w:rsidRDefault="00FA6A77" w:rsidP="00FA6A77">
      <w:pPr>
        <w:jc w:val="both"/>
        <w:rPr>
          <w:rFonts w:ascii="Arial" w:hAnsi="Arial" w:cs="Arial"/>
        </w:rPr>
      </w:pPr>
      <w:r w:rsidRPr="00D5126A">
        <w:rPr>
          <w:rFonts w:ascii="Arial" w:hAnsi="Arial" w:cs="Arial"/>
        </w:rPr>
        <w:t xml:space="preserve">The Council no longer considers the Trust meets the requirements of PBE IPSAS 7 </w:t>
      </w:r>
      <w:r w:rsidRPr="00D5126A">
        <w:rPr>
          <w:rFonts w:ascii="Arial" w:hAnsi="Arial" w:cs="Arial"/>
          <w:i/>
        </w:rPr>
        <w:t>Investments in Associates</w:t>
      </w:r>
      <w:r w:rsidRPr="00D5126A">
        <w:rPr>
          <w:rFonts w:ascii="Arial" w:hAnsi="Arial" w:cs="Arial"/>
        </w:rPr>
        <w:t xml:space="preserve"> to enable continued consolidation on an equity accounted basis. The Trust is still identified as an associate given the Council’s level of influence and financial support but due to the lack of an equity investment the Council believes it is no longer appropriate to include the Trust in the Group financial statements.</w:t>
      </w:r>
    </w:p>
    <w:p w:rsidR="00FA6A77" w:rsidRPr="00D5126A" w:rsidRDefault="00FA6A77" w:rsidP="00201F90">
      <w:pPr>
        <w:pStyle w:val="Heading4"/>
        <w:rPr>
          <w:rFonts w:asciiTheme="majorHAnsi" w:hAnsiTheme="majorHAnsi" w:cs="Times New Roman"/>
        </w:rPr>
      </w:pPr>
      <w:r w:rsidRPr="00D5126A">
        <w:t>Jointly controlled entity</w:t>
      </w:r>
    </w:p>
    <w:p w:rsidR="00FA6A77" w:rsidRPr="00D5126A" w:rsidRDefault="00FA6A77" w:rsidP="00201F90">
      <w:pPr>
        <w:pStyle w:val="Heading5"/>
      </w:pPr>
      <w:r w:rsidRPr="00D5126A">
        <w:t>Wellington Water Limited</w:t>
      </w:r>
    </w:p>
    <w:p w:rsidR="00FA6A77" w:rsidRPr="00D5126A" w:rsidRDefault="00FA6A77" w:rsidP="00FA6A77">
      <w:pPr>
        <w:jc w:val="both"/>
        <w:rPr>
          <w:rFonts w:ascii="Arial" w:hAnsi="Arial" w:cs="Arial"/>
        </w:rPr>
      </w:pPr>
      <w:r w:rsidRPr="00D5126A">
        <w:rPr>
          <w:rFonts w:ascii="Arial" w:hAnsi="Arial" w:cs="Arial"/>
        </w:rPr>
        <w:t xml:space="preserve">Jointly created with Hutt City Council on 9 July 2003 the company has expanded its operations and ownership to include Upper Hutt and Porirua City Councils from 1 November 2013 and Greater Wellington Regional Council from 16 September 2014. </w:t>
      </w:r>
    </w:p>
    <w:p w:rsidR="00FA6A77" w:rsidRPr="00D5126A" w:rsidRDefault="00FA6A77" w:rsidP="00FA6A77">
      <w:pPr>
        <w:jc w:val="both"/>
        <w:rPr>
          <w:rFonts w:ascii="Arial" w:hAnsi="Arial" w:cs="Arial"/>
        </w:rPr>
      </w:pPr>
      <w:r w:rsidRPr="00D5126A">
        <w:rPr>
          <w:rFonts w:ascii="Arial" w:hAnsi="Arial" w:cs="Arial"/>
        </w:rPr>
        <w:t xml:space="preserve">The company has a reporting period ending 30 June and has a dual share structure comprising </w:t>
      </w:r>
      <w:proofErr w:type="gramStart"/>
      <w:r w:rsidRPr="00D5126A">
        <w:rPr>
          <w:rFonts w:ascii="Arial" w:hAnsi="Arial" w:cs="Arial"/>
        </w:rPr>
        <w:t>A</w:t>
      </w:r>
      <w:proofErr w:type="gramEnd"/>
      <w:r w:rsidRPr="00D5126A">
        <w:rPr>
          <w:rFonts w:ascii="Arial" w:hAnsi="Arial" w:cs="Arial"/>
        </w:rPr>
        <w:t xml:space="preserve"> class shares (voting rights) and B Class shares (financial entitlements). </w:t>
      </w:r>
    </w:p>
    <w:p w:rsidR="0035019C" w:rsidRDefault="0035019C">
      <w:pPr>
        <w:rPr>
          <w:rFonts w:ascii="Arial" w:hAnsi="Arial" w:cs="Arial"/>
        </w:rPr>
      </w:pPr>
      <w:r>
        <w:rPr>
          <w:rFonts w:ascii="Arial" w:hAnsi="Arial" w:cs="Arial"/>
        </w:rPr>
        <w:br w:type="page"/>
      </w:r>
    </w:p>
    <w:p w:rsidR="00FA6A77" w:rsidRPr="00D5126A" w:rsidRDefault="00FA6A77" w:rsidP="00FA6A77">
      <w:pPr>
        <w:jc w:val="both"/>
        <w:rPr>
          <w:rFonts w:ascii="Arial" w:hAnsi="Arial" w:cs="Arial"/>
        </w:rPr>
      </w:pPr>
      <w:r w:rsidRPr="00D5126A">
        <w:rPr>
          <w:rFonts w:ascii="Arial" w:hAnsi="Arial" w:cs="Arial"/>
        </w:rPr>
        <w:lastRenderedPageBreak/>
        <w:t>The structure is as follows:</w:t>
      </w:r>
    </w:p>
    <w:p w:rsidR="00B654D5" w:rsidRDefault="00B654D5" w:rsidP="00B654D5">
      <w:pPr>
        <w:pStyle w:val="Caption"/>
      </w:pPr>
      <w:r>
        <w:t xml:space="preserve">Section 5 - Table </w:t>
      </w:r>
      <w:fldSimple w:instr=" SEQ Section_5_-_Table \* ARABIC ">
        <w:r w:rsidR="005908C4">
          <w:rPr>
            <w:noProof/>
          </w:rPr>
          <w:t>35</w:t>
        </w:r>
      </w:fldSimple>
      <w:r>
        <w:t>: Wellington Water Limited structure</w:t>
      </w:r>
    </w:p>
    <w:tbl>
      <w:tblPr>
        <w:tblW w:w="935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3"/>
        <w:gridCol w:w="1707"/>
        <w:gridCol w:w="2695"/>
        <w:gridCol w:w="1701"/>
      </w:tblGrid>
      <w:tr w:rsidR="00FA6A77" w:rsidRPr="00D5126A" w:rsidTr="0071534A">
        <w:tc>
          <w:tcPr>
            <w:tcW w:w="3253" w:type="dxa"/>
            <w:tcBorders>
              <w:top w:val="single" w:sz="4" w:space="0" w:color="auto"/>
              <w:left w:val="single" w:sz="4" w:space="0" w:color="auto"/>
              <w:bottom w:val="single" w:sz="4" w:space="0" w:color="auto"/>
              <w:right w:val="single" w:sz="4" w:space="0" w:color="auto"/>
            </w:tcBorders>
          </w:tcPr>
          <w:p w:rsidR="00FA6A77" w:rsidRPr="00D5126A" w:rsidRDefault="00FA6A77" w:rsidP="001D0396">
            <w:pPr>
              <w:spacing w:after="0" w:line="240" w:lineRule="auto"/>
              <w:rPr>
                <w:rFonts w:ascii="Arial" w:hAnsi="Arial" w:cs="Arial"/>
                <w:sz w:val="20"/>
                <w:szCs w:val="20"/>
                <w:lang w:eastAsia="en-GB"/>
              </w:rPr>
            </w:pPr>
          </w:p>
        </w:tc>
        <w:tc>
          <w:tcPr>
            <w:tcW w:w="1707" w:type="dxa"/>
            <w:tcBorders>
              <w:top w:val="single" w:sz="4" w:space="0" w:color="auto"/>
              <w:left w:val="single" w:sz="4" w:space="0" w:color="auto"/>
              <w:bottom w:val="single" w:sz="4" w:space="0" w:color="auto"/>
              <w:right w:val="single" w:sz="4" w:space="0" w:color="auto"/>
            </w:tcBorders>
            <w:hideMark/>
          </w:tcPr>
          <w:p w:rsidR="00FA6A77" w:rsidRPr="00D5126A" w:rsidRDefault="00FA6A77" w:rsidP="001D0396">
            <w:pPr>
              <w:spacing w:after="0" w:line="240" w:lineRule="auto"/>
              <w:jc w:val="center"/>
              <w:rPr>
                <w:rFonts w:ascii="Arial" w:hAnsi="Arial" w:cs="Arial"/>
                <w:b/>
                <w:sz w:val="20"/>
                <w:szCs w:val="20"/>
                <w:lang w:eastAsia="en-GB"/>
              </w:rPr>
            </w:pPr>
            <w:r w:rsidRPr="00D5126A">
              <w:rPr>
                <w:rFonts w:ascii="Arial" w:hAnsi="Arial" w:cs="Arial"/>
                <w:b/>
                <w:sz w:val="20"/>
                <w:szCs w:val="20"/>
                <w:lang w:eastAsia="en-GB"/>
              </w:rPr>
              <w:t xml:space="preserve">Class A shares </w:t>
            </w:r>
          </w:p>
          <w:p w:rsidR="00FA6A77" w:rsidRPr="00D5126A" w:rsidRDefault="00FA6A77" w:rsidP="001D0396">
            <w:pPr>
              <w:spacing w:after="0" w:line="240" w:lineRule="auto"/>
              <w:jc w:val="center"/>
              <w:rPr>
                <w:rFonts w:ascii="Arial" w:hAnsi="Arial" w:cs="Arial"/>
                <w:b/>
                <w:sz w:val="20"/>
                <w:szCs w:val="20"/>
                <w:lang w:eastAsia="en-GB"/>
              </w:rPr>
            </w:pPr>
            <w:r w:rsidRPr="00D5126A">
              <w:rPr>
                <w:rFonts w:ascii="Arial" w:hAnsi="Arial" w:cs="Arial"/>
                <w:b/>
                <w:sz w:val="20"/>
                <w:szCs w:val="20"/>
                <w:lang w:eastAsia="en-GB"/>
              </w:rPr>
              <w:t>(voting rights)</w:t>
            </w:r>
          </w:p>
        </w:tc>
        <w:tc>
          <w:tcPr>
            <w:tcW w:w="2695" w:type="dxa"/>
            <w:tcBorders>
              <w:top w:val="single" w:sz="4" w:space="0" w:color="auto"/>
              <w:left w:val="single" w:sz="4" w:space="0" w:color="auto"/>
              <w:bottom w:val="single" w:sz="4" w:space="0" w:color="auto"/>
              <w:right w:val="single" w:sz="4" w:space="0" w:color="auto"/>
            </w:tcBorders>
            <w:hideMark/>
          </w:tcPr>
          <w:p w:rsidR="00FA6A77" w:rsidRPr="00D5126A" w:rsidRDefault="00FA6A77" w:rsidP="001D0396">
            <w:pPr>
              <w:spacing w:after="0" w:line="240" w:lineRule="auto"/>
              <w:jc w:val="center"/>
              <w:rPr>
                <w:rFonts w:ascii="Arial" w:hAnsi="Arial" w:cs="Arial"/>
                <w:b/>
                <w:sz w:val="20"/>
                <w:szCs w:val="20"/>
                <w:lang w:eastAsia="en-GB"/>
              </w:rPr>
            </w:pPr>
            <w:r w:rsidRPr="00D5126A">
              <w:rPr>
                <w:rFonts w:ascii="Arial" w:hAnsi="Arial" w:cs="Arial"/>
                <w:b/>
                <w:sz w:val="20"/>
                <w:szCs w:val="20"/>
                <w:lang w:eastAsia="en-GB"/>
              </w:rPr>
              <w:t>Class B Shares</w:t>
            </w:r>
          </w:p>
          <w:p w:rsidR="00FA6A77" w:rsidRPr="00D5126A" w:rsidRDefault="00FA6A77" w:rsidP="001D0396">
            <w:pPr>
              <w:spacing w:after="0" w:line="240" w:lineRule="auto"/>
              <w:jc w:val="center"/>
              <w:rPr>
                <w:rFonts w:ascii="Arial" w:hAnsi="Arial" w:cs="Arial"/>
                <w:b/>
                <w:sz w:val="20"/>
                <w:szCs w:val="20"/>
                <w:lang w:eastAsia="en-GB"/>
              </w:rPr>
            </w:pPr>
            <w:r w:rsidRPr="00D5126A">
              <w:rPr>
                <w:rFonts w:ascii="Arial" w:hAnsi="Arial" w:cs="Arial"/>
                <w:b/>
                <w:sz w:val="20"/>
                <w:szCs w:val="20"/>
                <w:lang w:eastAsia="en-GB"/>
              </w:rPr>
              <w:t>(financial entitlements)</w:t>
            </w:r>
          </w:p>
        </w:tc>
        <w:tc>
          <w:tcPr>
            <w:tcW w:w="1701" w:type="dxa"/>
            <w:tcBorders>
              <w:top w:val="single" w:sz="4" w:space="0" w:color="auto"/>
              <w:left w:val="single" w:sz="4" w:space="0" w:color="auto"/>
              <w:bottom w:val="single" w:sz="4" w:space="0" w:color="auto"/>
              <w:right w:val="single" w:sz="4" w:space="0" w:color="auto"/>
            </w:tcBorders>
            <w:hideMark/>
          </w:tcPr>
          <w:p w:rsidR="00FA6A77" w:rsidRPr="00D5126A" w:rsidRDefault="00FA6A77" w:rsidP="001D0396">
            <w:pPr>
              <w:spacing w:after="0" w:line="240" w:lineRule="auto"/>
              <w:jc w:val="center"/>
              <w:rPr>
                <w:rFonts w:ascii="Arial" w:hAnsi="Arial" w:cs="Arial"/>
                <w:b/>
                <w:sz w:val="20"/>
                <w:szCs w:val="20"/>
                <w:lang w:eastAsia="en-GB"/>
              </w:rPr>
            </w:pPr>
            <w:r w:rsidRPr="00D5126A">
              <w:rPr>
                <w:rFonts w:ascii="Arial" w:hAnsi="Arial" w:cs="Arial"/>
                <w:b/>
                <w:sz w:val="20"/>
                <w:szCs w:val="20"/>
                <w:lang w:eastAsia="en-GB"/>
              </w:rPr>
              <w:t>Ownership</w:t>
            </w:r>
          </w:p>
          <w:p w:rsidR="00FA6A77" w:rsidRPr="00D5126A" w:rsidRDefault="00FA6A77" w:rsidP="001D0396">
            <w:pPr>
              <w:spacing w:after="0" w:line="240" w:lineRule="auto"/>
              <w:jc w:val="center"/>
              <w:rPr>
                <w:rFonts w:ascii="Arial" w:hAnsi="Arial" w:cs="Arial"/>
                <w:b/>
                <w:sz w:val="20"/>
                <w:szCs w:val="20"/>
                <w:lang w:eastAsia="en-GB"/>
              </w:rPr>
            </w:pPr>
            <w:r w:rsidRPr="00D5126A">
              <w:rPr>
                <w:rFonts w:ascii="Arial" w:hAnsi="Arial" w:cs="Arial"/>
                <w:b/>
                <w:sz w:val="20"/>
                <w:szCs w:val="20"/>
                <w:lang w:eastAsia="en-GB"/>
              </w:rPr>
              <w:t>interest</w:t>
            </w:r>
          </w:p>
        </w:tc>
      </w:tr>
      <w:tr w:rsidR="00FA6A77" w:rsidRPr="00D5126A" w:rsidTr="0071534A">
        <w:tc>
          <w:tcPr>
            <w:tcW w:w="3253" w:type="dxa"/>
            <w:tcBorders>
              <w:top w:val="single" w:sz="4" w:space="0" w:color="auto"/>
              <w:left w:val="single" w:sz="4" w:space="0" w:color="auto"/>
              <w:bottom w:val="single" w:sz="4" w:space="0" w:color="auto"/>
              <w:right w:val="single" w:sz="4" w:space="0" w:color="auto"/>
            </w:tcBorders>
            <w:hideMark/>
          </w:tcPr>
          <w:p w:rsidR="00FA6A77" w:rsidRPr="00D5126A" w:rsidRDefault="00FA6A77" w:rsidP="001D0396">
            <w:pPr>
              <w:spacing w:after="0" w:line="240" w:lineRule="auto"/>
              <w:rPr>
                <w:rFonts w:ascii="Arial" w:hAnsi="Arial" w:cs="Arial"/>
                <w:sz w:val="20"/>
                <w:szCs w:val="20"/>
                <w:lang w:eastAsia="en-GB"/>
              </w:rPr>
            </w:pPr>
            <w:r w:rsidRPr="00D5126A">
              <w:rPr>
                <w:rFonts w:ascii="Arial" w:hAnsi="Arial" w:cs="Arial"/>
                <w:sz w:val="20"/>
                <w:szCs w:val="20"/>
                <w:lang w:eastAsia="en-GB"/>
              </w:rPr>
              <w:t>Wellington City Council</w:t>
            </w:r>
          </w:p>
        </w:tc>
        <w:tc>
          <w:tcPr>
            <w:tcW w:w="1707" w:type="dxa"/>
            <w:tcBorders>
              <w:top w:val="single" w:sz="4" w:space="0" w:color="auto"/>
              <w:left w:val="single" w:sz="4" w:space="0" w:color="auto"/>
              <w:bottom w:val="single" w:sz="4" w:space="0" w:color="auto"/>
              <w:right w:val="single" w:sz="4" w:space="0" w:color="auto"/>
            </w:tcBorders>
            <w:hideMark/>
          </w:tcPr>
          <w:p w:rsidR="00FA6A77" w:rsidRPr="00D5126A" w:rsidRDefault="00FA6A77" w:rsidP="001D0396">
            <w:pPr>
              <w:spacing w:after="0" w:line="240" w:lineRule="auto"/>
              <w:jc w:val="center"/>
              <w:rPr>
                <w:rFonts w:ascii="Arial" w:hAnsi="Arial" w:cs="Arial"/>
                <w:sz w:val="20"/>
                <w:szCs w:val="20"/>
                <w:lang w:eastAsia="en-GB"/>
              </w:rPr>
            </w:pPr>
            <w:r w:rsidRPr="00D5126A">
              <w:rPr>
                <w:rFonts w:ascii="Arial" w:hAnsi="Arial" w:cs="Arial"/>
                <w:sz w:val="20"/>
                <w:szCs w:val="20"/>
                <w:lang w:eastAsia="en-GB"/>
              </w:rPr>
              <w:t>150</w:t>
            </w:r>
          </w:p>
        </w:tc>
        <w:tc>
          <w:tcPr>
            <w:tcW w:w="2695" w:type="dxa"/>
            <w:tcBorders>
              <w:top w:val="single" w:sz="4" w:space="0" w:color="auto"/>
              <w:left w:val="single" w:sz="4" w:space="0" w:color="auto"/>
              <w:bottom w:val="single" w:sz="4" w:space="0" w:color="auto"/>
              <w:right w:val="single" w:sz="4" w:space="0" w:color="auto"/>
            </w:tcBorders>
            <w:hideMark/>
          </w:tcPr>
          <w:p w:rsidR="00FA6A77" w:rsidRPr="00D5126A" w:rsidRDefault="00FA6A77" w:rsidP="001D0396">
            <w:pPr>
              <w:spacing w:after="0" w:line="240" w:lineRule="auto"/>
              <w:jc w:val="center"/>
              <w:rPr>
                <w:rFonts w:ascii="Arial" w:hAnsi="Arial" w:cs="Arial"/>
                <w:sz w:val="20"/>
                <w:szCs w:val="20"/>
                <w:lang w:eastAsia="en-GB"/>
              </w:rPr>
            </w:pPr>
            <w:r w:rsidRPr="00D5126A">
              <w:rPr>
                <w:rFonts w:ascii="Arial" w:hAnsi="Arial" w:cs="Arial"/>
                <w:sz w:val="20"/>
                <w:szCs w:val="20"/>
                <w:lang w:eastAsia="en-GB"/>
              </w:rPr>
              <w:t>200</w:t>
            </w:r>
          </w:p>
        </w:tc>
        <w:tc>
          <w:tcPr>
            <w:tcW w:w="1701" w:type="dxa"/>
            <w:tcBorders>
              <w:top w:val="single" w:sz="4" w:space="0" w:color="auto"/>
              <w:left w:val="single" w:sz="4" w:space="0" w:color="auto"/>
              <w:bottom w:val="single" w:sz="4" w:space="0" w:color="auto"/>
              <w:right w:val="single" w:sz="4" w:space="0" w:color="auto"/>
            </w:tcBorders>
            <w:hideMark/>
          </w:tcPr>
          <w:p w:rsidR="00FA6A77" w:rsidRPr="00D5126A" w:rsidRDefault="00FA6A77" w:rsidP="001D0396">
            <w:pPr>
              <w:spacing w:after="0" w:line="240" w:lineRule="auto"/>
              <w:jc w:val="center"/>
              <w:rPr>
                <w:rFonts w:ascii="Arial" w:hAnsi="Arial" w:cs="Arial"/>
                <w:sz w:val="20"/>
                <w:szCs w:val="20"/>
                <w:lang w:eastAsia="en-GB"/>
              </w:rPr>
            </w:pPr>
            <w:r w:rsidRPr="00D5126A">
              <w:rPr>
                <w:rFonts w:ascii="Arial" w:hAnsi="Arial" w:cs="Arial"/>
                <w:sz w:val="20"/>
                <w:szCs w:val="20"/>
                <w:lang w:eastAsia="en-GB"/>
              </w:rPr>
              <w:t>42%</w:t>
            </w:r>
          </w:p>
        </w:tc>
      </w:tr>
      <w:tr w:rsidR="00FA6A77" w:rsidRPr="00D5126A" w:rsidTr="0071534A">
        <w:tc>
          <w:tcPr>
            <w:tcW w:w="3253" w:type="dxa"/>
            <w:tcBorders>
              <w:top w:val="single" w:sz="4" w:space="0" w:color="auto"/>
              <w:left w:val="single" w:sz="4" w:space="0" w:color="auto"/>
              <w:bottom w:val="single" w:sz="4" w:space="0" w:color="auto"/>
              <w:right w:val="single" w:sz="4" w:space="0" w:color="auto"/>
            </w:tcBorders>
            <w:hideMark/>
          </w:tcPr>
          <w:p w:rsidR="00FA6A77" w:rsidRPr="00D5126A" w:rsidRDefault="00FA6A77" w:rsidP="001D0396">
            <w:pPr>
              <w:spacing w:after="0" w:line="240" w:lineRule="auto"/>
              <w:rPr>
                <w:rFonts w:ascii="Arial" w:hAnsi="Arial" w:cs="Arial"/>
                <w:sz w:val="20"/>
                <w:szCs w:val="20"/>
                <w:lang w:eastAsia="en-GB"/>
              </w:rPr>
            </w:pPr>
            <w:r w:rsidRPr="00D5126A">
              <w:rPr>
                <w:rFonts w:ascii="Arial" w:hAnsi="Arial" w:cs="Arial"/>
                <w:sz w:val="20"/>
                <w:szCs w:val="20"/>
                <w:lang w:eastAsia="en-GB"/>
              </w:rPr>
              <w:t>Hutt City Council</w:t>
            </w:r>
          </w:p>
        </w:tc>
        <w:tc>
          <w:tcPr>
            <w:tcW w:w="1707" w:type="dxa"/>
            <w:tcBorders>
              <w:top w:val="single" w:sz="4" w:space="0" w:color="auto"/>
              <w:left w:val="single" w:sz="4" w:space="0" w:color="auto"/>
              <w:bottom w:val="single" w:sz="4" w:space="0" w:color="auto"/>
              <w:right w:val="single" w:sz="4" w:space="0" w:color="auto"/>
            </w:tcBorders>
            <w:hideMark/>
          </w:tcPr>
          <w:p w:rsidR="00FA6A77" w:rsidRPr="00D5126A" w:rsidRDefault="00FA6A77" w:rsidP="001D0396">
            <w:pPr>
              <w:spacing w:after="0" w:line="240" w:lineRule="auto"/>
              <w:jc w:val="center"/>
              <w:rPr>
                <w:rFonts w:ascii="Arial" w:hAnsi="Arial" w:cs="Arial"/>
                <w:sz w:val="20"/>
                <w:szCs w:val="20"/>
                <w:lang w:eastAsia="en-GB"/>
              </w:rPr>
            </w:pPr>
            <w:r w:rsidRPr="00D5126A">
              <w:rPr>
                <w:rFonts w:ascii="Arial" w:hAnsi="Arial" w:cs="Arial"/>
                <w:sz w:val="20"/>
                <w:szCs w:val="20"/>
                <w:lang w:eastAsia="en-GB"/>
              </w:rPr>
              <w:t>150</w:t>
            </w:r>
          </w:p>
        </w:tc>
        <w:tc>
          <w:tcPr>
            <w:tcW w:w="2695" w:type="dxa"/>
            <w:tcBorders>
              <w:top w:val="single" w:sz="4" w:space="0" w:color="auto"/>
              <w:left w:val="single" w:sz="4" w:space="0" w:color="auto"/>
              <w:bottom w:val="single" w:sz="4" w:space="0" w:color="auto"/>
              <w:right w:val="single" w:sz="4" w:space="0" w:color="auto"/>
            </w:tcBorders>
            <w:hideMark/>
          </w:tcPr>
          <w:p w:rsidR="00FA6A77" w:rsidRPr="00D5126A" w:rsidRDefault="00FA6A77" w:rsidP="001D0396">
            <w:pPr>
              <w:spacing w:after="0" w:line="240" w:lineRule="auto"/>
              <w:jc w:val="center"/>
              <w:rPr>
                <w:rFonts w:ascii="Arial" w:hAnsi="Arial" w:cs="Arial"/>
                <w:sz w:val="20"/>
                <w:szCs w:val="20"/>
                <w:lang w:eastAsia="en-GB"/>
              </w:rPr>
            </w:pPr>
            <w:r w:rsidRPr="00D5126A">
              <w:rPr>
                <w:rFonts w:ascii="Arial" w:hAnsi="Arial" w:cs="Arial"/>
                <w:sz w:val="20"/>
                <w:szCs w:val="20"/>
                <w:lang w:eastAsia="en-GB"/>
              </w:rPr>
              <w:t>100</w:t>
            </w:r>
          </w:p>
        </w:tc>
        <w:tc>
          <w:tcPr>
            <w:tcW w:w="1701" w:type="dxa"/>
            <w:tcBorders>
              <w:top w:val="single" w:sz="4" w:space="0" w:color="auto"/>
              <w:left w:val="single" w:sz="4" w:space="0" w:color="auto"/>
              <w:bottom w:val="single" w:sz="4" w:space="0" w:color="auto"/>
              <w:right w:val="single" w:sz="4" w:space="0" w:color="auto"/>
            </w:tcBorders>
            <w:hideMark/>
          </w:tcPr>
          <w:p w:rsidR="00FA6A77" w:rsidRPr="00D5126A" w:rsidRDefault="00FA6A77" w:rsidP="001D0396">
            <w:pPr>
              <w:spacing w:after="0" w:line="240" w:lineRule="auto"/>
              <w:jc w:val="center"/>
              <w:rPr>
                <w:rFonts w:ascii="Arial" w:hAnsi="Arial" w:cs="Arial"/>
                <w:sz w:val="20"/>
                <w:szCs w:val="20"/>
                <w:lang w:eastAsia="en-GB"/>
              </w:rPr>
            </w:pPr>
            <w:r w:rsidRPr="00D5126A">
              <w:rPr>
                <w:rFonts w:ascii="Arial" w:hAnsi="Arial" w:cs="Arial"/>
                <w:sz w:val="20"/>
                <w:szCs w:val="20"/>
                <w:lang w:eastAsia="en-GB"/>
              </w:rPr>
              <w:t>21%</w:t>
            </w:r>
          </w:p>
        </w:tc>
      </w:tr>
      <w:tr w:rsidR="00FA6A77" w:rsidRPr="00D5126A" w:rsidTr="0071534A">
        <w:tc>
          <w:tcPr>
            <w:tcW w:w="3253" w:type="dxa"/>
            <w:tcBorders>
              <w:top w:val="single" w:sz="4" w:space="0" w:color="auto"/>
              <w:left w:val="single" w:sz="4" w:space="0" w:color="auto"/>
              <w:bottom w:val="single" w:sz="4" w:space="0" w:color="auto"/>
              <w:right w:val="single" w:sz="4" w:space="0" w:color="auto"/>
            </w:tcBorders>
            <w:hideMark/>
          </w:tcPr>
          <w:p w:rsidR="00FA6A77" w:rsidRPr="00D5126A" w:rsidRDefault="00FA6A77" w:rsidP="001D0396">
            <w:pPr>
              <w:spacing w:after="0" w:line="240" w:lineRule="auto"/>
              <w:rPr>
                <w:rFonts w:ascii="Arial" w:hAnsi="Arial" w:cs="Arial"/>
                <w:sz w:val="20"/>
                <w:szCs w:val="20"/>
                <w:lang w:eastAsia="en-GB"/>
              </w:rPr>
            </w:pPr>
            <w:r w:rsidRPr="00D5126A">
              <w:rPr>
                <w:rFonts w:ascii="Arial" w:hAnsi="Arial" w:cs="Arial"/>
                <w:sz w:val="20"/>
                <w:szCs w:val="20"/>
                <w:lang w:eastAsia="en-GB"/>
              </w:rPr>
              <w:t>Upper Hutt City Council</w:t>
            </w:r>
          </w:p>
        </w:tc>
        <w:tc>
          <w:tcPr>
            <w:tcW w:w="1707" w:type="dxa"/>
            <w:tcBorders>
              <w:top w:val="single" w:sz="4" w:space="0" w:color="auto"/>
              <w:left w:val="single" w:sz="4" w:space="0" w:color="auto"/>
              <w:bottom w:val="single" w:sz="4" w:space="0" w:color="auto"/>
              <w:right w:val="single" w:sz="4" w:space="0" w:color="auto"/>
            </w:tcBorders>
            <w:hideMark/>
          </w:tcPr>
          <w:p w:rsidR="00FA6A77" w:rsidRPr="00D5126A" w:rsidRDefault="00FA6A77" w:rsidP="001D0396">
            <w:pPr>
              <w:spacing w:after="0" w:line="240" w:lineRule="auto"/>
              <w:jc w:val="center"/>
              <w:rPr>
                <w:rFonts w:ascii="Arial" w:hAnsi="Arial" w:cs="Arial"/>
                <w:sz w:val="20"/>
                <w:szCs w:val="20"/>
                <w:lang w:eastAsia="en-GB"/>
              </w:rPr>
            </w:pPr>
            <w:r w:rsidRPr="00D5126A">
              <w:rPr>
                <w:rFonts w:ascii="Arial" w:hAnsi="Arial" w:cs="Arial"/>
                <w:sz w:val="20"/>
                <w:szCs w:val="20"/>
                <w:lang w:eastAsia="en-GB"/>
              </w:rPr>
              <w:t>150</w:t>
            </w:r>
          </w:p>
        </w:tc>
        <w:tc>
          <w:tcPr>
            <w:tcW w:w="2695" w:type="dxa"/>
            <w:tcBorders>
              <w:top w:val="single" w:sz="4" w:space="0" w:color="auto"/>
              <w:left w:val="single" w:sz="4" w:space="0" w:color="auto"/>
              <w:bottom w:val="single" w:sz="4" w:space="0" w:color="auto"/>
              <w:right w:val="single" w:sz="4" w:space="0" w:color="auto"/>
            </w:tcBorders>
            <w:hideMark/>
          </w:tcPr>
          <w:p w:rsidR="00FA6A77" w:rsidRPr="00D5126A" w:rsidRDefault="00FA6A77" w:rsidP="001D0396">
            <w:pPr>
              <w:spacing w:after="0" w:line="240" w:lineRule="auto"/>
              <w:jc w:val="center"/>
              <w:rPr>
                <w:rFonts w:ascii="Arial" w:hAnsi="Arial" w:cs="Arial"/>
                <w:sz w:val="20"/>
                <w:szCs w:val="20"/>
                <w:lang w:eastAsia="en-GB"/>
              </w:rPr>
            </w:pPr>
            <w:r w:rsidRPr="00D5126A">
              <w:rPr>
                <w:rFonts w:ascii="Arial" w:hAnsi="Arial" w:cs="Arial"/>
                <w:sz w:val="20"/>
                <w:szCs w:val="20"/>
                <w:lang w:eastAsia="en-GB"/>
              </w:rPr>
              <w:t>40</w:t>
            </w:r>
          </w:p>
        </w:tc>
        <w:tc>
          <w:tcPr>
            <w:tcW w:w="1701" w:type="dxa"/>
            <w:tcBorders>
              <w:top w:val="single" w:sz="4" w:space="0" w:color="auto"/>
              <w:left w:val="single" w:sz="4" w:space="0" w:color="auto"/>
              <w:bottom w:val="single" w:sz="4" w:space="0" w:color="auto"/>
              <w:right w:val="single" w:sz="4" w:space="0" w:color="auto"/>
            </w:tcBorders>
            <w:hideMark/>
          </w:tcPr>
          <w:p w:rsidR="00FA6A77" w:rsidRPr="00D5126A" w:rsidRDefault="00FA6A77" w:rsidP="001D0396">
            <w:pPr>
              <w:spacing w:after="0" w:line="240" w:lineRule="auto"/>
              <w:jc w:val="center"/>
              <w:rPr>
                <w:rFonts w:ascii="Arial" w:hAnsi="Arial" w:cs="Arial"/>
                <w:sz w:val="20"/>
                <w:szCs w:val="20"/>
                <w:lang w:eastAsia="en-GB"/>
              </w:rPr>
            </w:pPr>
            <w:r w:rsidRPr="00D5126A">
              <w:rPr>
                <w:rFonts w:ascii="Arial" w:hAnsi="Arial" w:cs="Arial"/>
                <w:sz w:val="20"/>
                <w:szCs w:val="20"/>
                <w:lang w:eastAsia="en-GB"/>
              </w:rPr>
              <w:t>8%</w:t>
            </w:r>
          </w:p>
        </w:tc>
      </w:tr>
      <w:tr w:rsidR="00FA6A77" w:rsidRPr="00D5126A" w:rsidTr="0071534A">
        <w:tc>
          <w:tcPr>
            <w:tcW w:w="3253" w:type="dxa"/>
            <w:tcBorders>
              <w:top w:val="single" w:sz="4" w:space="0" w:color="auto"/>
              <w:left w:val="single" w:sz="4" w:space="0" w:color="auto"/>
              <w:bottom w:val="single" w:sz="4" w:space="0" w:color="auto"/>
              <w:right w:val="single" w:sz="4" w:space="0" w:color="auto"/>
            </w:tcBorders>
            <w:hideMark/>
          </w:tcPr>
          <w:p w:rsidR="00FA6A77" w:rsidRPr="00D5126A" w:rsidRDefault="00FA6A77" w:rsidP="001D0396">
            <w:pPr>
              <w:spacing w:after="0" w:line="240" w:lineRule="auto"/>
              <w:rPr>
                <w:rFonts w:ascii="Arial" w:hAnsi="Arial" w:cs="Arial"/>
                <w:sz w:val="20"/>
                <w:szCs w:val="20"/>
                <w:lang w:eastAsia="en-GB"/>
              </w:rPr>
            </w:pPr>
            <w:r w:rsidRPr="00D5126A">
              <w:rPr>
                <w:rFonts w:ascii="Arial" w:hAnsi="Arial" w:cs="Arial"/>
                <w:sz w:val="20"/>
                <w:szCs w:val="20"/>
                <w:lang w:eastAsia="en-GB"/>
              </w:rPr>
              <w:t>Porirua City Council</w:t>
            </w:r>
          </w:p>
        </w:tc>
        <w:tc>
          <w:tcPr>
            <w:tcW w:w="1707" w:type="dxa"/>
            <w:tcBorders>
              <w:top w:val="single" w:sz="4" w:space="0" w:color="auto"/>
              <w:left w:val="single" w:sz="4" w:space="0" w:color="auto"/>
              <w:bottom w:val="single" w:sz="4" w:space="0" w:color="auto"/>
              <w:right w:val="single" w:sz="4" w:space="0" w:color="auto"/>
            </w:tcBorders>
            <w:hideMark/>
          </w:tcPr>
          <w:p w:rsidR="00FA6A77" w:rsidRPr="00D5126A" w:rsidRDefault="00FA6A77" w:rsidP="001D0396">
            <w:pPr>
              <w:spacing w:after="0" w:line="240" w:lineRule="auto"/>
              <w:jc w:val="center"/>
              <w:rPr>
                <w:rFonts w:ascii="Arial" w:hAnsi="Arial" w:cs="Arial"/>
                <w:sz w:val="20"/>
                <w:szCs w:val="20"/>
                <w:lang w:eastAsia="en-GB"/>
              </w:rPr>
            </w:pPr>
            <w:r w:rsidRPr="00D5126A">
              <w:rPr>
                <w:rFonts w:ascii="Arial" w:hAnsi="Arial" w:cs="Arial"/>
                <w:sz w:val="20"/>
                <w:szCs w:val="20"/>
                <w:lang w:eastAsia="en-GB"/>
              </w:rPr>
              <w:t>150</w:t>
            </w:r>
          </w:p>
        </w:tc>
        <w:tc>
          <w:tcPr>
            <w:tcW w:w="2695" w:type="dxa"/>
            <w:tcBorders>
              <w:top w:val="single" w:sz="4" w:space="0" w:color="auto"/>
              <w:left w:val="single" w:sz="4" w:space="0" w:color="auto"/>
              <w:bottom w:val="single" w:sz="4" w:space="0" w:color="auto"/>
              <w:right w:val="single" w:sz="4" w:space="0" w:color="auto"/>
            </w:tcBorders>
            <w:hideMark/>
          </w:tcPr>
          <w:p w:rsidR="00FA6A77" w:rsidRPr="00D5126A" w:rsidRDefault="00FA6A77" w:rsidP="001D0396">
            <w:pPr>
              <w:spacing w:after="0" w:line="240" w:lineRule="auto"/>
              <w:jc w:val="center"/>
              <w:rPr>
                <w:rFonts w:ascii="Arial" w:hAnsi="Arial" w:cs="Arial"/>
                <w:sz w:val="20"/>
                <w:szCs w:val="20"/>
                <w:lang w:eastAsia="en-GB"/>
              </w:rPr>
            </w:pPr>
            <w:r w:rsidRPr="00D5126A">
              <w:rPr>
                <w:rFonts w:ascii="Arial" w:hAnsi="Arial" w:cs="Arial"/>
                <w:sz w:val="20"/>
                <w:szCs w:val="20"/>
                <w:lang w:eastAsia="en-GB"/>
              </w:rPr>
              <w:t>60</w:t>
            </w:r>
          </w:p>
        </w:tc>
        <w:tc>
          <w:tcPr>
            <w:tcW w:w="1701" w:type="dxa"/>
            <w:tcBorders>
              <w:top w:val="single" w:sz="4" w:space="0" w:color="auto"/>
              <w:left w:val="single" w:sz="4" w:space="0" w:color="auto"/>
              <w:bottom w:val="single" w:sz="4" w:space="0" w:color="auto"/>
              <w:right w:val="single" w:sz="4" w:space="0" w:color="auto"/>
            </w:tcBorders>
            <w:hideMark/>
          </w:tcPr>
          <w:p w:rsidR="00FA6A77" w:rsidRPr="00D5126A" w:rsidRDefault="00FA6A77" w:rsidP="001D0396">
            <w:pPr>
              <w:spacing w:after="0" w:line="240" w:lineRule="auto"/>
              <w:jc w:val="center"/>
              <w:rPr>
                <w:rFonts w:ascii="Arial" w:hAnsi="Arial" w:cs="Arial"/>
                <w:sz w:val="20"/>
                <w:szCs w:val="20"/>
                <w:lang w:eastAsia="en-GB"/>
              </w:rPr>
            </w:pPr>
            <w:r w:rsidRPr="00D5126A">
              <w:rPr>
                <w:rFonts w:ascii="Arial" w:hAnsi="Arial" w:cs="Arial"/>
                <w:sz w:val="20"/>
                <w:szCs w:val="20"/>
                <w:lang w:eastAsia="en-GB"/>
              </w:rPr>
              <w:t>13%</w:t>
            </w:r>
          </w:p>
        </w:tc>
      </w:tr>
      <w:tr w:rsidR="00FA6A77" w:rsidRPr="00D5126A" w:rsidTr="0071534A">
        <w:tc>
          <w:tcPr>
            <w:tcW w:w="3253" w:type="dxa"/>
            <w:tcBorders>
              <w:top w:val="single" w:sz="4" w:space="0" w:color="auto"/>
              <w:left w:val="single" w:sz="4" w:space="0" w:color="auto"/>
              <w:bottom w:val="single" w:sz="4" w:space="0" w:color="auto"/>
              <w:right w:val="single" w:sz="4" w:space="0" w:color="auto"/>
            </w:tcBorders>
            <w:hideMark/>
          </w:tcPr>
          <w:p w:rsidR="00FA6A77" w:rsidRPr="00D5126A" w:rsidRDefault="00FA6A77" w:rsidP="001D0396">
            <w:pPr>
              <w:spacing w:after="0" w:line="240" w:lineRule="auto"/>
              <w:rPr>
                <w:rFonts w:ascii="Arial" w:hAnsi="Arial" w:cs="Arial"/>
                <w:sz w:val="20"/>
                <w:szCs w:val="20"/>
                <w:lang w:eastAsia="en-GB"/>
              </w:rPr>
            </w:pPr>
            <w:r w:rsidRPr="00D5126A">
              <w:rPr>
                <w:rFonts w:ascii="Arial" w:hAnsi="Arial" w:cs="Arial"/>
                <w:sz w:val="20"/>
                <w:szCs w:val="20"/>
                <w:lang w:eastAsia="en-GB"/>
              </w:rPr>
              <w:t>Greater Wellington Regional Council</w:t>
            </w:r>
          </w:p>
        </w:tc>
        <w:tc>
          <w:tcPr>
            <w:tcW w:w="1707" w:type="dxa"/>
            <w:tcBorders>
              <w:top w:val="single" w:sz="4" w:space="0" w:color="auto"/>
              <w:left w:val="single" w:sz="4" w:space="0" w:color="auto"/>
              <w:bottom w:val="single" w:sz="4" w:space="0" w:color="auto"/>
              <w:right w:val="single" w:sz="4" w:space="0" w:color="auto"/>
            </w:tcBorders>
            <w:hideMark/>
          </w:tcPr>
          <w:p w:rsidR="00FA6A77" w:rsidRPr="00D5126A" w:rsidRDefault="00FA6A77" w:rsidP="001D0396">
            <w:pPr>
              <w:spacing w:after="0" w:line="240" w:lineRule="auto"/>
              <w:jc w:val="center"/>
              <w:rPr>
                <w:rFonts w:ascii="Arial" w:hAnsi="Arial" w:cs="Arial"/>
                <w:sz w:val="20"/>
                <w:szCs w:val="20"/>
                <w:lang w:eastAsia="en-GB"/>
              </w:rPr>
            </w:pPr>
            <w:r w:rsidRPr="00D5126A">
              <w:rPr>
                <w:rFonts w:ascii="Arial" w:hAnsi="Arial" w:cs="Arial"/>
                <w:sz w:val="20"/>
                <w:szCs w:val="20"/>
                <w:lang w:eastAsia="en-GB"/>
              </w:rPr>
              <w:t>150</w:t>
            </w:r>
          </w:p>
        </w:tc>
        <w:tc>
          <w:tcPr>
            <w:tcW w:w="2695" w:type="dxa"/>
            <w:tcBorders>
              <w:top w:val="single" w:sz="4" w:space="0" w:color="auto"/>
              <w:left w:val="single" w:sz="4" w:space="0" w:color="auto"/>
              <w:bottom w:val="single" w:sz="4" w:space="0" w:color="auto"/>
              <w:right w:val="single" w:sz="4" w:space="0" w:color="auto"/>
            </w:tcBorders>
            <w:hideMark/>
          </w:tcPr>
          <w:p w:rsidR="00FA6A77" w:rsidRPr="00D5126A" w:rsidRDefault="00FA6A77" w:rsidP="001D0396">
            <w:pPr>
              <w:spacing w:after="0" w:line="240" w:lineRule="auto"/>
              <w:jc w:val="center"/>
              <w:rPr>
                <w:rFonts w:ascii="Arial" w:hAnsi="Arial" w:cs="Arial"/>
                <w:sz w:val="20"/>
                <w:szCs w:val="20"/>
                <w:lang w:eastAsia="en-GB"/>
              </w:rPr>
            </w:pPr>
            <w:r w:rsidRPr="00D5126A">
              <w:rPr>
                <w:rFonts w:ascii="Arial" w:hAnsi="Arial" w:cs="Arial"/>
                <w:sz w:val="20"/>
                <w:szCs w:val="20"/>
                <w:lang w:eastAsia="en-GB"/>
              </w:rPr>
              <w:t>75</w:t>
            </w:r>
          </w:p>
        </w:tc>
        <w:tc>
          <w:tcPr>
            <w:tcW w:w="1701" w:type="dxa"/>
            <w:tcBorders>
              <w:top w:val="single" w:sz="4" w:space="0" w:color="auto"/>
              <w:left w:val="single" w:sz="4" w:space="0" w:color="auto"/>
              <w:bottom w:val="single" w:sz="4" w:space="0" w:color="auto"/>
              <w:right w:val="single" w:sz="4" w:space="0" w:color="auto"/>
            </w:tcBorders>
            <w:hideMark/>
          </w:tcPr>
          <w:p w:rsidR="00FA6A77" w:rsidRPr="00D5126A" w:rsidRDefault="00FA6A77" w:rsidP="001D0396">
            <w:pPr>
              <w:spacing w:after="0" w:line="240" w:lineRule="auto"/>
              <w:jc w:val="center"/>
              <w:rPr>
                <w:rFonts w:ascii="Arial" w:hAnsi="Arial" w:cs="Arial"/>
                <w:sz w:val="20"/>
                <w:szCs w:val="20"/>
                <w:lang w:eastAsia="en-GB"/>
              </w:rPr>
            </w:pPr>
            <w:r w:rsidRPr="00D5126A">
              <w:rPr>
                <w:rFonts w:ascii="Arial" w:hAnsi="Arial" w:cs="Arial"/>
                <w:sz w:val="20"/>
                <w:szCs w:val="20"/>
                <w:lang w:eastAsia="en-GB"/>
              </w:rPr>
              <w:t>16%</w:t>
            </w:r>
          </w:p>
        </w:tc>
      </w:tr>
      <w:tr w:rsidR="00FA6A77" w:rsidRPr="00D5126A" w:rsidTr="0071534A">
        <w:tc>
          <w:tcPr>
            <w:tcW w:w="3253" w:type="dxa"/>
            <w:tcBorders>
              <w:top w:val="single" w:sz="4" w:space="0" w:color="auto"/>
              <w:left w:val="single" w:sz="4" w:space="0" w:color="auto"/>
              <w:bottom w:val="single" w:sz="4" w:space="0" w:color="auto"/>
              <w:right w:val="single" w:sz="4" w:space="0" w:color="auto"/>
            </w:tcBorders>
            <w:hideMark/>
          </w:tcPr>
          <w:p w:rsidR="00FA6A77" w:rsidRPr="00D5126A" w:rsidRDefault="00FA6A77" w:rsidP="001D0396">
            <w:pPr>
              <w:spacing w:after="0" w:line="240" w:lineRule="auto"/>
              <w:rPr>
                <w:rFonts w:ascii="Arial" w:hAnsi="Arial" w:cs="Arial"/>
                <w:b/>
                <w:sz w:val="20"/>
                <w:szCs w:val="20"/>
                <w:lang w:eastAsia="en-GB"/>
              </w:rPr>
            </w:pPr>
            <w:r w:rsidRPr="00D5126A">
              <w:rPr>
                <w:rFonts w:ascii="Arial" w:hAnsi="Arial" w:cs="Arial"/>
                <w:b/>
                <w:sz w:val="20"/>
                <w:szCs w:val="20"/>
                <w:lang w:eastAsia="en-GB"/>
              </w:rPr>
              <w:t>Total shares on issue</w:t>
            </w:r>
          </w:p>
        </w:tc>
        <w:tc>
          <w:tcPr>
            <w:tcW w:w="1707" w:type="dxa"/>
            <w:tcBorders>
              <w:top w:val="single" w:sz="4" w:space="0" w:color="auto"/>
              <w:left w:val="single" w:sz="4" w:space="0" w:color="auto"/>
              <w:bottom w:val="single" w:sz="4" w:space="0" w:color="auto"/>
              <w:right w:val="single" w:sz="4" w:space="0" w:color="auto"/>
            </w:tcBorders>
            <w:hideMark/>
          </w:tcPr>
          <w:p w:rsidR="00FA6A77" w:rsidRPr="00D5126A" w:rsidRDefault="00FA6A77" w:rsidP="001D0396">
            <w:pPr>
              <w:spacing w:after="0" w:line="240" w:lineRule="auto"/>
              <w:jc w:val="center"/>
              <w:rPr>
                <w:rFonts w:ascii="Arial" w:hAnsi="Arial" w:cs="Arial"/>
                <w:b/>
                <w:sz w:val="20"/>
                <w:szCs w:val="20"/>
                <w:lang w:eastAsia="en-GB"/>
              </w:rPr>
            </w:pPr>
            <w:r w:rsidRPr="00D5126A">
              <w:rPr>
                <w:rFonts w:ascii="Arial" w:hAnsi="Arial" w:cs="Arial"/>
                <w:b/>
                <w:sz w:val="20"/>
                <w:szCs w:val="20"/>
                <w:lang w:eastAsia="en-GB"/>
              </w:rPr>
              <w:t>750</w:t>
            </w:r>
          </w:p>
        </w:tc>
        <w:tc>
          <w:tcPr>
            <w:tcW w:w="2695" w:type="dxa"/>
            <w:tcBorders>
              <w:top w:val="single" w:sz="4" w:space="0" w:color="auto"/>
              <w:left w:val="single" w:sz="4" w:space="0" w:color="auto"/>
              <w:bottom w:val="single" w:sz="4" w:space="0" w:color="auto"/>
              <w:right w:val="single" w:sz="4" w:space="0" w:color="auto"/>
            </w:tcBorders>
            <w:hideMark/>
          </w:tcPr>
          <w:p w:rsidR="00FA6A77" w:rsidRPr="00D5126A" w:rsidRDefault="00FA6A77" w:rsidP="001D0396">
            <w:pPr>
              <w:spacing w:after="0" w:line="240" w:lineRule="auto"/>
              <w:jc w:val="center"/>
              <w:rPr>
                <w:rFonts w:ascii="Arial" w:hAnsi="Arial" w:cs="Arial"/>
                <w:b/>
                <w:sz w:val="20"/>
                <w:szCs w:val="20"/>
                <w:lang w:eastAsia="en-GB"/>
              </w:rPr>
            </w:pPr>
            <w:r w:rsidRPr="00D5126A">
              <w:rPr>
                <w:rFonts w:ascii="Arial" w:hAnsi="Arial" w:cs="Arial"/>
                <w:b/>
                <w:sz w:val="20"/>
                <w:szCs w:val="20"/>
                <w:lang w:eastAsia="en-GB"/>
              </w:rPr>
              <w:t>475</w:t>
            </w:r>
          </w:p>
        </w:tc>
        <w:tc>
          <w:tcPr>
            <w:tcW w:w="1701" w:type="dxa"/>
            <w:tcBorders>
              <w:top w:val="single" w:sz="4" w:space="0" w:color="auto"/>
              <w:left w:val="single" w:sz="4" w:space="0" w:color="auto"/>
              <w:bottom w:val="single" w:sz="4" w:space="0" w:color="auto"/>
              <w:right w:val="single" w:sz="4" w:space="0" w:color="auto"/>
            </w:tcBorders>
            <w:hideMark/>
          </w:tcPr>
          <w:p w:rsidR="00FA6A77" w:rsidRPr="00D5126A" w:rsidRDefault="00FA6A77" w:rsidP="001D0396">
            <w:pPr>
              <w:spacing w:after="0" w:line="240" w:lineRule="auto"/>
              <w:jc w:val="center"/>
              <w:rPr>
                <w:rFonts w:ascii="Arial" w:hAnsi="Arial" w:cs="Arial"/>
                <w:b/>
                <w:sz w:val="20"/>
                <w:szCs w:val="20"/>
                <w:lang w:eastAsia="en-GB"/>
              </w:rPr>
            </w:pPr>
            <w:r w:rsidRPr="00D5126A">
              <w:rPr>
                <w:rFonts w:ascii="Arial" w:hAnsi="Arial" w:cs="Arial"/>
                <w:b/>
                <w:sz w:val="20"/>
                <w:szCs w:val="20"/>
                <w:lang w:eastAsia="en-GB"/>
              </w:rPr>
              <w:t>100%</w:t>
            </w:r>
          </w:p>
        </w:tc>
      </w:tr>
    </w:tbl>
    <w:p w:rsidR="00FA6A77" w:rsidRPr="00D5126A" w:rsidRDefault="00FA6A77" w:rsidP="001D0396">
      <w:pPr>
        <w:spacing w:before="240"/>
        <w:jc w:val="both"/>
        <w:rPr>
          <w:rFonts w:ascii="Arial" w:hAnsi="Arial" w:cs="Arial"/>
        </w:rPr>
      </w:pPr>
      <w:r w:rsidRPr="00D5126A">
        <w:rPr>
          <w:rFonts w:ascii="Arial" w:hAnsi="Arial" w:cs="Arial"/>
        </w:rPr>
        <w:t xml:space="preserve">The Class A shares represent voting rights and are split evenly between the five Councils. The Class B shares confer the level of contributions and ownership benefits of each council. Council classifies this entity as jointly controlled because of the equal sharing of voting rights conferred through the Class A shares and the shareholder’s agreement, which constitutes a binding arrangement. </w:t>
      </w:r>
    </w:p>
    <w:p w:rsidR="00FA6A77" w:rsidRPr="00D5126A" w:rsidRDefault="00FA6A77" w:rsidP="00FA6A77">
      <w:pPr>
        <w:jc w:val="both"/>
        <w:rPr>
          <w:rFonts w:ascii="Arial" w:hAnsi="Arial" w:cs="Arial"/>
        </w:rPr>
      </w:pPr>
      <w:r w:rsidRPr="00D5126A">
        <w:rPr>
          <w:rFonts w:ascii="Arial" w:hAnsi="Arial" w:cs="Arial"/>
        </w:rPr>
        <w:t xml:space="preserve">Wellington City Council chooses to use equity accounting to recognise its 42.11% ownership interest as determined by the proportionate value of Class B shares held. </w:t>
      </w:r>
    </w:p>
    <w:p w:rsidR="00FA6A77" w:rsidRPr="00D5126A" w:rsidRDefault="00FA6A77" w:rsidP="00201F90">
      <w:pPr>
        <w:pStyle w:val="Heading4"/>
        <w:rPr>
          <w:rFonts w:asciiTheme="majorHAnsi" w:hAnsiTheme="majorHAnsi" w:cs="Times New Roman"/>
          <w:sz w:val="24"/>
          <w:szCs w:val="26"/>
        </w:rPr>
      </w:pPr>
      <w:r w:rsidRPr="00D5126A">
        <w:t>Summary of Financial Position and Performance of associates and jointly controlled entity</w:t>
      </w:r>
    </w:p>
    <w:p w:rsidR="00FA6A77" w:rsidRPr="00D5126A" w:rsidRDefault="00FA6A77" w:rsidP="00FA6A77">
      <w:pPr>
        <w:rPr>
          <w:rFonts w:ascii="Arial" w:hAnsi="Arial" w:cs="Arial"/>
        </w:rPr>
      </w:pPr>
      <w:r w:rsidRPr="00D5126A">
        <w:rPr>
          <w:rFonts w:ascii="Arial" w:hAnsi="Arial" w:cs="Arial"/>
        </w:rPr>
        <w:t>The Council’s share of the assets, liabilities, revenues and surpluses or deficits of its associates and jointly controlled entity are as follows</w:t>
      </w:r>
      <w:r w:rsidR="00806B22">
        <w:rPr>
          <w:rFonts w:ascii="Arial" w:hAnsi="Arial" w:cs="Arial"/>
        </w:rPr>
        <w:t xml:space="preserve"> in Table 36.</w:t>
      </w:r>
    </w:p>
    <w:p w:rsidR="00B654D5" w:rsidRDefault="00B654D5" w:rsidP="00B654D5">
      <w:pPr>
        <w:pStyle w:val="Caption"/>
      </w:pPr>
      <w:r>
        <w:t xml:space="preserve">Section 5 - Table </w:t>
      </w:r>
      <w:fldSimple w:instr=" SEQ Section_5_-_Table \* ARABIC ">
        <w:r w:rsidR="005908C4">
          <w:rPr>
            <w:noProof/>
          </w:rPr>
          <w:t>36</w:t>
        </w:r>
      </w:fldSimple>
      <w:r>
        <w:t>: Summary of financial position and performance of associates and jointly controlled entity</w:t>
      </w:r>
    </w:p>
    <w:p w:rsidR="00B654D5" w:rsidRPr="0035019C" w:rsidRDefault="00FA6A77" w:rsidP="0035019C">
      <w:pPr>
        <w:rPr>
          <w:rFonts w:ascii="Arial" w:hAnsi="Arial" w:cs="Arial"/>
        </w:rPr>
      </w:pPr>
      <w:r w:rsidRPr="00D5126A">
        <w:rPr>
          <w:rFonts w:ascii="Arial" w:hAnsi="Arial" w:cs="Arial"/>
          <w:noProof/>
          <w:lang w:eastAsia="en-NZ"/>
        </w:rPr>
        <w:drawing>
          <wp:inline distT="0" distB="0" distL="0" distR="0" wp14:anchorId="33783FBC" wp14:editId="2731E551">
            <wp:extent cx="5805377" cy="3372316"/>
            <wp:effectExtent l="0" t="0" r="5080" b="0"/>
            <wp:docPr id="1418" name="Picture 1418" title="Section 5 - Table 36: Summary of financial position and performance of associates and jointly controlled ent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810351" cy="3375206"/>
                    </a:xfrm>
                    <a:prstGeom prst="rect">
                      <a:avLst/>
                    </a:prstGeom>
                    <a:noFill/>
                    <a:ln>
                      <a:noFill/>
                    </a:ln>
                  </pic:spPr>
                </pic:pic>
              </a:graphicData>
            </a:graphic>
          </wp:inline>
        </w:drawing>
      </w:r>
    </w:p>
    <w:p w:rsidR="00FA6A77" w:rsidRPr="00D5126A" w:rsidRDefault="00FA6A77" w:rsidP="00201F90">
      <w:pPr>
        <w:pStyle w:val="Heading4"/>
      </w:pPr>
      <w:r w:rsidRPr="00D5126A">
        <w:t>Value of the investments</w:t>
      </w:r>
    </w:p>
    <w:p w:rsidR="00793649" w:rsidRPr="00793649" w:rsidRDefault="00FA6A77" w:rsidP="00793649">
      <w:pPr>
        <w:jc w:val="both"/>
        <w:rPr>
          <w:rFonts w:ascii="Arial" w:hAnsi="Arial" w:cs="Arial"/>
        </w:rPr>
      </w:pPr>
      <w:r w:rsidRPr="00D5126A">
        <w:rPr>
          <w:rFonts w:ascii="Arial" w:hAnsi="Arial" w:cs="Arial"/>
        </w:rPr>
        <w:t xml:space="preserve">The investment in associates and the jointly controlled entity in the Group financial statements </w:t>
      </w:r>
      <w:proofErr w:type="gramStart"/>
      <w:r w:rsidRPr="00D5126A">
        <w:rPr>
          <w:rFonts w:ascii="Arial" w:hAnsi="Arial" w:cs="Arial"/>
        </w:rPr>
        <w:t>represents</w:t>
      </w:r>
      <w:proofErr w:type="gramEnd"/>
      <w:r w:rsidRPr="00D5126A">
        <w:rPr>
          <w:rFonts w:ascii="Arial" w:hAnsi="Arial" w:cs="Arial"/>
        </w:rPr>
        <w:t xml:space="preserve"> the Council’s share of the net assets of the associates and the jointly controlled entity. This is reflected in the Group f</w:t>
      </w:r>
      <w:r w:rsidR="00793649">
        <w:rPr>
          <w:rFonts w:ascii="Arial" w:hAnsi="Arial" w:cs="Arial"/>
        </w:rPr>
        <w:t>inancial statements as follows:</w:t>
      </w:r>
    </w:p>
    <w:p w:rsidR="00793649" w:rsidRDefault="00793649" w:rsidP="00793649">
      <w:pPr>
        <w:pStyle w:val="Caption"/>
      </w:pPr>
      <w:r>
        <w:lastRenderedPageBreak/>
        <w:t xml:space="preserve">Section 5 - Table </w:t>
      </w:r>
      <w:fldSimple w:instr=" SEQ Section_5_-_Table \* ARABIC ">
        <w:r w:rsidR="005908C4">
          <w:rPr>
            <w:noProof/>
          </w:rPr>
          <w:t>37</w:t>
        </w:r>
      </w:fldSimple>
      <w:r>
        <w:t xml:space="preserve">: </w:t>
      </w:r>
      <w:r w:rsidRPr="006D005E">
        <w:t>Value of investments in associates and jointly controlled entity</w:t>
      </w:r>
    </w:p>
    <w:p w:rsidR="00FA6A77" w:rsidRPr="00D5126A" w:rsidRDefault="00FA6A77" w:rsidP="00201F90">
      <w:pPr>
        <w:ind w:left="-284"/>
        <w:rPr>
          <w:rFonts w:ascii="Arial" w:hAnsi="Arial" w:cs="Arial"/>
        </w:rPr>
      </w:pPr>
      <w:r w:rsidRPr="00D5126A">
        <w:rPr>
          <w:noProof/>
          <w:lang w:eastAsia="en-NZ"/>
        </w:rPr>
        <w:drawing>
          <wp:inline distT="0" distB="0" distL="0" distR="0" wp14:anchorId="40371BFC" wp14:editId="1D3957EF">
            <wp:extent cx="6142355" cy="4879975"/>
            <wp:effectExtent l="0" t="0" r="0" b="0"/>
            <wp:docPr id="1417" name="Picture 1417" title="Section 5 - Table 37: Value of investments in associates and jointly controlled ent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6142355" cy="4879975"/>
                    </a:xfrm>
                    <a:prstGeom prst="rect">
                      <a:avLst/>
                    </a:prstGeom>
                    <a:noFill/>
                    <a:ln>
                      <a:noFill/>
                    </a:ln>
                  </pic:spPr>
                </pic:pic>
              </a:graphicData>
            </a:graphic>
          </wp:inline>
        </w:drawing>
      </w:r>
      <w:r w:rsidRPr="00D5126A">
        <w:t xml:space="preserve"> </w:t>
      </w:r>
      <w:r w:rsidRPr="00D5126A">
        <w:rPr>
          <w:rFonts w:ascii="Arial" w:hAnsi="Arial" w:cs="Arial"/>
        </w:rPr>
        <w:t xml:space="preserve">The Council’s share of the operating surplus or deficit results of the Chaffers Marina Holdings Limited, Wellington International Airport Limited and Wellington Water Limited is outlined in Note 9: Share of Associates’ and Jointly Controlled Entity’s surplus or deficit </w:t>
      </w:r>
      <w:r w:rsidR="00201F90" w:rsidRPr="00213CD7">
        <w:rPr>
          <w:rFonts w:ascii="Arial" w:hAnsi="Arial" w:cs="Arial"/>
          <w:color w:val="333333"/>
          <w:lang w:eastAsia="en-GB"/>
        </w:rPr>
        <w:t xml:space="preserve">(page </w:t>
      </w:r>
      <w:r w:rsidR="00213CD7" w:rsidRPr="00213CD7">
        <w:rPr>
          <w:rFonts w:ascii="Arial" w:hAnsi="Arial" w:cs="Arial"/>
          <w:color w:val="333333"/>
          <w:lang w:eastAsia="en-GB"/>
        </w:rPr>
        <w:t>237</w:t>
      </w:r>
      <w:r w:rsidR="00201F90" w:rsidRPr="00213CD7">
        <w:rPr>
          <w:rFonts w:ascii="Arial" w:hAnsi="Arial" w:cs="Arial"/>
          <w:color w:val="333333"/>
          <w:lang w:eastAsia="en-GB"/>
        </w:rPr>
        <w:t>)</w:t>
      </w:r>
      <w:r w:rsidRPr="00213CD7">
        <w:rPr>
          <w:rFonts w:ascii="Arial" w:hAnsi="Arial" w:cs="Arial"/>
        </w:rPr>
        <w:t>.</w:t>
      </w:r>
    </w:p>
    <w:p w:rsidR="00FA6A77" w:rsidRPr="00D5126A" w:rsidRDefault="00FA6A77" w:rsidP="00EB23BE"/>
    <w:p w:rsidR="00FA6A77" w:rsidRPr="00D5126A" w:rsidRDefault="00FA6A77" w:rsidP="00EB23BE">
      <w:pPr>
        <w:pStyle w:val="Heading3"/>
      </w:pPr>
      <w:bookmarkStart w:id="441" w:name="_Toc19092074"/>
      <w:bookmarkStart w:id="442" w:name="_Toc23848713"/>
      <w:r w:rsidRPr="00D5126A">
        <w:t>Note 21: Exchange transactions, transfers and taxes payable</w:t>
      </w:r>
      <w:bookmarkEnd w:id="441"/>
      <w:bookmarkEnd w:id="442"/>
    </w:p>
    <w:p w:rsidR="00793649" w:rsidRDefault="00793649" w:rsidP="00793649">
      <w:pPr>
        <w:pStyle w:val="Caption"/>
      </w:pPr>
      <w:r>
        <w:t xml:space="preserve">Section 5 - Table </w:t>
      </w:r>
      <w:fldSimple w:instr=" SEQ Section_5_-_Table \* ARABIC ">
        <w:r w:rsidR="005908C4">
          <w:rPr>
            <w:noProof/>
          </w:rPr>
          <w:t>38</w:t>
        </w:r>
      </w:fldSimple>
      <w:r>
        <w:t xml:space="preserve">: </w:t>
      </w:r>
      <w:r w:rsidRPr="00ED4B1D">
        <w:t>Exchange transactions, transfers and taxes payable</w:t>
      </w:r>
    </w:p>
    <w:p w:rsidR="00FA6A77" w:rsidRPr="00D5126A" w:rsidRDefault="00FA6A77" w:rsidP="00806B22">
      <w:pPr>
        <w:pStyle w:val="Body"/>
        <w:ind w:left="-426"/>
      </w:pPr>
      <w:r w:rsidRPr="00D5126A">
        <w:rPr>
          <w:noProof/>
          <w:lang w:eastAsia="en-NZ"/>
        </w:rPr>
        <w:drawing>
          <wp:inline distT="0" distB="0" distL="0" distR="0" wp14:anchorId="3BEF26F1" wp14:editId="60B5D174">
            <wp:extent cx="6291580" cy="2117090"/>
            <wp:effectExtent l="0" t="0" r="0" b="0"/>
            <wp:docPr id="1416" name="Picture 1416" title="Section 5 - Table 38: Exchange transactions, transfers and taxes pay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6291580" cy="2117090"/>
                    </a:xfrm>
                    <a:prstGeom prst="rect">
                      <a:avLst/>
                    </a:prstGeom>
                    <a:noFill/>
                    <a:ln>
                      <a:noFill/>
                    </a:ln>
                  </pic:spPr>
                </pic:pic>
              </a:graphicData>
            </a:graphic>
          </wp:inline>
        </w:drawing>
      </w:r>
    </w:p>
    <w:p w:rsidR="00FA6A77" w:rsidRPr="00D5126A" w:rsidRDefault="00FA6A77" w:rsidP="00FA6A77">
      <w:r w:rsidRPr="00D5126A">
        <w:lastRenderedPageBreak/>
        <w:t>Comprised of:</w:t>
      </w:r>
    </w:p>
    <w:p w:rsidR="00FA6A77" w:rsidRPr="00D5126A" w:rsidRDefault="00FA6A77" w:rsidP="0035019C">
      <w:pPr>
        <w:ind w:left="-142"/>
      </w:pPr>
      <w:r w:rsidRPr="00D5126A">
        <w:rPr>
          <w:noProof/>
          <w:lang w:eastAsia="en-NZ"/>
        </w:rPr>
        <w:drawing>
          <wp:inline distT="0" distB="0" distL="0" distR="0" wp14:anchorId="3A312A2E" wp14:editId="0B2BF4CA">
            <wp:extent cx="6291580" cy="3956050"/>
            <wp:effectExtent l="0" t="0" r="0" b="6350"/>
            <wp:docPr id="1415" name="Picture 1415" title="Section 5 - Table 38: Exchange transactions, transfers and taxes pay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6291580" cy="3956050"/>
                    </a:xfrm>
                    <a:prstGeom prst="rect">
                      <a:avLst/>
                    </a:prstGeom>
                    <a:noFill/>
                    <a:ln>
                      <a:noFill/>
                    </a:ln>
                  </pic:spPr>
                </pic:pic>
              </a:graphicData>
            </a:graphic>
          </wp:inline>
        </w:drawing>
      </w:r>
    </w:p>
    <w:p w:rsidR="00FA6A77" w:rsidRPr="00D5126A" w:rsidRDefault="00FA6A77" w:rsidP="0035019C">
      <w:pPr>
        <w:ind w:left="-142"/>
      </w:pPr>
      <w:r w:rsidRPr="00D5126A">
        <w:rPr>
          <w:noProof/>
          <w:lang w:eastAsia="en-NZ"/>
        </w:rPr>
        <w:drawing>
          <wp:inline distT="0" distB="0" distL="0" distR="0" wp14:anchorId="305AA733" wp14:editId="20CD23C0">
            <wp:extent cx="6291580" cy="1471295"/>
            <wp:effectExtent l="0" t="0" r="0" b="0"/>
            <wp:docPr id="1414" name="Picture 1414" title="Section 5 - Table 38: Exchange transactions, transfers and taxes pay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6291580" cy="1471295"/>
                    </a:xfrm>
                    <a:prstGeom prst="rect">
                      <a:avLst/>
                    </a:prstGeom>
                    <a:noFill/>
                    <a:ln>
                      <a:noFill/>
                    </a:ln>
                  </pic:spPr>
                </pic:pic>
              </a:graphicData>
            </a:graphic>
          </wp:inline>
        </w:drawing>
      </w:r>
      <w:r w:rsidRPr="00D5126A">
        <w:t xml:space="preserve"> </w:t>
      </w:r>
    </w:p>
    <w:p w:rsidR="00FA6A77" w:rsidRPr="00D5126A" w:rsidRDefault="00FA6A77" w:rsidP="00FA6A77">
      <w:pPr>
        <w:jc w:val="both"/>
        <w:rPr>
          <w:rFonts w:ascii="Arial" w:hAnsi="Arial" w:cs="Arial"/>
        </w:rPr>
      </w:pPr>
      <w:r w:rsidRPr="00D5126A">
        <w:rPr>
          <w:rFonts w:ascii="Arial" w:hAnsi="Arial" w:cs="Arial"/>
        </w:rPr>
        <w:t>Payables under exchange transactions, transfers and taxes payabl</w:t>
      </w:r>
      <w:r w:rsidR="00EB23BE" w:rsidRPr="00D5126A">
        <w:rPr>
          <w:rFonts w:ascii="Arial" w:hAnsi="Arial" w:cs="Arial"/>
        </w:rPr>
        <w:t xml:space="preserve">e are non-interest bearing and </w:t>
      </w:r>
      <w:r w:rsidRPr="00D5126A">
        <w:rPr>
          <w:rFonts w:ascii="Arial" w:hAnsi="Arial" w:cs="Arial"/>
        </w:rPr>
        <w:t xml:space="preserve">are normally settled on terms varying between seven days and the 20th of the month following the invoice date. Most of Council’s payables are exchange transactions as they are directly with another party on an arm’s length basis and are of approximately equal value. Non-exchange payables are classified as either </w:t>
      </w:r>
      <w:proofErr w:type="gramStart"/>
      <w:r w:rsidRPr="00D5126A">
        <w:rPr>
          <w:rFonts w:ascii="Arial" w:hAnsi="Arial" w:cs="Arial"/>
        </w:rPr>
        <w:t>taxes</w:t>
      </w:r>
      <w:proofErr w:type="gramEnd"/>
      <w:r w:rsidRPr="00D5126A">
        <w:rPr>
          <w:rFonts w:ascii="Arial" w:hAnsi="Arial" w:cs="Arial"/>
        </w:rPr>
        <w:t xml:space="preserve"> (eg. PAYE) or transfers payable (eg. Council grants).</w:t>
      </w:r>
    </w:p>
    <w:p w:rsidR="00FA6A77" w:rsidRPr="00D5126A" w:rsidRDefault="00FA6A77" w:rsidP="00EB23BE">
      <w:pPr>
        <w:pStyle w:val="Heading3"/>
        <w:rPr>
          <w:rFonts w:eastAsia="MS Gothic"/>
          <w:iCs/>
          <w:sz w:val="36"/>
          <w:szCs w:val="28"/>
        </w:rPr>
      </w:pPr>
      <w:bookmarkStart w:id="443" w:name="_Toc19092075"/>
      <w:bookmarkStart w:id="444" w:name="_Toc23848714"/>
      <w:r w:rsidRPr="00D5126A">
        <w:lastRenderedPageBreak/>
        <w:t>Note 22: Revenue in advance</w:t>
      </w:r>
      <w:bookmarkEnd w:id="443"/>
      <w:bookmarkEnd w:id="444"/>
    </w:p>
    <w:p w:rsidR="00793649" w:rsidRDefault="00793649" w:rsidP="00793649">
      <w:pPr>
        <w:pStyle w:val="Caption"/>
      </w:pPr>
      <w:r>
        <w:t xml:space="preserve">Section 5 - Table </w:t>
      </w:r>
      <w:fldSimple w:instr=" SEQ Section_5_-_Table \* ARABIC ">
        <w:r w:rsidR="005908C4">
          <w:rPr>
            <w:noProof/>
          </w:rPr>
          <w:t>39</w:t>
        </w:r>
      </w:fldSimple>
      <w:r>
        <w:t xml:space="preserve">: </w:t>
      </w:r>
      <w:r w:rsidRPr="007A3837">
        <w:t>Revenue in advance</w:t>
      </w:r>
    </w:p>
    <w:p w:rsidR="00FA6A77" w:rsidRPr="00D5126A" w:rsidRDefault="00FA6A77" w:rsidP="00806B22">
      <w:pPr>
        <w:ind w:left="-426"/>
      </w:pPr>
      <w:r w:rsidRPr="00D5126A">
        <w:rPr>
          <w:noProof/>
          <w:lang w:eastAsia="en-NZ"/>
        </w:rPr>
        <w:drawing>
          <wp:inline distT="0" distB="0" distL="0" distR="0" wp14:anchorId="78E13684" wp14:editId="72F567E0">
            <wp:extent cx="6191885" cy="3409315"/>
            <wp:effectExtent l="0" t="0" r="0" b="635"/>
            <wp:docPr id="1413" name="Picture 1413" title="Section 5 - Table 39: Revenue in adv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6191885" cy="3409315"/>
                    </a:xfrm>
                    <a:prstGeom prst="rect">
                      <a:avLst/>
                    </a:prstGeom>
                    <a:noFill/>
                    <a:ln>
                      <a:noFill/>
                    </a:ln>
                  </pic:spPr>
                </pic:pic>
              </a:graphicData>
            </a:graphic>
          </wp:inline>
        </w:drawing>
      </w:r>
    </w:p>
    <w:p w:rsidR="00FA6A77" w:rsidRPr="00D5126A" w:rsidRDefault="00FA6A77" w:rsidP="00EB23BE">
      <w:pPr>
        <w:pStyle w:val="Heading4"/>
        <w:rPr>
          <w:lang w:eastAsia="en-GB"/>
        </w:rPr>
      </w:pPr>
      <w:r w:rsidRPr="00D5126A">
        <w:rPr>
          <w:lang w:eastAsia="en-GB"/>
        </w:rPr>
        <w:t>Relevant significant accounting policies</w:t>
      </w:r>
    </w:p>
    <w:p w:rsidR="00FA6A77" w:rsidRPr="00D5126A" w:rsidRDefault="00FA6A77" w:rsidP="00EB23BE">
      <w:pPr>
        <w:pStyle w:val="Heading5"/>
      </w:pPr>
      <w:r w:rsidRPr="00D5126A">
        <w:t>Liabilities recognised under conditional transfer agreements</w:t>
      </w:r>
    </w:p>
    <w:p w:rsidR="00FA6A77" w:rsidRPr="00D5126A" w:rsidRDefault="00FA6A77" w:rsidP="00FA6A77">
      <w:pPr>
        <w:jc w:val="both"/>
        <w:rPr>
          <w:rFonts w:ascii="Arial" w:hAnsi="Arial" w:cs="Arial"/>
        </w:rPr>
      </w:pPr>
      <w:r w:rsidRPr="00D5126A">
        <w:rPr>
          <w:rFonts w:ascii="Arial" w:hAnsi="Arial" w:cs="Arial"/>
        </w:rPr>
        <w:t>Council and the Group have received non-exchange transfer monies for specific purposes, which apply to periods beyond the current year, with conditions that would require the return of the monies if they are not able to fulfil the agreement. The revenue from these agreements will only be recognised as the conditions are fulfilled over time.</w:t>
      </w:r>
    </w:p>
    <w:p w:rsidR="00FA6A77" w:rsidRPr="00D5126A" w:rsidRDefault="00FA6A77" w:rsidP="00EB23BE">
      <w:pPr>
        <w:jc w:val="both"/>
      </w:pPr>
      <w:r w:rsidRPr="00D5126A">
        <w:rPr>
          <w:rFonts w:ascii="Arial" w:hAnsi="Arial" w:cs="Arial"/>
        </w:rPr>
        <w:t>These liabilities relate to various naming rights agreements that Council has with third parties for buildings.</w:t>
      </w:r>
      <w:r w:rsidR="00EB23BE" w:rsidRPr="00D5126A">
        <w:t xml:space="preserve"> </w:t>
      </w:r>
    </w:p>
    <w:p w:rsidR="00EB23BE" w:rsidRPr="00D5126A" w:rsidRDefault="00EB23BE">
      <w:pPr>
        <w:rPr>
          <w:rFonts w:eastAsia="Times New Roman" w:cstheme="minorHAnsi"/>
          <w:b/>
          <w:bCs/>
          <w:color w:val="4F81BD" w:themeColor="accent1"/>
          <w:sz w:val="34"/>
          <w:szCs w:val="34"/>
          <w:lang w:eastAsia="en-NZ"/>
        </w:rPr>
      </w:pPr>
      <w:bookmarkStart w:id="445" w:name="_Toc19092076"/>
      <w:r w:rsidRPr="00D5126A">
        <w:br w:type="page"/>
      </w:r>
    </w:p>
    <w:p w:rsidR="00FA6A77" w:rsidRPr="00D5126A" w:rsidRDefault="00FA6A77" w:rsidP="00EB23BE">
      <w:pPr>
        <w:pStyle w:val="Heading3"/>
      </w:pPr>
      <w:bookmarkStart w:id="446" w:name="_Toc23848715"/>
      <w:r w:rsidRPr="00D5126A">
        <w:lastRenderedPageBreak/>
        <w:t>Note 23: Borrowings</w:t>
      </w:r>
      <w:bookmarkEnd w:id="445"/>
      <w:bookmarkEnd w:id="446"/>
    </w:p>
    <w:p w:rsidR="00FA6A77" w:rsidRPr="00D5126A" w:rsidRDefault="00FA6A77" w:rsidP="00FA6A77">
      <w:pPr>
        <w:tabs>
          <w:tab w:val="right" w:pos="4253"/>
        </w:tabs>
        <w:spacing w:before="40"/>
        <w:rPr>
          <w:rFonts w:ascii="Arial" w:hAnsi="Arial" w:cs="Arial"/>
        </w:rPr>
      </w:pPr>
      <w:r w:rsidRPr="00D5126A">
        <w:rPr>
          <w:rFonts w:ascii="Arial" w:hAnsi="Arial" w:cs="Arial"/>
        </w:rPr>
        <w:t>The Council maintains a prudent borrowings position in relation to our equity and annual revenue. Borrowings are primarily used to fund the purchase of new assets or upgrades to existing assets that are approved through the Annual Plan and Long-Term Plan processes.</w:t>
      </w:r>
    </w:p>
    <w:p w:rsidR="00FA6A77" w:rsidRPr="00D5126A" w:rsidRDefault="00FA6A77" w:rsidP="00EB23BE">
      <w:pPr>
        <w:pStyle w:val="Heading4"/>
        <w:rPr>
          <w:rFonts w:asciiTheme="majorHAnsi" w:hAnsiTheme="majorHAnsi" w:cs="Times New Roman"/>
        </w:rPr>
      </w:pPr>
      <w:r w:rsidRPr="00D5126A">
        <w:t>Gross Borrowings</w:t>
      </w:r>
    </w:p>
    <w:p w:rsidR="00FA6A77" w:rsidRPr="00D5126A" w:rsidRDefault="00FA6A77" w:rsidP="00FA6A77">
      <w:pPr>
        <w:tabs>
          <w:tab w:val="right" w:pos="4253"/>
        </w:tabs>
        <w:spacing w:before="40"/>
        <w:rPr>
          <w:rFonts w:ascii="Arial" w:hAnsi="Arial" w:cs="Arial"/>
        </w:rPr>
      </w:pPr>
      <w:r w:rsidRPr="00D5126A">
        <w:rPr>
          <w:rFonts w:ascii="Arial" w:hAnsi="Arial" w:cs="Arial"/>
        </w:rPr>
        <w:t>The gross borrowings are comprised as follows</w:t>
      </w:r>
      <w:r w:rsidR="00FF2174">
        <w:rPr>
          <w:rFonts w:ascii="Arial" w:hAnsi="Arial" w:cs="Arial"/>
        </w:rPr>
        <w:t xml:space="preserve"> in Table 40</w:t>
      </w:r>
      <w:r w:rsidRPr="00D5126A">
        <w:rPr>
          <w:rFonts w:ascii="Arial" w:hAnsi="Arial" w:cs="Arial"/>
        </w:rPr>
        <w:t>:</w:t>
      </w:r>
    </w:p>
    <w:p w:rsidR="00793649" w:rsidRDefault="00793649" w:rsidP="00793649">
      <w:pPr>
        <w:pStyle w:val="Caption"/>
      </w:pPr>
      <w:r>
        <w:t xml:space="preserve">Section 5 - Table </w:t>
      </w:r>
      <w:fldSimple w:instr=" SEQ Section_5_-_Table \* ARABIC ">
        <w:r w:rsidR="005908C4">
          <w:rPr>
            <w:noProof/>
          </w:rPr>
          <w:t>40</w:t>
        </w:r>
      </w:fldSimple>
      <w:r>
        <w:t xml:space="preserve">: </w:t>
      </w:r>
      <w:r w:rsidRPr="001C4E59">
        <w:t>Gross Borrowings</w:t>
      </w:r>
    </w:p>
    <w:p w:rsidR="00FA6A77" w:rsidRPr="00D5126A" w:rsidRDefault="00FA6A77" w:rsidP="0035019C">
      <w:pPr>
        <w:ind w:left="-142"/>
        <w:rPr>
          <w:rFonts w:asciiTheme="majorHAnsi" w:eastAsia="MS Gothic" w:hAnsiTheme="majorHAnsi"/>
          <w:b/>
          <w:bCs/>
          <w:iCs/>
          <w:sz w:val="36"/>
          <w:szCs w:val="28"/>
        </w:rPr>
      </w:pPr>
      <w:r w:rsidRPr="00D5126A">
        <w:rPr>
          <w:rFonts w:asciiTheme="majorHAnsi" w:eastAsia="MS Gothic" w:hAnsiTheme="majorHAnsi"/>
          <w:b/>
          <w:bCs/>
          <w:iCs/>
          <w:noProof/>
          <w:sz w:val="36"/>
          <w:szCs w:val="28"/>
          <w:lang w:eastAsia="en-NZ"/>
        </w:rPr>
        <w:drawing>
          <wp:inline distT="0" distB="0" distL="0" distR="0" wp14:anchorId="4B9EFB3A" wp14:editId="2D18CDD7">
            <wp:extent cx="6291580" cy="3896360"/>
            <wp:effectExtent l="0" t="0" r="0" b="8890"/>
            <wp:docPr id="1412" name="Picture 1412" title="Section 5 - Table 40: Gross Borrow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6291580" cy="3896360"/>
                    </a:xfrm>
                    <a:prstGeom prst="rect">
                      <a:avLst/>
                    </a:prstGeom>
                    <a:noFill/>
                    <a:ln>
                      <a:noFill/>
                    </a:ln>
                  </pic:spPr>
                </pic:pic>
              </a:graphicData>
            </a:graphic>
          </wp:inline>
        </w:drawing>
      </w:r>
    </w:p>
    <w:p w:rsidR="00FA6A77" w:rsidRPr="00D5126A" w:rsidRDefault="00FA6A77" w:rsidP="00EB23BE">
      <w:pPr>
        <w:pStyle w:val="Heading4"/>
        <w:rPr>
          <w:rFonts w:asciiTheme="majorHAnsi" w:eastAsia="MS Gothic" w:hAnsiTheme="majorHAnsi"/>
          <w:sz w:val="24"/>
          <w:szCs w:val="26"/>
        </w:rPr>
      </w:pPr>
      <w:r w:rsidRPr="00D5126A">
        <w:t>Net Borrowings</w:t>
      </w:r>
    </w:p>
    <w:p w:rsidR="00FA6A77" w:rsidRDefault="00FA6A77" w:rsidP="00FA6A77">
      <w:pPr>
        <w:rPr>
          <w:rFonts w:ascii="Arial" w:hAnsi="Arial" w:cs="Arial"/>
        </w:rPr>
      </w:pPr>
      <w:r w:rsidRPr="00D5126A">
        <w:rPr>
          <w:rFonts w:ascii="Arial" w:hAnsi="Arial" w:cs="Arial"/>
        </w:rPr>
        <w:t>When the cash position of Council and the Group is taken into account the net borrowings position is comprised as follows</w:t>
      </w:r>
      <w:r w:rsidR="00FF2174">
        <w:rPr>
          <w:rFonts w:ascii="Arial" w:hAnsi="Arial" w:cs="Arial"/>
        </w:rPr>
        <w:t xml:space="preserve"> in Table 41</w:t>
      </w:r>
      <w:r w:rsidRPr="00D5126A">
        <w:rPr>
          <w:rFonts w:ascii="Arial" w:hAnsi="Arial" w:cs="Arial"/>
        </w:rPr>
        <w:t>:</w:t>
      </w:r>
    </w:p>
    <w:p w:rsidR="00793649" w:rsidRDefault="00793649" w:rsidP="00793649">
      <w:pPr>
        <w:pStyle w:val="Caption"/>
      </w:pPr>
      <w:r>
        <w:t xml:space="preserve">Section 5 - Table </w:t>
      </w:r>
      <w:fldSimple w:instr=" SEQ Section_5_-_Table \* ARABIC ">
        <w:r w:rsidR="005908C4">
          <w:rPr>
            <w:noProof/>
          </w:rPr>
          <w:t>41</w:t>
        </w:r>
      </w:fldSimple>
      <w:r>
        <w:t xml:space="preserve">: </w:t>
      </w:r>
      <w:r w:rsidRPr="003B25AA">
        <w:t>Net Borrowings</w:t>
      </w:r>
    </w:p>
    <w:p w:rsidR="00FF2174" w:rsidRPr="00D5126A" w:rsidRDefault="00FF2174" w:rsidP="0035019C">
      <w:pPr>
        <w:rPr>
          <w:rFonts w:ascii="Arial" w:hAnsi="Arial" w:cs="Arial"/>
        </w:rPr>
      </w:pPr>
      <w:r w:rsidRPr="00D5126A">
        <w:rPr>
          <w:noProof/>
          <w:lang w:eastAsia="en-NZ"/>
        </w:rPr>
        <w:drawing>
          <wp:inline distT="0" distB="0" distL="0" distR="0" wp14:anchorId="2B9D8EEB" wp14:editId="568090BB">
            <wp:extent cx="6291580" cy="1670050"/>
            <wp:effectExtent l="0" t="0" r="0" b="6350"/>
            <wp:docPr id="1411" name="Picture 1411" title="Section 5 - Table 41: Net Borrow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57"/>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6291580" cy="1670050"/>
                    </a:xfrm>
                    <a:prstGeom prst="rect">
                      <a:avLst/>
                    </a:prstGeom>
                    <a:noFill/>
                    <a:ln>
                      <a:noFill/>
                    </a:ln>
                  </pic:spPr>
                </pic:pic>
              </a:graphicData>
            </a:graphic>
          </wp:inline>
        </w:drawing>
      </w:r>
    </w:p>
    <w:p w:rsidR="00FA6A77" w:rsidRPr="00D5126A" w:rsidRDefault="00FA6A77" w:rsidP="00B34667">
      <w:pPr>
        <w:spacing w:before="240"/>
      </w:pPr>
      <w:r w:rsidRPr="00D5126A">
        <w:rPr>
          <w:rFonts w:ascii="Arial" w:hAnsi="Arial" w:cs="Arial"/>
        </w:rPr>
        <w:lastRenderedPageBreak/>
        <w:t xml:space="preserve">The Council's borrowing strategy is to minimise liquidity risk by avoiding concentration of debt maturity dates and to ensure there is long term access to funds. Further information on the liquidity and market risks associated with borrowings is contained in Note 32: Financial instruments </w:t>
      </w:r>
      <w:r w:rsidR="00EB23BE" w:rsidRPr="00D5126A">
        <w:rPr>
          <w:rFonts w:ascii="Arial" w:hAnsi="Arial" w:cs="Arial"/>
          <w:color w:val="333333"/>
          <w:lang w:eastAsia="en-GB"/>
        </w:rPr>
        <w:t>(</w:t>
      </w:r>
      <w:r w:rsidR="00EB23BE" w:rsidRPr="00213CD7">
        <w:rPr>
          <w:rFonts w:ascii="Arial" w:hAnsi="Arial" w:cs="Arial"/>
          <w:color w:val="333333"/>
          <w:lang w:eastAsia="en-GB"/>
        </w:rPr>
        <w:t xml:space="preserve">page </w:t>
      </w:r>
      <w:r w:rsidR="00213CD7" w:rsidRPr="00213CD7">
        <w:rPr>
          <w:rFonts w:ascii="Arial" w:hAnsi="Arial" w:cs="Arial"/>
          <w:color w:val="333333"/>
          <w:lang w:eastAsia="en-GB"/>
        </w:rPr>
        <w:t>290</w:t>
      </w:r>
      <w:r w:rsidR="00EB23BE" w:rsidRPr="00213CD7">
        <w:rPr>
          <w:rFonts w:ascii="Arial" w:hAnsi="Arial" w:cs="Arial"/>
          <w:color w:val="333333"/>
          <w:lang w:eastAsia="en-GB"/>
        </w:rPr>
        <w:t>).</w:t>
      </w:r>
    </w:p>
    <w:p w:rsidR="00FA6A77" w:rsidRPr="00D5126A" w:rsidRDefault="00FF2174" w:rsidP="00FA6A77">
      <w:pPr>
        <w:tabs>
          <w:tab w:val="right" w:pos="4253"/>
        </w:tabs>
        <w:spacing w:before="40"/>
        <w:jc w:val="both"/>
        <w:rPr>
          <w:rFonts w:ascii="Arial" w:hAnsi="Arial" w:cs="Arial"/>
        </w:rPr>
      </w:pPr>
      <w:r>
        <w:rPr>
          <w:rFonts w:ascii="Arial" w:hAnsi="Arial" w:cs="Arial"/>
        </w:rPr>
        <w:t>T</w:t>
      </w:r>
      <w:r w:rsidR="00FA6A77" w:rsidRPr="00D5126A">
        <w:rPr>
          <w:rFonts w:ascii="Arial" w:hAnsi="Arial" w:cs="Arial"/>
        </w:rPr>
        <w:t>able</w:t>
      </w:r>
      <w:r>
        <w:rPr>
          <w:rFonts w:ascii="Arial" w:hAnsi="Arial" w:cs="Arial"/>
        </w:rPr>
        <w:t xml:space="preserve"> 42</w:t>
      </w:r>
      <w:r w:rsidR="00FA6A77" w:rsidRPr="00D5126A">
        <w:rPr>
          <w:rFonts w:ascii="Arial" w:hAnsi="Arial" w:cs="Arial"/>
        </w:rPr>
        <w:t xml:space="preserve"> shows the utilisation of the borrowing facilities available to the Group at the end of the reporting period. The table also indicates the current applicable maturity and interest rate ranges.</w:t>
      </w:r>
    </w:p>
    <w:p w:rsidR="00B40933" w:rsidRDefault="00B40933" w:rsidP="00B40933">
      <w:pPr>
        <w:pStyle w:val="Caption"/>
      </w:pPr>
      <w:r>
        <w:t xml:space="preserve">Section 5 - Table </w:t>
      </w:r>
      <w:fldSimple w:instr=" SEQ Section_5_-_Table \* ARABIC ">
        <w:r w:rsidR="005908C4">
          <w:rPr>
            <w:noProof/>
          </w:rPr>
          <w:t>42</w:t>
        </w:r>
      </w:fldSimple>
      <w:r>
        <w:t>: Available borrowing facilities utilised</w:t>
      </w:r>
    </w:p>
    <w:p w:rsidR="00FA6A77" w:rsidRPr="00D5126A" w:rsidRDefault="00FF2174" w:rsidP="00B34667">
      <w:pPr>
        <w:ind w:left="-284"/>
      </w:pPr>
      <w:r w:rsidRPr="009811A8">
        <w:rPr>
          <w:noProof/>
          <w:lang w:eastAsia="en-NZ"/>
        </w:rPr>
        <w:drawing>
          <wp:inline distT="0" distB="0" distL="0" distR="0" wp14:anchorId="1D3D3B17" wp14:editId="51109D13">
            <wp:extent cx="6134986" cy="1922409"/>
            <wp:effectExtent l="0" t="0" r="0" b="1905"/>
            <wp:docPr id="35" name="Picture 35" title="Section 5 - Table 42: Available borrowing facilities utili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6134908" cy="1922385"/>
                    </a:xfrm>
                    <a:prstGeom prst="rect">
                      <a:avLst/>
                    </a:prstGeom>
                    <a:noFill/>
                    <a:ln>
                      <a:noFill/>
                    </a:ln>
                  </pic:spPr>
                </pic:pic>
              </a:graphicData>
            </a:graphic>
          </wp:inline>
        </w:drawing>
      </w:r>
    </w:p>
    <w:p w:rsidR="00FA6A77" w:rsidRPr="00D5126A" w:rsidRDefault="00FA6A77" w:rsidP="00EB23BE">
      <w:pPr>
        <w:rPr>
          <w:b/>
          <w:bCs/>
        </w:rPr>
      </w:pPr>
      <w:r w:rsidRPr="00D5126A">
        <w:t>In addition to the above facilities, Council operates purchase cards to efficiently facilitate the purchase of goods and services. The cards are paid in full on a monthly basis. An aggregate bank limit of $2.000m for all cards applies across Council.</w:t>
      </w:r>
    </w:p>
    <w:p w:rsidR="00FA6A77" w:rsidRPr="00D5126A" w:rsidRDefault="00FA6A77" w:rsidP="00EB23BE">
      <w:pPr>
        <w:pStyle w:val="Heading4"/>
        <w:rPr>
          <w:rFonts w:asciiTheme="majorHAnsi" w:eastAsia="MS Gothic" w:hAnsiTheme="majorHAnsi" w:cs="Times New Roman"/>
          <w:sz w:val="24"/>
          <w:szCs w:val="26"/>
        </w:rPr>
      </w:pPr>
      <w:r w:rsidRPr="00D5126A">
        <w:t xml:space="preserve">Security </w:t>
      </w:r>
    </w:p>
    <w:p w:rsidR="00FA6A77" w:rsidRPr="00D5126A" w:rsidRDefault="00FA6A77" w:rsidP="00FA6A77">
      <w:pPr>
        <w:tabs>
          <w:tab w:val="right" w:pos="4253"/>
        </w:tabs>
        <w:spacing w:before="40"/>
        <w:jc w:val="both"/>
        <w:rPr>
          <w:rFonts w:ascii="Arial" w:hAnsi="Arial" w:cs="Arial"/>
        </w:rPr>
      </w:pPr>
      <w:r w:rsidRPr="00D5126A">
        <w:rPr>
          <w:rFonts w:ascii="Arial" w:hAnsi="Arial" w:cs="Arial"/>
        </w:rPr>
        <w:t>Borrowings are secured by way of a Debenture Trust Deed over the Council’s rates revenue.</w:t>
      </w:r>
    </w:p>
    <w:p w:rsidR="00FA6A77" w:rsidRPr="00D5126A" w:rsidRDefault="00FA6A77" w:rsidP="00EB23BE">
      <w:pPr>
        <w:pStyle w:val="Heading4"/>
        <w:rPr>
          <w:rFonts w:asciiTheme="majorHAnsi" w:hAnsiTheme="majorHAnsi" w:cs="Times New Roman"/>
        </w:rPr>
      </w:pPr>
      <w:r w:rsidRPr="00D5126A">
        <w:t>Internal Borrowings</w:t>
      </w:r>
    </w:p>
    <w:p w:rsidR="00FA6A77" w:rsidRPr="00D5126A" w:rsidRDefault="00FA6A77" w:rsidP="00FA6A77">
      <w:pPr>
        <w:tabs>
          <w:tab w:val="right" w:pos="4253"/>
        </w:tabs>
        <w:spacing w:before="40"/>
        <w:jc w:val="both"/>
        <w:rPr>
          <w:rFonts w:ascii="Arial" w:hAnsi="Arial" w:cs="Arial"/>
        </w:rPr>
      </w:pPr>
      <w:r w:rsidRPr="00D5126A">
        <w:rPr>
          <w:rFonts w:ascii="Arial" w:hAnsi="Arial" w:cs="Arial"/>
        </w:rPr>
        <w:t>Council borrows on a consolidated level and as such does not use internal borrowing and therefore does not prepare internal borrowing statements.</w:t>
      </w:r>
    </w:p>
    <w:p w:rsidR="00FA6A77" w:rsidRPr="00D5126A" w:rsidRDefault="00FA6A77" w:rsidP="00EB23BE">
      <w:pPr>
        <w:pStyle w:val="Heading4"/>
        <w:rPr>
          <w:rFonts w:asciiTheme="majorHAnsi" w:hAnsiTheme="majorHAnsi" w:cs="Times New Roman"/>
          <w:lang w:eastAsia="en-GB"/>
        </w:rPr>
      </w:pPr>
      <w:r w:rsidRPr="00D5126A">
        <w:rPr>
          <w:lang w:eastAsia="en-GB"/>
        </w:rPr>
        <w:t>Ring fenced funds</w:t>
      </w:r>
    </w:p>
    <w:p w:rsidR="00FA6A77" w:rsidRPr="00D5126A" w:rsidRDefault="00FA6A77" w:rsidP="00FA6A77">
      <w:pPr>
        <w:tabs>
          <w:tab w:val="right" w:pos="4253"/>
        </w:tabs>
        <w:spacing w:before="40"/>
        <w:jc w:val="both"/>
        <w:rPr>
          <w:rFonts w:ascii="Arial" w:hAnsi="Arial" w:cs="Arial"/>
          <w:bCs/>
        </w:rPr>
      </w:pPr>
      <w:r w:rsidRPr="00D5126A">
        <w:rPr>
          <w:rFonts w:ascii="Arial" w:hAnsi="Arial" w:cs="Arial"/>
          <w:bCs/>
        </w:rPr>
        <w:t>The Council holds $42.755m (2018: $45.796m) of funds that may only be used for a specified purpose. These funds are not held in cash but are utilised against borrowings until required. The specified uses for these funds are as follows:</w:t>
      </w:r>
    </w:p>
    <w:p w:rsidR="00FA6A77" w:rsidRPr="00D5126A" w:rsidRDefault="00FA6A77" w:rsidP="00EB23BE">
      <w:pPr>
        <w:pStyle w:val="Heading5"/>
        <w:rPr>
          <w:bCs/>
          <w:lang w:eastAsia="en-GB"/>
        </w:rPr>
      </w:pPr>
      <w:r w:rsidRPr="00D5126A">
        <w:rPr>
          <w:lang w:eastAsia="en-GB"/>
        </w:rPr>
        <w:t>Housing upgrade project</w:t>
      </w:r>
    </w:p>
    <w:p w:rsidR="00FA6A77" w:rsidRPr="00D5126A" w:rsidRDefault="00FA6A77" w:rsidP="00FA6A77">
      <w:pPr>
        <w:tabs>
          <w:tab w:val="right" w:pos="4253"/>
        </w:tabs>
        <w:spacing w:before="40"/>
        <w:jc w:val="both"/>
        <w:rPr>
          <w:rFonts w:ascii="Arial" w:hAnsi="Arial" w:cs="Arial"/>
          <w:bCs/>
        </w:rPr>
      </w:pPr>
      <w:r w:rsidRPr="00D5126A">
        <w:rPr>
          <w:rFonts w:ascii="Arial" w:hAnsi="Arial" w:cs="Arial"/>
          <w:bCs/>
        </w:rPr>
        <w:t xml:space="preserve">As part of the agreement with the Crown for the Housing Upgrade Project an amount of $32.556m (2018: $34.502m), representing the accumulated surpluses and deficits from the Housing activity, has been ring fenced for future investment in the Council's social housing assets. </w:t>
      </w:r>
    </w:p>
    <w:p w:rsidR="00FA6A77" w:rsidRPr="00D5126A" w:rsidRDefault="00FA6A77" w:rsidP="00EB23BE">
      <w:pPr>
        <w:pStyle w:val="Heading5"/>
        <w:rPr>
          <w:bCs/>
          <w:lang w:eastAsia="en-GB"/>
        </w:rPr>
      </w:pPr>
      <w:r w:rsidRPr="00D5126A">
        <w:rPr>
          <w:lang w:eastAsia="en-GB"/>
        </w:rPr>
        <w:t>Waste reduction and energy</w:t>
      </w:r>
    </w:p>
    <w:p w:rsidR="00EB23BE" w:rsidRPr="00D5126A" w:rsidRDefault="00FA6A77" w:rsidP="00EB23BE">
      <w:pPr>
        <w:tabs>
          <w:tab w:val="right" w:pos="4253"/>
        </w:tabs>
        <w:spacing w:before="40"/>
        <w:jc w:val="both"/>
        <w:rPr>
          <w:rFonts w:ascii="Arial" w:hAnsi="Arial" w:cs="Arial"/>
          <w:bCs/>
        </w:rPr>
      </w:pPr>
      <w:r w:rsidRPr="00D5126A">
        <w:rPr>
          <w:rFonts w:ascii="Arial" w:hAnsi="Arial" w:cs="Arial"/>
          <w:bCs/>
        </w:rPr>
        <w:t>An amount of $10.199m (2018: $11.294m) related to accumulated surpluses and deficits from the Waste Reduction and Energy Conservation activity which, under the Waste Minimisation Act 2008, must be ring fenced for future investment in waste activities. Council is committed to a number of waste minimisation projects that will utilise these funds.</w:t>
      </w:r>
      <w:bookmarkStart w:id="447" w:name="_Toc19092077"/>
    </w:p>
    <w:p w:rsidR="00EB23BE" w:rsidRPr="00D5126A" w:rsidRDefault="00EB23BE" w:rsidP="00EB23BE">
      <w:r w:rsidRPr="00D5126A">
        <w:br w:type="page"/>
      </w:r>
    </w:p>
    <w:p w:rsidR="00FA6A77" w:rsidRPr="00D5126A" w:rsidRDefault="00FA6A77" w:rsidP="00EB23BE">
      <w:pPr>
        <w:pStyle w:val="Heading3"/>
      </w:pPr>
      <w:bookmarkStart w:id="448" w:name="_Toc23848716"/>
      <w:r w:rsidRPr="00D5126A">
        <w:lastRenderedPageBreak/>
        <w:t>Note 24: Employee benefit liabilities and provisions</w:t>
      </w:r>
      <w:bookmarkEnd w:id="447"/>
      <w:bookmarkEnd w:id="448"/>
    </w:p>
    <w:p w:rsidR="00B40933" w:rsidRDefault="00B40933" w:rsidP="00B40933">
      <w:pPr>
        <w:pStyle w:val="Caption"/>
      </w:pPr>
      <w:r>
        <w:t xml:space="preserve">Section 5 - Table </w:t>
      </w:r>
      <w:fldSimple w:instr=" SEQ Section_5_-_Table \* ARABIC ">
        <w:r w:rsidR="005908C4">
          <w:rPr>
            <w:noProof/>
          </w:rPr>
          <w:t>43</w:t>
        </w:r>
      </w:fldSimple>
      <w:r>
        <w:t xml:space="preserve">: </w:t>
      </w:r>
      <w:r w:rsidRPr="00027C6F">
        <w:t>Employee benefit liabilities and provisions</w:t>
      </w:r>
    </w:p>
    <w:p w:rsidR="00FA6A77" w:rsidRPr="00D5126A" w:rsidRDefault="00FA6A77" w:rsidP="00B40933">
      <w:pPr>
        <w:rPr>
          <w:lang w:eastAsia="en-GB"/>
        </w:rPr>
      </w:pPr>
      <w:r w:rsidRPr="00D5126A">
        <w:rPr>
          <w:noProof/>
          <w:lang w:eastAsia="en-NZ"/>
        </w:rPr>
        <w:drawing>
          <wp:inline distT="0" distB="0" distL="0" distR="0" wp14:anchorId="0566B2D4" wp14:editId="4FE72916">
            <wp:extent cx="5667291" cy="4157330"/>
            <wp:effectExtent l="0" t="0" r="0" b="0"/>
            <wp:docPr id="1409" name="Picture 1409" title="Section 5 - Table 43: Employee benefit liabilities and provis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670713" cy="4159840"/>
                    </a:xfrm>
                    <a:prstGeom prst="rect">
                      <a:avLst/>
                    </a:prstGeom>
                    <a:noFill/>
                    <a:ln>
                      <a:noFill/>
                    </a:ln>
                  </pic:spPr>
                </pic:pic>
              </a:graphicData>
            </a:graphic>
          </wp:inline>
        </w:drawing>
      </w:r>
    </w:p>
    <w:p w:rsidR="00FA6A77" w:rsidRPr="00D5126A" w:rsidRDefault="00FA6A77" w:rsidP="00EB23BE">
      <w:pPr>
        <w:pStyle w:val="Heading4"/>
      </w:pPr>
      <w:r w:rsidRPr="00D5126A">
        <w:t>Relevant significant accounting policies - general</w:t>
      </w:r>
    </w:p>
    <w:p w:rsidR="00FA6A77" w:rsidRPr="00D5126A" w:rsidRDefault="00FA6A77" w:rsidP="00EB23BE">
      <w:pPr>
        <w:rPr>
          <w:rFonts w:ascii="Arial" w:hAnsi="Arial" w:cs="Arial"/>
          <w:bCs/>
        </w:rPr>
      </w:pPr>
      <w:r w:rsidRPr="00D5126A">
        <w:rPr>
          <w:rFonts w:ascii="Arial" w:hAnsi="Arial" w:cs="Arial"/>
          <w:bCs/>
        </w:rPr>
        <w:t>A provision for employee benefit liabilities (holiday leave, long service leave and retirement gratuities) is recognised as a liability when benefits are earned but not paid.</w:t>
      </w:r>
    </w:p>
    <w:p w:rsidR="00FA6A77" w:rsidRPr="00D5126A" w:rsidRDefault="00FA6A77" w:rsidP="00EB23BE">
      <w:pPr>
        <w:pStyle w:val="Heading5"/>
        <w:rPr>
          <w:bCs/>
        </w:rPr>
      </w:pPr>
      <w:r w:rsidRPr="00D5126A">
        <w:t>Holiday leave</w:t>
      </w:r>
    </w:p>
    <w:p w:rsidR="00FA6A77" w:rsidRPr="00D5126A" w:rsidRDefault="00FA6A77" w:rsidP="00EB23BE">
      <w:pPr>
        <w:rPr>
          <w:rFonts w:ascii="Arial" w:hAnsi="Arial" w:cs="Arial"/>
          <w:bCs/>
        </w:rPr>
      </w:pPr>
      <w:r w:rsidRPr="00D5126A">
        <w:rPr>
          <w:rFonts w:ascii="Arial" w:hAnsi="Arial" w:cs="Arial"/>
          <w:bCs/>
        </w:rPr>
        <w:t>Holiday leave includes: annual leave, long service leave, statutory time off in lieu and ordinary time off in lieu. Annual leave is calculated on an actual entitlement basis in accordance with section 21(2) of the Holidays Act 2003.</w:t>
      </w:r>
    </w:p>
    <w:p w:rsidR="00FA6A77" w:rsidRPr="00D5126A" w:rsidRDefault="00FA6A77" w:rsidP="00FA6A77">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right="578"/>
        <w:jc w:val="both"/>
        <w:rPr>
          <w:rFonts w:ascii="Arial" w:hAnsi="Arial" w:cs="Arial"/>
        </w:rPr>
      </w:pPr>
      <w:r w:rsidRPr="00D5126A">
        <w:rPr>
          <w:rFonts w:ascii="Arial" w:hAnsi="Arial" w:cs="Arial"/>
        </w:rPr>
        <w:t xml:space="preserve">Movements in material employee benefit provisions above are analysed </w:t>
      </w:r>
      <w:r w:rsidR="00FD3464">
        <w:rPr>
          <w:rFonts w:ascii="Arial" w:hAnsi="Arial" w:cs="Arial"/>
        </w:rPr>
        <w:t>in the following tables.</w:t>
      </w:r>
    </w:p>
    <w:p w:rsidR="00B40933" w:rsidRDefault="00B40933" w:rsidP="00B40933">
      <w:pPr>
        <w:pStyle w:val="Caption"/>
      </w:pPr>
      <w:r>
        <w:t xml:space="preserve">Section 5 - Table </w:t>
      </w:r>
      <w:fldSimple w:instr=" SEQ Section_5_-_Table \* ARABIC ">
        <w:r w:rsidR="005908C4">
          <w:rPr>
            <w:noProof/>
          </w:rPr>
          <w:t>44</w:t>
        </w:r>
      </w:fldSimple>
      <w:r>
        <w:t>: Retirement gratuities provision</w:t>
      </w:r>
    </w:p>
    <w:p w:rsidR="00FA6A77" w:rsidRPr="00D5126A" w:rsidRDefault="00FA6A77" w:rsidP="00B40933">
      <w:pPr>
        <w:spacing w:before="240"/>
      </w:pPr>
      <w:r w:rsidRPr="00D5126A">
        <w:rPr>
          <w:noProof/>
          <w:lang w:eastAsia="en-NZ"/>
        </w:rPr>
        <w:drawing>
          <wp:inline distT="0" distB="0" distL="0" distR="0" wp14:anchorId="72200210" wp14:editId="50FC0E2E">
            <wp:extent cx="5837274" cy="1686350"/>
            <wp:effectExtent l="0" t="0" r="0" b="9525"/>
            <wp:docPr id="1408" name="Picture 1408" title="Section 5 - Table 44: Retirement gratuities provi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845525" cy="1688734"/>
                    </a:xfrm>
                    <a:prstGeom prst="rect">
                      <a:avLst/>
                    </a:prstGeom>
                    <a:noFill/>
                    <a:ln>
                      <a:noFill/>
                    </a:ln>
                  </pic:spPr>
                </pic:pic>
              </a:graphicData>
            </a:graphic>
          </wp:inline>
        </w:drawing>
      </w:r>
    </w:p>
    <w:p w:rsidR="00FA6A77" w:rsidRPr="00D5126A" w:rsidRDefault="00FA6A77" w:rsidP="0032019E">
      <w:pPr>
        <w:pStyle w:val="Heading5"/>
      </w:pPr>
      <w:r w:rsidRPr="00D5126A">
        <w:lastRenderedPageBreak/>
        <w:t>Background</w:t>
      </w:r>
    </w:p>
    <w:p w:rsidR="00FA6A77" w:rsidRPr="00D5126A" w:rsidRDefault="00FA6A77" w:rsidP="00FA6A77">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right="578"/>
        <w:jc w:val="both"/>
        <w:rPr>
          <w:rFonts w:ascii="Arial" w:hAnsi="Arial" w:cs="Arial"/>
          <w:bCs/>
        </w:rPr>
      </w:pPr>
      <w:r w:rsidRPr="00D5126A">
        <w:rPr>
          <w:rFonts w:ascii="Arial" w:hAnsi="Arial" w:cs="Arial"/>
          <w:bCs/>
        </w:rPr>
        <w:t>The Council’s retirement gratuities provision is a contractual entitlement for a reducing number of employees who, having qualified with 10 years’ service will, on retirement, be entitled to a payment based on years of service and current salary. This entitlement has not been offered to Council employees since 1991. Based on the age of remaining participants the provision may not be extinguished until 2037, assuming retirement at age 65.</w:t>
      </w:r>
    </w:p>
    <w:p w:rsidR="00FA6A77" w:rsidRPr="00D5126A" w:rsidRDefault="00FA6A77" w:rsidP="00EB23BE">
      <w:pPr>
        <w:pStyle w:val="Heading4"/>
        <w:rPr>
          <w:rFonts w:asciiTheme="majorHAnsi" w:hAnsiTheme="majorHAnsi" w:cs="Times New Roman"/>
          <w:lang w:eastAsia="en-GB"/>
        </w:rPr>
      </w:pPr>
      <w:r w:rsidRPr="00D5126A">
        <w:rPr>
          <w:lang w:eastAsia="en-GB"/>
        </w:rPr>
        <w:t>Relevant significant accounting policies - specific</w:t>
      </w:r>
    </w:p>
    <w:p w:rsidR="00FA6A77" w:rsidRPr="00D5126A" w:rsidRDefault="00FA6A77" w:rsidP="00FA6A77">
      <w:pPr>
        <w:spacing w:before="100" w:beforeAutospacing="1" w:after="100" w:afterAutospacing="1"/>
        <w:jc w:val="both"/>
        <w:rPr>
          <w:rFonts w:ascii="Arial" w:hAnsi="Arial" w:cs="Arial"/>
          <w:bCs/>
        </w:rPr>
      </w:pPr>
      <w:r w:rsidRPr="00D5126A">
        <w:rPr>
          <w:rFonts w:ascii="Arial" w:hAnsi="Arial" w:cs="Arial"/>
          <w:bCs/>
        </w:rPr>
        <w:t>Retirement gratuities are calculated on an actuarial basis based on the likely future entitlements accruing to employees, after taking into account years of service, years to entitlement, the likelihood that employees will reach the point of entitlement, and other contractual entitlements information.</w:t>
      </w:r>
    </w:p>
    <w:p w:rsidR="00FA6A77" w:rsidRPr="00D5126A" w:rsidRDefault="00FA6A77" w:rsidP="0032019E">
      <w:pPr>
        <w:pStyle w:val="Heading5"/>
      </w:pPr>
      <w:r w:rsidRPr="00D5126A">
        <w:t>Estimation</w:t>
      </w:r>
    </w:p>
    <w:p w:rsidR="00FA6A77" w:rsidRPr="00D5126A" w:rsidRDefault="00FA6A77" w:rsidP="00FA6A77">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right="578"/>
        <w:jc w:val="both"/>
        <w:rPr>
          <w:rFonts w:ascii="Arial" w:hAnsi="Arial" w:cs="Arial"/>
        </w:rPr>
      </w:pPr>
      <w:r w:rsidRPr="00D5126A">
        <w:rPr>
          <w:rFonts w:ascii="Arial" w:hAnsi="Arial" w:cs="Arial"/>
        </w:rPr>
        <w:t xml:space="preserve">The gross retirement gratuities provision (inflation adjusted at 1.86%) as at 30 June 2019, before discounting, is $0.897m (2018: $0.917m). The discount factor of 4.30% is based on the Treasury risk-free rate. </w:t>
      </w:r>
    </w:p>
    <w:p w:rsidR="00B40933" w:rsidRDefault="00B40933" w:rsidP="00B40933">
      <w:pPr>
        <w:pStyle w:val="Caption"/>
      </w:pPr>
      <w:r>
        <w:t xml:space="preserve">Section 5 - Table </w:t>
      </w:r>
      <w:fldSimple w:instr=" SEQ Section_5_-_Table \* ARABIC ">
        <w:r w:rsidR="005908C4">
          <w:rPr>
            <w:noProof/>
          </w:rPr>
          <w:t>45</w:t>
        </w:r>
      </w:fldSimple>
      <w:r>
        <w:t>: Other contractual provisions</w:t>
      </w:r>
    </w:p>
    <w:p w:rsidR="00FA6A77" w:rsidRPr="00D5126A" w:rsidRDefault="00FA6A77" w:rsidP="00B40933">
      <w:r w:rsidRPr="00D5126A">
        <w:rPr>
          <w:noProof/>
          <w:lang w:eastAsia="en-NZ"/>
        </w:rPr>
        <w:drawing>
          <wp:inline distT="0" distB="0" distL="0" distR="0" wp14:anchorId="70B8E9FA" wp14:editId="00F511E9">
            <wp:extent cx="6142355" cy="1630045"/>
            <wp:effectExtent l="0" t="0" r="0" b="8255"/>
            <wp:docPr id="1407" name="Picture 1407" title="Section 5 - Table 45: Other contractual provis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6142355" cy="1630045"/>
                    </a:xfrm>
                    <a:prstGeom prst="rect">
                      <a:avLst/>
                    </a:prstGeom>
                    <a:noFill/>
                    <a:ln>
                      <a:noFill/>
                    </a:ln>
                  </pic:spPr>
                </pic:pic>
              </a:graphicData>
            </a:graphic>
          </wp:inline>
        </w:drawing>
      </w:r>
    </w:p>
    <w:p w:rsidR="00FA6A77" w:rsidRPr="00D5126A" w:rsidRDefault="00FA6A77" w:rsidP="0032019E">
      <w:pPr>
        <w:pStyle w:val="Heading5"/>
      </w:pPr>
      <w:r w:rsidRPr="00D5126A">
        <w:t>Background</w:t>
      </w:r>
    </w:p>
    <w:p w:rsidR="00FA6A77" w:rsidRPr="00D5126A" w:rsidRDefault="00FA6A77" w:rsidP="00FA6A77">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right="578"/>
        <w:rPr>
          <w:rFonts w:ascii="Arial" w:hAnsi="Arial" w:cs="Arial"/>
        </w:rPr>
      </w:pPr>
      <w:r w:rsidRPr="00D5126A">
        <w:rPr>
          <w:rFonts w:ascii="Arial" w:hAnsi="Arial" w:cs="Arial"/>
        </w:rPr>
        <w:t xml:space="preserve">The above provision is to cover estimated redundancy costs as at 30 June 2019 resulting from current restructuring within the Council. </w:t>
      </w:r>
    </w:p>
    <w:p w:rsidR="00FA6A77" w:rsidRPr="00D5126A" w:rsidRDefault="00FA6A77" w:rsidP="0032019E">
      <w:pPr>
        <w:pStyle w:val="Heading4"/>
        <w:rPr>
          <w:rFonts w:asciiTheme="majorHAnsi" w:hAnsiTheme="majorHAnsi" w:cs="Times New Roman"/>
          <w:lang w:eastAsia="en-GB"/>
        </w:rPr>
      </w:pPr>
      <w:r w:rsidRPr="00D5126A">
        <w:rPr>
          <w:lang w:eastAsia="en-GB"/>
        </w:rPr>
        <w:t>Relevant significant accounting policies - specific</w:t>
      </w:r>
    </w:p>
    <w:p w:rsidR="00FA6A77" w:rsidRPr="00D5126A" w:rsidRDefault="00FA6A77" w:rsidP="0032019E">
      <w:r w:rsidRPr="00D5126A">
        <w:t>Other co</w:t>
      </w:r>
      <w:r w:rsidRPr="00D5126A">
        <w:rPr>
          <w:rFonts w:cs="Arial"/>
        </w:rPr>
        <w:t>ntr</w:t>
      </w:r>
      <w:r w:rsidRPr="00D5126A">
        <w:t>actual provisions include termination benefits, which are recognised within surplus or deficit only when there is a demonstrable commitment to either terminate employment prior to normal retirement date or to provide such benefits as a result of an offer to encourage voluntary redundancy. Termination benefits settled within 12 months are reported at the amount expected to be paid, otherwise they are reported as the present value of the estimated future cash outflows.</w:t>
      </w:r>
    </w:p>
    <w:p w:rsidR="00FA6A77" w:rsidRPr="00D5126A" w:rsidRDefault="00FA6A77" w:rsidP="0032019E"/>
    <w:p w:rsidR="00FA6A77" w:rsidRPr="00D5126A" w:rsidRDefault="00FA6A77" w:rsidP="0032019E">
      <w:pPr>
        <w:pStyle w:val="Heading3"/>
        <w:rPr>
          <w:szCs w:val="28"/>
        </w:rPr>
      </w:pPr>
      <w:bookmarkStart w:id="449" w:name="_Toc19092078"/>
      <w:bookmarkStart w:id="450" w:name="_Toc23848717"/>
      <w:r w:rsidRPr="00D5126A">
        <w:lastRenderedPageBreak/>
        <w:t>Note 25: Provisions for other liabilities</w:t>
      </w:r>
      <w:bookmarkEnd w:id="449"/>
      <w:bookmarkEnd w:id="450"/>
    </w:p>
    <w:p w:rsidR="00B40933" w:rsidRDefault="00B40933" w:rsidP="00B40933">
      <w:pPr>
        <w:pStyle w:val="Caption"/>
      </w:pPr>
      <w:r>
        <w:t xml:space="preserve">Section 5 - Table </w:t>
      </w:r>
      <w:fldSimple w:instr=" SEQ Section_5_-_Table \* ARABIC ">
        <w:r w:rsidR="005908C4">
          <w:rPr>
            <w:noProof/>
          </w:rPr>
          <w:t>46</w:t>
        </w:r>
      </w:fldSimple>
      <w:r>
        <w:t>: Provisions for other liabilities</w:t>
      </w:r>
    </w:p>
    <w:p w:rsidR="00FA6A77" w:rsidRPr="00D5126A" w:rsidRDefault="00FA6A77" w:rsidP="00B40933">
      <w:r w:rsidRPr="00D5126A">
        <w:rPr>
          <w:noProof/>
          <w:lang w:eastAsia="en-NZ"/>
        </w:rPr>
        <w:drawing>
          <wp:inline distT="0" distB="0" distL="0" distR="0" wp14:anchorId="54BCD54F" wp14:editId="6B502458">
            <wp:extent cx="6251575" cy="2931795"/>
            <wp:effectExtent l="0" t="0" r="0" b="1905"/>
            <wp:docPr id="1406" name="Picture 1406" title="Section 5 - Table 46: Provisions for other liabil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6251575" cy="2931795"/>
                    </a:xfrm>
                    <a:prstGeom prst="rect">
                      <a:avLst/>
                    </a:prstGeom>
                    <a:noFill/>
                    <a:ln>
                      <a:noFill/>
                    </a:ln>
                  </pic:spPr>
                </pic:pic>
              </a:graphicData>
            </a:graphic>
          </wp:inline>
        </w:drawing>
      </w:r>
    </w:p>
    <w:p w:rsidR="00FA6A77" w:rsidRPr="00D5126A" w:rsidRDefault="00FA6A77" w:rsidP="0032019E">
      <w:pPr>
        <w:pStyle w:val="Heading4"/>
        <w:rPr>
          <w:lang w:eastAsia="en-GB"/>
        </w:rPr>
      </w:pPr>
      <w:r w:rsidRPr="00D5126A">
        <w:rPr>
          <w:lang w:eastAsia="en-GB"/>
        </w:rPr>
        <w:t>Relevant significant accounting policies - general</w:t>
      </w:r>
    </w:p>
    <w:p w:rsidR="00FA6A77" w:rsidRPr="00D5126A" w:rsidRDefault="00FA6A77" w:rsidP="00FA6A77">
      <w:pPr>
        <w:spacing w:before="100" w:beforeAutospacing="1" w:after="100" w:afterAutospacing="1"/>
        <w:jc w:val="both"/>
        <w:rPr>
          <w:rFonts w:ascii="Arial" w:hAnsi="Arial"/>
          <w:szCs w:val="20"/>
        </w:rPr>
      </w:pPr>
      <w:r w:rsidRPr="00D5126A">
        <w:rPr>
          <w:rFonts w:ascii="Arial" w:hAnsi="Arial"/>
          <w:szCs w:val="20"/>
        </w:rPr>
        <w:t>Provisions are recognised for future liabilities of uncertain timing or amount when there is a present obligation as a result of a past event, it is probable that expenditure will be required to settle the obligation and a reliable estimate of the obligation can be made. Provisions are measured at the expenditure expected to be required to settle the obligation. Liabilities and provisions to be settled beyond 12 months are recorded at their present value.</w:t>
      </w:r>
    </w:p>
    <w:p w:rsidR="00FA6A77" w:rsidRPr="00D5126A" w:rsidRDefault="00FA6A77" w:rsidP="00FA6A77">
      <w:r w:rsidRPr="00D5126A">
        <w:rPr>
          <w:rFonts w:ascii="Arial" w:hAnsi="Arial" w:cs="Arial"/>
        </w:rPr>
        <w:t>Movements in material provisions above are analysed as follows:</w:t>
      </w:r>
      <w:r w:rsidRPr="00D5126A">
        <w:t xml:space="preserve"> </w:t>
      </w:r>
    </w:p>
    <w:p w:rsidR="00B40933" w:rsidRDefault="00B40933" w:rsidP="00B40933">
      <w:pPr>
        <w:pStyle w:val="Caption"/>
      </w:pPr>
      <w:r>
        <w:t xml:space="preserve">Section 5 - Table </w:t>
      </w:r>
      <w:fldSimple w:instr=" SEQ Section_5_-_Table \* ARABIC ">
        <w:r w:rsidR="005908C4">
          <w:rPr>
            <w:noProof/>
          </w:rPr>
          <w:t>47</w:t>
        </w:r>
      </w:fldSimple>
      <w:r>
        <w:t>: Landfill post closure costs</w:t>
      </w:r>
    </w:p>
    <w:p w:rsidR="00FA6A77" w:rsidRPr="00D5126A" w:rsidRDefault="00FA6A77" w:rsidP="00B40933">
      <w:r w:rsidRPr="00D5126A">
        <w:rPr>
          <w:noProof/>
          <w:lang w:eastAsia="en-NZ"/>
        </w:rPr>
        <w:drawing>
          <wp:inline distT="0" distB="0" distL="0" distR="0" wp14:anchorId="7C8F37CE" wp14:editId="1D5CD2FF">
            <wp:extent cx="6142355" cy="2435225"/>
            <wp:effectExtent l="0" t="0" r="0" b="3175"/>
            <wp:docPr id="1405" name="Picture 1405" title="Section 5 - Table 47: Landfill post closure co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6142355" cy="2435225"/>
                    </a:xfrm>
                    <a:prstGeom prst="rect">
                      <a:avLst/>
                    </a:prstGeom>
                    <a:noFill/>
                    <a:ln>
                      <a:noFill/>
                    </a:ln>
                  </pic:spPr>
                </pic:pic>
              </a:graphicData>
            </a:graphic>
          </wp:inline>
        </w:drawing>
      </w:r>
    </w:p>
    <w:p w:rsidR="00FA6A77" w:rsidRPr="00D5126A" w:rsidRDefault="00FA6A77" w:rsidP="0032019E">
      <w:pPr>
        <w:pStyle w:val="Heading5"/>
      </w:pPr>
      <w:r w:rsidRPr="00D5126A">
        <w:t>Background</w:t>
      </w:r>
    </w:p>
    <w:p w:rsidR="00FA6A77" w:rsidRPr="00D5126A" w:rsidRDefault="00FA6A77" w:rsidP="00163042">
      <w:r w:rsidRPr="00D5126A">
        <w:t xml:space="preserve">The Council operates the Southern Landfill (Stage 3) and has a 21.5% joint venture interest in the Spicer Valley Landfill. It also manages a number of closed landfill sites around Wellington. The </w:t>
      </w:r>
      <w:r w:rsidRPr="00D5126A">
        <w:lastRenderedPageBreak/>
        <w:t>Council has responsibility for the closure of its landfills and to provide ongoing maintenance and monitoring of the landfills after they are closed.</w:t>
      </w:r>
    </w:p>
    <w:p w:rsidR="00FA6A77" w:rsidRPr="00D5126A" w:rsidRDefault="00FA6A77" w:rsidP="00163042">
      <w:r w:rsidRPr="00D5126A">
        <w:t>As part of the closure of landfills, or landfill stages, the Council’s responsibilities include:</w:t>
      </w:r>
    </w:p>
    <w:p w:rsidR="00FA6A77" w:rsidRPr="00D5126A" w:rsidRDefault="00FA6A77" w:rsidP="002C7BF8">
      <w:pPr>
        <w:pStyle w:val="ListParagraph"/>
        <w:numPr>
          <w:ilvl w:val="0"/>
          <w:numId w:val="48"/>
        </w:numPr>
      </w:pPr>
      <w:r w:rsidRPr="00D5126A">
        <w:t>final cover application and vegetation;</w:t>
      </w:r>
    </w:p>
    <w:p w:rsidR="00FA6A77" w:rsidRPr="00D5126A" w:rsidRDefault="00FA6A77" w:rsidP="002C7BF8">
      <w:pPr>
        <w:pStyle w:val="ListParagraph"/>
        <w:numPr>
          <w:ilvl w:val="0"/>
          <w:numId w:val="48"/>
        </w:numPr>
      </w:pPr>
      <w:r w:rsidRPr="00D5126A">
        <w:t>incremental drainage control features; and</w:t>
      </w:r>
    </w:p>
    <w:p w:rsidR="00FA6A77" w:rsidRPr="00D5126A" w:rsidRDefault="00FA6A77" w:rsidP="002C7BF8">
      <w:pPr>
        <w:pStyle w:val="ListParagraph"/>
        <w:numPr>
          <w:ilvl w:val="0"/>
          <w:numId w:val="48"/>
        </w:numPr>
      </w:pPr>
      <w:proofErr w:type="gramStart"/>
      <w:r w:rsidRPr="00D5126A">
        <w:t>completing</w:t>
      </w:r>
      <w:proofErr w:type="gramEnd"/>
      <w:r w:rsidRPr="00D5126A">
        <w:t xml:space="preserve"> facilities for post closure responsibilities.</w:t>
      </w:r>
    </w:p>
    <w:p w:rsidR="00FA6A77" w:rsidRPr="00D5126A" w:rsidRDefault="00FA6A77" w:rsidP="00163042">
      <w:r w:rsidRPr="00D5126A">
        <w:t>Post closure responsibilities include:</w:t>
      </w:r>
    </w:p>
    <w:p w:rsidR="00FA6A77" w:rsidRPr="00D5126A" w:rsidRDefault="00FA6A77" w:rsidP="002C7BF8">
      <w:pPr>
        <w:pStyle w:val="ListParagraph"/>
        <w:numPr>
          <w:ilvl w:val="0"/>
          <w:numId w:val="49"/>
        </w:numPr>
      </w:pPr>
      <w:r w:rsidRPr="00D5126A">
        <w:t>treatment and monitoring of leachate;</w:t>
      </w:r>
    </w:p>
    <w:p w:rsidR="00FA6A77" w:rsidRPr="00D5126A" w:rsidRDefault="00FA6A77" w:rsidP="002C7BF8">
      <w:pPr>
        <w:pStyle w:val="ListParagraph"/>
        <w:numPr>
          <w:ilvl w:val="0"/>
          <w:numId w:val="49"/>
        </w:numPr>
      </w:pPr>
      <w:r w:rsidRPr="00D5126A">
        <w:t xml:space="preserve">ground water and surface monitoring; </w:t>
      </w:r>
    </w:p>
    <w:p w:rsidR="00FA6A77" w:rsidRPr="00D5126A" w:rsidRDefault="00FA6A77" w:rsidP="002C7BF8">
      <w:pPr>
        <w:pStyle w:val="ListParagraph"/>
        <w:numPr>
          <w:ilvl w:val="0"/>
          <w:numId w:val="49"/>
        </w:numPr>
      </w:pPr>
      <w:r w:rsidRPr="00D5126A">
        <w:t xml:space="preserve">gas monitoring and recovery; </w:t>
      </w:r>
    </w:p>
    <w:p w:rsidR="00FA6A77" w:rsidRPr="00D5126A" w:rsidRDefault="00FA6A77" w:rsidP="002C7BF8">
      <w:pPr>
        <w:pStyle w:val="ListParagraph"/>
        <w:numPr>
          <w:ilvl w:val="0"/>
          <w:numId w:val="49"/>
        </w:numPr>
      </w:pPr>
      <w:r w:rsidRPr="00D5126A">
        <w:t>implementation of remedial measures such as needed for cover and control systems; and</w:t>
      </w:r>
    </w:p>
    <w:p w:rsidR="00FA6A77" w:rsidRPr="00D5126A" w:rsidRDefault="00FA6A77" w:rsidP="002C7BF8">
      <w:pPr>
        <w:pStyle w:val="ListParagraph"/>
        <w:numPr>
          <w:ilvl w:val="0"/>
          <w:numId w:val="49"/>
        </w:numPr>
      </w:pPr>
      <w:proofErr w:type="gramStart"/>
      <w:r w:rsidRPr="00D5126A">
        <w:t>ongoing</w:t>
      </w:r>
      <w:proofErr w:type="gramEnd"/>
      <w:r w:rsidRPr="00D5126A">
        <w:t xml:space="preserve"> site maintenance for drainage systems, final cover and vegetation. </w:t>
      </w:r>
    </w:p>
    <w:p w:rsidR="00FA6A77" w:rsidRPr="00D5126A" w:rsidRDefault="00FA6A77" w:rsidP="00163042">
      <w:r w:rsidRPr="00D5126A">
        <w:t>The management of the landfill will influence the timing of recognition of some liabilities – for example, the Southern Landfill operates in stages. A liability relating to any future stages will only be created when the stage is commissioned and when refuse begins to accumulate in this stage.</w:t>
      </w:r>
    </w:p>
    <w:p w:rsidR="00FA6A77" w:rsidRPr="00D5126A" w:rsidRDefault="00FA6A77" w:rsidP="00163042">
      <w:pPr>
        <w:rPr>
          <w:szCs w:val="20"/>
        </w:rPr>
      </w:pPr>
      <w:r w:rsidRPr="00D5126A">
        <w:rPr>
          <w:szCs w:val="20"/>
        </w:rPr>
        <w:t xml:space="preserve">The Council, as operator of the Southern Landfill, has a legal obligation to apply for resource consents when the landfill or landfill stages reach the end of their operating life and are to be closed. These resource consents will set out the closure requirements and the requirements for ongoing maintenance and monitoring services at the landfill site after closure. </w:t>
      </w:r>
    </w:p>
    <w:p w:rsidR="00FA6A77" w:rsidRPr="00D5126A" w:rsidRDefault="00FA6A77" w:rsidP="00163042">
      <w:pPr>
        <w:pStyle w:val="Heading4"/>
        <w:rPr>
          <w:rFonts w:asciiTheme="majorHAnsi" w:hAnsiTheme="majorHAnsi"/>
          <w:szCs w:val="26"/>
          <w:lang w:eastAsia="en-GB"/>
        </w:rPr>
      </w:pPr>
      <w:r w:rsidRPr="00D5126A">
        <w:rPr>
          <w:lang w:eastAsia="en-GB"/>
        </w:rPr>
        <w:t>Relevant significant accounting policies - specific</w:t>
      </w:r>
    </w:p>
    <w:p w:rsidR="00FA6A77" w:rsidRPr="00D5126A" w:rsidRDefault="00FA6A77" w:rsidP="00163042">
      <w:r w:rsidRPr="00D5126A">
        <w:t>A provision for post-closure costs is recognised as a liability when the obligation for post-closure arises, which is when each stage of the landfill is commissioned and refuse begins to accumulate.</w:t>
      </w:r>
    </w:p>
    <w:p w:rsidR="00FA6A77" w:rsidRPr="00D5126A" w:rsidRDefault="00FA6A77" w:rsidP="00163042">
      <w:r w:rsidRPr="00D5126A">
        <w:t>The provision is measured based on the present value of future cash flows expected to be incurred, taking into account future events including known changes to legal requirements and known improvements in technology. The provision includes all costs associated with landfill post-closure including final cover application and vegetation; incremental drainage control features; completing facilities for leachate collection and monitoring; completing facilities for water quality monitoring; completing facilities for monitoring and recovery of gas.</w:t>
      </w:r>
    </w:p>
    <w:p w:rsidR="00FA6A77" w:rsidRPr="00D5126A" w:rsidRDefault="00FA6A77" w:rsidP="00163042">
      <w:r w:rsidRPr="00D5126A">
        <w:t>Amounts provided for landfill post-closure are capitalised to the landfill asset. The capitalised landfill asset is depreciated over the life of the landfill based on the capacity used.</w:t>
      </w:r>
    </w:p>
    <w:p w:rsidR="00FA6A77" w:rsidRPr="00D5126A" w:rsidRDefault="00FA6A77" w:rsidP="00163042">
      <w:r w:rsidRPr="00D5126A">
        <w:t>The Council’s provision for landfill post-closure costs includes the Council’s 21.5% proportionate share of the Spicer Valley landfill provision for post-closure costs.</w:t>
      </w:r>
    </w:p>
    <w:p w:rsidR="00FA6A77" w:rsidRPr="00D5126A" w:rsidRDefault="00FA6A77" w:rsidP="00163042">
      <w:pPr>
        <w:pStyle w:val="Heading5"/>
        <w:rPr>
          <w:szCs w:val="26"/>
        </w:rPr>
      </w:pPr>
      <w:r w:rsidRPr="00D5126A">
        <w:t>Estimations</w:t>
      </w:r>
    </w:p>
    <w:p w:rsidR="00FA6A77" w:rsidRPr="00D5126A" w:rsidRDefault="00FA6A77" w:rsidP="00163042">
      <w:r w:rsidRPr="00D5126A">
        <w:t>The long term nature of the liability means there are inherent uncertainties in estimating costs that will be incurred. The provision has been estimated using known improvements in technology and known changes to legal requirements. Future cash flows are discounted using the Treasury risk free rate of 2.65%. The gross provision (inflation adjusted at 2.68%), before discounting, is $24.393m (2018: $23.396m). This represents the Council’s projection of the amount required to settle the obligation at the estimated time of the cash outflow.</w:t>
      </w:r>
    </w:p>
    <w:p w:rsidR="00FA6A77" w:rsidRPr="00D5126A" w:rsidRDefault="00FA6A77" w:rsidP="00163042"/>
    <w:p w:rsidR="00FA6A77" w:rsidRPr="00D5126A" w:rsidRDefault="00FA6A77" w:rsidP="00163042">
      <w:r w:rsidRPr="00D5126A">
        <w:lastRenderedPageBreak/>
        <w:t>Stage 3 of the Southern Landfill has an estimated remaining capacity of 554,940m</w:t>
      </w:r>
      <w:r w:rsidRPr="00D5126A">
        <w:rPr>
          <w:vertAlign w:val="superscript"/>
        </w:rPr>
        <w:t>3</w:t>
      </w:r>
      <w:r w:rsidRPr="00D5126A">
        <w:t xml:space="preserve"> (2018: 453,130m</w:t>
      </w:r>
      <w:r w:rsidRPr="00D5126A">
        <w:rPr>
          <w:vertAlign w:val="superscript"/>
        </w:rPr>
        <w:t>3</w:t>
      </w:r>
      <w:r w:rsidRPr="00D5126A">
        <w:t>) and is expected to close in 2022. These estimates have been made by the Council’s engineers based on expected future and historical volume information.</w:t>
      </w:r>
    </w:p>
    <w:p w:rsidR="00FA6A77" w:rsidRPr="00D5126A" w:rsidRDefault="00FA6A77" w:rsidP="00163042">
      <w:r w:rsidRPr="00D5126A">
        <w:t xml:space="preserve">The Council’s provision includes a proportionate share of the Spicer Valley Landfill provision for post closure costs. The Spicer Valley Landfill has a remaining life out to 2052. </w:t>
      </w:r>
    </w:p>
    <w:p w:rsidR="009004B3" w:rsidRDefault="009004B3" w:rsidP="009004B3">
      <w:pPr>
        <w:pStyle w:val="Caption"/>
      </w:pPr>
      <w:r>
        <w:t xml:space="preserve">Section 5 - Table </w:t>
      </w:r>
      <w:fldSimple w:instr=" SEQ Section_5_-_Table \* ARABIC ">
        <w:r w:rsidR="005908C4">
          <w:rPr>
            <w:noProof/>
          </w:rPr>
          <w:t>48</w:t>
        </w:r>
      </w:fldSimple>
      <w:r>
        <w:t>: Weathertight homes</w:t>
      </w:r>
    </w:p>
    <w:p w:rsidR="00FA6A77" w:rsidRPr="00D5126A" w:rsidRDefault="00FA6A77" w:rsidP="00FA6A77">
      <w:pPr>
        <w:rPr>
          <w:rFonts w:ascii="Arial" w:hAnsi="Arial" w:cs="Arial"/>
        </w:rPr>
      </w:pPr>
      <w:r w:rsidRPr="00D5126A">
        <w:rPr>
          <w:rFonts w:ascii="Arial" w:hAnsi="Arial" w:cs="Arial"/>
          <w:noProof/>
          <w:lang w:eastAsia="en-NZ"/>
        </w:rPr>
        <w:drawing>
          <wp:inline distT="0" distB="0" distL="0" distR="0" wp14:anchorId="0D174F8A" wp14:editId="52531EDF">
            <wp:extent cx="6162040" cy="2275840"/>
            <wp:effectExtent l="0" t="0" r="0" b="0"/>
            <wp:docPr id="1404" name="Picture 1404" title="Section 5 - Table 48: Weathertight ho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6162040" cy="2275840"/>
                    </a:xfrm>
                    <a:prstGeom prst="rect">
                      <a:avLst/>
                    </a:prstGeom>
                    <a:noFill/>
                    <a:ln>
                      <a:noFill/>
                    </a:ln>
                  </pic:spPr>
                </pic:pic>
              </a:graphicData>
            </a:graphic>
          </wp:inline>
        </w:drawing>
      </w:r>
    </w:p>
    <w:p w:rsidR="00FA6A77" w:rsidRPr="00D5126A" w:rsidRDefault="00FA6A77" w:rsidP="00163042">
      <w:pPr>
        <w:pStyle w:val="Heading5"/>
      </w:pPr>
      <w:r w:rsidRPr="00D5126A">
        <w:t>Background</w:t>
      </w:r>
    </w:p>
    <w:p w:rsidR="00FA6A77" w:rsidRPr="00D5126A" w:rsidRDefault="00FA6A77" w:rsidP="00FA6A77">
      <w:pPr>
        <w:jc w:val="both"/>
        <w:rPr>
          <w:rFonts w:ascii="Arial" w:hAnsi="Arial" w:cs="Arial"/>
        </w:rPr>
      </w:pPr>
      <w:r w:rsidRPr="00D5126A">
        <w:rPr>
          <w:rFonts w:ascii="Arial" w:hAnsi="Arial" w:cs="Arial"/>
        </w:rPr>
        <w:t xml:space="preserve">This provision represents the Council’s estimated liability relating to the settlement of claims arising in relation to the Weathertight Homes Resolution Services (WHRS) Act 2006 and civil proceedings for weathertightness. </w:t>
      </w:r>
    </w:p>
    <w:p w:rsidR="00FA6A77" w:rsidRPr="00D5126A" w:rsidRDefault="00FA6A77" w:rsidP="00FA6A77">
      <w:pPr>
        <w:jc w:val="both"/>
        <w:rPr>
          <w:rFonts w:ascii="Arial" w:hAnsi="Arial" w:cs="Arial"/>
        </w:rPr>
      </w:pPr>
      <w:r w:rsidRPr="00D5126A">
        <w:rPr>
          <w:rFonts w:ascii="Arial" w:hAnsi="Arial" w:cs="Arial"/>
        </w:rPr>
        <w:t xml:space="preserve">A provision has been recognised for the potential net settlement of all known claims, including those claims that are being actively managed by the Council as well as claims lodged with WHRS but not yet being actively managed. The provision also includes an amount of $11.906m (2018: $14.234m) as a provision for future claims relating to weathertightness issues not yet identified or not yet reported. </w:t>
      </w:r>
    </w:p>
    <w:p w:rsidR="00FA6A77" w:rsidRPr="00D5126A" w:rsidRDefault="00FA6A77" w:rsidP="00163042">
      <w:pPr>
        <w:pStyle w:val="Heading5"/>
      </w:pPr>
      <w:r w:rsidRPr="00D5126A">
        <w:t>Movement in the provision</w:t>
      </w:r>
    </w:p>
    <w:p w:rsidR="00FA6A77" w:rsidRPr="00D5126A" w:rsidRDefault="00FA6A77" w:rsidP="00FA6A77">
      <w:pPr>
        <w:jc w:val="both"/>
        <w:rPr>
          <w:rFonts w:ascii="Arial" w:hAnsi="Arial" w:cs="Arial"/>
        </w:rPr>
      </w:pPr>
      <w:r w:rsidRPr="00D5126A">
        <w:rPr>
          <w:rFonts w:ascii="Arial" w:hAnsi="Arial" w:cs="Arial"/>
        </w:rPr>
        <w:t>During the year $10.947m was paid as either part or full settlement of claims.  An additional $2.794m was added to the provision after an actuarial re-assessment of the likely future costs to be incurred as explained below. The current / non-current split above reflects the expected timing of payments but is reassessed each year to take account of delays in claim negotiations and any mediation outcomes.</w:t>
      </w:r>
    </w:p>
    <w:p w:rsidR="00FA6A77" w:rsidRPr="00D5126A" w:rsidRDefault="00FA6A77" w:rsidP="00163042">
      <w:pPr>
        <w:pStyle w:val="Heading5"/>
      </w:pPr>
      <w:r w:rsidRPr="00D5126A">
        <w:t>Estimation</w:t>
      </w:r>
    </w:p>
    <w:p w:rsidR="00FA6A77" w:rsidRPr="00D5126A" w:rsidRDefault="00FA6A77" w:rsidP="00163042">
      <w:r w:rsidRPr="00D5126A">
        <w:t xml:space="preserve">The Council has provided for the expected future costs of reported claims. The provision for active claims is based on the best estimate of the Council’s expected future costs to settle these claims and is reviewed on a case by case basis. The estimate for claims which have been notified and are not yet actively managed and unreported claims is based on actuarial assessments and other information on these claims. The nature of the liability means there are significant inherent uncertainties in estimating the likely costs that will be incurred in the future. This represents the Council’s best estimate of the amount required to settle the obligation at the estimated time of the cash outflow. Future cash flows are inflation adjusted and discounted using the Treasury’s risk-free rate. The provision is net of any third-party contributions including insurance, where applicable. </w:t>
      </w:r>
    </w:p>
    <w:p w:rsidR="00FA6A77" w:rsidRPr="00D5126A" w:rsidRDefault="00FA6A77" w:rsidP="00163042">
      <w:r w:rsidRPr="00D5126A">
        <w:lastRenderedPageBreak/>
        <w:t>The provision is based on best estimates and actuarial assessments and therefore actual costs incurred may vary significantly from those included in this provision, especially for future claims relating to weathertightness issues not yet identified or not yet reported.</w:t>
      </w:r>
    </w:p>
    <w:p w:rsidR="00FA6A77" w:rsidRPr="00D5126A" w:rsidRDefault="00FA6A77" w:rsidP="00163042">
      <w:r w:rsidRPr="00D5126A">
        <w:t>The significant assumptions used in the calculation of the weathertight homes provision are as follows:</w:t>
      </w:r>
    </w:p>
    <w:p w:rsidR="00FA6A77" w:rsidRPr="00D5126A" w:rsidRDefault="00FA6A77" w:rsidP="00163042">
      <w:pPr>
        <w:pStyle w:val="Heading5"/>
      </w:pPr>
      <w:r w:rsidRPr="00D5126A">
        <w:t>Amount claimed</w:t>
      </w:r>
    </w:p>
    <w:p w:rsidR="00FA6A77" w:rsidRPr="00D5126A" w:rsidRDefault="00FA6A77" w:rsidP="00FA6A77">
      <w:pPr>
        <w:rPr>
          <w:rFonts w:ascii="Arial" w:hAnsi="Arial" w:cs="Arial"/>
        </w:rPr>
      </w:pPr>
      <w:r w:rsidRPr="00D5126A">
        <w:rPr>
          <w:rFonts w:ascii="Arial" w:hAnsi="Arial" w:cs="Arial"/>
        </w:rPr>
        <w:t>Represents the expected amount claimed by the homeowner and is based on the actual amounts for claims already settled.</w:t>
      </w:r>
    </w:p>
    <w:p w:rsidR="00FA6A77" w:rsidRPr="00D5126A" w:rsidRDefault="00FA6A77" w:rsidP="00163042">
      <w:pPr>
        <w:pStyle w:val="Heading5"/>
      </w:pPr>
      <w:r w:rsidRPr="00D5126A">
        <w:t>Settlement amount</w:t>
      </w:r>
    </w:p>
    <w:p w:rsidR="00FA6A77" w:rsidRPr="00D5126A" w:rsidRDefault="00FA6A77" w:rsidP="00FA6A77">
      <w:pPr>
        <w:rPr>
          <w:rFonts w:ascii="Arial" w:hAnsi="Arial" w:cs="Arial"/>
        </w:rPr>
      </w:pPr>
      <w:r w:rsidRPr="00D5126A">
        <w:rPr>
          <w:rFonts w:ascii="Arial" w:hAnsi="Arial" w:cs="Arial"/>
        </w:rPr>
        <w:t>Represents the expected amount of awarded settlement and is based on the actual amounts for claims already settled.</w:t>
      </w:r>
    </w:p>
    <w:p w:rsidR="00FA6A77" w:rsidRPr="00D5126A" w:rsidRDefault="00FA6A77" w:rsidP="00163042">
      <w:pPr>
        <w:pStyle w:val="Heading5"/>
      </w:pPr>
      <w:r w:rsidRPr="00D5126A">
        <w:t>Amount expected to be paid by the Council</w:t>
      </w:r>
    </w:p>
    <w:p w:rsidR="00FA6A77" w:rsidRPr="00D5126A" w:rsidRDefault="00FA6A77" w:rsidP="00FA6A77">
      <w:pPr>
        <w:jc w:val="both"/>
        <w:rPr>
          <w:rFonts w:ascii="Arial" w:hAnsi="Arial" w:cs="Arial"/>
        </w:rPr>
      </w:pPr>
      <w:r w:rsidRPr="00D5126A">
        <w:rPr>
          <w:rFonts w:ascii="Arial" w:hAnsi="Arial" w:cs="Arial"/>
        </w:rPr>
        <w:t xml:space="preserve">Represents the amount expected to be paid by the Council out of any awarded settlement amount and is based on the actual amounts for claims already settled. This figure has been increasing over the last few years as it is becoming more common for the other parties involved in a claim to be either in liquidation or bankrupt, or have limited funds and be unable to contribute to settlement. </w:t>
      </w:r>
    </w:p>
    <w:p w:rsidR="00FA6A77" w:rsidRPr="00D5126A" w:rsidRDefault="00FA6A77" w:rsidP="00163042">
      <w:pPr>
        <w:pStyle w:val="Heading5"/>
      </w:pPr>
      <w:r w:rsidRPr="00D5126A">
        <w:t>Percentage of homeowners who will make a successful claim</w:t>
      </w:r>
    </w:p>
    <w:p w:rsidR="00FA6A77" w:rsidRPr="00D5126A" w:rsidRDefault="00FA6A77" w:rsidP="00FA6A77">
      <w:pPr>
        <w:jc w:val="both"/>
        <w:rPr>
          <w:rFonts w:ascii="Arial" w:hAnsi="Arial" w:cs="Arial"/>
        </w:rPr>
      </w:pPr>
      <w:r w:rsidRPr="00D5126A">
        <w:rPr>
          <w:rFonts w:ascii="Arial" w:hAnsi="Arial" w:cs="Arial"/>
        </w:rPr>
        <w:t>Historical data collected on the number of claims lodged has enabled assumptions to be made on the percentage of homes built in the last 10 years which may experience weathertightness problems and therefore the percentage of homeowner who may make a successful claim.</w:t>
      </w:r>
    </w:p>
    <w:p w:rsidR="00FA6A77" w:rsidRPr="00D5126A" w:rsidRDefault="00FA6A77" w:rsidP="00163042">
      <w:pPr>
        <w:pStyle w:val="Heading5"/>
        <w:rPr>
          <w:rFonts w:eastAsia="MS Gothic"/>
        </w:rPr>
      </w:pPr>
      <w:r w:rsidRPr="00D5126A">
        <w:rPr>
          <w:rFonts w:eastAsia="MS Gothic"/>
        </w:rPr>
        <w:t>Sensitivity</w:t>
      </w:r>
    </w:p>
    <w:p w:rsidR="00FA6A77" w:rsidRPr="00D5126A" w:rsidRDefault="00FD3464" w:rsidP="00FA6A77">
      <w:pPr>
        <w:rPr>
          <w:rFonts w:ascii="Arial" w:hAnsi="Arial" w:cs="Arial"/>
        </w:rPr>
      </w:pPr>
      <w:r>
        <w:rPr>
          <w:rFonts w:ascii="Arial" w:hAnsi="Arial" w:cs="Arial"/>
        </w:rPr>
        <w:t>Table 49</w:t>
      </w:r>
      <w:r w:rsidR="00FA6A77" w:rsidRPr="00D5126A">
        <w:rPr>
          <w:rFonts w:ascii="Arial" w:hAnsi="Arial" w:cs="Arial"/>
        </w:rPr>
        <w:t xml:space="preserve"> illustrates the potential impact on surplus or deficit of changes in some of the assumptions listed above.</w:t>
      </w:r>
    </w:p>
    <w:p w:rsidR="00A95DA6" w:rsidRDefault="00A95DA6" w:rsidP="00A95DA6">
      <w:pPr>
        <w:pStyle w:val="Caption"/>
      </w:pPr>
      <w:r>
        <w:t xml:space="preserve">Section 5 - Table </w:t>
      </w:r>
      <w:fldSimple w:instr=" SEQ Section_5_-_Table \* ARABIC ">
        <w:r w:rsidR="005908C4">
          <w:rPr>
            <w:noProof/>
          </w:rPr>
          <w:t>49</w:t>
        </w:r>
      </w:fldSimple>
      <w:r>
        <w:t>: Assumptions</w:t>
      </w:r>
    </w:p>
    <w:p w:rsidR="00FA6A77" w:rsidRPr="00D5126A" w:rsidRDefault="00FA6A77" w:rsidP="00A95DA6">
      <w:r w:rsidRPr="00D5126A">
        <w:rPr>
          <w:noProof/>
          <w:lang w:eastAsia="en-NZ"/>
        </w:rPr>
        <w:drawing>
          <wp:inline distT="0" distB="0" distL="0" distR="0" wp14:anchorId="59D444A0" wp14:editId="3F599261">
            <wp:extent cx="6202045" cy="2623820"/>
            <wp:effectExtent l="0" t="0" r="8255" b="5080"/>
            <wp:docPr id="1403" name="Picture 1403" title="Section 5 - Table 49: Assum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6202045" cy="2623820"/>
                    </a:xfrm>
                    <a:prstGeom prst="rect">
                      <a:avLst/>
                    </a:prstGeom>
                    <a:noFill/>
                    <a:ln>
                      <a:noFill/>
                    </a:ln>
                  </pic:spPr>
                </pic:pic>
              </a:graphicData>
            </a:graphic>
          </wp:inline>
        </w:drawing>
      </w:r>
    </w:p>
    <w:p w:rsidR="00FA6A77" w:rsidRPr="00D5126A" w:rsidRDefault="00FA6A77" w:rsidP="00163042">
      <w:pPr>
        <w:pStyle w:val="Heading5"/>
      </w:pPr>
      <w:r w:rsidRPr="00D5126A">
        <w:t>Funding of weathertight homes settlements</w:t>
      </w:r>
    </w:p>
    <w:p w:rsidR="00FA6A77" w:rsidRPr="00D5126A" w:rsidRDefault="00FA6A77" w:rsidP="00FA6A77">
      <w:pPr>
        <w:jc w:val="both"/>
        <w:rPr>
          <w:rFonts w:ascii="Arial" w:hAnsi="Arial" w:cs="Arial"/>
          <w:sz w:val="20"/>
          <w:szCs w:val="20"/>
          <w:lang w:eastAsia="en-GB"/>
        </w:rPr>
      </w:pPr>
      <w:r w:rsidRPr="00D5126A">
        <w:rPr>
          <w:rFonts w:ascii="Arial" w:hAnsi="Arial" w:cs="Arial"/>
        </w:rPr>
        <w:t xml:space="preserve">Council uses borrowings in the first instance to meet the cost of settlements with the associated borrowings subsequently being repaid through rates funding. To ensure that the funding of </w:t>
      </w:r>
      <w:r w:rsidRPr="00D5126A">
        <w:rPr>
          <w:rFonts w:ascii="Arial" w:hAnsi="Arial" w:cs="Arial"/>
        </w:rPr>
        <w:lastRenderedPageBreak/>
        <w:t>weathertight homes is fully transparent the associated settlement costs, borrowings and rates funding is reported annually</w:t>
      </w:r>
      <w:r w:rsidRPr="00D5126A">
        <w:rPr>
          <w:rFonts w:ascii="Arial" w:hAnsi="Arial" w:cs="Arial"/>
          <w:sz w:val="20"/>
          <w:szCs w:val="20"/>
          <w:lang w:eastAsia="en-GB"/>
        </w:rPr>
        <w:t>.</w:t>
      </w:r>
    </w:p>
    <w:p w:rsidR="00A95DA6" w:rsidRDefault="00A95DA6" w:rsidP="00A95DA6">
      <w:pPr>
        <w:pStyle w:val="Caption"/>
      </w:pPr>
      <w:r>
        <w:t xml:space="preserve">Section 5 - Table </w:t>
      </w:r>
      <w:fldSimple w:instr=" SEQ Section_5_-_Table \* ARABIC ">
        <w:r w:rsidR="005908C4">
          <w:rPr>
            <w:noProof/>
          </w:rPr>
          <w:t>50</w:t>
        </w:r>
      </w:fldSimple>
      <w:r>
        <w:t>: Funding for weather</w:t>
      </w:r>
      <w:r>
        <w:rPr>
          <w:noProof/>
        </w:rPr>
        <w:t>tight homes liability</w:t>
      </w:r>
    </w:p>
    <w:p w:rsidR="00FA6A77" w:rsidRPr="00D5126A" w:rsidRDefault="00FA6A77" w:rsidP="00FA6A77">
      <w:r w:rsidRPr="00D5126A">
        <w:rPr>
          <w:noProof/>
          <w:lang w:eastAsia="en-NZ"/>
        </w:rPr>
        <w:drawing>
          <wp:inline distT="0" distB="0" distL="0" distR="0" wp14:anchorId="6A516E6C" wp14:editId="5106279C">
            <wp:extent cx="6142355" cy="1630045"/>
            <wp:effectExtent l="0" t="0" r="0" b="8255"/>
            <wp:docPr id="1402" name="Picture 1402" title="Section 5 - Table 50: Funding for weathertight homes li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6142355" cy="1630045"/>
                    </a:xfrm>
                    <a:prstGeom prst="rect">
                      <a:avLst/>
                    </a:prstGeom>
                    <a:noFill/>
                    <a:ln>
                      <a:noFill/>
                    </a:ln>
                  </pic:spPr>
                </pic:pic>
              </a:graphicData>
            </a:graphic>
          </wp:inline>
        </w:drawing>
      </w:r>
    </w:p>
    <w:p w:rsidR="00FA6A77" w:rsidRPr="00D5126A" w:rsidRDefault="00FA6A77" w:rsidP="00163042">
      <w:pPr>
        <w:pStyle w:val="Heading3"/>
      </w:pPr>
      <w:bookmarkStart w:id="451" w:name="_Toc19092079"/>
      <w:bookmarkStart w:id="452" w:name="_Toc23848718"/>
      <w:r w:rsidRPr="00D5126A">
        <w:t>Note 26: Deferred tax</w:t>
      </w:r>
      <w:bookmarkEnd w:id="451"/>
      <w:bookmarkEnd w:id="452"/>
      <w:r w:rsidRPr="00D5126A">
        <w:t xml:space="preserve"> </w:t>
      </w:r>
    </w:p>
    <w:p w:rsidR="00FA6A77" w:rsidRPr="00D5126A" w:rsidRDefault="00FA6A77" w:rsidP="00163042">
      <w:pPr>
        <w:pStyle w:val="Heading4"/>
      </w:pPr>
      <w:r w:rsidRPr="00D5126A">
        <w:t>Recognised temporary differences and tax losses</w:t>
      </w:r>
    </w:p>
    <w:p w:rsidR="00A95DA6" w:rsidRDefault="00A95DA6" w:rsidP="00A95DA6">
      <w:pPr>
        <w:pStyle w:val="Caption"/>
      </w:pPr>
      <w:r>
        <w:t xml:space="preserve">Section 5 - Table </w:t>
      </w:r>
      <w:fldSimple w:instr=" SEQ Section_5_-_Table \* ARABIC ">
        <w:r w:rsidR="005908C4">
          <w:rPr>
            <w:noProof/>
          </w:rPr>
          <w:t>51</w:t>
        </w:r>
      </w:fldSimple>
      <w:r>
        <w:t>: Deferred tax asset</w:t>
      </w:r>
      <w:proofErr w:type="gramStart"/>
      <w:r>
        <w:t>/(</w:t>
      </w:r>
      <w:proofErr w:type="gramEnd"/>
      <w:r>
        <w:t>liability)</w:t>
      </w:r>
    </w:p>
    <w:p w:rsidR="00FA6A77" w:rsidRPr="00D5126A" w:rsidRDefault="00FA6A77" w:rsidP="0035019C">
      <w:pPr>
        <w:pStyle w:val="Body"/>
      </w:pPr>
      <w:r w:rsidRPr="00D5126A">
        <w:rPr>
          <w:noProof/>
          <w:lang w:eastAsia="en-NZ"/>
        </w:rPr>
        <w:drawing>
          <wp:inline distT="0" distB="0" distL="0" distR="0" wp14:anchorId="742A679B" wp14:editId="19D5A0A5">
            <wp:extent cx="6102350" cy="4542155"/>
            <wp:effectExtent l="0" t="0" r="0" b="0"/>
            <wp:docPr id="1401" name="Picture 1401" title="Section 5 - Table 51: Deferred tax asset/(li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6102350" cy="4542155"/>
                    </a:xfrm>
                    <a:prstGeom prst="rect">
                      <a:avLst/>
                    </a:prstGeom>
                    <a:noFill/>
                    <a:ln>
                      <a:noFill/>
                    </a:ln>
                  </pic:spPr>
                </pic:pic>
              </a:graphicData>
            </a:graphic>
          </wp:inline>
        </w:drawing>
      </w:r>
    </w:p>
    <w:p w:rsidR="00FA6A77" w:rsidRPr="00D5126A" w:rsidRDefault="00FA6A77" w:rsidP="00163042">
      <w:pPr>
        <w:pStyle w:val="Heading4"/>
      </w:pPr>
      <w:r w:rsidRPr="00D5126A">
        <w:t>Unrecognised tax losses</w:t>
      </w:r>
    </w:p>
    <w:p w:rsidR="00FA6A77" w:rsidRPr="00D5126A" w:rsidRDefault="00FA6A77" w:rsidP="00FA6A77">
      <w:pPr>
        <w:jc w:val="both"/>
        <w:rPr>
          <w:rFonts w:ascii="Arial" w:hAnsi="Arial" w:cs="Arial"/>
          <w:color w:val="333333"/>
          <w:lang w:eastAsia="en-GB"/>
        </w:rPr>
      </w:pPr>
      <w:r w:rsidRPr="00D5126A">
        <w:rPr>
          <w:rFonts w:ascii="Arial" w:hAnsi="Arial" w:cs="Arial"/>
          <w:color w:val="333333"/>
          <w:lang w:eastAsia="en-GB"/>
        </w:rPr>
        <w:t>Under current income tax legislation, the unrecognised tax losses do not expire.</w:t>
      </w:r>
    </w:p>
    <w:p w:rsidR="00FA6A77" w:rsidRPr="00D5126A" w:rsidRDefault="00FA6A77" w:rsidP="00FA6A77">
      <w:pPr>
        <w:jc w:val="both"/>
        <w:rPr>
          <w:rFonts w:ascii="Arial" w:hAnsi="Arial" w:cs="Arial"/>
          <w:color w:val="333333"/>
          <w:lang w:eastAsia="en-GB"/>
        </w:rPr>
      </w:pPr>
      <w:r w:rsidRPr="00D5126A">
        <w:rPr>
          <w:rFonts w:ascii="Arial" w:hAnsi="Arial" w:cs="Arial"/>
          <w:color w:val="333333"/>
          <w:lang w:eastAsia="en-GB"/>
        </w:rPr>
        <w:t>Th</w:t>
      </w:r>
      <w:r w:rsidR="00FD3464">
        <w:rPr>
          <w:rFonts w:ascii="Arial" w:hAnsi="Arial" w:cs="Arial"/>
          <w:color w:val="333333"/>
          <w:lang w:eastAsia="en-GB"/>
        </w:rPr>
        <w:t>ere is an</w:t>
      </w:r>
      <w:r w:rsidRPr="00D5126A">
        <w:rPr>
          <w:rFonts w:ascii="Arial" w:hAnsi="Arial" w:cs="Arial"/>
          <w:color w:val="333333"/>
          <w:lang w:eastAsia="en-GB"/>
        </w:rPr>
        <w:t xml:space="preserve"> unrecognised deferred tax asset in respect of the tax losses for the Council </w:t>
      </w:r>
      <w:r w:rsidR="00FD3464">
        <w:rPr>
          <w:rFonts w:ascii="Arial" w:hAnsi="Arial" w:cs="Arial"/>
          <w:color w:val="333333"/>
          <w:lang w:eastAsia="en-GB"/>
        </w:rPr>
        <w:t xml:space="preserve">of </w:t>
      </w:r>
      <w:r w:rsidRPr="00D5126A">
        <w:rPr>
          <w:rFonts w:ascii="Arial" w:hAnsi="Arial" w:cs="Arial"/>
          <w:color w:val="333333"/>
          <w:lang w:eastAsia="en-GB"/>
        </w:rPr>
        <w:t>$0.</w:t>
      </w:r>
      <w:r w:rsidR="00FD3464">
        <w:rPr>
          <w:rFonts w:ascii="Arial" w:hAnsi="Arial" w:cs="Arial"/>
          <w:color w:val="333333"/>
          <w:lang w:eastAsia="en-GB"/>
        </w:rPr>
        <w:t>134</w:t>
      </w:r>
      <w:r w:rsidRPr="00D5126A">
        <w:rPr>
          <w:rFonts w:ascii="Arial" w:hAnsi="Arial" w:cs="Arial"/>
          <w:color w:val="333333"/>
          <w:lang w:eastAsia="en-GB"/>
        </w:rPr>
        <w:t>m (2018: $0.</w:t>
      </w:r>
      <w:r w:rsidR="00FD3464">
        <w:rPr>
          <w:rFonts w:ascii="Arial" w:hAnsi="Arial" w:cs="Arial"/>
          <w:color w:val="333333"/>
          <w:lang w:eastAsia="en-GB"/>
        </w:rPr>
        <w:t>120</w:t>
      </w:r>
      <w:r w:rsidRPr="00D5126A">
        <w:rPr>
          <w:rFonts w:ascii="Arial" w:hAnsi="Arial" w:cs="Arial"/>
          <w:color w:val="333333"/>
          <w:lang w:eastAsia="en-GB"/>
        </w:rPr>
        <w:t>m).</w:t>
      </w:r>
    </w:p>
    <w:p w:rsidR="00FA6A77" w:rsidRPr="00D5126A" w:rsidRDefault="00FA6A77" w:rsidP="00FA6A77">
      <w:pPr>
        <w:jc w:val="both"/>
        <w:rPr>
          <w:rFonts w:ascii="Arial" w:hAnsi="Arial" w:cs="Arial"/>
          <w:color w:val="333333"/>
          <w:lang w:eastAsia="en-GB"/>
        </w:rPr>
      </w:pPr>
      <w:r w:rsidRPr="00D5126A">
        <w:rPr>
          <w:rFonts w:ascii="Arial" w:hAnsi="Arial" w:cs="Arial"/>
          <w:color w:val="333333"/>
          <w:lang w:eastAsia="en-GB"/>
        </w:rPr>
        <w:lastRenderedPageBreak/>
        <w:t>Deferred tax assets have not been recognised in respect of these items as it is not probable that future taxable profits will be available against which the benefit of the losses can be utilised.</w:t>
      </w:r>
    </w:p>
    <w:p w:rsidR="00FA6A77" w:rsidRPr="00D5126A" w:rsidRDefault="00FA6A77" w:rsidP="00163042">
      <w:pPr>
        <w:pStyle w:val="Heading4"/>
        <w:rPr>
          <w:rFonts w:asciiTheme="majorHAnsi" w:hAnsiTheme="majorHAnsi" w:cs="Times New Roman"/>
          <w:color w:val="auto"/>
          <w:lang w:eastAsia="en-GB"/>
        </w:rPr>
      </w:pPr>
      <w:r w:rsidRPr="00D5126A">
        <w:rPr>
          <w:lang w:eastAsia="en-GB"/>
        </w:rPr>
        <w:t>Relevant significant accounting policies</w:t>
      </w:r>
    </w:p>
    <w:p w:rsidR="00FA6A77" w:rsidRPr="00D5126A" w:rsidRDefault="00FA6A77" w:rsidP="00FA6A77">
      <w:pPr>
        <w:spacing w:before="100" w:beforeAutospacing="1" w:after="150"/>
        <w:jc w:val="both"/>
        <w:rPr>
          <w:rFonts w:ascii="Arial" w:hAnsi="Arial" w:cs="Arial"/>
          <w:color w:val="333333"/>
          <w:lang w:eastAsia="en-GB"/>
        </w:rPr>
      </w:pPr>
      <w:r w:rsidRPr="00D5126A">
        <w:rPr>
          <w:rFonts w:ascii="Arial" w:hAnsi="Arial" w:cs="Arial"/>
          <w:color w:val="333333"/>
          <w:lang w:eastAsia="en-GB"/>
        </w:rPr>
        <w:t>Deferred tax is provided using the balance sheet liability method, providing for temporary differences between the carrying amounts of assets and liabilities for financial reporting purposes and amounts used for taxation purposes. The amount of deferred tax provided is based on the expected manner of realisation or settlement of the assets and liabilities, and the unused tax losses using tax rates enacted or substantively enacted at the end of the reporting period. Deferred income tax assets are recognised to the extent that it is probable that future taxable profit will be available against which they can be utilised.</w:t>
      </w:r>
    </w:p>
    <w:p w:rsidR="00FA6A77" w:rsidRPr="00D5126A" w:rsidRDefault="00163042" w:rsidP="00163042">
      <w:pPr>
        <w:pStyle w:val="Heading2"/>
      </w:pPr>
      <w:bookmarkStart w:id="453" w:name="_Toc23758624"/>
      <w:bookmarkStart w:id="454" w:name="_Toc23848719"/>
      <w:r w:rsidRPr="00D5126A">
        <w:lastRenderedPageBreak/>
        <w:t>Statement of C</w:t>
      </w:r>
      <w:r w:rsidR="00FA6A77" w:rsidRPr="00D5126A">
        <w:t xml:space="preserve">hanges in </w:t>
      </w:r>
      <w:r w:rsidRPr="00D5126A">
        <w:t>E</w:t>
      </w:r>
      <w:r w:rsidR="00FA6A77" w:rsidRPr="00D5126A">
        <w:t>quity</w:t>
      </w:r>
      <w:bookmarkEnd w:id="453"/>
      <w:bookmarkEnd w:id="454"/>
    </w:p>
    <w:p w:rsidR="00FA6A77" w:rsidRPr="00D5126A" w:rsidRDefault="00FA6A77" w:rsidP="00163042">
      <w:pPr>
        <w:pStyle w:val="Heading5"/>
      </w:pPr>
      <w:r w:rsidRPr="00D5126A">
        <w:t>For the year ending 30 June 2019</w:t>
      </w:r>
    </w:p>
    <w:p w:rsidR="00FA6A77" w:rsidRPr="00D5126A" w:rsidRDefault="00FA6A77" w:rsidP="0035019C">
      <w:r w:rsidRPr="00D5126A">
        <w:rPr>
          <w:noProof/>
          <w:lang w:eastAsia="en-NZ"/>
        </w:rPr>
        <w:drawing>
          <wp:inline distT="0" distB="0" distL="0" distR="0" wp14:anchorId="09E2EF29" wp14:editId="61FDAE37">
            <wp:extent cx="6251575" cy="8259445"/>
            <wp:effectExtent l="0" t="0" r="0" b="8255"/>
            <wp:docPr id="1400" name="Picture 1400" title="Statement of Changes in Equ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6251575" cy="8259445"/>
                    </a:xfrm>
                    <a:prstGeom prst="rect">
                      <a:avLst/>
                    </a:prstGeom>
                    <a:noFill/>
                    <a:ln>
                      <a:noFill/>
                    </a:ln>
                  </pic:spPr>
                </pic:pic>
              </a:graphicData>
            </a:graphic>
          </wp:inline>
        </w:drawing>
      </w:r>
    </w:p>
    <w:p w:rsidR="00FA6A77" w:rsidRPr="00D5126A" w:rsidRDefault="00FA6A77" w:rsidP="0035019C">
      <w:r w:rsidRPr="00D5126A">
        <w:rPr>
          <w:noProof/>
          <w:lang w:eastAsia="en-NZ"/>
        </w:rPr>
        <w:lastRenderedPageBreak/>
        <w:drawing>
          <wp:inline distT="0" distB="0" distL="0" distR="0" wp14:anchorId="44F30AB7" wp14:editId="3AEEDA3C">
            <wp:extent cx="6251575" cy="1610360"/>
            <wp:effectExtent l="0" t="0" r="0" b="8890"/>
            <wp:docPr id="1399" name="Picture 1399" title="Statement of Changes in Equ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6251575" cy="1610360"/>
                    </a:xfrm>
                    <a:prstGeom prst="rect">
                      <a:avLst/>
                    </a:prstGeom>
                    <a:noFill/>
                    <a:ln>
                      <a:noFill/>
                    </a:ln>
                  </pic:spPr>
                </pic:pic>
              </a:graphicData>
            </a:graphic>
          </wp:inline>
        </w:drawing>
      </w:r>
    </w:p>
    <w:p w:rsidR="00FA6A77" w:rsidRPr="00D5126A" w:rsidRDefault="00FA6A77" w:rsidP="00163042">
      <w:pPr>
        <w:rPr>
          <w:rFonts w:eastAsia="Times New Roman"/>
          <w:b/>
          <w:bCs/>
          <w:lang w:eastAsia="en-NZ"/>
        </w:rPr>
      </w:pPr>
      <w:r w:rsidRPr="00D5126A">
        <w:rPr>
          <w:rFonts w:eastAsia="Times New Roman"/>
          <w:lang w:eastAsia="en-NZ"/>
        </w:rPr>
        <w:t xml:space="preserve">The notes </w:t>
      </w:r>
      <w:r w:rsidRPr="00E11BCB">
        <w:rPr>
          <w:rFonts w:eastAsia="Times New Roman"/>
          <w:lang w:eastAsia="en-NZ"/>
        </w:rPr>
        <w:t xml:space="preserve">on pages </w:t>
      </w:r>
      <w:r w:rsidR="00E11BCB" w:rsidRPr="00E11BCB">
        <w:rPr>
          <w:rFonts w:eastAsia="Times New Roman"/>
          <w:lang w:eastAsia="en-NZ"/>
        </w:rPr>
        <w:t>225</w:t>
      </w:r>
      <w:r w:rsidR="00163042" w:rsidRPr="00E11BCB">
        <w:rPr>
          <w:rFonts w:eastAsia="Times New Roman"/>
          <w:lang w:eastAsia="en-NZ"/>
        </w:rPr>
        <w:t xml:space="preserve"> to </w:t>
      </w:r>
      <w:r w:rsidR="00E11BCB" w:rsidRPr="00E11BCB">
        <w:rPr>
          <w:rFonts w:eastAsia="Times New Roman"/>
          <w:lang w:eastAsia="en-NZ"/>
        </w:rPr>
        <w:t>312</w:t>
      </w:r>
      <w:r w:rsidRPr="00D5126A">
        <w:rPr>
          <w:rFonts w:eastAsia="Times New Roman"/>
          <w:lang w:eastAsia="en-NZ"/>
        </w:rPr>
        <w:t xml:space="preserve"> form part of and should be read in conjunction with the financial statements</w:t>
      </w:r>
    </w:p>
    <w:p w:rsidR="00FA6A77" w:rsidRPr="00D5126A" w:rsidRDefault="00FA6A77" w:rsidP="00D96278">
      <w:pPr>
        <w:pStyle w:val="Heading4"/>
      </w:pPr>
      <w:bookmarkStart w:id="455" w:name="_Toc19092081"/>
      <w:r w:rsidRPr="00D5126A">
        <w:t>Statement of changes in equity – Major budget variations</w:t>
      </w:r>
      <w:bookmarkEnd w:id="455"/>
    </w:p>
    <w:p w:rsidR="00FA6A77" w:rsidRPr="00D5126A" w:rsidRDefault="00FA6A77" w:rsidP="00D96278">
      <w:pPr>
        <w:pStyle w:val="Heading5"/>
        <w:rPr>
          <w:lang w:eastAsia="en-GB"/>
        </w:rPr>
      </w:pPr>
      <w:r w:rsidRPr="00D5126A">
        <w:rPr>
          <w:lang w:eastAsia="en-GB"/>
        </w:rPr>
        <w:t>Significant variations from budgeted changes in equity are as follows:</w:t>
      </w:r>
    </w:p>
    <w:p w:rsidR="00FA6A77" w:rsidRPr="00D5126A" w:rsidRDefault="00FA6A77" w:rsidP="00FA6A77">
      <w:pPr>
        <w:jc w:val="both"/>
      </w:pPr>
      <w:r w:rsidRPr="00D5126A">
        <w:t>Opening equity is $116.791m over budget. This is largely due to timing differences arising from the recognition of property, plant and equipment revaluations in 2017/18. These revaluations were only finalised after the Annual Plan budget for 2018/19 was approved by Council.</w:t>
      </w:r>
    </w:p>
    <w:p w:rsidR="00FA6A77" w:rsidRPr="00D5126A" w:rsidRDefault="00FA6A77" w:rsidP="00FA6A77">
      <w:pPr>
        <w:jc w:val="both"/>
      </w:pPr>
      <w:r w:rsidRPr="00D5126A">
        <w:t>Closing equity is $29.681m higher than budget due to:</w:t>
      </w:r>
    </w:p>
    <w:p w:rsidR="00FA6A77" w:rsidRPr="00D5126A" w:rsidRDefault="00FA6A77" w:rsidP="002C7BF8">
      <w:pPr>
        <w:pStyle w:val="ListParagraph"/>
        <w:numPr>
          <w:ilvl w:val="0"/>
          <w:numId w:val="50"/>
        </w:numPr>
        <w:tabs>
          <w:tab w:val="clear" w:pos="3240"/>
        </w:tabs>
        <w:ind w:left="851"/>
        <w:jc w:val="both"/>
      </w:pPr>
      <w:r w:rsidRPr="00D5126A">
        <w:t xml:space="preserve">Recognition of a net deficit for the year of $23.867m compared to a budgeted surplus of $17.757m. </w:t>
      </w:r>
      <w:r w:rsidR="00FD3464">
        <w:t>The d</w:t>
      </w:r>
      <w:r w:rsidRPr="00D5126A">
        <w:t>ifference of $41.624m is largely due to the $50.522m impact of the Civic Precinct impairments.</w:t>
      </w:r>
    </w:p>
    <w:p w:rsidR="00FA6A77" w:rsidRPr="00D5126A" w:rsidRDefault="00FA6A77" w:rsidP="002C7BF8">
      <w:pPr>
        <w:pStyle w:val="ListParagraph"/>
        <w:numPr>
          <w:ilvl w:val="0"/>
          <w:numId w:val="50"/>
        </w:numPr>
        <w:tabs>
          <w:tab w:val="clear" w:pos="3240"/>
        </w:tabs>
        <w:ind w:left="851"/>
        <w:jc w:val="both"/>
      </w:pPr>
      <w:r w:rsidRPr="00D5126A">
        <w:t>$42.776m decrease in the hedging reserve due to unfavourable changes in swap interest rates.</w:t>
      </w:r>
    </w:p>
    <w:p w:rsidR="00FA6A77" w:rsidRPr="00D5126A" w:rsidRDefault="00FA6A77" w:rsidP="00D96278">
      <w:pPr>
        <w:pStyle w:val="Heading5"/>
        <w:rPr>
          <w:szCs w:val="26"/>
          <w:lang w:eastAsia="en-GB"/>
        </w:rPr>
      </w:pPr>
      <w:r w:rsidRPr="00D5126A">
        <w:rPr>
          <w:lang w:eastAsia="en-GB"/>
        </w:rPr>
        <w:t>Equity</w:t>
      </w:r>
    </w:p>
    <w:p w:rsidR="00FA6A77" w:rsidRPr="00D5126A" w:rsidRDefault="00FA6A77" w:rsidP="00D96278">
      <w:r w:rsidRPr="00D5126A">
        <w:t>Equity is the community’s interest in the Council and Group and is measured as the difference between total assets and total liabilities. Equity is broken down and classified into a number of components to enable clearer identification of the specified uses of equity within the Council and the Group.</w:t>
      </w:r>
    </w:p>
    <w:p w:rsidR="00FA6A77" w:rsidRPr="00D5126A" w:rsidRDefault="00FA6A77" w:rsidP="00D96278">
      <w:pPr>
        <w:rPr>
          <w:rFonts w:cs="Arial"/>
          <w:color w:val="333333"/>
          <w:lang w:eastAsia="en-GB"/>
        </w:rPr>
      </w:pPr>
      <w:r w:rsidRPr="00D5126A">
        <w:t xml:space="preserve">The components of equity are accumulated funds and retained earnings, revaluation reserves, a hedging reserve, a fair value through other comprehensive revenue and expense reserve and restricted funds </w:t>
      </w:r>
      <w:r w:rsidRPr="00D5126A">
        <w:rPr>
          <w:rFonts w:cs="Arial"/>
          <w:color w:val="333333"/>
          <w:lang w:eastAsia="en-GB"/>
        </w:rPr>
        <w:t>which comprise special funds, reserve funds and trusts and bequests.</w:t>
      </w:r>
    </w:p>
    <w:p w:rsidR="00FA6A77" w:rsidRPr="00D5126A" w:rsidRDefault="00FA6A77" w:rsidP="00D96278">
      <w:r w:rsidRPr="00D5126A">
        <w:t>Restricted funds are those reserves that are subject to specific conditions of use, whether under statute or accepted as binding by the Council, and that may not be revised without reference to the Courts or third parties. Transfers from these reserves may be made only for specified purposes or when certain specified conditions are met.</w:t>
      </w:r>
    </w:p>
    <w:p w:rsidR="00FA6A77" w:rsidRPr="00D5126A" w:rsidRDefault="00FA6A77" w:rsidP="00D96278">
      <w:pPr>
        <w:pStyle w:val="Heading5"/>
        <w:rPr>
          <w:lang w:eastAsia="en-GB"/>
        </w:rPr>
      </w:pPr>
      <w:r w:rsidRPr="00D5126A">
        <w:rPr>
          <w:lang w:eastAsia="en-GB"/>
        </w:rPr>
        <w:t>Equity management</w:t>
      </w:r>
    </w:p>
    <w:p w:rsidR="00FA6A77" w:rsidRPr="00D5126A" w:rsidRDefault="00FA6A77" w:rsidP="00D96278">
      <w:r w:rsidRPr="00D5126A">
        <w:t>The Local Government Act 2002 (the Act) requires the Council to manage its revenues, expenses, assets, liabilities, investments, and general financial dealings prudently and in a manner that promotes the current and future interests of the community. Ratepayer funds are largely managed as a by-product of managing revenues, expenses, assets, liabilities, investments, and general financial dealings.</w:t>
      </w:r>
    </w:p>
    <w:p w:rsidR="00FA6A77" w:rsidRPr="00D5126A" w:rsidRDefault="00FA6A77" w:rsidP="00D96278">
      <w:r w:rsidRPr="00D5126A">
        <w:lastRenderedPageBreak/>
        <w:t>The objective of managing these items is to achieve intergenerational equity, which is a principle promoted in the Act and applied by the Council. Intergenerational equity requires today’s ratepayers to meet the costs of utilising the Council’s assets but does not expect them to meet the full cost of long term assets that will benefit ratepayers in future generations. Additionally, the Council has asset management plans in place for major classes of assets, detailing renewal and programmed maintenance. These plans ensure ratepayers in future generations are not required to meet the costs of deferred renewals and maintenance.</w:t>
      </w:r>
    </w:p>
    <w:p w:rsidR="001015C5" w:rsidRPr="00D5126A" w:rsidRDefault="00FA6A77" w:rsidP="00D96278">
      <w:r w:rsidRPr="00D5126A">
        <w:t>The Act requires the Council to make adequate and effective provision in its Long-Term Plan (LTP) and in its Annual Plan (where applicable) to meet the expenditure needs identified in those plans. The Act sets out the factors that the Council is required to consider when determining the most appropriate sources of funding for each of its activities. The sources and levels of funding are set out in the funding and financia</w:t>
      </w:r>
      <w:bookmarkStart w:id="456" w:name="_Toc19092082"/>
      <w:r w:rsidR="001015C5" w:rsidRPr="00D5126A">
        <w:t>l policies in the Council’s LTP.</w:t>
      </w:r>
    </w:p>
    <w:p w:rsidR="002F2F92" w:rsidRPr="00D5126A" w:rsidRDefault="002F2F92" w:rsidP="00C6735C">
      <w:pPr>
        <w:pStyle w:val="Heading3"/>
      </w:pPr>
      <w:bookmarkStart w:id="457" w:name="_Toc23848720"/>
      <w:r w:rsidRPr="00D5126A">
        <w:rPr>
          <w:rStyle w:val="Heading3Char"/>
          <w:b/>
          <w:bCs/>
        </w:rPr>
        <w:lastRenderedPageBreak/>
        <w:t>Note 27: Revaluation reserves</w:t>
      </w:r>
      <w:bookmarkEnd w:id="457"/>
      <w:r w:rsidRPr="00D5126A">
        <w:t xml:space="preserve"> </w:t>
      </w:r>
    </w:p>
    <w:p w:rsidR="00A95DA6" w:rsidRDefault="00A95DA6" w:rsidP="00A95DA6">
      <w:pPr>
        <w:pStyle w:val="Caption"/>
      </w:pPr>
      <w:r>
        <w:t xml:space="preserve">Section 5 - Table </w:t>
      </w:r>
      <w:fldSimple w:instr=" SEQ Section_5_-_Table \* ARABIC ">
        <w:r w:rsidR="005908C4">
          <w:rPr>
            <w:noProof/>
          </w:rPr>
          <w:t>52</w:t>
        </w:r>
      </w:fldSimple>
      <w:r>
        <w:t xml:space="preserve">: </w:t>
      </w:r>
      <w:r w:rsidRPr="009B441D">
        <w:t>Revaluation reserves</w:t>
      </w:r>
    </w:p>
    <w:p w:rsidR="00FA6A77" w:rsidRPr="00D5126A" w:rsidRDefault="00FA6A77" w:rsidP="00FD3464">
      <w:pPr>
        <w:ind w:left="-426"/>
        <w:rPr>
          <w:rFonts w:eastAsia="MS Gothic"/>
          <w:iCs/>
          <w:sz w:val="36"/>
          <w:szCs w:val="28"/>
        </w:rPr>
      </w:pPr>
      <w:r w:rsidRPr="00D5126A">
        <w:rPr>
          <w:noProof/>
          <w:lang w:eastAsia="en-NZ"/>
        </w:rPr>
        <w:drawing>
          <wp:inline distT="0" distB="0" distL="0" distR="0" wp14:anchorId="0DC5665E" wp14:editId="68F4D7FF">
            <wp:extent cx="6182360" cy="7792085"/>
            <wp:effectExtent l="0" t="0" r="8890" b="0"/>
            <wp:docPr id="1398" name="Picture 1398" title="Section 5 - Table 52: Revaluation reser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6182360" cy="7792085"/>
                    </a:xfrm>
                    <a:prstGeom prst="rect">
                      <a:avLst/>
                    </a:prstGeom>
                    <a:noFill/>
                    <a:ln>
                      <a:noFill/>
                    </a:ln>
                  </pic:spPr>
                </pic:pic>
              </a:graphicData>
            </a:graphic>
          </wp:inline>
        </w:drawing>
      </w:r>
      <w:bookmarkEnd w:id="456"/>
    </w:p>
    <w:p w:rsidR="00EE4619" w:rsidRDefault="00EE4619">
      <w:r>
        <w:br w:type="page"/>
      </w:r>
    </w:p>
    <w:p w:rsidR="00FA6A77" w:rsidRPr="00D5126A" w:rsidRDefault="00A95DA6" w:rsidP="00D96278">
      <w:r>
        <w:lastRenderedPageBreak/>
        <w:t>Movements in the revaluation reserves are summarised in the following table.</w:t>
      </w:r>
    </w:p>
    <w:p w:rsidR="00A95DA6" w:rsidRDefault="00A95DA6" w:rsidP="00A95DA6">
      <w:pPr>
        <w:pStyle w:val="Caption"/>
      </w:pPr>
      <w:r>
        <w:t xml:space="preserve">Section 5 - Table </w:t>
      </w:r>
      <w:fldSimple w:instr=" SEQ Section_5_-_Table \* ARABIC ">
        <w:r w:rsidR="005908C4">
          <w:rPr>
            <w:noProof/>
          </w:rPr>
          <w:t>53</w:t>
        </w:r>
      </w:fldSimple>
      <w:r>
        <w:t>: Summary of revaluation reserve movements</w:t>
      </w:r>
    </w:p>
    <w:p w:rsidR="00FA6A77" w:rsidRPr="00D5126A" w:rsidRDefault="00FA6A77" w:rsidP="00FA6A77">
      <w:pPr>
        <w:pStyle w:val="Body"/>
      </w:pPr>
      <w:r w:rsidRPr="00D5126A">
        <w:rPr>
          <w:noProof/>
          <w:lang w:eastAsia="en-NZ"/>
        </w:rPr>
        <w:drawing>
          <wp:inline distT="0" distB="0" distL="0" distR="0" wp14:anchorId="140F4627" wp14:editId="29030AF4">
            <wp:extent cx="6191885" cy="655955"/>
            <wp:effectExtent l="0" t="0" r="0" b="0"/>
            <wp:docPr id="1397" name="Picture 1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6191885" cy="655955"/>
                    </a:xfrm>
                    <a:prstGeom prst="rect">
                      <a:avLst/>
                    </a:prstGeom>
                    <a:noFill/>
                    <a:ln>
                      <a:noFill/>
                    </a:ln>
                  </pic:spPr>
                </pic:pic>
              </a:graphicData>
            </a:graphic>
          </wp:inline>
        </w:drawing>
      </w:r>
      <w:r w:rsidRPr="00D5126A">
        <w:rPr>
          <w:noProof/>
          <w:lang w:eastAsia="en-NZ"/>
        </w:rPr>
        <w:drawing>
          <wp:inline distT="0" distB="0" distL="0" distR="0" wp14:anchorId="74C802BC" wp14:editId="381DED2B">
            <wp:extent cx="6162040" cy="1649730"/>
            <wp:effectExtent l="0" t="0" r="0" b="7620"/>
            <wp:docPr id="1396" name="Picture 1396" title="Section 5 - Table 53: Summary of revaluation reserve mov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6162040" cy="1649730"/>
                    </a:xfrm>
                    <a:prstGeom prst="rect">
                      <a:avLst/>
                    </a:prstGeom>
                    <a:noFill/>
                    <a:ln>
                      <a:noFill/>
                    </a:ln>
                  </pic:spPr>
                </pic:pic>
              </a:graphicData>
            </a:graphic>
          </wp:inline>
        </w:drawing>
      </w:r>
    </w:p>
    <w:p w:rsidR="00FA6A77" w:rsidRPr="00D5126A" w:rsidRDefault="00FA6A77" w:rsidP="00D96278">
      <w:r w:rsidRPr="00D5126A">
        <w:t xml:space="preserve">The revaluation reserves are used to record accumulated increases and decreases in the fair value of certain asset classes. The impairment of buildings relates to two earthquake prone Social Housing sites and Arlington site 1, which is subject to </w:t>
      </w:r>
      <w:r w:rsidR="00FD3464">
        <w:t>a signed</w:t>
      </w:r>
      <w:r w:rsidRPr="00D5126A">
        <w:t xml:space="preserve"> long-term lease agreement </w:t>
      </w:r>
      <w:r w:rsidR="00FD3464">
        <w:t xml:space="preserve">going unconditional </w:t>
      </w:r>
      <w:r w:rsidRPr="00D5126A">
        <w:t xml:space="preserve">and subsequent redevelopment by Housing NZ. </w:t>
      </w:r>
    </w:p>
    <w:p w:rsidR="00FA6A77" w:rsidRPr="00D5126A" w:rsidRDefault="00FA6A77" w:rsidP="00D96278">
      <w:r w:rsidRPr="00D5126A">
        <w:t>For the period ending 30 June 2019 Council has revalued its investment properties, which are revalued annually – refer to Note 17 – Investment properties, for more information</w:t>
      </w:r>
      <w:r w:rsidR="00FD3464">
        <w:t xml:space="preserve"> </w:t>
      </w:r>
      <w:r w:rsidR="00FD3464" w:rsidRPr="001764C5">
        <w:t xml:space="preserve">on page </w:t>
      </w:r>
      <w:r w:rsidR="001764C5" w:rsidRPr="001764C5">
        <w:t>250</w:t>
      </w:r>
      <w:r w:rsidRPr="00D5126A">
        <w:t>.</w:t>
      </w:r>
    </w:p>
    <w:p w:rsidR="00FA6A77" w:rsidRPr="00D5126A" w:rsidRDefault="00FA6A77" w:rsidP="00D96278">
      <w:r w:rsidRPr="00D5126A">
        <w:t>Revaluation movements are non-cash in nature and represent the restating of the Council’s assets, subject to revaluation, into current dollar values after taking into account the condition and remaining lives of the assets.</w:t>
      </w:r>
    </w:p>
    <w:p w:rsidR="00FA6A77" w:rsidRPr="00D5126A" w:rsidRDefault="00FA6A77" w:rsidP="002F2F92">
      <w:pPr>
        <w:pStyle w:val="Heading4"/>
      </w:pPr>
      <w:r w:rsidRPr="00D5126A">
        <w:t>Relevant significant accounting policies</w:t>
      </w:r>
    </w:p>
    <w:p w:rsidR="00FA6A77" w:rsidRPr="00D5126A" w:rsidRDefault="00FA6A77" w:rsidP="00D96278">
      <w:r w:rsidRPr="00D5126A">
        <w:t>The result of any revaluation of the Group’s property, plant and equipment is recognised within other comprehensive revenue and expense and taken to the asset revaluation reserve. Where this results in a debit balance in the reserve for a class of property, plant and equipment, the balance is included in the surplus or deficit. Any subsequent increase on revaluation that offsets a previous decrease in value recognised within surplus or deficit will be recognised firstly, within surplus or deficit up to the amount previously expensed, and with any remaining increase recognised within other comprehensive revenue and expense and in the revaluation reserve for that class of property, plant and equipment.</w:t>
      </w:r>
    </w:p>
    <w:p w:rsidR="00FA6A77" w:rsidRPr="00D5126A" w:rsidRDefault="00FA6A77" w:rsidP="00D96278">
      <w:r w:rsidRPr="00D5126A">
        <w:t>Any impairment in a revalued class of asset is recognised within other comprehensive revenue and expense and taken to the asset revaluation reserve.</w:t>
      </w:r>
    </w:p>
    <w:p w:rsidR="00FA6A77" w:rsidRPr="00D5126A" w:rsidRDefault="00FA6A77" w:rsidP="00D96278">
      <w:r w:rsidRPr="00D5126A">
        <w:t>Accumulated depreciation at the revaluation date is eliminated so that the carrying amount after revaluation equals the revalued amount.</w:t>
      </w:r>
    </w:p>
    <w:p w:rsidR="00FA6A77" w:rsidRPr="00D5126A" w:rsidRDefault="00FA6A77" w:rsidP="00D96278">
      <w:r w:rsidRPr="00D5126A">
        <w:t>While assumptions are used in all revaluations, the most significant of these are in infrastructure. For example where stormwater, wastewater and water supply pipes are underground, the physical deterioration and condition of assets are not visible and must therefore be estimated. Any revaluation risk is minimised by performing a combination of physical inspections and condition modelling assessments</w:t>
      </w:r>
    </w:p>
    <w:p w:rsidR="00FA6A77" w:rsidRPr="00D5126A" w:rsidRDefault="00FA6A77" w:rsidP="00D96278">
      <w:pPr>
        <w:pStyle w:val="Heading3"/>
      </w:pPr>
      <w:bookmarkStart w:id="458" w:name="_Toc19092083"/>
      <w:bookmarkStart w:id="459" w:name="_Toc23848721"/>
      <w:r w:rsidRPr="00D5126A">
        <w:lastRenderedPageBreak/>
        <w:t>Note 28: Hedging reserve</w:t>
      </w:r>
      <w:bookmarkEnd w:id="458"/>
      <w:bookmarkEnd w:id="459"/>
    </w:p>
    <w:p w:rsidR="00A95DA6" w:rsidRDefault="00A95DA6" w:rsidP="00A95DA6">
      <w:pPr>
        <w:pStyle w:val="Caption"/>
      </w:pPr>
      <w:r>
        <w:t xml:space="preserve">Section 5 - Table </w:t>
      </w:r>
      <w:fldSimple w:instr=" SEQ Section_5_-_Table \* ARABIC ">
        <w:r w:rsidR="005908C4">
          <w:rPr>
            <w:noProof/>
          </w:rPr>
          <w:t>54</w:t>
        </w:r>
      </w:fldSimple>
      <w:r>
        <w:t xml:space="preserve">: </w:t>
      </w:r>
      <w:r w:rsidRPr="00735200">
        <w:t>Hedging reserve</w:t>
      </w:r>
    </w:p>
    <w:p w:rsidR="00FA6A77" w:rsidRPr="00D5126A" w:rsidRDefault="00FA6A77" w:rsidP="00D96278">
      <w:pPr>
        <w:ind w:left="-284"/>
      </w:pPr>
      <w:r w:rsidRPr="00D5126A">
        <w:rPr>
          <w:noProof/>
          <w:lang w:eastAsia="en-NZ"/>
        </w:rPr>
        <w:drawing>
          <wp:inline distT="0" distB="0" distL="0" distR="0" wp14:anchorId="6F2062A9" wp14:editId="4875D7A5">
            <wp:extent cx="6191885" cy="1471295"/>
            <wp:effectExtent l="0" t="0" r="0" b="0"/>
            <wp:docPr id="1395" name="Picture 1395" title="Section 5 - Table 54: Hedging reser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6191885" cy="1471295"/>
                    </a:xfrm>
                    <a:prstGeom prst="rect">
                      <a:avLst/>
                    </a:prstGeom>
                    <a:noFill/>
                    <a:ln>
                      <a:noFill/>
                    </a:ln>
                  </pic:spPr>
                </pic:pic>
              </a:graphicData>
            </a:graphic>
          </wp:inline>
        </w:drawing>
      </w:r>
      <w:r w:rsidRPr="00D5126A">
        <w:t xml:space="preserve"> </w:t>
      </w:r>
    </w:p>
    <w:p w:rsidR="00FA6A77" w:rsidRPr="00D5126A" w:rsidRDefault="00FA6A77" w:rsidP="00D96278">
      <w:pPr>
        <w:rPr>
          <w:rFonts w:ascii="Arial" w:hAnsi="Arial" w:cs="Arial"/>
        </w:rPr>
      </w:pPr>
      <w:r w:rsidRPr="00D5126A">
        <w:rPr>
          <w:rFonts w:ascii="Arial" w:hAnsi="Arial" w:cs="Arial"/>
        </w:rPr>
        <w:t xml:space="preserve">The hedging reserve shows accumulated fair value changes for interest rate swaps which satisfy the criteria for hedge accounting and have operated as effective hedges during the period. </w:t>
      </w:r>
    </w:p>
    <w:p w:rsidR="00FA6A77" w:rsidRPr="00D5126A" w:rsidRDefault="00FA6A77" w:rsidP="00D96278">
      <w:pPr>
        <w:rPr>
          <w:rFonts w:ascii="Arial" w:hAnsi="Arial" w:cs="Arial"/>
        </w:rPr>
      </w:pPr>
      <w:r w:rsidRPr="00D5126A">
        <w:rPr>
          <w:rFonts w:ascii="Arial" w:hAnsi="Arial" w:cs="Arial"/>
        </w:rPr>
        <w:t xml:space="preserve">The Council uses interest rate swaps to fix interest rates on floating rate debt (floating rate notes and commercial paper) to give it certainty over interest costs.  </w:t>
      </w:r>
    </w:p>
    <w:p w:rsidR="00FA6A77" w:rsidRPr="00D5126A" w:rsidRDefault="00FA6A77" w:rsidP="00D96278">
      <w:pPr>
        <w:rPr>
          <w:rFonts w:ascii="Arial" w:hAnsi="Arial" w:cs="Arial"/>
        </w:rPr>
      </w:pPr>
      <w:r w:rsidRPr="00D5126A">
        <w:rPr>
          <w:rFonts w:ascii="Arial" w:hAnsi="Arial" w:cs="Arial"/>
        </w:rPr>
        <w:t>The Council uses hedge accounting to recognise any fair value fluctuations in these swaps through this reserve within equity. Using hedge accounting prevents any significant movement in interest rate exposure significantly affecting the Council’s ability to meet its balanced budget requirements</w:t>
      </w:r>
    </w:p>
    <w:p w:rsidR="00FA6A77" w:rsidRPr="00D5126A" w:rsidRDefault="00FA6A77" w:rsidP="00D96278">
      <w:r w:rsidRPr="00D5126A">
        <w:rPr>
          <w:rFonts w:ascii="Arial" w:hAnsi="Arial" w:cs="Arial"/>
        </w:rPr>
        <w:t>The Group movement reflects the hedging related to Wellington International Airport Limited.</w:t>
      </w:r>
    </w:p>
    <w:p w:rsidR="00FA6A77" w:rsidRPr="00D5126A" w:rsidRDefault="00FA6A77" w:rsidP="00D96278">
      <w:pPr>
        <w:pStyle w:val="Heading3"/>
      </w:pPr>
      <w:bookmarkStart w:id="460" w:name="_Toc19092084"/>
      <w:bookmarkStart w:id="461" w:name="_Toc23848722"/>
      <w:r w:rsidRPr="00D5126A">
        <w:t>Note 29: Fair value through other comprehensive revenue and expense reserve</w:t>
      </w:r>
      <w:bookmarkEnd w:id="460"/>
      <w:bookmarkEnd w:id="461"/>
    </w:p>
    <w:p w:rsidR="00A95DA6" w:rsidRDefault="00A95DA6" w:rsidP="00A95DA6">
      <w:pPr>
        <w:pStyle w:val="Caption"/>
      </w:pPr>
      <w:r>
        <w:t xml:space="preserve">Section 5 - Table </w:t>
      </w:r>
      <w:fldSimple w:instr=" SEQ Section_5_-_Table \* ARABIC ">
        <w:r w:rsidR="005908C4">
          <w:rPr>
            <w:noProof/>
          </w:rPr>
          <w:t>55</w:t>
        </w:r>
      </w:fldSimple>
      <w:r>
        <w:t xml:space="preserve">: </w:t>
      </w:r>
      <w:r w:rsidRPr="003E1D3B">
        <w:t>Fair value through other comprehensive revenue and expense reserve</w:t>
      </w:r>
    </w:p>
    <w:p w:rsidR="00FA6A77" w:rsidRPr="00D5126A" w:rsidRDefault="00FA6A77" w:rsidP="00D96278">
      <w:pPr>
        <w:ind w:left="-284"/>
      </w:pPr>
      <w:r w:rsidRPr="00D5126A">
        <w:rPr>
          <w:noProof/>
          <w:lang w:eastAsia="en-NZ"/>
        </w:rPr>
        <w:drawing>
          <wp:inline distT="0" distB="0" distL="0" distR="0" wp14:anchorId="6BDE9E25" wp14:editId="5665DD0A">
            <wp:extent cx="6142355" cy="2117090"/>
            <wp:effectExtent l="0" t="0" r="0" b="0"/>
            <wp:docPr id="1394" name="Picture 1394" title="Section 5 - Table 55: Fair value through other comprehensive revenue and expense reser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6142355" cy="2117090"/>
                    </a:xfrm>
                    <a:prstGeom prst="rect">
                      <a:avLst/>
                    </a:prstGeom>
                    <a:noFill/>
                    <a:ln>
                      <a:noFill/>
                    </a:ln>
                  </pic:spPr>
                </pic:pic>
              </a:graphicData>
            </a:graphic>
          </wp:inline>
        </w:drawing>
      </w:r>
    </w:p>
    <w:p w:rsidR="00FA6A77" w:rsidRPr="00D5126A" w:rsidRDefault="00FA6A77" w:rsidP="00D96278">
      <w:r w:rsidRPr="00D5126A">
        <w:t xml:space="preserve">This reserve reflects the accumulated fair value movement in the Council’s investment in Civic Financial Services Limited (Civic) and the Local Government Funding Agency. The decrease in the Civic investment is due to the payment of a special dividend following the sale of Civic Assurance House. For further information on equity investments refer to Note 14: Other financial assets </w:t>
      </w:r>
      <w:r w:rsidR="00D96278" w:rsidRPr="00D5126A">
        <w:rPr>
          <w:rFonts w:ascii="Arial" w:hAnsi="Arial" w:cs="Arial"/>
          <w:color w:val="333333"/>
          <w:lang w:eastAsia="en-GB"/>
        </w:rPr>
        <w:t>(</w:t>
      </w:r>
      <w:r w:rsidR="00D96278" w:rsidRPr="001764C5">
        <w:rPr>
          <w:rFonts w:ascii="Arial" w:hAnsi="Arial" w:cs="Arial"/>
          <w:color w:val="333333"/>
          <w:lang w:eastAsia="en-GB"/>
        </w:rPr>
        <w:t xml:space="preserve">page </w:t>
      </w:r>
      <w:r w:rsidR="001764C5" w:rsidRPr="001764C5">
        <w:rPr>
          <w:rFonts w:ascii="Arial" w:hAnsi="Arial" w:cs="Arial"/>
          <w:color w:val="333333"/>
          <w:lang w:eastAsia="en-GB"/>
        </w:rPr>
        <w:t>245</w:t>
      </w:r>
      <w:r w:rsidR="00D96278" w:rsidRPr="001764C5">
        <w:rPr>
          <w:rFonts w:ascii="Arial" w:hAnsi="Arial" w:cs="Arial"/>
          <w:color w:val="333333"/>
          <w:lang w:eastAsia="en-GB"/>
        </w:rPr>
        <w:t>)</w:t>
      </w:r>
      <w:r w:rsidRPr="001764C5">
        <w:t>.</w:t>
      </w:r>
    </w:p>
    <w:p w:rsidR="00FA6A77" w:rsidRPr="00D5126A" w:rsidRDefault="00FA6A77" w:rsidP="00D96278">
      <w:r w:rsidRPr="00D5126A">
        <w:t>In the Group, Creative HQ, a controlled entity of WREDA, has small shareholdings in incubator and accelerator programme companies. These shareholdings are fair valued annually and any movement is held within this reserve until the disposal of the shares.</w:t>
      </w:r>
    </w:p>
    <w:p w:rsidR="00FA6A77" w:rsidRPr="00D5126A" w:rsidRDefault="00FA6A77" w:rsidP="00D96278">
      <w:pPr>
        <w:pStyle w:val="Heading3"/>
      </w:pPr>
      <w:bookmarkStart w:id="462" w:name="_Toc19092085"/>
      <w:bookmarkStart w:id="463" w:name="_Toc23848723"/>
      <w:r w:rsidRPr="00D5126A">
        <w:lastRenderedPageBreak/>
        <w:t>Note 30: Restricted funds</w:t>
      </w:r>
      <w:bookmarkEnd w:id="462"/>
      <w:bookmarkEnd w:id="463"/>
    </w:p>
    <w:p w:rsidR="00FA6A77" w:rsidRPr="00D5126A" w:rsidRDefault="00FA6A77" w:rsidP="00D96278">
      <w:pPr>
        <w:jc w:val="both"/>
        <w:rPr>
          <w:rFonts w:ascii="Arial" w:eastAsia="Times New Roman" w:hAnsi="Arial" w:cs="Arial"/>
        </w:rPr>
      </w:pPr>
      <w:r w:rsidRPr="00D5126A">
        <w:rPr>
          <w:rFonts w:ascii="Arial" w:hAnsi="Arial" w:cs="Arial"/>
        </w:rPr>
        <w:t>Restricted funds are comprised of special reserves and funds that Council holds for specific purposes and trusts and bequests that have been bestowed upon the Council for the benefit of all Wellingtonians.</w:t>
      </w:r>
    </w:p>
    <w:p w:rsidR="00A95DA6" w:rsidRDefault="00A95DA6" w:rsidP="00A95DA6">
      <w:pPr>
        <w:pStyle w:val="Caption"/>
      </w:pPr>
      <w:r>
        <w:t xml:space="preserve">Section 5 - Table </w:t>
      </w:r>
      <w:fldSimple w:instr=" SEQ Section_5_-_Table \* ARABIC ">
        <w:r w:rsidR="005908C4">
          <w:rPr>
            <w:noProof/>
          </w:rPr>
          <w:t>56</w:t>
        </w:r>
      </w:fldSimple>
      <w:r>
        <w:t xml:space="preserve">: </w:t>
      </w:r>
      <w:r w:rsidRPr="00D87C15">
        <w:t>Restricted funds</w:t>
      </w:r>
    </w:p>
    <w:p w:rsidR="00FA6A77" w:rsidRPr="00D5126A" w:rsidRDefault="00FA6A77" w:rsidP="00730CFB">
      <w:pPr>
        <w:ind w:left="-284"/>
        <w:rPr>
          <w:rFonts w:eastAsia="Times New Roman"/>
        </w:rPr>
      </w:pPr>
      <w:r w:rsidRPr="00D5126A">
        <w:rPr>
          <w:noProof/>
          <w:lang w:eastAsia="en-NZ"/>
        </w:rPr>
        <w:drawing>
          <wp:inline distT="0" distB="0" distL="0" distR="0" wp14:anchorId="1CDD9C2E" wp14:editId="7CBD587D">
            <wp:extent cx="6191885" cy="1301750"/>
            <wp:effectExtent l="0" t="0" r="0" b="0"/>
            <wp:docPr id="1393" name="Picture 1393" title="Section 5 - Table 56: Restricted fu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6191885" cy="1301750"/>
                    </a:xfrm>
                    <a:prstGeom prst="rect">
                      <a:avLst/>
                    </a:prstGeom>
                    <a:noFill/>
                    <a:ln>
                      <a:noFill/>
                    </a:ln>
                  </pic:spPr>
                </pic:pic>
              </a:graphicData>
            </a:graphic>
          </wp:inline>
        </w:drawing>
      </w:r>
    </w:p>
    <w:p w:rsidR="00A95DA6" w:rsidRDefault="00A95DA6" w:rsidP="00A95DA6">
      <w:pPr>
        <w:pStyle w:val="Caption"/>
      </w:pPr>
      <w:r>
        <w:t xml:space="preserve">Section 5 - Table </w:t>
      </w:r>
      <w:fldSimple w:instr=" SEQ Section_5_-_Table \* ARABIC ">
        <w:r w:rsidR="005908C4">
          <w:rPr>
            <w:noProof/>
          </w:rPr>
          <w:t>57</w:t>
        </w:r>
      </w:fldSimple>
      <w:r>
        <w:t>: Special reserves and</w:t>
      </w:r>
      <w:r w:rsidRPr="00485BA3">
        <w:t xml:space="preserve"> funds</w:t>
      </w:r>
    </w:p>
    <w:p w:rsidR="00FA6A77" w:rsidRPr="00D5126A" w:rsidRDefault="00FA6A77" w:rsidP="00730CFB">
      <w:pPr>
        <w:ind w:left="-284"/>
      </w:pPr>
      <w:r w:rsidRPr="00D5126A">
        <w:rPr>
          <w:noProof/>
          <w:lang w:eastAsia="en-NZ"/>
        </w:rPr>
        <w:drawing>
          <wp:inline distT="0" distB="0" distL="0" distR="0" wp14:anchorId="06F8B411" wp14:editId="0E209F02">
            <wp:extent cx="6191885" cy="2296160"/>
            <wp:effectExtent l="0" t="0" r="0" b="8890"/>
            <wp:docPr id="1392" name="Picture 1392" title="Section 5 - Table 57: Special reserves and fu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6191885" cy="2296160"/>
                    </a:xfrm>
                    <a:prstGeom prst="rect">
                      <a:avLst/>
                    </a:prstGeom>
                    <a:noFill/>
                    <a:ln>
                      <a:noFill/>
                    </a:ln>
                  </pic:spPr>
                </pic:pic>
              </a:graphicData>
            </a:graphic>
          </wp:inline>
        </w:drawing>
      </w:r>
    </w:p>
    <w:p w:rsidR="00FA6A77" w:rsidRPr="00D5126A" w:rsidRDefault="00FA6A77" w:rsidP="00D96278">
      <w:pPr>
        <w:pStyle w:val="Heading4"/>
      </w:pPr>
      <w:r w:rsidRPr="00D5126A">
        <w:t>Nature and purpose, funding and utilisation</w:t>
      </w:r>
    </w:p>
    <w:p w:rsidR="00FA6A77" w:rsidRPr="00D5126A" w:rsidRDefault="00FA6A77" w:rsidP="00D96278">
      <w:pPr>
        <w:pStyle w:val="Heading5"/>
      </w:pPr>
      <w:r w:rsidRPr="00D5126A">
        <w:t xml:space="preserve">City growth fund </w:t>
      </w:r>
    </w:p>
    <w:p w:rsidR="00FA6A77" w:rsidRPr="00D5126A" w:rsidRDefault="00FA6A77" w:rsidP="00D96278">
      <w:pPr>
        <w:autoSpaceDE w:val="0"/>
        <w:autoSpaceDN w:val="0"/>
        <w:adjustRightInd w:val="0"/>
        <w:jc w:val="both"/>
        <w:rPr>
          <w:rFonts w:ascii="Arial" w:hAnsi="Arial" w:cs="Arial"/>
        </w:rPr>
      </w:pPr>
      <w:r w:rsidRPr="00D5126A">
        <w:rPr>
          <w:rFonts w:ascii="Arial" w:hAnsi="Arial" w:cs="Arial"/>
        </w:rPr>
        <w:t xml:space="preserve">This fund is part of an integrated approach to fostering growth in the economy. Funding of $1.75m (2018: $3m) was provided from previous surpluses and $1.603m was utilised during the year. </w:t>
      </w:r>
    </w:p>
    <w:p w:rsidR="00FA6A77" w:rsidRPr="00D5126A" w:rsidRDefault="00FA6A77" w:rsidP="00D96278">
      <w:pPr>
        <w:pStyle w:val="Heading5"/>
      </w:pPr>
      <w:r w:rsidRPr="00D5126A">
        <w:t>Reserve purchase and development fund</w:t>
      </w:r>
    </w:p>
    <w:p w:rsidR="00FA6A77" w:rsidRPr="00D5126A" w:rsidRDefault="00FA6A77" w:rsidP="00D96278">
      <w:pPr>
        <w:jc w:val="both"/>
        <w:rPr>
          <w:rFonts w:ascii="Arial" w:hAnsi="Arial" w:cs="Arial"/>
        </w:rPr>
      </w:pPr>
      <w:r w:rsidRPr="00D5126A">
        <w:rPr>
          <w:rFonts w:ascii="Arial" w:hAnsi="Arial" w:cs="Arial"/>
        </w:rPr>
        <w:t>This fund is used to purchase and develop reserve areas within the city. During the year no purchases were made.</w:t>
      </w:r>
    </w:p>
    <w:p w:rsidR="00FA6A77" w:rsidRPr="00D5126A" w:rsidRDefault="00FA6A77" w:rsidP="00D96278">
      <w:pPr>
        <w:pStyle w:val="Heading5"/>
      </w:pPr>
      <w:r w:rsidRPr="00D5126A">
        <w:t>Insurance reserve</w:t>
      </w:r>
    </w:p>
    <w:p w:rsidR="00FA6A77" w:rsidRPr="00D5126A" w:rsidRDefault="00FA6A77" w:rsidP="00D96278">
      <w:pPr>
        <w:jc w:val="both"/>
        <w:rPr>
          <w:rFonts w:ascii="Arial" w:hAnsi="Arial" w:cs="Arial"/>
        </w:rPr>
      </w:pPr>
      <w:r w:rsidRPr="00D5126A">
        <w:rPr>
          <w:rFonts w:ascii="Arial" w:hAnsi="Arial" w:cs="Arial"/>
        </w:rPr>
        <w:t xml:space="preserve">This reserve came into effect in 2001 and allows the Council to meet the cost of claims that fall below deductible limits under Council’s insurance policies. Annual additions to the reserve of $1.500m (2018: $1.500m) are funded through rates as identified in the Annual Plan. During the year $1.708m (2018: $2.750m) was used to meet under-excess insurance costs. Of this, </w:t>
      </w:r>
      <w:r w:rsidRPr="00D5126A">
        <w:rPr>
          <w:rFonts w:eastAsia="MS Gothic"/>
        </w:rPr>
        <w:t>$1.064m (2018: $2.026m) related to earthquake repairs and relocation costs</w:t>
      </w:r>
    </w:p>
    <w:p w:rsidR="00FA6A77" w:rsidRPr="00D5126A" w:rsidRDefault="00FA6A77" w:rsidP="00D96278">
      <w:pPr>
        <w:pStyle w:val="Heading5"/>
      </w:pPr>
      <w:r w:rsidRPr="00D5126A">
        <w:t>Controlled entities’ reserve funds</w:t>
      </w:r>
    </w:p>
    <w:p w:rsidR="00FA6A77" w:rsidRPr="00D5126A" w:rsidRDefault="00FA6A77" w:rsidP="00D96278">
      <w:pPr>
        <w:jc w:val="both"/>
        <w:rPr>
          <w:rFonts w:ascii="Arial" w:hAnsi="Arial" w:cs="Arial"/>
        </w:rPr>
      </w:pPr>
      <w:r w:rsidRPr="00D5126A">
        <w:rPr>
          <w:rFonts w:ascii="Arial" w:hAnsi="Arial" w:cs="Arial"/>
        </w:rPr>
        <w:t>The restricted funds of the controlled entities relate to the Wellington Museums Trust and the Wellington Zoo Trust:</w:t>
      </w:r>
    </w:p>
    <w:p w:rsidR="00FA6A77" w:rsidRPr="00D5126A" w:rsidRDefault="00FA6A77" w:rsidP="002C7BF8">
      <w:pPr>
        <w:numPr>
          <w:ilvl w:val="0"/>
          <w:numId w:val="40"/>
        </w:numPr>
        <w:tabs>
          <w:tab w:val="clear" w:pos="1800"/>
          <w:tab w:val="num" w:pos="-360"/>
          <w:tab w:val="num" w:pos="7920"/>
        </w:tabs>
        <w:spacing w:after="0" w:line="240" w:lineRule="auto"/>
        <w:ind w:left="360"/>
        <w:jc w:val="both"/>
        <w:rPr>
          <w:rFonts w:ascii="Arial" w:hAnsi="Arial" w:cs="Arial"/>
        </w:rPr>
      </w:pPr>
      <w:r w:rsidRPr="00D5126A">
        <w:rPr>
          <w:rFonts w:ascii="Arial" w:hAnsi="Arial" w:cs="Arial"/>
        </w:rPr>
        <w:lastRenderedPageBreak/>
        <w:t>The Wellington Museums Trust has six reserves; a Capital reserve, a Capital E reserve, a Nairn Street Cottage collection reserve, a Wellington Museums collection reserve, a City Gallery reserve and a Wellington Museum Plimmer reserve.  The two collection reserves are for the purpose of future museum acquisitions.</w:t>
      </w:r>
    </w:p>
    <w:p w:rsidR="00FA6A77" w:rsidRPr="00D5126A" w:rsidRDefault="00FA6A77" w:rsidP="002C7BF8">
      <w:pPr>
        <w:numPr>
          <w:ilvl w:val="0"/>
          <w:numId w:val="40"/>
        </w:numPr>
        <w:tabs>
          <w:tab w:val="clear" w:pos="1800"/>
          <w:tab w:val="num" w:pos="1080"/>
          <w:tab w:val="num" w:pos="7920"/>
        </w:tabs>
        <w:spacing w:after="0" w:line="240" w:lineRule="auto"/>
        <w:ind w:left="360"/>
        <w:jc w:val="both"/>
        <w:rPr>
          <w:rFonts w:ascii="Arial" w:hAnsi="Arial" w:cs="Arial"/>
        </w:rPr>
      </w:pPr>
      <w:r w:rsidRPr="00D5126A">
        <w:rPr>
          <w:rFonts w:ascii="Arial" w:hAnsi="Arial" w:cs="Arial"/>
        </w:rPr>
        <w:t>The Wellington Zoo Trust has two reserves; an Animal Transfer Fund specifically for the transfer of animals and a Conservation Fund to specifically support field conservation.</w:t>
      </w:r>
    </w:p>
    <w:p w:rsidR="00FA6A77" w:rsidRPr="00D5126A" w:rsidRDefault="00FA6A77" w:rsidP="00D96278">
      <w:pPr>
        <w:pStyle w:val="Heading4"/>
        <w:rPr>
          <w:lang w:eastAsia="en-GB"/>
        </w:rPr>
      </w:pPr>
      <w:r w:rsidRPr="00D5126A">
        <w:rPr>
          <w:lang w:eastAsia="en-GB"/>
        </w:rPr>
        <w:t>Analysis of movements in trusts and bequests</w:t>
      </w:r>
    </w:p>
    <w:p w:rsidR="00FA6A77" w:rsidRPr="00D5126A" w:rsidRDefault="00FA6A77" w:rsidP="003631E3">
      <w:pPr>
        <w:pStyle w:val="Heading6"/>
      </w:pPr>
      <w:r w:rsidRPr="00D5126A">
        <w:t>Additional Funds and utilisation</w:t>
      </w:r>
    </w:p>
    <w:p w:rsidR="00FA6A77" w:rsidRPr="00D5126A" w:rsidRDefault="00FA6A77" w:rsidP="00D96278">
      <w:pPr>
        <w:tabs>
          <w:tab w:val="num" w:pos="7920"/>
        </w:tabs>
        <w:jc w:val="both"/>
        <w:rPr>
          <w:rFonts w:ascii="Arial" w:hAnsi="Arial" w:cs="Arial"/>
        </w:rPr>
      </w:pPr>
      <w:r w:rsidRPr="00D5126A">
        <w:rPr>
          <w:rFonts w:ascii="Arial" w:hAnsi="Arial" w:cs="Arial"/>
        </w:rPr>
        <w:t>Trusts and bequests receiving additional funds during the year were only those where interest totalling $0.017m (2018: $0.018m) has been applied in accordance with the original terms and conditions. No funds were utilised during the year.</w:t>
      </w:r>
    </w:p>
    <w:p w:rsidR="00FA6A77" w:rsidRPr="00D5126A" w:rsidRDefault="00FA6A77" w:rsidP="00D96278">
      <w:pPr>
        <w:pStyle w:val="Heading5"/>
        <w:rPr>
          <w:lang w:eastAsia="en-GB"/>
        </w:rPr>
      </w:pPr>
      <w:r w:rsidRPr="00D5126A">
        <w:rPr>
          <w:lang w:eastAsia="en-GB"/>
        </w:rPr>
        <w:t>Nature and purpose</w:t>
      </w:r>
    </w:p>
    <w:p w:rsidR="00FA6A77" w:rsidRPr="00D5126A" w:rsidRDefault="00FA6A77" w:rsidP="00D96278">
      <w:pPr>
        <w:jc w:val="both"/>
        <w:rPr>
          <w:rFonts w:ascii="Arial" w:hAnsi="Arial" w:cs="Arial"/>
        </w:rPr>
      </w:pPr>
      <w:r w:rsidRPr="00D5126A">
        <w:rPr>
          <w:rFonts w:ascii="Arial" w:hAnsi="Arial" w:cs="Arial"/>
        </w:rPr>
        <w:t>The Council’s bequests and trusts have been generally provided for library, educational or environmental purposes.</w:t>
      </w:r>
    </w:p>
    <w:p w:rsidR="00FA6A77" w:rsidRPr="00D5126A" w:rsidRDefault="00FA6A77" w:rsidP="00D96278">
      <w:pPr>
        <w:tabs>
          <w:tab w:val="num" w:pos="7920"/>
        </w:tabs>
        <w:jc w:val="both"/>
        <w:rPr>
          <w:rFonts w:ascii="Arial" w:hAnsi="Arial" w:cs="Arial"/>
        </w:rPr>
      </w:pPr>
      <w:r w:rsidRPr="00D5126A">
        <w:rPr>
          <w:rFonts w:ascii="Arial" w:hAnsi="Arial" w:cs="Arial"/>
        </w:rPr>
        <w:t xml:space="preserve">The Wellington Zoo Trust has a number of bequests, trusts and capital grants made to it for specific purposes, which are held as restricted funds until utilised. Further information on these can be found in the Wellington Zoo Trust annual report published on their website – </w:t>
      </w:r>
      <w:hyperlink r:id="rId130" w:history="1">
        <w:r w:rsidRPr="00D5126A">
          <w:rPr>
            <w:rStyle w:val="Hyperlink"/>
          </w:rPr>
          <w:t>https://wellingtonzoo.com/about-us/about-our-zoo/</w:t>
        </w:r>
      </w:hyperlink>
    </w:p>
    <w:p w:rsidR="00FA6A77" w:rsidRPr="00D5126A" w:rsidRDefault="00FA6A77" w:rsidP="00D96278">
      <w:pPr>
        <w:pStyle w:val="Heading5"/>
        <w:rPr>
          <w:sz w:val="24"/>
          <w:szCs w:val="28"/>
        </w:rPr>
      </w:pPr>
      <w:r w:rsidRPr="00D5126A">
        <w:rPr>
          <w:b/>
        </w:rPr>
        <w:t>Charles Plimmer Bequest</w:t>
      </w:r>
    </w:p>
    <w:p w:rsidR="00FA6A77" w:rsidRPr="00D5126A" w:rsidRDefault="00FA6A77" w:rsidP="00FA6A77">
      <w:pPr>
        <w:rPr>
          <w:rFonts w:ascii="Arial" w:hAnsi="Arial" w:cs="Arial"/>
        </w:rPr>
      </w:pPr>
      <w:r w:rsidRPr="00D5126A">
        <w:rPr>
          <w:rFonts w:ascii="Arial" w:hAnsi="Arial" w:cs="Arial"/>
        </w:rPr>
        <w:t xml:space="preserve">This bequest is held and administered by the Public Trust and is primarily used for major beautification projects. As the sole beneficiary, Wellington City Council applies for distribution of available funds for particular projects after consultation with the Plimmer family. The receipt and use of these funds is disclosed separately to record the generous contribution the bequest makes to the benefit of the city. </w:t>
      </w:r>
    </w:p>
    <w:p w:rsidR="00FA6A77" w:rsidRPr="00D5126A" w:rsidRDefault="00FA6A77" w:rsidP="00FA6A77">
      <w:pPr>
        <w:rPr>
          <w:rFonts w:ascii="Arial" w:hAnsi="Arial" w:cs="Arial"/>
        </w:rPr>
      </w:pPr>
      <w:r w:rsidRPr="00D5126A">
        <w:rPr>
          <w:rFonts w:ascii="Arial" w:hAnsi="Arial" w:cs="Arial"/>
        </w:rPr>
        <w:t>The value of the funds held by the Public Trust is approximately $16.680m (2018: $16.303m) but the distributions to the beneficiary are only available from an agreed percentage of revenue generated. The distributions are only drawn down as required.</w:t>
      </w:r>
    </w:p>
    <w:p w:rsidR="00FA6A77" w:rsidRPr="00D5126A" w:rsidRDefault="00FA6A77" w:rsidP="00FA6A77">
      <w:pPr>
        <w:rPr>
          <w:rFonts w:ascii="Arial" w:hAnsi="Arial" w:cs="Arial"/>
        </w:rPr>
      </w:pPr>
      <w:r w:rsidRPr="00D5126A">
        <w:rPr>
          <w:rFonts w:ascii="Arial" w:hAnsi="Arial" w:cs="Arial"/>
        </w:rPr>
        <w:t>During the year:</w:t>
      </w:r>
    </w:p>
    <w:p w:rsidR="00FA6A77" w:rsidRPr="00D5126A" w:rsidRDefault="00FA6A77" w:rsidP="002C7BF8">
      <w:pPr>
        <w:pStyle w:val="ListParagraph"/>
        <w:numPr>
          <w:ilvl w:val="0"/>
          <w:numId w:val="36"/>
        </w:numPr>
        <w:tabs>
          <w:tab w:val="num" w:pos="-360"/>
        </w:tabs>
        <w:spacing w:after="0" w:line="240" w:lineRule="auto"/>
        <w:rPr>
          <w:rFonts w:ascii="Arial" w:hAnsi="Arial" w:cs="Arial"/>
        </w:rPr>
      </w:pPr>
      <w:r w:rsidRPr="00D5126A">
        <w:rPr>
          <w:rFonts w:ascii="Arial" w:hAnsi="Arial" w:cs="Arial"/>
        </w:rPr>
        <w:t>Distributions recognised as revenue - $nil</w:t>
      </w:r>
    </w:p>
    <w:p w:rsidR="00FA6A77" w:rsidRPr="00D5126A" w:rsidRDefault="00FA6A77" w:rsidP="002C7BF8">
      <w:pPr>
        <w:pStyle w:val="ListParagraph"/>
        <w:numPr>
          <w:ilvl w:val="0"/>
          <w:numId w:val="36"/>
        </w:numPr>
        <w:tabs>
          <w:tab w:val="num" w:pos="-360"/>
        </w:tabs>
        <w:spacing w:after="0" w:line="240" w:lineRule="auto"/>
        <w:rPr>
          <w:rFonts w:ascii="Arial" w:hAnsi="Arial" w:cs="Arial"/>
        </w:rPr>
      </w:pPr>
      <w:r w:rsidRPr="00D5126A">
        <w:rPr>
          <w:rFonts w:ascii="Arial" w:hAnsi="Arial" w:cs="Arial"/>
        </w:rPr>
        <w:t>Funds utilised towards the Newlands Park upgrade - $nil, but $1.530m is expected to be spent over the next two years.</w:t>
      </w:r>
    </w:p>
    <w:p w:rsidR="00D96278" w:rsidRPr="00D5126A" w:rsidRDefault="00D96278">
      <w:pPr>
        <w:rPr>
          <w:rFonts w:asciiTheme="majorHAnsi" w:eastAsiaTheme="majorEastAsia" w:hAnsiTheme="majorHAnsi"/>
          <w:b/>
          <w:bCs/>
          <w:color w:val="1F497D" w:themeColor="text2"/>
          <w:sz w:val="40"/>
          <w:szCs w:val="40"/>
        </w:rPr>
      </w:pPr>
      <w:r w:rsidRPr="00D5126A">
        <w:br w:type="page"/>
      </w:r>
    </w:p>
    <w:p w:rsidR="00FA6A77" w:rsidRPr="00D5126A" w:rsidRDefault="00FA6A77" w:rsidP="00FA6A77">
      <w:pPr>
        <w:pStyle w:val="Heading2"/>
        <w:rPr>
          <w:rFonts w:eastAsia="MS Gothic"/>
          <w:iCs/>
          <w:sz w:val="36"/>
          <w:szCs w:val="28"/>
        </w:rPr>
      </w:pPr>
      <w:bookmarkStart w:id="464" w:name="_Toc23758625"/>
      <w:bookmarkStart w:id="465" w:name="_Toc23848724"/>
      <w:r w:rsidRPr="00D5126A">
        <w:lastRenderedPageBreak/>
        <w:t xml:space="preserve">Statement of </w:t>
      </w:r>
      <w:r w:rsidR="00C6735C" w:rsidRPr="00D5126A">
        <w:t>Cash F</w:t>
      </w:r>
      <w:r w:rsidRPr="00D5126A">
        <w:t>lows</w:t>
      </w:r>
      <w:bookmarkEnd w:id="464"/>
      <w:bookmarkEnd w:id="465"/>
    </w:p>
    <w:p w:rsidR="00FA6A77" w:rsidRPr="00D5126A" w:rsidRDefault="00FA6A77" w:rsidP="00C6735C">
      <w:pPr>
        <w:pStyle w:val="Heading5"/>
      </w:pPr>
      <w:r w:rsidRPr="00D5126A">
        <w:t>For the year ending 30 June 2019</w:t>
      </w:r>
    </w:p>
    <w:p w:rsidR="00FA6A77" w:rsidRPr="00D5126A" w:rsidRDefault="00FA6A77" w:rsidP="00730CFB">
      <w:pPr>
        <w:ind w:left="-284"/>
      </w:pPr>
      <w:r w:rsidRPr="00D5126A">
        <w:rPr>
          <w:noProof/>
          <w:lang w:eastAsia="en-NZ"/>
        </w:rPr>
        <w:drawing>
          <wp:inline distT="0" distB="0" distL="0" distR="0" wp14:anchorId="1480D75C" wp14:editId="2DD2B0C6">
            <wp:extent cx="6102350" cy="7355205"/>
            <wp:effectExtent l="0" t="0" r="0" b="0"/>
            <wp:docPr id="1391" name="Picture 1391" title="Statement of Cash Fl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6102350" cy="7355205"/>
                    </a:xfrm>
                    <a:prstGeom prst="rect">
                      <a:avLst/>
                    </a:prstGeom>
                    <a:noFill/>
                    <a:ln>
                      <a:noFill/>
                    </a:ln>
                  </pic:spPr>
                </pic:pic>
              </a:graphicData>
            </a:graphic>
          </wp:inline>
        </w:drawing>
      </w:r>
    </w:p>
    <w:p w:rsidR="00FA6A77" w:rsidRPr="00D5126A" w:rsidRDefault="00FA6A77" w:rsidP="00FA6A77">
      <w:pPr>
        <w:rPr>
          <w:rFonts w:ascii="Arial" w:hAnsi="Arial" w:cs="Arial"/>
          <w:color w:val="333333"/>
          <w:lang w:eastAsia="en-GB"/>
        </w:rPr>
      </w:pPr>
      <w:r w:rsidRPr="00D5126A">
        <w:rPr>
          <w:rFonts w:ascii="Arial" w:hAnsi="Arial" w:cs="Arial"/>
          <w:color w:val="333333"/>
          <w:lang w:eastAsia="en-GB"/>
        </w:rPr>
        <w:t>The cash and cash equivalents balance above equates to the cash and cash equivalents balance in the Statement of Financial Position.</w:t>
      </w:r>
    </w:p>
    <w:p w:rsidR="00FA6A77" w:rsidRPr="00D5126A" w:rsidRDefault="00FA6A77" w:rsidP="00C6735C">
      <w:pPr>
        <w:rPr>
          <w:lang w:eastAsia="en-GB"/>
        </w:rPr>
      </w:pPr>
      <w:r w:rsidRPr="00D5126A">
        <w:rPr>
          <w:lang w:eastAsia="en-GB"/>
        </w:rPr>
        <w:t xml:space="preserve">The notes </w:t>
      </w:r>
      <w:r w:rsidR="00C6735C" w:rsidRPr="00D5126A">
        <w:rPr>
          <w:lang w:eastAsia="en-GB"/>
        </w:rPr>
        <w:t>from</w:t>
      </w:r>
      <w:r w:rsidRPr="00D5126A">
        <w:rPr>
          <w:lang w:eastAsia="en-GB"/>
        </w:rPr>
        <w:t xml:space="preserve"> pages </w:t>
      </w:r>
      <w:r w:rsidR="001764C5" w:rsidRPr="001764C5">
        <w:rPr>
          <w:lang w:eastAsia="en-GB"/>
        </w:rPr>
        <w:t>225</w:t>
      </w:r>
      <w:r w:rsidR="00C6735C" w:rsidRPr="001764C5">
        <w:rPr>
          <w:lang w:eastAsia="en-GB"/>
        </w:rPr>
        <w:t xml:space="preserve"> to </w:t>
      </w:r>
      <w:r w:rsidR="001764C5" w:rsidRPr="001764C5">
        <w:rPr>
          <w:lang w:eastAsia="en-GB"/>
        </w:rPr>
        <w:t>312</w:t>
      </w:r>
      <w:r w:rsidRPr="00D5126A">
        <w:rPr>
          <w:lang w:eastAsia="en-GB"/>
        </w:rPr>
        <w:t xml:space="preserve"> form part of and should be read in conjunction with the financial statements.</w:t>
      </w:r>
    </w:p>
    <w:p w:rsidR="00FA6A77" w:rsidRPr="00D5126A" w:rsidRDefault="00FA6A77" w:rsidP="00FA6A77">
      <w:pPr>
        <w:jc w:val="both"/>
        <w:rPr>
          <w:rFonts w:ascii="Arial" w:hAnsi="Arial"/>
          <w:szCs w:val="20"/>
        </w:rPr>
      </w:pPr>
      <w:r w:rsidRPr="00D5126A">
        <w:rPr>
          <w:rFonts w:ascii="Arial" w:hAnsi="Arial"/>
          <w:szCs w:val="20"/>
        </w:rPr>
        <w:lastRenderedPageBreak/>
        <w:t xml:space="preserve">Wellington City Council acts as a collection agency for Greater Wellington Regional Council (GWRC) by including additional rates and levies in its own billing process. Once collected, the monies are passed to GWRC. The budget assumes that the inflows and outflows will offset each other and are shown as </w:t>
      </w:r>
      <w:proofErr w:type="gramStart"/>
      <w:r w:rsidRPr="00D5126A">
        <w:rPr>
          <w:rFonts w:ascii="Arial" w:hAnsi="Arial"/>
          <w:szCs w:val="20"/>
        </w:rPr>
        <w:t>nil</w:t>
      </w:r>
      <w:proofErr w:type="gramEnd"/>
      <w:r w:rsidRPr="00D5126A">
        <w:rPr>
          <w:rFonts w:ascii="Arial" w:hAnsi="Arial"/>
          <w:szCs w:val="20"/>
        </w:rPr>
        <w:t xml:space="preserve"> accordingly.</w:t>
      </w:r>
    </w:p>
    <w:p w:rsidR="00FA6A77" w:rsidRPr="00D5126A" w:rsidRDefault="00FA6A77" w:rsidP="00FA6A77">
      <w:pPr>
        <w:jc w:val="both"/>
        <w:rPr>
          <w:rFonts w:ascii="Arial" w:hAnsi="Arial"/>
          <w:szCs w:val="20"/>
        </w:rPr>
      </w:pPr>
      <w:r w:rsidRPr="00D5126A">
        <w:rPr>
          <w:rFonts w:ascii="Arial" w:hAnsi="Arial"/>
          <w:szCs w:val="20"/>
        </w:rPr>
        <w:t xml:space="preserve">The Council has ring fenced funds of $42.755m (2018: $45.796m) relating to the housing upgrade project and waste activities. For more information see Note 23: </w:t>
      </w:r>
      <w:r w:rsidRPr="001764C5">
        <w:rPr>
          <w:rFonts w:ascii="Arial" w:hAnsi="Arial"/>
          <w:szCs w:val="20"/>
        </w:rPr>
        <w:t xml:space="preserve">Borrowings </w:t>
      </w:r>
      <w:r w:rsidR="00C6735C" w:rsidRPr="001764C5">
        <w:rPr>
          <w:rFonts w:ascii="Arial" w:hAnsi="Arial"/>
          <w:szCs w:val="20"/>
        </w:rPr>
        <w:t xml:space="preserve">(page </w:t>
      </w:r>
      <w:r w:rsidR="001764C5" w:rsidRPr="001764C5">
        <w:rPr>
          <w:rFonts w:ascii="Arial" w:hAnsi="Arial"/>
          <w:szCs w:val="20"/>
        </w:rPr>
        <w:t>269</w:t>
      </w:r>
      <w:r w:rsidR="00C6735C" w:rsidRPr="00D5126A">
        <w:rPr>
          <w:rFonts w:ascii="Arial" w:hAnsi="Arial"/>
          <w:szCs w:val="20"/>
        </w:rPr>
        <w:t>)</w:t>
      </w:r>
      <w:r w:rsidRPr="00D5126A">
        <w:rPr>
          <w:rFonts w:ascii="Arial" w:hAnsi="Arial"/>
          <w:szCs w:val="20"/>
        </w:rPr>
        <w:t>.</w:t>
      </w:r>
    </w:p>
    <w:p w:rsidR="00FA6A77" w:rsidRPr="00D5126A" w:rsidRDefault="00FA6A77" w:rsidP="00FA6A77">
      <w:pPr>
        <w:spacing w:before="100" w:beforeAutospacing="1" w:after="100" w:afterAutospacing="1"/>
        <w:jc w:val="both"/>
        <w:rPr>
          <w:rFonts w:ascii="Arial" w:hAnsi="Arial"/>
          <w:szCs w:val="20"/>
        </w:rPr>
      </w:pPr>
      <w:r w:rsidRPr="00D5126A">
        <w:rPr>
          <w:rFonts w:ascii="Arial" w:hAnsi="Arial"/>
          <w:szCs w:val="20"/>
        </w:rPr>
        <w:t>Cash and cash equivalents for the purposes of the cash flow statement comprises bank balances, cash on hand and short term deposits with a maturity of three months or less. The statement of cash flows has been prepared using the direct approach subject to the netting of certain cash flows. Cash flows in respect of investments and borrowings that have been rolled-over under arranged finance facilities have been netted in order to provide more meaningful disclosures.</w:t>
      </w:r>
    </w:p>
    <w:p w:rsidR="00FA6A77" w:rsidRPr="00D5126A" w:rsidRDefault="00FA6A77" w:rsidP="00FA6A77">
      <w:pPr>
        <w:spacing w:before="100" w:beforeAutospacing="1" w:after="100" w:afterAutospacing="1"/>
        <w:jc w:val="both"/>
        <w:rPr>
          <w:rFonts w:ascii="Arial" w:hAnsi="Arial"/>
          <w:szCs w:val="20"/>
        </w:rPr>
      </w:pPr>
      <w:r w:rsidRPr="00D5126A">
        <w:rPr>
          <w:rFonts w:ascii="Arial" w:hAnsi="Arial"/>
          <w:szCs w:val="20"/>
        </w:rPr>
        <w:t>Operating activities include cash received from all non-financial revenue sources of the Council and Group and record the cash payments made for the supply of goods and services.</w:t>
      </w:r>
      <w:r w:rsidR="00EE4619">
        <w:rPr>
          <w:rFonts w:ascii="Arial" w:hAnsi="Arial"/>
          <w:szCs w:val="20"/>
        </w:rPr>
        <w:t xml:space="preserve"> </w:t>
      </w:r>
      <w:r w:rsidR="00EE4619">
        <w:rPr>
          <w:rFonts w:ascii="Arial" w:hAnsi="Arial"/>
          <w:szCs w:val="20"/>
        </w:rPr>
        <w:br/>
      </w:r>
      <w:r w:rsidRPr="00D5126A">
        <w:rPr>
          <w:rFonts w:ascii="Arial" w:hAnsi="Arial"/>
          <w:szCs w:val="20"/>
        </w:rPr>
        <w:t>Investing activities relate to the acquisition and disposal of assets and investment revenue.</w:t>
      </w:r>
      <w:r w:rsidR="00EE4619">
        <w:rPr>
          <w:rFonts w:ascii="Arial" w:hAnsi="Arial"/>
          <w:szCs w:val="20"/>
        </w:rPr>
        <w:t xml:space="preserve"> </w:t>
      </w:r>
      <w:r w:rsidRPr="00D5126A">
        <w:rPr>
          <w:rFonts w:ascii="Arial" w:hAnsi="Arial"/>
          <w:szCs w:val="20"/>
        </w:rPr>
        <w:t>Financing activities relate to activities that change the equity and debt capital structure of the Council and Group and financing costs.</w:t>
      </w:r>
    </w:p>
    <w:p w:rsidR="00FA6A77" w:rsidRPr="00D5126A" w:rsidRDefault="00FA6A77" w:rsidP="00C6735C">
      <w:pPr>
        <w:pStyle w:val="Heading4"/>
        <w:rPr>
          <w:szCs w:val="28"/>
        </w:rPr>
      </w:pPr>
      <w:bookmarkStart w:id="466" w:name="_Toc19092087"/>
      <w:r w:rsidRPr="00D5126A">
        <w:t>Statement of cash flows – Major budget variations</w:t>
      </w:r>
      <w:bookmarkEnd w:id="466"/>
    </w:p>
    <w:p w:rsidR="00FA6A77" w:rsidRPr="00D5126A" w:rsidRDefault="00FA6A77" w:rsidP="00FA6A77">
      <w:pPr>
        <w:rPr>
          <w:rFonts w:cstheme="minorHAnsi"/>
          <w:szCs w:val="20"/>
        </w:rPr>
      </w:pPr>
      <w:r w:rsidRPr="00D5126A">
        <w:rPr>
          <w:rFonts w:cstheme="minorHAnsi"/>
          <w:szCs w:val="20"/>
        </w:rPr>
        <w:t>Cash flow budgeting is performed using various assumptions around the timing of events and any departure from these timings will affect the outcome against budget.</w:t>
      </w:r>
    </w:p>
    <w:p w:rsidR="00FA6A77" w:rsidRPr="00D5126A" w:rsidRDefault="00FA6A77" w:rsidP="00C6735C">
      <w:pPr>
        <w:pStyle w:val="Heading5"/>
        <w:rPr>
          <w:szCs w:val="26"/>
          <w:lang w:eastAsia="en-GB"/>
        </w:rPr>
      </w:pPr>
      <w:r w:rsidRPr="00D5126A">
        <w:rPr>
          <w:lang w:eastAsia="en-GB"/>
        </w:rPr>
        <w:t>Significant variations from the cash flow budgets are as follows:</w:t>
      </w:r>
    </w:p>
    <w:p w:rsidR="00FA6A77" w:rsidRPr="00D5126A" w:rsidRDefault="00FA6A77" w:rsidP="00EE4619">
      <w:pPr>
        <w:spacing w:after="0"/>
        <w:rPr>
          <w:lang w:eastAsia="en-GB"/>
        </w:rPr>
      </w:pPr>
      <w:r w:rsidRPr="00D5126A">
        <w:rPr>
          <w:lang w:eastAsia="en-GB"/>
        </w:rPr>
        <w:t>Net cash flows from operating activities were $20.048m lower than budget, variances include:</w:t>
      </w:r>
    </w:p>
    <w:p w:rsidR="00FA6A77" w:rsidRPr="00D5126A" w:rsidRDefault="00FA6A77" w:rsidP="002C7BF8">
      <w:pPr>
        <w:pStyle w:val="ListParagraph"/>
        <w:numPr>
          <w:ilvl w:val="0"/>
          <w:numId w:val="51"/>
        </w:numPr>
        <w:ind w:left="426"/>
      </w:pPr>
      <w:r w:rsidRPr="00D5126A">
        <w:t>$7.346m from increased revenue compared to budget including additional payments from NZTA of $3.000m</w:t>
      </w:r>
    </w:p>
    <w:p w:rsidR="00FA6A77" w:rsidRPr="00D5126A" w:rsidRDefault="00FA6A77" w:rsidP="002C7BF8">
      <w:pPr>
        <w:pStyle w:val="ListParagraph"/>
        <w:numPr>
          <w:ilvl w:val="0"/>
          <w:numId w:val="51"/>
        </w:numPr>
        <w:ind w:left="426"/>
      </w:pPr>
      <w:r w:rsidRPr="00D5126A">
        <w:t>Lower than expected capital grant receipts ($3.834m) arising from NZTA capital grants being under budget due to some programmes (largely cycleways) being rephased</w:t>
      </w:r>
    </w:p>
    <w:p w:rsidR="00FA6A77" w:rsidRPr="00D5126A" w:rsidRDefault="00FA6A77" w:rsidP="002C7BF8">
      <w:pPr>
        <w:pStyle w:val="ListParagraph"/>
        <w:numPr>
          <w:ilvl w:val="0"/>
          <w:numId w:val="51"/>
        </w:numPr>
        <w:ind w:left="426"/>
      </w:pPr>
      <w:r w:rsidRPr="00D5126A">
        <w:t>General expenses (excluding finance costs and depreciation) are $9.584m over budget</w:t>
      </w:r>
    </w:p>
    <w:p w:rsidR="00FA6A77" w:rsidRPr="00D5126A" w:rsidRDefault="00FA6A77" w:rsidP="00EE4619">
      <w:pPr>
        <w:spacing w:after="0"/>
        <w:rPr>
          <w:lang w:eastAsia="en-GB"/>
        </w:rPr>
      </w:pPr>
      <w:r w:rsidRPr="00D5126A">
        <w:rPr>
          <w:lang w:eastAsia="en-GB"/>
        </w:rPr>
        <w:t>Net cash flows from investing activities were $75.078m lower than budget, variances include:</w:t>
      </w:r>
    </w:p>
    <w:p w:rsidR="00FA6A77" w:rsidRPr="00D5126A" w:rsidRDefault="00FA6A77" w:rsidP="002C7BF8">
      <w:pPr>
        <w:pStyle w:val="ListParagraph"/>
        <w:numPr>
          <w:ilvl w:val="0"/>
          <w:numId w:val="52"/>
        </w:numPr>
        <w:ind w:left="426"/>
      </w:pPr>
      <w:r w:rsidRPr="00D5126A">
        <w:t>$72.787m of lower capital expenditure</w:t>
      </w:r>
    </w:p>
    <w:p w:rsidR="00FA6A77" w:rsidRPr="00D5126A" w:rsidRDefault="00FA6A77" w:rsidP="002C7BF8">
      <w:pPr>
        <w:pStyle w:val="ListParagraph"/>
        <w:numPr>
          <w:ilvl w:val="0"/>
          <w:numId w:val="52"/>
        </w:numPr>
        <w:ind w:left="426"/>
      </w:pPr>
      <w:r w:rsidRPr="00D5126A">
        <w:t xml:space="preserve">$2.866m of interest received – see the comment below </w:t>
      </w:r>
    </w:p>
    <w:p w:rsidR="00FA6A77" w:rsidRPr="00D5126A" w:rsidRDefault="00FA6A77" w:rsidP="00EE4619">
      <w:pPr>
        <w:spacing w:after="0"/>
        <w:rPr>
          <w:lang w:eastAsia="en-GB"/>
        </w:rPr>
      </w:pPr>
      <w:r w:rsidRPr="00D5126A">
        <w:rPr>
          <w:lang w:eastAsia="en-GB"/>
        </w:rPr>
        <w:t>Net cash flows from financing activities were $15.570m lower than budget mainly because</w:t>
      </w:r>
    </w:p>
    <w:p w:rsidR="00C6735C" w:rsidRPr="00EE4619" w:rsidRDefault="00FA6A77" w:rsidP="002C7BF8">
      <w:pPr>
        <w:pStyle w:val="ListParagraph"/>
        <w:numPr>
          <w:ilvl w:val="0"/>
          <w:numId w:val="53"/>
        </w:numPr>
        <w:ind w:left="426"/>
        <w:rPr>
          <w:rFonts w:eastAsia="Times New Roman" w:cstheme="minorHAnsi"/>
          <w:b/>
          <w:bCs/>
          <w:color w:val="4F81BD" w:themeColor="accent1"/>
          <w:sz w:val="34"/>
          <w:szCs w:val="34"/>
          <w:lang w:eastAsia="en-NZ"/>
        </w:rPr>
      </w:pPr>
      <w:r w:rsidRPr="00D5126A">
        <w:t>Gross borrowings are $18.003m below budget and the level of cash and cash equivalents is higher than anticipated due to pre-funding requirements and has led to net borrowings on the Statement of Financial Position being $77.159m below budget. Interest costs on borrowings are $2.433m below budget and in addition the Council received $2.866m of unbudgeted interest on deposits. These variances are related to timing of debt repayments and lower debt funding needed for the capital programme which was also underspent.</w:t>
      </w:r>
      <w:bookmarkStart w:id="467" w:name="_Toc19092088"/>
      <w:r w:rsidR="00C6735C" w:rsidRPr="00D5126A">
        <w:br w:type="page"/>
      </w:r>
    </w:p>
    <w:p w:rsidR="00FA6A77" w:rsidRPr="00D5126A" w:rsidRDefault="00FA6A77" w:rsidP="00D96278">
      <w:pPr>
        <w:pStyle w:val="Heading3"/>
      </w:pPr>
      <w:bookmarkStart w:id="468" w:name="_Toc23848725"/>
      <w:r w:rsidRPr="00D5126A">
        <w:lastRenderedPageBreak/>
        <w:t>Note 31: Reconciliation of net surplus / (deficit) to net cash flows from operating activities</w:t>
      </w:r>
      <w:bookmarkEnd w:id="467"/>
      <w:bookmarkEnd w:id="468"/>
    </w:p>
    <w:p w:rsidR="00FA6A77" w:rsidRPr="00D5126A" w:rsidRDefault="00FA6A77" w:rsidP="00D96278">
      <w:pPr>
        <w:rPr>
          <w:rFonts w:ascii="Arial" w:eastAsia="Times New Roman" w:hAnsi="Arial" w:cs="Arial"/>
        </w:rPr>
      </w:pPr>
      <w:r w:rsidRPr="00D5126A">
        <w:rPr>
          <w:rFonts w:ascii="Arial" w:hAnsi="Arial" w:cs="Arial"/>
        </w:rPr>
        <w:t>The net surplus / (deficit) from the Statement of Comprehensive Revenue and Expense is reconciled to the net cash flows from operating activities in the Statement of Cash Flows as follows:</w:t>
      </w:r>
    </w:p>
    <w:p w:rsidR="00A95DA6" w:rsidRDefault="00A95DA6" w:rsidP="00A95DA6">
      <w:pPr>
        <w:pStyle w:val="Caption"/>
      </w:pPr>
      <w:r>
        <w:t xml:space="preserve">Section 5 - Table </w:t>
      </w:r>
      <w:fldSimple w:instr=" SEQ Section_5_-_Table \* ARABIC ">
        <w:r w:rsidR="005908C4">
          <w:rPr>
            <w:noProof/>
          </w:rPr>
          <w:t>58</w:t>
        </w:r>
      </w:fldSimple>
      <w:r>
        <w:t xml:space="preserve">: </w:t>
      </w:r>
      <w:r w:rsidRPr="004C6497">
        <w:t>Reconciliation of net surplus / (deficit) to net cash flows from operating activities</w:t>
      </w:r>
    </w:p>
    <w:p w:rsidR="00FA6A77" w:rsidRPr="00D5126A" w:rsidRDefault="00FA6A77" w:rsidP="00A95DA6">
      <w:r w:rsidRPr="00D5126A">
        <w:rPr>
          <w:noProof/>
          <w:lang w:eastAsia="en-NZ"/>
        </w:rPr>
        <w:drawing>
          <wp:inline distT="0" distB="0" distL="0" distR="0" wp14:anchorId="06D4794B" wp14:editId="203DF22A">
            <wp:extent cx="5883218" cy="6921795"/>
            <wp:effectExtent l="0" t="0" r="3810" b="0"/>
            <wp:docPr id="1390" name="Picture 1390" title="Section 5 - Table 58: Reconciliation of net surplus / (deficit) to net cash flows from operating activ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5884032" cy="6922752"/>
                    </a:xfrm>
                    <a:prstGeom prst="rect">
                      <a:avLst/>
                    </a:prstGeom>
                    <a:noFill/>
                    <a:ln>
                      <a:noFill/>
                    </a:ln>
                  </pic:spPr>
                </pic:pic>
              </a:graphicData>
            </a:graphic>
          </wp:inline>
        </w:drawing>
      </w:r>
    </w:p>
    <w:p w:rsidR="00FA6A77" w:rsidRPr="00D5126A" w:rsidRDefault="00FA6A77" w:rsidP="002C7BF8">
      <w:pPr>
        <w:numPr>
          <w:ilvl w:val="0"/>
          <w:numId w:val="41"/>
        </w:numPr>
        <w:spacing w:after="0" w:line="240" w:lineRule="auto"/>
        <w:rPr>
          <w:rFonts w:ascii="Arial" w:hAnsi="Arial" w:cs="Arial"/>
          <w:sz w:val="18"/>
          <w:szCs w:val="18"/>
          <w:lang w:eastAsia="en-GB"/>
        </w:rPr>
      </w:pPr>
      <w:bookmarkStart w:id="469" w:name="_Toc420404923"/>
      <w:r w:rsidRPr="00D5126A">
        <w:rPr>
          <w:rFonts w:ascii="Arial" w:hAnsi="Arial" w:cs="Arial"/>
          <w:sz w:val="18"/>
          <w:szCs w:val="18"/>
          <w:lang w:eastAsia="en-GB"/>
        </w:rPr>
        <w:t>Excluding non-cash items</w:t>
      </w:r>
    </w:p>
    <w:p w:rsidR="00416365" w:rsidRPr="00D5126A" w:rsidRDefault="00416365" w:rsidP="00416365">
      <w:pPr>
        <w:pStyle w:val="Heading2"/>
      </w:pPr>
      <w:bookmarkStart w:id="470" w:name="_Toc23758626"/>
      <w:bookmarkStart w:id="471" w:name="_Toc23848726"/>
      <w:bookmarkStart w:id="472" w:name="_Toc19092089"/>
      <w:r w:rsidRPr="00D5126A">
        <w:lastRenderedPageBreak/>
        <w:t>Other disclosures</w:t>
      </w:r>
      <w:bookmarkEnd w:id="470"/>
      <w:bookmarkEnd w:id="471"/>
    </w:p>
    <w:p w:rsidR="00FA6A77" w:rsidRPr="00D5126A" w:rsidRDefault="00FA6A77" w:rsidP="00C6735C">
      <w:pPr>
        <w:pStyle w:val="Heading3"/>
        <w:rPr>
          <w:sz w:val="36"/>
          <w:szCs w:val="28"/>
        </w:rPr>
      </w:pPr>
      <w:bookmarkStart w:id="473" w:name="_Toc23848727"/>
      <w:r w:rsidRPr="00D5126A">
        <w:t>Note 32: Financial instruments</w:t>
      </w:r>
      <w:bookmarkEnd w:id="472"/>
      <w:bookmarkEnd w:id="473"/>
    </w:p>
    <w:p w:rsidR="00FA6A77" w:rsidRPr="00D5126A" w:rsidRDefault="00FA6A77" w:rsidP="00C6735C">
      <w:pPr>
        <w:rPr>
          <w:rFonts w:eastAsia="Times New Roman"/>
          <w:lang w:eastAsia="en-GB"/>
        </w:rPr>
      </w:pPr>
      <w:r w:rsidRPr="00D5126A">
        <w:rPr>
          <w:lang w:eastAsia="en-GB"/>
        </w:rPr>
        <w:t>Financial instruments include financial assets (loans and receivables or recoverables and financial assets at fair value through other comprehensive revenue and expense), financial liabilities (payables and borrowings) and derivative financial instruments. Financial instruments are classified into the categories outlined below based on the purpose for which they were acquired. The classification is determined at initial recognition and re-evaluated at the end of each reporting period.</w:t>
      </w:r>
    </w:p>
    <w:p w:rsidR="00FA6A77" w:rsidRPr="00D5126A" w:rsidRDefault="00FA6A77" w:rsidP="00C6735C">
      <w:pPr>
        <w:pStyle w:val="Heading4"/>
        <w:rPr>
          <w:rFonts w:asciiTheme="majorHAnsi" w:hAnsiTheme="majorHAnsi" w:cs="Times New Roman"/>
          <w:color w:val="auto"/>
          <w:lang w:eastAsia="en-GB"/>
        </w:rPr>
      </w:pPr>
      <w:r w:rsidRPr="00D5126A">
        <w:rPr>
          <w:lang w:eastAsia="en-GB"/>
        </w:rPr>
        <w:t>Relevant significant accounting policies</w:t>
      </w:r>
    </w:p>
    <w:p w:rsidR="00FA6A77" w:rsidRPr="00D5126A" w:rsidRDefault="00FA6A77" w:rsidP="00C6735C">
      <w:pPr>
        <w:rPr>
          <w:lang w:eastAsia="en-GB"/>
        </w:rPr>
      </w:pPr>
      <w:r w:rsidRPr="00D5126A">
        <w:rPr>
          <w:lang w:eastAsia="en-GB"/>
        </w:rPr>
        <w:t xml:space="preserve">Financial instruments are initially recognised on trade-date at their fair value plus transaction costs. Subsequent measurement of financial instruments depends on the classification determined by the Group. </w:t>
      </w:r>
    </w:p>
    <w:p w:rsidR="00FA6A77" w:rsidRPr="00D5126A" w:rsidRDefault="00FA6A77" w:rsidP="00C6735C">
      <w:pPr>
        <w:pStyle w:val="Heading5"/>
        <w:rPr>
          <w:lang w:eastAsia="en-GB"/>
        </w:rPr>
      </w:pPr>
      <w:r w:rsidRPr="00D5126A">
        <w:rPr>
          <w:lang w:eastAsia="en-GB"/>
        </w:rPr>
        <w:t>Financial Assets</w:t>
      </w:r>
    </w:p>
    <w:p w:rsidR="00FA6A77" w:rsidRPr="00D5126A" w:rsidRDefault="00FA6A77" w:rsidP="00C6735C">
      <w:pPr>
        <w:rPr>
          <w:lang w:eastAsia="en-GB"/>
        </w:rPr>
      </w:pPr>
      <w:r w:rsidRPr="00D5126A">
        <w:rPr>
          <w:lang w:eastAsia="en-GB"/>
        </w:rPr>
        <w:t>Financial assets are classified as loans and receivables or financial assets at fair value through other comprehensive revenue and expense.</w:t>
      </w:r>
    </w:p>
    <w:p w:rsidR="00FA6A77" w:rsidRPr="00D5126A" w:rsidRDefault="00FA6A77" w:rsidP="002C7BF8">
      <w:pPr>
        <w:pStyle w:val="ListParagraph"/>
        <w:numPr>
          <w:ilvl w:val="0"/>
          <w:numId w:val="53"/>
        </w:numPr>
        <w:rPr>
          <w:lang w:eastAsia="en-GB"/>
        </w:rPr>
      </w:pPr>
      <w:r w:rsidRPr="00D5126A">
        <w:rPr>
          <w:lang w:eastAsia="en-GB"/>
        </w:rPr>
        <w:t>Loans and receivables comprise cash and cash equivalents, receivables or recoverables and loans and deposits.</w:t>
      </w:r>
    </w:p>
    <w:p w:rsidR="00FA6A77" w:rsidRPr="00D5126A" w:rsidRDefault="00FA6A77" w:rsidP="002C7BF8">
      <w:pPr>
        <w:pStyle w:val="ListParagraph"/>
        <w:numPr>
          <w:ilvl w:val="0"/>
          <w:numId w:val="53"/>
        </w:numPr>
        <w:rPr>
          <w:lang w:eastAsia="en-GB"/>
        </w:rPr>
      </w:pPr>
      <w:r w:rsidRPr="00D5126A">
        <w:rPr>
          <w:lang w:eastAsia="en-GB"/>
        </w:rPr>
        <w:t>Cash and cash equivalents comprise cash balances and bank deposits with maturity dates of three months or less.</w:t>
      </w:r>
    </w:p>
    <w:p w:rsidR="00FA6A77" w:rsidRPr="00D5126A" w:rsidRDefault="00FA6A77" w:rsidP="002C7BF8">
      <w:pPr>
        <w:pStyle w:val="ListParagraph"/>
        <w:numPr>
          <w:ilvl w:val="0"/>
          <w:numId w:val="53"/>
        </w:numPr>
        <w:rPr>
          <w:lang w:eastAsia="en-GB"/>
        </w:rPr>
      </w:pPr>
      <w:r w:rsidRPr="00D5126A">
        <w:rPr>
          <w:lang w:eastAsia="en-GB"/>
        </w:rPr>
        <w:t>Receivables and recoverables have fixed or determinable payments. They arise when the Group provides money, goods or services directly to a debtor, and has no intention of trading the receivable or recoverable.</w:t>
      </w:r>
    </w:p>
    <w:p w:rsidR="00FA6A77" w:rsidRPr="00D5126A" w:rsidRDefault="00FA6A77" w:rsidP="002C7BF8">
      <w:pPr>
        <w:pStyle w:val="ListParagraph"/>
        <w:numPr>
          <w:ilvl w:val="0"/>
          <w:numId w:val="53"/>
        </w:numPr>
        <w:rPr>
          <w:lang w:eastAsia="en-GB"/>
        </w:rPr>
      </w:pPr>
      <w:r w:rsidRPr="00D5126A">
        <w:rPr>
          <w:lang w:eastAsia="en-GB"/>
        </w:rPr>
        <w:t>Loans and deposits include loans to other entities (including controlled entities and associates), and bank deposits with maturity dates of more than three months.</w:t>
      </w:r>
    </w:p>
    <w:p w:rsidR="00FA6A77" w:rsidRPr="00D5126A" w:rsidRDefault="00FA6A77" w:rsidP="00C6735C">
      <w:pPr>
        <w:rPr>
          <w:lang w:eastAsia="en-GB"/>
        </w:rPr>
      </w:pPr>
      <w:r w:rsidRPr="00D5126A">
        <w:rPr>
          <w:lang w:eastAsia="en-GB"/>
        </w:rPr>
        <w:t>Financial assets in this category are recognised initially at fair value plus transaction costs and subsequently measured at amortised cost using the effective interest rate method. Fair value is estimated as the present value of future cash flows, discounted at the market rate of interest at the reporting date for assets of a similar maturity and credit risk. Receivables or recoverables due in less than 12 months are recognised at their nominal value. A provision for impairment is recognised when there is objective evidence that the asset is impaired. As there are statutory remedies to recover unpaid rates, rates penalties and water meter charges, no provision has been made for impairment in respect of these receivables or recoverables.</w:t>
      </w:r>
    </w:p>
    <w:p w:rsidR="00FA6A77" w:rsidRPr="00D5126A" w:rsidRDefault="00FA6A77" w:rsidP="00C6735C">
      <w:pPr>
        <w:rPr>
          <w:lang w:eastAsia="en-GB"/>
        </w:rPr>
      </w:pPr>
      <w:r w:rsidRPr="00D5126A">
        <w:rPr>
          <w:lang w:eastAsia="en-GB"/>
        </w:rPr>
        <w:t>Financial assets at fair value through other comprehensive revenue and expense primarily relate to equity investments that are held by the Group for long-term strategic purposes and therefore are not intended to be sold. Within the Group, small shareholdings are held in start-up companies, which are available for sale, until the companies mature or cease operations. Financial assets at fair value through other comprehensive revenue and expense are initially recorded at fair value plus transaction costs. They are subsequently measured at fair value and changes, other than impairment losses, are recognised directly in a reserve within equity. On disposal, the cumulative fair value gain or loss previously recognised directly in other comprehensive revenue and expense is recognised within surplus or deficit.</w:t>
      </w:r>
    </w:p>
    <w:p w:rsidR="00FA6A77" w:rsidRPr="00D5126A" w:rsidRDefault="00FA6A77" w:rsidP="00C6735C">
      <w:pPr>
        <w:rPr>
          <w:lang w:eastAsia="en-GB"/>
        </w:rPr>
      </w:pPr>
      <w:r w:rsidRPr="00D5126A">
        <w:rPr>
          <w:lang w:eastAsia="en-GB"/>
        </w:rPr>
        <w:t>Financial assets are derecognised when the rights to receive cash flows have expired or have been transferred and the Group has transferred substantially all of the risks and rewards of ownership.</w:t>
      </w:r>
    </w:p>
    <w:p w:rsidR="00FA6A77" w:rsidRPr="00D5126A" w:rsidRDefault="00FA6A77" w:rsidP="00C6735C">
      <w:pPr>
        <w:pStyle w:val="Heading5"/>
        <w:rPr>
          <w:lang w:eastAsia="en-GB"/>
        </w:rPr>
      </w:pPr>
      <w:r w:rsidRPr="00D5126A">
        <w:rPr>
          <w:lang w:eastAsia="en-GB"/>
        </w:rPr>
        <w:lastRenderedPageBreak/>
        <w:t>Financial Liabilities</w:t>
      </w:r>
    </w:p>
    <w:p w:rsidR="00FA6A77" w:rsidRPr="00D5126A" w:rsidRDefault="00FA6A77" w:rsidP="00C6735C">
      <w:pPr>
        <w:rPr>
          <w:lang w:eastAsia="en-GB"/>
        </w:rPr>
      </w:pPr>
      <w:r w:rsidRPr="00D5126A">
        <w:rPr>
          <w:lang w:eastAsia="en-GB"/>
        </w:rPr>
        <w:t>Financial liabilities include payables under exchange transactions, taxes, transfers and borrowings. Financial liabilities with duration of more than 12 months are recognised initially at fair value plus transaction costs and subsequently measured at amortised cost using the effective interest rate method. Amortisation is recognised within surplus or deficit. Financial liabilities with duration of less than 12 months are recognised at their nominal value.</w:t>
      </w:r>
    </w:p>
    <w:p w:rsidR="00FA6A77" w:rsidRPr="00D5126A" w:rsidRDefault="00FA6A77" w:rsidP="00FA6A77">
      <w:pPr>
        <w:rPr>
          <w:rFonts w:asciiTheme="majorHAnsi" w:eastAsia="MS Gothic" w:hAnsiTheme="majorHAnsi"/>
          <w:sz w:val="36"/>
          <w:szCs w:val="28"/>
        </w:rPr>
      </w:pPr>
      <w:r w:rsidRPr="00D5126A">
        <w:rPr>
          <w:lang w:eastAsia="en-GB"/>
        </w:rPr>
        <w:t>On disposal any gains or losses are recognised within surplus or deficit.</w:t>
      </w:r>
      <w:r w:rsidR="00C6735C" w:rsidRPr="00D5126A">
        <w:rPr>
          <w:rFonts w:asciiTheme="majorHAnsi" w:eastAsia="MS Gothic" w:hAnsiTheme="majorHAnsi"/>
          <w:sz w:val="36"/>
          <w:szCs w:val="28"/>
        </w:rPr>
        <w:t xml:space="preserve"> </w:t>
      </w:r>
    </w:p>
    <w:p w:rsidR="00FA6A77" w:rsidRPr="00D5126A" w:rsidRDefault="00FA6A77" w:rsidP="00FA6A77">
      <w:pPr>
        <w:tabs>
          <w:tab w:val="right" w:leader="dot" w:pos="3686"/>
          <w:tab w:val="right" w:leader="dot" w:pos="4253"/>
        </w:tabs>
        <w:rPr>
          <w:rFonts w:ascii="Arial" w:eastAsia="Times New Roman" w:hAnsi="Arial" w:cs="Arial"/>
          <w:color w:val="333333"/>
          <w:lang w:eastAsia="en-GB"/>
        </w:rPr>
      </w:pPr>
      <w:r w:rsidRPr="00D5126A">
        <w:rPr>
          <w:rFonts w:ascii="Arial" w:hAnsi="Arial" w:cs="Arial"/>
          <w:color w:val="333333"/>
          <w:lang w:eastAsia="en-GB"/>
        </w:rPr>
        <w:t>The following tables provide an analysis of the Group’s financial assets and financial liabilities by reporting category as described in the accounting policies:</w:t>
      </w:r>
    </w:p>
    <w:p w:rsidR="00A95DA6" w:rsidRDefault="00A95DA6" w:rsidP="00A95DA6">
      <w:pPr>
        <w:pStyle w:val="Caption"/>
      </w:pPr>
      <w:r>
        <w:t xml:space="preserve">Section 5 - Table </w:t>
      </w:r>
      <w:fldSimple w:instr=" SEQ Section_5_-_Table \* ARABIC ">
        <w:r w:rsidR="005908C4">
          <w:rPr>
            <w:noProof/>
          </w:rPr>
          <w:t>59</w:t>
        </w:r>
      </w:fldSimple>
      <w:r>
        <w:t>: Financial instruments by category</w:t>
      </w:r>
    </w:p>
    <w:p w:rsidR="00FA6A77" w:rsidRPr="00D5126A" w:rsidRDefault="00FA6A77" w:rsidP="00A95DA6">
      <w:pPr>
        <w:rPr>
          <w:rFonts w:asciiTheme="majorHAnsi" w:eastAsia="MS Gothic" w:hAnsiTheme="majorHAnsi"/>
          <w:sz w:val="36"/>
          <w:szCs w:val="28"/>
        </w:rPr>
      </w:pPr>
      <w:r w:rsidRPr="00D5126A">
        <w:rPr>
          <w:rFonts w:asciiTheme="majorHAnsi" w:eastAsia="MS Gothic" w:hAnsiTheme="majorHAnsi"/>
          <w:noProof/>
          <w:sz w:val="36"/>
          <w:szCs w:val="28"/>
          <w:lang w:eastAsia="en-NZ"/>
        </w:rPr>
        <w:drawing>
          <wp:inline distT="0" distB="0" distL="0" distR="0" wp14:anchorId="037FE66A" wp14:editId="5CB729FA">
            <wp:extent cx="5039833" cy="5978579"/>
            <wp:effectExtent l="0" t="0" r="8890" b="3175"/>
            <wp:docPr id="1389" name="Picture 1389" title="Section 5 - Table 59: Financial instruments by categ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rotWithShape="1">
                    <a:blip r:embed="rId133">
                      <a:extLst>
                        <a:ext uri="{28A0092B-C50C-407E-A947-70E740481C1C}">
                          <a14:useLocalDpi xmlns:a14="http://schemas.microsoft.com/office/drawing/2010/main" val="0"/>
                        </a:ext>
                      </a:extLst>
                    </a:blip>
                    <a:srcRect b="1760"/>
                    <a:stretch/>
                  </pic:blipFill>
                  <pic:spPr bwMode="auto">
                    <a:xfrm>
                      <a:off x="0" y="0"/>
                      <a:ext cx="5048013" cy="5988283"/>
                    </a:xfrm>
                    <a:prstGeom prst="rect">
                      <a:avLst/>
                    </a:prstGeom>
                    <a:noFill/>
                    <a:ln>
                      <a:noFill/>
                    </a:ln>
                    <a:extLst>
                      <a:ext uri="{53640926-AAD7-44D8-BBD7-CCE9431645EC}">
                        <a14:shadowObscured xmlns:a14="http://schemas.microsoft.com/office/drawing/2010/main"/>
                      </a:ext>
                    </a:extLst>
                  </pic:spPr>
                </pic:pic>
              </a:graphicData>
            </a:graphic>
          </wp:inline>
        </w:drawing>
      </w:r>
    </w:p>
    <w:p w:rsidR="00FA6A77" w:rsidRPr="00D5126A" w:rsidRDefault="00FA6A77" w:rsidP="0088773B">
      <w:pPr>
        <w:pStyle w:val="Heading4"/>
        <w:rPr>
          <w:lang w:eastAsia="en-GB"/>
        </w:rPr>
      </w:pPr>
      <w:r w:rsidRPr="00D5126A">
        <w:rPr>
          <w:lang w:eastAsia="en-GB"/>
        </w:rPr>
        <w:t>Fair value</w:t>
      </w:r>
    </w:p>
    <w:p w:rsidR="00FA6A77" w:rsidRPr="00D5126A" w:rsidRDefault="00FA6A77" w:rsidP="00730CFB">
      <w:pPr>
        <w:rPr>
          <w:color w:val="333333"/>
          <w:lang w:eastAsia="en-GB"/>
        </w:rPr>
      </w:pPr>
      <w:r w:rsidRPr="00D5126A">
        <w:rPr>
          <w:color w:val="333333"/>
          <w:lang w:eastAsia="en-GB"/>
        </w:rPr>
        <w:t>The fair values of all financial instruments equate or are approximate to the carrying amount recognised in the Statement of Financial Position.</w:t>
      </w:r>
    </w:p>
    <w:p w:rsidR="00FA6A77" w:rsidRPr="00D5126A" w:rsidRDefault="00FA6A77" w:rsidP="00730CFB">
      <w:pPr>
        <w:pStyle w:val="Heading5"/>
        <w:rPr>
          <w:lang w:eastAsia="en-GB"/>
        </w:rPr>
      </w:pPr>
      <w:r w:rsidRPr="00D5126A">
        <w:rPr>
          <w:lang w:eastAsia="en-GB"/>
        </w:rPr>
        <w:lastRenderedPageBreak/>
        <w:t>Fair value hierarchy</w:t>
      </w:r>
    </w:p>
    <w:p w:rsidR="00FA6A77" w:rsidRPr="00D5126A" w:rsidRDefault="00FA6A77" w:rsidP="00730CFB">
      <w:pPr>
        <w:rPr>
          <w:color w:val="333333"/>
          <w:lang w:eastAsia="en-GB"/>
        </w:rPr>
      </w:pPr>
      <w:r w:rsidRPr="00D5126A">
        <w:rPr>
          <w:color w:val="333333"/>
          <w:lang w:eastAsia="en-GB"/>
        </w:rPr>
        <w:t>For those financial instruments recognised at fair value in the Statement of Financial Position, the fair values are determined according to the following hierarchy:</w:t>
      </w:r>
    </w:p>
    <w:p w:rsidR="00FA6A77" w:rsidRPr="00D5126A" w:rsidRDefault="00FA6A77" w:rsidP="00730CFB">
      <w:pPr>
        <w:rPr>
          <w:color w:val="333333"/>
          <w:lang w:eastAsia="en-GB"/>
        </w:rPr>
      </w:pPr>
      <w:r w:rsidRPr="00D5126A">
        <w:rPr>
          <w:b/>
          <w:color w:val="333333"/>
          <w:lang w:eastAsia="en-GB"/>
        </w:rPr>
        <w:t>Level 1 -</w:t>
      </w:r>
      <w:r w:rsidRPr="00D5126A">
        <w:rPr>
          <w:color w:val="333333"/>
          <w:lang w:eastAsia="en-GB"/>
        </w:rPr>
        <w:t xml:space="preserve"> Quoted market price - Financial instruments with quoted prices for id</w:t>
      </w:r>
      <w:r w:rsidR="00730CFB" w:rsidRPr="00D5126A">
        <w:rPr>
          <w:color w:val="333333"/>
          <w:lang w:eastAsia="en-GB"/>
        </w:rPr>
        <w:t xml:space="preserve">entical instruments in active </w:t>
      </w:r>
      <w:r w:rsidRPr="00D5126A">
        <w:rPr>
          <w:color w:val="333333"/>
          <w:lang w:eastAsia="en-GB"/>
        </w:rPr>
        <w:t>markets.</w:t>
      </w:r>
    </w:p>
    <w:p w:rsidR="00FA6A77" w:rsidRPr="00D5126A" w:rsidRDefault="00FA6A77" w:rsidP="00730CFB">
      <w:pPr>
        <w:rPr>
          <w:color w:val="333333"/>
          <w:lang w:eastAsia="en-GB"/>
        </w:rPr>
      </w:pPr>
      <w:r w:rsidRPr="00D5126A">
        <w:rPr>
          <w:b/>
          <w:color w:val="333333"/>
          <w:lang w:eastAsia="en-GB"/>
        </w:rPr>
        <w:t>Level 2 -</w:t>
      </w:r>
      <w:r w:rsidRPr="00D5126A">
        <w:rPr>
          <w:color w:val="333333"/>
          <w:lang w:eastAsia="en-GB"/>
        </w:rPr>
        <w:t xml:space="preserve"> Valuation technique using observable inputs – Financial instruments with quoted prices for similar instruments in active markets or quoted prices for identical or similar instruments in inactive markets and financial instruments valued using models where all significant inputs are observable.</w:t>
      </w:r>
    </w:p>
    <w:p w:rsidR="00FA6A77" w:rsidRPr="00D5126A" w:rsidRDefault="00FA6A77" w:rsidP="00730CFB">
      <w:pPr>
        <w:rPr>
          <w:color w:val="333333"/>
          <w:lang w:eastAsia="en-GB"/>
        </w:rPr>
      </w:pPr>
      <w:r w:rsidRPr="00D5126A">
        <w:rPr>
          <w:b/>
          <w:color w:val="333333"/>
          <w:lang w:eastAsia="en-GB"/>
        </w:rPr>
        <w:t>Level 3 -</w:t>
      </w:r>
      <w:r w:rsidRPr="00D5126A">
        <w:rPr>
          <w:color w:val="333333"/>
          <w:lang w:eastAsia="en-GB"/>
        </w:rPr>
        <w:t xml:space="preserve"> Valuation techniques with significant non-observable inputs – Financial instruments valued using models where one or more significant inputs are not observable.</w:t>
      </w:r>
    </w:p>
    <w:p w:rsidR="001D5AEA" w:rsidRDefault="001D5AEA" w:rsidP="001D5AEA">
      <w:pPr>
        <w:pStyle w:val="Caption"/>
      </w:pPr>
      <w:r>
        <w:t xml:space="preserve">Section 5 - Table </w:t>
      </w:r>
      <w:fldSimple w:instr=" SEQ Section_5_-_Table \* ARABIC ">
        <w:r w:rsidR="005908C4">
          <w:rPr>
            <w:noProof/>
          </w:rPr>
          <w:t>60</w:t>
        </w:r>
      </w:fldSimple>
      <w:r>
        <w:t>: Group hierarchy</w:t>
      </w:r>
    </w:p>
    <w:p w:rsidR="001D5AEA" w:rsidRDefault="001D5AEA" w:rsidP="001D5AEA">
      <w:pPr>
        <w:ind w:left="142"/>
      </w:pPr>
      <w:r w:rsidRPr="00D5126A">
        <w:rPr>
          <w:rFonts w:asciiTheme="majorHAnsi" w:eastAsia="MS Gothic" w:hAnsiTheme="majorHAnsi"/>
          <w:b/>
          <w:bCs/>
          <w:iCs/>
          <w:noProof/>
          <w:sz w:val="36"/>
          <w:szCs w:val="28"/>
          <w:lang w:eastAsia="en-NZ"/>
        </w:rPr>
        <w:drawing>
          <wp:inline distT="0" distB="0" distL="0" distR="0" wp14:anchorId="79D241DF" wp14:editId="1235F0FD">
            <wp:extent cx="6028661" cy="2498652"/>
            <wp:effectExtent l="0" t="0" r="0" b="0"/>
            <wp:docPr id="5" name="Picture 5" title="Section 5 - Table 60: Group hierarc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rotWithShape="1">
                    <a:blip r:embed="rId134">
                      <a:extLst>
                        <a:ext uri="{28A0092B-C50C-407E-A947-70E740481C1C}">
                          <a14:useLocalDpi xmlns:a14="http://schemas.microsoft.com/office/drawing/2010/main" val="0"/>
                        </a:ext>
                      </a:extLst>
                    </a:blip>
                    <a:srcRect b="49940"/>
                    <a:stretch/>
                  </pic:blipFill>
                  <pic:spPr bwMode="auto">
                    <a:xfrm>
                      <a:off x="0" y="0"/>
                      <a:ext cx="6031230" cy="2499717"/>
                    </a:xfrm>
                    <a:prstGeom prst="rect">
                      <a:avLst/>
                    </a:prstGeom>
                    <a:noFill/>
                    <a:ln>
                      <a:noFill/>
                    </a:ln>
                    <a:extLst>
                      <a:ext uri="{53640926-AAD7-44D8-BBD7-CCE9431645EC}">
                        <a14:shadowObscured xmlns:a14="http://schemas.microsoft.com/office/drawing/2010/main"/>
                      </a:ext>
                    </a:extLst>
                  </pic:spPr>
                </pic:pic>
              </a:graphicData>
            </a:graphic>
          </wp:inline>
        </w:drawing>
      </w:r>
    </w:p>
    <w:p w:rsidR="001D5AEA" w:rsidRDefault="001D5AEA" w:rsidP="001D5AEA">
      <w:pPr>
        <w:pStyle w:val="Caption"/>
      </w:pPr>
      <w:r>
        <w:t xml:space="preserve">Section 5 - Table </w:t>
      </w:r>
      <w:fldSimple w:instr=" SEQ Section_5_-_Table \* ARABIC ">
        <w:r w:rsidR="005908C4">
          <w:rPr>
            <w:noProof/>
          </w:rPr>
          <w:t>61</w:t>
        </w:r>
      </w:fldSimple>
      <w:r>
        <w:t>: Reconciliation of fair value movements in Level 3</w:t>
      </w:r>
    </w:p>
    <w:p w:rsidR="00FA6A77" w:rsidRPr="00D5126A" w:rsidRDefault="00FA6A77" w:rsidP="001D5AEA">
      <w:pPr>
        <w:ind w:left="142"/>
        <w:rPr>
          <w:rFonts w:asciiTheme="majorHAnsi" w:eastAsia="MS Gothic" w:hAnsiTheme="majorHAnsi"/>
          <w:b/>
          <w:bCs/>
          <w:iCs/>
          <w:sz w:val="36"/>
          <w:szCs w:val="28"/>
        </w:rPr>
      </w:pPr>
      <w:r w:rsidRPr="00D5126A">
        <w:rPr>
          <w:rFonts w:asciiTheme="majorHAnsi" w:eastAsia="MS Gothic" w:hAnsiTheme="majorHAnsi"/>
          <w:b/>
          <w:bCs/>
          <w:iCs/>
          <w:noProof/>
          <w:sz w:val="36"/>
          <w:szCs w:val="28"/>
          <w:lang w:eastAsia="en-NZ"/>
        </w:rPr>
        <w:drawing>
          <wp:inline distT="0" distB="0" distL="0" distR="0" wp14:anchorId="3A6ADFD2" wp14:editId="311940D3">
            <wp:extent cx="6124354" cy="2434855"/>
            <wp:effectExtent l="0" t="0" r="0" b="3810"/>
            <wp:docPr id="1388" name="Picture 1388" title="Section 5 - Table 61: Reconciliation of fair value movements in Level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rotWithShape="1">
                    <a:blip r:embed="rId134">
                      <a:extLst>
                        <a:ext uri="{28A0092B-C50C-407E-A947-70E740481C1C}">
                          <a14:useLocalDpi xmlns:a14="http://schemas.microsoft.com/office/drawing/2010/main" val="0"/>
                        </a:ext>
                      </a:extLst>
                    </a:blip>
                    <a:srcRect t="51374" b="607"/>
                    <a:stretch/>
                  </pic:blipFill>
                  <pic:spPr bwMode="auto">
                    <a:xfrm>
                      <a:off x="0" y="0"/>
                      <a:ext cx="6122670" cy="2434185"/>
                    </a:xfrm>
                    <a:prstGeom prst="rect">
                      <a:avLst/>
                    </a:prstGeom>
                    <a:noFill/>
                    <a:ln>
                      <a:noFill/>
                    </a:ln>
                    <a:extLst>
                      <a:ext uri="{53640926-AAD7-44D8-BBD7-CCE9431645EC}">
                        <a14:shadowObscured xmlns:a14="http://schemas.microsoft.com/office/drawing/2010/main"/>
                      </a:ext>
                    </a:extLst>
                  </pic:spPr>
                </pic:pic>
              </a:graphicData>
            </a:graphic>
          </wp:inline>
        </w:drawing>
      </w:r>
    </w:p>
    <w:p w:rsidR="00FA6A77" w:rsidRPr="001764C5" w:rsidRDefault="00FA6A77" w:rsidP="00CD5F85">
      <w:pPr>
        <w:jc w:val="both"/>
        <w:rPr>
          <w:rFonts w:ascii="Arial" w:hAnsi="Arial"/>
          <w:szCs w:val="20"/>
        </w:rPr>
      </w:pPr>
      <w:r w:rsidRPr="00D5126A">
        <w:rPr>
          <w:rFonts w:ascii="Arial" w:hAnsi="Arial" w:cs="Arial"/>
          <w:color w:val="333333"/>
          <w:lang w:eastAsia="en-GB"/>
        </w:rPr>
        <w:t xml:space="preserve">The level 3 equity investments comprise the Group’s shareholdings in the Local Government Funding Agency $6.156m (2018: $5.339m), Civic Assurance $0.477m (2018: $0.798m), the Creative HQ shareholdings $1.864m (2018: $2.030m) and a legacy investment by Wellington Museum’s Trust of $0.252m.  Refer to Note 14: Other financial </w:t>
      </w:r>
      <w:r w:rsidRPr="001764C5">
        <w:rPr>
          <w:rFonts w:ascii="Arial" w:hAnsi="Arial" w:cs="Arial"/>
          <w:color w:val="333333"/>
          <w:lang w:eastAsia="en-GB"/>
        </w:rPr>
        <w:t xml:space="preserve">assets </w:t>
      </w:r>
      <w:r w:rsidR="00CD5F85" w:rsidRPr="001764C5">
        <w:rPr>
          <w:rFonts w:ascii="Arial" w:hAnsi="Arial"/>
          <w:szCs w:val="20"/>
        </w:rPr>
        <w:t xml:space="preserve">(page </w:t>
      </w:r>
      <w:r w:rsidR="001764C5" w:rsidRPr="001764C5">
        <w:rPr>
          <w:rFonts w:ascii="Arial" w:hAnsi="Arial"/>
          <w:szCs w:val="20"/>
        </w:rPr>
        <w:t>245</w:t>
      </w:r>
      <w:r w:rsidR="00CD5F85" w:rsidRPr="001764C5">
        <w:rPr>
          <w:rFonts w:ascii="Arial" w:hAnsi="Arial"/>
          <w:szCs w:val="20"/>
        </w:rPr>
        <w:t>)</w:t>
      </w:r>
      <w:r w:rsidRPr="001764C5">
        <w:rPr>
          <w:rFonts w:ascii="Arial" w:hAnsi="Arial" w:cs="Arial"/>
          <w:color w:val="333333"/>
          <w:lang w:eastAsia="en-GB"/>
        </w:rPr>
        <w:t xml:space="preserve"> for more details.</w:t>
      </w:r>
    </w:p>
    <w:p w:rsidR="00FA6A77" w:rsidRPr="001764C5" w:rsidRDefault="00FA6A77" w:rsidP="00CD5F85">
      <w:pPr>
        <w:pStyle w:val="Heading4"/>
        <w:rPr>
          <w:color w:val="auto"/>
          <w:lang w:eastAsia="en-GB"/>
        </w:rPr>
      </w:pPr>
      <w:bookmarkStart w:id="474" w:name="_Toc19092090"/>
      <w:r w:rsidRPr="001764C5">
        <w:rPr>
          <w:lang w:eastAsia="en-GB"/>
        </w:rPr>
        <w:lastRenderedPageBreak/>
        <w:t>Financial risk management</w:t>
      </w:r>
      <w:bookmarkEnd w:id="474"/>
    </w:p>
    <w:p w:rsidR="00FA6A77" w:rsidRPr="001764C5" w:rsidRDefault="00FA6A77" w:rsidP="00FA6A77">
      <w:pPr>
        <w:spacing w:before="40" w:after="40"/>
        <w:jc w:val="both"/>
        <w:rPr>
          <w:rFonts w:ascii="Arial" w:hAnsi="Arial" w:cs="Arial"/>
          <w:b/>
          <w:sz w:val="20"/>
          <w:szCs w:val="20"/>
          <w:lang w:eastAsia="en-GB"/>
        </w:rPr>
      </w:pPr>
      <w:r w:rsidRPr="001764C5">
        <w:rPr>
          <w:rFonts w:ascii="Arial" w:hAnsi="Arial" w:cs="Arial"/>
          <w:color w:val="333333"/>
          <w:lang w:eastAsia="en-GB"/>
        </w:rPr>
        <w:t>As part of its normal operations, the Group is exposed to a number of risks. The most significant are credit risk, liquidity risk and market risk, which includes interest rate risk. The Group’s exposure to these risks and the action that the Group has taken to minimise the impact of these risks is outlined below:</w:t>
      </w:r>
    </w:p>
    <w:p w:rsidR="00FA6A77" w:rsidRPr="001764C5" w:rsidRDefault="00FA6A77" w:rsidP="0088773B">
      <w:pPr>
        <w:pStyle w:val="Heading5"/>
        <w:rPr>
          <w:sz w:val="24"/>
          <w:szCs w:val="26"/>
          <w:lang w:eastAsia="en-GB"/>
        </w:rPr>
      </w:pPr>
      <w:r w:rsidRPr="001764C5">
        <w:rPr>
          <w:lang w:eastAsia="en-GB"/>
        </w:rPr>
        <w:t>Credit risk</w:t>
      </w:r>
    </w:p>
    <w:p w:rsidR="00CD5F85" w:rsidRPr="00D5126A" w:rsidRDefault="00FA6A77" w:rsidP="00CD5F85">
      <w:pPr>
        <w:rPr>
          <w:lang w:eastAsia="en-GB"/>
        </w:rPr>
      </w:pPr>
      <w:r w:rsidRPr="001764C5">
        <w:rPr>
          <w:lang w:eastAsia="en-GB"/>
        </w:rPr>
        <w:t xml:space="preserve">Credit risk is the risk that a third party will default on its obligations to the Group, thereby causing a financial loss. The Group is not exposed to any material concentrations of credit risk other than its exposure within the Wellington region.  The maximum exposure to credit risk is represented by the carrying amount of each financial asset in the Statement of Financial Position and the face value of financial guarantees to related parties (refer Note 34: Contingencies </w:t>
      </w:r>
      <w:r w:rsidR="00CD5F85" w:rsidRPr="001764C5">
        <w:rPr>
          <w:rFonts w:ascii="Arial" w:hAnsi="Arial"/>
          <w:szCs w:val="20"/>
        </w:rPr>
        <w:t xml:space="preserve">(page </w:t>
      </w:r>
      <w:r w:rsidR="001764C5" w:rsidRPr="001764C5">
        <w:rPr>
          <w:rFonts w:ascii="Arial" w:hAnsi="Arial"/>
          <w:szCs w:val="20"/>
        </w:rPr>
        <w:t>301</w:t>
      </w:r>
      <w:r w:rsidRPr="001764C5">
        <w:rPr>
          <w:lang w:eastAsia="en-GB"/>
        </w:rPr>
        <w:t>). There is currently no liability recognised for these guarantees as the Group does not expect</w:t>
      </w:r>
      <w:r w:rsidR="00CD5F85" w:rsidRPr="001764C5">
        <w:rPr>
          <w:lang w:eastAsia="en-GB"/>
        </w:rPr>
        <w:t xml:space="preserve"> to</w:t>
      </w:r>
      <w:r w:rsidR="00CD5F85" w:rsidRPr="00D5126A">
        <w:rPr>
          <w:lang w:eastAsia="en-GB"/>
        </w:rPr>
        <w:t xml:space="preserve"> be called upon for payment.</w:t>
      </w:r>
    </w:p>
    <w:p w:rsidR="00FA6A77" w:rsidRPr="00D5126A" w:rsidRDefault="00FA6A77" w:rsidP="00CD5F85">
      <w:pPr>
        <w:rPr>
          <w:lang w:eastAsia="en-GB"/>
        </w:rPr>
      </w:pPr>
      <w:r w:rsidRPr="00D5126A">
        <w:rPr>
          <w:lang w:eastAsia="en-GB"/>
        </w:rPr>
        <w:t>The Group’s maximum exposure to credit risk at the end of the reporting period is:</w:t>
      </w:r>
    </w:p>
    <w:p w:rsidR="001D5AEA" w:rsidRDefault="001D5AEA" w:rsidP="001D5AEA">
      <w:pPr>
        <w:pStyle w:val="Caption"/>
      </w:pPr>
      <w:r>
        <w:t xml:space="preserve">Section 5 - Table </w:t>
      </w:r>
      <w:fldSimple w:instr=" SEQ Section_5_-_Table \* ARABIC ">
        <w:r w:rsidR="005908C4">
          <w:rPr>
            <w:noProof/>
          </w:rPr>
          <w:t>62</w:t>
        </w:r>
      </w:fldSimple>
      <w:r>
        <w:t>: Financial instruments with credit risk</w:t>
      </w:r>
    </w:p>
    <w:p w:rsidR="00FA6A77" w:rsidRPr="00D5126A" w:rsidRDefault="00FA6A77" w:rsidP="001D5AEA">
      <w:pPr>
        <w:rPr>
          <w:rFonts w:asciiTheme="majorHAnsi" w:hAnsiTheme="majorHAnsi"/>
        </w:rPr>
      </w:pPr>
      <w:r w:rsidRPr="00D5126A">
        <w:rPr>
          <w:noProof/>
          <w:lang w:eastAsia="en-NZ"/>
        </w:rPr>
        <w:drawing>
          <wp:inline distT="0" distB="0" distL="0" distR="0" wp14:anchorId="30D8A7B5" wp14:editId="02A6A86B">
            <wp:extent cx="6062980" cy="3249930"/>
            <wp:effectExtent l="0" t="0" r="0" b="7620"/>
            <wp:docPr id="1387" name="Picture 1387" title="Section 5 - Table 62: Financial instruments with credit ri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6062980" cy="3249930"/>
                    </a:xfrm>
                    <a:prstGeom prst="rect">
                      <a:avLst/>
                    </a:prstGeom>
                    <a:noFill/>
                    <a:ln>
                      <a:noFill/>
                    </a:ln>
                  </pic:spPr>
                </pic:pic>
              </a:graphicData>
            </a:graphic>
          </wp:inline>
        </w:drawing>
      </w:r>
    </w:p>
    <w:p w:rsidR="00FA6A77" w:rsidRPr="00D5126A" w:rsidRDefault="00FA6A77" w:rsidP="00AC1727">
      <w:pPr>
        <w:rPr>
          <w:lang w:eastAsia="en-GB"/>
        </w:rPr>
      </w:pPr>
      <w:r w:rsidRPr="00D5126A">
        <w:rPr>
          <w:lang w:eastAsia="en-GB"/>
        </w:rPr>
        <w:t xml:space="preserve">Receivables and recoverables balances are monitored on an ongoing basis with the result that the Group’s exposure to bad debts is not significant. </w:t>
      </w:r>
    </w:p>
    <w:p w:rsidR="00FA6A77" w:rsidRPr="00D5126A" w:rsidRDefault="00FA6A77" w:rsidP="00CD5F85">
      <w:pPr>
        <w:rPr>
          <w:lang w:eastAsia="en-GB"/>
        </w:rPr>
      </w:pPr>
      <w:r w:rsidRPr="00D5126A">
        <w:rPr>
          <w:lang w:eastAsia="en-GB"/>
        </w:rPr>
        <w:t xml:space="preserve">The Group is exposed to credit risk as a guarantor of the LGFA’s borrowings. Further information about this exposure is explained in Note 34: </w:t>
      </w:r>
      <w:r w:rsidRPr="001764C5">
        <w:rPr>
          <w:lang w:eastAsia="en-GB"/>
        </w:rPr>
        <w:t xml:space="preserve">Contingencies </w:t>
      </w:r>
      <w:r w:rsidR="00CD5F85" w:rsidRPr="001764C5">
        <w:rPr>
          <w:rFonts w:ascii="Arial" w:hAnsi="Arial"/>
          <w:szCs w:val="20"/>
        </w:rPr>
        <w:t xml:space="preserve">(page </w:t>
      </w:r>
      <w:r w:rsidR="001764C5" w:rsidRPr="001764C5">
        <w:rPr>
          <w:rFonts w:ascii="Arial" w:hAnsi="Arial"/>
          <w:szCs w:val="20"/>
        </w:rPr>
        <w:t>301</w:t>
      </w:r>
      <w:r w:rsidR="00CD5F85" w:rsidRPr="001764C5">
        <w:rPr>
          <w:rFonts w:ascii="Arial" w:hAnsi="Arial"/>
          <w:szCs w:val="20"/>
        </w:rPr>
        <w:t>)</w:t>
      </w:r>
      <w:r w:rsidRPr="001764C5">
        <w:rPr>
          <w:lang w:eastAsia="en-GB"/>
        </w:rPr>
        <w:t>.</w:t>
      </w:r>
    </w:p>
    <w:p w:rsidR="0088773B" w:rsidRDefault="0088773B">
      <w:pPr>
        <w:rPr>
          <w:rFonts w:asciiTheme="majorHAnsi" w:eastAsiaTheme="majorEastAsia" w:hAnsiTheme="majorHAnsi"/>
          <w:lang w:eastAsia="en-GB"/>
        </w:rPr>
      </w:pPr>
      <w:r>
        <w:rPr>
          <w:lang w:eastAsia="en-GB"/>
        </w:rPr>
        <w:br w:type="page"/>
      </w:r>
    </w:p>
    <w:p w:rsidR="00FA6A77" w:rsidRPr="00D5126A" w:rsidRDefault="00FA6A77" w:rsidP="00CD5F85">
      <w:pPr>
        <w:pStyle w:val="Heading5"/>
        <w:rPr>
          <w:lang w:eastAsia="en-GB"/>
        </w:rPr>
      </w:pPr>
      <w:r w:rsidRPr="00D5126A">
        <w:rPr>
          <w:lang w:eastAsia="en-GB"/>
        </w:rPr>
        <w:lastRenderedPageBreak/>
        <w:t>Credit quality of financial assets</w:t>
      </w:r>
    </w:p>
    <w:p w:rsidR="00FA6A77" w:rsidRPr="00D5126A" w:rsidRDefault="00FA6A77" w:rsidP="00CD5F85">
      <w:pPr>
        <w:rPr>
          <w:lang w:eastAsia="en-GB"/>
        </w:rPr>
      </w:pPr>
      <w:r w:rsidRPr="00D5126A">
        <w:rPr>
          <w:lang w:eastAsia="en-GB"/>
        </w:rPr>
        <w:t xml:space="preserve">The credit quality of financial assets that are neither past due or impaired can be assessed by reference to </w:t>
      </w:r>
      <w:proofErr w:type="gramStart"/>
      <w:r w:rsidRPr="00D5126A">
        <w:rPr>
          <w:lang w:eastAsia="en-GB"/>
        </w:rPr>
        <w:t>Standard</w:t>
      </w:r>
      <w:proofErr w:type="gramEnd"/>
      <w:r w:rsidRPr="00D5126A">
        <w:rPr>
          <w:lang w:eastAsia="en-GB"/>
        </w:rPr>
        <w:t xml:space="preserve"> and Poor’s credit ratings.</w:t>
      </w:r>
    </w:p>
    <w:p w:rsidR="001D5AEA" w:rsidRDefault="001D5AEA" w:rsidP="001D5AEA">
      <w:pPr>
        <w:pStyle w:val="Caption"/>
      </w:pPr>
      <w:r>
        <w:t xml:space="preserve">Section 5 - Table </w:t>
      </w:r>
      <w:fldSimple w:instr=" SEQ Section_5_-_Table \* ARABIC ">
        <w:r w:rsidR="005908C4">
          <w:rPr>
            <w:noProof/>
          </w:rPr>
          <w:t>63</w:t>
        </w:r>
      </w:fldSimple>
      <w:r>
        <w:t>: Counterparties with credit ratings</w:t>
      </w:r>
    </w:p>
    <w:p w:rsidR="00FA6A77" w:rsidRPr="00D5126A" w:rsidRDefault="00296F23" w:rsidP="001D5AEA">
      <w:r w:rsidRPr="00581F44">
        <w:rPr>
          <w:noProof/>
          <w:lang w:eastAsia="en-NZ"/>
        </w:rPr>
        <w:drawing>
          <wp:inline distT="0" distB="0" distL="0" distR="0" wp14:anchorId="4E97C64B" wp14:editId="2F9F18A5">
            <wp:extent cx="5762846" cy="2904730"/>
            <wp:effectExtent l="0" t="0" r="0" b="0"/>
            <wp:docPr id="31" name="Picture 31" title="Section 5 - Table 63: Counterparties with credit rat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5781413" cy="2914088"/>
                    </a:xfrm>
                    <a:prstGeom prst="rect">
                      <a:avLst/>
                    </a:prstGeom>
                    <a:noFill/>
                    <a:ln>
                      <a:noFill/>
                    </a:ln>
                  </pic:spPr>
                </pic:pic>
              </a:graphicData>
            </a:graphic>
          </wp:inline>
        </w:drawing>
      </w:r>
    </w:p>
    <w:p w:rsidR="00FA6A77" w:rsidRPr="00D5126A" w:rsidRDefault="00FA6A77" w:rsidP="00CD5F85">
      <w:pPr>
        <w:pStyle w:val="Heading4"/>
        <w:rPr>
          <w:lang w:eastAsia="en-GB"/>
        </w:rPr>
      </w:pPr>
      <w:r w:rsidRPr="00D5126A">
        <w:rPr>
          <w:lang w:eastAsia="en-GB"/>
        </w:rPr>
        <w:t>Liquidity risk</w:t>
      </w:r>
    </w:p>
    <w:p w:rsidR="00FA6A77" w:rsidRPr="00D5126A" w:rsidRDefault="00FA6A77" w:rsidP="00CD5F85">
      <w:pPr>
        <w:rPr>
          <w:rFonts w:ascii="Times New Roman" w:hAnsi="Times New Roman"/>
          <w:sz w:val="20"/>
          <w:szCs w:val="20"/>
          <w:lang w:eastAsia="en-GB"/>
        </w:rPr>
      </w:pPr>
      <w:r w:rsidRPr="00D5126A">
        <w:rPr>
          <w:lang w:eastAsia="en-GB"/>
        </w:rPr>
        <w:t>Liquidity risk refers to the situation where the Group may encounter difficulty in meeting obligations associated with financial liabilities. The Group maintains sufficient funds to cover all obligations as they fall due. Facilities are maintained in accordance with the Council’s Liability Management Policy to ensure the Group is able to access required funds.</w:t>
      </w:r>
    </w:p>
    <w:p w:rsidR="00FA6A77" w:rsidRPr="00D5126A" w:rsidRDefault="00FA6A77" w:rsidP="00CD5F85">
      <w:pPr>
        <w:pStyle w:val="Heading5"/>
        <w:rPr>
          <w:sz w:val="24"/>
          <w:szCs w:val="28"/>
          <w:lang w:eastAsia="en-GB"/>
        </w:rPr>
      </w:pPr>
      <w:r w:rsidRPr="00D5126A">
        <w:rPr>
          <w:lang w:eastAsia="en-GB"/>
        </w:rPr>
        <w:t>Contractual maturity</w:t>
      </w:r>
    </w:p>
    <w:p w:rsidR="00FA6A77" w:rsidRPr="00D5126A" w:rsidRDefault="00FA6A77" w:rsidP="00CD5F85">
      <w:pPr>
        <w:rPr>
          <w:lang w:eastAsia="en-GB"/>
        </w:rPr>
      </w:pPr>
      <w:r w:rsidRPr="00D5126A">
        <w:rPr>
          <w:lang w:eastAsia="en-GB"/>
        </w:rPr>
        <w:t xml:space="preserve">The following maturity analysis </w:t>
      </w:r>
      <w:r w:rsidR="00296F23">
        <w:rPr>
          <w:lang w:eastAsia="en-GB"/>
        </w:rPr>
        <w:t xml:space="preserve">in Table 64 </w:t>
      </w:r>
      <w:r w:rsidRPr="00D5126A">
        <w:rPr>
          <w:lang w:eastAsia="en-GB"/>
        </w:rPr>
        <w:t>sets out the contractual cash flows for all financial liabilities that are settled on a gross cash flow basis. Contractual cash flows for financial liabilities include the nominal amount and interest payable.</w:t>
      </w:r>
    </w:p>
    <w:p w:rsidR="001D5AEA" w:rsidRDefault="001D5AEA" w:rsidP="001D5AEA">
      <w:pPr>
        <w:pStyle w:val="Caption"/>
      </w:pPr>
      <w:r>
        <w:t xml:space="preserve">Section 5 - Table </w:t>
      </w:r>
      <w:fldSimple w:instr=" SEQ Section_5_-_Table \* ARABIC ">
        <w:r w:rsidR="005908C4">
          <w:rPr>
            <w:noProof/>
          </w:rPr>
          <w:t>64</w:t>
        </w:r>
      </w:fldSimple>
      <w:r>
        <w:t>: Contractual cash flows of financial liabilities excluding derivatives</w:t>
      </w:r>
    </w:p>
    <w:p w:rsidR="00FA6A77" w:rsidRPr="00D5126A" w:rsidRDefault="00FA6A77" w:rsidP="001D5AEA">
      <w:pPr>
        <w:pStyle w:val="Body"/>
      </w:pPr>
      <w:r w:rsidRPr="00D5126A">
        <w:rPr>
          <w:rFonts w:ascii="Arial" w:hAnsi="Arial" w:cs="Arial"/>
          <w:noProof/>
          <w:color w:val="333333"/>
          <w:lang w:eastAsia="en-NZ"/>
        </w:rPr>
        <w:drawing>
          <wp:inline distT="0" distB="0" distL="0" distR="0" wp14:anchorId="058143EB" wp14:editId="4B1736E8">
            <wp:extent cx="5475767" cy="2733625"/>
            <wp:effectExtent l="0" t="0" r="0" b="0"/>
            <wp:docPr id="1385" name="Picture 1385" title="Section 5 - Table 64: Contractual cash flows of financial liabilities excluding derivati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rotWithShape="1">
                    <a:blip r:embed="rId137">
                      <a:extLst>
                        <a:ext uri="{28A0092B-C50C-407E-A947-70E740481C1C}">
                          <a14:useLocalDpi xmlns:a14="http://schemas.microsoft.com/office/drawing/2010/main" val="0"/>
                        </a:ext>
                      </a:extLst>
                    </a:blip>
                    <a:srcRect b="2065"/>
                    <a:stretch/>
                  </pic:blipFill>
                  <pic:spPr bwMode="auto">
                    <a:xfrm>
                      <a:off x="0" y="0"/>
                      <a:ext cx="5473152" cy="2732320"/>
                    </a:xfrm>
                    <a:prstGeom prst="rect">
                      <a:avLst/>
                    </a:prstGeom>
                    <a:noFill/>
                    <a:ln>
                      <a:noFill/>
                    </a:ln>
                    <a:extLst>
                      <a:ext uri="{53640926-AAD7-44D8-BBD7-CCE9431645EC}">
                        <a14:shadowObscured xmlns:a14="http://schemas.microsoft.com/office/drawing/2010/main"/>
                      </a:ext>
                    </a:extLst>
                  </pic:spPr>
                </pic:pic>
              </a:graphicData>
            </a:graphic>
          </wp:inline>
        </w:drawing>
      </w:r>
      <w:r w:rsidRPr="00D5126A">
        <w:rPr>
          <w:rFonts w:ascii="Arial" w:hAnsi="Arial" w:cs="Arial"/>
          <w:color w:val="333333"/>
          <w:lang w:eastAsia="en-GB"/>
        </w:rPr>
        <w:t xml:space="preserve"> </w:t>
      </w:r>
    </w:p>
    <w:p w:rsidR="00FA6A77" w:rsidRPr="00D5126A" w:rsidRDefault="00FA6A77" w:rsidP="00CD5F85">
      <w:pPr>
        <w:rPr>
          <w:lang w:eastAsia="en-GB"/>
        </w:rPr>
      </w:pPr>
      <w:r w:rsidRPr="00D5126A">
        <w:rPr>
          <w:lang w:eastAsia="en-GB"/>
        </w:rPr>
        <w:lastRenderedPageBreak/>
        <w:t xml:space="preserve">The following maturity analysis </w:t>
      </w:r>
      <w:r w:rsidR="00296F23">
        <w:rPr>
          <w:lang w:eastAsia="en-GB"/>
        </w:rPr>
        <w:t>in Table 65</w:t>
      </w:r>
      <w:r w:rsidR="001D5AEA">
        <w:rPr>
          <w:lang w:eastAsia="en-GB"/>
        </w:rPr>
        <w:t xml:space="preserve"> </w:t>
      </w:r>
      <w:r w:rsidRPr="00D5126A">
        <w:rPr>
          <w:lang w:eastAsia="en-GB"/>
        </w:rPr>
        <w:t>sets out the contractual cash flows for all financial liabilities that are settled on a net cash flow basis. Contractual cash flows for derivative financial liabilities are the future interest payable.</w:t>
      </w:r>
    </w:p>
    <w:p w:rsidR="001D5AEA" w:rsidRDefault="001D5AEA" w:rsidP="001D5AEA">
      <w:pPr>
        <w:pStyle w:val="Caption"/>
      </w:pPr>
      <w:r>
        <w:t xml:space="preserve">Section 5 - Table </w:t>
      </w:r>
      <w:fldSimple w:instr=" SEQ Section_5_-_Table \* ARABIC ">
        <w:r w:rsidR="005908C4">
          <w:rPr>
            <w:noProof/>
          </w:rPr>
          <w:t>65</w:t>
        </w:r>
      </w:fldSimple>
      <w:r>
        <w:t>: Contractual cash flows of derivative financial liabilities</w:t>
      </w:r>
    </w:p>
    <w:p w:rsidR="00FA6A77" w:rsidRPr="00D5126A" w:rsidRDefault="00FA6A77" w:rsidP="00CD5F85">
      <w:r w:rsidRPr="00D5126A">
        <w:rPr>
          <w:noProof/>
          <w:lang w:eastAsia="en-NZ"/>
        </w:rPr>
        <w:drawing>
          <wp:inline distT="0" distB="0" distL="0" distR="0" wp14:anchorId="54A24662" wp14:editId="70731137">
            <wp:extent cx="6248345" cy="2870791"/>
            <wp:effectExtent l="0" t="0" r="635" b="6350"/>
            <wp:docPr id="1384" name="Picture 1384" title="Section 5 - Table 65: Contractual cash flows of derivative financial liabil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6261823" cy="2876984"/>
                    </a:xfrm>
                    <a:prstGeom prst="rect">
                      <a:avLst/>
                    </a:prstGeom>
                    <a:noFill/>
                    <a:ln>
                      <a:noFill/>
                    </a:ln>
                  </pic:spPr>
                </pic:pic>
              </a:graphicData>
            </a:graphic>
          </wp:inline>
        </w:drawing>
      </w:r>
    </w:p>
    <w:p w:rsidR="00FA6A77" w:rsidRPr="00D5126A" w:rsidRDefault="00FA6A77" w:rsidP="00CD5F85">
      <w:pPr>
        <w:rPr>
          <w:lang w:eastAsia="en-GB"/>
        </w:rPr>
      </w:pPr>
      <w:r w:rsidRPr="00D5126A">
        <w:rPr>
          <w:lang w:eastAsia="en-GB"/>
        </w:rPr>
        <w:t>In addition to cash to be received in 2019/20 the Group currently has $120.000m (2018: $120.000m) in unutilised committed bank facilities available to settle obligations as well as $205.000m (2018: $164.905m) of cash, cash equivalents and receivables and is expected to have sufficient cash to meet all contractual liabilities as they fall due.</w:t>
      </w:r>
    </w:p>
    <w:p w:rsidR="00FA6A77" w:rsidRPr="00D5126A" w:rsidRDefault="00FA6A77" w:rsidP="00CD5F85">
      <w:pPr>
        <w:rPr>
          <w:lang w:eastAsia="en-GB"/>
        </w:rPr>
      </w:pPr>
      <w:r w:rsidRPr="00D5126A">
        <w:rPr>
          <w:lang w:eastAsia="en-GB"/>
        </w:rPr>
        <w:t xml:space="preserve">The Group is exposed to liquidity risk as a guarantor of all of LGFA’s borrowings. This guarantee becomes callable in the event of the LGFA failing to pay its obligations when they fall due. Information about this exposure is explained in Note 34: </w:t>
      </w:r>
      <w:r w:rsidRPr="001764C5">
        <w:rPr>
          <w:lang w:eastAsia="en-GB"/>
        </w:rPr>
        <w:t xml:space="preserve">Contingencies (page </w:t>
      </w:r>
      <w:r w:rsidR="001764C5" w:rsidRPr="001764C5">
        <w:rPr>
          <w:lang w:eastAsia="en-GB"/>
        </w:rPr>
        <w:t>301</w:t>
      </w:r>
      <w:r w:rsidRPr="001764C5">
        <w:rPr>
          <w:lang w:eastAsia="en-GB"/>
        </w:rPr>
        <w:t>).</w:t>
      </w:r>
      <w:r w:rsidRPr="00D5126A">
        <w:rPr>
          <w:lang w:eastAsia="en-GB"/>
        </w:rPr>
        <w:t xml:space="preserve">                                                                                                                                                                                                                                                                                          </w:t>
      </w:r>
    </w:p>
    <w:p w:rsidR="00FA6A77" w:rsidRPr="00D5126A" w:rsidRDefault="00FA6A77" w:rsidP="00CD5F85">
      <w:pPr>
        <w:rPr>
          <w:lang w:eastAsia="en-GB"/>
        </w:rPr>
      </w:pPr>
      <w:r w:rsidRPr="00D5126A">
        <w:rPr>
          <w:lang w:eastAsia="en-GB"/>
        </w:rPr>
        <w:t>The Group mitigates exposure to liquidity risk by managing the maturity of its borrowings programme within the following maturity limits</w:t>
      </w:r>
      <w:r w:rsidR="00296F23">
        <w:rPr>
          <w:lang w:eastAsia="en-GB"/>
        </w:rPr>
        <w:t>, as shown in Table 66</w:t>
      </w:r>
      <w:r w:rsidRPr="00D5126A">
        <w:rPr>
          <w:lang w:eastAsia="en-GB"/>
        </w:rPr>
        <w:t>:</w:t>
      </w:r>
    </w:p>
    <w:p w:rsidR="001D5AEA" w:rsidRDefault="001D5AEA" w:rsidP="001D5AEA">
      <w:pPr>
        <w:pStyle w:val="Caption"/>
      </w:pPr>
      <w:r>
        <w:t xml:space="preserve">Section 5 - Table </w:t>
      </w:r>
      <w:fldSimple w:instr=" SEQ Section_5_-_Table \* ARABIC ">
        <w:r w:rsidR="005908C4">
          <w:rPr>
            <w:noProof/>
          </w:rPr>
          <w:t>66</w:t>
        </w:r>
      </w:fldSimple>
      <w:r>
        <w:t>: Liquidity funding risk</w:t>
      </w:r>
    </w:p>
    <w:p w:rsidR="00FA6A77" w:rsidRPr="00D5126A" w:rsidRDefault="00FA6A77" w:rsidP="00CD5F85">
      <w:pPr>
        <w:rPr>
          <w:lang w:eastAsia="en-GB"/>
        </w:rPr>
      </w:pPr>
      <w:r w:rsidRPr="00D5126A">
        <w:rPr>
          <w:noProof/>
          <w:lang w:eastAsia="en-NZ"/>
        </w:rPr>
        <w:drawing>
          <wp:inline distT="0" distB="0" distL="0" distR="0" wp14:anchorId="09684F3D" wp14:editId="01B48BFD">
            <wp:extent cx="5896938" cy="765544"/>
            <wp:effectExtent l="0" t="0" r="0" b="0"/>
            <wp:docPr id="1383" name="Picture 1383" title="Section 5 - Table 66: Liquidity funding ri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rotWithShape="1">
                    <a:blip r:embed="rId139">
                      <a:extLst>
                        <a:ext uri="{28A0092B-C50C-407E-A947-70E740481C1C}">
                          <a14:useLocalDpi xmlns:a14="http://schemas.microsoft.com/office/drawing/2010/main" val="0"/>
                        </a:ext>
                      </a:extLst>
                    </a:blip>
                    <a:srcRect t="21739"/>
                    <a:stretch/>
                  </pic:blipFill>
                  <pic:spPr bwMode="auto">
                    <a:xfrm>
                      <a:off x="0" y="0"/>
                      <a:ext cx="5933440" cy="770283"/>
                    </a:xfrm>
                    <a:prstGeom prst="rect">
                      <a:avLst/>
                    </a:prstGeom>
                    <a:noFill/>
                    <a:ln>
                      <a:noFill/>
                    </a:ln>
                    <a:extLst>
                      <a:ext uri="{53640926-AAD7-44D8-BBD7-CCE9431645EC}">
                        <a14:shadowObscured xmlns:a14="http://schemas.microsoft.com/office/drawing/2010/main"/>
                      </a:ext>
                    </a:extLst>
                  </pic:spPr>
                </pic:pic>
              </a:graphicData>
            </a:graphic>
          </wp:inline>
        </w:drawing>
      </w:r>
    </w:p>
    <w:p w:rsidR="00FA6A77" w:rsidRPr="00D5126A" w:rsidRDefault="00FA6A77" w:rsidP="00CD5F85">
      <w:pPr>
        <w:pStyle w:val="Heading4"/>
        <w:rPr>
          <w:rFonts w:asciiTheme="majorHAnsi" w:hAnsiTheme="majorHAnsi" w:cs="Times New Roman"/>
          <w:color w:val="auto"/>
          <w:lang w:eastAsia="en-GB"/>
        </w:rPr>
      </w:pPr>
      <w:r w:rsidRPr="00D5126A">
        <w:rPr>
          <w:lang w:eastAsia="en-GB"/>
        </w:rPr>
        <w:t>Market risk</w:t>
      </w:r>
    </w:p>
    <w:p w:rsidR="00FA6A77" w:rsidRPr="00D5126A" w:rsidRDefault="00FA6A77" w:rsidP="00AC1727">
      <w:pPr>
        <w:rPr>
          <w:lang w:eastAsia="en-GB"/>
        </w:rPr>
      </w:pPr>
      <w:r w:rsidRPr="00D5126A">
        <w:rPr>
          <w:lang w:eastAsia="en-GB"/>
        </w:rPr>
        <w:t>Market risk is the risk that the value of an investment will decrease or a liability will increase due to changes in market conditions. The Group uses interest rate swaps in the ordinary course of business to manage interest rate risks. A Treasury Committee, headed by senior management personnel and the Council’s treasury management advisors (presently PwC), provides oversight for financial risk management and derivative activities and ensures any activities are in line with the Liability Management Policy which is formally approved by the Council as part of the Long-Term Plan (LTP).</w:t>
      </w:r>
    </w:p>
    <w:p w:rsidR="00FA6A77" w:rsidRPr="00D5126A" w:rsidRDefault="00FA6A77" w:rsidP="00AC1727">
      <w:pPr>
        <w:pStyle w:val="Heading5"/>
        <w:rPr>
          <w:lang w:eastAsia="en-GB"/>
        </w:rPr>
      </w:pPr>
      <w:r w:rsidRPr="00D5126A">
        <w:rPr>
          <w:lang w:eastAsia="en-GB"/>
        </w:rPr>
        <w:lastRenderedPageBreak/>
        <w:t>Cash flow and fair value interest rate risk</w:t>
      </w:r>
    </w:p>
    <w:p w:rsidR="00FA6A77" w:rsidRDefault="00FA6A77" w:rsidP="00AC1727">
      <w:pPr>
        <w:rPr>
          <w:lang w:eastAsia="en-GB"/>
        </w:rPr>
      </w:pPr>
      <w:r w:rsidRPr="00D5126A">
        <w:rPr>
          <w:lang w:eastAsia="en-GB"/>
        </w:rPr>
        <w:t>Interest rate risk is the risk that the fair value or future cash flows of the Group’s financial instruments will decrease due to changes in market interest rates. The Group is exposed to interest rate risk from its interest-earning financial assets and interest-bearing financial liabilities. The Group is risk averse and seeks to minimise exposure arising from its borrowing activities primarily by entering into interest rate swap arrangements to fix interest rates on its borrowings.</w:t>
      </w:r>
    </w:p>
    <w:p w:rsidR="00296F23" w:rsidRPr="00D5126A" w:rsidRDefault="00296F23" w:rsidP="00296F23">
      <w:pPr>
        <w:rPr>
          <w:lang w:eastAsia="en-GB"/>
        </w:rPr>
      </w:pPr>
      <w:r>
        <w:rPr>
          <w:lang w:eastAsia="en-GB"/>
        </w:rPr>
        <w:t>Since balance date the Reserve Bank lowered the Official Cash Rate (OCR) on 7 August to 1.0% and accordingly market interest rates have further reduced. As Council does not trade in these derivatives and they are held to maturity, the impact of movement in the valuation of the interest rate swaps held by the Group has changed, with an unrealised movement going directly to a reserve within equity.  Changes in valuation of the interest rate swaps have no impact on rates.</w:t>
      </w:r>
    </w:p>
    <w:p w:rsidR="00FA6A77" w:rsidRPr="00D5126A" w:rsidRDefault="00FA6A77" w:rsidP="00AC1727">
      <w:pPr>
        <w:rPr>
          <w:lang w:eastAsia="en-GB"/>
        </w:rPr>
      </w:pPr>
      <w:r w:rsidRPr="00D5126A">
        <w:rPr>
          <w:lang w:eastAsia="en-GB"/>
        </w:rPr>
        <w:t xml:space="preserve">The Group manages its cash flow interest rate risk by using interest rate swaps. These have the economic effect of converting borrowings from floating rates to fixed rates. The Council uses interest rate swaps to maintain a required proportion of borrowing between fixed and floating interest rates, using a corridor policy, as specified in the liability management policy. </w:t>
      </w:r>
    </w:p>
    <w:p w:rsidR="00FA6A77" w:rsidRPr="00D5126A" w:rsidRDefault="00FA6A77" w:rsidP="00AC1727">
      <w:pPr>
        <w:rPr>
          <w:lang w:eastAsia="en-NZ"/>
        </w:rPr>
      </w:pPr>
      <w:r w:rsidRPr="00D5126A">
        <w:rPr>
          <w:lang w:eastAsia="en-NZ"/>
        </w:rPr>
        <w:t>The proportion of gross borrowing at a fixed interest rate for the period ending 30 June 2019 is 74%.</w:t>
      </w:r>
    </w:p>
    <w:p w:rsidR="00FA6A77" w:rsidRPr="00D5126A" w:rsidRDefault="00296F23" w:rsidP="00AC1727">
      <w:pPr>
        <w:rPr>
          <w:lang w:eastAsia="en-GB"/>
        </w:rPr>
      </w:pPr>
      <w:r>
        <w:rPr>
          <w:lang w:eastAsia="en-GB"/>
        </w:rPr>
        <w:t>Table 67</w:t>
      </w:r>
      <w:r w:rsidR="00FA6A77" w:rsidRPr="00D5126A">
        <w:rPr>
          <w:lang w:eastAsia="en-GB"/>
        </w:rPr>
        <w:t xml:space="preserve"> below shows the effect of the interest rate swaps at reducing the Council’s exposure to interest rate risk:</w:t>
      </w:r>
    </w:p>
    <w:p w:rsidR="001D5AEA" w:rsidRDefault="001D5AEA" w:rsidP="001D5AEA">
      <w:pPr>
        <w:pStyle w:val="Caption"/>
      </w:pPr>
      <w:r>
        <w:t xml:space="preserve">Section 5 - Table </w:t>
      </w:r>
      <w:fldSimple w:instr=" SEQ Section_5_-_Table \* ARABIC ">
        <w:r w:rsidR="005908C4">
          <w:rPr>
            <w:noProof/>
          </w:rPr>
          <w:t>67</w:t>
        </w:r>
      </w:fldSimple>
      <w:r>
        <w:t>: Interest rate volatility</w:t>
      </w:r>
    </w:p>
    <w:p w:rsidR="00FA6A77" w:rsidRPr="00D5126A" w:rsidRDefault="00FA6A77" w:rsidP="00AC1727">
      <w:pPr>
        <w:rPr>
          <w:rFonts w:asciiTheme="majorHAnsi" w:hAnsiTheme="majorHAnsi"/>
        </w:rPr>
      </w:pPr>
      <w:r w:rsidRPr="00D5126A">
        <w:rPr>
          <w:noProof/>
          <w:lang w:eastAsia="en-NZ"/>
        </w:rPr>
        <w:drawing>
          <wp:inline distT="0" distB="0" distL="0" distR="0" wp14:anchorId="066B1E90" wp14:editId="56802FE3">
            <wp:extent cx="6159646" cy="3997841"/>
            <wp:effectExtent l="0" t="0" r="0" b="3175"/>
            <wp:docPr id="1382" name="Picture 1382" title="Section 5 - Table 67: Interest rate volat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6167313" cy="4002817"/>
                    </a:xfrm>
                    <a:prstGeom prst="rect">
                      <a:avLst/>
                    </a:prstGeom>
                    <a:noFill/>
                    <a:ln>
                      <a:noFill/>
                    </a:ln>
                  </pic:spPr>
                </pic:pic>
              </a:graphicData>
            </a:graphic>
          </wp:inline>
        </w:drawing>
      </w:r>
    </w:p>
    <w:p w:rsidR="00FA6A77" w:rsidRPr="00D5126A" w:rsidRDefault="00FA6A77" w:rsidP="00AC1727">
      <w:pPr>
        <w:rPr>
          <w:rFonts w:ascii="Arial" w:hAnsi="Arial" w:cs="Arial"/>
          <w:color w:val="333333"/>
          <w:lang w:eastAsia="en-GB"/>
        </w:rPr>
      </w:pPr>
      <w:r w:rsidRPr="00D5126A">
        <w:rPr>
          <w:rFonts w:ascii="Arial" w:hAnsi="Arial" w:cs="Arial"/>
          <w:color w:val="333333"/>
          <w:lang w:eastAsia="en-GB"/>
        </w:rPr>
        <w:t xml:space="preserve">These interest rate swaps have a nominal value which represents the value of the debt that they are covering (included above). This amount is not recorded in the financial statements; instead the fair value of these interest rate swaps is recognised. This represents the difference between the forecast </w:t>
      </w:r>
      <w:r w:rsidRPr="00D5126A">
        <w:rPr>
          <w:rFonts w:ascii="Arial" w:hAnsi="Arial" w:cs="Arial"/>
          <w:color w:val="333333"/>
          <w:lang w:eastAsia="en-GB"/>
        </w:rPr>
        <w:lastRenderedPageBreak/>
        <w:t>current floating interest rate and the fixed swap interest rate discounted back to present value. At 30 June 2019 the fair value of the interest rate swaps was -$68.138mm (2018: -$25.362m). The liability represents the forecast extra cash flows the Council is expected to pay from locking in fixed interest rates higher than current market rates</w:t>
      </w:r>
    </w:p>
    <w:p w:rsidR="00FA6A77" w:rsidRPr="00D5126A" w:rsidRDefault="00FA6A77" w:rsidP="00AC1727">
      <w:pPr>
        <w:rPr>
          <w:rFonts w:ascii="Arial" w:hAnsi="Arial" w:cs="Arial"/>
          <w:color w:val="333333"/>
          <w:lang w:eastAsia="en-GB"/>
        </w:rPr>
      </w:pPr>
      <w:r w:rsidRPr="00D5126A">
        <w:rPr>
          <w:rFonts w:ascii="Arial" w:hAnsi="Arial" w:cs="Arial"/>
          <w:color w:val="333333"/>
          <w:lang w:eastAsia="en-GB"/>
        </w:rPr>
        <w:t>Given that the interest rate swaps have terms that match with the borrowings (short term bank facilities, commercial paper and debt securities), it is appropriate to include the effect of the interest rate swaps on the borrowings interest rate and present the net effective interest rates for the underlying borrowings:</w:t>
      </w:r>
    </w:p>
    <w:p w:rsidR="001D5AEA" w:rsidRDefault="001D5AEA" w:rsidP="001D5AEA">
      <w:pPr>
        <w:pStyle w:val="Caption"/>
      </w:pPr>
      <w:r>
        <w:t xml:space="preserve">Section 5 - Table </w:t>
      </w:r>
      <w:fldSimple w:instr=" SEQ Section_5_-_Table \* ARABIC ">
        <w:r w:rsidR="005908C4">
          <w:rPr>
            <w:noProof/>
          </w:rPr>
          <w:t>68</w:t>
        </w:r>
      </w:fldSimple>
      <w:r>
        <w:t>: Weighted effective interest rates</w:t>
      </w:r>
    </w:p>
    <w:p w:rsidR="00FA6A77" w:rsidRPr="00D5126A" w:rsidRDefault="00FA6A77" w:rsidP="00AC1727">
      <w:r w:rsidRPr="00D5126A">
        <w:rPr>
          <w:noProof/>
          <w:lang w:eastAsia="en-NZ"/>
        </w:rPr>
        <w:drawing>
          <wp:inline distT="0" distB="0" distL="0" distR="0" wp14:anchorId="0EBA036F" wp14:editId="112281B5">
            <wp:extent cx="6251008" cy="2775097"/>
            <wp:effectExtent l="0" t="0" r="0" b="6350"/>
            <wp:docPr id="1381" name="Picture 1381" title="Section 5 - Table 68: Weighted effective interest r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6264467" cy="2781072"/>
                    </a:xfrm>
                    <a:prstGeom prst="rect">
                      <a:avLst/>
                    </a:prstGeom>
                    <a:noFill/>
                    <a:ln>
                      <a:noFill/>
                    </a:ln>
                  </pic:spPr>
                </pic:pic>
              </a:graphicData>
            </a:graphic>
          </wp:inline>
        </w:drawing>
      </w:r>
    </w:p>
    <w:p w:rsidR="00FA6A77" w:rsidRPr="00D5126A" w:rsidRDefault="00FA6A77" w:rsidP="00AC1727">
      <w:pPr>
        <w:rPr>
          <w:rFonts w:ascii="Arial" w:hAnsi="Arial" w:cs="Arial"/>
          <w:color w:val="333333"/>
          <w:lang w:eastAsia="en-GB"/>
        </w:rPr>
      </w:pPr>
      <w:r w:rsidRPr="00D5126A">
        <w:rPr>
          <w:rFonts w:ascii="Arial" w:hAnsi="Arial" w:cs="Arial"/>
          <w:color w:val="333333"/>
          <w:lang w:eastAsia="en-GB"/>
        </w:rPr>
        <w:t>The related party loan to the Wellington Regional Stadium Trust is on interest free terms.</w:t>
      </w:r>
    </w:p>
    <w:p w:rsidR="00FA6A77" w:rsidRPr="00D5126A" w:rsidRDefault="00FA6A77" w:rsidP="00AC1727">
      <w:pPr>
        <w:pStyle w:val="Heading5"/>
        <w:rPr>
          <w:color w:val="333333"/>
          <w:lang w:eastAsia="en-GB"/>
        </w:rPr>
      </w:pPr>
      <w:r w:rsidRPr="00D5126A">
        <w:rPr>
          <w:lang w:eastAsia="en-GB"/>
        </w:rPr>
        <w:t xml:space="preserve">Sensitivity analysis </w:t>
      </w:r>
    </w:p>
    <w:p w:rsidR="00FA6A77" w:rsidRPr="00D5126A" w:rsidRDefault="00FA6A77" w:rsidP="00AC1727">
      <w:pPr>
        <w:rPr>
          <w:rFonts w:ascii="Arial" w:hAnsi="Arial" w:cs="Arial"/>
          <w:color w:val="333333"/>
          <w:lang w:eastAsia="en-GB"/>
        </w:rPr>
      </w:pPr>
      <w:r w:rsidRPr="00D5126A">
        <w:rPr>
          <w:rFonts w:ascii="Arial" w:hAnsi="Arial" w:cs="Arial"/>
          <w:color w:val="333333"/>
          <w:lang w:eastAsia="en-GB"/>
        </w:rPr>
        <w:t xml:space="preserve">While the Group has significantly reduced the impact of short-term fluctuations on the Group’s earnings through interest rate swap arrangements, there is still some exposure to changes in interest rates. </w:t>
      </w:r>
    </w:p>
    <w:p w:rsidR="00FA6A77" w:rsidRPr="00D5126A" w:rsidRDefault="00FA6A77" w:rsidP="00AC1727">
      <w:pPr>
        <w:rPr>
          <w:rFonts w:ascii="Arial" w:hAnsi="Arial" w:cs="Arial"/>
          <w:color w:val="333333"/>
          <w:lang w:eastAsia="en-GB"/>
        </w:rPr>
      </w:pPr>
      <w:r w:rsidRPr="00D5126A">
        <w:rPr>
          <w:rFonts w:ascii="Arial" w:hAnsi="Arial" w:cs="Arial"/>
          <w:color w:val="333333"/>
          <w:lang w:eastAsia="en-GB"/>
        </w:rPr>
        <w:t>The tables below illustrate the potential surplus or deficit impact of a 1% change in interest rates based on the Group’s exposures at the end of the reporting period:</w:t>
      </w:r>
    </w:p>
    <w:p w:rsidR="008750F1" w:rsidRDefault="008750F1" w:rsidP="008750F1">
      <w:pPr>
        <w:pStyle w:val="Caption"/>
      </w:pPr>
      <w:r>
        <w:lastRenderedPageBreak/>
        <w:t xml:space="preserve">Section 5 - Table </w:t>
      </w:r>
      <w:fldSimple w:instr=" SEQ Section_5_-_Table \* ARABIC ">
        <w:r w:rsidR="005908C4">
          <w:rPr>
            <w:noProof/>
          </w:rPr>
          <w:t>69</w:t>
        </w:r>
      </w:fldSimple>
      <w:r>
        <w:t>: Sensitivity to interest rate risk</w:t>
      </w:r>
    </w:p>
    <w:p w:rsidR="00FA6A77" w:rsidRPr="00D5126A" w:rsidRDefault="00FA6A77" w:rsidP="00AC1727">
      <w:r w:rsidRPr="00D5126A">
        <w:rPr>
          <w:noProof/>
          <w:lang w:eastAsia="en-NZ"/>
        </w:rPr>
        <w:drawing>
          <wp:inline distT="0" distB="0" distL="0" distR="0" wp14:anchorId="73D6C20F" wp14:editId="10DFBA54">
            <wp:extent cx="6148286" cy="3402419"/>
            <wp:effectExtent l="0" t="0" r="5080" b="7620"/>
            <wp:docPr id="1380" name="Picture 1380" title="Section 5 - Table 69: Sensitivity to interest rate ri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6159478" cy="3408613"/>
                    </a:xfrm>
                    <a:prstGeom prst="rect">
                      <a:avLst/>
                    </a:prstGeom>
                    <a:noFill/>
                    <a:ln>
                      <a:noFill/>
                    </a:ln>
                  </pic:spPr>
                </pic:pic>
              </a:graphicData>
            </a:graphic>
          </wp:inline>
        </w:drawing>
      </w:r>
    </w:p>
    <w:p w:rsidR="00FA6A77" w:rsidRPr="00D5126A" w:rsidRDefault="00FA6A77" w:rsidP="002C7BF8">
      <w:pPr>
        <w:pStyle w:val="Heading6"/>
        <w:numPr>
          <w:ilvl w:val="1"/>
          <w:numId w:val="54"/>
        </w:numPr>
        <w:ind w:left="709"/>
        <w:rPr>
          <w:color w:val="333333"/>
          <w:lang w:eastAsia="en-GB"/>
        </w:rPr>
      </w:pPr>
      <w:r w:rsidRPr="00D5126A">
        <w:rPr>
          <w:lang w:eastAsia="en-GB"/>
        </w:rPr>
        <w:t>Cash and cash equivalents</w:t>
      </w:r>
    </w:p>
    <w:p w:rsidR="00FA6A77" w:rsidRPr="00D5126A" w:rsidRDefault="00FA6A77" w:rsidP="00D67B60">
      <w:pPr>
        <w:jc w:val="both"/>
      </w:pPr>
      <w:r w:rsidRPr="00D5126A">
        <w:t>Group funds are in a number of different registered bank accounts with interest payable on</w:t>
      </w:r>
      <w:r w:rsidRPr="00D5126A">
        <w:rPr>
          <w:rFonts w:ascii="Arial" w:hAnsi="Arial" w:cs="Arial"/>
          <w:color w:val="333333"/>
          <w:lang w:eastAsia="en-GB"/>
        </w:rPr>
        <w:t xml:space="preserve"> </w:t>
      </w:r>
      <w:r w:rsidRPr="00D5126A">
        <w:t>the aggregation of all accounts.  A movement in interest rates of plus or minus 1% has an effect on interest revenue of $1.369m accordingly.</w:t>
      </w:r>
    </w:p>
    <w:p w:rsidR="00FA6A77" w:rsidRPr="00D5126A" w:rsidRDefault="00FA6A77" w:rsidP="002C7BF8">
      <w:pPr>
        <w:pStyle w:val="Heading6"/>
        <w:numPr>
          <w:ilvl w:val="0"/>
          <w:numId w:val="54"/>
        </w:numPr>
        <w:rPr>
          <w:color w:val="333333"/>
          <w:lang w:eastAsia="en-GB"/>
        </w:rPr>
      </w:pPr>
      <w:r w:rsidRPr="00D5126A">
        <w:rPr>
          <w:lang w:eastAsia="en-GB"/>
        </w:rPr>
        <w:t>Derivatives - hedged interest rate swaps</w:t>
      </w:r>
    </w:p>
    <w:p w:rsidR="00FA6A77" w:rsidRPr="00D5126A" w:rsidRDefault="00FA6A77" w:rsidP="00D67B60">
      <w:pPr>
        <w:jc w:val="both"/>
      </w:pPr>
      <w:r w:rsidRPr="00D5126A">
        <w:t>Derivatives include hedged interest rate swaps with a fair value totalling -$68.138m. A</w:t>
      </w:r>
      <w:r w:rsidRPr="00D5126A">
        <w:rPr>
          <w:rFonts w:ascii="Arial" w:hAnsi="Arial" w:cs="Arial"/>
          <w:color w:val="333333"/>
          <w:lang w:eastAsia="en-GB"/>
        </w:rPr>
        <w:t xml:space="preserve"> </w:t>
      </w:r>
      <w:r w:rsidRPr="00D5126A">
        <w:t xml:space="preserve">movement in interest rates of plus 1% has an effect on increasing the unrealised value of the hedged interest rate swap liabilities by $40.892m.  A movement in interest rates of minus 1% has an effect on reducing the unrealised value of the hedged interest rate swap liabilities by $45.639m. </w:t>
      </w:r>
    </w:p>
    <w:p w:rsidR="00FA6A77" w:rsidRPr="00D5126A" w:rsidRDefault="00FA6A77" w:rsidP="002C7BF8">
      <w:pPr>
        <w:pStyle w:val="Heading6"/>
        <w:numPr>
          <w:ilvl w:val="0"/>
          <w:numId w:val="54"/>
        </w:numPr>
        <w:rPr>
          <w:color w:val="333333"/>
          <w:lang w:eastAsia="en-GB"/>
        </w:rPr>
      </w:pPr>
      <w:r w:rsidRPr="00D5126A">
        <w:rPr>
          <w:lang w:eastAsia="en-GB"/>
        </w:rPr>
        <w:t xml:space="preserve"> Debt securities – floating rate notes</w:t>
      </w:r>
    </w:p>
    <w:p w:rsidR="00FA6A77" w:rsidRPr="00D5126A" w:rsidRDefault="00FA6A77" w:rsidP="00D67B60">
      <w:pPr>
        <w:jc w:val="both"/>
      </w:pPr>
      <w:r w:rsidRPr="00D5126A">
        <w:t>Debt securities at floating rates total $553.500m. The full exposure to changes in interest</w:t>
      </w:r>
      <w:r w:rsidRPr="00D5126A">
        <w:rPr>
          <w:rFonts w:ascii="Arial" w:hAnsi="Arial" w:cs="Arial"/>
          <w:color w:val="333333"/>
          <w:lang w:eastAsia="en-GB"/>
        </w:rPr>
        <w:t xml:space="preserve"> </w:t>
      </w:r>
      <w:r w:rsidRPr="00D5126A">
        <w:t>rates has been reduced because the Group has $379.5</w:t>
      </w:r>
      <w:r w:rsidR="00296F23">
        <w:t>00</w:t>
      </w:r>
      <w:r w:rsidRPr="00D5126A">
        <w:t>m of this debt at fixed rates through</w:t>
      </w:r>
      <w:r w:rsidRPr="00D5126A">
        <w:rPr>
          <w:rFonts w:ascii="Arial" w:hAnsi="Arial" w:cs="Arial"/>
          <w:color w:val="333333"/>
          <w:lang w:eastAsia="en-GB"/>
        </w:rPr>
        <w:t xml:space="preserve"> </w:t>
      </w:r>
      <w:r w:rsidRPr="00D5126A">
        <w:t>interest rate swaps. A movement in interest rates of plus or minus 1% has an effect on the</w:t>
      </w:r>
      <w:r w:rsidRPr="00D5126A">
        <w:rPr>
          <w:rFonts w:ascii="Arial" w:hAnsi="Arial" w:cs="Arial"/>
          <w:color w:val="333333"/>
          <w:lang w:eastAsia="en-GB"/>
        </w:rPr>
        <w:t xml:space="preserve"> </w:t>
      </w:r>
      <w:r w:rsidRPr="00D5126A">
        <w:t>interest expense of $3.795m accordingly.</w:t>
      </w:r>
    </w:p>
    <w:p w:rsidR="00FA6A77" w:rsidRPr="00D5126A" w:rsidRDefault="00FA6A77" w:rsidP="002C7BF8">
      <w:pPr>
        <w:pStyle w:val="Heading6"/>
        <w:numPr>
          <w:ilvl w:val="0"/>
          <w:numId w:val="54"/>
        </w:numPr>
        <w:rPr>
          <w:color w:val="333333"/>
          <w:lang w:eastAsia="en-GB"/>
        </w:rPr>
      </w:pPr>
      <w:r w:rsidRPr="00D5126A">
        <w:rPr>
          <w:lang w:eastAsia="en-GB"/>
        </w:rPr>
        <w:t>Debt Securities – fixed rate bonds</w:t>
      </w:r>
    </w:p>
    <w:p w:rsidR="00FA6A77" w:rsidRPr="00D5126A" w:rsidRDefault="00FA6A77" w:rsidP="00D67B60">
      <w:pPr>
        <w:jc w:val="both"/>
      </w:pPr>
      <w:r w:rsidRPr="00D5126A">
        <w:t>The Group has $45.000m of fixed rate bonds which are not exposed to interest rate</w:t>
      </w:r>
      <w:r w:rsidRPr="00D5126A">
        <w:rPr>
          <w:rFonts w:ascii="Arial" w:hAnsi="Arial" w:cs="Arial"/>
          <w:color w:val="333333"/>
          <w:lang w:eastAsia="en-GB"/>
        </w:rPr>
        <w:t xml:space="preserve"> </w:t>
      </w:r>
      <w:r w:rsidRPr="00D5126A">
        <w:t>changes.</w:t>
      </w:r>
    </w:p>
    <w:p w:rsidR="00FA6A77" w:rsidRPr="00D5126A" w:rsidRDefault="00FA6A77" w:rsidP="002C7BF8">
      <w:pPr>
        <w:pStyle w:val="Heading6"/>
        <w:numPr>
          <w:ilvl w:val="0"/>
          <w:numId w:val="54"/>
        </w:numPr>
        <w:rPr>
          <w:color w:val="333333"/>
          <w:lang w:eastAsia="en-GB"/>
        </w:rPr>
      </w:pPr>
      <w:r w:rsidRPr="00D5126A">
        <w:rPr>
          <w:lang w:eastAsia="en-GB"/>
        </w:rPr>
        <w:t>Bank Loan</w:t>
      </w:r>
    </w:p>
    <w:p w:rsidR="00FA6A77" w:rsidRPr="00D5126A" w:rsidRDefault="00FA6A77" w:rsidP="00D67B60">
      <w:pPr>
        <w:rPr>
          <w:lang w:eastAsia="en-GB"/>
        </w:rPr>
      </w:pPr>
      <w:r w:rsidRPr="00D5126A">
        <w:rPr>
          <w:lang w:eastAsia="en-GB"/>
        </w:rPr>
        <w:t>The Group, through the Council’s joint ventures with Porirua City Council has a bank term loan of $5.465m. This loan consists of various loans provided to the joint venture through Porirua City Council borrowing. The interest rate applied is fixed at 7% for the joint venture partners and is not subject to interest rate risk.</w:t>
      </w:r>
    </w:p>
    <w:p w:rsidR="00FA6A77" w:rsidRPr="00D5126A" w:rsidRDefault="00FA6A77" w:rsidP="002C7BF8">
      <w:pPr>
        <w:pStyle w:val="Heading6"/>
        <w:numPr>
          <w:ilvl w:val="0"/>
          <w:numId w:val="54"/>
        </w:numPr>
        <w:rPr>
          <w:color w:val="333333"/>
          <w:lang w:eastAsia="en-GB"/>
        </w:rPr>
      </w:pPr>
      <w:r w:rsidRPr="00D5126A">
        <w:rPr>
          <w:lang w:eastAsia="en-GB"/>
        </w:rPr>
        <w:t>Commercial paper</w:t>
      </w:r>
    </w:p>
    <w:p w:rsidR="00FA6A77" w:rsidRPr="00D5126A" w:rsidRDefault="00FA6A77" w:rsidP="00D67B60">
      <w:pPr>
        <w:rPr>
          <w:lang w:eastAsia="en-GB"/>
        </w:rPr>
      </w:pPr>
      <w:r w:rsidRPr="00D5126A">
        <w:rPr>
          <w:lang w:eastAsia="en-GB"/>
        </w:rPr>
        <w:t xml:space="preserve">The Group has a Commercial Paper programme which is subject to floating rates and totals $100.000m of which only $85.000m is presently utilised. The full exposure to changes in interest rates has been reduced because the Group has $75.000m of this debt at fixed rates through interest rate </w:t>
      </w:r>
      <w:r w:rsidRPr="00D5126A">
        <w:rPr>
          <w:lang w:eastAsia="en-GB"/>
        </w:rPr>
        <w:lastRenderedPageBreak/>
        <w:t>swaps. A movement in interest rates of plus or minus 1% has an effect on the interest expense of $0.100m accordingly.</w:t>
      </w:r>
    </w:p>
    <w:p w:rsidR="00FA6A77" w:rsidRPr="00D5126A" w:rsidRDefault="00FA6A77" w:rsidP="00D96278">
      <w:pPr>
        <w:pStyle w:val="Heading3"/>
      </w:pPr>
      <w:bookmarkStart w:id="475" w:name="_Toc19092091"/>
      <w:bookmarkStart w:id="476" w:name="_Toc23848728"/>
      <w:r w:rsidRPr="00D5126A">
        <w:t>Note 33: Commitments</w:t>
      </w:r>
      <w:bookmarkEnd w:id="475"/>
      <w:bookmarkEnd w:id="476"/>
    </w:p>
    <w:p w:rsidR="008750F1" w:rsidRDefault="008750F1" w:rsidP="008750F1">
      <w:pPr>
        <w:pStyle w:val="Caption"/>
      </w:pPr>
      <w:r>
        <w:t xml:space="preserve">Section 5 - Table </w:t>
      </w:r>
      <w:fldSimple w:instr=" SEQ Section_5_-_Table \* ARABIC ">
        <w:r w:rsidR="005908C4">
          <w:rPr>
            <w:noProof/>
          </w:rPr>
          <w:t>70</w:t>
        </w:r>
      </w:fldSimple>
      <w:r>
        <w:t>: Capital commitments</w:t>
      </w:r>
    </w:p>
    <w:p w:rsidR="00FA6A77" w:rsidRPr="00D5126A" w:rsidRDefault="00FA6A77" w:rsidP="008750F1">
      <w:pPr>
        <w:rPr>
          <w:rFonts w:asciiTheme="majorHAnsi" w:eastAsia="MS Gothic" w:hAnsiTheme="majorHAnsi"/>
          <w:b/>
          <w:bCs/>
          <w:iCs/>
          <w:sz w:val="36"/>
          <w:szCs w:val="28"/>
        </w:rPr>
      </w:pPr>
      <w:r w:rsidRPr="00D5126A">
        <w:rPr>
          <w:rFonts w:asciiTheme="majorHAnsi" w:eastAsia="MS Gothic" w:hAnsiTheme="majorHAnsi"/>
          <w:b/>
          <w:bCs/>
          <w:iCs/>
          <w:noProof/>
          <w:sz w:val="36"/>
          <w:szCs w:val="28"/>
          <w:lang w:eastAsia="en-NZ"/>
        </w:rPr>
        <w:drawing>
          <wp:inline distT="0" distB="0" distL="0" distR="0" wp14:anchorId="71FBEC2C" wp14:editId="68A05502">
            <wp:extent cx="6191885" cy="1948180"/>
            <wp:effectExtent l="0" t="0" r="0" b="0"/>
            <wp:docPr id="1379" name="Picture 1379" title="Section 5 - Table 70: Capital commit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6191885" cy="1948180"/>
                    </a:xfrm>
                    <a:prstGeom prst="rect">
                      <a:avLst/>
                    </a:prstGeom>
                    <a:noFill/>
                    <a:ln>
                      <a:noFill/>
                    </a:ln>
                  </pic:spPr>
                </pic:pic>
              </a:graphicData>
            </a:graphic>
          </wp:inline>
        </w:drawing>
      </w:r>
    </w:p>
    <w:p w:rsidR="00FA6A77" w:rsidRPr="00D5126A" w:rsidRDefault="00FA6A77" w:rsidP="00317BFF">
      <w:pPr>
        <w:rPr>
          <w:rFonts w:eastAsia="Times New Roman"/>
        </w:rPr>
      </w:pPr>
      <w:r w:rsidRPr="00D5126A">
        <w:t>The capital commitments above represent signed contracts in place at the end of the reporting period.</w:t>
      </w:r>
    </w:p>
    <w:p w:rsidR="00FA6A77" w:rsidRPr="00D5126A" w:rsidRDefault="00FA6A77" w:rsidP="00317BFF">
      <w:r w:rsidRPr="00D5126A">
        <w:t>The contracts will often span more than one financial year and may include capital expenditure carried forward from 2018/19 to future years.</w:t>
      </w:r>
    </w:p>
    <w:p w:rsidR="00FA6A77" w:rsidRPr="00D5126A" w:rsidRDefault="00FA6A77" w:rsidP="00317BFF">
      <w:pPr>
        <w:pStyle w:val="Heading4"/>
      </w:pPr>
      <w:bookmarkStart w:id="477" w:name="_Toc19092092"/>
      <w:r w:rsidRPr="00D5126A">
        <w:t>Lease commitments</w:t>
      </w:r>
      <w:bookmarkEnd w:id="477"/>
    </w:p>
    <w:p w:rsidR="00FA6A77" w:rsidRPr="00D5126A" w:rsidRDefault="00FA6A77" w:rsidP="00317BFF">
      <w:pPr>
        <w:pStyle w:val="Heading5"/>
      </w:pPr>
      <w:r w:rsidRPr="00D5126A">
        <w:t>Operating leases – Group as lessee</w:t>
      </w:r>
    </w:p>
    <w:p w:rsidR="00FA6A77" w:rsidRPr="00D5126A" w:rsidRDefault="00FA6A77" w:rsidP="00317BFF">
      <w:r w:rsidRPr="00D5126A">
        <w:t xml:space="preserve">The Group leases certain items of plant, equipment, land and buildings under various non-cancellable operating lease agreements. </w:t>
      </w:r>
    </w:p>
    <w:p w:rsidR="00FA6A77" w:rsidRPr="00D5126A" w:rsidRDefault="00FA6A77" w:rsidP="00317BFF">
      <w:r w:rsidRPr="00D5126A">
        <w:t xml:space="preserve">The lease terms are between 2 and 21 years and the majority of the lease agreements are generally renewable at the end of the lease period at market rates.   </w:t>
      </w:r>
    </w:p>
    <w:p w:rsidR="00FA6A77" w:rsidRPr="001764C5" w:rsidRDefault="00FA6A77" w:rsidP="00317BFF">
      <w:pPr>
        <w:rPr>
          <w:rFonts w:ascii="Arial" w:hAnsi="Arial"/>
          <w:szCs w:val="20"/>
          <w:highlight w:val="yellow"/>
        </w:rPr>
      </w:pPr>
      <w:r w:rsidRPr="00D5126A">
        <w:t xml:space="preserve">The amount of minimum payments for non-cancellable operating leases is recognised as an expense in Note 7: Expenditure on operating </w:t>
      </w:r>
      <w:r w:rsidRPr="001764C5">
        <w:t xml:space="preserve">activities </w:t>
      </w:r>
      <w:r w:rsidR="00317BFF" w:rsidRPr="001764C5">
        <w:rPr>
          <w:rFonts w:ascii="Arial" w:hAnsi="Arial"/>
          <w:szCs w:val="20"/>
        </w:rPr>
        <w:t xml:space="preserve">(page </w:t>
      </w:r>
      <w:r w:rsidR="001764C5" w:rsidRPr="001764C5">
        <w:rPr>
          <w:rFonts w:ascii="Arial" w:hAnsi="Arial"/>
          <w:szCs w:val="20"/>
        </w:rPr>
        <w:t>233</w:t>
      </w:r>
      <w:r w:rsidR="00317BFF" w:rsidRPr="001764C5">
        <w:rPr>
          <w:rFonts w:ascii="Arial" w:hAnsi="Arial"/>
          <w:szCs w:val="20"/>
        </w:rPr>
        <w:t>)</w:t>
      </w:r>
      <w:r w:rsidRPr="001764C5">
        <w:t>.</w:t>
      </w:r>
    </w:p>
    <w:p w:rsidR="00FA6A77" w:rsidRPr="00D5126A" w:rsidRDefault="00FA6A77" w:rsidP="003631E3">
      <w:pPr>
        <w:pStyle w:val="Heading6"/>
        <w:rPr>
          <w:rFonts w:asciiTheme="majorHAnsi" w:hAnsiTheme="majorHAnsi" w:cs="Times New Roman"/>
          <w:sz w:val="24"/>
          <w:szCs w:val="26"/>
          <w:lang w:eastAsia="en-GB"/>
        </w:rPr>
      </w:pPr>
      <w:r w:rsidRPr="00D5126A">
        <w:rPr>
          <w:lang w:eastAsia="en-GB"/>
        </w:rPr>
        <w:t>Relevant significant accounting policies</w:t>
      </w:r>
    </w:p>
    <w:p w:rsidR="00FA6A77" w:rsidRPr="00D5126A" w:rsidRDefault="00FA6A77" w:rsidP="00317BFF">
      <w:r w:rsidRPr="00D5126A">
        <w:t>Leases where the lessor retains substantially all the risks and rewards of ownership of the leased items are classified as operating leases. Payments made under operating leases are recognised within surplus or deficit on a straight-line basis over the term of the lease. Lease incentives received are recognised within surplus or deficit over the term of the lease as they form an integral part of the total lease payment.</w:t>
      </w:r>
    </w:p>
    <w:p w:rsidR="00317BFF" w:rsidRPr="00D5126A" w:rsidRDefault="00FA6A77" w:rsidP="00317BFF">
      <w:r w:rsidRPr="00D5126A">
        <w:t xml:space="preserve">The future expenditure committed by these leases is analysed </w:t>
      </w:r>
      <w:r w:rsidR="00296F23">
        <w:t>in the following table.</w:t>
      </w:r>
    </w:p>
    <w:p w:rsidR="008750F1" w:rsidRDefault="008750F1" w:rsidP="008750F1">
      <w:pPr>
        <w:pStyle w:val="Caption"/>
      </w:pPr>
      <w:r>
        <w:lastRenderedPageBreak/>
        <w:t xml:space="preserve">Section 5 - Table </w:t>
      </w:r>
      <w:fldSimple w:instr=" SEQ Section_5_-_Table \* ARABIC ">
        <w:r w:rsidR="005908C4">
          <w:rPr>
            <w:noProof/>
          </w:rPr>
          <w:t>71</w:t>
        </w:r>
      </w:fldSimple>
      <w:r>
        <w:t xml:space="preserve">: </w:t>
      </w:r>
      <w:r w:rsidRPr="00430CD1">
        <w:t>Non-cancellable operating lease commitments as lessee</w:t>
      </w:r>
    </w:p>
    <w:p w:rsidR="00FA6A77" w:rsidRPr="00D5126A" w:rsidRDefault="00FA6A77" w:rsidP="00296F23">
      <w:r w:rsidRPr="00D5126A">
        <w:rPr>
          <w:noProof/>
          <w:lang w:eastAsia="en-NZ"/>
        </w:rPr>
        <w:drawing>
          <wp:inline distT="0" distB="0" distL="0" distR="0" wp14:anchorId="69EA25AF" wp14:editId="56B4A35C">
            <wp:extent cx="5762846" cy="2528744"/>
            <wp:effectExtent l="0" t="0" r="0" b="5080"/>
            <wp:docPr id="1378" name="Picture 1378" title="Section 5 - Table 70: Capital commit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5772930" cy="2533169"/>
                    </a:xfrm>
                    <a:prstGeom prst="rect">
                      <a:avLst/>
                    </a:prstGeom>
                    <a:noFill/>
                    <a:ln>
                      <a:noFill/>
                    </a:ln>
                  </pic:spPr>
                </pic:pic>
              </a:graphicData>
            </a:graphic>
          </wp:inline>
        </w:drawing>
      </w:r>
    </w:p>
    <w:p w:rsidR="00FA6A77" w:rsidRPr="00D5126A" w:rsidRDefault="00FA6A77" w:rsidP="00317BFF">
      <w:pPr>
        <w:pStyle w:val="Heading5"/>
        <w:rPr>
          <w:lang w:eastAsia="en-GB"/>
        </w:rPr>
      </w:pPr>
      <w:r w:rsidRPr="00D5126A">
        <w:rPr>
          <w:lang w:eastAsia="en-GB"/>
        </w:rPr>
        <w:t>Operating leases – Group as lessor</w:t>
      </w:r>
    </w:p>
    <w:p w:rsidR="00FA6A77" w:rsidRPr="00D5126A" w:rsidRDefault="00FA6A77" w:rsidP="00317BFF">
      <w:r w:rsidRPr="00D5126A">
        <w:t xml:space="preserve">The Group has also entered into commercial property leases of its investment property portfolio and other land and buildings. </w:t>
      </w:r>
    </w:p>
    <w:p w:rsidR="00FA6A77" w:rsidRPr="00D5126A" w:rsidRDefault="00FA6A77" w:rsidP="00317BFF">
      <w:r w:rsidRPr="00D5126A">
        <w:t xml:space="preserve">The land and buildings held for investment purposes are properties which are not held for operational purposes and are leased to external parties. </w:t>
      </w:r>
    </w:p>
    <w:p w:rsidR="00FA6A77" w:rsidRPr="00D5126A" w:rsidRDefault="00FA6A77" w:rsidP="00317BFF">
      <w:r w:rsidRPr="00D5126A">
        <w:t>Ground leases are parcels of land owned by the Group in the central city or on the waterfront that are leased to other parties who own the buildings situated on the land. The leases are generally based on 21-year perpetually renewable terms. As these parcels of land are held for investment purposes the leases are charged on a commercial market basis.</w:t>
      </w:r>
    </w:p>
    <w:p w:rsidR="00FA6A77" w:rsidRPr="00D5126A" w:rsidRDefault="00FA6A77" w:rsidP="00317BFF">
      <w:r w:rsidRPr="00D5126A">
        <w:t>The land and buildings not held for investment purposes are either used to accommodate the Group’s operational activities or are held for purposes such as road widening, heritage, or are being monitored for compliance reasons. In some cases, parts of these assets are leased to external parties on a commercial basis. The terms of these commercial leases generally range from 1 to 15 years.</w:t>
      </w:r>
    </w:p>
    <w:p w:rsidR="00FA6A77" w:rsidRPr="00D5126A" w:rsidRDefault="00FA6A77" w:rsidP="003631E3">
      <w:pPr>
        <w:pStyle w:val="Heading6"/>
        <w:rPr>
          <w:rFonts w:asciiTheme="majorHAnsi" w:hAnsiTheme="majorHAnsi" w:cs="Times New Roman"/>
          <w:lang w:eastAsia="en-GB"/>
        </w:rPr>
      </w:pPr>
      <w:r w:rsidRPr="00D5126A">
        <w:rPr>
          <w:lang w:eastAsia="en-GB"/>
        </w:rPr>
        <w:t>Relevant significant accounting policies</w:t>
      </w:r>
    </w:p>
    <w:p w:rsidR="00FA6A77" w:rsidRPr="00D5126A" w:rsidRDefault="00FA6A77" w:rsidP="00317BFF">
      <w:r w:rsidRPr="00D5126A">
        <w:t>Rental revenue is recognised on a straight-line basis over the lease term.</w:t>
      </w:r>
    </w:p>
    <w:p w:rsidR="00FA6A77" w:rsidRPr="00D5126A" w:rsidRDefault="00FA6A77" w:rsidP="00317BFF">
      <w:r w:rsidRPr="00D5126A">
        <w:t xml:space="preserve">The committed revenues expected from these lease portfolios are analysed </w:t>
      </w:r>
      <w:r w:rsidR="00296F23">
        <w:t>in the following table.</w:t>
      </w:r>
    </w:p>
    <w:p w:rsidR="008750F1" w:rsidRDefault="008750F1" w:rsidP="008750F1">
      <w:pPr>
        <w:pStyle w:val="Caption"/>
      </w:pPr>
      <w:r>
        <w:lastRenderedPageBreak/>
        <w:t xml:space="preserve">Section 5 - Table </w:t>
      </w:r>
      <w:fldSimple w:instr=" SEQ Section_5_-_Table \* ARABIC ">
        <w:r w:rsidR="005908C4">
          <w:rPr>
            <w:noProof/>
          </w:rPr>
          <w:t>72</w:t>
        </w:r>
      </w:fldSimple>
      <w:r>
        <w:t xml:space="preserve">: </w:t>
      </w:r>
      <w:r w:rsidRPr="00DF4931">
        <w:t>Non-cancellable opera</w:t>
      </w:r>
      <w:r>
        <w:t>ting lease commitments as lessor</w:t>
      </w:r>
    </w:p>
    <w:p w:rsidR="00FA6A77" w:rsidRPr="00D5126A" w:rsidRDefault="00FA6A77" w:rsidP="003631E3">
      <w:pPr>
        <w:ind w:left="-284"/>
      </w:pPr>
      <w:r w:rsidRPr="00D5126A">
        <w:rPr>
          <w:noProof/>
          <w:lang w:eastAsia="en-NZ"/>
        </w:rPr>
        <w:drawing>
          <wp:inline distT="0" distB="0" distL="0" distR="0" wp14:anchorId="6AEBD2C4" wp14:editId="74019AF1">
            <wp:extent cx="6191885" cy="2743200"/>
            <wp:effectExtent l="0" t="0" r="0" b="0"/>
            <wp:docPr id="1377" name="Picture 1377" title="Section 5 - Table 72: Non-cancellable operating lease commitments as les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6191885" cy="2743200"/>
                    </a:xfrm>
                    <a:prstGeom prst="rect">
                      <a:avLst/>
                    </a:prstGeom>
                    <a:noFill/>
                    <a:ln>
                      <a:noFill/>
                    </a:ln>
                  </pic:spPr>
                </pic:pic>
              </a:graphicData>
            </a:graphic>
          </wp:inline>
        </w:drawing>
      </w:r>
    </w:p>
    <w:p w:rsidR="00FA6A77" w:rsidRPr="00D5126A" w:rsidRDefault="00FA6A77" w:rsidP="003631E3">
      <w:pPr>
        <w:pStyle w:val="Heading4"/>
        <w:rPr>
          <w:lang w:eastAsia="en-GB"/>
        </w:rPr>
      </w:pPr>
      <w:r w:rsidRPr="00D5126A">
        <w:rPr>
          <w:lang w:eastAsia="en-GB"/>
        </w:rPr>
        <w:t>Commitments to related parties</w:t>
      </w:r>
    </w:p>
    <w:p w:rsidR="00FA6A77" w:rsidRPr="00D5126A" w:rsidRDefault="00FA6A77" w:rsidP="00317BFF">
      <w:r w:rsidRPr="00D5126A">
        <w:t>The Council and Group have no commitments to key management personnel beyond normal employment obligations.</w:t>
      </w:r>
    </w:p>
    <w:p w:rsidR="00FA6A77" w:rsidRPr="00D5126A" w:rsidRDefault="00FA6A77" w:rsidP="00D96278">
      <w:pPr>
        <w:pStyle w:val="Heading3"/>
      </w:pPr>
      <w:bookmarkStart w:id="478" w:name="_Toc19092093"/>
      <w:bookmarkStart w:id="479" w:name="_Toc23848729"/>
      <w:r w:rsidRPr="00D5126A">
        <w:t>Note 34: Contingencies</w:t>
      </w:r>
      <w:bookmarkEnd w:id="478"/>
      <w:bookmarkEnd w:id="479"/>
    </w:p>
    <w:p w:rsidR="008750F1" w:rsidRDefault="008750F1" w:rsidP="008750F1">
      <w:pPr>
        <w:pStyle w:val="Caption"/>
      </w:pPr>
      <w:r>
        <w:t xml:space="preserve">Section 5 - Table </w:t>
      </w:r>
      <w:fldSimple w:instr=" SEQ Section_5_-_Table \* ARABIC ">
        <w:r w:rsidR="005908C4">
          <w:rPr>
            <w:noProof/>
          </w:rPr>
          <w:t>73</w:t>
        </w:r>
      </w:fldSimple>
      <w:r>
        <w:t>: Contingent liabilities</w:t>
      </w:r>
    </w:p>
    <w:p w:rsidR="00FA6A77" w:rsidRPr="00D5126A" w:rsidRDefault="00FA6A77" w:rsidP="0035019C">
      <w:r w:rsidRPr="00D5126A">
        <w:rPr>
          <w:noProof/>
          <w:lang w:eastAsia="en-NZ"/>
        </w:rPr>
        <w:drawing>
          <wp:inline distT="0" distB="0" distL="0" distR="0" wp14:anchorId="1EA4B42A" wp14:editId="2FA06848">
            <wp:extent cx="6112510" cy="1948180"/>
            <wp:effectExtent l="0" t="0" r="2540" b="0"/>
            <wp:docPr id="1376" name="Picture 1376" title="Section 5 - Table 73: Contingent liabil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6112510" cy="1948180"/>
                    </a:xfrm>
                    <a:prstGeom prst="rect">
                      <a:avLst/>
                    </a:prstGeom>
                    <a:noFill/>
                    <a:ln>
                      <a:noFill/>
                    </a:ln>
                  </pic:spPr>
                </pic:pic>
              </a:graphicData>
            </a:graphic>
          </wp:inline>
        </w:drawing>
      </w:r>
    </w:p>
    <w:p w:rsidR="00FA6A77" w:rsidRPr="00D5126A" w:rsidRDefault="00FA6A77" w:rsidP="00CB28F1">
      <w:pPr>
        <w:pStyle w:val="Heading4"/>
        <w:rPr>
          <w:lang w:eastAsia="en-GB"/>
        </w:rPr>
      </w:pPr>
      <w:r w:rsidRPr="00D5126A">
        <w:rPr>
          <w:lang w:eastAsia="en-GB"/>
        </w:rPr>
        <w:t>Contingent assets</w:t>
      </w:r>
    </w:p>
    <w:p w:rsidR="00FA6A77" w:rsidRPr="00D5126A" w:rsidRDefault="00FA6A77" w:rsidP="003631E3">
      <w:pPr>
        <w:rPr>
          <w:lang w:eastAsia="en-GB"/>
        </w:rPr>
      </w:pPr>
      <w:r w:rsidRPr="00D5126A">
        <w:rPr>
          <w:lang w:eastAsia="en-GB"/>
        </w:rPr>
        <w:t>The Council and Group have no contingent assets that can be quantified as at 30 June 2019 (2018: $</w:t>
      </w:r>
      <w:proofErr w:type="gramStart"/>
      <w:r w:rsidRPr="00D5126A">
        <w:rPr>
          <w:lang w:eastAsia="en-GB"/>
        </w:rPr>
        <w:t>Nil</w:t>
      </w:r>
      <w:proofErr w:type="gramEnd"/>
      <w:r w:rsidRPr="00D5126A">
        <w:rPr>
          <w:lang w:eastAsia="en-GB"/>
        </w:rPr>
        <w:t>)</w:t>
      </w:r>
    </w:p>
    <w:p w:rsidR="00FA6A77" w:rsidRPr="00D5126A" w:rsidRDefault="00FA6A77" w:rsidP="00CB28F1">
      <w:pPr>
        <w:pStyle w:val="Heading4"/>
        <w:rPr>
          <w:lang w:eastAsia="en-GB"/>
        </w:rPr>
      </w:pPr>
      <w:r w:rsidRPr="00D5126A">
        <w:rPr>
          <w:lang w:eastAsia="en-GB"/>
        </w:rPr>
        <w:t>Relevant significant accounting policies</w:t>
      </w:r>
    </w:p>
    <w:p w:rsidR="00FA6A77" w:rsidRPr="00D5126A" w:rsidRDefault="00FA6A77" w:rsidP="00CB28F1">
      <w:pPr>
        <w:pStyle w:val="Heading5"/>
      </w:pPr>
      <w:r w:rsidRPr="00D5126A">
        <w:t>Contingent liabilities and contingent assets</w:t>
      </w:r>
    </w:p>
    <w:p w:rsidR="00FA6A77" w:rsidRPr="00D5126A" w:rsidRDefault="00FA6A77" w:rsidP="003631E3">
      <w:pPr>
        <w:rPr>
          <w:rFonts w:eastAsia="MS Gothic"/>
        </w:rPr>
      </w:pPr>
      <w:r w:rsidRPr="00D5126A">
        <w:rPr>
          <w:rFonts w:eastAsia="MS Gothic"/>
        </w:rPr>
        <w:t>Contingent liabilities and contingent assets are disclosed at the point at which the contingency is evident. Contingent liabilities are disclosed if the possibility they will crystallise is not remote. Contingent assets are disclosed if it is probable the benefits will be realised.</w:t>
      </w:r>
    </w:p>
    <w:p w:rsidR="00FA6A77" w:rsidRPr="00D5126A" w:rsidRDefault="00FA6A77" w:rsidP="00CB28F1">
      <w:pPr>
        <w:pStyle w:val="Heading4"/>
      </w:pPr>
      <w:r w:rsidRPr="00D5126A">
        <w:lastRenderedPageBreak/>
        <w:t>NZ Local Government Funding Agency Limited (LGFA)</w:t>
      </w:r>
    </w:p>
    <w:p w:rsidR="00FA6A77" w:rsidRPr="00D5126A" w:rsidRDefault="00FA6A77" w:rsidP="003631E3">
      <w:pPr>
        <w:rPr>
          <w:rFonts w:eastAsia="MS Gothic"/>
        </w:rPr>
      </w:pPr>
      <w:r w:rsidRPr="00D5126A">
        <w:rPr>
          <w:rFonts w:eastAsia="MS Gothic"/>
        </w:rPr>
        <w:t>Council is one of 64 local authority shareholder, borrower and guarantor councils of the LGFA.  Any non-shareholder council that borrows in aggregate NZ$20m or more from LGFA must be a guarantor.  In this regard Council has uncalled capital of $1.866m. When aggregated with the uncalled capital of other shareholders, $20m is available in the event that an imminent default is identified. Also, together with the other shareholders and guarantors, Council is a guarantor of all of LGFA’s borrowings. At 30 June 2019, LGFA had borrowings totalling $9,531m (2018: $8,272m).</w:t>
      </w:r>
    </w:p>
    <w:p w:rsidR="00FA6A77" w:rsidRPr="00D5126A" w:rsidRDefault="00FA6A77" w:rsidP="003631E3">
      <w:pPr>
        <w:rPr>
          <w:rFonts w:eastAsia="MS Gothic"/>
        </w:rPr>
      </w:pPr>
      <w:r w:rsidRPr="00D5126A">
        <w:rPr>
          <w:rFonts w:eastAsia="MS Gothic"/>
        </w:rPr>
        <w:t>Financial reporting standards require Council to recognise the guarantee liability at fair value. However, the Council has been unable to determine a sufficiently reliable fair value for the guarantee, and therefore has not recognised a liability. The Council considers the risk of LGFA defaulting on repayment of interest or capital to be very low on the basis that we are not aware of any local authority, which is a member of the LGFA, that has had debt default events in New Zealand; and local government legislation would enable local authorities to levy a rate to recover sufficient funds to meet any debt obligations if further funds were required. Council considers that even if it was called upon to contribute the cost would not be material.</w:t>
      </w:r>
    </w:p>
    <w:p w:rsidR="00FA6A77" w:rsidRPr="00D5126A" w:rsidRDefault="00FA6A77" w:rsidP="00CB28F1">
      <w:pPr>
        <w:pStyle w:val="Heading4"/>
      </w:pPr>
      <w:r w:rsidRPr="00D5126A">
        <w:t>Other legal proceedings</w:t>
      </w:r>
    </w:p>
    <w:p w:rsidR="00FA6A77" w:rsidRPr="00D5126A" w:rsidRDefault="00FA6A77" w:rsidP="003631E3">
      <w:pPr>
        <w:rPr>
          <w:rFonts w:eastAsia="MS Gothic"/>
        </w:rPr>
      </w:pPr>
      <w:r w:rsidRPr="00D5126A">
        <w:rPr>
          <w:rFonts w:eastAsia="MS Gothic"/>
        </w:rPr>
        <w:t>Other legal proceedings are current claims against the Council and Group as a result of past events which are currently being contested. The amounts shown reflect potential liability for financial reporting purposes only and do not represent an admission that any claim is valid. The outcome of these remains uncertain at the end of the reporting period. The maximum exposure to the Group is anticipated to be less than $0.299m.</w:t>
      </w:r>
    </w:p>
    <w:p w:rsidR="00FA6A77" w:rsidRPr="00D5126A" w:rsidRDefault="00FA6A77" w:rsidP="003631E3">
      <w:pPr>
        <w:pStyle w:val="Heading4"/>
        <w:rPr>
          <w:lang w:eastAsia="en-GB"/>
        </w:rPr>
      </w:pPr>
      <w:r w:rsidRPr="00D5126A">
        <w:rPr>
          <w:lang w:eastAsia="en-GB"/>
        </w:rPr>
        <w:t>Unquantified contingent liabilities</w:t>
      </w:r>
    </w:p>
    <w:p w:rsidR="00FA6A77" w:rsidRPr="00D5126A" w:rsidRDefault="00FA6A77" w:rsidP="003631E3">
      <w:pPr>
        <w:pStyle w:val="Heading5"/>
        <w:rPr>
          <w:rFonts w:eastAsia="MS Mincho"/>
          <w:lang w:eastAsia="en-GB"/>
        </w:rPr>
      </w:pPr>
      <w:r w:rsidRPr="00D5126A">
        <w:rPr>
          <w:lang w:eastAsia="en-GB"/>
        </w:rPr>
        <w:t>Defective product</w:t>
      </w:r>
    </w:p>
    <w:p w:rsidR="00FA6A77" w:rsidRPr="00D5126A" w:rsidRDefault="00FA6A77" w:rsidP="003631E3">
      <w:pPr>
        <w:rPr>
          <w:rFonts w:eastAsia="MS Gothic"/>
        </w:rPr>
      </w:pPr>
      <w:r w:rsidRPr="00D5126A">
        <w:rPr>
          <w:rFonts w:eastAsia="MS Gothic"/>
        </w:rPr>
        <w:t>In April 2013, the Ministry of Education (MOE) initiated High Court proceedings against Carter Holt Harvey (CHH) and others alleging inherent defects in the cladding sheets and cladding systems manufactured and prepared by CHH. Subsequently, in December 2016, CHH commenced third party proceedings against 48 Councils, including Wellington City Council alleging a breach of duty in the processing of building consents, undertaking building inspections and issuing Code Compliance Certificates. The Councils were partially successful in having parts of the claims struck out.  The MOE’s claim against CHH is for 833 school buildings, 27 of which are located within Wellington City. At present there is insufficient information to conclude on potential liability and claim quantum, if any.</w:t>
      </w:r>
    </w:p>
    <w:p w:rsidR="00FA6A77" w:rsidRPr="00D5126A" w:rsidRDefault="00FA6A77" w:rsidP="003631E3">
      <w:pPr>
        <w:pStyle w:val="Heading5"/>
        <w:rPr>
          <w:lang w:eastAsia="en-GB"/>
        </w:rPr>
      </w:pPr>
      <w:r w:rsidRPr="00D5126A">
        <w:rPr>
          <w:lang w:eastAsia="en-GB"/>
        </w:rPr>
        <w:t>Structural defect claim</w:t>
      </w:r>
    </w:p>
    <w:p w:rsidR="00FA6A77" w:rsidRPr="00D5126A" w:rsidRDefault="00FA6A77" w:rsidP="003631E3">
      <w:pPr>
        <w:rPr>
          <w:rFonts w:ascii="Arial" w:hAnsi="Arial" w:cs="Arial"/>
        </w:rPr>
      </w:pPr>
      <w:r w:rsidRPr="00D5126A">
        <w:rPr>
          <w:rFonts w:ascii="Arial" w:hAnsi="Arial" w:cs="Arial"/>
        </w:rPr>
        <w:t xml:space="preserve">In February 2019, Council entered into a standstill agreement in respect of a large claim alleging a breach of duty to a tenant of a commercial building. A claim was filed in August 2019.  Due to the nature of the issues, the uncertainty of the outcome and the novel legal claim, Council is unable to conclude on potential liability and claim quantum, if any. </w:t>
      </w:r>
    </w:p>
    <w:p w:rsidR="00FA6A77" w:rsidRPr="00D5126A" w:rsidRDefault="00FA6A77" w:rsidP="003631E3">
      <w:pPr>
        <w:pStyle w:val="Heading5"/>
        <w:rPr>
          <w:lang w:eastAsia="en-GB"/>
        </w:rPr>
      </w:pPr>
      <w:r w:rsidRPr="00D5126A">
        <w:rPr>
          <w:lang w:eastAsia="en-GB"/>
        </w:rPr>
        <w:t>Other claims</w:t>
      </w:r>
    </w:p>
    <w:p w:rsidR="00FA6A77" w:rsidRPr="00D5126A" w:rsidRDefault="00FA6A77" w:rsidP="003631E3">
      <w:pPr>
        <w:rPr>
          <w:rFonts w:eastAsia="MS Gothic"/>
        </w:rPr>
      </w:pPr>
      <w:r w:rsidRPr="00D5126A">
        <w:rPr>
          <w:rFonts w:eastAsia="MS Gothic"/>
        </w:rPr>
        <w:t>There are various other claims that the Council and Group are currently contesting which have not been quantified due to the nature of the issues, the uncertainty of the outcome and/or the extent to which the Council and Group have a responsibility to the claimant. The possibility of any outflow in settlement in these cases is assessed as remote.</w:t>
      </w:r>
    </w:p>
    <w:p w:rsidR="00FA6A77" w:rsidRPr="00D5126A" w:rsidRDefault="00FA6A77" w:rsidP="0095375C">
      <w:pPr>
        <w:pStyle w:val="Heading4"/>
        <w:rPr>
          <w:rFonts w:eastAsia="MS Gothic"/>
          <w:lang w:eastAsia="en-GB"/>
        </w:rPr>
      </w:pPr>
      <w:r w:rsidRPr="00D5126A">
        <w:rPr>
          <w:lang w:eastAsia="en-GB"/>
        </w:rPr>
        <w:lastRenderedPageBreak/>
        <w:t>Unquantified contingent asset</w:t>
      </w:r>
    </w:p>
    <w:p w:rsidR="00FA6A77" w:rsidRPr="00D5126A" w:rsidRDefault="00FA6A77" w:rsidP="003631E3">
      <w:pPr>
        <w:rPr>
          <w:rFonts w:eastAsia="MS Gothic"/>
        </w:rPr>
      </w:pPr>
      <w:r w:rsidRPr="00D5126A">
        <w:rPr>
          <w:rFonts w:eastAsia="MS Gothic"/>
        </w:rPr>
        <w:t xml:space="preserve">As at 30 June 2019, the Council had a contingent asset for insurance recoveries. The insurance claim related to the Civic Administration Building (CAB), which covers both the repair costs and the relocation costs, is still in progress. The Council’s preliminary assessment of earthquake repairs is in the region of $36.6m. </w:t>
      </w:r>
      <w:r w:rsidRPr="00D5126A">
        <w:rPr>
          <w:rFonts w:ascii="Arial" w:hAnsi="Arial" w:cs="Arial"/>
        </w:rPr>
        <w:t xml:space="preserve">However, the Council continues to investigate the damage in the building to prepare options for repair. </w:t>
      </w:r>
      <w:r w:rsidRPr="00D5126A">
        <w:rPr>
          <w:rFonts w:eastAsia="MS Gothic"/>
        </w:rPr>
        <w:t>The indemnity value of CAB under Council’s insurance value is $48.7m. The insurance policy has a deductible of $5.0m. While an estimate of the repair costs has been obtained by the Council and provided to the insurer there are still a significant number of uncertainties in the numbers and it is still subject to discussion and agreement with the insurer. This means that the amount that the Council will receive cannot be reliably measured.</w:t>
      </w:r>
    </w:p>
    <w:p w:rsidR="00FA6A77" w:rsidRPr="00D5126A" w:rsidRDefault="00FA6A77" w:rsidP="0095375C">
      <w:pPr>
        <w:pStyle w:val="Heading3"/>
      </w:pPr>
      <w:bookmarkStart w:id="480" w:name="_Toc19092094"/>
      <w:bookmarkStart w:id="481" w:name="_Toc23848730"/>
      <w:r w:rsidRPr="00D5126A">
        <w:t>Note 35: Jointly controlled assets</w:t>
      </w:r>
      <w:bookmarkEnd w:id="480"/>
      <w:bookmarkEnd w:id="481"/>
    </w:p>
    <w:p w:rsidR="00FA6A77" w:rsidRPr="00D5126A" w:rsidRDefault="00FA6A77" w:rsidP="0095375C">
      <w:pPr>
        <w:rPr>
          <w:rFonts w:ascii="Arial" w:hAnsi="Arial" w:cs="Arial"/>
          <w:color w:val="333333"/>
          <w:lang w:eastAsia="en-GB"/>
        </w:rPr>
      </w:pPr>
      <w:r w:rsidRPr="00D5126A">
        <w:rPr>
          <w:rFonts w:ascii="Arial" w:hAnsi="Arial" w:cs="Arial"/>
          <w:color w:val="333333"/>
          <w:lang w:eastAsia="en-GB"/>
        </w:rPr>
        <w:t>The Council has significant interests in the following joint ventures:</w:t>
      </w:r>
    </w:p>
    <w:p w:rsidR="008750F1" w:rsidRDefault="008750F1" w:rsidP="008750F1">
      <w:pPr>
        <w:pStyle w:val="Caption"/>
      </w:pPr>
      <w:r>
        <w:t xml:space="preserve">Section 5 - Table </w:t>
      </w:r>
      <w:fldSimple w:instr=" SEQ Section_5_-_Table \* ARABIC ">
        <w:r w:rsidR="005908C4">
          <w:rPr>
            <w:noProof/>
          </w:rPr>
          <w:t>74</w:t>
        </w:r>
      </w:fldSimple>
      <w:r>
        <w:t xml:space="preserve">: </w:t>
      </w:r>
      <w:r w:rsidRPr="00B70AA2">
        <w:t xml:space="preserve">Joint </w:t>
      </w:r>
      <w:r>
        <w:t>v</w:t>
      </w:r>
      <w:r w:rsidRPr="00B70AA2">
        <w:t>enture</w:t>
      </w:r>
      <w:r>
        <w:t>s</w:t>
      </w:r>
    </w:p>
    <w:tbl>
      <w:tblPr>
        <w:tblW w:w="4965" w:type="pct"/>
        <w:tblInd w:w="108" w:type="dxa"/>
        <w:tblBorders>
          <w:insideH w:val="single" w:sz="4" w:space="0" w:color="auto"/>
        </w:tblBorders>
        <w:tblLook w:val="04A0" w:firstRow="1" w:lastRow="0" w:firstColumn="1" w:lastColumn="0" w:noHBand="0" w:noVBand="1"/>
      </w:tblPr>
      <w:tblGrid>
        <w:gridCol w:w="3316"/>
        <w:gridCol w:w="1031"/>
        <w:gridCol w:w="1009"/>
        <w:gridCol w:w="22"/>
        <w:gridCol w:w="4689"/>
      </w:tblGrid>
      <w:tr w:rsidR="00FA6A77" w:rsidRPr="00D5126A" w:rsidTr="008750F1">
        <w:trPr>
          <w:cantSplit/>
          <w:trHeight w:val="574"/>
        </w:trPr>
        <w:tc>
          <w:tcPr>
            <w:tcW w:w="1647" w:type="pct"/>
            <w:tcBorders>
              <w:top w:val="single" w:sz="4" w:space="0" w:color="auto"/>
              <w:left w:val="single" w:sz="4" w:space="0" w:color="auto"/>
              <w:bottom w:val="single" w:sz="4" w:space="0" w:color="auto"/>
              <w:right w:val="nil"/>
            </w:tcBorders>
            <w:hideMark/>
          </w:tcPr>
          <w:p w:rsidR="00FA6A77" w:rsidRPr="00D5126A" w:rsidRDefault="00FA6A77" w:rsidP="0095375C">
            <w:pPr>
              <w:rPr>
                <w:rFonts w:ascii="Arial" w:hAnsi="Arial" w:cs="Arial"/>
                <w:b/>
                <w:sz w:val="20"/>
                <w:szCs w:val="20"/>
                <w:lang w:eastAsia="en-GB"/>
              </w:rPr>
            </w:pPr>
          </w:p>
        </w:tc>
        <w:tc>
          <w:tcPr>
            <w:tcW w:w="512" w:type="pct"/>
            <w:tcBorders>
              <w:top w:val="single" w:sz="4" w:space="0" w:color="auto"/>
              <w:left w:val="single" w:sz="4" w:space="0" w:color="auto"/>
              <w:bottom w:val="single" w:sz="4" w:space="0" w:color="auto"/>
              <w:right w:val="single" w:sz="4" w:space="0" w:color="auto"/>
            </w:tcBorders>
            <w:hideMark/>
          </w:tcPr>
          <w:p w:rsidR="00FA6A77" w:rsidRPr="00D5126A" w:rsidRDefault="00FA6A77" w:rsidP="0095375C">
            <w:pPr>
              <w:rPr>
                <w:rFonts w:ascii="Arial" w:hAnsi="Arial" w:cs="Arial"/>
                <w:b/>
                <w:sz w:val="20"/>
                <w:szCs w:val="20"/>
                <w:lang w:eastAsia="en-GB"/>
              </w:rPr>
            </w:pPr>
            <w:r w:rsidRPr="00D5126A">
              <w:rPr>
                <w:rFonts w:ascii="Arial" w:hAnsi="Arial" w:cs="Arial"/>
                <w:b/>
                <w:sz w:val="20"/>
                <w:szCs w:val="20"/>
                <w:lang w:eastAsia="en-GB"/>
              </w:rPr>
              <w:t>Interest</w:t>
            </w:r>
          </w:p>
          <w:p w:rsidR="00FA6A77" w:rsidRPr="00D5126A" w:rsidRDefault="00FA6A77" w:rsidP="0095375C">
            <w:pPr>
              <w:rPr>
                <w:rFonts w:ascii="Arial" w:hAnsi="Arial" w:cs="Arial"/>
                <w:b/>
                <w:sz w:val="20"/>
                <w:szCs w:val="20"/>
                <w:lang w:eastAsia="en-GB"/>
              </w:rPr>
            </w:pPr>
            <w:r w:rsidRPr="00D5126A">
              <w:rPr>
                <w:rFonts w:ascii="Arial" w:hAnsi="Arial" w:cs="Arial"/>
                <w:b/>
                <w:sz w:val="20"/>
                <w:szCs w:val="20"/>
                <w:lang w:eastAsia="en-GB"/>
              </w:rPr>
              <w:t>2019</w:t>
            </w:r>
          </w:p>
        </w:tc>
        <w:tc>
          <w:tcPr>
            <w:tcW w:w="512" w:type="pct"/>
            <w:gridSpan w:val="2"/>
            <w:tcBorders>
              <w:top w:val="single" w:sz="4" w:space="0" w:color="auto"/>
              <w:left w:val="nil"/>
              <w:bottom w:val="single" w:sz="4" w:space="0" w:color="auto"/>
              <w:right w:val="single" w:sz="4" w:space="0" w:color="auto"/>
            </w:tcBorders>
            <w:hideMark/>
          </w:tcPr>
          <w:p w:rsidR="00FA6A77" w:rsidRPr="00D5126A" w:rsidRDefault="00FA6A77" w:rsidP="0095375C">
            <w:pPr>
              <w:rPr>
                <w:rFonts w:ascii="Arial" w:hAnsi="Arial" w:cs="Arial"/>
                <w:b/>
                <w:sz w:val="20"/>
                <w:szCs w:val="20"/>
                <w:lang w:eastAsia="en-GB"/>
              </w:rPr>
            </w:pPr>
            <w:r w:rsidRPr="00D5126A">
              <w:rPr>
                <w:rFonts w:ascii="Arial" w:hAnsi="Arial" w:cs="Arial"/>
                <w:b/>
                <w:sz w:val="20"/>
                <w:szCs w:val="20"/>
                <w:lang w:eastAsia="en-GB"/>
              </w:rPr>
              <w:t>Interest</w:t>
            </w:r>
          </w:p>
          <w:p w:rsidR="00FA6A77" w:rsidRPr="00D5126A" w:rsidRDefault="00FA6A77" w:rsidP="0095375C">
            <w:pPr>
              <w:rPr>
                <w:rFonts w:ascii="Arial" w:hAnsi="Arial" w:cs="Arial"/>
                <w:b/>
                <w:sz w:val="20"/>
                <w:szCs w:val="20"/>
                <w:lang w:eastAsia="en-GB"/>
              </w:rPr>
            </w:pPr>
            <w:r w:rsidRPr="00D5126A">
              <w:rPr>
                <w:rFonts w:ascii="Arial" w:hAnsi="Arial" w:cs="Arial"/>
                <w:b/>
                <w:sz w:val="20"/>
                <w:szCs w:val="20"/>
                <w:lang w:eastAsia="en-GB"/>
              </w:rPr>
              <w:t>2018</w:t>
            </w:r>
          </w:p>
        </w:tc>
        <w:tc>
          <w:tcPr>
            <w:tcW w:w="2329" w:type="pct"/>
            <w:tcBorders>
              <w:top w:val="single" w:sz="4" w:space="0" w:color="auto"/>
              <w:left w:val="single" w:sz="4" w:space="0" w:color="auto"/>
              <w:bottom w:val="single" w:sz="4" w:space="0" w:color="auto"/>
              <w:right w:val="single" w:sz="4" w:space="0" w:color="auto"/>
            </w:tcBorders>
            <w:hideMark/>
          </w:tcPr>
          <w:p w:rsidR="00FA6A77" w:rsidRPr="00D5126A" w:rsidRDefault="00FA6A77" w:rsidP="0095375C">
            <w:pPr>
              <w:rPr>
                <w:rFonts w:ascii="Arial" w:hAnsi="Arial" w:cs="Arial"/>
                <w:b/>
                <w:sz w:val="20"/>
                <w:szCs w:val="20"/>
                <w:lang w:eastAsia="en-GB"/>
              </w:rPr>
            </w:pPr>
            <w:r w:rsidRPr="00D5126A">
              <w:rPr>
                <w:rFonts w:ascii="Arial" w:hAnsi="Arial" w:cs="Arial"/>
                <w:b/>
                <w:sz w:val="20"/>
                <w:szCs w:val="20"/>
                <w:lang w:eastAsia="en-GB"/>
              </w:rPr>
              <w:t>Nature of business</w:t>
            </w:r>
          </w:p>
        </w:tc>
      </w:tr>
      <w:tr w:rsidR="00FA6A77" w:rsidRPr="00D5126A" w:rsidTr="0095375C">
        <w:trPr>
          <w:cantSplit/>
          <w:trHeight w:val="966"/>
        </w:trPr>
        <w:tc>
          <w:tcPr>
            <w:tcW w:w="1647" w:type="pct"/>
            <w:tcBorders>
              <w:top w:val="single" w:sz="4" w:space="0" w:color="auto"/>
              <w:left w:val="single" w:sz="4" w:space="0" w:color="auto"/>
              <w:bottom w:val="single" w:sz="4" w:space="0" w:color="auto"/>
              <w:right w:val="single" w:sz="4" w:space="0" w:color="auto"/>
            </w:tcBorders>
            <w:vAlign w:val="center"/>
            <w:hideMark/>
          </w:tcPr>
          <w:p w:rsidR="00FA6A77" w:rsidRPr="00D5126A" w:rsidRDefault="00FA6A77" w:rsidP="0095375C">
            <w:pPr>
              <w:rPr>
                <w:rFonts w:ascii="Arial" w:hAnsi="Arial" w:cs="Arial"/>
                <w:sz w:val="20"/>
                <w:szCs w:val="20"/>
                <w:lang w:eastAsia="en-GB"/>
              </w:rPr>
            </w:pPr>
            <w:r w:rsidRPr="00D5126A">
              <w:rPr>
                <w:rFonts w:ascii="Arial" w:hAnsi="Arial" w:cs="Arial"/>
                <w:sz w:val="20"/>
                <w:szCs w:val="20"/>
                <w:lang w:eastAsia="en-GB"/>
              </w:rPr>
              <w:t>Wastewater treatment plant – Porirua City Council</w:t>
            </w:r>
          </w:p>
        </w:tc>
        <w:tc>
          <w:tcPr>
            <w:tcW w:w="512" w:type="pct"/>
            <w:tcBorders>
              <w:top w:val="single" w:sz="4" w:space="0" w:color="auto"/>
              <w:left w:val="single" w:sz="4" w:space="0" w:color="auto"/>
              <w:bottom w:val="single" w:sz="4" w:space="0" w:color="auto"/>
              <w:right w:val="single" w:sz="4" w:space="0" w:color="auto"/>
            </w:tcBorders>
            <w:vAlign w:val="center"/>
            <w:hideMark/>
          </w:tcPr>
          <w:p w:rsidR="00FA6A77" w:rsidRPr="00D5126A" w:rsidRDefault="00FA6A77" w:rsidP="0095375C">
            <w:pPr>
              <w:rPr>
                <w:rFonts w:ascii="Arial" w:hAnsi="Arial" w:cs="Arial"/>
                <w:sz w:val="20"/>
                <w:szCs w:val="20"/>
                <w:lang w:eastAsia="en-GB"/>
              </w:rPr>
            </w:pPr>
            <w:r w:rsidRPr="00D5126A">
              <w:rPr>
                <w:rFonts w:ascii="Arial" w:hAnsi="Arial" w:cs="Arial"/>
                <w:sz w:val="20"/>
                <w:szCs w:val="20"/>
                <w:lang w:eastAsia="en-GB"/>
              </w:rPr>
              <w:t>27.60%</w:t>
            </w:r>
          </w:p>
        </w:tc>
        <w:tc>
          <w:tcPr>
            <w:tcW w:w="501" w:type="pct"/>
            <w:tcBorders>
              <w:top w:val="single" w:sz="4" w:space="0" w:color="auto"/>
              <w:left w:val="single" w:sz="4" w:space="0" w:color="auto"/>
              <w:bottom w:val="single" w:sz="4" w:space="0" w:color="auto"/>
              <w:right w:val="single" w:sz="4" w:space="0" w:color="auto"/>
            </w:tcBorders>
            <w:vAlign w:val="center"/>
            <w:hideMark/>
          </w:tcPr>
          <w:p w:rsidR="00FA6A77" w:rsidRPr="00D5126A" w:rsidRDefault="00FA6A77" w:rsidP="0095375C">
            <w:pPr>
              <w:rPr>
                <w:rFonts w:ascii="Arial" w:hAnsi="Arial" w:cs="Arial"/>
                <w:sz w:val="20"/>
                <w:szCs w:val="20"/>
                <w:lang w:eastAsia="en-GB"/>
              </w:rPr>
            </w:pPr>
            <w:r w:rsidRPr="00D5126A">
              <w:rPr>
                <w:rFonts w:ascii="Arial" w:hAnsi="Arial" w:cs="Arial"/>
                <w:sz w:val="20"/>
                <w:szCs w:val="20"/>
                <w:lang w:eastAsia="en-GB"/>
              </w:rPr>
              <w:t>27.60%</w:t>
            </w:r>
          </w:p>
        </w:tc>
        <w:tc>
          <w:tcPr>
            <w:tcW w:w="2340" w:type="pct"/>
            <w:gridSpan w:val="2"/>
            <w:tcBorders>
              <w:top w:val="single" w:sz="4" w:space="0" w:color="auto"/>
              <w:left w:val="single" w:sz="4" w:space="0" w:color="auto"/>
              <w:bottom w:val="single" w:sz="4" w:space="0" w:color="auto"/>
              <w:right w:val="single" w:sz="4" w:space="0" w:color="auto"/>
            </w:tcBorders>
            <w:hideMark/>
          </w:tcPr>
          <w:p w:rsidR="00FA6A77" w:rsidRPr="00D5126A" w:rsidRDefault="00FA6A77" w:rsidP="0095375C">
            <w:pPr>
              <w:rPr>
                <w:rFonts w:ascii="Arial" w:hAnsi="Arial" w:cs="Arial"/>
                <w:sz w:val="20"/>
                <w:szCs w:val="20"/>
                <w:lang w:eastAsia="en-GB"/>
              </w:rPr>
            </w:pPr>
            <w:r w:rsidRPr="00D5126A">
              <w:rPr>
                <w:rFonts w:ascii="Arial" w:hAnsi="Arial" w:cs="Arial"/>
                <w:sz w:val="20"/>
                <w:szCs w:val="20"/>
                <w:lang w:eastAsia="en-GB"/>
              </w:rPr>
              <w:t>Owns and operates a wastewater treatment plant and associated trunk sewers and pumping stations that provide services to Wellington City’s northern suburbs.</w:t>
            </w:r>
          </w:p>
        </w:tc>
      </w:tr>
      <w:tr w:rsidR="00FA6A77" w:rsidRPr="00D5126A" w:rsidTr="0095375C">
        <w:trPr>
          <w:cantSplit/>
          <w:trHeight w:val="790"/>
        </w:trPr>
        <w:tc>
          <w:tcPr>
            <w:tcW w:w="1647" w:type="pct"/>
            <w:tcBorders>
              <w:top w:val="single" w:sz="4" w:space="0" w:color="auto"/>
              <w:left w:val="single" w:sz="4" w:space="0" w:color="auto"/>
              <w:bottom w:val="single" w:sz="4" w:space="0" w:color="auto"/>
              <w:right w:val="single" w:sz="4" w:space="0" w:color="auto"/>
            </w:tcBorders>
            <w:vAlign w:val="center"/>
            <w:hideMark/>
          </w:tcPr>
          <w:p w:rsidR="00FA6A77" w:rsidRPr="00D5126A" w:rsidRDefault="00FA6A77" w:rsidP="0095375C">
            <w:pPr>
              <w:rPr>
                <w:rFonts w:ascii="Arial" w:hAnsi="Arial" w:cs="Arial"/>
                <w:sz w:val="20"/>
                <w:szCs w:val="20"/>
                <w:lang w:eastAsia="en-GB"/>
              </w:rPr>
            </w:pPr>
            <w:r w:rsidRPr="00D5126A">
              <w:rPr>
                <w:rFonts w:ascii="Arial" w:hAnsi="Arial" w:cs="Arial"/>
                <w:sz w:val="20"/>
                <w:szCs w:val="20"/>
                <w:lang w:eastAsia="en-GB"/>
              </w:rPr>
              <w:t>Spicer Valley Landfill – Porirua City Council</w:t>
            </w:r>
          </w:p>
        </w:tc>
        <w:tc>
          <w:tcPr>
            <w:tcW w:w="512" w:type="pct"/>
            <w:tcBorders>
              <w:top w:val="single" w:sz="4" w:space="0" w:color="auto"/>
              <w:left w:val="single" w:sz="4" w:space="0" w:color="auto"/>
              <w:bottom w:val="single" w:sz="4" w:space="0" w:color="auto"/>
              <w:right w:val="single" w:sz="4" w:space="0" w:color="auto"/>
            </w:tcBorders>
            <w:vAlign w:val="center"/>
            <w:hideMark/>
          </w:tcPr>
          <w:p w:rsidR="00FA6A77" w:rsidRPr="00D5126A" w:rsidRDefault="00FA6A77" w:rsidP="0095375C">
            <w:pPr>
              <w:rPr>
                <w:rFonts w:ascii="Arial" w:hAnsi="Arial" w:cs="Arial"/>
                <w:sz w:val="20"/>
                <w:szCs w:val="20"/>
                <w:lang w:eastAsia="en-GB"/>
              </w:rPr>
            </w:pPr>
            <w:r w:rsidRPr="00D5126A">
              <w:rPr>
                <w:rFonts w:ascii="Arial" w:hAnsi="Arial" w:cs="Arial"/>
                <w:sz w:val="20"/>
                <w:szCs w:val="20"/>
                <w:lang w:eastAsia="en-GB"/>
              </w:rPr>
              <w:t>21.50%</w:t>
            </w:r>
          </w:p>
        </w:tc>
        <w:tc>
          <w:tcPr>
            <w:tcW w:w="501" w:type="pct"/>
            <w:tcBorders>
              <w:top w:val="single" w:sz="4" w:space="0" w:color="auto"/>
              <w:left w:val="single" w:sz="4" w:space="0" w:color="auto"/>
              <w:bottom w:val="single" w:sz="4" w:space="0" w:color="auto"/>
              <w:right w:val="single" w:sz="4" w:space="0" w:color="auto"/>
            </w:tcBorders>
            <w:vAlign w:val="center"/>
            <w:hideMark/>
          </w:tcPr>
          <w:p w:rsidR="00FA6A77" w:rsidRPr="00D5126A" w:rsidRDefault="00FA6A77" w:rsidP="0095375C">
            <w:pPr>
              <w:rPr>
                <w:rFonts w:ascii="Arial" w:hAnsi="Arial" w:cs="Arial"/>
                <w:sz w:val="20"/>
                <w:szCs w:val="20"/>
                <w:lang w:eastAsia="en-GB"/>
              </w:rPr>
            </w:pPr>
            <w:r w:rsidRPr="00D5126A">
              <w:rPr>
                <w:rFonts w:ascii="Arial" w:hAnsi="Arial" w:cs="Arial"/>
                <w:sz w:val="20"/>
                <w:szCs w:val="20"/>
                <w:lang w:eastAsia="en-GB"/>
              </w:rPr>
              <w:t>21.50%</w:t>
            </w:r>
          </w:p>
        </w:tc>
        <w:tc>
          <w:tcPr>
            <w:tcW w:w="2340" w:type="pct"/>
            <w:gridSpan w:val="2"/>
            <w:tcBorders>
              <w:top w:val="single" w:sz="4" w:space="0" w:color="auto"/>
              <w:left w:val="single" w:sz="4" w:space="0" w:color="auto"/>
              <w:bottom w:val="single" w:sz="4" w:space="0" w:color="auto"/>
              <w:right w:val="single" w:sz="4" w:space="0" w:color="auto"/>
            </w:tcBorders>
            <w:vAlign w:val="center"/>
            <w:hideMark/>
          </w:tcPr>
          <w:p w:rsidR="00FA6A77" w:rsidRPr="00D5126A" w:rsidRDefault="00FA6A77" w:rsidP="0095375C">
            <w:pPr>
              <w:rPr>
                <w:rFonts w:ascii="Arial" w:hAnsi="Arial" w:cs="Arial"/>
                <w:sz w:val="20"/>
                <w:szCs w:val="20"/>
                <w:lang w:eastAsia="en-GB"/>
              </w:rPr>
            </w:pPr>
            <w:r w:rsidRPr="00D5126A">
              <w:rPr>
                <w:rFonts w:ascii="Arial" w:hAnsi="Arial" w:cs="Arial"/>
                <w:sz w:val="20"/>
                <w:szCs w:val="20"/>
                <w:lang w:eastAsia="en-GB"/>
              </w:rPr>
              <w:t>Owns and operates a sanitary landfill that provides services to Wellington City’s northern suburbs.</w:t>
            </w:r>
          </w:p>
        </w:tc>
      </w:tr>
    </w:tbl>
    <w:p w:rsidR="00FA6A77" w:rsidRPr="00D5126A" w:rsidRDefault="00FA6A77" w:rsidP="0095375C">
      <w:pPr>
        <w:rPr>
          <w:rFonts w:ascii="Times New Roman" w:hAnsi="Times New Roman"/>
          <w:sz w:val="19"/>
          <w:szCs w:val="20"/>
          <w:lang w:eastAsia="en-GB"/>
        </w:rPr>
      </w:pPr>
    </w:p>
    <w:p w:rsidR="00FA6A77" w:rsidRPr="00D5126A" w:rsidRDefault="00FA6A77" w:rsidP="0095375C">
      <w:pPr>
        <w:rPr>
          <w:rFonts w:ascii="Arial" w:hAnsi="Arial"/>
          <w:szCs w:val="20"/>
        </w:rPr>
      </w:pPr>
      <w:r w:rsidRPr="00D5126A">
        <w:rPr>
          <w:rFonts w:ascii="Arial" w:hAnsi="Arial"/>
          <w:szCs w:val="20"/>
        </w:rPr>
        <w:t>The end of the reporting period for the joint ventures is 30 June.  Included in the financial statements are the following items that represent the Council’s and Group’s interest in the assets and liabilities of the joint ventures.</w:t>
      </w:r>
    </w:p>
    <w:p w:rsidR="00FA6A77" w:rsidRPr="00D5126A" w:rsidRDefault="00FA6A77" w:rsidP="0095375C">
      <w:pPr>
        <w:pStyle w:val="Heading4"/>
        <w:rPr>
          <w:rFonts w:asciiTheme="majorHAnsi" w:hAnsiTheme="majorHAnsi"/>
          <w:szCs w:val="26"/>
          <w:lang w:eastAsia="en-GB"/>
        </w:rPr>
      </w:pPr>
      <w:r w:rsidRPr="00D5126A">
        <w:rPr>
          <w:lang w:eastAsia="en-GB"/>
        </w:rPr>
        <w:t>Relevant significant accounting policies</w:t>
      </w:r>
    </w:p>
    <w:p w:rsidR="00FA6A77" w:rsidRPr="00D5126A" w:rsidRDefault="00FA6A77" w:rsidP="0095375C">
      <w:pPr>
        <w:rPr>
          <w:rFonts w:ascii="Arial" w:hAnsi="Arial"/>
          <w:szCs w:val="20"/>
        </w:rPr>
      </w:pPr>
      <w:r w:rsidRPr="00D5126A">
        <w:rPr>
          <w:rFonts w:ascii="Arial" w:hAnsi="Arial"/>
          <w:szCs w:val="20"/>
        </w:rPr>
        <w:t>For a jointly controlled asset the Council has a liability in respect of its share of joint ventures’ operational deficits and liabilities, and shares in any operational surpluses and assets. The Council’s proportionate interest (ie. 21.5% of the Spicer Valley landfill) in the assets, liabilities, revenue and expenditure is included in the financial statements of the Council and Group on a line-by-line basis.</w:t>
      </w:r>
    </w:p>
    <w:p w:rsidR="008750F1" w:rsidRDefault="008750F1" w:rsidP="008750F1">
      <w:pPr>
        <w:pStyle w:val="Caption"/>
      </w:pPr>
      <w:r>
        <w:lastRenderedPageBreak/>
        <w:t xml:space="preserve">Section 5 - Table </w:t>
      </w:r>
      <w:fldSimple w:instr=" SEQ Section_5_-_Table \* ARABIC ">
        <w:r w:rsidR="005908C4">
          <w:rPr>
            <w:noProof/>
          </w:rPr>
          <w:t>75</w:t>
        </w:r>
      </w:fldSimple>
      <w:r>
        <w:t>: Share of net assets - Porirua City Council Joint Ventures (PCCJV)</w:t>
      </w:r>
    </w:p>
    <w:p w:rsidR="00FA6A77" w:rsidRPr="00D5126A" w:rsidRDefault="008750F1" w:rsidP="008750F1">
      <w:pPr>
        <w:rPr>
          <w:rFonts w:asciiTheme="majorHAnsi" w:hAnsiTheme="majorHAnsi"/>
          <w:szCs w:val="26"/>
        </w:rPr>
      </w:pPr>
      <w:r>
        <w:rPr>
          <w:rFonts w:asciiTheme="majorHAnsi" w:hAnsiTheme="majorHAnsi"/>
          <w:noProof/>
          <w:szCs w:val="26"/>
          <w:lang w:eastAsia="en-NZ"/>
        </w:rPr>
        <w:drawing>
          <wp:inline distT="0" distB="0" distL="0" distR="0" wp14:anchorId="6AC13371" wp14:editId="10DF603A">
            <wp:extent cx="6082030" cy="3763645"/>
            <wp:effectExtent l="0" t="0" r="0" b="8255"/>
            <wp:docPr id="9" name="Picture 9" title="Section 5 - Table 75: Share of net assets - Porirua City Council Joint Ventures (PCCJ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5"/>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6082030" cy="3763645"/>
                    </a:xfrm>
                    <a:prstGeom prst="rect">
                      <a:avLst/>
                    </a:prstGeom>
                    <a:noFill/>
                    <a:ln>
                      <a:noFill/>
                    </a:ln>
                  </pic:spPr>
                </pic:pic>
              </a:graphicData>
            </a:graphic>
          </wp:inline>
        </w:drawing>
      </w:r>
    </w:p>
    <w:p w:rsidR="00FA6A77" w:rsidRPr="00D5126A" w:rsidRDefault="00FA6A77" w:rsidP="0095375C">
      <w:pPr>
        <w:rPr>
          <w:rFonts w:ascii="Arial" w:hAnsi="Arial"/>
          <w:szCs w:val="20"/>
        </w:rPr>
      </w:pPr>
      <w:r w:rsidRPr="00D5126A">
        <w:rPr>
          <w:rFonts w:ascii="Arial" w:hAnsi="Arial"/>
          <w:szCs w:val="20"/>
        </w:rPr>
        <w:t xml:space="preserve">The Council’s and Group’s share of the joint ventures’ current year net surplus / (deficit) and revaluation movements (after elimination) included in the financial statements are shown </w:t>
      </w:r>
      <w:r w:rsidR="00296F23">
        <w:rPr>
          <w:rFonts w:ascii="Arial" w:hAnsi="Arial"/>
          <w:szCs w:val="20"/>
        </w:rPr>
        <w:t>in the following table</w:t>
      </w:r>
      <w:r w:rsidRPr="00D5126A">
        <w:rPr>
          <w:rFonts w:ascii="Arial" w:hAnsi="Arial"/>
          <w:szCs w:val="20"/>
        </w:rPr>
        <w:t>.</w:t>
      </w:r>
    </w:p>
    <w:p w:rsidR="008750F1" w:rsidRDefault="008750F1" w:rsidP="008750F1">
      <w:pPr>
        <w:pStyle w:val="Caption"/>
      </w:pPr>
      <w:r>
        <w:t xml:space="preserve">Section 5 - Table </w:t>
      </w:r>
      <w:fldSimple w:instr=" SEQ Section_5_-_Table \* ARABIC ">
        <w:r w:rsidR="005908C4">
          <w:rPr>
            <w:noProof/>
          </w:rPr>
          <w:t>76</w:t>
        </w:r>
      </w:fldSimple>
      <w:r>
        <w:t xml:space="preserve">: </w:t>
      </w:r>
      <w:r w:rsidRPr="007C5BE6">
        <w:t xml:space="preserve">Share of net </w:t>
      </w:r>
      <w:r>
        <w:t xml:space="preserve">surplus and revaluation </w:t>
      </w:r>
      <w:proofErr w:type="gramStart"/>
      <w:r>
        <w:t xml:space="preserve">movements </w:t>
      </w:r>
      <w:r w:rsidRPr="007C5BE6">
        <w:t xml:space="preserve"> -</w:t>
      </w:r>
      <w:proofErr w:type="gramEnd"/>
      <w:r w:rsidRPr="007C5BE6">
        <w:t xml:space="preserve"> </w:t>
      </w:r>
      <w:r>
        <w:t>PCCJV</w:t>
      </w:r>
    </w:p>
    <w:p w:rsidR="00FA6A77" w:rsidRPr="00D5126A" w:rsidRDefault="00FA6A77" w:rsidP="008750F1">
      <w:r w:rsidRPr="00D5126A">
        <w:rPr>
          <w:noProof/>
          <w:lang w:eastAsia="en-NZ"/>
        </w:rPr>
        <w:drawing>
          <wp:inline distT="0" distB="0" distL="0" distR="0" wp14:anchorId="647B534E" wp14:editId="6A37C70D">
            <wp:extent cx="6152515" cy="1471295"/>
            <wp:effectExtent l="0" t="0" r="635" b="0"/>
            <wp:docPr id="1374" name="Picture 1374" title="Section 5 - Table 76: Share of net surplus and revaluation movements  - PCCJ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6152515" cy="1471295"/>
                    </a:xfrm>
                    <a:prstGeom prst="rect">
                      <a:avLst/>
                    </a:prstGeom>
                    <a:noFill/>
                    <a:ln>
                      <a:noFill/>
                    </a:ln>
                  </pic:spPr>
                </pic:pic>
              </a:graphicData>
            </a:graphic>
          </wp:inline>
        </w:drawing>
      </w:r>
    </w:p>
    <w:p w:rsidR="00FA6A77" w:rsidRPr="00D5126A" w:rsidRDefault="00FA6A77" w:rsidP="0095375C">
      <w:r w:rsidRPr="00D5126A">
        <w:rPr>
          <w:rFonts w:ascii="Arial" w:hAnsi="Arial"/>
          <w:szCs w:val="20"/>
        </w:rPr>
        <w:t>The Council’s and Group’s share of the joint ventures’ capital commitments is $Nil (2018: $Nil) and contingent liabilities is $Nil (2018: $Nil).</w:t>
      </w:r>
    </w:p>
    <w:p w:rsidR="00FA6A77" w:rsidRPr="00D5126A" w:rsidRDefault="00FA6A77" w:rsidP="00D96278">
      <w:pPr>
        <w:pStyle w:val="Heading3"/>
      </w:pPr>
      <w:bookmarkStart w:id="482" w:name="_Toc19092095"/>
      <w:bookmarkStart w:id="483" w:name="_Toc23848731"/>
      <w:r w:rsidRPr="00D5126A">
        <w:t>Note 36: Related party disclosures</w:t>
      </w:r>
      <w:bookmarkEnd w:id="482"/>
      <w:bookmarkEnd w:id="483"/>
    </w:p>
    <w:p w:rsidR="00FA6A77" w:rsidRPr="00D5126A" w:rsidRDefault="00FA6A77" w:rsidP="0095375C">
      <w:pPr>
        <w:pStyle w:val="Heading4"/>
        <w:rPr>
          <w:lang w:eastAsia="en-GB"/>
        </w:rPr>
      </w:pPr>
      <w:r w:rsidRPr="00D5126A">
        <w:rPr>
          <w:lang w:eastAsia="en-GB"/>
        </w:rPr>
        <w:t>Relevant significant accounting policies</w:t>
      </w:r>
    </w:p>
    <w:p w:rsidR="00FA6A77" w:rsidRPr="00D5126A" w:rsidRDefault="00FA6A77" w:rsidP="0095375C">
      <w:pPr>
        <w:rPr>
          <w:rFonts w:ascii="Arial" w:hAnsi="Arial"/>
          <w:szCs w:val="20"/>
        </w:rPr>
      </w:pPr>
      <w:r w:rsidRPr="00D5126A">
        <w:rPr>
          <w:rFonts w:ascii="Arial" w:hAnsi="Arial"/>
          <w:szCs w:val="20"/>
        </w:rPr>
        <w:t xml:space="preserve">Related parties arise where one entity has the ability to affect the financial and operating policies of another through the presence of control or significant influence. Related parties include all members of the Group (controlled entities, associates and joint ventures) and key management personnel. </w:t>
      </w:r>
    </w:p>
    <w:p w:rsidR="00FA6A77" w:rsidRPr="00D5126A" w:rsidRDefault="00FA6A77" w:rsidP="0095375C">
      <w:pPr>
        <w:rPr>
          <w:rFonts w:ascii="Arial" w:hAnsi="Arial"/>
          <w:szCs w:val="20"/>
        </w:rPr>
      </w:pPr>
      <w:r w:rsidRPr="00D5126A">
        <w:rPr>
          <w:rFonts w:ascii="Arial" w:hAnsi="Arial"/>
          <w:szCs w:val="20"/>
        </w:rPr>
        <w:t>Key management personnel include the Mayor and Councillors as elected members of the governing body of the Council reporting entity, the Chief Executive and all members of the Executive Leadership Team, being key advisors to the Council and Chief Executive.</w:t>
      </w:r>
    </w:p>
    <w:p w:rsidR="00FA6A77" w:rsidRPr="00D5126A" w:rsidRDefault="00FA6A77" w:rsidP="0095375C">
      <w:pPr>
        <w:pStyle w:val="Heading4"/>
        <w:rPr>
          <w:rFonts w:asciiTheme="majorHAnsi" w:hAnsiTheme="majorHAnsi"/>
          <w:szCs w:val="26"/>
          <w:lang w:eastAsia="en-GB"/>
        </w:rPr>
      </w:pPr>
      <w:r w:rsidRPr="00D5126A">
        <w:rPr>
          <w:lang w:eastAsia="en-GB"/>
        </w:rPr>
        <w:lastRenderedPageBreak/>
        <w:t>Key management personnel</w:t>
      </w:r>
    </w:p>
    <w:p w:rsidR="00FA6A77" w:rsidRPr="00D5126A" w:rsidRDefault="00FA6A77" w:rsidP="0095375C">
      <w:pPr>
        <w:rPr>
          <w:rFonts w:ascii="Arial" w:hAnsi="Arial"/>
          <w:szCs w:val="20"/>
        </w:rPr>
      </w:pPr>
      <w:r w:rsidRPr="00D5126A">
        <w:rPr>
          <w:rFonts w:ascii="Arial" w:hAnsi="Arial"/>
          <w:szCs w:val="20"/>
        </w:rPr>
        <w:t>In this section, the Council discloses the remuneration and related party transactions of key management personnel. The remuneration payable to key management personnel of the Group’s other entities is disclosed separately within their individual financial statements and is not included in the following table</w:t>
      </w:r>
    </w:p>
    <w:p w:rsidR="008750F1" w:rsidRDefault="008750F1" w:rsidP="008750F1">
      <w:pPr>
        <w:pStyle w:val="Caption"/>
      </w:pPr>
      <w:r>
        <w:t xml:space="preserve">Section 5 - Table </w:t>
      </w:r>
      <w:fldSimple w:instr=" SEQ Section_5_-_Table \* ARABIC ">
        <w:r w:rsidR="005908C4">
          <w:rPr>
            <w:noProof/>
          </w:rPr>
          <w:t>77</w:t>
        </w:r>
      </w:fldSimple>
      <w:r>
        <w:t>: Remuneration paid to key management personnel</w:t>
      </w:r>
    </w:p>
    <w:p w:rsidR="00FA6A77" w:rsidRPr="00D5126A" w:rsidRDefault="00FA6A77" w:rsidP="0095375C">
      <w:pPr>
        <w:ind w:left="-284"/>
        <w:rPr>
          <w:rFonts w:ascii="Arial" w:hAnsi="Arial" w:cs="Arial"/>
          <w:color w:val="333333"/>
          <w:lang w:eastAsia="en-GB"/>
        </w:rPr>
      </w:pPr>
      <w:r w:rsidRPr="00D5126A">
        <w:rPr>
          <w:noProof/>
          <w:lang w:eastAsia="en-NZ"/>
        </w:rPr>
        <w:drawing>
          <wp:inline distT="0" distB="0" distL="0" distR="0" wp14:anchorId="78DC3741" wp14:editId="3340AA48">
            <wp:extent cx="6152515" cy="2385695"/>
            <wp:effectExtent l="0" t="0" r="635" b="0"/>
            <wp:docPr id="1373" name="Picture 1373" title="Section 5 - Table 77: Remuneration paid to key management person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6152515" cy="2385695"/>
                    </a:xfrm>
                    <a:prstGeom prst="rect">
                      <a:avLst/>
                    </a:prstGeom>
                    <a:noFill/>
                    <a:ln>
                      <a:noFill/>
                    </a:ln>
                  </pic:spPr>
                </pic:pic>
              </a:graphicData>
            </a:graphic>
          </wp:inline>
        </w:drawing>
      </w:r>
    </w:p>
    <w:p w:rsidR="00FA6A77" w:rsidRPr="00D5126A" w:rsidRDefault="00FA6A77" w:rsidP="0095375C">
      <w:pPr>
        <w:rPr>
          <w:rFonts w:ascii="Arial" w:hAnsi="Arial"/>
          <w:szCs w:val="20"/>
        </w:rPr>
      </w:pPr>
      <w:r w:rsidRPr="00D5126A">
        <w:rPr>
          <w:rFonts w:ascii="Arial" w:hAnsi="Arial"/>
          <w:szCs w:val="20"/>
        </w:rPr>
        <w:t>As at 30 June 2019 key management personnel comprised of 21 individuals: 15 elected members or 15 fulltime equivalents (2018: 15) and 6 executive leaders or 6 fulltime equivalents (2018: 6).</w:t>
      </w:r>
    </w:p>
    <w:p w:rsidR="00FA6A77" w:rsidRPr="00D5126A" w:rsidRDefault="00FA6A77" w:rsidP="0095375C">
      <w:pPr>
        <w:rPr>
          <w:rFonts w:ascii="Arial" w:hAnsi="Arial"/>
          <w:szCs w:val="20"/>
        </w:rPr>
      </w:pPr>
      <w:r w:rsidRPr="00D5126A">
        <w:rPr>
          <w:rFonts w:ascii="Arial" w:hAnsi="Arial"/>
          <w:szCs w:val="20"/>
        </w:rPr>
        <w:t xml:space="preserve">For further disclosure of the remuneration payable to the Mayor, Councillors and the Chief Executive refer to Note 37: Remuneration and </w:t>
      </w:r>
      <w:r w:rsidRPr="001764C5">
        <w:rPr>
          <w:rFonts w:ascii="Arial" w:hAnsi="Arial"/>
          <w:szCs w:val="20"/>
        </w:rPr>
        <w:t xml:space="preserve">staffing </w:t>
      </w:r>
      <w:r w:rsidR="0095375C" w:rsidRPr="001764C5">
        <w:rPr>
          <w:rFonts w:ascii="Arial" w:hAnsi="Arial"/>
          <w:szCs w:val="20"/>
        </w:rPr>
        <w:t xml:space="preserve">(page </w:t>
      </w:r>
      <w:r w:rsidR="001764C5" w:rsidRPr="001764C5">
        <w:rPr>
          <w:rFonts w:ascii="Arial" w:hAnsi="Arial"/>
          <w:szCs w:val="20"/>
        </w:rPr>
        <w:t>309</w:t>
      </w:r>
      <w:r w:rsidR="0095375C" w:rsidRPr="001764C5">
        <w:rPr>
          <w:rFonts w:ascii="Arial" w:hAnsi="Arial"/>
          <w:szCs w:val="20"/>
        </w:rPr>
        <w:t>)</w:t>
      </w:r>
      <w:r w:rsidRPr="001764C5">
        <w:rPr>
          <w:rFonts w:ascii="Arial" w:hAnsi="Arial"/>
          <w:szCs w:val="20"/>
        </w:rPr>
        <w:t>.</w:t>
      </w:r>
    </w:p>
    <w:p w:rsidR="00FA6A77" w:rsidRPr="00D5126A" w:rsidRDefault="00FA6A77" w:rsidP="00CB28F1">
      <w:pPr>
        <w:pStyle w:val="Heading4"/>
        <w:rPr>
          <w:lang w:eastAsia="en-GB"/>
        </w:rPr>
      </w:pPr>
      <w:r w:rsidRPr="00D5126A">
        <w:rPr>
          <w:lang w:eastAsia="en-GB"/>
        </w:rPr>
        <w:t>Material related party transactions – key management personnel</w:t>
      </w:r>
    </w:p>
    <w:p w:rsidR="00FA6A77" w:rsidRPr="00D5126A" w:rsidRDefault="00FA6A77" w:rsidP="0095375C">
      <w:pPr>
        <w:rPr>
          <w:rFonts w:ascii="Arial" w:hAnsi="Arial"/>
          <w:szCs w:val="20"/>
        </w:rPr>
      </w:pPr>
      <w:r w:rsidRPr="00D5126A">
        <w:rPr>
          <w:rFonts w:ascii="Arial" w:hAnsi="Arial"/>
          <w:szCs w:val="20"/>
        </w:rPr>
        <w:t>During the year key management personnel, as part of normal local authority relationships, were involved in transactions with the Council such as payment of rates and purchases of rubbish bags or other Council services.</w:t>
      </w:r>
    </w:p>
    <w:p w:rsidR="00FA6A77" w:rsidRPr="00D5126A" w:rsidRDefault="00FA6A77" w:rsidP="0095375C">
      <w:pPr>
        <w:rPr>
          <w:rFonts w:ascii="Arial" w:hAnsi="Arial"/>
          <w:szCs w:val="20"/>
        </w:rPr>
      </w:pPr>
      <w:r w:rsidRPr="00D5126A">
        <w:t>A member of key management personnel purchased their Council vehicle following the decision to remove all full private use vehicles from the Council’s fleet. The vehicle was purchased for its market value</w:t>
      </w:r>
      <w:r w:rsidRPr="00D5126A">
        <w:rPr>
          <w:rFonts w:ascii="Arial" w:hAnsi="Arial"/>
          <w:szCs w:val="20"/>
        </w:rPr>
        <w:t xml:space="preserve">. </w:t>
      </w:r>
    </w:p>
    <w:p w:rsidR="00FA6A77" w:rsidRPr="00D5126A" w:rsidRDefault="00FA6A77" w:rsidP="0095375C">
      <w:pPr>
        <w:rPr>
          <w:rFonts w:ascii="Arial" w:hAnsi="Arial" w:cs="Arial"/>
          <w:color w:val="333333"/>
          <w:lang w:eastAsia="en-GB"/>
        </w:rPr>
      </w:pPr>
      <w:r w:rsidRPr="00D5126A">
        <w:rPr>
          <w:rFonts w:ascii="Arial" w:hAnsi="Arial"/>
          <w:szCs w:val="20"/>
        </w:rPr>
        <w:t>These transactions were on normal commercial terms. Except for these transactions no key management personnel have entered into related party transactions with the Group.</w:t>
      </w:r>
    </w:p>
    <w:p w:rsidR="00FA6A77" w:rsidRPr="00D5126A" w:rsidRDefault="00FA6A77" w:rsidP="0095375C">
      <w:pPr>
        <w:rPr>
          <w:rFonts w:ascii="Arial" w:hAnsi="Arial"/>
          <w:szCs w:val="20"/>
        </w:rPr>
      </w:pPr>
      <w:r w:rsidRPr="00D5126A">
        <w:rPr>
          <w:rFonts w:ascii="Arial" w:hAnsi="Arial"/>
          <w:szCs w:val="20"/>
        </w:rPr>
        <w:t>The Mayor and Councillor’s disclose their personal interests in a register available on the Council website.</w:t>
      </w:r>
    </w:p>
    <w:p w:rsidR="00FA6A77" w:rsidRPr="00D5126A" w:rsidRDefault="00FA6A77" w:rsidP="0095375C">
      <w:pPr>
        <w:rPr>
          <w:rFonts w:ascii="Arial" w:hAnsi="Arial"/>
          <w:szCs w:val="20"/>
        </w:rPr>
      </w:pPr>
      <w:r w:rsidRPr="00D5126A">
        <w:rPr>
          <w:rFonts w:ascii="Arial" w:hAnsi="Arial"/>
          <w:szCs w:val="20"/>
        </w:rPr>
        <w:t>There are no commitments from Council to key management personnel.</w:t>
      </w:r>
    </w:p>
    <w:p w:rsidR="00FA6A77" w:rsidRPr="00D5126A" w:rsidRDefault="00FA6A77" w:rsidP="00CB28F1">
      <w:pPr>
        <w:pStyle w:val="Heading4"/>
        <w:rPr>
          <w:lang w:eastAsia="en-GB"/>
        </w:rPr>
      </w:pPr>
      <w:r w:rsidRPr="00D5126A">
        <w:rPr>
          <w:lang w:eastAsia="en-GB"/>
        </w:rPr>
        <w:t>Material related party transactions – other organisations</w:t>
      </w:r>
    </w:p>
    <w:p w:rsidR="00FA6A77" w:rsidRPr="00D5126A" w:rsidRDefault="00FA6A77" w:rsidP="00CB28F1">
      <w:pPr>
        <w:pStyle w:val="Heading5"/>
        <w:rPr>
          <w:rFonts w:ascii="Helvetica" w:hAnsi="Helvetica"/>
          <w:sz w:val="20"/>
          <w:szCs w:val="20"/>
          <w:lang w:eastAsia="en-GB"/>
        </w:rPr>
      </w:pPr>
      <w:r w:rsidRPr="00D5126A">
        <w:rPr>
          <w:lang w:eastAsia="en-GB"/>
        </w:rPr>
        <w:t>Basin Reserve Trust (BRT)</w:t>
      </w:r>
      <w:r w:rsidRPr="00D5126A">
        <w:rPr>
          <w:rFonts w:ascii="Helvetica" w:hAnsi="Helvetica"/>
          <w:sz w:val="20"/>
          <w:szCs w:val="20"/>
          <w:lang w:eastAsia="en-GB"/>
        </w:rPr>
        <w:t xml:space="preserve">  </w:t>
      </w:r>
    </w:p>
    <w:p w:rsidR="00FA6A77" w:rsidRPr="00D5126A" w:rsidRDefault="00FA6A77" w:rsidP="0095375C">
      <w:pPr>
        <w:rPr>
          <w:rFonts w:ascii="Arial" w:hAnsi="Arial"/>
          <w:szCs w:val="20"/>
        </w:rPr>
      </w:pPr>
      <w:r w:rsidRPr="00D5126A">
        <w:rPr>
          <w:rFonts w:ascii="Arial" w:hAnsi="Arial"/>
          <w:szCs w:val="20"/>
        </w:rPr>
        <w:t xml:space="preserve">The Basin Reserve Trust was established on 24 February 2005 to manage, operate and maintain the Basin Reserve. The Trust was jointly created with Cricket Wellington Incorporated (CWI). Wellington City Council and CWI each appoint two of the four trustees. Wellington City Council has significant </w:t>
      </w:r>
      <w:r w:rsidRPr="00D5126A">
        <w:rPr>
          <w:rFonts w:ascii="Arial" w:hAnsi="Arial"/>
          <w:szCs w:val="20"/>
        </w:rPr>
        <w:lastRenderedPageBreak/>
        <w:t>influence over the Trust through the appointment of trustees, and receives benefits from the complementary activities of the Trust.</w:t>
      </w:r>
    </w:p>
    <w:p w:rsidR="00FA6A77" w:rsidRPr="00D5126A" w:rsidRDefault="00FA6A77" w:rsidP="0095375C">
      <w:pPr>
        <w:rPr>
          <w:rFonts w:ascii="Arial" w:hAnsi="Arial"/>
          <w:szCs w:val="20"/>
        </w:rPr>
      </w:pPr>
      <w:r w:rsidRPr="00D5126A">
        <w:rPr>
          <w:rFonts w:ascii="Arial" w:hAnsi="Arial"/>
          <w:szCs w:val="20"/>
        </w:rPr>
        <w:t>The Council considers the Trust does not meet the requirements of PBE IPSAS 7 Investments in Associates to enable continued consolidation on an equity accounted basis. The Trust is still identified as an associate given the Council’s level of influence and financial support but due to the lack of an equity investment the Council believes it is not appropriate to include the Trust in the Group financial statements.</w:t>
      </w:r>
    </w:p>
    <w:p w:rsidR="00FA6A77" w:rsidRPr="00D5126A" w:rsidRDefault="00FA6A77" w:rsidP="0095375C">
      <w:pPr>
        <w:rPr>
          <w:rFonts w:ascii="Arial" w:hAnsi="Arial"/>
          <w:szCs w:val="20"/>
        </w:rPr>
      </w:pPr>
      <w:r w:rsidRPr="00D5126A">
        <w:rPr>
          <w:rFonts w:ascii="Arial" w:hAnsi="Arial"/>
          <w:szCs w:val="20"/>
        </w:rPr>
        <w:t>During the year ending 30 June 2019 Council contributed $0.417m (2018: $0.399m) to fund the core operations of the Trust and $0.250m (2018: $0.250m) for turf management services.</w:t>
      </w:r>
    </w:p>
    <w:p w:rsidR="00FA6A77" w:rsidRPr="00D5126A" w:rsidRDefault="00FA6A77" w:rsidP="00CB28F1">
      <w:pPr>
        <w:pStyle w:val="Heading5"/>
        <w:rPr>
          <w:szCs w:val="28"/>
          <w:lang w:eastAsia="en-GB"/>
        </w:rPr>
      </w:pPr>
      <w:r w:rsidRPr="00D5126A">
        <w:rPr>
          <w:lang w:eastAsia="en-GB"/>
        </w:rPr>
        <w:t>NZ Local Government Funding Agency Limited (LGFA)</w:t>
      </w:r>
    </w:p>
    <w:p w:rsidR="00FA6A77" w:rsidRPr="00D5126A" w:rsidRDefault="00FA6A77" w:rsidP="0095375C">
      <w:pPr>
        <w:rPr>
          <w:rFonts w:ascii="Arial" w:hAnsi="Arial"/>
          <w:szCs w:val="20"/>
        </w:rPr>
      </w:pPr>
      <w:r w:rsidRPr="00D5126A">
        <w:rPr>
          <w:rFonts w:ascii="Arial" w:hAnsi="Arial"/>
          <w:szCs w:val="20"/>
        </w:rPr>
        <w:t xml:space="preserve">The LGFA was incorporated on 1 December 2011 and was established to facilitate the efficient, and cost effective, raising of debt funding for local government authorities. There are currently 30 regional, district and city councils throughout New Zealand that own 80% of the issued capital, with the Government holding the remaining 20%. The Council became an establishment shareholder in this Council Controlled Trading Organisation (CCTO) and currently has an investment of $1.866m representing 8.3% of paid-up capital. </w:t>
      </w:r>
    </w:p>
    <w:p w:rsidR="00FA6A77" w:rsidRPr="00D5126A" w:rsidRDefault="00FA6A77" w:rsidP="00CB28F1">
      <w:pPr>
        <w:pStyle w:val="Heading5"/>
        <w:rPr>
          <w:rFonts w:ascii="Helvetica" w:hAnsi="Helvetica"/>
          <w:sz w:val="20"/>
          <w:szCs w:val="20"/>
          <w:lang w:eastAsia="en-GB"/>
        </w:rPr>
      </w:pPr>
      <w:r w:rsidRPr="00D5126A">
        <w:rPr>
          <w:lang w:eastAsia="en-GB"/>
        </w:rPr>
        <w:t>Wellington Regional Stadium Trust (WRST)</w:t>
      </w:r>
      <w:r w:rsidRPr="00D5126A">
        <w:rPr>
          <w:rFonts w:ascii="Helvetica" w:hAnsi="Helvetica"/>
          <w:sz w:val="20"/>
          <w:szCs w:val="20"/>
          <w:lang w:eastAsia="en-GB"/>
        </w:rPr>
        <w:t xml:space="preserve">        </w:t>
      </w:r>
    </w:p>
    <w:p w:rsidR="00FA6A77" w:rsidRPr="00D5126A" w:rsidRDefault="00FA6A77" w:rsidP="0095375C">
      <w:pPr>
        <w:rPr>
          <w:rFonts w:ascii="Arial" w:hAnsi="Arial"/>
          <w:szCs w:val="20"/>
        </w:rPr>
      </w:pPr>
      <w:r w:rsidRPr="00D5126A">
        <w:rPr>
          <w:rFonts w:ascii="Arial" w:hAnsi="Arial"/>
          <w:szCs w:val="20"/>
        </w:rPr>
        <w:t xml:space="preserve">Wellington Regional Stadium Trust was jointly created with Greater Wellington Regional Council and Wellington City Council has significant influence over the Wellington Regional Stadium Trust through the appointment of trustees and receives benefits from the complementary activities of the Trust. </w:t>
      </w:r>
    </w:p>
    <w:p w:rsidR="00FA6A77" w:rsidRPr="00D5126A" w:rsidRDefault="00FA6A77" w:rsidP="0095375C">
      <w:pPr>
        <w:rPr>
          <w:rFonts w:ascii="Arial" w:hAnsi="Arial"/>
          <w:szCs w:val="20"/>
        </w:rPr>
      </w:pPr>
      <w:r w:rsidRPr="00D5126A">
        <w:rPr>
          <w:rFonts w:ascii="Arial" w:hAnsi="Arial"/>
          <w:szCs w:val="20"/>
        </w:rPr>
        <w:t>The Council considers the Trust does not meet the requirements of PBE IPSAS 7 Investments in Associates to enable continued consolidation on an equity accounted basis. The Trust is still identified as an associate given the Council’s level of influence and financial support but due to the lack of an equity investment the Council believes it is not appropriate to include the Trust in the Group financial statements.</w:t>
      </w:r>
    </w:p>
    <w:p w:rsidR="0095375C" w:rsidRPr="00D5126A" w:rsidRDefault="00FA6A77" w:rsidP="0095375C">
      <w:pPr>
        <w:rPr>
          <w:rFonts w:ascii="Arial" w:hAnsi="Arial"/>
          <w:szCs w:val="20"/>
        </w:rPr>
      </w:pPr>
      <w:r w:rsidRPr="00D5126A">
        <w:rPr>
          <w:rFonts w:ascii="Arial" w:hAnsi="Arial"/>
          <w:szCs w:val="20"/>
        </w:rPr>
        <w:t xml:space="preserve">Council holds a $15m limited recourse loan to WRST which, is unsecured, with no specified maturity and at no interest. The loan is not repayable until all other debts are extinguished. On maturity of the initial WRST membership underwrite, the unpaid interest was converted to a $0.395m advance repayable after all other advances made by the Council and Greater Wellington Regional Council. </w:t>
      </w:r>
    </w:p>
    <w:p w:rsidR="0095375C" w:rsidRPr="00D5126A" w:rsidRDefault="00FA6A77" w:rsidP="0095375C">
      <w:pPr>
        <w:rPr>
          <w:rFonts w:ascii="Arial" w:hAnsi="Arial"/>
          <w:szCs w:val="20"/>
        </w:rPr>
      </w:pPr>
      <w:r w:rsidRPr="00D5126A">
        <w:rPr>
          <w:rFonts w:ascii="Arial" w:hAnsi="Arial"/>
          <w:szCs w:val="20"/>
        </w:rPr>
        <w:t>During the year ending 30 June 2019 Council transacted directly with WRST to the amount of $0.840m (2018: $0.330m) as part of the original $5.000m funding grant recognised in 2016/17 for the upgrade of the concourse. To dat</w:t>
      </w:r>
      <w:r w:rsidR="0095375C" w:rsidRPr="00D5126A">
        <w:rPr>
          <w:rFonts w:ascii="Arial" w:hAnsi="Arial"/>
          <w:szCs w:val="20"/>
        </w:rPr>
        <w:t>e Council has paid $1.670m.</w:t>
      </w:r>
    </w:p>
    <w:p w:rsidR="00FA6A77" w:rsidRPr="00D5126A" w:rsidRDefault="00FA6A77" w:rsidP="0095375C">
      <w:pPr>
        <w:pStyle w:val="Heading4"/>
        <w:rPr>
          <w:szCs w:val="20"/>
        </w:rPr>
      </w:pPr>
      <w:r w:rsidRPr="00D5126A">
        <w:rPr>
          <w:lang w:eastAsia="en-GB"/>
        </w:rPr>
        <w:t xml:space="preserve">Intra group transactions and balances </w:t>
      </w:r>
    </w:p>
    <w:p w:rsidR="00FA6A77" w:rsidRPr="00D5126A" w:rsidRDefault="00FA6A77" w:rsidP="0095375C">
      <w:pPr>
        <w:rPr>
          <w:rFonts w:ascii="Arial" w:hAnsi="Arial"/>
          <w:szCs w:val="20"/>
        </w:rPr>
      </w:pPr>
      <w:r w:rsidRPr="00D5126A">
        <w:rPr>
          <w:rFonts w:ascii="Arial" w:hAnsi="Arial"/>
          <w:szCs w:val="20"/>
        </w:rPr>
        <w:t xml:space="preserve">During the year the Council has entered into transactions with its joint venture partner Porirua City Council. These transactions disclosed are within the normal course of business. The nature of these intra-group transactions and the outstanding balances at the year-end are as </w:t>
      </w:r>
      <w:r w:rsidR="0022456C">
        <w:rPr>
          <w:rFonts w:ascii="Arial" w:hAnsi="Arial"/>
          <w:szCs w:val="20"/>
        </w:rPr>
        <w:t>per the following table.</w:t>
      </w:r>
    </w:p>
    <w:p w:rsidR="008750F1" w:rsidRDefault="008750F1" w:rsidP="008750F1">
      <w:pPr>
        <w:pStyle w:val="Caption"/>
      </w:pPr>
      <w:r>
        <w:t xml:space="preserve">Section 5 - Table </w:t>
      </w:r>
      <w:fldSimple w:instr=" SEQ Section_5_-_Table \* ARABIC ">
        <w:r w:rsidR="005908C4">
          <w:rPr>
            <w:noProof/>
          </w:rPr>
          <w:t>78</w:t>
        </w:r>
      </w:fldSimple>
      <w:r>
        <w:t xml:space="preserve">: </w:t>
      </w:r>
      <w:r w:rsidRPr="00D916F0">
        <w:t>Intra group transactions and balances</w:t>
      </w:r>
      <w:r>
        <w:t xml:space="preserve"> - jointly controlled assets</w:t>
      </w:r>
    </w:p>
    <w:p w:rsidR="00FA6A77" w:rsidRPr="00D5126A" w:rsidRDefault="00FA6A77" w:rsidP="00163443">
      <w:r w:rsidRPr="00D5126A">
        <w:rPr>
          <w:noProof/>
          <w:lang w:eastAsia="en-NZ"/>
        </w:rPr>
        <w:drawing>
          <wp:inline distT="0" distB="0" distL="0" distR="0" wp14:anchorId="52D154C3" wp14:editId="43AD970E">
            <wp:extent cx="5380074" cy="726517"/>
            <wp:effectExtent l="0" t="0" r="0" b="0"/>
            <wp:docPr id="1372" name="Picture 1372" title="Section 5 - Table 78: Intra group transactions and balances - jointly controlled ass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5402429" cy="729536"/>
                    </a:xfrm>
                    <a:prstGeom prst="rect">
                      <a:avLst/>
                    </a:prstGeom>
                    <a:noFill/>
                    <a:ln>
                      <a:noFill/>
                    </a:ln>
                  </pic:spPr>
                </pic:pic>
              </a:graphicData>
            </a:graphic>
          </wp:inline>
        </w:drawing>
      </w:r>
    </w:p>
    <w:p w:rsidR="00FA6A77" w:rsidRPr="00D5126A" w:rsidRDefault="00FA6A77" w:rsidP="0095375C">
      <w:pPr>
        <w:rPr>
          <w:rFonts w:ascii="Arial" w:hAnsi="Arial"/>
          <w:szCs w:val="20"/>
        </w:rPr>
      </w:pPr>
      <w:r w:rsidRPr="00D5126A">
        <w:rPr>
          <w:rFonts w:ascii="Arial" w:hAnsi="Arial"/>
          <w:szCs w:val="20"/>
        </w:rPr>
        <w:lastRenderedPageBreak/>
        <w:t xml:space="preserve">During the year the Council has entered into transactions with its controlled entities. These transactions disclosed are within the normal course of business. The nature of these intra-group transactions and the outstanding balances at the year-end are as </w:t>
      </w:r>
      <w:r w:rsidR="0022456C">
        <w:rPr>
          <w:rFonts w:ascii="Arial" w:hAnsi="Arial"/>
          <w:szCs w:val="20"/>
        </w:rPr>
        <w:t>per the following table.</w:t>
      </w:r>
    </w:p>
    <w:p w:rsidR="008750F1" w:rsidRDefault="008750F1" w:rsidP="008750F1">
      <w:pPr>
        <w:pStyle w:val="Caption"/>
      </w:pPr>
      <w:r>
        <w:t xml:space="preserve">Section 5 - Table </w:t>
      </w:r>
      <w:fldSimple w:instr=" SEQ Section_5_-_Table \* ARABIC ">
        <w:r w:rsidR="005908C4">
          <w:rPr>
            <w:noProof/>
          </w:rPr>
          <w:t>79</w:t>
        </w:r>
      </w:fldSimple>
      <w:r>
        <w:t xml:space="preserve">: </w:t>
      </w:r>
      <w:r w:rsidRPr="00401FAA">
        <w:t>Intra group transactions and balances</w:t>
      </w:r>
      <w:r>
        <w:t xml:space="preserve"> - controlled entities</w:t>
      </w:r>
    </w:p>
    <w:p w:rsidR="00FA6A77" w:rsidRPr="00D5126A" w:rsidRDefault="0022456C" w:rsidP="0022456C">
      <w:pPr>
        <w:ind w:left="142"/>
      </w:pPr>
      <w:r w:rsidRPr="007A39FE">
        <w:rPr>
          <w:noProof/>
          <w:lang w:eastAsia="en-NZ"/>
        </w:rPr>
        <w:drawing>
          <wp:inline distT="0" distB="0" distL="0" distR="0" wp14:anchorId="7588C23C" wp14:editId="1A9062F2">
            <wp:extent cx="5158428" cy="5454503"/>
            <wp:effectExtent l="0" t="0" r="4445" b="0"/>
            <wp:docPr id="37" name="Picture 37" title="Section 5 - Table 79: Intra group transactions and balances - controlled ent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5162417" cy="5458721"/>
                    </a:xfrm>
                    <a:prstGeom prst="rect">
                      <a:avLst/>
                    </a:prstGeom>
                    <a:noFill/>
                    <a:ln>
                      <a:noFill/>
                    </a:ln>
                  </pic:spPr>
                </pic:pic>
              </a:graphicData>
            </a:graphic>
          </wp:inline>
        </w:drawing>
      </w:r>
    </w:p>
    <w:p w:rsidR="00FA6A77" w:rsidRPr="00D5126A" w:rsidRDefault="00FA6A77" w:rsidP="00B4696B">
      <w:pPr>
        <w:pStyle w:val="Heading5"/>
        <w:rPr>
          <w:rFonts w:eastAsia="MS Mincho"/>
          <w:lang w:eastAsia="en-GB"/>
        </w:rPr>
      </w:pPr>
      <w:r w:rsidRPr="00D5126A">
        <w:rPr>
          <w:rFonts w:eastAsia="MS Mincho"/>
          <w:lang w:eastAsia="en-GB"/>
        </w:rPr>
        <w:t>Current receivables, recoverables and payables</w:t>
      </w:r>
    </w:p>
    <w:p w:rsidR="00FA6A77" w:rsidRPr="00D5126A" w:rsidRDefault="00FA6A77" w:rsidP="0095375C">
      <w:pPr>
        <w:rPr>
          <w:rFonts w:ascii="Arial" w:hAnsi="Arial"/>
          <w:szCs w:val="20"/>
        </w:rPr>
      </w:pPr>
      <w:r w:rsidRPr="00D5126A">
        <w:rPr>
          <w:rFonts w:ascii="Arial" w:hAnsi="Arial"/>
          <w:szCs w:val="20"/>
        </w:rPr>
        <w:t>The receivable, recoverable and payable balances are non-interest bearing and are to be settled with the relevant entities on normal trading terms and conditions.</w:t>
      </w:r>
    </w:p>
    <w:p w:rsidR="00FA6A77" w:rsidRPr="00D5126A" w:rsidRDefault="00FA6A77" w:rsidP="00B4696B">
      <w:pPr>
        <w:pStyle w:val="Heading5"/>
        <w:rPr>
          <w:rFonts w:eastAsia="MS Mincho"/>
          <w:lang w:eastAsia="en-GB"/>
        </w:rPr>
      </w:pPr>
      <w:r w:rsidRPr="00D5126A">
        <w:rPr>
          <w:rFonts w:eastAsia="MS Mincho"/>
          <w:lang w:eastAsia="en-GB"/>
        </w:rPr>
        <w:t>Payments to controlled entities</w:t>
      </w:r>
    </w:p>
    <w:p w:rsidR="00FA6A77" w:rsidRPr="00D5126A" w:rsidRDefault="00FA6A77" w:rsidP="0095375C">
      <w:pPr>
        <w:rPr>
          <w:rFonts w:ascii="Arial" w:eastAsia="Times New Roman" w:hAnsi="Arial"/>
          <w:szCs w:val="20"/>
        </w:rPr>
      </w:pPr>
      <w:r w:rsidRPr="00D5126A">
        <w:rPr>
          <w:rFonts w:ascii="Arial" w:hAnsi="Arial"/>
          <w:szCs w:val="20"/>
        </w:rPr>
        <w:t>The total payments to controlled entities are $33.056m (2018: $32.780m) when the grant funding of $25.615m (2018: $24.907m) and expenditure for services provided to Council of $</w:t>
      </w:r>
      <w:r w:rsidR="000F65D9">
        <w:rPr>
          <w:rFonts w:ascii="Arial" w:hAnsi="Arial"/>
          <w:szCs w:val="20"/>
        </w:rPr>
        <w:t>8.113</w:t>
      </w:r>
      <w:r w:rsidRPr="00D5126A">
        <w:rPr>
          <w:rFonts w:ascii="Arial" w:hAnsi="Arial"/>
          <w:szCs w:val="20"/>
        </w:rPr>
        <w:t>m (2018: $7.873m) are combined.</w:t>
      </w:r>
    </w:p>
    <w:p w:rsidR="00FA6A77" w:rsidRPr="00D5126A" w:rsidRDefault="00FA6A77" w:rsidP="0095375C">
      <w:pPr>
        <w:rPr>
          <w:rFonts w:ascii="Arial" w:hAnsi="Arial"/>
          <w:szCs w:val="20"/>
        </w:rPr>
      </w:pPr>
      <w:r w:rsidRPr="00D5126A">
        <w:rPr>
          <w:rFonts w:ascii="Arial" w:hAnsi="Arial"/>
          <w:szCs w:val="20"/>
        </w:rPr>
        <w:t xml:space="preserve">During the year the Council has entered into several transactions with its associates and jointly controlled entity. These transactions disclosed are within the normal course of business. The nature of these intra-group transactions and the outstanding balances at the year-end are as </w:t>
      </w:r>
      <w:r w:rsidR="000F65D9">
        <w:rPr>
          <w:rFonts w:ascii="Arial" w:hAnsi="Arial"/>
          <w:szCs w:val="20"/>
        </w:rPr>
        <w:t>per the following table.</w:t>
      </w:r>
    </w:p>
    <w:p w:rsidR="008750F1" w:rsidRDefault="008750F1" w:rsidP="008750F1">
      <w:pPr>
        <w:pStyle w:val="Caption"/>
      </w:pPr>
      <w:r>
        <w:lastRenderedPageBreak/>
        <w:t xml:space="preserve">Section 5 - Table </w:t>
      </w:r>
      <w:fldSimple w:instr=" SEQ Section_5_-_Table \* ARABIC ">
        <w:r w:rsidR="005908C4">
          <w:rPr>
            <w:noProof/>
          </w:rPr>
          <w:t>80</w:t>
        </w:r>
      </w:fldSimple>
      <w:r>
        <w:t xml:space="preserve">: </w:t>
      </w:r>
      <w:r w:rsidRPr="00463759">
        <w:t>Intra group transactions and balances</w:t>
      </w:r>
      <w:r>
        <w:rPr>
          <w:noProof/>
        </w:rPr>
        <w:t xml:space="preserve"> - Associates and jointly controlled entity</w:t>
      </w:r>
    </w:p>
    <w:p w:rsidR="00FA6A77" w:rsidRPr="00D5126A" w:rsidRDefault="00FA6A77" w:rsidP="000F65D9">
      <w:r w:rsidRPr="00D5126A">
        <w:rPr>
          <w:noProof/>
          <w:lang w:eastAsia="en-NZ"/>
        </w:rPr>
        <w:drawing>
          <wp:inline distT="0" distB="0" distL="0" distR="0" wp14:anchorId="3030AE04" wp14:editId="56908999">
            <wp:extent cx="5683552" cy="3593805"/>
            <wp:effectExtent l="0" t="0" r="0" b="6985"/>
            <wp:docPr id="1370" name="Picture 1370" title="Section 5 - Table 80: Intra group transactions and balances - Associates and jointly controlled ent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5703772" cy="3606590"/>
                    </a:xfrm>
                    <a:prstGeom prst="rect">
                      <a:avLst/>
                    </a:prstGeom>
                    <a:noFill/>
                    <a:ln>
                      <a:noFill/>
                    </a:ln>
                  </pic:spPr>
                </pic:pic>
              </a:graphicData>
            </a:graphic>
          </wp:inline>
        </w:drawing>
      </w:r>
    </w:p>
    <w:p w:rsidR="00FA6A77" w:rsidRPr="00D5126A" w:rsidRDefault="00FA6A77" w:rsidP="00B4696B">
      <w:pPr>
        <w:pStyle w:val="Heading5"/>
        <w:rPr>
          <w:color w:val="333333"/>
          <w:lang w:eastAsia="en-GB"/>
        </w:rPr>
      </w:pPr>
      <w:r w:rsidRPr="00D5126A">
        <w:rPr>
          <w:lang w:eastAsia="en-GB"/>
        </w:rPr>
        <w:t>Current receivables, recoverables and payables</w:t>
      </w:r>
    </w:p>
    <w:p w:rsidR="00FA6A77" w:rsidRPr="00D5126A" w:rsidRDefault="00FA6A77" w:rsidP="0095375C">
      <w:r w:rsidRPr="00D5126A">
        <w:rPr>
          <w:rFonts w:ascii="Arial" w:hAnsi="Arial"/>
          <w:szCs w:val="20"/>
        </w:rPr>
        <w:t>The receivable, recoverable and payable balances are non-interest bearing and are to be settled with the relevant entities on normal trading terms and conditions.</w:t>
      </w:r>
      <w:r w:rsidR="00D443FB" w:rsidRPr="00D5126A">
        <w:t xml:space="preserve"> </w:t>
      </w:r>
    </w:p>
    <w:p w:rsidR="00D443FB" w:rsidRPr="00D5126A" w:rsidRDefault="00D443FB">
      <w:pPr>
        <w:rPr>
          <w:rFonts w:eastAsia="Times New Roman" w:cstheme="minorHAnsi"/>
          <w:b/>
          <w:bCs/>
          <w:color w:val="4F81BD" w:themeColor="accent1"/>
          <w:sz w:val="34"/>
          <w:szCs w:val="34"/>
          <w:lang w:eastAsia="en-NZ"/>
        </w:rPr>
      </w:pPr>
      <w:bookmarkStart w:id="484" w:name="_Toc19092096"/>
      <w:r w:rsidRPr="00D5126A">
        <w:br w:type="page"/>
      </w:r>
    </w:p>
    <w:p w:rsidR="00FA6A77" w:rsidRPr="00D5126A" w:rsidRDefault="00FA6A77" w:rsidP="00D443FB">
      <w:pPr>
        <w:pStyle w:val="Heading3"/>
      </w:pPr>
      <w:bookmarkStart w:id="485" w:name="_Toc23848732"/>
      <w:r w:rsidRPr="00D5126A">
        <w:lastRenderedPageBreak/>
        <w:t>Note 37: Remuneration and staffing</w:t>
      </w:r>
      <w:bookmarkEnd w:id="484"/>
      <w:bookmarkEnd w:id="485"/>
    </w:p>
    <w:p w:rsidR="00FA6A77" w:rsidRPr="00D5126A" w:rsidRDefault="00FA6A77" w:rsidP="00D443FB">
      <w:pPr>
        <w:pStyle w:val="Heading4"/>
        <w:rPr>
          <w:lang w:eastAsia="en-GB"/>
        </w:rPr>
      </w:pPr>
      <w:r w:rsidRPr="00D5126A">
        <w:rPr>
          <w:lang w:eastAsia="en-GB"/>
        </w:rPr>
        <w:t xml:space="preserve">Mayoral and Councillor </w:t>
      </w:r>
      <w:r w:rsidR="00D443FB" w:rsidRPr="00D5126A">
        <w:rPr>
          <w:lang w:eastAsia="en-GB"/>
        </w:rPr>
        <w:t>Remuneration</w:t>
      </w:r>
    </w:p>
    <w:p w:rsidR="00FA6A77" w:rsidRPr="00D5126A" w:rsidRDefault="00FA6A77" w:rsidP="00D443FB">
      <w:pPr>
        <w:pStyle w:val="Heading5"/>
        <w:rPr>
          <w:lang w:eastAsia="en-GB"/>
        </w:rPr>
      </w:pPr>
      <w:r w:rsidRPr="00D5126A">
        <w:rPr>
          <w:lang w:eastAsia="en-GB"/>
        </w:rPr>
        <w:t>Relevant significant accounting policies</w:t>
      </w:r>
    </w:p>
    <w:p w:rsidR="00FA6A77" w:rsidRPr="00D5126A" w:rsidRDefault="00FA6A77" w:rsidP="00D443FB">
      <w:pPr>
        <w:rPr>
          <w:rFonts w:ascii="Arial" w:hAnsi="Arial"/>
          <w:szCs w:val="20"/>
        </w:rPr>
      </w:pPr>
      <w:r w:rsidRPr="00D5126A">
        <w:rPr>
          <w:rFonts w:ascii="Arial" w:hAnsi="Arial"/>
          <w:szCs w:val="20"/>
        </w:rPr>
        <w:t xml:space="preserve">Remuneration of elected members comprises any money, consideration or benefit received or receivable or otherwise made available, directly or indirectly, during the reporting period but does not include reimbursement of authorised work expenses or the provision of work-related equipment such as cell phones and laptops. </w:t>
      </w:r>
    </w:p>
    <w:p w:rsidR="00FA6A77" w:rsidRPr="00D5126A" w:rsidRDefault="00FA6A77" w:rsidP="00D443FB">
      <w:pPr>
        <w:pStyle w:val="Heading5"/>
        <w:rPr>
          <w:color w:val="333333"/>
          <w:szCs w:val="28"/>
          <w:lang w:eastAsia="en-GB"/>
        </w:rPr>
      </w:pPr>
      <w:r w:rsidRPr="00D5126A">
        <w:rPr>
          <w:lang w:eastAsia="en-GB"/>
        </w:rPr>
        <w:t>Remuneration</w:t>
      </w:r>
    </w:p>
    <w:p w:rsidR="00FA6A77" w:rsidRPr="00D5126A" w:rsidRDefault="00FA6A77" w:rsidP="00D443FB">
      <w:pPr>
        <w:rPr>
          <w:rFonts w:ascii="Arial" w:hAnsi="Arial"/>
          <w:szCs w:val="20"/>
        </w:rPr>
      </w:pPr>
      <w:r w:rsidRPr="00D5126A">
        <w:rPr>
          <w:rFonts w:ascii="Arial" w:hAnsi="Arial"/>
          <w:szCs w:val="20"/>
        </w:rPr>
        <w:t>The following people held office as elected members of the Council’s governing body, during the reporting period. The total remuneration attributed to the Mayor and Councillors during the year from 1 July 2018 to 30 June 2019 was $1,611,660m (2018: $1,493,628) and is broken down and classified as follows:</w:t>
      </w:r>
    </w:p>
    <w:p w:rsidR="008750F1" w:rsidRDefault="008750F1" w:rsidP="008750F1">
      <w:pPr>
        <w:pStyle w:val="Caption"/>
      </w:pPr>
      <w:r>
        <w:t xml:space="preserve">Section 5 - Table </w:t>
      </w:r>
      <w:fldSimple w:instr=" SEQ Section_5_-_Table \* ARABIC ">
        <w:r w:rsidR="005908C4">
          <w:rPr>
            <w:noProof/>
          </w:rPr>
          <w:t>81</w:t>
        </w:r>
      </w:fldSimple>
      <w:r>
        <w:t xml:space="preserve">: Councillor </w:t>
      </w:r>
      <w:proofErr w:type="gramStart"/>
      <w:r>
        <w:t>remuneration</w:t>
      </w:r>
      <w:proofErr w:type="gramEnd"/>
    </w:p>
    <w:p w:rsidR="00FA6A77" w:rsidRPr="00D5126A" w:rsidRDefault="00FA6A77" w:rsidP="000F65D9">
      <w:r w:rsidRPr="00D5126A">
        <w:rPr>
          <w:noProof/>
          <w:lang w:eastAsia="en-NZ"/>
        </w:rPr>
        <w:drawing>
          <wp:inline distT="0" distB="0" distL="0" distR="0" wp14:anchorId="01FB8AA0" wp14:editId="2A01E003">
            <wp:extent cx="5826641" cy="3828080"/>
            <wp:effectExtent l="0" t="0" r="3175" b="1270"/>
            <wp:docPr id="1369" name="Picture 1369" title="Section 5 - Table 81: Councillor remune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5821627" cy="3824786"/>
                    </a:xfrm>
                    <a:prstGeom prst="rect">
                      <a:avLst/>
                    </a:prstGeom>
                    <a:noFill/>
                    <a:ln>
                      <a:noFill/>
                    </a:ln>
                  </pic:spPr>
                </pic:pic>
              </a:graphicData>
            </a:graphic>
          </wp:inline>
        </w:drawing>
      </w:r>
    </w:p>
    <w:p w:rsidR="00FA6A77" w:rsidRPr="00D5126A" w:rsidRDefault="00FA6A77" w:rsidP="00D443FB">
      <w:pPr>
        <w:pStyle w:val="Heading5"/>
        <w:rPr>
          <w:lang w:eastAsia="en-GB"/>
        </w:rPr>
      </w:pPr>
      <w:r w:rsidRPr="00D5126A">
        <w:rPr>
          <w:lang w:eastAsia="en-GB"/>
        </w:rPr>
        <w:t xml:space="preserve">Salary </w:t>
      </w:r>
    </w:p>
    <w:p w:rsidR="00FA6A77" w:rsidRPr="00D5126A" w:rsidRDefault="00FA6A77" w:rsidP="00D443FB">
      <w:pPr>
        <w:rPr>
          <w:rFonts w:ascii="Arial" w:hAnsi="Arial"/>
          <w:szCs w:val="20"/>
        </w:rPr>
      </w:pPr>
      <w:r w:rsidRPr="00D5126A">
        <w:rPr>
          <w:rFonts w:ascii="Arial" w:hAnsi="Arial"/>
          <w:szCs w:val="20"/>
        </w:rPr>
        <w:t xml:space="preserve">The Remuneration Authority is responsible for setting the remuneration levels for elected members (Clause 6, Schedule 7 of the Local Government Act 2002). The Council’s monetary remuneration (salary) detailed above was determined by the Remuneration Authority. As permitted under the Authority’s guidelines the Council has chosen for its elected members to receive an annual salary for the 2018/19 financial year rather than the alternative option of a combination of meeting fee payments and annual salary. </w:t>
      </w:r>
    </w:p>
    <w:p w:rsidR="000F65D9" w:rsidRDefault="000F65D9" w:rsidP="000F65D9">
      <w:pPr>
        <w:pStyle w:val="Heading5"/>
        <w:rPr>
          <w:lang w:eastAsia="en-GB"/>
        </w:rPr>
      </w:pPr>
      <w:r>
        <w:rPr>
          <w:lang w:eastAsia="en-GB"/>
        </w:rPr>
        <w:t>A</w:t>
      </w:r>
      <w:r w:rsidRPr="00DA6DBB">
        <w:rPr>
          <w:lang w:eastAsia="en-GB"/>
        </w:rPr>
        <w:t xml:space="preserve">llowances – </w:t>
      </w:r>
      <w:r>
        <w:rPr>
          <w:lang w:eastAsia="en-GB"/>
        </w:rPr>
        <w:t>internet</w:t>
      </w:r>
      <w:r w:rsidRPr="00DA6DBB">
        <w:rPr>
          <w:lang w:eastAsia="en-GB"/>
        </w:rPr>
        <w:t xml:space="preserve"> services and mobile phones</w:t>
      </w:r>
    </w:p>
    <w:p w:rsidR="000F65D9" w:rsidRPr="00DA6DBB" w:rsidRDefault="000F65D9" w:rsidP="000F65D9">
      <w:pPr>
        <w:jc w:val="both"/>
        <w:rPr>
          <w:rFonts w:ascii="Arial" w:hAnsi="Arial"/>
          <w:szCs w:val="20"/>
        </w:rPr>
      </w:pPr>
      <w:r w:rsidRPr="00DA6DBB">
        <w:rPr>
          <w:rFonts w:ascii="Arial" w:hAnsi="Arial"/>
          <w:szCs w:val="20"/>
        </w:rPr>
        <w:t>Councillors are able to choose either of the following two options:</w:t>
      </w:r>
    </w:p>
    <w:p w:rsidR="000F65D9" w:rsidRDefault="000F65D9" w:rsidP="002C7BF8">
      <w:pPr>
        <w:pStyle w:val="ListParagraph"/>
        <w:numPr>
          <w:ilvl w:val="0"/>
          <w:numId w:val="73"/>
        </w:numPr>
        <w:spacing w:before="240"/>
        <w:ind w:left="567"/>
        <w:jc w:val="both"/>
        <w:rPr>
          <w:rFonts w:ascii="Arial" w:hAnsi="Arial"/>
          <w:szCs w:val="20"/>
        </w:rPr>
      </w:pPr>
      <w:r w:rsidRPr="00C076E3">
        <w:rPr>
          <w:rFonts w:ascii="Arial" w:hAnsi="Arial"/>
          <w:szCs w:val="20"/>
        </w:rPr>
        <w:lastRenderedPageBreak/>
        <w:t xml:space="preserve">The payment of a communication allowance of $400 per annum (applicable from the start of the new triennium) or the reimbursement of any Council related communication costs, over and above any communication costs they would normally incur, payable on receipt of the appropriate documentation required under the provisions of the Remuneration Authority’s determination. </w:t>
      </w:r>
    </w:p>
    <w:p w:rsidR="000F65D9" w:rsidRPr="00C076E3" w:rsidRDefault="000F65D9" w:rsidP="002C7BF8">
      <w:pPr>
        <w:pStyle w:val="ListParagraph"/>
        <w:numPr>
          <w:ilvl w:val="0"/>
          <w:numId w:val="73"/>
        </w:numPr>
        <w:spacing w:before="240"/>
        <w:ind w:left="567"/>
        <w:jc w:val="both"/>
        <w:rPr>
          <w:rFonts w:ascii="Arial" w:hAnsi="Arial"/>
          <w:szCs w:val="20"/>
        </w:rPr>
      </w:pPr>
      <w:r w:rsidRPr="00C076E3">
        <w:rPr>
          <w:rFonts w:ascii="Arial" w:hAnsi="Arial"/>
          <w:szCs w:val="20"/>
        </w:rPr>
        <w:t>The level of all allowances payable to the Council’s elected members has been approved by the Remuneration Authority and is reviewed by the Authority on an annual basis. The Remuneration Authority does permit Council to provide the Mayor with a vehicle for full private use, which would be a taxable benefit; however the current Mayor has declined to take up this option.</w:t>
      </w:r>
    </w:p>
    <w:p w:rsidR="000F65D9" w:rsidRPr="00DA6DBB" w:rsidRDefault="000F65D9" w:rsidP="000F65D9">
      <w:pPr>
        <w:pStyle w:val="Heading5"/>
        <w:rPr>
          <w:sz w:val="20"/>
          <w:szCs w:val="20"/>
          <w:lang w:val="en-GB" w:eastAsia="en-GB"/>
        </w:rPr>
      </w:pPr>
      <w:r w:rsidRPr="00DA6DBB">
        <w:rPr>
          <w:lang w:eastAsia="en-GB"/>
        </w:rPr>
        <w:t>Non-monetary</w:t>
      </w:r>
    </w:p>
    <w:p w:rsidR="000F65D9" w:rsidRDefault="000F65D9" w:rsidP="000F65D9">
      <w:pPr>
        <w:jc w:val="both"/>
        <w:rPr>
          <w:rFonts w:ascii="Arial" w:hAnsi="Arial"/>
          <w:szCs w:val="20"/>
        </w:rPr>
      </w:pPr>
      <w:r w:rsidRPr="00DA6DBB">
        <w:rPr>
          <w:rFonts w:ascii="Arial" w:hAnsi="Arial"/>
          <w:szCs w:val="20"/>
        </w:rPr>
        <w:t>In addition, the Mayor and Councillors receive non-monetary remuneration</w:t>
      </w:r>
      <w:r>
        <w:rPr>
          <w:rFonts w:ascii="Arial" w:hAnsi="Arial"/>
          <w:szCs w:val="20"/>
        </w:rPr>
        <w:t xml:space="preserve"> (benefit)</w:t>
      </w:r>
      <w:r w:rsidRPr="00DA6DBB">
        <w:rPr>
          <w:rFonts w:ascii="Arial" w:hAnsi="Arial"/>
          <w:szCs w:val="20"/>
        </w:rPr>
        <w:t xml:space="preserve"> in relatio</w:t>
      </w:r>
      <w:r>
        <w:rPr>
          <w:rFonts w:ascii="Arial" w:hAnsi="Arial"/>
          <w:szCs w:val="20"/>
        </w:rPr>
        <w:t>n to car parking spaces provided, regardless of whether they elect to use these or not.</w:t>
      </w:r>
      <w:r w:rsidRPr="00DA6DBB">
        <w:rPr>
          <w:rFonts w:ascii="Arial" w:hAnsi="Arial"/>
          <w:szCs w:val="20"/>
        </w:rPr>
        <w:t xml:space="preserve"> </w:t>
      </w:r>
      <w:r w:rsidRPr="00970951">
        <w:rPr>
          <w:rFonts w:ascii="Arial" w:hAnsi="Arial"/>
          <w:szCs w:val="20"/>
        </w:rPr>
        <w:t>With the relocation of Council offices from the Civic Precinct to 113 The Terrace, the cost of carpark provision has increased and has been pro-rated accordingly</w:t>
      </w:r>
      <w:r>
        <w:rPr>
          <w:rFonts w:ascii="Arial" w:hAnsi="Arial"/>
          <w:szCs w:val="20"/>
        </w:rPr>
        <w:t xml:space="preserve"> for the year ending 30 June 2019.</w:t>
      </w:r>
    </w:p>
    <w:p w:rsidR="00D443FB" w:rsidRPr="00D5126A" w:rsidRDefault="00FA6A77" w:rsidP="00D443FB">
      <w:pPr>
        <w:rPr>
          <w:lang w:eastAsia="en-GB"/>
        </w:rPr>
      </w:pPr>
      <w:r w:rsidRPr="00D5126A">
        <w:rPr>
          <w:rFonts w:ascii="Arial" w:hAnsi="Arial"/>
          <w:szCs w:val="20"/>
        </w:rPr>
        <w:t xml:space="preserve">The Councillors have shared office and working space available for use, and access to phones and computers. Professional indemnity and trustee liability insurance is also provided to Councillors against any potential legal litigation which may occur while undertaking Council business. </w:t>
      </w:r>
    </w:p>
    <w:p w:rsidR="00FA6A77" w:rsidRPr="00D5126A" w:rsidRDefault="00FA6A77" w:rsidP="00D443FB">
      <w:pPr>
        <w:pStyle w:val="Heading4"/>
        <w:rPr>
          <w:lang w:eastAsia="en-GB"/>
        </w:rPr>
      </w:pPr>
      <w:r w:rsidRPr="00D5126A">
        <w:rPr>
          <w:lang w:eastAsia="en-GB"/>
        </w:rPr>
        <w:t>Community Boards</w:t>
      </w:r>
    </w:p>
    <w:p w:rsidR="00FA6A77" w:rsidRPr="00D5126A" w:rsidRDefault="00FA6A77" w:rsidP="00D443FB">
      <w:pPr>
        <w:rPr>
          <w:rFonts w:ascii="Arial" w:hAnsi="Arial"/>
          <w:szCs w:val="20"/>
        </w:rPr>
      </w:pPr>
      <w:r w:rsidRPr="00D5126A">
        <w:rPr>
          <w:rFonts w:ascii="Arial" w:hAnsi="Arial"/>
          <w:szCs w:val="20"/>
        </w:rPr>
        <w:t>The Council has two community boards – the Tawa Community Board and the Makara/Ohariu Community Board. Remuneration paid to the electe</w:t>
      </w:r>
      <w:r w:rsidR="00574293">
        <w:rPr>
          <w:rFonts w:ascii="Arial" w:hAnsi="Arial"/>
          <w:szCs w:val="20"/>
        </w:rPr>
        <w:t>d members of these boards is as follows in Table 82.</w:t>
      </w:r>
    </w:p>
    <w:p w:rsidR="008750F1" w:rsidRDefault="008750F1" w:rsidP="008750F1">
      <w:pPr>
        <w:pStyle w:val="Caption"/>
      </w:pPr>
      <w:r>
        <w:t xml:space="preserve">Section 5 - Table </w:t>
      </w:r>
      <w:fldSimple w:instr=" SEQ Section_5_-_Table \* ARABIC ">
        <w:r w:rsidR="005908C4">
          <w:rPr>
            <w:noProof/>
          </w:rPr>
          <w:t>82</w:t>
        </w:r>
      </w:fldSimple>
      <w:r>
        <w:t>: Community board member remuneration</w:t>
      </w:r>
    </w:p>
    <w:p w:rsidR="00FA6A77" w:rsidRPr="00D5126A" w:rsidRDefault="00FA6A77" w:rsidP="000F65D9">
      <w:r w:rsidRPr="00D5126A">
        <w:rPr>
          <w:noProof/>
          <w:lang w:eastAsia="en-NZ"/>
        </w:rPr>
        <w:drawing>
          <wp:inline distT="0" distB="0" distL="0" distR="0" wp14:anchorId="24FB9C4D" wp14:editId="63A7EBD8">
            <wp:extent cx="5656521" cy="3853662"/>
            <wp:effectExtent l="0" t="0" r="1905" b="0"/>
            <wp:docPr id="1368" name="Picture 1368" title="Section 5 - Table 82: Community board member remune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5669884" cy="3862766"/>
                    </a:xfrm>
                    <a:prstGeom prst="rect">
                      <a:avLst/>
                    </a:prstGeom>
                    <a:noFill/>
                    <a:ln>
                      <a:noFill/>
                    </a:ln>
                  </pic:spPr>
                </pic:pic>
              </a:graphicData>
            </a:graphic>
          </wp:inline>
        </w:drawing>
      </w:r>
    </w:p>
    <w:p w:rsidR="00FA6A77" w:rsidRPr="00D5126A" w:rsidRDefault="00FA6A77" w:rsidP="00D443FB">
      <w:pPr>
        <w:rPr>
          <w:rFonts w:ascii="Arial" w:hAnsi="Arial"/>
          <w:szCs w:val="20"/>
        </w:rPr>
      </w:pPr>
      <w:r w:rsidRPr="00D5126A">
        <w:rPr>
          <w:rFonts w:ascii="Arial" w:hAnsi="Arial"/>
          <w:szCs w:val="20"/>
        </w:rPr>
        <w:lastRenderedPageBreak/>
        <w:t xml:space="preserve">A technology allowance of $45 per month is available to the chair of both the Tawa and Makara/Ohariu Community Boards. This allowance can be taken as either an allowance or as an actual expense reimbursement. </w:t>
      </w:r>
    </w:p>
    <w:p w:rsidR="00FA6A77" w:rsidRPr="00D5126A" w:rsidRDefault="00FA6A77" w:rsidP="00010E40">
      <w:pPr>
        <w:pStyle w:val="Heading4"/>
        <w:rPr>
          <w:rFonts w:asciiTheme="majorHAnsi" w:hAnsiTheme="majorHAnsi"/>
          <w:szCs w:val="26"/>
          <w:lang w:eastAsia="en-GB"/>
        </w:rPr>
      </w:pPr>
      <w:r w:rsidRPr="00D5126A">
        <w:rPr>
          <w:lang w:eastAsia="en-GB"/>
        </w:rPr>
        <w:t>Chief Executive’s remuneration</w:t>
      </w:r>
    </w:p>
    <w:p w:rsidR="00FA6A77" w:rsidRPr="00D5126A" w:rsidRDefault="00FA6A77" w:rsidP="00D443FB">
      <w:pPr>
        <w:rPr>
          <w:rFonts w:ascii="Arial" w:hAnsi="Arial"/>
          <w:szCs w:val="20"/>
        </w:rPr>
      </w:pPr>
      <w:r w:rsidRPr="00D5126A">
        <w:rPr>
          <w:rFonts w:ascii="Arial" w:hAnsi="Arial"/>
          <w:szCs w:val="20"/>
        </w:rPr>
        <w:t xml:space="preserve">The Chief Executive of the Council was appointed in accordance with section 42 of the Local Government Act 2002. </w:t>
      </w:r>
    </w:p>
    <w:p w:rsidR="00FA6A77" w:rsidRPr="00D5126A" w:rsidRDefault="00574293" w:rsidP="00D443FB">
      <w:pPr>
        <w:rPr>
          <w:rFonts w:ascii="Arial" w:hAnsi="Arial"/>
          <w:szCs w:val="20"/>
        </w:rPr>
      </w:pPr>
      <w:r>
        <w:rPr>
          <w:rFonts w:ascii="Arial" w:hAnsi="Arial"/>
          <w:szCs w:val="20"/>
        </w:rPr>
        <w:t>Table 83</w:t>
      </w:r>
      <w:r w:rsidR="00FA6A77" w:rsidRPr="00D5126A">
        <w:rPr>
          <w:rFonts w:ascii="Arial" w:hAnsi="Arial"/>
          <w:szCs w:val="20"/>
        </w:rPr>
        <w:t xml:space="preserve"> below shows the total remuneration of the Chief Executive paid or payable for the year ended 30 June 2019. </w:t>
      </w:r>
    </w:p>
    <w:p w:rsidR="008750F1" w:rsidRDefault="00FA6A77" w:rsidP="00D443FB">
      <w:r w:rsidRPr="00D5126A">
        <w:rPr>
          <w:rFonts w:ascii="Arial" w:hAnsi="Arial"/>
          <w:szCs w:val="20"/>
        </w:rPr>
        <w:t xml:space="preserve">Under the terms of his agreement, the Chief Executive of the Council chooses how he wishes to take his remuneration package (salary only or a combination of salary and benefits). </w:t>
      </w:r>
    </w:p>
    <w:p w:rsidR="008750F1" w:rsidRDefault="008750F1" w:rsidP="008750F1">
      <w:pPr>
        <w:pStyle w:val="Caption"/>
      </w:pPr>
      <w:r>
        <w:t xml:space="preserve">Section 5 - Table </w:t>
      </w:r>
      <w:fldSimple w:instr=" SEQ Section_5_-_Table \* ARABIC ">
        <w:r w:rsidR="005908C4">
          <w:rPr>
            <w:noProof/>
          </w:rPr>
          <w:t>83</w:t>
        </w:r>
      </w:fldSimple>
      <w:r>
        <w:t>: R</w:t>
      </w:r>
      <w:r w:rsidRPr="00A67CD5">
        <w:t xml:space="preserve">emuneration </w:t>
      </w:r>
      <w:r>
        <w:t xml:space="preserve">of the </w:t>
      </w:r>
      <w:r w:rsidRPr="00A67CD5">
        <w:t>Chief Executive</w:t>
      </w:r>
    </w:p>
    <w:p w:rsidR="00FA6A77" w:rsidRPr="00D5126A" w:rsidRDefault="00FA6A77" w:rsidP="00D443FB">
      <w:r w:rsidRPr="00D5126A">
        <w:rPr>
          <w:noProof/>
          <w:lang w:eastAsia="en-NZ"/>
        </w:rPr>
        <w:drawing>
          <wp:inline distT="0" distB="0" distL="0" distR="0" wp14:anchorId="3C0FAE50" wp14:editId="409EFBAB">
            <wp:extent cx="5677786" cy="1837347"/>
            <wp:effectExtent l="0" t="0" r="0" b="0"/>
            <wp:docPr id="1367" name="Picture 1367" title="Section 5 - Table 83: Remuneration of the Chief Execu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5678845" cy="1837690"/>
                    </a:xfrm>
                    <a:prstGeom prst="rect">
                      <a:avLst/>
                    </a:prstGeom>
                    <a:noFill/>
                    <a:ln>
                      <a:noFill/>
                    </a:ln>
                  </pic:spPr>
                </pic:pic>
              </a:graphicData>
            </a:graphic>
          </wp:inline>
        </w:drawing>
      </w:r>
    </w:p>
    <w:p w:rsidR="00FA6A77" w:rsidRPr="00D5126A" w:rsidRDefault="00FA6A77" w:rsidP="00010E40">
      <w:pPr>
        <w:pStyle w:val="Heading4"/>
        <w:rPr>
          <w:lang w:eastAsia="en-GB"/>
        </w:rPr>
      </w:pPr>
      <w:r w:rsidRPr="00D5126A">
        <w:rPr>
          <w:lang w:eastAsia="en-GB"/>
        </w:rPr>
        <w:t xml:space="preserve">Severances </w:t>
      </w:r>
    </w:p>
    <w:p w:rsidR="00FA6A77" w:rsidRPr="00D5126A" w:rsidRDefault="00FA6A77" w:rsidP="00D443FB">
      <w:pPr>
        <w:rPr>
          <w:rFonts w:ascii="Arial" w:hAnsi="Arial"/>
          <w:szCs w:val="20"/>
        </w:rPr>
      </w:pPr>
      <w:r w:rsidRPr="00D5126A">
        <w:rPr>
          <w:rFonts w:ascii="Arial" w:hAnsi="Arial"/>
          <w:szCs w:val="20"/>
        </w:rPr>
        <w:t>In accordance with Schedule 10, section 33 of the Local Government Act 2002, the Council is required to disclose the number of employees who received severance payments during the year and the amount of each severance payment made.</w:t>
      </w:r>
    </w:p>
    <w:p w:rsidR="00FA6A77" w:rsidRPr="00D5126A" w:rsidRDefault="00FA6A77" w:rsidP="00D443FB">
      <w:pPr>
        <w:rPr>
          <w:rFonts w:ascii="Arial" w:hAnsi="Arial"/>
          <w:szCs w:val="20"/>
        </w:rPr>
      </w:pPr>
      <w:r w:rsidRPr="00D5126A">
        <w:rPr>
          <w:rFonts w:ascii="Arial" w:hAnsi="Arial"/>
          <w:szCs w:val="20"/>
        </w:rPr>
        <w:t xml:space="preserve">Severance payments include any consideration (monetary and non-monetary) provided to any employee in respect of the employee’s agreement to the termination of their employment with the Council.  Severance payments exclude any final payment of salary, holiday pay and superannuation contributions or other contractual entitlement. </w:t>
      </w:r>
    </w:p>
    <w:p w:rsidR="00FA6A77" w:rsidRPr="00D5126A" w:rsidRDefault="00FA6A77" w:rsidP="00D443FB">
      <w:pPr>
        <w:rPr>
          <w:rFonts w:ascii="Arial" w:hAnsi="Arial"/>
          <w:szCs w:val="20"/>
        </w:rPr>
      </w:pPr>
      <w:r w:rsidRPr="00D5126A">
        <w:rPr>
          <w:rFonts w:ascii="Arial" w:hAnsi="Arial"/>
          <w:szCs w:val="20"/>
        </w:rPr>
        <w:t>For the year ending 30 June 2019 the Council made severance payments to 19 employees totalling $444,991 (2018: 21 employees, $405,695).</w:t>
      </w:r>
      <w:r w:rsidR="00574293">
        <w:rPr>
          <w:rFonts w:ascii="Arial" w:hAnsi="Arial"/>
          <w:szCs w:val="20"/>
        </w:rPr>
        <w:t xml:space="preserve"> </w:t>
      </w:r>
      <w:r w:rsidRPr="00D5126A">
        <w:rPr>
          <w:rFonts w:ascii="Arial" w:hAnsi="Arial"/>
          <w:szCs w:val="20"/>
        </w:rPr>
        <w:t>The individual values of each of these severance payments are: $18,000; $16,456; $33,258; $6,720; $52,839; $61,900; $5,165; $35,427; $61,160; $12,818; $9,558; $13,858; $12,227; $13,553; $1,004; $6,576; $13,007; $69,467; $2,000.</w:t>
      </w:r>
    </w:p>
    <w:p w:rsidR="00FA6A77" w:rsidRPr="00D5126A" w:rsidRDefault="00FA6A77" w:rsidP="00010E40">
      <w:pPr>
        <w:pStyle w:val="Heading4"/>
        <w:rPr>
          <w:rFonts w:asciiTheme="majorHAnsi" w:hAnsiTheme="majorHAnsi"/>
          <w:szCs w:val="26"/>
          <w:lang w:eastAsia="en-GB"/>
        </w:rPr>
      </w:pPr>
      <w:r w:rsidRPr="00D5126A">
        <w:rPr>
          <w:lang w:eastAsia="en-GB"/>
        </w:rPr>
        <w:t>Employee numbers and remuneration bands</w:t>
      </w:r>
    </w:p>
    <w:p w:rsidR="00FA6A77" w:rsidRPr="00D5126A" w:rsidRDefault="00FA6A77" w:rsidP="00D443FB">
      <w:pPr>
        <w:rPr>
          <w:rFonts w:ascii="Arial" w:hAnsi="Arial"/>
          <w:szCs w:val="20"/>
        </w:rPr>
      </w:pPr>
      <w:r w:rsidRPr="00D5126A">
        <w:rPr>
          <w:rFonts w:ascii="Arial" w:hAnsi="Arial"/>
          <w:szCs w:val="20"/>
        </w:rPr>
        <w:t xml:space="preserve">The following table identifies the number of full time employees as at the of the reporting period and the full time equivalent number of all other part-time, fixed term and casual employees. </w:t>
      </w:r>
      <w:r w:rsidR="00574293">
        <w:rPr>
          <w:rFonts w:ascii="Arial" w:hAnsi="Arial"/>
          <w:szCs w:val="20"/>
        </w:rPr>
        <w:t>Table 84</w:t>
      </w:r>
      <w:r w:rsidRPr="00D5126A">
        <w:rPr>
          <w:rFonts w:ascii="Arial" w:hAnsi="Arial"/>
          <w:szCs w:val="20"/>
        </w:rPr>
        <w:t xml:space="preserve"> further identifies the breakdown of remuneration levels of those employees into various bands.</w:t>
      </w:r>
    </w:p>
    <w:p w:rsidR="008750F1" w:rsidRDefault="008750F1" w:rsidP="008750F1">
      <w:pPr>
        <w:pStyle w:val="Caption"/>
      </w:pPr>
      <w:r>
        <w:lastRenderedPageBreak/>
        <w:t xml:space="preserve">Section 5 - Table </w:t>
      </w:r>
      <w:fldSimple w:instr=" SEQ Section_5_-_Table \* ARABIC ">
        <w:r w:rsidR="005908C4">
          <w:rPr>
            <w:noProof/>
          </w:rPr>
          <w:t>84</w:t>
        </w:r>
      </w:fldSimple>
      <w:r>
        <w:t>: Employee numbers and remuneration bands</w:t>
      </w:r>
    </w:p>
    <w:p w:rsidR="00FA6A77" w:rsidRPr="00D5126A" w:rsidRDefault="00FA6A77" w:rsidP="00D443FB">
      <w:r w:rsidRPr="00D5126A">
        <w:rPr>
          <w:noProof/>
          <w:lang w:eastAsia="en-NZ"/>
        </w:rPr>
        <w:drawing>
          <wp:inline distT="0" distB="0" distL="0" distR="0" wp14:anchorId="2E29A956" wp14:editId="0F521665">
            <wp:extent cx="4944139" cy="4089665"/>
            <wp:effectExtent l="0" t="0" r="8890" b="6350"/>
            <wp:docPr id="1366" name="Picture 1366" title="Section 5 - Table 84: Employee numbers and remuneration b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4944075" cy="4089612"/>
                    </a:xfrm>
                    <a:prstGeom prst="rect">
                      <a:avLst/>
                    </a:prstGeom>
                    <a:noFill/>
                    <a:ln>
                      <a:noFill/>
                    </a:ln>
                  </pic:spPr>
                </pic:pic>
              </a:graphicData>
            </a:graphic>
          </wp:inline>
        </w:drawing>
      </w:r>
    </w:p>
    <w:p w:rsidR="00574293" w:rsidRPr="00D5126A" w:rsidRDefault="00574293" w:rsidP="00574293">
      <w:pPr>
        <w:rPr>
          <w:rFonts w:ascii="Arial" w:hAnsi="Arial"/>
          <w:szCs w:val="20"/>
        </w:rPr>
      </w:pPr>
      <w:r w:rsidRPr="00D5126A">
        <w:rPr>
          <w:rFonts w:ascii="Arial" w:hAnsi="Arial"/>
          <w:szCs w:val="20"/>
        </w:rPr>
        <w:t>*If the number of employees for any band was 5 or less then we are legally required to combine it with the next highest band. This means that some rows span different bands across the two years shown.</w:t>
      </w:r>
    </w:p>
    <w:p w:rsidR="00FA6A77" w:rsidRPr="00D5126A" w:rsidRDefault="00FA6A77" w:rsidP="00D443FB">
      <w:pPr>
        <w:rPr>
          <w:rFonts w:ascii="Arial" w:hAnsi="Arial"/>
          <w:szCs w:val="20"/>
        </w:rPr>
      </w:pPr>
      <w:r w:rsidRPr="00D5126A">
        <w:rPr>
          <w:rFonts w:ascii="Arial" w:hAnsi="Arial"/>
          <w:szCs w:val="20"/>
        </w:rPr>
        <w:t>Of the 1,797 (2018: 1,780) individual employees, 717 (2018: 742) work part-time or casually.</w:t>
      </w:r>
      <w:r w:rsidR="00574293">
        <w:rPr>
          <w:rFonts w:ascii="Arial" w:hAnsi="Arial"/>
          <w:szCs w:val="20"/>
        </w:rPr>
        <w:t xml:space="preserve"> </w:t>
      </w:r>
      <w:r w:rsidRPr="00D5126A">
        <w:rPr>
          <w:rFonts w:ascii="Arial" w:hAnsi="Arial"/>
          <w:szCs w:val="20"/>
        </w:rPr>
        <w:t>Total annual remuneration has been calculated to include any non-financial benefits and other payments in excess of normal remuneration such as the employer KiwiSaver contribution.</w:t>
      </w:r>
    </w:p>
    <w:p w:rsidR="00FA6A77" w:rsidRPr="00D5126A" w:rsidRDefault="00FA6A77" w:rsidP="00D443FB">
      <w:pPr>
        <w:rPr>
          <w:rFonts w:ascii="Arial" w:hAnsi="Arial"/>
          <w:szCs w:val="20"/>
        </w:rPr>
      </w:pPr>
      <w:r w:rsidRPr="00D5126A">
        <w:rPr>
          <w:rFonts w:ascii="Arial" w:hAnsi="Arial"/>
          <w:szCs w:val="20"/>
        </w:rPr>
        <w:t>Council has resolved that in addition to legislative requirements to disclose the above bandings it has also included the 2 lowest remuneration grades.</w:t>
      </w:r>
    </w:p>
    <w:p w:rsidR="005908C4" w:rsidRDefault="005908C4" w:rsidP="005908C4">
      <w:pPr>
        <w:pStyle w:val="Caption"/>
      </w:pPr>
      <w:r>
        <w:t xml:space="preserve">Section 5 - Table </w:t>
      </w:r>
      <w:fldSimple w:instr=" SEQ Section_5_-_Table \* ARABIC ">
        <w:r>
          <w:rPr>
            <w:noProof/>
          </w:rPr>
          <w:t>85</w:t>
        </w:r>
      </w:fldSimple>
      <w:r>
        <w:t>: Two lowest remuneration grades</w:t>
      </w:r>
    </w:p>
    <w:p w:rsidR="00FA6A77" w:rsidRPr="00D5126A" w:rsidRDefault="00574293" w:rsidP="00D443FB">
      <w:r w:rsidRPr="00D511B2">
        <w:rPr>
          <w:noProof/>
          <w:lang w:eastAsia="en-NZ"/>
        </w:rPr>
        <w:drawing>
          <wp:inline distT="0" distB="0" distL="0" distR="0" wp14:anchorId="5B31E579" wp14:editId="243D496C">
            <wp:extent cx="4731488" cy="780306"/>
            <wp:effectExtent l="0" t="0" r="0" b="1270"/>
            <wp:docPr id="1354" name="Picture 1354" title="Section 5 - Table 85: Two lowest remuneration gra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4733133" cy="780577"/>
                    </a:xfrm>
                    <a:prstGeom prst="rect">
                      <a:avLst/>
                    </a:prstGeom>
                    <a:noFill/>
                    <a:ln>
                      <a:noFill/>
                    </a:ln>
                  </pic:spPr>
                </pic:pic>
              </a:graphicData>
            </a:graphic>
          </wp:inline>
        </w:drawing>
      </w:r>
    </w:p>
    <w:p w:rsidR="00010E40" w:rsidRPr="00D5126A" w:rsidRDefault="00FA6A77" w:rsidP="00010E40">
      <w:pPr>
        <w:rPr>
          <w:rFonts w:ascii="Arial" w:hAnsi="Arial" w:cs="Arial"/>
        </w:rPr>
      </w:pPr>
      <w:r w:rsidRPr="00D5126A">
        <w:rPr>
          <w:rFonts w:ascii="Arial" w:hAnsi="Arial"/>
          <w:szCs w:val="20"/>
        </w:rPr>
        <w:t xml:space="preserve">The current living wage rate for </w:t>
      </w:r>
      <w:r w:rsidR="008520A5">
        <w:rPr>
          <w:rFonts w:ascii="Arial" w:hAnsi="Arial"/>
          <w:szCs w:val="20"/>
        </w:rPr>
        <w:t>Council</w:t>
      </w:r>
      <w:r w:rsidRPr="00D5126A">
        <w:rPr>
          <w:rFonts w:ascii="Arial" w:hAnsi="Arial"/>
          <w:szCs w:val="20"/>
        </w:rPr>
        <w:t xml:space="preserve"> is $20.55.</w:t>
      </w:r>
      <w:r w:rsidRPr="00D5126A">
        <w:rPr>
          <w:rFonts w:ascii="Arial" w:hAnsi="Arial" w:cs="Arial"/>
          <w:color w:val="1F497D"/>
          <w:sz w:val="24"/>
          <w:szCs w:val="24"/>
        </w:rPr>
        <w:t xml:space="preserve"> </w:t>
      </w:r>
      <w:r w:rsidRPr="00D5126A">
        <w:rPr>
          <w:rFonts w:ascii="Arial" w:hAnsi="Arial" w:cs="Arial"/>
        </w:rPr>
        <w:t xml:space="preserve">Each year the living wage rate for </w:t>
      </w:r>
      <w:r w:rsidR="008520A5">
        <w:rPr>
          <w:rFonts w:ascii="Arial" w:hAnsi="Arial" w:cs="Arial"/>
        </w:rPr>
        <w:t xml:space="preserve">Council </w:t>
      </w:r>
      <w:r w:rsidRPr="00D5126A">
        <w:rPr>
          <w:rFonts w:ascii="Arial" w:hAnsi="Arial" w:cs="Arial"/>
        </w:rPr>
        <w:t>will be reviewed in accordance with the latest Living Wage rate announced/published by Living Wage Aotearoa.</w:t>
      </w:r>
      <w:bookmarkStart w:id="486" w:name="_Toc19092097"/>
    </w:p>
    <w:p w:rsidR="00FA6A77" w:rsidRPr="00D5126A" w:rsidRDefault="00FA6A77" w:rsidP="00010E40">
      <w:pPr>
        <w:pStyle w:val="Heading3"/>
        <w:rPr>
          <w:szCs w:val="22"/>
        </w:rPr>
      </w:pPr>
      <w:bookmarkStart w:id="487" w:name="_Toc23848733"/>
      <w:r w:rsidRPr="00D5126A">
        <w:t>Note 38: Events after the end of the reporting period</w:t>
      </w:r>
      <w:bookmarkEnd w:id="486"/>
      <w:bookmarkEnd w:id="487"/>
    </w:p>
    <w:p w:rsidR="00010E40" w:rsidRPr="00D5126A" w:rsidRDefault="00FA6A77" w:rsidP="00574293">
      <w:pPr>
        <w:jc w:val="both"/>
        <w:rPr>
          <w:rFonts w:asciiTheme="majorHAnsi" w:eastAsiaTheme="majorEastAsia" w:hAnsiTheme="majorHAnsi"/>
          <w:b/>
          <w:bCs/>
          <w:color w:val="1F497D" w:themeColor="text2"/>
          <w:sz w:val="40"/>
          <w:szCs w:val="40"/>
          <w:lang w:eastAsia="en-GB"/>
        </w:rPr>
      </w:pPr>
      <w:r w:rsidRPr="00D5126A">
        <w:rPr>
          <w:rFonts w:ascii="Arial" w:hAnsi="Arial"/>
          <w:szCs w:val="20"/>
        </w:rPr>
        <w:t>There are no events after the end of the reporting period that require adjustment to the financial statements or notes to the financial statements.</w:t>
      </w:r>
      <w:r w:rsidR="00010E40" w:rsidRPr="00D5126A">
        <w:rPr>
          <w:lang w:eastAsia="en-GB"/>
        </w:rPr>
        <w:br w:type="page"/>
      </w:r>
    </w:p>
    <w:p w:rsidR="00FA6A77" w:rsidRPr="00D5126A" w:rsidRDefault="00FA6A77" w:rsidP="00FA6A77">
      <w:pPr>
        <w:pStyle w:val="Heading2"/>
        <w:jc w:val="both"/>
        <w:rPr>
          <w:szCs w:val="28"/>
          <w:lang w:eastAsia="en-GB"/>
        </w:rPr>
      </w:pPr>
      <w:bookmarkStart w:id="488" w:name="_Toc23758627"/>
      <w:bookmarkStart w:id="489" w:name="_Toc23848734"/>
      <w:r w:rsidRPr="00D5126A">
        <w:rPr>
          <w:lang w:eastAsia="en-GB"/>
        </w:rPr>
        <w:lastRenderedPageBreak/>
        <w:t>Other Significant Accounting Policies</w:t>
      </w:r>
      <w:bookmarkEnd w:id="488"/>
      <w:bookmarkEnd w:id="489"/>
    </w:p>
    <w:p w:rsidR="00FA6A77" w:rsidRPr="00D5126A" w:rsidRDefault="00FA6A77" w:rsidP="00FA6A77">
      <w:pPr>
        <w:jc w:val="both"/>
        <w:rPr>
          <w:rFonts w:ascii="Arial" w:hAnsi="Arial"/>
          <w:szCs w:val="20"/>
        </w:rPr>
      </w:pPr>
      <w:r w:rsidRPr="00D5126A">
        <w:rPr>
          <w:rFonts w:ascii="Arial" w:hAnsi="Arial"/>
          <w:szCs w:val="20"/>
        </w:rPr>
        <w:t xml:space="preserve">The following accounting policies are additional to the disclosures and accounting policies that are included within the relevant specific Notes forming part of the financial statements. </w:t>
      </w:r>
    </w:p>
    <w:p w:rsidR="00FA6A77" w:rsidRPr="00D5126A" w:rsidRDefault="00FA6A77" w:rsidP="00010E40">
      <w:pPr>
        <w:pStyle w:val="Heading3"/>
        <w:rPr>
          <w:color w:val="auto"/>
          <w:sz w:val="36"/>
          <w:szCs w:val="28"/>
          <w:lang w:eastAsia="en-GB"/>
        </w:rPr>
      </w:pPr>
      <w:bookmarkStart w:id="490" w:name="_Toc19092099"/>
      <w:bookmarkStart w:id="491" w:name="_Toc23848735"/>
      <w:r w:rsidRPr="00D5126A">
        <w:rPr>
          <w:lang w:eastAsia="en-GB"/>
        </w:rPr>
        <w:t>Basis of preparation</w:t>
      </w:r>
      <w:bookmarkEnd w:id="490"/>
      <w:bookmarkEnd w:id="491"/>
    </w:p>
    <w:p w:rsidR="00FA6A77" w:rsidRPr="00D5126A" w:rsidRDefault="00FA6A77" w:rsidP="00010E40">
      <w:pPr>
        <w:pStyle w:val="Heading4"/>
        <w:rPr>
          <w:lang w:eastAsia="en-GB"/>
        </w:rPr>
      </w:pPr>
      <w:r w:rsidRPr="00D5126A">
        <w:rPr>
          <w:lang w:eastAsia="en-GB"/>
        </w:rPr>
        <w:t>Measurement base</w:t>
      </w:r>
    </w:p>
    <w:p w:rsidR="00FA6A77" w:rsidRPr="00D5126A" w:rsidRDefault="00FA6A77" w:rsidP="00010E40">
      <w:r w:rsidRPr="00D5126A">
        <w:t>The measurement basis applied is historical cost, modified by the revaluation of certain assets and liabilities as identified in the accounting policies. The accrual basis of accounting has been used unless otherwise stated.</w:t>
      </w:r>
    </w:p>
    <w:p w:rsidR="00FA6A77" w:rsidRPr="00D5126A" w:rsidRDefault="00FA6A77" w:rsidP="00010E40">
      <w:r w:rsidRPr="00D5126A">
        <w:t>For the assets and liabilities recorded at fair value, fair value is defined as the amount for which an item could be exchanged, or a liability settled, between knowledgeable and willing parties in an arm’s-length transaction. For investment property, non-current assets classified as held for sale and items of property, plant and equipment which are revalued, the fair value is determined by reference to market value. The market value of a property is the estimated amount for which a property could be exchanged on the date of valuation between a willing buyer and a willing seller in an arm’s-length transaction.</w:t>
      </w:r>
    </w:p>
    <w:p w:rsidR="00FA6A77" w:rsidRPr="00D5126A" w:rsidRDefault="00FA6A77" w:rsidP="00010E40">
      <w:r w:rsidRPr="00D5126A">
        <w:t xml:space="preserve">Amounts expected to be recovered or settled more than one year after the end of the reporting period are recognised at their present value. The present value of the estimated future cash flows is calculated using applicable inflation factors and a discount rate. </w:t>
      </w:r>
    </w:p>
    <w:p w:rsidR="00FA6A77" w:rsidRPr="00D5126A" w:rsidRDefault="00FA6A77" w:rsidP="00010E40">
      <w:r w:rsidRPr="00D5126A">
        <w:t>The financial statements are presented in New Zealand dollars, rounded to the nearest thousand ($000), unless otherwise stated.</w:t>
      </w:r>
    </w:p>
    <w:p w:rsidR="00FA6A77" w:rsidRPr="00D5126A" w:rsidRDefault="00FA6A77" w:rsidP="00010E40">
      <w:pPr>
        <w:rPr>
          <w:rFonts w:cs="Arial"/>
          <w:color w:val="333333"/>
          <w:lang w:eastAsia="en-GB"/>
        </w:rPr>
      </w:pPr>
      <w:r w:rsidRPr="00D5126A">
        <w:rPr>
          <w:rFonts w:cs="Arial"/>
          <w:color w:val="333333"/>
          <w:lang w:eastAsia="en-GB"/>
        </w:rPr>
        <w:t xml:space="preserve">The accounting policies set out below have been applied consistently to all periods presented in these consolidated financial statements. </w:t>
      </w:r>
    </w:p>
    <w:p w:rsidR="00FA6A77" w:rsidRPr="00D5126A" w:rsidRDefault="00FA6A77" w:rsidP="00010E40">
      <w:pPr>
        <w:pStyle w:val="Heading4"/>
        <w:rPr>
          <w:rFonts w:asciiTheme="majorHAnsi" w:hAnsiTheme="majorHAnsi" w:cs="Times New Roman"/>
          <w:color w:val="auto"/>
          <w:lang w:eastAsia="en-GB"/>
        </w:rPr>
      </w:pPr>
      <w:r w:rsidRPr="00D5126A">
        <w:rPr>
          <w:lang w:eastAsia="en-GB"/>
        </w:rPr>
        <w:t>Exchange and non-exchange transactions</w:t>
      </w:r>
    </w:p>
    <w:p w:rsidR="00FA6A77" w:rsidRPr="00D5126A" w:rsidRDefault="00FA6A77" w:rsidP="00010E40">
      <w:pPr>
        <w:pStyle w:val="Heading5"/>
        <w:rPr>
          <w:lang w:eastAsia="en-GB"/>
        </w:rPr>
      </w:pPr>
      <w:r w:rsidRPr="00D5126A">
        <w:rPr>
          <w:lang w:eastAsia="en-GB"/>
        </w:rPr>
        <w:t>Revenue from exchange transactions</w:t>
      </w:r>
    </w:p>
    <w:p w:rsidR="00FA6A77" w:rsidRPr="00D5126A" w:rsidRDefault="00FA6A77" w:rsidP="00010E40">
      <w:r w:rsidRPr="00D5126A">
        <w:t xml:space="preserve">Revenue from exchange transactions arises where the Council provides goods or services to another entity or individual and directly receives approximately equal value in a willing arm’s length transaction (primarily in the form of cash in exchange). </w:t>
      </w:r>
    </w:p>
    <w:p w:rsidR="00FA6A77" w:rsidRPr="00D5126A" w:rsidRDefault="00FA6A77" w:rsidP="00010E40">
      <w:pPr>
        <w:pStyle w:val="Heading5"/>
        <w:rPr>
          <w:szCs w:val="28"/>
          <w:lang w:eastAsia="en-GB"/>
        </w:rPr>
      </w:pPr>
      <w:r w:rsidRPr="00D5126A">
        <w:rPr>
          <w:lang w:eastAsia="en-GB"/>
        </w:rPr>
        <w:t>Revenue from non-exchange transactions</w:t>
      </w:r>
    </w:p>
    <w:p w:rsidR="00FA6A77" w:rsidRPr="00D5126A" w:rsidRDefault="00FA6A77" w:rsidP="00010E40">
      <w:r w:rsidRPr="00D5126A">
        <w:t xml:space="preserve">Revenue from non-exchange transactions arises from transactions that are not exchange transactions. Revenue from non-exchange transaction arises when the Council receives value from another party without giving approximately equal value directly in exchange for the value received. </w:t>
      </w:r>
    </w:p>
    <w:p w:rsidR="00FA6A77" w:rsidRPr="00D5126A" w:rsidRDefault="00FA6A77" w:rsidP="00010E40">
      <w:r w:rsidRPr="00D5126A">
        <w:t xml:space="preserve">An inflow of resources from a non-exchange transaction recognised as an </w:t>
      </w:r>
      <w:proofErr w:type="gramStart"/>
      <w:r w:rsidRPr="00D5126A">
        <w:t>asset,</w:t>
      </w:r>
      <w:proofErr w:type="gramEnd"/>
      <w:r w:rsidRPr="00D5126A">
        <w:t xml:space="preserve"> is recognised as revenue, except to the extent that a liability is also recognised in respect of the same inflow. </w:t>
      </w:r>
    </w:p>
    <w:p w:rsidR="00FA6A77" w:rsidRPr="00D5126A" w:rsidRDefault="00FA6A77" w:rsidP="00010E40">
      <w:r w:rsidRPr="00D5126A">
        <w:t>As Council satisfies a present obligation recognised as a liability in respect of an inflow of resources from a non-exchange transaction recognised as an asset, it reduces the carrying amount of the liability recognised and recognises an amount of revenue equal to that reduction</w:t>
      </w:r>
    </w:p>
    <w:p w:rsidR="00FA6A77" w:rsidRPr="00D5126A" w:rsidRDefault="00FA6A77" w:rsidP="00010E40">
      <w:pPr>
        <w:pStyle w:val="Heading5"/>
        <w:rPr>
          <w:szCs w:val="28"/>
          <w:lang w:eastAsia="en-GB"/>
        </w:rPr>
      </w:pPr>
      <w:r w:rsidRPr="00D5126A">
        <w:rPr>
          <w:lang w:eastAsia="en-GB"/>
        </w:rPr>
        <w:lastRenderedPageBreak/>
        <w:t>Approximately equal value</w:t>
      </w:r>
    </w:p>
    <w:p w:rsidR="00FA6A77" w:rsidRPr="00D5126A" w:rsidRDefault="00FA6A77" w:rsidP="00010E40">
      <w:r w:rsidRPr="00D5126A">
        <w:t>Approximately equal value is considered to reflect a fair or market value, which is normally considered as an arm’s length commercial transaction between a willing buyer and willing seller.  Some goods or services that Council provides (eg. the sale of goods at market rates) are defined as being exchange transactions. Only a few services provided by Council operate on a full user pays (eg. Parking), cost recovery or breakeven basis and these are considered to be exchange transactions unless they are provided at less than active and open market prices.</w:t>
      </w:r>
    </w:p>
    <w:p w:rsidR="00FA6A77" w:rsidRPr="00D5126A" w:rsidRDefault="00FA6A77" w:rsidP="00010E40">
      <w:pPr>
        <w:rPr>
          <w:rFonts w:cs="Arial"/>
          <w:b/>
          <w:color w:val="000000"/>
          <w:lang w:eastAsia="en-GB"/>
        </w:rPr>
      </w:pPr>
      <w:r w:rsidRPr="00D5126A">
        <w:t>Most of the services that Council provides, for a fee, are subsidised by rates (eg. The cost to swim in a Council pool) and therefore do not constitute an approximately equal exchange. Accordingly most of Council’s revenue is categorised as non-exchange.</w:t>
      </w:r>
    </w:p>
    <w:p w:rsidR="00FA6A77" w:rsidRPr="00D5126A" w:rsidRDefault="00FA6A77" w:rsidP="00010E40">
      <w:pPr>
        <w:pStyle w:val="Heading4"/>
        <w:rPr>
          <w:rFonts w:asciiTheme="majorHAnsi" w:hAnsiTheme="majorHAnsi" w:cs="Times New Roman"/>
          <w:color w:val="auto"/>
          <w:lang w:eastAsia="en-GB"/>
        </w:rPr>
      </w:pPr>
      <w:r w:rsidRPr="00D5126A">
        <w:rPr>
          <w:lang w:eastAsia="en-GB"/>
        </w:rPr>
        <w:t>Change of accounting policies</w:t>
      </w:r>
    </w:p>
    <w:p w:rsidR="00FA6A77" w:rsidRPr="00D5126A" w:rsidRDefault="00FA6A77" w:rsidP="00010E40">
      <w:pPr>
        <w:autoSpaceDE w:val="0"/>
        <w:autoSpaceDN w:val="0"/>
        <w:adjustRightInd w:val="0"/>
        <w:jc w:val="both"/>
        <w:rPr>
          <w:rFonts w:ascii="Arial" w:hAnsi="Arial"/>
          <w:szCs w:val="20"/>
        </w:rPr>
      </w:pPr>
      <w:r w:rsidRPr="00D5126A">
        <w:rPr>
          <w:rFonts w:ascii="Arial" w:hAnsi="Arial"/>
          <w:szCs w:val="20"/>
        </w:rPr>
        <w:t xml:space="preserve">There have been no elected changes in accounting policies during the financial period. </w:t>
      </w:r>
    </w:p>
    <w:p w:rsidR="00FA6A77" w:rsidRPr="00D5126A" w:rsidRDefault="00FA6A77" w:rsidP="00010E40">
      <w:pPr>
        <w:pStyle w:val="Heading4"/>
        <w:rPr>
          <w:rFonts w:asciiTheme="majorHAnsi" w:hAnsiTheme="majorHAnsi" w:cs="Times New Roman"/>
          <w:color w:val="auto"/>
          <w:lang w:eastAsia="en-GB"/>
        </w:rPr>
      </w:pPr>
      <w:r w:rsidRPr="00D5126A">
        <w:rPr>
          <w:lang w:eastAsia="en-GB"/>
        </w:rPr>
        <w:t>Changes to PBE accounting standards</w:t>
      </w:r>
    </w:p>
    <w:p w:rsidR="00FA6A77" w:rsidRPr="00D5126A" w:rsidRDefault="00FA6A77" w:rsidP="00010E40">
      <w:pPr>
        <w:pStyle w:val="Body"/>
        <w:jc w:val="both"/>
        <w:rPr>
          <w:lang w:eastAsia="en-GB"/>
        </w:rPr>
      </w:pPr>
      <w:r w:rsidRPr="00D5126A">
        <w:rPr>
          <w:lang w:eastAsia="en-GB"/>
        </w:rPr>
        <w:t xml:space="preserve">There have been no new accounting standards issued with mandatory effect for the accounting period. </w:t>
      </w:r>
    </w:p>
    <w:p w:rsidR="00FA6A77" w:rsidRPr="00D5126A" w:rsidRDefault="00FA6A77" w:rsidP="00010E40">
      <w:pPr>
        <w:pStyle w:val="Heading4"/>
        <w:rPr>
          <w:lang w:eastAsia="en-GB"/>
        </w:rPr>
      </w:pPr>
      <w:r w:rsidRPr="00D5126A">
        <w:rPr>
          <w:lang w:eastAsia="en-GB"/>
        </w:rPr>
        <w:t>Standards, amendments and interpretations issued but not yet effective and not early adopted</w:t>
      </w:r>
    </w:p>
    <w:p w:rsidR="00FA6A77" w:rsidRPr="00D5126A" w:rsidRDefault="00FA6A77" w:rsidP="00010E40">
      <w:r w:rsidRPr="00D5126A">
        <w:t>Standards, amendments and interpretations issued but not yet effective and not early adopted which are relevant to the Group are:</w:t>
      </w:r>
    </w:p>
    <w:p w:rsidR="00FA6A77" w:rsidRPr="00D5126A" w:rsidRDefault="00FA6A77" w:rsidP="002C7BF8">
      <w:pPr>
        <w:pStyle w:val="ListParagraph"/>
        <w:numPr>
          <w:ilvl w:val="0"/>
          <w:numId w:val="55"/>
        </w:numPr>
      </w:pPr>
      <w:r w:rsidRPr="00D5126A">
        <w:t xml:space="preserve">In April 2017, the XRB issued </w:t>
      </w:r>
      <w:r w:rsidRPr="00D5126A">
        <w:rPr>
          <w:i/>
        </w:rPr>
        <w:t>Impairment of Revalued Assets</w:t>
      </w:r>
      <w:r w:rsidRPr="00D5126A">
        <w:t xml:space="preserve">, which now scopes in revalued property, plant and equipment into the impairment accounting standards PBE IPSASs 21 and 26, which will require Council to assess at each reporting date whether there is any indication that an asset may be impaired. However, where an impairment loss is recognised for an </w:t>
      </w:r>
      <w:proofErr w:type="gramStart"/>
      <w:r w:rsidRPr="00D5126A">
        <w:t>asset,</w:t>
      </w:r>
      <w:proofErr w:type="gramEnd"/>
      <w:r w:rsidRPr="00D5126A">
        <w:t xml:space="preserve"> or group of assets, that is revalued, an entity is not necessarily required to revalue the entire class of assets to which that impaired asset, or group of assets, belongs. This amendment is effective for periods beginning on or after 1 January 2019.</w:t>
      </w:r>
    </w:p>
    <w:p w:rsidR="00FA6A77" w:rsidRPr="00D5126A" w:rsidRDefault="00FA6A77" w:rsidP="002C7BF8">
      <w:pPr>
        <w:pStyle w:val="ListParagraph"/>
        <w:numPr>
          <w:ilvl w:val="0"/>
          <w:numId w:val="55"/>
        </w:numPr>
      </w:pPr>
      <w:r w:rsidRPr="00D5126A">
        <w:t>In January 2017, the XRB issued new standards for interest in other entities (</w:t>
      </w:r>
      <w:r w:rsidRPr="00D5126A">
        <w:rPr>
          <w:i/>
        </w:rPr>
        <w:t>PBE IPSAS 34 - 38</w:t>
      </w:r>
      <w:r w:rsidRPr="00D5126A">
        <w:t>). These new standards will replace the existing applicable standards (</w:t>
      </w:r>
      <w:r w:rsidRPr="00D5126A">
        <w:rPr>
          <w:i/>
        </w:rPr>
        <w:t>PBE IPSAS 6 - 8</w:t>
      </w:r>
      <w:r w:rsidRPr="00D5126A">
        <w:t>) and are effective for periods beginning on or after 1 January 2019.</w:t>
      </w:r>
    </w:p>
    <w:p w:rsidR="00FA6A77" w:rsidRPr="00D5126A" w:rsidRDefault="00FA6A77" w:rsidP="002C7BF8">
      <w:pPr>
        <w:pStyle w:val="ListParagraph"/>
        <w:numPr>
          <w:ilvl w:val="0"/>
          <w:numId w:val="55"/>
        </w:numPr>
      </w:pPr>
      <w:r w:rsidRPr="00D5126A">
        <w:t xml:space="preserve">In January 2017, the XRB also issued </w:t>
      </w:r>
      <w:r w:rsidRPr="00D5126A">
        <w:rPr>
          <w:i/>
        </w:rPr>
        <w:t>PBE IFRS 9 Financial Instruments</w:t>
      </w:r>
      <w:r w:rsidRPr="00D5126A">
        <w:t xml:space="preserve"> to replace </w:t>
      </w:r>
      <w:r w:rsidRPr="00D5126A">
        <w:rPr>
          <w:i/>
        </w:rPr>
        <w:t>PBE IPSAS 29 Financial Instruments: Recognition and Measurement</w:t>
      </w:r>
      <w:r w:rsidRPr="00D5126A">
        <w:t xml:space="preserve">. With an effective date for annual periods beginning on or after 1 January 2021, but with early adoption permitted, the intention is not to adopt at this stage while the effects on Council and the Group are more thoroughly assessed. The main changes under </w:t>
      </w:r>
      <w:r w:rsidRPr="00D5126A">
        <w:rPr>
          <w:i/>
        </w:rPr>
        <w:t>PBE IFRS 9</w:t>
      </w:r>
      <w:r w:rsidRPr="00D5126A">
        <w:t xml:space="preserve"> are:</w:t>
      </w:r>
    </w:p>
    <w:p w:rsidR="00FA6A77" w:rsidRPr="00D5126A" w:rsidRDefault="00FA6A77" w:rsidP="002C7BF8">
      <w:pPr>
        <w:pStyle w:val="ListParagraph"/>
        <w:numPr>
          <w:ilvl w:val="1"/>
          <w:numId w:val="55"/>
        </w:numPr>
      </w:pPr>
      <w:r w:rsidRPr="00D5126A">
        <w:t>New financial asset classifications requirements for determining whether an asset is measured at fair value or amortised cost.</w:t>
      </w:r>
    </w:p>
    <w:p w:rsidR="00FA6A77" w:rsidRPr="00D5126A" w:rsidRDefault="00FA6A77" w:rsidP="002C7BF8">
      <w:pPr>
        <w:pStyle w:val="ListParagraph"/>
        <w:numPr>
          <w:ilvl w:val="1"/>
          <w:numId w:val="55"/>
        </w:numPr>
      </w:pPr>
      <w:r w:rsidRPr="00D5126A">
        <w:t>A new impairment model for financial assets based on expected losses, which may result in the earlier recognition of impairment losses.</w:t>
      </w:r>
    </w:p>
    <w:p w:rsidR="00FA6A77" w:rsidRPr="00D5126A" w:rsidRDefault="00FA6A77" w:rsidP="002C7BF8">
      <w:pPr>
        <w:pStyle w:val="ListParagraph"/>
        <w:numPr>
          <w:ilvl w:val="1"/>
          <w:numId w:val="55"/>
        </w:numPr>
      </w:pPr>
      <w:r w:rsidRPr="00D5126A">
        <w:t>Revised hedge accounting requirements to better reflect the management of risks.</w:t>
      </w:r>
    </w:p>
    <w:p w:rsidR="00FA6A77" w:rsidRPr="00D5126A" w:rsidRDefault="00FA6A77" w:rsidP="002C7BF8">
      <w:pPr>
        <w:pStyle w:val="ListParagraph"/>
        <w:numPr>
          <w:ilvl w:val="0"/>
          <w:numId w:val="55"/>
        </w:numPr>
      </w:pPr>
      <w:r w:rsidRPr="00D5126A">
        <w:t xml:space="preserve">In November 2018, the XRB issued </w:t>
      </w:r>
      <w:r w:rsidRPr="00D5126A">
        <w:rPr>
          <w:i/>
        </w:rPr>
        <w:t xml:space="preserve">2018 Omnibus amendments to PBE standards. </w:t>
      </w:r>
      <w:r w:rsidRPr="00D5126A">
        <w:t>These amendments are not effective for reporting periods beginning before 1 January 2019.</w:t>
      </w:r>
    </w:p>
    <w:p w:rsidR="00FA6A77" w:rsidRPr="00D5126A" w:rsidRDefault="00FA6A77" w:rsidP="00010E40">
      <w:pPr>
        <w:pStyle w:val="Heading4"/>
        <w:rPr>
          <w:lang w:eastAsia="en-GB"/>
        </w:rPr>
      </w:pPr>
      <w:r w:rsidRPr="00D5126A">
        <w:rPr>
          <w:lang w:eastAsia="en-GB"/>
        </w:rPr>
        <w:lastRenderedPageBreak/>
        <w:t>Judgements and estimations</w:t>
      </w:r>
    </w:p>
    <w:p w:rsidR="00FA6A77" w:rsidRPr="00D5126A" w:rsidRDefault="00FA6A77" w:rsidP="00010E40">
      <w:r w:rsidRPr="00D5126A">
        <w:t xml:space="preserve">The preparation of financial statements using PBE accounting standards requires the use of judgements, estimates and assumptions. </w:t>
      </w:r>
      <w:proofErr w:type="gramStart"/>
      <w:r w:rsidRPr="00D5126A">
        <w:t>Where material, information on the main assumptions is provided in the relevant accounting policy or in the relevant note.</w:t>
      </w:r>
      <w:proofErr w:type="gramEnd"/>
    </w:p>
    <w:p w:rsidR="00FA6A77" w:rsidRPr="00D5126A" w:rsidRDefault="00FA6A77" w:rsidP="00010E40">
      <w:r w:rsidRPr="00D5126A">
        <w:t>The estimates and assumptions are based on historical experience as well as other factors that are believed to be reasonable under the circumstances. Subsequent actual results may differ from these estimates.</w:t>
      </w:r>
    </w:p>
    <w:p w:rsidR="00FA6A77" w:rsidRPr="00D5126A" w:rsidRDefault="00FA6A77" w:rsidP="00010E40">
      <w:r w:rsidRPr="00D5126A">
        <w:t>The estimates and assumptions are reviewed on an ongoing basis and adjustments are made where necessary.</w:t>
      </w:r>
    </w:p>
    <w:p w:rsidR="00FA6A77" w:rsidRPr="00D5126A" w:rsidRDefault="00FA6A77" w:rsidP="00010E40">
      <w:pPr>
        <w:rPr>
          <w:rFonts w:cs="Arial"/>
          <w:color w:val="333333"/>
          <w:lang w:eastAsia="en-GB"/>
        </w:rPr>
      </w:pPr>
      <w:r w:rsidRPr="00D5126A">
        <w:t>Judgements that have a significant effect on the financial statements and estimates with a significant risk of material adjustment in the next year are discussed in the relevant notes. Significant judgements and estimations include landfill post-closure costs, asset revaluations, impairments, certain fair value calculations and provisions</w:t>
      </w:r>
      <w:r w:rsidRPr="00D5126A">
        <w:rPr>
          <w:rFonts w:cs="Arial"/>
          <w:color w:val="333333"/>
          <w:lang w:eastAsia="en-GB"/>
        </w:rPr>
        <w:t>.</w:t>
      </w:r>
    </w:p>
    <w:p w:rsidR="00FA6A77" w:rsidRPr="00D5126A" w:rsidRDefault="00FA6A77" w:rsidP="00010E40">
      <w:pPr>
        <w:pStyle w:val="Heading4"/>
        <w:rPr>
          <w:rFonts w:asciiTheme="majorHAnsi" w:hAnsiTheme="majorHAnsi" w:cs="Times New Roman"/>
          <w:color w:val="auto"/>
          <w:lang w:eastAsia="en-GB"/>
        </w:rPr>
      </w:pPr>
      <w:r w:rsidRPr="00D5126A">
        <w:rPr>
          <w:lang w:eastAsia="en-GB"/>
        </w:rPr>
        <w:t>Goods and Services Tax (GST)</w:t>
      </w:r>
    </w:p>
    <w:p w:rsidR="00FA6A77" w:rsidRPr="00D5126A" w:rsidRDefault="00FA6A77" w:rsidP="00010E40">
      <w:r w:rsidRPr="00D5126A">
        <w:t>All items in the financial statements are exclusive of GST, with the exception of receivables, recoverables and payables, which are stated as GST inclusive. Where GST is not recoverable as an input tax, it is recognised as part of the related asset or expense.</w:t>
      </w:r>
    </w:p>
    <w:p w:rsidR="00FA6A77" w:rsidRPr="00D5126A" w:rsidRDefault="00FA6A77" w:rsidP="00010E40">
      <w:pPr>
        <w:pStyle w:val="Heading4"/>
        <w:rPr>
          <w:rFonts w:asciiTheme="majorHAnsi" w:hAnsiTheme="majorHAnsi"/>
          <w:szCs w:val="26"/>
          <w:lang w:eastAsia="en-GB"/>
        </w:rPr>
      </w:pPr>
      <w:r w:rsidRPr="00D5126A">
        <w:rPr>
          <w:lang w:eastAsia="en-GB"/>
        </w:rPr>
        <w:t>Budget figures</w:t>
      </w:r>
    </w:p>
    <w:p w:rsidR="00FA6A77" w:rsidRPr="00D5126A" w:rsidRDefault="00FA6A77" w:rsidP="00010E40">
      <w:r w:rsidRPr="00D5126A">
        <w:t>The Annual Plan budget figures included in these financial statements are for the Council as a separate entity. The Annual Plan figures do not include budget information relating to controlled entities or associates. These figures are those approved by the Council at the beginning of each financial year following a period of consultation with the public as part of the Annual Plan process. These figures do not include any additional expenditure subsequently approved by the Council outside the Annual Plan process. The Annual Plan figures have been prepared in accordance with GAAP and are consistent with the accounting policies adopted by the Council for the preparation of these financial statements.</w:t>
      </w:r>
    </w:p>
    <w:p w:rsidR="00FA6A77" w:rsidRPr="00D5126A" w:rsidRDefault="00FA6A77" w:rsidP="00010E40">
      <w:pPr>
        <w:pStyle w:val="Heading4"/>
        <w:rPr>
          <w:rFonts w:asciiTheme="majorHAnsi" w:hAnsiTheme="majorHAnsi"/>
          <w:szCs w:val="26"/>
          <w:lang w:eastAsia="en-GB"/>
        </w:rPr>
      </w:pPr>
      <w:r w:rsidRPr="00D5126A">
        <w:rPr>
          <w:lang w:eastAsia="en-GB"/>
        </w:rPr>
        <w:t>Comparatives</w:t>
      </w:r>
    </w:p>
    <w:p w:rsidR="00FA6A77" w:rsidRPr="00D5126A" w:rsidRDefault="00FA6A77" w:rsidP="00010E40">
      <w:r w:rsidRPr="00D5126A">
        <w:t>To ensure consistency with the current year, certain comparative information has been reclassified where appropriate. This has occurred:</w:t>
      </w:r>
    </w:p>
    <w:p w:rsidR="00FA6A77" w:rsidRPr="00D5126A" w:rsidRDefault="00FA6A77" w:rsidP="002C7BF8">
      <w:pPr>
        <w:pStyle w:val="ListParagraph"/>
        <w:numPr>
          <w:ilvl w:val="0"/>
          <w:numId w:val="56"/>
        </w:numPr>
      </w:pPr>
      <w:r w:rsidRPr="00D5126A">
        <w:t xml:space="preserve">where classifications have changed between periods; </w:t>
      </w:r>
    </w:p>
    <w:p w:rsidR="00FA6A77" w:rsidRPr="00D5126A" w:rsidRDefault="00FA6A77" w:rsidP="002C7BF8">
      <w:pPr>
        <w:pStyle w:val="ListParagraph"/>
        <w:numPr>
          <w:ilvl w:val="0"/>
          <w:numId w:val="56"/>
        </w:numPr>
      </w:pPr>
      <w:r w:rsidRPr="00D5126A">
        <w:t xml:space="preserve">where the Council has made additional disclosure in the current year, and where a greater degree of disaggregation of prior year amounts and balances is therefore required; and </w:t>
      </w:r>
    </w:p>
    <w:p w:rsidR="00FA6A77" w:rsidRPr="00D5126A" w:rsidRDefault="00FA6A77" w:rsidP="002C7BF8">
      <w:pPr>
        <w:pStyle w:val="ListParagraph"/>
        <w:numPr>
          <w:ilvl w:val="0"/>
          <w:numId w:val="56"/>
        </w:numPr>
      </w:pPr>
      <w:r w:rsidRPr="00D5126A">
        <w:t>​</w:t>
      </w:r>
      <w:proofErr w:type="gramStart"/>
      <w:r w:rsidRPr="00D5126A">
        <w:t>where</w:t>
      </w:r>
      <w:proofErr w:type="gramEnd"/>
      <w:r w:rsidRPr="00D5126A">
        <w:t xml:space="preserve"> there has been a change of accounting policy (There has been no change in the 2018/19 year).</w:t>
      </w:r>
    </w:p>
    <w:p w:rsidR="00FA6A77" w:rsidRPr="00D5126A" w:rsidRDefault="00FA6A77" w:rsidP="00FA6A77">
      <w:pPr>
        <w:rPr>
          <w:rFonts w:ascii="Arial" w:hAnsi="Arial"/>
          <w:szCs w:val="20"/>
        </w:rPr>
      </w:pPr>
      <w:r w:rsidRPr="00D5126A">
        <w:rPr>
          <w:rFonts w:ascii="Arial" w:hAnsi="Arial"/>
          <w:szCs w:val="20"/>
        </w:rPr>
        <w:br w:type="page"/>
      </w:r>
    </w:p>
    <w:p w:rsidR="00FA6A77" w:rsidRPr="00D5126A" w:rsidRDefault="004E2BC2" w:rsidP="004E2BC2">
      <w:pPr>
        <w:pStyle w:val="Heading2"/>
      </w:pPr>
      <w:bookmarkStart w:id="492" w:name="_Toc23758628"/>
      <w:bookmarkStart w:id="493" w:name="_Toc23848736"/>
      <w:bookmarkStart w:id="494" w:name="OLE_LINK4"/>
      <w:r w:rsidRPr="00D5126A">
        <w:lastRenderedPageBreak/>
        <w:t>Financial Prudence</w:t>
      </w:r>
      <w:bookmarkEnd w:id="492"/>
      <w:bookmarkEnd w:id="493"/>
    </w:p>
    <w:p w:rsidR="00FA6A77" w:rsidRPr="00D5126A" w:rsidRDefault="00FA6A77" w:rsidP="004E2BC2">
      <w:r w:rsidRPr="00D5126A">
        <w:t xml:space="preserve">The government has introduced the Local Government (Financial Reporting and Prudence) Regulations 2014 which has a series of measures and benchmarks, disclosed in the following pages. </w:t>
      </w:r>
    </w:p>
    <w:p w:rsidR="00FA6A77" w:rsidRPr="00D5126A" w:rsidRDefault="00FA6A77" w:rsidP="004E2BC2">
      <w:r w:rsidRPr="00D5126A">
        <w:t>Readers are urged to read the commentary and explanations provided to give context to the information, as it is not always possible to compare Wellington City Councils’ results with other councils due to their size, location and provision of services.</w:t>
      </w:r>
    </w:p>
    <w:p w:rsidR="00FA6A77" w:rsidRPr="00D5126A" w:rsidRDefault="00FA6A77" w:rsidP="004E2BC2">
      <w:r w:rsidRPr="00D5126A">
        <w:t>During the 2018-28 Long-Term Plan process and with consultation with ratepayers, the Council revised the number of benchmarks and removed measures that were similar in nature and added no value in understanding of the measures to readers.</w:t>
      </w:r>
    </w:p>
    <w:p w:rsidR="00FA6A77" w:rsidRPr="00D5126A" w:rsidRDefault="0083501A" w:rsidP="0083501A">
      <w:pPr>
        <w:pStyle w:val="Heading3"/>
      </w:pPr>
      <w:bookmarkStart w:id="495" w:name="_Toc23848737"/>
      <w:r w:rsidRPr="00D5126A">
        <w:t xml:space="preserve">Annual Report </w:t>
      </w:r>
      <w:r>
        <w:t>disclosure s</w:t>
      </w:r>
      <w:r w:rsidR="00FA6A77" w:rsidRPr="00D5126A">
        <w:t xml:space="preserve">tatement </w:t>
      </w:r>
      <w:r>
        <w:t>f</w:t>
      </w:r>
      <w:r w:rsidR="00FA6A77" w:rsidRPr="00D5126A">
        <w:t>or year ending 30 June 2019</w:t>
      </w:r>
      <w:bookmarkEnd w:id="495"/>
    </w:p>
    <w:p w:rsidR="00FA6A77" w:rsidRPr="00D5126A" w:rsidRDefault="00FA6A77" w:rsidP="00D532FC">
      <w:pPr>
        <w:pStyle w:val="Heading5"/>
        <w:rPr>
          <w:szCs w:val="28"/>
        </w:rPr>
      </w:pPr>
      <w:r w:rsidRPr="00D5126A">
        <w:t>What is the purpose of this statement?</w:t>
      </w:r>
    </w:p>
    <w:p w:rsidR="00FA6A77" w:rsidRPr="00D5126A" w:rsidRDefault="00FA6A77" w:rsidP="004E2BC2">
      <w:r w:rsidRPr="00D5126A">
        <w:t>The purpose of this statement is to disclose the council's financial performance in relation to various benchmarks to enable the assessment of whether the council is prudently managing its revenues, expenses, assets, liabilities, and general financial dealings.</w:t>
      </w:r>
    </w:p>
    <w:p w:rsidR="00FA6A77" w:rsidRPr="00D5126A" w:rsidRDefault="00FA6A77" w:rsidP="004E2BC2">
      <w:r w:rsidRPr="00D5126A">
        <w:t>The council is required to include this statement in its annual report in accordance with the Local Government (Financial Reporting and Prudence) Regulations 2014 (the regulations). Refer to the regulations for more information, including definitions of some of the terms used in this statement.</w:t>
      </w:r>
    </w:p>
    <w:p w:rsidR="00FA6A77" w:rsidRPr="00D5126A" w:rsidRDefault="00FA6A77" w:rsidP="004E2BC2">
      <w:r w:rsidRPr="00D5126A">
        <w:t xml:space="preserve">Unless prescribed by the regulations the quantified limit for each benchmark is calculated using the financial information from the Council’s 2018-28 LTP. </w:t>
      </w:r>
    </w:p>
    <w:p w:rsidR="009F44FE" w:rsidRDefault="009F44FE">
      <w:pPr>
        <w:rPr>
          <w:rFonts w:ascii="Arial" w:eastAsiaTheme="majorEastAsia" w:hAnsi="Arial" w:cs="Arial"/>
          <w:b/>
          <w:bCs/>
          <w:i/>
          <w:iCs/>
          <w:color w:val="4F81BD" w:themeColor="accent1"/>
          <w:sz w:val="28"/>
        </w:rPr>
      </w:pPr>
      <w:r>
        <w:br w:type="page"/>
      </w:r>
    </w:p>
    <w:p w:rsidR="00FA6A77" w:rsidRPr="00D5126A" w:rsidRDefault="00FA6A77" w:rsidP="004E2BC2">
      <w:pPr>
        <w:pStyle w:val="Heading4"/>
      </w:pPr>
      <w:r w:rsidRPr="00D5126A">
        <w:lastRenderedPageBreak/>
        <w:t>Rates affordability benchmark</w:t>
      </w:r>
    </w:p>
    <w:p w:rsidR="00FA6A77" w:rsidRPr="00D5126A" w:rsidRDefault="00FA6A77" w:rsidP="004E2BC2">
      <w:r w:rsidRPr="00D5126A">
        <w:t>The council meets the rates affordability benchmark if—</w:t>
      </w:r>
    </w:p>
    <w:p w:rsidR="00FA6A77" w:rsidRPr="00D5126A" w:rsidRDefault="00FA6A77" w:rsidP="002C7BF8">
      <w:pPr>
        <w:pStyle w:val="ListParagraph"/>
        <w:numPr>
          <w:ilvl w:val="0"/>
          <w:numId w:val="57"/>
        </w:numPr>
        <w:rPr>
          <w:lang w:eastAsia="en-GB"/>
        </w:rPr>
      </w:pPr>
      <w:r w:rsidRPr="00D5126A">
        <w:rPr>
          <w:lang w:eastAsia="en-GB"/>
        </w:rPr>
        <w:t>its actual rates income equals or is less than each quantified limit on rates; and</w:t>
      </w:r>
    </w:p>
    <w:p w:rsidR="00FA6A77" w:rsidRPr="00D5126A" w:rsidRDefault="00FA6A77" w:rsidP="002C7BF8">
      <w:pPr>
        <w:pStyle w:val="ListParagraph"/>
        <w:numPr>
          <w:ilvl w:val="0"/>
          <w:numId w:val="57"/>
        </w:numPr>
        <w:rPr>
          <w:lang w:eastAsia="en-GB"/>
        </w:rPr>
      </w:pPr>
      <w:proofErr w:type="gramStart"/>
      <w:r w:rsidRPr="00D5126A">
        <w:rPr>
          <w:lang w:eastAsia="en-GB"/>
        </w:rPr>
        <w:t>its</w:t>
      </w:r>
      <w:proofErr w:type="gramEnd"/>
      <w:r w:rsidRPr="00D5126A">
        <w:rPr>
          <w:lang w:eastAsia="en-GB"/>
        </w:rPr>
        <w:t xml:space="preserve"> actual rates increases equal or are less than each quantified limit on rates increases.</w:t>
      </w:r>
    </w:p>
    <w:p w:rsidR="00FA6A77" w:rsidRPr="00D5126A" w:rsidRDefault="00FA6A77" w:rsidP="004E2BC2">
      <w:pPr>
        <w:pStyle w:val="Heading5"/>
        <w:rPr>
          <w:sz w:val="24"/>
          <w:szCs w:val="26"/>
        </w:rPr>
      </w:pPr>
      <w:r w:rsidRPr="00D5126A">
        <w:t>Rates (income) affordability</w:t>
      </w:r>
    </w:p>
    <w:p w:rsidR="00FA6A77" w:rsidRPr="00D5126A" w:rsidRDefault="00FA6A77" w:rsidP="004E2BC2">
      <w:r w:rsidRPr="00D5126A">
        <w:t xml:space="preserve">The following graph compares the council's actual rates </w:t>
      </w:r>
      <w:r w:rsidR="008520A5">
        <w:t>revenue</w:t>
      </w:r>
      <w:r w:rsidRPr="00D5126A">
        <w:t xml:space="preserve"> with a quantified dollar limit on rates included in the financial strategy included in the council's long-term plan. The quantified limit for the first three years of the 2018-28 LTP, which encompasses the financial years 2018/19; 2019/20 and 2020/21 is $350,000,000. This means rates revenue should remain below this limit for each of these years.</w:t>
      </w:r>
    </w:p>
    <w:p w:rsidR="00FA6A77" w:rsidRPr="00D5126A" w:rsidRDefault="00FA6A77" w:rsidP="004E2BC2">
      <w:r w:rsidRPr="00D5126A">
        <w:rPr>
          <w:noProof/>
          <w:lang w:eastAsia="en-NZ"/>
        </w:rPr>
        <w:drawing>
          <wp:inline distT="0" distB="0" distL="0" distR="0" wp14:anchorId="5E366E61" wp14:editId="69355747">
            <wp:extent cx="5753100" cy="4791075"/>
            <wp:effectExtent l="0" t="0" r="0" b="0"/>
            <wp:docPr id="1364" name="Picture 1364" descr="Rates (revenue) affordability, rates revenue ($000) graph compares the Council’s actual rates revenue with a quantified dollar limit on rates included in the financial strategy included in the Council’s long-term plan. Quantified Limit $350 million. 2019 Actual $309.9 million." title="Rates affordability benchmar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20"/>
                    <pic:cNvPicPr>
                      <a:picLocks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5759854" cy="4796699"/>
                    </a:xfrm>
                    <a:prstGeom prst="rect">
                      <a:avLst/>
                    </a:prstGeom>
                    <a:noFill/>
                    <a:ln>
                      <a:noFill/>
                    </a:ln>
                  </pic:spPr>
                </pic:pic>
              </a:graphicData>
            </a:graphic>
          </wp:inline>
        </w:drawing>
      </w:r>
    </w:p>
    <w:p w:rsidR="009F44FE" w:rsidRDefault="009F44FE">
      <w:pPr>
        <w:rPr>
          <w:rFonts w:asciiTheme="majorHAnsi" w:eastAsiaTheme="majorEastAsia" w:hAnsiTheme="majorHAnsi"/>
        </w:rPr>
      </w:pPr>
      <w:r>
        <w:br w:type="page"/>
      </w:r>
    </w:p>
    <w:p w:rsidR="00FA6A77" w:rsidRPr="00D5126A" w:rsidRDefault="00FA6A77" w:rsidP="004E2BC2">
      <w:pPr>
        <w:pStyle w:val="Heading5"/>
        <w:rPr>
          <w:sz w:val="24"/>
          <w:szCs w:val="26"/>
        </w:rPr>
      </w:pPr>
      <w:r w:rsidRPr="00D5126A">
        <w:lastRenderedPageBreak/>
        <w:t>Rates (increases) affordability</w:t>
      </w:r>
    </w:p>
    <w:p w:rsidR="00FA6A77" w:rsidRPr="00D5126A" w:rsidRDefault="00FA6A77" w:rsidP="004E2BC2">
      <w:r w:rsidRPr="00D5126A">
        <w:t xml:space="preserve">The following graph compares the council's actual rates </w:t>
      </w:r>
      <w:r w:rsidR="008520A5">
        <w:t xml:space="preserve">increase </w:t>
      </w:r>
      <w:r w:rsidRPr="00D5126A">
        <w:t xml:space="preserve">with a quantified limit on rates increases included in the financial strategy in the council's long-term plan. </w:t>
      </w:r>
    </w:p>
    <w:p w:rsidR="00FA6A77" w:rsidRPr="00D5126A" w:rsidRDefault="00FA6A77" w:rsidP="004E2BC2">
      <w:r w:rsidRPr="00D5126A">
        <w:t xml:space="preserve">The quantified limit for 2018/19 is 15.6% although the actual rates increase set for the 2018/19 year was significantly lower than this limit. The rates increase proposed in the 2018-28 LTP is equivalent to an average rates increase of 3.5% over the first three years, which encompasses the financial years 2018/19; 2019/20 and 2020/21. </w:t>
      </w:r>
    </w:p>
    <w:p w:rsidR="00FA6A77" w:rsidRPr="00D5126A" w:rsidRDefault="00FA6A77" w:rsidP="004E2BC2">
      <w:pPr>
        <w:rPr>
          <w:rFonts w:ascii="Arial" w:hAnsi="Arial" w:cs="Arial"/>
          <w:b/>
          <w:bCs/>
          <w:i/>
          <w:iCs/>
          <w:sz w:val="28"/>
          <w:szCs w:val="28"/>
        </w:rPr>
      </w:pPr>
      <w:r w:rsidRPr="00D5126A">
        <w:rPr>
          <w:noProof/>
          <w:lang w:eastAsia="en-NZ"/>
        </w:rPr>
        <w:drawing>
          <wp:inline distT="0" distB="0" distL="0" distR="0" wp14:anchorId="3E62290B" wp14:editId="56CD5433">
            <wp:extent cx="5686425" cy="4591050"/>
            <wp:effectExtent l="0" t="0" r="9525" b="0"/>
            <wp:docPr id="1363" name="Picture 1363" descr="Rates (increases) affordability, rates increases (%) graph compares the Council’s actual rates increases with a quantified limit on rates increases included in the financial strategy in the Council’s long-term plan. Quantified Limit 15.6%. 2019 Actual 4.55%." title="Rates (increases) affordabilit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2"/>
                    <pic:cNvPicPr>
                      <a:picLocks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5690510" cy="4594348"/>
                    </a:xfrm>
                    <a:prstGeom prst="rect">
                      <a:avLst/>
                    </a:prstGeom>
                    <a:noFill/>
                    <a:ln>
                      <a:noFill/>
                    </a:ln>
                  </pic:spPr>
                </pic:pic>
              </a:graphicData>
            </a:graphic>
          </wp:inline>
        </w:drawing>
      </w:r>
      <w:r w:rsidRPr="00D5126A">
        <w:br w:type="page"/>
      </w:r>
    </w:p>
    <w:p w:rsidR="00FA6A77" w:rsidRPr="00D5126A" w:rsidRDefault="00FA6A77" w:rsidP="004E2BC2">
      <w:pPr>
        <w:pStyle w:val="Heading4"/>
      </w:pPr>
      <w:r w:rsidRPr="00D5126A">
        <w:lastRenderedPageBreak/>
        <w:t>Debt affordability benchmark</w:t>
      </w:r>
    </w:p>
    <w:p w:rsidR="00FA6A77" w:rsidRPr="00D5126A" w:rsidRDefault="00FA6A77" w:rsidP="004E2BC2">
      <w:r w:rsidRPr="00D5126A">
        <w:t>The council meets the debt affordability benchmark if its actual borrowing is within each quantified limit on borrowing. The Council has seven measures for debt affordability and these are set out below. The suitability of these measures has been assessed by Council’s professional advisers, PricewaterhouseCoopers Wellington.</w:t>
      </w:r>
    </w:p>
    <w:p w:rsidR="00FA6A77" w:rsidRPr="00D5126A" w:rsidRDefault="00FA6A77" w:rsidP="004E2BC2">
      <w:pPr>
        <w:pStyle w:val="Heading5"/>
      </w:pPr>
      <w:r w:rsidRPr="00D5126A">
        <w:t>Net borrowing as a percentage of income</w:t>
      </w:r>
    </w:p>
    <w:p w:rsidR="00FA6A77" w:rsidRPr="00D5126A" w:rsidRDefault="00FA6A77" w:rsidP="004E2BC2">
      <w:r w:rsidRPr="00D5126A">
        <w:t xml:space="preserve">The following graph compares the council's actual borrowing with a quantified limit on borrowing stated in the financial strategy included in the council's long-term plan. The quantified limit is net borrowings, comprised of borrowings less cash and cash equivalents, being less than or equal to 175% of income. For this measure income is defined as total revenue less vested assets and development contribution income. </w:t>
      </w:r>
    </w:p>
    <w:p w:rsidR="00FA6A77" w:rsidRPr="00D5126A" w:rsidRDefault="00FA6A77" w:rsidP="004E2BC2">
      <w:r w:rsidRPr="00D5126A">
        <w:rPr>
          <w:noProof/>
          <w:lang w:eastAsia="en-NZ"/>
        </w:rPr>
        <w:drawing>
          <wp:inline distT="0" distB="0" distL="0" distR="0" wp14:anchorId="1E241420" wp14:editId="6924E32B">
            <wp:extent cx="5505450" cy="4171950"/>
            <wp:effectExtent l="0" t="0" r="0" b="0"/>
            <wp:docPr id="1362" name="Picture 1362" descr="Debt affordability benchmark 1, Net borrowings as a percentage of revenue (%) graph compares the Council’s actual borrowing with a quantified limit on borrowing stated in the financial strategy included in the Council’s long-term plan. Quantified Limit 175%. 2019 Actual 102%." title="Debt affordability benchmar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3"/>
                    <pic:cNvPicPr>
                      <a:picLocks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5499972" cy="4167799"/>
                    </a:xfrm>
                    <a:prstGeom prst="rect">
                      <a:avLst/>
                    </a:prstGeom>
                    <a:noFill/>
                    <a:ln>
                      <a:noFill/>
                    </a:ln>
                  </pic:spPr>
                </pic:pic>
              </a:graphicData>
            </a:graphic>
          </wp:inline>
        </w:drawing>
      </w:r>
    </w:p>
    <w:p w:rsidR="009F44FE" w:rsidRDefault="009F44FE">
      <w:pPr>
        <w:rPr>
          <w:rFonts w:asciiTheme="majorHAnsi" w:eastAsiaTheme="majorEastAsia" w:hAnsiTheme="majorHAnsi"/>
        </w:rPr>
      </w:pPr>
      <w:r>
        <w:br w:type="page"/>
      </w:r>
    </w:p>
    <w:p w:rsidR="00FA6A77" w:rsidRPr="00D5126A" w:rsidRDefault="00FA6A77" w:rsidP="004E2BC2">
      <w:pPr>
        <w:pStyle w:val="Heading5"/>
        <w:rPr>
          <w:sz w:val="24"/>
          <w:szCs w:val="26"/>
        </w:rPr>
      </w:pPr>
      <w:r w:rsidRPr="00D5126A">
        <w:lastRenderedPageBreak/>
        <w:t>Net in</w:t>
      </w:r>
      <w:r w:rsidR="004E2BC2" w:rsidRPr="00D5126A">
        <w:t>terest as a percentage of income</w:t>
      </w:r>
    </w:p>
    <w:p w:rsidR="00FA6A77" w:rsidRPr="00D5126A" w:rsidRDefault="00FA6A77" w:rsidP="004E2BC2">
      <w:r w:rsidRPr="00D5126A">
        <w:t xml:space="preserve">The following graph compares the council's actual borrowing with a quantified limit on borrowing stated in the financial strategy included in the council's long-term plan. The quantified limit is net interest, defined as interest expense less interest income, being less than or equal to 15% of income.  For this measure income is defined as total revenue less vested assets and development contribution income. </w:t>
      </w:r>
    </w:p>
    <w:p w:rsidR="00FA6A77" w:rsidRPr="00D5126A" w:rsidRDefault="00FA6A77" w:rsidP="004E2BC2">
      <w:r w:rsidRPr="00D5126A">
        <w:rPr>
          <w:noProof/>
          <w:lang w:eastAsia="en-NZ"/>
        </w:rPr>
        <w:drawing>
          <wp:inline distT="0" distB="0" distL="0" distR="0" wp14:anchorId="472BD6C4" wp14:editId="77DAF77D">
            <wp:extent cx="5648325" cy="4371975"/>
            <wp:effectExtent l="0" t="0" r="9525" b="9525"/>
            <wp:docPr id="1361" name="Picture 1361" descr="Debt affordability benchmark 2. Net interest expense as a percentage of revenue (%) graph compares the Council’s actual borrowing with a quantified limit on borrowing stated in the financial strategy included in the Council’s long-term plan. Quantified Limit 15%.  2019 actual 4%." title="Debt affordability benchmar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4"/>
                    <pic:cNvPicPr>
                      <a:picLocks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5644336" cy="4368887"/>
                    </a:xfrm>
                    <a:prstGeom prst="rect">
                      <a:avLst/>
                    </a:prstGeom>
                    <a:noFill/>
                    <a:ln>
                      <a:noFill/>
                    </a:ln>
                  </pic:spPr>
                </pic:pic>
              </a:graphicData>
            </a:graphic>
          </wp:inline>
        </w:drawing>
      </w:r>
    </w:p>
    <w:p w:rsidR="009F44FE" w:rsidRPr="00D5126A" w:rsidRDefault="009F44FE" w:rsidP="009F44FE">
      <w:r>
        <w:t xml:space="preserve">Note: </w:t>
      </w:r>
      <w:r w:rsidRPr="00D5126A">
        <w:t>The income figure used for this calculation of Net Borrowing as percentage of Income and Net Interest as a percentage of Income is Total Income less Vested Assets and Development Contribution Income. The Council has also deducted variable capital grants it receives for social housing from these calculations.</w:t>
      </w:r>
    </w:p>
    <w:p w:rsidR="009F44FE" w:rsidRDefault="009F44FE">
      <w:pPr>
        <w:rPr>
          <w:rFonts w:asciiTheme="majorHAnsi" w:eastAsiaTheme="majorEastAsia" w:hAnsiTheme="majorHAnsi"/>
        </w:rPr>
      </w:pPr>
      <w:r>
        <w:br w:type="page"/>
      </w:r>
    </w:p>
    <w:p w:rsidR="00FA6A77" w:rsidRPr="00D5126A" w:rsidRDefault="00FA6A77" w:rsidP="00024450">
      <w:pPr>
        <w:pStyle w:val="Heading5"/>
        <w:rPr>
          <w:sz w:val="24"/>
          <w:szCs w:val="26"/>
        </w:rPr>
      </w:pPr>
      <w:r w:rsidRPr="00D5126A">
        <w:lastRenderedPageBreak/>
        <w:t>Net interest as a percentage of annual rates income</w:t>
      </w:r>
    </w:p>
    <w:p w:rsidR="00FA6A77" w:rsidRPr="00D5126A" w:rsidRDefault="00FA6A77" w:rsidP="004E2BC2">
      <w:r w:rsidRPr="00D5126A">
        <w:t xml:space="preserve">The following graph compares the council's actual borrowing with a quantified limit on borrowing stated in the financial strategy included in the council's long-term plan. The quantified limit is net interest, defined as interest expense less interest income, being less than or equal to 20% of annual rates income. </w:t>
      </w:r>
    </w:p>
    <w:p w:rsidR="00FA6A77" w:rsidRPr="00D5126A" w:rsidRDefault="00FA6A77" w:rsidP="004E2BC2">
      <w:r w:rsidRPr="00D5126A">
        <w:rPr>
          <w:noProof/>
          <w:lang w:eastAsia="en-NZ"/>
        </w:rPr>
        <w:drawing>
          <wp:inline distT="0" distB="0" distL="0" distR="0" wp14:anchorId="265571E5" wp14:editId="36FF1EDB">
            <wp:extent cx="5600700" cy="4676775"/>
            <wp:effectExtent l="0" t="0" r="0" b="9525"/>
            <wp:docPr id="1360" name="Picture 1360" descr="Debt affordability benchmark 3. Net interest expense as a percentage of annual rates revenue (%) graph compares the Council’s actual borrowing with a quantified limit on borrowing stated in the financial strategy included in the Council’s long-term plan. Quantified Limit 20%. 2019 actual around 7%" title="Debt affordability benchmar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5"/>
                    <pic:cNvPicPr>
                      <a:picLocks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5601670" cy="4677585"/>
                    </a:xfrm>
                    <a:prstGeom prst="rect">
                      <a:avLst/>
                    </a:prstGeom>
                    <a:noFill/>
                    <a:ln>
                      <a:noFill/>
                    </a:ln>
                  </pic:spPr>
                </pic:pic>
              </a:graphicData>
            </a:graphic>
          </wp:inline>
        </w:drawing>
      </w:r>
    </w:p>
    <w:p w:rsidR="009F44FE" w:rsidRDefault="009F44FE">
      <w:pPr>
        <w:rPr>
          <w:rFonts w:asciiTheme="majorHAnsi" w:eastAsiaTheme="majorEastAsia" w:hAnsiTheme="majorHAnsi"/>
        </w:rPr>
      </w:pPr>
      <w:r>
        <w:br w:type="page"/>
      </w:r>
    </w:p>
    <w:p w:rsidR="00FA6A77" w:rsidRPr="00D5126A" w:rsidRDefault="00FA6A77" w:rsidP="00024450">
      <w:pPr>
        <w:pStyle w:val="Heading5"/>
        <w:rPr>
          <w:sz w:val="24"/>
          <w:szCs w:val="26"/>
        </w:rPr>
      </w:pPr>
      <w:r w:rsidRPr="00D5126A">
        <w:lastRenderedPageBreak/>
        <w:t>Liquidity (term borrowing + committed loan facilities to existing external net debt)</w:t>
      </w:r>
    </w:p>
    <w:p w:rsidR="00FA6A77" w:rsidRPr="00D5126A" w:rsidRDefault="00FA6A77" w:rsidP="004E2BC2">
      <w:r w:rsidRPr="00D5126A">
        <w:t xml:space="preserve">The following graph compares the council's actual borrowing with a quantified limit on borrowing stated in the financial strategy included in the council's long-term plan. The quantified limit is liquidity being greater than or equal to 115%. For debt affordability, liquidity is the total of Councils existing external net debt. Net borrowings for debt affordability are defined as borrowings less cash and cash equivalents. </w:t>
      </w:r>
    </w:p>
    <w:p w:rsidR="00FA6A77" w:rsidRPr="00D5126A" w:rsidRDefault="00FA6A77" w:rsidP="004E2BC2">
      <w:r w:rsidRPr="00D5126A">
        <w:t>N</w:t>
      </w:r>
      <w:r w:rsidR="00C93412">
        <w:t>ote</w:t>
      </w:r>
      <w:r w:rsidRPr="00D5126A">
        <w:t>: this measure was introduced in the 2015/16 financial year.</w:t>
      </w:r>
    </w:p>
    <w:p w:rsidR="00FA6A77" w:rsidRPr="00D5126A" w:rsidRDefault="00FA6A77" w:rsidP="004E2BC2">
      <w:r w:rsidRPr="00D5126A">
        <w:rPr>
          <w:noProof/>
          <w:lang w:eastAsia="en-NZ"/>
        </w:rPr>
        <w:drawing>
          <wp:inline distT="0" distB="0" distL="0" distR="0" wp14:anchorId="744F8807" wp14:editId="2A2277E5">
            <wp:extent cx="6029325" cy="4838700"/>
            <wp:effectExtent l="0" t="0" r="9525" b="0"/>
            <wp:docPr id="1359" name="Picture 1359" descr="Debt affordability benchmark 4. Liquidity (term borrowing + committed loan facilities to existing external net debt) (%) graph compares the Council’s actual borrowing with a quantified limit on borrowing stated in the financial strategy included in the Council’s long-term plan. The quantified limit is liquidity being greater than or equal to 115%. 2019 actual 130%." title="Debt affordability benchmar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2"/>
                    <pic:cNvPicPr>
                      <a:picLocks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6027024" cy="4836853"/>
                    </a:xfrm>
                    <a:prstGeom prst="rect">
                      <a:avLst/>
                    </a:prstGeom>
                    <a:noFill/>
                    <a:ln>
                      <a:noFill/>
                    </a:ln>
                  </pic:spPr>
                </pic:pic>
              </a:graphicData>
            </a:graphic>
          </wp:inline>
        </w:drawing>
      </w:r>
    </w:p>
    <w:p w:rsidR="00C93412" w:rsidRDefault="00C93412">
      <w:pPr>
        <w:rPr>
          <w:rFonts w:ascii="Arial" w:eastAsiaTheme="majorEastAsia" w:hAnsi="Arial" w:cs="Arial"/>
          <w:b/>
          <w:bCs/>
          <w:i/>
          <w:iCs/>
          <w:color w:val="4F81BD" w:themeColor="accent1"/>
          <w:sz w:val="28"/>
        </w:rPr>
      </w:pPr>
      <w:r>
        <w:br w:type="page"/>
      </w:r>
    </w:p>
    <w:p w:rsidR="00FA6A77" w:rsidRPr="00D5126A" w:rsidRDefault="00FA6A77" w:rsidP="00024450">
      <w:pPr>
        <w:pStyle w:val="Heading4"/>
      </w:pPr>
      <w:r w:rsidRPr="00D5126A">
        <w:lastRenderedPageBreak/>
        <w:t>Balanced budget benchmark</w:t>
      </w:r>
    </w:p>
    <w:p w:rsidR="00FA6A77" w:rsidRPr="00D5126A" w:rsidRDefault="00FA6A77" w:rsidP="004E2BC2">
      <w:r w:rsidRPr="00D5126A">
        <w:t>The following graph displays the council's revenue (excluding development contributions, financial contributions, vested assets, gains on derivative financial instruments, and revaluations of property, plant, or equipment) as a proportion of operating expenses (excluding losses on derivative financial instruments and revaluations of property, plant, or equipment).</w:t>
      </w:r>
    </w:p>
    <w:p w:rsidR="00FA6A77" w:rsidRDefault="00FA6A77" w:rsidP="004E2BC2">
      <w:r w:rsidRPr="00D5126A">
        <w:t xml:space="preserve">The council meets this benchmark if its revenue equals or is greater than its operating expenses. </w:t>
      </w:r>
    </w:p>
    <w:p w:rsidR="008520A5" w:rsidRPr="00D5126A" w:rsidRDefault="008520A5" w:rsidP="008520A5">
      <w:r w:rsidRPr="00AB5B2F">
        <w:t>For the purposes of this benchmark, impairments, which represent a non-cash movement in the valuation of assets, were included in the calculation. These unbudgeted impairments represent asset valuation movements relating to Civic Precinct buildings as disclosed in the financial statements. For 2017, $11.446m and for 2019, $50.603m of impairments were included in the calculation. If these assets valuation movements were excluded, the benchmarks for 2017 and 2019 would be 107% and 102% respectively and the benchmark for 2019 would be met.</w:t>
      </w:r>
    </w:p>
    <w:p w:rsidR="00FA6A77" w:rsidRPr="00D5126A" w:rsidRDefault="008520A5" w:rsidP="004E2BC2">
      <w:r w:rsidRPr="009435B9">
        <w:rPr>
          <w:rFonts w:ascii="Arial" w:hAnsi="Arial"/>
          <w:noProof/>
          <w:lang w:eastAsia="en-NZ"/>
        </w:rPr>
        <w:drawing>
          <wp:inline distT="0" distB="0" distL="0" distR="0" wp14:anchorId="075E4FB5" wp14:editId="4824791E">
            <wp:extent cx="5613991" cy="4508205"/>
            <wp:effectExtent l="0" t="0" r="25400" b="26035"/>
            <wp:docPr id="32" name="Chart 32" descr="Balance Budget benchmark Revenue / expenditure (%) graph benchmark target is equal to or greater than 100%, benchmarks met. 2015 105%, 2016 105%, 2017 105%, 2018 104%, benchmark not met 2019 93% due to Civic Precinct impairments." title="Balance Budget benchmark"/>
            <wp:cNvGraphicFramePr/>
            <a:graphic xmlns:a="http://schemas.openxmlformats.org/drawingml/2006/main">
              <a:graphicData uri="http://schemas.openxmlformats.org/drawingml/2006/chart">
                <c:chart xmlns:c="http://schemas.openxmlformats.org/drawingml/2006/chart" xmlns:r="http://schemas.openxmlformats.org/officeDocument/2006/relationships" r:id="rId164"/>
              </a:graphicData>
            </a:graphic>
          </wp:inline>
        </w:drawing>
      </w:r>
    </w:p>
    <w:p w:rsidR="00C93412" w:rsidRDefault="00C93412">
      <w:pPr>
        <w:rPr>
          <w:rFonts w:ascii="Arial" w:eastAsiaTheme="majorEastAsia" w:hAnsi="Arial" w:cs="Arial"/>
          <w:b/>
          <w:bCs/>
          <w:i/>
          <w:iCs/>
          <w:color w:val="4F81BD" w:themeColor="accent1"/>
          <w:sz w:val="28"/>
        </w:rPr>
      </w:pPr>
      <w:r>
        <w:br w:type="page"/>
      </w:r>
    </w:p>
    <w:p w:rsidR="00FA6A77" w:rsidRPr="00D5126A" w:rsidRDefault="00FA6A77" w:rsidP="00024450">
      <w:pPr>
        <w:pStyle w:val="Heading4"/>
      </w:pPr>
      <w:r w:rsidRPr="00D5126A">
        <w:lastRenderedPageBreak/>
        <w:t>Essential services benchmark</w:t>
      </w:r>
    </w:p>
    <w:p w:rsidR="00FA6A77" w:rsidRPr="00D5126A" w:rsidRDefault="00FA6A77" w:rsidP="004E2BC2">
      <w:r w:rsidRPr="00D5126A">
        <w:t>The following graph displays the council's capital expenditure on network services as a proportion of depreciation on network services.</w:t>
      </w:r>
    </w:p>
    <w:p w:rsidR="00FA6A77" w:rsidRPr="00D5126A" w:rsidRDefault="00FA6A77" w:rsidP="004E2BC2">
      <w:r w:rsidRPr="00D5126A">
        <w:t>The council meets this benchmark if its capital expenditure on network services equals or is greater than depreciation on network services.</w:t>
      </w:r>
    </w:p>
    <w:p w:rsidR="00FA6A77" w:rsidRPr="00D5126A" w:rsidRDefault="00FA6A77" w:rsidP="004E2BC2">
      <w:r w:rsidRPr="00D5126A">
        <w:rPr>
          <w:noProof/>
          <w:lang w:eastAsia="en-NZ"/>
        </w:rPr>
        <w:drawing>
          <wp:inline distT="0" distB="0" distL="0" distR="0" wp14:anchorId="3A474DBD" wp14:editId="5C7E1D55">
            <wp:extent cx="5648325" cy="4219575"/>
            <wp:effectExtent l="0" t="0" r="9525" b="9525"/>
            <wp:docPr id="1357" name="Picture 1357" descr="Essential services benchmark, Capital expenditure / depreciation (%) graph displays the Council’s capital expenditure on network services as a proportion of depreciation on network services. Benchmark is greater than or equals 100%. 2019 actual was 131%." title="Essential services benchmar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8"/>
                    <pic:cNvPicPr>
                      <a:picLocks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5644336" cy="4216595"/>
                    </a:xfrm>
                    <a:prstGeom prst="rect">
                      <a:avLst/>
                    </a:prstGeom>
                    <a:noFill/>
                    <a:ln>
                      <a:noFill/>
                    </a:ln>
                  </pic:spPr>
                </pic:pic>
              </a:graphicData>
            </a:graphic>
          </wp:inline>
        </w:drawing>
      </w:r>
    </w:p>
    <w:p w:rsidR="00C93412" w:rsidRDefault="00C93412">
      <w:pPr>
        <w:rPr>
          <w:rFonts w:ascii="Arial" w:eastAsiaTheme="majorEastAsia" w:hAnsi="Arial" w:cs="Arial"/>
          <w:b/>
          <w:bCs/>
          <w:i/>
          <w:iCs/>
          <w:color w:val="4F81BD" w:themeColor="accent1"/>
          <w:sz w:val="28"/>
        </w:rPr>
      </w:pPr>
      <w:r>
        <w:br w:type="page"/>
      </w:r>
    </w:p>
    <w:p w:rsidR="00FA6A77" w:rsidRPr="00D5126A" w:rsidRDefault="00FA6A77" w:rsidP="00024450">
      <w:pPr>
        <w:pStyle w:val="Heading4"/>
      </w:pPr>
      <w:r w:rsidRPr="00D5126A">
        <w:lastRenderedPageBreak/>
        <w:t>Debt servicing benchmark</w:t>
      </w:r>
    </w:p>
    <w:p w:rsidR="00FA6A77" w:rsidRPr="00D5126A" w:rsidRDefault="00FA6A77" w:rsidP="004E2BC2">
      <w:r w:rsidRPr="00D5126A">
        <w:t>The following graph displays the council's borrowing costs as a proportion of revenue (excluding development contributions, financial contributions, vested assets, gains on derivative financial instruments, and revaluations of property, plant, or equipment).</w:t>
      </w:r>
    </w:p>
    <w:p w:rsidR="00FA6A77" w:rsidRPr="00D5126A" w:rsidRDefault="00FA6A77" w:rsidP="004E2BC2">
      <w:r w:rsidRPr="00D5126A">
        <w:t xml:space="preserve">Because Statistics New Zealand projects the council's population will grow as fast as the national population growth rate, it meets the debt servicing benchmark if </w:t>
      </w:r>
      <w:proofErr w:type="gramStart"/>
      <w:r w:rsidRPr="00D5126A">
        <w:t>its</w:t>
      </w:r>
      <w:proofErr w:type="gramEnd"/>
      <w:r w:rsidRPr="00D5126A">
        <w:t xml:space="preserve"> borrowing costs equal or are less than 10% of its revenue. </w:t>
      </w:r>
    </w:p>
    <w:p w:rsidR="00FA6A77" w:rsidRPr="00D5126A" w:rsidRDefault="00FA6A77" w:rsidP="004E2BC2">
      <w:r w:rsidRPr="00D5126A">
        <w:rPr>
          <w:noProof/>
          <w:lang w:eastAsia="en-NZ"/>
        </w:rPr>
        <w:drawing>
          <wp:inline distT="0" distB="0" distL="0" distR="0" wp14:anchorId="6D381F44" wp14:editId="1D14684B">
            <wp:extent cx="5676900" cy="4286250"/>
            <wp:effectExtent l="0" t="0" r="0" b="0"/>
            <wp:docPr id="1356" name="Picture 1356" descr="Debt servicing benchmark, borrowing costs / revenue (%) graph displays the Council’s borrowing costs as a proportion of revenue. Benchmark is equal or less than 10%, 2019 actual is 5%." title="Debt servicing benchmar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9"/>
                    <pic:cNvPicPr>
                      <a:picLocks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5672891" cy="4283223"/>
                    </a:xfrm>
                    <a:prstGeom prst="rect">
                      <a:avLst/>
                    </a:prstGeom>
                    <a:noFill/>
                    <a:ln>
                      <a:noFill/>
                    </a:ln>
                  </pic:spPr>
                </pic:pic>
              </a:graphicData>
            </a:graphic>
          </wp:inline>
        </w:drawing>
      </w:r>
    </w:p>
    <w:p w:rsidR="00C93412" w:rsidRDefault="00C93412">
      <w:pPr>
        <w:rPr>
          <w:rFonts w:ascii="Arial" w:eastAsiaTheme="majorEastAsia" w:hAnsi="Arial" w:cs="Arial"/>
          <w:b/>
          <w:bCs/>
          <w:i/>
          <w:iCs/>
          <w:color w:val="4F81BD" w:themeColor="accent1"/>
          <w:sz w:val="28"/>
        </w:rPr>
      </w:pPr>
      <w:r>
        <w:br w:type="page"/>
      </w:r>
    </w:p>
    <w:p w:rsidR="00FA6A77" w:rsidRPr="00D5126A" w:rsidRDefault="00FA6A77" w:rsidP="00024450">
      <w:pPr>
        <w:pStyle w:val="Heading4"/>
      </w:pPr>
      <w:r w:rsidRPr="00D5126A">
        <w:lastRenderedPageBreak/>
        <w:t>Debt control benchmark</w:t>
      </w:r>
    </w:p>
    <w:p w:rsidR="00FA6A77" w:rsidRPr="00D5126A" w:rsidRDefault="00FA6A77" w:rsidP="004E2BC2">
      <w:r w:rsidRPr="00D5126A">
        <w:t>The following graph displays the council's actual net debt as a proportion of planned net debt. In this statement, net debt means financial liabilities less financial assets (excluding trade and other receivables).</w:t>
      </w:r>
    </w:p>
    <w:p w:rsidR="00FA6A77" w:rsidRPr="00D5126A" w:rsidRDefault="00FA6A77" w:rsidP="004E2BC2">
      <w:r w:rsidRPr="00D5126A">
        <w:t xml:space="preserve">The council meets the debt control benchmark if its actual net debt equals or is less than its planned net debt. </w:t>
      </w:r>
    </w:p>
    <w:p w:rsidR="00FA6A77" w:rsidRPr="00D5126A" w:rsidRDefault="00FA6A77" w:rsidP="004E2BC2">
      <w:r w:rsidRPr="00D5126A">
        <w:t>The calculation of net debt includes derivative (non-cash) financial instruments, predominantly cash flow hedges. The 2015/16 net debt was impacted by the valuation of the Council’s cash flow hedge liabilities being higher than planned as a result of interest rate volatility during the financial year. Actual net borrowings at $396.5m were lower than planned net borrowings of $415.0m and well below other benchmarks.</w:t>
      </w:r>
    </w:p>
    <w:p w:rsidR="00FA6A77" w:rsidRPr="00D5126A" w:rsidRDefault="00FA6A77" w:rsidP="004E2BC2">
      <w:r w:rsidRPr="00D5126A">
        <w:rPr>
          <w:noProof/>
          <w:lang w:eastAsia="en-NZ"/>
        </w:rPr>
        <w:drawing>
          <wp:inline distT="0" distB="0" distL="0" distR="0" wp14:anchorId="32F1D100" wp14:editId="01EBB8FB">
            <wp:extent cx="5657850" cy="4343400"/>
            <wp:effectExtent l="0" t="0" r="0" b="0"/>
            <wp:docPr id="1355" name="Picture 1355" descr="Debt control benchmark, actual / budgeted net debt (%) graph displays the Council’s actual net debt as a proportion of planned net debt. Benchmark is equal or less than 100%, 2019 actual is 96%." title="Debt control benchmar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0"/>
                    <pic:cNvPicPr>
                      <a:picLocks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5653854" cy="4340333"/>
                    </a:xfrm>
                    <a:prstGeom prst="rect">
                      <a:avLst/>
                    </a:prstGeom>
                    <a:noFill/>
                    <a:ln>
                      <a:noFill/>
                    </a:ln>
                  </pic:spPr>
                </pic:pic>
              </a:graphicData>
            </a:graphic>
          </wp:inline>
        </w:drawing>
      </w:r>
    </w:p>
    <w:p w:rsidR="00C93412" w:rsidRDefault="00C93412">
      <w:pPr>
        <w:rPr>
          <w:rFonts w:ascii="Arial" w:eastAsiaTheme="majorEastAsia" w:hAnsi="Arial" w:cs="Arial"/>
          <w:b/>
          <w:bCs/>
          <w:i/>
          <w:iCs/>
          <w:color w:val="4F81BD" w:themeColor="accent1"/>
          <w:sz w:val="28"/>
        </w:rPr>
      </w:pPr>
      <w:r>
        <w:br w:type="page"/>
      </w:r>
    </w:p>
    <w:p w:rsidR="00FA6A77" w:rsidRPr="00D5126A" w:rsidRDefault="00FA6A77" w:rsidP="00D532FC">
      <w:pPr>
        <w:pStyle w:val="Heading4"/>
      </w:pPr>
      <w:r w:rsidRPr="00D5126A">
        <w:lastRenderedPageBreak/>
        <w:t>Operations control benchmark</w:t>
      </w:r>
    </w:p>
    <w:p w:rsidR="00FA6A77" w:rsidRPr="00D5126A" w:rsidRDefault="00FA6A77" w:rsidP="004E2BC2">
      <w:r w:rsidRPr="00D5126A">
        <w:t>This graph displays the council's actual net cash flow from operations as a proportion of its planned net cash flow from operations.</w:t>
      </w:r>
    </w:p>
    <w:p w:rsidR="00FA6A77" w:rsidRPr="00D5126A" w:rsidRDefault="00FA6A77" w:rsidP="004E2BC2">
      <w:r w:rsidRPr="00D5126A">
        <w:t>The council meets the operations control benchmark if its actual net cash flow from operations equals or is greater than its planned net cash flow from operations.</w:t>
      </w:r>
    </w:p>
    <w:p w:rsidR="00FA6A77" w:rsidRPr="00D5126A" w:rsidRDefault="00FA6A77" w:rsidP="004E2BC2">
      <w:r w:rsidRPr="00D5126A">
        <w:t>A number of assumptions are made around the timing of events. Any departure from these assumptions can affect the outcome of this measure. The Council is satisfied that it is prudently managing operational cash flow, with variances in the 2014/15, 2017/18 and 2018/19 years explained by the timing difference in the receipt of revenues compared to budget that lead to the “not met” outcome for this measure.</w:t>
      </w:r>
    </w:p>
    <w:p w:rsidR="00FA6A77" w:rsidRPr="00D5126A" w:rsidRDefault="00612BE4" w:rsidP="004E2BC2">
      <w:r>
        <w:rPr>
          <w:noProof/>
          <w:lang w:eastAsia="en-NZ"/>
        </w:rPr>
        <w:drawing>
          <wp:inline distT="0" distB="0" distL="0" distR="0" wp14:anchorId="4B242FB4" wp14:editId="4646E0E9">
            <wp:extent cx="5730875" cy="4546011"/>
            <wp:effectExtent l="0" t="0" r="3175" b="6985"/>
            <wp:docPr id="4" name="Picture 4" descr="Operations control benchmark, actual / budget net cash flow from operations (%) graph displays the Council’s actual net cash flow from operations as a proportion of its planned net cash flow from operations. Benchmark is greater than or equals 100%, 2019 actual is 85% benchmark was not met." title="Operations control bench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1" descr="cid:image001.png@01D56CB3.8D7812A0"/>
                    <pic:cNvPicPr>
                      <a:picLocks noChangeAspect="1" noChangeArrowheads="1"/>
                    </pic:cNvPicPr>
                  </pic:nvPicPr>
                  <pic:blipFill>
                    <a:blip r:embed="rId168" r:link="rId169">
                      <a:extLst>
                        <a:ext uri="{28A0092B-C50C-407E-A947-70E740481C1C}">
                          <a14:useLocalDpi xmlns:a14="http://schemas.microsoft.com/office/drawing/2010/main" val="0"/>
                        </a:ext>
                      </a:extLst>
                    </a:blip>
                    <a:srcRect/>
                    <a:stretch>
                      <a:fillRect/>
                    </a:stretch>
                  </pic:blipFill>
                  <pic:spPr bwMode="auto">
                    <a:xfrm>
                      <a:off x="0" y="0"/>
                      <a:ext cx="5730875" cy="4546011"/>
                    </a:xfrm>
                    <a:prstGeom prst="rect">
                      <a:avLst/>
                    </a:prstGeom>
                    <a:noFill/>
                    <a:ln>
                      <a:noFill/>
                    </a:ln>
                  </pic:spPr>
                </pic:pic>
              </a:graphicData>
            </a:graphic>
          </wp:inline>
        </w:drawing>
      </w:r>
    </w:p>
    <w:bookmarkEnd w:id="494"/>
    <w:p w:rsidR="007E4E37" w:rsidRDefault="007E4E37">
      <w:pPr>
        <w:rPr>
          <w:rFonts w:asciiTheme="majorHAnsi" w:eastAsiaTheme="majorEastAsia" w:hAnsiTheme="majorHAnsi"/>
          <w:b/>
          <w:bCs/>
          <w:color w:val="1F497D" w:themeColor="text2"/>
          <w:sz w:val="40"/>
          <w:szCs w:val="40"/>
          <w:lang w:eastAsia="en-GB"/>
        </w:rPr>
      </w:pPr>
      <w:r>
        <w:rPr>
          <w:lang w:eastAsia="en-GB"/>
        </w:rPr>
        <w:br w:type="page"/>
      </w:r>
    </w:p>
    <w:p w:rsidR="00FA6A77" w:rsidRDefault="00FA6A77" w:rsidP="00D532FC">
      <w:pPr>
        <w:pStyle w:val="Heading2"/>
        <w:rPr>
          <w:lang w:eastAsia="en-GB"/>
        </w:rPr>
      </w:pPr>
      <w:bookmarkStart w:id="496" w:name="_Toc23758629"/>
      <w:bookmarkStart w:id="497" w:name="_Toc23848738"/>
      <w:r w:rsidRPr="00D5126A">
        <w:rPr>
          <w:lang w:eastAsia="en-GB"/>
        </w:rPr>
        <w:lastRenderedPageBreak/>
        <w:t>Funding Impact Statements</w:t>
      </w:r>
      <w:bookmarkEnd w:id="496"/>
      <w:bookmarkEnd w:id="497"/>
    </w:p>
    <w:p w:rsidR="007E4E37" w:rsidRPr="007E4E37" w:rsidRDefault="007E4E37" w:rsidP="007E4E37">
      <w:pPr>
        <w:rPr>
          <w:lang w:eastAsia="en-GB"/>
        </w:rPr>
      </w:pPr>
      <w:r w:rsidRPr="007E4E37">
        <w:rPr>
          <w:lang w:eastAsia="en-GB"/>
        </w:rPr>
        <w:t xml:space="preserve">Annual report disclosure statement for year ending 30 June 2019 </w:t>
      </w:r>
      <w:proofErr w:type="gramStart"/>
      <w:r w:rsidRPr="007E4E37">
        <w:rPr>
          <w:lang w:eastAsia="en-GB"/>
        </w:rPr>
        <w:t>What</w:t>
      </w:r>
      <w:proofErr w:type="gramEnd"/>
      <w:r w:rsidRPr="007E4E37">
        <w:rPr>
          <w:lang w:eastAsia="en-GB"/>
        </w:rPr>
        <w:t xml:space="preserve"> is the purpose of these statements? An annual report must include an audited funding impact statement for the financial year to which the report relates. The purpose of the Funding impact statements is to disclose the amount of funds produced from each source of funding, identify how the funds were applied and compare this information against the information included in the LTP. One statement is prepared for the whole of Council’s activities and individual statements are prepared for each strategic activity. The application of capital funding is summarised in an additional table </w:t>
      </w:r>
      <w:r w:rsidRPr="001764C5">
        <w:rPr>
          <w:lang w:eastAsia="en-GB"/>
        </w:rPr>
        <w:t xml:space="preserve">on page </w:t>
      </w:r>
      <w:r w:rsidR="001764C5" w:rsidRPr="001764C5">
        <w:rPr>
          <w:lang w:eastAsia="en-GB"/>
        </w:rPr>
        <w:t>346</w:t>
      </w:r>
      <w:r w:rsidRPr="007E4E37">
        <w:rPr>
          <w:lang w:eastAsia="en-GB"/>
        </w:rPr>
        <w:t>.</w:t>
      </w:r>
    </w:p>
    <w:p w:rsidR="00FA6A77" w:rsidRPr="00D5126A" w:rsidRDefault="00FA6A77" w:rsidP="0035019C">
      <w:pPr>
        <w:ind w:left="-284"/>
        <w:rPr>
          <w:rFonts w:ascii="Georgia" w:hAnsi="Georgia"/>
          <w:b/>
          <w:sz w:val="28"/>
          <w:szCs w:val="28"/>
          <w:lang w:eastAsia="en-GB"/>
        </w:rPr>
      </w:pPr>
      <w:r w:rsidRPr="00D5126A">
        <w:rPr>
          <w:noProof/>
          <w:lang w:eastAsia="en-NZ"/>
        </w:rPr>
        <w:drawing>
          <wp:inline distT="0" distB="0" distL="0" distR="0" wp14:anchorId="36753847" wp14:editId="49FCCF7D">
            <wp:extent cx="6655981" cy="7026957"/>
            <wp:effectExtent l="0" t="0" r="0" b="2540"/>
            <wp:docPr id="1353" name="Picture 1353" descr="Annual report disclosure statement for year ending 30 June 2019 What is the purpose of these statements? An annual report must include an audited funding impact statement for the financial year to which the report relates. The purpose of the Funding impact statements is to disclose the amount of funds produced from each source of funding, identify how the funds were applied and compare this information against the information included in the LTP. One statement is prepared for the whole of Council’s activities and individual statements are prepared for each strategic activity. The application of capital funding is summarised in an additional table on page 346." title="Funding Impact Stat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6660174" cy="7031383"/>
                    </a:xfrm>
                    <a:prstGeom prst="rect">
                      <a:avLst/>
                    </a:prstGeom>
                    <a:noFill/>
                    <a:ln>
                      <a:noFill/>
                    </a:ln>
                  </pic:spPr>
                </pic:pic>
              </a:graphicData>
            </a:graphic>
          </wp:inline>
        </w:drawing>
      </w:r>
    </w:p>
    <w:p w:rsidR="00FA6A77" w:rsidRPr="00D5126A" w:rsidRDefault="00FA6A77" w:rsidP="004504F0">
      <w:pPr>
        <w:ind w:left="-851"/>
      </w:pPr>
      <w:r w:rsidRPr="00D5126A">
        <w:rPr>
          <w:noProof/>
          <w:lang w:eastAsia="en-NZ"/>
        </w:rPr>
        <w:lastRenderedPageBreak/>
        <w:drawing>
          <wp:anchor distT="0" distB="0" distL="114300" distR="114300" simplePos="0" relativeHeight="251756544" behindDoc="0" locked="0" layoutInCell="1" allowOverlap="1" wp14:anchorId="745590C9" wp14:editId="11A074EB">
            <wp:simplePos x="180340" y="892810"/>
            <wp:positionH relativeFrom="margin">
              <wp:align>center</wp:align>
            </wp:positionH>
            <wp:positionV relativeFrom="margin">
              <wp:align>top</wp:align>
            </wp:positionV>
            <wp:extent cx="6783070" cy="7463790"/>
            <wp:effectExtent l="0" t="0" r="0" b="3810"/>
            <wp:wrapSquare wrapText="bothSides"/>
            <wp:docPr id="1352" name="Picture 1352" descr="Annual report disclosure statement for year ending 30 June 2019 What is the purpose of these statements? An annual report must include an audited funding impact statement for the financial year to which the report relates. The purpose of the Funding impact statements is to disclose the amount of funds produced from each source of funding, identify how the funds were applied and compare this information against the information included in the LTP. One statement is prepared for the whole of Council’s activities and individual statements are prepared for each strategic activity. The application of capital funding is summarised in an additional table on page 346." title="Funding Impact Stat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6783070" cy="7463790"/>
                    </a:xfrm>
                    <a:prstGeom prst="rect">
                      <a:avLst/>
                    </a:prstGeom>
                    <a:noFill/>
                    <a:ln>
                      <a:noFill/>
                    </a:ln>
                  </pic:spPr>
                </pic:pic>
              </a:graphicData>
            </a:graphic>
          </wp:anchor>
        </w:drawing>
      </w:r>
    </w:p>
    <w:p w:rsidR="00FA6A77" w:rsidRPr="00D5126A" w:rsidRDefault="00FA6A77" w:rsidP="0035019C">
      <w:pPr>
        <w:ind w:left="-284"/>
      </w:pPr>
      <w:bookmarkStart w:id="498" w:name="_GoBack"/>
      <w:r w:rsidRPr="00D5126A">
        <w:rPr>
          <w:noProof/>
          <w:lang w:eastAsia="en-NZ"/>
        </w:rPr>
        <w:lastRenderedPageBreak/>
        <w:drawing>
          <wp:inline distT="0" distB="0" distL="0" distR="0" wp14:anchorId="576E00B3" wp14:editId="321DBDF4">
            <wp:extent cx="6804837" cy="7437170"/>
            <wp:effectExtent l="0" t="0" r="0" b="0"/>
            <wp:docPr id="1351" name="Picture 1351" descr="Annual report disclosure statement for year ending 30 June 2019 What is the purpose of these statements? An annual report must include an audited funding impact statement for the financial year to which the report relates. The purpose of the Funding impact statements is to disclose the amount of funds produced from each source of funding, identify how the funds were applied and compare this information against the information included in the LTP. One statement is prepared for the whole of Council’s activities and individual statements are prepared for each strategic activity. The application of capital funding is summarised in an additional table on page 346." title="Funding Impact Stat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6804837" cy="7437170"/>
                    </a:xfrm>
                    <a:prstGeom prst="rect">
                      <a:avLst/>
                    </a:prstGeom>
                    <a:noFill/>
                    <a:ln>
                      <a:noFill/>
                    </a:ln>
                  </pic:spPr>
                </pic:pic>
              </a:graphicData>
            </a:graphic>
          </wp:inline>
        </w:drawing>
      </w:r>
      <w:bookmarkEnd w:id="498"/>
    </w:p>
    <w:p w:rsidR="00FA6A77" w:rsidRPr="00D5126A" w:rsidRDefault="00FA6A77" w:rsidP="00FA6A77"/>
    <w:p w:rsidR="00FA6A77" w:rsidRPr="00D5126A" w:rsidRDefault="00FA6A77" w:rsidP="001764C5">
      <w:pPr>
        <w:ind w:left="-567"/>
      </w:pPr>
      <w:r w:rsidRPr="00D5126A">
        <w:rPr>
          <w:noProof/>
          <w:lang w:eastAsia="en-NZ"/>
        </w:rPr>
        <w:lastRenderedPageBreak/>
        <w:drawing>
          <wp:inline distT="0" distB="0" distL="0" distR="0" wp14:anchorId="461D2904" wp14:editId="67BB4B8D">
            <wp:extent cx="6804837" cy="7333156"/>
            <wp:effectExtent l="0" t="0" r="0" b="1270"/>
            <wp:docPr id="1350" name="Picture 1350" descr="Annual report disclosure statement for year ending 30 June 2019 What is the purpose of these statements? An annual report must include an audited funding impact statement for the financial year to which the report relates. The purpose of the Funding impact statements is to disclose the amount of funds produced from each source of funding, identify how the funds were applied and compare this information against the information included in the LTP. One statement is prepared for the whole of Council’s activities and individual statements are prepared for each strategic activity. The application of capital funding is summarised in an additional table on page 346." title="Funding impact stat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6801224" cy="7329262"/>
                    </a:xfrm>
                    <a:prstGeom prst="rect">
                      <a:avLst/>
                    </a:prstGeom>
                    <a:noFill/>
                    <a:ln>
                      <a:noFill/>
                    </a:ln>
                  </pic:spPr>
                </pic:pic>
              </a:graphicData>
            </a:graphic>
          </wp:inline>
        </w:drawing>
      </w:r>
    </w:p>
    <w:p w:rsidR="00FA6A77" w:rsidRPr="00D5126A" w:rsidRDefault="00FA6A77" w:rsidP="001764C5">
      <w:pPr>
        <w:ind w:left="-567"/>
      </w:pPr>
      <w:r w:rsidRPr="00D5126A">
        <w:rPr>
          <w:noProof/>
          <w:lang w:eastAsia="en-NZ"/>
        </w:rPr>
        <w:lastRenderedPageBreak/>
        <w:drawing>
          <wp:inline distT="0" distB="0" distL="0" distR="0" wp14:anchorId="174E5CE8" wp14:editId="344EED59">
            <wp:extent cx="6718393" cy="7347098"/>
            <wp:effectExtent l="0" t="0" r="6350" b="6350"/>
            <wp:docPr id="1349" name="Picture 1349" descr="Annual report disclosure statement for year ending 30 June 2019 What is the purpose of these statements? An annual report must include an audited funding impact statement for the financial year to which the report relates. The purpose of the Funding impact statements is to disclose the amount of funds produced from each source of funding, identify how the funds were applied and compare this information against the information included in the LTP. One statement is prepared for the whole of Council’s activities and individual statements are prepared for each strategic activity. The application of capital funding is summarised in an additional table on page 346." title="Funding impact stat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6713480" cy="7341725"/>
                    </a:xfrm>
                    <a:prstGeom prst="rect">
                      <a:avLst/>
                    </a:prstGeom>
                    <a:noFill/>
                    <a:ln>
                      <a:noFill/>
                    </a:ln>
                  </pic:spPr>
                </pic:pic>
              </a:graphicData>
            </a:graphic>
          </wp:inline>
        </w:drawing>
      </w:r>
    </w:p>
    <w:p w:rsidR="00FA6A77" w:rsidRPr="00D5126A" w:rsidRDefault="00FA6A77" w:rsidP="001764C5">
      <w:pPr>
        <w:ind w:left="-567"/>
      </w:pPr>
      <w:r w:rsidRPr="00D5126A">
        <w:rPr>
          <w:noProof/>
          <w:lang w:eastAsia="en-NZ"/>
        </w:rPr>
        <w:lastRenderedPageBreak/>
        <w:drawing>
          <wp:inline distT="0" distB="0" distL="0" distR="0" wp14:anchorId="52F44A98" wp14:editId="00DE8C34">
            <wp:extent cx="6845994" cy="7549116"/>
            <wp:effectExtent l="0" t="0" r="0" b="0"/>
            <wp:docPr id="1348" name="Picture 1348" descr="Annual report disclosure statement for year ending 30 June 2019 What is the purpose of these statements? An annual report must include an audited funding impact statement for the financial year to which the report relates. The purpose of the Funding impact statements is to disclose the amount of funds produced from each source of funding, identify how the funds were applied and compare this information against the information included in the LTP. One statement is prepared for the whole of Council’s activities and individual statements are prepared for each strategic activity. The application of capital funding is summarised in an additional table on page 346." title="Funding impact stat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6845166" cy="7548203"/>
                    </a:xfrm>
                    <a:prstGeom prst="rect">
                      <a:avLst/>
                    </a:prstGeom>
                    <a:noFill/>
                    <a:ln>
                      <a:noFill/>
                    </a:ln>
                  </pic:spPr>
                </pic:pic>
              </a:graphicData>
            </a:graphic>
          </wp:inline>
        </w:drawing>
      </w:r>
    </w:p>
    <w:p w:rsidR="00FA6A77" w:rsidRPr="00D5126A" w:rsidRDefault="00FA6A77" w:rsidP="00FA6A77">
      <w:pPr>
        <w:ind w:firstLine="720"/>
      </w:pPr>
    </w:p>
    <w:p w:rsidR="00FA6A77" w:rsidRPr="00D5126A" w:rsidRDefault="00FA6A77" w:rsidP="00FA6A77"/>
    <w:p w:rsidR="00FA6A77" w:rsidRPr="00D5126A" w:rsidRDefault="00FA6A77" w:rsidP="001764C5">
      <w:pPr>
        <w:ind w:left="-567"/>
      </w:pPr>
      <w:r w:rsidRPr="00D5126A">
        <w:rPr>
          <w:noProof/>
          <w:lang w:eastAsia="en-NZ"/>
        </w:rPr>
        <w:lastRenderedPageBreak/>
        <w:drawing>
          <wp:inline distT="0" distB="0" distL="0" distR="0" wp14:anchorId="74B55857" wp14:editId="6C0AFD50">
            <wp:extent cx="6793808" cy="7134447"/>
            <wp:effectExtent l="0" t="0" r="7620" b="0"/>
            <wp:docPr id="1347" name="Picture 1347" descr="Annual report disclosure statement for year ending 30 June 2019 What is the purpose of these statements? An annual report must include an audited funding impact statement for the financial year to which the report relates. The purpose of the Funding impact statements is to disclose the amount of funds produced from each source of funding, identify how the funds were applied and compare this information against the information included in the LTP. One statement is prepared for the whole of Council’s activities and individual statements are prepared for each strategic activity. The application of capital funding is summarised in an additional table on page 346." title="Funding impact stat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6801189" cy="7142198"/>
                    </a:xfrm>
                    <a:prstGeom prst="rect">
                      <a:avLst/>
                    </a:prstGeom>
                    <a:noFill/>
                    <a:ln>
                      <a:noFill/>
                    </a:ln>
                  </pic:spPr>
                </pic:pic>
              </a:graphicData>
            </a:graphic>
          </wp:inline>
        </w:drawing>
      </w:r>
    </w:p>
    <w:p w:rsidR="00FA6A77" w:rsidRPr="00D5126A" w:rsidRDefault="00FA6A77" w:rsidP="001764C5">
      <w:pPr>
        <w:ind w:left="-567"/>
      </w:pPr>
      <w:r w:rsidRPr="00D5126A">
        <w:rPr>
          <w:noProof/>
          <w:lang w:eastAsia="en-NZ"/>
        </w:rPr>
        <w:lastRenderedPageBreak/>
        <w:drawing>
          <wp:inline distT="0" distB="0" distL="0" distR="0" wp14:anchorId="7CA4C717" wp14:editId="5876C640">
            <wp:extent cx="6770768" cy="7113181"/>
            <wp:effectExtent l="0" t="0" r="0" b="0"/>
            <wp:docPr id="1346" name="Picture 1346" descr="Annual report disclosure statement for year ending 30 June 2019 What is the purpose of these statements? An annual report must include an audited funding impact statement for the financial year to which the report relates. The purpose of the Funding impact statements is to disclose the amount of funds produced from each source of funding, identify how the funds were applied and compare this information against the information included in the LTP. One statement is prepared for the whole of Council’s activities and individual statements are prepared for each strategic activity. The application of capital funding is summarised in an additional table on page 346." title="Funding impact stat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6770268" cy="7112656"/>
                    </a:xfrm>
                    <a:prstGeom prst="rect">
                      <a:avLst/>
                    </a:prstGeom>
                    <a:noFill/>
                    <a:ln>
                      <a:noFill/>
                    </a:ln>
                  </pic:spPr>
                </pic:pic>
              </a:graphicData>
            </a:graphic>
          </wp:inline>
        </w:drawing>
      </w:r>
    </w:p>
    <w:p w:rsidR="00FA6A77" w:rsidRPr="00D5126A" w:rsidRDefault="00FA6A77" w:rsidP="00FA6A77"/>
    <w:p w:rsidR="00FA6A77" w:rsidRPr="00D5126A" w:rsidRDefault="00FA6A77" w:rsidP="001764C5">
      <w:pPr>
        <w:ind w:left="-567"/>
      </w:pPr>
      <w:r w:rsidRPr="00D5126A">
        <w:rPr>
          <w:noProof/>
          <w:lang w:eastAsia="en-NZ"/>
        </w:rPr>
        <w:lastRenderedPageBreak/>
        <w:drawing>
          <wp:inline distT="0" distB="0" distL="0" distR="0" wp14:anchorId="7BD5621A" wp14:editId="44217EE6">
            <wp:extent cx="6740568" cy="7081284"/>
            <wp:effectExtent l="0" t="0" r="3175" b="5715"/>
            <wp:docPr id="1345" name="Picture 1345" descr="Annual report disclosure statement for year ending 30 June 2019 What is the purpose of these statements? An annual report must include an audited funding impact statement for the financial year to which the report relates. The purpose of the Funding impact statements is to disclose the amount of funds produced from each source of funding, identify how the funds were applied and compare this information against the information included in the LTP. One statement is prepared for the whole of Council’s activities and individual statements are prepared for each strategic activity. The application of capital funding is summarised in an additional table on page 346." title="Funding impact stat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6740977" cy="7081714"/>
                    </a:xfrm>
                    <a:prstGeom prst="rect">
                      <a:avLst/>
                    </a:prstGeom>
                    <a:noFill/>
                    <a:ln>
                      <a:noFill/>
                    </a:ln>
                  </pic:spPr>
                </pic:pic>
              </a:graphicData>
            </a:graphic>
          </wp:inline>
        </w:drawing>
      </w:r>
    </w:p>
    <w:p w:rsidR="00FA6A77" w:rsidRPr="00D5126A" w:rsidRDefault="00FA6A77" w:rsidP="00FA6A77"/>
    <w:p w:rsidR="00FA6A77" w:rsidRPr="00D5126A" w:rsidRDefault="00FA6A77" w:rsidP="00FA6A77"/>
    <w:p w:rsidR="00FA6A77" w:rsidRPr="00D5126A" w:rsidRDefault="00FA6A77" w:rsidP="00FA6A77"/>
    <w:p w:rsidR="00FA6A77" w:rsidRPr="00D5126A" w:rsidRDefault="00FA6A77" w:rsidP="00FA6A77"/>
    <w:p w:rsidR="00FA6A77" w:rsidRPr="00D5126A" w:rsidRDefault="00FA6A77" w:rsidP="00FA6A77"/>
    <w:p w:rsidR="00FA6A77" w:rsidRPr="00D5126A" w:rsidRDefault="00FA6A77" w:rsidP="00FA6A77"/>
    <w:p w:rsidR="00FA6A77" w:rsidRPr="00D5126A" w:rsidRDefault="00FA6A77" w:rsidP="001764C5">
      <w:pPr>
        <w:ind w:left="-567"/>
      </w:pPr>
      <w:r w:rsidRPr="00D5126A">
        <w:rPr>
          <w:noProof/>
          <w:lang w:eastAsia="en-NZ"/>
        </w:rPr>
        <w:lastRenderedPageBreak/>
        <w:drawing>
          <wp:inline distT="0" distB="0" distL="0" distR="0" wp14:anchorId="324E68CE" wp14:editId="05178074">
            <wp:extent cx="6762307" cy="7104693"/>
            <wp:effectExtent l="0" t="0" r="635" b="1270"/>
            <wp:docPr id="1344" name="Picture 1344" descr="Annual report disclosure statement for year ending 30 June 2019 What is the purpose of these statements? An annual report must include an audited funding impact statement for the financial year to which the report relates. The purpose of the Funding impact statements is to disclose the amount of funds produced from each source of funding, identify how the funds were applied and compare this information against the information included in the LTP. One statement is prepared for the whole of Council’s activities and individual statements are prepared for each strategic activity. The application of capital funding is summarised in an additional table on page 346." title="Funding impact stat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6763243" cy="7105677"/>
                    </a:xfrm>
                    <a:prstGeom prst="rect">
                      <a:avLst/>
                    </a:prstGeom>
                    <a:noFill/>
                    <a:ln>
                      <a:noFill/>
                    </a:ln>
                  </pic:spPr>
                </pic:pic>
              </a:graphicData>
            </a:graphic>
          </wp:inline>
        </w:drawing>
      </w:r>
    </w:p>
    <w:p w:rsidR="00FA6A77" w:rsidRPr="00D5126A" w:rsidRDefault="00FA6A77" w:rsidP="00FA6A77"/>
    <w:p w:rsidR="00FA6A77" w:rsidRPr="00D5126A" w:rsidRDefault="00FA6A77" w:rsidP="00FA6A77"/>
    <w:p w:rsidR="00FA6A77" w:rsidRPr="00D5126A" w:rsidRDefault="00FA6A77" w:rsidP="001764C5">
      <w:pPr>
        <w:ind w:left="-567"/>
      </w:pPr>
      <w:r w:rsidRPr="00D5126A">
        <w:rPr>
          <w:noProof/>
          <w:lang w:eastAsia="en-NZ"/>
        </w:rPr>
        <w:lastRenderedPageBreak/>
        <w:drawing>
          <wp:inline distT="0" distB="0" distL="0" distR="0" wp14:anchorId="71A79EE8" wp14:editId="46881009">
            <wp:extent cx="6794204" cy="7137631"/>
            <wp:effectExtent l="0" t="0" r="6985" b="6350"/>
            <wp:docPr id="1343" name="Picture 1343" descr="Annual report disclosure statement for year ending 30 June 2019 What is the purpose of these statements? An annual report must include an audited funding impact statement for the financial year to which the report relates. The purpose of the Funding impact statements is to disclose the amount of funds produced from each source of funding, identify how the funds were applied and compare this information against the information included in the LTP. One statement is prepared for the whole of Council’s activities and individual statements are prepared for each strategic activity. The application of capital funding is summarised in an additional table on page 346." title="Funding impact stat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6794617" cy="7138064"/>
                    </a:xfrm>
                    <a:prstGeom prst="rect">
                      <a:avLst/>
                    </a:prstGeom>
                    <a:noFill/>
                    <a:ln>
                      <a:noFill/>
                    </a:ln>
                  </pic:spPr>
                </pic:pic>
              </a:graphicData>
            </a:graphic>
          </wp:inline>
        </w:drawing>
      </w:r>
    </w:p>
    <w:p w:rsidR="00FA6A77" w:rsidRPr="00D5126A" w:rsidRDefault="00FA6A77" w:rsidP="00FA6A77"/>
    <w:p w:rsidR="00FA6A77" w:rsidRPr="00D5126A" w:rsidRDefault="00FA6A77" w:rsidP="00FA6A77"/>
    <w:p w:rsidR="00FA6A77" w:rsidRPr="00D5126A" w:rsidRDefault="00FA6A77" w:rsidP="00FA6A77"/>
    <w:p w:rsidR="00FA6A77" w:rsidRPr="00D5126A" w:rsidRDefault="00FA6A77" w:rsidP="00FA6A77"/>
    <w:p w:rsidR="00FA6A77" w:rsidRPr="00D5126A" w:rsidRDefault="00FA6A77" w:rsidP="00FA6A77"/>
    <w:p w:rsidR="00FA6A77" w:rsidRPr="00D5126A" w:rsidRDefault="00FA6A77" w:rsidP="00FA6A77"/>
    <w:p w:rsidR="00FA6A77" w:rsidRPr="00D5126A" w:rsidRDefault="00FA6A77" w:rsidP="001764C5">
      <w:pPr>
        <w:ind w:left="-567"/>
      </w:pPr>
      <w:r w:rsidRPr="00D5126A">
        <w:rPr>
          <w:noProof/>
          <w:lang w:eastAsia="en-NZ"/>
        </w:rPr>
        <w:lastRenderedPageBreak/>
        <w:drawing>
          <wp:inline distT="0" distB="0" distL="0" distR="0" wp14:anchorId="6CDBF65E" wp14:editId="4D8770D4">
            <wp:extent cx="6811813" cy="7166344"/>
            <wp:effectExtent l="0" t="0" r="8255" b="0"/>
            <wp:docPr id="1342" name="Picture 1342" descr="Annual report disclosure statement for year ending 30 June 2019 What is the purpose of these statements? An annual report must include an audited funding impact statement for the financial year to which the report relates. The purpose of the Funding impact statements is to disclose the amount of funds produced from each source of funding, identify how the funds were applied and compare this information against the information included in the LTP. One statement is prepared for the whole of Council’s activities and individual statements are prepared for each strategic activity. The application of capital funding is summarised in an additional table on page 346." title="Funding impact stat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6810465" cy="7164926"/>
                    </a:xfrm>
                    <a:prstGeom prst="rect">
                      <a:avLst/>
                    </a:prstGeom>
                    <a:noFill/>
                    <a:ln>
                      <a:noFill/>
                    </a:ln>
                  </pic:spPr>
                </pic:pic>
              </a:graphicData>
            </a:graphic>
          </wp:inline>
        </w:drawing>
      </w:r>
      <w:r w:rsidRPr="00D5126A">
        <w:t xml:space="preserve"> </w:t>
      </w:r>
      <w:r w:rsidRPr="00D5126A">
        <w:rPr>
          <w:noProof/>
          <w:lang w:eastAsia="en-NZ"/>
        </w:rPr>
        <w:lastRenderedPageBreak/>
        <w:drawing>
          <wp:inline distT="0" distB="0" distL="0" distR="0" wp14:anchorId="60005872" wp14:editId="084DE8AE">
            <wp:extent cx="6751674" cy="7094632"/>
            <wp:effectExtent l="0" t="0" r="0" b="0"/>
            <wp:docPr id="1341" name="Picture 1341" descr="Annual report disclosure statement for year ending 30 June 2019 What is the purpose of these statements? An annual report must include an audited funding impact statement for the financial year to which the report relates. The purpose of the Funding impact statements is to disclose the amount of funds produced from each source of funding, identify how the funds were applied and compare this information against the information included in the LTP. One statement is prepared for the whole of Council’s activities and individual statements are prepared for each strategic activity. The application of capital funding is summarised in an additional table on page 346." title="Funding impact stat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6754372" cy="7097467"/>
                    </a:xfrm>
                    <a:prstGeom prst="rect">
                      <a:avLst/>
                    </a:prstGeom>
                    <a:noFill/>
                    <a:ln>
                      <a:noFill/>
                    </a:ln>
                  </pic:spPr>
                </pic:pic>
              </a:graphicData>
            </a:graphic>
          </wp:inline>
        </w:drawing>
      </w:r>
      <w:r w:rsidRPr="00D5126A">
        <w:t xml:space="preserve"> </w:t>
      </w:r>
    </w:p>
    <w:p w:rsidR="00FA6A77" w:rsidRPr="00D5126A" w:rsidRDefault="00FA6A77" w:rsidP="00FA6A77"/>
    <w:p w:rsidR="00FA6A77" w:rsidRPr="00D5126A" w:rsidRDefault="00FA6A77" w:rsidP="00FA6A77"/>
    <w:p w:rsidR="00FA6A77" w:rsidRPr="00D5126A" w:rsidRDefault="00FA6A77" w:rsidP="001764C5">
      <w:pPr>
        <w:ind w:left="-567"/>
      </w:pPr>
      <w:r w:rsidRPr="00D5126A">
        <w:rPr>
          <w:noProof/>
          <w:lang w:eastAsia="en-NZ"/>
        </w:rPr>
        <w:lastRenderedPageBreak/>
        <w:drawing>
          <wp:inline distT="0" distB="0" distL="0" distR="0" wp14:anchorId="2FE417D4" wp14:editId="5C72F7D5">
            <wp:extent cx="6751674" cy="7094632"/>
            <wp:effectExtent l="0" t="0" r="0" b="0"/>
            <wp:docPr id="1340" name="Picture 1340" descr="Annual report disclosure statement for year ending 30 June 2019 What is the purpose of these statements? An annual report must include an audited funding impact statement for the financial year to which the report relates. The purpose of the Funding impact statements is to disclose the amount of funds produced from each source of funding, identify how the funds were applied and compare this information against the information included in the LTP. One statement is prepared for the whole of Council’s activities and individual statements are prepared for each strategic activity. The application of capital funding is summarised in an additional table on page 346." title="Funding impact stat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6754372" cy="7097467"/>
                    </a:xfrm>
                    <a:prstGeom prst="rect">
                      <a:avLst/>
                    </a:prstGeom>
                    <a:noFill/>
                    <a:ln>
                      <a:noFill/>
                    </a:ln>
                  </pic:spPr>
                </pic:pic>
              </a:graphicData>
            </a:graphic>
          </wp:inline>
        </w:drawing>
      </w:r>
    </w:p>
    <w:p w:rsidR="00FA6A77" w:rsidRPr="00D5126A" w:rsidRDefault="00FA6A77" w:rsidP="001764C5">
      <w:pPr>
        <w:ind w:left="-567"/>
      </w:pPr>
      <w:r w:rsidRPr="00D5126A">
        <w:rPr>
          <w:noProof/>
          <w:lang w:eastAsia="en-NZ"/>
        </w:rPr>
        <w:lastRenderedPageBreak/>
        <w:drawing>
          <wp:inline distT="0" distB="0" distL="0" distR="0" wp14:anchorId="419A7BB9" wp14:editId="5E893DC6">
            <wp:extent cx="6730409" cy="7072287"/>
            <wp:effectExtent l="0" t="0" r="0" b="0"/>
            <wp:docPr id="1323" name="Picture 1323" descr="Annual report disclosure statement for year ending 30 June 2019 What is the purpose of these statements? An annual report must include an audited funding impact statement for the financial year to which the report relates. The purpose of the Funding impact statements is to disclose the amount of funds produced from each source of funding, identify how the funds were applied and compare this information against the information included in the LTP. One statement is prepared for the whole of Council’s activities and individual statements are prepared for each strategic activity. The application of capital funding is summarised in an additional table on page 346." title="Funding impact stat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6733099" cy="7075113"/>
                    </a:xfrm>
                    <a:prstGeom prst="rect">
                      <a:avLst/>
                    </a:prstGeom>
                    <a:noFill/>
                    <a:ln>
                      <a:noFill/>
                    </a:ln>
                  </pic:spPr>
                </pic:pic>
              </a:graphicData>
            </a:graphic>
          </wp:inline>
        </w:drawing>
      </w:r>
    </w:p>
    <w:p w:rsidR="00FA6A77" w:rsidRPr="00D5126A" w:rsidRDefault="00FA6A77" w:rsidP="00FA6A77"/>
    <w:p w:rsidR="00FA6A77" w:rsidRPr="00D5126A" w:rsidRDefault="00FA6A77" w:rsidP="00FA6A77"/>
    <w:p w:rsidR="00FA6A77" w:rsidRPr="00D5126A" w:rsidRDefault="00FA6A77" w:rsidP="001764C5">
      <w:pPr>
        <w:ind w:left="-567"/>
      </w:pPr>
      <w:r w:rsidRPr="00D5126A">
        <w:rPr>
          <w:noProof/>
          <w:lang w:eastAsia="en-NZ"/>
        </w:rPr>
        <w:lastRenderedPageBreak/>
        <w:drawing>
          <wp:inline distT="0" distB="0" distL="0" distR="0" wp14:anchorId="5213BF67" wp14:editId="5AA2B087">
            <wp:extent cx="6772939" cy="7126586"/>
            <wp:effectExtent l="0" t="0" r="8890" b="0"/>
            <wp:docPr id="1322" name="Picture 1322" descr="Annual report disclosure statement for year ending 30 June 2019 What is the purpose of these statements? An annual report must include an audited funding impact statement for the financial year to which the report relates. The purpose of the Funding impact statements is to disclose the amount of funds produced from each source of funding, identify how the funds were applied and compare this information against the information included in the LTP. One statement is prepared for the whole of Council’s activities and individual statements are prepared for each strategic activity. The application of capital funding is summarised in an additional table on page 346." title="Funding impact stat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6773350" cy="7127019"/>
                    </a:xfrm>
                    <a:prstGeom prst="rect">
                      <a:avLst/>
                    </a:prstGeom>
                    <a:noFill/>
                    <a:ln>
                      <a:noFill/>
                    </a:ln>
                  </pic:spPr>
                </pic:pic>
              </a:graphicData>
            </a:graphic>
          </wp:inline>
        </w:drawing>
      </w:r>
    </w:p>
    <w:p w:rsidR="00FA6A77" w:rsidRPr="00D5126A" w:rsidRDefault="00FA6A77" w:rsidP="00FA6A77"/>
    <w:p w:rsidR="00FA6A77" w:rsidRPr="00D5126A" w:rsidRDefault="00FA6A77" w:rsidP="001764C5">
      <w:pPr>
        <w:ind w:left="-567"/>
      </w:pPr>
      <w:r w:rsidRPr="00D5126A">
        <w:rPr>
          <w:noProof/>
          <w:lang w:eastAsia="en-NZ"/>
        </w:rPr>
        <w:lastRenderedPageBreak/>
        <w:drawing>
          <wp:inline distT="0" distB="0" distL="0" distR="0" wp14:anchorId="2E5B0A47" wp14:editId="75A61A76">
            <wp:extent cx="6783572" cy="7124791"/>
            <wp:effectExtent l="0" t="0" r="0" b="0"/>
            <wp:docPr id="1321" name="Picture 1321" descr="Annual report disclosure statement for year ending 30 June 2019 What is the purpose of these statements? An annual report must include an audited funding impact statement for the financial year to which the report relates. The purpose of the Funding impact statements is to disclose the amount of funds produced from each source of funding, identify how the funds were applied and compare this information against the information included in the LTP. One statement is prepared for the whole of Council’s activities and individual statements are prepared for each strategic activity. The application of capital funding is summarised in an additional table on page 346." title="Funding impact stat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6781708" cy="7122833"/>
                    </a:xfrm>
                    <a:prstGeom prst="rect">
                      <a:avLst/>
                    </a:prstGeom>
                    <a:noFill/>
                    <a:ln>
                      <a:noFill/>
                    </a:ln>
                  </pic:spPr>
                </pic:pic>
              </a:graphicData>
            </a:graphic>
          </wp:inline>
        </w:drawing>
      </w:r>
    </w:p>
    <w:p w:rsidR="00FA6A77" w:rsidRPr="00D5126A" w:rsidRDefault="00FA6A77" w:rsidP="00FA6A77"/>
    <w:p w:rsidR="00FA6A77" w:rsidRPr="00D5126A" w:rsidRDefault="00FA6A77" w:rsidP="00FA6A77"/>
    <w:p w:rsidR="00FA6A77" w:rsidRPr="00D5126A" w:rsidRDefault="00FA6A77" w:rsidP="001764C5">
      <w:pPr>
        <w:ind w:left="-567"/>
      </w:pPr>
      <w:r w:rsidRPr="00D5126A">
        <w:rPr>
          <w:noProof/>
          <w:lang w:eastAsia="en-NZ"/>
        </w:rPr>
        <w:lastRenderedPageBreak/>
        <w:drawing>
          <wp:inline distT="0" distB="0" distL="0" distR="0" wp14:anchorId="00520473" wp14:editId="658172B0">
            <wp:extent cx="6804837" cy="7025029"/>
            <wp:effectExtent l="0" t="0" r="0" b="4445"/>
            <wp:docPr id="1320" name="Picture 1320" descr="Annual report disclosure statement for year ending 30 June 2019 What is the purpose of these statements? An annual report must include an audited funding impact statement for the financial year to which the report relates. The purpose of the Funding impact statements is to disclose the amount of funds produced from each source of funding, identify how the funds were applied and compare this information against the information included in the LTP. One statement is prepared for the whole of Council’s activities and individual statements are prepared for each strategic activity. The application of capital funding is summarised in an additional table on page 346." title="Funding impact stat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6801224" cy="7021299"/>
                    </a:xfrm>
                    <a:prstGeom prst="rect">
                      <a:avLst/>
                    </a:prstGeom>
                    <a:noFill/>
                    <a:ln>
                      <a:noFill/>
                    </a:ln>
                  </pic:spPr>
                </pic:pic>
              </a:graphicData>
            </a:graphic>
          </wp:inline>
        </w:drawing>
      </w:r>
    </w:p>
    <w:bookmarkEnd w:id="387"/>
    <w:p w:rsidR="00FA6A77" w:rsidRPr="00D5126A" w:rsidRDefault="009609AB" w:rsidP="00C542CB">
      <w:pPr>
        <w:ind w:left="-284"/>
      </w:pPr>
      <w:r w:rsidRPr="008F6F28">
        <w:rPr>
          <w:noProof/>
          <w:lang w:eastAsia="en-NZ"/>
        </w:rPr>
        <w:lastRenderedPageBreak/>
        <w:drawing>
          <wp:inline distT="0" distB="0" distL="0" distR="0" wp14:anchorId="3219ABA6" wp14:editId="1DDABBC6">
            <wp:extent cx="6188149" cy="8926705"/>
            <wp:effectExtent l="0" t="0" r="3175" b="8255"/>
            <wp:docPr id="53" name="Picture 53" descr="Annual report disclosure statement for year ending 30 June 2019 What is the purpose of these statements? An annual report must include an audited funding impact statement for the financial year to which the report relates. The purpose of the Funding impact statements is to disclose the amount of funds produced from each source of funding, identify how the funds were applied and compare this information against the information included in the LTP. One statement is prepared for the whole of Council’s activities and individual statements are prepared for each strategic activity. The application of capital funding is summarised in an additional table on page 346." title="Funding impact stat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6188069" cy="8926590"/>
                    </a:xfrm>
                    <a:prstGeom prst="rect">
                      <a:avLst/>
                    </a:prstGeom>
                    <a:noFill/>
                    <a:ln>
                      <a:noFill/>
                    </a:ln>
                  </pic:spPr>
                </pic:pic>
              </a:graphicData>
            </a:graphic>
          </wp:inline>
        </w:drawing>
      </w:r>
    </w:p>
    <w:p w:rsidR="00B27C37" w:rsidRPr="00D5126A" w:rsidRDefault="00A3111E" w:rsidP="00331065">
      <w:pPr>
        <w:pStyle w:val="Heading1"/>
      </w:pPr>
      <w:bookmarkStart w:id="499" w:name="PPSid1731"/>
      <w:bookmarkStart w:id="500" w:name="Appendices"/>
      <w:bookmarkStart w:id="501" w:name="_Toc528234321"/>
      <w:bookmarkStart w:id="502" w:name="_Toc14178571"/>
      <w:bookmarkStart w:id="503" w:name="_Toc23758630"/>
      <w:bookmarkEnd w:id="469"/>
      <w:r w:rsidRPr="00D5126A">
        <w:lastRenderedPageBreak/>
        <w:t>Appendices</w:t>
      </w:r>
      <w:bookmarkEnd w:id="499"/>
      <w:bookmarkEnd w:id="500"/>
      <w:bookmarkEnd w:id="501"/>
      <w:bookmarkEnd w:id="502"/>
      <w:bookmarkEnd w:id="503"/>
    </w:p>
    <w:p w:rsidR="009609AB" w:rsidRPr="009609AB" w:rsidRDefault="009609AB" w:rsidP="009609AB">
      <w:pPr>
        <w:widowControl w:val="0"/>
        <w:spacing w:after="0" w:line="240" w:lineRule="auto"/>
        <w:ind w:right="10587"/>
        <w:rPr>
          <w:rFonts w:eastAsia="Times New Roman" w:cstheme="minorHAnsi"/>
          <w:sz w:val="20"/>
          <w:szCs w:val="20"/>
          <w:lang w:val="en-US"/>
        </w:rPr>
      </w:pPr>
      <w:bookmarkStart w:id="504" w:name="GlossaryAnnual_Plan__Our_Annual_Plan_is_"/>
      <w:bookmarkStart w:id="505" w:name="Glossary"/>
      <w:bookmarkStart w:id="506" w:name="_Toc528234322"/>
      <w:bookmarkStart w:id="507" w:name="_Toc14178572"/>
      <w:r w:rsidRPr="009609AB">
        <w:rPr>
          <w:rFonts w:eastAsia="Calibri" w:cstheme="minorHAnsi"/>
          <w:noProof/>
          <w:lang w:eastAsia="en-NZ"/>
        </w:rPr>
        <w:drawing>
          <wp:inline distT="0" distB="0" distL="0" distR="0" wp14:anchorId="2504EBF2" wp14:editId="48DC60BB">
            <wp:extent cx="1956435" cy="403860"/>
            <wp:effectExtent l="0" t="0" r="5715"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1956435" cy="403860"/>
                    </a:xfrm>
                    <a:prstGeom prst="rect">
                      <a:avLst/>
                    </a:prstGeom>
                    <a:noFill/>
                    <a:ln>
                      <a:noFill/>
                    </a:ln>
                  </pic:spPr>
                </pic:pic>
              </a:graphicData>
            </a:graphic>
          </wp:inline>
        </w:drawing>
      </w:r>
    </w:p>
    <w:p w:rsidR="009609AB" w:rsidRPr="009609AB" w:rsidRDefault="009609AB" w:rsidP="009609AB">
      <w:pPr>
        <w:widowControl w:val="0"/>
        <w:spacing w:after="0" w:line="200" w:lineRule="exact"/>
        <w:rPr>
          <w:rFonts w:eastAsia="Calibri" w:cstheme="minorHAnsi"/>
          <w:sz w:val="20"/>
          <w:szCs w:val="20"/>
          <w:lang w:val="en-US"/>
        </w:rPr>
      </w:pPr>
    </w:p>
    <w:p w:rsidR="009609AB" w:rsidRPr="002C7BF8" w:rsidRDefault="009609AB" w:rsidP="002C7BF8">
      <w:pPr>
        <w:pStyle w:val="Heading2"/>
        <w:jc w:val="center"/>
        <w:rPr>
          <w:rFonts w:ascii="Arial" w:hAnsi="Arial" w:cs="Arial"/>
          <w:color w:val="auto"/>
          <w:sz w:val="24"/>
          <w:szCs w:val="24"/>
        </w:rPr>
      </w:pPr>
      <w:bookmarkStart w:id="508" w:name="_Toc23758631"/>
      <w:r w:rsidRPr="002C7BF8">
        <w:rPr>
          <w:rFonts w:ascii="Arial" w:hAnsi="Arial" w:cs="Arial"/>
          <w:color w:val="auto"/>
          <w:sz w:val="24"/>
          <w:szCs w:val="24"/>
        </w:rPr>
        <w:t>Independent Auditor’s Report</w:t>
      </w:r>
      <w:bookmarkEnd w:id="508"/>
    </w:p>
    <w:p w:rsidR="009609AB" w:rsidRPr="00D07C51" w:rsidRDefault="009609AB" w:rsidP="00D07C51">
      <w:pPr>
        <w:jc w:val="center"/>
        <w:rPr>
          <w:rFonts w:cstheme="minorHAnsi"/>
          <w:b/>
          <w:sz w:val="24"/>
        </w:rPr>
      </w:pPr>
      <w:r w:rsidRPr="00D07C51">
        <w:rPr>
          <w:rFonts w:cstheme="minorHAnsi"/>
          <w:b/>
          <w:sz w:val="24"/>
        </w:rPr>
        <w:t xml:space="preserve">To the readers of Wellington City Council’s annual report </w:t>
      </w:r>
      <w:r w:rsidR="00D07C51" w:rsidRPr="00D07C51">
        <w:rPr>
          <w:rFonts w:cstheme="minorHAnsi"/>
          <w:b/>
          <w:sz w:val="24"/>
        </w:rPr>
        <w:br/>
      </w:r>
      <w:r w:rsidRPr="00D07C51">
        <w:rPr>
          <w:rFonts w:cstheme="minorHAnsi"/>
          <w:b/>
          <w:sz w:val="24"/>
        </w:rPr>
        <w:t>for the year ended 30 June 2019</w:t>
      </w:r>
    </w:p>
    <w:p w:rsidR="009609AB" w:rsidRPr="00D07C51" w:rsidRDefault="009609AB" w:rsidP="00D07C51">
      <w:pPr>
        <w:rPr>
          <w:rFonts w:cstheme="minorHAnsi"/>
        </w:rPr>
      </w:pPr>
      <w:r w:rsidRPr="00D07C51">
        <w:rPr>
          <w:rFonts w:cstheme="minorHAnsi"/>
        </w:rPr>
        <w:t>The Auditor-General is the auditor of Wellington City Council (the City Council) and its subsidiaries and controlled entities (the Group). The Auditor-General has appointed me, Karen Young, using the staff and resources of Audit New Zealand, to report on the information in the City Council’s annual report that we are required to audit under the Local Government Act 2002 (the Act). We refer to this information as “the audited information” in our report.</w:t>
      </w:r>
    </w:p>
    <w:p w:rsidR="009609AB" w:rsidRPr="00D07C51" w:rsidRDefault="009609AB" w:rsidP="00D07C51">
      <w:pPr>
        <w:rPr>
          <w:rFonts w:cstheme="minorHAnsi"/>
        </w:rPr>
      </w:pPr>
      <w:r w:rsidRPr="00D07C51">
        <w:rPr>
          <w:rFonts w:cstheme="minorHAnsi"/>
        </w:rPr>
        <w:t>We are also required to report on:</w:t>
      </w:r>
    </w:p>
    <w:p w:rsidR="009609AB" w:rsidRPr="00D07C51" w:rsidRDefault="009609AB" w:rsidP="000D19C6">
      <w:pPr>
        <w:pStyle w:val="ListParagraph"/>
        <w:numPr>
          <w:ilvl w:val="0"/>
          <w:numId w:val="86"/>
        </w:numPr>
        <w:ind w:left="426"/>
        <w:rPr>
          <w:rFonts w:cstheme="minorHAnsi"/>
        </w:rPr>
      </w:pPr>
      <w:r w:rsidRPr="00D07C51">
        <w:rPr>
          <w:rFonts w:cstheme="minorHAnsi"/>
        </w:rPr>
        <w:t>whether the City Council has complied with the requirements of Schedule 10 of the Act that apply to the annual report; and</w:t>
      </w:r>
    </w:p>
    <w:p w:rsidR="009609AB" w:rsidRPr="00D07C51" w:rsidRDefault="009609AB" w:rsidP="000D19C6">
      <w:pPr>
        <w:pStyle w:val="ListParagraph"/>
        <w:numPr>
          <w:ilvl w:val="0"/>
          <w:numId w:val="86"/>
        </w:numPr>
        <w:ind w:left="426"/>
        <w:rPr>
          <w:rFonts w:cstheme="minorHAnsi"/>
        </w:rPr>
      </w:pPr>
      <w:proofErr w:type="gramStart"/>
      <w:r w:rsidRPr="00D07C51">
        <w:rPr>
          <w:rFonts w:cstheme="minorHAnsi"/>
        </w:rPr>
        <w:t>the</w:t>
      </w:r>
      <w:proofErr w:type="gramEnd"/>
      <w:r w:rsidRPr="00D07C51">
        <w:rPr>
          <w:rFonts w:cstheme="minorHAnsi"/>
        </w:rPr>
        <w:t xml:space="preserve"> completeness and accuracy of the City Council’s disclosures about its performance against benchmarks that are required by the Local Government (Financial Reporting and Prudence)  Regulations  2014.</w:t>
      </w:r>
    </w:p>
    <w:p w:rsidR="009609AB" w:rsidRPr="00D07C51" w:rsidRDefault="009609AB" w:rsidP="00D07C51">
      <w:pPr>
        <w:rPr>
          <w:rFonts w:cstheme="minorHAnsi"/>
        </w:rPr>
      </w:pPr>
      <w:r w:rsidRPr="00D07C51">
        <w:rPr>
          <w:rFonts w:cstheme="minorHAnsi"/>
        </w:rPr>
        <w:t>We refer to this information as “the disclosure requirements” in our report.</w:t>
      </w:r>
    </w:p>
    <w:p w:rsidR="009609AB" w:rsidRPr="00D07C51" w:rsidRDefault="009609AB" w:rsidP="00D07C51">
      <w:pPr>
        <w:rPr>
          <w:rFonts w:cstheme="minorHAnsi"/>
        </w:rPr>
      </w:pPr>
      <w:r w:rsidRPr="00D07C51">
        <w:rPr>
          <w:rFonts w:cstheme="minorHAnsi"/>
        </w:rPr>
        <w:t>We completed our work on 25 September 2019. This is the date on which we give our report.</w:t>
      </w:r>
    </w:p>
    <w:p w:rsidR="009609AB" w:rsidRPr="00D07C51" w:rsidRDefault="009609AB" w:rsidP="00D07C51">
      <w:pPr>
        <w:rPr>
          <w:rFonts w:cstheme="minorHAnsi"/>
          <w:b/>
        </w:rPr>
      </w:pPr>
      <w:r w:rsidRPr="00D07C51">
        <w:rPr>
          <w:rFonts w:cstheme="minorHAnsi"/>
          <w:b/>
        </w:rPr>
        <w:t>Opinion on the audited information</w:t>
      </w:r>
    </w:p>
    <w:p w:rsidR="009609AB" w:rsidRPr="00D07C51" w:rsidRDefault="009609AB" w:rsidP="00D07C51">
      <w:pPr>
        <w:rPr>
          <w:rFonts w:cstheme="minorHAnsi"/>
        </w:rPr>
      </w:pPr>
      <w:r w:rsidRPr="00D07C51">
        <w:rPr>
          <w:rFonts w:cstheme="minorHAnsi"/>
        </w:rPr>
        <w:t>In our opinion:</w:t>
      </w:r>
    </w:p>
    <w:p w:rsidR="00D07C51" w:rsidRDefault="009609AB" w:rsidP="000D19C6">
      <w:pPr>
        <w:pStyle w:val="ListParagraph"/>
        <w:numPr>
          <w:ilvl w:val="0"/>
          <w:numId w:val="87"/>
        </w:numPr>
        <w:ind w:left="426"/>
        <w:rPr>
          <w:rFonts w:cstheme="minorHAnsi"/>
        </w:rPr>
      </w:pPr>
      <w:r w:rsidRPr="00D07C51">
        <w:rPr>
          <w:rFonts w:cstheme="minorHAnsi"/>
        </w:rPr>
        <w:t xml:space="preserve">the financial statements on pages </w:t>
      </w:r>
      <w:r w:rsidR="00D07C51" w:rsidRPr="00D07C51">
        <w:rPr>
          <w:rFonts w:cstheme="minorHAnsi"/>
        </w:rPr>
        <w:t>2</w:t>
      </w:r>
      <w:r w:rsidR="00502CE9">
        <w:rPr>
          <w:rFonts w:cstheme="minorHAnsi"/>
        </w:rPr>
        <w:t xml:space="preserve">22 </w:t>
      </w:r>
      <w:r w:rsidRPr="00D07C51">
        <w:rPr>
          <w:rFonts w:cstheme="minorHAnsi"/>
        </w:rPr>
        <w:t>to 3</w:t>
      </w:r>
      <w:r w:rsidR="000D19C6">
        <w:rPr>
          <w:rFonts w:cstheme="minorHAnsi"/>
        </w:rPr>
        <w:t>25</w:t>
      </w:r>
      <w:r w:rsidRPr="00D07C51">
        <w:rPr>
          <w:rFonts w:cstheme="minorHAnsi"/>
        </w:rPr>
        <w:t>:</w:t>
      </w:r>
    </w:p>
    <w:p w:rsidR="00D07C51" w:rsidRDefault="00D07C51" w:rsidP="00D07C51">
      <w:pPr>
        <w:pStyle w:val="ListParagraph"/>
        <w:rPr>
          <w:rFonts w:cstheme="minorHAnsi"/>
        </w:rPr>
      </w:pPr>
    </w:p>
    <w:p w:rsidR="00D07C51" w:rsidRDefault="009609AB" w:rsidP="000D19C6">
      <w:pPr>
        <w:pStyle w:val="ListParagraph"/>
        <w:numPr>
          <w:ilvl w:val="1"/>
          <w:numId w:val="87"/>
        </w:numPr>
        <w:ind w:left="993"/>
        <w:rPr>
          <w:rFonts w:cstheme="minorHAnsi"/>
        </w:rPr>
      </w:pPr>
      <w:r w:rsidRPr="00D07C51">
        <w:rPr>
          <w:rFonts w:cstheme="minorHAnsi"/>
        </w:rPr>
        <w:t>present fairly, in all material respects:</w:t>
      </w:r>
    </w:p>
    <w:p w:rsidR="00D07C51" w:rsidRDefault="00D07C51" w:rsidP="00D07C51">
      <w:pPr>
        <w:pStyle w:val="ListParagraph"/>
        <w:ind w:left="1440"/>
        <w:rPr>
          <w:rFonts w:cstheme="minorHAnsi"/>
        </w:rPr>
      </w:pPr>
    </w:p>
    <w:p w:rsidR="00D07C51" w:rsidRDefault="009609AB" w:rsidP="000D19C6">
      <w:pPr>
        <w:pStyle w:val="ListParagraph"/>
        <w:numPr>
          <w:ilvl w:val="2"/>
          <w:numId w:val="87"/>
        </w:numPr>
        <w:ind w:left="1560"/>
        <w:rPr>
          <w:rFonts w:cstheme="minorHAnsi"/>
        </w:rPr>
      </w:pPr>
      <w:r w:rsidRPr="00D07C51">
        <w:rPr>
          <w:rFonts w:cstheme="minorHAnsi"/>
        </w:rPr>
        <w:t>the City Council and Group’s financial position as at 30 June 2019</w:t>
      </w:r>
    </w:p>
    <w:p w:rsidR="00D07C51" w:rsidRDefault="00D07C51" w:rsidP="000D19C6">
      <w:pPr>
        <w:pStyle w:val="ListParagraph"/>
        <w:ind w:left="1560"/>
        <w:rPr>
          <w:rFonts w:cstheme="minorHAnsi"/>
        </w:rPr>
      </w:pPr>
    </w:p>
    <w:p w:rsidR="009609AB" w:rsidRDefault="009609AB" w:rsidP="000D19C6">
      <w:pPr>
        <w:pStyle w:val="ListParagraph"/>
        <w:numPr>
          <w:ilvl w:val="2"/>
          <w:numId w:val="87"/>
        </w:numPr>
        <w:ind w:left="1560"/>
        <w:rPr>
          <w:rFonts w:cstheme="minorHAnsi"/>
        </w:rPr>
      </w:pPr>
      <w:r w:rsidRPr="00D07C51">
        <w:rPr>
          <w:rFonts w:cstheme="minorHAnsi"/>
        </w:rPr>
        <w:t>the results of the operations and cash flows for the year ended on that date; and</w:t>
      </w:r>
    </w:p>
    <w:p w:rsidR="00D07C51" w:rsidRDefault="00D07C51" w:rsidP="00D07C51">
      <w:pPr>
        <w:pStyle w:val="ListParagraph"/>
        <w:ind w:left="2160"/>
        <w:rPr>
          <w:rFonts w:cstheme="minorHAnsi"/>
        </w:rPr>
      </w:pPr>
    </w:p>
    <w:p w:rsidR="00D07C51" w:rsidRDefault="009609AB" w:rsidP="000D19C6">
      <w:pPr>
        <w:pStyle w:val="ListParagraph"/>
        <w:numPr>
          <w:ilvl w:val="1"/>
          <w:numId w:val="87"/>
        </w:numPr>
        <w:ind w:left="993"/>
        <w:rPr>
          <w:rFonts w:cstheme="minorHAnsi"/>
        </w:rPr>
      </w:pPr>
      <w:r w:rsidRPr="00D07C51">
        <w:rPr>
          <w:rFonts w:cstheme="minorHAnsi"/>
        </w:rPr>
        <w:t>comply with generally accepted accounting practice in New Zealand in accordance with Public Benefit Entity Reporting Standards;</w:t>
      </w:r>
    </w:p>
    <w:p w:rsidR="00D07C51" w:rsidRDefault="00D07C51" w:rsidP="00D07C51">
      <w:pPr>
        <w:pStyle w:val="ListParagraph"/>
        <w:ind w:left="1440"/>
        <w:rPr>
          <w:rFonts w:cstheme="minorHAnsi"/>
        </w:rPr>
      </w:pPr>
    </w:p>
    <w:p w:rsidR="002C7BF8" w:rsidRDefault="009609AB" w:rsidP="000D19C6">
      <w:pPr>
        <w:pStyle w:val="ListParagraph"/>
        <w:numPr>
          <w:ilvl w:val="0"/>
          <w:numId w:val="87"/>
        </w:numPr>
        <w:ind w:left="426"/>
        <w:rPr>
          <w:rFonts w:cstheme="minorHAnsi"/>
        </w:rPr>
      </w:pPr>
      <w:r w:rsidRPr="00D07C51">
        <w:rPr>
          <w:rFonts w:cstheme="minorHAnsi"/>
        </w:rPr>
        <w:t>the funding impact statement on page 346, presents fairly, in all material respects, the amount of funds produced from each source of funding and how the funds were applied as compared to the information included in the City Council’s Long-term plan;</w:t>
      </w:r>
    </w:p>
    <w:p w:rsidR="002C7BF8" w:rsidRDefault="002C7BF8" w:rsidP="002C7BF8">
      <w:pPr>
        <w:pStyle w:val="ListParagraph"/>
        <w:rPr>
          <w:rFonts w:cstheme="minorHAnsi"/>
        </w:rPr>
      </w:pPr>
    </w:p>
    <w:p w:rsidR="002C7BF8" w:rsidRDefault="009609AB" w:rsidP="000D19C6">
      <w:pPr>
        <w:pStyle w:val="ListParagraph"/>
        <w:numPr>
          <w:ilvl w:val="0"/>
          <w:numId w:val="87"/>
        </w:numPr>
        <w:ind w:left="426"/>
        <w:rPr>
          <w:rFonts w:cstheme="minorHAnsi"/>
        </w:rPr>
      </w:pPr>
      <w:r w:rsidRPr="002C7BF8">
        <w:rPr>
          <w:rFonts w:cstheme="minorHAnsi"/>
        </w:rPr>
        <w:t xml:space="preserve">the statement of service provision on pages </w:t>
      </w:r>
      <w:r w:rsidR="007406D4">
        <w:rPr>
          <w:rFonts w:cstheme="minorHAnsi"/>
        </w:rPr>
        <w:t>37 to 174</w:t>
      </w:r>
      <w:r w:rsidRPr="002C7BF8">
        <w:rPr>
          <w:rFonts w:cstheme="minorHAnsi"/>
        </w:rPr>
        <w:t>:</w:t>
      </w:r>
    </w:p>
    <w:p w:rsidR="002C7BF8" w:rsidRPr="002C7BF8" w:rsidRDefault="002C7BF8" w:rsidP="002C7BF8">
      <w:pPr>
        <w:pStyle w:val="ListParagraph"/>
        <w:rPr>
          <w:rFonts w:cstheme="minorHAnsi"/>
        </w:rPr>
      </w:pPr>
    </w:p>
    <w:p w:rsidR="002C7BF8" w:rsidRDefault="009609AB" w:rsidP="002C7BF8">
      <w:pPr>
        <w:pStyle w:val="ListParagraph"/>
        <w:numPr>
          <w:ilvl w:val="1"/>
          <w:numId w:val="87"/>
        </w:numPr>
        <w:rPr>
          <w:rFonts w:cstheme="minorHAnsi"/>
        </w:rPr>
      </w:pPr>
      <w:r w:rsidRPr="002C7BF8">
        <w:rPr>
          <w:rFonts w:cstheme="minorHAnsi"/>
        </w:rPr>
        <w:lastRenderedPageBreak/>
        <w:t>presents fairly, in all material respects, the levels of service for each group of activities for the year ended 30 June 2019, including:</w:t>
      </w:r>
    </w:p>
    <w:p w:rsidR="002C7BF8" w:rsidRDefault="002C7BF8" w:rsidP="002C7BF8">
      <w:pPr>
        <w:pStyle w:val="ListParagraph"/>
        <w:ind w:left="1440"/>
        <w:rPr>
          <w:rFonts w:cstheme="minorHAnsi"/>
        </w:rPr>
      </w:pPr>
    </w:p>
    <w:p w:rsidR="002C7BF8" w:rsidRDefault="009609AB" w:rsidP="002C7BF8">
      <w:pPr>
        <w:pStyle w:val="ListParagraph"/>
        <w:numPr>
          <w:ilvl w:val="2"/>
          <w:numId w:val="87"/>
        </w:numPr>
        <w:rPr>
          <w:rFonts w:cstheme="minorHAnsi"/>
        </w:rPr>
      </w:pPr>
      <w:r w:rsidRPr="002C7BF8">
        <w:rPr>
          <w:rFonts w:cstheme="minorHAnsi"/>
        </w:rPr>
        <w:t>the levels of service achieved compared with the intended levels of service and whether any intended changes to levels of service were achieved;</w:t>
      </w:r>
    </w:p>
    <w:p w:rsidR="002C7BF8" w:rsidRDefault="002C7BF8" w:rsidP="002C7BF8">
      <w:pPr>
        <w:pStyle w:val="ListParagraph"/>
        <w:ind w:left="2160"/>
        <w:rPr>
          <w:rFonts w:cstheme="minorHAnsi"/>
        </w:rPr>
      </w:pPr>
    </w:p>
    <w:p w:rsidR="002C7BF8" w:rsidRDefault="009609AB" w:rsidP="002C7BF8">
      <w:pPr>
        <w:pStyle w:val="ListParagraph"/>
        <w:numPr>
          <w:ilvl w:val="2"/>
          <w:numId w:val="87"/>
        </w:numPr>
        <w:rPr>
          <w:rFonts w:cstheme="minorHAnsi"/>
        </w:rPr>
      </w:pPr>
      <w:r w:rsidRPr="002C7BF8">
        <w:rPr>
          <w:rFonts w:cstheme="minorHAnsi"/>
        </w:rPr>
        <w:t>the reasons for any significant variation between the levels of service achieved and the intended levels of service; and</w:t>
      </w:r>
    </w:p>
    <w:p w:rsidR="002C7BF8" w:rsidRPr="002C7BF8" w:rsidRDefault="002C7BF8" w:rsidP="002C7BF8">
      <w:pPr>
        <w:pStyle w:val="ListParagraph"/>
        <w:rPr>
          <w:rFonts w:cstheme="minorHAnsi"/>
        </w:rPr>
      </w:pPr>
    </w:p>
    <w:p w:rsidR="009609AB" w:rsidRDefault="009609AB" w:rsidP="002C7BF8">
      <w:pPr>
        <w:pStyle w:val="ListParagraph"/>
        <w:numPr>
          <w:ilvl w:val="1"/>
          <w:numId w:val="87"/>
        </w:numPr>
        <w:rPr>
          <w:rFonts w:cstheme="minorHAnsi"/>
        </w:rPr>
      </w:pPr>
      <w:r w:rsidRPr="002C7BF8">
        <w:rPr>
          <w:rFonts w:cstheme="minorHAnsi"/>
        </w:rPr>
        <w:t>complies with generally accepted accounting practice in New Zealand; and</w:t>
      </w:r>
    </w:p>
    <w:p w:rsidR="002C7BF8" w:rsidRPr="002C7BF8" w:rsidRDefault="002C7BF8" w:rsidP="002C7BF8">
      <w:pPr>
        <w:pStyle w:val="ListParagraph"/>
        <w:ind w:left="1440"/>
        <w:rPr>
          <w:rFonts w:cstheme="minorHAnsi"/>
        </w:rPr>
      </w:pPr>
    </w:p>
    <w:p w:rsidR="009609AB" w:rsidRDefault="009609AB" w:rsidP="002C7BF8">
      <w:pPr>
        <w:pStyle w:val="ListParagraph"/>
        <w:numPr>
          <w:ilvl w:val="0"/>
          <w:numId w:val="87"/>
        </w:numPr>
        <w:rPr>
          <w:rFonts w:cstheme="minorHAnsi"/>
        </w:rPr>
      </w:pPr>
      <w:r w:rsidRPr="002C7BF8">
        <w:rPr>
          <w:rFonts w:cstheme="minorHAnsi"/>
        </w:rPr>
        <w:t>the statement about capital expenditure for each group of activities on pages 34</w:t>
      </w:r>
      <w:r w:rsidR="007406D4">
        <w:rPr>
          <w:rFonts w:cstheme="minorHAnsi"/>
        </w:rPr>
        <w:t>2</w:t>
      </w:r>
      <w:r w:rsidRPr="002C7BF8">
        <w:rPr>
          <w:rFonts w:cstheme="minorHAnsi"/>
        </w:rPr>
        <w:t xml:space="preserve"> to 36</w:t>
      </w:r>
      <w:r w:rsidR="007406D4">
        <w:rPr>
          <w:rFonts w:cstheme="minorHAnsi"/>
        </w:rPr>
        <w:t>0</w:t>
      </w:r>
      <w:r w:rsidRPr="002C7BF8">
        <w:rPr>
          <w:rFonts w:cstheme="minorHAnsi"/>
        </w:rPr>
        <w:t>, presents fairly, in all material respects, actual capital expenditure as compared to the budgeted capital expenditure included in the City Council’s Long-term plan; and</w:t>
      </w:r>
    </w:p>
    <w:p w:rsidR="002C7BF8" w:rsidRPr="002C7BF8" w:rsidRDefault="002C7BF8" w:rsidP="002C7BF8">
      <w:pPr>
        <w:pStyle w:val="ListParagraph"/>
        <w:rPr>
          <w:rFonts w:cstheme="minorHAnsi"/>
        </w:rPr>
      </w:pPr>
    </w:p>
    <w:p w:rsidR="009609AB" w:rsidRPr="002C7BF8" w:rsidRDefault="009609AB" w:rsidP="002C7BF8">
      <w:pPr>
        <w:pStyle w:val="ListParagraph"/>
        <w:numPr>
          <w:ilvl w:val="0"/>
          <w:numId w:val="87"/>
        </w:numPr>
        <w:rPr>
          <w:rFonts w:cstheme="minorHAnsi"/>
        </w:rPr>
      </w:pPr>
      <w:proofErr w:type="gramStart"/>
      <w:r w:rsidRPr="002C7BF8">
        <w:rPr>
          <w:rFonts w:cstheme="minorHAnsi"/>
        </w:rPr>
        <w:t>the</w:t>
      </w:r>
      <w:proofErr w:type="gramEnd"/>
      <w:r w:rsidRPr="002C7BF8">
        <w:rPr>
          <w:rFonts w:cstheme="minorHAnsi"/>
        </w:rPr>
        <w:t xml:space="preserve"> funding impact statement for each group of activities on pages 34</w:t>
      </w:r>
      <w:r w:rsidR="007406D4">
        <w:rPr>
          <w:rFonts w:cstheme="minorHAnsi"/>
        </w:rPr>
        <w:t>3</w:t>
      </w:r>
      <w:r w:rsidRPr="002C7BF8">
        <w:rPr>
          <w:rFonts w:cstheme="minorHAnsi"/>
        </w:rPr>
        <w:t xml:space="preserve"> to 3</w:t>
      </w:r>
      <w:r w:rsidR="007406D4">
        <w:rPr>
          <w:rFonts w:cstheme="minorHAnsi"/>
        </w:rPr>
        <w:t>59</w:t>
      </w:r>
      <w:r w:rsidRPr="002C7BF8">
        <w:rPr>
          <w:rFonts w:cstheme="minorHAnsi"/>
        </w:rPr>
        <w:t>, presents fairly, in all material respects, the amount of funds produced from each source of funding and how the funds were applied as compared to the information included in the City Council’s Long-term plan.</w:t>
      </w:r>
    </w:p>
    <w:p w:rsidR="009609AB" w:rsidRPr="002C7BF8" w:rsidRDefault="009609AB" w:rsidP="00D07C51">
      <w:pPr>
        <w:rPr>
          <w:rFonts w:cstheme="minorHAnsi"/>
          <w:b/>
        </w:rPr>
      </w:pPr>
      <w:r w:rsidRPr="002C7BF8">
        <w:rPr>
          <w:rFonts w:cstheme="minorHAnsi"/>
          <w:b/>
        </w:rPr>
        <w:t>Report on the disclosure requirements</w:t>
      </w:r>
    </w:p>
    <w:p w:rsidR="009609AB" w:rsidRPr="00D07C51" w:rsidRDefault="009609AB" w:rsidP="00D07C51">
      <w:pPr>
        <w:rPr>
          <w:rFonts w:cstheme="minorHAnsi"/>
        </w:rPr>
      </w:pPr>
      <w:r w:rsidRPr="00D07C51">
        <w:rPr>
          <w:rFonts w:cstheme="minorHAnsi"/>
        </w:rPr>
        <w:t>We report that the City Council has:</w:t>
      </w:r>
    </w:p>
    <w:p w:rsidR="002C7BF8" w:rsidRDefault="009609AB" w:rsidP="002C7BF8">
      <w:pPr>
        <w:pStyle w:val="ListParagraph"/>
        <w:numPr>
          <w:ilvl w:val="0"/>
          <w:numId w:val="88"/>
        </w:numPr>
        <w:ind w:left="709"/>
        <w:rPr>
          <w:rFonts w:cstheme="minorHAnsi"/>
        </w:rPr>
      </w:pPr>
      <w:r w:rsidRPr="002C7BF8">
        <w:rPr>
          <w:rFonts w:cstheme="minorHAnsi"/>
        </w:rPr>
        <w:t>complied with the requirements of Schedule 10 of the Act that apply to the annual report; and</w:t>
      </w:r>
    </w:p>
    <w:p w:rsidR="002C7BF8" w:rsidRDefault="002C7BF8" w:rsidP="002C7BF8">
      <w:pPr>
        <w:pStyle w:val="ListParagraph"/>
        <w:ind w:left="709"/>
        <w:rPr>
          <w:rFonts w:cstheme="minorHAnsi"/>
        </w:rPr>
      </w:pPr>
    </w:p>
    <w:p w:rsidR="009609AB" w:rsidRPr="002C7BF8" w:rsidRDefault="009609AB" w:rsidP="002C7BF8">
      <w:pPr>
        <w:pStyle w:val="ListParagraph"/>
        <w:numPr>
          <w:ilvl w:val="0"/>
          <w:numId w:val="88"/>
        </w:numPr>
        <w:ind w:left="709"/>
        <w:rPr>
          <w:rFonts w:cstheme="minorHAnsi"/>
        </w:rPr>
      </w:pPr>
      <w:proofErr w:type="gramStart"/>
      <w:r w:rsidRPr="002C7BF8">
        <w:rPr>
          <w:rFonts w:cstheme="minorHAnsi"/>
        </w:rPr>
        <w:t>made</w:t>
      </w:r>
      <w:proofErr w:type="gramEnd"/>
      <w:r w:rsidRPr="002C7BF8">
        <w:rPr>
          <w:rFonts w:cstheme="minorHAnsi"/>
        </w:rPr>
        <w:t xml:space="preserve"> the disclosures about performance against benchmarks as required by the Local Government (Financial Reporting and Prudence) Regulations 2014 on pages </w:t>
      </w:r>
      <w:r w:rsidR="007406D4">
        <w:rPr>
          <w:rFonts w:cstheme="minorHAnsi"/>
        </w:rPr>
        <w:t>329</w:t>
      </w:r>
      <w:r w:rsidRPr="002C7BF8">
        <w:rPr>
          <w:rFonts w:cstheme="minorHAnsi"/>
        </w:rPr>
        <w:t xml:space="preserve"> to 34</w:t>
      </w:r>
      <w:r w:rsidR="007406D4">
        <w:rPr>
          <w:rFonts w:cstheme="minorHAnsi"/>
        </w:rPr>
        <w:t>0</w:t>
      </w:r>
      <w:r w:rsidRPr="002C7BF8">
        <w:rPr>
          <w:rFonts w:cstheme="minorHAnsi"/>
        </w:rPr>
        <w:t>, which represent a complete list of required disclosures and accurately reflects the information drawn from the City Council and Group’s audited information and, where applicable, the City Council’s long-term plan and annual plans.</w:t>
      </w:r>
    </w:p>
    <w:p w:rsidR="009609AB" w:rsidRPr="002C7BF8" w:rsidRDefault="009609AB" w:rsidP="00D07C51">
      <w:pPr>
        <w:rPr>
          <w:rFonts w:cstheme="minorHAnsi"/>
          <w:b/>
        </w:rPr>
      </w:pPr>
      <w:r w:rsidRPr="002C7BF8">
        <w:rPr>
          <w:rFonts w:cstheme="minorHAnsi"/>
          <w:b/>
        </w:rPr>
        <w:t>Basis for our opinion on the audited information</w:t>
      </w:r>
    </w:p>
    <w:p w:rsidR="009609AB" w:rsidRPr="00D07C51" w:rsidRDefault="009609AB" w:rsidP="00D07C51">
      <w:pPr>
        <w:rPr>
          <w:rFonts w:cstheme="minorHAnsi"/>
        </w:rPr>
      </w:pPr>
      <w:r w:rsidRPr="00D07C51">
        <w:rPr>
          <w:rFonts w:cstheme="minorHAnsi"/>
        </w:rPr>
        <w:t>We carried out our audit in accordance with the Auditor-General’s Auditing Standards, which incorporate the Professional and Ethical Standards and the International Standards on Auditing   (New Zealand) issued by the New Zealand Auditing and Assurance Standards Board. We describe our responsibilities under those standards further in the “Responsibilities of the auditor for the audited information” section of this report.</w:t>
      </w:r>
    </w:p>
    <w:p w:rsidR="009609AB" w:rsidRPr="00D07C51" w:rsidRDefault="009609AB" w:rsidP="00D07C51">
      <w:pPr>
        <w:rPr>
          <w:rFonts w:cstheme="minorHAnsi"/>
        </w:rPr>
      </w:pPr>
      <w:r w:rsidRPr="00D07C51">
        <w:rPr>
          <w:rFonts w:cstheme="minorHAnsi"/>
        </w:rPr>
        <w:t>We have fulfilled our responsibilities in accordance with the Auditor-General’s Auditing Standards. We believe that the audit evidence we have obtained is sufficient and appropriate to provide a basis</w:t>
      </w:r>
      <w:r w:rsidR="002C7BF8">
        <w:rPr>
          <w:rFonts w:cstheme="minorHAnsi"/>
        </w:rPr>
        <w:t xml:space="preserve"> </w:t>
      </w:r>
      <w:r w:rsidRPr="00D07C51">
        <w:rPr>
          <w:rFonts w:cstheme="minorHAnsi"/>
        </w:rPr>
        <w:t>for our opinion on the audited information.</w:t>
      </w:r>
    </w:p>
    <w:p w:rsidR="009609AB" w:rsidRPr="00D07C51" w:rsidRDefault="009609AB" w:rsidP="00D07C51">
      <w:pPr>
        <w:rPr>
          <w:rFonts w:cstheme="minorHAnsi"/>
        </w:rPr>
        <w:sectPr w:rsidR="009609AB" w:rsidRPr="00D07C51" w:rsidSect="0085686E">
          <w:pgSz w:w="11907" w:h="16860"/>
          <w:pgMar w:top="1276" w:right="992" w:bottom="568" w:left="993" w:header="720" w:footer="371" w:gutter="0"/>
          <w:cols w:space="720"/>
        </w:sectPr>
      </w:pPr>
    </w:p>
    <w:p w:rsidR="009609AB" w:rsidRPr="002C7BF8" w:rsidRDefault="009609AB" w:rsidP="00D07C51">
      <w:pPr>
        <w:rPr>
          <w:rFonts w:cstheme="minorHAnsi"/>
          <w:b/>
        </w:rPr>
      </w:pPr>
      <w:r w:rsidRPr="002C7BF8">
        <w:rPr>
          <w:rFonts w:cstheme="minorHAnsi"/>
          <w:b/>
        </w:rPr>
        <w:lastRenderedPageBreak/>
        <w:t>Responsibilities of the Council for the audited information</w:t>
      </w:r>
    </w:p>
    <w:p w:rsidR="009609AB" w:rsidRPr="00D07C51" w:rsidRDefault="009609AB" w:rsidP="00D07C51">
      <w:pPr>
        <w:rPr>
          <w:rFonts w:cstheme="minorHAnsi"/>
        </w:rPr>
      </w:pPr>
      <w:r w:rsidRPr="00D07C51">
        <w:rPr>
          <w:rFonts w:cstheme="minorHAnsi"/>
        </w:rPr>
        <w:t>The Council is responsible for meeting all legal requirements that apply to its annual report.</w:t>
      </w:r>
    </w:p>
    <w:p w:rsidR="009609AB" w:rsidRPr="00D07C51" w:rsidRDefault="009609AB" w:rsidP="00D07C51">
      <w:pPr>
        <w:rPr>
          <w:rFonts w:cstheme="minorHAnsi"/>
        </w:rPr>
      </w:pPr>
      <w:r w:rsidRPr="00D07C51">
        <w:rPr>
          <w:rFonts w:cstheme="minorHAnsi"/>
        </w:rPr>
        <w:t>The Council’s responsibilities arise under the Local Government Act 2002 and the Local Government (Finan</w:t>
      </w:r>
      <w:r w:rsidR="007406D4">
        <w:rPr>
          <w:rFonts w:cstheme="minorHAnsi"/>
        </w:rPr>
        <w:t xml:space="preserve">cial </w:t>
      </w:r>
      <w:r w:rsidRPr="00D07C51">
        <w:rPr>
          <w:rFonts w:cstheme="minorHAnsi"/>
        </w:rPr>
        <w:t>Reportin</w:t>
      </w:r>
      <w:r w:rsidR="007406D4">
        <w:rPr>
          <w:rFonts w:cstheme="minorHAnsi"/>
        </w:rPr>
        <w:t xml:space="preserve">g </w:t>
      </w:r>
      <w:r w:rsidRPr="00D07C51">
        <w:rPr>
          <w:rFonts w:cstheme="minorHAnsi"/>
        </w:rPr>
        <w:t>and Prudence</w:t>
      </w:r>
      <w:proofErr w:type="gramStart"/>
      <w:r w:rsidRPr="00D07C51">
        <w:rPr>
          <w:rFonts w:cstheme="minorHAnsi"/>
        </w:rPr>
        <w:t>)  Regulations</w:t>
      </w:r>
      <w:proofErr w:type="gramEnd"/>
      <w:r w:rsidRPr="00D07C51">
        <w:rPr>
          <w:rFonts w:cstheme="minorHAnsi"/>
        </w:rPr>
        <w:t xml:space="preserve"> 2014.</w:t>
      </w:r>
    </w:p>
    <w:p w:rsidR="009609AB" w:rsidRPr="00D07C51" w:rsidRDefault="009609AB" w:rsidP="00D07C51">
      <w:pPr>
        <w:rPr>
          <w:rFonts w:cstheme="minorHAnsi"/>
        </w:rPr>
      </w:pPr>
      <w:r w:rsidRPr="00D07C51">
        <w:rPr>
          <w:rFonts w:cstheme="minorHAnsi"/>
        </w:rPr>
        <w:t>The Council is responsible for such internal control as it determines is necessary to enable it to prepare the information we audit that is free from material misstatement, whether due to fraud or error.</w:t>
      </w:r>
    </w:p>
    <w:p w:rsidR="009609AB" w:rsidRPr="00D07C51" w:rsidRDefault="009609AB" w:rsidP="00D07C51">
      <w:pPr>
        <w:rPr>
          <w:rFonts w:cstheme="minorHAnsi"/>
        </w:rPr>
      </w:pPr>
      <w:r w:rsidRPr="00D07C51">
        <w:rPr>
          <w:rFonts w:cstheme="minorHAnsi"/>
        </w:rPr>
        <w:t>In preparing the information we audit the Council is responsible for assessing its ability to continue as a going concern. The Council is also responsible for disclosing, as applicable, matters related to going concern and using the going concern basis of accounting, unless there is an intention to amalgamate or cease all of the functions of the City Council and the Group or there is no realistic alternative but to do so.</w:t>
      </w:r>
    </w:p>
    <w:p w:rsidR="009609AB" w:rsidRPr="002C7BF8" w:rsidRDefault="009609AB" w:rsidP="00D07C51">
      <w:pPr>
        <w:rPr>
          <w:rFonts w:cstheme="minorHAnsi"/>
          <w:b/>
        </w:rPr>
      </w:pPr>
      <w:r w:rsidRPr="002C7BF8">
        <w:rPr>
          <w:rFonts w:cstheme="minorHAnsi"/>
          <w:b/>
        </w:rPr>
        <w:t>Responsibilities of the auditor for the audited information</w:t>
      </w:r>
    </w:p>
    <w:p w:rsidR="009609AB" w:rsidRPr="00D07C51" w:rsidRDefault="009609AB" w:rsidP="00D07C51">
      <w:pPr>
        <w:rPr>
          <w:rFonts w:cstheme="minorHAnsi"/>
        </w:rPr>
      </w:pPr>
      <w:r w:rsidRPr="00D07C51">
        <w:rPr>
          <w:rFonts w:cstheme="minorHAnsi"/>
        </w:rPr>
        <w:t>Our objectives are to obtain reasonable assurance about whether the audited information, as a whole, is free from material misstatement, whether due to fraud or error, and to issue an audit report that includes our opinion.</w:t>
      </w:r>
    </w:p>
    <w:p w:rsidR="009609AB" w:rsidRPr="00D07C51" w:rsidRDefault="009609AB" w:rsidP="00D07C51">
      <w:pPr>
        <w:rPr>
          <w:rFonts w:cstheme="minorHAnsi"/>
        </w:rPr>
      </w:pPr>
      <w:r w:rsidRPr="00D07C51">
        <w:rPr>
          <w:rFonts w:cstheme="minorHAnsi"/>
        </w:rPr>
        <w:t>Reasonable assurance is a high level of assurance, but is not a guarantee that an audit carried out in accordance with the Auditor-General’s Auditing Standards will always detect a material misstatement when it exists. Misstatements are differences or omissions of amounts or disclosures, and can arise from fraud or error. Misstatements are considered material if, individually or in the aggregate, they could reasonably be expected to influence the decisions of readers taken on the basis of this audited information.</w:t>
      </w:r>
    </w:p>
    <w:p w:rsidR="009609AB" w:rsidRPr="00D07C51" w:rsidRDefault="009609AB" w:rsidP="00D07C51">
      <w:pPr>
        <w:rPr>
          <w:rFonts w:cstheme="minorHAnsi"/>
        </w:rPr>
      </w:pPr>
      <w:r w:rsidRPr="00D07C51">
        <w:rPr>
          <w:rFonts w:cstheme="minorHAnsi"/>
        </w:rPr>
        <w:t>For the budget information reported in the audited information, our procedures were limited to checking that the budget information agreed to the City Council’s Long-term plan.</w:t>
      </w:r>
    </w:p>
    <w:p w:rsidR="009609AB" w:rsidRPr="00D07C51" w:rsidRDefault="009609AB" w:rsidP="00D07C51">
      <w:pPr>
        <w:rPr>
          <w:rFonts w:cstheme="minorHAnsi"/>
        </w:rPr>
      </w:pPr>
      <w:r w:rsidRPr="00D07C51">
        <w:rPr>
          <w:rFonts w:cstheme="minorHAnsi"/>
        </w:rPr>
        <w:t>We did not evaluate the security and controls over the electronic publication of the audited information.</w:t>
      </w:r>
    </w:p>
    <w:p w:rsidR="009609AB" w:rsidRPr="00D07C51" w:rsidRDefault="009609AB" w:rsidP="00D07C51">
      <w:pPr>
        <w:rPr>
          <w:rFonts w:cstheme="minorHAnsi"/>
        </w:rPr>
      </w:pPr>
      <w:r w:rsidRPr="00D07C51">
        <w:rPr>
          <w:rFonts w:cstheme="minorHAnsi"/>
        </w:rPr>
        <w:t>As part of an audit in accordance with the Auditor-General’s Auditing Standards, we exercise professional judgement and maintain professional scepticism throughout the audit. Also:</w:t>
      </w:r>
    </w:p>
    <w:p w:rsidR="009609AB" w:rsidRDefault="009609AB" w:rsidP="002C7BF8">
      <w:pPr>
        <w:pStyle w:val="ListParagraph"/>
        <w:numPr>
          <w:ilvl w:val="0"/>
          <w:numId w:val="89"/>
        </w:numPr>
        <w:rPr>
          <w:rFonts w:cstheme="minorHAnsi"/>
        </w:rPr>
      </w:pPr>
      <w:r w:rsidRPr="002C7BF8">
        <w:rPr>
          <w:rFonts w:cstheme="minorHAnsi"/>
        </w:rPr>
        <w:t>We identify and assess the risks of material misstatement of the audited information, whether due to fraud or error, design and perform audit procedures responsive to those risks, and obtain audit evidence that is sufficient and appropriate to provide a basis for our opinion. The risk of not detecting a material misstatement resulting from fraud is higher than for one resulting from error, as fraud may involve collusion, forgery, intentional omissions, misrepresentations, or the override of internal control.</w:t>
      </w:r>
    </w:p>
    <w:p w:rsidR="002C7BF8" w:rsidRPr="002C7BF8" w:rsidRDefault="002C7BF8" w:rsidP="002C7BF8">
      <w:pPr>
        <w:pStyle w:val="ListParagraph"/>
        <w:rPr>
          <w:rFonts w:cstheme="minorHAnsi"/>
        </w:rPr>
      </w:pPr>
    </w:p>
    <w:p w:rsidR="009609AB" w:rsidRPr="002C7BF8" w:rsidRDefault="009609AB" w:rsidP="002C7BF8">
      <w:pPr>
        <w:pStyle w:val="ListParagraph"/>
        <w:numPr>
          <w:ilvl w:val="0"/>
          <w:numId w:val="89"/>
        </w:numPr>
        <w:rPr>
          <w:rFonts w:cstheme="minorHAnsi"/>
        </w:rPr>
      </w:pPr>
      <w:r w:rsidRPr="002C7BF8">
        <w:rPr>
          <w:rFonts w:cstheme="minorHAnsi"/>
        </w:rPr>
        <w:t>We obtain an understanding of internal control relevant to the audit in order to design audit procedures that are appropriate in the circumstances, but not for the purpose of expressing an opinion on the effectiveness of the City Council and Group’s internal control.</w:t>
      </w:r>
    </w:p>
    <w:p w:rsidR="009609AB" w:rsidRPr="00D07C51" w:rsidRDefault="009609AB" w:rsidP="00D07C51">
      <w:pPr>
        <w:rPr>
          <w:rFonts w:cstheme="minorHAnsi"/>
        </w:rPr>
        <w:sectPr w:rsidR="009609AB" w:rsidRPr="00D07C51">
          <w:pgSz w:w="11907" w:h="16860"/>
          <w:pgMar w:top="1380" w:right="1300" w:bottom="280" w:left="1300" w:header="720" w:footer="720" w:gutter="0"/>
          <w:cols w:space="720"/>
        </w:sectPr>
      </w:pPr>
    </w:p>
    <w:p w:rsidR="00EF2B31" w:rsidRDefault="009609AB" w:rsidP="00EF2B31">
      <w:pPr>
        <w:pStyle w:val="ListParagraph"/>
        <w:numPr>
          <w:ilvl w:val="0"/>
          <w:numId w:val="89"/>
        </w:numPr>
        <w:rPr>
          <w:rFonts w:cstheme="minorHAnsi"/>
        </w:rPr>
      </w:pPr>
      <w:r w:rsidRPr="00EF2B31">
        <w:rPr>
          <w:rFonts w:cstheme="minorHAnsi"/>
        </w:rPr>
        <w:lastRenderedPageBreak/>
        <w:t>We evaluate the appropriateness of accounting policies used and the reasonableness of accounting estimates and related disclosures made by the Council.</w:t>
      </w:r>
    </w:p>
    <w:p w:rsidR="00EF2B31" w:rsidRPr="00EF2B31" w:rsidRDefault="00EF2B31" w:rsidP="00EF2B31">
      <w:pPr>
        <w:pStyle w:val="ListParagraph"/>
        <w:rPr>
          <w:rFonts w:cstheme="minorHAnsi"/>
        </w:rPr>
      </w:pPr>
    </w:p>
    <w:p w:rsidR="009609AB" w:rsidRDefault="009609AB" w:rsidP="00EF2B31">
      <w:pPr>
        <w:pStyle w:val="ListParagraph"/>
        <w:numPr>
          <w:ilvl w:val="0"/>
          <w:numId w:val="89"/>
        </w:numPr>
        <w:rPr>
          <w:rFonts w:cstheme="minorHAnsi"/>
        </w:rPr>
      </w:pPr>
      <w:r w:rsidRPr="00EF2B31">
        <w:rPr>
          <w:rFonts w:cstheme="minorHAnsi"/>
        </w:rPr>
        <w:t>We determine the appropriateness of the reported intended levels of service in the statement of service provision, as a reasonable basis for assessing the levels of service achieved and reported by the City Council.</w:t>
      </w:r>
    </w:p>
    <w:p w:rsidR="00EF2B31" w:rsidRPr="00EF2B31" w:rsidRDefault="00EF2B31" w:rsidP="00EF2B31">
      <w:pPr>
        <w:pStyle w:val="ListParagraph"/>
        <w:rPr>
          <w:rFonts w:cstheme="minorHAnsi"/>
        </w:rPr>
      </w:pPr>
    </w:p>
    <w:p w:rsidR="009609AB" w:rsidRDefault="009609AB" w:rsidP="00D07C51">
      <w:pPr>
        <w:pStyle w:val="ListParagraph"/>
        <w:numPr>
          <w:ilvl w:val="0"/>
          <w:numId w:val="89"/>
        </w:numPr>
        <w:rPr>
          <w:rFonts w:cstheme="minorHAnsi"/>
        </w:rPr>
      </w:pPr>
      <w:r w:rsidRPr="00EF2B31">
        <w:rPr>
          <w:rFonts w:cstheme="minorHAnsi"/>
        </w:rPr>
        <w:t>We conclude on the appropriateness of the use of the going concern basis of accounting by the Council and, based on the audit evidence obtained, whether a material uncertainty exists related to events or conditions that may cast a significant doubt on the City Council and Group’s ability to continue as a going concern. If we conclude that a material uncertainty exists, we are required to draw attention in our audit report to the related disclosures in the audited information or, if such disclosures are inadequate, to modify our opinion. Our conclusions are based on the audit evidence obtained up to the date of our audit report. However, future events or conditions may cause the City Council and the Group to cease to continue as a going concern.</w:t>
      </w:r>
    </w:p>
    <w:p w:rsidR="00EF2B31" w:rsidRPr="00EF2B31" w:rsidRDefault="00EF2B31" w:rsidP="00EF2B31">
      <w:pPr>
        <w:pStyle w:val="ListParagraph"/>
        <w:rPr>
          <w:rFonts w:cstheme="minorHAnsi"/>
        </w:rPr>
      </w:pPr>
    </w:p>
    <w:p w:rsidR="009609AB" w:rsidRDefault="009609AB" w:rsidP="00D07C51">
      <w:pPr>
        <w:pStyle w:val="ListParagraph"/>
        <w:numPr>
          <w:ilvl w:val="0"/>
          <w:numId w:val="89"/>
        </w:numPr>
        <w:rPr>
          <w:rFonts w:cstheme="minorHAnsi"/>
        </w:rPr>
      </w:pPr>
      <w:r w:rsidRPr="00EF2B31">
        <w:rPr>
          <w:rFonts w:cstheme="minorHAnsi"/>
        </w:rPr>
        <w:t>We evaluate the overall presentation, structure and content of the audited information, including the disclosures, and whether the audited information represents, where applicable, the underlying transactions and events in a manner that achieves fair presentation.</w:t>
      </w:r>
    </w:p>
    <w:p w:rsidR="00EF2B31" w:rsidRPr="00EF2B31" w:rsidRDefault="00EF2B31" w:rsidP="00EF2B31">
      <w:pPr>
        <w:pStyle w:val="ListParagraph"/>
        <w:rPr>
          <w:rFonts w:cstheme="minorHAnsi"/>
        </w:rPr>
      </w:pPr>
    </w:p>
    <w:p w:rsidR="009609AB" w:rsidRPr="00EF2B31" w:rsidRDefault="009609AB" w:rsidP="00D07C51">
      <w:pPr>
        <w:pStyle w:val="ListParagraph"/>
        <w:numPr>
          <w:ilvl w:val="0"/>
          <w:numId w:val="89"/>
        </w:numPr>
        <w:rPr>
          <w:rFonts w:cstheme="minorHAnsi"/>
        </w:rPr>
      </w:pPr>
      <w:r w:rsidRPr="00EF2B31">
        <w:rPr>
          <w:rFonts w:cstheme="minorHAnsi"/>
        </w:rPr>
        <w:t>We obtain sufficient appropriate audit evidence regarding the entities or business activities within the Group to express an opinion on the consolidated audited information.</w:t>
      </w:r>
    </w:p>
    <w:p w:rsidR="009609AB" w:rsidRPr="00D07C51" w:rsidRDefault="009609AB" w:rsidP="00D07C51">
      <w:pPr>
        <w:rPr>
          <w:rFonts w:cstheme="minorHAnsi"/>
        </w:rPr>
      </w:pPr>
      <w:r w:rsidRPr="00D07C51">
        <w:rPr>
          <w:rFonts w:cstheme="minorHAnsi"/>
        </w:rPr>
        <w:t>We communicate with the Council regarding, among other matters, the planned scope and timing of the audit and significant audit findings, including any significant deficiencies in internal control that we identify during our audit.</w:t>
      </w:r>
    </w:p>
    <w:p w:rsidR="009609AB" w:rsidRPr="00EF2B31" w:rsidRDefault="009609AB" w:rsidP="00D07C51">
      <w:pPr>
        <w:rPr>
          <w:rFonts w:cstheme="minorHAnsi"/>
          <w:b/>
        </w:rPr>
      </w:pPr>
      <w:r w:rsidRPr="00EF2B31">
        <w:rPr>
          <w:rFonts w:cstheme="minorHAnsi"/>
          <w:b/>
        </w:rPr>
        <w:t>Other Information</w:t>
      </w:r>
    </w:p>
    <w:p w:rsidR="009609AB" w:rsidRPr="00D07C51" w:rsidRDefault="009609AB" w:rsidP="00D07C51">
      <w:pPr>
        <w:rPr>
          <w:rFonts w:cstheme="minorHAnsi"/>
        </w:rPr>
      </w:pPr>
      <w:r w:rsidRPr="00D07C51">
        <w:rPr>
          <w:rFonts w:cstheme="minorHAnsi"/>
        </w:rPr>
        <w:t>The Council is responsible for the other information included in the annual report. The other information comprises the information included on pages 1 to 3</w:t>
      </w:r>
      <w:r w:rsidR="007406D4">
        <w:rPr>
          <w:rFonts w:cstheme="minorHAnsi"/>
        </w:rPr>
        <w:t>67</w:t>
      </w:r>
      <w:r w:rsidRPr="00D07C51">
        <w:rPr>
          <w:rFonts w:cstheme="minorHAnsi"/>
        </w:rPr>
        <w:t>, but does not include the audited information and the disclosure requirements, and our auditor’s report thereon.</w:t>
      </w:r>
    </w:p>
    <w:p w:rsidR="009609AB" w:rsidRPr="00D07C51" w:rsidRDefault="009609AB" w:rsidP="00D07C51">
      <w:pPr>
        <w:rPr>
          <w:rFonts w:cstheme="minorHAnsi"/>
        </w:rPr>
      </w:pPr>
      <w:r w:rsidRPr="00D07C51">
        <w:rPr>
          <w:rFonts w:cstheme="minorHAnsi"/>
        </w:rPr>
        <w:t>Our opinion on the audited information and our report on the disclosure requirements do not cover the other information.</w:t>
      </w:r>
    </w:p>
    <w:p w:rsidR="009609AB" w:rsidRPr="00D07C51" w:rsidRDefault="009609AB" w:rsidP="00D07C51">
      <w:pPr>
        <w:rPr>
          <w:rFonts w:cstheme="minorHAnsi"/>
        </w:rPr>
      </w:pPr>
      <w:r w:rsidRPr="00D07C51">
        <w:rPr>
          <w:rFonts w:cstheme="minorHAnsi"/>
        </w:rPr>
        <w:t xml:space="preserve">Our responsibility is to read the other information. In doing so, we consider whether the other information is materially inconsistent with the audited information and the disclosure requirements, or our knowledge obtained during our work, or otherwise appears to be materially misstated. If, based on our work, we conclude that there is a material misstatement of this other </w:t>
      </w:r>
      <w:proofErr w:type="gramStart"/>
      <w:r w:rsidRPr="00D07C51">
        <w:rPr>
          <w:rFonts w:cstheme="minorHAnsi"/>
        </w:rPr>
        <w:t>information,</w:t>
      </w:r>
      <w:proofErr w:type="gramEnd"/>
      <w:r w:rsidRPr="00D07C51">
        <w:rPr>
          <w:rFonts w:cstheme="minorHAnsi"/>
        </w:rPr>
        <w:t xml:space="preserve"> we are required to report that fact. We have nothing to report in this regard.</w:t>
      </w:r>
    </w:p>
    <w:p w:rsidR="009609AB" w:rsidRPr="00EF2B31" w:rsidRDefault="009609AB" w:rsidP="00D07C51">
      <w:pPr>
        <w:rPr>
          <w:rFonts w:cstheme="minorHAnsi"/>
          <w:b/>
        </w:rPr>
      </w:pPr>
      <w:r w:rsidRPr="00EF2B31">
        <w:rPr>
          <w:rFonts w:cstheme="minorHAnsi"/>
          <w:b/>
        </w:rPr>
        <w:t>Independence</w:t>
      </w:r>
    </w:p>
    <w:p w:rsidR="009609AB" w:rsidRPr="00D07C51" w:rsidRDefault="009609AB" w:rsidP="00D07C51">
      <w:pPr>
        <w:rPr>
          <w:rFonts w:cstheme="minorHAnsi"/>
        </w:rPr>
      </w:pPr>
      <w:r w:rsidRPr="00D07C51">
        <w:rPr>
          <w:rFonts w:cstheme="minorHAnsi"/>
        </w:rPr>
        <w:t xml:space="preserve">We are independent of the City Council in accordance with the independence requirements of the Auditor-General’s Auditing Standards, which incorporate the independence </w:t>
      </w:r>
      <w:r w:rsidRPr="00D07C51">
        <w:rPr>
          <w:rFonts w:cstheme="minorHAnsi"/>
        </w:rPr>
        <w:lastRenderedPageBreak/>
        <w:t>requirements of Professional</w:t>
      </w:r>
      <w:r w:rsidR="00EF2B31">
        <w:rPr>
          <w:rFonts w:cstheme="minorHAnsi"/>
        </w:rPr>
        <w:t xml:space="preserve"> </w:t>
      </w:r>
      <w:r w:rsidRPr="00D07C51">
        <w:rPr>
          <w:rFonts w:cstheme="minorHAnsi"/>
        </w:rPr>
        <w:t>and Ethical Standard 1 (Revised): Code of Ethics for Assurance Practitioners issued by the New Zealand Auditing and Assurance Standards Board.</w:t>
      </w:r>
    </w:p>
    <w:p w:rsidR="009609AB" w:rsidRPr="00D07C51" w:rsidRDefault="009609AB" w:rsidP="00D07C51">
      <w:pPr>
        <w:rPr>
          <w:rFonts w:cstheme="minorHAnsi"/>
        </w:rPr>
      </w:pPr>
      <w:r w:rsidRPr="00D07C51">
        <w:rPr>
          <w:rFonts w:cstheme="minorHAnsi"/>
        </w:rPr>
        <w:t>In addition to our audit and our report on the disclosure requirements, we have audited an Amendment of the Council’s Long-Term Plan 2018-28, performed a limited assurance engagement related to the City Council’s debenture trust deed and performed a review of the revenue and expenditure of the Clifton Terrace car park managed by the City Council and Group on behalf of the New Zealand Transport Agency. These engagements are compatible with those independence requirements. Other than the audits, these engagements and reviews, we have no relationship with or interests in the City Council or its subsidiaries and controlled entities.</w:t>
      </w:r>
    </w:p>
    <w:p w:rsidR="009609AB" w:rsidRPr="00EF2B31" w:rsidRDefault="009609AB" w:rsidP="00EF2B31">
      <w:r w:rsidRPr="00EF2B31">
        <w:rPr>
          <w:noProof/>
          <w:lang w:eastAsia="en-NZ"/>
        </w:rPr>
        <w:drawing>
          <wp:inline distT="0" distB="0" distL="0" distR="0" wp14:anchorId="4977BA27" wp14:editId="112D4A4E">
            <wp:extent cx="2551814" cy="488921"/>
            <wp:effectExtent l="0" t="0" r="1270" b="6985"/>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2551964" cy="488950"/>
                    </a:xfrm>
                    <a:prstGeom prst="rect">
                      <a:avLst/>
                    </a:prstGeom>
                    <a:noFill/>
                    <a:ln>
                      <a:noFill/>
                    </a:ln>
                  </pic:spPr>
                </pic:pic>
              </a:graphicData>
            </a:graphic>
          </wp:inline>
        </w:drawing>
      </w:r>
    </w:p>
    <w:p w:rsidR="009609AB" w:rsidRPr="00EF2B31" w:rsidRDefault="009609AB" w:rsidP="00EF2B31">
      <w:pPr>
        <w:spacing w:after="0"/>
      </w:pPr>
      <w:r w:rsidRPr="00EF2B31">
        <w:t>Karen Young</w:t>
      </w:r>
    </w:p>
    <w:p w:rsidR="009609AB" w:rsidRPr="00EF2B31" w:rsidRDefault="009609AB" w:rsidP="00EF2B31">
      <w:pPr>
        <w:spacing w:after="0"/>
      </w:pPr>
      <w:r w:rsidRPr="00EF2B31">
        <w:t>Audit New Zealand</w:t>
      </w:r>
    </w:p>
    <w:p w:rsidR="009609AB" w:rsidRPr="00EF2B31" w:rsidRDefault="009609AB" w:rsidP="00EF2B31">
      <w:pPr>
        <w:spacing w:after="0"/>
      </w:pPr>
      <w:r w:rsidRPr="00EF2B31">
        <w:t xml:space="preserve">On behalf of the Auditor-General </w:t>
      </w:r>
      <w:r w:rsidR="00EF2B31">
        <w:br/>
      </w:r>
      <w:r w:rsidRPr="00EF2B31">
        <w:t>Wellington, New Zealand</w:t>
      </w:r>
    </w:p>
    <w:p w:rsidR="00331065" w:rsidRPr="00EF2B31" w:rsidRDefault="00331065" w:rsidP="00EF2B31">
      <w:r w:rsidRPr="00EF2B31">
        <w:br w:type="page"/>
      </w:r>
    </w:p>
    <w:p w:rsidR="00B27C37" w:rsidRPr="00D5126A" w:rsidRDefault="00A3111E" w:rsidP="00810293">
      <w:pPr>
        <w:pStyle w:val="Heading2"/>
      </w:pPr>
      <w:bookmarkStart w:id="509" w:name="_Toc23758632"/>
      <w:r w:rsidRPr="00D5126A">
        <w:lastRenderedPageBreak/>
        <w:t>Glossary</w:t>
      </w:r>
      <w:bookmarkEnd w:id="504"/>
      <w:bookmarkEnd w:id="505"/>
      <w:bookmarkEnd w:id="506"/>
      <w:bookmarkEnd w:id="507"/>
      <w:bookmarkEnd w:id="509"/>
    </w:p>
    <w:p w:rsidR="00B27C37" w:rsidRPr="00D5126A" w:rsidRDefault="00A3111E" w:rsidP="00295C18">
      <w:pPr>
        <w:pStyle w:val="Para003"/>
        <w:spacing w:before="240" w:line="240" w:lineRule="auto"/>
      </w:pPr>
      <w:proofErr w:type="gramStart"/>
      <w:r w:rsidRPr="00D5126A">
        <w:rPr>
          <w:rStyle w:val="00Text"/>
          <w:rFonts w:ascii="Arial" w:hAnsi="Arial" w:cs="Arial"/>
        </w:rPr>
        <w:t>Annual Plan</w:t>
      </w:r>
      <w:r w:rsidR="00C225DB" w:rsidRPr="00D5126A">
        <w:rPr>
          <w:rStyle w:val="00Text"/>
          <w:rFonts w:ascii="Arial" w:hAnsi="Arial" w:cs="Arial"/>
        </w:rPr>
        <w:t xml:space="preserve"> (AP)</w:t>
      </w:r>
      <w:r w:rsidRPr="00D5126A">
        <w:t>.</w:t>
      </w:r>
      <w:proofErr w:type="gramEnd"/>
      <w:r w:rsidRPr="00D5126A">
        <w:t xml:space="preserve"> Our Annual Plan is our budget, showing the expected cost of running the city for the financial year, and how the costs will be funded. An Annual Plan is not prepared in years when a Long-term Plan is prepared (see Long-term Plan).</w:t>
      </w:r>
    </w:p>
    <w:p w:rsidR="00B27C37" w:rsidRPr="00D5126A" w:rsidRDefault="00A3111E" w:rsidP="00295C18">
      <w:pPr>
        <w:pStyle w:val="Para003"/>
        <w:spacing w:before="240" w:line="240" w:lineRule="auto"/>
      </w:pPr>
      <w:proofErr w:type="gramStart"/>
      <w:r w:rsidRPr="00D5126A">
        <w:rPr>
          <w:rStyle w:val="00Text"/>
          <w:rFonts w:ascii="Arial" w:hAnsi="Arial" w:cs="Arial"/>
        </w:rPr>
        <w:t>Capital expenditure</w:t>
      </w:r>
      <w:r w:rsidRPr="00D5126A">
        <w:t>.</w:t>
      </w:r>
      <w:proofErr w:type="gramEnd"/>
      <w:r w:rsidRPr="00D5126A">
        <w:t xml:space="preserve"> Capital expenditure, also referred to as CAPEX, is the money that we spend to buy, maintain, or improve our fixed assets, such as buildings, vehicles, equipment, or land.</w:t>
      </w:r>
    </w:p>
    <w:p w:rsidR="00B27C37" w:rsidRPr="00D5126A" w:rsidRDefault="00A3111E" w:rsidP="00295C18">
      <w:pPr>
        <w:pStyle w:val="Para003"/>
        <w:spacing w:before="240" w:line="240" w:lineRule="auto"/>
      </w:pPr>
      <w:proofErr w:type="gramStart"/>
      <w:r w:rsidRPr="00D5126A">
        <w:rPr>
          <w:rStyle w:val="00Text"/>
          <w:rFonts w:ascii="Arial" w:hAnsi="Arial" w:cs="Arial"/>
        </w:rPr>
        <w:t>Cash and cash equivalents</w:t>
      </w:r>
      <w:r w:rsidRPr="00D5126A">
        <w:t>.</w:t>
      </w:r>
      <w:proofErr w:type="gramEnd"/>
      <w:r w:rsidRPr="00D5126A">
        <w:t xml:space="preserve"> This includes cash as well as deposits which mature in three months or less.</w:t>
      </w:r>
    </w:p>
    <w:p w:rsidR="00B27C37" w:rsidRPr="00D5126A" w:rsidRDefault="00A3111E" w:rsidP="00295C18">
      <w:pPr>
        <w:pStyle w:val="Para003"/>
        <w:spacing w:before="240" w:line="240" w:lineRule="auto"/>
      </w:pPr>
      <w:proofErr w:type="gramStart"/>
      <w:r w:rsidRPr="00D5126A">
        <w:rPr>
          <w:rStyle w:val="00Text"/>
          <w:rFonts w:ascii="Arial" w:hAnsi="Arial" w:cs="Arial"/>
        </w:rPr>
        <w:t>Council-Controlled Organisations (CCOs)</w:t>
      </w:r>
      <w:r w:rsidRPr="00D5126A">
        <w:t>.</w:t>
      </w:r>
      <w:proofErr w:type="gramEnd"/>
      <w:r w:rsidRPr="00D5126A">
        <w:t xml:space="preserve"> These organisations were set up to independently manage Council facilities, or to deliver significant services and undertake developments on behalf of the Wellington community.</w:t>
      </w:r>
    </w:p>
    <w:p w:rsidR="00B27C37" w:rsidRPr="00D5126A" w:rsidRDefault="00A3111E" w:rsidP="00295C18">
      <w:pPr>
        <w:pStyle w:val="Para003"/>
        <w:spacing w:before="240" w:line="240" w:lineRule="auto"/>
      </w:pPr>
      <w:proofErr w:type="gramStart"/>
      <w:r w:rsidRPr="00D5126A">
        <w:rPr>
          <w:rStyle w:val="00Text"/>
          <w:rFonts w:ascii="Arial" w:hAnsi="Arial" w:cs="Arial"/>
        </w:rPr>
        <w:t>Current asset</w:t>
      </w:r>
      <w:r w:rsidRPr="00D5126A">
        <w:t>.</w:t>
      </w:r>
      <w:proofErr w:type="gramEnd"/>
      <w:r w:rsidRPr="00D5126A">
        <w:t xml:space="preserve"> This is an asset that can be readily converted to cash or will be used to repay a liability within 12 months of balance date.</w:t>
      </w:r>
    </w:p>
    <w:p w:rsidR="00B27C37" w:rsidRPr="00D5126A" w:rsidRDefault="00A3111E" w:rsidP="00295C18">
      <w:pPr>
        <w:pStyle w:val="Para003"/>
        <w:spacing w:before="240" w:line="240" w:lineRule="auto"/>
      </w:pPr>
      <w:proofErr w:type="gramStart"/>
      <w:r w:rsidRPr="00D5126A">
        <w:rPr>
          <w:rStyle w:val="00Text"/>
          <w:rFonts w:ascii="Arial" w:hAnsi="Arial" w:cs="Arial"/>
        </w:rPr>
        <w:t>Current liability</w:t>
      </w:r>
      <w:r w:rsidRPr="00D5126A">
        <w:t>.</w:t>
      </w:r>
      <w:proofErr w:type="gramEnd"/>
      <w:r w:rsidRPr="00D5126A">
        <w:t xml:space="preserve"> This is a liability that is required to be discharged within 12 months of balance date.</w:t>
      </w:r>
    </w:p>
    <w:p w:rsidR="00B27C37" w:rsidRPr="00D5126A" w:rsidRDefault="00A3111E" w:rsidP="00295C18">
      <w:pPr>
        <w:pStyle w:val="Para003"/>
        <w:spacing w:before="240" w:line="240" w:lineRule="auto"/>
      </w:pPr>
      <w:proofErr w:type="gramStart"/>
      <w:r w:rsidRPr="00D5126A">
        <w:rPr>
          <w:rStyle w:val="00Text"/>
          <w:rFonts w:ascii="Arial" w:hAnsi="Arial" w:cs="Arial"/>
        </w:rPr>
        <w:t>Depreciation (amortisation).</w:t>
      </w:r>
      <w:proofErr w:type="gramEnd"/>
      <w:r w:rsidRPr="00D5126A">
        <w:rPr>
          <w:rStyle w:val="00Text"/>
          <w:rFonts w:ascii="Arial" w:hAnsi="Arial" w:cs="Arial"/>
        </w:rPr>
        <w:t xml:space="preserve"> </w:t>
      </w:r>
      <w:r w:rsidRPr="00D5126A">
        <w:t>This is an expense charged each year to reflect the estimated cost of using our assets over their lives. Depreciation relates to physical assets such as buildings and amortisation relates to intangible assets such as software.</w:t>
      </w:r>
    </w:p>
    <w:p w:rsidR="00B27C37" w:rsidRPr="00D5126A" w:rsidRDefault="00A3111E" w:rsidP="00295C18">
      <w:pPr>
        <w:pStyle w:val="Para003"/>
        <w:spacing w:before="240" w:line="240" w:lineRule="auto"/>
      </w:pPr>
      <w:proofErr w:type="gramStart"/>
      <w:r w:rsidRPr="00D5126A">
        <w:rPr>
          <w:rStyle w:val="00Text"/>
          <w:rFonts w:ascii="Arial" w:hAnsi="Arial" w:cs="Arial"/>
        </w:rPr>
        <w:t>External funding for capital expenditure</w:t>
      </w:r>
      <w:r w:rsidRPr="00D5126A">
        <w:t>.</w:t>
      </w:r>
      <w:proofErr w:type="gramEnd"/>
      <w:r w:rsidRPr="00D5126A">
        <w:t xml:space="preserve"> This is funding recorded as revenue, but used to fund capital expenditure projects.</w:t>
      </w:r>
    </w:p>
    <w:p w:rsidR="00B27C37" w:rsidRPr="00D5126A" w:rsidRDefault="00A3111E" w:rsidP="00295C18">
      <w:pPr>
        <w:pStyle w:val="Para003"/>
        <w:spacing w:before="240" w:line="240" w:lineRule="auto"/>
      </w:pPr>
      <w:proofErr w:type="gramStart"/>
      <w:r w:rsidRPr="00D5126A">
        <w:rPr>
          <w:rStyle w:val="00Text"/>
          <w:rFonts w:ascii="Arial" w:hAnsi="Arial" w:cs="Arial"/>
        </w:rPr>
        <w:t>Fair value</w:t>
      </w:r>
      <w:r w:rsidRPr="00D5126A">
        <w:t>.</w:t>
      </w:r>
      <w:proofErr w:type="gramEnd"/>
      <w:r w:rsidRPr="00D5126A">
        <w:t xml:space="preserve"> Fair value essentially reflects the market value of assets or liabilities.</w:t>
      </w:r>
    </w:p>
    <w:p w:rsidR="00B27C37" w:rsidRPr="00D5126A" w:rsidRDefault="00A3111E" w:rsidP="00295C18">
      <w:pPr>
        <w:pStyle w:val="Para003"/>
        <w:spacing w:before="240" w:line="240" w:lineRule="auto"/>
      </w:pPr>
      <w:proofErr w:type="gramStart"/>
      <w:r w:rsidRPr="00D5126A">
        <w:rPr>
          <w:rStyle w:val="00Text"/>
          <w:rFonts w:ascii="Arial" w:hAnsi="Arial" w:cs="Arial"/>
        </w:rPr>
        <w:t>Investment properties</w:t>
      </w:r>
      <w:r w:rsidRPr="00D5126A">
        <w:t>.</w:t>
      </w:r>
      <w:proofErr w:type="gramEnd"/>
      <w:r w:rsidRPr="00D5126A">
        <w:t xml:space="preserve"> These are properties primarily held by the Council to earn rental revenue.</w:t>
      </w:r>
    </w:p>
    <w:p w:rsidR="00B27C37" w:rsidRPr="00D5126A" w:rsidRDefault="00A3111E" w:rsidP="00295C18">
      <w:pPr>
        <w:pStyle w:val="Para003"/>
        <w:spacing w:before="240" w:line="240" w:lineRule="auto"/>
      </w:pPr>
      <w:proofErr w:type="gramStart"/>
      <w:r w:rsidRPr="00D5126A">
        <w:rPr>
          <w:rStyle w:val="00Text"/>
          <w:rFonts w:ascii="Arial" w:hAnsi="Arial" w:cs="Arial"/>
        </w:rPr>
        <w:t>Liquidity/funding risk</w:t>
      </w:r>
      <w:r w:rsidRPr="00D5126A">
        <w:t>.</w:t>
      </w:r>
      <w:proofErr w:type="gramEnd"/>
      <w:r w:rsidRPr="00D5126A">
        <w:t xml:space="preserve"> This is the risk that the Council will not have access to the required funds to meet its present obligations.</w:t>
      </w:r>
    </w:p>
    <w:p w:rsidR="00B27C37" w:rsidRPr="00D5126A" w:rsidRDefault="00A3111E" w:rsidP="00295C18">
      <w:pPr>
        <w:pStyle w:val="Para003"/>
        <w:spacing w:before="240" w:line="240" w:lineRule="auto"/>
      </w:pPr>
      <w:proofErr w:type="gramStart"/>
      <w:r w:rsidRPr="00D5126A">
        <w:rPr>
          <w:rStyle w:val="00Text"/>
          <w:rFonts w:ascii="Arial" w:hAnsi="Arial" w:cs="Arial"/>
        </w:rPr>
        <w:t>Long-term Plan</w:t>
      </w:r>
      <w:r w:rsidR="00C225DB" w:rsidRPr="00D5126A">
        <w:rPr>
          <w:rStyle w:val="00Text"/>
          <w:rFonts w:ascii="Arial" w:hAnsi="Arial" w:cs="Arial"/>
        </w:rPr>
        <w:t xml:space="preserve"> (LTP)</w:t>
      </w:r>
      <w:r w:rsidRPr="00D5126A">
        <w:t>.</w:t>
      </w:r>
      <w:proofErr w:type="gramEnd"/>
      <w:r w:rsidRPr="00D5126A">
        <w:t xml:space="preserve"> This 10-year plan, revised every three years, shows the expected cost of running the city for the following 10 years, and how the costs will be funded.</w:t>
      </w:r>
      <w:r w:rsidR="00C225DB" w:rsidRPr="00D5126A">
        <w:t xml:space="preserve"> Also known as </w:t>
      </w:r>
      <w:proofErr w:type="gramStart"/>
      <w:r w:rsidR="00C225DB" w:rsidRPr="00D5126A">
        <w:t>Our</w:t>
      </w:r>
      <w:proofErr w:type="gramEnd"/>
      <w:r w:rsidR="00C225DB" w:rsidRPr="00D5126A">
        <w:t xml:space="preserve"> 10-Year Plan.</w:t>
      </w:r>
    </w:p>
    <w:p w:rsidR="00B27C37" w:rsidRPr="00D5126A" w:rsidRDefault="00A3111E" w:rsidP="00295C18">
      <w:pPr>
        <w:pStyle w:val="Para003"/>
        <w:spacing w:before="240" w:line="240" w:lineRule="auto"/>
      </w:pPr>
      <w:proofErr w:type="gramStart"/>
      <w:r w:rsidRPr="00D5126A">
        <w:rPr>
          <w:rStyle w:val="00Text"/>
          <w:rFonts w:ascii="Arial" w:hAnsi="Arial" w:cs="Arial"/>
        </w:rPr>
        <w:t>Net borrowings</w:t>
      </w:r>
      <w:r w:rsidRPr="00D5126A">
        <w:t>.</w:t>
      </w:r>
      <w:proofErr w:type="gramEnd"/>
      <w:r w:rsidRPr="00D5126A">
        <w:t xml:space="preserve"> These are total borrowings, less any funds held on deposit.</w:t>
      </w:r>
    </w:p>
    <w:p w:rsidR="00B27C37" w:rsidRPr="00D5126A" w:rsidRDefault="00A3111E" w:rsidP="00295C18">
      <w:pPr>
        <w:pStyle w:val="Para003"/>
        <w:spacing w:before="240" w:line="240" w:lineRule="auto"/>
      </w:pPr>
      <w:proofErr w:type="gramStart"/>
      <w:r w:rsidRPr="00D5126A">
        <w:rPr>
          <w:rStyle w:val="00Text"/>
          <w:rFonts w:ascii="Arial" w:hAnsi="Arial" w:cs="Arial"/>
        </w:rPr>
        <w:t>Net surplus/deficit</w:t>
      </w:r>
      <w:r w:rsidRPr="00D5126A">
        <w:t>.</w:t>
      </w:r>
      <w:proofErr w:type="gramEnd"/>
      <w:r w:rsidRPr="00D5126A">
        <w:t xml:space="preserve"> This is the difference between total revenue and total expenses. It includes both operating revenue and operating expenditure, as well as other non-funded items of revenue and expenditure such as capital funding, vested asset revenue and fair value movements.</w:t>
      </w:r>
    </w:p>
    <w:p w:rsidR="00B27C37" w:rsidRPr="00D5126A" w:rsidRDefault="00A3111E" w:rsidP="00295C18">
      <w:pPr>
        <w:pStyle w:val="Para003"/>
        <w:spacing w:before="240" w:line="240" w:lineRule="auto"/>
      </w:pPr>
      <w:proofErr w:type="gramStart"/>
      <w:r w:rsidRPr="00D5126A">
        <w:rPr>
          <w:rStyle w:val="00Text"/>
          <w:rFonts w:ascii="Arial" w:hAnsi="Arial" w:cs="Arial"/>
        </w:rPr>
        <w:t>Operational expenditure</w:t>
      </w:r>
      <w:r w:rsidRPr="00D5126A">
        <w:t>.</w:t>
      </w:r>
      <w:proofErr w:type="gramEnd"/>
      <w:r w:rsidRPr="00D5126A">
        <w:t xml:space="preserve"> This is expenditure that is not capital expenditure (see capital expenditure).</w:t>
      </w:r>
    </w:p>
    <w:p w:rsidR="00B27C37" w:rsidRPr="00D5126A" w:rsidRDefault="00FF4BE4" w:rsidP="00295C18">
      <w:pPr>
        <w:pStyle w:val="Para003"/>
        <w:spacing w:before="240" w:line="240" w:lineRule="auto"/>
      </w:pPr>
      <w:proofErr w:type="gramStart"/>
      <w:r w:rsidRPr="00D5126A">
        <w:rPr>
          <w:rStyle w:val="00Text"/>
          <w:rFonts w:ascii="Arial" w:hAnsi="Arial" w:cs="Arial"/>
        </w:rPr>
        <w:t>Percentage (%)</w:t>
      </w:r>
      <w:r w:rsidR="00A3111E" w:rsidRPr="00D5126A">
        <w:rPr>
          <w:rStyle w:val="00Text"/>
          <w:rFonts w:ascii="Arial" w:hAnsi="Arial" w:cs="Arial"/>
        </w:rPr>
        <w:t xml:space="preserve"> variance.</w:t>
      </w:r>
      <w:proofErr w:type="gramEnd"/>
      <w:r w:rsidR="00A3111E" w:rsidRPr="00D5126A">
        <w:rPr>
          <w:rStyle w:val="00Text"/>
          <w:rFonts w:ascii="Arial" w:hAnsi="Arial" w:cs="Arial"/>
        </w:rPr>
        <w:t xml:space="preserve"> </w:t>
      </w:r>
      <w:r w:rsidR="00A3111E" w:rsidRPr="00D5126A">
        <w:t xml:space="preserve">The difference between the actual performance measure result and the target result is reported as the result’s percentage above or below target. For example, the difference between an actual performance result of 20 percent and the target result of 40 percent is -50 percent. This is because the result is 50 percent less than the </w:t>
      </w:r>
      <w:r w:rsidR="00A3111E" w:rsidRPr="00D5126A">
        <w:lastRenderedPageBreak/>
        <w:t>target. While the numerical difference between the two figures is 20 percentage points, we do not report percentage point results unless otherwise stated.</w:t>
      </w:r>
    </w:p>
    <w:p w:rsidR="00B27C37" w:rsidRDefault="00A3111E" w:rsidP="00295C18">
      <w:pPr>
        <w:pStyle w:val="Para003"/>
        <w:spacing w:before="240" w:line="240" w:lineRule="auto"/>
      </w:pPr>
      <w:r w:rsidRPr="00D5126A">
        <w:rPr>
          <w:rStyle w:val="00Text"/>
          <w:rFonts w:ascii="Arial" w:hAnsi="Arial" w:cs="Arial"/>
        </w:rPr>
        <w:t>Prudential limits</w:t>
      </w:r>
      <w:r w:rsidRPr="00D5126A">
        <w:t>. These are limits applied to the level of borrowings to ensure we are managing the Council’s assets and liabilities prudently. These limits are outlined in the Investment and Liability Management Policy in the Long-term Plan.</w:t>
      </w:r>
    </w:p>
    <w:p w:rsidR="000B1796" w:rsidRPr="005267E8" w:rsidRDefault="000B1796" w:rsidP="000B1796">
      <w:r w:rsidRPr="00FF088D">
        <w:rPr>
          <w:b/>
        </w:rPr>
        <w:t>Reported result icon.</w:t>
      </w:r>
      <w:r>
        <w:t xml:space="preserve"> </w:t>
      </w:r>
      <w:r w:rsidRPr="005267E8">
        <w:t>The icons provide a visual indication of the performance measure and outcome indicator results. For Key Performance Measures they show whether the reported result is in one of four categories:</w:t>
      </w:r>
    </w:p>
    <w:p w:rsidR="000B1796" w:rsidRPr="005267E8" w:rsidRDefault="009609AB" w:rsidP="002C7BF8">
      <w:pPr>
        <w:pStyle w:val="ListParagraph"/>
        <w:numPr>
          <w:ilvl w:val="0"/>
          <w:numId w:val="74"/>
        </w:numPr>
        <w:spacing w:after="0" w:line="240" w:lineRule="auto"/>
        <w:contextualSpacing w:val="0"/>
      </w:pPr>
      <w:r>
        <w:t xml:space="preserve">Not met: </w:t>
      </w:r>
      <w:r w:rsidR="000B1796" w:rsidRPr="005267E8">
        <w:t>greater than 10% below target; or</w:t>
      </w:r>
    </w:p>
    <w:p w:rsidR="000B1796" w:rsidRPr="005267E8" w:rsidRDefault="009609AB" w:rsidP="002C7BF8">
      <w:pPr>
        <w:pStyle w:val="ListParagraph"/>
        <w:numPr>
          <w:ilvl w:val="0"/>
          <w:numId w:val="74"/>
        </w:numPr>
        <w:spacing w:after="0" w:line="240" w:lineRule="auto"/>
        <w:contextualSpacing w:val="0"/>
      </w:pPr>
      <w:r>
        <w:t xml:space="preserve">Within 10%: </w:t>
      </w:r>
      <w:r w:rsidR="000B1796" w:rsidRPr="005267E8">
        <w:t xml:space="preserve">between zero percent and 10% </w:t>
      </w:r>
      <w:r>
        <w:t xml:space="preserve">above or </w:t>
      </w:r>
      <w:r w:rsidR="000B1796" w:rsidRPr="005267E8">
        <w:t>below target; or</w:t>
      </w:r>
    </w:p>
    <w:p w:rsidR="000B1796" w:rsidRDefault="009609AB" w:rsidP="002C7BF8">
      <w:pPr>
        <w:pStyle w:val="ListParagraph"/>
        <w:numPr>
          <w:ilvl w:val="0"/>
          <w:numId w:val="74"/>
        </w:numPr>
        <w:spacing w:after="0" w:line="240" w:lineRule="auto"/>
        <w:contextualSpacing w:val="0"/>
      </w:pPr>
      <w:r>
        <w:t xml:space="preserve">Exceeded: </w:t>
      </w:r>
      <w:r w:rsidR="000B1796" w:rsidRPr="005267E8">
        <w:t xml:space="preserve">greater than 10% above target </w:t>
      </w:r>
    </w:p>
    <w:p w:rsidR="009609AB" w:rsidRPr="005267E8" w:rsidRDefault="009609AB" w:rsidP="002C7BF8">
      <w:pPr>
        <w:pStyle w:val="ListParagraph"/>
        <w:numPr>
          <w:ilvl w:val="0"/>
          <w:numId w:val="74"/>
        </w:numPr>
        <w:spacing w:after="0" w:line="240" w:lineRule="auto"/>
        <w:contextualSpacing w:val="0"/>
      </w:pPr>
      <w:r>
        <w:t>A baseline result.</w:t>
      </w:r>
    </w:p>
    <w:p w:rsidR="000B1796" w:rsidRPr="005267E8" w:rsidRDefault="000B1796" w:rsidP="000B1796">
      <w:pPr>
        <w:spacing w:after="0" w:line="240" w:lineRule="auto"/>
        <w:ind w:left="405"/>
      </w:pPr>
    </w:p>
    <w:p w:rsidR="000B1796" w:rsidRPr="005267E8" w:rsidRDefault="000B1796" w:rsidP="000B1796">
      <w:pPr>
        <w:spacing w:after="0" w:line="240" w:lineRule="auto"/>
      </w:pPr>
      <w:r w:rsidRPr="005267E8">
        <w:t>We use a range of +/- 10% from target as it allows for fluctuations in performance across the year (e.g. seasonal changes). This is consistent with the reporting of other performance information during the year e.g. in Quarterly Reports.</w:t>
      </w:r>
    </w:p>
    <w:p w:rsidR="000B1796" w:rsidRDefault="000B1796" w:rsidP="000B1796">
      <w:pPr>
        <w:spacing w:after="0" w:line="240" w:lineRule="auto"/>
      </w:pPr>
    </w:p>
    <w:p w:rsidR="000B1796" w:rsidRPr="00D5126A" w:rsidRDefault="000B1796" w:rsidP="000B1796">
      <w:pPr>
        <w:spacing w:after="0" w:line="240" w:lineRule="auto"/>
      </w:pPr>
      <w:r>
        <w:t>Outcome Indicators are shown as trends over time with an icon that provides an indication of the trend direction. Where outcomes display a positive trend these will be shown with an up arrow, a negative trend with a downward arrow and no trend either blank or a dash.</w:t>
      </w:r>
    </w:p>
    <w:p w:rsidR="00B27C37" w:rsidRPr="00D5126A" w:rsidRDefault="00A3111E" w:rsidP="008509B9">
      <w:pPr>
        <w:pStyle w:val="Para003"/>
        <w:spacing w:before="240" w:line="240" w:lineRule="auto"/>
      </w:pPr>
      <w:proofErr w:type="gramStart"/>
      <w:r w:rsidRPr="00D5126A">
        <w:rPr>
          <w:rStyle w:val="00Text"/>
          <w:rFonts w:ascii="Arial" w:hAnsi="Arial" w:cs="Arial"/>
        </w:rPr>
        <w:t>Residents Monitoring Survey (RMS)</w:t>
      </w:r>
      <w:r w:rsidRPr="00D5126A">
        <w:t>.</w:t>
      </w:r>
      <w:proofErr w:type="gramEnd"/>
      <w:r w:rsidRPr="00D5126A">
        <w:t xml:space="preserve"> </w:t>
      </w:r>
      <w:r w:rsidR="001D2EAA" w:rsidRPr="001D2EAA">
        <w:t xml:space="preserve">This survey is undertaken annually by Council. The survey is conducted in two parts. The sample size for part 1 was 462 and for part 2 </w:t>
      </w:r>
      <w:proofErr w:type="gramStart"/>
      <w:r w:rsidR="001D2EAA" w:rsidRPr="001D2EAA">
        <w:t>was</w:t>
      </w:r>
      <w:proofErr w:type="gramEnd"/>
      <w:r w:rsidR="001D2EAA" w:rsidRPr="001D2EAA">
        <w:t xml:space="preserve"> 508. The standard margin of error was calculated at +/- 4.4% percent.</w:t>
      </w:r>
    </w:p>
    <w:p w:rsidR="00B27C37" w:rsidRPr="00D5126A" w:rsidRDefault="00A3111E" w:rsidP="00295C18">
      <w:pPr>
        <w:pStyle w:val="Para003"/>
        <w:spacing w:before="240" w:line="240" w:lineRule="auto"/>
      </w:pPr>
      <w:proofErr w:type="gramStart"/>
      <w:r w:rsidRPr="00D5126A">
        <w:rPr>
          <w:rStyle w:val="00Text"/>
          <w:rFonts w:ascii="Arial" w:hAnsi="Arial" w:cs="Arial"/>
        </w:rPr>
        <w:t>Ring-fenced funds</w:t>
      </w:r>
      <w:r w:rsidRPr="00D5126A">
        <w:t>.</w:t>
      </w:r>
      <w:proofErr w:type="gramEnd"/>
      <w:r w:rsidRPr="00D5126A">
        <w:t xml:space="preserve"> These are funds that can only be used for a specific purpose.</w:t>
      </w:r>
    </w:p>
    <w:p w:rsidR="00B27C37" w:rsidRPr="00D5126A" w:rsidRDefault="00A3111E" w:rsidP="00295C18">
      <w:pPr>
        <w:pStyle w:val="Para003"/>
        <w:spacing w:before="240" w:line="240" w:lineRule="auto"/>
      </w:pPr>
      <w:proofErr w:type="gramStart"/>
      <w:r w:rsidRPr="00D5126A">
        <w:rPr>
          <w:rStyle w:val="00Text"/>
          <w:rFonts w:ascii="Arial" w:hAnsi="Arial" w:cs="Arial"/>
        </w:rPr>
        <w:t>Total comprehensive revenue and expense</w:t>
      </w:r>
      <w:r w:rsidRPr="00D5126A">
        <w:t>.</w:t>
      </w:r>
      <w:proofErr w:type="gramEnd"/>
      <w:r w:rsidRPr="00D5126A">
        <w:t xml:space="preserve"> This is the net surplus/deficit adjusted for fair value movements of some of our assets including property, plant and equipment, and financial instruments such as cash flow hedges. These movements are non-cash in nature and reflect the changing fair value of assets owned by the Council.</w:t>
      </w:r>
    </w:p>
    <w:p w:rsidR="00B27C37" w:rsidRPr="00D5126A" w:rsidRDefault="00A3111E" w:rsidP="00295C18">
      <w:pPr>
        <w:pStyle w:val="Para003"/>
        <w:spacing w:before="240" w:line="240" w:lineRule="auto"/>
      </w:pPr>
      <w:proofErr w:type="gramStart"/>
      <w:r w:rsidRPr="00D5126A">
        <w:rPr>
          <w:rStyle w:val="00Text"/>
          <w:rFonts w:ascii="Arial" w:hAnsi="Arial" w:cs="Arial"/>
        </w:rPr>
        <w:t>Underlying funding surplus/deficit</w:t>
      </w:r>
      <w:r w:rsidRPr="00D5126A">
        <w:t>.</w:t>
      </w:r>
      <w:proofErr w:type="gramEnd"/>
      <w:r w:rsidRPr="00D5126A">
        <w:t xml:space="preserve"> The underlying surplus is the reported net surplus, less any government funding for capital projects, plus items not required to be funded by ratepayers this year and other adjustments that do not affect the rating requirements of Council.</w:t>
      </w:r>
    </w:p>
    <w:p w:rsidR="00B27C37" w:rsidRPr="00D5126A" w:rsidRDefault="00A3111E" w:rsidP="00295C18">
      <w:pPr>
        <w:pStyle w:val="Para003"/>
        <w:spacing w:before="240" w:line="240" w:lineRule="auto"/>
      </w:pPr>
      <w:proofErr w:type="gramStart"/>
      <w:r w:rsidRPr="00D5126A">
        <w:rPr>
          <w:rStyle w:val="00Text"/>
          <w:rFonts w:ascii="Arial" w:hAnsi="Arial" w:cs="Arial"/>
        </w:rPr>
        <w:t>Unfunded depreciation</w:t>
      </w:r>
      <w:r w:rsidRPr="00D5126A">
        <w:t>.</w:t>
      </w:r>
      <w:proofErr w:type="gramEnd"/>
      <w:r w:rsidRPr="00D5126A">
        <w:t xml:space="preserve"> This is the amount of depreciation not funded by rates. This relates mainly to roading assets funded by NZTA and waste water treatment assets where the operator has responsibility for asset renewal.</w:t>
      </w:r>
    </w:p>
    <w:p w:rsidR="00B27C37" w:rsidRPr="00D5126A" w:rsidRDefault="00A3111E" w:rsidP="00295C18">
      <w:pPr>
        <w:pStyle w:val="Para003"/>
        <w:spacing w:before="240" w:line="240" w:lineRule="auto"/>
      </w:pPr>
      <w:proofErr w:type="gramStart"/>
      <w:r w:rsidRPr="00D5126A">
        <w:rPr>
          <w:rStyle w:val="00Text"/>
          <w:rFonts w:ascii="Arial" w:hAnsi="Arial" w:cs="Arial"/>
        </w:rPr>
        <w:t>Vested assets</w:t>
      </w:r>
      <w:r w:rsidRPr="00D5126A">
        <w:t>.</w:t>
      </w:r>
      <w:proofErr w:type="gramEnd"/>
      <w:r w:rsidRPr="00D5126A">
        <w:t xml:space="preserve"> These are assets created by others and passed into Council ownership (for example roads built by a developer as part of a subdivision).</w:t>
      </w:r>
    </w:p>
    <w:p w:rsidR="00FB3372" w:rsidRPr="00D5126A" w:rsidRDefault="00FB3372">
      <w:pPr>
        <w:rPr>
          <w:caps/>
          <w:spacing w:val="15"/>
        </w:rPr>
      </w:pPr>
    </w:p>
    <w:sectPr w:rsidR="00FB3372" w:rsidRPr="00D5126A" w:rsidSect="000555B0">
      <w:type w:val="continuous"/>
      <w:pgSz w:w="11905" w:h="16837"/>
      <w:pgMar w:top="993" w:right="1440" w:bottom="1276" w:left="1440" w:header="720" w:footer="24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D6D1F" w:rsidRDefault="005D6D1F" w:rsidP="0052672E">
      <w:r>
        <w:separator/>
      </w:r>
    </w:p>
  </w:endnote>
  <w:endnote w:type="continuationSeparator" w:id="0">
    <w:p w:rsidR="005D6D1F" w:rsidRDefault="005D6D1F" w:rsidP="005267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ngsana New">
    <w:altName w:val="Arial Unicode MS"/>
    <w:panose1 w:val="02020603050405020304"/>
    <w:charset w:val="DE"/>
    <w:family w:val="roman"/>
    <w:notTrueType/>
    <w:pitch w:val="variable"/>
    <w:sig w:usb0="01000000" w:usb1="00000000" w:usb2="00000000" w:usb3="00000000" w:csb0="00010000" w:csb1="00000000"/>
  </w:font>
  <w:font w:name="Arial Black">
    <w:panose1 w:val="020B0A04020102020204"/>
    <w:charset w:val="00"/>
    <w:family w:val="swiss"/>
    <w:pitch w:val="variable"/>
    <w:sig w:usb0="A00002AF" w:usb1="400078FB" w:usb2="00000000" w:usb3="00000000" w:csb0="0000009F" w:csb1="00000000"/>
  </w:font>
  <w:font w:name="Helvetica Neue">
    <w:altName w:val="Times New Roman"/>
    <w:charset w:val="00"/>
    <w:family w:val="auto"/>
    <w:pitch w:val="default"/>
  </w:font>
  <w:font w:name="GuardianTextEgyp">
    <w:altName w:val="Times New Roman"/>
    <w:charset w:val="00"/>
    <w:family w:val="auto"/>
    <w:pitch w:val="default"/>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New York">
    <w:panose1 w:val="02040503060506020304"/>
    <w:charset w:val="00"/>
    <w:family w:val="roman"/>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14573886"/>
      <w:docPartObj>
        <w:docPartGallery w:val="Page Numbers (Bottom of Page)"/>
        <w:docPartUnique/>
      </w:docPartObj>
    </w:sdtPr>
    <w:sdtContent>
      <w:p w:rsidR="005D6D1F" w:rsidRDefault="005D6D1F" w:rsidP="00435AB2">
        <w:pPr>
          <w:jc w:val="right"/>
        </w:pPr>
        <w:r>
          <w:t xml:space="preserve">Page | </w:t>
        </w:r>
        <w:r>
          <w:fldChar w:fldCharType="begin"/>
        </w:r>
        <w:r>
          <w:instrText xml:space="preserve"> PAGE   \* MERGEFORMAT </w:instrText>
        </w:r>
        <w:r>
          <w:fldChar w:fldCharType="separate"/>
        </w:r>
        <w:r w:rsidR="00E20DD9">
          <w:rPr>
            <w:noProof/>
          </w:rPr>
          <w:t>329</w:t>
        </w:r>
        <w:r>
          <w:rPr>
            <w:noProof/>
          </w:rPr>
          <w:fldChar w:fldCharType="end"/>
        </w:r>
        <w:r>
          <w:t xml:space="preserve"> </w:t>
        </w:r>
      </w:p>
    </w:sdtContent>
  </w:sdt>
  <w:p w:rsidR="005D6D1F" w:rsidRPr="00716CCA" w:rsidRDefault="005D6D1F" w:rsidP="0052672E">
    <w:pPr>
      <w:pStyle w:val="Footer"/>
      <w:rPr>
        <w:sz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D6D1F" w:rsidRDefault="005D6D1F" w:rsidP="0052672E">
      <w:r>
        <w:separator/>
      </w:r>
    </w:p>
  </w:footnote>
  <w:footnote w:type="continuationSeparator" w:id="0">
    <w:p w:rsidR="005D6D1F" w:rsidRDefault="005D6D1F" w:rsidP="0052672E">
      <w:r>
        <w:continuationSeparator/>
      </w:r>
    </w:p>
  </w:footnote>
  <w:footnote w:id="1">
    <w:p w:rsidR="005D6D1F" w:rsidRPr="00963A74" w:rsidRDefault="005D6D1F" w:rsidP="00963A74">
      <w:pPr>
        <w:spacing w:after="0" w:line="240" w:lineRule="auto"/>
        <w:ind w:left="142" w:hanging="142"/>
        <w:rPr>
          <w:sz w:val="18"/>
          <w:szCs w:val="20"/>
        </w:rPr>
      </w:pPr>
      <w:r w:rsidRPr="00963A74">
        <w:rPr>
          <w:rStyle w:val="FootnoteReference"/>
          <w:sz w:val="28"/>
        </w:rPr>
        <w:footnoteRef/>
      </w:r>
      <w:r w:rsidRPr="00963A74">
        <w:rPr>
          <w:sz w:val="28"/>
        </w:rPr>
        <w:t xml:space="preserve"> </w:t>
      </w:r>
      <w:r w:rsidRPr="00963A74">
        <w:rPr>
          <w:sz w:val="18"/>
          <w:szCs w:val="20"/>
        </w:rPr>
        <w:t>For restricted assets, valuation at cost means they are not subject to revaluation. Please refer to the relevant significant accounting policies above for a more detailed explanation.</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091CD67C"/>
    <w:lvl w:ilvl="0">
      <w:start w:val="1"/>
      <w:numFmt w:val="bullet"/>
      <w:pStyle w:val="PlaceholderText1"/>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Times New Roman"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Times New Roman"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3806C4"/>
    <w:multiLevelType w:val="hybridMultilevel"/>
    <w:tmpl w:val="9CFCEDB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nsid w:val="00AC7B77"/>
    <w:multiLevelType w:val="hybridMultilevel"/>
    <w:tmpl w:val="89B6725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nsid w:val="013B52BF"/>
    <w:multiLevelType w:val="hybridMultilevel"/>
    <w:tmpl w:val="834A294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nsid w:val="024A7CD5"/>
    <w:multiLevelType w:val="hybridMultilevel"/>
    <w:tmpl w:val="BE1A82A4"/>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
    <w:nsid w:val="044629D2"/>
    <w:multiLevelType w:val="hybridMultilevel"/>
    <w:tmpl w:val="539CDF4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nsid w:val="06686536"/>
    <w:multiLevelType w:val="hybridMultilevel"/>
    <w:tmpl w:val="320E98C6"/>
    <w:lvl w:ilvl="0" w:tplc="14090001">
      <w:start w:val="1"/>
      <w:numFmt w:val="bullet"/>
      <w:lvlText w:val=""/>
      <w:lvlJc w:val="left"/>
      <w:pPr>
        <w:ind w:left="144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nsid w:val="085A06B0"/>
    <w:multiLevelType w:val="hybridMultilevel"/>
    <w:tmpl w:val="745ECFCA"/>
    <w:lvl w:ilvl="0" w:tplc="08090001">
      <w:start w:val="1"/>
      <w:numFmt w:val="bullet"/>
      <w:lvlText w:val=""/>
      <w:lvlJc w:val="left"/>
      <w:pPr>
        <w:tabs>
          <w:tab w:val="num" w:pos="3240"/>
        </w:tabs>
        <w:ind w:left="3240" w:hanging="360"/>
      </w:pPr>
      <w:rPr>
        <w:rFonts w:ascii="Symbol" w:hAnsi="Symbol" w:hint="default"/>
        <w:sz w:val="22"/>
        <w:szCs w:val="22"/>
      </w:rPr>
    </w:lvl>
    <w:lvl w:ilvl="1" w:tplc="08090003">
      <w:start w:val="1"/>
      <w:numFmt w:val="bullet"/>
      <w:lvlText w:val="o"/>
      <w:lvlJc w:val="left"/>
      <w:pPr>
        <w:tabs>
          <w:tab w:val="num" w:pos="2160"/>
        </w:tabs>
        <w:ind w:left="2160" w:hanging="360"/>
      </w:pPr>
      <w:rPr>
        <w:rFonts w:ascii="Courier New" w:hAnsi="Courier New" w:cs="Courier New" w:hint="default"/>
      </w:rPr>
    </w:lvl>
    <w:lvl w:ilvl="2" w:tplc="08090005">
      <w:start w:val="1"/>
      <w:numFmt w:val="bullet"/>
      <w:lvlText w:val=""/>
      <w:lvlJc w:val="left"/>
      <w:pPr>
        <w:tabs>
          <w:tab w:val="num" w:pos="2880"/>
        </w:tabs>
        <w:ind w:left="2880" w:hanging="360"/>
      </w:pPr>
      <w:rPr>
        <w:rFonts w:ascii="Wingdings" w:hAnsi="Wingdings" w:hint="default"/>
      </w:rPr>
    </w:lvl>
    <w:lvl w:ilvl="3" w:tplc="08090001">
      <w:start w:val="1"/>
      <w:numFmt w:val="bullet"/>
      <w:lvlText w:val=""/>
      <w:lvlJc w:val="left"/>
      <w:pPr>
        <w:tabs>
          <w:tab w:val="num" w:pos="3600"/>
        </w:tabs>
        <w:ind w:left="3600" w:hanging="360"/>
      </w:pPr>
      <w:rPr>
        <w:rFonts w:ascii="Symbol" w:hAnsi="Symbol" w:hint="default"/>
      </w:rPr>
    </w:lvl>
    <w:lvl w:ilvl="4" w:tplc="08090003">
      <w:start w:val="1"/>
      <w:numFmt w:val="bullet"/>
      <w:lvlText w:val="o"/>
      <w:lvlJc w:val="left"/>
      <w:pPr>
        <w:tabs>
          <w:tab w:val="num" w:pos="4320"/>
        </w:tabs>
        <w:ind w:left="4320" w:hanging="360"/>
      </w:pPr>
      <w:rPr>
        <w:rFonts w:ascii="Courier New" w:hAnsi="Courier New" w:cs="Courier New" w:hint="default"/>
      </w:rPr>
    </w:lvl>
    <w:lvl w:ilvl="5" w:tplc="08090005">
      <w:start w:val="1"/>
      <w:numFmt w:val="bullet"/>
      <w:lvlText w:val=""/>
      <w:lvlJc w:val="left"/>
      <w:pPr>
        <w:tabs>
          <w:tab w:val="num" w:pos="5040"/>
        </w:tabs>
        <w:ind w:left="5040" w:hanging="360"/>
      </w:pPr>
      <w:rPr>
        <w:rFonts w:ascii="Wingdings" w:hAnsi="Wingdings" w:hint="default"/>
      </w:rPr>
    </w:lvl>
    <w:lvl w:ilvl="6" w:tplc="08090001">
      <w:start w:val="1"/>
      <w:numFmt w:val="bullet"/>
      <w:lvlText w:val=""/>
      <w:lvlJc w:val="left"/>
      <w:pPr>
        <w:tabs>
          <w:tab w:val="num" w:pos="5760"/>
        </w:tabs>
        <w:ind w:left="5760" w:hanging="360"/>
      </w:pPr>
      <w:rPr>
        <w:rFonts w:ascii="Symbol" w:hAnsi="Symbol" w:hint="default"/>
      </w:rPr>
    </w:lvl>
    <w:lvl w:ilvl="7" w:tplc="08090003">
      <w:start w:val="1"/>
      <w:numFmt w:val="bullet"/>
      <w:lvlText w:val="o"/>
      <w:lvlJc w:val="left"/>
      <w:pPr>
        <w:tabs>
          <w:tab w:val="num" w:pos="6480"/>
        </w:tabs>
        <w:ind w:left="6480" w:hanging="360"/>
      </w:pPr>
      <w:rPr>
        <w:rFonts w:ascii="Courier New" w:hAnsi="Courier New" w:cs="Courier New" w:hint="default"/>
      </w:rPr>
    </w:lvl>
    <w:lvl w:ilvl="8" w:tplc="08090005">
      <w:start w:val="1"/>
      <w:numFmt w:val="bullet"/>
      <w:lvlText w:val=""/>
      <w:lvlJc w:val="left"/>
      <w:pPr>
        <w:tabs>
          <w:tab w:val="num" w:pos="7200"/>
        </w:tabs>
        <w:ind w:left="7200" w:hanging="360"/>
      </w:pPr>
      <w:rPr>
        <w:rFonts w:ascii="Wingdings" w:hAnsi="Wingdings" w:hint="default"/>
      </w:rPr>
    </w:lvl>
  </w:abstractNum>
  <w:abstractNum w:abstractNumId="8">
    <w:nsid w:val="09B93C4D"/>
    <w:multiLevelType w:val="hybridMultilevel"/>
    <w:tmpl w:val="EE4A0BB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nsid w:val="0BE92A34"/>
    <w:multiLevelType w:val="hybridMultilevel"/>
    <w:tmpl w:val="AEFC703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nsid w:val="0CC34740"/>
    <w:multiLevelType w:val="hybridMultilevel"/>
    <w:tmpl w:val="4A3E922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nsid w:val="0DB8794C"/>
    <w:multiLevelType w:val="hybridMultilevel"/>
    <w:tmpl w:val="6EC2A08C"/>
    <w:lvl w:ilvl="0" w:tplc="08090019">
      <w:start w:val="1"/>
      <w:numFmt w:val="lowerLetter"/>
      <w:lvlText w:val="%1."/>
      <w:lvlJc w:val="left"/>
      <w:pPr>
        <w:ind w:left="720" w:hanging="360"/>
      </w:p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2">
    <w:nsid w:val="0E4175D3"/>
    <w:multiLevelType w:val="hybridMultilevel"/>
    <w:tmpl w:val="4EAEC340"/>
    <w:lvl w:ilvl="0" w:tplc="14090015">
      <w:start w:val="1"/>
      <w:numFmt w:val="upp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3">
    <w:nsid w:val="0E97620E"/>
    <w:multiLevelType w:val="hybridMultilevel"/>
    <w:tmpl w:val="183AD3B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nsid w:val="0F6B1FE4"/>
    <w:multiLevelType w:val="hybridMultilevel"/>
    <w:tmpl w:val="278A5AFE"/>
    <w:name w:val="List 1"/>
    <w:lvl w:ilvl="0" w:tplc="55180068">
      <w:start w:val="1"/>
      <w:numFmt w:val="decimal"/>
      <w:lvlText w:val="%1."/>
      <w:lvlJc w:val="left"/>
      <w:pPr>
        <w:ind w:left="1152" w:hanging="360"/>
      </w:pPr>
    </w:lvl>
    <w:lvl w:ilvl="1" w:tplc="0A387B42">
      <w:numFmt w:val="decimal"/>
      <w:lvlText w:val=""/>
      <w:lvlJc w:val="left"/>
    </w:lvl>
    <w:lvl w:ilvl="2" w:tplc="31469948">
      <w:numFmt w:val="decimal"/>
      <w:lvlText w:val=""/>
      <w:lvlJc w:val="left"/>
    </w:lvl>
    <w:lvl w:ilvl="3" w:tplc="0B983F44">
      <w:numFmt w:val="decimal"/>
      <w:lvlText w:val=""/>
      <w:lvlJc w:val="left"/>
    </w:lvl>
    <w:lvl w:ilvl="4" w:tplc="6CC43C82">
      <w:numFmt w:val="decimal"/>
      <w:lvlText w:val=""/>
      <w:lvlJc w:val="left"/>
    </w:lvl>
    <w:lvl w:ilvl="5" w:tplc="D36A07FE">
      <w:numFmt w:val="decimal"/>
      <w:lvlText w:val=""/>
      <w:lvlJc w:val="left"/>
    </w:lvl>
    <w:lvl w:ilvl="6" w:tplc="0A50DDA0">
      <w:numFmt w:val="decimal"/>
      <w:lvlText w:val=""/>
      <w:lvlJc w:val="left"/>
    </w:lvl>
    <w:lvl w:ilvl="7" w:tplc="F564A208">
      <w:numFmt w:val="decimal"/>
      <w:lvlText w:val=""/>
      <w:lvlJc w:val="left"/>
    </w:lvl>
    <w:lvl w:ilvl="8" w:tplc="86A25ED2">
      <w:numFmt w:val="decimal"/>
      <w:lvlText w:val=""/>
      <w:lvlJc w:val="left"/>
    </w:lvl>
  </w:abstractNum>
  <w:abstractNum w:abstractNumId="15">
    <w:nsid w:val="0FCA59CD"/>
    <w:multiLevelType w:val="hybridMultilevel"/>
    <w:tmpl w:val="A6CEAAC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nsid w:val="101F313B"/>
    <w:multiLevelType w:val="hybridMultilevel"/>
    <w:tmpl w:val="C3341984"/>
    <w:lvl w:ilvl="0" w:tplc="4A283D10">
      <w:start w:val="1"/>
      <w:numFmt w:val="decimal"/>
      <w:lvlText w:val="%1."/>
      <w:lvlJc w:val="left"/>
      <w:pPr>
        <w:ind w:left="720" w:hanging="360"/>
      </w:pPr>
      <w:rPr>
        <w:b/>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7">
    <w:nsid w:val="114533B7"/>
    <w:multiLevelType w:val="hybridMultilevel"/>
    <w:tmpl w:val="4940A47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nsid w:val="12742394"/>
    <w:multiLevelType w:val="hybridMultilevel"/>
    <w:tmpl w:val="4CE0B558"/>
    <w:name w:val="List 3"/>
    <w:lvl w:ilvl="0" w:tplc="98A4564C">
      <w:start w:val="1"/>
      <w:numFmt w:val="decimal"/>
      <w:lvlText w:val="%1."/>
      <w:lvlJc w:val="left"/>
      <w:pPr>
        <w:ind w:left="1152" w:hanging="360"/>
      </w:pPr>
    </w:lvl>
    <w:lvl w:ilvl="1" w:tplc="3AB471E0">
      <w:numFmt w:val="decimal"/>
      <w:lvlText w:val=""/>
      <w:lvlJc w:val="left"/>
    </w:lvl>
    <w:lvl w:ilvl="2" w:tplc="FFA4F6FA">
      <w:numFmt w:val="decimal"/>
      <w:lvlText w:val=""/>
      <w:lvlJc w:val="left"/>
    </w:lvl>
    <w:lvl w:ilvl="3" w:tplc="6B04F23C">
      <w:numFmt w:val="decimal"/>
      <w:lvlText w:val=""/>
      <w:lvlJc w:val="left"/>
    </w:lvl>
    <w:lvl w:ilvl="4" w:tplc="ABAEBEB0">
      <w:numFmt w:val="decimal"/>
      <w:lvlText w:val=""/>
      <w:lvlJc w:val="left"/>
    </w:lvl>
    <w:lvl w:ilvl="5" w:tplc="E390866E">
      <w:numFmt w:val="decimal"/>
      <w:lvlText w:val=""/>
      <w:lvlJc w:val="left"/>
    </w:lvl>
    <w:lvl w:ilvl="6" w:tplc="959E61C4">
      <w:numFmt w:val="decimal"/>
      <w:lvlText w:val=""/>
      <w:lvlJc w:val="left"/>
    </w:lvl>
    <w:lvl w:ilvl="7" w:tplc="FDCAB724">
      <w:numFmt w:val="decimal"/>
      <w:lvlText w:val=""/>
      <w:lvlJc w:val="left"/>
    </w:lvl>
    <w:lvl w:ilvl="8" w:tplc="7EC60FFC">
      <w:numFmt w:val="decimal"/>
      <w:lvlText w:val=""/>
      <w:lvlJc w:val="left"/>
    </w:lvl>
  </w:abstractNum>
  <w:abstractNum w:abstractNumId="19">
    <w:nsid w:val="12A27F0C"/>
    <w:multiLevelType w:val="hybridMultilevel"/>
    <w:tmpl w:val="98380688"/>
    <w:lvl w:ilvl="0" w:tplc="08090001">
      <w:start w:val="1"/>
      <w:numFmt w:val="bullet"/>
      <w:lvlText w:val=""/>
      <w:lvlJc w:val="left"/>
      <w:pPr>
        <w:ind w:left="744" w:hanging="360"/>
      </w:pPr>
      <w:rPr>
        <w:rFonts w:ascii="Symbol" w:hAnsi="Symbol" w:hint="default"/>
      </w:rPr>
    </w:lvl>
    <w:lvl w:ilvl="1" w:tplc="14090003" w:tentative="1">
      <w:start w:val="1"/>
      <w:numFmt w:val="bullet"/>
      <w:lvlText w:val="o"/>
      <w:lvlJc w:val="left"/>
      <w:pPr>
        <w:ind w:left="1464" w:hanging="360"/>
      </w:pPr>
      <w:rPr>
        <w:rFonts w:ascii="Courier New" w:hAnsi="Courier New" w:cs="Courier New" w:hint="default"/>
      </w:rPr>
    </w:lvl>
    <w:lvl w:ilvl="2" w:tplc="14090005" w:tentative="1">
      <w:start w:val="1"/>
      <w:numFmt w:val="bullet"/>
      <w:lvlText w:val=""/>
      <w:lvlJc w:val="left"/>
      <w:pPr>
        <w:ind w:left="2184" w:hanging="360"/>
      </w:pPr>
      <w:rPr>
        <w:rFonts w:ascii="Wingdings" w:hAnsi="Wingdings" w:hint="default"/>
      </w:rPr>
    </w:lvl>
    <w:lvl w:ilvl="3" w:tplc="14090001" w:tentative="1">
      <w:start w:val="1"/>
      <w:numFmt w:val="bullet"/>
      <w:lvlText w:val=""/>
      <w:lvlJc w:val="left"/>
      <w:pPr>
        <w:ind w:left="2904" w:hanging="360"/>
      </w:pPr>
      <w:rPr>
        <w:rFonts w:ascii="Symbol" w:hAnsi="Symbol" w:hint="default"/>
      </w:rPr>
    </w:lvl>
    <w:lvl w:ilvl="4" w:tplc="14090003" w:tentative="1">
      <w:start w:val="1"/>
      <w:numFmt w:val="bullet"/>
      <w:lvlText w:val="o"/>
      <w:lvlJc w:val="left"/>
      <w:pPr>
        <w:ind w:left="3624" w:hanging="360"/>
      </w:pPr>
      <w:rPr>
        <w:rFonts w:ascii="Courier New" w:hAnsi="Courier New" w:cs="Courier New" w:hint="default"/>
      </w:rPr>
    </w:lvl>
    <w:lvl w:ilvl="5" w:tplc="14090005" w:tentative="1">
      <w:start w:val="1"/>
      <w:numFmt w:val="bullet"/>
      <w:lvlText w:val=""/>
      <w:lvlJc w:val="left"/>
      <w:pPr>
        <w:ind w:left="4344" w:hanging="360"/>
      </w:pPr>
      <w:rPr>
        <w:rFonts w:ascii="Wingdings" w:hAnsi="Wingdings" w:hint="default"/>
      </w:rPr>
    </w:lvl>
    <w:lvl w:ilvl="6" w:tplc="14090001" w:tentative="1">
      <w:start w:val="1"/>
      <w:numFmt w:val="bullet"/>
      <w:lvlText w:val=""/>
      <w:lvlJc w:val="left"/>
      <w:pPr>
        <w:ind w:left="5064" w:hanging="360"/>
      </w:pPr>
      <w:rPr>
        <w:rFonts w:ascii="Symbol" w:hAnsi="Symbol" w:hint="default"/>
      </w:rPr>
    </w:lvl>
    <w:lvl w:ilvl="7" w:tplc="14090003" w:tentative="1">
      <w:start w:val="1"/>
      <w:numFmt w:val="bullet"/>
      <w:lvlText w:val="o"/>
      <w:lvlJc w:val="left"/>
      <w:pPr>
        <w:ind w:left="5784" w:hanging="360"/>
      </w:pPr>
      <w:rPr>
        <w:rFonts w:ascii="Courier New" w:hAnsi="Courier New" w:cs="Courier New" w:hint="default"/>
      </w:rPr>
    </w:lvl>
    <w:lvl w:ilvl="8" w:tplc="14090005" w:tentative="1">
      <w:start w:val="1"/>
      <w:numFmt w:val="bullet"/>
      <w:lvlText w:val=""/>
      <w:lvlJc w:val="left"/>
      <w:pPr>
        <w:ind w:left="6504" w:hanging="360"/>
      </w:pPr>
      <w:rPr>
        <w:rFonts w:ascii="Wingdings" w:hAnsi="Wingdings" w:hint="default"/>
      </w:rPr>
    </w:lvl>
  </w:abstractNum>
  <w:abstractNum w:abstractNumId="20">
    <w:nsid w:val="136B192F"/>
    <w:multiLevelType w:val="hybridMultilevel"/>
    <w:tmpl w:val="9E023DF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nsid w:val="13723A6C"/>
    <w:multiLevelType w:val="hybridMultilevel"/>
    <w:tmpl w:val="4942B88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nsid w:val="13997AFF"/>
    <w:multiLevelType w:val="hybridMultilevel"/>
    <w:tmpl w:val="9DAC6F28"/>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23">
    <w:nsid w:val="145D713C"/>
    <w:multiLevelType w:val="hybridMultilevel"/>
    <w:tmpl w:val="4E92C622"/>
    <w:lvl w:ilvl="0" w:tplc="7192890A">
      <w:start w:val="4"/>
      <w:numFmt w:val="bullet"/>
      <w:lvlText w:val="-"/>
      <w:lvlJc w:val="left"/>
      <w:pPr>
        <w:ind w:left="720" w:hanging="360"/>
      </w:pPr>
      <w:rPr>
        <w:rFonts w:ascii="Arial" w:eastAsiaTheme="minorEastAsia" w:hAnsi="Arial"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4">
    <w:nsid w:val="15CB2F58"/>
    <w:multiLevelType w:val="hybridMultilevel"/>
    <w:tmpl w:val="EB8043F0"/>
    <w:lvl w:ilvl="0" w:tplc="811C9C3A">
      <w:numFmt w:val="bullet"/>
      <w:lvlText w:val="•"/>
      <w:lvlJc w:val="left"/>
      <w:pPr>
        <w:ind w:left="720" w:hanging="360"/>
      </w:pPr>
      <w:rPr>
        <w:rFonts w:ascii="Arial" w:eastAsiaTheme="minorEastAsia" w:hAnsi="Arial" w:cs="Arial" w:hint="default"/>
        <w:b/>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5">
    <w:nsid w:val="17E601DF"/>
    <w:multiLevelType w:val="hybridMultilevel"/>
    <w:tmpl w:val="F89AAFC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6">
    <w:nsid w:val="196601FA"/>
    <w:multiLevelType w:val="hybridMultilevel"/>
    <w:tmpl w:val="E0860610"/>
    <w:name w:val="List 2"/>
    <w:lvl w:ilvl="0" w:tplc="F85444DC">
      <w:start w:val="1"/>
      <w:numFmt w:val="decimal"/>
      <w:lvlText w:val="%1."/>
      <w:lvlJc w:val="left"/>
      <w:pPr>
        <w:ind w:left="1152" w:hanging="360"/>
      </w:pPr>
    </w:lvl>
    <w:lvl w:ilvl="1" w:tplc="3350F0DC">
      <w:numFmt w:val="decimal"/>
      <w:lvlText w:val=""/>
      <w:lvlJc w:val="left"/>
    </w:lvl>
    <w:lvl w:ilvl="2" w:tplc="C9820CC4">
      <w:numFmt w:val="decimal"/>
      <w:lvlText w:val=""/>
      <w:lvlJc w:val="left"/>
    </w:lvl>
    <w:lvl w:ilvl="3" w:tplc="FEBC0082">
      <w:numFmt w:val="decimal"/>
      <w:lvlText w:val=""/>
      <w:lvlJc w:val="left"/>
    </w:lvl>
    <w:lvl w:ilvl="4" w:tplc="D9341E2C">
      <w:numFmt w:val="decimal"/>
      <w:lvlText w:val=""/>
      <w:lvlJc w:val="left"/>
    </w:lvl>
    <w:lvl w:ilvl="5" w:tplc="017EA186">
      <w:numFmt w:val="decimal"/>
      <w:lvlText w:val=""/>
      <w:lvlJc w:val="left"/>
    </w:lvl>
    <w:lvl w:ilvl="6" w:tplc="FD3C7AA6">
      <w:numFmt w:val="decimal"/>
      <w:lvlText w:val=""/>
      <w:lvlJc w:val="left"/>
    </w:lvl>
    <w:lvl w:ilvl="7" w:tplc="CB446E54">
      <w:numFmt w:val="decimal"/>
      <w:lvlText w:val=""/>
      <w:lvlJc w:val="left"/>
    </w:lvl>
    <w:lvl w:ilvl="8" w:tplc="217CFD04">
      <w:numFmt w:val="decimal"/>
      <w:lvlText w:val=""/>
      <w:lvlJc w:val="left"/>
    </w:lvl>
  </w:abstractNum>
  <w:abstractNum w:abstractNumId="27">
    <w:nsid w:val="1B511AC2"/>
    <w:multiLevelType w:val="hybridMultilevel"/>
    <w:tmpl w:val="707017BA"/>
    <w:lvl w:ilvl="0" w:tplc="14090001">
      <w:start w:val="1"/>
      <w:numFmt w:val="bullet"/>
      <w:lvlText w:val=""/>
      <w:lvlJc w:val="left"/>
      <w:pPr>
        <w:ind w:left="789" w:hanging="360"/>
      </w:pPr>
      <w:rPr>
        <w:rFonts w:ascii="Symbol" w:hAnsi="Symbol" w:hint="default"/>
      </w:rPr>
    </w:lvl>
    <w:lvl w:ilvl="1" w:tplc="14090003" w:tentative="1">
      <w:start w:val="1"/>
      <w:numFmt w:val="bullet"/>
      <w:lvlText w:val="o"/>
      <w:lvlJc w:val="left"/>
      <w:pPr>
        <w:ind w:left="1509" w:hanging="360"/>
      </w:pPr>
      <w:rPr>
        <w:rFonts w:ascii="Courier New" w:hAnsi="Courier New" w:cs="Courier New" w:hint="default"/>
      </w:rPr>
    </w:lvl>
    <w:lvl w:ilvl="2" w:tplc="14090005" w:tentative="1">
      <w:start w:val="1"/>
      <w:numFmt w:val="bullet"/>
      <w:lvlText w:val=""/>
      <w:lvlJc w:val="left"/>
      <w:pPr>
        <w:ind w:left="2229" w:hanging="360"/>
      </w:pPr>
      <w:rPr>
        <w:rFonts w:ascii="Wingdings" w:hAnsi="Wingdings" w:hint="default"/>
      </w:rPr>
    </w:lvl>
    <w:lvl w:ilvl="3" w:tplc="14090001" w:tentative="1">
      <w:start w:val="1"/>
      <w:numFmt w:val="bullet"/>
      <w:lvlText w:val=""/>
      <w:lvlJc w:val="left"/>
      <w:pPr>
        <w:ind w:left="2949" w:hanging="360"/>
      </w:pPr>
      <w:rPr>
        <w:rFonts w:ascii="Symbol" w:hAnsi="Symbol" w:hint="default"/>
      </w:rPr>
    </w:lvl>
    <w:lvl w:ilvl="4" w:tplc="14090003" w:tentative="1">
      <w:start w:val="1"/>
      <w:numFmt w:val="bullet"/>
      <w:lvlText w:val="o"/>
      <w:lvlJc w:val="left"/>
      <w:pPr>
        <w:ind w:left="3669" w:hanging="360"/>
      </w:pPr>
      <w:rPr>
        <w:rFonts w:ascii="Courier New" w:hAnsi="Courier New" w:cs="Courier New" w:hint="default"/>
      </w:rPr>
    </w:lvl>
    <w:lvl w:ilvl="5" w:tplc="14090005" w:tentative="1">
      <w:start w:val="1"/>
      <w:numFmt w:val="bullet"/>
      <w:lvlText w:val=""/>
      <w:lvlJc w:val="left"/>
      <w:pPr>
        <w:ind w:left="4389" w:hanging="360"/>
      </w:pPr>
      <w:rPr>
        <w:rFonts w:ascii="Wingdings" w:hAnsi="Wingdings" w:hint="default"/>
      </w:rPr>
    </w:lvl>
    <w:lvl w:ilvl="6" w:tplc="14090001" w:tentative="1">
      <w:start w:val="1"/>
      <w:numFmt w:val="bullet"/>
      <w:lvlText w:val=""/>
      <w:lvlJc w:val="left"/>
      <w:pPr>
        <w:ind w:left="5109" w:hanging="360"/>
      </w:pPr>
      <w:rPr>
        <w:rFonts w:ascii="Symbol" w:hAnsi="Symbol" w:hint="default"/>
      </w:rPr>
    </w:lvl>
    <w:lvl w:ilvl="7" w:tplc="14090003" w:tentative="1">
      <w:start w:val="1"/>
      <w:numFmt w:val="bullet"/>
      <w:lvlText w:val="o"/>
      <w:lvlJc w:val="left"/>
      <w:pPr>
        <w:ind w:left="5829" w:hanging="360"/>
      </w:pPr>
      <w:rPr>
        <w:rFonts w:ascii="Courier New" w:hAnsi="Courier New" w:cs="Courier New" w:hint="default"/>
      </w:rPr>
    </w:lvl>
    <w:lvl w:ilvl="8" w:tplc="14090005" w:tentative="1">
      <w:start w:val="1"/>
      <w:numFmt w:val="bullet"/>
      <w:lvlText w:val=""/>
      <w:lvlJc w:val="left"/>
      <w:pPr>
        <w:ind w:left="6549" w:hanging="360"/>
      </w:pPr>
      <w:rPr>
        <w:rFonts w:ascii="Wingdings" w:hAnsi="Wingdings" w:hint="default"/>
      </w:rPr>
    </w:lvl>
  </w:abstractNum>
  <w:abstractNum w:abstractNumId="28">
    <w:nsid w:val="1B595C60"/>
    <w:multiLevelType w:val="hybridMultilevel"/>
    <w:tmpl w:val="BA5E3F0C"/>
    <w:lvl w:ilvl="0" w:tplc="1409000F">
      <w:start w:val="1"/>
      <w:numFmt w:val="decimal"/>
      <w:lvlText w:val="%1."/>
      <w:lvlJc w:val="left"/>
      <w:pPr>
        <w:ind w:left="720" w:hanging="360"/>
      </w:pPr>
      <w:rPr>
        <w:rFonts w:hint="default"/>
      </w:rPr>
    </w:lvl>
    <w:lvl w:ilvl="1" w:tplc="2F90FEA2">
      <w:start w:val="1"/>
      <w:numFmt w:val="lowerLetter"/>
      <w:lvlText w:val="%2."/>
      <w:lvlJc w:val="left"/>
      <w:pPr>
        <w:ind w:left="1440" w:hanging="360"/>
      </w:pPr>
      <w:rPr>
        <w:b/>
      </w:r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9">
    <w:nsid w:val="1E35158B"/>
    <w:multiLevelType w:val="hybridMultilevel"/>
    <w:tmpl w:val="3EDE1CB2"/>
    <w:lvl w:ilvl="0" w:tplc="1409000F">
      <w:start w:val="1"/>
      <w:numFmt w:val="decimal"/>
      <w:lvlText w:val="%1."/>
      <w:lvlJc w:val="left"/>
      <w:pPr>
        <w:ind w:left="786"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0">
    <w:nsid w:val="1E9B56F5"/>
    <w:multiLevelType w:val="hybridMultilevel"/>
    <w:tmpl w:val="9686058C"/>
    <w:lvl w:ilvl="0" w:tplc="08090001">
      <w:start w:val="1"/>
      <w:numFmt w:val="bullet"/>
      <w:lvlText w:val=""/>
      <w:lvlJc w:val="left"/>
      <w:pPr>
        <w:ind w:left="720" w:hanging="360"/>
      </w:pPr>
      <w:rPr>
        <w:rFonts w:ascii="Symbol" w:hAnsi="Symbol" w:hint="default"/>
        <w:sz w:val="22"/>
        <w:szCs w:val="22"/>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1">
    <w:nsid w:val="204B1D5F"/>
    <w:multiLevelType w:val="hybridMultilevel"/>
    <w:tmpl w:val="E384C508"/>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2">
    <w:nsid w:val="221839D9"/>
    <w:multiLevelType w:val="hybridMultilevel"/>
    <w:tmpl w:val="F4A297A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3">
    <w:nsid w:val="2349724F"/>
    <w:multiLevelType w:val="hybridMultilevel"/>
    <w:tmpl w:val="22CAEC54"/>
    <w:lvl w:ilvl="0" w:tplc="08090001">
      <w:start w:val="1"/>
      <w:numFmt w:val="bullet"/>
      <w:lvlText w:val=""/>
      <w:lvlJc w:val="left"/>
      <w:pPr>
        <w:ind w:left="720" w:hanging="360"/>
      </w:pPr>
      <w:rPr>
        <w:rFonts w:ascii="Symbol" w:hAnsi="Symbol" w:hint="default"/>
        <w:sz w:val="22"/>
        <w:szCs w:val="22"/>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4">
    <w:nsid w:val="247C6086"/>
    <w:multiLevelType w:val="hybridMultilevel"/>
    <w:tmpl w:val="762293A4"/>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35">
    <w:nsid w:val="25E327EE"/>
    <w:multiLevelType w:val="hybridMultilevel"/>
    <w:tmpl w:val="17D8FA3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6">
    <w:nsid w:val="278D0932"/>
    <w:multiLevelType w:val="hybridMultilevel"/>
    <w:tmpl w:val="EC54D4B6"/>
    <w:lvl w:ilvl="0" w:tplc="75385F44">
      <w:start w:val="2000"/>
      <w:numFmt w:val="bullet"/>
      <w:lvlText w:val="-"/>
      <w:lvlJc w:val="left"/>
      <w:pPr>
        <w:tabs>
          <w:tab w:val="num" w:pos="3240"/>
        </w:tabs>
        <w:ind w:left="3240" w:hanging="360"/>
      </w:pPr>
      <w:rPr>
        <w:rFonts w:ascii="Times New Roman" w:eastAsia="Times New Roman" w:hAnsi="Times New Roman" w:cs="Times New Roman" w:hint="default"/>
      </w:rPr>
    </w:lvl>
    <w:lvl w:ilvl="1" w:tplc="08090003">
      <w:start w:val="1"/>
      <w:numFmt w:val="bullet"/>
      <w:lvlText w:val="o"/>
      <w:lvlJc w:val="left"/>
      <w:pPr>
        <w:tabs>
          <w:tab w:val="num" w:pos="2160"/>
        </w:tabs>
        <w:ind w:left="2160" w:hanging="360"/>
      </w:pPr>
      <w:rPr>
        <w:rFonts w:ascii="Courier New" w:hAnsi="Courier New" w:cs="Courier New" w:hint="default"/>
      </w:rPr>
    </w:lvl>
    <w:lvl w:ilvl="2" w:tplc="08090005">
      <w:start w:val="1"/>
      <w:numFmt w:val="bullet"/>
      <w:lvlText w:val=""/>
      <w:lvlJc w:val="left"/>
      <w:pPr>
        <w:tabs>
          <w:tab w:val="num" w:pos="2880"/>
        </w:tabs>
        <w:ind w:left="2880" w:hanging="360"/>
      </w:pPr>
      <w:rPr>
        <w:rFonts w:ascii="Wingdings" w:hAnsi="Wingdings" w:hint="default"/>
      </w:rPr>
    </w:lvl>
    <w:lvl w:ilvl="3" w:tplc="08090001">
      <w:start w:val="1"/>
      <w:numFmt w:val="bullet"/>
      <w:lvlText w:val=""/>
      <w:lvlJc w:val="left"/>
      <w:pPr>
        <w:tabs>
          <w:tab w:val="num" w:pos="3600"/>
        </w:tabs>
        <w:ind w:left="3600" w:hanging="360"/>
      </w:pPr>
      <w:rPr>
        <w:rFonts w:ascii="Symbol" w:hAnsi="Symbol" w:hint="default"/>
      </w:rPr>
    </w:lvl>
    <w:lvl w:ilvl="4" w:tplc="08090003">
      <w:start w:val="1"/>
      <w:numFmt w:val="bullet"/>
      <w:lvlText w:val="o"/>
      <w:lvlJc w:val="left"/>
      <w:pPr>
        <w:tabs>
          <w:tab w:val="num" w:pos="4320"/>
        </w:tabs>
        <w:ind w:left="4320" w:hanging="360"/>
      </w:pPr>
      <w:rPr>
        <w:rFonts w:ascii="Courier New" w:hAnsi="Courier New" w:cs="Courier New" w:hint="default"/>
      </w:rPr>
    </w:lvl>
    <w:lvl w:ilvl="5" w:tplc="08090005">
      <w:start w:val="1"/>
      <w:numFmt w:val="bullet"/>
      <w:lvlText w:val=""/>
      <w:lvlJc w:val="left"/>
      <w:pPr>
        <w:tabs>
          <w:tab w:val="num" w:pos="5040"/>
        </w:tabs>
        <w:ind w:left="5040" w:hanging="360"/>
      </w:pPr>
      <w:rPr>
        <w:rFonts w:ascii="Wingdings" w:hAnsi="Wingdings" w:hint="default"/>
      </w:rPr>
    </w:lvl>
    <w:lvl w:ilvl="6" w:tplc="08090001">
      <w:start w:val="1"/>
      <w:numFmt w:val="bullet"/>
      <w:lvlText w:val=""/>
      <w:lvlJc w:val="left"/>
      <w:pPr>
        <w:tabs>
          <w:tab w:val="num" w:pos="5760"/>
        </w:tabs>
        <w:ind w:left="5760" w:hanging="360"/>
      </w:pPr>
      <w:rPr>
        <w:rFonts w:ascii="Symbol" w:hAnsi="Symbol" w:hint="default"/>
      </w:rPr>
    </w:lvl>
    <w:lvl w:ilvl="7" w:tplc="08090003">
      <w:start w:val="1"/>
      <w:numFmt w:val="bullet"/>
      <w:lvlText w:val="o"/>
      <w:lvlJc w:val="left"/>
      <w:pPr>
        <w:tabs>
          <w:tab w:val="num" w:pos="6480"/>
        </w:tabs>
        <w:ind w:left="6480" w:hanging="360"/>
      </w:pPr>
      <w:rPr>
        <w:rFonts w:ascii="Courier New" w:hAnsi="Courier New" w:cs="Courier New" w:hint="default"/>
      </w:rPr>
    </w:lvl>
    <w:lvl w:ilvl="8" w:tplc="08090005">
      <w:start w:val="1"/>
      <w:numFmt w:val="bullet"/>
      <w:lvlText w:val=""/>
      <w:lvlJc w:val="left"/>
      <w:pPr>
        <w:tabs>
          <w:tab w:val="num" w:pos="7200"/>
        </w:tabs>
        <w:ind w:left="7200" w:hanging="360"/>
      </w:pPr>
      <w:rPr>
        <w:rFonts w:ascii="Wingdings" w:hAnsi="Wingdings" w:hint="default"/>
      </w:rPr>
    </w:lvl>
  </w:abstractNum>
  <w:abstractNum w:abstractNumId="37">
    <w:nsid w:val="291960EB"/>
    <w:multiLevelType w:val="hybridMultilevel"/>
    <w:tmpl w:val="AE9C3B9E"/>
    <w:lvl w:ilvl="0" w:tplc="08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8">
    <w:nsid w:val="295550FA"/>
    <w:multiLevelType w:val="hybridMultilevel"/>
    <w:tmpl w:val="A434D8E0"/>
    <w:lvl w:ilvl="0" w:tplc="7192890A">
      <w:start w:val="4"/>
      <w:numFmt w:val="bullet"/>
      <w:lvlText w:val="-"/>
      <w:lvlJc w:val="left"/>
      <w:pPr>
        <w:ind w:left="720" w:hanging="360"/>
      </w:pPr>
      <w:rPr>
        <w:rFonts w:ascii="Arial" w:eastAsiaTheme="minorEastAsia" w:hAnsi="Arial"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9">
    <w:nsid w:val="2A484C34"/>
    <w:multiLevelType w:val="hybridMultilevel"/>
    <w:tmpl w:val="4FEEF37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0">
    <w:nsid w:val="2B0641F8"/>
    <w:multiLevelType w:val="hybridMultilevel"/>
    <w:tmpl w:val="2E5CE01C"/>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41">
    <w:nsid w:val="2BA06302"/>
    <w:multiLevelType w:val="hybridMultilevel"/>
    <w:tmpl w:val="091E4346"/>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2">
    <w:nsid w:val="2D8912E0"/>
    <w:multiLevelType w:val="hybridMultilevel"/>
    <w:tmpl w:val="C1B24CDA"/>
    <w:name w:val="List 5"/>
    <w:lvl w:ilvl="0" w:tplc="BC2A4E12">
      <w:start w:val="1"/>
      <w:numFmt w:val="decimal"/>
      <w:lvlText w:val="%1."/>
      <w:lvlJc w:val="left"/>
      <w:pPr>
        <w:ind w:left="1152" w:hanging="360"/>
      </w:pPr>
    </w:lvl>
    <w:lvl w:ilvl="1" w:tplc="6F34BD48">
      <w:numFmt w:val="decimal"/>
      <w:lvlText w:val=""/>
      <w:lvlJc w:val="left"/>
    </w:lvl>
    <w:lvl w:ilvl="2" w:tplc="05E2183E">
      <w:numFmt w:val="decimal"/>
      <w:lvlText w:val=""/>
      <w:lvlJc w:val="left"/>
    </w:lvl>
    <w:lvl w:ilvl="3" w:tplc="63E83194">
      <w:numFmt w:val="decimal"/>
      <w:lvlText w:val=""/>
      <w:lvlJc w:val="left"/>
    </w:lvl>
    <w:lvl w:ilvl="4" w:tplc="56CE715C">
      <w:numFmt w:val="decimal"/>
      <w:lvlText w:val=""/>
      <w:lvlJc w:val="left"/>
    </w:lvl>
    <w:lvl w:ilvl="5" w:tplc="374E32EC">
      <w:numFmt w:val="decimal"/>
      <w:lvlText w:val=""/>
      <w:lvlJc w:val="left"/>
    </w:lvl>
    <w:lvl w:ilvl="6" w:tplc="E76A83D2">
      <w:numFmt w:val="decimal"/>
      <w:lvlText w:val=""/>
      <w:lvlJc w:val="left"/>
    </w:lvl>
    <w:lvl w:ilvl="7" w:tplc="A3DE0290">
      <w:numFmt w:val="decimal"/>
      <w:lvlText w:val=""/>
      <w:lvlJc w:val="left"/>
    </w:lvl>
    <w:lvl w:ilvl="8" w:tplc="9E00E642">
      <w:numFmt w:val="decimal"/>
      <w:lvlText w:val=""/>
      <w:lvlJc w:val="left"/>
    </w:lvl>
  </w:abstractNum>
  <w:abstractNum w:abstractNumId="43">
    <w:nsid w:val="2DFD7E21"/>
    <w:multiLevelType w:val="hybridMultilevel"/>
    <w:tmpl w:val="080275E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4">
    <w:nsid w:val="30241C66"/>
    <w:multiLevelType w:val="hybridMultilevel"/>
    <w:tmpl w:val="356C00EA"/>
    <w:lvl w:ilvl="0" w:tplc="7192890A">
      <w:start w:val="4"/>
      <w:numFmt w:val="bullet"/>
      <w:lvlText w:val="-"/>
      <w:lvlJc w:val="left"/>
      <w:pPr>
        <w:ind w:left="720" w:hanging="360"/>
      </w:pPr>
      <w:rPr>
        <w:rFonts w:ascii="Arial" w:eastAsiaTheme="minorEastAsia" w:hAnsi="Arial"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5">
    <w:nsid w:val="32F7762C"/>
    <w:multiLevelType w:val="hybridMultilevel"/>
    <w:tmpl w:val="A242608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6">
    <w:nsid w:val="34474EB1"/>
    <w:multiLevelType w:val="hybridMultilevel"/>
    <w:tmpl w:val="6976646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7">
    <w:nsid w:val="34C531C0"/>
    <w:multiLevelType w:val="hybridMultilevel"/>
    <w:tmpl w:val="BA9A2162"/>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48">
    <w:nsid w:val="36314558"/>
    <w:multiLevelType w:val="hybridMultilevel"/>
    <w:tmpl w:val="29D4104C"/>
    <w:lvl w:ilvl="0" w:tplc="14090001">
      <w:start w:val="1"/>
      <w:numFmt w:val="bullet"/>
      <w:lvlText w:val=""/>
      <w:lvlJc w:val="left"/>
      <w:pPr>
        <w:ind w:left="1440" w:hanging="72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49">
    <w:nsid w:val="397159A4"/>
    <w:multiLevelType w:val="hybridMultilevel"/>
    <w:tmpl w:val="82C8CC3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0">
    <w:nsid w:val="3A0E65A5"/>
    <w:multiLevelType w:val="hybridMultilevel"/>
    <w:tmpl w:val="BA5E3F0C"/>
    <w:lvl w:ilvl="0" w:tplc="1409000F">
      <w:start w:val="1"/>
      <w:numFmt w:val="decimal"/>
      <w:lvlText w:val="%1."/>
      <w:lvlJc w:val="left"/>
      <w:pPr>
        <w:ind w:left="786" w:hanging="360"/>
      </w:pPr>
      <w:rPr>
        <w:rFonts w:hint="default"/>
      </w:rPr>
    </w:lvl>
    <w:lvl w:ilvl="1" w:tplc="2F90FEA2">
      <w:start w:val="1"/>
      <w:numFmt w:val="lowerLetter"/>
      <w:lvlText w:val="%2."/>
      <w:lvlJc w:val="left"/>
      <w:pPr>
        <w:ind w:left="1440" w:hanging="360"/>
      </w:pPr>
      <w:rPr>
        <w:b/>
      </w:r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1">
    <w:nsid w:val="406C2481"/>
    <w:multiLevelType w:val="hybridMultilevel"/>
    <w:tmpl w:val="5E9AB898"/>
    <w:lvl w:ilvl="0" w:tplc="D54C7D90">
      <w:numFmt w:val="bullet"/>
      <w:lvlText w:val="-"/>
      <w:lvlJc w:val="left"/>
      <w:pPr>
        <w:ind w:left="720" w:hanging="360"/>
      </w:pPr>
      <w:rPr>
        <w:rFonts w:ascii="Calibri" w:eastAsiaTheme="minorHAnsi" w:hAnsi="Calibri" w:cs="Calibri"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2">
    <w:nsid w:val="42283673"/>
    <w:multiLevelType w:val="hybridMultilevel"/>
    <w:tmpl w:val="A7527018"/>
    <w:lvl w:ilvl="0" w:tplc="AF0CD1CA">
      <w:start w:val="1"/>
      <w:numFmt w:val="bullet"/>
      <w:lvlText w:val=""/>
      <w:lvlJc w:val="left"/>
      <w:pPr>
        <w:ind w:left="720" w:hanging="360"/>
      </w:pPr>
      <w:rPr>
        <w:rFonts w:ascii="Symbol" w:hAnsi="Symbol" w:hint="default"/>
        <w:color w:val="auto"/>
        <w:sz w:val="22"/>
        <w:szCs w:val="22"/>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3">
    <w:nsid w:val="43F0127B"/>
    <w:multiLevelType w:val="hybridMultilevel"/>
    <w:tmpl w:val="4042A688"/>
    <w:lvl w:ilvl="0" w:tplc="14090001">
      <w:start w:val="1"/>
      <w:numFmt w:val="bullet"/>
      <w:lvlText w:val=""/>
      <w:lvlJc w:val="left"/>
      <w:pPr>
        <w:ind w:left="144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4">
    <w:nsid w:val="456C129C"/>
    <w:multiLevelType w:val="hybridMultilevel"/>
    <w:tmpl w:val="4960538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5">
    <w:nsid w:val="467C49CE"/>
    <w:multiLevelType w:val="hybridMultilevel"/>
    <w:tmpl w:val="563CA87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6">
    <w:nsid w:val="4A847666"/>
    <w:multiLevelType w:val="hybridMultilevel"/>
    <w:tmpl w:val="083886DA"/>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7">
    <w:nsid w:val="4A8819EF"/>
    <w:multiLevelType w:val="hybridMultilevel"/>
    <w:tmpl w:val="30185708"/>
    <w:lvl w:ilvl="0" w:tplc="14090001">
      <w:start w:val="1"/>
      <w:numFmt w:val="bullet"/>
      <w:lvlText w:val=""/>
      <w:lvlJc w:val="left"/>
      <w:pPr>
        <w:ind w:left="1080" w:hanging="360"/>
      </w:pPr>
      <w:rPr>
        <w:rFonts w:ascii="Symbol" w:hAnsi="Symbol" w:hint="default"/>
      </w:rPr>
    </w:lvl>
    <w:lvl w:ilvl="1" w:tplc="14090003">
      <w:start w:val="1"/>
      <w:numFmt w:val="bullet"/>
      <w:lvlText w:val="o"/>
      <w:lvlJc w:val="left"/>
      <w:pPr>
        <w:ind w:left="1800" w:hanging="360"/>
      </w:pPr>
      <w:rPr>
        <w:rFonts w:ascii="Courier New" w:hAnsi="Courier New" w:cs="Courier New" w:hint="default"/>
      </w:rPr>
    </w:lvl>
    <w:lvl w:ilvl="2" w:tplc="14090005">
      <w:start w:val="1"/>
      <w:numFmt w:val="bullet"/>
      <w:lvlText w:val=""/>
      <w:lvlJc w:val="left"/>
      <w:pPr>
        <w:ind w:left="2520" w:hanging="360"/>
      </w:pPr>
      <w:rPr>
        <w:rFonts w:ascii="Wingdings" w:hAnsi="Wingdings" w:hint="default"/>
      </w:rPr>
    </w:lvl>
    <w:lvl w:ilvl="3" w:tplc="14090001">
      <w:start w:val="1"/>
      <w:numFmt w:val="bullet"/>
      <w:lvlText w:val=""/>
      <w:lvlJc w:val="left"/>
      <w:pPr>
        <w:ind w:left="3240" w:hanging="360"/>
      </w:pPr>
      <w:rPr>
        <w:rFonts w:ascii="Symbol" w:hAnsi="Symbol" w:hint="default"/>
      </w:rPr>
    </w:lvl>
    <w:lvl w:ilvl="4" w:tplc="14090003">
      <w:start w:val="1"/>
      <w:numFmt w:val="bullet"/>
      <w:lvlText w:val="o"/>
      <w:lvlJc w:val="left"/>
      <w:pPr>
        <w:ind w:left="3960" w:hanging="360"/>
      </w:pPr>
      <w:rPr>
        <w:rFonts w:ascii="Courier New" w:hAnsi="Courier New" w:cs="Courier New" w:hint="default"/>
      </w:rPr>
    </w:lvl>
    <w:lvl w:ilvl="5" w:tplc="14090005">
      <w:start w:val="1"/>
      <w:numFmt w:val="bullet"/>
      <w:lvlText w:val=""/>
      <w:lvlJc w:val="left"/>
      <w:pPr>
        <w:ind w:left="4680" w:hanging="360"/>
      </w:pPr>
      <w:rPr>
        <w:rFonts w:ascii="Wingdings" w:hAnsi="Wingdings" w:hint="default"/>
      </w:rPr>
    </w:lvl>
    <w:lvl w:ilvl="6" w:tplc="14090001">
      <w:start w:val="1"/>
      <w:numFmt w:val="bullet"/>
      <w:lvlText w:val=""/>
      <w:lvlJc w:val="left"/>
      <w:pPr>
        <w:ind w:left="5400" w:hanging="360"/>
      </w:pPr>
      <w:rPr>
        <w:rFonts w:ascii="Symbol" w:hAnsi="Symbol" w:hint="default"/>
      </w:rPr>
    </w:lvl>
    <w:lvl w:ilvl="7" w:tplc="14090003">
      <w:start w:val="1"/>
      <w:numFmt w:val="bullet"/>
      <w:lvlText w:val="o"/>
      <w:lvlJc w:val="left"/>
      <w:pPr>
        <w:ind w:left="6120" w:hanging="360"/>
      </w:pPr>
      <w:rPr>
        <w:rFonts w:ascii="Courier New" w:hAnsi="Courier New" w:cs="Courier New" w:hint="default"/>
      </w:rPr>
    </w:lvl>
    <w:lvl w:ilvl="8" w:tplc="14090005">
      <w:start w:val="1"/>
      <w:numFmt w:val="bullet"/>
      <w:lvlText w:val=""/>
      <w:lvlJc w:val="left"/>
      <w:pPr>
        <w:ind w:left="6840" w:hanging="360"/>
      </w:pPr>
      <w:rPr>
        <w:rFonts w:ascii="Wingdings" w:hAnsi="Wingdings" w:hint="default"/>
      </w:rPr>
    </w:lvl>
  </w:abstractNum>
  <w:abstractNum w:abstractNumId="58">
    <w:nsid w:val="4AF02D95"/>
    <w:multiLevelType w:val="hybridMultilevel"/>
    <w:tmpl w:val="EB38860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9">
    <w:nsid w:val="4D143C51"/>
    <w:multiLevelType w:val="hybridMultilevel"/>
    <w:tmpl w:val="8474DD62"/>
    <w:lvl w:ilvl="0" w:tplc="08090001">
      <w:start w:val="1"/>
      <w:numFmt w:val="bullet"/>
      <w:lvlText w:val=""/>
      <w:lvlJc w:val="left"/>
      <w:pPr>
        <w:ind w:left="720" w:hanging="360"/>
      </w:pPr>
      <w:rPr>
        <w:rFonts w:ascii="Symbol" w:hAnsi="Symbol" w:hint="default"/>
        <w:sz w:val="22"/>
        <w:szCs w:val="22"/>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0">
    <w:nsid w:val="4F3859AD"/>
    <w:multiLevelType w:val="hybridMultilevel"/>
    <w:tmpl w:val="F94224C6"/>
    <w:name w:val="List 4"/>
    <w:lvl w:ilvl="0" w:tplc="1B448A8A">
      <w:start w:val="1"/>
      <w:numFmt w:val="decimal"/>
      <w:lvlText w:val="%1."/>
      <w:lvlJc w:val="left"/>
      <w:pPr>
        <w:ind w:left="1152" w:hanging="360"/>
      </w:pPr>
    </w:lvl>
    <w:lvl w:ilvl="1" w:tplc="3542AA76">
      <w:numFmt w:val="decimal"/>
      <w:lvlText w:val=""/>
      <w:lvlJc w:val="left"/>
    </w:lvl>
    <w:lvl w:ilvl="2" w:tplc="E5326B7C">
      <w:numFmt w:val="decimal"/>
      <w:lvlText w:val=""/>
      <w:lvlJc w:val="left"/>
    </w:lvl>
    <w:lvl w:ilvl="3" w:tplc="D3A28070">
      <w:numFmt w:val="decimal"/>
      <w:lvlText w:val=""/>
      <w:lvlJc w:val="left"/>
    </w:lvl>
    <w:lvl w:ilvl="4" w:tplc="F1A4BC10">
      <w:numFmt w:val="decimal"/>
      <w:lvlText w:val=""/>
      <w:lvlJc w:val="left"/>
    </w:lvl>
    <w:lvl w:ilvl="5" w:tplc="45E4A274">
      <w:numFmt w:val="decimal"/>
      <w:lvlText w:val=""/>
      <w:lvlJc w:val="left"/>
    </w:lvl>
    <w:lvl w:ilvl="6" w:tplc="C0C493C8">
      <w:numFmt w:val="decimal"/>
      <w:lvlText w:val=""/>
      <w:lvlJc w:val="left"/>
    </w:lvl>
    <w:lvl w:ilvl="7" w:tplc="072EB174">
      <w:numFmt w:val="decimal"/>
      <w:lvlText w:val=""/>
      <w:lvlJc w:val="left"/>
    </w:lvl>
    <w:lvl w:ilvl="8" w:tplc="4CE0BD80">
      <w:numFmt w:val="decimal"/>
      <w:lvlText w:val=""/>
      <w:lvlJc w:val="left"/>
    </w:lvl>
  </w:abstractNum>
  <w:abstractNum w:abstractNumId="61">
    <w:nsid w:val="4F7B6DB3"/>
    <w:multiLevelType w:val="hybridMultilevel"/>
    <w:tmpl w:val="671E8468"/>
    <w:lvl w:ilvl="0" w:tplc="F58C81A6">
      <w:start w:val="2"/>
      <w:numFmt w:val="lowerLetter"/>
      <w:lvlText w:val="%1."/>
      <w:lvlJc w:val="left"/>
      <w:pPr>
        <w:ind w:left="1637" w:hanging="360"/>
      </w:pPr>
      <w:rPr>
        <w:rFonts w:hint="default"/>
        <w:b w:val="0"/>
      </w:rPr>
    </w:lvl>
    <w:lvl w:ilvl="1" w:tplc="14090019" w:tentative="1">
      <w:start w:val="1"/>
      <w:numFmt w:val="lowerLetter"/>
      <w:lvlText w:val="%2."/>
      <w:lvlJc w:val="left"/>
      <w:pPr>
        <w:ind w:left="2357" w:hanging="360"/>
      </w:pPr>
    </w:lvl>
    <w:lvl w:ilvl="2" w:tplc="1409001B" w:tentative="1">
      <w:start w:val="1"/>
      <w:numFmt w:val="lowerRoman"/>
      <w:lvlText w:val="%3."/>
      <w:lvlJc w:val="right"/>
      <w:pPr>
        <w:ind w:left="3077" w:hanging="180"/>
      </w:pPr>
    </w:lvl>
    <w:lvl w:ilvl="3" w:tplc="1409000F" w:tentative="1">
      <w:start w:val="1"/>
      <w:numFmt w:val="decimal"/>
      <w:lvlText w:val="%4."/>
      <w:lvlJc w:val="left"/>
      <w:pPr>
        <w:ind w:left="3797" w:hanging="360"/>
      </w:pPr>
    </w:lvl>
    <w:lvl w:ilvl="4" w:tplc="14090019" w:tentative="1">
      <w:start w:val="1"/>
      <w:numFmt w:val="lowerLetter"/>
      <w:lvlText w:val="%5."/>
      <w:lvlJc w:val="left"/>
      <w:pPr>
        <w:ind w:left="4517" w:hanging="360"/>
      </w:pPr>
    </w:lvl>
    <w:lvl w:ilvl="5" w:tplc="1409001B" w:tentative="1">
      <w:start w:val="1"/>
      <w:numFmt w:val="lowerRoman"/>
      <w:lvlText w:val="%6."/>
      <w:lvlJc w:val="right"/>
      <w:pPr>
        <w:ind w:left="5237" w:hanging="180"/>
      </w:pPr>
    </w:lvl>
    <w:lvl w:ilvl="6" w:tplc="1409000F" w:tentative="1">
      <w:start w:val="1"/>
      <w:numFmt w:val="decimal"/>
      <w:lvlText w:val="%7."/>
      <w:lvlJc w:val="left"/>
      <w:pPr>
        <w:ind w:left="5957" w:hanging="360"/>
      </w:pPr>
    </w:lvl>
    <w:lvl w:ilvl="7" w:tplc="14090019" w:tentative="1">
      <w:start w:val="1"/>
      <w:numFmt w:val="lowerLetter"/>
      <w:lvlText w:val="%8."/>
      <w:lvlJc w:val="left"/>
      <w:pPr>
        <w:ind w:left="6677" w:hanging="360"/>
      </w:pPr>
    </w:lvl>
    <w:lvl w:ilvl="8" w:tplc="1409001B" w:tentative="1">
      <w:start w:val="1"/>
      <w:numFmt w:val="lowerRoman"/>
      <w:lvlText w:val="%9."/>
      <w:lvlJc w:val="right"/>
      <w:pPr>
        <w:ind w:left="7397" w:hanging="180"/>
      </w:pPr>
    </w:lvl>
  </w:abstractNum>
  <w:abstractNum w:abstractNumId="62">
    <w:nsid w:val="4FE2493B"/>
    <w:multiLevelType w:val="hybridMultilevel"/>
    <w:tmpl w:val="53C4F5EA"/>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3">
    <w:nsid w:val="52166BE8"/>
    <w:multiLevelType w:val="hybridMultilevel"/>
    <w:tmpl w:val="DB9A4892"/>
    <w:lvl w:ilvl="0" w:tplc="14090001">
      <w:start w:val="1"/>
      <w:numFmt w:val="bullet"/>
      <w:lvlText w:val=""/>
      <w:lvlJc w:val="left"/>
      <w:pPr>
        <w:ind w:left="765" w:hanging="360"/>
      </w:pPr>
      <w:rPr>
        <w:rFonts w:ascii="Symbol" w:hAnsi="Symbol" w:hint="default"/>
      </w:rPr>
    </w:lvl>
    <w:lvl w:ilvl="1" w:tplc="14090003">
      <w:start w:val="1"/>
      <w:numFmt w:val="bullet"/>
      <w:lvlText w:val="o"/>
      <w:lvlJc w:val="left"/>
      <w:pPr>
        <w:ind w:left="1485" w:hanging="360"/>
      </w:pPr>
      <w:rPr>
        <w:rFonts w:ascii="Courier New" w:hAnsi="Courier New" w:cs="Courier New" w:hint="default"/>
      </w:rPr>
    </w:lvl>
    <w:lvl w:ilvl="2" w:tplc="14090005">
      <w:start w:val="1"/>
      <w:numFmt w:val="bullet"/>
      <w:lvlText w:val=""/>
      <w:lvlJc w:val="left"/>
      <w:pPr>
        <w:ind w:left="2205" w:hanging="360"/>
      </w:pPr>
      <w:rPr>
        <w:rFonts w:ascii="Wingdings" w:hAnsi="Wingdings" w:hint="default"/>
      </w:rPr>
    </w:lvl>
    <w:lvl w:ilvl="3" w:tplc="14090001">
      <w:start w:val="1"/>
      <w:numFmt w:val="bullet"/>
      <w:lvlText w:val=""/>
      <w:lvlJc w:val="left"/>
      <w:pPr>
        <w:ind w:left="2925" w:hanging="360"/>
      </w:pPr>
      <w:rPr>
        <w:rFonts w:ascii="Symbol" w:hAnsi="Symbol" w:hint="default"/>
      </w:rPr>
    </w:lvl>
    <w:lvl w:ilvl="4" w:tplc="14090003">
      <w:start w:val="1"/>
      <w:numFmt w:val="bullet"/>
      <w:lvlText w:val="o"/>
      <w:lvlJc w:val="left"/>
      <w:pPr>
        <w:ind w:left="3645" w:hanging="360"/>
      </w:pPr>
      <w:rPr>
        <w:rFonts w:ascii="Courier New" w:hAnsi="Courier New" w:cs="Courier New" w:hint="default"/>
      </w:rPr>
    </w:lvl>
    <w:lvl w:ilvl="5" w:tplc="14090005">
      <w:start w:val="1"/>
      <w:numFmt w:val="bullet"/>
      <w:lvlText w:val=""/>
      <w:lvlJc w:val="left"/>
      <w:pPr>
        <w:ind w:left="4365" w:hanging="360"/>
      </w:pPr>
      <w:rPr>
        <w:rFonts w:ascii="Wingdings" w:hAnsi="Wingdings" w:hint="default"/>
      </w:rPr>
    </w:lvl>
    <w:lvl w:ilvl="6" w:tplc="14090001">
      <w:start w:val="1"/>
      <w:numFmt w:val="bullet"/>
      <w:lvlText w:val=""/>
      <w:lvlJc w:val="left"/>
      <w:pPr>
        <w:ind w:left="5085" w:hanging="360"/>
      </w:pPr>
      <w:rPr>
        <w:rFonts w:ascii="Symbol" w:hAnsi="Symbol" w:hint="default"/>
      </w:rPr>
    </w:lvl>
    <w:lvl w:ilvl="7" w:tplc="14090003">
      <w:start w:val="1"/>
      <w:numFmt w:val="bullet"/>
      <w:lvlText w:val="o"/>
      <w:lvlJc w:val="left"/>
      <w:pPr>
        <w:ind w:left="5805" w:hanging="360"/>
      </w:pPr>
      <w:rPr>
        <w:rFonts w:ascii="Courier New" w:hAnsi="Courier New" w:cs="Courier New" w:hint="default"/>
      </w:rPr>
    </w:lvl>
    <w:lvl w:ilvl="8" w:tplc="14090005">
      <w:start w:val="1"/>
      <w:numFmt w:val="bullet"/>
      <w:lvlText w:val=""/>
      <w:lvlJc w:val="left"/>
      <w:pPr>
        <w:ind w:left="6525" w:hanging="360"/>
      </w:pPr>
      <w:rPr>
        <w:rFonts w:ascii="Wingdings" w:hAnsi="Wingdings" w:hint="default"/>
      </w:rPr>
    </w:lvl>
  </w:abstractNum>
  <w:abstractNum w:abstractNumId="64">
    <w:nsid w:val="545215A4"/>
    <w:multiLevelType w:val="hybridMultilevel"/>
    <w:tmpl w:val="EBD4E61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5">
    <w:nsid w:val="56B80E31"/>
    <w:multiLevelType w:val="hybridMultilevel"/>
    <w:tmpl w:val="3FEEE6C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6">
    <w:nsid w:val="56D90C7C"/>
    <w:multiLevelType w:val="hybridMultilevel"/>
    <w:tmpl w:val="7450B1E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7">
    <w:nsid w:val="577275F5"/>
    <w:multiLevelType w:val="hybridMultilevel"/>
    <w:tmpl w:val="0F6E545C"/>
    <w:lvl w:ilvl="0" w:tplc="811C9C3A">
      <w:numFmt w:val="bullet"/>
      <w:lvlText w:val="•"/>
      <w:lvlJc w:val="left"/>
      <w:pPr>
        <w:ind w:left="720" w:hanging="360"/>
      </w:pPr>
      <w:rPr>
        <w:rFonts w:ascii="Arial" w:eastAsiaTheme="minorEastAsia" w:hAnsi="Arial" w:cs="Arial" w:hint="default"/>
        <w:b/>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8">
    <w:nsid w:val="583F3E4D"/>
    <w:multiLevelType w:val="hybridMultilevel"/>
    <w:tmpl w:val="D0DADDAA"/>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start w:val="1"/>
      <w:numFmt w:val="decimal"/>
      <w:lvlText w:val="%4."/>
      <w:lvlJc w:val="left"/>
      <w:pPr>
        <w:ind w:left="2880" w:hanging="360"/>
      </w:pPr>
    </w:lvl>
    <w:lvl w:ilvl="4" w:tplc="14090019">
      <w:start w:val="1"/>
      <w:numFmt w:val="lowerLetter"/>
      <w:lvlText w:val="%5."/>
      <w:lvlJc w:val="left"/>
      <w:pPr>
        <w:ind w:left="3600" w:hanging="360"/>
      </w:pPr>
    </w:lvl>
    <w:lvl w:ilvl="5" w:tplc="1409001B">
      <w:start w:val="1"/>
      <w:numFmt w:val="lowerRoman"/>
      <w:lvlText w:val="%6."/>
      <w:lvlJc w:val="right"/>
      <w:pPr>
        <w:ind w:left="4320" w:hanging="180"/>
      </w:pPr>
    </w:lvl>
    <w:lvl w:ilvl="6" w:tplc="1409000F">
      <w:start w:val="1"/>
      <w:numFmt w:val="decimal"/>
      <w:lvlText w:val="%7."/>
      <w:lvlJc w:val="left"/>
      <w:pPr>
        <w:ind w:left="5040" w:hanging="360"/>
      </w:pPr>
    </w:lvl>
    <w:lvl w:ilvl="7" w:tplc="14090019">
      <w:start w:val="1"/>
      <w:numFmt w:val="lowerLetter"/>
      <w:lvlText w:val="%8."/>
      <w:lvlJc w:val="left"/>
      <w:pPr>
        <w:ind w:left="5760" w:hanging="360"/>
      </w:pPr>
    </w:lvl>
    <w:lvl w:ilvl="8" w:tplc="1409001B">
      <w:start w:val="1"/>
      <w:numFmt w:val="lowerRoman"/>
      <w:lvlText w:val="%9."/>
      <w:lvlJc w:val="right"/>
      <w:pPr>
        <w:ind w:left="6480" w:hanging="180"/>
      </w:pPr>
    </w:lvl>
  </w:abstractNum>
  <w:abstractNum w:abstractNumId="69">
    <w:nsid w:val="5E12198F"/>
    <w:multiLevelType w:val="hybridMultilevel"/>
    <w:tmpl w:val="89E20444"/>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70">
    <w:nsid w:val="5F89445C"/>
    <w:multiLevelType w:val="hybridMultilevel"/>
    <w:tmpl w:val="DBEC877C"/>
    <w:lvl w:ilvl="0" w:tplc="8356E1B0">
      <w:start w:val="1"/>
      <w:numFmt w:val="bullet"/>
      <w:pStyle w:val="Para010"/>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1">
    <w:nsid w:val="5FA0569F"/>
    <w:multiLevelType w:val="hybridMultilevel"/>
    <w:tmpl w:val="B170856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2">
    <w:nsid w:val="60154597"/>
    <w:multiLevelType w:val="hybridMultilevel"/>
    <w:tmpl w:val="E000112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3">
    <w:nsid w:val="6239013A"/>
    <w:multiLevelType w:val="hybridMultilevel"/>
    <w:tmpl w:val="9926D9D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4">
    <w:nsid w:val="62DC63F3"/>
    <w:multiLevelType w:val="hybridMultilevel"/>
    <w:tmpl w:val="4A5C2C88"/>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5">
    <w:nsid w:val="63284584"/>
    <w:multiLevelType w:val="hybridMultilevel"/>
    <w:tmpl w:val="28B61674"/>
    <w:lvl w:ilvl="0" w:tplc="0809000F">
      <w:start w:val="1"/>
      <w:numFmt w:val="decimal"/>
      <w:lvlText w:val="%1."/>
      <w:lvlJc w:val="left"/>
      <w:pPr>
        <w:tabs>
          <w:tab w:val="num" w:pos="360"/>
        </w:tabs>
        <w:ind w:left="360" w:hanging="360"/>
      </w:pPr>
    </w:lvl>
    <w:lvl w:ilvl="1" w:tplc="08090019">
      <w:start w:val="1"/>
      <w:numFmt w:val="lowerLetter"/>
      <w:lvlText w:val="%2."/>
      <w:lvlJc w:val="left"/>
      <w:pPr>
        <w:tabs>
          <w:tab w:val="num" w:pos="1080"/>
        </w:tabs>
        <w:ind w:left="1080" w:hanging="360"/>
      </w:pPr>
    </w:lvl>
    <w:lvl w:ilvl="2" w:tplc="0809001B">
      <w:start w:val="1"/>
      <w:numFmt w:val="lowerRoman"/>
      <w:lvlText w:val="%3."/>
      <w:lvlJc w:val="right"/>
      <w:pPr>
        <w:tabs>
          <w:tab w:val="num" w:pos="1800"/>
        </w:tabs>
        <w:ind w:left="1800" w:hanging="180"/>
      </w:pPr>
    </w:lvl>
    <w:lvl w:ilvl="3" w:tplc="0809000F">
      <w:start w:val="1"/>
      <w:numFmt w:val="decimal"/>
      <w:lvlText w:val="%4."/>
      <w:lvlJc w:val="left"/>
      <w:pPr>
        <w:tabs>
          <w:tab w:val="num" w:pos="2520"/>
        </w:tabs>
        <w:ind w:left="2520" w:hanging="360"/>
      </w:pPr>
    </w:lvl>
    <w:lvl w:ilvl="4" w:tplc="08090019">
      <w:start w:val="1"/>
      <w:numFmt w:val="lowerLetter"/>
      <w:lvlText w:val="%5."/>
      <w:lvlJc w:val="left"/>
      <w:pPr>
        <w:tabs>
          <w:tab w:val="num" w:pos="3240"/>
        </w:tabs>
        <w:ind w:left="3240" w:hanging="360"/>
      </w:pPr>
    </w:lvl>
    <w:lvl w:ilvl="5" w:tplc="0809001B">
      <w:start w:val="1"/>
      <w:numFmt w:val="lowerRoman"/>
      <w:lvlText w:val="%6."/>
      <w:lvlJc w:val="right"/>
      <w:pPr>
        <w:tabs>
          <w:tab w:val="num" w:pos="3960"/>
        </w:tabs>
        <w:ind w:left="3960" w:hanging="180"/>
      </w:pPr>
    </w:lvl>
    <w:lvl w:ilvl="6" w:tplc="0809000F">
      <w:start w:val="1"/>
      <w:numFmt w:val="decimal"/>
      <w:lvlText w:val="%7."/>
      <w:lvlJc w:val="left"/>
      <w:pPr>
        <w:tabs>
          <w:tab w:val="num" w:pos="4680"/>
        </w:tabs>
        <w:ind w:left="4680" w:hanging="360"/>
      </w:pPr>
    </w:lvl>
    <w:lvl w:ilvl="7" w:tplc="08090019">
      <w:start w:val="1"/>
      <w:numFmt w:val="lowerLetter"/>
      <w:lvlText w:val="%8."/>
      <w:lvlJc w:val="left"/>
      <w:pPr>
        <w:tabs>
          <w:tab w:val="num" w:pos="5400"/>
        </w:tabs>
        <w:ind w:left="5400" w:hanging="360"/>
      </w:pPr>
    </w:lvl>
    <w:lvl w:ilvl="8" w:tplc="0809001B">
      <w:start w:val="1"/>
      <w:numFmt w:val="lowerRoman"/>
      <w:lvlText w:val="%9."/>
      <w:lvlJc w:val="right"/>
      <w:pPr>
        <w:tabs>
          <w:tab w:val="num" w:pos="6120"/>
        </w:tabs>
        <w:ind w:left="6120" w:hanging="180"/>
      </w:pPr>
    </w:lvl>
  </w:abstractNum>
  <w:abstractNum w:abstractNumId="76">
    <w:nsid w:val="65AA7E53"/>
    <w:multiLevelType w:val="hybridMultilevel"/>
    <w:tmpl w:val="2CF884CC"/>
    <w:lvl w:ilvl="0" w:tplc="0D9A5262">
      <w:start w:val="1"/>
      <w:numFmt w:val="bullet"/>
      <w:pStyle w:val="Bullets"/>
      <w:lvlText w:val=""/>
      <w:lvlJc w:val="left"/>
      <w:pPr>
        <w:ind w:left="3600" w:hanging="360"/>
      </w:pPr>
      <w:rPr>
        <w:rFonts w:ascii="Symbol" w:hAnsi="Symbol" w:hint="default"/>
      </w:rPr>
    </w:lvl>
    <w:lvl w:ilvl="1" w:tplc="14090003">
      <w:start w:val="1"/>
      <w:numFmt w:val="bullet"/>
      <w:lvlText w:val="o"/>
      <w:lvlJc w:val="left"/>
      <w:pPr>
        <w:ind w:left="4320" w:hanging="360"/>
      </w:pPr>
      <w:rPr>
        <w:rFonts w:ascii="Courier New" w:hAnsi="Courier New" w:cs="Courier New" w:hint="default"/>
      </w:rPr>
    </w:lvl>
    <w:lvl w:ilvl="2" w:tplc="14090005">
      <w:start w:val="1"/>
      <w:numFmt w:val="bullet"/>
      <w:lvlText w:val=""/>
      <w:lvlJc w:val="left"/>
      <w:pPr>
        <w:ind w:left="5040" w:hanging="360"/>
      </w:pPr>
      <w:rPr>
        <w:rFonts w:ascii="Wingdings" w:hAnsi="Wingdings" w:hint="default"/>
      </w:rPr>
    </w:lvl>
    <w:lvl w:ilvl="3" w:tplc="14090001">
      <w:start w:val="1"/>
      <w:numFmt w:val="bullet"/>
      <w:lvlText w:val=""/>
      <w:lvlJc w:val="left"/>
      <w:pPr>
        <w:ind w:left="5760" w:hanging="360"/>
      </w:pPr>
      <w:rPr>
        <w:rFonts w:ascii="Symbol" w:hAnsi="Symbol" w:hint="default"/>
      </w:rPr>
    </w:lvl>
    <w:lvl w:ilvl="4" w:tplc="14090003">
      <w:start w:val="1"/>
      <w:numFmt w:val="bullet"/>
      <w:lvlText w:val="o"/>
      <w:lvlJc w:val="left"/>
      <w:pPr>
        <w:ind w:left="6480" w:hanging="360"/>
      </w:pPr>
      <w:rPr>
        <w:rFonts w:ascii="Courier New" w:hAnsi="Courier New" w:cs="Courier New" w:hint="default"/>
      </w:rPr>
    </w:lvl>
    <w:lvl w:ilvl="5" w:tplc="14090005">
      <w:start w:val="1"/>
      <w:numFmt w:val="bullet"/>
      <w:lvlText w:val=""/>
      <w:lvlJc w:val="left"/>
      <w:pPr>
        <w:ind w:left="7200" w:hanging="360"/>
      </w:pPr>
      <w:rPr>
        <w:rFonts w:ascii="Wingdings" w:hAnsi="Wingdings" w:hint="default"/>
      </w:rPr>
    </w:lvl>
    <w:lvl w:ilvl="6" w:tplc="14090001">
      <w:start w:val="1"/>
      <w:numFmt w:val="bullet"/>
      <w:lvlText w:val=""/>
      <w:lvlJc w:val="left"/>
      <w:pPr>
        <w:ind w:left="7920" w:hanging="360"/>
      </w:pPr>
      <w:rPr>
        <w:rFonts w:ascii="Symbol" w:hAnsi="Symbol" w:hint="default"/>
      </w:rPr>
    </w:lvl>
    <w:lvl w:ilvl="7" w:tplc="14090003">
      <w:start w:val="1"/>
      <w:numFmt w:val="bullet"/>
      <w:lvlText w:val="o"/>
      <w:lvlJc w:val="left"/>
      <w:pPr>
        <w:ind w:left="8640" w:hanging="360"/>
      </w:pPr>
      <w:rPr>
        <w:rFonts w:ascii="Courier New" w:hAnsi="Courier New" w:cs="Courier New" w:hint="default"/>
      </w:rPr>
    </w:lvl>
    <w:lvl w:ilvl="8" w:tplc="14090005">
      <w:start w:val="1"/>
      <w:numFmt w:val="bullet"/>
      <w:lvlText w:val=""/>
      <w:lvlJc w:val="left"/>
      <w:pPr>
        <w:ind w:left="9360" w:hanging="360"/>
      </w:pPr>
      <w:rPr>
        <w:rFonts w:ascii="Wingdings" w:hAnsi="Wingdings" w:hint="default"/>
      </w:rPr>
    </w:lvl>
  </w:abstractNum>
  <w:abstractNum w:abstractNumId="77">
    <w:nsid w:val="65FA0357"/>
    <w:multiLevelType w:val="hybridMultilevel"/>
    <w:tmpl w:val="A3BCFC1C"/>
    <w:lvl w:ilvl="0" w:tplc="D54C7D90">
      <w:numFmt w:val="bullet"/>
      <w:lvlText w:val="-"/>
      <w:lvlJc w:val="left"/>
      <w:pPr>
        <w:ind w:left="720" w:hanging="360"/>
      </w:pPr>
      <w:rPr>
        <w:rFonts w:ascii="Calibri" w:eastAsiaTheme="minorHAnsi" w:hAnsi="Calibri" w:cs="Calibr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8">
    <w:nsid w:val="66687304"/>
    <w:multiLevelType w:val="hybridMultilevel"/>
    <w:tmpl w:val="4E267DA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9">
    <w:nsid w:val="6970457C"/>
    <w:multiLevelType w:val="hybridMultilevel"/>
    <w:tmpl w:val="BA58500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0">
    <w:nsid w:val="69ED070D"/>
    <w:multiLevelType w:val="hybridMultilevel"/>
    <w:tmpl w:val="54E67A3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1">
    <w:nsid w:val="6A534C41"/>
    <w:multiLevelType w:val="hybridMultilevel"/>
    <w:tmpl w:val="3B64D926"/>
    <w:lvl w:ilvl="0" w:tplc="14090001">
      <w:start w:val="1"/>
      <w:numFmt w:val="bullet"/>
      <w:lvlText w:val=""/>
      <w:lvlJc w:val="left"/>
      <w:pPr>
        <w:ind w:left="1440" w:hanging="360"/>
      </w:pPr>
      <w:rPr>
        <w:rFonts w:ascii="Symbol" w:hAnsi="Symbol" w:hint="default"/>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82">
    <w:nsid w:val="6A700AEA"/>
    <w:multiLevelType w:val="hybridMultilevel"/>
    <w:tmpl w:val="6AC4480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3">
    <w:nsid w:val="709A1A49"/>
    <w:multiLevelType w:val="hybridMultilevel"/>
    <w:tmpl w:val="4F18AD5C"/>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84">
    <w:nsid w:val="70F4221F"/>
    <w:multiLevelType w:val="hybridMultilevel"/>
    <w:tmpl w:val="93AA65D8"/>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85">
    <w:nsid w:val="72A73422"/>
    <w:multiLevelType w:val="hybridMultilevel"/>
    <w:tmpl w:val="5F6C4654"/>
    <w:lvl w:ilvl="0" w:tplc="4A283D10">
      <w:start w:val="1"/>
      <w:numFmt w:val="decimal"/>
      <w:lvlText w:val="%1."/>
      <w:lvlJc w:val="left"/>
      <w:pPr>
        <w:ind w:left="360" w:hanging="360"/>
      </w:pPr>
      <w:rPr>
        <w:b/>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86">
    <w:nsid w:val="73EC049A"/>
    <w:multiLevelType w:val="hybridMultilevel"/>
    <w:tmpl w:val="65CA8F5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7">
    <w:nsid w:val="74A82BA0"/>
    <w:multiLevelType w:val="hybridMultilevel"/>
    <w:tmpl w:val="C26AE4CA"/>
    <w:lvl w:ilvl="0" w:tplc="75385F44">
      <w:start w:val="2000"/>
      <w:numFmt w:val="bullet"/>
      <w:lvlText w:val="-"/>
      <w:lvlJc w:val="left"/>
      <w:pPr>
        <w:tabs>
          <w:tab w:val="num" w:pos="1800"/>
        </w:tabs>
        <w:ind w:left="1800" w:hanging="360"/>
      </w:pPr>
      <w:rPr>
        <w:rFonts w:ascii="Angsana New" w:eastAsia="Angsana New" w:hAnsi="Angsana New" w:cs="Angsana New" w:hint="cs"/>
      </w:r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abstractNum w:abstractNumId="88">
    <w:nsid w:val="76777238"/>
    <w:multiLevelType w:val="hybridMultilevel"/>
    <w:tmpl w:val="31F28838"/>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9">
    <w:nsid w:val="76881E44"/>
    <w:multiLevelType w:val="hybridMultilevel"/>
    <w:tmpl w:val="AE547CB6"/>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0">
    <w:nsid w:val="77C76BFC"/>
    <w:multiLevelType w:val="hybridMultilevel"/>
    <w:tmpl w:val="DBE8045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1">
    <w:nsid w:val="77FF3F8C"/>
    <w:multiLevelType w:val="hybridMultilevel"/>
    <w:tmpl w:val="44141D68"/>
    <w:lvl w:ilvl="0" w:tplc="14090001">
      <w:start w:val="1"/>
      <w:numFmt w:val="bullet"/>
      <w:lvlText w:val=""/>
      <w:lvlJc w:val="left"/>
      <w:pPr>
        <w:ind w:left="1080" w:hanging="360"/>
      </w:pPr>
      <w:rPr>
        <w:rFonts w:ascii="Symbol" w:hAnsi="Symbol" w:hint="default"/>
      </w:rPr>
    </w:lvl>
    <w:lvl w:ilvl="1" w:tplc="14090003">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92">
    <w:nsid w:val="7B35058E"/>
    <w:multiLevelType w:val="hybridMultilevel"/>
    <w:tmpl w:val="185CC57C"/>
    <w:lvl w:ilvl="0" w:tplc="4A283D10">
      <w:start w:val="1"/>
      <w:numFmt w:val="decimal"/>
      <w:lvlText w:val="%1."/>
      <w:lvlJc w:val="left"/>
      <w:pPr>
        <w:ind w:left="644" w:hanging="360"/>
      </w:pPr>
      <w:rPr>
        <w:b/>
      </w:r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93">
    <w:nsid w:val="7C5354F2"/>
    <w:multiLevelType w:val="hybridMultilevel"/>
    <w:tmpl w:val="02D86B58"/>
    <w:lvl w:ilvl="0" w:tplc="08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4">
    <w:nsid w:val="7DF56D4C"/>
    <w:multiLevelType w:val="hybridMultilevel"/>
    <w:tmpl w:val="DC38E84E"/>
    <w:lvl w:ilvl="0" w:tplc="E0D02EEE">
      <w:start w:val="10"/>
      <w:numFmt w:val="bullet"/>
      <w:lvlText w:val="-"/>
      <w:lvlJc w:val="left"/>
      <w:pPr>
        <w:ind w:left="644" w:hanging="360"/>
      </w:pPr>
      <w:rPr>
        <w:rFonts w:ascii="Arial" w:eastAsia="Times New Roman" w:hAnsi="Arial" w:cs="Aria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num w:numId="1">
    <w:abstractNumId w:val="70"/>
  </w:num>
  <w:num w:numId="2">
    <w:abstractNumId w:val="23"/>
  </w:num>
  <w:num w:numId="3">
    <w:abstractNumId w:val="74"/>
  </w:num>
  <w:num w:numId="4">
    <w:abstractNumId w:val="24"/>
  </w:num>
  <w:num w:numId="5">
    <w:abstractNumId w:val="53"/>
  </w:num>
  <w:num w:numId="6">
    <w:abstractNumId w:val="51"/>
  </w:num>
  <w:num w:numId="7">
    <w:abstractNumId w:val="66"/>
  </w:num>
  <w:num w:numId="8">
    <w:abstractNumId w:val="27"/>
  </w:num>
  <w:num w:numId="9">
    <w:abstractNumId w:val="38"/>
  </w:num>
  <w:num w:numId="10">
    <w:abstractNumId w:val="77"/>
  </w:num>
  <w:num w:numId="11">
    <w:abstractNumId w:val="65"/>
  </w:num>
  <w:num w:numId="12">
    <w:abstractNumId w:val="15"/>
  </w:num>
  <w:num w:numId="13">
    <w:abstractNumId w:val="47"/>
  </w:num>
  <w:num w:numId="14">
    <w:abstractNumId w:val="82"/>
  </w:num>
  <w:num w:numId="15">
    <w:abstractNumId w:val="49"/>
  </w:num>
  <w:num w:numId="16">
    <w:abstractNumId w:val="55"/>
  </w:num>
  <w:num w:numId="17">
    <w:abstractNumId w:val="78"/>
  </w:num>
  <w:num w:numId="18">
    <w:abstractNumId w:val="25"/>
  </w:num>
  <w:num w:numId="19">
    <w:abstractNumId w:val="22"/>
  </w:num>
  <w:num w:numId="20">
    <w:abstractNumId w:val="69"/>
  </w:num>
  <w:num w:numId="21">
    <w:abstractNumId w:val="83"/>
  </w:num>
  <w:num w:numId="22">
    <w:abstractNumId w:val="34"/>
  </w:num>
  <w:num w:numId="23">
    <w:abstractNumId w:val="64"/>
  </w:num>
  <w:num w:numId="24">
    <w:abstractNumId w:val="10"/>
  </w:num>
  <w:num w:numId="25">
    <w:abstractNumId w:val="86"/>
  </w:num>
  <w:num w:numId="26">
    <w:abstractNumId w:val="2"/>
  </w:num>
  <w:num w:numId="27">
    <w:abstractNumId w:val="58"/>
  </w:num>
  <w:num w:numId="28">
    <w:abstractNumId w:val="20"/>
  </w:num>
  <w:num w:numId="29">
    <w:abstractNumId w:val="73"/>
  </w:num>
  <w:num w:numId="30">
    <w:abstractNumId w:val="44"/>
  </w:num>
  <w:num w:numId="31">
    <w:abstractNumId w:val="67"/>
  </w:num>
  <w:num w:numId="32">
    <w:abstractNumId w:val="71"/>
  </w:num>
  <w:num w:numId="33">
    <w:abstractNumId w:val="89"/>
  </w:num>
  <w:num w:numId="34">
    <w:abstractNumId w:val="0"/>
  </w:num>
  <w:num w:numId="35">
    <w:abstractNumId w:val="76"/>
  </w:num>
  <w:num w:numId="36">
    <w:abstractNumId w:val="94"/>
  </w:num>
  <w:num w:numId="37">
    <w:abstractNumId w:val="57"/>
  </w:num>
  <w:num w:numId="38">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6"/>
  </w:num>
  <w:num w:numId="40">
    <w:abstractNumId w:val="8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1"/>
  </w:num>
  <w:num w:numId="43">
    <w:abstractNumId w:val="17"/>
  </w:num>
  <w:num w:numId="44">
    <w:abstractNumId w:val="90"/>
  </w:num>
  <w:num w:numId="45">
    <w:abstractNumId w:val="9"/>
  </w:num>
  <w:num w:numId="46">
    <w:abstractNumId w:val="54"/>
  </w:num>
  <w:num w:numId="47">
    <w:abstractNumId w:val="80"/>
  </w:num>
  <w:num w:numId="48">
    <w:abstractNumId w:val="13"/>
  </w:num>
  <w:num w:numId="49">
    <w:abstractNumId w:val="45"/>
  </w:num>
  <w:num w:numId="50">
    <w:abstractNumId w:val="7"/>
  </w:num>
  <w:num w:numId="51">
    <w:abstractNumId w:val="30"/>
  </w:num>
  <w:num w:numId="52">
    <w:abstractNumId w:val="59"/>
  </w:num>
  <w:num w:numId="53">
    <w:abstractNumId w:val="52"/>
  </w:num>
  <w:num w:numId="54">
    <w:abstractNumId w:val="11"/>
  </w:num>
  <w:num w:numId="55">
    <w:abstractNumId w:val="33"/>
  </w:num>
  <w:num w:numId="56">
    <w:abstractNumId w:val="39"/>
  </w:num>
  <w:num w:numId="57">
    <w:abstractNumId w:val="79"/>
  </w:num>
  <w:num w:numId="58">
    <w:abstractNumId w:val="1"/>
  </w:num>
  <w:num w:numId="59">
    <w:abstractNumId w:val="43"/>
  </w:num>
  <w:num w:numId="60">
    <w:abstractNumId w:val="12"/>
  </w:num>
  <w:num w:numId="61">
    <w:abstractNumId w:val="4"/>
  </w:num>
  <w:num w:numId="62">
    <w:abstractNumId w:val="16"/>
  </w:num>
  <w:num w:numId="63">
    <w:abstractNumId w:val="92"/>
  </w:num>
  <w:num w:numId="64">
    <w:abstractNumId w:val="85"/>
  </w:num>
  <w:num w:numId="65">
    <w:abstractNumId w:val="72"/>
  </w:num>
  <w:num w:numId="66">
    <w:abstractNumId w:val="32"/>
  </w:num>
  <w:num w:numId="67">
    <w:abstractNumId w:val="8"/>
  </w:num>
  <w:num w:numId="68">
    <w:abstractNumId w:val="5"/>
  </w:num>
  <w:num w:numId="69">
    <w:abstractNumId w:val="50"/>
  </w:num>
  <w:num w:numId="70">
    <w:abstractNumId w:val="3"/>
  </w:num>
  <w:num w:numId="71">
    <w:abstractNumId w:val="28"/>
  </w:num>
  <w:num w:numId="72">
    <w:abstractNumId w:val="81"/>
  </w:num>
  <w:num w:numId="73">
    <w:abstractNumId w:val="46"/>
  </w:num>
  <w:num w:numId="74">
    <w:abstractNumId w:val="63"/>
  </w:num>
  <w:num w:numId="75">
    <w:abstractNumId w:val="93"/>
  </w:num>
  <w:num w:numId="76">
    <w:abstractNumId w:val="19"/>
  </w:num>
  <w:num w:numId="77">
    <w:abstractNumId w:val="37"/>
  </w:num>
  <w:num w:numId="78">
    <w:abstractNumId w:val="84"/>
  </w:num>
  <w:num w:numId="79">
    <w:abstractNumId w:val="56"/>
  </w:num>
  <w:num w:numId="80">
    <w:abstractNumId w:val="61"/>
  </w:num>
  <w:num w:numId="81">
    <w:abstractNumId w:val="62"/>
  </w:num>
  <w:num w:numId="82">
    <w:abstractNumId w:val="41"/>
  </w:num>
  <w:num w:numId="83">
    <w:abstractNumId w:val="48"/>
  </w:num>
  <w:num w:numId="84">
    <w:abstractNumId w:val="40"/>
  </w:num>
  <w:num w:numId="85">
    <w:abstractNumId w:val="91"/>
  </w:num>
  <w:num w:numId="86">
    <w:abstractNumId w:val="35"/>
  </w:num>
  <w:num w:numId="87">
    <w:abstractNumId w:val="88"/>
  </w:num>
  <w:num w:numId="88">
    <w:abstractNumId w:val="6"/>
  </w:num>
  <w:num w:numId="89">
    <w:abstractNumId w:val="21"/>
  </w:num>
  <w:num w:numId="90">
    <w:abstractNumId w:val="29"/>
  </w:num>
  <w:numIdMacAtCleanup w:val="8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grammar="clean"/>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7C37"/>
    <w:rsid w:val="00002741"/>
    <w:rsid w:val="00002769"/>
    <w:rsid w:val="00003EF6"/>
    <w:rsid w:val="00004E69"/>
    <w:rsid w:val="00006113"/>
    <w:rsid w:val="00006279"/>
    <w:rsid w:val="0000762A"/>
    <w:rsid w:val="00010E40"/>
    <w:rsid w:val="00014F43"/>
    <w:rsid w:val="000154F0"/>
    <w:rsid w:val="00015B43"/>
    <w:rsid w:val="0001699F"/>
    <w:rsid w:val="00017DDB"/>
    <w:rsid w:val="00021BA8"/>
    <w:rsid w:val="000229B4"/>
    <w:rsid w:val="00022C2B"/>
    <w:rsid w:val="0002394E"/>
    <w:rsid w:val="00023D4C"/>
    <w:rsid w:val="00023DA1"/>
    <w:rsid w:val="00024450"/>
    <w:rsid w:val="000271D0"/>
    <w:rsid w:val="00027D0C"/>
    <w:rsid w:val="00030337"/>
    <w:rsid w:val="0003070A"/>
    <w:rsid w:val="00030ADB"/>
    <w:rsid w:val="00030EB1"/>
    <w:rsid w:val="000319A5"/>
    <w:rsid w:val="0003201E"/>
    <w:rsid w:val="000340B3"/>
    <w:rsid w:val="000340E9"/>
    <w:rsid w:val="00040AE8"/>
    <w:rsid w:val="00042E9F"/>
    <w:rsid w:val="00043E47"/>
    <w:rsid w:val="000463B4"/>
    <w:rsid w:val="00046B16"/>
    <w:rsid w:val="000517E9"/>
    <w:rsid w:val="00052418"/>
    <w:rsid w:val="00052904"/>
    <w:rsid w:val="00053E71"/>
    <w:rsid w:val="000542F4"/>
    <w:rsid w:val="000555B0"/>
    <w:rsid w:val="00057DB1"/>
    <w:rsid w:val="00060BB3"/>
    <w:rsid w:val="00060BDF"/>
    <w:rsid w:val="0006147B"/>
    <w:rsid w:val="00061F4C"/>
    <w:rsid w:val="0006339B"/>
    <w:rsid w:val="00063C3A"/>
    <w:rsid w:val="00063D12"/>
    <w:rsid w:val="00066652"/>
    <w:rsid w:val="000674DC"/>
    <w:rsid w:val="00067F68"/>
    <w:rsid w:val="00071666"/>
    <w:rsid w:val="00073429"/>
    <w:rsid w:val="0007427F"/>
    <w:rsid w:val="00075034"/>
    <w:rsid w:val="00076BD2"/>
    <w:rsid w:val="00077059"/>
    <w:rsid w:val="00080626"/>
    <w:rsid w:val="00081141"/>
    <w:rsid w:val="000822FE"/>
    <w:rsid w:val="0008249A"/>
    <w:rsid w:val="000844DB"/>
    <w:rsid w:val="00091C0B"/>
    <w:rsid w:val="00092440"/>
    <w:rsid w:val="0009290F"/>
    <w:rsid w:val="00094394"/>
    <w:rsid w:val="00095009"/>
    <w:rsid w:val="0009569F"/>
    <w:rsid w:val="00096052"/>
    <w:rsid w:val="00096C20"/>
    <w:rsid w:val="000A3466"/>
    <w:rsid w:val="000A498B"/>
    <w:rsid w:val="000A56DC"/>
    <w:rsid w:val="000A6BEC"/>
    <w:rsid w:val="000B0001"/>
    <w:rsid w:val="000B1796"/>
    <w:rsid w:val="000B1EE6"/>
    <w:rsid w:val="000B25E5"/>
    <w:rsid w:val="000B2878"/>
    <w:rsid w:val="000B39EC"/>
    <w:rsid w:val="000B6831"/>
    <w:rsid w:val="000B6C43"/>
    <w:rsid w:val="000B7CFB"/>
    <w:rsid w:val="000C0E47"/>
    <w:rsid w:val="000C1162"/>
    <w:rsid w:val="000C1D7B"/>
    <w:rsid w:val="000C47DF"/>
    <w:rsid w:val="000C55F4"/>
    <w:rsid w:val="000C6E46"/>
    <w:rsid w:val="000C7717"/>
    <w:rsid w:val="000D19C6"/>
    <w:rsid w:val="000D3303"/>
    <w:rsid w:val="000D372D"/>
    <w:rsid w:val="000D70AA"/>
    <w:rsid w:val="000E052E"/>
    <w:rsid w:val="000E05ED"/>
    <w:rsid w:val="000E1B2B"/>
    <w:rsid w:val="000E2AA7"/>
    <w:rsid w:val="000E2CB7"/>
    <w:rsid w:val="000E50B1"/>
    <w:rsid w:val="000E662E"/>
    <w:rsid w:val="000F30A5"/>
    <w:rsid w:val="000F32E7"/>
    <w:rsid w:val="000F5522"/>
    <w:rsid w:val="000F5630"/>
    <w:rsid w:val="000F65D9"/>
    <w:rsid w:val="000F6D93"/>
    <w:rsid w:val="00100327"/>
    <w:rsid w:val="00100C89"/>
    <w:rsid w:val="001015C5"/>
    <w:rsid w:val="001018B2"/>
    <w:rsid w:val="001020F6"/>
    <w:rsid w:val="001049BF"/>
    <w:rsid w:val="00105936"/>
    <w:rsid w:val="00105A07"/>
    <w:rsid w:val="00107245"/>
    <w:rsid w:val="001072EB"/>
    <w:rsid w:val="00107A40"/>
    <w:rsid w:val="00114AEB"/>
    <w:rsid w:val="00117CC9"/>
    <w:rsid w:val="00120BAC"/>
    <w:rsid w:val="00122191"/>
    <w:rsid w:val="0012237F"/>
    <w:rsid w:val="00123743"/>
    <w:rsid w:val="001244BB"/>
    <w:rsid w:val="001251D9"/>
    <w:rsid w:val="00125239"/>
    <w:rsid w:val="0013102A"/>
    <w:rsid w:val="00131E44"/>
    <w:rsid w:val="00135461"/>
    <w:rsid w:val="00135A2C"/>
    <w:rsid w:val="00135FF7"/>
    <w:rsid w:val="00140BF2"/>
    <w:rsid w:val="001428DB"/>
    <w:rsid w:val="0014327E"/>
    <w:rsid w:val="00145417"/>
    <w:rsid w:val="00145BEF"/>
    <w:rsid w:val="0015012F"/>
    <w:rsid w:val="0015040A"/>
    <w:rsid w:val="00151368"/>
    <w:rsid w:val="001531FE"/>
    <w:rsid w:val="001543D5"/>
    <w:rsid w:val="00156881"/>
    <w:rsid w:val="00157A42"/>
    <w:rsid w:val="00163042"/>
    <w:rsid w:val="00163443"/>
    <w:rsid w:val="001635F7"/>
    <w:rsid w:val="001638A7"/>
    <w:rsid w:val="0016597F"/>
    <w:rsid w:val="001667CB"/>
    <w:rsid w:val="00166ABC"/>
    <w:rsid w:val="00167835"/>
    <w:rsid w:val="00167E90"/>
    <w:rsid w:val="00175194"/>
    <w:rsid w:val="00175C39"/>
    <w:rsid w:val="001764C5"/>
    <w:rsid w:val="00184F69"/>
    <w:rsid w:val="001855ED"/>
    <w:rsid w:val="00196527"/>
    <w:rsid w:val="00196932"/>
    <w:rsid w:val="00196C00"/>
    <w:rsid w:val="001A2055"/>
    <w:rsid w:val="001A2239"/>
    <w:rsid w:val="001A5194"/>
    <w:rsid w:val="001A6C50"/>
    <w:rsid w:val="001B1B97"/>
    <w:rsid w:val="001B4839"/>
    <w:rsid w:val="001B50F9"/>
    <w:rsid w:val="001B515E"/>
    <w:rsid w:val="001B5165"/>
    <w:rsid w:val="001B61CF"/>
    <w:rsid w:val="001B7DB4"/>
    <w:rsid w:val="001C036A"/>
    <w:rsid w:val="001C0A52"/>
    <w:rsid w:val="001C14D7"/>
    <w:rsid w:val="001C2C22"/>
    <w:rsid w:val="001C3DFE"/>
    <w:rsid w:val="001C5D19"/>
    <w:rsid w:val="001C6CBC"/>
    <w:rsid w:val="001D0396"/>
    <w:rsid w:val="001D0755"/>
    <w:rsid w:val="001D24CF"/>
    <w:rsid w:val="001D2EAA"/>
    <w:rsid w:val="001D533B"/>
    <w:rsid w:val="001D57F9"/>
    <w:rsid w:val="001D5AEA"/>
    <w:rsid w:val="001D5BE0"/>
    <w:rsid w:val="001D7232"/>
    <w:rsid w:val="001D75AF"/>
    <w:rsid w:val="001D7D63"/>
    <w:rsid w:val="001E18C1"/>
    <w:rsid w:val="001E281A"/>
    <w:rsid w:val="001E340F"/>
    <w:rsid w:val="001E3FE2"/>
    <w:rsid w:val="001E462A"/>
    <w:rsid w:val="001F276C"/>
    <w:rsid w:val="001F6451"/>
    <w:rsid w:val="001F74A5"/>
    <w:rsid w:val="00201F90"/>
    <w:rsid w:val="002021C5"/>
    <w:rsid w:val="00202AED"/>
    <w:rsid w:val="0020336E"/>
    <w:rsid w:val="00203727"/>
    <w:rsid w:val="00206E37"/>
    <w:rsid w:val="00213CD7"/>
    <w:rsid w:val="00214AE9"/>
    <w:rsid w:val="002169F8"/>
    <w:rsid w:val="00216B5F"/>
    <w:rsid w:val="00217FB7"/>
    <w:rsid w:val="002203BE"/>
    <w:rsid w:val="002205DA"/>
    <w:rsid w:val="0022119B"/>
    <w:rsid w:val="002239BC"/>
    <w:rsid w:val="0022456C"/>
    <w:rsid w:val="00225439"/>
    <w:rsid w:val="00226ACA"/>
    <w:rsid w:val="00230E9A"/>
    <w:rsid w:val="00231666"/>
    <w:rsid w:val="00234EEE"/>
    <w:rsid w:val="0023587A"/>
    <w:rsid w:val="002407EA"/>
    <w:rsid w:val="00240EAE"/>
    <w:rsid w:val="002417DF"/>
    <w:rsid w:val="00244694"/>
    <w:rsid w:val="002466CF"/>
    <w:rsid w:val="00251826"/>
    <w:rsid w:val="0025226F"/>
    <w:rsid w:val="0025274D"/>
    <w:rsid w:val="00252877"/>
    <w:rsid w:val="00256067"/>
    <w:rsid w:val="002578E0"/>
    <w:rsid w:val="00261F4A"/>
    <w:rsid w:val="002627DD"/>
    <w:rsid w:val="00262FAB"/>
    <w:rsid w:val="00263D33"/>
    <w:rsid w:val="00267826"/>
    <w:rsid w:val="0027132A"/>
    <w:rsid w:val="002718E7"/>
    <w:rsid w:val="0027375E"/>
    <w:rsid w:val="00274239"/>
    <w:rsid w:val="00281473"/>
    <w:rsid w:val="00282944"/>
    <w:rsid w:val="00282C17"/>
    <w:rsid w:val="0028394E"/>
    <w:rsid w:val="00284739"/>
    <w:rsid w:val="0028798A"/>
    <w:rsid w:val="00287E3E"/>
    <w:rsid w:val="00290E5F"/>
    <w:rsid w:val="00291300"/>
    <w:rsid w:val="00292110"/>
    <w:rsid w:val="002929C5"/>
    <w:rsid w:val="00293178"/>
    <w:rsid w:val="00294CB0"/>
    <w:rsid w:val="002952AE"/>
    <w:rsid w:val="00295C18"/>
    <w:rsid w:val="00296F23"/>
    <w:rsid w:val="00297C6D"/>
    <w:rsid w:val="002A343C"/>
    <w:rsid w:val="002A57EB"/>
    <w:rsid w:val="002A5E0D"/>
    <w:rsid w:val="002A7793"/>
    <w:rsid w:val="002B05ED"/>
    <w:rsid w:val="002B1316"/>
    <w:rsid w:val="002B6C68"/>
    <w:rsid w:val="002C074B"/>
    <w:rsid w:val="002C1CC6"/>
    <w:rsid w:val="002C3FF4"/>
    <w:rsid w:val="002C6A8A"/>
    <w:rsid w:val="002C76C6"/>
    <w:rsid w:val="002C7BF8"/>
    <w:rsid w:val="002D10F7"/>
    <w:rsid w:val="002D1CA3"/>
    <w:rsid w:val="002D2362"/>
    <w:rsid w:val="002D3678"/>
    <w:rsid w:val="002D3768"/>
    <w:rsid w:val="002D3788"/>
    <w:rsid w:val="002D3870"/>
    <w:rsid w:val="002D38D6"/>
    <w:rsid w:val="002D452C"/>
    <w:rsid w:val="002D6323"/>
    <w:rsid w:val="002D775C"/>
    <w:rsid w:val="002E1312"/>
    <w:rsid w:val="002E1D14"/>
    <w:rsid w:val="002E2131"/>
    <w:rsid w:val="002E438F"/>
    <w:rsid w:val="002E4D21"/>
    <w:rsid w:val="002E69EA"/>
    <w:rsid w:val="002F108A"/>
    <w:rsid w:val="002F1E2A"/>
    <w:rsid w:val="002F1F17"/>
    <w:rsid w:val="002F214E"/>
    <w:rsid w:val="002F2F92"/>
    <w:rsid w:val="002F357E"/>
    <w:rsid w:val="002F51D8"/>
    <w:rsid w:val="002F5BE6"/>
    <w:rsid w:val="002F61C6"/>
    <w:rsid w:val="00300520"/>
    <w:rsid w:val="003068C1"/>
    <w:rsid w:val="00311668"/>
    <w:rsid w:val="00313368"/>
    <w:rsid w:val="00313B1C"/>
    <w:rsid w:val="00315598"/>
    <w:rsid w:val="00316B75"/>
    <w:rsid w:val="00316F09"/>
    <w:rsid w:val="00317A85"/>
    <w:rsid w:val="00317BFF"/>
    <w:rsid w:val="0032019E"/>
    <w:rsid w:val="00320350"/>
    <w:rsid w:val="00321609"/>
    <w:rsid w:val="00321CD6"/>
    <w:rsid w:val="003261CE"/>
    <w:rsid w:val="00331065"/>
    <w:rsid w:val="00333FB0"/>
    <w:rsid w:val="0034082D"/>
    <w:rsid w:val="00344669"/>
    <w:rsid w:val="0034498E"/>
    <w:rsid w:val="00346149"/>
    <w:rsid w:val="00346203"/>
    <w:rsid w:val="003467DE"/>
    <w:rsid w:val="0035019C"/>
    <w:rsid w:val="003514FD"/>
    <w:rsid w:val="0035318B"/>
    <w:rsid w:val="003539DB"/>
    <w:rsid w:val="00354EDF"/>
    <w:rsid w:val="0035697D"/>
    <w:rsid w:val="00357C8E"/>
    <w:rsid w:val="0036301C"/>
    <w:rsid w:val="00363074"/>
    <w:rsid w:val="003631E3"/>
    <w:rsid w:val="0036355B"/>
    <w:rsid w:val="00364F50"/>
    <w:rsid w:val="0036674D"/>
    <w:rsid w:val="00367869"/>
    <w:rsid w:val="0037005B"/>
    <w:rsid w:val="0037203A"/>
    <w:rsid w:val="00372244"/>
    <w:rsid w:val="003722A5"/>
    <w:rsid w:val="00372FCF"/>
    <w:rsid w:val="00373322"/>
    <w:rsid w:val="00377AA6"/>
    <w:rsid w:val="0038320D"/>
    <w:rsid w:val="00384005"/>
    <w:rsid w:val="00384446"/>
    <w:rsid w:val="003856A0"/>
    <w:rsid w:val="00390110"/>
    <w:rsid w:val="003920F7"/>
    <w:rsid w:val="0039276B"/>
    <w:rsid w:val="0039520C"/>
    <w:rsid w:val="00396562"/>
    <w:rsid w:val="003973F8"/>
    <w:rsid w:val="003A083B"/>
    <w:rsid w:val="003A49EE"/>
    <w:rsid w:val="003A4F70"/>
    <w:rsid w:val="003B0FCE"/>
    <w:rsid w:val="003B161B"/>
    <w:rsid w:val="003B16C4"/>
    <w:rsid w:val="003B3677"/>
    <w:rsid w:val="003B3AF9"/>
    <w:rsid w:val="003C04E3"/>
    <w:rsid w:val="003C0693"/>
    <w:rsid w:val="003C07B0"/>
    <w:rsid w:val="003C24A8"/>
    <w:rsid w:val="003C527B"/>
    <w:rsid w:val="003D09A5"/>
    <w:rsid w:val="003D3A6A"/>
    <w:rsid w:val="003D4AF8"/>
    <w:rsid w:val="003D4B28"/>
    <w:rsid w:val="003D618D"/>
    <w:rsid w:val="003D7788"/>
    <w:rsid w:val="003D7C76"/>
    <w:rsid w:val="003D7D78"/>
    <w:rsid w:val="003E0A6D"/>
    <w:rsid w:val="003E2037"/>
    <w:rsid w:val="003E252F"/>
    <w:rsid w:val="003E2BF3"/>
    <w:rsid w:val="003E3342"/>
    <w:rsid w:val="003E6340"/>
    <w:rsid w:val="003E6C07"/>
    <w:rsid w:val="003F090C"/>
    <w:rsid w:val="003F17EB"/>
    <w:rsid w:val="003F26AD"/>
    <w:rsid w:val="003F3CF8"/>
    <w:rsid w:val="003F42D9"/>
    <w:rsid w:val="003F5903"/>
    <w:rsid w:val="00400428"/>
    <w:rsid w:val="0040179C"/>
    <w:rsid w:val="00403037"/>
    <w:rsid w:val="004034F1"/>
    <w:rsid w:val="00406EF4"/>
    <w:rsid w:val="00410231"/>
    <w:rsid w:val="004106CD"/>
    <w:rsid w:val="00412561"/>
    <w:rsid w:val="004146BD"/>
    <w:rsid w:val="00416365"/>
    <w:rsid w:val="00417036"/>
    <w:rsid w:val="00420DDB"/>
    <w:rsid w:val="00421509"/>
    <w:rsid w:val="00424AFD"/>
    <w:rsid w:val="004276B5"/>
    <w:rsid w:val="004324B3"/>
    <w:rsid w:val="00433A4B"/>
    <w:rsid w:val="0043433A"/>
    <w:rsid w:val="00434825"/>
    <w:rsid w:val="00434C6B"/>
    <w:rsid w:val="00435AB2"/>
    <w:rsid w:val="00436D3D"/>
    <w:rsid w:val="00440A66"/>
    <w:rsid w:val="00442F4C"/>
    <w:rsid w:val="00443E57"/>
    <w:rsid w:val="00446091"/>
    <w:rsid w:val="00446F24"/>
    <w:rsid w:val="004504F0"/>
    <w:rsid w:val="0045068E"/>
    <w:rsid w:val="00450B20"/>
    <w:rsid w:val="004533EA"/>
    <w:rsid w:val="0045391F"/>
    <w:rsid w:val="0045633E"/>
    <w:rsid w:val="00456E92"/>
    <w:rsid w:val="00457727"/>
    <w:rsid w:val="004631DE"/>
    <w:rsid w:val="00463520"/>
    <w:rsid w:val="00465EBC"/>
    <w:rsid w:val="00465F3A"/>
    <w:rsid w:val="0046608E"/>
    <w:rsid w:val="004670FF"/>
    <w:rsid w:val="00467B7D"/>
    <w:rsid w:val="00472B5B"/>
    <w:rsid w:val="00472BD4"/>
    <w:rsid w:val="004732EA"/>
    <w:rsid w:val="0047425C"/>
    <w:rsid w:val="00474F20"/>
    <w:rsid w:val="00476AE8"/>
    <w:rsid w:val="00477C40"/>
    <w:rsid w:val="00480C60"/>
    <w:rsid w:val="0049225E"/>
    <w:rsid w:val="00495FDB"/>
    <w:rsid w:val="00496ECF"/>
    <w:rsid w:val="004A13E1"/>
    <w:rsid w:val="004A2F47"/>
    <w:rsid w:val="004A5F78"/>
    <w:rsid w:val="004A7AE4"/>
    <w:rsid w:val="004B1EAF"/>
    <w:rsid w:val="004B2860"/>
    <w:rsid w:val="004B4BD3"/>
    <w:rsid w:val="004B630B"/>
    <w:rsid w:val="004C0601"/>
    <w:rsid w:val="004C1FEC"/>
    <w:rsid w:val="004C5071"/>
    <w:rsid w:val="004C5421"/>
    <w:rsid w:val="004C6A9F"/>
    <w:rsid w:val="004D1D3D"/>
    <w:rsid w:val="004D384A"/>
    <w:rsid w:val="004E0D53"/>
    <w:rsid w:val="004E1C56"/>
    <w:rsid w:val="004E2BC2"/>
    <w:rsid w:val="004E633F"/>
    <w:rsid w:val="004E73BA"/>
    <w:rsid w:val="004E7B48"/>
    <w:rsid w:val="004F0E5F"/>
    <w:rsid w:val="004F2626"/>
    <w:rsid w:val="004F5937"/>
    <w:rsid w:val="004F609C"/>
    <w:rsid w:val="004F66C7"/>
    <w:rsid w:val="004F6E13"/>
    <w:rsid w:val="004F6E4B"/>
    <w:rsid w:val="004F7CEA"/>
    <w:rsid w:val="005000B8"/>
    <w:rsid w:val="00500AF2"/>
    <w:rsid w:val="00502CE9"/>
    <w:rsid w:val="00502E56"/>
    <w:rsid w:val="00502F54"/>
    <w:rsid w:val="00503497"/>
    <w:rsid w:val="00506FE3"/>
    <w:rsid w:val="00510AC5"/>
    <w:rsid w:val="00511602"/>
    <w:rsid w:val="00512053"/>
    <w:rsid w:val="0051585F"/>
    <w:rsid w:val="0052511E"/>
    <w:rsid w:val="00525948"/>
    <w:rsid w:val="00525A83"/>
    <w:rsid w:val="00525E94"/>
    <w:rsid w:val="0052672E"/>
    <w:rsid w:val="00526736"/>
    <w:rsid w:val="00527712"/>
    <w:rsid w:val="00527DC8"/>
    <w:rsid w:val="00530196"/>
    <w:rsid w:val="00531390"/>
    <w:rsid w:val="00531EA3"/>
    <w:rsid w:val="00531EF0"/>
    <w:rsid w:val="00533AB3"/>
    <w:rsid w:val="00534B04"/>
    <w:rsid w:val="00534FC7"/>
    <w:rsid w:val="00535EE4"/>
    <w:rsid w:val="00540D44"/>
    <w:rsid w:val="00541DFC"/>
    <w:rsid w:val="00543224"/>
    <w:rsid w:val="005433FD"/>
    <w:rsid w:val="00544A00"/>
    <w:rsid w:val="00546A26"/>
    <w:rsid w:val="00546DD1"/>
    <w:rsid w:val="00550111"/>
    <w:rsid w:val="005502DF"/>
    <w:rsid w:val="005508E7"/>
    <w:rsid w:val="00552BE4"/>
    <w:rsid w:val="00556359"/>
    <w:rsid w:val="0055715F"/>
    <w:rsid w:val="00560497"/>
    <w:rsid w:val="005608B1"/>
    <w:rsid w:val="00560D9A"/>
    <w:rsid w:val="00561014"/>
    <w:rsid w:val="00563C30"/>
    <w:rsid w:val="005657E5"/>
    <w:rsid w:val="005658AE"/>
    <w:rsid w:val="005665C6"/>
    <w:rsid w:val="00566E35"/>
    <w:rsid w:val="00567187"/>
    <w:rsid w:val="00567666"/>
    <w:rsid w:val="00570C2E"/>
    <w:rsid w:val="00572701"/>
    <w:rsid w:val="00572F56"/>
    <w:rsid w:val="005738F4"/>
    <w:rsid w:val="00574293"/>
    <w:rsid w:val="00576698"/>
    <w:rsid w:val="00576FDD"/>
    <w:rsid w:val="005815A6"/>
    <w:rsid w:val="0058210F"/>
    <w:rsid w:val="00582942"/>
    <w:rsid w:val="00586E5D"/>
    <w:rsid w:val="00590730"/>
    <w:rsid w:val="005908C4"/>
    <w:rsid w:val="00591A53"/>
    <w:rsid w:val="00591D76"/>
    <w:rsid w:val="00594426"/>
    <w:rsid w:val="005970ED"/>
    <w:rsid w:val="00597859"/>
    <w:rsid w:val="005A02BA"/>
    <w:rsid w:val="005A08DE"/>
    <w:rsid w:val="005A243E"/>
    <w:rsid w:val="005A46ED"/>
    <w:rsid w:val="005A5930"/>
    <w:rsid w:val="005A7143"/>
    <w:rsid w:val="005B2222"/>
    <w:rsid w:val="005B27AA"/>
    <w:rsid w:val="005B2967"/>
    <w:rsid w:val="005B5F71"/>
    <w:rsid w:val="005B7013"/>
    <w:rsid w:val="005B71DE"/>
    <w:rsid w:val="005C0F3A"/>
    <w:rsid w:val="005C1BC1"/>
    <w:rsid w:val="005C21DB"/>
    <w:rsid w:val="005C42CB"/>
    <w:rsid w:val="005C4BC9"/>
    <w:rsid w:val="005C6473"/>
    <w:rsid w:val="005D11AA"/>
    <w:rsid w:val="005D16E2"/>
    <w:rsid w:val="005D17AF"/>
    <w:rsid w:val="005D21FF"/>
    <w:rsid w:val="005D2941"/>
    <w:rsid w:val="005D4BC9"/>
    <w:rsid w:val="005D5FBB"/>
    <w:rsid w:val="005D6D1F"/>
    <w:rsid w:val="005D76EA"/>
    <w:rsid w:val="005D7ADE"/>
    <w:rsid w:val="005E109C"/>
    <w:rsid w:val="005E1770"/>
    <w:rsid w:val="005E3DD2"/>
    <w:rsid w:val="005E6EC7"/>
    <w:rsid w:val="005F18FC"/>
    <w:rsid w:val="005F209F"/>
    <w:rsid w:val="005F3159"/>
    <w:rsid w:val="005F3580"/>
    <w:rsid w:val="005F4D49"/>
    <w:rsid w:val="005F6DB1"/>
    <w:rsid w:val="005F725E"/>
    <w:rsid w:val="00601BCE"/>
    <w:rsid w:val="0060442D"/>
    <w:rsid w:val="00610DBC"/>
    <w:rsid w:val="00612BE4"/>
    <w:rsid w:val="00616962"/>
    <w:rsid w:val="006216EE"/>
    <w:rsid w:val="00621823"/>
    <w:rsid w:val="006220B8"/>
    <w:rsid w:val="0062441B"/>
    <w:rsid w:val="006302B9"/>
    <w:rsid w:val="00631CE8"/>
    <w:rsid w:val="006343F8"/>
    <w:rsid w:val="00634F60"/>
    <w:rsid w:val="00637386"/>
    <w:rsid w:val="00642A42"/>
    <w:rsid w:val="00645F63"/>
    <w:rsid w:val="006471BD"/>
    <w:rsid w:val="00650E51"/>
    <w:rsid w:val="00650F57"/>
    <w:rsid w:val="00650F5B"/>
    <w:rsid w:val="006548F0"/>
    <w:rsid w:val="00654FDF"/>
    <w:rsid w:val="006563F0"/>
    <w:rsid w:val="006600E9"/>
    <w:rsid w:val="00660BD2"/>
    <w:rsid w:val="006621F9"/>
    <w:rsid w:val="006645C3"/>
    <w:rsid w:val="006658C7"/>
    <w:rsid w:val="006702E9"/>
    <w:rsid w:val="00670617"/>
    <w:rsid w:val="0067233F"/>
    <w:rsid w:val="0067332A"/>
    <w:rsid w:val="00680037"/>
    <w:rsid w:val="006805D7"/>
    <w:rsid w:val="006812DA"/>
    <w:rsid w:val="00682BE4"/>
    <w:rsid w:val="006833D7"/>
    <w:rsid w:val="006837C4"/>
    <w:rsid w:val="00683839"/>
    <w:rsid w:val="00685501"/>
    <w:rsid w:val="006869E5"/>
    <w:rsid w:val="00687686"/>
    <w:rsid w:val="00690186"/>
    <w:rsid w:val="00690C7B"/>
    <w:rsid w:val="0069293B"/>
    <w:rsid w:val="00692960"/>
    <w:rsid w:val="00694E41"/>
    <w:rsid w:val="006A0B30"/>
    <w:rsid w:val="006A2304"/>
    <w:rsid w:val="006A2814"/>
    <w:rsid w:val="006A4337"/>
    <w:rsid w:val="006A762E"/>
    <w:rsid w:val="006B024A"/>
    <w:rsid w:val="006B0F2A"/>
    <w:rsid w:val="006B11FB"/>
    <w:rsid w:val="006B4CD7"/>
    <w:rsid w:val="006B5337"/>
    <w:rsid w:val="006B68A4"/>
    <w:rsid w:val="006C2FB8"/>
    <w:rsid w:val="006C2FEA"/>
    <w:rsid w:val="006C5FB5"/>
    <w:rsid w:val="006C62C0"/>
    <w:rsid w:val="006C726D"/>
    <w:rsid w:val="006D1466"/>
    <w:rsid w:val="006D1B45"/>
    <w:rsid w:val="006D2410"/>
    <w:rsid w:val="006D2C2E"/>
    <w:rsid w:val="006D4F99"/>
    <w:rsid w:val="006D51CF"/>
    <w:rsid w:val="006D54DC"/>
    <w:rsid w:val="006D5C29"/>
    <w:rsid w:val="006D5F2C"/>
    <w:rsid w:val="006D6061"/>
    <w:rsid w:val="006E08EE"/>
    <w:rsid w:val="006E1DFB"/>
    <w:rsid w:val="006E428C"/>
    <w:rsid w:val="006E7169"/>
    <w:rsid w:val="006F0C65"/>
    <w:rsid w:val="006F341B"/>
    <w:rsid w:val="006F40BB"/>
    <w:rsid w:val="006F5E9B"/>
    <w:rsid w:val="006F6286"/>
    <w:rsid w:val="007002BD"/>
    <w:rsid w:val="0070101A"/>
    <w:rsid w:val="00705001"/>
    <w:rsid w:val="00705A65"/>
    <w:rsid w:val="00706854"/>
    <w:rsid w:val="00707094"/>
    <w:rsid w:val="00710852"/>
    <w:rsid w:val="00714A05"/>
    <w:rsid w:val="0071534A"/>
    <w:rsid w:val="00715BE8"/>
    <w:rsid w:val="00716CCA"/>
    <w:rsid w:val="00717089"/>
    <w:rsid w:val="00720986"/>
    <w:rsid w:val="00722B49"/>
    <w:rsid w:val="00723C17"/>
    <w:rsid w:val="00725B49"/>
    <w:rsid w:val="00725E78"/>
    <w:rsid w:val="007279EB"/>
    <w:rsid w:val="00730602"/>
    <w:rsid w:val="00730CFB"/>
    <w:rsid w:val="00730F8D"/>
    <w:rsid w:val="007311F9"/>
    <w:rsid w:val="00732E71"/>
    <w:rsid w:val="007331EB"/>
    <w:rsid w:val="00733892"/>
    <w:rsid w:val="007356AC"/>
    <w:rsid w:val="00736C65"/>
    <w:rsid w:val="00740518"/>
    <w:rsid w:val="007406D4"/>
    <w:rsid w:val="007422E7"/>
    <w:rsid w:val="00742898"/>
    <w:rsid w:val="0074390B"/>
    <w:rsid w:val="0074502E"/>
    <w:rsid w:val="00747DAF"/>
    <w:rsid w:val="00750654"/>
    <w:rsid w:val="00750803"/>
    <w:rsid w:val="0075165F"/>
    <w:rsid w:val="007517E5"/>
    <w:rsid w:val="00752A7E"/>
    <w:rsid w:val="00755C00"/>
    <w:rsid w:val="007568AD"/>
    <w:rsid w:val="00761FFC"/>
    <w:rsid w:val="0076292B"/>
    <w:rsid w:val="00764BEB"/>
    <w:rsid w:val="00764F8B"/>
    <w:rsid w:val="00772F68"/>
    <w:rsid w:val="00780745"/>
    <w:rsid w:val="00782523"/>
    <w:rsid w:val="007856B0"/>
    <w:rsid w:val="007875F3"/>
    <w:rsid w:val="00790F7A"/>
    <w:rsid w:val="00792F62"/>
    <w:rsid w:val="00793649"/>
    <w:rsid w:val="007946F9"/>
    <w:rsid w:val="007A0EA5"/>
    <w:rsid w:val="007A1C99"/>
    <w:rsid w:val="007A3C5E"/>
    <w:rsid w:val="007A4C02"/>
    <w:rsid w:val="007A4CF9"/>
    <w:rsid w:val="007A5231"/>
    <w:rsid w:val="007A556D"/>
    <w:rsid w:val="007A6E61"/>
    <w:rsid w:val="007A7029"/>
    <w:rsid w:val="007A7C40"/>
    <w:rsid w:val="007B0D91"/>
    <w:rsid w:val="007B10EF"/>
    <w:rsid w:val="007B2E0E"/>
    <w:rsid w:val="007B2EE7"/>
    <w:rsid w:val="007B473D"/>
    <w:rsid w:val="007B5333"/>
    <w:rsid w:val="007B7383"/>
    <w:rsid w:val="007C10C2"/>
    <w:rsid w:val="007C49D9"/>
    <w:rsid w:val="007C67EA"/>
    <w:rsid w:val="007C7A24"/>
    <w:rsid w:val="007D02B4"/>
    <w:rsid w:val="007D1714"/>
    <w:rsid w:val="007D1D61"/>
    <w:rsid w:val="007D2025"/>
    <w:rsid w:val="007D22C2"/>
    <w:rsid w:val="007D28E1"/>
    <w:rsid w:val="007D3A07"/>
    <w:rsid w:val="007D3C34"/>
    <w:rsid w:val="007D6277"/>
    <w:rsid w:val="007D6892"/>
    <w:rsid w:val="007E3FDF"/>
    <w:rsid w:val="007E4E37"/>
    <w:rsid w:val="007F0DCF"/>
    <w:rsid w:val="007F525E"/>
    <w:rsid w:val="007F6214"/>
    <w:rsid w:val="007F78CB"/>
    <w:rsid w:val="007F7E52"/>
    <w:rsid w:val="008019B3"/>
    <w:rsid w:val="00801E84"/>
    <w:rsid w:val="008029FE"/>
    <w:rsid w:val="00803CAA"/>
    <w:rsid w:val="008047D4"/>
    <w:rsid w:val="00806385"/>
    <w:rsid w:val="00806B22"/>
    <w:rsid w:val="0080744E"/>
    <w:rsid w:val="00810293"/>
    <w:rsid w:val="00814137"/>
    <w:rsid w:val="008171D8"/>
    <w:rsid w:val="008229C4"/>
    <w:rsid w:val="00823FBB"/>
    <w:rsid w:val="00825228"/>
    <w:rsid w:val="00827D0B"/>
    <w:rsid w:val="0083006D"/>
    <w:rsid w:val="0083026E"/>
    <w:rsid w:val="00830D83"/>
    <w:rsid w:val="00831278"/>
    <w:rsid w:val="00831556"/>
    <w:rsid w:val="008318E9"/>
    <w:rsid w:val="00831F77"/>
    <w:rsid w:val="00834614"/>
    <w:rsid w:val="00834F11"/>
    <w:rsid w:val="0083501A"/>
    <w:rsid w:val="00837042"/>
    <w:rsid w:val="00840215"/>
    <w:rsid w:val="00842B81"/>
    <w:rsid w:val="00843CEB"/>
    <w:rsid w:val="0084527B"/>
    <w:rsid w:val="00846C1B"/>
    <w:rsid w:val="00847B9E"/>
    <w:rsid w:val="008509B9"/>
    <w:rsid w:val="00851674"/>
    <w:rsid w:val="00851979"/>
    <w:rsid w:val="008520A5"/>
    <w:rsid w:val="00852766"/>
    <w:rsid w:val="00855867"/>
    <w:rsid w:val="0085686E"/>
    <w:rsid w:val="00856B1C"/>
    <w:rsid w:val="00857DD4"/>
    <w:rsid w:val="00857FA4"/>
    <w:rsid w:val="0086168B"/>
    <w:rsid w:val="008634FE"/>
    <w:rsid w:val="00864AAB"/>
    <w:rsid w:val="00865553"/>
    <w:rsid w:val="00866222"/>
    <w:rsid w:val="00867060"/>
    <w:rsid w:val="00867564"/>
    <w:rsid w:val="008713E8"/>
    <w:rsid w:val="0087274F"/>
    <w:rsid w:val="008742EF"/>
    <w:rsid w:val="008750F1"/>
    <w:rsid w:val="0087581A"/>
    <w:rsid w:val="00876181"/>
    <w:rsid w:val="008766C9"/>
    <w:rsid w:val="00876D17"/>
    <w:rsid w:val="0088066C"/>
    <w:rsid w:val="00880F56"/>
    <w:rsid w:val="00881757"/>
    <w:rsid w:val="0088528B"/>
    <w:rsid w:val="00885405"/>
    <w:rsid w:val="0088674C"/>
    <w:rsid w:val="008869E1"/>
    <w:rsid w:val="00886A1E"/>
    <w:rsid w:val="00886B18"/>
    <w:rsid w:val="00886B4B"/>
    <w:rsid w:val="008871C6"/>
    <w:rsid w:val="0088773B"/>
    <w:rsid w:val="00887E83"/>
    <w:rsid w:val="008919FB"/>
    <w:rsid w:val="0089278D"/>
    <w:rsid w:val="00893245"/>
    <w:rsid w:val="008935B7"/>
    <w:rsid w:val="00894D38"/>
    <w:rsid w:val="008A0198"/>
    <w:rsid w:val="008A4710"/>
    <w:rsid w:val="008A55DD"/>
    <w:rsid w:val="008A5FEB"/>
    <w:rsid w:val="008B1100"/>
    <w:rsid w:val="008B3AD3"/>
    <w:rsid w:val="008B4EEF"/>
    <w:rsid w:val="008B7882"/>
    <w:rsid w:val="008C1ACE"/>
    <w:rsid w:val="008C1C0A"/>
    <w:rsid w:val="008C4B30"/>
    <w:rsid w:val="008C523E"/>
    <w:rsid w:val="008C5BCB"/>
    <w:rsid w:val="008C5FA2"/>
    <w:rsid w:val="008C6462"/>
    <w:rsid w:val="008C7927"/>
    <w:rsid w:val="008D1C20"/>
    <w:rsid w:val="008D274B"/>
    <w:rsid w:val="008D347D"/>
    <w:rsid w:val="008D3F48"/>
    <w:rsid w:val="008D4641"/>
    <w:rsid w:val="008D7767"/>
    <w:rsid w:val="008E18E2"/>
    <w:rsid w:val="008E3375"/>
    <w:rsid w:val="008E38F6"/>
    <w:rsid w:val="008F38A9"/>
    <w:rsid w:val="008F4089"/>
    <w:rsid w:val="008F4A71"/>
    <w:rsid w:val="008F654B"/>
    <w:rsid w:val="008F7F21"/>
    <w:rsid w:val="009004B3"/>
    <w:rsid w:val="009047E5"/>
    <w:rsid w:val="009049C3"/>
    <w:rsid w:val="009049F9"/>
    <w:rsid w:val="00905F5B"/>
    <w:rsid w:val="009064D3"/>
    <w:rsid w:val="00906B94"/>
    <w:rsid w:val="009073F6"/>
    <w:rsid w:val="009079DF"/>
    <w:rsid w:val="009114CF"/>
    <w:rsid w:val="009121B9"/>
    <w:rsid w:val="00917D61"/>
    <w:rsid w:val="00930190"/>
    <w:rsid w:val="00930810"/>
    <w:rsid w:val="0093151B"/>
    <w:rsid w:val="009320BF"/>
    <w:rsid w:val="00932A5E"/>
    <w:rsid w:val="00933445"/>
    <w:rsid w:val="009356AA"/>
    <w:rsid w:val="0093644E"/>
    <w:rsid w:val="009373C9"/>
    <w:rsid w:val="00937653"/>
    <w:rsid w:val="00937F93"/>
    <w:rsid w:val="00937FC7"/>
    <w:rsid w:val="0094016E"/>
    <w:rsid w:val="00942058"/>
    <w:rsid w:val="009427C1"/>
    <w:rsid w:val="00945B50"/>
    <w:rsid w:val="0094624C"/>
    <w:rsid w:val="00946944"/>
    <w:rsid w:val="00947005"/>
    <w:rsid w:val="00947011"/>
    <w:rsid w:val="009516A3"/>
    <w:rsid w:val="0095375C"/>
    <w:rsid w:val="00953E1B"/>
    <w:rsid w:val="00954B61"/>
    <w:rsid w:val="009557AB"/>
    <w:rsid w:val="00955E1D"/>
    <w:rsid w:val="00956AB3"/>
    <w:rsid w:val="009574B4"/>
    <w:rsid w:val="009608BE"/>
    <w:rsid w:val="009609AB"/>
    <w:rsid w:val="00960ED4"/>
    <w:rsid w:val="00961FC5"/>
    <w:rsid w:val="00963A74"/>
    <w:rsid w:val="00966D00"/>
    <w:rsid w:val="009672DB"/>
    <w:rsid w:val="009675C1"/>
    <w:rsid w:val="00971999"/>
    <w:rsid w:val="00972C70"/>
    <w:rsid w:val="00972CA2"/>
    <w:rsid w:val="00972CED"/>
    <w:rsid w:val="00972DE7"/>
    <w:rsid w:val="0097374D"/>
    <w:rsid w:val="0097487E"/>
    <w:rsid w:val="009749D7"/>
    <w:rsid w:val="0097544C"/>
    <w:rsid w:val="00976B5A"/>
    <w:rsid w:val="00982A55"/>
    <w:rsid w:val="00982CBB"/>
    <w:rsid w:val="0098314A"/>
    <w:rsid w:val="00984555"/>
    <w:rsid w:val="00987311"/>
    <w:rsid w:val="009929A5"/>
    <w:rsid w:val="00995210"/>
    <w:rsid w:val="009955FD"/>
    <w:rsid w:val="009964AE"/>
    <w:rsid w:val="00996E7F"/>
    <w:rsid w:val="009A0438"/>
    <w:rsid w:val="009A0D0A"/>
    <w:rsid w:val="009A2162"/>
    <w:rsid w:val="009A4B23"/>
    <w:rsid w:val="009A6429"/>
    <w:rsid w:val="009A7D00"/>
    <w:rsid w:val="009B3319"/>
    <w:rsid w:val="009B3A55"/>
    <w:rsid w:val="009C000D"/>
    <w:rsid w:val="009C0AC9"/>
    <w:rsid w:val="009C0E04"/>
    <w:rsid w:val="009C272D"/>
    <w:rsid w:val="009C3D9F"/>
    <w:rsid w:val="009C42D6"/>
    <w:rsid w:val="009C52A1"/>
    <w:rsid w:val="009C620A"/>
    <w:rsid w:val="009C6A70"/>
    <w:rsid w:val="009C79EB"/>
    <w:rsid w:val="009D0E06"/>
    <w:rsid w:val="009D14AA"/>
    <w:rsid w:val="009D23D3"/>
    <w:rsid w:val="009D3428"/>
    <w:rsid w:val="009D3B83"/>
    <w:rsid w:val="009D75B5"/>
    <w:rsid w:val="009D75C7"/>
    <w:rsid w:val="009E07AB"/>
    <w:rsid w:val="009E0808"/>
    <w:rsid w:val="009E15A6"/>
    <w:rsid w:val="009E1FC1"/>
    <w:rsid w:val="009E256F"/>
    <w:rsid w:val="009E28FB"/>
    <w:rsid w:val="009E305D"/>
    <w:rsid w:val="009E3EFC"/>
    <w:rsid w:val="009F1214"/>
    <w:rsid w:val="009F1C13"/>
    <w:rsid w:val="009F21D7"/>
    <w:rsid w:val="009F44FE"/>
    <w:rsid w:val="009F7685"/>
    <w:rsid w:val="00A00F7E"/>
    <w:rsid w:val="00A01AE1"/>
    <w:rsid w:val="00A034D0"/>
    <w:rsid w:val="00A03EAD"/>
    <w:rsid w:val="00A043B6"/>
    <w:rsid w:val="00A0445C"/>
    <w:rsid w:val="00A04C1D"/>
    <w:rsid w:val="00A04E23"/>
    <w:rsid w:val="00A068B2"/>
    <w:rsid w:val="00A130B1"/>
    <w:rsid w:val="00A15CE7"/>
    <w:rsid w:val="00A204D6"/>
    <w:rsid w:val="00A20C1E"/>
    <w:rsid w:val="00A22E0B"/>
    <w:rsid w:val="00A2327E"/>
    <w:rsid w:val="00A2367B"/>
    <w:rsid w:val="00A2410F"/>
    <w:rsid w:val="00A24922"/>
    <w:rsid w:val="00A30D63"/>
    <w:rsid w:val="00A3111E"/>
    <w:rsid w:val="00A31C4F"/>
    <w:rsid w:val="00A31E3B"/>
    <w:rsid w:val="00A3302E"/>
    <w:rsid w:val="00A337A7"/>
    <w:rsid w:val="00A33E24"/>
    <w:rsid w:val="00A3493E"/>
    <w:rsid w:val="00A35E87"/>
    <w:rsid w:val="00A36671"/>
    <w:rsid w:val="00A4081F"/>
    <w:rsid w:val="00A43932"/>
    <w:rsid w:val="00A43A9B"/>
    <w:rsid w:val="00A450BF"/>
    <w:rsid w:val="00A46D38"/>
    <w:rsid w:val="00A4787A"/>
    <w:rsid w:val="00A50419"/>
    <w:rsid w:val="00A606D2"/>
    <w:rsid w:val="00A6116F"/>
    <w:rsid w:val="00A61897"/>
    <w:rsid w:val="00A61E5D"/>
    <w:rsid w:val="00A65C18"/>
    <w:rsid w:val="00A66F02"/>
    <w:rsid w:val="00A705CE"/>
    <w:rsid w:val="00A71DE0"/>
    <w:rsid w:val="00A72B09"/>
    <w:rsid w:val="00A75536"/>
    <w:rsid w:val="00A76B98"/>
    <w:rsid w:val="00A8239C"/>
    <w:rsid w:val="00A84B02"/>
    <w:rsid w:val="00A86909"/>
    <w:rsid w:val="00A87B10"/>
    <w:rsid w:val="00A914E7"/>
    <w:rsid w:val="00A93EB1"/>
    <w:rsid w:val="00A95DA6"/>
    <w:rsid w:val="00A95E14"/>
    <w:rsid w:val="00A971EC"/>
    <w:rsid w:val="00AA2122"/>
    <w:rsid w:val="00AA2E12"/>
    <w:rsid w:val="00AA3D0F"/>
    <w:rsid w:val="00AA3DFC"/>
    <w:rsid w:val="00AA4D18"/>
    <w:rsid w:val="00AB0820"/>
    <w:rsid w:val="00AB3767"/>
    <w:rsid w:val="00AB7A28"/>
    <w:rsid w:val="00AB7B45"/>
    <w:rsid w:val="00AC0727"/>
    <w:rsid w:val="00AC1727"/>
    <w:rsid w:val="00AC208A"/>
    <w:rsid w:val="00AC36B4"/>
    <w:rsid w:val="00AC5012"/>
    <w:rsid w:val="00AC5315"/>
    <w:rsid w:val="00AC72E9"/>
    <w:rsid w:val="00AD0CD3"/>
    <w:rsid w:val="00AD4DA9"/>
    <w:rsid w:val="00AD549A"/>
    <w:rsid w:val="00AD6BDF"/>
    <w:rsid w:val="00AD7E17"/>
    <w:rsid w:val="00AE0484"/>
    <w:rsid w:val="00AE23BF"/>
    <w:rsid w:val="00AE3A8B"/>
    <w:rsid w:val="00AE5575"/>
    <w:rsid w:val="00AF0F30"/>
    <w:rsid w:val="00AF0FCD"/>
    <w:rsid w:val="00AF23FA"/>
    <w:rsid w:val="00AF3CCB"/>
    <w:rsid w:val="00AF7957"/>
    <w:rsid w:val="00B017B4"/>
    <w:rsid w:val="00B01F6C"/>
    <w:rsid w:val="00B0310E"/>
    <w:rsid w:val="00B03442"/>
    <w:rsid w:val="00B10FB8"/>
    <w:rsid w:val="00B1134C"/>
    <w:rsid w:val="00B11951"/>
    <w:rsid w:val="00B11C77"/>
    <w:rsid w:val="00B11E9F"/>
    <w:rsid w:val="00B12E83"/>
    <w:rsid w:val="00B154CE"/>
    <w:rsid w:val="00B202D5"/>
    <w:rsid w:val="00B22256"/>
    <w:rsid w:val="00B2403B"/>
    <w:rsid w:val="00B265E5"/>
    <w:rsid w:val="00B26D3B"/>
    <w:rsid w:val="00B27C37"/>
    <w:rsid w:val="00B27E9D"/>
    <w:rsid w:val="00B3362C"/>
    <w:rsid w:val="00B337AE"/>
    <w:rsid w:val="00B34667"/>
    <w:rsid w:val="00B34E92"/>
    <w:rsid w:val="00B352BE"/>
    <w:rsid w:val="00B3570B"/>
    <w:rsid w:val="00B40933"/>
    <w:rsid w:val="00B424F8"/>
    <w:rsid w:val="00B430FF"/>
    <w:rsid w:val="00B4696B"/>
    <w:rsid w:val="00B4714A"/>
    <w:rsid w:val="00B47289"/>
    <w:rsid w:val="00B47EDE"/>
    <w:rsid w:val="00B5292B"/>
    <w:rsid w:val="00B538E6"/>
    <w:rsid w:val="00B544E8"/>
    <w:rsid w:val="00B549AD"/>
    <w:rsid w:val="00B54DE1"/>
    <w:rsid w:val="00B55ACC"/>
    <w:rsid w:val="00B57D04"/>
    <w:rsid w:val="00B6073A"/>
    <w:rsid w:val="00B60F6E"/>
    <w:rsid w:val="00B626F6"/>
    <w:rsid w:val="00B64875"/>
    <w:rsid w:val="00B654D5"/>
    <w:rsid w:val="00B66255"/>
    <w:rsid w:val="00B6787D"/>
    <w:rsid w:val="00B67E8C"/>
    <w:rsid w:val="00B701E7"/>
    <w:rsid w:val="00B712F8"/>
    <w:rsid w:val="00B7196E"/>
    <w:rsid w:val="00B72981"/>
    <w:rsid w:val="00B76213"/>
    <w:rsid w:val="00B768DD"/>
    <w:rsid w:val="00B7760D"/>
    <w:rsid w:val="00B80232"/>
    <w:rsid w:val="00B80530"/>
    <w:rsid w:val="00B835FC"/>
    <w:rsid w:val="00B848DF"/>
    <w:rsid w:val="00B85879"/>
    <w:rsid w:val="00B86BF2"/>
    <w:rsid w:val="00B8703D"/>
    <w:rsid w:val="00B90C58"/>
    <w:rsid w:val="00B921F0"/>
    <w:rsid w:val="00B93375"/>
    <w:rsid w:val="00B935B0"/>
    <w:rsid w:val="00BA3B86"/>
    <w:rsid w:val="00BA3CEE"/>
    <w:rsid w:val="00BA44E1"/>
    <w:rsid w:val="00BA6365"/>
    <w:rsid w:val="00BA6D00"/>
    <w:rsid w:val="00BA7E03"/>
    <w:rsid w:val="00BB15FB"/>
    <w:rsid w:val="00BB31F8"/>
    <w:rsid w:val="00BB4DA6"/>
    <w:rsid w:val="00BB543F"/>
    <w:rsid w:val="00BB6A66"/>
    <w:rsid w:val="00BC0A6E"/>
    <w:rsid w:val="00BC10B1"/>
    <w:rsid w:val="00BC1630"/>
    <w:rsid w:val="00BC2159"/>
    <w:rsid w:val="00BC21C9"/>
    <w:rsid w:val="00BC7966"/>
    <w:rsid w:val="00BD04B3"/>
    <w:rsid w:val="00BD2C5A"/>
    <w:rsid w:val="00BD4F4B"/>
    <w:rsid w:val="00BD5AA2"/>
    <w:rsid w:val="00BD6034"/>
    <w:rsid w:val="00BD653F"/>
    <w:rsid w:val="00BE1848"/>
    <w:rsid w:val="00BE3E8F"/>
    <w:rsid w:val="00BF18BA"/>
    <w:rsid w:val="00BF2126"/>
    <w:rsid w:val="00BF3FAF"/>
    <w:rsid w:val="00BF4BF0"/>
    <w:rsid w:val="00BF510D"/>
    <w:rsid w:val="00BF629A"/>
    <w:rsid w:val="00BF663E"/>
    <w:rsid w:val="00BF7843"/>
    <w:rsid w:val="00BF7AC9"/>
    <w:rsid w:val="00BF7CB9"/>
    <w:rsid w:val="00C01D4D"/>
    <w:rsid w:val="00C04F57"/>
    <w:rsid w:val="00C076E3"/>
    <w:rsid w:val="00C07F94"/>
    <w:rsid w:val="00C12CDE"/>
    <w:rsid w:val="00C15E48"/>
    <w:rsid w:val="00C15F27"/>
    <w:rsid w:val="00C16634"/>
    <w:rsid w:val="00C1784E"/>
    <w:rsid w:val="00C2190D"/>
    <w:rsid w:val="00C21F85"/>
    <w:rsid w:val="00C225DB"/>
    <w:rsid w:val="00C23EDC"/>
    <w:rsid w:val="00C27638"/>
    <w:rsid w:val="00C30FFB"/>
    <w:rsid w:val="00C313DB"/>
    <w:rsid w:val="00C334AC"/>
    <w:rsid w:val="00C33FA7"/>
    <w:rsid w:val="00C355B4"/>
    <w:rsid w:val="00C367A0"/>
    <w:rsid w:val="00C4319D"/>
    <w:rsid w:val="00C43F50"/>
    <w:rsid w:val="00C47F5E"/>
    <w:rsid w:val="00C5399F"/>
    <w:rsid w:val="00C53DF2"/>
    <w:rsid w:val="00C54218"/>
    <w:rsid w:val="00C542CB"/>
    <w:rsid w:val="00C54A41"/>
    <w:rsid w:val="00C56A80"/>
    <w:rsid w:val="00C57ED6"/>
    <w:rsid w:val="00C604C8"/>
    <w:rsid w:val="00C60D54"/>
    <w:rsid w:val="00C62D64"/>
    <w:rsid w:val="00C6735C"/>
    <w:rsid w:val="00C67B60"/>
    <w:rsid w:val="00C67B7D"/>
    <w:rsid w:val="00C70092"/>
    <w:rsid w:val="00C71241"/>
    <w:rsid w:val="00C724F2"/>
    <w:rsid w:val="00C729EC"/>
    <w:rsid w:val="00C735A7"/>
    <w:rsid w:val="00C80AB1"/>
    <w:rsid w:val="00C82098"/>
    <w:rsid w:val="00C90D5F"/>
    <w:rsid w:val="00C92B17"/>
    <w:rsid w:val="00C93412"/>
    <w:rsid w:val="00C935C6"/>
    <w:rsid w:val="00C93E4B"/>
    <w:rsid w:val="00C94A36"/>
    <w:rsid w:val="00C955E2"/>
    <w:rsid w:val="00C95EFC"/>
    <w:rsid w:val="00C978A6"/>
    <w:rsid w:val="00C979AE"/>
    <w:rsid w:val="00C97EB6"/>
    <w:rsid w:val="00CA1C67"/>
    <w:rsid w:val="00CA1F90"/>
    <w:rsid w:val="00CA20C6"/>
    <w:rsid w:val="00CA4663"/>
    <w:rsid w:val="00CA4713"/>
    <w:rsid w:val="00CA4A8A"/>
    <w:rsid w:val="00CA5B1E"/>
    <w:rsid w:val="00CA60E2"/>
    <w:rsid w:val="00CA6674"/>
    <w:rsid w:val="00CA7DB3"/>
    <w:rsid w:val="00CB1086"/>
    <w:rsid w:val="00CB28F1"/>
    <w:rsid w:val="00CB3328"/>
    <w:rsid w:val="00CC06EE"/>
    <w:rsid w:val="00CC4DE4"/>
    <w:rsid w:val="00CC5A44"/>
    <w:rsid w:val="00CC5E0A"/>
    <w:rsid w:val="00CC6855"/>
    <w:rsid w:val="00CC79DB"/>
    <w:rsid w:val="00CD385B"/>
    <w:rsid w:val="00CD4288"/>
    <w:rsid w:val="00CD52A6"/>
    <w:rsid w:val="00CD5335"/>
    <w:rsid w:val="00CD584D"/>
    <w:rsid w:val="00CD5F85"/>
    <w:rsid w:val="00CD6C93"/>
    <w:rsid w:val="00CD7C14"/>
    <w:rsid w:val="00CE02B9"/>
    <w:rsid w:val="00CE2FC6"/>
    <w:rsid w:val="00CE390E"/>
    <w:rsid w:val="00CE40C4"/>
    <w:rsid w:val="00CE40EC"/>
    <w:rsid w:val="00CE6D37"/>
    <w:rsid w:val="00CF065A"/>
    <w:rsid w:val="00CF15DF"/>
    <w:rsid w:val="00CF44E9"/>
    <w:rsid w:val="00CF4AD1"/>
    <w:rsid w:val="00CF6843"/>
    <w:rsid w:val="00CF68F5"/>
    <w:rsid w:val="00D00144"/>
    <w:rsid w:val="00D011A5"/>
    <w:rsid w:val="00D026A9"/>
    <w:rsid w:val="00D0558E"/>
    <w:rsid w:val="00D076A7"/>
    <w:rsid w:val="00D07C51"/>
    <w:rsid w:val="00D11B5F"/>
    <w:rsid w:val="00D12365"/>
    <w:rsid w:val="00D153E1"/>
    <w:rsid w:val="00D156AB"/>
    <w:rsid w:val="00D17B31"/>
    <w:rsid w:val="00D21E11"/>
    <w:rsid w:val="00D22269"/>
    <w:rsid w:val="00D27128"/>
    <w:rsid w:val="00D27851"/>
    <w:rsid w:val="00D33159"/>
    <w:rsid w:val="00D35437"/>
    <w:rsid w:val="00D36297"/>
    <w:rsid w:val="00D42BB5"/>
    <w:rsid w:val="00D43E57"/>
    <w:rsid w:val="00D443FB"/>
    <w:rsid w:val="00D44447"/>
    <w:rsid w:val="00D45BB2"/>
    <w:rsid w:val="00D47947"/>
    <w:rsid w:val="00D5126A"/>
    <w:rsid w:val="00D532FC"/>
    <w:rsid w:val="00D53371"/>
    <w:rsid w:val="00D56DAD"/>
    <w:rsid w:val="00D57A17"/>
    <w:rsid w:val="00D57B63"/>
    <w:rsid w:val="00D57D58"/>
    <w:rsid w:val="00D604E7"/>
    <w:rsid w:val="00D621F3"/>
    <w:rsid w:val="00D67B60"/>
    <w:rsid w:val="00D716FC"/>
    <w:rsid w:val="00D71AD8"/>
    <w:rsid w:val="00D71C5C"/>
    <w:rsid w:val="00D721FB"/>
    <w:rsid w:val="00D72472"/>
    <w:rsid w:val="00D7305E"/>
    <w:rsid w:val="00D7674C"/>
    <w:rsid w:val="00D768BD"/>
    <w:rsid w:val="00D77FB1"/>
    <w:rsid w:val="00D82430"/>
    <w:rsid w:val="00D85220"/>
    <w:rsid w:val="00D8522D"/>
    <w:rsid w:val="00D86A62"/>
    <w:rsid w:val="00D87B3A"/>
    <w:rsid w:val="00D87B3C"/>
    <w:rsid w:val="00D9040A"/>
    <w:rsid w:val="00D9080D"/>
    <w:rsid w:val="00D9227C"/>
    <w:rsid w:val="00D9264E"/>
    <w:rsid w:val="00D94227"/>
    <w:rsid w:val="00D96278"/>
    <w:rsid w:val="00DA0A94"/>
    <w:rsid w:val="00DA148D"/>
    <w:rsid w:val="00DA1C92"/>
    <w:rsid w:val="00DA2897"/>
    <w:rsid w:val="00DA4120"/>
    <w:rsid w:val="00DA4F8E"/>
    <w:rsid w:val="00DA5A0D"/>
    <w:rsid w:val="00DA78E8"/>
    <w:rsid w:val="00DB7A33"/>
    <w:rsid w:val="00DC3ED8"/>
    <w:rsid w:val="00DC67A5"/>
    <w:rsid w:val="00DC68C9"/>
    <w:rsid w:val="00DD2D39"/>
    <w:rsid w:val="00DD39F7"/>
    <w:rsid w:val="00DD4C5E"/>
    <w:rsid w:val="00DD6D6D"/>
    <w:rsid w:val="00DE0B2B"/>
    <w:rsid w:val="00DE0DDF"/>
    <w:rsid w:val="00DE11BC"/>
    <w:rsid w:val="00DE1D7D"/>
    <w:rsid w:val="00DE4A8E"/>
    <w:rsid w:val="00DE4BDC"/>
    <w:rsid w:val="00DE6AFA"/>
    <w:rsid w:val="00DF1306"/>
    <w:rsid w:val="00DF255E"/>
    <w:rsid w:val="00DF5A99"/>
    <w:rsid w:val="00DF700C"/>
    <w:rsid w:val="00DF7D52"/>
    <w:rsid w:val="00E00D28"/>
    <w:rsid w:val="00E04A1E"/>
    <w:rsid w:val="00E0538E"/>
    <w:rsid w:val="00E10B22"/>
    <w:rsid w:val="00E11773"/>
    <w:rsid w:val="00E11BCB"/>
    <w:rsid w:val="00E12B9D"/>
    <w:rsid w:val="00E12F1D"/>
    <w:rsid w:val="00E13161"/>
    <w:rsid w:val="00E144CD"/>
    <w:rsid w:val="00E159A5"/>
    <w:rsid w:val="00E15BDA"/>
    <w:rsid w:val="00E16505"/>
    <w:rsid w:val="00E20DD9"/>
    <w:rsid w:val="00E21C63"/>
    <w:rsid w:val="00E23B92"/>
    <w:rsid w:val="00E24FE5"/>
    <w:rsid w:val="00E26111"/>
    <w:rsid w:val="00E27622"/>
    <w:rsid w:val="00E30DBA"/>
    <w:rsid w:val="00E312C9"/>
    <w:rsid w:val="00E32184"/>
    <w:rsid w:val="00E33D17"/>
    <w:rsid w:val="00E33DDA"/>
    <w:rsid w:val="00E35210"/>
    <w:rsid w:val="00E369FC"/>
    <w:rsid w:val="00E407AD"/>
    <w:rsid w:val="00E40ADD"/>
    <w:rsid w:val="00E4386B"/>
    <w:rsid w:val="00E445F8"/>
    <w:rsid w:val="00E46729"/>
    <w:rsid w:val="00E46A43"/>
    <w:rsid w:val="00E47E8A"/>
    <w:rsid w:val="00E537DF"/>
    <w:rsid w:val="00E5496B"/>
    <w:rsid w:val="00E554B8"/>
    <w:rsid w:val="00E554BC"/>
    <w:rsid w:val="00E575D7"/>
    <w:rsid w:val="00E57C11"/>
    <w:rsid w:val="00E6172C"/>
    <w:rsid w:val="00E617DE"/>
    <w:rsid w:val="00E62462"/>
    <w:rsid w:val="00E62C3F"/>
    <w:rsid w:val="00E62C57"/>
    <w:rsid w:val="00E63510"/>
    <w:rsid w:val="00E645B9"/>
    <w:rsid w:val="00E7081F"/>
    <w:rsid w:val="00E70CCB"/>
    <w:rsid w:val="00E71077"/>
    <w:rsid w:val="00E72781"/>
    <w:rsid w:val="00E741D5"/>
    <w:rsid w:val="00E7580A"/>
    <w:rsid w:val="00E772E4"/>
    <w:rsid w:val="00E80C1F"/>
    <w:rsid w:val="00E83A06"/>
    <w:rsid w:val="00E868DF"/>
    <w:rsid w:val="00E91C0E"/>
    <w:rsid w:val="00E932A9"/>
    <w:rsid w:val="00E93D78"/>
    <w:rsid w:val="00EA13DD"/>
    <w:rsid w:val="00EA2522"/>
    <w:rsid w:val="00EA2672"/>
    <w:rsid w:val="00EA305A"/>
    <w:rsid w:val="00EA417D"/>
    <w:rsid w:val="00EA598B"/>
    <w:rsid w:val="00EB1016"/>
    <w:rsid w:val="00EB11E2"/>
    <w:rsid w:val="00EB1FC0"/>
    <w:rsid w:val="00EB23BE"/>
    <w:rsid w:val="00EB291D"/>
    <w:rsid w:val="00EB420E"/>
    <w:rsid w:val="00EB6038"/>
    <w:rsid w:val="00EC2420"/>
    <w:rsid w:val="00EC3213"/>
    <w:rsid w:val="00EC328F"/>
    <w:rsid w:val="00EC3BEB"/>
    <w:rsid w:val="00EC49F5"/>
    <w:rsid w:val="00ED1C64"/>
    <w:rsid w:val="00ED28FF"/>
    <w:rsid w:val="00ED4C78"/>
    <w:rsid w:val="00ED642B"/>
    <w:rsid w:val="00ED682C"/>
    <w:rsid w:val="00ED6C9F"/>
    <w:rsid w:val="00ED7526"/>
    <w:rsid w:val="00ED7E9C"/>
    <w:rsid w:val="00EE17C8"/>
    <w:rsid w:val="00EE4619"/>
    <w:rsid w:val="00EE6BCE"/>
    <w:rsid w:val="00EE729D"/>
    <w:rsid w:val="00EF073E"/>
    <w:rsid w:val="00EF2B31"/>
    <w:rsid w:val="00EF5849"/>
    <w:rsid w:val="00EF5C53"/>
    <w:rsid w:val="00EF7CAA"/>
    <w:rsid w:val="00F00B53"/>
    <w:rsid w:val="00F01A24"/>
    <w:rsid w:val="00F02AB0"/>
    <w:rsid w:val="00F056B8"/>
    <w:rsid w:val="00F10DC6"/>
    <w:rsid w:val="00F11B9D"/>
    <w:rsid w:val="00F12A29"/>
    <w:rsid w:val="00F20E05"/>
    <w:rsid w:val="00F234E9"/>
    <w:rsid w:val="00F234FC"/>
    <w:rsid w:val="00F23AD9"/>
    <w:rsid w:val="00F24E5D"/>
    <w:rsid w:val="00F2506E"/>
    <w:rsid w:val="00F252EC"/>
    <w:rsid w:val="00F265C9"/>
    <w:rsid w:val="00F265EB"/>
    <w:rsid w:val="00F307FB"/>
    <w:rsid w:val="00F30CAE"/>
    <w:rsid w:val="00F31403"/>
    <w:rsid w:val="00F3446F"/>
    <w:rsid w:val="00F36F24"/>
    <w:rsid w:val="00F37D8A"/>
    <w:rsid w:val="00F40E1E"/>
    <w:rsid w:val="00F4332D"/>
    <w:rsid w:val="00F43FB2"/>
    <w:rsid w:val="00F47B03"/>
    <w:rsid w:val="00F50A47"/>
    <w:rsid w:val="00F50DC8"/>
    <w:rsid w:val="00F5446D"/>
    <w:rsid w:val="00F546F3"/>
    <w:rsid w:val="00F558F4"/>
    <w:rsid w:val="00F55FFB"/>
    <w:rsid w:val="00F56DD3"/>
    <w:rsid w:val="00F62BB4"/>
    <w:rsid w:val="00F62BEE"/>
    <w:rsid w:val="00F62C14"/>
    <w:rsid w:val="00F63385"/>
    <w:rsid w:val="00F64498"/>
    <w:rsid w:val="00F67F22"/>
    <w:rsid w:val="00F709B3"/>
    <w:rsid w:val="00F71BC6"/>
    <w:rsid w:val="00F76766"/>
    <w:rsid w:val="00F76799"/>
    <w:rsid w:val="00F879B8"/>
    <w:rsid w:val="00F90E8A"/>
    <w:rsid w:val="00F911C7"/>
    <w:rsid w:val="00F93237"/>
    <w:rsid w:val="00F93806"/>
    <w:rsid w:val="00F93C5F"/>
    <w:rsid w:val="00F94208"/>
    <w:rsid w:val="00F95F9A"/>
    <w:rsid w:val="00FA0842"/>
    <w:rsid w:val="00FA1738"/>
    <w:rsid w:val="00FA1ACE"/>
    <w:rsid w:val="00FA5A13"/>
    <w:rsid w:val="00FA6A77"/>
    <w:rsid w:val="00FA7A70"/>
    <w:rsid w:val="00FA7D80"/>
    <w:rsid w:val="00FB31CC"/>
    <w:rsid w:val="00FB3372"/>
    <w:rsid w:val="00FB39EF"/>
    <w:rsid w:val="00FB5A3E"/>
    <w:rsid w:val="00FB6523"/>
    <w:rsid w:val="00FB7144"/>
    <w:rsid w:val="00FC04C4"/>
    <w:rsid w:val="00FC0C3C"/>
    <w:rsid w:val="00FC2D9F"/>
    <w:rsid w:val="00FC2FF1"/>
    <w:rsid w:val="00FC355A"/>
    <w:rsid w:val="00FD0F71"/>
    <w:rsid w:val="00FD3464"/>
    <w:rsid w:val="00FD4C7C"/>
    <w:rsid w:val="00FD4F15"/>
    <w:rsid w:val="00FD51FE"/>
    <w:rsid w:val="00FD5E5C"/>
    <w:rsid w:val="00FD6701"/>
    <w:rsid w:val="00FD69A8"/>
    <w:rsid w:val="00FD7685"/>
    <w:rsid w:val="00FE106D"/>
    <w:rsid w:val="00FE2F21"/>
    <w:rsid w:val="00FE57D6"/>
    <w:rsid w:val="00FE5CE4"/>
    <w:rsid w:val="00FE65CD"/>
    <w:rsid w:val="00FE70F2"/>
    <w:rsid w:val="00FE73C3"/>
    <w:rsid w:val="00FF0568"/>
    <w:rsid w:val="00FF0FD2"/>
    <w:rsid w:val="00FF2174"/>
    <w:rsid w:val="00FF380A"/>
    <w:rsid w:val="00FF4BE4"/>
    <w:rsid w:val="00FF4C12"/>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N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5" w:qFormat="1"/>
    <w:lsdException w:name="heading 3" w:uiPriority="5" w:qFormat="1"/>
    <w:lsdException w:name="heading 4" w:uiPriority="5" w:qFormat="1"/>
    <w:lsdException w:name="heading 5" w:uiPriority="5" w:qFormat="1"/>
    <w:lsdException w:name="heading 6" w:uiPriority="9" w:qFormat="1"/>
    <w:lsdException w:name="heading 7" w:uiPriority="5" w:qFormat="1"/>
    <w:lsdException w:name="heading 8" w:uiPriority="5" w:qFormat="1"/>
    <w:lsdException w:name="heading 9" w:uiPriority="5"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 w:qFormat="1"/>
    <w:lsdException w:name="footnote reference" w:uiPriority="0"/>
    <w:lsdException w:name="Title" w:semiHidden="0" w:uiPriority="10" w:unhideWhenUsed="0" w:qFormat="1"/>
    <w:lsdException w:name="Default Paragraph Font" w:uiPriority="1"/>
    <w:lsdException w:name="Body Text" w:uiPriority="1" w:qFormat="1"/>
    <w:lsdException w:name="Subtitle" w:semiHidden="0" w:uiPriority="15" w:unhideWhenUsed="0" w:qFormat="1"/>
    <w:lsdException w:name="Strong" w:semiHidden="0" w:uiPriority="22" w:unhideWhenUsed="0" w:qFormat="1"/>
    <w:lsdException w:name="Emphasis" w:semiHidden="0" w:uiPriority="20" w:unhideWhenUsed="0" w:qFormat="1"/>
    <w:lsdException w:name="Table Simple 1" w:uiPriority="0"/>
    <w:lsdException w:name="Table Simple 2" w:uiPriority="0"/>
    <w:lsdException w:name="Table Simple 3" w:uiPriority="0"/>
    <w:lsdException w:name="Table Classic 1" w:uiPriority="0"/>
    <w:lsdException w:name="Table Classic 2" w:uiPriority="0"/>
    <w:lsdException w:name="Table Classic 3" w:uiPriority="0"/>
    <w:lsdException w:name="Table Classic 4" w:uiPriority="0"/>
    <w:lsdException w:name="Table Colorful 1" w:uiPriority="0"/>
    <w:lsdException w:name="Table Colorful 2" w:uiPriority="0"/>
    <w:lsdException w:name="Table Colorful 3" w:uiPriority="0"/>
    <w:lsdException w:name="Table Columns 1" w:uiPriority="0"/>
    <w:lsdException w:name="Table Columns 2" w:uiPriority="0"/>
    <w:lsdException w:name="Table Columns 3" w:uiPriority="0"/>
    <w:lsdException w:name="Table Columns 4" w:uiPriority="0"/>
    <w:lsdException w:name="Table Columns 5" w:uiPriority="0"/>
    <w:lsdException w:name="Table Grid 1" w:uiPriority="0"/>
    <w:lsdException w:name="Table Grid 2" w:uiPriority="0"/>
    <w:lsdException w:name="Table Grid 3" w:uiPriority="0"/>
    <w:lsdException w:name="Table Grid 4" w:uiPriority="0"/>
    <w:lsdException w:name="Table Grid 5" w:uiPriority="0"/>
    <w:lsdException w:name="Table Grid 6" w:uiPriority="0"/>
    <w:lsdException w:name="Table Grid 7" w:uiPriority="0"/>
    <w:lsdException w:name="Table Grid 8" w:uiPriority="0"/>
    <w:lsdException w:name="Table List 1" w:uiPriority="0"/>
    <w:lsdException w:name="Table List 2" w:uiPriority="0"/>
    <w:lsdException w:name="Table List 3" w:uiPriority="0"/>
    <w:lsdException w:name="Table List 4" w:uiPriority="0"/>
    <w:lsdException w:name="Table List 5" w:uiPriority="0"/>
    <w:lsdException w:name="Table List 6" w:uiPriority="0"/>
    <w:lsdException w:name="Table List 7" w:uiPriority="0"/>
    <w:lsdException w:name="Table List 8" w:uiPriority="0"/>
    <w:lsdException w:name="Table 3D effects 1" w:uiPriority="0"/>
    <w:lsdException w:name="Table 3D effects 2" w:uiPriority="0"/>
    <w:lsdException w:name="Table 3D effects 3" w:uiPriority="0"/>
    <w:lsdException w:name="Table Contemporary" w:uiPriority="0"/>
    <w:lsdException w:name="Table Elegant" w:uiPriority="0"/>
    <w:lsdException w:name="Table Professional" w:uiPriority="0"/>
    <w:lsdException w:name="Table Subtle 1" w:uiPriority="0"/>
    <w:lsdException w:name="Table Subtle 2" w:uiPriority="0"/>
    <w:lsdException w:name="Table Web 1" w:uiPriority="0"/>
    <w:lsdException w:name="Table Web 2" w:uiPriority="0"/>
    <w:lsdException w:name="Table Web 3" w:uiPriority="0"/>
    <w:lsdException w:name="Table Grid" w:semiHidden="0" w:uiPriority="0" w:unhideWhenUsed="0"/>
    <w:lsdException w:name="Table Theme"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56DAD"/>
    <w:rPr>
      <w:rFonts w:cs="Times New Roman"/>
    </w:rPr>
  </w:style>
  <w:style w:type="paragraph" w:styleId="Heading1">
    <w:name w:val="heading 1"/>
    <w:basedOn w:val="Normal"/>
    <w:next w:val="Normal"/>
    <w:link w:val="Heading1Char"/>
    <w:uiPriority w:val="1"/>
    <w:qFormat/>
    <w:rsid w:val="00556359"/>
    <w:pPr>
      <w:keepNext/>
      <w:keepLines/>
      <w:pBdr>
        <w:bottom w:val="single" w:sz="18" w:space="1" w:color="002060"/>
      </w:pBdr>
      <w:spacing w:before="480" w:after="0"/>
      <w:outlineLvl w:val="0"/>
    </w:pPr>
    <w:rPr>
      <w:rFonts w:asciiTheme="majorHAnsi" w:eastAsiaTheme="majorEastAsia" w:hAnsiTheme="majorHAnsi"/>
      <w:b/>
      <w:bCs/>
      <w:color w:val="002060"/>
      <w:sz w:val="52"/>
      <w:szCs w:val="28"/>
    </w:rPr>
  </w:style>
  <w:style w:type="paragraph" w:styleId="Heading2">
    <w:name w:val="heading 2"/>
    <w:basedOn w:val="Normal"/>
    <w:next w:val="Normal"/>
    <w:link w:val="Heading2Char"/>
    <w:uiPriority w:val="5"/>
    <w:unhideWhenUsed/>
    <w:qFormat/>
    <w:rsid w:val="00810293"/>
    <w:pPr>
      <w:keepNext/>
      <w:keepLines/>
      <w:spacing w:before="200" w:after="240" w:line="240" w:lineRule="auto"/>
      <w:outlineLvl w:val="1"/>
    </w:pPr>
    <w:rPr>
      <w:rFonts w:asciiTheme="majorHAnsi" w:eastAsiaTheme="majorEastAsia" w:hAnsiTheme="majorHAnsi"/>
      <w:b/>
      <w:bCs/>
      <w:color w:val="1F497D" w:themeColor="text2"/>
      <w:sz w:val="40"/>
      <w:szCs w:val="40"/>
    </w:rPr>
  </w:style>
  <w:style w:type="paragraph" w:styleId="Heading3">
    <w:name w:val="heading 3"/>
    <w:basedOn w:val="Normal"/>
    <w:next w:val="Normal"/>
    <w:link w:val="Heading3Char"/>
    <w:uiPriority w:val="5"/>
    <w:unhideWhenUsed/>
    <w:qFormat/>
    <w:rsid w:val="00AA2122"/>
    <w:pPr>
      <w:keepNext/>
      <w:keepLines/>
      <w:spacing w:before="200" w:after="0"/>
      <w:outlineLvl w:val="2"/>
    </w:pPr>
    <w:rPr>
      <w:rFonts w:eastAsia="Times New Roman" w:cstheme="minorHAnsi"/>
      <w:b/>
      <w:bCs/>
      <w:color w:val="4F81BD" w:themeColor="accent1"/>
      <w:sz w:val="34"/>
      <w:szCs w:val="34"/>
      <w:lang w:eastAsia="en-NZ"/>
    </w:rPr>
  </w:style>
  <w:style w:type="paragraph" w:styleId="Heading4">
    <w:name w:val="heading 4"/>
    <w:basedOn w:val="Normal"/>
    <w:next w:val="Normal"/>
    <w:link w:val="Heading4Char"/>
    <w:uiPriority w:val="5"/>
    <w:unhideWhenUsed/>
    <w:qFormat/>
    <w:rsid w:val="00846C1B"/>
    <w:pPr>
      <w:keepNext/>
      <w:keepLines/>
      <w:spacing w:before="200" w:after="0"/>
      <w:outlineLvl w:val="3"/>
    </w:pPr>
    <w:rPr>
      <w:rFonts w:ascii="Arial" w:eastAsiaTheme="majorEastAsia" w:hAnsi="Arial" w:cs="Arial"/>
      <w:b/>
      <w:bCs/>
      <w:i/>
      <w:iCs/>
      <w:color w:val="4F81BD" w:themeColor="accent1"/>
      <w:sz w:val="28"/>
    </w:rPr>
  </w:style>
  <w:style w:type="paragraph" w:styleId="Heading5">
    <w:name w:val="heading 5"/>
    <w:basedOn w:val="Normal"/>
    <w:next w:val="Normal"/>
    <w:link w:val="Heading5Char"/>
    <w:uiPriority w:val="5"/>
    <w:unhideWhenUsed/>
    <w:qFormat/>
    <w:rsid w:val="00961FC5"/>
    <w:pPr>
      <w:keepNext/>
      <w:keepLines/>
      <w:spacing w:before="200" w:after="0"/>
      <w:outlineLvl w:val="4"/>
    </w:pPr>
    <w:rPr>
      <w:rFonts w:asciiTheme="majorHAnsi" w:eastAsiaTheme="majorEastAsia" w:hAnsiTheme="majorHAnsi"/>
    </w:rPr>
  </w:style>
  <w:style w:type="paragraph" w:styleId="Heading6">
    <w:name w:val="heading 6"/>
    <w:basedOn w:val="Normal"/>
    <w:next w:val="Normal"/>
    <w:link w:val="Heading6Char"/>
    <w:uiPriority w:val="9"/>
    <w:unhideWhenUsed/>
    <w:qFormat/>
    <w:rsid w:val="003631E3"/>
    <w:pPr>
      <w:keepNext/>
      <w:keepLines/>
      <w:spacing w:before="200" w:after="0"/>
      <w:outlineLvl w:val="5"/>
    </w:pPr>
    <w:rPr>
      <w:rFonts w:eastAsiaTheme="majorEastAsia" w:cstheme="minorHAnsi"/>
      <w:b/>
      <w:i/>
      <w:iCs/>
    </w:rPr>
  </w:style>
  <w:style w:type="paragraph" w:styleId="Heading7">
    <w:name w:val="heading 7"/>
    <w:basedOn w:val="Normal"/>
    <w:next w:val="Normal"/>
    <w:link w:val="Heading7Char"/>
    <w:uiPriority w:val="5"/>
    <w:unhideWhenUsed/>
    <w:qFormat/>
    <w:rsid w:val="003631E3"/>
    <w:pPr>
      <w:keepNext/>
      <w:keepLines/>
      <w:spacing w:before="200" w:after="0"/>
      <w:outlineLvl w:val="6"/>
    </w:pPr>
    <w:rPr>
      <w:rFonts w:eastAsiaTheme="majorEastAsia" w:cstheme="minorHAnsi"/>
      <w:iCs/>
      <w:u w:val="single"/>
      <w:lang w:eastAsia="en-GB"/>
    </w:rPr>
  </w:style>
  <w:style w:type="paragraph" w:styleId="Heading8">
    <w:name w:val="heading 8"/>
    <w:basedOn w:val="Normal"/>
    <w:next w:val="Normal"/>
    <w:link w:val="Heading8Char"/>
    <w:uiPriority w:val="5"/>
    <w:unhideWhenUsed/>
    <w:qFormat/>
    <w:rsid w:val="00B8703D"/>
    <w:pPr>
      <w:keepNext/>
      <w:keepLines/>
      <w:spacing w:before="200" w:after="0"/>
      <w:outlineLvl w:val="7"/>
    </w:pPr>
    <w:rPr>
      <w:rFonts w:asciiTheme="majorHAnsi" w:eastAsiaTheme="majorEastAsia" w:hAnsiTheme="majorHAnsi"/>
      <w:color w:val="4F81BD" w:themeColor="accent1"/>
      <w:sz w:val="20"/>
      <w:szCs w:val="20"/>
    </w:rPr>
  </w:style>
  <w:style w:type="paragraph" w:styleId="Heading9">
    <w:name w:val="heading 9"/>
    <w:basedOn w:val="Normal"/>
    <w:next w:val="Normal"/>
    <w:link w:val="Heading9Char"/>
    <w:uiPriority w:val="5"/>
    <w:semiHidden/>
    <w:unhideWhenUsed/>
    <w:qFormat/>
    <w:rsid w:val="00B8703D"/>
    <w:pPr>
      <w:keepNext/>
      <w:keepLines/>
      <w:spacing w:before="200" w:after="0"/>
      <w:outlineLvl w:val="8"/>
    </w:pPr>
    <w:rPr>
      <w:rFonts w:asciiTheme="majorHAnsi" w:eastAsiaTheme="majorEastAsia" w:hAnsiTheme="majorHAns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001">
    <w:name w:val="Para 001"/>
    <w:basedOn w:val="Normal"/>
    <w:rPr>
      <w:rFonts w:cs="Helvetica Neue"/>
    </w:rPr>
  </w:style>
  <w:style w:type="paragraph" w:customStyle="1" w:styleId="Para002">
    <w:name w:val="Para 002"/>
    <w:basedOn w:val="Normal"/>
    <w:rPr>
      <w:rFonts w:cs="Helvetica Neue"/>
    </w:rPr>
  </w:style>
  <w:style w:type="paragraph" w:customStyle="1" w:styleId="Para003">
    <w:name w:val="Para 003"/>
    <w:basedOn w:val="Normal"/>
    <w:pPr>
      <w:pBdr>
        <w:top w:val="none" w:sz="8" w:space="0" w:color="auto"/>
        <w:left w:val="none" w:sz="8" w:space="0" w:color="auto"/>
        <w:bottom w:val="none" w:sz="8" w:space="0" w:color="auto"/>
        <w:right w:val="none" w:sz="8" w:space="0" w:color="auto"/>
      </w:pBdr>
      <w:spacing w:beforeLines="100" w:after="109" w:line="411" w:lineRule="atLeast"/>
    </w:pPr>
  </w:style>
  <w:style w:type="paragraph" w:customStyle="1" w:styleId="Para004">
    <w:name w:val="Para 004"/>
    <w:basedOn w:val="Normal"/>
    <w:rPr>
      <w:b/>
      <w:bCs/>
    </w:rPr>
  </w:style>
  <w:style w:type="paragraph" w:customStyle="1" w:styleId="Para005">
    <w:name w:val="Para 005"/>
    <w:basedOn w:val="Normal"/>
    <w:rPr>
      <w:b/>
      <w:bCs/>
      <w:caps/>
      <w:sz w:val="18"/>
      <w:szCs w:val="18"/>
    </w:rPr>
  </w:style>
  <w:style w:type="paragraph" w:customStyle="1" w:styleId="Para006">
    <w:name w:val="Para 006"/>
    <w:basedOn w:val="Normal"/>
    <w:rPr>
      <w:b/>
      <w:bCs/>
    </w:rPr>
  </w:style>
  <w:style w:type="paragraph" w:customStyle="1" w:styleId="Para007">
    <w:name w:val="Para 007"/>
    <w:basedOn w:val="Normal"/>
    <w:rPr>
      <w:rFonts w:cs="Helvetica Neue"/>
    </w:rPr>
  </w:style>
  <w:style w:type="paragraph" w:customStyle="1" w:styleId="Para008">
    <w:name w:val="Para 008"/>
    <w:basedOn w:val="Normal"/>
    <w:rPr>
      <w:b/>
      <w:bCs/>
    </w:rPr>
  </w:style>
  <w:style w:type="paragraph" w:customStyle="1" w:styleId="Para009">
    <w:name w:val="Para 009"/>
    <w:basedOn w:val="Normal"/>
    <w:rPr>
      <w:rFonts w:cs="Helvetica Neue"/>
    </w:rPr>
  </w:style>
  <w:style w:type="paragraph" w:customStyle="1" w:styleId="Para010">
    <w:name w:val="Para 010"/>
    <w:basedOn w:val="Normal"/>
    <w:pPr>
      <w:numPr>
        <w:numId w:val="1"/>
      </w:numPr>
      <w:pBdr>
        <w:top w:val="none" w:sz="8" w:space="0" w:color="auto"/>
        <w:left w:val="none" w:sz="8" w:space="0" w:color="auto"/>
        <w:bottom w:val="none" w:sz="8" w:space="0" w:color="auto"/>
        <w:right w:val="none" w:sz="8" w:space="0" w:color="auto"/>
      </w:pBdr>
      <w:spacing w:after="109" w:line="411" w:lineRule="atLeast"/>
    </w:pPr>
  </w:style>
  <w:style w:type="paragraph" w:customStyle="1" w:styleId="Para011">
    <w:name w:val="Para 011"/>
    <w:basedOn w:val="Normal"/>
    <w:rPr>
      <w:bdr w:val="none" w:sz="0" w:space="2" w:color="auto"/>
    </w:rPr>
  </w:style>
  <w:style w:type="paragraph" w:customStyle="1" w:styleId="Para012">
    <w:name w:val="Para 012"/>
    <w:basedOn w:val="Normal"/>
    <w:rPr>
      <w:b/>
      <w:bCs/>
    </w:rPr>
  </w:style>
  <w:style w:type="paragraph" w:customStyle="1" w:styleId="Para013">
    <w:name w:val="Para 013"/>
    <w:basedOn w:val="Normal"/>
    <w:rPr>
      <w:b/>
      <w:bCs/>
      <w:caps/>
      <w:sz w:val="18"/>
      <w:szCs w:val="18"/>
    </w:rPr>
  </w:style>
  <w:style w:type="paragraph" w:customStyle="1" w:styleId="Para014">
    <w:name w:val="Para 014"/>
    <w:basedOn w:val="Normal"/>
    <w:pPr>
      <w:jc w:val="center"/>
    </w:pPr>
    <w:rPr>
      <w:b/>
      <w:bCs/>
      <w:caps/>
      <w:sz w:val="18"/>
      <w:szCs w:val="18"/>
    </w:rPr>
  </w:style>
  <w:style w:type="paragraph" w:customStyle="1" w:styleId="Para015">
    <w:name w:val="Para 015"/>
    <w:basedOn w:val="Normal"/>
    <w:pPr>
      <w:jc w:val="center"/>
    </w:pPr>
  </w:style>
  <w:style w:type="paragraph" w:customStyle="1" w:styleId="Para016">
    <w:name w:val="Para 016"/>
    <w:basedOn w:val="Normal"/>
    <w:rPr>
      <w:b/>
      <w:bCs/>
    </w:rPr>
  </w:style>
  <w:style w:type="paragraph" w:customStyle="1" w:styleId="Para017">
    <w:name w:val="Para 017"/>
    <w:basedOn w:val="Normal"/>
  </w:style>
  <w:style w:type="paragraph" w:customStyle="1" w:styleId="Para018">
    <w:name w:val="Para 018"/>
    <w:basedOn w:val="Normal"/>
    <w:rPr>
      <w:b/>
      <w:bCs/>
      <w:caps/>
      <w:sz w:val="18"/>
      <w:szCs w:val="18"/>
    </w:rPr>
  </w:style>
  <w:style w:type="paragraph" w:customStyle="1" w:styleId="Para019">
    <w:name w:val="Para 019"/>
    <w:basedOn w:val="Normal"/>
    <w:pPr>
      <w:jc w:val="center"/>
    </w:pPr>
    <w:rPr>
      <w:color w:val="000000"/>
    </w:rPr>
  </w:style>
  <w:style w:type="paragraph" w:customStyle="1" w:styleId="Para020">
    <w:name w:val="Para 020"/>
    <w:basedOn w:val="Normal"/>
    <w:pPr>
      <w:pBdr>
        <w:top w:val="none" w:sz="8" w:space="0" w:color="auto"/>
        <w:left w:val="none" w:sz="8" w:space="0" w:color="auto"/>
        <w:bottom w:val="none" w:sz="8" w:space="0" w:color="auto"/>
        <w:right w:val="none" w:sz="8" w:space="0" w:color="auto"/>
      </w:pBdr>
      <w:spacing w:beforeLines="100" w:after="109" w:line="411" w:lineRule="atLeast"/>
    </w:pPr>
    <w:rPr>
      <w:i/>
      <w:iCs/>
    </w:rPr>
  </w:style>
  <w:style w:type="paragraph" w:customStyle="1" w:styleId="Para022">
    <w:name w:val="Para 022"/>
    <w:basedOn w:val="Normal"/>
    <w:rPr>
      <w:rFonts w:cs="Helvetica Neue"/>
    </w:rPr>
  </w:style>
  <w:style w:type="paragraph" w:customStyle="1" w:styleId="Para023">
    <w:name w:val="Para 023"/>
    <w:basedOn w:val="Normal"/>
    <w:rPr>
      <w:rFonts w:cs="Helvetica Neue"/>
    </w:rPr>
  </w:style>
  <w:style w:type="paragraph" w:customStyle="1" w:styleId="Para024">
    <w:name w:val="Para 024"/>
    <w:basedOn w:val="Normal"/>
    <w:rPr>
      <w:b/>
      <w:bCs/>
    </w:rPr>
  </w:style>
  <w:style w:type="paragraph" w:customStyle="1" w:styleId="Para025">
    <w:name w:val="Para 025"/>
    <w:basedOn w:val="Normal"/>
    <w:rPr>
      <w:b/>
      <w:bCs/>
    </w:rPr>
  </w:style>
  <w:style w:type="paragraph" w:customStyle="1" w:styleId="Para026">
    <w:name w:val="Para 026"/>
    <w:basedOn w:val="Normal"/>
    <w:pPr>
      <w:pBdr>
        <w:top w:val="none" w:sz="8" w:space="0" w:color="auto"/>
        <w:left w:val="none" w:sz="8" w:space="0" w:color="auto"/>
        <w:bottom w:val="none" w:sz="8" w:space="0" w:color="auto"/>
        <w:right w:val="none" w:sz="8" w:space="0" w:color="auto"/>
      </w:pBdr>
      <w:spacing w:beforeLines="100" w:line="411" w:lineRule="atLeast"/>
    </w:pPr>
  </w:style>
  <w:style w:type="paragraph" w:customStyle="1" w:styleId="Para028">
    <w:name w:val="Para 028"/>
    <w:basedOn w:val="Normal"/>
    <w:rPr>
      <w:b/>
      <w:bCs/>
      <w:caps/>
      <w:sz w:val="18"/>
      <w:szCs w:val="18"/>
    </w:rPr>
  </w:style>
  <w:style w:type="paragraph" w:customStyle="1" w:styleId="Para029">
    <w:name w:val="Para 029"/>
    <w:basedOn w:val="Normal"/>
    <w:pPr>
      <w:pBdr>
        <w:top w:val="none" w:sz="8" w:space="0" w:color="auto"/>
        <w:left w:val="none" w:sz="8" w:space="0" w:color="auto"/>
        <w:bottom w:val="none" w:sz="8" w:space="0" w:color="auto"/>
        <w:right w:val="none" w:sz="8" w:space="0" w:color="auto"/>
      </w:pBdr>
      <w:spacing w:before="109"/>
    </w:pPr>
    <w:rPr>
      <w:b/>
      <w:bCs/>
    </w:rPr>
  </w:style>
  <w:style w:type="paragraph" w:customStyle="1" w:styleId="Para031">
    <w:name w:val="Para 031"/>
    <w:basedOn w:val="Normal"/>
    <w:pPr>
      <w:pBdr>
        <w:top w:val="none" w:sz="8" w:space="0" w:color="auto"/>
        <w:left w:val="none" w:sz="8" w:space="0" w:color="auto"/>
        <w:bottom w:val="none" w:sz="8" w:space="0" w:color="auto"/>
        <w:right w:val="none" w:sz="8" w:space="0" w:color="auto"/>
      </w:pBdr>
      <w:spacing w:beforeLines="100" w:after="109" w:line="411" w:lineRule="atLeast"/>
      <w:jc w:val="center"/>
    </w:pPr>
    <w:rPr>
      <w:b/>
      <w:bCs/>
    </w:rPr>
  </w:style>
  <w:style w:type="paragraph" w:customStyle="1" w:styleId="Para032">
    <w:name w:val="Para 032"/>
    <w:basedOn w:val="Normal"/>
    <w:rPr>
      <w:i/>
      <w:iCs/>
    </w:rPr>
  </w:style>
  <w:style w:type="paragraph" w:customStyle="1" w:styleId="Para033">
    <w:name w:val="Para 033"/>
    <w:basedOn w:val="Normal"/>
    <w:pPr>
      <w:jc w:val="center"/>
    </w:pPr>
    <w:rPr>
      <w:b/>
      <w:bCs/>
    </w:rPr>
  </w:style>
  <w:style w:type="paragraph" w:customStyle="1" w:styleId="Para034">
    <w:name w:val="Para 034"/>
    <w:basedOn w:val="Normal"/>
    <w:pPr>
      <w:pBdr>
        <w:top w:val="none" w:sz="8" w:space="0" w:color="auto"/>
        <w:left w:val="none" w:sz="8" w:space="0" w:color="auto"/>
        <w:bottom w:val="none" w:sz="8" w:space="0" w:color="auto"/>
        <w:right w:val="none" w:sz="8" w:space="0" w:color="auto"/>
      </w:pBdr>
      <w:spacing w:before="109" w:line="411" w:lineRule="atLeast"/>
    </w:pPr>
  </w:style>
  <w:style w:type="paragraph" w:customStyle="1" w:styleId="Para035">
    <w:name w:val="Para 035"/>
    <w:basedOn w:val="Normal"/>
    <w:pPr>
      <w:pBdr>
        <w:top w:val="none" w:sz="8" w:space="0" w:color="auto"/>
        <w:left w:val="none" w:sz="8" w:space="0" w:color="auto"/>
        <w:bottom w:val="none" w:sz="8" w:space="0" w:color="auto"/>
        <w:right w:val="none" w:sz="8" w:space="0" w:color="auto"/>
      </w:pBdr>
      <w:spacing w:beforeLines="100" w:after="109" w:line="411" w:lineRule="atLeast"/>
      <w:jc w:val="center"/>
    </w:pPr>
  </w:style>
  <w:style w:type="paragraph" w:customStyle="1" w:styleId="Para036">
    <w:name w:val="Para 036"/>
    <w:basedOn w:val="Normal"/>
    <w:pPr>
      <w:pBdr>
        <w:top w:val="none" w:sz="8" w:space="0" w:color="auto"/>
        <w:left w:val="none" w:sz="8" w:space="0" w:color="auto"/>
        <w:bottom w:val="none" w:sz="8" w:space="0" w:color="auto"/>
        <w:right w:val="none" w:sz="8" w:space="0" w:color="auto"/>
      </w:pBdr>
      <w:spacing w:beforeLines="100" w:after="109" w:line="408" w:lineRule="atLeast"/>
      <w:jc w:val="center"/>
    </w:pPr>
    <w:rPr>
      <w:b/>
      <w:bCs/>
      <w:sz w:val="34"/>
      <w:szCs w:val="34"/>
    </w:rPr>
  </w:style>
  <w:style w:type="paragraph" w:customStyle="1" w:styleId="Para038">
    <w:name w:val="Para 038"/>
    <w:basedOn w:val="Normal"/>
    <w:rPr>
      <w:b/>
      <w:bCs/>
      <w:i/>
      <w:iCs/>
    </w:rPr>
  </w:style>
  <w:style w:type="paragraph" w:customStyle="1" w:styleId="Para039">
    <w:name w:val="Para 039"/>
    <w:basedOn w:val="Normal"/>
    <w:rPr>
      <w:sz w:val="18"/>
      <w:szCs w:val="18"/>
    </w:rPr>
  </w:style>
  <w:style w:type="paragraph" w:customStyle="1" w:styleId="Para040">
    <w:name w:val="Para 040"/>
    <w:basedOn w:val="Normal"/>
    <w:pPr>
      <w:jc w:val="center"/>
    </w:pPr>
    <w:rPr>
      <w:b/>
      <w:bCs/>
      <w:caps/>
      <w:sz w:val="18"/>
      <w:szCs w:val="18"/>
    </w:rPr>
  </w:style>
  <w:style w:type="paragraph" w:customStyle="1" w:styleId="Para041">
    <w:name w:val="Para 041"/>
    <w:basedOn w:val="Normal"/>
    <w:pPr>
      <w:pBdr>
        <w:top w:val="none" w:sz="8" w:space="0" w:color="auto"/>
        <w:left w:val="none" w:sz="8" w:space="15" w:color="auto"/>
        <w:bottom w:val="none" w:sz="8" w:space="0" w:color="auto"/>
        <w:right w:val="none" w:sz="8" w:space="0" w:color="auto"/>
      </w:pBdr>
      <w:spacing w:beforeLines="100" w:after="109" w:line="215" w:lineRule="atLeast"/>
    </w:pPr>
    <w:rPr>
      <w:sz w:val="18"/>
      <w:szCs w:val="18"/>
    </w:rPr>
  </w:style>
  <w:style w:type="paragraph" w:customStyle="1" w:styleId="Para042">
    <w:name w:val="Para 042"/>
    <w:basedOn w:val="Normal"/>
    <w:pPr>
      <w:pBdr>
        <w:top w:val="none" w:sz="8" w:space="0" w:color="auto"/>
        <w:left w:val="none" w:sz="8" w:space="0" w:color="auto"/>
        <w:bottom w:val="none" w:sz="8" w:space="0" w:color="auto"/>
        <w:right w:val="none" w:sz="8" w:space="0" w:color="auto"/>
      </w:pBdr>
      <w:spacing w:beforeLines="100" w:after="109" w:line="411" w:lineRule="atLeast"/>
    </w:pPr>
    <w:rPr>
      <w:b/>
      <w:bCs/>
    </w:rPr>
  </w:style>
  <w:style w:type="paragraph" w:customStyle="1" w:styleId="Para043">
    <w:name w:val="Para 043"/>
    <w:basedOn w:val="Normal"/>
    <w:pPr>
      <w:jc w:val="center"/>
    </w:pPr>
    <w:rPr>
      <w:b/>
      <w:bCs/>
      <w:caps/>
      <w:color w:val="000000"/>
      <w:sz w:val="18"/>
      <w:szCs w:val="18"/>
    </w:rPr>
  </w:style>
  <w:style w:type="paragraph" w:customStyle="1" w:styleId="Para044">
    <w:name w:val="Para 044"/>
    <w:basedOn w:val="Normal"/>
    <w:pPr>
      <w:pBdr>
        <w:top w:val="none" w:sz="8" w:space="0" w:color="auto"/>
        <w:left w:val="none" w:sz="8" w:space="0" w:color="auto"/>
        <w:bottom w:val="none" w:sz="8" w:space="0" w:color="auto"/>
        <w:right w:val="none" w:sz="8" w:space="0" w:color="auto"/>
      </w:pBdr>
      <w:spacing w:beforeLines="100" w:after="113" w:line="411" w:lineRule="atLeast"/>
    </w:pPr>
  </w:style>
  <w:style w:type="paragraph" w:customStyle="1" w:styleId="Para045">
    <w:name w:val="Para 045"/>
    <w:basedOn w:val="Normal"/>
    <w:rPr>
      <w:b/>
      <w:bCs/>
    </w:rPr>
  </w:style>
  <w:style w:type="paragraph" w:customStyle="1" w:styleId="Para046">
    <w:name w:val="Para 046"/>
    <w:basedOn w:val="Normal"/>
    <w:pPr>
      <w:jc w:val="center"/>
    </w:pPr>
    <w:rPr>
      <w:rFonts w:cs="Helvetica Neue"/>
    </w:rPr>
  </w:style>
  <w:style w:type="paragraph" w:customStyle="1" w:styleId="Para047">
    <w:name w:val="Para 047"/>
    <w:basedOn w:val="Normal"/>
    <w:pPr>
      <w:pBdr>
        <w:top w:val="none" w:sz="8" w:space="0" w:color="auto"/>
        <w:left w:val="none" w:sz="8" w:space="0" w:color="auto"/>
        <w:bottom w:val="none" w:sz="8" w:space="0" w:color="auto"/>
        <w:right w:val="none" w:sz="8" w:space="17" w:color="auto"/>
      </w:pBdr>
    </w:pPr>
  </w:style>
  <w:style w:type="paragraph" w:customStyle="1" w:styleId="Para048">
    <w:name w:val="Para 048"/>
    <w:basedOn w:val="Normal"/>
    <w:pPr>
      <w:pBdr>
        <w:top w:val="none" w:sz="8" w:space="0" w:color="auto"/>
        <w:left w:val="none" w:sz="8" w:space="0" w:color="auto"/>
        <w:bottom w:val="none" w:sz="8" w:space="0" w:color="auto"/>
        <w:right w:val="none" w:sz="8" w:space="0" w:color="auto"/>
      </w:pBdr>
      <w:spacing w:beforeLines="167" w:afterLines="167"/>
    </w:pPr>
    <w:rPr>
      <w:b/>
      <w:bCs/>
    </w:rPr>
  </w:style>
  <w:style w:type="paragraph" w:customStyle="1" w:styleId="Para049">
    <w:name w:val="Para 049"/>
    <w:basedOn w:val="Normal"/>
    <w:rPr>
      <w:color w:val="000000"/>
    </w:rPr>
  </w:style>
  <w:style w:type="paragraph" w:customStyle="1" w:styleId="Para050">
    <w:name w:val="Para 050"/>
    <w:basedOn w:val="Normal"/>
    <w:pPr>
      <w:pBdr>
        <w:top w:val="none" w:sz="8" w:space="0" w:color="auto"/>
        <w:left w:val="none" w:sz="8" w:space="0" w:color="auto"/>
        <w:bottom w:val="dotted" w:sz="4" w:space="3" w:color="000000"/>
        <w:right w:val="none" w:sz="8" w:space="0" w:color="auto"/>
      </w:pBdr>
      <w:spacing w:beforeLines="100" w:line="411" w:lineRule="atLeast"/>
    </w:pPr>
    <w:rPr>
      <w:b/>
      <w:bCs/>
    </w:rPr>
  </w:style>
  <w:style w:type="paragraph" w:customStyle="1" w:styleId="Para051">
    <w:name w:val="Para 051"/>
    <w:basedOn w:val="Normal"/>
    <w:pPr>
      <w:pBdr>
        <w:top w:val="none" w:sz="8" w:space="0" w:color="auto"/>
        <w:left w:val="none" w:sz="8" w:space="0" w:color="auto"/>
        <w:bottom w:val="none" w:sz="8" w:space="4" w:color="auto"/>
        <w:right w:val="none" w:sz="8" w:space="0" w:color="auto"/>
      </w:pBdr>
      <w:spacing w:beforeLines="100" w:line="411" w:lineRule="atLeast"/>
    </w:pPr>
  </w:style>
  <w:style w:type="paragraph" w:customStyle="1" w:styleId="Para052">
    <w:name w:val="Para 052"/>
    <w:basedOn w:val="Normal"/>
    <w:pPr>
      <w:pBdr>
        <w:top w:val="none" w:sz="8" w:space="0" w:color="auto"/>
        <w:left w:val="none" w:sz="8" w:space="0" w:color="auto"/>
        <w:bottom w:val="none" w:sz="8" w:space="0" w:color="auto"/>
        <w:right w:val="none" w:sz="8" w:space="0" w:color="auto"/>
      </w:pBdr>
      <w:spacing w:after="109" w:line="308" w:lineRule="atLeast"/>
    </w:pPr>
    <w:rPr>
      <w:i/>
      <w:iCs/>
      <w:sz w:val="18"/>
      <w:szCs w:val="18"/>
    </w:rPr>
  </w:style>
  <w:style w:type="paragraph" w:customStyle="1" w:styleId="Para053">
    <w:name w:val="Para 053"/>
    <w:basedOn w:val="Normal"/>
    <w:pPr>
      <w:pBdr>
        <w:top w:val="none" w:sz="8" w:space="0" w:color="auto"/>
        <w:left w:val="none" w:sz="8" w:space="0" w:color="auto"/>
        <w:bottom w:val="none" w:sz="8" w:space="0" w:color="auto"/>
        <w:right w:val="none" w:sz="8" w:space="0" w:color="auto"/>
      </w:pBdr>
      <w:spacing w:beforeLines="100" w:after="109" w:line="215" w:lineRule="atLeast"/>
    </w:pPr>
    <w:rPr>
      <w:b/>
      <w:bCs/>
      <w:sz w:val="18"/>
      <w:szCs w:val="18"/>
    </w:rPr>
  </w:style>
  <w:style w:type="paragraph" w:customStyle="1" w:styleId="Para054">
    <w:name w:val="Para 054"/>
    <w:basedOn w:val="Normal"/>
    <w:pPr>
      <w:jc w:val="center"/>
    </w:pPr>
    <w:rPr>
      <w:b/>
      <w:bCs/>
      <w:caps/>
      <w:sz w:val="18"/>
      <w:szCs w:val="18"/>
    </w:rPr>
  </w:style>
  <w:style w:type="paragraph" w:customStyle="1" w:styleId="Para055">
    <w:name w:val="Para 055"/>
    <w:basedOn w:val="Normal"/>
    <w:pPr>
      <w:pBdr>
        <w:top w:val="none" w:sz="8" w:space="0" w:color="auto"/>
        <w:left w:val="none" w:sz="8" w:space="0" w:color="auto"/>
        <w:bottom w:val="none" w:sz="8" w:space="0" w:color="auto"/>
        <w:right w:val="none" w:sz="8" w:space="0" w:color="auto"/>
      </w:pBdr>
      <w:spacing w:beforeLines="170" w:afterLines="100" w:line="408" w:lineRule="atLeast"/>
      <w:ind w:left="414" w:hanging="218"/>
    </w:pPr>
    <w:rPr>
      <w:sz w:val="34"/>
      <w:szCs w:val="34"/>
    </w:rPr>
  </w:style>
  <w:style w:type="paragraph" w:customStyle="1" w:styleId="Para056">
    <w:name w:val="Para 056"/>
    <w:basedOn w:val="Normal"/>
    <w:pPr>
      <w:jc w:val="center"/>
    </w:pPr>
    <w:rPr>
      <w:b/>
      <w:bCs/>
      <w:color w:val="000000"/>
    </w:rPr>
  </w:style>
  <w:style w:type="paragraph" w:customStyle="1" w:styleId="Para057">
    <w:name w:val="Para 057"/>
    <w:basedOn w:val="Normal"/>
    <w:rPr>
      <w:color w:val="0000FF"/>
      <w:u w:val="single"/>
    </w:rPr>
  </w:style>
  <w:style w:type="paragraph" w:customStyle="1" w:styleId="Para058">
    <w:name w:val="Para 058"/>
    <w:basedOn w:val="Normal"/>
    <w:pPr>
      <w:pBdr>
        <w:top w:val="none" w:sz="8" w:space="0" w:color="auto"/>
        <w:left w:val="none" w:sz="8" w:space="0" w:color="auto"/>
        <w:bottom w:val="none" w:sz="8" w:space="0" w:color="auto"/>
        <w:right w:val="none" w:sz="8" w:space="0" w:color="auto"/>
      </w:pBdr>
      <w:spacing w:beforeLines="170" w:afterLines="100" w:line="408" w:lineRule="atLeast"/>
      <w:ind w:left="414" w:hanging="218"/>
    </w:pPr>
    <w:rPr>
      <w:b/>
      <w:bCs/>
      <w:sz w:val="34"/>
      <w:szCs w:val="34"/>
    </w:rPr>
  </w:style>
  <w:style w:type="paragraph" w:customStyle="1" w:styleId="Para059">
    <w:name w:val="Para 059"/>
    <w:basedOn w:val="Normal"/>
    <w:rPr>
      <w:i/>
      <w:iCs/>
    </w:rPr>
  </w:style>
  <w:style w:type="paragraph" w:customStyle="1" w:styleId="Para060">
    <w:name w:val="Para 060"/>
    <w:basedOn w:val="Normal"/>
    <w:rPr>
      <w:b/>
      <w:bCs/>
      <w:i/>
      <w:iCs/>
    </w:rPr>
  </w:style>
  <w:style w:type="paragraph" w:customStyle="1" w:styleId="Para061">
    <w:name w:val="Para 061"/>
    <w:basedOn w:val="Normal"/>
  </w:style>
  <w:style w:type="paragraph" w:customStyle="1" w:styleId="Para062">
    <w:name w:val="Para 062"/>
    <w:basedOn w:val="Normal"/>
    <w:pPr>
      <w:pBdr>
        <w:top w:val="none" w:sz="8" w:space="0" w:color="auto"/>
        <w:left w:val="none" w:sz="8" w:space="0" w:color="auto"/>
        <w:bottom w:val="none" w:sz="8" w:space="0" w:color="auto"/>
        <w:right w:val="none" w:sz="8" w:space="0" w:color="auto"/>
      </w:pBdr>
      <w:spacing w:beforeLines="200" w:after="109" w:line="411" w:lineRule="atLeast"/>
    </w:pPr>
    <w:rPr>
      <w:b/>
      <w:bCs/>
      <w:caps/>
    </w:rPr>
  </w:style>
  <w:style w:type="paragraph" w:customStyle="1" w:styleId="Para063">
    <w:name w:val="Para 063"/>
    <w:basedOn w:val="Normal"/>
    <w:rPr>
      <w:i/>
      <w:iCs/>
    </w:rPr>
  </w:style>
  <w:style w:type="paragraph" w:customStyle="1" w:styleId="Para064">
    <w:name w:val="Para 064"/>
    <w:basedOn w:val="Normal"/>
    <w:pPr>
      <w:pBdr>
        <w:top w:val="none" w:sz="8" w:space="0" w:color="auto"/>
        <w:left w:val="none" w:sz="8" w:space="17" w:color="auto"/>
        <w:bottom w:val="none" w:sz="8" w:space="0" w:color="auto"/>
        <w:right w:val="none" w:sz="8" w:space="17" w:color="auto"/>
      </w:pBdr>
      <w:spacing w:beforeLines="100" w:after="109" w:line="411" w:lineRule="atLeast"/>
    </w:pPr>
  </w:style>
  <w:style w:type="paragraph" w:customStyle="1" w:styleId="Para065">
    <w:name w:val="Para 065"/>
    <w:basedOn w:val="Normal"/>
    <w:pPr>
      <w:pBdr>
        <w:top w:val="none" w:sz="8" w:space="0" w:color="auto"/>
        <w:left w:val="none" w:sz="8" w:space="0" w:color="auto"/>
        <w:bottom w:val="none" w:sz="8" w:space="0" w:color="auto"/>
        <w:right w:val="none" w:sz="8" w:space="0" w:color="auto"/>
      </w:pBdr>
      <w:spacing w:before="453" w:after="170" w:line="408" w:lineRule="atLeast"/>
      <w:ind w:left="340" w:right="340"/>
      <w:jc w:val="center"/>
    </w:pPr>
    <w:rPr>
      <w:sz w:val="34"/>
      <w:szCs w:val="34"/>
    </w:rPr>
  </w:style>
  <w:style w:type="paragraph" w:customStyle="1" w:styleId="Para066">
    <w:name w:val="Para 066"/>
    <w:basedOn w:val="Normal"/>
    <w:pPr>
      <w:pBdr>
        <w:top w:val="none" w:sz="8" w:space="0" w:color="auto"/>
        <w:left w:val="none" w:sz="8" w:space="21" w:color="auto"/>
        <w:bottom w:val="none" w:sz="8" w:space="0" w:color="auto"/>
        <w:right w:val="none" w:sz="8" w:space="0" w:color="auto"/>
      </w:pBdr>
      <w:spacing w:beforeLines="100" w:after="109" w:line="411" w:lineRule="atLeast"/>
    </w:pPr>
  </w:style>
  <w:style w:type="paragraph" w:customStyle="1" w:styleId="Para067">
    <w:name w:val="Para 067"/>
    <w:basedOn w:val="Normal"/>
    <w:pPr>
      <w:pBdr>
        <w:top w:val="none" w:sz="8" w:space="0" w:color="auto"/>
        <w:left w:val="none" w:sz="8" w:space="0" w:color="auto"/>
        <w:bottom w:val="none" w:sz="8" w:space="0" w:color="auto"/>
        <w:right w:val="none" w:sz="8" w:space="0" w:color="auto"/>
      </w:pBdr>
      <w:spacing w:line="408" w:lineRule="atLeast"/>
    </w:pPr>
    <w:rPr>
      <w:b/>
      <w:bCs/>
      <w:sz w:val="34"/>
      <w:szCs w:val="34"/>
    </w:rPr>
  </w:style>
  <w:style w:type="paragraph" w:customStyle="1" w:styleId="Para068">
    <w:name w:val="Para 068"/>
    <w:basedOn w:val="Normal"/>
    <w:pPr>
      <w:pBdr>
        <w:top w:val="none" w:sz="8" w:space="0" w:color="auto"/>
        <w:left w:val="none" w:sz="8" w:space="0" w:color="auto"/>
        <w:bottom w:val="none" w:sz="8" w:space="0" w:color="auto"/>
        <w:right w:val="none" w:sz="8" w:space="0" w:color="auto"/>
      </w:pBdr>
      <w:spacing w:beforeLines="100" w:line="411" w:lineRule="atLeast"/>
    </w:pPr>
    <w:rPr>
      <w:b/>
      <w:bCs/>
    </w:rPr>
  </w:style>
  <w:style w:type="paragraph" w:customStyle="1" w:styleId="Para069">
    <w:name w:val="Para 069"/>
    <w:basedOn w:val="Normal"/>
    <w:pPr>
      <w:pBdr>
        <w:top w:val="none" w:sz="8" w:space="5" w:color="auto"/>
        <w:left w:val="none" w:sz="8" w:space="10" w:color="auto"/>
        <w:bottom w:val="none" w:sz="8" w:space="5" w:color="auto"/>
        <w:right w:val="none" w:sz="8" w:space="10" w:color="auto"/>
      </w:pBdr>
      <w:shd w:val="clear" w:color="auto" w:fill="E6E6E6"/>
    </w:pPr>
    <w:rPr>
      <w:sz w:val="34"/>
      <w:szCs w:val="34"/>
    </w:rPr>
  </w:style>
  <w:style w:type="paragraph" w:customStyle="1" w:styleId="Para070">
    <w:name w:val="Para 070"/>
    <w:basedOn w:val="Normal"/>
    <w:pPr>
      <w:pBdr>
        <w:top w:val="none" w:sz="8" w:space="0" w:color="auto"/>
        <w:left w:val="none" w:sz="8" w:space="0" w:color="auto"/>
        <w:bottom w:val="none" w:sz="8" w:space="0" w:color="auto"/>
        <w:right w:val="none" w:sz="8" w:space="0" w:color="auto"/>
      </w:pBdr>
      <w:spacing w:before="218" w:after="109" w:line="411" w:lineRule="atLeast"/>
    </w:pPr>
  </w:style>
  <w:style w:type="paragraph" w:customStyle="1" w:styleId="Para071">
    <w:name w:val="Para 071"/>
    <w:basedOn w:val="Normal"/>
  </w:style>
  <w:style w:type="paragraph" w:customStyle="1" w:styleId="Para072">
    <w:name w:val="Para 072"/>
    <w:basedOn w:val="Normal"/>
    <w:pPr>
      <w:pBdr>
        <w:top w:val="none" w:sz="8" w:space="0" w:color="auto"/>
        <w:left w:val="none" w:sz="8" w:space="0" w:color="auto"/>
        <w:bottom w:val="none" w:sz="8" w:space="0" w:color="auto"/>
        <w:right w:val="none" w:sz="8" w:space="0" w:color="auto"/>
      </w:pBdr>
      <w:spacing w:after="109" w:line="308" w:lineRule="atLeast"/>
    </w:pPr>
    <w:rPr>
      <w:sz w:val="18"/>
      <w:szCs w:val="18"/>
    </w:rPr>
  </w:style>
  <w:style w:type="paragraph" w:customStyle="1" w:styleId="Para073">
    <w:name w:val="Para 073"/>
    <w:basedOn w:val="Normal"/>
    <w:pPr>
      <w:pBdr>
        <w:top w:val="none" w:sz="8" w:space="0" w:color="auto"/>
        <w:left w:val="none" w:sz="8" w:space="0" w:color="auto"/>
        <w:bottom w:val="none" w:sz="8" w:space="0" w:color="auto"/>
        <w:right w:val="none" w:sz="8" w:space="0" w:color="auto"/>
      </w:pBdr>
      <w:spacing w:before="340" w:after="85"/>
    </w:pPr>
    <w:rPr>
      <w:rFonts w:ascii="GuardianTextEgyp" w:eastAsia="GuardianTextEgyp" w:hAnsi="GuardianTextEgyp" w:cs="GuardianTextEgyp"/>
      <w:b/>
      <w:bCs/>
      <w:caps/>
    </w:rPr>
  </w:style>
  <w:style w:type="paragraph" w:customStyle="1" w:styleId="Para074">
    <w:name w:val="Para 074"/>
    <w:basedOn w:val="Normal"/>
    <w:pPr>
      <w:pBdr>
        <w:top w:val="none" w:sz="8" w:space="0" w:color="auto"/>
        <w:left w:val="none" w:sz="8" w:space="0" w:color="auto"/>
        <w:bottom w:val="none" w:sz="8" w:space="0" w:color="auto"/>
        <w:right w:val="none" w:sz="8" w:space="0" w:color="auto"/>
      </w:pBdr>
      <w:spacing w:before="109" w:afterLines="100" w:line="408" w:lineRule="atLeast"/>
    </w:pPr>
    <w:rPr>
      <w:sz w:val="34"/>
      <w:szCs w:val="34"/>
    </w:rPr>
  </w:style>
  <w:style w:type="paragraph" w:customStyle="1" w:styleId="Para075">
    <w:name w:val="Para 075"/>
    <w:basedOn w:val="Normal"/>
    <w:pPr>
      <w:pBdr>
        <w:top w:val="none" w:sz="8" w:space="0" w:color="auto"/>
        <w:left w:val="none" w:sz="8" w:space="15" w:color="auto"/>
        <w:bottom w:val="none" w:sz="8" w:space="0" w:color="auto"/>
        <w:right w:val="none" w:sz="8" w:space="0" w:color="auto"/>
      </w:pBdr>
      <w:spacing w:before="109" w:line="215" w:lineRule="atLeast"/>
    </w:pPr>
    <w:rPr>
      <w:sz w:val="18"/>
      <w:szCs w:val="18"/>
    </w:rPr>
  </w:style>
  <w:style w:type="paragraph" w:customStyle="1" w:styleId="Para076">
    <w:name w:val="Para 076"/>
    <w:basedOn w:val="Normal"/>
    <w:pPr>
      <w:pBdr>
        <w:top w:val="none" w:sz="8" w:space="0" w:color="auto"/>
        <w:left w:val="none" w:sz="8" w:space="0" w:color="auto"/>
        <w:bottom w:val="none" w:sz="8" w:space="0" w:color="auto"/>
        <w:right w:val="none" w:sz="8" w:space="0" w:color="auto"/>
      </w:pBdr>
      <w:spacing w:before="170" w:line="680" w:lineRule="atLeast"/>
      <w:jc w:val="center"/>
    </w:pPr>
    <w:rPr>
      <w:b/>
      <w:bCs/>
      <w:sz w:val="48"/>
      <w:szCs w:val="48"/>
    </w:rPr>
  </w:style>
  <w:style w:type="paragraph" w:customStyle="1" w:styleId="Para077">
    <w:name w:val="Para 077"/>
    <w:basedOn w:val="Normal"/>
    <w:pPr>
      <w:pBdr>
        <w:top w:val="none" w:sz="8" w:space="0" w:color="auto"/>
        <w:left w:val="none" w:sz="8" w:space="0" w:color="auto"/>
        <w:bottom w:val="none" w:sz="8" w:space="0" w:color="auto"/>
        <w:right w:val="none" w:sz="8" w:space="0" w:color="auto"/>
      </w:pBdr>
      <w:spacing w:beforeLines="100" w:after="113" w:line="411" w:lineRule="atLeast"/>
    </w:pPr>
    <w:rPr>
      <w:b/>
      <w:bCs/>
    </w:rPr>
  </w:style>
  <w:style w:type="paragraph" w:customStyle="1" w:styleId="Para079">
    <w:name w:val="Para 079"/>
    <w:basedOn w:val="Normal"/>
    <w:pPr>
      <w:pBdr>
        <w:top w:val="none" w:sz="8" w:space="0" w:color="auto"/>
        <w:left w:val="none" w:sz="8" w:space="0" w:color="auto"/>
        <w:bottom w:val="none" w:sz="8" w:space="0" w:color="auto"/>
        <w:right w:val="none" w:sz="8" w:space="0" w:color="auto"/>
      </w:pBdr>
      <w:spacing w:beforeLines="100" w:after="109" w:line="252" w:lineRule="atLeast"/>
      <w:jc w:val="center"/>
    </w:pPr>
    <w:rPr>
      <w:sz w:val="18"/>
      <w:szCs w:val="18"/>
    </w:rPr>
  </w:style>
  <w:style w:type="paragraph" w:customStyle="1" w:styleId="Para080">
    <w:name w:val="Para 080"/>
    <w:basedOn w:val="Normal"/>
    <w:pPr>
      <w:pBdr>
        <w:top w:val="none" w:sz="8" w:space="0" w:color="auto"/>
        <w:left w:val="none" w:sz="8" w:space="0" w:color="auto"/>
        <w:bottom w:val="none" w:sz="8" w:space="0" w:color="auto"/>
        <w:right w:val="none" w:sz="8" w:space="0" w:color="auto"/>
      </w:pBdr>
      <w:spacing w:beforeLines="100" w:after="109" w:line="270" w:lineRule="atLeast"/>
    </w:pPr>
    <w:rPr>
      <w:i/>
      <w:iCs/>
      <w:sz w:val="18"/>
      <w:szCs w:val="18"/>
    </w:rPr>
  </w:style>
  <w:style w:type="paragraph" w:customStyle="1" w:styleId="Para081">
    <w:name w:val="Para 081"/>
    <w:basedOn w:val="Normal"/>
    <w:pPr>
      <w:pBdr>
        <w:top w:val="none" w:sz="8" w:space="0" w:color="auto"/>
        <w:left w:val="none" w:sz="8" w:space="0" w:color="auto"/>
        <w:bottom w:val="none" w:sz="8" w:space="0" w:color="auto"/>
        <w:right w:val="none" w:sz="8" w:space="0" w:color="auto"/>
      </w:pBdr>
    </w:pPr>
  </w:style>
  <w:style w:type="paragraph" w:customStyle="1" w:styleId="Para082">
    <w:name w:val="Para 082"/>
    <w:basedOn w:val="Normal"/>
    <w:pPr>
      <w:pBdr>
        <w:top w:val="none" w:sz="8" w:space="0" w:color="auto"/>
        <w:left w:val="none" w:sz="8" w:space="0" w:color="auto"/>
        <w:bottom w:val="none" w:sz="8" w:space="0" w:color="auto"/>
        <w:right w:val="none" w:sz="8" w:space="0" w:color="auto"/>
      </w:pBdr>
      <w:spacing w:before="340" w:line="600" w:lineRule="atLeast"/>
      <w:jc w:val="center"/>
    </w:pPr>
    <w:rPr>
      <w:b/>
      <w:bCs/>
      <w:sz w:val="48"/>
      <w:szCs w:val="48"/>
    </w:rPr>
  </w:style>
  <w:style w:type="paragraph" w:customStyle="1" w:styleId="Para083">
    <w:name w:val="Para 083"/>
    <w:basedOn w:val="Normal"/>
    <w:rPr>
      <w:b/>
      <w:bCs/>
      <w:caps/>
      <w:sz w:val="18"/>
      <w:szCs w:val="18"/>
      <w:vertAlign w:val="subscript"/>
    </w:rPr>
  </w:style>
  <w:style w:type="paragraph" w:customStyle="1" w:styleId="Para084">
    <w:name w:val="Para 084"/>
    <w:basedOn w:val="Normal"/>
    <w:pPr>
      <w:pBdr>
        <w:top w:val="none" w:sz="8" w:space="0" w:color="auto"/>
        <w:left w:val="none" w:sz="8" w:space="0" w:color="auto"/>
        <w:bottom w:val="none" w:sz="8" w:space="0" w:color="auto"/>
        <w:right w:val="none" w:sz="8" w:space="0" w:color="auto"/>
      </w:pBdr>
      <w:spacing w:beforeLines="100" w:after="109" w:line="308" w:lineRule="atLeast"/>
    </w:pPr>
    <w:rPr>
      <w:sz w:val="18"/>
      <w:szCs w:val="18"/>
    </w:rPr>
  </w:style>
  <w:style w:type="paragraph" w:customStyle="1" w:styleId="Para085">
    <w:name w:val="Para 085"/>
    <w:basedOn w:val="Normal"/>
    <w:pPr>
      <w:pBdr>
        <w:top w:val="none" w:sz="8" w:space="0" w:color="auto"/>
        <w:left w:val="none" w:sz="8" w:space="0" w:color="auto"/>
        <w:bottom w:val="none" w:sz="8" w:space="2" w:color="auto"/>
        <w:right w:val="none" w:sz="8" w:space="0" w:color="auto"/>
      </w:pBdr>
    </w:pPr>
    <w:rPr>
      <w:sz w:val="18"/>
      <w:szCs w:val="18"/>
    </w:rPr>
  </w:style>
  <w:style w:type="paragraph" w:customStyle="1" w:styleId="Para086">
    <w:name w:val="Para 086"/>
    <w:basedOn w:val="Normal"/>
    <w:pPr>
      <w:pBdr>
        <w:top w:val="none" w:sz="8" w:space="0" w:color="auto"/>
        <w:left w:val="none" w:sz="8" w:space="0" w:color="auto"/>
        <w:bottom w:val="none" w:sz="8" w:space="0" w:color="auto"/>
        <w:right w:val="none" w:sz="8" w:space="0" w:color="auto"/>
      </w:pBdr>
      <w:spacing w:before="109" w:line="408" w:lineRule="atLeast"/>
    </w:pPr>
    <w:rPr>
      <w:sz w:val="34"/>
      <w:szCs w:val="34"/>
    </w:rPr>
  </w:style>
  <w:style w:type="paragraph" w:customStyle="1" w:styleId="Para087">
    <w:name w:val="Para 087"/>
    <w:basedOn w:val="Normal"/>
    <w:pPr>
      <w:pBdr>
        <w:top w:val="none" w:sz="8" w:space="0" w:color="auto"/>
        <w:left w:val="none" w:sz="8" w:space="0" w:color="auto"/>
        <w:bottom w:val="none" w:sz="8" w:space="0" w:color="auto"/>
        <w:right w:val="none" w:sz="8" w:space="0" w:color="auto"/>
      </w:pBdr>
    </w:pPr>
    <w:rPr>
      <w:color w:val="0000FF"/>
      <w:sz w:val="18"/>
      <w:szCs w:val="18"/>
      <w:u w:val="single"/>
    </w:rPr>
  </w:style>
  <w:style w:type="paragraph" w:customStyle="1" w:styleId="Para088">
    <w:name w:val="Para 088"/>
    <w:basedOn w:val="Normal"/>
    <w:pPr>
      <w:pBdr>
        <w:top w:val="none" w:sz="8" w:space="0" w:color="auto"/>
        <w:left w:val="none" w:sz="8" w:space="0" w:color="auto"/>
        <w:bottom w:val="none" w:sz="8" w:space="0" w:color="auto"/>
        <w:right w:val="none" w:sz="8" w:space="0" w:color="auto"/>
      </w:pBdr>
      <w:spacing w:after="109" w:line="411" w:lineRule="atLeast"/>
    </w:pPr>
    <w:rPr>
      <w:b/>
      <w:bCs/>
    </w:rPr>
  </w:style>
  <w:style w:type="paragraph" w:customStyle="1" w:styleId="Para089">
    <w:name w:val="Para 089"/>
    <w:basedOn w:val="Normal"/>
    <w:pPr>
      <w:jc w:val="center"/>
    </w:pPr>
    <w:rPr>
      <w:b/>
      <w:bCs/>
      <w:caps/>
      <w:sz w:val="18"/>
      <w:szCs w:val="18"/>
    </w:rPr>
  </w:style>
  <w:style w:type="paragraph" w:customStyle="1" w:styleId="Para090">
    <w:name w:val="Para 090"/>
    <w:basedOn w:val="Normal"/>
    <w:rPr>
      <w:bdr w:val="none" w:sz="0" w:space="2" w:color="auto"/>
    </w:rPr>
  </w:style>
  <w:style w:type="paragraph" w:customStyle="1" w:styleId="Para091">
    <w:name w:val="Para 091"/>
    <w:basedOn w:val="Normal"/>
    <w:pPr>
      <w:jc w:val="center"/>
    </w:pPr>
    <w:rPr>
      <w:b/>
      <w:bCs/>
    </w:rPr>
  </w:style>
  <w:style w:type="paragraph" w:customStyle="1" w:styleId="Para092">
    <w:name w:val="Para 092"/>
    <w:basedOn w:val="Normal"/>
    <w:pPr>
      <w:jc w:val="center"/>
    </w:pPr>
    <w:rPr>
      <w:rFonts w:cs="Helvetica Neue"/>
    </w:rPr>
  </w:style>
  <w:style w:type="paragraph" w:customStyle="1" w:styleId="Para093">
    <w:name w:val="Para 093"/>
    <w:basedOn w:val="Normal"/>
    <w:pPr>
      <w:jc w:val="center"/>
    </w:pPr>
    <w:rPr>
      <w:b/>
      <w:bCs/>
      <w:caps/>
      <w:sz w:val="18"/>
      <w:szCs w:val="18"/>
    </w:rPr>
  </w:style>
  <w:style w:type="paragraph" w:customStyle="1" w:styleId="Para094">
    <w:name w:val="Para 094"/>
    <w:basedOn w:val="Normal"/>
    <w:pPr>
      <w:jc w:val="center"/>
    </w:pPr>
    <w:rPr>
      <w:rFonts w:cs="Helvetica Neue"/>
    </w:rPr>
  </w:style>
  <w:style w:type="paragraph" w:customStyle="1" w:styleId="Para095">
    <w:name w:val="Para 095"/>
    <w:basedOn w:val="Normal"/>
    <w:rPr>
      <w:bdr w:val="none" w:sz="0" w:space="2" w:color="auto"/>
    </w:rPr>
  </w:style>
  <w:style w:type="paragraph" w:customStyle="1" w:styleId="Para096">
    <w:name w:val="Para 096"/>
    <w:basedOn w:val="Normal"/>
    <w:pPr>
      <w:jc w:val="center"/>
    </w:pPr>
    <w:rPr>
      <w:rFonts w:cs="Helvetica Neue"/>
    </w:rPr>
  </w:style>
  <w:style w:type="paragraph" w:customStyle="1" w:styleId="Para097">
    <w:name w:val="Para 097"/>
    <w:basedOn w:val="Normal"/>
    <w:pPr>
      <w:pBdr>
        <w:top w:val="none" w:sz="8" w:space="0" w:color="auto"/>
        <w:left w:val="none" w:sz="8" w:space="0" w:color="auto"/>
        <w:bottom w:val="none" w:sz="8" w:space="0" w:color="auto"/>
        <w:right w:val="none" w:sz="8" w:space="0" w:color="auto"/>
      </w:pBdr>
      <w:spacing w:beforeLines="200" w:afterLines="167"/>
    </w:pPr>
    <w:rPr>
      <w:b/>
      <w:bCs/>
      <w:caps/>
    </w:rPr>
  </w:style>
  <w:style w:type="paragraph" w:customStyle="1" w:styleId="Para098">
    <w:name w:val="Para 098"/>
    <w:basedOn w:val="Normal"/>
    <w:rPr>
      <w:sz w:val="18"/>
      <w:szCs w:val="18"/>
    </w:rPr>
  </w:style>
  <w:style w:type="paragraph" w:customStyle="1" w:styleId="Para099">
    <w:name w:val="Para 099"/>
    <w:basedOn w:val="Normal"/>
    <w:rPr>
      <w:b/>
      <w:bCs/>
      <w:i/>
      <w:iCs/>
    </w:rPr>
  </w:style>
  <w:style w:type="paragraph" w:customStyle="1" w:styleId="Para100">
    <w:name w:val="Para 100"/>
    <w:basedOn w:val="Normal"/>
    <w:pPr>
      <w:pBdr>
        <w:top w:val="none" w:sz="8" w:space="0" w:color="auto"/>
        <w:left w:val="none" w:sz="8" w:space="0" w:color="auto"/>
        <w:bottom w:val="none" w:sz="8" w:space="0" w:color="auto"/>
        <w:right w:val="none" w:sz="8" w:space="0" w:color="auto"/>
      </w:pBdr>
      <w:spacing w:after="109"/>
      <w:ind w:left="218"/>
    </w:pPr>
  </w:style>
  <w:style w:type="paragraph" w:customStyle="1" w:styleId="Para101">
    <w:name w:val="Para 101"/>
    <w:basedOn w:val="Normal"/>
    <w:pPr>
      <w:pBdr>
        <w:top w:val="none" w:sz="8" w:space="0" w:color="auto"/>
        <w:left w:val="none" w:sz="8" w:space="0" w:color="auto"/>
        <w:bottom w:val="none" w:sz="8" w:space="0" w:color="auto"/>
        <w:right w:val="none" w:sz="8" w:space="0" w:color="auto"/>
      </w:pBdr>
      <w:spacing w:before="109" w:line="308" w:lineRule="atLeast"/>
    </w:pPr>
    <w:rPr>
      <w:sz w:val="18"/>
      <w:szCs w:val="18"/>
    </w:rPr>
  </w:style>
  <w:style w:type="paragraph" w:customStyle="1" w:styleId="Para102">
    <w:name w:val="Para 102"/>
    <w:basedOn w:val="Normal"/>
    <w:rPr>
      <w:b/>
      <w:bCs/>
      <w:color w:val="000000"/>
    </w:rPr>
  </w:style>
  <w:style w:type="paragraph" w:customStyle="1" w:styleId="Para103">
    <w:name w:val="Para 103"/>
    <w:basedOn w:val="Normal"/>
    <w:rPr>
      <w:b/>
      <w:bCs/>
      <w:caps/>
      <w:color w:val="000000"/>
      <w:sz w:val="18"/>
      <w:szCs w:val="18"/>
    </w:rPr>
  </w:style>
  <w:style w:type="paragraph" w:customStyle="1" w:styleId="Para104">
    <w:name w:val="Para 104"/>
    <w:basedOn w:val="Normal"/>
  </w:style>
  <w:style w:type="paragraph" w:customStyle="1" w:styleId="Para105">
    <w:name w:val="Para 105"/>
    <w:basedOn w:val="Normal"/>
    <w:pPr>
      <w:pBdr>
        <w:top w:val="none" w:sz="8" w:space="0" w:color="auto"/>
        <w:left w:val="none" w:sz="8" w:space="0" w:color="auto"/>
        <w:bottom w:val="none" w:sz="8" w:space="0" w:color="auto"/>
        <w:right w:val="none" w:sz="8" w:space="0" w:color="auto"/>
      </w:pBdr>
      <w:spacing w:beforeLines="100" w:after="109" w:line="308" w:lineRule="atLeast"/>
      <w:ind w:left="218"/>
    </w:pPr>
    <w:rPr>
      <w:sz w:val="18"/>
      <w:szCs w:val="18"/>
    </w:rPr>
  </w:style>
  <w:style w:type="paragraph" w:customStyle="1" w:styleId="Para106">
    <w:name w:val="Para 106"/>
    <w:basedOn w:val="Normal"/>
    <w:pPr>
      <w:pBdr>
        <w:top w:val="none" w:sz="8" w:space="0" w:color="auto"/>
        <w:left w:val="none" w:sz="8" w:space="0" w:color="auto"/>
        <w:bottom w:val="none" w:sz="8" w:space="0" w:color="auto"/>
        <w:right w:val="none" w:sz="8" w:space="0" w:color="auto"/>
      </w:pBdr>
      <w:spacing w:before="170" w:line="720" w:lineRule="atLeast"/>
      <w:jc w:val="center"/>
    </w:pPr>
    <w:rPr>
      <w:b/>
      <w:bCs/>
      <w:sz w:val="48"/>
      <w:szCs w:val="48"/>
    </w:rPr>
  </w:style>
  <w:style w:type="paragraph" w:customStyle="1" w:styleId="Para107">
    <w:name w:val="Para 107"/>
    <w:basedOn w:val="Normal"/>
    <w:rPr>
      <w:b/>
      <w:bCs/>
      <w:sz w:val="18"/>
      <w:szCs w:val="18"/>
    </w:rPr>
  </w:style>
  <w:style w:type="paragraph" w:customStyle="1" w:styleId="Para108">
    <w:name w:val="Para 108"/>
    <w:basedOn w:val="Normal"/>
    <w:pPr>
      <w:pBdr>
        <w:top w:val="none" w:sz="8" w:space="0" w:color="auto"/>
        <w:left w:val="none" w:sz="8" w:space="0" w:color="auto"/>
        <w:bottom w:val="none" w:sz="8" w:space="0" w:color="auto"/>
        <w:right w:val="none" w:sz="8" w:space="0" w:color="auto"/>
      </w:pBdr>
      <w:spacing w:beforeLines="100" w:after="109" w:line="215" w:lineRule="atLeast"/>
      <w:jc w:val="center"/>
    </w:pPr>
    <w:rPr>
      <w:sz w:val="18"/>
      <w:szCs w:val="18"/>
    </w:rPr>
  </w:style>
  <w:style w:type="paragraph" w:customStyle="1" w:styleId="Para109">
    <w:name w:val="Para 109"/>
    <w:basedOn w:val="Normal"/>
    <w:pPr>
      <w:pBdr>
        <w:top w:val="none" w:sz="8" w:space="0" w:color="auto"/>
        <w:left w:val="none" w:sz="8" w:space="0" w:color="auto"/>
        <w:bottom w:val="none" w:sz="8" w:space="0" w:color="auto"/>
        <w:right w:val="none" w:sz="8" w:space="0" w:color="auto"/>
      </w:pBdr>
      <w:spacing w:before="109" w:afterLines="100" w:line="408" w:lineRule="atLeast"/>
    </w:pPr>
    <w:rPr>
      <w:b/>
      <w:bCs/>
      <w:sz w:val="34"/>
      <w:szCs w:val="34"/>
    </w:rPr>
  </w:style>
  <w:style w:type="paragraph" w:customStyle="1" w:styleId="Para110">
    <w:name w:val="Para 110"/>
    <w:basedOn w:val="Normal"/>
    <w:pPr>
      <w:pBdr>
        <w:top w:val="none" w:sz="8" w:space="0" w:color="auto"/>
        <w:left w:val="none" w:sz="8" w:space="0" w:color="auto"/>
        <w:bottom w:val="none" w:sz="8" w:space="0" w:color="auto"/>
        <w:right w:val="none" w:sz="8" w:space="0" w:color="auto"/>
      </w:pBdr>
      <w:spacing w:before="170" w:line="576" w:lineRule="atLeast"/>
      <w:jc w:val="center"/>
    </w:pPr>
    <w:rPr>
      <w:b/>
      <w:bCs/>
      <w:sz w:val="48"/>
      <w:szCs w:val="48"/>
    </w:rPr>
  </w:style>
  <w:style w:type="paragraph" w:customStyle="1" w:styleId="Para111">
    <w:name w:val="Para 111"/>
    <w:basedOn w:val="Normal"/>
    <w:pPr>
      <w:pBdr>
        <w:top w:val="none" w:sz="8" w:space="0" w:color="auto"/>
        <w:left w:val="none" w:sz="8" w:space="0" w:color="auto"/>
        <w:bottom w:val="none" w:sz="8" w:space="0" w:color="auto"/>
        <w:right w:val="none" w:sz="8" w:space="0" w:color="auto"/>
      </w:pBdr>
      <w:spacing w:beforeLines="100" w:after="109" w:line="411" w:lineRule="atLeast"/>
    </w:pPr>
  </w:style>
  <w:style w:type="paragraph" w:customStyle="1" w:styleId="Para112">
    <w:name w:val="Para 112"/>
    <w:basedOn w:val="Normal"/>
    <w:rPr>
      <w:caps/>
      <w:sz w:val="18"/>
      <w:szCs w:val="18"/>
    </w:rPr>
  </w:style>
  <w:style w:type="paragraph" w:customStyle="1" w:styleId="Para113">
    <w:name w:val="Para 113"/>
    <w:basedOn w:val="Normal"/>
    <w:pPr>
      <w:pBdr>
        <w:top w:val="none" w:sz="8" w:space="0" w:color="auto"/>
        <w:left w:val="none" w:sz="8" w:space="0" w:color="auto"/>
        <w:bottom w:val="none" w:sz="8" w:space="0" w:color="auto"/>
        <w:right w:val="none" w:sz="8" w:space="0" w:color="auto"/>
      </w:pBdr>
    </w:pPr>
    <w:rPr>
      <w:sz w:val="34"/>
      <w:szCs w:val="34"/>
    </w:rPr>
  </w:style>
  <w:style w:type="paragraph" w:customStyle="1" w:styleId="Para114">
    <w:name w:val="Para 114"/>
    <w:basedOn w:val="Normal"/>
    <w:pPr>
      <w:pBdr>
        <w:top w:val="none" w:sz="8" w:space="0" w:color="auto"/>
        <w:left w:val="none" w:sz="8" w:space="0" w:color="auto"/>
        <w:bottom w:val="none" w:sz="8" w:space="0" w:color="auto"/>
        <w:right w:val="none" w:sz="8" w:space="0" w:color="auto"/>
      </w:pBdr>
      <w:spacing w:beforeLines="100" w:after="109" w:line="308" w:lineRule="atLeast"/>
    </w:pPr>
    <w:rPr>
      <w:b/>
      <w:bCs/>
      <w:sz w:val="18"/>
      <w:szCs w:val="18"/>
    </w:rPr>
  </w:style>
  <w:style w:type="paragraph" w:customStyle="1" w:styleId="Para115">
    <w:name w:val="Para 115"/>
    <w:basedOn w:val="Normal"/>
    <w:pPr>
      <w:pBdr>
        <w:top w:val="none" w:sz="8" w:space="0" w:color="auto"/>
        <w:left w:val="none" w:sz="8" w:space="0" w:color="auto"/>
        <w:bottom w:val="none" w:sz="8" w:space="0" w:color="auto"/>
        <w:right w:val="none" w:sz="8" w:space="0" w:color="auto"/>
      </w:pBdr>
      <w:spacing w:before="109" w:line="215" w:lineRule="atLeast"/>
    </w:pPr>
    <w:rPr>
      <w:b/>
      <w:bCs/>
      <w:sz w:val="18"/>
      <w:szCs w:val="18"/>
    </w:rPr>
  </w:style>
  <w:style w:type="paragraph" w:customStyle="1" w:styleId="Para116">
    <w:name w:val="Para 116"/>
    <w:basedOn w:val="Normal"/>
    <w:rPr>
      <w:sz w:val="10"/>
      <w:szCs w:val="10"/>
    </w:rPr>
  </w:style>
  <w:style w:type="paragraph" w:customStyle="1" w:styleId="Para117">
    <w:name w:val="Para 117"/>
    <w:basedOn w:val="Normal"/>
    <w:rPr>
      <w:sz w:val="10"/>
      <w:szCs w:val="10"/>
    </w:rPr>
  </w:style>
  <w:style w:type="paragraph" w:customStyle="1" w:styleId="Para118">
    <w:name w:val="Para 118"/>
    <w:basedOn w:val="Normal"/>
    <w:rPr>
      <w:sz w:val="10"/>
      <w:szCs w:val="10"/>
    </w:rPr>
  </w:style>
  <w:style w:type="paragraph" w:customStyle="1" w:styleId="Para119">
    <w:name w:val="Para 119"/>
    <w:basedOn w:val="Normal"/>
    <w:rPr>
      <w:sz w:val="10"/>
      <w:szCs w:val="10"/>
    </w:rPr>
  </w:style>
  <w:style w:type="paragraph" w:customStyle="1" w:styleId="Para120">
    <w:name w:val="Para 120"/>
    <w:basedOn w:val="Normal"/>
    <w:pPr>
      <w:jc w:val="center"/>
    </w:pPr>
    <w:rPr>
      <w:b/>
      <w:bCs/>
    </w:rPr>
  </w:style>
  <w:style w:type="character" w:customStyle="1" w:styleId="00Text">
    <w:name w:val="00 Text"/>
    <w:rPr>
      <w:b/>
      <w:bCs/>
    </w:rPr>
  </w:style>
  <w:style w:type="character" w:customStyle="1" w:styleId="01Text">
    <w:name w:val="01 Text"/>
    <w:rPr>
      <w:i/>
      <w:iCs/>
    </w:rPr>
  </w:style>
  <w:style w:type="character" w:customStyle="1" w:styleId="02Text">
    <w:name w:val="02 Text"/>
    <w:rPr>
      <w:vertAlign w:val="superscript"/>
    </w:rPr>
  </w:style>
  <w:style w:type="character" w:customStyle="1" w:styleId="03Text">
    <w:name w:val="03 Text"/>
    <w:rPr>
      <w:vertAlign w:val="baseline"/>
    </w:rPr>
  </w:style>
  <w:style w:type="character" w:customStyle="1" w:styleId="04Text">
    <w:name w:val="04 Text"/>
    <w:rPr>
      <w:color w:val="0000FF"/>
      <w:u w:val="single"/>
    </w:rPr>
  </w:style>
  <w:style w:type="character" w:customStyle="1" w:styleId="05Text">
    <w:name w:val="05 Text"/>
    <w:rPr>
      <w:b/>
      <w:bCs/>
      <w:vertAlign w:val="baseline"/>
    </w:rPr>
  </w:style>
  <w:style w:type="character" w:customStyle="1" w:styleId="06Text">
    <w:name w:val="06 Text"/>
    <w:rPr>
      <w:color w:val="0000FF"/>
      <w:u w:val="single"/>
      <w:vertAlign w:val="baseline"/>
    </w:rPr>
  </w:style>
  <w:style w:type="character" w:customStyle="1" w:styleId="07Text">
    <w:name w:val="07 Text"/>
    <w:rPr>
      <w:sz w:val="18"/>
      <w:szCs w:val="18"/>
    </w:rPr>
  </w:style>
  <w:style w:type="character" w:customStyle="1" w:styleId="08Text">
    <w:name w:val="08 Text"/>
    <w:rPr>
      <w:i/>
      <w:iCs/>
      <w:vertAlign w:val="superscript"/>
    </w:rPr>
  </w:style>
  <w:style w:type="character" w:customStyle="1" w:styleId="09Text">
    <w:name w:val="09 Text"/>
    <w:rPr>
      <w:color w:val="0000FF"/>
      <w:sz w:val="18"/>
      <w:szCs w:val="18"/>
      <w:u w:val="single"/>
    </w:rPr>
  </w:style>
  <w:style w:type="character" w:customStyle="1" w:styleId="10Text">
    <w:name w:val="10 Text"/>
    <w:rPr>
      <w:sz w:val="18"/>
      <w:szCs w:val="18"/>
      <w:vertAlign w:val="baseline"/>
    </w:rPr>
  </w:style>
  <w:style w:type="character" w:customStyle="1" w:styleId="11Text">
    <w:name w:val="11 Text"/>
    <w:rPr>
      <w:sz w:val="24"/>
      <w:szCs w:val="24"/>
    </w:rPr>
  </w:style>
  <w:style w:type="character" w:customStyle="1" w:styleId="12Text">
    <w:name w:val="12 Text"/>
    <w:rPr>
      <w:i/>
      <w:iCs/>
      <w:vertAlign w:val="baseline"/>
    </w:rPr>
  </w:style>
  <w:style w:type="character" w:customStyle="1" w:styleId="13Text">
    <w:name w:val="13 Text"/>
    <w:rPr>
      <w:b/>
      <w:bCs/>
      <w:sz w:val="18"/>
      <w:szCs w:val="18"/>
    </w:rPr>
  </w:style>
  <w:style w:type="character" w:customStyle="1" w:styleId="14Text">
    <w:name w:val="14 Text"/>
    <w:rPr>
      <w:sz w:val="24"/>
      <w:szCs w:val="24"/>
      <w:vertAlign w:val="superscript"/>
    </w:rPr>
  </w:style>
  <w:style w:type="character" w:customStyle="1" w:styleId="15Text">
    <w:name w:val="15 Text"/>
    <w:rPr>
      <w:color w:val="0000FF"/>
      <w:sz w:val="23"/>
      <w:szCs w:val="23"/>
      <w:u w:val="single"/>
    </w:rPr>
  </w:style>
  <w:style w:type="character" w:customStyle="1" w:styleId="16Text">
    <w:name w:val="16 Text"/>
    <w:rPr>
      <w:bdr w:val="none" w:sz="0" w:space="2" w:color="auto"/>
      <w:shd w:val="clear" w:color="auto" w:fill="FFCC00"/>
      <w:vertAlign w:val="superscript"/>
    </w:rPr>
  </w:style>
  <w:style w:type="character" w:customStyle="1" w:styleId="17Text">
    <w:name w:val="17 Text"/>
    <w:rPr>
      <w:bdr w:val="none" w:sz="0" w:space="2" w:color="auto"/>
    </w:rPr>
  </w:style>
  <w:style w:type="paragraph" w:customStyle="1" w:styleId="0Block">
    <w:name w:val="0 Block"/>
    <w:pPr>
      <w:spacing w:line="288" w:lineRule="atLeast"/>
    </w:pPr>
    <w:rPr>
      <w:rFonts w:cs="Times New Roman"/>
    </w:rPr>
  </w:style>
  <w:style w:type="paragraph" w:customStyle="1" w:styleId="1Block">
    <w:name w:val="1 Block"/>
    <w:basedOn w:val="0Block"/>
    <w:pPr>
      <w:jc w:val="center"/>
    </w:pPr>
  </w:style>
  <w:style w:type="paragraph" w:customStyle="1" w:styleId="2Block">
    <w:name w:val="2 Block"/>
    <w:basedOn w:val="0Block"/>
    <w:pPr>
      <w:spacing w:beforeLines="170" w:afterLines="83" w:line="408" w:lineRule="atLeast"/>
    </w:pPr>
  </w:style>
  <w:style w:type="paragraph" w:customStyle="1" w:styleId="3Block">
    <w:name w:val="3 Block"/>
    <w:basedOn w:val="0Block"/>
    <w:pPr>
      <w:spacing w:beforeLines="100" w:line="411" w:lineRule="atLeast"/>
    </w:pPr>
  </w:style>
  <w:style w:type="paragraph" w:customStyle="1" w:styleId="4Block">
    <w:name w:val="4 Block"/>
    <w:basedOn w:val="0Block"/>
    <w:pPr>
      <w:spacing w:beforeLines="100" w:after="109" w:line="411" w:lineRule="atLeast"/>
      <w:jc w:val="center"/>
    </w:pPr>
  </w:style>
  <w:style w:type="paragraph" w:customStyle="1" w:styleId="5Block">
    <w:name w:val="5 Block"/>
    <w:basedOn w:val="0Block"/>
  </w:style>
  <w:style w:type="paragraph" w:customStyle="1" w:styleId="6Block">
    <w:name w:val="6 Block"/>
    <w:basedOn w:val="0Block"/>
    <w:pPr>
      <w:spacing w:beforeLines="100" w:after="109" w:line="411" w:lineRule="atLeast"/>
    </w:pPr>
  </w:style>
  <w:style w:type="paragraph" w:customStyle="1" w:styleId="7Block">
    <w:name w:val="7 Block"/>
    <w:basedOn w:val="0Block"/>
    <w:pPr>
      <w:pBdr>
        <w:bottom w:val="none" w:sz="0" w:space="0" w:color="808080"/>
      </w:pBdr>
      <w:jc w:val="right"/>
    </w:pPr>
  </w:style>
  <w:style w:type="paragraph" w:styleId="TOCHeading">
    <w:name w:val="TOC Heading"/>
    <w:basedOn w:val="Heading1"/>
    <w:next w:val="Normal"/>
    <w:uiPriority w:val="39"/>
    <w:unhideWhenUsed/>
    <w:qFormat/>
    <w:rsid w:val="00B8703D"/>
    <w:pPr>
      <w:outlineLvl w:val="9"/>
    </w:pPr>
    <w:rPr>
      <w:rFonts w:cstheme="majorBidi"/>
    </w:rPr>
  </w:style>
  <w:style w:type="paragraph" w:styleId="TOC1">
    <w:name w:val="toc 1"/>
    <w:basedOn w:val="Normal"/>
    <w:next w:val="Normal"/>
    <w:autoRedefine/>
    <w:uiPriority w:val="39"/>
    <w:unhideWhenUsed/>
    <w:rsid w:val="00E57C11"/>
    <w:pPr>
      <w:tabs>
        <w:tab w:val="right" w:leader="dot" w:pos="9214"/>
      </w:tabs>
      <w:spacing w:after="100"/>
    </w:pPr>
    <w:rPr>
      <w:b/>
      <w:noProof/>
    </w:rPr>
  </w:style>
  <w:style w:type="paragraph" w:styleId="TOC2">
    <w:name w:val="toc 2"/>
    <w:basedOn w:val="Normal"/>
    <w:next w:val="Normal"/>
    <w:autoRedefine/>
    <w:uiPriority w:val="39"/>
    <w:unhideWhenUsed/>
    <w:rsid w:val="0035019C"/>
    <w:pPr>
      <w:tabs>
        <w:tab w:val="right" w:pos="9639"/>
      </w:tabs>
      <w:spacing w:after="100"/>
      <w:ind w:left="240"/>
    </w:pPr>
  </w:style>
  <w:style w:type="paragraph" w:styleId="TOC3">
    <w:name w:val="toc 3"/>
    <w:basedOn w:val="Normal"/>
    <w:next w:val="Normal"/>
    <w:autoRedefine/>
    <w:uiPriority w:val="39"/>
    <w:unhideWhenUsed/>
    <w:rsid w:val="0085686E"/>
    <w:pPr>
      <w:tabs>
        <w:tab w:val="right" w:pos="9639"/>
      </w:tabs>
      <w:spacing w:after="100"/>
      <w:ind w:left="480"/>
    </w:pPr>
  </w:style>
  <w:style w:type="paragraph" w:styleId="TOC4">
    <w:name w:val="toc 4"/>
    <w:basedOn w:val="Normal"/>
    <w:next w:val="Normal"/>
    <w:autoRedefine/>
    <w:uiPriority w:val="39"/>
    <w:unhideWhenUsed/>
    <w:rsid w:val="00D11B5F"/>
    <w:pPr>
      <w:spacing w:after="100" w:line="259" w:lineRule="auto"/>
      <w:ind w:left="660"/>
    </w:pPr>
    <w:rPr>
      <w:rFonts w:cstheme="minorBidi"/>
      <w:lang w:eastAsia="en-NZ"/>
    </w:rPr>
  </w:style>
  <w:style w:type="paragraph" w:styleId="TOC5">
    <w:name w:val="toc 5"/>
    <w:basedOn w:val="Normal"/>
    <w:next w:val="Normal"/>
    <w:autoRedefine/>
    <w:uiPriority w:val="39"/>
    <w:unhideWhenUsed/>
    <w:rsid w:val="00D11B5F"/>
    <w:pPr>
      <w:spacing w:after="100" w:line="259" w:lineRule="auto"/>
      <w:ind w:left="880"/>
    </w:pPr>
    <w:rPr>
      <w:rFonts w:cstheme="minorBidi"/>
      <w:lang w:eastAsia="en-NZ"/>
    </w:rPr>
  </w:style>
  <w:style w:type="paragraph" w:styleId="TOC6">
    <w:name w:val="toc 6"/>
    <w:basedOn w:val="Normal"/>
    <w:next w:val="Normal"/>
    <w:autoRedefine/>
    <w:uiPriority w:val="39"/>
    <w:unhideWhenUsed/>
    <w:rsid w:val="00D11B5F"/>
    <w:pPr>
      <w:spacing w:after="100" w:line="259" w:lineRule="auto"/>
      <w:ind w:left="1100"/>
    </w:pPr>
    <w:rPr>
      <w:rFonts w:cstheme="minorBidi"/>
      <w:lang w:eastAsia="en-NZ"/>
    </w:rPr>
  </w:style>
  <w:style w:type="paragraph" w:styleId="TOC7">
    <w:name w:val="toc 7"/>
    <w:basedOn w:val="Normal"/>
    <w:next w:val="Normal"/>
    <w:autoRedefine/>
    <w:uiPriority w:val="39"/>
    <w:unhideWhenUsed/>
    <w:rsid w:val="00D11B5F"/>
    <w:pPr>
      <w:spacing w:after="100" w:line="259" w:lineRule="auto"/>
      <w:ind w:left="1320"/>
    </w:pPr>
    <w:rPr>
      <w:rFonts w:cstheme="minorBidi"/>
      <w:lang w:eastAsia="en-NZ"/>
    </w:rPr>
  </w:style>
  <w:style w:type="paragraph" w:styleId="TOC8">
    <w:name w:val="toc 8"/>
    <w:basedOn w:val="Normal"/>
    <w:next w:val="Normal"/>
    <w:autoRedefine/>
    <w:uiPriority w:val="39"/>
    <w:unhideWhenUsed/>
    <w:rsid w:val="00D11B5F"/>
    <w:pPr>
      <w:spacing w:after="100" w:line="259" w:lineRule="auto"/>
      <w:ind w:left="1540"/>
    </w:pPr>
    <w:rPr>
      <w:rFonts w:cstheme="minorBidi"/>
      <w:lang w:eastAsia="en-NZ"/>
    </w:rPr>
  </w:style>
  <w:style w:type="paragraph" w:styleId="TOC9">
    <w:name w:val="toc 9"/>
    <w:basedOn w:val="Normal"/>
    <w:next w:val="Normal"/>
    <w:autoRedefine/>
    <w:uiPriority w:val="39"/>
    <w:unhideWhenUsed/>
    <w:rsid w:val="00D11B5F"/>
    <w:pPr>
      <w:spacing w:after="100" w:line="259" w:lineRule="auto"/>
      <w:ind w:left="1760"/>
    </w:pPr>
    <w:rPr>
      <w:rFonts w:cstheme="minorBidi"/>
      <w:lang w:eastAsia="en-NZ"/>
    </w:rPr>
  </w:style>
  <w:style w:type="character" w:styleId="Hyperlink">
    <w:name w:val="Hyperlink"/>
    <w:basedOn w:val="DefaultParagraphFont"/>
    <w:uiPriority w:val="99"/>
    <w:unhideWhenUsed/>
    <w:rsid w:val="00D11B5F"/>
    <w:rPr>
      <w:color w:val="0000FF" w:themeColor="hyperlink"/>
      <w:u w:val="single"/>
    </w:rPr>
  </w:style>
  <w:style w:type="paragraph" w:styleId="Header">
    <w:name w:val="header"/>
    <w:basedOn w:val="Normal"/>
    <w:link w:val="HeaderChar"/>
    <w:uiPriority w:val="99"/>
    <w:unhideWhenUsed/>
    <w:rsid w:val="00B55ACC"/>
    <w:pPr>
      <w:tabs>
        <w:tab w:val="center" w:pos="4513"/>
        <w:tab w:val="right" w:pos="9026"/>
      </w:tabs>
      <w:spacing w:line="240" w:lineRule="auto"/>
    </w:pPr>
  </w:style>
  <w:style w:type="character" w:customStyle="1" w:styleId="HeaderChar">
    <w:name w:val="Header Char"/>
    <w:basedOn w:val="DefaultParagraphFont"/>
    <w:link w:val="Header"/>
    <w:uiPriority w:val="99"/>
    <w:rsid w:val="00B55ACC"/>
    <w:rPr>
      <w:rFonts w:ascii="Helvetica Neue" w:eastAsia="Helvetica Neue" w:hAnsi="Helvetica Neue" w:cs="Times New Roman"/>
      <w:color w:val="333333"/>
      <w:sz w:val="24"/>
      <w:szCs w:val="24"/>
      <w:vertAlign w:val="superscript"/>
      <w:lang w:bidi="ar-SA"/>
    </w:rPr>
  </w:style>
  <w:style w:type="paragraph" w:styleId="Footer">
    <w:name w:val="footer"/>
    <w:basedOn w:val="Normal"/>
    <w:link w:val="FooterChar"/>
    <w:uiPriority w:val="99"/>
    <w:unhideWhenUsed/>
    <w:rsid w:val="00B55ACC"/>
    <w:pPr>
      <w:tabs>
        <w:tab w:val="center" w:pos="4513"/>
        <w:tab w:val="right" w:pos="9026"/>
      </w:tabs>
      <w:spacing w:line="240" w:lineRule="auto"/>
    </w:pPr>
  </w:style>
  <w:style w:type="character" w:customStyle="1" w:styleId="FooterChar">
    <w:name w:val="Footer Char"/>
    <w:basedOn w:val="DefaultParagraphFont"/>
    <w:link w:val="Footer"/>
    <w:uiPriority w:val="99"/>
    <w:rsid w:val="00B55ACC"/>
    <w:rPr>
      <w:rFonts w:ascii="Helvetica Neue" w:eastAsia="Helvetica Neue" w:hAnsi="Helvetica Neue" w:cs="Times New Roman"/>
      <w:color w:val="333333"/>
      <w:sz w:val="24"/>
      <w:szCs w:val="24"/>
      <w:vertAlign w:val="superscript"/>
      <w:lang w:bidi="ar-SA"/>
    </w:rPr>
  </w:style>
  <w:style w:type="paragraph" w:styleId="BalloonText">
    <w:name w:val="Balloon Text"/>
    <w:basedOn w:val="Normal"/>
    <w:link w:val="BalloonTextChar"/>
    <w:uiPriority w:val="99"/>
    <w:semiHidden/>
    <w:unhideWhenUsed/>
    <w:rsid w:val="00052418"/>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2418"/>
    <w:rPr>
      <w:rFonts w:ascii="Tahoma" w:eastAsia="Helvetica Neue" w:hAnsi="Tahoma" w:cs="Tahoma"/>
      <w:color w:val="333333"/>
      <w:sz w:val="16"/>
      <w:szCs w:val="16"/>
      <w:vertAlign w:val="superscript"/>
      <w:lang w:bidi="ar-SA"/>
    </w:rPr>
  </w:style>
  <w:style w:type="character" w:customStyle="1" w:styleId="Heading1Char">
    <w:name w:val="Heading 1 Char"/>
    <w:basedOn w:val="DefaultParagraphFont"/>
    <w:link w:val="Heading1"/>
    <w:uiPriority w:val="5"/>
    <w:rsid w:val="00556359"/>
    <w:rPr>
      <w:rFonts w:asciiTheme="majorHAnsi" w:eastAsiaTheme="majorEastAsia" w:hAnsiTheme="majorHAnsi" w:cs="Times New Roman"/>
      <w:b/>
      <w:bCs/>
      <w:color w:val="002060"/>
      <w:sz w:val="52"/>
      <w:szCs w:val="28"/>
      <w:lang w:val="en-NZ" w:bidi="ar-SA"/>
    </w:rPr>
  </w:style>
  <w:style w:type="character" w:customStyle="1" w:styleId="Heading2Char">
    <w:name w:val="Heading 2 Char"/>
    <w:basedOn w:val="DefaultParagraphFont"/>
    <w:link w:val="Heading2"/>
    <w:uiPriority w:val="5"/>
    <w:rsid w:val="00810293"/>
    <w:rPr>
      <w:rFonts w:asciiTheme="majorHAnsi" w:eastAsiaTheme="majorEastAsia" w:hAnsiTheme="majorHAnsi" w:cs="Times New Roman"/>
      <w:b/>
      <w:bCs/>
      <w:color w:val="1F497D" w:themeColor="text2"/>
      <w:sz w:val="40"/>
      <w:szCs w:val="40"/>
      <w:lang w:bidi="ar-SA"/>
    </w:rPr>
  </w:style>
  <w:style w:type="character" w:customStyle="1" w:styleId="Heading3Char">
    <w:name w:val="Heading 3 Char"/>
    <w:basedOn w:val="DefaultParagraphFont"/>
    <w:link w:val="Heading3"/>
    <w:uiPriority w:val="5"/>
    <w:rsid w:val="00AA2122"/>
    <w:rPr>
      <w:rFonts w:eastAsia="Times New Roman" w:cstheme="minorHAnsi"/>
      <w:b/>
      <w:bCs/>
      <w:color w:val="4F81BD" w:themeColor="accent1"/>
      <w:sz w:val="34"/>
      <w:szCs w:val="34"/>
      <w:lang w:eastAsia="en-NZ"/>
    </w:rPr>
  </w:style>
  <w:style w:type="character" w:customStyle="1" w:styleId="Heading4Char">
    <w:name w:val="Heading 4 Char"/>
    <w:basedOn w:val="DefaultParagraphFont"/>
    <w:link w:val="Heading4"/>
    <w:uiPriority w:val="5"/>
    <w:rsid w:val="00846C1B"/>
    <w:rPr>
      <w:rFonts w:ascii="Arial" w:eastAsiaTheme="majorEastAsia" w:hAnsi="Arial" w:cs="Arial"/>
      <w:b/>
      <w:bCs/>
      <w:i/>
      <w:iCs/>
      <w:color w:val="4F81BD" w:themeColor="accent1"/>
      <w:sz w:val="28"/>
    </w:rPr>
  </w:style>
  <w:style w:type="character" w:customStyle="1" w:styleId="Heading5Char">
    <w:name w:val="Heading 5 Char"/>
    <w:basedOn w:val="DefaultParagraphFont"/>
    <w:link w:val="Heading5"/>
    <w:uiPriority w:val="5"/>
    <w:rsid w:val="00961FC5"/>
    <w:rPr>
      <w:rFonts w:asciiTheme="majorHAnsi" w:eastAsiaTheme="majorEastAsia" w:hAnsiTheme="majorHAnsi" w:cs="Times New Roman"/>
    </w:rPr>
  </w:style>
  <w:style w:type="character" w:customStyle="1" w:styleId="Heading6Char">
    <w:name w:val="Heading 6 Char"/>
    <w:basedOn w:val="DefaultParagraphFont"/>
    <w:link w:val="Heading6"/>
    <w:uiPriority w:val="9"/>
    <w:rsid w:val="003631E3"/>
    <w:rPr>
      <w:rFonts w:eastAsiaTheme="majorEastAsia" w:cstheme="minorHAnsi"/>
      <w:b/>
      <w:i/>
      <w:iCs/>
    </w:rPr>
  </w:style>
  <w:style w:type="character" w:customStyle="1" w:styleId="Heading7Char">
    <w:name w:val="Heading 7 Char"/>
    <w:basedOn w:val="DefaultParagraphFont"/>
    <w:link w:val="Heading7"/>
    <w:uiPriority w:val="5"/>
    <w:rsid w:val="003631E3"/>
    <w:rPr>
      <w:rFonts w:eastAsiaTheme="majorEastAsia" w:cstheme="minorHAnsi"/>
      <w:iCs/>
      <w:u w:val="single"/>
      <w:lang w:eastAsia="en-GB"/>
    </w:rPr>
  </w:style>
  <w:style w:type="character" w:customStyle="1" w:styleId="Heading8Char">
    <w:name w:val="Heading 8 Char"/>
    <w:basedOn w:val="DefaultParagraphFont"/>
    <w:link w:val="Heading8"/>
    <w:uiPriority w:val="5"/>
    <w:rsid w:val="00B8703D"/>
    <w:rPr>
      <w:rFonts w:asciiTheme="majorHAnsi" w:eastAsiaTheme="majorEastAsia" w:hAnsiTheme="majorHAnsi" w:cs="Times New Roman"/>
      <w:color w:val="4F81BD" w:themeColor="accent1"/>
      <w:sz w:val="20"/>
      <w:szCs w:val="20"/>
      <w:lang w:bidi="ar-SA"/>
    </w:rPr>
  </w:style>
  <w:style w:type="character" w:customStyle="1" w:styleId="Heading9Char">
    <w:name w:val="Heading 9 Char"/>
    <w:basedOn w:val="DefaultParagraphFont"/>
    <w:link w:val="Heading9"/>
    <w:uiPriority w:val="5"/>
    <w:semiHidden/>
    <w:rsid w:val="00B8703D"/>
    <w:rPr>
      <w:rFonts w:asciiTheme="majorHAnsi" w:eastAsiaTheme="majorEastAsia" w:hAnsiTheme="majorHAnsi" w:cs="Times New Roman"/>
      <w:i/>
      <w:iCs/>
      <w:color w:val="404040" w:themeColor="text1" w:themeTint="BF"/>
      <w:sz w:val="20"/>
      <w:szCs w:val="20"/>
      <w:lang w:bidi="ar-SA"/>
    </w:rPr>
  </w:style>
  <w:style w:type="paragraph" w:styleId="Title">
    <w:name w:val="Title"/>
    <w:basedOn w:val="Normal"/>
    <w:next w:val="Normal"/>
    <w:link w:val="TitleChar"/>
    <w:uiPriority w:val="10"/>
    <w:qFormat/>
    <w:rsid w:val="0094016E"/>
    <w:pPr>
      <w:pBdr>
        <w:bottom w:val="single" w:sz="8" w:space="4" w:color="4F81BD" w:themeColor="accent1"/>
      </w:pBdr>
      <w:spacing w:after="300" w:line="240" w:lineRule="auto"/>
      <w:contextualSpacing/>
    </w:pPr>
    <w:rPr>
      <w:rFonts w:asciiTheme="majorHAnsi" w:eastAsiaTheme="majorEastAsia" w:hAnsiTheme="majorHAnsi"/>
      <w:color w:val="17365D" w:themeColor="text2" w:themeShade="BF"/>
      <w:spacing w:val="5"/>
      <w:kern w:val="28"/>
      <w:sz w:val="80"/>
      <w:szCs w:val="80"/>
    </w:rPr>
  </w:style>
  <w:style w:type="character" w:customStyle="1" w:styleId="TitleChar">
    <w:name w:val="Title Char"/>
    <w:basedOn w:val="DefaultParagraphFont"/>
    <w:link w:val="Title"/>
    <w:uiPriority w:val="10"/>
    <w:rsid w:val="0094016E"/>
    <w:rPr>
      <w:rFonts w:asciiTheme="majorHAnsi" w:eastAsiaTheme="majorEastAsia" w:hAnsiTheme="majorHAnsi" w:cs="Times New Roman"/>
      <w:color w:val="17365D" w:themeColor="text2" w:themeShade="BF"/>
      <w:spacing w:val="5"/>
      <w:kern w:val="28"/>
      <w:sz w:val="80"/>
      <w:szCs w:val="80"/>
      <w:lang w:val="en-NZ" w:bidi="ar-SA"/>
    </w:rPr>
  </w:style>
  <w:style w:type="paragraph" w:styleId="Subtitle">
    <w:name w:val="Subtitle"/>
    <w:basedOn w:val="Normal"/>
    <w:next w:val="Normal"/>
    <w:link w:val="SubtitleChar"/>
    <w:uiPriority w:val="15"/>
    <w:qFormat/>
    <w:rsid w:val="00B8703D"/>
    <w:pPr>
      <w:numPr>
        <w:ilvl w:val="1"/>
      </w:numPr>
    </w:pPr>
    <w:rPr>
      <w:rFonts w:asciiTheme="majorHAnsi" w:eastAsiaTheme="majorEastAsia" w:hAnsiTheme="majorHAnsi"/>
      <w:i/>
      <w:iCs/>
      <w:color w:val="4F81BD" w:themeColor="accent1"/>
      <w:spacing w:val="15"/>
      <w:sz w:val="24"/>
      <w:szCs w:val="24"/>
    </w:rPr>
  </w:style>
  <w:style w:type="character" w:customStyle="1" w:styleId="SubtitleChar">
    <w:name w:val="Subtitle Char"/>
    <w:basedOn w:val="DefaultParagraphFont"/>
    <w:link w:val="Subtitle"/>
    <w:uiPriority w:val="15"/>
    <w:rsid w:val="00B8703D"/>
    <w:rPr>
      <w:rFonts w:asciiTheme="majorHAnsi" w:eastAsiaTheme="majorEastAsia" w:hAnsiTheme="majorHAnsi" w:cs="Times New Roman"/>
      <w:i/>
      <w:iCs/>
      <w:color w:val="4F81BD" w:themeColor="accent1"/>
      <w:spacing w:val="15"/>
      <w:sz w:val="24"/>
      <w:szCs w:val="24"/>
      <w:lang w:bidi="ar-SA"/>
    </w:rPr>
  </w:style>
  <w:style w:type="character" w:styleId="Strong">
    <w:name w:val="Strong"/>
    <w:basedOn w:val="DefaultParagraphFont"/>
    <w:uiPriority w:val="22"/>
    <w:qFormat/>
    <w:rsid w:val="00556359"/>
    <w:rPr>
      <w:b/>
      <w:bCs/>
      <w:sz w:val="28"/>
    </w:rPr>
  </w:style>
  <w:style w:type="character" w:styleId="Emphasis">
    <w:name w:val="Emphasis"/>
    <w:basedOn w:val="DefaultParagraphFont"/>
    <w:uiPriority w:val="20"/>
    <w:qFormat/>
    <w:rsid w:val="00B8703D"/>
    <w:rPr>
      <w:i/>
      <w:iCs/>
    </w:rPr>
  </w:style>
  <w:style w:type="paragraph" w:styleId="NoSpacing">
    <w:name w:val="No Spacing"/>
    <w:link w:val="NoSpacingChar"/>
    <w:uiPriority w:val="1"/>
    <w:qFormat/>
    <w:rsid w:val="00B8703D"/>
    <w:pPr>
      <w:spacing w:after="0" w:line="240" w:lineRule="auto"/>
    </w:pPr>
    <w:rPr>
      <w:rFonts w:cs="Times New Roman"/>
    </w:rPr>
  </w:style>
  <w:style w:type="paragraph" w:styleId="ListParagraph">
    <w:name w:val="List Paragraph"/>
    <w:basedOn w:val="Normal"/>
    <w:uiPriority w:val="1"/>
    <w:qFormat/>
    <w:rsid w:val="00B8703D"/>
    <w:pPr>
      <w:ind w:left="720"/>
      <w:contextualSpacing/>
    </w:pPr>
  </w:style>
  <w:style w:type="paragraph" w:styleId="Quote">
    <w:name w:val="Quote"/>
    <w:basedOn w:val="Normal"/>
    <w:next w:val="Normal"/>
    <w:link w:val="QuoteChar"/>
    <w:uiPriority w:val="29"/>
    <w:qFormat/>
    <w:rsid w:val="00B8703D"/>
    <w:rPr>
      <w:i/>
      <w:iCs/>
      <w:color w:val="000000" w:themeColor="text1"/>
    </w:rPr>
  </w:style>
  <w:style w:type="character" w:customStyle="1" w:styleId="QuoteChar">
    <w:name w:val="Quote Char"/>
    <w:basedOn w:val="DefaultParagraphFont"/>
    <w:link w:val="Quote"/>
    <w:uiPriority w:val="29"/>
    <w:rsid w:val="00B8703D"/>
    <w:rPr>
      <w:rFonts w:cs="Times New Roman"/>
      <w:i/>
      <w:iCs/>
      <w:color w:val="000000" w:themeColor="text1"/>
      <w:lang w:bidi="ar-SA"/>
    </w:rPr>
  </w:style>
  <w:style w:type="paragraph" w:styleId="IntenseQuote">
    <w:name w:val="Intense Quote"/>
    <w:basedOn w:val="Normal"/>
    <w:next w:val="Normal"/>
    <w:link w:val="IntenseQuoteChar"/>
    <w:uiPriority w:val="30"/>
    <w:qFormat/>
    <w:rsid w:val="00B8703D"/>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B8703D"/>
    <w:rPr>
      <w:rFonts w:cs="Times New Roman"/>
      <w:b/>
      <w:bCs/>
      <w:i/>
      <w:iCs/>
      <w:color w:val="4F81BD" w:themeColor="accent1"/>
      <w:lang w:bidi="ar-SA"/>
    </w:rPr>
  </w:style>
  <w:style w:type="character" w:styleId="SubtleEmphasis">
    <w:name w:val="Subtle Emphasis"/>
    <w:basedOn w:val="DefaultParagraphFont"/>
    <w:uiPriority w:val="19"/>
    <w:qFormat/>
    <w:rsid w:val="00B8703D"/>
    <w:rPr>
      <w:i/>
      <w:iCs/>
      <w:color w:val="808080" w:themeColor="text1" w:themeTint="7F"/>
    </w:rPr>
  </w:style>
  <w:style w:type="character" w:styleId="IntenseEmphasis">
    <w:name w:val="Intense Emphasis"/>
    <w:basedOn w:val="DefaultParagraphFont"/>
    <w:uiPriority w:val="21"/>
    <w:qFormat/>
    <w:rsid w:val="00B8703D"/>
    <w:rPr>
      <w:b/>
      <w:bCs/>
      <w:i/>
      <w:iCs/>
      <w:color w:val="4F81BD" w:themeColor="accent1"/>
    </w:rPr>
  </w:style>
  <w:style w:type="character" w:styleId="SubtleReference">
    <w:name w:val="Subtle Reference"/>
    <w:basedOn w:val="DefaultParagraphFont"/>
    <w:uiPriority w:val="31"/>
    <w:qFormat/>
    <w:rsid w:val="00B8703D"/>
    <w:rPr>
      <w:smallCaps/>
      <w:color w:val="C0504D" w:themeColor="accent2"/>
      <w:u w:val="single"/>
    </w:rPr>
  </w:style>
  <w:style w:type="character" w:styleId="IntenseReference">
    <w:name w:val="Intense Reference"/>
    <w:basedOn w:val="DefaultParagraphFont"/>
    <w:uiPriority w:val="32"/>
    <w:qFormat/>
    <w:rsid w:val="00B8703D"/>
    <w:rPr>
      <w:b/>
      <w:bCs/>
      <w:smallCaps/>
      <w:color w:val="C0504D" w:themeColor="accent2"/>
      <w:spacing w:val="5"/>
      <w:u w:val="single"/>
    </w:rPr>
  </w:style>
  <w:style w:type="character" w:styleId="BookTitle">
    <w:name w:val="Book Title"/>
    <w:basedOn w:val="DefaultParagraphFont"/>
    <w:uiPriority w:val="33"/>
    <w:qFormat/>
    <w:rsid w:val="00B8703D"/>
    <w:rPr>
      <w:b/>
      <w:bCs/>
      <w:smallCaps/>
      <w:spacing w:val="5"/>
    </w:rPr>
  </w:style>
  <w:style w:type="paragraph" w:styleId="Caption">
    <w:name w:val="caption"/>
    <w:basedOn w:val="Normal"/>
    <w:next w:val="Normal"/>
    <w:autoRedefine/>
    <w:uiPriority w:val="3"/>
    <w:unhideWhenUsed/>
    <w:qFormat/>
    <w:rsid w:val="009608BE"/>
    <w:pPr>
      <w:keepNext/>
      <w:spacing w:before="120" w:after="120" w:line="240" w:lineRule="auto"/>
    </w:pPr>
    <w:rPr>
      <w:b/>
      <w:bCs/>
      <w:i/>
      <w:szCs w:val="18"/>
    </w:rPr>
  </w:style>
  <w:style w:type="character" w:customStyle="1" w:styleId="NoSpacingChar">
    <w:name w:val="No Spacing Char"/>
    <w:basedOn w:val="DefaultParagraphFont"/>
    <w:link w:val="NoSpacing"/>
    <w:uiPriority w:val="1"/>
    <w:rsid w:val="0052672E"/>
    <w:rPr>
      <w:rFonts w:cs="Times New Roman"/>
      <w:lang w:bidi="ar-SA"/>
    </w:rPr>
  </w:style>
  <w:style w:type="paragraph" w:styleId="NormalWeb">
    <w:name w:val="Normal (Web)"/>
    <w:basedOn w:val="Normal"/>
    <w:uiPriority w:val="99"/>
    <w:unhideWhenUsed/>
    <w:rsid w:val="000C0E47"/>
    <w:pPr>
      <w:spacing w:before="100" w:beforeAutospacing="1" w:after="100" w:afterAutospacing="1" w:line="240" w:lineRule="auto"/>
    </w:pPr>
    <w:rPr>
      <w:rFonts w:ascii="Times New Roman" w:eastAsia="Times New Roman" w:hAnsi="Times New Roman"/>
      <w:szCs w:val="24"/>
      <w:lang w:eastAsia="en-NZ"/>
    </w:rPr>
  </w:style>
  <w:style w:type="table" w:styleId="LightList">
    <w:name w:val="Light List"/>
    <w:basedOn w:val="TableNormal"/>
    <w:uiPriority w:val="61"/>
    <w:rsid w:val="00321609"/>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Index1">
    <w:name w:val="index 1"/>
    <w:basedOn w:val="Normal"/>
    <w:next w:val="Normal"/>
    <w:autoRedefine/>
    <w:uiPriority w:val="99"/>
    <w:unhideWhenUsed/>
    <w:rsid w:val="00F62BB4"/>
    <w:pPr>
      <w:spacing w:after="0"/>
      <w:ind w:left="220" w:hanging="220"/>
    </w:pPr>
    <w:rPr>
      <w:rFonts w:cstheme="minorHAnsi"/>
      <w:sz w:val="18"/>
      <w:szCs w:val="18"/>
    </w:rPr>
  </w:style>
  <w:style w:type="table" w:styleId="MediumGrid3-Accent6">
    <w:name w:val="Medium Grid 3 Accent 6"/>
    <w:basedOn w:val="TableNormal"/>
    <w:uiPriority w:val="69"/>
    <w:rsid w:val="00321609"/>
    <w:pPr>
      <w:spacing w:after="0" w:line="240" w:lineRule="auto"/>
    </w:pPr>
    <w:tblPr>
      <w:tblStyleRowBandSize w:val="1"/>
      <w:tblStyleColBandSize w:val="1"/>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Pr>
    <w:tcPr>
      <w:shd w:val="clear" w:color="auto" w:fill="FFF2C9"/>
    </w:tcPr>
    <w:tblStylePr w:type="firstRow">
      <w:rPr>
        <w:b/>
        <w:bCs/>
        <w:i w:val="0"/>
        <w:iCs w:val="0"/>
        <w:color w:val="FFFFFF" w:themeColor="background1"/>
      </w:rPr>
      <w:tblPr/>
      <w:tcPr>
        <w:shd w:val="clear" w:color="auto" w:fill="FFC000"/>
      </w:tcPr>
    </w:tblStylePr>
    <w:tblStylePr w:type="lastRow">
      <w:rPr>
        <w:b/>
        <w:bCs/>
        <w:i w:val="0"/>
        <w:iCs w:val="0"/>
        <w:color w:val="FFFFFF" w:themeColor="background1"/>
      </w:rPr>
      <w:tblPr/>
      <w:tcPr>
        <w:shd w:val="clear" w:color="auto" w:fill="FFC000"/>
      </w:tcPr>
    </w:tblStylePr>
    <w:tblStylePr w:type="firstCol">
      <w:rPr>
        <w:b/>
        <w:bCs/>
        <w:i w:val="0"/>
        <w:iCs w:val="0"/>
        <w:color w:val="FFFFFF" w:themeColor="background1"/>
      </w:rPr>
      <w:tblPr/>
      <w:tcPr>
        <w:shd w:val="clear" w:color="auto" w:fill="FFC000"/>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shd w:val="clear" w:color="auto" w:fill="FFF2C9"/>
      </w:tcPr>
    </w:tblStylePr>
    <w:tblStylePr w:type="band2Horz">
      <w:tblPr/>
      <w:tcPr>
        <w:shd w:val="clear" w:color="auto" w:fill="FFF2C9"/>
      </w:tcPr>
    </w:tblStylePr>
  </w:style>
  <w:style w:type="table" w:styleId="TableGrid">
    <w:name w:val="Table Grid"/>
    <w:basedOn w:val="TableNormal"/>
    <w:rsid w:val="003216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pellingerror">
    <w:name w:val="spellingerror"/>
    <w:basedOn w:val="DefaultParagraphFont"/>
    <w:rsid w:val="007D22C2"/>
  </w:style>
  <w:style w:type="character" w:customStyle="1" w:styleId="eop">
    <w:name w:val="eop"/>
    <w:basedOn w:val="DefaultParagraphFont"/>
    <w:rsid w:val="007D22C2"/>
  </w:style>
  <w:style w:type="paragraph" w:customStyle="1" w:styleId="center">
    <w:name w:val="center"/>
    <w:basedOn w:val="Normal"/>
    <w:rsid w:val="007A7029"/>
    <w:pPr>
      <w:spacing w:before="100" w:beforeAutospacing="1" w:after="100" w:afterAutospacing="1" w:line="240" w:lineRule="auto"/>
    </w:pPr>
    <w:rPr>
      <w:rFonts w:ascii="Times New Roman" w:eastAsia="Times New Roman" w:hAnsi="Times New Roman"/>
      <w:szCs w:val="24"/>
      <w:lang w:eastAsia="en-NZ"/>
    </w:rPr>
  </w:style>
  <w:style w:type="paragraph" w:customStyle="1" w:styleId="Caption1">
    <w:name w:val="Caption1"/>
    <w:basedOn w:val="Normal"/>
    <w:rsid w:val="007A7029"/>
    <w:pPr>
      <w:spacing w:before="100" w:beforeAutospacing="1" w:after="100" w:afterAutospacing="1" w:line="240" w:lineRule="auto"/>
    </w:pPr>
    <w:rPr>
      <w:rFonts w:ascii="Times New Roman" w:eastAsia="Times New Roman" w:hAnsi="Times New Roman"/>
      <w:szCs w:val="24"/>
      <w:lang w:eastAsia="en-NZ"/>
    </w:rPr>
  </w:style>
  <w:style w:type="character" w:customStyle="1" w:styleId="MainBodyTextChar">
    <w:name w:val="Main Body Text Char"/>
    <w:basedOn w:val="DefaultParagraphFont"/>
    <w:link w:val="MainBodyText"/>
    <w:locked/>
    <w:rsid w:val="00525948"/>
    <w:rPr>
      <w:rFonts w:ascii="Arial" w:hAnsi="Arial" w:cs="Times New Roman"/>
      <w:color w:val="000000" w:themeColor="text1"/>
      <w:sz w:val="24"/>
      <w:szCs w:val="20"/>
      <w:lang w:eastAsia="en-NZ" w:bidi="ar-SA"/>
    </w:rPr>
  </w:style>
  <w:style w:type="paragraph" w:customStyle="1" w:styleId="MainBodyText">
    <w:name w:val="Main Body Text"/>
    <w:basedOn w:val="Normal"/>
    <w:link w:val="MainBodyTextChar"/>
    <w:rsid w:val="00525948"/>
    <w:pPr>
      <w:spacing w:before="120" w:after="120" w:line="300" w:lineRule="auto"/>
      <w:jc w:val="both"/>
    </w:pPr>
    <w:rPr>
      <w:rFonts w:ascii="Arial" w:hAnsi="Arial"/>
      <w:color w:val="000000" w:themeColor="text1"/>
      <w:lang w:eastAsia="en-NZ"/>
    </w:rPr>
  </w:style>
  <w:style w:type="character" w:customStyle="1" w:styleId="SubheadingChar">
    <w:name w:val="Sub heading Char"/>
    <w:basedOn w:val="MainBodyTextChar"/>
    <w:link w:val="Subheading"/>
    <w:locked/>
    <w:rsid w:val="00525948"/>
    <w:rPr>
      <w:rFonts w:ascii="Arial" w:hAnsi="Arial" w:cs="Times New Roman"/>
      <w:b/>
      <w:color w:val="000000" w:themeColor="text1"/>
      <w:sz w:val="24"/>
      <w:szCs w:val="20"/>
      <w:lang w:eastAsia="en-NZ" w:bidi="ar-SA"/>
    </w:rPr>
  </w:style>
  <w:style w:type="paragraph" w:customStyle="1" w:styleId="Subheading">
    <w:name w:val="Sub heading"/>
    <w:basedOn w:val="MainBodyText"/>
    <w:link w:val="SubheadingChar"/>
    <w:rsid w:val="00525948"/>
    <w:rPr>
      <w:b/>
    </w:rPr>
  </w:style>
  <w:style w:type="paragraph" w:customStyle="1" w:styleId="Default">
    <w:name w:val="Default"/>
    <w:basedOn w:val="Normal"/>
    <w:uiPriority w:val="99"/>
    <w:rsid w:val="004324B3"/>
    <w:pPr>
      <w:autoSpaceDE w:val="0"/>
      <w:autoSpaceDN w:val="0"/>
      <w:spacing w:after="0" w:line="240" w:lineRule="auto"/>
    </w:pPr>
    <w:rPr>
      <w:rFonts w:ascii="Arial" w:eastAsiaTheme="minorHAnsi" w:hAnsi="Arial" w:cs="Arial"/>
      <w:color w:val="000000"/>
      <w:szCs w:val="24"/>
      <w:lang w:eastAsia="en-NZ"/>
    </w:rPr>
  </w:style>
  <w:style w:type="paragraph" w:styleId="BodyText">
    <w:name w:val="Body Text"/>
    <w:basedOn w:val="Normal"/>
    <w:link w:val="BodyTextChar"/>
    <w:uiPriority w:val="1"/>
    <w:qFormat/>
    <w:rsid w:val="00D27128"/>
    <w:pPr>
      <w:widowControl w:val="0"/>
      <w:spacing w:after="0" w:line="240" w:lineRule="auto"/>
      <w:ind w:left="233"/>
    </w:pPr>
    <w:rPr>
      <w:rFonts w:ascii="Arial" w:eastAsia="Arial" w:hAnsi="Arial" w:cstheme="minorBidi"/>
      <w:sz w:val="20"/>
      <w:lang w:val="en-US"/>
    </w:rPr>
  </w:style>
  <w:style w:type="character" w:customStyle="1" w:styleId="BodyTextChar">
    <w:name w:val="Body Text Char"/>
    <w:basedOn w:val="DefaultParagraphFont"/>
    <w:link w:val="BodyText"/>
    <w:uiPriority w:val="99"/>
    <w:rsid w:val="00D27128"/>
    <w:rPr>
      <w:rFonts w:ascii="Arial" w:eastAsia="Arial" w:hAnsi="Arial"/>
      <w:sz w:val="20"/>
      <w:szCs w:val="20"/>
      <w:lang w:val="en-US" w:eastAsia="en-US" w:bidi="ar-SA"/>
    </w:rPr>
  </w:style>
  <w:style w:type="paragraph" w:styleId="CommentText">
    <w:name w:val="annotation text"/>
    <w:basedOn w:val="Normal"/>
    <w:link w:val="CommentTextChar"/>
    <w:uiPriority w:val="99"/>
    <w:semiHidden/>
    <w:unhideWhenUsed/>
    <w:rsid w:val="000B6C43"/>
    <w:pPr>
      <w:spacing w:line="240" w:lineRule="auto"/>
    </w:pPr>
    <w:rPr>
      <w:rFonts w:eastAsiaTheme="minorHAnsi" w:cstheme="minorBidi"/>
      <w:sz w:val="20"/>
    </w:rPr>
  </w:style>
  <w:style w:type="character" w:customStyle="1" w:styleId="CommentTextChar">
    <w:name w:val="Comment Text Char"/>
    <w:basedOn w:val="DefaultParagraphFont"/>
    <w:link w:val="CommentText"/>
    <w:uiPriority w:val="99"/>
    <w:semiHidden/>
    <w:rsid w:val="000B6C43"/>
    <w:rPr>
      <w:rFonts w:eastAsiaTheme="minorHAnsi"/>
      <w:sz w:val="20"/>
      <w:szCs w:val="20"/>
      <w:lang w:val="en-NZ" w:eastAsia="en-US" w:bidi="ar-SA"/>
    </w:rPr>
  </w:style>
  <w:style w:type="character" w:styleId="CommentReference">
    <w:name w:val="annotation reference"/>
    <w:basedOn w:val="DefaultParagraphFont"/>
    <w:uiPriority w:val="99"/>
    <w:semiHidden/>
    <w:unhideWhenUsed/>
    <w:rsid w:val="000B6C43"/>
    <w:rPr>
      <w:sz w:val="16"/>
      <w:szCs w:val="16"/>
    </w:rPr>
  </w:style>
  <w:style w:type="numbering" w:customStyle="1" w:styleId="NoList1">
    <w:name w:val="No List1"/>
    <w:next w:val="NoList"/>
    <w:uiPriority w:val="99"/>
    <w:semiHidden/>
    <w:unhideWhenUsed/>
    <w:rsid w:val="00066652"/>
  </w:style>
  <w:style w:type="character" w:styleId="FollowedHyperlink">
    <w:name w:val="FollowedHyperlink"/>
    <w:basedOn w:val="DefaultParagraphFont"/>
    <w:uiPriority w:val="99"/>
    <w:semiHidden/>
    <w:unhideWhenUsed/>
    <w:rsid w:val="00066652"/>
    <w:rPr>
      <w:color w:val="800080"/>
      <w:u w:val="single"/>
    </w:rPr>
  </w:style>
  <w:style w:type="paragraph" w:customStyle="1" w:styleId="xl65">
    <w:name w:val="xl65"/>
    <w:basedOn w:val="Normal"/>
    <w:rsid w:val="00066652"/>
    <w:pPr>
      <w:spacing w:before="100" w:beforeAutospacing="1" w:after="100" w:afterAutospacing="1" w:line="240" w:lineRule="auto"/>
      <w:textAlignment w:val="top"/>
    </w:pPr>
    <w:rPr>
      <w:rFonts w:ascii="Times New Roman" w:eastAsia="Times New Roman" w:hAnsi="Times New Roman" w:cstheme="minorBidi"/>
      <w:szCs w:val="24"/>
      <w:lang w:eastAsia="en-NZ"/>
    </w:rPr>
  </w:style>
  <w:style w:type="paragraph" w:customStyle="1" w:styleId="xl66">
    <w:name w:val="xl66"/>
    <w:basedOn w:val="Normal"/>
    <w:rsid w:val="00066652"/>
    <w:pPr>
      <w:spacing w:before="100" w:beforeAutospacing="1" w:after="100" w:afterAutospacing="1" w:line="240" w:lineRule="auto"/>
      <w:jc w:val="right"/>
      <w:textAlignment w:val="top"/>
    </w:pPr>
    <w:rPr>
      <w:rFonts w:ascii="Times New Roman" w:eastAsia="Times New Roman" w:hAnsi="Times New Roman" w:cstheme="minorBidi"/>
      <w:szCs w:val="24"/>
      <w:lang w:eastAsia="en-NZ"/>
    </w:rPr>
  </w:style>
  <w:style w:type="paragraph" w:customStyle="1" w:styleId="xl67">
    <w:name w:val="xl67"/>
    <w:basedOn w:val="Normal"/>
    <w:rsid w:val="00066652"/>
    <w:pPr>
      <w:spacing w:before="100" w:beforeAutospacing="1" w:after="100" w:afterAutospacing="1" w:line="240" w:lineRule="auto"/>
      <w:textAlignment w:val="top"/>
    </w:pPr>
    <w:rPr>
      <w:rFonts w:ascii="Times New Roman" w:eastAsia="Times New Roman" w:hAnsi="Times New Roman" w:cstheme="minorBidi"/>
      <w:szCs w:val="24"/>
      <w:lang w:eastAsia="en-NZ"/>
    </w:rPr>
  </w:style>
  <w:style w:type="paragraph" w:customStyle="1" w:styleId="xl68">
    <w:name w:val="xl68"/>
    <w:basedOn w:val="Normal"/>
    <w:rsid w:val="00066652"/>
    <w:pPr>
      <w:pBdr>
        <w:top w:val="single" w:sz="8" w:space="0" w:color="008080"/>
        <w:right w:val="single" w:sz="8" w:space="0" w:color="008080"/>
      </w:pBdr>
      <w:spacing w:before="100" w:beforeAutospacing="1" w:after="100" w:afterAutospacing="1" w:line="240" w:lineRule="auto"/>
      <w:textAlignment w:val="top"/>
    </w:pPr>
    <w:rPr>
      <w:rFonts w:ascii="Times New Roman" w:eastAsia="Times New Roman" w:hAnsi="Times New Roman" w:cstheme="minorBidi"/>
      <w:b/>
      <w:bCs/>
      <w:color w:val="000000"/>
      <w:szCs w:val="24"/>
      <w:lang w:eastAsia="en-NZ"/>
    </w:rPr>
  </w:style>
  <w:style w:type="paragraph" w:customStyle="1" w:styleId="xl69">
    <w:name w:val="xl69"/>
    <w:basedOn w:val="Normal"/>
    <w:rsid w:val="00066652"/>
    <w:pPr>
      <w:pBdr>
        <w:top w:val="single" w:sz="8" w:space="0" w:color="008080"/>
      </w:pBdr>
      <w:spacing w:before="100" w:beforeAutospacing="1" w:after="100" w:afterAutospacing="1" w:line="240" w:lineRule="auto"/>
      <w:textAlignment w:val="top"/>
    </w:pPr>
    <w:rPr>
      <w:rFonts w:ascii="Times New Roman" w:eastAsia="Times New Roman" w:hAnsi="Times New Roman" w:cstheme="minorBidi"/>
      <w:b/>
      <w:bCs/>
      <w:color w:val="000000"/>
      <w:szCs w:val="24"/>
      <w:lang w:eastAsia="en-NZ"/>
    </w:rPr>
  </w:style>
  <w:style w:type="paragraph" w:customStyle="1" w:styleId="xl70">
    <w:name w:val="xl70"/>
    <w:basedOn w:val="Normal"/>
    <w:rsid w:val="00066652"/>
    <w:pPr>
      <w:spacing w:before="100" w:beforeAutospacing="1" w:after="100" w:afterAutospacing="1" w:line="240" w:lineRule="auto"/>
      <w:textAlignment w:val="top"/>
    </w:pPr>
    <w:rPr>
      <w:rFonts w:ascii="Times New Roman" w:eastAsia="Times New Roman" w:hAnsi="Times New Roman" w:cstheme="minorBidi"/>
      <w:b/>
      <w:bCs/>
      <w:color w:val="000000"/>
      <w:szCs w:val="24"/>
      <w:lang w:eastAsia="en-NZ"/>
    </w:rPr>
  </w:style>
  <w:style w:type="paragraph" w:customStyle="1" w:styleId="xl71">
    <w:name w:val="xl71"/>
    <w:basedOn w:val="Normal"/>
    <w:rsid w:val="00066652"/>
    <w:pPr>
      <w:pBdr>
        <w:bottom w:val="single" w:sz="8" w:space="0" w:color="008080"/>
        <w:right w:val="single" w:sz="8" w:space="0" w:color="008080"/>
      </w:pBdr>
      <w:spacing w:before="100" w:beforeAutospacing="1" w:after="100" w:afterAutospacing="1" w:line="240" w:lineRule="auto"/>
      <w:textAlignment w:val="top"/>
    </w:pPr>
    <w:rPr>
      <w:rFonts w:ascii="Times New Roman" w:eastAsia="Times New Roman" w:hAnsi="Times New Roman" w:cstheme="minorBidi"/>
      <w:b/>
      <w:bCs/>
      <w:color w:val="000000"/>
      <w:szCs w:val="24"/>
      <w:lang w:eastAsia="en-NZ"/>
    </w:rPr>
  </w:style>
  <w:style w:type="paragraph" w:customStyle="1" w:styleId="xl72">
    <w:name w:val="xl72"/>
    <w:basedOn w:val="Normal"/>
    <w:rsid w:val="00066652"/>
    <w:pPr>
      <w:pBdr>
        <w:bottom w:val="single" w:sz="8" w:space="0" w:color="008080"/>
      </w:pBdr>
      <w:spacing w:before="100" w:beforeAutospacing="1" w:after="100" w:afterAutospacing="1" w:line="240" w:lineRule="auto"/>
      <w:textAlignment w:val="top"/>
    </w:pPr>
    <w:rPr>
      <w:rFonts w:ascii="Times New Roman" w:eastAsia="Times New Roman" w:hAnsi="Times New Roman" w:cstheme="minorBidi"/>
      <w:b/>
      <w:bCs/>
      <w:color w:val="000000"/>
      <w:szCs w:val="24"/>
      <w:lang w:eastAsia="en-NZ"/>
    </w:rPr>
  </w:style>
  <w:style w:type="paragraph" w:customStyle="1" w:styleId="xl73">
    <w:name w:val="xl73"/>
    <w:basedOn w:val="Normal"/>
    <w:rsid w:val="00066652"/>
    <w:pPr>
      <w:pBdr>
        <w:top w:val="single" w:sz="8" w:space="0" w:color="008080"/>
      </w:pBdr>
      <w:shd w:val="clear" w:color="000000" w:fill="008080"/>
      <w:spacing w:before="100" w:beforeAutospacing="1" w:after="100" w:afterAutospacing="1" w:line="240" w:lineRule="auto"/>
      <w:textAlignment w:val="top"/>
    </w:pPr>
    <w:rPr>
      <w:rFonts w:ascii="Times New Roman" w:eastAsia="Times New Roman" w:hAnsi="Times New Roman" w:cstheme="minorBidi"/>
      <w:b/>
      <w:bCs/>
      <w:color w:val="FFFFFF"/>
      <w:szCs w:val="24"/>
      <w:lang w:eastAsia="en-NZ"/>
    </w:rPr>
  </w:style>
  <w:style w:type="paragraph" w:customStyle="1" w:styleId="xl74">
    <w:name w:val="xl74"/>
    <w:basedOn w:val="Normal"/>
    <w:rsid w:val="00066652"/>
    <w:pPr>
      <w:shd w:val="clear" w:color="000000" w:fill="008080"/>
      <w:spacing w:before="100" w:beforeAutospacing="1" w:after="100" w:afterAutospacing="1" w:line="240" w:lineRule="auto"/>
      <w:textAlignment w:val="top"/>
    </w:pPr>
    <w:rPr>
      <w:rFonts w:ascii="Times New Roman" w:eastAsia="Times New Roman" w:hAnsi="Times New Roman" w:cstheme="minorBidi"/>
      <w:b/>
      <w:bCs/>
      <w:color w:val="FFFFFF"/>
      <w:szCs w:val="24"/>
      <w:lang w:eastAsia="en-NZ"/>
    </w:rPr>
  </w:style>
  <w:style w:type="paragraph" w:customStyle="1" w:styleId="xl75">
    <w:name w:val="xl75"/>
    <w:basedOn w:val="Normal"/>
    <w:rsid w:val="00066652"/>
    <w:pPr>
      <w:pBdr>
        <w:bottom w:val="single" w:sz="8" w:space="0" w:color="008080"/>
      </w:pBdr>
      <w:spacing w:before="100" w:beforeAutospacing="1" w:after="100" w:afterAutospacing="1" w:line="240" w:lineRule="auto"/>
      <w:textAlignment w:val="top"/>
    </w:pPr>
    <w:rPr>
      <w:rFonts w:ascii="Times New Roman" w:eastAsia="Times New Roman" w:hAnsi="Times New Roman" w:cstheme="minorBidi"/>
      <w:color w:val="008080"/>
      <w:lang w:eastAsia="en-NZ"/>
    </w:rPr>
  </w:style>
  <w:style w:type="paragraph" w:customStyle="1" w:styleId="xl76">
    <w:name w:val="xl76"/>
    <w:basedOn w:val="Normal"/>
    <w:rsid w:val="00066652"/>
    <w:pPr>
      <w:spacing w:before="100" w:beforeAutospacing="1" w:after="100" w:afterAutospacing="1" w:line="240" w:lineRule="auto"/>
      <w:textAlignment w:val="top"/>
    </w:pPr>
    <w:rPr>
      <w:rFonts w:ascii="Times New Roman" w:eastAsia="Times New Roman" w:hAnsi="Times New Roman" w:cstheme="minorBidi"/>
      <w:color w:val="008080"/>
      <w:lang w:eastAsia="en-NZ"/>
    </w:rPr>
  </w:style>
  <w:style w:type="paragraph" w:customStyle="1" w:styleId="xl77">
    <w:name w:val="xl77"/>
    <w:basedOn w:val="Normal"/>
    <w:rsid w:val="00066652"/>
    <w:pPr>
      <w:pBdr>
        <w:bottom w:val="single" w:sz="8" w:space="0" w:color="008080"/>
        <w:right w:val="single" w:sz="8" w:space="0" w:color="008080"/>
      </w:pBdr>
      <w:spacing w:before="100" w:beforeAutospacing="1" w:after="100" w:afterAutospacing="1" w:line="240" w:lineRule="auto"/>
      <w:textAlignment w:val="top"/>
    </w:pPr>
    <w:rPr>
      <w:rFonts w:ascii="Times New Roman" w:eastAsia="Times New Roman" w:hAnsi="Times New Roman" w:cstheme="minorBidi"/>
      <w:color w:val="000000"/>
      <w:szCs w:val="24"/>
      <w:lang w:eastAsia="en-NZ"/>
    </w:rPr>
  </w:style>
  <w:style w:type="paragraph" w:customStyle="1" w:styleId="xl78">
    <w:name w:val="xl78"/>
    <w:basedOn w:val="Normal"/>
    <w:rsid w:val="00066652"/>
    <w:pPr>
      <w:spacing w:before="100" w:beforeAutospacing="1" w:after="100" w:afterAutospacing="1" w:line="240" w:lineRule="auto"/>
      <w:jc w:val="right"/>
      <w:textAlignment w:val="top"/>
    </w:pPr>
    <w:rPr>
      <w:rFonts w:ascii="Times New Roman" w:eastAsia="Times New Roman" w:hAnsi="Times New Roman" w:cstheme="minorBidi"/>
      <w:szCs w:val="24"/>
      <w:lang w:eastAsia="en-NZ"/>
    </w:rPr>
  </w:style>
  <w:style w:type="paragraph" w:customStyle="1" w:styleId="xl79">
    <w:name w:val="xl79"/>
    <w:basedOn w:val="Normal"/>
    <w:rsid w:val="00066652"/>
    <w:pPr>
      <w:pBdr>
        <w:bottom w:val="single" w:sz="8" w:space="0" w:color="008080"/>
      </w:pBdr>
      <w:shd w:val="clear" w:color="000000" w:fill="D9D9D9"/>
      <w:spacing w:before="100" w:beforeAutospacing="1" w:after="100" w:afterAutospacing="1" w:line="240" w:lineRule="auto"/>
      <w:jc w:val="right"/>
      <w:textAlignment w:val="top"/>
    </w:pPr>
    <w:rPr>
      <w:rFonts w:ascii="Times New Roman" w:eastAsia="Times New Roman" w:hAnsi="Times New Roman" w:cstheme="minorBidi"/>
      <w:color w:val="000000"/>
      <w:szCs w:val="24"/>
      <w:lang w:eastAsia="en-NZ"/>
    </w:rPr>
  </w:style>
  <w:style w:type="paragraph" w:customStyle="1" w:styleId="xl80">
    <w:name w:val="xl80"/>
    <w:basedOn w:val="Normal"/>
    <w:rsid w:val="00066652"/>
    <w:pPr>
      <w:spacing w:before="100" w:beforeAutospacing="1" w:after="100" w:afterAutospacing="1" w:line="240" w:lineRule="auto"/>
      <w:jc w:val="right"/>
      <w:textAlignment w:val="top"/>
    </w:pPr>
    <w:rPr>
      <w:rFonts w:ascii="Times New Roman" w:eastAsia="Times New Roman" w:hAnsi="Times New Roman" w:cstheme="minorBidi"/>
      <w:color w:val="000000"/>
      <w:szCs w:val="24"/>
      <w:lang w:eastAsia="en-NZ"/>
    </w:rPr>
  </w:style>
  <w:style w:type="paragraph" w:customStyle="1" w:styleId="xl81">
    <w:name w:val="xl81"/>
    <w:basedOn w:val="Normal"/>
    <w:rsid w:val="00066652"/>
    <w:pPr>
      <w:pBdr>
        <w:bottom w:val="single" w:sz="8" w:space="0" w:color="008080"/>
      </w:pBdr>
      <w:shd w:val="clear" w:color="000000" w:fill="D9D9D9"/>
      <w:spacing w:before="100" w:beforeAutospacing="1" w:after="100" w:afterAutospacing="1" w:line="240" w:lineRule="auto"/>
      <w:jc w:val="right"/>
      <w:textAlignment w:val="top"/>
    </w:pPr>
    <w:rPr>
      <w:rFonts w:ascii="Times New Roman" w:eastAsia="Times New Roman" w:hAnsi="Times New Roman" w:cstheme="minorBidi"/>
      <w:color w:val="000000"/>
      <w:szCs w:val="24"/>
      <w:lang w:eastAsia="en-NZ"/>
    </w:rPr>
  </w:style>
  <w:style w:type="paragraph" w:customStyle="1" w:styleId="xl82">
    <w:name w:val="xl82"/>
    <w:basedOn w:val="Normal"/>
    <w:rsid w:val="00066652"/>
    <w:pPr>
      <w:pBdr>
        <w:top w:val="single" w:sz="8" w:space="0" w:color="008080"/>
        <w:bottom w:val="single" w:sz="8" w:space="0" w:color="008080"/>
      </w:pBdr>
      <w:spacing w:before="100" w:beforeAutospacing="1" w:after="100" w:afterAutospacing="1" w:line="240" w:lineRule="auto"/>
      <w:textAlignment w:val="top"/>
    </w:pPr>
    <w:rPr>
      <w:rFonts w:ascii="Times New Roman" w:eastAsia="Times New Roman" w:hAnsi="Times New Roman" w:cstheme="minorBidi"/>
      <w:color w:val="008080"/>
      <w:lang w:eastAsia="en-NZ"/>
    </w:rPr>
  </w:style>
  <w:style w:type="paragraph" w:customStyle="1" w:styleId="xl83">
    <w:name w:val="xl83"/>
    <w:basedOn w:val="Normal"/>
    <w:rsid w:val="00066652"/>
    <w:pPr>
      <w:spacing w:before="100" w:beforeAutospacing="1" w:after="100" w:afterAutospacing="1" w:line="240" w:lineRule="auto"/>
      <w:jc w:val="right"/>
      <w:textAlignment w:val="top"/>
    </w:pPr>
    <w:rPr>
      <w:rFonts w:ascii="Times New Roman" w:eastAsia="Times New Roman" w:hAnsi="Times New Roman" w:cstheme="minorBidi"/>
      <w:szCs w:val="24"/>
      <w:lang w:eastAsia="en-NZ"/>
    </w:rPr>
  </w:style>
  <w:style w:type="paragraph" w:customStyle="1" w:styleId="xl84">
    <w:name w:val="xl84"/>
    <w:basedOn w:val="Normal"/>
    <w:rsid w:val="00066652"/>
    <w:pPr>
      <w:spacing w:before="100" w:beforeAutospacing="1" w:after="100" w:afterAutospacing="1" w:line="240" w:lineRule="auto"/>
      <w:jc w:val="right"/>
      <w:textAlignment w:val="top"/>
    </w:pPr>
    <w:rPr>
      <w:rFonts w:ascii="Times New Roman" w:eastAsia="Times New Roman" w:hAnsi="Times New Roman" w:cstheme="minorBidi"/>
      <w:color w:val="FF0000"/>
      <w:szCs w:val="24"/>
      <w:lang w:eastAsia="en-NZ"/>
    </w:rPr>
  </w:style>
  <w:style w:type="paragraph" w:customStyle="1" w:styleId="xl85">
    <w:name w:val="xl85"/>
    <w:basedOn w:val="Normal"/>
    <w:rsid w:val="00066652"/>
    <w:pPr>
      <w:spacing w:before="100" w:beforeAutospacing="1" w:after="100" w:afterAutospacing="1" w:line="240" w:lineRule="auto"/>
      <w:jc w:val="right"/>
      <w:textAlignment w:val="top"/>
    </w:pPr>
    <w:rPr>
      <w:rFonts w:ascii="Times New Roman" w:eastAsia="Times New Roman" w:hAnsi="Times New Roman" w:cstheme="minorBidi"/>
      <w:szCs w:val="24"/>
      <w:lang w:eastAsia="en-NZ"/>
    </w:rPr>
  </w:style>
  <w:style w:type="paragraph" w:customStyle="1" w:styleId="xl86">
    <w:name w:val="xl86"/>
    <w:basedOn w:val="Normal"/>
    <w:rsid w:val="00066652"/>
    <w:pPr>
      <w:pBdr>
        <w:bottom w:val="single" w:sz="8" w:space="0" w:color="008080"/>
      </w:pBdr>
      <w:shd w:val="clear" w:color="000000" w:fill="D9D9D9"/>
      <w:spacing w:before="100" w:beforeAutospacing="1" w:after="100" w:afterAutospacing="1" w:line="240" w:lineRule="auto"/>
      <w:jc w:val="right"/>
      <w:textAlignment w:val="top"/>
    </w:pPr>
    <w:rPr>
      <w:rFonts w:ascii="Times New Roman" w:eastAsia="Times New Roman" w:hAnsi="Times New Roman" w:cstheme="minorBidi"/>
      <w:color w:val="000000"/>
      <w:szCs w:val="24"/>
      <w:lang w:eastAsia="en-NZ"/>
    </w:rPr>
  </w:style>
  <w:style w:type="paragraph" w:customStyle="1" w:styleId="xl87">
    <w:name w:val="xl87"/>
    <w:basedOn w:val="Normal"/>
    <w:rsid w:val="00066652"/>
    <w:pPr>
      <w:shd w:val="clear" w:color="000000" w:fill="FFFF00"/>
      <w:spacing w:before="100" w:beforeAutospacing="1" w:after="100" w:afterAutospacing="1" w:line="240" w:lineRule="auto"/>
      <w:jc w:val="right"/>
      <w:textAlignment w:val="top"/>
    </w:pPr>
    <w:rPr>
      <w:rFonts w:ascii="Times New Roman" w:eastAsia="Times New Roman" w:hAnsi="Times New Roman" w:cstheme="minorBidi"/>
      <w:szCs w:val="24"/>
      <w:lang w:eastAsia="en-NZ"/>
    </w:rPr>
  </w:style>
  <w:style w:type="paragraph" w:customStyle="1" w:styleId="xl88">
    <w:name w:val="xl88"/>
    <w:basedOn w:val="Normal"/>
    <w:rsid w:val="00066652"/>
    <w:pPr>
      <w:pBdr>
        <w:bottom w:val="single" w:sz="8" w:space="0" w:color="008080"/>
      </w:pBdr>
      <w:shd w:val="clear" w:color="000000" w:fill="D9D9D9"/>
      <w:spacing w:before="100" w:beforeAutospacing="1" w:after="100" w:afterAutospacing="1" w:line="240" w:lineRule="auto"/>
      <w:jc w:val="right"/>
      <w:textAlignment w:val="top"/>
    </w:pPr>
    <w:rPr>
      <w:rFonts w:ascii="Times New Roman" w:eastAsia="Times New Roman" w:hAnsi="Times New Roman" w:cstheme="minorBidi"/>
      <w:color w:val="000000"/>
      <w:szCs w:val="24"/>
      <w:lang w:eastAsia="en-NZ"/>
    </w:rPr>
  </w:style>
  <w:style w:type="paragraph" w:customStyle="1" w:styleId="xl89">
    <w:name w:val="xl89"/>
    <w:basedOn w:val="Normal"/>
    <w:rsid w:val="00066652"/>
    <w:pPr>
      <w:spacing w:before="100" w:beforeAutospacing="1" w:after="100" w:afterAutospacing="1" w:line="240" w:lineRule="auto"/>
      <w:jc w:val="right"/>
      <w:textAlignment w:val="top"/>
    </w:pPr>
    <w:rPr>
      <w:rFonts w:ascii="Times New Roman" w:eastAsia="Times New Roman" w:hAnsi="Times New Roman" w:cstheme="minorBidi"/>
      <w:szCs w:val="24"/>
      <w:lang w:eastAsia="en-NZ"/>
    </w:rPr>
  </w:style>
  <w:style w:type="paragraph" w:customStyle="1" w:styleId="xl90">
    <w:name w:val="xl90"/>
    <w:basedOn w:val="Normal"/>
    <w:rsid w:val="00066652"/>
    <w:pPr>
      <w:shd w:val="clear" w:color="000000" w:fill="FFFF00"/>
      <w:spacing w:before="100" w:beforeAutospacing="1" w:after="100" w:afterAutospacing="1" w:line="240" w:lineRule="auto"/>
      <w:jc w:val="right"/>
      <w:textAlignment w:val="top"/>
    </w:pPr>
    <w:rPr>
      <w:rFonts w:ascii="Times New Roman" w:eastAsia="Times New Roman" w:hAnsi="Times New Roman" w:cstheme="minorBidi"/>
      <w:szCs w:val="24"/>
      <w:lang w:eastAsia="en-NZ"/>
    </w:rPr>
  </w:style>
  <w:style w:type="paragraph" w:customStyle="1" w:styleId="xl91">
    <w:name w:val="xl91"/>
    <w:basedOn w:val="Normal"/>
    <w:rsid w:val="00066652"/>
    <w:pPr>
      <w:shd w:val="clear" w:color="000000" w:fill="FFFF00"/>
      <w:spacing w:before="100" w:beforeAutospacing="1" w:after="100" w:afterAutospacing="1" w:line="240" w:lineRule="auto"/>
      <w:textAlignment w:val="top"/>
    </w:pPr>
    <w:rPr>
      <w:rFonts w:ascii="Times New Roman" w:eastAsia="Times New Roman" w:hAnsi="Times New Roman" w:cstheme="minorBidi"/>
      <w:szCs w:val="24"/>
      <w:lang w:eastAsia="en-NZ"/>
    </w:rPr>
  </w:style>
  <w:style w:type="paragraph" w:customStyle="1" w:styleId="xl92">
    <w:name w:val="xl92"/>
    <w:basedOn w:val="Normal"/>
    <w:rsid w:val="00066652"/>
    <w:pPr>
      <w:spacing w:before="100" w:beforeAutospacing="1" w:after="100" w:afterAutospacing="1" w:line="240" w:lineRule="auto"/>
      <w:jc w:val="right"/>
      <w:textAlignment w:val="top"/>
    </w:pPr>
    <w:rPr>
      <w:rFonts w:ascii="Times New Roman" w:eastAsia="Times New Roman" w:hAnsi="Times New Roman" w:cstheme="minorBidi"/>
      <w:szCs w:val="24"/>
      <w:lang w:eastAsia="en-NZ"/>
    </w:rPr>
  </w:style>
  <w:style w:type="paragraph" w:customStyle="1" w:styleId="xl93">
    <w:name w:val="xl93"/>
    <w:basedOn w:val="Normal"/>
    <w:rsid w:val="00066652"/>
    <w:pPr>
      <w:spacing w:before="100" w:beforeAutospacing="1" w:after="100" w:afterAutospacing="1" w:line="240" w:lineRule="auto"/>
      <w:jc w:val="right"/>
      <w:textAlignment w:val="top"/>
    </w:pPr>
    <w:rPr>
      <w:rFonts w:ascii="Times New Roman" w:eastAsia="Times New Roman" w:hAnsi="Times New Roman" w:cstheme="minorBidi"/>
      <w:szCs w:val="24"/>
      <w:lang w:eastAsia="en-NZ"/>
    </w:rPr>
  </w:style>
  <w:style w:type="paragraph" w:customStyle="1" w:styleId="xl94">
    <w:name w:val="xl94"/>
    <w:basedOn w:val="Normal"/>
    <w:rsid w:val="00066652"/>
    <w:pPr>
      <w:shd w:val="clear" w:color="000000" w:fill="FFFF00"/>
      <w:spacing w:before="100" w:beforeAutospacing="1" w:after="100" w:afterAutospacing="1" w:line="240" w:lineRule="auto"/>
      <w:jc w:val="right"/>
      <w:textAlignment w:val="top"/>
    </w:pPr>
    <w:rPr>
      <w:rFonts w:ascii="Times New Roman" w:eastAsia="Times New Roman" w:hAnsi="Times New Roman" w:cstheme="minorBidi"/>
      <w:szCs w:val="24"/>
      <w:lang w:eastAsia="en-NZ"/>
    </w:rPr>
  </w:style>
  <w:style w:type="paragraph" w:customStyle="1" w:styleId="xl95">
    <w:name w:val="xl95"/>
    <w:basedOn w:val="Normal"/>
    <w:rsid w:val="00066652"/>
    <w:pPr>
      <w:pBdr>
        <w:bottom w:val="single" w:sz="8" w:space="0" w:color="008080"/>
      </w:pBdr>
      <w:shd w:val="clear" w:color="000000" w:fill="D9D9D9"/>
      <w:spacing w:before="100" w:beforeAutospacing="1" w:after="100" w:afterAutospacing="1" w:line="240" w:lineRule="auto"/>
      <w:jc w:val="right"/>
      <w:textAlignment w:val="top"/>
    </w:pPr>
    <w:rPr>
      <w:rFonts w:ascii="Times New Roman" w:eastAsia="Times New Roman" w:hAnsi="Times New Roman" w:cstheme="minorBidi"/>
      <w:color w:val="000000"/>
      <w:szCs w:val="24"/>
      <w:lang w:eastAsia="en-NZ"/>
    </w:rPr>
  </w:style>
  <w:style w:type="paragraph" w:customStyle="1" w:styleId="xl96">
    <w:name w:val="xl96"/>
    <w:basedOn w:val="Normal"/>
    <w:rsid w:val="00066652"/>
    <w:pPr>
      <w:spacing w:before="100" w:beforeAutospacing="1" w:after="100" w:afterAutospacing="1" w:line="240" w:lineRule="auto"/>
      <w:jc w:val="right"/>
      <w:textAlignment w:val="top"/>
    </w:pPr>
    <w:rPr>
      <w:rFonts w:ascii="Times New Roman" w:eastAsia="Times New Roman" w:hAnsi="Times New Roman" w:cstheme="minorBidi"/>
      <w:color w:val="000000"/>
      <w:szCs w:val="24"/>
      <w:lang w:eastAsia="en-NZ"/>
    </w:rPr>
  </w:style>
  <w:style w:type="paragraph" w:customStyle="1" w:styleId="xl97">
    <w:name w:val="xl97"/>
    <w:basedOn w:val="Normal"/>
    <w:rsid w:val="00066652"/>
    <w:pPr>
      <w:spacing w:before="100" w:beforeAutospacing="1" w:after="100" w:afterAutospacing="1" w:line="240" w:lineRule="auto"/>
      <w:jc w:val="right"/>
      <w:textAlignment w:val="top"/>
    </w:pPr>
    <w:rPr>
      <w:rFonts w:ascii="Times New Roman" w:eastAsia="Times New Roman" w:hAnsi="Times New Roman" w:cstheme="minorBidi"/>
      <w:color w:val="000000"/>
      <w:szCs w:val="24"/>
      <w:lang w:eastAsia="en-NZ"/>
    </w:rPr>
  </w:style>
  <w:style w:type="paragraph" w:customStyle="1" w:styleId="xl98">
    <w:name w:val="xl98"/>
    <w:basedOn w:val="Normal"/>
    <w:rsid w:val="00066652"/>
    <w:pPr>
      <w:spacing w:before="100" w:beforeAutospacing="1" w:after="100" w:afterAutospacing="1" w:line="240" w:lineRule="auto"/>
      <w:jc w:val="right"/>
      <w:textAlignment w:val="top"/>
    </w:pPr>
    <w:rPr>
      <w:rFonts w:ascii="Times New Roman" w:eastAsia="Times New Roman" w:hAnsi="Times New Roman" w:cstheme="minorBidi"/>
      <w:szCs w:val="24"/>
      <w:lang w:eastAsia="en-NZ"/>
    </w:rPr>
  </w:style>
  <w:style w:type="paragraph" w:customStyle="1" w:styleId="xl99">
    <w:name w:val="xl99"/>
    <w:basedOn w:val="Normal"/>
    <w:rsid w:val="00066652"/>
    <w:pPr>
      <w:pBdr>
        <w:bottom w:val="single" w:sz="8" w:space="0" w:color="008080"/>
        <w:right w:val="single" w:sz="8" w:space="0" w:color="008080"/>
      </w:pBdr>
      <w:shd w:val="clear" w:color="000000" w:fill="FFFF00"/>
      <w:spacing w:before="100" w:beforeAutospacing="1" w:after="100" w:afterAutospacing="1" w:line="240" w:lineRule="auto"/>
      <w:textAlignment w:val="top"/>
    </w:pPr>
    <w:rPr>
      <w:rFonts w:ascii="Times New Roman" w:eastAsia="Times New Roman" w:hAnsi="Times New Roman" w:cstheme="minorBidi"/>
      <w:color w:val="000000"/>
      <w:szCs w:val="24"/>
      <w:lang w:eastAsia="en-NZ"/>
    </w:rPr>
  </w:style>
  <w:style w:type="paragraph" w:customStyle="1" w:styleId="xl100">
    <w:name w:val="xl100"/>
    <w:basedOn w:val="Normal"/>
    <w:rsid w:val="00066652"/>
    <w:pPr>
      <w:spacing w:before="100" w:beforeAutospacing="1" w:after="100" w:afterAutospacing="1" w:line="240" w:lineRule="auto"/>
      <w:textAlignment w:val="top"/>
    </w:pPr>
    <w:rPr>
      <w:rFonts w:ascii="Times New Roman" w:eastAsia="Times New Roman" w:hAnsi="Times New Roman" w:cstheme="minorBidi"/>
      <w:b/>
      <w:bCs/>
      <w:color w:val="31869B"/>
      <w:sz w:val="28"/>
      <w:szCs w:val="28"/>
      <w:lang w:eastAsia="en-NZ"/>
    </w:rPr>
  </w:style>
  <w:style w:type="paragraph" w:customStyle="1" w:styleId="xl101">
    <w:name w:val="xl101"/>
    <w:basedOn w:val="Normal"/>
    <w:rsid w:val="00066652"/>
    <w:pPr>
      <w:pBdr>
        <w:bottom w:val="single" w:sz="8" w:space="0" w:color="008080"/>
        <w:right w:val="single" w:sz="8" w:space="0" w:color="008080"/>
      </w:pBdr>
      <w:spacing w:before="100" w:beforeAutospacing="1" w:after="100" w:afterAutospacing="1" w:line="240" w:lineRule="auto"/>
      <w:textAlignment w:val="top"/>
    </w:pPr>
    <w:rPr>
      <w:rFonts w:ascii="Times New Roman" w:eastAsia="Times New Roman" w:hAnsi="Times New Roman" w:cstheme="minorBidi"/>
      <w:color w:val="000000"/>
      <w:szCs w:val="24"/>
      <w:lang w:eastAsia="en-NZ"/>
    </w:rPr>
  </w:style>
  <w:style w:type="paragraph" w:customStyle="1" w:styleId="xl102">
    <w:name w:val="xl102"/>
    <w:basedOn w:val="Normal"/>
    <w:rsid w:val="00066652"/>
    <w:pPr>
      <w:spacing w:before="100" w:beforeAutospacing="1" w:after="100" w:afterAutospacing="1" w:line="240" w:lineRule="auto"/>
    </w:pPr>
    <w:rPr>
      <w:rFonts w:ascii="Times New Roman" w:eastAsia="Times New Roman" w:hAnsi="Times New Roman" w:cstheme="minorBidi"/>
      <w:szCs w:val="24"/>
      <w:lang w:eastAsia="en-NZ"/>
    </w:rPr>
  </w:style>
  <w:style w:type="paragraph" w:styleId="Index2">
    <w:name w:val="index 2"/>
    <w:basedOn w:val="Normal"/>
    <w:next w:val="Normal"/>
    <w:autoRedefine/>
    <w:uiPriority w:val="99"/>
    <w:unhideWhenUsed/>
    <w:rsid w:val="00A8239C"/>
    <w:pPr>
      <w:spacing w:after="0"/>
      <w:ind w:left="440" w:hanging="220"/>
    </w:pPr>
    <w:rPr>
      <w:rFonts w:cstheme="minorHAnsi"/>
      <w:sz w:val="18"/>
      <w:szCs w:val="18"/>
    </w:rPr>
  </w:style>
  <w:style w:type="paragraph" w:styleId="Index3">
    <w:name w:val="index 3"/>
    <w:basedOn w:val="Normal"/>
    <w:next w:val="Normal"/>
    <w:autoRedefine/>
    <w:uiPriority w:val="99"/>
    <w:unhideWhenUsed/>
    <w:rsid w:val="00A8239C"/>
    <w:pPr>
      <w:spacing w:after="0"/>
      <w:ind w:left="660" w:hanging="220"/>
    </w:pPr>
    <w:rPr>
      <w:rFonts w:cstheme="minorHAnsi"/>
      <w:sz w:val="18"/>
      <w:szCs w:val="18"/>
    </w:rPr>
  </w:style>
  <w:style w:type="paragraph" w:styleId="Index4">
    <w:name w:val="index 4"/>
    <w:basedOn w:val="Normal"/>
    <w:next w:val="Normal"/>
    <w:autoRedefine/>
    <w:uiPriority w:val="99"/>
    <w:unhideWhenUsed/>
    <w:rsid w:val="00A8239C"/>
    <w:pPr>
      <w:spacing w:after="0"/>
      <w:ind w:left="880" w:hanging="220"/>
    </w:pPr>
    <w:rPr>
      <w:rFonts w:cstheme="minorHAnsi"/>
      <w:sz w:val="18"/>
      <w:szCs w:val="18"/>
    </w:rPr>
  </w:style>
  <w:style w:type="paragraph" w:styleId="Index5">
    <w:name w:val="index 5"/>
    <w:basedOn w:val="Normal"/>
    <w:next w:val="Normal"/>
    <w:autoRedefine/>
    <w:uiPriority w:val="99"/>
    <w:unhideWhenUsed/>
    <w:rsid w:val="00A8239C"/>
    <w:pPr>
      <w:spacing w:after="0"/>
      <w:ind w:left="1100" w:hanging="220"/>
    </w:pPr>
    <w:rPr>
      <w:rFonts w:cstheme="minorHAnsi"/>
      <w:sz w:val="18"/>
      <w:szCs w:val="18"/>
    </w:rPr>
  </w:style>
  <w:style w:type="paragraph" w:styleId="Index6">
    <w:name w:val="index 6"/>
    <w:basedOn w:val="Normal"/>
    <w:next w:val="Normal"/>
    <w:autoRedefine/>
    <w:uiPriority w:val="99"/>
    <w:unhideWhenUsed/>
    <w:rsid w:val="00A8239C"/>
    <w:pPr>
      <w:spacing w:after="0"/>
      <w:ind w:left="1320" w:hanging="220"/>
    </w:pPr>
    <w:rPr>
      <w:rFonts w:cstheme="minorHAnsi"/>
      <w:sz w:val="18"/>
      <w:szCs w:val="18"/>
    </w:rPr>
  </w:style>
  <w:style w:type="paragraph" w:styleId="Index7">
    <w:name w:val="index 7"/>
    <w:basedOn w:val="Normal"/>
    <w:next w:val="Normal"/>
    <w:autoRedefine/>
    <w:uiPriority w:val="99"/>
    <w:unhideWhenUsed/>
    <w:rsid w:val="00A8239C"/>
    <w:pPr>
      <w:spacing w:after="0"/>
      <w:ind w:left="1540" w:hanging="220"/>
    </w:pPr>
    <w:rPr>
      <w:rFonts w:cstheme="minorHAnsi"/>
      <w:sz w:val="18"/>
      <w:szCs w:val="18"/>
    </w:rPr>
  </w:style>
  <w:style w:type="paragraph" w:styleId="Index8">
    <w:name w:val="index 8"/>
    <w:basedOn w:val="Normal"/>
    <w:next w:val="Normal"/>
    <w:autoRedefine/>
    <w:uiPriority w:val="99"/>
    <w:unhideWhenUsed/>
    <w:rsid w:val="00A8239C"/>
    <w:pPr>
      <w:spacing w:after="0"/>
      <w:ind w:left="1760" w:hanging="220"/>
    </w:pPr>
    <w:rPr>
      <w:rFonts w:cstheme="minorHAnsi"/>
      <w:sz w:val="18"/>
      <w:szCs w:val="18"/>
    </w:rPr>
  </w:style>
  <w:style w:type="paragraph" w:styleId="Index9">
    <w:name w:val="index 9"/>
    <w:basedOn w:val="Normal"/>
    <w:next w:val="Normal"/>
    <w:autoRedefine/>
    <w:uiPriority w:val="99"/>
    <w:unhideWhenUsed/>
    <w:rsid w:val="00A8239C"/>
    <w:pPr>
      <w:spacing w:after="0"/>
      <w:ind w:left="1980" w:hanging="220"/>
    </w:pPr>
    <w:rPr>
      <w:rFonts w:cstheme="minorHAnsi"/>
      <w:sz w:val="18"/>
      <w:szCs w:val="18"/>
    </w:rPr>
  </w:style>
  <w:style w:type="paragraph" w:styleId="IndexHeading">
    <w:name w:val="index heading"/>
    <w:basedOn w:val="Normal"/>
    <w:next w:val="Index1"/>
    <w:uiPriority w:val="99"/>
    <w:unhideWhenUsed/>
    <w:rsid w:val="00A8239C"/>
    <w:pPr>
      <w:spacing w:before="240" w:after="120"/>
      <w:jc w:val="center"/>
    </w:pPr>
    <w:rPr>
      <w:rFonts w:cstheme="minorHAnsi"/>
      <w:b/>
      <w:bCs/>
      <w:sz w:val="26"/>
      <w:szCs w:val="26"/>
    </w:rPr>
  </w:style>
  <w:style w:type="character" w:styleId="HTMLCode">
    <w:name w:val="HTML Code"/>
    <w:uiPriority w:val="99"/>
    <w:semiHidden/>
    <w:unhideWhenUsed/>
    <w:rsid w:val="00FA6A77"/>
    <w:rPr>
      <w:rFonts w:ascii="Arial Narrow" w:eastAsia="Times New Roman" w:hAnsi="Arial Narrow" w:cs="Times New Roman" w:hint="default"/>
      <w:sz w:val="20"/>
      <w:szCs w:val="20"/>
    </w:rPr>
  </w:style>
  <w:style w:type="paragraph" w:customStyle="1" w:styleId="Body">
    <w:name w:val="Body"/>
    <w:basedOn w:val="Normal"/>
    <w:uiPriority w:val="99"/>
    <w:semiHidden/>
    <w:qFormat/>
    <w:rsid w:val="00FA6A77"/>
    <w:pPr>
      <w:spacing w:after="120" w:line="240" w:lineRule="auto"/>
    </w:pPr>
    <w:rPr>
      <w:rFonts w:eastAsia="Times New Roman"/>
    </w:rPr>
  </w:style>
  <w:style w:type="character" w:styleId="HTMLKeyboard">
    <w:name w:val="HTML Keyboard"/>
    <w:uiPriority w:val="99"/>
    <w:semiHidden/>
    <w:unhideWhenUsed/>
    <w:rsid w:val="00FA6A77"/>
    <w:rPr>
      <w:rFonts w:ascii="Arial Narrow" w:eastAsia="Times New Roman" w:hAnsi="Arial Narrow" w:cs="Times New Roman" w:hint="default"/>
      <w:sz w:val="20"/>
      <w:szCs w:val="20"/>
    </w:rPr>
  </w:style>
  <w:style w:type="paragraph" w:styleId="HTMLPreformatted">
    <w:name w:val="HTML Preformatted"/>
    <w:basedOn w:val="Normal"/>
    <w:link w:val="HTMLPreformattedChar"/>
    <w:uiPriority w:val="99"/>
    <w:semiHidden/>
    <w:unhideWhenUsed/>
    <w:rsid w:val="00FA6A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eastAsia="Times New Roman"/>
      <w:sz w:val="20"/>
      <w:szCs w:val="20"/>
    </w:rPr>
  </w:style>
  <w:style w:type="character" w:customStyle="1" w:styleId="HTMLPreformattedChar">
    <w:name w:val="HTML Preformatted Char"/>
    <w:basedOn w:val="DefaultParagraphFont"/>
    <w:link w:val="HTMLPreformatted"/>
    <w:uiPriority w:val="99"/>
    <w:semiHidden/>
    <w:rsid w:val="00FA6A77"/>
    <w:rPr>
      <w:rFonts w:eastAsia="Times New Roman" w:cs="Times New Roman"/>
      <w:sz w:val="20"/>
      <w:szCs w:val="20"/>
    </w:rPr>
  </w:style>
  <w:style w:type="character" w:styleId="HTMLSample">
    <w:name w:val="HTML Sample"/>
    <w:uiPriority w:val="99"/>
    <w:semiHidden/>
    <w:unhideWhenUsed/>
    <w:rsid w:val="00FA6A77"/>
    <w:rPr>
      <w:rFonts w:ascii="Arial Narrow" w:eastAsia="Times New Roman" w:hAnsi="Arial Narrow" w:cs="Times New Roman" w:hint="default"/>
    </w:rPr>
  </w:style>
  <w:style w:type="character" w:styleId="HTMLTypewriter">
    <w:name w:val="HTML Typewriter"/>
    <w:uiPriority w:val="99"/>
    <w:semiHidden/>
    <w:unhideWhenUsed/>
    <w:rsid w:val="00FA6A77"/>
    <w:rPr>
      <w:rFonts w:ascii="Arial Narrow" w:eastAsia="Times New Roman" w:hAnsi="Arial Narrow" w:cs="Times New Roman" w:hint="default"/>
      <w:sz w:val="20"/>
      <w:szCs w:val="20"/>
    </w:rPr>
  </w:style>
  <w:style w:type="paragraph" w:styleId="FootnoteText">
    <w:name w:val="footnote text"/>
    <w:basedOn w:val="Normal"/>
    <w:link w:val="FootnoteTextChar"/>
    <w:uiPriority w:val="99"/>
    <w:semiHidden/>
    <w:unhideWhenUsed/>
    <w:rsid w:val="00FA6A77"/>
    <w:pPr>
      <w:spacing w:after="0" w:line="240" w:lineRule="auto"/>
    </w:pPr>
    <w:rPr>
      <w:rFonts w:ascii="Georgia" w:eastAsia="Times New Roman" w:hAnsi="Georgia"/>
      <w:sz w:val="20"/>
      <w:szCs w:val="20"/>
      <w:lang w:val="en-GB" w:eastAsia="en-GB"/>
    </w:rPr>
  </w:style>
  <w:style w:type="character" w:customStyle="1" w:styleId="FootnoteTextChar">
    <w:name w:val="Footnote Text Char"/>
    <w:basedOn w:val="DefaultParagraphFont"/>
    <w:link w:val="FootnoteText"/>
    <w:uiPriority w:val="99"/>
    <w:semiHidden/>
    <w:rsid w:val="00FA6A77"/>
    <w:rPr>
      <w:rFonts w:ascii="Georgia" w:eastAsia="Times New Roman" w:hAnsi="Georgia" w:cs="Times New Roman"/>
      <w:sz w:val="20"/>
      <w:szCs w:val="20"/>
      <w:lang w:val="en-GB" w:eastAsia="en-GB"/>
    </w:rPr>
  </w:style>
  <w:style w:type="paragraph" w:customStyle="1" w:styleId="PlaceholderText1">
    <w:name w:val="Placeholder Text1"/>
    <w:basedOn w:val="Normal"/>
    <w:uiPriority w:val="99"/>
    <w:semiHidden/>
    <w:rsid w:val="00FA6A77"/>
    <w:pPr>
      <w:keepNext/>
      <w:numPr>
        <w:numId w:val="34"/>
      </w:numPr>
      <w:spacing w:after="0" w:line="240" w:lineRule="auto"/>
      <w:contextualSpacing/>
      <w:outlineLvl w:val="0"/>
    </w:pPr>
    <w:rPr>
      <w:rFonts w:eastAsia="Times New Roman"/>
    </w:rPr>
  </w:style>
  <w:style w:type="character" w:customStyle="1" w:styleId="WCCFormheaderChar">
    <w:name w:val="WCC Form header Char"/>
    <w:link w:val="WCCFormheader"/>
    <w:uiPriority w:val="9"/>
    <w:semiHidden/>
    <w:locked/>
    <w:rsid w:val="00FA6A77"/>
    <w:rPr>
      <w:rFonts w:asciiTheme="majorHAnsi" w:eastAsia="MS Gothic" w:hAnsiTheme="majorHAnsi"/>
      <w:b/>
      <w:bCs/>
      <w:color w:val="3C3C3B"/>
      <w:kern w:val="32"/>
      <w:sz w:val="40"/>
      <w:szCs w:val="40"/>
    </w:rPr>
  </w:style>
  <w:style w:type="paragraph" w:customStyle="1" w:styleId="WCCFormheader">
    <w:name w:val="WCC Form header"/>
    <w:basedOn w:val="Heading1"/>
    <w:link w:val="WCCFormheaderChar"/>
    <w:uiPriority w:val="9"/>
    <w:semiHidden/>
    <w:rsid w:val="00FA6A77"/>
    <w:pPr>
      <w:keepLines w:val="0"/>
      <w:pBdr>
        <w:bottom w:val="none" w:sz="0" w:space="0" w:color="auto"/>
      </w:pBdr>
      <w:spacing w:before="0" w:after="80" w:line="400" w:lineRule="exact"/>
    </w:pPr>
    <w:rPr>
      <w:rFonts w:eastAsia="MS Gothic" w:cstheme="minorBidi"/>
      <w:color w:val="3C3C3B"/>
      <w:kern w:val="32"/>
      <w:sz w:val="40"/>
      <w:szCs w:val="40"/>
    </w:rPr>
  </w:style>
  <w:style w:type="paragraph" w:customStyle="1" w:styleId="WCCtableheaderonblackcell">
    <w:name w:val="WCC table header on black cell"/>
    <w:basedOn w:val="Normal"/>
    <w:uiPriority w:val="9"/>
    <w:semiHidden/>
    <w:rsid w:val="00FA6A77"/>
    <w:pPr>
      <w:spacing w:after="0" w:line="240" w:lineRule="auto"/>
    </w:pPr>
    <w:rPr>
      <w:rFonts w:eastAsia="Times New Roman"/>
      <w:b/>
      <w:color w:val="FFFFFF"/>
    </w:rPr>
  </w:style>
  <w:style w:type="paragraph" w:customStyle="1" w:styleId="WCCPDWCCnumber">
    <w:name w:val="WCC PDWCC number"/>
    <w:basedOn w:val="Normal"/>
    <w:uiPriority w:val="9"/>
    <w:semiHidden/>
    <w:rsid w:val="00FA6A77"/>
    <w:pPr>
      <w:spacing w:after="0" w:line="240" w:lineRule="auto"/>
      <w:jc w:val="right"/>
    </w:pPr>
    <w:rPr>
      <w:rFonts w:eastAsia="Times New Roman"/>
      <w:b/>
      <w:sz w:val="10"/>
      <w:szCs w:val="8"/>
    </w:rPr>
  </w:style>
  <w:style w:type="character" w:customStyle="1" w:styleId="WCCCoverSubtitleChar">
    <w:name w:val="WCC Cover Subtitle Char"/>
    <w:link w:val="WCCCoverSubtitle"/>
    <w:uiPriority w:val="9"/>
    <w:semiHidden/>
    <w:locked/>
    <w:rsid w:val="00FA6A77"/>
    <w:rPr>
      <w:rFonts w:asciiTheme="majorHAnsi" w:eastAsia="MS Gothic" w:hAnsiTheme="majorHAnsi"/>
      <w:b/>
      <w:bCs/>
      <w:color w:val="3C3C3B"/>
      <w:kern w:val="32"/>
      <w:sz w:val="26"/>
      <w:szCs w:val="26"/>
    </w:rPr>
  </w:style>
  <w:style w:type="paragraph" w:customStyle="1" w:styleId="WCCCoverSubtitle">
    <w:name w:val="WCC Cover Subtitle"/>
    <w:basedOn w:val="WCCFormheader"/>
    <w:link w:val="WCCCoverSubtitleChar"/>
    <w:uiPriority w:val="9"/>
    <w:semiHidden/>
    <w:rsid w:val="00FA6A77"/>
    <w:pPr>
      <w:spacing w:line="300" w:lineRule="exact"/>
    </w:pPr>
    <w:rPr>
      <w:sz w:val="26"/>
      <w:szCs w:val="26"/>
    </w:rPr>
  </w:style>
  <w:style w:type="character" w:customStyle="1" w:styleId="WCCCoverHeaderChar">
    <w:name w:val="WCC Cover Header Char"/>
    <w:link w:val="WCCCoverHeader"/>
    <w:uiPriority w:val="9"/>
    <w:semiHidden/>
    <w:locked/>
    <w:rsid w:val="00FA6A77"/>
    <w:rPr>
      <w:rFonts w:ascii="Georgia" w:eastAsia="MS Gothic" w:hAnsi="Georgia"/>
      <w:b/>
      <w:bCs/>
      <w:caps/>
      <w:color w:val="FFFFFF"/>
      <w:kern w:val="32"/>
      <w:sz w:val="48"/>
      <w:szCs w:val="48"/>
    </w:rPr>
  </w:style>
  <w:style w:type="paragraph" w:customStyle="1" w:styleId="WCCCoverHeader">
    <w:name w:val="WCC Cover Header"/>
    <w:basedOn w:val="Normal"/>
    <w:link w:val="WCCCoverHeaderChar"/>
    <w:uiPriority w:val="9"/>
    <w:semiHidden/>
    <w:rsid w:val="00FA6A77"/>
    <w:pPr>
      <w:keepNext/>
      <w:spacing w:after="80" w:line="520" w:lineRule="exact"/>
      <w:ind w:right="4389"/>
      <w:outlineLvl w:val="0"/>
    </w:pPr>
    <w:rPr>
      <w:rFonts w:ascii="Georgia" w:eastAsia="MS Gothic" w:hAnsi="Georgia" w:cstheme="minorBidi"/>
      <w:b/>
      <w:bCs/>
      <w:caps/>
      <w:color w:val="FFFFFF"/>
      <w:kern w:val="32"/>
      <w:sz w:val="48"/>
      <w:szCs w:val="48"/>
    </w:rPr>
  </w:style>
  <w:style w:type="character" w:customStyle="1" w:styleId="WCCDocumentHeaderChar">
    <w:name w:val="WCC Document Header Char"/>
    <w:link w:val="WCCDocumentHeader"/>
    <w:uiPriority w:val="9"/>
    <w:semiHidden/>
    <w:locked/>
    <w:rsid w:val="00FA6A77"/>
    <w:rPr>
      <w:rFonts w:ascii="Georgia" w:eastAsia="MS Gothic" w:hAnsi="Georgia"/>
      <w:b/>
      <w:bCs/>
      <w:color w:val="3C3C3B"/>
      <w:kern w:val="32"/>
      <w:sz w:val="36"/>
      <w:szCs w:val="36"/>
    </w:rPr>
  </w:style>
  <w:style w:type="paragraph" w:customStyle="1" w:styleId="WCCDocumentHeader">
    <w:name w:val="WCC Document Header"/>
    <w:basedOn w:val="WCCCoverHeader"/>
    <w:link w:val="WCCDocumentHeaderChar"/>
    <w:uiPriority w:val="9"/>
    <w:semiHidden/>
    <w:rsid w:val="00FA6A77"/>
    <w:pPr>
      <w:spacing w:line="400" w:lineRule="exact"/>
      <w:ind w:right="0"/>
    </w:pPr>
    <w:rPr>
      <w:caps w:val="0"/>
      <w:color w:val="3C3C3B"/>
      <w:sz w:val="36"/>
      <w:szCs w:val="36"/>
    </w:rPr>
  </w:style>
  <w:style w:type="character" w:customStyle="1" w:styleId="WCCDocumentsubtitleChar">
    <w:name w:val="WCC Document subtitle Char"/>
    <w:link w:val="WCCDocumentsubtitle"/>
    <w:uiPriority w:val="9"/>
    <w:semiHidden/>
    <w:locked/>
    <w:rsid w:val="00FA6A77"/>
    <w:rPr>
      <w:rFonts w:asciiTheme="majorHAnsi" w:eastAsia="MS Gothic" w:hAnsiTheme="majorHAnsi"/>
      <w:b/>
      <w:bCs/>
      <w:color w:val="3C3C3B"/>
      <w:kern w:val="32"/>
      <w:sz w:val="26"/>
      <w:szCs w:val="26"/>
    </w:rPr>
  </w:style>
  <w:style w:type="paragraph" w:customStyle="1" w:styleId="WCCDocumentsubtitle">
    <w:name w:val="WCC Document subtitle"/>
    <w:basedOn w:val="WCCCoverSubtitle"/>
    <w:link w:val="WCCDocumentsubtitleChar"/>
    <w:uiPriority w:val="9"/>
    <w:semiHidden/>
    <w:rsid w:val="00FA6A77"/>
  </w:style>
  <w:style w:type="paragraph" w:customStyle="1" w:styleId="Bullets">
    <w:name w:val="Bullets"/>
    <w:basedOn w:val="Body"/>
    <w:uiPriority w:val="99"/>
    <w:semiHidden/>
    <w:qFormat/>
    <w:rsid w:val="00FA6A77"/>
    <w:pPr>
      <w:numPr>
        <w:numId w:val="35"/>
      </w:numPr>
      <w:ind w:left="284" w:hanging="284"/>
    </w:pPr>
  </w:style>
  <w:style w:type="character" w:customStyle="1" w:styleId="FootertextChar">
    <w:name w:val="Footer text Char"/>
    <w:basedOn w:val="FooterChar"/>
    <w:link w:val="Footertext"/>
    <w:uiPriority w:val="99"/>
    <w:semiHidden/>
    <w:locked/>
    <w:rsid w:val="00FA6A77"/>
    <w:rPr>
      <w:rFonts w:ascii="Helvetica Neue" w:eastAsia="Times New Roman" w:hAnsi="Helvetica Neue" w:cs="Times New Roman"/>
      <w:color w:val="333333"/>
      <w:sz w:val="16"/>
      <w:szCs w:val="24"/>
      <w:vertAlign w:val="superscript"/>
      <w:lang w:bidi="ar-SA"/>
    </w:rPr>
  </w:style>
  <w:style w:type="paragraph" w:customStyle="1" w:styleId="Footertext">
    <w:name w:val="Footer text"/>
    <w:basedOn w:val="Footer"/>
    <w:link w:val="FootertextChar"/>
    <w:uiPriority w:val="99"/>
    <w:semiHidden/>
    <w:rsid w:val="00FA6A77"/>
    <w:pPr>
      <w:tabs>
        <w:tab w:val="clear" w:pos="4513"/>
        <w:tab w:val="clear" w:pos="9026"/>
        <w:tab w:val="center" w:pos="4820"/>
        <w:tab w:val="right" w:pos="9639"/>
      </w:tabs>
      <w:spacing w:before="160" w:after="0"/>
      <w:jc w:val="right"/>
    </w:pPr>
    <w:rPr>
      <w:rFonts w:eastAsia="Times New Roman"/>
      <w:sz w:val="16"/>
    </w:rPr>
  </w:style>
  <w:style w:type="paragraph" w:customStyle="1" w:styleId="TableHeading">
    <w:name w:val="Table Heading"/>
    <w:basedOn w:val="Normal"/>
    <w:uiPriority w:val="7"/>
    <w:semiHidden/>
    <w:qFormat/>
    <w:rsid w:val="00FA6A77"/>
    <w:pPr>
      <w:spacing w:before="113" w:after="113" w:line="200" w:lineRule="atLeast"/>
    </w:pPr>
    <w:rPr>
      <w:rFonts w:asciiTheme="majorHAnsi" w:eastAsia="Times New Roman" w:hAnsiTheme="majorHAnsi"/>
      <w:sz w:val="16"/>
    </w:rPr>
  </w:style>
  <w:style w:type="paragraph" w:customStyle="1" w:styleId="TableBody">
    <w:name w:val="Table Body"/>
    <w:basedOn w:val="Normal"/>
    <w:uiPriority w:val="7"/>
    <w:semiHidden/>
    <w:qFormat/>
    <w:rsid w:val="00FA6A77"/>
    <w:pPr>
      <w:spacing w:before="113" w:after="113" w:line="200" w:lineRule="atLeast"/>
    </w:pPr>
    <w:rPr>
      <w:rFonts w:eastAsia="Times New Roman"/>
      <w:sz w:val="16"/>
    </w:rPr>
  </w:style>
  <w:style w:type="paragraph" w:customStyle="1" w:styleId="TableSubheading">
    <w:name w:val="Table Subheading"/>
    <w:basedOn w:val="TableHeading"/>
    <w:uiPriority w:val="7"/>
    <w:semiHidden/>
    <w:qFormat/>
    <w:rsid w:val="00FA6A77"/>
    <w:rPr>
      <w:b/>
    </w:rPr>
  </w:style>
  <w:style w:type="paragraph" w:customStyle="1" w:styleId="Source-Notes">
    <w:name w:val="Source-Notes"/>
    <w:uiPriority w:val="8"/>
    <w:semiHidden/>
    <w:qFormat/>
    <w:rsid w:val="00FA6A77"/>
    <w:pPr>
      <w:spacing w:before="120" w:after="120" w:line="200" w:lineRule="atLeast"/>
      <w:contextualSpacing/>
    </w:pPr>
    <w:rPr>
      <w:rFonts w:eastAsia="Times New Roman" w:cs="Times New Roman"/>
      <w:i/>
      <w:sz w:val="16"/>
    </w:rPr>
  </w:style>
  <w:style w:type="paragraph" w:customStyle="1" w:styleId="Scroll">
    <w:name w:val="Scroll"/>
    <w:uiPriority w:val="99"/>
    <w:semiHidden/>
    <w:rsid w:val="00FA6A77"/>
    <w:pPr>
      <w:tabs>
        <w:tab w:val="center" w:pos="4320"/>
        <w:tab w:val="right" w:pos="8640"/>
      </w:tabs>
    </w:pPr>
    <w:rPr>
      <w:lang w:val="en-US" w:eastAsia="ja-JP"/>
    </w:rPr>
  </w:style>
  <w:style w:type="character" w:styleId="FootnoteReference">
    <w:name w:val="footnote reference"/>
    <w:semiHidden/>
    <w:unhideWhenUsed/>
    <w:rsid w:val="00FA6A77"/>
    <w:rPr>
      <w:vertAlign w:val="superscript"/>
    </w:rPr>
  </w:style>
  <w:style w:type="character" w:styleId="PageNumber">
    <w:name w:val="page number"/>
    <w:basedOn w:val="FootertextChar"/>
    <w:uiPriority w:val="99"/>
    <w:semiHidden/>
    <w:unhideWhenUsed/>
    <w:rsid w:val="00FA6A77"/>
    <w:rPr>
      <w:rFonts w:ascii="Helvetica Neue" w:eastAsia="Times New Roman" w:hAnsi="Helvetica Neue" w:cs="Times New Roman"/>
      <w:color w:val="333333"/>
      <w:sz w:val="16"/>
      <w:szCs w:val="24"/>
      <w:vertAlign w:val="superscript"/>
      <w:lang w:bidi="ar-SA"/>
    </w:rPr>
  </w:style>
  <w:style w:type="character" w:customStyle="1" w:styleId="s4">
    <w:name w:val="s4"/>
    <w:basedOn w:val="DefaultParagraphFont"/>
    <w:rsid w:val="00FA6A77"/>
  </w:style>
  <w:style w:type="character" w:customStyle="1" w:styleId="ilfuvd">
    <w:name w:val="ilfuvd"/>
    <w:basedOn w:val="DefaultParagraphFont"/>
    <w:rsid w:val="00FA6A77"/>
  </w:style>
  <w:style w:type="table" w:styleId="TableSimple1">
    <w:name w:val="Table Simple 1"/>
    <w:basedOn w:val="TableNormal"/>
    <w:semiHidden/>
    <w:unhideWhenUsed/>
    <w:rsid w:val="00FA6A77"/>
    <w:pPr>
      <w:spacing w:after="0" w:line="240" w:lineRule="auto"/>
    </w:pPr>
    <w:rPr>
      <w:rFonts w:ascii="Arial Narrow" w:eastAsia="Times New Roman" w:hAnsi="Arial Narrow" w:cs="Arial"/>
    </w:rPr>
    <w:tblPr>
      <w:tblInd w:w="0" w:type="nil"/>
      <w:tblBorders>
        <w:top w:val="single" w:sz="12" w:space="0" w:color="008000"/>
        <w:bottom w:val="single" w:sz="12" w:space="0" w:color="008000"/>
      </w:tblBorders>
    </w:tblPr>
    <w:tblStylePr w:type="firstRow">
      <w:tblPr/>
      <w:tcPr>
        <w:tcBorders>
          <w:bottom w:val="single" w:sz="6" w:space="0" w:color="008000"/>
        </w:tcBorders>
      </w:tcPr>
    </w:tblStylePr>
    <w:tblStylePr w:type="lastRow">
      <w:tblPr/>
      <w:tcPr>
        <w:tcBorders>
          <w:top w:val="single" w:sz="6" w:space="0" w:color="008000"/>
        </w:tcBorders>
      </w:tcPr>
    </w:tblStylePr>
  </w:style>
  <w:style w:type="table" w:styleId="TableSimple2">
    <w:name w:val="Table Simple 2"/>
    <w:basedOn w:val="TableNormal"/>
    <w:semiHidden/>
    <w:unhideWhenUsed/>
    <w:rsid w:val="00FA6A77"/>
    <w:pPr>
      <w:spacing w:after="0" w:line="240" w:lineRule="auto"/>
    </w:pPr>
    <w:rPr>
      <w:rFonts w:ascii="Arial Narrow" w:eastAsia="Times New Roman" w:hAnsi="Arial Narrow" w:cs="Arial"/>
    </w:rPr>
    <w:tblPr>
      <w:tblInd w:w="0" w:type="nil"/>
    </w:tblPr>
    <w:tblStylePr w:type="firstRow">
      <w:rPr>
        <w:b/>
        <w:bCs/>
      </w:rPr>
      <w:tblPr/>
      <w:tcPr>
        <w:tcBorders>
          <w:bottom w:val="single" w:sz="12" w:space="0" w:color="000000"/>
        </w:tcBorders>
      </w:tcPr>
    </w:tblStylePr>
    <w:tblStylePr w:type="lastRow">
      <w:rPr>
        <w:b/>
        <w:bCs/>
        <w:color w:val="auto"/>
      </w:rPr>
      <w:tblPr/>
      <w:tcPr>
        <w:tcBorders>
          <w:top w:val="single" w:sz="6" w:space="0" w:color="000000"/>
        </w:tcBorders>
      </w:tcPr>
    </w:tblStylePr>
    <w:tblStylePr w:type="firstCol">
      <w:rPr>
        <w:b/>
        <w:bCs/>
      </w:rPr>
      <w:tblPr/>
      <w:tcPr>
        <w:tcBorders>
          <w:right w:val="single" w:sz="12" w:space="0" w:color="000000"/>
        </w:tcBorders>
      </w:tcPr>
    </w:tblStylePr>
    <w:tblStylePr w:type="lastCol">
      <w:rPr>
        <w:b/>
        <w:bCs/>
      </w:rPr>
      <w:tblPr/>
      <w:tcPr>
        <w:tcBorders>
          <w:left w:val="single" w:sz="6" w:space="0" w:color="000000"/>
        </w:tcBorders>
      </w:tcPr>
    </w:tblStylePr>
    <w:tblStylePr w:type="neCell">
      <w:rPr>
        <w:b/>
        <w:bCs/>
      </w:rPr>
      <w:tblPr/>
      <w:tcPr>
        <w:tcBorders>
          <w:left w:val="none" w:sz="0" w:space="0" w:color="auto"/>
        </w:tcBorders>
      </w:tcPr>
    </w:tblStylePr>
    <w:tblStylePr w:type="swCell">
      <w:rPr>
        <w:b/>
        <w:bCs/>
      </w:rPr>
      <w:tblPr/>
      <w:tcPr>
        <w:tcBorders>
          <w:top w:val="none" w:sz="0" w:space="0" w:color="auto"/>
        </w:tcBorders>
      </w:tcPr>
    </w:tblStylePr>
  </w:style>
  <w:style w:type="table" w:styleId="TableSimple3">
    <w:name w:val="Table Simple 3"/>
    <w:basedOn w:val="TableNormal"/>
    <w:semiHidden/>
    <w:unhideWhenUsed/>
    <w:rsid w:val="00FA6A77"/>
    <w:pPr>
      <w:spacing w:after="0" w:line="240" w:lineRule="auto"/>
    </w:pPr>
    <w:rPr>
      <w:rFonts w:ascii="Arial Narrow" w:eastAsia="Times New Roman" w:hAnsi="Arial Narrow" w:cs="Arial"/>
    </w:rPr>
    <w:tblPr>
      <w:tblInd w:w="0" w:type="nil"/>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shd w:val="solid" w:color="000000" w:fill="FFFFFF"/>
      </w:tcPr>
    </w:tblStylePr>
  </w:style>
  <w:style w:type="table" w:styleId="TableClassic1">
    <w:name w:val="Table Classic 1"/>
    <w:basedOn w:val="TableNormal"/>
    <w:semiHidden/>
    <w:unhideWhenUsed/>
    <w:rsid w:val="00FA6A77"/>
    <w:pPr>
      <w:spacing w:after="0" w:line="240" w:lineRule="auto"/>
    </w:pPr>
    <w:rPr>
      <w:rFonts w:ascii="Arial Narrow" w:eastAsia="Times New Roman" w:hAnsi="Arial Narrow" w:cs="Arial"/>
    </w:rPr>
    <w:tblPr>
      <w:tblInd w:w="0" w:type="nil"/>
      <w:tblBorders>
        <w:top w:val="single" w:sz="12" w:space="0" w:color="000000"/>
        <w:bottom w:val="single" w:sz="12" w:space="0" w:color="000000"/>
      </w:tblBorders>
    </w:tblPr>
    <w:tblStylePr w:type="firstRow">
      <w:rPr>
        <w:i/>
        <w:iCs/>
      </w:rPr>
      <w:tblPr/>
      <w:tcPr>
        <w:tcBorders>
          <w:bottom w:val="single" w:sz="6" w:space="0" w:color="000000"/>
        </w:tcBorders>
      </w:tcPr>
    </w:tblStylePr>
    <w:tblStylePr w:type="lastRow">
      <w:rPr>
        <w:color w:val="auto"/>
      </w:rPr>
      <w:tblPr/>
      <w:tcPr>
        <w:tcBorders>
          <w:top w:val="single" w:sz="6" w:space="0" w:color="000000"/>
        </w:tcBorders>
      </w:tcPr>
    </w:tblStylePr>
    <w:tblStylePr w:type="firstCol">
      <w:tblPr/>
      <w:tcPr>
        <w:tcBorders>
          <w:right w:val="single" w:sz="6" w:space="0" w:color="000000"/>
        </w:tcBorders>
      </w:tcPr>
    </w:tblStylePr>
    <w:tblStylePr w:type="neCell">
      <w:rPr>
        <w:b/>
        <w:bCs/>
        <w:i w:val="0"/>
        <w:iCs w:val="0"/>
      </w:rPr>
    </w:tblStylePr>
    <w:tblStylePr w:type="swCell">
      <w:rPr>
        <w:b/>
        <w:bCs/>
      </w:rPr>
    </w:tblStylePr>
  </w:style>
  <w:style w:type="table" w:styleId="TableClassic2">
    <w:name w:val="Table Classic 2"/>
    <w:basedOn w:val="TableNormal"/>
    <w:semiHidden/>
    <w:unhideWhenUsed/>
    <w:rsid w:val="00FA6A77"/>
    <w:pPr>
      <w:spacing w:after="0" w:line="240" w:lineRule="auto"/>
    </w:pPr>
    <w:rPr>
      <w:rFonts w:ascii="Arial Narrow" w:eastAsia="Times New Roman" w:hAnsi="Arial Narrow" w:cs="Arial"/>
    </w:rPr>
    <w:tblPr>
      <w:tblInd w:w="0" w:type="nil"/>
      <w:tblBorders>
        <w:top w:val="single" w:sz="12" w:space="0" w:color="000000"/>
        <w:bottom w:val="single" w:sz="12" w:space="0" w:color="000000"/>
      </w:tblBorders>
    </w:tblPr>
    <w:tblStylePr w:type="firstRow">
      <w:rPr>
        <w:color w:val="FFFFFF"/>
      </w:rPr>
      <w:tblPr/>
      <w:tcPr>
        <w:tcBorders>
          <w:bottom w:val="single" w:sz="6" w:space="0" w:color="000000"/>
        </w:tcBorders>
        <w:shd w:val="solid" w:color="800080" w:fill="FFFFFF"/>
      </w:tcPr>
    </w:tblStylePr>
    <w:tblStylePr w:type="lastRow">
      <w:tblPr/>
      <w:tcPr>
        <w:tcBorders>
          <w:top w:val="single" w:sz="6" w:space="0" w:color="000000"/>
        </w:tcBorders>
      </w:tcPr>
    </w:tblStylePr>
    <w:tblStylePr w:type="firstCol">
      <w:rPr>
        <w:b/>
        <w:bCs/>
      </w:rPr>
      <w:tblPr/>
      <w:tcPr>
        <w:shd w:val="solid" w:color="C0C0C0" w:fill="FFFFFF"/>
      </w:tcPr>
    </w:tblStylePr>
    <w:tblStylePr w:type="neCell">
      <w:rPr>
        <w:b/>
        <w:bCs/>
      </w:rPr>
    </w:tblStylePr>
    <w:tblStylePr w:type="nwCell">
      <w:tblPr/>
      <w:tcPr>
        <w:shd w:val="solid" w:color="800080" w:fill="FFFFFF"/>
      </w:tcPr>
    </w:tblStylePr>
    <w:tblStylePr w:type="swCell">
      <w:rPr>
        <w:color w:val="000080"/>
      </w:rPr>
    </w:tblStylePr>
  </w:style>
  <w:style w:type="table" w:styleId="TableClassic3">
    <w:name w:val="Table Classic 3"/>
    <w:basedOn w:val="TableNormal"/>
    <w:semiHidden/>
    <w:unhideWhenUsed/>
    <w:rsid w:val="00FA6A77"/>
    <w:pPr>
      <w:spacing w:after="0" w:line="240" w:lineRule="auto"/>
    </w:pPr>
    <w:rPr>
      <w:rFonts w:ascii="Arial Narrow" w:eastAsia="Times New Roman" w:hAnsi="Arial Narrow" w:cs="Arial"/>
      <w:color w:val="000080"/>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cBorders>
        <w:shd w:val="solid" w:color="000080" w:fill="FFFFFF"/>
      </w:tcPr>
    </w:tblStylePr>
    <w:tblStylePr w:type="lastRow">
      <w:rPr>
        <w:color w:val="000080"/>
      </w:rPr>
      <w:tblPr/>
      <w:tcPr>
        <w:tcBorders>
          <w:top w:val="single" w:sz="12" w:space="0" w:color="000000"/>
        </w:tcBorders>
        <w:shd w:val="solid" w:color="FFFFFF" w:fill="FFFFFF"/>
      </w:tcPr>
    </w:tblStylePr>
    <w:tblStylePr w:type="firstCol">
      <w:rPr>
        <w:b/>
        <w:bCs/>
        <w:color w:val="000000"/>
      </w:rPr>
    </w:tblStylePr>
  </w:style>
  <w:style w:type="table" w:styleId="TableClassic4">
    <w:name w:val="Table Classic 4"/>
    <w:basedOn w:val="TableNormal"/>
    <w:semiHidden/>
    <w:unhideWhenUsed/>
    <w:rsid w:val="00FA6A77"/>
    <w:pPr>
      <w:spacing w:after="0" w:line="240" w:lineRule="auto"/>
    </w:pPr>
    <w:rPr>
      <w:rFonts w:ascii="Arial Narrow" w:eastAsia="Times New Roman" w:hAnsi="Arial Narrow" w:cs="Arial"/>
    </w:rPr>
    <w:tblPr>
      <w:tblInd w:w="0" w:type="nil"/>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cBorders>
        <w:shd w:val="pct50" w:color="000080" w:fill="FFFFFF"/>
      </w:tcPr>
    </w:tblStylePr>
    <w:tblStylePr w:type="lastRow">
      <w:rPr>
        <w:color w:val="000080"/>
      </w:rPr>
      <w:tblPr/>
      <w:tcPr>
        <w:tcBorders>
          <w:bottom w:val="single" w:sz="6" w:space="0" w:color="000000"/>
        </w:tcBorders>
        <w:shd w:val="pct50" w:color="000000" w:fill="FFFFFF"/>
      </w:tcPr>
    </w:tblStylePr>
    <w:tblStylePr w:type="firstCol">
      <w:rPr>
        <w:b/>
        <w:bCs/>
      </w:rPr>
    </w:tblStylePr>
    <w:tblStylePr w:type="nwCell">
      <w:rPr>
        <w:b/>
        <w:bCs/>
      </w:rPr>
    </w:tblStylePr>
    <w:tblStylePr w:type="swCell">
      <w:rPr>
        <w:color w:val="000080"/>
      </w:rPr>
    </w:tblStylePr>
  </w:style>
  <w:style w:type="table" w:styleId="TableColorful1">
    <w:name w:val="Table Colorful 1"/>
    <w:basedOn w:val="TableNormal"/>
    <w:semiHidden/>
    <w:unhideWhenUsed/>
    <w:rsid w:val="00FA6A77"/>
    <w:pPr>
      <w:spacing w:after="0" w:line="240" w:lineRule="auto"/>
    </w:pPr>
    <w:rPr>
      <w:rFonts w:ascii="Arial Narrow" w:eastAsia="Times New Roman" w:hAnsi="Arial Narrow" w:cs="Arial"/>
      <w:color w:val="FFFFFF"/>
    </w:rPr>
    <w:tblPr>
      <w:tblInd w:w="0" w:type="nil"/>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shd w:val="solid" w:color="000000" w:fill="FFFFFF"/>
      </w:tcPr>
    </w:tblStylePr>
    <w:tblStylePr w:type="firstCol">
      <w:rPr>
        <w:b/>
        <w:bCs/>
        <w:i/>
        <w:iCs/>
      </w:rPr>
      <w:tblPr/>
      <w:tcPr>
        <w:shd w:val="solid" w:color="000080" w:fill="FFFFFF"/>
      </w:tcPr>
    </w:tblStylePr>
    <w:tblStylePr w:type="nwCell">
      <w:tblPr/>
      <w:tcPr>
        <w:shd w:val="solid" w:color="000000" w:fill="FFFFFF"/>
      </w:tcPr>
    </w:tblStylePr>
    <w:tblStylePr w:type="swCell">
      <w:rPr>
        <w:b/>
        <w:bCs/>
        <w:i w:val="0"/>
        <w:iCs w:val="0"/>
      </w:rPr>
    </w:tblStylePr>
  </w:style>
  <w:style w:type="table" w:styleId="TableColorful2">
    <w:name w:val="Table Colorful 2"/>
    <w:basedOn w:val="TableNormal"/>
    <w:semiHidden/>
    <w:unhideWhenUsed/>
    <w:rsid w:val="00FA6A77"/>
    <w:pPr>
      <w:spacing w:after="0" w:line="240" w:lineRule="auto"/>
    </w:pPr>
    <w:rPr>
      <w:rFonts w:ascii="Arial Narrow" w:eastAsia="Times New Roman" w:hAnsi="Arial Narrow" w:cs="Arial"/>
    </w:rPr>
    <w:tblPr>
      <w:tblInd w:w="0" w:type="nil"/>
      <w:tblBorders>
        <w:bottom w:val="single" w:sz="12" w:space="0" w:color="000000"/>
      </w:tblBorders>
    </w:tblPr>
    <w:tcPr>
      <w:shd w:val="pct20" w:color="FFFF00" w:fill="FFFFFF"/>
    </w:tcPr>
    <w:tblStylePr w:type="firstRow">
      <w:rPr>
        <w:b/>
        <w:bCs/>
        <w:i/>
        <w:iCs/>
        <w:color w:val="FFFFFF"/>
      </w:rPr>
      <w:tblPr/>
      <w:tcPr>
        <w:tcBorders>
          <w:bottom w:val="single" w:sz="12" w:space="0" w:color="000000"/>
        </w:tcBorders>
        <w:shd w:val="solid" w:color="800000" w:fill="FFFFFF"/>
      </w:tcPr>
    </w:tblStylePr>
    <w:tblStylePr w:type="firstCol">
      <w:rPr>
        <w:b/>
        <w:bCs/>
        <w:i/>
        <w:iCs/>
      </w:rPr>
    </w:tblStylePr>
    <w:tblStylePr w:type="lastCol">
      <w:tblPr/>
      <w:tcPr>
        <w:shd w:val="solid" w:color="C0C0C0" w:fill="FFFFFF"/>
      </w:tcPr>
    </w:tblStylePr>
    <w:tblStylePr w:type="swCell">
      <w:rPr>
        <w:b/>
        <w:bCs/>
        <w:i w:val="0"/>
        <w:iCs w:val="0"/>
      </w:rPr>
    </w:tblStylePr>
  </w:style>
  <w:style w:type="table" w:styleId="TableColorful3">
    <w:name w:val="Table Colorful 3"/>
    <w:basedOn w:val="TableNormal"/>
    <w:semiHidden/>
    <w:unhideWhenUsed/>
    <w:rsid w:val="00FA6A77"/>
    <w:pPr>
      <w:spacing w:after="0" w:line="240" w:lineRule="auto"/>
    </w:pPr>
    <w:rPr>
      <w:rFonts w:ascii="Arial Narrow" w:eastAsia="Times New Roman" w:hAnsi="Arial Narrow" w:cs="Arial"/>
    </w:rPr>
    <w:tblPr>
      <w:tblInd w:w="0" w:type="nil"/>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cBorders>
        <w:shd w:val="solid" w:color="008080" w:fill="FFFFFF"/>
      </w:tcPr>
    </w:tblStylePr>
    <w:tblStylePr w:type="firstCol">
      <w:tblPr/>
      <w:tcPr>
        <w:tcBorders>
          <w:left w:val="single" w:sz="36" w:space="0" w:color="000000"/>
          <w:right w:val="single" w:sz="6" w:space="0" w:color="000000"/>
        </w:tcBorders>
        <w:shd w:val="solid" w:color="008080" w:fill="FFFFFF"/>
      </w:tcPr>
    </w:tblStylePr>
    <w:tblStylePr w:type="nwCell">
      <w:rPr>
        <w:b/>
        <w:bCs/>
        <w:color w:val="FFFFFF"/>
      </w:rPr>
      <w:tblPr/>
      <w:tcPr>
        <w:shd w:val="solid" w:color="000000" w:fill="FFFFFF"/>
      </w:tcPr>
    </w:tblStylePr>
  </w:style>
  <w:style w:type="table" w:styleId="TableColumns1">
    <w:name w:val="Table Columns 1"/>
    <w:basedOn w:val="TableNormal"/>
    <w:semiHidden/>
    <w:unhideWhenUsed/>
    <w:rsid w:val="00FA6A77"/>
    <w:pPr>
      <w:spacing w:after="0" w:line="240" w:lineRule="auto"/>
    </w:pPr>
    <w:rPr>
      <w:rFonts w:ascii="Arial Narrow" w:eastAsia="Times New Roman" w:hAnsi="Arial Narrow" w:cs="Arial"/>
      <w:b/>
      <w:bCs/>
    </w:rPr>
    <w:tblPr>
      <w:tblStyleColBandSize w:val="1"/>
      <w:tblInd w:w="0" w:type="nil"/>
      <w:tblBorders>
        <w:top w:val="single" w:sz="12" w:space="0" w:color="000000"/>
        <w:left w:val="single" w:sz="12" w:space="0" w:color="000000"/>
        <w:bottom w:val="single" w:sz="12" w:space="0" w:color="000000"/>
        <w:right w:val="single" w:sz="12" w:space="0" w:color="000000"/>
      </w:tblBorders>
    </w:tblPr>
    <w:tcPr>
      <w:shd w:val="pct25" w:color="000000" w:fill="FFFFFF"/>
    </w:tcPr>
    <w:tblStylePr w:type="firstRow">
      <w:rPr>
        <w:b w:val="0"/>
        <w:bCs w:val="0"/>
      </w:rPr>
      <w:tblPr/>
      <w:tcPr>
        <w:tcBorders>
          <w:bottom w:val="double" w:sz="6" w:space="0" w:color="000000"/>
        </w:tcBorders>
      </w:tcPr>
    </w:tblStylePr>
    <w:tblStylePr w:type="lastRow">
      <w:rPr>
        <w:b w:val="0"/>
        <w:bCs w:val="0"/>
      </w:rPr>
    </w:tblStylePr>
    <w:tblStylePr w:type="firstCol">
      <w:rPr>
        <w:b w:val="0"/>
        <w:bCs w:val="0"/>
      </w:rPr>
    </w:tblStylePr>
    <w:tblStylePr w:type="lastCol">
      <w:rPr>
        <w:b w:val="0"/>
        <w:bCs w:val="0"/>
      </w:rPr>
    </w:tblStylePr>
    <w:tblStylePr w:type="band2Vert">
      <w:rPr>
        <w:color w:val="auto"/>
      </w:rPr>
      <w:tblPr/>
      <w:tcPr>
        <w:shd w:val="pct25" w:color="FFFF00" w:fill="FFFFFF"/>
      </w:tcPr>
    </w:tblStylePr>
    <w:tblStylePr w:type="neCell">
      <w:rPr>
        <w:b/>
        <w:bCs/>
      </w:rPr>
    </w:tblStylePr>
    <w:tblStylePr w:type="swCell">
      <w:rPr>
        <w:b/>
        <w:bCs/>
      </w:rPr>
    </w:tblStylePr>
  </w:style>
  <w:style w:type="table" w:styleId="TableColumns2">
    <w:name w:val="Table Columns 2"/>
    <w:basedOn w:val="TableNormal"/>
    <w:semiHidden/>
    <w:unhideWhenUsed/>
    <w:rsid w:val="00FA6A77"/>
    <w:pPr>
      <w:spacing w:after="0" w:line="240" w:lineRule="auto"/>
    </w:pPr>
    <w:rPr>
      <w:rFonts w:ascii="Arial Narrow" w:eastAsia="Times New Roman" w:hAnsi="Arial Narrow" w:cs="Arial"/>
      <w:b/>
      <w:bCs/>
    </w:rPr>
    <w:tblPr>
      <w:tblStyleColBandSize w:val="1"/>
      <w:tblInd w:w="0" w:type="nil"/>
    </w:tblPr>
    <w:tcPr>
      <w:shd w:val="pct30" w:color="000000" w:fill="FFFFFF"/>
    </w:tcPr>
    <w:tblStylePr w:type="firstRow">
      <w:rPr>
        <w:color w:val="FFFFFF"/>
      </w:rPr>
      <w:tblPr/>
      <w:tcPr>
        <w:shd w:val="solid" w:color="000080" w:fill="FFFFFF"/>
      </w:tcPr>
    </w:tblStylePr>
    <w:tblStylePr w:type="lastRow">
      <w:rPr>
        <w:b w:val="0"/>
        <w:bCs w:val="0"/>
      </w:rPr>
    </w:tblStylePr>
    <w:tblStylePr w:type="firstCol">
      <w:rPr>
        <w:b w:val="0"/>
        <w:bCs w:val="0"/>
        <w:color w:val="000000"/>
      </w:rPr>
    </w:tblStylePr>
    <w:tblStylePr w:type="lastCol">
      <w:rPr>
        <w:b w:val="0"/>
        <w:bCs w:val="0"/>
      </w:rPr>
    </w:tblStylePr>
    <w:tblStylePr w:type="band2Vert">
      <w:rPr>
        <w:color w:val="auto"/>
      </w:rPr>
      <w:tblPr/>
      <w:tcPr>
        <w:shd w:val="pct25" w:color="00FF00" w:fill="FFFFFF"/>
      </w:tcPr>
    </w:tblStylePr>
    <w:tblStylePr w:type="neCell">
      <w:rPr>
        <w:b/>
        <w:bCs/>
      </w:rPr>
    </w:tblStylePr>
    <w:tblStylePr w:type="swCell">
      <w:rPr>
        <w:b/>
        <w:bCs/>
      </w:rPr>
    </w:tblStylePr>
  </w:style>
  <w:style w:type="table" w:styleId="TableColumns3">
    <w:name w:val="Table Columns 3"/>
    <w:basedOn w:val="TableNormal"/>
    <w:semiHidden/>
    <w:unhideWhenUsed/>
    <w:rsid w:val="00FA6A77"/>
    <w:pPr>
      <w:spacing w:after="0" w:line="240" w:lineRule="auto"/>
    </w:pPr>
    <w:rPr>
      <w:rFonts w:ascii="Arial Narrow" w:eastAsia="Times New Roman" w:hAnsi="Arial Narrow" w:cs="Arial"/>
      <w:b/>
      <w:bCs/>
    </w:rPr>
    <w:tblPr>
      <w:tblStyleColBandSize w:val="1"/>
      <w:tblInd w:w="0" w:type="nil"/>
      <w:tblBorders>
        <w:top w:val="single" w:sz="6" w:space="0" w:color="000080"/>
        <w:left w:val="single" w:sz="6" w:space="0" w:color="000080"/>
        <w:bottom w:val="single" w:sz="6" w:space="0" w:color="000080"/>
        <w:right w:val="single" w:sz="6" w:space="0" w:color="000080"/>
        <w:insideV w:val="single" w:sz="6" w:space="0" w:color="000080"/>
      </w:tblBorders>
    </w:tblPr>
    <w:tcPr>
      <w:shd w:val="solid" w:color="C0C0C0" w:fill="FFFFFF"/>
    </w:tcPr>
    <w:tblStylePr w:type="firstRow">
      <w:rPr>
        <w:color w:val="FFFFFF"/>
      </w:rPr>
      <w:tblPr/>
      <w:tcPr>
        <w:shd w:val="solid" w:color="000080" w:fill="FFFFFF"/>
      </w:tcPr>
    </w:tblStylePr>
    <w:tblStylePr w:type="lastRow">
      <w:rPr>
        <w:b w:val="0"/>
        <w:bCs w:val="0"/>
      </w:rPr>
      <w:tblPr/>
      <w:tcPr>
        <w:tcBorders>
          <w:top w:val="single" w:sz="6" w:space="0" w:color="000080"/>
        </w:tcBorders>
      </w:tcPr>
    </w:tblStylePr>
    <w:tblStylePr w:type="firstCol">
      <w:rPr>
        <w:b w:val="0"/>
        <w:bCs w:val="0"/>
      </w:rPr>
    </w:tblStylePr>
    <w:tblStylePr w:type="lastCol">
      <w:rPr>
        <w:b w:val="0"/>
        <w:bCs w:val="0"/>
      </w:rPr>
    </w:tblStylePr>
    <w:tblStylePr w:type="band2Vert">
      <w:rPr>
        <w:color w:val="auto"/>
      </w:rPr>
      <w:tblPr/>
      <w:tcPr>
        <w:shd w:val="pct10" w:color="000000" w:fill="FFFFFF"/>
      </w:tcPr>
    </w:tblStylePr>
    <w:tblStylePr w:type="neCell">
      <w:rPr>
        <w:b/>
        <w:bCs/>
      </w:rPr>
    </w:tblStylePr>
  </w:style>
  <w:style w:type="table" w:styleId="TableColumns4">
    <w:name w:val="Table Columns 4"/>
    <w:basedOn w:val="TableNormal"/>
    <w:semiHidden/>
    <w:unhideWhenUsed/>
    <w:rsid w:val="00FA6A77"/>
    <w:pPr>
      <w:spacing w:after="0" w:line="240" w:lineRule="auto"/>
    </w:pPr>
    <w:rPr>
      <w:rFonts w:ascii="Arial Narrow" w:eastAsia="Times New Roman" w:hAnsi="Arial Narrow" w:cs="Arial"/>
    </w:rPr>
    <w:tblPr>
      <w:tblStyleColBandSize w:val="1"/>
      <w:tblInd w:w="0" w:type="nil"/>
    </w:tblPr>
    <w:tcPr>
      <w:shd w:val="pct50" w:color="008080" w:fill="FFFFFF"/>
    </w:tcPr>
    <w:tblStylePr w:type="firstRow">
      <w:rPr>
        <w:color w:val="FFFFFF"/>
      </w:rPr>
      <w:tblPr/>
      <w:tcPr>
        <w:shd w:val="solid" w:color="000000" w:fill="FFFFFF"/>
      </w:tcPr>
    </w:tblStylePr>
    <w:tblStylePr w:type="lastRow">
      <w:rPr>
        <w:b/>
        <w:bCs/>
      </w:rPr>
    </w:tblStylePr>
    <w:tblStylePr w:type="lastCol">
      <w:rPr>
        <w:b/>
        <w:bCs/>
      </w:rPr>
    </w:tblStylePr>
    <w:tblStylePr w:type="band2Vert">
      <w:rPr>
        <w:color w:val="auto"/>
      </w:rPr>
      <w:tblPr/>
      <w:tcPr>
        <w:shd w:val="pct10" w:color="000000" w:fill="FFFFFF"/>
      </w:tcPr>
    </w:tblStylePr>
  </w:style>
  <w:style w:type="table" w:styleId="TableColumns5">
    <w:name w:val="Table Columns 5"/>
    <w:basedOn w:val="TableNormal"/>
    <w:semiHidden/>
    <w:unhideWhenUsed/>
    <w:rsid w:val="00FA6A77"/>
    <w:pPr>
      <w:spacing w:after="0" w:line="240" w:lineRule="auto"/>
    </w:pPr>
    <w:rPr>
      <w:rFonts w:ascii="Arial Narrow" w:eastAsia="Times New Roman" w:hAnsi="Arial Narrow" w:cs="Arial"/>
    </w:rPr>
    <w:tblPr>
      <w:tblStyleColBandSize w:val="1"/>
      <w:tblInd w:w="0" w:type="nil"/>
      <w:tblBorders>
        <w:top w:val="single" w:sz="12" w:space="0" w:color="808080"/>
        <w:left w:val="single" w:sz="12" w:space="0" w:color="808080"/>
        <w:bottom w:val="single" w:sz="12" w:space="0" w:color="808080"/>
        <w:right w:val="single" w:sz="12" w:space="0" w:color="808080"/>
        <w:insideV w:val="single" w:sz="6" w:space="0" w:color="C0C0C0"/>
      </w:tblBorders>
    </w:tblPr>
    <w:tcPr>
      <w:shd w:val="solid" w:color="C0C0C0" w:fill="FFFFFF"/>
    </w:tcPr>
    <w:tblStylePr w:type="firstRow">
      <w:rPr>
        <w:b/>
        <w:bCs/>
        <w:i/>
        <w:iCs/>
      </w:rPr>
      <w:tblPr/>
      <w:tcPr>
        <w:tcBorders>
          <w:bottom w:val="single" w:sz="6" w:space="0" w:color="808080"/>
        </w:tcBorders>
      </w:tcPr>
    </w:tblStylePr>
    <w:tblStylePr w:type="lastRow">
      <w:rPr>
        <w:b/>
        <w:bCs/>
      </w:rPr>
      <w:tblPr/>
      <w:tcPr>
        <w:tcBorders>
          <w:top w:val="single" w:sz="6" w:space="0" w:color="808080"/>
        </w:tcBorders>
      </w:tcPr>
    </w:tblStylePr>
    <w:tblStylePr w:type="firstCol">
      <w:rPr>
        <w:b/>
        <w:bCs/>
      </w:rPr>
    </w:tblStylePr>
    <w:tblStylePr w:type="lastCol">
      <w:rPr>
        <w:b/>
        <w:bCs/>
      </w:rPr>
    </w:tblStylePr>
    <w:tblStylePr w:type="band2Vert">
      <w:rPr>
        <w:color w:val="auto"/>
      </w:rPr>
    </w:tblStylePr>
  </w:style>
  <w:style w:type="table" w:styleId="TableGrid1">
    <w:name w:val="Table Grid 1"/>
    <w:basedOn w:val="TableNormal"/>
    <w:semiHidden/>
    <w:unhideWhenUsed/>
    <w:rsid w:val="00FA6A77"/>
    <w:pPr>
      <w:spacing w:after="0" w:line="240" w:lineRule="auto"/>
    </w:pPr>
    <w:rPr>
      <w:rFonts w:ascii="Arial Narrow" w:eastAsia="Times New Roman" w:hAnsi="Arial Narrow" w:cs="Arial"/>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StylePr>
    <w:tblStylePr w:type="lastCol">
      <w:rPr>
        <w:i/>
        <w:iCs/>
      </w:rPr>
    </w:tblStylePr>
  </w:style>
  <w:style w:type="table" w:styleId="TableGrid2">
    <w:name w:val="Table Grid 2"/>
    <w:basedOn w:val="TableNormal"/>
    <w:semiHidden/>
    <w:unhideWhenUsed/>
    <w:rsid w:val="00FA6A77"/>
    <w:pPr>
      <w:spacing w:after="0" w:line="240" w:lineRule="auto"/>
    </w:pPr>
    <w:rPr>
      <w:rFonts w:ascii="Arial Narrow" w:eastAsia="Times New Roman" w:hAnsi="Arial Narrow" w:cs="Arial"/>
    </w:rPr>
    <w:tblPr>
      <w:tblInd w:w="0" w:type="nil"/>
      <w:tblBorders>
        <w:insideH w:val="single" w:sz="6" w:space="0" w:color="000000"/>
        <w:insideV w:val="single" w:sz="6" w:space="0" w:color="000000"/>
      </w:tblBorders>
    </w:tblPr>
    <w:tblStylePr w:type="firstRow">
      <w:rPr>
        <w:b/>
        <w:bCs/>
      </w:rPr>
    </w:tblStylePr>
    <w:tblStylePr w:type="lastRow">
      <w:rPr>
        <w:b/>
        <w:bCs/>
      </w:rPr>
      <w:tblPr/>
      <w:tcPr>
        <w:tcBorders>
          <w:top w:val="single" w:sz="6" w:space="0" w:color="000000"/>
        </w:tcBorders>
      </w:tcPr>
    </w:tblStylePr>
    <w:tblStylePr w:type="firstCol">
      <w:rPr>
        <w:b/>
        <w:bCs/>
      </w:rPr>
    </w:tblStylePr>
    <w:tblStylePr w:type="lastCol">
      <w:rPr>
        <w:b/>
        <w:bCs/>
      </w:rPr>
    </w:tblStylePr>
  </w:style>
  <w:style w:type="table" w:styleId="TableGrid3">
    <w:name w:val="Table Grid 3"/>
    <w:basedOn w:val="TableNormal"/>
    <w:semiHidden/>
    <w:unhideWhenUsed/>
    <w:rsid w:val="00FA6A77"/>
    <w:pPr>
      <w:spacing w:after="0" w:line="240" w:lineRule="auto"/>
    </w:pPr>
    <w:rPr>
      <w:rFonts w:ascii="Arial Narrow" w:eastAsia="Times New Roman" w:hAnsi="Arial Narrow" w:cs="Arial"/>
    </w:rPr>
    <w:tblPr>
      <w:tblInd w:w="0" w:type="nil"/>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tblPr/>
      <w:tcPr>
        <w:tcBorders>
          <w:bottom w:val="single" w:sz="6" w:space="0" w:color="000000"/>
        </w:tcBorders>
        <w:shd w:val="pct30" w:color="FFFF00" w:fill="FFFFFF"/>
      </w:tcPr>
    </w:tblStylePr>
    <w:tblStylePr w:type="lastRow">
      <w:rPr>
        <w:b/>
        <w:bCs/>
      </w:rPr>
    </w:tblStylePr>
    <w:tblStylePr w:type="lastCol">
      <w:rPr>
        <w:b/>
        <w:bCs/>
      </w:rPr>
    </w:tblStylePr>
  </w:style>
  <w:style w:type="table" w:styleId="TableGrid4">
    <w:name w:val="Table Grid 4"/>
    <w:basedOn w:val="TableNormal"/>
    <w:semiHidden/>
    <w:unhideWhenUsed/>
    <w:rsid w:val="00FA6A77"/>
    <w:pPr>
      <w:spacing w:after="0" w:line="240" w:lineRule="auto"/>
    </w:pPr>
    <w:rPr>
      <w:rFonts w:ascii="Arial Narrow" w:eastAsia="Times New Roman" w:hAnsi="Arial Narrow" w:cs="Arial"/>
    </w:rPr>
    <w:tblPr>
      <w:tblInd w:w="0" w:type="nil"/>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cBorders>
        <w:shd w:val="pct30" w:color="FFFF00" w:fill="FFFFFF"/>
      </w:tcPr>
    </w:tblStylePr>
    <w:tblStylePr w:type="lastRow">
      <w:rPr>
        <w:b/>
        <w:bCs/>
        <w:color w:val="auto"/>
      </w:rPr>
      <w:tblPr/>
      <w:tcPr>
        <w:tcBorders>
          <w:top w:val="single" w:sz="6" w:space="0" w:color="000000"/>
        </w:tcBorders>
        <w:shd w:val="pct30" w:color="FFFF00" w:fill="FFFFFF"/>
      </w:tcPr>
    </w:tblStylePr>
    <w:tblStylePr w:type="lastCol">
      <w:rPr>
        <w:b/>
        <w:bCs/>
        <w:color w:val="auto"/>
      </w:rPr>
    </w:tblStylePr>
  </w:style>
  <w:style w:type="table" w:styleId="TableGrid5">
    <w:name w:val="Table Grid 5"/>
    <w:basedOn w:val="TableNormal"/>
    <w:semiHidden/>
    <w:unhideWhenUsed/>
    <w:rsid w:val="00FA6A77"/>
    <w:pPr>
      <w:spacing w:after="0" w:line="240" w:lineRule="auto"/>
    </w:pPr>
    <w:rPr>
      <w:rFonts w:ascii="Arial Narrow" w:eastAsia="Times New Roman" w:hAnsi="Arial Narrow" w:cs="Arial"/>
    </w:rPr>
    <w:tblPr>
      <w:tblInd w:w="0" w:type="nil"/>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cBorders>
      </w:tcPr>
    </w:tblStylePr>
    <w:tblStylePr w:type="lastRow">
      <w:rPr>
        <w:b/>
        <w:bCs/>
      </w:rPr>
    </w:tblStylePr>
    <w:tblStylePr w:type="lastCol">
      <w:rPr>
        <w:b/>
        <w:bCs/>
      </w:rPr>
    </w:tblStylePr>
    <w:tblStylePr w:type="nwCell">
      <w:tblPr/>
      <w:tcPr>
        <w:tcBorders>
          <w:tl2br w:val="single" w:sz="6" w:space="0" w:color="000000"/>
        </w:tcBorders>
      </w:tcPr>
    </w:tblStylePr>
  </w:style>
  <w:style w:type="table" w:styleId="TableGrid6">
    <w:name w:val="Table Grid 6"/>
    <w:basedOn w:val="TableNormal"/>
    <w:semiHidden/>
    <w:unhideWhenUsed/>
    <w:rsid w:val="00FA6A77"/>
    <w:pPr>
      <w:spacing w:after="0" w:line="240" w:lineRule="auto"/>
    </w:pPr>
    <w:rPr>
      <w:rFonts w:ascii="Arial Narrow" w:eastAsia="Times New Roman" w:hAnsi="Arial Narrow" w:cs="Arial"/>
    </w:rPr>
    <w:tblPr>
      <w:tblInd w:w="0" w:type="nil"/>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cBorders>
      </w:tcPr>
    </w:tblStylePr>
    <w:tblStylePr w:type="lastRow">
      <w:rPr>
        <w:color w:val="auto"/>
      </w:rPr>
      <w:tblPr/>
      <w:tcPr>
        <w:tcBorders>
          <w:top w:val="single" w:sz="6" w:space="0" w:color="000000"/>
        </w:tcBorders>
      </w:tcPr>
    </w:tblStylePr>
    <w:tblStylePr w:type="firstCol">
      <w:rPr>
        <w:b/>
        <w:bCs/>
      </w:rPr>
    </w:tblStylePr>
    <w:tblStylePr w:type="nwCell">
      <w:tblPr/>
      <w:tcPr>
        <w:tcBorders>
          <w:tl2br w:val="single" w:sz="6" w:space="0" w:color="000000"/>
        </w:tcBorders>
      </w:tcPr>
    </w:tblStylePr>
  </w:style>
  <w:style w:type="table" w:styleId="TableGrid7">
    <w:name w:val="Table Grid 7"/>
    <w:basedOn w:val="TableNormal"/>
    <w:semiHidden/>
    <w:unhideWhenUsed/>
    <w:rsid w:val="00FA6A77"/>
    <w:pPr>
      <w:spacing w:after="0" w:line="240" w:lineRule="auto"/>
    </w:pPr>
    <w:rPr>
      <w:rFonts w:ascii="Arial Narrow" w:eastAsia="Times New Roman" w:hAnsi="Arial Narrow" w:cs="Arial"/>
      <w:b/>
      <w:bCs/>
    </w:rPr>
    <w:tblPr>
      <w:tblInd w:w="0" w:type="nil"/>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b w:val="0"/>
        <w:bCs w:val="0"/>
      </w:rPr>
      <w:tblPr/>
      <w:tcPr>
        <w:tcBorders>
          <w:bottom w:val="single" w:sz="12" w:space="0" w:color="000000"/>
        </w:tcBorders>
      </w:tcPr>
    </w:tblStylePr>
    <w:tblStylePr w:type="lastRow">
      <w:rPr>
        <w:b w:val="0"/>
        <w:bCs w:val="0"/>
      </w:rPr>
      <w:tblPr/>
      <w:tcPr>
        <w:tcBorders>
          <w:top w:val="single" w:sz="6" w:space="0" w:color="000000"/>
        </w:tcBorders>
      </w:tcPr>
    </w:tblStylePr>
    <w:tblStylePr w:type="firstCol">
      <w:rPr>
        <w:b w:val="0"/>
        <w:bCs w:val="0"/>
      </w:rPr>
    </w:tblStylePr>
    <w:tblStylePr w:type="lastCol">
      <w:rPr>
        <w:b w:val="0"/>
        <w:bCs w:val="0"/>
      </w:rPr>
    </w:tblStylePr>
    <w:tblStylePr w:type="nwCell">
      <w:tblPr/>
      <w:tcPr>
        <w:tcBorders>
          <w:tl2br w:val="single" w:sz="6" w:space="0" w:color="000000"/>
        </w:tcBorders>
      </w:tcPr>
    </w:tblStylePr>
  </w:style>
  <w:style w:type="table" w:styleId="TableGrid8">
    <w:name w:val="Table Grid 8"/>
    <w:basedOn w:val="TableNormal"/>
    <w:semiHidden/>
    <w:unhideWhenUsed/>
    <w:rsid w:val="00FA6A77"/>
    <w:pPr>
      <w:spacing w:after="0" w:line="240" w:lineRule="auto"/>
    </w:pPr>
    <w:rPr>
      <w:rFonts w:ascii="Arial Narrow" w:eastAsia="Times New Roman" w:hAnsi="Arial Narrow" w:cs="Arial"/>
    </w:rPr>
    <w:tblPr>
      <w:tblInd w:w="0" w:type="nil"/>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shd w:val="solid" w:color="000080" w:fill="FFFFFF"/>
      </w:tcPr>
    </w:tblStylePr>
    <w:tblStylePr w:type="lastRow">
      <w:rPr>
        <w:b/>
        <w:bCs/>
        <w:color w:val="auto"/>
      </w:rPr>
    </w:tblStylePr>
    <w:tblStylePr w:type="lastCol">
      <w:rPr>
        <w:b/>
        <w:bCs/>
        <w:color w:val="auto"/>
      </w:rPr>
    </w:tblStylePr>
  </w:style>
  <w:style w:type="table" w:styleId="TableList1">
    <w:name w:val="Table List 1"/>
    <w:basedOn w:val="TableNormal"/>
    <w:semiHidden/>
    <w:unhideWhenUsed/>
    <w:rsid w:val="00FA6A77"/>
    <w:pPr>
      <w:spacing w:after="0" w:line="240" w:lineRule="auto"/>
    </w:pPr>
    <w:rPr>
      <w:rFonts w:ascii="Arial Narrow" w:eastAsia="Times New Roman" w:hAnsi="Arial Narrow" w:cs="Arial"/>
    </w:rPr>
    <w:tblPr>
      <w:tblStyleRowBandSize w:val="1"/>
      <w:tblInd w:w="0" w:type="nil"/>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cBorders>
        <w:shd w:val="solid" w:color="C0C0C0" w:fill="FFFFFF"/>
      </w:tcPr>
    </w:tblStylePr>
    <w:tblStylePr w:type="lastRow">
      <w:tblPr/>
      <w:tcPr>
        <w:tcBorders>
          <w:top w:val="single" w:sz="6" w:space="0" w:color="000000"/>
        </w:tcBorders>
      </w:tcPr>
    </w:tblStylePr>
    <w:tblStylePr w:type="band1Horz">
      <w:rPr>
        <w:color w:val="auto"/>
      </w:rPr>
      <w:tblPr/>
      <w:tcPr>
        <w:shd w:val="solid" w:color="C0C0C0" w:fill="FFFFFF"/>
      </w:tcPr>
    </w:tblStylePr>
    <w:tblStylePr w:type="band2Horz">
      <w:rPr>
        <w:color w:val="auto"/>
      </w:rPr>
    </w:tblStylePr>
    <w:tblStylePr w:type="swCell">
      <w:rPr>
        <w:b/>
        <w:bCs/>
      </w:rPr>
    </w:tblStylePr>
  </w:style>
  <w:style w:type="table" w:styleId="TableList2">
    <w:name w:val="Table List 2"/>
    <w:basedOn w:val="TableNormal"/>
    <w:semiHidden/>
    <w:unhideWhenUsed/>
    <w:rsid w:val="00FA6A77"/>
    <w:pPr>
      <w:spacing w:after="0" w:line="240" w:lineRule="auto"/>
    </w:pPr>
    <w:rPr>
      <w:rFonts w:ascii="Arial Narrow" w:eastAsia="Times New Roman" w:hAnsi="Arial Narrow" w:cs="Arial"/>
    </w:rPr>
    <w:tblPr>
      <w:tblStyleRowBandSize w:val="2"/>
      <w:tblInd w:w="0" w:type="nil"/>
      <w:tblBorders>
        <w:bottom w:val="single" w:sz="12" w:space="0" w:color="808080"/>
      </w:tblBorders>
    </w:tblPr>
    <w:tblStylePr w:type="firstRow">
      <w:rPr>
        <w:b/>
        <w:bCs/>
        <w:color w:val="FFFFFF"/>
      </w:rPr>
      <w:tblPr/>
      <w:tcPr>
        <w:tcBorders>
          <w:bottom w:val="single" w:sz="6" w:space="0" w:color="000000"/>
        </w:tcBorders>
        <w:shd w:val="pct75" w:color="008080" w:fill="008000"/>
      </w:tcPr>
    </w:tblStylePr>
    <w:tblStylePr w:type="lastRow">
      <w:tblPr/>
      <w:tcPr>
        <w:tcBorders>
          <w:top w:val="single" w:sz="6" w:space="0" w:color="000000"/>
        </w:tcBorders>
      </w:tcPr>
    </w:tblStylePr>
    <w:tblStylePr w:type="band1Horz">
      <w:rPr>
        <w:color w:val="auto"/>
      </w:rPr>
      <w:tblPr/>
      <w:tcPr>
        <w:shd w:val="pct20" w:color="00FF00" w:fill="FFFFFF"/>
      </w:tcPr>
    </w:tblStylePr>
    <w:tblStylePr w:type="band2Horz">
      <w:rPr>
        <w:color w:val="auto"/>
      </w:rPr>
    </w:tblStylePr>
    <w:tblStylePr w:type="swCell">
      <w:rPr>
        <w:b/>
        <w:bCs/>
      </w:rPr>
    </w:tblStylePr>
  </w:style>
  <w:style w:type="table" w:styleId="TableList3">
    <w:name w:val="Table List 3"/>
    <w:basedOn w:val="TableNormal"/>
    <w:semiHidden/>
    <w:unhideWhenUsed/>
    <w:rsid w:val="00FA6A77"/>
    <w:pPr>
      <w:spacing w:after="0" w:line="240" w:lineRule="auto"/>
    </w:pPr>
    <w:rPr>
      <w:rFonts w:ascii="Arial Narrow" w:eastAsia="Times New Roman" w:hAnsi="Arial Narrow" w:cs="Arial"/>
    </w:rPr>
    <w:tblPr>
      <w:tblInd w:w="0" w:type="nil"/>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cBorders>
      </w:tcPr>
    </w:tblStylePr>
    <w:tblStylePr w:type="lastRow">
      <w:tblPr/>
      <w:tcPr>
        <w:tcBorders>
          <w:top w:val="single" w:sz="12" w:space="0" w:color="000000"/>
        </w:tcBorders>
      </w:tcPr>
    </w:tblStylePr>
    <w:tblStylePr w:type="swCell">
      <w:rPr>
        <w:i/>
        <w:iCs/>
        <w:color w:val="000080"/>
      </w:rPr>
    </w:tblStylePr>
  </w:style>
  <w:style w:type="table" w:styleId="TableList4">
    <w:name w:val="Table List 4"/>
    <w:basedOn w:val="TableNormal"/>
    <w:semiHidden/>
    <w:unhideWhenUsed/>
    <w:rsid w:val="00FA6A77"/>
    <w:pPr>
      <w:spacing w:after="0" w:line="240" w:lineRule="auto"/>
    </w:pPr>
    <w:rPr>
      <w:rFonts w:ascii="Arial Narrow" w:eastAsia="Times New Roman" w:hAnsi="Arial Narrow" w:cs="Arial"/>
    </w:rPr>
    <w:tblPr>
      <w:tblInd w:w="0" w:type="nil"/>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cBorders>
        <w:shd w:val="solid" w:color="808080" w:fill="FFFFFF"/>
      </w:tcPr>
    </w:tblStylePr>
  </w:style>
  <w:style w:type="table" w:styleId="TableList5">
    <w:name w:val="Table List 5"/>
    <w:basedOn w:val="TableNormal"/>
    <w:semiHidden/>
    <w:unhideWhenUsed/>
    <w:rsid w:val="00FA6A77"/>
    <w:pPr>
      <w:spacing w:after="0" w:line="240" w:lineRule="auto"/>
    </w:pPr>
    <w:rPr>
      <w:rFonts w:ascii="Arial Narrow" w:eastAsia="Times New Roman" w:hAnsi="Arial Narrow" w:cs="Arial"/>
    </w:rPr>
    <w:tblPr>
      <w:tblInd w:w="0" w:type="nil"/>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b/>
        <w:bCs/>
      </w:rPr>
      <w:tblPr/>
      <w:tcPr>
        <w:tcBorders>
          <w:bottom w:val="single" w:sz="12" w:space="0" w:color="000000"/>
        </w:tcBorders>
      </w:tcPr>
    </w:tblStylePr>
    <w:tblStylePr w:type="firstCol">
      <w:rPr>
        <w:b/>
        <w:bCs/>
      </w:rPr>
    </w:tblStylePr>
  </w:style>
  <w:style w:type="table" w:styleId="TableList6">
    <w:name w:val="Table List 6"/>
    <w:basedOn w:val="TableNormal"/>
    <w:semiHidden/>
    <w:unhideWhenUsed/>
    <w:rsid w:val="00FA6A77"/>
    <w:pPr>
      <w:spacing w:after="0" w:line="240" w:lineRule="auto"/>
    </w:pPr>
    <w:rPr>
      <w:rFonts w:ascii="Arial Narrow" w:eastAsia="Times New Roman" w:hAnsi="Arial Narrow" w:cs="Arial"/>
    </w:rPr>
    <w:tblPr>
      <w:tblStyleRowBandSize w:val="1"/>
      <w:tblInd w:w="0" w:type="nil"/>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cBorders>
      </w:tcPr>
    </w:tblStylePr>
    <w:tblStylePr w:type="firstCol">
      <w:rPr>
        <w:b/>
        <w:bCs/>
      </w:rPr>
      <w:tblPr/>
      <w:tcPr>
        <w:tcBorders>
          <w:right w:val="single" w:sz="12" w:space="0" w:color="000000"/>
        </w:tcBorders>
      </w:tcPr>
    </w:tblStylePr>
    <w:tblStylePr w:type="band1Horz">
      <w:tblPr/>
      <w:tcPr>
        <w:shd w:val="pct25" w:color="000000" w:fill="FFFFFF"/>
      </w:tcPr>
    </w:tblStylePr>
  </w:style>
  <w:style w:type="table" w:styleId="TableList7">
    <w:name w:val="Table List 7"/>
    <w:basedOn w:val="TableNormal"/>
    <w:semiHidden/>
    <w:unhideWhenUsed/>
    <w:rsid w:val="00FA6A77"/>
    <w:pPr>
      <w:spacing w:after="0" w:line="240" w:lineRule="auto"/>
    </w:pPr>
    <w:rPr>
      <w:rFonts w:ascii="Arial Narrow" w:eastAsia="Times New Roman" w:hAnsi="Arial Narrow" w:cs="Arial"/>
    </w:rPr>
    <w:tblPr>
      <w:tblStyleRowBandSize w:val="1"/>
      <w:tblInd w:w="0" w:type="nil"/>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cBorders>
        <w:shd w:val="solid" w:color="C0C0C0" w:fill="FFFFFF"/>
      </w:tcPr>
    </w:tblStylePr>
    <w:tblStylePr w:type="lastRow">
      <w:rPr>
        <w:b/>
        <w:bCs/>
      </w:rPr>
      <w:tblPr/>
      <w:tcPr>
        <w:tcBorders>
          <w:top w:val="single" w:sz="12" w:space="0" w:color="008000"/>
        </w:tcBorders>
      </w:tcPr>
    </w:tblStylePr>
    <w:tblStylePr w:type="firstCol">
      <w:rPr>
        <w:b/>
        <w:bCs/>
      </w:rPr>
    </w:tblStylePr>
    <w:tblStylePr w:type="lastCol">
      <w:rPr>
        <w:b/>
        <w:bCs/>
      </w:rPr>
    </w:tblStylePr>
    <w:tblStylePr w:type="band1Horz">
      <w:rPr>
        <w:color w:val="auto"/>
      </w:rPr>
      <w:tblPr/>
      <w:tcPr>
        <w:shd w:val="pct20" w:color="000000" w:fill="FFFFFF"/>
      </w:tcPr>
    </w:tblStylePr>
    <w:tblStylePr w:type="band2Horz">
      <w:tblPr/>
      <w:tcPr>
        <w:shd w:val="pct25" w:color="FFFF00" w:fill="FFFFFF"/>
      </w:tcPr>
    </w:tblStylePr>
  </w:style>
  <w:style w:type="table" w:styleId="TableList8">
    <w:name w:val="Table List 8"/>
    <w:basedOn w:val="TableNormal"/>
    <w:semiHidden/>
    <w:unhideWhenUsed/>
    <w:rsid w:val="00FA6A77"/>
    <w:pPr>
      <w:spacing w:after="0" w:line="240" w:lineRule="auto"/>
    </w:pPr>
    <w:rPr>
      <w:rFonts w:ascii="Arial Narrow" w:eastAsia="Times New Roman" w:hAnsi="Arial Narrow" w:cs="Arial"/>
    </w:rPr>
    <w:tblPr>
      <w:tblStyleRowBandSize w:val="1"/>
      <w:tblInd w:w="0" w:type="nil"/>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cBorders>
        <w:shd w:val="solid" w:color="FFFF00" w:fill="FFFFFF"/>
      </w:tcPr>
    </w:tblStylePr>
    <w:tblStylePr w:type="lastRow">
      <w:rPr>
        <w:b/>
        <w:bCs/>
      </w:rPr>
      <w:tblPr/>
      <w:tcPr>
        <w:tcBorders>
          <w:top w:val="single" w:sz="6" w:space="0" w:color="000000"/>
        </w:tcBorders>
      </w:tcPr>
    </w:tblStylePr>
    <w:tblStylePr w:type="firstCol">
      <w:rPr>
        <w:b/>
        <w:bCs/>
      </w:rPr>
    </w:tblStylePr>
    <w:tblStylePr w:type="lastCol">
      <w:rPr>
        <w:b/>
        <w:bCs/>
      </w:rPr>
    </w:tblStylePr>
    <w:tblStylePr w:type="band1Horz">
      <w:rPr>
        <w:color w:val="auto"/>
      </w:rPr>
      <w:tblPr/>
      <w:tcPr>
        <w:shd w:val="pct25" w:color="FFFF00" w:fill="FFFFFF"/>
      </w:tcPr>
    </w:tblStylePr>
    <w:tblStylePr w:type="band2Horz">
      <w:tblPr/>
      <w:tcPr>
        <w:shd w:val="pct50" w:color="FF0000" w:fill="FFFFFF"/>
      </w:tcPr>
    </w:tblStylePr>
  </w:style>
  <w:style w:type="table" w:styleId="Table3Deffects1">
    <w:name w:val="Table 3D effects 1"/>
    <w:basedOn w:val="TableNormal"/>
    <w:semiHidden/>
    <w:unhideWhenUsed/>
    <w:rsid w:val="00FA6A77"/>
    <w:pPr>
      <w:spacing w:after="0" w:line="240" w:lineRule="auto"/>
    </w:pPr>
    <w:rPr>
      <w:rFonts w:ascii="Arial Narrow" w:eastAsia="Times New Roman" w:hAnsi="Arial Narrow" w:cs="Arial"/>
    </w:rPr>
    <w:tblPr>
      <w:tblInd w:w="0" w:type="nil"/>
    </w:tblPr>
    <w:tcPr>
      <w:shd w:val="solid" w:color="C0C0C0" w:fill="FFFFFF"/>
    </w:tcPr>
    <w:tblStylePr w:type="firstRow">
      <w:rPr>
        <w:b/>
        <w:bCs/>
        <w:color w:val="800080"/>
      </w:rPr>
      <w:tblPr/>
      <w:tcPr>
        <w:tcBorders>
          <w:bottom w:val="single" w:sz="6" w:space="0" w:color="808080"/>
        </w:tcBorders>
      </w:tcPr>
    </w:tblStylePr>
    <w:tblStylePr w:type="lastRow">
      <w:tblPr/>
      <w:tcPr>
        <w:tcBorders>
          <w:top w:val="single" w:sz="6" w:space="0" w:color="FFFFFF"/>
        </w:tcBorders>
      </w:tcPr>
    </w:tblStylePr>
    <w:tblStylePr w:type="firstCol">
      <w:rPr>
        <w:b/>
        <w:bCs/>
      </w:rPr>
      <w:tblPr/>
      <w:tcPr>
        <w:tcBorders>
          <w:right w:val="single" w:sz="6" w:space="0" w:color="808080"/>
        </w:tcBorders>
      </w:tcPr>
    </w:tblStylePr>
    <w:tblStylePr w:type="lastCol">
      <w:tblPr/>
      <w:tcPr>
        <w:tcBorders>
          <w:left w:val="single" w:sz="6" w:space="0" w:color="FFFFFF"/>
        </w:tcBorders>
      </w:tcPr>
    </w:tblStylePr>
    <w:tblStylePr w:type="neCell">
      <w:tblPr/>
      <w:tcPr>
        <w:tcBorders>
          <w:left w:val="none" w:sz="0" w:space="0" w:color="auto"/>
          <w:bottom w:val="none" w:sz="0" w:space="0" w:color="auto"/>
        </w:tcBorders>
      </w:tcPr>
    </w:tblStylePr>
    <w:tblStylePr w:type="nwCell">
      <w:tblPr/>
      <w:tcPr>
        <w:tcBorders>
          <w:bottom w:val="none" w:sz="0" w:space="0" w:color="auto"/>
          <w:right w:val="none" w:sz="0" w:space="0" w:color="auto"/>
        </w:tcBorders>
      </w:tcPr>
    </w:tblStylePr>
    <w:tblStylePr w:type="seCell">
      <w:tblPr/>
      <w:tcPr>
        <w:tcBorders>
          <w:top w:val="none" w:sz="0" w:space="0" w:color="auto"/>
          <w:left w:val="none" w:sz="0" w:space="0" w:color="auto"/>
        </w:tcBorders>
      </w:tcPr>
    </w:tblStylePr>
    <w:tblStylePr w:type="swCell">
      <w:rPr>
        <w:color w:val="000080"/>
      </w:rPr>
      <w:tblPr/>
      <w:tcPr>
        <w:tcBorders>
          <w:top w:val="none" w:sz="0" w:space="0" w:color="auto"/>
          <w:right w:val="none" w:sz="0" w:space="0" w:color="auto"/>
        </w:tcBorders>
      </w:tcPr>
    </w:tblStylePr>
  </w:style>
  <w:style w:type="table" w:styleId="Table3Deffects2">
    <w:name w:val="Table 3D effects 2"/>
    <w:basedOn w:val="TableNormal"/>
    <w:semiHidden/>
    <w:unhideWhenUsed/>
    <w:rsid w:val="00FA6A77"/>
    <w:pPr>
      <w:spacing w:after="0" w:line="240" w:lineRule="auto"/>
    </w:pPr>
    <w:rPr>
      <w:rFonts w:ascii="Arial Narrow" w:eastAsia="Times New Roman" w:hAnsi="Arial Narrow" w:cs="Arial"/>
    </w:rPr>
    <w:tblPr>
      <w:tblStyleRowBandSize w:val="1"/>
      <w:tblInd w:w="0" w:type="nil"/>
    </w:tblPr>
    <w:tcPr>
      <w:shd w:val="solid" w:color="C0C0C0" w:fill="FFFFFF"/>
    </w:tcPr>
    <w:tblStylePr w:type="firstRow">
      <w:rPr>
        <w:b/>
        <w:bCs/>
      </w:rPr>
    </w:tblStylePr>
    <w:tblStylePr w:type="firstCol">
      <w:tblPr/>
      <w:tcPr>
        <w:tcBorders>
          <w:top w:val="none" w:sz="0" w:space="0" w:color="auto"/>
          <w:bottom w:val="none" w:sz="0" w:space="0" w:color="auto"/>
          <w:right w:val="single" w:sz="6" w:space="0" w:color="808080"/>
        </w:tcBorders>
      </w:tcPr>
    </w:tblStylePr>
    <w:tblStylePr w:type="lastCol">
      <w:tblPr/>
      <w:tcPr>
        <w:tcBorders>
          <w:right w:val="single" w:sz="6" w:space="0" w:color="FFFFFF"/>
        </w:tcBorders>
      </w:tcPr>
    </w:tblStylePr>
    <w:tblStylePr w:type="band1Horz">
      <w:tblPr/>
      <w:tcPr>
        <w:tcBorders>
          <w:top w:val="single" w:sz="6" w:space="0" w:color="808080"/>
          <w:bottom w:val="single" w:sz="6" w:space="0" w:color="FFFFFF"/>
        </w:tcBorders>
      </w:tcPr>
    </w:tblStylePr>
    <w:tblStylePr w:type="swCell">
      <w:rPr>
        <w:b/>
        <w:bCs/>
      </w:rPr>
    </w:tblStylePr>
  </w:style>
  <w:style w:type="table" w:styleId="Table3Deffects3">
    <w:name w:val="Table 3D effects 3"/>
    <w:basedOn w:val="TableNormal"/>
    <w:semiHidden/>
    <w:unhideWhenUsed/>
    <w:rsid w:val="00FA6A77"/>
    <w:pPr>
      <w:spacing w:after="0" w:line="240" w:lineRule="auto"/>
    </w:pPr>
    <w:rPr>
      <w:rFonts w:ascii="Arial Narrow" w:eastAsia="Times New Roman" w:hAnsi="Arial Narrow" w:cs="Arial"/>
    </w:rPr>
    <w:tblPr>
      <w:tblStyleRowBandSize w:val="1"/>
      <w:tblStyleColBandSize w:val="1"/>
      <w:tblInd w:w="0" w:type="nil"/>
    </w:tblPr>
    <w:tcPr>
      <w:shd w:val="solid" w:color="C0C0C0" w:fill="FFFFFF"/>
    </w:tcPr>
    <w:tblStylePr w:type="firstRow">
      <w:rPr>
        <w:b/>
        <w:bCs/>
      </w:rPr>
    </w:tblStylePr>
    <w:tblStylePr w:type="firstCol">
      <w:tblPr/>
      <w:tcPr>
        <w:tcBorders>
          <w:top w:val="none" w:sz="0" w:space="0" w:color="auto"/>
          <w:bottom w:val="none" w:sz="0" w:space="0" w:color="auto"/>
          <w:right w:val="single" w:sz="6" w:space="0" w:color="808080"/>
        </w:tcBorders>
      </w:tcPr>
    </w:tblStylePr>
    <w:tblStylePr w:type="lastCol">
      <w:tblPr/>
      <w:tcPr>
        <w:tcBorders>
          <w:right w:val="single" w:sz="6" w:space="0" w:color="FFFFFF"/>
        </w:tcBorders>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cBorders>
      </w:tcPr>
    </w:tblStylePr>
    <w:tblStylePr w:type="swCell">
      <w:rPr>
        <w:b/>
        <w:bCs/>
      </w:rPr>
    </w:tblStylePr>
  </w:style>
  <w:style w:type="table" w:styleId="TableContemporary">
    <w:name w:val="Table Contemporary"/>
    <w:basedOn w:val="TableNormal"/>
    <w:semiHidden/>
    <w:unhideWhenUsed/>
    <w:rsid w:val="00FA6A77"/>
    <w:pPr>
      <w:spacing w:after="0" w:line="240" w:lineRule="auto"/>
    </w:pPr>
    <w:rPr>
      <w:rFonts w:ascii="Arial Narrow" w:eastAsia="Times New Roman" w:hAnsi="Arial Narrow" w:cs="Arial"/>
    </w:rPr>
    <w:tblPr>
      <w:tblStyleRowBandSize w:val="1"/>
      <w:tblInd w:w="0" w:type="nil"/>
      <w:tblBorders>
        <w:insideH w:val="single" w:sz="18" w:space="0" w:color="FFFFFF"/>
        <w:insideV w:val="single" w:sz="18" w:space="0" w:color="FFFFFF"/>
      </w:tblBorders>
    </w:tblPr>
    <w:tblStylePr w:type="firstRow">
      <w:rPr>
        <w:b/>
        <w:bCs/>
        <w:color w:val="auto"/>
      </w:rPr>
      <w:tblPr/>
      <w:tcPr>
        <w:shd w:val="pct20" w:color="000000" w:fill="FFFFFF"/>
      </w:tcPr>
    </w:tblStylePr>
    <w:tblStylePr w:type="band1Horz">
      <w:rPr>
        <w:color w:val="auto"/>
      </w:rPr>
      <w:tblPr/>
      <w:tcPr>
        <w:shd w:val="pct5" w:color="000000" w:fill="FFFFFF"/>
      </w:tcPr>
    </w:tblStylePr>
    <w:tblStylePr w:type="band2Horz">
      <w:rPr>
        <w:color w:val="auto"/>
      </w:rPr>
      <w:tblPr/>
      <w:tcPr>
        <w:shd w:val="pct20" w:color="000000" w:fill="FFFFFF"/>
      </w:tcPr>
    </w:tblStylePr>
  </w:style>
  <w:style w:type="table" w:styleId="TableElegant">
    <w:name w:val="Table Elegant"/>
    <w:basedOn w:val="TableNormal"/>
    <w:semiHidden/>
    <w:unhideWhenUsed/>
    <w:rsid w:val="00FA6A77"/>
    <w:pPr>
      <w:spacing w:after="0" w:line="240" w:lineRule="auto"/>
    </w:pPr>
    <w:rPr>
      <w:rFonts w:ascii="Arial Narrow" w:eastAsia="Times New Roman" w:hAnsi="Arial Narrow" w:cs="Arial"/>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StylePr>
  </w:style>
  <w:style w:type="table" w:styleId="TableProfessional">
    <w:name w:val="Table Professional"/>
    <w:basedOn w:val="TableNormal"/>
    <w:semiHidden/>
    <w:unhideWhenUsed/>
    <w:rsid w:val="00FA6A77"/>
    <w:pPr>
      <w:spacing w:after="0" w:line="240" w:lineRule="auto"/>
    </w:pPr>
    <w:rPr>
      <w:rFonts w:ascii="Arial Narrow" w:eastAsia="Times New Roman" w:hAnsi="Arial Narrow" w:cs="Arial"/>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shd w:val="solid" w:color="000000" w:fill="FFFFFF"/>
      </w:tcPr>
    </w:tblStylePr>
  </w:style>
  <w:style w:type="table" w:styleId="TableSubtle1">
    <w:name w:val="Table Subtle 1"/>
    <w:basedOn w:val="TableNormal"/>
    <w:semiHidden/>
    <w:unhideWhenUsed/>
    <w:rsid w:val="00FA6A77"/>
    <w:pPr>
      <w:spacing w:after="0" w:line="240" w:lineRule="auto"/>
    </w:pPr>
    <w:rPr>
      <w:rFonts w:ascii="Arial Narrow" w:eastAsia="Times New Roman" w:hAnsi="Arial Narrow" w:cs="Arial"/>
    </w:rPr>
    <w:tblPr>
      <w:tblStyleRowBandSize w:val="1"/>
      <w:tblInd w:w="0" w:type="nil"/>
    </w:tblPr>
    <w:tblStylePr w:type="firstRow">
      <w:tblPr/>
      <w:tcPr>
        <w:tcBorders>
          <w:top w:val="single" w:sz="6" w:space="0" w:color="000000"/>
          <w:bottom w:val="single" w:sz="12" w:space="0" w:color="000000"/>
        </w:tcBorders>
      </w:tcPr>
    </w:tblStylePr>
    <w:tblStylePr w:type="lastRow">
      <w:tblPr/>
      <w:tcPr>
        <w:tcBorders>
          <w:top w:val="single" w:sz="12" w:space="0" w:color="000000"/>
        </w:tcBorders>
        <w:shd w:val="pct25" w:color="800080" w:fill="FFFFFF"/>
      </w:tcPr>
    </w:tblStylePr>
    <w:tblStylePr w:type="firstCol">
      <w:tblPr/>
      <w:tcPr>
        <w:tcBorders>
          <w:right w:val="single" w:sz="12" w:space="0" w:color="000000"/>
        </w:tcBorders>
      </w:tcPr>
    </w:tblStylePr>
    <w:tblStylePr w:type="lastCol">
      <w:tblPr/>
      <w:tcPr>
        <w:tcBorders>
          <w:left w:val="single" w:sz="12" w:space="0" w:color="000000"/>
        </w:tcBorders>
      </w:tcPr>
    </w:tblStylePr>
    <w:tblStylePr w:type="band1Horz">
      <w:tblPr/>
      <w:tcPr>
        <w:tcBorders>
          <w:bottom w:val="single" w:sz="6" w:space="0" w:color="000000"/>
        </w:tcBorders>
        <w:shd w:val="pct25" w:color="808000" w:fill="FFFFFF"/>
      </w:tcPr>
    </w:tblStylePr>
    <w:tblStylePr w:type="neCell">
      <w:rPr>
        <w:b/>
        <w:bCs/>
      </w:rPr>
    </w:tblStylePr>
    <w:tblStylePr w:type="swCell">
      <w:rPr>
        <w:b/>
        <w:bCs/>
      </w:rPr>
    </w:tblStylePr>
  </w:style>
  <w:style w:type="table" w:styleId="TableSubtle2">
    <w:name w:val="Table Subtle 2"/>
    <w:basedOn w:val="TableNormal"/>
    <w:semiHidden/>
    <w:unhideWhenUsed/>
    <w:rsid w:val="00FA6A77"/>
    <w:pPr>
      <w:spacing w:after="0" w:line="240" w:lineRule="auto"/>
    </w:pPr>
    <w:rPr>
      <w:rFonts w:ascii="Arial Narrow" w:eastAsia="Times New Roman" w:hAnsi="Arial Narrow" w:cs="Arial"/>
    </w:rPr>
    <w:tblPr>
      <w:tblInd w:w="0" w:type="nil"/>
      <w:tblBorders>
        <w:left w:val="single" w:sz="6" w:space="0" w:color="000000"/>
        <w:right w:val="single" w:sz="6" w:space="0" w:color="000000"/>
      </w:tblBorders>
    </w:tblPr>
    <w:tblStylePr w:type="firstRow">
      <w:tblPr/>
      <w:tcPr>
        <w:tcBorders>
          <w:bottom w:val="single" w:sz="12" w:space="0" w:color="000000"/>
        </w:tcBorders>
      </w:tcPr>
    </w:tblStylePr>
    <w:tblStylePr w:type="lastRow">
      <w:tblPr/>
      <w:tcPr>
        <w:tcBorders>
          <w:top w:val="single" w:sz="12" w:space="0" w:color="000000"/>
        </w:tcBorders>
      </w:tcPr>
    </w:tblStylePr>
    <w:tblStylePr w:type="firstCol">
      <w:tblPr/>
      <w:tcPr>
        <w:tcBorders>
          <w:right w:val="single" w:sz="12" w:space="0" w:color="000000"/>
        </w:tcBorders>
        <w:shd w:val="pct25" w:color="008000" w:fill="FFFFFF"/>
      </w:tcPr>
    </w:tblStylePr>
    <w:tblStylePr w:type="lastCol">
      <w:tblPr/>
      <w:tcPr>
        <w:tcBorders>
          <w:left w:val="single" w:sz="12" w:space="0" w:color="000000"/>
        </w:tcBorders>
        <w:shd w:val="pct25" w:color="808000" w:fill="FFFFFF"/>
      </w:tcPr>
    </w:tblStylePr>
    <w:tblStylePr w:type="neCell">
      <w:rPr>
        <w:b/>
        <w:bCs/>
      </w:rPr>
    </w:tblStylePr>
    <w:tblStylePr w:type="swCell">
      <w:rPr>
        <w:b/>
        <w:bCs/>
      </w:rPr>
    </w:tblStylePr>
  </w:style>
  <w:style w:type="table" w:styleId="TableWeb1">
    <w:name w:val="Table Web 1"/>
    <w:basedOn w:val="TableNormal"/>
    <w:semiHidden/>
    <w:unhideWhenUsed/>
    <w:rsid w:val="00FA6A77"/>
    <w:pPr>
      <w:spacing w:after="0" w:line="240" w:lineRule="auto"/>
    </w:pPr>
    <w:rPr>
      <w:rFonts w:ascii="Arial Narrow" w:eastAsia="Times New Roman" w:hAnsi="Arial Narrow" w:cs="Arial"/>
    </w:rPr>
    <w:tblPr>
      <w:tblCellSpacing w:w="20" w:type="dxa"/>
      <w:tblInd w:w="0" w:type="nil"/>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StylePr>
  </w:style>
  <w:style w:type="table" w:styleId="TableWeb2">
    <w:name w:val="Table Web 2"/>
    <w:basedOn w:val="TableNormal"/>
    <w:semiHidden/>
    <w:unhideWhenUsed/>
    <w:rsid w:val="00FA6A77"/>
    <w:pPr>
      <w:spacing w:after="0" w:line="240" w:lineRule="auto"/>
    </w:pPr>
    <w:rPr>
      <w:rFonts w:ascii="Arial Narrow" w:eastAsia="Times New Roman" w:hAnsi="Arial Narrow" w:cs="Arial"/>
    </w:rPr>
    <w:tblPr>
      <w:tblCellSpacing w:w="20" w:type="dxa"/>
      <w:tblInd w:w="0" w:type="nil"/>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StylePr>
  </w:style>
  <w:style w:type="table" w:styleId="TableWeb3">
    <w:name w:val="Table Web 3"/>
    <w:basedOn w:val="TableNormal"/>
    <w:semiHidden/>
    <w:unhideWhenUsed/>
    <w:rsid w:val="00FA6A77"/>
    <w:pPr>
      <w:spacing w:after="0" w:line="240" w:lineRule="auto"/>
    </w:pPr>
    <w:rPr>
      <w:rFonts w:ascii="Arial Narrow" w:eastAsia="Times New Roman" w:hAnsi="Arial Narrow" w:cs="Arial"/>
    </w:rPr>
    <w:tblPr>
      <w:tblCellSpacing w:w="20" w:type="dxa"/>
      <w:tblInd w:w="0" w:type="nil"/>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StylePr>
  </w:style>
  <w:style w:type="table" w:styleId="TableTheme">
    <w:name w:val="Table Theme"/>
    <w:basedOn w:val="TableNormal"/>
    <w:semiHidden/>
    <w:unhideWhenUsed/>
    <w:rsid w:val="00FA6A77"/>
    <w:pPr>
      <w:spacing w:after="0" w:line="240" w:lineRule="auto"/>
    </w:pPr>
    <w:rPr>
      <w:rFonts w:ascii="Arial Narrow" w:eastAsia="Times New Roman" w:hAnsi="Arial Narrow" w:cs="Ari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Grid3">
    <w:name w:val="Medium Grid 3"/>
    <w:basedOn w:val="TableNormal"/>
    <w:uiPriority w:val="69"/>
    <w:rsid w:val="00FA6A77"/>
    <w:pPr>
      <w:spacing w:after="0" w:line="240" w:lineRule="auto"/>
    </w:pPr>
    <w:rPr>
      <w:rFonts w:ascii="Arial Narrow" w:eastAsia="Times New Roman" w:hAnsi="Arial Narrow" w:cs="Arial"/>
      <w:color w:val="000000"/>
    </w:rPr>
    <w:tblPr>
      <w:tblStyleRowBandSize w:val="1"/>
      <w:tblStyleColBandSize w:val="1"/>
      <w:tblInd w:w="0" w:type="nil"/>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DarkList">
    <w:name w:val="Dark List"/>
    <w:basedOn w:val="TableNormal"/>
    <w:uiPriority w:val="70"/>
    <w:rsid w:val="00FA6A77"/>
    <w:pPr>
      <w:spacing w:after="0" w:line="240" w:lineRule="auto"/>
    </w:pPr>
    <w:rPr>
      <w:rFonts w:ascii="Arial Narrow" w:eastAsia="Times New Roman" w:hAnsi="Arial Narrow" w:cs="Arial"/>
    </w:rPr>
    <w:tblPr>
      <w:tblStyleRowBandSize w:val="1"/>
      <w:tblStyleColBandSize w:val="1"/>
      <w:tblInd w:w="0" w:type="nil"/>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ColorfulShading">
    <w:name w:val="Colorful Shading"/>
    <w:basedOn w:val="TableNormal"/>
    <w:uiPriority w:val="71"/>
    <w:rsid w:val="00FA6A77"/>
    <w:pPr>
      <w:spacing w:after="0" w:line="240" w:lineRule="auto"/>
    </w:pPr>
    <w:rPr>
      <w:rFonts w:ascii="Arial Narrow" w:eastAsia="Times New Roman" w:hAnsi="Arial Narrow" w:cs="Arial"/>
    </w:rPr>
    <w:tblPr>
      <w:tblStyleRowBandSize w:val="1"/>
      <w:tblStyleColBandSize w:val="1"/>
      <w:tblInd w:w="0" w:type="nil"/>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Lines="0" w:before="0" w:beforeAutospacing="0" w:afterLines="0" w:after="0" w:afterAutospacing="0" w:line="240" w:lineRule="auto"/>
      </w:pPr>
      <w:rPr>
        <w:rFonts w:ascii="New York" w:eastAsia="Helvetica" w:hAnsi="New York"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0" w:beforeAutospacing="0" w:afterLines="0" w:after="0" w:afterAutospacing="0" w:line="240" w:lineRule="auto"/>
      </w:pPr>
      <w:rPr>
        <w:rFonts w:ascii="New York" w:eastAsia="Helvetica" w:hAnsi="New York"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New York" w:eastAsia="Helvetica" w:hAnsi="New York" w:cs="Times New Roman" w:hint="default"/>
        <w:b/>
        <w:bCs/>
      </w:rPr>
    </w:tblStylePr>
    <w:tblStylePr w:type="lastCol">
      <w:rPr>
        <w:rFonts w:ascii="New York" w:eastAsia="Helvetica" w:hAnsi="New York"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ColorfulList">
    <w:name w:val="Colorful List"/>
    <w:basedOn w:val="TableNormal"/>
    <w:uiPriority w:val="72"/>
    <w:rsid w:val="00FA6A77"/>
    <w:pPr>
      <w:spacing w:after="0" w:line="240" w:lineRule="auto"/>
    </w:pPr>
    <w:rPr>
      <w:rFonts w:ascii="Arial Narrow" w:eastAsia="Times New Roman" w:hAnsi="Arial Narrow" w:cs="Arial"/>
    </w:rPr>
    <w:tblPr>
      <w:tblStyleRowBandSize w:val="1"/>
      <w:tblStyleColBandSize w:val="1"/>
      <w:tblInd w:w="0" w:type="nil"/>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Lines="0" w:before="0" w:beforeAutospacing="0" w:afterLines="0" w:after="0" w:afterAutospacing="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styleId="ColorfulGrid">
    <w:name w:val="Colorful Grid"/>
    <w:basedOn w:val="TableNormal"/>
    <w:uiPriority w:val="73"/>
    <w:rsid w:val="00FA6A77"/>
    <w:pPr>
      <w:spacing w:after="0" w:line="240" w:lineRule="auto"/>
    </w:pPr>
    <w:rPr>
      <w:rFonts w:ascii="Arial Narrow" w:eastAsia="Times New Roman" w:hAnsi="Arial Narrow" w:cs="Arial"/>
    </w:rPr>
    <w:tblPr>
      <w:tblStyleRowBandSize w:val="1"/>
      <w:tblStyleColBandSize w:val="1"/>
      <w:tblInd w:w="0" w:type="nil"/>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LightShading-Accent1">
    <w:name w:val="Light Shading Accent 1"/>
    <w:basedOn w:val="TableNormal"/>
    <w:uiPriority w:val="60"/>
    <w:rsid w:val="00FA6A77"/>
    <w:pPr>
      <w:spacing w:after="0" w:line="240" w:lineRule="auto"/>
    </w:pPr>
    <w:rPr>
      <w:rFonts w:ascii="Arial Narrow" w:eastAsia="Times New Roman" w:hAnsi="Arial Narrow" w:cs="Arial"/>
      <w:color w:val="000000"/>
    </w:rPr>
    <w:tblPr>
      <w:tblStyleRowBandSize w:val="1"/>
      <w:tblStyleColBandSize w:val="1"/>
      <w:tblInd w:w="0" w:type="nil"/>
      <w:tblBorders>
        <w:top w:val="single" w:sz="8" w:space="0" w:color="000000"/>
        <w:bottom w:val="single" w:sz="8" w:space="0" w:color="000000"/>
      </w:tblBorders>
    </w:tblPr>
    <w:tblStylePr w:type="firstRow">
      <w:rPr>
        <w:rFonts w:ascii="New York" w:eastAsia="Helvetica" w:hAnsi="New York"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styleId="LightList-Accent1">
    <w:name w:val="Light List Accent 1"/>
    <w:basedOn w:val="TableNormal"/>
    <w:uiPriority w:val="61"/>
    <w:rsid w:val="00FA6A77"/>
    <w:pPr>
      <w:spacing w:after="0" w:line="240" w:lineRule="auto"/>
    </w:pPr>
    <w:rPr>
      <w:rFonts w:ascii="Arial Narrow" w:eastAsia="MS Gothic" w:hAnsi="Arial Narrow" w:cs="Arial"/>
      <w:color w:val="000000"/>
    </w:rPr>
    <w:tblPr>
      <w:tblStyleRowBandSize w:val="1"/>
      <w:tblStyleColBandSize w:val="1"/>
      <w:tblInd w:w="0" w:type="nil"/>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styleId="LightGrid-Accent1">
    <w:name w:val="Light Grid Accent 1"/>
    <w:basedOn w:val="TableNormal"/>
    <w:uiPriority w:val="62"/>
    <w:rsid w:val="00FA6A77"/>
    <w:pPr>
      <w:spacing w:after="0" w:line="240" w:lineRule="auto"/>
    </w:pPr>
    <w:rPr>
      <w:rFonts w:ascii="Arial Narrow" w:eastAsia="Times New Roman" w:hAnsi="Arial Narrow" w:cs="Arial"/>
    </w:rPr>
    <w:tblPr>
      <w:tblStyleRowBandSize w:val="1"/>
      <w:tblStyleColBandSize w:val="1"/>
      <w:tblInd w:w="0" w:type="nil"/>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styleId="MediumShading1-Accent1">
    <w:name w:val="Medium Shading 1 Accent 1"/>
    <w:basedOn w:val="TableNormal"/>
    <w:uiPriority w:val="63"/>
    <w:rsid w:val="00FA6A77"/>
    <w:pPr>
      <w:spacing w:after="0" w:line="240" w:lineRule="auto"/>
    </w:pPr>
    <w:rPr>
      <w:rFonts w:ascii="Arial Narrow" w:eastAsia="MS Gothic" w:hAnsi="Arial Narrow" w:cs="Arial"/>
      <w:color w:val="000000"/>
    </w:rPr>
    <w:tblPr>
      <w:tblStyleRowBandSize w:val="1"/>
      <w:tblStyleColBandSize w:val="1"/>
      <w:tblInd w:w="0" w:type="nil"/>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styleId="MediumShading2-Accent1">
    <w:name w:val="Medium Shading 2 Accent 1"/>
    <w:basedOn w:val="TableNormal"/>
    <w:uiPriority w:val="64"/>
    <w:rsid w:val="00FA6A77"/>
    <w:pPr>
      <w:spacing w:after="0" w:line="240" w:lineRule="auto"/>
    </w:pPr>
    <w:rPr>
      <w:rFonts w:ascii="Arial Narrow" w:eastAsia="Times New Roman" w:hAnsi="Arial Narrow" w:cs="Arial"/>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styleId="MediumList1-Accent1">
    <w:name w:val="Medium List 1 Accent 1"/>
    <w:basedOn w:val="TableNormal"/>
    <w:uiPriority w:val="65"/>
    <w:rsid w:val="00FA6A77"/>
    <w:pPr>
      <w:spacing w:after="0" w:line="240" w:lineRule="auto"/>
    </w:pPr>
    <w:rPr>
      <w:rFonts w:ascii="Arial Narrow" w:eastAsia="Times New Roman" w:hAnsi="Arial Narrow" w:cs="Arial"/>
      <w:color w:val="FFFFFF"/>
    </w:rPr>
    <w:tblPr>
      <w:tblStyleRowBandSize w:val="1"/>
      <w:tblStyleColBandSize w:val="1"/>
      <w:tblInd w:w="0" w:type="nil"/>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styleId="MediumList2-Accent1">
    <w:name w:val="Medium List 2 Accent 1"/>
    <w:basedOn w:val="TableNormal"/>
    <w:uiPriority w:val="66"/>
    <w:rsid w:val="00FA6A77"/>
    <w:pPr>
      <w:spacing w:after="0" w:line="240" w:lineRule="auto"/>
    </w:pPr>
    <w:rPr>
      <w:rFonts w:ascii="Arial Narrow" w:eastAsia="Times New Roman" w:hAnsi="Arial Narrow" w:cs="Arial"/>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MediumGrid1-Accent1">
    <w:name w:val="Medium Grid 1 Accent 1"/>
    <w:basedOn w:val="TableNormal"/>
    <w:uiPriority w:val="67"/>
    <w:rsid w:val="00FA6A77"/>
    <w:pPr>
      <w:spacing w:after="0" w:line="240" w:lineRule="auto"/>
    </w:pPr>
    <w:rPr>
      <w:rFonts w:ascii="Arial Narrow" w:eastAsia="Times New Roman" w:hAnsi="Arial Narrow" w:cs="Arial"/>
    </w:rPr>
    <w:tblPr>
      <w:tblStyleRowBandSize w:val="1"/>
      <w:tblStyleColBandSize w:val="1"/>
      <w:tblInd w:w="0" w:type="nil"/>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0" w:beforeAutospacing="0" w:afterLines="0" w:after="0" w:afterAutospacing="0" w:line="240" w:lineRule="auto"/>
      </w:pPr>
      <w:rPr>
        <w:rFonts w:ascii="New York" w:eastAsia="Helvetica" w:hAnsi="New York"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0" w:beforeAutospacing="0" w:afterLines="0" w:after="0" w:afterAutospacing="0" w:line="240" w:lineRule="auto"/>
      </w:pPr>
      <w:rPr>
        <w:rFonts w:ascii="New York" w:eastAsia="Helvetica" w:hAnsi="New York"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New York" w:eastAsia="Helvetica" w:hAnsi="New York" w:cs="Times New Roman" w:hint="default"/>
        <w:b/>
        <w:bCs/>
      </w:rPr>
    </w:tblStylePr>
    <w:tblStylePr w:type="lastCol">
      <w:rPr>
        <w:rFonts w:ascii="New York" w:eastAsia="Helvetica" w:hAnsi="New York"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MediumGrid2-Accent1">
    <w:name w:val="Medium Grid 2 Accent 1"/>
    <w:basedOn w:val="TableNormal"/>
    <w:uiPriority w:val="68"/>
    <w:rsid w:val="00FA6A77"/>
    <w:pPr>
      <w:spacing w:after="0" w:line="240" w:lineRule="auto"/>
    </w:pPr>
    <w:rPr>
      <w:rFonts w:ascii="Arial Narrow" w:eastAsia="Times New Roman" w:hAnsi="Arial Narrow" w:cs="Arial"/>
    </w:rPr>
    <w:tblPr>
      <w:tblStyleRowBandSize w:val="1"/>
      <w:tblStyleColBandSize w:val="1"/>
      <w:tblInd w:w="0" w:type="nil"/>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Lines="0" w:before="0" w:beforeAutospacing="0" w:afterLines="0" w:after="0" w:afterAutospacing="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MediumGrid3-Accent1">
    <w:name w:val="Medium Grid 3 Accent 1"/>
    <w:basedOn w:val="TableNormal"/>
    <w:uiPriority w:val="69"/>
    <w:rsid w:val="00FA6A77"/>
    <w:pPr>
      <w:spacing w:after="0" w:line="240" w:lineRule="auto"/>
    </w:pPr>
    <w:rPr>
      <w:rFonts w:ascii="Arial Narrow" w:eastAsia="Times New Roman" w:hAnsi="Arial Narrow" w:cs="Arial"/>
    </w:rPr>
    <w:tblPr>
      <w:tblStyleRowBandSize w:val="1"/>
      <w:tblStyleColBandSize w:val="1"/>
      <w:tblInd w:w="0" w:type="nil"/>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DarkList-Accent1">
    <w:name w:val="Dark List Accent 1"/>
    <w:basedOn w:val="TableNormal"/>
    <w:uiPriority w:val="70"/>
    <w:rsid w:val="00FA6A77"/>
    <w:pPr>
      <w:spacing w:after="0" w:line="240" w:lineRule="auto"/>
    </w:pPr>
    <w:rPr>
      <w:rFonts w:ascii="Arial Narrow" w:eastAsia="Times New Roman" w:hAnsi="Arial Narrow" w:cs="Arial"/>
      <w:color w:val="000000"/>
    </w:rPr>
    <w:tblPr>
      <w:tblStyleRowBandSize w:val="1"/>
      <w:tblStyleColBandSize w:val="1"/>
      <w:tblInd w:w="0" w:type="nil"/>
      <w:tblBorders>
        <w:top w:val="single" w:sz="8" w:space="0" w:color="4F81BD"/>
        <w:bottom w:val="single" w:sz="8" w:space="0" w:color="4F81BD"/>
      </w:tblBorders>
    </w:tblPr>
    <w:tblStylePr w:type="firstRow">
      <w:rPr>
        <w:rFonts w:ascii="New York" w:eastAsia="Helvetica" w:hAnsi="New York"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styleId="LightList-Accent2">
    <w:name w:val="Light List Accent 2"/>
    <w:basedOn w:val="TableNormal"/>
    <w:uiPriority w:val="61"/>
    <w:rsid w:val="00FA6A77"/>
    <w:pPr>
      <w:spacing w:after="0" w:line="240" w:lineRule="auto"/>
    </w:pPr>
    <w:rPr>
      <w:rFonts w:ascii="Arial Narrow" w:eastAsia="MS Gothic" w:hAnsi="Arial Narrow" w:cs="Arial"/>
      <w:color w:val="000000"/>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LightGrid-Accent2">
    <w:name w:val="Light Grid Accent 2"/>
    <w:basedOn w:val="TableNormal"/>
    <w:uiPriority w:val="62"/>
    <w:rsid w:val="00FA6A77"/>
    <w:pPr>
      <w:spacing w:after="0" w:line="240" w:lineRule="auto"/>
    </w:pPr>
    <w:rPr>
      <w:rFonts w:ascii="Arial Narrow" w:eastAsia="Times New Roman" w:hAnsi="Arial Narrow" w:cs="Arial"/>
    </w:rPr>
    <w:tblPr>
      <w:tblStyleRowBandSize w:val="1"/>
      <w:tblStyleColBandSize w:val="1"/>
      <w:tblInd w:w="0" w:type="nil"/>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MediumShading1-Accent2">
    <w:name w:val="Medium Shading 1 Accent 2"/>
    <w:basedOn w:val="TableNormal"/>
    <w:uiPriority w:val="63"/>
    <w:rsid w:val="00FA6A77"/>
    <w:pPr>
      <w:spacing w:after="0" w:line="240" w:lineRule="auto"/>
    </w:pPr>
    <w:rPr>
      <w:rFonts w:ascii="Arial Narrow" w:eastAsia="MS Gothic" w:hAnsi="Arial Narrow" w:cs="Arial"/>
      <w:color w:val="000000"/>
    </w:rPr>
    <w:tblPr>
      <w:tblStyleRowBandSize w:val="1"/>
      <w:tblStyleColBandSize w:val="1"/>
      <w:tblInd w:w="0" w:type="nil"/>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styleId="MediumShading2-Accent2">
    <w:name w:val="Medium Shading 2 Accent 2"/>
    <w:basedOn w:val="TableNormal"/>
    <w:uiPriority w:val="64"/>
    <w:rsid w:val="00FA6A77"/>
    <w:pPr>
      <w:spacing w:after="0" w:line="240" w:lineRule="auto"/>
    </w:pPr>
    <w:rPr>
      <w:rFonts w:ascii="Arial Narrow" w:eastAsia="Times New Roman" w:hAnsi="Arial Narrow" w:cs="Arial"/>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MediumList1-Accent2">
    <w:name w:val="Medium List 1 Accent 2"/>
    <w:basedOn w:val="TableNormal"/>
    <w:uiPriority w:val="65"/>
    <w:rsid w:val="00FA6A77"/>
    <w:pPr>
      <w:spacing w:after="0" w:line="240" w:lineRule="auto"/>
    </w:pPr>
    <w:rPr>
      <w:rFonts w:ascii="Arial Narrow" w:eastAsia="Times New Roman" w:hAnsi="Arial Narrow" w:cs="Arial"/>
      <w:color w:val="FFFFFF"/>
    </w:rPr>
    <w:tblPr>
      <w:tblStyleRowBandSize w:val="1"/>
      <w:tblStyleColBandSize w:val="1"/>
      <w:tblInd w:w="0" w:type="nil"/>
    </w:tblPr>
    <w:tcPr>
      <w:shd w:val="clear" w:color="auto" w:fill="4F81B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single" w:sz="18" w:space="0" w:color="FFFFFF"/>
          <w:bottom w:val="nil"/>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styleId="MediumList2-Accent2">
    <w:name w:val="Medium List 2 Accent 2"/>
    <w:basedOn w:val="TableNormal"/>
    <w:uiPriority w:val="66"/>
    <w:rsid w:val="00FA6A77"/>
    <w:pPr>
      <w:spacing w:after="0" w:line="240" w:lineRule="auto"/>
    </w:pPr>
    <w:rPr>
      <w:rFonts w:ascii="Arial Narrow" w:eastAsia="Times New Roman" w:hAnsi="Arial Narrow" w:cs="Arial"/>
      <w:color w:val="000000"/>
    </w:rPr>
    <w:tblPr>
      <w:tblStyleRowBandSize w:val="1"/>
      <w:tblStyleColBandSize w:val="1"/>
      <w:tblInd w:w="0" w:type="nil"/>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styleId="MediumGrid1-Accent2">
    <w:name w:val="Medium Grid 1 Accent 2"/>
    <w:basedOn w:val="TableNormal"/>
    <w:uiPriority w:val="67"/>
    <w:rsid w:val="00FA6A77"/>
    <w:pPr>
      <w:spacing w:after="0" w:line="240" w:lineRule="auto"/>
    </w:pPr>
    <w:rPr>
      <w:rFonts w:ascii="Arial Narrow" w:eastAsia="Times New Roman" w:hAnsi="Arial Narrow" w:cs="Arial"/>
      <w:color w:val="000000"/>
    </w:rPr>
    <w:tblPr>
      <w:tblStyleRowBandSize w:val="1"/>
      <w:tblStyleColBandSize w:val="1"/>
      <w:tblInd w:w="0" w:type="nil"/>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styleId="MediumGrid2-Accent2">
    <w:name w:val="Medium Grid 2 Accent 2"/>
    <w:basedOn w:val="TableNormal"/>
    <w:uiPriority w:val="68"/>
    <w:rsid w:val="00FA6A77"/>
    <w:pPr>
      <w:spacing w:after="0" w:line="240" w:lineRule="auto"/>
    </w:pPr>
    <w:rPr>
      <w:rFonts w:ascii="Arial Narrow" w:eastAsia="Times New Roman" w:hAnsi="Arial Narrow" w:cs="Arial"/>
      <w:color w:val="000000"/>
    </w:rPr>
    <w:tblPr>
      <w:tblStyleRowBandSize w:val="1"/>
      <w:tblStyleColBandSize w:val="1"/>
      <w:tblInd w:w="0" w:type="nil"/>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MediumGrid3-Accent2">
    <w:name w:val="Medium Grid 3 Accent 2"/>
    <w:basedOn w:val="TableNormal"/>
    <w:uiPriority w:val="69"/>
    <w:rsid w:val="00FA6A77"/>
    <w:pPr>
      <w:spacing w:after="0" w:line="240" w:lineRule="auto"/>
    </w:pPr>
    <w:rPr>
      <w:rFonts w:ascii="Arial Narrow" w:eastAsia="Times New Roman" w:hAnsi="Arial Narrow" w:cs="Arial"/>
      <w:color w:val="943634"/>
    </w:rPr>
    <w:tblPr>
      <w:tblStyleRowBandSize w:val="1"/>
      <w:tblStyleColBandSize w:val="1"/>
      <w:tblInd w:w="0" w:type="nil"/>
      <w:tblBorders>
        <w:top w:val="single" w:sz="8" w:space="0" w:color="C0504D"/>
        <w:bottom w:val="single" w:sz="8" w:space="0" w:color="C0504D"/>
      </w:tblBorders>
    </w:tblPr>
    <w:tblStylePr w:type="fir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DarkList-Accent2">
    <w:name w:val="Dark List Accent 2"/>
    <w:basedOn w:val="TableNormal"/>
    <w:uiPriority w:val="70"/>
    <w:rsid w:val="00FA6A77"/>
    <w:pPr>
      <w:spacing w:after="0" w:line="240" w:lineRule="auto"/>
    </w:pPr>
    <w:rPr>
      <w:rFonts w:ascii="Arial Narrow" w:eastAsia="Times New Roman" w:hAnsi="Arial Narrow" w:cs="Arial"/>
    </w:rPr>
    <w:tblPr>
      <w:tblStyleRowBandSize w:val="1"/>
      <w:tblStyleColBandSize w:val="1"/>
      <w:tblInd w:w="0" w:type="nil"/>
      <w:tblBorders>
        <w:top w:val="single" w:sz="8" w:space="0" w:color="C0504D"/>
        <w:left w:val="single" w:sz="8" w:space="0" w:color="C0504D"/>
        <w:bottom w:val="single" w:sz="8" w:space="0" w:color="C0504D"/>
        <w:right w:val="single" w:sz="8" w:space="0" w:color="C0504D"/>
      </w:tblBorders>
    </w:tblPr>
    <w:tblStylePr w:type="firstRow">
      <w:pPr>
        <w:spacing w:beforeLines="0" w:before="0" w:beforeAutospacing="0" w:afterLines="0" w:after="0" w:afterAutospacing="0" w:line="240" w:lineRule="auto"/>
      </w:pPr>
      <w:rPr>
        <w:b/>
        <w:bCs/>
        <w:color w:val="FFFFFF"/>
      </w:rPr>
      <w:tblPr/>
      <w:tcPr>
        <w:shd w:val="clear" w:color="auto" w:fill="C0504D"/>
      </w:tcPr>
    </w:tblStylePr>
    <w:tblStylePr w:type="lastRow">
      <w:pPr>
        <w:spacing w:beforeLines="0" w:before="0" w:beforeAutospacing="0" w:afterLines="0" w:after="0" w:afterAutospacing="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ColorfulShading-Accent2">
    <w:name w:val="Colorful Shading Accent 2"/>
    <w:basedOn w:val="TableNormal"/>
    <w:uiPriority w:val="71"/>
    <w:rsid w:val="00FA6A77"/>
    <w:pPr>
      <w:spacing w:after="0" w:line="240" w:lineRule="auto"/>
    </w:pPr>
    <w:rPr>
      <w:rFonts w:ascii="Arial Narrow" w:eastAsia="Times New Roman" w:hAnsi="Arial Narrow" w:cs="Arial"/>
    </w:rPr>
    <w:tblPr>
      <w:tblStyleRowBandSize w:val="1"/>
      <w:tblStyleColBandSize w:val="1"/>
      <w:tblInd w:w="0" w:type="nil"/>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Lines="0" w:before="0" w:beforeAutospacing="0" w:afterLines="0" w:after="0" w:afterAutospacing="0" w:line="240" w:lineRule="auto"/>
      </w:pPr>
      <w:rPr>
        <w:rFonts w:ascii="New York" w:eastAsia="Helvetica" w:hAnsi="New York" w:cs="Times New Roman" w:hint="default"/>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Lines="0" w:before="0" w:beforeAutospacing="0" w:afterLines="0" w:after="0" w:afterAutospacing="0" w:line="240" w:lineRule="auto"/>
      </w:pPr>
      <w:rPr>
        <w:rFonts w:ascii="New York" w:eastAsia="Helvetica" w:hAnsi="New York" w:cs="Times New Roman" w:hint="default"/>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New York" w:eastAsia="Helvetica" w:hAnsi="New York" w:cs="Times New Roman" w:hint="default"/>
        <w:b/>
        <w:bCs/>
      </w:rPr>
    </w:tblStylePr>
    <w:tblStylePr w:type="lastCol">
      <w:rPr>
        <w:rFonts w:ascii="New York" w:eastAsia="Helvetica" w:hAnsi="New York" w:cs="Times New Roman" w:hint="default"/>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ColorfulList-Accent2">
    <w:name w:val="Colorful List Accent 2"/>
    <w:basedOn w:val="TableNormal"/>
    <w:uiPriority w:val="72"/>
    <w:rsid w:val="00FA6A77"/>
    <w:pPr>
      <w:spacing w:after="0" w:line="240" w:lineRule="auto"/>
    </w:pPr>
    <w:rPr>
      <w:rFonts w:ascii="Arial Narrow" w:eastAsia="Times New Roman" w:hAnsi="Arial Narrow" w:cs="Arial"/>
    </w:rPr>
    <w:tblPr>
      <w:tblStyleRowBandSize w:val="1"/>
      <w:tblStyleColBandSize w:val="1"/>
      <w:tblInd w:w="0" w:type="nil"/>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Lines="0" w:before="0" w:beforeAutospacing="0" w:afterLines="0" w:after="0" w:afterAutospacing="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Lines="0" w:before="0" w:beforeAutospacing="0" w:afterLines="0" w:after="0" w:afterAutospacing="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ColorfulGrid-Accent2">
    <w:name w:val="Colorful Grid Accent 2"/>
    <w:basedOn w:val="TableNormal"/>
    <w:uiPriority w:val="73"/>
    <w:rsid w:val="00FA6A77"/>
    <w:pPr>
      <w:spacing w:after="0" w:line="240" w:lineRule="auto"/>
    </w:pPr>
    <w:rPr>
      <w:rFonts w:ascii="Arial Narrow" w:eastAsia="Times New Roman" w:hAnsi="Arial Narrow" w:cs="Arial"/>
    </w:rPr>
    <w:tblPr>
      <w:tblStyleRowBandSize w:val="1"/>
      <w:tblStyleColBandSize w:val="1"/>
      <w:tblInd w:w="0" w:type="nil"/>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LightShading-Accent3">
    <w:name w:val="Light Shading Accent 3"/>
    <w:basedOn w:val="TableNormal"/>
    <w:uiPriority w:val="60"/>
    <w:rsid w:val="00FA6A77"/>
    <w:pPr>
      <w:spacing w:after="0" w:line="240" w:lineRule="auto"/>
    </w:pPr>
    <w:rPr>
      <w:rFonts w:ascii="Arial Narrow" w:eastAsia="Times New Roman" w:hAnsi="Arial Narrow" w:cs="Arial"/>
      <w:color w:val="000000"/>
    </w:rPr>
    <w:tblPr>
      <w:tblStyleRowBandSize w:val="1"/>
      <w:tblStyleColBandSize w:val="1"/>
      <w:tblInd w:w="0" w:type="nil"/>
      <w:tblBorders>
        <w:top w:val="single" w:sz="8" w:space="0" w:color="C0504D"/>
        <w:bottom w:val="single" w:sz="8" w:space="0" w:color="C0504D"/>
      </w:tblBorders>
    </w:tblPr>
    <w:tblStylePr w:type="firstRow">
      <w:rPr>
        <w:rFonts w:ascii="New York" w:eastAsia="Helvetica" w:hAnsi="New York" w:cs="Times New Roman" w:hint="default"/>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styleId="LightList-Accent3">
    <w:name w:val="Light List Accent 3"/>
    <w:basedOn w:val="TableNormal"/>
    <w:uiPriority w:val="61"/>
    <w:rsid w:val="00FA6A77"/>
    <w:pPr>
      <w:spacing w:after="0" w:line="240" w:lineRule="auto"/>
    </w:pPr>
    <w:rPr>
      <w:rFonts w:ascii="Arial Narrow" w:eastAsia="MS Gothic" w:hAnsi="Arial Narrow" w:cs="Arial"/>
      <w:color w:val="000000"/>
    </w:rPr>
    <w:tblPr>
      <w:tblStyleRowBandSize w:val="1"/>
      <w:tblStyleColBandSize w:val="1"/>
      <w:tblInd w:w="0" w:type="nil"/>
      <w:tblBorders>
        <w:top w:val="single" w:sz="8" w:space="0" w:color="C0504D"/>
        <w:left w:val="single" w:sz="8" w:space="0" w:color="C0504D"/>
        <w:bottom w:val="single" w:sz="8" w:space="0" w:color="C0504D"/>
        <w:right w:val="single" w:sz="8" w:space="0" w:color="C0504D"/>
      </w:tblBorders>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styleId="LightGrid-Accent3">
    <w:name w:val="Light Grid Accent 3"/>
    <w:basedOn w:val="TableNormal"/>
    <w:uiPriority w:val="62"/>
    <w:rsid w:val="00FA6A77"/>
    <w:pPr>
      <w:spacing w:after="0" w:line="240" w:lineRule="auto"/>
    </w:pPr>
    <w:rPr>
      <w:rFonts w:ascii="Arial Narrow" w:eastAsia="Times New Roman" w:hAnsi="Arial Narrow" w:cs="Arial"/>
    </w:rPr>
    <w:tblPr>
      <w:tblStyleRowBandSize w:val="1"/>
      <w:tblStyleColBandSize w:val="1"/>
      <w:tblInd w:w="0" w:type="nil"/>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styleId="MediumShading1-Accent3">
    <w:name w:val="Medium Shading 1 Accent 3"/>
    <w:basedOn w:val="TableNormal"/>
    <w:uiPriority w:val="63"/>
    <w:rsid w:val="00FA6A77"/>
    <w:pPr>
      <w:spacing w:after="0" w:line="240" w:lineRule="auto"/>
    </w:pPr>
    <w:rPr>
      <w:rFonts w:ascii="Arial Narrow" w:eastAsia="MS Gothic" w:hAnsi="Arial Narrow" w:cs="Arial"/>
      <w:color w:val="000000"/>
    </w:rPr>
    <w:tblPr>
      <w:tblStyleRowBandSize w:val="1"/>
      <w:tblStyleColBandSize w:val="1"/>
      <w:tblInd w:w="0" w:type="nil"/>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styleId="MediumShading2-Accent3">
    <w:name w:val="Medium Shading 2 Accent 3"/>
    <w:basedOn w:val="TableNormal"/>
    <w:uiPriority w:val="64"/>
    <w:rsid w:val="00FA6A77"/>
    <w:pPr>
      <w:spacing w:after="0" w:line="240" w:lineRule="auto"/>
    </w:pPr>
    <w:rPr>
      <w:rFonts w:ascii="Arial Narrow" w:eastAsia="Times New Roman" w:hAnsi="Arial Narrow" w:cs="Arial"/>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MediumList1-Accent3">
    <w:name w:val="Medium List 1 Accent 3"/>
    <w:basedOn w:val="TableNormal"/>
    <w:uiPriority w:val="65"/>
    <w:rsid w:val="00FA6A77"/>
    <w:pPr>
      <w:spacing w:after="0" w:line="240" w:lineRule="auto"/>
    </w:pPr>
    <w:rPr>
      <w:rFonts w:ascii="Arial Narrow" w:eastAsia="Times New Roman" w:hAnsi="Arial Narrow" w:cs="Arial"/>
      <w:color w:val="FFFFFF"/>
    </w:rPr>
    <w:tblPr>
      <w:tblStyleRowBandSize w:val="1"/>
      <w:tblStyleColBandSize w:val="1"/>
      <w:tblInd w:w="0" w:type="nil"/>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styleId="MediumGrid1-Accent3">
    <w:name w:val="Medium Grid 1 Accent 3"/>
    <w:basedOn w:val="TableNormal"/>
    <w:uiPriority w:val="67"/>
    <w:rsid w:val="00FA6A77"/>
    <w:pPr>
      <w:spacing w:after="0" w:line="240" w:lineRule="auto"/>
    </w:pPr>
    <w:rPr>
      <w:rFonts w:ascii="Arial Narrow" w:eastAsia="Times New Roman" w:hAnsi="Arial Narrow" w:cs="Arial"/>
      <w:color w:val="000000"/>
    </w:rPr>
    <w:tblPr>
      <w:tblStyleRowBandSize w:val="1"/>
      <w:tblStyleColBandSize w:val="1"/>
      <w:tblInd w:w="0" w:type="nil"/>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styleId="MediumGrid2-Accent3">
    <w:name w:val="Medium Grid 2 Accent 3"/>
    <w:basedOn w:val="TableNormal"/>
    <w:uiPriority w:val="68"/>
    <w:rsid w:val="00FA6A77"/>
    <w:pPr>
      <w:spacing w:after="0" w:line="240" w:lineRule="auto"/>
    </w:pPr>
    <w:rPr>
      <w:rFonts w:ascii="Arial Narrow" w:eastAsia="Times New Roman" w:hAnsi="Arial Narrow" w:cs="Arial"/>
      <w:color w:val="000000"/>
    </w:rPr>
    <w:tblPr>
      <w:tblStyleRowBandSize w:val="1"/>
      <w:tblStyleColBandSize w:val="1"/>
      <w:tblInd w:w="0" w:type="nil"/>
      <w:tblBorders>
        <w:insideH w:val="single" w:sz="4" w:space="0" w:color="FFFFFF"/>
      </w:tblBorders>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styleId="MediumGrid3-Accent3">
    <w:name w:val="Medium Grid 3 Accent 3"/>
    <w:basedOn w:val="TableNormal"/>
    <w:uiPriority w:val="69"/>
    <w:rsid w:val="00FA6A77"/>
    <w:pPr>
      <w:spacing w:after="0" w:line="240" w:lineRule="auto"/>
    </w:pPr>
    <w:rPr>
      <w:rFonts w:ascii="Arial Narrow" w:eastAsia="Times New Roman" w:hAnsi="Arial Narrow" w:cs="Arial"/>
      <w:color w:val="76923C"/>
    </w:rPr>
    <w:tblPr>
      <w:tblStyleRowBandSize w:val="1"/>
      <w:tblStyleColBandSize w:val="1"/>
      <w:tblInd w:w="0" w:type="nil"/>
      <w:tblBorders>
        <w:top w:val="single" w:sz="8" w:space="0" w:color="9BBB59"/>
        <w:bottom w:val="single" w:sz="8" w:space="0" w:color="9BBB59"/>
      </w:tblBorders>
    </w:tblPr>
    <w:tblStylePr w:type="fir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DarkList-Accent3">
    <w:name w:val="Dark List Accent 3"/>
    <w:basedOn w:val="TableNormal"/>
    <w:uiPriority w:val="70"/>
    <w:rsid w:val="00FA6A77"/>
    <w:pPr>
      <w:spacing w:after="0" w:line="240" w:lineRule="auto"/>
    </w:pPr>
    <w:rPr>
      <w:rFonts w:ascii="Arial Narrow" w:eastAsia="Times New Roman" w:hAnsi="Arial Narrow" w:cs="Arial"/>
    </w:rPr>
    <w:tblPr>
      <w:tblStyleRowBandSize w:val="1"/>
      <w:tblStyleColBandSize w:val="1"/>
      <w:tblInd w:w="0" w:type="nil"/>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ColorfulShading-Accent3">
    <w:name w:val="Colorful Shading Accent 3"/>
    <w:basedOn w:val="TableNormal"/>
    <w:uiPriority w:val="71"/>
    <w:rsid w:val="00FA6A77"/>
    <w:pPr>
      <w:spacing w:after="0" w:line="240" w:lineRule="auto"/>
    </w:pPr>
    <w:rPr>
      <w:rFonts w:ascii="Arial Narrow" w:eastAsia="Times New Roman" w:hAnsi="Arial Narrow" w:cs="Arial"/>
    </w:rPr>
    <w:tblPr>
      <w:tblStyleRowBandSize w:val="1"/>
      <w:tblStyleColBandSize w:val="1"/>
      <w:tblInd w:w="0" w:type="nil"/>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Lines="0" w:before="0" w:beforeAutospacing="0" w:afterLines="0" w:after="0" w:afterAutospacing="0" w:line="240" w:lineRule="auto"/>
      </w:pPr>
      <w:rPr>
        <w:rFonts w:ascii="New York" w:eastAsia="Helvetica" w:hAnsi="New York" w:cs="Times New Roman" w:hint="default"/>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Lines="0" w:before="0" w:beforeAutospacing="0" w:afterLines="0" w:after="0" w:afterAutospacing="0" w:line="240" w:lineRule="auto"/>
      </w:pPr>
      <w:rPr>
        <w:rFonts w:ascii="New York" w:eastAsia="Helvetica" w:hAnsi="New York" w:cs="Times New Roman" w:hint="default"/>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New York" w:eastAsia="Helvetica" w:hAnsi="New York" w:cs="Times New Roman" w:hint="default"/>
        <w:b/>
        <w:bCs/>
      </w:rPr>
    </w:tblStylePr>
    <w:tblStylePr w:type="lastCol">
      <w:rPr>
        <w:rFonts w:ascii="New York" w:eastAsia="Helvetica" w:hAnsi="New York" w:cs="Times New Roman" w:hint="default"/>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ColorfulList-Accent3">
    <w:name w:val="Colorful List Accent 3"/>
    <w:basedOn w:val="TableNormal"/>
    <w:uiPriority w:val="72"/>
    <w:rsid w:val="00FA6A77"/>
    <w:pPr>
      <w:spacing w:after="0" w:line="240" w:lineRule="auto"/>
    </w:pPr>
    <w:rPr>
      <w:rFonts w:ascii="Arial Narrow" w:eastAsia="Times New Roman" w:hAnsi="Arial Narrow" w:cs="Arial"/>
    </w:rPr>
    <w:tblPr>
      <w:tblStyleRowBandSize w:val="1"/>
      <w:tblStyleColBandSize w:val="1"/>
      <w:tblInd w:w="0" w:type="nil"/>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Lines="0" w:before="0" w:beforeAutospacing="0" w:afterLines="0" w:after="0" w:afterAutospacing="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ColorfulGrid-Accent3">
    <w:name w:val="Colorful Grid Accent 3"/>
    <w:basedOn w:val="TableNormal"/>
    <w:uiPriority w:val="73"/>
    <w:rsid w:val="00FA6A77"/>
    <w:pPr>
      <w:spacing w:after="0" w:line="240" w:lineRule="auto"/>
    </w:pPr>
    <w:rPr>
      <w:rFonts w:ascii="Arial Narrow" w:eastAsia="Times New Roman" w:hAnsi="Arial Narrow" w:cs="Arial"/>
    </w:rPr>
    <w:tblPr>
      <w:tblStyleRowBandSize w:val="1"/>
      <w:tblStyleColBandSize w:val="1"/>
      <w:tblInd w:w="0" w:type="nil"/>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LightShading-Accent4">
    <w:name w:val="Light Shading Accent 4"/>
    <w:basedOn w:val="TableNormal"/>
    <w:uiPriority w:val="60"/>
    <w:rsid w:val="00FA6A77"/>
    <w:pPr>
      <w:spacing w:after="0" w:line="240" w:lineRule="auto"/>
    </w:pPr>
    <w:rPr>
      <w:rFonts w:ascii="Arial Narrow" w:eastAsia="Times New Roman" w:hAnsi="Arial Narrow" w:cs="Arial"/>
      <w:color w:val="000000"/>
    </w:rPr>
    <w:tblPr>
      <w:tblStyleRowBandSize w:val="1"/>
      <w:tblStyleColBandSize w:val="1"/>
      <w:tblInd w:w="0" w:type="nil"/>
      <w:tblBorders>
        <w:top w:val="single" w:sz="8" w:space="0" w:color="9BBB59"/>
        <w:bottom w:val="single" w:sz="8" w:space="0" w:color="9BBB59"/>
      </w:tblBorders>
    </w:tblPr>
    <w:tblStylePr w:type="firstRow">
      <w:rPr>
        <w:rFonts w:ascii="New York" w:eastAsia="Helvetica" w:hAnsi="New York" w:cs="Times New Roman" w:hint="default"/>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styleId="LightList-Accent4">
    <w:name w:val="Light List Accent 4"/>
    <w:basedOn w:val="TableNormal"/>
    <w:uiPriority w:val="61"/>
    <w:rsid w:val="00FA6A77"/>
    <w:pPr>
      <w:spacing w:after="0" w:line="240" w:lineRule="auto"/>
    </w:pPr>
    <w:rPr>
      <w:rFonts w:ascii="Arial Narrow" w:eastAsia="MS Gothic" w:hAnsi="Arial Narrow" w:cs="Arial"/>
      <w:color w:val="000000"/>
    </w:rPr>
    <w:tblPr>
      <w:tblStyleRowBandSize w:val="1"/>
      <w:tblStyleColBandSize w:val="1"/>
      <w:tblInd w:w="0" w:type="nil"/>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styleId="LightGrid-Accent4">
    <w:name w:val="Light Grid Accent 4"/>
    <w:basedOn w:val="TableNormal"/>
    <w:uiPriority w:val="62"/>
    <w:rsid w:val="00FA6A77"/>
    <w:pPr>
      <w:spacing w:after="0" w:line="240" w:lineRule="auto"/>
    </w:pPr>
    <w:rPr>
      <w:rFonts w:ascii="Arial Narrow" w:eastAsia="Times New Roman" w:hAnsi="Arial Narrow" w:cs="Arial"/>
    </w:rPr>
    <w:tblPr>
      <w:tblStyleRowBandSize w:val="1"/>
      <w:tblStyleColBandSize w:val="1"/>
      <w:tblInd w:w="0" w:type="nil"/>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MediumShading1-Accent4">
    <w:name w:val="Medium Shading 1 Accent 4"/>
    <w:basedOn w:val="TableNormal"/>
    <w:uiPriority w:val="63"/>
    <w:rsid w:val="00FA6A77"/>
    <w:pPr>
      <w:spacing w:after="0" w:line="240" w:lineRule="auto"/>
    </w:pPr>
    <w:rPr>
      <w:rFonts w:ascii="Arial Narrow" w:eastAsia="MS Gothic" w:hAnsi="Arial Narrow" w:cs="Arial"/>
      <w:color w:val="000000"/>
    </w:rPr>
    <w:tblPr>
      <w:tblStyleRowBandSize w:val="1"/>
      <w:tblStyleColBandSize w:val="1"/>
      <w:tblInd w:w="0" w:type="nil"/>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styleId="MediumShading2-Accent4">
    <w:name w:val="Medium Shading 2 Accent 4"/>
    <w:basedOn w:val="TableNormal"/>
    <w:uiPriority w:val="64"/>
    <w:rsid w:val="00FA6A77"/>
    <w:pPr>
      <w:spacing w:after="0" w:line="240" w:lineRule="auto"/>
    </w:pPr>
    <w:rPr>
      <w:rFonts w:ascii="Arial Narrow" w:eastAsia="Times New Roman" w:hAnsi="Arial Narrow" w:cs="Arial"/>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MediumList1-Accent4">
    <w:name w:val="Medium List 1 Accent 4"/>
    <w:basedOn w:val="TableNormal"/>
    <w:uiPriority w:val="65"/>
    <w:rsid w:val="00FA6A77"/>
    <w:pPr>
      <w:spacing w:after="0" w:line="240" w:lineRule="auto"/>
    </w:pPr>
    <w:rPr>
      <w:rFonts w:ascii="Arial Narrow" w:eastAsia="Times New Roman" w:hAnsi="Arial Narrow" w:cs="Arial"/>
      <w:color w:val="FFFFFF"/>
    </w:rPr>
    <w:tblPr>
      <w:tblStyleRowBandSize w:val="1"/>
      <w:tblStyleColBandSize w:val="1"/>
      <w:tblInd w:w="0" w:type="nil"/>
    </w:tblPr>
    <w:tcPr>
      <w:shd w:val="clear" w:color="auto" w:fill="9BBB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single" w:sz="18" w:space="0" w:color="FFFFFF"/>
          <w:bottom w:val="nil"/>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styleId="MediumList2-Accent4">
    <w:name w:val="Medium List 2 Accent 4"/>
    <w:basedOn w:val="TableNormal"/>
    <w:uiPriority w:val="66"/>
    <w:rsid w:val="00FA6A77"/>
    <w:pPr>
      <w:spacing w:after="0" w:line="240" w:lineRule="auto"/>
    </w:pPr>
    <w:rPr>
      <w:rFonts w:ascii="Arial Narrow" w:eastAsia="Times New Roman" w:hAnsi="Arial Narrow" w:cs="Arial"/>
      <w:color w:val="000000"/>
    </w:rPr>
    <w:tblPr>
      <w:tblStyleRowBandSize w:val="1"/>
      <w:tblStyleColBandSize w:val="1"/>
      <w:tblInd w:w="0" w:type="nil"/>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styleId="MediumGrid1-Accent4">
    <w:name w:val="Medium Grid 1 Accent 4"/>
    <w:basedOn w:val="TableNormal"/>
    <w:uiPriority w:val="67"/>
    <w:rsid w:val="00FA6A77"/>
    <w:pPr>
      <w:spacing w:after="0" w:line="240" w:lineRule="auto"/>
    </w:pPr>
    <w:rPr>
      <w:rFonts w:ascii="Arial Narrow" w:eastAsia="Times New Roman" w:hAnsi="Arial Narrow" w:cs="Arial"/>
      <w:color w:val="000000"/>
    </w:rPr>
    <w:tblPr>
      <w:tblStyleRowBandSize w:val="1"/>
      <w:tblStyleColBandSize w:val="1"/>
      <w:tblInd w:w="0" w:type="nil"/>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styleId="MediumGrid2-Accent4">
    <w:name w:val="Medium Grid 2 Accent 4"/>
    <w:basedOn w:val="TableNormal"/>
    <w:uiPriority w:val="68"/>
    <w:rsid w:val="00FA6A77"/>
    <w:pPr>
      <w:spacing w:after="0" w:line="240" w:lineRule="auto"/>
    </w:pPr>
    <w:rPr>
      <w:rFonts w:ascii="Arial Narrow" w:eastAsia="Times New Roman" w:hAnsi="Arial Narrow" w:cs="Arial"/>
      <w:color w:val="000000"/>
    </w:rPr>
    <w:tblPr>
      <w:tblStyleRowBandSize w:val="1"/>
      <w:tblStyleColBandSize w:val="1"/>
      <w:tblInd w:w="0" w:type="nil"/>
      <w:tblBorders>
        <w:insideH w:val="single" w:sz="4" w:space="0" w:color="FFFFFF"/>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styleId="MediumGrid3-Accent4">
    <w:name w:val="Medium Grid 3 Accent 4"/>
    <w:basedOn w:val="TableNormal"/>
    <w:uiPriority w:val="69"/>
    <w:rsid w:val="00FA6A77"/>
    <w:pPr>
      <w:spacing w:after="0" w:line="240" w:lineRule="auto"/>
    </w:pPr>
    <w:rPr>
      <w:rFonts w:ascii="Arial Narrow" w:eastAsia="Times New Roman" w:hAnsi="Arial Narrow" w:cs="Arial"/>
      <w:color w:val="5F497A"/>
    </w:rPr>
    <w:tblPr>
      <w:tblStyleRowBandSize w:val="1"/>
      <w:tblStyleColBandSize w:val="1"/>
      <w:tblInd w:w="0" w:type="nil"/>
      <w:tblBorders>
        <w:top w:val="single" w:sz="8" w:space="0" w:color="8064A2"/>
        <w:bottom w:val="single" w:sz="8" w:space="0" w:color="8064A2"/>
      </w:tblBorders>
    </w:tblPr>
    <w:tblStylePr w:type="firstRow">
      <w:pPr>
        <w:spacing w:beforeLines="0" w:before="0" w:beforeAutospacing="0" w:afterLines="0" w:after="0" w:afterAutospacing="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DarkList-Accent4">
    <w:name w:val="Dark List Accent 4"/>
    <w:basedOn w:val="TableNormal"/>
    <w:uiPriority w:val="70"/>
    <w:rsid w:val="00FA6A77"/>
    <w:pPr>
      <w:spacing w:after="0" w:line="240" w:lineRule="auto"/>
    </w:pPr>
    <w:rPr>
      <w:rFonts w:ascii="Arial Narrow" w:eastAsia="Times New Roman" w:hAnsi="Arial Narrow" w:cs="Arial"/>
    </w:rPr>
    <w:tblPr>
      <w:tblStyleRowBandSize w:val="1"/>
      <w:tblStyleColBandSize w:val="1"/>
      <w:tblInd w:w="0" w:type="nil"/>
      <w:tblBorders>
        <w:top w:val="single" w:sz="8" w:space="0" w:color="8064A2"/>
        <w:left w:val="single" w:sz="8" w:space="0" w:color="8064A2"/>
        <w:bottom w:val="single" w:sz="8" w:space="0" w:color="8064A2"/>
        <w:right w:val="single" w:sz="8" w:space="0" w:color="8064A2"/>
      </w:tblBorders>
    </w:tblPr>
    <w:tblStylePr w:type="firstRow">
      <w:pPr>
        <w:spacing w:beforeLines="0" w:before="0" w:beforeAutospacing="0" w:afterLines="0" w:after="0" w:afterAutospacing="0" w:line="240" w:lineRule="auto"/>
      </w:pPr>
      <w:rPr>
        <w:b/>
        <w:bCs/>
        <w:color w:val="FFFFFF"/>
      </w:rPr>
      <w:tblPr/>
      <w:tcPr>
        <w:shd w:val="clear" w:color="auto" w:fill="8064A2"/>
      </w:tcPr>
    </w:tblStylePr>
    <w:tblStylePr w:type="lastRow">
      <w:pPr>
        <w:spacing w:beforeLines="0" w:before="0" w:beforeAutospacing="0" w:afterLines="0" w:after="0" w:afterAutospacing="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styleId="ColorfulShading-Accent4">
    <w:name w:val="Colorful Shading Accent 4"/>
    <w:basedOn w:val="TableNormal"/>
    <w:uiPriority w:val="71"/>
    <w:rsid w:val="00FA6A77"/>
    <w:pPr>
      <w:spacing w:after="0" w:line="240" w:lineRule="auto"/>
    </w:pPr>
    <w:rPr>
      <w:rFonts w:ascii="Arial Narrow" w:eastAsia="Times New Roman" w:hAnsi="Arial Narrow" w:cs="Arial"/>
    </w:rPr>
    <w:tblPr>
      <w:tblStyleRowBandSize w:val="1"/>
      <w:tblStyleColBandSize w:val="1"/>
      <w:tblInd w:w="0" w:type="nil"/>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Lines="0" w:before="0" w:beforeAutospacing="0" w:afterLines="0" w:after="0" w:afterAutospacing="0" w:line="240" w:lineRule="auto"/>
      </w:pPr>
      <w:rPr>
        <w:rFonts w:ascii="New York" w:eastAsia="Helvetica" w:hAnsi="New York" w:cs="Times New Roman" w:hint="default"/>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Lines="0" w:before="0" w:beforeAutospacing="0" w:afterLines="0" w:after="0" w:afterAutospacing="0" w:line="240" w:lineRule="auto"/>
      </w:pPr>
      <w:rPr>
        <w:rFonts w:ascii="New York" w:eastAsia="Helvetica" w:hAnsi="New York" w:cs="Times New Roman" w:hint="default"/>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New York" w:eastAsia="Helvetica" w:hAnsi="New York" w:cs="Times New Roman" w:hint="default"/>
        <w:b/>
        <w:bCs/>
      </w:rPr>
    </w:tblStylePr>
    <w:tblStylePr w:type="lastCol">
      <w:rPr>
        <w:rFonts w:ascii="New York" w:eastAsia="Helvetica" w:hAnsi="New York" w:cs="Times New Roman" w:hint="default"/>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ColorfulList-Accent4">
    <w:name w:val="Colorful List Accent 4"/>
    <w:basedOn w:val="TableNormal"/>
    <w:uiPriority w:val="72"/>
    <w:rsid w:val="00FA6A77"/>
    <w:pPr>
      <w:spacing w:after="0" w:line="240" w:lineRule="auto"/>
    </w:pPr>
    <w:rPr>
      <w:rFonts w:ascii="Arial Narrow" w:eastAsia="Times New Roman" w:hAnsi="Arial Narrow" w:cs="Arial"/>
    </w:rPr>
    <w:tblPr>
      <w:tblStyleRowBandSize w:val="1"/>
      <w:tblStyleColBandSize w:val="1"/>
      <w:tblInd w:w="0" w:type="nil"/>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Lines="0" w:before="0" w:beforeAutospacing="0" w:afterLines="0" w:after="0" w:afterAutospacing="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Lines="0" w:before="0" w:beforeAutospacing="0" w:afterLines="0" w:after="0" w:afterAutospacing="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ColorfulGrid-Accent4">
    <w:name w:val="Colorful Grid Accent 4"/>
    <w:basedOn w:val="TableNormal"/>
    <w:uiPriority w:val="73"/>
    <w:rsid w:val="00FA6A77"/>
    <w:pPr>
      <w:spacing w:after="0" w:line="240" w:lineRule="auto"/>
    </w:pPr>
    <w:rPr>
      <w:rFonts w:ascii="Arial Narrow" w:eastAsia="Times New Roman" w:hAnsi="Arial Narrow" w:cs="Arial"/>
    </w:rPr>
    <w:tblPr>
      <w:tblStyleRowBandSize w:val="1"/>
      <w:tblStyleColBandSize w:val="1"/>
      <w:tblInd w:w="0" w:type="nil"/>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LightShading-Accent5">
    <w:name w:val="Light Shading Accent 5"/>
    <w:basedOn w:val="TableNormal"/>
    <w:uiPriority w:val="60"/>
    <w:rsid w:val="00FA6A77"/>
    <w:pPr>
      <w:spacing w:after="0" w:line="240" w:lineRule="auto"/>
    </w:pPr>
    <w:rPr>
      <w:rFonts w:ascii="Arial Narrow" w:eastAsia="Times New Roman" w:hAnsi="Arial Narrow" w:cs="Arial"/>
      <w:color w:val="000000"/>
    </w:rPr>
    <w:tblPr>
      <w:tblStyleRowBandSize w:val="1"/>
      <w:tblStyleColBandSize w:val="1"/>
      <w:tblInd w:w="0" w:type="nil"/>
      <w:tblBorders>
        <w:top w:val="single" w:sz="8" w:space="0" w:color="8064A2"/>
        <w:bottom w:val="single" w:sz="8" w:space="0" w:color="8064A2"/>
      </w:tblBorders>
    </w:tblPr>
    <w:tblStylePr w:type="firstRow">
      <w:rPr>
        <w:rFonts w:ascii="New York" w:eastAsia="Helvetica" w:hAnsi="New York" w:cs="Times New Roman" w:hint="default"/>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styleId="LightList-Accent5">
    <w:name w:val="Light List Accent 5"/>
    <w:basedOn w:val="TableNormal"/>
    <w:uiPriority w:val="61"/>
    <w:rsid w:val="00FA6A77"/>
    <w:pPr>
      <w:spacing w:after="0" w:line="240" w:lineRule="auto"/>
    </w:pPr>
    <w:rPr>
      <w:rFonts w:ascii="Arial Narrow" w:eastAsia="MS Gothic" w:hAnsi="Arial Narrow" w:cs="Arial"/>
      <w:color w:val="000000"/>
    </w:rPr>
    <w:tblPr>
      <w:tblStyleRowBandSize w:val="1"/>
      <w:tblStyleColBandSize w:val="1"/>
      <w:tblInd w:w="0" w:type="nil"/>
      <w:tblBorders>
        <w:top w:val="single" w:sz="8" w:space="0" w:color="8064A2"/>
        <w:left w:val="single" w:sz="8" w:space="0" w:color="8064A2"/>
        <w:bottom w:val="single" w:sz="8" w:space="0" w:color="8064A2"/>
        <w:right w:val="single" w:sz="8" w:space="0" w:color="8064A2"/>
      </w:tblBorders>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styleId="LightGrid-Accent5">
    <w:name w:val="Light Grid Accent 5"/>
    <w:basedOn w:val="TableNormal"/>
    <w:uiPriority w:val="62"/>
    <w:rsid w:val="00FA6A77"/>
    <w:pPr>
      <w:spacing w:after="0" w:line="240" w:lineRule="auto"/>
    </w:pPr>
    <w:rPr>
      <w:rFonts w:ascii="Arial Narrow" w:eastAsia="Times New Roman" w:hAnsi="Arial Narrow" w:cs="Arial"/>
    </w:rPr>
    <w:tblPr>
      <w:tblStyleRowBandSize w:val="1"/>
      <w:tblStyleColBandSize w:val="1"/>
      <w:tblInd w:w="0" w:type="nil"/>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styleId="MediumShading1-Accent5">
    <w:name w:val="Medium Shading 1 Accent 5"/>
    <w:basedOn w:val="TableNormal"/>
    <w:uiPriority w:val="63"/>
    <w:rsid w:val="00FA6A77"/>
    <w:pPr>
      <w:spacing w:after="0" w:line="240" w:lineRule="auto"/>
    </w:pPr>
    <w:rPr>
      <w:rFonts w:ascii="Arial Narrow" w:eastAsia="MS Gothic" w:hAnsi="Arial Narrow" w:cs="Arial"/>
      <w:color w:val="000000"/>
    </w:rPr>
    <w:tblPr>
      <w:tblStyleRowBandSize w:val="1"/>
      <w:tblStyleColBandSize w:val="1"/>
      <w:tblInd w:w="0" w:type="nil"/>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8064A2"/>
          <w:insideV w:val="single" w:sz="6" w:space="0" w:color="8064A2"/>
        </w:tcBorders>
        <w:shd w:val="clear" w:color="auto" w:fill="BFB1D0"/>
      </w:tcPr>
    </w:tblStylePr>
    <w:tblStylePr w:type="nwCell">
      <w:tblPr/>
      <w:tcPr>
        <w:shd w:val="clear" w:color="auto" w:fill="FFFFFF"/>
      </w:tcPr>
    </w:tblStylePr>
  </w:style>
  <w:style w:type="table" w:styleId="MediumShading2-Accent5">
    <w:name w:val="Medium Shading 2 Accent 5"/>
    <w:basedOn w:val="TableNormal"/>
    <w:uiPriority w:val="64"/>
    <w:rsid w:val="00FA6A77"/>
    <w:pPr>
      <w:spacing w:after="0" w:line="240" w:lineRule="auto"/>
    </w:pPr>
    <w:rPr>
      <w:rFonts w:ascii="Arial Narrow" w:eastAsia="Times New Roman" w:hAnsi="Arial Narrow" w:cs="Arial"/>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styleId="MediumList1-Accent5">
    <w:name w:val="Medium List 1 Accent 5"/>
    <w:basedOn w:val="TableNormal"/>
    <w:uiPriority w:val="65"/>
    <w:rsid w:val="00FA6A77"/>
    <w:pPr>
      <w:spacing w:after="0" w:line="240" w:lineRule="auto"/>
    </w:pPr>
    <w:rPr>
      <w:rFonts w:ascii="Arial Narrow" w:eastAsia="Times New Roman" w:hAnsi="Arial Narrow" w:cs="Arial"/>
      <w:color w:val="FFFFFF"/>
    </w:rPr>
    <w:tblPr>
      <w:tblStyleRowBandSize w:val="1"/>
      <w:tblStyleColBandSize w:val="1"/>
      <w:tblInd w:w="0" w:type="nil"/>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styleId="MediumList2-Accent5">
    <w:name w:val="Medium List 2 Accent 5"/>
    <w:basedOn w:val="TableNormal"/>
    <w:uiPriority w:val="66"/>
    <w:rsid w:val="00FA6A77"/>
    <w:pPr>
      <w:spacing w:after="0" w:line="240" w:lineRule="auto"/>
    </w:pPr>
    <w:rPr>
      <w:rFonts w:ascii="Arial Narrow" w:eastAsia="Times New Roman" w:hAnsi="Arial Narrow" w:cs="Arial"/>
      <w:color w:val="000000"/>
    </w:rPr>
    <w:tblPr>
      <w:tblStyleRowBandSize w:val="1"/>
      <w:tblStyleColBandSize w:val="1"/>
      <w:tblInd w:w="0" w:type="nil"/>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b/>
        <w:bCs/>
      </w:rPr>
      <w:tblPr/>
      <w:tcPr>
        <w:tcBorders>
          <w:top w:val="nil"/>
          <w:left w:val="nil"/>
          <w:bottom w:val="single" w:sz="24" w:space="0" w:color="9BBB59"/>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4C3B62"/>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styleId="MediumGrid1-Accent5">
    <w:name w:val="Medium Grid 1 Accent 5"/>
    <w:basedOn w:val="TableNormal"/>
    <w:uiPriority w:val="67"/>
    <w:rsid w:val="00FA6A77"/>
    <w:pPr>
      <w:spacing w:after="0" w:line="240" w:lineRule="auto"/>
    </w:pPr>
    <w:rPr>
      <w:rFonts w:ascii="Arial Narrow" w:eastAsia="Times New Roman" w:hAnsi="Arial Narrow" w:cs="Arial"/>
      <w:color w:val="000000"/>
    </w:rPr>
    <w:tblPr>
      <w:tblStyleRowBandSize w:val="1"/>
      <w:tblStyleColBandSize w:val="1"/>
      <w:tblInd w:w="0" w:type="nil"/>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styleId="MediumGrid2-Accent5">
    <w:name w:val="Medium Grid 2 Accent 5"/>
    <w:basedOn w:val="TableNormal"/>
    <w:uiPriority w:val="68"/>
    <w:rsid w:val="00FA6A77"/>
    <w:pPr>
      <w:spacing w:after="0" w:line="240" w:lineRule="auto"/>
    </w:pPr>
    <w:rPr>
      <w:rFonts w:ascii="Arial Narrow" w:eastAsia="Times New Roman" w:hAnsi="Arial Narrow" w:cs="Arial"/>
      <w:color w:val="000000"/>
    </w:rPr>
    <w:tblPr>
      <w:tblStyleRowBandSize w:val="1"/>
      <w:tblStyleColBandSize w:val="1"/>
      <w:tblInd w:w="0" w:type="nil"/>
      <w:tblBorders>
        <w:insideH w:val="single" w:sz="4" w:space="0" w:color="FFFFFF"/>
      </w:tblBorders>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styleId="MediumGrid3-Accent5">
    <w:name w:val="Medium Grid 3 Accent 5"/>
    <w:basedOn w:val="TableNormal"/>
    <w:uiPriority w:val="69"/>
    <w:rsid w:val="00FA6A77"/>
    <w:pPr>
      <w:spacing w:after="0" w:line="240" w:lineRule="auto"/>
    </w:pPr>
    <w:rPr>
      <w:rFonts w:ascii="Arial Narrow" w:eastAsia="Times New Roman" w:hAnsi="Arial Narrow" w:cs="Arial"/>
      <w:color w:val="31849B"/>
    </w:rPr>
    <w:tblPr>
      <w:tblStyleRowBandSize w:val="1"/>
      <w:tblStyleColBandSize w:val="1"/>
      <w:tblInd w:w="0" w:type="nil"/>
      <w:tblBorders>
        <w:top w:val="single" w:sz="8" w:space="0" w:color="4BACC6"/>
        <w:bottom w:val="single" w:sz="8" w:space="0" w:color="4BACC6"/>
      </w:tblBorders>
    </w:tblPr>
    <w:tblStylePr w:type="firstRow">
      <w:pPr>
        <w:spacing w:beforeLines="0" w:before="0" w:beforeAutospacing="0" w:afterLines="0" w:after="0" w:afterAutospacing="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DarkList-Accent5">
    <w:name w:val="Dark List Accent 5"/>
    <w:basedOn w:val="TableNormal"/>
    <w:uiPriority w:val="70"/>
    <w:rsid w:val="00FA6A77"/>
    <w:pPr>
      <w:spacing w:after="0" w:line="240" w:lineRule="auto"/>
    </w:pPr>
    <w:rPr>
      <w:rFonts w:ascii="Arial Narrow" w:eastAsia="Times New Roman" w:hAnsi="Arial Narrow" w:cs="Arial"/>
    </w:rPr>
    <w:tblPr>
      <w:tblStyleRowBandSize w:val="1"/>
      <w:tblStyleColBandSize w:val="1"/>
      <w:tblInd w:w="0" w:type="nil"/>
      <w:tblBorders>
        <w:top w:val="single" w:sz="8" w:space="0" w:color="4BACC6"/>
        <w:left w:val="single" w:sz="8" w:space="0" w:color="4BACC6"/>
        <w:bottom w:val="single" w:sz="8" w:space="0" w:color="4BACC6"/>
        <w:right w:val="single" w:sz="8" w:space="0" w:color="4BACC6"/>
      </w:tblBorders>
    </w:tblPr>
    <w:tblStylePr w:type="firstRow">
      <w:pPr>
        <w:spacing w:beforeLines="0" w:before="0" w:beforeAutospacing="0" w:afterLines="0" w:after="0" w:afterAutospacing="0" w:line="240" w:lineRule="auto"/>
      </w:pPr>
      <w:rPr>
        <w:b/>
        <w:bCs/>
        <w:color w:val="FFFFFF"/>
      </w:rPr>
      <w:tblPr/>
      <w:tcPr>
        <w:shd w:val="clear" w:color="auto" w:fill="4BACC6"/>
      </w:tcPr>
    </w:tblStylePr>
    <w:tblStylePr w:type="lastRow">
      <w:pPr>
        <w:spacing w:beforeLines="0" w:before="0" w:beforeAutospacing="0" w:afterLines="0" w:after="0" w:afterAutospacing="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ColorfulShading-Accent5">
    <w:name w:val="Colorful Shading Accent 5"/>
    <w:basedOn w:val="TableNormal"/>
    <w:uiPriority w:val="71"/>
    <w:rsid w:val="00FA6A77"/>
    <w:pPr>
      <w:spacing w:after="0" w:line="240" w:lineRule="auto"/>
    </w:pPr>
    <w:rPr>
      <w:rFonts w:ascii="Arial Narrow" w:eastAsia="Times New Roman" w:hAnsi="Arial Narrow" w:cs="Arial"/>
    </w:rPr>
    <w:tblPr>
      <w:tblStyleRowBandSize w:val="1"/>
      <w:tblStyleColBandSize w:val="1"/>
      <w:tblInd w:w="0" w:type="nil"/>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Lines="0" w:before="0" w:beforeAutospacing="0" w:afterLines="0" w:after="0" w:afterAutospacing="0" w:line="240" w:lineRule="auto"/>
      </w:pPr>
      <w:rPr>
        <w:rFonts w:ascii="New York" w:eastAsia="Helvetica" w:hAnsi="New York" w:cs="Times New Roman" w:hint="default"/>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Lines="0" w:before="0" w:beforeAutospacing="0" w:afterLines="0" w:after="0" w:afterAutospacing="0" w:line="240" w:lineRule="auto"/>
      </w:pPr>
      <w:rPr>
        <w:rFonts w:ascii="New York" w:eastAsia="Helvetica" w:hAnsi="New York" w:cs="Times New Roman" w:hint="default"/>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New York" w:eastAsia="Helvetica" w:hAnsi="New York" w:cs="Times New Roman" w:hint="default"/>
        <w:b/>
        <w:bCs/>
      </w:rPr>
    </w:tblStylePr>
    <w:tblStylePr w:type="lastCol">
      <w:rPr>
        <w:rFonts w:ascii="New York" w:eastAsia="Helvetica" w:hAnsi="New York" w:cs="Times New Roman" w:hint="default"/>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ColorfulList-Accent5">
    <w:name w:val="Colorful List Accent 5"/>
    <w:basedOn w:val="TableNormal"/>
    <w:uiPriority w:val="72"/>
    <w:rsid w:val="00FA6A77"/>
    <w:pPr>
      <w:spacing w:after="0" w:line="240" w:lineRule="auto"/>
    </w:pPr>
    <w:rPr>
      <w:rFonts w:ascii="Arial Narrow" w:eastAsia="Times New Roman" w:hAnsi="Arial Narrow" w:cs="Arial"/>
    </w:rPr>
    <w:tblPr>
      <w:tblStyleRowBandSize w:val="1"/>
      <w:tblStyleColBandSize w:val="1"/>
      <w:tblInd w:w="0" w:type="nil"/>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Lines="0" w:before="0" w:beforeAutospacing="0" w:afterLines="0" w:after="0" w:afterAutospacing="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Lines="0" w:before="0" w:beforeAutospacing="0" w:afterLines="0" w:after="0" w:afterAutospacing="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ColorfulGrid-Accent5">
    <w:name w:val="Colorful Grid Accent 5"/>
    <w:basedOn w:val="TableNormal"/>
    <w:uiPriority w:val="73"/>
    <w:rsid w:val="00FA6A77"/>
    <w:pPr>
      <w:spacing w:after="0" w:line="240" w:lineRule="auto"/>
    </w:pPr>
    <w:rPr>
      <w:rFonts w:ascii="Arial Narrow" w:eastAsia="Times New Roman" w:hAnsi="Arial Narrow" w:cs="Arial"/>
    </w:rPr>
    <w:tblPr>
      <w:tblStyleRowBandSize w:val="1"/>
      <w:tblStyleColBandSize w:val="1"/>
      <w:tblInd w:w="0" w:type="nil"/>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LightShading-Accent6">
    <w:name w:val="Light Shading Accent 6"/>
    <w:basedOn w:val="TableNormal"/>
    <w:uiPriority w:val="60"/>
    <w:rsid w:val="00FA6A77"/>
    <w:pPr>
      <w:spacing w:after="0" w:line="240" w:lineRule="auto"/>
    </w:pPr>
    <w:rPr>
      <w:rFonts w:ascii="Arial Narrow" w:eastAsia="Times New Roman" w:hAnsi="Arial Narrow" w:cs="Arial"/>
      <w:color w:val="000000"/>
    </w:rPr>
    <w:tblPr>
      <w:tblStyleRowBandSize w:val="1"/>
      <w:tblStyleColBandSize w:val="1"/>
      <w:tblInd w:w="0" w:type="nil"/>
      <w:tblBorders>
        <w:top w:val="single" w:sz="8" w:space="0" w:color="4BACC6"/>
        <w:bottom w:val="single" w:sz="8" w:space="0" w:color="4BACC6"/>
      </w:tblBorders>
    </w:tblPr>
    <w:tblStylePr w:type="firstRow">
      <w:rPr>
        <w:rFonts w:ascii="New York" w:eastAsia="Helvetica" w:hAnsi="New York" w:cs="Times New Roman" w:hint="default"/>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styleId="LightList-Accent6">
    <w:name w:val="Light List Accent 6"/>
    <w:basedOn w:val="TableNormal"/>
    <w:uiPriority w:val="61"/>
    <w:rsid w:val="00FA6A77"/>
    <w:pPr>
      <w:spacing w:after="0" w:line="240" w:lineRule="auto"/>
    </w:pPr>
    <w:rPr>
      <w:rFonts w:ascii="Arial Narrow" w:eastAsia="MS Gothic" w:hAnsi="Arial Narrow" w:cs="Arial"/>
      <w:color w:val="000000"/>
    </w:rPr>
    <w:tblPr>
      <w:tblStyleRowBandSize w:val="1"/>
      <w:tblStyleColBandSize w:val="1"/>
      <w:tblInd w:w="0" w:type="nil"/>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styleId="LightGrid-Accent6">
    <w:name w:val="Light Grid Accent 6"/>
    <w:basedOn w:val="TableNormal"/>
    <w:uiPriority w:val="62"/>
    <w:rsid w:val="00FA6A77"/>
    <w:pPr>
      <w:spacing w:after="0" w:line="240" w:lineRule="auto"/>
    </w:pPr>
    <w:rPr>
      <w:rFonts w:ascii="Arial Narrow" w:eastAsia="Times New Roman" w:hAnsi="Arial Narrow" w:cs="Arial"/>
    </w:rPr>
    <w:tblPr>
      <w:tblStyleRowBandSize w:val="1"/>
      <w:tblStyleColBandSize w:val="1"/>
      <w:tblInd w:w="0" w:type="nil"/>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MediumShading1-Accent6">
    <w:name w:val="Medium Shading 1 Accent 6"/>
    <w:basedOn w:val="TableNormal"/>
    <w:uiPriority w:val="63"/>
    <w:rsid w:val="00FA6A77"/>
    <w:pPr>
      <w:spacing w:after="0" w:line="240" w:lineRule="auto"/>
    </w:pPr>
    <w:rPr>
      <w:rFonts w:ascii="Arial Narrow" w:eastAsia="MS Gothic" w:hAnsi="Arial Narrow" w:cs="Arial"/>
      <w:color w:val="000000"/>
    </w:rPr>
    <w:tblPr>
      <w:tblStyleRowBandSize w:val="1"/>
      <w:tblStyleColBandSize w:val="1"/>
      <w:tblInd w:w="0" w:type="nil"/>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styleId="MediumShading2-Accent6">
    <w:name w:val="Medium Shading 2 Accent 6"/>
    <w:basedOn w:val="TableNormal"/>
    <w:uiPriority w:val="64"/>
    <w:rsid w:val="00FA6A77"/>
    <w:pPr>
      <w:spacing w:after="0" w:line="240" w:lineRule="auto"/>
    </w:pPr>
    <w:rPr>
      <w:rFonts w:ascii="Arial Narrow" w:eastAsia="Times New Roman" w:hAnsi="Arial Narrow" w:cs="Arial"/>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MediumList1-Accent6">
    <w:name w:val="Medium List 1 Accent 6"/>
    <w:basedOn w:val="TableNormal"/>
    <w:uiPriority w:val="65"/>
    <w:rsid w:val="00FA6A77"/>
    <w:pPr>
      <w:spacing w:after="0" w:line="240" w:lineRule="auto"/>
    </w:pPr>
    <w:rPr>
      <w:rFonts w:ascii="Arial Narrow" w:eastAsia="Times New Roman" w:hAnsi="Arial Narrow" w:cs="Arial"/>
      <w:color w:val="FFFFFF"/>
    </w:rPr>
    <w:tblPr>
      <w:tblStyleRowBandSize w:val="1"/>
      <w:tblStyleColBandSize w:val="1"/>
      <w:tblInd w:w="0" w:type="nil"/>
    </w:tblPr>
    <w:tcPr>
      <w:shd w:val="clear" w:color="auto" w:fill="4BACC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single" w:sz="18" w:space="0" w:color="FFFFFF"/>
          <w:bottom w:val="nil"/>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styleId="MediumList2-Accent6">
    <w:name w:val="Medium List 2 Accent 6"/>
    <w:basedOn w:val="TableNormal"/>
    <w:uiPriority w:val="66"/>
    <w:rsid w:val="00FA6A77"/>
    <w:pPr>
      <w:spacing w:after="0" w:line="240" w:lineRule="auto"/>
    </w:pPr>
    <w:rPr>
      <w:rFonts w:ascii="Arial Narrow" w:eastAsia="Times New Roman" w:hAnsi="Arial Narrow" w:cs="Arial"/>
      <w:color w:val="000000"/>
    </w:rPr>
    <w:tblPr>
      <w:tblStyleRowBandSize w:val="1"/>
      <w:tblStyleColBandSize w:val="1"/>
      <w:tblInd w:w="0" w:type="nil"/>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styleId="MediumGrid1-Accent6">
    <w:name w:val="Medium Grid 1 Accent 6"/>
    <w:basedOn w:val="TableNormal"/>
    <w:uiPriority w:val="67"/>
    <w:rsid w:val="00FA6A77"/>
    <w:pPr>
      <w:spacing w:after="0" w:line="240" w:lineRule="auto"/>
    </w:pPr>
    <w:rPr>
      <w:rFonts w:ascii="Arial Narrow" w:eastAsia="Times New Roman" w:hAnsi="Arial Narrow" w:cs="Arial"/>
      <w:color w:val="000000"/>
    </w:rPr>
    <w:tblPr>
      <w:tblStyleRowBandSize w:val="1"/>
      <w:tblStyleColBandSize w:val="1"/>
      <w:tblInd w:w="0" w:type="nil"/>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styleId="MediumGrid2-Accent6">
    <w:name w:val="Medium Grid 2 Accent 6"/>
    <w:basedOn w:val="TableNormal"/>
    <w:uiPriority w:val="68"/>
    <w:rsid w:val="00FA6A77"/>
    <w:pPr>
      <w:spacing w:after="0" w:line="240" w:lineRule="auto"/>
    </w:pPr>
    <w:rPr>
      <w:rFonts w:ascii="Arial Narrow" w:eastAsia="Times New Roman" w:hAnsi="Arial Narrow" w:cs="Arial"/>
      <w:color w:val="000000"/>
    </w:rPr>
    <w:tblPr>
      <w:tblStyleRowBandSize w:val="1"/>
      <w:tblStyleColBandSize w:val="1"/>
      <w:tblInd w:w="0" w:type="nil"/>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styleId="DarkList-Accent6">
    <w:name w:val="Dark List Accent 6"/>
    <w:basedOn w:val="TableNormal"/>
    <w:uiPriority w:val="70"/>
    <w:rsid w:val="00FA6A77"/>
    <w:pPr>
      <w:spacing w:after="0" w:line="240" w:lineRule="auto"/>
    </w:pPr>
    <w:rPr>
      <w:rFonts w:ascii="Arial Narrow" w:eastAsia="Times New Roman" w:hAnsi="Arial Narrow" w:cs="Arial"/>
    </w:rPr>
    <w:tblPr>
      <w:tblStyleRowBandSize w:val="1"/>
      <w:tblStyleColBandSize w:val="1"/>
      <w:tblInd w:w="0" w:type="nil"/>
      <w:tblBorders>
        <w:top w:val="single" w:sz="8" w:space="0" w:color="F79646"/>
        <w:left w:val="single" w:sz="8" w:space="0" w:color="F79646"/>
        <w:bottom w:val="single" w:sz="8" w:space="0" w:color="F79646"/>
        <w:right w:val="single" w:sz="8" w:space="0" w:color="F79646"/>
      </w:tblBorders>
    </w:tblPr>
    <w:tblStylePr w:type="firstRow">
      <w:pPr>
        <w:spacing w:beforeLines="0" w:before="0" w:beforeAutospacing="0" w:afterLines="0" w:after="0" w:afterAutospacing="0" w:line="240" w:lineRule="auto"/>
      </w:pPr>
      <w:rPr>
        <w:b/>
        <w:bCs/>
        <w:color w:val="FFFFFF"/>
      </w:rPr>
      <w:tblPr/>
      <w:tcPr>
        <w:shd w:val="clear" w:color="auto" w:fill="F79646"/>
      </w:tcPr>
    </w:tblStylePr>
    <w:tblStylePr w:type="lastRow">
      <w:pPr>
        <w:spacing w:beforeLines="0" w:before="0" w:beforeAutospacing="0" w:afterLines="0" w:after="0" w:afterAutospacing="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ColorfulShading-Accent6">
    <w:name w:val="Colorful Shading Accent 6"/>
    <w:basedOn w:val="TableNormal"/>
    <w:uiPriority w:val="71"/>
    <w:rsid w:val="00FA6A77"/>
    <w:pPr>
      <w:spacing w:after="0" w:line="240" w:lineRule="auto"/>
    </w:pPr>
    <w:rPr>
      <w:rFonts w:ascii="Arial Narrow" w:eastAsia="Times New Roman" w:hAnsi="Arial Narrow" w:cs="Arial"/>
    </w:rPr>
    <w:tblPr>
      <w:tblStyleRowBandSize w:val="1"/>
      <w:tblStyleColBandSize w:val="1"/>
      <w:tblInd w:w="0" w:type="nil"/>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Lines="0" w:before="0" w:beforeAutospacing="0" w:afterLines="0" w:after="0" w:afterAutospacing="0" w:line="240" w:lineRule="auto"/>
      </w:pPr>
      <w:rPr>
        <w:rFonts w:ascii="New York" w:eastAsia="Helvetica" w:hAnsi="New York" w:cs="Times New Roman" w:hint="default"/>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Lines="0" w:before="0" w:beforeAutospacing="0" w:afterLines="0" w:after="0" w:afterAutospacing="0" w:line="240" w:lineRule="auto"/>
      </w:pPr>
      <w:rPr>
        <w:rFonts w:ascii="New York" w:eastAsia="Helvetica" w:hAnsi="New York" w:cs="Times New Roman" w:hint="default"/>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New York" w:eastAsia="Helvetica" w:hAnsi="New York" w:cs="Times New Roman" w:hint="default"/>
        <w:b/>
        <w:bCs/>
      </w:rPr>
    </w:tblStylePr>
    <w:tblStylePr w:type="lastCol">
      <w:rPr>
        <w:rFonts w:ascii="New York" w:eastAsia="Helvetica" w:hAnsi="New York" w:cs="Times New Roman" w:hint="default"/>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ColorfulList-Accent6">
    <w:name w:val="Colorful List Accent 6"/>
    <w:basedOn w:val="TableNormal"/>
    <w:uiPriority w:val="72"/>
    <w:rsid w:val="00FA6A77"/>
    <w:pPr>
      <w:spacing w:after="0" w:line="240" w:lineRule="auto"/>
    </w:pPr>
    <w:rPr>
      <w:rFonts w:ascii="Arial Narrow" w:eastAsia="Times New Roman" w:hAnsi="Arial Narrow" w:cs="Arial"/>
    </w:rPr>
    <w:tblPr>
      <w:tblStyleRowBandSize w:val="1"/>
      <w:tblStyleColBandSize w:val="1"/>
      <w:tblInd w:w="0" w:type="nil"/>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Lines="0" w:before="0" w:beforeAutospacing="0" w:afterLines="0" w:after="0" w:afterAutospacing="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Lines="0" w:before="0" w:beforeAutospacing="0" w:afterLines="0" w:after="0" w:afterAutospacing="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ColorfulGrid-Accent6">
    <w:name w:val="Colorful Grid Accent 6"/>
    <w:basedOn w:val="TableNormal"/>
    <w:uiPriority w:val="73"/>
    <w:rsid w:val="00FA6A77"/>
    <w:pPr>
      <w:spacing w:after="0" w:line="240" w:lineRule="auto"/>
    </w:pPr>
    <w:rPr>
      <w:rFonts w:ascii="Arial Narrow" w:eastAsia="Times New Roman" w:hAnsi="Arial Narrow" w:cs="Arial"/>
    </w:rPr>
    <w:tblPr>
      <w:tblStyleRowBandSize w:val="1"/>
      <w:tblStyleColBandSize w:val="1"/>
      <w:tblInd w:w="0" w:type="nil"/>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WCCLTP1">
    <w:name w:val="WCC LTP 1"/>
    <w:basedOn w:val="TableNormal"/>
    <w:uiPriority w:val="99"/>
    <w:rsid w:val="00FA6A77"/>
    <w:pPr>
      <w:spacing w:before="113" w:after="113" w:line="200" w:lineRule="atLeast"/>
    </w:pPr>
    <w:rPr>
      <w:rFonts w:eastAsia="Times New Roman" w:cs="Times New Roman"/>
      <w:sz w:val="16"/>
    </w:rPr>
    <w:tblPr>
      <w:tblInd w:w="0" w:type="nil"/>
      <w:tblBorders>
        <w:top w:val="single" w:sz="4" w:space="0" w:color="82858F"/>
        <w:bottom w:val="single" w:sz="4" w:space="0" w:color="82858F"/>
        <w:insideH w:val="single" w:sz="4" w:space="0" w:color="82858F"/>
      </w:tblBorders>
      <w:tblCellMar>
        <w:left w:w="113" w:type="dxa"/>
        <w:right w:w="113" w:type="dxa"/>
      </w:tblCellMar>
    </w:tblPr>
    <w:tblStylePr w:type="firstRow">
      <w:rPr>
        <w:rFonts w:asciiTheme="majorHAnsi" w:hAnsiTheme="majorHAnsi" w:hint="default"/>
      </w:rPr>
      <w:tblPr/>
      <w:tcPr>
        <w:tcBorders>
          <w:top w:val="nil"/>
          <w:left w:val="nil"/>
          <w:bottom w:val="single" w:sz="4" w:space="0" w:color="82858F"/>
          <w:right w:val="nil"/>
          <w:insideH w:val="nil"/>
          <w:insideV w:val="nil"/>
          <w:tl2br w:val="nil"/>
          <w:tr2bl w:val="nil"/>
        </w:tcBorders>
        <w:shd w:val="clear" w:color="auto" w:fill="FFDE00"/>
      </w:tcPr>
    </w:tblStylePr>
  </w:style>
  <w:style w:type="table" w:customStyle="1" w:styleId="WCCLTP2">
    <w:name w:val="WCC LTP 2"/>
    <w:basedOn w:val="WCCLTP1"/>
    <w:uiPriority w:val="99"/>
    <w:rsid w:val="00FA6A77"/>
    <w:tblPr>
      <w:tblBorders>
        <w:top w:val="none" w:sz="0" w:space="0" w:color="auto"/>
        <w:bottom w:val="none" w:sz="0" w:space="0" w:color="auto"/>
        <w:insideH w:val="none" w:sz="0" w:space="0" w:color="auto"/>
        <w:insideV w:val="single" w:sz="4" w:space="0" w:color="82858F"/>
      </w:tblBorders>
    </w:tblPr>
    <w:tblStylePr w:type="firstRow">
      <w:rPr>
        <w:rFonts w:asciiTheme="majorHAnsi" w:hAnsiTheme="majorHAnsi" w:hint="default"/>
        <w:b/>
      </w:rPr>
      <w:tblPr/>
      <w:tcPr>
        <w:tcBorders>
          <w:top w:val="nil"/>
          <w:left w:val="nil"/>
          <w:bottom w:val="single" w:sz="4" w:space="0" w:color="82858F"/>
          <w:right w:val="nil"/>
          <w:insideH w:val="nil"/>
          <w:insideV w:val="single" w:sz="4" w:space="0" w:color="82858F"/>
          <w:tl2br w:val="nil"/>
          <w:tr2bl w:val="nil"/>
        </w:tcBorders>
        <w:shd w:val="clear" w:color="auto" w:fill="E2E3E3"/>
      </w:tcPr>
    </w:tblStylePr>
  </w:style>
  <w:style w:type="paragraph" w:customStyle="1" w:styleId="xl103">
    <w:name w:val="xl103"/>
    <w:basedOn w:val="Normal"/>
    <w:rsid w:val="00030337"/>
    <w:pPr>
      <w:pBdr>
        <w:top w:val="single" w:sz="4" w:space="0" w:color="auto"/>
        <w:bottom w:val="single" w:sz="4" w:space="0" w:color="auto"/>
      </w:pBdr>
      <w:shd w:val="clear" w:color="000000" w:fill="D8E4BC"/>
      <w:spacing w:before="100" w:beforeAutospacing="1" w:after="100" w:afterAutospacing="1" w:line="240" w:lineRule="auto"/>
      <w:jc w:val="right"/>
    </w:pPr>
    <w:rPr>
      <w:rFonts w:ascii="Times New Roman" w:eastAsia="Times New Roman" w:hAnsi="Times New Roman"/>
      <w:sz w:val="24"/>
      <w:szCs w:val="24"/>
      <w:lang w:eastAsia="en-NZ"/>
    </w:rPr>
  </w:style>
  <w:style w:type="paragraph" w:customStyle="1" w:styleId="xl104">
    <w:name w:val="xl104"/>
    <w:basedOn w:val="Normal"/>
    <w:rsid w:val="00030337"/>
    <w:pPr>
      <w:pBdr>
        <w:top w:val="single" w:sz="4" w:space="0" w:color="auto"/>
        <w:bottom w:val="single" w:sz="4" w:space="0" w:color="auto"/>
      </w:pBdr>
      <w:shd w:val="clear" w:color="000000" w:fill="D8E4BC"/>
      <w:spacing w:before="100" w:beforeAutospacing="1" w:after="100" w:afterAutospacing="1" w:line="240" w:lineRule="auto"/>
      <w:jc w:val="center"/>
    </w:pPr>
    <w:rPr>
      <w:rFonts w:ascii="Times New Roman" w:eastAsia="Times New Roman" w:hAnsi="Times New Roman"/>
      <w:sz w:val="24"/>
      <w:szCs w:val="24"/>
      <w:lang w:eastAsia="en-NZ"/>
    </w:rPr>
  </w:style>
  <w:style w:type="paragraph" w:customStyle="1" w:styleId="xl105">
    <w:name w:val="xl105"/>
    <w:basedOn w:val="Normal"/>
    <w:rsid w:val="00030337"/>
    <w:pPr>
      <w:pBdr>
        <w:top w:val="single" w:sz="4" w:space="0" w:color="auto"/>
        <w:bottom w:val="single" w:sz="4" w:space="0" w:color="auto"/>
      </w:pBdr>
      <w:shd w:val="clear" w:color="000000" w:fill="D8E4BC"/>
      <w:spacing w:before="100" w:beforeAutospacing="1" w:after="100" w:afterAutospacing="1" w:line="240" w:lineRule="auto"/>
      <w:jc w:val="center"/>
    </w:pPr>
    <w:rPr>
      <w:rFonts w:ascii="Times New Roman" w:eastAsia="Times New Roman" w:hAnsi="Times New Roman"/>
      <w:sz w:val="24"/>
      <w:szCs w:val="24"/>
      <w:lang w:eastAsia="en-NZ"/>
    </w:rPr>
  </w:style>
  <w:style w:type="paragraph" w:customStyle="1" w:styleId="xl106">
    <w:name w:val="xl106"/>
    <w:basedOn w:val="Normal"/>
    <w:rsid w:val="00030337"/>
    <w:pPr>
      <w:shd w:val="clear" w:color="000000" w:fill="D8E4BC"/>
      <w:spacing w:before="100" w:beforeAutospacing="1" w:after="100" w:afterAutospacing="1" w:line="240" w:lineRule="auto"/>
    </w:pPr>
    <w:rPr>
      <w:rFonts w:ascii="Times New Roman" w:eastAsia="Times New Roman" w:hAnsi="Times New Roman"/>
      <w:b/>
      <w:bCs/>
      <w:sz w:val="24"/>
      <w:szCs w:val="24"/>
      <w:lang w:eastAsia="en-NZ"/>
    </w:rPr>
  </w:style>
  <w:style w:type="paragraph" w:customStyle="1" w:styleId="font5">
    <w:name w:val="font5"/>
    <w:basedOn w:val="Normal"/>
    <w:rsid w:val="00030337"/>
    <w:pPr>
      <w:spacing w:before="100" w:beforeAutospacing="1" w:after="100" w:afterAutospacing="1" w:line="240" w:lineRule="auto"/>
    </w:pPr>
    <w:rPr>
      <w:rFonts w:ascii="Calibri" w:eastAsia="Times New Roman" w:hAnsi="Calibri"/>
      <w:color w:val="000000"/>
      <w:lang w:eastAsia="en-NZ"/>
    </w:rPr>
  </w:style>
  <w:style w:type="paragraph" w:styleId="Revision">
    <w:name w:val="Revision"/>
    <w:hidden/>
    <w:uiPriority w:val="99"/>
    <w:semiHidden/>
    <w:rsid w:val="00030337"/>
    <w:pPr>
      <w:spacing w:after="0" w:line="240" w:lineRule="auto"/>
    </w:pPr>
    <w:rPr>
      <w:rFonts w:cs="Times New Roman"/>
    </w:rPr>
  </w:style>
  <w:style w:type="table" w:customStyle="1" w:styleId="Governance">
    <w:name w:val="Governance"/>
    <w:basedOn w:val="TableNormal"/>
    <w:uiPriority w:val="99"/>
    <w:rsid w:val="00030337"/>
    <w:pPr>
      <w:spacing w:after="0" w:line="240" w:lineRule="auto"/>
    </w:pPr>
    <w:tblPr/>
  </w:style>
  <w:style w:type="character" w:customStyle="1" w:styleId="e24kjd">
    <w:name w:val="e24kjd"/>
    <w:basedOn w:val="DefaultParagraphFont"/>
    <w:rsid w:val="00030337"/>
  </w:style>
  <w:style w:type="table" w:customStyle="1" w:styleId="TableGrid10">
    <w:name w:val="Table Grid1"/>
    <w:basedOn w:val="TableNormal"/>
    <w:next w:val="TableGrid"/>
    <w:rsid w:val="002527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984555"/>
    <w:rPr>
      <w:rFonts w:eastAsiaTheme="minorEastAsia" w:cs="Times New Roman"/>
      <w:b/>
      <w:bCs/>
      <w:szCs w:val="20"/>
    </w:rPr>
  </w:style>
  <w:style w:type="character" w:customStyle="1" w:styleId="CommentSubjectChar">
    <w:name w:val="Comment Subject Char"/>
    <w:basedOn w:val="CommentTextChar"/>
    <w:link w:val="CommentSubject"/>
    <w:uiPriority w:val="99"/>
    <w:semiHidden/>
    <w:rsid w:val="00984555"/>
    <w:rPr>
      <w:rFonts w:eastAsiaTheme="minorHAnsi" w:cs="Times New Roman"/>
      <w:b/>
      <w:bCs/>
      <w:sz w:val="20"/>
      <w:szCs w:val="20"/>
      <w:lang w:val="en-NZ" w:eastAsia="en-US" w:bidi="ar-SA"/>
    </w:rPr>
  </w:style>
  <w:style w:type="numbering" w:customStyle="1" w:styleId="NoList2">
    <w:name w:val="No List2"/>
    <w:next w:val="NoList"/>
    <w:uiPriority w:val="99"/>
    <w:semiHidden/>
    <w:unhideWhenUsed/>
    <w:rsid w:val="009609AB"/>
  </w:style>
  <w:style w:type="paragraph" w:customStyle="1" w:styleId="TableParagraph">
    <w:name w:val="Table Paragraph"/>
    <w:basedOn w:val="Normal"/>
    <w:uiPriority w:val="1"/>
    <w:qFormat/>
    <w:rsid w:val="009609AB"/>
    <w:pPr>
      <w:widowControl w:val="0"/>
      <w:spacing w:after="0" w:line="240" w:lineRule="auto"/>
    </w:pPr>
    <w:rPr>
      <w:rFonts w:eastAsia="Calibri"/>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N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5" w:qFormat="1"/>
    <w:lsdException w:name="heading 3" w:uiPriority="5" w:qFormat="1"/>
    <w:lsdException w:name="heading 4" w:uiPriority="5" w:qFormat="1"/>
    <w:lsdException w:name="heading 5" w:uiPriority="5" w:qFormat="1"/>
    <w:lsdException w:name="heading 6" w:uiPriority="9" w:qFormat="1"/>
    <w:lsdException w:name="heading 7" w:uiPriority="5" w:qFormat="1"/>
    <w:lsdException w:name="heading 8" w:uiPriority="5" w:qFormat="1"/>
    <w:lsdException w:name="heading 9" w:uiPriority="5"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 w:qFormat="1"/>
    <w:lsdException w:name="footnote reference" w:uiPriority="0"/>
    <w:lsdException w:name="Title" w:semiHidden="0" w:uiPriority="10" w:unhideWhenUsed="0" w:qFormat="1"/>
    <w:lsdException w:name="Default Paragraph Font" w:uiPriority="1"/>
    <w:lsdException w:name="Body Text" w:uiPriority="1" w:qFormat="1"/>
    <w:lsdException w:name="Subtitle" w:semiHidden="0" w:uiPriority="15" w:unhideWhenUsed="0" w:qFormat="1"/>
    <w:lsdException w:name="Strong" w:semiHidden="0" w:uiPriority="22" w:unhideWhenUsed="0" w:qFormat="1"/>
    <w:lsdException w:name="Emphasis" w:semiHidden="0" w:uiPriority="20" w:unhideWhenUsed="0" w:qFormat="1"/>
    <w:lsdException w:name="Table Simple 1" w:uiPriority="0"/>
    <w:lsdException w:name="Table Simple 2" w:uiPriority="0"/>
    <w:lsdException w:name="Table Simple 3" w:uiPriority="0"/>
    <w:lsdException w:name="Table Classic 1" w:uiPriority="0"/>
    <w:lsdException w:name="Table Classic 2" w:uiPriority="0"/>
    <w:lsdException w:name="Table Classic 3" w:uiPriority="0"/>
    <w:lsdException w:name="Table Classic 4" w:uiPriority="0"/>
    <w:lsdException w:name="Table Colorful 1" w:uiPriority="0"/>
    <w:lsdException w:name="Table Colorful 2" w:uiPriority="0"/>
    <w:lsdException w:name="Table Colorful 3" w:uiPriority="0"/>
    <w:lsdException w:name="Table Columns 1" w:uiPriority="0"/>
    <w:lsdException w:name="Table Columns 2" w:uiPriority="0"/>
    <w:lsdException w:name="Table Columns 3" w:uiPriority="0"/>
    <w:lsdException w:name="Table Columns 4" w:uiPriority="0"/>
    <w:lsdException w:name="Table Columns 5" w:uiPriority="0"/>
    <w:lsdException w:name="Table Grid 1" w:uiPriority="0"/>
    <w:lsdException w:name="Table Grid 2" w:uiPriority="0"/>
    <w:lsdException w:name="Table Grid 3" w:uiPriority="0"/>
    <w:lsdException w:name="Table Grid 4" w:uiPriority="0"/>
    <w:lsdException w:name="Table Grid 5" w:uiPriority="0"/>
    <w:lsdException w:name="Table Grid 6" w:uiPriority="0"/>
    <w:lsdException w:name="Table Grid 7" w:uiPriority="0"/>
    <w:lsdException w:name="Table Grid 8" w:uiPriority="0"/>
    <w:lsdException w:name="Table List 1" w:uiPriority="0"/>
    <w:lsdException w:name="Table List 2" w:uiPriority="0"/>
    <w:lsdException w:name="Table List 3" w:uiPriority="0"/>
    <w:lsdException w:name="Table List 4" w:uiPriority="0"/>
    <w:lsdException w:name="Table List 5" w:uiPriority="0"/>
    <w:lsdException w:name="Table List 6" w:uiPriority="0"/>
    <w:lsdException w:name="Table List 7" w:uiPriority="0"/>
    <w:lsdException w:name="Table List 8" w:uiPriority="0"/>
    <w:lsdException w:name="Table 3D effects 1" w:uiPriority="0"/>
    <w:lsdException w:name="Table 3D effects 2" w:uiPriority="0"/>
    <w:lsdException w:name="Table 3D effects 3" w:uiPriority="0"/>
    <w:lsdException w:name="Table Contemporary" w:uiPriority="0"/>
    <w:lsdException w:name="Table Elegant" w:uiPriority="0"/>
    <w:lsdException w:name="Table Professional" w:uiPriority="0"/>
    <w:lsdException w:name="Table Subtle 1" w:uiPriority="0"/>
    <w:lsdException w:name="Table Subtle 2" w:uiPriority="0"/>
    <w:lsdException w:name="Table Web 1" w:uiPriority="0"/>
    <w:lsdException w:name="Table Web 2" w:uiPriority="0"/>
    <w:lsdException w:name="Table Web 3" w:uiPriority="0"/>
    <w:lsdException w:name="Table Grid" w:semiHidden="0" w:uiPriority="0" w:unhideWhenUsed="0"/>
    <w:lsdException w:name="Table Theme"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56DAD"/>
    <w:rPr>
      <w:rFonts w:cs="Times New Roman"/>
    </w:rPr>
  </w:style>
  <w:style w:type="paragraph" w:styleId="Heading1">
    <w:name w:val="heading 1"/>
    <w:basedOn w:val="Normal"/>
    <w:next w:val="Normal"/>
    <w:link w:val="Heading1Char"/>
    <w:uiPriority w:val="1"/>
    <w:qFormat/>
    <w:rsid w:val="00556359"/>
    <w:pPr>
      <w:keepNext/>
      <w:keepLines/>
      <w:pBdr>
        <w:bottom w:val="single" w:sz="18" w:space="1" w:color="002060"/>
      </w:pBdr>
      <w:spacing w:before="480" w:after="0"/>
      <w:outlineLvl w:val="0"/>
    </w:pPr>
    <w:rPr>
      <w:rFonts w:asciiTheme="majorHAnsi" w:eastAsiaTheme="majorEastAsia" w:hAnsiTheme="majorHAnsi"/>
      <w:b/>
      <w:bCs/>
      <w:color w:val="002060"/>
      <w:sz w:val="52"/>
      <w:szCs w:val="28"/>
    </w:rPr>
  </w:style>
  <w:style w:type="paragraph" w:styleId="Heading2">
    <w:name w:val="heading 2"/>
    <w:basedOn w:val="Normal"/>
    <w:next w:val="Normal"/>
    <w:link w:val="Heading2Char"/>
    <w:uiPriority w:val="5"/>
    <w:unhideWhenUsed/>
    <w:qFormat/>
    <w:rsid w:val="00810293"/>
    <w:pPr>
      <w:keepNext/>
      <w:keepLines/>
      <w:spacing w:before="200" w:after="240" w:line="240" w:lineRule="auto"/>
      <w:outlineLvl w:val="1"/>
    </w:pPr>
    <w:rPr>
      <w:rFonts w:asciiTheme="majorHAnsi" w:eastAsiaTheme="majorEastAsia" w:hAnsiTheme="majorHAnsi"/>
      <w:b/>
      <w:bCs/>
      <w:color w:val="1F497D" w:themeColor="text2"/>
      <w:sz w:val="40"/>
      <w:szCs w:val="40"/>
    </w:rPr>
  </w:style>
  <w:style w:type="paragraph" w:styleId="Heading3">
    <w:name w:val="heading 3"/>
    <w:basedOn w:val="Normal"/>
    <w:next w:val="Normal"/>
    <w:link w:val="Heading3Char"/>
    <w:uiPriority w:val="5"/>
    <w:unhideWhenUsed/>
    <w:qFormat/>
    <w:rsid w:val="00AA2122"/>
    <w:pPr>
      <w:keepNext/>
      <w:keepLines/>
      <w:spacing w:before="200" w:after="0"/>
      <w:outlineLvl w:val="2"/>
    </w:pPr>
    <w:rPr>
      <w:rFonts w:eastAsia="Times New Roman" w:cstheme="minorHAnsi"/>
      <w:b/>
      <w:bCs/>
      <w:color w:val="4F81BD" w:themeColor="accent1"/>
      <w:sz w:val="34"/>
      <w:szCs w:val="34"/>
      <w:lang w:eastAsia="en-NZ"/>
    </w:rPr>
  </w:style>
  <w:style w:type="paragraph" w:styleId="Heading4">
    <w:name w:val="heading 4"/>
    <w:basedOn w:val="Normal"/>
    <w:next w:val="Normal"/>
    <w:link w:val="Heading4Char"/>
    <w:uiPriority w:val="5"/>
    <w:unhideWhenUsed/>
    <w:qFormat/>
    <w:rsid w:val="00846C1B"/>
    <w:pPr>
      <w:keepNext/>
      <w:keepLines/>
      <w:spacing w:before="200" w:after="0"/>
      <w:outlineLvl w:val="3"/>
    </w:pPr>
    <w:rPr>
      <w:rFonts w:ascii="Arial" w:eastAsiaTheme="majorEastAsia" w:hAnsi="Arial" w:cs="Arial"/>
      <w:b/>
      <w:bCs/>
      <w:i/>
      <w:iCs/>
      <w:color w:val="4F81BD" w:themeColor="accent1"/>
      <w:sz w:val="28"/>
    </w:rPr>
  </w:style>
  <w:style w:type="paragraph" w:styleId="Heading5">
    <w:name w:val="heading 5"/>
    <w:basedOn w:val="Normal"/>
    <w:next w:val="Normal"/>
    <w:link w:val="Heading5Char"/>
    <w:uiPriority w:val="5"/>
    <w:unhideWhenUsed/>
    <w:qFormat/>
    <w:rsid w:val="00961FC5"/>
    <w:pPr>
      <w:keepNext/>
      <w:keepLines/>
      <w:spacing w:before="200" w:after="0"/>
      <w:outlineLvl w:val="4"/>
    </w:pPr>
    <w:rPr>
      <w:rFonts w:asciiTheme="majorHAnsi" w:eastAsiaTheme="majorEastAsia" w:hAnsiTheme="majorHAnsi"/>
    </w:rPr>
  </w:style>
  <w:style w:type="paragraph" w:styleId="Heading6">
    <w:name w:val="heading 6"/>
    <w:basedOn w:val="Normal"/>
    <w:next w:val="Normal"/>
    <w:link w:val="Heading6Char"/>
    <w:uiPriority w:val="9"/>
    <w:unhideWhenUsed/>
    <w:qFormat/>
    <w:rsid w:val="003631E3"/>
    <w:pPr>
      <w:keepNext/>
      <w:keepLines/>
      <w:spacing w:before="200" w:after="0"/>
      <w:outlineLvl w:val="5"/>
    </w:pPr>
    <w:rPr>
      <w:rFonts w:eastAsiaTheme="majorEastAsia" w:cstheme="minorHAnsi"/>
      <w:b/>
      <w:i/>
      <w:iCs/>
    </w:rPr>
  </w:style>
  <w:style w:type="paragraph" w:styleId="Heading7">
    <w:name w:val="heading 7"/>
    <w:basedOn w:val="Normal"/>
    <w:next w:val="Normal"/>
    <w:link w:val="Heading7Char"/>
    <w:uiPriority w:val="5"/>
    <w:unhideWhenUsed/>
    <w:qFormat/>
    <w:rsid w:val="003631E3"/>
    <w:pPr>
      <w:keepNext/>
      <w:keepLines/>
      <w:spacing w:before="200" w:after="0"/>
      <w:outlineLvl w:val="6"/>
    </w:pPr>
    <w:rPr>
      <w:rFonts w:eastAsiaTheme="majorEastAsia" w:cstheme="minorHAnsi"/>
      <w:iCs/>
      <w:u w:val="single"/>
      <w:lang w:eastAsia="en-GB"/>
    </w:rPr>
  </w:style>
  <w:style w:type="paragraph" w:styleId="Heading8">
    <w:name w:val="heading 8"/>
    <w:basedOn w:val="Normal"/>
    <w:next w:val="Normal"/>
    <w:link w:val="Heading8Char"/>
    <w:uiPriority w:val="5"/>
    <w:unhideWhenUsed/>
    <w:qFormat/>
    <w:rsid w:val="00B8703D"/>
    <w:pPr>
      <w:keepNext/>
      <w:keepLines/>
      <w:spacing w:before="200" w:after="0"/>
      <w:outlineLvl w:val="7"/>
    </w:pPr>
    <w:rPr>
      <w:rFonts w:asciiTheme="majorHAnsi" w:eastAsiaTheme="majorEastAsia" w:hAnsiTheme="majorHAnsi"/>
      <w:color w:val="4F81BD" w:themeColor="accent1"/>
      <w:sz w:val="20"/>
      <w:szCs w:val="20"/>
    </w:rPr>
  </w:style>
  <w:style w:type="paragraph" w:styleId="Heading9">
    <w:name w:val="heading 9"/>
    <w:basedOn w:val="Normal"/>
    <w:next w:val="Normal"/>
    <w:link w:val="Heading9Char"/>
    <w:uiPriority w:val="5"/>
    <w:semiHidden/>
    <w:unhideWhenUsed/>
    <w:qFormat/>
    <w:rsid w:val="00B8703D"/>
    <w:pPr>
      <w:keepNext/>
      <w:keepLines/>
      <w:spacing w:before="200" w:after="0"/>
      <w:outlineLvl w:val="8"/>
    </w:pPr>
    <w:rPr>
      <w:rFonts w:asciiTheme="majorHAnsi" w:eastAsiaTheme="majorEastAsia" w:hAnsiTheme="majorHAns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001">
    <w:name w:val="Para 001"/>
    <w:basedOn w:val="Normal"/>
    <w:rPr>
      <w:rFonts w:cs="Helvetica Neue"/>
    </w:rPr>
  </w:style>
  <w:style w:type="paragraph" w:customStyle="1" w:styleId="Para002">
    <w:name w:val="Para 002"/>
    <w:basedOn w:val="Normal"/>
    <w:rPr>
      <w:rFonts w:cs="Helvetica Neue"/>
    </w:rPr>
  </w:style>
  <w:style w:type="paragraph" w:customStyle="1" w:styleId="Para003">
    <w:name w:val="Para 003"/>
    <w:basedOn w:val="Normal"/>
    <w:pPr>
      <w:pBdr>
        <w:top w:val="none" w:sz="8" w:space="0" w:color="auto"/>
        <w:left w:val="none" w:sz="8" w:space="0" w:color="auto"/>
        <w:bottom w:val="none" w:sz="8" w:space="0" w:color="auto"/>
        <w:right w:val="none" w:sz="8" w:space="0" w:color="auto"/>
      </w:pBdr>
      <w:spacing w:beforeLines="100" w:after="109" w:line="411" w:lineRule="atLeast"/>
    </w:pPr>
  </w:style>
  <w:style w:type="paragraph" w:customStyle="1" w:styleId="Para004">
    <w:name w:val="Para 004"/>
    <w:basedOn w:val="Normal"/>
    <w:rPr>
      <w:b/>
      <w:bCs/>
    </w:rPr>
  </w:style>
  <w:style w:type="paragraph" w:customStyle="1" w:styleId="Para005">
    <w:name w:val="Para 005"/>
    <w:basedOn w:val="Normal"/>
    <w:rPr>
      <w:b/>
      <w:bCs/>
      <w:caps/>
      <w:sz w:val="18"/>
      <w:szCs w:val="18"/>
    </w:rPr>
  </w:style>
  <w:style w:type="paragraph" w:customStyle="1" w:styleId="Para006">
    <w:name w:val="Para 006"/>
    <w:basedOn w:val="Normal"/>
    <w:rPr>
      <w:b/>
      <w:bCs/>
    </w:rPr>
  </w:style>
  <w:style w:type="paragraph" w:customStyle="1" w:styleId="Para007">
    <w:name w:val="Para 007"/>
    <w:basedOn w:val="Normal"/>
    <w:rPr>
      <w:rFonts w:cs="Helvetica Neue"/>
    </w:rPr>
  </w:style>
  <w:style w:type="paragraph" w:customStyle="1" w:styleId="Para008">
    <w:name w:val="Para 008"/>
    <w:basedOn w:val="Normal"/>
    <w:rPr>
      <w:b/>
      <w:bCs/>
    </w:rPr>
  </w:style>
  <w:style w:type="paragraph" w:customStyle="1" w:styleId="Para009">
    <w:name w:val="Para 009"/>
    <w:basedOn w:val="Normal"/>
    <w:rPr>
      <w:rFonts w:cs="Helvetica Neue"/>
    </w:rPr>
  </w:style>
  <w:style w:type="paragraph" w:customStyle="1" w:styleId="Para010">
    <w:name w:val="Para 010"/>
    <w:basedOn w:val="Normal"/>
    <w:pPr>
      <w:numPr>
        <w:numId w:val="1"/>
      </w:numPr>
      <w:pBdr>
        <w:top w:val="none" w:sz="8" w:space="0" w:color="auto"/>
        <w:left w:val="none" w:sz="8" w:space="0" w:color="auto"/>
        <w:bottom w:val="none" w:sz="8" w:space="0" w:color="auto"/>
        <w:right w:val="none" w:sz="8" w:space="0" w:color="auto"/>
      </w:pBdr>
      <w:spacing w:after="109" w:line="411" w:lineRule="atLeast"/>
    </w:pPr>
  </w:style>
  <w:style w:type="paragraph" w:customStyle="1" w:styleId="Para011">
    <w:name w:val="Para 011"/>
    <w:basedOn w:val="Normal"/>
    <w:rPr>
      <w:bdr w:val="none" w:sz="0" w:space="2" w:color="auto"/>
    </w:rPr>
  </w:style>
  <w:style w:type="paragraph" w:customStyle="1" w:styleId="Para012">
    <w:name w:val="Para 012"/>
    <w:basedOn w:val="Normal"/>
    <w:rPr>
      <w:b/>
      <w:bCs/>
    </w:rPr>
  </w:style>
  <w:style w:type="paragraph" w:customStyle="1" w:styleId="Para013">
    <w:name w:val="Para 013"/>
    <w:basedOn w:val="Normal"/>
    <w:rPr>
      <w:b/>
      <w:bCs/>
      <w:caps/>
      <w:sz w:val="18"/>
      <w:szCs w:val="18"/>
    </w:rPr>
  </w:style>
  <w:style w:type="paragraph" w:customStyle="1" w:styleId="Para014">
    <w:name w:val="Para 014"/>
    <w:basedOn w:val="Normal"/>
    <w:pPr>
      <w:jc w:val="center"/>
    </w:pPr>
    <w:rPr>
      <w:b/>
      <w:bCs/>
      <w:caps/>
      <w:sz w:val="18"/>
      <w:szCs w:val="18"/>
    </w:rPr>
  </w:style>
  <w:style w:type="paragraph" w:customStyle="1" w:styleId="Para015">
    <w:name w:val="Para 015"/>
    <w:basedOn w:val="Normal"/>
    <w:pPr>
      <w:jc w:val="center"/>
    </w:pPr>
  </w:style>
  <w:style w:type="paragraph" w:customStyle="1" w:styleId="Para016">
    <w:name w:val="Para 016"/>
    <w:basedOn w:val="Normal"/>
    <w:rPr>
      <w:b/>
      <w:bCs/>
    </w:rPr>
  </w:style>
  <w:style w:type="paragraph" w:customStyle="1" w:styleId="Para017">
    <w:name w:val="Para 017"/>
    <w:basedOn w:val="Normal"/>
  </w:style>
  <w:style w:type="paragraph" w:customStyle="1" w:styleId="Para018">
    <w:name w:val="Para 018"/>
    <w:basedOn w:val="Normal"/>
    <w:rPr>
      <w:b/>
      <w:bCs/>
      <w:caps/>
      <w:sz w:val="18"/>
      <w:szCs w:val="18"/>
    </w:rPr>
  </w:style>
  <w:style w:type="paragraph" w:customStyle="1" w:styleId="Para019">
    <w:name w:val="Para 019"/>
    <w:basedOn w:val="Normal"/>
    <w:pPr>
      <w:jc w:val="center"/>
    </w:pPr>
    <w:rPr>
      <w:color w:val="000000"/>
    </w:rPr>
  </w:style>
  <w:style w:type="paragraph" w:customStyle="1" w:styleId="Para020">
    <w:name w:val="Para 020"/>
    <w:basedOn w:val="Normal"/>
    <w:pPr>
      <w:pBdr>
        <w:top w:val="none" w:sz="8" w:space="0" w:color="auto"/>
        <w:left w:val="none" w:sz="8" w:space="0" w:color="auto"/>
        <w:bottom w:val="none" w:sz="8" w:space="0" w:color="auto"/>
        <w:right w:val="none" w:sz="8" w:space="0" w:color="auto"/>
      </w:pBdr>
      <w:spacing w:beforeLines="100" w:after="109" w:line="411" w:lineRule="atLeast"/>
    </w:pPr>
    <w:rPr>
      <w:i/>
      <w:iCs/>
    </w:rPr>
  </w:style>
  <w:style w:type="paragraph" w:customStyle="1" w:styleId="Para022">
    <w:name w:val="Para 022"/>
    <w:basedOn w:val="Normal"/>
    <w:rPr>
      <w:rFonts w:cs="Helvetica Neue"/>
    </w:rPr>
  </w:style>
  <w:style w:type="paragraph" w:customStyle="1" w:styleId="Para023">
    <w:name w:val="Para 023"/>
    <w:basedOn w:val="Normal"/>
    <w:rPr>
      <w:rFonts w:cs="Helvetica Neue"/>
    </w:rPr>
  </w:style>
  <w:style w:type="paragraph" w:customStyle="1" w:styleId="Para024">
    <w:name w:val="Para 024"/>
    <w:basedOn w:val="Normal"/>
    <w:rPr>
      <w:b/>
      <w:bCs/>
    </w:rPr>
  </w:style>
  <w:style w:type="paragraph" w:customStyle="1" w:styleId="Para025">
    <w:name w:val="Para 025"/>
    <w:basedOn w:val="Normal"/>
    <w:rPr>
      <w:b/>
      <w:bCs/>
    </w:rPr>
  </w:style>
  <w:style w:type="paragraph" w:customStyle="1" w:styleId="Para026">
    <w:name w:val="Para 026"/>
    <w:basedOn w:val="Normal"/>
    <w:pPr>
      <w:pBdr>
        <w:top w:val="none" w:sz="8" w:space="0" w:color="auto"/>
        <w:left w:val="none" w:sz="8" w:space="0" w:color="auto"/>
        <w:bottom w:val="none" w:sz="8" w:space="0" w:color="auto"/>
        <w:right w:val="none" w:sz="8" w:space="0" w:color="auto"/>
      </w:pBdr>
      <w:spacing w:beforeLines="100" w:line="411" w:lineRule="atLeast"/>
    </w:pPr>
  </w:style>
  <w:style w:type="paragraph" w:customStyle="1" w:styleId="Para028">
    <w:name w:val="Para 028"/>
    <w:basedOn w:val="Normal"/>
    <w:rPr>
      <w:b/>
      <w:bCs/>
      <w:caps/>
      <w:sz w:val="18"/>
      <w:szCs w:val="18"/>
    </w:rPr>
  </w:style>
  <w:style w:type="paragraph" w:customStyle="1" w:styleId="Para029">
    <w:name w:val="Para 029"/>
    <w:basedOn w:val="Normal"/>
    <w:pPr>
      <w:pBdr>
        <w:top w:val="none" w:sz="8" w:space="0" w:color="auto"/>
        <w:left w:val="none" w:sz="8" w:space="0" w:color="auto"/>
        <w:bottom w:val="none" w:sz="8" w:space="0" w:color="auto"/>
        <w:right w:val="none" w:sz="8" w:space="0" w:color="auto"/>
      </w:pBdr>
      <w:spacing w:before="109"/>
    </w:pPr>
    <w:rPr>
      <w:b/>
      <w:bCs/>
    </w:rPr>
  </w:style>
  <w:style w:type="paragraph" w:customStyle="1" w:styleId="Para031">
    <w:name w:val="Para 031"/>
    <w:basedOn w:val="Normal"/>
    <w:pPr>
      <w:pBdr>
        <w:top w:val="none" w:sz="8" w:space="0" w:color="auto"/>
        <w:left w:val="none" w:sz="8" w:space="0" w:color="auto"/>
        <w:bottom w:val="none" w:sz="8" w:space="0" w:color="auto"/>
        <w:right w:val="none" w:sz="8" w:space="0" w:color="auto"/>
      </w:pBdr>
      <w:spacing w:beforeLines="100" w:after="109" w:line="411" w:lineRule="atLeast"/>
      <w:jc w:val="center"/>
    </w:pPr>
    <w:rPr>
      <w:b/>
      <w:bCs/>
    </w:rPr>
  </w:style>
  <w:style w:type="paragraph" w:customStyle="1" w:styleId="Para032">
    <w:name w:val="Para 032"/>
    <w:basedOn w:val="Normal"/>
    <w:rPr>
      <w:i/>
      <w:iCs/>
    </w:rPr>
  </w:style>
  <w:style w:type="paragraph" w:customStyle="1" w:styleId="Para033">
    <w:name w:val="Para 033"/>
    <w:basedOn w:val="Normal"/>
    <w:pPr>
      <w:jc w:val="center"/>
    </w:pPr>
    <w:rPr>
      <w:b/>
      <w:bCs/>
    </w:rPr>
  </w:style>
  <w:style w:type="paragraph" w:customStyle="1" w:styleId="Para034">
    <w:name w:val="Para 034"/>
    <w:basedOn w:val="Normal"/>
    <w:pPr>
      <w:pBdr>
        <w:top w:val="none" w:sz="8" w:space="0" w:color="auto"/>
        <w:left w:val="none" w:sz="8" w:space="0" w:color="auto"/>
        <w:bottom w:val="none" w:sz="8" w:space="0" w:color="auto"/>
        <w:right w:val="none" w:sz="8" w:space="0" w:color="auto"/>
      </w:pBdr>
      <w:spacing w:before="109" w:line="411" w:lineRule="atLeast"/>
    </w:pPr>
  </w:style>
  <w:style w:type="paragraph" w:customStyle="1" w:styleId="Para035">
    <w:name w:val="Para 035"/>
    <w:basedOn w:val="Normal"/>
    <w:pPr>
      <w:pBdr>
        <w:top w:val="none" w:sz="8" w:space="0" w:color="auto"/>
        <w:left w:val="none" w:sz="8" w:space="0" w:color="auto"/>
        <w:bottom w:val="none" w:sz="8" w:space="0" w:color="auto"/>
        <w:right w:val="none" w:sz="8" w:space="0" w:color="auto"/>
      </w:pBdr>
      <w:spacing w:beforeLines="100" w:after="109" w:line="411" w:lineRule="atLeast"/>
      <w:jc w:val="center"/>
    </w:pPr>
  </w:style>
  <w:style w:type="paragraph" w:customStyle="1" w:styleId="Para036">
    <w:name w:val="Para 036"/>
    <w:basedOn w:val="Normal"/>
    <w:pPr>
      <w:pBdr>
        <w:top w:val="none" w:sz="8" w:space="0" w:color="auto"/>
        <w:left w:val="none" w:sz="8" w:space="0" w:color="auto"/>
        <w:bottom w:val="none" w:sz="8" w:space="0" w:color="auto"/>
        <w:right w:val="none" w:sz="8" w:space="0" w:color="auto"/>
      </w:pBdr>
      <w:spacing w:beforeLines="100" w:after="109" w:line="408" w:lineRule="atLeast"/>
      <w:jc w:val="center"/>
    </w:pPr>
    <w:rPr>
      <w:b/>
      <w:bCs/>
      <w:sz w:val="34"/>
      <w:szCs w:val="34"/>
    </w:rPr>
  </w:style>
  <w:style w:type="paragraph" w:customStyle="1" w:styleId="Para038">
    <w:name w:val="Para 038"/>
    <w:basedOn w:val="Normal"/>
    <w:rPr>
      <w:b/>
      <w:bCs/>
      <w:i/>
      <w:iCs/>
    </w:rPr>
  </w:style>
  <w:style w:type="paragraph" w:customStyle="1" w:styleId="Para039">
    <w:name w:val="Para 039"/>
    <w:basedOn w:val="Normal"/>
    <w:rPr>
      <w:sz w:val="18"/>
      <w:szCs w:val="18"/>
    </w:rPr>
  </w:style>
  <w:style w:type="paragraph" w:customStyle="1" w:styleId="Para040">
    <w:name w:val="Para 040"/>
    <w:basedOn w:val="Normal"/>
    <w:pPr>
      <w:jc w:val="center"/>
    </w:pPr>
    <w:rPr>
      <w:b/>
      <w:bCs/>
      <w:caps/>
      <w:sz w:val="18"/>
      <w:szCs w:val="18"/>
    </w:rPr>
  </w:style>
  <w:style w:type="paragraph" w:customStyle="1" w:styleId="Para041">
    <w:name w:val="Para 041"/>
    <w:basedOn w:val="Normal"/>
    <w:pPr>
      <w:pBdr>
        <w:top w:val="none" w:sz="8" w:space="0" w:color="auto"/>
        <w:left w:val="none" w:sz="8" w:space="15" w:color="auto"/>
        <w:bottom w:val="none" w:sz="8" w:space="0" w:color="auto"/>
        <w:right w:val="none" w:sz="8" w:space="0" w:color="auto"/>
      </w:pBdr>
      <w:spacing w:beforeLines="100" w:after="109" w:line="215" w:lineRule="atLeast"/>
    </w:pPr>
    <w:rPr>
      <w:sz w:val="18"/>
      <w:szCs w:val="18"/>
    </w:rPr>
  </w:style>
  <w:style w:type="paragraph" w:customStyle="1" w:styleId="Para042">
    <w:name w:val="Para 042"/>
    <w:basedOn w:val="Normal"/>
    <w:pPr>
      <w:pBdr>
        <w:top w:val="none" w:sz="8" w:space="0" w:color="auto"/>
        <w:left w:val="none" w:sz="8" w:space="0" w:color="auto"/>
        <w:bottom w:val="none" w:sz="8" w:space="0" w:color="auto"/>
        <w:right w:val="none" w:sz="8" w:space="0" w:color="auto"/>
      </w:pBdr>
      <w:spacing w:beforeLines="100" w:after="109" w:line="411" w:lineRule="atLeast"/>
    </w:pPr>
    <w:rPr>
      <w:b/>
      <w:bCs/>
    </w:rPr>
  </w:style>
  <w:style w:type="paragraph" w:customStyle="1" w:styleId="Para043">
    <w:name w:val="Para 043"/>
    <w:basedOn w:val="Normal"/>
    <w:pPr>
      <w:jc w:val="center"/>
    </w:pPr>
    <w:rPr>
      <w:b/>
      <w:bCs/>
      <w:caps/>
      <w:color w:val="000000"/>
      <w:sz w:val="18"/>
      <w:szCs w:val="18"/>
    </w:rPr>
  </w:style>
  <w:style w:type="paragraph" w:customStyle="1" w:styleId="Para044">
    <w:name w:val="Para 044"/>
    <w:basedOn w:val="Normal"/>
    <w:pPr>
      <w:pBdr>
        <w:top w:val="none" w:sz="8" w:space="0" w:color="auto"/>
        <w:left w:val="none" w:sz="8" w:space="0" w:color="auto"/>
        <w:bottom w:val="none" w:sz="8" w:space="0" w:color="auto"/>
        <w:right w:val="none" w:sz="8" w:space="0" w:color="auto"/>
      </w:pBdr>
      <w:spacing w:beforeLines="100" w:after="113" w:line="411" w:lineRule="atLeast"/>
    </w:pPr>
  </w:style>
  <w:style w:type="paragraph" w:customStyle="1" w:styleId="Para045">
    <w:name w:val="Para 045"/>
    <w:basedOn w:val="Normal"/>
    <w:rPr>
      <w:b/>
      <w:bCs/>
    </w:rPr>
  </w:style>
  <w:style w:type="paragraph" w:customStyle="1" w:styleId="Para046">
    <w:name w:val="Para 046"/>
    <w:basedOn w:val="Normal"/>
    <w:pPr>
      <w:jc w:val="center"/>
    </w:pPr>
    <w:rPr>
      <w:rFonts w:cs="Helvetica Neue"/>
    </w:rPr>
  </w:style>
  <w:style w:type="paragraph" w:customStyle="1" w:styleId="Para047">
    <w:name w:val="Para 047"/>
    <w:basedOn w:val="Normal"/>
    <w:pPr>
      <w:pBdr>
        <w:top w:val="none" w:sz="8" w:space="0" w:color="auto"/>
        <w:left w:val="none" w:sz="8" w:space="0" w:color="auto"/>
        <w:bottom w:val="none" w:sz="8" w:space="0" w:color="auto"/>
        <w:right w:val="none" w:sz="8" w:space="17" w:color="auto"/>
      </w:pBdr>
    </w:pPr>
  </w:style>
  <w:style w:type="paragraph" w:customStyle="1" w:styleId="Para048">
    <w:name w:val="Para 048"/>
    <w:basedOn w:val="Normal"/>
    <w:pPr>
      <w:pBdr>
        <w:top w:val="none" w:sz="8" w:space="0" w:color="auto"/>
        <w:left w:val="none" w:sz="8" w:space="0" w:color="auto"/>
        <w:bottom w:val="none" w:sz="8" w:space="0" w:color="auto"/>
        <w:right w:val="none" w:sz="8" w:space="0" w:color="auto"/>
      </w:pBdr>
      <w:spacing w:beforeLines="167" w:afterLines="167"/>
    </w:pPr>
    <w:rPr>
      <w:b/>
      <w:bCs/>
    </w:rPr>
  </w:style>
  <w:style w:type="paragraph" w:customStyle="1" w:styleId="Para049">
    <w:name w:val="Para 049"/>
    <w:basedOn w:val="Normal"/>
    <w:rPr>
      <w:color w:val="000000"/>
    </w:rPr>
  </w:style>
  <w:style w:type="paragraph" w:customStyle="1" w:styleId="Para050">
    <w:name w:val="Para 050"/>
    <w:basedOn w:val="Normal"/>
    <w:pPr>
      <w:pBdr>
        <w:top w:val="none" w:sz="8" w:space="0" w:color="auto"/>
        <w:left w:val="none" w:sz="8" w:space="0" w:color="auto"/>
        <w:bottom w:val="dotted" w:sz="4" w:space="3" w:color="000000"/>
        <w:right w:val="none" w:sz="8" w:space="0" w:color="auto"/>
      </w:pBdr>
      <w:spacing w:beforeLines="100" w:line="411" w:lineRule="atLeast"/>
    </w:pPr>
    <w:rPr>
      <w:b/>
      <w:bCs/>
    </w:rPr>
  </w:style>
  <w:style w:type="paragraph" w:customStyle="1" w:styleId="Para051">
    <w:name w:val="Para 051"/>
    <w:basedOn w:val="Normal"/>
    <w:pPr>
      <w:pBdr>
        <w:top w:val="none" w:sz="8" w:space="0" w:color="auto"/>
        <w:left w:val="none" w:sz="8" w:space="0" w:color="auto"/>
        <w:bottom w:val="none" w:sz="8" w:space="4" w:color="auto"/>
        <w:right w:val="none" w:sz="8" w:space="0" w:color="auto"/>
      </w:pBdr>
      <w:spacing w:beforeLines="100" w:line="411" w:lineRule="atLeast"/>
    </w:pPr>
  </w:style>
  <w:style w:type="paragraph" w:customStyle="1" w:styleId="Para052">
    <w:name w:val="Para 052"/>
    <w:basedOn w:val="Normal"/>
    <w:pPr>
      <w:pBdr>
        <w:top w:val="none" w:sz="8" w:space="0" w:color="auto"/>
        <w:left w:val="none" w:sz="8" w:space="0" w:color="auto"/>
        <w:bottom w:val="none" w:sz="8" w:space="0" w:color="auto"/>
        <w:right w:val="none" w:sz="8" w:space="0" w:color="auto"/>
      </w:pBdr>
      <w:spacing w:after="109" w:line="308" w:lineRule="atLeast"/>
    </w:pPr>
    <w:rPr>
      <w:i/>
      <w:iCs/>
      <w:sz w:val="18"/>
      <w:szCs w:val="18"/>
    </w:rPr>
  </w:style>
  <w:style w:type="paragraph" w:customStyle="1" w:styleId="Para053">
    <w:name w:val="Para 053"/>
    <w:basedOn w:val="Normal"/>
    <w:pPr>
      <w:pBdr>
        <w:top w:val="none" w:sz="8" w:space="0" w:color="auto"/>
        <w:left w:val="none" w:sz="8" w:space="0" w:color="auto"/>
        <w:bottom w:val="none" w:sz="8" w:space="0" w:color="auto"/>
        <w:right w:val="none" w:sz="8" w:space="0" w:color="auto"/>
      </w:pBdr>
      <w:spacing w:beforeLines="100" w:after="109" w:line="215" w:lineRule="atLeast"/>
    </w:pPr>
    <w:rPr>
      <w:b/>
      <w:bCs/>
      <w:sz w:val="18"/>
      <w:szCs w:val="18"/>
    </w:rPr>
  </w:style>
  <w:style w:type="paragraph" w:customStyle="1" w:styleId="Para054">
    <w:name w:val="Para 054"/>
    <w:basedOn w:val="Normal"/>
    <w:pPr>
      <w:jc w:val="center"/>
    </w:pPr>
    <w:rPr>
      <w:b/>
      <w:bCs/>
      <w:caps/>
      <w:sz w:val="18"/>
      <w:szCs w:val="18"/>
    </w:rPr>
  </w:style>
  <w:style w:type="paragraph" w:customStyle="1" w:styleId="Para055">
    <w:name w:val="Para 055"/>
    <w:basedOn w:val="Normal"/>
    <w:pPr>
      <w:pBdr>
        <w:top w:val="none" w:sz="8" w:space="0" w:color="auto"/>
        <w:left w:val="none" w:sz="8" w:space="0" w:color="auto"/>
        <w:bottom w:val="none" w:sz="8" w:space="0" w:color="auto"/>
        <w:right w:val="none" w:sz="8" w:space="0" w:color="auto"/>
      </w:pBdr>
      <w:spacing w:beforeLines="170" w:afterLines="100" w:line="408" w:lineRule="atLeast"/>
      <w:ind w:left="414" w:hanging="218"/>
    </w:pPr>
    <w:rPr>
      <w:sz w:val="34"/>
      <w:szCs w:val="34"/>
    </w:rPr>
  </w:style>
  <w:style w:type="paragraph" w:customStyle="1" w:styleId="Para056">
    <w:name w:val="Para 056"/>
    <w:basedOn w:val="Normal"/>
    <w:pPr>
      <w:jc w:val="center"/>
    </w:pPr>
    <w:rPr>
      <w:b/>
      <w:bCs/>
      <w:color w:val="000000"/>
    </w:rPr>
  </w:style>
  <w:style w:type="paragraph" w:customStyle="1" w:styleId="Para057">
    <w:name w:val="Para 057"/>
    <w:basedOn w:val="Normal"/>
    <w:rPr>
      <w:color w:val="0000FF"/>
      <w:u w:val="single"/>
    </w:rPr>
  </w:style>
  <w:style w:type="paragraph" w:customStyle="1" w:styleId="Para058">
    <w:name w:val="Para 058"/>
    <w:basedOn w:val="Normal"/>
    <w:pPr>
      <w:pBdr>
        <w:top w:val="none" w:sz="8" w:space="0" w:color="auto"/>
        <w:left w:val="none" w:sz="8" w:space="0" w:color="auto"/>
        <w:bottom w:val="none" w:sz="8" w:space="0" w:color="auto"/>
        <w:right w:val="none" w:sz="8" w:space="0" w:color="auto"/>
      </w:pBdr>
      <w:spacing w:beforeLines="170" w:afterLines="100" w:line="408" w:lineRule="atLeast"/>
      <w:ind w:left="414" w:hanging="218"/>
    </w:pPr>
    <w:rPr>
      <w:b/>
      <w:bCs/>
      <w:sz w:val="34"/>
      <w:szCs w:val="34"/>
    </w:rPr>
  </w:style>
  <w:style w:type="paragraph" w:customStyle="1" w:styleId="Para059">
    <w:name w:val="Para 059"/>
    <w:basedOn w:val="Normal"/>
    <w:rPr>
      <w:i/>
      <w:iCs/>
    </w:rPr>
  </w:style>
  <w:style w:type="paragraph" w:customStyle="1" w:styleId="Para060">
    <w:name w:val="Para 060"/>
    <w:basedOn w:val="Normal"/>
    <w:rPr>
      <w:b/>
      <w:bCs/>
      <w:i/>
      <w:iCs/>
    </w:rPr>
  </w:style>
  <w:style w:type="paragraph" w:customStyle="1" w:styleId="Para061">
    <w:name w:val="Para 061"/>
    <w:basedOn w:val="Normal"/>
  </w:style>
  <w:style w:type="paragraph" w:customStyle="1" w:styleId="Para062">
    <w:name w:val="Para 062"/>
    <w:basedOn w:val="Normal"/>
    <w:pPr>
      <w:pBdr>
        <w:top w:val="none" w:sz="8" w:space="0" w:color="auto"/>
        <w:left w:val="none" w:sz="8" w:space="0" w:color="auto"/>
        <w:bottom w:val="none" w:sz="8" w:space="0" w:color="auto"/>
        <w:right w:val="none" w:sz="8" w:space="0" w:color="auto"/>
      </w:pBdr>
      <w:spacing w:beforeLines="200" w:after="109" w:line="411" w:lineRule="atLeast"/>
    </w:pPr>
    <w:rPr>
      <w:b/>
      <w:bCs/>
      <w:caps/>
    </w:rPr>
  </w:style>
  <w:style w:type="paragraph" w:customStyle="1" w:styleId="Para063">
    <w:name w:val="Para 063"/>
    <w:basedOn w:val="Normal"/>
    <w:rPr>
      <w:i/>
      <w:iCs/>
    </w:rPr>
  </w:style>
  <w:style w:type="paragraph" w:customStyle="1" w:styleId="Para064">
    <w:name w:val="Para 064"/>
    <w:basedOn w:val="Normal"/>
    <w:pPr>
      <w:pBdr>
        <w:top w:val="none" w:sz="8" w:space="0" w:color="auto"/>
        <w:left w:val="none" w:sz="8" w:space="17" w:color="auto"/>
        <w:bottom w:val="none" w:sz="8" w:space="0" w:color="auto"/>
        <w:right w:val="none" w:sz="8" w:space="17" w:color="auto"/>
      </w:pBdr>
      <w:spacing w:beforeLines="100" w:after="109" w:line="411" w:lineRule="atLeast"/>
    </w:pPr>
  </w:style>
  <w:style w:type="paragraph" w:customStyle="1" w:styleId="Para065">
    <w:name w:val="Para 065"/>
    <w:basedOn w:val="Normal"/>
    <w:pPr>
      <w:pBdr>
        <w:top w:val="none" w:sz="8" w:space="0" w:color="auto"/>
        <w:left w:val="none" w:sz="8" w:space="0" w:color="auto"/>
        <w:bottom w:val="none" w:sz="8" w:space="0" w:color="auto"/>
        <w:right w:val="none" w:sz="8" w:space="0" w:color="auto"/>
      </w:pBdr>
      <w:spacing w:before="453" w:after="170" w:line="408" w:lineRule="atLeast"/>
      <w:ind w:left="340" w:right="340"/>
      <w:jc w:val="center"/>
    </w:pPr>
    <w:rPr>
      <w:sz w:val="34"/>
      <w:szCs w:val="34"/>
    </w:rPr>
  </w:style>
  <w:style w:type="paragraph" w:customStyle="1" w:styleId="Para066">
    <w:name w:val="Para 066"/>
    <w:basedOn w:val="Normal"/>
    <w:pPr>
      <w:pBdr>
        <w:top w:val="none" w:sz="8" w:space="0" w:color="auto"/>
        <w:left w:val="none" w:sz="8" w:space="21" w:color="auto"/>
        <w:bottom w:val="none" w:sz="8" w:space="0" w:color="auto"/>
        <w:right w:val="none" w:sz="8" w:space="0" w:color="auto"/>
      </w:pBdr>
      <w:spacing w:beforeLines="100" w:after="109" w:line="411" w:lineRule="atLeast"/>
    </w:pPr>
  </w:style>
  <w:style w:type="paragraph" w:customStyle="1" w:styleId="Para067">
    <w:name w:val="Para 067"/>
    <w:basedOn w:val="Normal"/>
    <w:pPr>
      <w:pBdr>
        <w:top w:val="none" w:sz="8" w:space="0" w:color="auto"/>
        <w:left w:val="none" w:sz="8" w:space="0" w:color="auto"/>
        <w:bottom w:val="none" w:sz="8" w:space="0" w:color="auto"/>
        <w:right w:val="none" w:sz="8" w:space="0" w:color="auto"/>
      </w:pBdr>
      <w:spacing w:line="408" w:lineRule="atLeast"/>
    </w:pPr>
    <w:rPr>
      <w:b/>
      <w:bCs/>
      <w:sz w:val="34"/>
      <w:szCs w:val="34"/>
    </w:rPr>
  </w:style>
  <w:style w:type="paragraph" w:customStyle="1" w:styleId="Para068">
    <w:name w:val="Para 068"/>
    <w:basedOn w:val="Normal"/>
    <w:pPr>
      <w:pBdr>
        <w:top w:val="none" w:sz="8" w:space="0" w:color="auto"/>
        <w:left w:val="none" w:sz="8" w:space="0" w:color="auto"/>
        <w:bottom w:val="none" w:sz="8" w:space="0" w:color="auto"/>
        <w:right w:val="none" w:sz="8" w:space="0" w:color="auto"/>
      </w:pBdr>
      <w:spacing w:beforeLines="100" w:line="411" w:lineRule="atLeast"/>
    </w:pPr>
    <w:rPr>
      <w:b/>
      <w:bCs/>
    </w:rPr>
  </w:style>
  <w:style w:type="paragraph" w:customStyle="1" w:styleId="Para069">
    <w:name w:val="Para 069"/>
    <w:basedOn w:val="Normal"/>
    <w:pPr>
      <w:pBdr>
        <w:top w:val="none" w:sz="8" w:space="5" w:color="auto"/>
        <w:left w:val="none" w:sz="8" w:space="10" w:color="auto"/>
        <w:bottom w:val="none" w:sz="8" w:space="5" w:color="auto"/>
        <w:right w:val="none" w:sz="8" w:space="10" w:color="auto"/>
      </w:pBdr>
      <w:shd w:val="clear" w:color="auto" w:fill="E6E6E6"/>
    </w:pPr>
    <w:rPr>
      <w:sz w:val="34"/>
      <w:szCs w:val="34"/>
    </w:rPr>
  </w:style>
  <w:style w:type="paragraph" w:customStyle="1" w:styleId="Para070">
    <w:name w:val="Para 070"/>
    <w:basedOn w:val="Normal"/>
    <w:pPr>
      <w:pBdr>
        <w:top w:val="none" w:sz="8" w:space="0" w:color="auto"/>
        <w:left w:val="none" w:sz="8" w:space="0" w:color="auto"/>
        <w:bottom w:val="none" w:sz="8" w:space="0" w:color="auto"/>
        <w:right w:val="none" w:sz="8" w:space="0" w:color="auto"/>
      </w:pBdr>
      <w:spacing w:before="218" w:after="109" w:line="411" w:lineRule="atLeast"/>
    </w:pPr>
  </w:style>
  <w:style w:type="paragraph" w:customStyle="1" w:styleId="Para071">
    <w:name w:val="Para 071"/>
    <w:basedOn w:val="Normal"/>
  </w:style>
  <w:style w:type="paragraph" w:customStyle="1" w:styleId="Para072">
    <w:name w:val="Para 072"/>
    <w:basedOn w:val="Normal"/>
    <w:pPr>
      <w:pBdr>
        <w:top w:val="none" w:sz="8" w:space="0" w:color="auto"/>
        <w:left w:val="none" w:sz="8" w:space="0" w:color="auto"/>
        <w:bottom w:val="none" w:sz="8" w:space="0" w:color="auto"/>
        <w:right w:val="none" w:sz="8" w:space="0" w:color="auto"/>
      </w:pBdr>
      <w:spacing w:after="109" w:line="308" w:lineRule="atLeast"/>
    </w:pPr>
    <w:rPr>
      <w:sz w:val="18"/>
      <w:szCs w:val="18"/>
    </w:rPr>
  </w:style>
  <w:style w:type="paragraph" w:customStyle="1" w:styleId="Para073">
    <w:name w:val="Para 073"/>
    <w:basedOn w:val="Normal"/>
    <w:pPr>
      <w:pBdr>
        <w:top w:val="none" w:sz="8" w:space="0" w:color="auto"/>
        <w:left w:val="none" w:sz="8" w:space="0" w:color="auto"/>
        <w:bottom w:val="none" w:sz="8" w:space="0" w:color="auto"/>
        <w:right w:val="none" w:sz="8" w:space="0" w:color="auto"/>
      </w:pBdr>
      <w:spacing w:before="340" w:after="85"/>
    </w:pPr>
    <w:rPr>
      <w:rFonts w:ascii="GuardianTextEgyp" w:eastAsia="GuardianTextEgyp" w:hAnsi="GuardianTextEgyp" w:cs="GuardianTextEgyp"/>
      <w:b/>
      <w:bCs/>
      <w:caps/>
    </w:rPr>
  </w:style>
  <w:style w:type="paragraph" w:customStyle="1" w:styleId="Para074">
    <w:name w:val="Para 074"/>
    <w:basedOn w:val="Normal"/>
    <w:pPr>
      <w:pBdr>
        <w:top w:val="none" w:sz="8" w:space="0" w:color="auto"/>
        <w:left w:val="none" w:sz="8" w:space="0" w:color="auto"/>
        <w:bottom w:val="none" w:sz="8" w:space="0" w:color="auto"/>
        <w:right w:val="none" w:sz="8" w:space="0" w:color="auto"/>
      </w:pBdr>
      <w:spacing w:before="109" w:afterLines="100" w:line="408" w:lineRule="atLeast"/>
    </w:pPr>
    <w:rPr>
      <w:sz w:val="34"/>
      <w:szCs w:val="34"/>
    </w:rPr>
  </w:style>
  <w:style w:type="paragraph" w:customStyle="1" w:styleId="Para075">
    <w:name w:val="Para 075"/>
    <w:basedOn w:val="Normal"/>
    <w:pPr>
      <w:pBdr>
        <w:top w:val="none" w:sz="8" w:space="0" w:color="auto"/>
        <w:left w:val="none" w:sz="8" w:space="15" w:color="auto"/>
        <w:bottom w:val="none" w:sz="8" w:space="0" w:color="auto"/>
        <w:right w:val="none" w:sz="8" w:space="0" w:color="auto"/>
      </w:pBdr>
      <w:spacing w:before="109" w:line="215" w:lineRule="atLeast"/>
    </w:pPr>
    <w:rPr>
      <w:sz w:val="18"/>
      <w:szCs w:val="18"/>
    </w:rPr>
  </w:style>
  <w:style w:type="paragraph" w:customStyle="1" w:styleId="Para076">
    <w:name w:val="Para 076"/>
    <w:basedOn w:val="Normal"/>
    <w:pPr>
      <w:pBdr>
        <w:top w:val="none" w:sz="8" w:space="0" w:color="auto"/>
        <w:left w:val="none" w:sz="8" w:space="0" w:color="auto"/>
        <w:bottom w:val="none" w:sz="8" w:space="0" w:color="auto"/>
        <w:right w:val="none" w:sz="8" w:space="0" w:color="auto"/>
      </w:pBdr>
      <w:spacing w:before="170" w:line="680" w:lineRule="atLeast"/>
      <w:jc w:val="center"/>
    </w:pPr>
    <w:rPr>
      <w:b/>
      <w:bCs/>
      <w:sz w:val="48"/>
      <w:szCs w:val="48"/>
    </w:rPr>
  </w:style>
  <w:style w:type="paragraph" w:customStyle="1" w:styleId="Para077">
    <w:name w:val="Para 077"/>
    <w:basedOn w:val="Normal"/>
    <w:pPr>
      <w:pBdr>
        <w:top w:val="none" w:sz="8" w:space="0" w:color="auto"/>
        <w:left w:val="none" w:sz="8" w:space="0" w:color="auto"/>
        <w:bottom w:val="none" w:sz="8" w:space="0" w:color="auto"/>
        <w:right w:val="none" w:sz="8" w:space="0" w:color="auto"/>
      </w:pBdr>
      <w:spacing w:beforeLines="100" w:after="113" w:line="411" w:lineRule="atLeast"/>
    </w:pPr>
    <w:rPr>
      <w:b/>
      <w:bCs/>
    </w:rPr>
  </w:style>
  <w:style w:type="paragraph" w:customStyle="1" w:styleId="Para079">
    <w:name w:val="Para 079"/>
    <w:basedOn w:val="Normal"/>
    <w:pPr>
      <w:pBdr>
        <w:top w:val="none" w:sz="8" w:space="0" w:color="auto"/>
        <w:left w:val="none" w:sz="8" w:space="0" w:color="auto"/>
        <w:bottom w:val="none" w:sz="8" w:space="0" w:color="auto"/>
        <w:right w:val="none" w:sz="8" w:space="0" w:color="auto"/>
      </w:pBdr>
      <w:spacing w:beforeLines="100" w:after="109" w:line="252" w:lineRule="atLeast"/>
      <w:jc w:val="center"/>
    </w:pPr>
    <w:rPr>
      <w:sz w:val="18"/>
      <w:szCs w:val="18"/>
    </w:rPr>
  </w:style>
  <w:style w:type="paragraph" w:customStyle="1" w:styleId="Para080">
    <w:name w:val="Para 080"/>
    <w:basedOn w:val="Normal"/>
    <w:pPr>
      <w:pBdr>
        <w:top w:val="none" w:sz="8" w:space="0" w:color="auto"/>
        <w:left w:val="none" w:sz="8" w:space="0" w:color="auto"/>
        <w:bottom w:val="none" w:sz="8" w:space="0" w:color="auto"/>
        <w:right w:val="none" w:sz="8" w:space="0" w:color="auto"/>
      </w:pBdr>
      <w:spacing w:beforeLines="100" w:after="109" w:line="270" w:lineRule="atLeast"/>
    </w:pPr>
    <w:rPr>
      <w:i/>
      <w:iCs/>
      <w:sz w:val="18"/>
      <w:szCs w:val="18"/>
    </w:rPr>
  </w:style>
  <w:style w:type="paragraph" w:customStyle="1" w:styleId="Para081">
    <w:name w:val="Para 081"/>
    <w:basedOn w:val="Normal"/>
    <w:pPr>
      <w:pBdr>
        <w:top w:val="none" w:sz="8" w:space="0" w:color="auto"/>
        <w:left w:val="none" w:sz="8" w:space="0" w:color="auto"/>
        <w:bottom w:val="none" w:sz="8" w:space="0" w:color="auto"/>
        <w:right w:val="none" w:sz="8" w:space="0" w:color="auto"/>
      </w:pBdr>
    </w:pPr>
  </w:style>
  <w:style w:type="paragraph" w:customStyle="1" w:styleId="Para082">
    <w:name w:val="Para 082"/>
    <w:basedOn w:val="Normal"/>
    <w:pPr>
      <w:pBdr>
        <w:top w:val="none" w:sz="8" w:space="0" w:color="auto"/>
        <w:left w:val="none" w:sz="8" w:space="0" w:color="auto"/>
        <w:bottom w:val="none" w:sz="8" w:space="0" w:color="auto"/>
        <w:right w:val="none" w:sz="8" w:space="0" w:color="auto"/>
      </w:pBdr>
      <w:spacing w:before="340" w:line="600" w:lineRule="atLeast"/>
      <w:jc w:val="center"/>
    </w:pPr>
    <w:rPr>
      <w:b/>
      <w:bCs/>
      <w:sz w:val="48"/>
      <w:szCs w:val="48"/>
    </w:rPr>
  </w:style>
  <w:style w:type="paragraph" w:customStyle="1" w:styleId="Para083">
    <w:name w:val="Para 083"/>
    <w:basedOn w:val="Normal"/>
    <w:rPr>
      <w:b/>
      <w:bCs/>
      <w:caps/>
      <w:sz w:val="18"/>
      <w:szCs w:val="18"/>
      <w:vertAlign w:val="subscript"/>
    </w:rPr>
  </w:style>
  <w:style w:type="paragraph" w:customStyle="1" w:styleId="Para084">
    <w:name w:val="Para 084"/>
    <w:basedOn w:val="Normal"/>
    <w:pPr>
      <w:pBdr>
        <w:top w:val="none" w:sz="8" w:space="0" w:color="auto"/>
        <w:left w:val="none" w:sz="8" w:space="0" w:color="auto"/>
        <w:bottom w:val="none" w:sz="8" w:space="0" w:color="auto"/>
        <w:right w:val="none" w:sz="8" w:space="0" w:color="auto"/>
      </w:pBdr>
      <w:spacing w:beforeLines="100" w:after="109" w:line="308" w:lineRule="atLeast"/>
    </w:pPr>
    <w:rPr>
      <w:sz w:val="18"/>
      <w:szCs w:val="18"/>
    </w:rPr>
  </w:style>
  <w:style w:type="paragraph" w:customStyle="1" w:styleId="Para085">
    <w:name w:val="Para 085"/>
    <w:basedOn w:val="Normal"/>
    <w:pPr>
      <w:pBdr>
        <w:top w:val="none" w:sz="8" w:space="0" w:color="auto"/>
        <w:left w:val="none" w:sz="8" w:space="0" w:color="auto"/>
        <w:bottom w:val="none" w:sz="8" w:space="2" w:color="auto"/>
        <w:right w:val="none" w:sz="8" w:space="0" w:color="auto"/>
      </w:pBdr>
    </w:pPr>
    <w:rPr>
      <w:sz w:val="18"/>
      <w:szCs w:val="18"/>
    </w:rPr>
  </w:style>
  <w:style w:type="paragraph" w:customStyle="1" w:styleId="Para086">
    <w:name w:val="Para 086"/>
    <w:basedOn w:val="Normal"/>
    <w:pPr>
      <w:pBdr>
        <w:top w:val="none" w:sz="8" w:space="0" w:color="auto"/>
        <w:left w:val="none" w:sz="8" w:space="0" w:color="auto"/>
        <w:bottom w:val="none" w:sz="8" w:space="0" w:color="auto"/>
        <w:right w:val="none" w:sz="8" w:space="0" w:color="auto"/>
      </w:pBdr>
      <w:spacing w:before="109" w:line="408" w:lineRule="atLeast"/>
    </w:pPr>
    <w:rPr>
      <w:sz w:val="34"/>
      <w:szCs w:val="34"/>
    </w:rPr>
  </w:style>
  <w:style w:type="paragraph" w:customStyle="1" w:styleId="Para087">
    <w:name w:val="Para 087"/>
    <w:basedOn w:val="Normal"/>
    <w:pPr>
      <w:pBdr>
        <w:top w:val="none" w:sz="8" w:space="0" w:color="auto"/>
        <w:left w:val="none" w:sz="8" w:space="0" w:color="auto"/>
        <w:bottom w:val="none" w:sz="8" w:space="0" w:color="auto"/>
        <w:right w:val="none" w:sz="8" w:space="0" w:color="auto"/>
      </w:pBdr>
    </w:pPr>
    <w:rPr>
      <w:color w:val="0000FF"/>
      <w:sz w:val="18"/>
      <w:szCs w:val="18"/>
      <w:u w:val="single"/>
    </w:rPr>
  </w:style>
  <w:style w:type="paragraph" w:customStyle="1" w:styleId="Para088">
    <w:name w:val="Para 088"/>
    <w:basedOn w:val="Normal"/>
    <w:pPr>
      <w:pBdr>
        <w:top w:val="none" w:sz="8" w:space="0" w:color="auto"/>
        <w:left w:val="none" w:sz="8" w:space="0" w:color="auto"/>
        <w:bottom w:val="none" w:sz="8" w:space="0" w:color="auto"/>
        <w:right w:val="none" w:sz="8" w:space="0" w:color="auto"/>
      </w:pBdr>
      <w:spacing w:after="109" w:line="411" w:lineRule="atLeast"/>
    </w:pPr>
    <w:rPr>
      <w:b/>
      <w:bCs/>
    </w:rPr>
  </w:style>
  <w:style w:type="paragraph" w:customStyle="1" w:styleId="Para089">
    <w:name w:val="Para 089"/>
    <w:basedOn w:val="Normal"/>
    <w:pPr>
      <w:jc w:val="center"/>
    </w:pPr>
    <w:rPr>
      <w:b/>
      <w:bCs/>
      <w:caps/>
      <w:sz w:val="18"/>
      <w:szCs w:val="18"/>
    </w:rPr>
  </w:style>
  <w:style w:type="paragraph" w:customStyle="1" w:styleId="Para090">
    <w:name w:val="Para 090"/>
    <w:basedOn w:val="Normal"/>
    <w:rPr>
      <w:bdr w:val="none" w:sz="0" w:space="2" w:color="auto"/>
    </w:rPr>
  </w:style>
  <w:style w:type="paragraph" w:customStyle="1" w:styleId="Para091">
    <w:name w:val="Para 091"/>
    <w:basedOn w:val="Normal"/>
    <w:pPr>
      <w:jc w:val="center"/>
    </w:pPr>
    <w:rPr>
      <w:b/>
      <w:bCs/>
    </w:rPr>
  </w:style>
  <w:style w:type="paragraph" w:customStyle="1" w:styleId="Para092">
    <w:name w:val="Para 092"/>
    <w:basedOn w:val="Normal"/>
    <w:pPr>
      <w:jc w:val="center"/>
    </w:pPr>
    <w:rPr>
      <w:rFonts w:cs="Helvetica Neue"/>
    </w:rPr>
  </w:style>
  <w:style w:type="paragraph" w:customStyle="1" w:styleId="Para093">
    <w:name w:val="Para 093"/>
    <w:basedOn w:val="Normal"/>
    <w:pPr>
      <w:jc w:val="center"/>
    </w:pPr>
    <w:rPr>
      <w:b/>
      <w:bCs/>
      <w:caps/>
      <w:sz w:val="18"/>
      <w:szCs w:val="18"/>
    </w:rPr>
  </w:style>
  <w:style w:type="paragraph" w:customStyle="1" w:styleId="Para094">
    <w:name w:val="Para 094"/>
    <w:basedOn w:val="Normal"/>
    <w:pPr>
      <w:jc w:val="center"/>
    </w:pPr>
    <w:rPr>
      <w:rFonts w:cs="Helvetica Neue"/>
    </w:rPr>
  </w:style>
  <w:style w:type="paragraph" w:customStyle="1" w:styleId="Para095">
    <w:name w:val="Para 095"/>
    <w:basedOn w:val="Normal"/>
    <w:rPr>
      <w:bdr w:val="none" w:sz="0" w:space="2" w:color="auto"/>
    </w:rPr>
  </w:style>
  <w:style w:type="paragraph" w:customStyle="1" w:styleId="Para096">
    <w:name w:val="Para 096"/>
    <w:basedOn w:val="Normal"/>
    <w:pPr>
      <w:jc w:val="center"/>
    </w:pPr>
    <w:rPr>
      <w:rFonts w:cs="Helvetica Neue"/>
    </w:rPr>
  </w:style>
  <w:style w:type="paragraph" w:customStyle="1" w:styleId="Para097">
    <w:name w:val="Para 097"/>
    <w:basedOn w:val="Normal"/>
    <w:pPr>
      <w:pBdr>
        <w:top w:val="none" w:sz="8" w:space="0" w:color="auto"/>
        <w:left w:val="none" w:sz="8" w:space="0" w:color="auto"/>
        <w:bottom w:val="none" w:sz="8" w:space="0" w:color="auto"/>
        <w:right w:val="none" w:sz="8" w:space="0" w:color="auto"/>
      </w:pBdr>
      <w:spacing w:beforeLines="200" w:afterLines="167"/>
    </w:pPr>
    <w:rPr>
      <w:b/>
      <w:bCs/>
      <w:caps/>
    </w:rPr>
  </w:style>
  <w:style w:type="paragraph" w:customStyle="1" w:styleId="Para098">
    <w:name w:val="Para 098"/>
    <w:basedOn w:val="Normal"/>
    <w:rPr>
      <w:sz w:val="18"/>
      <w:szCs w:val="18"/>
    </w:rPr>
  </w:style>
  <w:style w:type="paragraph" w:customStyle="1" w:styleId="Para099">
    <w:name w:val="Para 099"/>
    <w:basedOn w:val="Normal"/>
    <w:rPr>
      <w:b/>
      <w:bCs/>
      <w:i/>
      <w:iCs/>
    </w:rPr>
  </w:style>
  <w:style w:type="paragraph" w:customStyle="1" w:styleId="Para100">
    <w:name w:val="Para 100"/>
    <w:basedOn w:val="Normal"/>
    <w:pPr>
      <w:pBdr>
        <w:top w:val="none" w:sz="8" w:space="0" w:color="auto"/>
        <w:left w:val="none" w:sz="8" w:space="0" w:color="auto"/>
        <w:bottom w:val="none" w:sz="8" w:space="0" w:color="auto"/>
        <w:right w:val="none" w:sz="8" w:space="0" w:color="auto"/>
      </w:pBdr>
      <w:spacing w:after="109"/>
      <w:ind w:left="218"/>
    </w:pPr>
  </w:style>
  <w:style w:type="paragraph" w:customStyle="1" w:styleId="Para101">
    <w:name w:val="Para 101"/>
    <w:basedOn w:val="Normal"/>
    <w:pPr>
      <w:pBdr>
        <w:top w:val="none" w:sz="8" w:space="0" w:color="auto"/>
        <w:left w:val="none" w:sz="8" w:space="0" w:color="auto"/>
        <w:bottom w:val="none" w:sz="8" w:space="0" w:color="auto"/>
        <w:right w:val="none" w:sz="8" w:space="0" w:color="auto"/>
      </w:pBdr>
      <w:spacing w:before="109" w:line="308" w:lineRule="atLeast"/>
    </w:pPr>
    <w:rPr>
      <w:sz w:val="18"/>
      <w:szCs w:val="18"/>
    </w:rPr>
  </w:style>
  <w:style w:type="paragraph" w:customStyle="1" w:styleId="Para102">
    <w:name w:val="Para 102"/>
    <w:basedOn w:val="Normal"/>
    <w:rPr>
      <w:b/>
      <w:bCs/>
      <w:color w:val="000000"/>
    </w:rPr>
  </w:style>
  <w:style w:type="paragraph" w:customStyle="1" w:styleId="Para103">
    <w:name w:val="Para 103"/>
    <w:basedOn w:val="Normal"/>
    <w:rPr>
      <w:b/>
      <w:bCs/>
      <w:caps/>
      <w:color w:val="000000"/>
      <w:sz w:val="18"/>
      <w:szCs w:val="18"/>
    </w:rPr>
  </w:style>
  <w:style w:type="paragraph" w:customStyle="1" w:styleId="Para104">
    <w:name w:val="Para 104"/>
    <w:basedOn w:val="Normal"/>
  </w:style>
  <w:style w:type="paragraph" w:customStyle="1" w:styleId="Para105">
    <w:name w:val="Para 105"/>
    <w:basedOn w:val="Normal"/>
    <w:pPr>
      <w:pBdr>
        <w:top w:val="none" w:sz="8" w:space="0" w:color="auto"/>
        <w:left w:val="none" w:sz="8" w:space="0" w:color="auto"/>
        <w:bottom w:val="none" w:sz="8" w:space="0" w:color="auto"/>
        <w:right w:val="none" w:sz="8" w:space="0" w:color="auto"/>
      </w:pBdr>
      <w:spacing w:beforeLines="100" w:after="109" w:line="308" w:lineRule="atLeast"/>
      <w:ind w:left="218"/>
    </w:pPr>
    <w:rPr>
      <w:sz w:val="18"/>
      <w:szCs w:val="18"/>
    </w:rPr>
  </w:style>
  <w:style w:type="paragraph" w:customStyle="1" w:styleId="Para106">
    <w:name w:val="Para 106"/>
    <w:basedOn w:val="Normal"/>
    <w:pPr>
      <w:pBdr>
        <w:top w:val="none" w:sz="8" w:space="0" w:color="auto"/>
        <w:left w:val="none" w:sz="8" w:space="0" w:color="auto"/>
        <w:bottom w:val="none" w:sz="8" w:space="0" w:color="auto"/>
        <w:right w:val="none" w:sz="8" w:space="0" w:color="auto"/>
      </w:pBdr>
      <w:spacing w:before="170" w:line="720" w:lineRule="atLeast"/>
      <w:jc w:val="center"/>
    </w:pPr>
    <w:rPr>
      <w:b/>
      <w:bCs/>
      <w:sz w:val="48"/>
      <w:szCs w:val="48"/>
    </w:rPr>
  </w:style>
  <w:style w:type="paragraph" w:customStyle="1" w:styleId="Para107">
    <w:name w:val="Para 107"/>
    <w:basedOn w:val="Normal"/>
    <w:rPr>
      <w:b/>
      <w:bCs/>
      <w:sz w:val="18"/>
      <w:szCs w:val="18"/>
    </w:rPr>
  </w:style>
  <w:style w:type="paragraph" w:customStyle="1" w:styleId="Para108">
    <w:name w:val="Para 108"/>
    <w:basedOn w:val="Normal"/>
    <w:pPr>
      <w:pBdr>
        <w:top w:val="none" w:sz="8" w:space="0" w:color="auto"/>
        <w:left w:val="none" w:sz="8" w:space="0" w:color="auto"/>
        <w:bottom w:val="none" w:sz="8" w:space="0" w:color="auto"/>
        <w:right w:val="none" w:sz="8" w:space="0" w:color="auto"/>
      </w:pBdr>
      <w:spacing w:beforeLines="100" w:after="109" w:line="215" w:lineRule="atLeast"/>
      <w:jc w:val="center"/>
    </w:pPr>
    <w:rPr>
      <w:sz w:val="18"/>
      <w:szCs w:val="18"/>
    </w:rPr>
  </w:style>
  <w:style w:type="paragraph" w:customStyle="1" w:styleId="Para109">
    <w:name w:val="Para 109"/>
    <w:basedOn w:val="Normal"/>
    <w:pPr>
      <w:pBdr>
        <w:top w:val="none" w:sz="8" w:space="0" w:color="auto"/>
        <w:left w:val="none" w:sz="8" w:space="0" w:color="auto"/>
        <w:bottom w:val="none" w:sz="8" w:space="0" w:color="auto"/>
        <w:right w:val="none" w:sz="8" w:space="0" w:color="auto"/>
      </w:pBdr>
      <w:spacing w:before="109" w:afterLines="100" w:line="408" w:lineRule="atLeast"/>
    </w:pPr>
    <w:rPr>
      <w:b/>
      <w:bCs/>
      <w:sz w:val="34"/>
      <w:szCs w:val="34"/>
    </w:rPr>
  </w:style>
  <w:style w:type="paragraph" w:customStyle="1" w:styleId="Para110">
    <w:name w:val="Para 110"/>
    <w:basedOn w:val="Normal"/>
    <w:pPr>
      <w:pBdr>
        <w:top w:val="none" w:sz="8" w:space="0" w:color="auto"/>
        <w:left w:val="none" w:sz="8" w:space="0" w:color="auto"/>
        <w:bottom w:val="none" w:sz="8" w:space="0" w:color="auto"/>
        <w:right w:val="none" w:sz="8" w:space="0" w:color="auto"/>
      </w:pBdr>
      <w:spacing w:before="170" w:line="576" w:lineRule="atLeast"/>
      <w:jc w:val="center"/>
    </w:pPr>
    <w:rPr>
      <w:b/>
      <w:bCs/>
      <w:sz w:val="48"/>
      <w:szCs w:val="48"/>
    </w:rPr>
  </w:style>
  <w:style w:type="paragraph" w:customStyle="1" w:styleId="Para111">
    <w:name w:val="Para 111"/>
    <w:basedOn w:val="Normal"/>
    <w:pPr>
      <w:pBdr>
        <w:top w:val="none" w:sz="8" w:space="0" w:color="auto"/>
        <w:left w:val="none" w:sz="8" w:space="0" w:color="auto"/>
        <w:bottom w:val="none" w:sz="8" w:space="0" w:color="auto"/>
        <w:right w:val="none" w:sz="8" w:space="0" w:color="auto"/>
      </w:pBdr>
      <w:spacing w:beforeLines="100" w:after="109" w:line="411" w:lineRule="atLeast"/>
    </w:pPr>
  </w:style>
  <w:style w:type="paragraph" w:customStyle="1" w:styleId="Para112">
    <w:name w:val="Para 112"/>
    <w:basedOn w:val="Normal"/>
    <w:rPr>
      <w:caps/>
      <w:sz w:val="18"/>
      <w:szCs w:val="18"/>
    </w:rPr>
  </w:style>
  <w:style w:type="paragraph" w:customStyle="1" w:styleId="Para113">
    <w:name w:val="Para 113"/>
    <w:basedOn w:val="Normal"/>
    <w:pPr>
      <w:pBdr>
        <w:top w:val="none" w:sz="8" w:space="0" w:color="auto"/>
        <w:left w:val="none" w:sz="8" w:space="0" w:color="auto"/>
        <w:bottom w:val="none" w:sz="8" w:space="0" w:color="auto"/>
        <w:right w:val="none" w:sz="8" w:space="0" w:color="auto"/>
      </w:pBdr>
    </w:pPr>
    <w:rPr>
      <w:sz w:val="34"/>
      <w:szCs w:val="34"/>
    </w:rPr>
  </w:style>
  <w:style w:type="paragraph" w:customStyle="1" w:styleId="Para114">
    <w:name w:val="Para 114"/>
    <w:basedOn w:val="Normal"/>
    <w:pPr>
      <w:pBdr>
        <w:top w:val="none" w:sz="8" w:space="0" w:color="auto"/>
        <w:left w:val="none" w:sz="8" w:space="0" w:color="auto"/>
        <w:bottom w:val="none" w:sz="8" w:space="0" w:color="auto"/>
        <w:right w:val="none" w:sz="8" w:space="0" w:color="auto"/>
      </w:pBdr>
      <w:spacing w:beforeLines="100" w:after="109" w:line="308" w:lineRule="atLeast"/>
    </w:pPr>
    <w:rPr>
      <w:b/>
      <w:bCs/>
      <w:sz w:val="18"/>
      <w:szCs w:val="18"/>
    </w:rPr>
  </w:style>
  <w:style w:type="paragraph" w:customStyle="1" w:styleId="Para115">
    <w:name w:val="Para 115"/>
    <w:basedOn w:val="Normal"/>
    <w:pPr>
      <w:pBdr>
        <w:top w:val="none" w:sz="8" w:space="0" w:color="auto"/>
        <w:left w:val="none" w:sz="8" w:space="0" w:color="auto"/>
        <w:bottom w:val="none" w:sz="8" w:space="0" w:color="auto"/>
        <w:right w:val="none" w:sz="8" w:space="0" w:color="auto"/>
      </w:pBdr>
      <w:spacing w:before="109" w:line="215" w:lineRule="atLeast"/>
    </w:pPr>
    <w:rPr>
      <w:b/>
      <w:bCs/>
      <w:sz w:val="18"/>
      <w:szCs w:val="18"/>
    </w:rPr>
  </w:style>
  <w:style w:type="paragraph" w:customStyle="1" w:styleId="Para116">
    <w:name w:val="Para 116"/>
    <w:basedOn w:val="Normal"/>
    <w:rPr>
      <w:sz w:val="10"/>
      <w:szCs w:val="10"/>
    </w:rPr>
  </w:style>
  <w:style w:type="paragraph" w:customStyle="1" w:styleId="Para117">
    <w:name w:val="Para 117"/>
    <w:basedOn w:val="Normal"/>
    <w:rPr>
      <w:sz w:val="10"/>
      <w:szCs w:val="10"/>
    </w:rPr>
  </w:style>
  <w:style w:type="paragraph" w:customStyle="1" w:styleId="Para118">
    <w:name w:val="Para 118"/>
    <w:basedOn w:val="Normal"/>
    <w:rPr>
      <w:sz w:val="10"/>
      <w:szCs w:val="10"/>
    </w:rPr>
  </w:style>
  <w:style w:type="paragraph" w:customStyle="1" w:styleId="Para119">
    <w:name w:val="Para 119"/>
    <w:basedOn w:val="Normal"/>
    <w:rPr>
      <w:sz w:val="10"/>
      <w:szCs w:val="10"/>
    </w:rPr>
  </w:style>
  <w:style w:type="paragraph" w:customStyle="1" w:styleId="Para120">
    <w:name w:val="Para 120"/>
    <w:basedOn w:val="Normal"/>
    <w:pPr>
      <w:jc w:val="center"/>
    </w:pPr>
    <w:rPr>
      <w:b/>
      <w:bCs/>
    </w:rPr>
  </w:style>
  <w:style w:type="character" w:customStyle="1" w:styleId="00Text">
    <w:name w:val="00 Text"/>
    <w:rPr>
      <w:b/>
      <w:bCs/>
    </w:rPr>
  </w:style>
  <w:style w:type="character" w:customStyle="1" w:styleId="01Text">
    <w:name w:val="01 Text"/>
    <w:rPr>
      <w:i/>
      <w:iCs/>
    </w:rPr>
  </w:style>
  <w:style w:type="character" w:customStyle="1" w:styleId="02Text">
    <w:name w:val="02 Text"/>
    <w:rPr>
      <w:vertAlign w:val="superscript"/>
    </w:rPr>
  </w:style>
  <w:style w:type="character" w:customStyle="1" w:styleId="03Text">
    <w:name w:val="03 Text"/>
    <w:rPr>
      <w:vertAlign w:val="baseline"/>
    </w:rPr>
  </w:style>
  <w:style w:type="character" w:customStyle="1" w:styleId="04Text">
    <w:name w:val="04 Text"/>
    <w:rPr>
      <w:color w:val="0000FF"/>
      <w:u w:val="single"/>
    </w:rPr>
  </w:style>
  <w:style w:type="character" w:customStyle="1" w:styleId="05Text">
    <w:name w:val="05 Text"/>
    <w:rPr>
      <w:b/>
      <w:bCs/>
      <w:vertAlign w:val="baseline"/>
    </w:rPr>
  </w:style>
  <w:style w:type="character" w:customStyle="1" w:styleId="06Text">
    <w:name w:val="06 Text"/>
    <w:rPr>
      <w:color w:val="0000FF"/>
      <w:u w:val="single"/>
      <w:vertAlign w:val="baseline"/>
    </w:rPr>
  </w:style>
  <w:style w:type="character" w:customStyle="1" w:styleId="07Text">
    <w:name w:val="07 Text"/>
    <w:rPr>
      <w:sz w:val="18"/>
      <w:szCs w:val="18"/>
    </w:rPr>
  </w:style>
  <w:style w:type="character" w:customStyle="1" w:styleId="08Text">
    <w:name w:val="08 Text"/>
    <w:rPr>
      <w:i/>
      <w:iCs/>
      <w:vertAlign w:val="superscript"/>
    </w:rPr>
  </w:style>
  <w:style w:type="character" w:customStyle="1" w:styleId="09Text">
    <w:name w:val="09 Text"/>
    <w:rPr>
      <w:color w:val="0000FF"/>
      <w:sz w:val="18"/>
      <w:szCs w:val="18"/>
      <w:u w:val="single"/>
    </w:rPr>
  </w:style>
  <w:style w:type="character" w:customStyle="1" w:styleId="10Text">
    <w:name w:val="10 Text"/>
    <w:rPr>
      <w:sz w:val="18"/>
      <w:szCs w:val="18"/>
      <w:vertAlign w:val="baseline"/>
    </w:rPr>
  </w:style>
  <w:style w:type="character" w:customStyle="1" w:styleId="11Text">
    <w:name w:val="11 Text"/>
    <w:rPr>
      <w:sz w:val="24"/>
      <w:szCs w:val="24"/>
    </w:rPr>
  </w:style>
  <w:style w:type="character" w:customStyle="1" w:styleId="12Text">
    <w:name w:val="12 Text"/>
    <w:rPr>
      <w:i/>
      <w:iCs/>
      <w:vertAlign w:val="baseline"/>
    </w:rPr>
  </w:style>
  <w:style w:type="character" w:customStyle="1" w:styleId="13Text">
    <w:name w:val="13 Text"/>
    <w:rPr>
      <w:b/>
      <w:bCs/>
      <w:sz w:val="18"/>
      <w:szCs w:val="18"/>
    </w:rPr>
  </w:style>
  <w:style w:type="character" w:customStyle="1" w:styleId="14Text">
    <w:name w:val="14 Text"/>
    <w:rPr>
      <w:sz w:val="24"/>
      <w:szCs w:val="24"/>
      <w:vertAlign w:val="superscript"/>
    </w:rPr>
  </w:style>
  <w:style w:type="character" w:customStyle="1" w:styleId="15Text">
    <w:name w:val="15 Text"/>
    <w:rPr>
      <w:color w:val="0000FF"/>
      <w:sz w:val="23"/>
      <w:szCs w:val="23"/>
      <w:u w:val="single"/>
    </w:rPr>
  </w:style>
  <w:style w:type="character" w:customStyle="1" w:styleId="16Text">
    <w:name w:val="16 Text"/>
    <w:rPr>
      <w:bdr w:val="none" w:sz="0" w:space="2" w:color="auto"/>
      <w:shd w:val="clear" w:color="auto" w:fill="FFCC00"/>
      <w:vertAlign w:val="superscript"/>
    </w:rPr>
  </w:style>
  <w:style w:type="character" w:customStyle="1" w:styleId="17Text">
    <w:name w:val="17 Text"/>
    <w:rPr>
      <w:bdr w:val="none" w:sz="0" w:space="2" w:color="auto"/>
    </w:rPr>
  </w:style>
  <w:style w:type="paragraph" w:customStyle="1" w:styleId="0Block">
    <w:name w:val="0 Block"/>
    <w:pPr>
      <w:spacing w:line="288" w:lineRule="atLeast"/>
    </w:pPr>
    <w:rPr>
      <w:rFonts w:cs="Times New Roman"/>
    </w:rPr>
  </w:style>
  <w:style w:type="paragraph" w:customStyle="1" w:styleId="1Block">
    <w:name w:val="1 Block"/>
    <w:basedOn w:val="0Block"/>
    <w:pPr>
      <w:jc w:val="center"/>
    </w:pPr>
  </w:style>
  <w:style w:type="paragraph" w:customStyle="1" w:styleId="2Block">
    <w:name w:val="2 Block"/>
    <w:basedOn w:val="0Block"/>
    <w:pPr>
      <w:spacing w:beforeLines="170" w:afterLines="83" w:line="408" w:lineRule="atLeast"/>
    </w:pPr>
  </w:style>
  <w:style w:type="paragraph" w:customStyle="1" w:styleId="3Block">
    <w:name w:val="3 Block"/>
    <w:basedOn w:val="0Block"/>
    <w:pPr>
      <w:spacing w:beforeLines="100" w:line="411" w:lineRule="atLeast"/>
    </w:pPr>
  </w:style>
  <w:style w:type="paragraph" w:customStyle="1" w:styleId="4Block">
    <w:name w:val="4 Block"/>
    <w:basedOn w:val="0Block"/>
    <w:pPr>
      <w:spacing w:beforeLines="100" w:after="109" w:line="411" w:lineRule="atLeast"/>
      <w:jc w:val="center"/>
    </w:pPr>
  </w:style>
  <w:style w:type="paragraph" w:customStyle="1" w:styleId="5Block">
    <w:name w:val="5 Block"/>
    <w:basedOn w:val="0Block"/>
  </w:style>
  <w:style w:type="paragraph" w:customStyle="1" w:styleId="6Block">
    <w:name w:val="6 Block"/>
    <w:basedOn w:val="0Block"/>
    <w:pPr>
      <w:spacing w:beforeLines="100" w:after="109" w:line="411" w:lineRule="atLeast"/>
    </w:pPr>
  </w:style>
  <w:style w:type="paragraph" w:customStyle="1" w:styleId="7Block">
    <w:name w:val="7 Block"/>
    <w:basedOn w:val="0Block"/>
    <w:pPr>
      <w:pBdr>
        <w:bottom w:val="none" w:sz="0" w:space="0" w:color="808080"/>
      </w:pBdr>
      <w:jc w:val="right"/>
    </w:pPr>
  </w:style>
  <w:style w:type="paragraph" w:styleId="TOCHeading">
    <w:name w:val="TOC Heading"/>
    <w:basedOn w:val="Heading1"/>
    <w:next w:val="Normal"/>
    <w:uiPriority w:val="39"/>
    <w:unhideWhenUsed/>
    <w:qFormat/>
    <w:rsid w:val="00B8703D"/>
    <w:pPr>
      <w:outlineLvl w:val="9"/>
    </w:pPr>
    <w:rPr>
      <w:rFonts w:cstheme="majorBidi"/>
    </w:rPr>
  </w:style>
  <w:style w:type="paragraph" w:styleId="TOC1">
    <w:name w:val="toc 1"/>
    <w:basedOn w:val="Normal"/>
    <w:next w:val="Normal"/>
    <w:autoRedefine/>
    <w:uiPriority w:val="39"/>
    <w:unhideWhenUsed/>
    <w:rsid w:val="00E57C11"/>
    <w:pPr>
      <w:tabs>
        <w:tab w:val="right" w:leader="dot" w:pos="9214"/>
      </w:tabs>
      <w:spacing w:after="100"/>
    </w:pPr>
    <w:rPr>
      <w:b/>
      <w:noProof/>
    </w:rPr>
  </w:style>
  <w:style w:type="paragraph" w:styleId="TOC2">
    <w:name w:val="toc 2"/>
    <w:basedOn w:val="Normal"/>
    <w:next w:val="Normal"/>
    <w:autoRedefine/>
    <w:uiPriority w:val="39"/>
    <w:unhideWhenUsed/>
    <w:rsid w:val="0035019C"/>
    <w:pPr>
      <w:tabs>
        <w:tab w:val="right" w:pos="9639"/>
      </w:tabs>
      <w:spacing w:after="100"/>
      <w:ind w:left="240"/>
    </w:pPr>
  </w:style>
  <w:style w:type="paragraph" w:styleId="TOC3">
    <w:name w:val="toc 3"/>
    <w:basedOn w:val="Normal"/>
    <w:next w:val="Normal"/>
    <w:autoRedefine/>
    <w:uiPriority w:val="39"/>
    <w:unhideWhenUsed/>
    <w:rsid w:val="0085686E"/>
    <w:pPr>
      <w:tabs>
        <w:tab w:val="right" w:pos="9639"/>
      </w:tabs>
      <w:spacing w:after="100"/>
      <w:ind w:left="480"/>
    </w:pPr>
  </w:style>
  <w:style w:type="paragraph" w:styleId="TOC4">
    <w:name w:val="toc 4"/>
    <w:basedOn w:val="Normal"/>
    <w:next w:val="Normal"/>
    <w:autoRedefine/>
    <w:uiPriority w:val="39"/>
    <w:unhideWhenUsed/>
    <w:rsid w:val="00D11B5F"/>
    <w:pPr>
      <w:spacing w:after="100" w:line="259" w:lineRule="auto"/>
      <w:ind w:left="660"/>
    </w:pPr>
    <w:rPr>
      <w:rFonts w:cstheme="minorBidi"/>
      <w:lang w:eastAsia="en-NZ"/>
    </w:rPr>
  </w:style>
  <w:style w:type="paragraph" w:styleId="TOC5">
    <w:name w:val="toc 5"/>
    <w:basedOn w:val="Normal"/>
    <w:next w:val="Normal"/>
    <w:autoRedefine/>
    <w:uiPriority w:val="39"/>
    <w:unhideWhenUsed/>
    <w:rsid w:val="00D11B5F"/>
    <w:pPr>
      <w:spacing w:after="100" w:line="259" w:lineRule="auto"/>
      <w:ind w:left="880"/>
    </w:pPr>
    <w:rPr>
      <w:rFonts w:cstheme="minorBidi"/>
      <w:lang w:eastAsia="en-NZ"/>
    </w:rPr>
  </w:style>
  <w:style w:type="paragraph" w:styleId="TOC6">
    <w:name w:val="toc 6"/>
    <w:basedOn w:val="Normal"/>
    <w:next w:val="Normal"/>
    <w:autoRedefine/>
    <w:uiPriority w:val="39"/>
    <w:unhideWhenUsed/>
    <w:rsid w:val="00D11B5F"/>
    <w:pPr>
      <w:spacing w:after="100" w:line="259" w:lineRule="auto"/>
      <w:ind w:left="1100"/>
    </w:pPr>
    <w:rPr>
      <w:rFonts w:cstheme="minorBidi"/>
      <w:lang w:eastAsia="en-NZ"/>
    </w:rPr>
  </w:style>
  <w:style w:type="paragraph" w:styleId="TOC7">
    <w:name w:val="toc 7"/>
    <w:basedOn w:val="Normal"/>
    <w:next w:val="Normal"/>
    <w:autoRedefine/>
    <w:uiPriority w:val="39"/>
    <w:unhideWhenUsed/>
    <w:rsid w:val="00D11B5F"/>
    <w:pPr>
      <w:spacing w:after="100" w:line="259" w:lineRule="auto"/>
      <w:ind w:left="1320"/>
    </w:pPr>
    <w:rPr>
      <w:rFonts w:cstheme="minorBidi"/>
      <w:lang w:eastAsia="en-NZ"/>
    </w:rPr>
  </w:style>
  <w:style w:type="paragraph" w:styleId="TOC8">
    <w:name w:val="toc 8"/>
    <w:basedOn w:val="Normal"/>
    <w:next w:val="Normal"/>
    <w:autoRedefine/>
    <w:uiPriority w:val="39"/>
    <w:unhideWhenUsed/>
    <w:rsid w:val="00D11B5F"/>
    <w:pPr>
      <w:spacing w:after="100" w:line="259" w:lineRule="auto"/>
      <w:ind w:left="1540"/>
    </w:pPr>
    <w:rPr>
      <w:rFonts w:cstheme="minorBidi"/>
      <w:lang w:eastAsia="en-NZ"/>
    </w:rPr>
  </w:style>
  <w:style w:type="paragraph" w:styleId="TOC9">
    <w:name w:val="toc 9"/>
    <w:basedOn w:val="Normal"/>
    <w:next w:val="Normal"/>
    <w:autoRedefine/>
    <w:uiPriority w:val="39"/>
    <w:unhideWhenUsed/>
    <w:rsid w:val="00D11B5F"/>
    <w:pPr>
      <w:spacing w:after="100" w:line="259" w:lineRule="auto"/>
      <w:ind w:left="1760"/>
    </w:pPr>
    <w:rPr>
      <w:rFonts w:cstheme="minorBidi"/>
      <w:lang w:eastAsia="en-NZ"/>
    </w:rPr>
  </w:style>
  <w:style w:type="character" w:styleId="Hyperlink">
    <w:name w:val="Hyperlink"/>
    <w:basedOn w:val="DefaultParagraphFont"/>
    <w:uiPriority w:val="99"/>
    <w:unhideWhenUsed/>
    <w:rsid w:val="00D11B5F"/>
    <w:rPr>
      <w:color w:val="0000FF" w:themeColor="hyperlink"/>
      <w:u w:val="single"/>
    </w:rPr>
  </w:style>
  <w:style w:type="paragraph" w:styleId="Header">
    <w:name w:val="header"/>
    <w:basedOn w:val="Normal"/>
    <w:link w:val="HeaderChar"/>
    <w:uiPriority w:val="99"/>
    <w:unhideWhenUsed/>
    <w:rsid w:val="00B55ACC"/>
    <w:pPr>
      <w:tabs>
        <w:tab w:val="center" w:pos="4513"/>
        <w:tab w:val="right" w:pos="9026"/>
      </w:tabs>
      <w:spacing w:line="240" w:lineRule="auto"/>
    </w:pPr>
  </w:style>
  <w:style w:type="character" w:customStyle="1" w:styleId="HeaderChar">
    <w:name w:val="Header Char"/>
    <w:basedOn w:val="DefaultParagraphFont"/>
    <w:link w:val="Header"/>
    <w:uiPriority w:val="99"/>
    <w:rsid w:val="00B55ACC"/>
    <w:rPr>
      <w:rFonts w:ascii="Helvetica Neue" w:eastAsia="Helvetica Neue" w:hAnsi="Helvetica Neue" w:cs="Times New Roman"/>
      <w:color w:val="333333"/>
      <w:sz w:val="24"/>
      <w:szCs w:val="24"/>
      <w:vertAlign w:val="superscript"/>
      <w:lang w:bidi="ar-SA"/>
    </w:rPr>
  </w:style>
  <w:style w:type="paragraph" w:styleId="Footer">
    <w:name w:val="footer"/>
    <w:basedOn w:val="Normal"/>
    <w:link w:val="FooterChar"/>
    <w:uiPriority w:val="99"/>
    <w:unhideWhenUsed/>
    <w:rsid w:val="00B55ACC"/>
    <w:pPr>
      <w:tabs>
        <w:tab w:val="center" w:pos="4513"/>
        <w:tab w:val="right" w:pos="9026"/>
      </w:tabs>
      <w:spacing w:line="240" w:lineRule="auto"/>
    </w:pPr>
  </w:style>
  <w:style w:type="character" w:customStyle="1" w:styleId="FooterChar">
    <w:name w:val="Footer Char"/>
    <w:basedOn w:val="DefaultParagraphFont"/>
    <w:link w:val="Footer"/>
    <w:uiPriority w:val="99"/>
    <w:rsid w:val="00B55ACC"/>
    <w:rPr>
      <w:rFonts w:ascii="Helvetica Neue" w:eastAsia="Helvetica Neue" w:hAnsi="Helvetica Neue" w:cs="Times New Roman"/>
      <w:color w:val="333333"/>
      <w:sz w:val="24"/>
      <w:szCs w:val="24"/>
      <w:vertAlign w:val="superscript"/>
      <w:lang w:bidi="ar-SA"/>
    </w:rPr>
  </w:style>
  <w:style w:type="paragraph" w:styleId="BalloonText">
    <w:name w:val="Balloon Text"/>
    <w:basedOn w:val="Normal"/>
    <w:link w:val="BalloonTextChar"/>
    <w:uiPriority w:val="99"/>
    <w:semiHidden/>
    <w:unhideWhenUsed/>
    <w:rsid w:val="00052418"/>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2418"/>
    <w:rPr>
      <w:rFonts w:ascii="Tahoma" w:eastAsia="Helvetica Neue" w:hAnsi="Tahoma" w:cs="Tahoma"/>
      <w:color w:val="333333"/>
      <w:sz w:val="16"/>
      <w:szCs w:val="16"/>
      <w:vertAlign w:val="superscript"/>
      <w:lang w:bidi="ar-SA"/>
    </w:rPr>
  </w:style>
  <w:style w:type="character" w:customStyle="1" w:styleId="Heading1Char">
    <w:name w:val="Heading 1 Char"/>
    <w:basedOn w:val="DefaultParagraphFont"/>
    <w:link w:val="Heading1"/>
    <w:uiPriority w:val="5"/>
    <w:rsid w:val="00556359"/>
    <w:rPr>
      <w:rFonts w:asciiTheme="majorHAnsi" w:eastAsiaTheme="majorEastAsia" w:hAnsiTheme="majorHAnsi" w:cs="Times New Roman"/>
      <w:b/>
      <w:bCs/>
      <w:color w:val="002060"/>
      <w:sz w:val="52"/>
      <w:szCs w:val="28"/>
      <w:lang w:val="en-NZ" w:bidi="ar-SA"/>
    </w:rPr>
  </w:style>
  <w:style w:type="character" w:customStyle="1" w:styleId="Heading2Char">
    <w:name w:val="Heading 2 Char"/>
    <w:basedOn w:val="DefaultParagraphFont"/>
    <w:link w:val="Heading2"/>
    <w:uiPriority w:val="5"/>
    <w:rsid w:val="00810293"/>
    <w:rPr>
      <w:rFonts w:asciiTheme="majorHAnsi" w:eastAsiaTheme="majorEastAsia" w:hAnsiTheme="majorHAnsi" w:cs="Times New Roman"/>
      <w:b/>
      <w:bCs/>
      <w:color w:val="1F497D" w:themeColor="text2"/>
      <w:sz w:val="40"/>
      <w:szCs w:val="40"/>
      <w:lang w:bidi="ar-SA"/>
    </w:rPr>
  </w:style>
  <w:style w:type="character" w:customStyle="1" w:styleId="Heading3Char">
    <w:name w:val="Heading 3 Char"/>
    <w:basedOn w:val="DefaultParagraphFont"/>
    <w:link w:val="Heading3"/>
    <w:uiPriority w:val="5"/>
    <w:rsid w:val="00AA2122"/>
    <w:rPr>
      <w:rFonts w:eastAsia="Times New Roman" w:cstheme="minorHAnsi"/>
      <w:b/>
      <w:bCs/>
      <w:color w:val="4F81BD" w:themeColor="accent1"/>
      <w:sz w:val="34"/>
      <w:szCs w:val="34"/>
      <w:lang w:eastAsia="en-NZ"/>
    </w:rPr>
  </w:style>
  <w:style w:type="character" w:customStyle="1" w:styleId="Heading4Char">
    <w:name w:val="Heading 4 Char"/>
    <w:basedOn w:val="DefaultParagraphFont"/>
    <w:link w:val="Heading4"/>
    <w:uiPriority w:val="5"/>
    <w:rsid w:val="00846C1B"/>
    <w:rPr>
      <w:rFonts w:ascii="Arial" w:eastAsiaTheme="majorEastAsia" w:hAnsi="Arial" w:cs="Arial"/>
      <w:b/>
      <w:bCs/>
      <w:i/>
      <w:iCs/>
      <w:color w:val="4F81BD" w:themeColor="accent1"/>
      <w:sz w:val="28"/>
    </w:rPr>
  </w:style>
  <w:style w:type="character" w:customStyle="1" w:styleId="Heading5Char">
    <w:name w:val="Heading 5 Char"/>
    <w:basedOn w:val="DefaultParagraphFont"/>
    <w:link w:val="Heading5"/>
    <w:uiPriority w:val="5"/>
    <w:rsid w:val="00961FC5"/>
    <w:rPr>
      <w:rFonts w:asciiTheme="majorHAnsi" w:eastAsiaTheme="majorEastAsia" w:hAnsiTheme="majorHAnsi" w:cs="Times New Roman"/>
    </w:rPr>
  </w:style>
  <w:style w:type="character" w:customStyle="1" w:styleId="Heading6Char">
    <w:name w:val="Heading 6 Char"/>
    <w:basedOn w:val="DefaultParagraphFont"/>
    <w:link w:val="Heading6"/>
    <w:uiPriority w:val="9"/>
    <w:rsid w:val="003631E3"/>
    <w:rPr>
      <w:rFonts w:eastAsiaTheme="majorEastAsia" w:cstheme="minorHAnsi"/>
      <w:b/>
      <w:i/>
      <w:iCs/>
    </w:rPr>
  </w:style>
  <w:style w:type="character" w:customStyle="1" w:styleId="Heading7Char">
    <w:name w:val="Heading 7 Char"/>
    <w:basedOn w:val="DefaultParagraphFont"/>
    <w:link w:val="Heading7"/>
    <w:uiPriority w:val="5"/>
    <w:rsid w:val="003631E3"/>
    <w:rPr>
      <w:rFonts w:eastAsiaTheme="majorEastAsia" w:cstheme="minorHAnsi"/>
      <w:iCs/>
      <w:u w:val="single"/>
      <w:lang w:eastAsia="en-GB"/>
    </w:rPr>
  </w:style>
  <w:style w:type="character" w:customStyle="1" w:styleId="Heading8Char">
    <w:name w:val="Heading 8 Char"/>
    <w:basedOn w:val="DefaultParagraphFont"/>
    <w:link w:val="Heading8"/>
    <w:uiPriority w:val="5"/>
    <w:rsid w:val="00B8703D"/>
    <w:rPr>
      <w:rFonts w:asciiTheme="majorHAnsi" w:eastAsiaTheme="majorEastAsia" w:hAnsiTheme="majorHAnsi" w:cs="Times New Roman"/>
      <w:color w:val="4F81BD" w:themeColor="accent1"/>
      <w:sz w:val="20"/>
      <w:szCs w:val="20"/>
      <w:lang w:bidi="ar-SA"/>
    </w:rPr>
  </w:style>
  <w:style w:type="character" w:customStyle="1" w:styleId="Heading9Char">
    <w:name w:val="Heading 9 Char"/>
    <w:basedOn w:val="DefaultParagraphFont"/>
    <w:link w:val="Heading9"/>
    <w:uiPriority w:val="5"/>
    <w:semiHidden/>
    <w:rsid w:val="00B8703D"/>
    <w:rPr>
      <w:rFonts w:asciiTheme="majorHAnsi" w:eastAsiaTheme="majorEastAsia" w:hAnsiTheme="majorHAnsi" w:cs="Times New Roman"/>
      <w:i/>
      <w:iCs/>
      <w:color w:val="404040" w:themeColor="text1" w:themeTint="BF"/>
      <w:sz w:val="20"/>
      <w:szCs w:val="20"/>
      <w:lang w:bidi="ar-SA"/>
    </w:rPr>
  </w:style>
  <w:style w:type="paragraph" w:styleId="Title">
    <w:name w:val="Title"/>
    <w:basedOn w:val="Normal"/>
    <w:next w:val="Normal"/>
    <w:link w:val="TitleChar"/>
    <w:uiPriority w:val="10"/>
    <w:qFormat/>
    <w:rsid w:val="0094016E"/>
    <w:pPr>
      <w:pBdr>
        <w:bottom w:val="single" w:sz="8" w:space="4" w:color="4F81BD" w:themeColor="accent1"/>
      </w:pBdr>
      <w:spacing w:after="300" w:line="240" w:lineRule="auto"/>
      <w:contextualSpacing/>
    </w:pPr>
    <w:rPr>
      <w:rFonts w:asciiTheme="majorHAnsi" w:eastAsiaTheme="majorEastAsia" w:hAnsiTheme="majorHAnsi"/>
      <w:color w:val="17365D" w:themeColor="text2" w:themeShade="BF"/>
      <w:spacing w:val="5"/>
      <w:kern w:val="28"/>
      <w:sz w:val="80"/>
      <w:szCs w:val="80"/>
    </w:rPr>
  </w:style>
  <w:style w:type="character" w:customStyle="1" w:styleId="TitleChar">
    <w:name w:val="Title Char"/>
    <w:basedOn w:val="DefaultParagraphFont"/>
    <w:link w:val="Title"/>
    <w:uiPriority w:val="10"/>
    <w:rsid w:val="0094016E"/>
    <w:rPr>
      <w:rFonts w:asciiTheme="majorHAnsi" w:eastAsiaTheme="majorEastAsia" w:hAnsiTheme="majorHAnsi" w:cs="Times New Roman"/>
      <w:color w:val="17365D" w:themeColor="text2" w:themeShade="BF"/>
      <w:spacing w:val="5"/>
      <w:kern w:val="28"/>
      <w:sz w:val="80"/>
      <w:szCs w:val="80"/>
      <w:lang w:val="en-NZ" w:bidi="ar-SA"/>
    </w:rPr>
  </w:style>
  <w:style w:type="paragraph" w:styleId="Subtitle">
    <w:name w:val="Subtitle"/>
    <w:basedOn w:val="Normal"/>
    <w:next w:val="Normal"/>
    <w:link w:val="SubtitleChar"/>
    <w:uiPriority w:val="15"/>
    <w:qFormat/>
    <w:rsid w:val="00B8703D"/>
    <w:pPr>
      <w:numPr>
        <w:ilvl w:val="1"/>
      </w:numPr>
    </w:pPr>
    <w:rPr>
      <w:rFonts w:asciiTheme="majorHAnsi" w:eastAsiaTheme="majorEastAsia" w:hAnsiTheme="majorHAnsi"/>
      <w:i/>
      <w:iCs/>
      <w:color w:val="4F81BD" w:themeColor="accent1"/>
      <w:spacing w:val="15"/>
      <w:sz w:val="24"/>
      <w:szCs w:val="24"/>
    </w:rPr>
  </w:style>
  <w:style w:type="character" w:customStyle="1" w:styleId="SubtitleChar">
    <w:name w:val="Subtitle Char"/>
    <w:basedOn w:val="DefaultParagraphFont"/>
    <w:link w:val="Subtitle"/>
    <w:uiPriority w:val="15"/>
    <w:rsid w:val="00B8703D"/>
    <w:rPr>
      <w:rFonts w:asciiTheme="majorHAnsi" w:eastAsiaTheme="majorEastAsia" w:hAnsiTheme="majorHAnsi" w:cs="Times New Roman"/>
      <w:i/>
      <w:iCs/>
      <w:color w:val="4F81BD" w:themeColor="accent1"/>
      <w:spacing w:val="15"/>
      <w:sz w:val="24"/>
      <w:szCs w:val="24"/>
      <w:lang w:bidi="ar-SA"/>
    </w:rPr>
  </w:style>
  <w:style w:type="character" w:styleId="Strong">
    <w:name w:val="Strong"/>
    <w:basedOn w:val="DefaultParagraphFont"/>
    <w:uiPriority w:val="22"/>
    <w:qFormat/>
    <w:rsid w:val="00556359"/>
    <w:rPr>
      <w:b/>
      <w:bCs/>
      <w:sz w:val="28"/>
    </w:rPr>
  </w:style>
  <w:style w:type="character" w:styleId="Emphasis">
    <w:name w:val="Emphasis"/>
    <w:basedOn w:val="DefaultParagraphFont"/>
    <w:uiPriority w:val="20"/>
    <w:qFormat/>
    <w:rsid w:val="00B8703D"/>
    <w:rPr>
      <w:i/>
      <w:iCs/>
    </w:rPr>
  </w:style>
  <w:style w:type="paragraph" w:styleId="NoSpacing">
    <w:name w:val="No Spacing"/>
    <w:link w:val="NoSpacingChar"/>
    <w:uiPriority w:val="1"/>
    <w:qFormat/>
    <w:rsid w:val="00B8703D"/>
    <w:pPr>
      <w:spacing w:after="0" w:line="240" w:lineRule="auto"/>
    </w:pPr>
    <w:rPr>
      <w:rFonts w:cs="Times New Roman"/>
    </w:rPr>
  </w:style>
  <w:style w:type="paragraph" w:styleId="ListParagraph">
    <w:name w:val="List Paragraph"/>
    <w:basedOn w:val="Normal"/>
    <w:uiPriority w:val="1"/>
    <w:qFormat/>
    <w:rsid w:val="00B8703D"/>
    <w:pPr>
      <w:ind w:left="720"/>
      <w:contextualSpacing/>
    </w:pPr>
  </w:style>
  <w:style w:type="paragraph" w:styleId="Quote">
    <w:name w:val="Quote"/>
    <w:basedOn w:val="Normal"/>
    <w:next w:val="Normal"/>
    <w:link w:val="QuoteChar"/>
    <w:uiPriority w:val="29"/>
    <w:qFormat/>
    <w:rsid w:val="00B8703D"/>
    <w:rPr>
      <w:i/>
      <w:iCs/>
      <w:color w:val="000000" w:themeColor="text1"/>
    </w:rPr>
  </w:style>
  <w:style w:type="character" w:customStyle="1" w:styleId="QuoteChar">
    <w:name w:val="Quote Char"/>
    <w:basedOn w:val="DefaultParagraphFont"/>
    <w:link w:val="Quote"/>
    <w:uiPriority w:val="29"/>
    <w:rsid w:val="00B8703D"/>
    <w:rPr>
      <w:rFonts w:cs="Times New Roman"/>
      <w:i/>
      <w:iCs/>
      <w:color w:val="000000" w:themeColor="text1"/>
      <w:lang w:bidi="ar-SA"/>
    </w:rPr>
  </w:style>
  <w:style w:type="paragraph" w:styleId="IntenseQuote">
    <w:name w:val="Intense Quote"/>
    <w:basedOn w:val="Normal"/>
    <w:next w:val="Normal"/>
    <w:link w:val="IntenseQuoteChar"/>
    <w:uiPriority w:val="30"/>
    <w:qFormat/>
    <w:rsid w:val="00B8703D"/>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B8703D"/>
    <w:rPr>
      <w:rFonts w:cs="Times New Roman"/>
      <w:b/>
      <w:bCs/>
      <w:i/>
      <w:iCs/>
      <w:color w:val="4F81BD" w:themeColor="accent1"/>
      <w:lang w:bidi="ar-SA"/>
    </w:rPr>
  </w:style>
  <w:style w:type="character" w:styleId="SubtleEmphasis">
    <w:name w:val="Subtle Emphasis"/>
    <w:basedOn w:val="DefaultParagraphFont"/>
    <w:uiPriority w:val="19"/>
    <w:qFormat/>
    <w:rsid w:val="00B8703D"/>
    <w:rPr>
      <w:i/>
      <w:iCs/>
      <w:color w:val="808080" w:themeColor="text1" w:themeTint="7F"/>
    </w:rPr>
  </w:style>
  <w:style w:type="character" w:styleId="IntenseEmphasis">
    <w:name w:val="Intense Emphasis"/>
    <w:basedOn w:val="DefaultParagraphFont"/>
    <w:uiPriority w:val="21"/>
    <w:qFormat/>
    <w:rsid w:val="00B8703D"/>
    <w:rPr>
      <w:b/>
      <w:bCs/>
      <w:i/>
      <w:iCs/>
      <w:color w:val="4F81BD" w:themeColor="accent1"/>
    </w:rPr>
  </w:style>
  <w:style w:type="character" w:styleId="SubtleReference">
    <w:name w:val="Subtle Reference"/>
    <w:basedOn w:val="DefaultParagraphFont"/>
    <w:uiPriority w:val="31"/>
    <w:qFormat/>
    <w:rsid w:val="00B8703D"/>
    <w:rPr>
      <w:smallCaps/>
      <w:color w:val="C0504D" w:themeColor="accent2"/>
      <w:u w:val="single"/>
    </w:rPr>
  </w:style>
  <w:style w:type="character" w:styleId="IntenseReference">
    <w:name w:val="Intense Reference"/>
    <w:basedOn w:val="DefaultParagraphFont"/>
    <w:uiPriority w:val="32"/>
    <w:qFormat/>
    <w:rsid w:val="00B8703D"/>
    <w:rPr>
      <w:b/>
      <w:bCs/>
      <w:smallCaps/>
      <w:color w:val="C0504D" w:themeColor="accent2"/>
      <w:spacing w:val="5"/>
      <w:u w:val="single"/>
    </w:rPr>
  </w:style>
  <w:style w:type="character" w:styleId="BookTitle">
    <w:name w:val="Book Title"/>
    <w:basedOn w:val="DefaultParagraphFont"/>
    <w:uiPriority w:val="33"/>
    <w:qFormat/>
    <w:rsid w:val="00B8703D"/>
    <w:rPr>
      <w:b/>
      <w:bCs/>
      <w:smallCaps/>
      <w:spacing w:val="5"/>
    </w:rPr>
  </w:style>
  <w:style w:type="paragraph" w:styleId="Caption">
    <w:name w:val="caption"/>
    <w:basedOn w:val="Normal"/>
    <w:next w:val="Normal"/>
    <w:autoRedefine/>
    <w:uiPriority w:val="3"/>
    <w:unhideWhenUsed/>
    <w:qFormat/>
    <w:rsid w:val="009608BE"/>
    <w:pPr>
      <w:keepNext/>
      <w:spacing w:before="120" w:after="120" w:line="240" w:lineRule="auto"/>
    </w:pPr>
    <w:rPr>
      <w:b/>
      <w:bCs/>
      <w:i/>
      <w:szCs w:val="18"/>
    </w:rPr>
  </w:style>
  <w:style w:type="character" w:customStyle="1" w:styleId="NoSpacingChar">
    <w:name w:val="No Spacing Char"/>
    <w:basedOn w:val="DefaultParagraphFont"/>
    <w:link w:val="NoSpacing"/>
    <w:uiPriority w:val="1"/>
    <w:rsid w:val="0052672E"/>
    <w:rPr>
      <w:rFonts w:cs="Times New Roman"/>
      <w:lang w:bidi="ar-SA"/>
    </w:rPr>
  </w:style>
  <w:style w:type="paragraph" w:styleId="NormalWeb">
    <w:name w:val="Normal (Web)"/>
    <w:basedOn w:val="Normal"/>
    <w:uiPriority w:val="99"/>
    <w:unhideWhenUsed/>
    <w:rsid w:val="000C0E47"/>
    <w:pPr>
      <w:spacing w:before="100" w:beforeAutospacing="1" w:after="100" w:afterAutospacing="1" w:line="240" w:lineRule="auto"/>
    </w:pPr>
    <w:rPr>
      <w:rFonts w:ascii="Times New Roman" w:eastAsia="Times New Roman" w:hAnsi="Times New Roman"/>
      <w:szCs w:val="24"/>
      <w:lang w:eastAsia="en-NZ"/>
    </w:rPr>
  </w:style>
  <w:style w:type="table" w:styleId="LightList">
    <w:name w:val="Light List"/>
    <w:basedOn w:val="TableNormal"/>
    <w:uiPriority w:val="61"/>
    <w:rsid w:val="00321609"/>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Index1">
    <w:name w:val="index 1"/>
    <w:basedOn w:val="Normal"/>
    <w:next w:val="Normal"/>
    <w:autoRedefine/>
    <w:uiPriority w:val="99"/>
    <w:unhideWhenUsed/>
    <w:rsid w:val="00F62BB4"/>
    <w:pPr>
      <w:spacing w:after="0"/>
      <w:ind w:left="220" w:hanging="220"/>
    </w:pPr>
    <w:rPr>
      <w:rFonts w:cstheme="minorHAnsi"/>
      <w:sz w:val="18"/>
      <w:szCs w:val="18"/>
    </w:rPr>
  </w:style>
  <w:style w:type="table" w:styleId="MediumGrid3-Accent6">
    <w:name w:val="Medium Grid 3 Accent 6"/>
    <w:basedOn w:val="TableNormal"/>
    <w:uiPriority w:val="69"/>
    <w:rsid w:val="00321609"/>
    <w:pPr>
      <w:spacing w:after="0" w:line="240" w:lineRule="auto"/>
    </w:pPr>
    <w:tblPr>
      <w:tblStyleRowBandSize w:val="1"/>
      <w:tblStyleColBandSize w:val="1"/>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Pr>
    <w:tcPr>
      <w:shd w:val="clear" w:color="auto" w:fill="FFF2C9"/>
    </w:tcPr>
    <w:tblStylePr w:type="firstRow">
      <w:rPr>
        <w:b/>
        <w:bCs/>
        <w:i w:val="0"/>
        <w:iCs w:val="0"/>
        <w:color w:val="FFFFFF" w:themeColor="background1"/>
      </w:rPr>
      <w:tblPr/>
      <w:tcPr>
        <w:shd w:val="clear" w:color="auto" w:fill="FFC000"/>
      </w:tcPr>
    </w:tblStylePr>
    <w:tblStylePr w:type="lastRow">
      <w:rPr>
        <w:b/>
        <w:bCs/>
        <w:i w:val="0"/>
        <w:iCs w:val="0"/>
        <w:color w:val="FFFFFF" w:themeColor="background1"/>
      </w:rPr>
      <w:tblPr/>
      <w:tcPr>
        <w:shd w:val="clear" w:color="auto" w:fill="FFC000"/>
      </w:tcPr>
    </w:tblStylePr>
    <w:tblStylePr w:type="firstCol">
      <w:rPr>
        <w:b/>
        <w:bCs/>
        <w:i w:val="0"/>
        <w:iCs w:val="0"/>
        <w:color w:val="FFFFFF" w:themeColor="background1"/>
      </w:rPr>
      <w:tblPr/>
      <w:tcPr>
        <w:shd w:val="clear" w:color="auto" w:fill="FFC000"/>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shd w:val="clear" w:color="auto" w:fill="FFF2C9"/>
      </w:tcPr>
    </w:tblStylePr>
    <w:tblStylePr w:type="band2Horz">
      <w:tblPr/>
      <w:tcPr>
        <w:shd w:val="clear" w:color="auto" w:fill="FFF2C9"/>
      </w:tcPr>
    </w:tblStylePr>
  </w:style>
  <w:style w:type="table" w:styleId="TableGrid">
    <w:name w:val="Table Grid"/>
    <w:basedOn w:val="TableNormal"/>
    <w:rsid w:val="003216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pellingerror">
    <w:name w:val="spellingerror"/>
    <w:basedOn w:val="DefaultParagraphFont"/>
    <w:rsid w:val="007D22C2"/>
  </w:style>
  <w:style w:type="character" w:customStyle="1" w:styleId="eop">
    <w:name w:val="eop"/>
    <w:basedOn w:val="DefaultParagraphFont"/>
    <w:rsid w:val="007D22C2"/>
  </w:style>
  <w:style w:type="paragraph" w:customStyle="1" w:styleId="center">
    <w:name w:val="center"/>
    <w:basedOn w:val="Normal"/>
    <w:rsid w:val="007A7029"/>
    <w:pPr>
      <w:spacing w:before="100" w:beforeAutospacing="1" w:after="100" w:afterAutospacing="1" w:line="240" w:lineRule="auto"/>
    </w:pPr>
    <w:rPr>
      <w:rFonts w:ascii="Times New Roman" w:eastAsia="Times New Roman" w:hAnsi="Times New Roman"/>
      <w:szCs w:val="24"/>
      <w:lang w:eastAsia="en-NZ"/>
    </w:rPr>
  </w:style>
  <w:style w:type="paragraph" w:customStyle="1" w:styleId="Caption1">
    <w:name w:val="Caption1"/>
    <w:basedOn w:val="Normal"/>
    <w:rsid w:val="007A7029"/>
    <w:pPr>
      <w:spacing w:before="100" w:beforeAutospacing="1" w:after="100" w:afterAutospacing="1" w:line="240" w:lineRule="auto"/>
    </w:pPr>
    <w:rPr>
      <w:rFonts w:ascii="Times New Roman" w:eastAsia="Times New Roman" w:hAnsi="Times New Roman"/>
      <w:szCs w:val="24"/>
      <w:lang w:eastAsia="en-NZ"/>
    </w:rPr>
  </w:style>
  <w:style w:type="character" w:customStyle="1" w:styleId="MainBodyTextChar">
    <w:name w:val="Main Body Text Char"/>
    <w:basedOn w:val="DefaultParagraphFont"/>
    <w:link w:val="MainBodyText"/>
    <w:locked/>
    <w:rsid w:val="00525948"/>
    <w:rPr>
      <w:rFonts w:ascii="Arial" w:hAnsi="Arial" w:cs="Times New Roman"/>
      <w:color w:val="000000" w:themeColor="text1"/>
      <w:sz w:val="24"/>
      <w:szCs w:val="20"/>
      <w:lang w:eastAsia="en-NZ" w:bidi="ar-SA"/>
    </w:rPr>
  </w:style>
  <w:style w:type="paragraph" w:customStyle="1" w:styleId="MainBodyText">
    <w:name w:val="Main Body Text"/>
    <w:basedOn w:val="Normal"/>
    <w:link w:val="MainBodyTextChar"/>
    <w:rsid w:val="00525948"/>
    <w:pPr>
      <w:spacing w:before="120" w:after="120" w:line="300" w:lineRule="auto"/>
      <w:jc w:val="both"/>
    </w:pPr>
    <w:rPr>
      <w:rFonts w:ascii="Arial" w:hAnsi="Arial"/>
      <w:color w:val="000000" w:themeColor="text1"/>
      <w:lang w:eastAsia="en-NZ"/>
    </w:rPr>
  </w:style>
  <w:style w:type="character" w:customStyle="1" w:styleId="SubheadingChar">
    <w:name w:val="Sub heading Char"/>
    <w:basedOn w:val="MainBodyTextChar"/>
    <w:link w:val="Subheading"/>
    <w:locked/>
    <w:rsid w:val="00525948"/>
    <w:rPr>
      <w:rFonts w:ascii="Arial" w:hAnsi="Arial" w:cs="Times New Roman"/>
      <w:b/>
      <w:color w:val="000000" w:themeColor="text1"/>
      <w:sz w:val="24"/>
      <w:szCs w:val="20"/>
      <w:lang w:eastAsia="en-NZ" w:bidi="ar-SA"/>
    </w:rPr>
  </w:style>
  <w:style w:type="paragraph" w:customStyle="1" w:styleId="Subheading">
    <w:name w:val="Sub heading"/>
    <w:basedOn w:val="MainBodyText"/>
    <w:link w:val="SubheadingChar"/>
    <w:rsid w:val="00525948"/>
    <w:rPr>
      <w:b/>
    </w:rPr>
  </w:style>
  <w:style w:type="paragraph" w:customStyle="1" w:styleId="Default">
    <w:name w:val="Default"/>
    <w:basedOn w:val="Normal"/>
    <w:uiPriority w:val="99"/>
    <w:rsid w:val="004324B3"/>
    <w:pPr>
      <w:autoSpaceDE w:val="0"/>
      <w:autoSpaceDN w:val="0"/>
      <w:spacing w:after="0" w:line="240" w:lineRule="auto"/>
    </w:pPr>
    <w:rPr>
      <w:rFonts w:ascii="Arial" w:eastAsiaTheme="minorHAnsi" w:hAnsi="Arial" w:cs="Arial"/>
      <w:color w:val="000000"/>
      <w:szCs w:val="24"/>
      <w:lang w:eastAsia="en-NZ"/>
    </w:rPr>
  </w:style>
  <w:style w:type="paragraph" w:styleId="BodyText">
    <w:name w:val="Body Text"/>
    <w:basedOn w:val="Normal"/>
    <w:link w:val="BodyTextChar"/>
    <w:uiPriority w:val="1"/>
    <w:qFormat/>
    <w:rsid w:val="00D27128"/>
    <w:pPr>
      <w:widowControl w:val="0"/>
      <w:spacing w:after="0" w:line="240" w:lineRule="auto"/>
      <w:ind w:left="233"/>
    </w:pPr>
    <w:rPr>
      <w:rFonts w:ascii="Arial" w:eastAsia="Arial" w:hAnsi="Arial" w:cstheme="minorBidi"/>
      <w:sz w:val="20"/>
      <w:lang w:val="en-US"/>
    </w:rPr>
  </w:style>
  <w:style w:type="character" w:customStyle="1" w:styleId="BodyTextChar">
    <w:name w:val="Body Text Char"/>
    <w:basedOn w:val="DefaultParagraphFont"/>
    <w:link w:val="BodyText"/>
    <w:uiPriority w:val="99"/>
    <w:rsid w:val="00D27128"/>
    <w:rPr>
      <w:rFonts w:ascii="Arial" w:eastAsia="Arial" w:hAnsi="Arial"/>
      <w:sz w:val="20"/>
      <w:szCs w:val="20"/>
      <w:lang w:val="en-US" w:eastAsia="en-US" w:bidi="ar-SA"/>
    </w:rPr>
  </w:style>
  <w:style w:type="paragraph" w:styleId="CommentText">
    <w:name w:val="annotation text"/>
    <w:basedOn w:val="Normal"/>
    <w:link w:val="CommentTextChar"/>
    <w:uiPriority w:val="99"/>
    <w:semiHidden/>
    <w:unhideWhenUsed/>
    <w:rsid w:val="000B6C43"/>
    <w:pPr>
      <w:spacing w:line="240" w:lineRule="auto"/>
    </w:pPr>
    <w:rPr>
      <w:rFonts w:eastAsiaTheme="minorHAnsi" w:cstheme="minorBidi"/>
      <w:sz w:val="20"/>
    </w:rPr>
  </w:style>
  <w:style w:type="character" w:customStyle="1" w:styleId="CommentTextChar">
    <w:name w:val="Comment Text Char"/>
    <w:basedOn w:val="DefaultParagraphFont"/>
    <w:link w:val="CommentText"/>
    <w:uiPriority w:val="99"/>
    <w:semiHidden/>
    <w:rsid w:val="000B6C43"/>
    <w:rPr>
      <w:rFonts w:eastAsiaTheme="minorHAnsi"/>
      <w:sz w:val="20"/>
      <w:szCs w:val="20"/>
      <w:lang w:val="en-NZ" w:eastAsia="en-US" w:bidi="ar-SA"/>
    </w:rPr>
  </w:style>
  <w:style w:type="character" w:styleId="CommentReference">
    <w:name w:val="annotation reference"/>
    <w:basedOn w:val="DefaultParagraphFont"/>
    <w:uiPriority w:val="99"/>
    <w:semiHidden/>
    <w:unhideWhenUsed/>
    <w:rsid w:val="000B6C43"/>
    <w:rPr>
      <w:sz w:val="16"/>
      <w:szCs w:val="16"/>
    </w:rPr>
  </w:style>
  <w:style w:type="numbering" w:customStyle="1" w:styleId="NoList1">
    <w:name w:val="No List1"/>
    <w:next w:val="NoList"/>
    <w:uiPriority w:val="99"/>
    <w:semiHidden/>
    <w:unhideWhenUsed/>
    <w:rsid w:val="00066652"/>
  </w:style>
  <w:style w:type="character" w:styleId="FollowedHyperlink">
    <w:name w:val="FollowedHyperlink"/>
    <w:basedOn w:val="DefaultParagraphFont"/>
    <w:uiPriority w:val="99"/>
    <w:semiHidden/>
    <w:unhideWhenUsed/>
    <w:rsid w:val="00066652"/>
    <w:rPr>
      <w:color w:val="800080"/>
      <w:u w:val="single"/>
    </w:rPr>
  </w:style>
  <w:style w:type="paragraph" w:customStyle="1" w:styleId="xl65">
    <w:name w:val="xl65"/>
    <w:basedOn w:val="Normal"/>
    <w:rsid w:val="00066652"/>
    <w:pPr>
      <w:spacing w:before="100" w:beforeAutospacing="1" w:after="100" w:afterAutospacing="1" w:line="240" w:lineRule="auto"/>
      <w:textAlignment w:val="top"/>
    </w:pPr>
    <w:rPr>
      <w:rFonts w:ascii="Times New Roman" w:eastAsia="Times New Roman" w:hAnsi="Times New Roman" w:cstheme="minorBidi"/>
      <w:szCs w:val="24"/>
      <w:lang w:eastAsia="en-NZ"/>
    </w:rPr>
  </w:style>
  <w:style w:type="paragraph" w:customStyle="1" w:styleId="xl66">
    <w:name w:val="xl66"/>
    <w:basedOn w:val="Normal"/>
    <w:rsid w:val="00066652"/>
    <w:pPr>
      <w:spacing w:before="100" w:beforeAutospacing="1" w:after="100" w:afterAutospacing="1" w:line="240" w:lineRule="auto"/>
      <w:jc w:val="right"/>
      <w:textAlignment w:val="top"/>
    </w:pPr>
    <w:rPr>
      <w:rFonts w:ascii="Times New Roman" w:eastAsia="Times New Roman" w:hAnsi="Times New Roman" w:cstheme="minorBidi"/>
      <w:szCs w:val="24"/>
      <w:lang w:eastAsia="en-NZ"/>
    </w:rPr>
  </w:style>
  <w:style w:type="paragraph" w:customStyle="1" w:styleId="xl67">
    <w:name w:val="xl67"/>
    <w:basedOn w:val="Normal"/>
    <w:rsid w:val="00066652"/>
    <w:pPr>
      <w:spacing w:before="100" w:beforeAutospacing="1" w:after="100" w:afterAutospacing="1" w:line="240" w:lineRule="auto"/>
      <w:textAlignment w:val="top"/>
    </w:pPr>
    <w:rPr>
      <w:rFonts w:ascii="Times New Roman" w:eastAsia="Times New Roman" w:hAnsi="Times New Roman" w:cstheme="minorBidi"/>
      <w:szCs w:val="24"/>
      <w:lang w:eastAsia="en-NZ"/>
    </w:rPr>
  </w:style>
  <w:style w:type="paragraph" w:customStyle="1" w:styleId="xl68">
    <w:name w:val="xl68"/>
    <w:basedOn w:val="Normal"/>
    <w:rsid w:val="00066652"/>
    <w:pPr>
      <w:pBdr>
        <w:top w:val="single" w:sz="8" w:space="0" w:color="008080"/>
        <w:right w:val="single" w:sz="8" w:space="0" w:color="008080"/>
      </w:pBdr>
      <w:spacing w:before="100" w:beforeAutospacing="1" w:after="100" w:afterAutospacing="1" w:line="240" w:lineRule="auto"/>
      <w:textAlignment w:val="top"/>
    </w:pPr>
    <w:rPr>
      <w:rFonts w:ascii="Times New Roman" w:eastAsia="Times New Roman" w:hAnsi="Times New Roman" w:cstheme="minorBidi"/>
      <w:b/>
      <w:bCs/>
      <w:color w:val="000000"/>
      <w:szCs w:val="24"/>
      <w:lang w:eastAsia="en-NZ"/>
    </w:rPr>
  </w:style>
  <w:style w:type="paragraph" w:customStyle="1" w:styleId="xl69">
    <w:name w:val="xl69"/>
    <w:basedOn w:val="Normal"/>
    <w:rsid w:val="00066652"/>
    <w:pPr>
      <w:pBdr>
        <w:top w:val="single" w:sz="8" w:space="0" w:color="008080"/>
      </w:pBdr>
      <w:spacing w:before="100" w:beforeAutospacing="1" w:after="100" w:afterAutospacing="1" w:line="240" w:lineRule="auto"/>
      <w:textAlignment w:val="top"/>
    </w:pPr>
    <w:rPr>
      <w:rFonts w:ascii="Times New Roman" w:eastAsia="Times New Roman" w:hAnsi="Times New Roman" w:cstheme="minorBidi"/>
      <w:b/>
      <w:bCs/>
      <w:color w:val="000000"/>
      <w:szCs w:val="24"/>
      <w:lang w:eastAsia="en-NZ"/>
    </w:rPr>
  </w:style>
  <w:style w:type="paragraph" w:customStyle="1" w:styleId="xl70">
    <w:name w:val="xl70"/>
    <w:basedOn w:val="Normal"/>
    <w:rsid w:val="00066652"/>
    <w:pPr>
      <w:spacing w:before="100" w:beforeAutospacing="1" w:after="100" w:afterAutospacing="1" w:line="240" w:lineRule="auto"/>
      <w:textAlignment w:val="top"/>
    </w:pPr>
    <w:rPr>
      <w:rFonts w:ascii="Times New Roman" w:eastAsia="Times New Roman" w:hAnsi="Times New Roman" w:cstheme="minorBidi"/>
      <w:b/>
      <w:bCs/>
      <w:color w:val="000000"/>
      <w:szCs w:val="24"/>
      <w:lang w:eastAsia="en-NZ"/>
    </w:rPr>
  </w:style>
  <w:style w:type="paragraph" w:customStyle="1" w:styleId="xl71">
    <w:name w:val="xl71"/>
    <w:basedOn w:val="Normal"/>
    <w:rsid w:val="00066652"/>
    <w:pPr>
      <w:pBdr>
        <w:bottom w:val="single" w:sz="8" w:space="0" w:color="008080"/>
        <w:right w:val="single" w:sz="8" w:space="0" w:color="008080"/>
      </w:pBdr>
      <w:spacing w:before="100" w:beforeAutospacing="1" w:after="100" w:afterAutospacing="1" w:line="240" w:lineRule="auto"/>
      <w:textAlignment w:val="top"/>
    </w:pPr>
    <w:rPr>
      <w:rFonts w:ascii="Times New Roman" w:eastAsia="Times New Roman" w:hAnsi="Times New Roman" w:cstheme="minorBidi"/>
      <w:b/>
      <w:bCs/>
      <w:color w:val="000000"/>
      <w:szCs w:val="24"/>
      <w:lang w:eastAsia="en-NZ"/>
    </w:rPr>
  </w:style>
  <w:style w:type="paragraph" w:customStyle="1" w:styleId="xl72">
    <w:name w:val="xl72"/>
    <w:basedOn w:val="Normal"/>
    <w:rsid w:val="00066652"/>
    <w:pPr>
      <w:pBdr>
        <w:bottom w:val="single" w:sz="8" w:space="0" w:color="008080"/>
      </w:pBdr>
      <w:spacing w:before="100" w:beforeAutospacing="1" w:after="100" w:afterAutospacing="1" w:line="240" w:lineRule="auto"/>
      <w:textAlignment w:val="top"/>
    </w:pPr>
    <w:rPr>
      <w:rFonts w:ascii="Times New Roman" w:eastAsia="Times New Roman" w:hAnsi="Times New Roman" w:cstheme="minorBidi"/>
      <w:b/>
      <w:bCs/>
      <w:color w:val="000000"/>
      <w:szCs w:val="24"/>
      <w:lang w:eastAsia="en-NZ"/>
    </w:rPr>
  </w:style>
  <w:style w:type="paragraph" w:customStyle="1" w:styleId="xl73">
    <w:name w:val="xl73"/>
    <w:basedOn w:val="Normal"/>
    <w:rsid w:val="00066652"/>
    <w:pPr>
      <w:pBdr>
        <w:top w:val="single" w:sz="8" w:space="0" w:color="008080"/>
      </w:pBdr>
      <w:shd w:val="clear" w:color="000000" w:fill="008080"/>
      <w:spacing w:before="100" w:beforeAutospacing="1" w:after="100" w:afterAutospacing="1" w:line="240" w:lineRule="auto"/>
      <w:textAlignment w:val="top"/>
    </w:pPr>
    <w:rPr>
      <w:rFonts w:ascii="Times New Roman" w:eastAsia="Times New Roman" w:hAnsi="Times New Roman" w:cstheme="minorBidi"/>
      <w:b/>
      <w:bCs/>
      <w:color w:val="FFFFFF"/>
      <w:szCs w:val="24"/>
      <w:lang w:eastAsia="en-NZ"/>
    </w:rPr>
  </w:style>
  <w:style w:type="paragraph" w:customStyle="1" w:styleId="xl74">
    <w:name w:val="xl74"/>
    <w:basedOn w:val="Normal"/>
    <w:rsid w:val="00066652"/>
    <w:pPr>
      <w:shd w:val="clear" w:color="000000" w:fill="008080"/>
      <w:spacing w:before="100" w:beforeAutospacing="1" w:after="100" w:afterAutospacing="1" w:line="240" w:lineRule="auto"/>
      <w:textAlignment w:val="top"/>
    </w:pPr>
    <w:rPr>
      <w:rFonts w:ascii="Times New Roman" w:eastAsia="Times New Roman" w:hAnsi="Times New Roman" w:cstheme="minorBidi"/>
      <w:b/>
      <w:bCs/>
      <w:color w:val="FFFFFF"/>
      <w:szCs w:val="24"/>
      <w:lang w:eastAsia="en-NZ"/>
    </w:rPr>
  </w:style>
  <w:style w:type="paragraph" w:customStyle="1" w:styleId="xl75">
    <w:name w:val="xl75"/>
    <w:basedOn w:val="Normal"/>
    <w:rsid w:val="00066652"/>
    <w:pPr>
      <w:pBdr>
        <w:bottom w:val="single" w:sz="8" w:space="0" w:color="008080"/>
      </w:pBdr>
      <w:spacing w:before="100" w:beforeAutospacing="1" w:after="100" w:afterAutospacing="1" w:line="240" w:lineRule="auto"/>
      <w:textAlignment w:val="top"/>
    </w:pPr>
    <w:rPr>
      <w:rFonts w:ascii="Times New Roman" w:eastAsia="Times New Roman" w:hAnsi="Times New Roman" w:cstheme="minorBidi"/>
      <w:color w:val="008080"/>
      <w:lang w:eastAsia="en-NZ"/>
    </w:rPr>
  </w:style>
  <w:style w:type="paragraph" w:customStyle="1" w:styleId="xl76">
    <w:name w:val="xl76"/>
    <w:basedOn w:val="Normal"/>
    <w:rsid w:val="00066652"/>
    <w:pPr>
      <w:spacing w:before="100" w:beforeAutospacing="1" w:after="100" w:afterAutospacing="1" w:line="240" w:lineRule="auto"/>
      <w:textAlignment w:val="top"/>
    </w:pPr>
    <w:rPr>
      <w:rFonts w:ascii="Times New Roman" w:eastAsia="Times New Roman" w:hAnsi="Times New Roman" w:cstheme="minorBidi"/>
      <w:color w:val="008080"/>
      <w:lang w:eastAsia="en-NZ"/>
    </w:rPr>
  </w:style>
  <w:style w:type="paragraph" w:customStyle="1" w:styleId="xl77">
    <w:name w:val="xl77"/>
    <w:basedOn w:val="Normal"/>
    <w:rsid w:val="00066652"/>
    <w:pPr>
      <w:pBdr>
        <w:bottom w:val="single" w:sz="8" w:space="0" w:color="008080"/>
        <w:right w:val="single" w:sz="8" w:space="0" w:color="008080"/>
      </w:pBdr>
      <w:spacing w:before="100" w:beforeAutospacing="1" w:after="100" w:afterAutospacing="1" w:line="240" w:lineRule="auto"/>
      <w:textAlignment w:val="top"/>
    </w:pPr>
    <w:rPr>
      <w:rFonts w:ascii="Times New Roman" w:eastAsia="Times New Roman" w:hAnsi="Times New Roman" w:cstheme="minorBidi"/>
      <w:color w:val="000000"/>
      <w:szCs w:val="24"/>
      <w:lang w:eastAsia="en-NZ"/>
    </w:rPr>
  </w:style>
  <w:style w:type="paragraph" w:customStyle="1" w:styleId="xl78">
    <w:name w:val="xl78"/>
    <w:basedOn w:val="Normal"/>
    <w:rsid w:val="00066652"/>
    <w:pPr>
      <w:spacing w:before="100" w:beforeAutospacing="1" w:after="100" w:afterAutospacing="1" w:line="240" w:lineRule="auto"/>
      <w:jc w:val="right"/>
      <w:textAlignment w:val="top"/>
    </w:pPr>
    <w:rPr>
      <w:rFonts w:ascii="Times New Roman" w:eastAsia="Times New Roman" w:hAnsi="Times New Roman" w:cstheme="minorBidi"/>
      <w:szCs w:val="24"/>
      <w:lang w:eastAsia="en-NZ"/>
    </w:rPr>
  </w:style>
  <w:style w:type="paragraph" w:customStyle="1" w:styleId="xl79">
    <w:name w:val="xl79"/>
    <w:basedOn w:val="Normal"/>
    <w:rsid w:val="00066652"/>
    <w:pPr>
      <w:pBdr>
        <w:bottom w:val="single" w:sz="8" w:space="0" w:color="008080"/>
      </w:pBdr>
      <w:shd w:val="clear" w:color="000000" w:fill="D9D9D9"/>
      <w:spacing w:before="100" w:beforeAutospacing="1" w:after="100" w:afterAutospacing="1" w:line="240" w:lineRule="auto"/>
      <w:jc w:val="right"/>
      <w:textAlignment w:val="top"/>
    </w:pPr>
    <w:rPr>
      <w:rFonts w:ascii="Times New Roman" w:eastAsia="Times New Roman" w:hAnsi="Times New Roman" w:cstheme="minorBidi"/>
      <w:color w:val="000000"/>
      <w:szCs w:val="24"/>
      <w:lang w:eastAsia="en-NZ"/>
    </w:rPr>
  </w:style>
  <w:style w:type="paragraph" w:customStyle="1" w:styleId="xl80">
    <w:name w:val="xl80"/>
    <w:basedOn w:val="Normal"/>
    <w:rsid w:val="00066652"/>
    <w:pPr>
      <w:spacing w:before="100" w:beforeAutospacing="1" w:after="100" w:afterAutospacing="1" w:line="240" w:lineRule="auto"/>
      <w:jc w:val="right"/>
      <w:textAlignment w:val="top"/>
    </w:pPr>
    <w:rPr>
      <w:rFonts w:ascii="Times New Roman" w:eastAsia="Times New Roman" w:hAnsi="Times New Roman" w:cstheme="minorBidi"/>
      <w:color w:val="000000"/>
      <w:szCs w:val="24"/>
      <w:lang w:eastAsia="en-NZ"/>
    </w:rPr>
  </w:style>
  <w:style w:type="paragraph" w:customStyle="1" w:styleId="xl81">
    <w:name w:val="xl81"/>
    <w:basedOn w:val="Normal"/>
    <w:rsid w:val="00066652"/>
    <w:pPr>
      <w:pBdr>
        <w:bottom w:val="single" w:sz="8" w:space="0" w:color="008080"/>
      </w:pBdr>
      <w:shd w:val="clear" w:color="000000" w:fill="D9D9D9"/>
      <w:spacing w:before="100" w:beforeAutospacing="1" w:after="100" w:afterAutospacing="1" w:line="240" w:lineRule="auto"/>
      <w:jc w:val="right"/>
      <w:textAlignment w:val="top"/>
    </w:pPr>
    <w:rPr>
      <w:rFonts w:ascii="Times New Roman" w:eastAsia="Times New Roman" w:hAnsi="Times New Roman" w:cstheme="minorBidi"/>
      <w:color w:val="000000"/>
      <w:szCs w:val="24"/>
      <w:lang w:eastAsia="en-NZ"/>
    </w:rPr>
  </w:style>
  <w:style w:type="paragraph" w:customStyle="1" w:styleId="xl82">
    <w:name w:val="xl82"/>
    <w:basedOn w:val="Normal"/>
    <w:rsid w:val="00066652"/>
    <w:pPr>
      <w:pBdr>
        <w:top w:val="single" w:sz="8" w:space="0" w:color="008080"/>
        <w:bottom w:val="single" w:sz="8" w:space="0" w:color="008080"/>
      </w:pBdr>
      <w:spacing w:before="100" w:beforeAutospacing="1" w:after="100" w:afterAutospacing="1" w:line="240" w:lineRule="auto"/>
      <w:textAlignment w:val="top"/>
    </w:pPr>
    <w:rPr>
      <w:rFonts w:ascii="Times New Roman" w:eastAsia="Times New Roman" w:hAnsi="Times New Roman" w:cstheme="minorBidi"/>
      <w:color w:val="008080"/>
      <w:lang w:eastAsia="en-NZ"/>
    </w:rPr>
  </w:style>
  <w:style w:type="paragraph" w:customStyle="1" w:styleId="xl83">
    <w:name w:val="xl83"/>
    <w:basedOn w:val="Normal"/>
    <w:rsid w:val="00066652"/>
    <w:pPr>
      <w:spacing w:before="100" w:beforeAutospacing="1" w:after="100" w:afterAutospacing="1" w:line="240" w:lineRule="auto"/>
      <w:jc w:val="right"/>
      <w:textAlignment w:val="top"/>
    </w:pPr>
    <w:rPr>
      <w:rFonts w:ascii="Times New Roman" w:eastAsia="Times New Roman" w:hAnsi="Times New Roman" w:cstheme="minorBidi"/>
      <w:szCs w:val="24"/>
      <w:lang w:eastAsia="en-NZ"/>
    </w:rPr>
  </w:style>
  <w:style w:type="paragraph" w:customStyle="1" w:styleId="xl84">
    <w:name w:val="xl84"/>
    <w:basedOn w:val="Normal"/>
    <w:rsid w:val="00066652"/>
    <w:pPr>
      <w:spacing w:before="100" w:beforeAutospacing="1" w:after="100" w:afterAutospacing="1" w:line="240" w:lineRule="auto"/>
      <w:jc w:val="right"/>
      <w:textAlignment w:val="top"/>
    </w:pPr>
    <w:rPr>
      <w:rFonts w:ascii="Times New Roman" w:eastAsia="Times New Roman" w:hAnsi="Times New Roman" w:cstheme="minorBidi"/>
      <w:color w:val="FF0000"/>
      <w:szCs w:val="24"/>
      <w:lang w:eastAsia="en-NZ"/>
    </w:rPr>
  </w:style>
  <w:style w:type="paragraph" w:customStyle="1" w:styleId="xl85">
    <w:name w:val="xl85"/>
    <w:basedOn w:val="Normal"/>
    <w:rsid w:val="00066652"/>
    <w:pPr>
      <w:spacing w:before="100" w:beforeAutospacing="1" w:after="100" w:afterAutospacing="1" w:line="240" w:lineRule="auto"/>
      <w:jc w:val="right"/>
      <w:textAlignment w:val="top"/>
    </w:pPr>
    <w:rPr>
      <w:rFonts w:ascii="Times New Roman" w:eastAsia="Times New Roman" w:hAnsi="Times New Roman" w:cstheme="minorBidi"/>
      <w:szCs w:val="24"/>
      <w:lang w:eastAsia="en-NZ"/>
    </w:rPr>
  </w:style>
  <w:style w:type="paragraph" w:customStyle="1" w:styleId="xl86">
    <w:name w:val="xl86"/>
    <w:basedOn w:val="Normal"/>
    <w:rsid w:val="00066652"/>
    <w:pPr>
      <w:pBdr>
        <w:bottom w:val="single" w:sz="8" w:space="0" w:color="008080"/>
      </w:pBdr>
      <w:shd w:val="clear" w:color="000000" w:fill="D9D9D9"/>
      <w:spacing w:before="100" w:beforeAutospacing="1" w:after="100" w:afterAutospacing="1" w:line="240" w:lineRule="auto"/>
      <w:jc w:val="right"/>
      <w:textAlignment w:val="top"/>
    </w:pPr>
    <w:rPr>
      <w:rFonts w:ascii="Times New Roman" w:eastAsia="Times New Roman" w:hAnsi="Times New Roman" w:cstheme="minorBidi"/>
      <w:color w:val="000000"/>
      <w:szCs w:val="24"/>
      <w:lang w:eastAsia="en-NZ"/>
    </w:rPr>
  </w:style>
  <w:style w:type="paragraph" w:customStyle="1" w:styleId="xl87">
    <w:name w:val="xl87"/>
    <w:basedOn w:val="Normal"/>
    <w:rsid w:val="00066652"/>
    <w:pPr>
      <w:shd w:val="clear" w:color="000000" w:fill="FFFF00"/>
      <w:spacing w:before="100" w:beforeAutospacing="1" w:after="100" w:afterAutospacing="1" w:line="240" w:lineRule="auto"/>
      <w:jc w:val="right"/>
      <w:textAlignment w:val="top"/>
    </w:pPr>
    <w:rPr>
      <w:rFonts w:ascii="Times New Roman" w:eastAsia="Times New Roman" w:hAnsi="Times New Roman" w:cstheme="minorBidi"/>
      <w:szCs w:val="24"/>
      <w:lang w:eastAsia="en-NZ"/>
    </w:rPr>
  </w:style>
  <w:style w:type="paragraph" w:customStyle="1" w:styleId="xl88">
    <w:name w:val="xl88"/>
    <w:basedOn w:val="Normal"/>
    <w:rsid w:val="00066652"/>
    <w:pPr>
      <w:pBdr>
        <w:bottom w:val="single" w:sz="8" w:space="0" w:color="008080"/>
      </w:pBdr>
      <w:shd w:val="clear" w:color="000000" w:fill="D9D9D9"/>
      <w:spacing w:before="100" w:beforeAutospacing="1" w:after="100" w:afterAutospacing="1" w:line="240" w:lineRule="auto"/>
      <w:jc w:val="right"/>
      <w:textAlignment w:val="top"/>
    </w:pPr>
    <w:rPr>
      <w:rFonts w:ascii="Times New Roman" w:eastAsia="Times New Roman" w:hAnsi="Times New Roman" w:cstheme="minorBidi"/>
      <w:color w:val="000000"/>
      <w:szCs w:val="24"/>
      <w:lang w:eastAsia="en-NZ"/>
    </w:rPr>
  </w:style>
  <w:style w:type="paragraph" w:customStyle="1" w:styleId="xl89">
    <w:name w:val="xl89"/>
    <w:basedOn w:val="Normal"/>
    <w:rsid w:val="00066652"/>
    <w:pPr>
      <w:spacing w:before="100" w:beforeAutospacing="1" w:after="100" w:afterAutospacing="1" w:line="240" w:lineRule="auto"/>
      <w:jc w:val="right"/>
      <w:textAlignment w:val="top"/>
    </w:pPr>
    <w:rPr>
      <w:rFonts w:ascii="Times New Roman" w:eastAsia="Times New Roman" w:hAnsi="Times New Roman" w:cstheme="minorBidi"/>
      <w:szCs w:val="24"/>
      <w:lang w:eastAsia="en-NZ"/>
    </w:rPr>
  </w:style>
  <w:style w:type="paragraph" w:customStyle="1" w:styleId="xl90">
    <w:name w:val="xl90"/>
    <w:basedOn w:val="Normal"/>
    <w:rsid w:val="00066652"/>
    <w:pPr>
      <w:shd w:val="clear" w:color="000000" w:fill="FFFF00"/>
      <w:spacing w:before="100" w:beforeAutospacing="1" w:after="100" w:afterAutospacing="1" w:line="240" w:lineRule="auto"/>
      <w:jc w:val="right"/>
      <w:textAlignment w:val="top"/>
    </w:pPr>
    <w:rPr>
      <w:rFonts w:ascii="Times New Roman" w:eastAsia="Times New Roman" w:hAnsi="Times New Roman" w:cstheme="minorBidi"/>
      <w:szCs w:val="24"/>
      <w:lang w:eastAsia="en-NZ"/>
    </w:rPr>
  </w:style>
  <w:style w:type="paragraph" w:customStyle="1" w:styleId="xl91">
    <w:name w:val="xl91"/>
    <w:basedOn w:val="Normal"/>
    <w:rsid w:val="00066652"/>
    <w:pPr>
      <w:shd w:val="clear" w:color="000000" w:fill="FFFF00"/>
      <w:spacing w:before="100" w:beforeAutospacing="1" w:after="100" w:afterAutospacing="1" w:line="240" w:lineRule="auto"/>
      <w:textAlignment w:val="top"/>
    </w:pPr>
    <w:rPr>
      <w:rFonts w:ascii="Times New Roman" w:eastAsia="Times New Roman" w:hAnsi="Times New Roman" w:cstheme="minorBidi"/>
      <w:szCs w:val="24"/>
      <w:lang w:eastAsia="en-NZ"/>
    </w:rPr>
  </w:style>
  <w:style w:type="paragraph" w:customStyle="1" w:styleId="xl92">
    <w:name w:val="xl92"/>
    <w:basedOn w:val="Normal"/>
    <w:rsid w:val="00066652"/>
    <w:pPr>
      <w:spacing w:before="100" w:beforeAutospacing="1" w:after="100" w:afterAutospacing="1" w:line="240" w:lineRule="auto"/>
      <w:jc w:val="right"/>
      <w:textAlignment w:val="top"/>
    </w:pPr>
    <w:rPr>
      <w:rFonts w:ascii="Times New Roman" w:eastAsia="Times New Roman" w:hAnsi="Times New Roman" w:cstheme="minorBidi"/>
      <w:szCs w:val="24"/>
      <w:lang w:eastAsia="en-NZ"/>
    </w:rPr>
  </w:style>
  <w:style w:type="paragraph" w:customStyle="1" w:styleId="xl93">
    <w:name w:val="xl93"/>
    <w:basedOn w:val="Normal"/>
    <w:rsid w:val="00066652"/>
    <w:pPr>
      <w:spacing w:before="100" w:beforeAutospacing="1" w:after="100" w:afterAutospacing="1" w:line="240" w:lineRule="auto"/>
      <w:jc w:val="right"/>
      <w:textAlignment w:val="top"/>
    </w:pPr>
    <w:rPr>
      <w:rFonts w:ascii="Times New Roman" w:eastAsia="Times New Roman" w:hAnsi="Times New Roman" w:cstheme="minorBidi"/>
      <w:szCs w:val="24"/>
      <w:lang w:eastAsia="en-NZ"/>
    </w:rPr>
  </w:style>
  <w:style w:type="paragraph" w:customStyle="1" w:styleId="xl94">
    <w:name w:val="xl94"/>
    <w:basedOn w:val="Normal"/>
    <w:rsid w:val="00066652"/>
    <w:pPr>
      <w:shd w:val="clear" w:color="000000" w:fill="FFFF00"/>
      <w:spacing w:before="100" w:beforeAutospacing="1" w:after="100" w:afterAutospacing="1" w:line="240" w:lineRule="auto"/>
      <w:jc w:val="right"/>
      <w:textAlignment w:val="top"/>
    </w:pPr>
    <w:rPr>
      <w:rFonts w:ascii="Times New Roman" w:eastAsia="Times New Roman" w:hAnsi="Times New Roman" w:cstheme="minorBidi"/>
      <w:szCs w:val="24"/>
      <w:lang w:eastAsia="en-NZ"/>
    </w:rPr>
  </w:style>
  <w:style w:type="paragraph" w:customStyle="1" w:styleId="xl95">
    <w:name w:val="xl95"/>
    <w:basedOn w:val="Normal"/>
    <w:rsid w:val="00066652"/>
    <w:pPr>
      <w:pBdr>
        <w:bottom w:val="single" w:sz="8" w:space="0" w:color="008080"/>
      </w:pBdr>
      <w:shd w:val="clear" w:color="000000" w:fill="D9D9D9"/>
      <w:spacing w:before="100" w:beforeAutospacing="1" w:after="100" w:afterAutospacing="1" w:line="240" w:lineRule="auto"/>
      <w:jc w:val="right"/>
      <w:textAlignment w:val="top"/>
    </w:pPr>
    <w:rPr>
      <w:rFonts w:ascii="Times New Roman" w:eastAsia="Times New Roman" w:hAnsi="Times New Roman" w:cstheme="minorBidi"/>
      <w:color w:val="000000"/>
      <w:szCs w:val="24"/>
      <w:lang w:eastAsia="en-NZ"/>
    </w:rPr>
  </w:style>
  <w:style w:type="paragraph" w:customStyle="1" w:styleId="xl96">
    <w:name w:val="xl96"/>
    <w:basedOn w:val="Normal"/>
    <w:rsid w:val="00066652"/>
    <w:pPr>
      <w:spacing w:before="100" w:beforeAutospacing="1" w:after="100" w:afterAutospacing="1" w:line="240" w:lineRule="auto"/>
      <w:jc w:val="right"/>
      <w:textAlignment w:val="top"/>
    </w:pPr>
    <w:rPr>
      <w:rFonts w:ascii="Times New Roman" w:eastAsia="Times New Roman" w:hAnsi="Times New Roman" w:cstheme="minorBidi"/>
      <w:color w:val="000000"/>
      <w:szCs w:val="24"/>
      <w:lang w:eastAsia="en-NZ"/>
    </w:rPr>
  </w:style>
  <w:style w:type="paragraph" w:customStyle="1" w:styleId="xl97">
    <w:name w:val="xl97"/>
    <w:basedOn w:val="Normal"/>
    <w:rsid w:val="00066652"/>
    <w:pPr>
      <w:spacing w:before="100" w:beforeAutospacing="1" w:after="100" w:afterAutospacing="1" w:line="240" w:lineRule="auto"/>
      <w:jc w:val="right"/>
      <w:textAlignment w:val="top"/>
    </w:pPr>
    <w:rPr>
      <w:rFonts w:ascii="Times New Roman" w:eastAsia="Times New Roman" w:hAnsi="Times New Roman" w:cstheme="minorBidi"/>
      <w:color w:val="000000"/>
      <w:szCs w:val="24"/>
      <w:lang w:eastAsia="en-NZ"/>
    </w:rPr>
  </w:style>
  <w:style w:type="paragraph" w:customStyle="1" w:styleId="xl98">
    <w:name w:val="xl98"/>
    <w:basedOn w:val="Normal"/>
    <w:rsid w:val="00066652"/>
    <w:pPr>
      <w:spacing w:before="100" w:beforeAutospacing="1" w:after="100" w:afterAutospacing="1" w:line="240" w:lineRule="auto"/>
      <w:jc w:val="right"/>
      <w:textAlignment w:val="top"/>
    </w:pPr>
    <w:rPr>
      <w:rFonts w:ascii="Times New Roman" w:eastAsia="Times New Roman" w:hAnsi="Times New Roman" w:cstheme="minorBidi"/>
      <w:szCs w:val="24"/>
      <w:lang w:eastAsia="en-NZ"/>
    </w:rPr>
  </w:style>
  <w:style w:type="paragraph" w:customStyle="1" w:styleId="xl99">
    <w:name w:val="xl99"/>
    <w:basedOn w:val="Normal"/>
    <w:rsid w:val="00066652"/>
    <w:pPr>
      <w:pBdr>
        <w:bottom w:val="single" w:sz="8" w:space="0" w:color="008080"/>
        <w:right w:val="single" w:sz="8" w:space="0" w:color="008080"/>
      </w:pBdr>
      <w:shd w:val="clear" w:color="000000" w:fill="FFFF00"/>
      <w:spacing w:before="100" w:beforeAutospacing="1" w:after="100" w:afterAutospacing="1" w:line="240" w:lineRule="auto"/>
      <w:textAlignment w:val="top"/>
    </w:pPr>
    <w:rPr>
      <w:rFonts w:ascii="Times New Roman" w:eastAsia="Times New Roman" w:hAnsi="Times New Roman" w:cstheme="minorBidi"/>
      <w:color w:val="000000"/>
      <w:szCs w:val="24"/>
      <w:lang w:eastAsia="en-NZ"/>
    </w:rPr>
  </w:style>
  <w:style w:type="paragraph" w:customStyle="1" w:styleId="xl100">
    <w:name w:val="xl100"/>
    <w:basedOn w:val="Normal"/>
    <w:rsid w:val="00066652"/>
    <w:pPr>
      <w:spacing w:before="100" w:beforeAutospacing="1" w:after="100" w:afterAutospacing="1" w:line="240" w:lineRule="auto"/>
      <w:textAlignment w:val="top"/>
    </w:pPr>
    <w:rPr>
      <w:rFonts w:ascii="Times New Roman" w:eastAsia="Times New Roman" w:hAnsi="Times New Roman" w:cstheme="minorBidi"/>
      <w:b/>
      <w:bCs/>
      <w:color w:val="31869B"/>
      <w:sz w:val="28"/>
      <w:szCs w:val="28"/>
      <w:lang w:eastAsia="en-NZ"/>
    </w:rPr>
  </w:style>
  <w:style w:type="paragraph" w:customStyle="1" w:styleId="xl101">
    <w:name w:val="xl101"/>
    <w:basedOn w:val="Normal"/>
    <w:rsid w:val="00066652"/>
    <w:pPr>
      <w:pBdr>
        <w:bottom w:val="single" w:sz="8" w:space="0" w:color="008080"/>
        <w:right w:val="single" w:sz="8" w:space="0" w:color="008080"/>
      </w:pBdr>
      <w:spacing w:before="100" w:beforeAutospacing="1" w:after="100" w:afterAutospacing="1" w:line="240" w:lineRule="auto"/>
      <w:textAlignment w:val="top"/>
    </w:pPr>
    <w:rPr>
      <w:rFonts w:ascii="Times New Roman" w:eastAsia="Times New Roman" w:hAnsi="Times New Roman" w:cstheme="minorBidi"/>
      <w:color w:val="000000"/>
      <w:szCs w:val="24"/>
      <w:lang w:eastAsia="en-NZ"/>
    </w:rPr>
  </w:style>
  <w:style w:type="paragraph" w:customStyle="1" w:styleId="xl102">
    <w:name w:val="xl102"/>
    <w:basedOn w:val="Normal"/>
    <w:rsid w:val="00066652"/>
    <w:pPr>
      <w:spacing w:before="100" w:beforeAutospacing="1" w:after="100" w:afterAutospacing="1" w:line="240" w:lineRule="auto"/>
    </w:pPr>
    <w:rPr>
      <w:rFonts w:ascii="Times New Roman" w:eastAsia="Times New Roman" w:hAnsi="Times New Roman" w:cstheme="minorBidi"/>
      <w:szCs w:val="24"/>
      <w:lang w:eastAsia="en-NZ"/>
    </w:rPr>
  </w:style>
  <w:style w:type="paragraph" w:styleId="Index2">
    <w:name w:val="index 2"/>
    <w:basedOn w:val="Normal"/>
    <w:next w:val="Normal"/>
    <w:autoRedefine/>
    <w:uiPriority w:val="99"/>
    <w:unhideWhenUsed/>
    <w:rsid w:val="00A8239C"/>
    <w:pPr>
      <w:spacing w:after="0"/>
      <w:ind w:left="440" w:hanging="220"/>
    </w:pPr>
    <w:rPr>
      <w:rFonts w:cstheme="minorHAnsi"/>
      <w:sz w:val="18"/>
      <w:szCs w:val="18"/>
    </w:rPr>
  </w:style>
  <w:style w:type="paragraph" w:styleId="Index3">
    <w:name w:val="index 3"/>
    <w:basedOn w:val="Normal"/>
    <w:next w:val="Normal"/>
    <w:autoRedefine/>
    <w:uiPriority w:val="99"/>
    <w:unhideWhenUsed/>
    <w:rsid w:val="00A8239C"/>
    <w:pPr>
      <w:spacing w:after="0"/>
      <w:ind w:left="660" w:hanging="220"/>
    </w:pPr>
    <w:rPr>
      <w:rFonts w:cstheme="minorHAnsi"/>
      <w:sz w:val="18"/>
      <w:szCs w:val="18"/>
    </w:rPr>
  </w:style>
  <w:style w:type="paragraph" w:styleId="Index4">
    <w:name w:val="index 4"/>
    <w:basedOn w:val="Normal"/>
    <w:next w:val="Normal"/>
    <w:autoRedefine/>
    <w:uiPriority w:val="99"/>
    <w:unhideWhenUsed/>
    <w:rsid w:val="00A8239C"/>
    <w:pPr>
      <w:spacing w:after="0"/>
      <w:ind w:left="880" w:hanging="220"/>
    </w:pPr>
    <w:rPr>
      <w:rFonts w:cstheme="minorHAnsi"/>
      <w:sz w:val="18"/>
      <w:szCs w:val="18"/>
    </w:rPr>
  </w:style>
  <w:style w:type="paragraph" w:styleId="Index5">
    <w:name w:val="index 5"/>
    <w:basedOn w:val="Normal"/>
    <w:next w:val="Normal"/>
    <w:autoRedefine/>
    <w:uiPriority w:val="99"/>
    <w:unhideWhenUsed/>
    <w:rsid w:val="00A8239C"/>
    <w:pPr>
      <w:spacing w:after="0"/>
      <w:ind w:left="1100" w:hanging="220"/>
    </w:pPr>
    <w:rPr>
      <w:rFonts w:cstheme="minorHAnsi"/>
      <w:sz w:val="18"/>
      <w:szCs w:val="18"/>
    </w:rPr>
  </w:style>
  <w:style w:type="paragraph" w:styleId="Index6">
    <w:name w:val="index 6"/>
    <w:basedOn w:val="Normal"/>
    <w:next w:val="Normal"/>
    <w:autoRedefine/>
    <w:uiPriority w:val="99"/>
    <w:unhideWhenUsed/>
    <w:rsid w:val="00A8239C"/>
    <w:pPr>
      <w:spacing w:after="0"/>
      <w:ind w:left="1320" w:hanging="220"/>
    </w:pPr>
    <w:rPr>
      <w:rFonts w:cstheme="minorHAnsi"/>
      <w:sz w:val="18"/>
      <w:szCs w:val="18"/>
    </w:rPr>
  </w:style>
  <w:style w:type="paragraph" w:styleId="Index7">
    <w:name w:val="index 7"/>
    <w:basedOn w:val="Normal"/>
    <w:next w:val="Normal"/>
    <w:autoRedefine/>
    <w:uiPriority w:val="99"/>
    <w:unhideWhenUsed/>
    <w:rsid w:val="00A8239C"/>
    <w:pPr>
      <w:spacing w:after="0"/>
      <w:ind w:left="1540" w:hanging="220"/>
    </w:pPr>
    <w:rPr>
      <w:rFonts w:cstheme="minorHAnsi"/>
      <w:sz w:val="18"/>
      <w:szCs w:val="18"/>
    </w:rPr>
  </w:style>
  <w:style w:type="paragraph" w:styleId="Index8">
    <w:name w:val="index 8"/>
    <w:basedOn w:val="Normal"/>
    <w:next w:val="Normal"/>
    <w:autoRedefine/>
    <w:uiPriority w:val="99"/>
    <w:unhideWhenUsed/>
    <w:rsid w:val="00A8239C"/>
    <w:pPr>
      <w:spacing w:after="0"/>
      <w:ind w:left="1760" w:hanging="220"/>
    </w:pPr>
    <w:rPr>
      <w:rFonts w:cstheme="minorHAnsi"/>
      <w:sz w:val="18"/>
      <w:szCs w:val="18"/>
    </w:rPr>
  </w:style>
  <w:style w:type="paragraph" w:styleId="Index9">
    <w:name w:val="index 9"/>
    <w:basedOn w:val="Normal"/>
    <w:next w:val="Normal"/>
    <w:autoRedefine/>
    <w:uiPriority w:val="99"/>
    <w:unhideWhenUsed/>
    <w:rsid w:val="00A8239C"/>
    <w:pPr>
      <w:spacing w:after="0"/>
      <w:ind w:left="1980" w:hanging="220"/>
    </w:pPr>
    <w:rPr>
      <w:rFonts w:cstheme="minorHAnsi"/>
      <w:sz w:val="18"/>
      <w:szCs w:val="18"/>
    </w:rPr>
  </w:style>
  <w:style w:type="paragraph" w:styleId="IndexHeading">
    <w:name w:val="index heading"/>
    <w:basedOn w:val="Normal"/>
    <w:next w:val="Index1"/>
    <w:uiPriority w:val="99"/>
    <w:unhideWhenUsed/>
    <w:rsid w:val="00A8239C"/>
    <w:pPr>
      <w:spacing w:before="240" w:after="120"/>
      <w:jc w:val="center"/>
    </w:pPr>
    <w:rPr>
      <w:rFonts w:cstheme="minorHAnsi"/>
      <w:b/>
      <w:bCs/>
      <w:sz w:val="26"/>
      <w:szCs w:val="26"/>
    </w:rPr>
  </w:style>
  <w:style w:type="character" w:styleId="HTMLCode">
    <w:name w:val="HTML Code"/>
    <w:uiPriority w:val="99"/>
    <w:semiHidden/>
    <w:unhideWhenUsed/>
    <w:rsid w:val="00FA6A77"/>
    <w:rPr>
      <w:rFonts w:ascii="Arial Narrow" w:eastAsia="Times New Roman" w:hAnsi="Arial Narrow" w:cs="Times New Roman" w:hint="default"/>
      <w:sz w:val="20"/>
      <w:szCs w:val="20"/>
    </w:rPr>
  </w:style>
  <w:style w:type="paragraph" w:customStyle="1" w:styleId="Body">
    <w:name w:val="Body"/>
    <w:basedOn w:val="Normal"/>
    <w:uiPriority w:val="99"/>
    <w:semiHidden/>
    <w:qFormat/>
    <w:rsid w:val="00FA6A77"/>
    <w:pPr>
      <w:spacing w:after="120" w:line="240" w:lineRule="auto"/>
    </w:pPr>
    <w:rPr>
      <w:rFonts w:eastAsia="Times New Roman"/>
    </w:rPr>
  </w:style>
  <w:style w:type="character" w:styleId="HTMLKeyboard">
    <w:name w:val="HTML Keyboard"/>
    <w:uiPriority w:val="99"/>
    <w:semiHidden/>
    <w:unhideWhenUsed/>
    <w:rsid w:val="00FA6A77"/>
    <w:rPr>
      <w:rFonts w:ascii="Arial Narrow" w:eastAsia="Times New Roman" w:hAnsi="Arial Narrow" w:cs="Times New Roman" w:hint="default"/>
      <w:sz w:val="20"/>
      <w:szCs w:val="20"/>
    </w:rPr>
  </w:style>
  <w:style w:type="paragraph" w:styleId="HTMLPreformatted">
    <w:name w:val="HTML Preformatted"/>
    <w:basedOn w:val="Normal"/>
    <w:link w:val="HTMLPreformattedChar"/>
    <w:uiPriority w:val="99"/>
    <w:semiHidden/>
    <w:unhideWhenUsed/>
    <w:rsid w:val="00FA6A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eastAsia="Times New Roman"/>
      <w:sz w:val="20"/>
      <w:szCs w:val="20"/>
    </w:rPr>
  </w:style>
  <w:style w:type="character" w:customStyle="1" w:styleId="HTMLPreformattedChar">
    <w:name w:val="HTML Preformatted Char"/>
    <w:basedOn w:val="DefaultParagraphFont"/>
    <w:link w:val="HTMLPreformatted"/>
    <w:uiPriority w:val="99"/>
    <w:semiHidden/>
    <w:rsid w:val="00FA6A77"/>
    <w:rPr>
      <w:rFonts w:eastAsia="Times New Roman" w:cs="Times New Roman"/>
      <w:sz w:val="20"/>
      <w:szCs w:val="20"/>
    </w:rPr>
  </w:style>
  <w:style w:type="character" w:styleId="HTMLSample">
    <w:name w:val="HTML Sample"/>
    <w:uiPriority w:val="99"/>
    <w:semiHidden/>
    <w:unhideWhenUsed/>
    <w:rsid w:val="00FA6A77"/>
    <w:rPr>
      <w:rFonts w:ascii="Arial Narrow" w:eastAsia="Times New Roman" w:hAnsi="Arial Narrow" w:cs="Times New Roman" w:hint="default"/>
    </w:rPr>
  </w:style>
  <w:style w:type="character" w:styleId="HTMLTypewriter">
    <w:name w:val="HTML Typewriter"/>
    <w:uiPriority w:val="99"/>
    <w:semiHidden/>
    <w:unhideWhenUsed/>
    <w:rsid w:val="00FA6A77"/>
    <w:rPr>
      <w:rFonts w:ascii="Arial Narrow" w:eastAsia="Times New Roman" w:hAnsi="Arial Narrow" w:cs="Times New Roman" w:hint="default"/>
      <w:sz w:val="20"/>
      <w:szCs w:val="20"/>
    </w:rPr>
  </w:style>
  <w:style w:type="paragraph" w:styleId="FootnoteText">
    <w:name w:val="footnote text"/>
    <w:basedOn w:val="Normal"/>
    <w:link w:val="FootnoteTextChar"/>
    <w:uiPriority w:val="99"/>
    <w:semiHidden/>
    <w:unhideWhenUsed/>
    <w:rsid w:val="00FA6A77"/>
    <w:pPr>
      <w:spacing w:after="0" w:line="240" w:lineRule="auto"/>
    </w:pPr>
    <w:rPr>
      <w:rFonts w:ascii="Georgia" w:eastAsia="Times New Roman" w:hAnsi="Georgia"/>
      <w:sz w:val="20"/>
      <w:szCs w:val="20"/>
      <w:lang w:val="en-GB" w:eastAsia="en-GB"/>
    </w:rPr>
  </w:style>
  <w:style w:type="character" w:customStyle="1" w:styleId="FootnoteTextChar">
    <w:name w:val="Footnote Text Char"/>
    <w:basedOn w:val="DefaultParagraphFont"/>
    <w:link w:val="FootnoteText"/>
    <w:uiPriority w:val="99"/>
    <w:semiHidden/>
    <w:rsid w:val="00FA6A77"/>
    <w:rPr>
      <w:rFonts w:ascii="Georgia" w:eastAsia="Times New Roman" w:hAnsi="Georgia" w:cs="Times New Roman"/>
      <w:sz w:val="20"/>
      <w:szCs w:val="20"/>
      <w:lang w:val="en-GB" w:eastAsia="en-GB"/>
    </w:rPr>
  </w:style>
  <w:style w:type="paragraph" w:customStyle="1" w:styleId="PlaceholderText1">
    <w:name w:val="Placeholder Text1"/>
    <w:basedOn w:val="Normal"/>
    <w:uiPriority w:val="99"/>
    <w:semiHidden/>
    <w:rsid w:val="00FA6A77"/>
    <w:pPr>
      <w:keepNext/>
      <w:numPr>
        <w:numId w:val="34"/>
      </w:numPr>
      <w:spacing w:after="0" w:line="240" w:lineRule="auto"/>
      <w:contextualSpacing/>
      <w:outlineLvl w:val="0"/>
    </w:pPr>
    <w:rPr>
      <w:rFonts w:eastAsia="Times New Roman"/>
    </w:rPr>
  </w:style>
  <w:style w:type="character" w:customStyle="1" w:styleId="WCCFormheaderChar">
    <w:name w:val="WCC Form header Char"/>
    <w:link w:val="WCCFormheader"/>
    <w:uiPriority w:val="9"/>
    <w:semiHidden/>
    <w:locked/>
    <w:rsid w:val="00FA6A77"/>
    <w:rPr>
      <w:rFonts w:asciiTheme="majorHAnsi" w:eastAsia="MS Gothic" w:hAnsiTheme="majorHAnsi"/>
      <w:b/>
      <w:bCs/>
      <w:color w:val="3C3C3B"/>
      <w:kern w:val="32"/>
      <w:sz w:val="40"/>
      <w:szCs w:val="40"/>
    </w:rPr>
  </w:style>
  <w:style w:type="paragraph" w:customStyle="1" w:styleId="WCCFormheader">
    <w:name w:val="WCC Form header"/>
    <w:basedOn w:val="Heading1"/>
    <w:link w:val="WCCFormheaderChar"/>
    <w:uiPriority w:val="9"/>
    <w:semiHidden/>
    <w:rsid w:val="00FA6A77"/>
    <w:pPr>
      <w:keepLines w:val="0"/>
      <w:pBdr>
        <w:bottom w:val="none" w:sz="0" w:space="0" w:color="auto"/>
      </w:pBdr>
      <w:spacing w:before="0" w:after="80" w:line="400" w:lineRule="exact"/>
    </w:pPr>
    <w:rPr>
      <w:rFonts w:eastAsia="MS Gothic" w:cstheme="minorBidi"/>
      <w:color w:val="3C3C3B"/>
      <w:kern w:val="32"/>
      <w:sz w:val="40"/>
      <w:szCs w:val="40"/>
    </w:rPr>
  </w:style>
  <w:style w:type="paragraph" w:customStyle="1" w:styleId="WCCtableheaderonblackcell">
    <w:name w:val="WCC table header on black cell"/>
    <w:basedOn w:val="Normal"/>
    <w:uiPriority w:val="9"/>
    <w:semiHidden/>
    <w:rsid w:val="00FA6A77"/>
    <w:pPr>
      <w:spacing w:after="0" w:line="240" w:lineRule="auto"/>
    </w:pPr>
    <w:rPr>
      <w:rFonts w:eastAsia="Times New Roman"/>
      <w:b/>
      <w:color w:val="FFFFFF"/>
    </w:rPr>
  </w:style>
  <w:style w:type="paragraph" w:customStyle="1" w:styleId="WCCPDWCCnumber">
    <w:name w:val="WCC PDWCC number"/>
    <w:basedOn w:val="Normal"/>
    <w:uiPriority w:val="9"/>
    <w:semiHidden/>
    <w:rsid w:val="00FA6A77"/>
    <w:pPr>
      <w:spacing w:after="0" w:line="240" w:lineRule="auto"/>
      <w:jc w:val="right"/>
    </w:pPr>
    <w:rPr>
      <w:rFonts w:eastAsia="Times New Roman"/>
      <w:b/>
      <w:sz w:val="10"/>
      <w:szCs w:val="8"/>
    </w:rPr>
  </w:style>
  <w:style w:type="character" w:customStyle="1" w:styleId="WCCCoverSubtitleChar">
    <w:name w:val="WCC Cover Subtitle Char"/>
    <w:link w:val="WCCCoverSubtitle"/>
    <w:uiPriority w:val="9"/>
    <w:semiHidden/>
    <w:locked/>
    <w:rsid w:val="00FA6A77"/>
    <w:rPr>
      <w:rFonts w:asciiTheme="majorHAnsi" w:eastAsia="MS Gothic" w:hAnsiTheme="majorHAnsi"/>
      <w:b/>
      <w:bCs/>
      <w:color w:val="3C3C3B"/>
      <w:kern w:val="32"/>
      <w:sz w:val="26"/>
      <w:szCs w:val="26"/>
    </w:rPr>
  </w:style>
  <w:style w:type="paragraph" w:customStyle="1" w:styleId="WCCCoverSubtitle">
    <w:name w:val="WCC Cover Subtitle"/>
    <w:basedOn w:val="WCCFormheader"/>
    <w:link w:val="WCCCoverSubtitleChar"/>
    <w:uiPriority w:val="9"/>
    <w:semiHidden/>
    <w:rsid w:val="00FA6A77"/>
    <w:pPr>
      <w:spacing w:line="300" w:lineRule="exact"/>
    </w:pPr>
    <w:rPr>
      <w:sz w:val="26"/>
      <w:szCs w:val="26"/>
    </w:rPr>
  </w:style>
  <w:style w:type="character" w:customStyle="1" w:styleId="WCCCoverHeaderChar">
    <w:name w:val="WCC Cover Header Char"/>
    <w:link w:val="WCCCoverHeader"/>
    <w:uiPriority w:val="9"/>
    <w:semiHidden/>
    <w:locked/>
    <w:rsid w:val="00FA6A77"/>
    <w:rPr>
      <w:rFonts w:ascii="Georgia" w:eastAsia="MS Gothic" w:hAnsi="Georgia"/>
      <w:b/>
      <w:bCs/>
      <w:caps/>
      <w:color w:val="FFFFFF"/>
      <w:kern w:val="32"/>
      <w:sz w:val="48"/>
      <w:szCs w:val="48"/>
    </w:rPr>
  </w:style>
  <w:style w:type="paragraph" w:customStyle="1" w:styleId="WCCCoverHeader">
    <w:name w:val="WCC Cover Header"/>
    <w:basedOn w:val="Normal"/>
    <w:link w:val="WCCCoverHeaderChar"/>
    <w:uiPriority w:val="9"/>
    <w:semiHidden/>
    <w:rsid w:val="00FA6A77"/>
    <w:pPr>
      <w:keepNext/>
      <w:spacing w:after="80" w:line="520" w:lineRule="exact"/>
      <w:ind w:right="4389"/>
      <w:outlineLvl w:val="0"/>
    </w:pPr>
    <w:rPr>
      <w:rFonts w:ascii="Georgia" w:eastAsia="MS Gothic" w:hAnsi="Georgia" w:cstheme="minorBidi"/>
      <w:b/>
      <w:bCs/>
      <w:caps/>
      <w:color w:val="FFFFFF"/>
      <w:kern w:val="32"/>
      <w:sz w:val="48"/>
      <w:szCs w:val="48"/>
    </w:rPr>
  </w:style>
  <w:style w:type="character" w:customStyle="1" w:styleId="WCCDocumentHeaderChar">
    <w:name w:val="WCC Document Header Char"/>
    <w:link w:val="WCCDocumentHeader"/>
    <w:uiPriority w:val="9"/>
    <w:semiHidden/>
    <w:locked/>
    <w:rsid w:val="00FA6A77"/>
    <w:rPr>
      <w:rFonts w:ascii="Georgia" w:eastAsia="MS Gothic" w:hAnsi="Georgia"/>
      <w:b/>
      <w:bCs/>
      <w:color w:val="3C3C3B"/>
      <w:kern w:val="32"/>
      <w:sz w:val="36"/>
      <w:szCs w:val="36"/>
    </w:rPr>
  </w:style>
  <w:style w:type="paragraph" w:customStyle="1" w:styleId="WCCDocumentHeader">
    <w:name w:val="WCC Document Header"/>
    <w:basedOn w:val="WCCCoverHeader"/>
    <w:link w:val="WCCDocumentHeaderChar"/>
    <w:uiPriority w:val="9"/>
    <w:semiHidden/>
    <w:rsid w:val="00FA6A77"/>
    <w:pPr>
      <w:spacing w:line="400" w:lineRule="exact"/>
      <w:ind w:right="0"/>
    </w:pPr>
    <w:rPr>
      <w:caps w:val="0"/>
      <w:color w:val="3C3C3B"/>
      <w:sz w:val="36"/>
      <w:szCs w:val="36"/>
    </w:rPr>
  </w:style>
  <w:style w:type="character" w:customStyle="1" w:styleId="WCCDocumentsubtitleChar">
    <w:name w:val="WCC Document subtitle Char"/>
    <w:link w:val="WCCDocumentsubtitle"/>
    <w:uiPriority w:val="9"/>
    <w:semiHidden/>
    <w:locked/>
    <w:rsid w:val="00FA6A77"/>
    <w:rPr>
      <w:rFonts w:asciiTheme="majorHAnsi" w:eastAsia="MS Gothic" w:hAnsiTheme="majorHAnsi"/>
      <w:b/>
      <w:bCs/>
      <w:color w:val="3C3C3B"/>
      <w:kern w:val="32"/>
      <w:sz w:val="26"/>
      <w:szCs w:val="26"/>
    </w:rPr>
  </w:style>
  <w:style w:type="paragraph" w:customStyle="1" w:styleId="WCCDocumentsubtitle">
    <w:name w:val="WCC Document subtitle"/>
    <w:basedOn w:val="WCCCoverSubtitle"/>
    <w:link w:val="WCCDocumentsubtitleChar"/>
    <w:uiPriority w:val="9"/>
    <w:semiHidden/>
    <w:rsid w:val="00FA6A77"/>
  </w:style>
  <w:style w:type="paragraph" w:customStyle="1" w:styleId="Bullets">
    <w:name w:val="Bullets"/>
    <w:basedOn w:val="Body"/>
    <w:uiPriority w:val="99"/>
    <w:semiHidden/>
    <w:qFormat/>
    <w:rsid w:val="00FA6A77"/>
    <w:pPr>
      <w:numPr>
        <w:numId w:val="35"/>
      </w:numPr>
      <w:ind w:left="284" w:hanging="284"/>
    </w:pPr>
  </w:style>
  <w:style w:type="character" w:customStyle="1" w:styleId="FootertextChar">
    <w:name w:val="Footer text Char"/>
    <w:basedOn w:val="FooterChar"/>
    <w:link w:val="Footertext"/>
    <w:uiPriority w:val="99"/>
    <w:semiHidden/>
    <w:locked/>
    <w:rsid w:val="00FA6A77"/>
    <w:rPr>
      <w:rFonts w:ascii="Helvetica Neue" w:eastAsia="Times New Roman" w:hAnsi="Helvetica Neue" w:cs="Times New Roman"/>
      <w:color w:val="333333"/>
      <w:sz w:val="16"/>
      <w:szCs w:val="24"/>
      <w:vertAlign w:val="superscript"/>
      <w:lang w:bidi="ar-SA"/>
    </w:rPr>
  </w:style>
  <w:style w:type="paragraph" w:customStyle="1" w:styleId="Footertext">
    <w:name w:val="Footer text"/>
    <w:basedOn w:val="Footer"/>
    <w:link w:val="FootertextChar"/>
    <w:uiPriority w:val="99"/>
    <w:semiHidden/>
    <w:rsid w:val="00FA6A77"/>
    <w:pPr>
      <w:tabs>
        <w:tab w:val="clear" w:pos="4513"/>
        <w:tab w:val="clear" w:pos="9026"/>
        <w:tab w:val="center" w:pos="4820"/>
        <w:tab w:val="right" w:pos="9639"/>
      </w:tabs>
      <w:spacing w:before="160" w:after="0"/>
      <w:jc w:val="right"/>
    </w:pPr>
    <w:rPr>
      <w:rFonts w:eastAsia="Times New Roman"/>
      <w:sz w:val="16"/>
    </w:rPr>
  </w:style>
  <w:style w:type="paragraph" w:customStyle="1" w:styleId="TableHeading">
    <w:name w:val="Table Heading"/>
    <w:basedOn w:val="Normal"/>
    <w:uiPriority w:val="7"/>
    <w:semiHidden/>
    <w:qFormat/>
    <w:rsid w:val="00FA6A77"/>
    <w:pPr>
      <w:spacing w:before="113" w:after="113" w:line="200" w:lineRule="atLeast"/>
    </w:pPr>
    <w:rPr>
      <w:rFonts w:asciiTheme="majorHAnsi" w:eastAsia="Times New Roman" w:hAnsiTheme="majorHAnsi"/>
      <w:sz w:val="16"/>
    </w:rPr>
  </w:style>
  <w:style w:type="paragraph" w:customStyle="1" w:styleId="TableBody">
    <w:name w:val="Table Body"/>
    <w:basedOn w:val="Normal"/>
    <w:uiPriority w:val="7"/>
    <w:semiHidden/>
    <w:qFormat/>
    <w:rsid w:val="00FA6A77"/>
    <w:pPr>
      <w:spacing w:before="113" w:after="113" w:line="200" w:lineRule="atLeast"/>
    </w:pPr>
    <w:rPr>
      <w:rFonts w:eastAsia="Times New Roman"/>
      <w:sz w:val="16"/>
    </w:rPr>
  </w:style>
  <w:style w:type="paragraph" w:customStyle="1" w:styleId="TableSubheading">
    <w:name w:val="Table Subheading"/>
    <w:basedOn w:val="TableHeading"/>
    <w:uiPriority w:val="7"/>
    <w:semiHidden/>
    <w:qFormat/>
    <w:rsid w:val="00FA6A77"/>
    <w:rPr>
      <w:b/>
    </w:rPr>
  </w:style>
  <w:style w:type="paragraph" w:customStyle="1" w:styleId="Source-Notes">
    <w:name w:val="Source-Notes"/>
    <w:uiPriority w:val="8"/>
    <w:semiHidden/>
    <w:qFormat/>
    <w:rsid w:val="00FA6A77"/>
    <w:pPr>
      <w:spacing w:before="120" w:after="120" w:line="200" w:lineRule="atLeast"/>
      <w:contextualSpacing/>
    </w:pPr>
    <w:rPr>
      <w:rFonts w:eastAsia="Times New Roman" w:cs="Times New Roman"/>
      <w:i/>
      <w:sz w:val="16"/>
    </w:rPr>
  </w:style>
  <w:style w:type="paragraph" w:customStyle="1" w:styleId="Scroll">
    <w:name w:val="Scroll"/>
    <w:uiPriority w:val="99"/>
    <w:semiHidden/>
    <w:rsid w:val="00FA6A77"/>
    <w:pPr>
      <w:tabs>
        <w:tab w:val="center" w:pos="4320"/>
        <w:tab w:val="right" w:pos="8640"/>
      </w:tabs>
    </w:pPr>
    <w:rPr>
      <w:lang w:val="en-US" w:eastAsia="ja-JP"/>
    </w:rPr>
  </w:style>
  <w:style w:type="character" w:styleId="FootnoteReference">
    <w:name w:val="footnote reference"/>
    <w:semiHidden/>
    <w:unhideWhenUsed/>
    <w:rsid w:val="00FA6A77"/>
    <w:rPr>
      <w:vertAlign w:val="superscript"/>
    </w:rPr>
  </w:style>
  <w:style w:type="character" w:styleId="PageNumber">
    <w:name w:val="page number"/>
    <w:basedOn w:val="FootertextChar"/>
    <w:uiPriority w:val="99"/>
    <w:semiHidden/>
    <w:unhideWhenUsed/>
    <w:rsid w:val="00FA6A77"/>
    <w:rPr>
      <w:rFonts w:ascii="Helvetica Neue" w:eastAsia="Times New Roman" w:hAnsi="Helvetica Neue" w:cs="Times New Roman"/>
      <w:color w:val="333333"/>
      <w:sz w:val="16"/>
      <w:szCs w:val="24"/>
      <w:vertAlign w:val="superscript"/>
      <w:lang w:bidi="ar-SA"/>
    </w:rPr>
  </w:style>
  <w:style w:type="character" w:customStyle="1" w:styleId="s4">
    <w:name w:val="s4"/>
    <w:basedOn w:val="DefaultParagraphFont"/>
    <w:rsid w:val="00FA6A77"/>
  </w:style>
  <w:style w:type="character" w:customStyle="1" w:styleId="ilfuvd">
    <w:name w:val="ilfuvd"/>
    <w:basedOn w:val="DefaultParagraphFont"/>
    <w:rsid w:val="00FA6A77"/>
  </w:style>
  <w:style w:type="table" w:styleId="TableSimple1">
    <w:name w:val="Table Simple 1"/>
    <w:basedOn w:val="TableNormal"/>
    <w:semiHidden/>
    <w:unhideWhenUsed/>
    <w:rsid w:val="00FA6A77"/>
    <w:pPr>
      <w:spacing w:after="0" w:line="240" w:lineRule="auto"/>
    </w:pPr>
    <w:rPr>
      <w:rFonts w:ascii="Arial Narrow" w:eastAsia="Times New Roman" w:hAnsi="Arial Narrow" w:cs="Arial"/>
    </w:rPr>
    <w:tblPr>
      <w:tblInd w:w="0" w:type="nil"/>
      <w:tblBorders>
        <w:top w:val="single" w:sz="12" w:space="0" w:color="008000"/>
        <w:bottom w:val="single" w:sz="12" w:space="0" w:color="008000"/>
      </w:tblBorders>
    </w:tblPr>
    <w:tblStylePr w:type="firstRow">
      <w:tblPr/>
      <w:tcPr>
        <w:tcBorders>
          <w:bottom w:val="single" w:sz="6" w:space="0" w:color="008000"/>
        </w:tcBorders>
      </w:tcPr>
    </w:tblStylePr>
    <w:tblStylePr w:type="lastRow">
      <w:tblPr/>
      <w:tcPr>
        <w:tcBorders>
          <w:top w:val="single" w:sz="6" w:space="0" w:color="008000"/>
        </w:tcBorders>
      </w:tcPr>
    </w:tblStylePr>
  </w:style>
  <w:style w:type="table" w:styleId="TableSimple2">
    <w:name w:val="Table Simple 2"/>
    <w:basedOn w:val="TableNormal"/>
    <w:semiHidden/>
    <w:unhideWhenUsed/>
    <w:rsid w:val="00FA6A77"/>
    <w:pPr>
      <w:spacing w:after="0" w:line="240" w:lineRule="auto"/>
    </w:pPr>
    <w:rPr>
      <w:rFonts w:ascii="Arial Narrow" w:eastAsia="Times New Roman" w:hAnsi="Arial Narrow" w:cs="Arial"/>
    </w:rPr>
    <w:tblPr>
      <w:tblInd w:w="0" w:type="nil"/>
    </w:tblPr>
    <w:tblStylePr w:type="firstRow">
      <w:rPr>
        <w:b/>
        <w:bCs/>
      </w:rPr>
      <w:tblPr/>
      <w:tcPr>
        <w:tcBorders>
          <w:bottom w:val="single" w:sz="12" w:space="0" w:color="000000"/>
        </w:tcBorders>
      </w:tcPr>
    </w:tblStylePr>
    <w:tblStylePr w:type="lastRow">
      <w:rPr>
        <w:b/>
        <w:bCs/>
        <w:color w:val="auto"/>
      </w:rPr>
      <w:tblPr/>
      <w:tcPr>
        <w:tcBorders>
          <w:top w:val="single" w:sz="6" w:space="0" w:color="000000"/>
        </w:tcBorders>
      </w:tcPr>
    </w:tblStylePr>
    <w:tblStylePr w:type="firstCol">
      <w:rPr>
        <w:b/>
        <w:bCs/>
      </w:rPr>
      <w:tblPr/>
      <w:tcPr>
        <w:tcBorders>
          <w:right w:val="single" w:sz="12" w:space="0" w:color="000000"/>
        </w:tcBorders>
      </w:tcPr>
    </w:tblStylePr>
    <w:tblStylePr w:type="lastCol">
      <w:rPr>
        <w:b/>
        <w:bCs/>
      </w:rPr>
      <w:tblPr/>
      <w:tcPr>
        <w:tcBorders>
          <w:left w:val="single" w:sz="6" w:space="0" w:color="000000"/>
        </w:tcBorders>
      </w:tcPr>
    </w:tblStylePr>
    <w:tblStylePr w:type="neCell">
      <w:rPr>
        <w:b/>
        <w:bCs/>
      </w:rPr>
      <w:tblPr/>
      <w:tcPr>
        <w:tcBorders>
          <w:left w:val="none" w:sz="0" w:space="0" w:color="auto"/>
        </w:tcBorders>
      </w:tcPr>
    </w:tblStylePr>
    <w:tblStylePr w:type="swCell">
      <w:rPr>
        <w:b/>
        <w:bCs/>
      </w:rPr>
      <w:tblPr/>
      <w:tcPr>
        <w:tcBorders>
          <w:top w:val="none" w:sz="0" w:space="0" w:color="auto"/>
        </w:tcBorders>
      </w:tcPr>
    </w:tblStylePr>
  </w:style>
  <w:style w:type="table" w:styleId="TableSimple3">
    <w:name w:val="Table Simple 3"/>
    <w:basedOn w:val="TableNormal"/>
    <w:semiHidden/>
    <w:unhideWhenUsed/>
    <w:rsid w:val="00FA6A77"/>
    <w:pPr>
      <w:spacing w:after="0" w:line="240" w:lineRule="auto"/>
    </w:pPr>
    <w:rPr>
      <w:rFonts w:ascii="Arial Narrow" w:eastAsia="Times New Roman" w:hAnsi="Arial Narrow" w:cs="Arial"/>
    </w:rPr>
    <w:tblPr>
      <w:tblInd w:w="0" w:type="nil"/>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shd w:val="solid" w:color="000000" w:fill="FFFFFF"/>
      </w:tcPr>
    </w:tblStylePr>
  </w:style>
  <w:style w:type="table" w:styleId="TableClassic1">
    <w:name w:val="Table Classic 1"/>
    <w:basedOn w:val="TableNormal"/>
    <w:semiHidden/>
    <w:unhideWhenUsed/>
    <w:rsid w:val="00FA6A77"/>
    <w:pPr>
      <w:spacing w:after="0" w:line="240" w:lineRule="auto"/>
    </w:pPr>
    <w:rPr>
      <w:rFonts w:ascii="Arial Narrow" w:eastAsia="Times New Roman" w:hAnsi="Arial Narrow" w:cs="Arial"/>
    </w:rPr>
    <w:tblPr>
      <w:tblInd w:w="0" w:type="nil"/>
      <w:tblBorders>
        <w:top w:val="single" w:sz="12" w:space="0" w:color="000000"/>
        <w:bottom w:val="single" w:sz="12" w:space="0" w:color="000000"/>
      </w:tblBorders>
    </w:tblPr>
    <w:tblStylePr w:type="firstRow">
      <w:rPr>
        <w:i/>
        <w:iCs/>
      </w:rPr>
      <w:tblPr/>
      <w:tcPr>
        <w:tcBorders>
          <w:bottom w:val="single" w:sz="6" w:space="0" w:color="000000"/>
        </w:tcBorders>
      </w:tcPr>
    </w:tblStylePr>
    <w:tblStylePr w:type="lastRow">
      <w:rPr>
        <w:color w:val="auto"/>
      </w:rPr>
      <w:tblPr/>
      <w:tcPr>
        <w:tcBorders>
          <w:top w:val="single" w:sz="6" w:space="0" w:color="000000"/>
        </w:tcBorders>
      </w:tcPr>
    </w:tblStylePr>
    <w:tblStylePr w:type="firstCol">
      <w:tblPr/>
      <w:tcPr>
        <w:tcBorders>
          <w:right w:val="single" w:sz="6" w:space="0" w:color="000000"/>
        </w:tcBorders>
      </w:tcPr>
    </w:tblStylePr>
    <w:tblStylePr w:type="neCell">
      <w:rPr>
        <w:b/>
        <w:bCs/>
        <w:i w:val="0"/>
        <w:iCs w:val="0"/>
      </w:rPr>
    </w:tblStylePr>
    <w:tblStylePr w:type="swCell">
      <w:rPr>
        <w:b/>
        <w:bCs/>
      </w:rPr>
    </w:tblStylePr>
  </w:style>
  <w:style w:type="table" w:styleId="TableClassic2">
    <w:name w:val="Table Classic 2"/>
    <w:basedOn w:val="TableNormal"/>
    <w:semiHidden/>
    <w:unhideWhenUsed/>
    <w:rsid w:val="00FA6A77"/>
    <w:pPr>
      <w:spacing w:after="0" w:line="240" w:lineRule="auto"/>
    </w:pPr>
    <w:rPr>
      <w:rFonts w:ascii="Arial Narrow" w:eastAsia="Times New Roman" w:hAnsi="Arial Narrow" w:cs="Arial"/>
    </w:rPr>
    <w:tblPr>
      <w:tblInd w:w="0" w:type="nil"/>
      <w:tblBorders>
        <w:top w:val="single" w:sz="12" w:space="0" w:color="000000"/>
        <w:bottom w:val="single" w:sz="12" w:space="0" w:color="000000"/>
      </w:tblBorders>
    </w:tblPr>
    <w:tblStylePr w:type="firstRow">
      <w:rPr>
        <w:color w:val="FFFFFF"/>
      </w:rPr>
      <w:tblPr/>
      <w:tcPr>
        <w:tcBorders>
          <w:bottom w:val="single" w:sz="6" w:space="0" w:color="000000"/>
        </w:tcBorders>
        <w:shd w:val="solid" w:color="800080" w:fill="FFFFFF"/>
      </w:tcPr>
    </w:tblStylePr>
    <w:tblStylePr w:type="lastRow">
      <w:tblPr/>
      <w:tcPr>
        <w:tcBorders>
          <w:top w:val="single" w:sz="6" w:space="0" w:color="000000"/>
        </w:tcBorders>
      </w:tcPr>
    </w:tblStylePr>
    <w:tblStylePr w:type="firstCol">
      <w:rPr>
        <w:b/>
        <w:bCs/>
      </w:rPr>
      <w:tblPr/>
      <w:tcPr>
        <w:shd w:val="solid" w:color="C0C0C0" w:fill="FFFFFF"/>
      </w:tcPr>
    </w:tblStylePr>
    <w:tblStylePr w:type="neCell">
      <w:rPr>
        <w:b/>
        <w:bCs/>
      </w:rPr>
    </w:tblStylePr>
    <w:tblStylePr w:type="nwCell">
      <w:tblPr/>
      <w:tcPr>
        <w:shd w:val="solid" w:color="800080" w:fill="FFFFFF"/>
      </w:tcPr>
    </w:tblStylePr>
    <w:tblStylePr w:type="swCell">
      <w:rPr>
        <w:color w:val="000080"/>
      </w:rPr>
    </w:tblStylePr>
  </w:style>
  <w:style w:type="table" w:styleId="TableClassic3">
    <w:name w:val="Table Classic 3"/>
    <w:basedOn w:val="TableNormal"/>
    <w:semiHidden/>
    <w:unhideWhenUsed/>
    <w:rsid w:val="00FA6A77"/>
    <w:pPr>
      <w:spacing w:after="0" w:line="240" w:lineRule="auto"/>
    </w:pPr>
    <w:rPr>
      <w:rFonts w:ascii="Arial Narrow" w:eastAsia="Times New Roman" w:hAnsi="Arial Narrow" w:cs="Arial"/>
      <w:color w:val="000080"/>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cBorders>
        <w:shd w:val="solid" w:color="000080" w:fill="FFFFFF"/>
      </w:tcPr>
    </w:tblStylePr>
    <w:tblStylePr w:type="lastRow">
      <w:rPr>
        <w:color w:val="000080"/>
      </w:rPr>
      <w:tblPr/>
      <w:tcPr>
        <w:tcBorders>
          <w:top w:val="single" w:sz="12" w:space="0" w:color="000000"/>
        </w:tcBorders>
        <w:shd w:val="solid" w:color="FFFFFF" w:fill="FFFFFF"/>
      </w:tcPr>
    </w:tblStylePr>
    <w:tblStylePr w:type="firstCol">
      <w:rPr>
        <w:b/>
        <w:bCs/>
        <w:color w:val="000000"/>
      </w:rPr>
    </w:tblStylePr>
  </w:style>
  <w:style w:type="table" w:styleId="TableClassic4">
    <w:name w:val="Table Classic 4"/>
    <w:basedOn w:val="TableNormal"/>
    <w:semiHidden/>
    <w:unhideWhenUsed/>
    <w:rsid w:val="00FA6A77"/>
    <w:pPr>
      <w:spacing w:after="0" w:line="240" w:lineRule="auto"/>
    </w:pPr>
    <w:rPr>
      <w:rFonts w:ascii="Arial Narrow" w:eastAsia="Times New Roman" w:hAnsi="Arial Narrow" w:cs="Arial"/>
    </w:rPr>
    <w:tblPr>
      <w:tblInd w:w="0" w:type="nil"/>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cBorders>
        <w:shd w:val="pct50" w:color="000080" w:fill="FFFFFF"/>
      </w:tcPr>
    </w:tblStylePr>
    <w:tblStylePr w:type="lastRow">
      <w:rPr>
        <w:color w:val="000080"/>
      </w:rPr>
      <w:tblPr/>
      <w:tcPr>
        <w:tcBorders>
          <w:bottom w:val="single" w:sz="6" w:space="0" w:color="000000"/>
        </w:tcBorders>
        <w:shd w:val="pct50" w:color="000000" w:fill="FFFFFF"/>
      </w:tcPr>
    </w:tblStylePr>
    <w:tblStylePr w:type="firstCol">
      <w:rPr>
        <w:b/>
        <w:bCs/>
      </w:rPr>
    </w:tblStylePr>
    <w:tblStylePr w:type="nwCell">
      <w:rPr>
        <w:b/>
        <w:bCs/>
      </w:rPr>
    </w:tblStylePr>
    <w:tblStylePr w:type="swCell">
      <w:rPr>
        <w:color w:val="000080"/>
      </w:rPr>
    </w:tblStylePr>
  </w:style>
  <w:style w:type="table" w:styleId="TableColorful1">
    <w:name w:val="Table Colorful 1"/>
    <w:basedOn w:val="TableNormal"/>
    <w:semiHidden/>
    <w:unhideWhenUsed/>
    <w:rsid w:val="00FA6A77"/>
    <w:pPr>
      <w:spacing w:after="0" w:line="240" w:lineRule="auto"/>
    </w:pPr>
    <w:rPr>
      <w:rFonts w:ascii="Arial Narrow" w:eastAsia="Times New Roman" w:hAnsi="Arial Narrow" w:cs="Arial"/>
      <w:color w:val="FFFFFF"/>
    </w:rPr>
    <w:tblPr>
      <w:tblInd w:w="0" w:type="nil"/>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shd w:val="solid" w:color="000000" w:fill="FFFFFF"/>
      </w:tcPr>
    </w:tblStylePr>
    <w:tblStylePr w:type="firstCol">
      <w:rPr>
        <w:b/>
        <w:bCs/>
        <w:i/>
        <w:iCs/>
      </w:rPr>
      <w:tblPr/>
      <w:tcPr>
        <w:shd w:val="solid" w:color="000080" w:fill="FFFFFF"/>
      </w:tcPr>
    </w:tblStylePr>
    <w:tblStylePr w:type="nwCell">
      <w:tblPr/>
      <w:tcPr>
        <w:shd w:val="solid" w:color="000000" w:fill="FFFFFF"/>
      </w:tcPr>
    </w:tblStylePr>
    <w:tblStylePr w:type="swCell">
      <w:rPr>
        <w:b/>
        <w:bCs/>
        <w:i w:val="0"/>
        <w:iCs w:val="0"/>
      </w:rPr>
    </w:tblStylePr>
  </w:style>
  <w:style w:type="table" w:styleId="TableColorful2">
    <w:name w:val="Table Colorful 2"/>
    <w:basedOn w:val="TableNormal"/>
    <w:semiHidden/>
    <w:unhideWhenUsed/>
    <w:rsid w:val="00FA6A77"/>
    <w:pPr>
      <w:spacing w:after="0" w:line="240" w:lineRule="auto"/>
    </w:pPr>
    <w:rPr>
      <w:rFonts w:ascii="Arial Narrow" w:eastAsia="Times New Roman" w:hAnsi="Arial Narrow" w:cs="Arial"/>
    </w:rPr>
    <w:tblPr>
      <w:tblInd w:w="0" w:type="nil"/>
      <w:tblBorders>
        <w:bottom w:val="single" w:sz="12" w:space="0" w:color="000000"/>
      </w:tblBorders>
    </w:tblPr>
    <w:tcPr>
      <w:shd w:val="pct20" w:color="FFFF00" w:fill="FFFFFF"/>
    </w:tcPr>
    <w:tblStylePr w:type="firstRow">
      <w:rPr>
        <w:b/>
        <w:bCs/>
        <w:i/>
        <w:iCs/>
        <w:color w:val="FFFFFF"/>
      </w:rPr>
      <w:tblPr/>
      <w:tcPr>
        <w:tcBorders>
          <w:bottom w:val="single" w:sz="12" w:space="0" w:color="000000"/>
        </w:tcBorders>
        <w:shd w:val="solid" w:color="800000" w:fill="FFFFFF"/>
      </w:tcPr>
    </w:tblStylePr>
    <w:tblStylePr w:type="firstCol">
      <w:rPr>
        <w:b/>
        <w:bCs/>
        <w:i/>
        <w:iCs/>
      </w:rPr>
    </w:tblStylePr>
    <w:tblStylePr w:type="lastCol">
      <w:tblPr/>
      <w:tcPr>
        <w:shd w:val="solid" w:color="C0C0C0" w:fill="FFFFFF"/>
      </w:tcPr>
    </w:tblStylePr>
    <w:tblStylePr w:type="swCell">
      <w:rPr>
        <w:b/>
        <w:bCs/>
        <w:i w:val="0"/>
        <w:iCs w:val="0"/>
      </w:rPr>
    </w:tblStylePr>
  </w:style>
  <w:style w:type="table" w:styleId="TableColorful3">
    <w:name w:val="Table Colorful 3"/>
    <w:basedOn w:val="TableNormal"/>
    <w:semiHidden/>
    <w:unhideWhenUsed/>
    <w:rsid w:val="00FA6A77"/>
    <w:pPr>
      <w:spacing w:after="0" w:line="240" w:lineRule="auto"/>
    </w:pPr>
    <w:rPr>
      <w:rFonts w:ascii="Arial Narrow" w:eastAsia="Times New Roman" w:hAnsi="Arial Narrow" w:cs="Arial"/>
    </w:rPr>
    <w:tblPr>
      <w:tblInd w:w="0" w:type="nil"/>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cBorders>
        <w:shd w:val="solid" w:color="008080" w:fill="FFFFFF"/>
      </w:tcPr>
    </w:tblStylePr>
    <w:tblStylePr w:type="firstCol">
      <w:tblPr/>
      <w:tcPr>
        <w:tcBorders>
          <w:left w:val="single" w:sz="36" w:space="0" w:color="000000"/>
          <w:right w:val="single" w:sz="6" w:space="0" w:color="000000"/>
        </w:tcBorders>
        <w:shd w:val="solid" w:color="008080" w:fill="FFFFFF"/>
      </w:tcPr>
    </w:tblStylePr>
    <w:tblStylePr w:type="nwCell">
      <w:rPr>
        <w:b/>
        <w:bCs/>
        <w:color w:val="FFFFFF"/>
      </w:rPr>
      <w:tblPr/>
      <w:tcPr>
        <w:shd w:val="solid" w:color="000000" w:fill="FFFFFF"/>
      </w:tcPr>
    </w:tblStylePr>
  </w:style>
  <w:style w:type="table" w:styleId="TableColumns1">
    <w:name w:val="Table Columns 1"/>
    <w:basedOn w:val="TableNormal"/>
    <w:semiHidden/>
    <w:unhideWhenUsed/>
    <w:rsid w:val="00FA6A77"/>
    <w:pPr>
      <w:spacing w:after="0" w:line="240" w:lineRule="auto"/>
    </w:pPr>
    <w:rPr>
      <w:rFonts w:ascii="Arial Narrow" w:eastAsia="Times New Roman" w:hAnsi="Arial Narrow" w:cs="Arial"/>
      <w:b/>
      <w:bCs/>
    </w:rPr>
    <w:tblPr>
      <w:tblStyleColBandSize w:val="1"/>
      <w:tblInd w:w="0" w:type="nil"/>
      <w:tblBorders>
        <w:top w:val="single" w:sz="12" w:space="0" w:color="000000"/>
        <w:left w:val="single" w:sz="12" w:space="0" w:color="000000"/>
        <w:bottom w:val="single" w:sz="12" w:space="0" w:color="000000"/>
        <w:right w:val="single" w:sz="12" w:space="0" w:color="000000"/>
      </w:tblBorders>
    </w:tblPr>
    <w:tcPr>
      <w:shd w:val="pct25" w:color="000000" w:fill="FFFFFF"/>
    </w:tcPr>
    <w:tblStylePr w:type="firstRow">
      <w:rPr>
        <w:b w:val="0"/>
        <w:bCs w:val="0"/>
      </w:rPr>
      <w:tblPr/>
      <w:tcPr>
        <w:tcBorders>
          <w:bottom w:val="double" w:sz="6" w:space="0" w:color="000000"/>
        </w:tcBorders>
      </w:tcPr>
    </w:tblStylePr>
    <w:tblStylePr w:type="lastRow">
      <w:rPr>
        <w:b w:val="0"/>
        <w:bCs w:val="0"/>
      </w:rPr>
    </w:tblStylePr>
    <w:tblStylePr w:type="firstCol">
      <w:rPr>
        <w:b w:val="0"/>
        <w:bCs w:val="0"/>
      </w:rPr>
    </w:tblStylePr>
    <w:tblStylePr w:type="lastCol">
      <w:rPr>
        <w:b w:val="0"/>
        <w:bCs w:val="0"/>
      </w:rPr>
    </w:tblStylePr>
    <w:tblStylePr w:type="band2Vert">
      <w:rPr>
        <w:color w:val="auto"/>
      </w:rPr>
      <w:tblPr/>
      <w:tcPr>
        <w:shd w:val="pct25" w:color="FFFF00" w:fill="FFFFFF"/>
      </w:tcPr>
    </w:tblStylePr>
    <w:tblStylePr w:type="neCell">
      <w:rPr>
        <w:b/>
        <w:bCs/>
      </w:rPr>
    </w:tblStylePr>
    <w:tblStylePr w:type="swCell">
      <w:rPr>
        <w:b/>
        <w:bCs/>
      </w:rPr>
    </w:tblStylePr>
  </w:style>
  <w:style w:type="table" w:styleId="TableColumns2">
    <w:name w:val="Table Columns 2"/>
    <w:basedOn w:val="TableNormal"/>
    <w:semiHidden/>
    <w:unhideWhenUsed/>
    <w:rsid w:val="00FA6A77"/>
    <w:pPr>
      <w:spacing w:after="0" w:line="240" w:lineRule="auto"/>
    </w:pPr>
    <w:rPr>
      <w:rFonts w:ascii="Arial Narrow" w:eastAsia="Times New Roman" w:hAnsi="Arial Narrow" w:cs="Arial"/>
      <w:b/>
      <w:bCs/>
    </w:rPr>
    <w:tblPr>
      <w:tblStyleColBandSize w:val="1"/>
      <w:tblInd w:w="0" w:type="nil"/>
    </w:tblPr>
    <w:tcPr>
      <w:shd w:val="pct30" w:color="000000" w:fill="FFFFFF"/>
    </w:tcPr>
    <w:tblStylePr w:type="firstRow">
      <w:rPr>
        <w:color w:val="FFFFFF"/>
      </w:rPr>
      <w:tblPr/>
      <w:tcPr>
        <w:shd w:val="solid" w:color="000080" w:fill="FFFFFF"/>
      </w:tcPr>
    </w:tblStylePr>
    <w:tblStylePr w:type="lastRow">
      <w:rPr>
        <w:b w:val="0"/>
        <w:bCs w:val="0"/>
      </w:rPr>
    </w:tblStylePr>
    <w:tblStylePr w:type="firstCol">
      <w:rPr>
        <w:b w:val="0"/>
        <w:bCs w:val="0"/>
        <w:color w:val="000000"/>
      </w:rPr>
    </w:tblStylePr>
    <w:tblStylePr w:type="lastCol">
      <w:rPr>
        <w:b w:val="0"/>
        <w:bCs w:val="0"/>
      </w:rPr>
    </w:tblStylePr>
    <w:tblStylePr w:type="band2Vert">
      <w:rPr>
        <w:color w:val="auto"/>
      </w:rPr>
      <w:tblPr/>
      <w:tcPr>
        <w:shd w:val="pct25" w:color="00FF00" w:fill="FFFFFF"/>
      </w:tcPr>
    </w:tblStylePr>
    <w:tblStylePr w:type="neCell">
      <w:rPr>
        <w:b/>
        <w:bCs/>
      </w:rPr>
    </w:tblStylePr>
    <w:tblStylePr w:type="swCell">
      <w:rPr>
        <w:b/>
        <w:bCs/>
      </w:rPr>
    </w:tblStylePr>
  </w:style>
  <w:style w:type="table" w:styleId="TableColumns3">
    <w:name w:val="Table Columns 3"/>
    <w:basedOn w:val="TableNormal"/>
    <w:semiHidden/>
    <w:unhideWhenUsed/>
    <w:rsid w:val="00FA6A77"/>
    <w:pPr>
      <w:spacing w:after="0" w:line="240" w:lineRule="auto"/>
    </w:pPr>
    <w:rPr>
      <w:rFonts w:ascii="Arial Narrow" w:eastAsia="Times New Roman" w:hAnsi="Arial Narrow" w:cs="Arial"/>
      <w:b/>
      <w:bCs/>
    </w:rPr>
    <w:tblPr>
      <w:tblStyleColBandSize w:val="1"/>
      <w:tblInd w:w="0" w:type="nil"/>
      <w:tblBorders>
        <w:top w:val="single" w:sz="6" w:space="0" w:color="000080"/>
        <w:left w:val="single" w:sz="6" w:space="0" w:color="000080"/>
        <w:bottom w:val="single" w:sz="6" w:space="0" w:color="000080"/>
        <w:right w:val="single" w:sz="6" w:space="0" w:color="000080"/>
        <w:insideV w:val="single" w:sz="6" w:space="0" w:color="000080"/>
      </w:tblBorders>
    </w:tblPr>
    <w:tcPr>
      <w:shd w:val="solid" w:color="C0C0C0" w:fill="FFFFFF"/>
    </w:tcPr>
    <w:tblStylePr w:type="firstRow">
      <w:rPr>
        <w:color w:val="FFFFFF"/>
      </w:rPr>
      <w:tblPr/>
      <w:tcPr>
        <w:shd w:val="solid" w:color="000080" w:fill="FFFFFF"/>
      </w:tcPr>
    </w:tblStylePr>
    <w:tblStylePr w:type="lastRow">
      <w:rPr>
        <w:b w:val="0"/>
        <w:bCs w:val="0"/>
      </w:rPr>
      <w:tblPr/>
      <w:tcPr>
        <w:tcBorders>
          <w:top w:val="single" w:sz="6" w:space="0" w:color="000080"/>
        </w:tcBorders>
      </w:tcPr>
    </w:tblStylePr>
    <w:tblStylePr w:type="firstCol">
      <w:rPr>
        <w:b w:val="0"/>
        <w:bCs w:val="0"/>
      </w:rPr>
    </w:tblStylePr>
    <w:tblStylePr w:type="lastCol">
      <w:rPr>
        <w:b w:val="0"/>
        <w:bCs w:val="0"/>
      </w:rPr>
    </w:tblStylePr>
    <w:tblStylePr w:type="band2Vert">
      <w:rPr>
        <w:color w:val="auto"/>
      </w:rPr>
      <w:tblPr/>
      <w:tcPr>
        <w:shd w:val="pct10" w:color="000000" w:fill="FFFFFF"/>
      </w:tcPr>
    </w:tblStylePr>
    <w:tblStylePr w:type="neCell">
      <w:rPr>
        <w:b/>
        <w:bCs/>
      </w:rPr>
    </w:tblStylePr>
  </w:style>
  <w:style w:type="table" w:styleId="TableColumns4">
    <w:name w:val="Table Columns 4"/>
    <w:basedOn w:val="TableNormal"/>
    <w:semiHidden/>
    <w:unhideWhenUsed/>
    <w:rsid w:val="00FA6A77"/>
    <w:pPr>
      <w:spacing w:after="0" w:line="240" w:lineRule="auto"/>
    </w:pPr>
    <w:rPr>
      <w:rFonts w:ascii="Arial Narrow" w:eastAsia="Times New Roman" w:hAnsi="Arial Narrow" w:cs="Arial"/>
    </w:rPr>
    <w:tblPr>
      <w:tblStyleColBandSize w:val="1"/>
      <w:tblInd w:w="0" w:type="nil"/>
    </w:tblPr>
    <w:tcPr>
      <w:shd w:val="pct50" w:color="008080" w:fill="FFFFFF"/>
    </w:tcPr>
    <w:tblStylePr w:type="firstRow">
      <w:rPr>
        <w:color w:val="FFFFFF"/>
      </w:rPr>
      <w:tblPr/>
      <w:tcPr>
        <w:shd w:val="solid" w:color="000000" w:fill="FFFFFF"/>
      </w:tcPr>
    </w:tblStylePr>
    <w:tblStylePr w:type="lastRow">
      <w:rPr>
        <w:b/>
        <w:bCs/>
      </w:rPr>
    </w:tblStylePr>
    <w:tblStylePr w:type="lastCol">
      <w:rPr>
        <w:b/>
        <w:bCs/>
      </w:rPr>
    </w:tblStylePr>
    <w:tblStylePr w:type="band2Vert">
      <w:rPr>
        <w:color w:val="auto"/>
      </w:rPr>
      <w:tblPr/>
      <w:tcPr>
        <w:shd w:val="pct10" w:color="000000" w:fill="FFFFFF"/>
      </w:tcPr>
    </w:tblStylePr>
  </w:style>
  <w:style w:type="table" w:styleId="TableColumns5">
    <w:name w:val="Table Columns 5"/>
    <w:basedOn w:val="TableNormal"/>
    <w:semiHidden/>
    <w:unhideWhenUsed/>
    <w:rsid w:val="00FA6A77"/>
    <w:pPr>
      <w:spacing w:after="0" w:line="240" w:lineRule="auto"/>
    </w:pPr>
    <w:rPr>
      <w:rFonts w:ascii="Arial Narrow" w:eastAsia="Times New Roman" w:hAnsi="Arial Narrow" w:cs="Arial"/>
    </w:rPr>
    <w:tblPr>
      <w:tblStyleColBandSize w:val="1"/>
      <w:tblInd w:w="0" w:type="nil"/>
      <w:tblBorders>
        <w:top w:val="single" w:sz="12" w:space="0" w:color="808080"/>
        <w:left w:val="single" w:sz="12" w:space="0" w:color="808080"/>
        <w:bottom w:val="single" w:sz="12" w:space="0" w:color="808080"/>
        <w:right w:val="single" w:sz="12" w:space="0" w:color="808080"/>
        <w:insideV w:val="single" w:sz="6" w:space="0" w:color="C0C0C0"/>
      </w:tblBorders>
    </w:tblPr>
    <w:tcPr>
      <w:shd w:val="solid" w:color="C0C0C0" w:fill="FFFFFF"/>
    </w:tcPr>
    <w:tblStylePr w:type="firstRow">
      <w:rPr>
        <w:b/>
        <w:bCs/>
        <w:i/>
        <w:iCs/>
      </w:rPr>
      <w:tblPr/>
      <w:tcPr>
        <w:tcBorders>
          <w:bottom w:val="single" w:sz="6" w:space="0" w:color="808080"/>
        </w:tcBorders>
      </w:tcPr>
    </w:tblStylePr>
    <w:tblStylePr w:type="lastRow">
      <w:rPr>
        <w:b/>
        <w:bCs/>
      </w:rPr>
      <w:tblPr/>
      <w:tcPr>
        <w:tcBorders>
          <w:top w:val="single" w:sz="6" w:space="0" w:color="808080"/>
        </w:tcBorders>
      </w:tcPr>
    </w:tblStylePr>
    <w:tblStylePr w:type="firstCol">
      <w:rPr>
        <w:b/>
        <w:bCs/>
      </w:rPr>
    </w:tblStylePr>
    <w:tblStylePr w:type="lastCol">
      <w:rPr>
        <w:b/>
        <w:bCs/>
      </w:rPr>
    </w:tblStylePr>
    <w:tblStylePr w:type="band2Vert">
      <w:rPr>
        <w:color w:val="auto"/>
      </w:rPr>
    </w:tblStylePr>
  </w:style>
  <w:style w:type="table" w:styleId="TableGrid1">
    <w:name w:val="Table Grid 1"/>
    <w:basedOn w:val="TableNormal"/>
    <w:semiHidden/>
    <w:unhideWhenUsed/>
    <w:rsid w:val="00FA6A77"/>
    <w:pPr>
      <w:spacing w:after="0" w:line="240" w:lineRule="auto"/>
    </w:pPr>
    <w:rPr>
      <w:rFonts w:ascii="Arial Narrow" w:eastAsia="Times New Roman" w:hAnsi="Arial Narrow" w:cs="Arial"/>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StylePr>
    <w:tblStylePr w:type="lastCol">
      <w:rPr>
        <w:i/>
        <w:iCs/>
      </w:rPr>
    </w:tblStylePr>
  </w:style>
  <w:style w:type="table" w:styleId="TableGrid2">
    <w:name w:val="Table Grid 2"/>
    <w:basedOn w:val="TableNormal"/>
    <w:semiHidden/>
    <w:unhideWhenUsed/>
    <w:rsid w:val="00FA6A77"/>
    <w:pPr>
      <w:spacing w:after="0" w:line="240" w:lineRule="auto"/>
    </w:pPr>
    <w:rPr>
      <w:rFonts w:ascii="Arial Narrow" w:eastAsia="Times New Roman" w:hAnsi="Arial Narrow" w:cs="Arial"/>
    </w:rPr>
    <w:tblPr>
      <w:tblInd w:w="0" w:type="nil"/>
      <w:tblBorders>
        <w:insideH w:val="single" w:sz="6" w:space="0" w:color="000000"/>
        <w:insideV w:val="single" w:sz="6" w:space="0" w:color="000000"/>
      </w:tblBorders>
    </w:tblPr>
    <w:tblStylePr w:type="firstRow">
      <w:rPr>
        <w:b/>
        <w:bCs/>
      </w:rPr>
    </w:tblStylePr>
    <w:tblStylePr w:type="lastRow">
      <w:rPr>
        <w:b/>
        <w:bCs/>
      </w:rPr>
      <w:tblPr/>
      <w:tcPr>
        <w:tcBorders>
          <w:top w:val="single" w:sz="6" w:space="0" w:color="000000"/>
        </w:tcBorders>
      </w:tcPr>
    </w:tblStylePr>
    <w:tblStylePr w:type="firstCol">
      <w:rPr>
        <w:b/>
        <w:bCs/>
      </w:rPr>
    </w:tblStylePr>
    <w:tblStylePr w:type="lastCol">
      <w:rPr>
        <w:b/>
        <w:bCs/>
      </w:rPr>
    </w:tblStylePr>
  </w:style>
  <w:style w:type="table" w:styleId="TableGrid3">
    <w:name w:val="Table Grid 3"/>
    <w:basedOn w:val="TableNormal"/>
    <w:semiHidden/>
    <w:unhideWhenUsed/>
    <w:rsid w:val="00FA6A77"/>
    <w:pPr>
      <w:spacing w:after="0" w:line="240" w:lineRule="auto"/>
    </w:pPr>
    <w:rPr>
      <w:rFonts w:ascii="Arial Narrow" w:eastAsia="Times New Roman" w:hAnsi="Arial Narrow" w:cs="Arial"/>
    </w:rPr>
    <w:tblPr>
      <w:tblInd w:w="0" w:type="nil"/>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tblPr/>
      <w:tcPr>
        <w:tcBorders>
          <w:bottom w:val="single" w:sz="6" w:space="0" w:color="000000"/>
        </w:tcBorders>
        <w:shd w:val="pct30" w:color="FFFF00" w:fill="FFFFFF"/>
      </w:tcPr>
    </w:tblStylePr>
    <w:tblStylePr w:type="lastRow">
      <w:rPr>
        <w:b/>
        <w:bCs/>
      </w:rPr>
    </w:tblStylePr>
    <w:tblStylePr w:type="lastCol">
      <w:rPr>
        <w:b/>
        <w:bCs/>
      </w:rPr>
    </w:tblStylePr>
  </w:style>
  <w:style w:type="table" w:styleId="TableGrid4">
    <w:name w:val="Table Grid 4"/>
    <w:basedOn w:val="TableNormal"/>
    <w:semiHidden/>
    <w:unhideWhenUsed/>
    <w:rsid w:val="00FA6A77"/>
    <w:pPr>
      <w:spacing w:after="0" w:line="240" w:lineRule="auto"/>
    </w:pPr>
    <w:rPr>
      <w:rFonts w:ascii="Arial Narrow" w:eastAsia="Times New Roman" w:hAnsi="Arial Narrow" w:cs="Arial"/>
    </w:rPr>
    <w:tblPr>
      <w:tblInd w:w="0" w:type="nil"/>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cBorders>
        <w:shd w:val="pct30" w:color="FFFF00" w:fill="FFFFFF"/>
      </w:tcPr>
    </w:tblStylePr>
    <w:tblStylePr w:type="lastRow">
      <w:rPr>
        <w:b/>
        <w:bCs/>
        <w:color w:val="auto"/>
      </w:rPr>
      <w:tblPr/>
      <w:tcPr>
        <w:tcBorders>
          <w:top w:val="single" w:sz="6" w:space="0" w:color="000000"/>
        </w:tcBorders>
        <w:shd w:val="pct30" w:color="FFFF00" w:fill="FFFFFF"/>
      </w:tcPr>
    </w:tblStylePr>
    <w:tblStylePr w:type="lastCol">
      <w:rPr>
        <w:b/>
        <w:bCs/>
        <w:color w:val="auto"/>
      </w:rPr>
    </w:tblStylePr>
  </w:style>
  <w:style w:type="table" w:styleId="TableGrid5">
    <w:name w:val="Table Grid 5"/>
    <w:basedOn w:val="TableNormal"/>
    <w:semiHidden/>
    <w:unhideWhenUsed/>
    <w:rsid w:val="00FA6A77"/>
    <w:pPr>
      <w:spacing w:after="0" w:line="240" w:lineRule="auto"/>
    </w:pPr>
    <w:rPr>
      <w:rFonts w:ascii="Arial Narrow" w:eastAsia="Times New Roman" w:hAnsi="Arial Narrow" w:cs="Arial"/>
    </w:rPr>
    <w:tblPr>
      <w:tblInd w:w="0" w:type="nil"/>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cBorders>
      </w:tcPr>
    </w:tblStylePr>
    <w:tblStylePr w:type="lastRow">
      <w:rPr>
        <w:b/>
        <w:bCs/>
      </w:rPr>
    </w:tblStylePr>
    <w:tblStylePr w:type="lastCol">
      <w:rPr>
        <w:b/>
        <w:bCs/>
      </w:rPr>
    </w:tblStylePr>
    <w:tblStylePr w:type="nwCell">
      <w:tblPr/>
      <w:tcPr>
        <w:tcBorders>
          <w:tl2br w:val="single" w:sz="6" w:space="0" w:color="000000"/>
        </w:tcBorders>
      </w:tcPr>
    </w:tblStylePr>
  </w:style>
  <w:style w:type="table" w:styleId="TableGrid6">
    <w:name w:val="Table Grid 6"/>
    <w:basedOn w:val="TableNormal"/>
    <w:semiHidden/>
    <w:unhideWhenUsed/>
    <w:rsid w:val="00FA6A77"/>
    <w:pPr>
      <w:spacing w:after="0" w:line="240" w:lineRule="auto"/>
    </w:pPr>
    <w:rPr>
      <w:rFonts w:ascii="Arial Narrow" w:eastAsia="Times New Roman" w:hAnsi="Arial Narrow" w:cs="Arial"/>
    </w:rPr>
    <w:tblPr>
      <w:tblInd w:w="0" w:type="nil"/>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cBorders>
      </w:tcPr>
    </w:tblStylePr>
    <w:tblStylePr w:type="lastRow">
      <w:rPr>
        <w:color w:val="auto"/>
      </w:rPr>
      <w:tblPr/>
      <w:tcPr>
        <w:tcBorders>
          <w:top w:val="single" w:sz="6" w:space="0" w:color="000000"/>
        </w:tcBorders>
      </w:tcPr>
    </w:tblStylePr>
    <w:tblStylePr w:type="firstCol">
      <w:rPr>
        <w:b/>
        <w:bCs/>
      </w:rPr>
    </w:tblStylePr>
    <w:tblStylePr w:type="nwCell">
      <w:tblPr/>
      <w:tcPr>
        <w:tcBorders>
          <w:tl2br w:val="single" w:sz="6" w:space="0" w:color="000000"/>
        </w:tcBorders>
      </w:tcPr>
    </w:tblStylePr>
  </w:style>
  <w:style w:type="table" w:styleId="TableGrid7">
    <w:name w:val="Table Grid 7"/>
    <w:basedOn w:val="TableNormal"/>
    <w:semiHidden/>
    <w:unhideWhenUsed/>
    <w:rsid w:val="00FA6A77"/>
    <w:pPr>
      <w:spacing w:after="0" w:line="240" w:lineRule="auto"/>
    </w:pPr>
    <w:rPr>
      <w:rFonts w:ascii="Arial Narrow" w:eastAsia="Times New Roman" w:hAnsi="Arial Narrow" w:cs="Arial"/>
      <w:b/>
      <w:bCs/>
    </w:rPr>
    <w:tblPr>
      <w:tblInd w:w="0" w:type="nil"/>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b w:val="0"/>
        <w:bCs w:val="0"/>
      </w:rPr>
      <w:tblPr/>
      <w:tcPr>
        <w:tcBorders>
          <w:bottom w:val="single" w:sz="12" w:space="0" w:color="000000"/>
        </w:tcBorders>
      </w:tcPr>
    </w:tblStylePr>
    <w:tblStylePr w:type="lastRow">
      <w:rPr>
        <w:b w:val="0"/>
        <w:bCs w:val="0"/>
      </w:rPr>
      <w:tblPr/>
      <w:tcPr>
        <w:tcBorders>
          <w:top w:val="single" w:sz="6" w:space="0" w:color="000000"/>
        </w:tcBorders>
      </w:tcPr>
    </w:tblStylePr>
    <w:tblStylePr w:type="firstCol">
      <w:rPr>
        <w:b w:val="0"/>
        <w:bCs w:val="0"/>
      </w:rPr>
    </w:tblStylePr>
    <w:tblStylePr w:type="lastCol">
      <w:rPr>
        <w:b w:val="0"/>
        <w:bCs w:val="0"/>
      </w:rPr>
    </w:tblStylePr>
    <w:tblStylePr w:type="nwCell">
      <w:tblPr/>
      <w:tcPr>
        <w:tcBorders>
          <w:tl2br w:val="single" w:sz="6" w:space="0" w:color="000000"/>
        </w:tcBorders>
      </w:tcPr>
    </w:tblStylePr>
  </w:style>
  <w:style w:type="table" w:styleId="TableGrid8">
    <w:name w:val="Table Grid 8"/>
    <w:basedOn w:val="TableNormal"/>
    <w:semiHidden/>
    <w:unhideWhenUsed/>
    <w:rsid w:val="00FA6A77"/>
    <w:pPr>
      <w:spacing w:after="0" w:line="240" w:lineRule="auto"/>
    </w:pPr>
    <w:rPr>
      <w:rFonts w:ascii="Arial Narrow" w:eastAsia="Times New Roman" w:hAnsi="Arial Narrow" w:cs="Arial"/>
    </w:rPr>
    <w:tblPr>
      <w:tblInd w:w="0" w:type="nil"/>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shd w:val="solid" w:color="000080" w:fill="FFFFFF"/>
      </w:tcPr>
    </w:tblStylePr>
    <w:tblStylePr w:type="lastRow">
      <w:rPr>
        <w:b/>
        <w:bCs/>
        <w:color w:val="auto"/>
      </w:rPr>
    </w:tblStylePr>
    <w:tblStylePr w:type="lastCol">
      <w:rPr>
        <w:b/>
        <w:bCs/>
        <w:color w:val="auto"/>
      </w:rPr>
    </w:tblStylePr>
  </w:style>
  <w:style w:type="table" w:styleId="TableList1">
    <w:name w:val="Table List 1"/>
    <w:basedOn w:val="TableNormal"/>
    <w:semiHidden/>
    <w:unhideWhenUsed/>
    <w:rsid w:val="00FA6A77"/>
    <w:pPr>
      <w:spacing w:after="0" w:line="240" w:lineRule="auto"/>
    </w:pPr>
    <w:rPr>
      <w:rFonts w:ascii="Arial Narrow" w:eastAsia="Times New Roman" w:hAnsi="Arial Narrow" w:cs="Arial"/>
    </w:rPr>
    <w:tblPr>
      <w:tblStyleRowBandSize w:val="1"/>
      <w:tblInd w:w="0" w:type="nil"/>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cBorders>
        <w:shd w:val="solid" w:color="C0C0C0" w:fill="FFFFFF"/>
      </w:tcPr>
    </w:tblStylePr>
    <w:tblStylePr w:type="lastRow">
      <w:tblPr/>
      <w:tcPr>
        <w:tcBorders>
          <w:top w:val="single" w:sz="6" w:space="0" w:color="000000"/>
        </w:tcBorders>
      </w:tcPr>
    </w:tblStylePr>
    <w:tblStylePr w:type="band1Horz">
      <w:rPr>
        <w:color w:val="auto"/>
      </w:rPr>
      <w:tblPr/>
      <w:tcPr>
        <w:shd w:val="solid" w:color="C0C0C0" w:fill="FFFFFF"/>
      </w:tcPr>
    </w:tblStylePr>
    <w:tblStylePr w:type="band2Horz">
      <w:rPr>
        <w:color w:val="auto"/>
      </w:rPr>
    </w:tblStylePr>
    <w:tblStylePr w:type="swCell">
      <w:rPr>
        <w:b/>
        <w:bCs/>
      </w:rPr>
    </w:tblStylePr>
  </w:style>
  <w:style w:type="table" w:styleId="TableList2">
    <w:name w:val="Table List 2"/>
    <w:basedOn w:val="TableNormal"/>
    <w:semiHidden/>
    <w:unhideWhenUsed/>
    <w:rsid w:val="00FA6A77"/>
    <w:pPr>
      <w:spacing w:after="0" w:line="240" w:lineRule="auto"/>
    </w:pPr>
    <w:rPr>
      <w:rFonts w:ascii="Arial Narrow" w:eastAsia="Times New Roman" w:hAnsi="Arial Narrow" w:cs="Arial"/>
    </w:rPr>
    <w:tblPr>
      <w:tblStyleRowBandSize w:val="2"/>
      <w:tblInd w:w="0" w:type="nil"/>
      <w:tblBorders>
        <w:bottom w:val="single" w:sz="12" w:space="0" w:color="808080"/>
      </w:tblBorders>
    </w:tblPr>
    <w:tblStylePr w:type="firstRow">
      <w:rPr>
        <w:b/>
        <w:bCs/>
        <w:color w:val="FFFFFF"/>
      </w:rPr>
      <w:tblPr/>
      <w:tcPr>
        <w:tcBorders>
          <w:bottom w:val="single" w:sz="6" w:space="0" w:color="000000"/>
        </w:tcBorders>
        <w:shd w:val="pct75" w:color="008080" w:fill="008000"/>
      </w:tcPr>
    </w:tblStylePr>
    <w:tblStylePr w:type="lastRow">
      <w:tblPr/>
      <w:tcPr>
        <w:tcBorders>
          <w:top w:val="single" w:sz="6" w:space="0" w:color="000000"/>
        </w:tcBorders>
      </w:tcPr>
    </w:tblStylePr>
    <w:tblStylePr w:type="band1Horz">
      <w:rPr>
        <w:color w:val="auto"/>
      </w:rPr>
      <w:tblPr/>
      <w:tcPr>
        <w:shd w:val="pct20" w:color="00FF00" w:fill="FFFFFF"/>
      </w:tcPr>
    </w:tblStylePr>
    <w:tblStylePr w:type="band2Horz">
      <w:rPr>
        <w:color w:val="auto"/>
      </w:rPr>
    </w:tblStylePr>
    <w:tblStylePr w:type="swCell">
      <w:rPr>
        <w:b/>
        <w:bCs/>
      </w:rPr>
    </w:tblStylePr>
  </w:style>
  <w:style w:type="table" w:styleId="TableList3">
    <w:name w:val="Table List 3"/>
    <w:basedOn w:val="TableNormal"/>
    <w:semiHidden/>
    <w:unhideWhenUsed/>
    <w:rsid w:val="00FA6A77"/>
    <w:pPr>
      <w:spacing w:after="0" w:line="240" w:lineRule="auto"/>
    </w:pPr>
    <w:rPr>
      <w:rFonts w:ascii="Arial Narrow" w:eastAsia="Times New Roman" w:hAnsi="Arial Narrow" w:cs="Arial"/>
    </w:rPr>
    <w:tblPr>
      <w:tblInd w:w="0" w:type="nil"/>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cBorders>
      </w:tcPr>
    </w:tblStylePr>
    <w:tblStylePr w:type="lastRow">
      <w:tblPr/>
      <w:tcPr>
        <w:tcBorders>
          <w:top w:val="single" w:sz="12" w:space="0" w:color="000000"/>
        </w:tcBorders>
      </w:tcPr>
    </w:tblStylePr>
    <w:tblStylePr w:type="swCell">
      <w:rPr>
        <w:i/>
        <w:iCs/>
        <w:color w:val="000080"/>
      </w:rPr>
    </w:tblStylePr>
  </w:style>
  <w:style w:type="table" w:styleId="TableList4">
    <w:name w:val="Table List 4"/>
    <w:basedOn w:val="TableNormal"/>
    <w:semiHidden/>
    <w:unhideWhenUsed/>
    <w:rsid w:val="00FA6A77"/>
    <w:pPr>
      <w:spacing w:after="0" w:line="240" w:lineRule="auto"/>
    </w:pPr>
    <w:rPr>
      <w:rFonts w:ascii="Arial Narrow" w:eastAsia="Times New Roman" w:hAnsi="Arial Narrow" w:cs="Arial"/>
    </w:rPr>
    <w:tblPr>
      <w:tblInd w:w="0" w:type="nil"/>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cBorders>
        <w:shd w:val="solid" w:color="808080" w:fill="FFFFFF"/>
      </w:tcPr>
    </w:tblStylePr>
  </w:style>
  <w:style w:type="table" w:styleId="TableList5">
    <w:name w:val="Table List 5"/>
    <w:basedOn w:val="TableNormal"/>
    <w:semiHidden/>
    <w:unhideWhenUsed/>
    <w:rsid w:val="00FA6A77"/>
    <w:pPr>
      <w:spacing w:after="0" w:line="240" w:lineRule="auto"/>
    </w:pPr>
    <w:rPr>
      <w:rFonts w:ascii="Arial Narrow" w:eastAsia="Times New Roman" w:hAnsi="Arial Narrow" w:cs="Arial"/>
    </w:rPr>
    <w:tblPr>
      <w:tblInd w:w="0" w:type="nil"/>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b/>
        <w:bCs/>
      </w:rPr>
      <w:tblPr/>
      <w:tcPr>
        <w:tcBorders>
          <w:bottom w:val="single" w:sz="12" w:space="0" w:color="000000"/>
        </w:tcBorders>
      </w:tcPr>
    </w:tblStylePr>
    <w:tblStylePr w:type="firstCol">
      <w:rPr>
        <w:b/>
        <w:bCs/>
      </w:rPr>
    </w:tblStylePr>
  </w:style>
  <w:style w:type="table" w:styleId="TableList6">
    <w:name w:val="Table List 6"/>
    <w:basedOn w:val="TableNormal"/>
    <w:semiHidden/>
    <w:unhideWhenUsed/>
    <w:rsid w:val="00FA6A77"/>
    <w:pPr>
      <w:spacing w:after="0" w:line="240" w:lineRule="auto"/>
    </w:pPr>
    <w:rPr>
      <w:rFonts w:ascii="Arial Narrow" w:eastAsia="Times New Roman" w:hAnsi="Arial Narrow" w:cs="Arial"/>
    </w:rPr>
    <w:tblPr>
      <w:tblStyleRowBandSize w:val="1"/>
      <w:tblInd w:w="0" w:type="nil"/>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cBorders>
      </w:tcPr>
    </w:tblStylePr>
    <w:tblStylePr w:type="firstCol">
      <w:rPr>
        <w:b/>
        <w:bCs/>
      </w:rPr>
      <w:tblPr/>
      <w:tcPr>
        <w:tcBorders>
          <w:right w:val="single" w:sz="12" w:space="0" w:color="000000"/>
        </w:tcBorders>
      </w:tcPr>
    </w:tblStylePr>
    <w:tblStylePr w:type="band1Horz">
      <w:tblPr/>
      <w:tcPr>
        <w:shd w:val="pct25" w:color="000000" w:fill="FFFFFF"/>
      </w:tcPr>
    </w:tblStylePr>
  </w:style>
  <w:style w:type="table" w:styleId="TableList7">
    <w:name w:val="Table List 7"/>
    <w:basedOn w:val="TableNormal"/>
    <w:semiHidden/>
    <w:unhideWhenUsed/>
    <w:rsid w:val="00FA6A77"/>
    <w:pPr>
      <w:spacing w:after="0" w:line="240" w:lineRule="auto"/>
    </w:pPr>
    <w:rPr>
      <w:rFonts w:ascii="Arial Narrow" w:eastAsia="Times New Roman" w:hAnsi="Arial Narrow" w:cs="Arial"/>
    </w:rPr>
    <w:tblPr>
      <w:tblStyleRowBandSize w:val="1"/>
      <w:tblInd w:w="0" w:type="nil"/>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cBorders>
        <w:shd w:val="solid" w:color="C0C0C0" w:fill="FFFFFF"/>
      </w:tcPr>
    </w:tblStylePr>
    <w:tblStylePr w:type="lastRow">
      <w:rPr>
        <w:b/>
        <w:bCs/>
      </w:rPr>
      <w:tblPr/>
      <w:tcPr>
        <w:tcBorders>
          <w:top w:val="single" w:sz="12" w:space="0" w:color="008000"/>
        </w:tcBorders>
      </w:tcPr>
    </w:tblStylePr>
    <w:tblStylePr w:type="firstCol">
      <w:rPr>
        <w:b/>
        <w:bCs/>
      </w:rPr>
    </w:tblStylePr>
    <w:tblStylePr w:type="lastCol">
      <w:rPr>
        <w:b/>
        <w:bCs/>
      </w:rPr>
    </w:tblStylePr>
    <w:tblStylePr w:type="band1Horz">
      <w:rPr>
        <w:color w:val="auto"/>
      </w:rPr>
      <w:tblPr/>
      <w:tcPr>
        <w:shd w:val="pct20" w:color="000000" w:fill="FFFFFF"/>
      </w:tcPr>
    </w:tblStylePr>
    <w:tblStylePr w:type="band2Horz">
      <w:tblPr/>
      <w:tcPr>
        <w:shd w:val="pct25" w:color="FFFF00" w:fill="FFFFFF"/>
      </w:tcPr>
    </w:tblStylePr>
  </w:style>
  <w:style w:type="table" w:styleId="TableList8">
    <w:name w:val="Table List 8"/>
    <w:basedOn w:val="TableNormal"/>
    <w:semiHidden/>
    <w:unhideWhenUsed/>
    <w:rsid w:val="00FA6A77"/>
    <w:pPr>
      <w:spacing w:after="0" w:line="240" w:lineRule="auto"/>
    </w:pPr>
    <w:rPr>
      <w:rFonts w:ascii="Arial Narrow" w:eastAsia="Times New Roman" w:hAnsi="Arial Narrow" w:cs="Arial"/>
    </w:rPr>
    <w:tblPr>
      <w:tblStyleRowBandSize w:val="1"/>
      <w:tblInd w:w="0" w:type="nil"/>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cBorders>
        <w:shd w:val="solid" w:color="FFFF00" w:fill="FFFFFF"/>
      </w:tcPr>
    </w:tblStylePr>
    <w:tblStylePr w:type="lastRow">
      <w:rPr>
        <w:b/>
        <w:bCs/>
      </w:rPr>
      <w:tblPr/>
      <w:tcPr>
        <w:tcBorders>
          <w:top w:val="single" w:sz="6" w:space="0" w:color="000000"/>
        </w:tcBorders>
      </w:tcPr>
    </w:tblStylePr>
    <w:tblStylePr w:type="firstCol">
      <w:rPr>
        <w:b/>
        <w:bCs/>
      </w:rPr>
    </w:tblStylePr>
    <w:tblStylePr w:type="lastCol">
      <w:rPr>
        <w:b/>
        <w:bCs/>
      </w:rPr>
    </w:tblStylePr>
    <w:tblStylePr w:type="band1Horz">
      <w:rPr>
        <w:color w:val="auto"/>
      </w:rPr>
      <w:tblPr/>
      <w:tcPr>
        <w:shd w:val="pct25" w:color="FFFF00" w:fill="FFFFFF"/>
      </w:tcPr>
    </w:tblStylePr>
    <w:tblStylePr w:type="band2Horz">
      <w:tblPr/>
      <w:tcPr>
        <w:shd w:val="pct50" w:color="FF0000" w:fill="FFFFFF"/>
      </w:tcPr>
    </w:tblStylePr>
  </w:style>
  <w:style w:type="table" w:styleId="Table3Deffects1">
    <w:name w:val="Table 3D effects 1"/>
    <w:basedOn w:val="TableNormal"/>
    <w:semiHidden/>
    <w:unhideWhenUsed/>
    <w:rsid w:val="00FA6A77"/>
    <w:pPr>
      <w:spacing w:after="0" w:line="240" w:lineRule="auto"/>
    </w:pPr>
    <w:rPr>
      <w:rFonts w:ascii="Arial Narrow" w:eastAsia="Times New Roman" w:hAnsi="Arial Narrow" w:cs="Arial"/>
    </w:rPr>
    <w:tblPr>
      <w:tblInd w:w="0" w:type="nil"/>
    </w:tblPr>
    <w:tcPr>
      <w:shd w:val="solid" w:color="C0C0C0" w:fill="FFFFFF"/>
    </w:tcPr>
    <w:tblStylePr w:type="firstRow">
      <w:rPr>
        <w:b/>
        <w:bCs/>
        <w:color w:val="800080"/>
      </w:rPr>
      <w:tblPr/>
      <w:tcPr>
        <w:tcBorders>
          <w:bottom w:val="single" w:sz="6" w:space="0" w:color="808080"/>
        </w:tcBorders>
      </w:tcPr>
    </w:tblStylePr>
    <w:tblStylePr w:type="lastRow">
      <w:tblPr/>
      <w:tcPr>
        <w:tcBorders>
          <w:top w:val="single" w:sz="6" w:space="0" w:color="FFFFFF"/>
        </w:tcBorders>
      </w:tcPr>
    </w:tblStylePr>
    <w:tblStylePr w:type="firstCol">
      <w:rPr>
        <w:b/>
        <w:bCs/>
      </w:rPr>
      <w:tblPr/>
      <w:tcPr>
        <w:tcBorders>
          <w:right w:val="single" w:sz="6" w:space="0" w:color="808080"/>
        </w:tcBorders>
      </w:tcPr>
    </w:tblStylePr>
    <w:tblStylePr w:type="lastCol">
      <w:tblPr/>
      <w:tcPr>
        <w:tcBorders>
          <w:left w:val="single" w:sz="6" w:space="0" w:color="FFFFFF"/>
        </w:tcBorders>
      </w:tcPr>
    </w:tblStylePr>
    <w:tblStylePr w:type="neCell">
      <w:tblPr/>
      <w:tcPr>
        <w:tcBorders>
          <w:left w:val="none" w:sz="0" w:space="0" w:color="auto"/>
          <w:bottom w:val="none" w:sz="0" w:space="0" w:color="auto"/>
        </w:tcBorders>
      </w:tcPr>
    </w:tblStylePr>
    <w:tblStylePr w:type="nwCell">
      <w:tblPr/>
      <w:tcPr>
        <w:tcBorders>
          <w:bottom w:val="none" w:sz="0" w:space="0" w:color="auto"/>
          <w:right w:val="none" w:sz="0" w:space="0" w:color="auto"/>
        </w:tcBorders>
      </w:tcPr>
    </w:tblStylePr>
    <w:tblStylePr w:type="seCell">
      <w:tblPr/>
      <w:tcPr>
        <w:tcBorders>
          <w:top w:val="none" w:sz="0" w:space="0" w:color="auto"/>
          <w:left w:val="none" w:sz="0" w:space="0" w:color="auto"/>
        </w:tcBorders>
      </w:tcPr>
    </w:tblStylePr>
    <w:tblStylePr w:type="swCell">
      <w:rPr>
        <w:color w:val="000080"/>
      </w:rPr>
      <w:tblPr/>
      <w:tcPr>
        <w:tcBorders>
          <w:top w:val="none" w:sz="0" w:space="0" w:color="auto"/>
          <w:right w:val="none" w:sz="0" w:space="0" w:color="auto"/>
        </w:tcBorders>
      </w:tcPr>
    </w:tblStylePr>
  </w:style>
  <w:style w:type="table" w:styleId="Table3Deffects2">
    <w:name w:val="Table 3D effects 2"/>
    <w:basedOn w:val="TableNormal"/>
    <w:semiHidden/>
    <w:unhideWhenUsed/>
    <w:rsid w:val="00FA6A77"/>
    <w:pPr>
      <w:spacing w:after="0" w:line="240" w:lineRule="auto"/>
    </w:pPr>
    <w:rPr>
      <w:rFonts w:ascii="Arial Narrow" w:eastAsia="Times New Roman" w:hAnsi="Arial Narrow" w:cs="Arial"/>
    </w:rPr>
    <w:tblPr>
      <w:tblStyleRowBandSize w:val="1"/>
      <w:tblInd w:w="0" w:type="nil"/>
    </w:tblPr>
    <w:tcPr>
      <w:shd w:val="solid" w:color="C0C0C0" w:fill="FFFFFF"/>
    </w:tcPr>
    <w:tblStylePr w:type="firstRow">
      <w:rPr>
        <w:b/>
        <w:bCs/>
      </w:rPr>
    </w:tblStylePr>
    <w:tblStylePr w:type="firstCol">
      <w:tblPr/>
      <w:tcPr>
        <w:tcBorders>
          <w:top w:val="none" w:sz="0" w:space="0" w:color="auto"/>
          <w:bottom w:val="none" w:sz="0" w:space="0" w:color="auto"/>
          <w:right w:val="single" w:sz="6" w:space="0" w:color="808080"/>
        </w:tcBorders>
      </w:tcPr>
    </w:tblStylePr>
    <w:tblStylePr w:type="lastCol">
      <w:tblPr/>
      <w:tcPr>
        <w:tcBorders>
          <w:right w:val="single" w:sz="6" w:space="0" w:color="FFFFFF"/>
        </w:tcBorders>
      </w:tcPr>
    </w:tblStylePr>
    <w:tblStylePr w:type="band1Horz">
      <w:tblPr/>
      <w:tcPr>
        <w:tcBorders>
          <w:top w:val="single" w:sz="6" w:space="0" w:color="808080"/>
          <w:bottom w:val="single" w:sz="6" w:space="0" w:color="FFFFFF"/>
        </w:tcBorders>
      </w:tcPr>
    </w:tblStylePr>
    <w:tblStylePr w:type="swCell">
      <w:rPr>
        <w:b/>
        <w:bCs/>
      </w:rPr>
    </w:tblStylePr>
  </w:style>
  <w:style w:type="table" w:styleId="Table3Deffects3">
    <w:name w:val="Table 3D effects 3"/>
    <w:basedOn w:val="TableNormal"/>
    <w:semiHidden/>
    <w:unhideWhenUsed/>
    <w:rsid w:val="00FA6A77"/>
    <w:pPr>
      <w:spacing w:after="0" w:line="240" w:lineRule="auto"/>
    </w:pPr>
    <w:rPr>
      <w:rFonts w:ascii="Arial Narrow" w:eastAsia="Times New Roman" w:hAnsi="Arial Narrow" w:cs="Arial"/>
    </w:rPr>
    <w:tblPr>
      <w:tblStyleRowBandSize w:val="1"/>
      <w:tblStyleColBandSize w:val="1"/>
      <w:tblInd w:w="0" w:type="nil"/>
    </w:tblPr>
    <w:tcPr>
      <w:shd w:val="solid" w:color="C0C0C0" w:fill="FFFFFF"/>
    </w:tcPr>
    <w:tblStylePr w:type="firstRow">
      <w:rPr>
        <w:b/>
        <w:bCs/>
      </w:rPr>
    </w:tblStylePr>
    <w:tblStylePr w:type="firstCol">
      <w:tblPr/>
      <w:tcPr>
        <w:tcBorders>
          <w:top w:val="none" w:sz="0" w:space="0" w:color="auto"/>
          <w:bottom w:val="none" w:sz="0" w:space="0" w:color="auto"/>
          <w:right w:val="single" w:sz="6" w:space="0" w:color="808080"/>
        </w:tcBorders>
      </w:tcPr>
    </w:tblStylePr>
    <w:tblStylePr w:type="lastCol">
      <w:tblPr/>
      <w:tcPr>
        <w:tcBorders>
          <w:right w:val="single" w:sz="6" w:space="0" w:color="FFFFFF"/>
        </w:tcBorders>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cBorders>
      </w:tcPr>
    </w:tblStylePr>
    <w:tblStylePr w:type="swCell">
      <w:rPr>
        <w:b/>
        <w:bCs/>
      </w:rPr>
    </w:tblStylePr>
  </w:style>
  <w:style w:type="table" w:styleId="TableContemporary">
    <w:name w:val="Table Contemporary"/>
    <w:basedOn w:val="TableNormal"/>
    <w:semiHidden/>
    <w:unhideWhenUsed/>
    <w:rsid w:val="00FA6A77"/>
    <w:pPr>
      <w:spacing w:after="0" w:line="240" w:lineRule="auto"/>
    </w:pPr>
    <w:rPr>
      <w:rFonts w:ascii="Arial Narrow" w:eastAsia="Times New Roman" w:hAnsi="Arial Narrow" w:cs="Arial"/>
    </w:rPr>
    <w:tblPr>
      <w:tblStyleRowBandSize w:val="1"/>
      <w:tblInd w:w="0" w:type="nil"/>
      <w:tblBorders>
        <w:insideH w:val="single" w:sz="18" w:space="0" w:color="FFFFFF"/>
        <w:insideV w:val="single" w:sz="18" w:space="0" w:color="FFFFFF"/>
      </w:tblBorders>
    </w:tblPr>
    <w:tblStylePr w:type="firstRow">
      <w:rPr>
        <w:b/>
        <w:bCs/>
        <w:color w:val="auto"/>
      </w:rPr>
      <w:tblPr/>
      <w:tcPr>
        <w:shd w:val="pct20" w:color="000000" w:fill="FFFFFF"/>
      </w:tcPr>
    </w:tblStylePr>
    <w:tblStylePr w:type="band1Horz">
      <w:rPr>
        <w:color w:val="auto"/>
      </w:rPr>
      <w:tblPr/>
      <w:tcPr>
        <w:shd w:val="pct5" w:color="000000" w:fill="FFFFFF"/>
      </w:tcPr>
    </w:tblStylePr>
    <w:tblStylePr w:type="band2Horz">
      <w:rPr>
        <w:color w:val="auto"/>
      </w:rPr>
      <w:tblPr/>
      <w:tcPr>
        <w:shd w:val="pct20" w:color="000000" w:fill="FFFFFF"/>
      </w:tcPr>
    </w:tblStylePr>
  </w:style>
  <w:style w:type="table" w:styleId="TableElegant">
    <w:name w:val="Table Elegant"/>
    <w:basedOn w:val="TableNormal"/>
    <w:semiHidden/>
    <w:unhideWhenUsed/>
    <w:rsid w:val="00FA6A77"/>
    <w:pPr>
      <w:spacing w:after="0" w:line="240" w:lineRule="auto"/>
    </w:pPr>
    <w:rPr>
      <w:rFonts w:ascii="Arial Narrow" w:eastAsia="Times New Roman" w:hAnsi="Arial Narrow" w:cs="Arial"/>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StylePr>
  </w:style>
  <w:style w:type="table" w:styleId="TableProfessional">
    <w:name w:val="Table Professional"/>
    <w:basedOn w:val="TableNormal"/>
    <w:semiHidden/>
    <w:unhideWhenUsed/>
    <w:rsid w:val="00FA6A77"/>
    <w:pPr>
      <w:spacing w:after="0" w:line="240" w:lineRule="auto"/>
    </w:pPr>
    <w:rPr>
      <w:rFonts w:ascii="Arial Narrow" w:eastAsia="Times New Roman" w:hAnsi="Arial Narrow" w:cs="Arial"/>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shd w:val="solid" w:color="000000" w:fill="FFFFFF"/>
      </w:tcPr>
    </w:tblStylePr>
  </w:style>
  <w:style w:type="table" w:styleId="TableSubtle1">
    <w:name w:val="Table Subtle 1"/>
    <w:basedOn w:val="TableNormal"/>
    <w:semiHidden/>
    <w:unhideWhenUsed/>
    <w:rsid w:val="00FA6A77"/>
    <w:pPr>
      <w:spacing w:after="0" w:line="240" w:lineRule="auto"/>
    </w:pPr>
    <w:rPr>
      <w:rFonts w:ascii="Arial Narrow" w:eastAsia="Times New Roman" w:hAnsi="Arial Narrow" w:cs="Arial"/>
    </w:rPr>
    <w:tblPr>
      <w:tblStyleRowBandSize w:val="1"/>
      <w:tblInd w:w="0" w:type="nil"/>
    </w:tblPr>
    <w:tblStylePr w:type="firstRow">
      <w:tblPr/>
      <w:tcPr>
        <w:tcBorders>
          <w:top w:val="single" w:sz="6" w:space="0" w:color="000000"/>
          <w:bottom w:val="single" w:sz="12" w:space="0" w:color="000000"/>
        </w:tcBorders>
      </w:tcPr>
    </w:tblStylePr>
    <w:tblStylePr w:type="lastRow">
      <w:tblPr/>
      <w:tcPr>
        <w:tcBorders>
          <w:top w:val="single" w:sz="12" w:space="0" w:color="000000"/>
        </w:tcBorders>
        <w:shd w:val="pct25" w:color="800080" w:fill="FFFFFF"/>
      </w:tcPr>
    </w:tblStylePr>
    <w:tblStylePr w:type="firstCol">
      <w:tblPr/>
      <w:tcPr>
        <w:tcBorders>
          <w:right w:val="single" w:sz="12" w:space="0" w:color="000000"/>
        </w:tcBorders>
      </w:tcPr>
    </w:tblStylePr>
    <w:tblStylePr w:type="lastCol">
      <w:tblPr/>
      <w:tcPr>
        <w:tcBorders>
          <w:left w:val="single" w:sz="12" w:space="0" w:color="000000"/>
        </w:tcBorders>
      </w:tcPr>
    </w:tblStylePr>
    <w:tblStylePr w:type="band1Horz">
      <w:tblPr/>
      <w:tcPr>
        <w:tcBorders>
          <w:bottom w:val="single" w:sz="6" w:space="0" w:color="000000"/>
        </w:tcBorders>
        <w:shd w:val="pct25" w:color="808000" w:fill="FFFFFF"/>
      </w:tcPr>
    </w:tblStylePr>
    <w:tblStylePr w:type="neCell">
      <w:rPr>
        <w:b/>
        <w:bCs/>
      </w:rPr>
    </w:tblStylePr>
    <w:tblStylePr w:type="swCell">
      <w:rPr>
        <w:b/>
        <w:bCs/>
      </w:rPr>
    </w:tblStylePr>
  </w:style>
  <w:style w:type="table" w:styleId="TableSubtle2">
    <w:name w:val="Table Subtle 2"/>
    <w:basedOn w:val="TableNormal"/>
    <w:semiHidden/>
    <w:unhideWhenUsed/>
    <w:rsid w:val="00FA6A77"/>
    <w:pPr>
      <w:spacing w:after="0" w:line="240" w:lineRule="auto"/>
    </w:pPr>
    <w:rPr>
      <w:rFonts w:ascii="Arial Narrow" w:eastAsia="Times New Roman" w:hAnsi="Arial Narrow" w:cs="Arial"/>
    </w:rPr>
    <w:tblPr>
      <w:tblInd w:w="0" w:type="nil"/>
      <w:tblBorders>
        <w:left w:val="single" w:sz="6" w:space="0" w:color="000000"/>
        <w:right w:val="single" w:sz="6" w:space="0" w:color="000000"/>
      </w:tblBorders>
    </w:tblPr>
    <w:tblStylePr w:type="firstRow">
      <w:tblPr/>
      <w:tcPr>
        <w:tcBorders>
          <w:bottom w:val="single" w:sz="12" w:space="0" w:color="000000"/>
        </w:tcBorders>
      </w:tcPr>
    </w:tblStylePr>
    <w:tblStylePr w:type="lastRow">
      <w:tblPr/>
      <w:tcPr>
        <w:tcBorders>
          <w:top w:val="single" w:sz="12" w:space="0" w:color="000000"/>
        </w:tcBorders>
      </w:tcPr>
    </w:tblStylePr>
    <w:tblStylePr w:type="firstCol">
      <w:tblPr/>
      <w:tcPr>
        <w:tcBorders>
          <w:right w:val="single" w:sz="12" w:space="0" w:color="000000"/>
        </w:tcBorders>
        <w:shd w:val="pct25" w:color="008000" w:fill="FFFFFF"/>
      </w:tcPr>
    </w:tblStylePr>
    <w:tblStylePr w:type="lastCol">
      <w:tblPr/>
      <w:tcPr>
        <w:tcBorders>
          <w:left w:val="single" w:sz="12" w:space="0" w:color="000000"/>
        </w:tcBorders>
        <w:shd w:val="pct25" w:color="808000" w:fill="FFFFFF"/>
      </w:tcPr>
    </w:tblStylePr>
    <w:tblStylePr w:type="neCell">
      <w:rPr>
        <w:b/>
        <w:bCs/>
      </w:rPr>
    </w:tblStylePr>
    <w:tblStylePr w:type="swCell">
      <w:rPr>
        <w:b/>
        <w:bCs/>
      </w:rPr>
    </w:tblStylePr>
  </w:style>
  <w:style w:type="table" w:styleId="TableWeb1">
    <w:name w:val="Table Web 1"/>
    <w:basedOn w:val="TableNormal"/>
    <w:semiHidden/>
    <w:unhideWhenUsed/>
    <w:rsid w:val="00FA6A77"/>
    <w:pPr>
      <w:spacing w:after="0" w:line="240" w:lineRule="auto"/>
    </w:pPr>
    <w:rPr>
      <w:rFonts w:ascii="Arial Narrow" w:eastAsia="Times New Roman" w:hAnsi="Arial Narrow" w:cs="Arial"/>
    </w:rPr>
    <w:tblPr>
      <w:tblCellSpacing w:w="20" w:type="dxa"/>
      <w:tblInd w:w="0" w:type="nil"/>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StylePr>
  </w:style>
  <w:style w:type="table" w:styleId="TableWeb2">
    <w:name w:val="Table Web 2"/>
    <w:basedOn w:val="TableNormal"/>
    <w:semiHidden/>
    <w:unhideWhenUsed/>
    <w:rsid w:val="00FA6A77"/>
    <w:pPr>
      <w:spacing w:after="0" w:line="240" w:lineRule="auto"/>
    </w:pPr>
    <w:rPr>
      <w:rFonts w:ascii="Arial Narrow" w:eastAsia="Times New Roman" w:hAnsi="Arial Narrow" w:cs="Arial"/>
    </w:rPr>
    <w:tblPr>
      <w:tblCellSpacing w:w="20" w:type="dxa"/>
      <w:tblInd w:w="0" w:type="nil"/>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StylePr>
  </w:style>
  <w:style w:type="table" w:styleId="TableWeb3">
    <w:name w:val="Table Web 3"/>
    <w:basedOn w:val="TableNormal"/>
    <w:semiHidden/>
    <w:unhideWhenUsed/>
    <w:rsid w:val="00FA6A77"/>
    <w:pPr>
      <w:spacing w:after="0" w:line="240" w:lineRule="auto"/>
    </w:pPr>
    <w:rPr>
      <w:rFonts w:ascii="Arial Narrow" w:eastAsia="Times New Roman" w:hAnsi="Arial Narrow" w:cs="Arial"/>
    </w:rPr>
    <w:tblPr>
      <w:tblCellSpacing w:w="20" w:type="dxa"/>
      <w:tblInd w:w="0" w:type="nil"/>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StylePr>
  </w:style>
  <w:style w:type="table" w:styleId="TableTheme">
    <w:name w:val="Table Theme"/>
    <w:basedOn w:val="TableNormal"/>
    <w:semiHidden/>
    <w:unhideWhenUsed/>
    <w:rsid w:val="00FA6A77"/>
    <w:pPr>
      <w:spacing w:after="0" w:line="240" w:lineRule="auto"/>
    </w:pPr>
    <w:rPr>
      <w:rFonts w:ascii="Arial Narrow" w:eastAsia="Times New Roman" w:hAnsi="Arial Narrow" w:cs="Ari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Grid3">
    <w:name w:val="Medium Grid 3"/>
    <w:basedOn w:val="TableNormal"/>
    <w:uiPriority w:val="69"/>
    <w:rsid w:val="00FA6A77"/>
    <w:pPr>
      <w:spacing w:after="0" w:line="240" w:lineRule="auto"/>
    </w:pPr>
    <w:rPr>
      <w:rFonts w:ascii="Arial Narrow" w:eastAsia="Times New Roman" w:hAnsi="Arial Narrow" w:cs="Arial"/>
      <w:color w:val="000000"/>
    </w:rPr>
    <w:tblPr>
      <w:tblStyleRowBandSize w:val="1"/>
      <w:tblStyleColBandSize w:val="1"/>
      <w:tblInd w:w="0" w:type="nil"/>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DarkList">
    <w:name w:val="Dark List"/>
    <w:basedOn w:val="TableNormal"/>
    <w:uiPriority w:val="70"/>
    <w:rsid w:val="00FA6A77"/>
    <w:pPr>
      <w:spacing w:after="0" w:line="240" w:lineRule="auto"/>
    </w:pPr>
    <w:rPr>
      <w:rFonts w:ascii="Arial Narrow" w:eastAsia="Times New Roman" w:hAnsi="Arial Narrow" w:cs="Arial"/>
    </w:rPr>
    <w:tblPr>
      <w:tblStyleRowBandSize w:val="1"/>
      <w:tblStyleColBandSize w:val="1"/>
      <w:tblInd w:w="0" w:type="nil"/>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ColorfulShading">
    <w:name w:val="Colorful Shading"/>
    <w:basedOn w:val="TableNormal"/>
    <w:uiPriority w:val="71"/>
    <w:rsid w:val="00FA6A77"/>
    <w:pPr>
      <w:spacing w:after="0" w:line="240" w:lineRule="auto"/>
    </w:pPr>
    <w:rPr>
      <w:rFonts w:ascii="Arial Narrow" w:eastAsia="Times New Roman" w:hAnsi="Arial Narrow" w:cs="Arial"/>
    </w:rPr>
    <w:tblPr>
      <w:tblStyleRowBandSize w:val="1"/>
      <w:tblStyleColBandSize w:val="1"/>
      <w:tblInd w:w="0" w:type="nil"/>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Lines="0" w:before="0" w:beforeAutospacing="0" w:afterLines="0" w:after="0" w:afterAutospacing="0" w:line="240" w:lineRule="auto"/>
      </w:pPr>
      <w:rPr>
        <w:rFonts w:ascii="New York" w:eastAsia="Helvetica" w:hAnsi="New York"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0" w:beforeAutospacing="0" w:afterLines="0" w:after="0" w:afterAutospacing="0" w:line="240" w:lineRule="auto"/>
      </w:pPr>
      <w:rPr>
        <w:rFonts w:ascii="New York" w:eastAsia="Helvetica" w:hAnsi="New York"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New York" w:eastAsia="Helvetica" w:hAnsi="New York" w:cs="Times New Roman" w:hint="default"/>
        <w:b/>
        <w:bCs/>
      </w:rPr>
    </w:tblStylePr>
    <w:tblStylePr w:type="lastCol">
      <w:rPr>
        <w:rFonts w:ascii="New York" w:eastAsia="Helvetica" w:hAnsi="New York"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ColorfulList">
    <w:name w:val="Colorful List"/>
    <w:basedOn w:val="TableNormal"/>
    <w:uiPriority w:val="72"/>
    <w:rsid w:val="00FA6A77"/>
    <w:pPr>
      <w:spacing w:after="0" w:line="240" w:lineRule="auto"/>
    </w:pPr>
    <w:rPr>
      <w:rFonts w:ascii="Arial Narrow" w:eastAsia="Times New Roman" w:hAnsi="Arial Narrow" w:cs="Arial"/>
    </w:rPr>
    <w:tblPr>
      <w:tblStyleRowBandSize w:val="1"/>
      <w:tblStyleColBandSize w:val="1"/>
      <w:tblInd w:w="0" w:type="nil"/>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Lines="0" w:before="0" w:beforeAutospacing="0" w:afterLines="0" w:after="0" w:afterAutospacing="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styleId="ColorfulGrid">
    <w:name w:val="Colorful Grid"/>
    <w:basedOn w:val="TableNormal"/>
    <w:uiPriority w:val="73"/>
    <w:rsid w:val="00FA6A77"/>
    <w:pPr>
      <w:spacing w:after="0" w:line="240" w:lineRule="auto"/>
    </w:pPr>
    <w:rPr>
      <w:rFonts w:ascii="Arial Narrow" w:eastAsia="Times New Roman" w:hAnsi="Arial Narrow" w:cs="Arial"/>
    </w:rPr>
    <w:tblPr>
      <w:tblStyleRowBandSize w:val="1"/>
      <w:tblStyleColBandSize w:val="1"/>
      <w:tblInd w:w="0" w:type="nil"/>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LightShading-Accent1">
    <w:name w:val="Light Shading Accent 1"/>
    <w:basedOn w:val="TableNormal"/>
    <w:uiPriority w:val="60"/>
    <w:rsid w:val="00FA6A77"/>
    <w:pPr>
      <w:spacing w:after="0" w:line="240" w:lineRule="auto"/>
    </w:pPr>
    <w:rPr>
      <w:rFonts w:ascii="Arial Narrow" w:eastAsia="Times New Roman" w:hAnsi="Arial Narrow" w:cs="Arial"/>
      <w:color w:val="000000"/>
    </w:rPr>
    <w:tblPr>
      <w:tblStyleRowBandSize w:val="1"/>
      <w:tblStyleColBandSize w:val="1"/>
      <w:tblInd w:w="0" w:type="nil"/>
      <w:tblBorders>
        <w:top w:val="single" w:sz="8" w:space="0" w:color="000000"/>
        <w:bottom w:val="single" w:sz="8" w:space="0" w:color="000000"/>
      </w:tblBorders>
    </w:tblPr>
    <w:tblStylePr w:type="firstRow">
      <w:rPr>
        <w:rFonts w:ascii="New York" w:eastAsia="Helvetica" w:hAnsi="New York"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styleId="LightList-Accent1">
    <w:name w:val="Light List Accent 1"/>
    <w:basedOn w:val="TableNormal"/>
    <w:uiPriority w:val="61"/>
    <w:rsid w:val="00FA6A77"/>
    <w:pPr>
      <w:spacing w:after="0" w:line="240" w:lineRule="auto"/>
    </w:pPr>
    <w:rPr>
      <w:rFonts w:ascii="Arial Narrow" w:eastAsia="MS Gothic" w:hAnsi="Arial Narrow" w:cs="Arial"/>
      <w:color w:val="000000"/>
    </w:rPr>
    <w:tblPr>
      <w:tblStyleRowBandSize w:val="1"/>
      <w:tblStyleColBandSize w:val="1"/>
      <w:tblInd w:w="0" w:type="nil"/>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styleId="LightGrid-Accent1">
    <w:name w:val="Light Grid Accent 1"/>
    <w:basedOn w:val="TableNormal"/>
    <w:uiPriority w:val="62"/>
    <w:rsid w:val="00FA6A77"/>
    <w:pPr>
      <w:spacing w:after="0" w:line="240" w:lineRule="auto"/>
    </w:pPr>
    <w:rPr>
      <w:rFonts w:ascii="Arial Narrow" w:eastAsia="Times New Roman" w:hAnsi="Arial Narrow" w:cs="Arial"/>
    </w:rPr>
    <w:tblPr>
      <w:tblStyleRowBandSize w:val="1"/>
      <w:tblStyleColBandSize w:val="1"/>
      <w:tblInd w:w="0" w:type="nil"/>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styleId="MediumShading1-Accent1">
    <w:name w:val="Medium Shading 1 Accent 1"/>
    <w:basedOn w:val="TableNormal"/>
    <w:uiPriority w:val="63"/>
    <w:rsid w:val="00FA6A77"/>
    <w:pPr>
      <w:spacing w:after="0" w:line="240" w:lineRule="auto"/>
    </w:pPr>
    <w:rPr>
      <w:rFonts w:ascii="Arial Narrow" w:eastAsia="MS Gothic" w:hAnsi="Arial Narrow" w:cs="Arial"/>
      <w:color w:val="000000"/>
    </w:rPr>
    <w:tblPr>
      <w:tblStyleRowBandSize w:val="1"/>
      <w:tblStyleColBandSize w:val="1"/>
      <w:tblInd w:w="0" w:type="nil"/>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styleId="MediumShading2-Accent1">
    <w:name w:val="Medium Shading 2 Accent 1"/>
    <w:basedOn w:val="TableNormal"/>
    <w:uiPriority w:val="64"/>
    <w:rsid w:val="00FA6A77"/>
    <w:pPr>
      <w:spacing w:after="0" w:line="240" w:lineRule="auto"/>
    </w:pPr>
    <w:rPr>
      <w:rFonts w:ascii="Arial Narrow" w:eastAsia="Times New Roman" w:hAnsi="Arial Narrow" w:cs="Arial"/>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styleId="MediumList1-Accent1">
    <w:name w:val="Medium List 1 Accent 1"/>
    <w:basedOn w:val="TableNormal"/>
    <w:uiPriority w:val="65"/>
    <w:rsid w:val="00FA6A77"/>
    <w:pPr>
      <w:spacing w:after="0" w:line="240" w:lineRule="auto"/>
    </w:pPr>
    <w:rPr>
      <w:rFonts w:ascii="Arial Narrow" w:eastAsia="Times New Roman" w:hAnsi="Arial Narrow" w:cs="Arial"/>
      <w:color w:val="FFFFFF"/>
    </w:rPr>
    <w:tblPr>
      <w:tblStyleRowBandSize w:val="1"/>
      <w:tblStyleColBandSize w:val="1"/>
      <w:tblInd w:w="0" w:type="nil"/>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styleId="MediumList2-Accent1">
    <w:name w:val="Medium List 2 Accent 1"/>
    <w:basedOn w:val="TableNormal"/>
    <w:uiPriority w:val="66"/>
    <w:rsid w:val="00FA6A77"/>
    <w:pPr>
      <w:spacing w:after="0" w:line="240" w:lineRule="auto"/>
    </w:pPr>
    <w:rPr>
      <w:rFonts w:ascii="Arial Narrow" w:eastAsia="Times New Roman" w:hAnsi="Arial Narrow" w:cs="Arial"/>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MediumGrid1-Accent1">
    <w:name w:val="Medium Grid 1 Accent 1"/>
    <w:basedOn w:val="TableNormal"/>
    <w:uiPriority w:val="67"/>
    <w:rsid w:val="00FA6A77"/>
    <w:pPr>
      <w:spacing w:after="0" w:line="240" w:lineRule="auto"/>
    </w:pPr>
    <w:rPr>
      <w:rFonts w:ascii="Arial Narrow" w:eastAsia="Times New Roman" w:hAnsi="Arial Narrow" w:cs="Arial"/>
    </w:rPr>
    <w:tblPr>
      <w:tblStyleRowBandSize w:val="1"/>
      <w:tblStyleColBandSize w:val="1"/>
      <w:tblInd w:w="0" w:type="nil"/>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0" w:beforeAutospacing="0" w:afterLines="0" w:after="0" w:afterAutospacing="0" w:line="240" w:lineRule="auto"/>
      </w:pPr>
      <w:rPr>
        <w:rFonts w:ascii="New York" w:eastAsia="Helvetica" w:hAnsi="New York"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0" w:beforeAutospacing="0" w:afterLines="0" w:after="0" w:afterAutospacing="0" w:line="240" w:lineRule="auto"/>
      </w:pPr>
      <w:rPr>
        <w:rFonts w:ascii="New York" w:eastAsia="Helvetica" w:hAnsi="New York"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New York" w:eastAsia="Helvetica" w:hAnsi="New York" w:cs="Times New Roman" w:hint="default"/>
        <w:b/>
        <w:bCs/>
      </w:rPr>
    </w:tblStylePr>
    <w:tblStylePr w:type="lastCol">
      <w:rPr>
        <w:rFonts w:ascii="New York" w:eastAsia="Helvetica" w:hAnsi="New York"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MediumGrid2-Accent1">
    <w:name w:val="Medium Grid 2 Accent 1"/>
    <w:basedOn w:val="TableNormal"/>
    <w:uiPriority w:val="68"/>
    <w:rsid w:val="00FA6A77"/>
    <w:pPr>
      <w:spacing w:after="0" w:line="240" w:lineRule="auto"/>
    </w:pPr>
    <w:rPr>
      <w:rFonts w:ascii="Arial Narrow" w:eastAsia="Times New Roman" w:hAnsi="Arial Narrow" w:cs="Arial"/>
    </w:rPr>
    <w:tblPr>
      <w:tblStyleRowBandSize w:val="1"/>
      <w:tblStyleColBandSize w:val="1"/>
      <w:tblInd w:w="0" w:type="nil"/>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Lines="0" w:before="0" w:beforeAutospacing="0" w:afterLines="0" w:after="0" w:afterAutospacing="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MediumGrid3-Accent1">
    <w:name w:val="Medium Grid 3 Accent 1"/>
    <w:basedOn w:val="TableNormal"/>
    <w:uiPriority w:val="69"/>
    <w:rsid w:val="00FA6A77"/>
    <w:pPr>
      <w:spacing w:after="0" w:line="240" w:lineRule="auto"/>
    </w:pPr>
    <w:rPr>
      <w:rFonts w:ascii="Arial Narrow" w:eastAsia="Times New Roman" w:hAnsi="Arial Narrow" w:cs="Arial"/>
    </w:rPr>
    <w:tblPr>
      <w:tblStyleRowBandSize w:val="1"/>
      <w:tblStyleColBandSize w:val="1"/>
      <w:tblInd w:w="0" w:type="nil"/>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DarkList-Accent1">
    <w:name w:val="Dark List Accent 1"/>
    <w:basedOn w:val="TableNormal"/>
    <w:uiPriority w:val="70"/>
    <w:rsid w:val="00FA6A77"/>
    <w:pPr>
      <w:spacing w:after="0" w:line="240" w:lineRule="auto"/>
    </w:pPr>
    <w:rPr>
      <w:rFonts w:ascii="Arial Narrow" w:eastAsia="Times New Roman" w:hAnsi="Arial Narrow" w:cs="Arial"/>
      <w:color w:val="000000"/>
    </w:rPr>
    <w:tblPr>
      <w:tblStyleRowBandSize w:val="1"/>
      <w:tblStyleColBandSize w:val="1"/>
      <w:tblInd w:w="0" w:type="nil"/>
      <w:tblBorders>
        <w:top w:val="single" w:sz="8" w:space="0" w:color="4F81BD"/>
        <w:bottom w:val="single" w:sz="8" w:space="0" w:color="4F81BD"/>
      </w:tblBorders>
    </w:tblPr>
    <w:tblStylePr w:type="firstRow">
      <w:rPr>
        <w:rFonts w:ascii="New York" w:eastAsia="Helvetica" w:hAnsi="New York"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styleId="LightList-Accent2">
    <w:name w:val="Light List Accent 2"/>
    <w:basedOn w:val="TableNormal"/>
    <w:uiPriority w:val="61"/>
    <w:rsid w:val="00FA6A77"/>
    <w:pPr>
      <w:spacing w:after="0" w:line="240" w:lineRule="auto"/>
    </w:pPr>
    <w:rPr>
      <w:rFonts w:ascii="Arial Narrow" w:eastAsia="MS Gothic" w:hAnsi="Arial Narrow" w:cs="Arial"/>
      <w:color w:val="000000"/>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LightGrid-Accent2">
    <w:name w:val="Light Grid Accent 2"/>
    <w:basedOn w:val="TableNormal"/>
    <w:uiPriority w:val="62"/>
    <w:rsid w:val="00FA6A77"/>
    <w:pPr>
      <w:spacing w:after="0" w:line="240" w:lineRule="auto"/>
    </w:pPr>
    <w:rPr>
      <w:rFonts w:ascii="Arial Narrow" w:eastAsia="Times New Roman" w:hAnsi="Arial Narrow" w:cs="Arial"/>
    </w:rPr>
    <w:tblPr>
      <w:tblStyleRowBandSize w:val="1"/>
      <w:tblStyleColBandSize w:val="1"/>
      <w:tblInd w:w="0" w:type="nil"/>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MediumShading1-Accent2">
    <w:name w:val="Medium Shading 1 Accent 2"/>
    <w:basedOn w:val="TableNormal"/>
    <w:uiPriority w:val="63"/>
    <w:rsid w:val="00FA6A77"/>
    <w:pPr>
      <w:spacing w:after="0" w:line="240" w:lineRule="auto"/>
    </w:pPr>
    <w:rPr>
      <w:rFonts w:ascii="Arial Narrow" w:eastAsia="MS Gothic" w:hAnsi="Arial Narrow" w:cs="Arial"/>
      <w:color w:val="000000"/>
    </w:rPr>
    <w:tblPr>
      <w:tblStyleRowBandSize w:val="1"/>
      <w:tblStyleColBandSize w:val="1"/>
      <w:tblInd w:w="0" w:type="nil"/>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styleId="MediumShading2-Accent2">
    <w:name w:val="Medium Shading 2 Accent 2"/>
    <w:basedOn w:val="TableNormal"/>
    <w:uiPriority w:val="64"/>
    <w:rsid w:val="00FA6A77"/>
    <w:pPr>
      <w:spacing w:after="0" w:line="240" w:lineRule="auto"/>
    </w:pPr>
    <w:rPr>
      <w:rFonts w:ascii="Arial Narrow" w:eastAsia="Times New Roman" w:hAnsi="Arial Narrow" w:cs="Arial"/>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MediumList1-Accent2">
    <w:name w:val="Medium List 1 Accent 2"/>
    <w:basedOn w:val="TableNormal"/>
    <w:uiPriority w:val="65"/>
    <w:rsid w:val="00FA6A77"/>
    <w:pPr>
      <w:spacing w:after="0" w:line="240" w:lineRule="auto"/>
    </w:pPr>
    <w:rPr>
      <w:rFonts w:ascii="Arial Narrow" w:eastAsia="Times New Roman" w:hAnsi="Arial Narrow" w:cs="Arial"/>
      <w:color w:val="FFFFFF"/>
    </w:rPr>
    <w:tblPr>
      <w:tblStyleRowBandSize w:val="1"/>
      <w:tblStyleColBandSize w:val="1"/>
      <w:tblInd w:w="0" w:type="nil"/>
    </w:tblPr>
    <w:tcPr>
      <w:shd w:val="clear" w:color="auto" w:fill="4F81B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single" w:sz="18" w:space="0" w:color="FFFFFF"/>
          <w:bottom w:val="nil"/>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styleId="MediumList2-Accent2">
    <w:name w:val="Medium List 2 Accent 2"/>
    <w:basedOn w:val="TableNormal"/>
    <w:uiPriority w:val="66"/>
    <w:rsid w:val="00FA6A77"/>
    <w:pPr>
      <w:spacing w:after="0" w:line="240" w:lineRule="auto"/>
    </w:pPr>
    <w:rPr>
      <w:rFonts w:ascii="Arial Narrow" w:eastAsia="Times New Roman" w:hAnsi="Arial Narrow" w:cs="Arial"/>
      <w:color w:val="000000"/>
    </w:rPr>
    <w:tblPr>
      <w:tblStyleRowBandSize w:val="1"/>
      <w:tblStyleColBandSize w:val="1"/>
      <w:tblInd w:w="0" w:type="nil"/>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styleId="MediumGrid1-Accent2">
    <w:name w:val="Medium Grid 1 Accent 2"/>
    <w:basedOn w:val="TableNormal"/>
    <w:uiPriority w:val="67"/>
    <w:rsid w:val="00FA6A77"/>
    <w:pPr>
      <w:spacing w:after="0" w:line="240" w:lineRule="auto"/>
    </w:pPr>
    <w:rPr>
      <w:rFonts w:ascii="Arial Narrow" w:eastAsia="Times New Roman" w:hAnsi="Arial Narrow" w:cs="Arial"/>
      <w:color w:val="000000"/>
    </w:rPr>
    <w:tblPr>
      <w:tblStyleRowBandSize w:val="1"/>
      <w:tblStyleColBandSize w:val="1"/>
      <w:tblInd w:w="0" w:type="nil"/>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styleId="MediumGrid2-Accent2">
    <w:name w:val="Medium Grid 2 Accent 2"/>
    <w:basedOn w:val="TableNormal"/>
    <w:uiPriority w:val="68"/>
    <w:rsid w:val="00FA6A77"/>
    <w:pPr>
      <w:spacing w:after="0" w:line="240" w:lineRule="auto"/>
    </w:pPr>
    <w:rPr>
      <w:rFonts w:ascii="Arial Narrow" w:eastAsia="Times New Roman" w:hAnsi="Arial Narrow" w:cs="Arial"/>
      <w:color w:val="000000"/>
    </w:rPr>
    <w:tblPr>
      <w:tblStyleRowBandSize w:val="1"/>
      <w:tblStyleColBandSize w:val="1"/>
      <w:tblInd w:w="0" w:type="nil"/>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MediumGrid3-Accent2">
    <w:name w:val="Medium Grid 3 Accent 2"/>
    <w:basedOn w:val="TableNormal"/>
    <w:uiPriority w:val="69"/>
    <w:rsid w:val="00FA6A77"/>
    <w:pPr>
      <w:spacing w:after="0" w:line="240" w:lineRule="auto"/>
    </w:pPr>
    <w:rPr>
      <w:rFonts w:ascii="Arial Narrow" w:eastAsia="Times New Roman" w:hAnsi="Arial Narrow" w:cs="Arial"/>
      <w:color w:val="943634"/>
    </w:rPr>
    <w:tblPr>
      <w:tblStyleRowBandSize w:val="1"/>
      <w:tblStyleColBandSize w:val="1"/>
      <w:tblInd w:w="0" w:type="nil"/>
      <w:tblBorders>
        <w:top w:val="single" w:sz="8" w:space="0" w:color="C0504D"/>
        <w:bottom w:val="single" w:sz="8" w:space="0" w:color="C0504D"/>
      </w:tblBorders>
    </w:tblPr>
    <w:tblStylePr w:type="fir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DarkList-Accent2">
    <w:name w:val="Dark List Accent 2"/>
    <w:basedOn w:val="TableNormal"/>
    <w:uiPriority w:val="70"/>
    <w:rsid w:val="00FA6A77"/>
    <w:pPr>
      <w:spacing w:after="0" w:line="240" w:lineRule="auto"/>
    </w:pPr>
    <w:rPr>
      <w:rFonts w:ascii="Arial Narrow" w:eastAsia="Times New Roman" w:hAnsi="Arial Narrow" w:cs="Arial"/>
    </w:rPr>
    <w:tblPr>
      <w:tblStyleRowBandSize w:val="1"/>
      <w:tblStyleColBandSize w:val="1"/>
      <w:tblInd w:w="0" w:type="nil"/>
      <w:tblBorders>
        <w:top w:val="single" w:sz="8" w:space="0" w:color="C0504D"/>
        <w:left w:val="single" w:sz="8" w:space="0" w:color="C0504D"/>
        <w:bottom w:val="single" w:sz="8" w:space="0" w:color="C0504D"/>
        <w:right w:val="single" w:sz="8" w:space="0" w:color="C0504D"/>
      </w:tblBorders>
    </w:tblPr>
    <w:tblStylePr w:type="firstRow">
      <w:pPr>
        <w:spacing w:beforeLines="0" w:before="0" w:beforeAutospacing="0" w:afterLines="0" w:after="0" w:afterAutospacing="0" w:line="240" w:lineRule="auto"/>
      </w:pPr>
      <w:rPr>
        <w:b/>
        <w:bCs/>
        <w:color w:val="FFFFFF"/>
      </w:rPr>
      <w:tblPr/>
      <w:tcPr>
        <w:shd w:val="clear" w:color="auto" w:fill="C0504D"/>
      </w:tcPr>
    </w:tblStylePr>
    <w:tblStylePr w:type="lastRow">
      <w:pPr>
        <w:spacing w:beforeLines="0" w:before="0" w:beforeAutospacing="0" w:afterLines="0" w:after="0" w:afterAutospacing="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ColorfulShading-Accent2">
    <w:name w:val="Colorful Shading Accent 2"/>
    <w:basedOn w:val="TableNormal"/>
    <w:uiPriority w:val="71"/>
    <w:rsid w:val="00FA6A77"/>
    <w:pPr>
      <w:spacing w:after="0" w:line="240" w:lineRule="auto"/>
    </w:pPr>
    <w:rPr>
      <w:rFonts w:ascii="Arial Narrow" w:eastAsia="Times New Roman" w:hAnsi="Arial Narrow" w:cs="Arial"/>
    </w:rPr>
    <w:tblPr>
      <w:tblStyleRowBandSize w:val="1"/>
      <w:tblStyleColBandSize w:val="1"/>
      <w:tblInd w:w="0" w:type="nil"/>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Lines="0" w:before="0" w:beforeAutospacing="0" w:afterLines="0" w:after="0" w:afterAutospacing="0" w:line="240" w:lineRule="auto"/>
      </w:pPr>
      <w:rPr>
        <w:rFonts w:ascii="New York" w:eastAsia="Helvetica" w:hAnsi="New York" w:cs="Times New Roman" w:hint="default"/>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Lines="0" w:before="0" w:beforeAutospacing="0" w:afterLines="0" w:after="0" w:afterAutospacing="0" w:line="240" w:lineRule="auto"/>
      </w:pPr>
      <w:rPr>
        <w:rFonts w:ascii="New York" w:eastAsia="Helvetica" w:hAnsi="New York" w:cs="Times New Roman" w:hint="default"/>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New York" w:eastAsia="Helvetica" w:hAnsi="New York" w:cs="Times New Roman" w:hint="default"/>
        <w:b/>
        <w:bCs/>
      </w:rPr>
    </w:tblStylePr>
    <w:tblStylePr w:type="lastCol">
      <w:rPr>
        <w:rFonts w:ascii="New York" w:eastAsia="Helvetica" w:hAnsi="New York" w:cs="Times New Roman" w:hint="default"/>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ColorfulList-Accent2">
    <w:name w:val="Colorful List Accent 2"/>
    <w:basedOn w:val="TableNormal"/>
    <w:uiPriority w:val="72"/>
    <w:rsid w:val="00FA6A77"/>
    <w:pPr>
      <w:spacing w:after="0" w:line="240" w:lineRule="auto"/>
    </w:pPr>
    <w:rPr>
      <w:rFonts w:ascii="Arial Narrow" w:eastAsia="Times New Roman" w:hAnsi="Arial Narrow" w:cs="Arial"/>
    </w:rPr>
    <w:tblPr>
      <w:tblStyleRowBandSize w:val="1"/>
      <w:tblStyleColBandSize w:val="1"/>
      <w:tblInd w:w="0" w:type="nil"/>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Lines="0" w:before="0" w:beforeAutospacing="0" w:afterLines="0" w:after="0" w:afterAutospacing="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Lines="0" w:before="0" w:beforeAutospacing="0" w:afterLines="0" w:after="0" w:afterAutospacing="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ColorfulGrid-Accent2">
    <w:name w:val="Colorful Grid Accent 2"/>
    <w:basedOn w:val="TableNormal"/>
    <w:uiPriority w:val="73"/>
    <w:rsid w:val="00FA6A77"/>
    <w:pPr>
      <w:spacing w:after="0" w:line="240" w:lineRule="auto"/>
    </w:pPr>
    <w:rPr>
      <w:rFonts w:ascii="Arial Narrow" w:eastAsia="Times New Roman" w:hAnsi="Arial Narrow" w:cs="Arial"/>
    </w:rPr>
    <w:tblPr>
      <w:tblStyleRowBandSize w:val="1"/>
      <w:tblStyleColBandSize w:val="1"/>
      <w:tblInd w:w="0" w:type="nil"/>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LightShading-Accent3">
    <w:name w:val="Light Shading Accent 3"/>
    <w:basedOn w:val="TableNormal"/>
    <w:uiPriority w:val="60"/>
    <w:rsid w:val="00FA6A77"/>
    <w:pPr>
      <w:spacing w:after="0" w:line="240" w:lineRule="auto"/>
    </w:pPr>
    <w:rPr>
      <w:rFonts w:ascii="Arial Narrow" w:eastAsia="Times New Roman" w:hAnsi="Arial Narrow" w:cs="Arial"/>
      <w:color w:val="000000"/>
    </w:rPr>
    <w:tblPr>
      <w:tblStyleRowBandSize w:val="1"/>
      <w:tblStyleColBandSize w:val="1"/>
      <w:tblInd w:w="0" w:type="nil"/>
      <w:tblBorders>
        <w:top w:val="single" w:sz="8" w:space="0" w:color="C0504D"/>
        <w:bottom w:val="single" w:sz="8" w:space="0" w:color="C0504D"/>
      </w:tblBorders>
    </w:tblPr>
    <w:tblStylePr w:type="firstRow">
      <w:rPr>
        <w:rFonts w:ascii="New York" w:eastAsia="Helvetica" w:hAnsi="New York" w:cs="Times New Roman" w:hint="default"/>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styleId="LightList-Accent3">
    <w:name w:val="Light List Accent 3"/>
    <w:basedOn w:val="TableNormal"/>
    <w:uiPriority w:val="61"/>
    <w:rsid w:val="00FA6A77"/>
    <w:pPr>
      <w:spacing w:after="0" w:line="240" w:lineRule="auto"/>
    </w:pPr>
    <w:rPr>
      <w:rFonts w:ascii="Arial Narrow" w:eastAsia="MS Gothic" w:hAnsi="Arial Narrow" w:cs="Arial"/>
      <w:color w:val="000000"/>
    </w:rPr>
    <w:tblPr>
      <w:tblStyleRowBandSize w:val="1"/>
      <w:tblStyleColBandSize w:val="1"/>
      <w:tblInd w:w="0" w:type="nil"/>
      <w:tblBorders>
        <w:top w:val="single" w:sz="8" w:space="0" w:color="C0504D"/>
        <w:left w:val="single" w:sz="8" w:space="0" w:color="C0504D"/>
        <w:bottom w:val="single" w:sz="8" w:space="0" w:color="C0504D"/>
        <w:right w:val="single" w:sz="8" w:space="0" w:color="C0504D"/>
      </w:tblBorders>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styleId="LightGrid-Accent3">
    <w:name w:val="Light Grid Accent 3"/>
    <w:basedOn w:val="TableNormal"/>
    <w:uiPriority w:val="62"/>
    <w:rsid w:val="00FA6A77"/>
    <w:pPr>
      <w:spacing w:after="0" w:line="240" w:lineRule="auto"/>
    </w:pPr>
    <w:rPr>
      <w:rFonts w:ascii="Arial Narrow" w:eastAsia="Times New Roman" w:hAnsi="Arial Narrow" w:cs="Arial"/>
    </w:rPr>
    <w:tblPr>
      <w:tblStyleRowBandSize w:val="1"/>
      <w:tblStyleColBandSize w:val="1"/>
      <w:tblInd w:w="0" w:type="nil"/>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styleId="MediumShading1-Accent3">
    <w:name w:val="Medium Shading 1 Accent 3"/>
    <w:basedOn w:val="TableNormal"/>
    <w:uiPriority w:val="63"/>
    <w:rsid w:val="00FA6A77"/>
    <w:pPr>
      <w:spacing w:after="0" w:line="240" w:lineRule="auto"/>
    </w:pPr>
    <w:rPr>
      <w:rFonts w:ascii="Arial Narrow" w:eastAsia="MS Gothic" w:hAnsi="Arial Narrow" w:cs="Arial"/>
      <w:color w:val="000000"/>
    </w:rPr>
    <w:tblPr>
      <w:tblStyleRowBandSize w:val="1"/>
      <w:tblStyleColBandSize w:val="1"/>
      <w:tblInd w:w="0" w:type="nil"/>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styleId="MediumShading2-Accent3">
    <w:name w:val="Medium Shading 2 Accent 3"/>
    <w:basedOn w:val="TableNormal"/>
    <w:uiPriority w:val="64"/>
    <w:rsid w:val="00FA6A77"/>
    <w:pPr>
      <w:spacing w:after="0" w:line="240" w:lineRule="auto"/>
    </w:pPr>
    <w:rPr>
      <w:rFonts w:ascii="Arial Narrow" w:eastAsia="Times New Roman" w:hAnsi="Arial Narrow" w:cs="Arial"/>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MediumList1-Accent3">
    <w:name w:val="Medium List 1 Accent 3"/>
    <w:basedOn w:val="TableNormal"/>
    <w:uiPriority w:val="65"/>
    <w:rsid w:val="00FA6A77"/>
    <w:pPr>
      <w:spacing w:after="0" w:line="240" w:lineRule="auto"/>
    </w:pPr>
    <w:rPr>
      <w:rFonts w:ascii="Arial Narrow" w:eastAsia="Times New Roman" w:hAnsi="Arial Narrow" w:cs="Arial"/>
      <w:color w:val="FFFFFF"/>
    </w:rPr>
    <w:tblPr>
      <w:tblStyleRowBandSize w:val="1"/>
      <w:tblStyleColBandSize w:val="1"/>
      <w:tblInd w:w="0" w:type="nil"/>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styleId="MediumGrid1-Accent3">
    <w:name w:val="Medium Grid 1 Accent 3"/>
    <w:basedOn w:val="TableNormal"/>
    <w:uiPriority w:val="67"/>
    <w:rsid w:val="00FA6A77"/>
    <w:pPr>
      <w:spacing w:after="0" w:line="240" w:lineRule="auto"/>
    </w:pPr>
    <w:rPr>
      <w:rFonts w:ascii="Arial Narrow" w:eastAsia="Times New Roman" w:hAnsi="Arial Narrow" w:cs="Arial"/>
      <w:color w:val="000000"/>
    </w:rPr>
    <w:tblPr>
      <w:tblStyleRowBandSize w:val="1"/>
      <w:tblStyleColBandSize w:val="1"/>
      <w:tblInd w:w="0" w:type="nil"/>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styleId="MediumGrid2-Accent3">
    <w:name w:val="Medium Grid 2 Accent 3"/>
    <w:basedOn w:val="TableNormal"/>
    <w:uiPriority w:val="68"/>
    <w:rsid w:val="00FA6A77"/>
    <w:pPr>
      <w:spacing w:after="0" w:line="240" w:lineRule="auto"/>
    </w:pPr>
    <w:rPr>
      <w:rFonts w:ascii="Arial Narrow" w:eastAsia="Times New Roman" w:hAnsi="Arial Narrow" w:cs="Arial"/>
      <w:color w:val="000000"/>
    </w:rPr>
    <w:tblPr>
      <w:tblStyleRowBandSize w:val="1"/>
      <w:tblStyleColBandSize w:val="1"/>
      <w:tblInd w:w="0" w:type="nil"/>
      <w:tblBorders>
        <w:insideH w:val="single" w:sz="4" w:space="0" w:color="FFFFFF"/>
      </w:tblBorders>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styleId="MediumGrid3-Accent3">
    <w:name w:val="Medium Grid 3 Accent 3"/>
    <w:basedOn w:val="TableNormal"/>
    <w:uiPriority w:val="69"/>
    <w:rsid w:val="00FA6A77"/>
    <w:pPr>
      <w:spacing w:after="0" w:line="240" w:lineRule="auto"/>
    </w:pPr>
    <w:rPr>
      <w:rFonts w:ascii="Arial Narrow" w:eastAsia="Times New Roman" w:hAnsi="Arial Narrow" w:cs="Arial"/>
      <w:color w:val="76923C"/>
    </w:rPr>
    <w:tblPr>
      <w:tblStyleRowBandSize w:val="1"/>
      <w:tblStyleColBandSize w:val="1"/>
      <w:tblInd w:w="0" w:type="nil"/>
      <w:tblBorders>
        <w:top w:val="single" w:sz="8" w:space="0" w:color="9BBB59"/>
        <w:bottom w:val="single" w:sz="8" w:space="0" w:color="9BBB59"/>
      </w:tblBorders>
    </w:tblPr>
    <w:tblStylePr w:type="fir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DarkList-Accent3">
    <w:name w:val="Dark List Accent 3"/>
    <w:basedOn w:val="TableNormal"/>
    <w:uiPriority w:val="70"/>
    <w:rsid w:val="00FA6A77"/>
    <w:pPr>
      <w:spacing w:after="0" w:line="240" w:lineRule="auto"/>
    </w:pPr>
    <w:rPr>
      <w:rFonts w:ascii="Arial Narrow" w:eastAsia="Times New Roman" w:hAnsi="Arial Narrow" w:cs="Arial"/>
    </w:rPr>
    <w:tblPr>
      <w:tblStyleRowBandSize w:val="1"/>
      <w:tblStyleColBandSize w:val="1"/>
      <w:tblInd w:w="0" w:type="nil"/>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ColorfulShading-Accent3">
    <w:name w:val="Colorful Shading Accent 3"/>
    <w:basedOn w:val="TableNormal"/>
    <w:uiPriority w:val="71"/>
    <w:rsid w:val="00FA6A77"/>
    <w:pPr>
      <w:spacing w:after="0" w:line="240" w:lineRule="auto"/>
    </w:pPr>
    <w:rPr>
      <w:rFonts w:ascii="Arial Narrow" w:eastAsia="Times New Roman" w:hAnsi="Arial Narrow" w:cs="Arial"/>
    </w:rPr>
    <w:tblPr>
      <w:tblStyleRowBandSize w:val="1"/>
      <w:tblStyleColBandSize w:val="1"/>
      <w:tblInd w:w="0" w:type="nil"/>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Lines="0" w:before="0" w:beforeAutospacing="0" w:afterLines="0" w:after="0" w:afterAutospacing="0" w:line="240" w:lineRule="auto"/>
      </w:pPr>
      <w:rPr>
        <w:rFonts w:ascii="New York" w:eastAsia="Helvetica" w:hAnsi="New York" w:cs="Times New Roman" w:hint="default"/>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Lines="0" w:before="0" w:beforeAutospacing="0" w:afterLines="0" w:after="0" w:afterAutospacing="0" w:line="240" w:lineRule="auto"/>
      </w:pPr>
      <w:rPr>
        <w:rFonts w:ascii="New York" w:eastAsia="Helvetica" w:hAnsi="New York" w:cs="Times New Roman" w:hint="default"/>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New York" w:eastAsia="Helvetica" w:hAnsi="New York" w:cs="Times New Roman" w:hint="default"/>
        <w:b/>
        <w:bCs/>
      </w:rPr>
    </w:tblStylePr>
    <w:tblStylePr w:type="lastCol">
      <w:rPr>
        <w:rFonts w:ascii="New York" w:eastAsia="Helvetica" w:hAnsi="New York" w:cs="Times New Roman" w:hint="default"/>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ColorfulList-Accent3">
    <w:name w:val="Colorful List Accent 3"/>
    <w:basedOn w:val="TableNormal"/>
    <w:uiPriority w:val="72"/>
    <w:rsid w:val="00FA6A77"/>
    <w:pPr>
      <w:spacing w:after="0" w:line="240" w:lineRule="auto"/>
    </w:pPr>
    <w:rPr>
      <w:rFonts w:ascii="Arial Narrow" w:eastAsia="Times New Roman" w:hAnsi="Arial Narrow" w:cs="Arial"/>
    </w:rPr>
    <w:tblPr>
      <w:tblStyleRowBandSize w:val="1"/>
      <w:tblStyleColBandSize w:val="1"/>
      <w:tblInd w:w="0" w:type="nil"/>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Lines="0" w:before="0" w:beforeAutospacing="0" w:afterLines="0" w:after="0" w:afterAutospacing="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ColorfulGrid-Accent3">
    <w:name w:val="Colorful Grid Accent 3"/>
    <w:basedOn w:val="TableNormal"/>
    <w:uiPriority w:val="73"/>
    <w:rsid w:val="00FA6A77"/>
    <w:pPr>
      <w:spacing w:after="0" w:line="240" w:lineRule="auto"/>
    </w:pPr>
    <w:rPr>
      <w:rFonts w:ascii="Arial Narrow" w:eastAsia="Times New Roman" w:hAnsi="Arial Narrow" w:cs="Arial"/>
    </w:rPr>
    <w:tblPr>
      <w:tblStyleRowBandSize w:val="1"/>
      <w:tblStyleColBandSize w:val="1"/>
      <w:tblInd w:w="0" w:type="nil"/>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LightShading-Accent4">
    <w:name w:val="Light Shading Accent 4"/>
    <w:basedOn w:val="TableNormal"/>
    <w:uiPriority w:val="60"/>
    <w:rsid w:val="00FA6A77"/>
    <w:pPr>
      <w:spacing w:after="0" w:line="240" w:lineRule="auto"/>
    </w:pPr>
    <w:rPr>
      <w:rFonts w:ascii="Arial Narrow" w:eastAsia="Times New Roman" w:hAnsi="Arial Narrow" w:cs="Arial"/>
      <w:color w:val="000000"/>
    </w:rPr>
    <w:tblPr>
      <w:tblStyleRowBandSize w:val="1"/>
      <w:tblStyleColBandSize w:val="1"/>
      <w:tblInd w:w="0" w:type="nil"/>
      <w:tblBorders>
        <w:top w:val="single" w:sz="8" w:space="0" w:color="9BBB59"/>
        <w:bottom w:val="single" w:sz="8" w:space="0" w:color="9BBB59"/>
      </w:tblBorders>
    </w:tblPr>
    <w:tblStylePr w:type="firstRow">
      <w:rPr>
        <w:rFonts w:ascii="New York" w:eastAsia="Helvetica" w:hAnsi="New York" w:cs="Times New Roman" w:hint="default"/>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styleId="LightList-Accent4">
    <w:name w:val="Light List Accent 4"/>
    <w:basedOn w:val="TableNormal"/>
    <w:uiPriority w:val="61"/>
    <w:rsid w:val="00FA6A77"/>
    <w:pPr>
      <w:spacing w:after="0" w:line="240" w:lineRule="auto"/>
    </w:pPr>
    <w:rPr>
      <w:rFonts w:ascii="Arial Narrow" w:eastAsia="MS Gothic" w:hAnsi="Arial Narrow" w:cs="Arial"/>
      <w:color w:val="000000"/>
    </w:rPr>
    <w:tblPr>
      <w:tblStyleRowBandSize w:val="1"/>
      <w:tblStyleColBandSize w:val="1"/>
      <w:tblInd w:w="0" w:type="nil"/>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styleId="LightGrid-Accent4">
    <w:name w:val="Light Grid Accent 4"/>
    <w:basedOn w:val="TableNormal"/>
    <w:uiPriority w:val="62"/>
    <w:rsid w:val="00FA6A77"/>
    <w:pPr>
      <w:spacing w:after="0" w:line="240" w:lineRule="auto"/>
    </w:pPr>
    <w:rPr>
      <w:rFonts w:ascii="Arial Narrow" w:eastAsia="Times New Roman" w:hAnsi="Arial Narrow" w:cs="Arial"/>
    </w:rPr>
    <w:tblPr>
      <w:tblStyleRowBandSize w:val="1"/>
      <w:tblStyleColBandSize w:val="1"/>
      <w:tblInd w:w="0" w:type="nil"/>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MediumShading1-Accent4">
    <w:name w:val="Medium Shading 1 Accent 4"/>
    <w:basedOn w:val="TableNormal"/>
    <w:uiPriority w:val="63"/>
    <w:rsid w:val="00FA6A77"/>
    <w:pPr>
      <w:spacing w:after="0" w:line="240" w:lineRule="auto"/>
    </w:pPr>
    <w:rPr>
      <w:rFonts w:ascii="Arial Narrow" w:eastAsia="MS Gothic" w:hAnsi="Arial Narrow" w:cs="Arial"/>
      <w:color w:val="000000"/>
    </w:rPr>
    <w:tblPr>
      <w:tblStyleRowBandSize w:val="1"/>
      <w:tblStyleColBandSize w:val="1"/>
      <w:tblInd w:w="0" w:type="nil"/>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styleId="MediumShading2-Accent4">
    <w:name w:val="Medium Shading 2 Accent 4"/>
    <w:basedOn w:val="TableNormal"/>
    <w:uiPriority w:val="64"/>
    <w:rsid w:val="00FA6A77"/>
    <w:pPr>
      <w:spacing w:after="0" w:line="240" w:lineRule="auto"/>
    </w:pPr>
    <w:rPr>
      <w:rFonts w:ascii="Arial Narrow" w:eastAsia="Times New Roman" w:hAnsi="Arial Narrow" w:cs="Arial"/>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MediumList1-Accent4">
    <w:name w:val="Medium List 1 Accent 4"/>
    <w:basedOn w:val="TableNormal"/>
    <w:uiPriority w:val="65"/>
    <w:rsid w:val="00FA6A77"/>
    <w:pPr>
      <w:spacing w:after="0" w:line="240" w:lineRule="auto"/>
    </w:pPr>
    <w:rPr>
      <w:rFonts w:ascii="Arial Narrow" w:eastAsia="Times New Roman" w:hAnsi="Arial Narrow" w:cs="Arial"/>
      <w:color w:val="FFFFFF"/>
    </w:rPr>
    <w:tblPr>
      <w:tblStyleRowBandSize w:val="1"/>
      <w:tblStyleColBandSize w:val="1"/>
      <w:tblInd w:w="0" w:type="nil"/>
    </w:tblPr>
    <w:tcPr>
      <w:shd w:val="clear" w:color="auto" w:fill="9BBB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single" w:sz="18" w:space="0" w:color="FFFFFF"/>
          <w:bottom w:val="nil"/>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styleId="MediumList2-Accent4">
    <w:name w:val="Medium List 2 Accent 4"/>
    <w:basedOn w:val="TableNormal"/>
    <w:uiPriority w:val="66"/>
    <w:rsid w:val="00FA6A77"/>
    <w:pPr>
      <w:spacing w:after="0" w:line="240" w:lineRule="auto"/>
    </w:pPr>
    <w:rPr>
      <w:rFonts w:ascii="Arial Narrow" w:eastAsia="Times New Roman" w:hAnsi="Arial Narrow" w:cs="Arial"/>
      <w:color w:val="000000"/>
    </w:rPr>
    <w:tblPr>
      <w:tblStyleRowBandSize w:val="1"/>
      <w:tblStyleColBandSize w:val="1"/>
      <w:tblInd w:w="0" w:type="nil"/>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styleId="MediumGrid1-Accent4">
    <w:name w:val="Medium Grid 1 Accent 4"/>
    <w:basedOn w:val="TableNormal"/>
    <w:uiPriority w:val="67"/>
    <w:rsid w:val="00FA6A77"/>
    <w:pPr>
      <w:spacing w:after="0" w:line="240" w:lineRule="auto"/>
    </w:pPr>
    <w:rPr>
      <w:rFonts w:ascii="Arial Narrow" w:eastAsia="Times New Roman" w:hAnsi="Arial Narrow" w:cs="Arial"/>
      <w:color w:val="000000"/>
    </w:rPr>
    <w:tblPr>
      <w:tblStyleRowBandSize w:val="1"/>
      <w:tblStyleColBandSize w:val="1"/>
      <w:tblInd w:w="0" w:type="nil"/>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styleId="MediumGrid2-Accent4">
    <w:name w:val="Medium Grid 2 Accent 4"/>
    <w:basedOn w:val="TableNormal"/>
    <w:uiPriority w:val="68"/>
    <w:rsid w:val="00FA6A77"/>
    <w:pPr>
      <w:spacing w:after="0" w:line="240" w:lineRule="auto"/>
    </w:pPr>
    <w:rPr>
      <w:rFonts w:ascii="Arial Narrow" w:eastAsia="Times New Roman" w:hAnsi="Arial Narrow" w:cs="Arial"/>
      <w:color w:val="000000"/>
    </w:rPr>
    <w:tblPr>
      <w:tblStyleRowBandSize w:val="1"/>
      <w:tblStyleColBandSize w:val="1"/>
      <w:tblInd w:w="0" w:type="nil"/>
      <w:tblBorders>
        <w:insideH w:val="single" w:sz="4" w:space="0" w:color="FFFFFF"/>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styleId="MediumGrid3-Accent4">
    <w:name w:val="Medium Grid 3 Accent 4"/>
    <w:basedOn w:val="TableNormal"/>
    <w:uiPriority w:val="69"/>
    <w:rsid w:val="00FA6A77"/>
    <w:pPr>
      <w:spacing w:after="0" w:line="240" w:lineRule="auto"/>
    </w:pPr>
    <w:rPr>
      <w:rFonts w:ascii="Arial Narrow" w:eastAsia="Times New Roman" w:hAnsi="Arial Narrow" w:cs="Arial"/>
      <w:color w:val="5F497A"/>
    </w:rPr>
    <w:tblPr>
      <w:tblStyleRowBandSize w:val="1"/>
      <w:tblStyleColBandSize w:val="1"/>
      <w:tblInd w:w="0" w:type="nil"/>
      <w:tblBorders>
        <w:top w:val="single" w:sz="8" w:space="0" w:color="8064A2"/>
        <w:bottom w:val="single" w:sz="8" w:space="0" w:color="8064A2"/>
      </w:tblBorders>
    </w:tblPr>
    <w:tblStylePr w:type="firstRow">
      <w:pPr>
        <w:spacing w:beforeLines="0" w:before="0" w:beforeAutospacing="0" w:afterLines="0" w:after="0" w:afterAutospacing="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DarkList-Accent4">
    <w:name w:val="Dark List Accent 4"/>
    <w:basedOn w:val="TableNormal"/>
    <w:uiPriority w:val="70"/>
    <w:rsid w:val="00FA6A77"/>
    <w:pPr>
      <w:spacing w:after="0" w:line="240" w:lineRule="auto"/>
    </w:pPr>
    <w:rPr>
      <w:rFonts w:ascii="Arial Narrow" w:eastAsia="Times New Roman" w:hAnsi="Arial Narrow" w:cs="Arial"/>
    </w:rPr>
    <w:tblPr>
      <w:tblStyleRowBandSize w:val="1"/>
      <w:tblStyleColBandSize w:val="1"/>
      <w:tblInd w:w="0" w:type="nil"/>
      <w:tblBorders>
        <w:top w:val="single" w:sz="8" w:space="0" w:color="8064A2"/>
        <w:left w:val="single" w:sz="8" w:space="0" w:color="8064A2"/>
        <w:bottom w:val="single" w:sz="8" w:space="0" w:color="8064A2"/>
        <w:right w:val="single" w:sz="8" w:space="0" w:color="8064A2"/>
      </w:tblBorders>
    </w:tblPr>
    <w:tblStylePr w:type="firstRow">
      <w:pPr>
        <w:spacing w:beforeLines="0" w:before="0" w:beforeAutospacing="0" w:afterLines="0" w:after="0" w:afterAutospacing="0" w:line="240" w:lineRule="auto"/>
      </w:pPr>
      <w:rPr>
        <w:b/>
        <w:bCs/>
        <w:color w:val="FFFFFF"/>
      </w:rPr>
      <w:tblPr/>
      <w:tcPr>
        <w:shd w:val="clear" w:color="auto" w:fill="8064A2"/>
      </w:tcPr>
    </w:tblStylePr>
    <w:tblStylePr w:type="lastRow">
      <w:pPr>
        <w:spacing w:beforeLines="0" w:before="0" w:beforeAutospacing="0" w:afterLines="0" w:after="0" w:afterAutospacing="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styleId="ColorfulShading-Accent4">
    <w:name w:val="Colorful Shading Accent 4"/>
    <w:basedOn w:val="TableNormal"/>
    <w:uiPriority w:val="71"/>
    <w:rsid w:val="00FA6A77"/>
    <w:pPr>
      <w:spacing w:after="0" w:line="240" w:lineRule="auto"/>
    </w:pPr>
    <w:rPr>
      <w:rFonts w:ascii="Arial Narrow" w:eastAsia="Times New Roman" w:hAnsi="Arial Narrow" w:cs="Arial"/>
    </w:rPr>
    <w:tblPr>
      <w:tblStyleRowBandSize w:val="1"/>
      <w:tblStyleColBandSize w:val="1"/>
      <w:tblInd w:w="0" w:type="nil"/>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Lines="0" w:before="0" w:beforeAutospacing="0" w:afterLines="0" w:after="0" w:afterAutospacing="0" w:line="240" w:lineRule="auto"/>
      </w:pPr>
      <w:rPr>
        <w:rFonts w:ascii="New York" w:eastAsia="Helvetica" w:hAnsi="New York" w:cs="Times New Roman" w:hint="default"/>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Lines="0" w:before="0" w:beforeAutospacing="0" w:afterLines="0" w:after="0" w:afterAutospacing="0" w:line="240" w:lineRule="auto"/>
      </w:pPr>
      <w:rPr>
        <w:rFonts w:ascii="New York" w:eastAsia="Helvetica" w:hAnsi="New York" w:cs="Times New Roman" w:hint="default"/>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New York" w:eastAsia="Helvetica" w:hAnsi="New York" w:cs="Times New Roman" w:hint="default"/>
        <w:b/>
        <w:bCs/>
      </w:rPr>
    </w:tblStylePr>
    <w:tblStylePr w:type="lastCol">
      <w:rPr>
        <w:rFonts w:ascii="New York" w:eastAsia="Helvetica" w:hAnsi="New York" w:cs="Times New Roman" w:hint="default"/>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ColorfulList-Accent4">
    <w:name w:val="Colorful List Accent 4"/>
    <w:basedOn w:val="TableNormal"/>
    <w:uiPriority w:val="72"/>
    <w:rsid w:val="00FA6A77"/>
    <w:pPr>
      <w:spacing w:after="0" w:line="240" w:lineRule="auto"/>
    </w:pPr>
    <w:rPr>
      <w:rFonts w:ascii="Arial Narrow" w:eastAsia="Times New Roman" w:hAnsi="Arial Narrow" w:cs="Arial"/>
    </w:rPr>
    <w:tblPr>
      <w:tblStyleRowBandSize w:val="1"/>
      <w:tblStyleColBandSize w:val="1"/>
      <w:tblInd w:w="0" w:type="nil"/>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Lines="0" w:before="0" w:beforeAutospacing="0" w:afterLines="0" w:after="0" w:afterAutospacing="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Lines="0" w:before="0" w:beforeAutospacing="0" w:afterLines="0" w:after="0" w:afterAutospacing="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ColorfulGrid-Accent4">
    <w:name w:val="Colorful Grid Accent 4"/>
    <w:basedOn w:val="TableNormal"/>
    <w:uiPriority w:val="73"/>
    <w:rsid w:val="00FA6A77"/>
    <w:pPr>
      <w:spacing w:after="0" w:line="240" w:lineRule="auto"/>
    </w:pPr>
    <w:rPr>
      <w:rFonts w:ascii="Arial Narrow" w:eastAsia="Times New Roman" w:hAnsi="Arial Narrow" w:cs="Arial"/>
    </w:rPr>
    <w:tblPr>
      <w:tblStyleRowBandSize w:val="1"/>
      <w:tblStyleColBandSize w:val="1"/>
      <w:tblInd w:w="0" w:type="nil"/>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LightShading-Accent5">
    <w:name w:val="Light Shading Accent 5"/>
    <w:basedOn w:val="TableNormal"/>
    <w:uiPriority w:val="60"/>
    <w:rsid w:val="00FA6A77"/>
    <w:pPr>
      <w:spacing w:after="0" w:line="240" w:lineRule="auto"/>
    </w:pPr>
    <w:rPr>
      <w:rFonts w:ascii="Arial Narrow" w:eastAsia="Times New Roman" w:hAnsi="Arial Narrow" w:cs="Arial"/>
      <w:color w:val="000000"/>
    </w:rPr>
    <w:tblPr>
      <w:tblStyleRowBandSize w:val="1"/>
      <w:tblStyleColBandSize w:val="1"/>
      <w:tblInd w:w="0" w:type="nil"/>
      <w:tblBorders>
        <w:top w:val="single" w:sz="8" w:space="0" w:color="8064A2"/>
        <w:bottom w:val="single" w:sz="8" w:space="0" w:color="8064A2"/>
      </w:tblBorders>
    </w:tblPr>
    <w:tblStylePr w:type="firstRow">
      <w:rPr>
        <w:rFonts w:ascii="New York" w:eastAsia="Helvetica" w:hAnsi="New York" w:cs="Times New Roman" w:hint="default"/>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styleId="LightList-Accent5">
    <w:name w:val="Light List Accent 5"/>
    <w:basedOn w:val="TableNormal"/>
    <w:uiPriority w:val="61"/>
    <w:rsid w:val="00FA6A77"/>
    <w:pPr>
      <w:spacing w:after="0" w:line="240" w:lineRule="auto"/>
    </w:pPr>
    <w:rPr>
      <w:rFonts w:ascii="Arial Narrow" w:eastAsia="MS Gothic" w:hAnsi="Arial Narrow" w:cs="Arial"/>
      <w:color w:val="000000"/>
    </w:rPr>
    <w:tblPr>
      <w:tblStyleRowBandSize w:val="1"/>
      <w:tblStyleColBandSize w:val="1"/>
      <w:tblInd w:w="0" w:type="nil"/>
      <w:tblBorders>
        <w:top w:val="single" w:sz="8" w:space="0" w:color="8064A2"/>
        <w:left w:val="single" w:sz="8" w:space="0" w:color="8064A2"/>
        <w:bottom w:val="single" w:sz="8" w:space="0" w:color="8064A2"/>
        <w:right w:val="single" w:sz="8" w:space="0" w:color="8064A2"/>
      </w:tblBorders>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styleId="LightGrid-Accent5">
    <w:name w:val="Light Grid Accent 5"/>
    <w:basedOn w:val="TableNormal"/>
    <w:uiPriority w:val="62"/>
    <w:rsid w:val="00FA6A77"/>
    <w:pPr>
      <w:spacing w:after="0" w:line="240" w:lineRule="auto"/>
    </w:pPr>
    <w:rPr>
      <w:rFonts w:ascii="Arial Narrow" w:eastAsia="Times New Roman" w:hAnsi="Arial Narrow" w:cs="Arial"/>
    </w:rPr>
    <w:tblPr>
      <w:tblStyleRowBandSize w:val="1"/>
      <w:tblStyleColBandSize w:val="1"/>
      <w:tblInd w:w="0" w:type="nil"/>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styleId="MediumShading1-Accent5">
    <w:name w:val="Medium Shading 1 Accent 5"/>
    <w:basedOn w:val="TableNormal"/>
    <w:uiPriority w:val="63"/>
    <w:rsid w:val="00FA6A77"/>
    <w:pPr>
      <w:spacing w:after="0" w:line="240" w:lineRule="auto"/>
    </w:pPr>
    <w:rPr>
      <w:rFonts w:ascii="Arial Narrow" w:eastAsia="MS Gothic" w:hAnsi="Arial Narrow" w:cs="Arial"/>
      <w:color w:val="000000"/>
    </w:rPr>
    <w:tblPr>
      <w:tblStyleRowBandSize w:val="1"/>
      <w:tblStyleColBandSize w:val="1"/>
      <w:tblInd w:w="0" w:type="nil"/>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8064A2"/>
          <w:insideV w:val="single" w:sz="6" w:space="0" w:color="8064A2"/>
        </w:tcBorders>
        <w:shd w:val="clear" w:color="auto" w:fill="BFB1D0"/>
      </w:tcPr>
    </w:tblStylePr>
    <w:tblStylePr w:type="nwCell">
      <w:tblPr/>
      <w:tcPr>
        <w:shd w:val="clear" w:color="auto" w:fill="FFFFFF"/>
      </w:tcPr>
    </w:tblStylePr>
  </w:style>
  <w:style w:type="table" w:styleId="MediumShading2-Accent5">
    <w:name w:val="Medium Shading 2 Accent 5"/>
    <w:basedOn w:val="TableNormal"/>
    <w:uiPriority w:val="64"/>
    <w:rsid w:val="00FA6A77"/>
    <w:pPr>
      <w:spacing w:after="0" w:line="240" w:lineRule="auto"/>
    </w:pPr>
    <w:rPr>
      <w:rFonts w:ascii="Arial Narrow" w:eastAsia="Times New Roman" w:hAnsi="Arial Narrow" w:cs="Arial"/>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styleId="MediumList1-Accent5">
    <w:name w:val="Medium List 1 Accent 5"/>
    <w:basedOn w:val="TableNormal"/>
    <w:uiPriority w:val="65"/>
    <w:rsid w:val="00FA6A77"/>
    <w:pPr>
      <w:spacing w:after="0" w:line="240" w:lineRule="auto"/>
    </w:pPr>
    <w:rPr>
      <w:rFonts w:ascii="Arial Narrow" w:eastAsia="Times New Roman" w:hAnsi="Arial Narrow" w:cs="Arial"/>
      <w:color w:val="FFFFFF"/>
    </w:rPr>
    <w:tblPr>
      <w:tblStyleRowBandSize w:val="1"/>
      <w:tblStyleColBandSize w:val="1"/>
      <w:tblInd w:w="0" w:type="nil"/>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styleId="MediumList2-Accent5">
    <w:name w:val="Medium List 2 Accent 5"/>
    <w:basedOn w:val="TableNormal"/>
    <w:uiPriority w:val="66"/>
    <w:rsid w:val="00FA6A77"/>
    <w:pPr>
      <w:spacing w:after="0" w:line="240" w:lineRule="auto"/>
    </w:pPr>
    <w:rPr>
      <w:rFonts w:ascii="Arial Narrow" w:eastAsia="Times New Roman" w:hAnsi="Arial Narrow" w:cs="Arial"/>
      <w:color w:val="000000"/>
    </w:rPr>
    <w:tblPr>
      <w:tblStyleRowBandSize w:val="1"/>
      <w:tblStyleColBandSize w:val="1"/>
      <w:tblInd w:w="0" w:type="nil"/>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b/>
        <w:bCs/>
      </w:rPr>
      <w:tblPr/>
      <w:tcPr>
        <w:tcBorders>
          <w:top w:val="nil"/>
          <w:left w:val="nil"/>
          <w:bottom w:val="single" w:sz="24" w:space="0" w:color="9BBB59"/>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4C3B62"/>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styleId="MediumGrid1-Accent5">
    <w:name w:val="Medium Grid 1 Accent 5"/>
    <w:basedOn w:val="TableNormal"/>
    <w:uiPriority w:val="67"/>
    <w:rsid w:val="00FA6A77"/>
    <w:pPr>
      <w:spacing w:after="0" w:line="240" w:lineRule="auto"/>
    </w:pPr>
    <w:rPr>
      <w:rFonts w:ascii="Arial Narrow" w:eastAsia="Times New Roman" w:hAnsi="Arial Narrow" w:cs="Arial"/>
      <w:color w:val="000000"/>
    </w:rPr>
    <w:tblPr>
      <w:tblStyleRowBandSize w:val="1"/>
      <w:tblStyleColBandSize w:val="1"/>
      <w:tblInd w:w="0" w:type="nil"/>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styleId="MediumGrid2-Accent5">
    <w:name w:val="Medium Grid 2 Accent 5"/>
    <w:basedOn w:val="TableNormal"/>
    <w:uiPriority w:val="68"/>
    <w:rsid w:val="00FA6A77"/>
    <w:pPr>
      <w:spacing w:after="0" w:line="240" w:lineRule="auto"/>
    </w:pPr>
    <w:rPr>
      <w:rFonts w:ascii="Arial Narrow" w:eastAsia="Times New Roman" w:hAnsi="Arial Narrow" w:cs="Arial"/>
      <w:color w:val="000000"/>
    </w:rPr>
    <w:tblPr>
      <w:tblStyleRowBandSize w:val="1"/>
      <w:tblStyleColBandSize w:val="1"/>
      <w:tblInd w:w="0" w:type="nil"/>
      <w:tblBorders>
        <w:insideH w:val="single" w:sz="4" w:space="0" w:color="FFFFFF"/>
      </w:tblBorders>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styleId="MediumGrid3-Accent5">
    <w:name w:val="Medium Grid 3 Accent 5"/>
    <w:basedOn w:val="TableNormal"/>
    <w:uiPriority w:val="69"/>
    <w:rsid w:val="00FA6A77"/>
    <w:pPr>
      <w:spacing w:after="0" w:line="240" w:lineRule="auto"/>
    </w:pPr>
    <w:rPr>
      <w:rFonts w:ascii="Arial Narrow" w:eastAsia="Times New Roman" w:hAnsi="Arial Narrow" w:cs="Arial"/>
      <w:color w:val="31849B"/>
    </w:rPr>
    <w:tblPr>
      <w:tblStyleRowBandSize w:val="1"/>
      <w:tblStyleColBandSize w:val="1"/>
      <w:tblInd w:w="0" w:type="nil"/>
      <w:tblBorders>
        <w:top w:val="single" w:sz="8" w:space="0" w:color="4BACC6"/>
        <w:bottom w:val="single" w:sz="8" w:space="0" w:color="4BACC6"/>
      </w:tblBorders>
    </w:tblPr>
    <w:tblStylePr w:type="firstRow">
      <w:pPr>
        <w:spacing w:beforeLines="0" w:before="0" w:beforeAutospacing="0" w:afterLines="0" w:after="0" w:afterAutospacing="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DarkList-Accent5">
    <w:name w:val="Dark List Accent 5"/>
    <w:basedOn w:val="TableNormal"/>
    <w:uiPriority w:val="70"/>
    <w:rsid w:val="00FA6A77"/>
    <w:pPr>
      <w:spacing w:after="0" w:line="240" w:lineRule="auto"/>
    </w:pPr>
    <w:rPr>
      <w:rFonts w:ascii="Arial Narrow" w:eastAsia="Times New Roman" w:hAnsi="Arial Narrow" w:cs="Arial"/>
    </w:rPr>
    <w:tblPr>
      <w:tblStyleRowBandSize w:val="1"/>
      <w:tblStyleColBandSize w:val="1"/>
      <w:tblInd w:w="0" w:type="nil"/>
      <w:tblBorders>
        <w:top w:val="single" w:sz="8" w:space="0" w:color="4BACC6"/>
        <w:left w:val="single" w:sz="8" w:space="0" w:color="4BACC6"/>
        <w:bottom w:val="single" w:sz="8" w:space="0" w:color="4BACC6"/>
        <w:right w:val="single" w:sz="8" w:space="0" w:color="4BACC6"/>
      </w:tblBorders>
    </w:tblPr>
    <w:tblStylePr w:type="firstRow">
      <w:pPr>
        <w:spacing w:beforeLines="0" w:before="0" w:beforeAutospacing="0" w:afterLines="0" w:after="0" w:afterAutospacing="0" w:line="240" w:lineRule="auto"/>
      </w:pPr>
      <w:rPr>
        <w:b/>
        <w:bCs/>
        <w:color w:val="FFFFFF"/>
      </w:rPr>
      <w:tblPr/>
      <w:tcPr>
        <w:shd w:val="clear" w:color="auto" w:fill="4BACC6"/>
      </w:tcPr>
    </w:tblStylePr>
    <w:tblStylePr w:type="lastRow">
      <w:pPr>
        <w:spacing w:beforeLines="0" w:before="0" w:beforeAutospacing="0" w:afterLines="0" w:after="0" w:afterAutospacing="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ColorfulShading-Accent5">
    <w:name w:val="Colorful Shading Accent 5"/>
    <w:basedOn w:val="TableNormal"/>
    <w:uiPriority w:val="71"/>
    <w:rsid w:val="00FA6A77"/>
    <w:pPr>
      <w:spacing w:after="0" w:line="240" w:lineRule="auto"/>
    </w:pPr>
    <w:rPr>
      <w:rFonts w:ascii="Arial Narrow" w:eastAsia="Times New Roman" w:hAnsi="Arial Narrow" w:cs="Arial"/>
    </w:rPr>
    <w:tblPr>
      <w:tblStyleRowBandSize w:val="1"/>
      <w:tblStyleColBandSize w:val="1"/>
      <w:tblInd w:w="0" w:type="nil"/>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Lines="0" w:before="0" w:beforeAutospacing="0" w:afterLines="0" w:after="0" w:afterAutospacing="0" w:line="240" w:lineRule="auto"/>
      </w:pPr>
      <w:rPr>
        <w:rFonts w:ascii="New York" w:eastAsia="Helvetica" w:hAnsi="New York" w:cs="Times New Roman" w:hint="default"/>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Lines="0" w:before="0" w:beforeAutospacing="0" w:afterLines="0" w:after="0" w:afterAutospacing="0" w:line="240" w:lineRule="auto"/>
      </w:pPr>
      <w:rPr>
        <w:rFonts w:ascii="New York" w:eastAsia="Helvetica" w:hAnsi="New York" w:cs="Times New Roman" w:hint="default"/>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New York" w:eastAsia="Helvetica" w:hAnsi="New York" w:cs="Times New Roman" w:hint="default"/>
        <w:b/>
        <w:bCs/>
      </w:rPr>
    </w:tblStylePr>
    <w:tblStylePr w:type="lastCol">
      <w:rPr>
        <w:rFonts w:ascii="New York" w:eastAsia="Helvetica" w:hAnsi="New York" w:cs="Times New Roman" w:hint="default"/>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ColorfulList-Accent5">
    <w:name w:val="Colorful List Accent 5"/>
    <w:basedOn w:val="TableNormal"/>
    <w:uiPriority w:val="72"/>
    <w:rsid w:val="00FA6A77"/>
    <w:pPr>
      <w:spacing w:after="0" w:line="240" w:lineRule="auto"/>
    </w:pPr>
    <w:rPr>
      <w:rFonts w:ascii="Arial Narrow" w:eastAsia="Times New Roman" w:hAnsi="Arial Narrow" w:cs="Arial"/>
    </w:rPr>
    <w:tblPr>
      <w:tblStyleRowBandSize w:val="1"/>
      <w:tblStyleColBandSize w:val="1"/>
      <w:tblInd w:w="0" w:type="nil"/>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Lines="0" w:before="0" w:beforeAutospacing="0" w:afterLines="0" w:after="0" w:afterAutospacing="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Lines="0" w:before="0" w:beforeAutospacing="0" w:afterLines="0" w:after="0" w:afterAutospacing="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ColorfulGrid-Accent5">
    <w:name w:val="Colorful Grid Accent 5"/>
    <w:basedOn w:val="TableNormal"/>
    <w:uiPriority w:val="73"/>
    <w:rsid w:val="00FA6A77"/>
    <w:pPr>
      <w:spacing w:after="0" w:line="240" w:lineRule="auto"/>
    </w:pPr>
    <w:rPr>
      <w:rFonts w:ascii="Arial Narrow" w:eastAsia="Times New Roman" w:hAnsi="Arial Narrow" w:cs="Arial"/>
    </w:rPr>
    <w:tblPr>
      <w:tblStyleRowBandSize w:val="1"/>
      <w:tblStyleColBandSize w:val="1"/>
      <w:tblInd w:w="0" w:type="nil"/>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LightShading-Accent6">
    <w:name w:val="Light Shading Accent 6"/>
    <w:basedOn w:val="TableNormal"/>
    <w:uiPriority w:val="60"/>
    <w:rsid w:val="00FA6A77"/>
    <w:pPr>
      <w:spacing w:after="0" w:line="240" w:lineRule="auto"/>
    </w:pPr>
    <w:rPr>
      <w:rFonts w:ascii="Arial Narrow" w:eastAsia="Times New Roman" w:hAnsi="Arial Narrow" w:cs="Arial"/>
      <w:color w:val="000000"/>
    </w:rPr>
    <w:tblPr>
      <w:tblStyleRowBandSize w:val="1"/>
      <w:tblStyleColBandSize w:val="1"/>
      <w:tblInd w:w="0" w:type="nil"/>
      <w:tblBorders>
        <w:top w:val="single" w:sz="8" w:space="0" w:color="4BACC6"/>
        <w:bottom w:val="single" w:sz="8" w:space="0" w:color="4BACC6"/>
      </w:tblBorders>
    </w:tblPr>
    <w:tblStylePr w:type="firstRow">
      <w:rPr>
        <w:rFonts w:ascii="New York" w:eastAsia="Helvetica" w:hAnsi="New York" w:cs="Times New Roman" w:hint="default"/>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styleId="LightList-Accent6">
    <w:name w:val="Light List Accent 6"/>
    <w:basedOn w:val="TableNormal"/>
    <w:uiPriority w:val="61"/>
    <w:rsid w:val="00FA6A77"/>
    <w:pPr>
      <w:spacing w:after="0" w:line="240" w:lineRule="auto"/>
    </w:pPr>
    <w:rPr>
      <w:rFonts w:ascii="Arial Narrow" w:eastAsia="MS Gothic" w:hAnsi="Arial Narrow" w:cs="Arial"/>
      <w:color w:val="000000"/>
    </w:rPr>
    <w:tblPr>
      <w:tblStyleRowBandSize w:val="1"/>
      <w:tblStyleColBandSize w:val="1"/>
      <w:tblInd w:w="0" w:type="nil"/>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styleId="LightGrid-Accent6">
    <w:name w:val="Light Grid Accent 6"/>
    <w:basedOn w:val="TableNormal"/>
    <w:uiPriority w:val="62"/>
    <w:rsid w:val="00FA6A77"/>
    <w:pPr>
      <w:spacing w:after="0" w:line="240" w:lineRule="auto"/>
    </w:pPr>
    <w:rPr>
      <w:rFonts w:ascii="Arial Narrow" w:eastAsia="Times New Roman" w:hAnsi="Arial Narrow" w:cs="Arial"/>
    </w:rPr>
    <w:tblPr>
      <w:tblStyleRowBandSize w:val="1"/>
      <w:tblStyleColBandSize w:val="1"/>
      <w:tblInd w:w="0" w:type="nil"/>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MediumShading1-Accent6">
    <w:name w:val="Medium Shading 1 Accent 6"/>
    <w:basedOn w:val="TableNormal"/>
    <w:uiPriority w:val="63"/>
    <w:rsid w:val="00FA6A77"/>
    <w:pPr>
      <w:spacing w:after="0" w:line="240" w:lineRule="auto"/>
    </w:pPr>
    <w:rPr>
      <w:rFonts w:ascii="Arial Narrow" w:eastAsia="MS Gothic" w:hAnsi="Arial Narrow" w:cs="Arial"/>
      <w:color w:val="000000"/>
    </w:rPr>
    <w:tblPr>
      <w:tblStyleRowBandSize w:val="1"/>
      <w:tblStyleColBandSize w:val="1"/>
      <w:tblInd w:w="0" w:type="nil"/>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styleId="MediumShading2-Accent6">
    <w:name w:val="Medium Shading 2 Accent 6"/>
    <w:basedOn w:val="TableNormal"/>
    <w:uiPriority w:val="64"/>
    <w:rsid w:val="00FA6A77"/>
    <w:pPr>
      <w:spacing w:after="0" w:line="240" w:lineRule="auto"/>
    </w:pPr>
    <w:rPr>
      <w:rFonts w:ascii="Arial Narrow" w:eastAsia="Times New Roman" w:hAnsi="Arial Narrow" w:cs="Arial"/>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MediumList1-Accent6">
    <w:name w:val="Medium List 1 Accent 6"/>
    <w:basedOn w:val="TableNormal"/>
    <w:uiPriority w:val="65"/>
    <w:rsid w:val="00FA6A77"/>
    <w:pPr>
      <w:spacing w:after="0" w:line="240" w:lineRule="auto"/>
    </w:pPr>
    <w:rPr>
      <w:rFonts w:ascii="Arial Narrow" w:eastAsia="Times New Roman" w:hAnsi="Arial Narrow" w:cs="Arial"/>
      <w:color w:val="FFFFFF"/>
    </w:rPr>
    <w:tblPr>
      <w:tblStyleRowBandSize w:val="1"/>
      <w:tblStyleColBandSize w:val="1"/>
      <w:tblInd w:w="0" w:type="nil"/>
    </w:tblPr>
    <w:tcPr>
      <w:shd w:val="clear" w:color="auto" w:fill="4BACC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single" w:sz="18" w:space="0" w:color="FFFFFF"/>
          <w:bottom w:val="nil"/>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styleId="MediumList2-Accent6">
    <w:name w:val="Medium List 2 Accent 6"/>
    <w:basedOn w:val="TableNormal"/>
    <w:uiPriority w:val="66"/>
    <w:rsid w:val="00FA6A77"/>
    <w:pPr>
      <w:spacing w:after="0" w:line="240" w:lineRule="auto"/>
    </w:pPr>
    <w:rPr>
      <w:rFonts w:ascii="Arial Narrow" w:eastAsia="Times New Roman" w:hAnsi="Arial Narrow" w:cs="Arial"/>
      <w:color w:val="000000"/>
    </w:rPr>
    <w:tblPr>
      <w:tblStyleRowBandSize w:val="1"/>
      <w:tblStyleColBandSize w:val="1"/>
      <w:tblInd w:w="0" w:type="nil"/>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styleId="MediumGrid1-Accent6">
    <w:name w:val="Medium Grid 1 Accent 6"/>
    <w:basedOn w:val="TableNormal"/>
    <w:uiPriority w:val="67"/>
    <w:rsid w:val="00FA6A77"/>
    <w:pPr>
      <w:spacing w:after="0" w:line="240" w:lineRule="auto"/>
    </w:pPr>
    <w:rPr>
      <w:rFonts w:ascii="Arial Narrow" w:eastAsia="Times New Roman" w:hAnsi="Arial Narrow" w:cs="Arial"/>
      <w:color w:val="000000"/>
    </w:rPr>
    <w:tblPr>
      <w:tblStyleRowBandSize w:val="1"/>
      <w:tblStyleColBandSize w:val="1"/>
      <w:tblInd w:w="0" w:type="nil"/>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styleId="MediumGrid2-Accent6">
    <w:name w:val="Medium Grid 2 Accent 6"/>
    <w:basedOn w:val="TableNormal"/>
    <w:uiPriority w:val="68"/>
    <w:rsid w:val="00FA6A77"/>
    <w:pPr>
      <w:spacing w:after="0" w:line="240" w:lineRule="auto"/>
    </w:pPr>
    <w:rPr>
      <w:rFonts w:ascii="Arial Narrow" w:eastAsia="Times New Roman" w:hAnsi="Arial Narrow" w:cs="Arial"/>
      <w:color w:val="000000"/>
    </w:rPr>
    <w:tblPr>
      <w:tblStyleRowBandSize w:val="1"/>
      <w:tblStyleColBandSize w:val="1"/>
      <w:tblInd w:w="0" w:type="nil"/>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styleId="DarkList-Accent6">
    <w:name w:val="Dark List Accent 6"/>
    <w:basedOn w:val="TableNormal"/>
    <w:uiPriority w:val="70"/>
    <w:rsid w:val="00FA6A77"/>
    <w:pPr>
      <w:spacing w:after="0" w:line="240" w:lineRule="auto"/>
    </w:pPr>
    <w:rPr>
      <w:rFonts w:ascii="Arial Narrow" w:eastAsia="Times New Roman" w:hAnsi="Arial Narrow" w:cs="Arial"/>
    </w:rPr>
    <w:tblPr>
      <w:tblStyleRowBandSize w:val="1"/>
      <w:tblStyleColBandSize w:val="1"/>
      <w:tblInd w:w="0" w:type="nil"/>
      <w:tblBorders>
        <w:top w:val="single" w:sz="8" w:space="0" w:color="F79646"/>
        <w:left w:val="single" w:sz="8" w:space="0" w:color="F79646"/>
        <w:bottom w:val="single" w:sz="8" w:space="0" w:color="F79646"/>
        <w:right w:val="single" w:sz="8" w:space="0" w:color="F79646"/>
      </w:tblBorders>
    </w:tblPr>
    <w:tblStylePr w:type="firstRow">
      <w:pPr>
        <w:spacing w:beforeLines="0" w:before="0" w:beforeAutospacing="0" w:afterLines="0" w:after="0" w:afterAutospacing="0" w:line="240" w:lineRule="auto"/>
      </w:pPr>
      <w:rPr>
        <w:b/>
        <w:bCs/>
        <w:color w:val="FFFFFF"/>
      </w:rPr>
      <w:tblPr/>
      <w:tcPr>
        <w:shd w:val="clear" w:color="auto" w:fill="F79646"/>
      </w:tcPr>
    </w:tblStylePr>
    <w:tblStylePr w:type="lastRow">
      <w:pPr>
        <w:spacing w:beforeLines="0" w:before="0" w:beforeAutospacing="0" w:afterLines="0" w:after="0" w:afterAutospacing="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ColorfulShading-Accent6">
    <w:name w:val="Colorful Shading Accent 6"/>
    <w:basedOn w:val="TableNormal"/>
    <w:uiPriority w:val="71"/>
    <w:rsid w:val="00FA6A77"/>
    <w:pPr>
      <w:spacing w:after="0" w:line="240" w:lineRule="auto"/>
    </w:pPr>
    <w:rPr>
      <w:rFonts w:ascii="Arial Narrow" w:eastAsia="Times New Roman" w:hAnsi="Arial Narrow" w:cs="Arial"/>
    </w:rPr>
    <w:tblPr>
      <w:tblStyleRowBandSize w:val="1"/>
      <w:tblStyleColBandSize w:val="1"/>
      <w:tblInd w:w="0" w:type="nil"/>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Lines="0" w:before="0" w:beforeAutospacing="0" w:afterLines="0" w:after="0" w:afterAutospacing="0" w:line="240" w:lineRule="auto"/>
      </w:pPr>
      <w:rPr>
        <w:rFonts w:ascii="New York" w:eastAsia="Helvetica" w:hAnsi="New York" w:cs="Times New Roman" w:hint="default"/>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Lines="0" w:before="0" w:beforeAutospacing="0" w:afterLines="0" w:after="0" w:afterAutospacing="0" w:line="240" w:lineRule="auto"/>
      </w:pPr>
      <w:rPr>
        <w:rFonts w:ascii="New York" w:eastAsia="Helvetica" w:hAnsi="New York" w:cs="Times New Roman" w:hint="default"/>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New York" w:eastAsia="Helvetica" w:hAnsi="New York" w:cs="Times New Roman" w:hint="default"/>
        <w:b/>
        <w:bCs/>
      </w:rPr>
    </w:tblStylePr>
    <w:tblStylePr w:type="lastCol">
      <w:rPr>
        <w:rFonts w:ascii="New York" w:eastAsia="Helvetica" w:hAnsi="New York" w:cs="Times New Roman" w:hint="default"/>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ColorfulList-Accent6">
    <w:name w:val="Colorful List Accent 6"/>
    <w:basedOn w:val="TableNormal"/>
    <w:uiPriority w:val="72"/>
    <w:rsid w:val="00FA6A77"/>
    <w:pPr>
      <w:spacing w:after="0" w:line="240" w:lineRule="auto"/>
    </w:pPr>
    <w:rPr>
      <w:rFonts w:ascii="Arial Narrow" w:eastAsia="Times New Roman" w:hAnsi="Arial Narrow" w:cs="Arial"/>
    </w:rPr>
    <w:tblPr>
      <w:tblStyleRowBandSize w:val="1"/>
      <w:tblStyleColBandSize w:val="1"/>
      <w:tblInd w:w="0" w:type="nil"/>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Lines="0" w:before="0" w:beforeAutospacing="0" w:afterLines="0" w:after="0" w:afterAutospacing="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Lines="0" w:before="0" w:beforeAutospacing="0" w:afterLines="0" w:after="0" w:afterAutospacing="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ColorfulGrid-Accent6">
    <w:name w:val="Colorful Grid Accent 6"/>
    <w:basedOn w:val="TableNormal"/>
    <w:uiPriority w:val="73"/>
    <w:rsid w:val="00FA6A77"/>
    <w:pPr>
      <w:spacing w:after="0" w:line="240" w:lineRule="auto"/>
    </w:pPr>
    <w:rPr>
      <w:rFonts w:ascii="Arial Narrow" w:eastAsia="Times New Roman" w:hAnsi="Arial Narrow" w:cs="Arial"/>
    </w:rPr>
    <w:tblPr>
      <w:tblStyleRowBandSize w:val="1"/>
      <w:tblStyleColBandSize w:val="1"/>
      <w:tblInd w:w="0" w:type="nil"/>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WCCLTP1">
    <w:name w:val="WCC LTP 1"/>
    <w:basedOn w:val="TableNormal"/>
    <w:uiPriority w:val="99"/>
    <w:rsid w:val="00FA6A77"/>
    <w:pPr>
      <w:spacing w:before="113" w:after="113" w:line="200" w:lineRule="atLeast"/>
    </w:pPr>
    <w:rPr>
      <w:rFonts w:eastAsia="Times New Roman" w:cs="Times New Roman"/>
      <w:sz w:val="16"/>
    </w:rPr>
    <w:tblPr>
      <w:tblInd w:w="0" w:type="nil"/>
      <w:tblBorders>
        <w:top w:val="single" w:sz="4" w:space="0" w:color="82858F"/>
        <w:bottom w:val="single" w:sz="4" w:space="0" w:color="82858F"/>
        <w:insideH w:val="single" w:sz="4" w:space="0" w:color="82858F"/>
      </w:tblBorders>
      <w:tblCellMar>
        <w:left w:w="113" w:type="dxa"/>
        <w:right w:w="113" w:type="dxa"/>
      </w:tblCellMar>
    </w:tblPr>
    <w:tblStylePr w:type="firstRow">
      <w:rPr>
        <w:rFonts w:asciiTheme="majorHAnsi" w:hAnsiTheme="majorHAnsi" w:hint="default"/>
      </w:rPr>
      <w:tblPr/>
      <w:tcPr>
        <w:tcBorders>
          <w:top w:val="nil"/>
          <w:left w:val="nil"/>
          <w:bottom w:val="single" w:sz="4" w:space="0" w:color="82858F"/>
          <w:right w:val="nil"/>
          <w:insideH w:val="nil"/>
          <w:insideV w:val="nil"/>
          <w:tl2br w:val="nil"/>
          <w:tr2bl w:val="nil"/>
        </w:tcBorders>
        <w:shd w:val="clear" w:color="auto" w:fill="FFDE00"/>
      </w:tcPr>
    </w:tblStylePr>
  </w:style>
  <w:style w:type="table" w:customStyle="1" w:styleId="WCCLTP2">
    <w:name w:val="WCC LTP 2"/>
    <w:basedOn w:val="WCCLTP1"/>
    <w:uiPriority w:val="99"/>
    <w:rsid w:val="00FA6A77"/>
    <w:tblPr>
      <w:tblBorders>
        <w:top w:val="none" w:sz="0" w:space="0" w:color="auto"/>
        <w:bottom w:val="none" w:sz="0" w:space="0" w:color="auto"/>
        <w:insideH w:val="none" w:sz="0" w:space="0" w:color="auto"/>
        <w:insideV w:val="single" w:sz="4" w:space="0" w:color="82858F"/>
      </w:tblBorders>
    </w:tblPr>
    <w:tblStylePr w:type="firstRow">
      <w:rPr>
        <w:rFonts w:asciiTheme="majorHAnsi" w:hAnsiTheme="majorHAnsi" w:hint="default"/>
        <w:b/>
      </w:rPr>
      <w:tblPr/>
      <w:tcPr>
        <w:tcBorders>
          <w:top w:val="nil"/>
          <w:left w:val="nil"/>
          <w:bottom w:val="single" w:sz="4" w:space="0" w:color="82858F"/>
          <w:right w:val="nil"/>
          <w:insideH w:val="nil"/>
          <w:insideV w:val="single" w:sz="4" w:space="0" w:color="82858F"/>
          <w:tl2br w:val="nil"/>
          <w:tr2bl w:val="nil"/>
        </w:tcBorders>
        <w:shd w:val="clear" w:color="auto" w:fill="E2E3E3"/>
      </w:tcPr>
    </w:tblStylePr>
  </w:style>
  <w:style w:type="paragraph" w:customStyle="1" w:styleId="xl103">
    <w:name w:val="xl103"/>
    <w:basedOn w:val="Normal"/>
    <w:rsid w:val="00030337"/>
    <w:pPr>
      <w:pBdr>
        <w:top w:val="single" w:sz="4" w:space="0" w:color="auto"/>
        <w:bottom w:val="single" w:sz="4" w:space="0" w:color="auto"/>
      </w:pBdr>
      <w:shd w:val="clear" w:color="000000" w:fill="D8E4BC"/>
      <w:spacing w:before="100" w:beforeAutospacing="1" w:after="100" w:afterAutospacing="1" w:line="240" w:lineRule="auto"/>
      <w:jc w:val="right"/>
    </w:pPr>
    <w:rPr>
      <w:rFonts w:ascii="Times New Roman" w:eastAsia="Times New Roman" w:hAnsi="Times New Roman"/>
      <w:sz w:val="24"/>
      <w:szCs w:val="24"/>
      <w:lang w:eastAsia="en-NZ"/>
    </w:rPr>
  </w:style>
  <w:style w:type="paragraph" w:customStyle="1" w:styleId="xl104">
    <w:name w:val="xl104"/>
    <w:basedOn w:val="Normal"/>
    <w:rsid w:val="00030337"/>
    <w:pPr>
      <w:pBdr>
        <w:top w:val="single" w:sz="4" w:space="0" w:color="auto"/>
        <w:bottom w:val="single" w:sz="4" w:space="0" w:color="auto"/>
      </w:pBdr>
      <w:shd w:val="clear" w:color="000000" w:fill="D8E4BC"/>
      <w:spacing w:before="100" w:beforeAutospacing="1" w:after="100" w:afterAutospacing="1" w:line="240" w:lineRule="auto"/>
      <w:jc w:val="center"/>
    </w:pPr>
    <w:rPr>
      <w:rFonts w:ascii="Times New Roman" w:eastAsia="Times New Roman" w:hAnsi="Times New Roman"/>
      <w:sz w:val="24"/>
      <w:szCs w:val="24"/>
      <w:lang w:eastAsia="en-NZ"/>
    </w:rPr>
  </w:style>
  <w:style w:type="paragraph" w:customStyle="1" w:styleId="xl105">
    <w:name w:val="xl105"/>
    <w:basedOn w:val="Normal"/>
    <w:rsid w:val="00030337"/>
    <w:pPr>
      <w:pBdr>
        <w:top w:val="single" w:sz="4" w:space="0" w:color="auto"/>
        <w:bottom w:val="single" w:sz="4" w:space="0" w:color="auto"/>
      </w:pBdr>
      <w:shd w:val="clear" w:color="000000" w:fill="D8E4BC"/>
      <w:spacing w:before="100" w:beforeAutospacing="1" w:after="100" w:afterAutospacing="1" w:line="240" w:lineRule="auto"/>
      <w:jc w:val="center"/>
    </w:pPr>
    <w:rPr>
      <w:rFonts w:ascii="Times New Roman" w:eastAsia="Times New Roman" w:hAnsi="Times New Roman"/>
      <w:sz w:val="24"/>
      <w:szCs w:val="24"/>
      <w:lang w:eastAsia="en-NZ"/>
    </w:rPr>
  </w:style>
  <w:style w:type="paragraph" w:customStyle="1" w:styleId="xl106">
    <w:name w:val="xl106"/>
    <w:basedOn w:val="Normal"/>
    <w:rsid w:val="00030337"/>
    <w:pPr>
      <w:shd w:val="clear" w:color="000000" w:fill="D8E4BC"/>
      <w:spacing w:before="100" w:beforeAutospacing="1" w:after="100" w:afterAutospacing="1" w:line="240" w:lineRule="auto"/>
    </w:pPr>
    <w:rPr>
      <w:rFonts w:ascii="Times New Roman" w:eastAsia="Times New Roman" w:hAnsi="Times New Roman"/>
      <w:b/>
      <w:bCs/>
      <w:sz w:val="24"/>
      <w:szCs w:val="24"/>
      <w:lang w:eastAsia="en-NZ"/>
    </w:rPr>
  </w:style>
  <w:style w:type="paragraph" w:customStyle="1" w:styleId="font5">
    <w:name w:val="font5"/>
    <w:basedOn w:val="Normal"/>
    <w:rsid w:val="00030337"/>
    <w:pPr>
      <w:spacing w:before="100" w:beforeAutospacing="1" w:after="100" w:afterAutospacing="1" w:line="240" w:lineRule="auto"/>
    </w:pPr>
    <w:rPr>
      <w:rFonts w:ascii="Calibri" w:eastAsia="Times New Roman" w:hAnsi="Calibri"/>
      <w:color w:val="000000"/>
      <w:lang w:eastAsia="en-NZ"/>
    </w:rPr>
  </w:style>
  <w:style w:type="paragraph" w:styleId="Revision">
    <w:name w:val="Revision"/>
    <w:hidden/>
    <w:uiPriority w:val="99"/>
    <w:semiHidden/>
    <w:rsid w:val="00030337"/>
    <w:pPr>
      <w:spacing w:after="0" w:line="240" w:lineRule="auto"/>
    </w:pPr>
    <w:rPr>
      <w:rFonts w:cs="Times New Roman"/>
    </w:rPr>
  </w:style>
  <w:style w:type="table" w:customStyle="1" w:styleId="Governance">
    <w:name w:val="Governance"/>
    <w:basedOn w:val="TableNormal"/>
    <w:uiPriority w:val="99"/>
    <w:rsid w:val="00030337"/>
    <w:pPr>
      <w:spacing w:after="0" w:line="240" w:lineRule="auto"/>
    </w:pPr>
    <w:tblPr/>
  </w:style>
  <w:style w:type="character" w:customStyle="1" w:styleId="e24kjd">
    <w:name w:val="e24kjd"/>
    <w:basedOn w:val="DefaultParagraphFont"/>
    <w:rsid w:val="00030337"/>
  </w:style>
  <w:style w:type="table" w:customStyle="1" w:styleId="TableGrid10">
    <w:name w:val="Table Grid1"/>
    <w:basedOn w:val="TableNormal"/>
    <w:next w:val="TableGrid"/>
    <w:rsid w:val="002527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984555"/>
    <w:rPr>
      <w:rFonts w:eastAsiaTheme="minorEastAsia" w:cs="Times New Roman"/>
      <w:b/>
      <w:bCs/>
      <w:szCs w:val="20"/>
    </w:rPr>
  </w:style>
  <w:style w:type="character" w:customStyle="1" w:styleId="CommentSubjectChar">
    <w:name w:val="Comment Subject Char"/>
    <w:basedOn w:val="CommentTextChar"/>
    <w:link w:val="CommentSubject"/>
    <w:uiPriority w:val="99"/>
    <w:semiHidden/>
    <w:rsid w:val="00984555"/>
    <w:rPr>
      <w:rFonts w:eastAsiaTheme="minorHAnsi" w:cs="Times New Roman"/>
      <w:b/>
      <w:bCs/>
      <w:sz w:val="20"/>
      <w:szCs w:val="20"/>
      <w:lang w:val="en-NZ" w:eastAsia="en-US" w:bidi="ar-SA"/>
    </w:rPr>
  </w:style>
  <w:style w:type="numbering" w:customStyle="1" w:styleId="NoList2">
    <w:name w:val="No List2"/>
    <w:next w:val="NoList"/>
    <w:uiPriority w:val="99"/>
    <w:semiHidden/>
    <w:unhideWhenUsed/>
    <w:rsid w:val="009609AB"/>
  </w:style>
  <w:style w:type="paragraph" w:customStyle="1" w:styleId="TableParagraph">
    <w:name w:val="Table Paragraph"/>
    <w:basedOn w:val="Normal"/>
    <w:uiPriority w:val="1"/>
    <w:qFormat/>
    <w:rsid w:val="009609AB"/>
    <w:pPr>
      <w:widowControl w:val="0"/>
      <w:spacing w:after="0" w:line="240" w:lineRule="auto"/>
    </w:pPr>
    <w:rPr>
      <w:rFonts w:eastAsia="Calibri"/>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935014">
      <w:bodyDiv w:val="1"/>
      <w:marLeft w:val="0"/>
      <w:marRight w:val="0"/>
      <w:marTop w:val="0"/>
      <w:marBottom w:val="0"/>
      <w:divBdr>
        <w:top w:val="none" w:sz="0" w:space="0" w:color="auto"/>
        <w:left w:val="none" w:sz="0" w:space="0" w:color="auto"/>
        <w:bottom w:val="none" w:sz="0" w:space="0" w:color="auto"/>
        <w:right w:val="none" w:sz="0" w:space="0" w:color="auto"/>
      </w:divBdr>
    </w:div>
    <w:div w:id="24989314">
      <w:bodyDiv w:val="1"/>
      <w:marLeft w:val="0"/>
      <w:marRight w:val="0"/>
      <w:marTop w:val="0"/>
      <w:marBottom w:val="0"/>
      <w:divBdr>
        <w:top w:val="none" w:sz="0" w:space="0" w:color="auto"/>
        <w:left w:val="none" w:sz="0" w:space="0" w:color="auto"/>
        <w:bottom w:val="none" w:sz="0" w:space="0" w:color="auto"/>
        <w:right w:val="none" w:sz="0" w:space="0" w:color="auto"/>
      </w:divBdr>
    </w:div>
    <w:div w:id="31468247">
      <w:bodyDiv w:val="1"/>
      <w:marLeft w:val="0"/>
      <w:marRight w:val="0"/>
      <w:marTop w:val="0"/>
      <w:marBottom w:val="0"/>
      <w:divBdr>
        <w:top w:val="none" w:sz="0" w:space="0" w:color="auto"/>
        <w:left w:val="none" w:sz="0" w:space="0" w:color="auto"/>
        <w:bottom w:val="none" w:sz="0" w:space="0" w:color="auto"/>
        <w:right w:val="none" w:sz="0" w:space="0" w:color="auto"/>
      </w:divBdr>
    </w:div>
    <w:div w:id="37171753">
      <w:bodyDiv w:val="1"/>
      <w:marLeft w:val="0"/>
      <w:marRight w:val="0"/>
      <w:marTop w:val="0"/>
      <w:marBottom w:val="0"/>
      <w:divBdr>
        <w:top w:val="none" w:sz="0" w:space="0" w:color="auto"/>
        <w:left w:val="none" w:sz="0" w:space="0" w:color="auto"/>
        <w:bottom w:val="none" w:sz="0" w:space="0" w:color="auto"/>
        <w:right w:val="none" w:sz="0" w:space="0" w:color="auto"/>
      </w:divBdr>
    </w:div>
    <w:div w:id="72627421">
      <w:bodyDiv w:val="1"/>
      <w:marLeft w:val="0"/>
      <w:marRight w:val="0"/>
      <w:marTop w:val="0"/>
      <w:marBottom w:val="0"/>
      <w:divBdr>
        <w:top w:val="none" w:sz="0" w:space="0" w:color="auto"/>
        <w:left w:val="none" w:sz="0" w:space="0" w:color="auto"/>
        <w:bottom w:val="none" w:sz="0" w:space="0" w:color="auto"/>
        <w:right w:val="none" w:sz="0" w:space="0" w:color="auto"/>
      </w:divBdr>
    </w:div>
    <w:div w:id="86465001">
      <w:bodyDiv w:val="1"/>
      <w:marLeft w:val="0"/>
      <w:marRight w:val="0"/>
      <w:marTop w:val="0"/>
      <w:marBottom w:val="0"/>
      <w:divBdr>
        <w:top w:val="none" w:sz="0" w:space="0" w:color="auto"/>
        <w:left w:val="none" w:sz="0" w:space="0" w:color="auto"/>
        <w:bottom w:val="none" w:sz="0" w:space="0" w:color="auto"/>
        <w:right w:val="none" w:sz="0" w:space="0" w:color="auto"/>
      </w:divBdr>
    </w:div>
    <w:div w:id="107433412">
      <w:bodyDiv w:val="1"/>
      <w:marLeft w:val="0"/>
      <w:marRight w:val="0"/>
      <w:marTop w:val="0"/>
      <w:marBottom w:val="0"/>
      <w:divBdr>
        <w:top w:val="none" w:sz="0" w:space="0" w:color="auto"/>
        <w:left w:val="none" w:sz="0" w:space="0" w:color="auto"/>
        <w:bottom w:val="none" w:sz="0" w:space="0" w:color="auto"/>
        <w:right w:val="none" w:sz="0" w:space="0" w:color="auto"/>
      </w:divBdr>
    </w:div>
    <w:div w:id="111948522">
      <w:bodyDiv w:val="1"/>
      <w:marLeft w:val="0"/>
      <w:marRight w:val="0"/>
      <w:marTop w:val="0"/>
      <w:marBottom w:val="0"/>
      <w:divBdr>
        <w:top w:val="none" w:sz="0" w:space="0" w:color="auto"/>
        <w:left w:val="none" w:sz="0" w:space="0" w:color="auto"/>
        <w:bottom w:val="none" w:sz="0" w:space="0" w:color="auto"/>
        <w:right w:val="none" w:sz="0" w:space="0" w:color="auto"/>
      </w:divBdr>
    </w:div>
    <w:div w:id="120073804">
      <w:bodyDiv w:val="1"/>
      <w:marLeft w:val="0"/>
      <w:marRight w:val="0"/>
      <w:marTop w:val="0"/>
      <w:marBottom w:val="0"/>
      <w:divBdr>
        <w:top w:val="none" w:sz="0" w:space="0" w:color="auto"/>
        <w:left w:val="none" w:sz="0" w:space="0" w:color="auto"/>
        <w:bottom w:val="none" w:sz="0" w:space="0" w:color="auto"/>
        <w:right w:val="none" w:sz="0" w:space="0" w:color="auto"/>
      </w:divBdr>
    </w:div>
    <w:div w:id="140394581">
      <w:bodyDiv w:val="1"/>
      <w:marLeft w:val="0"/>
      <w:marRight w:val="0"/>
      <w:marTop w:val="0"/>
      <w:marBottom w:val="0"/>
      <w:divBdr>
        <w:top w:val="none" w:sz="0" w:space="0" w:color="auto"/>
        <w:left w:val="none" w:sz="0" w:space="0" w:color="auto"/>
        <w:bottom w:val="none" w:sz="0" w:space="0" w:color="auto"/>
        <w:right w:val="none" w:sz="0" w:space="0" w:color="auto"/>
      </w:divBdr>
    </w:div>
    <w:div w:id="148251144">
      <w:bodyDiv w:val="1"/>
      <w:marLeft w:val="0"/>
      <w:marRight w:val="0"/>
      <w:marTop w:val="0"/>
      <w:marBottom w:val="0"/>
      <w:divBdr>
        <w:top w:val="none" w:sz="0" w:space="0" w:color="auto"/>
        <w:left w:val="none" w:sz="0" w:space="0" w:color="auto"/>
        <w:bottom w:val="none" w:sz="0" w:space="0" w:color="auto"/>
        <w:right w:val="none" w:sz="0" w:space="0" w:color="auto"/>
      </w:divBdr>
    </w:div>
    <w:div w:id="165294144">
      <w:bodyDiv w:val="1"/>
      <w:marLeft w:val="0"/>
      <w:marRight w:val="0"/>
      <w:marTop w:val="0"/>
      <w:marBottom w:val="0"/>
      <w:divBdr>
        <w:top w:val="none" w:sz="0" w:space="0" w:color="auto"/>
        <w:left w:val="none" w:sz="0" w:space="0" w:color="auto"/>
        <w:bottom w:val="none" w:sz="0" w:space="0" w:color="auto"/>
        <w:right w:val="none" w:sz="0" w:space="0" w:color="auto"/>
      </w:divBdr>
    </w:div>
    <w:div w:id="175468239">
      <w:bodyDiv w:val="1"/>
      <w:marLeft w:val="0"/>
      <w:marRight w:val="0"/>
      <w:marTop w:val="0"/>
      <w:marBottom w:val="0"/>
      <w:divBdr>
        <w:top w:val="none" w:sz="0" w:space="0" w:color="auto"/>
        <w:left w:val="none" w:sz="0" w:space="0" w:color="auto"/>
        <w:bottom w:val="none" w:sz="0" w:space="0" w:color="auto"/>
        <w:right w:val="none" w:sz="0" w:space="0" w:color="auto"/>
      </w:divBdr>
    </w:div>
    <w:div w:id="191378709">
      <w:bodyDiv w:val="1"/>
      <w:marLeft w:val="0"/>
      <w:marRight w:val="0"/>
      <w:marTop w:val="0"/>
      <w:marBottom w:val="0"/>
      <w:divBdr>
        <w:top w:val="none" w:sz="0" w:space="0" w:color="auto"/>
        <w:left w:val="none" w:sz="0" w:space="0" w:color="auto"/>
        <w:bottom w:val="none" w:sz="0" w:space="0" w:color="auto"/>
        <w:right w:val="none" w:sz="0" w:space="0" w:color="auto"/>
      </w:divBdr>
      <w:divsChild>
        <w:div w:id="495999206">
          <w:marLeft w:val="0"/>
          <w:marRight w:val="0"/>
          <w:marTop w:val="0"/>
          <w:marBottom w:val="0"/>
          <w:divBdr>
            <w:top w:val="none" w:sz="0" w:space="0" w:color="auto"/>
            <w:left w:val="none" w:sz="0" w:space="0" w:color="auto"/>
            <w:bottom w:val="none" w:sz="0" w:space="0" w:color="auto"/>
            <w:right w:val="none" w:sz="0" w:space="0" w:color="auto"/>
          </w:divBdr>
          <w:divsChild>
            <w:div w:id="1497378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18746">
      <w:bodyDiv w:val="1"/>
      <w:marLeft w:val="0"/>
      <w:marRight w:val="0"/>
      <w:marTop w:val="0"/>
      <w:marBottom w:val="0"/>
      <w:divBdr>
        <w:top w:val="none" w:sz="0" w:space="0" w:color="auto"/>
        <w:left w:val="none" w:sz="0" w:space="0" w:color="auto"/>
        <w:bottom w:val="none" w:sz="0" w:space="0" w:color="auto"/>
        <w:right w:val="none" w:sz="0" w:space="0" w:color="auto"/>
      </w:divBdr>
    </w:div>
    <w:div w:id="216554045">
      <w:bodyDiv w:val="1"/>
      <w:marLeft w:val="0"/>
      <w:marRight w:val="0"/>
      <w:marTop w:val="0"/>
      <w:marBottom w:val="0"/>
      <w:divBdr>
        <w:top w:val="none" w:sz="0" w:space="0" w:color="auto"/>
        <w:left w:val="none" w:sz="0" w:space="0" w:color="auto"/>
        <w:bottom w:val="none" w:sz="0" w:space="0" w:color="auto"/>
        <w:right w:val="none" w:sz="0" w:space="0" w:color="auto"/>
      </w:divBdr>
    </w:div>
    <w:div w:id="218591893">
      <w:bodyDiv w:val="1"/>
      <w:marLeft w:val="0"/>
      <w:marRight w:val="0"/>
      <w:marTop w:val="0"/>
      <w:marBottom w:val="0"/>
      <w:divBdr>
        <w:top w:val="none" w:sz="0" w:space="0" w:color="auto"/>
        <w:left w:val="none" w:sz="0" w:space="0" w:color="auto"/>
        <w:bottom w:val="none" w:sz="0" w:space="0" w:color="auto"/>
        <w:right w:val="none" w:sz="0" w:space="0" w:color="auto"/>
      </w:divBdr>
    </w:div>
    <w:div w:id="238096295">
      <w:bodyDiv w:val="1"/>
      <w:marLeft w:val="0"/>
      <w:marRight w:val="0"/>
      <w:marTop w:val="0"/>
      <w:marBottom w:val="0"/>
      <w:divBdr>
        <w:top w:val="none" w:sz="0" w:space="0" w:color="auto"/>
        <w:left w:val="none" w:sz="0" w:space="0" w:color="auto"/>
        <w:bottom w:val="none" w:sz="0" w:space="0" w:color="auto"/>
        <w:right w:val="none" w:sz="0" w:space="0" w:color="auto"/>
      </w:divBdr>
    </w:div>
    <w:div w:id="249853733">
      <w:bodyDiv w:val="1"/>
      <w:marLeft w:val="0"/>
      <w:marRight w:val="0"/>
      <w:marTop w:val="0"/>
      <w:marBottom w:val="0"/>
      <w:divBdr>
        <w:top w:val="none" w:sz="0" w:space="0" w:color="auto"/>
        <w:left w:val="none" w:sz="0" w:space="0" w:color="auto"/>
        <w:bottom w:val="none" w:sz="0" w:space="0" w:color="auto"/>
        <w:right w:val="none" w:sz="0" w:space="0" w:color="auto"/>
      </w:divBdr>
    </w:div>
    <w:div w:id="261183956">
      <w:bodyDiv w:val="1"/>
      <w:marLeft w:val="0"/>
      <w:marRight w:val="0"/>
      <w:marTop w:val="0"/>
      <w:marBottom w:val="0"/>
      <w:divBdr>
        <w:top w:val="none" w:sz="0" w:space="0" w:color="auto"/>
        <w:left w:val="none" w:sz="0" w:space="0" w:color="auto"/>
        <w:bottom w:val="none" w:sz="0" w:space="0" w:color="auto"/>
        <w:right w:val="none" w:sz="0" w:space="0" w:color="auto"/>
      </w:divBdr>
    </w:div>
    <w:div w:id="270359149">
      <w:bodyDiv w:val="1"/>
      <w:marLeft w:val="0"/>
      <w:marRight w:val="0"/>
      <w:marTop w:val="0"/>
      <w:marBottom w:val="0"/>
      <w:divBdr>
        <w:top w:val="none" w:sz="0" w:space="0" w:color="auto"/>
        <w:left w:val="none" w:sz="0" w:space="0" w:color="auto"/>
        <w:bottom w:val="none" w:sz="0" w:space="0" w:color="auto"/>
        <w:right w:val="none" w:sz="0" w:space="0" w:color="auto"/>
      </w:divBdr>
    </w:div>
    <w:div w:id="273247805">
      <w:bodyDiv w:val="1"/>
      <w:marLeft w:val="0"/>
      <w:marRight w:val="0"/>
      <w:marTop w:val="0"/>
      <w:marBottom w:val="0"/>
      <w:divBdr>
        <w:top w:val="none" w:sz="0" w:space="0" w:color="auto"/>
        <w:left w:val="none" w:sz="0" w:space="0" w:color="auto"/>
        <w:bottom w:val="none" w:sz="0" w:space="0" w:color="auto"/>
        <w:right w:val="none" w:sz="0" w:space="0" w:color="auto"/>
      </w:divBdr>
    </w:div>
    <w:div w:id="274295895">
      <w:bodyDiv w:val="1"/>
      <w:marLeft w:val="0"/>
      <w:marRight w:val="0"/>
      <w:marTop w:val="0"/>
      <w:marBottom w:val="0"/>
      <w:divBdr>
        <w:top w:val="none" w:sz="0" w:space="0" w:color="auto"/>
        <w:left w:val="none" w:sz="0" w:space="0" w:color="auto"/>
        <w:bottom w:val="none" w:sz="0" w:space="0" w:color="auto"/>
        <w:right w:val="none" w:sz="0" w:space="0" w:color="auto"/>
      </w:divBdr>
    </w:div>
    <w:div w:id="321546590">
      <w:bodyDiv w:val="1"/>
      <w:marLeft w:val="0"/>
      <w:marRight w:val="0"/>
      <w:marTop w:val="0"/>
      <w:marBottom w:val="0"/>
      <w:divBdr>
        <w:top w:val="none" w:sz="0" w:space="0" w:color="auto"/>
        <w:left w:val="none" w:sz="0" w:space="0" w:color="auto"/>
        <w:bottom w:val="none" w:sz="0" w:space="0" w:color="auto"/>
        <w:right w:val="none" w:sz="0" w:space="0" w:color="auto"/>
      </w:divBdr>
    </w:div>
    <w:div w:id="326173829">
      <w:bodyDiv w:val="1"/>
      <w:marLeft w:val="0"/>
      <w:marRight w:val="0"/>
      <w:marTop w:val="0"/>
      <w:marBottom w:val="0"/>
      <w:divBdr>
        <w:top w:val="none" w:sz="0" w:space="0" w:color="auto"/>
        <w:left w:val="none" w:sz="0" w:space="0" w:color="auto"/>
        <w:bottom w:val="none" w:sz="0" w:space="0" w:color="auto"/>
        <w:right w:val="none" w:sz="0" w:space="0" w:color="auto"/>
      </w:divBdr>
    </w:div>
    <w:div w:id="364066410">
      <w:bodyDiv w:val="1"/>
      <w:marLeft w:val="0"/>
      <w:marRight w:val="0"/>
      <w:marTop w:val="0"/>
      <w:marBottom w:val="0"/>
      <w:divBdr>
        <w:top w:val="none" w:sz="0" w:space="0" w:color="auto"/>
        <w:left w:val="none" w:sz="0" w:space="0" w:color="auto"/>
        <w:bottom w:val="none" w:sz="0" w:space="0" w:color="auto"/>
        <w:right w:val="none" w:sz="0" w:space="0" w:color="auto"/>
      </w:divBdr>
    </w:div>
    <w:div w:id="375081671">
      <w:bodyDiv w:val="1"/>
      <w:marLeft w:val="0"/>
      <w:marRight w:val="0"/>
      <w:marTop w:val="0"/>
      <w:marBottom w:val="0"/>
      <w:divBdr>
        <w:top w:val="none" w:sz="0" w:space="0" w:color="auto"/>
        <w:left w:val="none" w:sz="0" w:space="0" w:color="auto"/>
        <w:bottom w:val="none" w:sz="0" w:space="0" w:color="auto"/>
        <w:right w:val="none" w:sz="0" w:space="0" w:color="auto"/>
      </w:divBdr>
    </w:div>
    <w:div w:id="408307238">
      <w:bodyDiv w:val="1"/>
      <w:marLeft w:val="0"/>
      <w:marRight w:val="0"/>
      <w:marTop w:val="0"/>
      <w:marBottom w:val="0"/>
      <w:divBdr>
        <w:top w:val="none" w:sz="0" w:space="0" w:color="auto"/>
        <w:left w:val="none" w:sz="0" w:space="0" w:color="auto"/>
        <w:bottom w:val="none" w:sz="0" w:space="0" w:color="auto"/>
        <w:right w:val="none" w:sz="0" w:space="0" w:color="auto"/>
      </w:divBdr>
    </w:div>
    <w:div w:id="429742464">
      <w:bodyDiv w:val="1"/>
      <w:marLeft w:val="0"/>
      <w:marRight w:val="0"/>
      <w:marTop w:val="0"/>
      <w:marBottom w:val="0"/>
      <w:divBdr>
        <w:top w:val="none" w:sz="0" w:space="0" w:color="auto"/>
        <w:left w:val="none" w:sz="0" w:space="0" w:color="auto"/>
        <w:bottom w:val="none" w:sz="0" w:space="0" w:color="auto"/>
        <w:right w:val="none" w:sz="0" w:space="0" w:color="auto"/>
      </w:divBdr>
    </w:div>
    <w:div w:id="441614138">
      <w:bodyDiv w:val="1"/>
      <w:marLeft w:val="0"/>
      <w:marRight w:val="0"/>
      <w:marTop w:val="0"/>
      <w:marBottom w:val="0"/>
      <w:divBdr>
        <w:top w:val="none" w:sz="0" w:space="0" w:color="auto"/>
        <w:left w:val="none" w:sz="0" w:space="0" w:color="auto"/>
        <w:bottom w:val="none" w:sz="0" w:space="0" w:color="auto"/>
        <w:right w:val="none" w:sz="0" w:space="0" w:color="auto"/>
      </w:divBdr>
    </w:div>
    <w:div w:id="469398801">
      <w:bodyDiv w:val="1"/>
      <w:marLeft w:val="0"/>
      <w:marRight w:val="0"/>
      <w:marTop w:val="0"/>
      <w:marBottom w:val="0"/>
      <w:divBdr>
        <w:top w:val="none" w:sz="0" w:space="0" w:color="auto"/>
        <w:left w:val="none" w:sz="0" w:space="0" w:color="auto"/>
        <w:bottom w:val="none" w:sz="0" w:space="0" w:color="auto"/>
        <w:right w:val="none" w:sz="0" w:space="0" w:color="auto"/>
      </w:divBdr>
    </w:div>
    <w:div w:id="515389044">
      <w:bodyDiv w:val="1"/>
      <w:marLeft w:val="0"/>
      <w:marRight w:val="0"/>
      <w:marTop w:val="0"/>
      <w:marBottom w:val="0"/>
      <w:divBdr>
        <w:top w:val="none" w:sz="0" w:space="0" w:color="auto"/>
        <w:left w:val="none" w:sz="0" w:space="0" w:color="auto"/>
        <w:bottom w:val="none" w:sz="0" w:space="0" w:color="auto"/>
        <w:right w:val="none" w:sz="0" w:space="0" w:color="auto"/>
      </w:divBdr>
    </w:div>
    <w:div w:id="517089241">
      <w:bodyDiv w:val="1"/>
      <w:marLeft w:val="0"/>
      <w:marRight w:val="0"/>
      <w:marTop w:val="0"/>
      <w:marBottom w:val="0"/>
      <w:divBdr>
        <w:top w:val="none" w:sz="0" w:space="0" w:color="auto"/>
        <w:left w:val="none" w:sz="0" w:space="0" w:color="auto"/>
        <w:bottom w:val="none" w:sz="0" w:space="0" w:color="auto"/>
        <w:right w:val="none" w:sz="0" w:space="0" w:color="auto"/>
      </w:divBdr>
    </w:div>
    <w:div w:id="533226775">
      <w:bodyDiv w:val="1"/>
      <w:marLeft w:val="0"/>
      <w:marRight w:val="0"/>
      <w:marTop w:val="0"/>
      <w:marBottom w:val="0"/>
      <w:divBdr>
        <w:top w:val="none" w:sz="0" w:space="0" w:color="auto"/>
        <w:left w:val="none" w:sz="0" w:space="0" w:color="auto"/>
        <w:bottom w:val="none" w:sz="0" w:space="0" w:color="auto"/>
        <w:right w:val="none" w:sz="0" w:space="0" w:color="auto"/>
      </w:divBdr>
    </w:div>
    <w:div w:id="548537306">
      <w:bodyDiv w:val="1"/>
      <w:marLeft w:val="0"/>
      <w:marRight w:val="0"/>
      <w:marTop w:val="0"/>
      <w:marBottom w:val="0"/>
      <w:divBdr>
        <w:top w:val="none" w:sz="0" w:space="0" w:color="auto"/>
        <w:left w:val="none" w:sz="0" w:space="0" w:color="auto"/>
        <w:bottom w:val="none" w:sz="0" w:space="0" w:color="auto"/>
        <w:right w:val="none" w:sz="0" w:space="0" w:color="auto"/>
      </w:divBdr>
    </w:div>
    <w:div w:id="558825964">
      <w:bodyDiv w:val="1"/>
      <w:marLeft w:val="0"/>
      <w:marRight w:val="0"/>
      <w:marTop w:val="0"/>
      <w:marBottom w:val="0"/>
      <w:divBdr>
        <w:top w:val="none" w:sz="0" w:space="0" w:color="auto"/>
        <w:left w:val="none" w:sz="0" w:space="0" w:color="auto"/>
        <w:bottom w:val="none" w:sz="0" w:space="0" w:color="auto"/>
        <w:right w:val="none" w:sz="0" w:space="0" w:color="auto"/>
      </w:divBdr>
    </w:div>
    <w:div w:id="563879822">
      <w:bodyDiv w:val="1"/>
      <w:marLeft w:val="0"/>
      <w:marRight w:val="0"/>
      <w:marTop w:val="0"/>
      <w:marBottom w:val="0"/>
      <w:divBdr>
        <w:top w:val="none" w:sz="0" w:space="0" w:color="auto"/>
        <w:left w:val="none" w:sz="0" w:space="0" w:color="auto"/>
        <w:bottom w:val="none" w:sz="0" w:space="0" w:color="auto"/>
        <w:right w:val="none" w:sz="0" w:space="0" w:color="auto"/>
      </w:divBdr>
    </w:div>
    <w:div w:id="564995195">
      <w:bodyDiv w:val="1"/>
      <w:marLeft w:val="0"/>
      <w:marRight w:val="0"/>
      <w:marTop w:val="0"/>
      <w:marBottom w:val="0"/>
      <w:divBdr>
        <w:top w:val="none" w:sz="0" w:space="0" w:color="auto"/>
        <w:left w:val="none" w:sz="0" w:space="0" w:color="auto"/>
        <w:bottom w:val="none" w:sz="0" w:space="0" w:color="auto"/>
        <w:right w:val="none" w:sz="0" w:space="0" w:color="auto"/>
      </w:divBdr>
    </w:div>
    <w:div w:id="571280528">
      <w:bodyDiv w:val="1"/>
      <w:marLeft w:val="0"/>
      <w:marRight w:val="0"/>
      <w:marTop w:val="0"/>
      <w:marBottom w:val="0"/>
      <w:divBdr>
        <w:top w:val="none" w:sz="0" w:space="0" w:color="auto"/>
        <w:left w:val="none" w:sz="0" w:space="0" w:color="auto"/>
        <w:bottom w:val="none" w:sz="0" w:space="0" w:color="auto"/>
        <w:right w:val="none" w:sz="0" w:space="0" w:color="auto"/>
      </w:divBdr>
    </w:div>
    <w:div w:id="594746895">
      <w:bodyDiv w:val="1"/>
      <w:marLeft w:val="0"/>
      <w:marRight w:val="0"/>
      <w:marTop w:val="0"/>
      <w:marBottom w:val="0"/>
      <w:divBdr>
        <w:top w:val="none" w:sz="0" w:space="0" w:color="auto"/>
        <w:left w:val="none" w:sz="0" w:space="0" w:color="auto"/>
        <w:bottom w:val="none" w:sz="0" w:space="0" w:color="auto"/>
        <w:right w:val="none" w:sz="0" w:space="0" w:color="auto"/>
      </w:divBdr>
    </w:div>
    <w:div w:id="601692623">
      <w:bodyDiv w:val="1"/>
      <w:marLeft w:val="0"/>
      <w:marRight w:val="0"/>
      <w:marTop w:val="0"/>
      <w:marBottom w:val="0"/>
      <w:divBdr>
        <w:top w:val="none" w:sz="0" w:space="0" w:color="auto"/>
        <w:left w:val="none" w:sz="0" w:space="0" w:color="auto"/>
        <w:bottom w:val="none" w:sz="0" w:space="0" w:color="auto"/>
        <w:right w:val="none" w:sz="0" w:space="0" w:color="auto"/>
      </w:divBdr>
    </w:div>
    <w:div w:id="605161568">
      <w:bodyDiv w:val="1"/>
      <w:marLeft w:val="0"/>
      <w:marRight w:val="0"/>
      <w:marTop w:val="0"/>
      <w:marBottom w:val="0"/>
      <w:divBdr>
        <w:top w:val="none" w:sz="0" w:space="0" w:color="auto"/>
        <w:left w:val="none" w:sz="0" w:space="0" w:color="auto"/>
        <w:bottom w:val="none" w:sz="0" w:space="0" w:color="auto"/>
        <w:right w:val="none" w:sz="0" w:space="0" w:color="auto"/>
      </w:divBdr>
    </w:div>
    <w:div w:id="621495486">
      <w:bodyDiv w:val="1"/>
      <w:marLeft w:val="0"/>
      <w:marRight w:val="0"/>
      <w:marTop w:val="0"/>
      <w:marBottom w:val="0"/>
      <w:divBdr>
        <w:top w:val="none" w:sz="0" w:space="0" w:color="auto"/>
        <w:left w:val="none" w:sz="0" w:space="0" w:color="auto"/>
        <w:bottom w:val="none" w:sz="0" w:space="0" w:color="auto"/>
        <w:right w:val="none" w:sz="0" w:space="0" w:color="auto"/>
      </w:divBdr>
    </w:div>
    <w:div w:id="622614072">
      <w:bodyDiv w:val="1"/>
      <w:marLeft w:val="0"/>
      <w:marRight w:val="0"/>
      <w:marTop w:val="0"/>
      <w:marBottom w:val="0"/>
      <w:divBdr>
        <w:top w:val="none" w:sz="0" w:space="0" w:color="auto"/>
        <w:left w:val="none" w:sz="0" w:space="0" w:color="auto"/>
        <w:bottom w:val="none" w:sz="0" w:space="0" w:color="auto"/>
        <w:right w:val="none" w:sz="0" w:space="0" w:color="auto"/>
      </w:divBdr>
    </w:div>
    <w:div w:id="624048839">
      <w:bodyDiv w:val="1"/>
      <w:marLeft w:val="0"/>
      <w:marRight w:val="0"/>
      <w:marTop w:val="0"/>
      <w:marBottom w:val="0"/>
      <w:divBdr>
        <w:top w:val="none" w:sz="0" w:space="0" w:color="auto"/>
        <w:left w:val="none" w:sz="0" w:space="0" w:color="auto"/>
        <w:bottom w:val="none" w:sz="0" w:space="0" w:color="auto"/>
        <w:right w:val="none" w:sz="0" w:space="0" w:color="auto"/>
      </w:divBdr>
    </w:div>
    <w:div w:id="628630613">
      <w:bodyDiv w:val="1"/>
      <w:marLeft w:val="0"/>
      <w:marRight w:val="0"/>
      <w:marTop w:val="0"/>
      <w:marBottom w:val="0"/>
      <w:divBdr>
        <w:top w:val="none" w:sz="0" w:space="0" w:color="auto"/>
        <w:left w:val="none" w:sz="0" w:space="0" w:color="auto"/>
        <w:bottom w:val="none" w:sz="0" w:space="0" w:color="auto"/>
        <w:right w:val="none" w:sz="0" w:space="0" w:color="auto"/>
      </w:divBdr>
    </w:div>
    <w:div w:id="630211692">
      <w:bodyDiv w:val="1"/>
      <w:marLeft w:val="0"/>
      <w:marRight w:val="0"/>
      <w:marTop w:val="0"/>
      <w:marBottom w:val="0"/>
      <w:divBdr>
        <w:top w:val="none" w:sz="0" w:space="0" w:color="auto"/>
        <w:left w:val="none" w:sz="0" w:space="0" w:color="auto"/>
        <w:bottom w:val="none" w:sz="0" w:space="0" w:color="auto"/>
        <w:right w:val="none" w:sz="0" w:space="0" w:color="auto"/>
      </w:divBdr>
    </w:div>
    <w:div w:id="664866549">
      <w:bodyDiv w:val="1"/>
      <w:marLeft w:val="0"/>
      <w:marRight w:val="0"/>
      <w:marTop w:val="0"/>
      <w:marBottom w:val="0"/>
      <w:divBdr>
        <w:top w:val="none" w:sz="0" w:space="0" w:color="auto"/>
        <w:left w:val="none" w:sz="0" w:space="0" w:color="auto"/>
        <w:bottom w:val="none" w:sz="0" w:space="0" w:color="auto"/>
        <w:right w:val="none" w:sz="0" w:space="0" w:color="auto"/>
      </w:divBdr>
    </w:div>
    <w:div w:id="679042906">
      <w:bodyDiv w:val="1"/>
      <w:marLeft w:val="0"/>
      <w:marRight w:val="0"/>
      <w:marTop w:val="0"/>
      <w:marBottom w:val="0"/>
      <w:divBdr>
        <w:top w:val="none" w:sz="0" w:space="0" w:color="auto"/>
        <w:left w:val="none" w:sz="0" w:space="0" w:color="auto"/>
        <w:bottom w:val="none" w:sz="0" w:space="0" w:color="auto"/>
        <w:right w:val="none" w:sz="0" w:space="0" w:color="auto"/>
      </w:divBdr>
    </w:div>
    <w:div w:id="687875969">
      <w:bodyDiv w:val="1"/>
      <w:marLeft w:val="0"/>
      <w:marRight w:val="0"/>
      <w:marTop w:val="0"/>
      <w:marBottom w:val="0"/>
      <w:divBdr>
        <w:top w:val="none" w:sz="0" w:space="0" w:color="auto"/>
        <w:left w:val="none" w:sz="0" w:space="0" w:color="auto"/>
        <w:bottom w:val="none" w:sz="0" w:space="0" w:color="auto"/>
        <w:right w:val="none" w:sz="0" w:space="0" w:color="auto"/>
      </w:divBdr>
    </w:div>
    <w:div w:id="719285757">
      <w:bodyDiv w:val="1"/>
      <w:marLeft w:val="0"/>
      <w:marRight w:val="0"/>
      <w:marTop w:val="0"/>
      <w:marBottom w:val="0"/>
      <w:divBdr>
        <w:top w:val="none" w:sz="0" w:space="0" w:color="auto"/>
        <w:left w:val="none" w:sz="0" w:space="0" w:color="auto"/>
        <w:bottom w:val="none" w:sz="0" w:space="0" w:color="auto"/>
        <w:right w:val="none" w:sz="0" w:space="0" w:color="auto"/>
      </w:divBdr>
    </w:div>
    <w:div w:id="721099661">
      <w:bodyDiv w:val="1"/>
      <w:marLeft w:val="0"/>
      <w:marRight w:val="0"/>
      <w:marTop w:val="0"/>
      <w:marBottom w:val="0"/>
      <w:divBdr>
        <w:top w:val="none" w:sz="0" w:space="0" w:color="auto"/>
        <w:left w:val="none" w:sz="0" w:space="0" w:color="auto"/>
        <w:bottom w:val="none" w:sz="0" w:space="0" w:color="auto"/>
        <w:right w:val="none" w:sz="0" w:space="0" w:color="auto"/>
      </w:divBdr>
    </w:div>
    <w:div w:id="741566956">
      <w:bodyDiv w:val="1"/>
      <w:marLeft w:val="0"/>
      <w:marRight w:val="0"/>
      <w:marTop w:val="0"/>
      <w:marBottom w:val="0"/>
      <w:divBdr>
        <w:top w:val="none" w:sz="0" w:space="0" w:color="auto"/>
        <w:left w:val="none" w:sz="0" w:space="0" w:color="auto"/>
        <w:bottom w:val="none" w:sz="0" w:space="0" w:color="auto"/>
        <w:right w:val="none" w:sz="0" w:space="0" w:color="auto"/>
      </w:divBdr>
    </w:div>
    <w:div w:id="752354710">
      <w:bodyDiv w:val="1"/>
      <w:marLeft w:val="0"/>
      <w:marRight w:val="0"/>
      <w:marTop w:val="0"/>
      <w:marBottom w:val="0"/>
      <w:divBdr>
        <w:top w:val="none" w:sz="0" w:space="0" w:color="auto"/>
        <w:left w:val="none" w:sz="0" w:space="0" w:color="auto"/>
        <w:bottom w:val="none" w:sz="0" w:space="0" w:color="auto"/>
        <w:right w:val="none" w:sz="0" w:space="0" w:color="auto"/>
      </w:divBdr>
    </w:div>
    <w:div w:id="758141583">
      <w:bodyDiv w:val="1"/>
      <w:marLeft w:val="0"/>
      <w:marRight w:val="0"/>
      <w:marTop w:val="0"/>
      <w:marBottom w:val="0"/>
      <w:divBdr>
        <w:top w:val="none" w:sz="0" w:space="0" w:color="auto"/>
        <w:left w:val="none" w:sz="0" w:space="0" w:color="auto"/>
        <w:bottom w:val="none" w:sz="0" w:space="0" w:color="auto"/>
        <w:right w:val="none" w:sz="0" w:space="0" w:color="auto"/>
      </w:divBdr>
    </w:div>
    <w:div w:id="764114153">
      <w:bodyDiv w:val="1"/>
      <w:marLeft w:val="0"/>
      <w:marRight w:val="0"/>
      <w:marTop w:val="0"/>
      <w:marBottom w:val="0"/>
      <w:divBdr>
        <w:top w:val="none" w:sz="0" w:space="0" w:color="auto"/>
        <w:left w:val="none" w:sz="0" w:space="0" w:color="auto"/>
        <w:bottom w:val="none" w:sz="0" w:space="0" w:color="auto"/>
        <w:right w:val="none" w:sz="0" w:space="0" w:color="auto"/>
      </w:divBdr>
    </w:div>
    <w:div w:id="770902195">
      <w:bodyDiv w:val="1"/>
      <w:marLeft w:val="0"/>
      <w:marRight w:val="0"/>
      <w:marTop w:val="0"/>
      <w:marBottom w:val="0"/>
      <w:divBdr>
        <w:top w:val="none" w:sz="0" w:space="0" w:color="auto"/>
        <w:left w:val="none" w:sz="0" w:space="0" w:color="auto"/>
        <w:bottom w:val="none" w:sz="0" w:space="0" w:color="auto"/>
        <w:right w:val="none" w:sz="0" w:space="0" w:color="auto"/>
      </w:divBdr>
    </w:div>
    <w:div w:id="780219957">
      <w:bodyDiv w:val="1"/>
      <w:marLeft w:val="0"/>
      <w:marRight w:val="0"/>
      <w:marTop w:val="0"/>
      <w:marBottom w:val="0"/>
      <w:divBdr>
        <w:top w:val="none" w:sz="0" w:space="0" w:color="auto"/>
        <w:left w:val="none" w:sz="0" w:space="0" w:color="auto"/>
        <w:bottom w:val="none" w:sz="0" w:space="0" w:color="auto"/>
        <w:right w:val="none" w:sz="0" w:space="0" w:color="auto"/>
      </w:divBdr>
    </w:div>
    <w:div w:id="803624468">
      <w:bodyDiv w:val="1"/>
      <w:marLeft w:val="0"/>
      <w:marRight w:val="0"/>
      <w:marTop w:val="0"/>
      <w:marBottom w:val="0"/>
      <w:divBdr>
        <w:top w:val="none" w:sz="0" w:space="0" w:color="auto"/>
        <w:left w:val="none" w:sz="0" w:space="0" w:color="auto"/>
        <w:bottom w:val="none" w:sz="0" w:space="0" w:color="auto"/>
        <w:right w:val="none" w:sz="0" w:space="0" w:color="auto"/>
      </w:divBdr>
    </w:div>
    <w:div w:id="808473508">
      <w:bodyDiv w:val="1"/>
      <w:marLeft w:val="0"/>
      <w:marRight w:val="0"/>
      <w:marTop w:val="0"/>
      <w:marBottom w:val="0"/>
      <w:divBdr>
        <w:top w:val="none" w:sz="0" w:space="0" w:color="auto"/>
        <w:left w:val="none" w:sz="0" w:space="0" w:color="auto"/>
        <w:bottom w:val="none" w:sz="0" w:space="0" w:color="auto"/>
        <w:right w:val="none" w:sz="0" w:space="0" w:color="auto"/>
      </w:divBdr>
    </w:div>
    <w:div w:id="811752361">
      <w:bodyDiv w:val="1"/>
      <w:marLeft w:val="0"/>
      <w:marRight w:val="0"/>
      <w:marTop w:val="0"/>
      <w:marBottom w:val="0"/>
      <w:divBdr>
        <w:top w:val="none" w:sz="0" w:space="0" w:color="auto"/>
        <w:left w:val="none" w:sz="0" w:space="0" w:color="auto"/>
        <w:bottom w:val="none" w:sz="0" w:space="0" w:color="auto"/>
        <w:right w:val="none" w:sz="0" w:space="0" w:color="auto"/>
      </w:divBdr>
    </w:div>
    <w:div w:id="813791417">
      <w:bodyDiv w:val="1"/>
      <w:marLeft w:val="0"/>
      <w:marRight w:val="0"/>
      <w:marTop w:val="0"/>
      <w:marBottom w:val="0"/>
      <w:divBdr>
        <w:top w:val="none" w:sz="0" w:space="0" w:color="auto"/>
        <w:left w:val="none" w:sz="0" w:space="0" w:color="auto"/>
        <w:bottom w:val="none" w:sz="0" w:space="0" w:color="auto"/>
        <w:right w:val="none" w:sz="0" w:space="0" w:color="auto"/>
      </w:divBdr>
    </w:div>
    <w:div w:id="819881634">
      <w:bodyDiv w:val="1"/>
      <w:marLeft w:val="0"/>
      <w:marRight w:val="0"/>
      <w:marTop w:val="0"/>
      <w:marBottom w:val="0"/>
      <w:divBdr>
        <w:top w:val="none" w:sz="0" w:space="0" w:color="auto"/>
        <w:left w:val="none" w:sz="0" w:space="0" w:color="auto"/>
        <w:bottom w:val="none" w:sz="0" w:space="0" w:color="auto"/>
        <w:right w:val="none" w:sz="0" w:space="0" w:color="auto"/>
      </w:divBdr>
    </w:div>
    <w:div w:id="821119668">
      <w:bodyDiv w:val="1"/>
      <w:marLeft w:val="0"/>
      <w:marRight w:val="0"/>
      <w:marTop w:val="0"/>
      <w:marBottom w:val="0"/>
      <w:divBdr>
        <w:top w:val="none" w:sz="0" w:space="0" w:color="auto"/>
        <w:left w:val="none" w:sz="0" w:space="0" w:color="auto"/>
        <w:bottom w:val="none" w:sz="0" w:space="0" w:color="auto"/>
        <w:right w:val="none" w:sz="0" w:space="0" w:color="auto"/>
      </w:divBdr>
    </w:div>
    <w:div w:id="824246811">
      <w:bodyDiv w:val="1"/>
      <w:marLeft w:val="0"/>
      <w:marRight w:val="0"/>
      <w:marTop w:val="0"/>
      <w:marBottom w:val="0"/>
      <w:divBdr>
        <w:top w:val="none" w:sz="0" w:space="0" w:color="auto"/>
        <w:left w:val="none" w:sz="0" w:space="0" w:color="auto"/>
        <w:bottom w:val="none" w:sz="0" w:space="0" w:color="auto"/>
        <w:right w:val="none" w:sz="0" w:space="0" w:color="auto"/>
      </w:divBdr>
    </w:div>
    <w:div w:id="826244803">
      <w:bodyDiv w:val="1"/>
      <w:marLeft w:val="0"/>
      <w:marRight w:val="0"/>
      <w:marTop w:val="0"/>
      <w:marBottom w:val="0"/>
      <w:divBdr>
        <w:top w:val="none" w:sz="0" w:space="0" w:color="auto"/>
        <w:left w:val="none" w:sz="0" w:space="0" w:color="auto"/>
        <w:bottom w:val="none" w:sz="0" w:space="0" w:color="auto"/>
        <w:right w:val="none" w:sz="0" w:space="0" w:color="auto"/>
      </w:divBdr>
    </w:div>
    <w:div w:id="826628474">
      <w:bodyDiv w:val="1"/>
      <w:marLeft w:val="0"/>
      <w:marRight w:val="0"/>
      <w:marTop w:val="0"/>
      <w:marBottom w:val="0"/>
      <w:divBdr>
        <w:top w:val="none" w:sz="0" w:space="0" w:color="auto"/>
        <w:left w:val="none" w:sz="0" w:space="0" w:color="auto"/>
        <w:bottom w:val="none" w:sz="0" w:space="0" w:color="auto"/>
        <w:right w:val="none" w:sz="0" w:space="0" w:color="auto"/>
      </w:divBdr>
    </w:div>
    <w:div w:id="828403824">
      <w:bodyDiv w:val="1"/>
      <w:marLeft w:val="0"/>
      <w:marRight w:val="0"/>
      <w:marTop w:val="0"/>
      <w:marBottom w:val="0"/>
      <w:divBdr>
        <w:top w:val="none" w:sz="0" w:space="0" w:color="auto"/>
        <w:left w:val="none" w:sz="0" w:space="0" w:color="auto"/>
        <w:bottom w:val="none" w:sz="0" w:space="0" w:color="auto"/>
        <w:right w:val="none" w:sz="0" w:space="0" w:color="auto"/>
      </w:divBdr>
    </w:div>
    <w:div w:id="833491737">
      <w:bodyDiv w:val="1"/>
      <w:marLeft w:val="0"/>
      <w:marRight w:val="0"/>
      <w:marTop w:val="0"/>
      <w:marBottom w:val="0"/>
      <w:divBdr>
        <w:top w:val="none" w:sz="0" w:space="0" w:color="auto"/>
        <w:left w:val="none" w:sz="0" w:space="0" w:color="auto"/>
        <w:bottom w:val="none" w:sz="0" w:space="0" w:color="auto"/>
        <w:right w:val="none" w:sz="0" w:space="0" w:color="auto"/>
      </w:divBdr>
    </w:div>
    <w:div w:id="845365499">
      <w:bodyDiv w:val="1"/>
      <w:marLeft w:val="0"/>
      <w:marRight w:val="0"/>
      <w:marTop w:val="0"/>
      <w:marBottom w:val="0"/>
      <w:divBdr>
        <w:top w:val="none" w:sz="0" w:space="0" w:color="auto"/>
        <w:left w:val="none" w:sz="0" w:space="0" w:color="auto"/>
        <w:bottom w:val="none" w:sz="0" w:space="0" w:color="auto"/>
        <w:right w:val="none" w:sz="0" w:space="0" w:color="auto"/>
      </w:divBdr>
    </w:div>
    <w:div w:id="852452916">
      <w:bodyDiv w:val="1"/>
      <w:marLeft w:val="0"/>
      <w:marRight w:val="0"/>
      <w:marTop w:val="0"/>
      <w:marBottom w:val="0"/>
      <w:divBdr>
        <w:top w:val="none" w:sz="0" w:space="0" w:color="auto"/>
        <w:left w:val="none" w:sz="0" w:space="0" w:color="auto"/>
        <w:bottom w:val="none" w:sz="0" w:space="0" w:color="auto"/>
        <w:right w:val="none" w:sz="0" w:space="0" w:color="auto"/>
      </w:divBdr>
    </w:div>
    <w:div w:id="856234656">
      <w:bodyDiv w:val="1"/>
      <w:marLeft w:val="0"/>
      <w:marRight w:val="0"/>
      <w:marTop w:val="0"/>
      <w:marBottom w:val="0"/>
      <w:divBdr>
        <w:top w:val="none" w:sz="0" w:space="0" w:color="auto"/>
        <w:left w:val="none" w:sz="0" w:space="0" w:color="auto"/>
        <w:bottom w:val="none" w:sz="0" w:space="0" w:color="auto"/>
        <w:right w:val="none" w:sz="0" w:space="0" w:color="auto"/>
      </w:divBdr>
    </w:div>
    <w:div w:id="861089257">
      <w:bodyDiv w:val="1"/>
      <w:marLeft w:val="0"/>
      <w:marRight w:val="0"/>
      <w:marTop w:val="0"/>
      <w:marBottom w:val="0"/>
      <w:divBdr>
        <w:top w:val="none" w:sz="0" w:space="0" w:color="auto"/>
        <w:left w:val="none" w:sz="0" w:space="0" w:color="auto"/>
        <w:bottom w:val="none" w:sz="0" w:space="0" w:color="auto"/>
        <w:right w:val="none" w:sz="0" w:space="0" w:color="auto"/>
      </w:divBdr>
    </w:div>
    <w:div w:id="867379059">
      <w:bodyDiv w:val="1"/>
      <w:marLeft w:val="0"/>
      <w:marRight w:val="0"/>
      <w:marTop w:val="0"/>
      <w:marBottom w:val="0"/>
      <w:divBdr>
        <w:top w:val="none" w:sz="0" w:space="0" w:color="auto"/>
        <w:left w:val="none" w:sz="0" w:space="0" w:color="auto"/>
        <w:bottom w:val="none" w:sz="0" w:space="0" w:color="auto"/>
        <w:right w:val="none" w:sz="0" w:space="0" w:color="auto"/>
      </w:divBdr>
    </w:div>
    <w:div w:id="870266942">
      <w:bodyDiv w:val="1"/>
      <w:marLeft w:val="0"/>
      <w:marRight w:val="0"/>
      <w:marTop w:val="0"/>
      <w:marBottom w:val="0"/>
      <w:divBdr>
        <w:top w:val="none" w:sz="0" w:space="0" w:color="auto"/>
        <w:left w:val="none" w:sz="0" w:space="0" w:color="auto"/>
        <w:bottom w:val="none" w:sz="0" w:space="0" w:color="auto"/>
        <w:right w:val="none" w:sz="0" w:space="0" w:color="auto"/>
      </w:divBdr>
    </w:div>
    <w:div w:id="876237975">
      <w:bodyDiv w:val="1"/>
      <w:marLeft w:val="0"/>
      <w:marRight w:val="0"/>
      <w:marTop w:val="0"/>
      <w:marBottom w:val="0"/>
      <w:divBdr>
        <w:top w:val="none" w:sz="0" w:space="0" w:color="auto"/>
        <w:left w:val="none" w:sz="0" w:space="0" w:color="auto"/>
        <w:bottom w:val="none" w:sz="0" w:space="0" w:color="auto"/>
        <w:right w:val="none" w:sz="0" w:space="0" w:color="auto"/>
      </w:divBdr>
    </w:div>
    <w:div w:id="904147581">
      <w:bodyDiv w:val="1"/>
      <w:marLeft w:val="0"/>
      <w:marRight w:val="0"/>
      <w:marTop w:val="0"/>
      <w:marBottom w:val="0"/>
      <w:divBdr>
        <w:top w:val="none" w:sz="0" w:space="0" w:color="auto"/>
        <w:left w:val="none" w:sz="0" w:space="0" w:color="auto"/>
        <w:bottom w:val="none" w:sz="0" w:space="0" w:color="auto"/>
        <w:right w:val="none" w:sz="0" w:space="0" w:color="auto"/>
      </w:divBdr>
    </w:div>
    <w:div w:id="911936678">
      <w:bodyDiv w:val="1"/>
      <w:marLeft w:val="0"/>
      <w:marRight w:val="0"/>
      <w:marTop w:val="0"/>
      <w:marBottom w:val="0"/>
      <w:divBdr>
        <w:top w:val="none" w:sz="0" w:space="0" w:color="auto"/>
        <w:left w:val="none" w:sz="0" w:space="0" w:color="auto"/>
        <w:bottom w:val="none" w:sz="0" w:space="0" w:color="auto"/>
        <w:right w:val="none" w:sz="0" w:space="0" w:color="auto"/>
      </w:divBdr>
    </w:div>
    <w:div w:id="916205735">
      <w:bodyDiv w:val="1"/>
      <w:marLeft w:val="0"/>
      <w:marRight w:val="0"/>
      <w:marTop w:val="0"/>
      <w:marBottom w:val="0"/>
      <w:divBdr>
        <w:top w:val="none" w:sz="0" w:space="0" w:color="auto"/>
        <w:left w:val="none" w:sz="0" w:space="0" w:color="auto"/>
        <w:bottom w:val="none" w:sz="0" w:space="0" w:color="auto"/>
        <w:right w:val="none" w:sz="0" w:space="0" w:color="auto"/>
      </w:divBdr>
    </w:div>
    <w:div w:id="959802841">
      <w:bodyDiv w:val="1"/>
      <w:marLeft w:val="0"/>
      <w:marRight w:val="0"/>
      <w:marTop w:val="0"/>
      <w:marBottom w:val="0"/>
      <w:divBdr>
        <w:top w:val="none" w:sz="0" w:space="0" w:color="auto"/>
        <w:left w:val="none" w:sz="0" w:space="0" w:color="auto"/>
        <w:bottom w:val="none" w:sz="0" w:space="0" w:color="auto"/>
        <w:right w:val="none" w:sz="0" w:space="0" w:color="auto"/>
      </w:divBdr>
    </w:div>
    <w:div w:id="980573215">
      <w:bodyDiv w:val="1"/>
      <w:marLeft w:val="0"/>
      <w:marRight w:val="0"/>
      <w:marTop w:val="0"/>
      <w:marBottom w:val="0"/>
      <w:divBdr>
        <w:top w:val="none" w:sz="0" w:space="0" w:color="auto"/>
        <w:left w:val="none" w:sz="0" w:space="0" w:color="auto"/>
        <w:bottom w:val="none" w:sz="0" w:space="0" w:color="auto"/>
        <w:right w:val="none" w:sz="0" w:space="0" w:color="auto"/>
      </w:divBdr>
    </w:div>
    <w:div w:id="980816182">
      <w:bodyDiv w:val="1"/>
      <w:marLeft w:val="0"/>
      <w:marRight w:val="0"/>
      <w:marTop w:val="0"/>
      <w:marBottom w:val="0"/>
      <w:divBdr>
        <w:top w:val="none" w:sz="0" w:space="0" w:color="auto"/>
        <w:left w:val="none" w:sz="0" w:space="0" w:color="auto"/>
        <w:bottom w:val="none" w:sz="0" w:space="0" w:color="auto"/>
        <w:right w:val="none" w:sz="0" w:space="0" w:color="auto"/>
      </w:divBdr>
    </w:div>
    <w:div w:id="1036464056">
      <w:bodyDiv w:val="1"/>
      <w:marLeft w:val="0"/>
      <w:marRight w:val="0"/>
      <w:marTop w:val="0"/>
      <w:marBottom w:val="0"/>
      <w:divBdr>
        <w:top w:val="none" w:sz="0" w:space="0" w:color="auto"/>
        <w:left w:val="none" w:sz="0" w:space="0" w:color="auto"/>
        <w:bottom w:val="none" w:sz="0" w:space="0" w:color="auto"/>
        <w:right w:val="none" w:sz="0" w:space="0" w:color="auto"/>
      </w:divBdr>
    </w:div>
    <w:div w:id="1047946706">
      <w:bodyDiv w:val="1"/>
      <w:marLeft w:val="0"/>
      <w:marRight w:val="0"/>
      <w:marTop w:val="0"/>
      <w:marBottom w:val="0"/>
      <w:divBdr>
        <w:top w:val="none" w:sz="0" w:space="0" w:color="auto"/>
        <w:left w:val="none" w:sz="0" w:space="0" w:color="auto"/>
        <w:bottom w:val="none" w:sz="0" w:space="0" w:color="auto"/>
        <w:right w:val="none" w:sz="0" w:space="0" w:color="auto"/>
      </w:divBdr>
    </w:div>
    <w:div w:id="1053584302">
      <w:bodyDiv w:val="1"/>
      <w:marLeft w:val="0"/>
      <w:marRight w:val="0"/>
      <w:marTop w:val="0"/>
      <w:marBottom w:val="0"/>
      <w:divBdr>
        <w:top w:val="none" w:sz="0" w:space="0" w:color="auto"/>
        <w:left w:val="none" w:sz="0" w:space="0" w:color="auto"/>
        <w:bottom w:val="none" w:sz="0" w:space="0" w:color="auto"/>
        <w:right w:val="none" w:sz="0" w:space="0" w:color="auto"/>
      </w:divBdr>
    </w:div>
    <w:div w:id="1069619372">
      <w:bodyDiv w:val="1"/>
      <w:marLeft w:val="0"/>
      <w:marRight w:val="0"/>
      <w:marTop w:val="0"/>
      <w:marBottom w:val="0"/>
      <w:divBdr>
        <w:top w:val="none" w:sz="0" w:space="0" w:color="auto"/>
        <w:left w:val="none" w:sz="0" w:space="0" w:color="auto"/>
        <w:bottom w:val="none" w:sz="0" w:space="0" w:color="auto"/>
        <w:right w:val="none" w:sz="0" w:space="0" w:color="auto"/>
      </w:divBdr>
    </w:div>
    <w:div w:id="1073745604">
      <w:bodyDiv w:val="1"/>
      <w:marLeft w:val="0"/>
      <w:marRight w:val="0"/>
      <w:marTop w:val="0"/>
      <w:marBottom w:val="0"/>
      <w:divBdr>
        <w:top w:val="none" w:sz="0" w:space="0" w:color="auto"/>
        <w:left w:val="none" w:sz="0" w:space="0" w:color="auto"/>
        <w:bottom w:val="none" w:sz="0" w:space="0" w:color="auto"/>
        <w:right w:val="none" w:sz="0" w:space="0" w:color="auto"/>
      </w:divBdr>
    </w:div>
    <w:div w:id="1078088558">
      <w:bodyDiv w:val="1"/>
      <w:marLeft w:val="0"/>
      <w:marRight w:val="0"/>
      <w:marTop w:val="0"/>
      <w:marBottom w:val="0"/>
      <w:divBdr>
        <w:top w:val="none" w:sz="0" w:space="0" w:color="auto"/>
        <w:left w:val="none" w:sz="0" w:space="0" w:color="auto"/>
        <w:bottom w:val="none" w:sz="0" w:space="0" w:color="auto"/>
        <w:right w:val="none" w:sz="0" w:space="0" w:color="auto"/>
      </w:divBdr>
    </w:div>
    <w:div w:id="1094398480">
      <w:bodyDiv w:val="1"/>
      <w:marLeft w:val="0"/>
      <w:marRight w:val="0"/>
      <w:marTop w:val="0"/>
      <w:marBottom w:val="0"/>
      <w:divBdr>
        <w:top w:val="none" w:sz="0" w:space="0" w:color="auto"/>
        <w:left w:val="none" w:sz="0" w:space="0" w:color="auto"/>
        <w:bottom w:val="none" w:sz="0" w:space="0" w:color="auto"/>
        <w:right w:val="none" w:sz="0" w:space="0" w:color="auto"/>
      </w:divBdr>
    </w:div>
    <w:div w:id="1115519521">
      <w:bodyDiv w:val="1"/>
      <w:marLeft w:val="0"/>
      <w:marRight w:val="0"/>
      <w:marTop w:val="0"/>
      <w:marBottom w:val="0"/>
      <w:divBdr>
        <w:top w:val="none" w:sz="0" w:space="0" w:color="auto"/>
        <w:left w:val="none" w:sz="0" w:space="0" w:color="auto"/>
        <w:bottom w:val="none" w:sz="0" w:space="0" w:color="auto"/>
        <w:right w:val="none" w:sz="0" w:space="0" w:color="auto"/>
      </w:divBdr>
    </w:div>
    <w:div w:id="1128426124">
      <w:bodyDiv w:val="1"/>
      <w:marLeft w:val="0"/>
      <w:marRight w:val="0"/>
      <w:marTop w:val="0"/>
      <w:marBottom w:val="0"/>
      <w:divBdr>
        <w:top w:val="none" w:sz="0" w:space="0" w:color="auto"/>
        <w:left w:val="none" w:sz="0" w:space="0" w:color="auto"/>
        <w:bottom w:val="none" w:sz="0" w:space="0" w:color="auto"/>
        <w:right w:val="none" w:sz="0" w:space="0" w:color="auto"/>
      </w:divBdr>
    </w:div>
    <w:div w:id="1129204249">
      <w:bodyDiv w:val="1"/>
      <w:marLeft w:val="0"/>
      <w:marRight w:val="0"/>
      <w:marTop w:val="0"/>
      <w:marBottom w:val="0"/>
      <w:divBdr>
        <w:top w:val="none" w:sz="0" w:space="0" w:color="auto"/>
        <w:left w:val="none" w:sz="0" w:space="0" w:color="auto"/>
        <w:bottom w:val="none" w:sz="0" w:space="0" w:color="auto"/>
        <w:right w:val="none" w:sz="0" w:space="0" w:color="auto"/>
      </w:divBdr>
    </w:div>
    <w:div w:id="1132098059">
      <w:bodyDiv w:val="1"/>
      <w:marLeft w:val="0"/>
      <w:marRight w:val="0"/>
      <w:marTop w:val="0"/>
      <w:marBottom w:val="0"/>
      <w:divBdr>
        <w:top w:val="none" w:sz="0" w:space="0" w:color="auto"/>
        <w:left w:val="none" w:sz="0" w:space="0" w:color="auto"/>
        <w:bottom w:val="none" w:sz="0" w:space="0" w:color="auto"/>
        <w:right w:val="none" w:sz="0" w:space="0" w:color="auto"/>
      </w:divBdr>
    </w:div>
    <w:div w:id="1142425150">
      <w:bodyDiv w:val="1"/>
      <w:marLeft w:val="0"/>
      <w:marRight w:val="0"/>
      <w:marTop w:val="0"/>
      <w:marBottom w:val="0"/>
      <w:divBdr>
        <w:top w:val="none" w:sz="0" w:space="0" w:color="auto"/>
        <w:left w:val="none" w:sz="0" w:space="0" w:color="auto"/>
        <w:bottom w:val="none" w:sz="0" w:space="0" w:color="auto"/>
        <w:right w:val="none" w:sz="0" w:space="0" w:color="auto"/>
      </w:divBdr>
    </w:div>
    <w:div w:id="1154831244">
      <w:bodyDiv w:val="1"/>
      <w:marLeft w:val="0"/>
      <w:marRight w:val="0"/>
      <w:marTop w:val="0"/>
      <w:marBottom w:val="0"/>
      <w:divBdr>
        <w:top w:val="none" w:sz="0" w:space="0" w:color="auto"/>
        <w:left w:val="none" w:sz="0" w:space="0" w:color="auto"/>
        <w:bottom w:val="none" w:sz="0" w:space="0" w:color="auto"/>
        <w:right w:val="none" w:sz="0" w:space="0" w:color="auto"/>
      </w:divBdr>
    </w:div>
    <w:div w:id="1176579672">
      <w:bodyDiv w:val="1"/>
      <w:marLeft w:val="0"/>
      <w:marRight w:val="0"/>
      <w:marTop w:val="0"/>
      <w:marBottom w:val="0"/>
      <w:divBdr>
        <w:top w:val="none" w:sz="0" w:space="0" w:color="auto"/>
        <w:left w:val="none" w:sz="0" w:space="0" w:color="auto"/>
        <w:bottom w:val="none" w:sz="0" w:space="0" w:color="auto"/>
        <w:right w:val="none" w:sz="0" w:space="0" w:color="auto"/>
      </w:divBdr>
    </w:div>
    <w:div w:id="1181239338">
      <w:bodyDiv w:val="1"/>
      <w:marLeft w:val="0"/>
      <w:marRight w:val="0"/>
      <w:marTop w:val="0"/>
      <w:marBottom w:val="0"/>
      <w:divBdr>
        <w:top w:val="none" w:sz="0" w:space="0" w:color="auto"/>
        <w:left w:val="none" w:sz="0" w:space="0" w:color="auto"/>
        <w:bottom w:val="none" w:sz="0" w:space="0" w:color="auto"/>
        <w:right w:val="none" w:sz="0" w:space="0" w:color="auto"/>
      </w:divBdr>
    </w:div>
    <w:div w:id="1215966622">
      <w:bodyDiv w:val="1"/>
      <w:marLeft w:val="0"/>
      <w:marRight w:val="0"/>
      <w:marTop w:val="0"/>
      <w:marBottom w:val="0"/>
      <w:divBdr>
        <w:top w:val="none" w:sz="0" w:space="0" w:color="auto"/>
        <w:left w:val="none" w:sz="0" w:space="0" w:color="auto"/>
        <w:bottom w:val="none" w:sz="0" w:space="0" w:color="auto"/>
        <w:right w:val="none" w:sz="0" w:space="0" w:color="auto"/>
      </w:divBdr>
    </w:div>
    <w:div w:id="1229876375">
      <w:bodyDiv w:val="1"/>
      <w:marLeft w:val="0"/>
      <w:marRight w:val="0"/>
      <w:marTop w:val="0"/>
      <w:marBottom w:val="0"/>
      <w:divBdr>
        <w:top w:val="none" w:sz="0" w:space="0" w:color="auto"/>
        <w:left w:val="none" w:sz="0" w:space="0" w:color="auto"/>
        <w:bottom w:val="none" w:sz="0" w:space="0" w:color="auto"/>
        <w:right w:val="none" w:sz="0" w:space="0" w:color="auto"/>
      </w:divBdr>
    </w:div>
    <w:div w:id="1231887411">
      <w:bodyDiv w:val="1"/>
      <w:marLeft w:val="0"/>
      <w:marRight w:val="0"/>
      <w:marTop w:val="0"/>
      <w:marBottom w:val="0"/>
      <w:divBdr>
        <w:top w:val="none" w:sz="0" w:space="0" w:color="auto"/>
        <w:left w:val="none" w:sz="0" w:space="0" w:color="auto"/>
        <w:bottom w:val="none" w:sz="0" w:space="0" w:color="auto"/>
        <w:right w:val="none" w:sz="0" w:space="0" w:color="auto"/>
      </w:divBdr>
    </w:div>
    <w:div w:id="1238127365">
      <w:bodyDiv w:val="1"/>
      <w:marLeft w:val="0"/>
      <w:marRight w:val="0"/>
      <w:marTop w:val="0"/>
      <w:marBottom w:val="0"/>
      <w:divBdr>
        <w:top w:val="none" w:sz="0" w:space="0" w:color="auto"/>
        <w:left w:val="none" w:sz="0" w:space="0" w:color="auto"/>
        <w:bottom w:val="none" w:sz="0" w:space="0" w:color="auto"/>
        <w:right w:val="none" w:sz="0" w:space="0" w:color="auto"/>
      </w:divBdr>
    </w:div>
    <w:div w:id="1246570854">
      <w:bodyDiv w:val="1"/>
      <w:marLeft w:val="0"/>
      <w:marRight w:val="0"/>
      <w:marTop w:val="0"/>
      <w:marBottom w:val="0"/>
      <w:divBdr>
        <w:top w:val="none" w:sz="0" w:space="0" w:color="auto"/>
        <w:left w:val="none" w:sz="0" w:space="0" w:color="auto"/>
        <w:bottom w:val="none" w:sz="0" w:space="0" w:color="auto"/>
        <w:right w:val="none" w:sz="0" w:space="0" w:color="auto"/>
      </w:divBdr>
    </w:div>
    <w:div w:id="1253590045">
      <w:bodyDiv w:val="1"/>
      <w:marLeft w:val="0"/>
      <w:marRight w:val="0"/>
      <w:marTop w:val="0"/>
      <w:marBottom w:val="0"/>
      <w:divBdr>
        <w:top w:val="none" w:sz="0" w:space="0" w:color="auto"/>
        <w:left w:val="none" w:sz="0" w:space="0" w:color="auto"/>
        <w:bottom w:val="none" w:sz="0" w:space="0" w:color="auto"/>
        <w:right w:val="none" w:sz="0" w:space="0" w:color="auto"/>
      </w:divBdr>
    </w:div>
    <w:div w:id="1268343665">
      <w:bodyDiv w:val="1"/>
      <w:marLeft w:val="0"/>
      <w:marRight w:val="0"/>
      <w:marTop w:val="0"/>
      <w:marBottom w:val="0"/>
      <w:divBdr>
        <w:top w:val="none" w:sz="0" w:space="0" w:color="auto"/>
        <w:left w:val="none" w:sz="0" w:space="0" w:color="auto"/>
        <w:bottom w:val="none" w:sz="0" w:space="0" w:color="auto"/>
        <w:right w:val="none" w:sz="0" w:space="0" w:color="auto"/>
      </w:divBdr>
    </w:div>
    <w:div w:id="1288245425">
      <w:bodyDiv w:val="1"/>
      <w:marLeft w:val="0"/>
      <w:marRight w:val="0"/>
      <w:marTop w:val="0"/>
      <w:marBottom w:val="0"/>
      <w:divBdr>
        <w:top w:val="none" w:sz="0" w:space="0" w:color="auto"/>
        <w:left w:val="none" w:sz="0" w:space="0" w:color="auto"/>
        <w:bottom w:val="none" w:sz="0" w:space="0" w:color="auto"/>
        <w:right w:val="none" w:sz="0" w:space="0" w:color="auto"/>
      </w:divBdr>
    </w:div>
    <w:div w:id="1306079871">
      <w:bodyDiv w:val="1"/>
      <w:marLeft w:val="0"/>
      <w:marRight w:val="0"/>
      <w:marTop w:val="0"/>
      <w:marBottom w:val="0"/>
      <w:divBdr>
        <w:top w:val="none" w:sz="0" w:space="0" w:color="auto"/>
        <w:left w:val="none" w:sz="0" w:space="0" w:color="auto"/>
        <w:bottom w:val="none" w:sz="0" w:space="0" w:color="auto"/>
        <w:right w:val="none" w:sz="0" w:space="0" w:color="auto"/>
      </w:divBdr>
    </w:div>
    <w:div w:id="1307398056">
      <w:bodyDiv w:val="1"/>
      <w:marLeft w:val="0"/>
      <w:marRight w:val="0"/>
      <w:marTop w:val="0"/>
      <w:marBottom w:val="0"/>
      <w:divBdr>
        <w:top w:val="none" w:sz="0" w:space="0" w:color="auto"/>
        <w:left w:val="none" w:sz="0" w:space="0" w:color="auto"/>
        <w:bottom w:val="none" w:sz="0" w:space="0" w:color="auto"/>
        <w:right w:val="none" w:sz="0" w:space="0" w:color="auto"/>
      </w:divBdr>
    </w:div>
    <w:div w:id="1314212619">
      <w:bodyDiv w:val="1"/>
      <w:marLeft w:val="0"/>
      <w:marRight w:val="0"/>
      <w:marTop w:val="0"/>
      <w:marBottom w:val="0"/>
      <w:divBdr>
        <w:top w:val="none" w:sz="0" w:space="0" w:color="auto"/>
        <w:left w:val="none" w:sz="0" w:space="0" w:color="auto"/>
        <w:bottom w:val="none" w:sz="0" w:space="0" w:color="auto"/>
        <w:right w:val="none" w:sz="0" w:space="0" w:color="auto"/>
      </w:divBdr>
    </w:div>
    <w:div w:id="1322082958">
      <w:bodyDiv w:val="1"/>
      <w:marLeft w:val="0"/>
      <w:marRight w:val="0"/>
      <w:marTop w:val="0"/>
      <w:marBottom w:val="0"/>
      <w:divBdr>
        <w:top w:val="none" w:sz="0" w:space="0" w:color="auto"/>
        <w:left w:val="none" w:sz="0" w:space="0" w:color="auto"/>
        <w:bottom w:val="none" w:sz="0" w:space="0" w:color="auto"/>
        <w:right w:val="none" w:sz="0" w:space="0" w:color="auto"/>
      </w:divBdr>
    </w:div>
    <w:div w:id="1331055598">
      <w:bodyDiv w:val="1"/>
      <w:marLeft w:val="0"/>
      <w:marRight w:val="0"/>
      <w:marTop w:val="0"/>
      <w:marBottom w:val="0"/>
      <w:divBdr>
        <w:top w:val="none" w:sz="0" w:space="0" w:color="auto"/>
        <w:left w:val="none" w:sz="0" w:space="0" w:color="auto"/>
        <w:bottom w:val="none" w:sz="0" w:space="0" w:color="auto"/>
        <w:right w:val="none" w:sz="0" w:space="0" w:color="auto"/>
      </w:divBdr>
    </w:div>
    <w:div w:id="1337151305">
      <w:bodyDiv w:val="1"/>
      <w:marLeft w:val="0"/>
      <w:marRight w:val="0"/>
      <w:marTop w:val="0"/>
      <w:marBottom w:val="0"/>
      <w:divBdr>
        <w:top w:val="none" w:sz="0" w:space="0" w:color="auto"/>
        <w:left w:val="none" w:sz="0" w:space="0" w:color="auto"/>
        <w:bottom w:val="none" w:sz="0" w:space="0" w:color="auto"/>
        <w:right w:val="none" w:sz="0" w:space="0" w:color="auto"/>
      </w:divBdr>
    </w:div>
    <w:div w:id="1343509325">
      <w:bodyDiv w:val="1"/>
      <w:marLeft w:val="0"/>
      <w:marRight w:val="0"/>
      <w:marTop w:val="0"/>
      <w:marBottom w:val="0"/>
      <w:divBdr>
        <w:top w:val="none" w:sz="0" w:space="0" w:color="auto"/>
        <w:left w:val="none" w:sz="0" w:space="0" w:color="auto"/>
        <w:bottom w:val="none" w:sz="0" w:space="0" w:color="auto"/>
        <w:right w:val="none" w:sz="0" w:space="0" w:color="auto"/>
      </w:divBdr>
    </w:div>
    <w:div w:id="1358851818">
      <w:bodyDiv w:val="1"/>
      <w:marLeft w:val="0"/>
      <w:marRight w:val="0"/>
      <w:marTop w:val="0"/>
      <w:marBottom w:val="0"/>
      <w:divBdr>
        <w:top w:val="none" w:sz="0" w:space="0" w:color="auto"/>
        <w:left w:val="none" w:sz="0" w:space="0" w:color="auto"/>
        <w:bottom w:val="none" w:sz="0" w:space="0" w:color="auto"/>
        <w:right w:val="none" w:sz="0" w:space="0" w:color="auto"/>
      </w:divBdr>
    </w:div>
    <w:div w:id="1371802503">
      <w:bodyDiv w:val="1"/>
      <w:marLeft w:val="0"/>
      <w:marRight w:val="0"/>
      <w:marTop w:val="0"/>
      <w:marBottom w:val="0"/>
      <w:divBdr>
        <w:top w:val="none" w:sz="0" w:space="0" w:color="auto"/>
        <w:left w:val="none" w:sz="0" w:space="0" w:color="auto"/>
        <w:bottom w:val="none" w:sz="0" w:space="0" w:color="auto"/>
        <w:right w:val="none" w:sz="0" w:space="0" w:color="auto"/>
      </w:divBdr>
    </w:div>
    <w:div w:id="1392189951">
      <w:bodyDiv w:val="1"/>
      <w:marLeft w:val="0"/>
      <w:marRight w:val="0"/>
      <w:marTop w:val="0"/>
      <w:marBottom w:val="0"/>
      <w:divBdr>
        <w:top w:val="none" w:sz="0" w:space="0" w:color="auto"/>
        <w:left w:val="none" w:sz="0" w:space="0" w:color="auto"/>
        <w:bottom w:val="none" w:sz="0" w:space="0" w:color="auto"/>
        <w:right w:val="none" w:sz="0" w:space="0" w:color="auto"/>
      </w:divBdr>
    </w:div>
    <w:div w:id="1412384685">
      <w:bodyDiv w:val="1"/>
      <w:marLeft w:val="0"/>
      <w:marRight w:val="0"/>
      <w:marTop w:val="0"/>
      <w:marBottom w:val="0"/>
      <w:divBdr>
        <w:top w:val="none" w:sz="0" w:space="0" w:color="auto"/>
        <w:left w:val="none" w:sz="0" w:space="0" w:color="auto"/>
        <w:bottom w:val="none" w:sz="0" w:space="0" w:color="auto"/>
        <w:right w:val="none" w:sz="0" w:space="0" w:color="auto"/>
      </w:divBdr>
    </w:div>
    <w:div w:id="1415127691">
      <w:bodyDiv w:val="1"/>
      <w:marLeft w:val="0"/>
      <w:marRight w:val="0"/>
      <w:marTop w:val="0"/>
      <w:marBottom w:val="0"/>
      <w:divBdr>
        <w:top w:val="none" w:sz="0" w:space="0" w:color="auto"/>
        <w:left w:val="none" w:sz="0" w:space="0" w:color="auto"/>
        <w:bottom w:val="none" w:sz="0" w:space="0" w:color="auto"/>
        <w:right w:val="none" w:sz="0" w:space="0" w:color="auto"/>
      </w:divBdr>
    </w:div>
    <w:div w:id="1418600392">
      <w:bodyDiv w:val="1"/>
      <w:marLeft w:val="0"/>
      <w:marRight w:val="0"/>
      <w:marTop w:val="0"/>
      <w:marBottom w:val="0"/>
      <w:divBdr>
        <w:top w:val="none" w:sz="0" w:space="0" w:color="auto"/>
        <w:left w:val="none" w:sz="0" w:space="0" w:color="auto"/>
        <w:bottom w:val="none" w:sz="0" w:space="0" w:color="auto"/>
        <w:right w:val="none" w:sz="0" w:space="0" w:color="auto"/>
      </w:divBdr>
    </w:div>
    <w:div w:id="1422992775">
      <w:bodyDiv w:val="1"/>
      <w:marLeft w:val="0"/>
      <w:marRight w:val="0"/>
      <w:marTop w:val="0"/>
      <w:marBottom w:val="0"/>
      <w:divBdr>
        <w:top w:val="none" w:sz="0" w:space="0" w:color="auto"/>
        <w:left w:val="none" w:sz="0" w:space="0" w:color="auto"/>
        <w:bottom w:val="none" w:sz="0" w:space="0" w:color="auto"/>
        <w:right w:val="none" w:sz="0" w:space="0" w:color="auto"/>
      </w:divBdr>
    </w:div>
    <w:div w:id="1433428450">
      <w:bodyDiv w:val="1"/>
      <w:marLeft w:val="0"/>
      <w:marRight w:val="0"/>
      <w:marTop w:val="0"/>
      <w:marBottom w:val="0"/>
      <w:divBdr>
        <w:top w:val="none" w:sz="0" w:space="0" w:color="auto"/>
        <w:left w:val="none" w:sz="0" w:space="0" w:color="auto"/>
        <w:bottom w:val="none" w:sz="0" w:space="0" w:color="auto"/>
        <w:right w:val="none" w:sz="0" w:space="0" w:color="auto"/>
      </w:divBdr>
    </w:div>
    <w:div w:id="1484005930">
      <w:bodyDiv w:val="1"/>
      <w:marLeft w:val="0"/>
      <w:marRight w:val="0"/>
      <w:marTop w:val="0"/>
      <w:marBottom w:val="0"/>
      <w:divBdr>
        <w:top w:val="none" w:sz="0" w:space="0" w:color="auto"/>
        <w:left w:val="none" w:sz="0" w:space="0" w:color="auto"/>
        <w:bottom w:val="none" w:sz="0" w:space="0" w:color="auto"/>
        <w:right w:val="none" w:sz="0" w:space="0" w:color="auto"/>
      </w:divBdr>
    </w:div>
    <w:div w:id="1495880936">
      <w:bodyDiv w:val="1"/>
      <w:marLeft w:val="0"/>
      <w:marRight w:val="0"/>
      <w:marTop w:val="0"/>
      <w:marBottom w:val="0"/>
      <w:divBdr>
        <w:top w:val="none" w:sz="0" w:space="0" w:color="auto"/>
        <w:left w:val="none" w:sz="0" w:space="0" w:color="auto"/>
        <w:bottom w:val="none" w:sz="0" w:space="0" w:color="auto"/>
        <w:right w:val="none" w:sz="0" w:space="0" w:color="auto"/>
      </w:divBdr>
    </w:div>
    <w:div w:id="1500584765">
      <w:bodyDiv w:val="1"/>
      <w:marLeft w:val="0"/>
      <w:marRight w:val="0"/>
      <w:marTop w:val="0"/>
      <w:marBottom w:val="0"/>
      <w:divBdr>
        <w:top w:val="none" w:sz="0" w:space="0" w:color="auto"/>
        <w:left w:val="none" w:sz="0" w:space="0" w:color="auto"/>
        <w:bottom w:val="none" w:sz="0" w:space="0" w:color="auto"/>
        <w:right w:val="none" w:sz="0" w:space="0" w:color="auto"/>
      </w:divBdr>
    </w:div>
    <w:div w:id="1511524074">
      <w:bodyDiv w:val="1"/>
      <w:marLeft w:val="0"/>
      <w:marRight w:val="0"/>
      <w:marTop w:val="0"/>
      <w:marBottom w:val="0"/>
      <w:divBdr>
        <w:top w:val="none" w:sz="0" w:space="0" w:color="auto"/>
        <w:left w:val="none" w:sz="0" w:space="0" w:color="auto"/>
        <w:bottom w:val="none" w:sz="0" w:space="0" w:color="auto"/>
        <w:right w:val="none" w:sz="0" w:space="0" w:color="auto"/>
      </w:divBdr>
    </w:div>
    <w:div w:id="1522890956">
      <w:bodyDiv w:val="1"/>
      <w:marLeft w:val="0"/>
      <w:marRight w:val="0"/>
      <w:marTop w:val="0"/>
      <w:marBottom w:val="0"/>
      <w:divBdr>
        <w:top w:val="none" w:sz="0" w:space="0" w:color="auto"/>
        <w:left w:val="none" w:sz="0" w:space="0" w:color="auto"/>
        <w:bottom w:val="none" w:sz="0" w:space="0" w:color="auto"/>
        <w:right w:val="none" w:sz="0" w:space="0" w:color="auto"/>
      </w:divBdr>
    </w:div>
    <w:div w:id="1529874071">
      <w:bodyDiv w:val="1"/>
      <w:marLeft w:val="0"/>
      <w:marRight w:val="0"/>
      <w:marTop w:val="0"/>
      <w:marBottom w:val="0"/>
      <w:divBdr>
        <w:top w:val="none" w:sz="0" w:space="0" w:color="auto"/>
        <w:left w:val="none" w:sz="0" w:space="0" w:color="auto"/>
        <w:bottom w:val="none" w:sz="0" w:space="0" w:color="auto"/>
        <w:right w:val="none" w:sz="0" w:space="0" w:color="auto"/>
      </w:divBdr>
    </w:div>
    <w:div w:id="1548253821">
      <w:bodyDiv w:val="1"/>
      <w:marLeft w:val="0"/>
      <w:marRight w:val="0"/>
      <w:marTop w:val="0"/>
      <w:marBottom w:val="0"/>
      <w:divBdr>
        <w:top w:val="none" w:sz="0" w:space="0" w:color="auto"/>
        <w:left w:val="none" w:sz="0" w:space="0" w:color="auto"/>
        <w:bottom w:val="none" w:sz="0" w:space="0" w:color="auto"/>
        <w:right w:val="none" w:sz="0" w:space="0" w:color="auto"/>
      </w:divBdr>
    </w:div>
    <w:div w:id="1548683246">
      <w:bodyDiv w:val="1"/>
      <w:marLeft w:val="0"/>
      <w:marRight w:val="0"/>
      <w:marTop w:val="0"/>
      <w:marBottom w:val="0"/>
      <w:divBdr>
        <w:top w:val="none" w:sz="0" w:space="0" w:color="auto"/>
        <w:left w:val="none" w:sz="0" w:space="0" w:color="auto"/>
        <w:bottom w:val="none" w:sz="0" w:space="0" w:color="auto"/>
        <w:right w:val="none" w:sz="0" w:space="0" w:color="auto"/>
      </w:divBdr>
    </w:div>
    <w:div w:id="1553037939">
      <w:bodyDiv w:val="1"/>
      <w:marLeft w:val="0"/>
      <w:marRight w:val="0"/>
      <w:marTop w:val="0"/>
      <w:marBottom w:val="0"/>
      <w:divBdr>
        <w:top w:val="none" w:sz="0" w:space="0" w:color="auto"/>
        <w:left w:val="none" w:sz="0" w:space="0" w:color="auto"/>
        <w:bottom w:val="none" w:sz="0" w:space="0" w:color="auto"/>
        <w:right w:val="none" w:sz="0" w:space="0" w:color="auto"/>
      </w:divBdr>
    </w:div>
    <w:div w:id="1561163713">
      <w:bodyDiv w:val="1"/>
      <w:marLeft w:val="0"/>
      <w:marRight w:val="0"/>
      <w:marTop w:val="0"/>
      <w:marBottom w:val="0"/>
      <w:divBdr>
        <w:top w:val="none" w:sz="0" w:space="0" w:color="auto"/>
        <w:left w:val="none" w:sz="0" w:space="0" w:color="auto"/>
        <w:bottom w:val="none" w:sz="0" w:space="0" w:color="auto"/>
        <w:right w:val="none" w:sz="0" w:space="0" w:color="auto"/>
      </w:divBdr>
    </w:div>
    <w:div w:id="1567182062">
      <w:bodyDiv w:val="1"/>
      <w:marLeft w:val="0"/>
      <w:marRight w:val="0"/>
      <w:marTop w:val="0"/>
      <w:marBottom w:val="0"/>
      <w:divBdr>
        <w:top w:val="none" w:sz="0" w:space="0" w:color="auto"/>
        <w:left w:val="none" w:sz="0" w:space="0" w:color="auto"/>
        <w:bottom w:val="none" w:sz="0" w:space="0" w:color="auto"/>
        <w:right w:val="none" w:sz="0" w:space="0" w:color="auto"/>
      </w:divBdr>
      <w:divsChild>
        <w:div w:id="1966084583">
          <w:marLeft w:val="-1380"/>
          <w:marRight w:val="480"/>
          <w:marTop w:val="120"/>
          <w:marBottom w:val="300"/>
          <w:divBdr>
            <w:top w:val="none" w:sz="0" w:space="0" w:color="auto"/>
            <w:left w:val="none" w:sz="0" w:space="0" w:color="auto"/>
            <w:bottom w:val="none" w:sz="0" w:space="0" w:color="auto"/>
            <w:right w:val="none" w:sz="0" w:space="0" w:color="auto"/>
          </w:divBdr>
        </w:div>
      </w:divsChild>
    </w:div>
    <w:div w:id="1572151965">
      <w:bodyDiv w:val="1"/>
      <w:marLeft w:val="0"/>
      <w:marRight w:val="0"/>
      <w:marTop w:val="0"/>
      <w:marBottom w:val="0"/>
      <w:divBdr>
        <w:top w:val="none" w:sz="0" w:space="0" w:color="auto"/>
        <w:left w:val="none" w:sz="0" w:space="0" w:color="auto"/>
        <w:bottom w:val="none" w:sz="0" w:space="0" w:color="auto"/>
        <w:right w:val="none" w:sz="0" w:space="0" w:color="auto"/>
      </w:divBdr>
    </w:div>
    <w:div w:id="1574776572">
      <w:bodyDiv w:val="1"/>
      <w:marLeft w:val="0"/>
      <w:marRight w:val="0"/>
      <w:marTop w:val="0"/>
      <w:marBottom w:val="0"/>
      <w:divBdr>
        <w:top w:val="none" w:sz="0" w:space="0" w:color="auto"/>
        <w:left w:val="none" w:sz="0" w:space="0" w:color="auto"/>
        <w:bottom w:val="none" w:sz="0" w:space="0" w:color="auto"/>
        <w:right w:val="none" w:sz="0" w:space="0" w:color="auto"/>
      </w:divBdr>
    </w:div>
    <w:div w:id="1580401928">
      <w:bodyDiv w:val="1"/>
      <w:marLeft w:val="0"/>
      <w:marRight w:val="0"/>
      <w:marTop w:val="0"/>
      <w:marBottom w:val="0"/>
      <w:divBdr>
        <w:top w:val="none" w:sz="0" w:space="0" w:color="auto"/>
        <w:left w:val="none" w:sz="0" w:space="0" w:color="auto"/>
        <w:bottom w:val="none" w:sz="0" w:space="0" w:color="auto"/>
        <w:right w:val="none" w:sz="0" w:space="0" w:color="auto"/>
      </w:divBdr>
    </w:div>
    <w:div w:id="1587304955">
      <w:bodyDiv w:val="1"/>
      <w:marLeft w:val="0"/>
      <w:marRight w:val="0"/>
      <w:marTop w:val="0"/>
      <w:marBottom w:val="0"/>
      <w:divBdr>
        <w:top w:val="none" w:sz="0" w:space="0" w:color="auto"/>
        <w:left w:val="none" w:sz="0" w:space="0" w:color="auto"/>
        <w:bottom w:val="none" w:sz="0" w:space="0" w:color="auto"/>
        <w:right w:val="none" w:sz="0" w:space="0" w:color="auto"/>
      </w:divBdr>
    </w:div>
    <w:div w:id="1594437756">
      <w:bodyDiv w:val="1"/>
      <w:marLeft w:val="0"/>
      <w:marRight w:val="0"/>
      <w:marTop w:val="0"/>
      <w:marBottom w:val="0"/>
      <w:divBdr>
        <w:top w:val="none" w:sz="0" w:space="0" w:color="auto"/>
        <w:left w:val="none" w:sz="0" w:space="0" w:color="auto"/>
        <w:bottom w:val="none" w:sz="0" w:space="0" w:color="auto"/>
        <w:right w:val="none" w:sz="0" w:space="0" w:color="auto"/>
      </w:divBdr>
    </w:div>
    <w:div w:id="1601643422">
      <w:bodyDiv w:val="1"/>
      <w:marLeft w:val="0"/>
      <w:marRight w:val="0"/>
      <w:marTop w:val="0"/>
      <w:marBottom w:val="0"/>
      <w:divBdr>
        <w:top w:val="none" w:sz="0" w:space="0" w:color="auto"/>
        <w:left w:val="none" w:sz="0" w:space="0" w:color="auto"/>
        <w:bottom w:val="none" w:sz="0" w:space="0" w:color="auto"/>
        <w:right w:val="none" w:sz="0" w:space="0" w:color="auto"/>
      </w:divBdr>
    </w:div>
    <w:div w:id="1604533567">
      <w:bodyDiv w:val="1"/>
      <w:marLeft w:val="0"/>
      <w:marRight w:val="0"/>
      <w:marTop w:val="0"/>
      <w:marBottom w:val="0"/>
      <w:divBdr>
        <w:top w:val="none" w:sz="0" w:space="0" w:color="auto"/>
        <w:left w:val="none" w:sz="0" w:space="0" w:color="auto"/>
        <w:bottom w:val="none" w:sz="0" w:space="0" w:color="auto"/>
        <w:right w:val="none" w:sz="0" w:space="0" w:color="auto"/>
      </w:divBdr>
    </w:div>
    <w:div w:id="1622414205">
      <w:bodyDiv w:val="1"/>
      <w:marLeft w:val="0"/>
      <w:marRight w:val="0"/>
      <w:marTop w:val="0"/>
      <w:marBottom w:val="0"/>
      <w:divBdr>
        <w:top w:val="none" w:sz="0" w:space="0" w:color="auto"/>
        <w:left w:val="none" w:sz="0" w:space="0" w:color="auto"/>
        <w:bottom w:val="none" w:sz="0" w:space="0" w:color="auto"/>
        <w:right w:val="none" w:sz="0" w:space="0" w:color="auto"/>
      </w:divBdr>
    </w:div>
    <w:div w:id="1630163062">
      <w:bodyDiv w:val="1"/>
      <w:marLeft w:val="0"/>
      <w:marRight w:val="0"/>
      <w:marTop w:val="0"/>
      <w:marBottom w:val="0"/>
      <w:divBdr>
        <w:top w:val="none" w:sz="0" w:space="0" w:color="auto"/>
        <w:left w:val="none" w:sz="0" w:space="0" w:color="auto"/>
        <w:bottom w:val="none" w:sz="0" w:space="0" w:color="auto"/>
        <w:right w:val="none" w:sz="0" w:space="0" w:color="auto"/>
      </w:divBdr>
    </w:div>
    <w:div w:id="1661349528">
      <w:bodyDiv w:val="1"/>
      <w:marLeft w:val="0"/>
      <w:marRight w:val="0"/>
      <w:marTop w:val="0"/>
      <w:marBottom w:val="0"/>
      <w:divBdr>
        <w:top w:val="none" w:sz="0" w:space="0" w:color="auto"/>
        <w:left w:val="none" w:sz="0" w:space="0" w:color="auto"/>
        <w:bottom w:val="none" w:sz="0" w:space="0" w:color="auto"/>
        <w:right w:val="none" w:sz="0" w:space="0" w:color="auto"/>
      </w:divBdr>
    </w:div>
    <w:div w:id="1663510822">
      <w:bodyDiv w:val="1"/>
      <w:marLeft w:val="0"/>
      <w:marRight w:val="0"/>
      <w:marTop w:val="0"/>
      <w:marBottom w:val="0"/>
      <w:divBdr>
        <w:top w:val="none" w:sz="0" w:space="0" w:color="auto"/>
        <w:left w:val="none" w:sz="0" w:space="0" w:color="auto"/>
        <w:bottom w:val="none" w:sz="0" w:space="0" w:color="auto"/>
        <w:right w:val="none" w:sz="0" w:space="0" w:color="auto"/>
      </w:divBdr>
    </w:div>
    <w:div w:id="1663578529">
      <w:bodyDiv w:val="1"/>
      <w:marLeft w:val="0"/>
      <w:marRight w:val="0"/>
      <w:marTop w:val="0"/>
      <w:marBottom w:val="0"/>
      <w:divBdr>
        <w:top w:val="none" w:sz="0" w:space="0" w:color="auto"/>
        <w:left w:val="none" w:sz="0" w:space="0" w:color="auto"/>
        <w:bottom w:val="none" w:sz="0" w:space="0" w:color="auto"/>
        <w:right w:val="none" w:sz="0" w:space="0" w:color="auto"/>
      </w:divBdr>
    </w:div>
    <w:div w:id="1667632630">
      <w:bodyDiv w:val="1"/>
      <w:marLeft w:val="0"/>
      <w:marRight w:val="0"/>
      <w:marTop w:val="0"/>
      <w:marBottom w:val="0"/>
      <w:divBdr>
        <w:top w:val="none" w:sz="0" w:space="0" w:color="auto"/>
        <w:left w:val="none" w:sz="0" w:space="0" w:color="auto"/>
        <w:bottom w:val="none" w:sz="0" w:space="0" w:color="auto"/>
        <w:right w:val="none" w:sz="0" w:space="0" w:color="auto"/>
      </w:divBdr>
    </w:div>
    <w:div w:id="1676805940">
      <w:bodyDiv w:val="1"/>
      <w:marLeft w:val="0"/>
      <w:marRight w:val="0"/>
      <w:marTop w:val="0"/>
      <w:marBottom w:val="0"/>
      <w:divBdr>
        <w:top w:val="none" w:sz="0" w:space="0" w:color="auto"/>
        <w:left w:val="none" w:sz="0" w:space="0" w:color="auto"/>
        <w:bottom w:val="none" w:sz="0" w:space="0" w:color="auto"/>
        <w:right w:val="none" w:sz="0" w:space="0" w:color="auto"/>
      </w:divBdr>
    </w:div>
    <w:div w:id="1680695617">
      <w:bodyDiv w:val="1"/>
      <w:marLeft w:val="0"/>
      <w:marRight w:val="0"/>
      <w:marTop w:val="0"/>
      <w:marBottom w:val="0"/>
      <w:divBdr>
        <w:top w:val="none" w:sz="0" w:space="0" w:color="auto"/>
        <w:left w:val="none" w:sz="0" w:space="0" w:color="auto"/>
        <w:bottom w:val="none" w:sz="0" w:space="0" w:color="auto"/>
        <w:right w:val="none" w:sz="0" w:space="0" w:color="auto"/>
      </w:divBdr>
    </w:div>
    <w:div w:id="1682391759">
      <w:bodyDiv w:val="1"/>
      <w:marLeft w:val="0"/>
      <w:marRight w:val="0"/>
      <w:marTop w:val="0"/>
      <w:marBottom w:val="0"/>
      <w:divBdr>
        <w:top w:val="none" w:sz="0" w:space="0" w:color="auto"/>
        <w:left w:val="none" w:sz="0" w:space="0" w:color="auto"/>
        <w:bottom w:val="none" w:sz="0" w:space="0" w:color="auto"/>
        <w:right w:val="none" w:sz="0" w:space="0" w:color="auto"/>
      </w:divBdr>
    </w:div>
    <w:div w:id="1685981815">
      <w:bodyDiv w:val="1"/>
      <w:marLeft w:val="0"/>
      <w:marRight w:val="0"/>
      <w:marTop w:val="0"/>
      <w:marBottom w:val="0"/>
      <w:divBdr>
        <w:top w:val="none" w:sz="0" w:space="0" w:color="auto"/>
        <w:left w:val="none" w:sz="0" w:space="0" w:color="auto"/>
        <w:bottom w:val="none" w:sz="0" w:space="0" w:color="auto"/>
        <w:right w:val="none" w:sz="0" w:space="0" w:color="auto"/>
      </w:divBdr>
    </w:div>
    <w:div w:id="1692146801">
      <w:bodyDiv w:val="1"/>
      <w:marLeft w:val="0"/>
      <w:marRight w:val="0"/>
      <w:marTop w:val="0"/>
      <w:marBottom w:val="0"/>
      <w:divBdr>
        <w:top w:val="none" w:sz="0" w:space="0" w:color="auto"/>
        <w:left w:val="none" w:sz="0" w:space="0" w:color="auto"/>
        <w:bottom w:val="none" w:sz="0" w:space="0" w:color="auto"/>
        <w:right w:val="none" w:sz="0" w:space="0" w:color="auto"/>
      </w:divBdr>
    </w:div>
    <w:div w:id="1700205098">
      <w:bodyDiv w:val="1"/>
      <w:marLeft w:val="0"/>
      <w:marRight w:val="0"/>
      <w:marTop w:val="0"/>
      <w:marBottom w:val="0"/>
      <w:divBdr>
        <w:top w:val="none" w:sz="0" w:space="0" w:color="auto"/>
        <w:left w:val="none" w:sz="0" w:space="0" w:color="auto"/>
        <w:bottom w:val="none" w:sz="0" w:space="0" w:color="auto"/>
        <w:right w:val="none" w:sz="0" w:space="0" w:color="auto"/>
      </w:divBdr>
    </w:div>
    <w:div w:id="1729769665">
      <w:bodyDiv w:val="1"/>
      <w:marLeft w:val="0"/>
      <w:marRight w:val="0"/>
      <w:marTop w:val="0"/>
      <w:marBottom w:val="0"/>
      <w:divBdr>
        <w:top w:val="none" w:sz="0" w:space="0" w:color="auto"/>
        <w:left w:val="none" w:sz="0" w:space="0" w:color="auto"/>
        <w:bottom w:val="none" w:sz="0" w:space="0" w:color="auto"/>
        <w:right w:val="none" w:sz="0" w:space="0" w:color="auto"/>
      </w:divBdr>
    </w:div>
    <w:div w:id="1732536514">
      <w:bodyDiv w:val="1"/>
      <w:marLeft w:val="0"/>
      <w:marRight w:val="0"/>
      <w:marTop w:val="0"/>
      <w:marBottom w:val="0"/>
      <w:divBdr>
        <w:top w:val="none" w:sz="0" w:space="0" w:color="auto"/>
        <w:left w:val="none" w:sz="0" w:space="0" w:color="auto"/>
        <w:bottom w:val="none" w:sz="0" w:space="0" w:color="auto"/>
        <w:right w:val="none" w:sz="0" w:space="0" w:color="auto"/>
      </w:divBdr>
    </w:div>
    <w:div w:id="1737126339">
      <w:bodyDiv w:val="1"/>
      <w:marLeft w:val="0"/>
      <w:marRight w:val="0"/>
      <w:marTop w:val="0"/>
      <w:marBottom w:val="0"/>
      <w:divBdr>
        <w:top w:val="none" w:sz="0" w:space="0" w:color="auto"/>
        <w:left w:val="none" w:sz="0" w:space="0" w:color="auto"/>
        <w:bottom w:val="none" w:sz="0" w:space="0" w:color="auto"/>
        <w:right w:val="none" w:sz="0" w:space="0" w:color="auto"/>
      </w:divBdr>
    </w:div>
    <w:div w:id="1742018507">
      <w:bodyDiv w:val="1"/>
      <w:marLeft w:val="0"/>
      <w:marRight w:val="0"/>
      <w:marTop w:val="0"/>
      <w:marBottom w:val="0"/>
      <w:divBdr>
        <w:top w:val="none" w:sz="0" w:space="0" w:color="auto"/>
        <w:left w:val="none" w:sz="0" w:space="0" w:color="auto"/>
        <w:bottom w:val="none" w:sz="0" w:space="0" w:color="auto"/>
        <w:right w:val="none" w:sz="0" w:space="0" w:color="auto"/>
      </w:divBdr>
    </w:div>
    <w:div w:id="1747652464">
      <w:bodyDiv w:val="1"/>
      <w:marLeft w:val="0"/>
      <w:marRight w:val="0"/>
      <w:marTop w:val="0"/>
      <w:marBottom w:val="0"/>
      <w:divBdr>
        <w:top w:val="none" w:sz="0" w:space="0" w:color="auto"/>
        <w:left w:val="none" w:sz="0" w:space="0" w:color="auto"/>
        <w:bottom w:val="none" w:sz="0" w:space="0" w:color="auto"/>
        <w:right w:val="none" w:sz="0" w:space="0" w:color="auto"/>
      </w:divBdr>
    </w:div>
    <w:div w:id="1748577287">
      <w:bodyDiv w:val="1"/>
      <w:marLeft w:val="0"/>
      <w:marRight w:val="0"/>
      <w:marTop w:val="0"/>
      <w:marBottom w:val="0"/>
      <w:divBdr>
        <w:top w:val="none" w:sz="0" w:space="0" w:color="auto"/>
        <w:left w:val="none" w:sz="0" w:space="0" w:color="auto"/>
        <w:bottom w:val="none" w:sz="0" w:space="0" w:color="auto"/>
        <w:right w:val="none" w:sz="0" w:space="0" w:color="auto"/>
      </w:divBdr>
    </w:div>
    <w:div w:id="1753623696">
      <w:bodyDiv w:val="1"/>
      <w:marLeft w:val="0"/>
      <w:marRight w:val="0"/>
      <w:marTop w:val="0"/>
      <w:marBottom w:val="0"/>
      <w:divBdr>
        <w:top w:val="none" w:sz="0" w:space="0" w:color="auto"/>
        <w:left w:val="none" w:sz="0" w:space="0" w:color="auto"/>
        <w:bottom w:val="none" w:sz="0" w:space="0" w:color="auto"/>
        <w:right w:val="none" w:sz="0" w:space="0" w:color="auto"/>
      </w:divBdr>
    </w:div>
    <w:div w:id="1767340077">
      <w:bodyDiv w:val="1"/>
      <w:marLeft w:val="0"/>
      <w:marRight w:val="0"/>
      <w:marTop w:val="0"/>
      <w:marBottom w:val="0"/>
      <w:divBdr>
        <w:top w:val="none" w:sz="0" w:space="0" w:color="auto"/>
        <w:left w:val="none" w:sz="0" w:space="0" w:color="auto"/>
        <w:bottom w:val="none" w:sz="0" w:space="0" w:color="auto"/>
        <w:right w:val="none" w:sz="0" w:space="0" w:color="auto"/>
      </w:divBdr>
    </w:div>
    <w:div w:id="1767656463">
      <w:bodyDiv w:val="1"/>
      <w:marLeft w:val="0"/>
      <w:marRight w:val="0"/>
      <w:marTop w:val="0"/>
      <w:marBottom w:val="0"/>
      <w:divBdr>
        <w:top w:val="none" w:sz="0" w:space="0" w:color="auto"/>
        <w:left w:val="none" w:sz="0" w:space="0" w:color="auto"/>
        <w:bottom w:val="none" w:sz="0" w:space="0" w:color="auto"/>
        <w:right w:val="none" w:sz="0" w:space="0" w:color="auto"/>
      </w:divBdr>
    </w:div>
    <w:div w:id="1813936391">
      <w:bodyDiv w:val="1"/>
      <w:marLeft w:val="0"/>
      <w:marRight w:val="0"/>
      <w:marTop w:val="0"/>
      <w:marBottom w:val="0"/>
      <w:divBdr>
        <w:top w:val="none" w:sz="0" w:space="0" w:color="auto"/>
        <w:left w:val="none" w:sz="0" w:space="0" w:color="auto"/>
        <w:bottom w:val="none" w:sz="0" w:space="0" w:color="auto"/>
        <w:right w:val="none" w:sz="0" w:space="0" w:color="auto"/>
      </w:divBdr>
    </w:div>
    <w:div w:id="1822425441">
      <w:bodyDiv w:val="1"/>
      <w:marLeft w:val="0"/>
      <w:marRight w:val="0"/>
      <w:marTop w:val="0"/>
      <w:marBottom w:val="0"/>
      <w:divBdr>
        <w:top w:val="none" w:sz="0" w:space="0" w:color="auto"/>
        <w:left w:val="none" w:sz="0" w:space="0" w:color="auto"/>
        <w:bottom w:val="none" w:sz="0" w:space="0" w:color="auto"/>
        <w:right w:val="none" w:sz="0" w:space="0" w:color="auto"/>
      </w:divBdr>
    </w:div>
    <w:div w:id="1840852226">
      <w:bodyDiv w:val="1"/>
      <w:marLeft w:val="0"/>
      <w:marRight w:val="0"/>
      <w:marTop w:val="0"/>
      <w:marBottom w:val="0"/>
      <w:divBdr>
        <w:top w:val="none" w:sz="0" w:space="0" w:color="auto"/>
        <w:left w:val="none" w:sz="0" w:space="0" w:color="auto"/>
        <w:bottom w:val="none" w:sz="0" w:space="0" w:color="auto"/>
        <w:right w:val="none" w:sz="0" w:space="0" w:color="auto"/>
      </w:divBdr>
    </w:div>
    <w:div w:id="1842889660">
      <w:bodyDiv w:val="1"/>
      <w:marLeft w:val="0"/>
      <w:marRight w:val="0"/>
      <w:marTop w:val="0"/>
      <w:marBottom w:val="0"/>
      <w:divBdr>
        <w:top w:val="none" w:sz="0" w:space="0" w:color="auto"/>
        <w:left w:val="none" w:sz="0" w:space="0" w:color="auto"/>
        <w:bottom w:val="none" w:sz="0" w:space="0" w:color="auto"/>
        <w:right w:val="none" w:sz="0" w:space="0" w:color="auto"/>
      </w:divBdr>
    </w:div>
    <w:div w:id="1868131521">
      <w:bodyDiv w:val="1"/>
      <w:marLeft w:val="0"/>
      <w:marRight w:val="0"/>
      <w:marTop w:val="0"/>
      <w:marBottom w:val="0"/>
      <w:divBdr>
        <w:top w:val="none" w:sz="0" w:space="0" w:color="auto"/>
        <w:left w:val="none" w:sz="0" w:space="0" w:color="auto"/>
        <w:bottom w:val="none" w:sz="0" w:space="0" w:color="auto"/>
        <w:right w:val="none" w:sz="0" w:space="0" w:color="auto"/>
      </w:divBdr>
    </w:div>
    <w:div w:id="1882010967">
      <w:bodyDiv w:val="1"/>
      <w:marLeft w:val="0"/>
      <w:marRight w:val="0"/>
      <w:marTop w:val="0"/>
      <w:marBottom w:val="0"/>
      <w:divBdr>
        <w:top w:val="none" w:sz="0" w:space="0" w:color="auto"/>
        <w:left w:val="none" w:sz="0" w:space="0" w:color="auto"/>
        <w:bottom w:val="none" w:sz="0" w:space="0" w:color="auto"/>
        <w:right w:val="none" w:sz="0" w:space="0" w:color="auto"/>
      </w:divBdr>
    </w:div>
    <w:div w:id="1889489196">
      <w:bodyDiv w:val="1"/>
      <w:marLeft w:val="0"/>
      <w:marRight w:val="0"/>
      <w:marTop w:val="0"/>
      <w:marBottom w:val="0"/>
      <w:divBdr>
        <w:top w:val="none" w:sz="0" w:space="0" w:color="auto"/>
        <w:left w:val="none" w:sz="0" w:space="0" w:color="auto"/>
        <w:bottom w:val="none" w:sz="0" w:space="0" w:color="auto"/>
        <w:right w:val="none" w:sz="0" w:space="0" w:color="auto"/>
      </w:divBdr>
    </w:div>
    <w:div w:id="1891650569">
      <w:bodyDiv w:val="1"/>
      <w:marLeft w:val="0"/>
      <w:marRight w:val="0"/>
      <w:marTop w:val="0"/>
      <w:marBottom w:val="0"/>
      <w:divBdr>
        <w:top w:val="none" w:sz="0" w:space="0" w:color="auto"/>
        <w:left w:val="none" w:sz="0" w:space="0" w:color="auto"/>
        <w:bottom w:val="none" w:sz="0" w:space="0" w:color="auto"/>
        <w:right w:val="none" w:sz="0" w:space="0" w:color="auto"/>
      </w:divBdr>
    </w:div>
    <w:div w:id="1912154394">
      <w:bodyDiv w:val="1"/>
      <w:marLeft w:val="0"/>
      <w:marRight w:val="0"/>
      <w:marTop w:val="0"/>
      <w:marBottom w:val="0"/>
      <w:divBdr>
        <w:top w:val="none" w:sz="0" w:space="0" w:color="auto"/>
        <w:left w:val="none" w:sz="0" w:space="0" w:color="auto"/>
        <w:bottom w:val="none" w:sz="0" w:space="0" w:color="auto"/>
        <w:right w:val="none" w:sz="0" w:space="0" w:color="auto"/>
      </w:divBdr>
    </w:div>
    <w:div w:id="1916431734">
      <w:bodyDiv w:val="1"/>
      <w:marLeft w:val="0"/>
      <w:marRight w:val="0"/>
      <w:marTop w:val="0"/>
      <w:marBottom w:val="0"/>
      <w:divBdr>
        <w:top w:val="none" w:sz="0" w:space="0" w:color="auto"/>
        <w:left w:val="none" w:sz="0" w:space="0" w:color="auto"/>
        <w:bottom w:val="none" w:sz="0" w:space="0" w:color="auto"/>
        <w:right w:val="none" w:sz="0" w:space="0" w:color="auto"/>
      </w:divBdr>
    </w:div>
    <w:div w:id="1916628957">
      <w:bodyDiv w:val="1"/>
      <w:marLeft w:val="0"/>
      <w:marRight w:val="0"/>
      <w:marTop w:val="0"/>
      <w:marBottom w:val="0"/>
      <w:divBdr>
        <w:top w:val="none" w:sz="0" w:space="0" w:color="auto"/>
        <w:left w:val="none" w:sz="0" w:space="0" w:color="auto"/>
        <w:bottom w:val="none" w:sz="0" w:space="0" w:color="auto"/>
        <w:right w:val="none" w:sz="0" w:space="0" w:color="auto"/>
      </w:divBdr>
    </w:div>
    <w:div w:id="1951889523">
      <w:bodyDiv w:val="1"/>
      <w:marLeft w:val="0"/>
      <w:marRight w:val="0"/>
      <w:marTop w:val="0"/>
      <w:marBottom w:val="0"/>
      <w:divBdr>
        <w:top w:val="none" w:sz="0" w:space="0" w:color="auto"/>
        <w:left w:val="none" w:sz="0" w:space="0" w:color="auto"/>
        <w:bottom w:val="none" w:sz="0" w:space="0" w:color="auto"/>
        <w:right w:val="none" w:sz="0" w:space="0" w:color="auto"/>
      </w:divBdr>
    </w:div>
    <w:div w:id="1966042259">
      <w:bodyDiv w:val="1"/>
      <w:marLeft w:val="0"/>
      <w:marRight w:val="0"/>
      <w:marTop w:val="0"/>
      <w:marBottom w:val="0"/>
      <w:divBdr>
        <w:top w:val="none" w:sz="0" w:space="0" w:color="auto"/>
        <w:left w:val="none" w:sz="0" w:space="0" w:color="auto"/>
        <w:bottom w:val="none" w:sz="0" w:space="0" w:color="auto"/>
        <w:right w:val="none" w:sz="0" w:space="0" w:color="auto"/>
      </w:divBdr>
    </w:div>
    <w:div w:id="1968857190">
      <w:bodyDiv w:val="1"/>
      <w:marLeft w:val="0"/>
      <w:marRight w:val="0"/>
      <w:marTop w:val="0"/>
      <w:marBottom w:val="0"/>
      <w:divBdr>
        <w:top w:val="none" w:sz="0" w:space="0" w:color="auto"/>
        <w:left w:val="none" w:sz="0" w:space="0" w:color="auto"/>
        <w:bottom w:val="none" w:sz="0" w:space="0" w:color="auto"/>
        <w:right w:val="none" w:sz="0" w:space="0" w:color="auto"/>
      </w:divBdr>
    </w:div>
    <w:div w:id="1976830304">
      <w:bodyDiv w:val="1"/>
      <w:marLeft w:val="0"/>
      <w:marRight w:val="0"/>
      <w:marTop w:val="0"/>
      <w:marBottom w:val="0"/>
      <w:divBdr>
        <w:top w:val="none" w:sz="0" w:space="0" w:color="auto"/>
        <w:left w:val="none" w:sz="0" w:space="0" w:color="auto"/>
        <w:bottom w:val="none" w:sz="0" w:space="0" w:color="auto"/>
        <w:right w:val="none" w:sz="0" w:space="0" w:color="auto"/>
      </w:divBdr>
    </w:div>
    <w:div w:id="1998268301">
      <w:bodyDiv w:val="1"/>
      <w:marLeft w:val="0"/>
      <w:marRight w:val="0"/>
      <w:marTop w:val="0"/>
      <w:marBottom w:val="0"/>
      <w:divBdr>
        <w:top w:val="none" w:sz="0" w:space="0" w:color="auto"/>
        <w:left w:val="none" w:sz="0" w:space="0" w:color="auto"/>
        <w:bottom w:val="none" w:sz="0" w:space="0" w:color="auto"/>
        <w:right w:val="none" w:sz="0" w:space="0" w:color="auto"/>
      </w:divBdr>
    </w:div>
    <w:div w:id="2008895394">
      <w:bodyDiv w:val="1"/>
      <w:marLeft w:val="0"/>
      <w:marRight w:val="0"/>
      <w:marTop w:val="0"/>
      <w:marBottom w:val="0"/>
      <w:divBdr>
        <w:top w:val="none" w:sz="0" w:space="0" w:color="auto"/>
        <w:left w:val="none" w:sz="0" w:space="0" w:color="auto"/>
        <w:bottom w:val="none" w:sz="0" w:space="0" w:color="auto"/>
        <w:right w:val="none" w:sz="0" w:space="0" w:color="auto"/>
      </w:divBdr>
    </w:div>
    <w:div w:id="2018458017">
      <w:bodyDiv w:val="1"/>
      <w:marLeft w:val="0"/>
      <w:marRight w:val="0"/>
      <w:marTop w:val="0"/>
      <w:marBottom w:val="0"/>
      <w:divBdr>
        <w:top w:val="none" w:sz="0" w:space="0" w:color="auto"/>
        <w:left w:val="none" w:sz="0" w:space="0" w:color="auto"/>
        <w:bottom w:val="none" w:sz="0" w:space="0" w:color="auto"/>
        <w:right w:val="none" w:sz="0" w:space="0" w:color="auto"/>
      </w:divBdr>
    </w:div>
    <w:div w:id="2031560805">
      <w:bodyDiv w:val="1"/>
      <w:marLeft w:val="0"/>
      <w:marRight w:val="0"/>
      <w:marTop w:val="0"/>
      <w:marBottom w:val="0"/>
      <w:divBdr>
        <w:top w:val="none" w:sz="0" w:space="0" w:color="auto"/>
        <w:left w:val="none" w:sz="0" w:space="0" w:color="auto"/>
        <w:bottom w:val="none" w:sz="0" w:space="0" w:color="auto"/>
        <w:right w:val="none" w:sz="0" w:space="0" w:color="auto"/>
      </w:divBdr>
    </w:div>
    <w:div w:id="2051346186">
      <w:bodyDiv w:val="1"/>
      <w:marLeft w:val="0"/>
      <w:marRight w:val="0"/>
      <w:marTop w:val="0"/>
      <w:marBottom w:val="0"/>
      <w:divBdr>
        <w:top w:val="none" w:sz="0" w:space="0" w:color="auto"/>
        <w:left w:val="none" w:sz="0" w:space="0" w:color="auto"/>
        <w:bottom w:val="none" w:sz="0" w:space="0" w:color="auto"/>
        <w:right w:val="none" w:sz="0" w:space="0" w:color="auto"/>
      </w:divBdr>
    </w:div>
    <w:div w:id="2062897303">
      <w:bodyDiv w:val="1"/>
      <w:marLeft w:val="0"/>
      <w:marRight w:val="0"/>
      <w:marTop w:val="0"/>
      <w:marBottom w:val="0"/>
      <w:divBdr>
        <w:top w:val="none" w:sz="0" w:space="0" w:color="auto"/>
        <w:left w:val="none" w:sz="0" w:space="0" w:color="auto"/>
        <w:bottom w:val="none" w:sz="0" w:space="0" w:color="auto"/>
        <w:right w:val="none" w:sz="0" w:space="0" w:color="auto"/>
      </w:divBdr>
    </w:div>
    <w:div w:id="2069061868">
      <w:bodyDiv w:val="1"/>
      <w:marLeft w:val="0"/>
      <w:marRight w:val="0"/>
      <w:marTop w:val="0"/>
      <w:marBottom w:val="0"/>
      <w:divBdr>
        <w:top w:val="none" w:sz="0" w:space="0" w:color="auto"/>
        <w:left w:val="none" w:sz="0" w:space="0" w:color="auto"/>
        <w:bottom w:val="none" w:sz="0" w:space="0" w:color="auto"/>
        <w:right w:val="none" w:sz="0" w:space="0" w:color="auto"/>
      </w:divBdr>
    </w:div>
    <w:div w:id="2075394980">
      <w:bodyDiv w:val="1"/>
      <w:marLeft w:val="0"/>
      <w:marRight w:val="0"/>
      <w:marTop w:val="0"/>
      <w:marBottom w:val="0"/>
      <w:divBdr>
        <w:top w:val="none" w:sz="0" w:space="0" w:color="auto"/>
        <w:left w:val="none" w:sz="0" w:space="0" w:color="auto"/>
        <w:bottom w:val="none" w:sz="0" w:space="0" w:color="auto"/>
        <w:right w:val="none" w:sz="0" w:space="0" w:color="auto"/>
      </w:divBdr>
    </w:div>
    <w:div w:id="2078505307">
      <w:bodyDiv w:val="1"/>
      <w:marLeft w:val="0"/>
      <w:marRight w:val="0"/>
      <w:marTop w:val="0"/>
      <w:marBottom w:val="0"/>
      <w:divBdr>
        <w:top w:val="none" w:sz="0" w:space="0" w:color="auto"/>
        <w:left w:val="none" w:sz="0" w:space="0" w:color="auto"/>
        <w:bottom w:val="none" w:sz="0" w:space="0" w:color="auto"/>
        <w:right w:val="none" w:sz="0" w:space="0" w:color="auto"/>
      </w:divBdr>
    </w:div>
    <w:div w:id="2089844229">
      <w:bodyDiv w:val="1"/>
      <w:marLeft w:val="0"/>
      <w:marRight w:val="0"/>
      <w:marTop w:val="0"/>
      <w:marBottom w:val="0"/>
      <w:divBdr>
        <w:top w:val="none" w:sz="0" w:space="0" w:color="auto"/>
        <w:left w:val="none" w:sz="0" w:space="0" w:color="auto"/>
        <w:bottom w:val="none" w:sz="0" w:space="0" w:color="auto"/>
        <w:right w:val="none" w:sz="0" w:space="0" w:color="auto"/>
      </w:divBdr>
    </w:div>
    <w:div w:id="2140605212">
      <w:bodyDiv w:val="1"/>
      <w:marLeft w:val="0"/>
      <w:marRight w:val="0"/>
      <w:marTop w:val="0"/>
      <w:marBottom w:val="0"/>
      <w:divBdr>
        <w:top w:val="none" w:sz="0" w:space="0" w:color="auto"/>
        <w:left w:val="none" w:sz="0" w:space="0" w:color="auto"/>
        <w:bottom w:val="none" w:sz="0" w:space="0" w:color="auto"/>
        <w:right w:val="none" w:sz="0" w:space="0" w:color="auto"/>
      </w:divBdr>
    </w:div>
    <w:div w:id="21438403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jpeg"/><Relationship Id="rId117" Type="http://schemas.openxmlformats.org/officeDocument/2006/relationships/image" Target="media/image97.emf"/><Relationship Id="rId21" Type="http://schemas.openxmlformats.org/officeDocument/2006/relationships/hyperlink" Target="http://www.gw.govt.nz/Annual-monitoring-reports" TargetMode="External"/><Relationship Id="rId42" Type="http://schemas.openxmlformats.org/officeDocument/2006/relationships/image" Target="media/image26.jpeg"/><Relationship Id="rId47" Type="http://schemas.openxmlformats.org/officeDocument/2006/relationships/image" Target="media/image30.jpeg"/><Relationship Id="rId63" Type="http://schemas.openxmlformats.org/officeDocument/2006/relationships/chart" Target="charts/chart3.xml"/><Relationship Id="rId68" Type="http://schemas.openxmlformats.org/officeDocument/2006/relationships/image" Target="media/image48.emf"/><Relationship Id="rId84" Type="http://schemas.openxmlformats.org/officeDocument/2006/relationships/image" Target="media/image64.emf"/><Relationship Id="rId89" Type="http://schemas.openxmlformats.org/officeDocument/2006/relationships/image" Target="media/image69.emf"/><Relationship Id="rId112" Type="http://schemas.openxmlformats.org/officeDocument/2006/relationships/image" Target="media/image92.emf"/><Relationship Id="rId133" Type="http://schemas.openxmlformats.org/officeDocument/2006/relationships/image" Target="media/image112.emf"/><Relationship Id="rId138" Type="http://schemas.openxmlformats.org/officeDocument/2006/relationships/image" Target="media/image117.emf"/><Relationship Id="rId154" Type="http://schemas.openxmlformats.org/officeDocument/2006/relationships/image" Target="media/image133.emf"/><Relationship Id="rId159" Type="http://schemas.openxmlformats.org/officeDocument/2006/relationships/image" Target="media/image138.png"/><Relationship Id="rId175" Type="http://schemas.openxmlformats.org/officeDocument/2006/relationships/image" Target="media/image152.emf"/><Relationship Id="rId170" Type="http://schemas.openxmlformats.org/officeDocument/2006/relationships/image" Target="media/image147.emf"/><Relationship Id="rId191" Type="http://schemas.openxmlformats.org/officeDocument/2006/relationships/fontTable" Target="fontTable.xml"/><Relationship Id="rId16" Type="http://schemas.openxmlformats.org/officeDocument/2006/relationships/chart" Target="charts/chart1.xml"/><Relationship Id="rId107" Type="http://schemas.openxmlformats.org/officeDocument/2006/relationships/image" Target="media/image87.emf"/><Relationship Id="rId11" Type="http://schemas.openxmlformats.org/officeDocument/2006/relationships/image" Target="media/image2.jpeg"/><Relationship Id="rId32" Type="http://schemas.openxmlformats.org/officeDocument/2006/relationships/image" Target="media/image18.jpeg"/><Relationship Id="rId37" Type="http://schemas.openxmlformats.org/officeDocument/2006/relationships/image" Target="media/image23.jpeg"/><Relationship Id="rId53" Type="http://schemas.openxmlformats.org/officeDocument/2006/relationships/image" Target="media/image34.jpeg"/><Relationship Id="rId58" Type="http://schemas.openxmlformats.org/officeDocument/2006/relationships/image" Target="media/image39.emf"/><Relationship Id="rId74" Type="http://schemas.openxmlformats.org/officeDocument/2006/relationships/image" Target="media/image54.emf"/><Relationship Id="rId79" Type="http://schemas.openxmlformats.org/officeDocument/2006/relationships/image" Target="media/image59.emf"/><Relationship Id="rId102" Type="http://schemas.openxmlformats.org/officeDocument/2006/relationships/image" Target="media/image82.emf"/><Relationship Id="rId123" Type="http://schemas.openxmlformats.org/officeDocument/2006/relationships/image" Target="media/image103.emf"/><Relationship Id="rId128" Type="http://schemas.openxmlformats.org/officeDocument/2006/relationships/image" Target="media/image108.emf"/><Relationship Id="rId144" Type="http://schemas.openxmlformats.org/officeDocument/2006/relationships/image" Target="media/image123.emf"/><Relationship Id="rId149" Type="http://schemas.openxmlformats.org/officeDocument/2006/relationships/image" Target="media/image128.emf"/><Relationship Id="rId5" Type="http://schemas.openxmlformats.org/officeDocument/2006/relationships/settings" Target="settings.xml"/><Relationship Id="rId90" Type="http://schemas.openxmlformats.org/officeDocument/2006/relationships/image" Target="media/image70.emf"/><Relationship Id="rId95" Type="http://schemas.openxmlformats.org/officeDocument/2006/relationships/image" Target="media/image75.emf"/><Relationship Id="rId160" Type="http://schemas.openxmlformats.org/officeDocument/2006/relationships/image" Target="media/image139.png"/><Relationship Id="rId165" Type="http://schemas.openxmlformats.org/officeDocument/2006/relationships/image" Target="media/image143.png"/><Relationship Id="rId181" Type="http://schemas.openxmlformats.org/officeDocument/2006/relationships/image" Target="media/image158.emf"/><Relationship Id="rId186" Type="http://schemas.openxmlformats.org/officeDocument/2006/relationships/image" Target="media/image163.emf"/><Relationship Id="rId22" Type="http://schemas.openxmlformats.org/officeDocument/2006/relationships/hyperlink" Target="http://WCCECM/troveprodwebfrontendserver2dav/nodes//CulturalWB%20kpis.xlsx" TargetMode="External"/><Relationship Id="rId27" Type="http://schemas.openxmlformats.org/officeDocument/2006/relationships/image" Target="media/image13.jpeg"/><Relationship Id="rId43" Type="http://schemas.openxmlformats.org/officeDocument/2006/relationships/hyperlink" Target="mailto:david.lee@wcc.govt.nz" TargetMode="External"/><Relationship Id="rId48" Type="http://schemas.openxmlformats.org/officeDocument/2006/relationships/image" Target="media/image31.jpeg"/><Relationship Id="rId64" Type="http://schemas.openxmlformats.org/officeDocument/2006/relationships/image" Target="media/image44.png"/><Relationship Id="rId69" Type="http://schemas.openxmlformats.org/officeDocument/2006/relationships/image" Target="media/image49.emf"/><Relationship Id="rId113" Type="http://schemas.openxmlformats.org/officeDocument/2006/relationships/image" Target="media/image93.emf"/><Relationship Id="rId118" Type="http://schemas.openxmlformats.org/officeDocument/2006/relationships/image" Target="media/image98.emf"/><Relationship Id="rId134" Type="http://schemas.openxmlformats.org/officeDocument/2006/relationships/image" Target="media/image113.emf"/><Relationship Id="rId139" Type="http://schemas.openxmlformats.org/officeDocument/2006/relationships/image" Target="media/image118.emf"/><Relationship Id="rId80" Type="http://schemas.openxmlformats.org/officeDocument/2006/relationships/image" Target="media/image60.emf"/><Relationship Id="rId85" Type="http://schemas.openxmlformats.org/officeDocument/2006/relationships/image" Target="media/image65.emf"/><Relationship Id="rId150" Type="http://schemas.openxmlformats.org/officeDocument/2006/relationships/image" Target="media/image129.emf"/><Relationship Id="rId155" Type="http://schemas.openxmlformats.org/officeDocument/2006/relationships/image" Target="media/image134.emf"/><Relationship Id="rId171" Type="http://schemas.openxmlformats.org/officeDocument/2006/relationships/image" Target="media/image148.png"/><Relationship Id="rId176" Type="http://schemas.openxmlformats.org/officeDocument/2006/relationships/image" Target="media/image153.emf"/><Relationship Id="rId192" Type="http://schemas.openxmlformats.org/officeDocument/2006/relationships/theme" Target="theme/theme1.xml"/><Relationship Id="rId12" Type="http://schemas.openxmlformats.org/officeDocument/2006/relationships/image" Target="media/image3.png"/><Relationship Id="rId17" Type="http://schemas.openxmlformats.org/officeDocument/2006/relationships/chart" Target="charts/chart2.xml"/><Relationship Id="rId33" Type="http://schemas.openxmlformats.org/officeDocument/2006/relationships/image" Target="media/image19.jpeg"/><Relationship Id="rId38" Type="http://schemas.openxmlformats.org/officeDocument/2006/relationships/hyperlink" Target="mailto:andy.foster@wcc.govt.nz" TargetMode="External"/><Relationship Id="rId59" Type="http://schemas.openxmlformats.org/officeDocument/2006/relationships/image" Target="media/image40.emf"/><Relationship Id="rId103" Type="http://schemas.openxmlformats.org/officeDocument/2006/relationships/image" Target="media/image83.emf"/><Relationship Id="rId108" Type="http://schemas.openxmlformats.org/officeDocument/2006/relationships/image" Target="media/image88.emf"/><Relationship Id="rId124" Type="http://schemas.openxmlformats.org/officeDocument/2006/relationships/image" Target="media/image104.emf"/><Relationship Id="rId129" Type="http://schemas.openxmlformats.org/officeDocument/2006/relationships/image" Target="media/image109.emf"/><Relationship Id="rId54" Type="http://schemas.openxmlformats.org/officeDocument/2006/relationships/image" Target="media/image35.jpeg"/><Relationship Id="rId70" Type="http://schemas.openxmlformats.org/officeDocument/2006/relationships/image" Target="media/image50.emf"/><Relationship Id="rId75" Type="http://schemas.openxmlformats.org/officeDocument/2006/relationships/image" Target="media/image55.emf"/><Relationship Id="rId91" Type="http://schemas.openxmlformats.org/officeDocument/2006/relationships/image" Target="media/image71.emf"/><Relationship Id="rId96" Type="http://schemas.openxmlformats.org/officeDocument/2006/relationships/image" Target="media/image76.emf"/><Relationship Id="rId140" Type="http://schemas.openxmlformats.org/officeDocument/2006/relationships/image" Target="media/image119.emf"/><Relationship Id="rId145" Type="http://schemas.openxmlformats.org/officeDocument/2006/relationships/image" Target="media/image124.emf"/><Relationship Id="rId161" Type="http://schemas.openxmlformats.org/officeDocument/2006/relationships/image" Target="media/image140.png"/><Relationship Id="rId166" Type="http://schemas.openxmlformats.org/officeDocument/2006/relationships/image" Target="media/image144.png"/><Relationship Id="rId182" Type="http://schemas.openxmlformats.org/officeDocument/2006/relationships/image" Target="media/image159.emf"/><Relationship Id="rId187" Type="http://schemas.openxmlformats.org/officeDocument/2006/relationships/image" Target="media/image164.emf"/><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9.jpeg"/><Relationship Id="rId28" Type="http://schemas.openxmlformats.org/officeDocument/2006/relationships/image" Target="media/image14.jpeg"/><Relationship Id="rId49" Type="http://schemas.openxmlformats.org/officeDocument/2006/relationships/hyperlink" Target="https://wellington.govt.nz/your-council/plans-policies-and-bylaws/policies/significance-and-engagement-policy" TargetMode="External"/><Relationship Id="rId114" Type="http://schemas.openxmlformats.org/officeDocument/2006/relationships/image" Target="media/image94.emf"/><Relationship Id="rId119" Type="http://schemas.openxmlformats.org/officeDocument/2006/relationships/image" Target="media/image99.emf"/><Relationship Id="rId44" Type="http://schemas.openxmlformats.org/officeDocument/2006/relationships/image" Target="media/image27.jpeg"/><Relationship Id="rId60" Type="http://schemas.openxmlformats.org/officeDocument/2006/relationships/image" Target="media/image41.emf"/><Relationship Id="rId65" Type="http://schemas.openxmlformats.org/officeDocument/2006/relationships/image" Target="media/image45.emf"/><Relationship Id="rId81" Type="http://schemas.openxmlformats.org/officeDocument/2006/relationships/image" Target="media/image61.emf"/><Relationship Id="rId86" Type="http://schemas.openxmlformats.org/officeDocument/2006/relationships/image" Target="media/image66.emf"/><Relationship Id="rId130" Type="http://schemas.openxmlformats.org/officeDocument/2006/relationships/hyperlink" Target="https://wellingtonzoo.com/about-us/about-our-zoo/" TargetMode="External"/><Relationship Id="rId135" Type="http://schemas.openxmlformats.org/officeDocument/2006/relationships/image" Target="media/image114.emf"/><Relationship Id="rId151" Type="http://schemas.openxmlformats.org/officeDocument/2006/relationships/image" Target="media/image130.emf"/><Relationship Id="rId156" Type="http://schemas.openxmlformats.org/officeDocument/2006/relationships/image" Target="media/image135.emf"/><Relationship Id="rId177" Type="http://schemas.openxmlformats.org/officeDocument/2006/relationships/image" Target="media/image154.emf"/><Relationship Id="rId172" Type="http://schemas.openxmlformats.org/officeDocument/2006/relationships/image" Target="media/image149.emf"/><Relationship Id="rId13" Type="http://schemas.openxmlformats.org/officeDocument/2006/relationships/image" Target="media/image4.png"/><Relationship Id="rId18" Type="http://schemas.openxmlformats.org/officeDocument/2006/relationships/image" Target="media/image7.png"/><Relationship Id="rId39" Type="http://schemas.openxmlformats.org/officeDocument/2006/relationships/image" Target="media/image24.jpeg"/><Relationship Id="rId109" Type="http://schemas.openxmlformats.org/officeDocument/2006/relationships/image" Target="media/image89.emf"/><Relationship Id="rId34" Type="http://schemas.openxmlformats.org/officeDocument/2006/relationships/image" Target="media/image20.jpeg"/><Relationship Id="rId50" Type="http://schemas.openxmlformats.org/officeDocument/2006/relationships/hyperlink" Target="http://www.wellington.govt.nz" TargetMode="External"/><Relationship Id="rId55" Type="http://schemas.openxmlformats.org/officeDocument/2006/relationships/image" Target="media/image36.jpeg"/><Relationship Id="rId76" Type="http://schemas.openxmlformats.org/officeDocument/2006/relationships/image" Target="media/image56.emf"/><Relationship Id="rId97" Type="http://schemas.openxmlformats.org/officeDocument/2006/relationships/image" Target="media/image77.emf"/><Relationship Id="rId104" Type="http://schemas.openxmlformats.org/officeDocument/2006/relationships/image" Target="media/image84.emf"/><Relationship Id="rId120" Type="http://schemas.openxmlformats.org/officeDocument/2006/relationships/image" Target="media/image100.emf"/><Relationship Id="rId125" Type="http://schemas.openxmlformats.org/officeDocument/2006/relationships/image" Target="media/image105.emf"/><Relationship Id="rId141" Type="http://schemas.openxmlformats.org/officeDocument/2006/relationships/image" Target="media/image120.emf"/><Relationship Id="rId146" Type="http://schemas.openxmlformats.org/officeDocument/2006/relationships/image" Target="media/image125.emf"/><Relationship Id="rId167" Type="http://schemas.openxmlformats.org/officeDocument/2006/relationships/image" Target="media/image145.png"/><Relationship Id="rId188" Type="http://schemas.openxmlformats.org/officeDocument/2006/relationships/image" Target="media/image165.emf"/><Relationship Id="rId7" Type="http://schemas.openxmlformats.org/officeDocument/2006/relationships/footnotes" Target="footnotes.xml"/><Relationship Id="rId71" Type="http://schemas.openxmlformats.org/officeDocument/2006/relationships/image" Target="media/image51.emf"/><Relationship Id="rId92" Type="http://schemas.openxmlformats.org/officeDocument/2006/relationships/image" Target="media/image72.emf"/><Relationship Id="rId162" Type="http://schemas.openxmlformats.org/officeDocument/2006/relationships/image" Target="media/image141.png"/><Relationship Id="rId183" Type="http://schemas.openxmlformats.org/officeDocument/2006/relationships/image" Target="media/image160.emf"/><Relationship Id="rId2" Type="http://schemas.openxmlformats.org/officeDocument/2006/relationships/numbering" Target="numbering.xml"/><Relationship Id="rId29" Type="http://schemas.openxmlformats.org/officeDocument/2006/relationships/image" Target="media/image15.png"/><Relationship Id="rId24" Type="http://schemas.openxmlformats.org/officeDocument/2006/relationships/image" Target="media/image10.jpeg"/><Relationship Id="rId40" Type="http://schemas.openxmlformats.org/officeDocument/2006/relationships/image" Target="media/image25.jpeg"/><Relationship Id="rId45" Type="http://schemas.openxmlformats.org/officeDocument/2006/relationships/image" Target="media/image28.jpeg"/><Relationship Id="rId66" Type="http://schemas.openxmlformats.org/officeDocument/2006/relationships/image" Target="media/image46.emf"/><Relationship Id="rId87" Type="http://schemas.openxmlformats.org/officeDocument/2006/relationships/image" Target="media/image67.emf"/><Relationship Id="rId110" Type="http://schemas.openxmlformats.org/officeDocument/2006/relationships/image" Target="media/image90.emf"/><Relationship Id="rId115" Type="http://schemas.openxmlformats.org/officeDocument/2006/relationships/image" Target="media/image95.emf"/><Relationship Id="rId131" Type="http://schemas.openxmlformats.org/officeDocument/2006/relationships/image" Target="media/image110.emf"/><Relationship Id="rId136" Type="http://schemas.openxmlformats.org/officeDocument/2006/relationships/image" Target="media/image115.emf"/><Relationship Id="rId157" Type="http://schemas.openxmlformats.org/officeDocument/2006/relationships/image" Target="media/image136.emf"/><Relationship Id="rId178" Type="http://schemas.openxmlformats.org/officeDocument/2006/relationships/image" Target="media/image155.emf"/><Relationship Id="rId61" Type="http://schemas.openxmlformats.org/officeDocument/2006/relationships/image" Target="media/image42.emf"/><Relationship Id="rId82" Type="http://schemas.openxmlformats.org/officeDocument/2006/relationships/image" Target="media/image62.emf"/><Relationship Id="rId152" Type="http://schemas.openxmlformats.org/officeDocument/2006/relationships/image" Target="media/image131.emf"/><Relationship Id="rId173" Type="http://schemas.openxmlformats.org/officeDocument/2006/relationships/image" Target="media/image150.emf"/><Relationship Id="rId19" Type="http://schemas.openxmlformats.org/officeDocument/2006/relationships/image" Target="media/image8.png"/><Relationship Id="rId14" Type="http://schemas.openxmlformats.org/officeDocument/2006/relationships/image" Target="media/image5.emf"/><Relationship Id="rId30" Type="http://schemas.openxmlformats.org/officeDocument/2006/relationships/image" Target="media/image16.jpeg"/><Relationship Id="rId35" Type="http://schemas.openxmlformats.org/officeDocument/2006/relationships/image" Target="media/image21.jpeg"/><Relationship Id="rId56" Type="http://schemas.openxmlformats.org/officeDocument/2006/relationships/image" Target="media/image37.jpeg"/><Relationship Id="rId77" Type="http://schemas.openxmlformats.org/officeDocument/2006/relationships/image" Target="media/image57.emf"/><Relationship Id="rId100" Type="http://schemas.openxmlformats.org/officeDocument/2006/relationships/image" Target="media/image80.emf"/><Relationship Id="rId105" Type="http://schemas.openxmlformats.org/officeDocument/2006/relationships/image" Target="media/image85.emf"/><Relationship Id="rId126" Type="http://schemas.openxmlformats.org/officeDocument/2006/relationships/image" Target="media/image106.emf"/><Relationship Id="rId147" Type="http://schemas.openxmlformats.org/officeDocument/2006/relationships/image" Target="media/image126.emf"/><Relationship Id="rId168" Type="http://schemas.openxmlformats.org/officeDocument/2006/relationships/image" Target="media/image146.png"/><Relationship Id="rId8" Type="http://schemas.openxmlformats.org/officeDocument/2006/relationships/endnotes" Target="endnotes.xml"/><Relationship Id="rId51" Type="http://schemas.openxmlformats.org/officeDocument/2006/relationships/image" Target="media/image32.jpeg"/><Relationship Id="rId72" Type="http://schemas.openxmlformats.org/officeDocument/2006/relationships/image" Target="media/image52.emf"/><Relationship Id="rId93" Type="http://schemas.openxmlformats.org/officeDocument/2006/relationships/image" Target="media/image73.emf"/><Relationship Id="rId98" Type="http://schemas.openxmlformats.org/officeDocument/2006/relationships/image" Target="media/image78.emf"/><Relationship Id="rId121" Type="http://schemas.openxmlformats.org/officeDocument/2006/relationships/image" Target="media/image101.emf"/><Relationship Id="rId142" Type="http://schemas.openxmlformats.org/officeDocument/2006/relationships/image" Target="media/image121.emf"/><Relationship Id="rId163" Type="http://schemas.openxmlformats.org/officeDocument/2006/relationships/image" Target="media/image142.png"/><Relationship Id="rId184" Type="http://schemas.openxmlformats.org/officeDocument/2006/relationships/image" Target="media/image161.emf"/><Relationship Id="rId189" Type="http://schemas.openxmlformats.org/officeDocument/2006/relationships/image" Target="media/image166.jpeg"/><Relationship Id="rId3" Type="http://schemas.openxmlformats.org/officeDocument/2006/relationships/styles" Target="styles.xml"/><Relationship Id="rId25" Type="http://schemas.openxmlformats.org/officeDocument/2006/relationships/image" Target="media/image11.png"/><Relationship Id="rId46" Type="http://schemas.openxmlformats.org/officeDocument/2006/relationships/image" Target="media/image29.jpeg"/><Relationship Id="rId67" Type="http://schemas.openxmlformats.org/officeDocument/2006/relationships/image" Target="media/image47.emf"/><Relationship Id="rId116" Type="http://schemas.openxmlformats.org/officeDocument/2006/relationships/image" Target="media/image96.emf"/><Relationship Id="rId137" Type="http://schemas.openxmlformats.org/officeDocument/2006/relationships/image" Target="media/image116.emf"/><Relationship Id="rId158" Type="http://schemas.openxmlformats.org/officeDocument/2006/relationships/image" Target="media/image137.png"/><Relationship Id="rId20" Type="http://schemas.openxmlformats.org/officeDocument/2006/relationships/hyperlink" Target="http://www.wellingtonregionaltrails.com" TargetMode="External"/><Relationship Id="rId41" Type="http://schemas.openxmlformats.org/officeDocument/2006/relationships/hyperlink" Target="mailto:peter.gilberd@wcc.govt.nz" TargetMode="External"/><Relationship Id="rId62" Type="http://schemas.openxmlformats.org/officeDocument/2006/relationships/image" Target="media/image43.emf"/><Relationship Id="rId83" Type="http://schemas.openxmlformats.org/officeDocument/2006/relationships/image" Target="media/image63.emf"/><Relationship Id="rId88" Type="http://schemas.openxmlformats.org/officeDocument/2006/relationships/image" Target="media/image68.emf"/><Relationship Id="rId111" Type="http://schemas.openxmlformats.org/officeDocument/2006/relationships/image" Target="media/image91.emf"/><Relationship Id="rId132" Type="http://schemas.openxmlformats.org/officeDocument/2006/relationships/image" Target="media/image111.emf"/><Relationship Id="rId153" Type="http://schemas.openxmlformats.org/officeDocument/2006/relationships/image" Target="media/image132.emf"/><Relationship Id="rId174" Type="http://schemas.openxmlformats.org/officeDocument/2006/relationships/image" Target="media/image151.emf"/><Relationship Id="rId179" Type="http://schemas.openxmlformats.org/officeDocument/2006/relationships/image" Target="media/image156.emf"/><Relationship Id="rId190" Type="http://schemas.openxmlformats.org/officeDocument/2006/relationships/image" Target="media/image167.png"/><Relationship Id="rId15" Type="http://schemas.openxmlformats.org/officeDocument/2006/relationships/image" Target="media/image6.emf"/><Relationship Id="rId36" Type="http://schemas.openxmlformats.org/officeDocument/2006/relationships/image" Target="media/image22.jpeg"/><Relationship Id="rId57" Type="http://schemas.openxmlformats.org/officeDocument/2006/relationships/image" Target="media/image38.emf"/><Relationship Id="rId106" Type="http://schemas.openxmlformats.org/officeDocument/2006/relationships/image" Target="media/image86.emf"/><Relationship Id="rId127" Type="http://schemas.openxmlformats.org/officeDocument/2006/relationships/image" Target="media/image107.emf"/><Relationship Id="rId10" Type="http://schemas.openxmlformats.org/officeDocument/2006/relationships/image" Target="media/image1.png"/><Relationship Id="rId31" Type="http://schemas.openxmlformats.org/officeDocument/2006/relationships/image" Target="media/image17.jpeg"/><Relationship Id="rId52" Type="http://schemas.openxmlformats.org/officeDocument/2006/relationships/image" Target="media/image33.jpeg"/><Relationship Id="rId73" Type="http://schemas.openxmlformats.org/officeDocument/2006/relationships/image" Target="media/image53.emf"/><Relationship Id="rId78" Type="http://schemas.openxmlformats.org/officeDocument/2006/relationships/image" Target="media/image58.emf"/><Relationship Id="rId94" Type="http://schemas.openxmlformats.org/officeDocument/2006/relationships/image" Target="media/image74.emf"/><Relationship Id="rId99" Type="http://schemas.openxmlformats.org/officeDocument/2006/relationships/image" Target="media/image79.emf"/><Relationship Id="rId101" Type="http://schemas.openxmlformats.org/officeDocument/2006/relationships/image" Target="media/image81.emf"/><Relationship Id="rId122" Type="http://schemas.openxmlformats.org/officeDocument/2006/relationships/image" Target="media/image102.emf"/><Relationship Id="rId143" Type="http://schemas.openxmlformats.org/officeDocument/2006/relationships/image" Target="media/image122.emf"/><Relationship Id="rId148" Type="http://schemas.openxmlformats.org/officeDocument/2006/relationships/image" Target="media/image127.emf"/><Relationship Id="rId164" Type="http://schemas.openxmlformats.org/officeDocument/2006/relationships/chart" Target="charts/chart4.xml"/><Relationship Id="rId169" Type="http://schemas.openxmlformats.org/officeDocument/2006/relationships/image" Target="cid:image001.png@01D56CB3.8D7812A0" TargetMode="External"/><Relationship Id="rId185" Type="http://schemas.openxmlformats.org/officeDocument/2006/relationships/image" Target="media/image162.emf"/><Relationship Id="rId4" Type="http://schemas.microsoft.com/office/2007/relationships/stylesWithEffects" Target="stylesWithEffects.xml"/><Relationship Id="rId9" Type="http://schemas.openxmlformats.org/officeDocument/2006/relationships/footer" Target="footer1.xml"/><Relationship Id="rId180" Type="http://schemas.openxmlformats.org/officeDocument/2006/relationships/image" Target="media/image157.emf"/></Relationships>
</file>

<file path=word/charts/_rels/chart1.xml.rels><?xml version="1.0" encoding="UTF-8" standalone="yes"?>
<Relationships xmlns="http://schemas.openxmlformats.org/package/2006/relationships"><Relationship Id="rId1" Type="http://schemas.openxmlformats.org/officeDocument/2006/relationships/oleObject" Target="file:///C:\Users\jackma2a\AppData\Roaming\OpenText\OTEdit\EC_wccecm\c26198467\DRAFT%20figures%20and%20graphs%20as%20at%201819%20230819.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jackma2a\AppData\Roaming\OpenText\OTEdit\EC_wccecm\c26198467\DRAFT%20figures%20and%20graphs%20as%20at%201819%20230819.xlsx" TargetMode="External"/></Relationships>
</file>

<file path=word/charts/_rels/chart3.xml.rels><?xml version="1.0" encoding="UTF-8" standalone="yes"?>
<Relationships xmlns="http://schemas.openxmlformats.org/package/2006/relationships"><Relationship Id="rId2" Type="http://schemas.openxmlformats.org/officeDocument/2006/relationships/oleObject" Target="file:///C:\Users\jackma2a\AppData\Roaming\OpenText\OTEdit\EC_wccecm\c26198467\NULL" TargetMode="External"/><Relationship Id="rId1" Type="http://schemas.openxmlformats.org/officeDocument/2006/relationships/themeOverride" Target="../theme/themeOverride1.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N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1"/>
          <c:order val="0"/>
          <c:tx>
            <c:strRef>
              <c:f>'P29 opex capex'!$C$4</c:f>
              <c:strCache>
                <c:ptCount val="1"/>
                <c:pt idx="0">
                  <c:v>Actual</c:v>
                </c:pt>
              </c:strCache>
            </c:strRef>
          </c:tx>
          <c:spPr>
            <a:solidFill>
              <a:srgbClr val="FFC000"/>
            </a:solidFill>
          </c:spPr>
          <c:invertIfNegative val="0"/>
          <c:cat>
            <c:strRef>
              <c:f>'P29 opex capex'!$B$7:$B$13</c:f>
              <c:strCache>
                <c:ptCount val="7"/>
                <c:pt idx="0">
                  <c:v>Governance</c:v>
                </c:pt>
                <c:pt idx="1">
                  <c:v>Environment</c:v>
                </c:pt>
                <c:pt idx="2">
                  <c:v>Economic Development</c:v>
                </c:pt>
                <c:pt idx="3">
                  <c:v>Cultural Wellbeing</c:v>
                </c:pt>
                <c:pt idx="4">
                  <c:v>Social and Recreation</c:v>
                </c:pt>
                <c:pt idx="5">
                  <c:v>Urban Development</c:v>
                </c:pt>
                <c:pt idx="6">
                  <c:v>Transport</c:v>
                </c:pt>
              </c:strCache>
            </c:strRef>
          </c:cat>
          <c:val>
            <c:numRef>
              <c:f>'P29 opex capex'!$I$7:$I$13</c:f>
              <c:numCache>
                <c:formatCode>"$"#,##0.0;[Red]\-"$"#,##0.0</c:formatCode>
                <c:ptCount val="7"/>
                <c:pt idx="0">
                  <c:v>17.399999999999999</c:v>
                </c:pt>
                <c:pt idx="1">
                  <c:v>148.6</c:v>
                </c:pt>
                <c:pt idx="2">
                  <c:v>20.799999999999997</c:v>
                </c:pt>
                <c:pt idx="3">
                  <c:v>22.5</c:v>
                </c:pt>
                <c:pt idx="4">
                  <c:v>93.899999999999991</c:v>
                </c:pt>
                <c:pt idx="5">
                  <c:v>16.799999999999997</c:v>
                </c:pt>
                <c:pt idx="6">
                  <c:v>31.099999999999994</c:v>
                </c:pt>
              </c:numCache>
            </c:numRef>
          </c:val>
        </c:ser>
        <c:ser>
          <c:idx val="2"/>
          <c:order val="1"/>
          <c:tx>
            <c:strRef>
              <c:f>'P29 opex capex'!$D$4</c:f>
              <c:strCache>
                <c:ptCount val="1"/>
                <c:pt idx="0">
                  <c:v>Budget</c:v>
                </c:pt>
              </c:strCache>
            </c:strRef>
          </c:tx>
          <c:spPr>
            <a:solidFill>
              <a:srgbClr val="00B0F0"/>
            </a:solidFill>
          </c:spPr>
          <c:invertIfNegative val="0"/>
          <c:cat>
            <c:strRef>
              <c:f>'P29 opex capex'!$B$7:$B$13</c:f>
              <c:strCache>
                <c:ptCount val="7"/>
                <c:pt idx="0">
                  <c:v>Governance</c:v>
                </c:pt>
                <c:pt idx="1">
                  <c:v>Environment</c:v>
                </c:pt>
                <c:pt idx="2">
                  <c:v>Economic Development</c:v>
                </c:pt>
                <c:pt idx="3">
                  <c:v>Cultural Wellbeing</c:v>
                </c:pt>
                <c:pt idx="4">
                  <c:v>Social and Recreation</c:v>
                </c:pt>
                <c:pt idx="5">
                  <c:v>Urban Development</c:v>
                </c:pt>
                <c:pt idx="6">
                  <c:v>Transport</c:v>
                </c:pt>
              </c:strCache>
            </c:strRef>
          </c:cat>
          <c:val>
            <c:numRef>
              <c:f>'P29 opex capex'!$J$7:$J$13</c:f>
              <c:numCache>
                <c:formatCode>"$"#,##0.0;[Red]\-"$"#,##0.0</c:formatCode>
                <c:ptCount val="7"/>
                <c:pt idx="0">
                  <c:v>17.5</c:v>
                </c:pt>
                <c:pt idx="1">
                  <c:v>155.1</c:v>
                </c:pt>
                <c:pt idx="2">
                  <c:v>21.799999999999997</c:v>
                </c:pt>
                <c:pt idx="3">
                  <c:v>21.8</c:v>
                </c:pt>
                <c:pt idx="4">
                  <c:v>80.400000000000006</c:v>
                </c:pt>
                <c:pt idx="5">
                  <c:v>18.5</c:v>
                </c:pt>
                <c:pt idx="6">
                  <c:v>40.199999999999996</c:v>
                </c:pt>
              </c:numCache>
            </c:numRef>
          </c:val>
        </c:ser>
        <c:dLbls>
          <c:showLegendKey val="0"/>
          <c:showVal val="0"/>
          <c:showCatName val="0"/>
          <c:showSerName val="0"/>
          <c:showPercent val="0"/>
          <c:showBubbleSize val="0"/>
        </c:dLbls>
        <c:gapWidth val="150"/>
        <c:axId val="380643200"/>
        <c:axId val="382722048"/>
      </c:barChart>
      <c:catAx>
        <c:axId val="380643200"/>
        <c:scaling>
          <c:orientation val="maxMin"/>
        </c:scaling>
        <c:delete val="0"/>
        <c:axPos val="l"/>
        <c:numFmt formatCode="General" sourceLinked="1"/>
        <c:majorTickMark val="out"/>
        <c:minorTickMark val="none"/>
        <c:tickLblPos val="nextTo"/>
        <c:crossAx val="382722048"/>
        <c:crosses val="autoZero"/>
        <c:auto val="1"/>
        <c:lblAlgn val="ctr"/>
        <c:lblOffset val="100"/>
        <c:noMultiLvlLbl val="0"/>
      </c:catAx>
      <c:valAx>
        <c:axId val="382722048"/>
        <c:scaling>
          <c:orientation val="minMax"/>
        </c:scaling>
        <c:delete val="0"/>
        <c:axPos val="t"/>
        <c:majorGridlines/>
        <c:numFmt formatCode="&quot;$&quot;#,##0_);[Red]\(&quot;$&quot;#,##0\)" sourceLinked="0"/>
        <c:majorTickMark val="out"/>
        <c:minorTickMark val="none"/>
        <c:tickLblPos val="nextTo"/>
        <c:crossAx val="380643200"/>
        <c:crosses val="autoZero"/>
        <c:crossBetween val="between"/>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N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1"/>
          <c:order val="0"/>
          <c:tx>
            <c:strRef>
              <c:f>'P29 opex capex'!$J$44</c:f>
              <c:strCache>
                <c:ptCount val="1"/>
                <c:pt idx="0">
                  <c:v>Budget</c:v>
                </c:pt>
              </c:strCache>
            </c:strRef>
          </c:tx>
          <c:spPr>
            <a:solidFill>
              <a:srgbClr val="FFC000"/>
            </a:solidFill>
          </c:spPr>
          <c:invertIfNegative val="0"/>
          <c:cat>
            <c:strRef>
              <c:f>'P29 opex capex'!$B$46:$B$52</c:f>
              <c:strCache>
                <c:ptCount val="7"/>
                <c:pt idx="0">
                  <c:v>Governance</c:v>
                </c:pt>
                <c:pt idx="1">
                  <c:v>Environment</c:v>
                </c:pt>
                <c:pt idx="2">
                  <c:v>Economic Development</c:v>
                </c:pt>
                <c:pt idx="3">
                  <c:v>Cultural Wellbeing</c:v>
                </c:pt>
                <c:pt idx="4">
                  <c:v>Social and Recreation</c:v>
                </c:pt>
                <c:pt idx="5">
                  <c:v>Urban Development</c:v>
                </c:pt>
                <c:pt idx="6">
                  <c:v>Transport</c:v>
                </c:pt>
              </c:strCache>
            </c:strRef>
          </c:cat>
          <c:val>
            <c:numRef>
              <c:f>'P29 opex capex'!$J$46:$J$52</c:f>
              <c:numCache>
                <c:formatCode>_-"$"* #,##0_-;\-"$"* #,##0_-;_-"$"* "-"??_-;_-@_-</c:formatCode>
                <c:ptCount val="7"/>
                <c:pt idx="0">
                  <c:v>0</c:v>
                </c:pt>
                <c:pt idx="1">
                  <c:v>49.9</c:v>
                </c:pt>
                <c:pt idx="2">
                  <c:v>3.7</c:v>
                </c:pt>
                <c:pt idx="3">
                  <c:v>1.8</c:v>
                </c:pt>
                <c:pt idx="4">
                  <c:v>41.1</c:v>
                </c:pt>
                <c:pt idx="5">
                  <c:v>48.5</c:v>
                </c:pt>
                <c:pt idx="6">
                  <c:v>75.5</c:v>
                </c:pt>
              </c:numCache>
            </c:numRef>
          </c:val>
        </c:ser>
        <c:ser>
          <c:idx val="0"/>
          <c:order val="1"/>
          <c:tx>
            <c:strRef>
              <c:f>'P29 opex capex'!$C$45</c:f>
              <c:strCache>
                <c:ptCount val="1"/>
                <c:pt idx="0">
                  <c:v>Actual</c:v>
                </c:pt>
              </c:strCache>
            </c:strRef>
          </c:tx>
          <c:spPr>
            <a:solidFill>
              <a:srgbClr val="00B0F0"/>
            </a:solidFill>
          </c:spPr>
          <c:invertIfNegative val="0"/>
          <c:cat>
            <c:strRef>
              <c:f>'P29 opex capex'!$B$46:$B$52</c:f>
              <c:strCache>
                <c:ptCount val="7"/>
                <c:pt idx="0">
                  <c:v>Governance</c:v>
                </c:pt>
                <c:pt idx="1">
                  <c:v>Environment</c:v>
                </c:pt>
                <c:pt idx="2">
                  <c:v>Economic Development</c:v>
                </c:pt>
                <c:pt idx="3">
                  <c:v>Cultural Wellbeing</c:v>
                </c:pt>
                <c:pt idx="4">
                  <c:v>Social and Recreation</c:v>
                </c:pt>
                <c:pt idx="5">
                  <c:v>Urban Development</c:v>
                </c:pt>
                <c:pt idx="6">
                  <c:v>Transport</c:v>
                </c:pt>
              </c:strCache>
            </c:strRef>
          </c:cat>
          <c:val>
            <c:numRef>
              <c:f>'P29 opex capex'!$I$46:$I$52</c:f>
              <c:numCache>
                <c:formatCode>_-"$"* #,##0_-;\-"$"* #,##0_-;_-"$"* "-"??_-;_-@_-</c:formatCode>
                <c:ptCount val="7"/>
                <c:pt idx="0">
                  <c:v>0</c:v>
                </c:pt>
                <c:pt idx="1">
                  <c:v>40.5</c:v>
                </c:pt>
                <c:pt idx="2">
                  <c:v>0.7</c:v>
                </c:pt>
                <c:pt idx="3">
                  <c:v>4.1999999999999993</c:v>
                </c:pt>
                <c:pt idx="4">
                  <c:v>30</c:v>
                </c:pt>
                <c:pt idx="5">
                  <c:v>14.6</c:v>
                </c:pt>
                <c:pt idx="6">
                  <c:v>54.3</c:v>
                </c:pt>
              </c:numCache>
            </c:numRef>
          </c:val>
        </c:ser>
        <c:dLbls>
          <c:showLegendKey val="0"/>
          <c:showVal val="0"/>
          <c:showCatName val="0"/>
          <c:showSerName val="0"/>
          <c:showPercent val="0"/>
          <c:showBubbleSize val="0"/>
        </c:dLbls>
        <c:gapWidth val="150"/>
        <c:axId val="473903488"/>
        <c:axId val="526849152"/>
      </c:barChart>
      <c:catAx>
        <c:axId val="473903488"/>
        <c:scaling>
          <c:orientation val="maxMin"/>
        </c:scaling>
        <c:delete val="0"/>
        <c:axPos val="l"/>
        <c:numFmt formatCode="General" sourceLinked="1"/>
        <c:majorTickMark val="out"/>
        <c:minorTickMark val="none"/>
        <c:tickLblPos val="nextTo"/>
        <c:crossAx val="526849152"/>
        <c:crosses val="autoZero"/>
        <c:auto val="1"/>
        <c:lblAlgn val="ctr"/>
        <c:lblOffset val="100"/>
        <c:noMultiLvlLbl val="0"/>
      </c:catAx>
      <c:valAx>
        <c:axId val="526849152"/>
        <c:scaling>
          <c:orientation val="minMax"/>
        </c:scaling>
        <c:delete val="0"/>
        <c:axPos val="t"/>
        <c:majorGridlines/>
        <c:numFmt formatCode="_-&quot;$&quot;* #,##0_-;\-&quot;$&quot;* #,##0_-;_-&quot;$&quot;* &quot;-&quot;??_-;_-@_-" sourceLinked="1"/>
        <c:majorTickMark val="out"/>
        <c:minorTickMark val="none"/>
        <c:tickLblPos val="nextTo"/>
        <c:crossAx val="473903488"/>
        <c:crosses val="autoZero"/>
        <c:crossBetween val="between"/>
      </c:valAx>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N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067129155323986"/>
          <c:y val="5.1400554097404488E-2"/>
          <c:w val="0.56500268321478397"/>
          <c:h val="0.8326195683872849"/>
        </c:manualLayout>
      </c:layout>
      <c:barChart>
        <c:barDir val="col"/>
        <c:grouping val="clustered"/>
        <c:varyColors val="0"/>
        <c:ser>
          <c:idx val="0"/>
          <c:order val="0"/>
          <c:tx>
            <c:strRef>
              <c:f>'Note 2 - Graph'!$L$7</c:f>
              <c:strCache>
                <c:ptCount val="1"/>
                <c:pt idx="0">
                  <c:v>City Housing ($000)</c:v>
                </c:pt>
              </c:strCache>
            </c:strRef>
          </c:tx>
          <c:spPr>
            <a:solidFill>
              <a:srgbClr val="009999"/>
            </a:solidFill>
          </c:spPr>
          <c:invertIfNegative val="0"/>
          <c:cat>
            <c:numRef>
              <c:f>'Note 2 - Graph'!$M$6:$Q$6</c:f>
              <c:numCache>
                <c:formatCode>General</c:formatCode>
                <c:ptCount val="5"/>
                <c:pt idx="0">
                  <c:v>2015</c:v>
                </c:pt>
                <c:pt idx="1">
                  <c:v>2016</c:v>
                </c:pt>
                <c:pt idx="2">
                  <c:v>2017</c:v>
                </c:pt>
                <c:pt idx="3">
                  <c:v>2018</c:v>
                </c:pt>
                <c:pt idx="4">
                  <c:v>2019</c:v>
                </c:pt>
              </c:numCache>
            </c:numRef>
          </c:cat>
          <c:val>
            <c:numRef>
              <c:f>'Note 2 - Graph'!$M$7:$Q$7</c:f>
              <c:numCache>
                <c:formatCode>"$"#,##0_);\("$"#,##0\)</c:formatCode>
                <c:ptCount val="5"/>
                <c:pt idx="0">
                  <c:v>21438</c:v>
                </c:pt>
                <c:pt idx="1">
                  <c:v>21769</c:v>
                </c:pt>
                <c:pt idx="2">
                  <c:v>22280</c:v>
                </c:pt>
                <c:pt idx="3">
                  <c:v>21261</c:v>
                </c:pt>
                <c:pt idx="4">
                  <c:v>23310</c:v>
                </c:pt>
              </c:numCache>
            </c:numRef>
          </c:val>
        </c:ser>
        <c:ser>
          <c:idx val="1"/>
          <c:order val="1"/>
          <c:tx>
            <c:strRef>
              <c:f>'Note 2 - Graph'!$L$8</c:f>
              <c:strCache>
                <c:ptCount val="1"/>
                <c:pt idx="0">
                  <c:v>Parking fees and permits ($000)</c:v>
                </c:pt>
              </c:strCache>
            </c:strRef>
          </c:tx>
          <c:spPr>
            <a:solidFill>
              <a:srgbClr val="FF0000"/>
            </a:solidFill>
          </c:spPr>
          <c:invertIfNegative val="0"/>
          <c:cat>
            <c:numRef>
              <c:f>'Note 2 - Graph'!$M$6:$Q$6</c:f>
              <c:numCache>
                <c:formatCode>General</c:formatCode>
                <c:ptCount val="5"/>
                <c:pt idx="0">
                  <c:v>2015</c:v>
                </c:pt>
                <c:pt idx="1">
                  <c:v>2016</c:v>
                </c:pt>
                <c:pt idx="2">
                  <c:v>2017</c:v>
                </c:pt>
                <c:pt idx="3">
                  <c:v>2018</c:v>
                </c:pt>
                <c:pt idx="4">
                  <c:v>2019</c:v>
                </c:pt>
              </c:numCache>
            </c:numRef>
          </c:cat>
          <c:val>
            <c:numRef>
              <c:f>'Note 2 - Graph'!$M$8:$Q$8</c:f>
              <c:numCache>
                <c:formatCode>"$"#,##0_);\("$"#,##0\)</c:formatCode>
                <c:ptCount val="5"/>
                <c:pt idx="0">
                  <c:v>17991</c:v>
                </c:pt>
                <c:pt idx="1">
                  <c:v>18597</c:v>
                </c:pt>
                <c:pt idx="2">
                  <c:v>18287</c:v>
                </c:pt>
                <c:pt idx="3">
                  <c:v>20386</c:v>
                </c:pt>
                <c:pt idx="4">
                  <c:v>22067</c:v>
                </c:pt>
              </c:numCache>
            </c:numRef>
          </c:val>
        </c:ser>
        <c:ser>
          <c:idx val="2"/>
          <c:order val="2"/>
          <c:tx>
            <c:strRef>
              <c:f>'Note 2 - Graph'!$L$9</c:f>
              <c:strCache>
                <c:ptCount val="1"/>
                <c:pt idx="0">
                  <c:v>Consents and licensing services ($000)</c:v>
                </c:pt>
              </c:strCache>
            </c:strRef>
          </c:tx>
          <c:spPr>
            <a:solidFill>
              <a:srgbClr val="00B0F0"/>
            </a:solidFill>
          </c:spPr>
          <c:invertIfNegative val="0"/>
          <c:cat>
            <c:numRef>
              <c:f>'Note 2 - Graph'!$M$6:$Q$6</c:f>
              <c:numCache>
                <c:formatCode>General</c:formatCode>
                <c:ptCount val="5"/>
                <c:pt idx="0">
                  <c:v>2015</c:v>
                </c:pt>
                <c:pt idx="1">
                  <c:v>2016</c:v>
                </c:pt>
                <c:pt idx="2">
                  <c:v>2017</c:v>
                </c:pt>
                <c:pt idx="3">
                  <c:v>2018</c:v>
                </c:pt>
                <c:pt idx="4">
                  <c:v>2019</c:v>
                </c:pt>
              </c:numCache>
            </c:numRef>
          </c:cat>
          <c:val>
            <c:numRef>
              <c:f>'Note 2 - Graph'!$M$9:$Q$9</c:f>
              <c:numCache>
                <c:formatCode>"$"#,##0_);\("$"#,##0\)</c:formatCode>
                <c:ptCount val="5"/>
                <c:pt idx="0">
                  <c:v>13240</c:v>
                </c:pt>
                <c:pt idx="1">
                  <c:v>13823</c:v>
                </c:pt>
                <c:pt idx="2">
                  <c:v>15319</c:v>
                </c:pt>
                <c:pt idx="3">
                  <c:v>14670</c:v>
                </c:pt>
                <c:pt idx="4">
                  <c:v>15609</c:v>
                </c:pt>
              </c:numCache>
            </c:numRef>
          </c:val>
        </c:ser>
        <c:ser>
          <c:idx val="3"/>
          <c:order val="3"/>
          <c:tx>
            <c:strRef>
              <c:f>'Note 2 - Graph'!$L$10</c:f>
              <c:strCache>
                <c:ptCount val="1"/>
                <c:pt idx="0">
                  <c:v>Landfill operations and recycling ($000)</c:v>
                </c:pt>
              </c:strCache>
            </c:strRef>
          </c:tx>
          <c:spPr>
            <a:solidFill>
              <a:srgbClr val="00B050"/>
            </a:solidFill>
          </c:spPr>
          <c:invertIfNegative val="0"/>
          <c:cat>
            <c:numRef>
              <c:f>'Note 2 - Graph'!$M$6:$Q$6</c:f>
              <c:numCache>
                <c:formatCode>General</c:formatCode>
                <c:ptCount val="5"/>
                <c:pt idx="0">
                  <c:v>2015</c:v>
                </c:pt>
                <c:pt idx="1">
                  <c:v>2016</c:v>
                </c:pt>
                <c:pt idx="2">
                  <c:v>2017</c:v>
                </c:pt>
                <c:pt idx="3">
                  <c:v>2018</c:v>
                </c:pt>
                <c:pt idx="4">
                  <c:v>2019</c:v>
                </c:pt>
              </c:numCache>
            </c:numRef>
          </c:cat>
          <c:val>
            <c:numRef>
              <c:f>'Note 2 - Graph'!$M$10:$Q$10</c:f>
              <c:numCache>
                <c:formatCode>"$"#,##0_);\("$"#,##0\)</c:formatCode>
                <c:ptCount val="5"/>
                <c:pt idx="0">
                  <c:v>10469</c:v>
                </c:pt>
                <c:pt idx="1">
                  <c:v>11138</c:v>
                </c:pt>
                <c:pt idx="2">
                  <c:v>15636</c:v>
                </c:pt>
                <c:pt idx="3">
                  <c:v>14645</c:v>
                </c:pt>
                <c:pt idx="4">
                  <c:v>13422</c:v>
                </c:pt>
              </c:numCache>
            </c:numRef>
          </c:val>
        </c:ser>
        <c:ser>
          <c:idx val="4"/>
          <c:order val="4"/>
          <c:tx>
            <c:strRef>
              <c:f>'Note 2 - Graph'!$L$11</c:f>
              <c:strCache>
                <c:ptCount val="1"/>
                <c:pt idx="0">
                  <c:v>Convention and conferences centres ($000)</c:v>
                </c:pt>
              </c:strCache>
            </c:strRef>
          </c:tx>
          <c:spPr>
            <a:solidFill>
              <a:srgbClr val="FF9900"/>
            </a:solidFill>
          </c:spPr>
          <c:invertIfNegative val="0"/>
          <c:cat>
            <c:numRef>
              <c:f>'Note 2 - Graph'!$M$6:$Q$6</c:f>
              <c:numCache>
                <c:formatCode>General</c:formatCode>
                <c:ptCount val="5"/>
                <c:pt idx="0">
                  <c:v>2015</c:v>
                </c:pt>
                <c:pt idx="1">
                  <c:v>2016</c:v>
                </c:pt>
                <c:pt idx="2">
                  <c:v>2017</c:v>
                </c:pt>
                <c:pt idx="3">
                  <c:v>2018</c:v>
                </c:pt>
                <c:pt idx="4">
                  <c:v>2019</c:v>
                </c:pt>
              </c:numCache>
            </c:numRef>
          </c:cat>
          <c:val>
            <c:numRef>
              <c:f>'Note 2 - Graph'!$M$11:$Q$11</c:f>
              <c:numCache>
                <c:formatCode>"$"#,##0_);\("$"#,##0\)</c:formatCode>
                <c:ptCount val="5"/>
                <c:pt idx="0">
                  <c:v>14931</c:v>
                </c:pt>
                <c:pt idx="1">
                  <c:v>15081</c:v>
                </c:pt>
                <c:pt idx="2">
                  <c:v>13165</c:v>
                </c:pt>
                <c:pt idx="3">
                  <c:v>12723</c:v>
                </c:pt>
                <c:pt idx="4">
                  <c:v>13037</c:v>
                </c:pt>
              </c:numCache>
            </c:numRef>
          </c:val>
        </c:ser>
        <c:dLbls>
          <c:showLegendKey val="0"/>
          <c:showVal val="0"/>
          <c:showCatName val="0"/>
          <c:showSerName val="0"/>
          <c:showPercent val="0"/>
          <c:showBubbleSize val="0"/>
        </c:dLbls>
        <c:gapWidth val="150"/>
        <c:axId val="380814464"/>
        <c:axId val="380816000"/>
      </c:barChart>
      <c:catAx>
        <c:axId val="380814464"/>
        <c:scaling>
          <c:orientation val="minMax"/>
        </c:scaling>
        <c:delete val="0"/>
        <c:axPos val="b"/>
        <c:numFmt formatCode="General" sourceLinked="1"/>
        <c:majorTickMark val="out"/>
        <c:minorTickMark val="none"/>
        <c:tickLblPos val="nextTo"/>
        <c:crossAx val="380816000"/>
        <c:crosses val="autoZero"/>
        <c:auto val="1"/>
        <c:lblAlgn val="ctr"/>
        <c:lblOffset val="100"/>
        <c:noMultiLvlLbl val="0"/>
      </c:catAx>
      <c:valAx>
        <c:axId val="380816000"/>
        <c:scaling>
          <c:orientation val="minMax"/>
          <c:min val="5000"/>
        </c:scaling>
        <c:delete val="0"/>
        <c:axPos val="l"/>
        <c:majorGridlines/>
        <c:numFmt formatCode="&quot;$&quot;#,##0_);\(&quot;$&quot;#,##0\)" sourceLinked="1"/>
        <c:majorTickMark val="out"/>
        <c:minorTickMark val="none"/>
        <c:tickLblPos val="nextTo"/>
        <c:crossAx val="380814464"/>
        <c:crosses val="autoZero"/>
        <c:crossBetween val="between"/>
        <c:majorUnit val="5000"/>
        <c:minorUnit val="400"/>
      </c:valAx>
    </c:plotArea>
    <c:legend>
      <c:legendPos val="r"/>
      <c:layout>
        <c:manualLayout>
          <c:xMode val="edge"/>
          <c:yMode val="edge"/>
          <c:x val="0.69247120982841304"/>
          <c:y val="6.2182481427109748E-2"/>
          <c:w val="0.28697323996231672"/>
          <c:h val="0.77463871052271227"/>
        </c:manualLayout>
      </c:layout>
      <c:overlay val="0"/>
      <c:txPr>
        <a:bodyPr/>
        <a:lstStyle/>
        <a:p>
          <a:pPr>
            <a:defRPr sz="1200" b="1" i="0" baseline="0"/>
          </a:pPr>
          <a:endParaRPr lang="en-US"/>
        </a:p>
      </c:txPr>
    </c:legend>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N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1"/>
          <c:order val="0"/>
          <c:tx>
            <c:strRef>
              <c:f>oGraphs!$A$327</c:f>
              <c:strCache>
                <c:ptCount val="1"/>
                <c:pt idx="0">
                  <c:v>Benchmark met</c:v>
                </c:pt>
              </c:strCache>
            </c:strRef>
          </c:tx>
          <c:spPr>
            <a:solidFill>
              <a:srgbClr val="00B050"/>
            </a:solidFill>
          </c:spPr>
          <c:invertIfNegative val="0"/>
          <c:dPt>
            <c:idx val="4"/>
            <c:invertIfNegative val="0"/>
            <c:bubble3D val="0"/>
            <c:spPr>
              <a:solidFill>
                <a:srgbClr val="FFC000"/>
              </a:solidFill>
            </c:spPr>
          </c:dPt>
          <c:dLbls>
            <c:dLbl>
              <c:idx val="4"/>
              <c:layout>
                <c:manualLayout>
                  <c:x val="1.1357339190604331E-3"/>
                  <c:y val="7.0418270686448377E-3"/>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numRef>
              <c:f>oGraphs!$E$1:$I$1</c:f>
              <c:numCache>
                <c:formatCode>General</c:formatCode>
                <c:ptCount val="5"/>
                <c:pt idx="0">
                  <c:v>2015</c:v>
                </c:pt>
                <c:pt idx="1">
                  <c:v>2016</c:v>
                </c:pt>
                <c:pt idx="2">
                  <c:v>2017</c:v>
                </c:pt>
                <c:pt idx="3">
                  <c:v>2018</c:v>
                </c:pt>
                <c:pt idx="4">
                  <c:v>2019</c:v>
                </c:pt>
              </c:numCache>
            </c:numRef>
          </c:cat>
          <c:val>
            <c:numRef>
              <c:f>oGraphs!$E$327:$I$327</c:f>
              <c:numCache>
                <c:formatCode>0%</c:formatCode>
                <c:ptCount val="5"/>
                <c:pt idx="0">
                  <c:v>1.0482539346330593</c:v>
                </c:pt>
                <c:pt idx="1">
                  <c:v>1.0467516871270606</c:v>
                </c:pt>
                <c:pt idx="2">
                  <c:v>1.0453087523307596</c:v>
                </c:pt>
                <c:pt idx="3">
                  <c:v>1.0413697584859769</c:v>
                </c:pt>
                <c:pt idx="4">
                  <c:v>0.93117985227007993</c:v>
                </c:pt>
              </c:numCache>
            </c:numRef>
          </c:val>
        </c:ser>
        <c:ser>
          <c:idx val="2"/>
          <c:order val="1"/>
          <c:tx>
            <c:strRef>
              <c:f>oGraphs!$A$328</c:f>
              <c:strCache>
                <c:ptCount val="1"/>
                <c:pt idx="0">
                  <c:v>Benchmark not met</c:v>
                </c:pt>
              </c:strCache>
            </c:strRef>
          </c:tx>
          <c:spPr>
            <a:solidFill>
              <a:srgbClr val="FFC000"/>
            </a:solidFill>
          </c:spPr>
          <c:invertIfNegative val="0"/>
          <c:cat>
            <c:numRef>
              <c:f>oGraphs!$E$1:$I$1</c:f>
              <c:numCache>
                <c:formatCode>General</c:formatCode>
                <c:ptCount val="5"/>
                <c:pt idx="0">
                  <c:v>2015</c:v>
                </c:pt>
                <c:pt idx="1">
                  <c:v>2016</c:v>
                </c:pt>
                <c:pt idx="2">
                  <c:v>2017</c:v>
                </c:pt>
                <c:pt idx="3">
                  <c:v>2018</c:v>
                </c:pt>
                <c:pt idx="4">
                  <c:v>2019</c:v>
                </c:pt>
              </c:numCache>
            </c:numRef>
          </c:cat>
          <c:val>
            <c:numRef>
              <c:f>oGraphs!$E$328:$I$328</c:f>
              <c:numCache>
                <c:formatCode>General</c:formatCode>
                <c:ptCount val="5"/>
              </c:numCache>
            </c:numRef>
          </c:val>
        </c:ser>
        <c:dLbls>
          <c:showLegendKey val="0"/>
          <c:showVal val="0"/>
          <c:showCatName val="0"/>
          <c:showSerName val="0"/>
          <c:showPercent val="0"/>
          <c:showBubbleSize val="0"/>
        </c:dLbls>
        <c:gapWidth val="150"/>
        <c:axId val="459090944"/>
        <c:axId val="459101312"/>
      </c:barChart>
      <c:scatterChart>
        <c:scatterStyle val="lineMarker"/>
        <c:varyColors val="0"/>
        <c:ser>
          <c:idx val="0"/>
          <c:order val="2"/>
          <c:tx>
            <c:strRef>
              <c:f>oGraphs!$D$330</c:f>
              <c:strCache>
                <c:ptCount val="1"/>
                <c:pt idx="0">
                  <c:v>Benchmark</c:v>
                </c:pt>
              </c:strCache>
            </c:strRef>
          </c:tx>
          <c:spPr>
            <a:ln>
              <a:solidFill>
                <a:schemeClr val="tx1"/>
              </a:solidFill>
            </a:ln>
          </c:spPr>
          <c:marker>
            <c:symbol val="none"/>
          </c:marker>
          <c:xVal>
            <c:numRef>
              <c:f>oGraphs!$C$331:$C$332</c:f>
              <c:numCache>
                <c:formatCode>_(* #,##0.00_);_(* \(#,##0.00\);_(* "-"??_);_(@_)</c:formatCode>
                <c:ptCount val="2"/>
                <c:pt idx="0">
                  <c:v>0</c:v>
                </c:pt>
                <c:pt idx="1">
                  <c:v>1</c:v>
                </c:pt>
              </c:numCache>
            </c:numRef>
          </c:xVal>
          <c:yVal>
            <c:numRef>
              <c:f>oGraphs!$D$331:$D$332</c:f>
              <c:numCache>
                <c:formatCode>0%</c:formatCode>
                <c:ptCount val="2"/>
                <c:pt idx="0">
                  <c:v>1</c:v>
                </c:pt>
                <c:pt idx="1">
                  <c:v>1</c:v>
                </c:pt>
              </c:numCache>
            </c:numRef>
          </c:yVal>
          <c:smooth val="0"/>
        </c:ser>
        <c:dLbls>
          <c:showLegendKey val="0"/>
          <c:showVal val="0"/>
          <c:showCatName val="0"/>
          <c:showSerName val="0"/>
          <c:showPercent val="0"/>
          <c:showBubbleSize val="0"/>
        </c:dLbls>
        <c:axId val="459105024"/>
        <c:axId val="459103232"/>
      </c:scatterChart>
      <c:catAx>
        <c:axId val="459090944"/>
        <c:scaling>
          <c:orientation val="minMax"/>
        </c:scaling>
        <c:delete val="0"/>
        <c:axPos val="b"/>
        <c:title>
          <c:tx>
            <c:rich>
              <a:bodyPr/>
              <a:lstStyle/>
              <a:p>
                <a:pPr>
                  <a:defRPr/>
                </a:pPr>
                <a:r>
                  <a:rPr lang="en-NZ"/>
                  <a:t>Year</a:t>
                </a:r>
              </a:p>
            </c:rich>
          </c:tx>
          <c:layout/>
          <c:overlay val="0"/>
        </c:title>
        <c:numFmt formatCode="General" sourceLinked="1"/>
        <c:majorTickMark val="out"/>
        <c:minorTickMark val="none"/>
        <c:tickLblPos val="nextTo"/>
        <c:crossAx val="459101312"/>
        <c:crosses val="autoZero"/>
        <c:auto val="1"/>
        <c:lblAlgn val="ctr"/>
        <c:lblOffset val="100"/>
        <c:noMultiLvlLbl val="0"/>
      </c:catAx>
      <c:valAx>
        <c:axId val="459101312"/>
        <c:scaling>
          <c:orientation val="minMax"/>
        </c:scaling>
        <c:delete val="0"/>
        <c:axPos val="l"/>
        <c:majorGridlines>
          <c:spPr>
            <a:ln>
              <a:solidFill>
                <a:schemeClr val="tx1"/>
              </a:solidFill>
            </a:ln>
          </c:spPr>
        </c:majorGridlines>
        <c:title>
          <c:tx>
            <c:rich>
              <a:bodyPr rot="-5400000" vert="horz"/>
              <a:lstStyle/>
              <a:p>
                <a:pPr>
                  <a:defRPr/>
                </a:pPr>
                <a:r>
                  <a:rPr lang="en-NZ"/>
                  <a:t>Revenue/expenditure</a:t>
                </a:r>
                <a:r>
                  <a:rPr lang="en-NZ" baseline="0"/>
                  <a:t> (%)</a:t>
                </a:r>
                <a:endParaRPr lang="en-NZ"/>
              </a:p>
            </c:rich>
          </c:tx>
          <c:layout/>
          <c:overlay val="0"/>
        </c:title>
        <c:numFmt formatCode="0%" sourceLinked="1"/>
        <c:majorTickMark val="out"/>
        <c:minorTickMark val="none"/>
        <c:tickLblPos val="nextTo"/>
        <c:crossAx val="459090944"/>
        <c:crosses val="autoZero"/>
        <c:crossBetween val="between"/>
      </c:valAx>
      <c:valAx>
        <c:axId val="459103232"/>
        <c:scaling>
          <c:orientation val="minMax"/>
        </c:scaling>
        <c:delete val="1"/>
        <c:axPos val="r"/>
        <c:numFmt formatCode="0%" sourceLinked="1"/>
        <c:majorTickMark val="out"/>
        <c:minorTickMark val="none"/>
        <c:tickLblPos val="nextTo"/>
        <c:crossAx val="459105024"/>
        <c:crosses val="max"/>
        <c:crossBetween val="midCat"/>
      </c:valAx>
      <c:valAx>
        <c:axId val="459105024"/>
        <c:scaling>
          <c:orientation val="minMax"/>
          <c:max val="1"/>
          <c:min val="0"/>
        </c:scaling>
        <c:delete val="0"/>
        <c:axPos val="t"/>
        <c:numFmt formatCode="_(* #,##0.00_);_(* \(#,##0.00\);_(* &quot;-&quot;??_);_(@_)" sourceLinked="1"/>
        <c:majorTickMark val="none"/>
        <c:minorTickMark val="none"/>
        <c:tickLblPos val="none"/>
        <c:crossAx val="459103232"/>
        <c:crosses val="max"/>
        <c:crossBetween val="midCat"/>
      </c:valAx>
    </c:plotArea>
    <c:legend>
      <c:legendPos val="b"/>
      <c:layout/>
      <c:overlay val="0"/>
    </c:legend>
    <c:plotVisOnly val="1"/>
    <c:dispBlanksAs val="zero"/>
    <c:showDLblsOverMax val="0"/>
  </c:chart>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sential">
      <a:majorFont>
        <a:latin typeface="Arial Black"/>
        <a:ea typeface=""/>
        <a:cs typeface=""/>
        <a:font script="Jpan" typeface="ＭＳ Ｐゴシック"/>
        <a:font script="Hang" typeface="HY견고딕"/>
        <a:font script="Hans" typeface="微软雅黑"/>
        <a:font script="Hant" typeface="微軟正黑體"/>
        <a:font script="Arab" typeface="Tahoma"/>
        <a:font script="Hebr" typeface="Tahoma"/>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WCC LTP Colours">
    <a:dk1>
      <a:sysClr val="windowText" lastClr="000000"/>
    </a:dk1>
    <a:lt1>
      <a:sysClr val="window" lastClr="FFFFFF"/>
    </a:lt1>
    <a:dk2>
      <a:srgbClr val="454752"/>
    </a:dk2>
    <a:lt2>
      <a:srgbClr val="E2E3E3"/>
    </a:lt2>
    <a:accent1>
      <a:srgbClr val="FFDE00"/>
    </a:accent1>
    <a:accent2>
      <a:srgbClr val="82858F"/>
    </a:accent2>
    <a:accent3>
      <a:srgbClr val="FFE373"/>
    </a:accent3>
    <a:accent4>
      <a:srgbClr val="BFBDBF"/>
    </a:accent4>
    <a:accent5>
      <a:srgbClr val="E3D49C"/>
    </a:accent5>
    <a:accent6>
      <a:srgbClr val="D6BF6E"/>
    </a:accent6>
    <a:hlink>
      <a:srgbClr val="454752"/>
    </a:hlink>
    <a:folHlink>
      <a:srgbClr val="A69678"/>
    </a:folHlink>
  </a:clrScheme>
  <a:fontScheme name="WCC LTP Fonts">
    <a:majorFont>
      <a:latin typeface="Georgia"/>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8D7CDE-3229-48E3-8464-77C5A3139A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2647</TotalTime>
  <Pages>352</Pages>
  <Words>90252</Words>
  <Characters>514442</Characters>
  <Application>Microsoft Office Word</Application>
  <DocSecurity>0</DocSecurity>
  <Lines>4287</Lines>
  <Paragraphs>1206</Paragraphs>
  <ScaleCrop>false</ScaleCrop>
  <HeadingPairs>
    <vt:vector size="2" baseType="variant">
      <vt:variant>
        <vt:lpstr>Title</vt:lpstr>
      </vt:variant>
      <vt:variant>
        <vt:i4>1</vt:i4>
      </vt:variant>
    </vt:vector>
  </HeadingPairs>
  <TitlesOfParts>
    <vt:vector size="1" baseType="lpstr">
      <vt:lpstr>WCC Annual Report 2017/18</vt:lpstr>
    </vt:vector>
  </TitlesOfParts>
  <Company>DaaS</Company>
  <LinksUpToDate>false</LinksUpToDate>
  <CharactersWithSpaces>603488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WCC Annual Report 2017/18</dc:title>
  <dc:creator>WCC</dc:creator>
  <cp:lastModifiedBy>jackma2a</cp:lastModifiedBy>
  <cp:revision>27</cp:revision>
  <cp:lastPrinted>2019-10-16T22:50:00Z</cp:lastPrinted>
  <dcterms:created xsi:type="dcterms:W3CDTF">2019-10-29T20:48:00Z</dcterms:created>
  <dcterms:modified xsi:type="dcterms:W3CDTF">2019-11-14T00:22:00Z</dcterms:modified>
  <dc:language>en</dc:language>
</cp:coreProperties>
</file>